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1.56pt;margin-top:0pt;width:593.8pt;height:841.95pt;mso-position-horizontal-relative:page;mso-position-vertical-relative:page;z-index:-38047232" id="docshapegroup1" coordorigin="31,0" coordsize="11876,16839">
            <v:rect style="position:absolute;left:9626;top:16188;width:120;height:252" id="docshape2" filled="true" fillcolor="#e6e6e6" stroked="false">
              <v:fill type="solid"/>
            </v:rect>
            <v:shape style="position:absolute;left:31;top:0;width:11876;height:16839" type="#_x0000_t75" id="docshape3" stroked="false">
              <v:imagedata r:id="rId5"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9"/>
        </w:rPr>
      </w:pPr>
    </w:p>
    <w:p>
      <w:pPr>
        <w:tabs>
          <w:tab w:pos="8782" w:val="left" w:leader="none"/>
        </w:tabs>
        <w:spacing w:before="0"/>
        <w:ind w:left="4887" w:right="0" w:firstLine="0"/>
        <w:jc w:val="left"/>
        <w:rPr>
          <w:sz w:val="22"/>
        </w:rPr>
      </w:pPr>
      <w:r>
        <w:rPr>
          <w:sz w:val="16"/>
        </w:rPr>
        <w:t>MAROONDAH</w:t>
      </w:r>
      <w:r>
        <w:rPr>
          <w:spacing w:val="-7"/>
          <w:sz w:val="16"/>
        </w:rPr>
        <w:t> </w:t>
      </w:r>
      <w:r>
        <w:rPr>
          <w:sz w:val="16"/>
        </w:rPr>
        <w:t>CITY</w:t>
      </w:r>
      <w:r>
        <w:rPr>
          <w:spacing w:val="-2"/>
          <w:sz w:val="16"/>
        </w:rPr>
        <w:t> </w:t>
      </w:r>
      <w:r>
        <w:rPr>
          <w:sz w:val="16"/>
        </w:rPr>
        <w:t>COUNCIL</w:t>
      </w:r>
      <w:r>
        <w:rPr>
          <w:spacing w:val="-6"/>
          <w:sz w:val="16"/>
        </w:rPr>
        <w:t> </w:t>
      </w:r>
      <w:r>
        <w:rPr>
          <w:sz w:val="16"/>
        </w:rPr>
        <w:t>–BUDGET</w:t>
      </w:r>
      <w:r>
        <w:rPr>
          <w:spacing w:val="-4"/>
          <w:sz w:val="16"/>
        </w:rPr>
        <w:t> </w:t>
      </w:r>
      <w:r>
        <w:rPr>
          <w:spacing w:val="-2"/>
          <w:sz w:val="16"/>
        </w:rPr>
        <w:t>2025/26</w:t>
      </w:r>
      <w:r>
        <w:rPr>
          <w:sz w:val="16"/>
        </w:rPr>
        <w:tab/>
      </w:r>
      <w:r>
        <w:rPr>
          <w:sz w:val="22"/>
        </w:rPr>
        <w:t>|</w:t>
      </w:r>
      <w:r>
        <w:rPr>
          <w:spacing w:val="74"/>
          <w:w w:val="150"/>
          <w:sz w:val="22"/>
        </w:rPr>
        <w:t> </w:t>
      </w:r>
      <w:r>
        <w:rPr>
          <w:spacing w:val="-10"/>
          <w:sz w:val="22"/>
        </w:rPr>
        <w:t>1</w:t>
      </w:r>
    </w:p>
    <w:p>
      <w:pPr>
        <w:spacing w:after="0"/>
        <w:jc w:val="left"/>
        <w:rPr>
          <w:sz w:val="22"/>
        </w:rPr>
        <w:sectPr>
          <w:type w:val="continuous"/>
          <w:pgSz w:w="11910" w:h="16840"/>
          <w:pgMar w:top="1920" w:bottom="280" w:left="620" w:right="600"/>
        </w:sectPr>
      </w:pPr>
    </w:p>
    <w:p>
      <w:pPr>
        <w:spacing w:before="74"/>
        <w:ind w:left="100" w:right="0" w:firstLine="0"/>
        <w:jc w:val="left"/>
        <w:rPr>
          <w:rFonts w:ascii="Cambria"/>
          <w:sz w:val="32"/>
        </w:rPr>
      </w:pPr>
      <w:r>
        <w:rPr>
          <w:rFonts w:ascii="Cambria"/>
          <w:color w:val="364B80"/>
          <w:spacing w:val="-2"/>
          <w:sz w:val="32"/>
        </w:rPr>
        <w:t>Contents</w:t>
      </w:r>
    </w:p>
    <w:sdt>
      <w:sdtPr>
        <w:docPartObj>
          <w:docPartGallery w:val="Table of Contents"/>
          <w:docPartUnique/>
        </w:docPartObj>
      </w:sdtPr>
      <w:sdtEndPr/>
      <w:sdtContent>
        <w:p>
          <w:pPr>
            <w:pStyle w:val="TOC1"/>
            <w:tabs>
              <w:tab w:pos="10557" w:val="right" w:leader="dot"/>
            </w:tabs>
            <w:spacing w:before="30"/>
          </w:pPr>
          <w:hyperlink w:history="true" w:anchor="_TOC_250031">
            <w:r>
              <w:rPr/>
              <w:t>Mayor</w:t>
            </w:r>
            <w:r>
              <w:rPr>
                <w:spacing w:val="-4"/>
              </w:rPr>
              <w:t> </w:t>
            </w:r>
            <w:r>
              <w:rPr/>
              <w:t>and</w:t>
            </w:r>
            <w:r>
              <w:rPr>
                <w:spacing w:val="-2"/>
              </w:rPr>
              <w:t> </w:t>
            </w:r>
            <w:r>
              <w:rPr/>
              <w:t>Chief</w:t>
            </w:r>
            <w:r>
              <w:rPr>
                <w:spacing w:val="-3"/>
              </w:rPr>
              <w:t> </w:t>
            </w:r>
            <w:r>
              <w:rPr/>
              <w:t>Executive</w:t>
            </w:r>
            <w:r>
              <w:rPr>
                <w:spacing w:val="-5"/>
              </w:rPr>
              <w:t> </w:t>
            </w:r>
            <w:r>
              <w:rPr/>
              <w:t>Officer</w:t>
            </w:r>
            <w:r>
              <w:rPr>
                <w:spacing w:val="-3"/>
              </w:rPr>
              <w:t> </w:t>
            </w:r>
            <w:r>
              <w:rPr>
                <w:spacing w:val="-2"/>
              </w:rPr>
              <w:t>Introduction</w:t>
            </w:r>
            <w:r>
              <w:rPr>
                <w:rFonts w:ascii="Times New Roman"/>
              </w:rPr>
              <w:tab/>
            </w:r>
            <w:r>
              <w:rPr>
                <w:spacing w:val="-10"/>
              </w:rPr>
              <w:t>3</w:t>
            </w:r>
          </w:hyperlink>
        </w:p>
        <w:p>
          <w:pPr>
            <w:pStyle w:val="TOC1"/>
            <w:tabs>
              <w:tab w:pos="10558" w:val="right" w:leader="dot"/>
            </w:tabs>
          </w:pPr>
          <w:hyperlink w:history="true" w:anchor="_TOC_250030">
            <w:r>
              <w:rPr/>
              <w:t>Chief</w:t>
            </w:r>
            <w:r>
              <w:rPr>
                <w:spacing w:val="-3"/>
              </w:rPr>
              <w:t> </w:t>
            </w:r>
            <w:r>
              <w:rPr/>
              <w:t>Financial</w:t>
            </w:r>
            <w:r>
              <w:rPr>
                <w:spacing w:val="-4"/>
              </w:rPr>
              <w:t> </w:t>
            </w:r>
            <w:r>
              <w:rPr/>
              <w:t>Officer</w:t>
            </w:r>
            <w:r>
              <w:rPr>
                <w:spacing w:val="-4"/>
              </w:rPr>
              <w:t> </w:t>
            </w:r>
            <w:r>
              <w:rPr/>
              <w:t>Executive</w:t>
            </w:r>
            <w:r>
              <w:rPr>
                <w:spacing w:val="-4"/>
              </w:rPr>
              <w:t> </w:t>
            </w:r>
            <w:r>
              <w:rPr>
                <w:spacing w:val="-2"/>
              </w:rPr>
              <w:t>Summary</w:t>
            </w:r>
            <w:r>
              <w:rPr>
                <w:rFonts w:ascii="Times New Roman"/>
              </w:rPr>
              <w:tab/>
            </w:r>
            <w:r>
              <w:rPr>
                <w:spacing w:val="-10"/>
              </w:rPr>
              <w:t>4</w:t>
            </w:r>
          </w:hyperlink>
        </w:p>
        <w:p>
          <w:pPr>
            <w:pStyle w:val="TOC1"/>
            <w:tabs>
              <w:tab w:pos="10557" w:val="right" w:leader="dot"/>
            </w:tabs>
            <w:spacing w:before="99"/>
          </w:pPr>
          <w:hyperlink w:history="true" w:anchor="_TOC_250029">
            <w:r>
              <w:rPr/>
              <w:t>Budget</w:t>
            </w:r>
            <w:r>
              <w:rPr>
                <w:spacing w:val="-6"/>
              </w:rPr>
              <w:t> </w:t>
            </w:r>
            <w:r>
              <w:rPr>
                <w:spacing w:val="-2"/>
              </w:rPr>
              <w:t>Influences</w:t>
            </w:r>
            <w:r>
              <w:rPr>
                <w:rFonts w:ascii="Times New Roman"/>
              </w:rPr>
              <w:tab/>
            </w:r>
            <w:r>
              <w:rPr>
                <w:spacing w:val="-10"/>
              </w:rPr>
              <w:t>7</w:t>
            </w:r>
          </w:hyperlink>
        </w:p>
        <w:p>
          <w:pPr>
            <w:pStyle w:val="TOC2"/>
            <w:tabs>
              <w:tab w:pos="10557" w:val="right" w:leader="dot"/>
            </w:tabs>
            <w:ind w:left="320" w:firstLine="0"/>
          </w:pPr>
          <w:hyperlink w:history="true" w:anchor="_TOC_250028">
            <w:r>
              <w:rPr/>
              <w:t>Budget</w:t>
            </w:r>
            <w:r>
              <w:rPr>
                <w:spacing w:val="-2"/>
              </w:rPr>
              <w:t> implications</w:t>
            </w:r>
            <w:r>
              <w:rPr>
                <w:rFonts w:ascii="Times New Roman"/>
              </w:rPr>
              <w:tab/>
            </w:r>
            <w:r>
              <w:rPr>
                <w:spacing w:val="-10"/>
              </w:rPr>
              <w:t>7</w:t>
            </w:r>
          </w:hyperlink>
        </w:p>
        <w:p>
          <w:pPr>
            <w:pStyle w:val="TOC2"/>
            <w:tabs>
              <w:tab w:pos="10556" w:val="right" w:leader="dot"/>
            </w:tabs>
            <w:ind w:left="320" w:firstLine="0"/>
          </w:pPr>
          <w:hyperlink w:history="true" w:anchor="_TOC_250027">
            <w:r>
              <w:rPr>
                <w:spacing w:val="-2"/>
              </w:rPr>
              <w:t>Influences</w:t>
            </w:r>
            <w:r>
              <w:rPr>
                <w:rFonts w:ascii="Times New Roman"/>
              </w:rPr>
              <w:tab/>
            </w:r>
            <w:r>
              <w:rPr>
                <w:spacing w:val="-10"/>
              </w:rPr>
              <w:t>7</w:t>
            </w:r>
          </w:hyperlink>
        </w:p>
        <w:p>
          <w:pPr>
            <w:pStyle w:val="TOC2"/>
            <w:tabs>
              <w:tab w:pos="10557" w:val="right" w:leader="dot"/>
            </w:tabs>
            <w:ind w:left="320" w:firstLine="0"/>
          </w:pPr>
          <w:hyperlink w:history="true" w:anchor="_TOC_250026">
            <w:r>
              <w:rPr/>
              <w:t>Budget</w:t>
            </w:r>
            <w:r>
              <w:rPr>
                <w:spacing w:val="-2"/>
              </w:rPr>
              <w:t> Principles</w:t>
            </w:r>
            <w:r>
              <w:rPr>
                <w:rFonts w:ascii="Times New Roman"/>
              </w:rPr>
              <w:tab/>
            </w:r>
            <w:r>
              <w:rPr>
                <w:spacing w:val="-10"/>
              </w:rPr>
              <w:t>8</w:t>
            </w:r>
          </w:hyperlink>
        </w:p>
        <w:p>
          <w:pPr>
            <w:pStyle w:val="TOC2"/>
            <w:tabs>
              <w:tab w:pos="10557" w:val="right" w:leader="dot"/>
            </w:tabs>
            <w:spacing w:before="102"/>
            <w:ind w:left="320" w:firstLine="0"/>
          </w:pPr>
          <w:hyperlink w:history="true" w:anchor="_TOC_250025">
            <w:r>
              <w:rPr/>
              <w:t>Statutory</w:t>
            </w:r>
            <w:r>
              <w:rPr>
                <w:spacing w:val="-5"/>
              </w:rPr>
              <w:t> </w:t>
            </w:r>
            <w:r>
              <w:rPr>
                <w:spacing w:val="-2"/>
              </w:rPr>
              <w:t>requirements</w:t>
            </w:r>
            <w:r>
              <w:rPr>
                <w:rFonts w:ascii="Times New Roman"/>
              </w:rPr>
              <w:tab/>
            </w:r>
            <w:r>
              <w:rPr>
                <w:spacing w:val="-10"/>
              </w:rPr>
              <w:t>9</w:t>
            </w:r>
          </w:hyperlink>
        </w:p>
        <w:p>
          <w:pPr>
            <w:pStyle w:val="TOC1"/>
            <w:tabs>
              <w:tab w:pos="10557" w:val="right" w:leader="dot"/>
            </w:tabs>
          </w:pPr>
          <w:hyperlink w:history="true" w:anchor="_TOC_250024">
            <w:r>
              <w:rPr/>
              <w:t>Summary</w:t>
            </w:r>
            <w:r>
              <w:rPr>
                <w:spacing w:val="-5"/>
              </w:rPr>
              <w:t> </w:t>
            </w:r>
            <w:r>
              <w:rPr/>
              <w:t>of</w:t>
            </w:r>
            <w:r>
              <w:rPr>
                <w:spacing w:val="-3"/>
              </w:rPr>
              <w:t> </w:t>
            </w:r>
            <w:r>
              <w:rPr/>
              <w:t>financial</w:t>
            </w:r>
            <w:r>
              <w:rPr>
                <w:spacing w:val="-4"/>
              </w:rPr>
              <w:t> </w:t>
            </w:r>
            <w:r>
              <w:rPr>
                <w:spacing w:val="-2"/>
              </w:rPr>
              <w:t>position</w:t>
            </w:r>
            <w:r>
              <w:rPr>
                <w:rFonts w:ascii="Times New Roman"/>
              </w:rPr>
              <w:tab/>
            </w:r>
            <w:r>
              <w:rPr>
                <w:spacing w:val="-5"/>
              </w:rPr>
              <w:t>10</w:t>
            </w:r>
          </w:hyperlink>
        </w:p>
        <w:p>
          <w:pPr>
            <w:pStyle w:val="TOC2"/>
            <w:numPr>
              <w:ilvl w:val="0"/>
              <w:numId w:val="1"/>
            </w:numPr>
            <w:tabs>
              <w:tab w:pos="819" w:val="left" w:leader="none"/>
              <w:tab w:pos="820" w:val="left" w:leader="none"/>
              <w:tab w:pos="10557" w:val="right" w:leader="dot"/>
            </w:tabs>
            <w:spacing w:line="240" w:lineRule="auto" w:before="100" w:after="0"/>
            <w:ind w:left="820" w:right="0" w:hanging="500"/>
            <w:jc w:val="left"/>
          </w:pPr>
          <w:hyperlink w:history="true" w:anchor="_TOC_250023">
            <w:r>
              <w:rPr/>
              <w:t>Link</w:t>
            </w:r>
            <w:r>
              <w:rPr>
                <w:spacing w:val="-5"/>
              </w:rPr>
              <w:t> </w:t>
            </w:r>
            <w:r>
              <w:rPr/>
              <w:t>to</w:t>
            </w:r>
            <w:r>
              <w:rPr>
                <w:spacing w:val="-5"/>
              </w:rPr>
              <w:t> </w:t>
            </w:r>
            <w:r>
              <w:rPr/>
              <w:t>the</w:t>
            </w:r>
            <w:r>
              <w:rPr>
                <w:spacing w:val="-6"/>
              </w:rPr>
              <w:t> </w:t>
            </w:r>
            <w:r>
              <w:rPr/>
              <w:t>Integrated</w:t>
            </w:r>
            <w:r>
              <w:rPr>
                <w:spacing w:val="-2"/>
              </w:rPr>
              <w:t> </w:t>
            </w:r>
            <w:r>
              <w:rPr/>
              <w:t>Planning</w:t>
            </w:r>
            <w:r>
              <w:rPr>
                <w:spacing w:val="-3"/>
              </w:rPr>
              <w:t> </w:t>
            </w:r>
            <w:r>
              <w:rPr/>
              <w:t>and</w:t>
            </w:r>
            <w:r>
              <w:rPr>
                <w:spacing w:val="-4"/>
              </w:rPr>
              <w:t> </w:t>
            </w:r>
            <w:r>
              <w:rPr/>
              <w:t>Reporting</w:t>
            </w:r>
            <w:r>
              <w:rPr>
                <w:spacing w:val="-3"/>
              </w:rPr>
              <w:t> </w:t>
            </w:r>
            <w:r>
              <w:rPr>
                <w:spacing w:val="-2"/>
              </w:rPr>
              <w:t>Framework</w:t>
            </w:r>
            <w:r>
              <w:rPr>
                <w:rFonts w:ascii="Times New Roman"/>
              </w:rPr>
              <w:tab/>
            </w:r>
            <w:r>
              <w:rPr>
                <w:spacing w:val="-5"/>
              </w:rPr>
              <w:t>17</w:t>
            </w:r>
          </w:hyperlink>
        </w:p>
        <w:p>
          <w:pPr>
            <w:pStyle w:val="TOC2"/>
            <w:numPr>
              <w:ilvl w:val="1"/>
              <w:numId w:val="1"/>
            </w:numPr>
            <w:tabs>
              <w:tab w:pos="690" w:val="left" w:leader="none"/>
              <w:tab w:pos="10556" w:val="right" w:leader="dot"/>
            </w:tabs>
            <w:spacing w:line="240" w:lineRule="auto" w:before="100" w:after="0"/>
            <w:ind w:left="689" w:right="0" w:hanging="370"/>
            <w:jc w:val="left"/>
          </w:pPr>
          <w:hyperlink w:history="true" w:anchor="_TOC_250022">
            <w:r>
              <w:rPr/>
              <w:t>Legislative</w:t>
            </w:r>
            <w:r>
              <w:rPr>
                <w:spacing w:val="-5"/>
              </w:rPr>
              <w:t> </w:t>
            </w:r>
            <w:r>
              <w:rPr/>
              <w:t>planning</w:t>
            </w:r>
            <w:r>
              <w:rPr>
                <w:spacing w:val="-6"/>
              </w:rPr>
              <w:t> </w:t>
            </w:r>
            <w:r>
              <w:rPr/>
              <w:t>and</w:t>
            </w:r>
            <w:r>
              <w:rPr>
                <w:spacing w:val="-4"/>
              </w:rPr>
              <w:t> </w:t>
            </w:r>
            <w:r>
              <w:rPr/>
              <w:t>accountability</w:t>
            </w:r>
            <w:r>
              <w:rPr>
                <w:spacing w:val="-2"/>
              </w:rPr>
              <w:t> framework</w:t>
            </w:r>
            <w:r>
              <w:rPr>
                <w:rFonts w:ascii="Times New Roman"/>
              </w:rPr>
              <w:tab/>
            </w:r>
            <w:r>
              <w:rPr>
                <w:spacing w:val="-5"/>
              </w:rPr>
              <w:t>17</w:t>
            </w:r>
          </w:hyperlink>
        </w:p>
        <w:p>
          <w:pPr>
            <w:pStyle w:val="TOC2"/>
            <w:numPr>
              <w:ilvl w:val="2"/>
              <w:numId w:val="1"/>
            </w:numPr>
            <w:tabs>
              <w:tab w:pos="872" w:val="left" w:leader="none"/>
              <w:tab w:pos="10556" w:val="right" w:leader="dot"/>
            </w:tabs>
            <w:spacing w:line="240" w:lineRule="auto" w:before="99" w:after="0"/>
            <w:ind w:left="871" w:right="0" w:hanging="552"/>
            <w:jc w:val="left"/>
          </w:pPr>
          <w:hyperlink w:history="true" w:anchor="_TOC_250021">
            <w:r>
              <w:rPr/>
              <w:t>Key</w:t>
            </w:r>
            <w:r>
              <w:rPr>
                <w:spacing w:val="-4"/>
              </w:rPr>
              <w:t> </w:t>
            </w:r>
            <w:r>
              <w:rPr/>
              <w:t>planning</w:t>
            </w:r>
            <w:r>
              <w:rPr>
                <w:spacing w:val="-4"/>
              </w:rPr>
              <w:t> </w:t>
            </w:r>
            <w:r>
              <w:rPr>
                <w:spacing w:val="-2"/>
              </w:rPr>
              <w:t>considerations</w:t>
            </w:r>
            <w:r>
              <w:rPr>
                <w:rFonts w:ascii="Times New Roman"/>
              </w:rPr>
              <w:tab/>
            </w:r>
            <w:r>
              <w:rPr>
                <w:spacing w:val="-5"/>
              </w:rPr>
              <w:t>18</w:t>
            </w:r>
          </w:hyperlink>
        </w:p>
        <w:p>
          <w:pPr>
            <w:pStyle w:val="TOC2"/>
            <w:numPr>
              <w:ilvl w:val="2"/>
              <w:numId w:val="1"/>
            </w:numPr>
            <w:tabs>
              <w:tab w:pos="872" w:val="left" w:leader="none"/>
              <w:tab w:pos="10556" w:val="right" w:leader="dot"/>
            </w:tabs>
            <w:spacing w:line="240" w:lineRule="auto" w:before="100" w:after="0"/>
            <w:ind w:left="871" w:right="0" w:hanging="552"/>
            <w:jc w:val="left"/>
          </w:pPr>
          <w:hyperlink w:history="true" w:anchor="_TOC_250020">
            <w:r>
              <w:rPr/>
              <w:t>What</w:t>
            </w:r>
            <w:r>
              <w:rPr>
                <w:spacing w:val="-8"/>
              </w:rPr>
              <w:t> </w:t>
            </w:r>
            <w:r>
              <w:rPr/>
              <w:t>Our</w:t>
            </w:r>
            <w:r>
              <w:rPr>
                <w:spacing w:val="-4"/>
              </w:rPr>
              <w:t> </w:t>
            </w:r>
            <w:r>
              <w:rPr/>
              <w:t>Community</w:t>
            </w:r>
            <w:r>
              <w:rPr>
                <w:spacing w:val="-1"/>
              </w:rPr>
              <w:t> </w:t>
            </w:r>
            <w:r>
              <w:rPr>
                <w:spacing w:val="-4"/>
              </w:rPr>
              <w:t>Said</w:t>
            </w:r>
            <w:r>
              <w:rPr>
                <w:rFonts w:ascii="Times New Roman"/>
              </w:rPr>
              <w:tab/>
            </w:r>
            <w:r>
              <w:rPr>
                <w:spacing w:val="-5"/>
              </w:rPr>
              <w:t>18</w:t>
            </w:r>
          </w:hyperlink>
        </w:p>
        <w:p>
          <w:pPr>
            <w:pStyle w:val="TOC2"/>
            <w:numPr>
              <w:ilvl w:val="1"/>
              <w:numId w:val="1"/>
            </w:numPr>
            <w:tabs>
              <w:tab w:pos="688" w:val="left" w:leader="none"/>
              <w:tab w:pos="10557" w:val="right" w:leader="dot"/>
            </w:tabs>
            <w:spacing w:line="240" w:lineRule="auto" w:before="100" w:after="0"/>
            <w:ind w:left="687" w:right="0" w:hanging="368"/>
            <w:jc w:val="left"/>
          </w:pPr>
          <w:hyperlink w:history="true" w:anchor="_TOC_250019">
            <w:r>
              <w:rPr/>
              <w:t>Our</w:t>
            </w:r>
            <w:r>
              <w:rPr>
                <w:spacing w:val="-2"/>
              </w:rPr>
              <w:t> </w:t>
            </w:r>
            <w:r>
              <w:rPr/>
              <w:t>mission</w:t>
            </w:r>
            <w:r>
              <w:rPr>
                <w:spacing w:val="-4"/>
              </w:rPr>
              <w:t> </w:t>
            </w:r>
            <w:r>
              <w:rPr/>
              <w:t>and</w:t>
            </w:r>
            <w:r>
              <w:rPr>
                <w:spacing w:val="-1"/>
              </w:rPr>
              <w:t> </w:t>
            </w:r>
            <w:r>
              <w:rPr>
                <w:spacing w:val="-2"/>
              </w:rPr>
              <w:t>values</w:t>
            </w:r>
            <w:r>
              <w:rPr>
                <w:rFonts w:ascii="Times New Roman"/>
              </w:rPr>
              <w:tab/>
            </w:r>
            <w:r>
              <w:rPr>
                <w:spacing w:val="-5"/>
              </w:rPr>
              <w:t>19</w:t>
            </w:r>
          </w:hyperlink>
        </w:p>
        <w:p>
          <w:pPr>
            <w:pStyle w:val="TOC4"/>
            <w:tabs>
              <w:tab w:pos="10556" w:val="right" w:leader="dot"/>
            </w:tabs>
            <w:rPr>
              <w:b w:val="0"/>
              <w:i w:val="0"/>
              <w:sz w:val="22"/>
            </w:rPr>
          </w:pPr>
          <w:hyperlink w:history="true" w:anchor="_TOC_250018">
            <w:r>
              <w:rPr>
                <w:b w:val="0"/>
                <w:i/>
                <w:sz w:val="22"/>
              </w:rPr>
              <w:t>Our </w:t>
            </w:r>
            <w:r>
              <w:rPr>
                <w:b w:val="0"/>
                <w:i/>
                <w:spacing w:val="-2"/>
                <w:sz w:val="22"/>
              </w:rPr>
              <w:t>Mission</w:t>
            </w:r>
            <w:r>
              <w:rPr>
                <w:rFonts w:ascii="Times New Roman"/>
                <w:b w:val="0"/>
                <w:i w:val="0"/>
                <w:sz w:val="22"/>
              </w:rPr>
              <w:tab/>
            </w:r>
            <w:r>
              <w:rPr>
                <w:b w:val="0"/>
                <w:i w:val="0"/>
                <w:spacing w:val="-5"/>
                <w:sz w:val="22"/>
              </w:rPr>
              <w:t>19</w:t>
            </w:r>
          </w:hyperlink>
        </w:p>
        <w:p>
          <w:pPr>
            <w:pStyle w:val="TOC3"/>
            <w:tabs>
              <w:tab w:pos="10556" w:val="right" w:leader="dot"/>
            </w:tabs>
            <w:rPr>
              <w:i w:val="0"/>
            </w:rPr>
          </w:pPr>
          <w:hyperlink w:history="true" w:anchor="_TOC_250017">
            <w:r>
              <w:rPr>
                <w:i/>
              </w:rPr>
              <w:t>Our</w:t>
            </w:r>
            <w:r>
              <w:rPr>
                <w:i/>
                <w:spacing w:val="-3"/>
              </w:rPr>
              <w:t> </w:t>
            </w:r>
            <w:r>
              <w:rPr>
                <w:i/>
              </w:rPr>
              <w:t>Workplace</w:t>
            </w:r>
            <w:r>
              <w:rPr>
                <w:i/>
                <w:spacing w:val="-3"/>
              </w:rPr>
              <w:t> </w:t>
            </w:r>
            <w:r>
              <w:rPr>
                <w:i/>
                <w:spacing w:val="-2"/>
              </w:rPr>
              <w:t>Values</w:t>
            </w:r>
            <w:r>
              <w:rPr>
                <w:rFonts w:ascii="Times New Roman"/>
                <w:i w:val="0"/>
              </w:rPr>
              <w:tab/>
            </w:r>
            <w:r>
              <w:rPr>
                <w:i w:val="0"/>
                <w:spacing w:val="-5"/>
              </w:rPr>
              <w:t>19</w:t>
            </w:r>
          </w:hyperlink>
        </w:p>
        <w:p>
          <w:pPr>
            <w:pStyle w:val="TOC2"/>
            <w:numPr>
              <w:ilvl w:val="1"/>
              <w:numId w:val="1"/>
            </w:numPr>
            <w:tabs>
              <w:tab w:pos="690" w:val="left" w:leader="none"/>
              <w:tab w:pos="10556" w:val="right" w:leader="dot"/>
            </w:tabs>
            <w:spacing w:line="240" w:lineRule="auto" w:before="100" w:after="0"/>
            <w:ind w:left="689" w:right="0" w:hanging="370"/>
            <w:jc w:val="left"/>
          </w:pPr>
          <w:hyperlink w:history="true" w:anchor="_TOC_250016">
            <w:r>
              <w:rPr/>
              <w:t>Strategic</w:t>
            </w:r>
            <w:r>
              <w:rPr>
                <w:spacing w:val="-7"/>
              </w:rPr>
              <w:t> </w:t>
            </w:r>
            <w:r>
              <w:rPr>
                <w:spacing w:val="-2"/>
                <w:w w:val="95"/>
              </w:rPr>
              <w:t>Objectives</w:t>
            </w:r>
            <w:r>
              <w:rPr>
                <w:rFonts w:ascii="Times New Roman"/>
              </w:rPr>
              <w:tab/>
            </w:r>
            <w:r>
              <w:rPr>
                <w:spacing w:val="-5"/>
              </w:rPr>
              <w:t>19</w:t>
            </w:r>
          </w:hyperlink>
        </w:p>
        <w:p>
          <w:pPr>
            <w:pStyle w:val="TOC2"/>
            <w:numPr>
              <w:ilvl w:val="0"/>
              <w:numId w:val="1"/>
            </w:numPr>
            <w:tabs>
              <w:tab w:pos="819" w:val="left" w:leader="none"/>
              <w:tab w:pos="820" w:val="left" w:leader="none"/>
              <w:tab w:pos="10557" w:val="right" w:leader="dot"/>
            </w:tabs>
            <w:spacing w:line="240" w:lineRule="auto" w:before="99" w:after="0"/>
            <w:ind w:left="820" w:right="0" w:hanging="500"/>
            <w:jc w:val="left"/>
          </w:pPr>
          <w:hyperlink w:history="true" w:anchor="_TOC_250015">
            <w:r>
              <w:rPr/>
              <w:t>Services</w:t>
            </w:r>
            <w:r>
              <w:rPr>
                <w:spacing w:val="-3"/>
              </w:rPr>
              <w:t> </w:t>
            </w:r>
            <w:r>
              <w:rPr/>
              <w:t>and</w:t>
            </w:r>
            <w:r>
              <w:rPr>
                <w:spacing w:val="-4"/>
              </w:rPr>
              <w:t> </w:t>
            </w:r>
            <w:r>
              <w:rPr/>
              <w:t>service</w:t>
            </w:r>
            <w:r>
              <w:rPr>
                <w:spacing w:val="-5"/>
              </w:rPr>
              <w:t> </w:t>
            </w:r>
            <w:r>
              <w:rPr/>
              <w:t>performance</w:t>
            </w:r>
            <w:r>
              <w:rPr>
                <w:spacing w:val="-1"/>
              </w:rPr>
              <w:t> </w:t>
            </w:r>
            <w:r>
              <w:rPr>
                <w:spacing w:val="-2"/>
              </w:rPr>
              <w:t>indicators</w:t>
            </w:r>
            <w:r>
              <w:rPr>
                <w:rFonts w:ascii="Times New Roman"/>
              </w:rPr>
              <w:tab/>
            </w:r>
            <w:r>
              <w:rPr>
                <w:spacing w:val="-5"/>
                <w:w w:val="95"/>
              </w:rPr>
              <w:t>20</w:t>
            </w:r>
          </w:hyperlink>
        </w:p>
        <w:p>
          <w:pPr>
            <w:pStyle w:val="TOC2"/>
            <w:numPr>
              <w:ilvl w:val="1"/>
              <w:numId w:val="1"/>
            </w:numPr>
            <w:tabs>
              <w:tab w:pos="688" w:val="left" w:leader="none"/>
              <w:tab w:pos="10556" w:val="right" w:leader="dot"/>
            </w:tabs>
            <w:spacing w:line="240" w:lineRule="auto" w:before="100" w:after="0"/>
            <w:ind w:left="687" w:right="0" w:hanging="368"/>
            <w:jc w:val="left"/>
          </w:pPr>
          <w:hyperlink w:history="true" w:anchor="_TOC_250014">
            <w:r>
              <w:rPr/>
              <w:t>Outcome</w:t>
            </w:r>
            <w:r>
              <w:rPr>
                <w:spacing w:val="-10"/>
              </w:rPr>
              <w:t> </w:t>
            </w:r>
            <w:r>
              <w:rPr/>
              <w:t>Area</w:t>
            </w:r>
            <w:r>
              <w:rPr>
                <w:spacing w:val="-5"/>
              </w:rPr>
              <w:t> </w:t>
            </w:r>
            <w:r>
              <w:rPr/>
              <w:t>(Strategic</w:t>
            </w:r>
            <w:r>
              <w:rPr>
                <w:spacing w:val="-4"/>
              </w:rPr>
              <w:t> </w:t>
            </w:r>
            <w:r>
              <w:rPr/>
              <w:t>Objective)</w:t>
            </w:r>
            <w:r>
              <w:rPr>
                <w:spacing w:val="-4"/>
              </w:rPr>
              <w:t> </w:t>
            </w:r>
            <w:r>
              <w:rPr/>
              <w:t>1:</w:t>
            </w:r>
            <w:r>
              <w:rPr>
                <w:spacing w:val="-1"/>
              </w:rPr>
              <w:t> </w:t>
            </w:r>
            <w:r>
              <w:rPr/>
              <w:t>A</w:t>
            </w:r>
            <w:r>
              <w:rPr>
                <w:spacing w:val="-8"/>
              </w:rPr>
              <w:t> </w:t>
            </w:r>
            <w:r>
              <w:rPr/>
              <w:t>healthy,</w:t>
            </w:r>
            <w:r>
              <w:rPr>
                <w:spacing w:val="-2"/>
              </w:rPr>
              <w:t> </w:t>
            </w:r>
            <w:r>
              <w:rPr/>
              <w:t>inclusive,</w:t>
            </w:r>
            <w:r>
              <w:rPr>
                <w:spacing w:val="-5"/>
              </w:rPr>
              <w:t> </w:t>
            </w:r>
            <w:r>
              <w:rPr/>
              <w:t>and</w:t>
            </w:r>
            <w:r>
              <w:rPr>
                <w:spacing w:val="-4"/>
              </w:rPr>
              <w:t> </w:t>
            </w:r>
            <w:r>
              <w:rPr/>
              <w:t>connected</w:t>
            </w:r>
            <w:r>
              <w:rPr>
                <w:spacing w:val="-1"/>
              </w:rPr>
              <w:t> </w:t>
            </w:r>
            <w:r>
              <w:rPr>
                <w:spacing w:val="-2"/>
              </w:rPr>
              <w:t>community</w:t>
            </w:r>
            <w:r>
              <w:rPr>
                <w:rFonts w:ascii="Times New Roman"/>
              </w:rPr>
              <w:tab/>
            </w:r>
            <w:r>
              <w:rPr>
                <w:spacing w:val="-5"/>
              </w:rPr>
              <w:t>20</w:t>
            </w:r>
          </w:hyperlink>
        </w:p>
        <w:p>
          <w:pPr>
            <w:pStyle w:val="TOC2"/>
            <w:numPr>
              <w:ilvl w:val="1"/>
              <w:numId w:val="1"/>
            </w:numPr>
            <w:tabs>
              <w:tab w:pos="688" w:val="left" w:leader="none"/>
              <w:tab w:pos="10557" w:val="right" w:leader="dot"/>
            </w:tabs>
            <w:spacing w:line="240" w:lineRule="auto" w:before="100" w:after="0"/>
            <w:ind w:left="687" w:right="0" w:hanging="368"/>
            <w:jc w:val="left"/>
          </w:pPr>
          <w:hyperlink w:history="true" w:anchor="_TOC_250013">
            <w:r>
              <w:rPr/>
              <w:t>Outcome</w:t>
            </w:r>
            <w:r>
              <w:rPr>
                <w:spacing w:val="-7"/>
              </w:rPr>
              <w:t> </w:t>
            </w:r>
            <w:r>
              <w:rPr/>
              <w:t>Area</w:t>
            </w:r>
            <w:r>
              <w:rPr>
                <w:spacing w:val="-4"/>
              </w:rPr>
              <w:t> </w:t>
            </w:r>
            <w:r>
              <w:rPr/>
              <w:t>(Strategic</w:t>
            </w:r>
            <w:r>
              <w:rPr>
                <w:spacing w:val="-3"/>
              </w:rPr>
              <w:t> </w:t>
            </w:r>
            <w:r>
              <w:rPr/>
              <w:t>Objective)</w:t>
            </w:r>
            <w:r>
              <w:rPr>
                <w:spacing w:val="-2"/>
              </w:rPr>
              <w:t> </w:t>
            </w:r>
            <w:r>
              <w:rPr/>
              <w:t>2:</w:t>
            </w:r>
            <w:r>
              <w:rPr>
                <w:spacing w:val="-1"/>
              </w:rPr>
              <w:t> </w:t>
            </w:r>
            <w:r>
              <w:rPr/>
              <w:t>A</w:t>
            </w:r>
            <w:r>
              <w:rPr>
                <w:spacing w:val="-6"/>
              </w:rPr>
              <w:t> </w:t>
            </w:r>
            <w:r>
              <w:rPr/>
              <w:t>safe</w:t>
            </w:r>
            <w:r>
              <w:rPr>
                <w:spacing w:val="-5"/>
              </w:rPr>
              <w:t> </w:t>
            </w:r>
            <w:r>
              <w:rPr/>
              <w:t>and</w:t>
            </w:r>
            <w:r>
              <w:rPr>
                <w:spacing w:val="-3"/>
              </w:rPr>
              <w:t> </w:t>
            </w:r>
            <w:r>
              <w:rPr/>
              <w:t>liveable</w:t>
            </w:r>
            <w:r>
              <w:rPr>
                <w:spacing w:val="-1"/>
              </w:rPr>
              <w:t> </w:t>
            </w:r>
            <w:r>
              <w:rPr>
                <w:spacing w:val="-2"/>
              </w:rPr>
              <w:t>community</w:t>
            </w:r>
            <w:r>
              <w:rPr>
                <w:rFonts w:ascii="Times New Roman"/>
              </w:rPr>
              <w:tab/>
            </w:r>
            <w:r>
              <w:rPr>
                <w:spacing w:val="-5"/>
              </w:rPr>
              <w:t>25</w:t>
            </w:r>
          </w:hyperlink>
        </w:p>
        <w:p>
          <w:pPr>
            <w:pStyle w:val="TOC2"/>
            <w:numPr>
              <w:ilvl w:val="1"/>
              <w:numId w:val="1"/>
            </w:numPr>
            <w:tabs>
              <w:tab w:pos="688" w:val="left" w:leader="none"/>
              <w:tab w:pos="10556" w:val="right" w:leader="dot"/>
            </w:tabs>
            <w:spacing w:line="240" w:lineRule="auto" w:before="102" w:after="0"/>
            <w:ind w:left="687" w:right="0" w:hanging="368"/>
            <w:jc w:val="left"/>
          </w:pPr>
          <w:hyperlink w:history="true" w:anchor="_TOC_250012">
            <w:r>
              <w:rPr/>
              <w:t>Outcome</w:t>
            </w:r>
            <w:r>
              <w:rPr>
                <w:spacing w:val="-7"/>
              </w:rPr>
              <w:t> </w:t>
            </w:r>
            <w:r>
              <w:rPr/>
              <w:t>Area</w:t>
            </w:r>
            <w:r>
              <w:rPr>
                <w:spacing w:val="-5"/>
              </w:rPr>
              <w:t> </w:t>
            </w:r>
            <w:r>
              <w:rPr/>
              <w:t>(Strategic</w:t>
            </w:r>
            <w:r>
              <w:rPr>
                <w:spacing w:val="-2"/>
              </w:rPr>
              <w:t> </w:t>
            </w:r>
            <w:r>
              <w:rPr/>
              <w:t>Objective)</w:t>
            </w:r>
            <w:r>
              <w:rPr>
                <w:spacing w:val="-3"/>
              </w:rPr>
              <w:t> </w:t>
            </w:r>
            <w:r>
              <w:rPr/>
              <w:t>3:</w:t>
            </w:r>
            <w:r>
              <w:rPr>
                <w:spacing w:val="-1"/>
              </w:rPr>
              <w:t> </w:t>
            </w:r>
            <w:r>
              <w:rPr/>
              <w:t>A</w:t>
            </w:r>
            <w:r>
              <w:rPr>
                <w:spacing w:val="-6"/>
              </w:rPr>
              <w:t> </w:t>
            </w:r>
            <w:r>
              <w:rPr/>
              <w:t>green</w:t>
            </w:r>
            <w:r>
              <w:rPr>
                <w:spacing w:val="-5"/>
              </w:rPr>
              <w:t> </w:t>
            </w:r>
            <w:r>
              <w:rPr/>
              <w:t>and</w:t>
            </w:r>
            <w:r>
              <w:rPr>
                <w:spacing w:val="-3"/>
              </w:rPr>
              <w:t> </w:t>
            </w:r>
            <w:r>
              <w:rPr/>
              <w:t>sustainable</w:t>
            </w:r>
            <w:r>
              <w:rPr>
                <w:spacing w:val="-4"/>
              </w:rPr>
              <w:t> </w:t>
            </w:r>
            <w:r>
              <w:rPr>
                <w:spacing w:val="-2"/>
              </w:rPr>
              <w:t>community</w:t>
            </w:r>
            <w:r>
              <w:rPr>
                <w:rFonts w:ascii="Times New Roman"/>
              </w:rPr>
              <w:tab/>
            </w:r>
            <w:r>
              <w:rPr>
                <w:spacing w:val="-5"/>
              </w:rPr>
              <w:t>29</w:t>
            </w:r>
          </w:hyperlink>
        </w:p>
        <w:p>
          <w:pPr>
            <w:pStyle w:val="TOC2"/>
            <w:numPr>
              <w:ilvl w:val="1"/>
              <w:numId w:val="1"/>
            </w:numPr>
            <w:tabs>
              <w:tab w:pos="688" w:val="left" w:leader="none"/>
              <w:tab w:pos="10556" w:val="right" w:leader="dot"/>
            </w:tabs>
            <w:spacing w:line="240" w:lineRule="auto" w:before="100" w:after="0"/>
            <w:ind w:left="687" w:right="0" w:hanging="368"/>
            <w:jc w:val="left"/>
          </w:pPr>
          <w:hyperlink w:history="true" w:anchor="_TOC_250011">
            <w:r>
              <w:rPr/>
              <w:t>Outcome</w:t>
            </w:r>
            <w:r>
              <w:rPr>
                <w:spacing w:val="-10"/>
              </w:rPr>
              <w:t> </w:t>
            </w:r>
            <w:r>
              <w:rPr/>
              <w:t>Area</w:t>
            </w:r>
            <w:r>
              <w:rPr>
                <w:spacing w:val="-5"/>
              </w:rPr>
              <w:t> </w:t>
            </w:r>
            <w:r>
              <w:rPr/>
              <w:t>(Strategic</w:t>
            </w:r>
            <w:r>
              <w:rPr>
                <w:spacing w:val="-4"/>
              </w:rPr>
              <w:t> </w:t>
            </w:r>
            <w:r>
              <w:rPr/>
              <w:t>Objective)</w:t>
            </w:r>
            <w:r>
              <w:rPr>
                <w:spacing w:val="-3"/>
              </w:rPr>
              <w:t> </w:t>
            </w:r>
            <w:r>
              <w:rPr/>
              <w:t>4:</w:t>
            </w:r>
            <w:r>
              <w:rPr>
                <w:spacing w:val="-2"/>
              </w:rPr>
              <w:t> </w:t>
            </w:r>
            <w:r>
              <w:rPr/>
              <w:t>A</w:t>
            </w:r>
            <w:r>
              <w:rPr>
                <w:spacing w:val="-7"/>
              </w:rPr>
              <w:t> </w:t>
            </w:r>
            <w:r>
              <w:rPr/>
              <w:t>vibrant</w:t>
            </w:r>
            <w:r>
              <w:rPr>
                <w:spacing w:val="-2"/>
              </w:rPr>
              <w:t> </w:t>
            </w:r>
            <w:r>
              <w:rPr/>
              <w:t>and</w:t>
            </w:r>
            <w:r>
              <w:rPr>
                <w:spacing w:val="-4"/>
              </w:rPr>
              <w:t> </w:t>
            </w:r>
            <w:r>
              <w:rPr/>
              <w:t>prosperous</w:t>
            </w:r>
            <w:r>
              <w:rPr>
                <w:spacing w:val="-5"/>
              </w:rPr>
              <w:t> </w:t>
            </w:r>
            <w:r>
              <w:rPr>
                <w:spacing w:val="-2"/>
              </w:rPr>
              <w:t>community</w:t>
            </w:r>
            <w:r>
              <w:rPr>
                <w:rFonts w:ascii="Times New Roman"/>
              </w:rPr>
              <w:tab/>
            </w:r>
            <w:r>
              <w:rPr>
                <w:spacing w:val="-5"/>
              </w:rPr>
              <w:t>31</w:t>
            </w:r>
          </w:hyperlink>
        </w:p>
        <w:p>
          <w:pPr>
            <w:pStyle w:val="TOC2"/>
            <w:numPr>
              <w:ilvl w:val="1"/>
              <w:numId w:val="1"/>
            </w:numPr>
            <w:tabs>
              <w:tab w:pos="688" w:val="left" w:leader="none"/>
              <w:tab w:pos="10557" w:val="right" w:leader="dot"/>
            </w:tabs>
            <w:spacing w:line="240" w:lineRule="auto" w:before="100" w:after="0"/>
            <w:ind w:left="687" w:right="0" w:hanging="368"/>
            <w:jc w:val="left"/>
          </w:pPr>
          <w:hyperlink w:history="true" w:anchor="_TOC_250010">
            <w:r>
              <w:rPr/>
              <w:t>Outcome</w:t>
            </w:r>
            <w:r>
              <w:rPr>
                <w:spacing w:val="-8"/>
              </w:rPr>
              <w:t> </w:t>
            </w:r>
            <w:r>
              <w:rPr/>
              <w:t>Area</w:t>
            </w:r>
            <w:r>
              <w:rPr>
                <w:spacing w:val="-5"/>
              </w:rPr>
              <w:t> </w:t>
            </w:r>
            <w:r>
              <w:rPr/>
              <w:t>(Strategic</w:t>
            </w:r>
            <w:r>
              <w:rPr>
                <w:spacing w:val="-3"/>
              </w:rPr>
              <w:t> </w:t>
            </w:r>
            <w:r>
              <w:rPr/>
              <w:t>Objective)</w:t>
            </w:r>
            <w:r>
              <w:rPr>
                <w:spacing w:val="-4"/>
              </w:rPr>
              <w:t> </w:t>
            </w:r>
            <w:r>
              <w:rPr/>
              <w:t>5:</w:t>
            </w:r>
            <w:r>
              <w:rPr>
                <w:spacing w:val="-1"/>
              </w:rPr>
              <w:t> </w:t>
            </w:r>
            <w:r>
              <w:rPr/>
              <w:t>A</w:t>
            </w:r>
            <w:r>
              <w:rPr>
                <w:spacing w:val="-7"/>
              </w:rPr>
              <w:t> </w:t>
            </w:r>
            <w:r>
              <w:rPr/>
              <w:t>well</w:t>
            </w:r>
            <w:r>
              <w:rPr>
                <w:spacing w:val="-4"/>
              </w:rPr>
              <w:t> </w:t>
            </w:r>
            <w:r>
              <w:rPr/>
              <w:t>governed</w:t>
            </w:r>
            <w:r>
              <w:rPr>
                <w:spacing w:val="-3"/>
              </w:rPr>
              <w:t> </w:t>
            </w:r>
            <w:r>
              <w:rPr/>
              <w:t>and</w:t>
            </w:r>
            <w:r>
              <w:rPr>
                <w:spacing w:val="-5"/>
              </w:rPr>
              <w:t> </w:t>
            </w:r>
            <w:r>
              <w:rPr/>
              <w:t>empowered</w:t>
            </w:r>
            <w:r>
              <w:rPr>
                <w:spacing w:val="-3"/>
              </w:rPr>
              <w:t> </w:t>
            </w:r>
            <w:r>
              <w:rPr>
                <w:spacing w:val="-2"/>
              </w:rPr>
              <w:t>community</w:t>
            </w:r>
            <w:r>
              <w:rPr>
                <w:rFonts w:ascii="Times New Roman"/>
              </w:rPr>
              <w:tab/>
            </w:r>
            <w:r>
              <w:rPr>
                <w:spacing w:val="-5"/>
              </w:rPr>
              <w:t>33</w:t>
            </w:r>
          </w:hyperlink>
        </w:p>
        <w:p>
          <w:pPr>
            <w:pStyle w:val="TOC2"/>
            <w:numPr>
              <w:ilvl w:val="1"/>
              <w:numId w:val="1"/>
            </w:numPr>
            <w:tabs>
              <w:tab w:pos="690" w:val="left" w:leader="none"/>
              <w:tab w:pos="10556" w:val="right" w:leader="dot"/>
            </w:tabs>
            <w:spacing w:line="240" w:lineRule="auto" w:before="100" w:after="0"/>
            <w:ind w:left="689" w:right="0" w:hanging="370"/>
            <w:jc w:val="left"/>
          </w:pPr>
          <w:hyperlink w:history="true" w:anchor="_TOC_250009">
            <w:r>
              <w:rPr/>
              <w:t>Reconciliation</w:t>
            </w:r>
            <w:r>
              <w:rPr>
                <w:spacing w:val="-5"/>
              </w:rPr>
              <w:t> </w:t>
            </w:r>
            <w:r>
              <w:rPr/>
              <w:t>with</w:t>
            </w:r>
            <w:r>
              <w:rPr>
                <w:spacing w:val="-4"/>
              </w:rPr>
              <w:t> </w:t>
            </w:r>
            <w:r>
              <w:rPr/>
              <w:t>budgeted</w:t>
            </w:r>
            <w:r>
              <w:rPr>
                <w:spacing w:val="-5"/>
              </w:rPr>
              <w:t> </w:t>
            </w:r>
            <w:r>
              <w:rPr/>
              <w:t>operating</w:t>
            </w:r>
            <w:r>
              <w:rPr>
                <w:spacing w:val="-6"/>
              </w:rPr>
              <w:t> </w:t>
            </w:r>
            <w:r>
              <w:rPr>
                <w:spacing w:val="-2"/>
              </w:rPr>
              <w:t>result</w:t>
            </w:r>
            <w:r>
              <w:rPr>
                <w:rFonts w:ascii="Times New Roman"/>
              </w:rPr>
              <w:tab/>
            </w:r>
            <w:r>
              <w:rPr>
                <w:spacing w:val="-5"/>
              </w:rPr>
              <w:t>38</w:t>
            </w:r>
          </w:hyperlink>
        </w:p>
        <w:p>
          <w:pPr>
            <w:pStyle w:val="TOC2"/>
            <w:numPr>
              <w:ilvl w:val="0"/>
              <w:numId w:val="1"/>
            </w:numPr>
            <w:tabs>
              <w:tab w:pos="819" w:val="left" w:leader="none"/>
              <w:tab w:pos="820" w:val="left" w:leader="none"/>
              <w:tab w:pos="10557" w:val="right" w:leader="dot"/>
            </w:tabs>
            <w:spacing w:line="240" w:lineRule="auto" w:before="99" w:after="0"/>
            <w:ind w:left="820" w:right="0" w:hanging="500"/>
            <w:jc w:val="left"/>
          </w:pPr>
          <w:hyperlink w:history="true" w:anchor="_TOC_250008">
            <w:r>
              <w:rPr/>
              <w:t>Financial</w:t>
            </w:r>
            <w:r>
              <w:rPr>
                <w:spacing w:val="-6"/>
              </w:rPr>
              <w:t> </w:t>
            </w:r>
            <w:r>
              <w:rPr>
                <w:spacing w:val="-2"/>
              </w:rPr>
              <w:t>Statements</w:t>
            </w:r>
            <w:r>
              <w:rPr>
                <w:rFonts w:ascii="Times New Roman"/>
              </w:rPr>
              <w:tab/>
            </w:r>
            <w:r>
              <w:rPr>
                <w:spacing w:val="-5"/>
              </w:rPr>
              <w:t>39</w:t>
            </w:r>
          </w:hyperlink>
        </w:p>
        <w:p>
          <w:pPr>
            <w:pStyle w:val="TOC2"/>
            <w:numPr>
              <w:ilvl w:val="0"/>
              <w:numId w:val="1"/>
            </w:numPr>
            <w:tabs>
              <w:tab w:pos="819" w:val="left" w:leader="none"/>
              <w:tab w:pos="820" w:val="left" w:leader="none"/>
              <w:tab w:pos="10556" w:val="right" w:leader="dot"/>
            </w:tabs>
            <w:spacing w:line="240" w:lineRule="auto" w:before="100" w:after="0"/>
            <w:ind w:left="820" w:right="0" w:hanging="500"/>
            <w:jc w:val="left"/>
          </w:pPr>
          <w:hyperlink w:history="true" w:anchor="_TOC_250007">
            <w:r>
              <w:rPr/>
              <w:t>Notes</w:t>
            </w:r>
            <w:r>
              <w:rPr>
                <w:spacing w:val="-4"/>
              </w:rPr>
              <w:t> </w:t>
            </w:r>
            <w:r>
              <w:rPr/>
              <w:t>to</w:t>
            </w:r>
            <w:r>
              <w:rPr>
                <w:spacing w:val="-4"/>
              </w:rPr>
              <w:t> </w:t>
            </w:r>
            <w:r>
              <w:rPr/>
              <w:t>the</w:t>
            </w:r>
            <w:r>
              <w:rPr>
                <w:spacing w:val="-4"/>
              </w:rPr>
              <w:t> </w:t>
            </w:r>
            <w:r>
              <w:rPr/>
              <w:t>financial</w:t>
            </w:r>
            <w:r>
              <w:rPr>
                <w:spacing w:val="-1"/>
              </w:rPr>
              <w:t> </w:t>
            </w:r>
            <w:r>
              <w:rPr>
                <w:spacing w:val="-2"/>
              </w:rPr>
              <w:t>statements</w:t>
            </w:r>
            <w:r>
              <w:rPr>
                <w:rFonts w:ascii="Times New Roman"/>
              </w:rPr>
              <w:tab/>
            </w:r>
            <w:r>
              <w:rPr>
                <w:spacing w:val="-5"/>
              </w:rPr>
              <w:t>49</w:t>
            </w:r>
          </w:hyperlink>
        </w:p>
        <w:p>
          <w:pPr>
            <w:pStyle w:val="TOC2"/>
            <w:numPr>
              <w:ilvl w:val="1"/>
              <w:numId w:val="1"/>
            </w:numPr>
            <w:tabs>
              <w:tab w:pos="690" w:val="left" w:leader="none"/>
              <w:tab w:pos="10556" w:val="right" w:leader="dot"/>
            </w:tabs>
            <w:spacing w:line="240" w:lineRule="auto" w:before="100" w:after="0"/>
            <w:ind w:left="689" w:right="0" w:hanging="370"/>
            <w:jc w:val="left"/>
          </w:pPr>
          <w:hyperlink w:history="true" w:anchor="_TOC_250006">
            <w:r>
              <w:rPr/>
              <w:t>Comprehensive</w:t>
            </w:r>
            <w:r>
              <w:rPr>
                <w:spacing w:val="-8"/>
              </w:rPr>
              <w:t> </w:t>
            </w:r>
            <w:r>
              <w:rPr/>
              <w:t>Income</w:t>
            </w:r>
            <w:r>
              <w:rPr>
                <w:spacing w:val="-3"/>
              </w:rPr>
              <w:t> </w:t>
            </w:r>
            <w:r>
              <w:rPr>
                <w:spacing w:val="-2"/>
              </w:rPr>
              <w:t>Statement</w:t>
            </w:r>
            <w:r>
              <w:rPr>
                <w:rFonts w:ascii="Times New Roman"/>
              </w:rPr>
              <w:tab/>
            </w:r>
            <w:r>
              <w:rPr>
                <w:spacing w:val="-5"/>
              </w:rPr>
              <w:t>49</w:t>
            </w:r>
          </w:hyperlink>
        </w:p>
        <w:p>
          <w:pPr>
            <w:pStyle w:val="TOC2"/>
            <w:numPr>
              <w:ilvl w:val="1"/>
              <w:numId w:val="1"/>
            </w:numPr>
            <w:tabs>
              <w:tab w:pos="690" w:val="left" w:leader="none"/>
              <w:tab w:pos="10557" w:val="right" w:leader="dot"/>
            </w:tabs>
            <w:spacing w:line="240" w:lineRule="auto" w:before="100" w:after="0"/>
            <w:ind w:left="689" w:right="0" w:hanging="370"/>
            <w:jc w:val="left"/>
          </w:pPr>
          <w:hyperlink w:history="true" w:anchor="_TOC_250005">
            <w:r>
              <w:rPr/>
              <w:t>Balance</w:t>
            </w:r>
            <w:r>
              <w:rPr>
                <w:spacing w:val="-4"/>
              </w:rPr>
              <w:t> Sheet</w:t>
            </w:r>
            <w:r>
              <w:rPr>
                <w:rFonts w:ascii="Times New Roman"/>
              </w:rPr>
              <w:tab/>
            </w:r>
            <w:r>
              <w:rPr>
                <w:spacing w:val="-5"/>
              </w:rPr>
              <w:t>65</w:t>
            </w:r>
          </w:hyperlink>
        </w:p>
        <w:p>
          <w:pPr>
            <w:pStyle w:val="TOC2"/>
            <w:numPr>
              <w:ilvl w:val="1"/>
              <w:numId w:val="1"/>
            </w:numPr>
            <w:tabs>
              <w:tab w:pos="690" w:val="left" w:leader="none"/>
              <w:tab w:pos="10556" w:val="right" w:leader="dot"/>
            </w:tabs>
            <w:spacing w:line="240" w:lineRule="auto" w:before="100" w:after="0"/>
            <w:ind w:left="689" w:right="0" w:hanging="370"/>
            <w:jc w:val="left"/>
          </w:pPr>
          <w:hyperlink w:history="true" w:anchor="_TOC_250004">
            <w:r>
              <w:rPr/>
              <w:t>Statement</w:t>
            </w:r>
            <w:r>
              <w:rPr>
                <w:spacing w:val="-4"/>
              </w:rPr>
              <w:t> </w:t>
            </w:r>
            <w:r>
              <w:rPr/>
              <w:t>of</w:t>
            </w:r>
            <w:r>
              <w:rPr>
                <w:spacing w:val="-3"/>
              </w:rPr>
              <w:t> </w:t>
            </w:r>
            <w:r>
              <w:rPr/>
              <w:t>Changes</w:t>
            </w:r>
            <w:r>
              <w:rPr>
                <w:spacing w:val="-3"/>
              </w:rPr>
              <w:t> </w:t>
            </w:r>
            <w:r>
              <w:rPr/>
              <w:t>in</w:t>
            </w:r>
            <w:r>
              <w:rPr>
                <w:spacing w:val="-5"/>
              </w:rPr>
              <w:t> </w:t>
            </w:r>
            <w:r>
              <w:rPr>
                <w:spacing w:val="-2"/>
              </w:rPr>
              <w:t>Equity</w:t>
            </w:r>
            <w:r>
              <w:rPr>
                <w:rFonts w:ascii="Times New Roman"/>
              </w:rPr>
              <w:tab/>
            </w:r>
            <w:r>
              <w:rPr>
                <w:spacing w:val="-5"/>
              </w:rPr>
              <w:t>68</w:t>
            </w:r>
          </w:hyperlink>
        </w:p>
        <w:p>
          <w:pPr>
            <w:pStyle w:val="TOC2"/>
            <w:numPr>
              <w:ilvl w:val="1"/>
              <w:numId w:val="1"/>
            </w:numPr>
            <w:tabs>
              <w:tab w:pos="690" w:val="left" w:leader="none"/>
              <w:tab w:pos="10557" w:val="right" w:leader="dot"/>
            </w:tabs>
            <w:spacing w:line="240" w:lineRule="auto" w:before="100" w:after="0"/>
            <w:ind w:left="689" w:right="0" w:hanging="370"/>
            <w:jc w:val="left"/>
          </w:pPr>
          <w:hyperlink w:history="true" w:anchor="_TOC_250003">
            <w:r>
              <w:rPr/>
              <w:t>Statement</w:t>
            </w:r>
            <w:r>
              <w:rPr>
                <w:spacing w:val="-6"/>
              </w:rPr>
              <w:t> </w:t>
            </w:r>
            <w:r>
              <w:rPr/>
              <w:t>of</w:t>
            </w:r>
            <w:r>
              <w:rPr>
                <w:spacing w:val="-2"/>
              </w:rPr>
              <w:t> </w:t>
            </w:r>
            <w:r>
              <w:rPr/>
              <w:t>Cash</w:t>
            </w:r>
            <w:r>
              <w:rPr>
                <w:spacing w:val="-3"/>
              </w:rPr>
              <w:t> </w:t>
            </w:r>
            <w:r>
              <w:rPr>
                <w:spacing w:val="-4"/>
                <w:w w:val="95"/>
              </w:rPr>
              <w:t>Flows</w:t>
            </w:r>
            <w:r>
              <w:rPr>
                <w:rFonts w:ascii="Times New Roman"/>
              </w:rPr>
              <w:tab/>
            </w:r>
            <w:r>
              <w:rPr>
                <w:spacing w:val="-7"/>
              </w:rPr>
              <w:t>68</w:t>
            </w:r>
          </w:hyperlink>
        </w:p>
        <w:p>
          <w:pPr>
            <w:pStyle w:val="TOC2"/>
            <w:numPr>
              <w:ilvl w:val="1"/>
              <w:numId w:val="1"/>
            </w:numPr>
            <w:tabs>
              <w:tab w:pos="690" w:val="left" w:leader="none"/>
              <w:tab w:pos="10557" w:val="right" w:leader="dot"/>
            </w:tabs>
            <w:spacing w:line="240" w:lineRule="auto" w:before="99" w:after="0"/>
            <w:ind w:left="689" w:right="0" w:hanging="370"/>
            <w:jc w:val="left"/>
          </w:pPr>
          <w:hyperlink w:history="true" w:anchor="_TOC_250002">
            <w:r>
              <w:rPr/>
              <w:t>Capital</w:t>
            </w:r>
            <w:r>
              <w:rPr>
                <w:spacing w:val="-3"/>
              </w:rPr>
              <w:t> </w:t>
            </w:r>
            <w:r>
              <w:rPr/>
              <w:t>works</w:t>
            </w:r>
            <w:r>
              <w:rPr>
                <w:spacing w:val="-2"/>
              </w:rPr>
              <w:t> program</w:t>
            </w:r>
            <w:r>
              <w:rPr>
                <w:rFonts w:ascii="Times New Roman"/>
              </w:rPr>
              <w:tab/>
            </w:r>
            <w:r>
              <w:rPr>
                <w:spacing w:val="-5"/>
              </w:rPr>
              <w:t>69</w:t>
            </w:r>
          </w:hyperlink>
        </w:p>
        <w:p>
          <w:pPr>
            <w:pStyle w:val="TOC2"/>
            <w:numPr>
              <w:ilvl w:val="0"/>
              <w:numId w:val="1"/>
            </w:numPr>
            <w:tabs>
              <w:tab w:pos="819" w:val="left" w:leader="none"/>
              <w:tab w:pos="820" w:val="left" w:leader="none"/>
              <w:tab w:pos="10556" w:val="right" w:leader="dot"/>
            </w:tabs>
            <w:spacing w:line="240" w:lineRule="auto" w:before="100" w:after="0"/>
            <w:ind w:left="820" w:right="0" w:hanging="500"/>
            <w:jc w:val="left"/>
          </w:pPr>
          <w:hyperlink w:history="true" w:anchor="_TOC_250001">
            <w:r>
              <w:rPr/>
              <w:t>Financial</w:t>
            </w:r>
            <w:r>
              <w:rPr>
                <w:spacing w:val="-5"/>
              </w:rPr>
              <w:t> </w:t>
            </w:r>
            <w:r>
              <w:rPr/>
              <w:t>performance</w:t>
            </w:r>
            <w:r>
              <w:rPr>
                <w:spacing w:val="-5"/>
              </w:rPr>
              <w:t> </w:t>
            </w:r>
            <w:r>
              <w:rPr>
                <w:spacing w:val="-2"/>
              </w:rPr>
              <w:t>indicators</w:t>
            </w:r>
            <w:r>
              <w:rPr>
                <w:rFonts w:ascii="Times New Roman"/>
              </w:rPr>
              <w:tab/>
            </w:r>
            <w:r>
              <w:rPr>
                <w:spacing w:val="-5"/>
              </w:rPr>
              <w:t>80</w:t>
            </w:r>
          </w:hyperlink>
        </w:p>
        <w:p>
          <w:pPr>
            <w:pStyle w:val="TOC2"/>
            <w:numPr>
              <w:ilvl w:val="0"/>
              <w:numId w:val="1"/>
            </w:numPr>
            <w:tabs>
              <w:tab w:pos="819" w:val="left" w:leader="none"/>
              <w:tab w:pos="820" w:val="left" w:leader="none"/>
              <w:tab w:pos="10557" w:val="right" w:leader="dot"/>
            </w:tabs>
            <w:spacing w:line="240" w:lineRule="auto" w:before="100" w:after="0"/>
            <w:ind w:left="820" w:right="0" w:hanging="500"/>
            <w:jc w:val="left"/>
          </w:pPr>
          <w:hyperlink w:history="true" w:anchor="_TOC_250000">
            <w:r>
              <w:rPr/>
              <w:t>Schedule</w:t>
            </w:r>
            <w:r>
              <w:rPr>
                <w:spacing w:val="-5"/>
              </w:rPr>
              <w:t> </w:t>
            </w:r>
            <w:r>
              <w:rPr/>
              <w:t>of</w:t>
            </w:r>
            <w:r>
              <w:rPr>
                <w:spacing w:val="-1"/>
              </w:rPr>
              <w:t> </w:t>
            </w:r>
            <w:r>
              <w:rPr/>
              <w:t>Fees</w:t>
            </w:r>
            <w:r>
              <w:rPr>
                <w:spacing w:val="-2"/>
              </w:rPr>
              <w:t> </w:t>
            </w:r>
            <w:r>
              <w:rPr/>
              <w:t>and</w:t>
            </w:r>
            <w:r>
              <w:rPr>
                <w:spacing w:val="-4"/>
              </w:rPr>
              <w:t> </w:t>
            </w:r>
            <w:r>
              <w:rPr>
                <w:spacing w:val="-2"/>
              </w:rPr>
              <w:t>Charges</w:t>
            </w:r>
            <w:r>
              <w:rPr>
                <w:rFonts w:ascii="Times New Roman"/>
              </w:rPr>
              <w:tab/>
            </w:r>
            <w:r>
              <w:rPr>
                <w:spacing w:val="-5"/>
              </w:rPr>
              <w:t>85</w:t>
            </w:r>
          </w:hyperlink>
        </w:p>
      </w:sdtContent>
    </w:sdt>
    <w:p>
      <w:pPr>
        <w:spacing w:before="861"/>
        <w:ind w:left="1943" w:right="0" w:hanging="1844"/>
        <w:jc w:val="left"/>
        <w:rPr>
          <w:i/>
          <w:sz w:val="20"/>
        </w:rPr>
      </w:pPr>
      <w:r>
        <w:rPr>
          <w:sz w:val="22"/>
        </w:rPr>
        <w:t>Front</w:t>
      </w:r>
      <w:r>
        <w:rPr>
          <w:spacing w:val="-2"/>
          <w:sz w:val="22"/>
        </w:rPr>
        <w:t> </w:t>
      </w:r>
      <w:r>
        <w:rPr>
          <w:sz w:val="22"/>
        </w:rPr>
        <w:t>page</w:t>
      </w:r>
      <w:r>
        <w:rPr>
          <w:spacing w:val="-2"/>
          <w:sz w:val="22"/>
        </w:rPr>
        <w:t> </w:t>
      </w:r>
      <w:r>
        <w:rPr>
          <w:sz w:val="22"/>
        </w:rPr>
        <w:t>image:</w:t>
      </w:r>
      <w:r>
        <w:rPr>
          <w:spacing w:val="-2"/>
          <w:sz w:val="22"/>
        </w:rPr>
        <w:t> </w:t>
      </w:r>
      <w:r>
        <w:rPr>
          <w:i/>
          <w:sz w:val="20"/>
        </w:rPr>
        <w:t>Children</w:t>
      </w:r>
      <w:r>
        <w:rPr>
          <w:i/>
          <w:spacing w:val="-3"/>
          <w:sz w:val="20"/>
        </w:rPr>
        <w:t> </w:t>
      </w:r>
      <w:r>
        <w:rPr>
          <w:i/>
          <w:sz w:val="20"/>
        </w:rPr>
        <w:t>enjoy one</w:t>
      </w:r>
      <w:r>
        <w:rPr>
          <w:i/>
          <w:spacing w:val="-2"/>
          <w:sz w:val="20"/>
        </w:rPr>
        <w:t> </w:t>
      </w:r>
      <w:r>
        <w:rPr>
          <w:i/>
          <w:sz w:val="20"/>
        </w:rPr>
        <w:t>of</w:t>
      </w:r>
      <w:r>
        <w:rPr>
          <w:i/>
          <w:spacing w:val="-3"/>
          <w:sz w:val="20"/>
        </w:rPr>
        <w:t> </w:t>
      </w:r>
      <w:r>
        <w:rPr>
          <w:i/>
          <w:sz w:val="20"/>
        </w:rPr>
        <w:t>the</w:t>
      </w:r>
      <w:r>
        <w:rPr>
          <w:i/>
          <w:spacing w:val="-3"/>
          <w:sz w:val="20"/>
        </w:rPr>
        <w:t> </w:t>
      </w:r>
      <w:r>
        <w:rPr>
          <w:i/>
          <w:sz w:val="20"/>
        </w:rPr>
        <w:t>activities</w:t>
      </w:r>
      <w:r>
        <w:rPr>
          <w:i/>
          <w:spacing w:val="-3"/>
          <w:sz w:val="20"/>
        </w:rPr>
        <w:t> </w:t>
      </w:r>
      <w:r>
        <w:rPr>
          <w:i/>
          <w:sz w:val="20"/>
        </w:rPr>
        <w:t>at</w:t>
      </w:r>
      <w:r>
        <w:rPr>
          <w:i/>
          <w:spacing w:val="-3"/>
          <w:sz w:val="20"/>
        </w:rPr>
        <w:t> </w:t>
      </w:r>
      <w:r>
        <w:rPr>
          <w:i/>
          <w:sz w:val="20"/>
        </w:rPr>
        <w:t>the Celebrate</w:t>
      </w:r>
      <w:r>
        <w:rPr>
          <w:i/>
          <w:spacing w:val="-3"/>
          <w:sz w:val="20"/>
        </w:rPr>
        <w:t> </w:t>
      </w:r>
      <w:r>
        <w:rPr>
          <w:i/>
          <w:sz w:val="20"/>
        </w:rPr>
        <w:t>Maroondah</w:t>
      </w:r>
      <w:r>
        <w:rPr>
          <w:i/>
          <w:spacing w:val="-3"/>
          <w:sz w:val="20"/>
        </w:rPr>
        <w:t> </w:t>
      </w:r>
      <w:r>
        <w:rPr>
          <w:i/>
          <w:sz w:val="20"/>
        </w:rPr>
        <w:t>event</w:t>
      </w:r>
      <w:r>
        <w:rPr>
          <w:i/>
          <w:spacing w:val="-3"/>
          <w:sz w:val="20"/>
        </w:rPr>
        <w:t> </w:t>
      </w:r>
      <w:r>
        <w:rPr>
          <w:i/>
          <w:sz w:val="20"/>
        </w:rPr>
        <w:t>‘Music in</w:t>
      </w:r>
      <w:r>
        <w:rPr>
          <w:i/>
          <w:spacing w:val="-3"/>
          <w:sz w:val="20"/>
        </w:rPr>
        <w:t> </w:t>
      </w:r>
      <w:r>
        <w:rPr>
          <w:i/>
          <w:sz w:val="20"/>
        </w:rPr>
        <w:t>the</w:t>
      </w:r>
      <w:r>
        <w:rPr>
          <w:i/>
          <w:spacing w:val="-2"/>
          <w:sz w:val="20"/>
        </w:rPr>
        <w:t> </w:t>
      </w:r>
      <w:r>
        <w:rPr>
          <w:i/>
          <w:sz w:val="20"/>
        </w:rPr>
        <w:t>Park’</w:t>
      </w:r>
      <w:r>
        <w:rPr>
          <w:i/>
          <w:spacing w:val="-3"/>
          <w:sz w:val="20"/>
        </w:rPr>
        <w:t> </w:t>
      </w:r>
      <w:r>
        <w:rPr>
          <w:i/>
          <w:sz w:val="20"/>
        </w:rPr>
        <w:t>at</w:t>
      </w:r>
      <w:r>
        <w:rPr>
          <w:i/>
          <w:sz w:val="20"/>
        </w:rPr>
        <w:t> Ringwood Lake in February 2024.</w:t>
      </w:r>
    </w:p>
    <w:p>
      <w:pPr>
        <w:spacing w:after="0"/>
        <w:jc w:val="left"/>
        <w:rPr>
          <w:sz w:val="20"/>
        </w:rPr>
        <w:sectPr>
          <w:footerReference w:type="default" r:id="rId6"/>
          <w:pgSz w:w="11910" w:h="16840"/>
          <w:pgMar w:footer="381" w:header="0" w:top="1120" w:bottom="580" w:left="620" w:right="600"/>
          <w:pgNumType w:start="2"/>
        </w:sectPr>
      </w:pPr>
    </w:p>
    <w:p>
      <w:pPr>
        <w:pStyle w:val="Heading1"/>
        <w:jc w:val="both"/>
      </w:pPr>
      <w:bookmarkStart w:name="_TOC_250031" w:id="1"/>
      <w:r>
        <w:rPr>
          <w:color w:val="232852"/>
        </w:rPr>
        <w:t>Mayor</w:t>
      </w:r>
      <w:r>
        <w:rPr>
          <w:color w:val="232852"/>
          <w:spacing w:val="-10"/>
        </w:rPr>
        <w:t> </w:t>
      </w:r>
      <w:r>
        <w:rPr>
          <w:color w:val="232852"/>
        </w:rPr>
        <w:t>and</w:t>
      </w:r>
      <w:r>
        <w:rPr>
          <w:color w:val="232852"/>
          <w:spacing w:val="-9"/>
        </w:rPr>
        <w:t> </w:t>
      </w:r>
      <w:r>
        <w:rPr>
          <w:color w:val="232852"/>
        </w:rPr>
        <w:t>Chief</w:t>
      </w:r>
      <w:r>
        <w:rPr>
          <w:color w:val="232852"/>
          <w:spacing w:val="-11"/>
        </w:rPr>
        <w:t> </w:t>
      </w:r>
      <w:r>
        <w:rPr>
          <w:color w:val="232852"/>
        </w:rPr>
        <w:t>Executive</w:t>
      </w:r>
      <w:r>
        <w:rPr>
          <w:color w:val="232852"/>
          <w:spacing w:val="-6"/>
        </w:rPr>
        <w:t> </w:t>
      </w:r>
      <w:r>
        <w:rPr>
          <w:color w:val="232852"/>
        </w:rPr>
        <w:t>Officer</w:t>
      </w:r>
      <w:r>
        <w:rPr>
          <w:color w:val="232852"/>
          <w:spacing w:val="-6"/>
        </w:rPr>
        <w:t> </w:t>
      </w:r>
      <w:bookmarkEnd w:id="1"/>
      <w:r>
        <w:rPr>
          <w:color w:val="232852"/>
          <w:spacing w:val="-2"/>
        </w:rPr>
        <w:t>Introduction</w:t>
      </w:r>
    </w:p>
    <w:p>
      <w:pPr>
        <w:pStyle w:val="BodyText"/>
        <w:spacing w:before="6"/>
        <w:rPr>
          <w:b/>
          <w:sz w:val="9"/>
        </w:rPr>
      </w:pPr>
      <w:r>
        <w:rPr/>
        <w:drawing>
          <wp:anchor distT="0" distB="0" distL="0" distR="0" allowOverlap="1" layoutInCell="1" locked="0" behindDoc="0" simplePos="0" relativeHeight="1">
            <wp:simplePos x="0" y="0"/>
            <wp:positionH relativeFrom="page">
              <wp:posOffset>457200</wp:posOffset>
            </wp:positionH>
            <wp:positionV relativeFrom="paragraph">
              <wp:posOffset>85236</wp:posOffset>
            </wp:positionV>
            <wp:extent cx="3122363" cy="2143125"/>
            <wp:effectExtent l="0" t="0" r="0" b="0"/>
            <wp:wrapTopAndBottom/>
            <wp:docPr id="1" name="image2.jpeg"/>
            <wp:cNvGraphicFramePr>
              <a:graphicFrameLocks noChangeAspect="1"/>
            </wp:cNvGraphicFramePr>
            <a:graphic>
              <a:graphicData uri="http://schemas.openxmlformats.org/drawingml/2006/picture">
                <pic:pic>
                  <pic:nvPicPr>
                    <pic:cNvPr id="2" name="image2.jpeg"/>
                    <pic:cNvPicPr/>
                  </pic:nvPicPr>
                  <pic:blipFill>
                    <a:blip r:embed="rId7" cstate="print"/>
                    <a:stretch>
                      <a:fillRect/>
                    </a:stretch>
                  </pic:blipFill>
                  <pic:spPr>
                    <a:xfrm>
                      <a:off x="0" y="0"/>
                      <a:ext cx="3122363" cy="2143125"/>
                    </a:xfrm>
                    <a:prstGeom prst="rect">
                      <a:avLst/>
                    </a:prstGeom>
                  </pic:spPr>
                </pic:pic>
              </a:graphicData>
            </a:graphic>
          </wp:anchor>
        </w:drawing>
      </w:r>
    </w:p>
    <w:p>
      <w:pPr>
        <w:spacing w:before="93"/>
        <w:ind w:left="100" w:right="115" w:firstLine="0"/>
        <w:jc w:val="both"/>
        <w:rPr>
          <w:sz w:val="22"/>
        </w:rPr>
      </w:pPr>
      <w:r>
        <w:rPr>
          <w:sz w:val="22"/>
        </w:rPr>
        <w:t>On behalf of Maroondah City Council, we are pleased to present the </w:t>
      </w:r>
      <w:r>
        <w:rPr>
          <w:i/>
          <w:sz w:val="22"/>
        </w:rPr>
        <w:t>2025/26 Budget </w:t>
      </w:r>
      <w:r>
        <w:rPr>
          <w:sz w:val="22"/>
        </w:rPr>
        <w:t>to the Maroondah community. It aligns with the new four-year </w:t>
      </w:r>
      <w:r>
        <w:rPr>
          <w:i/>
          <w:sz w:val="22"/>
        </w:rPr>
        <w:t>Council Plan 2025-2029 </w:t>
      </w:r>
      <w:r>
        <w:rPr>
          <w:sz w:val="22"/>
        </w:rPr>
        <w:t>and the community vision </w:t>
      </w:r>
      <w:r>
        <w:rPr>
          <w:i/>
          <w:sz w:val="22"/>
        </w:rPr>
        <w:t>Maroondah</w:t>
      </w:r>
      <w:r>
        <w:rPr>
          <w:i/>
          <w:sz w:val="22"/>
        </w:rPr>
        <w:t> 2050: Our future together</w:t>
      </w:r>
      <w:r>
        <w:rPr>
          <w:sz w:val="22"/>
        </w:rPr>
        <w:t>, to deliver on our community’s aspirations.</w:t>
      </w:r>
    </w:p>
    <w:p>
      <w:pPr>
        <w:pStyle w:val="BodyText"/>
      </w:pPr>
    </w:p>
    <w:p>
      <w:pPr>
        <w:pStyle w:val="BodyText"/>
        <w:spacing w:before="1"/>
        <w:ind w:left="100" w:right="114"/>
        <w:jc w:val="both"/>
      </w:pPr>
      <w:r>
        <w:rPr/>
        <w:t>In preparing the </w:t>
      </w:r>
      <w:r>
        <w:rPr>
          <w:i/>
        </w:rPr>
        <w:t>2025/26 Budget</w:t>
      </w:r>
      <w:r>
        <w:rPr/>
        <w:t>, Council has taken into consideration the current cost of living pressures experienced</w:t>
      </w:r>
      <w:r>
        <w:rPr>
          <w:spacing w:val="-1"/>
        </w:rPr>
        <w:t> </w:t>
      </w:r>
      <w:r>
        <w:rPr/>
        <w:t>by</w:t>
      </w:r>
      <w:r>
        <w:rPr>
          <w:spacing w:val="-4"/>
        </w:rPr>
        <w:t> </w:t>
      </w:r>
      <w:r>
        <w:rPr/>
        <w:t>our</w:t>
      </w:r>
      <w:r>
        <w:rPr>
          <w:spacing w:val="-2"/>
        </w:rPr>
        <w:t> </w:t>
      </w:r>
      <w:r>
        <w:rPr/>
        <w:t>community,</w:t>
      </w:r>
      <w:r>
        <w:rPr>
          <w:spacing w:val="-7"/>
        </w:rPr>
        <w:t> </w:t>
      </w:r>
      <w:r>
        <w:rPr/>
        <w:t>whilst maintaining</w:t>
      </w:r>
      <w:r>
        <w:rPr>
          <w:spacing w:val="-2"/>
        </w:rPr>
        <w:t> </w:t>
      </w:r>
      <w:r>
        <w:rPr/>
        <w:t>a strong</w:t>
      </w:r>
      <w:r>
        <w:rPr>
          <w:spacing w:val="-4"/>
        </w:rPr>
        <w:t> </w:t>
      </w:r>
      <w:r>
        <w:rPr/>
        <w:t>foundation</w:t>
      </w:r>
      <w:r>
        <w:rPr>
          <w:spacing w:val="-2"/>
        </w:rPr>
        <w:t> </w:t>
      </w:r>
      <w:r>
        <w:rPr/>
        <w:t>for</w:t>
      </w:r>
      <w:r>
        <w:rPr>
          <w:spacing w:val="-2"/>
        </w:rPr>
        <w:t> </w:t>
      </w:r>
      <w:r>
        <w:rPr/>
        <w:t>the</w:t>
      </w:r>
      <w:r>
        <w:rPr>
          <w:spacing w:val="-2"/>
        </w:rPr>
        <w:t> </w:t>
      </w:r>
      <w:r>
        <w:rPr/>
        <w:t>delivery</w:t>
      </w:r>
      <w:r>
        <w:rPr>
          <w:spacing w:val="-4"/>
        </w:rPr>
        <w:t> </w:t>
      </w:r>
      <w:r>
        <w:rPr/>
        <w:t>of essential</w:t>
      </w:r>
      <w:r>
        <w:rPr>
          <w:spacing w:val="-4"/>
        </w:rPr>
        <w:t> </w:t>
      </w:r>
      <w:r>
        <w:rPr/>
        <w:t>programs and</w:t>
      </w:r>
      <w:r>
        <w:rPr>
          <w:spacing w:val="-6"/>
        </w:rPr>
        <w:t> </w:t>
      </w:r>
      <w:r>
        <w:rPr/>
        <w:t>services</w:t>
      </w:r>
      <w:r>
        <w:rPr>
          <w:spacing w:val="-6"/>
        </w:rPr>
        <w:t> </w:t>
      </w:r>
      <w:r>
        <w:rPr/>
        <w:t>and</w:t>
      </w:r>
      <w:r>
        <w:rPr>
          <w:spacing w:val="-10"/>
        </w:rPr>
        <w:t> </w:t>
      </w:r>
      <w:r>
        <w:rPr/>
        <w:t>the</w:t>
      </w:r>
      <w:r>
        <w:rPr>
          <w:spacing w:val="-8"/>
        </w:rPr>
        <w:t> </w:t>
      </w:r>
      <w:r>
        <w:rPr/>
        <w:t>delivery</w:t>
      </w:r>
      <w:r>
        <w:rPr>
          <w:spacing w:val="-6"/>
        </w:rPr>
        <w:t> </w:t>
      </w:r>
      <w:r>
        <w:rPr/>
        <w:t>of</w:t>
      </w:r>
      <w:r>
        <w:rPr>
          <w:spacing w:val="-6"/>
        </w:rPr>
        <w:t> </w:t>
      </w:r>
      <w:r>
        <w:rPr/>
        <w:t>important</w:t>
      </w:r>
      <w:r>
        <w:rPr>
          <w:spacing w:val="-6"/>
        </w:rPr>
        <w:t> </w:t>
      </w:r>
      <w:r>
        <w:rPr/>
        <w:t>capital</w:t>
      </w:r>
      <w:r>
        <w:rPr>
          <w:spacing w:val="-8"/>
        </w:rPr>
        <w:t> </w:t>
      </w:r>
      <w:r>
        <w:rPr/>
        <w:t>projects.</w:t>
      </w:r>
      <w:r>
        <w:rPr>
          <w:spacing w:val="-4"/>
        </w:rPr>
        <w:t> </w:t>
      </w:r>
      <w:r>
        <w:rPr/>
        <w:t>This</w:t>
      </w:r>
      <w:r>
        <w:rPr>
          <w:spacing w:val="-11"/>
        </w:rPr>
        <w:t> </w:t>
      </w:r>
      <w:r>
        <w:rPr/>
        <w:t>includes</w:t>
      </w:r>
      <w:r>
        <w:rPr>
          <w:spacing w:val="-6"/>
        </w:rPr>
        <w:t> </w:t>
      </w:r>
      <w:r>
        <w:rPr/>
        <w:t>a</w:t>
      </w:r>
      <w:r>
        <w:rPr>
          <w:spacing w:val="-12"/>
        </w:rPr>
        <w:t> </w:t>
      </w:r>
      <w:r>
        <w:rPr/>
        <w:t>review</w:t>
      </w:r>
      <w:r>
        <w:rPr>
          <w:spacing w:val="-6"/>
        </w:rPr>
        <w:t> </w:t>
      </w:r>
      <w:r>
        <w:rPr/>
        <w:t>of</w:t>
      </w:r>
      <w:r>
        <w:rPr>
          <w:spacing w:val="-8"/>
        </w:rPr>
        <w:t> </w:t>
      </w:r>
      <w:r>
        <w:rPr/>
        <w:t>income</w:t>
      </w:r>
      <w:r>
        <w:rPr>
          <w:spacing w:val="-10"/>
        </w:rPr>
        <w:t> </w:t>
      </w:r>
      <w:r>
        <w:rPr/>
        <w:t>and</w:t>
      </w:r>
      <w:r>
        <w:rPr>
          <w:spacing w:val="-8"/>
        </w:rPr>
        <w:t> </w:t>
      </w:r>
      <w:r>
        <w:rPr/>
        <w:t>capital</w:t>
      </w:r>
      <w:r>
        <w:rPr>
          <w:spacing w:val="-6"/>
        </w:rPr>
        <w:t> </w:t>
      </w:r>
      <w:r>
        <w:rPr/>
        <w:t>work projects, ensuring a sustainable outcome for the year ahead and for the 10-year Long Term Financial Strategy (LTFS).</w:t>
      </w:r>
    </w:p>
    <w:p>
      <w:pPr>
        <w:pStyle w:val="BodyText"/>
        <w:spacing w:before="10"/>
        <w:rPr>
          <w:sz w:val="21"/>
        </w:rPr>
      </w:pPr>
    </w:p>
    <w:p>
      <w:pPr>
        <w:pStyle w:val="BodyText"/>
        <w:ind w:left="100" w:right="112"/>
        <w:jc w:val="both"/>
      </w:pPr>
      <w:r>
        <w:rPr/>
        <w:t>The LTFS outlines Council’s projected financial position for the next 10 years and provides a guide to the community, Council, and management to assist with decision-making about the future directions and operations of Council.</w:t>
      </w:r>
      <w:r>
        <w:rPr>
          <w:spacing w:val="40"/>
        </w:rPr>
        <w:t> </w:t>
      </w:r>
      <w:r>
        <w:rPr/>
        <w:t>The LTFS demonstrates our long-term financial sustainability and ensures we can continue</w:t>
      </w:r>
      <w:r>
        <w:rPr>
          <w:spacing w:val="-7"/>
        </w:rPr>
        <w:t> </w:t>
      </w:r>
      <w:r>
        <w:rPr/>
        <w:t>to</w:t>
      </w:r>
      <w:r>
        <w:rPr>
          <w:spacing w:val="-7"/>
        </w:rPr>
        <w:t> </w:t>
      </w:r>
      <w:r>
        <w:rPr/>
        <w:t>invest</w:t>
      </w:r>
      <w:r>
        <w:rPr>
          <w:spacing w:val="-5"/>
        </w:rPr>
        <w:t> </w:t>
      </w:r>
      <w:r>
        <w:rPr/>
        <w:t>in</w:t>
      </w:r>
      <w:r>
        <w:rPr>
          <w:spacing w:val="-7"/>
        </w:rPr>
        <w:t> </w:t>
      </w:r>
      <w:r>
        <w:rPr/>
        <w:t>community</w:t>
      </w:r>
      <w:r>
        <w:rPr>
          <w:spacing w:val="-7"/>
        </w:rPr>
        <w:t> </w:t>
      </w:r>
      <w:r>
        <w:rPr/>
        <w:t>facilities</w:t>
      </w:r>
      <w:r>
        <w:rPr>
          <w:spacing w:val="-5"/>
        </w:rPr>
        <w:t> </w:t>
      </w:r>
      <w:r>
        <w:rPr/>
        <w:t>and</w:t>
      </w:r>
      <w:r>
        <w:rPr>
          <w:spacing w:val="-4"/>
        </w:rPr>
        <w:t> </w:t>
      </w:r>
      <w:r>
        <w:rPr/>
        <w:t>services</w:t>
      </w:r>
      <w:r>
        <w:rPr>
          <w:spacing w:val="-5"/>
        </w:rPr>
        <w:t> </w:t>
      </w:r>
      <w:r>
        <w:rPr/>
        <w:t>while</w:t>
      </w:r>
      <w:r>
        <w:rPr>
          <w:spacing w:val="-7"/>
        </w:rPr>
        <w:t> </w:t>
      </w:r>
      <w:r>
        <w:rPr/>
        <w:t>operating</w:t>
      </w:r>
      <w:r>
        <w:rPr>
          <w:spacing w:val="-5"/>
        </w:rPr>
        <w:t> </w:t>
      </w:r>
      <w:r>
        <w:rPr/>
        <w:t>in</w:t>
      </w:r>
      <w:r>
        <w:rPr>
          <w:spacing w:val="-7"/>
        </w:rPr>
        <w:t> </w:t>
      </w:r>
      <w:r>
        <w:rPr/>
        <w:t>a</w:t>
      </w:r>
      <w:r>
        <w:rPr>
          <w:spacing w:val="-7"/>
        </w:rPr>
        <w:t> </w:t>
      </w:r>
      <w:r>
        <w:rPr/>
        <w:t>rate</w:t>
      </w:r>
      <w:r>
        <w:rPr>
          <w:spacing w:val="-5"/>
        </w:rPr>
        <w:t> </w:t>
      </w:r>
      <w:r>
        <w:rPr/>
        <w:t>cap</w:t>
      </w:r>
      <w:r>
        <w:rPr>
          <w:spacing w:val="-5"/>
        </w:rPr>
        <w:t> </w:t>
      </w:r>
      <w:r>
        <w:rPr/>
        <w:t>environment</w:t>
      </w:r>
      <w:r>
        <w:rPr>
          <w:spacing w:val="-3"/>
        </w:rPr>
        <w:t> </w:t>
      </w:r>
      <w:r>
        <w:rPr/>
        <w:t>as</w:t>
      </w:r>
      <w:r>
        <w:rPr>
          <w:spacing w:val="-7"/>
        </w:rPr>
        <w:t> </w:t>
      </w:r>
      <w:r>
        <w:rPr/>
        <w:t>set</w:t>
      </w:r>
      <w:r>
        <w:rPr>
          <w:spacing w:val="-5"/>
        </w:rPr>
        <w:t> </w:t>
      </w:r>
      <w:r>
        <w:rPr/>
        <w:t>out</w:t>
      </w:r>
      <w:r>
        <w:rPr>
          <w:spacing w:val="-7"/>
        </w:rPr>
        <w:t> </w:t>
      </w:r>
      <w:r>
        <w:rPr/>
        <w:t>in the Local Government (Fair Go Rates) Act 2015.</w:t>
      </w:r>
    </w:p>
    <w:p>
      <w:pPr>
        <w:pStyle w:val="BodyText"/>
        <w:spacing w:before="1"/>
      </w:pPr>
    </w:p>
    <w:p>
      <w:pPr>
        <w:pStyle w:val="BodyText"/>
        <w:ind w:left="100" w:right="114"/>
        <w:jc w:val="both"/>
      </w:pPr>
      <w:r>
        <w:rPr/>
        <w:t>Council is working towards the community vision, as outlined in the </w:t>
      </w:r>
      <w:r>
        <w:rPr>
          <w:i/>
        </w:rPr>
        <w:t>Maroondah 2050 - Our future together.</w:t>
      </w:r>
      <w:r>
        <w:rPr>
          <w:i/>
        </w:rPr>
        <w:t> </w:t>
      </w:r>
      <w:r>
        <w:rPr/>
        <w:t>The</w:t>
      </w:r>
      <w:r>
        <w:rPr>
          <w:spacing w:val="-16"/>
        </w:rPr>
        <w:t> </w:t>
      </w:r>
      <w:r>
        <w:rPr/>
        <w:t>Vision</w:t>
      </w:r>
      <w:r>
        <w:rPr>
          <w:spacing w:val="-15"/>
        </w:rPr>
        <w:t> </w:t>
      </w:r>
      <w:r>
        <w:rPr/>
        <w:t>was</w:t>
      </w:r>
      <w:r>
        <w:rPr>
          <w:spacing w:val="-15"/>
        </w:rPr>
        <w:t> </w:t>
      </w:r>
      <w:r>
        <w:rPr/>
        <w:t>developed</w:t>
      </w:r>
      <w:r>
        <w:rPr>
          <w:spacing w:val="-16"/>
        </w:rPr>
        <w:t> </w:t>
      </w:r>
      <w:r>
        <w:rPr/>
        <w:t>with</w:t>
      </w:r>
      <w:r>
        <w:rPr>
          <w:spacing w:val="-15"/>
        </w:rPr>
        <w:t> </w:t>
      </w:r>
      <w:r>
        <w:rPr/>
        <w:t>extensive</w:t>
      </w:r>
      <w:r>
        <w:rPr>
          <w:spacing w:val="-15"/>
        </w:rPr>
        <w:t> </w:t>
      </w:r>
      <w:r>
        <w:rPr/>
        <w:t>community</w:t>
      </w:r>
      <w:r>
        <w:rPr>
          <w:spacing w:val="-15"/>
        </w:rPr>
        <w:t> </w:t>
      </w:r>
      <w:r>
        <w:rPr/>
        <w:t>consultation</w:t>
      </w:r>
      <w:r>
        <w:rPr>
          <w:spacing w:val="-16"/>
        </w:rPr>
        <w:t> </w:t>
      </w:r>
      <w:r>
        <w:rPr/>
        <w:t>and</w:t>
      </w:r>
      <w:r>
        <w:rPr>
          <w:spacing w:val="-15"/>
        </w:rPr>
        <w:t> </w:t>
      </w:r>
      <w:r>
        <w:rPr/>
        <w:t>provides</w:t>
      </w:r>
      <w:r>
        <w:rPr>
          <w:spacing w:val="-15"/>
        </w:rPr>
        <w:t> </w:t>
      </w:r>
      <w:r>
        <w:rPr/>
        <w:t>a</w:t>
      </w:r>
      <w:r>
        <w:rPr>
          <w:spacing w:val="-16"/>
        </w:rPr>
        <w:t> </w:t>
      </w:r>
      <w:r>
        <w:rPr/>
        <w:t>roadmap</w:t>
      </w:r>
      <w:r>
        <w:rPr>
          <w:spacing w:val="-15"/>
        </w:rPr>
        <w:t> </w:t>
      </w:r>
      <w:r>
        <w:rPr/>
        <w:t>for</w:t>
      </w:r>
      <w:r>
        <w:rPr>
          <w:spacing w:val="-15"/>
        </w:rPr>
        <w:t> </w:t>
      </w:r>
      <w:r>
        <w:rPr/>
        <w:t>the</w:t>
      </w:r>
      <w:r>
        <w:rPr>
          <w:spacing w:val="-15"/>
        </w:rPr>
        <w:t> </w:t>
      </w:r>
      <w:r>
        <w:rPr/>
        <w:t>community, Council, organisations, businesses, and other levels of government to partner and create a future that enhances Maroondah as a great place to live, work, play, and visit. The vision brings together over 9,800 responses from our diverse community; recommendations from the Maroondah Community Panel; and research</w:t>
      </w:r>
      <w:r>
        <w:rPr>
          <w:spacing w:val="-15"/>
        </w:rPr>
        <w:t> </w:t>
      </w:r>
      <w:r>
        <w:rPr/>
        <w:t>into</w:t>
      </w:r>
      <w:r>
        <w:rPr>
          <w:spacing w:val="-14"/>
        </w:rPr>
        <w:t> </w:t>
      </w:r>
      <w:r>
        <w:rPr/>
        <w:t>emerging</w:t>
      </w:r>
      <w:r>
        <w:rPr>
          <w:spacing w:val="-13"/>
        </w:rPr>
        <w:t> </w:t>
      </w:r>
      <w:r>
        <w:rPr/>
        <w:t>trends,</w:t>
      </w:r>
      <w:r>
        <w:rPr>
          <w:spacing w:val="-11"/>
        </w:rPr>
        <w:t> </w:t>
      </w:r>
      <w:r>
        <w:rPr/>
        <w:t>opportunities,</w:t>
      </w:r>
      <w:r>
        <w:rPr>
          <w:spacing w:val="-12"/>
        </w:rPr>
        <w:t> </w:t>
      </w:r>
      <w:r>
        <w:rPr/>
        <w:t>and</w:t>
      </w:r>
      <w:r>
        <w:rPr>
          <w:spacing w:val="-16"/>
        </w:rPr>
        <w:t> </w:t>
      </w:r>
      <w:r>
        <w:rPr/>
        <w:t>challenges</w:t>
      </w:r>
      <w:r>
        <w:rPr>
          <w:spacing w:val="-11"/>
        </w:rPr>
        <w:t> </w:t>
      </w:r>
      <w:r>
        <w:rPr/>
        <w:t>to</w:t>
      </w:r>
      <w:r>
        <w:rPr>
          <w:spacing w:val="-14"/>
        </w:rPr>
        <w:t> </w:t>
      </w:r>
      <w:r>
        <w:rPr/>
        <w:t>set</w:t>
      </w:r>
      <w:r>
        <w:rPr>
          <w:spacing w:val="-12"/>
        </w:rPr>
        <w:t> </w:t>
      </w:r>
      <w:r>
        <w:rPr/>
        <w:t>the</w:t>
      </w:r>
      <w:r>
        <w:rPr>
          <w:spacing w:val="-16"/>
        </w:rPr>
        <w:t> </w:t>
      </w:r>
      <w:r>
        <w:rPr/>
        <w:t>future</w:t>
      </w:r>
      <w:r>
        <w:rPr>
          <w:spacing w:val="-11"/>
        </w:rPr>
        <w:t> </w:t>
      </w:r>
      <w:r>
        <w:rPr/>
        <w:t>direction</w:t>
      </w:r>
      <w:r>
        <w:rPr>
          <w:spacing w:val="-12"/>
        </w:rPr>
        <w:t> </w:t>
      </w:r>
      <w:r>
        <w:rPr/>
        <w:t>for</w:t>
      </w:r>
      <w:r>
        <w:rPr>
          <w:spacing w:val="-15"/>
        </w:rPr>
        <w:t> </w:t>
      </w:r>
      <w:r>
        <w:rPr/>
        <w:t>Maroondah.</w:t>
      </w:r>
      <w:r>
        <w:rPr>
          <w:spacing w:val="-12"/>
        </w:rPr>
        <w:t> </w:t>
      </w:r>
      <w:r>
        <w:rPr/>
        <w:t>These community</w:t>
      </w:r>
      <w:r>
        <w:rPr>
          <w:spacing w:val="-6"/>
        </w:rPr>
        <w:t> </w:t>
      </w:r>
      <w:r>
        <w:rPr/>
        <w:t>aspirations</w:t>
      </w:r>
      <w:r>
        <w:rPr>
          <w:spacing w:val="-4"/>
        </w:rPr>
        <w:t> </w:t>
      </w:r>
      <w:r>
        <w:rPr/>
        <w:t>and</w:t>
      </w:r>
      <w:r>
        <w:rPr>
          <w:spacing w:val="-6"/>
        </w:rPr>
        <w:t> </w:t>
      </w:r>
      <w:r>
        <w:rPr/>
        <w:t>priorities</w:t>
      </w:r>
      <w:r>
        <w:rPr>
          <w:spacing w:val="-6"/>
        </w:rPr>
        <w:t> </w:t>
      </w:r>
      <w:r>
        <w:rPr/>
        <w:t>are</w:t>
      </w:r>
      <w:r>
        <w:rPr>
          <w:spacing w:val="-5"/>
        </w:rPr>
        <w:t> </w:t>
      </w:r>
      <w:r>
        <w:rPr/>
        <w:t>grouped</w:t>
      </w:r>
      <w:r>
        <w:rPr>
          <w:spacing w:val="-10"/>
        </w:rPr>
        <w:t> </w:t>
      </w:r>
      <w:r>
        <w:rPr/>
        <w:t>into</w:t>
      </w:r>
      <w:r>
        <w:rPr>
          <w:spacing w:val="-4"/>
        </w:rPr>
        <w:t> </w:t>
      </w:r>
      <w:r>
        <w:rPr/>
        <w:t>five</w:t>
      </w:r>
      <w:r>
        <w:rPr>
          <w:spacing w:val="-6"/>
        </w:rPr>
        <w:t> </w:t>
      </w:r>
      <w:r>
        <w:rPr/>
        <w:t>broad</w:t>
      </w:r>
      <w:r>
        <w:rPr>
          <w:spacing w:val="-6"/>
        </w:rPr>
        <w:t> </w:t>
      </w:r>
      <w:r>
        <w:rPr/>
        <w:t>outcome</w:t>
      </w:r>
      <w:r>
        <w:rPr>
          <w:spacing w:val="-10"/>
        </w:rPr>
        <w:t> </w:t>
      </w:r>
      <w:r>
        <w:rPr/>
        <w:t>areas</w:t>
      </w:r>
      <w:r>
        <w:rPr>
          <w:spacing w:val="-6"/>
        </w:rPr>
        <w:t> </w:t>
      </w:r>
      <w:r>
        <w:rPr/>
        <w:t>that</w:t>
      </w:r>
      <w:r>
        <w:rPr>
          <w:spacing w:val="-4"/>
        </w:rPr>
        <w:t> </w:t>
      </w:r>
      <w:r>
        <w:rPr/>
        <w:t>provide</w:t>
      </w:r>
      <w:r>
        <w:rPr>
          <w:spacing w:val="-6"/>
        </w:rPr>
        <w:t> </w:t>
      </w:r>
      <w:r>
        <w:rPr/>
        <w:t>the</w:t>
      </w:r>
      <w:r>
        <w:rPr>
          <w:spacing w:val="-8"/>
        </w:rPr>
        <w:t> </w:t>
      </w:r>
      <w:r>
        <w:rPr/>
        <w:t>structure</w:t>
      </w:r>
      <w:r>
        <w:rPr>
          <w:spacing w:val="-8"/>
        </w:rPr>
        <w:t> </w:t>
      </w:r>
      <w:r>
        <w:rPr/>
        <w:t>for the four-year </w:t>
      </w:r>
      <w:r>
        <w:rPr>
          <w:i/>
        </w:rPr>
        <w:t>Council Plan 2025-2029</w:t>
      </w:r>
      <w:r>
        <w:rPr/>
        <w:t>.</w:t>
      </w:r>
    </w:p>
    <w:p>
      <w:pPr>
        <w:pStyle w:val="BodyText"/>
        <w:spacing w:before="10"/>
        <w:rPr>
          <w:sz w:val="21"/>
        </w:rPr>
      </w:pPr>
    </w:p>
    <w:p>
      <w:pPr>
        <w:pStyle w:val="BodyText"/>
        <w:ind w:left="100" w:right="113"/>
        <w:jc w:val="both"/>
      </w:pPr>
      <w:r>
        <w:rPr/>
        <w:t>The Council Plan sets the key directions and priority actions for the medium term to work towards the aspirations of the Maroondah community, as we look ahead to the year 2050. The future outcome areas (Strategic Objectives) and priority actions (Major Initiatives) are outlined in the Council Plan.</w:t>
      </w:r>
    </w:p>
    <w:p>
      <w:pPr>
        <w:pStyle w:val="BodyText"/>
        <w:spacing w:before="1"/>
      </w:pPr>
    </w:p>
    <w:p>
      <w:pPr>
        <w:pStyle w:val="BodyText"/>
        <w:ind w:left="100" w:right="111"/>
        <w:jc w:val="both"/>
      </w:pPr>
      <w:r>
        <w:rPr/>
        <w:t>The </w:t>
      </w:r>
      <w:r>
        <w:rPr>
          <w:i/>
        </w:rPr>
        <w:t>2025/26 Budget </w:t>
      </w:r>
      <w:r>
        <w:rPr/>
        <w:t>is</w:t>
      </w:r>
      <w:r>
        <w:rPr>
          <w:spacing w:val="-1"/>
        </w:rPr>
        <w:t> </w:t>
      </w:r>
      <w:r>
        <w:rPr/>
        <w:t>closely</w:t>
      </w:r>
      <w:r>
        <w:rPr>
          <w:spacing w:val="-1"/>
        </w:rPr>
        <w:t> </w:t>
      </w:r>
      <w:r>
        <w:rPr/>
        <w:t>linked</w:t>
      </w:r>
      <w:r>
        <w:rPr>
          <w:spacing w:val="-1"/>
        </w:rPr>
        <w:t> </w:t>
      </w:r>
      <w:r>
        <w:rPr/>
        <w:t>to</w:t>
      </w:r>
      <w:r>
        <w:rPr>
          <w:spacing w:val="-3"/>
        </w:rPr>
        <w:t> </w:t>
      </w:r>
      <w:r>
        <w:rPr/>
        <w:t>the</w:t>
      </w:r>
      <w:r>
        <w:rPr>
          <w:spacing w:val="-3"/>
        </w:rPr>
        <w:t> </w:t>
      </w:r>
      <w:r>
        <w:rPr/>
        <w:t>achievement</w:t>
      </w:r>
      <w:r>
        <w:rPr>
          <w:spacing w:val="-3"/>
        </w:rPr>
        <w:t> </w:t>
      </w:r>
      <w:r>
        <w:rPr/>
        <w:t>of</w:t>
      </w:r>
      <w:r>
        <w:rPr>
          <w:spacing w:val="-1"/>
        </w:rPr>
        <w:t> </w:t>
      </w:r>
      <w:r>
        <w:rPr/>
        <w:t>the </w:t>
      </w:r>
      <w:r>
        <w:rPr>
          <w:i/>
        </w:rPr>
        <w:t>Council</w:t>
      </w:r>
      <w:r>
        <w:rPr>
          <w:i/>
          <w:spacing w:val="-1"/>
        </w:rPr>
        <w:t> </w:t>
      </w:r>
      <w:r>
        <w:rPr>
          <w:i/>
        </w:rPr>
        <w:t>Plan 2025-2029</w:t>
      </w:r>
      <w:r>
        <w:rPr>
          <w:i/>
          <w:spacing w:val="-2"/>
        </w:rPr>
        <w:t> </w:t>
      </w:r>
      <w:r>
        <w:rPr/>
        <w:t>as</w:t>
      </w:r>
      <w:r>
        <w:rPr>
          <w:spacing w:val="-3"/>
        </w:rPr>
        <w:t> </w:t>
      </w:r>
      <w:r>
        <w:rPr/>
        <w:t>part</w:t>
      </w:r>
      <w:r>
        <w:rPr>
          <w:spacing w:val="-1"/>
        </w:rPr>
        <w:t> </w:t>
      </w:r>
      <w:r>
        <w:rPr/>
        <w:t>of</w:t>
      </w:r>
      <w:r>
        <w:rPr>
          <w:spacing w:val="-1"/>
        </w:rPr>
        <w:t> </w:t>
      </w:r>
      <w:r>
        <w:rPr/>
        <w:t>Council’s integrated planning and reporting framework. The </w:t>
      </w:r>
      <w:r>
        <w:rPr>
          <w:i/>
        </w:rPr>
        <w:t>2025/26 Budget </w:t>
      </w:r>
      <w:r>
        <w:rPr/>
        <w:t>outlines the provision of financial resources for the next 12 months and details how these resources will be applied to meet the actions and initiatives detailed in the Council Plan, as well as delivering the more than 120 services and the extensive range of programs and activities that Council provides to the Maroondah community.</w:t>
      </w:r>
    </w:p>
    <w:p>
      <w:pPr>
        <w:pStyle w:val="BodyText"/>
        <w:spacing w:before="4"/>
      </w:pPr>
      <w:r>
        <w:rPr/>
        <w:drawing>
          <wp:anchor distT="0" distB="0" distL="0" distR="0" allowOverlap="1" layoutInCell="1" locked="0" behindDoc="0" simplePos="0" relativeHeight="2">
            <wp:simplePos x="0" y="0"/>
            <wp:positionH relativeFrom="page">
              <wp:posOffset>522940</wp:posOffset>
            </wp:positionH>
            <wp:positionV relativeFrom="paragraph">
              <wp:posOffset>223636</wp:posOffset>
            </wp:positionV>
            <wp:extent cx="817708" cy="458724"/>
            <wp:effectExtent l="0" t="0" r="0" b="0"/>
            <wp:wrapTopAndBottom/>
            <wp:docPr id="3" name="image3.jpeg"/>
            <wp:cNvGraphicFramePr>
              <a:graphicFrameLocks noChangeAspect="1"/>
            </wp:cNvGraphicFramePr>
            <a:graphic>
              <a:graphicData uri="http://schemas.openxmlformats.org/drawingml/2006/picture">
                <pic:pic>
                  <pic:nvPicPr>
                    <pic:cNvPr id="4" name="image3.jpeg"/>
                    <pic:cNvPicPr/>
                  </pic:nvPicPr>
                  <pic:blipFill>
                    <a:blip r:embed="rId8" cstate="print"/>
                    <a:stretch>
                      <a:fillRect/>
                    </a:stretch>
                  </pic:blipFill>
                  <pic:spPr>
                    <a:xfrm>
                      <a:off x="0" y="0"/>
                      <a:ext cx="817708" cy="458724"/>
                    </a:xfrm>
                    <a:prstGeom prst="rect">
                      <a:avLst/>
                    </a:prstGeom>
                  </pic:spPr>
                </pic:pic>
              </a:graphicData>
            </a:graphic>
          </wp:anchor>
        </w:drawing>
      </w:r>
      <w:r>
        <w:rPr/>
        <w:drawing>
          <wp:anchor distT="0" distB="0" distL="0" distR="0" allowOverlap="1" layoutInCell="1" locked="0" behindDoc="0" simplePos="0" relativeHeight="3">
            <wp:simplePos x="0" y="0"/>
            <wp:positionH relativeFrom="page">
              <wp:posOffset>4572000</wp:posOffset>
            </wp:positionH>
            <wp:positionV relativeFrom="paragraph">
              <wp:posOffset>178516</wp:posOffset>
            </wp:positionV>
            <wp:extent cx="1379903" cy="538162"/>
            <wp:effectExtent l="0" t="0" r="0" b="0"/>
            <wp:wrapTopAndBottom/>
            <wp:docPr id="5" name="image4.png"/>
            <wp:cNvGraphicFramePr>
              <a:graphicFrameLocks noChangeAspect="1"/>
            </wp:cNvGraphicFramePr>
            <a:graphic>
              <a:graphicData uri="http://schemas.openxmlformats.org/drawingml/2006/picture">
                <pic:pic>
                  <pic:nvPicPr>
                    <pic:cNvPr id="6" name="image4.png"/>
                    <pic:cNvPicPr/>
                  </pic:nvPicPr>
                  <pic:blipFill>
                    <a:blip r:embed="rId9" cstate="print"/>
                    <a:stretch>
                      <a:fillRect/>
                    </a:stretch>
                  </pic:blipFill>
                  <pic:spPr>
                    <a:xfrm>
                      <a:off x="0" y="0"/>
                      <a:ext cx="1379903" cy="538162"/>
                    </a:xfrm>
                    <a:prstGeom prst="rect">
                      <a:avLst/>
                    </a:prstGeom>
                  </pic:spPr>
                </pic:pic>
              </a:graphicData>
            </a:graphic>
          </wp:anchor>
        </w:drawing>
      </w:r>
    </w:p>
    <w:p>
      <w:pPr>
        <w:pStyle w:val="BodyText"/>
        <w:rPr>
          <w:sz w:val="24"/>
        </w:rPr>
      </w:pPr>
    </w:p>
    <w:p>
      <w:pPr>
        <w:pStyle w:val="BodyText"/>
        <w:spacing w:before="8"/>
        <w:rPr>
          <w:sz w:val="23"/>
        </w:rPr>
      </w:pPr>
    </w:p>
    <w:p>
      <w:pPr>
        <w:tabs>
          <w:tab w:pos="6641" w:val="left" w:leader="none"/>
        </w:tabs>
        <w:spacing w:before="1"/>
        <w:ind w:left="100" w:right="0" w:firstLine="0"/>
        <w:jc w:val="both"/>
        <w:rPr>
          <w:b/>
          <w:sz w:val="22"/>
        </w:rPr>
      </w:pPr>
      <w:r>
        <w:rPr>
          <w:b/>
          <w:sz w:val="22"/>
        </w:rPr>
        <w:t>Cr</w:t>
      </w:r>
      <w:r>
        <w:rPr>
          <w:b/>
          <w:spacing w:val="-2"/>
          <w:sz w:val="22"/>
        </w:rPr>
        <w:t> </w:t>
      </w:r>
      <w:r>
        <w:rPr>
          <w:b/>
          <w:sz w:val="22"/>
        </w:rPr>
        <w:t>Kylie</w:t>
      </w:r>
      <w:r>
        <w:rPr>
          <w:b/>
          <w:spacing w:val="-2"/>
          <w:sz w:val="22"/>
        </w:rPr>
        <w:t> Spears</w:t>
      </w:r>
      <w:r>
        <w:rPr>
          <w:b/>
          <w:sz w:val="22"/>
        </w:rPr>
        <w:tab/>
        <w:t>Mr</w:t>
      </w:r>
      <w:r>
        <w:rPr>
          <w:b/>
          <w:spacing w:val="-4"/>
          <w:sz w:val="22"/>
        </w:rPr>
        <w:t> </w:t>
      </w:r>
      <w:r>
        <w:rPr>
          <w:b/>
          <w:sz w:val="22"/>
        </w:rPr>
        <w:t>Steve</w:t>
      </w:r>
      <w:r>
        <w:rPr>
          <w:b/>
          <w:spacing w:val="-2"/>
          <w:sz w:val="22"/>
        </w:rPr>
        <w:t> Kozlowski</w:t>
      </w:r>
    </w:p>
    <w:p>
      <w:pPr>
        <w:tabs>
          <w:tab w:pos="6641" w:val="left" w:leader="none"/>
        </w:tabs>
        <w:spacing w:before="1"/>
        <w:ind w:left="100" w:right="0" w:firstLine="0"/>
        <w:jc w:val="both"/>
        <w:rPr>
          <w:b/>
          <w:sz w:val="22"/>
        </w:rPr>
      </w:pPr>
      <w:r>
        <w:rPr>
          <w:b/>
          <w:spacing w:val="-4"/>
          <w:sz w:val="22"/>
        </w:rPr>
        <w:t>Mayor</w:t>
      </w:r>
      <w:r>
        <w:rPr>
          <w:b/>
          <w:sz w:val="22"/>
        </w:rPr>
        <w:tab/>
        <w:t>Chief</w:t>
      </w:r>
      <w:r>
        <w:rPr>
          <w:b/>
          <w:spacing w:val="-6"/>
          <w:sz w:val="22"/>
        </w:rPr>
        <w:t> </w:t>
      </w:r>
      <w:r>
        <w:rPr>
          <w:b/>
          <w:sz w:val="22"/>
        </w:rPr>
        <w:t>Executive</w:t>
      </w:r>
      <w:r>
        <w:rPr>
          <w:b/>
          <w:spacing w:val="-4"/>
          <w:sz w:val="22"/>
        </w:rPr>
        <w:t> </w:t>
      </w:r>
      <w:r>
        <w:rPr>
          <w:b/>
          <w:spacing w:val="-2"/>
          <w:sz w:val="22"/>
        </w:rPr>
        <w:t>Officer</w:t>
      </w:r>
    </w:p>
    <w:p>
      <w:pPr>
        <w:spacing w:after="0"/>
        <w:jc w:val="both"/>
        <w:rPr>
          <w:sz w:val="22"/>
        </w:rPr>
        <w:sectPr>
          <w:pgSz w:w="11910" w:h="16840"/>
          <w:pgMar w:header="0" w:footer="381" w:top="640" w:bottom="580" w:left="620" w:right="600"/>
        </w:sectPr>
      </w:pPr>
    </w:p>
    <w:p>
      <w:pPr>
        <w:pStyle w:val="Heading1"/>
      </w:pPr>
      <w:bookmarkStart w:name="_TOC_250030" w:id="2"/>
      <w:r>
        <w:rPr>
          <w:color w:val="232852"/>
        </w:rPr>
        <w:t>Chief</w:t>
      </w:r>
      <w:r>
        <w:rPr>
          <w:color w:val="232852"/>
          <w:spacing w:val="-10"/>
        </w:rPr>
        <w:t> </w:t>
      </w:r>
      <w:r>
        <w:rPr>
          <w:color w:val="232852"/>
        </w:rPr>
        <w:t>Financial</w:t>
      </w:r>
      <w:r>
        <w:rPr>
          <w:color w:val="232852"/>
          <w:spacing w:val="-9"/>
        </w:rPr>
        <w:t> </w:t>
      </w:r>
      <w:r>
        <w:rPr>
          <w:color w:val="232852"/>
        </w:rPr>
        <w:t>Officer</w:t>
      </w:r>
      <w:r>
        <w:rPr>
          <w:color w:val="232852"/>
          <w:spacing w:val="-12"/>
        </w:rPr>
        <w:t> </w:t>
      </w:r>
      <w:r>
        <w:rPr>
          <w:color w:val="232852"/>
        </w:rPr>
        <w:t>Executive</w:t>
      </w:r>
      <w:r>
        <w:rPr>
          <w:color w:val="232852"/>
          <w:spacing w:val="-14"/>
        </w:rPr>
        <w:t> </w:t>
      </w:r>
      <w:bookmarkEnd w:id="2"/>
      <w:r>
        <w:rPr>
          <w:color w:val="232852"/>
          <w:spacing w:val="-2"/>
        </w:rPr>
        <w:t>Summary</w:t>
      </w:r>
    </w:p>
    <w:p>
      <w:pPr>
        <w:pStyle w:val="BodyText"/>
        <w:spacing w:before="7"/>
        <w:rPr>
          <w:b/>
          <w:sz w:val="30"/>
        </w:rPr>
      </w:pPr>
    </w:p>
    <w:p>
      <w:pPr>
        <w:pStyle w:val="BodyText"/>
        <w:ind w:left="100" w:right="189"/>
      </w:pPr>
      <w:r>
        <w:rPr/>
        <w:t>The 2025/26 budget is aligned to the vision outlined in the Council Plan 2025-2029. It seeks to maintain and improve services and infrastructure as well as deliver projects and services that are valued by our community</w:t>
      </w:r>
      <w:r>
        <w:rPr>
          <w:spacing w:val="-2"/>
        </w:rPr>
        <w:t> </w:t>
      </w:r>
      <w:r>
        <w:rPr/>
        <w:t>within</w:t>
      </w:r>
      <w:r>
        <w:rPr>
          <w:spacing w:val="-5"/>
        </w:rPr>
        <w:t> </w:t>
      </w:r>
      <w:r>
        <w:rPr/>
        <w:t>the</w:t>
      </w:r>
      <w:r>
        <w:rPr>
          <w:spacing w:val="-4"/>
        </w:rPr>
        <w:t> </w:t>
      </w:r>
      <w:r>
        <w:rPr/>
        <w:t>capped</w:t>
      </w:r>
      <w:r>
        <w:rPr>
          <w:spacing w:val="-2"/>
        </w:rPr>
        <w:t> </w:t>
      </w:r>
      <w:r>
        <w:rPr/>
        <w:t>rate</w:t>
      </w:r>
      <w:r>
        <w:rPr>
          <w:spacing w:val="-2"/>
        </w:rPr>
        <w:t> </w:t>
      </w:r>
      <w:r>
        <w:rPr/>
        <w:t>increase</w:t>
      </w:r>
      <w:r>
        <w:rPr>
          <w:spacing w:val="-5"/>
        </w:rPr>
        <w:t> </w:t>
      </w:r>
      <w:r>
        <w:rPr/>
        <w:t>mandated by</w:t>
      </w:r>
      <w:r>
        <w:rPr>
          <w:spacing w:val="-4"/>
        </w:rPr>
        <w:t> </w:t>
      </w:r>
      <w:r>
        <w:rPr/>
        <w:t>the</w:t>
      </w:r>
      <w:r>
        <w:rPr>
          <w:spacing w:val="-3"/>
        </w:rPr>
        <w:t> </w:t>
      </w:r>
      <w:r>
        <w:rPr/>
        <w:t>Victorian</w:t>
      </w:r>
      <w:r>
        <w:rPr>
          <w:spacing w:val="-4"/>
        </w:rPr>
        <w:t> </w:t>
      </w:r>
      <w:r>
        <w:rPr/>
        <w:t>Government.</w:t>
      </w:r>
      <w:r>
        <w:rPr>
          <w:spacing w:val="-1"/>
        </w:rPr>
        <w:t> </w:t>
      </w:r>
      <w:r>
        <w:rPr/>
        <w:t>This</w:t>
      </w:r>
      <w:r>
        <w:rPr>
          <w:spacing w:val="-2"/>
        </w:rPr>
        <w:t> </w:t>
      </w:r>
      <w:r>
        <w:rPr/>
        <w:t>Budget projects</w:t>
      </w:r>
      <w:r>
        <w:rPr>
          <w:spacing w:val="-2"/>
        </w:rPr>
        <w:t> </w:t>
      </w:r>
      <w:r>
        <w:rPr/>
        <w:t>a surplus of $17.61 million for 2025/26, however, it should be noted that the underlying result is a surplus of</w:t>
      </w:r>
    </w:p>
    <w:p>
      <w:pPr>
        <w:pStyle w:val="BodyText"/>
        <w:spacing w:line="251" w:lineRule="exact"/>
        <w:ind w:left="100"/>
      </w:pPr>
      <w:r>
        <w:rPr/>
        <w:t>$10.15</w:t>
      </w:r>
      <w:r>
        <w:rPr>
          <w:spacing w:val="-8"/>
        </w:rPr>
        <w:t> </w:t>
      </w:r>
      <w:r>
        <w:rPr/>
        <w:t>million</w:t>
      </w:r>
      <w:r>
        <w:rPr>
          <w:spacing w:val="-5"/>
        </w:rPr>
        <w:t> </w:t>
      </w:r>
      <w:r>
        <w:rPr/>
        <w:t>after</w:t>
      </w:r>
      <w:r>
        <w:rPr>
          <w:spacing w:val="-3"/>
        </w:rPr>
        <w:t> </w:t>
      </w:r>
      <w:r>
        <w:rPr/>
        <w:t>adjusting</w:t>
      </w:r>
      <w:r>
        <w:rPr>
          <w:spacing w:val="-3"/>
        </w:rPr>
        <w:t> </w:t>
      </w:r>
      <w:r>
        <w:rPr/>
        <w:t>for</w:t>
      </w:r>
      <w:r>
        <w:rPr>
          <w:spacing w:val="-2"/>
        </w:rPr>
        <w:t> </w:t>
      </w:r>
      <w:r>
        <w:rPr/>
        <w:t>capital</w:t>
      </w:r>
      <w:r>
        <w:rPr>
          <w:spacing w:val="-3"/>
        </w:rPr>
        <w:t> </w:t>
      </w:r>
      <w:r>
        <w:rPr/>
        <w:t>grants</w:t>
      </w:r>
      <w:r>
        <w:rPr>
          <w:spacing w:val="-5"/>
        </w:rPr>
        <w:t> </w:t>
      </w:r>
      <w:r>
        <w:rPr/>
        <w:t>and</w:t>
      </w:r>
      <w:r>
        <w:rPr>
          <w:spacing w:val="-5"/>
        </w:rPr>
        <w:t> </w:t>
      </w:r>
      <w:r>
        <w:rPr>
          <w:spacing w:val="-2"/>
        </w:rPr>
        <w:t>contributions.</w:t>
      </w:r>
    </w:p>
    <w:p>
      <w:pPr>
        <w:pStyle w:val="BodyText"/>
        <w:spacing w:before="5"/>
        <w:rPr>
          <w:sz w:val="25"/>
        </w:rPr>
      </w:pPr>
    </w:p>
    <w:p>
      <w:pPr>
        <w:spacing w:before="0"/>
        <w:ind w:left="100" w:right="0" w:firstLine="0"/>
        <w:jc w:val="left"/>
        <w:rPr>
          <w:b/>
          <w:sz w:val="22"/>
        </w:rPr>
      </w:pPr>
      <w:r>
        <w:rPr>
          <w:b/>
          <w:color w:val="1D5D9E"/>
          <w:sz w:val="22"/>
        </w:rPr>
        <w:t>Budget</w:t>
      </w:r>
      <w:r>
        <w:rPr>
          <w:b/>
          <w:color w:val="1D5D9E"/>
          <w:spacing w:val="-4"/>
          <w:sz w:val="22"/>
        </w:rPr>
        <w:t> </w:t>
      </w:r>
      <w:r>
        <w:rPr>
          <w:b/>
          <w:color w:val="1D5D9E"/>
          <w:spacing w:val="-2"/>
          <w:sz w:val="22"/>
        </w:rPr>
        <w:t>Highlights</w:t>
      </w:r>
    </w:p>
    <w:p>
      <w:pPr>
        <w:pStyle w:val="BodyText"/>
        <w:spacing w:before="2"/>
        <w:rPr>
          <w:b/>
          <w:sz w:val="25"/>
        </w:rPr>
      </w:pPr>
    </w:p>
    <w:p>
      <w:pPr>
        <w:pStyle w:val="BodyText"/>
        <w:ind w:left="100" w:right="114"/>
        <w:jc w:val="both"/>
      </w:pPr>
      <w:r>
        <w:rPr/>
        <w:t>The 2025/26 Budget contains 39 major initiatives as identified in the Council Plan. These initiatives will contribute</w:t>
      </w:r>
      <w:r>
        <w:rPr>
          <w:spacing w:val="-8"/>
        </w:rPr>
        <w:t> </w:t>
      </w:r>
      <w:r>
        <w:rPr/>
        <w:t>to</w:t>
      </w:r>
      <w:r>
        <w:rPr>
          <w:spacing w:val="-2"/>
        </w:rPr>
        <w:t> </w:t>
      </w:r>
      <w:r>
        <w:rPr/>
        <w:t>the</w:t>
      </w:r>
      <w:r>
        <w:rPr>
          <w:spacing w:val="-1"/>
        </w:rPr>
        <w:t> </w:t>
      </w:r>
      <w:r>
        <w:rPr/>
        <w:t>achievement</w:t>
      </w:r>
      <w:r>
        <w:rPr>
          <w:spacing w:val="-1"/>
        </w:rPr>
        <w:t> </w:t>
      </w:r>
      <w:r>
        <w:rPr/>
        <w:t>of</w:t>
      </w:r>
      <w:r>
        <w:rPr>
          <w:spacing w:val="-1"/>
        </w:rPr>
        <w:t> </w:t>
      </w:r>
      <w:r>
        <w:rPr/>
        <w:t>the</w:t>
      </w:r>
      <w:r>
        <w:rPr>
          <w:spacing w:val="-4"/>
        </w:rPr>
        <w:t> </w:t>
      </w:r>
      <w:r>
        <w:rPr/>
        <w:t>key</w:t>
      </w:r>
      <w:r>
        <w:rPr>
          <w:spacing w:val="-4"/>
        </w:rPr>
        <w:t> </w:t>
      </w:r>
      <w:r>
        <w:rPr/>
        <w:t>directions</w:t>
      </w:r>
      <w:r>
        <w:rPr>
          <w:spacing w:val="-2"/>
        </w:rPr>
        <w:t> </w:t>
      </w:r>
      <w:r>
        <w:rPr/>
        <w:t>identified</w:t>
      </w:r>
      <w:r>
        <w:rPr>
          <w:spacing w:val="-1"/>
        </w:rPr>
        <w:t> </w:t>
      </w:r>
      <w:r>
        <w:rPr/>
        <w:t>in</w:t>
      </w:r>
      <w:r>
        <w:rPr>
          <w:spacing w:val="-4"/>
        </w:rPr>
        <w:t> </w:t>
      </w:r>
      <w:r>
        <w:rPr/>
        <w:t>the</w:t>
      </w:r>
      <w:r>
        <w:rPr>
          <w:spacing w:val="-3"/>
        </w:rPr>
        <w:t> </w:t>
      </w:r>
      <w:r>
        <w:rPr/>
        <w:t>four-year</w:t>
      </w:r>
      <w:r>
        <w:rPr>
          <w:spacing w:val="-1"/>
        </w:rPr>
        <w:t> </w:t>
      </w:r>
      <w:r>
        <w:rPr/>
        <w:t>Council</w:t>
      </w:r>
      <w:r>
        <w:rPr>
          <w:spacing w:val="-2"/>
        </w:rPr>
        <w:t> </w:t>
      </w:r>
      <w:r>
        <w:rPr/>
        <w:t>Plan</w:t>
      </w:r>
      <w:r>
        <w:rPr>
          <w:spacing w:val="-2"/>
        </w:rPr>
        <w:t> </w:t>
      </w:r>
      <w:r>
        <w:rPr/>
        <w:t>and</w:t>
      </w:r>
      <w:r>
        <w:rPr>
          <w:spacing w:val="-4"/>
        </w:rPr>
        <w:t> </w:t>
      </w:r>
      <w:r>
        <w:rPr/>
        <w:t>ultimately</w:t>
      </w:r>
      <w:r>
        <w:rPr>
          <w:spacing w:val="-2"/>
        </w:rPr>
        <w:t> </w:t>
      </w:r>
      <w:r>
        <w:rPr/>
        <w:t>the outcomes as outlined in the Maroondah 2050 Community Vision.</w:t>
      </w:r>
    </w:p>
    <w:p>
      <w:pPr>
        <w:pStyle w:val="BodyText"/>
      </w:pPr>
    </w:p>
    <w:p>
      <w:pPr>
        <w:pStyle w:val="BodyText"/>
        <w:spacing w:before="1"/>
        <w:ind w:left="100"/>
        <w:jc w:val="both"/>
      </w:pPr>
      <w:r>
        <w:rPr/>
        <w:t>Some</w:t>
      </w:r>
      <w:r>
        <w:rPr>
          <w:spacing w:val="-4"/>
        </w:rPr>
        <w:t> </w:t>
      </w:r>
      <w:r>
        <w:rPr/>
        <w:t>initiatives</w:t>
      </w:r>
      <w:r>
        <w:rPr>
          <w:spacing w:val="-3"/>
        </w:rPr>
        <w:t> </w:t>
      </w:r>
      <w:r>
        <w:rPr>
          <w:spacing w:val="-2"/>
        </w:rPr>
        <w:t>include:</w:t>
      </w:r>
    </w:p>
    <w:p>
      <w:pPr>
        <w:pStyle w:val="BodyText"/>
        <w:spacing w:before="2"/>
      </w:pPr>
    </w:p>
    <w:p>
      <w:pPr>
        <w:pStyle w:val="ListParagraph"/>
        <w:numPr>
          <w:ilvl w:val="0"/>
          <w:numId w:val="2"/>
        </w:numPr>
        <w:tabs>
          <w:tab w:pos="667" w:val="left" w:leader="none"/>
        </w:tabs>
        <w:spacing w:line="256" w:lineRule="auto" w:before="0" w:after="0"/>
        <w:ind w:left="666" w:right="118" w:hanging="567"/>
        <w:jc w:val="both"/>
        <w:rPr>
          <w:rFonts w:ascii="Symbol" w:hAnsi="Symbol"/>
          <w:sz w:val="22"/>
        </w:rPr>
      </w:pPr>
      <w:r>
        <w:rPr>
          <w:sz w:val="22"/>
        </w:rPr>
        <w:t>Review, update, and implement the </w:t>
      </w:r>
      <w:r>
        <w:rPr>
          <w:i/>
          <w:sz w:val="22"/>
        </w:rPr>
        <w:t>Maroondah Liveability, Wellbeing and Resilience Strategy 2021-</w:t>
      </w:r>
      <w:r>
        <w:rPr>
          <w:i/>
          <w:sz w:val="22"/>
        </w:rPr>
        <w:t> 2031 </w:t>
      </w:r>
      <w:r>
        <w:rPr>
          <w:sz w:val="22"/>
        </w:rPr>
        <w:t>(including the Health and Wellbeing Action Plan).</w:t>
      </w:r>
    </w:p>
    <w:p>
      <w:pPr>
        <w:pStyle w:val="ListParagraph"/>
        <w:numPr>
          <w:ilvl w:val="0"/>
          <w:numId w:val="2"/>
        </w:numPr>
        <w:tabs>
          <w:tab w:pos="667" w:val="left" w:leader="none"/>
        </w:tabs>
        <w:spacing w:line="240" w:lineRule="auto" w:before="3" w:after="0"/>
        <w:ind w:left="666" w:right="0" w:hanging="567"/>
        <w:jc w:val="both"/>
        <w:rPr>
          <w:rFonts w:ascii="Symbol" w:hAnsi="Symbol"/>
          <w:sz w:val="22"/>
        </w:rPr>
      </w:pPr>
      <w:r>
        <w:rPr>
          <w:sz w:val="22"/>
        </w:rPr>
        <w:t>Undertake</w:t>
      </w:r>
      <w:r>
        <w:rPr>
          <w:spacing w:val="-7"/>
          <w:sz w:val="22"/>
        </w:rPr>
        <w:t> </w:t>
      </w:r>
      <w:r>
        <w:rPr>
          <w:sz w:val="22"/>
        </w:rPr>
        <w:t>the</w:t>
      </w:r>
      <w:r>
        <w:rPr>
          <w:spacing w:val="-5"/>
          <w:sz w:val="22"/>
        </w:rPr>
        <w:t> </w:t>
      </w:r>
      <w:r>
        <w:rPr>
          <w:sz w:val="22"/>
        </w:rPr>
        <w:t>staged</w:t>
      </w:r>
      <w:r>
        <w:rPr>
          <w:spacing w:val="-4"/>
          <w:sz w:val="22"/>
        </w:rPr>
        <w:t> </w:t>
      </w:r>
      <w:r>
        <w:rPr>
          <w:sz w:val="22"/>
        </w:rPr>
        <w:t>redevelopment</w:t>
      </w:r>
      <w:r>
        <w:rPr>
          <w:spacing w:val="-3"/>
          <w:sz w:val="22"/>
        </w:rPr>
        <w:t> </w:t>
      </w:r>
      <w:r>
        <w:rPr>
          <w:sz w:val="22"/>
        </w:rPr>
        <w:t>of</w:t>
      </w:r>
      <w:r>
        <w:rPr>
          <w:spacing w:val="-2"/>
          <w:sz w:val="22"/>
        </w:rPr>
        <w:t> </w:t>
      </w:r>
      <w:r>
        <w:rPr>
          <w:sz w:val="22"/>
        </w:rPr>
        <w:t>the</w:t>
      </w:r>
      <w:r>
        <w:rPr>
          <w:spacing w:val="-6"/>
          <w:sz w:val="22"/>
        </w:rPr>
        <w:t> </w:t>
      </w:r>
      <w:r>
        <w:rPr>
          <w:sz w:val="22"/>
        </w:rPr>
        <w:t>Croydon</w:t>
      </w:r>
      <w:r>
        <w:rPr>
          <w:spacing w:val="-3"/>
          <w:sz w:val="22"/>
        </w:rPr>
        <w:t> </w:t>
      </w:r>
      <w:r>
        <w:rPr>
          <w:sz w:val="22"/>
        </w:rPr>
        <w:t>Community</w:t>
      </w:r>
      <w:r>
        <w:rPr>
          <w:spacing w:val="-6"/>
          <w:sz w:val="22"/>
        </w:rPr>
        <w:t> </w:t>
      </w:r>
      <w:r>
        <w:rPr>
          <w:sz w:val="22"/>
        </w:rPr>
        <w:t>Wellbeing</w:t>
      </w:r>
      <w:r>
        <w:rPr>
          <w:spacing w:val="-2"/>
          <w:sz w:val="22"/>
        </w:rPr>
        <w:t> Precinct.</w:t>
      </w:r>
    </w:p>
    <w:p>
      <w:pPr>
        <w:pStyle w:val="ListParagraph"/>
        <w:numPr>
          <w:ilvl w:val="0"/>
          <w:numId w:val="2"/>
        </w:numPr>
        <w:tabs>
          <w:tab w:pos="667" w:val="left" w:leader="none"/>
        </w:tabs>
        <w:spacing w:line="259" w:lineRule="auto" w:before="16" w:after="0"/>
        <w:ind w:left="666" w:right="114" w:hanging="567"/>
        <w:jc w:val="both"/>
        <w:rPr>
          <w:rFonts w:ascii="Symbol" w:hAnsi="Symbol"/>
          <w:sz w:val="22"/>
        </w:rPr>
      </w:pPr>
      <w:r>
        <w:rPr>
          <w:sz w:val="22"/>
        </w:rPr>
        <w:t>Work in partnership to plan for and support the Victorian Government kindergarten reforms, including advocating for funding at all levels of Government for new and redeveloped facilities to enable these reforms in Maroondah.</w:t>
      </w:r>
    </w:p>
    <w:p>
      <w:pPr>
        <w:pStyle w:val="ListParagraph"/>
        <w:numPr>
          <w:ilvl w:val="0"/>
          <w:numId w:val="2"/>
        </w:numPr>
        <w:tabs>
          <w:tab w:pos="667" w:val="left" w:leader="none"/>
        </w:tabs>
        <w:spacing w:line="256" w:lineRule="auto" w:before="0" w:after="0"/>
        <w:ind w:left="666" w:right="117" w:hanging="567"/>
        <w:jc w:val="both"/>
        <w:rPr>
          <w:rFonts w:ascii="Symbol" w:hAnsi="Symbol"/>
          <w:sz w:val="22"/>
        </w:rPr>
      </w:pPr>
      <w:r>
        <w:rPr>
          <w:sz w:val="22"/>
        </w:rPr>
        <w:t>Work in partnership to implement road improvement works at Eastfield Road, Railway Avenue and Morinda Street, Ringwood East and Holloway Road, Croydon North.</w:t>
      </w:r>
    </w:p>
    <w:p>
      <w:pPr>
        <w:pStyle w:val="ListParagraph"/>
        <w:numPr>
          <w:ilvl w:val="0"/>
          <w:numId w:val="2"/>
        </w:numPr>
        <w:tabs>
          <w:tab w:pos="667" w:val="left" w:leader="none"/>
        </w:tabs>
        <w:spacing w:line="256" w:lineRule="auto" w:before="0" w:after="0"/>
        <w:ind w:left="666" w:right="115" w:hanging="567"/>
        <w:jc w:val="both"/>
        <w:rPr>
          <w:rFonts w:ascii="Symbol" w:hAnsi="Symbol"/>
          <w:sz w:val="22"/>
        </w:rPr>
      </w:pPr>
      <w:r>
        <w:rPr>
          <w:sz w:val="22"/>
        </w:rPr>
        <w:t>Undertake footpath construction in the Principal Pedestrian Network and progress renewal of the Mullum Mullum Creek shared trail.</w:t>
      </w:r>
    </w:p>
    <w:p>
      <w:pPr>
        <w:pStyle w:val="ListParagraph"/>
        <w:numPr>
          <w:ilvl w:val="0"/>
          <w:numId w:val="2"/>
        </w:numPr>
        <w:tabs>
          <w:tab w:pos="667" w:val="left" w:leader="none"/>
        </w:tabs>
        <w:spacing w:line="256" w:lineRule="auto" w:before="0" w:after="0"/>
        <w:ind w:left="666" w:right="120" w:hanging="567"/>
        <w:jc w:val="both"/>
        <w:rPr>
          <w:rFonts w:ascii="Symbol" w:hAnsi="Symbol"/>
          <w:sz w:val="22"/>
        </w:rPr>
      </w:pPr>
      <w:r>
        <w:rPr>
          <w:sz w:val="22"/>
        </w:rPr>
        <w:t>Implement Council's </w:t>
      </w:r>
      <w:r>
        <w:rPr>
          <w:i/>
          <w:sz w:val="22"/>
        </w:rPr>
        <w:t>Sustainability Strategy 2022-2031</w:t>
      </w:r>
      <w:r>
        <w:rPr>
          <w:sz w:val="22"/>
        </w:rPr>
        <w:t>, including the development of a Climate Change Plan.</w:t>
      </w:r>
    </w:p>
    <w:p>
      <w:pPr>
        <w:pStyle w:val="ListParagraph"/>
        <w:numPr>
          <w:ilvl w:val="0"/>
          <w:numId w:val="2"/>
        </w:numPr>
        <w:tabs>
          <w:tab w:pos="666" w:val="left" w:leader="none"/>
          <w:tab w:pos="667" w:val="left" w:leader="none"/>
        </w:tabs>
        <w:spacing w:line="240" w:lineRule="auto" w:before="2" w:after="0"/>
        <w:ind w:left="666" w:right="0" w:hanging="567"/>
        <w:jc w:val="left"/>
        <w:rPr>
          <w:rFonts w:ascii="Symbol" w:hAnsi="Symbol"/>
          <w:sz w:val="22"/>
        </w:rPr>
      </w:pPr>
      <w:r>
        <w:rPr>
          <w:sz w:val="22"/>
        </w:rPr>
        <w:t>Review,</w:t>
      </w:r>
      <w:r>
        <w:rPr>
          <w:spacing w:val="-5"/>
          <w:sz w:val="22"/>
        </w:rPr>
        <w:t> </w:t>
      </w:r>
      <w:r>
        <w:rPr>
          <w:sz w:val="22"/>
        </w:rPr>
        <w:t>update</w:t>
      </w:r>
      <w:r>
        <w:rPr>
          <w:spacing w:val="-6"/>
          <w:sz w:val="22"/>
        </w:rPr>
        <w:t> </w:t>
      </w:r>
      <w:r>
        <w:rPr>
          <w:sz w:val="22"/>
        </w:rPr>
        <w:t>and</w:t>
      </w:r>
      <w:r>
        <w:rPr>
          <w:spacing w:val="-5"/>
          <w:sz w:val="22"/>
        </w:rPr>
        <w:t> </w:t>
      </w:r>
      <w:r>
        <w:rPr>
          <w:sz w:val="22"/>
        </w:rPr>
        <w:t>implement</w:t>
      </w:r>
      <w:r>
        <w:rPr>
          <w:spacing w:val="-6"/>
          <w:sz w:val="22"/>
        </w:rPr>
        <w:t> </w:t>
      </w:r>
      <w:r>
        <w:rPr>
          <w:sz w:val="22"/>
        </w:rPr>
        <w:t>Council’s</w:t>
      </w:r>
      <w:r>
        <w:rPr>
          <w:spacing w:val="-4"/>
          <w:sz w:val="22"/>
        </w:rPr>
        <w:t> </w:t>
      </w:r>
      <w:r>
        <w:rPr>
          <w:i/>
          <w:sz w:val="22"/>
        </w:rPr>
        <w:t>Waste,</w:t>
      </w:r>
      <w:r>
        <w:rPr>
          <w:i/>
          <w:spacing w:val="-6"/>
          <w:sz w:val="22"/>
        </w:rPr>
        <w:t> </w:t>
      </w:r>
      <w:r>
        <w:rPr>
          <w:i/>
          <w:sz w:val="22"/>
        </w:rPr>
        <w:t>Litter</w:t>
      </w:r>
      <w:r>
        <w:rPr>
          <w:i/>
          <w:spacing w:val="-4"/>
          <w:sz w:val="22"/>
        </w:rPr>
        <w:t> </w:t>
      </w:r>
      <w:r>
        <w:rPr>
          <w:i/>
          <w:sz w:val="22"/>
        </w:rPr>
        <w:t>and</w:t>
      </w:r>
      <w:r>
        <w:rPr>
          <w:i/>
          <w:spacing w:val="-4"/>
          <w:sz w:val="22"/>
        </w:rPr>
        <w:t> </w:t>
      </w:r>
      <w:r>
        <w:rPr>
          <w:i/>
          <w:sz w:val="22"/>
        </w:rPr>
        <w:t>Resource</w:t>
      </w:r>
      <w:r>
        <w:rPr>
          <w:i/>
          <w:spacing w:val="-3"/>
          <w:sz w:val="22"/>
        </w:rPr>
        <w:t> </w:t>
      </w:r>
      <w:r>
        <w:rPr>
          <w:i/>
          <w:sz w:val="22"/>
        </w:rPr>
        <w:t>Recovery</w:t>
      </w:r>
      <w:r>
        <w:rPr>
          <w:i/>
          <w:spacing w:val="-5"/>
          <w:sz w:val="22"/>
        </w:rPr>
        <w:t> </w:t>
      </w:r>
      <w:r>
        <w:rPr>
          <w:i/>
          <w:sz w:val="22"/>
        </w:rPr>
        <w:t>Strategy</w:t>
      </w:r>
      <w:r>
        <w:rPr>
          <w:i/>
          <w:spacing w:val="-2"/>
          <w:sz w:val="22"/>
        </w:rPr>
        <w:t> </w:t>
      </w:r>
      <w:r>
        <w:rPr>
          <w:i/>
          <w:sz w:val="22"/>
        </w:rPr>
        <w:t>2020-</w:t>
      </w:r>
      <w:r>
        <w:rPr>
          <w:i/>
          <w:spacing w:val="-2"/>
          <w:sz w:val="22"/>
        </w:rPr>
        <w:t>2030</w:t>
      </w:r>
      <w:r>
        <w:rPr>
          <w:spacing w:val="-2"/>
          <w:sz w:val="22"/>
        </w:rPr>
        <w:t>.</w:t>
      </w:r>
    </w:p>
    <w:p>
      <w:pPr>
        <w:pStyle w:val="ListParagraph"/>
        <w:numPr>
          <w:ilvl w:val="0"/>
          <w:numId w:val="2"/>
        </w:numPr>
        <w:tabs>
          <w:tab w:pos="666" w:val="left" w:leader="none"/>
          <w:tab w:pos="667" w:val="left" w:leader="none"/>
        </w:tabs>
        <w:spacing w:line="240" w:lineRule="auto" w:before="19" w:after="0"/>
        <w:ind w:left="666" w:right="0" w:hanging="567"/>
        <w:jc w:val="left"/>
        <w:rPr>
          <w:rFonts w:ascii="Symbol" w:hAnsi="Symbol"/>
          <w:sz w:val="22"/>
        </w:rPr>
      </w:pPr>
      <w:r>
        <w:rPr>
          <w:sz w:val="22"/>
        </w:rPr>
        <w:t>Undertake</w:t>
      </w:r>
      <w:r>
        <w:rPr>
          <w:spacing w:val="-5"/>
          <w:sz w:val="22"/>
        </w:rPr>
        <w:t> </w:t>
      </w:r>
      <w:r>
        <w:rPr>
          <w:sz w:val="22"/>
        </w:rPr>
        <w:t>flood</w:t>
      </w:r>
      <w:r>
        <w:rPr>
          <w:spacing w:val="-5"/>
          <w:sz w:val="22"/>
        </w:rPr>
        <w:t> </w:t>
      </w:r>
      <w:r>
        <w:rPr>
          <w:sz w:val="22"/>
        </w:rPr>
        <w:t>mitigation</w:t>
      </w:r>
      <w:r>
        <w:rPr>
          <w:spacing w:val="-3"/>
          <w:sz w:val="22"/>
        </w:rPr>
        <w:t> </w:t>
      </w:r>
      <w:r>
        <w:rPr>
          <w:sz w:val="22"/>
        </w:rPr>
        <w:t>works</w:t>
      </w:r>
      <w:r>
        <w:rPr>
          <w:spacing w:val="-5"/>
          <w:sz w:val="22"/>
        </w:rPr>
        <w:t> </w:t>
      </w:r>
      <w:r>
        <w:rPr>
          <w:sz w:val="22"/>
        </w:rPr>
        <w:t>at</w:t>
      </w:r>
      <w:r>
        <w:rPr>
          <w:spacing w:val="-3"/>
          <w:sz w:val="22"/>
        </w:rPr>
        <w:t> </w:t>
      </w:r>
      <w:r>
        <w:rPr>
          <w:sz w:val="22"/>
        </w:rPr>
        <w:t>San</w:t>
      </w:r>
      <w:r>
        <w:rPr>
          <w:spacing w:val="-3"/>
          <w:sz w:val="22"/>
        </w:rPr>
        <w:t> </w:t>
      </w:r>
      <w:r>
        <w:rPr>
          <w:sz w:val="22"/>
        </w:rPr>
        <w:t>Remo</w:t>
      </w:r>
      <w:r>
        <w:rPr>
          <w:spacing w:val="-3"/>
          <w:sz w:val="22"/>
        </w:rPr>
        <w:t> </w:t>
      </w:r>
      <w:r>
        <w:rPr>
          <w:sz w:val="22"/>
        </w:rPr>
        <w:t>Road,</w:t>
      </w:r>
      <w:r>
        <w:rPr>
          <w:spacing w:val="-1"/>
          <w:sz w:val="22"/>
        </w:rPr>
        <w:t> </w:t>
      </w:r>
      <w:r>
        <w:rPr>
          <w:sz w:val="22"/>
        </w:rPr>
        <w:t>Ringwood</w:t>
      </w:r>
      <w:r>
        <w:rPr>
          <w:spacing w:val="-2"/>
          <w:sz w:val="22"/>
        </w:rPr>
        <w:t> North.</w:t>
      </w:r>
    </w:p>
    <w:p>
      <w:pPr>
        <w:pStyle w:val="ListParagraph"/>
        <w:numPr>
          <w:ilvl w:val="0"/>
          <w:numId w:val="2"/>
        </w:numPr>
        <w:tabs>
          <w:tab w:pos="666" w:val="left" w:leader="none"/>
          <w:tab w:pos="667" w:val="left" w:leader="none"/>
        </w:tabs>
        <w:spacing w:line="240" w:lineRule="auto" w:before="18" w:after="0"/>
        <w:ind w:left="666" w:right="0" w:hanging="567"/>
        <w:jc w:val="left"/>
        <w:rPr>
          <w:rFonts w:ascii="Symbol" w:hAnsi="Symbol"/>
          <w:sz w:val="22"/>
        </w:rPr>
      </w:pPr>
      <w:r>
        <w:rPr>
          <w:sz w:val="22"/>
        </w:rPr>
        <w:t>Develop</w:t>
      </w:r>
      <w:r>
        <w:rPr>
          <w:spacing w:val="-4"/>
          <w:sz w:val="22"/>
        </w:rPr>
        <w:t> </w:t>
      </w:r>
      <w:r>
        <w:rPr>
          <w:sz w:val="22"/>
        </w:rPr>
        <w:t>and</w:t>
      </w:r>
      <w:r>
        <w:rPr>
          <w:spacing w:val="-3"/>
          <w:sz w:val="22"/>
        </w:rPr>
        <w:t> </w:t>
      </w:r>
      <w:r>
        <w:rPr>
          <w:sz w:val="22"/>
        </w:rPr>
        <w:t>implement</w:t>
      </w:r>
      <w:r>
        <w:rPr>
          <w:spacing w:val="-5"/>
          <w:sz w:val="22"/>
        </w:rPr>
        <w:t> </w:t>
      </w:r>
      <w:r>
        <w:rPr>
          <w:sz w:val="22"/>
        </w:rPr>
        <w:t>a</w:t>
      </w:r>
      <w:r>
        <w:rPr>
          <w:spacing w:val="-4"/>
          <w:sz w:val="22"/>
        </w:rPr>
        <w:t> </w:t>
      </w:r>
      <w:r>
        <w:rPr>
          <w:sz w:val="22"/>
        </w:rPr>
        <w:t>Creative</w:t>
      </w:r>
      <w:r>
        <w:rPr>
          <w:spacing w:val="-4"/>
          <w:sz w:val="22"/>
        </w:rPr>
        <w:t> </w:t>
      </w:r>
      <w:r>
        <w:rPr>
          <w:sz w:val="22"/>
        </w:rPr>
        <w:t>Maroondah</w:t>
      </w:r>
      <w:r>
        <w:rPr>
          <w:spacing w:val="-3"/>
          <w:sz w:val="22"/>
        </w:rPr>
        <w:t> </w:t>
      </w:r>
      <w:r>
        <w:rPr>
          <w:spacing w:val="-2"/>
          <w:sz w:val="22"/>
        </w:rPr>
        <w:t>Strategy.</w:t>
      </w:r>
    </w:p>
    <w:p>
      <w:pPr>
        <w:pStyle w:val="ListParagraph"/>
        <w:numPr>
          <w:ilvl w:val="0"/>
          <w:numId w:val="2"/>
        </w:numPr>
        <w:tabs>
          <w:tab w:pos="667" w:val="left" w:leader="none"/>
        </w:tabs>
        <w:spacing w:line="256" w:lineRule="auto" w:before="19" w:after="0"/>
        <w:ind w:left="666" w:right="115" w:hanging="567"/>
        <w:jc w:val="both"/>
        <w:rPr>
          <w:rFonts w:ascii="Symbol" w:hAnsi="Symbol"/>
          <w:sz w:val="22"/>
        </w:rPr>
      </w:pPr>
      <w:r>
        <w:rPr>
          <w:sz w:val="22"/>
        </w:rPr>
        <w:t>Work in partnership to implement the </w:t>
      </w:r>
      <w:r>
        <w:rPr>
          <w:i/>
          <w:sz w:val="22"/>
        </w:rPr>
        <w:t>Bayswater Business Precinct Transformation Strategy </w:t>
      </w:r>
      <w:r>
        <w:rPr>
          <w:sz w:val="22"/>
        </w:rPr>
        <w:t>and investigate</w:t>
      </w:r>
      <w:r>
        <w:rPr>
          <w:spacing w:val="-1"/>
          <w:sz w:val="22"/>
        </w:rPr>
        <w:t> </w:t>
      </w:r>
      <w:r>
        <w:rPr>
          <w:sz w:val="22"/>
        </w:rPr>
        <w:t>and implement innovative</w:t>
      </w:r>
      <w:r>
        <w:rPr>
          <w:spacing w:val="-1"/>
          <w:sz w:val="22"/>
        </w:rPr>
        <w:t> </w:t>
      </w:r>
      <w:r>
        <w:rPr>
          <w:sz w:val="22"/>
        </w:rPr>
        <w:t>opportunities to</w:t>
      </w:r>
      <w:r>
        <w:rPr>
          <w:spacing w:val="-1"/>
          <w:sz w:val="22"/>
        </w:rPr>
        <w:t> </w:t>
      </w:r>
      <w:r>
        <w:rPr>
          <w:sz w:val="22"/>
        </w:rPr>
        <w:t>enhance business capability, skill development, employment and education pathways for the manufacturing sector.</w:t>
      </w:r>
    </w:p>
    <w:p>
      <w:pPr>
        <w:pStyle w:val="ListParagraph"/>
        <w:numPr>
          <w:ilvl w:val="0"/>
          <w:numId w:val="2"/>
        </w:numPr>
        <w:tabs>
          <w:tab w:pos="667" w:val="left" w:leader="none"/>
        </w:tabs>
        <w:spacing w:line="240" w:lineRule="auto" w:before="3" w:after="0"/>
        <w:ind w:left="666" w:right="0" w:hanging="567"/>
        <w:jc w:val="both"/>
        <w:rPr>
          <w:rFonts w:ascii="Symbol" w:hAnsi="Symbol"/>
          <w:sz w:val="22"/>
        </w:rPr>
      </w:pPr>
      <w:r>
        <w:rPr>
          <w:sz w:val="22"/>
        </w:rPr>
        <w:t>Implement</w:t>
      </w:r>
      <w:r>
        <w:rPr>
          <w:spacing w:val="-4"/>
          <w:sz w:val="22"/>
        </w:rPr>
        <w:t> </w:t>
      </w:r>
      <w:r>
        <w:rPr>
          <w:sz w:val="22"/>
        </w:rPr>
        <w:t>the</w:t>
      </w:r>
      <w:r>
        <w:rPr>
          <w:spacing w:val="-6"/>
          <w:sz w:val="22"/>
        </w:rPr>
        <w:t> </w:t>
      </w:r>
      <w:r>
        <w:rPr>
          <w:sz w:val="22"/>
        </w:rPr>
        <w:t>Maroondah</w:t>
      </w:r>
      <w:r>
        <w:rPr>
          <w:spacing w:val="-4"/>
          <w:sz w:val="22"/>
        </w:rPr>
        <w:t> </w:t>
      </w:r>
      <w:r>
        <w:rPr>
          <w:sz w:val="22"/>
        </w:rPr>
        <w:t>2050</w:t>
      </w:r>
      <w:r>
        <w:rPr>
          <w:spacing w:val="-4"/>
          <w:sz w:val="22"/>
        </w:rPr>
        <w:t> </w:t>
      </w:r>
      <w:r>
        <w:rPr>
          <w:sz w:val="22"/>
        </w:rPr>
        <w:t>Community</w:t>
      </w:r>
      <w:r>
        <w:rPr>
          <w:spacing w:val="-4"/>
          <w:sz w:val="22"/>
        </w:rPr>
        <w:t> </w:t>
      </w:r>
      <w:r>
        <w:rPr>
          <w:spacing w:val="-2"/>
          <w:sz w:val="22"/>
        </w:rPr>
        <w:t>Vision.</w:t>
      </w:r>
    </w:p>
    <w:p>
      <w:pPr>
        <w:pStyle w:val="ListParagraph"/>
        <w:numPr>
          <w:ilvl w:val="0"/>
          <w:numId w:val="2"/>
        </w:numPr>
        <w:tabs>
          <w:tab w:pos="667" w:val="left" w:leader="none"/>
        </w:tabs>
        <w:spacing w:line="240" w:lineRule="auto" w:before="18" w:after="0"/>
        <w:ind w:left="666" w:right="0" w:hanging="567"/>
        <w:jc w:val="both"/>
        <w:rPr>
          <w:rFonts w:ascii="Symbol" w:hAnsi="Symbol"/>
          <w:sz w:val="22"/>
        </w:rPr>
      </w:pPr>
      <w:r>
        <w:rPr>
          <w:sz w:val="22"/>
        </w:rPr>
        <w:t>Develop</w:t>
      </w:r>
      <w:r>
        <w:rPr>
          <w:spacing w:val="-7"/>
          <w:sz w:val="22"/>
        </w:rPr>
        <w:t> </w:t>
      </w:r>
      <w:r>
        <w:rPr>
          <w:sz w:val="22"/>
        </w:rPr>
        <w:t>and</w:t>
      </w:r>
      <w:r>
        <w:rPr>
          <w:spacing w:val="-5"/>
          <w:sz w:val="22"/>
        </w:rPr>
        <w:t> </w:t>
      </w:r>
      <w:r>
        <w:rPr>
          <w:sz w:val="22"/>
        </w:rPr>
        <w:t>implement</w:t>
      </w:r>
      <w:r>
        <w:rPr>
          <w:spacing w:val="-6"/>
          <w:sz w:val="22"/>
        </w:rPr>
        <w:t> </w:t>
      </w:r>
      <w:r>
        <w:rPr>
          <w:sz w:val="22"/>
        </w:rPr>
        <w:t>Council’s</w:t>
      </w:r>
      <w:r>
        <w:rPr>
          <w:spacing w:val="-5"/>
          <w:sz w:val="22"/>
        </w:rPr>
        <w:t> </w:t>
      </w:r>
      <w:r>
        <w:rPr>
          <w:sz w:val="22"/>
        </w:rPr>
        <w:t>Customer</w:t>
      </w:r>
      <w:r>
        <w:rPr>
          <w:spacing w:val="-5"/>
          <w:sz w:val="22"/>
        </w:rPr>
        <w:t> </w:t>
      </w:r>
      <w:r>
        <w:rPr>
          <w:sz w:val="22"/>
        </w:rPr>
        <w:t>Service</w:t>
      </w:r>
      <w:r>
        <w:rPr>
          <w:spacing w:val="-2"/>
          <w:sz w:val="22"/>
        </w:rPr>
        <w:t> </w:t>
      </w:r>
      <w:r>
        <w:rPr>
          <w:sz w:val="22"/>
        </w:rPr>
        <w:t>and</w:t>
      </w:r>
      <w:r>
        <w:rPr>
          <w:spacing w:val="-5"/>
          <w:sz w:val="22"/>
        </w:rPr>
        <w:t> </w:t>
      </w:r>
      <w:r>
        <w:rPr>
          <w:sz w:val="22"/>
        </w:rPr>
        <w:t>Communications</w:t>
      </w:r>
      <w:r>
        <w:rPr>
          <w:spacing w:val="-6"/>
          <w:sz w:val="22"/>
        </w:rPr>
        <w:t> </w:t>
      </w:r>
      <w:r>
        <w:rPr>
          <w:spacing w:val="-2"/>
          <w:sz w:val="22"/>
        </w:rPr>
        <w:t>strategies.</w:t>
      </w:r>
    </w:p>
    <w:p>
      <w:pPr>
        <w:pStyle w:val="ListParagraph"/>
        <w:numPr>
          <w:ilvl w:val="0"/>
          <w:numId w:val="2"/>
        </w:numPr>
        <w:tabs>
          <w:tab w:pos="667" w:val="left" w:leader="none"/>
        </w:tabs>
        <w:spacing w:line="256" w:lineRule="auto" w:before="19" w:after="0"/>
        <w:ind w:left="666" w:right="114" w:hanging="567"/>
        <w:jc w:val="both"/>
        <w:rPr>
          <w:rFonts w:ascii="Symbol" w:hAnsi="Symbol"/>
          <w:sz w:val="22"/>
        </w:rPr>
      </w:pPr>
      <w:r>
        <w:rPr>
          <w:sz w:val="22"/>
        </w:rPr>
        <w:t>Review a range of Council’s core technological systems and undertake the phased implementation of enterprise-wide replacement systems.</w:t>
      </w:r>
    </w:p>
    <w:p>
      <w:pPr>
        <w:pStyle w:val="ListParagraph"/>
        <w:numPr>
          <w:ilvl w:val="0"/>
          <w:numId w:val="2"/>
        </w:numPr>
        <w:tabs>
          <w:tab w:pos="667" w:val="left" w:leader="none"/>
        </w:tabs>
        <w:spacing w:line="240" w:lineRule="auto" w:before="2" w:after="0"/>
        <w:ind w:left="666" w:right="0" w:hanging="567"/>
        <w:jc w:val="both"/>
        <w:rPr>
          <w:rFonts w:ascii="Symbol" w:hAnsi="Symbol"/>
          <w:sz w:val="22"/>
        </w:rPr>
      </w:pPr>
      <w:r>
        <w:rPr>
          <w:sz w:val="22"/>
        </w:rPr>
        <w:t>Evolve</w:t>
      </w:r>
      <w:r>
        <w:rPr>
          <w:spacing w:val="-8"/>
          <w:sz w:val="22"/>
        </w:rPr>
        <w:t> </w:t>
      </w:r>
      <w:r>
        <w:rPr>
          <w:sz w:val="22"/>
        </w:rPr>
        <w:t>organisational</w:t>
      </w:r>
      <w:r>
        <w:rPr>
          <w:spacing w:val="-4"/>
          <w:sz w:val="22"/>
        </w:rPr>
        <w:t> </w:t>
      </w:r>
      <w:r>
        <w:rPr>
          <w:sz w:val="22"/>
        </w:rPr>
        <w:t>capacity</w:t>
      </w:r>
      <w:r>
        <w:rPr>
          <w:spacing w:val="-3"/>
          <w:sz w:val="22"/>
        </w:rPr>
        <w:t> </w:t>
      </w:r>
      <w:r>
        <w:rPr>
          <w:sz w:val="22"/>
        </w:rPr>
        <w:t>and</w:t>
      </w:r>
      <w:r>
        <w:rPr>
          <w:spacing w:val="-5"/>
          <w:sz w:val="22"/>
        </w:rPr>
        <w:t> </w:t>
      </w:r>
      <w:r>
        <w:rPr>
          <w:sz w:val="22"/>
        </w:rPr>
        <w:t>implement</w:t>
      </w:r>
      <w:r>
        <w:rPr>
          <w:spacing w:val="-1"/>
          <w:sz w:val="22"/>
        </w:rPr>
        <w:t> </w:t>
      </w:r>
      <w:r>
        <w:rPr>
          <w:sz w:val="22"/>
        </w:rPr>
        <w:t>systems</w:t>
      </w:r>
      <w:r>
        <w:rPr>
          <w:spacing w:val="-6"/>
          <w:sz w:val="22"/>
        </w:rPr>
        <w:t> </w:t>
      </w:r>
      <w:r>
        <w:rPr>
          <w:sz w:val="22"/>
        </w:rPr>
        <w:t>to</w:t>
      </w:r>
      <w:r>
        <w:rPr>
          <w:spacing w:val="-5"/>
          <w:sz w:val="22"/>
        </w:rPr>
        <w:t> </w:t>
      </w:r>
      <w:r>
        <w:rPr>
          <w:sz w:val="22"/>
        </w:rPr>
        <w:t>minimise</w:t>
      </w:r>
      <w:r>
        <w:rPr>
          <w:spacing w:val="-4"/>
          <w:sz w:val="22"/>
        </w:rPr>
        <w:t> </w:t>
      </w:r>
      <w:r>
        <w:rPr>
          <w:sz w:val="22"/>
        </w:rPr>
        <w:t>risks</w:t>
      </w:r>
      <w:r>
        <w:rPr>
          <w:spacing w:val="-5"/>
          <w:sz w:val="22"/>
        </w:rPr>
        <w:t> </w:t>
      </w:r>
      <w:r>
        <w:rPr>
          <w:sz w:val="22"/>
        </w:rPr>
        <w:t>to</w:t>
      </w:r>
      <w:r>
        <w:rPr>
          <w:spacing w:val="-4"/>
          <w:sz w:val="22"/>
        </w:rPr>
        <w:t> </w:t>
      </w:r>
      <w:r>
        <w:rPr>
          <w:sz w:val="22"/>
        </w:rPr>
        <w:t>cybersecurity</w:t>
      </w:r>
      <w:r>
        <w:rPr>
          <w:spacing w:val="-3"/>
          <w:sz w:val="22"/>
        </w:rPr>
        <w:t> </w:t>
      </w:r>
      <w:r>
        <w:rPr>
          <w:spacing w:val="-2"/>
          <w:sz w:val="22"/>
        </w:rPr>
        <w:t>impacts.</w:t>
      </w:r>
    </w:p>
    <w:p>
      <w:pPr>
        <w:pStyle w:val="ListParagraph"/>
        <w:numPr>
          <w:ilvl w:val="0"/>
          <w:numId w:val="2"/>
        </w:numPr>
        <w:tabs>
          <w:tab w:pos="667" w:val="left" w:leader="none"/>
        </w:tabs>
        <w:spacing w:line="256" w:lineRule="auto" w:before="19" w:after="0"/>
        <w:ind w:left="666" w:right="120" w:hanging="567"/>
        <w:jc w:val="both"/>
        <w:rPr>
          <w:rFonts w:ascii="Symbol" w:hAnsi="Symbol"/>
          <w:sz w:val="22"/>
        </w:rPr>
      </w:pPr>
      <w:r>
        <w:rPr>
          <w:sz w:val="22"/>
        </w:rPr>
        <w:t>Advocate on key local issues on behalf of the Maroondah community in the lead up to the Victorian Government election.</w:t>
      </w:r>
    </w:p>
    <w:p>
      <w:pPr>
        <w:pStyle w:val="BodyText"/>
        <w:spacing w:before="11"/>
        <w:rPr>
          <w:sz w:val="21"/>
        </w:rPr>
      </w:pPr>
    </w:p>
    <w:p>
      <w:pPr>
        <w:pStyle w:val="BodyText"/>
        <w:ind w:left="100" w:right="117"/>
        <w:jc w:val="both"/>
      </w:pPr>
      <w:r>
        <w:rPr/>
        <w:t>An</w:t>
      </w:r>
      <w:r>
        <w:rPr>
          <w:spacing w:val="-7"/>
        </w:rPr>
        <w:t> </w:t>
      </w:r>
      <w:r>
        <w:rPr/>
        <w:t>extensive</w:t>
      </w:r>
      <w:r>
        <w:rPr>
          <w:spacing w:val="-11"/>
        </w:rPr>
        <w:t> </w:t>
      </w:r>
      <w:r>
        <w:rPr/>
        <w:t>Capital</w:t>
      </w:r>
      <w:r>
        <w:rPr>
          <w:spacing w:val="-9"/>
        </w:rPr>
        <w:t> </w:t>
      </w:r>
      <w:r>
        <w:rPr/>
        <w:t>Works</w:t>
      </w:r>
      <w:r>
        <w:rPr>
          <w:spacing w:val="-7"/>
        </w:rPr>
        <w:t> </w:t>
      </w:r>
      <w:r>
        <w:rPr/>
        <w:t>Program</w:t>
      </w:r>
      <w:r>
        <w:rPr>
          <w:spacing w:val="-7"/>
        </w:rPr>
        <w:t> </w:t>
      </w:r>
      <w:r>
        <w:rPr/>
        <w:t>of</w:t>
      </w:r>
      <w:r>
        <w:rPr>
          <w:spacing w:val="-5"/>
        </w:rPr>
        <w:t> </w:t>
      </w:r>
      <w:r>
        <w:rPr/>
        <w:t>$46.03</w:t>
      </w:r>
      <w:r>
        <w:rPr>
          <w:spacing w:val="-11"/>
        </w:rPr>
        <w:t> </w:t>
      </w:r>
      <w:r>
        <w:rPr/>
        <w:t>million</w:t>
      </w:r>
      <w:r>
        <w:rPr>
          <w:spacing w:val="-9"/>
        </w:rPr>
        <w:t> </w:t>
      </w:r>
      <w:r>
        <w:rPr/>
        <w:t>will</w:t>
      </w:r>
      <w:r>
        <w:rPr>
          <w:spacing w:val="-7"/>
        </w:rPr>
        <w:t> </w:t>
      </w:r>
      <w:r>
        <w:rPr/>
        <w:t>be</w:t>
      </w:r>
      <w:r>
        <w:rPr>
          <w:spacing w:val="-7"/>
        </w:rPr>
        <w:t> </w:t>
      </w:r>
      <w:r>
        <w:rPr/>
        <w:t>undertaken</w:t>
      </w:r>
      <w:r>
        <w:rPr>
          <w:spacing w:val="-9"/>
        </w:rPr>
        <w:t> </w:t>
      </w:r>
      <w:r>
        <w:rPr/>
        <w:t>in</w:t>
      </w:r>
      <w:r>
        <w:rPr>
          <w:spacing w:val="-11"/>
        </w:rPr>
        <w:t> </w:t>
      </w:r>
      <w:r>
        <w:rPr/>
        <w:t>2025/26.</w:t>
      </w:r>
      <w:r>
        <w:rPr>
          <w:spacing w:val="-7"/>
        </w:rPr>
        <w:t> </w:t>
      </w:r>
      <w:r>
        <w:rPr/>
        <w:t>This</w:t>
      </w:r>
      <w:r>
        <w:rPr>
          <w:spacing w:val="-7"/>
        </w:rPr>
        <w:t> </w:t>
      </w:r>
      <w:r>
        <w:rPr/>
        <w:t>capital</w:t>
      </w:r>
      <w:r>
        <w:rPr>
          <w:spacing w:val="-7"/>
        </w:rPr>
        <w:t> </w:t>
      </w:r>
      <w:r>
        <w:rPr/>
        <w:t>investment includes funding of $25.20 million from Council operations and cash holdings; $7.23 million from external grants; $0.22 million from contributions; and $13.37 million sale of assets.</w:t>
      </w:r>
    </w:p>
    <w:p>
      <w:pPr>
        <w:spacing w:after="0"/>
        <w:jc w:val="both"/>
        <w:sectPr>
          <w:pgSz w:w="11910" w:h="16840"/>
          <w:pgMar w:header="0" w:footer="381" w:top="640" w:bottom="580" w:left="620" w:right="600"/>
        </w:sectPr>
      </w:pPr>
    </w:p>
    <w:p>
      <w:pPr>
        <w:pStyle w:val="BodyText"/>
        <w:spacing w:before="81"/>
        <w:ind w:left="100"/>
      </w:pPr>
      <w:r>
        <w:rPr/>
        <w:t>Highlights</w:t>
      </w:r>
      <w:r>
        <w:rPr>
          <w:spacing w:val="-3"/>
        </w:rPr>
        <w:t> </w:t>
      </w:r>
      <w:r>
        <w:rPr/>
        <w:t>of</w:t>
      </w:r>
      <w:r>
        <w:rPr>
          <w:spacing w:val="-3"/>
        </w:rPr>
        <w:t> </w:t>
      </w:r>
      <w:r>
        <w:rPr/>
        <w:t>the</w:t>
      </w:r>
      <w:r>
        <w:rPr>
          <w:spacing w:val="-3"/>
        </w:rPr>
        <w:t> </w:t>
      </w:r>
      <w:r>
        <w:rPr/>
        <w:t>2025/26</w:t>
      </w:r>
      <w:r>
        <w:rPr>
          <w:spacing w:val="-5"/>
        </w:rPr>
        <w:t> </w:t>
      </w:r>
      <w:r>
        <w:rPr/>
        <w:t>Capital</w:t>
      </w:r>
      <w:r>
        <w:rPr>
          <w:spacing w:val="-3"/>
        </w:rPr>
        <w:t> </w:t>
      </w:r>
      <w:r>
        <w:rPr/>
        <w:t>Works</w:t>
      </w:r>
      <w:r>
        <w:rPr>
          <w:spacing w:val="-5"/>
        </w:rPr>
        <w:t> </w:t>
      </w:r>
      <w:r>
        <w:rPr/>
        <w:t>Program</w:t>
      </w:r>
      <w:r>
        <w:rPr>
          <w:spacing w:val="-2"/>
        </w:rPr>
        <w:t> include:</w:t>
      </w:r>
    </w:p>
    <w:p>
      <w:pPr>
        <w:pStyle w:val="BodyText"/>
        <w:spacing w:before="1"/>
      </w:pPr>
    </w:p>
    <w:tbl>
      <w:tblPr>
        <w:tblW w:w="0" w:type="auto"/>
        <w:jc w:val="left"/>
        <w:tblInd w:w="1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390"/>
        <w:gridCol w:w="1495"/>
        <w:gridCol w:w="6552"/>
      </w:tblGrid>
      <w:tr>
        <w:trPr>
          <w:trHeight w:val="230" w:hRule="atLeast"/>
        </w:trPr>
        <w:tc>
          <w:tcPr>
            <w:tcW w:w="10437" w:type="dxa"/>
            <w:gridSpan w:val="3"/>
            <w:tcBorders>
              <w:left w:val="single" w:sz="12" w:space="0" w:color="000000"/>
              <w:bottom w:val="nil"/>
              <w:right w:val="single" w:sz="12" w:space="0" w:color="000000"/>
            </w:tcBorders>
            <w:shd w:val="clear" w:color="auto" w:fill="629CD1"/>
          </w:tcPr>
          <w:p>
            <w:pPr>
              <w:pStyle w:val="TableParagraph"/>
              <w:tabs>
                <w:tab w:pos="2663" w:val="left" w:leader="none"/>
                <w:tab w:pos="6832" w:val="left" w:leader="none"/>
              </w:tabs>
              <w:spacing w:line="211" w:lineRule="exact"/>
              <w:ind w:left="781"/>
              <w:rPr>
                <w:b/>
                <w:sz w:val="20"/>
              </w:rPr>
            </w:pPr>
            <w:r>
              <w:rPr>
                <w:b/>
                <w:color w:val="FFFFFF"/>
                <w:spacing w:val="-2"/>
                <w:sz w:val="20"/>
              </w:rPr>
              <w:t>Program</w:t>
            </w:r>
            <w:r>
              <w:rPr>
                <w:b/>
                <w:color w:val="FFFFFF"/>
                <w:sz w:val="20"/>
              </w:rPr>
              <w:tab/>
              <w:t>$</w:t>
            </w:r>
            <w:r>
              <w:rPr>
                <w:b/>
                <w:color w:val="FFFFFF"/>
                <w:spacing w:val="-4"/>
                <w:sz w:val="20"/>
              </w:rPr>
              <w:t> </w:t>
            </w:r>
            <w:r>
              <w:rPr>
                <w:b/>
                <w:color w:val="FFFFFF"/>
                <w:spacing w:val="-2"/>
                <w:sz w:val="20"/>
              </w:rPr>
              <w:t>(million)</w:t>
            </w:r>
            <w:r>
              <w:rPr>
                <w:b/>
                <w:color w:val="FFFFFF"/>
                <w:sz w:val="20"/>
              </w:rPr>
              <w:tab/>
            </w:r>
            <w:r>
              <w:rPr>
                <w:b/>
                <w:color w:val="FFFFFF"/>
                <w:spacing w:val="-2"/>
                <w:sz w:val="20"/>
              </w:rPr>
              <w:t>Details</w:t>
            </w:r>
          </w:p>
        </w:tc>
      </w:tr>
      <w:tr>
        <w:trPr>
          <w:trHeight w:val="2440" w:hRule="atLeast"/>
        </w:trPr>
        <w:tc>
          <w:tcPr>
            <w:tcW w:w="2390" w:type="dxa"/>
            <w:tcBorders>
              <w:top w:val="nil"/>
              <w:left w:val="single" w:sz="12" w:space="0" w:color="000000"/>
              <w:bottom w:val="single" w:sz="4" w:space="0" w:color="A0C3E2"/>
              <w:right w:val="single" w:sz="4" w:space="0" w:color="A0C3E2"/>
            </w:tcBorders>
            <w:shd w:val="clear" w:color="auto" w:fill="DFEBF4"/>
          </w:tcPr>
          <w:p>
            <w:pPr>
              <w:pStyle w:val="TableParagraph"/>
              <w:spacing w:line="230" w:lineRule="exact"/>
              <w:ind w:left="107"/>
              <w:rPr>
                <w:b/>
                <w:sz w:val="20"/>
              </w:rPr>
            </w:pPr>
            <w:r>
              <w:rPr>
                <w:b/>
                <w:spacing w:val="-2"/>
                <w:sz w:val="20"/>
              </w:rPr>
              <w:t>Buildings</w:t>
            </w:r>
          </w:p>
        </w:tc>
        <w:tc>
          <w:tcPr>
            <w:tcW w:w="1495" w:type="dxa"/>
            <w:tcBorders>
              <w:top w:val="nil"/>
              <w:left w:val="single" w:sz="4" w:space="0" w:color="A0C3E2"/>
              <w:bottom w:val="single" w:sz="4" w:space="0" w:color="A0C3E2"/>
              <w:right w:val="single" w:sz="4" w:space="0" w:color="A0C3E2"/>
            </w:tcBorders>
            <w:shd w:val="clear" w:color="auto" w:fill="DFEBF4"/>
          </w:tcPr>
          <w:p>
            <w:pPr>
              <w:pStyle w:val="TableParagraph"/>
              <w:spacing w:line="230" w:lineRule="exact"/>
              <w:ind w:right="91"/>
              <w:jc w:val="right"/>
              <w:rPr>
                <w:b/>
                <w:sz w:val="20"/>
              </w:rPr>
            </w:pPr>
            <w:r>
              <w:rPr>
                <w:b/>
                <w:spacing w:val="-2"/>
                <w:sz w:val="20"/>
              </w:rPr>
              <w:t>$22.28</w:t>
            </w:r>
          </w:p>
        </w:tc>
        <w:tc>
          <w:tcPr>
            <w:tcW w:w="6552" w:type="dxa"/>
            <w:tcBorders>
              <w:top w:val="nil"/>
              <w:left w:val="single" w:sz="4" w:space="0" w:color="A0C3E2"/>
              <w:bottom w:val="single" w:sz="4" w:space="0" w:color="A0C3E2"/>
              <w:right w:val="single" w:sz="12" w:space="0" w:color="000000"/>
            </w:tcBorders>
            <w:shd w:val="clear" w:color="auto" w:fill="DFEBF4"/>
          </w:tcPr>
          <w:p>
            <w:pPr>
              <w:pStyle w:val="TableParagraph"/>
              <w:numPr>
                <w:ilvl w:val="0"/>
                <w:numId w:val="3"/>
              </w:numPr>
              <w:tabs>
                <w:tab w:pos="854" w:val="left" w:leader="none"/>
                <w:tab w:pos="855" w:val="left" w:leader="none"/>
              </w:tabs>
              <w:spacing w:line="247" w:lineRule="auto" w:before="0" w:after="0"/>
              <w:ind w:left="854" w:right="232" w:hanging="713"/>
              <w:jc w:val="left"/>
              <w:rPr>
                <w:sz w:val="20"/>
              </w:rPr>
            </w:pPr>
            <w:r>
              <w:rPr>
                <w:sz w:val="20"/>
              </w:rPr>
              <w:t>Croydon</w:t>
            </w:r>
            <w:r>
              <w:rPr>
                <w:spacing w:val="-5"/>
                <w:sz w:val="20"/>
              </w:rPr>
              <w:t> </w:t>
            </w:r>
            <w:r>
              <w:rPr>
                <w:sz w:val="20"/>
              </w:rPr>
              <w:t>Community</w:t>
            </w:r>
            <w:r>
              <w:rPr>
                <w:spacing w:val="-3"/>
                <w:sz w:val="20"/>
              </w:rPr>
              <w:t> </w:t>
            </w:r>
            <w:r>
              <w:rPr>
                <w:sz w:val="20"/>
              </w:rPr>
              <w:t>Wellbeing</w:t>
            </w:r>
            <w:r>
              <w:rPr>
                <w:spacing w:val="-6"/>
                <w:sz w:val="20"/>
              </w:rPr>
              <w:t> </w:t>
            </w:r>
            <w:r>
              <w:rPr>
                <w:sz w:val="20"/>
              </w:rPr>
              <w:t>Precinct</w:t>
            </w:r>
            <w:r>
              <w:rPr>
                <w:spacing w:val="-6"/>
                <w:sz w:val="20"/>
              </w:rPr>
              <w:t> </w:t>
            </w:r>
            <w:r>
              <w:rPr>
                <w:sz w:val="20"/>
              </w:rPr>
              <w:t>Cultural</w:t>
            </w:r>
            <w:r>
              <w:rPr>
                <w:spacing w:val="-6"/>
                <w:sz w:val="20"/>
              </w:rPr>
              <w:t> </w:t>
            </w:r>
            <w:r>
              <w:rPr>
                <w:sz w:val="20"/>
              </w:rPr>
              <w:t>Hub</w:t>
            </w:r>
            <w:r>
              <w:rPr>
                <w:spacing w:val="-5"/>
                <w:sz w:val="20"/>
              </w:rPr>
              <w:t> </w:t>
            </w:r>
            <w:r>
              <w:rPr>
                <w:sz w:val="20"/>
              </w:rPr>
              <w:t>($16.40 </w:t>
            </w:r>
            <w:r>
              <w:rPr>
                <w:spacing w:val="-2"/>
                <w:sz w:val="20"/>
              </w:rPr>
              <w:t>million)</w:t>
            </w:r>
          </w:p>
          <w:p>
            <w:pPr>
              <w:pStyle w:val="TableParagraph"/>
              <w:numPr>
                <w:ilvl w:val="0"/>
                <w:numId w:val="3"/>
              </w:numPr>
              <w:tabs>
                <w:tab w:pos="854" w:val="left" w:leader="none"/>
                <w:tab w:pos="855" w:val="left" w:leader="none"/>
              </w:tabs>
              <w:spacing w:line="233" w:lineRule="exact" w:before="0" w:after="0"/>
              <w:ind w:left="854" w:right="0" w:hanging="714"/>
              <w:jc w:val="left"/>
              <w:rPr>
                <w:sz w:val="20"/>
              </w:rPr>
            </w:pPr>
            <w:r>
              <w:rPr>
                <w:sz w:val="20"/>
              </w:rPr>
              <w:t>Community</w:t>
            </w:r>
            <w:r>
              <w:rPr>
                <w:spacing w:val="-9"/>
                <w:sz w:val="20"/>
              </w:rPr>
              <w:t> </w:t>
            </w:r>
            <w:r>
              <w:rPr>
                <w:sz w:val="20"/>
              </w:rPr>
              <w:t>Facilities</w:t>
            </w:r>
            <w:r>
              <w:rPr>
                <w:spacing w:val="-9"/>
                <w:sz w:val="20"/>
              </w:rPr>
              <w:t> </w:t>
            </w:r>
            <w:r>
              <w:rPr>
                <w:sz w:val="20"/>
              </w:rPr>
              <w:t>Improvement</w:t>
            </w:r>
            <w:r>
              <w:rPr>
                <w:spacing w:val="-7"/>
                <w:sz w:val="20"/>
              </w:rPr>
              <w:t> </w:t>
            </w:r>
            <w:r>
              <w:rPr>
                <w:sz w:val="20"/>
              </w:rPr>
              <w:t>Program</w:t>
            </w:r>
            <w:r>
              <w:rPr>
                <w:spacing w:val="-9"/>
                <w:sz w:val="20"/>
              </w:rPr>
              <w:t> </w:t>
            </w:r>
            <w:r>
              <w:rPr>
                <w:sz w:val="20"/>
              </w:rPr>
              <w:t>($4.41</w:t>
            </w:r>
            <w:r>
              <w:rPr>
                <w:spacing w:val="-8"/>
                <w:sz w:val="20"/>
              </w:rPr>
              <w:t> </w:t>
            </w:r>
            <w:r>
              <w:rPr>
                <w:spacing w:val="-2"/>
                <w:sz w:val="20"/>
              </w:rPr>
              <w:t>million)</w:t>
            </w:r>
          </w:p>
          <w:p>
            <w:pPr>
              <w:pStyle w:val="TableParagraph"/>
              <w:numPr>
                <w:ilvl w:val="0"/>
                <w:numId w:val="3"/>
              </w:numPr>
              <w:tabs>
                <w:tab w:pos="854" w:val="left" w:leader="none"/>
                <w:tab w:pos="855" w:val="left" w:leader="none"/>
              </w:tabs>
              <w:spacing w:line="247" w:lineRule="auto" w:before="0" w:after="0"/>
              <w:ind w:left="854" w:right="784" w:hanging="713"/>
              <w:jc w:val="left"/>
              <w:rPr>
                <w:sz w:val="20"/>
              </w:rPr>
            </w:pPr>
            <w:r>
              <w:rPr>
                <w:sz w:val="20"/>
              </w:rPr>
              <w:t>Upgrade</w:t>
            </w:r>
            <w:r>
              <w:rPr>
                <w:spacing w:val="-4"/>
                <w:sz w:val="20"/>
              </w:rPr>
              <w:t> </w:t>
            </w:r>
            <w:r>
              <w:rPr>
                <w:sz w:val="20"/>
              </w:rPr>
              <w:t>and</w:t>
            </w:r>
            <w:r>
              <w:rPr>
                <w:spacing w:val="-4"/>
                <w:sz w:val="20"/>
              </w:rPr>
              <w:t> </w:t>
            </w:r>
            <w:r>
              <w:rPr>
                <w:sz w:val="20"/>
              </w:rPr>
              <w:t>renewal</w:t>
            </w:r>
            <w:r>
              <w:rPr>
                <w:spacing w:val="-6"/>
                <w:sz w:val="20"/>
              </w:rPr>
              <w:t> </w:t>
            </w:r>
            <w:r>
              <w:rPr>
                <w:sz w:val="20"/>
              </w:rPr>
              <w:t>of</w:t>
            </w:r>
            <w:r>
              <w:rPr>
                <w:spacing w:val="-4"/>
                <w:sz w:val="20"/>
              </w:rPr>
              <w:t> </w:t>
            </w:r>
            <w:r>
              <w:rPr>
                <w:sz w:val="20"/>
              </w:rPr>
              <w:t>sporting</w:t>
            </w:r>
            <w:r>
              <w:rPr>
                <w:spacing w:val="-3"/>
                <w:sz w:val="20"/>
              </w:rPr>
              <w:t> </w:t>
            </w:r>
            <w:r>
              <w:rPr>
                <w:sz w:val="20"/>
              </w:rPr>
              <w:t>and</w:t>
            </w:r>
            <w:r>
              <w:rPr>
                <w:spacing w:val="-5"/>
                <w:sz w:val="20"/>
              </w:rPr>
              <w:t> </w:t>
            </w:r>
            <w:r>
              <w:rPr>
                <w:sz w:val="20"/>
              </w:rPr>
              <w:t>community</w:t>
            </w:r>
            <w:r>
              <w:rPr>
                <w:spacing w:val="-2"/>
                <w:sz w:val="20"/>
              </w:rPr>
              <w:t> </w:t>
            </w:r>
            <w:r>
              <w:rPr>
                <w:sz w:val="20"/>
              </w:rPr>
              <w:t>group facilities on Council land ($0.38 million)</w:t>
            </w:r>
          </w:p>
          <w:p>
            <w:pPr>
              <w:pStyle w:val="TableParagraph"/>
              <w:numPr>
                <w:ilvl w:val="0"/>
                <w:numId w:val="3"/>
              </w:numPr>
              <w:tabs>
                <w:tab w:pos="854" w:val="left" w:leader="none"/>
                <w:tab w:pos="855" w:val="left" w:leader="none"/>
              </w:tabs>
              <w:spacing w:line="249" w:lineRule="auto" w:before="0" w:after="0"/>
              <w:ind w:left="854" w:right="144" w:hanging="713"/>
              <w:jc w:val="left"/>
              <w:rPr>
                <w:sz w:val="20"/>
              </w:rPr>
            </w:pPr>
            <w:r>
              <w:rPr>
                <w:sz w:val="20"/>
              </w:rPr>
              <w:t>Community Facilities Access and Public Toilet Improvement ($0.31</w:t>
            </w:r>
            <w:r>
              <w:rPr>
                <w:spacing w:val="-12"/>
                <w:sz w:val="20"/>
              </w:rPr>
              <w:t> </w:t>
            </w:r>
            <w:r>
              <w:rPr>
                <w:sz w:val="20"/>
              </w:rPr>
              <w:t>million)</w:t>
            </w:r>
            <w:r>
              <w:rPr>
                <w:spacing w:val="-1"/>
                <w:sz w:val="20"/>
              </w:rPr>
              <w:t> </w:t>
            </w:r>
            <w:r>
              <w:rPr>
                <w:sz w:val="20"/>
              </w:rPr>
              <w:t>–</w:t>
            </w:r>
            <w:r>
              <w:rPr>
                <w:spacing w:val="-6"/>
                <w:sz w:val="20"/>
              </w:rPr>
              <w:t> </w:t>
            </w:r>
            <w:r>
              <w:rPr>
                <w:sz w:val="20"/>
              </w:rPr>
              <w:t>to</w:t>
            </w:r>
            <w:r>
              <w:rPr>
                <w:spacing w:val="-4"/>
                <w:sz w:val="20"/>
              </w:rPr>
              <w:t> </w:t>
            </w:r>
            <w:r>
              <w:rPr>
                <w:sz w:val="20"/>
              </w:rPr>
              <w:t>improve</w:t>
            </w:r>
            <w:r>
              <w:rPr>
                <w:spacing w:val="-5"/>
                <w:sz w:val="20"/>
              </w:rPr>
              <w:t> </w:t>
            </w:r>
            <w:r>
              <w:rPr>
                <w:sz w:val="20"/>
              </w:rPr>
              <w:t>accessibility</w:t>
            </w:r>
            <w:r>
              <w:rPr>
                <w:spacing w:val="-3"/>
                <w:sz w:val="20"/>
              </w:rPr>
              <w:t> </w:t>
            </w:r>
            <w:r>
              <w:rPr>
                <w:sz w:val="20"/>
              </w:rPr>
              <w:t>to</w:t>
            </w:r>
            <w:r>
              <w:rPr>
                <w:spacing w:val="-2"/>
                <w:sz w:val="20"/>
              </w:rPr>
              <w:t> </w:t>
            </w:r>
            <w:r>
              <w:rPr>
                <w:sz w:val="20"/>
              </w:rPr>
              <w:t>Council</w:t>
            </w:r>
            <w:r>
              <w:rPr>
                <w:spacing w:val="-7"/>
                <w:sz w:val="20"/>
              </w:rPr>
              <w:t> </w:t>
            </w:r>
            <w:r>
              <w:rPr>
                <w:sz w:val="20"/>
              </w:rPr>
              <w:t>facilities</w:t>
            </w:r>
            <w:r>
              <w:rPr>
                <w:spacing w:val="-4"/>
                <w:sz w:val="20"/>
              </w:rPr>
              <w:t> </w:t>
            </w:r>
            <w:r>
              <w:rPr>
                <w:sz w:val="20"/>
              </w:rPr>
              <w:t>for people with disabilities</w:t>
            </w:r>
          </w:p>
          <w:p>
            <w:pPr>
              <w:pStyle w:val="TableParagraph"/>
              <w:numPr>
                <w:ilvl w:val="0"/>
                <w:numId w:val="3"/>
              </w:numPr>
              <w:tabs>
                <w:tab w:pos="854" w:val="left" w:leader="none"/>
                <w:tab w:pos="855" w:val="left" w:leader="none"/>
              </w:tabs>
              <w:spacing w:line="232" w:lineRule="exact" w:before="0" w:after="0"/>
              <w:ind w:left="854" w:right="0" w:hanging="714"/>
              <w:jc w:val="left"/>
              <w:rPr>
                <w:sz w:val="20"/>
              </w:rPr>
            </w:pPr>
            <w:r>
              <w:rPr>
                <w:sz w:val="20"/>
              </w:rPr>
              <w:t>Community</w:t>
            </w:r>
            <w:r>
              <w:rPr>
                <w:spacing w:val="-7"/>
                <w:sz w:val="20"/>
              </w:rPr>
              <w:t> </w:t>
            </w:r>
            <w:r>
              <w:rPr>
                <w:sz w:val="20"/>
              </w:rPr>
              <w:t>facilities</w:t>
            </w:r>
            <w:r>
              <w:rPr>
                <w:spacing w:val="-4"/>
                <w:sz w:val="20"/>
              </w:rPr>
              <w:t> </w:t>
            </w:r>
            <w:r>
              <w:rPr>
                <w:sz w:val="20"/>
              </w:rPr>
              <w:t>major</w:t>
            </w:r>
            <w:r>
              <w:rPr>
                <w:spacing w:val="-4"/>
                <w:sz w:val="20"/>
              </w:rPr>
              <w:t> </w:t>
            </w:r>
            <w:r>
              <w:rPr>
                <w:sz w:val="20"/>
              </w:rPr>
              <w:t>plant</w:t>
            </w:r>
            <w:r>
              <w:rPr>
                <w:spacing w:val="-7"/>
                <w:sz w:val="20"/>
              </w:rPr>
              <w:t> </w:t>
            </w:r>
            <w:r>
              <w:rPr>
                <w:sz w:val="20"/>
              </w:rPr>
              <w:t>renewal</w:t>
            </w:r>
            <w:r>
              <w:rPr>
                <w:spacing w:val="-10"/>
                <w:sz w:val="20"/>
              </w:rPr>
              <w:t> </w:t>
            </w:r>
            <w:r>
              <w:rPr>
                <w:sz w:val="20"/>
              </w:rPr>
              <w:t>($0.30</w:t>
            </w:r>
            <w:r>
              <w:rPr>
                <w:spacing w:val="-5"/>
                <w:sz w:val="20"/>
              </w:rPr>
              <w:t> </w:t>
            </w:r>
            <w:r>
              <w:rPr>
                <w:spacing w:val="-2"/>
                <w:sz w:val="20"/>
              </w:rPr>
              <w:t>million)</w:t>
            </w:r>
          </w:p>
        </w:tc>
      </w:tr>
      <w:tr>
        <w:trPr>
          <w:trHeight w:val="1398" w:hRule="atLeast"/>
        </w:trPr>
        <w:tc>
          <w:tcPr>
            <w:tcW w:w="2390" w:type="dxa"/>
            <w:tcBorders>
              <w:top w:val="single" w:sz="4" w:space="0" w:color="A0C3E2"/>
              <w:left w:val="single" w:sz="12" w:space="0" w:color="000000"/>
              <w:bottom w:val="single" w:sz="4" w:space="0" w:color="A0C3E2"/>
              <w:right w:val="single" w:sz="4" w:space="0" w:color="A0C3E2"/>
            </w:tcBorders>
          </w:tcPr>
          <w:p>
            <w:pPr>
              <w:pStyle w:val="TableParagraph"/>
              <w:spacing w:line="229" w:lineRule="exact"/>
              <w:ind w:left="107"/>
              <w:rPr>
                <w:b/>
                <w:sz w:val="20"/>
              </w:rPr>
            </w:pPr>
            <w:r>
              <w:rPr>
                <w:b/>
                <w:spacing w:val="-4"/>
                <w:sz w:val="20"/>
              </w:rPr>
              <w:t>Roads</w:t>
            </w:r>
          </w:p>
        </w:tc>
        <w:tc>
          <w:tcPr>
            <w:tcW w:w="1495" w:type="dxa"/>
            <w:tcBorders>
              <w:top w:val="single" w:sz="4" w:space="0" w:color="A0C3E2"/>
              <w:left w:val="single" w:sz="4" w:space="0" w:color="A0C3E2"/>
              <w:bottom w:val="single" w:sz="4" w:space="0" w:color="A0C3E2"/>
              <w:right w:val="single" w:sz="4" w:space="0" w:color="A0C3E2"/>
            </w:tcBorders>
          </w:tcPr>
          <w:p>
            <w:pPr>
              <w:pStyle w:val="TableParagraph"/>
              <w:spacing w:line="229" w:lineRule="exact"/>
              <w:ind w:right="89"/>
              <w:jc w:val="right"/>
              <w:rPr>
                <w:b/>
                <w:sz w:val="20"/>
              </w:rPr>
            </w:pPr>
            <w:r>
              <w:rPr>
                <w:b/>
                <w:spacing w:val="-2"/>
                <w:sz w:val="20"/>
              </w:rPr>
              <w:t>$5.75</w:t>
            </w:r>
          </w:p>
        </w:tc>
        <w:tc>
          <w:tcPr>
            <w:tcW w:w="6552" w:type="dxa"/>
            <w:tcBorders>
              <w:top w:val="single" w:sz="4" w:space="0" w:color="A0C3E2"/>
              <w:left w:val="single" w:sz="4" w:space="0" w:color="A0C3E2"/>
              <w:bottom w:val="single" w:sz="4" w:space="0" w:color="A0C3E2"/>
              <w:right w:val="single" w:sz="12" w:space="0" w:color="000000"/>
            </w:tcBorders>
          </w:tcPr>
          <w:p>
            <w:pPr>
              <w:pStyle w:val="TableParagraph"/>
              <w:numPr>
                <w:ilvl w:val="0"/>
                <w:numId w:val="4"/>
              </w:numPr>
              <w:tabs>
                <w:tab w:pos="854" w:val="left" w:leader="none"/>
                <w:tab w:pos="855" w:val="left" w:leader="none"/>
              </w:tabs>
              <w:spacing w:line="233" w:lineRule="exact" w:before="0" w:after="0"/>
              <w:ind w:left="854" w:right="0" w:hanging="714"/>
              <w:jc w:val="left"/>
              <w:rPr>
                <w:sz w:val="20"/>
              </w:rPr>
            </w:pPr>
            <w:r>
              <w:rPr>
                <w:sz w:val="20"/>
              </w:rPr>
              <w:t>Local</w:t>
            </w:r>
            <w:r>
              <w:rPr>
                <w:spacing w:val="-8"/>
                <w:sz w:val="20"/>
              </w:rPr>
              <w:t> </w:t>
            </w:r>
            <w:r>
              <w:rPr>
                <w:sz w:val="20"/>
              </w:rPr>
              <w:t>road</w:t>
            </w:r>
            <w:r>
              <w:rPr>
                <w:spacing w:val="-8"/>
                <w:sz w:val="20"/>
              </w:rPr>
              <w:t> </w:t>
            </w:r>
            <w:r>
              <w:rPr>
                <w:sz w:val="20"/>
              </w:rPr>
              <w:t>renewal</w:t>
            </w:r>
            <w:r>
              <w:rPr>
                <w:spacing w:val="-4"/>
                <w:sz w:val="20"/>
              </w:rPr>
              <w:t> </w:t>
            </w:r>
            <w:r>
              <w:rPr>
                <w:sz w:val="20"/>
              </w:rPr>
              <w:t>program</w:t>
            </w:r>
            <w:r>
              <w:rPr>
                <w:spacing w:val="-5"/>
                <w:sz w:val="20"/>
              </w:rPr>
              <w:t> </w:t>
            </w:r>
            <w:r>
              <w:rPr>
                <w:color w:val="000000"/>
                <w:sz w:val="20"/>
                <w:shd w:fill="E6E6E6" w:color="auto" w:val="clear"/>
              </w:rPr>
              <w:t>($</w:t>
            </w:r>
            <w:r>
              <w:rPr>
                <w:color w:val="000000"/>
                <w:sz w:val="20"/>
              </w:rPr>
              <w:t>2.30</w:t>
            </w:r>
            <w:r>
              <w:rPr>
                <w:color w:val="000000"/>
                <w:spacing w:val="-7"/>
                <w:sz w:val="20"/>
              </w:rPr>
              <w:t> </w:t>
            </w:r>
            <w:r>
              <w:rPr>
                <w:color w:val="000000"/>
                <w:spacing w:val="-2"/>
                <w:sz w:val="20"/>
              </w:rPr>
              <w:t>million)</w:t>
            </w:r>
          </w:p>
          <w:p>
            <w:pPr>
              <w:pStyle w:val="TableParagraph"/>
              <w:numPr>
                <w:ilvl w:val="0"/>
                <w:numId w:val="4"/>
              </w:numPr>
              <w:tabs>
                <w:tab w:pos="854" w:val="left" w:leader="none"/>
                <w:tab w:pos="855" w:val="left" w:leader="none"/>
              </w:tabs>
              <w:spacing w:line="240" w:lineRule="exact" w:before="0" w:after="0"/>
              <w:ind w:left="854" w:right="0" w:hanging="714"/>
              <w:jc w:val="left"/>
              <w:rPr>
                <w:sz w:val="20"/>
              </w:rPr>
            </w:pPr>
            <w:r>
              <w:rPr>
                <w:sz w:val="20"/>
              </w:rPr>
              <w:t>Local</w:t>
            </w:r>
            <w:r>
              <w:rPr>
                <w:spacing w:val="-6"/>
                <w:sz w:val="20"/>
              </w:rPr>
              <w:t> </w:t>
            </w:r>
            <w:r>
              <w:rPr>
                <w:sz w:val="20"/>
              </w:rPr>
              <w:t>area</w:t>
            </w:r>
            <w:r>
              <w:rPr>
                <w:spacing w:val="-8"/>
                <w:sz w:val="20"/>
              </w:rPr>
              <w:t> </w:t>
            </w:r>
            <w:r>
              <w:rPr>
                <w:sz w:val="20"/>
              </w:rPr>
              <w:t>traffic</w:t>
            </w:r>
            <w:r>
              <w:rPr>
                <w:spacing w:val="-6"/>
                <w:sz w:val="20"/>
              </w:rPr>
              <w:t> </w:t>
            </w:r>
            <w:r>
              <w:rPr>
                <w:sz w:val="20"/>
              </w:rPr>
              <w:t>management</w:t>
            </w:r>
            <w:r>
              <w:rPr>
                <w:spacing w:val="-8"/>
                <w:sz w:val="20"/>
              </w:rPr>
              <w:t> </w:t>
            </w:r>
            <w:r>
              <w:rPr>
                <w:sz w:val="20"/>
              </w:rPr>
              <w:t>($1.27</w:t>
            </w:r>
            <w:r>
              <w:rPr>
                <w:spacing w:val="-6"/>
                <w:sz w:val="20"/>
              </w:rPr>
              <w:t> </w:t>
            </w:r>
            <w:r>
              <w:rPr>
                <w:spacing w:val="-2"/>
                <w:sz w:val="20"/>
              </w:rPr>
              <w:t>million)</w:t>
            </w:r>
          </w:p>
          <w:p>
            <w:pPr>
              <w:pStyle w:val="TableParagraph"/>
              <w:numPr>
                <w:ilvl w:val="0"/>
                <w:numId w:val="4"/>
              </w:numPr>
              <w:tabs>
                <w:tab w:pos="854" w:val="left" w:leader="none"/>
                <w:tab w:pos="855" w:val="left" w:leader="none"/>
              </w:tabs>
              <w:spacing w:line="240" w:lineRule="exact" w:before="0" w:after="0"/>
              <w:ind w:left="854" w:right="0" w:hanging="714"/>
              <w:jc w:val="left"/>
              <w:rPr>
                <w:sz w:val="20"/>
              </w:rPr>
            </w:pPr>
            <w:r>
              <w:rPr>
                <w:sz w:val="20"/>
              </w:rPr>
              <w:t>Local</w:t>
            </w:r>
            <w:r>
              <w:rPr>
                <w:spacing w:val="-7"/>
                <w:sz w:val="20"/>
              </w:rPr>
              <w:t> </w:t>
            </w:r>
            <w:r>
              <w:rPr>
                <w:sz w:val="20"/>
              </w:rPr>
              <w:t>road</w:t>
            </w:r>
            <w:r>
              <w:rPr>
                <w:spacing w:val="-7"/>
                <w:sz w:val="20"/>
              </w:rPr>
              <w:t> </w:t>
            </w:r>
            <w:r>
              <w:rPr>
                <w:sz w:val="20"/>
              </w:rPr>
              <w:t>reconstruction</w:t>
            </w:r>
            <w:r>
              <w:rPr>
                <w:spacing w:val="-7"/>
                <w:sz w:val="20"/>
              </w:rPr>
              <w:t> </w:t>
            </w:r>
            <w:r>
              <w:rPr>
                <w:sz w:val="20"/>
              </w:rPr>
              <w:t>($0.55</w:t>
            </w:r>
            <w:r>
              <w:rPr>
                <w:spacing w:val="-7"/>
                <w:sz w:val="20"/>
              </w:rPr>
              <w:t> </w:t>
            </w:r>
            <w:r>
              <w:rPr>
                <w:spacing w:val="-2"/>
                <w:sz w:val="20"/>
              </w:rPr>
              <w:t>million)</w:t>
            </w:r>
          </w:p>
          <w:p>
            <w:pPr>
              <w:pStyle w:val="TableParagraph"/>
              <w:numPr>
                <w:ilvl w:val="0"/>
                <w:numId w:val="4"/>
              </w:numPr>
              <w:tabs>
                <w:tab w:pos="854" w:val="left" w:leader="none"/>
                <w:tab w:pos="855" w:val="left" w:leader="none"/>
              </w:tabs>
              <w:spacing w:line="243" w:lineRule="exact" w:before="0" w:after="0"/>
              <w:ind w:left="854" w:right="0" w:hanging="714"/>
              <w:jc w:val="left"/>
              <w:rPr>
                <w:sz w:val="20"/>
              </w:rPr>
            </w:pPr>
            <w:r>
              <w:rPr>
                <w:sz w:val="20"/>
              </w:rPr>
              <w:t>Kerb</w:t>
            </w:r>
            <w:r>
              <w:rPr>
                <w:spacing w:val="-7"/>
                <w:sz w:val="20"/>
              </w:rPr>
              <w:t> </w:t>
            </w:r>
            <w:r>
              <w:rPr>
                <w:sz w:val="20"/>
              </w:rPr>
              <w:t>and</w:t>
            </w:r>
            <w:r>
              <w:rPr>
                <w:spacing w:val="-7"/>
                <w:sz w:val="20"/>
              </w:rPr>
              <w:t> </w:t>
            </w:r>
            <w:r>
              <w:rPr>
                <w:sz w:val="20"/>
              </w:rPr>
              <w:t>channel</w:t>
            </w:r>
            <w:r>
              <w:rPr>
                <w:spacing w:val="-7"/>
                <w:sz w:val="20"/>
              </w:rPr>
              <w:t> </w:t>
            </w:r>
            <w:r>
              <w:rPr>
                <w:sz w:val="20"/>
              </w:rPr>
              <w:t>replacement</w:t>
            </w:r>
            <w:r>
              <w:rPr>
                <w:spacing w:val="-7"/>
                <w:sz w:val="20"/>
              </w:rPr>
              <w:t> </w:t>
            </w:r>
            <w:r>
              <w:rPr>
                <w:sz w:val="20"/>
              </w:rPr>
              <w:t>works</w:t>
            </w:r>
            <w:r>
              <w:rPr>
                <w:spacing w:val="-7"/>
                <w:sz w:val="20"/>
              </w:rPr>
              <w:t> </w:t>
            </w:r>
            <w:r>
              <w:rPr>
                <w:sz w:val="20"/>
              </w:rPr>
              <w:t>($0.64</w:t>
            </w:r>
            <w:r>
              <w:rPr>
                <w:spacing w:val="-5"/>
                <w:sz w:val="20"/>
              </w:rPr>
              <w:t> </w:t>
            </w:r>
            <w:r>
              <w:rPr>
                <w:spacing w:val="-2"/>
                <w:sz w:val="20"/>
              </w:rPr>
              <w:t>million)</w:t>
            </w:r>
          </w:p>
        </w:tc>
      </w:tr>
      <w:tr>
        <w:trPr>
          <w:trHeight w:val="1161" w:hRule="atLeast"/>
        </w:trPr>
        <w:tc>
          <w:tcPr>
            <w:tcW w:w="2390" w:type="dxa"/>
            <w:tcBorders>
              <w:top w:val="single" w:sz="4" w:space="0" w:color="A0C3E2"/>
              <w:left w:val="single" w:sz="12" w:space="0" w:color="000000"/>
              <w:bottom w:val="single" w:sz="4" w:space="0" w:color="A0C3E2"/>
              <w:right w:val="single" w:sz="4" w:space="0" w:color="A0C3E2"/>
            </w:tcBorders>
            <w:shd w:val="clear" w:color="auto" w:fill="DFEBF4"/>
          </w:tcPr>
          <w:p>
            <w:pPr>
              <w:pStyle w:val="TableParagraph"/>
              <w:ind w:left="107" w:right="158"/>
              <w:rPr>
                <w:b/>
                <w:sz w:val="20"/>
              </w:rPr>
            </w:pPr>
            <w:r>
              <w:rPr>
                <w:b/>
                <w:sz w:val="20"/>
              </w:rPr>
              <w:t>Footpaths</w:t>
            </w:r>
            <w:r>
              <w:rPr>
                <w:b/>
                <w:spacing w:val="-14"/>
                <w:sz w:val="20"/>
              </w:rPr>
              <w:t> </w:t>
            </w:r>
            <w:r>
              <w:rPr>
                <w:b/>
                <w:sz w:val="20"/>
              </w:rPr>
              <w:t>&amp; </w:t>
            </w:r>
            <w:r>
              <w:rPr>
                <w:b/>
                <w:spacing w:val="-2"/>
                <w:sz w:val="20"/>
              </w:rPr>
              <w:t>cycleways</w:t>
            </w:r>
          </w:p>
        </w:tc>
        <w:tc>
          <w:tcPr>
            <w:tcW w:w="1495" w:type="dxa"/>
            <w:tcBorders>
              <w:top w:val="single" w:sz="4" w:space="0" w:color="A0C3E2"/>
              <w:left w:val="single" w:sz="4" w:space="0" w:color="A0C3E2"/>
              <w:bottom w:val="single" w:sz="4" w:space="0" w:color="A0C3E2"/>
              <w:right w:val="single" w:sz="4" w:space="0" w:color="A0C3E2"/>
            </w:tcBorders>
            <w:shd w:val="clear" w:color="auto" w:fill="DFEBF4"/>
          </w:tcPr>
          <w:p>
            <w:pPr>
              <w:pStyle w:val="TableParagraph"/>
              <w:spacing w:line="229" w:lineRule="exact"/>
              <w:ind w:right="89"/>
              <w:jc w:val="right"/>
              <w:rPr>
                <w:b/>
                <w:sz w:val="20"/>
              </w:rPr>
            </w:pPr>
            <w:r>
              <w:rPr>
                <w:b/>
                <w:spacing w:val="-2"/>
                <w:sz w:val="20"/>
              </w:rPr>
              <w:t>$4.49</w:t>
            </w:r>
          </w:p>
        </w:tc>
        <w:tc>
          <w:tcPr>
            <w:tcW w:w="6552" w:type="dxa"/>
            <w:tcBorders>
              <w:top w:val="single" w:sz="4" w:space="0" w:color="A0C3E2"/>
              <w:left w:val="single" w:sz="4" w:space="0" w:color="A0C3E2"/>
              <w:bottom w:val="single" w:sz="4" w:space="0" w:color="A0C3E2"/>
              <w:right w:val="single" w:sz="12" w:space="0" w:color="000000"/>
            </w:tcBorders>
            <w:shd w:val="clear" w:color="auto" w:fill="DFEBF4"/>
          </w:tcPr>
          <w:p>
            <w:pPr>
              <w:pStyle w:val="TableParagraph"/>
              <w:numPr>
                <w:ilvl w:val="0"/>
                <w:numId w:val="5"/>
              </w:numPr>
              <w:tabs>
                <w:tab w:pos="854" w:val="left" w:leader="none"/>
                <w:tab w:pos="855" w:val="left" w:leader="none"/>
              </w:tabs>
              <w:spacing w:line="236" w:lineRule="exact" w:before="0" w:after="0"/>
              <w:ind w:left="854" w:right="0" w:hanging="714"/>
              <w:jc w:val="left"/>
              <w:rPr>
                <w:sz w:val="20"/>
              </w:rPr>
            </w:pPr>
            <w:r>
              <w:rPr>
                <w:sz w:val="20"/>
              </w:rPr>
              <w:t>Footpath</w:t>
            </w:r>
            <w:r>
              <w:rPr>
                <w:spacing w:val="-10"/>
                <w:sz w:val="20"/>
              </w:rPr>
              <w:t> </w:t>
            </w:r>
            <w:r>
              <w:rPr>
                <w:sz w:val="20"/>
              </w:rPr>
              <w:t>construction</w:t>
            </w:r>
            <w:r>
              <w:rPr>
                <w:spacing w:val="-7"/>
                <w:sz w:val="20"/>
              </w:rPr>
              <w:t> </w:t>
            </w:r>
            <w:r>
              <w:rPr>
                <w:sz w:val="20"/>
              </w:rPr>
              <w:t>program</w:t>
            </w:r>
            <w:r>
              <w:rPr>
                <w:spacing w:val="-9"/>
                <w:sz w:val="20"/>
              </w:rPr>
              <w:t> </w:t>
            </w:r>
            <w:r>
              <w:rPr>
                <w:sz w:val="20"/>
              </w:rPr>
              <w:t>($3.40</w:t>
            </w:r>
            <w:r>
              <w:rPr>
                <w:spacing w:val="-5"/>
                <w:sz w:val="20"/>
              </w:rPr>
              <w:t> </w:t>
            </w:r>
            <w:r>
              <w:rPr>
                <w:spacing w:val="-2"/>
                <w:sz w:val="20"/>
              </w:rPr>
              <w:t>million)</w:t>
            </w:r>
          </w:p>
          <w:p>
            <w:pPr>
              <w:pStyle w:val="TableParagraph"/>
              <w:numPr>
                <w:ilvl w:val="0"/>
                <w:numId w:val="5"/>
              </w:numPr>
              <w:tabs>
                <w:tab w:pos="854" w:val="left" w:leader="none"/>
                <w:tab w:pos="855" w:val="left" w:leader="none"/>
              </w:tabs>
              <w:spacing w:line="240" w:lineRule="exact" w:before="0" w:after="0"/>
              <w:ind w:left="854" w:right="0" w:hanging="714"/>
              <w:jc w:val="left"/>
              <w:rPr>
                <w:sz w:val="20"/>
              </w:rPr>
            </w:pPr>
            <w:r>
              <w:rPr>
                <w:sz w:val="20"/>
              </w:rPr>
              <w:t>Shared</w:t>
            </w:r>
            <w:r>
              <w:rPr>
                <w:spacing w:val="-9"/>
                <w:sz w:val="20"/>
              </w:rPr>
              <w:t> </w:t>
            </w:r>
            <w:r>
              <w:rPr>
                <w:sz w:val="20"/>
              </w:rPr>
              <w:t>(bike)</w:t>
            </w:r>
            <w:r>
              <w:rPr>
                <w:spacing w:val="-6"/>
                <w:sz w:val="20"/>
              </w:rPr>
              <w:t> </w:t>
            </w:r>
            <w:r>
              <w:rPr>
                <w:sz w:val="20"/>
              </w:rPr>
              <w:t>path</w:t>
            </w:r>
            <w:r>
              <w:rPr>
                <w:spacing w:val="-8"/>
                <w:sz w:val="20"/>
              </w:rPr>
              <w:t> </w:t>
            </w:r>
            <w:r>
              <w:rPr>
                <w:sz w:val="20"/>
              </w:rPr>
              <w:t>improvement</w:t>
            </w:r>
            <w:r>
              <w:rPr>
                <w:spacing w:val="-6"/>
                <w:sz w:val="20"/>
              </w:rPr>
              <w:t> </w:t>
            </w:r>
            <w:r>
              <w:rPr>
                <w:sz w:val="20"/>
              </w:rPr>
              <w:t>program</w:t>
            </w:r>
            <w:r>
              <w:rPr>
                <w:spacing w:val="-9"/>
                <w:sz w:val="20"/>
              </w:rPr>
              <w:t> </w:t>
            </w:r>
            <w:r>
              <w:rPr>
                <w:sz w:val="20"/>
              </w:rPr>
              <w:t>($0.43</w:t>
            </w:r>
            <w:r>
              <w:rPr>
                <w:spacing w:val="-6"/>
                <w:sz w:val="20"/>
              </w:rPr>
              <w:t> </w:t>
            </w:r>
            <w:r>
              <w:rPr>
                <w:spacing w:val="-2"/>
                <w:sz w:val="20"/>
              </w:rPr>
              <w:t>million)</w:t>
            </w:r>
          </w:p>
          <w:p>
            <w:pPr>
              <w:pStyle w:val="TableParagraph"/>
              <w:numPr>
                <w:ilvl w:val="0"/>
                <w:numId w:val="5"/>
              </w:numPr>
              <w:tabs>
                <w:tab w:pos="854" w:val="left" w:leader="none"/>
                <w:tab w:pos="855" w:val="left" w:leader="none"/>
              </w:tabs>
              <w:spacing w:line="240" w:lineRule="exact" w:before="0" w:after="0"/>
              <w:ind w:left="854" w:right="0" w:hanging="714"/>
              <w:jc w:val="left"/>
              <w:rPr>
                <w:sz w:val="20"/>
              </w:rPr>
            </w:pPr>
            <w:r>
              <w:rPr>
                <w:sz w:val="20"/>
              </w:rPr>
              <w:t>Accessibility</w:t>
            </w:r>
            <w:r>
              <w:rPr>
                <w:spacing w:val="-10"/>
                <w:sz w:val="20"/>
              </w:rPr>
              <w:t> </w:t>
            </w:r>
            <w:r>
              <w:rPr>
                <w:sz w:val="20"/>
              </w:rPr>
              <w:t>Improvement</w:t>
            </w:r>
            <w:r>
              <w:rPr>
                <w:spacing w:val="-7"/>
                <w:sz w:val="20"/>
              </w:rPr>
              <w:t> </w:t>
            </w:r>
            <w:r>
              <w:rPr>
                <w:sz w:val="20"/>
              </w:rPr>
              <w:t>Program</w:t>
            </w:r>
            <w:r>
              <w:rPr>
                <w:spacing w:val="-9"/>
                <w:sz w:val="20"/>
              </w:rPr>
              <w:t> </w:t>
            </w:r>
            <w:r>
              <w:rPr>
                <w:sz w:val="20"/>
              </w:rPr>
              <w:t>($0.34</w:t>
            </w:r>
            <w:r>
              <w:rPr>
                <w:spacing w:val="-7"/>
                <w:sz w:val="20"/>
              </w:rPr>
              <w:t> </w:t>
            </w:r>
            <w:r>
              <w:rPr>
                <w:spacing w:val="-2"/>
                <w:sz w:val="20"/>
              </w:rPr>
              <w:t>million)</w:t>
            </w:r>
          </w:p>
          <w:p>
            <w:pPr>
              <w:pStyle w:val="TableParagraph"/>
              <w:numPr>
                <w:ilvl w:val="0"/>
                <w:numId w:val="5"/>
              </w:numPr>
              <w:tabs>
                <w:tab w:pos="854" w:val="left" w:leader="none"/>
                <w:tab w:pos="855" w:val="left" w:leader="none"/>
              </w:tabs>
              <w:spacing w:line="243" w:lineRule="exact" w:before="0" w:after="0"/>
              <w:ind w:left="854" w:right="0" w:hanging="714"/>
              <w:jc w:val="left"/>
              <w:rPr>
                <w:sz w:val="20"/>
              </w:rPr>
            </w:pPr>
            <w:r>
              <w:rPr>
                <w:sz w:val="20"/>
              </w:rPr>
              <w:t>Footpath</w:t>
            </w:r>
            <w:r>
              <w:rPr>
                <w:spacing w:val="-9"/>
                <w:sz w:val="20"/>
              </w:rPr>
              <w:t> </w:t>
            </w:r>
            <w:r>
              <w:rPr>
                <w:sz w:val="20"/>
              </w:rPr>
              <w:t>replacement</w:t>
            </w:r>
            <w:r>
              <w:rPr>
                <w:spacing w:val="-7"/>
                <w:sz w:val="20"/>
              </w:rPr>
              <w:t> </w:t>
            </w:r>
            <w:r>
              <w:rPr>
                <w:sz w:val="20"/>
              </w:rPr>
              <w:t>works</w:t>
            </w:r>
            <w:r>
              <w:rPr>
                <w:spacing w:val="-8"/>
                <w:sz w:val="20"/>
              </w:rPr>
              <w:t> </w:t>
            </w:r>
            <w:r>
              <w:rPr>
                <w:spacing w:val="-2"/>
                <w:sz w:val="20"/>
              </w:rPr>
              <w:t>($0.32million)</w:t>
            </w:r>
          </w:p>
        </w:tc>
      </w:tr>
      <w:tr>
        <w:trPr>
          <w:trHeight w:val="438" w:hRule="atLeast"/>
        </w:trPr>
        <w:tc>
          <w:tcPr>
            <w:tcW w:w="2390" w:type="dxa"/>
            <w:tcBorders>
              <w:top w:val="single" w:sz="4" w:space="0" w:color="A0C3E2"/>
              <w:left w:val="single" w:sz="12" w:space="0" w:color="000000"/>
              <w:bottom w:val="single" w:sz="4" w:space="0" w:color="A0C3E2"/>
              <w:right w:val="single" w:sz="4" w:space="0" w:color="A0C3E2"/>
            </w:tcBorders>
          </w:tcPr>
          <w:p>
            <w:pPr>
              <w:pStyle w:val="TableParagraph"/>
              <w:spacing w:line="229" w:lineRule="exact"/>
              <w:ind w:left="107"/>
              <w:rPr>
                <w:b/>
                <w:sz w:val="20"/>
              </w:rPr>
            </w:pPr>
            <w:r>
              <w:rPr>
                <w:b/>
                <w:spacing w:val="-2"/>
                <w:sz w:val="20"/>
              </w:rPr>
              <w:t>Carparks</w:t>
            </w:r>
          </w:p>
        </w:tc>
        <w:tc>
          <w:tcPr>
            <w:tcW w:w="1495" w:type="dxa"/>
            <w:tcBorders>
              <w:top w:val="single" w:sz="4" w:space="0" w:color="A0C3E2"/>
              <w:left w:val="single" w:sz="4" w:space="0" w:color="A0C3E2"/>
              <w:bottom w:val="single" w:sz="4" w:space="0" w:color="A0C3E2"/>
              <w:right w:val="single" w:sz="4" w:space="0" w:color="A0C3E2"/>
            </w:tcBorders>
          </w:tcPr>
          <w:p>
            <w:pPr>
              <w:pStyle w:val="TableParagraph"/>
              <w:spacing w:line="229" w:lineRule="exact"/>
              <w:ind w:right="89"/>
              <w:jc w:val="right"/>
              <w:rPr>
                <w:b/>
                <w:sz w:val="20"/>
              </w:rPr>
            </w:pPr>
            <w:r>
              <w:rPr>
                <w:b/>
                <w:spacing w:val="-2"/>
                <w:sz w:val="20"/>
              </w:rPr>
              <w:t>$0.44</w:t>
            </w:r>
          </w:p>
        </w:tc>
        <w:tc>
          <w:tcPr>
            <w:tcW w:w="6552" w:type="dxa"/>
            <w:tcBorders>
              <w:top w:val="single" w:sz="4" w:space="0" w:color="A0C3E2"/>
              <w:left w:val="single" w:sz="4" w:space="0" w:color="A0C3E2"/>
              <w:bottom w:val="single" w:sz="4" w:space="0" w:color="A0C3E2"/>
              <w:right w:val="single" w:sz="12" w:space="0" w:color="000000"/>
            </w:tcBorders>
          </w:tcPr>
          <w:p>
            <w:pPr>
              <w:pStyle w:val="TableParagraph"/>
              <w:numPr>
                <w:ilvl w:val="0"/>
                <w:numId w:val="6"/>
              </w:numPr>
              <w:tabs>
                <w:tab w:pos="854" w:val="left" w:leader="none"/>
                <w:tab w:pos="855" w:val="left" w:leader="none"/>
              </w:tabs>
              <w:spacing w:line="236" w:lineRule="exact" w:before="0" w:after="0"/>
              <w:ind w:left="854" w:right="0" w:hanging="714"/>
              <w:jc w:val="left"/>
              <w:rPr>
                <w:sz w:val="20"/>
              </w:rPr>
            </w:pPr>
            <w:r>
              <w:rPr>
                <w:sz w:val="20"/>
              </w:rPr>
              <w:t>Carpark</w:t>
            </w:r>
            <w:r>
              <w:rPr>
                <w:spacing w:val="-8"/>
                <w:sz w:val="20"/>
              </w:rPr>
              <w:t> </w:t>
            </w:r>
            <w:r>
              <w:rPr>
                <w:sz w:val="20"/>
              </w:rPr>
              <w:t>improvement</w:t>
            </w:r>
            <w:r>
              <w:rPr>
                <w:spacing w:val="-7"/>
                <w:sz w:val="20"/>
              </w:rPr>
              <w:t> </w:t>
            </w:r>
            <w:r>
              <w:rPr>
                <w:sz w:val="20"/>
              </w:rPr>
              <w:t>program</w:t>
            </w:r>
            <w:r>
              <w:rPr>
                <w:spacing w:val="-9"/>
                <w:sz w:val="20"/>
              </w:rPr>
              <w:t> </w:t>
            </w:r>
            <w:r>
              <w:rPr>
                <w:sz w:val="20"/>
              </w:rPr>
              <w:t>($0.44</w:t>
            </w:r>
            <w:r>
              <w:rPr>
                <w:spacing w:val="-7"/>
                <w:sz w:val="20"/>
              </w:rPr>
              <w:t> </w:t>
            </w:r>
            <w:r>
              <w:rPr>
                <w:spacing w:val="-2"/>
                <w:sz w:val="20"/>
              </w:rPr>
              <w:t>million)</w:t>
            </w:r>
          </w:p>
        </w:tc>
      </w:tr>
      <w:tr>
        <w:trPr>
          <w:trHeight w:val="681" w:hRule="atLeast"/>
        </w:trPr>
        <w:tc>
          <w:tcPr>
            <w:tcW w:w="2390" w:type="dxa"/>
            <w:tcBorders>
              <w:top w:val="single" w:sz="4" w:space="0" w:color="A0C3E2"/>
              <w:left w:val="single" w:sz="12" w:space="0" w:color="000000"/>
              <w:bottom w:val="single" w:sz="4" w:space="0" w:color="A0C3E2"/>
              <w:right w:val="single" w:sz="4" w:space="0" w:color="A0C3E2"/>
            </w:tcBorders>
            <w:shd w:val="clear" w:color="auto" w:fill="DFEBF4"/>
          </w:tcPr>
          <w:p>
            <w:pPr>
              <w:pStyle w:val="TableParagraph"/>
              <w:spacing w:line="229" w:lineRule="exact"/>
              <w:ind w:left="107"/>
              <w:rPr>
                <w:b/>
                <w:sz w:val="20"/>
              </w:rPr>
            </w:pPr>
            <w:r>
              <w:rPr>
                <w:b/>
                <w:spacing w:val="-2"/>
                <w:sz w:val="20"/>
              </w:rPr>
              <w:t>Drainage</w:t>
            </w:r>
          </w:p>
        </w:tc>
        <w:tc>
          <w:tcPr>
            <w:tcW w:w="1495" w:type="dxa"/>
            <w:tcBorders>
              <w:top w:val="single" w:sz="4" w:space="0" w:color="A0C3E2"/>
              <w:left w:val="single" w:sz="4" w:space="0" w:color="A0C3E2"/>
              <w:bottom w:val="single" w:sz="4" w:space="0" w:color="A0C3E2"/>
              <w:right w:val="single" w:sz="4" w:space="0" w:color="A0C3E2"/>
            </w:tcBorders>
            <w:shd w:val="clear" w:color="auto" w:fill="DFEBF4"/>
          </w:tcPr>
          <w:p>
            <w:pPr>
              <w:pStyle w:val="TableParagraph"/>
              <w:spacing w:line="229" w:lineRule="exact"/>
              <w:ind w:right="89"/>
              <w:jc w:val="right"/>
              <w:rPr>
                <w:b/>
                <w:sz w:val="20"/>
              </w:rPr>
            </w:pPr>
            <w:r>
              <w:rPr>
                <w:b/>
                <w:spacing w:val="-2"/>
                <w:sz w:val="20"/>
              </w:rPr>
              <w:t>$3.13</w:t>
            </w:r>
          </w:p>
        </w:tc>
        <w:tc>
          <w:tcPr>
            <w:tcW w:w="6552" w:type="dxa"/>
            <w:tcBorders>
              <w:top w:val="single" w:sz="4" w:space="0" w:color="A0C3E2"/>
              <w:left w:val="single" w:sz="4" w:space="0" w:color="A0C3E2"/>
              <w:bottom w:val="single" w:sz="4" w:space="0" w:color="A0C3E2"/>
              <w:right w:val="single" w:sz="12" w:space="0" w:color="000000"/>
            </w:tcBorders>
            <w:shd w:val="clear" w:color="auto" w:fill="DFEBF4"/>
          </w:tcPr>
          <w:p>
            <w:pPr>
              <w:pStyle w:val="TableParagraph"/>
              <w:numPr>
                <w:ilvl w:val="0"/>
                <w:numId w:val="7"/>
              </w:numPr>
              <w:tabs>
                <w:tab w:pos="854" w:val="left" w:leader="none"/>
                <w:tab w:pos="855" w:val="left" w:leader="none"/>
              </w:tabs>
              <w:spacing w:line="236" w:lineRule="exact" w:before="0" w:after="0"/>
              <w:ind w:left="854" w:right="0" w:hanging="714"/>
              <w:jc w:val="left"/>
              <w:rPr>
                <w:sz w:val="20"/>
              </w:rPr>
            </w:pPr>
            <w:r>
              <w:rPr>
                <w:sz w:val="20"/>
              </w:rPr>
              <w:t>Stormwater</w:t>
            </w:r>
            <w:r>
              <w:rPr>
                <w:spacing w:val="-6"/>
                <w:sz w:val="20"/>
              </w:rPr>
              <w:t> </w:t>
            </w:r>
            <w:r>
              <w:rPr>
                <w:sz w:val="20"/>
              </w:rPr>
              <w:t>drainage</w:t>
            </w:r>
            <w:r>
              <w:rPr>
                <w:spacing w:val="-10"/>
                <w:sz w:val="20"/>
              </w:rPr>
              <w:t> </w:t>
            </w:r>
            <w:r>
              <w:rPr>
                <w:sz w:val="20"/>
              </w:rPr>
              <w:t>renewal</w:t>
            </w:r>
            <w:r>
              <w:rPr>
                <w:spacing w:val="-6"/>
                <w:sz w:val="20"/>
              </w:rPr>
              <w:t> </w:t>
            </w:r>
            <w:r>
              <w:rPr>
                <w:sz w:val="20"/>
              </w:rPr>
              <w:t>program</w:t>
            </w:r>
            <w:r>
              <w:rPr>
                <w:spacing w:val="-10"/>
                <w:sz w:val="20"/>
              </w:rPr>
              <w:t> </w:t>
            </w:r>
            <w:r>
              <w:rPr>
                <w:sz w:val="20"/>
              </w:rPr>
              <w:t>($2.98</w:t>
            </w:r>
            <w:r>
              <w:rPr>
                <w:spacing w:val="-7"/>
                <w:sz w:val="20"/>
              </w:rPr>
              <w:t> </w:t>
            </w:r>
            <w:r>
              <w:rPr>
                <w:spacing w:val="-2"/>
                <w:sz w:val="20"/>
              </w:rPr>
              <w:t>million)</w:t>
            </w:r>
          </w:p>
          <w:p>
            <w:pPr>
              <w:pStyle w:val="TableParagraph"/>
              <w:numPr>
                <w:ilvl w:val="0"/>
                <w:numId w:val="7"/>
              </w:numPr>
              <w:tabs>
                <w:tab w:pos="854" w:val="left" w:leader="none"/>
                <w:tab w:pos="855" w:val="left" w:leader="none"/>
              </w:tabs>
              <w:spacing w:line="243" w:lineRule="exact" w:before="0" w:after="0"/>
              <w:ind w:left="854" w:right="0" w:hanging="714"/>
              <w:jc w:val="left"/>
              <w:rPr>
                <w:sz w:val="20"/>
              </w:rPr>
            </w:pPr>
            <w:r>
              <w:rPr>
                <w:sz w:val="20"/>
              </w:rPr>
              <w:t>Waterways</w:t>
            </w:r>
            <w:r>
              <w:rPr>
                <w:spacing w:val="-10"/>
                <w:sz w:val="20"/>
              </w:rPr>
              <w:t> </w:t>
            </w:r>
            <w:r>
              <w:rPr>
                <w:sz w:val="20"/>
              </w:rPr>
              <w:t>Improvement</w:t>
            </w:r>
            <w:r>
              <w:rPr>
                <w:spacing w:val="-11"/>
                <w:sz w:val="20"/>
              </w:rPr>
              <w:t> </w:t>
            </w:r>
            <w:r>
              <w:rPr>
                <w:sz w:val="20"/>
              </w:rPr>
              <w:t>Program</w:t>
            </w:r>
            <w:r>
              <w:rPr>
                <w:spacing w:val="-9"/>
                <w:sz w:val="20"/>
              </w:rPr>
              <w:t> </w:t>
            </w:r>
            <w:r>
              <w:rPr>
                <w:sz w:val="20"/>
              </w:rPr>
              <w:t>($0.15</w:t>
            </w:r>
            <w:r>
              <w:rPr>
                <w:spacing w:val="-7"/>
                <w:sz w:val="20"/>
              </w:rPr>
              <w:t> </w:t>
            </w:r>
            <w:r>
              <w:rPr>
                <w:spacing w:val="-2"/>
                <w:sz w:val="20"/>
              </w:rPr>
              <w:t>million)</w:t>
            </w:r>
          </w:p>
        </w:tc>
      </w:tr>
      <w:tr>
        <w:trPr>
          <w:trHeight w:val="1398" w:hRule="atLeast"/>
        </w:trPr>
        <w:tc>
          <w:tcPr>
            <w:tcW w:w="2390" w:type="dxa"/>
            <w:tcBorders>
              <w:top w:val="single" w:sz="4" w:space="0" w:color="A0C3E2"/>
              <w:left w:val="single" w:sz="12" w:space="0" w:color="000000"/>
              <w:bottom w:val="single" w:sz="4" w:space="0" w:color="A0C3E2"/>
              <w:right w:val="single" w:sz="4" w:space="0" w:color="A0C3E2"/>
            </w:tcBorders>
          </w:tcPr>
          <w:p>
            <w:pPr>
              <w:pStyle w:val="TableParagraph"/>
              <w:ind w:left="107" w:right="158"/>
              <w:rPr>
                <w:b/>
                <w:sz w:val="20"/>
              </w:rPr>
            </w:pPr>
            <w:r>
              <w:rPr>
                <w:b/>
                <w:sz w:val="20"/>
              </w:rPr>
              <w:t>Recreational,</w:t>
            </w:r>
            <w:r>
              <w:rPr>
                <w:b/>
                <w:spacing w:val="-14"/>
                <w:sz w:val="20"/>
              </w:rPr>
              <w:t> </w:t>
            </w:r>
            <w:r>
              <w:rPr>
                <w:b/>
                <w:sz w:val="20"/>
              </w:rPr>
              <w:t>leisure and community </w:t>
            </w:r>
            <w:r>
              <w:rPr>
                <w:b/>
                <w:spacing w:val="-2"/>
                <w:sz w:val="20"/>
              </w:rPr>
              <w:t>facilities</w:t>
            </w:r>
          </w:p>
        </w:tc>
        <w:tc>
          <w:tcPr>
            <w:tcW w:w="1495" w:type="dxa"/>
            <w:tcBorders>
              <w:top w:val="single" w:sz="4" w:space="0" w:color="A0C3E2"/>
              <w:left w:val="single" w:sz="4" w:space="0" w:color="A0C3E2"/>
              <w:bottom w:val="single" w:sz="4" w:space="0" w:color="A0C3E2"/>
              <w:right w:val="single" w:sz="4" w:space="0" w:color="A0C3E2"/>
            </w:tcBorders>
          </w:tcPr>
          <w:p>
            <w:pPr>
              <w:pStyle w:val="TableParagraph"/>
              <w:spacing w:line="229" w:lineRule="exact"/>
              <w:ind w:right="89"/>
              <w:jc w:val="right"/>
              <w:rPr>
                <w:b/>
                <w:sz w:val="20"/>
              </w:rPr>
            </w:pPr>
            <w:r>
              <w:rPr>
                <w:b/>
                <w:spacing w:val="-2"/>
                <w:sz w:val="20"/>
              </w:rPr>
              <w:t>$1.97</w:t>
            </w:r>
          </w:p>
        </w:tc>
        <w:tc>
          <w:tcPr>
            <w:tcW w:w="6552" w:type="dxa"/>
            <w:tcBorders>
              <w:top w:val="single" w:sz="4" w:space="0" w:color="A0C3E2"/>
              <w:left w:val="single" w:sz="4" w:space="0" w:color="A0C3E2"/>
              <w:bottom w:val="single" w:sz="4" w:space="0" w:color="A0C3E2"/>
              <w:right w:val="single" w:sz="12" w:space="0" w:color="000000"/>
            </w:tcBorders>
          </w:tcPr>
          <w:p>
            <w:pPr>
              <w:pStyle w:val="TableParagraph"/>
              <w:numPr>
                <w:ilvl w:val="0"/>
                <w:numId w:val="8"/>
              </w:numPr>
              <w:tabs>
                <w:tab w:pos="854" w:val="left" w:leader="none"/>
                <w:tab w:pos="855" w:val="left" w:leader="none"/>
              </w:tabs>
              <w:spacing w:line="233" w:lineRule="exact" w:before="0" w:after="0"/>
              <w:ind w:left="854" w:right="0" w:hanging="714"/>
              <w:jc w:val="left"/>
              <w:rPr>
                <w:sz w:val="20"/>
              </w:rPr>
            </w:pPr>
            <w:r>
              <w:rPr>
                <w:sz w:val="20"/>
              </w:rPr>
              <w:t>Sports</w:t>
            </w:r>
            <w:r>
              <w:rPr>
                <w:spacing w:val="-6"/>
                <w:sz w:val="20"/>
              </w:rPr>
              <w:t> </w:t>
            </w:r>
            <w:r>
              <w:rPr>
                <w:sz w:val="20"/>
              </w:rPr>
              <w:t>field</w:t>
            </w:r>
            <w:r>
              <w:rPr>
                <w:spacing w:val="-7"/>
                <w:sz w:val="20"/>
              </w:rPr>
              <w:t> </w:t>
            </w:r>
            <w:r>
              <w:rPr>
                <w:sz w:val="20"/>
              </w:rPr>
              <w:t>improvement</w:t>
            </w:r>
            <w:r>
              <w:rPr>
                <w:spacing w:val="-8"/>
                <w:sz w:val="20"/>
              </w:rPr>
              <w:t> </w:t>
            </w:r>
            <w:r>
              <w:rPr>
                <w:sz w:val="20"/>
              </w:rPr>
              <w:t>program</w:t>
            </w:r>
            <w:r>
              <w:rPr>
                <w:spacing w:val="-7"/>
                <w:sz w:val="20"/>
              </w:rPr>
              <w:t> </w:t>
            </w:r>
            <w:r>
              <w:rPr>
                <w:sz w:val="20"/>
              </w:rPr>
              <w:t>($0.90</w:t>
            </w:r>
            <w:r>
              <w:rPr>
                <w:spacing w:val="-8"/>
                <w:sz w:val="20"/>
              </w:rPr>
              <w:t> </w:t>
            </w:r>
            <w:r>
              <w:rPr>
                <w:spacing w:val="-2"/>
                <w:sz w:val="20"/>
              </w:rPr>
              <w:t>million)</w:t>
            </w:r>
          </w:p>
          <w:p>
            <w:pPr>
              <w:pStyle w:val="TableParagraph"/>
              <w:numPr>
                <w:ilvl w:val="0"/>
                <w:numId w:val="8"/>
              </w:numPr>
              <w:tabs>
                <w:tab w:pos="854" w:val="left" w:leader="none"/>
                <w:tab w:pos="855" w:val="left" w:leader="none"/>
              </w:tabs>
              <w:spacing w:line="240" w:lineRule="exact" w:before="0" w:after="0"/>
              <w:ind w:left="854" w:right="0" w:hanging="714"/>
              <w:jc w:val="left"/>
              <w:rPr>
                <w:sz w:val="20"/>
              </w:rPr>
            </w:pPr>
            <w:r>
              <w:rPr>
                <w:sz w:val="20"/>
              </w:rPr>
              <w:t>Golf</w:t>
            </w:r>
            <w:r>
              <w:rPr>
                <w:spacing w:val="-9"/>
                <w:sz w:val="20"/>
              </w:rPr>
              <w:t> </w:t>
            </w:r>
            <w:r>
              <w:rPr>
                <w:sz w:val="20"/>
              </w:rPr>
              <w:t>Course</w:t>
            </w:r>
            <w:r>
              <w:rPr>
                <w:spacing w:val="-9"/>
                <w:sz w:val="20"/>
              </w:rPr>
              <w:t> </w:t>
            </w:r>
            <w:r>
              <w:rPr>
                <w:sz w:val="20"/>
              </w:rPr>
              <w:t>improvement</w:t>
            </w:r>
            <w:r>
              <w:rPr>
                <w:spacing w:val="-5"/>
                <w:sz w:val="20"/>
              </w:rPr>
              <w:t> </w:t>
            </w:r>
            <w:r>
              <w:rPr>
                <w:sz w:val="20"/>
              </w:rPr>
              <w:t>program</w:t>
            </w:r>
            <w:r>
              <w:rPr>
                <w:spacing w:val="-7"/>
                <w:sz w:val="20"/>
              </w:rPr>
              <w:t> </w:t>
            </w:r>
            <w:r>
              <w:rPr>
                <w:sz w:val="20"/>
              </w:rPr>
              <w:t>($0.45</w:t>
            </w:r>
            <w:r>
              <w:rPr>
                <w:spacing w:val="-5"/>
                <w:sz w:val="20"/>
              </w:rPr>
              <w:t> </w:t>
            </w:r>
            <w:r>
              <w:rPr>
                <w:spacing w:val="-2"/>
                <w:sz w:val="20"/>
              </w:rPr>
              <w:t>million)</w:t>
            </w:r>
          </w:p>
          <w:p>
            <w:pPr>
              <w:pStyle w:val="TableParagraph"/>
              <w:numPr>
                <w:ilvl w:val="0"/>
                <w:numId w:val="8"/>
              </w:numPr>
              <w:tabs>
                <w:tab w:pos="854" w:val="left" w:leader="none"/>
                <w:tab w:pos="855" w:val="left" w:leader="none"/>
              </w:tabs>
              <w:spacing w:line="247" w:lineRule="auto" w:before="0" w:after="0"/>
              <w:ind w:left="854" w:right="409" w:hanging="713"/>
              <w:jc w:val="left"/>
              <w:rPr>
                <w:sz w:val="20"/>
              </w:rPr>
            </w:pPr>
            <w:r>
              <w:rPr>
                <w:sz w:val="20"/>
              </w:rPr>
              <w:t>Sports</w:t>
            </w:r>
            <w:r>
              <w:rPr>
                <w:spacing w:val="-2"/>
                <w:sz w:val="20"/>
              </w:rPr>
              <w:t> </w:t>
            </w:r>
            <w:r>
              <w:rPr>
                <w:sz w:val="20"/>
              </w:rPr>
              <w:t>infrastructure</w:t>
            </w:r>
            <w:r>
              <w:rPr>
                <w:spacing w:val="-6"/>
                <w:sz w:val="20"/>
              </w:rPr>
              <w:t> </w:t>
            </w:r>
            <w:r>
              <w:rPr>
                <w:sz w:val="20"/>
              </w:rPr>
              <w:t>renewal</w:t>
            </w:r>
            <w:r>
              <w:rPr>
                <w:spacing w:val="-4"/>
                <w:sz w:val="20"/>
              </w:rPr>
              <w:t> </w:t>
            </w:r>
            <w:r>
              <w:rPr>
                <w:sz w:val="20"/>
              </w:rPr>
              <w:t>including</w:t>
            </w:r>
            <w:r>
              <w:rPr>
                <w:spacing w:val="-6"/>
                <w:sz w:val="20"/>
              </w:rPr>
              <w:t> </w:t>
            </w:r>
            <w:r>
              <w:rPr>
                <w:sz w:val="20"/>
              </w:rPr>
              <w:t>cricket</w:t>
            </w:r>
            <w:r>
              <w:rPr>
                <w:spacing w:val="-6"/>
                <w:sz w:val="20"/>
              </w:rPr>
              <w:t> </w:t>
            </w:r>
            <w:r>
              <w:rPr>
                <w:sz w:val="20"/>
              </w:rPr>
              <w:t>nets,</w:t>
            </w:r>
            <w:r>
              <w:rPr>
                <w:spacing w:val="-7"/>
                <w:sz w:val="20"/>
              </w:rPr>
              <w:t> </w:t>
            </w:r>
            <w:r>
              <w:rPr>
                <w:sz w:val="20"/>
              </w:rPr>
              <w:t>coach’s boxes and scoreboards ($0.44 million)</w:t>
            </w:r>
          </w:p>
          <w:p>
            <w:pPr>
              <w:pStyle w:val="TableParagraph"/>
              <w:numPr>
                <w:ilvl w:val="0"/>
                <w:numId w:val="8"/>
              </w:numPr>
              <w:tabs>
                <w:tab w:pos="854" w:val="left" w:leader="none"/>
                <w:tab w:pos="855" w:val="left" w:leader="none"/>
              </w:tabs>
              <w:spacing w:line="236" w:lineRule="exact" w:before="0" w:after="0"/>
              <w:ind w:left="854" w:right="0" w:hanging="714"/>
              <w:jc w:val="left"/>
              <w:rPr>
                <w:sz w:val="20"/>
              </w:rPr>
            </w:pPr>
            <w:r>
              <w:rPr>
                <w:sz w:val="20"/>
              </w:rPr>
              <w:t>Sports</w:t>
            </w:r>
            <w:r>
              <w:rPr>
                <w:spacing w:val="-7"/>
                <w:sz w:val="20"/>
              </w:rPr>
              <w:t> </w:t>
            </w:r>
            <w:r>
              <w:rPr>
                <w:sz w:val="20"/>
              </w:rPr>
              <w:t>field</w:t>
            </w:r>
            <w:r>
              <w:rPr>
                <w:spacing w:val="-7"/>
                <w:sz w:val="20"/>
              </w:rPr>
              <w:t> </w:t>
            </w:r>
            <w:r>
              <w:rPr>
                <w:sz w:val="20"/>
              </w:rPr>
              <w:t>lighting</w:t>
            </w:r>
            <w:r>
              <w:rPr>
                <w:spacing w:val="-5"/>
                <w:sz w:val="20"/>
              </w:rPr>
              <w:t> </w:t>
            </w:r>
            <w:r>
              <w:rPr>
                <w:sz w:val="20"/>
              </w:rPr>
              <w:t>improvement</w:t>
            </w:r>
            <w:r>
              <w:rPr>
                <w:spacing w:val="-9"/>
                <w:sz w:val="20"/>
              </w:rPr>
              <w:t> </w:t>
            </w:r>
            <w:r>
              <w:rPr>
                <w:sz w:val="20"/>
              </w:rPr>
              <w:t>program</w:t>
            </w:r>
            <w:r>
              <w:rPr>
                <w:spacing w:val="-8"/>
                <w:sz w:val="20"/>
              </w:rPr>
              <w:t> </w:t>
            </w:r>
            <w:r>
              <w:rPr>
                <w:sz w:val="20"/>
              </w:rPr>
              <w:t>($0.18</w:t>
            </w:r>
            <w:r>
              <w:rPr>
                <w:spacing w:val="-9"/>
                <w:sz w:val="20"/>
              </w:rPr>
              <w:t> </w:t>
            </w:r>
            <w:r>
              <w:rPr>
                <w:spacing w:val="-2"/>
                <w:sz w:val="20"/>
              </w:rPr>
              <w:t>million)</w:t>
            </w:r>
          </w:p>
        </w:tc>
      </w:tr>
      <w:tr>
        <w:trPr>
          <w:trHeight w:val="1400" w:hRule="atLeast"/>
        </w:trPr>
        <w:tc>
          <w:tcPr>
            <w:tcW w:w="2390" w:type="dxa"/>
            <w:tcBorders>
              <w:top w:val="single" w:sz="4" w:space="0" w:color="A0C3E2"/>
              <w:left w:val="single" w:sz="12" w:space="0" w:color="000000"/>
              <w:bottom w:val="single" w:sz="12" w:space="0" w:color="000000"/>
              <w:right w:val="single" w:sz="4" w:space="0" w:color="A0C3E2"/>
            </w:tcBorders>
            <w:shd w:val="clear" w:color="auto" w:fill="DFEBF4"/>
          </w:tcPr>
          <w:p>
            <w:pPr>
              <w:pStyle w:val="TableParagraph"/>
              <w:spacing w:line="229" w:lineRule="exact"/>
              <w:ind w:left="107"/>
              <w:rPr>
                <w:b/>
                <w:sz w:val="20"/>
              </w:rPr>
            </w:pPr>
            <w:r>
              <w:rPr>
                <w:b/>
                <w:sz w:val="20"/>
              </w:rPr>
              <w:t>Parks</w:t>
            </w:r>
            <w:r>
              <w:rPr>
                <w:b/>
                <w:spacing w:val="-5"/>
                <w:sz w:val="20"/>
              </w:rPr>
              <w:t> </w:t>
            </w:r>
            <w:r>
              <w:rPr>
                <w:b/>
                <w:sz w:val="20"/>
              </w:rPr>
              <w:t>and</w:t>
            </w:r>
            <w:r>
              <w:rPr>
                <w:b/>
                <w:spacing w:val="-6"/>
                <w:sz w:val="20"/>
              </w:rPr>
              <w:t> </w:t>
            </w:r>
            <w:r>
              <w:rPr>
                <w:b/>
                <w:sz w:val="20"/>
              </w:rPr>
              <w:t>open</w:t>
            </w:r>
            <w:r>
              <w:rPr>
                <w:b/>
                <w:spacing w:val="-6"/>
                <w:sz w:val="20"/>
              </w:rPr>
              <w:t> </w:t>
            </w:r>
            <w:r>
              <w:rPr>
                <w:b/>
                <w:spacing w:val="-4"/>
                <w:sz w:val="20"/>
              </w:rPr>
              <w:t>space</w:t>
            </w:r>
          </w:p>
        </w:tc>
        <w:tc>
          <w:tcPr>
            <w:tcW w:w="1495" w:type="dxa"/>
            <w:tcBorders>
              <w:top w:val="single" w:sz="4" w:space="0" w:color="A0C3E2"/>
              <w:left w:val="single" w:sz="4" w:space="0" w:color="A0C3E2"/>
              <w:bottom w:val="single" w:sz="12" w:space="0" w:color="000000"/>
              <w:right w:val="single" w:sz="4" w:space="0" w:color="A0C3E2"/>
            </w:tcBorders>
            <w:shd w:val="clear" w:color="auto" w:fill="DFEBF4"/>
          </w:tcPr>
          <w:p>
            <w:pPr>
              <w:pStyle w:val="TableParagraph"/>
              <w:spacing w:line="229" w:lineRule="exact"/>
              <w:ind w:right="89"/>
              <w:jc w:val="right"/>
              <w:rPr>
                <w:b/>
                <w:sz w:val="20"/>
              </w:rPr>
            </w:pPr>
            <w:r>
              <w:rPr>
                <w:b/>
                <w:spacing w:val="-2"/>
                <w:sz w:val="20"/>
              </w:rPr>
              <w:t>$2.49</w:t>
            </w:r>
          </w:p>
        </w:tc>
        <w:tc>
          <w:tcPr>
            <w:tcW w:w="6552" w:type="dxa"/>
            <w:tcBorders>
              <w:top w:val="single" w:sz="4" w:space="0" w:color="A0C3E2"/>
              <w:left w:val="single" w:sz="4" w:space="0" w:color="A0C3E2"/>
              <w:bottom w:val="single" w:sz="12" w:space="0" w:color="000000"/>
              <w:right w:val="single" w:sz="12" w:space="0" w:color="000000"/>
            </w:tcBorders>
            <w:shd w:val="clear" w:color="auto" w:fill="DFEBF4"/>
          </w:tcPr>
          <w:p>
            <w:pPr>
              <w:pStyle w:val="TableParagraph"/>
              <w:numPr>
                <w:ilvl w:val="0"/>
                <w:numId w:val="9"/>
              </w:numPr>
              <w:tabs>
                <w:tab w:pos="854" w:val="left" w:leader="none"/>
                <w:tab w:pos="855" w:val="left" w:leader="none"/>
              </w:tabs>
              <w:spacing w:line="236" w:lineRule="exact" w:before="0" w:after="0"/>
              <w:ind w:left="854" w:right="0" w:hanging="714"/>
              <w:jc w:val="left"/>
              <w:rPr>
                <w:sz w:val="20"/>
              </w:rPr>
            </w:pPr>
            <w:r>
              <w:rPr>
                <w:sz w:val="20"/>
              </w:rPr>
              <w:t>Open</w:t>
            </w:r>
            <w:r>
              <w:rPr>
                <w:spacing w:val="-9"/>
                <w:sz w:val="20"/>
              </w:rPr>
              <w:t> </w:t>
            </w:r>
            <w:r>
              <w:rPr>
                <w:sz w:val="20"/>
              </w:rPr>
              <w:t>space</w:t>
            </w:r>
            <w:r>
              <w:rPr>
                <w:spacing w:val="-7"/>
                <w:sz w:val="20"/>
              </w:rPr>
              <w:t> </w:t>
            </w:r>
            <w:r>
              <w:rPr>
                <w:sz w:val="20"/>
              </w:rPr>
              <w:t>playground</w:t>
            </w:r>
            <w:r>
              <w:rPr>
                <w:spacing w:val="-7"/>
                <w:sz w:val="20"/>
              </w:rPr>
              <w:t> </w:t>
            </w:r>
            <w:r>
              <w:rPr>
                <w:sz w:val="20"/>
              </w:rPr>
              <w:t>improvement</w:t>
            </w:r>
            <w:r>
              <w:rPr>
                <w:spacing w:val="-9"/>
                <w:sz w:val="20"/>
              </w:rPr>
              <w:t> </w:t>
            </w:r>
            <w:r>
              <w:rPr>
                <w:sz w:val="20"/>
              </w:rPr>
              <w:t>program</w:t>
            </w:r>
            <w:r>
              <w:rPr>
                <w:spacing w:val="-8"/>
                <w:sz w:val="20"/>
              </w:rPr>
              <w:t> </w:t>
            </w:r>
            <w:r>
              <w:rPr>
                <w:sz w:val="20"/>
              </w:rPr>
              <w:t>($1.01</w:t>
            </w:r>
            <w:r>
              <w:rPr>
                <w:spacing w:val="-7"/>
                <w:sz w:val="20"/>
              </w:rPr>
              <w:t> </w:t>
            </w:r>
            <w:r>
              <w:rPr>
                <w:spacing w:val="-2"/>
                <w:sz w:val="20"/>
              </w:rPr>
              <w:t>million)</w:t>
            </w:r>
          </w:p>
          <w:p>
            <w:pPr>
              <w:pStyle w:val="TableParagraph"/>
              <w:numPr>
                <w:ilvl w:val="0"/>
                <w:numId w:val="9"/>
              </w:numPr>
              <w:tabs>
                <w:tab w:pos="854" w:val="left" w:leader="none"/>
                <w:tab w:pos="855" w:val="left" w:leader="none"/>
              </w:tabs>
              <w:spacing w:line="240" w:lineRule="exact" w:before="0" w:after="0"/>
              <w:ind w:left="854" w:right="0" w:hanging="714"/>
              <w:jc w:val="left"/>
              <w:rPr>
                <w:sz w:val="20"/>
              </w:rPr>
            </w:pPr>
            <w:r>
              <w:rPr>
                <w:sz w:val="20"/>
              </w:rPr>
              <w:t>Tree</w:t>
            </w:r>
            <w:r>
              <w:rPr>
                <w:spacing w:val="-10"/>
                <w:sz w:val="20"/>
              </w:rPr>
              <w:t> </w:t>
            </w:r>
            <w:r>
              <w:rPr>
                <w:sz w:val="20"/>
              </w:rPr>
              <w:t>improvement</w:t>
            </w:r>
            <w:r>
              <w:rPr>
                <w:spacing w:val="-5"/>
                <w:sz w:val="20"/>
              </w:rPr>
              <w:t> </w:t>
            </w:r>
            <w:r>
              <w:rPr>
                <w:sz w:val="20"/>
              </w:rPr>
              <w:t>program</w:t>
            </w:r>
            <w:r>
              <w:rPr>
                <w:spacing w:val="-7"/>
                <w:sz w:val="20"/>
              </w:rPr>
              <w:t> </w:t>
            </w:r>
            <w:r>
              <w:rPr>
                <w:sz w:val="20"/>
              </w:rPr>
              <w:t>($0.92</w:t>
            </w:r>
            <w:r>
              <w:rPr>
                <w:spacing w:val="-7"/>
                <w:sz w:val="20"/>
              </w:rPr>
              <w:t> </w:t>
            </w:r>
            <w:r>
              <w:rPr>
                <w:spacing w:val="-2"/>
                <w:sz w:val="20"/>
              </w:rPr>
              <w:t>million)</w:t>
            </w:r>
          </w:p>
          <w:p>
            <w:pPr>
              <w:pStyle w:val="TableParagraph"/>
              <w:numPr>
                <w:ilvl w:val="0"/>
                <w:numId w:val="9"/>
              </w:numPr>
              <w:tabs>
                <w:tab w:pos="854" w:val="left" w:leader="none"/>
                <w:tab w:pos="855" w:val="left" w:leader="none"/>
              </w:tabs>
              <w:spacing w:line="240" w:lineRule="exact" w:before="0" w:after="0"/>
              <w:ind w:left="854" w:right="0" w:hanging="714"/>
              <w:jc w:val="left"/>
              <w:rPr>
                <w:sz w:val="20"/>
              </w:rPr>
            </w:pPr>
            <w:r>
              <w:rPr>
                <w:sz w:val="20"/>
              </w:rPr>
              <w:t>Open</w:t>
            </w:r>
            <w:r>
              <w:rPr>
                <w:spacing w:val="-8"/>
                <w:sz w:val="20"/>
              </w:rPr>
              <w:t> </w:t>
            </w:r>
            <w:r>
              <w:rPr>
                <w:sz w:val="20"/>
              </w:rPr>
              <w:t>space</w:t>
            </w:r>
            <w:r>
              <w:rPr>
                <w:spacing w:val="-7"/>
                <w:sz w:val="20"/>
              </w:rPr>
              <w:t> </w:t>
            </w:r>
            <w:r>
              <w:rPr>
                <w:sz w:val="20"/>
              </w:rPr>
              <w:t>improvement</w:t>
            </w:r>
            <w:r>
              <w:rPr>
                <w:spacing w:val="-6"/>
                <w:sz w:val="20"/>
              </w:rPr>
              <w:t> </w:t>
            </w:r>
            <w:r>
              <w:rPr>
                <w:sz w:val="20"/>
              </w:rPr>
              <w:t>program</w:t>
            </w:r>
            <w:r>
              <w:rPr>
                <w:spacing w:val="-8"/>
                <w:sz w:val="20"/>
              </w:rPr>
              <w:t> </w:t>
            </w:r>
            <w:r>
              <w:rPr>
                <w:sz w:val="20"/>
              </w:rPr>
              <w:t>($0.34</w:t>
            </w:r>
            <w:r>
              <w:rPr>
                <w:spacing w:val="-8"/>
                <w:sz w:val="20"/>
              </w:rPr>
              <w:t> </w:t>
            </w:r>
            <w:r>
              <w:rPr>
                <w:spacing w:val="-2"/>
                <w:sz w:val="20"/>
              </w:rPr>
              <w:t>million)</w:t>
            </w:r>
          </w:p>
          <w:p>
            <w:pPr>
              <w:pStyle w:val="TableParagraph"/>
              <w:numPr>
                <w:ilvl w:val="0"/>
                <w:numId w:val="9"/>
              </w:numPr>
              <w:tabs>
                <w:tab w:pos="854" w:val="left" w:leader="none"/>
                <w:tab w:pos="855" w:val="left" w:leader="none"/>
              </w:tabs>
              <w:spacing w:line="247" w:lineRule="auto" w:before="0" w:after="0"/>
              <w:ind w:left="854" w:right="696" w:hanging="713"/>
              <w:jc w:val="left"/>
              <w:rPr>
                <w:sz w:val="20"/>
              </w:rPr>
            </w:pPr>
            <w:r>
              <w:rPr>
                <w:sz w:val="20"/>
              </w:rPr>
              <w:t>Open</w:t>
            </w:r>
            <w:r>
              <w:rPr>
                <w:spacing w:val="-6"/>
                <w:sz w:val="20"/>
              </w:rPr>
              <w:t> </w:t>
            </w:r>
            <w:r>
              <w:rPr>
                <w:sz w:val="20"/>
              </w:rPr>
              <w:t>space</w:t>
            </w:r>
            <w:r>
              <w:rPr>
                <w:spacing w:val="-5"/>
                <w:sz w:val="20"/>
              </w:rPr>
              <w:t> </w:t>
            </w:r>
            <w:r>
              <w:rPr>
                <w:sz w:val="20"/>
              </w:rPr>
              <w:t>pathway</w:t>
            </w:r>
            <w:r>
              <w:rPr>
                <w:spacing w:val="-5"/>
                <w:sz w:val="20"/>
              </w:rPr>
              <w:t> </w:t>
            </w:r>
            <w:r>
              <w:rPr>
                <w:sz w:val="20"/>
              </w:rPr>
              <w:t>and</w:t>
            </w:r>
            <w:r>
              <w:rPr>
                <w:spacing w:val="-3"/>
                <w:sz w:val="20"/>
              </w:rPr>
              <w:t> </w:t>
            </w:r>
            <w:r>
              <w:rPr>
                <w:sz w:val="20"/>
              </w:rPr>
              <w:t>lighting</w:t>
            </w:r>
            <w:r>
              <w:rPr>
                <w:spacing w:val="-5"/>
                <w:sz w:val="20"/>
              </w:rPr>
              <w:t> </w:t>
            </w:r>
            <w:r>
              <w:rPr>
                <w:sz w:val="20"/>
              </w:rPr>
              <w:t>improvement</w:t>
            </w:r>
            <w:r>
              <w:rPr>
                <w:spacing w:val="-6"/>
                <w:sz w:val="20"/>
              </w:rPr>
              <w:t> </w:t>
            </w:r>
            <w:r>
              <w:rPr>
                <w:sz w:val="20"/>
              </w:rPr>
              <w:t>program ($0.14 million)</w:t>
            </w:r>
          </w:p>
        </w:tc>
      </w:tr>
    </w:tbl>
    <w:p>
      <w:pPr>
        <w:pStyle w:val="BodyText"/>
        <w:spacing w:before="10"/>
        <w:rPr>
          <w:sz w:val="21"/>
        </w:rPr>
      </w:pPr>
    </w:p>
    <w:p>
      <w:pPr>
        <w:spacing w:before="0"/>
        <w:ind w:left="100" w:right="0" w:firstLine="0"/>
        <w:jc w:val="left"/>
        <w:rPr>
          <w:b/>
          <w:sz w:val="22"/>
        </w:rPr>
      </w:pPr>
      <w:r>
        <w:rPr>
          <w:b/>
          <w:color w:val="1D5D9E"/>
          <w:sz w:val="22"/>
        </w:rPr>
        <w:t>The</w:t>
      </w:r>
      <w:r>
        <w:rPr>
          <w:b/>
          <w:color w:val="1D5D9E"/>
          <w:spacing w:val="-4"/>
          <w:sz w:val="22"/>
        </w:rPr>
        <w:t> </w:t>
      </w:r>
      <w:r>
        <w:rPr>
          <w:b/>
          <w:color w:val="1D5D9E"/>
          <w:sz w:val="22"/>
        </w:rPr>
        <w:t>Rate</w:t>
      </w:r>
      <w:r>
        <w:rPr>
          <w:b/>
          <w:color w:val="1D5D9E"/>
          <w:spacing w:val="-2"/>
          <w:sz w:val="22"/>
        </w:rPr>
        <w:t> </w:t>
      </w:r>
      <w:r>
        <w:rPr>
          <w:b/>
          <w:color w:val="1D5D9E"/>
          <w:sz w:val="22"/>
        </w:rPr>
        <w:t>Rise</w:t>
      </w:r>
      <w:r>
        <w:rPr>
          <w:b/>
          <w:color w:val="1D5D9E"/>
          <w:spacing w:val="2"/>
          <w:sz w:val="22"/>
        </w:rPr>
        <w:t> </w:t>
      </w:r>
      <w:r>
        <w:rPr>
          <w:b/>
          <w:color w:val="1D5D9E"/>
          <w:sz w:val="22"/>
        </w:rPr>
        <w:t>&amp;</w:t>
      </w:r>
      <w:r>
        <w:rPr>
          <w:b/>
          <w:color w:val="1D5D9E"/>
          <w:spacing w:val="-5"/>
          <w:sz w:val="22"/>
        </w:rPr>
        <w:t> </w:t>
      </w:r>
      <w:r>
        <w:rPr>
          <w:b/>
          <w:color w:val="1D5D9E"/>
          <w:sz w:val="22"/>
        </w:rPr>
        <w:t>Rate</w:t>
      </w:r>
      <w:r>
        <w:rPr>
          <w:b/>
          <w:color w:val="1D5D9E"/>
          <w:spacing w:val="-1"/>
          <w:sz w:val="22"/>
        </w:rPr>
        <w:t> </w:t>
      </w:r>
      <w:r>
        <w:rPr>
          <w:b/>
          <w:color w:val="1D5D9E"/>
          <w:spacing w:val="-2"/>
          <w:sz w:val="22"/>
        </w:rPr>
        <w:t>Capping</w:t>
      </w:r>
    </w:p>
    <w:p>
      <w:pPr>
        <w:pStyle w:val="BodyText"/>
        <w:spacing w:before="4"/>
        <w:rPr>
          <w:b/>
          <w:sz w:val="25"/>
        </w:rPr>
      </w:pPr>
    </w:p>
    <w:p>
      <w:pPr>
        <w:pStyle w:val="BodyText"/>
        <w:ind w:left="100" w:right="113"/>
        <w:jc w:val="both"/>
      </w:pPr>
      <w:r>
        <w:rPr/>
        <w:t>Councils have the obligation to levy rates and charges under the </w:t>
      </w:r>
      <w:r>
        <w:rPr>
          <w:i/>
        </w:rPr>
        <w:t>Local Government Act 2020 </w:t>
      </w:r>
      <w:r>
        <w:rPr/>
        <w:t>to fund and deliver</w:t>
      </w:r>
      <w:r>
        <w:rPr>
          <w:spacing w:val="-7"/>
        </w:rPr>
        <w:t> </w:t>
      </w:r>
      <w:r>
        <w:rPr/>
        <w:t>essential</w:t>
      </w:r>
      <w:r>
        <w:rPr>
          <w:spacing w:val="-8"/>
        </w:rPr>
        <w:t> </w:t>
      </w:r>
      <w:r>
        <w:rPr/>
        <w:t>community</w:t>
      </w:r>
      <w:r>
        <w:rPr>
          <w:spacing w:val="-8"/>
        </w:rPr>
        <w:t> </w:t>
      </w:r>
      <w:r>
        <w:rPr/>
        <w:t>infrastructure</w:t>
      </w:r>
      <w:r>
        <w:rPr>
          <w:spacing w:val="-12"/>
        </w:rPr>
        <w:t> </w:t>
      </w:r>
      <w:r>
        <w:rPr/>
        <w:t>and</w:t>
      </w:r>
      <w:r>
        <w:rPr>
          <w:spacing w:val="-12"/>
        </w:rPr>
        <w:t> </w:t>
      </w:r>
      <w:r>
        <w:rPr/>
        <w:t>services.</w:t>
      </w:r>
      <w:r>
        <w:rPr>
          <w:spacing w:val="-10"/>
        </w:rPr>
        <w:t> </w:t>
      </w:r>
      <w:r>
        <w:rPr/>
        <w:t>The</w:t>
      </w:r>
      <w:r>
        <w:rPr>
          <w:spacing w:val="-12"/>
        </w:rPr>
        <w:t> </w:t>
      </w:r>
      <w:r>
        <w:rPr/>
        <w:t>rates</w:t>
      </w:r>
      <w:r>
        <w:rPr>
          <w:spacing w:val="-13"/>
        </w:rPr>
        <w:t> </w:t>
      </w:r>
      <w:r>
        <w:rPr/>
        <w:t>that</w:t>
      </w:r>
      <w:r>
        <w:rPr>
          <w:spacing w:val="-10"/>
        </w:rPr>
        <w:t> </w:t>
      </w:r>
      <w:r>
        <w:rPr/>
        <w:t>Councils</w:t>
      </w:r>
      <w:r>
        <w:rPr>
          <w:spacing w:val="-11"/>
        </w:rPr>
        <w:t> </w:t>
      </w:r>
      <w:r>
        <w:rPr/>
        <w:t>collect</w:t>
      </w:r>
      <w:r>
        <w:rPr>
          <w:spacing w:val="-10"/>
        </w:rPr>
        <w:t> </w:t>
      </w:r>
      <w:r>
        <w:rPr/>
        <w:t>are</w:t>
      </w:r>
      <w:r>
        <w:rPr>
          <w:spacing w:val="-12"/>
        </w:rPr>
        <w:t> </w:t>
      </w:r>
      <w:r>
        <w:rPr/>
        <w:t>a</w:t>
      </w:r>
      <w:r>
        <w:rPr>
          <w:spacing w:val="-12"/>
        </w:rPr>
        <w:t> </w:t>
      </w:r>
      <w:r>
        <w:rPr/>
        <w:t>form</w:t>
      </w:r>
      <w:r>
        <w:rPr>
          <w:spacing w:val="-11"/>
        </w:rPr>
        <w:t> </w:t>
      </w:r>
      <w:r>
        <w:rPr/>
        <w:t>of</w:t>
      </w:r>
      <w:r>
        <w:rPr>
          <w:spacing w:val="-7"/>
        </w:rPr>
        <w:t> </w:t>
      </w:r>
      <w:r>
        <w:rPr/>
        <w:t>property tax with the value of each property used as the basis for calculating what each property owner will pay.</w:t>
      </w:r>
    </w:p>
    <w:p>
      <w:pPr>
        <w:pStyle w:val="BodyText"/>
        <w:spacing w:before="10"/>
        <w:rPr>
          <w:sz w:val="21"/>
        </w:rPr>
      </w:pPr>
    </w:p>
    <w:p>
      <w:pPr>
        <w:pStyle w:val="BodyText"/>
        <w:ind w:left="100" w:right="112"/>
        <w:jc w:val="both"/>
      </w:pPr>
      <w:r>
        <w:rPr/>
        <w:t>All of Victoria’s 79 Councils have been operating under rate caps since 1</w:t>
      </w:r>
      <w:r>
        <w:rPr>
          <w:spacing w:val="-3"/>
        </w:rPr>
        <w:t> </w:t>
      </w:r>
      <w:r>
        <w:rPr/>
        <w:t>July 2016. Each year the Minister for Local Government sets a cap on rate increases based on that period’s Consumer Price Index (CPI) and advice from the Essential Services Commission (ESC). The rate cap limits the total amount that a Council can increase its rates each year based on the amount it levied in the previous year. The decision must be made by 31 December each year to apply to rates in the following financial year.</w:t>
      </w:r>
    </w:p>
    <w:p>
      <w:pPr>
        <w:pStyle w:val="BodyText"/>
        <w:spacing w:before="2"/>
      </w:pPr>
    </w:p>
    <w:p>
      <w:pPr>
        <w:pStyle w:val="BodyText"/>
        <w:ind w:left="100" w:right="115"/>
        <w:jc w:val="both"/>
      </w:pPr>
      <w:r>
        <w:rPr/>
        <w:t>For the 2025/26 financial year, Council’s rate rise has been capped at 3.00%. While Councils may seek approval to increase rates above the rate cap, Council’s 10-year Financial Plan has no intention to do so.</w:t>
      </w:r>
    </w:p>
    <w:p>
      <w:pPr>
        <w:pStyle w:val="BodyText"/>
        <w:spacing w:before="10"/>
        <w:rPr>
          <w:sz w:val="21"/>
        </w:rPr>
      </w:pPr>
    </w:p>
    <w:p>
      <w:pPr>
        <w:pStyle w:val="BodyText"/>
        <w:spacing w:before="1"/>
        <w:ind w:left="100" w:right="113"/>
        <w:jc w:val="both"/>
      </w:pPr>
      <w:r>
        <w:rPr/>
        <w:t>The rate cap applies to the Council’s total rate revenue and not individual properties. In many cases, an individual rates bill may increase or decrease by more (or less) than the capped rise amount.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spacing w:before="0"/>
        <w:ind w:left="6683" w:right="0" w:firstLine="0"/>
        <w:jc w:val="left"/>
        <w:rPr>
          <w:b/>
          <w:sz w:val="16"/>
        </w:rPr>
      </w:pPr>
      <w:r>
        <w:rPr>
          <w:sz w:val="16"/>
        </w:rPr>
        <w:t>MAROONDAH</w:t>
      </w:r>
      <w:r>
        <w:rPr>
          <w:spacing w:val="-5"/>
          <w:sz w:val="16"/>
        </w:rPr>
        <w:t> </w:t>
      </w:r>
      <w:r>
        <w:rPr>
          <w:sz w:val="16"/>
        </w:rPr>
        <w:t>CITY COUNCIL</w:t>
      </w:r>
      <w:r>
        <w:rPr>
          <w:spacing w:val="-5"/>
          <w:sz w:val="16"/>
        </w:rPr>
        <w:t> </w:t>
      </w:r>
      <w:r>
        <w:rPr>
          <w:sz w:val="16"/>
        </w:rPr>
        <w:t>-</w:t>
      </w:r>
      <w:r>
        <w:rPr>
          <w:spacing w:val="-4"/>
          <w:sz w:val="16"/>
        </w:rPr>
        <w:t> </w:t>
      </w:r>
      <w:r>
        <w:rPr>
          <w:sz w:val="16"/>
        </w:rPr>
        <w:t>BUDGET</w:t>
      </w:r>
      <w:r>
        <w:rPr>
          <w:spacing w:val="-2"/>
          <w:sz w:val="16"/>
        </w:rPr>
        <w:t> </w:t>
      </w:r>
      <w:r>
        <w:rPr>
          <w:sz w:val="16"/>
        </w:rPr>
        <w:t>2025/26|</w:t>
      </w:r>
      <w:r>
        <w:rPr>
          <w:spacing w:val="42"/>
          <w:sz w:val="16"/>
        </w:rPr>
        <w:t> </w:t>
      </w:r>
      <w:r>
        <w:rPr>
          <w:b/>
          <w:color w:val="2A569A"/>
          <w:spacing w:val="-10"/>
          <w:sz w:val="16"/>
          <w:shd w:fill="E6E6E6" w:color="auto" w:val="clear"/>
        </w:rPr>
        <w:t>5</w:t>
      </w:r>
    </w:p>
    <w:p>
      <w:pPr>
        <w:spacing w:after="0"/>
        <w:jc w:val="left"/>
        <w:rPr>
          <w:sz w:val="16"/>
        </w:rPr>
        <w:sectPr>
          <w:footerReference w:type="default" r:id="rId10"/>
          <w:pgSz w:w="11910" w:h="16840"/>
          <w:pgMar w:footer="0" w:header="0" w:top="620" w:bottom="280" w:left="620" w:right="600"/>
        </w:sectPr>
      </w:pPr>
    </w:p>
    <w:p>
      <w:pPr>
        <w:pStyle w:val="BodyText"/>
        <w:spacing w:line="252" w:lineRule="exact" w:before="81"/>
        <w:ind w:left="100"/>
      </w:pPr>
      <w:r>
        <w:rPr/>
        <w:t>This</w:t>
      </w:r>
      <w:r>
        <w:rPr>
          <w:spacing w:val="-3"/>
        </w:rPr>
        <w:t> </w:t>
      </w:r>
      <w:r>
        <w:rPr/>
        <w:t>may</w:t>
      </w:r>
      <w:r>
        <w:rPr>
          <w:spacing w:val="-3"/>
        </w:rPr>
        <w:t> </w:t>
      </w:r>
      <w:r>
        <w:rPr/>
        <w:t>happen</w:t>
      </w:r>
      <w:r>
        <w:rPr>
          <w:spacing w:val="-1"/>
        </w:rPr>
        <w:t> </w:t>
      </w:r>
      <w:r>
        <w:rPr>
          <w:spacing w:val="-2"/>
        </w:rPr>
        <w:t>because:</w:t>
      </w:r>
    </w:p>
    <w:p>
      <w:pPr>
        <w:pStyle w:val="ListParagraph"/>
        <w:numPr>
          <w:ilvl w:val="0"/>
          <w:numId w:val="2"/>
        </w:numPr>
        <w:tabs>
          <w:tab w:pos="666" w:val="left" w:leader="none"/>
          <w:tab w:pos="667" w:val="left" w:leader="none"/>
        </w:tabs>
        <w:spacing w:line="240" w:lineRule="auto" w:before="0" w:after="0"/>
        <w:ind w:left="666" w:right="117" w:hanging="567"/>
        <w:jc w:val="left"/>
        <w:rPr>
          <w:rFonts w:ascii="Symbol" w:hAnsi="Symbol"/>
          <w:sz w:val="20"/>
        </w:rPr>
      </w:pPr>
      <w:r>
        <w:rPr>
          <w:sz w:val="22"/>
        </w:rPr>
        <w:t>the value of the property has increased or decreased in relation to</w:t>
      </w:r>
      <w:r>
        <w:rPr>
          <w:spacing w:val="-1"/>
          <w:sz w:val="22"/>
        </w:rPr>
        <w:t> </w:t>
      </w:r>
      <w:r>
        <w:rPr>
          <w:sz w:val="22"/>
        </w:rPr>
        <w:t>the value of other properties in the </w:t>
      </w:r>
      <w:r>
        <w:rPr>
          <w:spacing w:val="-2"/>
          <w:sz w:val="22"/>
        </w:rPr>
        <w:t>Council;</w:t>
      </w:r>
    </w:p>
    <w:p>
      <w:pPr>
        <w:pStyle w:val="ListParagraph"/>
        <w:numPr>
          <w:ilvl w:val="0"/>
          <w:numId w:val="2"/>
        </w:numPr>
        <w:tabs>
          <w:tab w:pos="666" w:val="left" w:leader="none"/>
          <w:tab w:pos="667" w:val="left" w:leader="none"/>
        </w:tabs>
        <w:spacing w:line="240" w:lineRule="auto" w:before="0" w:after="0"/>
        <w:ind w:left="666" w:right="119" w:hanging="567"/>
        <w:jc w:val="left"/>
        <w:rPr>
          <w:rFonts w:ascii="Symbol" w:hAnsi="Symbol"/>
          <w:sz w:val="20"/>
        </w:rPr>
      </w:pPr>
      <w:r>
        <w:rPr>
          <w:sz w:val="22"/>
        </w:rPr>
        <w:t>other</w:t>
      </w:r>
      <w:r>
        <w:rPr>
          <w:spacing w:val="22"/>
          <w:sz w:val="22"/>
        </w:rPr>
        <w:t> </w:t>
      </w:r>
      <w:r>
        <w:rPr>
          <w:sz w:val="22"/>
        </w:rPr>
        <w:t>charges</w:t>
      </w:r>
      <w:r>
        <w:rPr>
          <w:spacing w:val="20"/>
          <w:sz w:val="22"/>
        </w:rPr>
        <w:t> </w:t>
      </w:r>
      <w:r>
        <w:rPr>
          <w:sz w:val="22"/>
        </w:rPr>
        <w:t>and</w:t>
      </w:r>
      <w:r>
        <w:rPr>
          <w:spacing w:val="20"/>
          <w:sz w:val="22"/>
        </w:rPr>
        <w:t> </w:t>
      </w:r>
      <w:r>
        <w:rPr>
          <w:sz w:val="22"/>
        </w:rPr>
        <w:t>levies</w:t>
      </w:r>
      <w:r>
        <w:rPr>
          <w:spacing w:val="20"/>
          <w:sz w:val="22"/>
        </w:rPr>
        <w:t> </w:t>
      </w:r>
      <w:r>
        <w:rPr>
          <w:sz w:val="22"/>
        </w:rPr>
        <w:t>that</w:t>
      </w:r>
      <w:r>
        <w:rPr>
          <w:spacing w:val="20"/>
          <w:sz w:val="22"/>
        </w:rPr>
        <w:t> </w:t>
      </w:r>
      <w:r>
        <w:rPr>
          <w:sz w:val="22"/>
        </w:rPr>
        <w:t>are</w:t>
      </w:r>
      <w:r>
        <w:rPr>
          <w:spacing w:val="20"/>
          <w:sz w:val="22"/>
        </w:rPr>
        <w:t> </w:t>
      </w:r>
      <w:r>
        <w:rPr>
          <w:sz w:val="22"/>
        </w:rPr>
        <w:t>not</w:t>
      </w:r>
      <w:r>
        <w:rPr>
          <w:spacing w:val="21"/>
          <w:sz w:val="22"/>
        </w:rPr>
        <w:t> </w:t>
      </w:r>
      <w:r>
        <w:rPr>
          <w:sz w:val="22"/>
        </w:rPr>
        <w:t>subject</w:t>
      </w:r>
      <w:r>
        <w:rPr>
          <w:spacing w:val="18"/>
          <w:sz w:val="22"/>
        </w:rPr>
        <w:t> </w:t>
      </w:r>
      <w:r>
        <w:rPr>
          <w:sz w:val="22"/>
        </w:rPr>
        <w:t>to</w:t>
      </w:r>
      <w:r>
        <w:rPr>
          <w:spacing w:val="19"/>
          <w:sz w:val="22"/>
        </w:rPr>
        <w:t> </w:t>
      </w:r>
      <w:r>
        <w:rPr>
          <w:sz w:val="22"/>
        </w:rPr>
        <w:t>the</w:t>
      </w:r>
      <w:r>
        <w:rPr>
          <w:spacing w:val="20"/>
          <w:sz w:val="22"/>
        </w:rPr>
        <w:t> </w:t>
      </w:r>
      <w:r>
        <w:rPr>
          <w:sz w:val="22"/>
        </w:rPr>
        <w:t>cap,</w:t>
      </w:r>
      <w:r>
        <w:rPr>
          <w:spacing w:val="19"/>
          <w:sz w:val="22"/>
        </w:rPr>
        <w:t> </w:t>
      </w:r>
      <w:r>
        <w:rPr>
          <w:sz w:val="22"/>
        </w:rPr>
        <w:t>such</w:t>
      </w:r>
      <w:r>
        <w:rPr>
          <w:spacing w:val="20"/>
          <w:sz w:val="22"/>
        </w:rPr>
        <w:t> </w:t>
      </w:r>
      <w:r>
        <w:rPr>
          <w:sz w:val="22"/>
        </w:rPr>
        <w:t>as</w:t>
      </w:r>
      <w:r>
        <w:rPr>
          <w:spacing w:val="18"/>
          <w:sz w:val="22"/>
        </w:rPr>
        <w:t> </w:t>
      </w:r>
      <w:r>
        <w:rPr>
          <w:sz w:val="22"/>
        </w:rPr>
        <w:t>the</w:t>
      </w:r>
      <w:r>
        <w:rPr>
          <w:spacing w:val="20"/>
          <w:sz w:val="22"/>
        </w:rPr>
        <w:t> </w:t>
      </w:r>
      <w:r>
        <w:rPr>
          <w:sz w:val="22"/>
        </w:rPr>
        <w:t>waste</w:t>
      </w:r>
      <w:r>
        <w:rPr>
          <w:spacing w:val="23"/>
          <w:sz w:val="22"/>
        </w:rPr>
        <w:t> </w:t>
      </w:r>
      <w:r>
        <w:rPr>
          <w:sz w:val="22"/>
        </w:rPr>
        <w:t>charge,</w:t>
      </w:r>
      <w:r>
        <w:rPr>
          <w:spacing w:val="23"/>
          <w:sz w:val="22"/>
        </w:rPr>
        <w:t> </w:t>
      </w:r>
      <w:r>
        <w:rPr>
          <w:sz w:val="22"/>
        </w:rPr>
        <w:t>has</w:t>
      </w:r>
      <w:r>
        <w:rPr>
          <w:spacing w:val="18"/>
          <w:sz w:val="22"/>
        </w:rPr>
        <w:t> </w:t>
      </w:r>
      <w:r>
        <w:rPr>
          <w:sz w:val="22"/>
        </w:rPr>
        <w:t>risen.</w:t>
      </w:r>
      <w:r>
        <w:rPr>
          <w:spacing w:val="18"/>
          <w:sz w:val="22"/>
        </w:rPr>
        <w:t> </w:t>
      </w:r>
      <w:r>
        <w:rPr>
          <w:sz w:val="22"/>
        </w:rPr>
        <w:t>The capped increases apply to the general rates only; and</w:t>
      </w:r>
    </w:p>
    <w:p>
      <w:pPr>
        <w:pStyle w:val="ListParagraph"/>
        <w:numPr>
          <w:ilvl w:val="0"/>
          <w:numId w:val="2"/>
        </w:numPr>
        <w:tabs>
          <w:tab w:pos="666" w:val="left" w:leader="none"/>
          <w:tab w:pos="667" w:val="left" w:leader="none"/>
        </w:tabs>
        <w:spacing w:line="240" w:lineRule="auto" w:before="1" w:after="0"/>
        <w:ind w:left="666" w:right="117" w:hanging="567"/>
        <w:jc w:val="left"/>
        <w:rPr>
          <w:rFonts w:ascii="Symbol" w:hAnsi="Symbol"/>
          <w:sz w:val="20"/>
        </w:rPr>
      </w:pPr>
      <w:r>
        <w:rPr>
          <w:sz w:val="22"/>
        </w:rPr>
        <w:t>the</w:t>
      </w:r>
      <w:r>
        <w:rPr>
          <w:spacing w:val="40"/>
          <w:sz w:val="22"/>
        </w:rPr>
        <w:t> </w:t>
      </w:r>
      <w:r>
        <w:rPr>
          <w:sz w:val="22"/>
        </w:rPr>
        <w:t>amount</w:t>
      </w:r>
      <w:r>
        <w:rPr>
          <w:spacing w:val="40"/>
          <w:sz w:val="22"/>
        </w:rPr>
        <w:t> </w:t>
      </w:r>
      <w:r>
        <w:rPr>
          <w:sz w:val="22"/>
        </w:rPr>
        <w:t>of</w:t>
      </w:r>
      <w:r>
        <w:rPr>
          <w:spacing w:val="40"/>
          <w:sz w:val="22"/>
        </w:rPr>
        <w:t> </w:t>
      </w:r>
      <w:r>
        <w:rPr>
          <w:sz w:val="22"/>
        </w:rPr>
        <w:t>rates</w:t>
      </w:r>
      <w:r>
        <w:rPr>
          <w:spacing w:val="40"/>
          <w:sz w:val="22"/>
        </w:rPr>
        <w:t> </w:t>
      </w:r>
      <w:r>
        <w:rPr>
          <w:sz w:val="22"/>
        </w:rPr>
        <w:t>levied</w:t>
      </w:r>
      <w:r>
        <w:rPr>
          <w:spacing w:val="40"/>
          <w:sz w:val="22"/>
        </w:rPr>
        <w:t> </w:t>
      </w:r>
      <w:r>
        <w:rPr>
          <w:sz w:val="22"/>
        </w:rPr>
        <w:t>from</w:t>
      </w:r>
      <w:r>
        <w:rPr>
          <w:spacing w:val="40"/>
          <w:sz w:val="22"/>
        </w:rPr>
        <w:t> </w:t>
      </w:r>
      <w:r>
        <w:rPr>
          <w:sz w:val="22"/>
        </w:rPr>
        <w:t>properties</w:t>
      </w:r>
      <w:r>
        <w:rPr>
          <w:spacing w:val="40"/>
          <w:sz w:val="22"/>
        </w:rPr>
        <w:t> </w:t>
      </w:r>
      <w:r>
        <w:rPr>
          <w:sz w:val="22"/>
        </w:rPr>
        <w:t>of</w:t>
      </w:r>
      <w:r>
        <w:rPr>
          <w:spacing w:val="40"/>
          <w:sz w:val="22"/>
        </w:rPr>
        <w:t> </w:t>
      </w:r>
      <w:r>
        <w:rPr>
          <w:sz w:val="22"/>
        </w:rPr>
        <w:t>that</w:t>
      </w:r>
      <w:r>
        <w:rPr>
          <w:spacing w:val="40"/>
          <w:sz w:val="22"/>
        </w:rPr>
        <w:t> </w:t>
      </w:r>
      <w:r>
        <w:rPr>
          <w:sz w:val="22"/>
        </w:rPr>
        <w:t>type</w:t>
      </w:r>
      <w:r>
        <w:rPr>
          <w:spacing w:val="39"/>
          <w:sz w:val="22"/>
        </w:rPr>
        <w:t> </w:t>
      </w:r>
      <w:r>
        <w:rPr>
          <w:sz w:val="22"/>
        </w:rPr>
        <w:t>(residential,</w:t>
      </w:r>
      <w:r>
        <w:rPr>
          <w:spacing w:val="40"/>
          <w:sz w:val="22"/>
        </w:rPr>
        <w:t> </w:t>
      </w:r>
      <w:r>
        <w:rPr>
          <w:sz w:val="22"/>
        </w:rPr>
        <w:t>commercial</w:t>
      </w:r>
      <w:r>
        <w:rPr>
          <w:spacing w:val="40"/>
          <w:sz w:val="22"/>
        </w:rPr>
        <w:t> </w:t>
      </w:r>
      <w:r>
        <w:rPr>
          <w:sz w:val="22"/>
        </w:rPr>
        <w:t>or</w:t>
      </w:r>
      <w:r>
        <w:rPr>
          <w:spacing w:val="40"/>
          <w:sz w:val="22"/>
        </w:rPr>
        <w:t> </w:t>
      </w:r>
      <w:r>
        <w:rPr>
          <w:sz w:val="22"/>
        </w:rPr>
        <w:t>industrial)</w:t>
      </w:r>
      <w:r>
        <w:rPr>
          <w:spacing w:val="40"/>
          <w:sz w:val="22"/>
        </w:rPr>
        <w:t> </w:t>
      </w:r>
      <w:r>
        <w:rPr>
          <w:sz w:val="22"/>
        </w:rPr>
        <w:t>has changed through the Council’s application of differential rates.</w:t>
      </w:r>
    </w:p>
    <w:p>
      <w:pPr>
        <w:pStyle w:val="BodyText"/>
        <w:spacing w:before="11"/>
        <w:rPr>
          <w:sz w:val="21"/>
        </w:rPr>
      </w:pPr>
    </w:p>
    <w:p>
      <w:pPr>
        <w:pStyle w:val="BodyText"/>
        <w:ind w:left="100" w:right="112"/>
        <w:jc w:val="both"/>
      </w:pPr>
      <w:r>
        <w:rPr/>
        <w:t>Council recognises that some members of the community may have difficulty paying their rates, and has a </w:t>
      </w:r>
      <w:r>
        <w:rPr>
          <w:i/>
        </w:rPr>
        <w:t>Rates Financial Hardship Policy</w:t>
      </w:r>
      <w:r>
        <w:rPr/>
        <w:t>, which includes access to payment arrangements based on individual ratepayer circumstances.</w:t>
      </w:r>
    </w:p>
    <w:p>
      <w:pPr>
        <w:pStyle w:val="BodyText"/>
        <w:spacing w:before="4"/>
        <w:rPr>
          <w:sz w:val="25"/>
        </w:rPr>
      </w:pPr>
    </w:p>
    <w:p>
      <w:pPr>
        <w:pStyle w:val="BodyText"/>
        <w:ind w:left="100"/>
        <w:jc w:val="both"/>
      </w:pPr>
      <w:r>
        <w:rPr/>
        <w:t>Further</w:t>
      </w:r>
      <w:r>
        <w:rPr>
          <w:spacing w:val="-5"/>
        </w:rPr>
        <w:t> </w:t>
      </w:r>
      <w:r>
        <w:rPr/>
        <w:t>information</w:t>
      </w:r>
      <w:r>
        <w:rPr>
          <w:spacing w:val="-2"/>
        </w:rPr>
        <w:t> </w:t>
      </w:r>
      <w:r>
        <w:rPr/>
        <w:t>on</w:t>
      </w:r>
      <w:r>
        <w:rPr>
          <w:spacing w:val="-5"/>
        </w:rPr>
        <w:t> </w:t>
      </w:r>
      <w:r>
        <w:rPr/>
        <w:t>Rates and</w:t>
      </w:r>
      <w:r>
        <w:rPr>
          <w:spacing w:val="-3"/>
        </w:rPr>
        <w:t> </w:t>
      </w:r>
      <w:r>
        <w:rPr/>
        <w:t>Charges</w:t>
      </w:r>
      <w:r>
        <w:rPr>
          <w:spacing w:val="-3"/>
        </w:rPr>
        <w:t> </w:t>
      </w:r>
      <w:r>
        <w:rPr/>
        <w:t>can</w:t>
      </w:r>
      <w:r>
        <w:rPr>
          <w:spacing w:val="-3"/>
        </w:rPr>
        <w:t> </w:t>
      </w:r>
      <w:r>
        <w:rPr/>
        <w:t>be</w:t>
      </w:r>
      <w:r>
        <w:rPr>
          <w:spacing w:val="-2"/>
        </w:rPr>
        <w:t> </w:t>
      </w:r>
      <w:r>
        <w:rPr/>
        <w:t>found</w:t>
      </w:r>
      <w:r>
        <w:rPr>
          <w:spacing w:val="-4"/>
        </w:rPr>
        <w:t> </w:t>
      </w:r>
      <w:r>
        <w:rPr/>
        <w:t>in</w:t>
      </w:r>
      <w:r>
        <w:rPr>
          <w:spacing w:val="-4"/>
        </w:rPr>
        <w:t> </w:t>
      </w:r>
      <w:r>
        <w:rPr/>
        <w:t>Section</w:t>
      </w:r>
      <w:r>
        <w:rPr>
          <w:spacing w:val="-4"/>
        </w:rPr>
        <w:t> </w:t>
      </w:r>
      <w:r>
        <w:rPr/>
        <w:t>4.1.1</w:t>
      </w:r>
      <w:r>
        <w:rPr>
          <w:spacing w:val="-5"/>
        </w:rPr>
        <w:t> </w:t>
      </w:r>
      <w:r>
        <w:rPr/>
        <w:t>of</w:t>
      </w:r>
      <w:r>
        <w:rPr>
          <w:spacing w:val="-2"/>
        </w:rPr>
        <w:t> </w:t>
      </w:r>
      <w:r>
        <w:rPr/>
        <w:t>this</w:t>
      </w:r>
      <w:r>
        <w:rPr>
          <w:spacing w:val="-2"/>
        </w:rPr>
        <w:t> document.</w:t>
      </w:r>
    </w:p>
    <w:p>
      <w:pPr>
        <w:pStyle w:val="BodyText"/>
        <w:spacing w:before="1"/>
      </w:pPr>
    </w:p>
    <w:p>
      <w:pPr>
        <w:spacing w:before="0"/>
        <w:ind w:left="100" w:right="0" w:firstLine="0"/>
        <w:jc w:val="both"/>
        <w:rPr>
          <w:b/>
          <w:sz w:val="22"/>
        </w:rPr>
      </w:pPr>
      <w:r>
        <w:rPr>
          <w:b/>
          <w:color w:val="1D5D9E"/>
          <w:sz w:val="22"/>
        </w:rPr>
        <w:t>Waste</w:t>
      </w:r>
      <w:r>
        <w:rPr>
          <w:b/>
          <w:color w:val="1D5D9E"/>
          <w:spacing w:val="-3"/>
          <w:sz w:val="22"/>
        </w:rPr>
        <w:t> </w:t>
      </w:r>
      <w:r>
        <w:rPr>
          <w:b/>
          <w:color w:val="1D5D9E"/>
          <w:spacing w:val="-2"/>
          <w:sz w:val="22"/>
        </w:rPr>
        <w:t>Management</w:t>
      </w:r>
    </w:p>
    <w:p>
      <w:pPr>
        <w:pStyle w:val="BodyText"/>
        <w:spacing w:before="9"/>
        <w:rPr>
          <w:b/>
          <w:sz w:val="21"/>
        </w:rPr>
      </w:pPr>
    </w:p>
    <w:p>
      <w:pPr>
        <w:pStyle w:val="BodyText"/>
        <w:ind w:left="100" w:right="115"/>
        <w:jc w:val="both"/>
      </w:pPr>
      <w:r>
        <w:rPr/>
        <w:t>Waste</w:t>
      </w:r>
      <w:r>
        <w:rPr>
          <w:spacing w:val="-8"/>
        </w:rPr>
        <w:t> </w:t>
      </w:r>
      <w:r>
        <w:rPr/>
        <w:t>and</w:t>
      </w:r>
      <w:r>
        <w:rPr>
          <w:spacing w:val="-8"/>
        </w:rPr>
        <w:t> </w:t>
      </w:r>
      <w:r>
        <w:rPr/>
        <w:t>recycling</w:t>
      </w:r>
      <w:r>
        <w:rPr>
          <w:spacing w:val="-6"/>
        </w:rPr>
        <w:t> </w:t>
      </w:r>
      <w:r>
        <w:rPr/>
        <w:t>collection</w:t>
      </w:r>
      <w:r>
        <w:rPr>
          <w:spacing w:val="-6"/>
        </w:rPr>
        <w:t> </w:t>
      </w:r>
      <w:r>
        <w:rPr/>
        <w:t>is</w:t>
      </w:r>
      <w:r>
        <w:rPr>
          <w:spacing w:val="-8"/>
        </w:rPr>
        <w:t> </w:t>
      </w:r>
      <w:r>
        <w:rPr/>
        <w:t>considered</w:t>
      </w:r>
      <w:r>
        <w:rPr>
          <w:spacing w:val="-8"/>
        </w:rPr>
        <w:t> </w:t>
      </w:r>
      <w:r>
        <w:rPr/>
        <w:t>a</w:t>
      </w:r>
      <w:r>
        <w:rPr>
          <w:spacing w:val="-8"/>
        </w:rPr>
        <w:t> </w:t>
      </w:r>
      <w:r>
        <w:rPr/>
        <w:t>critical</w:t>
      </w:r>
      <w:r>
        <w:rPr>
          <w:spacing w:val="-6"/>
        </w:rPr>
        <w:t> </w:t>
      </w:r>
      <w:r>
        <w:rPr/>
        <w:t>service</w:t>
      </w:r>
      <w:r>
        <w:rPr>
          <w:spacing w:val="-8"/>
        </w:rPr>
        <w:t> </w:t>
      </w:r>
      <w:r>
        <w:rPr/>
        <w:t>used</w:t>
      </w:r>
      <w:r>
        <w:rPr>
          <w:spacing w:val="-10"/>
        </w:rPr>
        <w:t> </w:t>
      </w:r>
      <w:r>
        <w:rPr/>
        <w:t>by</w:t>
      </w:r>
      <w:r>
        <w:rPr>
          <w:spacing w:val="-6"/>
        </w:rPr>
        <w:t> </w:t>
      </w:r>
      <w:r>
        <w:rPr/>
        <w:t>all</w:t>
      </w:r>
      <w:r>
        <w:rPr>
          <w:spacing w:val="-11"/>
        </w:rPr>
        <w:t> </w:t>
      </w:r>
      <w:r>
        <w:rPr/>
        <w:t>residents.</w:t>
      </w:r>
      <w:r>
        <w:rPr>
          <w:spacing w:val="-8"/>
        </w:rPr>
        <w:t> </w:t>
      </w:r>
      <w:r>
        <w:rPr/>
        <w:t>Maroondah</w:t>
      </w:r>
      <w:r>
        <w:rPr>
          <w:spacing w:val="-5"/>
        </w:rPr>
        <w:t> </w:t>
      </w:r>
      <w:r>
        <w:rPr/>
        <w:t>is</w:t>
      </w:r>
      <w:r>
        <w:rPr>
          <w:spacing w:val="-8"/>
        </w:rPr>
        <w:t> </w:t>
      </w:r>
      <w:r>
        <w:rPr/>
        <w:t>committed to promoting sustainable waste management practices and reducing the environmental impact of waste.</w:t>
      </w:r>
    </w:p>
    <w:p>
      <w:pPr>
        <w:pStyle w:val="BodyText"/>
        <w:spacing w:before="2"/>
      </w:pPr>
    </w:p>
    <w:p>
      <w:pPr>
        <w:pStyle w:val="BodyText"/>
        <w:ind w:left="100"/>
      </w:pPr>
      <w:r>
        <w:rPr/>
        <w:t>This</w:t>
      </w:r>
      <w:r>
        <w:rPr>
          <w:spacing w:val="-2"/>
        </w:rPr>
        <w:t> includes:</w:t>
      </w:r>
    </w:p>
    <w:p>
      <w:pPr>
        <w:pStyle w:val="ListParagraph"/>
        <w:numPr>
          <w:ilvl w:val="0"/>
          <w:numId w:val="2"/>
        </w:numPr>
        <w:tabs>
          <w:tab w:pos="666" w:val="left" w:leader="none"/>
          <w:tab w:pos="667" w:val="left" w:leader="none"/>
        </w:tabs>
        <w:spacing w:line="237" w:lineRule="auto" w:before="4" w:after="0"/>
        <w:ind w:left="666" w:right="117" w:hanging="567"/>
        <w:jc w:val="left"/>
        <w:rPr>
          <w:rFonts w:ascii="Symbol" w:hAnsi="Symbol"/>
          <w:sz w:val="22"/>
        </w:rPr>
      </w:pPr>
      <w:r>
        <w:rPr>
          <w:sz w:val="22"/>
        </w:rPr>
        <w:t>Investing</w:t>
      </w:r>
      <w:r>
        <w:rPr>
          <w:spacing w:val="-8"/>
          <w:sz w:val="22"/>
        </w:rPr>
        <w:t> </w:t>
      </w:r>
      <w:r>
        <w:rPr>
          <w:sz w:val="22"/>
        </w:rPr>
        <w:t>in</w:t>
      </w:r>
      <w:r>
        <w:rPr>
          <w:spacing w:val="-12"/>
          <w:sz w:val="22"/>
        </w:rPr>
        <w:t> </w:t>
      </w:r>
      <w:r>
        <w:rPr>
          <w:sz w:val="22"/>
        </w:rPr>
        <w:t>the</w:t>
      </w:r>
      <w:r>
        <w:rPr>
          <w:spacing w:val="-8"/>
          <w:sz w:val="22"/>
        </w:rPr>
        <w:t> </w:t>
      </w:r>
      <w:r>
        <w:rPr>
          <w:sz w:val="22"/>
        </w:rPr>
        <w:t>initiatives</w:t>
      </w:r>
      <w:r>
        <w:rPr>
          <w:spacing w:val="-11"/>
          <w:sz w:val="22"/>
        </w:rPr>
        <w:t> </w:t>
      </w:r>
      <w:r>
        <w:rPr>
          <w:sz w:val="22"/>
        </w:rPr>
        <w:t>and</w:t>
      </w:r>
      <w:r>
        <w:rPr>
          <w:spacing w:val="-8"/>
          <w:sz w:val="22"/>
        </w:rPr>
        <w:t> </w:t>
      </w:r>
      <w:r>
        <w:rPr>
          <w:sz w:val="22"/>
        </w:rPr>
        <w:t>the</w:t>
      </w:r>
      <w:r>
        <w:rPr>
          <w:spacing w:val="-8"/>
          <w:sz w:val="22"/>
        </w:rPr>
        <w:t> </w:t>
      </w:r>
      <w:r>
        <w:rPr>
          <w:sz w:val="22"/>
        </w:rPr>
        <w:t>infrastructure</w:t>
      </w:r>
      <w:r>
        <w:rPr>
          <w:spacing w:val="-12"/>
          <w:sz w:val="22"/>
        </w:rPr>
        <w:t> </w:t>
      </w:r>
      <w:r>
        <w:rPr>
          <w:sz w:val="22"/>
        </w:rPr>
        <w:t>required</w:t>
      </w:r>
      <w:r>
        <w:rPr>
          <w:spacing w:val="-10"/>
          <w:sz w:val="22"/>
        </w:rPr>
        <w:t> </w:t>
      </w:r>
      <w:r>
        <w:rPr>
          <w:sz w:val="22"/>
        </w:rPr>
        <w:t>to</w:t>
      </w:r>
      <w:r>
        <w:rPr>
          <w:spacing w:val="-10"/>
          <w:sz w:val="22"/>
        </w:rPr>
        <w:t> </w:t>
      </w:r>
      <w:r>
        <w:rPr>
          <w:sz w:val="22"/>
        </w:rPr>
        <w:t>deliver</w:t>
      </w:r>
      <w:r>
        <w:rPr>
          <w:spacing w:val="-7"/>
          <w:sz w:val="22"/>
        </w:rPr>
        <w:t> </w:t>
      </w:r>
      <w:r>
        <w:rPr>
          <w:sz w:val="22"/>
        </w:rPr>
        <w:t>on</w:t>
      </w:r>
      <w:r>
        <w:rPr>
          <w:spacing w:val="-10"/>
          <w:sz w:val="22"/>
        </w:rPr>
        <w:t> </w:t>
      </w:r>
      <w:r>
        <w:rPr>
          <w:sz w:val="22"/>
        </w:rPr>
        <w:t>the</w:t>
      </w:r>
      <w:r>
        <w:rPr>
          <w:spacing w:val="-10"/>
          <w:sz w:val="22"/>
        </w:rPr>
        <w:t> </w:t>
      </w:r>
      <w:r>
        <w:rPr>
          <w:sz w:val="22"/>
        </w:rPr>
        <w:t>outcomes</w:t>
      </w:r>
      <w:r>
        <w:rPr>
          <w:spacing w:val="-8"/>
          <w:sz w:val="22"/>
        </w:rPr>
        <w:t> </w:t>
      </w:r>
      <w:r>
        <w:rPr>
          <w:sz w:val="22"/>
        </w:rPr>
        <w:t>set</w:t>
      </w:r>
      <w:r>
        <w:rPr>
          <w:spacing w:val="-10"/>
          <w:sz w:val="22"/>
        </w:rPr>
        <w:t> </w:t>
      </w:r>
      <w:r>
        <w:rPr>
          <w:sz w:val="22"/>
        </w:rPr>
        <w:t>out</w:t>
      </w:r>
      <w:r>
        <w:rPr>
          <w:spacing w:val="-8"/>
          <w:sz w:val="22"/>
        </w:rPr>
        <w:t> </w:t>
      </w:r>
      <w:r>
        <w:rPr>
          <w:sz w:val="22"/>
        </w:rPr>
        <w:t>in</w:t>
      </w:r>
      <w:r>
        <w:rPr>
          <w:spacing w:val="-10"/>
          <w:sz w:val="22"/>
        </w:rPr>
        <w:t> </w:t>
      </w:r>
      <w:r>
        <w:rPr>
          <w:sz w:val="22"/>
        </w:rPr>
        <w:t>Council’s Waste Strategy over the course of the next decade.</w:t>
      </w:r>
    </w:p>
    <w:p>
      <w:pPr>
        <w:pStyle w:val="ListParagraph"/>
        <w:numPr>
          <w:ilvl w:val="0"/>
          <w:numId w:val="2"/>
        </w:numPr>
        <w:tabs>
          <w:tab w:pos="666" w:val="left" w:leader="none"/>
          <w:tab w:pos="667" w:val="left" w:leader="none"/>
        </w:tabs>
        <w:spacing w:line="268" w:lineRule="exact" w:before="1" w:after="0"/>
        <w:ind w:left="666" w:right="0" w:hanging="567"/>
        <w:jc w:val="left"/>
        <w:rPr>
          <w:rFonts w:ascii="Symbol" w:hAnsi="Symbol"/>
          <w:sz w:val="22"/>
        </w:rPr>
      </w:pPr>
      <w:r>
        <w:rPr>
          <w:sz w:val="22"/>
        </w:rPr>
        <w:t>Driving</w:t>
      </w:r>
      <w:r>
        <w:rPr>
          <w:spacing w:val="-4"/>
          <w:sz w:val="22"/>
        </w:rPr>
        <w:t> </w:t>
      </w:r>
      <w:r>
        <w:rPr>
          <w:sz w:val="22"/>
        </w:rPr>
        <w:t>key</w:t>
      </w:r>
      <w:r>
        <w:rPr>
          <w:spacing w:val="-3"/>
          <w:sz w:val="22"/>
        </w:rPr>
        <w:t> </w:t>
      </w:r>
      <w:r>
        <w:rPr>
          <w:sz w:val="22"/>
        </w:rPr>
        <w:t>initiatives</w:t>
      </w:r>
      <w:r>
        <w:rPr>
          <w:spacing w:val="-4"/>
          <w:sz w:val="22"/>
        </w:rPr>
        <w:t> </w:t>
      </w:r>
      <w:r>
        <w:rPr>
          <w:sz w:val="22"/>
        </w:rPr>
        <w:t>to</w:t>
      </w:r>
      <w:r>
        <w:rPr>
          <w:spacing w:val="-7"/>
          <w:sz w:val="22"/>
        </w:rPr>
        <w:t> </w:t>
      </w:r>
      <w:r>
        <w:rPr>
          <w:sz w:val="22"/>
        </w:rPr>
        <w:t>reduce</w:t>
      </w:r>
      <w:r>
        <w:rPr>
          <w:spacing w:val="-2"/>
          <w:sz w:val="22"/>
        </w:rPr>
        <w:t> </w:t>
      </w:r>
      <w:r>
        <w:rPr>
          <w:sz w:val="22"/>
        </w:rPr>
        <w:t>waste</w:t>
      </w:r>
      <w:r>
        <w:rPr>
          <w:spacing w:val="-7"/>
          <w:sz w:val="22"/>
        </w:rPr>
        <w:t> </w:t>
      </w:r>
      <w:r>
        <w:rPr>
          <w:sz w:val="22"/>
        </w:rPr>
        <w:t>that</w:t>
      </w:r>
      <w:r>
        <w:rPr>
          <w:spacing w:val="-1"/>
          <w:sz w:val="22"/>
        </w:rPr>
        <w:t> </w:t>
      </w:r>
      <w:r>
        <w:rPr>
          <w:sz w:val="22"/>
        </w:rPr>
        <w:t>align</w:t>
      </w:r>
      <w:r>
        <w:rPr>
          <w:spacing w:val="-2"/>
          <w:sz w:val="22"/>
        </w:rPr>
        <w:t> </w:t>
      </w:r>
      <w:r>
        <w:rPr>
          <w:sz w:val="22"/>
        </w:rPr>
        <w:t>with</w:t>
      </w:r>
      <w:r>
        <w:rPr>
          <w:spacing w:val="-3"/>
          <w:sz w:val="22"/>
        </w:rPr>
        <w:t> </w:t>
      </w:r>
      <w:r>
        <w:rPr>
          <w:sz w:val="22"/>
        </w:rPr>
        <w:t>State</w:t>
      </w:r>
      <w:r>
        <w:rPr>
          <w:spacing w:val="-3"/>
          <w:sz w:val="22"/>
        </w:rPr>
        <w:t> </w:t>
      </w:r>
      <w:r>
        <w:rPr>
          <w:sz w:val="22"/>
        </w:rPr>
        <w:t>direction</w:t>
      </w:r>
      <w:r>
        <w:rPr>
          <w:spacing w:val="-2"/>
          <w:sz w:val="22"/>
        </w:rPr>
        <w:t> </w:t>
      </w:r>
      <w:r>
        <w:rPr>
          <w:sz w:val="22"/>
        </w:rPr>
        <w:t>and</w:t>
      </w:r>
      <w:r>
        <w:rPr>
          <w:spacing w:val="-4"/>
          <w:sz w:val="22"/>
        </w:rPr>
        <w:t> </w:t>
      </w:r>
      <w:r>
        <w:rPr>
          <w:sz w:val="22"/>
        </w:rPr>
        <w:t>the</w:t>
      </w:r>
      <w:r>
        <w:rPr>
          <w:spacing w:val="-2"/>
          <w:sz w:val="22"/>
        </w:rPr>
        <w:t> </w:t>
      </w:r>
      <w:r>
        <w:rPr>
          <w:sz w:val="22"/>
        </w:rPr>
        <w:t>State</w:t>
      </w:r>
      <w:r>
        <w:rPr>
          <w:spacing w:val="-6"/>
          <w:sz w:val="22"/>
        </w:rPr>
        <w:t> </w:t>
      </w:r>
      <w:r>
        <w:rPr>
          <w:sz w:val="22"/>
        </w:rPr>
        <w:t>Government</w:t>
      </w:r>
      <w:r>
        <w:rPr>
          <w:spacing w:val="-1"/>
          <w:sz w:val="22"/>
        </w:rPr>
        <w:t> </w:t>
      </w:r>
      <w:r>
        <w:rPr>
          <w:spacing w:val="-2"/>
          <w:sz w:val="22"/>
        </w:rPr>
        <w:t>Policy.</w:t>
      </w:r>
    </w:p>
    <w:p>
      <w:pPr>
        <w:pStyle w:val="ListParagraph"/>
        <w:numPr>
          <w:ilvl w:val="0"/>
          <w:numId w:val="2"/>
        </w:numPr>
        <w:tabs>
          <w:tab w:pos="666" w:val="left" w:leader="none"/>
          <w:tab w:pos="667" w:val="left" w:leader="none"/>
        </w:tabs>
        <w:spacing w:line="268" w:lineRule="exact" w:before="0" w:after="0"/>
        <w:ind w:left="666" w:right="0" w:hanging="567"/>
        <w:jc w:val="left"/>
        <w:rPr>
          <w:rFonts w:ascii="Symbol" w:hAnsi="Symbol"/>
          <w:sz w:val="22"/>
        </w:rPr>
      </w:pPr>
      <w:r>
        <w:rPr>
          <w:sz w:val="22"/>
        </w:rPr>
        <w:t>Ensuring</w:t>
      </w:r>
      <w:r>
        <w:rPr>
          <w:spacing w:val="-5"/>
          <w:sz w:val="22"/>
        </w:rPr>
        <w:t> </w:t>
      </w:r>
      <w:r>
        <w:rPr>
          <w:sz w:val="22"/>
        </w:rPr>
        <w:t>contracts</w:t>
      </w:r>
      <w:r>
        <w:rPr>
          <w:spacing w:val="-1"/>
          <w:sz w:val="22"/>
        </w:rPr>
        <w:t> </w:t>
      </w:r>
      <w:r>
        <w:rPr>
          <w:sz w:val="22"/>
        </w:rPr>
        <w:t>continue</w:t>
      </w:r>
      <w:r>
        <w:rPr>
          <w:spacing w:val="-3"/>
          <w:sz w:val="22"/>
        </w:rPr>
        <w:t> </w:t>
      </w:r>
      <w:r>
        <w:rPr>
          <w:sz w:val="22"/>
        </w:rPr>
        <w:t>to</w:t>
      </w:r>
      <w:r>
        <w:rPr>
          <w:spacing w:val="-7"/>
          <w:sz w:val="22"/>
        </w:rPr>
        <w:t> </w:t>
      </w:r>
      <w:r>
        <w:rPr>
          <w:sz w:val="22"/>
        </w:rPr>
        <w:t>deliver</w:t>
      </w:r>
      <w:r>
        <w:rPr>
          <w:spacing w:val="-3"/>
          <w:sz w:val="22"/>
        </w:rPr>
        <w:t> </w:t>
      </w:r>
      <w:r>
        <w:rPr>
          <w:sz w:val="22"/>
        </w:rPr>
        <w:t>for</w:t>
      </w:r>
      <w:r>
        <w:rPr>
          <w:spacing w:val="-3"/>
          <w:sz w:val="22"/>
        </w:rPr>
        <w:t> </w:t>
      </w:r>
      <w:r>
        <w:rPr>
          <w:sz w:val="22"/>
        </w:rPr>
        <w:t>current</w:t>
      </w:r>
      <w:r>
        <w:rPr>
          <w:spacing w:val="-7"/>
          <w:sz w:val="22"/>
        </w:rPr>
        <w:t> </w:t>
      </w:r>
      <w:r>
        <w:rPr>
          <w:sz w:val="22"/>
        </w:rPr>
        <w:t>and</w:t>
      </w:r>
      <w:r>
        <w:rPr>
          <w:spacing w:val="-3"/>
          <w:sz w:val="22"/>
        </w:rPr>
        <w:t> </w:t>
      </w:r>
      <w:r>
        <w:rPr>
          <w:sz w:val="22"/>
        </w:rPr>
        <w:t>future</w:t>
      </w:r>
      <w:r>
        <w:rPr>
          <w:spacing w:val="-6"/>
          <w:sz w:val="22"/>
        </w:rPr>
        <w:t> </w:t>
      </w:r>
      <w:r>
        <w:rPr>
          <w:spacing w:val="-2"/>
          <w:sz w:val="22"/>
        </w:rPr>
        <w:t>requirements.</w:t>
      </w:r>
    </w:p>
    <w:p>
      <w:pPr>
        <w:pStyle w:val="BodyText"/>
        <w:spacing w:before="10"/>
        <w:rPr>
          <w:sz w:val="21"/>
        </w:rPr>
      </w:pPr>
    </w:p>
    <w:p>
      <w:pPr>
        <w:pStyle w:val="BodyText"/>
        <w:ind w:left="100" w:right="112"/>
        <w:jc w:val="both"/>
      </w:pPr>
      <w:r>
        <w:rPr/>
        <w:t>For waste services to be delivered effectively and efficiently throughout the municipality and particularly recycling, the charge for 2025/26, incorporating kerbside collection, Food Organics and Green Organics (FOGO) collection and recycling, will increase by 6.12% from the 2024/25 level. This increase is primarily due to an increase in the Victorian Government landfill levy, combined with inflationary impacts on contract costs</w:t>
      </w:r>
      <w:r>
        <w:rPr>
          <w:spacing w:val="-2"/>
        </w:rPr>
        <w:t> </w:t>
      </w:r>
      <w:r>
        <w:rPr/>
        <w:t>for domestic waste and recycling. Waste charges, determined on a</w:t>
      </w:r>
      <w:r>
        <w:rPr>
          <w:spacing w:val="-1"/>
        </w:rPr>
        <w:t> </w:t>
      </w:r>
      <w:r>
        <w:rPr/>
        <w:t>full cost recovery basis, assist the municipality with ensuring a reliable and environmentally friendly waste processing service is delivered.</w:t>
      </w:r>
    </w:p>
    <w:p>
      <w:pPr>
        <w:pStyle w:val="BodyText"/>
        <w:spacing w:before="9"/>
        <w:rPr>
          <w:sz w:val="21"/>
        </w:rPr>
      </w:pPr>
    </w:p>
    <w:p>
      <w:pPr>
        <w:spacing w:before="1"/>
        <w:ind w:left="100" w:right="0" w:firstLine="0"/>
        <w:jc w:val="left"/>
        <w:rPr>
          <w:b/>
          <w:sz w:val="22"/>
        </w:rPr>
      </w:pPr>
      <w:r>
        <w:rPr>
          <w:b/>
          <w:color w:val="1D5D9E"/>
          <w:sz w:val="22"/>
        </w:rPr>
        <w:t>Other</w:t>
      </w:r>
      <w:r>
        <w:rPr>
          <w:b/>
          <w:color w:val="1D5D9E"/>
          <w:spacing w:val="-1"/>
          <w:sz w:val="22"/>
        </w:rPr>
        <w:t> </w:t>
      </w:r>
      <w:r>
        <w:rPr>
          <w:b/>
          <w:color w:val="1D5D9E"/>
          <w:spacing w:val="-2"/>
          <w:sz w:val="22"/>
        </w:rPr>
        <w:t>Challenges</w:t>
      </w:r>
    </w:p>
    <w:p>
      <w:pPr>
        <w:pStyle w:val="BodyText"/>
        <w:spacing w:before="4"/>
        <w:rPr>
          <w:b/>
          <w:sz w:val="25"/>
        </w:rPr>
      </w:pPr>
    </w:p>
    <w:p>
      <w:pPr>
        <w:pStyle w:val="BodyText"/>
        <w:ind w:left="100"/>
      </w:pPr>
      <w:r>
        <w:rPr/>
        <w:t>Maroondah</w:t>
      </w:r>
      <w:r>
        <w:rPr>
          <w:spacing w:val="-5"/>
        </w:rPr>
        <w:t> </w:t>
      </w:r>
      <w:r>
        <w:rPr/>
        <w:t>also</w:t>
      </w:r>
      <w:r>
        <w:rPr>
          <w:spacing w:val="-6"/>
        </w:rPr>
        <w:t> </w:t>
      </w:r>
      <w:r>
        <w:rPr/>
        <w:t>faces</w:t>
      </w:r>
      <w:r>
        <w:rPr>
          <w:spacing w:val="-3"/>
        </w:rPr>
        <w:t> </w:t>
      </w:r>
      <w:r>
        <w:rPr/>
        <w:t>a</w:t>
      </w:r>
      <w:r>
        <w:rPr>
          <w:spacing w:val="-6"/>
        </w:rPr>
        <w:t> </w:t>
      </w:r>
      <w:r>
        <w:rPr/>
        <w:t>broad</w:t>
      </w:r>
      <w:r>
        <w:rPr>
          <w:spacing w:val="-5"/>
        </w:rPr>
        <w:t> </w:t>
      </w:r>
      <w:r>
        <w:rPr/>
        <w:t>range</w:t>
      </w:r>
      <w:r>
        <w:rPr>
          <w:spacing w:val="-3"/>
        </w:rPr>
        <w:t> </w:t>
      </w:r>
      <w:r>
        <w:rPr/>
        <w:t>of</w:t>
      </w:r>
      <w:r>
        <w:rPr>
          <w:spacing w:val="-1"/>
        </w:rPr>
        <w:t> </w:t>
      </w:r>
      <w:r>
        <w:rPr/>
        <w:t>other</w:t>
      </w:r>
      <w:r>
        <w:rPr>
          <w:spacing w:val="-3"/>
        </w:rPr>
        <w:t> </w:t>
      </w:r>
      <w:r>
        <w:rPr/>
        <w:t>challenges</w:t>
      </w:r>
      <w:r>
        <w:rPr>
          <w:spacing w:val="-1"/>
        </w:rPr>
        <w:t> </w:t>
      </w:r>
      <w:r>
        <w:rPr>
          <w:spacing w:val="-2"/>
        </w:rPr>
        <w:t>including:</w:t>
      </w:r>
    </w:p>
    <w:p>
      <w:pPr>
        <w:pStyle w:val="ListParagraph"/>
        <w:numPr>
          <w:ilvl w:val="0"/>
          <w:numId w:val="2"/>
        </w:numPr>
        <w:tabs>
          <w:tab w:pos="666" w:val="left" w:leader="none"/>
          <w:tab w:pos="667" w:val="left" w:leader="none"/>
        </w:tabs>
        <w:spacing w:line="269" w:lineRule="exact" w:before="1" w:after="0"/>
        <w:ind w:left="666" w:right="0" w:hanging="567"/>
        <w:jc w:val="left"/>
        <w:rPr>
          <w:rFonts w:ascii="Symbol" w:hAnsi="Symbol"/>
          <w:sz w:val="22"/>
        </w:rPr>
      </w:pPr>
      <w:r>
        <w:rPr>
          <w:sz w:val="22"/>
        </w:rPr>
        <w:t>Funding</w:t>
      </w:r>
      <w:r>
        <w:rPr>
          <w:spacing w:val="-7"/>
          <w:sz w:val="22"/>
        </w:rPr>
        <w:t> </w:t>
      </w:r>
      <w:r>
        <w:rPr>
          <w:sz w:val="22"/>
        </w:rPr>
        <w:t>the</w:t>
      </w:r>
      <w:r>
        <w:rPr>
          <w:spacing w:val="-6"/>
          <w:sz w:val="22"/>
        </w:rPr>
        <w:t> </w:t>
      </w:r>
      <w:r>
        <w:rPr>
          <w:sz w:val="22"/>
        </w:rPr>
        <w:t>renewal</w:t>
      </w:r>
      <w:r>
        <w:rPr>
          <w:spacing w:val="-4"/>
          <w:sz w:val="22"/>
        </w:rPr>
        <w:t> </w:t>
      </w:r>
      <w:r>
        <w:rPr>
          <w:sz w:val="22"/>
        </w:rPr>
        <w:t>and</w:t>
      </w:r>
      <w:r>
        <w:rPr>
          <w:spacing w:val="-6"/>
          <w:sz w:val="22"/>
        </w:rPr>
        <w:t> </w:t>
      </w:r>
      <w:r>
        <w:rPr>
          <w:sz w:val="22"/>
        </w:rPr>
        <w:t>maintenance</w:t>
      </w:r>
      <w:r>
        <w:rPr>
          <w:spacing w:val="-3"/>
          <w:sz w:val="22"/>
        </w:rPr>
        <w:t> </w:t>
      </w:r>
      <w:r>
        <w:rPr>
          <w:sz w:val="22"/>
        </w:rPr>
        <w:t>of</w:t>
      </w:r>
      <w:r>
        <w:rPr>
          <w:spacing w:val="-2"/>
          <w:sz w:val="22"/>
        </w:rPr>
        <w:t> </w:t>
      </w:r>
      <w:r>
        <w:rPr>
          <w:sz w:val="22"/>
        </w:rPr>
        <w:t>infrastructure</w:t>
      </w:r>
      <w:r>
        <w:rPr>
          <w:spacing w:val="-8"/>
          <w:sz w:val="22"/>
        </w:rPr>
        <w:t> </w:t>
      </w:r>
      <w:r>
        <w:rPr>
          <w:sz w:val="22"/>
        </w:rPr>
        <w:t>and</w:t>
      </w:r>
      <w:r>
        <w:rPr>
          <w:spacing w:val="-4"/>
          <w:sz w:val="22"/>
        </w:rPr>
        <w:t> </w:t>
      </w:r>
      <w:r>
        <w:rPr>
          <w:sz w:val="22"/>
        </w:rPr>
        <w:t>community</w:t>
      </w:r>
      <w:r>
        <w:rPr>
          <w:spacing w:val="-4"/>
          <w:sz w:val="22"/>
        </w:rPr>
        <w:t> </w:t>
      </w:r>
      <w:r>
        <w:rPr>
          <w:spacing w:val="-2"/>
          <w:sz w:val="22"/>
        </w:rPr>
        <w:t>assets</w:t>
      </w:r>
    </w:p>
    <w:p>
      <w:pPr>
        <w:pStyle w:val="ListParagraph"/>
        <w:numPr>
          <w:ilvl w:val="0"/>
          <w:numId w:val="2"/>
        </w:numPr>
        <w:tabs>
          <w:tab w:pos="666" w:val="left" w:leader="none"/>
          <w:tab w:pos="667" w:val="left" w:leader="none"/>
        </w:tabs>
        <w:spacing w:line="268" w:lineRule="exact" w:before="0" w:after="0"/>
        <w:ind w:left="666" w:right="0" w:hanging="567"/>
        <w:jc w:val="left"/>
        <w:rPr>
          <w:rFonts w:ascii="Symbol" w:hAnsi="Symbol"/>
          <w:sz w:val="22"/>
        </w:rPr>
      </w:pPr>
      <w:r>
        <w:rPr>
          <w:sz w:val="22"/>
        </w:rPr>
        <w:t>Meeting</w:t>
      </w:r>
      <w:r>
        <w:rPr>
          <w:spacing w:val="-7"/>
          <w:sz w:val="22"/>
        </w:rPr>
        <w:t> </w:t>
      </w:r>
      <w:r>
        <w:rPr>
          <w:sz w:val="22"/>
        </w:rPr>
        <w:t>expectations</w:t>
      </w:r>
      <w:r>
        <w:rPr>
          <w:spacing w:val="-4"/>
          <w:sz w:val="22"/>
        </w:rPr>
        <w:t> </w:t>
      </w:r>
      <w:r>
        <w:rPr>
          <w:sz w:val="22"/>
        </w:rPr>
        <w:t>of</w:t>
      </w:r>
      <w:r>
        <w:rPr>
          <w:spacing w:val="-4"/>
          <w:sz w:val="22"/>
        </w:rPr>
        <w:t> </w:t>
      </w:r>
      <w:r>
        <w:rPr>
          <w:sz w:val="22"/>
        </w:rPr>
        <w:t>delivering</w:t>
      </w:r>
      <w:r>
        <w:rPr>
          <w:spacing w:val="-4"/>
          <w:sz w:val="22"/>
        </w:rPr>
        <w:t> </w:t>
      </w:r>
      <w:r>
        <w:rPr>
          <w:sz w:val="22"/>
        </w:rPr>
        <w:t>new</w:t>
      </w:r>
      <w:r>
        <w:rPr>
          <w:spacing w:val="-4"/>
          <w:sz w:val="22"/>
        </w:rPr>
        <w:t> </w:t>
      </w:r>
      <w:r>
        <w:rPr>
          <w:sz w:val="22"/>
        </w:rPr>
        <w:t>and</w:t>
      </w:r>
      <w:r>
        <w:rPr>
          <w:spacing w:val="-4"/>
          <w:sz w:val="22"/>
        </w:rPr>
        <w:t> </w:t>
      </w:r>
      <w:r>
        <w:rPr>
          <w:sz w:val="22"/>
        </w:rPr>
        <w:t>enhanced</w:t>
      </w:r>
      <w:r>
        <w:rPr>
          <w:spacing w:val="-3"/>
          <w:sz w:val="22"/>
        </w:rPr>
        <w:t> </w:t>
      </w:r>
      <w:r>
        <w:rPr>
          <w:spacing w:val="-2"/>
          <w:sz w:val="22"/>
        </w:rPr>
        <w:t>infrastructure</w:t>
      </w:r>
    </w:p>
    <w:p>
      <w:pPr>
        <w:pStyle w:val="ListParagraph"/>
        <w:numPr>
          <w:ilvl w:val="0"/>
          <w:numId w:val="2"/>
        </w:numPr>
        <w:tabs>
          <w:tab w:pos="666" w:val="left" w:leader="none"/>
          <w:tab w:pos="667" w:val="left" w:leader="none"/>
        </w:tabs>
        <w:spacing w:line="268" w:lineRule="exact" w:before="0" w:after="0"/>
        <w:ind w:left="666" w:right="0" w:hanging="567"/>
        <w:jc w:val="left"/>
        <w:rPr>
          <w:rFonts w:ascii="Symbol" w:hAnsi="Symbol"/>
          <w:sz w:val="22"/>
        </w:rPr>
      </w:pPr>
      <w:r>
        <w:rPr>
          <w:sz w:val="22"/>
        </w:rPr>
        <w:t>Dealing</w:t>
      </w:r>
      <w:r>
        <w:rPr>
          <w:spacing w:val="-5"/>
          <w:sz w:val="22"/>
        </w:rPr>
        <w:t> </w:t>
      </w:r>
      <w:r>
        <w:rPr>
          <w:sz w:val="22"/>
        </w:rPr>
        <w:t>with</w:t>
      </w:r>
      <w:r>
        <w:rPr>
          <w:spacing w:val="-3"/>
          <w:sz w:val="22"/>
        </w:rPr>
        <w:t> </w:t>
      </w:r>
      <w:r>
        <w:rPr>
          <w:sz w:val="22"/>
        </w:rPr>
        <w:t>the</w:t>
      </w:r>
      <w:r>
        <w:rPr>
          <w:spacing w:val="-3"/>
          <w:sz w:val="22"/>
        </w:rPr>
        <w:t> </w:t>
      </w:r>
      <w:r>
        <w:rPr>
          <w:sz w:val="22"/>
        </w:rPr>
        <w:t>increased</w:t>
      </w:r>
      <w:r>
        <w:rPr>
          <w:spacing w:val="-2"/>
          <w:sz w:val="22"/>
        </w:rPr>
        <w:t> </w:t>
      </w:r>
      <w:r>
        <w:rPr>
          <w:sz w:val="22"/>
        </w:rPr>
        <w:t>cost</w:t>
      </w:r>
      <w:r>
        <w:rPr>
          <w:spacing w:val="-2"/>
          <w:sz w:val="22"/>
        </w:rPr>
        <w:t> </w:t>
      </w:r>
      <w:r>
        <w:rPr>
          <w:sz w:val="22"/>
        </w:rPr>
        <w:t>of</w:t>
      </w:r>
      <w:r>
        <w:rPr>
          <w:spacing w:val="-3"/>
          <w:sz w:val="22"/>
        </w:rPr>
        <w:t> </w:t>
      </w:r>
      <w:r>
        <w:rPr>
          <w:sz w:val="22"/>
        </w:rPr>
        <w:t>materials</w:t>
      </w:r>
      <w:r>
        <w:rPr>
          <w:spacing w:val="-3"/>
          <w:sz w:val="22"/>
        </w:rPr>
        <w:t> </w:t>
      </w:r>
      <w:r>
        <w:rPr>
          <w:sz w:val="22"/>
        </w:rPr>
        <w:t>and</w:t>
      </w:r>
      <w:r>
        <w:rPr>
          <w:spacing w:val="-5"/>
          <w:sz w:val="22"/>
        </w:rPr>
        <w:t> </w:t>
      </w:r>
      <w:r>
        <w:rPr>
          <w:sz w:val="22"/>
        </w:rPr>
        <w:t>services</w:t>
      </w:r>
      <w:r>
        <w:rPr>
          <w:spacing w:val="-1"/>
          <w:sz w:val="22"/>
        </w:rPr>
        <w:t> </w:t>
      </w:r>
      <w:r>
        <w:rPr>
          <w:sz w:val="22"/>
        </w:rPr>
        <w:t>well</w:t>
      </w:r>
      <w:r>
        <w:rPr>
          <w:spacing w:val="-3"/>
          <w:sz w:val="22"/>
        </w:rPr>
        <w:t> </w:t>
      </w:r>
      <w:r>
        <w:rPr>
          <w:sz w:val="22"/>
        </w:rPr>
        <w:t>above</w:t>
      </w:r>
      <w:r>
        <w:rPr>
          <w:spacing w:val="-5"/>
          <w:sz w:val="22"/>
        </w:rPr>
        <w:t> </w:t>
      </w:r>
      <w:r>
        <w:rPr>
          <w:sz w:val="22"/>
        </w:rPr>
        <w:t>the</w:t>
      </w:r>
      <w:r>
        <w:rPr>
          <w:spacing w:val="-4"/>
          <w:sz w:val="22"/>
        </w:rPr>
        <w:t> </w:t>
      </w:r>
      <w:r>
        <w:rPr>
          <w:sz w:val="22"/>
        </w:rPr>
        <w:t>rate</w:t>
      </w:r>
      <w:r>
        <w:rPr>
          <w:spacing w:val="-1"/>
          <w:sz w:val="22"/>
        </w:rPr>
        <w:t> </w:t>
      </w:r>
      <w:r>
        <w:rPr>
          <w:spacing w:val="-5"/>
          <w:sz w:val="22"/>
        </w:rPr>
        <w:t>cap</w:t>
      </w:r>
    </w:p>
    <w:p>
      <w:pPr>
        <w:pStyle w:val="ListParagraph"/>
        <w:numPr>
          <w:ilvl w:val="0"/>
          <w:numId w:val="2"/>
        </w:numPr>
        <w:tabs>
          <w:tab w:pos="666" w:val="left" w:leader="none"/>
          <w:tab w:pos="667" w:val="left" w:leader="none"/>
        </w:tabs>
        <w:spacing w:line="268" w:lineRule="exact" w:before="0" w:after="0"/>
        <w:ind w:left="666" w:right="0" w:hanging="567"/>
        <w:jc w:val="left"/>
        <w:rPr>
          <w:rFonts w:ascii="Symbol" w:hAnsi="Symbol"/>
          <w:sz w:val="22"/>
        </w:rPr>
      </w:pPr>
      <w:r>
        <w:rPr>
          <w:sz w:val="22"/>
        </w:rPr>
        <w:t>Constrained</w:t>
      </w:r>
      <w:r>
        <w:rPr>
          <w:spacing w:val="-3"/>
          <w:sz w:val="22"/>
        </w:rPr>
        <w:t> </w:t>
      </w:r>
      <w:r>
        <w:rPr>
          <w:sz w:val="22"/>
        </w:rPr>
        <w:t>ability</w:t>
      </w:r>
      <w:r>
        <w:rPr>
          <w:spacing w:val="-4"/>
          <w:sz w:val="22"/>
        </w:rPr>
        <w:t> </w:t>
      </w:r>
      <w:r>
        <w:rPr>
          <w:sz w:val="22"/>
        </w:rPr>
        <w:t>to</w:t>
      </w:r>
      <w:r>
        <w:rPr>
          <w:spacing w:val="-5"/>
          <w:sz w:val="22"/>
        </w:rPr>
        <w:t> </w:t>
      </w:r>
      <w:r>
        <w:rPr>
          <w:sz w:val="22"/>
        </w:rPr>
        <w:t>fund</w:t>
      </w:r>
      <w:r>
        <w:rPr>
          <w:spacing w:val="-2"/>
          <w:sz w:val="22"/>
        </w:rPr>
        <w:t> </w:t>
      </w:r>
      <w:r>
        <w:rPr>
          <w:sz w:val="22"/>
        </w:rPr>
        <w:t>service</w:t>
      </w:r>
      <w:r>
        <w:rPr>
          <w:spacing w:val="-4"/>
          <w:sz w:val="22"/>
        </w:rPr>
        <w:t> </w:t>
      </w:r>
      <w:r>
        <w:rPr>
          <w:sz w:val="22"/>
        </w:rPr>
        <w:t>delivery</w:t>
      </w:r>
      <w:r>
        <w:rPr>
          <w:spacing w:val="-2"/>
          <w:sz w:val="22"/>
        </w:rPr>
        <w:t> </w:t>
      </w:r>
      <w:r>
        <w:rPr>
          <w:sz w:val="22"/>
        </w:rPr>
        <w:t>due</w:t>
      </w:r>
      <w:r>
        <w:rPr>
          <w:spacing w:val="-3"/>
          <w:sz w:val="22"/>
        </w:rPr>
        <w:t> </w:t>
      </w:r>
      <w:r>
        <w:rPr>
          <w:sz w:val="22"/>
        </w:rPr>
        <w:t>to</w:t>
      </w:r>
      <w:r>
        <w:rPr>
          <w:spacing w:val="-5"/>
          <w:sz w:val="22"/>
        </w:rPr>
        <w:t> </w:t>
      </w:r>
      <w:r>
        <w:rPr>
          <w:sz w:val="22"/>
        </w:rPr>
        <w:t>revenue</w:t>
      </w:r>
      <w:r>
        <w:rPr>
          <w:spacing w:val="-1"/>
          <w:sz w:val="22"/>
        </w:rPr>
        <w:t> </w:t>
      </w:r>
      <w:r>
        <w:rPr>
          <w:spacing w:val="-4"/>
          <w:sz w:val="22"/>
        </w:rPr>
        <w:t>caps</w:t>
      </w:r>
    </w:p>
    <w:p>
      <w:pPr>
        <w:pStyle w:val="ListParagraph"/>
        <w:numPr>
          <w:ilvl w:val="0"/>
          <w:numId w:val="2"/>
        </w:numPr>
        <w:tabs>
          <w:tab w:pos="666" w:val="left" w:leader="none"/>
          <w:tab w:pos="667" w:val="left" w:leader="none"/>
        </w:tabs>
        <w:spacing w:line="268" w:lineRule="exact" w:before="0" w:after="0"/>
        <w:ind w:left="666" w:right="0" w:hanging="567"/>
        <w:jc w:val="left"/>
        <w:rPr>
          <w:rFonts w:ascii="Symbol" w:hAnsi="Symbol"/>
          <w:sz w:val="22"/>
        </w:rPr>
      </w:pPr>
      <w:r>
        <w:rPr>
          <w:sz w:val="22"/>
        </w:rPr>
        <w:t>Delivering</w:t>
      </w:r>
      <w:r>
        <w:rPr>
          <w:spacing w:val="-6"/>
          <w:sz w:val="22"/>
        </w:rPr>
        <w:t> </w:t>
      </w:r>
      <w:r>
        <w:rPr>
          <w:sz w:val="22"/>
        </w:rPr>
        <w:t>services</w:t>
      </w:r>
      <w:r>
        <w:rPr>
          <w:spacing w:val="-6"/>
          <w:sz w:val="22"/>
        </w:rPr>
        <w:t> </w:t>
      </w:r>
      <w:r>
        <w:rPr>
          <w:sz w:val="22"/>
        </w:rPr>
        <w:t>that</w:t>
      </w:r>
      <w:r>
        <w:rPr>
          <w:spacing w:val="-8"/>
          <w:sz w:val="22"/>
        </w:rPr>
        <w:t> </w:t>
      </w:r>
      <w:r>
        <w:rPr>
          <w:sz w:val="22"/>
        </w:rPr>
        <w:t>have</w:t>
      </w:r>
      <w:r>
        <w:rPr>
          <w:spacing w:val="-3"/>
          <w:sz w:val="22"/>
        </w:rPr>
        <w:t> </w:t>
      </w:r>
      <w:r>
        <w:rPr>
          <w:sz w:val="22"/>
        </w:rPr>
        <w:t>shifted</w:t>
      </w:r>
      <w:r>
        <w:rPr>
          <w:spacing w:val="-6"/>
          <w:sz w:val="22"/>
        </w:rPr>
        <w:t> </w:t>
      </w:r>
      <w:r>
        <w:rPr>
          <w:sz w:val="22"/>
        </w:rPr>
        <w:t>from</w:t>
      </w:r>
      <w:r>
        <w:rPr>
          <w:spacing w:val="-4"/>
          <w:sz w:val="22"/>
        </w:rPr>
        <w:t> </w:t>
      </w:r>
      <w:r>
        <w:rPr>
          <w:sz w:val="22"/>
        </w:rPr>
        <w:t>State/Federal</w:t>
      </w:r>
      <w:r>
        <w:rPr>
          <w:spacing w:val="-4"/>
          <w:sz w:val="22"/>
        </w:rPr>
        <w:t> </w:t>
      </w:r>
      <w:r>
        <w:rPr>
          <w:sz w:val="22"/>
        </w:rPr>
        <w:t>Government</w:t>
      </w:r>
      <w:r>
        <w:rPr>
          <w:spacing w:val="-2"/>
          <w:sz w:val="22"/>
        </w:rPr>
        <w:t> responsibility</w:t>
      </w:r>
    </w:p>
    <w:p>
      <w:pPr>
        <w:pStyle w:val="ListParagraph"/>
        <w:numPr>
          <w:ilvl w:val="0"/>
          <w:numId w:val="2"/>
        </w:numPr>
        <w:tabs>
          <w:tab w:pos="666" w:val="left" w:leader="none"/>
          <w:tab w:pos="667" w:val="left" w:leader="none"/>
        </w:tabs>
        <w:spacing w:line="269" w:lineRule="exact" w:before="0" w:after="0"/>
        <w:ind w:left="666" w:right="0" w:hanging="567"/>
        <w:jc w:val="left"/>
        <w:rPr>
          <w:rFonts w:ascii="Symbol" w:hAnsi="Symbol"/>
          <w:sz w:val="22"/>
        </w:rPr>
      </w:pPr>
      <w:r>
        <w:rPr>
          <w:sz w:val="22"/>
        </w:rPr>
        <w:t>Allocated</w:t>
      </w:r>
      <w:r>
        <w:rPr>
          <w:spacing w:val="-7"/>
          <w:sz w:val="22"/>
        </w:rPr>
        <w:t> </w:t>
      </w:r>
      <w:r>
        <w:rPr>
          <w:sz w:val="22"/>
        </w:rPr>
        <w:t>funding</w:t>
      </w:r>
      <w:r>
        <w:rPr>
          <w:spacing w:val="-3"/>
          <w:sz w:val="22"/>
        </w:rPr>
        <w:t> </w:t>
      </w:r>
      <w:r>
        <w:rPr>
          <w:sz w:val="22"/>
        </w:rPr>
        <w:t>not</w:t>
      </w:r>
      <w:r>
        <w:rPr>
          <w:spacing w:val="-3"/>
          <w:sz w:val="22"/>
        </w:rPr>
        <w:t> </w:t>
      </w:r>
      <w:r>
        <w:rPr>
          <w:sz w:val="22"/>
        </w:rPr>
        <w:t>reflecting</w:t>
      </w:r>
      <w:r>
        <w:rPr>
          <w:spacing w:val="-4"/>
          <w:sz w:val="22"/>
        </w:rPr>
        <w:t> </w:t>
      </w:r>
      <w:r>
        <w:rPr>
          <w:sz w:val="22"/>
        </w:rPr>
        <w:t>the</w:t>
      </w:r>
      <w:r>
        <w:rPr>
          <w:spacing w:val="-6"/>
          <w:sz w:val="22"/>
        </w:rPr>
        <w:t> </w:t>
      </w:r>
      <w:r>
        <w:rPr>
          <w:sz w:val="22"/>
        </w:rPr>
        <w:t>real</w:t>
      </w:r>
      <w:r>
        <w:rPr>
          <w:spacing w:val="-7"/>
          <w:sz w:val="22"/>
        </w:rPr>
        <w:t> </w:t>
      </w:r>
      <w:r>
        <w:rPr>
          <w:sz w:val="22"/>
        </w:rPr>
        <w:t>cost</w:t>
      </w:r>
      <w:r>
        <w:rPr>
          <w:spacing w:val="-2"/>
          <w:sz w:val="22"/>
        </w:rPr>
        <w:t> </w:t>
      </w:r>
      <w:r>
        <w:rPr>
          <w:sz w:val="22"/>
        </w:rPr>
        <w:t>of</w:t>
      </w:r>
      <w:r>
        <w:rPr>
          <w:spacing w:val="-3"/>
          <w:sz w:val="22"/>
        </w:rPr>
        <w:t> </w:t>
      </w:r>
      <w:r>
        <w:rPr>
          <w:sz w:val="22"/>
        </w:rPr>
        <w:t>providing</w:t>
      </w:r>
      <w:r>
        <w:rPr>
          <w:spacing w:val="-5"/>
          <w:sz w:val="22"/>
        </w:rPr>
        <w:t> </w:t>
      </w:r>
      <w:r>
        <w:rPr>
          <w:spacing w:val="-2"/>
          <w:sz w:val="22"/>
        </w:rPr>
        <w:t>services</w:t>
      </w:r>
    </w:p>
    <w:p>
      <w:pPr>
        <w:pStyle w:val="ListParagraph"/>
        <w:numPr>
          <w:ilvl w:val="0"/>
          <w:numId w:val="2"/>
        </w:numPr>
        <w:tabs>
          <w:tab w:pos="666" w:val="left" w:leader="none"/>
          <w:tab w:pos="667" w:val="left" w:leader="none"/>
        </w:tabs>
        <w:spacing w:line="268" w:lineRule="exact" w:before="0" w:after="0"/>
        <w:ind w:left="666" w:right="0" w:hanging="567"/>
        <w:jc w:val="left"/>
        <w:rPr>
          <w:rFonts w:ascii="Symbol" w:hAnsi="Symbol"/>
          <w:sz w:val="22"/>
        </w:rPr>
      </w:pPr>
      <w:r>
        <w:rPr>
          <w:sz w:val="22"/>
        </w:rPr>
        <w:t>Attracting</w:t>
      </w:r>
      <w:r>
        <w:rPr>
          <w:spacing w:val="-5"/>
          <w:sz w:val="22"/>
        </w:rPr>
        <w:t> </w:t>
      </w:r>
      <w:r>
        <w:rPr>
          <w:sz w:val="22"/>
        </w:rPr>
        <w:t>and</w:t>
      </w:r>
      <w:r>
        <w:rPr>
          <w:spacing w:val="-5"/>
          <w:sz w:val="22"/>
        </w:rPr>
        <w:t> </w:t>
      </w:r>
      <w:r>
        <w:rPr>
          <w:sz w:val="22"/>
        </w:rPr>
        <w:t>retaining</w:t>
      </w:r>
      <w:r>
        <w:rPr>
          <w:spacing w:val="-3"/>
          <w:sz w:val="22"/>
        </w:rPr>
        <w:t> </w:t>
      </w:r>
      <w:r>
        <w:rPr>
          <w:sz w:val="22"/>
        </w:rPr>
        <w:t>skilled</w:t>
      </w:r>
      <w:r>
        <w:rPr>
          <w:spacing w:val="-5"/>
          <w:sz w:val="22"/>
        </w:rPr>
        <w:t> </w:t>
      </w:r>
      <w:r>
        <w:rPr>
          <w:sz w:val="22"/>
        </w:rPr>
        <w:t>personnel</w:t>
      </w:r>
      <w:r>
        <w:rPr>
          <w:spacing w:val="-3"/>
          <w:sz w:val="22"/>
        </w:rPr>
        <w:t> </w:t>
      </w:r>
      <w:r>
        <w:rPr>
          <w:sz w:val="22"/>
        </w:rPr>
        <w:t>in</w:t>
      </w:r>
      <w:r>
        <w:rPr>
          <w:spacing w:val="-5"/>
          <w:sz w:val="22"/>
        </w:rPr>
        <w:t> </w:t>
      </w:r>
      <w:r>
        <w:rPr>
          <w:sz w:val="22"/>
        </w:rPr>
        <w:t>competition</w:t>
      </w:r>
      <w:r>
        <w:rPr>
          <w:spacing w:val="-3"/>
          <w:sz w:val="22"/>
        </w:rPr>
        <w:t> </w:t>
      </w:r>
      <w:r>
        <w:rPr>
          <w:sz w:val="22"/>
        </w:rPr>
        <w:t>with</w:t>
      </w:r>
      <w:r>
        <w:rPr>
          <w:spacing w:val="-5"/>
          <w:sz w:val="22"/>
        </w:rPr>
        <w:t> </w:t>
      </w:r>
      <w:r>
        <w:rPr>
          <w:sz w:val="22"/>
        </w:rPr>
        <w:t>the</w:t>
      </w:r>
      <w:r>
        <w:rPr>
          <w:spacing w:val="-5"/>
          <w:sz w:val="22"/>
        </w:rPr>
        <w:t> </w:t>
      </w:r>
      <w:r>
        <w:rPr>
          <w:sz w:val="22"/>
        </w:rPr>
        <w:t>private</w:t>
      </w:r>
      <w:r>
        <w:rPr>
          <w:spacing w:val="-4"/>
          <w:sz w:val="22"/>
        </w:rPr>
        <w:t> </w:t>
      </w:r>
      <w:r>
        <w:rPr>
          <w:spacing w:val="-2"/>
          <w:sz w:val="22"/>
        </w:rPr>
        <w:t>sector</w:t>
      </w:r>
    </w:p>
    <w:p>
      <w:pPr>
        <w:pStyle w:val="ListParagraph"/>
        <w:numPr>
          <w:ilvl w:val="0"/>
          <w:numId w:val="2"/>
        </w:numPr>
        <w:tabs>
          <w:tab w:pos="666" w:val="left" w:leader="none"/>
          <w:tab w:pos="667" w:val="left" w:leader="none"/>
        </w:tabs>
        <w:spacing w:line="237" w:lineRule="auto" w:before="1" w:after="0"/>
        <w:ind w:left="666" w:right="1015" w:hanging="567"/>
        <w:jc w:val="left"/>
        <w:rPr>
          <w:rFonts w:ascii="Symbol" w:hAnsi="Symbol"/>
          <w:sz w:val="22"/>
        </w:rPr>
      </w:pPr>
      <w:r>
        <w:rPr>
          <w:sz w:val="22"/>
        </w:rPr>
        <w:t>Embracing</w:t>
      </w:r>
      <w:r>
        <w:rPr>
          <w:spacing w:val="-2"/>
          <w:sz w:val="22"/>
        </w:rPr>
        <w:t> </w:t>
      </w:r>
      <w:r>
        <w:rPr>
          <w:sz w:val="22"/>
        </w:rPr>
        <w:t>digital</w:t>
      </w:r>
      <w:r>
        <w:rPr>
          <w:spacing w:val="-4"/>
          <w:sz w:val="22"/>
        </w:rPr>
        <w:t> </w:t>
      </w:r>
      <w:r>
        <w:rPr>
          <w:sz w:val="22"/>
        </w:rPr>
        <w:t>transformation</w:t>
      </w:r>
      <w:r>
        <w:rPr>
          <w:spacing w:val="-2"/>
          <w:sz w:val="22"/>
        </w:rPr>
        <w:t> </w:t>
      </w:r>
      <w:r>
        <w:rPr>
          <w:sz w:val="22"/>
        </w:rPr>
        <w:t>to</w:t>
      </w:r>
      <w:r>
        <w:rPr>
          <w:spacing w:val="-6"/>
          <w:sz w:val="22"/>
        </w:rPr>
        <w:t> </w:t>
      </w:r>
      <w:r>
        <w:rPr>
          <w:sz w:val="22"/>
        </w:rPr>
        <w:t>improve</w:t>
      </w:r>
      <w:r>
        <w:rPr>
          <w:spacing w:val="-4"/>
          <w:sz w:val="22"/>
        </w:rPr>
        <w:t> </w:t>
      </w:r>
      <w:r>
        <w:rPr>
          <w:sz w:val="22"/>
        </w:rPr>
        <w:t>service</w:t>
      </w:r>
      <w:r>
        <w:rPr>
          <w:spacing w:val="-2"/>
          <w:sz w:val="22"/>
        </w:rPr>
        <w:t> </w:t>
      </w:r>
      <w:r>
        <w:rPr>
          <w:sz w:val="22"/>
        </w:rPr>
        <w:t>provision</w:t>
      </w:r>
      <w:r>
        <w:rPr>
          <w:spacing w:val="-2"/>
          <w:sz w:val="22"/>
        </w:rPr>
        <w:t> </w:t>
      </w:r>
      <w:r>
        <w:rPr>
          <w:sz w:val="22"/>
        </w:rPr>
        <w:t>and</w:t>
      </w:r>
      <w:r>
        <w:rPr>
          <w:spacing w:val="-6"/>
          <w:sz w:val="22"/>
        </w:rPr>
        <w:t> </w:t>
      </w:r>
      <w:r>
        <w:rPr>
          <w:sz w:val="22"/>
        </w:rPr>
        <w:t>meet</w:t>
      </w:r>
      <w:r>
        <w:rPr>
          <w:spacing w:val="-2"/>
          <w:sz w:val="22"/>
        </w:rPr>
        <w:t> </w:t>
      </w:r>
      <w:r>
        <w:rPr>
          <w:sz w:val="22"/>
        </w:rPr>
        <w:t>changing</w:t>
      </w:r>
      <w:r>
        <w:rPr>
          <w:spacing w:val="-2"/>
          <w:sz w:val="22"/>
        </w:rPr>
        <w:t> </w:t>
      </w:r>
      <w:r>
        <w:rPr>
          <w:sz w:val="22"/>
        </w:rPr>
        <w:t>community </w:t>
      </w:r>
      <w:r>
        <w:rPr>
          <w:spacing w:val="-2"/>
          <w:sz w:val="22"/>
        </w:rPr>
        <w:t>expectations.</w:t>
      </w:r>
    </w:p>
    <w:p>
      <w:pPr>
        <w:pStyle w:val="BodyText"/>
      </w:pPr>
    </w:p>
    <w:p>
      <w:pPr>
        <w:pStyle w:val="BodyText"/>
        <w:ind w:left="100"/>
      </w:pPr>
      <w:r>
        <w:rPr/>
        <w:t>Council</w:t>
      </w:r>
      <w:r>
        <w:rPr>
          <w:spacing w:val="-1"/>
        </w:rPr>
        <w:t> </w:t>
      </w:r>
      <w:r>
        <w:rPr/>
        <w:t>has</w:t>
      </w:r>
      <w:r>
        <w:rPr>
          <w:spacing w:val="-1"/>
        </w:rPr>
        <w:t> </w:t>
      </w:r>
      <w:r>
        <w:rPr/>
        <w:t>a number</w:t>
      </w:r>
      <w:r>
        <w:rPr>
          <w:spacing w:val="-1"/>
        </w:rPr>
        <w:t> </w:t>
      </w:r>
      <w:r>
        <w:rPr/>
        <w:t>of</w:t>
      </w:r>
      <w:r>
        <w:rPr>
          <w:spacing w:val="-3"/>
        </w:rPr>
        <w:t> </w:t>
      </w:r>
      <w:r>
        <w:rPr/>
        <w:t>key financial</w:t>
      </w:r>
      <w:r>
        <w:rPr>
          <w:spacing w:val="-1"/>
        </w:rPr>
        <w:t> </w:t>
      </w:r>
      <w:r>
        <w:rPr/>
        <w:t>strategies in</w:t>
      </w:r>
      <w:r>
        <w:rPr>
          <w:spacing w:val="-1"/>
        </w:rPr>
        <w:t> </w:t>
      </w:r>
      <w:r>
        <w:rPr/>
        <w:t>place</w:t>
      </w:r>
      <w:r>
        <w:rPr>
          <w:spacing w:val="-1"/>
        </w:rPr>
        <w:t> </w:t>
      </w:r>
      <w:r>
        <w:rPr/>
        <w:t>designed</w:t>
      </w:r>
      <w:r>
        <w:rPr>
          <w:spacing w:val="-3"/>
        </w:rPr>
        <w:t> </w:t>
      </w:r>
      <w:r>
        <w:rPr/>
        <w:t>to</w:t>
      </w:r>
      <w:r>
        <w:rPr>
          <w:spacing w:val="-4"/>
        </w:rPr>
        <w:t> </w:t>
      </w:r>
      <w:r>
        <w:rPr/>
        <w:t>maintain</w:t>
      </w:r>
      <w:r>
        <w:rPr>
          <w:spacing w:val="-3"/>
        </w:rPr>
        <w:t> </w:t>
      </w:r>
      <w:r>
        <w:rPr/>
        <w:t>its</w:t>
      </w:r>
      <w:r>
        <w:rPr>
          <w:spacing w:val="-1"/>
        </w:rPr>
        <w:t> </w:t>
      </w:r>
      <w:r>
        <w:rPr/>
        <w:t>long term</w:t>
      </w:r>
      <w:r>
        <w:rPr>
          <w:spacing w:val="-5"/>
        </w:rPr>
        <w:t> </w:t>
      </w:r>
      <w:r>
        <w:rPr/>
        <w:t>financial Sustainability.</w:t>
      </w:r>
      <w:r>
        <w:rPr>
          <w:spacing w:val="-3"/>
        </w:rPr>
        <w:t> </w:t>
      </w:r>
      <w:r>
        <w:rPr/>
        <w:t>The</w:t>
      </w:r>
      <w:r>
        <w:rPr>
          <w:spacing w:val="-4"/>
        </w:rPr>
        <w:t> </w:t>
      </w:r>
      <w:r>
        <w:rPr/>
        <w:t>Budget</w:t>
      </w:r>
      <w:r>
        <w:rPr>
          <w:spacing w:val="-2"/>
        </w:rPr>
        <w:t> </w:t>
      </w:r>
      <w:r>
        <w:rPr/>
        <w:t>has</w:t>
      </w:r>
      <w:r>
        <w:rPr>
          <w:spacing w:val="-6"/>
        </w:rPr>
        <w:t> </w:t>
      </w:r>
      <w:r>
        <w:rPr/>
        <w:t>been</w:t>
      </w:r>
      <w:r>
        <w:rPr>
          <w:spacing w:val="-3"/>
        </w:rPr>
        <w:t> </w:t>
      </w:r>
      <w:r>
        <w:rPr/>
        <w:t>developed</w:t>
      </w:r>
      <w:r>
        <w:rPr>
          <w:spacing w:val="-3"/>
        </w:rPr>
        <w:t> </w:t>
      </w:r>
      <w:r>
        <w:rPr/>
        <w:t>using</w:t>
      </w:r>
      <w:r>
        <w:rPr>
          <w:spacing w:val="-3"/>
        </w:rPr>
        <w:t> </w:t>
      </w:r>
      <w:r>
        <w:rPr/>
        <w:t>a</w:t>
      </w:r>
      <w:r>
        <w:rPr>
          <w:spacing w:val="-6"/>
        </w:rPr>
        <w:t> </w:t>
      </w:r>
      <w:r>
        <w:rPr/>
        <w:t>rigorous</w:t>
      </w:r>
      <w:r>
        <w:rPr>
          <w:spacing w:val="-2"/>
        </w:rPr>
        <w:t> </w:t>
      </w:r>
      <w:r>
        <w:rPr/>
        <w:t>process</w:t>
      </w:r>
      <w:r>
        <w:rPr>
          <w:spacing w:val="-8"/>
        </w:rPr>
        <w:t> </w:t>
      </w:r>
      <w:r>
        <w:rPr/>
        <w:t>of</w:t>
      </w:r>
      <w:r>
        <w:rPr>
          <w:spacing w:val="-2"/>
        </w:rPr>
        <w:t> </w:t>
      </w:r>
      <w:r>
        <w:rPr/>
        <w:t>consultation</w:t>
      </w:r>
      <w:r>
        <w:rPr>
          <w:spacing w:val="-3"/>
        </w:rPr>
        <w:t> </w:t>
      </w:r>
      <w:r>
        <w:rPr/>
        <w:t>and</w:t>
      </w:r>
      <w:r>
        <w:rPr>
          <w:spacing w:val="-5"/>
        </w:rPr>
        <w:t> </w:t>
      </w:r>
      <w:r>
        <w:rPr>
          <w:spacing w:val="-2"/>
        </w:rPr>
        <w:t>review.</w:t>
      </w:r>
    </w:p>
    <w:p>
      <w:pPr>
        <w:pStyle w:val="BodyText"/>
      </w:pPr>
    </w:p>
    <w:p>
      <w:pPr>
        <w:pStyle w:val="BodyText"/>
        <w:ind w:left="100" w:right="112"/>
        <w:jc w:val="both"/>
      </w:pPr>
      <w:r>
        <w:rPr/>
        <w:t>Council endorses the 2025/26 Budget as a balanced, sustainable, and responsible platform to ensure a strong financial position which will allow Council to deliver its commitments in the Council Plan and enable Council to remain financially sustainable in the longer term.</w:t>
      </w:r>
    </w:p>
    <w:p>
      <w:pPr>
        <w:spacing w:after="0"/>
        <w:jc w:val="both"/>
        <w:sectPr>
          <w:footerReference w:type="default" r:id="rId11"/>
          <w:pgSz w:w="11910" w:h="16840"/>
          <w:pgMar w:footer="381" w:header="0" w:top="620" w:bottom="580" w:left="620" w:right="600"/>
          <w:pgNumType w:start="6"/>
        </w:sectPr>
      </w:pPr>
    </w:p>
    <w:p>
      <w:pPr>
        <w:pStyle w:val="Heading1"/>
      </w:pPr>
      <w:bookmarkStart w:name="_TOC_250029" w:id="3"/>
      <w:r>
        <w:rPr>
          <w:color w:val="232852"/>
        </w:rPr>
        <w:t>Budget</w:t>
      </w:r>
      <w:r>
        <w:rPr>
          <w:color w:val="232852"/>
          <w:spacing w:val="-13"/>
        </w:rPr>
        <w:t> </w:t>
      </w:r>
      <w:bookmarkEnd w:id="3"/>
      <w:r>
        <w:rPr>
          <w:color w:val="232852"/>
          <w:spacing w:val="-2"/>
        </w:rPr>
        <w:t>Influences</w:t>
      </w:r>
    </w:p>
    <w:p>
      <w:pPr>
        <w:pStyle w:val="BodyText"/>
        <w:spacing w:before="314"/>
        <w:ind w:left="100" w:right="114"/>
        <w:jc w:val="both"/>
      </w:pPr>
      <w:r>
        <w:rPr/>
        <w:t>This section sets out the key budget influences arising from the internal and external environment within which the Council operates.</w:t>
      </w:r>
    </w:p>
    <w:p>
      <w:pPr>
        <w:pStyle w:val="BodyText"/>
        <w:rPr>
          <w:sz w:val="26"/>
        </w:rPr>
      </w:pPr>
    </w:p>
    <w:p>
      <w:pPr>
        <w:pStyle w:val="Heading2"/>
        <w:ind w:left="100"/>
      </w:pPr>
      <w:bookmarkStart w:name="_TOC_250028" w:id="4"/>
      <w:r>
        <w:rPr>
          <w:color w:val="4966AC"/>
        </w:rPr>
        <w:t>Budget</w:t>
      </w:r>
      <w:bookmarkEnd w:id="4"/>
      <w:r>
        <w:rPr>
          <w:color w:val="4966AC"/>
          <w:spacing w:val="-2"/>
        </w:rPr>
        <w:t> implications</w:t>
      </w:r>
    </w:p>
    <w:p>
      <w:pPr>
        <w:pStyle w:val="BodyText"/>
        <w:spacing w:before="253"/>
        <w:ind w:left="100" w:right="115"/>
        <w:jc w:val="both"/>
      </w:pPr>
      <w:r>
        <w:rPr/>
        <w:t>In framing the Budget, Council has not only focussed on working towards key directions (strategies) and priority actions (major initiatives) as outlined in the Council Plan but has also accommodated significant external</w:t>
      </w:r>
      <w:r>
        <w:rPr>
          <w:spacing w:val="-1"/>
        </w:rPr>
        <w:t> </w:t>
      </w:r>
      <w:r>
        <w:rPr/>
        <w:t>influences on</w:t>
      </w:r>
      <w:r>
        <w:rPr>
          <w:spacing w:val="-2"/>
        </w:rPr>
        <w:t> </w:t>
      </w:r>
      <w:r>
        <w:rPr/>
        <w:t>its</w:t>
      </w:r>
      <w:r>
        <w:rPr>
          <w:spacing w:val="-3"/>
        </w:rPr>
        <w:t> </w:t>
      </w:r>
      <w:r>
        <w:rPr/>
        <w:t>planned levels</w:t>
      </w:r>
      <w:r>
        <w:rPr>
          <w:spacing w:val="-1"/>
        </w:rPr>
        <w:t> </w:t>
      </w:r>
      <w:r>
        <w:rPr/>
        <w:t>of</w:t>
      </w:r>
      <w:r>
        <w:rPr>
          <w:spacing w:val="-1"/>
        </w:rPr>
        <w:t> </w:t>
      </w:r>
      <w:r>
        <w:rPr/>
        <w:t>revenue and expenditure. Council</w:t>
      </w:r>
      <w:r>
        <w:rPr>
          <w:spacing w:val="-3"/>
        </w:rPr>
        <w:t> </w:t>
      </w:r>
      <w:r>
        <w:rPr/>
        <w:t>operates</w:t>
      </w:r>
      <w:r>
        <w:rPr>
          <w:spacing w:val="-1"/>
        </w:rPr>
        <w:t> </w:t>
      </w:r>
      <w:r>
        <w:rPr/>
        <w:t>in</w:t>
      </w:r>
      <w:r>
        <w:rPr>
          <w:spacing w:val="-1"/>
        </w:rPr>
        <w:t> </w:t>
      </w:r>
      <w:r>
        <w:rPr/>
        <w:t>a</w:t>
      </w:r>
      <w:r>
        <w:rPr>
          <w:spacing w:val="-2"/>
        </w:rPr>
        <w:t> </w:t>
      </w:r>
      <w:r>
        <w:rPr/>
        <w:t>highly</w:t>
      </w:r>
      <w:r>
        <w:rPr>
          <w:spacing w:val="-1"/>
        </w:rPr>
        <w:t> </w:t>
      </w:r>
      <w:r>
        <w:rPr/>
        <w:t>regulated environment and decisions by other levels of government along with the private sector can have major impacts locally.</w:t>
      </w:r>
    </w:p>
    <w:p>
      <w:pPr>
        <w:pStyle w:val="BodyText"/>
        <w:spacing w:before="10"/>
        <w:rPr>
          <w:sz w:val="21"/>
        </w:rPr>
      </w:pPr>
    </w:p>
    <w:p>
      <w:pPr>
        <w:pStyle w:val="BodyText"/>
        <w:ind w:left="100" w:right="113"/>
        <w:jc w:val="both"/>
      </w:pPr>
      <w:r>
        <w:rPr/>
        <w:t>Whilst</w:t>
      </w:r>
      <w:r>
        <w:rPr>
          <w:spacing w:val="-14"/>
        </w:rPr>
        <w:t> </w:t>
      </w:r>
      <w:r>
        <w:rPr/>
        <w:t>such</w:t>
      </w:r>
      <w:r>
        <w:rPr>
          <w:spacing w:val="-15"/>
        </w:rPr>
        <w:t> </w:t>
      </w:r>
      <w:r>
        <w:rPr/>
        <w:t>influences</w:t>
      </w:r>
      <w:r>
        <w:rPr>
          <w:spacing w:val="-14"/>
        </w:rPr>
        <w:t> </w:t>
      </w:r>
      <w:r>
        <w:rPr/>
        <w:t>are</w:t>
      </w:r>
      <w:r>
        <w:rPr>
          <w:spacing w:val="-14"/>
        </w:rPr>
        <w:t> </w:t>
      </w:r>
      <w:r>
        <w:rPr/>
        <w:t>outside</w:t>
      </w:r>
      <w:r>
        <w:rPr>
          <w:spacing w:val="-16"/>
        </w:rPr>
        <w:t> </w:t>
      </w:r>
      <w:r>
        <w:rPr/>
        <w:t>the</w:t>
      </w:r>
      <w:r>
        <w:rPr>
          <w:spacing w:val="-15"/>
        </w:rPr>
        <w:t> </w:t>
      </w:r>
      <w:r>
        <w:rPr/>
        <w:t>control</w:t>
      </w:r>
      <w:r>
        <w:rPr>
          <w:spacing w:val="-15"/>
        </w:rPr>
        <w:t> </w:t>
      </w:r>
      <w:r>
        <w:rPr/>
        <w:t>of</w:t>
      </w:r>
      <w:r>
        <w:rPr>
          <w:spacing w:val="-15"/>
        </w:rPr>
        <w:t> </w:t>
      </w:r>
      <w:r>
        <w:rPr/>
        <w:t>Council,</w:t>
      </w:r>
      <w:r>
        <w:rPr>
          <w:spacing w:val="-12"/>
        </w:rPr>
        <w:t> </w:t>
      </w:r>
      <w:r>
        <w:rPr/>
        <w:t>others</w:t>
      </w:r>
      <w:r>
        <w:rPr>
          <w:spacing w:val="-16"/>
        </w:rPr>
        <w:t> </w:t>
      </w:r>
      <w:r>
        <w:rPr/>
        <w:t>arise</w:t>
      </w:r>
      <w:r>
        <w:rPr>
          <w:spacing w:val="-15"/>
        </w:rPr>
        <w:t> </w:t>
      </w:r>
      <w:r>
        <w:rPr/>
        <w:t>because</w:t>
      </w:r>
      <w:r>
        <w:rPr>
          <w:spacing w:val="-13"/>
        </w:rPr>
        <w:t> </w:t>
      </w:r>
      <w:r>
        <w:rPr/>
        <w:t>of</w:t>
      </w:r>
      <w:r>
        <w:rPr>
          <w:spacing w:val="-13"/>
        </w:rPr>
        <w:t> </w:t>
      </w:r>
      <w:r>
        <w:rPr/>
        <w:t>decisions</w:t>
      </w:r>
      <w:r>
        <w:rPr>
          <w:spacing w:val="-15"/>
        </w:rPr>
        <w:t> </w:t>
      </w:r>
      <w:r>
        <w:rPr/>
        <w:t>taken</w:t>
      </w:r>
      <w:r>
        <w:rPr>
          <w:spacing w:val="-16"/>
        </w:rPr>
        <w:t> </w:t>
      </w:r>
      <w:r>
        <w:rPr/>
        <w:t>and</w:t>
      </w:r>
      <w:r>
        <w:rPr>
          <w:spacing w:val="-13"/>
        </w:rPr>
        <w:t> </w:t>
      </w:r>
      <w:r>
        <w:rPr/>
        <w:t>policies proposed in response to community priorities, the drive for continuous improvement, innovation and the requirement</w:t>
      </w:r>
      <w:r>
        <w:rPr>
          <w:spacing w:val="-18"/>
        </w:rPr>
        <w:t> </w:t>
      </w:r>
      <w:r>
        <w:rPr/>
        <w:t>for</w:t>
      </w:r>
      <w:r>
        <w:rPr>
          <w:spacing w:val="-15"/>
        </w:rPr>
        <w:t> </w:t>
      </w:r>
      <w:r>
        <w:rPr/>
        <w:t>ongoing</w:t>
      </w:r>
      <w:r>
        <w:rPr>
          <w:spacing w:val="-17"/>
        </w:rPr>
        <w:t> </w:t>
      </w:r>
      <w:r>
        <w:rPr/>
        <w:t>sound</w:t>
      </w:r>
      <w:r>
        <w:rPr>
          <w:spacing w:val="-15"/>
        </w:rPr>
        <w:t> </w:t>
      </w:r>
      <w:r>
        <w:rPr/>
        <w:t>financial</w:t>
      </w:r>
      <w:r>
        <w:rPr>
          <w:spacing w:val="-16"/>
        </w:rPr>
        <w:t> </w:t>
      </w:r>
      <w:r>
        <w:rPr/>
        <w:t>management.</w:t>
      </w:r>
      <w:r>
        <w:rPr>
          <w:spacing w:val="17"/>
        </w:rPr>
        <w:t> </w:t>
      </w:r>
      <w:r>
        <w:rPr/>
        <w:t>The</w:t>
      </w:r>
      <w:r>
        <w:rPr>
          <w:spacing w:val="-16"/>
        </w:rPr>
        <w:t> </w:t>
      </w:r>
      <w:r>
        <w:rPr/>
        <w:t>major</w:t>
      </w:r>
      <w:r>
        <w:rPr>
          <w:spacing w:val="-13"/>
        </w:rPr>
        <w:t> </w:t>
      </w:r>
      <w:r>
        <w:rPr/>
        <w:t>influences</w:t>
      </w:r>
      <w:r>
        <w:rPr>
          <w:spacing w:val="-14"/>
        </w:rPr>
        <w:t> </w:t>
      </w:r>
      <w:r>
        <w:rPr/>
        <w:t>are</w:t>
      </w:r>
      <w:r>
        <w:rPr>
          <w:spacing w:val="-16"/>
        </w:rPr>
        <w:t> </w:t>
      </w:r>
      <w:r>
        <w:rPr/>
        <w:t>listed</w:t>
      </w:r>
      <w:r>
        <w:rPr>
          <w:spacing w:val="-15"/>
        </w:rPr>
        <w:t> </w:t>
      </w:r>
      <w:r>
        <w:rPr/>
        <w:t>on</w:t>
      </w:r>
      <w:r>
        <w:rPr>
          <w:spacing w:val="-15"/>
        </w:rPr>
        <w:t> </w:t>
      </w:r>
      <w:r>
        <w:rPr/>
        <w:t>the</w:t>
      </w:r>
      <w:r>
        <w:rPr>
          <w:spacing w:val="-15"/>
        </w:rPr>
        <w:t> </w:t>
      </w:r>
      <w:r>
        <w:rPr/>
        <w:t>next</w:t>
      </w:r>
      <w:r>
        <w:rPr>
          <w:spacing w:val="-16"/>
        </w:rPr>
        <w:t> </w:t>
      </w:r>
      <w:r>
        <w:rPr/>
        <w:t>few</w:t>
      </w:r>
      <w:r>
        <w:rPr>
          <w:spacing w:val="-14"/>
        </w:rPr>
        <w:t> </w:t>
      </w:r>
      <w:r>
        <w:rPr>
          <w:spacing w:val="-2"/>
        </w:rPr>
        <w:t>pages.</w:t>
      </w:r>
    </w:p>
    <w:p>
      <w:pPr>
        <w:pStyle w:val="BodyText"/>
        <w:spacing w:before="1"/>
      </w:pPr>
    </w:p>
    <w:p>
      <w:pPr>
        <w:pStyle w:val="BodyText"/>
        <w:ind w:left="100"/>
      </w:pPr>
      <w:r>
        <w:rPr/>
        <w:t>Not</w:t>
      </w:r>
      <w:r>
        <w:rPr>
          <w:spacing w:val="-5"/>
        </w:rPr>
        <w:t> </w:t>
      </w:r>
      <w:r>
        <w:rPr/>
        <w:t>withstanding</w:t>
      </w:r>
      <w:r>
        <w:rPr>
          <w:spacing w:val="-3"/>
        </w:rPr>
        <w:t> </w:t>
      </w:r>
      <w:r>
        <w:rPr/>
        <w:t>their</w:t>
      </w:r>
      <w:r>
        <w:rPr>
          <w:spacing w:val="-4"/>
        </w:rPr>
        <w:t> </w:t>
      </w:r>
      <w:r>
        <w:rPr/>
        <w:t>effect,</w:t>
      </w:r>
      <w:r>
        <w:rPr>
          <w:spacing w:val="-6"/>
        </w:rPr>
        <w:t> </w:t>
      </w:r>
      <w:r>
        <w:rPr/>
        <w:t>Council’s</w:t>
      </w:r>
      <w:r>
        <w:rPr>
          <w:spacing w:val="-5"/>
        </w:rPr>
        <w:t> </w:t>
      </w:r>
      <w:r>
        <w:rPr/>
        <w:t>Budget</w:t>
      </w:r>
      <w:r>
        <w:rPr>
          <w:spacing w:val="-2"/>
        </w:rPr>
        <w:t> </w:t>
      </w:r>
      <w:r>
        <w:rPr/>
        <w:t>will</w:t>
      </w:r>
      <w:r>
        <w:rPr>
          <w:spacing w:val="-4"/>
        </w:rPr>
        <w:t> </w:t>
      </w:r>
      <w:r>
        <w:rPr/>
        <w:t>deliver</w:t>
      </w:r>
      <w:r>
        <w:rPr>
          <w:spacing w:val="-3"/>
        </w:rPr>
        <w:t> </w:t>
      </w:r>
      <w:r>
        <w:rPr/>
        <w:t>outcomes</w:t>
      </w:r>
      <w:r>
        <w:rPr>
          <w:spacing w:val="-6"/>
        </w:rPr>
        <w:t> </w:t>
      </w:r>
      <w:r>
        <w:rPr>
          <w:spacing w:val="-2"/>
        </w:rPr>
        <w:t>that:</w:t>
      </w:r>
    </w:p>
    <w:p>
      <w:pPr>
        <w:pStyle w:val="ListParagraph"/>
        <w:numPr>
          <w:ilvl w:val="0"/>
          <w:numId w:val="2"/>
        </w:numPr>
        <w:tabs>
          <w:tab w:pos="666" w:val="left" w:leader="none"/>
          <w:tab w:pos="667" w:val="left" w:leader="none"/>
        </w:tabs>
        <w:spacing w:line="268" w:lineRule="exact" w:before="1" w:after="0"/>
        <w:ind w:left="666" w:right="0" w:hanging="567"/>
        <w:jc w:val="left"/>
        <w:rPr>
          <w:rFonts w:ascii="Symbol" w:hAnsi="Symbol"/>
          <w:sz w:val="22"/>
        </w:rPr>
      </w:pPr>
      <w:r>
        <w:rPr>
          <w:sz w:val="22"/>
        </w:rPr>
        <w:t>Provide</w:t>
      </w:r>
      <w:r>
        <w:rPr>
          <w:spacing w:val="-4"/>
          <w:sz w:val="22"/>
        </w:rPr>
        <w:t> </w:t>
      </w:r>
      <w:r>
        <w:rPr>
          <w:sz w:val="22"/>
        </w:rPr>
        <w:t>for</w:t>
      </w:r>
      <w:r>
        <w:rPr>
          <w:spacing w:val="-2"/>
          <w:sz w:val="22"/>
        </w:rPr>
        <w:t> </w:t>
      </w:r>
      <w:r>
        <w:rPr>
          <w:sz w:val="22"/>
        </w:rPr>
        <w:t>the</w:t>
      </w:r>
      <w:r>
        <w:rPr>
          <w:spacing w:val="-2"/>
          <w:sz w:val="22"/>
        </w:rPr>
        <w:t> </w:t>
      </w:r>
      <w:r>
        <w:rPr>
          <w:sz w:val="22"/>
        </w:rPr>
        <w:t>ongoing</w:t>
      </w:r>
      <w:r>
        <w:rPr>
          <w:spacing w:val="-7"/>
          <w:sz w:val="22"/>
        </w:rPr>
        <w:t> </w:t>
      </w:r>
      <w:r>
        <w:rPr>
          <w:sz w:val="22"/>
        </w:rPr>
        <w:t>provision</w:t>
      </w:r>
      <w:r>
        <w:rPr>
          <w:spacing w:val="-4"/>
          <w:sz w:val="22"/>
        </w:rPr>
        <w:t> </w:t>
      </w:r>
      <w:r>
        <w:rPr>
          <w:sz w:val="22"/>
        </w:rPr>
        <w:t>of</w:t>
      </w:r>
      <w:r>
        <w:rPr>
          <w:spacing w:val="-1"/>
          <w:sz w:val="22"/>
        </w:rPr>
        <w:t> </w:t>
      </w:r>
      <w:r>
        <w:rPr>
          <w:sz w:val="22"/>
        </w:rPr>
        <w:t>a</w:t>
      </w:r>
      <w:r>
        <w:rPr>
          <w:spacing w:val="-2"/>
          <w:sz w:val="22"/>
        </w:rPr>
        <w:t> </w:t>
      </w:r>
      <w:r>
        <w:rPr>
          <w:sz w:val="22"/>
        </w:rPr>
        <w:t>wide</w:t>
      </w:r>
      <w:r>
        <w:rPr>
          <w:spacing w:val="-4"/>
          <w:sz w:val="22"/>
        </w:rPr>
        <w:t> </w:t>
      </w:r>
      <w:r>
        <w:rPr>
          <w:sz w:val="22"/>
        </w:rPr>
        <w:t>range</w:t>
      </w:r>
      <w:r>
        <w:rPr>
          <w:spacing w:val="-2"/>
          <w:sz w:val="22"/>
        </w:rPr>
        <w:t> </w:t>
      </w:r>
      <w:r>
        <w:rPr>
          <w:sz w:val="22"/>
        </w:rPr>
        <w:t>of</w:t>
      </w:r>
      <w:r>
        <w:rPr>
          <w:spacing w:val="-4"/>
          <w:sz w:val="22"/>
        </w:rPr>
        <w:t> </w:t>
      </w:r>
      <w:r>
        <w:rPr>
          <w:sz w:val="22"/>
        </w:rPr>
        <w:t>quality</w:t>
      </w:r>
      <w:r>
        <w:rPr>
          <w:spacing w:val="-2"/>
          <w:sz w:val="22"/>
        </w:rPr>
        <w:t> </w:t>
      </w:r>
      <w:r>
        <w:rPr>
          <w:sz w:val="22"/>
        </w:rPr>
        <w:t>services</w:t>
      </w:r>
      <w:r>
        <w:rPr>
          <w:spacing w:val="-3"/>
          <w:sz w:val="22"/>
        </w:rPr>
        <w:t> </w:t>
      </w:r>
      <w:r>
        <w:rPr>
          <w:sz w:val="22"/>
        </w:rPr>
        <w:t>to</w:t>
      </w:r>
      <w:r>
        <w:rPr>
          <w:spacing w:val="-4"/>
          <w:sz w:val="22"/>
        </w:rPr>
        <w:t> </w:t>
      </w:r>
      <w:r>
        <w:rPr>
          <w:sz w:val="22"/>
        </w:rPr>
        <w:t>the</w:t>
      </w:r>
      <w:r>
        <w:rPr>
          <w:spacing w:val="-3"/>
          <w:sz w:val="22"/>
        </w:rPr>
        <w:t> </w:t>
      </w:r>
      <w:r>
        <w:rPr>
          <w:spacing w:val="-2"/>
          <w:sz w:val="22"/>
        </w:rPr>
        <w:t>community;</w:t>
      </w:r>
    </w:p>
    <w:p>
      <w:pPr>
        <w:pStyle w:val="ListParagraph"/>
        <w:numPr>
          <w:ilvl w:val="0"/>
          <w:numId w:val="2"/>
        </w:numPr>
        <w:tabs>
          <w:tab w:pos="666" w:val="left" w:leader="none"/>
          <w:tab w:pos="667" w:val="left" w:leader="none"/>
        </w:tabs>
        <w:spacing w:line="268" w:lineRule="exact" w:before="0" w:after="0"/>
        <w:ind w:left="666" w:right="0" w:hanging="567"/>
        <w:jc w:val="left"/>
        <w:rPr>
          <w:rFonts w:ascii="Symbol" w:hAnsi="Symbol"/>
          <w:sz w:val="22"/>
        </w:rPr>
      </w:pPr>
      <w:r>
        <w:rPr>
          <w:sz w:val="22"/>
        </w:rPr>
        <w:t>Build</w:t>
      </w:r>
      <w:r>
        <w:rPr>
          <w:spacing w:val="-15"/>
          <w:sz w:val="22"/>
        </w:rPr>
        <w:t> </w:t>
      </w:r>
      <w:r>
        <w:rPr>
          <w:sz w:val="22"/>
        </w:rPr>
        <w:t>on</w:t>
      </w:r>
      <w:r>
        <w:rPr>
          <w:spacing w:val="-12"/>
          <w:sz w:val="22"/>
        </w:rPr>
        <w:t> </w:t>
      </w:r>
      <w:r>
        <w:rPr>
          <w:sz w:val="22"/>
        </w:rPr>
        <w:t>its</w:t>
      </w:r>
      <w:r>
        <w:rPr>
          <w:spacing w:val="-12"/>
          <w:sz w:val="22"/>
        </w:rPr>
        <w:t> </w:t>
      </w:r>
      <w:r>
        <w:rPr>
          <w:sz w:val="22"/>
        </w:rPr>
        <w:t>existing</w:t>
      </w:r>
      <w:r>
        <w:rPr>
          <w:spacing w:val="-13"/>
          <w:sz w:val="22"/>
        </w:rPr>
        <w:t> </w:t>
      </w:r>
      <w:r>
        <w:rPr>
          <w:sz w:val="22"/>
        </w:rPr>
        <w:t>firm</w:t>
      </w:r>
      <w:r>
        <w:rPr>
          <w:spacing w:val="-12"/>
          <w:sz w:val="22"/>
        </w:rPr>
        <w:t> </w:t>
      </w:r>
      <w:r>
        <w:rPr>
          <w:sz w:val="22"/>
        </w:rPr>
        <w:t>financial</w:t>
      </w:r>
      <w:r>
        <w:rPr>
          <w:spacing w:val="-14"/>
          <w:sz w:val="22"/>
        </w:rPr>
        <w:t> </w:t>
      </w:r>
      <w:r>
        <w:rPr>
          <w:sz w:val="22"/>
        </w:rPr>
        <w:t>base</w:t>
      </w:r>
      <w:r>
        <w:rPr>
          <w:spacing w:val="-13"/>
          <w:sz w:val="22"/>
        </w:rPr>
        <w:t> </w:t>
      </w:r>
      <w:r>
        <w:rPr>
          <w:sz w:val="22"/>
        </w:rPr>
        <w:t>to</w:t>
      </w:r>
      <w:r>
        <w:rPr>
          <w:spacing w:val="-15"/>
          <w:sz w:val="22"/>
        </w:rPr>
        <w:t> </w:t>
      </w:r>
      <w:r>
        <w:rPr>
          <w:sz w:val="22"/>
        </w:rPr>
        <w:t>continue</w:t>
      </w:r>
      <w:r>
        <w:rPr>
          <w:spacing w:val="-13"/>
          <w:sz w:val="22"/>
        </w:rPr>
        <w:t> </w:t>
      </w:r>
      <w:r>
        <w:rPr>
          <w:sz w:val="22"/>
        </w:rPr>
        <w:t>its</w:t>
      </w:r>
      <w:r>
        <w:rPr>
          <w:spacing w:val="-12"/>
          <w:sz w:val="22"/>
        </w:rPr>
        <w:t> </w:t>
      </w:r>
      <w:r>
        <w:rPr>
          <w:sz w:val="22"/>
        </w:rPr>
        <w:t>strategy</w:t>
      </w:r>
      <w:r>
        <w:rPr>
          <w:spacing w:val="-14"/>
          <w:sz w:val="22"/>
        </w:rPr>
        <w:t> </w:t>
      </w:r>
      <w:r>
        <w:rPr>
          <w:sz w:val="22"/>
        </w:rPr>
        <w:t>to</w:t>
      </w:r>
      <w:r>
        <w:rPr>
          <w:spacing w:val="-13"/>
          <w:sz w:val="22"/>
        </w:rPr>
        <w:t> </w:t>
      </w:r>
      <w:r>
        <w:rPr>
          <w:sz w:val="22"/>
        </w:rPr>
        <w:t>improve</w:t>
      </w:r>
      <w:r>
        <w:rPr>
          <w:spacing w:val="-12"/>
          <w:sz w:val="22"/>
        </w:rPr>
        <w:t> </w:t>
      </w:r>
      <w:r>
        <w:rPr>
          <w:sz w:val="22"/>
        </w:rPr>
        <w:t>its</w:t>
      </w:r>
      <w:r>
        <w:rPr>
          <w:spacing w:val="-14"/>
          <w:sz w:val="22"/>
        </w:rPr>
        <w:t> </w:t>
      </w:r>
      <w:r>
        <w:rPr>
          <w:sz w:val="22"/>
        </w:rPr>
        <w:t>long-term</w:t>
      </w:r>
      <w:r>
        <w:rPr>
          <w:spacing w:val="-14"/>
          <w:sz w:val="22"/>
        </w:rPr>
        <w:t> </w:t>
      </w:r>
      <w:r>
        <w:rPr>
          <w:sz w:val="22"/>
        </w:rPr>
        <w:t>financial</w:t>
      </w:r>
      <w:r>
        <w:rPr>
          <w:spacing w:val="-12"/>
          <w:sz w:val="22"/>
        </w:rPr>
        <w:t> </w:t>
      </w:r>
      <w:r>
        <w:rPr>
          <w:spacing w:val="-2"/>
          <w:sz w:val="22"/>
        </w:rPr>
        <w:t>viability;</w:t>
      </w:r>
    </w:p>
    <w:p>
      <w:pPr>
        <w:pStyle w:val="ListParagraph"/>
        <w:numPr>
          <w:ilvl w:val="0"/>
          <w:numId w:val="2"/>
        </w:numPr>
        <w:tabs>
          <w:tab w:pos="666" w:val="left" w:leader="none"/>
          <w:tab w:pos="667" w:val="left" w:leader="none"/>
        </w:tabs>
        <w:spacing w:line="237" w:lineRule="auto" w:before="2" w:after="0"/>
        <w:ind w:left="666" w:right="115" w:hanging="567"/>
        <w:jc w:val="left"/>
        <w:rPr>
          <w:rFonts w:ascii="Symbol" w:hAnsi="Symbol"/>
          <w:sz w:val="22"/>
        </w:rPr>
      </w:pPr>
      <w:r>
        <w:rPr>
          <w:sz w:val="22"/>
        </w:rPr>
        <w:t>Strike an appropriate balance between todays and future generations in respect of the funding of its operations and the development, renewal, and maintenance of its long-term assets; and</w:t>
      </w:r>
    </w:p>
    <w:p>
      <w:pPr>
        <w:pStyle w:val="ListParagraph"/>
        <w:numPr>
          <w:ilvl w:val="0"/>
          <w:numId w:val="2"/>
        </w:numPr>
        <w:tabs>
          <w:tab w:pos="666" w:val="left" w:leader="none"/>
          <w:tab w:pos="667" w:val="left" w:leader="none"/>
        </w:tabs>
        <w:spacing w:line="237" w:lineRule="auto" w:before="4" w:after="0"/>
        <w:ind w:left="666" w:right="120" w:hanging="567"/>
        <w:jc w:val="left"/>
        <w:rPr>
          <w:rFonts w:ascii="Symbol" w:hAnsi="Symbol"/>
          <w:sz w:val="22"/>
        </w:rPr>
      </w:pPr>
      <w:r>
        <w:rPr>
          <w:sz w:val="22"/>
        </w:rPr>
        <w:t>Support</w:t>
      </w:r>
      <w:r>
        <w:rPr>
          <w:spacing w:val="-11"/>
          <w:sz w:val="22"/>
        </w:rPr>
        <w:t> </w:t>
      </w:r>
      <w:r>
        <w:rPr>
          <w:sz w:val="22"/>
        </w:rPr>
        <w:t>an</w:t>
      </w:r>
      <w:r>
        <w:rPr>
          <w:spacing w:val="-14"/>
          <w:sz w:val="22"/>
        </w:rPr>
        <w:t> </w:t>
      </w:r>
      <w:r>
        <w:rPr>
          <w:sz w:val="22"/>
        </w:rPr>
        <w:t>organisational</w:t>
      </w:r>
      <w:r>
        <w:rPr>
          <w:spacing w:val="-11"/>
          <w:sz w:val="22"/>
        </w:rPr>
        <w:t> </w:t>
      </w:r>
      <w:r>
        <w:rPr>
          <w:sz w:val="22"/>
        </w:rPr>
        <w:t>and</w:t>
      </w:r>
      <w:r>
        <w:rPr>
          <w:spacing w:val="-12"/>
          <w:sz w:val="22"/>
        </w:rPr>
        <w:t> </w:t>
      </w:r>
      <w:r>
        <w:rPr>
          <w:sz w:val="22"/>
        </w:rPr>
        <w:t>administrative</w:t>
      </w:r>
      <w:r>
        <w:rPr>
          <w:spacing w:val="-11"/>
          <w:sz w:val="22"/>
        </w:rPr>
        <w:t> </w:t>
      </w:r>
      <w:r>
        <w:rPr>
          <w:sz w:val="22"/>
        </w:rPr>
        <w:t>framework</w:t>
      </w:r>
      <w:r>
        <w:rPr>
          <w:spacing w:val="-11"/>
          <w:sz w:val="22"/>
        </w:rPr>
        <w:t> </w:t>
      </w:r>
      <w:r>
        <w:rPr>
          <w:sz w:val="22"/>
        </w:rPr>
        <w:t>that</w:t>
      </w:r>
      <w:r>
        <w:rPr>
          <w:spacing w:val="-11"/>
          <w:sz w:val="22"/>
        </w:rPr>
        <w:t> </w:t>
      </w:r>
      <w:r>
        <w:rPr>
          <w:sz w:val="22"/>
        </w:rPr>
        <w:t>will</w:t>
      </w:r>
      <w:r>
        <w:rPr>
          <w:spacing w:val="-13"/>
          <w:sz w:val="22"/>
        </w:rPr>
        <w:t> </w:t>
      </w:r>
      <w:r>
        <w:rPr>
          <w:sz w:val="22"/>
        </w:rPr>
        <w:t>help</w:t>
      </w:r>
      <w:r>
        <w:rPr>
          <w:spacing w:val="-12"/>
          <w:sz w:val="22"/>
        </w:rPr>
        <w:t> </w:t>
      </w:r>
      <w:r>
        <w:rPr>
          <w:sz w:val="22"/>
        </w:rPr>
        <w:t>ensure</w:t>
      </w:r>
      <w:r>
        <w:rPr>
          <w:spacing w:val="-12"/>
          <w:sz w:val="22"/>
        </w:rPr>
        <w:t> </w:t>
      </w:r>
      <w:r>
        <w:rPr>
          <w:sz w:val="22"/>
        </w:rPr>
        <w:t>the</w:t>
      </w:r>
      <w:r>
        <w:rPr>
          <w:spacing w:val="-12"/>
          <w:sz w:val="22"/>
        </w:rPr>
        <w:t> </w:t>
      </w:r>
      <w:r>
        <w:rPr>
          <w:sz w:val="22"/>
        </w:rPr>
        <w:t>provision</w:t>
      </w:r>
      <w:r>
        <w:rPr>
          <w:spacing w:val="-12"/>
          <w:sz w:val="22"/>
        </w:rPr>
        <w:t> </w:t>
      </w:r>
      <w:r>
        <w:rPr>
          <w:sz w:val="22"/>
        </w:rPr>
        <w:t>of</w:t>
      </w:r>
      <w:r>
        <w:rPr>
          <w:spacing w:val="-11"/>
          <w:sz w:val="22"/>
        </w:rPr>
        <w:t> </w:t>
      </w:r>
      <w:r>
        <w:rPr>
          <w:sz w:val="22"/>
        </w:rPr>
        <w:t>continued good governance.</w:t>
      </w:r>
    </w:p>
    <w:p>
      <w:pPr>
        <w:pStyle w:val="BodyText"/>
        <w:spacing w:before="3"/>
        <w:rPr>
          <w:sz w:val="19"/>
        </w:rPr>
      </w:pPr>
    </w:p>
    <w:p>
      <w:pPr>
        <w:pStyle w:val="Heading2"/>
        <w:ind w:left="100"/>
      </w:pPr>
      <w:bookmarkStart w:name="_TOC_250027" w:id="5"/>
      <w:bookmarkEnd w:id="5"/>
      <w:r>
        <w:rPr>
          <w:color w:val="4966AC"/>
          <w:spacing w:val="-2"/>
        </w:rPr>
        <w:t>Influences</w:t>
      </w:r>
    </w:p>
    <w:p>
      <w:pPr>
        <w:pStyle w:val="BodyText"/>
        <w:spacing w:before="252"/>
        <w:ind w:left="100" w:right="116"/>
        <w:jc w:val="both"/>
      </w:pPr>
      <w:r>
        <w:rPr/>
        <w:t>In preparing the 2025/26 budget, several external influences have been taken into consideration, because they</w:t>
      </w:r>
      <w:r>
        <w:rPr>
          <w:spacing w:val="-4"/>
        </w:rPr>
        <w:t> </w:t>
      </w:r>
      <w:r>
        <w:rPr/>
        <w:t>will</w:t>
      </w:r>
      <w:r>
        <w:rPr>
          <w:spacing w:val="-4"/>
        </w:rPr>
        <w:t> </w:t>
      </w:r>
      <w:r>
        <w:rPr/>
        <w:t>impact</w:t>
      </w:r>
      <w:r>
        <w:rPr>
          <w:spacing w:val="-6"/>
        </w:rPr>
        <w:t> </w:t>
      </w:r>
      <w:r>
        <w:rPr/>
        <w:t>significantly</w:t>
      </w:r>
      <w:r>
        <w:rPr>
          <w:spacing w:val="-4"/>
        </w:rPr>
        <w:t> </w:t>
      </w:r>
      <w:r>
        <w:rPr/>
        <w:t>on</w:t>
      </w:r>
      <w:r>
        <w:rPr>
          <w:spacing w:val="-5"/>
        </w:rPr>
        <w:t> </w:t>
      </w:r>
      <w:r>
        <w:rPr/>
        <w:t>the</w:t>
      </w:r>
      <w:r>
        <w:rPr>
          <w:spacing w:val="-6"/>
        </w:rPr>
        <w:t> </w:t>
      </w:r>
      <w:r>
        <w:rPr/>
        <w:t>services</w:t>
      </w:r>
      <w:r>
        <w:rPr>
          <w:spacing w:val="-6"/>
        </w:rPr>
        <w:t> </w:t>
      </w:r>
      <w:r>
        <w:rPr/>
        <w:t>delivered</w:t>
      </w:r>
      <w:r>
        <w:rPr>
          <w:spacing w:val="-4"/>
        </w:rPr>
        <w:t> </w:t>
      </w:r>
      <w:r>
        <w:rPr/>
        <w:t>by</w:t>
      </w:r>
      <w:r>
        <w:rPr>
          <w:spacing w:val="-6"/>
        </w:rPr>
        <w:t> </w:t>
      </w:r>
      <w:r>
        <w:rPr/>
        <w:t>Council</w:t>
      </w:r>
      <w:r>
        <w:rPr>
          <w:spacing w:val="-5"/>
        </w:rPr>
        <w:t> </w:t>
      </w:r>
      <w:r>
        <w:rPr/>
        <w:t>in</w:t>
      </w:r>
      <w:r>
        <w:rPr>
          <w:spacing w:val="-8"/>
        </w:rPr>
        <w:t> </w:t>
      </w:r>
      <w:r>
        <w:rPr/>
        <w:t>the</w:t>
      </w:r>
      <w:r>
        <w:rPr>
          <w:spacing w:val="-5"/>
        </w:rPr>
        <w:t> </w:t>
      </w:r>
      <w:r>
        <w:rPr/>
        <w:t>budget</w:t>
      </w:r>
      <w:r>
        <w:rPr>
          <w:spacing w:val="-2"/>
        </w:rPr>
        <w:t> </w:t>
      </w:r>
      <w:r>
        <w:rPr/>
        <w:t>period</w:t>
      </w:r>
      <w:r>
        <w:rPr>
          <w:spacing w:val="-4"/>
        </w:rPr>
        <w:t> </w:t>
      </w:r>
      <w:r>
        <w:rPr/>
        <w:t>when</w:t>
      </w:r>
      <w:r>
        <w:rPr>
          <w:spacing w:val="-5"/>
        </w:rPr>
        <w:t> </w:t>
      </w:r>
      <w:r>
        <w:rPr/>
        <w:t>compared</w:t>
      </w:r>
      <w:r>
        <w:rPr>
          <w:spacing w:val="-8"/>
        </w:rPr>
        <w:t> </w:t>
      </w:r>
      <w:r>
        <w:rPr/>
        <w:t>to</w:t>
      </w:r>
      <w:r>
        <w:rPr>
          <w:spacing w:val="-8"/>
        </w:rPr>
        <w:t> </w:t>
      </w:r>
      <w:r>
        <w:rPr/>
        <w:t>the 2024/25 budget. These include:</w:t>
      </w:r>
    </w:p>
    <w:p>
      <w:pPr>
        <w:pStyle w:val="ListParagraph"/>
        <w:numPr>
          <w:ilvl w:val="0"/>
          <w:numId w:val="2"/>
        </w:numPr>
        <w:tabs>
          <w:tab w:pos="667" w:val="left" w:leader="none"/>
        </w:tabs>
        <w:spacing w:line="237" w:lineRule="auto" w:before="2" w:after="0"/>
        <w:ind w:left="666" w:right="121" w:hanging="567"/>
        <w:jc w:val="both"/>
        <w:rPr>
          <w:rFonts w:ascii="Symbol" w:hAnsi="Symbol"/>
          <w:sz w:val="22"/>
        </w:rPr>
      </w:pPr>
      <w:r>
        <w:rPr>
          <w:sz w:val="22"/>
        </w:rPr>
        <w:t>From</w:t>
      </w:r>
      <w:r>
        <w:rPr>
          <w:spacing w:val="-6"/>
          <w:sz w:val="22"/>
        </w:rPr>
        <w:t> </w:t>
      </w:r>
      <w:r>
        <w:rPr>
          <w:sz w:val="22"/>
        </w:rPr>
        <w:t>2016/17</w:t>
      </w:r>
      <w:r>
        <w:rPr>
          <w:spacing w:val="-10"/>
          <w:sz w:val="22"/>
        </w:rPr>
        <w:t> </w:t>
      </w:r>
      <w:r>
        <w:rPr>
          <w:sz w:val="22"/>
        </w:rPr>
        <w:t>onwards,</w:t>
      </w:r>
      <w:r>
        <w:rPr>
          <w:spacing w:val="-6"/>
          <w:sz w:val="22"/>
        </w:rPr>
        <w:t> </w:t>
      </w:r>
      <w:r>
        <w:rPr>
          <w:sz w:val="22"/>
        </w:rPr>
        <w:t>the</w:t>
      </w:r>
      <w:r>
        <w:rPr>
          <w:spacing w:val="-6"/>
          <w:sz w:val="22"/>
        </w:rPr>
        <w:t> </w:t>
      </w:r>
      <w:r>
        <w:rPr>
          <w:sz w:val="22"/>
        </w:rPr>
        <w:t>Victorian</w:t>
      </w:r>
      <w:r>
        <w:rPr>
          <w:spacing w:val="-10"/>
          <w:sz w:val="22"/>
        </w:rPr>
        <w:t> </w:t>
      </w:r>
      <w:r>
        <w:rPr>
          <w:sz w:val="22"/>
        </w:rPr>
        <w:t>Government</w:t>
      </w:r>
      <w:r>
        <w:rPr>
          <w:spacing w:val="-6"/>
          <w:sz w:val="22"/>
        </w:rPr>
        <w:t> </w:t>
      </w:r>
      <w:r>
        <w:rPr>
          <w:sz w:val="22"/>
        </w:rPr>
        <w:t>has</w:t>
      </w:r>
      <w:r>
        <w:rPr>
          <w:spacing w:val="-6"/>
          <w:sz w:val="22"/>
        </w:rPr>
        <w:t> </w:t>
      </w:r>
      <w:r>
        <w:rPr>
          <w:sz w:val="22"/>
        </w:rPr>
        <w:t>introduced</w:t>
      </w:r>
      <w:r>
        <w:rPr>
          <w:spacing w:val="-6"/>
          <w:sz w:val="22"/>
        </w:rPr>
        <w:t> </w:t>
      </w:r>
      <w:r>
        <w:rPr>
          <w:sz w:val="22"/>
        </w:rPr>
        <w:t>a</w:t>
      </w:r>
      <w:r>
        <w:rPr>
          <w:spacing w:val="-8"/>
          <w:sz w:val="22"/>
        </w:rPr>
        <w:t> </w:t>
      </w:r>
      <w:r>
        <w:rPr>
          <w:sz w:val="22"/>
        </w:rPr>
        <w:t>cap</w:t>
      </w:r>
      <w:r>
        <w:rPr>
          <w:spacing w:val="-6"/>
          <w:sz w:val="22"/>
        </w:rPr>
        <w:t> </w:t>
      </w:r>
      <w:r>
        <w:rPr>
          <w:sz w:val="22"/>
        </w:rPr>
        <w:t>on</w:t>
      </w:r>
      <w:r>
        <w:rPr>
          <w:spacing w:val="-12"/>
          <w:sz w:val="22"/>
        </w:rPr>
        <w:t> </w:t>
      </w:r>
      <w:r>
        <w:rPr>
          <w:sz w:val="22"/>
        </w:rPr>
        <w:t>rate</w:t>
      </w:r>
      <w:r>
        <w:rPr>
          <w:spacing w:val="-8"/>
          <w:sz w:val="22"/>
        </w:rPr>
        <w:t> </w:t>
      </w:r>
      <w:r>
        <w:rPr>
          <w:sz w:val="22"/>
        </w:rPr>
        <w:t>increases.</w:t>
      </w:r>
      <w:r>
        <w:rPr>
          <w:spacing w:val="-4"/>
          <w:sz w:val="22"/>
        </w:rPr>
        <w:t> </w:t>
      </w:r>
      <w:r>
        <w:rPr>
          <w:sz w:val="22"/>
        </w:rPr>
        <w:t>The</w:t>
      </w:r>
      <w:r>
        <w:rPr>
          <w:spacing w:val="-10"/>
          <w:sz w:val="22"/>
        </w:rPr>
        <w:t> </w:t>
      </w:r>
      <w:r>
        <w:rPr>
          <w:sz w:val="22"/>
        </w:rPr>
        <w:t>cap</w:t>
      </w:r>
      <w:r>
        <w:rPr>
          <w:spacing w:val="-8"/>
          <w:sz w:val="22"/>
        </w:rPr>
        <w:t> </w:t>
      </w:r>
      <w:r>
        <w:rPr>
          <w:sz w:val="22"/>
        </w:rPr>
        <w:t>for 2025/26 has been set at 3.00%;</w:t>
      </w:r>
    </w:p>
    <w:p>
      <w:pPr>
        <w:pStyle w:val="ListParagraph"/>
        <w:numPr>
          <w:ilvl w:val="0"/>
          <w:numId w:val="2"/>
        </w:numPr>
        <w:tabs>
          <w:tab w:pos="667" w:val="left" w:leader="none"/>
        </w:tabs>
        <w:spacing w:line="240" w:lineRule="auto" w:before="1" w:after="0"/>
        <w:ind w:left="666" w:right="115" w:hanging="567"/>
        <w:jc w:val="both"/>
        <w:rPr>
          <w:rFonts w:ascii="Symbol" w:hAnsi="Symbol"/>
          <w:sz w:val="22"/>
        </w:rPr>
      </w:pPr>
      <w:r>
        <w:rPr>
          <w:sz w:val="22"/>
        </w:rPr>
        <w:t>The</w:t>
      </w:r>
      <w:r>
        <w:rPr>
          <w:spacing w:val="-4"/>
          <w:sz w:val="22"/>
        </w:rPr>
        <w:t> </w:t>
      </w:r>
      <w:r>
        <w:rPr>
          <w:sz w:val="22"/>
        </w:rPr>
        <w:t>Consumer</w:t>
      </w:r>
      <w:r>
        <w:rPr>
          <w:spacing w:val="-4"/>
          <w:sz w:val="22"/>
        </w:rPr>
        <w:t> </w:t>
      </w:r>
      <w:r>
        <w:rPr>
          <w:sz w:val="22"/>
        </w:rPr>
        <w:t>Price</w:t>
      </w:r>
      <w:r>
        <w:rPr>
          <w:spacing w:val="-6"/>
          <w:sz w:val="22"/>
        </w:rPr>
        <w:t> </w:t>
      </w:r>
      <w:r>
        <w:rPr>
          <w:sz w:val="22"/>
        </w:rPr>
        <w:t>Index</w:t>
      </w:r>
      <w:r>
        <w:rPr>
          <w:spacing w:val="-4"/>
          <w:sz w:val="22"/>
        </w:rPr>
        <w:t> </w:t>
      </w:r>
      <w:r>
        <w:rPr>
          <w:sz w:val="22"/>
        </w:rPr>
        <w:t>–</w:t>
      </w:r>
      <w:r>
        <w:rPr>
          <w:spacing w:val="-4"/>
          <w:sz w:val="22"/>
        </w:rPr>
        <w:t> </w:t>
      </w:r>
      <w:r>
        <w:rPr>
          <w:sz w:val="22"/>
        </w:rPr>
        <w:t>(CPI)</w:t>
      </w:r>
      <w:r>
        <w:rPr>
          <w:spacing w:val="-2"/>
          <w:sz w:val="22"/>
        </w:rPr>
        <w:t> </w:t>
      </w:r>
      <w:r>
        <w:rPr>
          <w:sz w:val="22"/>
        </w:rPr>
        <w:t>All</w:t>
      </w:r>
      <w:r>
        <w:rPr>
          <w:spacing w:val="-5"/>
          <w:sz w:val="22"/>
        </w:rPr>
        <w:t> </w:t>
      </w:r>
      <w:r>
        <w:rPr>
          <w:sz w:val="22"/>
        </w:rPr>
        <w:t>groups</w:t>
      </w:r>
      <w:r>
        <w:rPr>
          <w:spacing w:val="-6"/>
          <w:sz w:val="22"/>
        </w:rPr>
        <w:t> </w:t>
      </w:r>
      <w:r>
        <w:rPr>
          <w:sz w:val="22"/>
        </w:rPr>
        <w:t>Consumer</w:t>
      </w:r>
      <w:r>
        <w:rPr>
          <w:spacing w:val="-4"/>
          <w:sz w:val="22"/>
        </w:rPr>
        <w:t> </w:t>
      </w:r>
      <w:r>
        <w:rPr>
          <w:sz w:val="22"/>
        </w:rPr>
        <w:t>Price</w:t>
      </w:r>
      <w:r>
        <w:rPr>
          <w:spacing w:val="-6"/>
          <w:sz w:val="22"/>
        </w:rPr>
        <w:t> </w:t>
      </w:r>
      <w:r>
        <w:rPr>
          <w:sz w:val="22"/>
        </w:rPr>
        <w:t>Index</w:t>
      </w:r>
      <w:r>
        <w:rPr>
          <w:spacing w:val="-6"/>
          <w:sz w:val="22"/>
        </w:rPr>
        <w:t> </w:t>
      </w:r>
      <w:r>
        <w:rPr>
          <w:sz w:val="22"/>
        </w:rPr>
        <w:t>rose</w:t>
      </w:r>
      <w:r>
        <w:rPr>
          <w:spacing w:val="-6"/>
          <w:sz w:val="22"/>
        </w:rPr>
        <w:t> </w:t>
      </w:r>
      <w:r>
        <w:rPr>
          <w:sz w:val="22"/>
        </w:rPr>
        <w:t>0.2%</w:t>
      </w:r>
      <w:r>
        <w:rPr>
          <w:spacing w:val="-2"/>
          <w:sz w:val="22"/>
        </w:rPr>
        <w:t> </w:t>
      </w:r>
      <w:r>
        <w:rPr>
          <w:sz w:val="22"/>
        </w:rPr>
        <w:t>in</w:t>
      </w:r>
      <w:r>
        <w:rPr>
          <w:spacing w:val="-6"/>
          <w:sz w:val="22"/>
        </w:rPr>
        <w:t> </w:t>
      </w:r>
      <w:r>
        <w:rPr>
          <w:sz w:val="22"/>
        </w:rPr>
        <w:t>the</w:t>
      </w:r>
      <w:r>
        <w:rPr>
          <w:spacing w:val="-4"/>
          <w:sz w:val="22"/>
        </w:rPr>
        <w:t> </w:t>
      </w:r>
      <w:r>
        <w:rPr>
          <w:sz w:val="22"/>
        </w:rPr>
        <w:t>December</w:t>
      </w:r>
      <w:r>
        <w:rPr>
          <w:spacing w:val="-4"/>
          <w:sz w:val="22"/>
        </w:rPr>
        <w:t> </w:t>
      </w:r>
      <w:r>
        <w:rPr>
          <w:sz w:val="22"/>
        </w:rPr>
        <w:t>2024 quarter and 2.4% annually. Melbourne Index rose 0.1% in the December 2024 quarter and 2.5% annually (ABS). CPI is forecast to decrease to 2.4% by June 2025 before increasing to 3.2% by the end of the 2025/2026 year (RBA Economic Outlook February 2025).</w:t>
      </w:r>
    </w:p>
    <w:p>
      <w:pPr>
        <w:pStyle w:val="ListParagraph"/>
        <w:numPr>
          <w:ilvl w:val="0"/>
          <w:numId w:val="2"/>
        </w:numPr>
        <w:tabs>
          <w:tab w:pos="667" w:val="left" w:leader="none"/>
        </w:tabs>
        <w:spacing w:line="237" w:lineRule="auto" w:before="1" w:after="0"/>
        <w:ind w:left="666" w:right="117" w:hanging="567"/>
        <w:jc w:val="both"/>
        <w:rPr>
          <w:rFonts w:ascii="Symbol" w:hAnsi="Symbol"/>
          <w:sz w:val="22"/>
        </w:rPr>
      </w:pPr>
      <w:r>
        <w:rPr>
          <w:sz w:val="22"/>
        </w:rPr>
        <w:t>The</w:t>
      </w:r>
      <w:r>
        <w:rPr>
          <w:spacing w:val="-16"/>
          <w:sz w:val="22"/>
        </w:rPr>
        <w:t> </w:t>
      </w:r>
      <w:r>
        <w:rPr>
          <w:sz w:val="22"/>
        </w:rPr>
        <w:t>largest</w:t>
      </w:r>
      <w:r>
        <w:rPr>
          <w:spacing w:val="-15"/>
          <w:sz w:val="22"/>
        </w:rPr>
        <w:t> </w:t>
      </w:r>
      <w:r>
        <w:rPr>
          <w:sz w:val="22"/>
        </w:rPr>
        <w:t>source</w:t>
      </w:r>
      <w:r>
        <w:rPr>
          <w:spacing w:val="-15"/>
          <w:sz w:val="22"/>
        </w:rPr>
        <w:t> </w:t>
      </w:r>
      <w:r>
        <w:rPr>
          <w:sz w:val="22"/>
        </w:rPr>
        <w:t>of</w:t>
      </w:r>
      <w:r>
        <w:rPr>
          <w:spacing w:val="-16"/>
          <w:sz w:val="22"/>
        </w:rPr>
        <w:t> </w:t>
      </w:r>
      <w:r>
        <w:rPr>
          <w:sz w:val="22"/>
        </w:rPr>
        <w:t>government</w:t>
      </w:r>
      <w:r>
        <w:rPr>
          <w:spacing w:val="-15"/>
          <w:sz w:val="22"/>
        </w:rPr>
        <w:t> </w:t>
      </w:r>
      <w:r>
        <w:rPr>
          <w:sz w:val="22"/>
        </w:rPr>
        <w:t>funding</w:t>
      </w:r>
      <w:r>
        <w:rPr>
          <w:spacing w:val="-15"/>
          <w:sz w:val="22"/>
        </w:rPr>
        <w:t> </w:t>
      </w:r>
      <w:r>
        <w:rPr>
          <w:sz w:val="22"/>
        </w:rPr>
        <w:t>to</w:t>
      </w:r>
      <w:r>
        <w:rPr>
          <w:spacing w:val="-15"/>
          <w:sz w:val="22"/>
        </w:rPr>
        <w:t> </w:t>
      </w:r>
      <w:r>
        <w:rPr>
          <w:sz w:val="22"/>
        </w:rPr>
        <w:t>council</w:t>
      </w:r>
      <w:r>
        <w:rPr>
          <w:spacing w:val="-16"/>
          <w:sz w:val="22"/>
        </w:rPr>
        <w:t> </w:t>
      </w:r>
      <w:r>
        <w:rPr>
          <w:sz w:val="22"/>
        </w:rPr>
        <w:t>is</w:t>
      </w:r>
      <w:r>
        <w:rPr>
          <w:spacing w:val="-15"/>
          <w:sz w:val="22"/>
        </w:rPr>
        <w:t> </w:t>
      </w:r>
      <w:r>
        <w:rPr>
          <w:sz w:val="22"/>
        </w:rPr>
        <w:t>through</w:t>
      </w:r>
      <w:r>
        <w:rPr>
          <w:spacing w:val="-15"/>
          <w:sz w:val="22"/>
        </w:rPr>
        <w:t> </w:t>
      </w:r>
      <w:r>
        <w:rPr>
          <w:sz w:val="22"/>
        </w:rPr>
        <w:t>the</w:t>
      </w:r>
      <w:r>
        <w:rPr>
          <w:spacing w:val="-16"/>
          <w:sz w:val="22"/>
        </w:rPr>
        <w:t> </w:t>
      </w:r>
      <w:r>
        <w:rPr>
          <w:sz w:val="22"/>
        </w:rPr>
        <w:t>annual</w:t>
      </w:r>
      <w:r>
        <w:rPr>
          <w:spacing w:val="-15"/>
          <w:sz w:val="22"/>
        </w:rPr>
        <w:t> </w:t>
      </w:r>
      <w:r>
        <w:rPr>
          <w:sz w:val="22"/>
        </w:rPr>
        <w:t>Victorian</w:t>
      </w:r>
      <w:r>
        <w:rPr>
          <w:spacing w:val="-15"/>
          <w:sz w:val="22"/>
        </w:rPr>
        <w:t> </w:t>
      </w:r>
      <w:r>
        <w:rPr>
          <w:sz w:val="22"/>
        </w:rPr>
        <w:t>Grants</w:t>
      </w:r>
      <w:r>
        <w:rPr>
          <w:spacing w:val="-15"/>
          <w:sz w:val="22"/>
        </w:rPr>
        <w:t> </w:t>
      </w:r>
      <w:r>
        <w:rPr>
          <w:sz w:val="22"/>
        </w:rPr>
        <w:t>Commission allocation. The overall state allocation is determined by the Federal Assistance grant;</w:t>
      </w:r>
    </w:p>
    <w:p>
      <w:pPr>
        <w:pStyle w:val="ListParagraph"/>
        <w:numPr>
          <w:ilvl w:val="0"/>
          <w:numId w:val="2"/>
        </w:numPr>
        <w:tabs>
          <w:tab w:pos="667" w:val="left" w:leader="none"/>
        </w:tabs>
        <w:spacing w:line="240" w:lineRule="auto" w:before="1" w:after="0"/>
        <w:ind w:left="666" w:right="116" w:hanging="567"/>
        <w:jc w:val="both"/>
        <w:rPr>
          <w:rFonts w:ascii="Symbol" w:hAnsi="Symbol"/>
          <w:sz w:val="22"/>
        </w:rPr>
      </w:pPr>
      <w:r>
        <w:rPr>
          <w:sz w:val="22"/>
        </w:rPr>
        <w:t>Cost shifting occurs where Local Government provides a service to the community on behalf of either the</w:t>
      </w:r>
      <w:r>
        <w:rPr>
          <w:spacing w:val="-2"/>
          <w:sz w:val="22"/>
        </w:rPr>
        <w:t> </w:t>
      </w:r>
      <w:r>
        <w:rPr>
          <w:sz w:val="22"/>
        </w:rPr>
        <w:t>State</w:t>
      </w:r>
      <w:r>
        <w:rPr>
          <w:spacing w:val="-4"/>
          <w:sz w:val="22"/>
        </w:rPr>
        <w:t> </w:t>
      </w:r>
      <w:r>
        <w:rPr>
          <w:sz w:val="22"/>
        </w:rPr>
        <w:t>or</w:t>
      </w:r>
      <w:r>
        <w:rPr>
          <w:spacing w:val="-2"/>
          <w:sz w:val="22"/>
        </w:rPr>
        <w:t> </w:t>
      </w:r>
      <w:r>
        <w:rPr>
          <w:sz w:val="22"/>
        </w:rPr>
        <w:t>Federal</w:t>
      </w:r>
      <w:r>
        <w:rPr>
          <w:spacing w:val="-4"/>
          <w:sz w:val="22"/>
        </w:rPr>
        <w:t> </w:t>
      </w:r>
      <w:r>
        <w:rPr>
          <w:sz w:val="22"/>
        </w:rPr>
        <w:t>Government.</w:t>
      </w:r>
      <w:r>
        <w:rPr>
          <w:spacing w:val="-4"/>
          <w:sz w:val="22"/>
        </w:rPr>
        <w:t> </w:t>
      </w:r>
      <w:r>
        <w:rPr>
          <w:sz w:val="22"/>
        </w:rPr>
        <w:t>Over</w:t>
      </w:r>
      <w:r>
        <w:rPr>
          <w:spacing w:val="-2"/>
          <w:sz w:val="22"/>
        </w:rPr>
        <w:t> </w:t>
      </w:r>
      <w:r>
        <w:rPr>
          <w:sz w:val="22"/>
        </w:rPr>
        <w:t>time,</w:t>
      </w:r>
      <w:r>
        <w:rPr>
          <w:spacing w:val="-4"/>
          <w:sz w:val="22"/>
        </w:rPr>
        <w:t> </w:t>
      </w:r>
      <w:r>
        <w:rPr>
          <w:sz w:val="22"/>
        </w:rPr>
        <w:t>the</w:t>
      </w:r>
      <w:r>
        <w:rPr>
          <w:spacing w:val="-4"/>
          <w:sz w:val="22"/>
        </w:rPr>
        <w:t> </w:t>
      </w:r>
      <w:r>
        <w:rPr>
          <w:sz w:val="22"/>
        </w:rPr>
        <w:t>funds received</w:t>
      </w:r>
      <w:r>
        <w:rPr>
          <w:spacing w:val="-2"/>
          <w:sz w:val="22"/>
        </w:rPr>
        <w:t> </w:t>
      </w:r>
      <w:r>
        <w:rPr>
          <w:sz w:val="22"/>
        </w:rPr>
        <w:t>by</w:t>
      </w:r>
      <w:r>
        <w:rPr>
          <w:spacing w:val="-4"/>
          <w:sz w:val="22"/>
        </w:rPr>
        <w:t> </w:t>
      </w:r>
      <w:r>
        <w:rPr>
          <w:sz w:val="22"/>
        </w:rPr>
        <w:t>local</w:t>
      </w:r>
      <w:r>
        <w:rPr>
          <w:spacing w:val="-2"/>
          <w:sz w:val="22"/>
        </w:rPr>
        <w:t> </w:t>
      </w:r>
      <w:r>
        <w:rPr>
          <w:sz w:val="22"/>
        </w:rPr>
        <w:t>governments</w:t>
      </w:r>
      <w:r>
        <w:rPr>
          <w:spacing w:val="-4"/>
          <w:sz w:val="22"/>
        </w:rPr>
        <w:t> </w:t>
      </w:r>
      <w:r>
        <w:rPr>
          <w:sz w:val="22"/>
        </w:rPr>
        <w:t>to</w:t>
      </w:r>
      <w:r>
        <w:rPr>
          <w:spacing w:val="-6"/>
          <w:sz w:val="22"/>
        </w:rPr>
        <w:t> </w:t>
      </w:r>
      <w:r>
        <w:rPr>
          <w:sz w:val="22"/>
        </w:rPr>
        <w:t>deliver</w:t>
      </w:r>
      <w:r>
        <w:rPr>
          <w:spacing w:val="-2"/>
          <w:sz w:val="22"/>
        </w:rPr>
        <w:t> </w:t>
      </w:r>
      <w:r>
        <w:rPr>
          <w:sz w:val="22"/>
        </w:rPr>
        <w:t>these services do not increase at the same level as actual cost increases. Examples of services subject to cost shifting include the provision of school crossing supervisors and library services. In both these services, the level of funding received by Council from the Victorian Government does not reflect the real cost of providing the service to the community;</w:t>
      </w:r>
    </w:p>
    <w:p>
      <w:pPr>
        <w:pStyle w:val="ListParagraph"/>
        <w:numPr>
          <w:ilvl w:val="0"/>
          <w:numId w:val="2"/>
        </w:numPr>
        <w:tabs>
          <w:tab w:pos="667" w:val="left" w:leader="none"/>
        </w:tabs>
        <w:spacing w:line="237" w:lineRule="auto" w:before="2" w:after="0"/>
        <w:ind w:left="666" w:right="119" w:hanging="567"/>
        <w:jc w:val="both"/>
        <w:rPr>
          <w:rFonts w:ascii="Symbol" w:hAnsi="Symbol"/>
          <w:sz w:val="22"/>
        </w:rPr>
      </w:pPr>
      <w:r>
        <w:rPr>
          <w:sz w:val="22"/>
        </w:rPr>
        <w:t>The Australian Federal Government Superannuation Guarantee rate is increasing to 12.00% from 11.50%, effective 1 July 2025;</w:t>
      </w:r>
    </w:p>
    <w:p>
      <w:pPr>
        <w:pStyle w:val="ListParagraph"/>
        <w:numPr>
          <w:ilvl w:val="0"/>
          <w:numId w:val="2"/>
        </w:numPr>
        <w:tabs>
          <w:tab w:pos="667" w:val="left" w:leader="none"/>
        </w:tabs>
        <w:spacing w:line="237" w:lineRule="auto" w:before="3" w:after="0"/>
        <w:ind w:left="666" w:right="118" w:hanging="567"/>
        <w:jc w:val="both"/>
        <w:rPr>
          <w:rFonts w:ascii="Symbol" w:hAnsi="Symbol"/>
          <w:sz w:val="22"/>
        </w:rPr>
      </w:pPr>
      <w:r>
        <w:rPr>
          <w:sz w:val="22"/>
        </w:rPr>
        <w:t>From</w:t>
      </w:r>
      <w:r>
        <w:rPr>
          <w:spacing w:val="-5"/>
          <w:sz w:val="22"/>
        </w:rPr>
        <w:t> </w:t>
      </w:r>
      <w:r>
        <w:rPr>
          <w:sz w:val="22"/>
        </w:rPr>
        <w:t>1</w:t>
      </w:r>
      <w:r>
        <w:rPr>
          <w:spacing w:val="-8"/>
          <w:sz w:val="22"/>
        </w:rPr>
        <w:t> </w:t>
      </w:r>
      <w:r>
        <w:rPr>
          <w:sz w:val="22"/>
        </w:rPr>
        <w:t>July</w:t>
      </w:r>
      <w:r>
        <w:rPr>
          <w:spacing w:val="-6"/>
          <w:sz w:val="22"/>
        </w:rPr>
        <w:t> </w:t>
      </w:r>
      <w:r>
        <w:rPr>
          <w:sz w:val="22"/>
        </w:rPr>
        <w:t>2025,</w:t>
      </w:r>
      <w:r>
        <w:rPr>
          <w:spacing w:val="-8"/>
          <w:sz w:val="22"/>
        </w:rPr>
        <w:t> </w:t>
      </w:r>
      <w:r>
        <w:rPr>
          <w:sz w:val="22"/>
        </w:rPr>
        <w:t>the</w:t>
      </w:r>
      <w:r>
        <w:rPr>
          <w:spacing w:val="-8"/>
          <w:sz w:val="22"/>
        </w:rPr>
        <w:t> </w:t>
      </w:r>
      <w:r>
        <w:rPr>
          <w:sz w:val="22"/>
        </w:rPr>
        <w:t>Fire</w:t>
      </w:r>
      <w:r>
        <w:rPr>
          <w:spacing w:val="-8"/>
          <w:sz w:val="22"/>
        </w:rPr>
        <w:t> </w:t>
      </w:r>
      <w:r>
        <w:rPr>
          <w:sz w:val="22"/>
        </w:rPr>
        <w:t>Services</w:t>
      </w:r>
      <w:r>
        <w:rPr>
          <w:spacing w:val="-6"/>
          <w:sz w:val="22"/>
        </w:rPr>
        <w:t> </w:t>
      </w:r>
      <w:r>
        <w:rPr>
          <w:sz w:val="22"/>
        </w:rPr>
        <w:t>Property</w:t>
      </w:r>
      <w:r>
        <w:rPr>
          <w:spacing w:val="-6"/>
          <w:sz w:val="22"/>
        </w:rPr>
        <w:t> </w:t>
      </w:r>
      <w:r>
        <w:rPr>
          <w:sz w:val="22"/>
        </w:rPr>
        <w:t>Levy</w:t>
      </w:r>
      <w:r>
        <w:rPr>
          <w:spacing w:val="-8"/>
          <w:sz w:val="22"/>
        </w:rPr>
        <w:t> </w:t>
      </w:r>
      <w:r>
        <w:rPr>
          <w:sz w:val="22"/>
        </w:rPr>
        <w:t>(FSPL)</w:t>
      </w:r>
      <w:r>
        <w:rPr>
          <w:spacing w:val="-5"/>
          <w:sz w:val="22"/>
        </w:rPr>
        <w:t> </w:t>
      </w:r>
      <w:r>
        <w:rPr>
          <w:sz w:val="22"/>
        </w:rPr>
        <w:t>will</w:t>
      </w:r>
      <w:r>
        <w:rPr>
          <w:spacing w:val="-9"/>
          <w:sz w:val="22"/>
        </w:rPr>
        <w:t> </w:t>
      </w:r>
      <w:r>
        <w:rPr>
          <w:sz w:val="22"/>
        </w:rPr>
        <w:t>be</w:t>
      </w:r>
      <w:r>
        <w:rPr>
          <w:spacing w:val="-6"/>
          <w:sz w:val="22"/>
        </w:rPr>
        <w:t> </w:t>
      </w:r>
      <w:r>
        <w:rPr>
          <w:sz w:val="22"/>
        </w:rPr>
        <w:t>replaced</w:t>
      </w:r>
      <w:r>
        <w:rPr>
          <w:spacing w:val="-8"/>
          <w:sz w:val="22"/>
        </w:rPr>
        <w:t> </w:t>
      </w:r>
      <w:r>
        <w:rPr>
          <w:sz w:val="22"/>
        </w:rPr>
        <w:t>by</w:t>
      </w:r>
      <w:r>
        <w:rPr>
          <w:spacing w:val="-6"/>
          <w:sz w:val="22"/>
        </w:rPr>
        <w:t> </w:t>
      </w:r>
      <w:r>
        <w:rPr>
          <w:sz w:val="22"/>
        </w:rPr>
        <w:t>the</w:t>
      </w:r>
      <w:r>
        <w:rPr>
          <w:spacing w:val="-6"/>
          <w:sz w:val="22"/>
        </w:rPr>
        <w:t> </w:t>
      </w:r>
      <w:r>
        <w:rPr>
          <w:sz w:val="22"/>
        </w:rPr>
        <w:t>Emergency</w:t>
      </w:r>
      <w:r>
        <w:rPr>
          <w:spacing w:val="-6"/>
          <w:sz w:val="22"/>
        </w:rPr>
        <w:t> </w:t>
      </w:r>
      <w:r>
        <w:rPr>
          <w:sz w:val="22"/>
        </w:rPr>
        <w:t>Services and Volunteers Fund (ESVF). This levy will continue to be collected by Council on behalf of the State Government as per the Fire Services Levy Act 2012.</w:t>
      </w:r>
      <w:r>
        <w:rPr>
          <w:spacing w:val="40"/>
          <w:sz w:val="22"/>
        </w:rPr>
        <w:t> </w:t>
      </w:r>
      <w:r>
        <w:rPr>
          <w:sz w:val="22"/>
        </w:rPr>
        <w:t>This charge is not included in Council’s budget;</w:t>
      </w:r>
    </w:p>
    <w:p>
      <w:pPr>
        <w:pStyle w:val="ListParagraph"/>
        <w:numPr>
          <w:ilvl w:val="0"/>
          <w:numId w:val="2"/>
        </w:numPr>
        <w:tabs>
          <w:tab w:pos="667" w:val="left" w:leader="none"/>
        </w:tabs>
        <w:spacing w:line="240" w:lineRule="auto" w:before="3" w:after="0"/>
        <w:ind w:left="666" w:right="116" w:hanging="567"/>
        <w:jc w:val="both"/>
        <w:rPr>
          <w:rFonts w:ascii="Symbol" w:hAnsi="Symbol"/>
          <w:sz w:val="22"/>
        </w:rPr>
      </w:pPr>
      <w:r>
        <w:rPr>
          <w:sz w:val="22"/>
        </w:rPr>
        <w:t>Council manages community assets valued at $2.2 billion in accordance with community needs and local, state and national plans, policies, legislation and standards. This represents a significant investment</w:t>
      </w:r>
      <w:r>
        <w:rPr>
          <w:spacing w:val="-13"/>
          <w:sz w:val="22"/>
        </w:rPr>
        <w:t> </w:t>
      </w:r>
      <w:r>
        <w:rPr>
          <w:sz w:val="22"/>
        </w:rPr>
        <w:t>made</w:t>
      </w:r>
      <w:r>
        <w:rPr>
          <w:spacing w:val="-11"/>
          <w:sz w:val="22"/>
        </w:rPr>
        <w:t> </w:t>
      </w:r>
      <w:r>
        <w:rPr>
          <w:sz w:val="22"/>
        </w:rPr>
        <w:t>over</w:t>
      </w:r>
      <w:r>
        <w:rPr>
          <w:spacing w:val="-13"/>
          <w:sz w:val="22"/>
        </w:rPr>
        <w:t> </w:t>
      </w:r>
      <w:r>
        <w:rPr>
          <w:sz w:val="22"/>
        </w:rPr>
        <w:t>many</w:t>
      </w:r>
      <w:r>
        <w:rPr>
          <w:spacing w:val="-11"/>
          <w:sz w:val="22"/>
        </w:rPr>
        <w:t> </w:t>
      </w:r>
      <w:r>
        <w:rPr>
          <w:sz w:val="22"/>
        </w:rPr>
        <w:t>generations,</w:t>
      </w:r>
      <w:r>
        <w:rPr>
          <w:spacing w:val="-11"/>
          <w:sz w:val="22"/>
        </w:rPr>
        <w:t> </w:t>
      </w:r>
      <w:r>
        <w:rPr>
          <w:sz w:val="22"/>
        </w:rPr>
        <w:t>and</w:t>
      </w:r>
      <w:r>
        <w:rPr>
          <w:spacing w:val="-12"/>
          <w:sz w:val="22"/>
        </w:rPr>
        <w:t> </w:t>
      </w:r>
      <w:r>
        <w:rPr>
          <w:sz w:val="22"/>
        </w:rPr>
        <w:t>hence,</w:t>
      </w:r>
      <w:r>
        <w:rPr>
          <w:spacing w:val="-11"/>
          <w:sz w:val="22"/>
        </w:rPr>
        <w:t> </w:t>
      </w:r>
      <w:r>
        <w:rPr>
          <w:sz w:val="22"/>
        </w:rPr>
        <w:t>prudent</w:t>
      </w:r>
      <w:r>
        <w:rPr>
          <w:spacing w:val="-10"/>
          <w:sz w:val="22"/>
        </w:rPr>
        <w:t> </w:t>
      </w:r>
      <w:r>
        <w:rPr>
          <w:sz w:val="22"/>
        </w:rPr>
        <w:t>management</w:t>
      </w:r>
      <w:r>
        <w:rPr>
          <w:spacing w:val="-11"/>
          <w:sz w:val="22"/>
        </w:rPr>
        <w:t> </w:t>
      </w:r>
      <w:r>
        <w:rPr>
          <w:sz w:val="22"/>
        </w:rPr>
        <w:t>of</w:t>
      </w:r>
      <w:r>
        <w:rPr>
          <w:spacing w:val="-12"/>
          <w:sz w:val="22"/>
        </w:rPr>
        <w:t> </w:t>
      </w:r>
      <w:r>
        <w:rPr>
          <w:sz w:val="22"/>
        </w:rPr>
        <w:t>these</w:t>
      </w:r>
      <w:r>
        <w:rPr>
          <w:spacing w:val="-12"/>
          <w:sz w:val="22"/>
        </w:rPr>
        <w:t> </w:t>
      </w:r>
      <w:r>
        <w:rPr>
          <w:sz w:val="22"/>
        </w:rPr>
        <w:t>community</w:t>
      </w:r>
      <w:r>
        <w:rPr>
          <w:spacing w:val="-11"/>
          <w:sz w:val="22"/>
        </w:rPr>
        <w:t> </w:t>
      </w:r>
      <w:r>
        <w:rPr>
          <w:sz w:val="22"/>
        </w:rPr>
        <w:t>assets is a core Council function to ensure long-term sustainability and the continuity of service provision to the community;</w:t>
      </w:r>
    </w:p>
    <w:p>
      <w:pPr>
        <w:pStyle w:val="ListParagraph"/>
        <w:numPr>
          <w:ilvl w:val="0"/>
          <w:numId w:val="2"/>
        </w:numPr>
        <w:tabs>
          <w:tab w:pos="667" w:val="left" w:leader="none"/>
        </w:tabs>
        <w:spacing w:line="240" w:lineRule="auto" w:before="0" w:after="0"/>
        <w:ind w:left="666" w:right="115" w:hanging="567"/>
        <w:jc w:val="both"/>
        <w:rPr>
          <w:rFonts w:ascii="Symbol" w:hAnsi="Symbol"/>
          <w:sz w:val="22"/>
        </w:rPr>
      </w:pPr>
      <w:r>
        <w:rPr>
          <w:sz w:val="22"/>
        </w:rPr>
        <w:t>Depreciation</w:t>
      </w:r>
      <w:r>
        <w:rPr>
          <w:spacing w:val="-4"/>
          <w:sz w:val="22"/>
        </w:rPr>
        <w:t> </w:t>
      </w:r>
      <w:r>
        <w:rPr>
          <w:sz w:val="22"/>
        </w:rPr>
        <w:t>of</w:t>
      </w:r>
      <w:r>
        <w:rPr>
          <w:spacing w:val="-2"/>
          <w:sz w:val="22"/>
        </w:rPr>
        <w:t> </w:t>
      </w:r>
      <w:r>
        <w:rPr>
          <w:sz w:val="22"/>
        </w:rPr>
        <w:t>Council’s</w:t>
      </w:r>
      <w:r>
        <w:rPr>
          <w:spacing w:val="-4"/>
          <w:sz w:val="22"/>
        </w:rPr>
        <w:t> </w:t>
      </w:r>
      <w:r>
        <w:rPr>
          <w:sz w:val="22"/>
        </w:rPr>
        <w:t>core</w:t>
      </w:r>
      <w:r>
        <w:rPr>
          <w:spacing w:val="-4"/>
          <w:sz w:val="22"/>
        </w:rPr>
        <w:t> </w:t>
      </w:r>
      <w:r>
        <w:rPr>
          <w:sz w:val="22"/>
        </w:rPr>
        <w:t>asset</w:t>
      </w:r>
      <w:r>
        <w:rPr>
          <w:spacing w:val="-1"/>
          <w:sz w:val="22"/>
        </w:rPr>
        <w:t> </w:t>
      </w:r>
      <w:r>
        <w:rPr>
          <w:sz w:val="22"/>
        </w:rPr>
        <w:t>infrastructure</w:t>
      </w:r>
      <w:r>
        <w:rPr>
          <w:spacing w:val="-8"/>
          <w:sz w:val="22"/>
        </w:rPr>
        <w:t> </w:t>
      </w:r>
      <w:r>
        <w:rPr>
          <w:sz w:val="22"/>
        </w:rPr>
        <w:t>for</w:t>
      </w:r>
      <w:r>
        <w:rPr>
          <w:spacing w:val="-2"/>
          <w:sz w:val="22"/>
        </w:rPr>
        <w:t> </w:t>
      </w:r>
      <w:r>
        <w:rPr>
          <w:sz w:val="22"/>
        </w:rPr>
        <w:t>2025/26</w:t>
      </w:r>
      <w:r>
        <w:rPr>
          <w:spacing w:val="-4"/>
          <w:sz w:val="22"/>
        </w:rPr>
        <w:t> </w:t>
      </w:r>
      <w:r>
        <w:rPr>
          <w:sz w:val="22"/>
        </w:rPr>
        <w:t>is</w:t>
      </w:r>
      <w:r>
        <w:rPr>
          <w:spacing w:val="-6"/>
          <w:sz w:val="22"/>
        </w:rPr>
        <w:t> </w:t>
      </w:r>
      <w:r>
        <w:rPr>
          <w:sz w:val="22"/>
        </w:rPr>
        <w:t>$28.125</w:t>
      </w:r>
      <w:r>
        <w:rPr>
          <w:spacing w:val="-8"/>
          <w:sz w:val="22"/>
        </w:rPr>
        <w:t> </w:t>
      </w:r>
      <w:r>
        <w:rPr>
          <w:sz w:val="22"/>
        </w:rPr>
        <w:t>million.</w:t>
      </w:r>
      <w:r>
        <w:rPr>
          <w:spacing w:val="-2"/>
          <w:sz w:val="22"/>
        </w:rPr>
        <w:t> </w:t>
      </w:r>
      <w:r>
        <w:rPr>
          <w:sz w:val="22"/>
        </w:rPr>
        <w:t>Council</w:t>
      </w:r>
      <w:r>
        <w:rPr>
          <w:spacing w:val="-7"/>
          <w:sz w:val="22"/>
        </w:rPr>
        <w:t> </w:t>
      </w:r>
      <w:r>
        <w:rPr>
          <w:sz w:val="22"/>
        </w:rPr>
        <w:t>must</w:t>
      </w:r>
      <w:r>
        <w:rPr>
          <w:spacing w:val="-2"/>
          <w:sz w:val="22"/>
        </w:rPr>
        <w:t> </w:t>
      </w:r>
      <w:r>
        <w:rPr>
          <w:sz w:val="22"/>
        </w:rPr>
        <w:t>ensure its</w:t>
      </w:r>
      <w:r>
        <w:rPr>
          <w:spacing w:val="-13"/>
          <w:sz w:val="22"/>
        </w:rPr>
        <w:t> </w:t>
      </w:r>
      <w:r>
        <w:rPr>
          <w:sz w:val="22"/>
        </w:rPr>
        <w:t>capital</w:t>
      </w:r>
      <w:r>
        <w:rPr>
          <w:spacing w:val="-15"/>
          <w:sz w:val="22"/>
        </w:rPr>
        <w:t> </w:t>
      </w:r>
      <w:r>
        <w:rPr>
          <w:sz w:val="22"/>
        </w:rPr>
        <w:t>renewal</w:t>
      </w:r>
      <w:r>
        <w:rPr>
          <w:spacing w:val="-15"/>
          <w:sz w:val="22"/>
        </w:rPr>
        <w:t> </w:t>
      </w:r>
      <w:r>
        <w:rPr>
          <w:sz w:val="22"/>
        </w:rPr>
        <w:t>program,</w:t>
      </w:r>
      <w:r>
        <w:rPr>
          <w:spacing w:val="-13"/>
          <w:sz w:val="22"/>
        </w:rPr>
        <w:t> </w:t>
      </w:r>
      <w:r>
        <w:rPr>
          <w:sz w:val="22"/>
        </w:rPr>
        <w:t>at</w:t>
      </w:r>
      <w:r>
        <w:rPr>
          <w:spacing w:val="-13"/>
          <w:sz w:val="22"/>
        </w:rPr>
        <w:t> </w:t>
      </w:r>
      <w:r>
        <w:rPr>
          <w:sz w:val="22"/>
        </w:rPr>
        <w:t>a</w:t>
      </w:r>
      <w:r>
        <w:rPr>
          <w:spacing w:val="-16"/>
          <w:sz w:val="22"/>
        </w:rPr>
        <w:t> </w:t>
      </w:r>
      <w:r>
        <w:rPr>
          <w:sz w:val="22"/>
        </w:rPr>
        <w:t>minimum,</w:t>
      </w:r>
      <w:r>
        <w:rPr>
          <w:spacing w:val="-12"/>
          <w:sz w:val="22"/>
        </w:rPr>
        <w:t> </w:t>
      </w:r>
      <w:r>
        <w:rPr>
          <w:sz w:val="22"/>
        </w:rPr>
        <w:t>keeps</w:t>
      </w:r>
      <w:r>
        <w:rPr>
          <w:spacing w:val="-15"/>
          <w:sz w:val="22"/>
        </w:rPr>
        <w:t> </w:t>
      </w:r>
      <w:r>
        <w:rPr>
          <w:sz w:val="22"/>
        </w:rPr>
        <w:t>pace</w:t>
      </w:r>
      <w:r>
        <w:rPr>
          <w:spacing w:val="-13"/>
          <w:sz w:val="22"/>
        </w:rPr>
        <w:t> </w:t>
      </w:r>
      <w:r>
        <w:rPr>
          <w:sz w:val="22"/>
        </w:rPr>
        <w:t>with</w:t>
      </w:r>
      <w:r>
        <w:rPr>
          <w:spacing w:val="-14"/>
          <w:sz w:val="22"/>
        </w:rPr>
        <w:t> </w:t>
      </w:r>
      <w:r>
        <w:rPr>
          <w:sz w:val="22"/>
        </w:rPr>
        <w:t>this</w:t>
      </w:r>
      <w:r>
        <w:rPr>
          <w:spacing w:val="-13"/>
          <w:sz w:val="22"/>
        </w:rPr>
        <w:t> </w:t>
      </w:r>
      <w:r>
        <w:rPr>
          <w:sz w:val="22"/>
        </w:rPr>
        <w:t>figure</w:t>
      </w:r>
      <w:r>
        <w:rPr>
          <w:spacing w:val="-14"/>
          <w:sz w:val="22"/>
        </w:rPr>
        <w:t> </w:t>
      </w:r>
      <w:r>
        <w:rPr>
          <w:sz w:val="22"/>
        </w:rPr>
        <w:t>to</w:t>
      </w:r>
      <w:r>
        <w:rPr>
          <w:spacing w:val="-14"/>
          <w:sz w:val="22"/>
        </w:rPr>
        <w:t> </w:t>
      </w:r>
      <w:r>
        <w:rPr>
          <w:sz w:val="22"/>
        </w:rPr>
        <w:t>ensure</w:t>
      </w:r>
      <w:r>
        <w:rPr>
          <w:spacing w:val="-14"/>
          <w:sz w:val="22"/>
        </w:rPr>
        <w:t> </w:t>
      </w:r>
      <w:r>
        <w:rPr>
          <w:sz w:val="22"/>
        </w:rPr>
        <w:t>adequate</w:t>
      </w:r>
      <w:r>
        <w:rPr>
          <w:spacing w:val="-14"/>
          <w:sz w:val="22"/>
        </w:rPr>
        <w:t> </w:t>
      </w:r>
      <w:r>
        <w:rPr>
          <w:sz w:val="22"/>
        </w:rPr>
        <w:t>maintenance of Council’s $2.2 billion infrastructure;</w:t>
      </w:r>
    </w:p>
    <w:p>
      <w:pPr>
        <w:spacing w:after="0" w:line="240" w:lineRule="auto"/>
        <w:jc w:val="both"/>
        <w:rPr>
          <w:rFonts w:ascii="Symbol" w:hAnsi="Symbol"/>
          <w:sz w:val="22"/>
        </w:rPr>
        <w:sectPr>
          <w:pgSz w:w="11910" w:h="16840"/>
          <w:pgMar w:header="0" w:footer="381" w:top="640" w:bottom="580" w:left="620" w:right="600"/>
        </w:sectPr>
      </w:pPr>
    </w:p>
    <w:p>
      <w:pPr>
        <w:pStyle w:val="ListParagraph"/>
        <w:numPr>
          <w:ilvl w:val="0"/>
          <w:numId w:val="2"/>
        </w:numPr>
        <w:tabs>
          <w:tab w:pos="667" w:val="left" w:leader="none"/>
        </w:tabs>
        <w:spacing w:line="268" w:lineRule="exact" w:before="83" w:after="0"/>
        <w:ind w:left="666" w:right="0" w:hanging="567"/>
        <w:jc w:val="both"/>
        <w:rPr>
          <w:rFonts w:ascii="Symbol" w:hAnsi="Symbol"/>
          <w:sz w:val="22"/>
        </w:rPr>
      </w:pPr>
      <w:r>
        <w:rPr>
          <w:sz w:val="22"/>
        </w:rPr>
        <w:t>Salaries</w:t>
      </w:r>
      <w:r>
        <w:rPr>
          <w:spacing w:val="-7"/>
          <w:sz w:val="22"/>
        </w:rPr>
        <w:t> </w:t>
      </w:r>
      <w:r>
        <w:rPr>
          <w:sz w:val="22"/>
        </w:rPr>
        <w:t>increased</w:t>
      </w:r>
      <w:r>
        <w:rPr>
          <w:spacing w:val="-5"/>
          <w:sz w:val="22"/>
        </w:rPr>
        <w:t> </w:t>
      </w:r>
      <w:r>
        <w:rPr>
          <w:sz w:val="22"/>
        </w:rPr>
        <w:t>in</w:t>
      </w:r>
      <w:r>
        <w:rPr>
          <w:spacing w:val="-6"/>
          <w:sz w:val="22"/>
        </w:rPr>
        <w:t> </w:t>
      </w:r>
      <w:r>
        <w:rPr>
          <w:sz w:val="22"/>
        </w:rPr>
        <w:t>accordance</w:t>
      </w:r>
      <w:r>
        <w:rPr>
          <w:spacing w:val="-4"/>
          <w:sz w:val="22"/>
        </w:rPr>
        <w:t> </w:t>
      </w:r>
      <w:r>
        <w:rPr>
          <w:sz w:val="22"/>
        </w:rPr>
        <w:t>with</w:t>
      </w:r>
      <w:r>
        <w:rPr>
          <w:spacing w:val="-7"/>
          <w:sz w:val="22"/>
        </w:rPr>
        <w:t> </w:t>
      </w:r>
      <w:r>
        <w:rPr>
          <w:sz w:val="22"/>
        </w:rPr>
        <w:t>Council</w:t>
      </w:r>
      <w:r>
        <w:rPr>
          <w:spacing w:val="-4"/>
          <w:sz w:val="22"/>
        </w:rPr>
        <w:t> </w:t>
      </w:r>
      <w:r>
        <w:rPr>
          <w:sz w:val="22"/>
        </w:rPr>
        <w:t>Enterprise</w:t>
      </w:r>
      <w:r>
        <w:rPr>
          <w:spacing w:val="-5"/>
          <w:sz w:val="22"/>
        </w:rPr>
        <w:t> </w:t>
      </w:r>
      <w:r>
        <w:rPr>
          <w:sz w:val="22"/>
        </w:rPr>
        <w:t>Bargaining</w:t>
      </w:r>
      <w:r>
        <w:rPr>
          <w:spacing w:val="-4"/>
          <w:sz w:val="22"/>
        </w:rPr>
        <w:t> </w:t>
      </w:r>
      <w:r>
        <w:rPr>
          <w:spacing w:val="-2"/>
          <w:sz w:val="22"/>
        </w:rPr>
        <w:t>Agreement;</w:t>
      </w:r>
    </w:p>
    <w:p>
      <w:pPr>
        <w:pStyle w:val="ListParagraph"/>
        <w:numPr>
          <w:ilvl w:val="0"/>
          <w:numId w:val="2"/>
        </w:numPr>
        <w:tabs>
          <w:tab w:pos="667" w:val="left" w:leader="none"/>
        </w:tabs>
        <w:spacing w:line="237" w:lineRule="auto" w:before="1" w:after="0"/>
        <w:ind w:left="666" w:right="116" w:hanging="567"/>
        <w:jc w:val="both"/>
        <w:rPr>
          <w:rFonts w:ascii="Symbol" w:hAnsi="Symbol"/>
          <w:sz w:val="22"/>
        </w:rPr>
      </w:pPr>
      <w:r>
        <w:rPr>
          <w:sz w:val="22"/>
        </w:rPr>
        <w:t>A $0.62 million increase in insurance premiums which represents a 31.7% increase reflecting current market conditions;</w:t>
      </w:r>
    </w:p>
    <w:p>
      <w:pPr>
        <w:pStyle w:val="ListParagraph"/>
        <w:numPr>
          <w:ilvl w:val="0"/>
          <w:numId w:val="2"/>
        </w:numPr>
        <w:tabs>
          <w:tab w:pos="667" w:val="left" w:leader="none"/>
        </w:tabs>
        <w:spacing w:line="237" w:lineRule="auto" w:before="3" w:after="0"/>
        <w:ind w:left="666" w:right="120" w:hanging="567"/>
        <w:jc w:val="both"/>
        <w:rPr>
          <w:rFonts w:ascii="Symbol" w:hAnsi="Symbol"/>
          <w:sz w:val="22"/>
        </w:rPr>
      </w:pPr>
      <w:r>
        <w:rPr>
          <w:sz w:val="22"/>
        </w:rPr>
        <w:t>Continued objective of meeting financial sustainability objectives and targets, such as the underlying result, liquidity, indebtedness, and renewal/upgrade ratios;</w:t>
      </w:r>
    </w:p>
    <w:p>
      <w:pPr>
        <w:pStyle w:val="ListParagraph"/>
        <w:numPr>
          <w:ilvl w:val="0"/>
          <w:numId w:val="2"/>
        </w:numPr>
        <w:tabs>
          <w:tab w:pos="667" w:val="left" w:leader="none"/>
        </w:tabs>
        <w:spacing w:line="240" w:lineRule="auto" w:before="2" w:after="0"/>
        <w:ind w:left="666" w:right="115" w:hanging="567"/>
        <w:jc w:val="both"/>
        <w:rPr>
          <w:rFonts w:ascii="Symbol" w:hAnsi="Symbol"/>
          <w:sz w:val="22"/>
        </w:rPr>
      </w:pPr>
      <w:r>
        <w:rPr>
          <w:sz w:val="22"/>
        </w:rPr>
        <w:t>The</w:t>
      </w:r>
      <w:r>
        <w:rPr>
          <w:spacing w:val="-7"/>
          <w:sz w:val="22"/>
        </w:rPr>
        <w:t> </w:t>
      </w:r>
      <w:r>
        <w:rPr>
          <w:sz w:val="22"/>
        </w:rPr>
        <w:t>inclusion</w:t>
      </w:r>
      <w:r>
        <w:rPr>
          <w:spacing w:val="-9"/>
          <w:sz w:val="22"/>
        </w:rPr>
        <w:t> </w:t>
      </w:r>
      <w:r>
        <w:rPr>
          <w:sz w:val="22"/>
        </w:rPr>
        <w:t>of</w:t>
      </w:r>
      <w:r>
        <w:rPr>
          <w:spacing w:val="-9"/>
          <w:sz w:val="22"/>
        </w:rPr>
        <w:t> </w:t>
      </w:r>
      <w:r>
        <w:rPr>
          <w:sz w:val="22"/>
        </w:rPr>
        <w:t>40</w:t>
      </w:r>
      <w:r>
        <w:rPr>
          <w:spacing w:val="-7"/>
          <w:sz w:val="22"/>
        </w:rPr>
        <w:t> </w:t>
      </w:r>
      <w:r>
        <w:rPr>
          <w:sz w:val="22"/>
        </w:rPr>
        <w:t>Council</w:t>
      </w:r>
      <w:r>
        <w:rPr>
          <w:spacing w:val="-9"/>
          <w:sz w:val="22"/>
        </w:rPr>
        <w:t> </w:t>
      </w:r>
      <w:r>
        <w:rPr>
          <w:sz w:val="22"/>
        </w:rPr>
        <w:t>Plan</w:t>
      </w:r>
      <w:r>
        <w:rPr>
          <w:spacing w:val="-6"/>
          <w:sz w:val="22"/>
        </w:rPr>
        <w:t> </w:t>
      </w:r>
      <w:r>
        <w:rPr>
          <w:sz w:val="22"/>
        </w:rPr>
        <w:t>Priority</w:t>
      </w:r>
      <w:r>
        <w:rPr>
          <w:spacing w:val="-7"/>
          <w:sz w:val="22"/>
        </w:rPr>
        <w:t> </w:t>
      </w:r>
      <w:r>
        <w:rPr>
          <w:sz w:val="22"/>
        </w:rPr>
        <w:t>Actions</w:t>
      </w:r>
      <w:r>
        <w:rPr>
          <w:spacing w:val="-9"/>
          <w:sz w:val="22"/>
        </w:rPr>
        <w:t> </w:t>
      </w:r>
      <w:r>
        <w:rPr>
          <w:sz w:val="22"/>
        </w:rPr>
        <w:t>(Major</w:t>
      </w:r>
      <w:r>
        <w:rPr>
          <w:spacing w:val="-6"/>
          <w:sz w:val="22"/>
        </w:rPr>
        <w:t> </w:t>
      </w:r>
      <w:r>
        <w:rPr>
          <w:sz w:val="22"/>
        </w:rPr>
        <w:t>initiatives)</w:t>
      </w:r>
      <w:r>
        <w:rPr>
          <w:spacing w:val="-8"/>
          <w:sz w:val="22"/>
        </w:rPr>
        <w:t> </w:t>
      </w:r>
      <w:r>
        <w:rPr>
          <w:sz w:val="22"/>
        </w:rPr>
        <w:t>that</w:t>
      </w:r>
      <w:r>
        <w:rPr>
          <w:spacing w:val="-9"/>
          <w:sz w:val="22"/>
        </w:rPr>
        <w:t> </w:t>
      </w:r>
      <w:r>
        <w:rPr>
          <w:sz w:val="22"/>
        </w:rPr>
        <w:t>will</w:t>
      </w:r>
      <w:r>
        <w:rPr>
          <w:spacing w:val="-7"/>
          <w:sz w:val="22"/>
        </w:rPr>
        <w:t> </w:t>
      </w:r>
      <w:r>
        <w:rPr>
          <w:sz w:val="22"/>
        </w:rPr>
        <w:t>be</w:t>
      </w:r>
      <w:r>
        <w:rPr>
          <w:spacing w:val="-6"/>
          <w:sz w:val="22"/>
        </w:rPr>
        <w:t> </w:t>
      </w:r>
      <w:r>
        <w:rPr>
          <w:sz w:val="22"/>
        </w:rPr>
        <w:t>undertaken</w:t>
      </w:r>
      <w:r>
        <w:rPr>
          <w:spacing w:val="-7"/>
          <w:sz w:val="22"/>
        </w:rPr>
        <w:t> </w:t>
      </w:r>
      <w:r>
        <w:rPr>
          <w:sz w:val="22"/>
        </w:rPr>
        <w:t>by</w:t>
      </w:r>
      <w:r>
        <w:rPr>
          <w:spacing w:val="-7"/>
          <w:sz w:val="22"/>
        </w:rPr>
        <w:t> </w:t>
      </w:r>
      <w:r>
        <w:rPr>
          <w:sz w:val="22"/>
        </w:rPr>
        <w:t>Council</w:t>
      </w:r>
      <w:r>
        <w:rPr>
          <w:spacing w:val="-10"/>
          <w:sz w:val="22"/>
        </w:rPr>
        <w:t> </w:t>
      </w:r>
      <w:r>
        <w:rPr>
          <w:sz w:val="22"/>
        </w:rPr>
        <w:t>in 2025/26 that will contribute to the achievement of preferred community outcomes outlined in the </w:t>
      </w:r>
      <w:r>
        <w:rPr>
          <w:i/>
          <w:sz w:val="22"/>
        </w:rPr>
        <w:t>Maroondah 2050 Community Vision</w:t>
      </w:r>
      <w:r>
        <w:rPr>
          <w:sz w:val="22"/>
        </w:rPr>
        <w:t>. For a full list of all initiatives refer to Section 2.</w:t>
      </w:r>
    </w:p>
    <w:p>
      <w:pPr>
        <w:pStyle w:val="BodyText"/>
        <w:spacing w:before="1"/>
        <w:rPr>
          <w:sz w:val="19"/>
        </w:rPr>
      </w:pPr>
    </w:p>
    <w:p>
      <w:pPr>
        <w:pStyle w:val="Heading2"/>
        <w:ind w:left="100"/>
        <w:jc w:val="both"/>
      </w:pPr>
      <w:bookmarkStart w:name="_TOC_250026" w:id="6"/>
      <w:r>
        <w:rPr>
          <w:color w:val="4966AC"/>
        </w:rPr>
        <w:t>Budget</w:t>
      </w:r>
      <w:bookmarkEnd w:id="6"/>
      <w:r>
        <w:rPr>
          <w:color w:val="4966AC"/>
          <w:spacing w:val="-2"/>
        </w:rPr>
        <w:t> Principles</w:t>
      </w:r>
    </w:p>
    <w:p>
      <w:pPr>
        <w:pStyle w:val="BodyText"/>
        <w:spacing w:before="250"/>
        <w:ind w:left="100" w:right="114"/>
        <w:jc w:val="both"/>
      </w:pPr>
      <w:r>
        <w:rPr/>
        <w:t>In response to these influences, guidelines were prepared and distributed to all Council employees with budget</w:t>
      </w:r>
      <w:r>
        <w:rPr>
          <w:spacing w:val="-1"/>
        </w:rPr>
        <w:t> </w:t>
      </w:r>
      <w:r>
        <w:rPr/>
        <w:t>responsibilities. The</w:t>
      </w:r>
      <w:r>
        <w:rPr>
          <w:spacing w:val="-1"/>
        </w:rPr>
        <w:t> </w:t>
      </w:r>
      <w:r>
        <w:rPr/>
        <w:t>guidelines set out</w:t>
      </w:r>
      <w:r>
        <w:rPr>
          <w:spacing w:val="-2"/>
        </w:rPr>
        <w:t> </w:t>
      </w:r>
      <w:r>
        <w:rPr/>
        <w:t>the</w:t>
      </w:r>
      <w:r>
        <w:rPr>
          <w:spacing w:val="-2"/>
        </w:rPr>
        <w:t> </w:t>
      </w:r>
      <w:r>
        <w:rPr/>
        <w:t>key</w:t>
      </w:r>
      <w:r>
        <w:rPr>
          <w:spacing w:val="-1"/>
        </w:rPr>
        <w:t> </w:t>
      </w:r>
      <w:r>
        <w:rPr/>
        <w:t>budget</w:t>
      </w:r>
      <w:r>
        <w:rPr>
          <w:spacing w:val="-2"/>
        </w:rPr>
        <w:t> </w:t>
      </w:r>
      <w:r>
        <w:rPr/>
        <w:t>principles upon</w:t>
      </w:r>
      <w:r>
        <w:rPr>
          <w:spacing w:val="-1"/>
        </w:rPr>
        <w:t> </w:t>
      </w:r>
      <w:r>
        <w:rPr/>
        <w:t>which the</w:t>
      </w:r>
      <w:r>
        <w:rPr>
          <w:spacing w:val="-2"/>
        </w:rPr>
        <w:t> </w:t>
      </w:r>
      <w:r>
        <w:rPr/>
        <w:t>employees</w:t>
      </w:r>
      <w:r>
        <w:rPr>
          <w:spacing w:val="-4"/>
        </w:rPr>
        <w:t> </w:t>
      </w:r>
      <w:r>
        <w:rPr/>
        <w:t>prepare their budgets.</w:t>
      </w:r>
    </w:p>
    <w:p>
      <w:pPr>
        <w:pStyle w:val="BodyText"/>
        <w:spacing w:before="1"/>
      </w:pPr>
    </w:p>
    <w:p>
      <w:pPr>
        <w:pStyle w:val="BodyText"/>
        <w:ind w:left="100"/>
        <w:jc w:val="both"/>
      </w:pPr>
      <w:r>
        <w:rPr/>
        <w:t>The</w:t>
      </w:r>
      <w:r>
        <w:rPr>
          <w:spacing w:val="-4"/>
        </w:rPr>
        <w:t> </w:t>
      </w:r>
      <w:r>
        <w:rPr/>
        <w:t>principles</w:t>
      </w:r>
      <w:r>
        <w:rPr>
          <w:spacing w:val="-3"/>
        </w:rPr>
        <w:t> </w:t>
      </w:r>
      <w:r>
        <w:rPr>
          <w:spacing w:val="-2"/>
        </w:rPr>
        <w:t>included:</w:t>
      </w:r>
    </w:p>
    <w:p>
      <w:pPr>
        <w:pStyle w:val="ListParagraph"/>
        <w:numPr>
          <w:ilvl w:val="0"/>
          <w:numId w:val="2"/>
        </w:numPr>
        <w:tabs>
          <w:tab w:pos="667" w:val="left" w:leader="none"/>
        </w:tabs>
        <w:spacing w:line="237" w:lineRule="auto" w:before="4" w:after="0"/>
        <w:ind w:left="666" w:right="115" w:hanging="567"/>
        <w:jc w:val="both"/>
        <w:rPr>
          <w:rFonts w:ascii="Symbol" w:hAnsi="Symbol"/>
          <w:sz w:val="22"/>
        </w:rPr>
      </w:pPr>
      <w:r>
        <w:rPr>
          <w:sz w:val="22"/>
        </w:rPr>
        <w:t>The</w:t>
      </w:r>
      <w:r>
        <w:rPr>
          <w:spacing w:val="-4"/>
          <w:sz w:val="22"/>
        </w:rPr>
        <w:t> </w:t>
      </w:r>
      <w:r>
        <w:rPr>
          <w:sz w:val="22"/>
        </w:rPr>
        <w:t>outcomes</w:t>
      </w:r>
      <w:r>
        <w:rPr>
          <w:spacing w:val="-4"/>
          <w:sz w:val="22"/>
        </w:rPr>
        <w:t> </w:t>
      </w:r>
      <w:r>
        <w:rPr>
          <w:sz w:val="22"/>
        </w:rPr>
        <w:t>of</w:t>
      </w:r>
      <w:r>
        <w:rPr>
          <w:spacing w:val="-2"/>
          <w:sz w:val="22"/>
        </w:rPr>
        <w:t> </w:t>
      </w:r>
      <w:r>
        <w:rPr>
          <w:sz w:val="22"/>
        </w:rPr>
        <w:t>Council’s</w:t>
      </w:r>
      <w:r>
        <w:rPr>
          <w:spacing w:val="-4"/>
          <w:sz w:val="22"/>
        </w:rPr>
        <w:t> </w:t>
      </w:r>
      <w:r>
        <w:rPr>
          <w:sz w:val="22"/>
        </w:rPr>
        <w:t>Financial</w:t>
      </w:r>
      <w:r>
        <w:rPr>
          <w:spacing w:val="-4"/>
          <w:sz w:val="22"/>
        </w:rPr>
        <w:t> </w:t>
      </w:r>
      <w:r>
        <w:rPr>
          <w:sz w:val="22"/>
        </w:rPr>
        <w:t>Plan</w:t>
      </w:r>
      <w:r>
        <w:rPr>
          <w:spacing w:val="-1"/>
          <w:sz w:val="22"/>
        </w:rPr>
        <w:t> </w:t>
      </w:r>
      <w:r>
        <w:rPr>
          <w:sz w:val="22"/>
        </w:rPr>
        <w:t>will</w:t>
      </w:r>
      <w:r>
        <w:rPr>
          <w:spacing w:val="-5"/>
          <w:sz w:val="22"/>
        </w:rPr>
        <w:t> </w:t>
      </w:r>
      <w:r>
        <w:rPr>
          <w:sz w:val="22"/>
        </w:rPr>
        <w:t>drive</w:t>
      </w:r>
      <w:r>
        <w:rPr>
          <w:spacing w:val="-4"/>
          <w:sz w:val="22"/>
        </w:rPr>
        <w:t> </w:t>
      </w:r>
      <w:r>
        <w:rPr>
          <w:sz w:val="22"/>
        </w:rPr>
        <w:t>the</w:t>
      </w:r>
      <w:r>
        <w:rPr>
          <w:spacing w:val="-4"/>
          <w:sz w:val="22"/>
        </w:rPr>
        <w:t> </w:t>
      </w:r>
      <w:r>
        <w:rPr>
          <w:sz w:val="22"/>
        </w:rPr>
        <w:t>2025/26</w:t>
      </w:r>
      <w:r>
        <w:rPr>
          <w:spacing w:val="-4"/>
          <w:sz w:val="22"/>
        </w:rPr>
        <w:t> </w:t>
      </w:r>
      <w:r>
        <w:rPr>
          <w:sz w:val="22"/>
        </w:rPr>
        <w:t>budget</w:t>
      </w:r>
      <w:r>
        <w:rPr>
          <w:spacing w:val="-4"/>
          <w:sz w:val="22"/>
        </w:rPr>
        <w:t> </w:t>
      </w:r>
      <w:r>
        <w:rPr>
          <w:sz w:val="22"/>
        </w:rPr>
        <w:t>process.</w:t>
      </w:r>
      <w:r>
        <w:rPr>
          <w:spacing w:val="-2"/>
          <w:sz w:val="22"/>
        </w:rPr>
        <w:t> </w:t>
      </w:r>
      <w:r>
        <w:rPr>
          <w:sz w:val="22"/>
        </w:rPr>
        <w:t>The</w:t>
      </w:r>
      <w:r>
        <w:rPr>
          <w:spacing w:val="-4"/>
          <w:sz w:val="22"/>
        </w:rPr>
        <w:t> </w:t>
      </w:r>
      <w:r>
        <w:rPr>
          <w:sz w:val="22"/>
        </w:rPr>
        <w:t>primary</w:t>
      </w:r>
      <w:r>
        <w:rPr>
          <w:spacing w:val="-4"/>
          <w:sz w:val="22"/>
        </w:rPr>
        <w:t> </w:t>
      </w:r>
      <w:r>
        <w:rPr>
          <w:sz w:val="22"/>
        </w:rPr>
        <w:t>direction for the Budget is to ensure Council’s continued long-term financial sustainability and that the requirements of the Victorian Government in relation to rate capping are met;</w:t>
      </w:r>
    </w:p>
    <w:p>
      <w:pPr>
        <w:pStyle w:val="ListParagraph"/>
        <w:numPr>
          <w:ilvl w:val="0"/>
          <w:numId w:val="2"/>
        </w:numPr>
        <w:tabs>
          <w:tab w:pos="667" w:val="left" w:leader="none"/>
        </w:tabs>
        <w:spacing w:line="237" w:lineRule="auto" w:before="5" w:after="0"/>
        <w:ind w:left="666" w:right="115" w:hanging="567"/>
        <w:jc w:val="both"/>
        <w:rPr>
          <w:rFonts w:ascii="Symbol" w:hAnsi="Symbol"/>
          <w:sz w:val="22"/>
        </w:rPr>
      </w:pPr>
      <w:r>
        <w:rPr>
          <w:sz w:val="22"/>
        </w:rPr>
        <w:t>Service levels to be maintained at 2024/25 levels, with the aim to use fewer resources along with an emphasis on innovation, productivity, and efficiency enhancements;</w:t>
      </w:r>
    </w:p>
    <w:p>
      <w:pPr>
        <w:pStyle w:val="ListParagraph"/>
        <w:numPr>
          <w:ilvl w:val="0"/>
          <w:numId w:val="2"/>
        </w:numPr>
        <w:tabs>
          <w:tab w:pos="666" w:val="left" w:leader="none"/>
          <w:tab w:pos="667" w:val="left" w:leader="none"/>
        </w:tabs>
        <w:spacing w:line="269" w:lineRule="exact" w:before="1" w:after="0"/>
        <w:ind w:left="666" w:right="0" w:hanging="567"/>
        <w:jc w:val="left"/>
        <w:rPr>
          <w:rFonts w:ascii="Symbol" w:hAnsi="Symbol"/>
          <w:sz w:val="22"/>
        </w:rPr>
      </w:pPr>
      <w:r>
        <w:rPr>
          <w:sz w:val="22"/>
        </w:rPr>
        <w:t>Grants</w:t>
      </w:r>
      <w:r>
        <w:rPr>
          <w:spacing w:val="-4"/>
          <w:sz w:val="22"/>
        </w:rPr>
        <w:t> </w:t>
      </w:r>
      <w:r>
        <w:rPr>
          <w:sz w:val="22"/>
        </w:rPr>
        <w:t>to</w:t>
      </w:r>
      <w:r>
        <w:rPr>
          <w:spacing w:val="-5"/>
          <w:sz w:val="22"/>
        </w:rPr>
        <w:t> </w:t>
      </w:r>
      <w:r>
        <w:rPr>
          <w:sz w:val="22"/>
        </w:rPr>
        <w:t>be</w:t>
      </w:r>
      <w:r>
        <w:rPr>
          <w:spacing w:val="-2"/>
          <w:sz w:val="22"/>
        </w:rPr>
        <w:t> </w:t>
      </w:r>
      <w:r>
        <w:rPr>
          <w:sz w:val="22"/>
        </w:rPr>
        <w:t>based</w:t>
      </w:r>
      <w:r>
        <w:rPr>
          <w:spacing w:val="-3"/>
          <w:sz w:val="22"/>
        </w:rPr>
        <w:t> </w:t>
      </w:r>
      <w:r>
        <w:rPr>
          <w:sz w:val="22"/>
        </w:rPr>
        <w:t>on</w:t>
      </w:r>
      <w:r>
        <w:rPr>
          <w:spacing w:val="-4"/>
          <w:sz w:val="22"/>
        </w:rPr>
        <w:t> </w:t>
      </w:r>
      <w:r>
        <w:rPr>
          <w:sz w:val="22"/>
        </w:rPr>
        <w:t>confirmed</w:t>
      </w:r>
      <w:r>
        <w:rPr>
          <w:spacing w:val="-4"/>
          <w:sz w:val="22"/>
        </w:rPr>
        <w:t> </w:t>
      </w:r>
      <w:r>
        <w:rPr>
          <w:sz w:val="22"/>
        </w:rPr>
        <w:t>funding</w:t>
      </w:r>
      <w:r>
        <w:rPr>
          <w:spacing w:val="-3"/>
          <w:sz w:val="22"/>
        </w:rPr>
        <w:t> </w:t>
      </w:r>
      <w:r>
        <w:rPr>
          <w:spacing w:val="-2"/>
          <w:sz w:val="22"/>
        </w:rPr>
        <w:t>levels;</w:t>
      </w:r>
    </w:p>
    <w:p>
      <w:pPr>
        <w:pStyle w:val="ListParagraph"/>
        <w:numPr>
          <w:ilvl w:val="0"/>
          <w:numId w:val="2"/>
        </w:numPr>
        <w:tabs>
          <w:tab w:pos="666" w:val="left" w:leader="none"/>
          <w:tab w:pos="667" w:val="left" w:leader="none"/>
        </w:tabs>
        <w:spacing w:line="268" w:lineRule="exact" w:before="0" w:after="0"/>
        <w:ind w:left="666" w:right="0" w:hanging="567"/>
        <w:jc w:val="left"/>
        <w:rPr>
          <w:rFonts w:ascii="Symbol" w:hAnsi="Symbol"/>
          <w:sz w:val="22"/>
        </w:rPr>
      </w:pPr>
      <w:r>
        <w:rPr>
          <w:sz w:val="22"/>
        </w:rPr>
        <w:t>New</w:t>
      </w:r>
      <w:r>
        <w:rPr>
          <w:spacing w:val="-5"/>
          <w:sz w:val="22"/>
        </w:rPr>
        <w:t> </w:t>
      </w:r>
      <w:r>
        <w:rPr>
          <w:sz w:val="22"/>
        </w:rPr>
        <w:t>initiatives</w:t>
      </w:r>
      <w:r>
        <w:rPr>
          <w:spacing w:val="-2"/>
          <w:sz w:val="22"/>
        </w:rPr>
        <w:t> </w:t>
      </w:r>
      <w:r>
        <w:rPr>
          <w:sz w:val="22"/>
        </w:rPr>
        <w:t>which are</w:t>
      </w:r>
      <w:r>
        <w:rPr>
          <w:spacing w:val="-6"/>
          <w:sz w:val="22"/>
        </w:rPr>
        <w:t> </w:t>
      </w:r>
      <w:r>
        <w:rPr>
          <w:sz w:val="22"/>
        </w:rPr>
        <w:t>not</w:t>
      </w:r>
      <w:r>
        <w:rPr>
          <w:spacing w:val="-1"/>
          <w:sz w:val="22"/>
        </w:rPr>
        <w:t> </w:t>
      </w:r>
      <w:r>
        <w:rPr>
          <w:sz w:val="22"/>
        </w:rPr>
        <w:t>cost</w:t>
      </w:r>
      <w:r>
        <w:rPr>
          <w:spacing w:val="-5"/>
          <w:sz w:val="22"/>
        </w:rPr>
        <w:t> </w:t>
      </w:r>
      <w:r>
        <w:rPr>
          <w:sz w:val="22"/>
        </w:rPr>
        <w:t>neutral</w:t>
      </w:r>
      <w:r>
        <w:rPr>
          <w:spacing w:val="-4"/>
          <w:sz w:val="22"/>
        </w:rPr>
        <w:t> </w:t>
      </w:r>
      <w:r>
        <w:rPr>
          <w:sz w:val="22"/>
        </w:rPr>
        <w:t>to be</w:t>
      </w:r>
      <w:r>
        <w:rPr>
          <w:spacing w:val="-8"/>
          <w:sz w:val="22"/>
        </w:rPr>
        <w:t> </w:t>
      </w:r>
      <w:r>
        <w:rPr>
          <w:sz w:val="22"/>
        </w:rPr>
        <w:t>justified</w:t>
      </w:r>
      <w:r>
        <w:rPr>
          <w:spacing w:val="-4"/>
          <w:sz w:val="22"/>
        </w:rPr>
        <w:t> </w:t>
      </w:r>
      <w:r>
        <w:rPr>
          <w:sz w:val="22"/>
        </w:rPr>
        <w:t>through</w:t>
      </w:r>
      <w:r>
        <w:rPr>
          <w:spacing w:val="-3"/>
          <w:sz w:val="22"/>
        </w:rPr>
        <w:t> </w:t>
      </w:r>
      <w:r>
        <w:rPr>
          <w:sz w:val="22"/>
        </w:rPr>
        <w:t>a</w:t>
      </w:r>
      <w:r>
        <w:rPr>
          <w:spacing w:val="-4"/>
          <w:sz w:val="22"/>
        </w:rPr>
        <w:t> </w:t>
      </w:r>
      <w:r>
        <w:rPr>
          <w:sz w:val="22"/>
        </w:rPr>
        <w:t>business</w:t>
      </w:r>
      <w:r>
        <w:rPr>
          <w:spacing w:val="-2"/>
          <w:sz w:val="22"/>
        </w:rPr>
        <w:t> case;</w:t>
      </w:r>
    </w:p>
    <w:p>
      <w:pPr>
        <w:pStyle w:val="ListParagraph"/>
        <w:numPr>
          <w:ilvl w:val="0"/>
          <w:numId w:val="2"/>
        </w:numPr>
        <w:tabs>
          <w:tab w:pos="666" w:val="left" w:leader="none"/>
          <w:tab w:pos="667" w:val="left" w:leader="none"/>
        </w:tabs>
        <w:spacing w:line="266" w:lineRule="exact" w:before="0" w:after="0"/>
        <w:ind w:left="666" w:right="0" w:hanging="567"/>
        <w:jc w:val="left"/>
        <w:rPr>
          <w:rFonts w:ascii="Symbol" w:hAnsi="Symbol"/>
          <w:sz w:val="22"/>
        </w:rPr>
      </w:pPr>
      <w:r>
        <w:rPr>
          <w:sz w:val="22"/>
        </w:rPr>
        <w:t>Existing</w:t>
      </w:r>
      <w:r>
        <w:rPr>
          <w:spacing w:val="-5"/>
          <w:sz w:val="22"/>
        </w:rPr>
        <w:t> </w:t>
      </w:r>
      <w:r>
        <w:rPr>
          <w:sz w:val="22"/>
        </w:rPr>
        <w:t>fees</w:t>
      </w:r>
      <w:r>
        <w:rPr>
          <w:spacing w:val="-5"/>
          <w:sz w:val="22"/>
        </w:rPr>
        <w:t> </w:t>
      </w:r>
      <w:r>
        <w:rPr>
          <w:sz w:val="22"/>
        </w:rPr>
        <w:t>and</w:t>
      </w:r>
      <w:r>
        <w:rPr>
          <w:spacing w:val="-5"/>
          <w:sz w:val="22"/>
        </w:rPr>
        <w:t> </w:t>
      </w:r>
      <w:r>
        <w:rPr>
          <w:sz w:val="22"/>
        </w:rPr>
        <w:t>charges</w:t>
      </w:r>
      <w:r>
        <w:rPr>
          <w:spacing w:val="-2"/>
          <w:sz w:val="22"/>
        </w:rPr>
        <w:t> </w:t>
      </w:r>
      <w:r>
        <w:rPr>
          <w:sz w:val="22"/>
        </w:rPr>
        <w:t>to</w:t>
      </w:r>
      <w:r>
        <w:rPr>
          <w:spacing w:val="-5"/>
          <w:sz w:val="22"/>
        </w:rPr>
        <w:t> </w:t>
      </w:r>
      <w:r>
        <w:rPr>
          <w:sz w:val="22"/>
        </w:rPr>
        <w:t>be</w:t>
      </w:r>
      <w:r>
        <w:rPr>
          <w:spacing w:val="-3"/>
          <w:sz w:val="22"/>
        </w:rPr>
        <w:t> </w:t>
      </w:r>
      <w:r>
        <w:rPr>
          <w:sz w:val="22"/>
        </w:rPr>
        <w:t>increased</w:t>
      </w:r>
      <w:r>
        <w:rPr>
          <w:spacing w:val="-1"/>
          <w:sz w:val="22"/>
        </w:rPr>
        <w:t> </w:t>
      </w:r>
      <w:r>
        <w:rPr>
          <w:sz w:val="22"/>
        </w:rPr>
        <w:t>at</w:t>
      </w:r>
      <w:r>
        <w:rPr>
          <w:spacing w:val="-3"/>
          <w:sz w:val="22"/>
        </w:rPr>
        <w:t> </w:t>
      </w:r>
      <w:r>
        <w:rPr>
          <w:sz w:val="22"/>
        </w:rPr>
        <w:t>market</w:t>
      </w:r>
      <w:r>
        <w:rPr>
          <w:spacing w:val="-1"/>
          <w:sz w:val="22"/>
        </w:rPr>
        <w:t> </w:t>
      </w:r>
      <w:r>
        <w:rPr>
          <w:sz w:val="22"/>
        </w:rPr>
        <w:t>levels</w:t>
      </w:r>
      <w:r>
        <w:rPr>
          <w:spacing w:val="-5"/>
          <w:sz w:val="22"/>
        </w:rPr>
        <w:t> </w:t>
      </w:r>
      <w:r>
        <w:rPr>
          <w:sz w:val="22"/>
        </w:rPr>
        <w:t>for</w:t>
      </w:r>
      <w:r>
        <w:rPr>
          <w:spacing w:val="-2"/>
          <w:sz w:val="22"/>
        </w:rPr>
        <w:t> </w:t>
      </w:r>
      <w:r>
        <w:rPr>
          <w:sz w:val="22"/>
        </w:rPr>
        <w:t>unit</w:t>
      </w:r>
      <w:r>
        <w:rPr>
          <w:spacing w:val="-5"/>
          <w:sz w:val="22"/>
        </w:rPr>
        <w:t> </w:t>
      </w:r>
      <w:r>
        <w:rPr>
          <w:sz w:val="22"/>
        </w:rPr>
        <w:t>costs</w:t>
      </w:r>
      <w:r>
        <w:rPr>
          <w:spacing w:val="-1"/>
          <w:sz w:val="22"/>
        </w:rPr>
        <w:t> </w:t>
      </w:r>
      <w:r>
        <w:rPr>
          <w:sz w:val="22"/>
        </w:rPr>
        <w:t>and</w:t>
      </w:r>
      <w:r>
        <w:rPr>
          <w:spacing w:val="-2"/>
          <w:sz w:val="22"/>
        </w:rPr>
        <w:t> volume;</w:t>
      </w:r>
    </w:p>
    <w:p>
      <w:pPr>
        <w:pStyle w:val="ListParagraph"/>
        <w:numPr>
          <w:ilvl w:val="0"/>
          <w:numId w:val="2"/>
        </w:numPr>
        <w:tabs>
          <w:tab w:pos="666" w:val="left" w:leader="none"/>
          <w:tab w:pos="667" w:val="left" w:leader="none"/>
        </w:tabs>
        <w:spacing w:line="279" w:lineRule="exact" w:before="0" w:after="0"/>
        <w:ind w:left="666" w:right="0" w:hanging="567"/>
        <w:jc w:val="left"/>
        <w:rPr>
          <w:rFonts w:ascii="Symbol" w:hAnsi="Symbol"/>
          <w:sz w:val="22"/>
        </w:rPr>
      </w:pPr>
      <w:r>
        <w:rPr>
          <w:sz w:val="22"/>
        </w:rPr>
        <w:t>New</w:t>
      </w:r>
      <w:r>
        <w:rPr>
          <w:spacing w:val="-3"/>
          <w:sz w:val="22"/>
        </w:rPr>
        <w:t> </w:t>
      </w:r>
      <w:r>
        <w:rPr>
          <w:sz w:val="22"/>
        </w:rPr>
        <w:t>revenue</w:t>
      </w:r>
      <w:r>
        <w:rPr>
          <w:spacing w:val="-5"/>
          <w:sz w:val="22"/>
        </w:rPr>
        <w:t> </w:t>
      </w:r>
      <w:r>
        <w:rPr>
          <w:sz w:val="22"/>
        </w:rPr>
        <w:t>sources</w:t>
      </w:r>
      <w:r>
        <w:rPr>
          <w:spacing w:val="-5"/>
          <w:sz w:val="22"/>
        </w:rPr>
        <w:t> </w:t>
      </w:r>
      <w:r>
        <w:rPr>
          <w:sz w:val="22"/>
        </w:rPr>
        <w:t>such</w:t>
      </w:r>
      <w:r>
        <w:rPr>
          <w:spacing w:val="-2"/>
          <w:sz w:val="22"/>
        </w:rPr>
        <w:t> </w:t>
      </w:r>
      <w:r>
        <w:rPr>
          <w:sz w:val="22"/>
        </w:rPr>
        <w:t>as</w:t>
      </w:r>
      <w:r>
        <w:rPr>
          <w:spacing w:val="-3"/>
          <w:sz w:val="22"/>
        </w:rPr>
        <w:t> </w:t>
      </w:r>
      <w:r>
        <w:rPr>
          <w:sz w:val="22"/>
        </w:rPr>
        <w:t>partnerships</w:t>
      </w:r>
      <w:r>
        <w:rPr>
          <w:spacing w:val="-3"/>
          <w:sz w:val="22"/>
        </w:rPr>
        <w:t> </w:t>
      </w:r>
      <w:r>
        <w:rPr>
          <w:sz w:val="22"/>
        </w:rPr>
        <w:t>and</w:t>
      </w:r>
      <w:r>
        <w:rPr>
          <w:spacing w:val="-3"/>
          <w:sz w:val="22"/>
        </w:rPr>
        <w:t> </w:t>
      </w:r>
      <w:r>
        <w:rPr>
          <w:sz w:val="22"/>
        </w:rPr>
        <w:t>shared</w:t>
      </w:r>
      <w:r>
        <w:rPr>
          <w:spacing w:val="-3"/>
          <w:sz w:val="22"/>
        </w:rPr>
        <w:t> </w:t>
      </w:r>
      <w:r>
        <w:rPr>
          <w:sz w:val="22"/>
        </w:rPr>
        <w:t>services</w:t>
      </w:r>
      <w:r>
        <w:rPr>
          <w:spacing w:val="-5"/>
          <w:sz w:val="22"/>
        </w:rPr>
        <w:t> </w:t>
      </w:r>
      <w:r>
        <w:rPr>
          <w:sz w:val="22"/>
        </w:rPr>
        <w:t>to</w:t>
      </w:r>
      <w:r>
        <w:rPr>
          <w:spacing w:val="-5"/>
          <w:sz w:val="22"/>
        </w:rPr>
        <w:t> </w:t>
      </w:r>
      <w:r>
        <w:rPr>
          <w:sz w:val="22"/>
        </w:rPr>
        <w:t>be</w:t>
      </w:r>
      <w:r>
        <w:rPr>
          <w:spacing w:val="-5"/>
          <w:sz w:val="22"/>
        </w:rPr>
        <w:t> </w:t>
      </w:r>
      <w:r>
        <w:rPr>
          <w:sz w:val="22"/>
        </w:rPr>
        <w:t>identified</w:t>
      </w:r>
      <w:r>
        <w:rPr>
          <w:spacing w:val="-3"/>
          <w:sz w:val="22"/>
        </w:rPr>
        <w:t> </w:t>
      </w:r>
      <w:r>
        <w:rPr>
          <w:sz w:val="22"/>
        </w:rPr>
        <w:t>where</w:t>
      </w:r>
      <w:r>
        <w:rPr>
          <w:spacing w:val="-7"/>
          <w:sz w:val="22"/>
        </w:rPr>
        <w:t> </w:t>
      </w:r>
      <w:r>
        <w:rPr>
          <w:sz w:val="22"/>
        </w:rPr>
        <w:t>possible;</w:t>
      </w:r>
      <w:r>
        <w:rPr>
          <w:spacing w:val="-12"/>
          <w:sz w:val="22"/>
        </w:rPr>
        <w:t> </w:t>
      </w:r>
      <w:r>
        <w:rPr>
          <w:rFonts w:ascii="Calibri" w:hAnsi="Calibri"/>
          <w:spacing w:val="-5"/>
          <w:sz w:val="22"/>
        </w:rPr>
        <w:t>and</w:t>
      </w:r>
    </w:p>
    <w:p>
      <w:pPr>
        <w:pStyle w:val="ListParagraph"/>
        <w:numPr>
          <w:ilvl w:val="0"/>
          <w:numId w:val="2"/>
        </w:numPr>
        <w:tabs>
          <w:tab w:pos="666" w:val="left" w:leader="none"/>
          <w:tab w:pos="667" w:val="left" w:leader="none"/>
        </w:tabs>
        <w:spacing w:line="240" w:lineRule="auto" w:before="3" w:after="0"/>
        <w:ind w:left="666" w:right="0" w:hanging="567"/>
        <w:jc w:val="left"/>
        <w:rPr>
          <w:rFonts w:ascii="Symbol" w:hAnsi="Symbol"/>
          <w:sz w:val="22"/>
        </w:rPr>
      </w:pPr>
      <w:r>
        <w:rPr>
          <w:sz w:val="22"/>
        </w:rPr>
        <w:t>Operating</w:t>
      </w:r>
      <w:r>
        <w:rPr>
          <w:spacing w:val="-5"/>
          <w:sz w:val="22"/>
        </w:rPr>
        <w:t> </w:t>
      </w:r>
      <w:r>
        <w:rPr>
          <w:sz w:val="22"/>
        </w:rPr>
        <w:t>revenue</w:t>
      </w:r>
      <w:r>
        <w:rPr>
          <w:spacing w:val="-4"/>
          <w:sz w:val="22"/>
        </w:rPr>
        <w:t> </w:t>
      </w:r>
      <w:r>
        <w:rPr>
          <w:sz w:val="22"/>
        </w:rPr>
        <w:t>and</w:t>
      </w:r>
      <w:r>
        <w:rPr>
          <w:spacing w:val="-6"/>
          <w:sz w:val="22"/>
        </w:rPr>
        <w:t> </w:t>
      </w:r>
      <w:r>
        <w:rPr>
          <w:sz w:val="22"/>
        </w:rPr>
        <w:t>expenses</w:t>
      </w:r>
      <w:r>
        <w:rPr>
          <w:spacing w:val="-2"/>
          <w:sz w:val="22"/>
        </w:rPr>
        <w:t> </w:t>
      </w:r>
      <w:r>
        <w:rPr>
          <w:sz w:val="22"/>
        </w:rPr>
        <w:t>arising</w:t>
      </w:r>
      <w:r>
        <w:rPr>
          <w:spacing w:val="-4"/>
          <w:sz w:val="22"/>
        </w:rPr>
        <w:t> </w:t>
      </w:r>
      <w:r>
        <w:rPr>
          <w:sz w:val="22"/>
        </w:rPr>
        <w:t>from</w:t>
      </w:r>
      <w:r>
        <w:rPr>
          <w:spacing w:val="-4"/>
          <w:sz w:val="22"/>
        </w:rPr>
        <w:t> </w:t>
      </w:r>
      <w:r>
        <w:rPr>
          <w:sz w:val="22"/>
        </w:rPr>
        <w:t>completed</w:t>
      </w:r>
      <w:r>
        <w:rPr>
          <w:spacing w:val="-3"/>
          <w:sz w:val="22"/>
        </w:rPr>
        <w:t> </w:t>
      </w:r>
      <w:r>
        <w:rPr>
          <w:sz w:val="22"/>
        </w:rPr>
        <w:t>2024/25</w:t>
      </w:r>
      <w:r>
        <w:rPr>
          <w:spacing w:val="-5"/>
          <w:sz w:val="22"/>
        </w:rPr>
        <w:t> </w:t>
      </w:r>
      <w:r>
        <w:rPr>
          <w:sz w:val="22"/>
        </w:rPr>
        <w:t>capital</w:t>
      </w:r>
      <w:r>
        <w:rPr>
          <w:spacing w:val="-6"/>
          <w:sz w:val="22"/>
        </w:rPr>
        <w:t> </w:t>
      </w:r>
      <w:r>
        <w:rPr>
          <w:sz w:val="22"/>
        </w:rPr>
        <w:t>projects</w:t>
      </w:r>
      <w:r>
        <w:rPr>
          <w:spacing w:val="-4"/>
          <w:sz w:val="22"/>
        </w:rPr>
        <w:t> </w:t>
      </w:r>
      <w:r>
        <w:rPr>
          <w:sz w:val="22"/>
        </w:rPr>
        <w:t>to</w:t>
      </w:r>
      <w:r>
        <w:rPr>
          <w:spacing w:val="-5"/>
          <w:sz w:val="22"/>
        </w:rPr>
        <w:t> </w:t>
      </w:r>
      <w:r>
        <w:rPr>
          <w:sz w:val="22"/>
        </w:rPr>
        <w:t>be</w:t>
      </w:r>
      <w:r>
        <w:rPr>
          <w:spacing w:val="-4"/>
          <w:sz w:val="22"/>
        </w:rPr>
        <w:t> </w:t>
      </w:r>
      <w:r>
        <w:rPr>
          <w:spacing w:val="-2"/>
          <w:sz w:val="22"/>
        </w:rPr>
        <w:t>included.</w:t>
      </w:r>
    </w:p>
    <w:p>
      <w:pPr>
        <w:spacing w:after="0" w:line="240" w:lineRule="auto"/>
        <w:jc w:val="left"/>
        <w:rPr>
          <w:rFonts w:ascii="Symbol" w:hAnsi="Symbol"/>
          <w:sz w:val="22"/>
        </w:rPr>
        <w:sectPr>
          <w:pgSz w:w="11910" w:h="16840"/>
          <w:pgMar w:header="0" w:footer="381" w:top="620" w:bottom="580" w:left="620" w:right="600"/>
        </w:sectPr>
      </w:pPr>
    </w:p>
    <w:p>
      <w:pPr>
        <w:pStyle w:val="Heading2"/>
        <w:spacing w:before="63"/>
        <w:ind w:left="100"/>
      </w:pPr>
      <w:bookmarkStart w:name="_TOC_250025" w:id="7"/>
      <w:r>
        <w:rPr>
          <w:color w:val="4966AC"/>
        </w:rPr>
        <w:t>Statutory</w:t>
      </w:r>
      <w:r>
        <w:rPr>
          <w:color w:val="4966AC"/>
          <w:spacing w:val="-4"/>
        </w:rPr>
        <w:t> </w:t>
      </w:r>
      <w:bookmarkEnd w:id="7"/>
      <w:r>
        <w:rPr>
          <w:color w:val="4966AC"/>
          <w:spacing w:val="-2"/>
        </w:rPr>
        <w:t>requirements</w:t>
      </w:r>
    </w:p>
    <w:p>
      <w:pPr>
        <w:pStyle w:val="BodyText"/>
        <w:spacing w:before="252"/>
        <w:ind w:left="100"/>
      </w:pPr>
      <w:r>
        <w:rPr/>
        <w:t>Under Division 2 - Budget Process Section 94 of the Local Government Act 2020, Council must prepare a budget for each financial year and the subsequent 3 financial years:</w:t>
      </w:r>
    </w:p>
    <w:p>
      <w:pPr>
        <w:pStyle w:val="BodyText"/>
        <w:spacing w:line="251" w:lineRule="exact"/>
        <w:ind w:left="100"/>
      </w:pPr>
      <w:r>
        <w:rPr/>
        <w:t>Section</w:t>
      </w:r>
      <w:r>
        <w:rPr>
          <w:spacing w:val="-2"/>
        </w:rPr>
        <w:t> </w:t>
      </w:r>
      <w:r>
        <w:rPr/>
        <w:t>94</w:t>
      </w:r>
      <w:r>
        <w:rPr>
          <w:spacing w:val="-2"/>
        </w:rPr>
        <w:t> </w:t>
      </w:r>
      <w:r>
        <w:rPr/>
        <w:t>of</w:t>
      </w:r>
      <w:r>
        <w:rPr>
          <w:spacing w:val="-2"/>
        </w:rPr>
        <w:t> </w:t>
      </w:r>
      <w:r>
        <w:rPr/>
        <w:t>the</w:t>
      </w:r>
      <w:r>
        <w:rPr>
          <w:spacing w:val="-3"/>
        </w:rPr>
        <w:t> </w:t>
      </w:r>
      <w:r>
        <w:rPr/>
        <w:t>Act</w:t>
      </w:r>
      <w:r>
        <w:rPr>
          <w:spacing w:val="-4"/>
        </w:rPr>
        <w:t> </w:t>
      </w:r>
      <w:r>
        <w:rPr/>
        <w:t>requires </w:t>
      </w:r>
      <w:r>
        <w:rPr>
          <w:spacing w:val="-4"/>
        </w:rPr>
        <w:t>that:</w:t>
      </w:r>
    </w:p>
    <w:p>
      <w:pPr>
        <w:pStyle w:val="ListParagraph"/>
        <w:numPr>
          <w:ilvl w:val="0"/>
          <w:numId w:val="2"/>
        </w:numPr>
        <w:tabs>
          <w:tab w:pos="666" w:val="left" w:leader="none"/>
          <w:tab w:pos="667" w:val="left" w:leader="none"/>
        </w:tabs>
        <w:spacing w:line="237" w:lineRule="auto" w:before="4" w:after="0"/>
        <w:ind w:left="666" w:right="116" w:hanging="567"/>
        <w:jc w:val="left"/>
        <w:rPr>
          <w:rFonts w:ascii="Symbol" w:hAnsi="Symbol"/>
          <w:sz w:val="22"/>
        </w:rPr>
      </w:pPr>
      <w:r>
        <w:rPr>
          <w:sz w:val="22"/>
        </w:rPr>
        <w:t>a</w:t>
      </w:r>
      <w:r>
        <w:rPr>
          <w:spacing w:val="-14"/>
          <w:sz w:val="22"/>
        </w:rPr>
        <w:t> </w:t>
      </w:r>
      <w:r>
        <w:rPr>
          <w:sz w:val="22"/>
        </w:rPr>
        <w:t>Council</w:t>
      </w:r>
      <w:r>
        <w:rPr>
          <w:spacing w:val="-15"/>
          <w:sz w:val="22"/>
        </w:rPr>
        <w:t> </w:t>
      </w:r>
      <w:r>
        <w:rPr>
          <w:sz w:val="22"/>
        </w:rPr>
        <w:t>must</w:t>
      </w:r>
      <w:r>
        <w:rPr>
          <w:spacing w:val="-12"/>
          <w:sz w:val="22"/>
        </w:rPr>
        <w:t> </w:t>
      </w:r>
      <w:r>
        <w:rPr>
          <w:sz w:val="22"/>
        </w:rPr>
        <w:t>prepare</w:t>
      </w:r>
      <w:r>
        <w:rPr>
          <w:spacing w:val="-16"/>
          <w:sz w:val="22"/>
        </w:rPr>
        <w:t> </w:t>
      </w:r>
      <w:r>
        <w:rPr>
          <w:sz w:val="22"/>
        </w:rPr>
        <w:t>and</w:t>
      </w:r>
      <w:r>
        <w:rPr>
          <w:spacing w:val="-12"/>
          <w:sz w:val="22"/>
        </w:rPr>
        <w:t> </w:t>
      </w:r>
      <w:r>
        <w:rPr>
          <w:sz w:val="22"/>
        </w:rPr>
        <w:t>adopt</w:t>
      </w:r>
      <w:r>
        <w:rPr>
          <w:spacing w:val="-12"/>
          <w:sz w:val="22"/>
        </w:rPr>
        <w:t> </w:t>
      </w:r>
      <w:r>
        <w:rPr>
          <w:sz w:val="22"/>
        </w:rPr>
        <w:t>a</w:t>
      </w:r>
      <w:r>
        <w:rPr>
          <w:spacing w:val="-13"/>
          <w:sz w:val="22"/>
        </w:rPr>
        <w:t> </w:t>
      </w:r>
      <w:r>
        <w:rPr>
          <w:sz w:val="22"/>
        </w:rPr>
        <w:t>budget</w:t>
      </w:r>
      <w:r>
        <w:rPr>
          <w:spacing w:val="-15"/>
          <w:sz w:val="22"/>
        </w:rPr>
        <w:t> </w:t>
      </w:r>
      <w:r>
        <w:rPr>
          <w:sz w:val="22"/>
        </w:rPr>
        <w:t>for</w:t>
      </w:r>
      <w:r>
        <w:rPr>
          <w:spacing w:val="-11"/>
          <w:sz w:val="22"/>
        </w:rPr>
        <w:t> </w:t>
      </w:r>
      <w:r>
        <w:rPr>
          <w:sz w:val="22"/>
        </w:rPr>
        <w:t>each</w:t>
      </w:r>
      <w:r>
        <w:rPr>
          <w:spacing w:val="-13"/>
          <w:sz w:val="22"/>
        </w:rPr>
        <w:t> </w:t>
      </w:r>
      <w:r>
        <w:rPr>
          <w:sz w:val="22"/>
        </w:rPr>
        <w:t>financial</w:t>
      </w:r>
      <w:r>
        <w:rPr>
          <w:spacing w:val="-15"/>
          <w:sz w:val="22"/>
        </w:rPr>
        <w:t> </w:t>
      </w:r>
      <w:r>
        <w:rPr>
          <w:sz w:val="22"/>
        </w:rPr>
        <w:t>year</w:t>
      </w:r>
      <w:r>
        <w:rPr>
          <w:spacing w:val="-13"/>
          <w:sz w:val="22"/>
        </w:rPr>
        <w:t> </w:t>
      </w:r>
      <w:r>
        <w:rPr>
          <w:sz w:val="22"/>
        </w:rPr>
        <w:t>and</w:t>
      </w:r>
      <w:r>
        <w:rPr>
          <w:spacing w:val="-15"/>
          <w:sz w:val="22"/>
        </w:rPr>
        <w:t> </w:t>
      </w:r>
      <w:r>
        <w:rPr>
          <w:sz w:val="22"/>
        </w:rPr>
        <w:t>the</w:t>
      </w:r>
      <w:r>
        <w:rPr>
          <w:spacing w:val="-14"/>
          <w:sz w:val="22"/>
        </w:rPr>
        <w:t> </w:t>
      </w:r>
      <w:r>
        <w:rPr>
          <w:sz w:val="22"/>
        </w:rPr>
        <w:t>subsequent</w:t>
      </w:r>
      <w:r>
        <w:rPr>
          <w:spacing w:val="-13"/>
          <w:sz w:val="22"/>
        </w:rPr>
        <w:t> </w:t>
      </w:r>
      <w:r>
        <w:rPr>
          <w:sz w:val="22"/>
        </w:rPr>
        <w:t>3</w:t>
      </w:r>
      <w:r>
        <w:rPr>
          <w:spacing w:val="-15"/>
          <w:sz w:val="22"/>
        </w:rPr>
        <w:t> </w:t>
      </w:r>
      <w:r>
        <w:rPr>
          <w:sz w:val="22"/>
        </w:rPr>
        <w:t>financial</w:t>
      </w:r>
      <w:r>
        <w:rPr>
          <w:spacing w:val="-15"/>
          <w:sz w:val="22"/>
        </w:rPr>
        <w:t> </w:t>
      </w:r>
      <w:r>
        <w:rPr>
          <w:sz w:val="22"/>
        </w:rPr>
        <w:t>years by 30 June each year (or any other date fixed by the Minister for Local Government).</w:t>
      </w:r>
      <w:r>
        <w:rPr>
          <w:sz w:val="22"/>
          <w:vertAlign w:val="superscript"/>
        </w:rPr>
        <w:t>1</w:t>
      </w:r>
    </w:p>
    <w:p>
      <w:pPr>
        <w:pStyle w:val="ListParagraph"/>
        <w:numPr>
          <w:ilvl w:val="0"/>
          <w:numId w:val="2"/>
        </w:numPr>
        <w:tabs>
          <w:tab w:pos="666" w:val="left" w:leader="none"/>
          <w:tab w:pos="667" w:val="left" w:leader="none"/>
        </w:tabs>
        <w:spacing w:line="237" w:lineRule="auto" w:before="3" w:after="0"/>
        <w:ind w:left="666" w:right="116" w:hanging="567"/>
        <w:jc w:val="left"/>
        <w:rPr>
          <w:rFonts w:ascii="Symbol" w:hAnsi="Symbol"/>
          <w:sz w:val="22"/>
        </w:rPr>
      </w:pPr>
      <w:r>
        <w:rPr>
          <w:sz w:val="22"/>
        </w:rPr>
        <w:t>a</w:t>
      </w:r>
      <w:r>
        <w:rPr>
          <w:spacing w:val="-16"/>
          <w:sz w:val="22"/>
        </w:rPr>
        <w:t> </w:t>
      </w:r>
      <w:r>
        <w:rPr>
          <w:sz w:val="22"/>
        </w:rPr>
        <w:t>Council</w:t>
      </w:r>
      <w:r>
        <w:rPr>
          <w:spacing w:val="-15"/>
          <w:sz w:val="22"/>
        </w:rPr>
        <w:t> </w:t>
      </w:r>
      <w:r>
        <w:rPr>
          <w:sz w:val="22"/>
        </w:rPr>
        <w:t>must</w:t>
      </w:r>
      <w:r>
        <w:rPr>
          <w:spacing w:val="-15"/>
          <w:sz w:val="22"/>
        </w:rPr>
        <w:t> </w:t>
      </w:r>
      <w:r>
        <w:rPr>
          <w:sz w:val="22"/>
        </w:rPr>
        <w:t>ensure</w:t>
      </w:r>
      <w:r>
        <w:rPr>
          <w:spacing w:val="-16"/>
          <w:sz w:val="22"/>
        </w:rPr>
        <w:t> </w:t>
      </w:r>
      <w:r>
        <w:rPr>
          <w:sz w:val="22"/>
        </w:rPr>
        <w:t>that</w:t>
      </w:r>
      <w:r>
        <w:rPr>
          <w:spacing w:val="-15"/>
          <w:sz w:val="22"/>
        </w:rPr>
        <w:t> </w:t>
      </w:r>
      <w:r>
        <w:rPr>
          <w:sz w:val="22"/>
        </w:rPr>
        <w:t>the</w:t>
      </w:r>
      <w:r>
        <w:rPr>
          <w:spacing w:val="-15"/>
          <w:sz w:val="22"/>
        </w:rPr>
        <w:t> </w:t>
      </w:r>
      <w:r>
        <w:rPr>
          <w:sz w:val="22"/>
        </w:rPr>
        <w:t>budget</w:t>
      </w:r>
      <w:r>
        <w:rPr>
          <w:spacing w:val="-15"/>
          <w:sz w:val="22"/>
        </w:rPr>
        <w:t> </w:t>
      </w:r>
      <w:r>
        <w:rPr>
          <w:sz w:val="22"/>
        </w:rPr>
        <w:t>gives</w:t>
      </w:r>
      <w:r>
        <w:rPr>
          <w:spacing w:val="-16"/>
          <w:sz w:val="22"/>
        </w:rPr>
        <w:t> </w:t>
      </w:r>
      <w:r>
        <w:rPr>
          <w:sz w:val="22"/>
        </w:rPr>
        <w:t>effect</w:t>
      </w:r>
      <w:r>
        <w:rPr>
          <w:spacing w:val="-15"/>
          <w:sz w:val="22"/>
        </w:rPr>
        <w:t> </w:t>
      </w:r>
      <w:r>
        <w:rPr>
          <w:sz w:val="22"/>
        </w:rPr>
        <w:t>to</w:t>
      </w:r>
      <w:r>
        <w:rPr>
          <w:spacing w:val="-15"/>
          <w:sz w:val="22"/>
        </w:rPr>
        <w:t> </w:t>
      </w:r>
      <w:r>
        <w:rPr>
          <w:sz w:val="22"/>
        </w:rPr>
        <w:t>the</w:t>
      </w:r>
      <w:r>
        <w:rPr>
          <w:spacing w:val="-16"/>
          <w:sz w:val="22"/>
        </w:rPr>
        <w:t> </w:t>
      </w:r>
      <w:r>
        <w:rPr>
          <w:sz w:val="22"/>
        </w:rPr>
        <w:t>Council</w:t>
      </w:r>
      <w:r>
        <w:rPr>
          <w:spacing w:val="-15"/>
          <w:sz w:val="22"/>
        </w:rPr>
        <w:t> </w:t>
      </w:r>
      <w:r>
        <w:rPr>
          <w:sz w:val="22"/>
        </w:rPr>
        <w:t>Plan</w:t>
      </w:r>
      <w:r>
        <w:rPr>
          <w:spacing w:val="-15"/>
          <w:sz w:val="22"/>
        </w:rPr>
        <w:t> </w:t>
      </w:r>
      <w:r>
        <w:rPr>
          <w:sz w:val="22"/>
        </w:rPr>
        <w:t>and</w:t>
      </w:r>
      <w:r>
        <w:rPr>
          <w:spacing w:val="-15"/>
          <w:sz w:val="22"/>
        </w:rPr>
        <w:t> </w:t>
      </w:r>
      <w:r>
        <w:rPr>
          <w:sz w:val="22"/>
        </w:rPr>
        <w:t>contains</w:t>
      </w:r>
      <w:r>
        <w:rPr>
          <w:spacing w:val="-16"/>
          <w:sz w:val="22"/>
        </w:rPr>
        <w:t> </w:t>
      </w:r>
      <w:r>
        <w:rPr>
          <w:sz w:val="22"/>
        </w:rPr>
        <w:t>financial</w:t>
      </w:r>
      <w:r>
        <w:rPr>
          <w:spacing w:val="-15"/>
          <w:sz w:val="22"/>
        </w:rPr>
        <w:t> </w:t>
      </w:r>
      <w:r>
        <w:rPr>
          <w:sz w:val="22"/>
        </w:rPr>
        <w:t>statements in the form and containing the information required by the regulations.</w:t>
      </w:r>
      <w:r>
        <w:rPr>
          <w:sz w:val="22"/>
          <w:vertAlign w:val="superscript"/>
        </w:rPr>
        <w:t>2</w:t>
      </w:r>
    </w:p>
    <w:p>
      <w:pPr>
        <w:pStyle w:val="ListParagraph"/>
        <w:numPr>
          <w:ilvl w:val="0"/>
          <w:numId w:val="2"/>
        </w:numPr>
        <w:tabs>
          <w:tab w:pos="666" w:val="left" w:leader="none"/>
          <w:tab w:pos="667" w:val="left" w:leader="none"/>
        </w:tabs>
        <w:spacing w:line="269" w:lineRule="exact" w:before="1" w:after="0"/>
        <w:ind w:left="666" w:right="0" w:hanging="567"/>
        <w:jc w:val="left"/>
        <w:rPr>
          <w:rFonts w:ascii="Symbol" w:hAnsi="Symbol"/>
          <w:sz w:val="22"/>
        </w:rPr>
      </w:pPr>
      <w:r>
        <w:rPr>
          <w:sz w:val="22"/>
        </w:rPr>
        <w:t>the</w:t>
      </w:r>
      <w:r>
        <w:rPr>
          <w:spacing w:val="-6"/>
          <w:sz w:val="22"/>
        </w:rPr>
        <w:t> </w:t>
      </w:r>
      <w:r>
        <w:rPr>
          <w:sz w:val="22"/>
        </w:rPr>
        <w:t>budget</w:t>
      </w:r>
      <w:r>
        <w:rPr>
          <w:spacing w:val="-4"/>
          <w:sz w:val="22"/>
        </w:rPr>
        <w:t> </w:t>
      </w:r>
      <w:r>
        <w:rPr>
          <w:sz w:val="22"/>
        </w:rPr>
        <w:t>must</w:t>
      </w:r>
      <w:r>
        <w:rPr>
          <w:spacing w:val="-2"/>
          <w:sz w:val="22"/>
        </w:rPr>
        <w:t> </w:t>
      </w:r>
      <w:r>
        <w:rPr>
          <w:sz w:val="22"/>
        </w:rPr>
        <w:t>include</w:t>
      </w:r>
      <w:r>
        <w:rPr>
          <w:spacing w:val="-5"/>
          <w:sz w:val="22"/>
        </w:rPr>
        <w:t> </w:t>
      </w:r>
      <w:r>
        <w:rPr>
          <w:sz w:val="22"/>
        </w:rPr>
        <w:t>a</w:t>
      </w:r>
      <w:r>
        <w:rPr>
          <w:spacing w:val="-1"/>
          <w:sz w:val="22"/>
        </w:rPr>
        <w:t> </w:t>
      </w:r>
      <w:r>
        <w:rPr>
          <w:sz w:val="22"/>
        </w:rPr>
        <w:t>general</w:t>
      </w:r>
      <w:r>
        <w:rPr>
          <w:spacing w:val="-3"/>
          <w:sz w:val="22"/>
        </w:rPr>
        <w:t> </w:t>
      </w:r>
      <w:r>
        <w:rPr>
          <w:sz w:val="22"/>
        </w:rPr>
        <w:t>description</w:t>
      </w:r>
      <w:r>
        <w:rPr>
          <w:spacing w:val="-3"/>
          <w:sz w:val="22"/>
        </w:rPr>
        <w:t> </w:t>
      </w:r>
      <w:r>
        <w:rPr>
          <w:sz w:val="22"/>
        </w:rPr>
        <w:t>of</w:t>
      </w:r>
      <w:r>
        <w:rPr>
          <w:spacing w:val="-7"/>
          <w:sz w:val="22"/>
        </w:rPr>
        <w:t> </w:t>
      </w:r>
      <w:r>
        <w:rPr>
          <w:sz w:val="22"/>
        </w:rPr>
        <w:t>services</w:t>
      </w:r>
      <w:r>
        <w:rPr>
          <w:spacing w:val="-1"/>
          <w:sz w:val="22"/>
        </w:rPr>
        <w:t> </w:t>
      </w:r>
      <w:r>
        <w:rPr>
          <w:sz w:val="22"/>
        </w:rPr>
        <w:t>and</w:t>
      </w:r>
      <w:r>
        <w:rPr>
          <w:spacing w:val="-5"/>
          <w:sz w:val="22"/>
        </w:rPr>
        <w:t> </w:t>
      </w:r>
      <w:r>
        <w:rPr>
          <w:sz w:val="22"/>
        </w:rPr>
        <w:t>initiatives</w:t>
      </w:r>
      <w:r>
        <w:rPr>
          <w:spacing w:val="-5"/>
          <w:sz w:val="22"/>
        </w:rPr>
        <w:t> </w:t>
      </w:r>
      <w:r>
        <w:rPr>
          <w:sz w:val="22"/>
        </w:rPr>
        <w:t>to</w:t>
      </w:r>
      <w:r>
        <w:rPr>
          <w:spacing w:val="-5"/>
          <w:sz w:val="22"/>
        </w:rPr>
        <w:t> </w:t>
      </w:r>
      <w:r>
        <w:rPr>
          <w:sz w:val="22"/>
        </w:rPr>
        <w:t>be</w:t>
      </w:r>
      <w:r>
        <w:rPr>
          <w:spacing w:val="-4"/>
          <w:sz w:val="22"/>
        </w:rPr>
        <w:t> </w:t>
      </w:r>
      <w:r>
        <w:rPr>
          <w:spacing w:val="-2"/>
          <w:sz w:val="22"/>
        </w:rPr>
        <w:t>funded.</w:t>
      </w:r>
      <w:r>
        <w:rPr>
          <w:spacing w:val="-2"/>
          <w:sz w:val="22"/>
          <w:vertAlign w:val="superscript"/>
        </w:rPr>
        <w:t>3</w:t>
      </w:r>
    </w:p>
    <w:p>
      <w:pPr>
        <w:pStyle w:val="ListParagraph"/>
        <w:numPr>
          <w:ilvl w:val="0"/>
          <w:numId w:val="2"/>
        </w:numPr>
        <w:tabs>
          <w:tab w:pos="667" w:val="left" w:leader="none"/>
        </w:tabs>
        <w:spacing w:line="237" w:lineRule="auto" w:before="2" w:after="0"/>
        <w:ind w:left="666" w:right="117" w:hanging="567"/>
        <w:jc w:val="both"/>
        <w:rPr>
          <w:rFonts w:ascii="Symbol" w:hAnsi="Symbol"/>
          <w:sz w:val="22"/>
        </w:rPr>
      </w:pPr>
      <w:r>
        <w:rPr>
          <w:sz w:val="22"/>
        </w:rPr>
        <w:t>the</w:t>
      </w:r>
      <w:r>
        <w:rPr>
          <w:spacing w:val="-4"/>
          <w:sz w:val="22"/>
        </w:rPr>
        <w:t> </w:t>
      </w:r>
      <w:r>
        <w:rPr>
          <w:sz w:val="22"/>
        </w:rPr>
        <w:t>budget</w:t>
      </w:r>
      <w:r>
        <w:rPr>
          <w:spacing w:val="-4"/>
          <w:sz w:val="22"/>
        </w:rPr>
        <w:t> </w:t>
      </w:r>
      <w:r>
        <w:rPr>
          <w:sz w:val="22"/>
        </w:rPr>
        <w:t>must</w:t>
      </w:r>
      <w:r>
        <w:rPr>
          <w:spacing w:val="-2"/>
          <w:sz w:val="22"/>
        </w:rPr>
        <w:t> </w:t>
      </w:r>
      <w:r>
        <w:rPr>
          <w:sz w:val="22"/>
        </w:rPr>
        <w:t>identify</w:t>
      </w:r>
      <w:r>
        <w:rPr>
          <w:spacing w:val="-4"/>
          <w:sz w:val="22"/>
        </w:rPr>
        <w:t> </w:t>
      </w:r>
      <w:r>
        <w:rPr>
          <w:sz w:val="22"/>
        </w:rPr>
        <w:t>major</w:t>
      </w:r>
      <w:r>
        <w:rPr>
          <w:spacing w:val="-4"/>
          <w:sz w:val="22"/>
        </w:rPr>
        <w:t> </w:t>
      </w:r>
      <w:r>
        <w:rPr>
          <w:sz w:val="22"/>
        </w:rPr>
        <w:t>initiatives</w:t>
      </w:r>
      <w:r>
        <w:rPr>
          <w:spacing w:val="-6"/>
          <w:sz w:val="22"/>
        </w:rPr>
        <w:t> </w:t>
      </w:r>
      <w:r>
        <w:rPr>
          <w:sz w:val="22"/>
        </w:rPr>
        <w:t>identified</w:t>
      </w:r>
      <w:r>
        <w:rPr>
          <w:spacing w:val="-6"/>
          <w:sz w:val="22"/>
        </w:rPr>
        <w:t> </w:t>
      </w:r>
      <w:r>
        <w:rPr>
          <w:sz w:val="22"/>
        </w:rPr>
        <w:t>by</w:t>
      </w:r>
      <w:r>
        <w:rPr>
          <w:spacing w:val="-6"/>
          <w:sz w:val="22"/>
        </w:rPr>
        <w:t> </w:t>
      </w:r>
      <w:r>
        <w:rPr>
          <w:sz w:val="22"/>
        </w:rPr>
        <w:t>the</w:t>
      </w:r>
      <w:r>
        <w:rPr>
          <w:spacing w:val="-4"/>
          <w:sz w:val="22"/>
        </w:rPr>
        <w:t> </w:t>
      </w:r>
      <w:r>
        <w:rPr>
          <w:sz w:val="22"/>
        </w:rPr>
        <w:t>Council</w:t>
      </w:r>
      <w:r>
        <w:rPr>
          <w:spacing w:val="-7"/>
          <w:sz w:val="22"/>
        </w:rPr>
        <w:t> </w:t>
      </w:r>
      <w:r>
        <w:rPr>
          <w:sz w:val="22"/>
        </w:rPr>
        <w:t>as</w:t>
      </w:r>
      <w:r>
        <w:rPr>
          <w:spacing w:val="-4"/>
          <w:sz w:val="22"/>
        </w:rPr>
        <w:t> </w:t>
      </w:r>
      <w:r>
        <w:rPr>
          <w:sz w:val="22"/>
        </w:rPr>
        <w:t>priorities</w:t>
      </w:r>
      <w:r>
        <w:rPr>
          <w:spacing w:val="-4"/>
          <w:sz w:val="22"/>
        </w:rPr>
        <w:t> </w:t>
      </w:r>
      <w:r>
        <w:rPr>
          <w:sz w:val="22"/>
        </w:rPr>
        <w:t>in</w:t>
      </w:r>
      <w:r>
        <w:rPr>
          <w:spacing w:val="-8"/>
          <w:sz w:val="22"/>
        </w:rPr>
        <w:t> </w:t>
      </w:r>
      <w:r>
        <w:rPr>
          <w:sz w:val="22"/>
        </w:rPr>
        <w:t>the</w:t>
      </w:r>
      <w:r>
        <w:rPr>
          <w:spacing w:val="-4"/>
          <w:sz w:val="22"/>
        </w:rPr>
        <w:t> </w:t>
      </w:r>
      <w:r>
        <w:rPr>
          <w:sz w:val="22"/>
        </w:rPr>
        <w:t>Council</w:t>
      </w:r>
      <w:r>
        <w:rPr>
          <w:spacing w:val="-7"/>
          <w:sz w:val="22"/>
        </w:rPr>
        <w:t> </w:t>
      </w:r>
      <w:r>
        <w:rPr>
          <w:sz w:val="22"/>
        </w:rPr>
        <w:t>Plan</w:t>
      </w:r>
      <w:r>
        <w:rPr>
          <w:spacing w:val="-5"/>
          <w:sz w:val="22"/>
        </w:rPr>
        <w:t> </w:t>
      </w:r>
      <w:r>
        <w:rPr>
          <w:sz w:val="22"/>
        </w:rPr>
        <w:t>to</w:t>
      </w:r>
      <w:r>
        <w:rPr>
          <w:spacing w:val="-5"/>
          <w:sz w:val="22"/>
        </w:rPr>
        <w:t> </w:t>
      </w:r>
      <w:r>
        <w:rPr>
          <w:sz w:val="22"/>
        </w:rPr>
        <w:t>be undertaken during each financial year.</w:t>
      </w:r>
      <w:r>
        <w:rPr>
          <w:sz w:val="22"/>
          <w:vertAlign w:val="superscript"/>
        </w:rPr>
        <w:t>4</w:t>
      </w:r>
    </w:p>
    <w:p>
      <w:pPr>
        <w:pStyle w:val="ListParagraph"/>
        <w:numPr>
          <w:ilvl w:val="0"/>
          <w:numId w:val="2"/>
        </w:numPr>
        <w:tabs>
          <w:tab w:pos="667" w:val="left" w:leader="none"/>
        </w:tabs>
        <w:spacing w:line="237" w:lineRule="auto" w:before="4" w:after="0"/>
        <w:ind w:left="666" w:right="119" w:hanging="567"/>
        <w:jc w:val="both"/>
        <w:rPr>
          <w:rFonts w:ascii="Symbol" w:hAnsi="Symbol"/>
          <w:sz w:val="22"/>
        </w:rPr>
      </w:pPr>
      <w:r>
        <w:rPr>
          <w:sz w:val="22"/>
        </w:rPr>
        <w:t>the budget must contain, for services to be funded in the budget, the prescribed indicators and measures of service performance that must be reported against in the performance statement.</w:t>
      </w:r>
      <w:r>
        <w:rPr>
          <w:sz w:val="22"/>
          <w:vertAlign w:val="superscript"/>
        </w:rPr>
        <w:t>5</w:t>
      </w:r>
    </w:p>
    <w:p>
      <w:pPr>
        <w:pStyle w:val="ListParagraph"/>
        <w:numPr>
          <w:ilvl w:val="0"/>
          <w:numId w:val="2"/>
        </w:numPr>
        <w:tabs>
          <w:tab w:pos="667" w:val="left" w:leader="none"/>
        </w:tabs>
        <w:spacing w:line="237" w:lineRule="auto" w:before="3" w:after="0"/>
        <w:ind w:left="666" w:right="114" w:hanging="567"/>
        <w:jc w:val="both"/>
        <w:rPr>
          <w:rFonts w:ascii="Symbol" w:hAnsi="Symbol"/>
          <w:sz w:val="22"/>
        </w:rPr>
      </w:pPr>
      <w:r>
        <w:rPr>
          <w:sz w:val="22"/>
        </w:rPr>
        <w:t>the</w:t>
      </w:r>
      <w:r>
        <w:rPr>
          <w:spacing w:val="-5"/>
          <w:sz w:val="22"/>
        </w:rPr>
        <w:t> </w:t>
      </w:r>
      <w:r>
        <w:rPr>
          <w:sz w:val="22"/>
        </w:rPr>
        <w:t>budget</w:t>
      </w:r>
      <w:r>
        <w:rPr>
          <w:spacing w:val="-5"/>
          <w:sz w:val="22"/>
        </w:rPr>
        <w:t> </w:t>
      </w:r>
      <w:r>
        <w:rPr>
          <w:sz w:val="22"/>
        </w:rPr>
        <w:t>must</w:t>
      </w:r>
      <w:r>
        <w:rPr>
          <w:spacing w:val="-7"/>
          <w:sz w:val="22"/>
        </w:rPr>
        <w:t> </w:t>
      </w:r>
      <w:r>
        <w:rPr>
          <w:sz w:val="22"/>
        </w:rPr>
        <w:t>contain</w:t>
      </w:r>
      <w:r>
        <w:rPr>
          <w:spacing w:val="-9"/>
          <w:sz w:val="22"/>
        </w:rPr>
        <w:t> </w:t>
      </w:r>
      <w:r>
        <w:rPr>
          <w:sz w:val="22"/>
        </w:rPr>
        <w:t>the</w:t>
      </w:r>
      <w:r>
        <w:rPr>
          <w:spacing w:val="-5"/>
          <w:sz w:val="22"/>
        </w:rPr>
        <w:t> </w:t>
      </w:r>
      <w:r>
        <w:rPr>
          <w:sz w:val="22"/>
        </w:rPr>
        <w:t>total</w:t>
      </w:r>
      <w:r>
        <w:rPr>
          <w:spacing w:val="-5"/>
          <w:sz w:val="22"/>
        </w:rPr>
        <w:t> </w:t>
      </w:r>
      <w:r>
        <w:rPr>
          <w:sz w:val="22"/>
        </w:rPr>
        <w:t>amount</w:t>
      </w:r>
      <w:r>
        <w:rPr>
          <w:spacing w:val="-3"/>
          <w:sz w:val="22"/>
        </w:rPr>
        <w:t> </w:t>
      </w:r>
      <w:r>
        <w:rPr>
          <w:sz w:val="22"/>
        </w:rPr>
        <w:t>which</w:t>
      </w:r>
      <w:r>
        <w:rPr>
          <w:spacing w:val="-7"/>
          <w:sz w:val="22"/>
        </w:rPr>
        <w:t> </w:t>
      </w:r>
      <w:r>
        <w:rPr>
          <w:sz w:val="22"/>
        </w:rPr>
        <w:t>the</w:t>
      </w:r>
      <w:r>
        <w:rPr>
          <w:spacing w:val="-7"/>
          <w:sz w:val="22"/>
        </w:rPr>
        <w:t> </w:t>
      </w:r>
      <w:r>
        <w:rPr>
          <w:sz w:val="22"/>
        </w:rPr>
        <w:t>council</w:t>
      </w:r>
      <w:r>
        <w:rPr>
          <w:spacing w:val="-8"/>
          <w:sz w:val="22"/>
        </w:rPr>
        <w:t> </w:t>
      </w:r>
      <w:r>
        <w:rPr>
          <w:sz w:val="22"/>
        </w:rPr>
        <w:t>intends</w:t>
      </w:r>
      <w:r>
        <w:rPr>
          <w:spacing w:val="-5"/>
          <w:sz w:val="22"/>
        </w:rPr>
        <w:t> </w:t>
      </w:r>
      <w:r>
        <w:rPr>
          <w:sz w:val="22"/>
        </w:rPr>
        <w:t>to</w:t>
      </w:r>
      <w:r>
        <w:rPr>
          <w:spacing w:val="-9"/>
          <w:sz w:val="22"/>
        </w:rPr>
        <w:t> </w:t>
      </w:r>
      <w:r>
        <w:rPr>
          <w:sz w:val="22"/>
        </w:rPr>
        <w:t>raise</w:t>
      </w:r>
      <w:r>
        <w:rPr>
          <w:spacing w:val="-9"/>
          <w:sz w:val="22"/>
        </w:rPr>
        <w:t> </w:t>
      </w:r>
      <w:r>
        <w:rPr>
          <w:sz w:val="22"/>
        </w:rPr>
        <w:t>by</w:t>
      </w:r>
      <w:r>
        <w:rPr>
          <w:spacing w:val="-3"/>
          <w:sz w:val="22"/>
        </w:rPr>
        <w:t> </w:t>
      </w:r>
      <w:r>
        <w:rPr>
          <w:sz w:val="22"/>
        </w:rPr>
        <w:t>general</w:t>
      </w:r>
      <w:r>
        <w:rPr>
          <w:spacing w:val="-7"/>
          <w:sz w:val="22"/>
        </w:rPr>
        <w:t> </w:t>
      </w:r>
      <w:r>
        <w:rPr>
          <w:sz w:val="22"/>
        </w:rPr>
        <w:t>rates,</w:t>
      </w:r>
      <w:r>
        <w:rPr>
          <w:spacing w:val="-5"/>
          <w:sz w:val="22"/>
        </w:rPr>
        <w:t> </w:t>
      </w:r>
      <w:r>
        <w:rPr>
          <w:sz w:val="22"/>
        </w:rPr>
        <w:t>municipal charges,</w:t>
      </w:r>
      <w:r>
        <w:rPr>
          <w:spacing w:val="-1"/>
          <w:sz w:val="22"/>
        </w:rPr>
        <w:t> </w:t>
      </w:r>
      <w:r>
        <w:rPr>
          <w:sz w:val="22"/>
        </w:rPr>
        <w:t>service</w:t>
      </w:r>
      <w:r>
        <w:rPr>
          <w:spacing w:val="-4"/>
          <w:sz w:val="22"/>
        </w:rPr>
        <w:t> </w:t>
      </w:r>
      <w:r>
        <w:rPr>
          <w:sz w:val="22"/>
        </w:rPr>
        <w:t>rates</w:t>
      </w:r>
      <w:r>
        <w:rPr>
          <w:spacing w:val="-2"/>
          <w:sz w:val="22"/>
        </w:rPr>
        <w:t> </w:t>
      </w:r>
      <w:r>
        <w:rPr>
          <w:sz w:val="22"/>
        </w:rPr>
        <w:t>and</w:t>
      </w:r>
      <w:r>
        <w:rPr>
          <w:spacing w:val="-1"/>
          <w:sz w:val="22"/>
        </w:rPr>
        <w:t> </w:t>
      </w:r>
      <w:r>
        <w:rPr>
          <w:sz w:val="22"/>
        </w:rPr>
        <w:t>service</w:t>
      </w:r>
      <w:r>
        <w:rPr>
          <w:spacing w:val="-1"/>
          <w:sz w:val="22"/>
        </w:rPr>
        <w:t> </w:t>
      </w:r>
      <w:r>
        <w:rPr>
          <w:sz w:val="22"/>
        </w:rPr>
        <w:t>charges</w:t>
      </w:r>
      <w:r>
        <w:rPr>
          <w:spacing w:val="-2"/>
          <w:sz w:val="22"/>
        </w:rPr>
        <w:t> </w:t>
      </w:r>
      <w:r>
        <w:rPr>
          <w:sz w:val="22"/>
        </w:rPr>
        <w:t>and</w:t>
      </w:r>
      <w:r>
        <w:rPr>
          <w:spacing w:val="-4"/>
          <w:sz w:val="22"/>
        </w:rPr>
        <w:t> </w:t>
      </w:r>
      <w:r>
        <w:rPr>
          <w:sz w:val="22"/>
        </w:rPr>
        <w:t>whether</w:t>
      </w:r>
      <w:r>
        <w:rPr>
          <w:spacing w:val="-2"/>
          <w:sz w:val="22"/>
        </w:rPr>
        <w:t> </w:t>
      </w:r>
      <w:r>
        <w:rPr>
          <w:sz w:val="22"/>
        </w:rPr>
        <w:t>general</w:t>
      </w:r>
      <w:r>
        <w:rPr>
          <w:spacing w:val="-4"/>
          <w:sz w:val="22"/>
        </w:rPr>
        <w:t> </w:t>
      </w:r>
      <w:r>
        <w:rPr>
          <w:sz w:val="22"/>
        </w:rPr>
        <w:t>rates</w:t>
      </w:r>
      <w:r>
        <w:rPr>
          <w:spacing w:val="-2"/>
          <w:sz w:val="22"/>
        </w:rPr>
        <w:t> </w:t>
      </w:r>
      <w:r>
        <w:rPr>
          <w:sz w:val="22"/>
        </w:rPr>
        <w:t>will</w:t>
      </w:r>
      <w:r>
        <w:rPr>
          <w:spacing w:val="-2"/>
          <w:sz w:val="22"/>
        </w:rPr>
        <w:t> </w:t>
      </w:r>
      <w:r>
        <w:rPr>
          <w:sz w:val="22"/>
        </w:rPr>
        <w:t>be</w:t>
      </w:r>
      <w:r>
        <w:rPr>
          <w:spacing w:val="-4"/>
          <w:sz w:val="22"/>
        </w:rPr>
        <w:t> </w:t>
      </w:r>
      <w:r>
        <w:rPr>
          <w:sz w:val="22"/>
        </w:rPr>
        <w:t>raised</w:t>
      </w:r>
      <w:r>
        <w:rPr>
          <w:spacing w:val="-2"/>
          <w:sz w:val="22"/>
        </w:rPr>
        <w:t> </w:t>
      </w:r>
      <w:r>
        <w:rPr>
          <w:sz w:val="22"/>
        </w:rPr>
        <w:t>by</w:t>
      </w:r>
      <w:r>
        <w:rPr>
          <w:spacing w:val="-6"/>
          <w:sz w:val="22"/>
        </w:rPr>
        <w:t> </w:t>
      </w:r>
      <w:r>
        <w:rPr>
          <w:sz w:val="22"/>
        </w:rPr>
        <w:t>the</w:t>
      </w:r>
      <w:r>
        <w:rPr>
          <w:spacing w:val="-2"/>
          <w:sz w:val="22"/>
        </w:rPr>
        <w:t> </w:t>
      </w:r>
      <w:r>
        <w:rPr>
          <w:sz w:val="22"/>
        </w:rPr>
        <w:t>application of a uniform rate, differential rate or limited differential rate.</w:t>
      </w:r>
      <w:r>
        <w:rPr>
          <w:spacing w:val="-16"/>
          <w:sz w:val="22"/>
        </w:rPr>
        <w:t> </w:t>
      </w:r>
      <w:r>
        <w:rPr>
          <w:sz w:val="22"/>
          <w:vertAlign w:val="superscript"/>
        </w:rPr>
        <w:t>6</w:t>
      </w:r>
    </w:p>
    <w:p>
      <w:pPr>
        <w:pStyle w:val="ListParagraph"/>
        <w:numPr>
          <w:ilvl w:val="0"/>
          <w:numId w:val="2"/>
        </w:numPr>
        <w:tabs>
          <w:tab w:pos="667" w:val="left" w:leader="none"/>
        </w:tabs>
        <w:spacing w:line="269" w:lineRule="exact" w:before="3" w:after="0"/>
        <w:ind w:left="666" w:right="0" w:hanging="567"/>
        <w:jc w:val="both"/>
        <w:rPr>
          <w:rFonts w:ascii="Symbol" w:hAnsi="Symbol"/>
          <w:sz w:val="22"/>
        </w:rPr>
      </w:pPr>
      <w:r>
        <w:rPr>
          <w:sz w:val="22"/>
        </w:rPr>
        <w:t>the</w:t>
      </w:r>
      <w:r>
        <w:rPr>
          <w:spacing w:val="-5"/>
          <w:sz w:val="22"/>
        </w:rPr>
        <w:t> </w:t>
      </w:r>
      <w:r>
        <w:rPr>
          <w:sz w:val="22"/>
        </w:rPr>
        <w:t>budget</w:t>
      </w:r>
      <w:r>
        <w:rPr>
          <w:spacing w:val="-5"/>
          <w:sz w:val="22"/>
        </w:rPr>
        <w:t> </w:t>
      </w:r>
      <w:r>
        <w:rPr>
          <w:sz w:val="22"/>
        </w:rPr>
        <w:t>must</w:t>
      </w:r>
      <w:r>
        <w:rPr>
          <w:spacing w:val="-1"/>
          <w:sz w:val="22"/>
        </w:rPr>
        <w:t> </w:t>
      </w:r>
      <w:r>
        <w:rPr>
          <w:sz w:val="22"/>
        </w:rPr>
        <w:t>include</w:t>
      </w:r>
      <w:r>
        <w:rPr>
          <w:spacing w:val="-5"/>
          <w:sz w:val="22"/>
        </w:rPr>
        <w:t> </w:t>
      </w:r>
      <w:r>
        <w:rPr>
          <w:sz w:val="22"/>
        </w:rPr>
        <w:t>a</w:t>
      </w:r>
      <w:r>
        <w:rPr>
          <w:spacing w:val="-1"/>
          <w:sz w:val="22"/>
        </w:rPr>
        <w:t> </w:t>
      </w:r>
      <w:r>
        <w:rPr>
          <w:sz w:val="22"/>
        </w:rPr>
        <w:t>description</w:t>
      </w:r>
      <w:r>
        <w:rPr>
          <w:spacing w:val="-2"/>
          <w:sz w:val="22"/>
        </w:rPr>
        <w:t> </w:t>
      </w:r>
      <w:r>
        <w:rPr>
          <w:sz w:val="22"/>
        </w:rPr>
        <w:t>of</w:t>
      </w:r>
      <w:r>
        <w:rPr>
          <w:spacing w:val="-3"/>
          <w:sz w:val="22"/>
        </w:rPr>
        <w:t> </w:t>
      </w:r>
      <w:r>
        <w:rPr>
          <w:sz w:val="22"/>
        </w:rPr>
        <w:t>any</w:t>
      </w:r>
      <w:r>
        <w:rPr>
          <w:spacing w:val="-5"/>
          <w:sz w:val="22"/>
        </w:rPr>
        <w:t> </w:t>
      </w:r>
      <w:r>
        <w:rPr>
          <w:sz w:val="22"/>
        </w:rPr>
        <w:t>fixed</w:t>
      </w:r>
      <w:r>
        <w:rPr>
          <w:spacing w:val="-5"/>
          <w:sz w:val="22"/>
        </w:rPr>
        <w:t> </w:t>
      </w:r>
      <w:r>
        <w:rPr>
          <w:sz w:val="22"/>
        </w:rPr>
        <w:t>component of</w:t>
      </w:r>
      <w:r>
        <w:rPr>
          <w:spacing w:val="-3"/>
          <w:sz w:val="22"/>
        </w:rPr>
        <w:t> </w:t>
      </w:r>
      <w:r>
        <w:rPr>
          <w:sz w:val="22"/>
        </w:rPr>
        <w:t>the</w:t>
      </w:r>
      <w:r>
        <w:rPr>
          <w:spacing w:val="-4"/>
          <w:sz w:val="22"/>
        </w:rPr>
        <w:t> </w:t>
      </w:r>
      <w:r>
        <w:rPr>
          <w:sz w:val="22"/>
        </w:rPr>
        <w:t>rates,</w:t>
      </w:r>
      <w:r>
        <w:rPr>
          <w:spacing w:val="-7"/>
          <w:sz w:val="22"/>
        </w:rPr>
        <w:t> </w:t>
      </w:r>
      <w:r>
        <w:rPr>
          <w:sz w:val="22"/>
        </w:rPr>
        <w:t>if </w:t>
      </w:r>
      <w:r>
        <w:rPr>
          <w:spacing w:val="-2"/>
          <w:sz w:val="22"/>
        </w:rPr>
        <w:t>applicable.</w:t>
      </w:r>
      <w:r>
        <w:rPr>
          <w:spacing w:val="-2"/>
          <w:sz w:val="22"/>
          <w:vertAlign w:val="superscript"/>
        </w:rPr>
        <w:t>7</w:t>
      </w:r>
    </w:p>
    <w:p>
      <w:pPr>
        <w:pStyle w:val="ListParagraph"/>
        <w:numPr>
          <w:ilvl w:val="0"/>
          <w:numId w:val="2"/>
        </w:numPr>
        <w:tabs>
          <w:tab w:pos="667" w:val="left" w:leader="none"/>
        </w:tabs>
        <w:spacing w:line="268" w:lineRule="exact" w:before="0" w:after="0"/>
        <w:ind w:left="666" w:right="0" w:hanging="567"/>
        <w:jc w:val="both"/>
        <w:rPr>
          <w:rFonts w:ascii="Symbol" w:hAnsi="Symbol"/>
          <w:sz w:val="22"/>
        </w:rPr>
      </w:pPr>
      <w:r>
        <w:rPr>
          <w:sz w:val="22"/>
        </w:rPr>
        <w:t>if</w:t>
      </w:r>
      <w:r>
        <w:rPr>
          <w:spacing w:val="-5"/>
          <w:sz w:val="22"/>
        </w:rPr>
        <w:t> </w:t>
      </w:r>
      <w:r>
        <w:rPr>
          <w:sz w:val="22"/>
        </w:rPr>
        <w:t>the</w:t>
      </w:r>
      <w:r>
        <w:rPr>
          <w:spacing w:val="-3"/>
          <w:sz w:val="22"/>
        </w:rPr>
        <w:t> </w:t>
      </w:r>
      <w:r>
        <w:rPr>
          <w:sz w:val="22"/>
        </w:rPr>
        <w:t>council</w:t>
      </w:r>
      <w:r>
        <w:rPr>
          <w:spacing w:val="-3"/>
          <w:sz w:val="22"/>
        </w:rPr>
        <w:t> </w:t>
      </w:r>
      <w:r>
        <w:rPr>
          <w:sz w:val="22"/>
        </w:rPr>
        <w:t>intends</w:t>
      </w:r>
      <w:r>
        <w:rPr>
          <w:spacing w:val="-2"/>
          <w:sz w:val="22"/>
        </w:rPr>
        <w:t> </w:t>
      </w:r>
      <w:r>
        <w:rPr>
          <w:sz w:val="22"/>
        </w:rPr>
        <w:t>to</w:t>
      </w:r>
      <w:r>
        <w:rPr>
          <w:spacing w:val="-3"/>
          <w:sz w:val="22"/>
        </w:rPr>
        <w:t> </w:t>
      </w:r>
      <w:r>
        <w:rPr>
          <w:sz w:val="22"/>
        </w:rPr>
        <w:t>declare</w:t>
      </w:r>
      <w:r>
        <w:rPr>
          <w:spacing w:val="-2"/>
          <w:sz w:val="22"/>
        </w:rPr>
        <w:t> </w:t>
      </w:r>
      <w:r>
        <w:rPr>
          <w:sz w:val="22"/>
        </w:rPr>
        <w:t>a</w:t>
      </w:r>
      <w:r>
        <w:rPr>
          <w:spacing w:val="-4"/>
          <w:sz w:val="22"/>
        </w:rPr>
        <w:t> </w:t>
      </w:r>
      <w:r>
        <w:rPr>
          <w:sz w:val="22"/>
        </w:rPr>
        <w:t>uniform</w:t>
      </w:r>
      <w:r>
        <w:rPr>
          <w:spacing w:val="-4"/>
          <w:sz w:val="22"/>
        </w:rPr>
        <w:t> </w:t>
      </w:r>
      <w:r>
        <w:rPr>
          <w:sz w:val="22"/>
        </w:rPr>
        <w:t>rate,</w:t>
      </w:r>
      <w:r>
        <w:rPr>
          <w:spacing w:val="-1"/>
          <w:sz w:val="22"/>
        </w:rPr>
        <w:t> </w:t>
      </w:r>
      <w:r>
        <w:rPr>
          <w:sz w:val="22"/>
        </w:rPr>
        <w:t>it</w:t>
      </w:r>
      <w:r>
        <w:rPr>
          <w:spacing w:val="-6"/>
          <w:sz w:val="22"/>
        </w:rPr>
        <w:t> </w:t>
      </w:r>
      <w:r>
        <w:rPr>
          <w:sz w:val="22"/>
        </w:rPr>
        <w:t>must</w:t>
      </w:r>
      <w:r>
        <w:rPr>
          <w:spacing w:val="-4"/>
          <w:sz w:val="22"/>
        </w:rPr>
        <w:t> </w:t>
      </w:r>
      <w:r>
        <w:rPr>
          <w:sz w:val="22"/>
        </w:rPr>
        <w:t>specify</w:t>
      </w:r>
      <w:r>
        <w:rPr>
          <w:spacing w:val="-3"/>
          <w:sz w:val="22"/>
        </w:rPr>
        <w:t> </w:t>
      </w:r>
      <w:r>
        <w:rPr>
          <w:sz w:val="22"/>
        </w:rPr>
        <w:t>a</w:t>
      </w:r>
      <w:r>
        <w:rPr>
          <w:spacing w:val="-3"/>
          <w:sz w:val="22"/>
        </w:rPr>
        <w:t> </w:t>
      </w:r>
      <w:r>
        <w:rPr>
          <w:sz w:val="22"/>
        </w:rPr>
        <w:t>percentage</w:t>
      </w:r>
      <w:r>
        <w:rPr>
          <w:spacing w:val="-1"/>
          <w:sz w:val="22"/>
        </w:rPr>
        <w:t> </w:t>
      </w:r>
      <w:r>
        <w:rPr>
          <w:sz w:val="22"/>
        </w:rPr>
        <w:t>as</w:t>
      </w:r>
      <w:r>
        <w:rPr>
          <w:spacing w:val="-4"/>
          <w:sz w:val="22"/>
        </w:rPr>
        <w:t> </w:t>
      </w:r>
      <w:r>
        <w:rPr>
          <w:sz w:val="22"/>
        </w:rPr>
        <w:t>the</w:t>
      </w:r>
      <w:r>
        <w:rPr>
          <w:spacing w:val="-2"/>
          <w:sz w:val="22"/>
        </w:rPr>
        <w:t> </w:t>
      </w:r>
      <w:r>
        <w:rPr>
          <w:sz w:val="22"/>
        </w:rPr>
        <w:t>uniform</w:t>
      </w:r>
      <w:r>
        <w:rPr>
          <w:spacing w:val="-4"/>
          <w:sz w:val="22"/>
        </w:rPr>
        <w:t> </w:t>
      </w:r>
      <w:r>
        <w:rPr>
          <w:spacing w:val="-2"/>
          <w:sz w:val="22"/>
        </w:rPr>
        <w:t>rate.</w:t>
      </w:r>
      <w:r>
        <w:rPr>
          <w:spacing w:val="-2"/>
          <w:sz w:val="22"/>
          <w:vertAlign w:val="superscript"/>
        </w:rPr>
        <w:t>8</w:t>
      </w:r>
    </w:p>
    <w:p>
      <w:pPr>
        <w:pStyle w:val="ListParagraph"/>
        <w:numPr>
          <w:ilvl w:val="0"/>
          <w:numId w:val="2"/>
        </w:numPr>
        <w:tabs>
          <w:tab w:pos="667" w:val="left" w:leader="none"/>
        </w:tabs>
        <w:spacing w:line="237" w:lineRule="auto" w:before="1" w:after="0"/>
        <w:ind w:left="666" w:right="119" w:hanging="567"/>
        <w:jc w:val="both"/>
        <w:rPr>
          <w:rFonts w:ascii="Symbol" w:hAnsi="Symbol"/>
          <w:sz w:val="22"/>
        </w:rPr>
      </w:pPr>
      <w:r>
        <w:rPr>
          <w:sz w:val="22"/>
        </w:rPr>
        <w:t>if the council intends to</w:t>
      </w:r>
      <w:r>
        <w:rPr>
          <w:spacing w:val="-1"/>
          <w:sz w:val="22"/>
        </w:rPr>
        <w:t> </w:t>
      </w:r>
      <w:r>
        <w:rPr>
          <w:sz w:val="22"/>
        </w:rPr>
        <w:t>declare a differential rate for any land,</w:t>
      </w:r>
      <w:r>
        <w:rPr>
          <w:spacing w:val="-1"/>
          <w:sz w:val="22"/>
        </w:rPr>
        <w:t> </w:t>
      </w:r>
      <w:r>
        <w:rPr>
          <w:sz w:val="22"/>
        </w:rPr>
        <w:t>it must</w:t>
      </w:r>
      <w:r>
        <w:rPr>
          <w:spacing w:val="-1"/>
          <w:sz w:val="22"/>
        </w:rPr>
        <w:t> </w:t>
      </w:r>
      <w:r>
        <w:rPr>
          <w:sz w:val="22"/>
        </w:rPr>
        <w:t>include details of the differential rate in the budget</w:t>
      </w:r>
      <w:r>
        <w:rPr>
          <w:sz w:val="22"/>
          <w:vertAlign w:val="superscript"/>
        </w:rPr>
        <w:t>9</w:t>
      </w:r>
    </w:p>
    <w:p>
      <w:pPr>
        <w:pStyle w:val="ListParagraph"/>
        <w:numPr>
          <w:ilvl w:val="0"/>
          <w:numId w:val="2"/>
        </w:numPr>
        <w:tabs>
          <w:tab w:pos="667" w:val="left" w:leader="none"/>
        </w:tabs>
        <w:spacing w:line="240" w:lineRule="auto" w:before="1" w:after="0"/>
        <w:ind w:left="666" w:right="117" w:hanging="567"/>
        <w:jc w:val="both"/>
        <w:rPr>
          <w:rFonts w:ascii="Symbol" w:hAnsi="Symbol"/>
          <w:sz w:val="22"/>
        </w:rPr>
      </w:pPr>
      <w:r>
        <w:rPr>
          <w:sz w:val="22"/>
        </w:rPr>
        <w:t>the budget must contain a statement if council intends to apply for a special order to increase the average</w:t>
      </w:r>
      <w:r>
        <w:rPr>
          <w:spacing w:val="-10"/>
          <w:sz w:val="22"/>
        </w:rPr>
        <w:t> </w:t>
      </w:r>
      <w:r>
        <w:rPr>
          <w:sz w:val="22"/>
        </w:rPr>
        <w:t>rate</w:t>
      </w:r>
      <w:r>
        <w:rPr>
          <w:spacing w:val="-12"/>
          <w:sz w:val="22"/>
        </w:rPr>
        <w:t> </w:t>
      </w:r>
      <w:r>
        <w:rPr>
          <w:sz w:val="22"/>
        </w:rPr>
        <w:t>cap,</w:t>
      </w:r>
      <w:r>
        <w:rPr>
          <w:spacing w:val="-10"/>
          <w:sz w:val="22"/>
        </w:rPr>
        <w:t> </w:t>
      </w:r>
      <w:r>
        <w:rPr>
          <w:sz w:val="22"/>
        </w:rPr>
        <w:t>or</w:t>
      </w:r>
      <w:r>
        <w:rPr>
          <w:spacing w:val="-11"/>
          <w:sz w:val="22"/>
        </w:rPr>
        <w:t> </w:t>
      </w:r>
      <w:r>
        <w:rPr>
          <w:sz w:val="22"/>
        </w:rPr>
        <w:t>if</w:t>
      </w:r>
      <w:r>
        <w:rPr>
          <w:spacing w:val="-10"/>
          <w:sz w:val="22"/>
        </w:rPr>
        <w:t> </w:t>
      </w:r>
      <w:r>
        <w:rPr>
          <w:sz w:val="22"/>
        </w:rPr>
        <w:t>it</w:t>
      </w:r>
      <w:r>
        <w:rPr>
          <w:spacing w:val="-10"/>
          <w:sz w:val="22"/>
        </w:rPr>
        <w:t> </w:t>
      </w:r>
      <w:r>
        <w:rPr>
          <w:sz w:val="22"/>
        </w:rPr>
        <w:t>has</w:t>
      </w:r>
      <w:r>
        <w:rPr>
          <w:spacing w:val="-11"/>
          <w:sz w:val="22"/>
        </w:rPr>
        <w:t> </w:t>
      </w:r>
      <w:r>
        <w:rPr>
          <w:sz w:val="22"/>
        </w:rPr>
        <w:t>made</w:t>
      </w:r>
      <w:r>
        <w:rPr>
          <w:spacing w:val="-10"/>
          <w:sz w:val="22"/>
        </w:rPr>
        <w:t> </w:t>
      </w:r>
      <w:r>
        <w:rPr>
          <w:sz w:val="22"/>
        </w:rPr>
        <w:t>an</w:t>
      </w:r>
      <w:r>
        <w:rPr>
          <w:spacing w:val="-12"/>
          <w:sz w:val="22"/>
        </w:rPr>
        <w:t> </w:t>
      </w:r>
      <w:r>
        <w:rPr>
          <w:sz w:val="22"/>
        </w:rPr>
        <w:t>application</w:t>
      </w:r>
      <w:r>
        <w:rPr>
          <w:spacing w:val="-10"/>
          <w:sz w:val="22"/>
        </w:rPr>
        <w:t> </w:t>
      </w:r>
      <w:r>
        <w:rPr>
          <w:sz w:val="22"/>
        </w:rPr>
        <w:t>to</w:t>
      </w:r>
      <w:r>
        <w:rPr>
          <w:spacing w:val="-12"/>
          <w:sz w:val="22"/>
        </w:rPr>
        <w:t> </w:t>
      </w:r>
      <w:r>
        <w:rPr>
          <w:sz w:val="22"/>
        </w:rPr>
        <w:t>the</w:t>
      </w:r>
      <w:r>
        <w:rPr>
          <w:spacing w:val="-12"/>
          <w:sz w:val="22"/>
        </w:rPr>
        <w:t> </w:t>
      </w:r>
      <w:r>
        <w:rPr>
          <w:sz w:val="22"/>
        </w:rPr>
        <w:t>ESC</w:t>
      </w:r>
      <w:r>
        <w:rPr>
          <w:spacing w:val="-11"/>
          <w:sz w:val="22"/>
        </w:rPr>
        <w:t> </w:t>
      </w:r>
      <w:r>
        <w:rPr>
          <w:sz w:val="22"/>
        </w:rPr>
        <w:t>for</w:t>
      </w:r>
      <w:r>
        <w:rPr>
          <w:spacing w:val="-11"/>
          <w:sz w:val="22"/>
        </w:rPr>
        <w:t> </w:t>
      </w:r>
      <w:r>
        <w:rPr>
          <w:sz w:val="22"/>
        </w:rPr>
        <w:t>a</w:t>
      </w:r>
      <w:r>
        <w:rPr>
          <w:spacing w:val="-10"/>
          <w:sz w:val="22"/>
        </w:rPr>
        <w:t> </w:t>
      </w:r>
      <w:r>
        <w:rPr>
          <w:sz w:val="22"/>
        </w:rPr>
        <w:t>special</w:t>
      </w:r>
      <w:r>
        <w:rPr>
          <w:spacing w:val="-11"/>
          <w:sz w:val="22"/>
        </w:rPr>
        <w:t> </w:t>
      </w:r>
      <w:r>
        <w:rPr>
          <w:sz w:val="22"/>
        </w:rPr>
        <w:t>order</w:t>
      </w:r>
      <w:r>
        <w:rPr>
          <w:spacing w:val="-8"/>
          <w:sz w:val="22"/>
        </w:rPr>
        <w:t> </w:t>
      </w:r>
      <w:r>
        <w:rPr>
          <w:sz w:val="22"/>
        </w:rPr>
        <w:t>to</w:t>
      </w:r>
      <w:r>
        <w:rPr>
          <w:spacing w:val="-10"/>
          <w:sz w:val="22"/>
        </w:rPr>
        <w:t> </w:t>
      </w:r>
      <w:r>
        <w:rPr>
          <w:sz w:val="22"/>
        </w:rPr>
        <w:t>increase</w:t>
      </w:r>
      <w:r>
        <w:rPr>
          <w:spacing w:val="-12"/>
          <w:sz w:val="22"/>
        </w:rPr>
        <w:t> </w:t>
      </w:r>
      <w:r>
        <w:rPr>
          <w:sz w:val="22"/>
        </w:rPr>
        <w:t>the</w:t>
      </w:r>
      <w:r>
        <w:rPr>
          <w:spacing w:val="-10"/>
          <w:sz w:val="22"/>
        </w:rPr>
        <w:t> </w:t>
      </w:r>
      <w:r>
        <w:rPr>
          <w:sz w:val="22"/>
        </w:rPr>
        <w:t>average rate cap, or if a special order has been made and a higher cap applies for the financial year</w:t>
      </w:r>
      <w:r>
        <w:rPr>
          <w:sz w:val="22"/>
          <w:vertAlign w:val="superscript"/>
        </w:rPr>
        <w:t>1</w:t>
      </w:r>
      <w:r>
        <w:rPr>
          <w:sz w:val="22"/>
          <w:vertAlign w:val="superscript"/>
        </w:rPr>
        <w:t>0</w:t>
      </w:r>
    </w:p>
    <w:p>
      <w:pPr>
        <w:pStyle w:val="BodyText"/>
        <w:spacing w:before="11"/>
        <w:rPr>
          <w:sz w:val="21"/>
        </w:rPr>
      </w:pPr>
    </w:p>
    <w:p>
      <w:pPr>
        <w:spacing w:before="0"/>
        <w:ind w:left="100" w:right="0" w:firstLine="0"/>
        <w:jc w:val="left"/>
        <w:rPr>
          <w:sz w:val="22"/>
        </w:rPr>
      </w:pPr>
      <w:r>
        <w:rPr>
          <w:sz w:val="22"/>
        </w:rPr>
        <w:t>In addition to section 94 of the Act, councils should review part 3 of the </w:t>
      </w:r>
      <w:r>
        <w:rPr>
          <w:i/>
          <w:sz w:val="22"/>
        </w:rPr>
        <w:t>Local Government (Planning and</w:t>
      </w:r>
      <w:r>
        <w:rPr>
          <w:i/>
          <w:sz w:val="22"/>
        </w:rPr>
        <w:t> Reporting)</w:t>
      </w:r>
      <w:r>
        <w:rPr>
          <w:i/>
          <w:spacing w:val="-3"/>
          <w:sz w:val="22"/>
        </w:rPr>
        <w:t> </w:t>
      </w:r>
      <w:r>
        <w:rPr>
          <w:i/>
          <w:sz w:val="22"/>
        </w:rPr>
        <w:t>Regulations</w:t>
      </w:r>
      <w:r>
        <w:rPr>
          <w:i/>
          <w:spacing w:val="-1"/>
          <w:sz w:val="22"/>
        </w:rPr>
        <w:t> </w:t>
      </w:r>
      <w:r>
        <w:rPr>
          <w:i/>
          <w:sz w:val="22"/>
        </w:rPr>
        <w:t>2020</w:t>
      </w:r>
      <w:r>
        <w:rPr>
          <w:i/>
          <w:spacing w:val="-3"/>
          <w:sz w:val="22"/>
        </w:rPr>
        <w:t> </w:t>
      </w:r>
      <w:r>
        <w:rPr>
          <w:sz w:val="22"/>
        </w:rPr>
        <w:t>for</w:t>
      </w:r>
      <w:r>
        <w:rPr>
          <w:spacing w:val="-3"/>
          <w:sz w:val="22"/>
        </w:rPr>
        <w:t> </w:t>
      </w:r>
      <w:r>
        <w:rPr>
          <w:sz w:val="22"/>
        </w:rPr>
        <w:t>further</w:t>
      </w:r>
      <w:r>
        <w:rPr>
          <w:spacing w:val="-3"/>
          <w:sz w:val="22"/>
        </w:rPr>
        <w:t> </w:t>
      </w:r>
      <w:r>
        <w:rPr>
          <w:sz w:val="22"/>
        </w:rPr>
        <w:t>details</w:t>
      </w:r>
      <w:r>
        <w:rPr>
          <w:spacing w:val="-5"/>
          <w:sz w:val="22"/>
        </w:rPr>
        <w:t> </w:t>
      </w:r>
      <w:r>
        <w:rPr>
          <w:sz w:val="22"/>
        </w:rPr>
        <w:t>relating</w:t>
      </w:r>
      <w:r>
        <w:rPr>
          <w:spacing w:val="-3"/>
          <w:sz w:val="22"/>
        </w:rPr>
        <w:t> </w:t>
      </w:r>
      <w:r>
        <w:rPr>
          <w:sz w:val="22"/>
        </w:rPr>
        <w:t>to</w:t>
      </w:r>
      <w:r>
        <w:rPr>
          <w:spacing w:val="-4"/>
          <w:sz w:val="22"/>
        </w:rPr>
        <w:t> </w:t>
      </w:r>
      <w:r>
        <w:rPr>
          <w:sz w:val="22"/>
        </w:rPr>
        <w:t>the</w:t>
      </w:r>
      <w:r>
        <w:rPr>
          <w:spacing w:val="-5"/>
          <w:sz w:val="22"/>
        </w:rPr>
        <w:t> </w:t>
      </w:r>
      <w:r>
        <w:rPr>
          <w:sz w:val="22"/>
        </w:rPr>
        <w:t>preparation</w:t>
      </w:r>
      <w:r>
        <w:rPr>
          <w:spacing w:val="-5"/>
          <w:sz w:val="22"/>
        </w:rPr>
        <w:t> </w:t>
      </w:r>
      <w:r>
        <w:rPr>
          <w:sz w:val="22"/>
        </w:rPr>
        <w:t>of</w:t>
      </w:r>
      <w:r>
        <w:rPr>
          <w:spacing w:val="-2"/>
          <w:sz w:val="22"/>
        </w:rPr>
        <w:t> </w:t>
      </w:r>
      <w:r>
        <w:rPr>
          <w:sz w:val="22"/>
        </w:rPr>
        <w:t>the</w:t>
      </w:r>
      <w:r>
        <w:rPr>
          <w:spacing w:val="-3"/>
          <w:sz w:val="22"/>
        </w:rPr>
        <w:t> </w:t>
      </w:r>
      <w:r>
        <w:rPr>
          <w:sz w:val="22"/>
        </w:rPr>
        <w:t>budget</w:t>
      </w:r>
      <w:r>
        <w:rPr>
          <w:spacing w:val="-3"/>
          <w:sz w:val="22"/>
        </w:rPr>
        <w:t> </w:t>
      </w:r>
      <w:r>
        <w:rPr>
          <w:sz w:val="22"/>
        </w:rPr>
        <w:t>or</w:t>
      </w:r>
      <w:r>
        <w:rPr>
          <w:spacing w:val="-3"/>
          <w:sz w:val="22"/>
        </w:rPr>
        <w:t> </w:t>
      </w:r>
      <w:r>
        <w:rPr>
          <w:sz w:val="22"/>
        </w:rPr>
        <w:t>revised</w:t>
      </w:r>
      <w:r>
        <w:rPr>
          <w:spacing w:val="-2"/>
          <w:sz w:val="22"/>
        </w:rPr>
        <w:t> </w:t>
      </w:r>
      <w:r>
        <w:rPr>
          <w:sz w:val="22"/>
        </w:rPr>
        <w:t>budget.</w:t>
      </w:r>
      <w:r>
        <w:rPr>
          <w:sz w:val="22"/>
          <w:vertAlign w:val="superscript"/>
        </w:rPr>
        <w:t>11</w:t>
      </w:r>
    </w:p>
    <w:p>
      <w:pPr>
        <w:pStyle w:val="BodyText"/>
        <w:spacing w:before="11"/>
        <w:rPr>
          <w:sz w:val="21"/>
        </w:rPr>
      </w:pPr>
    </w:p>
    <w:p>
      <w:pPr>
        <w:pStyle w:val="BodyText"/>
        <w:ind w:left="100" w:right="189"/>
      </w:pPr>
      <w:r>
        <w:rPr/>
        <w:t>Regulations 7</w:t>
      </w:r>
      <w:r>
        <w:rPr>
          <w:spacing w:val="-3"/>
        </w:rPr>
        <w:t> </w:t>
      </w:r>
      <w:r>
        <w:rPr/>
        <w:t>and</w:t>
      </w:r>
      <w:r>
        <w:rPr>
          <w:spacing w:val="-3"/>
        </w:rPr>
        <w:t> </w:t>
      </w:r>
      <w:r>
        <w:rPr/>
        <w:t>8</w:t>
      </w:r>
      <w:r>
        <w:rPr>
          <w:spacing w:val="-1"/>
        </w:rPr>
        <w:t> </w:t>
      </w:r>
      <w:r>
        <w:rPr/>
        <w:t>in part</w:t>
      </w:r>
      <w:r>
        <w:rPr>
          <w:spacing w:val="-3"/>
        </w:rPr>
        <w:t> </w:t>
      </w:r>
      <w:r>
        <w:rPr/>
        <w:t>three</w:t>
      </w:r>
      <w:r>
        <w:rPr>
          <w:spacing w:val="-1"/>
        </w:rPr>
        <w:t> </w:t>
      </w:r>
      <w:r>
        <w:rPr/>
        <w:t>of</w:t>
      </w:r>
      <w:r>
        <w:rPr>
          <w:spacing w:val="-3"/>
        </w:rPr>
        <w:t> </w:t>
      </w:r>
      <w:r>
        <w:rPr/>
        <w:t>the</w:t>
      </w:r>
      <w:r>
        <w:rPr>
          <w:spacing w:val="-3"/>
        </w:rPr>
        <w:t> </w:t>
      </w:r>
      <w:r>
        <w:rPr/>
        <w:t>regulations</w:t>
      </w:r>
      <w:r>
        <w:rPr>
          <w:spacing w:val="-1"/>
        </w:rPr>
        <w:t> </w:t>
      </w:r>
      <w:r>
        <w:rPr/>
        <w:t>state</w:t>
      </w:r>
      <w:r>
        <w:rPr>
          <w:spacing w:val="-4"/>
        </w:rPr>
        <w:t> </w:t>
      </w:r>
      <w:r>
        <w:rPr/>
        <w:t>that</w:t>
      </w:r>
      <w:r>
        <w:rPr>
          <w:spacing w:val="-1"/>
        </w:rPr>
        <w:t> </w:t>
      </w:r>
      <w:r>
        <w:rPr/>
        <w:t>the</w:t>
      </w:r>
      <w:r>
        <w:rPr>
          <w:spacing w:val="-3"/>
        </w:rPr>
        <w:t> </w:t>
      </w:r>
      <w:r>
        <w:rPr/>
        <w:t>financial</w:t>
      </w:r>
      <w:r>
        <w:rPr>
          <w:spacing w:val="-1"/>
        </w:rPr>
        <w:t> </w:t>
      </w:r>
      <w:r>
        <w:rPr/>
        <w:t>statements</w:t>
      </w:r>
      <w:r>
        <w:rPr>
          <w:spacing w:val="-3"/>
        </w:rPr>
        <w:t> </w:t>
      </w:r>
      <w:r>
        <w:rPr/>
        <w:t>included</w:t>
      </w:r>
      <w:r>
        <w:rPr>
          <w:spacing w:val="-1"/>
        </w:rPr>
        <w:t> </w:t>
      </w:r>
      <w:r>
        <w:rPr/>
        <w:t>in</w:t>
      </w:r>
      <w:r>
        <w:rPr>
          <w:spacing w:val="-1"/>
        </w:rPr>
        <w:t> </w:t>
      </w:r>
      <w:r>
        <w:rPr/>
        <w:t>a</w:t>
      </w:r>
      <w:r>
        <w:rPr>
          <w:spacing w:val="-3"/>
        </w:rPr>
        <w:t> </w:t>
      </w:r>
      <w:r>
        <w:rPr/>
        <w:t>budget or revised budget must:</w:t>
      </w:r>
    </w:p>
    <w:p>
      <w:pPr>
        <w:pStyle w:val="ListParagraph"/>
        <w:numPr>
          <w:ilvl w:val="0"/>
          <w:numId w:val="2"/>
        </w:numPr>
        <w:tabs>
          <w:tab w:pos="666" w:val="left" w:leader="none"/>
          <w:tab w:pos="667" w:val="left" w:leader="none"/>
        </w:tabs>
        <w:spacing w:line="269" w:lineRule="exact" w:before="0" w:after="0"/>
        <w:ind w:left="666" w:right="0" w:hanging="567"/>
        <w:jc w:val="left"/>
        <w:rPr>
          <w:rFonts w:ascii="Symbol" w:hAnsi="Symbol"/>
          <w:sz w:val="22"/>
        </w:rPr>
      </w:pPr>
      <w:r>
        <w:rPr>
          <w:sz w:val="22"/>
        </w:rPr>
        <w:t>be</w:t>
      </w:r>
      <w:r>
        <w:rPr>
          <w:spacing w:val="-5"/>
          <w:sz w:val="22"/>
        </w:rPr>
        <w:t> </w:t>
      </w:r>
      <w:r>
        <w:rPr>
          <w:sz w:val="22"/>
        </w:rPr>
        <w:t>in</w:t>
      </w:r>
      <w:r>
        <w:rPr>
          <w:spacing w:val="-3"/>
          <w:sz w:val="22"/>
        </w:rPr>
        <w:t> </w:t>
      </w:r>
      <w:r>
        <w:rPr>
          <w:sz w:val="22"/>
        </w:rPr>
        <w:t>the</w:t>
      </w:r>
      <w:r>
        <w:rPr>
          <w:spacing w:val="-4"/>
          <w:sz w:val="22"/>
        </w:rPr>
        <w:t> </w:t>
      </w:r>
      <w:r>
        <w:rPr>
          <w:sz w:val="22"/>
        </w:rPr>
        <w:t>form</w:t>
      </w:r>
      <w:r>
        <w:rPr>
          <w:spacing w:val="-4"/>
          <w:sz w:val="22"/>
        </w:rPr>
        <w:t> </w:t>
      </w:r>
      <w:r>
        <w:rPr>
          <w:sz w:val="22"/>
        </w:rPr>
        <w:t>set</w:t>
      </w:r>
      <w:r>
        <w:rPr>
          <w:spacing w:val="-1"/>
          <w:sz w:val="22"/>
        </w:rPr>
        <w:t> </w:t>
      </w:r>
      <w:r>
        <w:rPr>
          <w:sz w:val="22"/>
        </w:rPr>
        <w:t>out</w:t>
      </w:r>
      <w:r>
        <w:rPr>
          <w:spacing w:val="-1"/>
          <w:sz w:val="22"/>
        </w:rPr>
        <w:t> </w:t>
      </w:r>
      <w:r>
        <w:rPr>
          <w:sz w:val="22"/>
        </w:rPr>
        <w:t>in</w:t>
      </w:r>
      <w:r>
        <w:rPr>
          <w:spacing w:val="-7"/>
          <w:sz w:val="22"/>
        </w:rPr>
        <w:t> </w:t>
      </w:r>
      <w:r>
        <w:rPr>
          <w:sz w:val="22"/>
        </w:rPr>
        <w:t>the</w:t>
      </w:r>
      <w:r>
        <w:rPr>
          <w:spacing w:val="-2"/>
          <w:sz w:val="22"/>
        </w:rPr>
        <w:t> </w:t>
      </w:r>
      <w:r>
        <w:rPr>
          <w:sz w:val="22"/>
        </w:rPr>
        <w:t>Local</w:t>
      </w:r>
      <w:r>
        <w:rPr>
          <w:spacing w:val="-5"/>
          <w:sz w:val="22"/>
        </w:rPr>
        <w:t> </w:t>
      </w:r>
      <w:r>
        <w:rPr>
          <w:sz w:val="22"/>
        </w:rPr>
        <w:t>Government</w:t>
      </w:r>
      <w:r>
        <w:rPr>
          <w:spacing w:val="-2"/>
          <w:sz w:val="22"/>
        </w:rPr>
        <w:t> </w:t>
      </w:r>
      <w:r>
        <w:rPr>
          <w:sz w:val="22"/>
        </w:rPr>
        <w:t>Model</w:t>
      </w:r>
      <w:r>
        <w:rPr>
          <w:spacing w:val="-3"/>
          <w:sz w:val="22"/>
        </w:rPr>
        <w:t> </w:t>
      </w:r>
      <w:r>
        <w:rPr>
          <w:sz w:val="22"/>
        </w:rPr>
        <w:t>Financial</w:t>
      </w:r>
      <w:r>
        <w:rPr>
          <w:spacing w:val="-2"/>
          <w:sz w:val="22"/>
        </w:rPr>
        <w:t> Report</w:t>
      </w:r>
      <w:r>
        <w:rPr>
          <w:spacing w:val="-2"/>
          <w:sz w:val="22"/>
          <w:vertAlign w:val="superscript"/>
        </w:rPr>
        <w:t>1</w:t>
      </w:r>
      <w:r>
        <w:rPr>
          <w:spacing w:val="-2"/>
          <w:sz w:val="22"/>
          <w:vertAlign w:val="superscript"/>
        </w:rPr>
        <w:t>2</w:t>
      </w:r>
    </w:p>
    <w:p>
      <w:pPr>
        <w:pStyle w:val="ListParagraph"/>
        <w:numPr>
          <w:ilvl w:val="0"/>
          <w:numId w:val="2"/>
        </w:numPr>
        <w:tabs>
          <w:tab w:pos="666" w:val="left" w:leader="none"/>
          <w:tab w:pos="667" w:val="left" w:leader="none"/>
        </w:tabs>
        <w:spacing w:line="237" w:lineRule="auto" w:before="2" w:after="0"/>
        <w:ind w:left="666" w:right="465" w:hanging="567"/>
        <w:jc w:val="left"/>
        <w:rPr>
          <w:rFonts w:ascii="Symbol" w:hAnsi="Symbol"/>
          <w:sz w:val="22"/>
        </w:rPr>
      </w:pPr>
      <w:r>
        <w:rPr>
          <w:sz w:val="22"/>
        </w:rPr>
        <w:t>contain</w:t>
      </w:r>
      <w:r>
        <w:rPr>
          <w:spacing w:val="-1"/>
          <w:sz w:val="22"/>
        </w:rPr>
        <w:t> </w:t>
      </w:r>
      <w:r>
        <w:rPr>
          <w:sz w:val="22"/>
        </w:rPr>
        <w:t>a</w:t>
      </w:r>
      <w:r>
        <w:rPr>
          <w:spacing w:val="-5"/>
          <w:sz w:val="22"/>
        </w:rPr>
        <w:t> </w:t>
      </w:r>
      <w:r>
        <w:rPr>
          <w:sz w:val="22"/>
        </w:rPr>
        <w:t>statement of</w:t>
      </w:r>
      <w:r>
        <w:rPr>
          <w:spacing w:val="-4"/>
          <w:sz w:val="22"/>
        </w:rPr>
        <w:t> </w:t>
      </w:r>
      <w:r>
        <w:rPr>
          <w:sz w:val="22"/>
        </w:rPr>
        <w:t>capital</w:t>
      </w:r>
      <w:r>
        <w:rPr>
          <w:spacing w:val="-2"/>
          <w:sz w:val="22"/>
        </w:rPr>
        <w:t> </w:t>
      </w:r>
      <w:r>
        <w:rPr>
          <w:sz w:val="22"/>
        </w:rPr>
        <w:t>works</w:t>
      </w:r>
      <w:r>
        <w:rPr>
          <w:spacing w:val="-4"/>
          <w:sz w:val="22"/>
        </w:rPr>
        <w:t> </w:t>
      </w:r>
      <w:r>
        <w:rPr>
          <w:sz w:val="22"/>
        </w:rPr>
        <w:t>for</w:t>
      </w:r>
      <w:r>
        <w:rPr>
          <w:spacing w:val="-4"/>
          <w:sz w:val="22"/>
        </w:rPr>
        <w:t> </w:t>
      </w:r>
      <w:r>
        <w:rPr>
          <w:sz w:val="22"/>
        </w:rPr>
        <w:t>the budget year</w:t>
      </w:r>
      <w:r>
        <w:rPr>
          <w:spacing w:val="-1"/>
          <w:sz w:val="22"/>
        </w:rPr>
        <w:t> </w:t>
      </w:r>
      <w:r>
        <w:rPr>
          <w:sz w:val="22"/>
        </w:rPr>
        <w:t>and</w:t>
      </w:r>
      <w:r>
        <w:rPr>
          <w:spacing w:val="-4"/>
          <w:sz w:val="22"/>
        </w:rPr>
        <w:t> </w:t>
      </w:r>
      <w:r>
        <w:rPr>
          <w:sz w:val="22"/>
        </w:rPr>
        <w:t>subsequent</w:t>
      </w:r>
      <w:r>
        <w:rPr>
          <w:spacing w:val="-4"/>
          <w:sz w:val="22"/>
        </w:rPr>
        <w:t> </w:t>
      </w:r>
      <w:r>
        <w:rPr>
          <w:sz w:val="22"/>
        </w:rPr>
        <w:t>3</w:t>
      </w:r>
      <w:r>
        <w:rPr>
          <w:spacing w:val="-2"/>
          <w:sz w:val="22"/>
        </w:rPr>
        <w:t> </w:t>
      </w:r>
      <w:r>
        <w:rPr>
          <w:sz w:val="22"/>
        </w:rPr>
        <w:t>financial</w:t>
      </w:r>
      <w:r>
        <w:rPr>
          <w:spacing w:val="-2"/>
          <w:sz w:val="22"/>
        </w:rPr>
        <w:t> </w:t>
      </w:r>
      <w:r>
        <w:rPr>
          <w:sz w:val="22"/>
        </w:rPr>
        <w:t>years</w:t>
      </w:r>
      <w:r>
        <w:rPr>
          <w:spacing w:val="-4"/>
          <w:sz w:val="22"/>
        </w:rPr>
        <w:t> </w:t>
      </w:r>
      <w:r>
        <w:rPr>
          <w:sz w:val="22"/>
        </w:rPr>
        <w:t>to</w:t>
      </w:r>
      <w:r>
        <w:rPr>
          <w:spacing w:val="-2"/>
          <w:sz w:val="22"/>
        </w:rPr>
        <w:t> </w:t>
      </w:r>
      <w:r>
        <w:rPr>
          <w:sz w:val="22"/>
        </w:rPr>
        <w:t>which the financial statements relate</w:t>
      </w:r>
      <w:r>
        <w:rPr>
          <w:sz w:val="22"/>
          <w:vertAlign w:val="superscript"/>
        </w:rPr>
        <w:t>1</w:t>
      </w:r>
      <w:r>
        <w:rPr>
          <w:sz w:val="22"/>
          <w:vertAlign w:val="superscript"/>
        </w:rPr>
        <w:t>3</w:t>
      </w:r>
    </w:p>
    <w:p>
      <w:pPr>
        <w:pStyle w:val="ListParagraph"/>
        <w:numPr>
          <w:ilvl w:val="0"/>
          <w:numId w:val="2"/>
        </w:numPr>
        <w:tabs>
          <w:tab w:pos="666" w:val="left" w:leader="none"/>
          <w:tab w:pos="667" w:val="left" w:leader="none"/>
        </w:tabs>
        <w:spacing w:line="237" w:lineRule="auto" w:before="3" w:after="0"/>
        <w:ind w:left="666" w:right="633" w:hanging="567"/>
        <w:jc w:val="left"/>
        <w:rPr>
          <w:rFonts w:ascii="Symbol" w:hAnsi="Symbol"/>
          <w:sz w:val="22"/>
        </w:rPr>
      </w:pPr>
      <w:r>
        <w:rPr>
          <w:sz w:val="22"/>
        </w:rPr>
        <w:t>Contain</w:t>
      </w:r>
      <w:r>
        <w:rPr>
          <w:spacing w:val="-4"/>
          <w:sz w:val="22"/>
        </w:rPr>
        <w:t> </w:t>
      </w:r>
      <w:r>
        <w:rPr>
          <w:sz w:val="22"/>
        </w:rPr>
        <w:t>specified</w:t>
      </w:r>
      <w:r>
        <w:rPr>
          <w:spacing w:val="-1"/>
          <w:sz w:val="22"/>
        </w:rPr>
        <w:t> </w:t>
      </w:r>
      <w:r>
        <w:rPr>
          <w:sz w:val="22"/>
        </w:rPr>
        <w:t>other</w:t>
      </w:r>
      <w:r>
        <w:rPr>
          <w:spacing w:val="-2"/>
          <w:sz w:val="22"/>
        </w:rPr>
        <w:t> </w:t>
      </w:r>
      <w:r>
        <w:rPr>
          <w:sz w:val="22"/>
        </w:rPr>
        <w:t>information</w:t>
      </w:r>
      <w:r>
        <w:rPr>
          <w:spacing w:val="-2"/>
          <w:sz w:val="22"/>
        </w:rPr>
        <w:t> </w:t>
      </w:r>
      <w:r>
        <w:rPr>
          <w:sz w:val="22"/>
        </w:rPr>
        <w:t>in</w:t>
      </w:r>
      <w:r>
        <w:rPr>
          <w:spacing w:val="-3"/>
          <w:sz w:val="22"/>
        </w:rPr>
        <w:t> </w:t>
      </w:r>
      <w:r>
        <w:rPr>
          <w:sz w:val="22"/>
        </w:rPr>
        <w:t>relation</w:t>
      </w:r>
      <w:r>
        <w:rPr>
          <w:spacing w:val="-4"/>
          <w:sz w:val="22"/>
        </w:rPr>
        <w:t> </w:t>
      </w:r>
      <w:r>
        <w:rPr>
          <w:sz w:val="22"/>
        </w:rPr>
        <w:t>to</w:t>
      </w:r>
      <w:r>
        <w:rPr>
          <w:spacing w:val="-4"/>
          <w:sz w:val="22"/>
        </w:rPr>
        <w:t> </w:t>
      </w:r>
      <w:r>
        <w:rPr>
          <w:sz w:val="22"/>
        </w:rPr>
        <w:t>the</w:t>
      </w:r>
      <w:r>
        <w:rPr>
          <w:spacing w:val="-2"/>
          <w:sz w:val="22"/>
        </w:rPr>
        <w:t> </w:t>
      </w:r>
      <w:r>
        <w:rPr>
          <w:sz w:val="22"/>
        </w:rPr>
        <w:t>financial</w:t>
      </w:r>
      <w:r>
        <w:rPr>
          <w:spacing w:val="-2"/>
          <w:sz w:val="22"/>
        </w:rPr>
        <w:t> </w:t>
      </w:r>
      <w:r>
        <w:rPr>
          <w:sz w:val="22"/>
        </w:rPr>
        <w:t>year</w:t>
      </w:r>
      <w:r>
        <w:rPr>
          <w:spacing w:val="-2"/>
          <w:sz w:val="22"/>
        </w:rPr>
        <w:t> </w:t>
      </w:r>
      <w:r>
        <w:rPr>
          <w:sz w:val="22"/>
        </w:rPr>
        <w:t>to</w:t>
      </w:r>
      <w:r>
        <w:rPr>
          <w:spacing w:val="-4"/>
          <w:sz w:val="22"/>
        </w:rPr>
        <w:t> </w:t>
      </w:r>
      <w:r>
        <w:rPr>
          <w:sz w:val="22"/>
        </w:rPr>
        <w:t>which</w:t>
      </w:r>
      <w:r>
        <w:rPr>
          <w:spacing w:val="-4"/>
          <w:sz w:val="22"/>
        </w:rPr>
        <w:t> </w:t>
      </w:r>
      <w:r>
        <w:rPr>
          <w:sz w:val="22"/>
        </w:rPr>
        <w:t>the</w:t>
      </w:r>
      <w:r>
        <w:rPr>
          <w:spacing w:val="-4"/>
          <w:sz w:val="22"/>
        </w:rPr>
        <w:t> </w:t>
      </w:r>
      <w:r>
        <w:rPr>
          <w:sz w:val="22"/>
        </w:rPr>
        <w:t>budget</w:t>
      </w:r>
      <w:r>
        <w:rPr>
          <w:spacing w:val="-2"/>
          <w:sz w:val="22"/>
        </w:rPr>
        <w:t> </w:t>
      </w:r>
      <w:r>
        <w:rPr>
          <w:sz w:val="22"/>
        </w:rPr>
        <w:t>or</w:t>
      </w:r>
      <w:r>
        <w:rPr>
          <w:spacing w:val="-2"/>
          <w:sz w:val="22"/>
        </w:rPr>
        <w:t> </w:t>
      </w:r>
      <w:r>
        <w:rPr>
          <w:sz w:val="22"/>
        </w:rPr>
        <w:t>revised budget relates.</w:t>
      </w:r>
      <w:r>
        <w:rPr>
          <w:sz w:val="22"/>
          <w:vertAlign w:val="superscript"/>
        </w:rPr>
        <w:t>1</w:t>
      </w:r>
      <w:r>
        <w:rPr>
          <w:sz w:val="22"/>
          <w:vertAlign w:val="superscript"/>
        </w:rPr>
        <w:t>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1"/>
        </w:rPr>
      </w:pPr>
      <w:r>
        <w:rPr/>
        <w:pict>
          <v:rect style="position:absolute;margin-left:36pt;margin-top:7.778971pt;width:144pt;height:.600037pt;mso-position-horizontal-relative:page;mso-position-vertical-relative:paragraph;z-index:-15726592;mso-wrap-distance-left:0;mso-wrap-distance-right:0" id="docshape8" filled="true" fillcolor="#000000" stroked="false">
            <v:fill type="solid"/>
            <w10:wrap type="topAndBottom"/>
          </v:rect>
        </w:pict>
      </w:r>
    </w:p>
    <w:p>
      <w:pPr>
        <w:pStyle w:val="ListParagraph"/>
        <w:numPr>
          <w:ilvl w:val="0"/>
          <w:numId w:val="10"/>
        </w:numPr>
        <w:tabs>
          <w:tab w:pos="252" w:val="left" w:leader="none"/>
        </w:tabs>
        <w:spacing w:line="240" w:lineRule="auto" w:before="91" w:after="0"/>
        <w:ind w:left="251" w:right="0" w:hanging="152"/>
        <w:jc w:val="both"/>
        <w:rPr>
          <w:rFonts w:ascii="Times New Roman"/>
          <w:i/>
          <w:sz w:val="20"/>
        </w:rPr>
      </w:pPr>
      <w:r>
        <w:rPr>
          <w:rFonts w:ascii="Times New Roman"/>
          <w:sz w:val="20"/>
        </w:rPr>
        <w:t>Section</w:t>
      </w:r>
      <w:r>
        <w:rPr>
          <w:rFonts w:ascii="Times New Roman"/>
          <w:spacing w:val="-5"/>
          <w:sz w:val="20"/>
        </w:rPr>
        <w:t> </w:t>
      </w:r>
      <w:r>
        <w:rPr>
          <w:rFonts w:ascii="Times New Roman"/>
          <w:sz w:val="20"/>
        </w:rPr>
        <w:t>94</w:t>
      </w:r>
      <w:r>
        <w:rPr>
          <w:rFonts w:ascii="Times New Roman"/>
          <w:spacing w:val="-2"/>
          <w:sz w:val="20"/>
        </w:rPr>
        <w:t> </w:t>
      </w:r>
      <w:r>
        <w:rPr>
          <w:rFonts w:ascii="Times New Roman"/>
          <w:sz w:val="20"/>
        </w:rPr>
        <w:t>(1)</w:t>
      </w:r>
      <w:r>
        <w:rPr>
          <w:rFonts w:ascii="Times New Roman"/>
          <w:spacing w:val="-2"/>
          <w:sz w:val="20"/>
        </w:rPr>
        <w:t> </w:t>
      </w:r>
      <w:r>
        <w:rPr>
          <w:rFonts w:ascii="Times New Roman"/>
          <w:sz w:val="20"/>
        </w:rPr>
        <w:t>of</w:t>
      </w:r>
      <w:r>
        <w:rPr>
          <w:rFonts w:ascii="Times New Roman"/>
          <w:spacing w:val="-3"/>
          <w:sz w:val="20"/>
        </w:rPr>
        <w:t> </w:t>
      </w:r>
      <w:r>
        <w:rPr>
          <w:rFonts w:ascii="Times New Roman"/>
          <w:i/>
          <w:sz w:val="20"/>
        </w:rPr>
        <w:t>the</w:t>
      </w:r>
      <w:r>
        <w:rPr>
          <w:rFonts w:ascii="Times New Roman"/>
          <w:i/>
          <w:spacing w:val="-4"/>
          <w:sz w:val="20"/>
        </w:rPr>
        <w:t> </w:t>
      </w:r>
      <w:r>
        <w:rPr>
          <w:rFonts w:ascii="Times New Roman"/>
          <w:i/>
          <w:sz w:val="20"/>
        </w:rPr>
        <w:t>Local</w:t>
      </w:r>
      <w:r>
        <w:rPr>
          <w:rFonts w:ascii="Times New Roman"/>
          <w:i/>
          <w:spacing w:val="-5"/>
          <w:sz w:val="20"/>
        </w:rPr>
        <w:t> </w:t>
      </w:r>
      <w:r>
        <w:rPr>
          <w:rFonts w:ascii="Times New Roman"/>
          <w:i/>
          <w:sz w:val="20"/>
        </w:rPr>
        <w:t>Government</w:t>
      </w:r>
      <w:r>
        <w:rPr>
          <w:rFonts w:ascii="Times New Roman"/>
          <w:i/>
          <w:spacing w:val="-2"/>
          <w:sz w:val="20"/>
        </w:rPr>
        <w:t> </w:t>
      </w:r>
      <w:r>
        <w:rPr>
          <w:rFonts w:ascii="Times New Roman"/>
          <w:i/>
          <w:sz w:val="20"/>
        </w:rPr>
        <w:t>Act</w:t>
      </w:r>
      <w:r>
        <w:rPr>
          <w:rFonts w:ascii="Times New Roman"/>
          <w:i/>
          <w:spacing w:val="-4"/>
          <w:sz w:val="20"/>
        </w:rPr>
        <w:t> 2020</w:t>
      </w:r>
    </w:p>
    <w:p>
      <w:pPr>
        <w:pStyle w:val="ListParagraph"/>
        <w:numPr>
          <w:ilvl w:val="0"/>
          <w:numId w:val="10"/>
        </w:numPr>
        <w:tabs>
          <w:tab w:pos="252" w:val="left" w:leader="none"/>
        </w:tabs>
        <w:spacing w:line="240" w:lineRule="auto" w:before="1" w:after="0"/>
        <w:ind w:left="100" w:right="6244" w:firstLine="0"/>
        <w:jc w:val="both"/>
        <w:rPr>
          <w:rFonts w:ascii="Times New Roman"/>
          <w:i/>
          <w:sz w:val="20"/>
        </w:rPr>
      </w:pPr>
      <w:r>
        <w:rPr>
          <w:rFonts w:ascii="Times New Roman"/>
          <w:sz w:val="20"/>
        </w:rPr>
        <w:t>Section</w:t>
      </w:r>
      <w:r>
        <w:rPr>
          <w:rFonts w:ascii="Times New Roman"/>
          <w:spacing w:val="-4"/>
          <w:sz w:val="20"/>
        </w:rPr>
        <w:t> </w:t>
      </w:r>
      <w:r>
        <w:rPr>
          <w:rFonts w:ascii="Times New Roman"/>
          <w:sz w:val="20"/>
        </w:rPr>
        <w:t>94</w:t>
      </w:r>
      <w:r>
        <w:rPr>
          <w:rFonts w:ascii="Times New Roman"/>
          <w:spacing w:val="-3"/>
          <w:sz w:val="20"/>
        </w:rPr>
        <w:t> </w:t>
      </w:r>
      <w:r>
        <w:rPr>
          <w:rFonts w:ascii="Times New Roman"/>
          <w:sz w:val="20"/>
        </w:rPr>
        <w:t>(2)(a)</w:t>
      </w:r>
      <w:r>
        <w:rPr>
          <w:rFonts w:ascii="Times New Roman"/>
          <w:spacing w:val="-3"/>
          <w:sz w:val="20"/>
        </w:rPr>
        <w:t> </w:t>
      </w:r>
      <w:r>
        <w:rPr>
          <w:rFonts w:ascii="Times New Roman"/>
          <w:sz w:val="20"/>
        </w:rPr>
        <w:t>of</w:t>
      </w:r>
      <w:r>
        <w:rPr>
          <w:rFonts w:ascii="Times New Roman"/>
          <w:spacing w:val="-3"/>
          <w:sz w:val="20"/>
        </w:rPr>
        <w:t> </w:t>
      </w:r>
      <w:r>
        <w:rPr>
          <w:rFonts w:ascii="Times New Roman"/>
          <w:i/>
          <w:sz w:val="20"/>
        </w:rPr>
        <w:t>the</w:t>
      </w:r>
      <w:r>
        <w:rPr>
          <w:rFonts w:ascii="Times New Roman"/>
          <w:i/>
          <w:spacing w:val="-3"/>
          <w:sz w:val="20"/>
        </w:rPr>
        <w:t> </w:t>
      </w:r>
      <w:r>
        <w:rPr>
          <w:rFonts w:ascii="Times New Roman"/>
          <w:i/>
          <w:sz w:val="20"/>
        </w:rPr>
        <w:t>Local</w:t>
      </w:r>
      <w:r>
        <w:rPr>
          <w:rFonts w:ascii="Times New Roman"/>
          <w:i/>
          <w:spacing w:val="-5"/>
          <w:sz w:val="20"/>
        </w:rPr>
        <w:t> </w:t>
      </w:r>
      <w:r>
        <w:rPr>
          <w:rFonts w:ascii="Times New Roman"/>
          <w:i/>
          <w:sz w:val="20"/>
        </w:rPr>
        <w:t>Government</w:t>
      </w:r>
      <w:r>
        <w:rPr>
          <w:rFonts w:ascii="Times New Roman"/>
          <w:i/>
          <w:spacing w:val="-3"/>
          <w:sz w:val="20"/>
        </w:rPr>
        <w:t> </w:t>
      </w:r>
      <w:r>
        <w:rPr>
          <w:rFonts w:ascii="Times New Roman"/>
          <w:i/>
          <w:sz w:val="20"/>
        </w:rPr>
        <w:t>Act</w:t>
      </w:r>
      <w:r>
        <w:rPr>
          <w:rFonts w:ascii="Times New Roman"/>
          <w:i/>
          <w:spacing w:val="-3"/>
          <w:sz w:val="20"/>
        </w:rPr>
        <w:t> </w:t>
      </w:r>
      <w:r>
        <w:rPr>
          <w:rFonts w:ascii="Times New Roman"/>
          <w:i/>
          <w:sz w:val="20"/>
        </w:rPr>
        <w:t>2020</w:t>
      </w:r>
      <w:r>
        <w:rPr>
          <w:rFonts w:ascii="Times New Roman"/>
          <w:i/>
          <w:sz w:val="20"/>
        </w:rPr>
        <w:t> </w:t>
      </w:r>
      <w:r>
        <w:rPr>
          <w:rFonts w:ascii="Times New Roman"/>
          <w:sz w:val="20"/>
        </w:rPr>
        <w:t>3</w:t>
      </w:r>
      <w:r>
        <w:rPr>
          <w:rFonts w:ascii="Times New Roman"/>
          <w:spacing w:val="-3"/>
          <w:sz w:val="20"/>
        </w:rPr>
        <w:t> </w:t>
      </w:r>
      <w:r>
        <w:rPr>
          <w:rFonts w:ascii="Times New Roman"/>
          <w:sz w:val="20"/>
        </w:rPr>
        <w:t>Section</w:t>
      </w:r>
      <w:r>
        <w:rPr>
          <w:rFonts w:ascii="Times New Roman"/>
          <w:spacing w:val="-5"/>
          <w:sz w:val="20"/>
        </w:rPr>
        <w:t> </w:t>
      </w:r>
      <w:r>
        <w:rPr>
          <w:rFonts w:ascii="Times New Roman"/>
          <w:sz w:val="20"/>
        </w:rPr>
        <w:t>94</w:t>
      </w:r>
      <w:r>
        <w:rPr>
          <w:rFonts w:ascii="Times New Roman"/>
          <w:spacing w:val="-3"/>
          <w:sz w:val="20"/>
        </w:rPr>
        <w:t> </w:t>
      </w:r>
      <w:r>
        <w:rPr>
          <w:rFonts w:ascii="Times New Roman"/>
          <w:sz w:val="20"/>
        </w:rPr>
        <w:t>(2)(b)</w:t>
      </w:r>
      <w:r>
        <w:rPr>
          <w:rFonts w:ascii="Times New Roman"/>
          <w:spacing w:val="-3"/>
          <w:sz w:val="20"/>
        </w:rPr>
        <w:t> </w:t>
      </w:r>
      <w:r>
        <w:rPr>
          <w:rFonts w:ascii="Times New Roman"/>
          <w:sz w:val="20"/>
        </w:rPr>
        <w:t>of</w:t>
      </w:r>
      <w:r>
        <w:rPr>
          <w:rFonts w:ascii="Times New Roman"/>
          <w:spacing w:val="-3"/>
          <w:sz w:val="20"/>
        </w:rPr>
        <w:t> </w:t>
      </w:r>
      <w:r>
        <w:rPr>
          <w:rFonts w:ascii="Times New Roman"/>
          <w:sz w:val="20"/>
        </w:rPr>
        <w:t>the</w:t>
      </w:r>
      <w:r>
        <w:rPr>
          <w:rFonts w:ascii="Times New Roman"/>
          <w:spacing w:val="-4"/>
          <w:sz w:val="20"/>
        </w:rPr>
        <w:t> </w:t>
      </w:r>
      <w:r>
        <w:rPr>
          <w:rFonts w:ascii="Times New Roman"/>
          <w:i/>
          <w:sz w:val="20"/>
        </w:rPr>
        <w:t>Local</w:t>
      </w:r>
      <w:r>
        <w:rPr>
          <w:rFonts w:ascii="Times New Roman"/>
          <w:i/>
          <w:spacing w:val="-6"/>
          <w:sz w:val="20"/>
        </w:rPr>
        <w:t> </w:t>
      </w:r>
      <w:r>
        <w:rPr>
          <w:rFonts w:ascii="Times New Roman"/>
          <w:i/>
          <w:sz w:val="20"/>
        </w:rPr>
        <w:t>Government</w:t>
      </w:r>
      <w:r>
        <w:rPr>
          <w:rFonts w:ascii="Times New Roman"/>
          <w:i/>
          <w:spacing w:val="-3"/>
          <w:sz w:val="20"/>
        </w:rPr>
        <w:t> </w:t>
      </w:r>
      <w:r>
        <w:rPr>
          <w:rFonts w:ascii="Times New Roman"/>
          <w:i/>
          <w:sz w:val="20"/>
        </w:rPr>
        <w:t>Act</w:t>
      </w:r>
      <w:r>
        <w:rPr>
          <w:rFonts w:ascii="Times New Roman"/>
          <w:i/>
          <w:spacing w:val="-4"/>
          <w:sz w:val="20"/>
        </w:rPr>
        <w:t> </w:t>
      </w:r>
      <w:r>
        <w:rPr>
          <w:rFonts w:ascii="Times New Roman"/>
          <w:i/>
          <w:sz w:val="20"/>
        </w:rPr>
        <w:t>2020</w:t>
      </w:r>
      <w:r>
        <w:rPr>
          <w:rFonts w:ascii="Times New Roman"/>
          <w:i/>
          <w:sz w:val="20"/>
        </w:rPr>
        <w:t> </w:t>
      </w:r>
      <w:r>
        <w:rPr>
          <w:rFonts w:ascii="Times New Roman"/>
          <w:sz w:val="20"/>
        </w:rPr>
        <w:t>4</w:t>
      </w:r>
      <w:r>
        <w:rPr>
          <w:rFonts w:ascii="Times New Roman"/>
          <w:spacing w:val="-2"/>
          <w:sz w:val="20"/>
        </w:rPr>
        <w:t> </w:t>
      </w:r>
      <w:r>
        <w:rPr>
          <w:rFonts w:ascii="Times New Roman"/>
          <w:sz w:val="20"/>
        </w:rPr>
        <w:t>Section</w:t>
      </w:r>
      <w:r>
        <w:rPr>
          <w:rFonts w:ascii="Times New Roman"/>
          <w:spacing w:val="-4"/>
          <w:sz w:val="20"/>
        </w:rPr>
        <w:t> </w:t>
      </w:r>
      <w:r>
        <w:rPr>
          <w:rFonts w:ascii="Times New Roman"/>
          <w:sz w:val="20"/>
        </w:rPr>
        <w:t>94</w:t>
      </w:r>
      <w:r>
        <w:rPr>
          <w:rFonts w:ascii="Times New Roman"/>
          <w:spacing w:val="-2"/>
          <w:sz w:val="20"/>
        </w:rPr>
        <w:t> </w:t>
      </w:r>
      <w:r>
        <w:rPr>
          <w:rFonts w:ascii="Times New Roman"/>
          <w:sz w:val="20"/>
        </w:rPr>
        <w:t>(2)(c)</w:t>
      </w:r>
      <w:r>
        <w:rPr>
          <w:rFonts w:ascii="Times New Roman"/>
          <w:spacing w:val="-2"/>
          <w:sz w:val="20"/>
        </w:rPr>
        <w:t> </w:t>
      </w:r>
      <w:r>
        <w:rPr>
          <w:rFonts w:ascii="Times New Roman"/>
          <w:sz w:val="20"/>
        </w:rPr>
        <w:t>of</w:t>
      </w:r>
      <w:r>
        <w:rPr>
          <w:rFonts w:ascii="Times New Roman"/>
          <w:spacing w:val="-4"/>
          <w:sz w:val="20"/>
        </w:rPr>
        <w:t> </w:t>
      </w:r>
      <w:r>
        <w:rPr>
          <w:rFonts w:ascii="Times New Roman"/>
          <w:sz w:val="20"/>
        </w:rPr>
        <w:t>the</w:t>
      </w:r>
      <w:r>
        <w:rPr>
          <w:rFonts w:ascii="Times New Roman"/>
          <w:spacing w:val="-2"/>
          <w:sz w:val="20"/>
        </w:rPr>
        <w:t> </w:t>
      </w:r>
      <w:r>
        <w:rPr>
          <w:rFonts w:ascii="Times New Roman"/>
          <w:i/>
          <w:sz w:val="20"/>
        </w:rPr>
        <w:t>Local</w:t>
      </w:r>
      <w:r>
        <w:rPr>
          <w:rFonts w:ascii="Times New Roman"/>
          <w:i/>
          <w:spacing w:val="-5"/>
          <w:sz w:val="20"/>
        </w:rPr>
        <w:t> </w:t>
      </w:r>
      <w:r>
        <w:rPr>
          <w:rFonts w:ascii="Times New Roman"/>
          <w:i/>
          <w:sz w:val="20"/>
        </w:rPr>
        <w:t>Government</w:t>
      </w:r>
      <w:r>
        <w:rPr>
          <w:rFonts w:ascii="Times New Roman"/>
          <w:i/>
          <w:spacing w:val="-2"/>
          <w:sz w:val="20"/>
        </w:rPr>
        <w:t> </w:t>
      </w:r>
      <w:r>
        <w:rPr>
          <w:rFonts w:ascii="Times New Roman"/>
          <w:i/>
          <w:sz w:val="20"/>
        </w:rPr>
        <w:t>Act</w:t>
      </w:r>
      <w:r>
        <w:rPr>
          <w:rFonts w:ascii="Times New Roman"/>
          <w:i/>
          <w:spacing w:val="-3"/>
          <w:sz w:val="20"/>
        </w:rPr>
        <w:t> </w:t>
      </w:r>
      <w:r>
        <w:rPr>
          <w:rFonts w:ascii="Times New Roman"/>
          <w:i/>
          <w:sz w:val="20"/>
        </w:rPr>
        <w:t>2020</w:t>
      </w:r>
      <w:r>
        <w:rPr>
          <w:rFonts w:ascii="Times New Roman"/>
          <w:i/>
          <w:sz w:val="20"/>
        </w:rPr>
        <w:t> </w:t>
      </w:r>
      <w:r>
        <w:rPr>
          <w:rFonts w:ascii="Times New Roman"/>
          <w:sz w:val="20"/>
        </w:rPr>
        <w:t>5</w:t>
      </w:r>
      <w:r>
        <w:rPr>
          <w:rFonts w:ascii="Times New Roman"/>
          <w:spacing w:val="-3"/>
          <w:sz w:val="20"/>
        </w:rPr>
        <w:t> </w:t>
      </w:r>
      <w:r>
        <w:rPr>
          <w:rFonts w:ascii="Times New Roman"/>
          <w:sz w:val="20"/>
        </w:rPr>
        <w:t>Section</w:t>
      </w:r>
      <w:r>
        <w:rPr>
          <w:rFonts w:ascii="Times New Roman"/>
          <w:spacing w:val="-4"/>
          <w:sz w:val="20"/>
        </w:rPr>
        <w:t> </w:t>
      </w:r>
      <w:r>
        <w:rPr>
          <w:rFonts w:ascii="Times New Roman"/>
          <w:sz w:val="20"/>
        </w:rPr>
        <w:t>94</w:t>
      </w:r>
      <w:r>
        <w:rPr>
          <w:rFonts w:ascii="Times New Roman"/>
          <w:spacing w:val="-2"/>
          <w:sz w:val="20"/>
        </w:rPr>
        <w:t> </w:t>
      </w:r>
      <w:r>
        <w:rPr>
          <w:rFonts w:ascii="Times New Roman"/>
          <w:sz w:val="20"/>
        </w:rPr>
        <w:t>(2)(d)</w:t>
      </w:r>
      <w:r>
        <w:rPr>
          <w:rFonts w:ascii="Times New Roman"/>
          <w:spacing w:val="-2"/>
          <w:sz w:val="20"/>
        </w:rPr>
        <w:t> </w:t>
      </w:r>
      <w:r>
        <w:rPr>
          <w:rFonts w:ascii="Times New Roman"/>
          <w:sz w:val="20"/>
        </w:rPr>
        <w:t>of</w:t>
      </w:r>
      <w:r>
        <w:rPr>
          <w:rFonts w:ascii="Times New Roman"/>
          <w:spacing w:val="-2"/>
          <w:sz w:val="20"/>
        </w:rPr>
        <w:t> </w:t>
      </w:r>
      <w:r>
        <w:rPr>
          <w:rFonts w:ascii="Times New Roman"/>
          <w:sz w:val="20"/>
        </w:rPr>
        <w:t>the</w:t>
      </w:r>
      <w:r>
        <w:rPr>
          <w:rFonts w:ascii="Times New Roman"/>
          <w:spacing w:val="-3"/>
          <w:sz w:val="20"/>
        </w:rPr>
        <w:t> </w:t>
      </w:r>
      <w:r>
        <w:rPr>
          <w:rFonts w:ascii="Times New Roman"/>
          <w:i/>
          <w:sz w:val="20"/>
        </w:rPr>
        <w:t>Local</w:t>
      </w:r>
      <w:r>
        <w:rPr>
          <w:rFonts w:ascii="Times New Roman"/>
          <w:i/>
          <w:spacing w:val="-5"/>
          <w:sz w:val="20"/>
        </w:rPr>
        <w:t> </w:t>
      </w:r>
      <w:r>
        <w:rPr>
          <w:rFonts w:ascii="Times New Roman"/>
          <w:i/>
          <w:sz w:val="20"/>
        </w:rPr>
        <w:t>Government</w:t>
      </w:r>
      <w:r>
        <w:rPr>
          <w:rFonts w:ascii="Times New Roman"/>
          <w:i/>
          <w:spacing w:val="-2"/>
          <w:sz w:val="20"/>
        </w:rPr>
        <w:t> </w:t>
      </w:r>
      <w:r>
        <w:rPr>
          <w:rFonts w:ascii="Times New Roman"/>
          <w:i/>
          <w:sz w:val="20"/>
        </w:rPr>
        <w:t>Act</w:t>
      </w:r>
      <w:r>
        <w:rPr>
          <w:rFonts w:ascii="Times New Roman"/>
          <w:i/>
          <w:spacing w:val="-3"/>
          <w:sz w:val="20"/>
        </w:rPr>
        <w:t> </w:t>
      </w:r>
      <w:r>
        <w:rPr>
          <w:rFonts w:ascii="Times New Roman"/>
          <w:i/>
          <w:spacing w:val="-4"/>
          <w:sz w:val="20"/>
        </w:rPr>
        <w:t>2020</w:t>
      </w:r>
    </w:p>
    <w:p>
      <w:pPr>
        <w:pStyle w:val="ListParagraph"/>
        <w:numPr>
          <w:ilvl w:val="0"/>
          <w:numId w:val="11"/>
        </w:numPr>
        <w:tabs>
          <w:tab w:pos="252" w:val="left" w:leader="none"/>
        </w:tabs>
        <w:spacing w:line="229" w:lineRule="exact" w:before="0" w:after="0"/>
        <w:ind w:left="251" w:right="0" w:hanging="152"/>
        <w:jc w:val="both"/>
        <w:rPr>
          <w:rFonts w:ascii="Times New Roman"/>
          <w:i/>
          <w:sz w:val="20"/>
        </w:rPr>
      </w:pPr>
      <w:r>
        <w:rPr>
          <w:rFonts w:ascii="Times New Roman"/>
          <w:sz w:val="20"/>
        </w:rPr>
        <w:t>Section</w:t>
      </w:r>
      <w:r>
        <w:rPr>
          <w:rFonts w:ascii="Times New Roman"/>
          <w:spacing w:val="-5"/>
          <w:sz w:val="20"/>
        </w:rPr>
        <w:t> </w:t>
      </w:r>
      <w:r>
        <w:rPr>
          <w:rFonts w:ascii="Times New Roman"/>
          <w:sz w:val="20"/>
        </w:rPr>
        <w:t>94</w:t>
      </w:r>
      <w:r>
        <w:rPr>
          <w:rFonts w:ascii="Times New Roman"/>
          <w:spacing w:val="-2"/>
          <w:sz w:val="20"/>
        </w:rPr>
        <w:t> </w:t>
      </w:r>
      <w:r>
        <w:rPr>
          <w:rFonts w:ascii="Times New Roman"/>
          <w:sz w:val="20"/>
        </w:rPr>
        <w:t>(2)(e)(f)</w:t>
      </w:r>
      <w:r>
        <w:rPr>
          <w:rFonts w:ascii="Times New Roman"/>
          <w:spacing w:val="-4"/>
          <w:sz w:val="20"/>
        </w:rPr>
        <w:t> </w:t>
      </w:r>
      <w:r>
        <w:rPr>
          <w:rFonts w:ascii="Times New Roman"/>
          <w:sz w:val="20"/>
        </w:rPr>
        <w:t>of</w:t>
      </w:r>
      <w:r>
        <w:rPr>
          <w:rFonts w:ascii="Times New Roman"/>
          <w:spacing w:val="-2"/>
          <w:sz w:val="20"/>
        </w:rPr>
        <w:t> </w:t>
      </w:r>
      <w:r>
        <w:rPr>
          <w:rFonts w:ascii="Times New Roman"/>
          <w:sz w:val="20"/>
        </w:rPr>
        <w:t>the</w:t>
      </w:r>
      <w:r>
        <w:rPr>
          <w:rFonts w:ascii="Times New Roman"/>
          <w:spacing w:val="-6"/>
          <w:sz w:val="20"/>
        </w:rPr>
        <w:t> </w:t>
      </w:r>
      <w:r>
        <w:rPr>
          <w:rFonts w:ascii="Times New Roman"/>
          <w:i/>
          <w:sz w:val="20"/>
        </w:rPr>
        <w:t>Local</w:t>
      </w:r>
      <w:r>
        <w:rPr>
          <w:rFonts w:ascii="Times New Roman"/>
          <w:i/>
          <w:spacing w:val="-4"/>
          <w:sz w:val="20"/>
        </w:rPr>
        <w:t> </w:t>
      </w:r>
      <w:r>
        <w:rPr>
          <w:rFonts w:ascii="Times New Roman"/>
          <w:i/>
          <w:sz w:val="20"/>
        </w:rPr>
        <w:t>Government</w:t>
      </w:r>
      <w:r>
        <w:rPr>
          <w:rFonts w:ascii="Times New Roman"/>
          <w:i/>
          <w:spacing w:val="-2"/>
          <w:sz w:val="20"/>
        </w:rPr>
        <w:t> </w:t>
      </w:r>
      <w:r>
        <w:rPr>
          <w:rFonts w:ascii="Times New Roman"/>
          <w:i/>
          <w:sz w:val="20"/>
        </w:rPr>
        <w:t>Act</w:t>
      </w:r>
      <w:r>
        <w:rPr>
          <w:rFonts w:ascii="Times New Roman"/>
          <w:i/>
          <w:spacing w:val="-3"/>
          <w:sz w:val="20"/>
        </w:rPr>
        <w:t> </w:t>
      </w:r>
      <w:r>
        <w:rPr>
          <w:rFonts w:ascii="Times New Roman"/>
          <w:i/>
          <w:spacing w:val="-4"/>
          <w:sz w:val="20"/>
        </w:rPr>
        <w:t>2020</w:t>
      </w:r>
    </w:p>
    <w:p>
      <w:pPr>
        <w:pStyle w:val="ListParagraph"/>
        <w:numPr>
          <w:ilvl w:val="0"/>
          <w:numId w:val="11"/>
        </w:numPr>
        <w:tabs>
          <w:tab w:pos="252" w:val="left" w:leader="none"/>
        </w:tabs>
        <w:spacing w:line="240" w:lineRule="auto" w:before="0" w:after="0"/>
        <w:ind w:left="100" w:right="6244" w:firstLine="0"/>
        <w:jc w:val="both"/>
        <w:rPr>
          <w:rFonts w:ascii="Times New Roman"/>
          <w:i/>
          <w:sz w:val="20"/>
        </w:rPr>
      </w:pPr>
      <w:r>
        <w:rPr>
          <w:rFonts w:ascii="Times New Roman"/>
          <w:sz w:val="20"/>
        </w:rPr>
        <w:t>Section</w:t>
      </w:r>
      <w:r>
        <w:rPr>
          <w:rFonts w:ascii="Times New Roman"/>
          <w:spacing w:val="-6"/>
          <w:sz w:val="20"/>
        </w:rPr>
        <w:t> </w:t>
      </w:r>
      <w:r>
        <w:rPr>
          <w:rFonts w:ascii="Times New Roman"/>
          <w:sz w:val="20"/>
        </w:rPr>
        <w:t>94</w:t>
      </w:r>
      <w:r>
        <w:rPr>
          <w:rFonts w:ascii="Times New Roman"/>
          <w:spacing w:val="-4"/>
          <w:sz w:val="20"/>
        </w:rPr>
        <w:t> </w:t>
      </w:r>
      <w:r>
        <w:rPr>
          <w:rFonts w:ascii="Times New Roman"/>
          <w:sz w:val="20"/>
        </w:rPr>
        <w:t>(2)(g)</w:t>
      </w:r>
      <w:r>
        <w:rPr>
          <w:rFonts w:ascii="Times New Roman"/>
          <w:spacing w:val="-4"/>
          <w:sz w:val="20"/>
        </w:rPr>
        <w:t> </w:t>
      </w:r>
      <w:r>
        <w:rPr>
          <w:rFonts w:ascii="Times New Roman"/>
          <w:sz w:val="20"/>
        </w:rPr>
        <w:t>of</w:t>
      </w:r>
      <w:r>
        <w:rPr>
          <w:rFonts w:ascii="Times New Roman"/>
          <w:spacing w:val="-4"/>
          <w:sz w:val="20"/>
        </w:rPr>
        <w:t> </w:t>
      </w:r>
      <w:r>
        <w:rPr>
          <w:rFonts w:ascii="Times New Roman"/>
          <w:sz w:val="20"/>
        </w:rPr>
        <w:t>the</w:t>
      </w:r>
      <w:r>
        <w:rPr>
          <w:rFonts w:ascii="Times New Roman"/>
          <w:spacing w:val="-5"/>
          <w:sz w:val="20"/>
        </w:rPr>
        <w:t> </w:t>
      </w:r>
      <w:r>
        <w:rPr>
          <w:rFonts w:ascii="Times New Roman"/>
          <w:i/>
          <w:sz w:val="20"/>
        </w:rPr>
        <w:t>Local</w:t>
      </w:r>
      <w:r>
        <w:rPr>
          <w:rFonts w:ascii="Times New Roman"/>
          <w:i/>
          <w:spacing w:val="-7"/>
          <w:sz w:val="20"/>
        </w:rPr>
        <w:t> </w:t>
      </w:r>
      <w:r>
        <w:rPr>
          <w:rFonts w:ascii="Times New Roman"/>
          <w:i/>
          <w:sz w:val="20"/>
        </w:rPr>
        <w:t>Government</w:t>
      </w:r>
      <w:r>
        <w:rPr>
          <w:rFonts w:ascii="Times New Roman"/>
          <w:i/>
          <w:spacing w:val="-4"/>
          <w:sz w:val="20"/>
        </w:rPr>
        <w:t> </w:t>
      </w:r>
      <w:r>
        <w:rPr>
          <w:rFonts w:ascii="Times New Roman"/>
          <w:i/>
          <w:sz w:val="20"/>
        </w:rPr>
        <w:t>Act</w:t>
      </w:r>
      <w:r>
        <w:rPr>
          <w:rFonts w:ascii="Times New Roman"/>
          <w:i/>
          <w:spacing w:val="-5"/>
          <w:sz w:val="20"/>
        </w:rPr>
        <w:t> </w:t>
      </w:r>
      <w:r>
        <w:rPr>
          <w:rFonts w:ascii="Times New Roman"/>
          <w:i/>
          <w:sz w:val="20"/>
        </w:rPr>
        <w:t>2020</w:t>
      </w:r>
      <w:r>
        <w:rPr>
          <w:rFonts w:ascii="Times New Roman"/>
          <w:i/>
          <w:sz w:val="20"/>
        </w:rPr>
        <w:t> </w:t>
      </w:r>
      <w:r>
        <w:rPr>
          <w:rFonts w:ascii="Times New Roman"/>
          <w:sz w:val="20"/>
        </w:rPr>
        <w:t>8</w:t>
      </w:r>
      <w:r>
        <w:rPr>
          <w:rFonts w:ascii="Times New Roman"/>
          <w:spacing w:val="-3"/>
          <w:sz w:val="20"/>
        </w:rPr>
        <w:t> </w:t>
      </w:r>
      <w:r>
        <w:rPr>
          <w:rFonts w:ascii="Times New Roman"/>
          <w:sz w:val="20"/>
        </w:rPr>
        <w:t>Section</w:t>
      </w:r>
      <w:r>
        <w:rPr>
          <w:rFonts w:ascii="Times New Roman"/>
          <w:spacing w:val="-5"/>
          <w:sz w:val="20"/>
        </w:rPr>
        <w:t> </w:t>
      </w:r>
      <w:r>
        <w:rPr>
          <w:rFonts w:ascii="Times New Roman"/>
          <w:sz w:val="20"/>
        </w:rPr>
        <w:t>94</w:t>
      </w:r>
      <w:r>
        <w:rPr>
          <w:rFonts w:ascii="Times New Roman"/>
          <w:spacing w:val="-3"/>
          <w:sz w:val="20"/>
        </w:rPr>
        <w:t> </w:t>
      </w:r>
      <w:r>
        <w:rPr>
          <w:rFonts w:ascii="Times New Roman"/>
          <w:sz w:val="20"/>
        </w:rPr>
        <w:t>(2)(h)</w:t>
      </w:r>
      <w:r>
        <w:rPr>
          <w:rFonts w:ascii="Times New Roman"/>
          <w:spacing w:val="-3"/>
          <w:sz w:val="20"/>
        </w:rPr>
        <w:t> </w:t>
      </w:r>
      <w:r>
        <w:rPr>
          <w:rFonts w:ascii="Times New Roman"/>
          <w:sz w:val="20"/>
        </w:rPr>
        <w:t>of</w:t>
      </w:r>
      <w:r>
        <w:rPr>
          <w:rFonts w:ascii="Times New Roman"/>
          <w:spacing w:val="-3"/>
          <w:sz w:val="20"/>
        </w:rPr>
        <w:t> </w:t>
      </w:r>
      <w:r>
        <w:rPr>
          <w:rFonts w:ascii="Times New Roman"/>
          <w:sz w:val="20"/>
        </w:rPr>
        <w:t>the</w:t>
      </w:r>
      <w:r>
        <w:rPr>
          <w:rFonts w:ascii="Times New Roman"/>
          <w:spacing w:val="-4"/>
          <w:sz w:val="20"/>
        </w:rPr>
        <w:t> </w:t>
      </w:r>
      <w:r>
        <w:rPr>
          <w:rFonts w:ascii="Times New Roman"/>
          <w:i/>
          <w:sz w:val="20"/>
        </w:rPr>
        <w:t>Local</w:t>
      </w:r>
      <w:r>
        <w:rPr>
          <w:rFonts w:ascii="Times New Roman"/>
          <w:i/>
          <w:spacing w:val="-6"/>
          <w:sz w:val="20"/>
        </w:rPr>
        <w:t> </w:t>
      </w:r>
      <w:r>
        <w:rPr>
          <w:rFonts w:ascii="Times New Roman"/>
          <w:i/>
          <w:sz w:val="20"/>
        </w:rPr>
        <w:t>Government</w:t>
      </w:r>
      <w:r>
        <w:rPr>
          <w:rFonts w:ascii="Times New Roman"/>
          <w:i/>
          <w:spacing w:val="-3"/>
          <w:sz w:val="20"/>
        </w:rPr>
        <w:t> </w:t>
      </w:r>
      <w:r>
        <w:rPr>
          <w:rFonts w:ascii="Times New Roman"/>
          <w:i/>
          <w:sz w:val="20"/>
        </w:rPr>
        <w:t>Act</w:t>
      </w:r>
      <w:r>
        <w:rPr>
          <w:rFonts w:ascii="Times New Roman"/>
          <w:i/>
          <w:spacing w:val="-4"/>
          <w:sz w:val="20"/>
        </w:rPr>
        <w:t> </w:t>
      </w:r>
      <w:r>
        <w:rPr>
          <w:rFonts w:ascii="Times New Roman"/>
          <w:i/>
          <w:sz w:val="20"/>
        </w:rPr>
        <w:t>2020</w:t>
      </w:r>
      <w:r>
        <w:rPr>
          <w:rFonts w:ascii="Times New Roman"/>
          <w:i/>
          <w:sz w:val="20"/>
        </w:rPr>
        <w:t> </w:t>
      </w:r>
      <w:r>
        <w:rPr>
          <w:rFonts w:ascii="Times New Roman"/>
          <w:sz w:val="20"/>
        </w:rPr>
        <w:t>9 Section 94 (2)(i) of the</w:t>
      </w:r>
      <w:r>
        <w:rPr>
          <w:rFonts w:ascii="Times New Roman"/>
          <w:spacing w:val="-1"/>
          <w:sz w:val="20"/>
        </w:rPr>
        <w:t> </w:t>
      </w:r>
      <w:r>
        <w:rPr>
          <w:rFonts w:ascii="Times New Roman"/>
          <w:i/>
          <w:sz w:val="20"/>
        </w:rPr>
        <w:t>Local</w:t>
      </w:r>
      <w:r>
        <w:rPr>
          <w:rFonts w:ascii="Times New Roman"/>
          <w:i/>
          <w:spacing w:val="-2"/>
          <w:sz w:val="20"/>
        </w:rPr>
        <w:t> </w:t>
      </w:r>
      <w:r>
        <w:rPr>
          <w:rFonts w:ascii="Times New Roman"/>
          <w:i/>
          <w:sz w:val="20"/>
        </w:rPr>
        <w:t>Government Act 2020</w:t>
      </w:r>
      <w:r>
        <w:rPr>
          <w:rFonts w:ascii="Times New Roman"/>
          <w:i/>
          <w:sz w:val="20"/>
        </w:rPr>
        <w:t> </w:t>
      </w:r>
      <w:r>
        <w:rPr>
          <w:rFonts w:ascii="Times New Roman"/>
          <w:sz w:val="20"/>
        </w:rPr>
        <w:t>10 Section 94 (3) of the </w:t>
      </w:r>
      <w:r>
        <w:rPr>
          <w:rFonts w:ascii="Times New Roman"/>
          <w:i/>
          <w:sz w:val="20"/>
        </w:rPr>
        <w:t>Local Government Act 2020</w:t>
      </w:r>
    </w:p>
    <w:p>
      <w:pPr>
        <w:pStyle w:val="ListParagraph"/>
        <w:numPr>
          <w:ilvl w:val="0"/>
          <w:numId w:val="12"/>
        </w:numPr>
        <w:tabs>
          <w:tab w:pos="353" w:val="left" w:leader="none"/>
        </w:tabs>
        <w:spacing w:line="229" w:lineRule="exact" w:before="2" w:after="0"/>
        <w:ind w:left="353" w:right="0" w:hanging="253"/>
        <w:jc w:val="both"/>
        <w:rPr>
          <w:rFonts w:ascii="Times New Roman"/>
          <w:i/>
          <w:sz w:val="20"/>
        </w:rPr>
      </w:pPr>
      <w:r>
        <w:rPr>
          <w:rFonts w:ascii="Times New Roman"/>
          <w:sz w:val="20"/>
        </w:rPr>
        <w:t>For</w:t>
      </w:r>
      <w:r>
        <w:rPr>
          <w:rFonts w:ascii="Times New Roman"/>
          <w:spacing w:val="-5"/>
          <w:sz w:val="20"/>
        </w:rPr>
        <w:t> </w:t>
      </w:r>
      <w:r>
        <w:rPr>
          <w:rFonts w:ascii="Times New Roman"/>
          <w:sz w:val="20"/>
        </w:rPr>
        <w:t>information</w:t>
      </w:r>
      <w:r>
        <w:rPr>
          <w:rFonts w:ascii="Times New Roman"/>
          <w:spacing w:val="-5"/>
          <w:sz w:val="20"/>
        </w:rPr>
        <w:t> </w:t>
      </w:r>
      <w:r>
        <w:rPr>
          <w:rFonts w:ascii="Times New Roman"/>
          <w:sz w:val="20"/>
        </w:rPr>
        <w:t>on</w:t>
      </w:r>
      <w:r>
        <w:rPr>
          <w:rFonts w:ascii="Times New Roman"/>
          <w:spacing w:val="-3"/>
          <w:sz w:val="20"/>
        </w:rPr>
        <w:t> </w:t>
      </w:r>
      <w:r>
        <w:rPr>
          <w:rFonts w:ascii="Times New Roman"/>
          <w:sz w:val="20"/>
        </w:rPr>
        <w:t>revised</w:t>
      </w:r>
      <w:r>
        <w:rPr>
          <w:rFonts w:ascii="Times New Roman"/>
          <w:spacing w:val="-3"/>
          <w:sz w:val="20"/>
        </w:rPr>
        <w:t> </w:t>
      </w:r>
      <w:r>
        <w:rPr>
          <w:rFonts w:ascii="Times New Roman"/>
          <w:sz w:val="20"/>
        </w:rPr>
        <w:t>budgets</w:t>
      </w:r>
      <w:r>
        <w:rPr>
          <w:rFonts w:ascii="Times New Roman"/>
          <w:spacing w:val="-4"/>
          <w:sz w:val="20"/>
        </w:rPr>
        <w:t> </w:t>
      </w:r>
      <w:r>
        <w:rPr>
          <w:rFonts w:ascii="Times New Roman"/>
          <w:sz w:val="20"/>
        </w:rPr>
        <w:t>see</w:t>
      </w:r>
      <w:r>
        <w:rPr>
          <w:rFonts w:ascii="Times New Roman"/>
          <w:spacing w:val="-5"/>
          <w:sz w:val="20"/>
        </w:rPr>
        <w:t> </w:t>
      </w:r>
      <w:r>
        <w:rPr>
          <w:rFonts w:ascii="Times New Roman"/>
          <w:sz w:val="20"/>
        </w:rPr>
        <w:t>Section</w:t>
      </w:r>
      <w:r>
        <w:rPr>
          <w:rFonts w:ascii="Times New Roman"/>
          <w:spacing w:val="-3"/>
          <w:sz w:val="20"/>
        </w:rPr>
        <w:t> </w:t>
      </w:r>
      <w:r>
        <w:rPr>
          <w:rFonts w:ascii="Times New Roman"/>
          <w:sz w:val="20"/>
        </w:rPr>
        <w:t>95</w:t>
      </w:r>
      <w:r>
        <w:rPr>
          <w:rFonts w:ascii="Times New Roman"/>
          <w:spacing w:val="-3"/>
          <w:sz w:val="20"/>
        </w:rPr>
        <w:t> </w:t>
      </w:r>
      <w:r>
        <w:rPr>
          <w:rFonts w:ascii="Times New Roman"/>
          <w:sz w:val="20"/>
        </w:rPr>
        <w:t>of</w:t>
      </w:r>
      <w:r>
        <w:rPr>
          <w:rFonts w:ascii="Times New Roman"/>
          <w:spacing w:val="-4"/>
          <w:sz w:val="20"/>
        </w:rPr>
        <w:t> </w:t>
      </w:r>
      <w:r>
        <w:rPr>
          <w:rFonts w:ascii="Times New Roman"/>
          <w:sz w:val="20"/>
        </w:rPr>
        <w:t>the</w:t>
      </w:r>
      <w:r>
        <w:rPr>
          <w:rFonts w:ascii="Times New Roman"/>
          <w:spacing w:val="-4"/>
          <w:sz w:val="20"/>
        </w:rPr>
        <w:t> </w:t>
      </w:r>
      <w:r>
        <w:rPr>
          <w:rFonts w:ascii="Times New Roman"/>
          <w:i/>
          <w:sz w:val="20"/>
        </w:rPr>
        <w:t>Local</w:t>
      </w:r>
      <w:r>
        <w:rPr>
          <w:rFonts w:ascii="Times New Roman"/>
          <w:i/>
          <w:spacing w:val="-4"/>
          <w:sz w:val="20"/>
        </w:rPr>
        <w:t> </w:t>
      </w:r>
      <w:r>
        <w:rPr>
          <w:rFonts w:ascii="Times New Roman"/>
          <w:i/>
          <w:sz w:val="20"/>
        </w:rPr>
        <w:t>Government</w:t>
      </w:r>
      <w:r>
        <w:rPr>
          <w:rFonts w:ascii="Times New Roman"/>
          <w:i/>
          <w:spacing w:val="-3"/>
          <w:sz w:val="20"/>
        </w:rPr>
        <w:t> </w:t>
      </w:r>
      <w:r>
        <w:rPr>
          <w:rFonts w:ascii="Times New Roman"/>
          <w:i/>
          <w:sz w:val="20"/>
        </w:rPr>
        <w:t>Act</w:t>
      </w:r>
      <w:r>
        <w:rPr>
          <w:rFonts w:ascii="Times New Roman"/>
          <w:i/>
          <w:spacing w:val="-3"/>
          <w:sz w:val="20"/>
        </w:rPr>
        <w:t> </w:t>
      </w:r>
      <w:r>
        <w:rPr>
          <w:rFonts w:ascii="Times New Roman"/>
          <w:i/>
          <w:spacing w:val="-4"/>
          <w:sz w:val="20"/>
        </w:rPr>
        <w:t>2020</w:t>
      </w:r>
    </w:p>
    <w:p>
      <w:pPr>
        <w:pStyle w:val="ListParagraph"/>
        <w:numPr>
          <w:ilvl w:val="0"/>
          <w:numId w:val="12"/>
        </w:numPr>
        <w:tabs>
          <w:tab w:pos="353" w:val="left" w:leader="none"/>
        </w:tabs>
        <w:spacing w:line="240" w:lineRule="auto" w:before="0" w:after="0"/>
        <w:ind w:left="100" w:right="3210" w:firstLine="0"/>
        <w:jc w:val="both"/>
        <w:rPr>
          <w:rFonts w:ascii="Times New Roman"/>
          <w:i/>
          <w:sz w:val="20"/>
        </w:rPr>
      </w:pPr>
      <w:r>
        <w:rPr>
          <w:rFonts w:ascii="Times New Roman"/>
          <w:sz w:val="20"/>
        </w:rPr>
        <w:t>Regulation</w:t>
      </w:r>
      <w:r>
        <w:rPr>
          <w:rFonts w:ascii="Times New Roman"/>
          <w:spacing w:val="-2"/>
          <w:sz w:val="20"/>
        </w:rPr>
        <w:t> </w:t>
      </w:r>
      <w:r>
        <w:rPr>
          <w:rFonts w:ascii="Times New Roman"/>
          <w:sz w:val="20"/>
        </w:rPr>
        <w:t>7(1)(b)</w:t>
      </w:r>
      <w:r>
        <w:rPr>
          <w:rFonts w:ascii="Times New Roman"/>
          <w:spacing w:val="-2"/>
          <w:sz w:val="20"/>
        </w:rPr>
        <w:t> </w:t>
      </w:r>
      <w:r>
        <w:rPr>
          <w:rFonts w:ascii="Times New Roman"/>
          <w:sz w:val="20"/>
        </w:rPr>
        <w:t>of</w:t>
      </w:r>
      <w:r>
        <w:rPr>
          <w:rFonts w:ascii="Times New Roman"/>
          <w:spacing w:val="-4"/>
          <w:sz w:val="20"/>
        </w:rPr>
        <w:t> </w:t>
      </w:r>
      <w:r>
        <w:rPr>
          <w:rFonts w:ascii="Times New Roman"/>
          <w:sz w:val="20"/>
        </w:rPr>
        <w:t>the</w:t>
      </w:r>
      <w:r>
        <w:rPr>
          <w:rFonts w:ascii="Times New Roman"/>
          <w:spacing w:val="-3"/>
          <w:sz w:val="20"/>
        </w:rPr>
        <w:t> </w:t>
      </w:r>
      <w:r>
        <w:rPr>
          <w:rFonts w:ascii="Times New Roman"/>
          <w:i/>
          <w:sz w:val="20"/>
        </w:rPr>
        <w:t>Local</w:t>
      </w:r>
      <w:r>
        <w:rPr>
          <w:rFonts w:ascii="Times New Roman"/>
          <w:i/>
          <w:spacing w:val="-4"/>
          <w:sz w:val="20"/>
        </w:rPr>
        <w:t> </w:t>
      </w:r>
      <w:r>
        <w:rPr>
          <w:rFonts w:ascii="Times New Roman"/>
          <w:i/>
          <w:sz w:val="20"/>
        </w:rPr>
        <w:t>Government</w:t>
      </w:r>
      <w:r>
        <w:rPr>
          <w:rFonts w:ascii="Times New Roman"/>
          <w:i/>
          <w:spacing w:val="-2"/>
          <w:sz w:val="20"/>
        </w:rPr>
        <w:t> </w:t>
      </w:r>
      <w:r>
        <w:rPr>
          <w:rFonts w:ascii="Times New Roman"/>
          <w:i/>
          <w:sz w:val="20"/>
        </w:rPr>
        <w:t>(Planning</w:t>
      </w:r>
      <w:r>
        <w:rPr>
          <w:rFonts w:ascii="Times New Roman"/>
          <w:i/>
          <w:spacing w:val="-4"/>
          <w:sz w:val="20"/>
        </w:rPr>
        <w:t> </w:t>
      </w:r>
      <w:r>
        <w:rPr>
          <w:rFonts w:ascii="Times New Roman"/>
          <w:i/>
          <w:sz w:val="20"/>
        </w:rPr>
        <w:t>and</w:t>
      </w:r>
      <w:r>
        <w:rPr>
          <w:rFonts w:ascii="Times New Roman"/>
          <w:i/>
          <w:spacing w:val="-6"/>
          <w:sz w:val="20"/>
        </w:rPr>
        <w:t> </w:t>
      </w:r>
      <w:r>
        <w:rPr>
          <w:rFonts w:ascii="Times New Roman"/>
          <w:i/>
          <w:sz w:val="20"/>
        </w:rPr>
        <w:t>Reporting)</w:t>
      </w:r>
      <w:r>
        <w:rPr>
          <w:rFonts w:ascii="Times New Roman"/>
          <w:i/>
          <w:spacing w:val="-4"/>
          <w:sz w:val="20"/>
        </w:rPr>
        <w:t> </w:t>
      </w:r>
      <w:r>
        <w:rPr>
          <w:rFonts w:ascii="Times New Roman"/>
          <w:i/>
          <w:sz w:val="20"/>
        </w:rPr>
        <w:t>Regulations</w:t>
      </w:r>
      <w:r>
        <w:rPr>
          <w:rFonts w:ascii="Times New Roman"/>
          <w:i/>
          <w:spacing w:val="-6"/>
          <w:sz w:val="20"/>
        </w:rPr>
        <w:t> </w:t>
      </w:r>
      <w:r>
        <w:rPr>
          <w:rFonts w:ascii="Times New Roman"/>
          <w:i/>
          <w:sz w:val="20"/>
        </w:rPr>
        <w:t>2020</w:t>
      </w:r>
      <w:r>
        <w:rPr>
          <w:rFonts w:ascii="Times New Roman"/>
          <w:i/>
          <w:sz w:val="20"/>
        </w:rPr>
        <w:t> </w:t>
      </w:r>
      <w:r>
        <w:rPr>
          <w:rFonts w:ascii="Times New Roman"/>
          <w:sz w:val="20"/>
        </w:rPr>
        <w:t>13</w:t>
      </w:r>
      <w:r>
        <w:rPr>
          <w:rFonts w:ascii="Times New Roman"/>
          <w:spacing w:val="-1"/>
          <w:sz w:val="20"/>
        </w:rPr>
        <w:t> </w:t>
      </w:r>
      <w:r>
        <w:rPr>
          <w:rFonts w:ascii="Times New Roman"/>
          <w:sz w:val="20"/>
        </w:rPr>
        <w:t>Regulation</w:t>
      </w:r>
      <w:r>
        <w:rPr>
          <w:rFonts w:ascii="Times New Roman"/>
          <w:spacing w:val="-1"/>
          <w:sz w:val="20"/>
        </w:rPr>
        <w:t> </w:t>
      </w:r>
      <w:r>
        <w:rPr>
          <w:rFonts w:ascii="Times New Roman"/>
          <w:sz w:val="20"/>
        </w:rPr>
        <w:t>7(1)(a)</w:t>
      </w:r>
      <w:r>
        <w:rPr>
          <w:rFonts w:ascii="Times New Roman"/>
          <w:spacing w:val="-3"/>
          <w:sz w:val="20"/>
        </w:rPr>
        <w:t> </w:t>
      </w:r>
      <w:r>
        <w:rPr>
          <w:rFonts w:ascii="Times New Roman"/>
          <w:sz w:val="20"/>
        </w:rPr>
        <w:t>of</w:t>
      </w:r>
      <w:r>
        <w:rPr>
          <w:rFonts w:ascii="Times New Roman"/>
          <w:spacing w:val="-1"/>
          <w:sz w:val="20"/>
        </w:rPr>
        <w:t> </w:t>
      </w:r>
      <w:r>
        <w:rPr>
          <w:rFonts w:ascii="Times New Roman"/>
          <w:sz w:val="20"/>
        </w:rPr>
        <w:t>the</w:t>
      </w:r>
      <w:r>
        <w:rPr>
          <w:rFonts w:ascii="Times New Roman"/>
          <w:spacing w:val="-4"/>
          <w:sz w:val="20"/>
        </w:rPr>
        <w:t> </w:t>
      </w:r>
      <w:r>
        <w:rPr>
          <w:rFonts w:ascii="Times New Roman"/>
          <w:i/>
          <w:sz w:val="20"/>
        </w:rPr>
        <w:t>Local</w:t>
      </w:r>
      <w:r>
        <w:rPr>
          <w:rFonts w:ascii="Times New Roman"/>
          <w:i/>
          <w:spacing w:val="-3"/>
          <w:sz w:val="20"/>
        </w:rPr>
        <w:t> </w:t>
      </w:r>
      <w:r>
        <w:rPr>
          <w:rFonts w:ascii="Times New Roman"/>
          <w:i/>
          <w:sz w:val="20"/>
        </w:rPr>
        <w:t>Government</w:t>
      </w:r>
      <w:r>
        <w:rPr>
          <w:rFonts w:ascii="Times New Roman"/>
          <w:i/>
          <w:spacing w:val="-1"/>
          <w:sz w:val="20"/>
        </w:rPr>
        <w:t> </w:t>
      </w:r>
      <w:r>
        <w:rPr>
          <w:rFonts w:ascii="Times New Roman"/>
          <w:i/>
          <w:sz w:val="20"/>
        </w:rPr>
        <w:t>(Planning</w:t>
      </w:r>
      <w:r>
        <w:rPr>
          <w:rFonts w:ascii="Times New Roman"/>
          <w:i/>
          <w:spacing w:val="-3"/>
          <w:sz w:val="20"/>
        </w:rPr>
        <w:t> </w:t>
      </w:r>
      <w:r>
        <w:rPr>
          <w:rFonts w:ascii="Times New Roman"/>
          <w:i/>
          <w:sz w:val="20"/>
        </w:rPr>
        <w:t>and</w:t>
      </w:r>
      <w:r>
        <w:rPr>
          <w:rFonts w:ascii="Times New Roman"/>
          <w:i/>
          <w:spacing w:val="-5"/>
          <w:sz w:val="20"/>
        </w:rPr>
        <w:t> </w:t>
      </w:r>
      <w:r>
        <w:rPr>
          <w:rFonts w:ascii="Times New Roman"/>
          <w:i/>
          <w:sz w:val="20"/>
        </w:rPr>
        <w:t>Reporting)</w:t>
      </w:r>
      <w:r>
        <w:rPr>
          <w:rFonts w:ascii="Times New Roman"/>
          <w:i/>
          <w:spacing w:val="-3"/>
          <w:sz w:val="20"/>
        </w:rPr>
        <w:t> </w:t>
      </w:r>
      <w:r>
        <w:rPr>
          <w:rFonts w:ascii="Times New Roman"/>
          <w:i/>
          <w:sz w:val="20"/>
        </w:rPr>
        <w:t>Regulations</w:t>
      </w:r>
      <w:r>
        <w:rPr>
          <w:rFonts w:ascii="Times New Roman"/>
          <w:i/>
          <w:spacing w:val="-5"/>
          <w:sz w:val="20"/>
        </w:rPr>
        <w:t> </w:t>
      </w:r>
      <w:r>
        <w:rPr>
          <w:rFonts w:ascii="Times New Roman"/>
          <w:i/>
          <w:sz w:val="20"/>
        </w:rPr>
        <w:t>2020</w:t>
      </w:r>
      <w:r>
        <w:rPr>
          <w:rFonts w:ascii="Times New Roman"/>
          <w:i/>
          <w:sz w:val="20"/>
        </w:rPr>
        <w:t> </w:t>
      </w:r>
      <w:r>
        <w:rPr>
          <w:rFonts w:ascii="Times New Roman"/>
          <w:sz w:val="20"/>
        </w:rPr>
        <w:t>14 Regulation 8 of the </w:t>
      </w:r>
      <w:r>
        <w:rPr>
          <w:rFonts w:ascii="Times New Roman"/>
          <w:i/>
          <w:sz w:val="20"/>
        </w:rPr>
        <w:t>Local Government (Planning and Reporting) Regulations 2020</w:t>
      </w:r>
    </w:p>
    <w:p>
      <w:pPr>
        <w:spacing w:after="0" w:line="240" w:lineRule="auto"/>
        <w:jc w:val="both"/>
        <w:rPr>
          <w:rFonts w:ascii="Times New Roman"/>
          <w:sz w:val="20"/>
        </w:rPr>
        <w:sectPr>
          <w:pgSz w:w="11910" w:h="16840"/>
          <w:pgMar w:header="0" w:footer="381" w:top="640" w:bottom="580" w:left="620" w:right="600"/>
        </w:sectPr>
      </w:pPr>
    </w:p>
    <w:p>
      <w:pPr>
        <w:pStyle w:val="Heading1"/>
        <w:jc w:val="both"/>
      </w:pPr>
      <w:bookmarkStart w:name="_TOC_250024" w:id="8"/>
      <w:r>
        <w:rPr>
          <w:color w:val="232852"/>
        </w:rPr>
        <w:t>Summary</w:t>
      </w:r>
      <w:r>
        <w:rPr>
          <w:color w:val="232852"/>
          <w:spacing w:val="-10"/>
        </w:rPr>
        <w:t> </w:t>
      </w:r>
      <w:r>
        <w:rPr>
          <w:color w:val="232852"/>
        </w:rPr>
        <w:t>of</w:t>
      </w:r>
      <w:r>
        <w:rPr>
          <w:color w:val="232852"/>
          <w:spacing w:val="-10"/>
        </w:rPr>
        <w:t> </w:t>
      </w:r>
      <w:r>
        <w:rPr>
          <w:color w:val="232852"/>
        </w:rPr>
        <w:t>financial</w:t>
      </w:r>
      <w:r>
        <w:rPr>
          <w:color w:val="232852"/>
          <w:spacing w:val="-6"/>
        </w:rPr>
        <w:t> </w:t>
      </w:r>
      <w:bookmarkEnd w:id="8"/>
      <w:r>
        <w:rPr>
          <w:color w:val="232852"/>
          <w:spacing w:val="-2"/>
        </w:rPr>
        <w:t>position</w:t>
      </w:r>
    </w:p>
    <w:p>
      <w:pPr>
        <w:pStyle w:val="BodyText"/>
        <w:spacing w:before="314"/>
        <w:ind w:left="100" w:right="115"/>
        <w:jc w:val="both"/>
      </w:pPr>
      <w:r>
        <w:rPr/>
        <w:t>This section considers</w:t>
      </w:r>
      <w:r>
        <w:rPr>
          <w:spacing w:val="-1"/>
        </w:rPr>
        <w:t> </w:t>
      </w:r>
      <w:r>
        <w:rPr/>
        <w:t>the long-term financial projections of the Council. The Act and Regulations require a Financial Plan to be prepared covering both financial and non-financial resources and including financial performance</w:t>
      </w:r>
      <w:r>
        <w:rPr>
          <w:spacing w:val="-8"/>
        </w:rPr>
        <w:t> </w:t>
      </w:r>
      <w:r>
        <w:rPr/>
        <w:t>indicators</w:t>
      </w:r>
      <w:r>
        <w:rPr>
          <w:spacing w:val="-11"/>
        </w:rPr>
        <w:t> </w:t>
      </w:r>
      <w:r>
        <w:rPr/>
        <w:t>for</w:t>
      </w:r>
      <w:r>
        <w:rPr>
          <w:spacing w:val="-7"/>
        </w:rPr>
        <w:t> </w:t>
      </w:r>
      <w:r>
        <w:rPr/>
        <w:t>at</w:t>
      </w:r>
      <w:r>
        <w:rPr>
          <w:spacing w:val="-8"/>
        </w:rPr>
        <w:t> </w:t>
      </w:r>
      <w:r>
        <w:rPr/>
        <w:t>least</w:t>
      </w:r>
      <w:r>
        <w:rPr>
          <w:spacing w:val="-6"/>
        </w:rPr>
        <w:t> </w:t>
      </w:r>
      <w:r>
        <w:rPr/>
        <w:t>the</w:t>
      </w:r>
      <w:r>
        <w:rPr>
          <w:spacing w:val="-10"/>
        </w:rPr>
        <w:t> </w:t>
      </w:r>
      <w:r>
        <w:rPr/>
        <w:t>next</w:t>
      </w:r>
      <w:r>
        <w:rPr>
          <w:spacing w:val="-11"/>
        </w:rPr>
        <w:t> </w:t>
      </w:r>
      <w:r>
        <w:rPr/>
        <w:t>four</w:t>
      </w:r>
      <w:r>
        <w:rPr>
          <w:spacing w:val="-9"/>
        </w:rPr>
        <w:t> </w:t>
      </w:r>
      <w:r>
        <w:rPr/>
        <w:t>financial</w:t>
      </w:r>
      <w:r>
        <w:rPr>
          <w:spacing w:val="-8"/>
        </w:rPr>
        <w:t> </w:t>
      </w:r>
      <w:r>
        <w:rPr/>
        <w:t>years</w:t>
      </w:r>
      <w:r>
        <w:rPr>
          <w:spacing w:val="-8"/>
        </w:rPr>
        <w:t> </w:t>
      </w:r>
      <w:r>
        <w:rPr/>
        <w:t>to</w:t>
      </w:r>
      <w:r>
        <w:rPr>
          <w:spacing w:val="-8"/>
        </w:rPr>
        <w:t> </w:t>
      </w:r>
      <w:r>
        <w:rPr/>
        <w:t>support</w:t>
      </w:r>
      <w:r>
        <w:rPr>
          <w:spacing w:val="-10"/>
        </w:rPr>
        <w:t> </w:t>
      </w:r>
      <w:r>
        <w:rPr/>
        <w:t>the</w:t>
      </w:r>
      <w:r>
        <w:rPr>
          <w:spacing w:val="-8"/>
        </w:rPr>
        <w:t> </w:t>
      </w:r>
      <w:r>
        <w:rPr/>
        <w:t>Council</w:t>
      </w:r>
      <w:r>
        <w:rPr>
          <w:spacing w:val="-11"/>
        </w:rPr>
        <w:t> </w:t>
      </w:r>
      <w:r>
        <w:rPr/>
        <w:t>Plan.</w:t>
      </w:r>
      <w:r>
        <w:rPr>
          <w:spacing w:val="-6"/>
        </w:rPr>
        <w:t> </w:t>
      </w:r>
      <w:r>
        <w:rPr/>
        <w:t>Council</w:t>
      </w:r>
      <w:r>
        <w:rPr>
          <w:spacing w:val="-6"/>
        </w:rPr>
        <w:t> </w:t>
      </w:r>
      <w:r>
        <w:rPr/>
        <w:t>prepares the Financial Plan for the next ten years from which the financial statements are derived.</w:t>
      </w:r>
    </w:p>
    <w:p>
      <w:pPr>
        <w:pStyle w:val="BodyText"/>
      </w:pPr>
    </w:p>
    <w:p>
      <w:pPr>
        <w:pStyle w:val="BodyText"/>
        <w:ind w:left="100" w:right="115"/>
        <w:jc w:val="both"/>
      </w:pPr>
      <w:r>
        <w:rPr/>
        <w:t>Key budget information is provided below about the rate increase; comprehensive result; cash and </w:t>
      </w:r>
      <w:r>
        <w:rPr>
          <w:spacing w:val="-2"/>
        </w:rPr>
        <w:t>investments;</w:t>
      </w:r>
      <w:r>
        <w:rPr>
          <w:spacing w:val="-3"/>
        </w:rPr>
        <w:t> </w:t>
      </w:r>
      <w:r>
        <w:rPr>
          <w:spacing w:val="-2"/>
        </w:rPr>
        <w:t>capital</w:t>
      </w:r>
      <w:r>
        <w:rPr>
          <w:spacing w:val="-6"/>
        </w:rPr>
        <w:t> </w:t>
      </w:r>
      <w:r>
        <w:rPr>
          <w:spacing w:val="-2"/>
        </w:rPr>
        <w:t>expenditure; financial</w:t>
      </w:r>
      <w:r>
        <w:rPr>
          <w:spacing w:val="-3"/>
        </w:rPr>
        <w:t> </w:t>
      </w:r>
      <w:r>
        <w:rPr>
          <w:spacing w:val="-2"/>
        </w:rPr>
        <w:t>position</w:t>
      </w:r>
      <w:r>
        <w:rPr>
          <w:spacing w:val="-8"/>
        </w:rPr>
        <w:t> </w:t>
      </w:r>
      <w:r>
        <w:rPr>
          <w:spacing w:val="-2"/>
        </w:rPr>
        <w:t>(working capital)</w:t>
      </w:r>
      <w:r>
        <w:rPr/>
        <w:t> </w:t>
      </w:r>
      <w:r>
        <w:rPr>
          <w:spacing w:val="-2"/>
        </w:rPr>
        <w:t>and</w:t>
      </w:r>
      <w:r>
        <w:rPr>
          <w:spacing w:val="-5"/>
        </w:rPr>
        <w:t> </w:t>
      </w:r>
      <w:r>
        <w:rPr>
          <w:spacing w:val="-2"/>
        </w:rPr>
        <w:t>financial</w:t>
      </w:r>
      <w:r>
        <w:rPr>
          <w:spacing w:val="-3"/>
        </w:rPr>
        <w:t> </w:t>
      </w:r>
      <w:r>
        <w:rPr>
          <w:spacing w:val="-2"/>
        </w:rPr>
        <w:t>sustainability</w:t>
      </w:r>
      <w:r>
        <w:rPr/>
        <w:t> </w:t>
      </w:r>
      <w:r>
        <w:rPr>
          <w:spacing w:val="-2"/>
        </w:rPr>
        <w:t>of</w:t>
      </w:r>
      <w:r>
        <w:rPr>
          <w:spacing w:val="-1"/>
        </w:rPr>
        <w:t> </w:t>
      </w:r>
      <w:r>
        <w:rPr>
          <w:spacing w:val="-2"/>
        </w:rPr>
        <w:t>the</w:t>
      </w:r>
      <w:r>
        <w:rPr>
          <w:spacing w:val="-7"/>
        </w:rPr>
        <w:t> </w:t>
      </w:r>
      <w:r>
        <w:rPr>
          <w:spacing w:val="-2"/>
        </w:rPr>
        <w:t>Council.</w:t>
      </w:r>
    </w:p>
    <w:p>
      <w:pPr>
        <w:pStyle w:val="BodyText"/>
      </w:pPr>
    </w:p>
    <w:p>
      <w:pPr>
        <w:pStyle w:val="Heading4"/>
        <w:ind w:left="100" w:firstLine="0"/>
        <w:jc w:val="both"/>
      </w:pPr>
      <w:r>
        <w:rPr>
          <w:color w:val="4966AC"/>
        </w:rPr>
        <w:t>Rate</w:t>
      </w:r>
      <w:r>
        <w:rPr>
          <w:color w:val="4966AC"/>
          <w:spacing w:val="-2"/>
        </w:rPr>
        <w:t> Increase</w:t>
      </w:r>
    </w:p>
    <w:p>
      <w:pPr>
        <w:pStyle w:val="BodyText"/>
        <w:spacing w:before="3"/>
        <w:rPr>
          <w:b/>
          <w:sz w:val="26"/>
        </w:rPr>
      </w:pPr>
      <w:r>
        <w:rPr/>
        <w:drawing>
          <wp:anchor distT="0" distB="0" distL="0" distR="0" allowOverlap="1" layoutInCell="1" locked="0" behindDoc="0" simplePos="0" relativeHeight="5">
            <wp:simplePos x="0" y="0"/>
            <wp:positionH relativeFrom="page">
              <wp:posOffset>1033272</wp:posOffset>
            </wp:positionH>
            <wp:positionV relativeFrom="paragraph">
              <wp:posOffset>207026</wp:posOffset>
            </wp:positionV>
            <wp:extent cx="5492495" cy="2456688"/>
            <wp:effectExtent l="0" t="0" r="0" b="0"/>
            <wp:wrapTopAndBottom/>
            <wp:docPr id="7" name="image5.jpeg"/>
            <wp:cNvGraphicFramePr>
              <a:graphicFrameLocks noChangeAspect="1"/>
            </wp:cNvGraphicFramePr>
            <a:graphic>
              <a:graphicData uri="http://schemas.openxmlformats.org/drawingml/2006/picture">
                <pic:pic>
                  <pic:nvPicPr>
                    <pic:cNvPr id="8" name="image5.jpeg"/>
                    <pic:cNvPicPr/>
                  </pic:nvPicPr>
                  <pic:blipFill>
                    <a:blip r:embed="rId13" cstate="print"/>
                    <a:stretch>
                      <a:fillRect/>
                    </a:stretch>
                  </pic:blipFill>
                  <pic:spPr>
                    <a:xfrm>
                      <a:off x="0" y="0"/>
                      <a:ext cx="5492495" cy="2456688"/>
                    </a:xfrm>
                    <a:prstGeom prst="rect">
                      <a:avLst/>
                    </a:prstGeom>
                  </pic:spPr>
                </pic:pic>
              </a:graphicData>
            </a:graphic>
          </wp:anchor>
        </w:drawing>
      </w:r>
    </w:p>
    <w:p>
      <w:pPr>
        <w:pStyle w:val="BodyText"/>
        <w:spacing w:before="5"/>
        <w:rPr>
          <w:b/>
          <w:sz w:val="19"/>
        </w:rPr>
      </w:pPr>
    </w:p>
    <w:p>
      <w:pPr>
        <w:spacing w:line="206" w:lineRule="exact" w:before="100"/>
        <w:ind w:left="2978" w:right="3090" w:firstLine="0"/>
        <w:jc w:val="center"/>
        <w:rPr>
          <w:rFonts w:ascii="Arial Narrow"/>
          <w:sz w:val="18"/>
        </w:rPr>
      </w:pPr>
      <w:r>
        <w:rPr>
          <w:rFonts w:ascii="Arial Narrow"/>
          <w:sz w:val="18"/>
        </w:rPr>
        <w:t>A</w:t>
      </w:r>
      <w:r>
        <w:rPr>
          <w:rFonts w:ascii="Arial Narrow"/>
          <w:spacing w:val="-1"/>
          <w:sz w:val="18"/>
        </w:rPr>
        <w:t> </w:t>
      </w:r>
      <w:r>
        <w:rPr>
          <w:rFonts w:ascii="Arial Narrow"/>
          <w:sz w:val="18"/>
        </w:rPr>
        <w:t>= Actual</w:t>
      </w:r>
      <w:r>
        <w:rPr>
          <w:rFonts w:ascii="Arial Narrow"/>
          <w:spacing w:val="59"/>
          <w:w w:val="150"/>
          <w:sz w:val="18"/>
        </w:rPr>
        <w:t> </w:t>
      </w:r>
      <w:r>
        <w:rPr>
          <w:rFonts w:ascii="Arial Narrow"/>
          <w:sz w:val="18"/>
        </w:rPr>
        <w:t>F =</w:t>
      </w:r>
      <w:r>
        <w:rPr>
          <w:rFonts w:ascii="Arial Narrow"/>
          <w:spacing w:val="-1"/>
          <w:sz w:val="18"/>
        </w:rPr>
        <w:t> </w:t>
      </w:r>
      <w:r>
        <w:rPr>
          <w:rFonts w:ascii="Arial Narrow"/>
          <w:sz w:val="18"/>
        </w:rPr>
        <w:t>Forecast</w:t>
      </w:r>
      <w:r>
        <w:rPr>
          <w:rFonts w:ascii="Arial Narrow"/>
          <w:spacing w:val="39"/>
          <w:sz w:val="18"/>
        </w:rPr>
        <w:t>  </w:t>
      </w:r>
      <w:r>
        <w:rPr>
          <w:rFonts w:ascii="Arial Narrow"/>
          <w:sz w:val="18"/>
        </w:rPr>
        <w:t>B = Budget</w:t>
      </w:r>
      <w:r>
        <w:rPr>
          <w:rFonts w:ascii="Arial Narrow"/>
          <w:spacing w:val="60"/>
          <w:w w:val="150"/>
          <w:sz w:val="18"/>
        </w:rPr>
        <w:t> </w:t>
      </w:r>
      <w:r>
        <w:rPr>
          <w:rFonts w:ascii="Arial Narrow"/>
          <w:sz w:val="18"/>
        </w:rPr>
        <w:t>FP =</w:t>
      </w:r>
      <w:r>
        <w:rPr>
          <w:rFonts w:ascii="Arial Narrow"/>
          <w:spacing w:val="-1"/>
          <w:sz w:val="18"/>
        </w:rPr>
        <w:t> </w:t>
      </w:r>
      <w:r>
        <w:rPr>
          <w:rFonts w:ascii="Arial Narrow"/>
          <w:sz w:val="18"/>
        </w:rPr>
        <w:t>Financial</w:t>
      </w:r>
      <w:r>
        <w:rPr>
          <w:rFonts w:ascii="Arial Narrow"/>
          <w:spacing w:val="1"/>
          <w:sz w:val="18"/>
        </w:rPr>
        <w:t> </w:t>
      </w:r>
      <w:r>
        <w:rPr>
          <w:rFonts w:ascii="Arial Narrow"/>
          <w:sz w:val="18"/>
        </w:rPr>
        <w:t>Plan</w:t>
      </w:r>
      <w:r>
        <w:rPr>
          <w:rFonts w:ascii="Arial Narrow"/>
          <w:spacing w:val="-2"/>
          <w:sz w:val="18"/>
        </w:rPr>
        <w:t> estimates</w:t>
      </w:r>
    </w:p>
    <w:p>
      <w:pPr>
        <w:spacing w:before="0"/>
        <w:ind w:left="100" w:right="0" w:firstLine="0"/>
        <w:jc w:val="left"/>
        <w:rPr>
          <w:sz w:val="18"/>
        </w:rPr>
      </w:pPr>
      <w:r>
        <w:rPr>
          <w:sz w:val="18"/>
        </w:rPr>
        <w:t>Source: Section</w:t>
      </w:r>
      <w:r>
        <w:rPr>
          <w:spacing w:val="-2"/>
          <w:sz w:val="18"/>
        </w:rPr>
        <w:t> </w:t>
      </w:r>
      <w:r>
        <w:rPr>
          <w:spacing w:val="-10"/>
          <w:sz w:val="18"/>
        </w:rPr>
        <w:t>3</w:t>
      </w:r>
    </w:p>
    <w:p>
      <w:pPr>
        <w:pStyle w:val="BodyText"/>
        <w:spacing w:before="11"/>
        <w:rPr>
          <w:sz w:val="13"/>
        </w:rPr>
      </w:pPr>
    </w:p>
    <w:p>
      <w:pPr>
        <w:pStyle w:val="BodyText"/>
        <w:spacing w:before="94"/>
        <w:ind w:left="100" w:right="114"/>
        <w:jc w:val="both"/>
      </w:pPr>
      <w:r>
        <w:rPr/>
        <w:t>The</w:t>
      </w:r>
      <w:r>
        <w:rPr>
          <w:spacing w:val="-15"/>
        </w:rPr>
        <w:t> </w:t>
      </w:r>
      <w:r>
        <w:rPr/>
        <w:t>average</w:t>
      </w:r>
      <w:r>
        <w:rPr>
          <w:spacing w:val="-7"/>
        </w:rPr>
        <w:t> </w:t>
      </w:r>
      <w:r>
        <w:rPr/>
        <w:t>general</w:t>
      </w:r>
      <w:r>
        <w:rPr>
          <w:spacing w:val="-8"/>
        </w:rPr>
        <w:t> </w:t>
      </w:r>
      <w:r>
        <w:rPr/>
        <w:t>rate</w:t>
      </w:r>
      <w:r>
        <w:rPr>
          <w:spacing w:val="-7"/>
        </w:rPr>
        <w:t> </w:t>
      </w:r>
      <w:r>
        <w:rPr/>
        <w:t>charge</w:t>
      </w:r>
      <w:r>
        <w:rPr>
          <w:spacing w:val="-9"/>
        </w:rPr>
        <w:t> </w:t>
      </w:r>
      <w:r>
        <w:rPr/>
        <w:t>will</w:t>
      </w:r>
      <w:r>
        <w:rPr>
          <w:spacing w:val="-5"/>
        </w:rPr>
        <w:t> </w:t>
      </w:r>
      <w:r>
        <w:rPr/>
        <w:t>increase</w:t>
      </w:r>
      <w:r>
        <w:rPr>
          <w:spacing w:val="-7"/>
        </w:rPr>
        <w:t> </w:t>
      </w:r>
      <w:r>
        <w:rPr/>
        <w:t>by</w:t>
      </w:r>
      <w:r>
        <w:rPr>
          <w:spacing w:val="-7"/>
        </w:rPr>
        <w:t> </w:t>
      </w:r>
      <w:r>
        <w:rPr/>
        <w:t>3.00%</w:t>
      </w:r>
      <w:r>
        <w:rPr>
          <w:spacing w:val="-9"/>
        </w:rPr>
        <w:t> </w:t>
      </w:r>
      <w:r>
        <w:rPr/>
        <w:t>for</w:t>
      </w:r>
      <w:r>
        <w:rPr>
          <w:spacing w:val="-10"/>
        </w:rPr>
        <w:t> </w:t>
      </w:r>
      <w:r>
        <w:rPr/>
        <w:t>the</w:t>
      </w:r>
      <w:r>
        <w:rPr>
          <w:spacing w:val="-9"/>
        </w:rPr>
        <w:t> </w:t>
      </w:r>
      <w:r>
        <w:rPr/>
        <w:t>2025/26</w:t>
      </w:r>
      <w:r>
        <w:rPr>
          <w:spacing w:val="-9"/>
        </w:rPr>
        <w:t> </w:t>
      </w:r>
      <w:r>
        <w:rPr/>
        <w:t>year</w:t>
      </w:r>
      <w:r>
        <w:rPr>
          <w:spacing w:val="-5"/>
        </w:rPr>
        <w:t> </w:t>
      </w:r>
      <w:r>
        <w:rPr/>
        <w:t>in</w:t>
      </w:r>
      <w:r>
        <w:rPr>
          <w:spacing w:val="-9"/>
        </w:rPr>
        <w:t> </w:t>
      </w:r>
      <w:r>
        <w:rPr/>
        <w:t>accordance</w:t>
      </w:r>
      <w:r>
        <w:rPr>
          <w:spacing w:val="-9"/>
        </w:rPr>
        <w:t> </w:t>
      </w:r>
      <w:r>
        <w:rPr/>
        <w:t>with</w:t>
      </w:r>
      <w:r>
        <w:rPr>
          <w:spacing w:val="-11"/>
        </w:rPr>
        <w:t> </w:t>
      </w:r>
      <w:r>
        <w:rPr/>
        <w:t>the</w:t>
      </w:r>
      <w:r>
        <w:rPr>
          <w:spacing w:val="-9"/>
        </w:rPr>
        <w:t> </w:t>
      </w:r>
      <w:r>
        <w:rPr/>
        <w:t>rate</w:t>
      </w:r>
      <w:r>
        <w:rPr>
          <w:spacing w:val="-7"/>
        </w:rPr>
        <w:t> </w:t>
      </w:r>
      <w:r>
        <w:rPr/>
        <w:t>cap set by the Minister for Local Government, raising $93.847 million, including $0.503 million generated from supplementary rates. This rate increase is in line with Council’s rating strategy.</w:t>
      </w:r>
    </w:p>
    <w:p>
      <w:pPr>
        <w:pStyle w:val="BodyText"/>
      </w:pPr>
    </w:p>
    <w:p>
      <w:pPr>
        <w:pStyle w:val="BodyText"/>
        <w:ind w:left="100" w:right="189"/>
      </w:pPr>
      <w:r>
        <w:rPr/>
        <w:t>Future</w:t>
      </w:r>
      <w:r>
        <w:rPr>
          <w:spacing w:val="-4"/>
        </w:rPr>
        <w:t> </w:t>
      </w:r>
      <w:r>
        <w:rPr/>
        <w:t>average</w:t>
      </w:r>
      <w:r>
        <w:rPr>
          <w:spacing w:val="-4"/>
        </w:rPr>
        <w:t> </w:t>
      </w:r>
      <w:r>
        <w:rPr/>
        <w:t>rate increases</w:t>
      </w:r>
      <w:r>
        <w:rPr>
          <w:spacing w:val="-2"/>
        </w:rPr>
        <w:t> </w:t>
      </w:r>
      <w:r>
        <w:rPr/>
        <w:t>are</w:t>
      </w:r>
      <w:r>
        <w:rPr>
          <w:spacing w:val="-3"/>
        </w:rPr>
        <w:t> </w:t>
      </w:r>
      <w:r>
        <w:rPr/>
        <w:t>forecast</w:t>
      </w:r>
      <w:r>
        <w:rPr>
          <w:spacing w:val="-2"/>
        </w:rPr>
        <w:t> </w:t>
      </w:r>
      <w:r>
        <w:rPr/>
        <w:t>to be</w:t>
      </w:r>
      <w:r>
        <w:rPr>
          <w:spacing w:val="-8"/>
        </w:rPr>
        <w:t> </w:t>
      </w:r>
      <w:r>
        <w:rPr/>
        <w:t>2.75%</w:t>
      </w:r>
      <w:r>
        <w:rPr>
          <w:spacing w:val="-2"/>
        </w:rPr>
        <w:t> </w:t>
      </w:r>
      <w:r>
        <w:rPr/>
        <w:t>and</w:t>
      </w:r>
      <w:r>
        <w:rPr>
          <w:spacing w:val="-1"/>
        </w:rPr>
        <w:t> </w:t>
      </w:r>
      <w:r>
        <w:rPr/>
        <w:t>are</w:t>
      </w:r>
      <w:r>
        <w:rPr>
          <w:spacing w:val="-4"/>
        </w:rPr>
        <w:t> </w:t>
      </w:r>
      <w:r>
        <w:rPr/>
        <w:t>based</w:t>
      </w:r>
      <w:r>
        <w:rPr>
          <w:spacing w:val="-3"/>
        </w:rPr>
        <w:t> </w:t>
      </w:r>
      <w:r>
        <w:rPr/>
        <w:t>on</w:t>
      </w:r>
      <w:r>
        <w:rPr>
          <w:spacing w:val="-3"/>
        </w:rPr>
        <w:t> </w:t>
      </w:r>
      <w:r>
        <w:rPr/>
        <w:t>predicted</w:t>
      </w:r>
      <w:r>
        <w:rPr>
          <w:spacing w:val="-3"/>
        </w:rPr>
        <w:t> </w:t>
      </w:r>
      <w:r>
        <w:rPr/>
        <w:t>future</w:t>
      </w:r>
      <w:r>
        <w:rPr>
          <w:spacing w:val="-4"/>
        </w:rPr>
        <w:t> </w:t>
      </w:r>
      <w:r>
        <w:rPr/>
        <w:t>CPI</w:t>
      </w:r>
      <w:r>
        <w:rPr>
          <w:spacing w:val="-1"/>
        </w:rPr>
        <w:t> </w:t>
      </w:r>
      <w:r>
        <w:rPr/>
        <w:t>increases from the RBA Economic Outlook February 2025, however, this does not commit Council to any predetermined increase. The Long-Term Financial Plan is reviewed annually as part of Council’s budget deliberations and future rate increases will be considered in light of prevailing economic conditions, community needs, and the rate cap ordered by the Minister of Local Government.</w:t>
      </w:r>
    </w:p>
    <w:p>
      <w:pPr>
        <w:pStyle w:val="BodyText"/>
        <w:spacing w:before="11"/>
        <w:rPr>
          <w:sz w:val="21"/>
        </w:rPr>
      </w:pPr>
    </w:p>
    <w:p>
      <w:pPr>
        <w:pStyle w:val="BodyText"/>
        <w:ind w:left="100"/>
      </w:pPr>
      <w:r>
        <w:rPr/>
        <w:t>Waste</w:t>
      </w:r>
      <w:r>
        <w:rPr>
          <w:spacing w:val="-3"/>
        </w:rPr>
        <w:t> </w:t>
      </w:r>
      <w:r>
        <w:rPr/>
        <w:t>Charges</w:t>
      </w:r>
      <w:r>
        <w:rPr>
          <w:spacing w:val="-3"/>
        </w:rPr>
        <w:t> </w:t>
      </w:r>
      <w:r>
        <w:rPr/>
        <w:t>are</w:t>
      </w:r>
      <w:r>
        <w:rPr>
          <w:spacing w:val="-2"/>
        </w:rPr>
        <w:t> </w:t>
      </w:r>
      <w:r>
        <w:rPr/>
        <w:t>estimated</w:t>
      </w:r>
      <w:r>
        <w:rPr>
          <w:spacing w:val="-3"/>
        </w:rPr>
        <w:t> </w:t>
      </w:r>
      <w:r>
        <w:rPr/>
        <w:t>to</w:t>
      </w:r>
      <w:r>
        <w:rPr>
          <w:spacing w:val="-5"/>
        </w:rPr>
        <w:t> </w:t>
      </w:r>
      <w:r>
        <w:rPr/>
        <w:t>increase</w:t>
      </w:r>
      <w:r>
        <w:rPr>
          <w:spacing w:val="-3"/>
        </w:rPr>
        <w:t> </w:t>
      </w:r>
      <w:r>
        <w:rPr/>
        <w:t>by</w:t>
      </w:r>
      <w:r>
        <w:rPr>
          <w:spacing w:val="-3"/>
        </w:rPr>
        <w:t> </w:t>
      </w:r>
      <w:r>
        <w:rPr/>
        <w:t>6.12%</w:t>
      </w:r>
      <w:r>
        <w:rPr>
          <w:spacing w:val="-1"/>
        </w:rPr>
        <w:t> </w:t>
      </w:r>
      <w:r>
        <w:rPr/>
        <w:t>to</w:t>
      </w:r>
      <w:r>
        <w:rPr>
          <w:spacing w:val="-1"/>
        </w:rPr>
        <w:t> </w:t>
      </w:r>
      <w:r>
        <w:rPr/>
        <w:t>be</w:t>
      </w:r>
      <w:r>
        <w:rPr>
          <w:spacing w:val="-3"/>
        </w:rPr>
        <w:t> </w:t>
      </w:r>
      <w:r>
        <w:rPr/>
        <w:t>charged</w:t>
      </w:r>
      <w:r>
        <w:rPr>
          <w:spacing w:val="-3"/>
        </w:rPr>
        <w:t> </w:t>
      </w:r>
      <w:r>
        <w:rPr/>
        <w:t>to</w:t>
      </w:r>
      <w:r>
        <w:rPr>
          <w:spacing w:val="-3"/>
        </w:rPr>
        <w:t> </w:t>
      </w:r>
      <w:r>
        <w:rPr/>
        <w:t>ratepayers</w:t>
      </w:r>
      <w:r>
        <w:rPr>
          <w:spacing w:val="-1"/>
        </w:rPr>
        <w:t> </w:t>
      </w:r>
      <w:r>
        <w:rPr/>
        <w:t>as</w:t>
      </w:r>
      <w:r>
        <w:rPr>
          <w:spacing w:val="-1"/>
        </w:rPr>
        <w:t> </w:t>
      </w:r>
      <w:r>
        <w:rPr/>
        <w:t>a</w:t>
      </w:r>
      <w:r>
        <w:rPr>
          <w:spacing w:val="-3"/>
        </w:rPr>
        <w:t> </w:t>
      </w:r>
      <w:r>
        <w:rPr/>
        <w:t>full</w:t>
      </w:r>
      <w:r>
        <w:rPr>
          <w:spacing w:val="-1"/>
        </w:rPr>
        <w:t> </w:t>
      </w:r>
      <w:r>
        <w:rPr/>
        <w:t>cost recovery </w:t>
      </w:r>
      <w:r>
        <w:rPr>
          <w:spacing w:val="-2"/>
        </w:rPr>
        <w:t>service.</w:t>
      </w:r>
    </w:p>
    <w:p>
      <w:pPr>
        <w:spacing w:after="0"/>
        <w:sectPr>
          <w:footerReference w:type="default" r:id="rId12"/>
          <w:pgSz w:w="11910" w:h="16840"/>
          <w:pgMar w:footer="378" w:header="0" w:top="640" w:bottom="560" w:left="620" w:right="600"/>
        </w:sectPr>
      </w:pPr>
    </w:p>
    <w:p>
      <w:pPr>
        <w:pStyle w:val="Heading4"/>
        <w:spacing w:before="82"/>
        <w:ind w:left="100" w:firstLine="0"/>
        <w:jc w:val="both"/>
      </w:pPr>
      <w:r>
        <w:rPr>
          <w:color w:val="4966AC"/>
        </w:rPr>
        <w:t>Comprehensive </w:t>
      </w:r>
      <w:r>
        <w:rPr>
          <w:color w:val="4966AC"/>
          <w:spacing w:val="-2"/>
        </w:rPr>
        <w:t>Result</w:t>
      </w:r>
    </w:p>
    <w:p>
      <w:pPr>
        <w:pStyle w:val="BodyText"/>
        <w:spacing w:before="2"/>
        <w:rPr>
          <w:b/>
          <w:sz w:val="25"/>
        </w:rPr>
      </w:pPr>
      <w:r>
        <w:rPr/>
        <w:drawing>
          <wp:anchor distT="0" distB="0" distL="0" distR="0" allowOverlap="1" layoutInCell="1" locked="0" behindDoc="0" simplePos="0" relativeHeight="6">
            <wp:simplePos x="0" y="0"/>
            <wp:positionH relativeFrom="page">
              <wp:posOffset>1109472</wp:posOffset>
            </wp:positionH>
            <wp:positionV relativeFrom="paragraph">
              <wp:posOffset>199404</wp:posOffset>
            </wp:positionV>
            <wp:extent cx="5340096" cy="2542031"/>
            <wp:effectExtent l="0" t="0" r="0" b="0"/>
            <wp:wrapTopAndBottom/>
            <wp:docPr id="9" name="image6.jpeg"/>
            <wp:cNvGraphicFramePr>
              <a:graphicFrameLocks noChangeAspect="1"/>
            </wp:cNvGraphicFramePr>
            <a:graphic>
              <a:graphicData uri="http://schemas.openxmlformats.org/drawingml/2006/picture">
                <pic:pic>
                  <pic:nvPicPr>
                    <pic:cNvPr id="10" name="image6.jpeg"/>
                    <pic:cNvPicPr/>
                  </pic:nvPicPr>
                  <pic:blipFill>
                    <a:blip r:embed="rId14" cstate="print"/>
                    <a:stretch>
                      <a:fillRect/>
                    </a:stretch>
                  </pic:blipFill>
                  <pic:spPr>
                    <a:xfrm>
                      <a:off x="0" y="0"/>
                      <a:ext cx="5340096" cy="2542031"/>
                    </a:xfrm>
                    <a:prstGeom prst="rect">
                      <a:avLst/>
                    </a:prstGeom>
                  </pic:spPr>
                </pic:pic>
              </a:graphicData>
            </a:graphic>
          </wp:anchor>
        </w:drawing>
      </w:r>
    </w:p>
    <w:p>
      <w:pPr>
        <w:spacing w:before="30"/>
        <w:ind w:left="155" w:right="0" w:firstLine="0"/>
        <w:jc w:val="both"/>
        <w:rPr>
          <w:sz w:val="18"/>
        </w:rPr>
      </w:pPr>
      <w:r>
        <w:rPr>
          <w:sz w:val="18"/>
        </w:rPr>
        <w:t>Source:</w:t>
      </w:r>
      <w:r>
        <w:rPr>
          <w:spacing w:val="-2"/>
          <w:sz w:val="18"/>
        </w:rPr>
        <w:t> </w:t>
      </w:r>
      <w:r>
        <w:rPr>
          <w:sz w:val="18"/>
        </w:rPr>
        <w:t>Section</w:t>
      </w:r>
      <w:r>
        <w:rPr>
          <w:spacing w:val="-2"/>
          <w:sz w:val="18"/>
        </w:rPr>
        <w:t> </w:t>
      </w:r>
      <w:r>
        <w:rPr>
          <w:spacing w:val="-10"/>
          <w:sz w:val="18"/>
        </w:rPr>
        <w:t>3</w:t>
      </w:r>
    </w:p>
    <w:p>
      <w:pPr>
        <w:pStyle w:val="BodyText"/>
        <w:spacing w:before="2"/>
      </w:pPr>
    </w:p>
    <w:p>
      <w:pPr>
        <w:pStyle w:val="BodyText"/>
        <w:ind w:left="100" w:right="114"/>
        <w:jc w:val="both"/>
      </w:pPr>
      <w:r>
        <w:rPr/>
        <w:t>The expected comprehensive result</w:t>
      </w:r>
      <w:r>
        <w:rPr>
          <w:spacing w:val="-2"/>
        </w:rPr>
        <w:t> </w:t>
      </w:r>
      <w:r>
        <w:rPr/>
        <w:t>for</w:t>
      </w:r>
      <w:r>
        <w:rPr>
          <w:spacing w:val="-1"/>
        </w:rPr>
        <w:t> </w:t>
      </w:r>
      <w:r>
        <w:rPr/>
        <w:t>the 2025/26 year is a surplus of $17.61 million, which is a</w:t>
      </w:r>
      <w:r>
        <w:rPr>
          <w:spacing w:val="-1"/>
        </w:rPr>
        <w:t> </w:t>
      </w:r>
      <w:r>
        <w:rPr/>
        <w:t>decrease of $14.32 million over the 2024/25 Forecast. This is mainly due to income recognition of capital grants previously expected in 2023/2024 (including $24.2 million for the Ringwood multi-level carpark) being deferred to 2024/25 in line with accounting standards.</w:t>
      </w:r>
    </w:p>
    <w:p>
      <w:pPr>
        <w:pStyle w:val="BodyText"/>
        <w:spacing w:before="11"/>
        <w:rPr>
          <w:sz w:val="21"/>
        </w:rPr>
      </w:pPr>
    </w:p>
    <w:p>
      <w:pPr>
        <w:pStyle w:val="BodyText"/>
        <w:ind w:left="100" w:right="114"/>
        <w:jc w:val="both"/>
      </w:pPr>
      <w:r>
        <w:rPr/>
        <w:t>It is anticipated that a surplus result will be achieved throughout the Financial Plan period. The forecast comprehensive result for the 2024/25 year is a surplus of $31.93 million which is slightly higher than the adopted</w:t>
      </w:r>
      <w:r>
        <w:rPr>
          <w:spacing w:val="-1"/>
        </w:rPr>
        <w:t> </w:t>
      </w:r>
      <w:r>
        <w:rPr/>
        <w:t>budget of</w:t>
      </w:r>
      <w:r>
        <w:rPr>
          <w:spacing w:val="-3"/>
        </w:rPr>
        <w:t> </w:t>
      </w:r>
      <w:r>
        <w:rPr/>
        <w:t>$30.13 million. However,</w:t>
      </w:r>
      <w:r>
        <w:rPr>
          <w:spacing w:val="-1"/>
        </w:rPr>
        <w:t> </w:t>
      </w:r>
      <w:r>
        <w:rPr/>
        <w:t>the</w:t>
      </w:r>
      <w:r>
        <w:rPr>
          <w:spacing w:val="-1"/>
        </w:rPr>
        <w:t> </w:t>
      </w:r>
      <w:r>
        <w:rPr/>
        <w:t>comprehensive</w:t>
      </w:r>
      <w:r>
        <w:rPr>
          <w:spacing w:val="-3"/>
        </w:rPr>
        <w:t> </w:t>
      </w:r>
      <w:r>
        <w:rPr/>
        <w:t>result</w:t>
      </w:r>
      <w:r>
        <w:rPr>
          <w:spacing w:val="-3"/>
        </w:rPr>
        <w:t> </w:t>
      </w:r>
      <w:r>
        <w:rPr/>
        <w:t>is</w:t>
      </w:r>
      <w:r>
        <w:rPr>
          <w:spacing w:val="-1"/>
        </w:rPr>
        <w:t> </w:t>
      </w:r>
      <w:r>
        <w:rPr/>
        <w:t>not the</w:t>
      </w:r>
      <w:r>
        <w:rPr>
          <w:spacing w:val="-3"/>
        </w:rPr>
        <w:t> </w:t>
      </w:r>
      <w:r>
        <w:rPr/>
        <w:t>only</w:t>
      </w:r>
      <w:r>
        <w:rPr>
          <w:spacing w:val="-1"/>
        </w:rPr>
        <w:t> </w:t>
      </w:r>
      <w:r>
        <w:rPr/>
        <w:t>measure</w:t>
      </w:r>
      <w:r>
        <w:rPr>
          <w:spacing w:val="-4"/>
        </w:rPr>
        <w:t> </w:t>
      </w:r>
      <w:r>
        <w:rPr/>
        <w:t>that</w:t>
      </w:r>
      <w:r>
        <w:rPr>
          <w:spacing w:val="-5"/>
        </w:rPr>
        <w:t> </w:t>
      </w:r>
      <w:r>
        <w:rPr/>
        <w:t>identifies Council’s</w:t>
      </w:r>
      <w:r>
        <w:rPr>
          <w:spacing w:val="-16"/>
        </w:rPr>
        <w:t> </w:t>
      </w:r>
      <w:r>
        <w:rPr/>
        <w:t>position</w:t>
      </w:r>
      <w:r>
        <w:rPr>
          <w:spacing w:val="-15"/>
        </w:rPr>
        <w:t> </w:t>
      </w:r>
      <w:r>
        <w:rPr/>
        <w:t>in</w:t>
      </w:r>
      <w:r>
        <w:rPr>
          <w:spacing w:val="-15"/>
        </w:rPr>
        <w:t> </w:t>
      </w:r>
      <w:r>
        <w:rPr/>
        <w:t>ensuring</w:t>
      </w:r>
      <w:r>
        <w:rPr>
          <w:spacing w:val="-16"/>
        </w:rPr>
        <w:t> </w:t>
      </w:r>
      <w:r>
        <w:rPr/>
        <w:t>financial</w:t>
      </w:r>
      <w:r>
        <w:rPr>
          <w:spacing w:val="-15"/>
        </w:rPr>
        <w:t> </w:t>
      </w:r>
      <w:r>
        <w:rPr/>
        <w:t>sustainability</w:t>
      </w:r>
      <w:r>
        <w:rPr>
          <w:spacing w:val="-15"/>
        </w:rPr>
        <w:t> </w:t>
      </w:r>
      <w:r>
        <w:rPr/>
        <w:t>and</w:t>
      </w:r>
      <w:r>
        <w:rPr>
          <w:spacing w:val="-15"/>
        </w:rPr>
        <w:t> </w:t>
      </w:r>
      <w:r>
        <w:rPr/>
        <w:t>delivering</w:t>
      </w:r>
      <w:r>
        <w:rPr>
          <w:spacing w:val="-16"/>
        </w:rPr>
        <w:t> </w:t>
      </w:r>
      <w:r>
        <w:rPr/>
        <w:t>services,</w:t>
      </w:r>
      <w:r>
        <w:rPr>
          <w:spacing w:val="-15"/>
        </w:rPr>
        <w:t> </w:t>
      </w:r>
      <w:r>
        <w:rPr/>
        <w:t>given</w:t>
      </w:r>
      <w:r>
        <w:rPr>
          <w:spacing w:val="-15"/>
        </w:rPr>
        <w:t> </w:t>
      </w:r>
      <w:r>
        <w:rPr/>
        <w:t>that</w:t>
      </w:r>
      <w:r>
        <w:rPr>
          <w:spacing w:val="-16"/>
        </w:rPr>
        <w:t> </w:t>
      </w:r>
      <w:r>
        <w:rPr/>
        <w:t>it</w:t>
      </w:r>
      <w:r>
        <w:rPr>
          <w:spacing w:val="-15"/>
        </w:rPr>
        <w:t> </w:t>
      </w:r>
      <w:r>
        <w:rPr/>
        <w:t>comprises</w:t>
      </w:r>
      <w:r>
        <w:rPr>
          <w:spacing w:val="-15"/>
        </w:rPr>
        <w:t> </w:t>
      </w:r>
      <w:r>
        <w:rPr/>
        <w:t>of</w:t>
      </w:r>
      <w:r>
        <w:rPr>
          <w:spacing w:val="-15"/>
        </w:rPr>
        <w:t> </w:t>
      </w:r>
      <w:r>
        <w:rPr/>
        <w:t>income of a capital nature and grants. Hence, Council continues to measure the underlying result as well as the comprehensive result, when considering particular decisions.</w:t>
      </w:r>
    </w:p>
    <w:p>
      <w:pPr>
        <w:pStyle w:val="BodyText"/>
        <w:spacing w:before="1"/>
      </w:pPr>
    </w:p>
    <w:p>
      <w:pPr>
        <w:pStyle w:val="Heading4"/>
        <w:ind w:left="100" w:firstLine="0"/>
        <w:jc w:val="both"/>
      </w:pPr>
      <w:r>
        <w:rPr>
          <w:color w:val="4966AC"/>
        </w:rPr>
        <w:t>Cash</w:t>
      </w:r>
      <w:r>
        <w:rPr>
          <w:color w:val="4966AC"/>
          <w:spacing w:val="2"/>
        </w:rPr>
        <w:t> </w:t>
      </w:r>
      <w:r>
        <w:rPr>
          <w:color w:val="4966AC"/>
        </w:rPr>
        <w:t>and </w:t>
      </w:r>
      <w:r>
        <w:rPr>
          <w:color w:val="4966AC"/>
          <w:spacing w:val="-2"/>
        </w:rPr>
        <w:t>Investments</w:t>
      </w:r>
    </w:p>
    <w:p>
      <w:pPr>
        <w:pStyle w:val="BodyText"/>
        <w:spacing w:before="4"/>
        <w:rPr>
          <w:b/>
          <w:sz w:val="19"/>
        </w:rPr>
      </w:pPr>
      <w:r>
        <w:rPr/>
        <w:drawing>
          <wp:anchor distT="0" distB="0" distL="0" distR="0" allowOverlap="1" layoutInCell="1" locked="0" behindDoc="0" simplePos="0" relativeHeight="7">
            <wp:simplePos x="0" y="0"/>
            <wp:positionH relativeFrom="page">
              <wp:posOffset>1106424</wp:posOffset>
            </wp:positionH>
            <wp:positionV relativeFrom="paragraph">
              <wp:posOffset>156857</wp:posOffset>
            </wp:positionV>
            <wp:extent cx="5349240" cy="2782824"/>
            <wp:effectExtent l="0" t="0" r="0" b="0"/>
            <wp:wrapTopAndBottom/>
            <wp:docPr id="11" name="image7.jpeg"/>
            <wp:cNvGraphicFramePr>
              <a:graphicFrameLocks noChangeAspect="1"/>
            </wp:cNvGraphicFramePr>
            <a:graphic>
              <a:graphicData uri="http://schemas.openxmlformats.org/drawingml/2006/picture">
                <pic:pic>
                  <pic:nvPicPr>
                    <pic:cNvPr id="12" name="image7.jpeg"/>
                    <pic:cNvPicPr/>
                  </pic:nvPicPr>
                  <pic:blipFill>
                    <a:blip r:embed="rId15" cstate="print"/>
                    <a:stretch>
                      <a:fillRect/>
                    </a:stretch>
                  </pic:blipFill>
                  <pic:spPr>
                    <a:xfrm>
                      <a:off x="0" y="0"/>
                      <a:ext cx="5349240" cy="2782824"/>
                    </a:xfrm>
                    <a:prstGeom prst="rect">
                      <a:avLst/>
                    </a:prstGeom>
                  </pic:spPr>
                </pic:pic>
              </a:graphicData>
            </a:graphic>
          </wp:anchor>
        </w:drawing>
      </w:r>
    </w:p>
    <w:p>
      <w:pPr>
        <w:spacing w:before="1"/>
        <w:ind w:left="100" w:right="0" w:firstLine="0"/>
        <w:jc w:val="both"/>
        <w:rPr>
          <w:sz w:val="18"/>
        </w:rPr>
      </w:pPr>
      <w:r>
        <w:rPr>
          <w:sz w:val="18"/>
        </w:rPr>
        <w:t>Source: Section</w:t>
      </w:r>
      <w:r>
        <w:rPr>
          <w:spacing w:val="-2"/>
          <w:sz w:val="18"/>
        </w:rPr>
        <w:t> </w:t>
      </w:r>
      <w:r>
        <w:rPr>
          <w:spacing w:val="-10"/>
          <w:sz w:val="18"/>
        </w:rPr>
        <w:t>3</w:t>
      </w:r>
    </w:p>
    <w:p>
      <w:pPr>
        <w:pStyle w:val="BodyText"/>
        <w:spacing w:before="2"/>
      </w:pPr>
    </w:p>
    <w:p>
      <w:pPr>
        <w:pStyle w:val="BodyText"/>
        <w:ind w:left="100" w:right="114"/>
        <w:jc w:val="both"/>
      </w:pPr>
      <w:r>
        <w:rPr/>
        <w:t>Cash and investments are expected to increase</w:t>
      </w:r>
      <w:r>
        <w:rPr>
          <w:spacing w:val="-1"/>
        </w:rPr>
        <w:t> </w:t>
      </w:r>
      <w:r>
        <w:rPr/>
        <w:t>by $14.20 million during the year to</w:t>
      </w:r>
      <w:r>
        <w:rPr>
          <w:spacing w:val="-1"/>
        </w:rPr>
        <w:t> </w:t>
      </w:r>
      <w:r>
        <w:rPr/>
        <w:t>$54.17 million as of 30 June</w:t>
      </w:r>
      <w:r>
        <w:rPr>
          <w:spacing w:val="-7"/>
        </w:rPr>
        <w:t> </w:t>
      </w:r>
      <w:r>
        <w:rPr/>
        <w:t>2026.</w:t>
      </w:r>
      <w:r>
        <w:rPr>
          <w:spacing w:val="-9"/>
        </w:rPr>
        <w:t> </w:t>
      </w:r>
      <w:r>
        <w:rPr/>
        <w:t>The</w:t>
      </w:r>
      <w:r>
        <w:rPr>
          <w:spacing w:val="-9"/>
        </w:rPr>
        <w:t> </w:t>
      </w:r>
      <w:r>
        <w:rPr/>
        <w:t>increase</w:t>
      </w:r>
      <w:r>
        <w:rPr>
          <w:spacing w:val="-13"/>
        </w:rPr>
        <w:t> </w:t>
      </w:r>
      <w:r>
        <w:rPr/>
        <w:t>in</w:t>
      </w:r>
      <w:r>
        <w:rPr>
          <w:spacing w:val="-9"/>
        </w:rPr>
        <w:t> </w:t>
      </w:r>
      <w:r>
        <w:rPr/>
        <w:t>cash</w:t>
      </w:r>
      <w:r>
        <w:rPr>
          <w:spacing w:val="-7"/>
        </w:rPr>
        <w:t> </w:t>
      </w:r>
      <w:r>
        <w:rPr/>
        <w:t>and</w:t>
      </w:r>
      <w:r>
        <w:rPr>
          <w:spacing w:val="-9"/>
        </w:rPr>
        <w:t> </w:t>
      </w:r>
      <w:r>
        <w:rPr/>
        <w:t>investments</w:t>
      </w:r>
      <w:r>
        <w:rPr>
          <w:spacing w:val="-12"/>
        </w:rPr>
        <w:t> </w:t>
      </w:r>
      <w:r>
        <w:rPr/>
        <w:t>is</w:t>
      </w:r>
      <w:r>
        <w:rPr>
          <w:spacing w:val="-7"/>
        </w:rPr>
        <w:t> </w:t>
      </w:r>
      <w:r>
        <w:rPr/>
        <w:t>mainly</w:t>
      </w:r>
      <w:r>
        <w:rPr>
          <w:spacing w:val="-12"/>
        </w:rPr>
        <w:t> </w:t>
      </w:r>
      <w:r>
        <w:rPr/>
        <w:t>due</w:t>
      </w:r>
      <w:r>
        <w:rPr>
          <w:spacing w:val="-10"/>
        </w:rPr>
        <w:t> </w:t>
      </w:r>
      <w:r>
        <w:rPr/>
        <w:t>to</w:t>
      </w:r>
      <w:r>
        <w:rPr>
          <w:spacing w:val="-9"/>
        </w:rPr>
        <w:t> </w:t>
      </w:r>
      <w:r>
        <w:rPr/>
        <w:t>$10.00</w:t>
      </w:r>
      <w:r>
        <w:rPr>
          <w:spacing w:val="-11"/>
        </w:rPr>
        <w:t> </w:t>
      </w:r>
      <w:r>
        <w:rPr/>
        <w:t>million</w:t>
      </w:r>
      <w:r>
        <w:rPr>
          <w:spacing w:val="-9"/>
        </w:rPr>
        <w:t> </w:t>
      </w:r>
      <w:r>
        <w:rPr/>
        <w:t>from</w:t>
      </w:r>
      <w:r>
        <w:rPr>
          <w:spacing w:val="-10"/>
        </w:rPr>
        <w:t> </w:t>
      </w:r>
      <w:r>
        <w:rPr/>
        <w:t>Borrowings</w:t>
      </w:r>
      <w:r>
        <w:rPr>
          <w:spacing w:val="-10"/>
        </w:rPr>
        <w:t> </w:t>
      </w:r>
      <w:r>
        <w:rPr/>
        <w:t>in</w:t>
      </w:r>
      <w:r>
        <w:rPr>
          <w:spacing w:val="-9"/>
        </w:rPr>
        <w:t> </w:t>
      </w:r>
      <w:r>
        <w:rPr/>
        <w:t>line</w:t>
      </w:r>
      <w:r>
        <w:rPr>
          <w:spacing w:val="-7"/>
        </w:rPr>
        <w:t> </w:t>
      </w:r>
      <w:r>
        <w:rPr/>
        <w:t>with Council's Financial Plan. The higher level of cash and investments for 2023/2024 relates to the receipt of a capital</w:t>
      </w:r>
      <w:r>
        <w:rPr>
          <w:spacing w:val="-3"/>
        </w:rPr>
        <w:t> </w:t>
      </w:r>
      <w:r>
        <w:rPr/>
        <w:t>grant</w:t>
      </w:r>
      <w:r>
        <w:rPr>
          <w:spacing w:val="-3"/>
        </w:rPr>
        <w:t> </w:t>
      </w:r>
      <w:r>
        <w:rPr/>
        <w:t>relating</w:t>
      </w:r>
      <w:r>
        <w:rPr>
          <w:spacing w:val="-3"/>
        </w:rPr>
        <w:t> </w:t>
      </w:r>
      <w:r>
        <w:rPr/>
        <w:t>to</w:t>
      </w:r>
      <w:r>
        <w:rPr>
          <w:spacing w:val="-7"/>
        </w:rPr>
        <w:t> </w:t>
      </w:r>
      <w:r>
        <w:rPr/>
        <w:t>the</w:t>
      </w:r>
      <w:r>
        <w:rPr>
          <w:spacing w:val="-3"/>
        </w:rPr>
        <w:t> </w:t>
      </w:r>
      <w:r>
        <w:rPr/>
        <w:t>Ringwood</w:t>
      </w:r>
      <w:r>
        <w:rPr>
          <w:spacing w:val="-3"/>
        </w:rPr>
        <w:t> </w:t>
      </w:r>
      <w:r>
        <w:rPr/>
        <w:t>multi-level</w:t>
      </w:r>
      <w:r>
        <w:rPr>
          <w:spacing w:val="-3"/>
        </w:rPr>
        <w:t> </w:t>
      </w:r>
      <w:r>
        <w:rPr/>
        <w:t>carpark.</w:t>
      </w:r>
      <w:r>
        <w:rPr>
          <w:spacing w:val="40"/>
        </w:rPr>
        <w:t> </w:t>
      </w:r>
      <w:r>
        <w:rPr/>
        <w:t>A</w:t>
      </w:r>
      <w:r>
        <w:rPr>
          <w:spacing w:val="-5"/>
        </w:rPr>
        <w:t> </w:t>
      </w:r>
      <w:r>
        <w:rPr/>
        <w:t>strong</w:t>
      </w:r>
      <w:r>
        <w:rPr>
          <w:spacing w:val="-5"/>
        </w:rPr>
        <w:t> </w:t>
      </w:r>
      <w:r>
        <w:rPr/>
        <w:t>cash</w:t>
      </w:r>
      <w:r>
        <w:rPr>
          <w:spacing w:val="-3"/>
        </w:rPr>
        <w:t> </w:t>
      </w:r>
      <w:r>
        <w:rPr/>
        <w:t>position</w:t>
      </w:r>
      <w:r>
        <w:rPr>
          <w:spacing w:val="-3"/>
        </w:rPr>
        <w:t> </w:t>
      </w:r>
      <w:r>
        <w:rPr/>
        <w:t>will</w:t>
      </w:r>
      <w:r>
        <w:rPr>
          <w:spacing w:val="-3"/>
        </w:rPr>
        <w:t> </w:t>
      </w:r>
      <w:r>
        <w:rPr/>
        <w:t>be</w:t>
      </w:r>
      <w:r>
        <w:rPr>
          <w:spacing w:val="-3"/>
        </w:rPr>
        <w:t> </w:t>
      </w:r>
      <w:r>
        <w:rPr/>
        <w:t>maintained</w:t>
      </w:r>
      <w:r>
        <w:rPr>
          <w:spacing w:val="-3"/>
        </w:rPr>
        <w:t> </w:t>
      </w:r>
      <w:r>
        <w:rPr/>
        <w:t>over</w:t>
      </w:r>
      <w:r>
        <w:rPr>
          <w:spacing w:val="-4"/>
        </w:rPr>
        <w:t> </w:t>
      </w:r>
      <w:r>
        <w:rPr/>
        <w:t>the term of the Council's Financial Plan to ensure financial sustainability.</w:t>
      </w:r>
    </w:p>
    <w:p>
      <w:pPr>
        <w:spacing w:after="0"/>
        <w:jc w:val="both"/>
        <w:sectPr>
          <w:pgSz w:w="11910" w:h="16840"/>
          <w:pgMar w:header="0" w:footer="378" w:top="620" w:bottom="560" w:left="620" w:right="600"/>
        </w:sectPr>
      </w:pPr>
    </w:p>
    <w:p>
      <w:pPr>
        <w:pStyle w:val="Heading4"/>
        <w:spacing w:before="82"/>
        <w:ind w:left="100" w:firstLine="0"/>
      </w:pPr>
      <w:r>
        <w:rPr>
          <w:color w:val="4966AC"/>
        </w:rPr>
        <w:t>Capital</w:t>
      </w:r>
      <w:r>
        <w:rPr>
          <w:color w:val="4966AC"/>
          <w:spacing w:val="2"/>
        </w:rPr>
        <w:t> </w:t>
      </w:r>
      <w:r>
        <w:rPr>
          <w:color w:val="4966AC"/>
          <w:spacing w:val="-2"/>
        </w:rPr>
        <w:t>Works</w:t>
      </w:r>
    </w:p>
    <w:p>
      <w:pPr>
        <w:pStyle w:val="BodyText"/>
        <w:rPr>
          <w:b/>
          <w:sz w:val="21"/>
        </w:rPr>
      </w:pPr>
      <w:r>
        <w:rPr/>
        <w:drawing>
          <wp:anchor distT="0" distB="0" distL="0" distR="0" allowOverlap="1" layoutInCell="1" locked="0" behindDoc="0" simplePos="0" relativeHeight="8">
            <wp:simplePos x="0" y="0"/>
            <wp:positionH relativeFrom="page">
              <wp:posOffset>920495</wp:posOffset>
            </wp:positionH>
            <wp:positionV relativeFrom="paragraph">
              <wp:posOffset>168579</wp:posOffset>
            </wp:positionV>
            <wp:extent cx="5715000" cy="3084576"/>
            <wp:effectExtent l="0" t="0" r="0" b="0"/>
            <wp:wrapTopAndBottom/>
            <wp:docPr id="13" name="image8.jpeg"/>
            <wp:cNvGraphicFramePr>
              <a:graphicFrameLocks noChangeAspect="1"/>
            </wp:cNvGraphicFramePr>
            <a:graphic>
              <a:graphicData uri="http://schemas.openxmlformats.org/drawingml/2006/picture">
                <pic:pic>
                  <pic:nvPicPr>
                    <pic:cNvPr id="14" name="image8.jpeg"/>
                    <pic:cNvPicPr/>
                  </pic:nvPicPr>
                  <pic:blipFill>
                    <a:blip r:embed="rId16" cstate="print"/>
                    <a:stretch>
                      <a:fillRect/>
                    </a:stretch>
                  </pic:blipFill>
                  <pic:spPr>
                    <a:xfrm>
                      <a:off x="0" y="0"/>
                      <a:ext cx="5715000" cy="3084576"/>
                    </a:xfrm>
                    <a:prstGeom prst="rect">
                      <a:avLst/>
                    </a:prstGeom>
                  </pic:spPr>
                </pic:pic>
              </a:graphicData>
            </a:graphic>
          </wp:anchor>
        </w:drawing>
      </w:r>
    </w:p>
    <w:p>
      <w:pPr>
        <w:spacing w:before="0"/>
        <w:ind w:left="100" w:right="0" w:firstLine="0"/>
        <w:jc w:val="left"/>
        <w:rPr>
          <w:sz w:val="18"/>
        </w:rPr>
      </w:pPr>
      <w:r>
        <w:rPr>
          <w:sz w:val="18"/>
        </w:rPr>
        <w:t>Source: Section</w:t>
      </w:r>
      <w:r>
        <w:rPr>
          <w:spacing w:val="-2"/>
          <w:sz w:val="18"/>
        </w:rPr>
        <w:t> </w:t>
      </w:r>
      <w:r>
        <w:rPr>
          <w:spacing w:val="-10"/>
          <w:sz w:val="18"/>
        </w:rPr>
        <w:t>5</w:t>
      </w:r>
    </w:p>
    <w:p>
      <w:pPr>
        <w:pStyle w:val="BodyText"/>
        <w:spacing w:before="8"/>
        <w:rPr>
          <w:sz w:val="21"/>
        </w:rPr>
      </w:pPr>
    </w:p>
    <w:p>
      <w:pPr>
        <w:pStyle w:val="BodyText"/>
        <w:ind w:left="100" w:right="189"/>
      </w:pPr>
      <w:r>
        <w:rPr/>
        <w:t>The</w:t>
      </w:r>
      <w:r>
        <w:rPr>
          <w:spacing w:val="-1"/>
        </w:rPr>
        <w:t> </w:t>
      </w:r>
      <w:r>
        <w:rPr/>
        <w:t>capital</w:t>
      </w:r>
      <w:r>
        <w:rPr>
          <w:spacing w:val="-1"/>
        </w:rPr>
        <w:t> </w:t>
      </w:r>
      <w:r>
        <w:rPr/>
        <w:t>works program</w:t>
      </w:r>
      <w:r>
        <w:rPr>
          <w:spacing w:val="-1"/>
        </w:rPr>
        <w:t> </w:t>
      </w:r>
      <w:r>
        <w:rPr/>
        <w:t>for</w:t>
      </w:r>
      <w:r>
        <w:rPr>
          <w:spacing w:val="-1"/>
        </w:rPr>
        <w:t> </w:t>
      </w:r>
      <w:r>
        <w:rPr/>
        <w:t>the</w:t>
      </w:r>
      <w:r>
        <w:rPr>
          <w:spacing w:val="-3"/>
        </w:rPr>
        <w:t> </w:t>
      </w:r>
      <w:r>
        <w:rPr/>
        <w:t>2025/26</w:t>
      </w:r>
      <w:r>
        <w:rPr>
          <w:spacing w:val="-3"/>
        </w:rPr>
        <w:t> </w:t>
      </w:r>
      <w:r>
        <w:rPr/>
        <w:t>year is</w:t>
      </w:r>
      <w:r>
        <w:rPr>
          <w:spacing w:val="-3"/>
        </w:rPr>
        <w:t> </w:t>
      </w:r>
      <w:r>
        <w:rPr/>
        <w:t>expected</w:t>
      </w:r>
      <w:r>
        <w:rPr>
          <w:spacing w:val="-5"/>
        </w:rPr>
        <w:t> </w:t>
      </w:r>
      <w:r>
        <w:rPr/>
        <w:t>to</w:t>
      </w:r>
      <w:r>
        <w:rPr>
          <w:spacing w:val="-1"/>
        </w:rPr>
        <w:t> </w:t>
      </w:r>
      <w:r>
        <w:rPr/>
        <w:t>be</w:t>
      </w:r>
      <w:r>
        <w:rPr>
          <w:spacing w:val="-3"/>
        </w:rPr>
        <w:t> </w:t>
      </w:r>
      <w:r>
        <w:rPr/>
        <w:t>$46.03</w:t>
      </w:r>
      <w:r>
        <w:rPr>
          <w:spacing w:val="-5"/>
        </w:rPr>
        <w:t> </w:t>
      </w:r>
      <w:r>
        <w:rPr/>
        <w:t>million of which $7.46</w:t>
      </w:r>
      <w:r>
        <w:rPr>
          <w:spacing w:val="-3"/>
        </w:rPr>
        <w:t> </w:t>
      </w:r>
      <w:r>
        <w:rPr/>
        <w:t>million will come from external grants, $0.22 million from contributions, and $17.37 million will be funded by sale of assets</w:t>
      </w:r>
      <w:r>
        <w:rPr>
          <w:spacing w:val="-4"/>
        </w:rPr>
        <w:t> </w:t>
      </w:r>
      <w:r>
        <w:rPr/>
        <w:t>and</w:t>
      </w:r>
      <w:r>
        <w:rPr>
          <w:spacing w:val="-4"/>
        </w:rPr>
        <w:t> </w:t>
      </w:r>
      <w:r>
        <w:rPr/>
        <w:t>the</w:t>
      </w:r>
      <w:r>
        <w:rPr>
          <w:spacing w:val="-1"/>
        </w:rPr>
        <w:t> </w:t>
      </w:r>
      <w:r>
        <w:rPr/>
        <w:t>balance</w:t>
      </w:r>
      <w:r>
        <w:rPr>
          <w:spacing w:val="-4"/>
        </w:rPr>
        <w:t> </w:t>
      </w:r>
      <w:r>
        <w:rPr/>
        <w:t>of</w:t>
      </w:r>
      <w:r>
        <w:rPr>
          <w:spacing w:val="-2"/>
        </w:rPr>
        <w:t> </w:t>
      </w:r>
      <w:r>
        <w:rPr/>
        <w:t>$21.20</w:t>
      </w:r>
      <w:r>
        <w:rPr>
          <w:spacing w:val="-4"/>
        </w:rPr>
        <w:t> </w:t>
      </w:r>
      <w:r>
        <w:rPr/>
        <w:t>million</w:t>
      </w:r>
      <w:r>
        <w:rPr>
          <w:spacing w:val="-2"/>
        </w:rPr>
        <w:t> </w:t>
      </w:r>
      <w:r>
        <w:rPr/>
        <w:t>internally through</w:t>
      </w:r>
      <w:r>
        <w:rPr>
          <w:spacing w:val="-2"/>
        </w:rPr>
        <w:t> </w:t>
      </w:r>
      <w:r>
        <w:rPr/>
        <w:t>general</w:t>
      </w:r>
      <w:r>
        <w:rPr>
          <w:spacing w:val="-2"/>
        </w:rPr>
        <w:t> </w:t>
      </w:r>
      <w:r>
        <w:rPr/>
        <w:t>rates</w:t>
      </w:r>
      <w:r>
        <w:rPr>
          <w:spacing w:val="-4"/>
        </w:rPr>
        <w:t> </w:t>
      </w:r>
      <w:r>
        <w:rPr/>
        <w:t>and</w:t>
      </w:r>
      <w:r>
        <w:rPr>
          <w:spacing w:val="-2"/>
        </w:rPr>
        <w:t> </w:t>
      </w:r>
      <w:r>
        <w:rPr/>
        <w:t>cash</w:t>
      </w:r>
      <w:r>
        <w:rPr>
          <w:spacing w:val="-2"/>
        </w:rPr>
        <w:t> </w:t>
      </w:r>
      <w:r>
        <w:rPr/>
        <w:t>holdings.</w:t>
      </w:r>
      <w:r>
        <w:rPr>
          <w:spacing w:val="40"/>
        </w:rPr>
        <w:t> </w:t>
      </w:r>
      <w:r>
        <w:rPr/>
        <w:t>The</w:t>
      </w:r>
      <w:r>
        <w:rPr>
          <w:spacing w:val="-1"/>
        </w:rPr>
        <w:t> </w:t>
      </w:r>
      <w:r>
        <w:rPr/>
        <w:t>priorities for the</w:t>
      </w:r>
      <w:r>
        <w:rPr>
          <w:spacing w:val="-1"/>
        </w:rPr>
        <w:t> </w:t>
      </w:r>
      <w:r>
        <w:rPr/>
        <w:t>capital expenditure</w:t>
      </w:r>
      <w:r>
        <w:rPr>
          <w:spacing w:val="-1"/>
        </w:rPr>
        <w:t> </w:t>
      </w:r>
      <w:r>
        <w:rPr/>
        <w:t>program have been established through</w:t>
      </w:r>
      <w:r>
        <w:rPr>
          <w:spacing w:val="-1"/>
        </w:rPr>
        <w:t> </w:t>
      </w:r>
      <w:r>
        <w:rPr/>
        <w:t>a</w:t>
      </w:r>
      <w:r>
        <w:rPr>
          <w:spacing w:val="-1"/>
        </w:rPr>
        <w:t> </w:t>
      </w:r>
      <w:r>
        <w:rPr/>
        <w:t>rigorous process of consultation that has enabled Council to assess community needs and develop sound business cases for each project.</w:t>
      </w:r>
    </w:p>
    <w:p>
      <w:pPr>
        <w:pStyle w:val="BodyText"/>
        <w:ind w:left="100"/>
      </w:pPr>
      <w:r>
        <w:rPr/>
        <w:t>Refer</w:t>
      </w:r>
      <w:r>
        <w:rPr>
          <w:spacing w:val="-18"/>
        </w:rPr>
        <w:t> </w:t>
      </w:r>
      <w:r>
        <w:rPr/>
        <w:t>Section</w:t>
      </w:r>
      <w:r>
        <w:rPr>
          <w:spacing w:val="-3"/>
        </w:rPr>
        <w:t> </w:t>
      </w:r>
      <w:r>
        <w:rPr/>
        <w:t>3</w:t>
      </w:r>
      <w:r>
        <w:rPr>
          <w:spacing w:val="-6"/>
        </w:rPr>
        <w:t> </w:t>
      </w:r>
      <w:r>
        <w:rPr/>
        <w:t>for</w:t>
      </w:r>
      <w:r>
        <w:rPr>
          <w:spacing w:val="-2"/>
        </w:rPr>
        <w:t> </w:t>
      </w:r>
      <w:r>
        <w:rPr/>
        <w:t>the</w:t>
      </w:r>
      <w:r>
        <w:rPr>
          <w:spacing w:val="-5"/>
        </w:rPr>
        <w:t> </w:t>
      </w:r>
      <w:r>
        <w:rPr/>
        <w:t>Statement</w:t>
      </w:r>
      <w:r>
        <w:rPr>
          <w:spacing w:val="-3"/>
        </w:rPr>
        <w:t> </w:t>
      </w:r>
      <w:r>
        <w:rPr/>
        <w:t>of</w:t>
      </w:r>
      <w:r>
        <w:rPr>
          <w:spacing w:val="-1"/>
        </w:rPr>
        <w:t> </w:t>
      </w:r>
      <w:r>
        <w:rPr/>
        <w:t>Capital</w:t>
      </w:r>
      <w:r>
        <w:rPr>
          <w:spacing w:val="-6"/>
        </w:rPr>
        <w:t> </w:t>
      </w:r>
      <w:r>
        <w:rPr/>
        <w:t>Works</w:t>
      </w:r>
      <w:r>
        <w:rPr>
          <w:spacing w:val="-1"/>
        </w:rPr>
        <w:t> </w:t>
      </w:r>
      <w:r>
        <w:rPr/>
        <w:t>and</w:t>
      </w:r>
      <w:r>
        <w:rPr>
          <w:spacing w:val="-3"/>
        </w:rPr>
        <w:t> </w:t>
      </w:r>
      <w:r>
        <w:rPr/>
        <w:t>Section</w:t>
      </w:r>
      <w:r>
        <w:rPr>
          <w:spacing w:val="-1"/>
        </w:rPr>
        <w:t> </w:t>
      </w:r>
      <w:r>
        <w:rPr/>
        <w:t>4.5</w:t>
      </w:r>
      <w:r>
        <w:rPr>
          <w:spacing w:val="-5"/>
        </w:rPr>
        <w:t> </w:t>
      </w:r>
      <w:r>
        <w:rPr/>
        <w:t>for</w:t>
      </w:r>
      <w:r>
        <w:rPr>
          <w:spacing w:val="-3"/>
        </w:rPr>
        <w:t> </w:t>
      </w:r>
      <w:r>
        <w:rPr/>
        <w:t>details</w:t>
      </w:r>
      <w:r>
        <w:rPr>
          <w:spacing w:val="-1"/>
        </w:rPr>
        <w:t> </w:t>
      </w:r>
      <w:r>
        <w:rPr/>
        <w:t>of</w:t>
      </w:r>
      <w:r>
        <w:rPr>
          <w:spacing w:val="-3"/>
        </w:rPr>
        <w:t> </w:t>
      </w:r>
      <w:r>
        <w:rPr/>
        <w:t>the</w:t>
      </w:r>
      <w:r>
        <w:rPr>
          <w:spacing w:val="-3"/>
        </w:rPr>
        <w:t> </w:t>
      </w:r>
      <w:r>
        <w:rPr/>
        <w:t>capital</w:t>
      </w:r>
      <w:r>
        <w:rPr>
          <w:spacing w:val="-3"/>
        </w:rPr>
        <w:t> </w:t>
      </w:r>
      <w:r>
        <w:rPr/>
        <w:t>works</w:t>
      </w:r>
      <w:r>
        <w:rPr>
          <w:spacing w:val="-7"/>
        </w:rPr>
        <w:t> </w:t>
      </w:r>
      <w:r>
        <w:rPr>
          <w:spacing w:val="-2"/>
        </w:rPr>
        <w:t>program.</w:t>
      </w:r>
    </w:p>
    <w:p>
      <w:pPr>
        <w:pStyle w:val="BodyText"/>
      </w:pPr>
    </w:p>
    <w:p>
      <w:pPr>
        <w:pStyle w:val="Heading4"/>
        <w:spacing w:before="1"/>
        <w:ind w:left="100" w:firstLine="0"/>
      </w:pPr>
      <w:r>
        <w:rPr>
          <w:color w:val="4966AC"/>
        </w:rPr>
        <w:t>Financial</w:t>
      </w:r>
      <w:r>
        <w:rPr>
          <w:color w:val="4966AC"/>
          <w:spacing w:val="-1"/>
        </w:rPr>
        <w:t> </w:t>
      </w:r>
      <w:r>
        <w:rPr>
          <w:color w:val="4966AC"/>
        </w:rPr>
        <w:t>Position</w:t>
      </w:r>
      <w:r>
        <w:rPr>
          <w:color w:val="4966AC"/>
          <w:spacing w:val="-1"/>
        </w:rPr>
        <w:t> </w:t>
      </w:r>
      <w:r>
        <w:rPr>
          <w:color w:val="4966AC"/>
        </w:rPr>
        <w:t>(Working</w:t>
      </w:r>
      <w:r>
        <w:rPr>
          <w:color w:val="4966AC"/>
          <w:spacing w:val="-2"/>
        </w:rPr>
        <w:t> Capital)</w:t>
      </w:r>
    </w:p>
    <w:p>
      <w:pPr>
        <w:pStyle w:val="BodyText"/>
        <w:rPr>
          <w:b/>
          <w:sz w:val="21"/>
        </w:rPr>
      </w:pPr>
      <w:r>
        <w:rPr/>
        <w:drawing>
          <wp:anchor distT="0" distB="0" distL="0" distR="0" allowOverlap="1" layoutInCell="1" locked="0" behindDoc="0" simplePos="0" relativeHeight="9">
            <wp:simplePos x="0" y="0"/>
            <wp:positionH relativeFrom="page">
              <wp:posOffset>996695</wp:posOffset>
            </wp:positionH>
            <wp:positionV relativeFrom="paragraph">
              <wp:posOffset>168817</wp:posOffset>
            </wp:positionV>
            <wp:extent cx="5559552" cy="3154680"/>
            <wp:effectExtent l="0" t="0" r="0" b="0"/>
            <wp:wrapTopAndBottom/>
            <wp:docPr id="15" name="image9.jpeg"/>
            <wp:cNvGraphicFramePr>
              <a:graphicFrameLocks noChangeAspect="1"/>
            </wp:cNvGraphicFramePr>
            <a:graphic>
              <a:graphicData uri="http://schemas.openxmlformats.org/drawingml/2006/picture">
                <pic:pic>
                  <pic:nvPicPr>
                    <pic:cNvPr id="16" name="image9.jpeg"/>
                    <pic:cNvPicPr/>
                  </pic:nvPicPr>
                  <pic:blipFill>
                    <a:blip r:embed="rId17" cstate="print"/>
                    <a:stretch>
                      <a:fillRect/>
                    </a:stretch>
                  </pic:blipFill>
                  <pic:spPr>
                    <a:xfrm>
                      <a:off x="0" y="0"/>
                      <a:ext cx="5559552" cy="3154680"/>
                    </a:xfrm>
                    <a:prstGeom prst="rect">
                      <a:avLst/>
                    </a:prstGeom>
                  </pic:spPr>
                </pic:pic>
              </a:graphicData>
            </a:graphic>
          </wp:anchor>
        </w:drawing>
      </w:r>
    </w:p>
    <w:p>
      <w:pPr>
        <w:spacing w:before="0"/>
        <w:ind w:left="100" w:right="0" w:firstLine="0"/>
        <w:jc w:val="left"/>
        <w:rPr>
          <w:sz w:val="18"/>
        </w:rPr>
      </w:pPr>
      <w:r>
        <w:rPr>
          <w:sz w:val="18"/>
        </w:rPr>
        <w:t>Source: Section</w:t>
      </w:r>
      <w:r>
        <w:rPr>
          <w:spacing w:val="-2"/>
          <w:sz w:val="18"/>
        </w:rPr>
        <w:t> </w:t>
      </w:r>
      <w:r>
        <w:rPr>
          <w:spacing w:val="-10"/>
          <w:sz w:val="18"/>
        </w:rPr>
        <w:t>3</w:t>
      </w:r>
    </w:p>
    <w:p>
      <w:pPr>
        <w:pStyle w:val="BodyText"/>
        <w:spacing w:before="9"/>
        <w:rPr>
          <w:sz w:val="21"/>
        </w:rPr>
      </w:pPr>
    </w:p>
    <w:p>
      <w:pPr>
        <w:pStyle w:val="BodyText"/>
        <w:spacing w:before="1"/>
        <w:ind w:left="100" w:right="115"/>
        <w:jc w:val="both"/>
      </w:pPr>
      <w:r>
        <w:rPr/>
        <w:t>The working capital ratio calculated as Current Assets divided by Current Liabilities is a key indicator to assess</w:t>
      </w:r>
      <w:r>
        <w:rPr>
          <w:spacing w:val="-6"/>
        </w:rPr>
        <w:t> </w:t>
      </w:r>
      <w:r>
        <w:rPr/>
        <w:t>Council’s</w:t>
      </w:r>
      <w:r>
        <w:rPr>
          <w:spacing w:val="-5"/>
        </w:rPr>
        <w:t> </w:t>
      </w:r>
      <w:r>
        <w:rPr/>
        <w:t>ability</w:t>
      </w:r>
      <w:r>
        <w:rPr>
          <w:spacing w:val="-6"/>
        </w:rPr>
        <w:t> </w:t>
      </w:r>
      <w:r>
        <w:rPr/>
        <w:t>to</w:t>
      </w:r>
      <w:r>
        <w:rPr>
          <w:spacing w:val="-8"/>
        </w:rPr>
        <w:t> </w:t>
      </w:r>
      <w:r>
        <w:rPr/>
        <w:t>meet</w:t>
      </w:r>
      <w:r>
        <w:rPr>
          <w:spacing w:val="-5"/>
        </w:rPr>
        <w:t> </w:t>
      </w:r>
      <w:r>
        <w:rPr/>
        <w:t>current</w:t>
      </w:r>
      <w:r>
        <w:rPr>
          <w:spacing w:val="-5"/>
        </w:rPr>
        <w:t> </w:t>
      </w:r>
      <w:r>
        <w:rPr/>
        <w:t>commitments.</w:t>
      </w:r>
      <w:r>
        <w:rPr>
          <w:spacing w:val="-6"/>
        </w:rPr>
        <w:t> </w:t>
      </w:r>
      <w:r>
        <w:rPr/>
        <w:t>The</w:t>
      </w:r>
      <w:r>
        <w:rPr>
          <w:spacing w:val="-6"/>
        </w:rPr>
        <w:t> </w:t>
      </w:r>
      <w:r>
        <w:rPr/>
        <w:t>expected</w:t>
      </w:r>
      <w:r>
        <w:rPr>
          <w:spacing w:val="-6"/>
        </w:rPr>
        <w:t> </w:t>
      </w:r>
      <w:r>
        <w:rPr/>
        <w:t>working</w:t>
      </w:r>
      <w:r>
        <w:rPr>
          <w:spacing w:val="-5"/>
        </w:rPr>
        <w:t> </w:t>
      </w:r>
      <w:r>
        <w:rPr/>
        <w:t>capital</w:t>
      </w:r>
      <w:r>
        <w:rPr>
          <w:spacing w:val="-7"/>
        </w:rPr>
        <w:t> </w:t>
      </w:r>
      <w:r>
        <w:rPr/>
        <w:t>ratio</w:t>
      </w:r>
      <w:r>
        <w:rPr>
          <w:spacing w:val="-6"/>
        </w:rPr>
        <w:t> </w:t>
      </w:r>
      <w:r>
        <w:rPr/>
        <w:t>for</w:t>
      </w:r>
      <w:r>
        <w:rPr>
          <w:spacing w:val="-5"/>
        </w:rPr>
        <w:t> </w:t>
      </w:r>
      <w:r>
        <w:rPr/>
        <w:t>2025/26</w:t>
      </w:r>
      <w:r>
        <w:rPr>
          <w:spacing w:val="-5"/>
        </w:rPr>
        <w:t> </w:t>
      </w:r>
      <w:r>
        <w:rPr/>
        <w:t>is</w:t>
      </w:r>
      <w:r>
        <w:rPr>
          <w:spacing w:val="-6"/>
        </w:rPr>
        <w:t> </w:t>
      </w:r>
      <w:r>
        <w:rPr/>
        <w:t>1.83 which means that Council can meet its short-term obligations and has sufficient cash or operating liquidity remaining</w:t>
      </w:r>
      <w:r>
        <w:rPr>
          <w:spacing w:val="-6"/>
        </w:rPr>
        <w:t> </w:t>
      </w:r>
      <w:r>
        <w:rPr/>
        <w:t>to</w:t>
      </w:r>
      <w:r>
        <w:rPr>
          <w:spacing w:val="-10"/>
        </w:rPr>
        <w:t> </w:t>
      </w:r>
      <w:r>
        <w:rPr/>
        <w:t>meet</w:t>
      </w:r>
      <w:r>
        <w:rPr>
          <w:spacing w:val="-6"/>
        </w:rPr>
        <w:t> </w:t>
      </w:r>
      <w:r>
        <w:rPr/>
        <w:t>fluctuating</w:t>
      </w:r>
      <w:r>
        <w:rPr>
          <w:spacing w:val="-6"/>
        </w:rPr>
        <w:t> </w:t>
      </w:r>
      <w:r>
        <w:rPr/>
        <w:t>cash</w:t>
      </w:r>
      <w:r>
        <w:rPr>
          <w:spacing w:val="-8"/>
        </w:rPr>
        <w:t> </w:t>
      </w:r>
      <w:r>
        <w:rPr/>
        <w:t>levels</w:t>
      </w:r>
      <w:r>
        <w:rPr>
          <w:spacing w:val="-6"/>
        </w:rPr>
        <w:t> </w:t>
      </w:r>
      <w:r>
        <w:rPr/>
        <w:t>during</w:t>
      </w:r>
      <w:r>
        <w:rPr>
          <w:spacing w:val="-10"/>
        </w:rPr>
        <w:t> </w:t>
      </w:r>
      <w:r>
        <w:rPr/>
        <w:t>the</w:t>
      </w:r>
      <w:r>
        <w:rPr>
          <w:spacing w:val="-5"/>
        </w:rPr>
        <w:t> </w:t>
      </w:r>
      <w:r>
        <w:rPr/>
        <w:t>year.</w:t>
      </w:r>
      <w:r>
        <w:rPr>
          <w:spacing w:val="-6"/>
        </w:rPr>
        <w:t> </w:t>
      </w:r>
      <w:r>
        <w:rPr/>
        <w:t>Future</w:t>
      </w:r>
      <w:r>
        <w:rPr>
          <w:spacing w:val="-10"/>
        </w:rPr>
        <w:t> </w:t>
      </w:r>
      <w:r>
        <w:rPr/>
        <w:t>years</w:t>
      </w:r>
      <w:r>
        <w:rPr>
          <w:spacing w:val="-8"/>
        </w:rPr>
        <w:t> </w:t>
      </w:r>
      <w:r>
        <w:rPr/>
        <w:t>(2026/27</w:t>
      </w:r>
      <w:r>
        <w:rPr>
          <w:spacing w:val="-8"/>
        </w:rPr>
        <w:t> </w:t>
      </w:r>
      <w:r>
        <w:rPr/>
        <w:t>to</w:t>
      </w:r>
      <w:r>
        <w:rPr>
          <w:spacing w:val="-8"/>
        </w:rPr>
        <w:t> </w:t>
      </w:r>
      <w:r>
        <w:rPr/>
        <w:t>2028/29)</w:t>
      </w:r>
      <w:r>
        <w:rPr>
          <w:spacing w:val="-6"/>
        </w:rPr>
        <w:t> </w:t>
      </w:r>
      <w:r>
        <w:rPr/>
        <w:t>are</w:t>
      </w:r>
      <w:r>
        <w:rPr>
          <w:spacing w:val="-10"/>
        </w:rPr>
        <w:t> </w:t>
      </w:r>
      <w:r>
        <w:rPr/>
        <w:t>expected</w:t>
      </w:r>
      <w:r>
        <w:rPr>
          <w:spacing w:val="-8"/>
        </w:rPr>
        <w:t> </w:t>
      </w:r>
      <w:r>
        <w:rPr/>
        <w:t>to remain relatively steady and positive.</w:t>
      </w:r>
    </w:p>
    <w:p>
      <w:pPr>
        <w:spacing w:after="0"/>
        <w:jc w:val="both"/>
        <w:sectPr>
          <w:pgSz w:w="11910" w:h="16840"/>
          <w:pgMar w:header="0" w:footer="378" w:top="620" w:bottom="560" w:left="620" w:right="600"/>
        </w:sectPr>
      </w:pPr>
    </w:p>
    <w:p>
      <w:pPr>
        <w:pStyle w:val="Heading4"/>
        <w:spacing w:before="82"/>
        <w:ind w:left="100" w:firstLine="0"/>
        <w:jc w:val="both"/>
      </w:pPr>
      <w:r>
        <w:rPr>
          <w:color w:val="4966AC"/>
        </w:rPr>
        <w:t>Financial </w:t>
      </w:r>
      <w:r>
        <w:rPr>
          <w:color w:val="4966AC"/>
          <w:spacing w:val="-2"/>
        </w:rPr>
        <w:t>Sustainability</w:t>
      </w:r>
    </w:p>
    <w:p>
      <w:pPr>
        <w:pStyle w:val="BodyText"/>
        <w:spacing w:before="4"/>
        <w:rPr>
          <w:b/>
          <w:sz w:val="19"/>
        </w:rPr>
      </w:pPr>
      <w:r>
        <w:rPr/>
        <w:drawing>
          <wp:anchor distT="0" distB="0" distL="0" distR="0" allowOverlap="1" layoutInCell="1" locked="0" behindDoc="0" simplePos="0" relativeHeight="10">
            <wp:simplePos x="0" y="0"/>
            <wp:positionH relativeFrom="page">
              <wp:posOffset>890016</wp:posOffset>
            </wp:positionH>
            <wp:positionV relativeFrom="paragraph">
              <wp:posOffset>156732</wp:posOffset>
            </wp:positionV>
            <wp:extent cx="5779007" cy="3255263"/>
            <wp:effectExtent l="0" t="0" r="0" b="0"/>
            <wp:wrapTopAndBottom/>
            <wp:docPr id="17" name="image10.jpeg"/>
            <wp:cNvGraphicFramePr>
              <a:graphicFrameLocks noChangeAspect="1"/>
            </wp:cNvGraphicFramePr>
            <a:graphic>
              <a:graphicData uri="http://schemas.openxmlformats.org/drawingml/2006/picture">
                <pic:pic>
                  <pic:nvPicPr>
                    <pic:cNvPr id="18" name="image10.jpeg"/>
                    <pic:cNvPicPr/>
                  </pic:nvPicPr>
                  <pic:blipFill>
                    <a:blip r:embed="rId18" cstate="print"/>
                    <a:stretch>
                      <a:fillRect/>
                    </a:stretch>
                  </pic:blipFill>
                  <pic:spPr>
                    <a:xfrm>
                      <a:off x="0" y="0"/>
                      <a:ext cx="5779007" cy="3255263"/>
                    </a:xfrm>
                    <a:prstGeom prst="rect">
                      <a:avLst/>
                    </a:prstGeom>
                  </pic:spPr>
                </pic:pic>
              </a:graphicData>
            </a:graphic>
          </wp:anchor>
        </w:drawing>
      </w:r>
    </w:p>
    <w:p>
      <w:pPr>
        <w:spacing w:before="8"/>
        <w:ind w:left="100" w:right="0" w:firstLine="0"/>
        <w:jc w:val="both"/>
        <w:rPr>
          <w:sz w:val="18"/>
        </w:rPr>
      </w:pPr>
      <w:r>
        <w:rPr>
          <w:sz w:val="18"/>
        </w:rPr>
        <w:t>Source: Section</w:t>
      </w:r>
      <w:r>
        <w:rPr>
          <w:spacing w:val="-2"/>
          <w:sz w:val="18"/>
        </w:rPr>
        <w:t> </w:t>
      </w:r>
      <w:r>
        <w:rPr>
          <w:spacing w:val="-10"/>
          <w:sz w:val="18"/>
        </w:rPr>
        <w:t>3</w:t>
      </w:r>
    </w:p>
    <w:p>
      <w:pPr>
        <w:pStyle w:val="BodyText"/>
        <w:spacing w:before="2"/>
      </w:pPr>
    </w:p>
    <w:p>
      <w:pPr>
        <w:pStyle w:val="BodyText"/>
        <w:ind w:left="100" w:right="115"/>
        <w:jc w:val="both"/>
      </w:pPr>
      <w:r>
        <w:rPr/>
        <w:t>The underlying result is the net surplus adjusted for non-recurrent capital grants, non-monetary asset contributions, and capital contributions from other sources. It is a measure of financial sustainability and Council’s</w:t>
      </w:r>
      <w:r>
        <w:rPr>
          <w:spacing w:val="-2"/>
        </w:rPr>
        <w:t> </w:t>
      </w:r>
      <w:r>
        <w:rPr/>
        <w:t>ability</w:t>
      </w:r>
      <w:r>
        <w:rPr>
          <w:spacing w:val="-2"/>
        </w:rPr>
        <w:t> </w:t>
      </w:r>
      <w:r>
        <w:rPr/>
        <w:t>to</w:t>
      </w:r>
      <w:r>
        <w:rPr>
          <w:spacing w:val="-1"/>
        </w:rPr>
        <w:t> </w:t>
      </w:r>
      <w:r>
        <w:rPr/>
        <w:t>achieve</w:t>
      </w:r>
      <w:r>
        <w:rPr>
          <w:spacing w:val="-4"/>
        </w:rPr>
        <w:t> </w:t>
      </w:r>
      <w:r>
        <w:rPr/>
        <w:t>its service delivery</w:t>
      </w:r>
      <w:r>
        <w:rPr>
          <w:spacing w:val="-2"/>
        </w:rPr>
        <w:t> </w:t>
      </w:r>
      <w:r>
        <w:rPr/>
        <w:t>objectives</w:t>
      </w:r>
      <w:r>
        <w:rPr>
          <w:spacing w:val="-2"/>
        </w:rPr>
        <w:t> </w:t>
      </w:r>
      <w:r>
        <w:rPr/>
        <w:t>as it is</w:t>
      </w:r>
      <w:r>
        <w:rPr>
          <w:spacing w:val="-2"/>
        </w:rPr>
        <w:t> </w:t>
      </w:r>
      <w:r>
        <w:rPr/>
        <w:t>not</w:t>
      </w:r>
      <w:r>
        <w:rPr>
          <w:spacing w:val="-4"/>
        </w:rPr>
        <w:t> </w:t>
      </w:r>
      <w:r>
        <w:rPr/>
        <w:t>impacted</w:t>
      </w:r>
      <w:r>
        <w:rPr>
          <w:spacing w:val="-1"/>
        </w:rPr>
        <w:t> </w:t>
      </w:r>
      <w:r>
        <w:rPr/>
        <w:t>by</w:t>
      </w:r>
      <w:r>
        <w:rPr>
          <w:spacing w:val="-2"/>
        </w:rPr>
        <w:t> </w:t>
      </w:r>
      <w:r>
        <w:rPr/>
        <w:t>capital</w:t>
      </w:r>
      <w:r>
        <w:rPr>
          <w:spacing w:val="-2"/>
        </w:rPr>
        <w:t> </w:t>
      </w:r>
      <w:r>
        <w:rPr/>
        <w:t>income</w:t>
      </w:r>
      <w:r>
        <w:rPr>
          <w:spacing w:val="-6"/>
        </w:rPr>
        <w:t> </w:t>
      </w:r>
      <w:r>
        <w:rPr/>
        <w:t>items</w:t>
      </w:r>
      <w:r>
        <w:rPr>
          <w:spacing w:val="-2"/>
        </w:rPr>
        <w:t> </w:t>
      </w:r>
      <w:r>
        <w:rPr/>
        <w:t>which can often mask the operating result.</w:t>
      </w:r>
    </w:p>
    <w:p>
      <w:pPr>
        <w:pStyle w:val="BodyText"/>
      </w:pPr>
    </w:p>
    <w:p>
      <w:pPr>
        <w:pStyle w:val="BodyText"/>
        <w:ind w:left="100" w:right="115"/>
        <w:jc w:val="both"/>
      </w:pPr>
      <w:r>
        <w:rPr/>
        <w:t>A</w:t>
      </w:r>
      <w:r>
        <w:rPr>
          <w:spacing w:val="-9"/>
        </w:rPr>
        <w:t> </w:t>
      </w:r>
      <w:r>
        <w:rPr/>
        <w:t>Financial</w:t>
      </w:r>
      <w:r>
        <w:rPr>
          <w:spacing w:val="-7"/>
        </w:rPr>
        <w:t> </w:t>
      </w:r>
      <w:r>
        <w:rPr/>
        <w:t>Plan</w:t>
      </w:r>
      <w:r>
        <w:rPr>
          <w:spacing w:val="-9"/>
        </w:rPr>
        <w:t> </w:t>
      </w:r>
      <w:r>
        <w:rPr/>
        <w:t>for</w:t>
      </w:r>
      <w:r>
        <w:rPr>
          <w:spacing w:val="-8"/>
        </w:rPr>
        <w:t> </w:t>
      </w:r>
      <w:r>
        <w:rPr/>
        <w:t>the</w:t>
      </w:r>
      <w:r>
        <w:rPr>
          <w:spacing w:val="-9"/>
        </w:rPr>
        <w:t> </w:t>
      </w:r>
      <w:r>
        <w:rPr/>
        <w:t>years</w:t>
      </w:r>
      <w:r>
        <w:rPr>
          <w:spacing w:val="-7"/>
        </w:rPr>
        <w:t> </w:t>
      </w:r>
      <w:r>
        <w:rPr/>
        <w:t>2025/26</w:t>
      </w:r>
      <w:r>
        <w:rPr>
          <w:spacing w:val="-11"/>
        </w:rPr>
        <w:t> </w:t>
      </w:r>
      <w:r>
        <w:rPr/>
        <w:t>to</w:t>
      </w:r>
      <w:r>
        <w:rPr>
          <w:spacing w:val="-9"/>
        </w:rPr>
        <w:t> </w:t>
      </w:r>
      <w:r>
        <w:rPr/>
        <w:t>2034/35</w:t>
      </w:r>
      <w:r>
        <w:rPr>
          <w:spacing w:val="-10"/>
        </w:rPr>
        <w:t> </w:t>
      </w:r>
      <w:r>
        <w:rPr/>
        <w:t>has</w:t>
      </w:r>
      <w:r>
        <w:rPr>
          <w:spacing w:val="-7"/>
        </w:rPr>
        <w:t> </w:t>
      </w:r>
      <w:r>
        <w:rPr/>
        <w:t>been</w:t>
      </w:r>
      <w:r>
        <w:rPr>
          <w:spacing w:val="-7"/>
        </w:rPr>
        <w:t> </w:t>
      </w:r>
      <w:r>
        <w:rPr/>
        <w:t>developed</w:t>
      </w:r>
      <w:r>
        <w:rPr>
          <w:spacing w:val="-11"/>
        </w:rPr>
        <w:t> </w:t>
      </w:r>
      <w:r>
        <w:rPr/>
        <w:t>to</w:t>
      </w:r>
      <w:r>
        <w:rPr>
          <w:spacing w:val="-9"/>
        </w:rPr>
        <w:t> </w:t>
      </w:r>
      <w:r>
        <w:rPr/>
        <w:t>assist</w:t>
      </w:r>
      <w:r>
        <w:rPr>
          <w:spacing w:val="-7"/>
        </w:rPr>
        <w:t> </w:t>
      </w:r>
      <w:r>
        <w:rPr/>
        <w:t>Council</w:t>
      </w:r>
      <w:r>
        <w:rPr>
          <w:spacing w:val="-10"/>
        </w:rPr>
        <w:t> </w:t>
      </w:r>
      <w:r>
        <w:rPr/>
        <w:t>in</w:t>
      </w:r>
      <w:r>
        <w:rPr>
          <w:spacing w:val="-9"/>
        </w:rPr>
        <w:t> </w:t>
      </w:r>
      <w:r>
        <w:rPr/>
        <w:t>adopting</w:t>
      </w:r>
      <w:r>
        <w:rPr>
          <w:spacing w:val="-11"/>
        </w:rPr>
        <w:t> </w:t>
      </w:r>
      <w:r>
        <w:rPr/>
        <w:t>a</w:t>
      </w:r>
      <w:r>
        <w:rPr>
          <w:spacing w:val="-9"/>
        </w:rPr>
        <w:t> </w:t>
      </w:r>
      <w:r>
        <w:rPr/>
        <w:t>budget within a longer term prudent financial framework. The key objective of the Financial Plan is financial sustainability in the medium to longer term, while still achieving Council’s future outcome areas (strategic objectives) as specified in the Council Plan. The adjusted surplus result, which is a measure of financial sustainability, portrays positive outcomes in terms of net surplus comprehensive results for the entire ten- year</w:t>
      </w:r>
      <w:r>
        <w:rPr>
          <w:spacing w:val="-7"/>
        </w:rPr>
        <w:t> </w:t>
      </w:r>
      <w:r>
        <w:rPr/>
        <w:t>period</w:t>
      </w:r>
      <w:r>
        <w:rPr>
          <w:spacing w:val="-8"/>
        </w:rPr>
        <w:t> </w:t>
      </w:r>
      <w:r>
        <w:rPr/>
        <w:t>outlook</w:t>
      </w:r>
      <w:r>
        <w:rPr>
          <w:spacing w:val="-11"/>
        </w:rPr>
        <w:t> </w:t>
      </w:r>
      <w:r>
        <w:rPr/>
        <w:t>(2025/26</w:t>
      </w:r>
      <w:r>
        <w:rPr>
          <w:spacing w:val="-11"/>
        </w:rPr>
        <w:t> </w:t>
      </w:r>
      <w:r>
        <w:rPr/>
        <w:t>to</w:t>
      </w:r>
      <w:r>
        <w:rPr>
          <w:spacing w:val="-10"/>
        </w:rPr>
        <w:t> </w:t>
      </w:r>
      <w:r>
        <w:rPr/>
        <w:t>2034/35).</w:t>
      </w:r>
      <w:r>
        <w:rPr>
          <w:spacing w:val="-10"/>
        </w:rPr>
        <w:t> </w:t>
      </w:r>
      <w:r>
        <w:rPr/>
        <w:t>This</w:t>
      </w:r>
      <w:r>
        <w:rPr>
          <w:spacing w:val="-11"/>
        </w:rPr>
        <w:t> </w:t>
      </w:r>
      <w:r>
        <w:rPr/>
        <w:t>can</w:t>
      </w:r>
      <w:r>
        <w:rPr>
          <w:spacing w:val="-8"/>
        </w:rPr>
        <w:t> </w:t>
      </w:r>
      <w:r>
        <w:rPr/>
        <w:t>be</w:t>
      </w:r>
      <w:r>
        <w:rPr>
          <w:spacing w:val="-10"/>
        </w:rPr>
        <w:t> </w:t>
      </w:r>
      <w:r>
        <w:rPr/>
        <w:t>achieved</w:t>
      </w:r>
      <w:r>
        <w:rPr>
          <w:spacing w:val="-8"/>
        </w:rPr>
        <w:t> </w:t>
      </w:r>
      <w:r>
        <w:rPr/>
        <w:t>even</w:t>
      </w:r>
      <w:r>
        <w:rPr>
          <w:spacing w:val="-10"/>
        </w:rPr>
        <w:t> </w:t>
      </w:r>
      <w:r>
        <w:rPr/>
        <w:t>after</w:t>
      </w:r>
      <w:r>
        <w:rPr>
          <w:spacing w:val="-13"/>
        </w:rPr>
        <w:t> </w:t>
      </w:r>
      <w:r>
        <w:rPr/>
        <w:t>absorbing</w:t>
      </w:r>
      <w:r>
        <w:rPr>
          <w:spacing w:val="-12"/>
        </w:rPr>
        <w:t> </w:t>
      </w:r>
      <w:r>
        <w:rPr/>
        <w:t>the</w:t>
      </w:r>
      <w:r>
        <w:rPr>
          <w:spacing w:val="-10"/>
        </w:rPr>
        <w:t> </w:t>
      </w:r>
      <w:r>
        <w:rPr/>
        <w:t>impact</w:t>
      </w:r>
      <w:r>
        <w:rPr>
          <w:spacing w:val="-10"/>
        </w:rPr>
        <w:t> </w:t>
      </w:r>
      <w:r>
        <w:rPr/>
        <w:t>of</w:t>
      </w:r>
      <w:r>
        <w:rPr>
          <w:spacing w:val="-10"/>
        </w:rPr>
        <w:t> </w:t>
      </w:r>
      <w:r>
        <w:rPr/>
        <w:t>borrowing and the graduated increase in the superannuation guarantee by the Federal Government.</w:t>
      </w:r>
    </w:p>
    <w:p>
      <w:pPr>
        <w:spacing w:after="0"/>
        <w:jc w:val="both"/>
        <w:sectPr>
          <w:pgSz w:w="11910" w:h="16840"/>
          <w:pgMar w:header="0" w:footer="378" w:top="620" w:bottom="560" w:left="620" w:right="600"/>
        </w:sectPr>
      </w:pPr>
    </w:p>
    <w:p>
      <w:pPr>
        <w:pStyle w:val="BodyText"/>
        <w:spacing w:before="73"/>
        <w:ind w:left="120" w:right="135"/>
        <w:jc w:val="both"/>
      </w:pPr>
      <w:r>
        <w:rPr/>
        <w:t>Further indicators of the long-term financial sustainability of Councils are the financial sustainability risk indicators as defined by Victorian Auditor General’s Office</w:t>
      </w:r>
      <w:r>
        <w:rPr>
          <w:spacing w:val="-9"/>
        </w:rPr>
        <w:t> </w:t>
      </w:r>
      <w:r>
        <w:rPr/>
        <w:t>(VAGO).</w:t>
      </w:r>
      <w:r>
        <w:rPr>
          <w:spacing w:val="-5"/>
        </w:rPr>
        <w:t> </w:t>
      </w:r>
      <w:r>
        <w:rPr/>
        <w:t>Council</w:t>
      </w:r>
      <w:r>
        <w:rPr>
          <w:spacing w:val="-8"/>
        </w:rPr>
        <w:t> </w:t>
      </w:r>
      <w:r>
        <w:rPr/>
        <w:t>is</w:t>
      </w:r>
      <w:r>
        <w:rPr>
          <w:spacing w:val="-5"/>
        </w:rPr>
        <w:t> </w:t>
      </w:r>
      <w:r>
        <w:rPr/>
        <w:t>in</w:t>
      </w:r>
      <w:r>
        <w:rPr>
          <w:spacing w:val="-7"/>
        </w:rPr>
        <w:t> </w:t>
      </w:r>
      <w:r>
        <w:rPr/>
        <w:t>a</w:t>
      </w:r>
      <w:r>
        <w:rPr>
          <w:spacing w:val="-7"/>
        </w:rPr>
        <w:t> </w:t>
      </w:r>
      <w:r>
        <w:rPr/>
        <w:t>sound</w:t>
      </w:r>
      <w:r>
        <w:rPr>
          <w:spacing w:val="-5"/>
        </w:rPr>
        <w:t> </w:t>
      </w:r>
      <w:r>
        <w:rPr/>
        <w:t>position</w:t>
      </w:r>
      <w:r>
        <w:rPr>
          <w:spacing w:val="-7"/>
        </w:rPr>
        <w:t> </w:t>
      </w:r>
      <w:r>
        <w:rPr/>
        <w:t>financially</w:t>
      </w:r>
      <w:r>
        <w:rPr>
          <w:spacing w:val="-3"/>
        </w:rPr>
        <w:t> </w:t>
      </w:r>
      <w:r>
        <w:rPr/>
        <w:t>with</w:t>
      </w:r>
      <w:r>
        <w:rPr>
          <w:spacing w:val="-5"/>
        </w:rPr>
        <w:t> </w:t>
      </w:r>
      <w:r>
        <w:rPr/>
        <w:t>all</w:t>
      </w:r>
      <w:r>
        <w:rPr>
          <w:spacing w:val="-8"/>
        </w:rPr>
        <w:t> </w:t>
      </w:r>
      <w:r>
        <w:rPr/>
        <w:t>indicators</w:t>
      </w:r>
      <w:r>
        <w:rPr>
          <w:spacing w:val="-10"/>
        </w:rPr>
        <w:t> </w:t>
      </w:r>
      <w:r>
        <w:rPr/>
        <w:t>showing</w:t>
      </w:r>
      <w:r>
        <w:rPr>
          <w:spacing w:val="-7"/>
        </w:rPr>
        <w:t> </w:t>
      </w:r>
      <w:r>
        <w:rPr/>
        <w:t>results</w:t>
      </w:r>
      <w:r>
        <w:rPr>
          <w:spacing w:val="-7"/>
        </w:rPr>
        <w:t> </w:t>
      </w:r>
      <w:r>
        <w:rPr/>
        <w:t>within</w:t>
      </w:r>
      <w:r>
        <w:rPr>
          <w:spacing w:val="-7"/>
        </w:rPr>
        <w:t> </w:t>
      </w:r>
      <w:r>
        <w:rPr/>
        <w:t>acceptable</w:t>
      </w:r>
      <w:r>
        <w:rPr>
          <w:spacing w:val="-7"/>
        </w:rPr>
        <w:t> </w:t>
      </w:r>
      <w:r>
        <w:rPr/>
        <w:t>low</w:t>
      </w:r>
      <w:r>
        <w:rPr>
          <w:spacing w:val="-7"/>
        </w:rPr>
        <w:t> </w:t>
      </w:r>
      <w:r>
        <w:rPr/>
        <w:t>to</w:t>
      </w:r>
      <w:r>
        <w:rPr>
          <w:spacing w:val="-7"/>
        </w:rPr>
        <w:t> </w:t>
      </w:r>
      <w:r>
        <w:rPr/>
        <w:t>medium</w:t>
      </w:r>
      <w:r>
        <w:rPr>
          <w:spacing w:val="-7"/>
        </w:rPr>
        <w:t> </w:t>
      </w:r>
      <w:r>
        <w:rPr/>
        <w:t>risk</w:t>
      </w:r>
      <w:r>
        <w:rPr>
          <w:spacing w:val="-5"/>
        </w:rPr>
        <w:t> </w:t>
      </w:r>
      <w:r>
        <w:rPr/>
        <w:t>levels.</w:t>
      </w:r>
      <w:r>
        <w:rPr>
          <w:spacing w:val="-5"/>
        </w:rPr>
        <w:t> </w:t>
      </w:r>
      <w:r>
        <w:rPr/>
        <w:t>The</w:t>
      </w:r>
      <w:r>
        <w:rPr>
          <w:spacing w:val="-9"/>
        </w:rPr>
        <w:t> </w:t>
      </w:r>
      <w:r>
        <w:rPr/>
        <w:t>following</w:t>
      </w:r>
      <w:r>
        <w:rPr>
          <w:spacing w:val="-5"/>
        </w:rPr>
        <w:t> </w:t>
      </w:r>
      <w:r>
        <w:rPr/>
        <w:t>table</w:t>
      </w:r>
      <w:r>
        <w:rPr>
          <w:spacing w:val="-7"/>
        </w:rPr>
        <w:t> </w:t>
      </w:r>
      <w:r>
        <w:rPr/>
        <w:t>show these indicators over the ten-year period, shading green for low risk and yellow for medium risk.</w:t>
      </w:r>
    </w:p>
    <w:p>
      <w:pPr>
        <w:pStyle w:val="BodyText"/>
        <w:spacing w:before="1"/>
      </w:pPr>
    </w:p>
    <w:p>
      <w:pPr>
        <w:pStyle w:val="BodyText"/>
        <w:ind w:left="120" w:right="135"/>
        <w:jc w:val="both"/>
      </w:pPr>
      <w:r>
        <w:rPr/>
        <w:t>The</w:t>
      </w:r>
      <w:r>
        <w:rPr>
          <w:spacing w:val="-2"/>
        </w:rPr>
        <w:t> </w:t>
      </w:r>
      <w:r>
        <w:rPr/>
        <w:t>ratios are</w:t>
      </w:r>
      <w:r>
        <w:rPr>
          <w:spacing w:val="-1"/>
        </w:rPr>
        <w:t> </w:t>
      </w:r>
      <w:r>
        <w:rPr/>
        <w:t>benchmarked against</w:t>
      </w:r>
      <w:r>
        <w:rPr>
          <w:spacing w:val="-1"/>
        </w:rPr>
        <w:t> </w:t>
      </w:r>
      <w:r>
        <w:rPr/>
        <w:t>the</w:t>
      </w:r>
      <w:r>
        <w:rPr>
          <w:spacing w:val="-1"/>
        </w:rPr>
        <w:t> </w:t>
      </w:r>
      <w:r>
        <w:rPr/>
        <w:t>VAGO indicators</w:t>
      </w:r>
      <w:r>
        <w:rPr>
          <w:spacing w:val="-2"/>
        </w:rPr>
        <w:t> </w:t>
      </w:r>
      <w:r>
        <w:rPr/>
        <w:t>which</w:t>
      </w:r>
      <w:r>
        <w:rPr>
          <w:spacing w:val="-1"/>
        </w:rPr>
        <w:t> </w:t>
      </w:r>
      <w:r>
        <w:rPr/>
        <w:t>assesses</w:t>
      </w:r>
      <w:r>
        <w:rPr>
          <w:spacing w:val="-4"/>
        </w:rPr>
        <w:t> </w:t>
      </w:r>
      <w:r>
        <w:rPr/>
        <w:t>medium (yellow) level</w:t>
      </w:r>
      <w:r>
        <w:rPr>
          <w:spacing w:val="-2"/>
        </w:rPr>
        <w:t> </w:t>
      </w:r>
      <w:r>
        <w:rPr/>
        <w:t>risks namely</w:t>
      </w:r>
      <w:r>
        <w:rPr>
          <w:spacing w:val="-2"/>
        </w:rPr>
        <w:t> </w:t>
      </w:r>
      <w:r>
        <w:rPr/>
        <w:t>the</w:t>
      </w:r>
      <w:r>
        <w:rPr>
          <w:spacing w:val="-3"/>
        </w:rPr>
        <w:t> </w:t>
      </w:r>
      <w:r>
        <w:rPr/>
        <w:t>capital</w:t>
      </w:r>
      <w:r>
        <w:rPr>
          <w:spacing w:val="-2"/>
        </w:rPr>
        <w:t> </w:t>
      </w:r>
      <w:r>
        <w:rPr/>
        <w:t>replacement ratio</w:t>
      </w:r>
      <w:r>
        <w:rPr>
          <w:spacing w:val="-1"/>
        </w:rPr>
        <w:t> </w:t>
      </w:r>
      <w:r>
        <w:rPr/>
        <w:t>as</w:t>
      </w:r>
      <w:r>
        <w:rPr>
          <w:spacing w:val="-2"/>
        </w:rPr>
        <w:t> </w:t>
      </w:r>
      <w:r>
        <w:rPr/>
        <w:t>still being within acceptable levels since it is greater than 1. Council is expected to</w:t>
      </w:r>
      <w:r>
        <w:rPr>
          <w:spacing w:val="-2"/>
        </w:rPr>
        <w:t> </w:t>
      </w:r>
      <w:r>
        <w:rPr/>
        <w:t>maintain levels of risk at low and</w:t>
      </w:r>
      <w:r>
        <w:rPr>
          <w:spacing w:val="-1"/>
        </w:rPr>
        <w:t> </w:t>
      </w:r>
      <w:r>
        <w:rPr/>
        <w:t>medium risk ratings once benchmarked against the VAGO </w:t>
      </w:r>
      <w:r>
        <w:rPr>
          <w:spacing w:val="-2"/>
        </w:rPr>
        <w:t>measure.</w:t>
      </w:r>
    </w:p>
    <w:p>
      <w:pPr>
        <w:pStyle w:val="BodyText"/>
        <w:spacing w:before="3"/>
        <w:rPr>
          <w:sz w:val="21"/>
        </w:rPr>
      </w:pPr>
    </w:p>
    <w:tbl>
      <w:tblPr>
        <w:tblW w:w="0" w:type="auto"/>
        <w:jc w:val="left"/>
        <w:tblInd w:w="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69"/>
        <w:gridCol w:w="946"/>
        <w:gridCol w:w="950"/>
        <w:gridCol w:w="950"/>
        <w:gridCol w:w="1058"/>
        <w:gridCol w:w="950"/>
        <w:gridCol w:w="950"/>
        <w:gridCol w:w="861"/>
        <w:gridCol w:w="1157"/>
        <w:gridCol w:w="833"/>
        <w:gridCol w:w="950"/>
        <w:gridCol w:w="950"/>
        <w:gridCol w:w="872"/>
      </w:tblGrid>
      <w:tr>
        <w:trPr>
          <w:trHeight w:val="1382" w:hRule="atLeast"/>
        </w:trPr>
        <w:tc>
          <w:tcPr>
            <w:tcW w:w="3969" w:type="dxa"/>
            <w:tcBorders>
              <w:top w:val="single" w:sz="4" w:space="0" w:color="000000"/>
              <w:left w:val="single" w:sz="4" w:space="0" w:color="000000"/>
            </w:tcBorders>
            <w:shd w:val="clear" w:color="auto" w:fill="629CD1"/>
          </w:tcPr>
          <w:p>
            <w:pPr>
              <w:pStyle w:val="TableParagraph"/>
              <w:rPr>
                <w:sz w:val="22"/>
              </w:rPr>
            </w:pPr>
          </w:p>
          <w:p>
            <w:pPr>
              <w:pStyle w:val="TableParagraph"/>
              <w:rPr>
                <w:sz w:val="22"/>
              </w:rPr>
            </w:pPr>
          </w:p>
          <w:p>
            <w:pPr>
              <w:pStyle w:val="TableParagraph"/>
              <w:spacing w:before="165"/>
              <w:ind w:left="44"/>
              <w:rPr>
                <w:b/>
                <w:sz w:val="19"/>
              </w:rPr>
            </w:pPr>
            <w:r>
              <w:rPr>
                <w:b/>
                <w:color w:val="FFFFFF"/>
                <w:spacing w:val="-2"/>
                <w:sz w:val="19"/>
              </w:rPr>
              <w:t>Indicator</w:t>
            </w:r>
          </w:p>
        </w:tc>
        <w:tc>
          <w:tcPr>
            <w:tcW w:w="946" w:type="dxa"/>
            <w:tcBorders>
              <w:top w:val="single" w:sz="4" w:space="0" w:color="000000"/>
            </w:tcBorders>
            <w:shd w:val="clear" w:color="auto" w:fill="629CD1"/>
          </w:tcPr>
          <w:p>
            <w:pPr>
              <w:pStyle w:val="TableParagraph"/>
              <w:spacing w:before="10"/>
              <w:rPr>
                <w:sz w:val="27"/>
              </w:rPr>
            </w:pPr>
          </w:p>
          <w:p>
            <w:pPr>
              <w:pStyle w:val="TableParagraph"/>
              <w:ind w:left="52" w:right="34"/>
              <w:jc w:val="center"/>
              <w:rPr>
                <w:sz w:val="19"/>
              </w:rPr>
            </w:pPr>
            <w:r>
              <w:rPr>
                <w:color w:val="FFFFFF"/>
                <w:spacing w:val="-2"/>
                <w:sz w:val="19"/>
              </w:rPr>
              <w:t>Measures</w:t>
            </w:r>
          </w:p>
        </w:tc>
        <w:tc>
          <w:tcPr>
            <w:tcW w:w="950" w:type="dxa"/>
            <w:tcBorders>
              <w:top w:val="single" w:sz="4" w:space="0" w:color="000000"/>
            </w:tcBorders>
            <w:shd w:val="clear" w:color="auto" w:fill="629CD1"/>
          </w:tcPr>
          <w:p>
            <w:pPr>
              <w:pStyle w:val="TableParagraph"/>
              <w:spacing w:line="326" w:lineRule="auto" w:before="30"/>
              <w:ind w:left="335" w:hanging="209"/>
              <w:rPr>
                <w:b/>
                <w:sz w:val="19"/>
              </w:rPr>
            </w:pPr>
            <w:r>
              <w:rPr>
                <w:b/>
                <w:color w:val="FFFFFF"/>
                <w:spacing w:val="-2"/>
                <w:sz w:val="19"/>
              </w:rPr>
              <w:t>Forecast Actual</w:t>
            </w:r>
          </w:p>
          <w:p>
            <w:pPr>
              <w:pStyle w:val="TableParagraph"/>
              <w:spacing w:before="47"/>
              <w:ind w:left="246"/>
              <w:rPr>
                <w:b/>
                <w:sz w:val="19"/>
              </w:rPr>
            </w:pPr>
            <w:r>
              <w:rPr>
                <w:b/>
                <w:color w:val="FFFFFF"/>
                <w:spacing w:val="-2"/>
                <w:sz w:val="19"/>
              </w:rPr>
              <w:t>2024/25</w:t>
            </w:r>
          </w:p>
          <w:p>
            <w:pPr>
              <w:pStyle w:val="TableParagraph"/>
              <w:spacing w:before="165"/>
              <w:ind w:left="452"/>
              <w:rPr>
                <w:b/>
                <w:sz w:val="19"/>
              </w:rPr>
            </w:pPr>
            <w:r>
              <w:rPr>
                <w:b/>
                <w:color w:val="FFFFFF"/>
                <w:spacing w:val="-2"/>
                <w:sz w:val="19"/>
              </w:rPr>
              <w:t>$’000</w:t>
            </w:r>
          </w:p>
        </w:tc>
        <w:tc>
          <w:tcPr>
            <w:tcW w:w="950" w:type="dxa"/>
            <w:tcBorders>
              <w:top w:val="single" w:sz="4" w:space="0" w:color="000000"/>
            </w:tcBorders>
            <w:shd w:val="clear" w:color="auto" w:fill="629CD1"/>
          </w:tcPr>
          <w:p>
            <w:pPr>
              <w:pStyle w:val="TableParagraph"/>
              <w:spacing w:before="179"/>
              <w:ind w:right="12"/>
              <w:jc w:val="right"/>
              <w:rPr>
                <w:b/>
                <w:sz w:val="19"/>
              </w:rPr>
            </w:pPr>
            <w:r>
              <w:rPr>
                <w:b/>
                <w:color w:val="FFFFFF"/>
                <w:spacing w:val="-2"/>
                <w:sz w:val="19"/>
              </w:rPr>
              <w:t>Budget</w:t>
            </w:r>
          </w:p>
          <w:p>
            <w:pPr>
              <w:pStyle w:val="TableParagraph"/>
              <w:spacing w:before="9"/>
              <w:rPr>
                <w:sz w:val="23"/>
              </w:rPr>
            </w:pPr>
          </w:p>
          <w:p>
            <w:pPr>
              <w:pStyle w:val="TableParagraph"/>
              <w:ind w:right="16"/>
              <w:jc w:val="right"/>
              <w:rPr>
                <w:b/>
                <w:sz w:val="19"/>
              </w:rPr>
            </w:pPr>
            <w:r>
              <w:rPr>
                <w:b/>
                <w:color w:val="FFFFFF"/>
                <w:spacing w:val="-2"/>
                <w:sz w:val="19"/>
              </w:rPr>
              <w:t>2025/26</w:t>
            </w:r>
          </w:p>
          <w:p>
            <w:pPr>
              <w:pStyle w:val="TableParagraph"/>
              <w:spacing w:before="165"/>
              <w:ind w:right="14"/>
              <w:jc w:val="right"/>
              <w:rPr>
                <w:b/>
                <w:sz w:val="19"/>
              </w:rPr>
            </w:pPr>
            <w:r>
              <w:rPr>
                <w:b/>
                <w:color w:val="FFFFFF"/>
                <w:spacing w:val="-2"/>
                <w:sz w:val="19"/>
              </w:rPr>
              <w:t>$’000</w:t>
            </w:r>
          </w:p>
        </w:tc>
        <w:tc>
          <w:tcPr>
            <w:tcW w:w="1058" w:type="dxa"/>
            <w:tcBorders>
              <w:top w:val="single" w:sz="4" w:space="0" w:color="000000"/>
            </w:tcBorders>
            <w:shd w:val="clear" w:color="auto" w:fill="629CD1"/>
          </w:tcPr>
          <w:p>
            <w:pPr>
              <w:pStyle w:val="TableParagraph"/>
              <w:rPr>
                <w:sz w:val="22"/>
              </w:rPr>
            </w:pPr>
          </w:p>
          <w:p>
            <w:pPr>
              <w:pStyle w:val="TableParagraph"/>
              <w:rPr>
                <w:sz w:val="22"/>
              </w:rPr>
            </w:pPr>
          </w:p>
          <w:p>
            <w:pPr>
              <w:pStyle w:val="TableParagraph"/>
              <w:spacing w:before="165"/>
              <w:ind w:right="119"/>
              <w:jc w:val="right"/>
              <w:rPr>
                <w:b/>
                <w:sz w:val="19"/>
              </w:rPr>
            </w:pPr>
            <w:r>
              <w:rPr>
                <w:b/>
                <w:color w:val="FFFFFF"/>
                <w:spacing w:val="-2"/>
                <w:sz w:val="19"/>
              </w:rPr>
              <w:t>2026/27</w:t>
            </w:r>
          </w:p>
          <w:p>
            <w:pPr>
              <w:pStyle w:val="TableParagraph"/>
              <w:spacing w:before="165"/>
              <w:ind w:right="120"/>
              <w:jc w:val="right"/>
              <w:rPr>
                <w:b/>
                <w:sz w:val="19"/>
              </w:rPr>
            </w:pPr>
            <w:r>
              <w:rPr>
                <w:b/>
                <w:color w:val="FFFFFF"/>
                <w:spacing w:val="-2"/>
                <w:sz w:val="19"/>
              </w:rPr>
              <w:t>$’000</w:t>
            </w:r>
          </w:p>
        </w:tc>
        <w:tc>
          <w:tcPr>
            <w:tcW w:w="950" w:type="dxa"/>
            <w:tcBorders>
              <w:top w:val="single" w:sz="4" w:space="0" w:color="000000"/>
            </w:tcBorders>
            <w:shd w:val="clear" w:color="auto" w:fill="629CD1"/>
          </w:tcPr>
          <w:p>
            <w:pPr>
              <w:pStyle w:val="TableParagraph"/>
              <w:rPr>
                <w:sz w:val="22"/>
              </w:rPr>
            </w:pPr>
          </w:p>
          <w:p>
            <w:pPr>
              <w:pStyle w:val="TableParagraph"/>
              <w:rPr>
                <w:sz w:val="22"/>
              </w:rPr>
            </w:pPr>
          </w:p>
          <w:p>
            <w:pPr>
              <w:pStyle w:val="TableParagraph"/>
              <w:spacing w:before="165"/>
              <w:ind w:right="119"/>
              <w:jc w:val="right"/>
              <w:rPr>
                <w:b/>
                <w:sz w:val="19"/>
              </w:rPr>
            </w:pPr>
            <w:r>
              <w:rPr>
                <w:b/>
                <w:color w:val="FFFFFF"/>
                <w:spacing w:val="-2"/>
                <w:sz w:val="19"/>
              </w:rPr>
              <w:t>2027/28</w:t>
            </w:r>
          </w:p>
          <w:p>
            <w:pPr>
              <w:pStyle w:val="TableParagraph"/>
              <w:spacing w:before="165"/>
              <w:ind w:right="119"/>
              <w:jc w:val="right"/>
              <w:rPr>
                <w:b/>
                <w:sz w:val="19"/>
              </w:rPr>
            </w:pPr>
            <w:r>
              <w:rPr>
                <w:b/>
                <w:color w:val="FFFFFF"/>
                <w:spacing w:val="-2"/>
                <w:sz w:val="19"/>
              </w:rPr>
              <w:t>$’000</w:t>
            </w:r>
          </w:p>
        </w:tc>
        <w:tc>
          <w:tcPr>
            <w:tcW w:w="950" w:type="dxa"/>
            <w:tcBorders>
              <w:top w:val="single" w:sz="4" w:space="0" w:color="000000"/>
            </w:tcBorders>
            <w:shd w:val="clear" w:color="auto" w:fill="629CD1"/>
          </w:tcPr>
          <w:p>
            <w:pPr>
              <w:pStyle w:val="TableParagraph"/>
              <w:rPr>
                <w:sz w:val="22"/>
              </w:rPr>
            </w:pPr>
          </w:p>
          <w:p>
            <w:pPr>
              <w:pStyle w:val="TableParagraph"/>
              <w:rPr>
                <w:sz w:val="22"/>
              </w:rPr>
            </w:pPr>
          </w:p>
          <w:p>
            <w:pPr>
              <w:pStyle w:val="TableParagraph"/>
              <w:spacing w:before="165"/>
              <w:ind w:right="120"/>
              <w:jc w:val="right"/>
              <w:rPr>
                <w:b/>
                <w:sz w:val="19"/>
              </w:rPr>
            </w:pPr>
            <w:r>
              <w:rPr>
                <w:b/>
                <w:color w:val="FFFFFF"/>
                <w:spacing w:val="-2"/>
                <w:sz w:val="19"/>
              </w:rPr>
              <w:t>2028/29</w:t>
            </w:r>
          </w:p>
          <w:p>
            <w:pPr>
              <w:pStyle w:val="TableParagraph"/>
              <w:spacing w:before="165"/>
              <w:ind w:right="119"/>
              <w:jc w:val="right"/>
              <w:rPr>
                <w:b/>
                <w:sz w:val="19"/>
              </w:rPr>
            </w:pPr>
            <w:r>
              <w:rPr>
                <w:b/>
                <w:color w:val="FFFFFF"/>
                <w:spacing w:val="-2"/>
                <w:sz w:val="19"/>
              </w:rPr>
              <w:t>$’000</w:t>
            </w:r>
          </w:p>
        </w:tc>
        <w:tc>
          <w:tcPr>
            <w:tcW w:w="2018" w:type="dxa"/>
            <w:gridSpan w:val="2"/>
            <w:tcBorders>
              <w:top w:val="single" w:sz="4" w:space="0" w:color="000000"/>
            </w:tcBorders>
            <w:shd w:val="clear" w:color="auto" w:fill="629CD1"/>
          </w:tcPr>
          <w:p>
            <w:pPr>
              <w:pStyle w:val="TableParagraph"/>
              <w:spacing w:line="326" w:lineRule="auto" w:before="30"/>
              <w:ind w:left="812" w:hanging="164"/>
              <w:rPr>
                <w:b/>
                <w:sz w:val="19"/>
              </w:rPr>
            </w:pPr>
            <w:r>
              <w:rPr>
                <w:b/>
                <w:color w:val="FFFFFF"/>
                <w:sz w:val="19"/>
              </w:rPr>
              <w:t>Financial </w:t>
            </w:r>
            <w:r>
              <w:rPr>
                <w:b/>
                <w:color w:val="FFFFFF"/>
                <w:sz w:val="19"/>
              </w:rPr>
              <w:t>Plan </w:t>
            </w:r>
            <w:r>
              <w:rPr>
                <w:b/>
                <w:color w:val="FFFFFF"/>
                <w:spacing w:val="-2"/>
                <w:sz w:val="19"/>
              </w:rPr>
              <w:t>Projections</w:t>
            </w:r>
          </w:p>
          <w:p>
            <w:pPr>
              <w:pStyle w:val="TableParagraph"/>
              <w:tabs>
                <w:tab w:pos="1093" w:val="left" w:leader="none"/>
              </w:tabs>
              <w:spacing w:before="47"/>
              <w:ind w:left="142"/>
              <w:rPr>
                <w:b/>
                <w:sz w:val="19"/>
              </w:rPr>
            </w:pPr>
            <w:r>
              <w:rPr>
                <w:b/>
                <w:color w:val="FFFFFF"/>
                <w:spacing w:val="-2"/>
                <w:sz w:val="19"/>
              </w:rPr>
              <w:t>2029/30</w:t>
            </w:r>
            <w:r>
              <w:rPr>
                <w:b/>
                <w:color w:val="FFFFFF"/>
                <w:sz w:val="19"/>
              </w:rPr>
              <w:tab/>
            </w:r>
            <w:r>
              <w:rPr>
                <w:b/>
                <w:color w:val="FFFFFF"/>
                <w:spacing w:val="-2"/>
                <w:sz w:val="19"/>
              </w:rPr>
              <w:t>2030/31</w:t>
            </w:r>
          </w:p>
          <w:p>
            <w:pPr>
              <w:pStyle w:val="TableParagraph"/>
              <w:tabs>
                <w:tab w:pos="1301" w:val="left" w:leader="none"/>
              </w:tabs>
              <w:spacing w:before="165"/>
              <w:ind w:left="351"/>
              <w:rPr>
                <w:b/>
                <w:sz w:val="19"/>
              </w:rPr>
            </w:pPr>
            <w:r>
              <w:rPr>
                <w:b/>
                <w:color w:val="FFFFFF"/>
                <w:spacing w:val="-2"/>
                <w:sz w:val="19"/>
              </w:rPr>
              <w:t>$’000</w:t>
            </w:r>
            <w:r>
              <w:rPr>
                <w:b/>
                <w:color w:val="FFFFFF"/>
                <w:sz w:val="19"/>
              </w:rPr>
              <w:tab/>
            </w:r>
            <w:r>
              <w:rPr>
                <w:b/>
                <w:color w:val="FFFFFF"/>
                <w:spacing w:val="-2"/>
                <w:sz w:val="19"/>
              </w:rPr>
              <w:t>$’000</w:t>
            </w:r>
          </w:p>
        </w:tc>
        <w:tc>
          <w:tcPr>
            <w:tcW w:w="833" w:type="dxa"/>
            <w:tcBorders>
              <w:top w:val="single" w:sz="4" w:space="0" w:color="000000"/>
            </w:tcBorders>
            <w:shd w:val="clear" w:color="auto" w:fill="629CD1"/>
          </w:tcPr>
          <w:p>
            <w:pPr>
              <w:pStyle w:val="TableParagraph"/>
              <w:rPr>
                <w:sz w:val="22"/>
              </w:rPr>
            </w:pPr>
          </w:p>
          <w:p>
            <w:pPr>
              <w:pStyle w:val="TableParagraph"/>
              <w:rPr>
                <w:sz w:val="22"/>
              </w:rPr>
            </w:pPr>
          </w:p>
          <w:p>
            <w:pPr>
              <w:pStyle w:val="TableParagraph"/>
              <w:spacing w:before="165"/>
              <w:ind w:right="116"/>
              <w:jc w:val="right"/>
              <w:rPr>
                <w:b/>
                <w:sz w:val="19"/>
              </w:rPr>
            </w:pPr>
            <w:r>
              <w:rPr>
                <w:b/>
                <w:color w:val="FFFFFF"/>
                <w:spacing w:val="-2"/>
                <w:sz w:val="19"/>
              </w:rPr>
              <w:t>2031/32</w:t>
            </w:r>
          </w:p>
          <w:p>
            <w:pPr>
              <w:pStyle w:val="TableParagraph"/>
              <w:spacing w:before="165"/>
              <w:ind w:right="116"/>
              <w:jc w:val="right"/>
              <w:rPr>
                <w:b/>
                <w:sz w:val="19"/>
              </w:rPr>
            </w:pPr>
            <w:r>
              <w:rPr>
                <w:b/>
                <w:color w:val="FFFFFF"/>
                <w:spacing w:val="-2"/>
                <w:sz w:val="19"/>
              </w:rPr>
              <w:t>$’000</w:t>
            </w:r>
          </w:p>
        </w:tc>
        <w:tc>
          <w:tcPr>
            <w:tcW w:w="950" w:type="dxa"/>
            <w:tcBorders>
              <w:top w:val="single" w:sz="4" w:space="0" w:color="000000"/>
            </w:tcBorders>
            <w:shd w:val="clear" w:color="auto" w:fill="629CD1"/>
          </w:tcPr>
          <w:p>
            <w:pPr>
              <w:pStyle w:val="TableParagraph"/>
              <w:rPr>
                <w:sz w:val="22"/>
              </w:rPr>
            </w:pPr>
          </w:p>
          <w:p>
            <w:pPr>
              <w:pStyle w:val="TableParagraph"/>
              <w:rPr>
                <w:sz w:val="22"/>
              </w:rPr>
            </w:pPr>
          </w:p>
          <w:p>
            <w:pPr>
              <w:pStyle w:val="TableParagraph"/>
              <w:spacing w:before="165"/>
              <w:ind w:right="113"/>
              <w:jc w:val="right"/>
              <w:rPr>
                <w:b/>
                <w:sz w:val="19"/>
              </w:rPr>
            </w:pPr>
            <w:r>
              <w:rPr>
                <w:b/>
                <w:color w:val="FFFFFF"/>
                <w:spacing w:val="-2"/>
                <w:sz w:val="19"/>
              </w:rPr>
              <w:t>2032/33</w:t>
            </w:r>
          </w:p>
          <w:p>
            <w:pPr>
              <w:pStyle w:val="TableParagraph"/>
              <w:spacing w:before="165"/>
              <w:ind w:right="114"/>
              <w:jc w:val="right"/>
              <w:rPr>
                <w:b/>
                <w:sz w:val="19"/>
              </w:rPr>
            </w:pPr>
            <w:r>
              <w:rPr>
                <w:b/>
                <w:color w:val="FFFFFF"/>
                <w:spacing w:val="-2"/>
                <w:sz w:val="19"/>
              </w:rPr>
              <w:t>$’000</w:t>
            </w:r>
          </w:p>
        </w:tc>
        <w:tc>
          <w:tcPr>
            <w:tcW w:w="950" w:type="dxa"/>
            <w:tcBorders>
              <w:top w:val="single" w:sz="4" w:space="0" w:color="000000"/>
            </w:tcBorders>
            <w:shd w:val="clear" w:color="auto" w:fill="629CD1"/>
          </w:tcPr>
          <w:p>
            <w:pPr>
              <w:pStyle w:val="TableParagraph"/>
              <w:rPr>
                <w:sz w:val="22"/>
              </w:rPr>
            </w:pPr>
          </w:p>
          <w:p>
            <w:pPr>
              <w:pStyle w:val="TableParagraph"/>
              <w:rPr>
                <w:sz w:val="22"/>
              </w:rPr>
            </w:pPr>
          </w:p>
          <w:p>
            <w:pPr>
              <w:pStyle w:val="TableParagraph"/>
              <w:spacing w:before="165"/>
              <w:ind w:right="113"/>
              <w:jc w:val="right"/>
              <w:rPr>
                <w:b/>
                <w:sz w:val="19"/>
              </w:rPr>
            </w:pPr>
            <w:r>
              <w:rPr>
                <w:b/>
                <w:color w:val="FFFFFF"/>
                <w:spacing w:val="-2"/>
                <w:sz w:val="19"/>
              </w:rPr>
              <w:t>2033/34</w:t>
            </w:r>
          </w:p>
          <w:p>
            <w:pPr>
              <w:pStyle w:val="TableParagraph"/>
              <w:spacing w:before="165"/>
              <w:ind w:right="113"/>
              <w:jc w:val="right"/>
              <w:rPr>
                <w:b/>
                <w:sz w:val="19"/>
              </w:rPr>
            </w:pPr>
            <w:r>
              <w:rPr>
                <w:b/>
                <w:color w:val="FFFFFF"/>
                <w:spacing w:val="-2"/>
                <w:sz w:val="19"/>
              </w:rPr>
              <w:t>$’000</w:t>
            </w:r>
          </w:p>
        </w:tc>
        <w:tc>
          <w:tcPr>
            <w:tcW w:w="872" w:type="dxa"/>
            <w:tcBorders>
              <w:top w:val="single" w:sz="4" w:space="0" w:color="000000"/>
              <w:right w:val="single" w:sz="4" w:space="0" w:color="000000"/>
            </w:tcBorders>
            <w:shd w:val="clear" w:color="auto" w:fill="629CD1"/>
          </w:tcPr>
          <w:p>
            <w:pPr>
              <w:pStyle w:val="TableParagraph"/>
              <w:rPr>
                <w:sz w:val="22"/>
              </w:rPr>
            </w:pPr>
          </w:p>
          <w:p>
            <w:pPr>
              <w:pStyle w:val="TableParagraph"/>
              <w:rPr>
                <w:sz w:val="22"/>
              </w:rPr>
            </w:pPr>
          </w:p>
          <w:p>
            <w:pPr>
              <w:pStyle w:val="TableParagraph"/>
              <w:spacing w:before="165"/>
              <w:ind w:right="29"/>
              <w:jc w:val="right"/>
              <w:rPr>
                <w:b/>
                <w:sz w:val="19"/>
              </w:rPr>
            </w:pPr>
            <w:r>
              <w:rPr>
                <w:b/>
                <w:color w:val="FFFFFF"/>
                <w:spacing w:val="-2"/>
                <w:sz w:val="19"/>
              </w:rPr>
              <w:t>2034/35</w:t>
            </w:r>
          </w:p>
          <w:p>
            <w:pPr>
              <w:pStyle w:val="TableParagraph"/>
              <w:spacing w:before="165"/>
              <w:ind w:right="30"/>
              <w:jc w:val="right"/>
              <w:rPr>
                <w:b/>
                <w:sz w:val="19"/>
              </w:rPr>
            </w:pPr>
            <w:r>
              <w:rPr>
                <w:b/>
                <w:color w:val="FFFFFF"/>
                <w:spacing w:val="-2"/>
                <w:sz w:val="19"/>
              </w:rPr>
              <w:t>$’000</w:t>
            </w:r>
          </w:p>
        </w:tc>
      </w:tr>
      <w:tr>
        <w:trPr>
          <w:trHeight w:val="366" w:hRule="atLeast"/>
        </w:trPr>
        <w:tc>
          <w:tcPr>
            <w:tcW w:w="3969" w:type="dxa"/>
            <w:tcBorders>
              <w:left w:val="single" w:sz="8" w:space="0" w:color="D4D4D4"/>
              <w:bottom w:val="single" w:sz="8" w:space="0" w:color="D4D4D4"/>
              <w:right w:val="single" w:sz="8" w:space="0" w:color="D4D4D4"/>
            </w:tcBorders>
          </w:tcPr>
          <w:p>
            <w:pPr>
              <w:pStyle w:val="TableParagraph"/>
              <w:spacing w:before="52"/>
              <w:ind w:left="39"/>
              <w:rPr>
                <w:sz w:val="19"/>
              </w:rPr>
            </w:pPr>
            <w:r>
              <w:rPr>
                <w:sz w:val="19"/>
              </w:rPr>
              <w:t>Net</w:t>
            </w:r>
            <w:r>
              <w:rPr>
                <w:spacing w:val="7"/>
                <w:sz w:val="19"/>
              </w:rPr>
              <w:t> </w:t>
            </w:r>
            <w:r>
              <w:rPr>
                <w:sz w:val="19"/>
              </w:rPr>
              <w:t>Result</w:t>
            </w:r>
            <w:r>
              <w:rPr>
                <w:spacing w:val="5"/>
                <w:sz w:val="19"/>
              </w:rPr>
              <w:t> </w:t>
            </w:r>
            <w:r>
              <w:rPr>
                <w:spacing w:val="-10"/>
                <w:sz w:val="19"/>
              </w:rPr>
              <w:t>%</w:t>
            </w:r>
          </w:p>
        </w:tc>
        <w:tc>
          <w:tcPr>
            <w:tcW w:w="946" w:type="dxa"/>
            <w:tcBorders>
              <w:left w:val="single" w:sz="8" w:space="0" w:color="D4D4D4"/>
              <w:bottom w:val="single" w:sz="8" w:space="0" w:color="D4D4D4"/>
            </w:tcBorders>
          </w:tcPr>
          <w:p>
            <w:pPr>
              <w:pStyle w:val="TableParagraph"/>
              <w:spacing w:before="59"/>
              <w:ind w:left="146" w:right="99"/>
              <w:jc w:val="center"/>
              <w:rPr>
                <w:b/>
                <w:sz w:val="19"/>
              </w:rPr>
            </w:pPr>
            <w:r>
              <w:rPr>
                <w:b/>
                <w:sz w:val="19"/>
              </w:rPr>
              <w:t>&gt;</w:t>
            </w:r>
            <w:r>
              <w:rPr>
                <w:b/>
                <w:spacing w:val="13"/>
                <w:sz w:val="19"/>
              </w:rPr>
              <w:t> </w:t>
            </w:r>
            <w:r>
              <w:rPr>
                <w:b/>
                <w:spacing w:val="-5"/>
                <w:sz w:val="19"/>
              </w:rPr>
              <w:t>0%</w:t>
            </w:r>
          </w:p>
        </w:tc>
        <w:tc>
          <w:tcPr>
            <w:tcW w:w="950" w:type="dxa"/>
            <w:shd w:val="clear" w:color="auto" w:fill="91CF50"/>
          </w:tcPr>
          <w:p>
            <w:pPr>
              <w:pStyle w:val="TableParagraph"/>
              <w:spacing w:before="59"/>
              <w:ind w:right="-15"/>
              <w:jc w:val="right"/>
              <w:rPr>
                <w:b/>
                <w:sz w:val="19"/>
              </w:rPr>
            </w:pPr>
            <w:r>
              <w:rPr>
                <w:b/>
                <w:spacing w:val="-2"/>
                <w:sz w:val="19"/>
              </w:rPr>
              <w:t>18.4%</w:t>
            </w:r>
          </w:p>
        </w:tc>
        <w:tc>
          <w:tcPr>
            <w:tcW w:w="950" w:type="dxa"/>
            <w:shd w:val="clear" w:color="auto" w:fill="91CF50"/>
          </w:tcPr>
          <w:p>
            <w:pPr>
              <w:pStyle w:val="TableParagraph"/>
              <w:spacing w:before="52"/>
              <w:ind w:right="25"/>
              <w:jc w:val="right"/>
              <w:rPr>
                <w:sz w:val="19"/>
              </w:rPr>
            </w:pPr>
            <w:r>
              <w:rPr>
                <w:spacing w:val="-4"/>
                <w:sz w:val="19"/>
              </w:rPr>
              <w:t>9.1%</w:t>
            </w:r>
          </w:p>
        </w:tc>
        <w:tc>
          <w:tcPr>
            <w:tcW w:w="1058" w:type="dxa"/>
            <w:shd w:val="clear" w:color="auto" w:fill="91CF50"/>
          </w:tcPr>
          <w:p>
            <w:pPr>
              <w:pStyle w:val="TableParagraph"/>
              <w:spacing w:before="52"/>
              <w:ind w:right="130"/>
              <w:jc w:val="right"/>
              <w:rPr>
                <w:sz w:val="19"/>
              </w:rPr>
            </w:pPr>
            <w:r>
              <w:rPr>
                <w:spacing w:val="-2"/>
                <w:sz w:val="19"/>
              </w:rPr>
              <w:t>14.3%</w:t>
            </w:r>
          </w:p>
        </w:tc>
        <w:tc>
          <w:tcPr>
            <w:tcW w:w="950" w:type="dxa"/>
            <w:shd w:val="clear" w:color="auto" w:fill="91CF50"/>
          </w:tcPr>
          <w:p>
            <w:pPr>
              <w:pStyle w:val="TableParagraph"/>
              <w:spacing w:before="52"/>
              <w:ind w:right="130"/>
              <w:jc w:val="right"/>
              <w:rPr>
                <w:sz w:val="19"/>
              </w:rPr>
            </w:pPr>
            <w:r>
              <w:rPr>
                <w:spacing w:val="-2"/>
                <w:sz w:val="19"/>
              </w:rPr>
              <w:t>10.4%</w:t>
            </w:r>
          </w:p>
        </w:tc>
        <w:tc>
          <w:tcPr>
            <w:tcW w:w="950" w:type="dxa"/>
            <w:shd w:val="clear" w:color="auto" w:fill="91CF50"/>
          </w:tcPr>
          <w:p>
            <w:pPr>
              <w:pStyle w:val="TableParagraph"/>
              <w:spacing w:before="52"/>
              <w:ind w:right="129"/>
              <w:jc w:val="right"/>
              <w:rPr>
                <w:sz w:val="19"/>
              </w:rPr>
            </w:pPr>
            <w:r>
              <w:rPr>
                <w:spacing w:val="-2"/>
                <w:sz w:val="19"/>
              </w:rPr>
              <w:t>10.1%</w:t>
            </w:r>
          </w:p>
        </w:tc>
        <w:tc>
          <w:tcPr>
            <w:tcW w:w="861" w:type="dxa"/>
            <w:shd w:val="clear" w:color="auto" w:fill="91CF50"/>
          </w:tcPr>
          <w:p>
            <w:pPr>
              <w:pStyle w:val="TableParagraph"/>
              <w:spacing w:before="52"/>
              <w:ind w:right="38"/>
              <w:jc w:val="right"/>
              <w:rPr>
                <w:sz w:val="19"/>
              </w:rPr>
            </w:pPr>
            <w:r>
              <w:rPr>
                <w:spacing w:val="-2"/>
                <w:sz w:val="19"/>
              </w:rPr>
              <w:t>12.3%</w:t>
            </w:r>
          </w:p>
        </w:tc>
        <w:tc>
          <w:tcPr>
            <w:tcW w:w="1157" w:type="dxa"/>
            <w:shd w:val="clear" w:color="auto" w:fill="91CF50"/>
          </w:tcPr>
          <w:p>
            <w:pPr>
              <w:pStyle w:val="TableParagraph"/>
              <w:spacing w:before="52"/>
              <w:ind w:right="244"/>
              <w:jc w:val="right"/>
              <w:rPr>
                <w:sz w:val="19"/>
              </w:rPr>
            </w:pPr>
            <w:r>
              <w:rPr>
                <w:spacing w:val="-4"/>
                <w:sz w:val="19"/>
              </w:rPr>
              <w:t>7.9%</w:t>
            </w:r>
          </w:p>
        </w:tc>
        <w:tc>
          <w:tcPr>
            <w:tcW w:w="833" w:type="dxa"/>
            <w:shd w:val="clear" w:color="auto" w:fill="91CF50"/>
          </w:tcPr>
          <w:p>
            <w:pPr>
              <w:pStyle w:val="TableParagraph"/>
              <w:spacing w:before="52"/>
              <w:ind w:right="127"/>
              <w:jc w:val="right"/>
              <w:rPr>
                <w:sz w:val="19"/>
              </w:rPr>
            </w:pPr>
            <w:r>
              <w:rPr>
                <w:spacing w:val="-4"/>
                <w:sz w:val="19"/>
              </w:rPr>
              <w:t>8.2%</w:t>
            </w:r>
          </w:p>
        </w:tc>
        <w:tc>
          <w:tcPr>
            <w:tcW w:w="950" w:type="dxa"/>
            <w:shd w:val="clear" w:color="auto" w:fill="91CF50"/>
          </w:tcPr>
          <w:p>
            <w:pPr>
              <w:pStyle w:val="TableParagraph"/>
              <w:spacing w:before="52"/>
              <w:ind w:right="124"/>
              <w:jc w:val="right"/>
              <w:rPr>
                <w:sz w:val="19"/>
              </w:rPr>
            </w:pPr>
            <w:r>
              <w:rPr>
                <w:spacing w:val="-4"/>
                <w:sz w:val="19"/>
              </w:rPr>
              <w:t>8.5%</w:t>
            </w:r>
          </w:p>
        </w:tc>
        <w:tc>
          <w:tcPr>
            <w:tcW w:w="950" w:type="dxa"/>
            <w:shd w:val="clear" w:color="auto" w:fill="91CF50"/>
          </w:tcPr>
          <w:p>
            <w:pPr>
              <w:pStyle w:val="TableParagraph"/>
              <w:spacing w:before="52"/>
              <w:ind w:right="124"/>
              <w:jc w:val="right"/>
              <w:rPr>
                <w:sz w:val="19"/>
              </w:rPr>
            </w:pPr>
            <w:r>
              <w:rPr>
                <w:spacing w:val="-4"/>
                <w:sz w:val="19"/>
              </w:rPr>
              <w:t>9.2%</w:t>
            </w:r>
          </w:p>
        </w:tc>
        <w:tc>
          <w:tcPr>
            <w:tcW w:w="872" w:type="dxa"/>
            <w:tcBorders>
              <w:right w:val="single" w:sz="4" w:space="0" w:color="000000"/>
            </w:tcBorders>
            <w:shd w:val="clear" w:color="auto" w:fill="91CF50"/>
          </w:tcPr>
          <w:p>
            <w:pPr>
              <w:pStyle w:val="TableParagraph"/>
              <w:spacing w:before="52"/>
              <w:ind w:right="40"/>
              <w:jc w:val="right"/>
              <w:rPr>
                <w:sz w:val="19"/>
              </w:rPr>
            </w:pPr>
            <w:r>
              <w:rPr>
                <w:spacing w:val="-4"/>
                <w:sz w:val="19"/>
              </w:rPr>
              <w:t>8.7%</w:t>
            </w:r>
          </w:p>
        </w:tc>
      </w:tr>
      <w:tr>
        <w:trPr>
          <w:trHeight w:val="365" w:hRule="atLeast"/>
        </w:trPr>
        <w:tc>
          <w:tcPr>
            <w:tcW w:w="3969" w:type="dxa"/>
            <w:tcBorders>
              <w:top w:val="single" w:sz="8" w:space="0" w:color="D4D4D4"/>
              <w:left w:val="single" w:sz="8" w:space="0" w:color="D4D4D4"/>
              <w:bottom w:val="single" w:sz="8" w:space="0" w:color="D4D4D4"/>
              <w:right w:val="single" w:sz="8" w:space="0" w:color="D4D4D4"/>
            </w:tcBorders>
          </w:tcPr>
          <w:p>
            <w:pPr>
              <w:pStyle w:val="TableParagraph"/>
              <w:spacing w:before="52"/>
              <w:ind w:left="39"/>
              <w:rPr>
                <w:sz w:val="19"/>
              </w:rPr>
            </w:pPr>
            <w:r>
              <w:rPr>
                <w:sz w:val="19"/>
              </w:rPr>
              <w:t>Liquidity</w:t>
            </w:r>
            <w:r>
              <w:rPr>
                <w:spacing w:val="11"/>
                <w:sz w:val="19"/>
              </w:rPr>
              <w:t> </w:t>
            </w:r>
            <w:r>
              <w:rPr>
                <w:spacing w:val="-2"/>
                <w:sz w:val="19"/>
              </w:rPr>
              <w:t>Ratio</w:t>
            </w:r>
          </w:p>
        </w:tc>
        <w:tc>
          <w:tcPr>
            <w:tcW w:w="946" w:type="dxa"/>
            <w:tcBorders>
              <w:top w:val="single" w:sz="8" w:space="0" w:color="D4D4D4"/>
              <w:left w:val="single" w:sz="8" w:space="0" w:color="D4D4D4"/>
              <w:bottom w:val="single" w:sz="8" w:space="0" w:color="D4D4D4"/>
            </w:tcBorders>
          </w:tcPr>
          <w:p>
            <w:pPr>
              <w:pStyle w:val="TableParagraph"/>
              <w:spacing w:before="59"/>
              <w:ind w:left="113" w:right="99"/>
              <w:jc w:val="center"/>
              <w:rPr>
                <w:b/>
                <w:sz w:val="19"/>
              </w:rPr>
            </w:pPr>
            <w:r>
              <w:rPr>
                <w:b/>
                <w:sz w:val="19"/>
              </w:rPr>
              <w:t>&gt;</w:t>
            </w:r>
            <w:r>
              <w:rPr>
                <w:b/>
                <w:spacing w:val="13"/>
                <w:sz w:val="19"/>
              </w:rPr>
              <w:t> </w:t>
            </w:r>
            <w:r>
              <w:rPr>
                <w:b/>
                <w:spacing w:val="-5"/>
                <w:sz w:val="19"/>
              </w:rPr>
              <w:t>1.0</w:t>
            </w:r>
          </w:p>
        </w:tc>
        <w:tc>
          <w:tcPr>
            <w:tcW w:w="950" w:type="dxa"/>
            <w:shd w:val="clear" w:color="auto" w:fill="91CF50"/>
          </w:tcPr>
          <w:p>
            <w:pPr>
              <w:pStyle w:val="TableParagraph"/>
              <w:spacing w:before="59"/>
              <w:ind w:right="15"/>
              <w:jc w:val="right"/>
              <w:rPr>
                <w:b/>
                <w:sz w:val="19"/>
              </w:rPr>
            </w:pPr>
            <w:r>
              <w:rPr>
                <w:b/>
                <w:spacing w:val="-4"/>
                <w:sz w:val="19"/>
              </w:rPr>
              <w:t>1.40</w:t>
            </w:r>
          </w:p>
        </w:tc>
        <w:tc>
          <w:tcPr>
            <w:tcW w:w="950" w:type="dxa"/>
            <w:shd w:val="clear" w:color="auto" w:fill="91CF50"/>
          </w:tcPr>
          <w:p>
            <w:pPr>
              <w:pStyle w:val="TableParagraph"/>
              <w:spacing w:before="52"/>
              <w:ind w:right="15"/>
              <w:jc w:val="right"/>
              <w:rPr>
                <w:sz w:val="19"/>
              </w:rPr>
            </w:pPr>
            <w:r>
              <w:rPr>
                <w:spacing w:val="-4"/>
                <w:sz w:val="19"/>
              </w:rPr>
              <w:t>1.83</w:t>
            </w:r>
          </w:p>
        </w:tc>
        <w:tc>
          <w:tcPr>
            <w:tcW w:w="1058" w:type="dxa"/>
            <w:shd w:val="clear" w:color="auto" w:fill="91CF50"/>
          </w:tcPr>
          <w:p>
            <w:pPr>
              <w:pStyle w:val="TableParagraph"/>
              <w:spacing w:before="52"/>
              <w:ind w:right="120"/>
              <w:jc w:val="right"/>
              <w:rPr>
                <w:sz w:val="19"/>
              </w:rPr>
            </w:pPr>
            <w:r>
              <w:rPr>
                <w:spacing w:val="-4"/>
                <w:sz w:val="19"/>
              </w:rPr>
              <w:t>1.41</w:t>
            </w:r>
          </w:p>
        </w:tc>
        <w:tc>
          <w:tcPr>
            <w:tcW w:w="950" w:type="dxa"/>
            <w:shd w:val="clear" w:color="auto" w:fill="91CF50"/>
          </w:tcPr>
          <w:p>
            <w:pPr>
              <w:pStyle w:val="TableParagraph"/>
              <w:spacing w:before="52"/>
              <w:ind w:right="120"/>
              <w:jc w:val="right"/>
              <w:rPr>
                <w:sz w:val="19"/>
              </w:rPr>
            </w:pPr>
            <w:r>
              <w:rPr>
                <w:spacing w:val="-4"/>
                <w:sz w:val="19"/>
              </w:rPr>
              <w:t>1.51</w:t>
            </w:r>
          </w:p>
        </w:tc>
        <w:tc>
          <w:tcPr>
            <w:tcW w:w="950" w:type="dxa"/>
            <w:shd w:val="clear" w:color="auto" w:fill="91CF50"/>
          </w:tcPr>
          <w:p>
            <w:pPr>
              <w:pStyle w:val="TableParagraph"/>
              <w:spacing w:before="52"/>
              <w:ind w:right="119"/>
              <w:jc w:val="right"/>
              <w:rPr>
                <w:sz w:val="19"/>
              </w:rPr>
            </w:pPr>
            <w:r>
              <w:rPr>
                <w:spacing w:val="-4"/>
                <w:sz w:val="19"/>
              </w:rPr>
              <w:t>1.39</w:t>
            </w:r>
          </w:p>
        </w:tc>
        <w:tc>
          <w:tcPr>
            <w:tcW w:w="861" w:type="dxa"/>
            <w:shd w:val="clear" w:color="auto" w:fill="91CF50"/>
          </w:tcPr>
          <w:p>
            <w:pPr>
              <w:pStyle w:val="TableParagraph"/>
              <w:spacing w:before="52"/>
              <w:ind w:right="28"/>
              <w:jc w:val="right"/>
              <w:rPr>
                <w:sz w:val="19"/>
              </w:rPr>
            </w:pPr>
            <w:r>
              <w:rPr>
                <w:spacing w:val="-4"/>
                <w:sz w:val="19"/>
              </w:rPr>
              <w:t>1.38</w:t>
            </w:r>
          </w:p>
        </w:tc>
        <w:tc>
          <w:tcPr>
            <w:tcW w:w="1157" w:type="dxa"/>
            <w:shd w:val="clear" w:color="auto" w:fill="91CF50"/>
          </w:tcPr>
          <w:p>
            <w:pPr>
              <w:pStyle w:val="TableParagraph"/>
              <w:spacing w:before="52"/>
              <w:ind w:right="234"/>
              <w:jc w:val="right"/>
              <w:rPr>
                <w:sz w:val="19"/>
              </w:rPr>
            </w:pPr>
            <w:r>
              <w:rPr>
                <w:spacing w:val="-4"/>
                <w:sz w:val="19"/>
              </w:rPr>
              <w:t>1.64</w:t>
            </w:r>
          </w:p>
        </w:tc>
        <w:tc>
          <w:tcPr>
            <w:tcW w:w="833" w:type="dxa"/>
            <w:shd w:val="clear" w:color="auto" w:fill="91CF50"/>
          </w:tcPr>
          <w:p>
            <w:pPr>
              <w:pStyle w:val="TableParagraph"/>
              <w:spacing w:before="52"/>
              <w:ind w:right="117"/>
              <w:jc w:val="right"/>
              <w:rPr>
                <w:sz w:val="19"/>
              </w:rPr>
            </w:pPr>
            <w:r>
              <w:rPr>
                <w:spacing w:val="-4"/>
                <w:sz w:val="19"/>
              </w:rPr>
              <w:t>1.73</w:t>
            </w:r>
          </w:p>
        </w:tc>
        <w:tc>
          <w:tcPr>
            <w:tcW w:w="950" w:type="dxa"/>
            <w:shd w:val="clear" w:color="auto" w:fill="91CF50"/>
          </w:tcPr>
          <w:p>
            <w:pPr>
              <w:pStyle w:val="TableParagraph"/>
              <w:spacing w:before="52"/>
              <w:ind w:right="114"/>
              <w:jc w:val="right"/>
              <w:rPr>
                <w:sz w:val="19"/>
              </w:rPr>
            </w:pPr>
            <w:r>
              <w:rPr>
                <w:spacing w:val="-4"/>
                <w:sz w:val="19"/>
              </w:rPr>
              <w:t>1.85</w:t>
            </w:r>
          </w:p>
        </w:tc>
        <w:tc>
          <w:tcPr>
            <w:tcW w:w="950" w:type="dxa"/>
            <w:shd w:val="clear" w:color="auto" w:fill="91CF50"/>
          </w:tcPr>
          <w:p>
            <w:pPr>
              <w:pStyle w:val="TableParagraph"/>
              <w:spacing w:before="52"/>
              <w:ind w:right="114"/>
              <w:jc w:val="right"/>
              <w:rPr>
                <w:sz w:val="19"/>
              </w:rPr>
            </w:pPr>
            <w:r>
              <w:rPr>
                <w:spacing w:val="-4"/>
                <w:sz w:val="19"/>
              </w:rPr>
              <w:t>2.15</w:t>
            </w:r>
          </w:p>
        </w:tc>
        <w:tc>
          <w:tcPr>
            <w:tcW w:w="872" w:type="dxa"/>
            <w:tcBorders>
              <w:right w:val="single" w:sz="4" w:space="0" w:color="000000"/>
            </w:tcBorders>
            <w:shd w:val="clear" w:color="auto" w:fill="91CF50"/>
          </w:tcPr>
          <w:p>
            <w:pPr>
              <w:pStyle w:val="TableParagraph"/>
              <w:spacing w:before="52"/>
              <w:ind w:right="30"/>
              <w:jc w:val="right"/>
              <w:rPr>
                <w:sz w:val="19"/>
              </w:rPr>
            </w:pPr>
            <w:r>
              <w:rPr>
                <w:spacing w:val="-4"/>
                <w:sz w:val="19"/>
              </w:rPr>
              <w:t>2.36</w:t>
            </w:r>
          </w:p>
        </w:tc>
      </w:tr>
      <w:tr>
        <w:trPr>
          <w:trHeight w:val="366" w:hRule="atLeast"/>
        </w:trPr>
        <w:tc>
          <w:tcPr>
            <w:tcW w:w="3969" w:type="dxa"/>
            <w:tcBorders>
              <w:top w:val="single" w:sz="8" w:space="0" w:color="D4D4D4"/>
              <w:left w:val="single" w:sz="8" w:space="0" w:color="D4D4D4"/>
              <w:bottom w:val="single" w:sz="8" w:space="0" w:color="D4D4D4"/>
              <w:right w:val="single" w:sz="8" w:space="0" w:color="D4D4D4"/>
            </w:tcBorders>
          </w:tcPr>
          <w:p>
            <w:pPr>
              <w:pStyle w:val="TableParagraph"/>
              <w:spacing w:before="53"/>
              <w:ind w:left="39"/>
              <w:rPr>
                <w:sz w:val="19"/>
              </w:rPr>
            </w:pPr>
            <w:r>
              <w:rPr>
                <w:sz w:val="19"/>
              </w:rPr>
              <w:t>Internal</w:t>
            </w:r>
            <w:r>
              <w:rPr>
                <w:spacing w:val="-9"/>
                <w:sz w:val="19"/>
              </w:rPr>
              <w:t> </w:t>
            </w:r>
            <w:r>
              <w:rPr>
                <w:sz w:val="19"/>
              </w:rPr>
              <w:t>financing</w:t>
            </w:r>
            <w:r>
              <w:rPr>
                <w:spacing w:val="-14"/>
                <w:sz w:val="19"/>
              </w:rPr>
              <w:t> </w:t>
            </w:r>
            <w:r>
              <w:rPr>
                <w:spacing w:val="-10"/>
                <w:sz w:val="19"/>
              </w:rPr>
              <w:t>%</w:t>
            </w:r>
          </w:p>
        </w:tc>
        <w:tc>
          <w:tcPr>
            <w:tcW w:w="946" w:type="dxa"/>
            <w:tcBorders>
              <w:top w:val="single" w:sz="8" w:space="0" w:color="D4D4D4"/>
              <w:left w:val="single" w:sz="8" w:space="0" w:color="D4D4D4"/>
              <w:bottom w:val="single" w:sz="8" w:space="0" w:color="D4D4D4"/>
            </w:tcBorders>
          </w:tcPr>
          <w:p>
            <w:pPr>
              <w:pStyle w:val="TableParagraph"/>
              <w:spacing w:before="60"/>
              <w:ind w:left="147" w:right="99"/>
              <w:jc w:val="center"/>
              <w:rPr>
                <w:b/>
                <w:sz w:val="19"/>
              </w:rPr>
            </w:pPr>
            <w:r>
              <w:rPr>
                <w:b/>
                <w:sz w:val="19"/>
              </w:rPr>
              <w:t>&gt;</w:t>
            </w:r>
            <w:r>
              <w:rPr>
                <w:b/>
                <w:spacing w:val="15"/>
                <w:sz w:val="19"/>
              </w:rPr>
              <w:t> </w:t>
            </w:r>
            <w:r>
              <w:rPr>
                <w:b/>
                <w:spacing w:val="-4"/>
                <w:sz w:val="19"/>
              </w:rPr>
              <w:t>100%</w:t>
            </w:r>
          </w:p>
        </w:tc>
        <w:tc>
          <w:tcPr>
            <w:tcW w:w="950" w:type="dxa"/>
            <w:shd w:val="clear" w:color="auto" w:fill="FF0000"/>
          </w:tcPr>
          <w:p>
            <w:pPr>
              <w:pStyle w:val="TableParagraph"/>
              <w:spacing w:before="60"/>
              <w:ind w:right="-15"/>
              <w:jc w:val="right"/>
              <w:rPr>
                <w:b/>
                <w:sz w:val="19"/>
              </w:rPr>
            </w:pPr>
            <w:r>
              <w:rPr>
                <w:b/>
                <w:spacing w:val="-2"/>
                <w:sz w:val="19"/>
              </w:rPr>
              <w:t>60.4%</w:t>
            </w:r>
          </w:p>
        </w:tc>
        <w:tc>
          <w:tcPr>
            <w:tcW w:w="950" w:type="dxa"/>
            <w:shd w:val="clear" w:color="auto" w:fill="FFFF00"/>
          </w:tcPr>
          <w:p>
            <w:pPr>
              <w:pStyle w:val="TableParagraph"/>
              <w:spacing w:before="53"/>
              <w:ind w:right="22"/>
              <w:jc w:val="right"/>
              <w:rPr>
                <w:sz w:val="19"/>
              </w:rPr>
            </w:pPr>
            <w:r>
              <w:rPr>
                <w:spacing w:val="-2"/>
                <w:sz w:val="19"/>
              </w:rPr>
              <w:t>99.6%</w:t>
            </w:r>
          </w:p>
        </w:tc>
        <w:tc>
          <w:tcPr>
            <w:tcW w:w="1058" w:type="dxa"/>
            <w:shd w:val="clear" w:color="auto" w:fill="91CF50"/>
          </w:tcPr>
          <w:p>
            <w:pPr>
              <w:pStyle w:val="TableParagraph"/>
              <w:spacing w:before="53"/>
              <w:ind w:right="131"/>
              <w:jc w:val="right"/>
              <w:rPr>
                <w:sz w:val="19"/>
              </w:rPr>
            </w:pPr>
            <w:r>
              <w:rPr>
                <w:spacing w:val="-2"/>
                <w:sz w:val="19"/>
              </w:rPr>
              <w:t>105.3%</w:t>
            </w:r>
          </w:p>
        </w:tc>
        <w:tc>
          <w:tcPr>
            <w:tcW w:w="950" w:type="dxa"/>
            <w:shd w:val="clear" w:color="auto" w:fill="91CF50"/>
          </w:tcPr>
          <w:p>
            <w:pPr>
              <w:pStyle w:val="TableParagraph"/>
              <w:spacing w:before="53"/>
              <w:ind w:right="131"/>
              <w:jc w:val="right"/>
              <w:rPr>
                <w:sz w:val="19"/>
              </w:rPr>
            </w:pPr>
            <w:r>
              <w:rPr>
                <w:spacing w:val="-2"/>
                <w:sz w:val="19"/>
              </w:rPr>
              <w:t>136.0%</w:t>
            </w:r>
          </w:p>
        </w:tc>
        <w:tc>
          <w:tcPr>
            <w:tcW w:w="950" w:type="dxa"/>
            <w:shd w:val="clear" w:color="auto" w:fill="91CF50"/>
          </w:tcPr>
          <w:p>
            <w:pPr>
              <w:pStyle w:val="TableParagraph"/>
              <w:spacing w:before="53"/>
              <w:ind w:right="130"/>
              <w:jc w:val="right"/>
              <w:rPr>
                <w:sz w:val="19"/>
              </w:rPr>
            </w:pPr>
            <w:r>
              <w:rPr>
                <w:spacing w:val="-2"/>
                <w:sz w:val="19"/>
              </w:rPr>
              <w:t>142.2%</w:t>
            </w:r>
          </w:p>
        </w:tc>
        <w:tc>
          <w:tcPr>
            <w:tcW w:w="861" w:type="dxa"/>
            <w:shd w:val="clear" w:color="auto" w:fill="91CF50"/>
          </w:tcPr>
          <w:p>
            <w:pPr>
              <w:pStyle w:val="TableParagraph"/>
              <w:spacing w:before="53"/>
              <w:ind w:right="37"/>
              <w:jc w:val="right"/>
              <w:rPr>
                <w:sz w:val="19"/>
              </w:rPr>
            </w:pPr>
            <w:r>
              <w:rPr>
                <w:spacing w:val="-2"/>
                <w:sz w:val="19"/>
              </w:rPr>
              <w:t>136.5%</w:t>
            </w:r>
          </w:p>
        </w:tc>
        <w:tc>
          <w:tcPr>
            <w:tcW w:w="1157" w:type="dxa"/>
            <w:shd w:val="clear" w:color="auto" w:fill="91CF50"/>
          </w:tcPr>
          <w:p>
            <w:pPr>
              <w:pStyle w:val="TableParagraph"/>
              <w:spacing w:before="53"/>
              <w:ind w:right="243"/>
              <w:jc w:val="right"/>
              <w:rPr>
                <w:sz w:val="19"/>
              </w:rPr>
            </w:pPr>
            <w:r>
              <w:rPr>
                <w:spacing w:val="-2"/>
                <w:sz w:val="19"/>
              </w:rPr>
              <w:t>123.4%</w:t>
            </w:r>
          </w:p>
        </w:tc>
        <w:tc>
          <w:tcPr>
            <w:tcW w:w="833" w:type="dxa"/>
            <w:shd w:val="clear" w:color="auto" w:fill="91CF50"/>
          </w:tcPr>
          <w:p>
            <w:pPr>
              <w:pStyle w:val="TableParagraph"/>
              <w:spacing w:before="53"/>
              <w:ind w:right="128"/>
              <w:jc w:val="right"/>
              <w:rPr>
                <w:sz w:val="19"/>
              </w:rPr>
            </w:pPr>
            <w:r>
              <w:rPr>
                <w:spacing w:val="-2"/>
                <w:sz w:val="19"/>
              </w:rPr>
              <w:t>123.3%</w:t>
            </w:r>
          </w:p>
        </w:tc>
        <w:tc>
          <w:tcPr>
            <w:tcW w:w="950" w:type="dxa"/>
            <w:shd w:val="clear" w:color="auto" w:fill="91CF50"/>
          </w:tcPr>
          <w:p>
            <w:pPr>
              <w:pStyle w:val="TableParagraph"/>
              <w:spacing w:before="53"/>
              <w:ind w:right="123"/>
              <w:jc w:val="right"/>
              <w:rPr>
                <w:sz w:val="19"/>
              </w:rPr>
            </w:pPr>
            <w:r>
              <w:rPr>
                <w:spacing w:val="-2"/>
                <w:sz w:val="19"/>
              </w:rPr>
              <w:t>125.1%</w:t>
            </w:r>
          </w:p>
        </w:tc>
        <w:tc>
          <w:tcPr>
            <w:tcW w:w="950" w:type="dxa"/>
            <w:shd w:val="clear" w:color="auto" w:fill="91CF50"/>
          </w:tcPr>
          <w:p>
            <w:pPr>
              <w:pStyle w:val="TableParagraph"/>
              <w:spacing w:before="53"/>
              <w:ind w:right="123"/>
              <w:jc w:val="right"/>
              <w:rPr>
                <w:sz w:val="19"/>
              </w:rPr>
            </w:pPr>
            <w:r>
              <w:rPr>
                <w:spacing w:val="-2"/>
                <w:sz w:val="19"/>
              </w:rPr>
              <w:t>134.4%</w:t>
            </w:r>
          </w:p>
        </w:tc>
        <w:tc>
          <w:tcPr>
            <w:tcW w:w="872" w:type="dxa"/>
            <w:tcBorders>
              <w:right w:val="single" w:sz="4" w:space="0" w:color="000000"/>
            </w:tcBorders>
            <w:shd w:val="clear" w:color="auto" w:fill="91CF50"/>
          </w:tcPr>
          <w:p>
            <w:pPr>
              <w:pStyle w:val="TableParagraph"/>
              <w:spacing w:before="53"/>
              <w:ind w:right="39"/>
              <w:jc w:val="right"/>
              <w:rPr>
                <w:sz w:val="19"/>
              </w:rPr>
            </w:pPr>
            <w:r>
              <w:rPr>
                <w:spacing w:val="-2"/>
                <w:sz w:val="19"/>
              </w:rPr>
              <w:t>132.7%</w:t>
            </w:r>
          </w:p>
        </w:tc>
      </w:tr>
      <w:tr>
        <w:trPr>
          <w:trHeight w:val="367" w:hRule="atLeast"/>
        </w:trPr>
        <w:tc>
          <w:tcPr>
            <w:tcW w:w="3969" w:type="dxa"/>
            <w:tcBorders>
              <w:top w:val="single" w:sz="8" w:space="0" w:color="D4D4D4"/>
              <w:left w:val="single" w:sz="8" w:space="0" w:color="D4D4D4"/>
              <w:bottom w:val="single" w:sz="8" w:space="0" w:color="D4D4D4"/>
              <w:right w:val="single" w:sz="8" w:space="0" w:color="D4D4D4"/>
            </w:tcBorders>
          </w:tcPr>
          <w:p>
            <w:pPr>
              <w:pStyle w:val="TableParagraph"/>
              <w:spacing w:before="53"/>
              <w:ind w:left="39"/>
              <w:rPr>
                <w:sz w:val="19"/>
              </w:rPr>
            </w:pPr>
            <w:r>
              <w:rPr>
                <w:sz w:val="19"/>
              </w:rPr>
              <w:t>Indebtedness</w:t>
            </w:r>
            <w:r>
              <w:rPr>
                <w:spacing w:val="-10"/>
                <w:sz w:val="19"/>
              </w:rPr>
              <w:t> %</w:t>
            </w:r>
          </w:p>
        </w:tc>
        <w:tc>
          <w:tcPr>
            <w:tcW w:w="946" w:type="dxa"/>
            <w:tcBorders>
              <w:top w:val="single" w:sz="8" w:space="0" w:color="D4D4D4"/>
              <w:left w:val="single" w:sz="8" w:space="0" w:color="D4D4D4"/>
              <w:bottom w:val="single" w:sz="8" w:space="0" w:color="D4D4D4"/>
            </w:tcBorders>
          </w:tcPr>
          <w:p>
            <w:pPr>
              <w:pStyle w:val="TableParagraph"/>
              <w:spacing w:before="60"/>
              <w:ind w:left="147" w:right="99"/>
              <w:jc w:val="center"/>
              <w:rPr>
                <w:b/>
                <w:sz w:val="19"/>
              </w:rPr>
            </w:pPr>
            <w:r>
              <w:rPr>
                <w:b/>
                <w:sz w:val="19"/>
              </w:rPr>
              <w:t>≤</w:t>
            </w:r>
            <w:r>
              <w:rPr>
                <w:b/>
                <w:spacing w:val="4"/>
                <w:sz w:val="19"/>
              </w:rPr>
              <w:t> </w:t>
            </w:r>
            <w:r>
              <w:rPr>
                <w:b/>
                <w:spacing w:val="-5"/>
                <w:sz w:val="19"/>
              </w:rPr>
              <w:t>40%</w:t>
            </w:r>
          </w:p>
        </w:tc>
        <w:tc>
          <w:tcPr>
            <w:tcW w:w="950" w:type="dxa"/>
            <w:shd w:val="clear" w:color="auto" w:fill="91CF50"/>
          </w:tcPr>
          <w:p>
            <w:pPr>
              <w:pStyle w:val="TableParagraph"/>
              <w:spacing w:before="60"/>
              <w:ind w:right="-15"/>
              <w:jc w:val="right"/>
              <w:rPr>
                <w:b/>
                <w:sz w:val="19"/>
              </w:rPr>
            </w:pPr>
            <w:r>
              <w:rPr>
                <w:b/>
                <w:spacing w:val="-2"/>
                <w:sz w:val="19"/>
              </w:rPr>
              <w:t>12.6%</w:t>
            </w:r>
          </w:p>
        </w:tc>
        <w:tc>
          <w:tcPr>
            <w:tcW w:w="950" w:type="dxa"/>
            <w:shd w:val="clear" w:color="auto" w:fill="91CF50"/>
          </w:tcPr>
          <w:p>
            <w:pPr>
              <w:pStyle w:val="TableParagraph"/>
              <w:spacing w:before="53"/>
              <w:ind w:right="22"/>
              <w:jc w:val="right"/>
              <w:rPr>
                <w:sz w:val="19"/>
              </w:rPr>
            </w:pPr>
            <w:r>
              <w:rPr>
                <w:spacing w:val="-2"/>
                <w:sz w:val="19"/>
              </w:rPr>
              <w:t>16.3%</w:t>
            </w:r>
          </w:p>
        </w:tc>
        <w:tc>
          <w:tcPr>
            <w:tcW w:w="1058" w:type="dxa"/>
            <w:shd w:val="clear" w:color="auto" w:fill="91CF50"/>
          </w:tcPr>
          <w:p>
            <w:pPr>
              <w:pStyle w:val="TableParagraph"/>
              <w:spacing w:before="53"/>
              <w:ind w:right="131"/>
              <w:jc w:val="right"/>
              <w:rPr>
                <w:sz w:val="19"/>
              </w:rPr>
            </w:pPr>
            <w:r>
              <w:rPr>
                <w:spacing w:val="-2"/>
                <w:sz w:val="19"/>
              </w:rPr>
              <w:t>18.4%</w:t>
            </w:r>
          </w:p>
        </w:tc>
        <w:tc>
          <w:tcPr>
            <w:tcW w:w="950" w:type="dxa"/>
            <w:shd w:val="clear" w:color="auto" w:fill="91CF50"/>
          </w:tcPr>
          <w:p>
            <w:pPr>
              <w:pStyle w:val="TableParagraph"/>
              <w:spacing w:before="53"/>
              <w:ind w:right="131"/>
              <w:jc w:val="right"/>
              <w:rPr>
                <w:sz w:val="19"/>
              </w:rPr>
            </w:pPr>
            <w:r>
              <w:rPr>
                <w:spacing w:val="-2"/>
                <w:sz w:val="19"/>
              </w:rPr>
              <w:t>17.6%</w:t>
            </w:r>
          </w:p>
        </w:tc>
        <w:tc>
          <w:tcPr>
            <w:tcW w:w="950" w:type="dxa"/>
            <w:shd w:val="clear" w:color="auto" w:fill="91CF50"/>
          </w:tcPr>
          <w:p>
            <w:pPr>
              <w:pStyle w:val="TableParagraph"/>
              <w:spacing w:before="53"/>
              <w:ind w:right="130"/>
              <w:jc w:val="right"/>
              <w:rPr>
                <w:sz w:val="19"/>
              </w:rPr>
            </w:pPr>
            <w:r>
              <w:rPr>
                <w:spacing w:val="-2"/>
                <w:sz w:val="19"/>
              </w:rPr>
              <w:t>14.3%</w:t>
            </w:r>
          </w:p>
        </w:tc>
        <w:tc>
          <w:tcPr>
            <w:tcW w:w="861" w:type="dxa"/>
            <w:shd w:val="clear" w:color="auto" w:fill="91CF50"/>
          </w:tcPr>
          <w:p>
            <w:pPr>
              <w:pStyle w:val="TableParagraph"/>
              <w:spacing w:before="53"/>
              <w:ind w:right="37"/>
              <w:jc w:val="right"/>
              <w:rPr>
                <w:sz w:val="19"/>
              </w:rPr>
            </w:pPr>
            <w:r>
              <w:rPr>
                <w:spacing w:val="-2"/>
                <w:sz w:val="19"/>
              </w:rPr>
              <w:t>11.5%</w:t>
            </w:r>
          </w:p>
        </w:tc>
        <w:tc>
          <w:tcPr>
            <w:tcW w:w="1157" w:type="dxa"/>
            <w:shd w:val="clear" w:color="auto" w:fill="91CF50"/>
          </w:tcPr>
          <w:p>
            <w:pPr>
              <w:pStyle w:val="TableParagraph"/>
              <w:spacing w:before="53"/>
              <w:ind w:right="243"/>
              <w:jc w:val="right"/>
              <w:rPr>
                <w:sz w:val="19"/>
              </w:rPr>
            </w:pPr>
            <w:r>
              <w:rPr>
                <w:spacing w:val="-2"/>
                <w:sz w:val="19"/>
              </w:rPr>
              <w:t>11.2%</w:t>
            </w:r>
          </w:p>
        </w:tc>
        <w:tc>
          <w:tcPr>
            <w:tcW w:w="833" w:type="dxa"/>
            <w:shd w:val="clear" w:color="auto" w:fill="91CF50"/>
          </w:tcPr>
          <w:p>
            <w:pPr>
              <w:pStyle w:val="TableParagraph"/>
              <w:spacing w:before="53"/>
              <w:ind w:right="128"/>
              <w:jc w:val="right"/>
              <w:rPr>
                <w:sz w:val="19"/>
              </w:rPr>
            </w:pPr>
            <w:r>
              <w:rPr>
                <w:spacing w:val="-2"/>
                <w:sz w:val="19"/>
              </w:rPr>
              <w:t>10.2%</w:t>
            </w:r>
          </w:p>
        </w:tc>
        <w:tc>
          <w:tcPr>
            <w:tcW w:w="950" w:type="dxa"/>
            <w:shd w:val="clear" w:color="auto" w:fill="91CF50"/>
          </w:tcPr>
          <w:p>
            <w:pPr>
              <w:pStyle w:val="TableParagraph"/>
              <w:spacing w:before="53"/>
              <w:ind w:right="123"/>
              <w:jc w:val="right"/>
              <w:rPr>
                <w:sz w:val="19"/>
              </w:rPr>
            </w:pPr>
            <w:r>
              <w:rPr>
                <w:spacing w:val="-4"/>
                <w:sz w:val="19"/>
              </w:rPr>
              <w:t>8.3%</w:t>
            </w:r>
          </w:p>
        </w:tc>
        <w:tc>
          <w:tcPr>
            <w:tcW w:w="950" w:type="dxa"/>
            <w:shd w:val="clear" w:color="auto" w:fill="91CF50"/>
          </w:tcPr>
          <w:p>
            <w:pPr>
              <w:pStyle w:val="TableParagraph"/>
              <w:spacing w:before="53"/>
              <w:ind w:right="123"/>
              <w:jc w:val="right"/>
              <w:rPr>
                <w:sz w:val="19"/>
              </w:rPr>
            </w:pPr>
            <w:r>
              <w:rPr>
                <w:spacing w:val="-4"/>
                <w:sz w:val="19"/>
              </w:rPr>
              <w:t>6.9%</w:t>
            </w:r>
          </w:p>
        </w:tc>
        <w:tc>
          <w:tcPr>
            <w:tcW w:w="872" w:type="dxa"/>
            <w:tcBorders>
              <w:right w:val="single" w:sz="4" w:space="0" w:color="000000"/>
            </w:tcBorders>
            <w:shd w:val="clear" w:color="auto" w:fill="91CF50"/>
          </w:tcPr>
          <w:p>
            <w:pPr>
              <w:pStyle w:val="TableParagraph"/>
              <w:spacing w:before="53"/>
              <w:ind w:right="39"/>
              <w:jc w:val="right"/>
              <w:rPr>
                <w:sz w:val="19"/>
              </w:rPr>
            </w:pPr>
            <w:r>
              <w:rPr>
                <w:spacing w:val="-4"/>
                <w:sz w:val="19"/>
              </w:rPr>
              <w:t>8.8%</w:t>
            </w:r>
          </w:p>
        </w:tc>
      </w:tr>
      <w:tr>
        <w:trPr>
          <w:trHeight w:val="362" w:hRule="atLeast"/>
        </w:trPr>
        <w:tc>
          <w:tcPr>
            <w:tcW w:w="3969" w:type="dxa"/>
            <w:tcBorders>
              <w:top w:val="single" w:sz="8" w:space="0" w:color="D4D4D4"/>
              <w:left w:val="single" w:sz="8" w:space="0" w:color="D4D4D4"/>
              <w:bottom w:val="single" w:sz="8" w:space="0" w:color="D4D4D4"/>
              <w:right w:val="single" w:sz="8" w:space="0" w:color="D4D4D4"/>
            </w:tcBorders>
          </w:tcPr>
          <w:p>
            <w:pPr>
              <w:pStyle w:val="TableParagraph"/>
              <w:spacing w:before="52"/>
              <w:ind w:left="39"/>
              <w:rPr>
                <w:sz w:val="19"/>
              </w:rPr>
            </w:pPr>
            <w:r>
              <w:rPr>
                <w:sz w:val="19"/>
              </w:rPr>
              <w:t>Capital</w:t>
            </w:r>
            <w:r>
              <w:rPr>
                <w:spacing w:val="-2"/>
                <w:sz w:val="19"/>
              </w:rPr>
              <w:t> </w:t>
            </w:r>
            <w:r>
              <w:rPr>
                <w:sz w:val="19"/>
              </w:rPr>
              <w:t>replacement</w:t>
            </w:r>
            <w:r>
              <w:rPr>
                <w:spacing w:val="1"/>
                <w:sz w:val="19"/>
              </w:rPr>
              <w:t> </w:t>
            </w:r>
            <w:r>
              <w:rPr>
                <w:spacing w:val="-4"/>
                <w:sz w:val="19"/>
              </w:rPr>
              <w:t>ratio</w:t>
            </w:r>
          </w:p>
        </w:tc>
        <w:tc>
          <w:tcPr>
            <w:tcW w:w="946" w:type="dxa"/>
            <w:tcBorders>
              <w:top w:val="single" w:sz="8" w:space="0" w:color="D4D4D4"/>
              <w:left w:val="single" w:sz="8" w:space="0" w:color="D4D4D4"/>
              <w:bottom w:val="single" w:sz="8" w:space="0" w:color="D4D4D4"/>
            </w:tcBorders>
          </w:tcPr>
          <w:p>
            <w:pPr>
              <w:pStyle w:val="TableParagraph"/>
              <w:spacing w:before="60"/>
              <w:ind w:left="113" w:right="99"/>
              <w:jc w:val="center"/>
              <w:rPr>
                <w:b/>
                <w:sz w:val="19"/>
              </w:rPr>
            </w:pPr>
            <w:r>
              <w:rPr>
                <w:b/>
                <w:sz w:val="19"/>
              </w:rPr>
              <w:t>&gt;</w:t>
            </w:r>
            <w:r>
              <w:rPr>
                <w:b/>
                <w:spacing w:val="13"/>
                <w:sz w:val="19"/>
              </w:rPr>
              <w:t> </w:t>
            </w:r>
            <w:r>
              <w:rPr>
                <w:b/>
                <w:spacing w:val="-5"/>
                <w:sz w:val="19"/>
              </w:rPr>
              <w:t>1.5</w:t>
            </w:r>
          </w:p>
        </w:tc>
        <w:tc>
          <w:tcPr>
            <w:tcW w:w="950" w:type="dxa"/>
            <w:shd w:val="clear" w:color="auto" w:fill="91CF50"/>
          </w:tcPr>
          <w:p>
            <w:pPr>
              <w:pStyle w:val="TableParagraph"/>
              <w:spacing w:before="60"/>
              <w:ind w:right="15"/>
              <w:jc w:val="right"/>
              <w:rPr>
                <w:b/>
                <w:sz w:val="19"/>
              </w:rPr>
            </w:pPr>
            <w:r>
              <w:rPr>
                <w:b/>
                <w:spacing w:val="-4"/>
                <w:sz w:val="19"/>
              </w:rPr>
              <w:t>2.63</w:t>
            </w:r>
          </w:p>
        </w:tc>
        <w:tc>
          <w:tcPr>
            <w:tcW w:w="950" w:type="dxa"/>
            <w:shd w:val="clear" w:color="auto" w:fill="91CF50"/>
          </w:tcPr>
          <w:p>
            <w:pPr>
              <w:pStyle w:val="TableParagraph"/>
              <w:spacing w:before="52"/>
              <w:ind w:right="15"/>
              <w:jc w:val="right"/>
              <w:rPr>
                <w:sz w:val="19"/>
              </w:rPr>
            </w:pPr>
            <w:r>
              <w:rPr>
                <w:spacing w:val="-4"/>
                <w:sz w:val="19"/>
              </w:rPr>
              <w:t>1.63</w:t>
            </w:r>
          </w:p>
        </w:tc>
        <w:tc>
          <w:tcPr>
            <w:tcW w:w="1058" w:type="dxa"/>
            <w:shd w:val="clear" w:color="auto" w:fill="91CF50"/>
          </w:tcPr>
          <w:p>
            <w:pPr>
              <w:pStyle w:val="TableParagraph"/>
              <w:spacing w:before="52"/>
              <w:ind w:right="120"/>
              <w:jc w:val="right"/>
              <w:rPr>
                <w:sz w:val="19"/>
              </w:rPr>
            </w:pPr>
            <w:r>
              <w:rPr>
                <w:spacing w:val="-4"/>
                <w:sz w:val="19"/>
              </w:rPr>
              <w:t>2.60</w:t>
            </w:r>
          </w:p>
        </w:tc>
        <w:tc>
          <w:tcPr>
            <w:tcW w:w="950" w:type="dxa"/>
            <w:shd w:val="clear" w:color="auto" w:fill="91CF50"/>
          </w:tcPr>
          <w:p>
            <w:pPr>
              <w:pStyle w:val="TableParagraph"/>
              <w:spacing w:before="52"/>
              <w:ind w:right="120"/>
              <w:jc w:val="right"/>
              <w:rPr>
                <w:sz w:val="19"/>
              </w:rPr>
            </w:pPr>
            <w:r>
              <w:rPr>
                <w:spacing w:val="-4"/>
                <w:sz w:val="19"/>
              </w:rPr>
              <w:t>1.61</w:t>
            </w:r>
          </w:p>
        </w:tc>
        <w:tc>
          <w:tcPr>
            <w:tcW w:w="950" w:type="dxa"/>
            <w:shd w:val="clear" w:color="auto" w:fill="91CF50"/>
          </w:tcPr>
          <w:p>
            <w:pPr>
              <w:pStyle w:val="TableParagraph"/>
              <w:spacing w:before="52"/>
              <w:ind w:right="119"/>
              <w:jc w:val="right"/>
              <w:rPr>
                <w:sz w:val="19"/>
              </w:rPr>
            </w:pPr>
            <w:r>
              <w:rPr>
                <w:spacing w:val="-4"/>
                <w:sz w:val="19"/>
              </w:rPr>
              <w:t>1.58</w:t>
            </w:r>
          </w:p>
        </w:tc>
        <w:tc>
          <w:tcPr>
            <w:tcW w:w="861" w:type="dxa"/>
            <w:shd w:val="clear" w:color="auto" w:fill="91CF50"/>
          </w:tcPr>
          <w:p>
            <w:pPr>
              <w:pStyle w:val="TableParagraph"/>
              <w:spacing w:before="52"/>
              <w:ind w:right="28"/>
              <w:jc w:val="right"/>
              <w:rPr>
                <w:sz w:val="19"/>
              </w:rPr>
            </w:pPr>
            <w:r>
              <w:rPr>
                <w:spacing w:val="-4"/>
                <w:sz w:val="19"/>
              </w:rPr>
              <w:t>1.71</w:t>
            </w:r>
          </w:p>
        </w:tc>
        <w:tc>
          <w:tcPr>
            <w:tcW w:w="1157" w:type="dxa"/>
            <w:shd w:val="clear" w:color="auto" w:fill="FFFF00"/>
          </w:tcPr>
          <w:p>
            <w:pPr>
              <w:pStyle w:val="TableParagraph"/>
              <w:spacing w:before="52"/>
              <w:ind w:right="234"/>
              <w:jc w:val="right"/>
              <w:rPr>
                <w:sz w:val="19"/>
              </w:rPr>
            </w:pPr>
            <w:r>
              <w:rPr>
                <w:spacing w:val="-4"/>
                <w:sz w:val="19"/>
              </w:rPr>
              <w:t>1.29</w:t>
            </w:r>
          </w:p>
        </w:tc>
        <w:tc>
          <w:tcPr>
            <w:tcW w:w="833" w:type="dxa"/>
            <w:shd w:val="clear" w:color="auto" w:fill="FFFF00"/>
          </w:tcPr>
          <w:p>
            <w:pPr>
              <w:pStyle w:val="TableParagraph"/>
              <w:spacing w:before="52"/>
              <w:ind w:right="117"/>
              <w:jc w:val="right"/>
              <w:rPr>
                <w:sz w:val="19"/>
              </w:rPr>
            </w:pPr>
            <w:r>
              <w:rPr>
                <w:spacing w:val="-4"/>
                <w:sz w:val="19"/>
              </w:rPr>
              <w:t>1.34</w:t>
            </w:r>
          </w:p>
        </w:tc>
        <w:tc>
          <w:tcPr>
            <w:tcW w:w="950" w:type="dxa"/>
            <w:shd w:val="clear" w:color="auto" w:fill="FFFF00"/>
          </w:tcPr>
          <w:p>
            <w:pPr>
              <w:pStyle w:val="TableParagraph"/>
              <w:spacing w:before="52"/>
              <w:ind w:right="114"/>
              <w:jc w:val="right"/>
              <w:rPr>
                <w:sz w:val="19"/>
              </w:rPr>
            </w:pPr>
            <w:r>
              <w:rPr>
                <w:spacing w:val="-4"/>
                <w:sz w:val="19"/>
              </w:rPr>
              <w:t>1.33</w:t>
            </w:r>
          </w:p>
        </w:tc>
        <w:tc>
          <w:tcPr>
            <w:tcW w:w="950" w:type="dxa"/>
            <w:shd w:val="clear" w:color="auto" w:fill="FFFF00"/>
          </w:tcPr>
          <w:p>
            <w:pPr>
              <w:pStyle w:val="TableParagraph"/>
              <w:spacing w:before="52"/>
              <w:ind w:right="114"/>
              <w:jc w:val="right"/>
              <w:rPr>
                <w:sz w:val="19"/>
              </w:rPr>
            </w:pPr>
            <w:r>
              <w:rPr>
                <w:spacing w:val="-4"/>
                <w:sz w:val="19"/>
              </w:rPr>
              <w:t>1.26</w:t>
            </w:r>
          </w:p>
        </w:tc>
        <w:tc>
          <w:tcPr>
            <w:tcW w:w="872" w:type="dxa"/>
            <w:tcBorders>
              <w:right w:val="single" w:sz="4" w:space="0" w:color="000000"/>
            </w:tcBorders>
            <w:shd w:val="clear" w:color="auto" w:fill="FFFF00"/>
          </w:tcPr>
          <w:p>
            <w:pPr>
              <w:pStyle w:val="TableParagraph"/>
              <w:spacing w:before="52"/>
              <w:ind w:right="30"/>
              <w:jc w:val="right"/>
              <w:rPr>
                <w:sz w:val="19"/>
              </w:rPr>
            </w:pPr>
            <w:r>
              <w:rPr>
                <w:spacing w:val="-4"/>
                <w:sz w:val="19"/>
              </w:rPr>
              <w:t>1.25</w:t>
            </w:r>
          </w:p>
        </w:tc>
      </w:tr>
      <w:tr>
        <w:trPr>
          <w:trHeight w:val="349" w:hRule="atLeast"/>
        </w:trPr>
        <w:tc>
          <w:tcPr>
            <w:tcW w:w="3969" w:type="dxa"/>
            <w:tcBorders>
              <w:top w:val="single" w:sz="8" w:space="0" w:color="D4D4D4"/>
              <w:left w:val="single" w:sz="8" w:space="0" w:color="D4D4D4"/>
              <w:bottom w:val="thinThickMediumGap" w:sz="6" w:space="0" w:color="000000"/>
              <w:right w:val="single" w:sz="8" w:space="0" w:color="D4D4D4"/>
            </w:tcBorders>
          </w:tcPr>
          <w:p>
            <w:pPr>
              <w:pStyle w:val="TableParagraph"/>
              <w:spacing w:before="56"/>
              <w:ind w:left="39"/>
              <w:rPr>
                <w:sz w:val="19"/>
              </w:rPr>
            </w:pPr>
            <w:r>
              <w:rPr>
                <w:sz w:val="19"/>
              </w:rPr>
              <w:t>Renewal</w:t>
            </w:r>
            <w:r>
              <w:rPr>
                <w:spacing w:val="-9"/>
                <w:sz w:val="19"/>
              </w:rPr>
              <w:t> </w:t>
            </w:r>
            <w:r>
              <w:rPr>
                <w:sz w:val="19"/>
              </w:rPr>
              <w:t>gap</w:t>
            </w:r>
            <w:r>
              <w:rPr>
                <w:spacing w:val="-10"/>
                <w:sz w:val="19"/>
              </w:rPr>
              <w:t> </w:t>
            </w:r>
            <w:r>
              <w:rPr>
                <w:spacing w:val="-2"/>
                <w:sz w:val="19"/>
              </w:rPr>
              <w:t>ratio</w:t>
            </w:r>
          </w:p>
        </w:tc>
        <w:tc>
          <w:tcPr>
            <w:tcW w:w="946" w:type="dxa"/>
            <w:tcBorders>
              <w:top w:val="single" w:sz="8" w:space="0" w:color="D4D4D4"/>
              <w:left w:val="single" w:sz="8" w:space="0" w:color="D4D4D4"/>
              <w:bottom w:val="thinThickMediumGap" w:sz="6" w:space="0" w:color="000000"/>
            </w:tcBorders>
          </w:tcPr>
          <w:p>
            <w:pPr>
              <w:pStyle w:val="TableParagraph"/>
              <w:spacing w:before="63"/>
              <w:ind w:left="113" w:right="99"/>
              <w:jc w:val="center"/>
              <w:rPr>
                <w:b/>
                <w:sz w:val="19"/>
              </w:rPr>
            </w:pPr>
            <w:r>
              <w:rPr>
                <w:b/>
                <w:sz w:val="19"/>
              </w:rPr>
              <w:t>&gt;</w:t>
            </w:r>
            <w:r>
              <w:rPr>
                <w:b/>
                <w:spacing w:val="13"/>
                <w:sz w:val="19"/>
              </w:rPr>
              <w:t> </w:t>
            </w:r>
            <w:r>
              <w:rPr>
                <w:b/>
                <w:spacing w:val="-5"/>
                <w:sz w:val="19"/>
              </w:rPr>
              <w:t>1.0</w:t>
            </w:r>
          </w:p>
        </w:tc>
        <w:tc>
          <w:tcPr>
            <w:tcW w:w="950" w:type="dxa"/>
            <w:tcBorders>
              <w:bottom w:val="thinThickMediumGap" w:sz="6" w:space="0" w:color="000000"/>
            </w:tcBorders>
            <w:shd w:val="clear" w:color="auto" w:fill="91CF50"/>
          </w:tcPr>
          <w:p>
            <w:pPr>
              <w:pStyle w:val="TableParagraph"/>
              <w:spacing w:before="63"/>
              <w:ind w:right="15"/>
              <w:jc w:val="right"/>
              <w:rPr>
                <w:b/>
                <w:sz w:val="19"/>
              </w:rPr>
            </w:pPr>
            <w:r>
              <w:rPr>
                <w:b/>
                <w:spacing w:val="-4"/>
                <w:sz w:val="19"/>
              </w:rPr>
              <w:t>1.13</w:t>
            </w:r>
          </w:p>
        </w:tc>
        <w:tc>
          <w:tcPr>
            <w:tcW w:w="950" w:type="dxa"/>
            <w:tcBorders>
              <w:bottom w:val="thinThickMediumGap" w:sz="6" w:space="0" w:color="000000"/>
            </w:tcBorders>
            <w:shd w:val="clear" w:color="auto" w:fill="91CF50"/>
          </w:tcPr>
          <w:p>
            <w:pPr>
              <w:pStyle w:val="TableParagraph"/>
              <w:spacing w:before="56"/>
              <w:ind w:right="15"/>
              <w:jc w:val="right"/>
              <w:rPr>
                <w:sz w:val="19"/>
              </w:rPr>
            </w:pPr>
            <w:r>
              <w:rPr>
                <w:spacing w:val="-4"/>
                <w:sz w:val="19"/>
              </w:rPr>
              <w:t>1.40</w:t>
            </w:r>
          </w:p>
        </w:tc>
        <w:tc>
          <w:tcPr>
            <w:tcW w:w="1058" w:type="dxa"/>
            <w:tcBorders>
              <w:bottom w:val="thinThickMediumGap" w:sz="6" w:space="0" w:color="000000"/>
            </w:tcBorders>
            <w:shd w:val="clear" w:color="auto" w:fill="91CF50"/>
          </w:tcPr>
          <w:p>
            <w:pPr>
              <w:pStyle w:val="TableParagraph"/>
              <w:spacing w:before="56"/>
              <w:ind w:right="120"/>
              <w:jc w:val="right"/>
              <w:rPr>
                <w:sz w:val="19"/>
              </w:rPr>
            </w:pPr>
            <w:r>
              <w:rPr>
                <w:spacing w:val="-4"/>
                <w:sz w:val="19"/>
              </w:rPr>
              <w:t>2.34</w:t>
            </w:r>
          </w:p>
        </w:tc>
        <w:tc>
          <w:tcPr>
            <w:tcW w:w="950" w:type="dxa"/>
            <w:tcBorders>
              <w:bottom w:val="thinThickMediumGap" w:sz="6" w:space="0" w:color="000000"/>
            </w:tcBorders>
            <w:shd w:val="clear" w:color="auto" w:fill="91CF50"/>
          </w:tcPr>
          <w:p>
            <w:pPr>
              <w:pStyle w:val="TableParagraph"/>
              <w:spacing w:before="56"/>
              <w:ind w:right="120"/>
              <w:jc w:val="right"/>
              <w:rPr>
                <w:sz w:val="19"/>
              </w:rPr>
            </w:pPr>
            <w:r>
              <w:rPr>
                <w:spacing w:val="-4"/>
                <w:sz w:val="19"/>
              </w:rPr>
              <w:t>1.46</w:t>
            </w:r>
          </w:p>
        </w:tc>
        <w:tc>
          <w:tcPr>
            <w:tcW w:w="950" w:type="dxa"/>
            <w:tcBorders>
              <w:bottom w:val="thinThickMediumGap" w:sz="6" w:space="0" w:color="000000"/>
            </w:tcBorders>
            <w:shd w:val="clear" w:color="auto" w:fill="91CF50"/>
          </w:tcPr>
          <w:p>
            <w:pPr>
              <w:pStyle w:val="TableParagraph"/>
              <w:spacing w:before="56"/>
              <w:ind w:right="119"/>
              <w:jc w:val="right"/>
              <w:rPr>
                <w:sz w:val="19"/>
              </w:rPr>
            </w:pPr>
            <w:r>
              <w:rPr>
                <w:spacing w:val="-4"/>
                <w:sz w:val="19"/>
              </w:rPr>
              <w:t>1.45</w:t>
            </w:r>
          </w:p>
        </w:tc>
        <w:tc>
          <w:tcPr>
            <w:tcW w:w="861" w:type="dxa"/>
            <w:tcBorders>
              <w:bottom w:val="thinThickMediumGap" w:sz="6" w:space="0" w:color="000000"/>
            </w:tcBorders>
            <w:shd w:val="clear" w:color="auto" w:fill="91CF50"/>
          </w:tcPr>
          <w:p>
            <w:pPr>
              <w:pStyle w:val="TableParagraph"/>
              <w:spacing w:before="56"/>
              <w:ind w:right="28"/>
              <w:jc w:val="right"/>
              <w:rPr>
                <w:sz w:val="19"/>
              </w:rPr>
            </w:pPr>
            <w:r>
              <w:rPr>
                <w:spacing w:val="-4"/>
                <w:sz w:val="19"/>
              </w:rPr>
              <w:t>1.59</w:t>
            </w:r>
          </w:p>
        </w:tc>
        <w:tc>
          <w:tcPr>
            <w:tcW w:w="1157" w:type="dxa"/>
            <w:tcBorders>
              <w:bottom w:val="thinThickMediumGap" w:sz="6" w:space="0" w:color="000000"/>
            </w:tcBorders>
            <w:shd w:val="clear" w:color="auto" w:fill="91CF50"/>
          </w:tcPr>
          <w:p>
            <w:pPr>
              <w:pStyle w:val="TableParagraph"/>
              <w:spacing w:before="56"/>
              <w:ind w:right="234"/>
              <w:jc w:val="right"/>
              <w:rPr>
                <w:sz w:val="19"/>
              </w:rPr>
            </w:pPr>
            <w:r>
              <w:rPr>
                <w:spacing w:val="-4"/>
                <w:sz w:val="19"/>
              </w:rPr>
              <w:t>1.15</w:t>
            </w:r>
          </w:p>
        </w:tc>
        <w:tc>
          <w:tcPr>
            <w:tcW w:w="833" w:type="dxa"/>
            <w:tcBorders>
              <w:bottom w:val="thinThickMediumGap" w:sz="6" w:space="0" w:color="000000"/>
            </w:tcBorders>
            <w:shd w:val="clear" w:color="auto" w:fill="91CF50"/>
          </w:tcPr>
          <w:p>
            <w:pPr>
              <w:pStyle w:val="TableParagraph"/>
              <w:spacing w:before="56"/>
              <w:ind w:right="117"/>
              <w:jc w:val="right"/>
              <w:rPr>
                <w:sz w:val="19"/>
              </w:rPr>
            </w:pPr>
            <w:r>
              <w:rPr>
                <w:spacing w:val="-4"/>
                <w:sz w:val="19"/>
              </w:rPr>
              <w:t>1.19</w:t>
            </w:r>
          </w:p>
        </w:tc>
        <w:tc>
          <w:tcPr>
            <w:tcW w:w="950" w:type="dxa"/>
            <w:tcBorders>
              <w:bottom w:val="thinThickMediumGap" w:sz="6" w:space="0" w:color="000000"/>
            </w:tcBorders>
            <w:shd w:val="clear" w:color="auto" w:fill="91CF50"/>
          </w:tcPr>
          <w:p>
            <w:pPr>
              <w:pStyle w:val="TableParagraph"/>
              <w:spacing w:before="56"/>
              <w:ind w:right="114"/>
              <w:jc w:val="right"/>
              <w:rPr>
                <w:sz w:val="19"/>
              </w:rPr>
            </w:pPr>
            <w:r>
              <w:rPr>
                <w:spacing w:val="-4"/>
                <w:sz w:val="19"/>
              </w:rPr>
              <w:t>1.16</w:t>
            </w:r>
          </w:p>
        </w:tc>
        <w:tc>
          <w:tcPr>
            <w:tcW w:w="950" w:type="dxa"/>
            <w:tcBorders>
              <w:bottom w:val="thinThickMediumGap" w:sz="6" w:space="0" w:color="000000"/>
            </w:tcBorders>
            <w:shd w:val="clear" w:color="auto" w:fill="91CF50"/>
          </w:tcPr>
          <w:p>
            <w:pPr>
              <w:pStyle w:val="TableParagraph"/>
              <w:spacing w:before="56"/>
              <w:ind w:right="114"/>
              <w:jc w:val="right"/>
              <w:rPr>
                <w:sz w:val="19"/>
              </w:rPr>
            </w:pPr>
            <w:r>
              <w:rPr>
                <w:spacing w:val="-4"/>
                <w:sz w:val="19"/>
              </w:rPr>
              <w:t>1.09</w:t>
            </w:r>
          </w:p>
        </w:tc>
        <w:tc>
          <w:tcPr>
            <w:tcW w:w="872" w:type="dxa"/>
            <w:tcBorders>
              <w:bottom w:val="thinThickMediumGap" w:sz="6" w:space="0" w:color="000000"/>
              <w:right w:val="single" w:sz="4" w:space="0" w:color="000000"/>
            </w:tcBorders>
            <w:shd w:val="clear" w:color="auto" w:fill="91CF50"/>
          </w:tcPr>
          <w:p>
            <w:pPr>
              <w:pStyle w:val="TableParagraph"/>
              <w:spacing w:before="56"/>
              <w:ind w:right="30"/>
              <w:jc w:val="right"/>
              <w:rPr>
                <w:sz w:val="19"/>
              </w:rPr>
            </w:pPr>
            <w:r>
              <w:rPr>
                <w:spacing w:val="-4"/>
                <w:sz w:val="19"/>
              </w:rPr>
              <w:t>1.09</w:t>
            </w:r>
          </w:p>
        </w:tc>
      </w:tr>
    </w:tbl>
    <w:p>
      <w:pPr>
        <w:pStyle w:val="BodyText"/>
        <w:spacing w:before="4"/>
      </w:pPr>
    </w:p>
    <w:p>
      <w:pPr>
        <w:pStyle w:val="BodyText"/>
        <w:spacing w:line="252" w:lineRule="exact"/>
        <w:ind w:left="120"/>
      </w:pPr>
      <w:r>
        <w:rPr/>
        <w:t>Key</w:t>
      </w:r>
      <w:r>
        <w:rPr>
          <w:spacing w:val="-2"/>
        </w:rPr>
        <w:t> Comments:</w:t>
      </w:r>
    </w:p>
    <w:p>
      <w:pPr>
        <w:pStyle w:val="ListParagraph"/>
        <w:numPr>
          <w:ilvl w:val="0"/>
          <w:numId w:val="2"/>
        </w:numPr>
        <w:tabs>
          <w:tab w:pos="686" w:val="left" w:leader="none"/>
          <w:tab w:pos="687" w:val="left" w:leader="none"/>
        </w:tabs>
        <w:spacing w:line="269" w:lineRule="exact" w:before="0" w:after="0"/>
        <w:ind w:left="686" w:right="0" w:hanging="567"/>
        <w:jc w:val="left"/>
        <w:rPr>
          <w:rFonts w:ascii="Symbol" w:hAnsi="Symbol"/>
          <w:sz w:val="22"/>
        </w:rPr>
      </w:pPr>
      <w:r>
        <w:rPr>
          <w:sz w:val="22"/>
        </w:rPr>
        <w:t>Liquidity</w:t>
      </w:r>
      <w:r>
        <w:rPr>
          <w:spacing w:val="-3"/>
          <w:sz w:val="22"/>
        </w:rPr>
        <w:t> </w:t>
      </w:r>
      <w:r>
        <w:rPr>
          <w:sz w:val="22"/>
        </w:rPr>
        <w:t>ration</w:t>
      </w:r>
      <w:r>
        <w:rPr>
          <w:spacing w:val="-1"/>
          <w:sz w:val="22"/>
        </w:rPr>
        <w:t> </w:t>
      </w:r>
      <w:r>
        <w:rPr>
          <w:sz w:val="22"/>
        </w:rPr>
        <w:t>is</w:t>
      </w:r>
      <w:r>
        <w:rPr>
          <w:spacing w:val="-5"/>
          <w:sz w:val="22"/>
        </w:rPr>
        <w:t> </w:t>
      </w:r>
      <w:r>
        <w:rPr>
          <w:sz w:val="22"/>
        </w:rPr>
        <w:t>greater</w:t>
      </w:r>
      <w:r>
        <w:rPr>
          <w:spacing w:val="-2"/>
          <w:sz w:val="22"/>
        </w:rPr>
        <w:t> </w:t>
      </w:r>
      <w:r>
        <w:rPr>
          <w:sz w:val="22"/>
        </w:rPr>
        <w:t>than</w:t>
      </w:r>
      <w:r>
        <w:rPr>
          <w:spacing w:val="-4"/>
          <w:sz w:val="22"/>
        </w:rPr>
        <w:t> </w:t>
      </w:r>
      <w:r>
        <w:rPr>
          <w:sz w:val="22"/>
        </w:rPr>
        <w:t>1</w:t>
      </w:r>
      <w:r>
        <w:rPr>
          <w:spacing w:val="-4"/>
          <w:sz w:val="22"/>
        </w:rPr>
        <w:t> </w:t>
      </w:r>
      <w:r>
        <w:rPr>
          <w:sz w:val="22"/>
        </w:rPr>
        <w:t>across</w:t>
      </w:r>
      <w:r>
        <w:rPr>
          <w:spacing w:val="-3"/>
          <w:sz w:val="22"/>
        </w:rPr>
        <w:t> </w:t>
      </w:r>
      <w:r>
        <w:rPr>
          <w:sz w:val="22"/>
        </w:rPr>
        <w:t>the</w:t>
      </w:r>
      <w:r>
        <w:rPr>
          <w:spacing w:val="-5"/>
          <w:sz w:val="22"/>
        </w:rPr>
        <w:t> </w:t>
      </w:r>
      <w:r>
        <w:rPr>
          <w:sz w:val="22"/>
        </w:rPr>
        <w:t>10-year</w:t>
      </w:r>
      <w:r>
        <w:rPr>
          <w:spacing w:val="-1"/>
          <w:sz w:val="22"/>
        </w:rPr>
        <w:t> </w:t>
      </w:r>
      <w:r>
        <w:rPr>
          <w:spacing w:val="-2"/>
          <w:sz w:val="22"/>
        </w:rPr>
        <w:t>period.</w:t>
      </w:r>
    </w:p>
    <w:p>
      <w:pPr>
        <w:pStyle w:val="ListParagraph"/>
        <w:numPr>
          <w:ilvl w:val="0"/>
          <w:numId w:val="2"/>
        </w:numPr>
        <w:tabs>
          <w:tab w:pos="686" w:val="left" w:leader="none"/>
          <w:tab w:pos="687" w:val="left" w:leader="none"/>
        </w:tabs>
        <w:spacing w:line="240" w:lineRule="auto" w:before="35" w:after="0"/>
        <w:ind w:left="686" w:right="0" w:hanging="567"/>
        <w:jc w:val="left"/>
        <w:rPr>
          <w:rFonts w:ascii="Symbol" w:hAnsi="Symbol"/>
          <w:sz w:val="22"/>
        </w:rPr>
      </w:pPr>
      <w:r>
        <w:rPr>
          <w:sz w:val="22"/>
        </w:rPr>
        <w:t>Internal</w:t>
      </w:r>
      <w:r>
        <w:rPr>
          <w:spacing w:val="-5"/>
          <w:sz w:val="22"/>
        </w:rPr>
        <w:t> </w:t>
      </w:r>
      <w:r>
        <w:rPr>
          <w:sz w:val="22"/>
        </w:rPr>
        <w:t>financing</w:t>
      </w:r>
      <w:r>
        <w:rPr>
          <w:spacing w:val="-2"/>
          <w:sz w:val="22"/>
        </w:rPr>
        <w:t> </w:t>
      </w:r>
      <w:r>
        <w:rPr>
          <w:sz w:val="22"/>
        </w:rPr>
        <w:t>is</w:t>
      </w:r>
      <w:r>
        <w:rPr>
          <w:spacing w:val="-3"/>
          <w:sz w:val="22"/>
        </w:rPr>
        <w:t> </w:t>
      </w:r>
      <w:r>
        <w:rPr>
          <w:sz w:val="22"/>
        </w:rPr>
        <w:t>below</w:t>
      </w:r>
      <w:r>
        <w:rPr>
          <w:spacing w:val="-2"/>
          <w:sz w:val="22"/>
        </w:rPr>
        <w:t> </w:t>
      </w:r>
      <w:r>
        <w:rPr>
          <w:sz w:val="22"/>
        </w:rPr>
        <w:t>100%</w:t>
      </w:r>
      <w:r>
        <w:rPr>
          <w:spacing w:val="-3"/>
          <w:sz w:val="22"/>
        </w:rPr>
        <w:t> </w:t>
      </w:r>
      <w:r>
        <w:rPr>
          <w:sz w:val="22"/>
        </w:rPr>
        <w:t>in</w:t>
      </w:r>
      <w:r>
        <w:rPr>
          <w:spacing w:val="-4"/>
          <w:sz w:val="22"/>
        </w:rPr>
        <w:t> </w:t>
      </w:r>
      <w:r>
        <w:rPr>
          <w:sz w:val="22"/>
        </w:rPr>
        <w:t>the</w:t>
      </w:r>
      <w:r>
        <w:rPr>
          <w:spacing w:val="-4"/>
          <w:sz w:val="22"/>
        </w:rPr>
        <w:t> </w:t>
      </w:r>
      <w:r>
        <w:rPr>
          <w:sz w:val="22"/>
        </w:rPr>
        <w:t>current</w:t>
      </w:r>
      <w:r>
        <w:rPr>
          <w:spacing w:val="-4"/>
          <w:sz w:val="22"/>
        </w:rPr>
        <w:t> </w:t>
      </w:r>
      <w:r>
        <w:rPr>
          <w:sz w:val="22"/>
        </w:rPr>
        <w:t>year</w:t>
      </w:r>
      <w:r>
        <w:rPr>
          <w:spacing w:val="-3"/>
          <w:sz w:val="22"/>
        </w:rPr>
        <w:t> </w:t>
      </w:r>
      <w:r>
        <w:rPr>
          <w:sz w:val="22"/>
        </w:rPr>
        <w:t>forecast,</w:t>
      </w:r>
      <w:r>
        <w:rPr>
          <w:spacing w:val="-3"/>
          <w:sz w:val="22"/>
        </w:rPr>
        <w:t> </w:t>
      </w:r>
      <w:r>
        <w:rPr>
          <w:sz w:val="22"/>
        </w:rPr>
        <w:t>because</w:t>
      </w:r>
      <w:r>
        <w:rPr>
          <w:spacing w:val="-4"/>
          <w:sz w:val="22"/>
        </w:rPr>
        <w:t> </w:t>
      </w:r>
      <w:r>
        <w:rPr>
          <w:sz w:val="22"/>
        </w:rPr>
        <w:t>of</w:t>
      </w:r>
      <w:r>
        <w:rPr>
          <w:spacing w:val="-3"/>
          <w:sz w:val="22"/>
        </w:rPr>
        <w:t> </w:t>
      </w:r>
      <w:r>
        <w:rPr>
          <w:sz w:val="22"/>
        </w:rPr>
        <w:t>capital</w:t>
      </w:r>
      <w:r>
        <w:rPr>
          <w:spacing w:val="-3"/>
          <w:sz w:val="22"/>
        </w:rPr>
        <w:t> </w:t>
      </w:r>
      <w:r>
        <w:rPr>
          <w:sz w:val="22"/>
        </w:rPr>
        <w:t>grants</w:t>
      </w:r>
      <w:r>
        <w:rPr>
          <w:spacing w:val="-4"/>
          <w:sz w:val="22"/>
        </w:rPr>
        <w:t> </w:t>
      </w:r>
      <w:r>
        <w:rPr>
          <w:sz w:val="22"/>
        </w:rPr>
        <w:t>timing</w:t>
      </w:r>
      <w:r>
        <w:rPr>
          <w:spacing w:val="-2"/>
          <w:sz w:val="22"/>
        </w:rPr>
        <w:t> </w:t>
      </w:r>
      <w:r>
        <w:rPr>
          <w:sz w:val="22"/>
        </w:rPr>
        <w:t>compared</w:t>
      </w:r>
      <w:r>
        <w:rPr>
          <w:spacing w:val="-5"/>
          <w:sz w:val="22"/>
        </w:rPr>
        <w:t> </w:t>
      </w:r>
      <w:r>
        <w:rPr>
          <w:sz w:val="22"/>
        </w:rPr>
        <w:t>to</w:t>
      </w:r>
      <w:r>
        <w:rPr>
          <w:spacing w:val="-1"/>
          <w:sz w:val="22"/>
        </w:rPr>
        <w:t> </w:t>
      </w:r>
      <w:r>
        <w:rPr>
          <w:sz w:val="22"/>
        </w:rPr>
        <w:t>when</w:t>
      </w:r>
      <w:r>
        <w:rPr>
          <w:spacing w:val="-4"/>
          <w:sz w:val="22"/>
        </w:rPr>
        <w:t> </w:t>
      </w:r>
      <w:r>
        <w:rPr>
          <w:sz w:val="22"/>
        </w:rPr>
        <w:t>they</w:t>
      </w:r>
      <w:r>
        <w:rPr>
          <w:spacing w:val="-5"/>
          <w:sz w:val="22"/>
        </w:rPr>
        <w:t> </w:t>
      </w:r>
      <w:r>
        <w:rPr>
          <w:sz w:val="22"/>
        </w:rPr>
        <w:t>were</w:t>
      </w:r>
      <w:r>
        <w:rPr>
          <w:spacing w:val="-6"/>
          <w:sz w:val="22"/>
        </w:rPr>
        <w:t> </w:t>
      </w:r>
      <w:r>
        <w:rPr>
          <w:spacing w:val="-2"/>
          <w:sz w:val="22"/>
        </w:rPr>
        <w:t>spent.</w:t>
      </w:r>
    </w:p>
    <w:p>
      <w:pPr>
        <w:pStyle w:val="ListParagraph"/>
        <w:numPr>
          <w:ilvl w:val="0"/>
          <w:numId w:val="2"/>
        </w:numPr>
        <w:tabs>
          <w:tab w:pos="686" w:val="left" w:leader="none"/>
          <w:tab w:pos="687" w:val="left" w:leader="none"/>
        </w:tabs>
        <w:spacing w:line="240" w:lineRule="auto" w:before="38" w:after="0"/>
        <w:ind w:left="686" w:right="0" w:hanging="567"/>
        <w:jc w:val="left"/>
        <w:rPr>
          <w:rFonts w:ascii="Symbol" w:hAnsi="Symbol"/>
          <w:sz w:val="22"/>
        </w:rPr>
      </w:pPr>
      <w:r>
        <w:rPr>
          <w:sz w:val="22"/>
        </w:rPr>
        <w:t>Indebtness</w:t>
      </w:r>
      <w:r>
        <w:rPr>
          <w:spacing w:val="-6"/>
          <w:sz w:val="22"/>
        </w:rPr>
        <w:t> </w:t>
      </w:r>
      <w:r>
        <w:rPr>
          <w:sz w:val="22"/>
        </w:rPr>
        <w:t>below</w:t>
      </w:r>
      <w:r>
        <w:rPr>
          <w:spacing w:val="-3"/>
          <w:sz w:val="22"/>
        </w:rPr>
        <w:t> </w:t>
      </w:r>
      <w:r>
        <w:rPr>
          <w:sz w:val="22"/>
        </w:rPr>
        <w:t>40%</w:t>
      </w:r>
      <w:r>
        <w:rPr>
          <w:spacing w:val="-3"/>
          <w:sz w:val="22"/>
        </w:rPr>
        <w:t> </w:t>
      </w:r>
      <w:r>
        <w:rPr>
          <w:sz w:val="22"/>
        </w:rPr>
        <w:t>across</w:t>
      </w:r>
      <w:r>
        <w:rPr>
          <w:spacing w:val="-3"/>
          <w:sz w:val="22"/>
        </w:rPr>
        <w:t> </w:t>
      </w:r>
      <w:r>
        <w:rPr>
          <w:sz w:val="22"/>
        </w:rPr>
        <w:t>the</w:t>
      </w:r>
      <w:r>
        <w:rPr>
          <w:spacing w:val="-4"/>
          <w:sz w:val="22"/>
        </w:rPr>
        <w:t> </w:t>
      </w:r>
      <w:r>
        <w:rPr>
          <w:sz w:val="22"/>
        </w:rPr>
        <w:t>10</w:t>
      </w:r>
      <w:r>
        <w:rPr>
          <w:spacing w:val="-2"/>
          <w:sz w:val="22"/>
        </w:rPr>
        <w:t> </w:t>
      </w:r>
      <w:r>
        <w:rPr>
          <w:sz w:val="22"/>
        </w:rPr>
        <w:t>years,</w:t>
      </w:r>
      <w:r>
        <w:rPr>
          <w:spacing w:val="-2"/>
          <w:sz w:val="22"/>
        </w:rPr>
        <w:t> </w:t>
      </w:r>
      <w:r>
        <w:rPr>
          <w:sz w:val="22"/>
        </w:rPr>
        <w:t>indicates</w:t>
      </w:r>
      <w:r>
        <w:rPr>
          <w:spacing w:val="-1"/>
          <w:sz w:val="22"/>
        </w:rPr>
        <w:t> </w:t>
      </w:r>
      <w:r>
        <w:rPr>
          <w:sz w:val="22"/>
        </w:rPr>
        <w:t>Councils</w:t>
      </w:r>
      <w:r>
        <w:rPr>
          <w:spacing w:val="-3"/>
          <w:sz w:val="22"/>
        </w:rPr>
        <w:t> </w:t>
      </w:r>
      <w:r>
        <w:rPr>
          <w:sz w:val="22"/>
        </w:rPr>
        <w:t>ability</w:t>
      </w:r>
      <w:r>
        <w:rPr>
          <w:spacing w:val="-5"/>
          <w:sz w:val="22"/>
        </w:rPr>
        <w:t> </w:t>
      </w:r>
      <w:r>
        <w:rPr>
          <w:sz w:val="22"/>
        </w:rPr>
        <w:t>to</w:t>
      </w:r>
      <w:r>
        <w:rPr>
          <w:spacing w:val="-6"/>
          <w:sz w:val="22"/>
        </w:rPr>
        <w:t> </w:t>
      </w:r>
      <w:r>
        <w:rPr>
          <w:sz w:val="22"/>
        </w:rPr>
        <w:t>finance</w:t>
      </w:r>
      <w:r>
        <w:rPr>
          <w:spacing w:val="-3"/>
          <w:sz w:val="22"/>
        </w:rPr>
        <w:t> </w:t>
      </w:r>
      <w:r>
        <w:rPr>
          <w:sz w:val="22"/>
        </w:rPr>
        <w:t>its</w:t>
      </w:r>
      <w:r>
        <w:rPr>
          <w:spacing w:val="-3"/>
          <w:sz w:val="22"/>
        </w:rPr>
        <w:t> </w:t>
      </w:r>
      <w:r>
        <w:rPr>
          <w:sz w:val="22"/>
        </w:rPr>
        <w:t>debt</w:t>
      </w:r>
      <w:r>
        <w:rPr>
          <w:spacing w:val="-3"/>
          <w:sz w:val="22"/>
        </w:rPr>
        <w:t> </w:t>
      </w:r>
      <w:r>
        <w:rPr>
          <w:sz w:val="22"/>
        </w:rPr>
        <w:t>levels</w:t>
      </w:r>
      <w:r>
        <w:rPr>
          <w:spacing w:val="-3"/>
          <w:sz w:val="22"/>
        </w:rPr>
        <w:t> </w:t>
      </w:r>
      <w:r>
        <w:rPr>
          <w:sz w:val="22"/>
        </w:rPr>
        <w:t>as</w:t>
      </w:r>
      <w:r>
        <w:rPr>
          <w:spacing w:val="-7"/>
          <w:sz w:val="22"/>
        </w:rPr>
        <w:t> </w:t>
      </w:r>
      <w:r>
        <w:rPr>
          <w:sz w:val="22"/>
        </w:rPr>
        <w:t>and</w:t>
      </w:r>
      <w:r>
        <w:rPr>
          <w:spacing w:val="-1"/>
          <w:sz w:val="22"/>
        </w:rPr>
        <w:t> </w:t>
      </w:r>
      <w:r>
        <w:rPr>
          <w:sz w:val="22"/>
        </w:rPr>
        <w:t>when</w:t>
      </w:r>
      <w:r>
        <w:rPr>
          <w:spacing w:val="-2"/>
          <w:sz w:val="22"/>
        </w:rPr>
        <w:t> </w:t>
      </w:r>
      <w:r>
        <w:rPr>
          <w:sz w:val="22"/>
        </w:rPr>
        <w:t>it</w:t>
      </w:r>
      <w:r>
        <w:rPr>
          <w:spacing w:val="-3"/>
          <w:sz w:val="22"/>
        </w:rPr>
        <w:t> </w:t>
      </w:r>
      <w:r>
        <w:rPr>
          <w:sz w:val="22"/>
        </w:rPr>
        <w:t>falls</w:t>
      </w:r>
      <w:r>
        <w:rPr>
          <w:spacing w:val="-3"/>
          <w:sz w:val="22"/>
        </w:rPr>
        <w:t> </w:t>
      </w:r>
      <w:r>
        <w:rPr>
          <w:spacing w:val="-4"/>
          <w:sz w:val="22"/>
        </w:rPr>
        <w:t>due.</w:t>
      </w:r>
    </w:p>
    <w:p>
      <w:pPr>
        <w:pStyle w:val="ListParagraph"/>
        <w:numPr>
          <w:ilvl w:val="0"/>
          <w:numId w:val="2"/>
        </w:numPr>
        <w:tabs>
          <w:tab w:pos="686" w:val="left" w:leader="none"/>
          <w:tab w:pos="687" w:val="left" w:leader="none"/>
        </w:tabs>
        <w:spacing w:line="240" w:lineRule="auto" w:before="35" w:after="0"/>
        <w:ind w:left="686" w:right="0" w:hanging="567"/>
        <w:jc w:val="left"/>
        <w:rPr>
          <w:rFonts w:ascii="Symbol" w:hAnsi="Symbol"/>
          <w:sz w:val="22"/>
        </w:rPr>
      </w:pPr>
      <w:r>
        <w:rPr>
          <w:sz w:val="22"/>
        </w:rPr>
        <w:t>Capital</w:t>
      </w:r>
      <w:r>
        <w:rPr>
          <w:spacing w:val="-6"/>
          <w:sz w:val="22"/>
        </w:rPr>
        <w:t> </w:t>
      </w:r>
      <w:r>
        <w:rPr>
          <w:sz w:val="22"/>
        </w:rPr>
        <w:t>replacement,</w:t>
      </w:r>
      <w:r>
        <w:rPr>
          <w:spacing w:val="-5"/>
          <w:sz w:val="22"/>
        </w:rPr>
        <w:t> </w:t>
      </w:r>
      <w:r>
        <w:rPr>
          <w:sz w:val="22"/>
        </w:rPr>
        <w:t>although</w:t>
      </w:r>
      <w:r>
        <w:rPr>
          <w:spacing w:val="-1"/>
          <w:sz w:val="22"/>
        </w:rPr>
        <w:t> </w:t>
      </w:r>
      <w:r>
        <w:rPr>
          <w:sz w:val="22"/>
        </w:rPr>
        <w:t>it</w:t>
      </w:r>
      <w:r>
        <w:rPr>
          <w:spacing w:val="-3"/>
          <w:sz w:val="22"/>
        </w:rPr>
        <w:t> </w:t>
      </w:r>
      <w:r>
        <w:rPr>
          <w:sz w:val="22"/>
        </w:rPr>
        <w:t>follows</w:t>
      </w:r>
      <w:r>
        <w:rPr>
          <w:spacing w:val="-3"/>
          <w:sz w:val="22"/>
        </w:rPr>
        <w:t> </w:t>
      </w:r>
      <w:r>
        <w:rPr>
          <w:sz w:val="22"/>
        </w:rPr>
        <w:t>below</w:t>
      </w:r>
      <w:r>
        <w:rPr>
          <w:spacing w:val="-3"/>
          <w:sz w:val="22"/>
        </w:rPr>
        <w:t> </w:t>
      </w:r>
      <w:r>
        <w:rPr>
          <w:sz w:val="22"/>
        </w:rPr>
        <w:t>1.50,</w:t>
      </w:r>
      <w:r>
        <w:rPr>
          <w:spacing w:val="-2"/>
          <w:sz w:val="22"/>
        </w:rPr>
        <w:t> </w:t>
      </w:r>
      <w:r>
        <w:rPr>
          <w:sz w:val="22"/>
        </w:rPr>
        <w:t>still</w:t>
      </w:r>
      <w:r>
        <w:rPr>
          <w:spacing w:val="-3"/>
          <w:sz w:val="22"/>
        </w:rPr>
        <w:t> </w:t>
      </w:r>
      <w:r>
        <w:rPr>
          <w:sz w:val="22"/>
        </w:rPr>
        <w:t>positive</w:t>
      </w:r>
      <w:r>
        <w:rPr>
          <w:spacing w:val="-3"/>
          <w:sz w:val="22"/>
        </w:rPr>
        <w:t> </w:t>
      </w:r>
      <w:r>
        <w:rPr>
          <w:sz w:val="22"/>
        </w:rPr>
        <w:t>in</w:t>
      </w:r>
      <w:r>
        <w:rPr>
          <w:spacing w:val="-5"/>
          <w:sz w:val="22"/>
        </w:rPr>
        <w:t> </w:t>
      </w:r>
      <w:r>
        <w:rPr>
          <w:sz w:val="22"/>
        </w:rPr>
        <w:t>terms</w:t>
      </w:r>
      <w:r>
        <w:rPr>
          <w:spacing w:val="-3"/>
          <w:sz w:val="22"/>
        </w:rPr>
        <w:t> </w:t>
      </w:r>
      <w:r>
        <w:rPr>
          <w:sz w:val="22"/>
        </w:rPr>
        <w:t>of</w:t>
      </w:r>
      <w:r>
        <w:rPr>
          <w:spacing w:val="-3"/>
          <w:sz w:val="22"/>
        </w:rPr>
        <w:t> </w:t>
      </w:r>
      <w:r>
        <w:rPr>
          <w:sz w:val="22"/>
        </w:rPr>
        <w:t>being</w:t>
      </w:r>
      <w:r>
        <w:rPr>
          <w:spacing w:val="-4"/>
          <w:sz w:val="22"/>
        </w:rPr>
        <w:t> </w:t>
      </w:r>
      <w:r>
        <w:rPr>
          <w:sz w:val="22"/>
        </w:rPr>
        <w:t>greater</w:t>
      </w:r>
      <w:r>
        <w:rPr>
          <w:spacing w:val="-3"/>
          <w:sz w:val="22"/>
        </w:rPr>
        <w:t> </w:t>
      </w:r>
      <w:r>
        <w:rPr>
          <w:sz w:val="22"/>
        </w:rPr>
        <w:t>than</w:t>
      </w:r>
      <w:r>
        <w:rPr>
          <w:spacing w:val="-2"/>
          <w:sz w:val="22"/>
        </w:rPr>
        <w:t> </w:t>
      </w:r>
      <w:r>
        <w:rPr>
          <w:sz w:val="22"/>
        </w:rPr>
        <w:t>1:10</w:t>
      </w:r>
      <w:r>
        <w:rPr>
          <w:spacing w:val="-6"/>
          <w:sz w:val="22"/>
        </w:rPr>
        <w:t> </w:t>
      </w:r>
      <w:r>
        <w:rPr>
          <w:sz w:val="22"/>
        </w:rPr>
        <w:t>throughout</w:t>
      </w:r>
      <w:r>
        <w:rPr>
          <w:spacing w:val="-3"/>
          <w:sz w:val="22"/>
        </w:rPr>
        <w:t> </w:t>
      </w:r>
      <w:r>
        <w:rPr>
          <w:sz w:val="22"/>
        </w:rPr>
        <w:t>the</w:t>
      </w:r>
      <w:r>
        <w:rPr>
          <w:spacing w:val="-4"/>
          <w:sz w:val="22"/>
        </w:rPr>
        <w:t> </w:t>
      </w:r>
      <w:r>
        <w:rPr>
          <w:sz w:val="22"/>
        </w:rPr>
        <w:t>10</w:t>
      </w:r>
      <w:r>
        <w:rPr>
          <w:spacing w:val="-5"/>
          <w:sz w:val="22"/>
        </w:rPr>
        <w:t> </w:t>
      </w:r>
      <w:r>
        <w:rPr>
          <w:sz w:val="22"/>
        </w:rPr>
        <w:t>year</w:t>
      </w:r>
      <w:r>
        <w:rPr>
          <w:spacing w:val="-5"/>
          <w:sz w:val="22"/>
        </w:rPr>
        <w:t> </w:t>
      </w:r>
      <w:r>
        <w:rPr>
          <w:spacing w:val="-2"/>
          <w:sz w:val="22"/>
        </w:rPr>
        <w:t>period.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7"/>
        </w:rPr>
      </w:pPr>
    </w:p>
    <w:p>
      <w:pPr>
        <w:spacing w:before="96"/>
        <w:ind w:left="0" w:right="137" w:firstLine="0"/>
        <w:jc w:val="right"/>
        <w:rPr>
          <w:sz w:val="16"/>
        </w:rPr>
      </w:pPr>
      <w:r>
        <w:rPr>
          <w:sz w:val="16"/>
        </w:rPr>
        <w:t>MAROONDAH</w:t>
      </w:r>
      <w:r>
        <w:rPr>
          <w:spacing w:val="-4"/>
          <w:sz w:val="16"/>
        </w:rPr>
        <w:t> </w:t>
      </w:r>
      <w:r>
        <w:rPr>
          <w:sz w:val="16"/>
        </w:rPr>
        <w:t>CITY COUNCIL</w:t>
      </w:r>
      <w:r>
        <w:rPr>
          <w:spacing w:val="-4"/>
          <w:sz w:val="16"/>
        </w:rPr>
        <w:t> </w:t>
      </w:r>
      <w:r>
        <w:rPr>
          <w:sz w:val="16"/>
        </w:rPr>
        <w:t>–BUDGET</w:t>
      </w:r>
      <w:r>
        <w:rPr>
          <w:spacing w:val="-2"/>
          <w:sz w:val="16"/>
        </w:rPr>
        <w:t> </w:t>
      </w:r>
      <w:r>
        <w:rPr>
          <w:sz w:val="16"/>
        </w:rPr>
        <w:t>2024/2025</w:t>
      </w:r>
      <w:r>
        <w:rPr>
          <w:spacing w:val="41"/>
          <w:sz w:val="16"/>
        </w:rPr>
        <w:t>  </w:t>
      </w:r>
      <w:r>
        <w:rPr>
          <w:sz w:val="16"/>
        </w:rPr>
        <w:t>|</w:t>
      </w:r>
      <w:r>
        <w:rPr>
          <w:spacing w:val="59"/>
          <w:w w:val="150"/>
          <w:sz w:val="16"/>
        </w:rPr>
        <w:t> </w:t>
      </w:r>
      <w:r>
        <w:rPr>
          <w:color w:val="2A569A"/>
          <w:spacing w:val="-5"/>
          <w:sz w:val="16"/>
          <w:shd w:fill="E6E6E6" w:color="auto" w:val="clear"/>
        </w:rPr>
        <w:t>14</w:t>
      </w:r>
    </w:p>
    <w:p>
      <w:pPr>
        <w:spacing w:after="0"/>
        <w:jc w:val="right"/>
        <w:rPr>
          <w:sz w:val="16"/>
        </w:rPr>
        <w:sectPr>
          <w:footerReference w:type="default" r:id="rId19"/>
          <w:pgSz w:w="16840" w:h="11910" w:orient="landscape"/>
          <w:pgMar w:footer="0" w:header="0" w:top="640" w:bottom="280" w:left="600" w:right="580"/>
        </w:sectPr>
      </w:pPr>
    </w:p>
    <w:p>
      <w:pPr>
        <w:pStyle w:val="Heading4"/>
        <w:spacing w:before="71"/>
        <w:ind w:left="391" w:firstLine="0"/>
        <w:jc w:val="both"/>
      </w:pPr>
      <w:r>
        <w:rPr>
          <w:color w:val="4966AC"/>
        </w:rPr>
        <w:t>Strategic</w:t>
      </w:r>
      <w:r>
        <w:rPr>
          <w:color w:val="4966AC"/>
          <w:spacing w:val="2"/>
        </w:rPr>
        <w:t> </w:t>
      </w:r>
      <w:r>
        <w:rPr>
          <w:color w:val="4966AC"/>
          <w:spacing w:val="-2"/>
        </w:rPr>
        <w:t>objectives</w:t>
      </w:r>
    </w:p>
    <w:p>
      <w:pPr>
        <w:pStyle w:val="BodyText"/>
        <w:spacing w:before="9"/>
        <w:rPr>
          <w:b/>
          <w:sz w:val="21"/>
        </w:rPr>
      </w:pPr>
    </w:p>
    <w:p>
      <w:pPr>
        <w:pStyle w:val="BodyText"/>
        <w:spacing w:before="1"/>
        <w:ind w:left="391" w:right="401"/>
        <w:jc w:val="both"/>
      </w:pPr>
      <w:r>
        <w:rPr/>
        <w:t>The Budget includes a range of services and initiatives to be funded that will contribute to achieving the strategic</w:t>
      </w:r>
      <w:r>
        <w:rPr>
          <w:spacing w:val="-8"/>
        </w:rPr>
        <w:t> </w:t>
      </w:r>
      <w:r>
        <w:rPr/>
        <w:t>objectives</w:t>
      </w:r>
      <w:r>
        <w:rPr>
          <w:spacing w:val="-8"/>
        </w:rPr>
        <w:t> </w:t>
      </w:r>
      <w:r>
        <w:rPr/>
        <w:t>specified</w:t>
      </w:r>
      <w:r>
        <w:rPr>
          <w:spacing w:val="-6"/>
        </w:rPr>
        <w:t> </w:t>
      </w:r>
      <w:r>
        <w:rPr/>
        <w:t>in</w:t>
      </w:r>
      <w:r>
        <w:rPr>
          <w:spacing w:val="-10"/>
        </w:rPr>
        <w:t> </w:t>
      </w:r>
      <w:r>
        <w:rPr/>
        <w:t>the</w:t>
      </w:r>
      <w:r>
        <w:rPr>
          <w:spacing w:val="-8"/>
        </w:rPr>
        <w:t> </w:t>
      </w:r>
      <w:r>
        <w:rPr/>
        <w:t>Council</w:t>
      </w:r>
      <w:r>
        <w:rPr>
          <w:spacing w:val="-11"/>
        </w:rPr>
        <w:t> </w:t>
      </w:r>
      <w:r>
        <w:rPr/>
        <w:t>Plan.</w:t>
      </w:r>
      <w:r>
        <w:rPr>
          <w:spacing w:val="-8"/>
        </w:rPr>
        <w:t> </w:t>
      </w:r>
      <w:r>
        <w:rPr/>
        <w:t>The</w:t>
      </w:r>
      <w:r>
        <w:rPr>
          <w:spacing w:val="-5"/>
        </w:rPr>
        <w:t> </w:t>
      </w:r>
      <w:r>
        <w:rPr/>
        <w:t>below</w:t>
      </w:r>
      <w:r>
        <w:rPr>
          <w:spacing w:val="-9"/>
        </w:rPr>
        <w:t> </w:t>
      </w:r>
      <w:r>
        <w:rPr/>
        <w:t>graph</w:t>
      </w:r>
      <w:r>
        <w:rPr>
          <w:spacing w:val="-8"/>
        </w:rPr>
        <w:t> </w:t>
      </w:r>
      <w:r>
        <w:rPr/>
        <w:t>shows</w:t>
      </w:r>
      <w:r>
        <w:rPr>
          <w:spacing w:val="-11"/>
        </w:rPr>
        <w:t> </w:t>
      </w:r>
      <w:r>
        <w:rPr/>
        <w:t>the</w:t>
      </w:r>
      <w:r>
        <w:rPr>
          <w:spacing w:val="-6"/>
        </w:rPr>
        <w:t> </w:t>
      </w:r>
      <w:r>
        <w:rPr/>
        <w:t>level</w:t>
      </w:r>
      <w:r>
        <w:rPr>
          <w:spacing w:val="-9"/>
        </w:rPr>
        <w:t> </w:t>
      </w:r>
      <w:r>
        <w:rPr/>
        <w:t>of</w:t>
      </w:r>
      <w:r>
        <w:rPr>
          <w:spacing w:val="-10"/>
        </w:rPr>
        <w:t> </w:t>
      </w:r>
      <w:r>
        <w:rPr/>
        <w:t>funding</w:t>
      </w:r>
      <w:r>
        <w:rPr>
          <w:spacing w:val="-6"/>
        </w:rPr>
        <w:t> </w:t>
      </w:r>
      <w:r>
        <w:rPr/>
        <w:t>allocated</w:t>
      </w:r>
      <w:r>
        <w:rPr>
          <w:spacing w:val="-10"/>
        </w:rPr>
        <w:t> </w:t>
      </w:r>
      <w:r>
        <w:rPr/>
        <w:t>in</w:t>
      </w:r>
      <w:r>
        <w:rPr>
          <w:spacing w:val="-10"/>
        </w:rPr>
        <w:t> </w:t>
      </w:r>
      <w:r>
        <w:rPr/>
        <w:t>the budget to achieve the strategic objectives as set out in the Council Plan for the 2025/26 year.</w:t>
      </w:r>
    </w:p>
    <w:p>
      <w:pPr>
        <w:pStyle w:val="BodyText"/>
        <w:spacing w:before="8"/>
        <w:rPr>
          <w:sz w:val="19"/>
        </w:rPr>
      </w:pPr>
      <w:r>
        <w:rPr/>
        <w:drawing>
          <wp:anchor distT="0" distB="0" distL="0" distR="0" allowOverlap="1" layoutInCell="1" locked="0" behindDoc="0" simplePos="0" relativeHeight="11">
            <wp:simplePos x="0" y="0"/>
            <wp:positionH relativeFrom="page">
              <wp:posOffset>487680</wp:posOffset>
            </wp:positionH>
            <wp:positionV relativeFrom="paragraph">
              <wp:posOffset>159238</wp:posOffset>
            </wp:positionV>
            <wp:extent cx="6669023" cy="4791456"/>
            <wp:effectExtent l="0" t="0" r="0" b="0"/>
            <wp:wrapTopAndBottom/>
            <wp:docPr id="19" name="image11.png"/>
            <wp:cNvGraphicFramePr>
              <a:graphicFrameLocks noChangeAspect="1"/>
            </wp:cNvGraphicFramePr>
            <a:graphic>
              <a:graphicData uri="http://schemas.openxmlformats.org/drawingml/2006/picture">
                <pic:pic>
                  <pic:nvPicPr>
                    <pic:cNvPr id="20" name="image11.png"/>
                    <pic:cNvPicPr/>
                  </pic:nvPicPr>
                  <pic:blipFill>
                    <a:blip r:embed="rId21" cstate="print"/>
                    <a:stretch>
                      <a:fillRect/>
                    </a:stretch>
                  </pic:blipFill>
                  <pic:spPr>
                    <a:xfrm>
                      <a:off x="0" y="0"/>
                      <a:ext cx="6669023" cy="4791456"/>
                    </a:xfrm>
                    <a:prstGeom prst="rect">
                      <a:avLst/>
                    </a:prstGeom>
                  </pic:spPr>
                </pic:pic>
              </a:graphicData>
            </a:graphic>
          </wp:anchor>
        </w:drawing>
      </w:r>
    </w:p>
    <w:p>
      <w:pPr>
        <w:spacing w:before="0"/>
        <w:ind w:left="391" w:right="0" w:firstLine="0"/>
        <w:jc w:val="both"/>
        <w:rPr>
          <w:sz w:val="18"/>
        </w:rPr>
      </w:pPr>
      <w:r>
        <w:rPr>
          <w:sz w:val="18"/>
        </w:rPr>
        <w:t>Source: Section</w:t>
      </w:r>
      <w:r>
        <w:rPr>
          <w:spacing w:val="-2"/>
          <w:sz w:val="18"/>
        </w:rPr>
        <w:t> </w:t>
      </w:r>
      <w:r>
        <w:rPr>
          <w:spacing w:val="-10"/>
          <w:sz w:val="18"/>
        </w:rPr>
        <w:t>2</w:t>
      </w:r>
    </w:p>
    <w:p>
      <w:pPr>
        <w:spacing w:after="0"/>
        <w:jc w:val="both"/>
        <w:rPr>
          <w:sz w:val="18"/>
        </w:rPr>
        <w:sectPr>
          <w:footerReference w:type="default" r:id="rId20"/>
          <w:pgSz w:w="11910" w:h="16840"/>
          <w:pgMar w:footer="375" w:header="0" w:top="480" w:bottom="560" w:left="460" w:right="160"/>
          <w:pgNumType w:start="15"/>
        </w:sectPr>
      </w:pPr>
    </w:p>
    <w:p>
      <w:pPr>
        <w:pStyle w:val="Heading4"/>
        <w:spacing w:before="71"/>
        <w:ind w:left="391" w:firstLine="0"/>
        <w:jc w:val="both"/>
      </w:pPr>
      <w:r>
        <w:rPr>
          <w:color w:val="4966AC"/>
        </w:rPr>
        <w:t>Council</w:t>
      </w:r>
      <w:r>
        <w:rPr>
          <w:color w:val="4966AC"/>
          <w:spacing w:val="-1"/>
        </w:rPr>
        <w:t> </w:t>
      </w:r>
      <w:r>
        <w:rPr>
          <w:color w:val="4966AC"/>
        </w:rPr>
        <w:t>net</w:t>
      </w:r>
      <w:r>
        <w:rPr>
          <w:color w:val="4966AC"/>
          <w:spacing w:val="-1"/>
        </w:rPr>
        <w:t> </w:t>
      </w:r>
      <w:r>
        <w:rPr>
          <w:color w:val="4966AC"/>
        </w:rPr>
        <w:t>expenditure</w:t>
      </w:r>
      <w:r>
        <w:rPr>
          <w:color w:val="4966AC"/>
          <w:spacing w:val="-1"/>
        </w:rPr>
        <w:t> </w:t>
      </w:r>
      <w:r>
        <w:rPr>
          <w:color w:val="4966AC"/>
        </w:rPr>
        <w:t>allocations</w:t>
      </w:r>
      <w:r>
        <w:rPr>
          <w:color w:val="4966AC"/>
          <w:spacing w:val="-1"/>
        </w:rPr>
        <w:t> </w:t>
      </w:r>
      <w:r>
        <w:rPr>
          <w:color w:val="4966AC"/>
        </w:rPr>
        <w:t>per</w:t>
      </w:r>
      <w:r>
        <w:rPr>
          <w:color w:val="4966AC"/>
          <w:spacing w:val="2"/>
        </w:rPr>
        <w:t> </w:t>
      </w:r>
      <w:r>
        <w:rPr>
          <w:color w:val="4966AC"/>
          <w:spacing w:val="-4"/>
        </w:rPr>
        <w:t>$100</w:t>
      </w:r>
    </w:p>
    <w:p>
      <w:pPr>
        <w:pStyle w:val="BodyText"/>
        <w:spacing w:before="9"/>
        <w:rPr>
          <w:b/>
          <w:sz w:val="21"/>
        </w:rPr>
      </w:pPr>
    </w:p>
    <w:p>
      <w:pPr>
        <w:pStyle w:val="BodyText"/>
        <w:spacing w:before="1"/>
        <w:ind w:left="391" w:right="401"/>
        <w:jc w:val="both"/>
      </w:pPr>
      <w:r>
        <w:rPr/>
        <w:t>The</w:t>
      </w:r>
      <w:r>
        <w:rPr>
          <w:spacing w:val="-9"/>
        </w:rPr>
        <w:t> </w:t>
      </w:r>
      <w:r>
        <w:rPr/>
        <w:t>above</w:t>
      </w:r>
      <w:r>
        <w:rPr>
          <w:spacing w:val="-12"/>
        </w:rPr>
        <w:t> </w:t>
      </w:r>
      <w:r>
        <w:rPr/>
        <w:t>chart</w:t>
      </w:r>
      <w:r>
        <w:rPr>
          <w:spacing w:val="-11"/>
        </w:rPr>
        <w:t> </w:t>
      </w:r>
      <w:r>
        <w:rPr/>
        <w:t>provides</w:t>
      </w:r>
      <w:r>
        <w:rPr>
          <w:spacing w:val="-9"/>
        </w:rPr>
        <w:t> </w:t>
      </w:r>
      <w:r>
        <w:rPr/>
        <w:t>an</w:t>
      </w:r>
      <w:r>
        <w:rPr>
          <w:spacing w:val="-11"/>
        </w:rPr>
        <w:t> </w:t>
      </w:r>
      <w:r>
        <w:rPr/>
        <w:t>indication</w:t>
      </w:r>
      <w:r>
        <w:rPr>
          <w:spacing w:val="-9"/>
        </w:rPr>
        <w:t> </w:t>
      </w:r>
      <w:r>
        <w:rPr/>
        <w:t>of</w:t>
      </w:r>
      <w:r>
        <w:rPr>
          <w:spacing w:val="-11"/>
        </w:rPr>
        <w:t> </w:t>
      </w:r>
      <w:r>
        <w:rPr/>
        <w:t>how</w:t>
      </w:r>
      <w:r>
        <w:rPr>
          <w:spacing w:val="-9"/>
        </w:rPr>
        <w:t> </w:t>
      </w:r>
      <w:r>
        <w:rPr/>
        <w:t>Council</w:t>
      </w:r>
      <w:r>
        <w:rPr>
          <w:spacing w:val="-11"/>
        </w:rPr>
        <w:t> </w:t>
      </w:r>
      <w:r>
        <w:rPr/>
        <w:t>allocates</w:t>
      </w:r>
      <w:r>
        <w:rPr>
          <w:spacing w:val="-9"/>
        </w:rPr>
        <w:t> </w:t>
      </w:r>
      <w:r>
        <w:rPr/>
        <w:t>its</w:t>
      </w:r>
      <w:r>
        <w:rPr>
          <w:spacing w:val="-9"/>
        </w:rPr>
        <w:t> </w:t>
      </w:r>
      <w:r>
        <w:rPr/>
        <w:t>expenditure</w:t>
      </w:r>
      <w:r>
        <w:rPr>
          <w:spacing w:val="-11"/>
        </w:rPr>
        <w:t> </w:t>
      </w:r>
      <w:r>
        <w:rPr/>
        <w:t>across</w:t>
      </w:r>
      <w:r>
        <w:rPr>
          <w:spacing w:val="-13"/>
        </w:rPr>
        <w:t> </w:t>
      </w:r>
      <w:r>
        <w:rPr/>
        <w:t>the</w:t>
      </w:r>
      <w:r>
        <w:rPr>
          <w:spacing w:val="-12"/>
        </w:rPr>
        <w:t> </w:t>
      </w:r>
      <w:r>
        <w:rPr/>
        <w:t>main</w:t>
      </w:r>
      <w:r>
        <w:rPr>
          <w:spacing w:val="-12"/>
        </w:rPr>
        <w:t> </w:t>
      </w:r>
      <w:r>
        <w:rPr/>
        <w:t>services</w:t>
      </w:r>
      <w:r>
        <w:rPr>
          <w:spacing w:val="-9"/>
        </w:rPr>
        <w:t> </w:t>
      </w:r>
      <w:r>
        <w:rPr/>
        <w:t>that it delivers.</w:t>
      </w:r>
      <w:r>
        <w:rPr>
          <w:spacing w:val="40"/>
        </w:rPr>
        <w:t> </w:t>
      </w:r>
      <w:r>
        <w:rPr/>
        <w:t>It shows how much is allocated to each service for every $100 that Council spends.</w:t>
      </w:r>
    </w:p>
    <w:p>
      <w:pPr>
        <w:pStyle w:val="BodyText"/>
        <w:spacing w:before="10"/>
        <w:rPr>
          <w:sz w:val="21"/>
        </w:rPr>
      </w:pPr>
    </w:p>
    <w:p>
      <w:pPr>
        <w:pStyle w:val="BodyText"/>
        <w:spacing w:before="1"/>
        <w:ind w:left="391" w:right="401"/>
        <w:jc w:val="both"/>
      </w:pPr>
      <w:r>
        <w:rPr/>
        <w:t>This 2025/26 budget has been developed through a rigorous process of consultation and review and management</w:t>
      </w:r>
      <w:r>
        <w:rPr>
          <w:spacing w:val="-5"/>
        </w:rPr>
        <w:t> </w:t>
      </w:r>
      <w:r>
        <w:rPr/>
        <w:t>endorses</w:t>
      </w:r>
      <w:r>
        <w:rPr>
          <w:spacing w:val="-7"/>
        </w:rPr>
        <w:t> </w:t>
      </w:r>
      <w:r>
        <w:rPr/>
        <w:t>it</w:t>
      </w:r>
      <w:r>
        <w:rPr>
          <w:spacing w:val="-7"/>
        </w:rPr>
        <w:t> </w:t>
      </w:r>
      <w:r>
        <w:rPr/>
        <w:t>as</w:t>
      </w:r>
      <w:r>
        <w:rPr>
          <w:spacing w:val="-8"/>
        </w:rPr>
        <w:t> </w:t>
      </w:r>
      <w:r>
        <w:rPr/>
        <w:t>financially</w:t>
      </w:r>
      <w:r>
        <w:rPr>
          <w:spacing w:val="-5"/>
        </w:rPr>
        <w:t> </w:t>
      </w:r>
      <w:r>
        <w:rPr/>
        <w:t>responsible.</w:t>
      </w:r>
      <w:r>
        <w:rPr>
          <w:spacing w:val="-7"/>
        </w:rPr>
        <w:t> </w:t>
      </w:r>
      <w:r>
        <w:rPr/>
        <w:t>More</w:t>
      </w:r>
      <w:r>
        <w:rPr>
          <w:spacing w:val="-8"/>
        </w:rPr>
        <w:t> </w:t>
      </w:r>
      <w:r>
        <w:rPr/>
        <w:t>detailed</w:t>
      </w:r>
      <w:r>
        <w:rPr>
          <w:spacing w:val="-6"/>
        </w:rPr>
        <w:t> </w:t>
      </w:r>
      <w:r>
        <w:rPr/>
        <w:t>budget</w:t>
      </w:r>
      <w:r>
        <w:rPr>
          <w:spacing w:val="-7"/>
        </w:rPr>
        <w:t> </w:t>
      </w:r>
      <w:r>
        <w:rPr/>
        <w:t>information</w:t>
      </w:r>
      <w:r>
        <w:rPr>
          <w:spacing w:val="-6"/>
        </w:rPr>
        <w:t> </w:t>
      </w:r>
      <w:r>
        <w:rPr/>
        <w:t>is</w:t>
      </w:r>
      <w:r>
        <w:rPr>
          <w:spacing w:val="-8"/>
        </w:rPr>
        <w:t> </w:t>
      </w:r>
      <w:r>
        <w:rPr/>
        <w:t>available</w:t>
      </w:r>
      <w:r>
        <w:rPr>
          <w:spacing w:val="-6"/>
        </w:rPr>
        <w:t> </w:t>
      </w:r>
      <w:r>
        <w:rPr/>
        <w:t>throughout this document.</w:t>
      </w:r>
    </w:p>
    <w:p>
      <w:pPr>
        <w:pStyle w:val="BodyText"/>
        <w:spacing w:before="8"/>
        <w:rPr>
          <w:sz w:val="19"/>
        </w:rPr>
      </w:pPr>
      <w:r>
        <w:rPr/>
        <w:drawing>
          <wp:anchor distT="0" distB="0" distL="0" distR="0" allowOverlap="1" layoutInCell="1" locked="0" behindDoc="0" simplePos="0" relativeHeight="12">
            <wp:simplePos x="0" y="0"/>
            <wp:positionH relativeFrom="page">
              <wp:posOffset>896112</wp:posOffset>
            </wp:positionH>
            <wp:positionV relativeFrom="paragraph">
              <wp:posOffset>159620</wp:posOffset>
            </wp:positionV>
            <wp:extent cx="5802029" cy="5926169"/>
            <wp:effectExtent l="0" t="0" r="0" b="0"/>
            <wp:wrapTopAndBottom/>
            <wp:docPr id="21" name="image12.png"/>
            <wp:cNvGraphicFramePr>
              <a:graphicFrameLocks noChangeAspect="1"/>
            </wp:cNvGraphicFramePr>
            <a:graphic>
              <a:graphicData uri="http://schemas.openxmlformats.org/drawingml/2006/picture">
                <pic:pic>
                  <pic:nvPicPr>
                    <pic:cNvPr id="22" name="image12.png"/>
                    <pic:cNvPicPr/>
                  </pic:nvPicPr>
                  <pic:blipFill>
                    <a:blip r:embed="rId22" cstate="print"/>
                    <a:stretch>
                      <a:fillRect/>
                    </a:stretch>
                  </pic:blipFill>
                  <pic:spPr>
                    <a:xfrm>
                      <a:off x="0" y="0"/>
                      <a:ext cx="5802029" cy="5926169"/>
                    </a:xfrm>
                    <a:prstGeom prst="rect">
                      <a:avLst/>
                    </a:prstGeom>
                  </pic:spPr>
                </pic:pic>
              </a:graphicData>
            </a:graphic>
          </wp:anchor>
        </w:drawing>
      </w:r>
    </w:p>
    <w:p>
      <w:pPr>
        <w:spacing w:after="0"/>
        <w:rPr>
          <w:sz w:val="19"/>
        </w:rPr>
        <w:sectPr>
          <w:pgSz w:w="11910" w:h="16840"/>
          <w:pgMar w:header="0" w:footer="375" w:top="480" w:bottom="560" w:left="460" w:right="160"/>
        </w:sectPr>
      </w:pPr>
    </w:p>
    <w:p>
      <w:pPr>
        <w:pStyle w:val="Heading1"/>
        <w:numPr>
          <w:ilvl w:val="1"/>
          <w:numId w:val="12"/>
        </w:numPr>
        <w:tabs>
          <w:tab w:pos="1034" w:val="left" w:leader="none"/>
          <w:tab w:pos="1035" w:val="left" w:leader="none"/>
        </w:tabs>
        <w:spacing w:line="240" w:lineRule="auto" w:before="70" w:after="0"/>
        <w:ind w:left="1034" w:right="0" w:hanging="644"/>
        <w:jc w:val="left"/>
      </w:pPr>
      <w:bookmarkStart w:name="_TOC_250023" w:id="9"/>
      <w:r>
        <w:rPr>
          <w:color w:val="4966AC"/>
        </w:rPr>
        <w:t>Link</w:t>
      </w:r>
      <w:r>
        <w:rPr>
          <w:color w:val="4966AC"/>
          <w:spacing w:val="-7"/>
        </w:rPr>
        <w:t> </w:t>
      </w:r>
      <w:r>
        <w:rPr>
          <w:color w:val="4966AC"/>
        </w:rPr>
        <w:t>to</w:t>
      </w:r>
      <w:r>
        <w:rPr>
          <w:color w:val="4966AC"/>
          <w:spacing w:val="-10"/>
        </w:rPr>
        <w:t> </w:t>
      </w:r>
      <w:r>
        <w:rPr>
          <w:color w:val="4966AC"/>
        </w:rPr>
        <w:t>the</w:t>
      </w:r>
      <w:r>
        <w:rPr>
          <w:color w:val="4966AC"/>
          <w:spacing w:val="-9"/>
        </w:rPr>
        <w:t> </w:t>
      </w:r>
      <w:r>
        <w:rPr>
          <w:color w:val="4966AC"/>
        </w:rPr>
        <w:t>Integrated</w:t>
      </w:r>
      <w:r>
        <w:rPr>
          <w:color w:val="4966AC"/>
          <w:spacing w:val="-7"/>
        </w:rPr>
        <w:t> </w:t>
      </w:r>
      <w:r>
        <w:rPr>
          <w:color w:val="4966AC"/>
        </w:rPr>
        <w:t>Planning</w:t>
      </w:r>
      <w:r>
        <w:rPr>
          <w:color w:val="4966AC"/>
          <w:spacing w:val="-9"/>
        </w:rPr>
        <w:t> </w:t>
      </w:r>
      <w:r>
        <w:rPr>
          <w:color w:val="4966AC"/>
        </w:rPr>
        <w:t>and</w:t>
      </w:r>
      <w:r>
        <w:rPr>
          <w:color w:val="4966AC"/>
          <w:spacing w:val="-8"/>
        </w:rPr>
        <w:t> </w:t>
      </w:r>
      <w:r>
        <w:rPr>
          <w:color w:val="4966AC"/>
        </w:rPr>
        <w:t>Reporting</w:t>
      </w:r>
      <w:r>
        <w:rPr>
          <w:color w:val="4966AC"/>
          <w:spacing w:val="-9"/>
        </w:rPr>
        <w:t> </w:t>
      </w:r>
      <w:bookmarkEnd w:id="9"/>
      <w:r>
        <w:rPr>
          <w:color w:val="4966AC"/>
          <w:spacing w:val="-2"/>
        </w:rPr>
        <w:t>Framework</w:t>
      </w:r>
    </w:p>
    <w:p>
      <w:pPr>
        <w:pStyle w:val="BodyText"/>
        <w:spacing w:before="251"/>
        <w:ind w:left="391" w:right="399"/>
        <w:jc w:val="both"/>
      </w:pPr>
      <w:r>
        <w:rPr/>
        <w:t>This section describes how the Budget links to the achievement of the Council Plan within Council’s overall integrated</w:t>
      </w:r>
      <w:r>
        <w:rPr>
          <w:spacing w:val="-11"/>
        </w:rPr>
        <w:t> </w:t>
      </w:r>
      <w:r>
        <w:rPr/>
        <w:t>planning</w:t>
      </w:r>
      <w:r>
        <w:rPr>
          <w:spacing w:val="-11"/>
        </w:rPr>
        <w:t> </w:t>
      </w:r>
      <w:r>
        <w:rPr/>
        <w:t>and</w:t>
      </w:r>
      <w:r>
        <w:rPr>
          <w:spacing w:val="-12"/>
        </w:rPr>
        <w:t> </w:t>
      </w:r>
      <w:r>
        <w:rPr/>
        <w:t>reporting</w:t>
      </w:r>
      <w:r>
        <w:rPr>
          <w:spacing w:val="-11"/>
        </w:rPr>
        <w:t> </w:t>
      </w:r>
      <w:r>
        <w:rPr/>
        <w:t>framework.</w:t>
      </w:r>
      <w:r>
        <w:rPr>
          <w:spacing w:val="-11"/>
        </w:rPr>
        <w:t> </w:t>
      </w:r>
      <w:r>
        <w:rPr/>
        <w:t>This</w:t>
      </w:r>
      <w:r>
        <w:rPr>
          <w:spacing w:val="-11"/>
        </w:rPr>
        <w:t> </w:t>
      </w:r>
      <w:r>
        <w:rPr/>
        <w:t>Framework</w:t>
      </w:r>
      <w:r>
        <w:rPr>
          <w:spacing w:val="-13"/>
        </w:rPr>
        <w:t> </w:t>
      </w:r>
      <w:r>
        <w:rPr/>
        <w:t>guides</w:t>
      </w:r>
      <w:r>
        <w:rPr>
          <w:spacing w:val="-11"/>
        </w:rPr>
        <w:t> </w:t>
      </w:r>
      <w:r>
        <w:rPr/>
        <w:t>Council</w:t>
      </w:r>
      <w:r>
        <w:rPr>
          <w:spacing w:val="-11"/>
        </w:rPr>
        <w:t> </w:t>
      </w:r>
      <w:r>
        <w:rPr/>
        <w:t>in</w:t>
      </w:r>
      <w:r>
        <w:rPr>
          <w:spacing w:val="-11"/>
        </w:rPr>
        <w:t> </w:t>
      </w:r>
      <w:r>
        <w:rPr/>
        <w:t>identifying</w:t>
      </w:r>
      <w:r>
        <w:rPr>
          <w:spacing w:val="-11"/>
        </w:rPr>
        <w:t> </w:t>
      </w:r>
      <w:r>
        <w:rPr/>
        <w:t>community</w:t>
      </w:r>
      <w:r>
        <w:rPr>
          <w:spacing w:val="-11"/>
        </w:rPr>
        <w:t> </w:t>
      </w:r>
      <w:r>
        <w:rPr/>
        <w:t>needs and aspirations over the long term (Maroondah 2050 Community Vision, Financial Plan and Asset Plan), medium term (Council Plan 2025-2029, Workforce Plan and Revenue and Rating Plan) and short term (Service Delivery Plans and Budget) and subsequently holding itself accountable (Annual Report).</w:t>
      </w:r>
    </w:p>
    <w:p>
      <w:pPr>
        <w:pStyle w:val="BodyText"/>
        <w:spacing w:before="3"/>
      </w:pPr>
    </w:p>
    <w:p>
      <w:pPr>
        <w:pStyle w:val="Heading2"/>
        <w:numPr>
          <w:ilvl w:val="2"/>
          <w:numId w:val="12"/>
        </w:numPr>
        <w:tabs>
          <w:tab w:pos="861" w:val="left" w:leader="none"/>
        </w:tabs>
        <w:spacing w:line="240" w:lineRule="auto" w:before="0" w:after="0"/>
        <w:ind w:left="860" w:right="0" w:hanging="470"/>
        <w:jc w:val="left"/>
      </w:pPr>
      <w:bookmarkStart w:name="_TOC_250022" w:id="10"/>
      <w:r>
        <w:rPr>
          <w:color w:val="4966AC"/>
        </w:rPr>
        <w:t>Legislative</w:t>
      </w:r>
      <w:r>
        <w:rPr>
          <w:color w:val="4966AC"/>
          <w:spacing w:val="-11"/>
        </w:rPr>
        <w:t> </w:t>
      </w:r>
      <w:r>
        <w:rPr>
          <w:color w:val="4966AC"/>
        </w:rPr>
        <w:t>planning</w:t>
      </w:r>
      <w:r>
        <w:rPr>
          <w:color w:val="4966AC"/>
          <w:spacing w:val="-2"/>
        </w:rPr>
        <w:t> </w:t>
      </w:r>
      <w:r>
        <w:rPr>
          <w:color w:val="4966AC"/>
        </w:rPr>
        <w:t>and</w:t>
      </w:r>
      <w:r>
        <w:rPr>
          <w:color w:val="4966AC"/>
          <w:spacing w:val="-4"/>
        </w:rPr>
        <w:t> </w:t>
      </w:r>
      <w:r>
        <w:rPr>
          <w:color w:val="4966AC"/>
        </w:rPr>
        <w:t>accountability</w:t>
      </w:r>
      <w:r>
        <w:rPr>
          <w:color w:val="4966AC"/>
          <w:spacing w:val="-5"/>
        </w:rPr>
        <w:t> </w:t>
      </w:r>
      <w:bookmarkEnd w:id="10"/>
      <w:r>
        <w:rPr>
          <w:color w:val="4966AC"/>
          <w:spacing w:val="-2"/>
        </w:rPr>
        <w:t>framework</w:t>
      </w:r>
    </w:p>
    <w:p>
      <w:pPr>
        <w:pStyle w:val="BodyText"/>
        <w:spacing w:before="250"/>
        <w:ind w:left="391" w:right="445"/>
      </w:pPr>
      <w:r>
        <w:rPr/>
        <w:t>Council</w:t>
      </w:r>
      <w:r>
        <w:rPr>
          <w:spacing w:val="-3"/>
        </w:rPr>
        <w:t> </w:t>
      </w:r>
      <w:r>
        <w:rPr/>
        <w:t>uses</w:t>
      </w:r>
      <w:r>
        <w:rPr>
          <w:spacing w:val="-3"/>
        </w:rPr>
        <w:t> </w:t>
      </w:r>
      <w:r>
        <w:rPr/>
        <w:t>an</w:t>
      </w:r>
      <w:r>
        <w:rPr>
          <w:spacing w:val="-5"/>
        </w:rPr>
        <w:t> </w:t>
      </w:r>
      <w:r>
        <w:rPr/>
        <w:t>Integrated</w:t>
      </w:r>
      <w:r>
        <w:rPr>
          <w:spacing w:val="-3"/>
        </w:rPr>
        <w:t> </w:t>
      </w:r>
      <w:r>
        <w:rPr/>
        <w:t>Planning</w:t>
      </w:r>
      <w:r>
        <w:rPr>
          <w:spacing w:val="-3"/>
        </w:rPr>
        <w:t> </w:t>
      </w:r>
      <w:r>
        <w:rPr/>
        <w:t>and</w:t>
      </w:r>
      <w:r>
        <w:rPr>
          <w:spacing w:val="-3"/>
        </w:rPr>
        <w:t> </w:t>
      </w:r>
      <w:r>
        <w:rPr/>
        <w:t>Reporting</w:t>
      </w:r>
      <w:r>
        <w:rPr>
          <w:spacing w:val="-2"/>
        </w:rPr>
        <w:t> </w:t>
      </w:r>
      <w:r>
        <w:rPr/>
        <w:t>Framework</w:t>
      </w:r>
      <w:r>
        <w:rPr>
          <w:spacing w:val="-5"/>
        </w:rPr>
        <w:t> </w:t>
      </w:r>
      <w:r>
        <w:rPr/>
        <w:t>to</w:t>
      </w:r>
      <w:r>
        <w:rPr>
          <w:spacing w:val="-5"/>
        </w:rPr>
        <w:t> </w:t>
      </w:r>
      <w:r>
        <w:rPr/>
        <w:t>strategically</w:t>
      </w:r>
      <w:r>
        <w:rPr>
          <w:spacing w:val="-1"/>
        </w:rPr>
        <w:t> </w:t>
      </w:r>
      <w:r>
        <w:rPr/>
        <w:t>connect</w:t>
      </w:r>
      <w:r>
        <w:rPr>
          <w:spacing w:val="-2"/>
        </w:rPr>
        <w:t> </w:t>
      </w:r>
      <w:r>
        <w:rPr/>
        <w:t>the</w:t>
      </w:r>
      <w:r>
        <w:rPr>
          <w:spacing w:val="-4"/>
        </w:rPr>
        <w:t> </w:t>
      </w:r>
      <w:r>
        <w:rPr/>
        <w:t>long-term aspirations, priorities and needs of the Maroondah community to the long, medium, and short-term strategies, plans, policies and resources of Council.</w:t>
      </w:r>
    </w:p>
    <w:p>
      <w:pPr>
        <w:pStyle w:val="BodyText"/>
        <w:spacing w:before="1"/>
      </w:pPr>
    </w:p>
    <w:p>
      <w:pPr>
        <w:pStyle w:val="BodyText"/>
        <w:ind w:left="391" w:right="445"/>
      </w:pPr>
      <w:r>
        <w:rPr/>
        <w:t>The</w:t>
      </w:r>
      <w:r>
        <w:rPr>
          <w:spacing w:val="-4"/>
        </w:rPr>
        <w:t> </w:t>
      </w:r>
      <w:r>
        <w:rPr/>
        <w:t>Framework</w:t>
      </w:r>
      <w:r>
        <w:rPr>
          <w:spacing w:val="-6"/>
        </w:rPr>
        <w:t> </w:t>
      </w:r>
      <w:r>
        <w:rPr/>
        <w:t>ensures</w:t>
      </w:r>
      <w:r>
        <w:rPr>
          <w:spacing w:val="-6"/>
        </w:rPr>
        <w:t> </w:t>
      </w:r>
      <w:r>
        <w:rPr/>
        <w:t>alignment</w:t>
      </w:r>
      <w:r>
        <w:rPr>
          <w:spacing w:val="-2"/>
        </w:rPr>
        <w:t> </w:t>
      </w:r>
      <w:r>
        <w:rPr/>
        <w:t>between</w:t>
      </w:r>
      <w:r>
        <w:rPr>
          <w:spacing w:val="-3"/>
        </w:rPr>
        <w:t> </w:t>
      </w:r>
      <w:r>
        <w:rPr/>
        <w:t>Council’s</w:t>
      </w:r>
      <w:r>
        <w:rPr>
          <w:spacing w:val="-4"/>
        </w:rPr>
        <w:t> </w:t>
      </w:r>
      <w:r>
        <w:rPr/>
        <w:t>planning,</w:t>
      </w:r>
      <w:r>
        <w:rPr>
          <w:spacing w:val="-2"/>
        </w:rPr>
        <w:t> </w:t>
      </w:r>
      <w:r>
        <w:rPr/>
        <w:t>service</w:t>
      </w:r>
      <w:r>
        <w:rPr>
          <w:spacing w:val="-2"/>
        </w:rPr>
        <w:t> </w:t>
      </w:r>
      <w:r>
        <w:rPr/>
        <w:t>delivery</w:t>
      </w:r>
      <w:r>
        <w:rPr>
          <w:spacing w:val="-4"/>
        </w:rPr>
        <w:t> </w:t>
      </w:r>
      <w:r>
        <w:rPr/>
        <w:t>and</w:t>
      </w:r>
      <w:r>
        <w:rPr>
          <w:spacing w:val="-6"/>
        </w:rPr>
        <w:t> </w:t>
      </w:r>
      <w:r>
        <w:rPr/>
        <w:t>performance monitoring and reporting activities.</w:t>
      </w:r>
    </w:p>
    <w:p>
      <w:pPr>
        <w:pStyle w:val="BodyText"/>
        <w:spacing w:before="11"/>
        <w:rPr>
          <w:sz w:val="21"/>
        </w:rPr>
      </w:pPr>
    </w:p>
    <w:p>
      <w:pPr>
        <w:pStyle w:val="BodyText"/>
        <w:spacing w:after="2"/>
        <w:ind w:left="391" w:right="961"/>
        <w:jc w:val="both"/>
      </w:pPr>
      <w:r>
        <w:rPr/>
        <w:t>The Framework</w:t>
      </w:r>
      <w:r>
        <w:rPr>
          <w:spacing w:val="-2"/>
        </w:rPr>
        <w:t> </w:t>
      </w:r>
      <w:r>
        <w:rPr/>
        <w:t>also enables our organisation, our community and</w:t>
      </w:r>
      <w:r>
        <w:rPr>
          <w:spacing w:val="-1"/>
        </w:rPr>
        <w:t> </w:t>
      </w:r>
      <w:r>
        <w:rPr/>
        <w:t>our partners</w:t>
      </w:r>
      <w:r>
        <w:rPr>
          <w:spacing w:val="-2"/>
        </w:rPr>
        <w:t> </w:t>
      </w:r>
      <w:r>
        <w:rPr/>
        <w:t>to adapt and</w:t>
      </w:r>
      <w:r>
        <w:rPr>
          <w:spacing w:val="-2"/>
        </w:rPr>
        <w:t> </w:t>
      </w:r>
      <w:r>
        <w:rPr/>
        <w:t>prioritise initiatives, activities</w:t>
      </w:r>
      <w:r>
        <w:rPr>
          <w:spacing w:val="-2"/>
        </w:rPr>
        <w:t> </w:t>
      </w:r>
      <w:r>
        <w:rPr/>
        <w:t>and</w:t>
      </w:r>
      <w:r>
        <w:rPr>
          <w:spacing w:val="-5"/>
        </w:rPr>
        <w:t> </w:t>
      </w:r>
      <w:r>
        <w:rPr/>
        <w:t>actions</w:t>
      </w:r>
      <w:r>
        <w:rPr>
          <w:spacing w:val="-4"/>
        </w:rPr>
        <w:t> </w:t>
      </w:r>
      <w:r>
        <w:rPr/>
        <w:t>to</w:t>
      </w:r>
      <w:r>
        <w:rPr>
          <w:spacing w:val="-5"/>
        </w:rPr>
        <w:t> </w:t>
      </w:r>
      <w:r>
        <w:rPr/>
        <w:t>respond</w:t>
      </w:r>
      <w:r>
        <w:rPr>
          <w:spacing w:val="-4"/>
        </w:rPr>
        <w:t> </w:t>
      </w:r>
      <w:r>
        <w:rPr/>
        <w:t>to</w:t>
      </w:r>
      <w:r>
        <w:rPr>
          <w:spacing w:val="-5"/>
        </w:rPr>
        <w:t> </w:t>
      </w:r>
      <w:r>
        <w:rPr/>
        <w:t>community</w:t>
      </w:r>
      <w:r>
        <w:rPr>
          <w:spacing w:val="-2"/>
        </w:rPr>
        <w:t> </w:t>
      </w:r>
      <w:r>
        <w:rPr/>
        <w:t>needs</w:t>
      </w:r>
      <w:r>
        <w:rPr>
          <w:spacing w:val="-4"/>
        </w:rPr>
        <w:t> </w:t>
      </w:r>
      <w:r>
        <w:rPr/>
        <w:t>along</w:t>
      </w:r>
      <w:r>
        <w:rPr>
          <w:spacing w:val="-1"/>
        </w:rPr>
        <w:t> </w:t>
      </w:r>
      <w:r>
        <w:rPr/>
        <w:t>with</w:t>
      </w:r>
      <w:r>
        <w:rPr>
          <w:spacing w:val="-1"/>
        </w:rPr>
        <w:t> </w:t>
      </w:r>
      <w:r>
        <w:rPr/>
        <w:t>legislative</w:t>
      </w:r>
      <w:r>
        <w:rPr>
          <w:spacing w:val="-2"/>
        </w:rPr>
        <w:t> </w:t>
      </w:r>
      <w:r>
        <w:rPr/>
        <w:t>changes</w:t>
      </w:r>
      <w:r>
        <w:rPr>
          <w:spacing w:val="-2"/>
        </w:rPr>
        <w:t> </w:t>
      </w:r>
      <w:r>
        <w:rPr/>
        <w:t>as</w:t>
      </w:r>
      <w:r>
        <w:rPr>
          <w:spacing w:val="-4"/>
        </w:rPr>
        <w:t> </w:t>
      </w:r>
      <w:r>
        <w:rPr/>
        <w:t>they emerge and change over time.</w:t>
      </w:r>
    </w:p>
    <w:p>
      <w:pPr>
        <w:pStyle w:val="BodyText"/>
        <w:ind w:left="956"/>
        <w:rPr>
          <w:sz w:val="20"/>
        </w:rPr>
      </w:pPr>
      <w:r>
        <w:rPr>
          <w:sz w:val="20"/>
        </w:rPr>
        <w:drawing>
          <wp:inline distT="0" distB="0" distL="0" distR="0">
            <wp:extent cx="5994581" cy="5963793"/>
            <wp:effectExtent l="0" t="0" r="0" b="0"/>
            <wp:docPr id="23" name="image13.png"/>
            <wp:cNvGraphicFramePr>
              <a:graphicFrameLocks noChangeAspect="1"/>
            </wp:cNvGraphicFramePr>
            <a:graphic>
              <a:graphicData uri="http://schemas.openxmlformats.org/drawingml/2006/picture">
                <pic:pic>
                  <pic:nvPicPr>
                    <pic:cNvPr id="24" name="image13.png"/>
                    <pic:cNvPicPr/>
                  </pic:nvPicPr>
                  <pic:blipFill>
                    <a:blip r:embed="rId23" cstate="print"/>
                    <a:stretch>
                      <a:fillRect/>
                    </a:stretch>
                  </pic:blipFill>
                  <pic:spPr>
                    <a:xfrm>
                      <a:off x="0" y="0"/>
                      <a:ext cx="5994581" cy="5963793"/>
                    </a:xfrm>
                    <a:prstGeom prst="rect">
                      <a:avLst/>
                    </a:prstGeom>
                  </pic:spPr>
                </pic:pic>
              </a:graphicData>
            </a:graphic>
          </wp:inline>
        </w:drawing>
      </w:r>
      <w:r>
        <w:rPr>
          <w:sz w:val="20"/>
        </w:rPr>
      </w:r>
    </w:p>
    <w:p>
      <w:pPr>
        <w:spacing w:before="160"/>
        <w:ind w:left="1644" w:right="1655" w:firstLine="0"/>
        <w:jc w:val="center"/>
        <w:rPr>
          <w:i/>
          <w:sz w:val="22"/>
        </w:rPr>
      </w:pPr>
      <w:r>
        <w:rPr>
          <w:i/>
          <w:sz w:val="22"/>
        </w:rPr>
        <w:t>Figure</w:t>
      </w:r>
      <w:r>
        <w:rPr>
          <w:i/>
          <w:spacing w:val="-6"/>
          <w:sz w:val="22"/>
        </w:rPr>
        <w:t> </w:t>
      </w:r>
      <w:r>
        <w:rPr>
          <w:i/>
          <w:sz w:val="22"/>
        </w:rPr>
        <w:t>1:</w:t>
      </w:r>
      <w:r>
        <w:rPr>
          <w:i/>
          <w:spacing w:val="-6"/>
          <w:sz w:val="22"/>
        </w:rPr>
        <w:t> </w:t>
      </w:r>
      <w:r>
        <w:rPr>
          <w:i/>
          <w:sz w:val="22"/>
        </w:rPr>
        <w:t>Maroondah</w:t>
      </w:r>
      <w:r>
        <w:rPr>
          <w:i/>
          <w:spacing w:val="-6"/>
          <w:sz w:val="22"/>
        </w:rPr>
        <w:t> </w:t>
      </w:r>
      <w:r>
        <w:rPr>
          <w:i/>
          <w:sz w:val="22"/>
        </w:rPr>
        <w:t>City</w:t>
      </w:r>
      <w:r>
        <w:rPr>
          <w:i/>
          <w:spacing w:val="-4"/>
          <w:sz w:val="22"/>
        </w:rPr>
        <w:t> </w:t>
      </w:r>
      <w:r>
        <w:rPr>
          <w:i/>
          <w:sz w:val="22"/>
        </w:rPr>
        <w:t>Council’s</w:t>
      </w:r>
      <w:r>
        <w:rPr>
          <w:i/>
          <w:spacing w:val="-4"/>
          <w:sz w:val="22"/>
        </w:rPr>
        <w:t> </w:t>
      </w:r>
      <w:r>
        <w:rPr>
          <w:i/>
          <w:sz w:val="22"/>
        </w:rPr>
        <w:t>Integrated</w:t>
      </w:r>
      <w:r>
        <w:rPr>
          <w:i/>
          <w:spacing w:val="-7"/>
          <w:sz w:val="22"/>
        </w:rPr>
        <w:t> </w:t>
      </w:r>
      <w:r>
        <w:rPr>
          <w:i/>
          <w:sz w:val="22"/>
        </w:rPr>
        <w:t>Planning</w:t>
      </w:r>
      <w:r>
        <w:rPr>
          <w:i/>
          <w:spacing w:val="-3"/>
          <w:sz w:val="22"/>
        </w:rPr>
        <w:t> </w:t>
      </w:r>
      <w:r>
        <w:rPr>
          <w:i/>
          <w:sz w:val="22"/>
        </w:rPr>
        <w:t>and</w:t>
      </w:r>
      <w:r>
        <w:rPr>
          <w:i/>
          <w:spacing w:val="-2"/>
          <w:sz w:val="22"/>
        </w:rPr>
        <w:t> </w:t>
      </w:r>
      <w:r>
        <w:rPr>
          <w:i/>
          <w:sz w:val="22"/>
        </w:rPr>
        <w:t>Reporting</w:t>
      </w:r>
      <w:r>
        <w:rPr>
          <w:i/>
          <w:spacing w:val="-4"/>
          <w:sz w:val="22"/>
        </w:rPr>
        <w:t> </w:t>
      </w:r>
      <w:r>
        <w:rPr>
          <w:i/>
          <w:spacing w:val="-2"/>
          <w:sz w:val="22"/>
        </w:rPr>
        <w:t>Framework</w:t>
      </w:r>
    </w:p>
    <w:p>
      <w:pPr>
        <w:spacing w:after="0"/>
        <w:jc w:val="center"/>
        <w:rPr>
          <w:sz w:val="22"/>
        </w:rPr>
        <w:sectPr>
          <w:pgSz w:w="11910" w:h="16840"/>
          <w:pgMar w:header="0" w:footer="375" w:top="480" w:bottom="560" w:left="460" w:right="160"/>
        </w:sectPr>
      </w:pPr>
    </w:p>
    <w:p>
      <w:pPr>
        <w:pStyle w:val="BodyText"/>
        <w:spacing w:before="70"/>
        <w:ind w:left="391" w:right="404"/>
        <w:jc w:val="both"/>
      </w:pPr>
      <w:r>
        <w:rPr/>
        <w:t>The Budget is a rolling four-year plan that outlines the financial and non-financial resources that Council requires to achieve the strategic objectives described in the Council Plan.</w:t>
      </w:r>
    </w:p>
    <w:p>
      <w:pPr>
        <w:pStyle w:val="BodyText"/>
        <w:spacing w:before="11"/>
        <w:rPr>
          <w:sz w:val="21"/>
        </w:rPr>
      </w:pPr>
    </w:p>
    <w:p>
      <w:pPr>
        <w:pStyle w:val="BodyText"/>
        <w:ind w:left="391" w:right="398"/>
        <w:jc w:val="both"/>
      </w:pPr>
      <w:r>
        <w:rPr/>
        <w:t>The Budget that provides specific targets in relation to financial resources for the next financial year and a framework to ensure strategies and commitments are transformed into ‘on the ground’ results.</w:t>
      </w:r>
    </w:p>
    <w:p>
      <w:pPr>
        <w:pStyle w:val="BodyText"/>
        <w:spacing w:before="11"/>
        <w:rPr>
          <w:sz w:val="21"/>
        </w:rPr>
      </w:pPr>
    </w:p>
    <w:p>
      <w:pPr>
        <w:pStyle w:val="BodyText"/>
        <w:ind w:left="391" w:right="399"/>
        <w:jc w:val="both"/>
      </w:pPr>
      <w:r>
        <w:rPr/>
        <w:t>The Budget specifies goals against which Council can measure its progress and performance whilst also articulating sources of revenue and how that revenue is spent in delivering services and initiatives to the </w:t>
      </w:r>
      <w:r>
        <w:rPr>
          <w:spacing w:val="-2"/>
        </w:rPr>
        <w:t>community.</w:t>
      </w:r>
    </w:p>
    <w:p>
      <w:pPr>
        <w:pStyle w:val="Heading2"/>
        <w:numPr>
          <w:ilvl w:val="3"/>
          <w:numId w:val="12"/>
        </w:numPr>
        <w:tabs>
          <w:tab w:pos="1094" w:val="left" w:leader="none"/>
        </w:tabs>
        <w:spacing w:line="240" w:lineRule="auto" w:before="1" w:after="0"/>
        <w:ind w:left="1093" w:right="0" w:hanging="703"/>
        <w:jc w:val="left"/>
        <w:rPr>
          <w:color w:val="4966AC"/>
        </w:rPr>
      </w:pPr>
      <w:bookmarkStart w:name="_TOC_250021" w:id="11"/>
      <w:r>
        <w:rPr>
          <w:color w:val="4966AC"/>
        </w:rPr>
        <w:t>Key</w:t>
      </w:r>
      <w:r>
        <w:rPr>
          <w:color w:val="4966AC"/>
          <w:spacing w:val="-5"/>
        </w:rPr>
        <w:t> </w:t>
      </w:r>
      <w:r>
        <w:rPr>
          <w:color w:val="4966AC"/>
        </w:rPr>
        <w:t>planning </w:t>
      </w:r>
      <w:bookmarkEnd w:id="11"/>
      <w:r>
        <w:rPr>
          <w:color w:val="4966AC"/>
          <w:spacing w:val="-2"/>
        </w:rPr>
        <w:t>considerations</w:t>
      </w:r>
    </w:p>
    <w:p>
      <w:pPr>
        <w:pStyle w:val="BodyText"/>
        <w:spacing w:before="253"/>
        <w:ind w:left="391" w:right="401"/>
        <w:jc w:val="both"/>
      </w:pPr>
      <w:r>
        <w:rPr/>
        <w:t>Although councils have a legal obligation to provide some services— such as animal management, local roads, food safety and statutory planning—most council services are not legally mandated, including some services which are closely associated with councils, such as libraries, building permits and some sporting facilities. Furthermore, over time, the needs and expectations of communities can change.</w:t>
      </w:r>
    </w:p>
    <w:p>
      <w:pPr>
        <w:pStyle w:val="BodyText"/>
        <w:spacing w:before="11"/>
        <w:rPr>
          <w:sz w:val="21"/>
        </w:rPr>
      </w:pPr>
    </w:p>
    <w:p>
      <w:pPr>
        <w:pStyle w:val="BodyText"/>
        <w:ind w:left="391" w:right="401"/>
        <w:jc w:val="both"/>
      </w:pPr>
      <w:r>
        <w:rPr/>
        <w:t>Councils</w:t>
      </w:r>
      <w:r>
        <w:rPr>
          <w:spacing w:val="-4"/>
        </w:rPr>
        <w:t> </w:t>
      </w:r>
      <w:r>
        <w:rPr/>
        <w:t>need</w:t>
      </w:r>
      <w:r>
        <w:rPr>
          <w:spacing w:val="-6"/>
        </w:rPr>
        <w:t> </w:t>
      </w:r>
      <w:r>
        <w:rPr/>
        <w:t>to</w:t>
      </w:r>
      <w:r>
        <w:rPr>
          <w:spacing w:val="-8"/>
        </w:rPr>
        <w:t> </w:t>
      </w:r>
      <w:r>
        <w:rPr/>
        <w:t>implement</w:t>
      </w:r>
      <w:r>
        <w:rPr>
          <w:spacing w:val="-6"/>
        </w:rPr>
        <w:t> </w:t>
      </w:r>
      <w:r>
        <w:rPr/>
        <w:t>robust</w:t>
      </w:r>
      <w:r>
        <w:rPr>
          <w:spacing w:val="-8"/>
        </w:rPr>
        <w:t> </w:t>
      </w:r>
      <w:r>
        <w:rPr/>
        <w:t>processes</w:t>
      </w:r>
      <w:r>
        <w:rPr>
          <w:spacing w:val="-8"/>
        </w:rPr>
        <w:t> </w:t>
      </w:r>
      <w:r>
        <w:rPr/>
        <w:t>for</w:t>
      </w:r>
      <w:r>
        <w:rPr>
          <w:spacing w:val="-11"/>
        </w:rPr>
        <w:t> </w:t>
      </w:r>
      <w:r>
        <w:rPr/>
        <w:t>service</w:t>
      </w:r>
      <w:r>
        <w:rPr>
          <w:spacing w:val="-6"/>
        </w:rPr>
        <w:t> </w:t>
      </w:r>
      <w:r>
        <w:rPr/>
        <w:t>planning</w:t>
      </w:r>
      <w:r>
        <w:rPr>
          <w:spacing w:val="-6"/>
        </w:rPr>
        <w:t> </w:t>
      </w:r>
      <w:r>
        <w:rPr/>
        <w:t>and</w:t>
      </w:r>
      <w:r>
        <w:rPr>
          <w:spacing w:val="-8"/>
        </w:rPr>
        <w:t> </w:t>
      </w:r>
      <w:r>
        <w:rPr/>
        <w:t>review</w:t>
      </w:r>
      <w:r>
        <w:rPr>
          <w:spacing w:val="-8"/>
        </w:rPr>
        <w:t> </w:t>
      </w:r>
      <w:r>
        <w:rPr/>
        <w:t>to</w:t>
      </w:r>
      <w:r>
        <w:rPr>
          <w:spacing w:val="-10"/>
        </w:rPr>
        <w:t> </w:t>
      </w:r>
      <w:r>
        <w:rPr/>
        <w:t>ensure</w:t>
      </w:r>
      <w:r>
        <w:rPr>
          <w:spacing w:val="-10"/>
        </w:rPr>
        <w:t> </w:t>
      </w:r>
      <w:r>
        <w:rPr/>
        <w:t>all</w:t>
      </w:r>
      <w:r>
        <w:rPr>
          <w:spacing w:val="-7"/>
        </w:rPr>
        <w:t> </w:t>
      </w:r>
      <w:r>
        <w:rPr/>
        <w:t>services</w:t>
      </w:r>
      <w:r>
        <w:rPr>
          <w:spacing w:val="-8"/>
        </w:rPr>
        <w:t> </w:t>
      </w:r>
      <w:r>
        <w:rPr/>
        <w:t>continue to provide value for money and are in line with community expectations. In doing so, councils engage with communities</w:t>
      </w:r>
      <w:r>
        <w:rPr>
          <w:spacing w:val="-14"/>
        </w:rPr>
        <w:t> </w:t>
      </w:r>
      <w:r>
        <w:rPr/>
        <w:t>to</w:t>
      </w:r>
      <w:r>
        <w:rPr>
          <w:spacing w:val="-13"/>
        </w:rPr>
        <w:t> </w:t>
      </w:r>
      <w:r>
        <w:rPr/>
        <w:t>determine</w:t>
      </w:r>
      <w:r>
        <w:rPr>
          <w:spacing w:val="-13"/>
        </w:rPr>
        <w:t> </w:t>
      </w:r>
      <w:r>
        <w:rPr/>
        <w:t>how</w:t>
      </w:r>
      <w:r>
        <w:rPr>
          <w:spacing w:val="-14"/>
        </w:rPr>
        <w:t> </w:t>
      </w:r>
      <w:r>
        <w:rPr/>
        <w:t>to</w:t>
      </w:r>
      <w:r>
        <w:rPr>
          <w:spacing w:val="-14"/>
        </w:rPr>
        <w:t> </w:t>
      </w:r>
      <w:r>
        <w:rPr/>
        <w:t>prioritise</w:t>
      </w:r>
      <w:r>
        <w:rPr>
          <w:spacing w:val="-13"/>
        </w:rPr>
        <w:t> </w:t>
      </w:r>
      <w:r>
        <w:rPr/>
        <w:t>resources</w:t>
      </w:r>
      <w:r>
        <w:rPr>
          <w:spacing w:val="-12"/>
        </w:rPr>
        <w:t> </w:t>
      </w:r>
      <w:r>
        <w:rPr/>
        <w:t>and</w:t>
      </w:r>
      <w:r>
        <w:rPr>
          <w:spacing w:val="-13"/>
        </w:rPr>
        <w:t> </w:t>
      </w:r>
      <w:r>
        <w:rPr/>
        <w:t>balance</w:t>
      </w:r>
      <w:r>
        <w:rPr>
          <w:spacing w:val="-14"/>
        </w:rPr>
        <w:t> </w:t>
      </w:r>
      <w:r>
        <w:rPr/>
        <w:t>service</w:t>
      </w:r>
      <w:r>
        <w:rPr>
          <w:spacing w:val="-16"/>
        </w:rPr>
        <w:t> </w:t>
      </w:r>
      <w:r>
        <w:rPr/>
        <w:t>provision</w:t>
      </w:r>
      <w:r>
        <w:rPr>
          <w:spacing w:val="-12"/>
        </w:rPr>
        <w:t> </w:t>
      </w:r>
      <w:r>
        <w:rPr/>
        <w:t>with</w:t>
      </w:r>
      <w:r>
        <w:rPr>
          <w:spacing w:val="-14"/>
        </w:rPr>
        <w:t> </w:t>
      </w:r>
      <w:r>
        <w:rPr/>
        <w:t>other</w:t>
      </w:r>
      <w:r>
        <w:rPr>
          <w:spacing w:val="-14"/>
        </w:rPr>
        <w:t> </w:t>
      </w:r>
      <w:r>
        <w:rPr/>
        <w:t>responsibilities such as asset maintenance and capital works. Community engagement needs to comply with Council’s adopted </w:t>
      </w:r>
      <w:r>
        <w:rPr>
          <w:i/>
        </w:rPr>
        <w:t>Community Engagement Policy </w:t>
      </w:r>
      <w:r>
        <w:rPr/>
        <w:t>and </w:t>
      </w:r>
      <w:r>
        <w:rPr>
          <w:i/>
        </w:rPr>
        <w:t>Public Transparency Policy</w:t>
      </w:r>
      <w:r>
        <w:rPr/>
        <w:t>.</w:t>
      </w:r>
    </w:p>
    <w:p>
      <w:pPr>
        <w:pStyle w:val="BodyText"/>
      </w:pPr>
    </w:p>
    <w:p>
      <w:pPr>
        <w:pStyle w:val="Heading2"/>
        <w:numPr>
          <w:ilvl w:val="3"/>
          <w:numId w:val="12"/>
        </w:numPr>
        <w:tabs>
          <w:tab w:pos="1094" w:val="left" w:leader="none"/>
        </w:tabs>
        <w:spacing w:line="240" w:lineRule="auto" w:before="0" w:after="0"/>
        <w:ind w:left="1093" w:right="0" w:hanging="703"/>
        <w:jc w:val="left"/>
        <w:rPr>
          <w:color w:val="4966AC"/>
        </w:rPr>
      </w:pPr>
      <w:bookmarkStart w:name="_TOC_250020" w:id="12"/>
      <w:r>
        <w:rPr>
          <w:color w:val="4966AC"/>
        </w:rPr>
        <w:t>What</w:t>
      </w:r>
      <w:r>
        <w:rPr>
          <w:color w:val="4966AC"/>
          <w:spacing w:val="-3"/>
        </w:rPr>
        <w:t> </w:t>
      </w:r>
      <w:r>
        <w:rPr>
          <w:color w:val="4966AC"/>
        </w:rPr>
        <w:t>Our</w:t>
      </w:r>
      <w:r>
        <w:rPr>
          <w:color w:val="4966AC"/>
          <w:spacing w:val="-3"/>
        </w:rPr>
        <w:t> </w:t>
      </w:r>
      <w:r>
        <w:rPr>
          <w:color w:val="4966AC"/>
        </w:rPr>
        <w:t>Community</w:t>
      </w:r>
      <w:bookmarkEnd w:id="12"/>
      <w:r>
        <w:rPr>
          <w:color w:val="4966AC"/>
          <w:spacing w:val="-4"/>
        </w:rPr>
        <w:t> Said</w:t>
      </w:r>
    </w:p>
    <w:p>
      <w:pPr>
        <w:pStyle w:val="BodyText"/>
        <w:spacing w:before="253"/>
        <w:ind w:left="391" w:right="399"/>
        <w:jc w:val="both"/>
      </w:pPr>
      <w:r>
        <w:rPr/>
        <w:t>The</w:t>
      </w:r>
      <w:r>
        <w:rPr>
          <w:spacing w:val="-4"/>
        </w:rPr>
        <w:t> </w:t>
      </w:r>
      <w:r>
        <w:rPr/>
        <w:t>Budget</w:t>
      </w:r>
      <w:r>
        <w:rPr>
          <w:spacing w:val="-1"/>
        </w:rPr>
        <w:t> </w:t>
      </w:r>
      <w:r>
        <w:rPr/>
        <w:t>2025/26</w:t>
      </w:r>
      <w:r>
        <w:rPr>
          <w:spacing w:val="-4"/>
        </w:rPr>
        <w:t> </w:t>
      </w:r>
      <w:r>
        <w:rPr/>
        <w:t>evolves</w:t>
      </w:r>
      <w:r>
        <w:rPr>
          <w:spacing w:val="-2"/>
        </w:rPr>
        <w:t> </w:t>
      </w:r>
      <w:r>
        <w:rPr/>
        <w:t>from</w:t>
      </w:r>
      <w:r>
        <w:rPr>
          <w:spacing w:val="-4"/>
        </w:rPr>
        <w:t> </w:t>
      </w:r>
      <w:r>
        <w:rPr/>
        <w:t>the</w:t>
      </w:r>
      <w:r>
        <w:rPr>
          <w:spacing w:val="-6"/>
        </w:rPr>
        <w:t> </w:t>
      </w:r>
      <w:r>
        <w:rPr/>
        <w:t>Maroondah</w:t>
      </w:r>
      <w:r>
        <w:rPr>
          <w:spacing w:val="-5"/>
        </w:rPr>
        <w:t> </w:t>
      </w:r>
      <w:r>
        <w:rPr/>
        <w:t>2050</w:t>
      </w:r>
      <w:r>
        <w:rPr>
          <w:spacing w:val="-4"/>
        </w:rPr>
        <w:t> </w:t>
      </w:r>
      <w:r>
        <w:rPr/>
        <w:t>Community</w:t>
      </w:r>
      <w:r>
        <w:rPr>
          <w:spacing w:val="-2"/>
        </w:rPr>
        <w:t> </w:t>
      </w:r>
      <w:r>
        <w:rPr/>
        <w:t>Vision.</w:t>
      </w:r>
      <w:r>
        <w:rPr>
          <w:spacing w:val="-4"/>
        </w:rPr>
        <w:t> </w:t>
      </w:r>
      <w:r>
        <w:rPr/>
        <w:t>Over</w:t>
      </w:r>
      <w:r>
        <w:rPr>
          <w:spacing w:val="-4"/>
        </w:rPr>
        <w:t> </w:t>
      </w:r>
      <w:r>
        <w:rPr/>
        <w:t>a</w:t>
      </w:r>
      <w:r>
        <w:rPr>
          <w:spacing w:val="-4"/>
        </w:rPr>
        <w:t> </w:t>
      </w:r>
      <w:r>
        <w:rPr/>
        <w:t>period</w:t>
      </w:r>
      <w:r>
        <w:rPr>
          <w:spacing w:val="-4"/>
        </w:rPr>
        <w:t> </w:t>
      </w:r>
      <w:r>
        <w:rPr/>
        <w:t>of</w:t>
      </w:r>
      <w:r>
        <w:rPr>
          <w:spacing w:val="-4"/>
        </w:rPr>
        <w:t> </w:t>
      </w:r>
      <w:r>
        <w:rPr/>
        <w:t>10</w:t>
      </w:r>
      <w:r>
        <w:rPr>
          <w:spacing w:val="-5"/>
        </w:rPr>
        <w:t> </w:t>
      </w:r>
      <w:r>
        <w:rPr/>
        <w:t>months</w:t>
      </w:r>
      <w:r>
        <w:rPr>
          <w:spacing w:val="-2"/>
        </w:rPr>
        <w:t> </w:t>
      </w:r>
      <w:r>
        <w:rPr/>
        <w:t>from August 2023, Council undertook an extensive community and stakeholder engagement process to provide all Maroondah community members with the opportunity to share their thoughts, aspirations, and ideas for the future of the municipality. surveys, workshops, pop-up events and online activities with the broader Maroondah community. Input was also sought from Council advisory committees, and targeted and underrepresented community members. These activities resulted in over 9800 contributions.</w:t>
      </w:r>
    </w:p>
    <w:p>
      <w:pPr>
        <w:pStyle w:val="BodyText"/>
      </w:pPr>
    </w:p>
    <w:p>
      <w:pPr>
        <w:spacing w:before="0"/>
        <w:ind w:left="391" w:right="402" w:firstLine="0"/>
        <w:jc w:val="both"/>
        <w:rPr>
          <w:sz w:val="22"/>
        </w:rPr>
      </w:pPr>
      <w:r>
        <w:rPr>
          <w:sz w:val="22"/>
        </w:rPr>
        <w:t>The</w:t>
      </w:r>
      <w:r>
        <w:rPr>
          <w:spacing w:val="-4"/>
          <w:sz w:val="22"/>
        </w:rPr>
        <w:t> </w:t>
      </w:r>
      <w:r>
        <w:rPr>
          <w:sz w:val="22"/>
        </w:rPr>
        <w:t>Budget</w:t>
      </w:r>
      <w:r>
        <w:rPr>
          <w:spacing w:val="-4"/>
          <w:sz w:val="22"/>
        </w:rPr>
        <w:t> </w:t>
      </w:r>
      <w:r>
        <w:rPr>
          <w:sz w:val="22"/>
        </w:rPr>
        <w:t>has</w:t>
      </w:r>
      <w:r>
        <w:rPr>
          <w:spacing w:val="-6"/>
          <w:sz w:val="22"/>
        </w:rPr>
        <w:t> </w:t>
      </w:r>
      <w:r>
        <w:rPr>
          <w:sz w:val="22"/>
        </w:rPr>
        <w:t>also</w:t>
      </w:r>
      <w:r>
        <w:rPr>
          <w:spacing w:val="-5"/>
          <w:sz w:val="22"/>
        </w:rPr>
        <w:t> </w:t>
      </w:r>
      <w:r>
        <w:rPr>
          <w:sz w:val="22"/>
        </w:rPr>
        <w:t>been</w:t>
      </w:r>
      <w:r>
        <w:rPr>
          <w:spacing w:val="-5"/>
          <w:sz w:val="22"/>
        </w:rPr>
        <w:t> </w:t>
      </w:r>
      <w:r>
        <w:rPr>
          <w:sz w:val="22"/>
        </w:rPr>
        <w:t>informed</w:t>
      </w:r>
      <w:r>
        <w:rPr>
          <w:spacing w:val="-5"/>
          <w:sz w:val="22"/>
        </w:rPr>
        <w:t> </w:t>
      </w:r>
      <w:r>
        <w:rPr>
          <w:sz w:val="22"/>
        </w:rPr>
        <w:t>by</w:t>
      </w:r>
      <w:r>
        <w:rPr>
          <w:spacing w:val="-6"/>
          <w:sz w:val="22"/>
        </w:rPr>
        <w:t> </w:t>
      </w:r>
      <w:r>
        <w:rPr>
          <w:sz w:val="22"/>
        </w:rPr>
        <w:t>the</w:t>
      </w:r>
      <w:r>
        <w:rPr>
          <w:spacing w:val="-6"/>
          <w:sz w:val="22"/>
        </w:rPr>
        <w:t> </w:t>
      </w:r>
      <w:r>
        <w:rPr>
          <w:sz w:val="22"/>
        </w:rPr>
        <w:t>outcomes</w:t>
      </w:r>
      <w:r>
        <w:rPr>
          <w:spacing w:val="-6"/>
          <w:sz w:val="22"/>
        </w:rPr>
        <w:t> </w:t>
      </w:r>
      <w:r>
        <w:rPr>
          <w:sz w:val="22"/>
        </w:rPr>
        <w:t>of</w:t>
      </w:r>
      <w:r>
        <w:rPr>
          <w:spacing w:val="-6"/>
          <w:sz w:val="22"/>
        </w:rPr>
        <w:t> </w:t>
      </w:r>
      <w:r>
        <w:rPr>
          <w:sz w:val="22"/>
        </w:rPr>
        <w:t>engagement</w:t>
      </w:r>
      <w:r>
        <w:rPr>
          <w:spacing w:val="-6"/>
          <w:sz w:val="22"/>
        </w:rPr>
        <w:t> </w:t>
      </w:r>
      <w:r>
        <w:rPr>
          <w:sz w:val="22"/>
        </w:rPr>
        <w:t>undertaken</w:t>
      </w:r>
      <w:r>
        <w:rPr>
          <w:spacing w:val="-10"/>
          <w:sz w:val="22"/>
        </w:rPr>
        <w:t> </w:t>
      </w:r>
      <w:r>
        <w:rPr>
          <w:sz w:val="22"/>
        </w:rPr>
        <w:t>for</w:t>
      </w:r>
      <w:r>
        <w:rPr>
          <w:spacing w:val="-8"/>
          <w:sz w:val="22"/>
        </w:rPr>
        <w:t> </w:t>
      </w:r>
      <w:r>
        <w:rPr>
          <w:sz w:val="22"/>
        </w:rPr>
        <w:t>the</w:t>
      </w:r>
      <w:r>
        <w:rPr>
          <w:spacing w:val="-5"/>
          <w:sz w:val="22"/>
        </w:rPr>
        <w:t> </w:t>
      </w:r>
      <w:r>
        <w:rPr>
          <w:sz w:val="22"/>
        </w:rPr>
        <w:t>Maroondah</w:t>
      </w:r>
      <w:r>
        <w:rPr>
          <w:spacing w:val="-4"/>
          <w:sz w:val="22"/>
        </w:rPr>
        <w:t> </w:t>
      </w:r>
      <w:r>
        <w:rPr>
          <w:sz w:val="22"/>
        </w:rPr>
        <w:t>COVID- 19 Recovery Plan, including over 3,000 community survey responses; and broad scale engagement for the </w:t>
      </w:r>
      <w:r>
        <w:rPr>
          <w:i/>
          <w:sz w:val="22"/>
        </w:rPr>
        <w:t>Maroondah Liveability, Wellbeing and Resilience Strategy 2021-2031</w:t>
      </w:r>
      <w:r>
        <w:rPr>
          <w:sz w:val="22"/>
        </w:rPr>
        <w:t>.</w:t>
      </w:r>
    </w:p>
    <w:p>
      <w:pPr>
        <w:pStyle w:val="BodyText"/>
        <w:spacing w:before="10"/>
        <w:rPr>
          <w:sz w:val="21"/>
        </w:rPr>
      </w:pPr>
    </w:p>
    <w:p>
      <w:pPr>
        <w:pStyle w:val="BodyText"/>
        <w:ind w:left="391" w:right="398"/>
        <w:jc w:val="both"/>
      </w:pPr>
      <w:r>
        <w:rPr/>
        <w:t>Between February and May 2024, a panel of 34 demographically representative community members volunteered their time to consider and make recommendations regarding the Maroondah 2050 Community Vision, Council Plan 2025-2029, and Council’s 10 year Financial and Asset Plans. Over five sessions, the panel</w:t>
      </w:r>
      <w:r>
        <w:rPr>
          <w:spacing w:val="-8"/>
        </w:rPr>
        <w:t> </w:t>
      </w:r>
      <w:r>
        <w:rPr/>
        <w:t>provided</w:t>
      </w:r>
      <w:r>
        <w:rPr>
          <w:spacing w:val="-10"/>
        </w:rPr>
        <w:t> </w:t>
      </w:r>
      <w:r>
        <w:rPr/>
        <w:t>their</w:t>
      </w:r>
      <w:r>
        <w:rPr>
          <w:spacing w:val="-7"/>
        </w:rPr>
        <w:t> </w:t>
      </w:r>
      <w:r>
        <w:rPr/>
        <w:t>thoughts</w:t>
      </w:r>
      <w:r>
        <w:rPr>
          <w:spacing w:val="-8"/>
        </w:rPr>
        <w:t> </w:t>
      </w:r>
      <w:r>
        <w:rPr/>
        <w:t>and</w:t>
      </w:r>
      <w:r>
        <w:rPr>
          <w:spacing w:val="-10"/>
        </w:rPr>
        <w:t> </w:t>
      </w:r>
      <w:r>
        <w:rPr/>
        <w:t>feedback</w:t>
      </w:r>
      <w:r>
        <w:rPr>
          <w:spacing w:val="-11"/>
        </w:rPr>
        <w:t> </w:t>
      </w:r>
      <w:r>
        <w:rPr/>
        <w:t>on</w:t>
      </w:r>
      <w:r>
        <w:rPr>
          <w:spacing w:val="-8"/>
        </w:rPr>
        <w:t> </w:t>
      </w:r>
      <w:r>
        <w:rPr/>
        <w:t>a</w:t>
      </w:r>
      <w:r>
        <w:rPr>
          <w:spacing w:val="-10"/>
        </w:rPr>
        <w:t> </w:t>
      </w:r>
      <w:r>
        <w:rPr/>
        <w:t>future</w:t>
      </w:r>
      <w:r>
        <w:rPr>
          <w:spacing w:val="-8"/>
        </w:rPr>
        <w:t> </w:t>
      </w:r>
      <w:r>
        <w:rPr/>
        <w:t>community</w:t>
      </w:r>
      <w:r>
        <w:rPr>
          <w:spacing w:val="-8"/>
        </w:rPr>
        <w:t> </w:t>
      </w:r>
      <w:r>
        <w:rPr/>
        <w:t>vision</w:t>
      </w:r>
      <w:r>
        <w:rPr>
          <w:spacing w:val="-8"/>
        </w:rPr>
        <w:t> </w:t>
      </w:r>
      <w:r>
        <w:rPr/>
        <w:t>for</w:t>
      </w:r>
      <w:r>
        <w:rPr>
          <w:spacing w:val="-6"/>
        </w:rPr>
        <w:t> </w:t>
      </w:r>
      <w:r>
        <w:rPr/>
        <w:t>Maroondah,</w:t>
      </w:r>
      <w:r>
        <w:rPr>
          <w:spacing w:val="-8"/>
        </w:rPr>
        <w:t> </w:t>
      </w:r>
      <w:r>
        <w:rPr/>
        <w:t>identified</w:t>
      </w:r>
      <w:r>
        <w:rPr>
          <w:spacing w:val="-8"/>
        </w:rPr>
        <w:t> </w:t>
      </w:r>
      <w:r>
        <w:rPr/>
        <w:t>some</w:t>
      </w:r>
      <w:r>
        <w:rPr>
          <w:spacing w:val="-10"/>
        </w:rPr>
        <w:t> </w:t>
      </w:r>
      <w:r>
        <w:rPr/>
        <w:t>key areas of focus, and discussed the priority activities that needed to be undertaken to achieve the vision.</w:t>
      </w:r>
    </w:p>
    <w:p>
      <w:pPr>
        <w:spacing w:after="0"/>
        <w:jc w:val="both"/>
        <w:sectPr>
          <w:pgSz w:w="11910" w:h="16840"/>
          <w:pgMar w:header="0" w:footer="375" w:top="480" w:bottom="560" w:left="460" w:right="160"/>
        </w:sectPr>
      </w:pPr>
    </w:p>
    <w:p>
      <w:pPr>
        <w:pStyle w:val="Heading2"/>
        <w:numPr>
          <w:ilvl w:val="2"/>
          <w:numId w:val="12"/>
        </w:numPr>
        <w:tabs>
          <w:tab w:pos="861" w:val="left" w:leader="none"/>
        </w:tabs>
        <w:spacing w:line="240" w:lineRule="auto" w:before="71" w:after="0"/>
        <w:ind w:left="860" w:right="0" w:hanging="470"/>
        <w:jc w:val="left"/>
      </w:pPr>
      <w:bookmarkStart w:name="_TOC_250019" w:id="13"/>
      <w:r>
        <w:rPr>
          <w:color w:val="4966AC"/>
        </w:rPr>
        <w:t>Our</w:t>
      </w:r>
      <w:r>
        <w:rPr>
          <w:color w:val="4966AC"/>
          <w:spacing w:val="-7"/>
        </w:rPr>
        <w:t> </w:t>
      </w:r>
      <w:r>
        <w:rPr>
          <w:color w:val="4966AC"/>
        </w:rPr>
        <w:t>mission</w:t>
      </w:r>
      <w:r>
        <w:rPr>
          <w:color w:val="4966AC"/>
          <w:spacing w:val="-1"/>
        </w:rPr>
        <w:t> </w:t>
      </w:r>
      <w:r>
        <w:rPr>
          <w:color w:val="4966AC"/>
        </w:rPr>
        <w:t>and</w:t>
      </w:r>
      <w:r>
        <w:rPr>
          <w:color w:val="4966AC"/>
          <w:spacing w:val="-4"/>
        </w:rPr>
        <w:t> </w:t>
      </w:r>
      <w:bookmarkEnd w:id="13"/>
      <w:r>
        <w:rPr>
          <w:color w:val="4966AC"/>
          <w:spacing w:val="-2"/>
        </w:rPr>
        <w:t>values</w:t>
      </w:r>
    </w:p>
    <w:p>
      <w:pPr>
        <w:pStyle w:val="BodyText"/>
        <w:spacing w:before="7"/>
        <w:rPr>
          <w:b/>
          <w:sz w:val="23"/>
        </w:rPr>
      </w:pPr>
    </w:p>
    <w:p>
      <w:pPr>
        <w:pStyle w:val="Heading3"/>
        <w:rPr>
          <w:i/>
        </w:rPr>
      </w:pPr>
      <w:bookmarkStart w:name="_TOC_250018" w:id="14"/>
      <w:r>
        <w:rPr>
          <w:i/>
          <w:color w:val="5B80AC"/>
        </w:rPr>
        <w:t>Our </w:t>
      </w:r>
      <w:bookmarkEnd w:id="14"/>
      <w:r>
        <w:rPr>
          <w:i/>
          <w:color w:val="5B80AC"/>
          <w:spacing w:val="-2"/>
        </w:rPr>
        <w:t>Mission</w:t>
      </w:r>
    </w:p>
    <w:p>
      <w:pPr>
        <w:pStyle w:val="BodyText"/>
        <w:spacing w:before="65"/>
        <w:ind w:left="391"/>
        <w:jc w:val="both"/>
      </w:pPr>
      <w:r>
        <w:rPr/>
        <w:t>We</w:t>
      </w:r>
      <w:r>
        <w:rPr>
          <w:spacing w:val="-5"/>
        </w:rPr>
        <w:t> </w:t>
      </w:r>
      <w:r>
        <w:rPr/>
        <w:t>are</w:t>
      </w:r>
      <w:r>
        <w:rPr>
          <w:spacing w:val="-5"/>
        </w:rPr>
        <w:t> </w:t>
      </w:r>
      <w:r>
        <w:rPr/>
        <w:t>dynamic</w:t>
      </w:r>
      <w:r>
        <w:rPr>
          <w:spacing w:val="-3"/>
        </w:rPr>
        <w:t> </w:t>
      </w:r>
      <w:r>
        <w:rPr/>
        <w:t>and</w:t>
      </w:r>
      <w:r>
        <w:rPr>
          <w:spacing w:val="-4"/>
        </w:rPr>
        <w:t> </w:t>
      </w:r>
      <w:r>
        <w:rPr/>
        <w:t>innovative</w:t>
      </w:r>
      <w:r>
        <w:rPr>
          <w:spacing w:val="-3"/>
        </w:rPr>
        <w:t> </w:t>
      </w:r>
      <w:r>
        <w:rPr/>
        <w:t>leaders,</w:t>
      </w:r>
      <w:r>
        <w:rPr>
          <w:spacing w:val="-3"/>
        </w:rPr>
        <w:t> </w:t>
      </w:r>
      <w:r>
        <w:rPr/>
        <w:t>working</w:t>
      </w:r>
      <w:r>
        <w:rPr>
          <w:spacing w:val="-5"/>
        </w:rPr>
        <w:t> </w:t>
      </w:r>
      <w:r>
        <w:rPr/>
        <w:t>in</w:t>
      </w:r>
      <w:r>
        <w:rPr>
          <w:spacing w:val="-4"/>
        </w:rPr>
        <w:t> </w:t>
      </w:r>
      <w:r>
        <w:rPr/>
        <w:t>partnership</w:t>
      </w:r>
      <w:r>
        <w:rPr>
          <w:spacing w:val="-6"/>
        </w:rPr>
        <w:t> </w:t>
      </w:r>
      <w:r>
        <w:rPr/>
        <w:t>to</w:t>
      </w:r>
      <w:r>
        <w:rPr>
          <w:spacing w:val="-1"/>
        </w:rPr>
        <w:t> </w:t>
      </w:r>
      <w:r>
        <w:rPr/>
        <w:t>enhance</w:t>
      </w:r>
      <w:r>
        <w:rPr>
          <w:spacing w:val="-2"/>
        </w:rPr>
        <w:t> </w:t>
      </w:r>
      <w:r>
        <w:rPr/>
        <w:t>community</w:t>
      </w:r>
      <w:r>
        <w:rPr>
          <w:spacing w:val="-4"/>
        </w:rPr>
        <w:t> </w:t>
      </w:r>
      <w:r>
        <w:rPr>
          <w:spacing w:val="-2"/>
        </w:rPr>
        <w:t>wellbeing.</w:t>
      </w:r>
    </w:p>
    <w:p>
      <w:pPr>
        <w:pStyle w:val="BodyText"/>
        <w:spacing w:before="9"/>
        <w:rPr>
          <w:sz w:val="21"/>
        </w:rPr>
      </w:pPr>
    </w:p>
    <w:p>
      <w:pPr>
        <w:pStyle w:val="Heading3"/>
        <w:rPr>
          <w:i/>
        </w:rPr>
      </w:pPr>
      <w:bookmarkStart w:name="_TOC_250017" w:id="15"/>
      <w:r>
        <w:rPr>
          <w:i/>
          <w:color w:val="5B80AC"/>
        </w:rPr>
        <w:t>Our</w:t>
      </w:r>
      <w:r>
        <w:rPr>
          <w:i/>
          <w:color w:val="5B80AC"/>
          <w:spacing w:val="-3"/>
        </w:rPr>
        <w:t> </w:t>
      </w:r>
      <w:r>
        <w:rPr>
          <w:i/>
          <w:color w:val="5B80AC"/>
        </w:rPr>
        <w:t>Workplace</w:t>
      </w:r>
      <w:bookmarkEnd w:id="15"/>
      <w:r>
        <w:rPr>
          <w:i/>
          <w:color w:val="5B80AC"/>
          <w:spacing w:val="-2"/>
        </w:rPr>
        <w:t> Values</w:t>
      </w:r>
    </w:p>
    <w:p>
      <w:pPr>
        <w:pStyle w:val="ListParagraph"/>
        <w:numPr>
          <w:ilvl w:val="1"/>
          <w:numId w:val="2"/>
        </w:numPr>
        <w:tabs>
          <w:tab w:pos="958" w:val="left" w:leader="none"/>
          <w:tab w:pos="959" w:val="left" w:leader="none"/>
        </w:tabs>
        <w:spacing w:line="269" w:lineRule="exact" w:before="67" w:after="0"/>
        <w:ind w:left="958" w:right="0" w:hanging="568"/>
        <w:jc w:val="left"/>
        <w:rPr>
          <w:sz w:val="22"/>
        </w:rPr>
      </w:pPr>
      <w:r>
        <w:rPr>
          <w:sz w:val="22"/>
        </w:rPr>
        <w:t>We</w:t>
      </w:r>
      <w:r>
        <w:rPr>
          <w:spacing w:val="-4"/>
          <w:sz w:val="22"/>
        </w:rPr>
        <w:t> </w:t>
      </w:r>
      <w:r>
        <w:rPr>
          <w:sz w:val="22"/>
        </w:rPr>
        <w:t>are</w:t>
      </w:r>
      <w:r>
        <w:rPr>
          <w:spacing w:val="-5"/>
          <w:sz w:val="22"/>
        </w:rPr>
        <w:t> </w:t>
      </w:r>
      <w:r>
        <w:rPr>
          <w:b/>
          <w:sz w:val="22"/>
        </w:rPr>
        <w:t>ACCOUNTABLE</w:t>
      </w:r>
      <w:r>
        <w:rPr>
          <w:b/>
          <w:spacing w:val="-5"/>
          <w:sz w:val="22"/>
        </w:rPr>
        <w:t> </w:t>
      </w:r>
      <w:r>
        <w:rPr>
          <w:sz w:val="22"/>
        </w:rPr>
        <w:t>to</w:t>
      </w:r>
      <w:r>
        <w:rPr>
          <w:spacing w:val="-4"/>
          <w:sz w:val="22"/>
        </w:rPr>
        <w:t> </w:t>
      </w:r>
      <w:r>
        <w:rPr>
          <w:sz w:val="22"/>
        </w:rPr>
        <w:t>each</w:t>
      </w:r>
      <w:r>
        <w:rPr>
          <w:spacing w:val="-2"/>
          <w:sz w:val="22"/>
        </w:rPr>
        <w:t> </w:t>
      </w:r>
      <w:r>
        <w:rPr>
          <w:sz w:val="22"/>
        </w:rPr>
        <w:t>other</w:t>
      </w:r>
      <w:r>
        <w:rPr>
          <w:spacing w:val="-2"/>
          <w:sz w:val="22"/>
        </w:rPr>
        <w:t> </w:t>
      </w:r>
      <w:r>
        <w:rPr>
          <w:sz w:val="22"/>
        </w:rPr>
        <w:t>and</w:t>
      </w:r>
      <w:r>
        <w:rPr>
          <w:spacing w:val="-2"/>
          <w:sz w:val="22"/>
        </w:rPr>
        <w:t> </w:t>
      </w:r>
      <w:r>
        <w:rPr>
          <w:sz w:val="22"/>
        </w:rPr>
        <w:t>our</w:t>
      </w:r>
      <w:r>
        <w:rPr>
          <w:spacing w:val="-2"/>
          <w:sz w:val="22"/>
        </w:rPr>
        <w:t> community.</w:t>
      </w:r>
    </w:p>
    <w:p>
      <w:pPr>
        <w:pStyle w:val="ListParagraph"/>
        <w:numPr>
          <w:ilvl w:val="1"/>
          <w:numId w:val="2"/>
        </w:numPr>
        <w:tabs>
          <w:tab w:pos="958" w:val="left" w:leader="none"/>
          <w:tab w:pos="959" w:val="left" w:leader="none"/>
        </w:tabs>
        <w:spacing w:line="268" w:lineRule="exact" w:before="0" w:after="0"/>
        <w:ind w:left="958" w:right="0" w:hanging="568"/>
        <w:jc w:val="left"/>
        <w:rPr>
          <w:sz w:val="22"/>
        </w:rPr>
      </w:pPr>
      <w:r>
        <w:rPr>
          <w:sz w:val="22"/>
        </w:rPr>
        <w:t>We</w:t>
      </w:r>
      <w:r>
        <w:rPr>
          <w:spacing w:val="-5"/>
          <w:sz w:val="22"/>
        </w:rPr>
        <w:t> </w:t>
      </w:r>
      <w:r>
        <w:rPr>
          <w:sz w:val="22"/>
        </w:rPr>
        <w:t>collaborate</w:t>
      </w:r>
      <w:r>
        <w:rPr>
          <w:spacing w:val="-4"/>
          <w:sz w:val="22"/>
        </w:rPr>
        <w:t> </w:t>
      </w:r>
      <w:r>
        <w:rPr>
          <w:sz w:val="22"/>
        </w:rPr>
        <w:t>in</w:t>
      </w:r>
      <w:r>
        <w:rPr>
          <w:spacing w:val="-3"/>
          <w:sz w:val="22"/>
        </w:rPr>
        <w:t> </w:t>
      </w:r>
      <w:r>
        <w:rPr>
          <w:sz w:val="22"/>
        </w:rPr>
        <w:t>an</w:t>
      </w:r>
      <w:r>
        <w:rPr>
          <w:spacing w:val="-6"/>
          <w:sz w:val="22"/>
        </w:rPr>
        <w:t> </w:t>
      </w:r>
      <w:r>
        <w:rPr>
          <w:sz w:val="22"/>
        </w:rPr>
        <w:t>adaptable</w:t>
      </w:r>
      <w:r>
        <w:rPr>
          <w:spacing w:val="-4"/>
          <w:sz w:val="22"/>
        </w:rPr>
        <w:t> </w:t>
      </w:r>
      <w:r>
        <w:rPr>
          <w:sz w:val="22"/>
        </w:rPr>
        <w:t>and</w:t>
      </w:r>
      <w:r>
        <w:rPr>
          <w:spacing w:val="-5"/>
          <w:sz w:val="22"/>
        </w:rPr>
        <w:t> </w:t>
      </w:r>
      <w:r>
        <w:rPr>
          <w:b/>
          <w:sz w:val="22"/>
        </w:rPr>
        <w:t>SUPPORTIVE</w:t>
      </w:r>
      <w:r>
        <w:rPr>
          <w:b/>
          <w:spacing w:val="-6"/>
          <w:sz w:val="22"/>
        </w:rPr>
        <w:t> </w:t>
      </w:r>
      <w:r>
        <w:rPr>
          <w:spacing w:val="-2"/>
          <w:sz w:val="22"/>
        </w:rPr>
        <w:t>workplace.</w:t>
      </w:r>
    </w:p>
    <w:p>
      <w:pPr>
        <w:pStyle w:val="ListParagraph"/>
        <w:numPr>
          <w:ilvl w:val="1"/>
          <w:numId w:val="2"/>
        </w:numPr>
        <w:tabs>
          <w:tab w:pos="958" w:val="left" w:leader="none"/>
          <w:tab w:pos="959" w:val="left" w:leader="none"/>
        </w:tabs>
        <w:spacing w:line="268" w:lineRule="exact" w:before="0" w:after="0"/>
        <w:ind w:left="958" w:right="0" w:hanging="568"/>
        <w:jc w:val="left"/>
        <w:rPr>
          <w:sz w:val="22"/>
        </w:rPr>
      </w:pPr>
      <w:r>
        <w:rPr>
          <w:sz w:val="22"/>
        </w:rPr>
        <w:t>We</w:t>
      </w:r>
      <w:r>
        <w:rPr>
          <w:spacing w:val="-4"/>
          <w:sz w:val="22"/>
        </w:rPr>
        <w:t> </w:t>
      </w:r>
      <w:r>
        <w:rPr>
          <w:b/>
          <w:sz w:val="22"/>
        </w:rPr>
        <w:t>PERFORM</w:t>
      </w:r>
      <w:r>
        <w:rPr>
          <w:b/>
          <w:spacing w:val="-3"/>
          <w:sz w:val="22"/>
        </w:rPr>
        <w:t> </w:t>
      </w:r>
      <w:r>
        <w:rPr>
          <w:sz w:val="22"/>
        </w:rPr>
        <w:t>at</w:t>
      </w:r>
      <w:r>
        <w:rPr>
          <w:spacing w:val="-2"/>
          <w:sz w:val="22"/>
        </w:rPr>
        <w:t> </w:t>
      </w:r>
      <w:r>
        <w:rPr>
          <w:sz w:val="22"/>
        </w:rPr>
        <w:t>our</w:t>
      </w:r>
      <w:r>
        <w:rPr>
          <w:spacing w:val="-3"/>
          <w:sz w:val="22"/>
        </w:rPr>
        <w:t> </w:t>
      </w:r>
      <w:r>
        <w:rPr>
          <w:spacing w:val="-2"/>
          <w:sz w:val="22"/>
        </w:rPr>
        <w:t>best.</w:t>
      </w:r>
    </w:p>
    <w:p>
      <w:pPr>
        <w:pStyle w:val="ListParagraph"/>
        <w:numPr>
          <w:ilvl w:val="1"/>
          <w:numId w:val="2"/>
        </w:numPr>
        <w:tabs>
          <w:tab w:pos="958" w:val="left" w:leader="none"/>
          <w:tab w:pos="959" w:val="left" w:leader="none"/>
        </w:tabs>
        <w:spacing w:line="268" w:lineRule="exact" w:before="0" w:after="0"/>
        <w:ind w:left="958" w:right="0" w:hanging="568"/>
        <w:jc w:val="left"/>
        <w:rPr>
          <w:sz w:val="22"/>
        </w:rPr>
      </w:pPr>
      <w:r>
        <w:rPr>
          <w:sz w:val="22"/>
        </w:rPr>
        <w:t>We</w:t>
      </w:r>
      <w:r>
        <w:rPr>
          <w:spacing w:val="-2"/>
          <w:sz w:val="22"/>
        </w:rPr>
        <w:t> </w:t>
      </w:r>
      <w:r>
        <w:rPr>
          <w:sz w:val="22"/>
        </w:rPr>
        <w:t>are</w:t>
      </w:r>
      <w:r>
        <w:rPr>
          <w:spacing w:val="-5"/>
          <w:sz w:val="22"/>
        </w:rPr>
        <w:t> </w:t>
      </w:r>
      <w:r>
        <w:rPr>
          <w:sz w:val="22"/>
        </w:rPr>
        <w:t>open,</w:t>
      </w:r>
      <w:r>
        <w:rPr>
          <w:spacing w:val="-1"/>
          <w:sz w:val="22"/>
        </w:rPr>
        <w:t> </w:t>
      </w:r>
      <w:r>
        <w:rPr>
          <w:sz w:val="22"/>
        </w:rPr>
        <w:t>honest,</w:t>
      </w:r>
      <w:r>
        <w:rPr>
          <w:spacing w:val="-5"/>
          <w:sz w:val="22"/>
        </w:rPr>
        <w:t> </w:t>
      </w:r>
      <w:r>
        <w:rPr>
          <w:b/>
          <w:sz w:val="22"/>
        </w:rPr>
        <w:t>INCLUSIVE</w:t>
      </w:r>
      <w:r>
        <w:rPr>
          <w:b/>
          <w:spacing w:val="-4"/>
          <w:sz w:val="22"/>
        </w:rPr>
        <w:t> </w:t>
      </w:r>
      <w:r>
        <w:rPr>
          <w:sz w:val="22"/>
        </w:rPr>
        <w:t>and</w:t>
      </w:r>
      <w:r>
        <w:rPr>
          <w:spacing w:val="-3"/>
          <w:sz w:val="22"/>
        </w:rPr>
        <w:t> </w:t>
      </w:r>
      <w:r>
        <w:rPr>
          <w:sz w:val="22"/>
        </w:rPr>
        <w:t>act</w:t>
      </w:r>
      <w:r>
        <w:rPr>
          <w:spacing w:val="-1"/>
          <w:sz w:val="22"/>
        </w:rPr>
        <w:t> </w:t>
      </w:r>
      <w:r>
        <w:rPr>
          <w:sz w:val="22"/>
        </w:rPr>
        <w:t>with</w:t>
      </w:r>
      <w:r>
        <w:rPr>
          <w:spacing w:val="-4"/>
          <w:sz w:val="22"/>
        </w:rPr>
        <w:t> </w:t>
      </w:r>
      <w:r>
        <w:rPr>
          <w:spacing w:val="-2"/>
          <w:sz w:val="22"/>
        </w:rPr>
        <w:t>integrity.</w:t>
      </w:r>
    </w:p>
    <w:p>
      <w:pPr>
        <w:pStyle w:val="ListParagraph"/>
        <w:numPr>
          <w:ilvl w:val="1"/>
          <w:numId w:val="2"/>
        </w:numPr>
        <w:tabs>
          <w:tab w:pos="958" w:val="left" w:leader="none"/>
          <w:tab w:pos="959" w:val="left" w:leader="none"/>
        </w:tabs>
        <w:spacing w:line="268" w:lineRule="exact" w:before="0" w:after="0"/>
        <w:ind w:left="958" w:right="0" w:hanging="568"/>
        <w:jc w:val="left"/>
        <w:rPr>
          <w:b/>
          <w:sz w:val="22"/>
        </w:rPr>
      </w:pPr>
      <w:r>
        <w:rPr>
          <w:sz w:val="22"/>
        </w:rPr>
        <w:t>We</w:t>
      </w:r>
      <w:r>
        <w:rPr>
          <w:spacing w:val="-3"/>
          <w:sz w:val="22"/>
        </w:rPr>
        <w:t> </w:t>
      </w:r>
      <w:r>
        <w:rPr>
          <w:sz w:val="22"/>
        </w:rPr>
        <w:t>ensure</w:t>
      </w:r>
      <w:r>
        <w:rPr>
          <w:spacing w:val="-2"/>
          <w:sz w:val="22"/>
        </w:rPr>
        <w:t> </w:t>
      </w:r>
      <w:r>
        <w:rPr>
          <w:sz w:val="22"/>
        </w:rPr>
        <w:t>every</w:t>
      </w:r>
      <w:r>
        <w:rPr>
          <w:spacing w:val="-5"/>
          <w:sz w:val="22"/>
        </w:rPr>
        <w:t> </w:t>
      </w:r>
      <w:r>
        <w:rPr>
          <w:sz w:val="22"/>
        </w:rPr>
        <w:t>voice</w:t>
      </w:r>
      <w:r>
        <w:rPr>
          <w:spacing w:val="-5"/>
          <w:sz w:val="22"/>
        </w:rPr>
        <w:t> </w:t>
      </w:r>
      <w:r>
        <w:rPr>
          <w:sz w:val="22"/>
        </w:rPr>
        <w:t>is</w:t>
      </w:r>
      <w:r>
        <w:rPr>
          <w:spacing w:val="-4"/>
          <w:sz w:val="22"/>
        </w:rPr>
        <w:t> </w:t>
      </w:r>
      <w:r>
        <w:rPr>
          <w:sz w:val="22"/>
        </w:rPr>
        <w:t>heard,</w:t>
      </w:r>
      <w:r>
        <w:rPr>
          <w:spacing w:val="-1"/>
          <w:sz w:val="22"/>
        </w:rPr>
        <w:t> </w:t>
      </w:r>
      <w:r>
        <w:rPr>
          <w:sz w:val="22"/>
        </w:rPr>
        <w:t>valued,</w:t>
      </w:r>
      <w:r>
        <w:rPr>
          <w:spacing w:val="-1"/>
          <w:sz w:val="22"/>
        </w:rPr>
        <w:t> </w:t>
      </w:r>
      <w:r>
        <w:rPr>
          <w:sz w:val="22"/>
        </w:rPr>
        <w:t>and</w:t>
      </w:r>
      <w:r>
        <w:rPr>
          <w:spacing w:val="-4"/>
          <w:sz w:val="22"/>
        </w:rPr>
        <w:t> </w:t>
      </w:r>
      <w:r>
        <w:rPr>
          <w:b/>
          <w:spacing w:val="-2"/>
          <w:sz w:val="22"/>
        </w:rPr>
        <w:t>RESPECTED.</w:t>
      </w:r>
    </w:p>
    <w:p>
      <w:pPr>
        <w:pStyle w:val="ListParagraph"/>
        <w:numPr>
          <w:ilvl w:val="1"/>
          <w:numId w:val="2"/>
        </w:numPr>
        <w:tabs>
          <w:tab w:pos="958" w:val="left" w:leader="none"/>
          <w:tab w:pos="959" w:val="left" w:leader="none"/>
        </w:tabs>
        <w:spacing w:line="269" w:lineRule="exact" w:before="0" w:after="0"/>
        <w:ind w:left="958" w:right="0" w:hanging="568"/>
        <w:jc w:val="left"/>
        <w:rPr>
          <w:b/>
          <w:sz w:val="22"/>
        </w:rPr>
      </w:pPr>
      <w:r>
        <w:rPr>
          <w:sz w:val="22"/>
        </w:rPr>
        <w:t>We</w:t>
      </w:r>
      <w:r>
        <w:rPr>
          <w:spacing w:val="-1"/>
          <w:sz w:val="22"/>
        </w:rPr>
        <w:t> </w:t>
      </w:r>
      <w:r>
        <w:rPr>
          <w:sz w:val="22"/>
        </w:rPr>
        <w:t>are</w:t>
      </w:r>
      <w:r>
        <w:rPr>
          <w:spacing w:val="-3"/>
          <w:sz w:val="22"/>
        </w:rPr>
        <w:t> </w:t>
      </w:r>
      <w:r>
        <w:rPr>
          <w:sz w:val="22"/>
        </w:rPr>
        <w:t>brave,</w:t>
      </w:r>
      <w:r>
        <w:rPr>
          <w:spacing w:val="-3"/>
          <w:sz w:val="22"/>
        </w:rPr>
        <w:t> </w:t>
      </w:r>
      <w:r>
        <w:rPr>
          <w:sz w:val="22"/>
        </w:rPr>
        <w:t>bold</w:t>
      </w:r>
      <w:r>
        <w:rPr>
          <w:spacing w:val="-3"/>
          <w:sz w:val="22"/>
        </w:rPr>
        <w:t> </w:t>
      </w:r>
      <w:r>
        <w:rPr>
          <w:sz w:val="22"/>
        </w:rPr>
        <w:t>and</w:t>
      </w:r>
      <w:r>
        <w:rPr>
          <w:spacing w:val="-4"/>
          <w:sz w:val="22"/>
        </w:rPr>
        <w:t> </w:t>
      </w:r>
      <w:r>
        <w:rPr>
          <w:sz w:val="22"/>
        </w:rPr>
        <w:t>aspire to</w:t>
      </w:r>
      <w:r>
        <w:rPr>
          <w:spacing w:val="-3"/>
          <w:sz w:val="22"/>
        </w:rPr>
        <w:t> </w:t>
      </w:r>
      <w:r>
        <w:rPr>
          <w:b/>
          <w:spacing w:val="-2"/>
          <w:sz w:val="22"/>
        </w:rPr>
        <w:t>EXCELLENCE.</w:t>
      </w:r>
    </w:p>
    <w:p>
      <w:pPr>
        <w:pStyle w:val="BodyText"/>
        <w:spacing w:before="9"/>
        <w:rPr>
          <w:b/>
          <w:sz w:val="21"/>
        </w:rPr>
      </w:pPr>
    </w:p>
    <w:p>
      <w:pPr>
        <w:pStyle w:val="Heading2"/>
        <w:numPr>
          <w:ilvl w:val="2"/>
          <w:numId w:val="12"/>
        </w:numPr>
        <w:tabs>
          <w:tab w:pos="861" w:val="left" w:leader="none"/>
        </w:tabs>
        <w:spacing w:line="240" w:lineRule="auto" w:before="0" w:after="0"/>
        <w:ind w:left="860" w:right="0" w:hanging="470"/>
        <w:jc w:val="left"/>
      </w:pPr>
      <w:bookmarkStart w:name="_TOC_250016" w:id="16"/>
      <w:r>
        <w:rPr>
          <w:color w:val="4966AC"/>
        </w:rPr>
        <w:t>Strategic</w:t>
      </w:r>
      <w:r>
        <w:rPr>
          <w:color w:val="4966AC"/>
          <w:spacing w:val="-4"/>
        </w:rPr>
        <w:t> </w:t>
      </w:r>
      <w:bookmarkEnd w:id="16"/>
      <w:r>
        <w:rPr>
          <w:color w:val="4966AC"/>
          <w:spacing w:val="-2"/>
        </w:rPr>
        <w:t>Objectives</w:t>
      </w:r>
    </w:p>
    <w:p>
      <w:pPr>
        <w:pStyle w:val="BodyText"/>
        <w:spacing w:before="253"/>
        <w:ind w:left="391" w:right="397"/>
        <w:jc w:val="both"/>
      </w:pPr>
      <w:r>
        <w:rPr/>
        <w:t>The</w:t>
      </w:r>
      <w:r>
        <w:rPr>
          <w:spacing w:val="-4"/>
        </w:rPr>
        <w:t> </w:t>
      </w:r>
      <w:r>
        <w:rPr/>
        <w:t>Council</w:t>
      </w:r>
      <w:r>
        <w:rPr>
          <w:spacing w:val="-4"/>
        </w:rPr>
        <w:t> </w:t>
      </w:r>
      <w:r>
        <w:rPr/>
        <w:t>Plan</w:t>
      </w:r>
      <w:r>
        <w:rPr>
          <w:spacing w:val="-5"/>
        </w:rPr>
        <w:t> </w:t>
      </w:r>
      <w:r>
        <w:rPr/>
        <w:t>articulates</w:t>
      </w:r>
      <w:r>
        <w:rPr>
          <w:spacing w:val="-6"/>
        </w:rPr>
        <w:t> </w:t>
      </w:r>
      <w:r>
        <w:rPr/>
        <w:t>five</w:t>
      </w:r>
      <w:r>
        <w:rPr>
          <w:spacing w:val="-5"/>
        </w:rPr>
        <w:t> </w:t>
      </w:r>
      <w:r>
        <w:rPr/>
        <w:t>future</w:t>
      </w:r>
      <w:r>
        <w:rPr>
          <w:spacing w:val="-5"/>
        </w:rPr>
        <w:t> </w:t>
      </w:r>
      <w:r>
        <w:rPr/>
        <w:t>outcome</w:t>
      </w:r>
      <w:r>
        <w:rPr>
          <w:spacing w:val="-8"/>
        </w:rPr>
        <w:t> </w:t>
      </w:r>
      <w:r>
        <w:rPr/>
        <w:t>areas</w:t>
      </w:r>
      <w:r>
        <w:rPr>
          <w:spacing w:val="-6"/>
        </w:rPr>
        <w:t> </w:t>
      </w:r>
      <w:r>
        <w:rPr/>
        <w:t>(strategic</w:t>
      </w:r>
      <w:r>
        <w:rPr>
          <w:spacing w:val="-4"/>
        </w:rPr>
        <w:t> </w:t>
      </w:r>
      <w:r>
        <w:rPr/>
        <w:t>objectives),</w:t>
      </w:r>
      <w:r>
        <w:rPr>
          <w:spacing w:val="-6"/>
        </w:rPr>
        <w:t> </w:t>
      </w:r>
      <w:r>
        <w:rPr/>
        <w:t>each</w:t>
      </w:r>
      <w:r>
        <w:rPr>
          <w:spacing w:val="-6"/>
        </w:rPr>
        <w:t> </w:t>
      </w:r>
      <w:r>
        <w:rPr/>
        <w:t>with</w:t>
      </w:r>
      <w:r>
        <w:rPr>
          <w:spacing w:val="-5"/>
        </w:rPr>
        <w:t> </w:t>
      </w:r>
      <w:r>
        <w:rPr/>
        <w:t>a</w:t>
      </w:r>
      <w:r>
        <w:rPr>
          <w:spacing w:val="-6"/>
        </w:rPr>
        <w:t> </w:t>
      </w:r>
      <w:r>
        <w:rPr/>
        <w:t>set</w:t>
      </w:r>
      <w:r>
        <w:rPr>
          <w:spacing w:val="-4"/>
        </w:rPr>
        <w:t> </w:t>
      </w:r>
      <w:r>
        <w:rPr/>
        <w:t>of</w:t>
      </w:r>
      <w:r>
        <w:rPr>
          <w:spacing w:val="-6"/>
        </w:rPr>
        <w:t> </w:t>
      </w:r>
      <w:r>
        <w:rPr/>
        <w:t>four-year</w:t>
      </w:r>
      <w:r>
        <w:rPr>
          <w:spacing w:val="-4"/>
        </w:rPr>
        <w:t> </w:t>
      </w:r>
      <w:r>
        <w:rPr/>
        <w:t>key directions (strategies), priority actions (major initiatives), strategic indicators and supporting strategies and plans. The priority actions work towards the achievement of the key directions, and ultimately the outcome areas and the vision outlined in </w:t>
      </w:r>
      <w:r>
        <w:rPr>
          <w:i/>
        </w:rPr>
        <w:t>Maroondah 2050 - Our future together</w:t>
      </w:r>
      <w:r>
        <w:rPr/>
        <w:t>.</w:t>
      </w:r>
    </w:p>
    <w:p>
      <w:pPr>
        <w:pStyle w:val="BodyText"/>
      </w:pPr>
    </w:p>
    <w:p>
      <w:pPr>
        <w:pStyle w:val="BodyText"/>
        <w:ind w:left="391" w:right="400"/>
        <w:jc w:val="both"/>
      </w:pPr>
      <w:r>
        <w:rPr/>
        <w:t>Council</w:t>
      </w:r>
      <w:r>
        <w:rPr>
          <w:spacing w:val="-2"/>
        </w:rPr>
        <w:t> </w:t>
      </w:r>
      <w:r>
        <w:rPr/>
        <w:t>delivers</w:t>
      </w:r>
      <w:r>
        <w:rPr>
          <w:spacing w:val="-2"/>
        </w:rPr>
        <w:t> </w:t>
      </w:r>
      <w:r>
        <w:rPr/>
        <w:t>services</w:t>
      </w:r>
      <w:r>
        <w:rPr>
          <w:spacing w:val="-4"/>
        </w:rPr>
        <w:t> </w:t>
      </w:r>
      <w:r>
        <w:rPr/>
        <w:t>and</w:t>
      </w:r>
      <w:r>
        <w:rPr>
          <w:spacing w:val="-2"/>
        </w:rPr>
        <w:t> </w:t>
      </w:r>
      <w:r>
        <w:rPr/>
        <w:t>initiatives</w:t>
      </w:r>
      <w:r>
        <w:rPr>
          <w:spacing w:val="-2"/>
        </w:rPr>
        <w:t> </w:t>
      </w:r>
      <w:r>
        <w:rPr/>
        <w:t>across</w:t>
      </w:r>
      <w:r>
        <w:rPr>
          <w:spacing w:val="-2"/>
        </w:rPr>
        <w:t> </w:t>
      </w:r>
      <w:r>
        <w:rPr/>
        <w:t>15</w:t>
      </w:r>
      <w:r>
        <w:rPr>
          <w:spacing w:val="-3"/>
        </w:rPr>
        <w:t> </w:t>
      </w:r>
      <w:r>
        <w:rPr/>
        <w:t>service</w:t>
      </w:r>
      <w:r>
        <w:rPr>
          <w:spacing w:val="-4"/>
        </w:rPr>
        <w:t> </w:t>
      </w:r>
      <w:r>
        <w:rPr/>
        <w:t>areas.</w:t>
      </w:r>
      <w:r>
        <w:rPr>
          <w:spacing w:val="-4"/>
        </w:rPr>
        <w:t> </w:t>
      </w:r>
      <w:r>
        <w:rPr/>
        <w:t>Each</w:t>
      </w:r>
      <w:r>
        <w:rPr>
          <w:spacing w:val="-2"/>
        </w:rPr>
        <w:t> </w:t>
      </w:r>
      <w:r>
        <w:rPr/>
        <w:t>contributes</w:t>
      </w:r>
      <w:r>
        <w:rPr>
          <w:spacing w:val="-6"/>
        </w:rPr>
        <w:t> </w:t>
      </w:r>
      <w:r>
        <w:rPr/>
        <w:t>to</w:t>
      </w:r>
      <w:r>
        <w:rPr>
          <w:spacing w:val="-5"/>
        </w:rPr>
        <w:t> </w:t>
      </w:r>
      <w:r>
        <w:rPr/>
        <w:t>the achievement of</w:t>
      </w:r>
      <w:r>
        <w:rPr>
          <w:spacing w:val="-1"/>
        </w:rPr>
        <w:t> </w:t>
      </w:r>
      <w:r>
        <w:rPr/>
        <w:t>the future outcome areas</w:t>
      </w:r>
      <w:r>
        <w:rPr>
          <w:spacing w:val="-1"/>
        </w:rPr>
        <w:t> </w:t>
      </w:r>
      <w:r>
        <w:rPr/>
        <w:t>as</w:t>
      </w:r>
      <w:r>
        <w:rPr>
          <w:spacing w:val="-3"/>
        </w:rPr>
        <w:t> </w:t>
      </w:r>
      <w:r>
        <w:rPr/>
        <w:t>set out in </w:t>
      </w:r>
      <w:r>
        <w:rPr>
          <w:i/>
        </w:rPr>
        <w:t>Maroondah 2050 -</w:t>
      </w:r>
      <w:r>
        <w:rPr>
          <w:i/>
          <w:spacing w:val="-1"/>
        </w:rPr>
        <w:t> </w:t>
      </w:r>
      <w:r>
        <w:rPr>
          <w:i/>
        </w:rPr>
        <w:t>Our</w:t>
      </w:r>
      <w:r>
        <w:rPr>
          <w:i/>
          <w:spacing w:val="-1"/>
        </w:rPr>
        <w:t> </w:t>
      </w:r>
      <w:r>
        <w:rPr>
          <w:i/>
        </w:rPr>
        <w:t>future</w:t>
      </w:r>
      <w:r>
        <w:rPr>
          <w:i/>
          <w:spacing w:val="-3"/>
        </w:rPr>
        <w:t> </w:t>
      </w:r>
      <w:r>
        <w:rPr>
          <w:i/>
        </w:rPr>
        <w:t>together</w:t>
      </w:r>
      <w:r>
        <w:rPr>
          <w:i/>
          <w:spacing w:val="-1"/>
        </w:rPr>
        <w:t> </w:t>
      </w:r>
      <w:r>
        <w:rPr/>
        <w:t>and the Council Plan. The Budget aligns</w:t>
      </w:r>
      <w:r>
        <w:rPr>
          <w:spacing w:val="-11"/>
        </w:rPr>
        <w:t> </w:t>
      </w:r>
      <w:r>
        <w:rPr/>
        <w:t>these</w:t>
      </w:r>
      <w:r>
        <w:rPr>
          <w:spacing w:val="-11"/>
        </w:rPr>
        <w:t> </w:t>
      </w:r>
      <w:r>
        <w:rPr/>
        <w:t>services</w:t>
      </w:r>
      <w:r>
        <w:rPr>
          <w:spacing w:val="-11"/>
        </w:rPr>
        <w:t> </w:t>
      </w:r>
      <w:r>
        <w:rPr/>
        <w:t>and</w:t>
      </w:r>
      <w:r>
        <w:rPr>
          <w:spacing w:val="-12"/>
        </w:rPr>
        <w:t> </w:t>
      </w:r>
      <w:r>
        <w:rPr/>
        <w:t>initiatives</w:t>
      </w:r>
      <w:r>
        <w:rPr>
          <w:spacing w:val="-11"/>
        </w:rPr>
        <w:t> </w:t>
      </w:r>
      <w:r>
        <w:rPr/>
        <w:t>to</w:t>
      </w:r>
      <w:r>
        <w:rPr>
          <w:spacing w:val="-11"/>
        </w:rPr>
        <w:t> </w:t>
      </w:r>
      <w:r>
        <w:rPr/>
        <w:t>Council’s</w:t>
      </w:r>
      <w:r>
        <w:rPr>
          <w:spacing w:val="-11"/>
        </w:rPr>
        <w:t> </w:t>
      </w:r>
      <w:r>
        <w:rPr/>
        <w:t>finances</w:t>
      </w:r>
      <w:r>
        <w:rPr>
          <w:spacing w:val="-11"/>
        </w:rPr>
        <w:t> </w:t>
      </w:r>
      <w:r>
        <w:rPr/>
        <w:t>to</w:t>
      </w:r>
      <w:r>
        <w:rPr>
          <w:spacing w:val="-12"/>
        </w:rPr>
        <w:t> </w:t>
      </w:r>
      <w:r>
        <w:rPr/>
        <w:t>ensure</w:t>
      </w:r>
      <w:r>
        <w:rPr>
          <w:spacing w:val="-12"/>
        </w:rPr>
        <w:t> </w:t>
      </w:r>
      <w:r>
        <w:rPr/>
        <w:t>that</w:t>
      </w:r>
      <w:r>
        <w:rPr>
          <w:spacing w:val="-12"/>
        </w:rPr>
        <w:t> </w:t>
      </w:r>
      <w:r>
        <w:rPr/>
        <w:t>there</w:t>
      </w:r>
      <w:r>
        <w:rPr>
          <w:spacing w:val="-12"/>
        </w:rPr>
        <w:t> </w:t>
      </w:r>
      <w:r>
        <w:rPr/>
        <w:t>are</w:t>
      </w:r>
      <w:r>
        <w:rPr>
          <w:spacing w:val="-12"/>
        </w:rPr>
        <w:t> </w:t>
      </w:r>
      <w:r>
        <w:rPr/>
        <w:t>sufficient</w:t>
      </w:r>
      <w:r>
        <w:rPr>
          <w:spacing w:val="-10"/>
        </w:rPr>
        <w:t> </w:t>
      </w:r>
      <w:r>
        <w:rPr/>
        <w:t>resources</w:t>
      </w:r>
      <w:r>
        <w:rPr>
          <w:spacing w:val="-13"/>
        </w:rPr>
        <w:t> </w:t>
      </w:r>
      <w:r>
        <w:rPr/>
        <w:t>for</w:t>
      </w:r>
      <w:r>
        <w:rPr>
          <w:spacing w:val="-11"/>
        </w:rPr>
        <w:t> </w:t>
      </w:r>
      <w:r>
        <w:rPr/>
        <w:t>their achievement. The following table lists the five community outcome areas as described in the Council Plan.</w:t>
      </w:r>
    </w:p>
    <w:p>
      <w:pPr>
        <w:pStyle w:val="BodyText"/>
      </w:pPr>
    </w:p>
    <w:tbl>
      <w:tblPr>
        <w:tblW w:w="0" w:type="auto"/>
        <w:jc w:val="left"/>
        <w:tblInd w:w="4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616"/>
        <w:gridCol w:w="7843"/>
      </w:tblGrid>
      <w:tr>
        <w:trPr>
          <w:trHeight w:val="542" w:hRule="atLeast"/>
        </w:trPr>
        <w:tc>
          <w:tcPr>
            <w:tcW w:w="10459" w:type="dxa"/>
            <w:gridSpan w:val="2"/>
            <w:tcBorders>
              <w:left w:val="single" w:sz="12" w:space="0" w:color="000000"/>
              <w:bottom w:val="nil"/>
              <w:right w:val="single" w:sz="12" w:space="0" w:color="000000"/>
            </w:tcBorders>
            <w:shd w:val="clear" w:color="auto" w:fill="629CD1"/>
          </w:tcPr>
          <w:p>
            <w:pPr>
              <w:pStyle w:val="TableParagraph"/>
              <w:tabs>
                <w:tab w:pos="5072" w:val="left" w:leader="none"/>
              </w:tabs>
              <w:spacing w:line="244" w:lineRule="exact"/>
              <w:ind w:left="553"/>
              <w:rPr>
                <w:b/>
                <w:sz w:val="22"/>
              </w:rPr>
            </w:pPr>
            <w:r>
              <w:rPr>
                <w:b/>
                <w:color w:val="FFFFFF"/>
                <w:sz w:val="22"/>
              </w:rPr>
              <w:t>Outcome</w:t>
            </w:r>
            <w:r>
              <w:rPr>
                <w:b/>
                <w:color w:val="FFFFFF"/>
                <w:spacing w:val="-8"/>
                <w:sz w:val="22"/>
              </w:rPr>
              <w:t> </w:t>
            </w:r>
            <w:r>
              <w:rPr>
                <w:b/>
                <w:color w:val="FFFFFF"/>
                <w:spacing w:val="-4"/>
                <w:sz w:val="22"/>
              </w:rPr>
              <w:t>Area</w:t>
            </w:r>
            <w:r>
              <w:rPr>
                <w:b/>
                <w:color w:val="FFFFFF"/>
                <w:sz w:val="22"/>
              </w:rPr>
              <w:tab/>
              <w:t>Our</w:t>
            </w:r>
            <w:r>
              <w:rPr>
                <w:b/>
                <w:color w:val="FFFFFF"/>
                <w:spacing w:val="-6"/>
                <w:sz w:val="22"/>
              </w:rPr>
              <w:t> </w:t>
            </w:r>
            <w:r>
              <w:rPr>
                <w:b/>
                <w:color w:val="FFFFFF"/>
                <w:sz w:val="22"/>
              </w:rPr>
              <w:t>community’s</w:t>
            </w:r>
            <w:r>
              <w:rPr>
                <w:b/>
                <w:color w:val="FFFFFF"/>
                <w:spacing w:val="-5"/>
                <w:sz w:val="22"/>
              </w:rPr>
              <w:t> </w:t>
            </w:r>
            <w:r>
              <w:rPr>
                <w:b/>
                <w:color w:val="FFFFFF"/>
                <w:spacing w:val="-2"/>
                <w:sz w:val="22"/>
              </w:rPr>
              <w:t>aspiration</w:t>
            </w:r>
          </w:p>
        </w:tc>
      </w:tr>
      <w:tr>
        <w:trPr>
          <w:trHeight w:val="1264" w:hRule="atLeast"/>
        </w:trPr>
        <w:tc>
          <w:tcPr>
            <w:tcW w:w="2616" w:type="dxa"/>
            <w:tcBorders>
              <w:top w:val="nil"/>
              <w:left w:val="single" w:sz="12" w:space="0" w:color="000000"/>
              <w:bottom w:val="single" w:sz="4" w:space="0" w:color="A0C3E2"/>
              <w:right w:val="single" w:sz="4" w:space="0" w:color="A0C3E2"/>
            </w:tcBorders>
            <w:shd w:val="clear" w:color="auto" w:fill="DFEBF4"/>
          </w:tcPr>
          <w:p>
            <w:pPr>
              <w:pStyle w:val="TableParagraph"/>
              <w:ind w:left="107" w:right="19"/>
              <w:rPr>
                <w:i/>
                <w:sz w:val="22"/>
              </w:rPr>
            </w:pPr>
            <w:r>
              <w:rPr>
                <w:i/>
                <w:color w:val="287ED4"/>
                <w:sz w:val="22"/>
              </w:rPr>
              <w:t>1.</w:t>
            </w:r>
            <w:r>
              <w:rPr>
                <w:i/>
                <w:color w:val="287ED4"/>
                <w:spacing w:val="40"/>
                <w:sz w:val="22"/>
              </w:rPr>
              <w:t> </w:t>
            </w:r>
            <w:r>
              <w:rPr>
                <w:i/>
                <w:color w:val="287ED4"/>
                <w:sz w:val="22"/>
              </w:rPr>
              <w:t>A</w:t>
            </w:r>
            <w:r>
              <w:rPr>
                <w:i/>
                <w:color w:val="287ED4"/>
                <w:spacing w:val="-7"/>
                <w:sz w:val="22"/>
              </w:rPr>
              <w:t> </w:t>
            </w:r>
            <w:r>
              <w:rPr>
                <w:i/>
                <w:color w:val="287ED4"/>
                <w:sz w:val="22"/>
              </w:rPr>
              <w:t>healthy,</w:t>
            </w:r>
            <w:r>
              <w:rPr>
                <w:i/>
                <w:color w:val="287ED4"/>
                <w:spacing w:val="-6"/>
                <w:sz w:val="22"/>
              </w:rPr>
              <w:t> </w:t>
            </w:r>
            <w:r>
              <w:rPr>
                <w:i/>
                <w:color w:val="287ED4"/>
                <w:sz w:val="22"/>
              </w:rPr>
              <w:t>inclusive</w:t>
            </w:r>
            <w:r>
              <w:rPr>
                <w:i/>
                <w:color w:val="287ED4"/>
                <w:sz w:val="22"/>
              </w:rPr>
              <w:t> and connected </w:t>
            </w:r>
            <w:r>
              <w:rPr>
                <w:i/>
                <w:color w:val="287ED4"/>
                <w:spacing w:val="-2"/>
                <w:sz w:val="22"/>
              </w:rPr>
              <w:t>community</w:t>
            </w:r>
          </w:p>
        </w:tc>
        <w:tc>
          <w:tcPr>
            <w:tcW w:w="7843" w:type="dxa"/>
            <w:tcBorders>
              <w:top w:val="nil"/>
              <w:left w:val="single" w:sz="4" w:space="0" w:color="A0C3E2"/>
              <w:bottom w:val="single" w:sz="4" w:space="0" w:color="A0C3E2"/>
              <w:right w:val="single" w:sz="12" w:space="0" w:color="000000"/>
            </w:tcBorders>
            <w:shd w:val="clear" w:color="auto" w:fill="DFEBF4"/>
          </w:tcPr>
          <w:p>
            <w:pPr>
              <w:pStyle w:val="TableParagraph"/>
              <w:ind w:left="104" w:right="73"/>
              <w:jc w:val="both"/>
              <w:rPr>
                <w:sz w:val="22"/>
              </w:rPr>
            </w:pPr>
            <w:r>
              <w:rPr>
                <w:sz w:val="22"/>
              </w:rPr>
              <w:t>Everyone in Maroondah feels valued, welcome and respected, and has opportunities</w:t>
            </w:r>
            <w:r>
              <w:rPr>
                <w:spacing w:val="-16"/>
                <w:sz w:val="22"/>
              </w:rPr>
              <w:t> </w:t>
            </w:r>
            <w:r>
              <w:rPr>
                <w:sz w:val="22"/>
              </w:rPr>
              <w:t>to</w:t>
            </w:r>
            <w:r>
              <w:rPr>
                <w:spacing w:val="-15"/>
                <w:sz w:val="22"/>
              </w:rPr>
              <w:t> </w:t>
            </w:r>
            <w:r>
              <w:rPr>
                <w:sz w:val="22"/>
              </w:rPr>
              <w:t>thrive</w:t>
            </w:r>
            <w:r>
              <w:rPr>
                <w:spacing w:val="-15"/>
                <w:sz w:val="22"/>
              </w:rPr>
              <w:t> </w:t>
            </w:r>
            <w:r>
              <w:rPr>
                <w:sz w:val="22"/>
              </w:rPr>
              <w:t>regardless</w:t>
            </w:r>
            <w:r>
              <w:rPr>
                <w:spacing w:val="-16"/>
                <w:sz w:val="22"/>
              </w:rPr>
              <w:t> </w:t>
            </w:r>
            <w:r>
              <w:rPr>
                <w:sz w:val="22"/>
              </w:rPr>
              <w:t>of</w:t>
            </w:r>
            <w:r>
              <w:rPr>
                <w:spacing w:val="-14"/>
                <w:sz w:val="22"/>
              </w:rPr>
              <w:t> </w:t>
            </w:r>
            <w:r>
              <w:rPr>
                <w:sz w:val="22"/>
              </w:rPr>
              <w:t>their</w:t>
            </w:r>
            <w:r>
              <w:rPr>
                <w:spacing w:val="-16"/>
                <w:sz w:val="22"/>
              </w:rPr>
              <w:t> </w:t>
            </w:r>
            <w:r>
              <w:rPr>
                <w:sz w:val="22"/>
              </w:rPr>
              <w:t>background,</w:t>
            </w:r>
            <w:r>
              <w:rPr>
                <w:spacing w:val="-13"/>
                <w:sz w:val="22"/>
              </w:rPr>
              <w:t> </w:t>
            </w:r>
            <w:r>
              <w:rPr>
                <w:sz w:val="22"/>
              </w:rPr>
              <w:t>identity</w:t>
            </w:r>
            <w:r>
              <w:rPr>
                <w:spacing w:val="-15"/>
                <w:sz w:val="22"/>
              </w:rPr>
              <w:t> </w:t>
            </w:r>
            <w:r>
              <w:rPr>
                <w:sz w:val="22"/>
              </w:rPr>
              <w:t>or</w:t>
            </w:r>
            <w:r>
              <w:rPr>
                <w:spacing w:val="-16"/>
                <w:sz w:val="22"/>
              </w:rPr>
              <w:t> </w:t>
            </w:r>
            <w:r>
              <w:rPr>
                <w:sz w:val="22"/>
              </w:rPr>
              <w:t>circumstances. Community members experiencing vulnerability have access to the supports they</w:t>
            </w:r>
            <w:r>
              <w:rPr>
                <w:spacing w:val="38"/>
                <w:sz w:val="22"/>
              </w:rPr>
              <w:t> </w:t>
            </w:r>
            <w:r>
              <w:rPr>
                <w:sz w:val="22"/>
              </w:rPr>
              <w:t>need.</w:t>
            </w:r>
            <w:r>
              <w:rPr>
                <w:spacing w:val="40"/>
                <w:sz w:val="22"/>
              </w:rPr>
              <w:t> </w:t>
            </w:r>
            <w:r>
              <w:rPr>
                <w:sz w:val="22"/>
              </w:rPr>
              <w:t>Opportunities</w:t>
            </w:r>
            <w:r>
              <w:rPr>
                <w:spacing w:val="41"/>
                <w:sz w:val="22"/>
              </w:rPr>
              <w:t> </w:t>
            </w:r>
            <w:r>
              <w:rPr>
                <w:sz w:val="22"/>
              </w:rPr>
              <w:t>for</w:t>
            </w:r>
            <w:r>
              <w:rPr>
                <w:spacing w:val="41"/>
                <w:sz w:val="22"/>
              </w:rPr>
              <w:t> </w:t>
            </w:r>
            <w:r>
              <w:rPr>
                <w:sz w:val="22"/>
              </w:rPr>
              <w:t>social</w:t>
            </w:r>
            <w:r>
              <w:rPr>
                <w:spacing w:val="39"/>
                <w:sz w:val="22"/>
              </w:rPr>
              <w:t> </w:t>
            </w:r>
            <w:r>
              <w:rPr>
                <w:sz w:val="22"/>
              </w:rPr>
              <w:t>connection,</w:t>
            </w:r>
            <w:r>
              <w:rPr>
                <w:spacing w:val="40"/>
                <w:sz w:val="22"/>
              </w:rPr>
              <w:t> </w:t>
            </w:r>
            <w:r>
              <w:rPr>
                <w:sz w:val="22"/>
              </w:rPr>
              <w:t>and</w:t>
            </w:r>
            <w:r>
              <w:rPr>
                <w:spacing w:val="41"/>
                <w:sz w:val="22"/>
              </w:rPr>
              <w:t> </w:t>
            </w:r>
            <w:r>
              <w:rPr>
                <w:sz w:val="22"/>
              </w:rPr>
              <w:t>to</w:t>
            </w:r>
            <w:r>
              <w:rPr>
                <w:spacing w:val="38"/>
                <w:sz w:val="22"/>
              </w:rPr>
              <w:t> </w:t>
            </w:r>
            <w:r>
              <w:rPr>
                <w:sz w:val="22"/>
              </w:rPr>
              <w:t>enhance</w:t>
            </w:r>
            <w:r>
              <w:rPr>
                <w:spacing w:val="41"/>
                <w:sz w:val="22"/>
              </w:rPr>
              <w:t> </w:t>
            </w:r>
            <w:r>
              <w:rPr>
                <w:sz w:val="22"/>
              </w:rPr>
              <w:t>health</w:t>
            </w:r>
            <w:r>
              <w:rPr>
                <w:spacing w:val="39"/>
                <w:sz w:val="22"/>
              </w:rPr>
              <w:t> </w:t>
            </w:r>
            <w:r>
              <w:rPr>
                <w:spacing w:val="-5"/>
                <w:sz w:val="22"/>
              </w:rPr>
              <w:t>and</w:t>
            </w:r>
          </w:p>
          <w:p>
            <w:pPr>
              <w:pStyle w:val="TableParagraph"/>
              <w:spacing w:line="233" w:lineRule="exact"/>
              <w:ind w:left="104"/>
              <w:jc w:val="both"/>
              <w:rPr>
                <w:sz w:val="22"/>
              </w:rPr>
            </w:pPr>
            <w:r>
              <w:rPr>
                <w:sz w:val="22"/>
              </w:rPr>
              <w:t>wellbeing,</w:t>
            </w:r>
            <w:r>
              <w:rPr>
                <w:spacing w:val="-4"/>
                <w:sz w:val="22"/>
              </w:rPr>
              <w:t> </w:t>
            </w:r>
            <w:r>
              <w:rPr>
                <w:sz w:val="22"/>
              </w:rPr>
              <w:t>are</w:t>
            </w:r>
            <w:r>
              <w:rPr>
                <w:spacing w:val="-4"/>
                <w:sz w:val="22"/>
              </w:rPr>
              <w:t> </w:t>
            </w:r>
            <w:r>
              <w:rPr>
                <w:spacing w:val="-2"/>
                <w:sz w:val="22"/>
              </w:rPr>
              <w:t>encouraged.</w:t>
            </w:r>
          </w:p>
        </w:tc>
      </w:tr>
      <w:tr>
        <w:trPr>
          <w:trHeight w:val="1264" w:hRule="atLeast"/>
        </w:trPr>
        <w:tc>
          <w:tcPr>
            <w:tcW w:w="2616" w:type="dxa"/>
            <w:tcBorders>
              <w:top w:val="single" w:sz="4" w:space="0" w:color="A0C3E2"/>
              <w:left w:val="single" w:sz="12" w:space="0" w:color="000000"/>
              <w:bottom w:val="single" w:sz="4" w:space="0" w:color="A0C3E2"/>
              <w:right w:val="single" w:sz="4" w:space="0" w:color="A0C3E2"/>
            </w:tcBorders>
          </w:tcPr>
          <w:p>
            <w:pPr>
              <w:pStyle w:val="TableParagraph"/>
              <w:ind w:left="107" w:right="19"/>
              <w:rPr>
                <w:i/>
                <w:sz w:val="22"/>
              </w:rPr>
            </w:pPr>
            <w:r>
              <w:rPr>
                <w:i/>
                <w:color w:val="287ED4"/>
                <w:sz w:val="22"/>
              </w:rPr>
              <w:t>2.</w:t>
            </w:r>
            <w:r>
              <w:rPr>
                <w:i/>
                <w:color w:val="287ED4"/>
                <w:spacing w:val="40"/>
                <w:sz w:val="22"/>
              </w:rPr>
              <w:t> </w:t>
            </w:r>
            <w:r>
              <w:rPr>
                <w:i/>
                <w:color w:val="287ED4"/>
                <w:sz w:val="22"/>
              </w:rPr>
              <w:t>A</w:t>
            </w:r>
            <w:r>
              <w:rPr>
                <w:i/>
                <w:color w:val="287ED4"/>
                <w:spacing w:val="-6"/>
                <w:sz w:val="22"/>
              </w:rPr>
              <w:t> </w:t>
            </w:r>
            <w:r>
              <w:rPr>
                <w:i/>
                <w:color w:val="287ED4"/>
                <w:sz w:val="22"/>
              </w:rPr>
              <w:t>safe</w:t>
            </w:r>
            <w:r>
              <w:rPr>
                <w:i/>
                <w:color w:val="287ED4"/>
                <w:spacing w:val="-6"/>
                <w:sz w:val="22"/>
              </w:rPr>
              <w:t> </w:t>
            </w:r>
            <w:r>
              <w:rPr>
                <w:i/>
                <w:color w:val="287ED4"/>
                <w:sz w:val="22"/>
              </w:rPr>
              <w:t>and</w:t>
            </w:r>
            <w:r>
              <w:rPr>
                <w:i/>
                <w:color w:val="287ED4"/>
                <w:spacing w:val="-8"/>
                <w:sz w:val="22"/>
              </w:rPr>
              <w:t> </w:t>
            </w:r>
            <w:r>
              <w:rPr>
                <w:i/>
                <w:color w:val="287ED4"/>
                <w:sz w:val="22"/>
              </w:rPr>
              <w:t>liveable</w:t>
            </w:r>
            <w:r>
              <w:rPr>
                <w:i/>
                <w:color w:val="287ED4"/>
                <w:sz w:val="22"/>
              </w:rPr>
              <w:t> </w:t>
            </w:r>
            <w:r>
              <w:rPr>
                <w:i/>
                <w:color w:val="287ED4"/>
                <w:spacing w:val="-2"/>
                <w:sz w:val="22"/>
              </w:rPr>
              <w:t>community</w:t>
            </w:r>
          </w:p>
        </w:tc>
        <w:tc>
          <w:tcPr>
            <w:tcW w:w="7843" w:type="dxa"/>
            <w:tcBorders>
              <w:top w:val="single" w:sz="4" w:space="0" w:color="A0C3E2"/>
              <w:left w:val="single" w:sz="4" w:space="0" w:color="A0C3E2"/>
              <w:bottom w:val="single" w:sz="4" w:space="0" w:color="A0C3E2"/>
              <w:right w:val="single" w:sz="12" w:space="0" w:color="000000"/>
            </w:tcBorders>
          </w:tcPr>
          <w:p>
            <w:pPr>
              <w:pStyle w:val="TableParagraph"/>
              <w:ind w:left="104" w:right="75"/>
              <w:jc w:val="both"/>
              <w:rPr>
                <w:sz w:val="22"/>
              </w:rPr>
            </w:pPr>
            <w:r>
              <w:rPr>
                <w:sz w:val="22"/>
              </w:rPr>
              <w:t>Everyone in Maroondah feels physically and emotionally safe. Local neighbourhoods and activity centres are easy to move around. There are the housing options, amenities and services that people need to live, work, learn and</w:t>
            </w:r>
            <w:r>
              <w:rPr>
                <w:spacing w:val="-4"/>
                <w:sz w:val="22"/>
              </w:rPr>
              <w:t> </w:t>
            </w:r>
            <w:r>
              <w:rPr>
                <w:sz w:val="22"/>
              </w:rPr>
              <w:t>play</w:t>
            </w:r>
            <w:r>
              <w:rPr>
                <w:spacing w:val="-3"/>
                <w:sz w:val="22"/>
              </w:rPr>
              <w:t> </w:t>
            </w:r>
            <w:r>
              <w:rPr>
                <w:sz w:val="22"/>
              </w:rPr>
              <w:t>locally.</w:t>
            </w:r>
            <w:r>
              <w:rPr>
                <w:spacing w:val="-3"/>
                <w:sz w:val="22"/>
              </w:rPr>
              <w:t> </w:t>
            </w:r>
            <w:r>
              <w:rPr>
                <w:sz w:val="22"/>
              </w:rPr>
              <w:t>The</w:t>
            </w:r>
            <w:r>
              <w:rPr>
                <w:spacing w:val="-3"/>
                <w:sz w:val="22"/>
              </w:rPr>
              <w:t> </w:t>
            </w:r>
            <w:r>
              <w:rPr>
                <w:sz w:val="22"/>
              </w:rPr>
              <w:t>unique</w:t>
            </w:r>
            <w:r>
              <w:rPr>
                <w:spacing w:val="-4"/>
                <w:sz w:val="22"/>
              </w:rPr>
              <w:t> </w:t>
            </w:r>
            <w:r>
              <w:rPr>
                <w:sz w:val="22"/>
              </w:rPr>
              <w:t>attributes</w:t>
            </w:r>
            <w:r>
              <w:rPr>
                <w:spacing w:val="-4"/>
                <w:sz w:val="22"/>
              </w:rPr>
              <w:t> </w:t>
            </w:r>
            <w:r>
              <w:rPr>
                <w:sz w:val="22"/>
              </w:rPr>
              <w:t>of</w:t>
            </w:r>
            <w:r>
              <w:rPr>
                <w:spacing w:val="-6"/>
                <w:sz w:val="22"/>
              </w:rPr>
              <w:t> </w:t>
            </w:r>
            <w:r>
              <w:rPr>
                <w:sz w:val="22"/>
              </w:rPr>
              <w:t>Maroondah,</w:t>
            </w:r>
            <w:r>
              <w:rPr>
                <w:spacing w:val="-2"/>
                <w:sz w:val="22"/>
              </w:rPr>
              <w:t> </w:t>
            </w:r>
            <w:r>
              <w:rPr>
                <w:sz w:val="22"/>
              </w:rPr>
              <w:t>and</w:t>
            </w:r>
            <w:r>
              <w:rPr>
                <w:spacing w:val="-6"/>
                <w:sz w:val="22"/>
              </w:rPr>
              <w:t> </w:t>
            </w:r>
            <w:r>
              <w:rPr>
                <w:sz w:val="22"/>
              </w:rPr>
              <w:t>our</w:t>
            </w:r>
            <w:r>
              <w:rPr>
                <w:spacing w:val="-4"/>
                <w:sz w:val="22"/>
              </w:rPr>
              <w:t> </w:t>
            </w:r>
            <w:r>
              <w:rPr>
                <w:sz w:val="22"/>
              </w:rPr>
              <w:t>local</w:t>
            </w:r>
            <w:r>
              <w:rPr>
                <w:spacing w:val="-4"/>
                <w:sz w:val="22"/>
              </w:rPr>
              <w:t> </w:t>
            </w:r>
            <w:r>
              <w:rPr>
                <w:sz w:val="22"/>
              </w:rPr>
              <w:t>history</w:t>
            </w:r>
            <w:r>
              <w:rPr>
                <w:spacing w:val="-3"/>
                <w:sz w:val="22"/>
              </w:rPr>
              <w:t> </w:t>
            </w:r>
            <w:r>
              <w:rPr>
                <w:spacing w:val="-5"/>
                <w:sz w:val="22"/>
              </w:rPr>
              <w:t>and</w:t>
            </w:r>
          </w:p>
          <w:p>
            <w:pPr>
              <w:pStyle w:val="TableParagraph"/>
              <w:spacing w:line="233" w:lineRule="exact"/>
              <w:ind w:left="104"/>
              <w:jc w:val="both"/>
              <w:rPr>
                <w:sz w:val="22"/>
              </w:rPr>
            </w:pPr>
            <w:r>
              <w:rPr>
                <w:sz w:val="22"/>
              </w:rPr>
              <w:t>heritage,</w:t>
            </w:r>
            <w:r>
              <w:rPr>
                <w:spacing w:val="-4"/>
                <w:sz w:val="22"/>
              </w:rPr>
              <w:t> </w:t>
            </w:r>
            <w:r>
              <w:rPr>
                <w:sz w:val="22"/>
              </w:rPr>
              <w:t>are</w:t>
            </w:r>
            <w:r>
              <w:rPr>
                <w:spacing w:val="-3"/>
                <w:sz w:val="22"/>
              </w:rPr>
              <w:t> </w:t>
            </w:r>
            <w:r>
              <w:rPr>
                <w:sz w:val="22"/>
              </w:rPr>
              <w:t>valued</w:t>
            </w:r>
            <w:r>
              <w:rPr>
                <w:spacing w:val="-2"/>
                <w:sz w:val="22"/>
              </w:rPr>
              <w:t> </w:t>
            </w:r>
            <w:r>
              <w:rPr>
                <w:sz w:val="22"/>
              </w:rPr>
              <w:t>and</w:t>
            </w:r>
            <w:r>
              <w:rPr>
                <w:spacing w:val="-5"/>
                <w:sz w:val="22"/>
              </w:rPr>
              <w:t> </w:t>
            </w:r>
            <w:r>
              <w:rPr>
                <w:spacing w:val="-2"/>
                <w:sz w:val="22"/>
              </w:rPr>
              <w:t>promoted.</w:t>
            </w:r>
          </w:p>
        </w:tc>
      </w:tr>
      <w:tr>
        <w:trPr>
          <w:trHeight w:val="1264" w:hRule="atLeast"/>
        </w:trPr>
        <w:tc>
          <w:tcPr>
            <w:tcW w:w="2616" w:type="dxa"/>
            <w:tcBorders>
              <w:top w:val="single" w:sz="4" w:space="0" w:color="A0C3E2"/>
              <w:left w:val="single" w:sz="12" w:space="0" w:color="000000"/>
              <w:bottom w:val="single" w:sz="4" w:space="0" w:color="A0C3E2"/>
              <w:right w:val="single" w:sz="4" w:space="0" w:color="A0C3E2"/>
            </w:tcBorders>
            <w:shd w:val="clear" w:color="auto" w:fill="DFEBF4"/>
          </w:tcPr>
          <w:p>
            <w:pPr>
              <w:pStyle w:val="TableParagraph"/>
              <w:ind w:left="107" w:right="19"/>
              <w:rPr>
                <w:i/>
                <w:sz w:val="22"/>
              </w:rPr>
            </w:pPr>
            <w:r>
              <w:rPr>
                <w:i/>
                <w:color w:val="287ED4"/>
                <w:sz w:val="22"/>
              </w:rPr>
              <w:t>3.</w:t>
            </w:r>
            <w:r>
              <w:rPr>
                <w:i/>
                <w:color w:val="287ED4"/>
                <w:spacing w:val="40"/>
                <w:sz w:val="22"/>
              </w:rPr>
              <w:t> </w:t>
            </w:r>
            <w:r>
              <w:rPr>
                <w:i/>
                <w:color w:val="287ED4"/>
                <w:sz w:val="22"/>
              </w:rPr>
              <w:t>A green and</w:t>
            </w:r>
            <w:r>
              <w:rPr>
                <w:i/>
                <w:color w:val="287ED4"/>
                <w:sz w:val="22"/>
              </w:rPr>
              <w:t> sustainable</w:t>
            </w:r>
            <w:r>
              <w:rPr>
                <w:i/>
                <w:color w:val="287ED4"/>
                <w:spacing w:val="-16"/>
                <w:sz w:val="22"/>
              </w:rPr>
              <w:t> </w:t>
            </w:r>
            <w:r>
              <w:rPr>
                <w:i/>
                <w:color w:val="287ED4"/>
                <w:sz w:val="22"/>
              </w:rPr>
              <w:t>community</w:t>
            </w:r>
          </w:p>
        </w:tc>
        <w:tc>
          <w:tcPr>
            <w:tcW w:w="7843" w:type="dxa"/>
            <w:tcBorders>
              <w:top w:val="single" w:sz="4" w:space="0" w:color="A0C3E2"/>
              <w:left w:val="single" w:sz="4" w:space="0" w:color="A0C3E2"/>
              <w:bottom w:val="single" w:sz="4" w:space="0" w:color="A0C3E2"/>
              <w:right w:val="single" w:sz="12" w:space="0" w:color="000000"/>
            </w:tcBorders>
            <w:shd w:val="clear" w:color="auto" w:fill="DFEBF4"/>
          </w:tcPr>
          <w:p>
            <w:pPr>
              <w:pStyle w:val="TableParagraph"/>
              <w:ind w:left="104" w:right="73"/>
              <w:jc w:val="both"/>
              <w:rPr>
                <w:sz w:val="22"/>
              </w:rPr>
            </w:pPr>
            <w:r>
              <w:rPr>
                <w:sz w:val="22"/>
              </w:rPr>
              <w:t>Maroondah’s</w:t>
            </w:r>
            <w:r>
              <w:rPr>
                <w:spacing w:val="-2"/>
                <w:sz w:val="22"/>
              </w:rPr>
              <w:t> </w:t>
            </w:r>
            <w:r>
              <w:rPr>
                <w:sz w:val="22"/>
              </w:rPr>
              <w:t>green, leafy, natural environment and landscape</w:t>
            </w:r>
            <w:r>
              <w:rPr>
                <w:spacing w:val="-1"/>
                <w:sz w:val="22"/>
              </w:rPr>
              <w:t> </w:t>
            </w:r>
            <w:r>
              <w:rPr>
                <w:sz w:val="22"/>
              </w:rPr>
              <w:t>continues to be preserved and enhanced, with biodiversity and habitat corridors progressively restored and maintained. Our community is supported to make sustainable </w:t>
            </w:r>
            <w:r>
              <w:rPr>
                <w:spacing w:val="-2"/>
                <w:sz w:val="22"/>
              </w:rPr>
              <w:t>choices</w:t>
            </w:r>
            <w:r>
              <w:rPr>
                <w:spacing w:val="-6"/>
                <w:sz w:val="22"/>
              </w:rPr>
              <w:t> </w:t>
            </w:r>
            <w:r>
              <w:rPr>
                <w:spacing w:val="-2"/>
                <w:sz w:val="22"/>
              </w:rPr>
              <w:t>and</w:t>
            </w:r>
            <w:r>
              <w:rPr>
                <w:spacing w:val="-8"/>
                <w:sz w:val="22"/>
              </w:rPr>
              <w:t> </w:t>
            </w:r>
            <w:r>
              <w:rPr>
                <w:spacing w:val="-2"/>
                <w:sz w:val="22"/>
              </w:rPr>
              <w:t>is</w:t>
            </w:r>
            <w:r>
              <w:rPr>
                <w:spacing w:val="-4"/>
                <w:sz w:val="22"/>
              </w:rPr>
              <w:t> </w:t>
            </w:r>
            <w:r>
              <w:rPr>
                <w:spacing w:val="-2"/>
                <w:sz w:val="22"/>
              </w:rPr>
              <w:t>actively</w:t>
            </w:r>
            <w:r>
              <w:rPr>
                <w:spacing w:val="-6"/>
                <w:sz w:val="22"/>
              </w:rPr>
              <w:t> </w:t>
            </w:r>
            <w:r>
              <w:rPr>
                <w:spacing w:val="-2"/>
                <w:sz w:val="22"/>
              </w:rPr>
              <w:t>working</w:t>
            </w:r>
            <w:r>
              <w:rPr>
                <w:spacing w:val="-7"/>
                <w:sz w:val="22"/>
              </w:rPr>
              <w:t> </w:t>
            </w:r>
            <w:r>
              <w:rPr>
                <w:spacing w:val="-2"/>
                <w:sz w:val="22"/>
              </w:rPr>
              <w:t>to</w:t>
            </w:r>
            <w:r>
              <w:rPr>
                <w:spacing w:val="-7"/>
                <w:sz w:val="22"/>
              </w:rPr>
              <w:t> </w:t>
            </w:r>
            <w:r>
              <w:rPr>
                <w:spacing w:val="-2"/>
                <w:sz w:val="22"/>
              </w:rPr>
              <w:t>reduce</w:t>
            </w:r>
            <w:r>
              <w:rPr>
                <w:spacing w:val="-7"/>
                <w:sz w:val="22"/>
              </w:rPr>
              <w:t> </w:t>
            </w:r>
            <w:r>
              <w:rPr>
                <w:spacing w:val="-2"/>
                <w:sz w:val="22"/>
              </w:rPr>
              <w:t>emissions</w:t>
            </w:r>
            <w:r>
              <w:rPr>
                <w:spacing w:val="-4"/>
                <w:sz w:val="22"/>
              </w:rPr>
              <w:t> </w:t>
            </w:r>
            <w:r>
              <w:rPr>
                <w:spacing w:val="-2"/>
                <w:sz w:val="22"/>
              </w:rPr>
              <w:t>and</w:t>
            </w:r>
            <w:r>
              <w:rPr>
                <w:spacing w:val="-7"/>
                <w:sz w:val="22"/>
              </w:rPr>
              <w:t> </w:t>
            </w:r>
            <w:r>
              <w:rPr>
                <w:spacing w:val="-2"/>
                <w:sz w:val="22"/>
              </w:rPr>
              <w:t>waste,</w:t>
            </w:r>
            <w:r>
              <w:rPr>
                <w:spacing w:val="-4"/>
                <w:sz w:val="22"/>
              </w:rPr>
              <w:t> </w:t>
            </w:r>
            <w:r>
              <w:rPr>
                <w:spacing w:val="-2"/>
                <w:sz w:val="22"/>
              </w:rPr>
              <w:t>as</w:t>
            </w:r>
            <w:r>
              <w:rPr>
                <w:spacing w:val="-7"/>
                <w:sz w:val="22"/>
              </w:rPr>
              <w:t> </w:t>
            </w:r>
            <w:r>
              <w:rPr>
                <w:spacing w:val="-2"/>
                <w:sz w:val="22"/>
              </w:rPr>
              <w:t>well</w:t>
            </w:r>
            <w:r>
              <w:rPr>
                <w:spacing w:val="-6"/>
                <w:sz w:val="22"/>
              </w:rPr>
              <w:t> </w:t>
            </w:r>
            <w:r>
              <w:rPr>
                <w:spacing w:val="-2"/>
                <w:sz w:val="22"/>
              </w:rPr>
              <w:t>as</w:t>
            </w:r>
            <w:r>
              <w:rPr>
                <w:spacing w:val="-8"/>
                <w:sz w:val="22"/>
              </w:rPr>
              <w:t> </w:t>
            </w:r>
            <w:r>
              <w:rPr>
                <w:spacing w:val="-2"/>
                <w:sz w:val="22"/>
              </w:rPr>
              <w:t>adapt</w:t>
            </w:r>
          </w:p>
          <w:p>
            <w:pPr>
              <w:pStyle w:val="TableParagraph"/>
              <w:spacing w:line="232" w:lineRule="exact"/>
              <w:ind w:left="104"/>
              <w:jc w:val="both"/>
              <w:rPr>
                <w:sz w:val="22"/>
              </w:rPr>
            </w:pPr>
            <w:r>
              <w:rPr>
                <w:sz w:val="22"/>
              </w:rPr>
              <w:t>to</w:t>
            </w:r>
            <w:r>
              <w:rPr>
                <w:spacing w:val="-2"/>
                <w:sz w:val="22"/>
              </w:rPr>
              <w:t> </w:t>
            </w:r>
            <w:r>
              <w:rPr>
                <w:sz w:val="22"/>
              </w:rPr>
              <w:t>climate</w:t>
            </w:r>
            <w:r>
              <w:rPr>
                <w:spacing w:val="-2"/>
                <w:sz w:val="22"/>
              </w:rPr>
              <w:t> change.</w:t>
            </w:r>
          </w:p>
        </w:tc>
      </w:tr>
      <w:tr>
        <w:trPr>
          <w:trHeight w:val="1264" w:hRule="atLeast"/>
        </w:trPr>
        <w:tc>
          <w:tcPr>
            <w:tcW w:w="2616" w:type="dxa"/>
            <w:tcBorders>
              <w:top w:val="single" w:sz="4" w:space="0" w:color="A0C3E2"/>
              <w:left w:val="single" w:sz="12" w:space="0" w:color="000000"/>
              <w:bottom w:val="single" w:sz="4" w:space="0" w:color="A0C3E2"/>
              <w:right w:val="single" w:sz="4" w:space="0" w:color="A0C3E2"/>
            </w:tcBorders>
          </w:tcPr>
          <w:p>
            <w:pPr>
              <w:pStyle w:val="TableParagraph"/>
              <w:ind w:left="107" w:right="19"/>
              <w:rPr>
                <w:i/>
                <w:sz w:val="22"/>
              </w:rPr>
            </w:pPr>
            <w:r>
              <w:rPr>
                <w:i/>
                <w:color w:val="287ED4"/>
                <w:sz w:val="22"/>
              </w:rPr>
              <w:t>4.</w:t>
            </w:r>
            <w:r>
              <w:rPr>
                <w:i/>
                <w:color w:val="287ED4"/>
                <w:spacing w:val="40"/>
                <w:sz w:val="22"/>
              </w:rPr>
              <w:t> </w:t>
            </w:r>
            <w:r>
              <w:rPr>
                <w:i/>
                <w:color w:val="287ED4"/>
                <w:sz w:val="22"/>
              </w:rPr>
              <w:t>A vibrant and</w:t>
            </w:r>
            <w:r>
              <w:rPr>
                <w:i/>
                <w:color w:val="287ED4"/>
                <w:sz w:val="22"/>
              </w:rPr>
              <w:t> prosperous</w:t>
            </w:r>
            <w:r>
              <w:rPr>
                <w:i/>
                <w:color w:val="287ED4"/>
                <w:spacing w:val="-16"/>
                <w:sz w:val="22"/>
              </w:rPr>
              <w:t> </w:t>
            </w:r>
            <w:r>
              <w:rPr>
                <w:i/>
                <w:color w:val="287ED4"/>
                <w:sz w:val="22"/>
              </w:rPr>
              <w:t>community</w:t>
            </w:r>
          </w:p>
        </w:tc>
        <w:tc>
          <w:tcPr>
            <w:tcW w:w="7843" w:type="dxa"/>
            <w:tcBorders>
              <w:top w:val="single" w:sz="4" w:space="0" w:color="A0C3E2"/>
              <w:left w:val="single" w:sz="4" w:space="0" w:color="A0C3E2"/>
              <w:bottom w:val="single" w:sz="4" w:space="0" w:color="A0C3E2"/>
              <w:right w:val="single" w:sz="12" w:space="0" w:color="000000"/>
            </w:tcBorders>
          </w:tcPr>
          <w:p>
            <w:pPr>
              <w:pStyle w:val="TableParagraph"/>
              <w:ind w:left="104" w:right="75"/>
              <w:jc w:val="both"/>
              <w:rPr>
                <w:sz w:val="22"/>
              </w:rPr>
            </w:pPr>
            <w:r>
              <w:rPr>
                <w:sz w:val="22"/>
              </w:rPr>
              <w:t>Maroondah is a vibrant and prosperous destination. Creative precincts, placemaking, and experiences make Maroondah a culturally rich place to live, work, play and visit. Our strategic location and competitive strengths facilitate economic</w:t>
            </w:r>
            <w:r>
              <w:rPr>
                <w:spacing w:val="12"/>
                <w:sz w:val="22"/>
              </w:rPr>
              <w:t> </w:t>
            </w:r>
            <w:r>
              <w:rPr>
                <w:sz w:val="22"/>
              </w:rPr>
              <w:t>development,</w:t>
            </w:r>
            <w:r>
              <w:rPr>
                <w:spacing w:val="11"/>
                <w:sz w:val="22"/>
              </w:rPr>
              <w:t> </w:t>
            </w:r>
            <w:r>
              <w:rPr>
                <w:sz w:val="22"/>
              </w:rPr>
              <w:t>and</w:t>
            </w:r>
            <w:r>
              <w:rPr>
                <w:spacing w:val="14"/>
                <w:sz w:val="22"/>
              </w:rPr>
              <w:t> </w:t>
            </w:r>
            <w:r>
              <w:rPr>
                <w:sz w:val="22"/>
              </w:rPr>
              <w:t>local</w:t>
            </w:r>
            <w:r>
              <w:rPr>
                <w:spacing w:val="13"/>
                <w:sz w:val="22"/>
              </w:rPr>
              <w:t> </w:t>
            </w:r>
            <w:r>
              <w:rPr>
                <w:sz w:val="22"/>
              </w:rPr>
              <w:t>businesses</w:t>
            </w:r>
            <w:r>
              <w:rPr>
                <w:spacing w:val="12"/>
                <w:sz w:val="22"/>
              </w:rPr>
              <w:t> </w:t>
            </w:r>
            <w:r>
              <w:rPr>
                <w:sz w:val="22"/>
              </w:rPr>
              <w:t>are</w:t>
            </w:r>
            <w:r>
              <w:rPr>
                <w:spacing w:val="14"/>
                <w:sz w:val="22"/>
              </w:rPr>
              <w:t> </w:t>
            </w:r>
            <w:r>
              <w:rPr>
                <w:sz w:val="22"/>
              </w:rPr>
              <w:t>supported</w:t>
            </w:r>
            <w:r>
              <w:rPr>
                <w:spacing w:val="8"/>
                <w:sz w:val="22"/>
              </w:rPr>
              <w:t> </w:t>
            </w:r>
            <w:r>
              <w:rPr>
                <w:sz w:val="22"/>
              </w:rPr>
              <w:t>to</w:t>
            </w:r>
            <w:r>
              <w:rPr>
                <w:spacing w:val="14"/>
                <w:sz w:val="22"/>
              </w:rPr>
              <w:t> </w:t>
            </w:r>
            <w:r>
              <w:rPr>
                <w:sz w:val="22"/>
              </w:rPr>
              <w:t>be</w:t>
            </w:r>
            <w:r>
              <w:rPr>
                <w:spacing w:val="11"/>
                <w:sz w:val="22"/>
              </w:rPr>
              <w:t> </w:t>
            </w:r>
            <w:r>
              <w:rPr>
                <w:spacing w:val="-2"/>
                <w:sz w:val="22"/>
              </w:rPr>
              <w:t>successful</w:t>
            </w:r>
          </w:p>
          <w:p>
            <w:pPr>
              <w:pStyle w:val="TableParagraph"/>
              <w:spacing w:line="232" w:lineRule="exact"/>
              <w:ind w:left="104"/>
              <w:jc w:val="both"/>
              <w:rPr>
                <w:sz w:val="22"/>
              </w:rPr>
            </w:pPr>
            <w:r>
              <w:rPr>
                <w:sz w:val="22"/>
              </w:rPr>
              <w:t>and</w:t>
            </w:r>
            <w:r>
              <w:rPr>
                <w:spacing w:val="-2"/>
                <w:sz w:val="22"/>
              </w:rPr>
              <w:t> sustainable.</w:t>
            </w:r>
          </w:p>
        </w:tc>
      </w:tr>
      <w:tr>
        <w:trPr>
          <w:trHeight w:val="1014" w:hRule="atLeast"/>
        </w:trPr>
        <w:tc>
          <w:tcPr>
            <w:tcW w:w="2616" w:type="dxa"/>
            <w:tcBorders>
              <w:top w:val="single" w:sz="4" w:space="0" w:color="A0C3E2"/>
              <w:left w:val="single" w:sz="12" w:space="0" w:color="000000"/>
              <w:bottom w:val="single" w:sz="12" w:space="0" w:color="000000"/>
              <w:right w:val="single" w:sz="4" w:space="0" w:color="A0C3E2"/>
            </w:tcBorders>
            <w:shd w:val="clear" w:color="auto" w:fill="DFEBF4"/>
          </w:tcPr>
          <w:p>
            <w:pPr>
              <w:pStyle w:val="TableParagraph"/>
              <w:ind w:left="107" w:right="19"/>
              <w:rPr>
                <w:i/>
                <w:sz w:val="22"/>
              </w:rPr>
            </w:pPr>
            <w:r>
              <w:rPr>
                <w:i/>
                <w:color w:val="287ED4"/>
                <w:sz w:val="22"/>
              </w:rPr>
              <w:t>5.</w:t>
            </w:r>
            <w:r>
              <w:rPr>
                <w:i/>
                <w:color w:val="287ED4"/>
                <w:spacing w:val="40"/>
                <w:sz w:val="22"/>
              </w:rPr>
              <w:t> </w:t>
            </w:r>
            <w:r>
              <w:rPr>
                <w:i/>
                <w:color w:val="287ED4"/>
                <w:sz w:val="22"/>
              </w:rPr>
              <w:t>A</w:t>
            </w:r>
            <w:r>
              <w:rPr>
                <w:i/>
                <w:color w:val="287ED4"/>
                <w:spacing w:val="-6"/>
                <w:sz w:val="22"/>
              </w:rPr>
              <w:t> </w:t>
            </w:r>
            <w:r>
              <w:rPr>
                <w:i/>
                <w:color w:val="287ED4"/>
                <w:sz w:val="22"/>
              </w:rPr>
              <w:t>well</w:t>
            </w:r>
            <w:r>
              <w:rPr>
                <w:i/>
                <w:color w:val="287ED4"/>
                <w:spacing w:val="-6"/>
                <w:sz w:val="22"/>
              </w:rPr>
              <w:t> </w:t>
            </w:r>
            <w:r>
              <w:rPr>
                <w:i/>
                <w:color w:val="287ED4"/>
                <w:sz w:val="22"/>
              </w:rPr>
              <w:t>governed</w:t>
            </w:r>
            <w:r>
              <w:rPr>
                <w:i/>
                <w:color w:val="287ED4"/>
                <w:spacing w:val="-6"/>
                <w:sz w:val="22"/>
              </w:rPr>
              <w:t> </w:t>
            </w:r>
            <w:r>
              <w:rPr>
                <w:i/>
                <w:color w:val="287ED4"/>
                <w:sz w:val="22"/>
              </w:rPr>
              <w:t>and</w:t>
            </w:r>
            <w:r>
              <w:rPr>
                <w:i/>
                <w:color w:val="287ED4"/>
                <w:sz w:val="22"/>
              </w:rPr>
              <w:t> empowered</w:t>
            </w:r>
            <w:r>
              <w:rPr>
                <w:i/>
                <w:color w:val="287ED4"/>
                <w:spacing w:val="-10"/>
                <w:sz w:val="22"/>
              </w:rPr>
              <w:t> </w:t>
            </w:r>
            <w:r>
              <w:rPr>
                <w:i/>
                <w:color w:val="287ED4"/>
                <w:spacing w:val="-2"/>
                <w:sz w:val="22"/>
              </w:rPr>
              <w:t>community</w:t>
            </w:r>
          </w:p>
        </w:tc>
        <w:tc>
          <w:tcPr>
            <w:tcW w:w="7843" w:type="dxa"/>
            <w:tcBorders>
              <w:top w:val="single" w:sz="4" w:space="0" w:color="A0C3E2"/>
              <w:left w:val="single" w:sz="4" w:space="0" w:color="A0C3E2"/>
              <w:bottom w:val="single" w:sz="12" w:space="0" w:color="000000"/>
              <w:right w:val="single" w:sz="12" w:space="0" w:color="000000"/>
            </w:tcBorders>
            <w:shd w:val="clear" w:color="auto" w:fill="DFEBF4"/>
          </w:tcPr>
          <w:p>
            <w:pPr>
              <w:pStyle w:val="TableParagraph"/>
              <w:ind w:left="104" w:right="75"/>
              <w:jc w:val="both"/>
              <w:rPr>
                <w:sz w:val="22"/>
              </w:rPr>
            </w:pPr>
            <w:r>
              <w:rPr>
                <w:sz w:val="22"/>
              </w:rPr>
              <w:t>Council continues to be a transparent, accountable, and</w:t>
            </w:r>
            <w:r>
              <w:rPr>
                <w:spacing w:val="-1"/>
                <w:sz w:val="22"/>
              </w:rPr>
              <w:t> </w:t>
            </w:r>
            <w:r>
              <w:rPr>
                <w:sz w:val="22"/>
              </w:rPr>
              <w:t>future-focused leader that collaborates both locally and regionally, and actively champions local needs.</w:t>
            </w:r>
            <w:r>
              <w:rPr>
                <w:spacing w:val="3"/>
                <w:sz w:val="22"/>
              </w:rPr>
              <w:t> </w:t>
            </w:r>
            <w:r>
              <w:rPr>
                <w:sz w:val="22"/>
              </w:rPr>
              <w:t>Everyone</w:t>
            </w:r>
            <w:r>
              <w:rPr>
                <w:spacing w:val="5"/>
                <w:sz w:val="22"/>
              </w:rPr>
              <w:t> </w:t>
            </w:r>
            <w:r>
              <w:rPr>
                <w:sz w:val="22"/>
              </w:rPr>
              <w:t>in</w:t>
            </w:r>
            <w:r>
              <w:rPr>
                <w:spacing w:val="2"/>
                <w:sz w:val="22"/>
              </w:rPr>
              <w:t> </w:t>
            </w:r>
            <w:r>
              <w:rPr>
                <w:sz w:val="22"/>
              </w:rPr>
              <w:t>Maroondah</w:t>
            </w:r>
            <w:r>
              <w:rPr>
                <w:spacing w:val="5"/>
                <w:sz w:val="22"/>
              </w:rPr>
              <w:t> </w:t>
            </w:r>
            <w:r>
              <w:rPr>
                <w:sz w:val="22"/>
              </w:rPr>
              <w:t>is</w:t>
            </w:r>
            <w:r>
              <w:rPr>
                <w:spacing w:val="4"/>
                <w:sz w:val="22"/>
              </w:rPr>
              <w:t> </w:t>
            </w:r>
            <w:r>
              <w:rPr>
                <w:sz w:val="22"/>
              </w:rPr>
              <w:t>informed</w:t>
            </w:r>
            <w:r>
              <w:rPr>
                <w:spacing w:val="1"/>
                <w:sz w:val="22"/>
              </w:rPr>
              <w:t> </w:t>
            </w:r>
            <w:r>
              <w:rPr>
                <w:sz w:val="22"/>
              </w:rPr>
              <w:t>and</w:t>
            </w:r>
            <w:r>
              <w:rPr>
                <w:spacing w:val="2"/>
                <w:sz w:val="22"/>
              </w:rPr>
              <w:t> </w:t>
            </w:r>
            <w:r>
              <w:rPr>
                <w:sz w:val="22"/>
              </w:rPr>
              <w:t>provided</w:t>
            </w:r>
            <w:r>
              <w:rPr>
                <w:spacing w:val="6"/>
                <w:sz w:val="22"/>
              </w:rPr>
              <w:t> </w:t>
            </w:r>
            <w:r>
              <w:rPr>
                <w:sz w:val="22"/>
              </w:rPr>
              <w:t>with</w:t>
            </w:r>
            <w:r>
              <w:rPr>
                <w:spacing w:val="6"/>
                <w:sz w:val="22"/>
              </w:rPr>
              <w:t> </w:t>
            </w:r>
            <w:r>
              <w:rPr>
                <w:sz w:val="22"/>
              </w:rPr>
              <w:t>opportunities</w:t>
            </w:r>
            <w:r>
              <w:rPr>
                <w:spacing w:val="6"/>
                <w:sz w:val="22"/>
              </w:rPr>
              <w:t> </w:t>
            </w:r>
            <w:r>
              <w:rPr>
                <w:spacing w:val="-5"/>
                <w:sz w:val="22"/>
              </w:rPr>
              <w:t>to</w:t>
            </w:r>
          </w:p>
          <w:p>
            <w:pPr>
              <w:pStyle w:val="TableParagraph"/>
              <w:spacing w:line="234" w:lineRule="exact" w:before="1"/>
              <w:ind w:left="104"/>
              <w:jc w:val="both"/>
              <w:rPr>
                <w:sz w:val="22"/>
              </w:rPr>
            </w:pPr>
            <w:r>
              <w:rPr>
                <w:spacing w:val="-2"/>
                <w:sz w:val="22"/>
              </w:rPr>
              <w:t>meaningfully</w:t>
            </w:r>
            <w:r>
              <w:rPr>
                <w:spacing w:val="-7"/>
                <w:sz w:val="22"/>
              </w:rPr>
              <w:t> </w:t>
            </w:r>
            <w:r>
              <w:rPr>
                <w:spacing w:val="-2"/>
                <w:sz w:val="22"/>
              </w:rPr>
              <w:t>engage</w:t>
            </w:r>
            <w:r>
              <w:rPr>
                <w:spacing w:val="-3"/>
                <w:sz w:val="22"/>
              </w:rPr>
              <w:t> </w:t>
            </w:r>
            <w:r>
              <w:rPr>
                <w:spacing w:val="-2"/>
                <w:sz w:val="22"/>
              </w:rPr>
              <w:t>in</w:t>
            </w:r>
            <w:r>
              <w:rPr>
                <w:spacing w:val="-3"/>
                <w:sz w:val="22"/>
              </w:rPr>
              <w:t> </w:t>
            </w:r>
            <w:r>
              <w:rPr>
                <w:spacing w:val="-2"/>
                <w:sz w:val="22"/>
              </w:rPr>
              <w:t>Council</w:t>
            </w:r>
            <w:r>
              <w:rPr>
                <w:spacing w:val="-4"/>
                <w:sz w:val="22"/>
              </w:rPr>
              <w:t> </w:t>
            </w:r>
            <w:r>
              <w:rPr>
                <w:spacing w:val="-2"/>
                <w:sz w:val="22"/>
              </w:rPr>
              <w:t>decision making about</w:t>
            </w:r>
            <w:r>
              <w:rPr>
                <w:spacing w:val="-1"/>
                <w:sz w:val="22"/>
              </w:rPr>
              <w:t> </w:t>
            </w:r>
            <w:r>
              <w:rPr>
                <w:spacing w:val="-2"/>
                <w:sz w:val="22"/>
              </w:rPr>
              <w:t>matters</w:t>
            </w:r>
            <w:r>
              <w:rPr>
                <w:spacing w:val="-5"/>
                <w:sz w:val="22"/>
              </w:rPr>
              <w:t> </w:t>
            </w:r>
            <w:r>
              <w:rPr>
                <w:spacing w:val="-2"/>
                <w:sz w:val="22"/>
              </w:rPr>
              <w:t>that affect</w:t>
            </w:r>
            <w:r>
              <w:rPr>
                <w:spacing w:val="-1"/>
                <w:sz w:val="22"/>
              </w:rPr>
              <w:t> </w:t>
            </w:r>
            <w:r>
              <w:rPr>
                <w:spacing w:val="-2"/>
                <w:sz w:val="22"/>
              </w:rPr>
              <w:t>them.</w:t>
            </w:r>
          </w:p>
        </w:tc>
      </w:tr>
    </w:tbl>
    <w:p>
      <w:pPr>
        <w:spacing w:after="0" w:line="234" w:lineRule="exact"/>
        <w:jc w:val="both"/>
        <w:rPr>
          <w:sz w:val="22"/>
        </w:rPr>
        <w:sectPr>
          <w:pgSz w:w="11910" w:h="16840"/>
          <w:pgMar w:header="0" w:footer="375" w:top="480" w:bottom="560" w:left="460" w:right="160"/>
        </w:sectPr>
      </w:pPr>
    </w:p>
    <w:p>
      <w:pPr>
        <w:pStyle w:val="Heading1"/>
        <w:numPr>
          <w:ilvl w:val="1"/>
          <w:numId w:val="12"/>
        </w:numPr>
        <w:tabs>
          <w:tab w:pos="1034" w:val="left" w:leader="none"/>
          <w:tab w:pos="1035" w:val="left" w:leader="none"/>
        </w:tabs>
        <w:spacing w:line="240" w:lineRule="auto" w:before="70" w:after="0"/>
        <w:ind w:left="1034" w:right="0" w:hanging="644"/>
        <w:jc w:val="left"/>
      </w:pPr>
      <w:bookmarkStart w:name="_TOC_250015" w:id="17"/>
      <w:r>
        <w:rPr>
          <w:color w:val="4966AC"/>
        </w:rPr>
        <w:t>Services</w:t>
      </w:r>
      <w:r>
        <w:rPr>
          <w:color w:val="4966AC"/>
          <w:spacing w:val="-12"/>
        </w:rPr>
        <w:t> </w:t>
      </w:r>
      <w:r>
        <w:rPr>
          <w:color w:val="4966AC"/>
        </w:rPr>
        <w:t>and</w:t>
      </w:r>
      <w:r>
        <w:rPr>
          <w:color w:val="4966AC"/>
          <w:spacing w:val="-11"/>
        </w:rPr>
        <w:t> </w:t>
      </w:r>
      <w:r>
        <w:rPr>
          <w:color w:val="4966AC"/>
        </w:rPr>
        <w:t>service</w:t>
      </w:r>
      <w:r>
        <w:rPr>
          <w:color w:val="4966AC"/>
          <w:spacing w:val="-11"/>
        </w:rPr>
        <w:t> </w:t>
      </w:r>
      <w:r>
        <w:rPr>
          <w:color w:val="4966AC"/>
        </w:rPr>
        <w:t>performance</w:t>
      </w:r>
      <w:r>
        <w:rPr>
          <w:color w:val="4966AC"/>
          <w:spacing w:val="-11"/>
        </w:rPr>
        <w:t> </w:t>
      </w:r>
      <w:bookmarkEnd w:id="17"/>
      <w:r>
        <w:rPr>
          <w:color w:val="4966AC"/>
          <w:spacing w:val="-2"/>
        </w:rPr>
        <w:t>indicators</w:t>
      </w:r>
    </w:p>
    <w:p>
      <w:pPr>
        <w:pStyle w:val="BodyText"/>
        <w:spacing w:before="251"/>
        <w:ind w:left="391" w:right="399"/>
        <w:jc w:val="both"/>
      </w:pPr>
      <w:r>
        <w:rPr/>
        <w:t>This section provides a</w:t>
      </w:r>
      <w:r>
        <w:rPr>
          <w:spacing w:val="-2"/>
        </w:rPr>
        <w:t> </w:t>
      </w:r>
      <w:r>
        <w:rPr/>
        <w:t>description of the</w:t>
      </w:r>
      <w:r>
        <w:rPr>
          <w:spacing w:val="-1"/>
        </w:rPr>
        <w:t> </w:t>
      </w:r>
      <w:r>
        <w:rPr/>
        <w:t>services and initiatives to be funded in the Budget for the</w:t>
      </w:r>
      <w:r>
        <w:rPr>
          <w:spacing w:val="-3"/>
        </w:rPr>
        <w:t> </w:t>
      </w:r>
      <w:r>
        <w:rPr/>
        <w:t>2025/26 year and how these will contribute to achieving the strategic objectives outlined in the Council Plan. It also describes several initiatives and service performance outcome indicators for key areas of Council’s operations. Council is required by legislation to identify major initiatives, initiatives and service performance outcome</w:t>
      </w:r>
      <w:r>
        <w:rPr>
          <w:spacing w:val="-10"/>
        </w:rPr>
        <w:t> </w:t>
      </w:r>
      <w:r>
        <w:rPr/>
        <w:t>indicators</w:t>
      </w:r>
      <w:r>
        <w:rPr>
          <w:spacing w:val="-8"/>
        </w:rPr>
        <w:t> </w:t>
      </w:r>
      <w:r>
        <w:rPr/>
        <w:t>in</w:t>
      </w:r>
      <w:r>
        <w:rPr>
          <w:spacing w:val="-8"/>
        </w:rPr>
        <w:t> </w:t>
      </w:r>
      <w:r>
        <w:rPr/>
        <w:t>the</w:t>
      </w:r>
      <w:r>
        <w:rPr>
          <w:spacing w:val="-10"/>
        </w:rPr>
        <w:t> </w:t>
      </w:r>
      <w:r>
        <w:rPr/>
        <w:t>Budget</w:t>
      </w:r>
      <w:r>
        <w:rPr>
          <w:spacing w:val="-6"/>
        </w:rPr>
        <w:t> </w:t>
      </w:r>
      <w:r>
        <w:rPr/>
        <w:t>and</w:t>
      </w:r>
      <w:r>
        <w:rPr>
          <w:spacing w:val="-10"/>
        </w:rPr>
        <w:t> </w:t>
      </w:r>
      <w:r>
        <w:rPr/>
        <w:t>report</w:t>
      </w:r>
      <w:r>
        <w:rPr>
          <w:spacing w:val="-6"/>
        </w:rPr>
        <w:t> </w:t>
      </w:r>
      <w:r>
        <w:rPr/>
        <w:t>against</w:t>
      </w:r>
      <w:r>
        <w:rPr>
          <w:spacing w:val="-8"/>
        </w:rPr>
        <w:t> </w:t>
      </w:r>
      <w:r>
        <w:rPr/>
        <w:t>them</w:t>
      </w:r>
      <w:r>
        <w:rPr>
          <w:spacing w:val="-6"/>
        </w:rPr>
        <w:t> </w:t>
      </w:r>
      <w:r>
        <w:rPr/>
        <w:t>in</w:t>
      </w:r>
      <w:r>
        <w:rPr>
          <w:spacing w:val="-10"/>
        </w:rPr>
        <w:t> </w:t>
      </w:r>
      <w:r>
        <w:rPr/>
        <w:t>their</w:t>
      </w:r>
      <w:r>
        <w:rPr>
          <w:spacing w:val="-8"/>
        </w:rPr>
        <w:t> </w:t>
      </w:r>
      <w:r>
        <w:rPr/>
        <w:t>Annual</w:t>
      </w:r>
      <w:r>
        <w:rPr>
          <w:spacing w:val="-6"/>
        </w:rPr>
        <w:t> </w:t>
      </w:r>
      <w:r>
        <w:rPr/>
        <w:t>Report</w:t>
      </w:r>
      <w:r>
        <w:rPr>
          <w:spacing w:val="-8"/>
        </w:rPr>
        <w:t> </w:t>
      </w:r>
      <w:r>
        <w:rPr/>
        <w:t>to</w:t>
      </w:r>
      <w:r>
        <w:rPr>
          <w:spacing w:val="-10"/>
        </w:rPr>
        <w:t> </w:t>
      </w:r>
      <w:r>
        <w:rPr/>
        <w:t>support</w:t>
      </w:r>
      <w:r>
        <w:rPr>
          <w:spacing w:val="-8"/>
        </w:rPr>
        <w:t> </w:t>
      </w:r>
      <w:r>
        <w:rPr/>
        <w:t>transparency</w:t>
      </w:r>
      <w:r>
        <w:rPr>
          <w:spacing w:val="-6"/>
        </w:rPr>
        <w:t> </w:t>
      </w:r>
      <w:r>
        <w:rPr/>
        <w:t>and </w:t>
      </w:r>
      <w:r>
        <w:rPr>
          <w:spacing w:val="-2"/>
        </w:rPr>
        <w:t>accountability.</w:t>
      </w:r>
    </w:p>
    <w:p>
      <w:pPr>
        <w:pStyle w:val="BodyText"/>
        <w:spacing w:before="2"/>
      </w:pPr>
    </w:p>
    <w:p>
      <w:pPr>
        <w:pStyle w:val="Heading2"/>
        <w:numPr>
          <w:ilvl w:val="2"/>
          <w:numId w:val="12"/>
        </w:numPr>
        <w:tabs>
          <w:tab w:pos="861" w:val="left" w:leader="none"/>
        </w:tabs>
        <w:spacing w:line="240" w:lineRule="auto" w:before="0" w:after="0"/>
        <w:ind w:left="391" w:right="558" w:firstLine="0"/>
        <w:jc w:val="left"/>
      </w:pPr>
      <w:bookmarkStart w:name="_TOC_250014" w:id="18"/>
      <w:r>
        <w:rPr>
          <w:color w:val="4966AC"/>
        </w:rPr>
        <w:t>Outcome</w:t>
      </w:r>
      <w:r>
        <w:rPr>
          <w:color w:val="4966AC"/>
          <w:spacing w:val="-6"/>
        </w:rPr>
        <w:t> </w:t>
      </w:r>
      <w:r>
        <w:rPr>
          <w:color w:val="4966AC"/>
        </w:rPr>
        <w:t>Area</w:t>
      </w:r>
      <w:r>
        <w:rPr>
          <w:color w:val="4966AC"/>
          <w:spacing w:val="-6"/>
        </w:rPr>
        <w:t> </w:t>
      </w:r>
      <w:r>
        <w:rPr>
          <w:color w:val="4966AC"/>
        </w:rPr>
        <w:t>(Strategic</w:t>
      </w:r>
      <w:r>
        <w:rPr>
          <w:color w:val="4966AC"/>
          <w:spacing w:val="-6"/>
        </w:rPr>
        <w:t> </w:t>
      </w:r>
      <w:r>
        <w:rPr>
          <w:color w:val="4966AC"/>
        </w:rPr>
        <w:t>Objective)</w:t>
      </w:r>
      <w:r>
        <w:rPr>
          <w:color w:val="4966AC"/>
          <w:spacing w:val="-2"/>
        </w:rPr>
        <w:t> </w:t>
      </w:r>
      <w:r>
        <w:rPr>
          <w:color w:val="4966AC"/>
        </w:rPr>
        <w:t>1:</w:t>
      </w:r>
      <w:r>
        <w:rPr>
          <w:color w:val="4966AC"/>
          <w:spacing w:val="-4"/>
        </w:rPr>
        <w:t> </w:t>
      </w:r>
      <w:r>
        <w:rPr>
          <w:color w:val="4966AC"/>
        </w:rPr>
        <w:t>A</w:t>
      </w:r>
      <w:r>
        <w:rPr>
          <w:color w:val="4966AC"/>
          <w:spacing w:val="-6"/>
        </w:rPr>
        <w:t> </w:t>
      </w:r>
      <w:r>
        <w:rPr>
          <w:color w:val="4966AC"/>
        </w:rPr>
        <w:t>healthy,</w:t>
      </w:r>
      <w:r>
        <w:rPr>
          <w:color w:val="4966AC"/>
          <w:spacing w:val="-4"/>
        </w:rPr>
        <w:t> </w:t>
      </w:r>
      <w:r>
        <w:rPr>
          <w:color w:val="4966AC"/>
        </w:rPr>
        <w:t>inclusive,</w:t>
      </w:r>
      <w:r>
        <w:rPr>
          <w:color w:val="4966AC"/>
          <w:spacing w:val="-4"/>
        </w:rPr>
        <w:t> </w:t>
      </w:r>
      <w:r>
        <w:rPr>
          <w:color w:val="4966AC"/>
        </w:rPr>
        <w:t>and</w:t>
      </w:r>
      <w:r>
        <w:rPr>
          <w:color w:val="4966AC"/>
          <w:spacing w:val="-4"/>
        </w:rPr>
        <w:t> </w:t>
      </w:r>
      <w:r>
        <w:rPr>
          <w:color w:val="4966AC"/>
        </w:rPr>
        <w:t>connected </w:t>
      </w:r>
      <w:bookmarkEnd w:id="18"/>
      <w:r>
        <w:rPr>
          <w:color w:val="4966AC"/>
          <w:spacing w:val="-2"/>
        </w:rPr>
        <w:t>community</w:t>
      </w:r>
    </w:p>
    <w:p>
      <w:pPr>
        <w:pStyle w:val="BodyText"/>
        <w:spacing w:before="11"/>
        <w:rPr>
          <w:b/>
          <w:sz w:val="21"/>
        </w:rPr>
      </w:pPr>
    </w:p>
    <w:tbl>
      <w:tblPr>
        <w:tblW w:w="0" w:type="auto"/>
        <w:jc w:val="left"/>
        <w:tblInd w:w="4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553"/>
        <w:gridCol w:w="3540"/>
        <w:gridCol w:w="1660"/>
        <w:gridCol w:w="1223"/>
        <w:gridCol w:w="1216"/>
        <w:gridCol w:w="1234"/>
      </w:tblGrid>
      <w:tr>
        <w:trPr>
          <w:trHeight w:val="295" w:hRule="atLeast"/>
        </w:trPr>
        <w:tc>
          <w:tcPr>
            <w:tcW w:w="7976" w:type="dxa"/>
            <w:gridSpan w:val="4"/>
            <w:tcBorders>
              <w:left w:val="single" w:sz="12" w:space="0" w:color="000000"/>
              <w:bottom w:val="nil"/>
              <w:right w:val="nil"/>
            </w:tcBorders>
            <w:shd w:val="clear" w:color="auto" w:fill="5B9AD4"/>
          </w:tcPr>
          <w:p>
            <w:pPr>
              <w:pStyle w:val="TableParagraph"/>
              <w:spacing w:before="28"/>
              <w:ind w:right="230"/>
              <w:jc w:val="right"/>
              <w:rPr>
                <w:b/>
                <w:sz w:val="20"/>
              </w:rPr>
            </w:pPr>
            <w:r>
              <w:rPr>
                <w:b/>
                <w:color w:val="FFFFFF"/>
                <w:spacing w:val="-2"/>
                <w:sz w:val="20"/>
              </w:rPr>
              <w:t>2023/24</w:t>
            </w:r>
          </w:p>
        </w:tc>
        <w:tc>
          <w:tcPr>
            <w:tcW w:w="1216" w:type="dxa"/>
            <w:tcBorders>
              <w:left w:val="nil"/>
              <w:bottom w:val="nil"/>
              <w:right w:val="nil"/>
            </w:tcBorders>
            <w:shd w:val="clear" w:color="auto" w:fill="5B9AD4"/>
          </w:tcPr>
          <w:p>
            <w:pPr>
              <w:pStyle w:val="TableParagraph"/>
              <w:spacing w:before="28"/>
              <w:ind w:left="232"/>
              <w:rPr>
                <w:b/>
                <w:sz w:val="20"/>
              </w:rPr>
            </w:pPr>
            <w:r>
              <w:rPr>
                <w:b/>
                <w:color w:val="FFFFFF"/>
                <w:spacing w:val="-2"/>
                <w:sz w:val="20"/>
              </w:rPr>
              <w:t>2024/25</w:t>
            </w:r>
          </w:p>
        </w:tc>
        <w:tc>
          <w:tcPr>
            <w:tcW w:w="1234" w:type="dxa"/>
            <w:tcBorders>
              <w:left w:val="nil"/>
              <w:bottom w:val="nil"/>
              <w:right w:val="single" w:sz="12" w:space="0" w:color="000000"/>
            </w:tcBorders>
            <w:shd w:val="clear" w:color="auto" w:fill="5B9AD4"/>
          </w:tcPr>
          <w:p>
            <w:pPr>
              <w:pStyle w:val="TableParagraph"/>
              <w:spacing w:before="28"/>
              <w:ind w:left="253"/>
              <w:rPr>
                <w:b/>
                <w:sz w:val="20"/>
              </w:rPr>
            </w:pPr>
            <w:r>
              <w:rPr>
                <w:b/>
                <w:color w:val="FFFFFF"/>
                <w:spacing w:val="-2"/>
                <w:sz w:val="20"/>
              </w:rPr>
              <w:t>2025/26</w:t>
            </w:r>
          </w:p>
        </w:tc>
      </w:tr>
      <w:tr>
        <w:trPr>
          <w:trHeight w:val="626" w:hRule="atLeast"/>
        </w:trPr>
        <w:tc>
          <w:tcPr>
            <w:tcW w:w="1553" w:type="dxa"/>
            <w:tcBorders>
              <w:top w:val="nil"/>
              <w:left w:val="single" w:sz="12" w:space="0" w:color="000000"/>
              <w:bottom w:val="single" w:sz="4" w:space="0" w:color="000000"/>
              <w:right w:val="single" w:sz="4" w:space="0" w:color="000000"/>
            </w:tcBorders>
            <w:shd w:val="clear" w:color="auto" w:fill="5B9AD4"/>
          </w:tcPr>
          <w:p>
            <w:pPr>
              <w:pStyle w:val="TableParagraph"/>
              <w:spacing w:line="155" w:lineRule="exact"/>
              <w:ind w:left="169"/>
              <w:rPr>
                <w:b/>
                <w:sz w:val="20"/>
              </w:rPr>
            </w:pPr>
            <w:r>
              <w:rPr>
                <w:b/>
                <w:color w:val="FFFFFF"/>
                <w:sz w:val="20"/>
              </w:rPr>
              <w:t>Service</w:t>
            </w:r>
            <w:r>
              <w:rPr>
                <w:b/>
                <w:color w:val="FFFFFF"/>
                <w:spacing w:val="-10"/>
                <w:sz w:val="20"/>
              </w:rPr>
              <w:t> </w:t>
            </w:r>
            <w:r>
              <w:rPr>
                <w:b/>
                <w:color w:val="FFFFFF"/>
                <w:spacing w:val="-4"/>
                <w:sz w:val="20"/>
              </w:rPr>
              <w:t>Area</w:t>
            </w:r>
          </w:p>
        </w:tc>
        <w:tc>
          <w:tcPr>
            <w:tcW w:w="3540" w:type="dxa"/>
            <w:tcBorders>
              <w:top w:val="nil"/>
              <w:left w:val="single" w:sz="4" w:space="0" w:color="000000"/>
              <w:bottom w:val="single" w:sz="4" w:space="0" w:color="000000"/>
              <w:right w:val="single" w:sz="4" w:space="0" w:color="000000"/>
            </w:tcBorders>
            <w:shd w:val="clear" w:color="auto" w:fill="5B9AD4"/>
          </w:tcPr>
          <w:p>
            <w:pPr>
              <w:pStyle w:val="TableParagraph"/>
              <w:spacing w:before="45"/>
              <w:ind w:left="911"/>
              <w:rPr>
                <w:b/>
                <w:sz w:val="20"/>
              </w:rPr>
            </w:pPr>
            <w:r>
              <w:rPr>
                <w:b/>
                <w:color w:val="FFFFFF"/>
                <w:sz w:val="20"/>
              </w:rPr>
              <w:t>Services</w:t>
            </w:r>
            <w:r>
              <w:rPr>
                <w:b/>
                <w:color w:val="FFFFFF"/>
                <w:spacing w:val="-9"/>
                <w:sz w:val="20"/>
              </w:rPr>
              <w:t> </w:t>
            </w:r>
            <w:r>
              <w:rPr>
                <w:b/>
                <w:color w:val="FFFFFF"/>
                <w:spacing w:val="-2"/>
                <w:sz w:val="20"/>
              </w:rPr>
              <w:t>Provided</w:t>
            </w:r>
          </w:p>
        </w:tc>
        <w:tc>
          <w:tcPr>
            <w:tcW w:w="2883" w:type="dxa"/>
            <w:gridSpan w:val="2"/>
            <w:tcBorders>
              <w:top w:val="nil"/>
              <w:left w:val="single" w:sz="4" w:space="0" w:color="000000"/>
              <w:bottom w:val="nil"/>
              <w:right w:val="nil"/>
            </w:tcBorders>
            <w:shd w:val="clear" w:color="auto" w:fill="5B9AD4"/>
          </w:tcPr>
          <w:p>
            <w:pPr>
              <w:pStyle w:val="TableParagraph"/>
              <w:spacing w:before="45"/>
              <w:ind w:right="296"/>
              <w:jc w:val="right"/>
              <w:rPr>
                <w:b/>
                <w:sz w:val="20"/>
              </w:rPr>
            </w:pPr>
            <w:r>
              <w:rPr>
                <w:b/>
                <w:color w:val="FFFFFF"/>
                <w:spacing w:val="-2"/>
                <w:sz w:val="20"/>
              </w:rPr>
              <w:t>Actual</w:t>
            </w:r>
          </w:p>
          <w:p>
            <w:pPr>
              <w:pStyle w:val="TableParagraph"/>
              <w:spacing w:before="82"/>
              <w:ind w:right="356"/>
              <w:jc w:val="right"/>
              <w:rPr>
                <w:b/>
                <w:sz w:val="20"/>
              </w:rPr>
            </w:pPr>
            <w:r>
              <w:rPr>
                <w:b/>
                <w:color w:val="FFFFFF"/>
                <w:spacing w:val="-2"/>
                <w:sz w:val="20"/>
              </w:rPr>
              <w:t>$'000</w:t>
            </w:r>
          </w:p>
        </w:tc>
        <w:tc>
          <w:tcPr>
            <w:tcW w:w="1216" w:type="dxa"/>
            <w:tcBorders>
              <w:top w:val="nil"/>
              <w:left w:val="nil"/>
              <w:bottom w:val="single" w:sz="4" w:space="0" w:color="000000"/>
              <w:right w:val="nil"/>
            </w:tcBorders>
            <w:shd w:val="clear" w:color="auto" w:fill="5B9AD4"/>
          </w:tcPr>
          <w:p>
            <w:pPr>
              <w:pStyle w:val="TableParagraph"/>
              <w:spacing w:before="45"/>
              <w:ind w:left="85" w:right="113"/>
              <w:jc w:val="center"/>
              <w:rPr>
                <w:b/>
                <w:sz w:val="20"/>
              </w:rPr>
            </w:pPr>
            <w:r>
              <w:rPr>
                <w:b/>
                <w:color w:val="FFFFFF"/>
                <w:spacing w:val="-2"/>
                <w:sz w:val="20"/>
              </w:rPr>
              <w:t>Forecast</w:t>
            </w:r>
          </w:p>
          <w:p>
            <w:pPr>
              <w:pStyle w:val="TableParagraph"/>
              <w:spacing w:before="82"/>
              <w:ind w:left="83" w:right="113"/>
              <w:jc w:val="center"/>
              <w:rPr>
                <w:b/>
                <w:sz w:val="20"/>
              </w:rPr>
            </w:pPr>
            <w:r>
              <w:rPr>
                <w:b/>
                <w:color w:val="FFFFFF"/>
                <w:spacing w:val="-2"/>
                <w:sz w:val="20"/>
              </w:rPr>
              <w:t>$'000</w:t>
            </w:r>
          </w:p>
        </w:tc>
        <w:tc>
          <w:tcPr>
            <w:tcW w:w="1234" w:type="dxa"/>
            <w:tcBorders>
              <w:top w:val="nil"/>
              <w:left w:val="nil"/>
              <w:bottom w:val="single" w:sz="4" w:space="0" w:color="000000"/>
              <w:right w:val="single" w:sz="12" w:space="0" w:color="000000"/>
            </w:tcBorders>
            <w:shd w:val="clear" w:color="auto" w:fill="5B9AD4"/>
          </w:tcPr>
          <w:p>
            <w:pPr>
              <w:pStyle w:val="TableParagraph"/>
              <w:spacing w:before="45"/>
              <w:ind w:left="270"/>
              <w:rPr>
                <w:b/>
                <w:sz w:val="20"/>
              </w:rPr>
            </w:pPr>
            <w:r>
              <w:rPr>
                <w:b/>
                <w:color w:val="FFFFFF"/>
                <w:spacing w:val="-2"/>
                <w:sz w:val="20"/>
              </w:rPr>
              <w:t>Budget</w:t>
            </w:r>
          </w:p>
          <w:p>
            <w:pPr>
              <w:pStyle w:val="TableParagraph"/>
              <w:spacing w:before="82"/>
              <w:ind w:left="369"/>
              <w:rPr>
                <w:b/>
                <w:sz w:val="20"/>
              </w:rPr>
            </w:pPr>
            <w:r>
              <w:rPr>
                <w:b/>
                <w:color w:val="FFFFFF"/>
                <w:spacing w:val="-2"/>
                <w:sz w:val="20"/>
              </w:rPr>
              <w:t>$'000</w:t>
            </w:r>
          </w:p>
        </w:tc>
      </w:tr>
      <w:tr>
        <w:trPr>
          <w:trHeight w:val="613" w:hRule="atLeast"/>
        </w:trPr>
        <w:tc>
          <w:tcPr>
            <w:tcW w:w="1553" w:type="dxa"/>
            <w:vMerge w:val="restart"/>
            <w:tcBorders>
              <w:top w:val="single" w:sz="4" w:space="0" w:color="000000"/>
              <w:left w:val="single" w:sz="12" w:space="0" w:color="000000"/>
              <w:bottom w:val="single" w:sz="4" w:space="0" w:color="000000"/>
              <w:right w:val="single" w:sz="4" w:space="0" w:color="000000"/>
            </w:tcBorders>
          </w:tcPr>
          <w:p>
            <w:pPr>
              <w:pStyle w:val="TableParagraph"/>
              <w:ind w:left="107" w:right="173"/>
              <w:rPr>
                <w:sz w:val="20"/>
              </w:rPr>
            </w:pPr>
            <w:r>
              <w:rPr>
                <w:sz w:val="20"/>
              </w:rPr>
              <w:t>Aged</w:t>
            </w:r>
            <w:r>
              <w:rPr>
                <w:spacing w:val="-7"/>
                <w:sz w:val="20"/>
              </w:rPr>
              <w:t> </w:t>
            </w:r>
            <w:r>
              <w:rPr>
                <w:sz w:val="20"/>
              </w:rPr>
              <w:t>and disability</w:t>
            </w:r>
            <w:r>
              <w:rPr>
                <w:spacing w:val="-14"/>
                <w:sz w:val="20"/>
              </w:rPr>
              <w:t> </w:t>
            </w:r>
            <w:r>
              <w:rPr>
                <w:sz w:val="20"/>
              </w:rPr>
              <w:t>/ </w:t>
            </w:r>
            <w:r>
              <w:rPr>
                <w:spacing w:val="-2"/>
                <w:sz w:val="20"/>
              </w:rPr>
              <w:t>Positive ageing</w:t>
            </w:r>
          </w:p>
        </w:tc>
        <w:tc>
          <w:tcPr>
            <w:tcW w:w="3540" w:type="dxa"/>
            <w:vMerge w:val="restart"/>
            <w:tcBorders>
              <w:top w:val="single" w:sz="4" w:space="0" w:color="000000"/>
              <w:left w:val="single" w:sz="4" w:space="0" w:color="000000"/>
              <w:bottom w:val="single" w:sz="4" w:space="0" w:color="000000"/>
              <w:right w:val="single" w:sz="4" w:space="0" w:color="000000"/>
            </w:tcBorders>
          </w:tcPr>
          <w:p>
            <w:pPr>
              <w:pStyle w:val="TableParagraph"/>
              <w:numPr>
                <w:ilvl w:val="0"/>
                <w:numId w:val="13"/>
              </w:numPr>
              <w:tabs>
                <w:tab w:pos="429" w:val="left" w:leader="none"/>
                <w:tab w:pos="430" w:val="left" w:leader="none"/>
              </w:tabs>
              <w:spacing w:line="244" w:lineRule="exact" w:before="0" w:after="0"/>
              <w:ind w:left="429" w:right="0" w:hanging="313"/>
              <w:jc w:val="left"/>
              <w:rPr>
                <w:sz w:val="20"/>
              </w:rPr>
            </w:pPr>
            <w:r>
              <w:rPr>
                <w:sz w:val="20"/>
              </w:rPr>
              <w:t>Meals</w:t>
            </w:r>
            <w:r>
              <w:rPr>
                <w:spacing w:val="-6"/>
                <w:sz w:val="20"/>
              </w:rPr>
              <w:t> </w:t>
            </w:r>
            <w:r>
              <w:rPr>
                <w:sz w:val="20"/>
              </w:rPr>
              <w:t>on</w:t>
            </w:r>
            <w:r>
              <w:rPr>
                <w:spacing w:val="-4"/>
                <w:sz w:val="20"/>
              </w:rPr>
              <w:t> </w:t>
            </w:r>
            <w:r>
              <w:rPr>
                <w:spacing w:val="-2"/>
                <w:sz w:val="20"/>
              </w:rPr>
              <w:t>Wheels</w:t>
            </w:r>
          </w:p>
          <w:p>
            <w:pPr>
              <w:pStyle w:val="TableParagraph"/>
              <w:numPr>
                <w:ilvl w:val="0"/>
                <w:numId w:val="13"/>
              </w:numPr>
              <w:tabs>
                <w:tab w:pos="429" w:val="left" w:leader="none"/>
                <w:tab w:pos="430" w:val="left" w:leader="none"/>
              </w:tabs>
              <w:spacing w:line="244" w:lineRule="exact" w:before="0" w:after="0"/>
              <w:ind w:left="429" w:right="0" w:hanging="313"/>
              <w:jc w:val="left"/>
              <w:rPr>
                <w:sz w:val="20"/>
              </w:rPr>
            </w:pPr>
            <w:r>
              <w:rPr>
                <w:sz w:val="20"/>
              </w:rPr>
              <w:t>Support</w:t>
            </w:r>
            <w:r>
              <w:rPr>
                <w:spacing w:val="-8"/>
                <w:sz w:val="20"/>
              </w:rPr>
              <w:t> </w:t>
            </w:r>
            <w:r>
              <w:rPr>
                <w:sz w:val="20"/>
              </w:rPr>
              <w:t>for</w:t>
            </w:r>
            <w:r>
              <w:rPr>
                <w:spacing w:val="-6"/>
                <w:sz w:val="20"/>
              </w:rPr>
              <w:t> </w:t>
            </w:r>
            <w:r>
              <w:rPr>
                <w:sz w:val="20"/>
              </w:rPr>
              <w:t>vulnerable</w:t>
            </w:r>
            <w:r>
              <w:rPr>
                <w:spacing w:val="-7"/>
                <w:sz w:val="20"/>
              </w:rPr>
              <w:t> </w:t>
            </w:r>
            <w:r>
              <w:rPr>
                <w:spacing w:val="-2"/>
                <w:sz w:val="20"/>
              </w:rPr>
              <w:t>persons</w:t>
            </w:r>
          </w:p>
          <w:p>
            <w:pPr>
              <w:pStyle w:val="TableParagraph"/>
              <w:numPr>
                <w:ilvl w:val="0"/>
                <w:numId w:val="13"/>
              </w:numPr>
              <w:tabs>
                <w:tab w:pos="429" w:val="left" w:leader="none"/>
                <w:tab w:pos="430" w:val="left" w:leader="none"/>
              </w:tabs>
              <w:spacing w:line="237" w:lineRule="auto" w:before="2" w:after="0"/>
              <w:ind w:left="429" w:right="106" w:hanging="312"/>
              <w:jc w:val="left"/>
              <w:rPr>
                <w:sz w:val="20"/>
              </w:rPr>
            </w:pPr>
            <w:r>
              <w:rPr>
                <w:sz w:val="20"/>
              </w:rPr>
              <w:t>National Disability Insurance Scheme</w:t>
            </w:r>
            <w:r>
              <w:rPr>
                <w:spacing w:val="-13"/>
                <w:sz w:val="20"/>
              </w:rPr>
              <w:t> </w:t>
            </w:r>
            <w:r>
              <w:rPr>
                <w:sz w:val="20"/>
              </w:rPr>
              <w:t>navigation</w:t>
            </w:r>
            <w:r>
              <w:rPr>
                <w:spacing w:val="-13"/>
                <w:sz w:val="20"/>
              </w:rPr>
              <w:t> </w:t>
            </w:r>
            <w:r>
              <w:rPr>
                <w:sz w:val="20"/>
              </w:rPr>
              <w:t>and</w:t>
            </w:r>
            <w:r>
              <w:rPr>
                <w:spacing w:val="-11"/>
                <w:sz w:val="20"/>
              </w:rPr>
              <w:t> </w:t>
            </w:r>
            <w:r>
              <w:rPr>
                <w:sz w:val="20"/>
              </w:rPr>
              <w:t>advocacy </w:t>
            </w:r>
            <w:r>
              <w:rPr>
                <w:spacing w:val="-2"/>
                <w:sz w:val="20"/>
              </w:rPr>
              <w:t>support</w:t>
            </w:r>
          </w:p>
          <w:p>
            <w:pPr>
              <w:pStyle w:val="TableParagraph"/>
              <w:numPr>
                <w:ilvl w:val="0"/>
                <w:numId w:val="13"/>
              </w:numPr>
              <w:tabs>
                <w:tab w:pos="429" w:val="left" w:leader="none"/>
                <w:tab w:pos="430" w:val="left" w:leader="none"/>
              </w:tabs>
              <w:spacing w:line="235" w:lineRule="auto" w:before="7" w:after="0"/>
              <w:ind w:left="429" w:right="755" w:hanging="312"/>
              <w:jc w:val="left"/>
              <w:rPr>
                <w:sz w:val="20"/>
              </w:rPr>
            </w:pPr>
            <w:r>
              <w:rPr>
                <w:sz w:val="20"/>
              </w:rPr>
              <w:t>Maroondah</w:t>
            </w:r>
            <w:r>
              <w:rPr>
                <w:spacing w:val="-14"/>
                <w:sz w:val="20"/>
              </w:rPr>
              <w:t> </w:t>
            </w:r>
            <w:r>
              <w:rPr>
                <w:sz w:val="20"/>
              </w:rPr>
              <w:t>Police</w:t>
            </w:r>
            <w:r>
              <w:rPr>
                <w:spacing w:val="-14"/>
                <w:sz w:val="20"/>
              </w:rPr>
              <w:t> </w:t>
            </w:r>
            <w:r>
              <w:rPr>
                <w:sz w:val="20"/>
              </w:rPr>
              <w:t>Seniors </w:t>
            </w:r>
            <w:r>
              <w:rPr>
                <w:spacing w:val="-2"/>
                <w:sz w:val="20"/>
              </w:rPr>
              <w:t>Register</w:t>
            </w:r>
          </w:p>
          <w:p>
            <w:pPr>
              <w:pStyle w:val="TableParagraph"/>
              <w:numPr>
                <w:ilvl w:val="0"/>
                <w:numId w:val="13"/>
              </w:numPr>
              <w:tabs>
                <w:tab w:pos="429" w:val="left" w:leader="none"/>
                <w:tab w:pos="430" w:val="left" w:leader="none"/>
              </w:tabs>
              <w:spacing w:line="244" w:lineRule="exact" w:before="3" w:after="0"/>
              <w:ind w:left="429" w:right="0" w:hanging="313"/>
              <w:jc w:val="left"/>
              <w:rPr>
                <w:sz w:val="20"/>
              </w:rPr>
            </w:pPr>
            <w:r>
              <w:rPr>
                <w:sz w:val="20"/>
              </w:rPr>
              <w:t>Positive</w:t>
            </w:r>
            <w:r>
              <w:rPr>
                <w:spacing w:val="-11"/>
                <w:sz w:val="20"/>
              </w:rPr>
              <w:t> </w:t>
            </w:r>
            <w:r>
              <w:rPr>
                <w:spacing w:val="-2"/>
                <w:sz w:val="20"/>
              </w:rPr>
              <w:t>ageing</w:t>
            </w:r>
          </w:p>
          <w:p>
            <w:pPr>
              <w:pStyle w:val="TableParagraph"/>
              <w:numPr>
                <w:ilvl w:val="0"/>
                <w:numId w:val="13"/>
              </w:numPr>
              <w:tabs>
                <w:tab w:pos="429" w:val="left" w:leader="none"/>
                <w:tab w:pos="430" w:val="left" w:leader="none"/>
              </w:tabs>
              <w:spacing w:line="244" w:lineRule="exact" w:before="0" w:after="0"/>
              <w:ind w:left="429" w:right="0" w:hanging="313"/>
              <w:jc w:val="left"/>
              <w:rPr>
                <w:sz w:val="20"/>
              </w:rPr>
            </w:pPr>
            <w:r>
              <w:rPr>
                <w:spacing w:val="-2"/>
                <w:sz w:val="20"/>
              </w:rPr>
              <w:t>Volunteering</w:t>
            </w:r>
            <w:r>
              <w:rPr>
                <w:spacing w:val="8"/>
                <w:sz w:val="20"/>
              </w:rPr>
              <w:t> </w:t>
            </w:r>
            <w:r>
              <w:rPr>
                <w:spacing w:val="-2"/>
                <w:sz w:val="20"/>
              </w:rPr>
              <w:t>opportunities</w:t>
            </w:r>
          </w:p>
        </w:tc>
        <w:tc>
          <w:tcPr>
            <w:tcW w:w="1660" w:type="dxa"/>
            <w:tcBorders>
              <w:top w:val="nil"/>
              <w:left w:val="single" w:sz="4" w:space="0" w:color="000000"/>
              <w:bottom w:val="single" w:sz="4" w:space="0" w:color="000000"/>
              <w:right w:val="nil"/>
            </w:tcBorders>
          </w:tcPr>
          <w:p>
            <w:pPr>
              <w:pStyle w:val="TableParagraph"/>
              <w:spacing w:line="229" w:lineRule="exact"/>
              <w:ind w:left="114"/>
              <w:rPr>
                <w:sz w:val="20"/>
              </w:rPr>
            </w:pPr>
            <w:r>
              <w:rPr>
                <w:spacing w:val="-2"/>
                <w:sz w:val="20"/>
              </w:rPr>
              <w:t>Income</w:t>
            </w:r>
          </w:p>
          <w:p>
            <w:pPr>
              <w:pStyle w:val="TableParagraph"/>
              <w:spacing w:before="82"/>
              <w:ind w:left="114"/>
              <w:rPr>
                <w:sz w:val="20"/>
              </w:rPr>
            </w:pPr>
            <w:r>
              <w:rPr>
                <w:spacing w:val="-2"/>
                <w:sz w:val="20"/>
              </w:rPr>
              <w:t>Expenditure</w:t>
            </w:r>
          </w:p>
        </w:tc>
        <w:tc>
          <w:tcPr>
            <w:tcW w:w="1223" w:type="dxa"/>
            <w:tcBorders>
              <w:top w:val="single" w:sz="4" w:space="0" w:color="000000"/>
              <w:left w:val="nil"/>
              <w:bottom w:val="single" w:sz="4" w:space="0" w:color="000000"/>
              <w:right w:val="nil"/>
            </w:tcBorders>
          </w:tcPr>
          <w:p>
            <w:pPr>
              <w:pStyle w:val="TableParagraph"/>
              <w:spacing w:line="206" w:lineRule="exact"/>
              <w:ind w:left="622"/>
              <w:rPr>
                <w:sz w:val="18"/>
              </w:rPr>
            </w:pPr>
            <w:r>
              <w:rPr>
                <w:spacing w:val="-2"/>
                <w:sz w:val="18"/>
              </w:rPr>
              <w:t>2,289</w:t>
            </w:r>
          </w:p>
          <w:p>
            <w:pPr>
              <w:pStyle w:val="TableParagraph"/>
              <w:spacing w:before="105"/>
              <w:ind w:left="622"/>
              <w:rPr>
                <w:sz w:val="18"/>
              </w:rPr>
            </w:pPr>
            <w:r>
              <w:rPr>
                <w:spacing w:val="-2"/>
                <w:sz w:val="18"/>
              </w:rPr>
              <w:t>3,762</w:t>
            </w:r>
          </w:p>
        </w:tc>
        <w:tc>
          <w:tcPr>
            <w:tcW w:w="1216" w:type="dxa"/>
            <w:tcBorders>
              <w:top w:val="single" w:sz="4" w:space="0" w:color="000000"/>
              <w:left w:val="nil"/>
              <w:bottom w:val="single" w:sz="4" w:space="0" w:color="000000"/>
              <w:right w:val="nil"/>
            </w:tcBorders>
          </w:tcPr>
          <w:p>
            <w:pPr>
              <w:pStyle w:val="TableParagraph"/>
              <w:spacing w:line="206" w:lineRule="exact"/>
              <w:ind w:left="671"/>
              <w:rPr>
                <w:sz w:val="18"/>
              </w:rPr>
            </w:pPr>
            <w:r>
              <w:rPr>
                <w:spacing w:val="-2"/>
                <w:sz w:val="18"/>
              </w:rPr>
              <w:t>1,921</w:t>
            </w:r>
          </w:p>
          <w:p>
            <w:pPr>
              <w:pStyle w:val="TableParagraph"/>
              <w:spacing w:before="105"/>
              <w:ind w:left="671"/>
              <w:rPr>
                <w:sz w:val="18"/>
              </w:rPr>
            </w:pPr>
            <w:r>
              <w:rPr>
                <w:spacing w:val="-2"/>
                <w:sz w:val="18"/>
              </w:rPr>
              <w:t>3,207</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line="206" w:lineRule="exact"/>
              <w:ind w:left="673"/>
              <w:rPr>
                <w:sz w:val="18"/>
              </w:rPr>
            </w:pPr>
            <w:r>
              <w:rPr>
                <w:spacing w:val="-2"/>
                <w:sz w:val="18"/>
              </w:rPr>
              <w:t>1,109</w:t>
            </w:r>
          </w:p>
          <w:p>
            <w:pPr>
              <w:pStyle w:val="TableParagraph"/>
              <w:spacing w:before="105"/>
              <w:ind w:left="673"/>
              <w:rPr>
                <w:sz w:val="18"/>
              </w:rPr>
            </w:pPr>
            <w:r>
              <w:rPr>
                <w:spacing w:val="-2"/>
                <w:sz w:val="18"/>
              </w:rPr>
              <w:t>1,959</w:t>
            </w:r>
          </w:p>
        </w:tc>
      </w:tr>
      <w:tr>
        <w:trPr>
          <w:trHeight w:val="460" w:hRule="atLeast"/>
        </w:trPr>
        <w:tc>
          <w:tcPr>
            <w:tcW w:w="1553" w:type="dxa"/>
            <w:vMerge/>
            <w:tcBorders>
              <w:top w:val="nil"/>
              <w:left w:val="single" w:sz="12" w:space="0" w:color="000000"/>
              <w:bottom w:val="single" w:sz="4" w:space="0" w:color="000000"/>
              <w:right w:val="single" w:sz="4" w:space="0" w:color="000000"/>
            </w:tcBorders>
          </w:tcPr>
          <w:p>
            <w:pPr>
              <w:rPr>
                <w:sz w:val="2"/>
                <w:szCs w:val="2"/>
              </w:rPr>
            </w:pPr>
          </w:p>
        </w:tc>
        <w:tc>
          <w:tcPr>
            <w:tcW w:w="3540" w:type="dxa"/>
            <w:vMerge/>
            <w:tcBorders>
              <w:top w:val="nil"/>
              <w:left w:val="single" w:sz="4" w:space="0" w:color="000000"/>
              <w:bottom w:val="single" w:sz="4" w:space="0" w:color="000000"/>
              <w:right w:val="single" w:sz="4" w:space="0" w:color="000000"/>
            </w:tcBorders>
          </w:tcPr>
          <w:p>
            <w:pPr>
              <w:rPr>
                <w:sz w:val="2"/>
                <w:szCs w:val="2"/>
              </w:rPr>
            </w:pPr>
          </w:p>
        </w:tc>
        <w:tc>
          <w:tcPr>
            <w:tcW w:w="1660" w:type="dxa"/>
            <w:tcBorders>
              <w:top w:val="single" w:sz="4" w:space="0" w:color="000000"/>
              <w:left w:val="single" w:sz="4" w:space="0" w:color="000000"/>
              <w:bottom w:val="single" w:sz="4" w:space="0" w:color="000000"/>
              <w:right w:val="nil"/>
            </w:tcBorders>
          </w:tcPr>
          <w:p>
            <w:pPr>
              <w:pStyle w:val="TableParagraph"/>
              <w:spacing w:line="230" w:lineRule="exact"/>
              <w:ind w:left="114" w:right="15"/>
              <w:rPr>
                <w:b/>
                <w:sz w:val="20"/>
              </w:rPr>
            </w:pPr>
            <w:r>
              <w:rPr>
                <w:b/>
                <w:sz w:val="20"/>
              </w:rPr>
              <w:t>Surplus</w:t>
            </w:r>
            <w:r>
              <w:rPr>
                <w:b/>
                <w:spacing w:val="-14"/>
                <w:sz w:val="20"/>
              </w:rPr>
              <w:t> </w:t>
            </w:r>
            <w:r>
              <w:rPr>
                <w:b/>
                <w:sz w:val="20"/>
              </w:rPr>
              <w:t>/ </w:t>
            </w:r>
            <w:r>
              <w:rPr>
                <w:b/>
                <w:spacing w:val="-2"/>
                <w:sz w:val="20"/>
              </w:rPr>
              <w:t>(deficit)</w:t>
            </w:r>
          </w:p>
        </w:tc>
        <w:tc>
          <w:tcPr>
            <w:tcW w:w="1223" w:type="dxa"/>
            <w:tcBorders>
              <w:top w:val="single" w:sz="4" w:space="0" w:color="000000"/>
              <w:left w:val="nil"/>
              <w:bottom w:val="single" w:sz="4" w:space="0" w:color="000000"/>
              <w:right w:val="nil"/>
            </w:tcBorders>
          </w:tcPr>
          <w:p>
            <w:pPr>
              <w:pStyle w:val="TableParagraph"/>
              <w:spacing w:before="1"/>
              <w:ind w:right="145"/>
              <w:jc w:val="right"/>
              <w:rPr>
                <w:b/>
                <w:sz w:val="18"/>
              </w:rPr>
            </w:pPr>
            <w:r>
              <w:rPr>
                <w:b/>
                <w:spacing w:val="-2"/>
                <w:sz w:val="18"/>
              </w:rPr>
              <w:t>(1,473)</w:t>
            </w:r>
          </w:p>
        </w:tc>
        <w:tc>
          <w:tcPr>
            <w:tcW w:w="1216" w:type="dxa"/>
            <w:tcBorders>
              <w:top w:val="single" w:sz="4" w:space="0" w:color="000000"/>
              <w:left w:val="nil"/>
              <w:bottom w:val="single" w:sz="4" w:space="0" w:color="000000"/>
              <w:right w:val="nil"/>
            </w:tcBorders>
          </w:tcPr>
          <w:p>
            <w:pPr>
              <w:pStyle w:val="TableParagraph"/>
              <w:spacing w:before="1"/>
              <w:ind w:right="89"/>
              <w:jc w:val="right"/>
              <w:rPr>
                <w:b/>
                <w:sz w:val="18"/>
              </w:rPr>
            </w:pPr>
            <w:r>
              <w:rPr>
                <w:b/>
                <w:spacing w:val="-2"/>
                <w:sz w:val="18"/>
              </w:rPr>
              <w:t>(1,286)</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before="1"/>
              <w:ind w:right="74"/>
              <w:jc w:val="right"/>
              <w:rPr>
                <w:b/>
                <w:sz w:val="18"/>
              </w:rPr>
            </w:pPr>
            <w:r>
              <w:rPr>
                <w:b/>
                <w:spacing w:val="-2"/>
                <w:sz w:val="18"/>
              </w:rPr>
              <w:t>(850)</w:t>
            </w:r>
          </w:p>
        </w:tc>
      </w:tr>
      <w:tr>
        <w:trPr>
          <w:trHeight w:val="1528" w:hRule="atLeast"/>
        </w:trPr>
        <w:tc>
          <w:tcPr>
            <w:tcW w:w="1553" w:type="dxa"/>
            <w:vMerge/>
            <w:tcBorders>
              <w:top w:val="nil"/>
              <w:left w:val="single" w:sz="12" w:space="0" w:color="000000"/>
              <w:bottom w:val="single" w:sz="4" w:space="0" w:color="000000"/>
              <w:right w:val="single" w:sz="4" w:space="0" w:color="000000"/>
            </w:tcBorders>
          </w:tcPr>
          <w:p>
            <w:pPr>
              <w:rPr>
                <w:sz w:val="2"/>
                <w:szCs w:val="2"/>
              </w:rPr>
            </w:pPr>
          </w:p>
        </w:tc>
        <w:tc>
          <w:tcPr>
            <w:tcW w:w="3540" w:type="dxa"/>
            <w:vMerge/>
            <w:tcBorders>
              <w:top w:val="nil"/>
              <w:left w:val="single" w:sz="4" w:space="0" w:color="000000"/>
              <w:bottom w:val="single" w:sz="4" w:space="0" w:color="000000"/>
              <w:right w:val="single" w:sz="4" w:space="0" w:color="000000"/>
            </w:tcBorders>
          </w:tcPr>
          <w:p>
            <w:pPr>
              <w:rPr>
                <w:sz w:val="2"/>
                <w:szCs w:val="2"/>
              </w:rPr>
            </w:pPr>
          </w:p>
        </w:tc>
        <w:tc>
          <w:tcPr>
            <w:tcW w:w="5333" w:type="dxa"/>
            <w:gridSpan w:val="4"/>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20"/>
              </w:rPr>
            </w:pPr>
          </w:p>
        </w:tc>
      </w:tr>
      <w:tr>
        <w:trPr>
          <w:trHeight w:val="603" w:hRule="atLeast"/>
        </w:trPr>
        <w:tc>
          <w:tcPr>
            <w:tcW w:w="1553" w:type="dxa"/>
            <w:vMerge w:val="restart"/>
            <w:tcBorders>
              <w:top w:val="single" w:sz="4" w:space="0" w:color="000000"/>
              <w:left w:val="single" w:sz="12" w:space="0" w:color="000000"/>
              <w:bottom w:val="single" w:sz="12" w:space="0" w:color="000000"/>
              <w:right w:val="single" w:sz="4" w:space="0" w:color="000000"/>
            </w:tcBorders>
          </w:tcPr>
          <w:p>
            <w:pPr>
              <w:pStyle w:val="TableParagraph"/>
              <w:ind w:left="107"/>
              <w:rPr>
                <w:sz w:val="20"/>
              </w:rPr>
            </w:pPr>
            <w:r>
              <w:rPr>
                <w:spacing w:val="-2"/>
                <w:sz w:val="20"/>
              </w:rPr>
              <w:t>Community health</w:t>
            </w:r>
          </w:p>
        </w:tc>
        <w:tc>
          <w:tcPr>
            <w:tcW w:w="3540" w:type="dxa"/>
            <w:vMerge w:val="restart"/>
            <w:tcBorders>
              <w:top w:val="single" w:sz="4" w:space="0" w:color="000000"/>
              <w:left w:val="single" w:sz="4" w:space="0" w:color="000000"/>
              <w:bottom w:val="single" w:sz="12" w:space="0" w:color="000000"/>
              <w:right w:val="single" w:sz="4" w:space="0" w:color="000000"/>
            </w:tcBorders>
          </w:tcPr>
          <w:p>
            <w:pPr>
              <w:pStyle w:val="TableParagraph"/>
              <w:numPr>
                <w:ilvl w:val="0"/>
                <w:numId w:val="14"/>
              </w:numPr>
              <w:tabs>
                <w:tab w:pos="429" w:val="left" w:leader="none"/>
                <w:tab w:pos="430" w:val="left" w:leader="none"/>
              </w:tabs>
              <w:spacing w:line="244" w:lineRule="exact" w:before="0" w:after="0"/>
              <w:ind w:left="429" w:right="0" w:hanging="313"/>
              <w:jc w:val="left"/>
              <w:rPr>
                <w:sz w:val="20"/>
              </w:rPr>
            </w:pPr>
            <w:r>
              <w:rPr>
                <w:sz w:val="20"/>
              </w:rPr>
              <w:t>Immunisation</w:t>
            </w:r>
            <w:r>
              <w:rPr>
                <w:spacing w:val="-11"/>
                <w:sz w:val="20"/>
              </w:rPr>
              <w:t> </w:t>
            </w:r>
            <w:r>
              <w:rPr>
                <w:spacing w:val="-2"/>
                <w:sz w:val="20"/>
              </w:rPr>
              <w:t>service</w:t>
            </w:r>
          </w:p>
          <w:p>
            <w:pPr>
              <w:pStyle w:val="TableParagraph"/>
              <w:numPr>
                <w:ilvl w:val="0"/>
                <w:numId w:val="14"/>
              </w:numPr>
              <w:tabs>
                <w:tab w:pos="429" w:val="left" w:leader="none"/>
                <w:tab w:pos="430" w:val="left" w:leader="none"/>
              </w:tabs>
              <w:spacing w:line="235" w:lineRule="auto" w:before="3" w:after="0"/>
              <w:ind w:left="429" w:right="744" w:hanging="312"/>
              <w:jc w:val="left"/>
              <w:rPr>
                <w:sz w:val="20"/>
              </w:rPr>
            </w:pPr>
            <w:r>
              <w:rPr>
                <w:sz w:val="20"/>
              </w:rPr>
              <w:t>Food</w:t>
            </w:r>
            <w:r>
              <w:rPr>
                <w:spacing w:val="-14"/>
                <w:sz w:val="20"/>
              </w:rPr>
              <w:t> </w:t>
            </w:r>
            <w:r>
              <w:rPr>
                <w:sz w:val="20"/>
              </w:rPr>
              <w:t>safety</w:t>
            </w:r>
            <w:r>
              <w:rPr>
                <w:spacing w:val="-14"/>
                <w:sz w:val="20"/>
              </w:rPr>
              <w:t> </w:t>
            </w:r>
            <w:r>
              <w:rPr>
                <w:sz w:val="20"/>
              </w:rPr>
              <w:t>education</w:t>
            </w:r>
            <w:r>
              <w:rPr>
                <w:spacing w:val="-13"/>
                <w:sz w:val="20"/>
              </w:rPr>
              <w:t> </w:t>
            </w:r>
            <w:r>
              <w:rPr>
                <w:sz w:val="20"/>
              </w:rPr>
              <w:t>and </w:t>
            </w:r>
            <w:r>
              <w:rPr>
                <w:spacing w:val="-2"/>
                <w:sz w:val="20"/>
              </w:rPr>
              <w:t>compliance</w:t>
            </w:r>
          </w:p>
          <w:p>
            <w:pPr>
              <w:pStyle w:val="TableParagraph"/>
              <w:numPr>
                <w:ilvl w:val="0"/>
                <w:numId w:val="14"/>
              </w:numPr>
              <w:tabs>
                <w:tab w:pos="429" w:val="left" w:leader="none"/>
                <w:tab w:pos="430" w:val="left" w:leader="none"/>
              </w:tabs>
              <w:spacing w:line="245" w:lineRule="exact" w:before="3" w:after="0"/>
              <w:ind w:left="429" w:right="0" w:hanging="313"/>
              <w:jc w:val="left"/>
              <w:rPr>
                <w:sz w:val="20"/>
              </w:rPr>
            </w:pPr>
            <w:r>
              <w:rPr>
                <w:sz w:val="20"/>
              </w:rPr>
              <w:t>Public</w:t>
            </w:r>
            <w:r>
              <w:rPr>
                <w:spacing w:val="-8"/>
                <w:sz w:val="20"/>
              </w:rPr>
              <w:t> </w:t>
            </w:r>
            <w:r>
              <w:rPr>
                <w:sz w:val="20"/>
              </w:rPr>
              <w:t>health</w:t>
            </w:r>
            <w:r>
              <w:rPr>
                <w:spacing w:val="-7"/>
                <w:sz w:val="20"/>
              </w:rPr>
              <w:t> </w:t>
            </w:r>
            <w:r>
              <w:rPr>
                <w:spacing w:val="-2"/>
                <w:sz w:val="20"/>
              </w:rPr>
              <w:t>education</w:t>
            </w:r>
          </w:p>
          <w:p>
            <w:pPr>
              <w:pStyle w:val="TableParagraph"/>
              <w:numPr>
                <w:ilvl w:val="0"/>
                <w:numId w:val="14"/>
              </w:numPr>
              <w:tabs>
                <w:tab w:pos="429" w:val="left" w:leader="none"/>
                <w:tab w:pos="430" w:val="left" w:leader="none"/>
              </w:tabs>
              <w:spacing w:line="235" w:lineRule="auto" w:before="4" w:after="0"/>
              <w:ind w:left="429" w:right="676" w:hanging="312"/>
              <w:jc w:val="left"/>
              <w:rPr>
                <w:sz w:val="20"/>
              </w:rPr>
            </w:pPr>
            <w:r>
              <w:rPr>
                <w:sz w:val="20"/>
              </w:rPr>
              <w:t>Public</w:t>
            </w:r>
            <w:r>
              <w:rPr>
                <w:spacing w:val="-14"/>
                <w:sz w:val="20"/>
              </w:rPr>
              <w:t> </w:t>
            </w:r>
            <w:r>
              <w:rPr>
                <w:sz w:val="20"/>
              </w:rPr>
              <w:t>health</w:t>
            </w:r>
            <w:r>
              <w:rPr>
                <w:spacing w:val="-13"/>
                <w:sz w:val="20"/>
              </w:rPr>
              <w:t> </w:t>
            </w:r>
            <w:r>
              <w:rPr>
                <w:sz w:val="20"/>
              </w:rPr>
              <w:t>and</w:t>
            </w:r>
            <w:r>
              <w:rPr>
                <w:spacing w:val="-13"/>
                <w:sz w:val="20"/>
              </w:rPr>
              <w:t> </w:t>
            </w:r>
            <w:r>
              <w:rPr>
                <w:sz w:val="20"/>
              </w:rPr>
              <w:t>wellbeing </w:t>
            </w:r>
            <w:r>
              <w:rPr>
                <w:spacing w:val="-2"/>
                <w:sz w:val="20"/>
              </w:rPr>
              <w:t>regulation</w:t>
            </w:r>
          </w:p>
          <w:p>
            <w:pPr>
              <w:pStyle w:val="TableParagraph"/>
              <w:numPr>
                <w:ilvl w:val="0"/>
                <w:numId w:val="14"/>
              </w:numPr>
              <w:tabs>
                <w:tab w:pos="429" w:val="left" w:leader="none"/>
                <w:tab w:pos="430" w:val="left" w:leader="none"/>
              </w:tabs>
              <w:spacing w:line="235" w:lineRule="auto" w:before="7" w:after="0"/>
              <w:ind w:left="429" w:right="1023" w:hanging="312"/>
              <w:jc w:val="left"/>
              <w:rPr>
                <w:sz w:val="20"/>
              </w:rPr>
            </w:pPr>
            <w:r>
              <w:rPr>
                <w:sz w:val="20"/>
              </w:rPr>
              <w:t>Tobacco</w:t>
            </w:r>
            <w:r>
              <w:rPr>
                <w:spacing w:val="-14"/>
                <w:sz w:val="20"/>
              </w:rPr>
              <w:t> </w:t>
            </w:r>
            <w:r>
              <w:rPr>
                <w:sz w:val="20"/>
              </w:rPr>
              <w:t>education</w:t>
            </w:r>
            <w:r>
              <w:rPr>
                <w:spacing w:val="-14"/>
                <w:sz w:val="20"/>
              </w:rPr>
              <w:t> </w:t>
            </w:r>
            <w:r>
              <w:rPr>
                <w:sz w:val="20"/>
              </w:rPr>
              <w:t>and</w:t>
            </w:r>
            <w:r>
              <w:rPr>
                <w:sz w:val="20"/>
              </w:rPr>
              <w:t> </w:t>
            </w:r>
            <w:r>
              <w:rPr>
                <w:spacing w:val="-2"/>
                <w:sz w:val="20"/>
              </w:rPr>
              <w:t>compliance</w:t>
            </w:r>
          </w:p>
          <w:p>
            <w:pPr>
              <w:pStyle w:val="TableParagraph"/>
              <w:numPr>
                <w:ilvl w:val="0"/>
                <w:numId w:val="14"/>
              </w:numPr>
              <w:tabs>
                <w:tab w:pos="429" w:val="left" w:leader="none"/>
                <w:tab w:pos="430" w:val="left" w:leader="none"/>
              </w:tabs>
              <w:spacing w:line="240" w:lineRule="auto" w:before="4" w:after="0"/>
              <w:ind w:left="429" w:right="666" w:hanging="312"/>
              <w:jc w:val="left"/>
              <w:rPr>
                <w:sz w:val="20"/>
              </w:rPr>
            </w:pPr>
            <w:r>
              <w:rPr>
                <w:sz w:val="20"/>
              </w:rPr>
              <w:t>Onsite</w:t>
            </w:r>
            <w:r>
              <w:rPr>
                <w:spacing w:val="-14"/>
                <w:sz w:val="20"/>
              </w:rPr>
              <w:t> </w:t>
            </w:r>
            <w:r>
              <w:rPr>
                <w:sz w:val="20"/>
              </w:rPr>
              <w:t>wastewater</w:t>
            </w:r>
            <w:r>
              <w:rPr>
                <w:spacing w:val="-14"/>
                <w:sz w:val="20"/>
              </w:rPr>
              <w:t> </w:t>
            </w:r>
            <w:r>
              <w:rPr>
                <w:sz w:val="20"/>
              </w:rPr>
              <w:t>systems</w:t>
            </w:r>
            <w:r>
              <w:rPr>
                <w:sz w:val="20"/>
              </w:rPr>
              <w:t> </w:t>
            </w:r>
            <w:r>
              <w:rPr>
                <w:spacing w:val="-2"/>
                <w:sz w:val="20"/>
              </w:rPr>
              <w:t>management</w:t>
            </w:r>
          </w:p>
        </w:tc>
        <w:tc>
          <w:tcPr>
            <w:tcW w:w="1660" w:type="dxa"/>
            <w:tcBorders>
              <w:top w:val="single" w:sz="4" w:space="0" w:color="000000"/>
              <w:left w:val="single" w:sz="4" w:space="0" w:color="000000"/>
              <w:bottom w:val="single" w:sz="4" w:space="0" w:color="000000"/>
              <w:right w:val="nil"/>
            </w:tcBorders>
          </w:tcPr>
          <w:p>
            <w:pPr>
              <w:pStyle w:val="TableParagraph"/>
              <w:spacing w:line="229" w:lineRule="exact"/>
              <w:ind w:left="114"/>
              <w:rPr>
                <w:sz w:val="20"/>
              </w:rPr>
            </w:pPr>
            <w:r>
              <w:rPr>
                <w:spacing w:val="-2"/>
                <w:sz w:val="20"/>
              </w:rPr>
              <w:t>Income</w:t>
            </w:r>
          </w:p>
          <w:p>
            <w:pPr>
              <w:pStyle w:val="TableParagraph"/>
              <w:spacing w:before="82"/>
              <w:ind w:left="114"/>
              <w:rPr>
                <w:sz w:val="20"/>
              </w:rPr>
            </w:pPr>
            <w:r>
              <w:rPr>
                <w:spacing w:val="-2"/>
                <w:sz w:val="20"/>
              </w:rPr>
              <w:t>Expenditure</w:t>
            </w:r>
          </w:p>
        </w:tc>
        <w:tc>
          <w:tcPr>
            <w:tcW w:w="1223" w:type="dxa"/>
            <w:tcBorders>
              <w:top w:val="single" w:sz="4" w:space="0" w:color="000000"/>
              <w:left w:val="nil"/>
              <w:bottom w:val="single" w:sz="4" w:space="0" w:color="000000"/>
              <w:right w:val="nil"/>
            </w:tcBorders>
          </w:tcPr>
          <w:p>
            <w:pPr>
              <w:pStyle w:val="TableParagraph"/>
              <w:spacing w:line="206" w:lineRule="exact"/>
              <w:ind w:left="773"/>
              <w:rPr>
                <w:sz w:val="18"/>
              </w:rPr>
            </w:pPr>
            <w:r>
              <w:rPr>
                <w:spacing w:val="-5"/>
                <w:sz w:val="18"/>
              </w:rPr>
              <w:t>740</w:t>
            </w:r>
          </w:p>
          <w:p>
            <w:pPr>
              <w:pStyle w:val="TableParagraph"/>
              <w:spacing w:before="105"/>
              <w:ind w:left="622"/>
              <w:rPr>
                <w:sz w:val="18"/>
              </w:rPr>
            </w:pPr>
            <w:r>
              <w:rPr>
                <w:spacing w:val="-2"/>
                <w:sz w:val="18"/>
              </w:rPr>
              <w:t>1,799</w:t>
            </w:r>
          </w:p>
        </w:tc>
        <w:tc>
          <w:tcPr>
            <w:tcW w:w="1216" w:type="dxa"/>
            <w:tcBorders>
              <w:top w:val="single" w:sz="4" w:space="0" w:color="000000"/>
              <w:left w:val="nil"/>
              <w:bottom w:val="single" w:sz="4" w:space="0" w:color="000000"/>
              <w:right w:val="nil"/>
            </w:tcBorders>
          </w:tcPr>
          <w:p>
            <w:pPr>
              <w:pStyle w:val="TableParagraph"/>
              <w:spacing w:line="206" w:lineRule="exact"/>
              <w:ind w:right="91"/>
              <w:jc w:val="right"/>
              <w:rPr>
                <w:sz w:val="18"/>
              </w:rPr>
            </w:pPr>
            <w:r>
              <w:rPr>
                <w:spacing w:val="-5"/>
                <w:sz w:val="18"/>
              </w:rPr>
              <w:t>770</w:t>
            </w:r>
          </w:p>
          <w:p>
            <w:pPr>
              <w:pStyle w:val="TableParagraph"/>
              <w:spacing w:before="105"/>
              <w:ind w:left="671"/>
              <w:rPr>
                <w:sz w:val="18"/>
              </w:rPr>
            </w:pPr>
            <w:r>
              <w:rPr>
                <w:spacing w:val="-2"/>
                <w:sz w:val="18"/>
              </w:rPr>
              <w:t>1,718</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line="206" w:lineRule="exact"/>
              <w:ind w:right="76"/>
              <w:jc w:val="right"/>
              <w:rPr>
                <w:sz w:val="18"/>
              </w:rPr>
            </w:pPr>
            <w:r>
              <w:rPr>
                <w:spacing w:val="-5"/>
                <w:sz w:val="18"/>
              </w:rPr>
              <w:t>779</w:t>
            </w:r>
          </w:p>
          <w:p>
            <w:pPr>
              <w:pStyle w:val="TableParagraph"/>
              <w:spacing w:before="105"/>
              <w:ind w:left="673"/>
              <w:rPr>
                <w:sz w:val="18"/>
              </w:rPr>
            </w:pPr>
            <w:r>
              <w:rPr>
                <w:spacing w:val="-2"/>
                <w:sz w:val="18"/>
              </w:rPr>
              <w:t>1,830</w:t>
            </w:r>
          </w:p>
        </w:tc>
      </w:tr>
      <w:tr>
        <w:trPr>
          <w:trHeight w:val="440" w:hRule="atLeast"/>
        </w:trPr>
        <w:tc>
          <w:tcPr>
            <w:tcW w:w="1553" w:type="dxa"/>
            <w:vMerge/>
            <w:tcBorders>
              <w:top w:val="nil"/>
              <w:left w:val="single" w:sz="12" w:space="0" w:color="000000"/>
              <w:bottom w:val="single" w:sz="12" w:space="0" w:color="000000"/>
              <w:right w:val="single" w:sz="4" w:space="0" w:color="000000"/>
            </w:tcBorders>
          </w:tcPr>
          <w:p>
            <w:pPr>
              <w:rPr>
                <w:sz w:val="2"/>
                <w:szCs w:val="2"/>
              </w:rPr>
            </w:pPr>
          </w:p>
        </w:tc>
        <w:tc>
          <w:tcPr>
            <w:tcW w:w="3540" w:type="dxa"/>
            <w:vMerge/>
            <w:tcBorders>
              <w:top w:val="nil"/>
              <w:left w:val="single" w:sz="4" w:space="0" w:color="000000"/>
              <w:bottom w:val="single" w:sz="12" w:space="0" w:color="000000"/>
              <w:right w:val="single" w:sz="4" w:space="0" w:color="000000"/>
            </w:tcBorders>
          </w:tcPr>
          <w:p>
            <w:pPr>
              <w:rPr>
                <w:sz w:val="2"/>
                <w:szCs w:val="2"/>
              </w:rPr>
            </w:pPr>
          </w:p>
        </w:tc>
        <w:tc>
          <w:tcPr>
            <w:tcW w:w="1660" w:type="dxa"/>
            <w:tcBorders>
              <w:top w:val="single" w:sz="4" w:space="0" w:color="000000"/>
              <w:left w:val="single" w:sz="4" w:space="0" w:color="000000"/>
              <w:bottom w:val="single" w:sz="4" w:space="0" w:color="000000"/>
              <w:right w:val="nil"/>
            </w:tcBorders>
          </w:tcPr>
          <w:p>
            <w:pPr>
              <w:pStyle w:val="TableParagraph"/>
              <w:spacing w:line="219" w:lineRule="exact"/>
              <w:ind w:left="114"/>
              <w:rPr>
                <w:b/>
                <w:sz w:val="20"/>
              </w:rPr>
            </w:pPr>
            <w:r>
              <w:rPr>
                <w:b/>
                <w:sz w:val="20"/>
              </w:rPr>
              <w:t>Surplus</w:t>
            </w:r>
            <w:r>
              <w:rPr>
                <w:b/>
                <w:spacing w:val="-11"/>
                <w:sz w:val="20"/>
              </w:rPr>
              <w:t> </w:t>
            </w:r>
            <w:r>
              <w:rPr>
                <w:b/>
                <w:spacing w:val="-10"/>
                <w:sz w:val="20"/>
              </w:rPr>
              <w:t>/</w:t>
            </w:r>
          </w:p>
          <w:p>
            <w:pPr>
              <w:pStyle w:val="TableParagraph"/>
              <w:spacing w:line="201" w:lineRule="exact"/>
              <w:ind w:left="114"/>
              <w:rPr>
                <w:b/>
                <w:sz w:val="20"/>
              </w:rPr>
            </w:pPr>
            <w:r>
              <w:rPr>
                <w:b/>
                <w:spacing w:val="-2"/>
                <w:sz w:val="20"/>
              </w:rPr>
              <w:t>(deficit)</w:t>
            </w:r>
          </w:p>
        </w:tc>
        <w:tc>
          <w:tcPr>
            <w:tcW w:w="1223" w:type="dxa"/>
            <w:tcBorders>
              <w:top w:val="single" w:sz="4" w:space="0" w:color="000000"/>
              <w:left w:val="nil"/>
              <w:bottom w:val="single" w:sz="4" w:space="0" w:color="000000"/>
              <w:right w:val="nil"/>
            </w:tcBorders>
          </w:tcPr>
          <w:p>
            <w:pPr>
              <w:pStyle w:val="TableParagraph"/>
              <w:spacing w:line="198" w:lineRule="exact"/>
              <w:ind w:right="145"/>
              <w:jc w:val="right"/>
              <w:rPr>
                <w:b/>
                <w:sz w:val="18"/>
              </w:rPr>
            </w:pPr>
            <w:r>
              <w:rPr>
                <w:b/>
                <w:spacing w:val="-2"/>
                <w:sz w:val="18"/>
              </w:rPr>
              <w:t>(1,059)</w:t>
            </w:r>
          </w:p>
        </w:tc>
        <w:tc>
          <w:tcPr>
            <w:tcW w:w="1216" w:type="dxa"/>
            <w:tcBorders>
              <w:top w:val="single" w:sz="4" w:space="0" w:color="000000"/>
              <w:left w:val="nil"/>
              <w:bottom w:val="single" w:sz="4" w:space="0" w:color="000000"/>
              <w:right w:val="nil"/>
            </w:tcBorders>
          </w:tcPr>
          <w:p>
            <w:pPr>
              <w:pStyle w:val="TableParagraph"/>
              <w:spacing w:line="198" w:lineRule="exact"/>
              <w:ind w:right="88"/>
              <w:jc w:val="right"/>
              <w:rPr>
                <w:b/>
                <w:sz w:val="18"/>
              </w:rPr>
            </w:pPr>
            <w:r>
              <w:rPr>
                <w:b/>
                <w:spacing w:val="-2"/>
                <w:sz w:val="18"/>
              </w:rPr>
              <w:t>(948)</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line="198" w:lineRule="exact"/>
              <w:ind w:right="75"/>
              <w:jc w:val="right"/>
              <w:rPr>
                <w:b/>
                <w:sz w:val="18"/>
              </w:rPr>
            </w:pPr>
            <w:r>
              <w:rPr>
                <w:b/>
                <w:spacing w:val="-2"/>
                <w:sz w:val="18"/>
              </w:rPr>
              <w:t>(1,051)</w:t>
            </w:r>
          </w:p>
        </w:tc>
      </w:tr>
      <w:tr>
        <w:trPr>
          <w:trHeight w:val="1518" w:hRule="atLeast"/>
        </w:trPr>
        <w:tc>
          <w:tcPr>
            <w:tcW w:w="1553" w:type="dxa"/>
            <w:vMerge/>
            <w:tcBorders>
              <w:top w:val="nil"/>
              <w:left w:val="single" w:sz="12" w:space="0" w:color="000000"/>
              <w:bottom w:val="single" w:sz="12" w:space="0" w:color="000000"/>
              <w:right w:val="single" w:sz="4" w:space="0" w:color="000000"/>
            </w:tcBorders>
          </w:tcPr>
          <w:p>
            <w:pPr>
              <w:rPr>
                <w:sz w:val="2"/>
                <w:szCs w:val="2"/>
              </w:rPr>
            </w:pPr>
          </w:p>
        </w:tc>
        <w:tc>
          <w:tcPr>
            <w:tcW w:w="3540" w:type="dxa"/>
            <w:vMerge/>
            <w:tcBorders>
              <w:top w:val="nil"/>
              <w:left w:val="single" w:sz="4" w:space="0" w:color="000000"/>
              <w:bottom w:val="single" w:sz="12" w:space="0" w:color="000000"/>
              <w:right w:val="single" w:sz="4" w:space="0" w:color="000000"/>
            </w:tcBorders>
          </w:tcPr>
          <w:p>
            <w:pPr>
              <w:rPr>
                <w:sz w:val="2"/>
                <w:szCs w:val="2"/>
              </w:rPr>
            </w:pPr>
          </w:p>
        </w:tc>
        <w:tc>
          <w:tcPr>
            <w:tcW w:w="5333" w:type="dxa"/>
            <w:gridSpan w:val="4"/>
            <w:tcBorders>
              <w:top w:val="single" w:sz="4" w:space="0" w:color="000000"/>
              <w:left w:val="single" w:sz="4" w:space="0" w:color="000000"/>
              <w:bottom w:val="single" w:sz="12" w:space="0" w:color="000000"/>
              <w:right w:val="single" w:sz="12" w:space="0" w:color="000000"/>
            </w:tcBorders>
          </w:tcPr>
          <w:p>
            <w:pPr>
              <w:pStyle w:val="TableParagraph"/>
              <w:rPr>
                <w:rFonts w:ascii="Times New Roman"/>
                <w:sz w:val="20"/>
              </w:rPr>
            </w:pPr>
          </w:p>
        </w:tc>
      </w:tr>
    </w:tbl>
    <w:p>
      <w:pPr>
        <w:spacing w:after="0"/>
        <w:rPr>
          <w:rFonts w:ascii="Times New Roman"/>
          <w:sz w:val="20"/>
        </w:rPr>
        <w:sectPr>
          <w:pgSz w:w="11910" w:h="16840"/>
          <w:pgMar w:header="0" w:footer="375" w:top="480" w:bottom="560" w:left="460" w:right="160"/>
        </w:sectPr>
      </w:pPr>
    </w:p>
    <w:tbl>
      <w:tblPr>
        <w:tblW w:w="0" w:type="auto"/>
        <w:jc w:val="left"/>
        <w:tblInd w:w="4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553"/>
        <w:gridCol w:w="3540"/>
        <w:gridCol w:w="1660"/>
        <w:gridCol w:w="1223"/>
        <w:gridCol w:w="1215"/>
        <w:gridCol w:w="1233"/>
      </w:tblGrid>
      <w:tr>
        <w:trPr>
          <w:trHeight w:val="315" w:hRule="exact"/>
        </w:trPr>
        <w:tc>
          <w:tcPr>
            <w:tcW w:w="7976" w:type="dxa"/>
            <w:gridSpan w:val="4"/>
            <w:tcBorders>
              <w:left w:val="single" w:sz="12" w:space="0" w:color="000000"/>
              <w:bottom w:val="nil"/>
              <w:right w:val="nil"/>
            </w:tcBorders>
            <w:shd w:val="clear" w:color="auto" w:fill="5B9AD4"/>
          </w:tcPr>
          <w:p>
            <w:pPr>
              <w:pStyle w:val="TableParagraph"/>
              <w:spacing w:before="26"/>
              <w:ind w:right="260"/>
              <w:jc w:val="right"/>
              <w:rPr>
                <w:b/>
                <w:sz w:val="20"/>
              </w:rPr>
            </w:pPr>
            <w:r>
              <w:rPr>
                <w:b/>
                <w:color w:val="FFFFFF"/>
                <w:spacing w:val="-2"/>
                <w:sz w:val="20"/>
              </w:rPr>
              <w:t>2023/24</w:t>
            </w:r>
          </w:p>
        </w:tc>
        <w:tc>
          <w:tcPr>
            <w:tcW w:w="1215" w:type="dxa"/>
            <w:tcBorders>
              <w:left w:val="nil"/>
              <w:bottom w:val="nil"/>
              <w:right w:val="nil"/>
            </w:tcBorders>
            <w:shd w:val="clear" w:color="auto" w:fill="5B9AD4"/>
          </w:tcPr>
          <w:p>
            <w:pPr>
              <w:pStyle w:val="TableParagraph"/>
              <w:spacing w:before="26"/>
              <w:ind w:left="217"/>
              <w:rPr>
                <w:b/>
                <w:sz w:val="20"/>
              </w:rPr>
            </w:pPr>
            <w:r>
              <w:rPr>
                <w:b/>
                <w:color w:val="FFFFFF"/>
                <w:spacing w:val="-2"/>
                <w:sz w:val="20"/>
              </w:rPr>
              <w:t>2024/25</w:t>
            </w:r>
          </w:p>
        </w:tc>
        <w:tc>
          <w:tcPr>
            <w:tcW w:w="1233" w:type="dxa"/>
            <w:tcBorders>
              <w:left w:val="nil"/>
              <w:bottom w:val="nil"/>
              <w:right w:val="single" w:sz="12" w:space="0" w:color="000000"/>
            </w:tcBorders>
            <w:shd w:val="clear" w:color="auto" w:fill="5B9AD4"/>
          </w:tcPr>
          <w:p>
            <w:pPr>
              <w:pStyle w:val="TableParagraph"/>
              <w:spacing w:before="26"/>
              <w:ind w:left="254"/>
              <w:rPr>
                <w:b/>
                <w:sz w:val="20"/>
              </w:rPr>
            </w:pPr>
            <w:r>
              <w:rPr>
                <w:b/>
                <w:color w:val="FFFFFF"/>
                <w:spacing w:val="-2"/>
                <w:sz w:val="20"/>
              </w:rPr>
              <w:t>2025/26</w:t>
            </w:r>
          </w:p>
        </w:tc>
      </w:tr>
      <w:tr>
        <w:trPr>
          <w:trHeight w:val="631" w:hRule="exact"/>
        </w:trPr>
        <w:tc>
          <w:tcPr>
            <w:tcW w:w="1553" w:type="dxa"/>
            <w:tcBorders>
              <w:top w:val="nil"/>
              <w:left w:val="single" w:sz="12" w:space="0" w:color="000000"/>
              <w:bottom w:val="single" w:sz="4" w:space="0" w:color="000000"/>
              <w:right w:val="single" w:sz="4" w:space="0" w:color="000000"/>
            </w:tcBorders>
            <w:shd w:val="clear" w:color="auto" w:fill="5B9AD4"/>
          </w:tcPr>
          <w:p>
            <w:pPr>
              <w:pStyle w:val="TableParagraph"/>
              <w:spacing w:line="158" w:lineRule="exact"/>
              <w:ind w:left="155"/>
              <w:rPr>
                <w:b/>
                <w:sz w:val="20"/>
              </w:rPr>
            </w:pPr>
            <w:r>
              <w:rPr>
                <w:b/>
                <w:color w:val="FFFFFF"/>
                <w:sz w:val="20"/>
              </w:rPr>
              <w:t>Service</w:t>
            </w:r>
            <w:r>
              <w:rPr>
                <w:b/>
                <w:color w:val="FFFFFF"/>
                <w:spacing w:val="-10"/>
                <w:sz w:val="20"/>
              </w:rPr>
              <w:t> </w:t>
            </w:r>
            <w:r>
              <w:rPr>
                <w:b/>
                <w:color w:val="FFFFFF"/>
                <w:spacing w:val="-4"/>
                <w:sz w:val="20"/>
              </w:rPr>
              <w:t>Area</w:t>
            </w:r>
          </w:p>
        </w:tc>
        <w:tc>
          <w:tcPr>
            <w:tcW w:w="3540" w:type="dxa"/>
            <w:tcBorders>
              <w:top w:val="nil"/>
              <w:left w:val="single" w:sz="4" w:space="0" w:color="000000"/>
              <w:bottom w:val="single" w:sz="4" w:space="0" w:color="000000"/>
              <w:right w:val="single" w:sz="4" w:space="0" w:color="000000"/>
            </w:tcBorders>
            <w:shd w:val="clear" w:color="auto" w:fill="5B9AD4"/>
          </w:tcPr>
          <w:p>
            <w:pPr>
              <w:pStyle w:val="TableParagraph"/>
              <w:spacing w:before="47"/>
              <w:ind w:left="897"/>
              <w:rPr>
                <w:b/>
                <w:sz w:val="20"/>
              </w:rPr>
            </w:pPr>
            <w:r>
              <w:rPr>
                <w:b/>
                <w:color w:val="FFFFFF"/>
                <w:sz w:val="20"/>
              </w:rPr>
              <w:t>Services</w:t>
            </w:r>
            <w:r>
              <w:rPr>
                <w:b/>
                <w:color w:val="FFFFFF"/>
                <w:spacing w:val="-9"/>
                <w:sz w:val="20"/>
              </w:rPr>
              <w:t> </w:t>
            </w:r>
            <w:r>
              <w:rPr>
                <w:b/>
                <w:color w:val="FFFFFF"/>
                <w:spacing w:val="-2"/>
                <w:sz w:val="20"/>
              </w:rPr>
              <w:t>Provided</w:t>
            </w:r>
          </w:p>
        </w:tc>
        <w:tc>
          <w:tcPr>
            <w:tcW w:w="2883" w:type="dxa"/>
            <w:gridSpan w:val="2"/>
            <w:tcBorders>
              <w:top w:val="nil"/>
              <w:left w:val="single" w:sz="4" w:space="0" w:color="000000"/>
              <w:bottom w:val="single" w:sz="4" w:space="0" w:color="000000"/>
              <w:right w:val="nil"/>
            </w:tcBorders>
            <w:shd w:val="clear" w:color="auto" w:fill="5B9AD4"/>
          </w:tcPr>
          <w:p>
            <w:pPr>
              <w:pStyle w:val="TableParagraph"/>
              <w:spacing w:before="47"/>
              <w:ind w:right="315"/>
              <w:jc w:val="right"/>
              <w:rPr>
                <w:b/>
                <w:sz w:val="20"/>
              </w:rPr>
            </w:pPr>
            <w:r>
              <w:rPr>
                <w:b/>
                <w:color w:val="FFFFFF"/>
                <w:spacing w:val="-2"/>
                <w:sz w:val="20"/>
              </w:rPr>
              <w:t>Actual</w:t>
            </w:r>
          </w:p>
          <w:p>
            <w:pPr>
              <w:pStyle w:val="TableParagraph"/>
              <w:spacing w:before="82"/>
              <w:ind w:right="376"/>
              <w:jc w:val="right"/>
              <w:rPr>
                <w:b/>
                <w:sz w:val="20"/>
              </w:rPr>
            </w:pPr>
            <w:r>
              <w:rPr>
                <w:b/>
                <w:color w:val="FFFFFF"/>
                <w:spacing w:val="-2"/>
                <w:sz w:val="20"/>
              </w:rPr>
              <w:t>$'000</w:t>
            </w:r>
          </w:p>
        </w:tc>
        <w:tc>
          <w:tcPr>
            <w:tcW w:w="1215" w:type="dxa"/>
            <w:tcBorders>
              <w:top w:val="nil"/>
              <w:left w:val="nil"/>
              <w:bottom w:val="single" w:sz="4" w:space="0" w:color="000000"/>
              <w:right w:val="nil"/>
            </w:tcBorders>
            <w:shd w:val="clear" w:color="auto" w:fill="5B9AD4"/>
          </w:tcPr>
          <w:p>
            <w:pPr>
              <w:pStyle w:val="TableParagraph"/>
              <w:spacing w:before="47"/>
              <w:ind w:left="150" w:right="207"/>
              <w:jc w:val="center"/>
              <w:rPr>
                <w:b/>
                <w:sz w:val="20"/>
              </w:rPr>
            </w:pPr>
            <w:r>
              <w:rPr>
                <w:b/>
                <w:color w:val="FFFFFF"/>
                <w:spacing w:val="-2"/>
                <w:sz w:val="20"/>
              </w:rPr>
              <w:t>Forecast</w:t>
            </w:r>
          </w:p>
          <w:p>
            <w:pPr>
              <w:pStyle w:val="TableParagraph"/>
              <w:spacing w:before="82"/>
              <w:ind w:left="148" w:right="207"/>
              <w:jc w:val="center"/>
              <w:rPr>
                <w:b/>
                <w:sz w:val="20"/>
              </w:rPr>
            </w:pPr>
            <w:r>
              <w:rPr>
                <w:b/>
                <w:color w:val="FFFFFF"/>
                <w:spacing w:val="-2"/>
                <w:sz w:val="20"/>
              </w:rPr>
              <w:t>$'000</w:t>
            </w:r>
          </w:p>
        </w:tc>
        <w:tc>
          <w:tcPr>
            <w:tcW w:w="1233" w:type="dxa"/>
            <w:tcBorders>
              <w:top w:val="nil"/>
              <w:left w:val="nil"/>
              <w:bottom w:val="single" w:sz="4" w:space="0" w:color="000000"/>
              <w:right w:val="single" w:sz="12" w:space="0" w:color="000000"/>
            </w:tcBorders>
            <w:shd w:val="clear" w:color="auto" w:fill="5B9AD4"/>
          </w:tcPr>
          <w:p>
            <w:pPr>
              <w:pStyle w:val="TableParagraph"/>
              <w:spacing w:before="47"/>
              <w:ind w:left="271"/>
              <w:rPr>
                <w:b/>
                <w:sz w:val="20"/>
              </w:rPr>
            </w:pPr>
            <w:r>
              <w:rPr>
                <w:b/>
                <w:color w:val="FFFFFF"/>
                <w:spacing w:val="-2"/>
                <w:sz w:val="20"/>
              </w:rPr>
              <w:t>Budget</w:t>
            </w:r>
          </w:p>
          <w:p>
            <w:pPr>
              <w:pStyle w:val="TableParagraph"/>
              <w:spacing w:before="82"/>
              <w:ind w:left="369"/>
              <w:rPr>
                <w:b/>
                <w:sz w:val="20"/>
              </w:rPr>
            </w:pPr>
            <w:r>
              <w:rPr>
                <w:b/>
                <w:color w:val="FFFFFF"/>
                <w:spacing w:val="-2"/>
                <w:sz w:val="20"/>
              </w:rPr>
              <w:t>$'000</w:t>
            </w:r>
          </w:p>
        </w:tc>
      </w:tr>
      <w:tr>
        <w:trPr>
          <w:trHeight w:val="626" w:hRule="exact"/>
        </w:trPr>
        <w:tc>
          <w:tcPr>
            <w:tcW w:w="1553" w:type="dxa"/>
            <w:vMerge w:val="restart"/>
            <w:tcBorders>
              <w:top w:val="single" w:sz="4" w:space="0" w:color="000000"/>
              <w:left w:val="single" w:sz="12" w:space="0" w:color="000000"/>
              <w:bottom w:val="nil"/>
              <w:right w:val="single" w:sz="4" w:space="0" w:color="000000"/>
            </w:tcBorders>
          </w:tcPr>
          <w:p>
            <w:pPr>
              <w:pStyle w:val="TableParagraph"/>
              <w:ind w:left="92"/>
              <w:rPr>
                <w:sz w:val="20"/>
              </w:rPr>
            </w:pPr>
            <w:r>
              <w:rPr>
                <w:spacing w:val="-2"/>
                <w:sz w:val="20"/>
              </w:rPr>
              <w:t>Community wellbeing</w:t>
            </w:r>
          </w:p>
        </w:tc>
        <w:tc>
          <w:tcPr>
            <w:tcW w:w="3540" w:type="dxa"/>
            <w:vMerge w:val="restart"/>
            <w:tcBorders>
              <w:top w:val="single" w:sz="4" w:space="0" w:color="000000"/>
              <w:left w:val="single" w:sz="4" w:space="0" w:color="000000"/>
              <w:bottom w:val="nil"/>
              <w:right w:val="single" w:sz="4" w:space="0" w:color="000000"/>
            </w:tcBorders>
          </w:tcPr>
          <w:p>
            <w:pPr>
              <w:pStyle w:val="TableParagraph"/>
              <w:spacing w:line="229" w:lineRule="exact"/>
              <w:ind w:left="102"/>
              <w:rPr>
                <w:sz w:val="20"/>
              </w:rPr>
            </w:pPr>
            <w:r>
              <w:rPr>
                <w:sz w:val="20"/>
              </w:rPr>
              <w:t>Community</w:t>
            </w:r>
            <w:r>
              <w:rPr>
                <w:spacing w:val="-13"/>
                <w:sz w:val="20"/>
              </w:rPr>
              <w:t> </w:t>
            </w:r>
            <w:r>
              <w:rPr>
                <w:spacing w:val="-2"/>
                <w:sz w:val="20"/>
              </w:rPr>
              <w:t>Wellbeing</w:t>
            </w:r>
          </w:p>
          <w:p>
            <w:pPr>
              <w:pStyle w:val="TableParagraph"/>
              <w:numPr>
                <w:ilvl w:val="0"/>
                <w:numId w:val="15"/>
              </w:numPr>
              <w:tabs>
                <w:tab w:pos="415" w:val="left" w:leader="none"/>
                <w:tab w:pos="416" w:val="left" w:leader="none"/>
              </w:tabs>
              <w:spacing w:line="245" w:lineRule="exact" w:before="1" w:after="0"/>
              <w:ind w:left="415" w:right="0" w:hanging="314"/>
              <w:jc w:val="left"/>
              <w:rPr>
                <w:sz w:val="20"/>
              </w:rPr>
            </w:pPr>
            <w:r>
              <w:rPr>
                <w:sz w:val="20"/>
              </w:rPr>
              <w:t>Community</w:t>
            </w:r>
            <w:r>
              <w:rPr>
                <w:spacing w:val="-9"/>
                <w:sz w:val="20"/>
              </w:rPr>
              <w:t> </w:t>
            </w:r>
            <w:r>
              <w:rPr>
                <w:sz w:val="20"/>
              </w:rPr>
              <w:t>capacity</w:t>
            </w:r>
            <w:r>
              <w:rPr>
                <w:spacing w:val="-8"/>
                <w:sz w:val="20"/>
              </w:rPr>
              <w:t> </w:t>
            </w:r>
            <w:r>
              <w:rPr>
                <w:spacing w:val="-2"/>
                <w:sz w:val="20"/>
              </w:rPr>
              <w:t>building</w:t>
            </w:r>
          </w:p>
          <w:p>
            <w:pPr>
              <w:pStyle w:val="TableParagraph"/>
              <w:numPr>
                <w:ilvl w:val="0"/>
                <w:numId w:val="15"/>
              </w:numPr>
              <w:tabs>
                <w:tab w:pos="415" w:val="left" w:leader="none"/>
                <w:tab w:pos="416" w:val="left" w:leader="none"/>
              </w:tabs>
              <w:spacing w:line="235" w:lineRule="auto" w:before="4" w:after="0"/>
              <w:ind w:left="414" w:right="356" w:hanging="312"/>
              <w:jc w:val="left"/>
              <w:rPr>
                <w:sz w:val="20"/>
              </w:rPr>
            </w:pPr>
            <w:r>
              <w:rPr>
                <w:sz w:val="20"/>
              </w:rPr>
              <w:t>Croydon</w:t>
            </w:r>
            <w:r>
              <w:rPr>
                <w:spacing w:val="-14"/>
                <w:sz w:val="20"/>
              </w:rPr>
              <w:t> </w:t>
            </w:r>
            <w:r>
              <w:rPr>
                <w:sz w:val="20"/>
              </w:rPr>
              <w:t>Community</w:t>
            </w:r>
            <w:r>
              <w:rPr>
                <w:spacing w:val="-14"/>
                <w:sz w:val="20"/>
              </w:rPr>
              <w:t> </w:t>
            </w:r>
            <w:r>
              <w:rPr>
                <w:sz w:val="20"/>
              </w:rPr>
              <w:t>Wellbeing Precinct and coordination</w:t>
            </w:r>
          </w:p>
          <w:p>
            <w:pPr>
              <w:pStyle w:val="TableParagraph"/>
              <w:numPr>
                <w:ilvl w:val="0"/>
                <w:numId w:val="15"/>
              </w:numPr>
              <w:tabs>
                <w:tab w:pos="415" w:val="left" w:leader="none"/>
                <w:tab w:pos="416" w:val="left" w:leader="none"/>
              </w:tabs>
              <w:spacing w:line="235" w:lineRule="auto" w:before="7" w:after="0"/>
              <w:ind w:left="414" w:right="634" w:hanging="312"/>
              <w:jc w:val="left"/>
              <w:rPr>
                <w:sz w:val="20"/>
              </w:rPr>
            </w:pPr>
            <w:r>
              <w:rPr>
                <w:sz w:val="20"/>
              </w:rPr>
              <w:t>Mental</w:t>
            </w:r>
            <w:r>
              <w:rPr>
                <w:spacing w:val="-13"/>
                <w:sz w:val="20"/>
              </w:rPr>
              <w:t> </w:t>
            </w:r>
            <w:r>
              <w:rPr>
                <w:sz w:val="20"/>
              </w:rPr>
              <w:t>health</w:t>
            </w:r>
            <w:r>
              <w:rPr>
                <w:spacing w:val="-12"/>
                <w:sz w:val="20"/>
              </w:rPr>
              <w:t> </w:t>
            </w:r>
            <w:r>
              <w:rPr>
                <w:sz w:val="20"/>
              </w:rPr>
              <w:t>and</w:t>
            </w:r>
            <w:r>
              <w:rPr>
                <w:spacing w:val="-14"/>
                <w:sz w:val="20"/>
              </w:rPr>
              <w:t> </w:t>
            </w:r>
            <w:r>
              <w:rPr>
                <w:sz w:val="20"/>
              </w:rPr>
              <w:t>wellbeing </w:t>
            </w:r>
            <w:r>
              <w:rPr>
                <w:spacing w:val="-2"/>
                <w:sz w:val="20"/>
              </w:rPr>
              <w:t>promotion</w:t>
            </w:r>
          </w:p>
          <w:p>
            <w:pPr>
              <w:pStyle w:val="TableParagraph"/>
              <w:numPr>
                <w:ilvl w:val="0"/>
                <w:numId w:val="15"/>
              </w:numPr>
              <w:tabs>
                <w:tab w:pos="415" w:val="left" w:leader="none"/>
                <w:tab w:pos="416" w:val="left" w:leader="none"/>
              </w:tabs>
              <w:spacing w:line="235" w:lineRule="auto" w:before="8" w:after="0"/>
              <w:ind w:left="414" w:right="781" w:hanging="312"/>
              <w:jc w:val="left"/>
              <w:rPr>
                <w:sz w:val="20"/>
              </w:rPr>
            </w:pPr>
            <w:r>
              <w:rPr>
                <w:sz w:val="20"/>
              </w:rPr>
              <w:t>Social</w:t>
            </w:r>
            <w:r>
              <w:rPr>
                <w:spacing w:val="-14"/>
                <w:sz w:val="20"/>
              </w:rPr>
              <w:t> </w:t>
            </w:r>
            <w:r>
              <w:rPr>
                <w:sz w:val="20"/>
              </w:rPr>
              <w:t>research</w:t>
            </w:r>
            <w:r>
              <w:rPr>
                <w:spacing w:val="-14"/>
                <w:sz w:val="20"/>
              </w:rPr>
              <w:t> </w:t>
            </w:r>
            <w:r>
              <w:rPr>
                <w:sz w:val="20"/>
              </w:rPr>
              <w:t>and</w:t>
            </w:r>
            <w:r>
              <w:rPr>
                <w:spacing w:val="-14"/>
                <w:sz w:val="20"/>
              </w:rPr>
              <w:t> </w:t>
            </w:r>
            <w:r>
              <w:rPr>
                <w:sz w:val="20"/>
              </w:rPr>
              <w:t>policy </w:t>
            </w:r>
            <w:r>
              <w:rPr>
                <w:spacing w:val="-2"/>
                <w:sz w:val="20"/>
              </w:rPr>
              <w:t>development</w:t>
            </w:r>
          </w:p>
          <w:p>
            <w:pPr>
              <w:pStyle w:val="TableParagraph"/>
              <w:numPr>
                <w:ilvl w:val="0"/>
                <w:numId w:val="15"/>
              </w:numPr>
              <w:tabs>
                <w:tab w:pos="415" w:val="left" w:leader="none"/>
                <w:tab w:pos="416" w:val="left" w:leader="none"/>
              </w:tabs>
              <w:spacing w:line="240" w:lineRule="auto" w:before="3" w:after="0"/>
              <w:ind w:left="414" w:right="266" w:hanging="312"/>
              <w:jc w:val="left"/>
              <w:rPr>
                <w:sz w:val="20"/>
              </w:rPr>
            </w:pPr>
            <w:r>
              <w:rPr>
                <w:sz w:val="20"/>
              </w:rPr>
              <w:t>Social strategic planning and implementation</w:t>
            </w:r>
            <w:r>
              <w:rPr>
                <w:spacing w:val="-14"/>
                <w:sz w:val="20"/>
              </w:rPr>
              <w:t> </w:t>
            </w:r>
            <w:r>
              <w:rPr>
                <w:sz w:val="20"/>
              </w:rPr>
              <w:t>(including</w:t>
            </w:r>
            <w:r>
              <w:rPr>
                <w:spacing w:val="-14"/>
                <w:sz w:val="20"/>
              </w:rPr>
              <w:t> </w:t>
            </w:r>
            <w:r>
              <w:rPr>
                <w:sz w:val="20"/>
              </w:rPr>
              <w:t>public health and wellbeing</w:t>
            </w:r>
          </w:p>
        </w:tc>
        <w:tc>
          <w:tcPr>
            <w:tcW w:w="1660" w:type="dxa"/>
            <w:tcBorders>
              <w:top w:val="single" w:sz="4" w:space="0" w:color="000000"/>
              <w:left w:val="single" w:sz="4" w:space="0" w:color="000000"/>
              <w:bottom w:val="single" w:sz="4" w:space="0" w:color="000000"/>
              <w:right w:val="nil"/>
            </w:tcBorders>
          </w:tcPr>
          <w:p>
            <w:pPr>
              <w:pStyle w:val="TableParagraph"/>
              <w:spacing w:line="229" w:lineRule="exact"/>
              <w:ind w:left="100"/>
              <w:rPr>
                <w:sz w:val="20"/>
              </w:rPr>
            </w:pPr>
            <w:r>
              <w:rPr>
                <w:spacing w:val="-2"/>
                <w:sz w:val="20"/>
              </w:rPr>
              <w:t>Income</w:t>
            </w:r>
          </w:p>
          <w:p>
            <w:pPr>
              <w:pStyle w:val="TableParagraph"/>
              <w:spacing w:before="84"/>
              <w:ind w:left="100"/>
              <w:rPr>
                <w:sz w:val="20"/>
              </w:rPr>
            </w:pPr>
            <w:r>
              <w:rPr>
                <w:spacing w:val="-2"/>
                <w:sz w:val="20"/>
              </w:rPr>
              <w:t>Expenditure</w:t>
            </w:r>
          </w:p>
        </w:tc>
        <w:tc>
          <w:tcPr>
            <w:tcW w:w="1223" w:type="dxa"/>
            <w:tcBorders>
              <w:top w:val="single" w:sz="4" w:space="0" w:color="000000"/>
              <w:left w:val="nil"/>
              <w:bottom w:val="single" w:sz="4" w:space="0" w:color="000000"/>
              <w:right w:val="nil"/>
            </w:tcBorders>
          </w:tcPr>
          <w:p>
            <w:pPr>
              <w:pStyle w:val="TableParagraph"/>
              <w:spacing w:line="206" w:lineRule="exact"/>
              <w:ind w:left="759"/>
              <w:rPr>
                <w:sz w:val="18"/>
              </w:rPr>
            </w:pPr>
            <w:r>
              <w:rPr>
                <w:spacing w:val="-5"/>
                <w:sz w:val="18"/>
              </w:rPr>
              <w:t>119</w:t>
            </w:r>
          </w:p>
          <w:p>
            <w:pPr>
              <w:pStyle w:val="TableParagraph"/>
              <w:spacing w:before="107"/>
              <w:ind w:left="607"/>
              <w:rPr>
                <w:sz w:val="18"/>
              </w:rPr>
            </w:pPr>
            <w:r>
              <w:rPr>
                <w:spacing w:val="-2"/>
                <w:sz w:val="18"/>
              </w:rPr>
              <w:t>1,887</w:t>
            </w:r>
          </w:p>
        </w:tc>
        <w:tc>
          <w:tcPr>
            <w:tcW w:w="1215" w:type="dxa"/>
            <w:tcBorders>
              <w:top w:val="single" w:sz="4" w:space="0" w:color="000000"/>
              <w:left w:val="nil"/>
              <w:bottom w:val="single" w:sz="4" w:space="0" w:color="000000"/>
              <w:right w:val="nil"/>
            </w:tcBorders>
          </w:tcPr>
          <w:p>
            <w:pPr>
              <w:pStyle w:val="TableParagraph"/>
              <w:spacing w:line="206" w:lineRule="exact"/>
              <w:ind w:right="104"/>
              <w:jc w:val="right"/>
              <w:rPr>
                <w:sz w:val="18"/>
              </w:rPr>
            </w:pPr>
            <w:r>
              <w:rPr>
                <w:spacing w:val="-5"/>
                <w:sz w:val="18"/>
              </w:rPr>
              <w:t>67</w:t>
            </w:r>
          </w:p>
          <w:p>
            <w:pPr>
              <w:pStyle w:val="TableParagraph"/>
              <w:spacing w:before="107"/>
              <w:ind w:left="656"/>
              <w:rPr>
                <w:sz w:val="18"/>
              </w:rPr>
            </w:pPr>
            <w:r>
              <w:rPr>
                <w:spacing w:val="-2"/>
                <w:sz w:val="18"/>
              </w:rPr>
              <w:t>1,864</w:t>
            </w:r>
          </w:p>
        </w:tc>
        <w:tc>
          <w:tcPr>
            <w:tcW w:w="1233" w:type="dxa"/>
            <w:tcBorders>
              <w:top w:val="single" w:sz="4" w:space="0" w:color="000000"/>
              <w:left w:val="nil"/>
              <w:bottom w:val="single" w:sz="4" w:space="0" w:color="000000"/>
              <w:right w:val="single" w:sz="12" w:space="0" w:color="000000"/>
            </w:tcBorders>
            <w:shd w:val="clear" w:color="auto" w:fill="BCD6ED"/>
          </w:tcPr>
          <w:p>
            <w:pPr>
              <w:pStyle w:val="TableParagraph"/>
              <w:spacing w:line="206" w:lineRule="exact"/>
              <w:ind w:right="91"/>
              <w:jc w:val="right"/>
              <w:rPr>
                <w:sz w:val="18"/>
              </w:rPr>
            </w:pPr>
            <w:r>
              <w:rPr>
                <w:sz w:val="18"/>
              </w:rPr>
              <w:t>6</w:t>
            </w:r>
          </w:p>
          <w:p>
            <w:pPr>
              <w:pStyle w:val="TableParagraph"/>
              <w:spacing w:before="107"/>
              <w:ind w:left="674"/>
              <w:rPr>
                <w:sz w:val="18"/>
              </w:rPr>
            </w:pPr>
            <w:r>
              <w:rPr>
                <w:spacing w:val="-2"/>
                <w:sz w:val="18"/>
              </w:rPr>
              <w:t>1,752</w:t>
            </w:r>
          </w:p>
        </w:tc>
      </w:tr>
      <w:tr>
        <w:trPr>
          <w:trHeight w:val="470" w:hRule="exact"/>
        </w:trPr>
        <w:tc>
          <w:tcPr>
            <w:tcW w:w="1553" w:type="dxa"/>
            <w:vMerge/>
            <w:tcBorders>
              <w:top w:val="nil"/>
              <w:left w:val="single" w:sz="12" w:space="0" w:color="000000"/>
              <w:bottom w:val="nil"/>
              <w:right w:val="single" w:sz="4" w:space="0" w:color="000000"/>
            </w:tcBorders>
          </w:tcPr>
          <w:p>
            <w:pPr>
              <w:rPr>
                <w:sz w:val="2"/>
                <w:szCs w:val="2"/>
              </w:rPr>
            </w:pPr>
          </w:p>
        </w:tc>
        <w:tc>
          <w:tcPr>
            <w:tcW w:w="3540" w:type="dxa"/>
            <w:vMerge/>
            <w:tcBorders>
              <w:top w:val="nil"/>
              <w:left w:val="single" w:sz="4" w:space="0" w:color="000000"/>
              <w:bottom w:val="nil"/>
              <w:right w:val="single" w:sz="4" w:space="0" w:color="000000"/>
            </w:tcBorders>
          </w:tcPr>
          <w:p>
            <w:pPr>
              <w:rPr>
                <w:sz w:val="2"/>
                <w:szCs w:val="2"/>
              </w:rPr>
            </w:pPr>
          </w:p>
        </w:tc>
        <w:tc>
          <w:tcPr>
            <w:tcW w:w="1660" w:type="dxa"/>
            <w:tcBorders>
              <w:top w:val="single" w:sz="4" w:space="0" w:color="000000"/>
              <w:left w:val="single" w:sz="4" w:space="0" w:color="000000"/>
              <w:bottom w:val="single" w:sz="4" w:space="0" w:color="000000"/>
              <w:right w:val="nil"/>
            </w:tcBorders>
          </w:tcPr>
          <w:p>
            <w:pPr>
              <w:pStyle w:val="TableParagraph"/>
              <w:spacing w:line="230" w:lineRule="exact"/>
              <w:ind w:left="100" w:right="693"/>
              <w:rPr>
                <w:b/>
                <w:sz w:val="20"/>
              </w:rPr>
            </w:pPr>
            <w:r>
              <w:rPr>
                <w:b/>
                <w:sz w:val="20"/>
              </w:rPr>
              <w:t>Surplus</w:t>
            </w:r>
            <w:r>
              <w:rPr>
                <w:b/>
                <w:spacing w:val="-14"/>
                <w:sz w:val="20"/>
              </w:rPr>
              <w:t> </w:t>
            </w:r>
            <w:r>
              <w:rPr>
                <w:b/>
                <w:sz w:val="20"/>
              </w:rPr>
              <w:t>/ </w:t>
            </w:r>
            <w:r>
              <w:rPr>
                <w:b/>
                <w:spacing w:val="-2"/>
                <w:sz w:val="20"/>
              </w:rPr>
              <w:t>(deficit)</w:t>
            </w:r>
          </w:p>
        </w:tc>
        <w:tc>
          <w:tcPr>
            <w:tcW w:w="1223" w:type="dxa"/>
            <w:tcBorders>
              <w:top w:val="single" w:sz="4" w:space="0" w:color="000000"/>
              <w:left w:val="nil"/>
              <w:bottom w:val="single" w:sz="4" w:space="0" w:color="000000"/>
              <w:right w:val="nil"/>
            </w:tcBorders>
          </w:tcPr>
          <w:p>
            <w:pPr>
              <w:pStyle w:val="TableParagraph"/>
              <w:spacing w:line="206" w:lineRule="exact"/>
              <w:ind w:right="160"/>
              <w:jc w:val="right"/>
              <w:rPr>
                <w:b/>
                <w:sz w:val="18"/>
              </w:rPr>
            </w:pPr>
            <w:r>
              <w:rPr>
                <w:b/>
                <w:spacing w:val="-2"/>
                <w:sz w:val="18"/>
              </w:rPr>
              <w:t>(1,768)</w:t>
            </w:r>
          </w:p>
        </w:tc>
        <w:tc>
          <w:tcPr>
            <w:tcW w:w="1215" w:type="dxa"/>
            <w:tcBorders>
              <w:top w:val="single" w:sz="4" w:space="0" w:color="000000"/>
              <w:left w:val="nil"/>
              <w:bottom w:val="single" w:sz="4" w:space="0" w:color="000000"/>
              <w:right w:val="nil"/>
            </w:tcBorders>
          </w:tcPr>
          <w:p>
            <w:pPr>
              <w:pStyle w:val="TableParagraph"/>
              <w:spacing w:line="206" w:lineRule="exact"/>
              <w:ind w:right="104"/>
              <w:jc w:val="right"/>
              <w:rPr>
                <w:b/>
                <w:sz w:val="18"/>
              </w:rPr>
            </w:pPr>
            <w:r>
              <w:rPr>
                <w:b/>
                <w:spacing w:val="-2"/>
                <w:sz w:val="18"/>
              </w:rPr>
              <w:t>(1,797)</w:t>
            </w:r>
          </w:p>
        </w:tc>
        <w:tc>
          <w:tcPr>
            <w:tcW w:w="1233" w:type="dxa"/>
            <w:tcBorders>
              <w:top w:val="single" w:sz="4" w:space="0" w:color="000000"/>
              <w:left w:val="nil"/>
              <w:bottom w:val="single" w:sz="4" w:space="0" w:color="000000"/>
              <w:right w:val="single" w:sz="12" w:space="0" w:color="000000"/>
            </w:tcBorders>
            <w:shd w:val="clear" w:color="auto" w:fill="BCD6ED"/>
          </w:tcPr>
          <w:p>
            <w:pPr>
              <w:pStyle w:val="TableParagraph"/>
              <w:spacing w:line="206" w:lineRule="exact"/>
              <w:ind w:right="89"/>
              <w:jc w:val="right"/>
              <w:rPr>
                <w:b/>
                <w:sz w:val="18"/>
              </w:rPr>
            </w:pPr>
            <w:r>
              <w:rPr>
                <w:b/>
                <w:spacing w:val="-2"/>
                <w:sz w:val="18"/>
              </w:rPr>
              <w:t>(1,746)</w:t>
            </w:r>
          </w:p>
        </w:tc>
      </w:tr>
      <w:tr>
        <w:trPr>
          <w:trHeight w:val="1624" w:hRule="exact"/>
        </w:trPr>
        <w:tc>
          <w:tcPr>
            <w:tcW w:w="1553" w:type="dxa"/>
            <w:vMerge/>
            <w:tcBorders>
              <w:top w:val="nil"/>
              <w:left w:val="single" w:sz="12" w:space="0" w:color="000000"/>
              <w:bottom w:val="nil"/>
              <w:right w:val="single" w:sz="4" w:space="0" w:color="000000"/>
            </w:tcBorders>
          </w:tcPr>
          <w:p>
            <w:pPr>
              <w:rPr>
                <w:sz w:val="2"/>
                <w:szCs w:val="2"/>
              </w:rPr>
            </w:pPr>
          </w:p>
        </w:tc>
        <w:tc>
          <w:tcPr>
            <w:tcW w:w="3540" w:type="dxa"/>
            <w:vMerge/>
            <w:tcBorders>
              <w:top w:val="nil"/>
              <w:left w:val="single" w:sz="4" w:space="0" w:color="000000"/>
              <w:bottom w:val="nil"/>
              <w:right w:val="single" w:sz="4" w:space="0" w:color="000000"/>
            </w:tcBorders>
          </w:tcPr>
          <w:p>
            <w:pPr>
              <w:rPr>
                <w:sz w:val="2"/>
                <w:szCs w:val="2"/>
              </w:rPr>
            </w:pPr>
          </w:p>
        </w:tc>
        <w:tc>
          <w:tcPr>
            <w:tcW w:w="5331" w:type="dxa"/>
            <w:gridSpan w:val="4"/>
            <w:vMerge w:val="restart"/>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8"/>
              </w:rPr>
            </w:pPr>
          </w:p>
        </w:tc>
      </w:tr>
      <w:tr>
        <w:trPr>
          <w:trHeight w:val="3456" w:hRule="exact"/>
        </w:trPr>
        <w:tc>
          <w:tcPr>
            <w:tcW w:w="1553" w:type="dxa"/>
            <w:tcBorders>
              <w:top w:val="nil"/>
              <w:left w:val="single" w:sz="12" w:space="0" w:color="000000"/>
              <w:bottom w:val="single" w:sz="4" w:space="0" w:color="000000"/>
              <w:right w:val="single" w:sz="4" w:space="0" w:color="000000"/>
            </w:tcBorders>
          </w:tcPr>
          <w:p>
            <w:pPr>
              <w:pStyle w:val="TableParagraph"/>
              <w:rPr>
                <w:rFonts w:ascii="Times New Roman"/>
                <w:sz w:val="18"/>
              </w:rPr>
            </w:pPr>
          </w:p>
        </w:tc>
        <w:tc>
          <w:tcPr>
            <w:tcW w:w="3540" w:type="dxa"/>
            <w:tcBorders>
              <w:top w:val="nil"/>
              <w:left w:val="single" w:sz="4" w:space="0" w:color="000000"/>
              <w:bottom w:val="single" w:sz="4" w:space="0" w:color="000000"/>
              <w:right w:val="single" w:sz="4" w:space="0" w:color="000000"/>
            </w:tcBorders>
          </w:tcPr>
          <w:p>
            <w:pPr>
              <w:pStyle w:val="TableParagraph"/>
              <w:spacing w:before="110"/>
              <w:ind w:left="102"/>
              <w:rPr>
                <w:sz w:val="20"/>
              </w:rPr>
            </w:pPr>
            <w:r>
              <w:rPr>
                <w:sz w:val="20"/>
              </w:rPr>
              <w:t>Community</w:t>
            </w:r>
            <w:r>
              <w:rPr>
                <w:spacing w:val="-13"/>
                <w:sz w:val="20"/>
              </w:rPr>
              <w:t> </w:t>
            </w:r>
            <w:r>
              <w:rPr>
                <w:spacing w:val="-2"/>
                <w:sz w:val="20"/>
              </w:rPr>
              <w:t>Development</w:t>
            </w:r>
          </w:p>
          <w:p>
            <w:pPr>
              <w:pStyle w:val="TableParagraph"/>
              <w:numPr>
                <w:ilvl w:val="0"/>
                <w:numId w:val="16"/>
              </w:numPr>
              <w:tabs>
                <w:tab w:pos="415" w:val="left" w:leader="none"/>
                <w:tab w:pos="416" w:val="left" w:leader="none"/>
              </w:tabs>
              <w:spacing w:line="245" w:lineRule="exact" w:before="2" w:after="0"/>
              <w:ind w:left="415" w:right="0" w:hanging="314"/>
              <w:jc w:val="left"/>
              <w:rPr>
                <w:sz w:val="20"/>
              </w:rPr>
            </w:pPr>
            <w:r>
              <w:rPr>
                <w:sz w:val="20"/>
              </w:rPr>
              <w:t>Community</w:t>
            </w:r>
            <w:r>
              <w:rPr>
                <w:spacing w:val="-8"/>
                <w:sz w:val="20"/>
              </w:rPr>
              <w:t> </w:t>
            </w:r>
            <w:r>
              <w:rPr>
                <w:sz w:val="20"/>
              </w:rPr>
              <w:t>grants</w:t>
            </w:r>
            <w:r>
              <w:rPr>
                <w:spacing w:val="-8"/>
                <w:sz w:val="20"/>
              </w:rPr>
              <w:t> </w:t>
            </w:r>
            <w:r>
              <w:rPr>
                <w:spacing w:val="-2"/>
                <w:sz w:val="20"/>
              </w:rPr>
              <w:t>program</w:t>
            </w:r>
          </w:p>
          <w:p>
            <w:pPr>
              <w:pStyle w:val="TableParagraph"/>
              <w:numPr>
                <w:ilvl w:val="0"/>
                <w:numId w:val="16"/>
              </w:numPr>
              <w:tabs>
                <w:tab w:pos="415" w:val="left" w:leader="none"/>
                <w:tab w:pos="416" w:val="left" w:leader="none"/>
              </w:tabs>
              <w:spacing w:line="244" w:lineRule="exact" w:before="0" w:after="0"/>
              <w:ind w:left="415" w:right="0" w:hanging="314"/>
              <w:jc w:val="left"/>
              <w:rPr>
                <w:sz w:val="20"/>
              </w:rPr>
            </w:pPr>
            <w:r>
              <w:rPr>
                <w:sz w:val="20"/>
              </w:rPr>
              <w:t>Community</w:t>
            </w:r>
            <w:r>
              <w:rPr>
                <w:spacing w:val="-9"/>
                <w:sz w:val="20"/>
              </w:rPr>
              <w:t> </w:t>
            </w:r>
            <w:r>
              <w:rPr>
                <w:sz w:val="20"/>
              </w:rPr>
              <w:t>houses</w:t>
            </w:r>
            <w:r>
              <w:rPr>
                <w:spacing w:val="-8"/>
                <w:sz w:val="20"/>
              </w:rPr>
              <w:t> </w:t>
            </w:r>
            <w:r>
              <w:rPr>
                <w:spacing w:val="-2"/>
                <w:sz w:val="20"/>
              </w:rPr>
              <w:t>support</w:t>
            </w:r>
          </w:p>
          <w:p>
            <w:pPr>
              <w:pStyle w:val="TableParagraph"/>
              <w:numPr>
                <w:ilvl w:val="0"/>
                <w:numId w:val="16"/>
              </w:numPr>
              <w:tabs>
                <w:tab w:pos="415" w:val="left" w:leader="none"/>
                <w:tab w:pos="416" w:val="left" w:leader="none"/>
              </w:tabs>
              <w:spacing w:line="244" w:lineRule="exact" w:before="0" w:after="0"/>
              <w:ind w:left="415" w:right="0" w:hanging="314"/>
              <w:jc w:val="left"/>
              <w:rPr>
                <w:sz w:val="20"/>
              </w:rPr>
            </w:pPr>
            <w:r>
              <w:rPr>
                <w:sz w:val="20"/>
              </w:rPr>
              <w:t>Community</w:t>
            </w:r>
            <w:r>
              <w:rPr>
                <w:spacing w:val="-9"/>
                <w:sz w:val="20"/>
              </w:rPr>
              <w:t> </w:t>
            </w:r>
            <w:r>
              <w:rPr>
                <w:sz w:val="20"/>
              </w:rPr>
              <w:t>gardens</w:t>
            </w:r>
            <w:r>
              <w:rPr>
                <w:spacing w:val="-8"/>
                <w:sz w:val="20"/>
              </w:rPr>
              <w:t> </w:t>
            </w:r>
            <w:r>
              <w:rPr>
                <w:spacing w:val="-2"/>
                <w:sz w:val="20"/>
              </w:rPr>
              <w:t>support</w:t>
            </w:r>
          </w:p>
          <w:p>
            <w:pPr>
              <w:pStyle w:val="TableParagraph"/>
              <w:numPr>
                <w:ilvl w:val="0"/>
                <w:numId w:val="16"/>
              </w:numPr>
              <w:tabs>
                <w:tab w:pos="415" w:val="left" w:leader="none"/>
                <w:tab w:pos="416" w:val="left" w:leader="none"/>
              </w:tabs>
              <w:spacing w:line="244" w:lineRule="exact" w:before="0" w:after="0"/>
              <w:ind w:left="415" w:right="0" w:hanging="314"/>
              <w:jc w:val="left"/>
              <w:rPr>
                <w:sz w:val="20"/>
              </w:rPr>
            </w:pPr>
            <w:r>
              <w:rPr>
                <w:sz w:val="20"/>
              </w:rPr>
              <w:t>Community</w:t>
            </w:r>
            <w:r>
              <w:rPr>
                <w:spacing w:val="-8"/>
                <w:sz w:val="20"/>
              </w:rPr>
              <w:t> </w:t>
            </w:r>
            <w:r>
              <w:rPr>
                <w:sz w:val="20"/>
              </w:rPr>
              <w:t>safety</w:t>
            </w:r>
            <w:r>
              <w:rPr>
                <w:spacing w:val="-5"/>
                <w:sz w:val="20"/>
              </w:rPr>
              <w:t> </w:t>
            </w:r>
            <w:r>
              <w:rPr>
                <w:spacing w:val="-2"/>
                <w:sz w:val="20"/>
              </w:rPr>
              <w:t>initiatives</w:t>
            </w:r>
          </w:p>
          <w:p>
            <w:pPr>
              <w:pStyle w:val="TableParagraph"/>
              <w:numPr>
                <w:ilvl w:val="0"/>
                <w:numId w:val="16"/>
              </w:numPr>
              <w:tabs>
                <w:tab w:pos="415" w:val="left" w:leader="none"/>
                <w:tab w:pos="416" w:val="left" w:leader="none"/>
              </w:tabs>
              <w:spacing w:line="235" w:lineRule="auto" w:before="2" w:after="0"/>
              <w:ind w:left="414" w:right="523" w:hanging="312"/>
              <w:jc w:val="left"/>
              <w:rPr>
                <w:sz w:val="20"/>
              </w:rPr>
            </w:pPr>
            <w:r>
              <w:rPr>
                <w:sz w:val="20"/>
              </w:rPr>
              <w:t>Disability</w:t>
            </w:r>
            <w:r>
              <w:rPr>
                <w:spacing w:val="-12"/>
                <w:sz w:val="20"/>
              </w:rPr>
              <w:t> </w:t>
            </w:r>
            <w:r>
              <w:rPr>
                <w:sz w:val="20"/>
              </w:rPr>
              <w:t>action</w:t>
            </w:r>
            <w:r>
              <w:rPr>
                <w:spacing w:val="-14"/>
                <w:sz w:val="20"/>
              </w:rPr>
              <w:t> </w:t>
            </w:r>
            <w:r>
              <w:rPr>
                <w:sz w:val="20"/>
              </w:rPr>
              <w:t>planning</w:t>
            </w:r>
            <w:r>
              <w:rPr>
                <w:spacing w:val="-13"/>
                <w:sz w:val="20"/>
              </w:rPr>
              <w:t> </w:t>
            </w:r>
            <w:r>
              <w:rPr>
                <w:sz w:val="20"/>
              </w:rPr>
              <w:t>and </w:t>
            </w:r>
            <w:r>
              <w:rPr>
                <w:spacing w:val="-2"/>
                <w:sz w:val="20"/>
              </w:rPr>
              <w:t>implementation</w:t>
            </w:r>
          </w:p>
          <w:p>
            <w:pPr>
              <w:pStyle w:val="TableParagraph"/>
              <w:numPr>
                <w:ilvl w:val="0"/>
                <w:numId w:val="16"/>
              </w:numPr>
              <w:tabs>
                <w:tab w:pos="415" w:val="left" w:leader="none"/>
                <w:tab w:pos="416" w:val="left" w:leader="none"/>
              </w:tabs>
              <w:spacing w:line="240" w:lineRule="auto" w:before="4" w:after="0"/>
              <w:ind w:left="414" w:right="302" w:hanging="312"/>
              <w:jc w:val="left"/>
              <w:rPr>
                <w:sz w:val="20"/>
              </w:rPr>
            </w:pPr>
            <w:r>
              <w:rPr>
                <w:sz w:val="20"/>
              </w:rPr>
              <w:t>Disability</w:t>
            </w:r>
            <w:r>
              <w:rPr>
                <w:spacing w:val="-9"/>
                <w:sz w:val="20"/>
              </w:rPr>
              <w:t> </w:t>
            </w:r>
            <w:r>
              <w:rPr>
                <w:sz w:val="20"/>
              </w:rPr>
              <w:t>and</w:t>
            </w:r>
            <w:r>
              <w:rPr>
                <w:spacing w:val="-12"/>
                <w:sz w:val="20"/>
              </w:rPr>
              <w:t> </w:t>
            </w:r>
            <w:r>
              <w:rPr>
                <w:sz w:val="20"/>
              </w:rPr>
              <w:t>carer</w:t>
            </w:r>
            <w:r>
              <w:rPr>
                <w:spacing w:val="-9"/>
                <w:sz w:val="20"/>
              </w:rPr>
              <w:t> </w:t>
            </w:r>
            <w:r>
              <w:rPr>
                <w:sz w:val="20"/>
              </w:rPr>
              <w:t>support</w:t>
            </w:r>
            <w:r>
              <w:rPr>
                <w:spacing w:val="-10"/>
                <w:sz w:val="20"/>
              </w:rPr>
              <w:t> </w:t>
            </w:r>
            <w:r>
              <w:rPr>
                <w:sz w:val="20"/>
              </w:rPr>
              <w:t>and </w:t>
            </w:r>
            <w:r>
              <w:rPr>
                <w:spacing w:val="-2"/>
                <w:sz w:val="20"/>
              </w:rPr>
              <w:t>advocacy</w:t>
            </w:r>
          </w:p>
          <w:p>
            <w:pPr>
              <w:pStyle w:val="TableParagraph"/>
              <w:numPr>
                <w:ilvl w:val="0"/>
                <w:numId w:val="16"/>
              </w:numPr>
              <w:tabs>
                <w:tab w:pos="415" w:val="left" w:leader="none"/>
                <w:tab w:pos="416" w:val="left" w:leader="none"/>
              </w:tabs>
              <w:spacing w:line="235" w:lineRule="auto" w:before="4" w:after="0"/>
              <w:ind w:left="414" w:right="802" w:hanging="312"/>
              <w:jc w:val="left"/>
              <w:rPr>
                <w:sz w:val="20"/>
              </w:rPr>
            </w:pPr>
            <w:r>
              <w:rPr>
                <w:sz w:val="20"/>
              </w:rPr>
              <w:t>Family</w:t>
            </w:r>
            <w:r>
              <w:rPr>
                <w:spacing w:val="-14"/>
                <w:sz w:val="20"/>
              </w:rPr>
              <w:t> </w:t>
            </w:r>
            <w:r>
              <w:rPr>
                <w:sz w:val="20"/>
              </w:rPr>
              <w:t>and</w:t>
            </w:r>
            <w:r>
              <w:rPr>
                <w:spacing w:val="-14"/>
                <w:sz w:val="20"/>
              </w:rPr>
              <w:t> </w:t>
            </w:r>
            <w:r>
              <w:rPr>
                <w:sz w:val="20"/>
              </w:rPr>
              <w:t>gender-biased violence prevention</w:t>
            </w:r>
          </w:p>
          <w:p>
            <w:pPr>
              <w:pStyle w:val="TableParagraph"/>
              <w:numPr>
                <w:ilvl w:val="0"/>
                <w:numId w:val="16"/>
              </w:numPr>
              <w:tabs>
                <w:tab w:pos="415" w:val="left" w:leader="none"/>
                <w:tab w:pos="416" w:val="left" w:leader="none"/>
              </w:tabs>
              <w:spacing w:line="244" w:lineRule="exact" w:before="3" w:after="0"/>
              <w:ind w:left="415" w:right="0" w:hanging="314"/>
              <w:jc w:val="left"/>
              <w:rPr>
                <w:sz w:val="20"/>
              </w:rPr>
            </w:pPr>
            <w:r>
              <w:rPr>
                <w:sz w:val="20"/>
              </w:rPr>
              <w:t>First</w:t>
            </w:r>
            <w:r>
              <w:rPr>
                <w:spacing w:val="-7"/>
                <w:sz w:val="20"/>
              </w:rPr>
              <w:t> </w:t>
            </w:r>
            <w:r>
              <w:rPr>
                <w:sz w:val="20"/>
              </w:rPr>
              <w:t>Peoples</w:t>
            </w:r>
            <w:r>
              <w:rPr>
                <w:spacing w:val="-6"/>
                <w:sz w:val="20"/>
              </w:rPr>
              <w:t> </w:t>
            </w:r>
            <w:r>
              <w:rPr>
                <w:spacing w:val="-2"/>
                <w:sz w:val="20"/>
              </w:rPr>
              <w:t>reconciliation</w:t>
            </w:r>
          </w:p>
          <w:p>
            <w:pPr>
              <w:pStyle w:val="TableParagraph"/>
              <w:numPr>
                <w:ilvl w:val="0"/>
                <w:numId w:val="16"/>
              </w:numPr>
              <w:tabs>
                <w:tab w:pos="415" w:val="left" w:leader="none"/>
                <w:tab w:pos="416" w:val="left" w:leader="none"/>
              </w:tabs>
              <w:spacing w:line="228" w:lineRule="exact" w:before="0" w:after="0"/>
              <w:ind w:left="414" w:right="201" w:hanging="312"/>
              <w:jc w:val="left"/>
              <w:rPr>
                <w:sz w:val="20"/>
              </w:rPr>
            </w:pPr>
            <w:r>
              <w:rPr>
                <w:sz w:val="20"/>
              </w:rPr>
              <w:t>Marginalised</w:t>
            </w:r>
            <w:r>
              <w:rPr>
                <w:spacing w:val="-13"/>
                <w:sz w:val="20"/>
              </w:rPr>
              <w:t> </w:t>
            </w:r>
            <w:r>
              <w:rPr>
                <w:sz w:val="20"/>
              </w:rPr>
              <w:t>groups</w:t>
            </w:r>
            <w:r>
              <w:rPr>
                <w:spacing w:val="-12"/>
                <w:sz w:val="20"/>
              </w:rPr>
              <w:t> </w:t>
            </w:r>
            <w:r>
              <w:rPr>
                <w:sz w:val="20"/>
              </w:rPr>
              <w:t>support</w:t>
            </w:r>
            <w:r>
              <w:rPr>
                <w:spacing w:val="-14"/>
                <w:sz w:val="20"/>
              </w:rPr>
              <w:t> </w:t>
            </w:r>
            <w:r>
              <w:rPr>
                <w:sz w:val="20"/>
              </w:rPr>
              <w:t>and </w:t>
            </w:r>
            <w:r>
              <w:rPr>
                <w:spacing w:val="-2"/>
                <w:sz w:val="20"/>
              </w:rPr>
              <w:t>advocacy</w:t>
            </w:r>
          </w:p>
        </w:tc>
        <w:tc>
          <w:tcPr>
            <w:tcW w:w="5331" w:type="dxa"/>
            <w:gridSpan w:val="4"/>
            <w:vMerge/>
            <w:tcBorders>
              <w:top w:val="nil"/>
              <w:left w:val="single" w:sz="4" w:space="0" w:color="000000"/>
              <w:bottom w:val="single" w:sz="4" w:space="0" w:color="000000"/>
              <w:right w:val="single" w:sz="12" w:space="0" w:color="000000"/>
            </w:tcBorders>
          </w:tcPr>
          <w:p>
            <w:pPr>
              <w:rPr>
                <w:sz w:val="2"/>
                <w:szCs w:val="2"/>
              </w:rPr>
            </w:pPr>
          </w:p>
        </w:tc>
      </w:tr>
      <w:tr>
        <w:trPr>
          <w:trHeight w:val="626" w:hRule="exact"/>
        </w:trPr>
        <w:tc>
          <w:tcPr>
            <w:tcW w:w="1553" w:type="dxa"/>
            <w:vMerge w:val="restart"/>
            <w:tcBorders>
              <w:top w:val="single" w:sz="4" w:space="0" w:color="000000"/>
              <w:left w:val="single" w:sz="12" w:space="0" w:color="000000"/>
              <w:bottom w:val="nil"/>
              <w:right w:val="single" w:sz="4" w:space="0" w:color="000000"/>
            </w:tcBorders>
          </w:tcPr>
          <w:p>
            <w:pPr>
              <w:pStyle w:val="TableParagraph"/>
              <w:ind w:left="92" w:right="173"/>
              <w:rPr>
                <w:sz w:val="20"/>
              </w:rPr>
            </w:pPr>
            <w:r>
              <w:rPr>
                <w:sz w:val="20"/>
              </w:rPr>
              <w:t>Leisure</w:t>
            </w:r>
            <w:r>
              <w:rPr>
                <w:spacing w:val="-14"/>
                <w:sz w:val="20"/>
              </w:rPr>
              <w:t> </w:t>
            </w:r>
            <w:r>
              <w:rPr>
                <w:sz w:val="20"/>
              </w:rPr>
              <w:t>and </w:t>
            </w:r>
            <w:r>
              <w:rPr>
                <w:spacing w:val="-2"/>
                <w:sz w:val="20"/>
              </w:rPr>
              <w:t>aquatic facilities</w:t>
            </w:r>
          </w:p>
        </w:tc>
        <w:tc>
          <w:tcPr>
            <w:tcW w:w="3540" w:type="dxa"/>
            <w:vMerge w:val="restart"/>
            <w:tcBorders>
              <w:top w:val="single" w:sz="4" w:space="0" w:color="000000"/>
              <w:left w:val="single" w:sz="4" w:space="0" w:color="000000"/>
              <w:bottom w:val="single" w:sz="4" w:space="0" w:color="000000"/>
              <w:right w:val="single" w:sz="4" w:space="0" w:color="000000"/>
            </w:tcBorders>
          </w:tcPr>
          <w:p>
            <w:pPr>
              <w:pStyle w:val="TableParagraph"/>
              <w:numPr>
                <w:ilvl w:val="0"/>
                <w:numId w:val="17"/>
              </w:numPr>
              <w:tabs>
                <w:tab w:pos="415" w:val="left" w:leader="none"/>
                <w:tab w:pos="416" w:val="left" w:leader="none"/>
              </w:tabs>
              <w:spacing w:line="235" w:lineRule="auto" w:before="6" w:after="0"/>
              <w:ind w:left="414" w:right="302" w:hanging="312"/>
              <w:jc w:val="left"/>
              <w:rPr>
                <w:sz w:val="20"/>
              </w:rPr>
            </w:pPr>
            <w:r>
              <w:rPr>
                <w:sz w:val="20"/>
              </w:rPr>
              <w:t>Operations</w:t>
            </w:r>
            <w:r>
              <w:rPr>
                <w:spacing w:val="-13"/>
                <w:sz w:val="20"/>
              </w:rPr>
              <w:t> </w:t>
            </w:r>
            <w:r>
              <w:rPr>
                <w:sz w:val="20"/>
              </w:rPr>
              <w:t>and</w:t>
            </w:r>
            <w:r>
              <w:rPr>
                <w:spacing w:val="-14"/>
                <w:sz w:val="20"/>
              </w:rPr>
              <w:t> </w:t>
            </w:r>
            <w:r>
              <w:rPr>
                <w:sz w:val="20"/>
              </w:rPr>
              <w:t>management</w:t>
            </w:r>
            <w:r>
              <w:rPr>
                <w:spacing w:val="-13"/>
                <w:sz w:val="20"/>
              </w:rPr>
              <w:t> </w:t>
            </w:r>
            <w:r>
              <w:rPr>
                <w:sz w:val="20"/>
              </w:rPr>
              <w:t>of three aquatic programs</w:t>
            </w:r>
          </w:p>
          <w:p>
            <w:pPr>
              <w:pStyle w:val="TableParagraph"/>
              <w:numPr>
                <w:ilvl w:val="1"/>
                <w:numId w:val="17"/>
              </w:numPr>
              <w:tabs>
                <w:tab w:pos="823" w:val="left" w:leader="none"/>
              </w:tabs>
              <w:spacing w:line="239" w:lineRule="exact" w:before="3" w:after="0"/>
              <w:ind w:left="822" w:right="0" w:hanging="361"/>
              <w:jc w:val="left"/>
              <w:rPr>
                <w:sz w:val="20"/>
              </w:rPr>
            </w:pPr>
            <w:r>
              <w:rPr>
                <w:spacing w:val="-2"/>
                <w:sz w:val="20"/>
              </w:rPr>
              <w:t>Aquanation</w:t>
            </w:r>
          </w:p>
          <w:p>
            <w:pPr>
              <w:pStyle w:val="TableParagraph"/>
              <w:numPr>
                <w:ilvl w:val="1"/>
                <w:numId w:val="17"/>
              </w:numPr>
              <w:tabs>
                <w:tab w:pos="823" w:val="left" w:leader="none"/>
              </w:tabs>
              <w:spacing w:line="229" w:lineRule="exact" w:before="0" w:after="0"/>
              <w:ind w:left="822" w:right="0" w:hanging="361"/>
              <w:jc w:val="left"/>
              <w:rPr>
                <w:sz w:val="20"/>
              </w:rPr>
            </w:pPr>
            <w:r>
              <w:rPr>
                <w:spacing w:val="-2"/>
                <w:sz w:val="20"/>
              </w:rPr>
              <w:t>Aquahub</w:t>
            </w:r>
          </w:p>
          <w:p>
            <w:pPr>
              <w:pStyle w:val="TableParagraph"/>
              <w:numPr>
                <w:ilvl w:val="1"/>
                <w:numId w:val="17"/>
              </w:numPr>
              <w:tabs>
                <w:tab w:pos="823" w:val="left" w:leader="none"/>
              </w:tabs>
              <w:spacing w:line="230" w:lineRule="exact" w:before="0" w:after="0"/>
              <w:ind w:left="822" w:right="0" w:hanging="361"/>
              <w:jc w:val="left"/>
              <w:rPr>
                <w:sz w:val="20"/>
              </w:rPr>
            </w:pPr>
            <w:r>
              <w:rPr>
                <w:sz w:val="20"/>
              </w:rPr>
              <w:t>Croydon</w:t>
            </w:r>
            <w:r>
              <w:rPr>
                <w:spacing w:val="-7"/>
                <w:sz w:val="20"/>
              </w:rPr>
              <w:t> </w:t>
            </w:r>
            <w:r>
              <w:rPr>
                <w:sz w:val="20"/>
              </w:rPr>
              <w:t>Memorial</w:t>
            </w:r>
            <w:r>
              <w:rPr>
                <w:spacing w:val="-6"/>
                <w:sz w:val="20"/>
              </w:rPr>
              <w:t> </w:t>
            </w:r>
            <w:r>
              <w:rPr>
                <w:spacing w:val="-4"/>
                <w:sz w:val="20"/>
              </w:rPr>
              <w:t>Pool</w:t>
            </w:r>
          </w:p>
          <w:p>
            <w:pPr>
              <w:pStyle w:val="TableParagraph"/>
              <w:numPr>
                <w:ilvl w:val="0"/>
                <w:numId w:val="17"/>
              </w:numPr>
              <w:tabs>
                <w:tab w:pos="415" w:val="left" w:leader="none"/>
                <w:tab w:pos="416" w:val="left" w:leader="none"/>
              </w:tabs>
              <w:spacing w:line="240" w:lineRule="auto" w:before="0" w:after="0"/>
              <w:ind w:left="414" w:right="193" w:hanging="312"/>
              <w:jc w:val="left"/>
              <w:rPr>
                <w:sz w:val="20"/>
              </w:rPr>
            </w:pPr>
            <w:r>
              <w:rPr>
                <w:sz w:val="20"/>
              </w:rPr>
              <w:t>Offering</w:t>
            </w:r>
            <w:r>
              <w:rPr>
                <w:spacing w:val="-2"/>
                <w:sz w:val="20"/>
              </w:rPr>
              <w:t> </w:t>
            </w:r>
            <w:r>
              <w:rPr>
                <w:sz w:val="20"/>
              </w:rPr>
              <w:t>learn</w:t>
            </w:r>
            <w:r>
              <w:rPr>
                <w:spacing w:val="-6"/>
                <w:sz w:val="20"/>
              </w:rPr>
              <w:t> </w:t>
            </w:r>
            <w:r>
              <w:rPr>
                <w:sz w:val="20"/>
              </w:rPr>
              <w:t>to</w:t>
            </w:r>
            <w:r>
              <w:rPr>
                <w:spacing w:val="-6"/>
                <w:sz w:val="20"/>
              </w:rPr>
              <w:t> </w:t>
            </w:r>
            <w:r>
              <w:rPr>
                <w:sz w:val="20"/>
              </w:rPr>
              <w:t>swim</w:t>
            </w:r>
            <w:r>
              <w:rPr>
                <w:spacing w:val="-6"/>
                <w:sz w:val="20"/>
              </w:rPr>
              <w:t> </w:t>
            </w:r>
            <w:r>
              <w:rPr>
                <w:sz w:val="20"/>
              </w:rPr>
              <w:t>programs, recreational</w:t>
            </w:r>
            <w:r>
              <w:rPr>
                <w:spacing w:val="-14"/>
                <w:sz w:val="20"/>
              </w:rPr>
              <w:t> </w:t>
            </w:r>
            <w:r>
              <w:rPr>
                <w:sz w:val="20"/>
              </w:rPr>
              <w:t>swimming</w:t>
            </w:r>
            <w:r>
              <w:rPr>
                <w:spacing w:val="-14"/>
                <w:sz w:val="20"/>
              </w:rPr>
              <w:t> </w:t>
            </w:r>
            <w:r>
              <w:rPr>
                <w:sz w:val="20"/>
              </w:rPr>
              <w:t>and</w:t>
            </w:r>
            <w:r>
              <w:rPr>
                <w:spacing w:val="-14"/>
                <w:sz w:val="20"/>
              </w:rPr>
              <w:t> </w:t>
            </w:r>
            <w:r>
              <w:rPr>
                <w:sz w:val="20"/>
              </w:rPr>
              <w:t>water play,</w:t>
            </w:r>
            <w:r>
              <w:rPr>
                <w:spacing w:val="-5"/>
                <w:sz w:val="20"/>
              </w:rPr>
              <w:t> </w:t>
            </w:r>
            <w:r>
              <w:rPr>
                <w:sz w:val="20"/>
              </w:rPr>
              <w:t>health</w:t>
            </w:r>
            <w:r>
              <w:rPr>
                <w:spacing w:val="-8"/>
                <w:sz w:val="20"/>
              </w:rPr>
              <w:t> </w:t>
            </w:r>
            <w:r>
              <w:rPr>
                <w:sz w:val="20"/>
              </w:rPr>
              <w:t>club</w:t>
            </w:r>
            <w:r>
              <w:rPr>
                <w:spacing w:val="-5"/>
                <w:sz w:val="20"/>
              </w:rPr>
              <w:t> </w:t>
            </w:r>
            <w:r>
              <w:rPr>
                <w:sz w:val="20"/>
              </w:rPr>
              <w:t>with</w:t>
            </w:r>
            <w:r>
              <w:rPr>
                <w:spacing w:val="-8"/>
                <w:sz w:val="20"/>
              </w:rPr>
              <w:t> </w:t>
            </w:r>
            <w:r>
              <w:rPr>
                <w:sz w:val="20"/>
              </w:rPr>
              <w:t>gym,</w:t>
            </w:r>
            <w:r>
              <w:rPr>
                <w:spacing w:val="-5"/>
                <w:sz w:val="20"/>
              </w:rPr>
              <w:t> </w:t>
            </w:r>
            <w:r>
              <w:rPr>
                <w:sz w:val="20"/>
              </w:rPr>
              <w:t>group fitness, reformer Pilates, gymnastics program</w:t>
            </w:r>
          </w:p>
        </w:tc>
        <w:tc>
          <w:tcPr>
            <w:tcW w:w="1660" w:type="dxa"/>
            <w:tcBorders>
              <w:top w:val="single" w:sz="4" w:space="0" w:color="000000"/>
              <w:left w:val="single" w:sz="4" w:space="0" w:color="000000"/>
              <w:bottom w:val="single" w:sz="4" w:space="0" w:color="000000"/>
              <w:right w:val="nil"/>
            </w:tcBorders>
          </w:tcPr>
          <w:p>
            <w:pPr>
              <w:pStyle w:val="TableParagraph"/>
              <w:spacing w:line="229" w:lineRule="exact"/>
              <w:ind w:left="100"/>
              <w:rPr>
                <w:sz w:val="20"/>
              </w:rPr>
            </w:pPr>
            <w:r>
              <w:rPr>
                <w:spacing w:val="-2"/>
                <w:sz w:val="20"/>
              </w:rPr>
              <w:t>Income</w:t>
            </w:r>
          </w:p>
          <w:p>
            <w:pPr>
              <w:pStyle w:val="TableParagraph"/>
              <w:spacing w:before="84"/>
              <w:ind w:left="100"/>
              <w:rPr>
                <w:sz w:val="20"/>
              </w:rPr>
            </w:pPr>
            <w:r>
              <w:rPr>
                <w:spacing w:val="-2"/>
                <w:sz w:val="20"/>
              </w:rPr>
              <w:t>Expenditure</w:t>
            </w:r>
          </w:p>
        </w:tc>
        <w:tc>
          <w:tcPr>
            <w:tcW w:w="1223" w:type="dxa"/>
            <w:tcBorders>
              <w:top w:val="single" w:sz="4" w:space="0" w:color="000000"/>
              <w:left w:val="nil"/>
              <w:bottom w:val="single" w:sz="4" w:space="0" w:color="000000"/>
              <w:right w:val="nil"/>
            </w:tcBorders>
          </w:tcPr>
          <w:p>
            <w:pPr>
              <w:pStyle w:val="TableParagraph"/>
              <w:spacing w:before="1"/>
              <w:ind w:left="509"/>
              <w:rPr>
                <w:sz w:val="18"/>
              </w:rPr>
            </w:pPr>
            <w:r>
              <w:rPr>
                <w:spacing w:val="-2"/>
                <w:sz w:val="18"/>
              </w:rPr>
              <w:t>15,865</w:t>
            </w:r>
          </w:p>
          <w:p>
            <w:pPr>
              <w:pStyle w:val="TableParagraph"/>
              <w:spacing w:before="105"/>
              <w:ind w:left="509"/>
              <w:rPr>
                <w:sz w:val="18"/>
              </w:rPr>
            </w:pPr>
            <w:r>
              <w:rPr>
                <w:spacing w:val="-2"/>
                <w:sz w:val="18"/>
              </w:rPr>
              <w:t>15,177</w:t>
            </w:r>
          </w:p>
        </w:tc>
        <w:tc>
          <w:tcPr>
            <w:tcW w:w="1215" w:type="dxa"/>
            <w:tcBorders>
              <w:top w:val="single" w:sz="4" w:space="0" w:color="000000"/>
              <w:left w:val="nil"/>
              <w:bottom w:val="single" w:sz="4" w:space="0" w:color="000000"/>
              <w:right w:val="nil"/>
            </w:tcBorders>
          </w:tcPr>
          <w:p>
            <w:pPr>
              <w:pStyle w:val="TableParagraph"/>
              <w:spacing w:before="1"/>
              <w:ind w:left="558"/>
              <w:rPr>
                <w:sz w:val="18"/>
              </w:rPr>
            </w:pPr>
            <w:r>
              <w:rPr>
                <w:spacing w:val="-2"/>
                <w:sz w:val="18"/>
              </w:rPr>
              <w:t>16,641</w:t>
            </w:r>
          </w:p>
          <w:p>
            <w:pPr>
              <w:pStyle w:val="TableParagraph"/>
              <w:spacing w:before="105"/>
              <w:ind w:left="558"/>
              <w:rPr>
                <w:sz w:val="18"/>
              </w:rPr>
            </w:pPr>
            <w:r>
              <w:rPr>
                <w:spacing w:val="-2"/>
                <w:sz w:val="18"/>
              </w:rPr>
              <w:t>15,521</w:t>
            </w:r>
          </w:p>
        </w:tc>
        <w:tc>
          <w:tcPr>
            <w:tcW w:w="1233" w:type="dxa"/>
            <w:tcBorders>
              <w:top w:val="single" w:sz="4" w:space="0" w:color="000000"/>
              <w:left w:val="nil"/>
              <w:bottom w:val="single" w:sz="4" w:space="0" w:color="000000"/>
              <w:right w:val="single" w:sz="12" w:space="0" w:color="000000"/>
            </w:tcBorders>
            <w:shd w:val="clear" w:color="auto" w:fill="BCD6ED"/>
          </w:tcPr>
          <w:p>
            <w:pPr>
              <w:pStyle w:val="TableParagraph"/>
              <w:spacing w:before="1"/>
              <w:ind w:left="576"/>
              <w:rPr>
                <w:sz w:val="18"/>
              </w:rPr>
            </w:pPr>
            <w:r>
              <w:rPr>
                <w:spacing w:val="-2"/>
                <w:sz w:val="18"/>
              </w:rPr>
              <w:t>18,228</w:t>
            </w:r>
          </w:p>
          <w:p>
            <w:pPr>
              <w:pStyle w:val="TableParagraph"/>
              <w:spacing w:before="105"/>
              <w:ind w:left="576"/>
              <w:rPr>
                <w:sz w:val="18"/>
              </w:rPr>
            </w:pPr>
            <w:r>
              <w:rPr>
                <w:spacing w:val="-2"/>
                <w:sz w:val="18"/>
              </w:rPr>
              <w:t>16,495</w:t>
            </w:r>
          </w:p>
        </w:tc>
      </w:tr>
      <w:tr>
        <w:trPr>
          <w:trHeight w:val="470" w:hRule="exact"/>
        </w:trPr>
        <w:tc>
          <w:tcPr>
            <w:tcW w:w="1553" w:type="dxa"/>
            <w:vMerge/>
            <w:tcBorders>
              <w:top w:val="nil"/>
              <w:left w:val="single" w:sz="12" w:space="0" w:color="000000"/>
              <w:bottom w:val="nil"/>
              <w:right w:val="single" w:sz="4" w:space="0" w:color="000000"/>
            </w:tcBorders>
          </w:tcPr>
          <w:p>
            <w:pPr>
              <w:rPr>
                <w:sz w:val="2"/>
                <w:szCs w:val="2"/>
              </w:rPr>
            </w:pPr>
          </w:p>
        </w:tc>
        <w:tc>
          <w:tcPr>
            <w:tcW w:w="3540" w:type="dxa"/>
            <w:vMerge/>
            <w:tcBorders>
              <w:top w:val="nil"/>
              <w:left w:val="single" w:sz="4" w:space="0" w:color="000000"/>
              <w:bottom w:val="single" w:sz="4" w:space="0" w:color="000000"/>
              <w:right w:val="single" w:sz="4" w:space="0" w:color="000000"/>
            </w:tcBorders>
          </w:tcPr>
          <w:p>
            <w:pPr>
              <w:rPr>
                <w:sz w:val="2"/>
                <w:szCs w:val="2"/>
              </w:rPr>
            </w:pPr>
          </w:p>
        </w:tc>
        <w:tc>
          <w:tcPr>
            <w:tcW w:w="1660" w:type="dxa"/>
            <w:tcBorders>
              <w:top w:val="single" w:sz="4" w:space="0" w:color="000000"/>
              <w:left w:val="single" w:sz="4" w:space="0" w:color="000000"/>
              <w:bottom w:val="single" w:sz="4" w:space="0" w:color="000000"/>
              <w:right w:val="nil"/>
            </w:tcBorders>
          </w:tcPr>
          <w:p>
            <w:pPr>
              <w:pStyle w:val="TableParagraph"/>
              <w:spacing w:line="230" w:lineRule="exact"/>
              <w:ind w:left="100" w:right="693"/>
              <w:rPr>
                <w:b/>
                <w:sz w:val="20"/>
              </w:rPr>
            </w:pPr>
            <w:r>
              <w:rPr>
                <w:b/>
                <w:sz w:val="20"/>
              </w:rPr>
              <w:t>Surplus</w:t>
            </w:r>
            <w:r>
              <w:rPr>
                <w:b/>
                <w:spacing w:val="-14"/>
                <w:sz w:val="20"/>
              </w:rPr>
              <w:t> </w:t>
            </w:r>
            <w:r>
              <w:rPr>
                <w:b/>
                <w:sz w:val="20"/>
              </w:rPr>
              <w:t>/ </w:t>
            </w:r>
            <w:r>
              <w:rPr>
                <w:b/>
                <w:spacing w:val="-2"/>
                <w:sz w:val="20"/>
              </w:rPr>
              <w:t>(deficit)</w:t>
            </w:r>
          </w:p>
        </w:tc>
        <w:tc>
          <w:tcPr>
            <w:tcW w:w="1223" w:type="dxa"/>
            <w:tcBorders>
              <w:top w:val="single" w:sz="4" w:space="0" w:color="000000"/>
              <w:left w:val="nil"/>
              <w:bottom w:val="single" w:sz="4" w:space="0" w:color="000000"/>
              <w:right w:val="nil"/>
            </w:tcBorders>
          </w:tcPr>
          <w:p>
            <w:pPr>
              <w:pStyle w:val="TableParagraph"/>
              <w:spacing w:line="206" w:lineRule="exact"/>
              <w:ind w:right="161"/>
              <w:jc w:val="right"/>
              <w:rPr>
                <w:b/>
                <w:sz w:val="18"/>
              </w:rPr>
            </w:pPr>
            <w:r>
              <w:rPr>
                <w:b/>
                <w:spacing w:val="-5"/>
                <w:sz w:val="18"/>
              </w:rPr>
              <w:t>688</w:t>
            </w:r>
          </w:p>
        </w:tc>
        <w:tc>
          <w:tcPr>
            <w:tcW w:w="1215" w:type="dxa"/>
            <w:tcBorders>
              <w:top w:val="single" w:sz="4" w:space="0" w:color="000000"/>
              <w:left w:val="nil"/>
              <w:bottom w:val="single" w:sz="4" w:space="0" w:color="000000"/>
              <w:right w:val="nil"/>
            </w:tcBorders>
          </w:tcPr>
          <w:p>
            <w:pPr>
              <w:pStyle w:val="TableParagraph"/>
              <w:spacing w:line="206" w:lineRule="exact"/>
              <w:ind w:right="104"/>
              <w:jc w:val="right"/>
              <w:rPr>
                <w:b/>
                <w:sz w:val="18"/>
              </w:rPr>
            </w:pPr>
            <w:r>
              <w:rPr>
                <w:b/>
                <w:spacing w:val="-2"/>
                <w:sz w:val="18"/>
              </w:rPr>
              <w:t>1,120</w:t>
            </w:r>
          </w:p>
        </w:tc>
        <w:tc>
          <w:tcPr>
            <w:tcW w:w="1233" w:type="dxa"/>
            <w:tcBorders>
              <w:top w:val="single" w:sz="4" w:space="0" w:color="000000"/>
              <w:left w:val="nil"/>
              <w:bottom w:val="single" w:sz="4" w:space="0" w:color="000000"/>
              <w:right w:val="single" w:sz="12" w:space="0" w:color="000000"/>
            </w:tcBorders>
            <w:shd w:val="clear" w:color="auto" w:fill="BCD6ED"/>
          </w:tcPr>
          <w:p>
            <w:pPr>
              <w:pStyle w:val="TableParagraph"/>
              <w:spacing w:line="206" w:lineRule="exact"/>
              <w:ind w:right="89"/>
              <w:jc w:val="right"/>
              <w:rPr>
                <w:b/>
                <w:sz w:val="18"/>
              </w:rPr>
            </w:pPr>
            <w:r>
              <w:rPr>
                <w:b/>
                <w:spacing w:val="-2"/>
                <w:sz w:val="18"/>
              </w:rPr>
              <w:t>1,733</w:t>
            </w:r>
          </w:p>
        </w:tc>
      </w:tr>
      <w:tr>
        <w:trPr>
          <w:trHeight w:val="2282" w:hRule="exact"/>
        </w:trPr>
        <w:tc>
          <w:tcPr>
            <w:tcW w:w="1553" w:type="dxa"/>
            <w:tcBorders>
              <w:top w:val="nil"/>
              <w:left w:val="single" w:sz="12" w:space="0" w:color="000000"/>
              <w:bottom w:val="single" w:sz="4" w:space="0" w:color="000000"/>
              <w:right w:val="single" w:sz="4" w:space="0" w:color="000000"/>
            </w:tcBorders>
          </w:tcPr>
          <w:p>
            <w:pPr>
              <w:pStyle w:val="TableParagraph"/>
              <w:rPr>
                <w:rFonts w:ascii="Times New Roman"/>
                <w:sz w:val="18"/>
              </w:rPr>
            </w:pPr>
          </w:p>
        </w:tc>
        <w:tc>
          <w:tcPr>
            <w:tcW w:w="3540" w:type="dxa"/>
            <w:vMerge/>
            <w:tcBorders>
              <w:top w:val="nil"/>
              <w:left w:val="single" w:sz="4" w:space="0" w:color="000000"/>
              <w:bottom w:val="single" w:sz="4" w:space="0" w:color="000000"/>
              <w:right w:val="single" w:sz="4" w:space="0" w:color="000000"/>
            </w:tcBorders>
          </w:tcPr>
          <w:p>
            <w:pPr>
              <w:rPr>
                <w:sz w:val="2"/>
                <w:szCs w:val="2"/>
              </w:rPr>
            </w:pPr>
          </w:p>
        </w:tc>
        <w:tc>
          <w:tcPr>
            <w:tcW w:w="5331" w:type="dxa"/>
            <w:gridSpan w:val="4"/>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8"/>
              </w:rPr>
            </w:pPr>
          </w:p>
        </w:tc>
      </w:tr>
      <w:tr>
        <w:trPr>
          <w:trHeight w:val="626" w:hRule="exact"/>
        </w:trPr>
        <w:tc>
          <w:tcPr>
            <w:tcW w:w="1553" w:type="dxa"/>
            <w:vMerge w:val="restart"/>
            <w:tcBorders>
              <w:top w:val="single" w:sz="4" w:space="0" w:color="000000"/>
              <w:left w:val="single" w:sz="12" w:space="0" w:color="000000"/>
              <w:bottom w:val="nil"/>
              <w:right w:val="single" w:sz="4" w:space="0" w:color="000000"/>
            </w:tcBorders>
          </w:tcPr>
          <w:p>
            <w:pPr>
              <w:pStyle w:val="TableParagraph"/>
              <w:ind w:left="92"/>
              <w:rPr>
                <w:sz w:val="20"/>
              </w:rPr>
            </w:pPr>
            <w:r>
              <w:rPr>
                <w:spacing w:val="-2"/>
                <w:sz w:val="20"/>
              </w:rPr>
              <w:t>Libraries </w:t>
            </w:r>
            <w:r>
              <w:rPr>
                <w:sz w:val="20"/>
              </w:rPr>
              <w:t>(managed</w:t>
            </w:r>
            <w:r>
              <w:rPr>
                <w:spacing w:val="-14"/>
                <w:sz w:val="20"/>
              </w:rPr>
              <w:t> </w:t>
            </w:r>
            <w:r>
              <w:rPr>
                <w:sz w:val="20"/>
              </w:rPr>
              <w:t>by Your Library </w:t>
            </w:r>
            <w:r>
              <w:rPr>
                <w:spacing w:val="-2"/>
                <w:sz w:val="20"/>
              </w:rPr>
              <w:t>Limited)</w:t>
            </w:r>
          </w:p>
        </w:tc>
        <w:tc>
          <w:tcPr>
            <w:tcW w:w="3540" w:type="dxa"/>
            <w:vMerge w:val="restart"/>
            <w:tcBorders>
              <w:top w:val="single" w:sz="4" w:space="0" w:color="000000"/>
              <w:left w:val="single" w:sz="4" w:space="0" w:color="000000"/>
              <w:bottom w:val="single" w:sz="12" w:space="0" w:color="000000"/>
              <w:right w:val="single" w:sz="4" w:space="0" w:color="000000"/>
            </w:tcBorders>
          </w:tcPr>
          <w:p>
            <w:pPr>
              <w:pStyle w:val="TableParagraph"/>
              <w:numPr>
                <w:ilvl w:val="0"/>
                <w:numId w:val="18"/>
              </w:numPr>
              <w:tabs>
                <w:tab w:pos="415" w:val="left" w:leader="none"/>
                <w:tab w:pos="416" w:val="left" w:leader="none"/>
              </w:tabs>
              <w:spacing w:line="245" w:lineRule="exact" w:before="0" w:after="0"/>
              <w:ind w:left="415" w:right="0" w:hanging="314"/>
              <w:jc w:val="left"/>
              <w:rPr>
                <w:sz w:val="20"/>
              </w:rPr>
            </w:pPr>
            <w:r>
              <w:rPr>
                <w:sz w:val="20"/>
              </w:rPr>
              <w:t>Book</w:t>
            </w:r>
            <w:r>
              <w:rPr>
                <w:spacing w:val="-4"/>
                <w:sz w:val="20"/>
              </w:rPr>
              <w:t> </w:t>
            </w:r>
            <w:r>
              <w:rPr>
                <w:sz w:val="20"/>
              </w:rPr>
              <w:t>and</w:t>
            </w:r>
            <w:r>
              <w:rPr>
                <w:spacing w:val="-6"/>
                <w:sz w:val="20"/>
              </w:rPr>
              <w:t> </w:t>
            </w:r>
            <w:r>
              <w:rPr>
                <w:sz w:val="20"/>
              </w:rPr>
              <w:t>resource</w:t>
            </w:r>
            <w:r>
              <w:rPr>
                <w:spacing w:val="-6"/>
                <w:sz w:val="20"/>
              </w:rPr>
              <w:t> </w:t>
            </w:r>
            <w:r>
              <w:rPr>
                <w:spacing w:val="-2"/>
                <w:sz w:val="20"/>
              </w:rPr>
              <w:t>borrowing</w:t>
            </w:r>
          </w:p>
          <w:p>
            <w:pPr>
              <w:pStyle w:val="TableParagraph"/>
              <w:numPr>
                <w:ilvl w:val="0"/>
                <w:numId w:val="18"/>
              </w:numPr>
              <w:tabs>
                <w:tab w:pos="415" w:val="left" w:leader="none"/>
                <w:tab w:pos="416" w:val="left" w:leader="none"/>
              </w:tabs>
              <w:spacing w:line="235" w:lineRule="auto" w:before="4" w:after="0"/>
              <w:ind w:left="414" w:right="490" w:hanging="312"/>
              <w:jc w:val="left"/>
              <w:rPr>
                <w:sz w:val="20"/>
              </w:rPr>
            </w:pPr>
            <w:r>
              <w:rPr>
                <w:sz w:val="20"/>
              </w:rPr>
              <w:t>Programs</w:t>
            </w:r>
            <w:r>
              <w:rPr>
                <w:spacing w:val="-11"/>
                <w:sz w:val="20"/>
              </w:rPr>
              <w:t> </w:t>
            </w:r>
            <w:r>
              <w:rPr>
                <w:sz w:val="20"/>
              </w:rPr>
              <w:t>and</w:t>
            </w:r>
            <w:r>
              <w:rPr>
                <w:spacing w:val="-9"/>
                <w:sz w:val="20"/>
              </w:rPr>
              <w:t> </w:t>
            </w:r>
            <w:r>
              <w:rPr>
                <w:sz w:val="20"/>
              </w:rPr>
              <w:t>activities</w:t>
            </w:r>
            <w:r>
              <w:rPr>
                <w:spacing w:val="-11"/>
                <w:sz w:val="20"/>
              </w:rPr>
              <w:t> </w:t>
            </w:r>
            <w:r>
              <w:rPr>
                <w:sz w:val="20"/>
              </w:rPr>
              <w:t>for</w:t>
            </w:r>
            <w:r>
              <w:rPr>
                <w:spacing w:val="-8"/>
                <w:sz w:val="20"/>
              </w:rPr>
              <w:t> </w:t>
            </w:r>
            <w:r>
              <w:rPr>
                <w:sz w:val="20"/>
              </w:rPr>
              <w:t>all community members</w:t>
            </w:r>
          </w:p>
          <w:p>
            <w:pPr>
              <w:pStyle w:val="TableParagraph"/>
              <w:numPr>
                <w:ilvl w:val="0"/>
                <w:numId w:val="18"/>
              </w:numPr>
              <w:tabs>
                <w:tab w:pos="415" w:val="left" w:leader="none"/>
                <w:tab w:pos="416" w:val="left" w:leader="none"/>
              </w:tabs>
              <w:spacing w:line="235" w:lineRule="auto" w:before="7" w:after="0"/>
              <w:ind w:left="414" w:right="275" w:hanging="312"/>
              <w:jc w:val="left"/>
              <w:rPr>
                <w:sz w:val="20"/>
              </w:rPr>
            </w:pPr>
            <w:r>
              <w:rPr>
                <w:sz w:val="20"/>
              </w:rPr>
              <w:t>Community</w:t>
            </w:r>
            <w:r>
              <w:rPr>
                <w:spacing w:val="-14"/>
                <w:sz w:val="20"/>
              </w:rPr>
              <w:t> </w:t>
            </w:r>
            <w:r>
              <w:rPr>
                <w:sz w:val="20"/>
              </w:rPr>
              <w:t>outreach</w:t>
            </w:r>
            <w:r>
              <w:rPr>
                <w:spacing w:val="-14"/>
                <w:sz w:val="20"/>
              </w:rPr>
              <w:t> </w:t>
            </w:r>
            <w:r>
              <w:rPr>
                <w:sz w:val="20"/>
              </w:rPr>
              <w:t>resources, activities and services</w:t>
            </w:r>
          </w:p>
          <w:p>
            <w:pPr>
              <w:pStyle w:val="TableParagraph"/>
              <w:numPr>
                <w:ilvl w:val="0"/>
                <w:numId w:val="18"/>
              </w:numPr>
              <w:tabs>
                <w:tab w:pos="415" w:val="left" w:leader="none"/>
                <w:tab w:pos="416" w:val="left" w:leader="none"/>
              </w:tabs>
              <w:spacing w:line="245" w:lineRule="exact" w:before="4" w:after="0"/>
              <w:ind w:left="415" w:right="0" w:hanging="314"/>
              <w:jc w:val="left"/>
              <w:rPr>
                <w:sz w:val="20"/>
              </w:rPr>
            </w:pPr>
            <w:r>
              <w:rPr>
                <w:sz w:val="20"/>
              </w:rPr>
              <w:t>Computer</w:t>
            </w:r>
            <w:r>
              <w:rPr>
                <w:spacing w:val="-9"/>
                <w:sz w:val="20"/>
              </w:rPr>
              <w:t> </w:t>
            </w:r>
            <w:r>
              <w:rPr>
                <w:sz w:val="20"/>
              </w:rPr>
              <w:t>and</w:t>
            </w:r>
            <w:r>
              <w:rPr>
                <w:spacing w:val="-6"/>
                <w:sz w:val="20"/>
              </w:rPr>
              <w:t> </w:t>
            </w:r>
            <w:r>
              <w:rPr>
                <w:sz w:val="20"/>
              </w:rPr>
              <w:t>internet</w:t>
            </w:r>
            <w:r>
              <w:rPr>
                <w:spacing w:val="-6"/>
                <w:sz w:val="20"/>
              </w:rPr>
              <w:t> </w:t>
            </w:r>
            <w:r>
              <w:rPr>
                <w:spacing w:val="-2"/>
                <w:sz w:val="20"/>
              </w:rPr>
              <w:t>access</w:t>
            </w:r>
          </w:p>
          <w:p>
            <w:pPr>
              <w:pStyle w:val="TableParagraph"/>
              <w:numPr>
                <w:ilvl w:val="0"/>
                <w:numId w:val="18"/>
              </w:numPr>
              <w:tabs>
                <w:tab w:pos="415" w:val="left" w:leader="none"/>
                <w:tab w:pos="416" w:val="left" w:leader="none"/>
              </w:tabs>
              <w:spacing w:line="244" w:lineRule="exact" w:before="0" w:after="0"/>
              <w:ind w:left="415" w:right="0" w:hanging="314"/>
              <w:jc w:val="left"/>
              <w:rPr>
                <w:sz w:val="20"/>
              </w:rPr>
            </w:pPr>
            <w:r>
              <w:rPr>
                <w:sz w:val="20"/>
              </w:rPr>
              <w:t>E-reading</w:t>
            </w:r>
            <w:r>
              <w:rPr>
                <w:spacing w:val="-13"/>
                <w:sz w:val="20"/>
              </w:rPr>
              <w:t> </w:t>
            </w:r>
            <w:r>
              <w:rPr>
                <w:spacing w:val="-2"/>
                <w:sz w:val="20"/>
              </w:rPr>
              <w:t>loans</w:t>
            </w:r>
          </w:p>
          <w:p>
            <w:pPr>
              <w:pStyle w:val="TableParagraph"/>
              <w:numPr>
                <w:ilvl w:val="0"/>
                <w:numId w:val="18"/>
              </w:numPr>
              <w:tabs>
                <w:tab w:pos="415" w:val="left" w:leader="none"/>
                <w:tab w:pos="416" w:val="left" w:leader="none"/>
              </w:tabs>
              <w:spacing w:line="242" w:lineRule="exact" w:before="0" w:after="0"/>
              <w:ind w:left="415" w:right="0" w:hanging="314"/>
              <w:jc w:val="left"/>
              <w:rPr>
                <w:sz w:val="20"/>
              </w:rPr>
            </w:pPr>
            <w:r>
              <w:rPr>
                <w:sz w:val="20"/>
              </w:rPr>
              <w:t>Genealogy</w:t>
            </w:r>
            <w:r>
              <w:rPr>
                <w:spacing w:val="-10"/>
                <w:sz w:val="20"/>
              </w:rPr>
              <w:t> </w:t>
            </w:r>
            <w:r>
              <w:rPr>
                <w:spacing w:val="-2"/>
                <w:sz w:val="20"/>
              </w:rPr>
              <w:t>programs</w:t>
            </w:r>
          </w:p>
          <w:p>
            <w:pPr>
              <w:pStyle w:val="TableParagraph"/>
              <w:numPr>
                <w:ilvl w:val="0"/>
                <w:numId w:val="18"/>
              </w:numPr>
              <w:tabs>
                <w:tab w:pos="415" w:val="left" w:leader="none"/>
                <w:tab w:pos="416" w:val="left" w:leader="none"/>
              </w:tabs>
              <w:spacing w:line="244" w:lineRule="exact" w:before="0" w:after="0"/>
              <w:ind w:left="415" w:right="0" w:hanging="314"/>
              <w:jc w:val="left"/>
              <w:rPr>
                <w:sz w:val="20"/>
              </w:rPr>
            </w:pPr>
            <w:r>
              <w:rPr>
                <w:w w:val="95"/>
                <w:sz w:val="20"/>
              </w:rPr>
              <w:t>Wi-</w:t>
            </w:r>
            <w:r>
              <w:rPr>
                <w:spacing w:val="-5"/>
                <w:sz w:val="20"/>
              </w:rPr>
              <w:t>fi</w:t>
            </w:r>
          </w:p>
          <w:p>
            <w:pPr>
              <w:pStyle w:val="TableParagraph"/>
              <w:numPr>
                <w:ilvl w:val="0"/>
                <w:numId w:val="18"/>
              </w:numPr>
              <w:tabs>
                <w:tab w:pos="415" w:val="left" w:leader="none"/>
                <w:tab w:pos="416" w:val="left" w:leader="none"/>
              </w:tabs>
              <w:spacing w:line="244" w:lineRule="exact" w:before="0" w:after="0"/>
              <w:ind w:left="415" w:right="0" w:hanging="314"/>
              <w:jc w:val="left"/>
              <w:rPr>
                <w:sz w:val="20"/>
              </w:rPr>
            </w:pPr>
            <w:r>
              <w:rPr>
                <w:sz w:val="20"/>
              </w:rPr>
              <w:t>Social</w:t>
            </w:r>
            <w:r>
              <w:rPr>
                <w:spacing w:val="-9"/>
                <w:sz w:val="20"/>
              </w:rPr>
              <w:t> </w:t>
            </w:r>
            <w:r>
              <w:rPr>
                <w:spacing w:val="-2"/>
                <w:sz w:val="20"/>
              </w:rPr>
              <w:t>connection</w:t>
            </w:r>
          </w:p>
          <w:p>
            <w:pPr>
              <w:pStyle w:val="TableParagraph"/>
              <w:numPr>
                <w:ilvl w:val="0"/>
                <w:numId w:val="18"/>
              </w:numPr>
              <w:tabs>
                <w:tab w:pos="415" w:val="left" w:leader="none"/>
                <w:tab w:pos="416" w:val="left" w:leader="none"/>
              </w:tabs>
              <w:spacing w:line="244" w:lineRule="exact" w:before="0" w:after="0"/>
              <w:ind w:left="415" w:right="0" w:hanging="314"/>
              <w:jc w:val="left"/>
              <w:rPr>
                <w:sz w:val="20"/>
              </w:rPr>
            </w:pPr>
            <w:r>
              <w:rPr>
                <w:sz w:val="20"/>
              </w:rPr>
              <w:t>Dementia</w:t>
            </w:r>
            <w:r>
              <w:rPr>
                <w:spacing w:val="-12"/>
                <w:sz w:val="20"/>
              </w:rPr>
              <w:t> </w:t>
            </w:r>
            <w:r>
              <w:rPr>
                <w:sz w:val="20"/>
              </w:rPr>
              <w:t>library</w:t>
            </w:r>
            <w:r>
              <w:rPr>
                <w:spacing w:val="-8"/>
                <w:sz w:val="20"/>
              </w:rPr>
              <w:t> </w:t>
            </w:r>
            <w:r>
              <w:rPr>
                <w:spacing w:val="-2"/>
                <w:sz w:val="20"/>
              </w:rPr>
              <w:t>resources</w:t>
            </w:r>
          </w:p>
        </w:tc>
        <w:tc>
          <w:tcPr>
            <w:tcW w:w="4098" w:type="dxa"/>
            <w:gridSpan w:val="3"/>
            <w:tcBorders>
              <w:top w:val="single" w:sz="4" w:space="0" w:color="000000"/>
              <w:left w:val="single" w:sz="4" w:space="0" w:color="000000"/>
              <w:bottom w:val="single" w:sz="4" w:space="0" w:color="000000"/>
              <w:right w:val="nil"/>
            </w:tcBorders>
          </w:tcPr>
          <w:p>
            <w:pPr>
              <w:pStyle w:val="TableParagraph"/>
              <w:tabs>
                <w:tab w:pos="2654" w:val="left" w:leader="none"/>
                <w:tab w:pos="3926" w:val="left" w:leader="none"/>
              </w:tabs>
              <w:spacing w:line="229" w:lineRule="exact"/>
              <w:ind w:left="100"/>
              <w:rPr>
                <w:sz w:val="18"/>
              </w:rPr>
            </w:pPr>
            <w:r>
              <w:rPr>
                <w:spacing w:val="-2"/>
                <w:sz w:val="20"/>
              </w:rPr>
              <w:t>Income</w:t>
            </w:r>
            <w:r>
              <w:rPr>
                <w:sz w:val="20"/>
              </w:rPr>
              <w:tab/>
            </w:r>
            <w:r>
              <w:rPr>
                <w:spacing w:val="-10"/>
                <w:position w:val="2"/>
                <w:sz w:val="18"/>
              </w:rPr>
              <w:t>-</w:t>
            </w:r>
            <w:r>
              <w:rPr>
                <w:position w:val="2"/>
                <w:sz w:val="18"/>
              </w:rPr>
              <w:tab/>
            </w:r>
            <w:r>
              <w:rPr>
                <w:spacing w:val="-10"/>
                <w:position w:val="2"/>
                <w:sz w:val="18"/>
              </w:rPr>
              <w:t>-</w:t>
            </w:r>
          </w:p>
          <w:p>
            <w:pPr>
              <w:pStyle w:val="TableParagraph"/>
              <w:tabs>
                <w:tab w:pos="2262" w:val="left" w:leader="none"/>
                <w:tab w:pos="3534" w:val="left" w:leader="none"/>
              </w:tabs>
              <w:spacing w:before="80"/>
              <w:ind w:left="100"/>
              <w:rPr>
                <w:sz w:val="18"/>
              </w:rPr>
            </w:pPr>
            <w:r>
              <w:rPr>
                <w:spacing w:val="-2"/>
                <w:sz w:val="20"/>
              </w:rPr>
              <w:t>Expenditure</w:t>
            </w:r>
            <w:r>
              <w:rPr>
                <w:sz w:val="20"/>
              </w:rPr>
              <w:tab/>
            </w:r>
            <w:r>
              <w:rPr>
                <w:spacing w:val="-2"/>
                <w:position w:val="2"/>
                <w:sz w:val="18"/>
              </w:rPr>
              <w:t>3,728</w:t>
            </w:r>
            <w:r>
              <w:rPr>
                <w:position w:val="2"/>
                <w:sz w:val="18"/>
              </w:rPr>
              <w:tab/>
            </w:r>
            <w:r>
              <w:rPr>
                <w:spacing w:val="-4"/>
                <w:position w:val="2"/>
                <w:sz w:val="18"/>
              </w:rPr>
              <w:t>3,625</w:t>
            </w:r>
          </w:p>
        </w:tc>
        <w:tc>
          <w:tcPr>
            <w:tcW w:w="1233" w:type="dxa"/>
            <w:tcBorders>
              <w:top w:val="single" w:sz="4" w:space="0" w:color="000000"/>
              <w:left w:val="nil"/>
              <w:bottom w:val="single" w:sz="4" w:space="0" w:color="000000"/>
              <w:right w:val="single" w:sz="12" w:space="0" w:color="000000"/>
            </w:tcBorders>
            <w:shd w:val="clear" w:color="auto" w:fill="BCD6ED"/>
          </w:tcPr>
          <w:p>
            <w:pPr>
              <w:pStyle w:val="TableParagraph"/>
              <w:spacing w:line="206" w:lineRule="exact"/>
              <w:ind w:right="91"/>
              <w:jc w:val="right"/>
              <w:rPr>
                <w:sz w:val="18"/>
              </w:rPr>
            </w:pPr>
            <w:r>
              <w:rPr>
                <w:sz w:val="18"/>
              </w:rPr>
              <w:t>-</w:t>
            </w:r>
          </w:p>
          <w:p>
            <w:pPr>
              <w:pStyle w:val="TableParagraph"/>
              <w:spacing w:before="107"/>
              <w:ind w:left="674"/>
              <w:rPr>
                <w:sz w:val="18"/>
              </w:rPr>
            </w:pPr>
            <w:r>
              <w:rPr>
                <w:spacing w:val="-2"/>
                <w:sz w:val="18"/>
              </w:rPr>
              <w:t>3,652</w:t>
            </w:r>
          </w:p>
        </w:tc>
      </w:tr>
      <w:tr>
        <w:trPr>
          <w:trHeight w:val="470" w:hRule="exact"/>
        </w:trPr>
        <w:tc>
          <w:tcPr>
            <w:tcW w:w="1553" w:type="dxa"/>
            <w:vMerge/>
            <w:tcBorders>
              <w:top w:val="nil"/>
              <w:left w:val="single" w:sz="12" w:space="0" w:color="000000"/>
              <w:bottom w:val="nil"/>
              <w:right w:val="single" w:sz="4" w:space="0" w:color="000000"/>
            </w:tcBorders>
          </w:tcPr>
          <w:p>
            <w:pPr>
              <w:rPr>
                <w:sz w:val="2"/>
                <w:szCs w:val="2"/>
              </w:rPr>
            </w:pPr>
          </w:p>
        </w:tc>
        <w:tc>
          <w:tcPr>
            <w:tcW w:w="3540" w:type="dxa"/>
            <w:vMerge/>
            <w:tcBorders>
              <w:top w:val="nil"/>
              <w:left w:val="single" w:sz="4" w:space="0" w:color="000000"/>
              <w:bottom w:val="single" w:sz="12" w:space="0" w:color="000000"/>
              <w:right w:val="single" w:sz="4" w:space="0" w:color="000000"/>
            </w:tcBorders>
          </w:tcPr>
          <w:p>
            <w:pPr>
              <w:rPr>
                <w:sz w:val="2"/>
                <w:szCs w:val="2"/>
              </w:rPr>
            </w:pPr>
          </w:p>
        </w:tc>
        <w:tc>
          <w:tcPr>
            <w:tcW w:w="1660" w:type="dxa"/>
            <w:tcBorders>
              <w:top w:val="single" w:sz="4" w:space="0" w:color="000000"/>
              <w:left w:val="single" w:sz="4" w:space="0" w:color="000000"/>
              <w:bottom w:val="single" w:sz="4" w:space="0" w:color="000000"/>
              <w:right w:val="nil"/>
            </w:tcBorders>
          </w:tcPr>
          <w:p>
            <w:pPr>
              <w:pStyle w:val="TableParagraph"/>
              <w:spacing w:line="230" w:lineRule="exact"/>
              <w:ind w:left="100" w:right="693"/>
              <w:rPr>
                <w:b/>
                <w:sz w:val="20"/>
              </w:rPr>
            </w:pPr>
            <w:r>
              <w:rPr>
                <w:b/>
                <w:sz w:val="20"/>
              </w:rPr>
              <w:t>Surplus</w:t>
            </w:r>
            <w:r>
              <w:rPr>
                <w:b/>
                <w:spacing w:val="-14"/>
                <w:sz w:val="20"/>
              </w:rPr>
              <w:t> </w:t>
            </w:r>
            <w:r>
              <w:rPr>
                <w:b/>
                <w:sz w:val="20"/>
              </w:rPr>
              <w:t>/ </w:t>
            </w:r>
            <w:r>
              <w:rPr>
                <w:b/>
                <w:spacing w:val="-2"/>
                <w:sz w:val="20"/>
              </w:rPr>
              <w:t>(deficit)</w:t>
            </w:r>
          </w:p>
        </w:tc>
        <w:tc>
          <w:tcPr>
            <w:tcW w:w="1223" w:type="dxa"/>
            <w:tcBorders>
              <w:top w:val="single" w:sz="4" w:space="0" w:color="000000"/>
              <w:left w:val="nil"/>
              <w:bottom w:val="single" w:sz="4" w:space="0" w:color="000000"/>
              <w:right w:val="nil"/>
            </w:tcBorders>
          </w:tcPr>
          <w:p>
            <w:pPr>
              <w:pStyle w:val="TableParagraph"/>
              <w:spacing w:line="206" w:lineRule="exact"/>
              <w:ind w:right="160"/>
              <w:jc w:val="right"/>
              <w:rPr>
                <w:b/>
                <w:sz w:val="18"/>
              </w:rPr>
            </w:pPr>
            <w:r>
              <w:rPr>
                <w:b/>
                <w:spacing w:val="-2"/>
                <w:sz w:val="18"/>
              </w:rPr>
              <w:t>(3,728)</w:t>
            </w:r>
          </w:p>
        </w:tc>
        <w:tc>
          <w:tcPr>
            <w:tcW w:w="1215" w:type="dxa"/>
            <w:tcBorders>
              <w:top w:val="single" w:sz="4" w:space="0" w:color="000000"/>
              <w:left w:val="nil"/>
              <w:bottom w:val="single" w:sz="4" w:space="0" w:color="000000"/>
              <w:right w:val="nil"/>
            </w:tcBorders>
          </w:tcPr>
          <w:p>
            <w:pPr>
              <w:pStyle w:val="TableParagraph"/>
              <w:spacing w:line="206" w:lineRule="exact"/>
              <w:ind w:right="104"/>
              <w:jc w:val="right"/>
              <w:rPr>
                <w:b/>
                <w:sz w:val="18"/>
              </w:rPr>
            </w:pPr>
            <w:r>
              <w:rPr>
                <w:b/>
                <w:spacing w:val="-2"/>
                <w:sz w:val="18"/>
              </w:rPr>
              <w:t>(3,625)</w:t>
            </w:r>
          </w:p>
        </w:tc>
        <w:tc>
          <w:tcPr>
            <w:tcW w:w="1233" w:type="dxa"/>
            <w:tcBorders>
              <w:top w:val="single" w:sz="4" w:space="0" w:color="000000"/>
              <w:left w:val="nil"/>
              <w:bottom w:val="single" w:sz="4" w:space="0" w:color="000000"/>
              <w:right w:val="single" w:sz="12" w:space="0" w:color="000000"/>
            </w:tcBorders>
            <w:shd w:val="clear" w:color="auto" w:fill="BCD6ED"/>
          </w:tcPr>
          <w:p>
            <w:pPr>
              <w:pStyle w:val="TableParagraph"/>
              <w:spacing w:line="206" w:lineRule="exact"/>
              <w:ind w:right="89"/>
              <w:jc w:val="right"/>
              <w:rPr>
                <w:b/>
                <w:sz w:val="18"/>
              </w:rPr>
            </w:pPr>
            <w:r>
              <w:rPr>
                <w:b/>
                <w:spacing w:val="-2"/>
                <w:sz w:val="18"/>
              </w:rPr>
              <w:t>(3,652)</w:t>
            </w:r>
          </w:p>
        </w:tc>
      </w:tr>
      <w:tr>
        <w:trPr>
          <w:trHeight w:val="2291" w:hRule="exact"/>
        </w:trPr>
        <w:tc>
          <w:tcPr>
            <w:tcW w:w="1553" w:type="dxa"/>
            <w:tcBorders>
              <w:top w:val="nil"/>
              <w:left w:val="single" w:sz="12" w:space="0" w:color="000000"/>
              <w:bottom w:val="single" w:sz="12" w:space="0" w:color="000000"/>
              <w:right w:val="single" w:sz="4" w:space="0" w:color="000000"/>
            </w:tcBorders>
          </w:tcPr>
          <w:p>
            <w:pPr>
              <w:pStyle w:val="TableParagraph"/>
              <w:rPr>
                <w:rFonts w:ascii="Times New Roman"/>
                <w:sz w:val="18"/>
              </w:rPr>
            </w:pPr>
          </w:p>
        </w:tc>
        <w:tc>
          <w:tcPr>
            <w:tcW w:w="3540" w:type="dxa"/>
            <w:vMerge/>
            <w:tcBorders>
              <w:top w:val="nil"/>
              <w:left w:val="single" w:sz="4" w:space="0" w:color="000000"/>
              <w:bottom w:val="single" w:sz="12" w:space="0" w:color="000000"/>
              <w:right w:val="single" w:sz="4" w:space="0" w:color="000000"/>
            </w:tcBorders>
          </w:tcPr>
          <w:p>
            <w:pPr>
              <w:rPr>
                <w:sz w:val="2"/>
                <w:szCs w:val="2"/>
              </w:rPr>
            </w:pPr>
          </w:p>
        </w:tc>
        <w:tc>
          <w:tcPr>
            <w:tcW w:w="5331" w:type="dxa"/>
            <w:gridSpan w:val="4"/>
            <w:tcBorders>
              <w:top w:val="single" w:sz="4" w:space="0" w:color="000000"/>
              <w:left w:val="single" w:sz="4" w:space="0" w:color="000000"/>
              <w:bottom w:val="single" w:sz="12" w:space="0" w:color="000000"/>
              <w:right w:val="single" w:sz="12" w:space="0" w:color="000000"/>
            </w:tcBorders>
          </w:tcPr>
          <w:p>
            <w:pPr>
              <w:pStyle w:val="TableParagraph"/>
              <w:rPr>
                <w:rFonts w:ascii="Times New Roman"/>
                <w:sz w:val="18"/>
              </w:rPr>
            </w:pPr>
          </w:p>
        </w:tc>
      </w:tr>
    </w:tbl>
    <w:p>
      <w:pPr>
        <w:spacing w:after="0"/>
        <w:rPr>
          <w:rFonts w:ascii="Times New Roman"/>
          <w:sz w:val="18"/>
        </w:rPr>
        <w:sectPr>
          <w:pgSz w:w="11910" w:h="16840"/>
          <w:pgMar w:header="0" w:footer="375" w:top="540" w:bottom="1925" w:left="460" w:right="160"/>
        </w:sectPr>
      </w:pPr>
    </w:p>
    <w:tbl>
      <w:tblPr>
        <w:tblW w:w="0" w:type="auto"/>
        <w:jc w:val="left"/>
        <w:tblInd w:w="4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553"/>
        <w:gridCol w:w="3540"/>
        <w:gridCol w:w="1537"/>
        <w:gridCol w:w="1348"/>
        <w:gridCol w:w="1216"/>
        <w:gridCol w:w="1234"/>
      </w:tblGrid>
      <w:tr>
        <w:trPr>
          <w:trHeight w:val="900" w:hRule="atLeast"/>
        </w:trPr>
        <w:tc>
          <w:tcPr>
            <w:tcW w:w="1553" w:type="dxa"/>
            <w:tcBorders>
              <w:left w:val="single" w:sz="12" w:space="0" w:color="000000"/>
              <w:bottom w:val="single" w:sz="4" w:space="0" w:color="000000"/>
              <w:right w:val="nil"/>
            </w:tcBorders>
            <w:shd w:val="clear" w:color="auto" w:fill="5B9AD4"/>
          </w:tcPr>
          <w:p>
            <w:pPr>
              <w:pStyle w:val="TableParagraph"/>
              <w:spacing w:before="2"/>
              <w:rPr>
                <w:b/>
                <w:sz w:val="19"/>
              </w:rPr>
            </w:pPr>
          </w:p>
          <w:p>
            <w:pPr>
              <w:pStyle w:val="TableParagraph"/>
              <w:ind w:left="169"/>
              <w:rPr>
                <w:b/>
                <w:sz w:val="20"/>
              </w:rPr>
            </w:pPr>
            <w:r>
              <w:rPr>
                <w:b/>
                <w:color w:val="FFFFFF"/>
                <w:sz w:val="20"/>
              </w:rPr>
              <w:t>Service</w:t>
            </w:r>
            <w:r>
              <w:rPr>
                <w:b/>
                <w:color w:val="FFFFFF"/>
                <w:spacing w:val="-10"/>
                <w:sz w:val="20"/>
              </w:rPr>
              <w:t> </w:t>
            </w:r>
            <w:r>
              <w:rPr>
                <w:b/>
                <w:color w:val="FFFFFF"/>
                <w:spacing w:val="-4"/>
                <w:sz w:val="20"/>
              </w:rPr>
              <w:t>Area</w:t>
            </w:r>
          </w:p>
        </w:tc>
        <w:tc>
          <w:tcPr>
            <w:tcW w:w="3540" w:type="dxa"/>
            <w:tcBorders>
              <w:left w:val="nil"/>
              <w:bottom w:val="single" w:sz="4" w:space="0" w:color="000000"/>
              <w:right w:val="nil"/>
            </w:tcBorders>
            <w:shd w:val="clear" w:color="auto" w:fill="5B9AD4"/>
          </w:tcPr>
          <w:p>
            <w:pPr>
              <w:pStyle w:val="TableParagraph"/>
              <w:spacing w:before="6"/>
              <w:rPr>
                <w:b/>
                <w:sz w:val="28"/>
              </w:rPr>
            </w:pPr>
          </w:p>
          <w:p>
            <w:pPr>
              <w:pStyle w:val="TableParagraph"/>
              <w:ind w:left="916"/>
              <w:rPr>
                <w:b/>
                <w:sz w:val="20"/>
              </w:rPr>
            </w:pPr>
            <w:r>
              <w:rPr>
                <w:b/>
                <w:color w:val="FFFFFF"/>
                <w:sz w:val="20"/>
              </w:rPr>
              <w:t>Services</w:t>
            </w:r>
            <w:r>
              <w:rPr>
                <w:b/>
                <w:color w:val="FFFFFF"/>
                <w:spacing w:val="-9"/>
                <w:sz w:val="20"/>
              </w:rPr>
              <w:t> </w:t>
            </w:r>
            <w:r>
              <w:rPr>
                <w:b/>
                <w:color w:val="FFFFFF"/>
                <w:spacing w:val="-2"/>
                <w:sz w:val="20"/>
              </w:rPr>
              <w:t>Provided</w:t>
            </w:r>
          </w:p>
        </w:tc>
        <w:tc>
          <w:tcPr>
            <w:tcW w:w="1537" w:type="dxa"/>
            <w:tcBorders>
              <w:left w:val="nil"/>
              <w:bottom w:val="single" w:sz="4" w:space="0" w:color="000000"/>
              <w:right w:val="nil"/>
            </w:tcBorders>
            <w:shd w:val="clear" w:color="auto" w:fill="5B9AD4"/>
          </w:tcPr>
          <w:p>
            <w:pPr>
              <w:pStyle w:val="TableParagraph"/>
              <w:rPr>
                <w:rFonts w:ascii="Times New Roman"/>
                <w:sz w:val="18"/>
              </w:rPr>
            </w:pPr>
          </w:p>
        </w:tc>
        <w:tc>
          <w:tcPr>
            <w:tcW w:w="1348" w:type="dxa"/>
            <w:tcBorders>
              <w:left w:val="nil"/>
              <w:bottom w:val="single" w:sz="4" w:space="0" w:color="000000"/>
              <w:right w:val="nil"/>
            </w:tcBorders>
            <w:shd w:val="clear" w:color="auto" w:fill="5B9AD4"/>
          </w:tcPr>
          <w:p>
            <w:pPr>
              <w:pStyle w:val="TableParagraph"/>
              <w:spacing w:before="26"/>
              <w:ind w:left="350" w:right="222"/>
              <w:jc w:val="center"/>
              <w:rPr>
                <w:b/>
                <w:sz w:val="20"/>
              </w:rPr>
            </w:pPr>
            <w:r>
              <w:rPr>
                <w:b/>
                <w:color w:val="FFFFFF"/>
                <w:spacing w:val="-2"/>
                <w:sz w:val="20"/>
              </w:rPr>
              <w:t>2023/24</w:t>
            </w:r>
          </w:p>
          <w:p>
            <w:pPr>
              <w:pStyle w:val="TableParagraph"/>
              <w:spacing w:before="72"/>
              <w:ind w:left="350" w:right="223"/>
              <w:jc w:val="center"/>
              <w:rPr>
                <w:b/>
                <w:sz w:val="20"/>
              </w:rPr>
            </w:pPr>
            <w:r>
              <w:rPr>
                <w:b/>
                <w:color w:val="FFFFFF"/>
                <w:spacing w:val="-2"/>
                <w:sz w:val="20"/>
              </w:rPr>
              <w:t>Actual</w:t>
            </w:r>
          </w:p>
          <w:p>
            <w:pPr>
              <w:pStyle w:val="TableParagraph"/>
              <w:spacing w:before="75"/>
              <w:ind w:left="350" w:right="223"/>
              <w:jc w:val="center"/>
              <w:rPr>
                <w:b/>
                <w:sz w:val="20"/>
              </w:rPr>
            </w:pPr>
            <w:r>
              <w:rPr>
                <w:b/>
                <w:color w:val="FFFFFF"/>
                <w:spacing w:val="-2"/>
                <w:sz w:val="20"/>
              </w:rPr>
              <w:t>$'000</w:t>
            </w:r>
          </w:p>
        </w:tc>
        <w:tc>
          <w:tcPr>
            <w:tcW w:w="1216" w:type="dxa"/>
            <w:tcBorders>
              <w:left w:val="nil"/>
              <w:bottom w:val="single" w:sz="4" w:space="0" w:color="000000"/>
              <w:right w:val="nil"/>
            </w:tcBorders>
            <w:shd w:val="clear" w:color="auto" w:fill="5B9AD4"/>
          </w:tcPr>
          <w:p>
            <w:pPr>
              <w:pStyle w:val="TableParagraph"/>
              <w:spacing w:before="26"/>
              <w:ind w:left="80" w:right="113"/>
              <w:jc w:val="center"/>
              <w:rPr>
                <w:b/>
                <w:sz w:val="20"/>
              </w:rPr>
            </w:pPr>
            <w:r>
              <w:rPr>
                <w:b/>
                <w:color w:val="FFFFFF"/>
                <w:spacing w:val="-2"/>
                <w:sz w:val="20"/>
              </w:rPr>
              <w:t>2024/25</w:t>
            </w:r>
          </w:p>
          <w:p>
            <w:pPr>
              <w:pStyle w:val="TableParagraph"/>
              <w:spacing w:before="72"/>
              <w:ind w:left="81" w:right="113"/>
              <w:jc w:val="center"/>
              <w:rPr>
                <w:b/>
                <w:sz w:val="20"/>
              </w:rPr>
            </w:pPr>
            <w:r>
              <w:rPr>
                <w:b/>
                <w:color w:val="FFFFFF"/>
                <w:spacing w:val="-2"/>
                <w:sz w:val="20"/>
              </w:rPr>
              <w:t>Forecast</w:t>
            </w:r>
          </w:p>
          <w:p>
            <w:pPr>
              <w:pStyle w:val="TableParagraph"/>
              <w:spacing w:before="75"/>
              <w:ind w:left="79" w:right="113"/>
              <w:jc w:val="center"/>
              <w:rPr>
                <w:b/>
                <w:sz w:val="20"/>
              </w:rPr>
            </w:pPr>
            <w:r>
              <w:rPr>
                <w:b/>
                <w:color w:val="FFFFFF"/>
                <w:spacing w:val="-2"/>
                <w:sz w:val="20"/>
              </w:rPr>
              <w:t>$'000</w:t>
            </w:r>
          </w:p>
        </w:tc>
        <w:tc>
          <w:tcPr>
            <w:tcW w:w="1234" w:type="dxa"/>
            <w:tcBorders>
              <w:left w:val="nil"/>
              <w:bottom w:val="single" w:sz="4" w:space="0" w:color="000000"/>
              <w:right w:val="single" w:sz="12" w:space="0" w:color="000000"/>
            </w:tcBorders>
            <w:shd w:val="clear" w:color="auto" w:fill="5B9AD4"/>
          </w:tcPr>
          <w:p>
            <w:pPr>
              <w:pStyle w:val="TableParagraph"/>
              <w:spacing w:before="26"/>
              <w:ind w:left="240" w:right="221"/>
              <w:jc w:val="center"/>
              <w:rPr>
                <w:b/>
                <w:sz w:val="20"/>
              </w:rPr>
            </w:pPr>
            <w:r>
              <w:rPr>
                <w:b/>
                <w:color w:val="FFFFFF"/>
                <w:spacing w:val="-2"/>
                <w:sz w:val="20"/>
              </w:rPr>
              <w:t>2025/26</w:t>
            </w:r>
          </w:p>
          <w:p>
            <w:pPr>
              <w:pStyle w:val="TableParagraph"/>
              <w:spacing w:before="72"/>
              <w:ind w:left="240" w:right="219"/>
              <w:jc w:val="center"/>
              <w:rPr>
                <w:b/>
                <w:sz w:val="20"/>
              </w:rPr>
            </w:pPr>
            <w:r>
              <w:rPr>
                <w:b/>
                <w:color w:val="FFFFFF"/>
                <w:spacing w:val="-2"/>
                <w:sz w:val="20"/>
              </w:rPr>
              <w:t>Budget</w:t>
            </w:r>
          </w:p>
          <w:p>
            <w:pPr>
              <w:pStyle w:val="TableParagraph"/>
              <w:spacing w:before="75"/>
              <w:ind w:left="240" w:right="221"/>
              <w:jc w:val="center"/>
              <w:rPr>
                <w:b/>
                <w:sz w:val="20"/>
              </w:rPr>
            </w:pPr>
            <w:r>
              <w:rPr>
                <w:b/>
                <w:color w:val="FFFFFF"/>
                <w:spacing w:val="-2"/>
                <w:sz w:val="20"/>
              </w:rPr>
              <w:t>$'000</w:t>
            </w:r>
          </w:p>
        </w:tc>
      </w:tr>
      <w:tr>
        <w:trPr>
          <w:trHeight w:val="616" w:hRule="atLeast"/>
        </w:trPr>
        <w:tc>
          <w:tcPr>
            <w:tcW w:w="1553" w:type="dxa"/>
            <w:vMerge w:val="restart"/>
            <w:tcBorders>
              <w:top w:val="single" w:sz="4" w:space="0" w:color="000000"/>
              <w:left w:val="single" w:sz="12" w:space="0" w:color="000000"/>
              <w:bottom w:val="single" w:sz="4" w:space="0" w:color="000000"/>
              <w:right w:val="single" w:sz="4" w:space="0" w:color="000000"/>
            </w:tcBorders>
          </w:tcPr>
          <w:p>
            <w:pPr>
              <w:pStyle w:val="TableParagraph"/>
              <w:ind w:left="107" w:right="173"/>
              <w:rPr>
                <w:sz w:val="20"/>
              </w:rPr>
            </w:pPr>
            <w:r>
              <w:rPr>
                <w:spacing w:val="-2"/>
                <w:sz w:val="20"/>
              </w:rPr>
              <w:t>Maroondah </w:t>
            </w:r>
            <w:r>
              <w:rPr>
                <w:sz w:val="20"/>
              </w:rPr>
              <w:t>golf</w:t>
            </w:r>
            <w:r>
              <w:rPr>
                <w:spacing w:val="-14"/>
                <w:sz w:val="20"/>
              </w:rPr>
              <w:t> </w:t>
            </w:r>
            <w:r>
              <w:rPr>
                <w:sz w:val="20"/>
              </w:rPr>
              <w:t>courses </w:t>
            </w:r>
            <w:r>
              <w:rPr>
                <w:spacing w:val="-4"/>
                <w:sz w:val="20"/>
              </w:rPr>
              <w:t>and </w:t>
            </w:r>
            <w:r>
              <w:rPr>
                <w:spacing w:val="-2"/>
                <w:sz w:val="20"/>
              </w:rPr>
              <w:t>sportsfields</w:t>
            </w:r>
          </w:p>
        </w:tc>
        <w:tc>
          <w:tcPr>
            <w:tcW w:w="3540" w:type="dxa"/>
            <w:vMerge w:val="restart"/>
            <w:tcBorders>
              <w:top w:val="single" w:sz="4" w:space="0" w:color="000000"/>
              <w:left w:val="single" w:sz="4" w:space="0" w:color="000000"/>
              <w:bottom w:val="single" w:sz="4" w:space="0" w:color="000000"/>
              <w:right w:val="single" w:sz="4" w:space="0" w:color="000000"/>
            </w:tcBorders>
          </w:tcPr>
          <w:p>
            <w:pPr>
              <w:pStyle w:val="TableParagraph"/>
              <w:numPr>
                <w:ilvl w:val="0"/>
                <w:numId w:val="19"/>
              </w:numPr>
              <w:tabs>
                <w:tab w:pos="429" w:val="left" w:leader="none"/>
                <w:tab w:pos="430" w:val="left" w:leader="none"/>
              </w:tabs>
              <w:spacing w:line="235" w:lineRule="auto" w:before="4" w:after="0"/>
              <w:ind w:left="429" w:right="288" w:hanging="312"/>
              <w:jc w:val="left"/>
              <w:rPr>
                <w:sz w:val="20"/>
              </w:rPr>
            </w:pPr>
            <w:r>
              <w:rPr>
                <w:sz w:val="20"/>
              </w:rPr>
              <w:t>Operations</w:t>
            </w:r>
            <w:r>
              <w:rPr>
                <w:spacing w:val="-13"/>
                <w:sz w:val="20"/>
              </w:rPr>
              <w:t> </w:t>
            </w:r>
            <w:r>
              <w:rPr>
                <w:sz w:val="20"/>
              </w:rPr>
              <w:t>and</w:t>
            </w:r>
            <w:r>
              <w:rPr>
                <w:spacing w:val="-14"/>
                <w:sz w:val="20"/>
              </w:rPr>
              <w:t> </w:t>
            </w:r>
            <w:r>
              <w:rPr>
                <w:sz w:val="20"/>
              </w:rPr>
              <w:t>management</w:t>
            </w:r>
            <w:r>
              <w:rPr>
                <w:spacing w:val="-14"/>
                <w:sz w:val="20"/>
              </w:rPr>
              <w:t> </w:t>
            </w:r>
            <w:r>
              <w:rPr>
                <w:sz w:val="20"/>
              </w:rPr>
              <w:t>of two golf courses</w:t>
            </w:r>
          </w:p>
          <w:p>
            <w:pPr>
              <w:pStyle w:val="TableParagraph"/>
              <w:numPr>
                <w:ilvl w:val="1"/>
                <w:numId w:val="19"/>
              </w:numPr>
              <w:tabs>
                <w:tab w:pos="837" w:val="left" w:leader="none"/>
              </w:tabs>
              <w:spacing w:line="239" w:lineRule="exact" w:before="2" w:after="0"/>
              <w:ind w:left="836" w:right="0" w:hanging="360"/>
              <w:jc w:val="left"/>
              <w:rPr>
                <w:sz w:val="20"/>
              </w:rPr>
            </w:pPr>
            <w:r>
              <w:rPr>
                <w:sz w:val="20"/>
              </w:rPr>
              <w:t>Ringwood</w:t>
            </w:r>
            <w:r>
              <w:rPr>
                <w:spacing w:val="-11"/>
                <w:sz w:val="20"/>
              </w:rPr>
              <w:t> </w:t>
            </w:r>
            <w:r>
              <w:rPr>
                <w:spacing w:val="-4"/>
                <w:sz w:val="20"/>
              </w:rPr>
              <w:t>Golf</w:t>
            </w:r>
          </w:p>
          <w:p>
            <w:pPr>
              <w:pStyle w:val="TableParagraph"/>
              <w:numPr>
                <w:ilvl w:val="1"/>
                <w:numId w:val="19"/>
              </w:numPr>
              <w:tabs>
                <w:tab w:pos="837" w:val="left" w:leader="none"/>
              </w:tabs>
              <w:spacing w:line="231" w:lineRule="exact" w:before="0" w:after="0"/>
              <w:ind w:left="836" w:right="0" w:hanging="360"/>
              <w:jc w:val="left"/>
              <w:rPr>
                <w:sz w:val="20"/>
              </w:rPr>
            </w:pPr>
            <w:r>
              <w:rPr>
                <w:sz w:val="20"/>
              </w:rPr>
              <w:t>Dorset</w:t>
            </w:r>
            <w:r>
              <w:rPr>
                <w:spacing w:val="-7"/>
                <w:sz w:val="20"/>
              </w:rPr>
              <w:t> </w:t>
            </w:r>
            <w:r>
              <w:rPr>
                <w:spacing w:val="-4"/>
                <w:sz w:val="20"/>
              </w:rPr>
              <w:t>Golf</w:t>
            </w:r>
          </w:p>
          <w:p>
            <w:pPr>
              <w:pStyle w:val="TableParagraph"/>
              <w:numPr>
                <w:ilvl w:val="0"/>
                <w:numId w:val="19"/>
              </w:numPr>
              <w:tabs>
                <w:tab w:pos="429" w:val="left" w:leader="none"/>
                <w:tab w:pos="430" w:val="left" w:leader="none"/>
              </w:tabs>
              <w:spacing w:line="237" w:lineRule="auto" w:before="0" w:after="0"/>
              <w:ind w:left="429" w:right="510" w:hanging="312"/>
              <w:jc w:val="left"/>
              <w:rPr>
                <w:sz w:val="20"/>
              </w:rPr>
            </w:pPr>
            <w:r>
              <w:rPr>
                <w:sz w:val="20"/>
              </w:rPr>
              <w:t>Sportsfield</w:t>
            </w:r>
            <w:r>
              <w:rPr>
                <w:spacing w:val="-14"/>
                <w:sz w:val="20"/>
              </w:rPr>
              <w:t> </w:t>
            </w:r>
            <w:r>
              <w:rPr>
                <w:sz w:val="20"/>
              </w:rPr>
              <w:t>and</w:t>
            </w:r>
            <w:r>
              <w:rPr>
                <w:spacing w:val="-12"/>
                <w:sz w:val="20"/>
              </w:rPr>
              <w:t> </w:t>
            </w:r>
            <w:r>
              <w:rPr>
                <w:sz w:val="20"/>
              </w:rPr>
              <w:t>leisure</w:t>
            </w:r>
            <w:r>
              <w:rPr>
                <w:spacing w:val="-14"/>
                <w:sz w:val="20"/>
              </w:rPr>
              <w:t> </w:t>
            </w:r>
            <w:r>
              <w:rPr>
                <w:sz w:val="20"/>
              </w:rPr>
              <w:t>facility grounds maintenance and </w:t>
            </w:r>
            <w:r>
              <w:rPr>
                <w:spacing w:val="-2"/>
                <w:sz w:val="20"/>
              </w:rPr>
              <w:t>enhancement</w:t>
            </w:r>
          </w:p>
        </w:tc>
        <w:tc>
          <w:tcPr>
            <w:tcW w:w="1537" w:type="dxa"/>
            <w:tcBorders>
              <w:top w:val="single" w:sz="4" w:space="0" w:color="000000"/>
              <w:left w:val="single" w:sz="4" w:space="0" w:color="000000"/>
              <w:bottom w:val="single" w:sz="4" w:space="0" w:color="000000"/>
              <w:right w:val="nil"/>
            </w:tcBorders>
          </w:tcPr>
          <w:p>
            <w:pPr>
              <w:pStyle w:val="TableParagraph"/>
              <w:spacing w:line="229" w:lineRule="exact"/>
              <w:ind w:left="114"/>
              <w:rPr>
                <w:sz w:val="20"/>
              </w:rPr>
            </w:pPr>
            <w:r>
              <w:rPr>
                <w:spacing w:val="-2"/>
                <w:sz w:val="20"/>
              </w:rPr>
              <w:t>Income</w:t>
            </w:r>
          </w:p>
          <w:p>
            <w:pPr>
              <w:pStyle w:val="TableParagraph"/>
              <w:spacing w:before="82"/>
              <w:ind w:left="114"/>
              <w:rPr>
                <w:sz w:val="20"/>
              </w:rPr>
            </w:pPr>
            <w:r>
              <w:rPr>
                <w:spacing w:val="-2"/>
                <w:sz w:val="20"/>
              </w:rPr>
              <w:t>Expenditure</w:t>
            </w:r>
          </w:p>
        </w:tc>
        <w:tc>
          <w:tcPr>
            <w:tcW w:w="1348" w:type="dxa"/>
            <w:tcBorders>
              <w:top w:val="single" w:sz="4" w:space="0" w:color="000000"/>
              <w:left w:val="nil"/>
              <w:bottom w:val="single" w:sz="4" w:space="0" w:color="000000"/>
              <w:right w:val="nil"/>
            </w:tcBorders>
          </w:tcPr>
          <w:p>
            <w:pPr>
              <w:pStyle w:val="TableParagraph"/>
              <w:spacing w:line="206" w:lineRule="exact"/>
              <w:ind w:left="745"/>
              <w:rPr>
                <w:sz w:val="18"/>
              </w:rPr>
            </w:pPr>
            <w:r>
              <w:rPr>
                <w:spacing w:val="-2"/>
                <w:sz w:val="18"/>
              </w:rPr>
              <w:t>5,613</w:t>
            </w:r>
          </w:p>
          <w:p>
            <w:pPr>
              <w:pStyle w:val="TableParagraph"/>
              <w:spacing w:before="105"/>
              <w:ind w:left="745"/>
              <w:rPr>
                <w:sz w:val="18"/>
              </w:rPr>
            </w:pPr>
            <w:r>
              <w:rPr>
                <w:spacing w:val="-2"/>
                <w:sz w:val="18"/>
              </w:rPr>
              <w:t>6,561</w:t>
            </w:r>
          </w:p>
        </w:tc>
        <w:tc>
          <w:tcPr>
            <w:tcW w:w="1216" w:type="dxa"/>
            <w:tcBorders>
              <w:top w:val="single" w:sz="4" w:space="0" w:color="000000"/>
              <w:left w:val="nil"/>
              <w:bottom w:val="single" w:sz="4" w:space="0" w:color="000000"/>
              <w:right w:val="nil"/>
            </w:tcBorders>
          </w:tcPr>
          <w:p>
            <w:pPr>
              <w:pStyle w:val="TableParagraph"/>
              <w:spacing w:line="206" w:lineRule="exact"/>
              <w:ind w:left="669"/>
              <w:rPr>
                <w:sz w:val="18"/>
              </w:rPr>
            </w:pPr>
            <w:r>
              <w:rPr>
                <w:spacing w:val="-2"/>
                <w:sz w:val="18"/>
              </w:rPr>
              <w:t>5,593</w:t>
            </w:r>
          </w:p>
          <w:p>
            <w:pPr>
              <w:pStyle w:val="TableParagraph"/>
              <w:spacing w:before="105"/>
              <w:ind w:left="669"/>
              <w:rPr>
                <w:sz w:val="18"/>
              </w:rPr>
            </w:pPr>
            <w:r>
              <w:rPr>
                <w:spacing w:val="-2"/>
                <w:sz w:val="18"/>
              </w:rPr>
              <w:t>6,921</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line="206" w:lineRule="exact"/>
              <w:ind w:left="671"/>
              <w:rPr>
                <w:sz w:val="18"/>
              </w:rPr>
            </w:pPr>
            <w:r>
              <w:rPr>
                <w:spacing w:val="-2"/>
                <w:sz w:val="18"/>
              </w:rPr>
              <w:t>5,567</w:t>
            </w:r>
          </w:p>
          <w:p>
            <w:pPr>
              <w:pStyle w:val="TableParagraph"/>
              <w:spacing w:before="105"/>
              <w:ind w:left="671"/>
              <w:rPr>
                <w:sz w:val="18"/>
              </w:rPr>
            </w:pPr>
            <w:r>
              <w:rPr>
                <w:spacing w:val="-2"/>
                <w:sz w:val="18"/>
              </w:rPr>
              <w:t>7,223</w:t>
            </w:r>
          </w:p>
        </w:tc>
      </w:tr>
      <w:tr>
        <w:trPr>
          <w:trHeight w:val="460" w:hRule="atLeast"/>
        </w:trPr>
        <w:tc>
          <w:tcPr>
            <w:tcW w:w="1553" w:type="dxa"/>
            <w:vMerge/>
            <w:tcBorders>
              <w:top w:val="nil"/>
              <w:left w:val="single" w:sz="12" w:space="0" w:color="000000"/>
              <w:bottom w:val="single" w:sz="4" w:space="0" w:color="000000"/>
              <w:right w:val="single" w:sz="4" w:space="0" w:color="000000"/>
            </w:tcBorders>
          </w:tcPr>
          <w:p>
            <w:pPr>
              <w:rPr>
                <w:sz w:val="2"/>
                <w:szCs w:val="2"/>
              </w:rPr>
            </w:pPr>
          </w:p>
        </w:tc>
        <w:tc>
          <w:tcPr>
            <w:tcW w:w="3540" w:type="dxa"/>
            <w:vMerge/>
            <w:tcBorders>
              <w:top w:val="nil"/>
              <w:left w:val="single" w:sz="4" w:space="0" w:color="000000"/>
              <w:bottom w:val="single" w:sz="4" w:space="0" w:color="000000"/>
              <w:right w:val="single" w:sz="4" w:space="0" w:color="000000"/>
            </w:tcBorders>
          </w:tcPr>
          <w:p>
            <w:pPr>
              <w:rPr>
                <w:sz w:val="2"/>
                <w:szCs w:val="2"/>
              </w:rPr>
            </w:pPr>
          </w:p>
        </w:tc>
        <w:tc>
          <w:tcPr>
            <w:tcW w:w="1537" w:type="dxa"/>
            <w:tcBorders>
              <w:top w:val="single" w:sz="4" w:space="0" w:color="000000"/>
              <w:left w:val="single" w:sz="4" w:space="0" w:color="000000"/>
              <w:bottom w:val="single" w:sz="4" w:space="0" w:color="000000"/>
              <w:right w:val="nil"/>
            </w:tcBorders>
          </w:tcPr>
          <w:p>
            <w:pPr>
              <w:pStyle w:val="TableParagraph"/>
              <w:spacing w:line="230" w:lineRule="exact"/>
              <w:ind w:left="114"/>
              <w:rPr>
                <w:b/>
                <w:sz w:val="20"/>
              </w:rPr>
            </w:pPr>
            <w:r>
              <w:rPr>
                <w:b/>
                <w:sz w:val="20"/>
              </w:rPr>
              <w:t>Surplus</w:t>
            </w:r>
            <w:r>
              <w:rPr>
                <w:b/>
                <w:spacing w:val="-14"/>
                <w:sz w:val="20"/>
              </w:rPr>
              <w:t> </w:t>
            </w:r>
            <w:r>
              <w:rPr>
                <w:b/>
                <w:sz w:val="20"/>
              </w:rPr>
              <w:t>/ </w:t>
            </w:r>
            <w:r>
              <w:rPr>
                <w:b/>
                <w:spacing w:val="-2"/>
                <w:sz w:val="20"/>
              </w:rPr>
              <w:t>(deficit)</w:t>
            </w:r>
          </w:p>
        </w:tc>
        <w:tc>
          <w:tcPr>
            <w:tcW w:w="1348" w:type="dxa"/>
            <w:tcBorders>
              <w:top w:val="single" w:sz="4" w:space="0" w:color="000000"/>
              <w:left w:val="nil"/>
              <w:bottom w:val="single" w:sz="4" w:space="0" w:color="000000"/>
              <w:right w:val="nil"/>
            </w:tcBorders>
          </w:tcPr>
          <w:p>
            <w:pPr>
              <w:pStyle w:val="TableParagraph"/>
              <w:spacing w:line="206" w:lineRule="exact"/>
              <w:ind w:right="146"/>
              <w:jc w:val="right"/>
              <w:rPr>
                <w:b/>
                <w:sz w:val="18"/>
              </w:rPr>
            </w:pPr>
            <w:r>
              <w:rPr>
                <w:b/>
                <w:spacing w:val="-2"/>
                <w:sz w:val="18"/>
              </w:rPr>
              <w:t>(948)</w:t>
            </w:r>
          </w:p>
        </w:tc>
        <w:tc>
          <w:tcPr>
            <w:tcW w:w="1216" w:type="dxa"/>
            <w:tcBorders>
              <w:top w:val="single" w:sz="4" w:space="0" w:color="000000"/>
              <w:left w:val="nil"/>
              <w:bottom w:val="single" w:sz="4" w:space="0" w:color="000000"/>
              <w:right w:val="nil"/>
            </w:tcBorders>
          </w:tcPr>
          <w:p>
            <w:pPr>
              <w:pStyle w:val="TableParagraph"/>
              <w:spacing w:line="206" w:lineRule="exact"/>
              <w:ind w:right="91"/>
              <w:jc w:val="right"/>
              <w:rPr>
                <w:b/>
                <w:sz w:val="18"/>
              </w:rPr>
            </w:pPr>
            <w:r>
              <w:rPr>
                <w:b/>
                <w:spacing w:val="-2"/>
                <w:sz w:val="18"/>
              </w:rPr>
              <w:t>(1,328)</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line="206" w:lineRule="exact"/>
              <w:ind w:right="77"/>
              <w:jc w:val="right"/>
              <w:rPr>
                <w:b/>
                <w:sz w:val="18"/>
              </w:rPr>
            </w:pPr>
            <w:r>
              <w:rPr>
                <w:b/>
                <w:spacing w:val="-2"/>
                <w:sz w:val="18"/>
              </w:rPr>
              <w:t>(1,656)</w:t>
            </w:r>
          </w:p>
        </w:tc>
      </w:tr>
      <w:tr>
        <w:trPr>
          <w:trHeight w:val="817" w:hRule="atLeast"/>
        </w:trPr>
        <w:tc>
          <w:tcPr>
            <w:tcW w:w="1553" w:type="dxa"/>
            <w:vMerge/>
            <w:tcBorders>
              <w:top w:val="nil"/>
              <w:left w:val="single" w:sz="12" w:space="0" w:color="000000"/>
              <w:bottom w:val="single" w:sz="4" w:space="0" w:color="000000"/>
              <w:right w:val="single" w:sz="4" w:space="0" w:color="000000"/>
            </w:tcBorders>
          </w:tcPr>
          <w:p>
            <w:pPr>
              <w:rPr>
                <w:sz w:val="2"/>
                <w:szCs w:val="2"/>
              </w:rPr>
            </w:pPr>
          </w:p>
        </w:tc>
        <w:tc>
          <w:tcPr>
            <w:tcW w:w="3540" w:type="dxa"/>
            <w:vMerge/>
            <w:tcBorders>
              <w:top w:val="nil"/>
              <w:left w:val="single" w:sz="4" w:space="0" w:color="000000"/>
              <w:bottom w:val="single" w:sz="4" w:space="0" w:color="000000"/>
              <w:right w:val="single" w:sz="4" w:space="0" w:color="000000"/>
            </w:tcBorders>
          </w:tcPr>
          <w:p>
            <w:pPr>
              <w:rPr>
                <w:sz w:val="2"/>
                <w:szCs w:val="2"/>
              </w:rPr>
            </w:pPr>
          </w:p>
        </w:tc>
        <w:tc>
          <w:tcPr>
            <w:tcW w:w="5335" w:type="dxa"/>
            <w:gridSpan w:val="4"/>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8"/>
              </w:rPr>
            </w:pPr>
          </w:p>
        </w:tc>
      </w:tr>
      <w:tr>
        <w:trPr>
          <w:trHeight w:val="613" w:hRule="atLeast"/>
        </w:trPr>
        <w:tc>
          <w:tcPr>
            <w:tcW w:w="1553" w:type="dxa"/>
            <w:vMerge w:val="restart"/>
            <w:tcBorders>
              <w:top w:val="single" w:sz="4" w:space="0" w:color="000000"/>
              <w:left w:val="single" w:sz="12" w:space="0" w:color="000000"/>
              <w:bottom w:val="single" w:sz="4" w:space="0" w:color="000000"/>
              <w:right w:val="single" w:sz="4" w:space="0" w:color="000000"/>
            </w:tcBorders>
          </w:tcPr>
          <w:p>
            <w:pPr>
              <w:pStyle w:val="TableParagraph"/>
              <w:ind w:left="107"/>
              <w:rPr>
                <w:sz w:val="20"/>
              </w:rPr>
            </w:pPr>
            <w:r>
              <w:rPr>
                <w:sz w:val="20"/>
              </w:rPr>
              <w:t>Maternal</w:t>
            </w:r>
            <w:r>
              <w:rPr>
                <w:spacing w:val="-14"/>
                <w:sz w:val="20"/>
              </w:rPr>
              <w:t> </w:t>
            </w:r>
            <w:r>
              <w:rPr>
                <w:sz w:val="20"/>
              </w:rPr>
              <w:t>and child health</w:t>
            </w:r>
          </w:p>
        </w:tc>
        <w:tc>
          <w:tcPr>
            <w:tcW w:w="3540" w:type="dxa"/>
            <w:vMerge w:val="restart"/>
            <w:tcBorders>
              <w:top w:val="single" w:sz="4" w:space="0" w:color="000000"/>
              <w:left w:val="single" w:sz="4" w:space="0" w:color="000000"/>
              <w:bottom w:val="single" w:sz="4" w:space="0" w:color="000000"/>
              <w:right w:val="single" w:sz="4" w:space="0" w:color="000000"/>
            </w:tcBorders>
          </w:tcPr>
          <w:p>
            <w:pPr>
              <w:pStyle w:val="TableParagraph"/>
              <w:numPr>
                <w:ilvl w:val="0"/>
                <w:numId w:val="20"/>
              </w:numPr>
              <w:tabs>
                <w:tab w:pos="429" w:val="left" w:leader="none"/>
                <w:tab w:pos="430" w:val="left" w:leader="none"/>
              </w:tabs>
              <w:spacing w:line="235" w:lineRule="auto" w:before="4" w:after="0"/>
              <w:ind w:left="429" w:right="477" w:hanging="312"/>
              <w:jc w:val="left"/>
              <w:rPr>
                <w:sz w:val="20"/>
              </w:rPr>
            </w:pPr>
            <w:r>
              <w:rPr>
                <w:sz w:val="20"/>
              </w:rPr>
              <w:t>Key</w:t>
            </w:r>
            <w:r>
              <w:rPr>
                <w:spacing w:val="-8"/>
                <w:sz w:val="20"/>
              </w:rPr>
              <w:t> </w:t>
            </w:r>
            <w:r>
              <w:rPr>
                <w:sz w:val="20"/>
              </w:rPr>
              <w:t>age</w:t>
            </w:r>
            <w:r>
              <w:rPr>
                <w:spacing w:val="-9"/>
                <w:sz w:val="20"/>
              </w:rPr>
              <w:t> </w:t>
            </w:r>
            <w:r>
              <w:rPr>
                <w:sz w:val="20"/>
              </w:rPr>
              <w:t>and</w:t>
            </w:r>
            <w:r>
              <w:rPr>
                <w:spacing w:val="-9"/>
                <w:sz w:val="20"/>
              </w:rPr>
              <w:t> </w:t>
            </w:r>
            <w:r>
              <w:rPr>
                <w:sz w:val="20"/>
              </w:rPr>
              <w:t>stage</w:t>
            </w:r>
            <w:r>
              <w:rPr>
                <w:spacing w:val="-9"/>
                <w:sz w:val="20"/>
              </w:rPr>
              <w:t> </w:t>
            </w:r>
            <w:r>
              <w:rPr>
                <w:sz w:val="20"/>
              </w:rPr>
              <w:t>visits</w:t>
            </w:r>
            <w:r>
              <w:rPr>
                <w:spacing w:val="-7"/>
                <w:sz w:val="20"/>
              </w:rPr>
              <w:t> </w:t>
            </w:r>
            <w:r>
              <w:rPr>
                <w:sz w:val="20"/>
              </w:rPr>
              <w:t>from birth to preschool</w:t>
            </w:r>
          </w:p>
          <w:p>
            <w:pPr>
              <w:pStyle w:val="TableParagraph"/>
              <w:numPr>
                <w:ilvl w:val="0"/>
                <w:numId w:val="20"/>
              </w:numPr>
              <w:tabs>
                <w:tab w:pos="429" w:val="left" w:leader="none"/>
                <w:tab w:pos="430" w:val="left" w:leader="none"/>
              </w:tabs>
              <w:spacing w:line="235" w:lineRule="auto" w:before="7" w:after="0"/>
              <w:ind w:left="429" w:right="198" w:hanging="312"/>
              <w:jc w:val="left"/>
              <w:rPr>
                <w:sz w:val="20"/>
              </w:rPr>
            </w:pPr>
            <w:r>
              <w:rPr>
                <w:sz w:val="20"/>
              </w:rPr>
              <w:t>Maternal</w:t>
            </w:r>
            <w:r>
              <w:rPr>
                <w:spacing w:val="-7"/>
                <w:sz w:val="20"/>
              </w:rPr>
              <w:t> </w:t>
            </w:r>
            <w:r>
              <w:rPr>
                <w:sz w:val="20"/>
              </w:rPr>
              <w:t>and</w:t>
            </w:r>
            <w:r>
              <w:rPr>
                <w:spacing w:val="-7"/>
                <w:sz w:val="20"/>
              </w:rPr>
              <w:t> </w:t>
            </w:r>
            <w:r>
              <w:rPr>
                <w:sz w:val="20"/>
              </w:rPr>
              <w:t>child</w:t>
            </w:r>
            <w:r>
              <w:rPr>
                <w:spacing w:val="-9"/>
                <w:sz w:val="20"/>
              </w:rPr>
              <w:t> </w:t>
            </w:r>
            <w:r>
              <w:rPr>
                <w:sz w:val="20"/>
              </w:rPr>
              <w:t>health</w:t>
            </w:r>
            <w:r>
              <w:rPr>
                <w:spacing w:val="-7"/>
                <w:sz w:val="20"/>
              </w:rPr>
              <w:t> </w:t>
            </w:r>
            <w:r>
              <w:rPr>
                <w:sz w:val="20"/>
              </w:rPr>
              <w:t>drop</w:t>
            </w:r>
            <w:r>
              <w:rPr>
                <w:spacing w:val="-10"/>
                <w:sz w:val="20"/>
              </w:rPr>
              <w:t> </w:t>
            </w:r>
            <w:r>
              <w:rPr>
                <w:sz w:val="20"/>
              </w:rPr>
              <w:t>in </w:t>
            </w:r>
            <w:r>
              <w:rPr>
                <w:spacing w:val="-2"/>
                <w:sz w:val="20"/>
              </w:rPr>
              <w:t>sessions</w:t>
            </w:r>
          </w:p>
          <w:p>
            <w:pPr>
              <w:pStyle w:val="TableParagraph"/>
              <w:numPr>
                <w:ilvl w:val="0"/>
                <w:numId w:val="20"/>
              </w:numPr>
              <w:tabs>
                <w:tab w:pos="429" w:val="left" w:leader="none"/>
                <w:tab w:pos="430" w:val="left" w:leader="none"/>
              </w:tabs>
              <w:spacing w:line="240" w:lineRule="auto" w:before="4" w:after="0"/>
              <w:ind w:left="429" w:right="609" w:hanging="312"/>
              <w:jc w:val="left"/>
              <w:rPr>
                <w:sz w:val="20"/>
              </w:rPr>
            </w:pPr>
            <w:r>
              <w:rPr>
                <w:sz w:val="20"/>
              </w:rPr>
              <w:t>Saturday</w:t>
            </w:r>
            <w:r>
              <w:rPr>
                <w:spacing w:val="-12"/>
                <w:sz w:val="20"/>
              </w:rPr>
              <w:t> </w:t>
            </w:r>
            <w:r>
              <w:rPr>
                <w:sz w:val="20"/>
              </w:rPr>
              <w:t>maternal</w:t>
            </w:r>
            <w:r>
              <w:rPr>
                <w:spacing w:val="-14"/>
                <w:sz w:val="20"/>
              </w:rPr>
              <w:t> </w:t>
            </w:r>
            <w:r>
              <w:rPr>
                <w:sz w:val="20"/>
              </w:rPr>
              <w:t>and</w:t>
            </w:r>
            <w:r>
              <w:rPr>
                <w:spacing w:val="-13"/>
                <w:sz w:val="20"/>
              </w:rPr>
              <w:t> </w:t>
            </w:r>
            <w:r>
              <w:rPr>
                <w:sz w:val="20"/>
              </w:rPr>
              <w:t>child health sessions</w:t>
            </w:r>
          </w:p>
          <w:p>
            <w:pPr>
              <w:pStyle w:val="TableParagraph"/>
              <w:numPr>
                <w:ilvl w:val="0"/>
                <w:numId w:val="20"/>
              </w:numPr>
              <w:tabs>
                <w:tab w:pos="429" w:val="left" w:leader="none"/>
                <w:tab w:pos="430" w:val="left" w:leader="none"/>
              </w:tabs>
              <w:spacing w:line="244" w:lineRule="exact" w:before="0" w:after="0"/>
              <w:ind w:left="429" w:right="0" w:hanging="313"/>
              <w:jc w:val="left"/>
              <w:rPr>
                <w:sz w:val="20"/>
              </w:rPr>
            </w:pPr>
            <w:r>
              <w:rPr>
                <w:sz w:val="20"/>
              </w:rPr>
              <w:t>Enhanced</w:t>
            </w:r>
            <w:r>
              <w:rPr>
                <w:spacing w:val="-7"/>
                <w:sz w:val="20"/>
              </w:rPr>
              <w:t> </w:t>
            </w:r>
            <w:r>
              <w:rPr>
                <w:sz w:val="20"/>
              </w:rPr>
              <w:t>home</w:t>
            </w:r>
            <w:r>
              <w:rPr>
                <w:spacing w:val="-9"/>
                <w:sz w:val="20"/>
              </w:rPr>
              <w:t> </w:t>
            </w:r>
            <w:r>
              <w:rPr>
                <w:sz w:val="20"/>
              </w:rPr>
              <w:t>visiting</w:t>
            </w:r>
            <w:r>
              <w:rPr>
                <w:spacing w:val="-9"/>
                <w:sz w:val="20"/>
              </w:rPr>
              <w:t> </w:t>
            </w:r>
            <w:r>
              <w:rPr>
                <w:spacing w:val="-2"/>
                <w:sz w:val="20"/>
              </w:rPr>
              <w:t>program</w:t>
            </w:r>
          </w:p>
          <w:p>
            <w:pPr>
              <w:pStyle w:val="TableParagraph"/>
              <w:numPr>
                <w:ilvl w:val="0"/>
                <w:numId w:val="20"/>
              </w:numPr>
              <w:tabs>
                <w:tab w:pos="429" w:val="left" w:leader="none"/>
                <w:tab w:pos="430" w:val="left" w:leader="none"/>
              </w:tabs>
              <w:spacing w:line="242" w:lineRule="exact" w:before="0" w:after="0"/>
              <w:ind w:left="429" w:right="0" w:hanging="313"/>
              <w:jc w:val="left"/>
              <w:rPr>
                <w:sz w:val="20"/>
              </w:rPr>
            </w:pPr>
            <w:r>
              <w:rPr>
                <w:sz w:val="20"/>
              </w:rPr>
              <w:t>Lactation</w:t>
            </w:r>
            <w:r>
              <w:rPr>
                <w:spacing w:val="-13"/>
                <w:sz w:val="20"/>
              </w:rPr>
              <w:t> </w:t>
            </w:r>
            <w:r>
              <w:rPr>
                <w:spacing w:val="-2"/>
                <w:sz w:val="20"/>
              </w:rPr>
              <w:t>support</w:t>
            </w:r>
          </w:p>
          <w:p>
            <w:pPr>
              <w:pStyle w:val="TableParagraph"/>
              <w:numPr>
                <w:ilvl w:val="0"/>
                <w:numId w:val="20"/>
              </w:numPr>
              <w:tabs>
                <w:tab w:pos="429" w:val="left" w:leader="none"/>
                <w:tab w:pos="430" w:val="left" w:leader="none"/>
              </w:tabs>
              <w:spacing w:line="240" w:lineRule="auto" w:before="0" w:after="0"/>
              <w:ind w:left="429" w:right="466" w:hanging="312"/>
              <w:jc w:val="left"/>
              <w:rPr>
                <w:sz w:val="20"/>
              </w:rPr>
            </w:pPr>
            <w:r>
              <w:rPr>
                <w:sz w:val="20"/>
              </w:rPr>
              <w:t>Sleep</w:t>
            </w:r>
            <w:r>
              <w:rPr>
                <w:spacing w:val="-14"/>
                <w:sz w:val="20"/>
              </w:rPr>
              <w:t> </w:t>
            </w:r>
            <w:r>
              <w:rPr>
                <w:sz w:val="20"/>
              </w:rPr>
              <w:t>and</w:t>
            </w:r>
            <w:r>
              <w:rPr>
                <w:spacing w:val="-13"/>
                <w:sz w:val="20"/>
              </w:rPr>
              <w:t> </w:t>
            </w:r>
            <w:r>
              <w:rPr>
                <w:sz w:val="20"/>
              </w:rPr>
              <w:t>settling</w:t>
            </w:r>
            <w:r>
              <w:rPr>
                <w:spacing w:val="-14"/>
                <w:sz w:val="20"/>
              </w:rPr>
              <w:t> </w:t>
            </w:r>
            <w:r>
              <w:rPr>
                <w:sz w:val="20"/>
              </w:rPr>
              <w:t>information</w:t>
            </w:r>
            <w:r>
              <w:rPr>
                <w:sz w:val="20"/>
              </w:rPr>
              <w:t> </w:t>
            </w:r>
            <w:r>
              <w:rPr>
                <w:spacing w:val="-2"/>
                <w:sz w:val="20"/>
              </w:rPr>
              <w:t>sessions</w:t>
            </w:r>
          </w:p>
          <w:p>
            <w:pPr>
              <w:pStyle w:val="TableParagraph"/>
              <w:numPr>
                <w:ilvl w:val="0"/>
                <w:numId w:val="20"/>
              </w:numPr>
              <w:tabs>
                <w:tab w:pos="429" w:val="left" w:leader="none"/>
                <w:tab w:pos="430" w:val="left" w:leader="none"/>
              </w:tabs>
              <w:spacing w:line="235" w:lineRule="auto" w:before="3" w:after="0"/>
              <w:ind w:left="429" w:right="712" w:hanging="312"/>
              <w:jc w:val="left"/>
              <w:rPr>
                <w:sz w:val="20"/>
              </w:rPr>
            </w:pPr>
            <w:r>
              <w:rPr>
                <w:sz w:val="20"/>
              </w:rPr>
              <w:t>Sleep</w:t>
            </w:r>
            <w:r>
              <w:rPr>
                <w:spacing w:val="-10"/>
                <w:sz w:val="20"/>
              </w:rPr>
              <w:t> </w:t>
            </w:r>
            <w:r>
              <w:rPr>
                <w:sz w:val="20"/>
              </w:rPr>
              <w:t>and</w:t>
            </w:r>
            <w:r>
              <w:rPr>
                <w:spacing w:val="-10"/>
                <w:sz w:val="20"/>
              </w:rPr>
              <w:t> </w:t>
            </w:r>
            <w:r>
              <w:rPr>
                <w:sz w:val="20"/>
              </w:rPr>
              <w:t>settling</w:t>
            </w:r>
            <w:r>
              <w:rPr>
                <w:spacing w:val="-12"/>
                <w:sz w:val="20"/>
              </w:rPr>
              <w:t> </w:t>
            </w:r>
            <w:r>
              <w:rPr>
                <w:sz w:val="20"/>
              </w:rPr>
              <w:t>day</w:t>
            </w:r>
            <w:r>
              <w:rPr>
                <w:spacing w:val="-11"/>
                <w:sz w:val="20"/>
              </w:rPr>
              <w:t> </w:t>
            </w:r>
            <w:r>
              <w:rPr>
                <w:sz w:val="20"/>
              </w:rPr>
              <w:t>stay</w:t>
            </w:r>
            <w:r>
              <w:rPr>
                <w:sz w:val="20"/>
              </w:rPr>
              <w:t> </w:t>
            </w:r>
            <w:r>
              <w:rPr>
                <w:spacing w:val="-2"/>
                <w:sz w:val="20"/>
              </w:rPr>
              <w:t>program</w:t>
            </w:r>
          </w:p>
          <w:p>
            <w:pPr>
              <w:pStyle w:val="TableParagraph"/>
              <w:numPr>
                <w:ilvl w:val="0"/>
                <w:numId w:val="20"/>
              </w:numPr>
              <w:tabs>
                <w:tab w:pos="429" w:val="left" w:leader="none"/>
                <w:tab w:pos="430" w:val="left" w:leader="none"/>
              </w:tabs>
              <w:spacing w:line="244" w:lineRule="exact" w:before="3" w:after="0"/>
              <w:ind w:left="429" w:right="0" w:hanging="313"/>
              <w:jc w:val="left"/>
              <w:rPr>
                <w:sz w:val="20"/>
              </w:rPr>
            </w:pPr>
            <w:r>
              <w:rPr>
                <w:sz w:val="20"/>
              </w:rPr>
              <w:t>Early</w:t>
            </w:r>
            <w:r>
              <w:rPr>
                <w:spacing w:val="-6"/>
                <w:sz w:val="20"/>
              </w:rPr>
              <w:t> </w:t>
            </w:r>
            <w:r>
              <w:rPr>
                <w:sz w:val="20"/>
              </w:rPr>
              <w:t>parenting</w:t>
            </w:r>
            <w:r>
              <w:rPr>
                <w:spacing w:val="-8"/>
                <w:sz w:val="20"/>
              </w:rPr>
              <w:t> </w:t>
            </w:r>
            <w:r>
              <w:rPr>
                <w:sz w:val="20"/>
              </w:rPr>
              <w:t>support</w:t>
            </w:r>
            <w:r>
              <w:rPr>
                <w:spacing w:val="-8"/>
                <w:sz w:val="20"/>
              </w:rPr>
              <w:t> </w:t>
            </w:r>
            <w:r>
              <w:rPr>
                <w:spacing w:val="-4"/>
                <w:sz w:val="20"/>
              </w:rPr>
              <w:t>group</w:t>
            </w:r>
          </w:p>
          <w:p>
            <w:pPr>
              <w:pStyle w:val="TableParagraph"/>
              <w:numPr>
                <w:ilvl w:val="0"/>
                <w:numId w:val="20"/>
              </w:numPr>
              <w:tabs>
                <w:tab w:pos="429" w:val="left" w:leader="none"/>
                <w:tab w:pos="430" w:val="left" w:leader="none"/>
              </w:tabs>
              <w:spacing w:line="240" w:lineRule="auto" w:before="0" w:after="0"/>
              <w:ind w:left="429" w:right="99" w:hanging="312"/>
              <w:jc w:val="left"/>
              <w:rPr>
                <w:sz w:val="20"/>
              </w:rPr>
            </w:pPr>
            <w:r>
              <w:rPr>
                <w:sz w:val="20"/>
              </w:rPr>
              <w:t>Supported playgroups, including culturally</w:t>
            </w:r>
            <w:r>
              <w:rPr>
                <w:spacing w:val="-14"/>
                <w:sz w:val="20"/>
              </w:rPr>
              <w:t> </w:t>
            </w:r>
            <w:r>
              <w:rPr>
                <w:sz w:val="20"/>
              </w:rPr>
              <w:t>and</w:t>
            </w:r>
            <w:r>
              <w:rPr>
                <w:spacing w:val="-14"/>
                <w:sz w:val="20"/>
              </w:rPr>
              <w:t> </w:t>
            </w:r>
            <w:r>
              <w:rPr>
                <w:sz w:val="20"/>
              </w:rPr>
              <w:t>linguistically</w:t>
            </w:r>
            <w:r>
              <w:rPr>
                <w:spacing w:val="-12"/>
                <w:sz w:val="20"/>
              </w:rPr>
              <w:t> </w:t>
            </w:r>
            <w:r>
              <w:rPr>
                <w:sz w:val="20"/>
              </w:rPr>
              <w:t>diverse</w:t>
            </w:r>
            <w:r>
              <w:rPr>
                <w:sz w:val="20"/>
              </w:rPr>
              <w:t> (CALD) communities</w:t>
            </w:r>
          </w:p>
          <w:p>
            <w:pPr>
              <w:pStyle w:val="TableParagraph"/>
              <w:numPr>
                <w:ilvl w:val="0"/>
                <w:numId w:val="20"/>
              </w:numPr>
              <w:tabs>
                <w:tab w:pos="429" w:val="left" w:leader="none"/>
                <w:tab w:pos="430" w:val="left" w:leader="none"/>
              </w:tabs>
              <w:spacing w:line="240" w:lineRule="auto" w:before="0" w:after="0"/>
              <w:ind w:left="429" w:right="276" w:hanging="312"/>
              <w:jc w:val="left"/>
              <w:rPr>
                <w:sz w:val="20"/>
              </w:rPr>
            </w:pPr>
            <w:r>
              <w:rPr>
                <w:sz w:val="20"/>
              </w:rPr>
              <w:t>Infant</w:t>
            </w:r>
            <w:r>
              <w:rPr>
                <w:spacing w:val="-13"/>
                <w:sz w:val="20"/>
              </w:rPr>
              <w:t> </w:t>
            </w:r>
            <w:r>
              <w:rPr>
                <w:sz w:val="20"/>
              </w:rPr>
              <w:t>Feeding,</w:t>
            </w:r>
            <w:r>
              <w:rPr>
                <w:spacing w:val="-9"/>
                <w:sz w:val="20"/>
              </w:rPr>
              <w:t> </w:t>
            </w:r>
            <w:r>
              <w:rPr>
                <w:sz w:val="20"/>
              </w:rPr>
              <w:t>Active</w:t>
            </w:r>
            <w:r>
              <w:rPr>
                <w:spacing w:val="-9"/>
                <w:sz w:val="20"/>
              </w:rPr>
              <w:t> </w:t>
            </w:r>
            <w:r>
              <w:rPr>
                <w:sz w:val="20"/>
              </w:rPr>
              <w:t>Play,</w:t>
            </w:r>
            <w:r>
              <w:rPr>
                <w:spacing w:val="-9"/>
                <w:sz w:val="20"/>
              </w:rPr>
              <w:t> </w:t>
            </w:r>
            <w:r>
              <w:rPr>
                <w:sz w:val="20"/>
              </w:rPr>
              <w:t>and Nutrition (INFANT) program</w:t>
            </w:r>
          </w:p>
          <w:p>
            <w:pPr>
              <w:pStyle w:val="TableParagraph"/>
              <w:numPr>
                <w:ilvl w:val="0"/>
                <w:numId w:val="20"/>
              </w:numPr>
              <w:tabs>
                <w:tab w:pos="429" w:val="left" w:leader="none"/>
                <w:tab w:pos="430" w:val="left" w:leader="none"/>
              </w:tabs>
              <w:spacing w:line="235" w:lineRule="auto" w:before="1" w:after="0"/>
              <w:ind w:left="429" w:right="299" w:hanging="312"/>
              <w:jc w:val="left"/>
              <w:rPr>
                <w:sz w:val="20"/>
              </w:rPr>
            </w:pPr>
            <w:r>
              <w:rPr>
                <w:sz w:val="20"/>
              </w:rPr>
              <w:t>Parent</w:t>
            </w:r>
            <w:r>
              <w:rPr>
                <w:spacing w:val="-14"/>
                <w:sz w:val="20"/>
              </w:rPr>
              <w:t> </w:t>
            </w:r>
            <w:r>
              <w:rPr>
                <w:sz w:val="20"/>
              </w:rPr>
              <w:t>education</w:t>
            </w:r>
            <w:r>
              <w:rPr>
                <w:spacing w:val="-13"/>
                <w:sz w:val="20"/>
              </w:rPr>
              <w:t> </w:t>
            </w:r>
            <w:r>
              <w:rPr>
                <w:sz w:val="20"/>
              </w:rPr>
              <w:t>programs</w:t>
            </w:r>
            <w:r>
              <w:rPr>
                <w:spacing w:val="-13"/>
                <w:sz w:val="20"/>
              </w:rPr>
              <w:t> </w:t>
            </w:r>
            <w:r>
              <w:rPr>
                <w:sz w:val="20"/>
              </w:rPr>
              <w:t>and </w:t>
            </w:r>
            <w:r>
              <w:rPr>
                <w:spacing w:val="-2"/>
                <w:sz w:val="20"/>
              </w:rPr>
              <w:t>resources</w:t>
            </w:r>
          </w:p>
          <w:p>
            <w:pPr>
              <w:pStyle w:val="TableParagraph"/>
              <w:numPr>
                <w:ilvl w:val="0"/>
                <w:numId w:val="20"/>
              </w:numPr>
              <w:tabs>
                <w:tab w:pos="429" w:val="left" w:leader="none"/>
                <w:tab w:pos="430" w:val="left" w:leader="none"/>
              </w:tabs>
              <w:spacing w:line="244" w:lineRule="exact" w:before="3" w:after="0"/>
              <w:ind w:left="429" w:right="0" w:hanging="313"/>
              <w:jc w:val="left"/>
              <w:rPr>
                <w:sz w:val="20"/>
              </w:rPr>
            </w:pPr>
            <w:r>
              <w:rPr>
                <w:sz w:val="20"/>
              </w:rPr>
              <w:t>Specialist</w:t>
            </w:r>
            <w:r>
              <w:rPr>
                <w:spacing w:val="-10"/>
                <w:sz w:val="20"/>
              </w:rPr>
              <w:t> </w:t>
            </w:r>
            <w:r>
              <w:rPr>
                <w:sz w:val="20"/>
              </w:rPr>
              <w:t>services</w:t>
            </w:r>
            <w:r>
              <w:rPr>
                <w:spacing w:val="-7"/>
                <w:sz w:val="20"/>
              </w:rPr>
              <w:t> </w:t>
            </w:r>
            <w:r>
              <w:rPr>
                <w:spacing w:val="-2"/>
                <w:sz w:val="20"/>
              </w:rPr>
              <w:t>partnerships</w:t>
            </w:r>
          </w:p>
          <w:p>
            <w:pPr>
              <w:pStyle w:val="TableParagraph"/>
              <w:numPr>
                <w:ilvl w:val="0"/>
                <w:numId w:val="20"/>
              </w:numPr>
              <w:tabs>
                <w:tab w:pos="429" w:val="left" w:leader="none"/>
                <w:tab w:pos="430" w:val="left" w:leader="none"/>
              </w:tabs>
              <w:spacing w:line="240" w:lineRule="auto" w:before="0" w:after="0"/>
              <w:ind w:left="429" w:right="543" w:hanging="312"/>
              <w:jc w:val="left"/>
              <w:rPr>
                <w:sz w:val="20"/>
              </w:rPr>
            </w:pPr>
            <w:r>
              <w:rPr>
                <w:sz w:val="20"/>
              </w:rPr>
              <w:t>Toddler</w:t>
            </w:r>
            <w:r>
              <w:rPr>
                <w:spacing w:val="-14"/>
                <w:sz w:val="20"/>
              </w:rPr>
              <w:t> </w:t>
            </w:r>
            <w:r>
              <w:rPr>
                <w:sz w:val="20"/>
              </w:rPr>
              <w:t>information</w:t>
            </w:r>
            <w:r>
              <w:rPr>
                <w:spacing w:val="-14"/>
                <w:sz w:val="20"/>
              </w:rPr>
              <w:t> </w:t>
            </w:r>
            <w:r>
              <w:rPr>
                <w:sz w:val="20"/>
              </w:rPr>
              <w:t>sessions </w:t>
            </w:r>
            <w:r>
              <w:rPr>
                <w:spacing w:val="-2"/>
                <w:sz w:val="20"/>
              </w:rPr>
              <w:t>partnership</w:t>
            </w:r>
          </w:p>
          <w:p>
            <w:pPr>
              <w:pStyle w:val="TableParagraph"/>
              <w:numPr>
                <w:ilvl w:val="0"/>
                <w:numId w:val="20"/>
              </w:numPr>
              <w:tabs>
                <w:tab w:pos="429" w:val="left" w:leader="none"/>
                <w:tab w:pos="430" w:val="left" w:leader="none"/>
              </w:tabs>
              <w:spacing w:line="235" w:lineRule="auto" w:before="3" w:after="0"/>
              <w:ind w:left="429" w:right="1111" w:hanging="312"/>
              <w:jc w:val="left"/>
              <w:rPr>
                <w:sz w:val="20"/>
              </w:rPr>
            </w:pPr>
            <w:r>
              <w:rPr>
                <w:sz w:val="20"/>
              </w:rPr>
              <w:t>Multicultural</w:t>
            </w:r>
            <w:r>
              <w:rPr>
                <w:spacing w:val="-14"/>
                <w:sz w:val="20"/>
              </w:rPr>
              <w:t> </w:t>
            </w:r>
            <w:r>
              <w:rPr>
                <w:sz w:val="20"/>
              </w:rPr>
              <w:t>story</w:t>
            </w:r>
            <w:r>
              <w:rPr>
                <w:spacing w:val="-14"/>
                <w:sz w:val="20"/>
              </w:rPr>
              <w:t> </w:t>
            </w:r>
            <w:r>
              <w:rPr>
                <w:sz w:val="20"/>
              </w:rPr>
              <w:t>time</w:t>
            </w:r>
            <w:r>
              <w:rPr>
                <w:sz w:val="20"/>
              </w:rPr>
              <w:t> </w:t>
            </w:r>
            <w:r>
              <w:rPr>
                <w:spacing w:val="-2"/>
                <w:sz w:val="20"/>
              </w:rPr>
              <w:t>partnership</w:t>
            </w:r>
          </w:p>
        </w:tc>
        <w:tc>
          <w:tcPr>
            <w:tcW w:w="1537" w:type="dxa"/>
            <w:tcBorders>
              <w:top w:val="single" w:sz="4" w:space="0" w:color="000000"/>
              <w:left w:val="single" w:sz="4" w:space="0" w:color="000000"/>
              <w:bottom w:val="single" w:sz="4" w:space="0" w:color="000000"/>
              <w:right w:val="nil"/>
            </w:tcBorders>
          </w:tcPr>
          <w:p>
            <w:pPr>
              <w:pStyle w:val="TableParagraph"/>
              <w:spacing w:line="229" w:lineRule="exact"/>
              <w:ind w:left="114"/>
              <w:rPr>
                <w:sz w:val="20"/>
              </w:rPr>
            </w:pPr>
            <w:r>
              <w:rPr>
                <w:spacing w:val="-2"/>
                <w:sz w:val="20"/>
              </w:rPr>
              <w:t>Income</w:t>
            </w:r>
          </w:p>
          <w:p>
            <w:pPr>
              <w:pStyle w:val="TableParagraph"/>
              <w:spacing w:before="82"/>
              <w:ind w:left="114"/>
              <w:rPr>
                <w:sz w:val="20"/>
              </w:rPr>
            </w:pPr>
            <w:r>
              <w:rPr>
                <w:spacing w:val="-2"/>
                <w:sz w:val="20"/>
              </w:rPr>
              <w:t>Expenditure</w:t>
            </w:r>
          </w:p>
        </w:tc>
        <w:tc>
          <w:tcPr>
            <w:tcW w:w="1348" w:type="dxa"/>
            <w:tcBorders>
              <w:top w:val="single" w:sz="4" w:space="0" w:color="000000"/>
              <w:left w:val="nil"/>
              <w:bottom w:val="single" w:sz="4" w:space="0" w:color="000000"/>
              <w:right w:val="nil"/>
            </w:tcBorders>
          </w:tcPr>
          <w:p>
            <w:pPr>
              <w:pStyle w:val="TableParagraph"/>
              <w:spacing w:line="206" w:lineRule="exact"/>
              <w:ind w:left="745"/>
              <w:rPr>
                <w:sz w:val="18"/>
              </w:rPr>
            </w:pPr>
            <w:r>
              <w:rPr>
                <w:spacing w:val="-2"/>
                <w:sz w:val="18"/>
              </w:rPr>
              <w:t>1,553</w:t>
            </w:r>
          </w:p>
          <w:p>
            <w:pPr>
              <w:pStyle w:val="TableParagraph"/>
              <w:spacing w:before="105"/>
              <w:ind w:left="745"/>
              <w:rPr>
                <w:sz w:val="18"/>
              </w:rPr>
            </w:pPr>
            <w:r>
              <w:rPr>
                <w:spacing w:val="-2"/>
                <w:sz w:val="18"/>
              </w:rPr>
              <w:t>3,271</w:t>
            </w:r>
          </w:p>
        </w:tc>
        <w:tc>
          <w:tcPr>
            <w:tcW w:w="1216" w:type="dxa"/>
            <w:tcBorders>
              <w:top w:val="single" w:sz="4" w:space="0" w:color="000000"/>
              <w:left w:val="nil"/>
              <w:bottom w:val="single" w:sz="4" w:space="0" w:color="000000"/>
              <w:right w:val="nil"/>
            </w:tcBorders>
          </w:tcPr>
          <w:p>
            <w:pPr>
              <w:pStyle w:val="TableParagraph"/>
              <w:spacing w:line="206" w:lineRule="exact"/>
              <w:ind w:left="669"/>
              <w:rPr>
                <w:sz w:val="18"/>
              </w:rPr>
            </w:pPr>
            <w:r>
              <w:rPr>
                <w:spacing w:val="-2"/>
                <w:sz w:val="18"/>
              </w:rPr>
              <w:t>2,005</w:t>
            </w:r>
          </w:p>
          <w:p>
            <w:pPr>
              <w:pStyle w:val="TableParagraph"/>
              <w:spacing w:before="105"/>
              <w:ind w:left="669"/>
              <w:rPr>
                <w:sz w:val="18"/>
              </w:rPr>
            </w:pPr>
            <w:r>
              <w:rPr>
                <w:spacing w:val="-2"/>
                <w:sz w:val="18"/>
              </w:rPr>
              <w:t>3,800</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line="206" w:lineRule="exact"/>
              <w:ind w:left="671"/>
              <w:rPr>
                <w:sz w:val="18"/>
              </w:rPr>
            </w:pPr>
            <w:r>
              <w:rPr>
                <w:spacing w:val="-2"/>
                <w:sz w:val="18"/>
              </w:rPr>
              <w:t>1,492</w:t>
            </w:r>
          </w:p>
          <w:p>
            <w:pPr>
              <w:pStyle w:val="TableParagraph"/>
              <w:spacing w:before="105"/>
              <w:ind w:left="671"/>
              <w:rPr>
                <w:sz w:val="18"/>
              </w:rPr>
            </w:pPr>
            <w:r>
              <w:rPr>
                <w:spacing w:val="-2"/>
                <w:sz w:val="18"/>
              </w:rPr>
              <w:t>3,371</w:t>
            </w:r>
          </w:p>
        </w:tc>
      </w:tr>
      <w:tr>
        <w:trPr>
          <w:trHeight w:val="460" w:hRule="atLeast"/>
        </w:trPr>
        <w:tc>
          <w:tcPr>
            <w:tcW w:w="1553" w:type="dxa"/>
            <w:vMerge/>
            <w:tcBorders>
              <w:top w:val="nil"/>
              <w:left w:val="single" w:sz="12" w:space="0" w:color="000000"/>
              <w:bottom w:val="single" w:sz="4" w:space="0" w:color="000000"/>
              <w:right w:val="single" w:sz="4" w:space="0" w:color="000000"/>
            </w:tcBorders>
          </w:tcPr>
          <w:p>
            <w:pPr>
              <w:rPr>
                <w:sz w:val="2"/>
                <w:szCs w:val="2"/>
              </w:rPr>
            </w:pPr>
          </w:p>
        </w:tc>
        <w:tc>
          <w:tcPr>
            <w:tcW w:w="3540" w:type="dxa"/>
            <w:vMerge/>
            <w:tcBorders>
              <w:top w:val="nil"/>
              <w:left w:val="single" w:sz="4" w:space="0" w:color="000000"/>
              <w:bottom w:val="single" w:sz="4" w:space="0" w:color="000000"/>
              <w:right w:val="single" w:sz="4" w:space="0" w:color="000000"/>
            </w:tcBorders>
          </w:tcPr>
          <w:p>
            <w:pPr>
              <w:rPr>
                <w:sz w:val="2"/>
                <w:szCs w:val="2"/>
              </w:rPr>
            </w:pPr>
          </w:p>
        </w:tc>
        <w:tc>
          <w:tcPr>
            <w:tcW w:w="1537" w:type="dxa"/>
            <w:tcBorders>
              <w:top w:val="single" w:sz="4" w:space="0" w:color="000000"/>
              <w:left w:val="single" w:sz="4" w:space="0" w:color="000000"/>
              <w:bottom w:val="single" w:sz="4" w:space="0" w:color="000000"/>
              <w:right w:val="nil"/>
            </w:tcBorders>
          </w:tcPr>
          <w:p>
            <w:pPr>
              <w:pStyle w:val="TableParagraph"/>
              <w:spacing w:line="230" w:lineRule="exact"/>
              <w:ind w:left="114"/>
              <w:rPr>
                <w:b/>
                <w:sz w:val="20"/>
              </w:rPr>
            </w:pPr>
            <w:r>
              <w:rPr>
                <w:b/>
                <w:sz w:val="20"/>
              </w:rPr>
              <w:t>Surplus</w:t>
            </w:r>
            <w:r>
              <w:rPr>
                <w:b/>
                <w:spacing w:val="-14"/>
                <w:sz w:val="20"/>
              </w:rPr>
              <w:t> </w:t>
            </w:r>
            <w:r>
              <w:rPr>
                <w:b/>
                <w:sz w:val="20"/>
              </w:rPr>
              <w:t>/ </w:t>
            </w:r>
            <w:r>
              <w:rPr>
                <w:b/>
                <w:spacing w:val="-2"/>
                <w:sz w:val="20"/>
              </w:rPr>
              <w:t>(deficit)</w:t>
            </w:r>
          </w:p>
        </w:tc>
        <w:tc>
          <w:tcPr>
            <w:tcW w:w="1348" w:type="dxa"/>
            <w:tcBorders>
              <w:top w:val="single" w:sz="4" w:space="0" w:color="000000"/>
              <w:left w:val="nil"/>
              <w:bottom w:val="single" w:sz="4" w:space="0" w:color="000000"/>
              <w:right w:val="nil"/>
            </w:tcBorders>
          </w:tcPr>
          <w:p>
            <w:pPr>
              <w:pStyle w:val="TableParagraph"/>
              <w:spacing w:before="1"/>
              <w:ind w:right="147"/>
              <w:jc w:val="right"/>
              <w:rPr>
                <w:b/>
                <w:sz w:val="18"/>
              </w:rPr>
            </w:pPr>
            <w:r>
              <w:rPr>
                <w:b/>
                <w:spacing w:val="-2"/>
                <w:sz w:val="18"/>
              </w:rPr>
              <w:t>(1,718)</w:t>
            </w:r>
          </w:p>
        </w:tc>
        <w:tc>
          <w:tcPr>
            <w:tcW w:w="1216" w:type="dxa"/>
            <w:tcBorders>
              <w:top w:val="single" w:sz="4" w:space="0" w:color="000000"/>
              <w:left w:val="nil"/>
              <w:bottom w:val="single" w:sz="4" w:space="0" w:color="000000"/>
              <w:right w:val="nil"/>
            </w:tcBorders>
          </w:tcPr>
          <w:p>
            <w:pPr>
              <w:pStyle w:val="TableParagraph"/>
              <w:spacing w:before="1"/>
              <w:ind w:right="91"/>
              <w:jc w:val="right"/>
              <w:rPr>
                <w:b/>
                <w:sz w:val="18"/>
              </w:rPr>
            </w:pPr>
            <w:r>
              <w:rPr>
                <w:b/>
                <w:spacing w:val="-2"/>
                <w:sz w:val="18"/>
              </w:rPr>
              <w:t>(1,795)</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before="1"/>
              <w:ind w:right="77"/>
              <w:jc w:val="right"/>
              <w:rPr>
                <w:b/>
                <w:sz w:val="18"/>
              </w:rPr>
            </w:pPr>
            <w:r>
              <w:rPr>
                <w:b/>
                <w:spacing w:val="-2"/>
                <w:sz w:val="18"/>
              </w:rPr>
              <w:t>(1,879)</w:t>
            </w:r>
          </w:p>
        </w:tc>
      </w:tr>
      <w:tr>
        <w:trPr>
          <w:trHeight w:val="5042" w:hRule="atLeast"/>
        </w:trPr>
        <w:tc>
          <w:tcPr>
            <w:tcW w:w="1553" w:type="dxa"/>
            <w:vMerge/>
            <w:tcBorders>
              <w:top w:val="nil"/>
              <w:left w:val="single" w:sz="12" w:space="0" w:color="000000"/>
              <w:bottom w:val="single" w:sz="4" w:space="0" w:color="000000"/>
              <w:right w:val="single" w:sz="4" w:space="0" w:color="000000"/>
            </w:tcBorders>
          </w:tcPr>
          <w:p>
            <w:pPr>
              <w:rPr>
                <w:sz w:val="2"/>
                <w:szCs w:val="2"/>
              </w:rPr>
            </w:pPr>
          </w:p>
        </w:tc>
        <w:tc>
          <w:tcPr>
            <w:tcW w:w="3540" w:type="dxa"/>
            <w:vMerge/>
            <w:tcBorders>
              <w:top w:val="nil"/>
              <w:left w:val="single" w:sz="4" w:space="0" w:color="000000"/>
              <w:bottom w:val="single" w:sz="4" w:space="0" w:color="000000"/>
              <w:right w:val="single" w:sz="4" w:space="0" w:color="000000"/>
            </w:tcBorders>
          </w:tcPr>
          <w:p>
            <w:pPr>
              <w:rPr>
                <w:sz w:val="2"/>
                <w:szCs w:val="2"/>
              </w:rPr>
            </w:pPr>
          </w:p>
        </w:tc>
        <w:tc>
          <w:tcPr>
            <w:tcW w:w="5335" w:type="dxa"/>
            <w:gridSpan w:val="4"/>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8"/>
              </w:rPr>
            </w:pPr>
          </w:p>
        </w:tc>
      </w:tr>
      <w:tr>
        <w:trPr>
          <w:trHeight w:val="606" w:hRule="atLeast"/>
        </w:trPr>
        <w:tc>
          <w:tcPr>
            <w:tcW w:w="1553" w:type="dxa"/>
            <w:vMerge w:val="restart"/>
            <w:tcBorders>
              <w:top w:val="single" w:sz="4" w:space="0" w:color="000000"/>
              <w:left w:val="single" w:sz="12" w:space="0" w:color="000000"/>
              <w:bottom w:val="single" w:sz="12" w:space="0" w:color="000000"/>
              <w:right w:val="single" w:sz="4" w:space="0" w:color="000000"/>
            </w:tcBorders>
          </w:tcPr>
          <w:p>
            <w:pPr>
              <w:pStyle w:val="TableParagraph"/>
              <w:ind w:left="107" w:right="35"/>
              <w:rPr>
                <w:sz w:val="20"/>
              </w:rPr>
            </w:pPr>
            <w:r>
              <w:rPr>
                <w:spacing w:val="-2"/>
                <w:sz w:val="20"/>
              </w:rPr>
              <w:t>Sport, </w:t>
            </w:r>
            <w:r>
              <w:rPr>
                <w:sz w:val="20"/>
              </w:rPr>
              <w:t>recreation</w:t>
            </w:r>
            <w:r>
              <w:rPr>
                <w:spacing w:val="-14"/>
                <w:sz w:val="20"/>
              </w:rPr>
              <w:t> </w:t>
            </w:r>
            <w:r>
              <w:rPr>
                <w:sz w:val="20"/>
              </w:rPr>
              <w:t>and </w:t>
            </w:r>
            <w:r>
              <w:rPr>
                <w:spacing w:val="-2"/>
                <w:sz w:val="20"/>
              </w:rPr>
              <w:t>events</w:t>
            </w:r>
          </w:p>
        </w:tc>
        <w:tc>
          <w:tcPr>
            <w:tcW w:w="3540" w:type="dxa"/>
            <w:vMerge w:val="restart"/>
            <w:tcBorders>
              <w:top w:val="single" w:sz="4" w:space="0" w:color="000000"/>
              <w:left w:val="single" w:sz="4" w:space="0" w:color="000000"/>
              <w:bottom w:val="single" w:sz="12" w:space="0" w:color="000000"/>
              <w:right w:val="single" w:sz="4" w:space="0" w:color="000000"/>
            </w:tcBorders>
          </w:tcPr>
          <w:p>
            <w:pPr>
              <w:pStyle w:val="TableParagraph"/>
              <w:numPr>
                <w:ilvl w:val="0"/>
                <w:numId w:val="21"/>
              </w:numPr>
              <w:tabs>
                <w:tab w:pos="429" w:val="left" w:leader="none"/>
                <w:tab w:pos="430" w:val="left" w:leader="none"/>
              </w:tabs>
              <w:spacing w:line="245" w:lineRule="exact" w:before="0" w:after="0"/>
              <w:ind w:left="429" w:right="0" w:hanging="313"/>
              <w:jc w:val="left"/>
              <w:rPr>
                <w:sz w:val="20"/>
              </w:rPr>
            </w:pPr>
            <w:r>
              <w:rPr>
                <w:sz w:val="20"/>
              </w:rPr>
              <w:t>Community</w:t>
            </w:r>
            <w:r>
              <w:rPr>
                <w:spacing w:val="-12"/>
                <w:sz w:val="20"/>
              </w:rPr>
              <w:t> </w:t>
            </w:r>
            <w:r>
              <w:rPr>
                <w:spacing w:val="-2"/>
                <w:sz w:val="20"/>
              </w:rPr>
              <w:t>events</w:t>
            </w:r>
          </w:p>
          <w:p>
            <w:pPr>
              <w:pStyle w:val="TableParagraph"/>
              <w:numPr>
                <w:ilvl w:val="0"/>
                <w:numId w:val="21"/>
              </w:numPr>
              <w:tabs>
                <w:tab w:pos="429" w:val="left" w:leader="none"/>
                <w:tab w:pos="430" w:val="left" w:leader="none"/>
              </w:tabs>
              <w:spacing w:line="235" w:lineRule="auto" w:before="4" w:after="0"/>
              <w:ind w:left="429" w:right="400" w:hanging="312"/>
              <w:jc w:val="left"/>
              <w:rPr>
                <w:sz w:val="20"/>
              </w:rPr>
            </w:pPr>
            <w:r>
              <w:rPr>
                <w:sz w:val="20"/>
              </w:rPr>
              <w:t>Physical</w:t>
            </w:r>
            <w:r>
              <w:rPr>
                <w:spacing w:val="-14"/>
                <w:sz w:val="20"/>
              </w:rPr>
              <w:t> </w:t>
            </w:r>
            <w:r>
              <w:rPr>
                <w:sz w:val="20"/>
              </w:rPr>
              <w:t>activity</w:t>
            </w:r>
            <w:r>
              <w:rPr>
                <w:spacing w:val="-14"/>
                <w:sz w:val="20"/>
              </w:rPr>
              <w:t> </w:t>
            </w:r>
            <w:r>
              <w:rPr>
                <w:sz w:val="20"/>
              </w:rPr>
              <w:t>programs</w:t>
            </w:r>
            <w:r>
              <w:rPr>
                <w:spacing w:val="-13"/>
                <w:sz w:val="20"/>
              </w:rPr>
              <w:t> </w:t>
            </w:r>
            <w:r>
              <w:rPr>
                <w:sz w:val="20"/>
              </w:rPr>
              <w:t>and</w:t>
            </w:r>
            <w:r>
              <w:rPr>
                <w:sz w:val="20"/>
              </w:rPr>
              <w:t> </w:t>
            </w:r>
            <w:r>
              <w:rPr>
                <w:spacing w:val="-2"/>
                <w:sz w:val="20"/>
              </w:rPr>
              <w:t>events</w:t>
            </w:r>
          </w:p>
          <w:p>
            <w:pPr>
              <w:pStyle w:val="TableParagraph"/>
              <w:numPr>
                <w:ilvl w:val="0"/>
                <w:numId w:val="21"/>
              </w:numPr>
              <w:tabs>
                <w:tab w:pos="429" w:val="left" w:leader="none"/>
                <w:tab w:pos="430" w:val="left" w:leader="none"/>
              </w:tabs>
              <w:spacing w:line="245" w:lineRule="exact" w:before="3" w:after="0"/>
              <w:ind w:left="429" w:right="0" w:hanging="313"/>
              <w:jc w:val="left"/>
              <w:rPr>
                <w:sz w:val="20"/>
              </w:rPr>
            </w:pPr>
            <w:r>
              <w:rPr>
                <w:sz w:val="20"/>
              </w:rPr>
              <w:t>Sport</w:t>
            </w:r>
            <w:r>
              <w:rPr>
                <w:spacing w:val="-5"/>
                <w:sz w:val="20"/>
              </w:rPr>
              <w:t> </w:t>
            </w:r>
            <w:r>
              <w:rPr>
                <w:sz w:val="20"/>
              </w:rPr>
              <w:t>and</w:t>
            </w:r>
            <w:r>
              <w:rPr>
                <w:spacing w:val="-7"/>
                <w:sz w:val="20"/>
              </w:rPr>
              <w:t> </w:t>
            </w:r>
            <w:r>
              <w:rPr>
                <w:sz w:val="20"/>
              </w:rPr>
              <w:t>recreation</w:t>
            </w:r>
            <w:r>
              <w:rPr>
                <w:spacing w:val="-7"/>
                <w:sz w:val="20"/>
              </w:rPr>
              <w:t> </w:t>
            </w:r>
            <w:r>
              <w:rPr>
                <w:spacing w:val="-2"/>
                <w:sz w:val="20"/>
              </w:rPr>
              <w:t>planning</w:t>
            </w:r>
          </w:p>
          <w:p>
            <w:pPr>
              <w:pStyle w:val="TableParagraph"/>
              <w:numPr>
                <w:ilvl w:val="0"/>
                <w:numId w:val="21"/>
              </w:numPr>
              <w:tabs>
                <w:tab w:pos="429" w:val="left" w:leader="none"/>
                <w:tab w:pos="430" w:val="left" w:leader="none"/>
              </w:tabs>
              <w:spacing w:line="235" w:lineRule="auto" w:before="4" w:after="0"/>
              <w:ind w:left="429" w:right="312" w:hanging="312"/>
              <w:jc w:val="left"/>
              <w:rPr>
                <w:sz w:val="20"/>
              </w:rPr>
            </w:pPr>
            <w:r>
              <w:rPr>
                <w:sz w:val="20"/>
              </w:rPr>
              <w:t>Sporting</w:t>
            </w:r>
            <w:r>
              <w:rPr>
                <w:spacing w:val="-7"/>
                <w:sz w:val="20"/>
              </w:rPr>
              <w:t> </w:t>
            </w:r>
            <w:r>
              <w:rPr>
                <w:sz w:val="20"/>
              </w:rPr>
              <w:t>facility</w:t>
            </w:r>
            <w:r>
              <w:rPr>
                <w:spacing w:val="-5"/>
                <w:sz w:val="20"/>
              </w:rPr>
              <w:t> </w:t>
            </w:r>
            <w:r>
              <w:rPr>
                <w:sz w:val="20"/>
              </w:rPr>
              <w:t>and</w:t>
            </w:r>
            <w:r>
              <w:rPr>
                <w:spacing w:val="-9"/>
                <w:sz w:val="20"/>
              </w:rPr>
              <w:t> </w:t>
            </w:r>
            <w:r>
              <w:rPr>
                <w:sz w:val="20"/>
              </w:rPr>
              <w:t>community facility</w:t>
            </w:r>
            <w:r>
              <w:rPr>
                <w:spacing w:val="-14"/>
                <w:sz w:val="20"/>
              </w:rPr>
              <w:t> </w:t>
            </w:r>
            <w:r>
              <w:rPr>
                <w:sz w:val="20"/>
              </w:rPr>
              <w:t>occupancy</w:t>
            </w:r>
            <w:r>
              <w:rPr>
                <w:spacing w:val="-14"/>
                <w:sz w:val="20"/>
              </w:rPr>
              <w:t> </w:t>
            </w:r>
            <w:r>
              <w:rPr>
                <w:sz w:val="20"/>
              </w:rPr>
              <w:t>management</w:t>
            </w:r>
          </w:p>
          <w:p>
            <w:pPr>
              <w:pStyle w:val="TableParagraph"/>
              <w:numPr>
                <w:ilvl w:val="0"/>
                <w:numId w:val="21"/>
              </w:numPr>
              <w:tabs>
                <w:tab w:pos="429" w:val="left" w:leader="none"/>
                <w:tab w:pos="430" w:val="left" w:leader="none"/>
              </w:tabs>
              <w:spacing w:line="240" w:lineRule="auto" w:before="3" w:after="0"/>
              <w:ind w:left="429" w:right="0" w:hanging="313"/>
              <w:jc w:val="left"/>
              <w:rPr>
                <w:sz w:val="20"/>
              </w:rPr>
            </w:pPr>
            <w:r>
              <w:rPr>
                <w:sz w:val="20"/>
              </w:rPr>
              <w:t>Club/sporting</w:t>
            </w:r>
            <w:r>
              <w:rPr>
                <w:spacing w:val="-9"/>
                <w:sz w:val="20"/>
              </w:rPr>
              <w:t> </w:t>
            </w:r>
            <w:r>
              <w:rPr>
                <w:sz w:val="20"/>
              </w:rPr>
              <w:t>group</w:t>
            </w:r>
            <w:r>
              <w:rPr>
                <w:spacing w:val="-9"/>
                <w:sz w:val="20"/>
              </w:rPr>
              <w:t> </w:t>
            </w:r>
            <w:r>
              <w:rPr>
                <w:spacing w:val="-2"/>
                <w:sz w:val="20"/>
              </w:rPr>
              <w:t>support</w:t>
            </w:r>
          </w:p>
        </w:tc>
        <w:tc>
          <w:tcPr>
            <w:tcW w:w="4101" w:type="dxa"/>
            <w:gridSpan w:val="3"/>
            <w:tcBorders>
              <w:top w:val="single" w:sz="4" w:space="0" w:color="000000"/>
              <w:left w:val="single" w:sz="4" w:space="0" w:color="000000"/>
              <w:bottom w:val="single" w:sz="4" w:space="0" w:color="000000"/>
              <w:right w:val="nil"/>
            </w:tcBorders>
          </w:tcPr>
          <w:p>
            <w:pPr>
              <w:pStyle w:val="TableParagraph"/>
              <w:tabs>
                <w:tab w:pos="2428" w:val="left" w:leader="none"/>
                <w:tab w:pos="3549" w:val="left" w:leader="none"/>
              </w:tabs>
              <w:spacing w:line="229" w:lineRule="exact"/>
              <w:ind w:left="114"/>
              <w:rPr>
                <w:sz w:val="18"/>
              </w:rPr>
            </w:pPr>
            <w:r>
              <w:rPr>
                <w:spacing w:val="-2"/>
                <w:sz w:val="20"/>
              </w:rPr>
              <w:t>Income</w:t>
            </w:r>
            <w:r>
              <w:rPr>
                <w:sz w:val="20"/>
              </w:rPr>
              <w:tab/>
            </w:r>
            <w:r>
              <w:rPr>
                <w:spacing w:val="-5"/>
                <w:position w:val="2"/>
                <w:sz w:val="18"/>
              </w:rPr>
              <w:t>985</w:t>
            </w:r>
            <w:r>
              <w:rPr>
                <w:position w:val="2"/>
                <w:sz w:val="18"/>
              </w:rPr>
              <w:tab/>
            </w:r>
            <w:r>
              <w:rPr>
                <w:spacing w:val="-4"/>
                <w:position w:val="2"/>
                <w:sz w:val="18"/>
              </w:rPr>
              <w:t>1,045</w:t>
            </w:r>
          </w:p>
          <w:p>
            <w:pPr>
              <w:pStyle w:val="TableParagraph"/>
              <w:tabs>
                <w:tab w:pos="2277" w:val="left" w:leader="none"/>
                <w:tab w:pos="3549" w:val="left" w:leader="none"/>
              </w:tabs>
              <w:spacing w:before="83"/>
              <w:ind w:left="114"/>
              <w:rPr>
                <w:sz w:val="18"/>
              </w:rPr>
            </w:pPr>
            <w:r>
              <w:rPr>
                <w:spacing w:val="-2"/>
                <w:sz w:val="20"/>
              </w:rPr>
              <w:t>Expenditure</w:t>
            </w:r>
            <w:r>
              <w:rPr>
                <w:sz w:val="20"/>
              </w:rPr>
              <w:tab/>
            </w:r>
            <w:r>
              <w:rPr>
                <w:spacing w:val="-4"/>
                <w:position w:val="2"/>
                <w:sz w:val="18"/>
              </w:rPr>
              <w:t>1,828</w:t>
            </w:r>
            <w:r>
              <w:rPr>
                <w:position w:val="2"/>
                <w:sz w:val="18"/>
              </w:rPr>
              <w:tab/>
            </w:r>
            <w:r>
              <w:rPr>
                <w:spacing w:val="-4"/>
                <w:position w:val="2"/>
                <w:sz w:val="18"/>
              </w:rPr>
              <w:t>1,903</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line="206" w:lineRule="exact"/>
              <w:ind w:left="671"/>
              <w:rPr>
                <w:sz w:val="18"/>
              </w:rPr>
            </w:pPr>
            <w:r>
              <w:rPr>
                <w:spacing w:val="-2"/>
                <w:sz w:val="18"/>
              </w:rPr>
              <w:t>1,077</w:t>
            </w:r>
          </w:p>
          <w:p>
            <w:pPr>
              <w:pStyle w:val="TableParagraph"/>
              <w:spacing w:before="107"/>
              <w:ind w:left="671"/>
              <w:rPr>
                <w:sz w:val="18"/>
              </w:rPr>
            </w:pPr>
            <w:r>
              <w:rPr>
                <w:spacing w:val="-2"/>
                <w:sz w:val="18"/>
              </w:rPr>
              <w:t>1,855</w:t>
            </w:r>
          </w:p>
        </w:tc>
      </w:tr>
      <w:tr>
        <w:trPr>
          <w:trHeight w:val="440" w:hRule="atLeast"/>
        </w:trPr>
        <w:tc>
          <w:tcPr>
            <w:tcW w:w="1553" w:type="dxa"/>
            <w:vMerge/>
            <w:tcBorders>
              <w:top w:val="nil"/>
              <w:left w:val="single" w:sz="12" w:space="0" w:color="000000"/>
              <w:bottom w:val="single" w:sz="12" w:space="0" w:color="000000"/>
              <w:right w:val="single" w:sz="4" w:space="0" w:color="000000"/>
            </w:tcBorders>
          </w:tcPr>
          <w:p>
            <w:pPr>
              <w:rPr>
                <w:sz w:val="2"/>
                <w:szCs w:val="2"/>
              </w:rPr>
            </w:pPr>
          </w:p>
        </w:tc>
        <w:tc>
          <w:tcPr>
            <w:tcW w:w="3540" w:type="dxa"/>
            <w:vMerge/>
            <w:tcBorders>
              <w:top w:val="nil"/>
              <w:left w:val="single" w:sz="4" w:space="0" w:color="000000"/>
              <w:bottom w:val="single" w:sz="12" w:space="0" w:color="000000"/>
              <w:right w:val="single" w:sz="4" w:space="0" w:color="000000"/>
            </w:tcBorders>
          </w:tcPr>
          <w:p>
            <w:pPr>
              <w:rPr>
                <w:sz w:val="2"/>
                <w:szCs w:val="2"/>
              </w:rPr>
            </w:pPr>
          </w:p>
        </w:tc>
        <w:tc>
          <w:tcPr>
            <w:tcW w:w="1537" w:type="dxa"/>
            <w:tcBorders>
              <w:top w:val="single" w:sz="4" w:space="0" w:color="000000"/>
              <w:left w:val="single" w:sz="4" w:space="0" w:color="000000"/>
              <w:bottom w:val="single" w:sz="4" w:space="0" w:color="000000"/>
              <w:right w:val="nil"/>
            </w:tcBorders>
          </w:tcPr>
          <w:p>
            <w:pPr>
              <w:pStyle w:val="TableParagraph"/>
              <w:spacing w:line="219" w:lineRule="exact"/>
              <w:ind w:left="114"/>
              <w:rPr>
                <w:b/>
                <w:sz w:val="20"/>
              </w:rPr>
            </w:pPr>
            <w:r>
              <w:rPr>
                <w:b/>
                <w:sz w:val="20"/>
              </w:rPr>
              <w:t>Surplus</w:t>
            </w:r>
            <w:r>
              <w:rPr>
                <w:b/>
                <w:spacing w:val="-11"/>
                <w:sz w:val="20"/>
              </w:rPr>
              <w:t> </w:t>
            </w:r>
            <w:r>
              <w:rPr>
                <w:b/>
                <w:spacing w:val="-10"/>
                <w:sz w:val="20"/>
              </w:rPr>
              <w:t>/</w:t>
            </w:r>
          </w:p>
          <w:p>
            <w:pPr>
              <w:pStyle w:val="TableParagraph"/>
              <w:spacing w:line="201" w:lineRule="exact"/>
              <w:ind w:left="114"/>
              <w:rPr>
                <w:b/>
                <w:sz w:val="20"/>
              </w:rPr>
            </w:pPr>
            <w:r>
              <w:rPr>
                <w:b/>
                <w:spacing w:val="-2"/>
                <w:sz w:val="20"/>
              </w:rPr>
              <w:t>(deficit)</w:t>
            </w:r>
          </w:p>
        </w:tc>
        <w:tc>
          <w:tcPr>
            <w:tcW w:w="1348" w:type="dxa"/>
            <w:tcBorders>
              <w:top w:val="single" w:sz="4" w:space="0" w:color="000000"/>
              <w:left w:val="nil"/>
              <w:bottom w:val="single" w:sz="4" w:space="0" w:color="000000"/>
              <w:right w:val="nil"/>
            </w:tcBorders>
          </w:tcPr>
          <w:p>
            <w:pPr>
              <w:pStyle w:val="TableParagraph"/>
              <w:spacing w:line="196" w:lineRule="exact"/>
              <w:ind w:right="146"/>
              <w:jc w:val="right"/>
              <w:rPr>
                <w:b/>
                <w:sz w:val="18"/>
              </w:rPr>
            </w:pPr>
            <w:r>
              <w:rPr>
                <w:b/>
                <w:spacing w:val="-2"/>
                <w:sz w:val="18"/>
              </w:rPr>
              <w:t>(843)</w:t>
            </w:r>
          </w:p>
        </w:tc>
        <w:tc>
          <w:tcPr>
            <w:tcW w:w="1216" w:type="dxa"/>
            <w:tcBorders>
              <w:top w:val="single" w:sz="4" w:space="0" w:color="000000"/>
              <w:left w:val="nil"/>
              <w:bottom w:val="single" w:sz="4" w:space="0" w:color="000000"/>
              <w:right w:val="nil"/>
            </w:tcBorders>
          </w:tcPr>
          <w:p>
            <w:pPr>
              <w:pStyle w:val="TableParagraph"/>
              <w:spacing w:line="196" w:lineRule="exact"/>
              <w:ind w:right="90"/>
              <w:jc w:val="right"/>
              <w:rPr>
                <w:b/>
                <w:sz w:val="18"/>
              </w:rPr>
            </w:pPr>
            <w:r>
              <w:rPr>
                <w:b/>
                <w:spacing w:val="-2"/>
                <w:sz w:val="18"/>
              </w:rPr>
              <w:t>(858)</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line="196" w:lineRule="exact"/>
              <w:ind w:right="76"/>
              <w:jc w:val="right"/>
              <w:rPr>
                <w:b/>
                <w:sz w:val="18"/>
              </w:rPr>
            </w:pPr>
            <w:r>
              <w:rPr>
                <w:b/>
                <w:spacing w:val="-2"/>
                <w:sz w:val="18"/>
              </w:rPr>
              <w:t>(778)</w:t>
            </w:r>
          </w:p>
        </w:tc>
      </w:tr>
      <w:tr>
        <w:trPr>
          <w:trHeight w:val="1246" w:hRule="atLeast"/>
        </w:trPr>
        <w:tc>
          <w:tcPr>
            <w:tcW w:w="1553" w:type="dxa"/>
            <w:vMerge/>
            <w:tcBorders>
              <w:top w:val="nil"/>
              <w:left w:val="single" w:sz="12" w:space="0" w:color="000000"/>
              <w:bottom w:val="single" w:sz="12" w:space="0" w:color="000000"/>
              <w:right w:val="single" w:sz="4" w:space="0" w:color="000000"/>
            </w:tcBorders>
          </w:tcPr>
          <w:p>
            <w:pPr>
              <w:rPr>
                <w:sz w:val="2"/>
                <w:szCs w:val="2"/>
              </w:rPr>
            </w:pPr>
          </w:p>
        </w:tc>
        <w:tc>
          <w:tcPr>
            <w:tcW w:w="3540" w:type="dxa"/>
            <w:vMerge/>
            <w:tcBorders>
              <w:top w:val="nil"/>
              <w:left w:val="single" w:sz="4" w:space="0" w:color="000000"/>
              <w:bottom w:val="single" w:sz="12" w:space="0" w:color="000000"/>
              <w:right w:val="single" w:sz="4" w:space="0" w:color="000000"/>
            </w:tcBorders>
          </w:tcPr>
          <w:p>
            <w:pPr>
              <w:rPr>
                <w:sz w:val="2"/>
                <w:szCs w:val="2"/>
              </w:rPr>
            </w:pPr>
          </w:p>
        </w:tc>
        <w:tc>
          <w:tcPr>
            <w:tcW w:w="5335" w:type="dxa"/>
            <w:gridSpan w:val="4"/>
            <w:tcBorders>
              <w:top w:val="single" w:sz="4" w:space="0" w:color="000000"/>
              <w:left w:val="single" w:sz="4" w:space="0" w:color="000000"/>
              <w:bottom w:val="single" w:sz="12" w:space="0" w:color="000000"/>
              <w:right w:val="single" w:sz="12" w:space="0" w:color="000000"/>
            </w:tcBorders>
          </w:tcPr>
          <w:p>
            <w:pPr>
              <w:pStyle w:val="TableParagraph"/>
              <w:rPr>
                <w:rFonts w:ascii="Times New Roman"/>
                <w:sz w:val="18"/>
              </w:rPr>
            </w:pPr>
          </w:p>
        </w:tc>
      </w:tr>
    </w:tbl>
    <w:p>
      <w:pPr>
        <w:spacing w:after="0"/>
        <w:rPr>
          <w:rFonts w:ascii="Times New Roman"/>
          <w:sz w:val="18"/>
        </w:rPr>
        <w:sectPr>
          <w:type w:val="continuous"/>
          <w:pgSz w:w="11910" w:h="16840"/>
          <w:pgMar w:header="0" w:footer="375" w:top="540" w:bottom="560" w:left="460" w:right="160"/>
        </w:sectPr>
      </w:pPr>
    </w:p>
    <w:tbl>
      <w:tblPr>
        <w:tblW w:w="0" w:type="auto"/>
        <w:jc w:val="left"/>
        <w:tblInd w:w="4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553"/>
        <w:gridCol w:w="3540"/>
        <w:gridCol w:w="1537"/>
        <w:gridCol w:w="1347"/>
        <w:gridCol w:w="1216"/>
        <w:gridCol w:w="1234"/>
      </w:tblGrid>
      <w:tr>
        <w:trPr>
          <w:trHeight w:val="900" w:hRule="atLeast"/>
        </w:trPr>
        <w:tc>
          <w:tcPr>
            <w:tcW w:w="1553" w:type="dxa"/>
            <w:tcBorders>
              <w:left w:val="single" w:sz="12" w:space="0" w:color="000000"/>
              <w:bottom w:val="single" w:sz="4" w:space="0" w:color="000000"/>
              <w:right w:val="nil"/>
            </w:tcBorders>
            <w:shd w:val="clear" w:color="auto" w:fill="5B9AD4"/>
          </w:tcPr>
          <w:p>
            <w:pPr>
              <w:pStyle w:val="TableParagraph"/>
              <w:spacing w:before="2"/>
              <w:rPr>
                <w:b/>
                <w:sz w:val="19"/>
              </w:rPr>
            </w:pPr>
          </w:p>
          <w:p>
            <w:pPr>
              <w:pStyle w:val="TableParagraph"/>
              <w:ind w:left="169"/>
              <w:rPr>
                <w:b/>
                <w:sz w:val="20"/>
              </w:rPr>
            </w:pPr>
            <w:r>
              <w:rPr>
                <w:b/>
                <w:color w:val="FFFFFF"/>
                <w:sz w:val="20"/>
              </w:rPr>
              <w:t>Service</w:t>
            </w:r>
            <w:r>
              <w:rPr>
                <w:b/>
                <w:color w:val="FFFFFF"/>
                <w:spacing w:val="-10"/>
                <w:sz w:val="20"/>
              </w:rPr>
              <w:t> </w:t>
            </w:r>
            <w:r>
              <w:rPr>
                <w:b/>
                <w:color w:val="FFFFFF"/>
                <w:spacing w:val="-4"/>
                <w:sz w:val="20"/>
              </w:rPr>
              <w:t>Area</w:t>
            </w:r>
          </w:p>
        </w:tc>
        <w:tc>
          <w:tcPr>
            <w:tcW w:w="3540" w:type="dxa"/>
            <w:tcBorders>
              <w:left w:val="nil"/>
              <w:bottom w:val="single" w:sz="4" w:space="0" w:color="000000"/>
              <w:right w:val="nil"/>
            </w:tcBorders>
            <w:shd w:val="clear" w:color="auto" w:fill="5B9AD4"/>
          </w:tcPr>
          <w:p>
            <w:pPr>
              <w:pStyle w:val="TableParagraph"/>
              <w:spacing w:before="6"/>
              <w:rPr>
                <w:b/>
                <w:sz w:val="28"/>
              </w:rPr>
            </w:pPr>
          </w:p>
          <w:p>
            <w:pPr>
              <w:pStyle w:val="TableParagraph"/>
              <w:ind w:left="916"/>
              <w:rPr>
                <w:b/>
                <w:sz w:val="20"/>
              </w:rPr>
            </w:pPr>
            <w:r>
              <w:rPr>
                <w:b/>
                <w:color w:val="FFFFFF"/>
                <w:sz w:val="20"/>
              </w:rPr>
              <w:t>Services</w:t>
            </w:r>
            <w:r>
              <w:rPr>
                <w:b/>
                <w:color w:val="FFFFFF"/>
                <w:spacing w:val="-9"/>
                <w:sz w:val="20"/>
              </w:rPr>
              <w:t> </w:t>
            </w:r>
            <w:r>
              <w:rPr>
                <w:b/>
                <w:color w:val="FFFFFF"/>
                <w:spacing w:val="-2"/>
                <w:sz w:val="20"/>
              </w:rPr>
              <w:t>Provided</w:t>
            </w:r>
          </w:p>
        </w:tc>
        <w:tc>
          <w:tcPr>
            <w:tcW w:w="1537" w:type="dxa"/>
            <w:tcBorders>
              <w:left w:val="nil"/>
              <w:bottom w:val="single" w:sz="4" w:space="0" w:color="000000"/>
              <w:right w:val="nil"/>
            </w:tcBorders>
            <w:shd w:val="clear" w:color="auto" w:fill="5B9AD4"/>
          </w:tcPr>
          <w:p>
            <w:pPr>
              <w:pStyle w:val="TableParagraph"/>
              <w:rPr>
                <w:rFonts w:ascii="Times New Roman"/>
                <w:sz w:val="20"/>
              </w:rPr>
            </w:pPr>
          </w:p>
        </w:tc>
        <w:tc>
          <w:tcPr>
            <w:tcW w:w="1347" w:type="dxa"/>
            <w:tcBorders>
              <w:left w:val="nil"/>
              <w:bottom w:val="single" w:sz="4" w:space="0" w:color="000000"/>
              <w:right w:val="nil"/>
            </w:tcBorders>
            <w:shd w:val="clear" w:color="auto" w:fill="5B9AD4"/>
          </w:tcPr>
          <w:p>
            <w:pPr>
              <w:pStyle w:val="TableParagraph"/>
              <w:spacing w:before="26"/>
              <w:ind w:left="349" w:right="220"/>
              <w:jc w:val="center"/>
              <w:rPr>
                <w:b/>
                <w:sz w:val="20"/>
              </w:rPr>
            </w:pPr>
            <w:r>
              <w:rPr>
                <w:b/>
                <w:color w:val="FFFFFF"/>
                <w:spacing w:val="-2"/>
                <w:sz w:val="20"/>
              </w:rPr>
              <w:t>2023/24</w:t>
            </w:r>
          </w:p>
          <w:p>
            <w:pPr>
              <w:pStyle w:val="TableParagraph"/>
              <w:spacing w:before="72"/>
              <w:ind w:left="349" w:right="221"/>
              <w:jc w:val="center"/>
              <w:rPr>
                <w:b/>
                <w:sz w:val="20"/>
              </w:rPr>
            </w:pPr>
            <w:r>
              <w:rPr>
                <w:b/>
                <w:color w:val="FFFFFF"/>
                <w:spacing w:val="-2"/>
                <w:sz w:val="20"/>
              </w:rPr>
              <w:t>Actual</w:t>
            </w:r>
          </w:p>
          <w:p>
            <w:pPr>
              <w:pStyle w:val="TableParagraph"/>
              <w:spacing w:before="75"/>
              <w:ind w:left="349" w:right="221"/>
              <w:jc w:val="center"/>
              <w:rPr>
                <w:b/>
                <w:sz w:val="20"/>
              </w:rPr>
            </w:pPr>
            <w:r>
              <w:rPr>
                <w:b/>
                <w:color w:val="FFFFFF"/>
                <w:spacing w:val="-2"/>
                <w:sz w:val="20"/>
              </w:rPr>
              <w:t>$'000</w:t>
            </w:r>
          </w:p>
        </w:tc>
        <w:tc>
          <w:tcPr>
            <w:tcW w:w="1216" w:type="dxa"/>
            <w:tcBorders>
              <w:left w:val="nil"/>
              <w:bottom w:val="single" w:sz="4" w:space="0" w:color="000000"/>
              <w:right w:val="nil"/>
            </w:tcBorders>
            <w:shd w:val="clear" w:color="auto" w:fill="5B9AD4"/>
          </w:tcPr>
          <w:p>
            <w:pPr>
              <w:pStyle w:val="TableParagraph"/>
              <w:spacing w:before="26"/>
              <w:ind w:left="82" w:right="113"/>
              <w:jc w:val="center"/>
              <w:rPr>
                <w:b/>
                <w:sz w:val="20"/>
              </w:rPr>
            </w:pPr>
            <w:r>
              <w:rPr>
                <w:b/>
                <w:color w:val="FFFFFF"/>
                <w:spacing w:val="-2"/>
                <w:sz w:val="20"/>
              </w:rPr>
              <w:t>2024/25</w:t>
            </w:r>
          </w:p>
          <w:p>
            <w:pPr>
              <w:pStyle w:val="TableParagraph"/>
              <w:spacing w:before="72"/>
              <w:ind w:left="83" w:right="113"/>
              <w:jc w:val="center"/>
              <w:rPr>
                <w:b/>
                <w:sz w:val="20"/>
              </w:rPr>
            </w:pPr>
            <w:r>
              <w:rPr>
                <w:b/>
                <w:color w:val="FFFFFF"/>
                <w:spacing w:val="-2"/>
                <w:sz w:val="20"/>
              </w:rPr>
              <w:t>Forecast</w:t>
            </w:r>
          </w:p>
          <w:p>
            <w:pPr>
              <w:pStyle w:val="TableParagraph"/>
              <w:spacing w:before="75"/>
              <w:ind w:left="81" w:right="113"/>
              <w:jc w:val="center"/>
              <w:rPr>
                <w:b/>
                <w:sz w:val="20"/>
              </w:rPr>
            </w:pPr>
            <w:r>
              <w:rPr>
                <w:b/>
                <w:color w:val="FFFFFF"/>
                <w:spacing w:val="-2"/>
                <w:sz w:val="20"/>
              </w:rPr>
              <w:t>$'000</w:t>
            </w:r>
          </w:p>
        </w:tc>
        <w:tc>
          <w:tcPr>
            <w:tcW w:w="1234" w:type="dxa"/>
            <w:tcBorders>
              <w:left w:val="nil"/>
              <w:bottom w:val="single" w:sz="4" w:space="0" w:color="000000"/>
              <w:right w:val="single" w:sz="12" w:space="0" w:color="000000"/>
            </w:tcBorders>
            <w:shd w:val="clear" w:color="auto" w:fill="5B9AD4"/>
          </w:tcPr>
          <w:p>
            <w:pPr>
              <w:pStyle w:val="TableParagraph"/>
              <w:spacing w:before="26"/>
              <w:ind w:left="240" w:right="219"/>
              <w:jc w:val="center"/>
              <w:rPr>
                <w:b/>
                <w:sz w:val="20"/>
              </w:rPr>
            </w:pPr>
            <w:r>
              <w:rPr>
                <w:b/>
                <w:color w:val="FFFFFF"/>
                <w:spacing w:val="-2"/>
                <w:sz w:val="20"/>
              </w:rPr>
              <w:t>2025/26</w:t>
            </w:r>
          </w:p>
          <w:p>
            <w:pPr>
              <w:pStyle w:val="TableParagraph"/>
              <w:spacing w:before="72"/>
              <w:ind w:left="240" w:right="217"/>
              <w:jc w:val="center"/>
              <w:rPr>
                <w:b/>
                <w:sz w:val="20"/>
              </w:rPr>
            </w:pPr>
            <w:r>
              <w:rPr>
                <w:b/>
                <w:color w:val="FFFFFF"/>
                <w:spacing w:val="-2"/>
                <w:sz w:val="20"/>
              </w:rPr>
              <w:t>Budget</w:t>
            </w:r>
          </w:p>
          <w:p>
            <w:pPr>
              <w:pStyle w:val="TableParagraph"/>
              <w:spacing w:before="75"/>
              <w:ind w:left="240" w:right="219"/>
              <w:jc w:val="center"/>
              <w:rPr>
                <w:b/>
                <w:sz w:val="20"/>
              </w:rPr>
            </w:pPr>
            <w:r>
              <w:rPr>
                <w:b/>
                <w:color w:val="FFFFFF"/>
                <w:spacing w:val="-2"/>
                <w:sz w:val="20"/>
              </w:rPr>
              <w:t>$'000</w:t>
            </w:r>
          </w:p>
        </w:tc>
      </w:tr>
      <w:tr>
        <w:trPr>
          <w:trHeight w:val="268" w:hRule="atLeast"/>
        </w:trPr>
        <w:tc>
          <w:tcPr>
            <w:tcW w:w="1553" w:type="dxa"/>
            <w:tcBorders>
              <w:top w:val="single" w:sz="4" w:space="0" w:color="000000"/>
              <w:left w:val="single" w:sz="12" w:space="0" w:color="000000"/>
              <w:bottom w:val="nil"/>
              <w:right w:val="single" w:sz="4" w:space="0" w:color="000000"/>
            </w:tcBorders>
          </w:tcPr>
          <w:p>
            <w:pPr>
              <w:pStyle w:val="TableParagraph"/>
              <w:spacing w:line="229" w:lineRule="exact"/>
              <w:ind w:left="107"/>
              <w:rPr>
                <w:sz w:val="20"/>
              </w:rPr>
            </w:pPr>
            <w:r>
              <w:rPr>
                <w:spacing w:val="-2"/>
                <w:sz w:val="20"/>
              </w:rPr>
              <w:t>Stadiums</w:t>
            </w:r>
          </w:p>
        </w:tc>
        <w:tc>
          <w:tcPr>
            <w:tcW w:w="3540" w:type="dxa"/>
            <w:vMerge w:val="restart"/>
            <w:tcBorders>
              <w:top w:val="single" w:sz="4" w:space="0" w:color="000000"/>
              <w:left w:val="single" w:sz="4" w:space="0" w:color="000000"/>
              <w:bottom w:val="single" w:sz="4" w:space="0" w:color="000000"/>
              <w:right w:val="single" w:sz="4" w:space="0" w:color="000000"/>
            </w:tcBorders>
          </w:tcPr>
          <w:p>
            <w:pPr>
              <w:pStyle w:val="TableParagraph"/>
              <w:numPr>
                <w:ilvl w:val="0"/>
                <w:numId w:val="22"/>
              </w:numPr>
              <w:tabs>
                <w:tab w:pos="429" w:val="left" w:leader="none"/>
                <w:tab w:pos="430" w:val="left" w:leader="none"/>
              </w:tabs>
              <w:spacing w:line="235" w:lineRule="auto" w:before="4" w:after="0"/>
              <w:ind w:left="429" w:right="288" w:hanging="312"/>
              <w:jc w:val="left"/>
              <w:rPr>
                <w:sz w:val="20"/>
              </w:rPr>
            </w:pPr>
            <w:r>
              <w:rPr>
                <w:sz w:val="20"/>
              </w:rPr>
              <w:t>Operations</w:t>
            </w:r>
            <w:r>
              <w:rPr>
                <w:spacing w:val="-13"/>
                <w:sz w:val="20"/>
              </w:rPr>
              <w:t> </w:t>
            </w:r>
            <w:r>
              <w:rPr>
                <w:sz w:val="20"/>
              </w:rPr>
              <w:t>and</w:t>
            </w:r>
            <w:r>
              <w:rPr>
                <w:spacing w:val="-14"/>
                <w:sz w:val="20"/>
              </w:rPr>
              <w:t> </w:t>
            </w:r>
            <w:r>
              <w:rPr>
                <w:sz w:val="20"/>
              </w:rPr>
              <w:t>management</w:t>
            </w:r>
            <w:r>
              <w:rPr>
                <w:spacing w:val="-14"/>
                <w:sz w:val="20"/>
              </w:rPr>
              <w:t> </w:t>
            </w:r>
            <w:r>
              <w:rPr>
                <w:sz w:val="20"/>
              </w:rPr>
              <w:t>of three stadiums</w:t>
            </w:r>
          </w:p>
          <w:p>
            <w:pPr>
              <w:pStyle w:val="TableParagraph"/>
              <w:numPr>
                <w:ilvl w:val="1"/>
                <w:numId w:val="22"/>
              </w:numPr>
              <w:tabs>
                <w:tab w:pos="837" w:val="left" w:leader="none"/>
              </w:tabs>
              <w:spacing w:line="239" w:lineRule="exact" w:before="2" w:after="0"/>
              <w:ind w:left="836" w:right="0" w:hanging="360"/>
              <w:jc w:val="left"/>
              <w:rPr>
                <w:sz w:val="20"/>
              </w:rPr>
            </w:pPr>
            <w:r>
              <w:rPr>
                <w:sz w:val="20"/>
              </w:rPr>
              <w:t>The</w:t>
            </w:r>
            <w:r>
              <w:rPr>
                <w:spacing w:val="-6"/>
                <w:sz w:val="20"/>
              </w:rPr>
              <w:t> </w:t>
            </w:r>
            <w:r>
              <w:rPr>
                <w:spacing w:val="-2"/>
                <w:sz w:val="20"/>
              </w:rPr>
              <w:t>Rings</w:t>
            </w:r>
          </w:p>
          <w:p>
            <w:pPr>
              <w:pStyle w:val="TableParagraph"/>
              <w:numPr>
                <w:ilvl w:val="1"/>
                <w:numId w:val="22"/>
              </w:numPr>
              <w:tabs>
                <w:tab w:pos="837" w:val="left" w:leader="none"/>
              </w:tabs>
              <w:spacing w:line="230" w:lineRule="exact" w:before="0" w:after="0"/>
              <w:ind w:left="836" w:right="0" w:hanging="360"/>
              <w:jc w:val="left"/>
              <w:rPr>
                <w:sz w:val="20"/>
              </w:rPr>
            </w:pPr>
            <w:r>
              <w:rPr>
                <w:sz w:val="20"/>
              </w:rPr>
              <w:t>Maroondah</w:t>
            </w:r>
            <w:r>
              <w:rPr>
                <w:spacing w:val="-13"/>
                <w:sz w:val="20"/>
              </w:rPr>
              <w:t> </w:t>
            </w:r>
            <w:r>
              <w:rPr>
                <w:spacing w:val="-4"/>
                <w:sz w:val="20"/>
              </w:rPr>
              <w:t>Nets</w:t>
            </w:r>
          </w:p>
          <w:p>
            <w:pPr>
              <w:pStyle w:val="TableParagraph"/>
              <w:numPr>
                <w:ilvl w:val="1"/>
                <w:numId w:val="22"/>
              </w:numPr>
              <w:tabs>
                <w:tab w:pos="837" w:val="left" w:leader="none"/>
              </w:tabs>
              <w:spacing w:line="231" w:lineRule="exact" w:before="0" w:after="0"/>
              <w:ind w:left="836" w:right="0" w:hanging="360"/>
              <w:jc w:val="left"/>
              <w:rPr>
                <w:sz w:val="20"/>
              </w:rPr>
            </w:pPr>
            <w:r>
              <w:rPr>
                <w:sz w:val="20"/>
              </w:rPr>
              <w:t>Maroondah</w:t>
            </w:r>
            <w:r>
              <w:rPr>
                <w:spacing w:val="-13"/>
                <w:sz w:val="20"/>
              </w:rPr>
              <w:t> </w:t>
            </w:r>
            <w:r>
              <w:rPr>
                <w:spacing w:val="-4"/>
                <w:sz w:val="20"/>
              </w:rPr>
              <w:t>Edge</w:t>
            </w:r>
          </w:p>
          <w:p>
            <w:pPr>
              <w:pStyle w:val="TableParagraph"/>
              <w:numPr>
                <w:ilvl w:val="0"/>
                <w:numId w:val="22"/>
              </w:numPr>
              <w:tabs>
                <w:tab w:pos="429" w:val="left" w:leader="none"/>
                <w:tab w:pos="430" w:val="left" w:leader="none"/>
              </w:tabs>
              <w:spacing w:line="237" w:lineRule="auto" w:before="0" w:after="0"/>
              <w:ind w:left="429" w:right="199" w:hanging="312"/>
              <w:jc w:val="left"/>
              <w:rPr>
                <w:sz w:val="20"/>
              </w:rPr>
            </w:pPr>
            <w:r>
              <w:rPr>
                <w:sz w:val="20"/>
              </w:rPr>
              <w:t>Offering cricket, basketball, netball,</w:t>
            </w:r>
            <w:r>
              <w:rPr>
                <w:spacing w:val="-14"/>
                <w:sz w:val="20"/>
              </w:rPr>
              <w:t> </w:t>
            </w:r>
            <w:r>
              <w:rPr>
                <w:sz w:val="20"/>
              </w:rPr>
              <w:t>volleyball,</w:t>
            </w:r>
            <w:r>
              <w:rPr>
                <w:spacing w:val="-14"/>
                <w:sz w:val="20"/>
              </w:rPr>
              <w:t> </w:t>
            </w:r>
            <w:r>
              <w:rPr>
                <w:sz w:val="20"/>
              </w:rPr>
              <w:t>pickleball,</w:t>
            </w:r>
            <w:r>
              <w:rPr>
                <w:spacing w:val="-14"/>
                <w:sz w:val="20"/>
              </w:rPr>
              <w:t> </w:t>
            </w:r>
            <w:r>
              <w:rPr>
                <w:sz w:val="20"/>
              </w:rPr>
              <w:t>and other sports</w:t>
            </w:r>
          </w:p>
        </w:tc>
        <w:tc>
          <w:tcPr>
            <w:tcW w:w="1537" w:type="dxa"/>
            <w:tcBorders>
              <w:top w:val="single" w:sz="4" w:space="0" w:color="000000"/>
              <w:left w:val="single" w:sz="4" w:space="0" w:color="000000"/>
              <w:bottom w:val="nil"/>
              <w:right w:val="nil"/>
            </w:tcBorders>
          </w:tcPr>
          <w:p>
            <w:pPr>
              <w:pStyle w:val="TableParagraph"/>
              <w:spacing w:line="229" w:lineRule="exact"/>
              <w:ind w:left="114"/>
              <w:rPr>
                <w:sz w:val="20"/>
              </w:rPr>
            </w:pPr>
            <w:r>
              <w:rPr>
                <w:spacing w:val="-2"/>
                <w:sz w:val="20"/>
              </w:rPr>
              <w:t>Income</w:t>
            </w:r>
          </w:p>
        </w:tc>
        <w:tc>
          <w:tcPr>
            <w:tcW w:w="1347" w:type="dxa"/>
            <w:tcBorders>
              <w:top w:val="single" w:sz="4" w:space="0" w:color="000000"/>
              <w:left w:val="nil"/>
              <w:bottom w:val="nil"/>
              <w:right w:val="nil"/>
            </w:tcBorders>
          </w:tcPr>
          <w:p>
            <w:pPr>
              <w:pStyle w:val="TableParagraph"/>
              <w:spacing w:line="206" w:lineRule="exact"/>
              <w:ind w:right="146"/>
              <w:jc w:val="right"/>
              <w:rPr>
                <w:sz w:val="18"/>
              </w:rPr>
            </w:pPr>
            <w:r>
              <w:rPr>
                <w:spacing w:val="-2"/>
                <w:sz w:val="18"/>
              </w:rPr>
              <w:t>1,416</w:t>
            </w:r>
          </w:p>
        </w:tc>
        <w:tc>
          <w:tcPr>
            <w:tcW w:w="1216" w:type="dxa"/>
            <w:tcBorders>
              <w:top w:val="single" w:sz="4" w:space="0" w:color="000000"/>
              <w:left w:val="nil"/>
              <w:bottom w:val="nil"/>
              <w:right w:val="nil"/>
            </w:tcBorders>
          </w:tcPr>
          <w:p>
            <w:pPr>
              <w:pStyle w:val="TableParagraph"/>
              <w:spacing w:line="206" w:lineRule="exact"/>
              <w:ind w:right="90"/>
              <w:jc w:val="right"/>
              <w:rPr>
                <w:sz w:val="18"/>
              </w:rPr>
            </w:pPr>
            <w:r>
              <w:rPr>
                <w:spacing w:val="-2"/>
                <w:sz w:val="18"/>
              </w:rPr>
              <w:t>1,525</w:t>
            </w:r>
          </w:p>
        </w:tc>
        <w:tc>
          <w:tcPr>
            <w:tcW w:w="1234" w:type="dxa"/>
            <w:tcBorders>
              <w:top w:val="single" w:sz="4" w:space="0" w:color="000000"/>
              <w:left w:val="nil"/>
              <w:bottom w:val="nil"/>
              <w:right w:val="single" w:sz="12" w:space="0" w:color="000000"/>
            </w:tcBorders>
            <w:shd w:val="clear" w:color="auto" w:fill="BCD6ED"/>
          </w:tcPr>
          <w:p>
            <w:pPr>
              <w:pStyle w:val="TableParagraph"/>
              <w:spacing w:line="206" w:lineRule="exact"/>
              <w:ind w:right="76"/>
              <w:jc w:val="right"/>
              <w:rPr>
                <w:sz w:val="18"/>
              </w:rPr>
            </w:pPr>
            <w:r>
              <w:rPr>
                <w:spacing w:val="-2"/>
                <w:sz w:val="18"/>
              </w:rPr>
              <w:t>1,549</w:t>
            </w:r>
          </w:p>
        </w:tc>
      </w:tr>
      <w:tr>
        <w:trPr>
          <w:trHeight w:val="338" w:hRule="atLeast"/>
        </w:trPr>
        <w:tc>
          <w:tcPr>
            <w:tcW w:w="1553" w:type="dxa"/>
            <w:tcBorders>
              <w:top w:val="nil"/>
              <w:left w:val="single" w:sz="12" w:space="0" w:color="000000"/>
              <w:bottom w:val="nil"/>
              <w:right w:val="single" w:sz="4" w:space="0" w:color="000000"/>
            </w:tcBorders>
          </w:tcPr>
          <w:p>
            <w:pPr>
              <w:pStyle w:val="TableParagraph"/>
              <w:rPr>
                <w:rFonts w:ascii="Times New Roman"/>
                <w:sz w:val="20"/>
              </w:rPr>
            </w:pPr>
          </w:p>
        </w:tc>
        <w:tc>
          <w:tcPr>
            <w:tcW w:w="3540" w:type="dxa"/>
            <w:vMerge/>
            <w:tcBorders>
              <w:top w:val="nil"/>
              <w:left w:val="single" w:sz="4" w:space="0" w:color="000000"/>
              <w:bottom w:val="single" w:sz="4" w:space="0" w:color="000000"/>
              <w:right w:val="single" w:sz="4" w:space="0" w:color="000000"/>
            </w:tcBorders>
          </w:tcPr>
          <w:p>
            <w:pPr>
              <w:rPr>
                <w:sz w:val="2"/>
                <w:szCs w:val="2"/>
              </w:rPr>
            </w:pPr>
          </w:p>
        </w:tc>
        <w:tc>
          <w:tcPr>
            <w:tcW w:w="1537" w:type="dxa"/>
            <w:tcBorders>
              <w:top w:val="nil"/>
              <w:left w:val="single" w:sz="4" w:space="0" w:color="000000"/>
              <w:bottom w:val="single" w:sz="4" w:space="0" w:color="000000"/>
              <w:right w:val="nil"/>
            </w:tcBorders>
          </w:tcPr>
          <w:p>
            <w:pPr>
              <w:pStyle w:val="TableParagraph"/>
              <w:spacing w:before="33"/>
              <w:ind w:left="114"/>
              <w:rPr>
                <w:sz w:val="20"/>
              </w:rPr>
            </w:pPr>
            <w:r>
              <w:rPr>
                <w:spacing w:val="-2"/>
                <w:sz w:val="20"/>
              </w:rPr>
              <w:t>Expenditure</w:t>
            </w:r>
          </w:p>
        </w:tc>
        <w:tc>
          <w:tcPr>
            <w:tcW w:w="1347" w:type="dxa"/>
            <w:tcBorders>
              <w:top w:val="nil"/>
              <w:left w:val="nil"/>
              <w:bottom w:val="single" w:sz="4" w:space="0" w:color="000000"/>
              <w:right w:val="nil"/>
            </w:tcBorders>
          </w:tcPr>
          <w:p>
            <w:pPr>
              <w:pStyle w:val="TableParagraph"/>
              <w:spacing w:before="33"/>
              <w:ind w:right="146"/>
              <w:jc w:val="right"/>
              <w:rPr>
                <w:sz w:val="18"/>
              </w:rPr>
            </w:pPr>
            <w:r>
              <w:rPr>
                <w:spacing w:val="-2"/>
                <w:sz w:val="18"/>
              </w:rPr>
              <w:t>1,351</w:t>
            </w:r>
          </w:p>
        </w:tc>
        <w:tc>
          <w:tcPr>
            <w:tcW w:w="1216" w:type="dxa"/>
            <w:tcBorders>
              <w:top w:val="nil"/>
              <w:left w:val="nil"/>
              <w:bottom w:val="single" w:sz="4" w:space="0" w:color="000000"/>
              <w:right w:val="nil"/>
            </w:tcBorders>
          </w:tcPr>
          <w:p>
            <w:pPr>
              <w:pStyle w:val="TableParagraph"/>
              <w:spacing w:before="33"/>
              <w:ind w:right="90"/>
              <w:jc w:val="right"/>
              <w:rPr>
                <w:sz w:val="18"/>
              </w:rPr>
            </w:pPr>
            <w:r>
              <w:rPr>
                <w:spacing w:val="-2"/>
                <w:sz w:val="18"/>
              </w:rPr>
              <w:t>1,396</w:t>
            </w:r>
          </w:p>
        </w:tc>
        <w:tc>
          <w:tcPr>
            <w:tcW w:w="1234" w:type="dxa"/>
            <w:tcBorders>
              <w:top w:val="nil"/>
              <w:left w:val="nil"/>
              <w:bottom w:val="single" w:sz="4" w:space="0" w:color="000000"/>
              <w:right w:val="single" w:sz="12" w:space="0" w:color="000000"/>
            </w:tcBorders>
            <w:shd w:val="clear" w:color="auto" w:fill="BCD6ED"/>
          </w:tcPr>
          <w:p>
            <w:pPr>
              <w:pStyle w:val="TableParagraph"/>
              <w:spacing w:before="33"/>
              <w:ind w:right="76"/>
              <w:jc w:val="right"/>
              <w:rPr>
                <w:sz w:val="18"/>
              </w:rPr>
            </w:pPr>
            <w:r>
              <w:rPr>
                <w:spacing w:val="-2"/>
                <w:sz w:val="18"/>
              </w:rPr>
              <w:t>1,433</w:t>
            </w:r>
          </w:p>
        </w:tc>
      </w:tr>
      <w:tr>
        <w:trPr>
          <w:trHeight w:val="228" w:hRule="atLeast"/>
        </w:trPr>
        <w:tc>
          <w:tcPr>
            <w:tcW w:w="1553" w:type="dxa"/>
            <w:tcBorders>
              <w:top w:val="nil"/>
              <w:left w:val="single" w:sz="12" w:space="0" w:color="000000"/>
              <w:bottom w:val="nil"/>
              <w:right w:val="single" w:sz="4" w:space="0" w:color="000000"/>
            </w:tcBorders>
          </w:tcPr>
          <w:p>
            <w:pPr>
              <w:pStyle w:val="TableParagraph"/>
              <w:rPr>
                <w:rFonts w:ascii="Times New Roman"/>
                <w:sz w:val="16"/>
              </w:rPr>
            </w:pPr>
          </w:p>
        </w:tc>
        <w:tc>
          <w:tcPr>
            <w:tcW w:w="3540" w:type="dxa"/>
            <w:vMerge/>
            <w:tcBorders>
              <w:top w:val="nil"/>
              <w:left w:val="single" w:sz="4" w:space="0" w:color="000000"/>
              <w:bottom w:val="single" w:sz="4" w:space="0" w:color="000000"/>
              <w:right w:val="single" w:sz="4" w:space="0" w:color="000000"/>
            </w:tcBorders>
          </w:tcPr>
          <w:p>
            <w:pPr>
              <w:rPr>
                <w:sz w:val="2"/>
                <w:szCs w:val="2"/>
              </w:rPr>
            </w:pPr>
          </w:p>
        </w:tc>
        <w:tc>
          <w:tcPr>
            <w:tcW w:w="1537" w:type="dxa"/>
            <w:tcBorders>
              <w:top w:val="single" w:sz="4" w:space="0" w:color="000000"/>
              <w:left w:val="single" w:sz="4" w:space="0" w:color="000000"/>
              <w:bottom w:val="nil"/>
              <w:right w:val="nil"/>
            </w:tcBorders>
          </w:tcPr>
          <w:p>
            <w:pPr>
              <w:pStyle w:val="TableParagraph"/>
              <w:spacing w:line="208" w:lineRule="exact"/>
              <w:ind w:left="114"/>
              <w:rPr>
                <w:b/>
                <w:sz w:val="20"/>
              </w:rPr>
            </w:pPr>
            <w:r>
              <w:rPr>
                <w:b/>
                <w:sz w:val="20"/>
              </w:rPr>
              <w:t>Surplus</w:t>
            </w:r>
            <w:r>
              <w:rPr>
                <w:b/>
                <w:spacing w:val="-11"/>
                <w:sz w:val="20"/>
              </w:rPr>
              <w:t> </w:t>
            </w:r>
            <w:r>
              <w:rPr>
                <w:b/>
                <w:spacing w:val="-10"/>
                <w:sz w:val="20"/>
              </w:rPr>
              <w:t>/</w:t>
            </w:r>
          </w:p>
        </w:tc>
        <w:tc>
          <w:tcPr>
            <w:tcW w:w="1347" w:type="dxa"/>
            <w:tcBorders>
              <w:top w:val="single" w:sz="4" w:space="0" w:color="000000"/>
              <w:left w:val="nil"/>
              <w:bottom w:val="nil"/>
              <w:right w:val="nil"/>
            </w:tcBorders>
          </w:tcPr>
          <w:p>
            <w:pPr>
              <w:pStyle w:val="TableParagraph"/>
              <w:spacing w:line="206" w:lineRule="exact"/>
              <w:ind w:right="147"/>
              <w:jc w:val="right"/>
              <w:rPr>
                <w:b/>
                <w:sz w:val="18"/>
              </w:rPr>
            </w:pPr>
            <w:r>
              <w:rPr>
                <w:b/>
                <w:spacing w:val="-5"/>
                <w:sz w:val="18"/>
              </w:rPr>
              <w:t>65</w:t>
            </w:r>
          </w:p>
        </w:tc>
        <w:tc>
          <w:tcPr>
            <w:tcW w:w="1216" w:type="dxa"/>
            <w:tcBorders>
              <w:top w:val="single" w:sz="4" w:space="0" w:color="000000"/>
              <w:left w:val="nil"/>
              <w:bottom w:val="nil"/>
              <w:right w:val="nil"/>
            </w:tcBorders>
          </w:tcPr>
          <w:p>
            <w:pPr>
              <w:pStyle w:val="TableParagraph"/>
              <w:spacing w:line="206" w:lineRule="exact"/>
              <w:ind w:right="92"/>
              <w:jc w:val="right"/>
              <w:rPr>
                <w:b/>
                <w:sz w:val="18"/>
              </w:rPr>
            </w:pPr>
            <w:r>
              <w:rPr>
                <w:b/>
                <w:spacing w:val="-5"/>
                <w:sz w:val="18"/>
              </w:rPr>
              <w:t>129</w:t>
            </w:r>
          </w:p>
        </w:tc>
        <w:tc>
          <w:tcPr>
            <w:tcW w:w="1234" w:type="dxa"/>
            <w:tcBorders>
              <w:top w:val="single" w:sz="4" w:space="0" w:color="000000"/>
              <w:left w:val="nil"/>
              <w:bottom w:val="nil"/>
              <w:right w:val="single" w:sz="12" w:space="0" w:color="000000"/>
            </w:tcBorders>
            <w:shd w:val="clear" w:color="auto" w:fill="BCD6ED"/>
          </w:tcPr>
          <w:p>
            <w:pPr>
              <w:pStyle w:val="TableParagraph"/>
              <w:spacing w:line="206" w:lineRule="exact"/>
              <w:ind w:right="77"/>
              <w:jc w:val="right"/>
              <w:rPr>
                <w:b/>
                <w:sz w:val="18"/>
              </w:rPr>
            </w:pPr>
            <w:r>
              <w:rPr>
                <w:b/>
                <w:spacing w:val="-5"/>
                <w:sz w:val="18"/>
              </w:rPr>
              <w:t>116</w:t>
            </w:r>
          </w:p>
        </w:tc>
      </w:tr>
      <w:tr>
        <w:trPr>
          <w:trHeight w:val="222" w:hRule="atLeast"/>
        </w:trPr>
        <w:tc>
          <w:tcPr>
            <w:tcW w:w="1553" w:type="dxa"/>
            <w:tcBorders>
              <w:top w:val="nil"/>
              <w:left w:val="single" w:sz="12" w:space="0" w:color="000000"/>
              <w:bottom w:val="nil"/>
              <w:right w:val="single" w:sz="4" w:space="0" w:color="000000"/>
            </w:tcBorders>
          </w:tcPr>
          <w:p>
            <w:pPr>
              <w:pStyle w:val="TableParagraph"/>
              <w:rPr>
                <w:rFonts w:ascii="Times New Roman"/>
                <w:sz w:val="14"/>
              </w:rPr>
            </w:pPr>
          </w:p>
        </w:tc>
        <w:tc>
          <w:tcPr>
            <w:tcW w:w="3540" w:type="dxa"/>
            <w:vMerge/>
            <w:tcBorders>
              <w:top w:val="nil"/>
              <w:left w:val="single" w:sz="4" w:space="0" w:color="000000"/>
              <w:bottom w:val="single" w:sz="4" w:space="0" w:color="000000"/>
              <w:right w:val="single" w:sz="4" w:space="0" w:color="000000"/>
            </w:tcBorders>
          </w:tcPr>
          <w:p>
            <w:pPr>
              <w:rPr>
                <w:sz w:val="2"/>
                <w:szCs w:val="2"/>
              </w:rPr>
            </w:pPr>
          </w:p>
        </w:tc>
        <w:tc>
          <w:tcPr>
            <w:tcW w:w="1537" w:type="dxa"/>
            <w:tcBorders>
              <w:top w:val="nil"/>
              <w:left w:val="single" w:sz="4" w:space="0" w:color="000000"/>
              <w:bottom w:val="single" w:sz="4" w:space="0" w:color="000000"/>
              <w:right w:val="nil"/>
            </w:tcBorders>
          </w:tcPr>
          <w:p>
            <w:pPr>
              <w:pStyle w:val="TableParagraph"/>
              <w:spacing w:line="202" w:lineRule="exact"/>
              <w:ind w:left="114"/>
              <w:rPr>
                <w:b/>
                <w:sz w:val="20"/>
              </w:rPr>
            </w:pPr>
            <w:r>
              <w:rPr>
                <w:b/>
                <w:spacing w:val="-2"/>
                <w:sz w:val="20"/>
              </w:rPr>
              <w:t>(deficit)</w:t>
            </w:r>
          </w:p>
        </w:tc>
        <w:tc>
          <w:tcPr>
            <w:tcW w:w="1347" w:type="dxa"/>
            <w:tcBorders>
              <w:top w:val="nil"/>
              <w:left w:val="nil"/>
              <w:bottom w:val="single" w:sz="4" w:space="0" w:color="000000"/>
              <w:right w:val="nil"/>
            </w:tcBorders>
          </w:tcPr>
          <w:p>
            <w:pPr>
              <w:pStyle w:val="TableParagraph"/>
              <w:rPr>
                <w:rFonts w:ascii="Times New Roman"/>
                <w:sz w:val="14"/>
              </w:rPr>
            </w:pPr>
          </w:p>
        </w:tc>
        <w:tc>
          <w:tcPr>
            <w:tcW w:w="1216" w:type="dxa"/>
            <w:tcBorders>
              <w:top w:val="nil"/>
              <w:left w:val="nil"/>
              <w:bottom w:val="single" w:sz="4" w:space="0" w:color="000000"/>
              <w:right w:val="nil"/>
            </w:tcBorders>
          </w:tcPr>
          <w:p>
            <w:pPr>
              <w:pStyle w:val="TableParagraph"/>
              <w:rPr>
                <w:rFonts w:ascii="Times New Roman"/>
                <w:sz w:val="14"/>
              </w:rPr>
            </w:pPr>
          </w:p>
        </w:tc>
        <w:tc>
          <w:tcPr>
            <w:tcW w:w="1234" w:type="dxa"/>
            <w:tcBorders>
              <w:top w:val="nil"/>
              <w:left w:val="nil"/>
              <w:bottom w:val="single" w:sz="4" w:space="0" w:color="000000"/>
              <w:right w:val="single" w:sz="12" w:space="0" w:color="000000"/>
            </w:tcBorders>
            <w:shd w:val="clear" w:color="auto" w:fill="BCD6ED"/>
          </w:tcPr>
          <w:p>
            <w:pPr>
              <w:pStyle w:val="TableParagraph"/>
              <w:rPr>
                <w:rFonts w:ascii="Times New Roman"/>
                <w:sz w:val="14"/>
              </w:rPr>
            </w:pPr>
          </w:p>
        </w:tc>
      </w:tr>
      <w:tr>
        <w:trPr>
          <w:trHeight w:val="969" w:hRule="atLeast"/>
        </w:trPr>
        <w:tc>
          <w:tcPr>
            <w:tcW w:w="1553" w:type="dxa"/>
            <w:tcBorders>
              <w:top w:val="nil"/>
              <w:left w:val="single" w:sz="12" w:space="0" w:color="000000"/>
              <w:bottom w:val="single" w:sz="4" w:space="0" w:color="000000"/>
              <w:right w:val="single" w:sz="4" w:space="0" w:color="000000"/>
            </w:tcBorders>
          </w:tcPr>
          <w:p>
            <w:pPr>
              <w:pStyle w:val="TableParagraph"/>
              <w:rPr>
                <w:rFonts w:ascii="Times New Roman"/>
                <w:sz w:val="20"/>
              </w:rPr>
            </w:pPr>
          </w:p>
        </w:tc>
        <w:tc>
          <w:tcPr>
            <w:tcW w:w="3540" w:type="dxa"/>
            <w:vMerge/>
            <w:tcBorders>
              <w:top w:val="nil"/>
              <w:left w:val="single" w:sz="4" w:space="0" w:color="000000"/>
              <w:bottom w:val="single" w:sz="4" w:space="0" w:color="000000"/>
              <w:right w:val="single" w:sz="4" w:space="0" w:color="000000"/>
            </w:tcBorders>
          </w:tcPr>
          <w:p>
            <w:pPr>
              <w:rPr>
                <w:sz w:val="2"/>
                <w:szCs w:val="2"/>
              </w:rPr>
            </w:pPr>
          </w:p>
        </w:tc>
        <w:tc>
          <w:tcPr>
            <w:tcW w:w="5334" w:type="dxa"/>
            <w:gridSpan w:val="4"/>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20"/>
              </w:rPr>
            </w:pPr>
          </w:p>
        </w:tc>
      </w:tr>
      <w:tr>
        <w:trPr>
          <w:trHeight w:val="606" w:hRule="atLeast"/>
        </w:trPr>
        <w:tc>
          <w:tcPr>
            <w:tcW w:w="1553" w:type="dxa"/>
            <w:vMerge w:val="restart"/>
            <w:tcBorders>
              <w:top w:val="single" w:sz="4" w:space="0" w:color="000000"/>
              <w:left w:val="single" w:sz="12" w:space="0" w:color="000000"/>
              <w:bottom w:val="nil"/>
              <w:right w:val="single" w:sz="4" w:space="0" w:color="000000"/>
            </w:tcBorders>
          </w:tcPr>
          <w:p>
            <w:pPr>
              <w:pStyle w:val="TableParagraph"/>
              <w:ind w:left="107"/>
              <w:rPr>
                <w:sz w:val="20"/>
              </w:rPr>
            </w:pPr>
            <w:r>
              <w:rPr>
                <w:sz w:val="20"/>
              </w:rPr>
              <w:t>Youth</w:t>
            </w:r>
            <w:r>
              <w:rPr>
                <w:spacing w:val="-14"/>
                <w:sz w:val="20"/>
              </w:rPr>
              <w:t> </w:t>
            </w:r>
            <w:r>
              <w:rPr>
                <w:sz w:val="20"/>
              </w:rPr>
              <w:t>and </w:t>
            </w:r>
            <w:r>
              <w:rPr>
                <w:spacing w:val="-2"/>
                <w:sz w:val="20"/>
              </w:rPr>
              <w:t>Children services</w:t>
            </w:r>
          </w:p>
        </w:tc>
        <w:tc>
          <w:tcPr>
            <w:tcW w:w="3540" w:type="dxa"/>
            <w:vMerge w:val="restart"/>
            <w:tcBorders>
              <w:top w:val="single" w:sz="4" w:space="0" w:color="000000"/>
              <w:left w:val="single" w:sz="4" w:space="0" w:color="000000"/>
              <w:bottom w:val="single" w:sz="12" w:space="0" w:color="000000"/>
              <w:right w:val="single" w:sz="4" w:space="0" w:color="000000"/>
            </w:tcBorders>
          </w:tcPr>
          <w:p>
            <w:pPr>
              <w:pStyle w:val="TableParagraph"/>
              <w:numPr>
                <w:ilvl w:val="0"/>
                <w:numId w:val="23"/>
              </w:numPr>
              <w:tabs>
                <w:tab w:pos="429" w:val="left" w:leader="none"/>
                <w:tab w:pos="430" w:val="left" w:leader="none"/>
              </w:tabs>
              <w:spacing w:line="245" w:lineRule="exact" w:before="0" w:after="0"/>
              <w:ind w:left="429" w:right="0" w:hanging="313"/>
              <w:jc w:val="left"/>
              <w:rPr>
                <w:sz w:val="20"/>
              </w:rPr>
            </w:pPr>
            <w:r>
              <w:rPr>
                <w:sz w:val="20"/>
              </w:rPr>
              <w:t>Child</w:t>
            </w:r>
            <w:r>
              <w:rPr>
                <w:spacing w:val="-8"/>
                <w:sz w:val="20"/>
              </w:rPr>
              <w:t> </w:t>
            </w:r>
            <w:r>
              <w:rPr>
                <w:sz w:val="20"/>
              </w:rPr>
              <w:t>safety</w:t>
            </w:r>
            <w:r>
              <w:rPr>
                <w:spacing w:val="-4"/>
                <w:sz w:val="20"/>
              </w:rPr>
              <w:t> lead</w:t>
            </w:r>
          </w:p>
          <w:p>
            <w:pPr>
              <w:pStyle w:val="TableParagraph"/>
              <w:numPr>
                <w:ilvl w:val="0"/>
                <w:numId w:val="23"/>
              </w:numPr>
              <w:tabs>
                <w:tab w:pos="429" w:val="left" w:leader="none"/>
                <w:tab w:pos="430" w:val="left" w:leader="none"/>
              </w:tabs>
              <w:spacing w:line="244" w:lineRule="exact" w:before="0" w:after="0"/>
              <w:ind w:left="429" w:right="0" w:hanging="313"/>
              <w:jc w:val="left"/>
              <w:rPr>
                <w:sz w:val="20"/>
              </w:rPr>
            </w:pPr>
            <w:r>
              <w:rPr>
                <w:sz w:val="20"/>
              </w:rPr>
              <w:t>Maroondah</w:t>
            </w:r>
            <w:r>
              <w:rPr>
                <w:spacing w:val="-12"/>
                <w:sz w:val="20"/>
              </w:rPr>
              <w:t> </w:t>
            </w:r>
            <w:r>
              <w:rPr>
                <w:sz w:val="20"/>
              </w:rPr>
              <w:t>Occasional</w:t>
            </w:r>
            <w:r>
              <w:rPr>
                <w:spacing w:val="-11"/>
                <w:sz w:val="20"/>
              </w:rPr>
              <w:t> </w:t>
            </w:r>
            <w:r>
              <w:rPr>
                <w:spacing w:val="-4"/>
                <w:sz w:val="20"/>
              </w:rPr>
              <w:t>Care</w:t>
            </w:r>
          </w:p>
          <w:p>
            <w:pPr>
              <w:pStyle w:val="TableParagraph"/>
              <w:numPr>
                <w:ilvl w:val="0"/>
                <w:numId w:val="23"/>
              </w:numPr>
              <w:tabs>
                <w:tab w:pos="429" w:val="left" w:leader="none"/>
                <w:tab w:pos="430" w:val="left" w:leader="none"/>
              </w:tabs>
              <w:spacing w:line="240" w:lineRule="auto" w:before="0" w:after="0"/>
              <w:ind w:left="429" w:right="366" w:hanging="312"/>
              <w:jc w:val="left"/>
              <w:rPr>
                <w:sz w:val="20"/>
              </w:rPr>
            </w:pPr>
            <w:r>
              <w:rPr>
                <w:sz w:val="20"/>
              </w:rPr>
              <w:t>Children</w:t>
            </w:r>
            <w:r>
              <w:rPr>
                <w:spacing w:val="-12"/>
                <w:sz w:val="20"/>
              </w:rPr>
              <w:t> </w:t>
            </w:r>
            <w:r>
              <w:rPr>
                <w:sz w:val="20"/>
              </w:rPr>
              <w:t>and</w:t>
            </w:r>
            <w:r>
              <w:rPr>
                <w:spacing w:val="-14"/>
                <w:sz w:val="20"/>
              </w:rPr>
              <w:t> </w:t>
            </w:r>
            <w:r>
              <w:rPr>
                <w:sz w:val="20"/>
              </w:rPr>
              <w:t>family</w:t>
            </w:r>
            <w:r>
              <w:rPr>
                <w:spacing w:val="-14"/>
                <w:sz w:val="20"/>
              </w:rPr>
              <w:t> </w:t>
            </w:r>
            <w:r>
              <w:rPr>
                <w:sz w:val="20"/>
              </w:rPr>
              <w:t>community </w:t>
            </w:r>
            <w:r>
              <w:rPr>
                <w:spacing w:val="-2"/>
                <w:sz w:val="20"/>
              </w:rPr>
              <w:t>events</w:t>
            </w:r>
          </w:p>
          <w:p>
            <w:pPr>
              <w:pStyle w:val="TableParagraph"/>
              <w:numPr>
                <w:ilvl w:val="0"/>
                <w:numId w:val="23"/>
              </w:numPr>
              <w:tabs>
                <w:tab w:pos="429" w:val="left" w:leader="none"/>
                <w:tab w:pos="430" w:val="left" w:leader="none"/>
              </w:tabs>
              <w:spacing w:line="235" w:lineRule="auto" w:before="3" w:after="0"/>
              <w:ind w:left="429" w:right="812" w:hanging="312"/>
              <w:jc w:val="left"/>
              <w:rPr>
                <w:sz w:val="20"/>
              </w:rPr>
            </w:pPr>
            <w:r>
              <w:rPr>
                <w:sz w:val="20"/>
              </w:rPr>
              <w:t>Children’s</w:t>
            </w:r>
            <w:r>
              <w:rPr>
                <w:spacing w:val="-14"/>
                <w:sz w:val="20"/>
              </w:rPr>
              <w:t> </w:t>
            </w:r>
            <w:r>
              <w:rPr>
                <w:sz w:val="20"/>
              </w:rPr>
              <w:t>services</w:t>
            </w:r>
            <w:r>
              <w:rPr>
                <w:spacing w:val="-14"/>
                <w:sz w:val="20"/>
              </w:rPr>
              <w:t> </w:t>
            </w:r>
            <w:r>
              <w:rPr>
                <w:sz w:val="20"/>
              </w:rPr>
              <w:t>facility </w:t>
            </w:r>
            <w:r>
              <w:rPr>
                <w:spacing w:val="-2"/>
                <w:sz w:val="20"/>
              </w:rPr>
              <w:t>management</w:t>
            </w:r>
          </w:p>
          <w:p>
            <w:pPr>
              <w:pStyle w:val="TableParagraph"/>
              <w:numPr>
                <w:ilvl w:val="0"/>
                <w:numId w:val="23"/>
              </w:numPr>
              <w:tabs>
                <w:tab w:pos="429" w:val="left" w:leader="none"/>
                <w:tab w:pos="430" w:val="left" w:leader="none"/>
              </w:tabs>
              <w:spacing w:line="244" w:lineRule="exact" w:before="3" w:after="0"/>
              <w:ind w:left="429" w:right="0" w:hanging="313"/>
              <w:jc w:val="left"/>
              <w:rPr>
                <w:sz w:val="20"/>
              </w:rPr>
            </w:pPr>
            <w:r>
              <w:rPr>
                <w:spacing w:val="-2"/>
                <w:sz w:val="20"/>
              </w:rPr>
              <w:t>Kindergarten</w:t>
            </w:r>
            <w:r>
              <w:rPr>
                <w:spacing w:val="9"/>
                <w:sz w:val="20"/>
              </w:rPr>
              <w:t> </w:t>
            </w:r>
            <w:r>
              <w:rPr>
                <w:spacing w:val="-2"/>
                <w:sz w:val="20"/>
              </w:rPr>
              <w:t>support</w:t>
            </w:r>
          </w:p>
          <w:p>
            <w:pPr>
              <w:pStyle w:val="TableParagraph"/>
              <w:numPr>
                <w:ilvl w:val="0"/>
                <w:numId w:val="23"/>
              </w:numPr>
              <w:tabs>
                <w:tab w:pos="429" w:val="left" w:leader="none"/>
                <w:tab w:pos="430" w:val="left" w:leader="none"/>
              </w:tabs>
              <w:spacing w:line="240" w:lineRule="auto" w:before="0" w:after="0"/>
              <w:ind w:left="429" w:right="353" w:hanging="312"/>
              <w:jc w:val="left"/>
              <w:rPr>
                <w:sz w:val="20"/>
              </w:rPr>
            </w:pPr>
            <w:r>
              <w:rPr>
                <w:sz w:val="20"/>
              </w:rPr>
              <w:t>Early childhood sector professional</w:t>
            </w:r>
            <w:r>
              <w:rPr>
                <w:spacing w:val="-14"/>
                <w:sz w:val="20"/>
              </w:rPr>
              <w:t> </w:t>
            </w:r>
            <w:r>
              <w:rPr>
                <w:sz w:val="20"/>
              </w:rPr>
              <w:t>learning</w:t>
            </w:r>
            <w:r>
              <w:rPr>
                <w:spacing w:val="-14"/>
                <w:sz w:val="20"/>
              </w:rPr>
              <w:t> </w:t>
            </w:r>
            <w:r>
              <w:rPr>
                <w:sz w:val="20"/>
              </w:rPr>
              <w:t>programs</w:t>
            </w:r>
          </w:p>
          <w:p>
            <w:pPr>
              <w:pStyle w:val="TableParagraph"/>
              <w:numPr>
                <w:ilvl w:val="0"/>
                <w:numId w:val="23"/>
              </w:numPr>
              <w:tabs>
                <w:tab w:pos="429" w:val="left" w:leader="none"/>
                <w:tab w:pos="430" w:val="left" w:leader="none"/>
              </w:tabs>
              <w:spacing w:line="237" w:lineRule="auto" w:before="1" w:after="0"/>
              <w:ind w:left="429" w:right="145" w:hanging="312"/>
              <w:jc w:val="left"/>
              <w:rPr>
                <w:sz w:val="20"/>
              </w:rPr>
            </w:pPr>
            <w:r>
              <w:rPr>
                <w:sz w:val="20"/>
              </w:rPr>
              <w:t>Outreach</w:t>
            </w:r>
            <w:r>
              <w:rPr>
                <w:spacing w:val="-12"/>
                <w:sz w:val="20"/>
              </w:rPr>
              <w:t> </w:t>
            </w:r>
            <w:r>
              <w:rPr>
                <w:sz w:val="20"/>
              </w:rPr>
              <w:t>and</w:t>
            </w:r>
            <w:r>
              <w:rPr>
                <w:spacing w:val="-12"/>
                <w:sz w:val="20"/>
              </w:rPr>
              <w:t> </w:t>
            </w:r>
            <w:r>
              <w:rPr>
                <w:sz w:val="20"/>
              </w:rPr>
              <w:t>support</w:t>
            </w:r>
            <w:r>
              <w:rPr>
                <w:spacing w:val="-11"/>
                <w:sz w:val="20"/>
              </w:rPr>
              <w:t> </w:t>
            </w:r>
            <w:r>
              <w:rPr>
                <w:sz w:val="20"/>
              </w:rPr>
              <w:t>for</w:t>
            </w:r>
            <w:r>
              <w:rPr>
                <w:spacing w:val="-9"/>
                <w:sz w:val="20"/>
              </w:rPr>
              <w:t> </w:t>
            </w:r>
            <w:r>
              <w:rPr>
                <w:sz w:val="20"/>
              </w:rPr>
              <w:t>families that have recently arrived in Australia to enrol and participate in early childhood education.</w:t>
            </w:r>
          </w:p>
          <w:p>
            <w:pPr>
              <w:pStyle w:val="TableParagraph"/>
              <w:numPr>
                <w:ilvl w:val="0"/>
                <w:numId w:val="23"/>
              </w:numPr>
              <w:tabs>
                <w:tab w:pos="429" w:val="left" w:leader="none"/>
                <w:tab w:pos="430" w:val="left" w:leader="none"/>
              </w:tabs>
              <w:spacing w:line="240" w:lineRule="auto" w:before="4" w:after="0"/>
              <w:ind w:left="429" w:right="367" w:hanging="312"/>
              <w:jc w:val="left"/>
              <w:rPr>
                <w:sz w:val="20"/>
              </w:rPr>
            </w:pPr>
            <w:r>
              <w:rPr>
                <w:sz w:val="20"/>
              </w:rPr>
              <w:t>Parenting</w:t>
            </w:r>
            <w:r>
              <w:rPr>
                <w:spacing w:val="-14"/>
                <w:sz w:val="20"/>
              </w:rPr>
              <w:t> </w:t>
            </w:r>
            <w:r>
              <w:rPr>
                <w:sz w:val="20"/>
              </w:rPr>
              <w:t>information</w:t>
            </w:r>
            <w:r>
              <w:rPr>
                <w:spacing w:val="-14"/>
                <w:sz w:val="20"/>
              </w:rPr>
              <w:t> </w:t>
            </w:r>
            <w:r>
              <w:rPr>
                <w:sz w:val="20"/>
              </w:rPr>
              <w:t>sessions and resources</w:t>
            </w:r>
          </w:p>
          <w:p>
            <w:pPr>
              <w:pStyle w:val="TableParagraph"/>
              <w:numPr>
                <w:ilvl w:val="0"/>
                <w:numId w:val="23"/>
              </w:numPr>
              <w:tabs>
                <w:tab w:pos="429" w:val="left" w:leader="none"/>
                <w:tab w:pos="430" w:val="left" w:leader="none"/>
              </w:tabs>
              <w:spacing w:line="235" w:lineRule="auto" w:before="4" w:after="0"/>
              <w:ind w:left="429" w:right="722" w:hanging="312"/>
              <w:jc w:val="left"/>
              <w:rPr>
                <w:sz w:val="20"/>
              </w:rPr>
            </w:pPr>
            <w:r>
              <w:rPr>
                <w:sz w:val="20"/>
              </w:rPr>
              <w:t>Youth</w:t>
            </w:r>
            <w:r>
              <w:rPr>
                <w:spacing w:val="-14"/>
                <w:sz w:val="20"/>
              </w:rPr>
              <w:t> </w:t>
            </w:r>
            <w:r>
              <w:rPr>
                <w:sz w:val="20"/>
              </w:rPr>
              <w:t>centre</w:t>
            </w:r>
            <w:r>
              <w:rPr>
                <w:spacing w:val="-14"/>
                <w:sz w:val="20"/>
              </w:rPr>
              <w:t> </w:t>
            </w:r>
            <w:r>
              <w:rPr>
                <w:sz w:val="20"/>
              </w:rPr>
              <w:t>provision</w:t>
            </w:r>
            <w:r>
              <w:rPr>
                <w:spacing w:val="-13"/>
                <w:sz w:val="20"/>
              </w:rPr>
              <w:t> </w:t>
            </w:r>
            <w:r>
              <w:rPr>
                <w:sz w:val="20"/>
              </w:rPr>
              <w:t>and </w:t>
            </w:r>
            <w:r>
              <w:rPr>
                <w:spacing w:val="-2"/>
                <w:sz w:val="20"/>
              </w:rPr>
              <w:t>coordination</w:t>
            </w:r>
          </w:p>
          <w:p>
            <w:pPr>
              <w:pStyle w:val="TableParagraph"/>
              <w:numPr>
                <w:ilvl w:val="0"/>
                <w:numId w:val="23"/>
              </w:numPr>
              <w:tabs>
                <w:tab w:pos="429" w:val="left" w:leader="none"/>
                <w:tab w:pos="430" w:val="left" w:leader="none"/>
              </w:tabs>
              <w:spacing w:line="235" w:lineRule="auto" w:before="7" w:after="0"/>
              <w:ind w:left="429" w:right="110" w:hanging="312"/>
              <w:jc w:val="left"/>
              <w:rPr>
                <w:sz w:val="20"/>
              </w:rPr>
            </w:pPr>
            <w:r>
              <w:rPr>
                <w:sz w:val="20"/>
              </w:rPr>
              <w:t>Youth</w:t>
            </w:r>
            <w:r>
              <w:rPr>
                <w:spacing w:val="-13"/>
                <w:sz w:val="20"/>
              </w:rPr>
              <w:t> </w:t>
            </w:r>
            <w:r>
              <w:rPr>
                <w:sz w:val="20"/>
              </w:rPr>
              <w:t>programs,</w:t>
            </w:r>
            <w:r>
              <w:rPr>
                <w:spacing w:val="-14"/>
                <w:sz w:val="20"/>
              </w:rPr>
              <w:t> </w:t>
            </w:r>
            <w:r>
              <w:rPr>
                <w:sz w:val="20"/>
              </w:rPr>
              <w:t>support</w:t>
            </w:r>
            <w:r>
              <w:rPr>
                <w:spacing w:val="-13"/>
                <w:sz w:val="20"/>
              </w:rPr>
              <w:t> </w:t>
            </w:r>
            <w:r>
              <w:rPr>
                <w:sz w:val="20"/>
              </w:rPr>
              <w:t>services and events</w:t>
            </w:r>
          </w:p>
          <w:p>
            <w:pPr>
              <w:pStyle w:val="TableParagraph"/>
              <w:numPr>
                <w:ilvl w:val="0"/>
                <w:numId w:val="23"/>
              </w:numPr>
              <w:tabs>
                <w:tab w:pos="429" w:val="left" w:leader="none"/>
                <w:tab w:pos="430" w:val="left" w:leader="none"/>
              </w:tabs>
              <w:spacing w:line="240" w:lineRule="auto" w:before="3" w:after="0"/>
              <w:ind w:left="429" w:right="233" w:hanging="312"/>
              <w:jc w:val="left"/>
              <w:rPr>
                <w:sz w:val="20"/>
              </w:rPr>
            </w:pPr>
            <w:r>
              <w:rPr>
                <w:sz w:val="20"/>
              </w:rPr>
              <w:t>Student</w:t>
            </w:r>
            <w:r>
              <w:rPr>
                <w:spacing w:val="-13"/>
                <w:sz w:val="20"/>
              </w:rPr>
              <w:t> </w:t>
            </w:r>
            <w:r>
              <w:rPr>
                <w:sz w:val="20"/>
              </w:rPr>
              <w:t>wellbeing</w:t>
            </w:r>
            <w:r>
              <w:rPr>
                <w:spacing w:val="-14"/>
                <w:sz w:val="20"/>
              </w:rPr>
              <w:t> </w:t>
            </w:r>
            <w:r>
              <w:rPr>
                <w:sz w:val="20"/>
              </w:rPr>
              <w:t>programs</w:t>
            </w:r>
            <w:r>
              <w:rPr>
                <w:spacing w:val="-14"/>
                <w:sz w:val="20"/>
              </w:rPr>
              <w:t> </w:t>
            </w:r>
            <w:r>
              <w:rPr>
                <w:sz w:val="20"/>
              </w:rPr>
              <w:t>and </w:t>
            </w:r>
            <w:r>
              <w:rPr>
                <w:spacing w:val="-2"/>
                <w:sz w:val="20"/>
              </w:rPr>
              <w:t>partnerships</w:t>
            </w:r>
          </w:p>
          <w:p>
            <w:pPr>
              <w:pStyle w:val="TableParagraph"/>
              <w:numPr>
                <w:ilvl w:val="0"/>
                <w:numId w:val="23"/>
              </w:numPr>
              <w:tabs>
                <w:tab w:pos="429" w:val="left" w:leader="none"/>
                <w:tab w:pos="430" w:val="left" w:leader="none"/>
              </w:tabs>
              <w:spacing w:line="235" w:lineRule="auto" w:before="5" w:after="0"/>
              <w:ind w:left="429" w:right="800" w:hanging="312"/>
              <w:jc w:val="left"/>
              <w:rPr>
                <w:sz w:val="20"/>
              </w:rPr>
            </w:pPr>
            <w:r>
              <w:rPr>
                <w:sz w:val="20"/>
              </w:rPr>
              <w:t>Professional</w:t>
            </w:r>
            <w:r>
              <w:rPr>
                <w:spacing w:val="-14"/>
                <w:sz w:val="20"/>
              </w:rPr>
              <w:t> </w:t>
            </w:r>
            <w:r>
              <w:rPr>
                <w:sz w:val="20"/>
              </w:rPr>
              <w:t>youth</w:t>
            </w:r>
            <w:r>
              <w:rPr>
                <w:spacing w:val="-14"/>
                <w:sz w:val="20"/>
              </w:rPr>
              <w:t> </w:t>
            </w:r>
            <w:r>
              <w:rPr>
                <w:sz w:val="20"/>
              </w:rPr>
              <w:t>worker</w:t>
            </w:r>
            <w:r>
              <w:rPr>
                <w:sz w:val="20"/>
              </w:rPr>
              <w:t> </w:t>
            </w:r>
            <w:r>
              <w:rPr>
                <w:spacing w:val="-2"/>
                <w:sz w:val="20"/>
              </w:rPr>
              <w:t>networks</w:t>
            </w:r>
          </w:p>
          <w:p>
            <w:pPr>
              <w:pStyle w:val="TableParagraph"/>
              <w:numPr>
                <w:ilvl w:val="0"/>
                <w:numId w:val="23"/>
              </w:numPr>
              <w:tabs>
                <w:tab w:pos="430" w:val="left" w:leader="none"/>
              </w:tabs>
              <w:spacing w:line="237" w:lineRule="auto" w:before="5" w:after="0"/>
              <w:ind w:left="429" w:right="466" w:hanging="312"/>
              <w:jc w:val="both"/>
              <w:rPr>
                <w:sz w:val="20"/>
              </w:rPr>
            </w:pPr>
            <w:r>
              <w:rPr>
                <w:sz w:val="20"/>
              </w:rPr>
              <w:t>Positive</w:t>
            </w:r>
            <w:r>
              <w:rPr>
                <w:spacing w:val="-14"/>
                <w:sz w:val="20"/>
              </w:rPr>
              <w:t> </w:t>
            </w:r>
            <w:r>
              <w:rPr>
                <w:sz w:val="20"/>
              </w:rPr>
              <w:t>Education</w:t>
            </w:r>
            <w:r>
              <w:rPr>
                <w:spacing w:val="-14"/>
                <w:sz w:val="20"/>
              </w:rPr>
              <w:t> </w:t>
            </w:r>
            <w:r>
              <w:rPr>
                <w:sz w:val="20"/>
              </w:rPr>
              <w:t>supporting student and staff wellbeing in local schools</w:t>
            </w:r>
          </w:p>
        </w:tc>
        <w:tc>
          <w:tcPr>
            <w:tcW w:w="1537" w:type="dxa"/>
            <w:tcBorders>
              <w:top w:val="single" w:sz="4" w:space="0" w:color="000000"/>
              <w:left w:val="single" w:sz="4" w:space="0" w:color="000000"/>
              <w:bottom w:val="single" w:sz="4" w:space="0" w:color="000000"/>
              <w:right w:val="nil"/>
            </w:tcBorders>
          </w:tcPr>
          <w:p>
            <w:pPr>
              <w:pStyle w:val="TableParagraph"/>
              <w:spacing w:line="229" w:lineRule="exact"/>
              <w:ind w:left="114"/>
              <w:rPr>
                <w:sz w:val="20"/>
              </w:rPr>
            </w:pPr>
            <w:r>
              <w:rPr>
                <w:spacing w:val="-2"/>
                <w:sz w:val="20"/>
              </w:rPr>
              <w:t>Income</w:t>
            </w:r>
          </w:p>
          <w:p>
            <w:pPr>
              <w:pStyle w:val="TableParagraph"/>
              <w:spacing w:before="84"/>
              <w:ind w:left="114"/>
              <w:rPr>
                <w:sz w:val="20"/>
              </w:rPr>
            </w:pPr>
            <w:r>
              <w:rPr>
                <w:spacing w:val="-2"/>
                <w:sz w:val="20"/>
              </w:rPr>
              <w:t>Expenditure</w:t>
            </w:r>
          </w:p>
        </w:tc>
        <w:tc>
          <w:tcPr>
            <w:tcW w:w="1347" w:type="dxa"/>
            <w:tcBorders>
              <w:top w:val="single" w:sz="4" w:space="0" w:color="000000"/>
              <w:left w:val="nil"/>
              <w:bottom w:val="single" w:sz="4" w:space="0" w:color="000000"/>
              <w:right w:val="nil"/>
            </w:tcBorders>
          </w:tcPr>
          <w:p>
            <w:pPr>
              <w:pStyle w:val="TableParagraph"/>
              <w:spacing w:line="206" w:lineRule="exact"/>
              <w:ind w:left="745"/>
              <w:rPr>
                <w:sz w:val="18"/>
              </w:rPr>
            </w:pPr>
            <w:r>
              <w:rPr>
                <w:spacing w:val="-2"/>
                <w:sz w:val="18"/>
              </w:rPr>
              <w:t>1,015</w:t>
            </w:r>
          </w:p>
          <w:p>
            <w:pPr>
              <w:pStyle w:val="TableParagraph"/>
              <w:spacing w:before="107"/>
              <w:ind w:left="745"/>
              <w:rPr>
                <w:sz w:val="18"/>
              </w:rPr>
            </w:pPr>
            <w:r>
              <w:rPr>
                <w:spacing w:val="-2"/>
                <w:sz w:val="18"/>
              </w:rPr>
              <w:t>2,935</w:t>
            </w:r>
          </w:p>
        </w:tc>
        <w:tc>
          <w:tcPr>
            <w:tcW w:w="1216" w:type="dxa"/>
            <w:tcBorders>
              <w:top w:val="single" w:sz="4" w:space="0" w:color="000000"/>
              <w:left w:val="nil"/>
              <w:bottom w:val="single" w:sz="4" w:space="0" w:color="000000"/>
              <w:right w:val="nil"/>
            </w:tcBorders>
          </w:tcPr>
          <w:p>
            <w:pPr>
              <w:pStyle w:val="TableParagraph"/>
              <w:spacing w:line="206" w:lineRule="exact"/>
              <w:ind w:left="670"/>
              <w:rPr>
                <w:sz w:val="18"/>
              </w:rPr>
            </w:pPr>
            <w:r>
              <w:rPr>
                <w:spacing w:val="-2"/>
                <w:sz w:val="18"/>
              </w:rPr>
              <w:t>1,185</w:t>
            </w:r>
          </w:p>
          <w:p>
            <w:pPr>
              <w:pStyle w:val="TableParagraph"/>
              <w:spacing w:before="107"/>
              <w:ind w:left="670"/>
              <w:rPr>
                <w:sz w:val="18"/>
              </w:rPr>
            </w:pPr>
            <w:r>
              <w:rPr>
                <w:spacing w:val="-2"/>
                <w:sz w:val="18"/>
              </w:rPr>
              <w:t>3,240</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line="206" w:lineRule="exact"/>
              <w:ind w:right="77"/>
              <w:jc w:val="right"/>
              <w:rPr>
                <w:sz w:val="18"/>
              </w:rPr>
            </w:pPr>
            <w:r>
              <w:rPr>
                <w:spacing w:val="-5"/>
                <w:sz w:val="18"/>
              </w:rPr>
              <w:t>706</w:t>
            </w:r>
          </w:p>
          <w:p>
            <w:pPr>
              <w:pStyle w:val="TableParagraph"/>
              <w:spacing w:before="107"/>
              <w:ind w:left="672"/>
              <w:rPr>
                <w:sz w:val="18"/>
              </w:rPr>
            </w:pPr>
            <w:r>
              <w:rPr>
                <w:spacing w:val="-2"/>
                <w:sz w:val="18"/>
              </w:rPr>
              <w:t>2,671</w:t>
            </w:r>
          </w:p>
        </w:tc>
      </w:tr>
      <w:tr>
        <w:trPr>
          <w:trHeight w:val="440" w:hRule="atLeast"/>
        </w:trPr>
        <w:tc>
          <w:tcPr>
            <w:tcW w:w="1553" w:type="dxa"/>
            <w:vMerge/>
            <w:tcBorders>
              <w:top w:val="nil"/>
              <w:left w:val="single" w:sz="12" w:space="0" w:color="000000"/>
              <w:bottom w:val="nil"/>
              <w:right w:val="single" w:sz="4" w:space="0" w:color="000000"/>
            </w:tcBorders>
          </w:tcPr>
          <w:p>
            <w:pPr>
              <w:rPr>
                <w:sz w:val="2"/>
                <w:szCs w:val="2"/>
              </w:rPr>
            </w:pPr>
          </w:p>
        </w:tc>
        <w:tc>
          <w:tcPr>
            <w:tcW w:w="3540" w:type="dxa"/>
            <w:vMerge/>
            <w:tcBorders>
              <w:top w:val="nil"/>
              <w:left w:val="single" w:sz="4" w:space="0" w:color="000000"/>
              <w:bottom w:val="single" w:sz="12" w:space="0" w:color="000000"/>
              <w:right w:val="single" w:sz="4" w:space="0" w:color="000000"/>
            </w:tcBorders>
          </w:tcPr>
          <w:p>
            <w:pPr>
              <w:rPr>
                <w:sz w:val="2"/>
                <w:szCs w:val="2"/>
              </w:rPr>
            </w:pPr>
          </w:p>
        </w:tc>
        <w:tc>
          <w:tcPr>
            <w:tcW w:w="1537" w:type="dxa"/>
            <w:tcBorders>
              <w:top w:val="single" w:sz="4" w:space="0" w:color="000000"/>
              <w:left w:val="single" w:sz="4" w:space="0" w:color="000000"/>
              <w:bottom w:val="single" w:sz="4" w:space="0" w:color="000000"/>
              <w:right w:val="nil"/>
            </w:tcBorders>
          </w:tcPr>
          <w:p>
            <w:pPr>
              <w:pStyle w:val="TableParagraph"/>
              <w:spacing w:line="219" w:lineRule="exact"/>
              <w:ind w:left="114"/>
              <w:rPr>
                <w:b/>
                <w:sz w:val="20"/>
              </w:rPr>
            </w:pPr>
            <w:r>
              <w:rPr>
                <w:b/>
                <w:sz w:val="20"/>
              </w:rPr>
              <w:t>Surplus</w:t>
            </w:r>
            <w:r>
              <w:rPr>
                <w:b/>
                <w:spacing w:val="-11"/>
                <w:sz w:val="20"/>
              </w:rPr>
              <w:t> </w:t>
            </w:r>
            <w:r>
              <w:rPr>
                <w:b/>
                <w:spacing w:val="-10"/>
                <w:sz w:val="20"/>
              </w:rPr>
              <w:t>/</w:t>
            </w:r>
          </w:p>
          <w:p>
            <w:pPr>
              <w:pStyle w:val="TableParagraph"/>
              <w:spacing w:line="201" w:lineRule="exact"/>
              <w:ind w:left="114"/>
              <w:rPr>
                <w:b/>
                <w:sz w:val="20"/>
              </w:rPr>
            </w:pPr>
            <w:r>
              <w:rPr>
                <w:b/>
                <w:spacing w:val="-2"/>
                <w:sz w:val="20"/>
              </w:rPr>
              <w:t>(deficit)</w:t>
            </w:r>
          </w:p>
        </w:tc>
        <w:tc>
          <w:tcPr>
            <w:tcW w:w="1347" w:type="dxa"/>
            <w:tcBorders>
              <w:top w:val="single" w:sz="4" w:space="0" w:color="000000"/>
              <w:left w:val="nil"/>
              <w:bottom w:val="single" w:sz="4" w:space="0" w:color="000000"/>
              <w:right w:val="nil"/>
            </w:tcBorders>
          </w:tcPr>
          <w:p>
            <w:pPr>
              <w:pStyle w:val="TableParagraph"/>
              <w:spacing w:line="196" w:lineRule="exact"/>
              <w:ind w:right="146"/>
              <w:jc w:val="right"/>
              <w:rPr>
                <w:b/>
                <w:sz w:val="18"/>
              </w:rPr>
            </w:pPr>
            <w:r>
              <w:rPr>
                <w:b/>
                <w:spacing w:val="-2"/>
                <w:sz w:val="18"/>
              </w:rPr>
              <w:t>(1,920)</w:t>
            </w:r>
          </w:p>
        </w:tc>
        <w:tc>
          <w:tcPr>
            <w:tcW w:w="1216" w:type="dxa"/>
            <w:tcBorders>
              <w:top w:val="single" w:sz="4" w:space="0" w:color="000000"/>
              <w:left w:val="nil"/>
              <w:bottom w:val="single" w:sz="4" w:space="0" w:color="000000"/>
              <w:right w:val="nil"/>
            </w:tcBorders>
          </w:tcPr>
          <w:p>
            <w:pPr>
              <w:pStyle w:val="TableParagraph"/>
              <w:spacing w:line="196" w:lineRule="exact"/>
              <w:ind w:right="90"/>
              <w:jc w:val="right"/>
              <w:rPr>
                <w:b/>
                <w:sz w:val="18"/>
              </w:rPr>
            </w:pPr>
            <w:r>
              <w:rPr>
                <w:b/>
                <w:spacing w:val="-2"/>
                <w:sz w:val="18"/>
              </w:rPr>
              <w:t>(2,055)</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line="196" w:lineRule="exact"/>
              <w:ind w:right="76"/>
              <w:jc w:val="right"/>
              <w:rPr>
                <w:b/>
                <w:sz w:val="18"/>
              </w:rPr>
            </w:pPr>
            <w:r>
              <w:rPr>
                <w:b/>
                <w:spacing w:val="-2"/>
                <w:sz w:val="18"/>
              </w:rPr>
              <w:t>(1,965)</w:t>
            </w:r>
          </w:p>
        </w:tc>
      </w:tr>
      <w:tr>
        <w:trPr>
          <w:trHeight w:val="5249" w:hRule="atLeast"/>
        </w:trPr>
        <w:tc>
          <w:tcPr>
            <w:tcW w:w="1553" w:type="dxa"/>
            <w:tcBorders>
              <w:top w:val="nil"/>
              <w:left w:val="single" w:sz="12" w:space="0" w:color="000000"/>
              <w:bottom w:val="single" w:sz="12" w:space="0" w:color="000000"/>
              <w:right w:val="single" w:sz="4" w:space="0" w:color="000000"/>
            </w:tcBorders>
          </w:tcPr>
          <w:p>
            <w:pPr>
              <w:pStyle w:val="TableParagraph"/>
              <w:rPr>
                <w:rFonts w:ascii="Times New Roman"/>
                <w:sz w:val="20"/>
              </w:rPr>
            </w:pPr>
          </w:p>
        </w:tc>
        <w:tc>
          <w:tcPr>
            <w:tcW w:w="3540" w:type="dxa"/>
            <w:vMerge/>
            <w:tcBorders>
              <w:top w:val="nil"/>
              <w:left w:val="single" w:sz="4" w:space="0" w:color="000000"/>
              <w:bottom w:val="single" w:sz="12" w:space="0" w:color="000000"/>
              <w:right w:val="single" w:sz="4" w:space="0" w:color="000000"/>
            </w:tcBorders>
          </w:tcPr>
          <w:p>
            <w:pPr>
              <w:rPr>
                <w:sz w:val="2"/>
                <w:szCs w:val="2"/>
              </w:rPr>
            </w:pPr>
          </w:p>
        </w:tc>
        <w:tc>
          <w:tcPr>
            <w:tcW w:w="5334" w:type="dxa"/>
            <w:gridSpan w:val="4"/>
            <w:tcBorders>
              <w:top w:val="single" w:sz="4" w:space="0" w:color="000000"/>
              <w:left w:val="single" w:sz="4" w:space="0" w:color="000000"/>
              <w:bottom w:val="single" w:sz="12" w:space="0" w:color="000000"/>
              <w:right w:val="single" w:sz="12" w:space="0" w:color="000000"/>
            </w:tcBorders>
          </w:tcPr>
          <w:p>
            <w:pPr>
              <w:pStyle w:val="TableParagraph"/>
              <w:rPr>
                <w:rFonts w:ascii="Times New Roman"/>
                <w:sz w:val="20"/>
              </w:rPr>
            </w:pPr>
          </w:p>
        </w:tc>
      </w:tr>
    </w:tbl>
    <w:p>
      <w:pPr>
        <w:pStyle w:val="BodyText"/>
        <w:spacing w:before="3"/>
        <w:rPr>
          <w:b/>
          <w:sz w:val="14"/>
        </w:rPr>
      </w:pPr>
    </w:p>
    <w:p>
      <w:pPr>
        <w:pStyle w:val="Heading5"/>
        <w:spacing w:before="94"/>
        <w:ind w:left="391"/>
      </w:pPr>
      <w:r>
        <w:rPr/>
        <w:t>Major</w:t>
      </w:r>
      <w:r>
        <w:rPr>
          <w:spacing w:val="-5"/>
        </w:rPr>
        <w:t> </w:t>
      </w:r>
      <w:r>
        <w:rPr/>
        <w:t>Initiatives</w:t>
      </w:r>
      <w:r>
        <w:rPr>
          <w:spacing w:val="-5"/>
        </w:rPr>
        <w:t> </w:t>
      </w:r>
      <w:r>
        <w:rPr/>
        <w:t>(Priority</w:t>
      </w:r>
      <w:r>
        <w:rPr>
          <w:spacing w:val="-6"/>
        </w:rPr>
        <w:t> </w:t>
      </w:r>
      <w:r>
        <w:rPr>
          <w:spacing w:val="-2"/>
        </w:rPr>
        <w:t>Actions)</w:t>
      </w:r>
    </w:p>
    <w:p>
      <w:pPr>
        <w:pStyle w:val="BodyText"/>
        <w:spacing w:before="6"/>
        <w:rPr>
          <w:b/>
          <w:sz w:val="25"/>
        </w:rPr>
      </w:pPr>
    </w:p>
    <w:p>
      <w:pPr>
        <w:pStyle w:val="ListParagraph"/>
        <w:numPr>
          <w:ilvl w:val="0"/>
          <w:numId w:val="24"/>
        </w:numPr>
        <w:tabs>
          <w:tab w:pos="959" w:val="left" w:leader="none"/>
          <w:tab w:pos="960" w:val="left" w:leader="none"/>
        </w:tabs>
        <w:spacing w:line="252" w:lineRule="exact" w:before="0" w:after="0"/>
        <w:ind w:left="959" w:right="0" w:hanging="569"/>
        <w:jc w:val="left"/>
        <w:rPr>
          <w:sz w:val="22"/>
        </w:rPr>
      </w:pPr>
      <w:r>
        <w:rPr>
          <w:sz w:val="22"/>
        </w:rPr>
        <w:t>Determine</w:t>
      </w:r>
      <w:r>
        <w:rPr>
          <w:spacing w:val="-8"/>
          <w:sz w:val="22"/>
        </w:rPr>
        <w:t> </w:t>
      </w:r>
      <w:r>
        <w:rPr>
          <w:sz w:val="22"/>
        </w:rPr>
        <w:t>Council's</w:t>
      </w:r>
      <w:r>
        <w:rPr>
          <w:spacing w:val="-5"/>
          <w:sz w:val="22"/>
        </w:rPr>
        <w:t> </w:t>
      </w:r>
      <w:r>
        <w:rPr>
          <w:sz w:val="22"/>
        </w:rPr>
        <w:t>role</w:t>
      </w:r>
      <w:r>
        <w:rPr>
          <w:spacing w:val="-6"/>
          <w:sz w:val="22"/>
        </w:rPr>
        <w:t> </w:t>
      </w:r>
      <w:r>
        <w:rPr>
          <w:sz w:val="22"/>
        </w:rPr>
        <w:t>in</w:t>
      </w:r>
      <w:r>
        <w:rPr>
          <w:spacing w:val="-2"/>
          <w:sz w:val="22"/>
        </w:rPr>
        <w:t> </w:t>
      </w:r>
      <w:r>
        <w:rPr>
          <w:sz w:val="22"/>
        </w:rPr>
        <w:t>positive</w:t>
      </w:r>
      <w:r>
        <w:rPr>
          <w:spacing w:val="-3"/>
          <w:sz w:val="22"/>
        </w:rPr>
        <w:t> </w:t>
      </w:r>
      <w:r>
        <w:rPr>
          <w:sz w:val="22"/>
        </w:rPr>
        <w:t>ageing</w:t>
      </w:r>
      <w:r>
        <w:rPr>
          <w:spacing w:val="-3"/>
          <w:sz w:val="22"/>
        </w:rPr>
        <w:t> </w:t>
      </w:r>
      <w:r>
        <w:rPr>
          <w:sz w:val="22"/>
        </w:rPr>
        <w:t>and</w:t>
      </w:r>
      <w:r>
        <w:rPr>
          <w:spacing w:val="-5"/>
          <w:sz w:val="22"/>
        </w:rPr>
        <w:t> </w:t>
      </w:r>
      <w:r>
        <w:rPr>
          <w:sz w:val="22"/>
        </w:rPr>
        <w:t>support</w:t>
      </w:r>
      <w:r>
        <w:rPr>
          <w:spacing w:val="-3"/>
          <w:sz w:val="22"/>
        </w:rPr>
        <w:t> </w:t>
      </w:r>
      <w:r>
        <w:rPr>
          <w:sz w:val="22"/>
        </w:rPr>
        <w:t>for</w:t>
      </w:r>
      <w:r>
        <w:rPr>
          <w:spacing w:val="-3"/>
          <w:sz w:val="22"/>
        </w:rPr>
        <w:t> </w:t>
      </w:r>
      <w:r>
        <w:rPr>
          <w:sz w:val="22"/>
        </w:rPr>
        <w:t>Maroondah's</w:t>
      </w:r>
      <w:r>
        <w:rPr>
          <w:spacing w:val="-5"/>
          <w:sz w:val="22"/>
        </w:rPr>
        <w:t> </w:t>
      </w:r>
      <w:r>
        <w:rPr>
          <w:sz w:val="22"/>
        </w:rPr>
        <w:t>older</w:t>
      </w:r>
      <w:r>
        <w:rPr>
          <w:spacing w:val="-2"/>
          <w:sz w:val="22"/>
        </w:rPr>
        <w:t> people.</w:t>
      </w:r>
    </w:p>
    <w:p>
      <w:pPr>
        <w:pStyle w:val="ListParagraph"/>
        <w:numPr>
          <w:ilvl w:val="0"/>
          <w:numId w:val="24"/>
        </w:numPr>
        <w:tabs>
          <w:tab w:pos="959" w:val="left" w:leader="none"/>
          <w:tab w:pos="960" w:val="left" w:leader="none"/>
        </w:tabs>
        <w:spacing w:line="240" w:lineRule="auto" w:before="0" w:after="0"/>
        <w:ind w:left="958" w:right="403" w:hanging="567"/>
        <w:jc w:val="left"/>
        <w:rPr>
          <w:sz w:val="22"/>
        </w:rPr>
      </w:pPr>
      <w:r>
        <w:rPr>
          <w:sz w:val="22"/>
        </w:rPr>
        <w:t>Review, update and implement the </w:t>
      </w:r>
      <w:r>
        <w:rPr>
          <w:i/>
          <w:sz w:val="22"/>
        </w:rPr>
        <w:t>Maroondah Liveability, Wellbeing and Resilience Strategy 2021-</w:t>
      </w:r>
      <w:r>
        <w:rPr>
          <w:i/>
          <w:sz w:val="22"/>
        </w:rPr>
        <w:t> 2031 </w:t>
      </w:r>
      <w:r>
        <w:rPr>
          <w:sz w:val="22"/>
        </w:rPr>
        <w:t>(including the Health and Wellbeing Action Plan). ^</w:t>
      </w:r>
    </w:p>
    <w:p>
      <w:pPr>
        <w:pStyle w:val="ListParagraph"/>
        <w:numPr>
          <w:ilvl w:val="0"/>
          <w:numId w:val="24"/>
        </w:numPr>
        <w:tabs>
          <w:tab w:pos="959" w:val="left" w:leader="none"/>
          <w:tab w:pos="960" w:val="left" w:leader="none"/>
        </w:tabs>
        <w:spacing w:line="252" w:lineRule="exact" w:before="0" w:after="0"/>
        <w:ind w:left="959" w:right="0" w:hanging="569"/>
        <w:jc w:val="left"/>
        <w:rPr>
          <w:sz w:val="22"/>
        </w:rPr>
      </w:pPr>
      <w:r>
        <w:rPr>
          <w:sz w:val="22"/>
        </w:rPr>
        <w:t>Develop</w:t>
      </w:r>
      <w:r>
        <w:rPr>
          <w:spacing w:val="-5"/>
          <w:sz w:val="22"/>
        </w:rPr>
        <w:t> </w:t>
      </w:r>
      <w:r>
        <w:rPr>
          <w:sz w:val="22"/>
        </w:rPr>
        <w:t>and</w:t>
      </w:r>
      <w:r>
        <w:rPr>
          <w:spacing w:val="-5"/>
          <w:sz w:val="22"/>
        </w:rPr>
        <w:t> </w:t>
      </w:r>
      <w:r>
        <w:rPr>
          <w:sz w:val="22"/>
        </w:rPr>
        <w:t>implement</w:t>
      </w:r>
      <w:r>
        <w:rPr>
          <w:spacing w:val="-6"/>
          <w:sz w:val="22"/>
        </w:rPr>
        <w:t> </w:t>
      </w:r>
      <w:r>
        <w:rPr>
          <w:sz w:val="22"/>
        </w:rPr>
        <w:t>Council's</w:t>
      </w:r>
      <w:r>
        <w:rPr>
          <w:spacing w:val="-5"/>
          <w:sz w:val="22"/>
        </w:rPr>
        <w:t> </w:t>
      </w:r>
      <w:r>
        <w:rPr>
          <w:sz w:val="22"/>
        </w:rPr>
        <w:t>Reconciliation</w:t>
      </w:r>
      <w:r>
        <w:rPr>
          <w:spacing w:val="-4"/>
          <w:sz w:val="22"/>
        </w:rPr>
        <w:t> </w:t>
      </w:r>
      <w:r>
        <w:rPr>
          <w:spacing w:val="-2"/>
          <w:sz w:val="22"/>
        </w:rPr>
        <w:t>Plan.</w:t>
      </w:r>
    </w:p>
    <w:p>
      <w:pPr>
        <w:pStyle w:val="ListParagraph"/>
        <w:numPr>
          <w:ilvl w:val="0"/>
          <w:numId w:val="24"/>
        </w:numPr>
        <w:tabs>
          <w:tab w:pos="959" w:val="left" w:leader="none"/>
          <w:tab w:pos="960" w:val="left" w:leader="none"/>
        </w:tabs>
        <w:spacing w:line="252" w:lineRule="exact" w:before="0" w:after="0"/>
        <w:ind w:left="959" w:right="0" w:hanging="569"/>
        <w:jc w:val="left"/>
        <w:rPr>
          <w:sz w:val="22"/>
        </w:rPr>
      </w:pPr>
      <w:r>
        <w:rPr>
          <w:sz w:val="22"/>
        </w:rPr>
        <w:t>Undertake</w:t>
      </w:r>
      <w:r>
        <w:rPr>
          <w:spacing w:val="-8"/>
          <w:sz w:val="22"/>
        </w:rPr>
        <w:t> </w:t>
      </w:r>
      <w:r>
        <w:rPr>
          <w:sz w:val="22"/>
        </w:rPr>
        <w:t>the</w:t>
      </w:r>
      <w:r>
        <w:rPr>
          <w:spacing w:val="-6"/>
          <w:sz w:val="22"/>
        </w:rPr>
        <w:t> </w:t>
      </w:r>
      <w:r>
        <w:rPr>
          <w:sz w:val="22"/>
        </w:rPr>
        <w:t>staged</w:t>
      </w:r>
      <w:r>
        <w:rPr>
          <w:spacing w:val="-6"/>
          <w:sz w:val="22"/>
        </w:rPr>
        <w:t> </w:t>
      </w:r>
      <w:r>
        <w:rPr>
          <w:sz w:val="22"/>
        </w:rPr>
        <w:t>redevelopment</w:t>
      </w:r>
      <w:r>
        <w:rPr>
          <w:spacing w:val="-4"/>
          <w:sz w:val="22"/>
        </w:rPr>
        <w:t> </w:t>
      </w:r>
      <w:r>
        <w:rPr>
          <w:sz w:val="22"/>
        </w:rPr>
        <w:t>of</w:t>
      </w:r>
      <w:r>
        <w:rPr>
          <w:spacing w:val="-3"/>
          <w:sz w:val="22"/>
        </w:rPr>
        <w:t> </w:t>
      </w:r>
      <w:r>
        <w:rPr>
          <w:sz w:val="22"/>
        </w:rPr>
        <w:t>the</w:t>
      </w:r>
      <w:r>
        <w:rPr>
          <w:spacing w:val="-6"/>
          <w:sz w:val="22"/>
        </w:rPr>
        <w:t> </w:t>
      </w:r>
      <w:r>
        <w:rPr>
          <w:sz w:val="22"/>
        </w:rPr>
        <w:t>Croydon</w:t>
      </w:r>
      <w:r>
        <w:rPr>
          <w:spacing w:val="-4"/>
          <w:sz w:val="22"/>
        </w:rPr>
        <w:t> </w:t>
      </w:r>
      <w:r>
        <w:rPr>
          <w:sz w:val="22"/>
        </w:rPr>
        <w:t>Community</w:t>
      </w:r>
      <w:r>
        <w:rPr>
          <w:spacing w:val="-3"/>
          <w:sz w:val="22"/>
        </w:rPr>
        <w:t> </w:t>
      </w:r>
      <w:r>
        <w:rPr>
          <w:sz w:val="22"/>
        </w:rPr>
        <w:t>Wellbeing</w:t>
      </w:r>
      <w:r>
        <w:rPr>
          <w:spacing w:val="-3"/>
          <w:sz w:val="22"/>
        </w:rPr>
        <w:t> </w:t>
      </w:r>
      <w:r>
        <w:rPr>
          <w:spacing w:val="-2"/>
          <w:sz w:val="22"/>
        </w:rPr>
        <w:t>Precinct.</w:t>
      </w:r>
    </w:p>
    <w:p>
      <w:pPr>
        <w:pStyle w:val="ListParagraph"/>
        <w:numPr>
          <w:ilvl w:val="0"/>
          <w:numId w:val="24"/>
        </w:numPr>
        <w:tabs>
          <w:tab w:pos="960" w:val="left" w:leader="none"/>
        </w:tabs>
        <w:spacing w:line="240" w:lineRule="auto" w:before="2" w:after="0"/>
        <w:ind w:left="958" w:right="402" w:hanging="567"/>
        <w:jc w:val="both"/>
        <w:rPr>
          <w:sz w:val="22"/>
        </w:rPr>
      </w:pPr>
      <w:r>
        <w:rPr>
          <w:sz w:val="22"/>
        </w:rPr>
        <w:t>Work in partnership with a broad range of service providers and community organisations and groups to develop and deliver services, activities and experiences in the Croydon Community Wellbeing </w:t>
      </w:r>
      <w:r>
        <w:rPr>
          <w:spacing w:val="-2"/>
          <w:sz w:val="22"/>
        </w:rPr>
        <w:t>Precinct.</w:t>
      </w:r>
    </w:p>
    <w:p>
      <w:pPr>
        <w:pStyle w:val="ListParagraph"/>
        <w:numPr>
          <w:ilvl w:val="0"/>
          <w:numId w:val="24"/>
        </w:numPr>
        <w:tabs>
          <w:tab w:pos="960" w:val="left" w:leader="none"/>
        </w:tabs>
        <w:spacing w:line="240" w:lineRule="auto" w:before="0" w:after="0"/>
        <w:ind w:left="958" w:right="402" w:hanging="567"/>
        <w:jc w:val="both"/>
        <w:rPr>
          <w:sz w:val="22"/>
        </w:rPr>
      </w:pPr>
      <w:r>
        <w:rPr>
          <w:sz w:val="22"/>
        </w:rPr>
        <w:t>Work in partnership with the Victorian Government to support the construction of a new hospital in Maroondah to ensure the location and construction maximises community benefit.</w:t>
      </w:r>
    </w:p>
    <w:p>
      <w:pPr>
        <w:pStyle w:val="ListParagraph"/>
        <w:numPr>
          <w:ilvl w:val="0"/>
          <w:numId w:val="24"/>
        </w:numPr>
        <w:tabs>
          <w:tab w:pos="960" w:val="left" w:leader="none"/>
        </w:tabs>
        <w:spacing w:line="252" w:lineRule="exact" w:before="0" w:after="0"/>
        <w:ind w:left="959" w:right="0" w:hanging="569"/>
        <w:jc w:val="both"/>
        <w:rPr>
          <w:sz w:val="22"/>
        </w:rPr>
      </w:pPr>
      <w:r>
        <w:rPr>
          <w:sz w:val="22"/>
        </w:rPr>
        <w:t>Design</w:t>
      </w:r>
      <w:r>
        <w:rPr>
          <w:spacing w:val="-5"/>
          <w:sz w:val="22"/>
        </w:rPr>
        <w:t> </w:t>
      </w:r>
      <w:r>
        <w:rPr>
          <w:sz w:val="22"/>
        </w:rPr>
        <w:t>and</w:t>
      </w:r>
      <w:r>
        <w:rPr>
          <w:spacing w:val="-3"/>
          <w:sz w:val="22"/>
        </w:rPr>
        <w:t> </w:t>
      </w:r>
      <w:r>
        <w:rPr>
          <w:sz w:val="22"/>
        </w:rPr>
        <w:t>construct</w:t>
      </w:r>
      <w:r>
        <w:rPr>
          <w:spacing w:val="-2"/>
          <w:sz w:val="22"/>
        </w:rPr>
        <w:t> </w:t>
      </w:r>
      <w:r>
        <w:rPr>
          <w:sz w:val="22"/>
        </w:rPr>
        <w:t>the</w:t>
      </w:r>
      <w:r>
        <w:rPr>
          <w:spacing w:val="-5"/>
          <w:sz w:val="22"/>
        </w:rPr>
        <w:t> </w:t>
      </w:r>
      <w:r>
        <w:rPr>
          <w:sz w:val="22"/>
        </w:rPr>
        <w:t>redevelopment</w:t>
      </w:r>
      <w:r>
        <w:rPr>
          <w:spacing w:val="-2"/>
          <w:sz w:val="22"/>
        </w:rPr>
        <w:t> </w:t>
      </w:r>
      <w:r>
        <w:rPr>
          <w:sz w:val="22"/>
        </w:rPr>
        <w:t>of</w:t>
      </w:r>
      <w:r>
        <w:rPr>
          <w:spacing w:val="-3"/>
          <w:sz w:val="22"/>
        </w:rPr>
        <w:t> </w:t>
      </w:r>
      <w:r>
        <w:rPr>
          <w:sz w:val="22"/>
        </w:rPr>
        <w:t>The</w:t>
      </w:r>
      <w:r>
        <w:rPr>
          <w:spacing w:val="-4"/>
          <w:sz w:val="22"/>
        </w:rPr>
        <w:t> </w:t>
      </w:r>
      <w:r>
        <w:rPr>
          <w:sz w:val="22"/>
        </w:rPr>
        <w:t>Rings</w:t>
      </w:r>
      <w:r>
        <w:rPr>
          <w:spacing w:val="-3"/>
          <w:sz w:val="22"/>
        </w:rPr>
        <w:t> </w:t>
      </w:r>
      <w:r>
        <w:rPr>
          <w:sz w:val="22"/>
        </w:rPr>
        <w:t>and</w:t>
      </w:r>
      <w:r>
        <w:rPr>
          <w:spacing w:val="-3"/>
          <w:sz w:val="22"/>
        </w:rPr>
        <w:t> </w:t>
      </w:r>
      <w:r>
        <w:rPr>
          <w:sz w:val="22"/>
        </w:rPr>
        <w:t>Ringwood</w:t>
      </w:r>
      <w:r>
        <w:rPr>
          <w:spacing w:val="-2"/>
          <w:sz w:val="22"/>
        </w:rPr>
        <w:t> </w:t>
      </w:r>
      <w:r>
        <w:rPr>
          <w:sz w:val="22"/>
        </w:rPr>
        <w:t>Golf</w:t>
      </w:r>
      <w:r>
        <w:rPr>
          <w:spacing w:val="-6"/>
          <w:sz w:val="22"/>
        </w:rPr>
        <w:t> </w:t>
      </w:r>
      <w:r>
        <w:rPr>
          <w:sz w:val="22"/>
        </w:rPr>
        <w:t>(subject</w:t>
      </w:r>
      <w:r>
        <w:rPr>
          <w:spacing w:val="-5"/>
          <w:sz w:val="22"/>
        </w:rPr>
        <w:t> </w:t>
      </w:r>
      <w:r>
        <w:rPr>
          <w:sz w:val="22"/>
        </w:rPr>
        <w:t>to</w:t>
      </w:r>
      <w:r>
        <w:rPr>
          <w:spacing w:val="-7"/>
          <w:sz w:val="22"/>
        </w:rPr>
        <w:t> </w:t>
      </w:r>
      <w:r>
        <w:rPr>
          <w:spacing w:val="-2"/>
          <w:sz w:val="22"/>
        </w:rPr>
        <w:t>funding).</w:t>
      </w:r>
    </w:p>
    <w:p>
      <w:pPr>
        <w:pStyle w:val="ListParagraph"/>
        <w:numPr>
          <w:ilvl w:val="0"/>
          <w:numId w:val="24"/>
        </w:numPr>
        <w:tabs>
          <w:tab w:pos="960" w:val="left" w:leader="none"/>
        </w:tabs>
        <w:spacing w:line="252" w:lineRule="exact" w:before="0" w:after="0"/>
        <w:ind w:left="959" w:right="0" w:hanging="569"/>
        <w:jc w:val="both"/>
        <w:rPr>
          <w:sz w:val="22"/>
        </w:rPr>
      </w:pPr>
      <w:r>
        <w:rPr>
          <w:sz w:val="22"/>
        </w:rPr>
        <w:t>Design</w:t>
      </w:r>
      <w:r>
        <w:rPr>
          <w:spacing w:val="-6"/>
          <w:sz w:val="22"/>
        </w:rPr>
        <w:t> </w:t>
      </w:r>
      <w:r>
        <w:rPr>
          <w:sz w:val="22"/>
        </w:rPr>
        <w:t>and</w:t>
      </w:r>
      <w:r>
        <w:rPr>
          <w:spacing w:val="-3"/>
          <w:sz w:val="22"/>
        </w:rPr>
        <w:t> </w:t>
      </w:r>
      <w:r>
        <w:rPr>
          <w:sz w:val="22"/>
        </w:rPr>
        <w:t>construct</w:t>
      </w:r>
      <w:r>
        <w:rPr>
          <w:spacing w:val="-3"/>
          <w:sz w:val="22"/>
        </w:rPr>
        <w:t> </w:t>
      </w:r>
      <w:r>
        <w:rPr>
          <w:sz w:val="22"/>
        </w:rPr>
        <w:t>the</w:t>
      </w:r>
      <w:r>
        <w:rPr>
          <w:spacing w:val="-5"/>
          <w:sz w:val="22"/>
        </w:rPr>
        <w:t> </w:t>
      </w:r>
      <w:r>
        <w:rPr>
          <w:sz w:val="22"/>
        </w:rPr>
        <w:t>Quambee</w:t>
      </w:r>
      <w:r>
        <w:rPr>
          <w:spacing w:val="-4"/>
          <w:sz w:val="22"/>
        </w:rPr>
        <w:t> </w:t>
      </w:r>
      <w:r>
        <w:rPr>
          <w:sz w:val="22"/>
        </w:rPr>
        <w:t>Reserve</w:t>
      </w:r>
      <w:r>
        <w:rPr>
          <w:spacing w:val="-5"/>
          <w:sz w:val="22"/>
        </w:rPr>
        <w:t> </w:t>
      </w:r>
      <w:r>
        <w:rPr>
          <w:sz w:val="22"/>
        </w:rPr>
        <w:t>tennis</w:t>
      </w:r>
      <w:r>
        <w:rPr>
          <w:spacing w:val="-4"/>
          <w:sz w:val="22"/>
        </w:rPr>
        <w:t> </w:t>
      </w:r>
      <w:r>
        <w:rPr>
          <w:spacing w:val="-2"/>
          <w:sz w:val="22"/>
        </w:rPr>
        <w:t>redevelopment.</w:t>
      </w:r>
    </w:p>
    <w:p>
      <w:pPr>
        <w:pStyle w:val="ListParagraph"/>
        <w:numPr>
          <w:ilvl w:val="0"/>
          <w:numId w:val="24"/>
        </w:numPr>
        <w:tabs>
          <w:tab w:pos="960" w:val="left" w:leader="none"/>
        </w:tabs>
        <w:spacing w:line="240" w:lineRule="auto" w:before="0" w:after="0"/>
        <w:ind w:left="958" w:right="401" w:hanging="567"/>
        <w:jc w:val="both"/>
        <w:rPr>
          <w:sz w:val="22"/>
        </w:rPr>
      </w:pPr>
      <w:r>
        <w:rPr>
          <w:sz w:val="22"/>
        </w:rPr>
        <w:t>Work in partnership to plan for and support the Victorian Government kindergarten reforms, including advocating for funding at all levels of Government for new and redeveloped facilities to enable these reforms in Maroondah.</w:t>
      </w:r>
    </w:p>
    <w:p>
      <w:pPr>
        <w:spacing w:before="1"/>
        <w:ind w:left="958" w:right="404" w:firstLine="0"/>
        <w:jc w:val="both"/>
        <w:rPr>
          <w:i/>
          <w:sz w:val="22"/>
        </w:rPr>
      </w:pPr>
      <w:r>
        <w:rPr>
          <w:sz w:val="22"/>
        </w:rPr>
        <w:t>^ Action incorporates the </w:t>
      </w:r>
      <w:r>
        <w:rPr>
          <w:i/>
          <w:sz w:val="22"/>
        </w:rPr>
        <w:t>Municipal Public Health and Wellbeing Plan </w:t>
      </w:r>
      <w:r>
        <w:rPr>
          <w:sz w:val="22"/>
        </w:rPr>
        <w:t>as required under the </w:t>
      </w:r>
      <w:r>
        <w:rPr>
          <w:i/>
          <w:sz w:val="22"/>
        </w:rPr>
        <w:t>Public</w:t>
      </w:r>
      <w:r>
        <w:rPr>
          <w:i/>
          <w:sz w:val="22"/>
        </w:rPr>
        <w:t> Health and Wellbeing Act 2008</w:t>
      </w:r>
    </w:p>
    <w:p>
      <w:pPr>
        <w:spacing w:after="0"/>
        <w:jc w:val="both"/>
        <w:rPr>
          <w:sz w:val="22"/>
        </w:rPr>
        <w:sectPr>
          <w:pgSz w:w="11910" w:h="16840"/>
          <w:pgMar w:header="0" w:footer="375" w:top="540" w:bottom="560" w:left="460" w:right="160"/>
        </w:sectPr>
      </w:pPr>
    </w:p>
    <w:p>
      <w:pPr>
        <w:spacing w:before="70"/>
        <w:ind w:left="391" w:right="0" w:firstLine="0"/>
        <w:jc w:val="left"/>
        <w:rPr>
          <w:b/>
          <w:sz w:val="22"/>
        </w:rPr>
      </w:pPr>
      <w:r>
        <w:rPr>
          <w:b/>
          <w:sz w:val="22"/>
        </w:rPr>
        <w:t>Service</w:t>
      </w:r>
      <w:r>
        <w:rPr>
          <w:b/>
          <w:spacing w:val="-4"/>
          <w:sz w:val="22"/>
        </w:rPr>
        <w:t> </w:t>
      </w:r>
      <w:r>
        <w:rPr>
          <w:b/>
          <w:sz w:val="22"/>
        </w:rPr>
        <w:t>Performance</w:t>
      </w:r>
      <w:r>
        <w:rPr>
          <w:b/>
          <w:spacing w:val="-7"/>
          <w:sz w:val="22"/>
        </w:rPr>
        <w:t> </w:t>
      </w:r>
      <w:r>
        <w:rPr>
          <w:b/>
          <w:sz w:val="22"/>
        </w:rPr>
        <w:t>Outcome</w:t>
      </w:r>
      <w:r>
        <w:rPr>
          <w:b/>
          <w:spacing w:val="-7"/>
          <w:sz w:val="22"/>
        </w:rPr>
        <w:t> </w:t>
      </w:r>
      <w:r>
        <w:rPr>
          <w:b/>
          <w:spacing w:val="-2"/>
          <w:sz w:val="22"/>
        </w:rPr>
        <w:t>Indicators</w:t>
      </w:r>
    </w:p>
    <w:p>
      <w:pPr>
        <w:pStyle w:val="BodyText"/>
        <w:spacing w:before="9" w:after="1"/>
        <w:rPr>
          <w:b/>
          <w:sz w:val="21"/>
        </w:rPr>
      </w:pPr>
    </w:p>
    <w:tbl>
      <w:tblPr>
        <w:tblW w:w="0" w:type="auto"/>
        <w:jc w:val="left"/>
        <w:tblInd w:w="4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438"/>
        <w:gridCol w:w="1515"/>
        <w:gridCol w:w="4097"/>
        <w:gridCol w:w="3406"/>
      </w:tblGrid>
      <w:tr>
        <w:trPr>
          <w:trHeight w:val="501" w:hRule="atLeast"/>
        </w:trPr>
        <w:tc>
          <w:tcPr>
            <w:tcW w:w="1438" w:type="dxa"/>
            <w:tcBorders>
              <w:left w:val="single" w:sz="12" w:space="0" w:color="000000"/>
              <w:bottom w:val="single" w:sz="4" w:space="0" w:color="000000"/>
              <w:right w:val="nil"/>
            </w:tcBorders>
            <w:shd w:val="clear" w:color="auto" w:fill="629CD1"/>
          </w:tcPr>
          <w:p>
            <w:pPr>
              <w:pStyle w:val="TableParagraph"/>
              <w:spacing w:before="132"/>
              <w:ind w:left="390"/>
              <w:rPr>
                <w:b/>
                <w:sz w:val="20"/>
              </w:rPr>
            </w:pPr>
            <w:r>
              <w:rPr>
                <w:b/>
                <w:spacing w:val="-2"/>
                <w:sz w:val="20"/>
              </w:rPr>
              <w:t>Service</w:t>
            </w:r>
          </w:p>
        </w:tc>
        <w:tc>
          <w:tcPr>
            <w:tcW w:w="1515" w:type="dxa"/>
            <w:tcBorders>
              <w:left w:val="nil"/>
              <w:bottom w:val="single" w:sz="4" w:space="0" w:color="000000"/>
              <w:right w:val="nil"/>
            </w:tcBorders>
            <w:shd w:val="clear" w:color="auto" w:fill="629CD1"/>
          </w:tcPr>
          <w:p>
            <w:pPr>
              <w:pStyle w:val="TableParagraph"/>
              <w:spacing w:before="132"/>
              <w:ind w:left="445"/>
              <w:rPr>
                <w:b/>
                <w:sz w:val="20"/>
              </w:rPr>
            </w:pPr>
            <w:r>
              <w:rPr>
                <w:b/>
                <w:spacing w:val="-2"/>
                <w:sz w:val="20"/>
              </w:rPr>
              <w:t>Indicator</w:t>
            </w:r>
          </w:p>
        </w:tc>
        <w:tc>
          <w:tcPr>
            <w:tcW w:w="4097" w:type="dxa"/>
            <w:tcBorders>
              <w:left w:val="nil"/>
              <w:bottom w:val="single" w:sz="4" w:space="0" w:color="000000"/>
              <w:right w:val="nil"/>
            </w:tcBorders>
            <w:shd w:val="clear" w:color="auto" w:fill="629CD1"/>
          </w:tcPr>
          <w:p>
            <w:pPr>
              <w:pStyle w:val="TableParagraph"/>
              <w:spacing w:before="132"/>
              <w:ind w:left="1086"/>
              <w:rPr>
                <w:b/>
                <w:sz w:val="20"/>
              </w:rPr>
            </w:pPr>
            <w:r>
              <w:rPr>
                <w:b/>
                <w:w w:val="95"/>
                <w:sz w:val="20"/>
              </w:rPr>
              <w:t>Performance</w:t>
            </w:r>
            <w:r>
              <w:rPr>
                <w:b/>
                <w:spacing w:val="47"/>
                <w:sz w:val="20"/>
              </w:rPr>
              <w:t> </w:t>
            </w:r>
            <w:r>
              <w:rPr>
                <w:b/>
                <w:spacing w:val="-2"/>
                <w:sz w:val="20"/>
              </w:rPr>
              <w:t>Measure</w:t>
            </w:r>
          </w:p>
        </w:tc>
        <w:tc>
          <w:tcPr>
            <w:tcW w:w="3406" w:type="dxa"/>
            <w:tcBorders>
              <w:left w:val="nil"/>
              <w:bottom w:val="single" w:sz="4" w:space="0" w:color="000000"/>
              <w:right w:val="single" w:sz="12" w:space="0" w:color="000000"/>
            </w:tcBorders>
            <w:shd w:val="clear" w:color="auto" w:fill="629CD1"/>
          </w:tcPr>
          <w:p>
            <w:pPr>
              <w:pStyle w:val="TableParagraph"/>
              <w:spacing w:before="132"/>
              <w:ind w:left="1087"/>
              <w:rPr>
                <w:b/>
                <w:sz w:val="20"/>
              </w:rPr>
            </w:pPr>
            <w:r>
              <w:rPr>
                <w:b/>
                <w:spacing w:val="-2"/>
                <w:sz w:val="20"/>
              </w:rPr>
              <w:t>Computation</w:t>
            </w:r>
          </w:p>
        </w:tc>
      </w:tr>
      <w:tr>
        <w:trPr>
          <w:trHeight w:val="743" w:hRule="atLeast"/>
        </w:trPr>
        <w:tc>
          <w:tcPr>
            <w:tcW w:w="1438" w:type="dxa"/>
            <w:tcBorders>
              <w:top w:val="single" w:sz="4" w:space="0" w:color="000000"/>
              <w:left w:val="single" w:sz="12" w:space="0" w:color="000000"/>
              <w:bottom w:val="single" w:sz="4" w:space="0" w:color="000000"/>
              <w:right w:val="nil"/>
            </w:tcBorders>
          </w:tcPr>
          <w:p>
            <w:pPr>
              <w:pStyle w:val="TableParagraph"/>
              <w:ind w:left="107"/>
              <w:rPr>
                <w:sz w:val="20"/>
              </w:rPr>
            </w:pPr>
            <w:r>
              <w:rPr>
                <w:spacing w:val="-2"/>
                <w:sz w:val="20"/>
              </w:rPr>
              <w:t>Aquatic Facilities</w:t>
            </w:r>
          </w:p>
        </w:tc>
        <w:tc>
          <w:tcPr>
            <w:tcW w:w="1515" w:type="dxa"/>
            <w:tcBorders>
              <w:top w:val="single" w:sz="4" w:space="0" w:color="000000"/>
              <w:left w:val="nil"/>
              <w:bottom w:val="single" w:sz="4" w:space="0" w:color="000000"/>
              <w:right w:val="nil"/>
            </w:tcBorders>
          </w:tcPr>
          <w:p>
            <w:pPr>
              <w:pStyle w:val="TableParagraph"/>
              <w:spacing w:line="229" w:lineRule="exact"/>
              <w:ind w:left="182"/>
              <w:rPr>
                <w:sz w:val="20"/>
              </w:rPr>
            </w:pPr>
            <w:r>
              <w:rPr>
                <w:spacing w:val="-2"/>
                <w:sz w:val="20"/>
              </w:rPr>
              <w:t>Utilisation</w:t>
            </w:r>
          </w:p>
        </w:tc>
        <w:tc>
          <w:tcPr>
            <w:tcW w:w="4097" w:type="dxa"/>
            <w:tcBorders>
              <w:top w:val="single" w:sz="4" w:space="0" w:color="000000"/>
              <w:left w:val="nil"/>
              <w:bottom w:val="single" w:sz="4" w:space="0" w:color="000000"/>
              <w:right w:val="nil"/>
            </w:tcBorders>
          </w:tcPr>
          <w:p>
            <w:pPr>
              <w:pStyle w:val="TableParagraph"/>
              <w:ind w:left="258" w:right="90" w:hanging="1"/>
              <w:jc w:val="both"/>
              <w:rPr>
                <w:sz w:val="20"/>
              </w:rPr>
            </w:pPr>
            <w:r>
              <w:rPr>
                <w:sz w:val="20"/>
              </w:rPr>
              <w:t>Utilisation</w:t>
            </w:r>
            <w:r>
              <w:rPr>
                <w:spacing w:val="-3"/>
                <w:sz w:val="20"/>
              </w:rPr>
              <w:t> </w:t>
            </w:r>
            <w:r>
              <w:rPr>
                <w:sz w:val="20"/>
              </w:rPr>
              <w:t>of</w:t>
            </w:r>
            <w:r>
              <w:rPr>
                <w:spacing w:val="-3"/>
                <w:sz w:val="20"/>
              </w:rPr>
              <w:t> </w:t>
            </w:r>
            <w:r>
              <w:rPr>
                <w:sz w:val="20"/>
              </w:rPr>
              <w:t>aquatic</w:t>
            </w:r>
            <w:r>
              <w:rPr>
                <w:spacing w:val="-1"/>
                <w:sz w:val="20"/>
              </w:rPr>
              <w:t> </w:t>
            </w:r>
            <w:r>
              <w:rPr>
                <w:sz w:val="20"/>
              </w:rPr>
              <w:t>facilities.</w:t>
            </w:r>
            <w:r>
              <w:rPr>
                <w:spacing w:val="40"/>
                <w:sz w:val="20"/>
              </w:rPr>
              <w:t> </w:t>
            </w:r>
            <w:r>
              <w:rPr>
                <w:sz w:val="20"/>
              </w:rPr>
              <w:t>(Number</w:t>
            </w:r>
            <w:r>
              <w:rPr>
                <w:spacing w:val="-2"/>
                <w:sz w:val="20"/>
              </w:rPr>
              <w:t> </w:t>
            </w:r>
            <w:r>
              <w:rPr>
                <w:sz w:val="20"/>
              </w:rPr>
              <w:t>of visits to aquatic facilities per head of </w:t>
            </w:r>
            <w:r>
              <w:rPr>
                <w:spacing w:val="-2"/>
                <w:sz w:val="20"/>
              </w:rPr>
              <w:t>population)</w:t>
            </w:r>
          </w:p>
        </w:tc>
        <w:tc>
          <w:tcPr>
            <w:tcW w:w="3406" w:type="dxa"/>
            <w:tcBorders>
              <w:top w:val="single" w:sz="4" w:space="0" w:color="000000"/>
              <w:left w:val="nil"/>
              <w:bottom w:val="single" w:sz="4" w:space="0" w:color="000000"/>
              <w:right w:val="single" w:sz="12" w:space="0" w:color="000000"/>
            </w:tcBorders>
          </w:tcPr>
          <w:p>
            <w:pPr>
              <w:pStyle w:val="TableParagraph"/>
              <w:spacing w:line="229" w:lineRule="exact"/>
              <w:ind w:left="111"/>
              <w:rPr>
                <w:sz w:val="20"/>
              </w:rPr>
            </w:pPr>
            <w:r>
              <w:rPr>
                <w:sz w:val="20"/>
              </w:rPr>
              <w:t>Number</w:t>
            </w:r>
            <w:r>
              <w:rPr>
                <w:spacing w:val="-5"/>
                <w:sz w:val="20"/>
              </w:rPr>
              <w:t> </w:t>
            </w:r>
            <w:r>
              <w:rPr>
                <w:sz w:val="20"/>
              </w:rPr>
              <w:t>of</w:t>
            </w:r>
            <w:r>
              <w:rPr>
                <w:spacing w:val="-6"/>
                <w:sz w:val="20"/>
              </w:rPr>
              <w:t> </w:t>
            </w:r>
            <w:r>
              <w:rPr>
                <w:sz w:val="20"/>
              </w:rPr>
              <w:t>visits</w:t>
            </w:r>
            <w:r>
              <w:rPr>
                <w:spacing w:val="-4"/>
                <w:sz w:val="20"/>
              </w:rPr>
              <w:t> </w:t>
            </w:r>
            <w:r>
              <w:rPr>
                <w:sz w:val="20"/>
              </w:rPr>
              <w:t>to</w:t>
            </w:r>
            <w:r>
              <w:rPr>
                <w:spacing w:val="-3"/>
                <w:sz w:val="20"/>
              </w:rPr>
              <w:t> </w:t>
            </w:r>
            <w:r>
              <w:rPr>
                <w:sz w:val="20"/>
              </w:rPr>
              <w:t>aquatic</w:t>
            </w:r>
            <w:r>
              <w:rPr>
                <w:spacing w:val="-4"/>
                <w:sz w:val="20"/>
              </w:rPr>
              <w:t> </w:t>
            </w:r>
            <w:r>
              <w:rPr>
                <w:spacing w:val="-2"/>
                <w:sz w:val="20"/>
              </w:rPr>
              <w:t>facilities</w:t>
            </w:r>
          </w:p>
          <w:p>
            <w:pPr>
              <w:pStyle w:val="TableParagraph"/>
              <w:ind w:left="111"/>
              <w:rPr>
                <w:sz w:val="20"/>
              </w:rPr>
            </w:pPr>
            <w:r>
              <w:rPr>
                <w:sz w:val="20"/>
              </w:rPr>
              <w:t>/</w:t>
            </w:r>
            <w:r>
              <w:rPr>
                <w:spacing w:val="-2"/>
                <w:sz w:val="20"/>
              </w:rPr>
              <w:t> Population</w:t>
            </w:r>
          </w:p>
        </w:tc>
      </w:tr>
      <w:tr>
        <w:trPr>
          <w:trHeight w:val="2068" w:hRule="atLeast"/>
        </w:trPr>
        <w:tc>
          <w:tcPr>
            <w:tcW w:w="1438" w:type="dxa"/>
            <w:tcBorders>
              <w:top w:val="single" w:sz="4" w:space="0" w:color="000000"/>
              <w:left w:val="single" w:sz="12" w:space="0" w:color="000000"/>
              <w:bottom w:val="single" w:sz="4" w:space="0" w:color="000000"/>
              <w:right w:val="nil"/>
            </w:tcBorders>
          </w:tcPr>
          <w:p>
            <w:pPr>
              <w:pStyle w:val="TableParagraph"/>
              <w:spacing w:line="229" w:lineRule="exact"/>
              <w:ind w:left="107"/>
              <w:rPr>
                <w:sz w:val="20"/>
              </w:rPr>
            </w:pPr>
            <w:r>
              <w:rPr>
                <w:sz w:val="20"/>
              </w:rPr>
              <w:t>Food</w:t>
            </w:r>
            <w:r>
              <w:rPr>
                <w:spacing w:val="-5"/>
                <w:sz w:val="20"/>
              </w:rPr>
              <w:t> </w:t>
            </w:r>
            <w:r>
              <w:rPr>
                <w:spacing w:val="-2"/>
                <w:sz w:val="20"/>
              </w:rPr>
              <w:t>Safety</w:t>
            </w:r>
          </w:p>
        </w:tc>
        <w:tc>
          <w:tcPr>
            <w:tcW w:w="1515" w:type="dxa"/>
            <w:tcBorders>
              <w:top w:val="single" w:sz="4" w:space="0" w:color="000000"/>
              <w:left w:val="nil"/>
              <w:bottom w:val="single" w:sz="4" w:space="0" w:color="000000"/>
              <w:right w:val="nil"/>
            </w:tcBorders>
          </w:tcPr>
          <w:p>
            <w:pPr>
              <w:pStyle w:val="TableParagraph"/>
              <w:ind w:left="182" w:right="747" w:hanging="1"/>
              <w:rPr>
                <w:sz w:val="20"/>
              </w:rPr>
            </w:pPr>
            <w:r>
              <w:rPr>
                <w:spacing w:val="-2"/>
                <w:sz w:val="20"/>
              </w:rPr>
              <w:t>Health </w:t>
            </w:r>
            <w:r>
              <w:rPr>
                <w:spacing w:val="-4"/>
                <w:sz w:val="20"/>
              </w:rPr>
              <w:t>And </w:t>
            </w:r>
            <w:r>
              <w:rPr>
                <w:spacing w:val="-2"/>
                <w:sz w:val="20"/>
              </w:rPr>
              <w:t>Safety</w:t>
            </w:r>
          </w:p>
        </w:tc>
        <w:tc>
          <w:tcPr>
            <w:tcW w:w="4097" w:type="dxa"/>
            <w:tcBorders>
              <w:top w:val="single" w:sz="4" w:space="0" w:color="000000"/>
              <w:left w:val="nil"/>
              <w:bottom w:val="single" w:sz="4" w:space="0" w:color="000000"/>
              <w:right w:val="nil"/>
            </w:tcBorders>
          </w:tcPr>
          <w:p>
            <w:pPr>
              <w:pStyle w:val="TableParagraph"/>
              <w:ind w:left="258" w:right="112"/>
              <w:rPr>
                <w:sz w:val="20"/>
              </w:rPr>
            </w:pPr>
            <w:r>
              <w:rPr>
                <w:sz w:val="20"/>
              </w:rPr>
              <w:t>Critical and major non-compliance outcome notifications.</w:t>
            </w:r>
            <w:r>
              <w:rPr>
                <w:spacing w:val="40"/>
                <w:sz w:val="20"/>
              </w:rPr>
              <w:t> </w:t>
            </w:r>
            <w:r>
              <w:rPr>
                <w:sz w:val="20"/>
              </w:rPr>
              <w:t>(Percentage of critical and major non-compliance outcome</w:t>
            </w:r>
            <w:r>
              <w:rPr>
                <w:spacing w:val="-10"/>
                <w:sz w:val="20"/>
              </w:rPr>
              <w:t> </w:t>
            </w:r>
            <w:r>
              <w:rPr>
                <w:sz w:val="20"/>
              </w:rPr>
              <w:t>notifications</w:t>
            </w:r>
            <w:r>
              <w:rPr>
                <w:spacing w:val="-8"/>
                <w:sz w:val="20"/>
              </w:rPr>
              <w:t> </w:t>
            </w:r>
            <w:r>
              <w:rPr>
                <w:sz w:val="20"/>
              </w:rPr>
              <w:t>that</w:t>
            </w:r>
            <w:r>
              <w:rPr>
                <w:spacing w:val="-6"/>
                <w:sz w:val="20"/>
              </w:rPr>
              <w:t> </w:t>
            </w:r>
            <w:r>
              <w:rPr>
                <w:sz w:val="20"/>
              </w:rPr>
              <w:t>are</w:t>
            </w:r>
            <w:r>
              <w:rPr>
                <w:spacing w:val="-10"/>
                <w:sz w:val="20"/>
              </w:rPr>
              <w:t> </w:t>
            </w:r>
            <w:r>
              <w:rPr>
                <w:sz w:val="20"/>
              </w:rPr>
              <w:t>followed</w:t>
            </w:r>
            <w:r>
              <w:rPr>
                <w:spacing w:val="-8"/>
                <w:sz w:val="20"/>
              </w:rPr>
              <w:t> </w:t>
            </w:r>
            <w:r>
              <w:rPr>
                <w:sz w:val="20"/>
              </w:rPr>
              <w:t>up by Council)</w:t>
            </w:r>
          </w:p>
        </w:tc>
        <w:tc>
          <w:tcPr>
            <w:tcW w:w="3406" w:type="dxa"/>
            <w:tcBorders>
              <w:top w:val="single" w:sz="4" w:space="0" w:color="000000"/>
              <w:left w:val="nil"/>
              <w:bottom w:val="single" w:sz="4" w:space="0" w:color="000000"/>
              <w:right w:val="single" w:sz="12" w:space="0" w:color="000000"/>
            </w:tcBorders>
          </w:tcPr>
          <w:p>
            <w:pPr>
              <w:pStyle w:val="TableParagraph"/>
              <w:ind w:left="111" w:right="176"/>
              <w:rPr>
                <w:sz w:val="20"/>
              </w:rPr>
            </w:pPr>
            <w:r>
              <w:rPr>
                <w:sz w:val="20"/>
              </w:rPr>
              <w:t>[Number</w:t>
            </w:r>
            <w:r>
              <w:rPr>
                <w:spacing w:val="-4"/>
                <w:sz w:val="20"/>
              </w:rPr>
              <w:t> </w:t>
            </w:r>
            <w:r>
              <w:rPr>
                <w:sz w:val="20"/>
              </w:rPr>
              <w:t>of</w:t>
            </w:r>
            <w:r>
              <w:rPr>
                <w:spacing w:val="-6"/>
                <w:sz w:val="20"/>
              </w:rPr>
              <w:t> </w:t>
            </w:r>
            <w:r>
              <w:rPr>
                <w:sz w:val="20"/>
              </w:rPr>
              <w:t>critical</w:t>
            </w:r>
            <w:r>
              <w:rPr>
                <w:spacing w:val="-7"/>
                <w:sz w:val="20"/>
              </w:rPr>
              <w:t> </w:t>
            </w:r>
            <w:r>
              <w:rPr>
                <w:sz w:val="20"/>
              </w:rPr>
              <w:t>non-compliance outcome notifications and major non-compliance outcome notifications</w:t>
            </w:r>
            <w:r>
              <w:rPr>
                <w:spacing w:val="-4"/>
                <w:sz w:val="20"/>
              </w:rPr>
              <w:t> </w:t>
            </w:r>
            <w:r>
              <w:rPr>
                <w:sz w:val="20"/>
              </w:rPr>
              <w:t>about</w:t>
            </w:r>
            <w:r>
              <w:rPr>
                <w:spacing w:val="-9"/>
                <w:sz w:val="20"/>
              </w:rPr>
              <w:t> </w:t>
            </w:r>
            <w:r>
              <w:rPr>
                <w:sz w:val="20"/>
              </w:rPr>
              <w:t>a</w:t>
            </w:r>
            <w:r>
              <w:rPr>
                <w:spacing w:val="-6"/>
                <w:sz w:val="20"/>
              </w:rPr>
              <w:t> </w:t>
            </w:r>
            <w:r>
              <w:rPr>
                <w:sz w:val="20"/>
              </w:rPr>
              <w:t>food</w:t>
            </w:r>
            <w:r>
              <w:rPr>
                <w:spacing w:val="-10"/>
                <w:sz w:val="20"/>
              </w:rPr>
              <w:t> </w:t>
            </w:r>
            <w:r>
              <w:rPr>
                <w:sz w:val="20"/>
              </w:rPr>
              <w:t>premises followed up / Number of critical non-compliance outcome notifications and major non-</w:t>
            </w:r>
          </w:p>
          <w:p>
            <w:pPr>
              <w:pStyle w:val="TableParagraph"/>
              <w:spacing w:line="228" w:lineRule="exact"/>
              <w:ind w:left="111"/>
              <w:rPr>
                <w:sz w:val="20"/>
              </w:rPr>
            </w:pPr>
            <w:r>
              <w:rPr>
                <w:sz w:val="20"/>
              </w:rPr>
              <w:t>compliance</w:t>
            </w:r>
            <w:r>
              <w:rPr>
                <w:spacing w:val="-14"/>
                <w:sz w:val="20"/>
              </w:rPr>
              <w:t> </w:t>
            </w:r>
            <w:r>
              <w:rPr>
                <w:sz w:val="20"/>
              </w:rPr>
              <w:t>outcome</w:t>
            </w:r>
            <w:r>
              <w:rPr>
                <w:spacing w:val="-12"/>
                <w:sz w:val="20"/>
              </w:rPr>
              <w:t> </w:t>
            </w:r>
            <w:r>
              <w:rPr>
                <w:sz w:val="20"/>
              </w:rPr>
              <w:t>notifications about food premises] x100</w:t>
            </w:r>
          </w:p>
        </w:tc>
      </w:tr>
      <w:tr>
        <w:trPr>
          <w:trHeight w:val="921" w:hRule="atLeast"/>
        </w:trPr>
        <w:tc>
          <w:tcPr>
            <w:tcW w:w="1438" w:type="dxa"/>
            <w:tcBorders>
              <w:top w:val="single" w:sz="4" w:space="0" w:color="000000"/>
              <w:left w:val="single" w:sz="12" w:space="0" w:color="000000"/>
              <w:bottom w:val="single" w:sz="4" w:space="0" w:color="000000"/>
              <w:right w:val="nil"/>
            </w:tcBorders>
          </w:tcPr>
          <w:p>
            <w:pPr>
              <w:pStyle w:val="TableParagraph"/>
              <w:ind w:left="107"/>
              <w:rPr>
                <w:sz w:val="20"/>
              </w:rPr>
            </w:pPr>
            <w:r>
              <w:rPr>
                <w:sz w:val="20"/>
              </w:rPr>
              <w:t>Maternal</w:t>
            </w:r>
            <w:r>
              <w:rPr>
                <w:spacing w:val="-14"/>
                <w:sz w:val="20"/>
              </w:rPr>
              <w:t> </w:t>
            </w:r>
            <w:r>
              <w:rPr>
                <w:sz w:val="20"/>
              </w:rPr>
              <w:t>and Child Health</w:t>
            </w:r>
          </w:p>
        </w:tc>
        <w:tc>
          <w:tcPr>
            <w:tcW w:w="1515" w:type="dxa"/>
            <w:tcBorders>
              <w:top w:val="single" w:sz="4" w:space="0" w:color="000000"/>
              <w:left w:val="nil"/>
              <w:bottom w:val="single" w:sz="4" w:space="0" w:color="000000"/>
              <w:right w:val="nil"/>
            </w:tcBorders>
          </w:tcPr>
          <w:p>
            <w:pPr>
              <w:pStyle w:val="TableParagraph"/>
              <w:spacing w:line="229" w:lineRule="exact"/>
              <w:ind w:left="182"/>
              <w:rPr>
                <w:sz w:val="20"/>
              </w:rPr>
            </w:pPr>
            <w:r>
              <w:rPr>
                <w:spacing w:val="-2"/>
                <w:sz w:val="20"/>
              </w:rPr>
              <w:t>Participation</w:t>
            </w:r>
          </w:p>
        </w:tc>
        <w:tc>
          <w:tcPr>
            <w:tcW w:w="4097" w:type="dxa"/>
            <w:tcBorders>
              <w:top w:val="single" w:sz="4" w:space="0" w:color="000000"/>
              <w:left w:val="nil"/>
              <w:bottom w:val="single" w:sz="4" w:space="0" w:color="000000"/>
              <w:right w:val="nil"/>
            </w:tcBorders>
          </w:tcPr>
          <w:p>
            <w:pPr>
              <w:pStyle w:val="TableParagraph"/>
              <w:ind w:left="258" w:hanging="1"/>
              <w:rPr>
                <w:sz w:val="20"/>
              </w:rPr>
            </w:pPr>
            <w:r>
              <w:rPr>
                <w:sz w:val="20"/>
              </w:rPr>
              <w:t>Participation in the MCH service. (Percentage</w:t>
            </w:r>
            <w:r>
              <w:rPr>
                <w:spacing w:val="-10"/>
                <w:sz w:val="20"/>
              </w:rPr>
              <w:t> </w:t>
            </w:r>
            <w:r>
              <w:rPr>
                <w:sz w:val="20"/>
              </w:rPr>
              <w:t>of</w:t>
            </w:r>
            <w:r>
              <w:rPr>
                <w:spacing w:val="-11"/>
                <w:sz w:val="20"/>
              </w:rPr>
              <w:t> </w:t>
            </w:r>
            <w:r>
              <w:rPr>
                <w:sz w:val="20"/>
              </w:rPr>
              <w:t>children</w:t>
            </w:r>
            <w:r>
              <w:rPr>
                <w:spacing w:val="-12"/>
                <w:sz w:val="20"/>
              </w:rPr>
              <w:t> </w:t>
            </w:r>
            <w:r>
              <w:rPr>
                <w:sz w:val="20"/>
              </w:rPr>
              <w:t>enrolled</w:t>
            </w:r>
            <w:r>
              <w:rPr>
                <w:spacing w:val="-11"/>
                <w:sz w:val="20"/>
              </w:rPr>
              <w:t> </w:t>
            </w:r>
            <w:r>
              <w:rPr>
                <w:sz w:val="20"/>
              </w:rPr>
              <w:t>who participate in the MCH service)</w:t>
            </w:r>
          </w:p>
        </w:tc>
        <w:tc>
          <w:tcPr>
            <w:tcW w:w="3406" w:type="dxa"/>
            <w:tcBorders>
              <w:top w:val="single" w:sz="4" w:space="0" w:color="000000"/>
              <w:left w:val="nil"/>
              <w:bottom w:val="single" w:sz="4" w:space="0" w:color="000000"/>
              <w:right w:val="single" w:sz="12" w:space="0" w:color="000000"/>
            </w:tcBorders>
          </w:tcPr>
          <w:p>
            <w:pPr>
              <w:pStyle w:val="TableParagraph"/>
              <w:spacing w:line="230" w:lineRule="exact"/>
              <w:ind w:left="111"/>
              <w:rPr>
                <w:sz w:val="20"/>
              </w:rPr>
            </w:pPr>
            <w:r>
              <w:rPr>
                <w:sz w:val="20"/>
              </w:rPr>
              <w:t>[Number</w:t>
            </w:r>
            <w:r>
              <w:rPr>
                <w:spacing w:val="-5"/>
                <w:sz w:val="20"/>
              </w:rPr>
              <w:t> </w:t>
            </w:r>
            <w:r>
              <w:rPr>
                <w:sz w:val="20"/>
              </w:rPr>
              <w:t>of</w:t>
            </w:r>
            <w:r>
              <w:rPr>
                <w:spacing w:val="-7"/>
                <w:sz w:val="20"/>
              </w:rPr>
              <w:t> </w:t>
            </w:r>
            <w:r>
              <w:rPr>
                <w:sz w:val="20"/>
              </w:rPr>
              <w:t>children</w:t>
            </w:r>
            <w:r>
              <w:rPr>
                <w:spacing w:val="-6"/>
                <w:sz w:val="20"/>
              </w:rPr>
              <w:t> </w:t>
            </w:r>
            <w:r>
              <w:rPr>
                <w:sz w:val="20"/>
              </w:rPr>
              <w:t>who</w:t>
            </w:r>
            <w:r>
              <w:rPr>
                <w:spacing w:val="-4"/>
                <w:sz w:val="20"/>
              </w:rPr>
              <w:t> </w:t>
            </w:r>
            <w:r>
              <w:rPr>
                <w:sz w:val="20"/>
              </w:rPr>
              <w:t>attend</w:t>
            </w:r>
            <w:r>
              <w:rPr>
                <w:spacing w:val="-7"/>
                <w:sz w:val="20"/>
              </w:rPr>
              <w:t> </w:t>
            </w:r>
            <w:r>
              <w:rPr>
                <w:sz w:val="20"/>
              </w:rPr>
              <w:t>the MCH service at least once (in the financial</w:t>
            </w:r>
            <w:r>
              <w:rPr>
                <w:spacing w:val="-4"/>
                <w:sz w:val="20"/>
              </w:rPr>
              <w:t> </w:t>
            </w:r>
            <w:r>
              <w:rPr>
                <w:sz w:val="20"/>
              </w:rPr>
              <w:t>year)</w:t>
            </w:r>
            <w:r>
              <w:rPr>
                <w:spacing w:val="-4"/>
                <w:sz w:val="20"/>
              </w:rPr>
              <w:t> </w:t>
            </w:r>
            <w:r>
              <w:rPr>
                <w:sz w:val="20"/>
              </w:rPr>
              <w:t>/</w:t>
            </w:r>
            <w:r>
              <w:rPr>
                <w:spacing w:val="-4"/>
                <w:sz w:val="20"/>
              </w:rPr>
              <w:t> </w:t>
            </w:r>
            <w:r>
              <w:rPr>
                <w:sz w:val="20"/>
              </w:rPr>
              <w:t>Number</w:t>
            </w:r>
            <w:r>
              <w:rPr>
                <w:spacing w:val="-2"/>
                <w:sz w:val="20"/>
              </w:rPr>
              <w:t> </w:t>
            </w:r>
            <w:r>
              <w:rPr>
                <w:sz w:val="20"/>
              </w:rPr>
              <w:t>of</w:t>
            </w:r>
            <w:r>
              <w:rPr>
                <w:spacing w:val="-1"/>
                <w:sz w:val="20"/>
              </w:rPr>
              <w:t> </w:t>
            </w:r>
            <w:r>
              <w:rPr>
                <w:sz w:val="20"/>
              </w:rPr>
              <w:t>children enrolled in the MCH service] x100</w:t>
            </w:r>
          </w:p>
        </w:tc>
      </w:tr>
      <w:tr>
        <w:trPr>
          <w:trHeight w:val="1149" w:hRule="atLeast"/>
        </w:trPr>
        <w:tc>
          <w:tcPr>
            <w:tcW w:w="1438" w:type="dxa"/>
            <w:tcBorders>
              <w:top w:val="single" w:sz="4" w:space="0" w:color="000000"/>
              <w:left w:val="single" w:sz="12" w:space="0" w:color="000000"/>
              <w:bottom w:val="single" w:sz="4" w:space="0" w:color="000000"/>
              <w:right w:val="nil"/>
            </w:tcBorders>
          </w:tcPr>
          <w:p>
            <w:pPr>
              <w:pStyle w:val="TableParagraph"/>
              <w:ind w:left="107"/>
              <w:rPr>
                <w:sz w:val="20"/>
              </w:rPr>
            </w:pPr>
            <w:r>
              <w:rPr>
                <w:sz w:val="20"/>
              </w:rPr>
              <w:t>Maternal</w:t>
            </w:r>
            <w:r>
              <w:rPr>
                <w:spacing w:val="-14"/>
                <w:sz w:val="20"/>
              </w:rPr>
              <w:t> </w:t>
            </w:r>
            <w:r>
              <w:rPr>
                <w:sz w:val="20"/>
              </w:rPr>
              <w:t>and Child Health</w:t>
            </w:r>
          </w:p>
        </w:tc>
        <w:tc>
          <w:tcPr>
            <w:tcW w:w="1515" w:type="dxa"/>
            <w:tcBorders>
              <w:top w:val="single" w:sz="4" w:space="0" w:color="000000"/>
              <w:left w:val="nil"/>
              <w:bottom w:val="single" w:sz="4" w:space="0" w:color="000000"/>
              <w:right w:val="nil"/>
            </w:tcBorders>
          </w:tcPr>
          <w:p>
            <w:pPr>
              <w:pStyle w:val="TableParagraph"/>
              <w:spacing w:line="229" w:lineRule="exact"/>
              <w:ind w:left="182"/>
              <w:rPr>
                <w:sz w:val="20"/>
              </w:rPr>
            </w:pPr>
            <w:r>
              <w:rPr>
                <w:spacing w:val="-2"/>
                <w:sz w:val="20"/>
              </w:rPr>
              <w:t>Participation</w:t>
            </w:r>
          </w:p>
        </w:tc>
        <w:tc>
          <w:tcPr>
            <w:tcW w:w="4097" w:type="dxa"/>
            <w:tcBorders>
              <w:top w:val="single" w:sz="4" w:space="0" w:color="000000"/>
              <w:left w:val="nil"/>
              <w:bottom w:val="single" w:sz="4" w:space="0" w:color="000000"/>
              <w:right w:val="nil"/>
            </w:tcBorders>
          </w:tcPr>
          <w:p>
            <w:pPr>
              <w:pStyle w:val="TableParagraph"/>
              <w:ind w:left="258" w:right="101" w:hanging="1"/>
              <w:rPr>
                <w:sz w:val="20"/>
              </w:rPr>
            </w:pPr>
            <w:r>
              <w:rPr>
                <w:sz w:val="20"/>
              </w:rPr>
              <w:t>Participation</w:t>
            </w:r>
            <w:r>
              <w:rPr>
                <w:spacing w:val="-5"/>
                <w:sz w:val="20"/>
              </w:rPr>
              <w:t> </w:t>
            </w:r>
            <w:r>
              <w:rPr>
                <w:sz w:val="20"/>
              </w:rPr>
              <w:t>in</w:t>
            </w:r>
            <w:r>
              <w:rPr>
                <w:spacing w:val="-5"/>
                <w:sz w:val="20"/>
              </w:rPr>
              <w:t> </w:t>
            </w:r>
            <w:r>
              <w:rPr>
                <w:sz w:val="20"/>
              </w:rPr>
              <w:t>the</w:t>
            </w:r>
            <w:r>
              <w:rPr>
                <w:spacing w:val="-6"/>
                <w:sz w:val="20"/>
              </w:rPr>
              <w:t> </w:t>
            </w:r>
            <w:r>
              <w:rPr>
                <w:sz w:val="20"/>
              </w:rPr>
              <w:t>MCH</w:t>
            </w:r>
            <w:r>
              <w:rPr>
                <w:spacing w:val="-5"/>
                <w:sz w:val="20"/>
              </w:rPr>
              <w:t> </w:t>
            </w:r>
            <w:r>
              <w:rPr>
                <w:sz w:val="20"/>
              </w:rPr>
              <w:t>service</w:t>
            </w:r>
            <w:r>
              <w:rPr>
                <w:spacing w:val="-6"/>
                <w:sz w:val="20"/>
              </w:rPr>
              <w:t> </w:t>
            </w:r>
            <w:r>
              <w:rPr>
                <w:sz w:val="20"/>
              </w:rPr>
              <w:t>by Aboriginal</w:t>
            </w:r>
            <w:r>
              <w:rPr>
                <w:spacing w:val="-11"/>
                <w:sz w:val="20"/>
              </w:rPr>
              <w:t> </w:t>
            </w:r>
            <w:r>
              <w:rPr>
                <w:sz w:val="20"/>
              </w:rPr>
              <w:t>children.</w:t>
            </w:r>
            <w:r>
              <w:rPr>
                <w:spacing w:val="37"/>
                <w:sz w:val="20"/>
              </w:rPr>
              <w:t> </w:t>
            </w:r>
            <w:r>
              <w:rPr>
                <w:sz w:val="20"/>
              </w:rPr>
              <w:t>(Percentage</w:t>
            </w:r>
            <w:r>
              <w:rPr>
                <w:spacing w:val="-11"/>
                <w:sz w:val="20"/>
              </w:rPr>
              <w:t> </w:t>
            </w:r>
            <w:r>
              <w:rPr>
                <w:sz w:val="20"/>
              </w:rPr>
              <w:t>of Aboriginal children enrolled who participate in the MCH service)</w:t>
            </w:r>
          </w:p>
        </w:tc>
        <w:tc>
          <w:tcPr>
            <w:tcW w:w="3406" w:type="dxa"/>
            <w:tcBorders>
              <w:top w:val="single" w:sz="4" w:space="0" w:color="000000"/>
              <w:left w:val="nil"/>
              <w:bottom w:val="single" w:sz="4" w:space="0" w:color="000000"/>
              <w:right w:val="single" w:sz="12" w:space="0" w:color="000000"/>
            </w:tcBorders>
          </w:tcPr>
          <w:p>
            <w:pPr>
              <w:pStyle w:val="TableParagraph"/>
              <w:ind w:left="111" w:right="76"/>
              <w:rPr>
                <w:sz w:val="20"/>
              </w:rPr>
            </w:pPr>
            <w:r>
              <w:rPr>
                <w:sz w:val="20"/>
              </w:rPr>
              <w:t>[Number</w:t>
            </w:r>
            <w:r>
              <w:rPr>
                <w:spacing w:val="-5"/>
                <w:sz w:val="20"/>
              </w:rPr>
              <w:t> </w:t>
            </w:r>
            <w:r>
              <w:rPr>
                <w:sz w:val="20"/>
              </w:rPr>
              <w:t>of</w:t>
            </w:r>
            <w:r>
              <w:rPr>
                <w:spacing w:val="-4"/>
                <w:sz w:val="20"/>
              </w:rPr>
              <w:t> </w:t>
            </w:r>
            <w:r>
              <w:rPr>
                <w:sz w:val="20"/>
              </w:rPr>
              <w:t>Aboriginal</w:t>
            </w:r>
            <w:r>
              <w:rPr>
                <w:spacing w:val="-9"/>
                <w:sz w:val="20"/>
              </w:rPr>
              <w:t> </w:t>
            </w:r>
            <w:r>
              <w:rPr>
                <w:sz w:val="20"/>
              </w:rPr>
              <w:t>children</w:t>
            </w:r>
            <w:r>
              <w:rPr>
                <w:spacing w:val="-8"/>
                <w:sz w:val="20"/>
              </w:rPr>
              <w:t> </w:t>
            </w:r>
            <w:r>
              <w:rPr>
                <w:sz w:val="20"/>
              </w:rPr>
              <w:t>who attend the MCH service at least once (in the financial year) /</w:t>
            </w:r>
          </w:p>
          <w:p>
            <w:pPr>
              <w:pStyle w:val="TableParagraph"/>
              <w:spacing w:line="230" w:lineRule="exact"/>
              <w:ind w:left="111"/>
              <w:rPr>
                <w:sz w:val="20"/>
              </w:rPr>
            </w:pPr>
            <w:r>
              <w:rPr>
                <w:sz w:val="20"/>
              </w:rPr>
              <w:t>Number of Aboriginal children enrolled</w:t>
            </w:r>
            <w:r>
              <w:rPr>
                <w:spacing w:val="-6"/>
                <w:sz w:val="20"/>
              </w:rPr>
              <w:t> </w:t>
            </w:r>
            <w:r>
              <w:rPr>
                <w:sz w:val="20"/>
              </w:rPr>
              <w:t>in</w:t>
            </w:r>
            <w:r>
              <w:rPr>
                <w:spacing w:val="-6"/>
                <w:sz w:val="20"/>
              </w:rPr>
              <w:t> </w:t>
            </w:r>
            <w:r>
              <w:rPr>
                <w:sz w:val="20"/>
              </w:rPr>
              <w:t>the</w:t>
            </w:r>
            <w:r>
              <w:rPr>
                <w:spacing w:val="-7"/>
                <w:sz w:val="20"/>
              </w:rPr>
              <w:t> </w:t>
            </w:r>
            <w:r>
              <w:rPr>
                <w:sz w:val="20"/>
              </w:rPr>
              <w:t>MCH</w:t>
            </w:r>
            <w:r>
              <w:rPr>
                <w:spacing w:val="-6"/>
                <w:sz w:val="20"/>
              </w:rPr>
              <w:t> </w:t>
            </w:r>
            <w:r>
              <w:rPr>
                <w:sz w:val="20"/>
              </w:rPr>
              <w:t>service]</w:t>
            </w:r>
            <w:r>
              <w:rPr>
                <w:spacing w:val="-6"/>
                <w:sz w:val="20"/>
              </w:rPr>
              <w:t> </w:t>
            </w:r>
            <w:r>
              <w:rPr>
                <w:sz w:val="20"/>
              </w:rPr>
              <w:t>x100</w:t>
            </w:r>
          </w:p>
        </w:tc>
      </w:tr>
      <w:tr>
        <w:trPr>
          <w:trHeight w:val="742" w:hRule="atLeast"/>
        </w:trPr>
        <w:tc>
          <w:tcPr>
            <w:tcW w:w="1438" w:type="dxa"/>
            <w:tcBorders>
              <w:top w:val="single" w:sz="4" w:space="0" w:color="000000"/>
              <w:left w:val="single" w:sz="12" w:space="0" w:color="000000"/>
              <w:bottom w:val="single" w:sz="12" w:space="0" w:color="000000"/>
              <w:right w:val="nil"/>
            </w:tcBorders>
          </w:tcPr>
          <w:p>
            <w:pPr>
              <w:pStyle w:val="TableParagraph"/>
              <w:spacing w:line="229" w:lineRule="exact"/>
              <w:ind w:left="107"/>
              <w:rPr>
                <w:sz w:val="20"/>
              </w:rPr>
            </w:pPr>
            <w:r>
              <w:rPr>
                <w:spacing w:val="-2"/>
                <w:sz w:val="20"/>
              </w:rPr>
              <w:t>Libraries</w:t>
            </w:r>
          </w:p>
        </w:tc>
        <w:tc>
          <w:tcPr>
            <w:tcW w:w="1515" w:type="dxa"/>
            <w:tcBorders>
              <w:top w:val="single" w:sz="4" w:space="0" w:color="000000"/>
              <w:left w:val="nil"/>
              <w:bottom w:val="single" w:sz="12" w:space="0" w:color="000000"/>
              <w:right w:val="nil"/>
            </w:tcBorders>
          </w:tcPr>
          <w:p>
            <w:pPr>
              <w:pStyle w:val="TableParagraph"/>
              <w:spacing w:line="229" w:lineRule="exact"/>
              <w:ind w:left="182"/>
              <w:rPr>
                <w:sz w:val="20"/>
              </w:rPr>
            </w:pPr>
            <w:r>
              <w:rPr>
                <w:spacing w:val="-2"/>
                <w:sz w:val="20"/>
              </w:rPr>
              <w:t>Participation</w:t>
            </w:r>
          </w:p>
        </w:tc>
        <w:tc>
          <w:tcPr>
            <w:tcW w:w="4097" w:type="dxa"/>
            <w:tcBorders>
              <w:top w:val="single" w:sz="4" w:space="0" w:color="000000"/>
              <w:left w:val="nil"/>
              <w:bottom w:val="single" w:sz="12" w:space="0" w:color="000000"/>
              <w:right w:val="nil"/>
            </w:tcBorders>
          </w:tcPr>
          <w:p>
            <w:pPr>
              <w:pStyle w:val="TableParagraph"/>
              <w:ind w:left="258"/>
              <w:rPr>
                <w:sz w:val="20"/>
              </w:rPr>
            </w:pPr>
            <w:r>
              <w:rPr>
                <w:sz w:val="20"/>
              </w:rPr>
              <w:t>Library</w:t>
            </w:r>
            <w:r>
              <w:rPr>
                <w:spacing w:val="-11"/>
                <w:sz w:val="20"/>
              </w:rPr>
              <w:t> </w:t>
            </w:r>
            <w:r>
              <w:rPr>
                <w:sz w:val="20"/>
              </w:rPr>
              <w:t>membership</w:t>
            </w:r>
            <w:r>
              <w:rPr>
                <w:spacing w:val="-9"/>
                <w:sz w:val="20"/>
              </w:rPr>
              <w:t> </w:t>
            </w:r>
            <w:r>
              <w:rPr>
                <w:sz w:val="20"/>
              </w:rPr>
              <w:t>(Percentage</w:t>
            </w:r>
            <w:r>
              <w:rPr>
                <w:spacing w:val="-13"/>
                <w:sz w:val="20"/>
              </w:rPr>
              <w:t> </w:t>
            </w:r>
            <w:r>
              <w:rPr>
                <w:sz w:val="20"/>
              </w:rPr>
              <w:t>of</w:t>
            </w:r>
            <w:r>
              <w:rPr>
                <w:spacing w:val="-9"/>
                <w:sz w:val="20"/>
              </w:rPr>
              <w:t> </w:t>
            </w:r>
            <w:r>
              <w:rPr>
                <w:sz w:val="20"/>
              </w:rPr>
              <w:t>the population that are registered library </w:t>
            </w:r>
            <w:r>
              <w:rPr>
                <w:spacing w:val="-2"/>
                <w:sz w:val="20"/>
              </w:rPr>
              <w:t>members)</w:t>
            </w:r>
          </w:p>
        </w:tc>
        <w:tc>
          <w:tcPr>
            <w:tcW w:w="3406" w:type="dxa"/>
            <w:tcBorders>
              <w:top w:val="single" w:sz="4" w:space="0" w:color="000000"/>
              <w:left w:val="nil"/>
              <w:bottom w:val="single" w:sz="12" w:space="0" w:color="000000"/>
              <w:right w:val="single" w:sz="12" w:space="0" w:color="000000"/>
            </w:tcBorders>
          </w:tcPr>
          <w:p>
            <w:pPr>
              <w:pStyle w:val="TableParagraph"/>
              <w:tabs>
                <w:tab w:pos="1149" w:val="left" w:leader="none"/>
                <w:tab w:pos="1590" w:val="left" w:leader="none"/>
                <w:tab w:pos="2755" w:val="left" w:leader="none"/>
              </w:tabs>
              <w:ind w:left="111" w:right="74"/>
              <w:rPr>
                <w:sz w:val="20"/>
              </w:rPr>
            </w:pPr>
            <w:r>
              <w:rPr>
                <w:spacing w:val="-2"/>
                <w:sz w:val="20"/>
              </w:rPr>
              <w:t>[Number</w:t>
            </w:r>
            <w:r>
              <w:rPr>
                <w:sz w:val="20"/>
              </w:rPr>
              <w:tab/>
            </w:r>
            <w:r>
              <w:rPr>
                <w:spacing w:val="-6"/>
                <w:sz w:val="20"/>
              </w:rPr>
              <w:t>of</w:t>
            </w:r>
            <w:r>
              <w:rPr>
                <w:sz w:val="20"/>
              </w:rPr>
              <w:tab/>
            </w:r>
            <w:r>
              <w:rPr>
                <w:spacing w:val="-2"/>
                <w:sz w:val="20"/>
              </w:rPr>
              <w:t>registered</w:t>
            </w:r>
            <w:r>
              <w:rPr>
                <w:sz w:val="20"/>
              </w:rPr>
              <w:tab/>
            </w:r>
            <w:r>
              <w:rPr>
                <w:spacing w:val="-2"/>
                <w:sz w:val="20"/>
              </w:rPr>
              <w:t>library </w:t>
            </w:r>
            <w:r>
              <w:rPr>
                <w:sz w:val="20"/>
              </w:rPr>
              <w:t>members / Population] x100</w:t>
            </w:r>
          </w:p>
        </w:tc>
      </w:tr>
    </w:tbl>
    <w:p>
      <w:pPr>
        <w:spacing w:after="0"/>
        <w:rPr>
          <w:sz w:val="20"/>
        </w:rPr>
        <w:sectPr>
          <w:pgSz w:w="11910" w:h="16840"/>
          <w:pgMar w:header="0" w:footer="375" w:top="480" w:bottom="560" w:left="460" w:right="160"/>
        </w:sectPr>
      </w:pPr>
    </w:p>
    <w:p>
      <w:pPr>
        <w:pStyle w:val="Heading2"/>
        <w:numPr>
          <w:ilvl w:val="2"/>
          <w:numId w:val="12"/>
        </w:numPr>
        <w:tabs>
          <w:tab w:pos="861" w:val="left" w:leader="none"/>
        </w:tabs>
        <w:spacing w:line="240" w:lineRule="auto" w:before="71" w:after="0"/>
        <w:ind w:left="860" w:right="0" w:hanging="470"/>
        <w:jc w:val="left"/>
      </w:pPr>
      <w:bookmarkStart w:name="_TOC_250013" w:id="19"/>
      <w:r>
        <w:rPr>
          <w:color w:val="4966AC"/>
        </w:rPr>
        <w:t>Outcome</w:t>
      </w:r>
      <w:r>
        <w:rPr>
          <w:color w:val="4966AC"/>
          <w:spacing w:val="-8"/>
        </w:rPr>
        <w:t> </w:t>
      </w:r>
      <w:r>
        <w:rPr>
          <w:color w:val="4966AC"/>
        </w:rPr>
        <w:t>Area</w:t>
      </w:r>
      <w:r>
        <w:rPr>
          <w:color w:val="4966AC"/>
          <w:spacing w:val="-5"/>
        </w:rPr>
        <w:t> </w:t>
      </w:r>
      <w:r>
        <w:rPr>
          <w:color w:val="4966AC"/>
        </w:rPr>
        <w:t>(Strategic</w:t>
      </w:r>
      <w:r>
        <w:rPr>
          <w:color w:val="4966AC"/>
          <w:spacing w:val="-5"/>
        </w:rPr>
        <w:t> </w:t>
      </w:r>
      <w:r>
        <w:rPr>
          <w:color w:val="4966AC"/>
        </w:rPr>
        <w:t>Objective)</w:t>
      </w:r>
      <w:r>
        <w:rPr>
          <w:color w:val="4966AC"/>
          <w:spacing w:val="-1"/>
        </w:rPr>
        <w:t> </w:t>
      </w:r>
      <w:r>
        <w:rPr>
          <w:color w:val="4966AC"/>
        </w:rPr>
        <w:t>2:</w:t>
      </w:r>
      <w:r>
        <w:rPr>
          <w:color w:val="4966AC"/>
          <w:spacing w:val="-4"/>
        </w:rPr>
        <w:t> </w:t>
      </w:r>
      <w:r>
        <w:rPr>
          <w:color w:val="4966AC"/>
        </w:rPr>
        <w:t>A</w:t>
      </w:r>
      <w:r>
        <w:rPr>
          <w:color w:val="4966AC"/>
          <w:spacing w:val="-3"/>
        </w:rPr>
        <w:t> </w:t>
      </w:r>
      <w:r>
        <w:rPr>
          <w:color w:val="4966AC"/>
        </w:rPr>
        <w:t>safe and</w:t>
      </w:r>
      <w:r>
        <w:rPr>
          <w:color w:val="4966AC"/>
          <w:spacing w:val="-3"/>
        </w:rPr>
        <w:t> </w:t>
      </w:r>
      <w:r>
        <w:rPr>
          <w:color w:val="4966AC"/>
        </w:rPr>
        <w:t>liveable</w:t>
      </w:r>
      <w:r>
        <w:rPr>
          <w:color w:val="4966AC"/>
          <w:spacing w:val="-5"/>
        </w:rPr>
        <w:t> </w:t>
      </w:r>
      <w:bookmarkEnd w:id="19"/>
      <w:r>
        <w:rPr>
          <w:color w:val="4966AC"/>
          <w:spacing w:val="-2"/>
        </w:rPr>
        <w:t>community</w:t>
      </w:r>
    </w:p>
    <w:p>
      <w:pPr>
        <w:pStyle w:val="BodyText"/>
        <w:spacing w:before="9"/>
        <w:rPr>
          <w:b/>
          <w:sz w:val="21"/>
        </w:rPr>
      </w:pPr>
    </w:p>
    <w:tbl>
      <w:tblPr>
        <w:tblW w:w="0" w:type="auto"/>
        <w:jc w:val="left"/>
        <w:tblInd w:w="4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553"/>
        <w:gridCol w:w="3540"/>
        <w:gridCol w:w="1537"/>
        <w:gridCol w:w="1348"/>
        <w:gridCol w:w="1216"/>
        <w:gridCol w:w="1234"/>
      </w:tblGrid>
      <w:tr>
        <w:trPr>
          <w:trHeight w:val="900" w:hRule="atLeast"/>
        </w:trPr>
        <w:tc>
          <w:tcPr>
            <w:tcW w:w="1553" w:type="dxa"/>
            <w:tcBorders>
              <w:left w:val="single" w:sz="12" w:space="0" w:color="000000"/>
              <w:bottom w:val="single" w:sz="4" w:space="0" w:color="000000"/>
              <w:right w:val="nil"/>
            </w:tcBorders>
            <w:shd w:val="clear" w:color="auto" w:fill="5B9AD4"/>
          </w:tcPr>
          <w:p>
            <w:pPr>
              <w:pStyle w:val="TableParagraph"/>
              <w:spacing w:before="2"/>
              <w:rPr>
                <w:b/>
                <w:sz w:val="19"/>
              </w:rPr>
            </w:pPr>
          </w:p>
          <w:p>
            <w:pPr>
              <w:pStyle w:val="TableParagraph"/>
              <w:ind w:left="169"/>
              <w:rPr>
                <w:b/>
                <w:sz w:val="20"/>
              </w:rPr>
            </w:pPr>
            <w:r>
              <w:rPr>
                <w:b/>
                <w:color w:val="FFFFFF"/>
                <w:sz w:val="20"/>
              </w:rPr>
              <w:t>Service</w:t>
            </w:r>
            <w:r>
              <w:rPr>
                <w:b/>
                <w:color w:val="FFFFFF"/>
                <w:spacing w:val="-10"/>
                <w:sz w:val="20"/>
              </w:rPr>
              <w:t> </w:t>
            </w:r>
            <w:r>
              <w:rPr>
                <w:b/>
                <w:color w:val="FFFFFF"/>
                <w:spacing w:val="-4"/>
                <w:sz w:val="20"/>
              </w:rPr>
              <w:t>Area</w:t>
            </w:r>
          </w:p>
        </w:tc>
        <w:tc>
          <w:tcPr>
            <w:tcW w:w="3540" w:type="dxa"/>
            <w:tcBorders>
              <w:left w:val="nil"/>
              <w:bottom w:val="single" w:sz="4" w:space="0" w:color="000000"/>
              <w:right w:val="nil"/>
            </w:tcBorders>
            <w:shd w:val="clear" w:color="auto" w:fill="5B9AD4"/>
          </w:tcPr>
          <w:p>
            <w:pPr>
              <w:pStyle w:val="TableParagraph"/>
              <w:spacing w:before="9"/>
              <w:rPr>
                <w:b/>
                <w:sz w:val="28"/>
              </w:rPr>
            </w:pPr>
          </w:p>
          <w:p>
            <w:pPr>
              <w:pStyle w:val="TableParagraph"/>
              <w:ind w:left="916"/>
              <w:rPr>
                <w:b/>
                <w:sz w:val="20"/>
              </w:rPr>
            </w:pPr>
            <w:r>
              <w:rPr>
                <w:b/>
                <w:color w:val="FFFFFF"/>
                <w:sz w:val="20"/>
              </w:rPr>
              <w:t>Services</w:t>
            </w:r>
            <w:r>
              <w:rPr>
                <w:b/>
                <w:color w:val="FFFFFF"/>
                <w:spacing w:val="-9"/>
                <w:sz w:val="20"/>
              </w:rPr>
              <w:t> </w:t>
            </w:r>
            <w:r>
              <w:rPr>
                <w:b/>
                <w:color w:val="FFFFFF"/>
                <w:spacing w:val="-2"/>
                <w:sz w:val="20"/>
              </w:rPr>
              <w:t>Provided</w:t>
            </w:r>
          </w:p>
        </w:tc>
        <w:tc>
          <w:tcPr>
            <w:tcW w:w="1537" w:type="dxa"/>
            <w:tcBorders>
              <w:left w:val="nil"/>
              <w:bottom w:val="single" w:sz="4" w:space="0" w:color="000000"/>
              <w:right w:val="nil"/>
            </w:tcBorders>
            <w:shd w:val="clear" w:color="auto" w:fill="5B9AD4"/>
          </w:tcPr>
          <w:p>
            <w:pPr>
              <w:pStyle w:val="TableParagraph"/>
              <w:rPr>
                <w:rFonts w:ascii="Times New Roman"/>
                <w:sz w:val="18"/>
              </w:rPr>
            </w:pPr>
          </w:p>
        </w:tc>
        <w:tc>
          <w:tcPr>
            <w:tcW w:w="1348" w:type="dxa"/>
            <w:tcBorders>
              <w:left w:val="nil"/>
              <w:bottom w:val="single" w:sz="4" w:space="0" w:color="000000"/>
              <w:right w:val="nil"/>
            </w:tcBorders>
            <w:shd w:val="clear" w:color="auto" w:fill="5B9AD4"/>
          </w:tcPr>
          <w:p>
            <w:pPr>
              <w:pStyle w:val="TableParagraph"/>
              <w:spacing w:before="28"/>
              <w:ind w:left="350" w:right="222"/>
              <w:jc w:val="center"/>
              <w:rPr>
                <w:b/>
                <w:sz w:val="20"/>
              </w:rPr>
            </w:pPr>
            <w:r>
              <w:rPr>
                <w:b/>
                <w:color w:val="FFFFFF"/>
                <w:spacing w:val="-2"/>
                <w:sz w:val="20"/>
              </w:rPr>
              <w:t>2023/24</w:t>
            </w:r>
          </w:p>
          <w:p>
            <w:pPr>
              <w:pStyle w:val="TableParagraph"/>
              <w:spacing w:before="73"/>
              <w:ind w:left="350" w:right="223"/>
              <w:jc w:val="center"/>
              <w:rPr>
                <w:b/>
                <w:sz w:val="20"/>
              </w:rPr>
            </w:pPr>
            <w:r>
              <w:rPr>
                <w:b/>
                <w:color w:val="FFFFFF"/>
                <w:spacing w:val="-2"/>
                <w:sz w:val="20"/>
              </w:rPr>
              <w:t>Actual</w:t>
            </w:r>
          </w:p>
          <w:p>
            <w:pPr>
              <w:pStyle w:val="TableParagraph"/>
              <w:spacing w:before="72"/>
              <w:ind w:left="350" w:right="223"/>
              <w:jc w:val="center"/>
              <w:rPr>
                <w:b/>
                <w:sz w:val="20"/>
              </w:rPr>
            </w:pPr>
            <w:r>
              <w:rPr>
                <w:b/>
                <w:color w:val="FFFFFF"/>
                <w:spacing w:val="-2"/>
                <w:sz w:val="20"/>
              </w:rPr>
              <w:t>$'000</w:t>
            </w:r>
          </w:p>
        </w:tc>
        <w:tc>
          <w:tcPr>
            <w:tcW w:w="1216" w:type="dxa"/>
            <w:tcBorders>
              <w:left w:val="nil"/>
              <w:bottom w:val="single" w:sz="4" w:space="0" w:color="000000"/>
              <w:right w:val="nil"/>
            </w:tcBorders>
            <w:shd w:val="clear" w:color="auto" w:fill="5B9AD4"/>
          </w:tcPr>
          <w:p>
            <w:pPr>
              <w:pStyle w:val="TableParagraph"/>
              <w:spacing w:before="28"/>
              <w:ind w:left="80" w:right="113"/>
              <w:jc w:val="center"/>
              <w:rPr>
                <w:b/>
                <w:sz w:val="20"/>
              </w:rPr>
            </w:pPr>
            <w:r>
              <w:rPr>
                <w:b/>
                <w:color w:val="FFFFFF"/>
                <w:spacing w:val="-2"/>
                <w:sz w:val="20"/>
              </w:rPr>
              <w:t>2024/25</w:t>
            </w:r>
          </w:p>
          <w:p>
            <w:pPr>
              <w:pStyle w:val="TableParagraph"/>
              <w:spacing w:before="73"/>
              <w:ind w:left="81" w:right="113"/>
              <w:jc w:val="center"/>
              <w:rPr>
                <w:b/>
                <w:sz w:val="20"/>
              </w:rPr>
            </w:pPr>
            <w:r>
              <w:rPr>
                <w:b/>
                <w:color w:val="FFFFFF"/>
                <w:spacing w:val="-2"/>
                <w:sz w:val="20"/>
              </w:rPr>
              <w:t>Forecast</w:t>
            </w:r>
          </w:p>
          <w:p>
            <w:pPr>
              <w:pStyle w:val="TableParagraph"/>
              <w:spacing w:before="72"/>
              <w:ind w:left="79" w:right="113"/>
              <w:jc w:val="center"/>
              <w:rPr>
                <w:b/>
                <w:sz w:val="20"/>
              </w:rPr>
            </w:pPr>
            <w:r>
              <w:rPr>
                <w:b/>
                <w:color w:val="FFFFFF"/>
                <w:spacing w:val="-2"/>
                <w:sz w:val="20"/>
              </w:rPr>
              <w:t>$'000</w:t>
            </w:r>
          </w:p>
        </w:tc>
        <w:tc>
          <w:tcPr>
            <w:tcW w:w="1234" w:type="dxa"/>
            <w:tcBorders>
              <w:left w:val="nil"/>
              <w:bottom w:val="single" w:sz="4" w:space="0" w:color="000000"/>
              <w:right w:val="single" w:sz="12" w:space="0" w:color="000000"/>
            </w:tcBorders>
            <w:shd w:val="clear" w:color="auto" w:fill="5B9AD4"/>
          </w:tcPr>
          <w:p>
            <w:pPr>
              <w:pStyle w:val="TableParagraph"/>
              <w:spacing w:before="28"/>
              <w:ind w:left="240" w:right="221"/>
              <w:jc w:val="center"/>
              <w:rPr>
                <w:b/>
                <w:sz w:val="20"/>
              </w:rPr>
            </w:pPr>
            <w:r>
              <w:rPr>
                <w:b/>
                <w:color w:val="FFFFFF"/>
                <w:spacing w:val="-2"/>
                <w:sz w:val="20"/>
              </w:rPr>
              <w:t>2025/26</w:t>
            </w:r>
          </w:p>
          <w:p>
            <w:pPr>
              <w:pStyle w:val="TableParagraph"/>
              <w:spacing w:before="73"/>
              <w:ind w:left="240" w:right="219"/>
              <w:jc w:val="center"/>
              <w:rPr>
                <w:b/>
                <w:sz w:val="20"/>
              </w:rPr>
            </w:pPr>
            <w:r>
              <w:rPr>
                <w:b/>
                <w:color w:val="FFFFFF"/>
                <w:spacing w:val="-2"/>
                <w:sz w:val="20"/>
              </w:rPr>
              <w:t>Budget</w:t>
            </w:r>
          </w:p>
          <w:p>
            <w:pPr>
              <w:pStyle w:val="TableParagraph"/>
              <w:spacing w:before="72"/>
              <w:ind w:left="240" w:right="221"/>
              <w:jc w:val="center"/>
              <w:rPr>
                <w:b/>
                <w:sz w:val="20"/>
              </w:rPr>
            </w:pPr>
            <w:r>
              <w:rPr>
                <w:b/>
                <w:color w:val="FFFFFF"/>
                <w:spacing w:val="-2"/>
                <w:sz w:val="20"/>
              </w:rPr>
              <w:t>$'000</w:t>
            </w:r>
          </w:p>
        </w:tc>
      </w:tr>
      <w:tr>
        <w:trPr>
          <w:trHeight w:val="616" w:hRule="atLeast"/>
        </w:trPr>
        <w:tc>
          <w:tcPr>
            <w:tcW w:w="1553" w:type="dxa"/>
            <w:vMerge w:val="restart"/>
            <w:tcBorders>
              <w:top w:val="single" w:sz="4" w:space="0" w:color="000000"/>
              <w:left w:val="single" w:sz="12" w:space="0" w:color="000000"/>
              <w:bottom w:val="single" w:sz="4" w:space="0" w:color="000000"/>
              <w:right w:val="single" w:sz="4" w:space="0" w:color="000000"/>
            </w:tcBorders>
          </w:tcPr>
          <w:p>
            <w:pPr>
              <w:pStyle w:val="TableParagraph"/>
              <w:ind w:left="107"/>
              <w:rPr>
                <w:sz w:val="20"/>
              </w:rPr>
            </w:pPr>
            <w:r>
              <w:rPr>
                <w:spacing w:val="-2"/>
                <w:sz w:val="20"/>
              </w:rPr>
              <w:t>Asset management</w:t>
            </w:r>
          </w:p>
        </w:tc>
        <w:tc>
          <w:tcPr>
            <w:tcW w:w="3540" w:type="dxa"/>
            <w:vMerge w:val="restart"/>
            <w:tcBorders>
              <w:top w:val="single" w:sz="4" w:space="0" w:color="000000"/>
              <w:left w:val="single" w:sz="4" w:space="0" w:color="000000"/>
              <w:bottom w:val="single" w:sz="4" w:space="0" w:color="000000"/>
              <w:right w:val="single" w:sz="4" w:space="0" w:color="000000"/>
            </w:tcBorders>
          </w:tcPr>
          <w:p>
            <w:pPr>
              <w:pStyle w:val="TableParagraph"/>
              <w:numPr>
                <w:ilvl w:val="0"/>
                <w:numId w:val="25"/>
              </w:numPr>
              <w:tabs>
                <w:tab w:pos="429" w:val="left" w:leader="none"/>
                <w:tab w:pos="430" w:val="left" w:leader="none"/>
              </w:tabs>
              <w:spacing w:line="244" w:lineRule="exact" w:before="2" w:after="0"/>
              <w:ind w:left="429" w:right="0" w:hanging="313"/>
              <w:jc w:val="left"/>
              <w:rPr>
                <w:sz w:val="20"/>
              </w:rPr>
            </w:pPr>
            <w:r>
              <w:rPr>
                <w:sz w:val="20"/>
              </w:rPr>
              <w:t>Asset</w:t>
            </w:r>
            <w:r>
              <w:rPr>
                <w:spacing w:val="-6"/>
                <w:sz w:val="20"/>
              </w:rPr>
              <w:t> </w:t>
            </w:r>
            <w:r>
              <w:rPr>
                <w:sz w:val="20"/>
              </w:rPr>
              <w:t>data</w:t>
            </w:r>
            <w:r>
              <w:rPr>
                <w:spacing w:val="-5"/>
                <w:sz w:val="20"/>
              </w:rPr>
              <w:t> </w:t>
            </w:r>
            <w:r>
              <w:rPr>
                <w:spacing w:val="-2"/>
                <w:sz w:val="20"/>
              </w:rPr>
              <w:t>management</w:t>
            </w:r>
          </w:p>
          <w:p>
            <w:pPr>
              <w:pStyle w:val="TableParagraph"/>
              <w:numPr>
                <w:ilvl w:val="0"/>
                <w:numId w:val="25"/>
              </w:numPr>
              <w:tabs>
                <w:tab w:pos="429" w:val="left" w:leader="none"/>
                <w:tab w:pos="430" w:val="left" w:leader="none"/>
              </w:tabs>
              <w:spacing w:line="244" w:lineRule="exact" w:before="0" w:after="0"/>
              <w:ind w:left="429" w:right="0" w:hanging="313"/>
              <w:jc w:val="left"/>
              <w:rPr>
                <w:sz w:val="20"/>
              </w:rPr>
            </w:pPr>
            <w:r>
              <w:rPr>
                <w:sz w:val="20"/>
              </w:rPr>
              <w:t>Asset</w:t>
            </w:r>
            <w:r>
              <w:rPr>
                <w:spacing w:val="-8"/>
                <w:sz w:val="20"/>
              </w:rPr>
              <w:t> </w:t>
            </w:r>
            <w:r>
              <w:rPr>
                <w:spacing w:val="-2"/>
                <w:sz w:val="20"/>
              </w:rPr>
              <w:t>inspections</w:t>
            </w:r>
          </w:p>
          <w:p>
            <w:pPr>
              <w:pStyle w:val="TableParagraph"/>
              <w:numPr>
                <w:ilvl w:val="0"/>
                <w:numId w:val="25"/>
              </w:numPr>
              <w:tabs>
                <w:tab w:pos="429" w:val="left" w:leader="none"/>
                <w:tab w:pos="430" w:val="left" w:leader="none"/>
              </w:tabs>
              <w:spacing w:line="244" w:lineRule="exact" w:before="0" w:after="0"/>
              <w:ind w:left="429" w:right="0" w:hanging="313"/>
              <w:jc w:val="left"/>
              <w:rPr>
                <w:sz w:val="20"/>
              </w:rPr>
            </w:pPr>
            <w:r>
              <w:rPr>
                <w:sz w:val="20"/>
              </w:rPr>
              <w:t>Asset</w:t>
            </w:r>
            <w:r>
              <w:rPr>
                <w:spacing w:val="-8"/>
                <w:sz w:val="20"/>
              </w:rPr>
              <w:t> </w:t>
            </w:r>
            <w:r>
              <w:rPr>
                <w:spacing w:val="-2"/>
                <w:sz w:val="20"/>
              </w:rPr>
              <w:t>planning</w:t>
            </w:r>
          </w:p>
          <w:p>
            <w:pPr>
              <w:pStyle w:val="TableParagraph"/>
              <w:numPr>
                <w:ilvl w:val="0"/>
                <w:numId w:val="25"/>
              </w:numPr>
              <w:tabs>
                <w:tab w:pos="429" w:val="left" w:leader="none"/>
                <w:tab w:pos="430" w:val="left" w:leader="none"/>
              </w:tabs>
              <w:spacing w:line="242" w:lineRule="exact" w:before="0" w:after="0"/>
              <w:ind w:left="429" w:right="0" w:hanging="313"/>
              <w:jc w:val="left"/>
              <w:rPr>
                <w:sz w:val="20"/>
              </w:rPr>
            </w:pPr>
            <w:r>
              <w:rPr>
                <w:sz w:val="20"/>
              </w:rPr>
              <w:t>Asset</w:t>
            </w:r>
            <w:r>
              <w:rPr>
                <w:spacing w:val="-8"/>
                <w:sz w:val="20"/>
              </w:rPr>
              <w:t> </w:t>
            </w:r>
            <w:r>
              <w:rPr>
                <w:spacing w:val="-2"/>
                <w:sz w:val="20"/>
              </w:rPr>
              <w:t>systems</w:t>
            </w:r>
          </w:p>
          <w:p>
            <w:pPr>
              <w:pStyle w:val="TableParagraph"/>
              <w:numPr>
                <w:ilvl w:val="0"/>
                <w:numId w:val="25"/>
              </w:numPr>
              <w:tabs>
                <w:tab w:pos="429" w:val="left" w:leader="none"/>
                <w:tab w:pos="430" w:val="left" w:leader="none"/>
              </w:tabs>
              <w:spacing w:line="240" w:lineRule="auto" w:before="0" w:after="0"/>
              <w:ind w:left="429" w:right="620" w:hanging="312"/>
              <w:jc w:val="left"/>
              <w:rPr>
                <w:sz w:val="20"/>
              </w:rPr>
            </w:pPr>
            <w:r>
              <w:rPr>
                <w:sz w:val="20"/>
              </w:rPr>
              <w:t>Capital Works Program coordination</w:t>
            </w:r>
            <w:r>
              <w:rPr>
                <w:spacing w:val="-14"/>
                <w:sz w:val="20"/>
              </w:rPr>
              <w:t> </w:t>
            </w:r>
            <w:r>
              <w:rPr>
                <w:sz w:val="20"/>
              </w:rPr>
              <w:t>(facilities,</w:t>
            </w:r>
            <w:r>
              <w:rPr>
                <w:spacing w:val="-14"/>
                <w:sz w:val="20"/>
              </w:rPr>
              <w:t> </w:t>
            </w:r>
            <w:r>
              <w:rPr>
                <w:sz w:val="20"/>
              </w:rPr>
              <w:t>open space, roads)</w:t>
            </w:r>
          </w:p>
          <w:p>
            <w:pPr>
              <w:pStyle w:val="TableParagraph"/>
              <w:numPr>
                <w:ilvl w:val="0"/>
                <w:numId w:val="25"/>
              </w:numPr>
              <w:tabs>
                <w:tab w:pos="429" w:val="left" w:leader="none"/>
                <w:tab w:pos="430" w:val="left" w:leader="none"/>
              </w:tabs>
              <w:spacing w:line="240" w:lineRule="auto" w:before="0" w:after="0"/>
              <w:ind w:left="429" w:right="199" w:hanging="312"/>
              <w:jc w:val="left"/>
              <w:rPr>
                <w:sz w:val="20"/>
              </w:rPr>
            </w:pPr>
            <w:r>
              <w:rPr>
                <w:sz w:val="20"/>
              </w:rPr>
              <w:t>Capital</w:t>
            </w:r>
            <w:r>
              <w:rPr>
                <w:spacing w:val="-13"/>
                <w:sz w:val="20"/>
              </w:rPr>
              <w:t> </w:t>
            </w:r>
            <w:r>
              <w:rPr>
                <w:sz w:val="20"/>
              </w:rPr>
              <w:t>Works</w:t>
            </w:r>
            <w:r>
              <w:rPr>
                <w:spacing w:val="-14"/>
                <w:sz w:val="20"/>
              </w:rPr>
              <w:t> </w:t>
            </w:r>
            <w:r>
              <w:rPr>
                <w:sz w:val="20"/>
              </w:rPr>
              <w:t>Renewal</w:t>
            </w:r>
            <w:r>
              <w:rPr>
                <w:spacing w:val="-14"/>
                <w:sz w:val="20"/>
              </w:rPr>
              <w:t> </w:t>
            </w:r>
            <w:r>
              <w:rPr>
                <w:sz w:val="20"/>
              </w:rPr>
              <w:t>Program </w:t>
            </w:r>
            <w:r>
              <w:rPr>
                <w:spacing w:val="-2"/>
                <w:sz w:val="20"/>
              </w:rPr>
              <w:t>development</w:t>
            </w:r>
          </w:p>
          <w:p>
            <w:pPr>
              <w:pStyle w:val="TableParagraph"/>
              <w:numPr>
                <w:ilvl w:val="0"/>
                <w:numId w:val="25"/>
              </w:numPr>
              <w:tabs>
                <w:tab w:pos="429" w:val="left" w:leader="none"/>
                <w:tab w:pos="430" w:val="left" w:leader="none"/>
              </w:tabs>
              <w:spacing w:line="244" w:lineRule="exact" w:before="0" w:after="0"/>
              <w:ind w:left="429" w:right="0" w:hanging="313"/>
              <w:jc w:val="left"/>
              <w:rPr>
                <w:sz w:val="20"/>
              </w:rPr>
            </w:pPr>
            <w:r>
              <w:rPr>
                <w:sz w:val="20"/>
              </w:rPr>
              <w:t>Open</w:t>
            </w:r>
            <w:r>
              <w:rPr>
                <w:spacing w:val="-8"/>
                <w:sz w:val="20"/>
              </w:rPr>
              <w:t> </w:t>
            </w:r>
            <w:r>
              <w:rPr>
                <w:sz w:val="20"/>
              </w:rPr>
              <w:t>space</w:t>
            </w:r>
            <w:r>
              <w:rPr>
                <w:spacing w:val="-6"/>
                <w:sz w:val="20"/>
              </w:rPr>
              <w:t> </w:t>
            </w:r>
            <w:r>
              <w:rPr>
                <w:sz w:val="20"/>
              </w:rPr>
              <w:t>strategic</w:t>
            </w:r>
            <w:r>
              <w:rPr>
                <w:spacing w:val="-4"/>
                <w:sz w:val="20"/>
              </w:rPr>
              <w:t> </w:t>
            </w:r>
            <w:r>
              <w:rPr>
                <w:spacing w:val="-2"/>
                <w:sz w:val="20"/>
              </w:rPr>
              <w:t>planning</w:t>
            </w:r>
          </w:p>
          <w:p>
            <w:pPr>
              <w:pStyle w:val="TableParagraph"/>
              <w:numPr>
                <w:ilvl w:val="0"/>
                <w:numId w:val="25"/>
              </w:numPr>
              <w:tabs>
                <w:tab w:pos="429" w:val="left" w:leader="none"/>
                <w:tab w:pos="430" w:val="left" w:leader="none"/>
              </w:tabs>
              <w:spacing w:line="244" w:lineRule="exact" w:before="0" w:after="0"/>
              <w:ind w:left="429" w:right="0" w:hanging="313"/>
              <w:jc w:val="left"/>
              <w:rPr>
                <w:sz w:val="20"/>
              </w:rPr>
            </w:pPr>
            <w:r>
              <w:rPr>
                <w:sz w:val="20"/>
              </w:rPr>
              <w:t>Road</w:t>
            </w:r>
            <w:r>
              <w:rPr>
                <w:spacing w:val="-8"/>
                <w:sz w:val="20"/>
              </w:rPr>
              <w:t> </w:t>
            </w:r>
            <w:r>
              <w:rPr>
                <w:sz w:val="20"/>
              </w:rPr>
              <w:t>management</w:t>
            </w:r>
            <w:r>
              <w:rPr>
                <w:spacing w:val="-10"/>
                <w:sz w:val="20"/>
              </w:rPr>
              <w:t> </w:t>
            </w:r>
            <w:r>
              <w:rPr>
                <w:spacing w:val="-2"/>
                <w:sz w:val="20"/>
              </w:rPr>
              <w:t>planning</w:t>
            </w:r>
          </w:p>
          <w:p>
            <w:pPr>
              <w:pStyle w:val="TableParagraph"/>
              <w:numPr>
                <w:ilvl w:val="0"/>
                <w:numId w:val="25"/>
              </w:numPr>
              <w:tabs>
                <w:tab w:pos="429" w:val="left" w:leader="none"/>
                <w:tab w:pos="430" w:val="left" w:leader="none"/>
              </w:tabs>
              <w:spacing w:line="240" w:lineRule="auto" w:before="0" w:after="0"/>
              <w:ind w:left="429" w:right="0" w:hanging="313"/>
              <w:jc w:val="left"/>
              <w:rPr>
                <w:sz w:val="20"/>
              </w:rPr>
            </w:pPr>
            <w:r>
              <w:rPr>
                <w:sz w:val="20"/>
              </w:rPr>
              <w:t>Strategic</w:t>
            </w:r>
            <w:r>
              <w:rPr>
                <w:spacing w:val="-8"/>
                <w:sz w:val="20"/>
              </w:rPr>
              <w:t> </w:t>
            </w:r>
            <w:r>
              <w:rPr>
                <w:sz w:val="20"/>
              </w:rPr>
              <w:t>asset</w:t>
            </w:r>
            <w:r>
              <w:rPr>
                <w:spacing w:val="-5"/>
                <w:sz w:val="20"/>
              </w:rPr>
              <w:t> </w:t>
            </w:r>
            <w:r>
              <w:rPr>
                <w:spacing w:val="-2"/>
                <w:sz w:val="20"/>
              </w:rPr>
              <w:t>management</w:t>
            </w:r>
          </w:p>
        </w:tc>
        <w:tc>
          <w:tcPr>
            <w:tcW w:w="1537" w:type="dxa"/>
            <w:tcBorders>
              <w:top w:val="single" w:sz="4" w:space="0" w:color="000000"/>
              <w:left w:val="single" w:sz="4" w:space="0" w:color="000000"/>
              <w:bottom w:val="single" w:sz="4" w:space="0" w:color="000000"/>
              <w:right w:val="nil"/>
            </w:tcBorders>
          </w:tcPr>
          <w:p>
            <w:pPr>
              <w:pStyle w:val="TableParagraph"/>
              <w:spacing w:line="229" w:lineRule="exact"/>
              <w:ind w:left="114"/>
              <w:rPr>
                <w:sz w:val="20"/>
              </w:rPr>
            </w:pPr>
            <w:r>
              <w:rPr>
                <w:spacing w:val="-2"/>
                <w:sz w:val="20"/>
              </w:rPr>
              <w:t>Income</w:t>
            </w:r>
          </w:p>
          <w:p>
            <w:pPr>
              <w:pStyle w:val="TableParagraph"/>
              <w:spacing w:before="84"/>
              <w:ind w:left="114"/>
              <w:rPr>
                <w:sz w:val="20"/>
              </w:rPr>
            </w:pPr>
            <w:r>
              <w:rPr>
                <w:spacing w:val="-2"/>
                <w:sz w:val="20"/>
              </w:rPr>
              <w:t>Expenditure</w:t>
            </w:r>
          </w:p>
        </w:tc>
        <w:tc>
          <w:tcPr>
            <w:tcW w:w="1348" w:type="dxa"/>
            <w:tcBorders>
              <w:top w:val="single" w:sz="4" w:space="0" w:color="000000"/>
              <w:left w:val="nil"/>
              <w:bottom w:val="single" w:sz="4" w:space="0" w:color="000000"/>
              <w:right w:val="nil"/>
            </w:tcBorders>
          </w:tcPr>
          <w:p>
            <w:pPr>
              <w:pStyle w:val="TableParagraph"/>
              <w:spacing w:before="1"/>
              <w:ind w:right="149"/>
              <w:jc w:val="right"/>
              <w:rPr>
                <w:sz w:val="18"/>
              </w:rPr>
            </w:pPr>
            <w:r>
              <w:rPr>
                <w:sz w:val="18"/>
              </w:rPr>
              <w:t>-</w:t>
            </w:r>
          </w:p>
          <w:p>
            <w:pPr>
              <w:pStyle w:val="TableParagraph"/>
              <w:spacing w:before="105"/>
              <w:ind w:right="147"/>
              <w:jc w:val="right"/>
              <w:rPr>
                <w:sz w:val="18"/>
              </w:rPr>
            </w:pPr>
            <w:r>
              <w:rPr>
                <w:spacing w:val="-2"/>
                <w:sz w:val="18"/>
              </w:rPr>
              <w:t>1,729</w:t>
            </w:r>
          </w:p>
        </w:tc>
        <w:tc>
          <w:tcPr>
            <w:tcW w:w="1216" w:type="dxa"/>
            <w:tcBorders>
              <w:top w:val="single" w:sz="4" w:space="0" w:color="000000"/>
              <w:left w:val="nil"/>
              <w:bottom w:val="single" w:sz="4" w:space="0" w:color="000000"/>
              <w:right w:val="nil"/>
            </w:tcBorders>
          </w:tcPr>
          <w:p>
            <w:pPr>
              <w:pStyle w:val="TableParagraph"/>
              <w:spacing w:before="1"/>
              <w:ind w:right="93"/>
              <w:jc w:val="right"/>
              <w:rPr>
                <w:sz w:val="18"/>
              </w:rPr>
            </w:pPr>
            <w:r>
              <w:rPr>
                <w:sz w:val="18"/>
              </w:rPr>
              <w:t>-</w:t>
            </w:r>
          </w:p>
          <w:p>
            <w:pPr>
              <w:pStyle w:val="TableParagraph"/>
              <w:spacing w:before="105"/>
              <w:ind w:right="91"/>
              <w:jc w:val="right"/>
              <w:rPr>
                <w:sz w:val="18"/>
              </w:rPr>
            </w:pPr>
            <w:r>
              <w:rPr>
                <w:spacing w:val="-2"/>
                <w:sz w:val="18"/>
              </w:rPr>
              <w:t>1,725</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before="1"/>
              <w:ind w:right="79"/>
              <w:jc w:val="right"/>
              <w:rPr>
                <w:sz w:val="18"/>
              </w:rPr>
            </w:pPr>
            <w:r>
              <w:rPr>
                <w:sz w:val="18"/>
              </w:rPr>
              <w:t>-</w:t>
            </w:r>
          </w:p>
          <w:p>
            <w:pPr>
              <w:pStyle w:val="TableParagraph"/>
              <w:spacing w:before="105"/>
              <w:ind w:right="77"/>
              <w:jc w:val="right"/>
              <w:rPr>
                <w:sz w:val="18"/>
              </w:rPr>
            </w:pPr>
            <w:r>
              <w:rPr>
                <w:spacing w:val="-2"/>
                <w:sz w:val="18"/>
              </w:rPr>
              <w:t>1,964</w:t>
            </w:r>
          </w:p>
        </w:tc>
      </w:tr>
      <w:tr>
        <w:trPr>
          <w:trHeight w:val="460" w:hRule="atLeast"/>
        </w:trPr>
        <w:tc>
          <w:tcPr>
            <w:tcW w:w="1553" w:type="dxa"/>
            <w:vMerge/>
            <w:tcBorders>
              <w:top w:val="nil"/>
              <w:left w:val="single" w:sz="12" w:space="0" w:color="000000"/>
              <w:bottom w:val="single" w:sz="4" w:space="0" w:color="000000"/>
              <w:right w:val="single" w:sz="4" w:space="0" w:color="000000"/>
            </w:tcBorders>
          </w:tcPr>
          <w:p>
            <w:pPr>
              <w:rPr>
                <w:sz w:val="2"/>
                <w:szCs w:val="2"/>
              </w:rPr>
            </w:pPr>
          </w:p>
        </w:tc>
        <w:tc>
          <w:tcPr>
            <w:tcW w:w="3540" w:type="dxa"/>
            <w:vMerge/>
            <w:tcBorders>
              <w:top w:val="nil"/>
              <w:left w:val="single" w:sz="4" w:space="0" w:color="000000"/>
              <w:bottom w:val="single" w:sz="4" w:space="0" w:color="000000"/>
              <w:right w:val="single" w:sz="4" w:space="0" w:color="000000"/>
            </w:tcBorders>
          </w:tcPr>
          <w:p>
            <w:pPr>
              <w:rPr>
                <w:sz w:val="2"/>
                <w:szCs w:val="2"/>
              </w:rPr>
            </w:pPr>
          </w:p>
        </w:tc>
        <w:tc>
          <w:tcPr>
            <w:tcW w:w="1537" w:type="dxa"/>
            <w:tcBorders>
              <w:top w:val="single" w:sz="4" w:space="0" w:color="000000"/>
              <w:left w:val="single" w:sz="4" w:space="0" w:color="000000"/>
              <w:bottom w:val="single" w:sz="4" w:space="0" w:color="000000"/>
              <w:right w:val="nil"/>
            </w:tcBorders>
          </w:tcPr>
          <w:p>
            <w:pPr>
              <w:pStyle w:val="TableParagraph"/>
              <w:spacing w:line="230" w:lineRule="exact"/>
              <w:ind w:left="114"/>
              <w:rPr>
                <w:b/>
                <w:sz w:val="20"/>
              </w:rPr>
            </w:pPr>
            <w:r>
              <w:rPr>
                <w:b/>
                <w:sz w:val="20"/>
              </w:rPr>
              <w:t>Surplus</w:t>
            </w:r>
            <w:r>
              <w:rPr>
                <w:b/>
                <w:spacing w:val="-14"/>
                <w:sz w:val="20"/>
              </w:rPr>
              <w:t> </w:t>
            </w:r>
            <w:r>
              <w:rPr>
                <w:b/>
                <w:sz w:val="20"/>
              </w:rPr>
              <w:t>/ </w:t>
            </w:r>
            <w:r>
              <w:rPr>
                <w:b/>
                <w:spacing w:val="-2"/>
                <w:sz w:val="20"/>
              </w:rPr>
              <w:t>(deficit)</w:t>
            </w:r>
          </w:p>
        </w:tc>
        <w:tc>
          <w:tcPr>
            <w:tcW w:w="1348" w:type="dxa"/>
            <w:tcBorders>
              <w:top w:val="single" w:sz="4" w:space="0" w:color="000000"/>
              <w:left w:val="nil"/>
              <w:bottom w:val="single" w:sz="4" w:space="0" w:color="000000"/>
              <w:right w:val="nil"/>
            </w:tcBorders>
          </w:tcPr>
          <w:p>
            <w:pPr>
              <w:pStyle w:val="TableParagraph"/>
              <w:spacing w:line="206" w:lineRule="exact"/>
              <w:ind w:right="147"/>
              <w:jc w:val="right"/>
              <w:rPr>
                <w:b/>
                <w:sz w:val="18"/>
              </w:rPr>
            </w:pPr>
            <w:r>
              <w:rPr>
                <w:b/>
                <w:spacing w:val="-2"/>
                <w:sz w:val="18"/>
              </w:rPr>
              <w:t>(1,729)</w:t>
            </w:r>
          </w:p>
        </w:tc>
        <w:tc>
          <w:tcPr>
            <w:tcW w:w="1216" w:type="dxa"/>
            <w:tcBorders>
              <w:top w:val="single" w:sz="4" w:space="0" w:color="000000"/>
              <w:left w:val="nil"/>
              <w:bottom w:val="single" w:sz="4" w:space="0" w:color="000000"/>
              <w:right w:val="nil"/>
            </w:tcBorders>
          </w:tcPr>
          <w:p>
            <w:pPr>
              <w:pStyle w:val="TableParagraph"/>
              <w:spacing w:line="206" w:lineRule="exact"/>
              <w:ind w:right="91"/>
              <w:jc w:val="right"/>
              <w:rPr>
                <w:b/>
                <w:sz w:val="18"/>
              </w:rPr>
            </w:pPr>
            <w:r>
              <w:rPr>
                <w:b/>
                <w:spacing w:val="-2"/>
                <w:sz w:val="18"/>
              </w:rPr>
              <w:t>(1,725)</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line="206" w:lineRule="exact"/>
              <w:ind w:right="77"/>
              <w:jc w:val="right"/>
              <w:rPr>
                <w:b/>
                <w:sz w:val="18"/>
              </w:rPr>
            </w:pPr>
            <w:r>
              <w:rPr>
                <w:b/>
                <w:spacing w:val="-2"/>
                <w:sz w:val="18"/>
              </w:rPr>
              <w:t>(1,964)</w:t>
            </w:r>
          </w:p>
        </w:tc>
      </w:tr>
      <w:tr>
        <w:trPr>
          <w:trHeight w:val="2272" w:hRule="atLeast"/>
        </w:trPr>
        <w:tc>
          <w:tcPr>
            <w:tcW w:w="1553" w:type="dxa"/>
            <w:vMerge/>
            <w:tcBorders>
              <w:top w:val="nil"/>
              <w:left w:val="single" w:sz="12" w:space="0" w:color="000000"/>
              <w:bottom w:val="single" w:sz="4" w:space="0" w:color="000000"/>
              <w:right w:val="single" w:sz="4" w:space="0" w:color="000000"/>
            </w:tcBorders>
          </w:tcPr>
          <w:p>
            <w:pPr>
              <w:rPr>
                <w:sz w:val="2"/>
                <w:szCs w:val="2"/>
              </w:rPr>
            </w:pPr>
          </w:p>
        </w:tc>
        <w:tc>
          <w:tcPr>
            <w:tcW w:w="3540" w:type="dxa"/>
            <w:vMerge/>
            <w:tcBorders>
              <w:top w:val="nil"/>
              <w:left w:val="single" w:sz="4" w:space="0" w:color="000000"/>
              <w:bottom w:val="single" w:sz="4" w:space="0" w:color="000000"/>
              <w:right w:val="single" w:sz="4" w:space="0" w:color="000000"/>
            </w:tcBorders>
          </w:tcPr>
          <w:p>
            <w:pPr>
              <w:rPr>
                <w:sz w:val="2"/>
                <w:szCs w:val="2"/>
              </w:rPr>
            </w:pPr>
          </w:p>
        </w:tc>
        <w:tc>
          <w:tcPr>
            <w:tcW w:w="5335" w:type="dxa"/>
            <w:gridSpan w:val="4"/>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8"/>
              </w:rPr>
            </w:pPr>
          </w:p>
        </w:tc>
      </w:tr>
      <w:tr>
        <w:trPr>
          <w:trHeight w:val="616" w:hRule="atLeast"/>
        </w:trPr>
        <w:tc>
          <w:tcPr>
            <w:tcW w:w="1553" w:type="dxa"/>
            <w:vMerge w:val="restart"/>
            <w:tcBorders>
              <w:top w:val="single" w:sz="4" w:space="0" w:color="000000"/>
              <w:left w:val="single" w:sz="12" w:space="0" w:color="000000"/>
              <w:bottom w:val="single" w:sz="4" w:space="0" w:color="000000"/>
              <w:right w:val="single" w:sz="4" w:space="0" w:color="000000"/>
            </w:tcBorders>
          </w:tcPr>
          <w:p>
            <w:pPr>
              <w:pStyle w:val="TableParagraph"/>
              <w:ind w:left="107"/>
              <w:rPr>
                <w:sz w:val="20"/>
              </w:rPr>
            </w:pPr>
            <w:r>
              <w:rPr>
                <w:sz w:val="20"/>
              </w:rPr>
              <w:t>Asset</w:t>
            </w:r>
            <w:r>
              <w:rPr>
                <w:spacing w:val="-14"/>
                <w:sz w:val="20"/>
              </w:rPr>
              <w:t> </w:t>
            </w:r>
            <w:r>
              <w:rPr>
                <w:sz w:val="20"/>
              </w:rPr>
              <w:t>projects and facilities</w:t>
            </w:r>
          </w:p>
        </w:tc>
        <w:tc>
          <w:tcPr>
            <w:tcW w:w="3540" w:type="dxa"/>
            <w:vMerge w:val="restart"/>
            <w:tcBorders>
              <w:top w:val="single" w:sz="4" w:space="0" w:color="000000"/>
              <w:left w:val="single" w:sz="4" w:space="0" w:color="000000"/>
              <w:bottom w:val="single" w:sz="4" w:space="0" w:color="000000"/>
              <w:right w:val="single" w:sz="4" w:space="0" w:color="000000"/>
            </w:tcBorders>
          </w:tcPr>
          <w:p>
            <w:pPr>
              <w:pStyle w:val="TableParagraph"/>
              <w:numPr>
                <w:ilvl w:val="0"/>
                <w:numId w:val="26"/>
              </w:numPr>
              <w:tabs>
                <w:tab w:pos="429" w:val="left" w:leader="none"/>
                <w:tab w:pos="430" w:val="left" w:leader="none"/>
              </w:tabs>
              <w:spacing w:line="235" w:lineRule="auto" w:before="4" w:after="0"/>
              <w:ind w:left="429" w:right="911" w:hanging="312"/>
              <w:jc w:val="left"/>
              <w:rPr>
                <w:sz w:val="20"/>
              </w:rPr>
            </w:pPr>
            <w:r>
              <w:rPr>
                <w:sz w:val="20"/>
              </w:rPr>
              <w:t>Building</w:t>
            </w:r>
            <w:r>
              <w:rPr>
                <w:spacing w:val="-14"/>
                <w:sz w:val="20"/>
              </w:rPr>
              <w:t> </w:t>
            </w:r>
            <w:r>
              <w:rPr>
                <w:sz w:val="20"/>
              </w:rPr>
              <w:t>access,</w:t>
            </w:r>
            <w:r>
              <w:rPr>
                <w:spacing w:val="-14"/>
                <w:sz w:val="20"/>
              </w:rPr>
              <w:t> </w:t>
            </w:r>
            <w:r>
              <w:rPr>
                <w:sz w:val="20"/>
              </w:rPr>
              <w:t>security</w:t>
            </w:r>
            <w:r>
              <w:rPr>
                <w:sz w:val="20"/>
              </w:rPr>
              <w:t> management &amp; CCTV</w:t>
            </w:r>
          </w:p>
          <w:p>
            <w:pPr>
              <w:pStyle w:val="TableParagraph"/>
              <w:numPr>
                <w:ilvl w:val="0"/>
                <w:numId w:val="26"/>
              </w:numPr>
              <w:tabs>
                <w:tab w:pos="429" w:val="left" w:leader="none"/>
                <w:tab w:pos="430" w:val="left" w:leader="none"/>
              </w:tabs>
              <w:spacing w:line="240" w:lineRule="auto" w:before="3" w:after="0"/>
              <w:ind w:left="429" w:right="286" w:hanging="312"/>
              <w:jc w:val="left"/>
              <w:rPr>
                <w:sz w:val="20"/>
              </w:rPr>
            </w:pPr>
            <w:r>
              <w:rPr>
                <w:sz w:val="20"/>
              </w:rPr>
              <w:t>Capital</w:t>
            </w:r>
            <w:r>
              <w:rPr>
                <w:spacing w:val="-12"/>
                <w:sz w:val="20"/>
              </w:rPr>
              <w:t> </w:t>
            </w:r>
            <w:r>
              <w:rPr>
                <w:sz w:val="20"/>
              </w:rPr>
              <w:t>Works</w:t>
            </w:r>
            <w:r>
              <w:rPr>
                <w:spacing w:val="-14"/>
                <w:sz w:val="20"/>
              </w:rPr>
              <w:t> </w:t>
            </w:r>
            <w:r>
              <w:rPr>
                <w:sz w:val="20"/>
              </w:rPr>
              <w:t>Program</w:t>
            </w:r>
            <w:r>
              <w:rPr>
                <w:spacing w:val="-12"/>
                <w:sz w:val="20"/>
              </w:rPr>
              <w:t> </w:t>
            </w:r>
            <w:r>
              <w:rPr>
                <w:sz w:val="20"/>
              </w:rPr>
              <w:t>delivery (asset component)</w:t>
            </w:r>
          </w:p>
          <w:p>
            <w:pPr>
              <w:pStyle w:val="TableParagraph"/>
              <w:numPr>
                <w:ilvl w:val="0"/>
                <w:numId w:val="26"/>
              </w:numPr>
              <w:tabs>
                <w:tab w:pos="429" w:val="left" w:leader="none"/>
                <w:tab w:pos="430" w:val="left" w:leader="none"/>
              </w:tabs>
              <w:spacing w:line="240" w:lineRule="auto" w:before="1" w:after="0"/>
              <w:ind w:left="429" w:right="476" w:hanging="312"/>
              <w:jc w:val="left"/>
              <w:rPr>
                <w:sz w:val="20"/>
              </w:rPr>
            </w:pPr>
            <w:r>
              <w:rPr>
                <w:sz w:val="20"/>
              </w:rPr>
              <w:t>Design and construction management for Council’s community</w:t>
            </w:r>
            <w:r>
              <w:rPr>
                <w:spacing w:val="-13"/>
                <w:sz w:val="20"/>
              </w:rPr>
              <w:t> </w:t>
            </w:r>
            <w:r>
              <w:rPr>
                <w:sz w:val="20"/>
              </w:rPr>
              <w:t>facilities</w:t>
            </w:r>
            <w:r>
              <w:rPr>
                <w:spacing w:val="-13"/>
                <w:sz w:val="20"/>
              </w:rPr>
              <w:t> </w:t>
            </w:r>
            <w:r>
              <w:rPr>
                <w:sz w:val="20"/>
              </w:rPr>
              <w:t>and</w:t>
            </w:r>
            <w:r>
              <w:rPr>
                <w:spacing w:val="-14"/>
                <w:sz w:val="20"/>
              </w:rPr>
              <w:t> </w:t>
            </w:r>
            <w:r>
              <w:rPr>
                <w:sz w:val="20"/>
              </w:rPr>
              <w:t>open</w:t>
            </w:r>
            <w:r>
              <w:rPr>
                <w:sz w:val="20"/>
              </w:rPr>
              <w:t> </w:t>
            </w:r>
            <w:r>
              <w:rPr>
                <w:spacing w:val="-2"/>
                <w:sz w:val="20"/>
              </w:rPr>
              <w:t>space</w:t>
            </w:r>
          </w:p>
          <w:p>
            <w:pPr>
              <w:pStyle w:val="TableParagraph"/>
              <w:numPr>
                <w:ilvl w:val="0"/>
                <w:numId w:val="26"/>
              </w:numPr>
              <w:tabs>
                <w:tab w:pos="429" w:val="left" w:leader="none"/>
                <w:tab w:pos="430" w:val="left" w:leader="none"/>
              </w:tabs>
              <w:spacing w:line="235" w:lineRule="auto" w:before="2" w:after="0"/>
              <w:ind w:left="429" w:right="877" w:hanging="312"/>
              <w:jc w:val="left"/>
              <w:rPr>
                <w:sz w:val="20"/>
              </w:rPr>
            </w:pPr>
            <w:r>
              <w:rPr>
                <w:spacing w:val="-2"/>
                <w:sz w:val="20"/>
              </w:rPr>
              <w:t>Regulatory/compliance </w:t>
            </w:r>
            <w:r>
              <w:rPr>
                <w:spacing w:val="-2"/>
                <w:w w:val="95"/>
                <w:sz w:val="20"/>
              </w:rPr>
              <w:t>inspections/assessments</w:t>
            </w:r>
          </w:p>
          <w:p>
            <w:pPr>
              <w:pStyle w:val="TableParagraph"/>
              <w:numPr>
                <w:ilvl w:val="0"/>
                <w:numId w:val="26"/>
              </w:numPr>
              <w:tabs>
                <w:tab w:pos="429" w:val="left" w:leader="none"/>
                <w:tab w:pos="430" w:val="left" w:leader="none"/>
              </w:tabs>
              <w:spacing w:line="240" w:lineRule="auto" w:before="3" w:after="0"/>
              <w:ind w:left="429" w:right="476" w:hanging="312"/>
              <w:jc w:val="left"/>
              <w:rPr>
                <w:sz w:val="20"/>
              </w:rPr>
            </w:pPr>
            <w:r>
              <w:rPr>
                <w:sz w:val="20"/>
              </w:rPr>
              <w:t>Repairs/rectification and maintenance for Council’s community</w:t>
            </w:r>
            <w:r>
              <w:rPr>
                <w:spacing w:val="-13"/>
                <w:sz w:val="20"/>
              </w:rPr>
              <w:t> </w:t>
            </w:r>
            <w:r>
              <w:rPr>
                <w:sz w:val="20"/>
              </w:rPr>
              <w:t>facilities</w:t>
            </w:r>
            <w:r>
              <w:rPr>
                <w:spacing w:val="-13"/>
                <w:sz w:val="20"/>
              </w:rPr>
              <w:t> </w:t>
            </w:r>
            <w:r>
              <w:rPr>
                <w:sz w:val="20"/>
              </w:rPr>
              <w:t>and</w:t>
            </w:r>
            <w:r>
              <w:rPr>
                <w:spacing w:val="-14"/>
                <w:sz w:val="20"/>
              </w:rPr>
              <w:t> </w:t>
            </w:r>
            <w:r>
              <w:rPr>
                <w:sz w:val="20"/>
              </w:rPr>
              <w:t>open</w:t>
            </w:r>
            <w:r>
              <w:rPr>
                <w:sz w:val="20"/>
              </w:rPr>
              <w:t> </w:t>
            </w:r>
            <w:r>
              <w:rPr>
                <w:spacing w:val="-2"/>
                <w:sz w:val="20"/>
              </w:rPr>
              <w:t>space</w:t>
            </w:r>
          </w:p>
        </w:tc>
        <w:tc>
          <w:tcPr>
            <w:tcW w:w="1537" w:type="dxa"/>
            <w:tcBorders>
              <w:top w:val="single" w:sz="4" w:space="0" w:color="000000"/>
              <w:left w:val="single" w:sz="4" w:space="0" w:color="000000"/>
              <w:bottom w:val="single" w:sz="4" w:space="0" w:color="000000"/>
              <w:right w:val="nil"/>
            </w:tcBorders>
          </w:tcPr>
          <w:p>
            <w:pPr>
              <w:pStyle w:val="TableParagraph"/>
              <w:spacing w:line="229" w:lineRule="exact"/>
              <w:ind w:left="114"/>
              <w:rPr>
                <w:sz w:val="20"/>
              </w:rPr>
            </w:pPr>
            <w:r>
              <w:rPr>
                <w:spacing w:val="-2"/>
                <w:sz w:val="20"/>
              </w:rPr>
              <w:t>Income</w:t>
            </w:r>
          </w:p>
          <w:p>
            <w:pPr>
              <w:pStyle w:val="TableParagraph"/>
              <w:spacing w:before="82"/>
              <w:ind w:left="114"/>
              <w:rPr>
                <w:sz w:val="20"/>
              </w:rPr>
            </w:pPr>
            <w:r>
              <w:rPr>
                <w:spacing w:val="-2"/>
                <w:sz w:val="20"/>
              </w:rPr>
              <w:t>Expenditure</w:t>
            </w:r>
          </w:p>
        </w:tc>
        <w:tc>
          <w:tcPr>
            <w:tcW w:w="1348" w:type="dxa"/>
            <w:tcBorders>
              <w:top w:val="single" w:sz="4" w:space="0" w:color="000000"/>
              <w:left w:val="nil"/>
              <w:bottom w:val="single" w:sz="4" w:space="0" w:color="000000"/>
              <w:right w:val="nil"/>
            </w:tcBorders>
          </w:tcPr>
          <w:p>
            <w:pPr>
              <w:pStyle w:val="TableParagraph"/>
              <w:spacing w:line="206" w:lineRule="exact"/>
              <w:ind w:right="149"/>
              <w:jc w:val="right"/>
              <w:rPr>
                <w:sz w:val="18"/>
              </w:rPr>
            </w:pPr>
            <w:r>
              <w:rPr>
                <w:sz w:val="18"/>
              </w:rPr>
              <w:t>-</w:t>
            </w:r>
          </w:p>
          <w:p>
            <w:pPr>
              <w:pStyle w:val="TableParagraph"/>
              <w:spacing w:before="107"/>
              <w:ind w:left="745"/>
              <w:rPr>
                <w:sz w:val="18"/>
              </w:rPr>
            </w:pPr>
            <w:r>
              <w:rPr>
                <w:spacing w:val="-2"/>
                <w:sz w:val="18"/>
              </w:rPr>
              <w:t>2,711</w:t>
            </w:r>
          </w:p>
        </w:tc>
        <w:tc>
          <w:tcPr>
            <w:tcW w:w="1216" w:type="dxa"/>
            <w:tcBorders>
              <w:top w:val="single" w:sz="4" w:space="0" w:color="000000"/>
              <w:left w:val="nil"/>
              <w:bottom w:val="single" w:sz="4" w:space="0" w:color="000000"/>
              <w:right w:val="nil"/>
            </w:tcBorders>
          </w:tcPr>
          <w:p>
            <w:pPr>
              <w:pStyle w:val="TableParagraph"/>
              <w:spacing w:line="206" w:lineRule="exact"/>
              <w:ind w:right="94"/>
              <w:jc w:val="right"/>
              <w:rPr>
                <w:sz w:val="18"/>
              </w:rPr>
            </w:pPr>
            <w:r>
              <w:rPr>
                <w:sz w:val="18"/>
              </w:rPr>
              <w:t>4</w:t>
            </w:r>
          </w:p>
          <w:p>
            <w:pPr>
              <w:pStyle w:val="TableParagraph"/>
              <w:spacing w:before="107"/>
              <w:ind w:left="669"/>
              <w:rPr>
                <w:sz w:val="18"/>
              </w:rPr>
            </w:pPr>
            <w:r>
              <w:rPr>
                <w:spacing w:val="-2"/>
                <w:sz w:val="18"/>
              </w:rPr>
              <w:t>2,858</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line="206" w:lineRule="exact"/>
              <w:ind w:right="79"/>
              <w:jc w:val="right"/>
              <w:rPr>
                <w:sz w:val="18"/>
              </w:rPr>
            </w:pPr>
            <w:r>
              <w:rPr>
                <w:sz w:val="18"/>
              </w:rPr>
              <w:t>-</w:t>
            </w:r>
          </w:p>
          <w:p>
            <w:pPr>
              <w:pStyle w:val="TableParagraph"/>
              <w:spacing w:before="107"/>
              <w:ind w:left="671"/>
              <w:rPr>
                <w:sz w:val="18"/>
              </w:rPr>
            </w:pPr>
            <w:r>
              <w:rPr>
                <w:spacing w:val="-2"/>
                <w:sz w:val="18"/>
              </w:rPr>
              <w:t>2,575</w:t>
            </w:r>
          </w:p>
        </w:tc>
      </w:tr>
      <w:tr>
        <w:trPr>
          <w:trHeight w:val="460" w:hRule="atLeast"/>
        </w:trPr>
        <w:tc>
          <w:tcPr>
            <w:tcW w:w="1553" w:type="dxa"/>
            <w:vMerge/>
            <w:tcBorders>
              <w:top w:val="nil"/>
              <w:left w:val="single" w:sz="12" w:space="0" w:color="000000"/>
              <w:bottom w:val="single" w:sz="4" w:space="0" w:color="000000"/>
              <w:right w:val="single" w:sz="4" w:space="0" w:color="000000"/>
            </w:tcBorders>
          </w:tcPr>
          <w:p>
            <w:pPr>
              <w:rPr>
                <w:sz w:val="2"/>
                <w:szCs w:val="2"/>
              </w:rPr>
            </w:pPr>
          </w:p>
        </w:tc>
        <w:tc>
          <w:tcPr>
            <w:tcW w:w="3540" w:type="dxa"/>
            <w:vMerge/>
            <w:tcBorders>
              <w:top w:val="nil"/>
              <w:left w:val="single" w:sz="4" w:space="0" w:color="000000"/>
              <w:bottom w:val="single" w:sz="4" w:space="0" w:color="000000"/>
              <w:right w:val="single" w:sz="4" w:space="0" w:color="000000"/>
            </w:tcBorders>
          </w:tcPr>
          <w:p>
            <w:pPr>
              <w:rPr>
                <w:sz w:val="2"/>
                <w:szCs w:val="2"/>
              </w:rPr>
            </w:pPr>
          </w:p>
        </w:tc>
        <w:tc>
          <w:tcPr>
            <w:tcW w:w="1537" w:type="dxa"/>
            <w:tcBorders>
              <w:top w:val="single" w:sz="4" w:space="0" w:color="000000"/>
              <w:left w:val="single" w:sz="4" w:space="0" w:color="000000"/>
              <w:bottom w:val="single" w:sz="4" w:space="0" w:color="000000"/>
              <w:right w:val="nil"/>
            </w:tcBorders>
          </w:tcPr>
          <w:p>
            <w:pPr>
              <w:pStyle w:val="TableParagraph"/>
              <w:spacing w:line="230" w:lineRule="exact"/>
              <w:ind w:left="114"/>
              <w:rPr>
                <w:b/>
                <w:sz w:val="20"/>
              </w:rPr>
            </w:pPr>
            <w:r>
              <w:rPr>
                <w:b/>
                <w:sz w:val="20"/>
              </w:rPr>
              <w:t>Surplus</w:t>
            </w:r>
            <w:r>
              <w:rPr>
                <w:b/>
                <w:spacing w:val="-14"/>
                <w:sz w:val="20"/>
              </w:rPr>
              <w:t> </w:t>
            </w:r>
            <w:r>
              <w:rPr>
                <w:b/>
                <w:sz w:val="20"/>
              </w:rPr>
              <w:t>/ </w:t>
            </w:r>
            <w:r>
              <w:rPr>
                <w:b/>
                <w:spacing w:val="-2"/>
                <w:sz w:val="20"/>
              </w:rPr>
              <w:t>(deficit)</w:t>
            </w:r>
          </w:p>
        </w:tc>
        <w:tc>
          <w:tcPr>
            <w:tcW w:w="1348" w:type="dxa"/>
            <w:tcBorders>
              <w:top w:val="single" w:sz="4" w:space="0" w:color="000000"/>
              <w:left w:val="nil"/>
              <w:bottom w:val="single" w:sz="4" w:space="0" w:color="000000"/>
              <w:right w:val="nil"/>
            </w:tcBorders>
          </w:tcPr>
          <w:p>
            <w:pPr>
              <w:pStyle w:val="TableParagraph"/>
              <w:spacing w:line="206" w:lineRule="exact"/>
              <w:ind w:right="147"/>
              <w:jc w:val="right"/>
              <w:rPr>
                <w:b/>
                <w:sz w:val="18"/>
              </w:rPr>
            </w:pPr>
            <w:r>
              <w:rPr>
                <w:b/>
                <w:spacing w:val="-2"/>
                <w:sz w:val="18"/>
              </w:rPr>
              <w:t>(2,711)</w:t>
            </w:r>
          </w:p>
        </w:tc>
        <w:tc>
          <w:tcPr>
            <w:tcW w:w="1216" w:type="dxa"/>
            <w:tcBorders>
              <w:top w:val="single" w:sz="4" w:space="0" w:color="000000"/>
              <w:left w:val="nil"/>
              <w:bottom w:val="single" w:sz="4" w:space="0" w:color="000000"/>
              <w:right w:val="nil"/>
            </w:tcBorders>
          </w:tcPr>
          <w:p>
            <w:pPr>
              <w:pStyle w:val="TableParagraph"/>
              <w:spacing w:line="206" w:lineRule="exact"/>
              <w:ind w:right="91"/>
              <w:jc w:val="right"/>
              <w:rPr>
                <w:b/>
                <w:sz w:val="18"/>
              </w:rPr>
            </w:pPr>
            <w:r>
              <w:rPr>
                <w:b/>
                <w:spacing w:val="-2"/>
                <w:sz w:val="18"/>
              </w:rPr>
              <w:t>(2,854)</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line="206" w:lineRule="exact"/>
              <w:ind w:right="77"/>
              <w:jc w:val="right"/>
              <w:rPr>
                <w:b/>
                <w:sz w:val="18"/>
              </w:rPr>
            </w:pPr>
            <w:r>
              <w:rPr>
                <w:b/>
                <w:spacing w:val="-2"/>
                <w:sz w:val="18"/>
              </w:rPr>
              <w:t>(2,575)</w:t>
            </w:r>
          </w:p>
        </w:tc>
      </w:tr>
      <w:tr>
        <w:trPr>
          <w:trHeight w:val="2390" w:hRule="atLeast"/>
        </w:trPr>
        <w:tc>
          <w:tcPr>
            <w:tcW w:w="1553" w:type="dxa"/>
            <w:vMerge/>
            <w:tcBorders>
              <w:top w:val="nil"/>
              <w:left w:val="single" w:sz="12" w:space="0" w:color="000000"/>
              <w:bottom w:val="single" w:sz="4" w:space="0" w:color="000000"/>
              <w:right w:val="single" w:sz="4" w:space="0" w:color="000000"/>
            </w:tcBorders>
          </w:tcPr>
          <w:p>
            <w:pPr>
              <w:rPr>
                <w:sz w:val="2"/>
                <w:szCs w:val="2"/>
              </w:rPr>
            </w:pPr>
          </w:p>
        </w:tc>
        <w:tc>
          <w:tcPr>
            <w:tcW w:w="3540" w:type="dxa"/>
            <w:vMerge/>
            <w:tcBorders>
              <w:top w:val="nil"/>
              <w:left w:val="single" w:sz="4" w:space="0" w:color="000000"/>
              <w:bottom w:val="single" w:sz="4" w:space="0" w:color="000000"/>
              <w:right w:val="single" w:sz="4" w:space="0" w:color="000000"/>
            </w:tcBorders>
          </w:tcPr>
          <w:p>
            <w:pPr>
              <w:rPr>
                <w:sz w:val="2"/>
                <w:szCs w:val="2"/>
              </w:rPr>
            </w:pPr>
          </w:p>
        </w:tc>
        <w:tc>
          <w:tcPr>
            <w:tcW w:w="5335" w:type="dxa"/>
            <w:gridSpan w:val="4"/>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8"/>
              </w:rPr>
            </w:pPr>
          </w:p>
        </w:tc>
      </w:tr>
      <w:tr>
        <w:trPr>
          <w:trHeight w:val="616" w:hRule="atLeast"/>
        </w:trPr>
        <w:tc>
          <w:tcPr>
            <w:tcW w:w="1553" w:type="dxa"/>
            <w:vMerge w:val="restart"/>
            <w:tcBorders>
              <w:top w:val="single" w:sz="4" w:space="0" w:color="000000"/>
              <w:left w:val="single" w:sz="12" w:space="0" w:color="000000"/>
              <w:bottom w:val="single" w:sz="4" w:space="0" w:color="000000"/>
              <w:right w:val="single" w:sz="4" w:space="0" w:color="000000"/>
            </w:tcBorders>
          </w:tcPr>
          <w:p>
            <w:pPr>
              <w:pStyle w:val="TableParagraph"/>
              <w:ind w:left="107" w:right="173"/>
              <w:rPr>
                <w:sz w:val="20"/>
              </w:rPr>
            </w:pPr>
            <w:r>
              <w:rPr>
                <w:spacing w:val="-2"/>
                <w:sz w:val="20"/>
              </w:rPr>
              <w:t>Building services</w:t>
            </w:r>
          </w:p>
        </w:tc>
        <w:tc>
          <w:tcPr>
            <w:tcW w:w="3540" w:type="dxa"/>
            <w:vMerge w:val="restart"/>
            <w:tcBorders>
              <w:top w:val="single" w:sz="4" w:space="0" w:color="000000"/>
              <w:left w:val="single" w:sz="4" w:space="0" w:color="000000"/>
              <w:bottom w:val="single" w:sz="4" w:space="0" w:color="000000"/>
              <w:right w:val="single" w:sz="4" w:space="0" w:color="000000"/>
            </w:tcBorders>
          </w:tcPr>
          <w:p>
            <w:pPr>
              <w:pStyle w:val="TableParagraph"/>
              <w:numPr>
                <w:ilvl w:val="0"/>
                <w:numId w:val="27"/>
              </w:numPr>
              <w:tabs>
                <w:tab w:pos="429" w:val="left" w:leader="none"/>
                <w:tab w:pos="430" w:val="left" w:leader="none"/>
              </w:tabs>
              <w:spacing w:line="240" w:lineRule="auto" w:before="0" w:after="0"/>
              <w:ind w:left="429" w:right="465" w:hanging="312"/>
              <w:jc w:val="left"/>
              <w:rPr>
                <w:sz w:val="20"/>
              </w:rPr>
            </w:pPr>
            <w:r>
              <w:rPr>
                <w:sz w:val="20"/>
              </w:rPr>
              <w:t>Building</w:t>
            </w:r>
            <w:r>
              <w:rPr>
                <w:spacing w:val="-14"/>
                <w:sz w:val="20"/>
              </w:rPr>
              <w:t> </w:t>
            </w:r>
            <w:r>
              <w:rPr>
                <w:sz w:val="20"/>
              </w:rPr>
              <w:t>safety</w:t>
            </w:r>
            <w:r>
              <w:rPr>
                <w:spacing w:val="-12"/>
                <w:sz w:val="20"/>
              </w:rPr>
              <w:t> </w:t>
            </w:r>
            <w:r>
              <w:rPr>
                <w:sz w:val="20"/>
              </w:rPr>
              <w:t>and</w:t>
            </w:r>
            <w:r>
              <w:rPr>
                <w:spacing w:val="-14"/>
                <w:sz w:val="20"/>
              </w:rPr>
              <w:t> </w:t>
            </w:r>
            <w:r>
              <w:rPr>
                <w:sz w:val="20"/>
              </w:rPr>
              <w:t>regulatory </w:t>
            </w:r>
            <w:r>
              <w:rPr>
                <w:spacing w:val="-2"/>
                <w:sz w:val="20"/>
              </w:rPr>
              <w:t>compliance</w:t>
            </w:r>
          </w:p>
          <w:p>
            <w:pPr>
              <w:pStyle w:val="TableParagraph"/>
              <w:numPr>
                <w:ilvl w:val="0"/>
                <w:numId w:val="27"/>
              </w:numPr>
              <w:tabs>
                <w:tab w:pos="429" w:val="left" w:leader="none"/>
                <w:tab w:pos="430" w:val="left" w:leader="none"/>
              </w:tabs>
              <w:spacing w:line="244" w:lineRule="exact" w:before="0" w:after="0"/>
              <w:ind w:left="429" w:right="0" w:hanging="313"/>
              <w:jc w:val="left"/>
              <w:rPr>
                <w:sz w:val="20"/>
              </w:rPr>
            </w:pPr>
            <w:r>
              <w:rPr>
                <w:sz w:val="20"/>
              </w:rPr>
              <w:t>Building</w:t>
            </w:r>
            <w:r>
              <w:rPr>
                <w:spacing w:val="-10"/>
                <w:sz w:val="20"/>
              </w:rPr>
              <w:t> </w:t>
            </w:r>
            <w:r>
              <w:rPr>
                <w:sz w:val="20"/>
              </w:rPr>
              <w:t>permits</w:t>
            </w:r>
            <w:r>
              <w:rPr>
                <w:spacing w:val="-5"/>
                <w:sz w:val="20"/>
              </w:rPr>
              <w:t> </w:t>
            </w:r>
            <w:r>
              <w:rPr>
                <w:sz w:val="20"/>
              </w:rPr>
              <w:t>and</w:t>
            </w:r>
            <w:r>
              <w:rPr>
                <w:spacing w:val="-4"/>
                <w:sz w:val="20"/>
              </w:rPr>
              <w:t> </w:t>
            </w:r>
            <w:r>
              <w:rPr>
                <w:spacing w:val="-2"/>
                <w:sz w:val="20"/>
              </w:rPr>
              <w:t>inspections</w:t>
            </w:r>
          </w:p>
          <w:p>
            <w:pPr>
              <w:pStyle w:val="TableParagraph"/>
              <w:numPr>
                <w:ilvl w:val="0"/>
                <w:numId w:val="27"/>
              </w:numPr>
              <w:tabs>
                <w:tab w:pos="429" w:val="left" w:leader="none"/>
                <w:tab w:pos="430" w:val="left" w:leader="none"/>
              </w:tabs>
              <w:spacing w:line="235" w:lineRule="auto" w:before="3" w:after="0"/>
              <w:ind w:left="429" w:right="432" w:hanging="312"/>
              <w:jc w:val="left"/>
              <w:rPr>
                <w:sz w:val="20"/>
              </w:rPr>
            </w:pPr>
            <w:r>
              <w:rPr>
                <w:sz w:val="20"/>
              </w:rPr>
              <w:t>Building</w:t>
            </w:r>
            <w:r>
              <w:rPr>
                <w:spacing w:val="-14"/>
                <w:sz w:val="20"/>
              </w:rPr>
              <w:t> </w:t>
            </w:r>
            <w:r>
              <w:rPr>
                <w:sz w:val="20"/>
              </w:rPr>
              <w:t>customer</w:t>
            </w:r>
            <w:r>
              <w:rPr>
                <w:spacing w:val="-13"/>
                <w:sz w:val="20"/>
              </w:rPr>
              <w:t> </w:t>
            </w:r>
            <w:r>
              <w:rPr>
                <w:sz w:val="20"/>
              </w:rPr>
              <w:t>service</w:t>
            </w:r>
            <w:r>
              <w:rPr>
                <w:spacing w:val="-14"/>
                <w:sz w:val="20"/>
              </w:rPr>
              <w:t> </w:t>
            </w:r>
            <w:r>
              <w:rPr>
                <w:sz w:val="20"/>
              </w:rPr>
              <w:t>and </w:t>
            </w:r>
            <w:r>
              <w:rPr>
                <w:spacing w:val="-2"/>
                <w:sz w:val="20"/>
              </w:rPr>
              <w:t>administration</w:t>
            </w:r>
          </w:p>
          <w:p>
            <w:pPr>
              <w:pStyle w:val="TableParagraph"/>
              <w:numPr>
                <w:ilvl w:val="0"/>
                <w:numId w:val="27"/>
              </w:numPr>
              <w:tabs>
                <w:tab w:pos="429" w:val="left" w:leader="none"/>
                <w:tab w:pos="430" w:val="left" w:leader="none"/>
              </w:tabs>
              <w:spacing w:line="240" w:lineRule="auto" w:before="3" w:after="0"/>
              <w:ind w:left="429" w:right="656" w:hanging="312"/>
              <w:jc w:val="left"/>
              <w:rPr>
                <w:sz w:val="20"/>
              </w:rPr>
            </w:pPr>
            <w:r>
              <w:rPr>
                <w:sz w:val="20"/>
              </w:rPr>
              <w:t>Swimming and spa safety registration</w:t>
            </w:r>
            <w:r>
              <w:rPr>
                <w:spacing w:val="-14"/>
                <w:sz w:val="20"/>
              </w:rPr>
              <w:t> </w:t>
            </w:r>
            <w:r>
              <w:rPr>
                <w:sz w:val="20"/>
              </w:rPr>
              <w:t>and</w:t>
            </w:r>
            <w:r>
              <w:rPr>
                <w:spacing w:val="-14"/>
                <w:sz w:val="20"/>
              </w:rPr>
              <w:t> </w:t>
            </w:r>
            <w:r>
              <w:rPr>
                <w:sz w:val="20"/>
              </w:rPr>
              <w:t>compliance</w:t>
            </w:r>
          </w:p>
        </w:tc>
        <w:tc>
          <w:tcPr>
            <w:tcW w:w="4101" w:type="dxa"/>
            <w:gridSpan w:val="3"/>
            <w:tcBorders>
              <w:top w:val="single" w:sz="4" w:space="0" w:color="000000"/>
              <w:left w:val="single" w:sz="4" w:space="0" w:color="000000"/>
              <w:bottom w:val="single" w:sz="4" w:space="0" w:color="000000"/>
              <w:right w:val="nil"/>
            </w:tcBorders>
          </w:tcPr>
          <w:p>
            <w:pPr>
              <w:pStyle w:val="TableParagraph"/>
              <w:tabs>
                <w:tab w:pos="2428" w:val="left" w:leader="none"/>
                <w:tab w:pos="4000" w:val="right" w:leader="none"/>
              </w:tabs>
              <w:spacing w:line="229" w:lineRule="exact"/>
              <w:ind w:left="114"/>
              <w:rPr>
                <w:sz w:val="18"/>
              </w:rPr>
            </w:pPr>
            <w:r>
              <w:rPr>
                <w:spacing w:val="-2"/>
                <w:sz w:val="20"/>
              </w:rPr>
              <w:t>Income</w:t>
            </w:r>
            <w:r>
              <w:rPr>
                <w:sz w:val="20"/>
              </w:rPr>
              <w:tab/>
            </w:r>
            <w:r>
              <w:rPr>
                <w:spacing w:val="-5"/>
                <w:position w:val="2"/>
                <w:sz w:val="18"/>
              </w:rPr>
              <w:t>595</w:t>
            </w:r>
            <w:r>
              <w:rPr>
                <w:rFonts w:ascii="Times New Roman"/>
                <w:position w:val="2"/>
                <w:sz w:val="18"/>
              </w:rPr>
              <w:tab/>
            </w:r>
            <w:r>
              <w:rPr>
                <w:spacing w:val="-5"/>
                <w:position w:val="2"/>
                <w:sz w:val="18"/>
              </w:rPr>
              <w:t>561</w:t>
            </w:r>
          </w:p>
          <w:p>
            <w:pPr>
              <w:pStyle w:val="TableParagraph"/>
              <w:tabs>
                <w:tab w:pos="2277" w:val="left" w:leader="none"/>
                <w:tab w:pos="3549" w:val="left" w:leader="none"/>
              </w:tabs>
              <w:spacing w:before="80"/>
              <w:ind w:left="114"/>
              <w:rPr>
                <w:sz w:val="18"/>
              </w:rPr>
            </w:pPr>
            <w:r>
              <w:rPr>
                <w:spacing w:val="-2"/>
                <w:sz w:val="20"/>
              </w:rPr>
              <w:t>Expenditure</w:t>
            </w:r>
            <w:r>
              <w:rPr>
                <w:sz w:val="20"/>
              </w:rPr>
              <w:tab/>
            </w:r>
            <w:r>
              <w:rPr>
                <w:spacing w:val="-4"/>
                <w:position w:val="2"/>
                <w:sz w:val="18"/>
              </w:rPr>
              <w:t>1,549</w:t>
            </w:r>
            <w:r>
              <w:rPr>
                <w:position w:val="2"/>
                <w:sz w:val="18"/>
              </w:rPr>
              <w:tab/>
            </w:r>
            <w:r>
              <w:rPr>
                <w:spacing w:val="-4"/>
                <w:position w:val="2"/>
                <w:sz w:val="18"/>
              </w:rPr>
              <w:t>1,580</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line="206" w:lineRule="exact"/>
              <w:ind w:right="78"/>
              <w:jc w:val="right"/>
              <w:rPr>
                <w:sz w:val="18"/>
              </w:rPr>
            </w:pPr>
            <w:r>
              <w:rPr>
                <w:spacing w:val="-5"/>
                <w:sz w:val="18"/>
              </w:rPr>
              <w:t>500</w:t>
            </w:r>
          </w:p>
          <w:p>
            <w:pPr>
              <w:pStyle w:val="TableParagraph"/>
              <w:spacing w:before="107"/>
              <w:ind w:left="671"/>
              <w:rPr>
                <w:sz w:val="18"/>
              </w:rPr>
            </w:pPr>
            <w:r>
              <w:rPr>
                <w:spacing w:val="-2"/>
                <w:sz w:val="18"/>
              </w:rPr>
              <w:t>1,613</w:t>
            </w:r>
          </w:p>
        </w:tc>
      </w:tr>
      <w:tr>
        <w:trPr>
          <w:trHeight w:val="460" w:hRule="atLeast"/>
        </w:trPr>
        <w:tc>
          <w:tcPr>
            <w:tcW w:w="1553" w:type="dxa"/>
            <w:vMerge/>
            <w:tcBorders>
              <w:top w:val="nil"/>
              <w:left w:val="single" w:sz="12" w:space="0" w:color="000000"/>
              <w:bottom w:val="single" w:sz="4" w:space="0" w:color="000000"/>
              <w:right w:val="single" w:sz="4" w:space="0" w:color="000000"/>
            </w:tcBorders>
          </w:tcPr>
          <w:p>
            <w:pPr>
              <w:rPr>
                <w:sz w:val="2"/>
                <w:szCs w:val="2"/>
              </w:rPr>
            </w:pPr>
          </w:p>
        </w:tc>
        <w:tc>
          <w:tcPr>
            <w:tcW w:w="3540" w:type="dxa"/>
            <w:vMerge/>
            <w:tcBorders>
              <w:top w:val="nil"/>
              <w:left w:val="single" w:sz="4" w:space="0" w:color="000000"/>
              <w:bottom w:val="single" w:sz="4" w:space="0" w:color="000000"/>
              <w:right w:val="single" w:sz="4" w:space="0" w:color="000000"/>
            </w:tcBorders>
          </w:tcPr>
          <w:p>
            <w:pPr>
              <w:rPr>
                <w:sz w:val="2"/>
                <w:szCs w:val="2"/>
              </w:rPr>
            </w:pPr>
          </w:p>
        </w:tc>
        <w:tc>
          <w:tcPr>
            <w:tcW w:w="1537" w:type="dxa"/>
            <w:tcBorders>
              <w:top w:val="single" w:sz="4" w:space="0" w:color="000000"/>
              <w:left w:val="single" w:sz="4" w:space="0" w:color="000000"/>
              <w:bottom w:val="single" w:sz="4" w:space="0" w:color="000000"/>
              <w:right w:val="nil"/>
            </w:tcBorders>
          </w:tcPr>
          <w:p>
            <w:pPr>
              <w:pStyle w:val="TableParagraph"/>
              <w:spacing w:line="230" w:lineRule="exact"/>
              <w:ind w:left="114"/>
              <w:rPr>
                <w:b/>
                <w:sz w:val="20"/>
              </w:rPr>
            </w:pPr>
            <w:r>
              <w:rPr>
                <w:b/>
                <w:sz w:val="20"/>
              </w:rPr>
              <w:t>Surplus</w:t>
            </w:r>
            <w:r>
              <w:rPr>
                <w:b/>
                <w:spacing w:val="-14"/>
                <w:sz w:val="20"/>
              </w:rPr>
              <w:t> </w:t>
            </w:r>
            <w:r>
              <w:rPr>
                <w:b/>
                <w:sz w:val="20"/>
              </w:rPr>
              <w:t>/ </w:t>
            </w:r>
            <w:r>
              <w:rPr>
                <w:b/>
                <w:spacing w:val="-2"/>
                <w:sz w:val="20"/>
              </w:rPr>
              <w:t>(deficit)</w:t>
            </w:r>
          </w:p>
        </w:tc>
        <w:tc>
          <w:tcPr>
            <w:tcW w:w="1348" w:type="dxa"/>
            <w:tcBorders>
              <w:top w:val="single" w:sz="4" w:space="0" w:color="000000"/>
              <w:left w:val="nil"/>
              <w:bottom w:val="single" w:sz="4" w:space="0" w:color="000000"/>
              <w:right w:val="nil"/>
            </w:tcBorders>
          </w:tcPr>
          <w:p>
            <w:pPr>
              <w:pStyle w:val="TableParagraph"/>
              <w:spacing w:line="206" w:lineRule="exact"/>
              <w:ind w:right="146"/>
              <w:jc w:val="right"/>
              <w:rPr>
                <w:b/>
                <w:sz w:val="18"/>
              </w:rPr>
            </w:pPr>
            <w:r>
              <w:rPr>
                <w:b/>
                <w:spacing w:val="-2"/>
                <w:sz w:val="18"/>
              </w:rPr>
              <w:t>(954)</w:t>
            </w:r>
          </w:p>
        </w:tc>
        <w:tc>
          <w:tcPr>
            <w:tcW w:w="1216" w:type="dxa"/>
            <w:tcBorders>
              <w:top w:val="single" w:sz="4" w:space="0" w:color="000000"/>
              <w:left w:val="nil"/>
              <w:bottom w:val="single" w:sz="4" w:space="0" w:color="000000"/>
              <w:right w:val="nil"/>
            </w:tcBorders>
          </w:tcPr>
          <w:p>
            <w:pPr>
              <w:pStyle w:val="TableParagraph"/>
              <w:spacing w:line="206" w:lineRule="exact"/>
              <w:ind w:right="91"/>
              <w:jc w:val="right"/>
              <w:rPr>
                <w:b/>
                <w:sz w:val="18"/>
              </w:rPr>
            </w:pPr>
            <w:r>
              <w:rPr>
                <w:b/>
                <w:spacing w:val="-2"/>
                <w:sz w:val="18"/>
              </w:rPr>
              <w:t>(1,019)</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line="206" w:lineRule="exact"/>
              <w:ind w:right="77"/>
              <w:jc w:val="right"/>
              <w:rPr>
                <w:b/>
                <w:sz w:val="18"/>
              </w:rPr>
            </w:pPr>
            <w:r>
              <w:rPr>
                <w:b/>
                <w:spacing w:val="-2"/>
                <w:sz w:val="18"/>
              </w:rPr>
              <w:t>(1,113)</w:t>
            </w:r>
          </w:p>
        </w:tc>
      </w:tr>
      <w:tr>
        <w:trPr>
          <w:trHeight w:val="837" w:hRule="atLeast"/>
        </w:trPr>
        <w:tc>
          <w:tcPr>
            <w:tcW w:w="1553" w:type="dxa"/>
            <w:vMerge/>
            <w:tcBorders>
              <w:top w:val="nil"/>
              <w:left w:val="single" w:sz="12" w:space="0" w:color="000000"/>
              <w:bottom w:val="single" w:sz="4" w:space="0" w:color="000000"/>
              <w:right w:val="single" w:sz="4" w:space="0" w:color="000000"/>
            </w:tcBorders>
          </w:tcPr>
          <w:p>
            <w:pPr>
              <w:rPr>
                <w:sz w:val="2"/>
                <w:szCs w:val="2"/>
              </w:rPr>
            </w:pPr>
          </w:p>
        </w:tc>
        <w:tc>
          <w:tcPr>
            <w:tcW w:w="3540" w:type="dxa"/>
            <w:vMerge/>
            <w:tcBorders>
              <w:top w:val="nil"/>
              <w:left w:val="single" w:sz="4" w:space="0" w:color="000000"/>
              <w:bottom w:val="single" w:sz="4" w:space="0" w:color="000000"/>
              <w:right w:val="single" w:sz="4" w:space="0" w:color="000000"/>
            </w:tcBorders>
          </w:tcPr>
          <w:p>
            <w:pPr>
              <w:rPr>
                <w:sz w:val="2"/>
                <w:szCs w:val="2"/>
              </w:rPr>
            </w:pPr>
          </w:p>
        </w:tc>
        <w:tc>
          <w:tcPr>
            <w:tcW w:w="5335" w:type="dxa"/>
            <w:gridSpan w:val="4"/>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8"/>
              </w:rPr>
            </w:pPr>
          </w:p>
        </w:tc>
      </w:tr>
      <w:tr>
        <w:trPr>
          <w:trHeight w:val="606" w:hRule="atLeast"/>
        </w:trPr>
        <w:tc>
          <w:tcPr>
            <w:tcW w:w="1553" w:type="dxa"/>
            <w:vMerge w:val="restart"/>
            <w:tcBorders>
              <w:top w:val="single" w:sz="4" w:space="0" w:color="000000"/>
              <w:left w:val="single" w:sz="12" w:space="0" w:color="000000"/>
              <w:bottom w:val="single" w:sz="12" w:space="0" w:color="000000"/>
              <w:right w:val="single" w:sz="4" w:space="0" w:color="000000"/>
            </w:tcBorders>
          </w:tcPr>
          <w:p>
            <w:pPr>
              <w:pStyle w:val="TableParagraph"/>
              <w:ind w:left="107"/>
              <w:rPr>
                <w:sz w:val="20"/>
              </w:rPr>
            </w:pPr>
            <w:r>
              <w:rPr>
                <w:spacing w:val="-2"/>
                <w:sz w:val="20"/>
              </w:rPr>
              <w:t>Built environment</w:t>
            </w:r>
          </w:p>
        </w:tc>
        <w:tc>
          <w:tcPr>
            <w:tcW w:w="3540" w:type="dxa"/>
            <w:vMerge w:val="restart"/>
            <w:tcBorders>
              <w:top w:val="single" w:sz="4" w:space="0" w:color="000000"/>
              <w:left w:val="single" w:sz="4" w:space="0" w:color="000000"/>
              <w:bottom w:val="single" w:sz="12" w:space="0" w:color="000000"/>
              <w:right w:val="single" w:sz="4" w:space="0" w:color="000000"/>
            </w:tcBorders>
          </w:tcPr>
          <w:p>
            <w:pPr>
              <w:pStyle w:val="TableParagraph"/>
              <w:numPr>
                <w:ilvl w:val="0"/>
                <w:numId w:val="28"/>
              </w:numPr>
              <w:tabs>
                <w:tab w:pos="429" w:val="left" w:leader="none"/>
                <w:tab w:pos="430" w:val="left" w:leader="none"/>
              </w:tabs>
              <w:spacing w:line="244" w:lineRule="exact" w:before="2" w:after="0"/>
              <w:ind w:left="429" w:right="0" w:hanging="313"/>
              <w:jc w:val="left"/>
              <w:rPr>
                <w:sz w:val="20"/>
              </w:rPr>
            </w:pPr>
            <w:r>
              <w:rPr>
                <w:spacing w:val="-2"/>
                <w:sz w:val="20"/>
              </w:rPr>
              <w:t>Cleansing</w:t>
            </w:r>
          </w:p>
          <w:p>
            <w:pPr>
              <w:pStyle w:val="TableParagraph"/>
              <w:numPr>
                <w:ilvl w:val="0"/>
                <w:numId w:val="28"/>
              </w:numPr>
              <w:tabs>
                <w:tab w:pos="429" w:val="left" w:leader="none"/>
                <w:tab w:pos="430" w:val="left" w:leader="none"/>
              </w:tabs>
              <w:spacing w:line="237" w:lineRule="auto" w:before="1" w:after="0"/>
              <w:ind w:left="429" w:right="166" w:hanging="312"/>
              <w:jc w:val="left"/>
              <w:rPr>
                <w:sz w:val="20"/>
              </w:rPr>
            </w:pPr>
            <w:r>
              <w:rPr>
                <w:sz w:val="20"/>
              </w:rPr>
              <w:t>Construction</w:t>
            </w:r>
            <w:r>
              <w:rPr>
                <w:spacing w:val="-14"/>
                <w:sz w:val="20"/>
              </w:rPr>
              <w:t> </w:t>
            </w:r>
            <w:r>
              <w:rPr>
                <w:sz w:val="20"/>
              </w:rPr>
              <w:t>and</w:t>
            </w:r>
            <w:r>
              <w:rPr>
                <w:spacing w:val="-13"/>
                <w:sz w:val="20"/>
              </w:rPr>
              <w:t> </w:t>
            </w:r>
            <w:r>
              <w:rPr>
                <w:sz w:val="20"/>
              </w:rPr>
              <w:t>maintenance</w:t>
            </w:r>
            <w:r>
              <w:rPr>
                <w:spacing w:val="-14"/>
                <w:sz w:val="20"/>
              </w:rPr>
              <w:t> </w:t>
            </w:r>
            <w:r>
              <w:rPr>
                <w:sz w:val="20"/>
              </w:rPr>
              <w:t>of Council’s roads, footpaths, and drainage infrastructure</w:t>
            </w:r>
          </w:p>
          <w:p>
            <w:pPr>
              <w:pStyle w:val="TableParagraph"/>
              <w:numPr>
                <w:ilvl w:val="0"/>
                <w:numId w:val="28"/>
              </w:numPr>
              <w:tabs>
                <w:tab w:pos="429" w:val="left" w:leader="none"/>
                <w:tab w:pos="430" w:val="left" w:leader="none"/>
              </w:tabs>
              <w:spacing w:line="235" w:lineRule="auto" w:before="7" w:after="0"/>
              <w:ind w:left="429" w:right="411" w:hanging="312"/>
              <w:jc w:val="left"/>
              <w:rPr>
                <w:sz w:val="20"/>
              </w:rPr>
            </w:pPr>
            <w:r>
              <w:rPr>
                <w:sz w:val="20"/>
              </w:rPr>
              <w:t>Council</w:t>
            </w:r>
            <w:r>
              <w:rPr>
                <w:spacing w:val="-14"/>
                <w:sz w:val="20"/>
              </w:rPr>
              <w:t> </w:t>
            </w:r>
            <w:r>
              <w:rPr>
                <w:sz w:val="20"/>
              </w:rPr>
              <w:t>fleet</w:t>
            </w:r>
            <w:r>
              <w:rPr>
                <w:spacing w:val="-14"/>
                <w:sz w:val="20"/>
              </w:rPr>
              <w:t> </w:t>
            </w:r>
            <w:r>
              <w:rPr>
                <w:sz w:val="20"/>
              </w:rPr>
              <w:t>maintenance</w:t>
            </w:r>
            <w:r>
              <w:rPr>
                <w:spacing w:val="-13"/>
                <w:sz w:val="20"/>
              </w:rPr>
              <w:t> </w:t>
            </w:r>
            <w:r>
              <w:rPr>
                <w:sz w:val="20"/>
              </w:rPr>
              <w:t>and </w:t>
            </w:r>
            <w:r>
              <w:rPr>
                <w:spacing w:val="-2"/>
                <w:sz w:val="20"/>
              </w:rPr>
              <w:t>management</w:t>
            </w:r>
          </w:p>
          <w:p>
            <w:pPr>
              <w:pStyle w:val="TableParagraph"/>
              <w:numPr>
                <w:ilvl w:val="0"/>
                <w:numId w:val="28"/>
              </w:numPr>
              <w:tabs>
                <w:tab w:pos="429" w:val="left" w:leader="none"/>
                <w:tab w:pos="430" w:val="left" w:leader="none"/>
              </w:tabs>
              <w:spacing w:line="245" w:lineRule="exact" w:before="4" w:after="0"/>
              <w:ind w:left="429" w:right="0" w:hanging="313"/>
              <w:jc w:val="left"/>
              <w:rPr>
                <w:sz w:val="20"/>
              </w:rPr>
            </w:pPr>
            <w:r>
              <w:rPr>
                <w:sz w:val="20"/>
              </w:rPr>
              <w:t>Earthworks</w:t>
            </w:r>
            <w:r>
              <w:rPr>
                <w:spacing w:val="-8"/>
                <w:sz w:val="20"/>
              </w:rPr>
              <w:t> </w:t>
            </w:r>
            <w:r>
              <w:rPr>
                <w:sz w:val="20"/>
              </w:rPr>
              <w:t>and</w:t>
            </w:r>
            <w:r>
              <w:rPr>
                <w:spacing w:val="-6"/>
                <w:sz w:val="20"/>
              </w:rPr>
              <w:t> </w:t>
            </w:r>
            <w:r>
              <w:rPr>
                <w:spacing w:val="-2"/>
                <w:sz w:val="20"/>
              </w:rPr>
              <w:t>excavations</w:t>
            </w:r>
          </w:p>
          <w:p>
            <w:pPr>
              <w:pStyle w:val="TableParagraph"/>
              <w:numPr>
                <w:ilvl w:val="0"/>
                <w:numId w:val="28"/>
              </w:numPr>
              <w:tabs>
                <w:tab w:pos="429" w:val="left" w:leader="none"/>
                <w:tab w:pos="430" w:val="left" w:leader="none"/>
              </w:tabs>
              <w:spacing w:line="244" w:lineRule="exact" w:before="0" w:after="0"/>
              <w:ind w:left="429" w:right="0" w:hanging="313"/>
              <w:jc w:val="left"/>
              <w:rPr>
                <w:sz w:val="20"/>
              </w:rPr>
            </w:pPr>
            <w:r>
              <w:rPr>
                <w:sz w:val="20"/>
              </w:rPr>
              <w:t>Emergency/after-hours</w:t>
            </w:r>
            <w:r>
              <w:rPr>
                <w:spacing w:val="-12"/>
                <w:sz w:val="20"/>
              </w:rPr>
              <w:t> </w:t>
            </w:r>
            <w:r>
              <w:rPr>
                <w:sz w:val="20"/>
              </w:rPr>
              <w:t>call</w:t>
            </w:r>
            <w:r>
              <w:rPr>
                <w:spacing w:val="-11"/>
                <w:sz w:val="20"/>
              </w:rPr>
              <w:t> </w:t>
            </w:r>
            <w:r>
              <w:rPr>
                <w:spacing w:val="-4"/>
                <w:sz w:val="20"/>
              </w:rPr>
              <w:t>outs</w:t>
            </w:r>
          </w:p>
          <w:p>
            <w:pPr>
              <w:pStyle w:val="TableParagraph"/>
              <w:numPr>
                <w:ilvl w:val="0"/>
                <w:numId w:val="28"/>
              </w:numPr>
              <w:tabs>
                <w:tab w:pos="429" w:val="left" w:leader="none"/>
                <w:tab w:pos="430" w:val="left" w:leader="none"/>
              </w:tabs>
              <w:spacing w:line="244" w:lineRule="exact" w:before="0" w:after="0"/>
              <w:ind w:left="429" w:right="0" w:hanging="313"/>
              <w:jc w:val="left"/>
              <w:rPr>
                <w:sz w:val="20"/>
              </w:rPr>
            </w:pPr>
            <w:r>
              <w:rPr>
                <w:sz w:val="20"/>
              </w:rPr>
              <w:t>Graffiti</w:t>
            </w:r>
            <w:r>
              <w:rPr>
                <w:spacing w:val="-7"/>
                <w:sz w:val="20"/>
              </w:rPr>
              <w:t> </w:t>
            </w:r>
            <w:r>
              <w:rPr>
                <w:spacing w:val="-2"/>
                <w:sz w:val="20"/>
              </w:rPr>
              <w:t>removal</w:t>
            </w:r>
          </w:p>
          <w:p>
            <w:pPr>
              <w:pStyle w:val="TableParagraph"/>
              <w:numPr>
                <w:ilvl w:val="0"/>
                <w:numId w:val="28"/>
              </w:numPr>
              <w:tabs>
                <w:tab w:pos="429" w:val="left" w:leader="none"/>
                <w:tab w:pos="430" w:val="left" w:leader="none"/>
              </w:tabs>
              <w:spacing w:line="244" w:lineRule="exact" w:before="0" w:after="0"/>
              <w:ind w:left="429" w:right="0" w:hanging="313"/>
              <w:jc w:val="left"/>
              <w:rPr>
                <w:sz w:val="20"/>
              </w:rPr>
            </w:pPr>
            <w:r>
              <w:rPr>
                <w:sz w:val="20"/>
              </w:rPr>
              <w:t>Rubbish</w:t>
            </w:r>
            <w:r>
              <w:rPr>
                <w:spacing w:val="-11"/>
                <w:sz w:val="20"/>
              </w:rPr>
              <w:t> </w:t>
            </w:r>
            <w:r>
              <w:rPr>
                <w:spacing w:val="-2"/>
                <w:sz w:val="20"/>
              </w:rPr>
              <w:t>removal</w:t>
            </w:r>
          </w:p>
          <w:p>
            <w:pPr>
              <w:pStyle w:val="TableParagraph"/>
              <w:numPr>
                <w:ilvl w:val="0"/>
                <w:numId w:val="28"/>
              </w:numPr>
              <w:tabs>
                <w:tab w:pos="429" w:val="left" w:leader="none"/>
                <w:tab w:pos="430" w:val="left" w:leader="none"/>
              </w:tabs>
              <w:spacing w:line="244" w:lineRule="exact" w:before="0" w:after="0"/>
              <w:ind w:left="429" w:right="0" w:hanging="313"/>
              <w:jc w:val="left"/>
              <w:rPr>
                <w:sz w:val="20"/>
              </w:rPr>
            </w:pPr>
            <w:r>
              <w:rPr>
                <w:spacing w:val="-2"/>
                <w:sz w:val="20"/>
              </w:rPr>
              <w:t>Signage</w:t>
            </w:r>
          </w:p>
          <w:p>
            <w:pPr>
              <w:pStyle w:val="TableParagraph"/>
              <w:numPr>
                <w:ilvl w:val="0"/>
                <w:numId w:val="28"/>
              </w:numPr>
              <w:tabs>
                <w:tab w:pos="429" w:val="left" w:leader="none"/>
                <w:tab w:pos="430" w:val="left" w:leader="none"/>
              </w:tabs>
              <w:spacing w:line="240" w:lineRule="auto" w:before="0" w:after="0"/>
              <w:ind w:left="429" w:right="0" w:hanging="313"/>
              <w:jc w:val="left"/>
              <w:rPr>
                <w:sz w:val="20"/>
              </w:rPr>
            </w:pPr>
            <w:r>
              <w:rPr>
                <w:sz w:val="20"/>
              </w:rPr>
              <w:t>Street</w:t>
            </w:r>
            <w:r>
              <w:rPr>
                <w:spacing w:val="-7"/>
                <w:sz w:val="20"/>
              </w:rPr>
              <w:t> </w:t>
            </w:r>
            <w:r>
              <w:rPr>
                <w:spacing w:val="-2"/>
                <w:sz w:val="20"/>
              </w:rPr>
              <w:t>sweeping</w:t>
            </w:r>
          </w:p>
        </w:tc>
        <w:tc>
          <w:tcPr>
            <w:tcW w:w="4101" w:type="dxa"/>
            <w:gridSpan w:val="3"/>
            <w:tcBorders>
              <w:top w:val="single" w:sz="4" w:space="0" w:color="000000"/>
              <w:left w:val="single" w:sz="4" w:space="0" w:color="000000"/>
              <w:bottom w:val="single" w:sz="4" w:space="0" w:color="000000"/>
              <w:right w:val="nil"/>
            </w:tcBorders>
          </w:tcPr>
          <w:p>
            <w:pPr>
              <w:pStyle w:val="TableParagraph"/>
              <w:tabs>
                <w:tab w:pos="2277" w:val="left" w:leader="none"/>
                <w:tab w:pos="3429" w:val="left" w:leader="none"/>
              </w:tabs>
              <w:spacing w:line="229" w:lineRule="exact"/>
              <w:ind w:left="114"/>
              <w:rPr>
                <w:sz w:val="18"/>
              </w:rPr>
            </w:pPr>
            <w:r>
              <w:rPr>
                <w:spacing w:val="-2"/>
                <w:sz w:val="20"/>
              </w:rPr>
              <w:t>Income</w:t>
            </w:r>
            <w:r>
              <w:rPr>
                <w:sz w:val="20"/>
              </w:rPr>
              <w:tab/>
            </w:r>
            <w:r>
              <w:rPr>
                <w:spacing w:val="-4"/>
                <w:position w:val="2"/>
                <w:sz w:val="18"/>
              </w:rPr>
              <w:t>4,040</w:t>
            </w:r>
            <w:r>
              <w:rPr>
                <w:position w:val="2"/>
                <w:sz w:val="18"/>
              </w:rPr>
              <w:tab/>
            </w:r>
            <w:r>
              <w:rPr>
                <w:spacing w:val="-2"/>
                <w:position w:val="2"/>
                <w:sz w:val="18"/>
              </w:rPr>
              <w:t>(4,218)</w:t>
            </w:r>
          </w:p>
          <w:p>
            <w:pPr>
              <w:pStyle w:val="TableParagraph"/>
              <w:tabs>
                <w:tab w:pos="2178" w:val="left" w:leader="none"/>
                <w:tab w:pos="3549" w:val="left" w:leader="none"/>
              </w:tabs>
              <w:spacing w:before="83"/>
              <w:ind w:left="114"/>
              <w:rPr>
                <w:sz w:val="18"/>
              </w:rPr>
            </w:pPr>
            <w:r>
              <w:rPr>
                <w:spacing w:val="-2"/>
                <w:sz w:val="20"/>
              </w:rPr>
              <w:t>Expenditure</w:t>
            </w:r>
            <w:r>
              <w:rPr>
                <w:sz w:val="20"/>
              </w:rPr>
              <w:tab/>
            </w:r>
            <w:r>
              <w:rPr>
                <w:spacing w:val="-2"/>
                <w:position w:val="2"/>
                <w:sz w:val="18"/>
              </w:rPr>
              <w:t>12,975</w:t>
            </w:r>
            <w:r>
              <w:rPr>
                <w:position w:val="2"/>
                <w:sz w:val="18"/>
              </w:rPr>
              <w:tab/>
            </w:r>
            <w:r>
              <w:rPr>
                <w:spacing w:val="-4"/>
                <w:position w:val="2"/>
                <w:sz w:val="18"/>
              </w:rPr>
              <w:t>3,991</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before="1"/>
              <w:ind w:right="77"/>
              <w:jc w:val="right"/>
              <w:rPr>
                <w:sz w:val="18"/>
              </w:rPr>
            </w:pPr>
            <w:r>
              <w:rPr>
                <w:spacing w:val="-2"/>
                <w:sz w:val="18"/>
              </w:rPr>
              <w:t>(3,863)</w:t>
            </w:r>
          </w:p>
          <w:p>
            <w:pPr>
              <w:pStyle w:val="TableParagraph"/>
              <w:spacing w:before="105"/>
              <w:ind w:right="77"/>
              <w:jc w:val="right"/>
              <w:rPr>
                <w:sz w:val="18"/>
              </w:rPr>
            </w:pPr>
            <w:r>
              <w:rPr>
                <w:spacing w:val="-2"/>
                <w:sz w:val="18"/>
              </w:rPr>
              <w:t>4,840</w:t>
            </w:r>
          </w:p>
        </w:tc>
      </w:tr>
      <w:tr>
        <w:trPr>
          <w:trHeight w:val="440" w:hRule="atLeast"/>
        </w:trPr>
        <w:tc>
          <w:tcPr>
            <w:tcW w:w="1553" w:type="dxa"/>
            <w:vMerge/>
            <w:tcBorders>
              <w:top w:val="nil"/>
              <w:left w:val="single" w:sz="12" w:space="0" w:color="000000"/>
              <w:bottom w:val="single" w:sz="12" w:space="0" w:color="000000"/>
              <w:right w:val="single" w:sz="4" w:space="0" w:color="000000"/>
            </w:tcBorders>
          </w:tcPr>
          <w:p>
            <w:pPr>
              <w:rPr>
                <w:sz w:val="2"/>
                <w:szCs w:val="2"/>
              </w:rPr>
            </w:pPr>
          </w:p>
        </w:tc>
        <w:tc>
          <w:tcPr>
            <w:tcW w:w="3540" w:type="dxa"/>
            <w:vMerge/>
            <w:tcBorders>
              <w:top w:val="nil"/>
              <w:left w:val="single" w:sz="4" w:space="0" w:color="000000"/>
              <w:bottom w:val="single" w:sz="12" w:space="0" w:color="000000"/>
              <w:right w:val="single" w:sz="4" w:space="0" w:color="000000"/>
            </w:tcBorders>
          </w:tcPr>
          <w:p>
            <w:pPr>
              <w:rPr>
                <w:sz w:val="2"/>
                <w:szCs w:val="2"/>
              </w:rPr>
            </w:pPr>
          </w:p>
        </w:tc>
        <w:tc>
          <w:tcPr>
            <w:tcW w:w="1537" w:type="dxa"/>
            <w:tcBorders>
              <w:top w:val="single" w:sz="4" w:space="0" w:color="000000"/>
              <w:left w:val="single" w:sz="4" w:space="0" w:color="000000"/>
              <w:bottom w:val="single" w:sz="4" w:space="0" w:color="000000"/>
              <w:right w:val="nil"/>
            </w:tcBorders>
          </w:tcPr>
          <w:p>
            <w:pPr>
              <w:pStyle w:val="TableParagraph"/>
              <w:spacing w:line="219" w:lineRule="exact"/>
              <w:ind w:left="114"/>
              <w:rPr>
                <w:b/>
                <w:sz w:val="20"/>
              </w:rPr>
            </w:pPr>
            <w:r>
              <w:rPr>
                <w:b/>
                <w:sz w:val="20"/>
              </w:rPr>
              <w:t>Surplus</w:t>
            </w:r>
            <w:r>
              <w:rPr>
                <w:b/>
                <w:spacing w:val="-11"/>
                <w:sz w:val="20"/>
              </w:rPr>
              <w:t> </w:t>
            </w:r>
            <w:r>
              <w:rPr>
                <w:b/>
                <w:spacing w:val="-10"/>
                <w:sz w:val="20"/>
              </w:rPr>
              <w:t>/</w:t>
            </w:r>
          </w:p>
          <w:p>
            <w:pPr>
              <w:pStyle w:val="TableParagraph"/>
              <w:spacing w:line="201" w:lineRule="exact"/>
              <w:ind w:left="114"/>
              <w:rPr>
                <w:b/>
                <w:sz w:val="20"/>
              </w:rPr>
            </w:pPr>
            <w:r>
              <w:rPr>
                <w:b/>
                <w:spacing w:val="-2"/>
                <w:sz w:val="20"/>
              </w:rPr>
              <w:t>(deficit)</w:t>
            </w:r>
          </w:p>
        </w:tc>
        <w:tc>
          <w:tcPr>
            <w:tcW w:w="1348" w:type="dxa"/>
            <w:tcBorders>
              <w:top w:val="single" w:sz="4" w:space="0" w:color="000000"/>
              <w:left w:val="nil"/>
              <w:bottom w:val="single" w:sz="4" w:space="0" w:color="000000"/>
              <w:right w:val="nil"/>
            </w:tcBorders>
          </w:tcPr>
          <w:p>
            <w:pPr>
              <w:pStyle w:val="TableParagraph"/>
              <w:spacing w:line="196" w:lineRule="exact"/>
              <w:ind w:right="147"/>
              <w:jc w:val="right"/>
              <w:rPr>
                <w:b/>
                <w:sz w:val="18"/>
              </w:rPr>
            </w:pPr>
            <w:r>
              <w:rPr>
                <w:b/>
                <w:spacing w:val="-2"/>
                <w:sz w:val="18"/>
              </w:rPr>
              <w:t>(8,935)</w:t>
            </w:r>
          </w:p>
        </w:tc>
        <w:tc>
          <w:tcPr>
            <w:tcW w:w="1216" w:type="dxa"/>
            <w:tcBorders>
              <w:top w:val="single" w:sz="4" w:space="0" w:color="000000"/>
              <w:left w:val="nil"/>
              <w:bottom w:val="single" w:sz="4" w:space="0" w:color="000000"/>
              <w:right w:val="nil"/>
            </w:tcBorders>
          </w:tcPr>
          <w:p>
            <w:pPr>
              <w:pStyle w:val="TableParagraph"/>
              <w:spacing w:line="196" w:lineRule="exact"/>
              <w:ind w:right="91"/>
              <w:jc w:val="right"/>
              <w:rPr>
                <w:b/>
                <w:sz w:val="18"/>
              </w:rPr>
            </w:pPr>
            <w:r>
              <w:rPr>
                <w:b/>
                <w:spacing w:val="-2"/>
                <w:sz w:val="18"/>
              </w:rPr>
              <w:t>(8,209)</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line="196" w:lineRule="exact"/>
              <w:ind w:right="77"/>
              <w:jc w:val="right"/>
              <w:rPr>
                <w:b/>
                <w:sz w:val="18"/>
              </w:rPr>
            </w:pPr>
            <w:r>
              <w:rPr>
                <w:b/>
                <w:spacing w:val="-2"/>
                <w:sz w:val="18"/>
              </w:rPr>
              <w:t>(8,703)</w:t>
            </w:r>
          </w:p>
        </w:tc>
      </w:tr>
      <w:tr>
        <w:trPr>
          <w:trHeight w:val="1976" w:hRule="atLeast"/>
        </w:trPr>
        <w:tc>
          <w:tcPr>
            <w:tcW w:w="1553" w:type="dxa"/>
            <w:vMerge/>
            <w:tcBorders>
              <w:top w:val="nil"/>
              <w:left w:val="single" w:sz="12" w:space="0" w:color="000000"/>
              <w:bottom w:val="single" w:sz="12" w:space="0" w:color="000000"/>
              <w:right w:val="single" w:sz="4" w:space="0" w:color="000000"/>
            </w:tcBorders>
          </w:tcPr>
          <w:p>
            <w:pPr>
              <w:rPr>
                <w:sz w:val="2"/>
                <w:szCs w:val="2"/>
              </w:rPr>
            </w:pPr>
          </w:p>
        </w:tc>
        <w:tc>
          <w:tcPr>
            <w:tcW w:w="3540" w:type="dxa"/>
            <w:vMerge/>
            <w:tcBorders>
              <w:top w:val="nil"/>
              <w:left w:val="single" w:sz="4" w:space="0" w:color="000000"/>
              <w:bottom w:val="single" w:sz="12" w:space="0" w:color="000000"/>
              <w:right w:val="single" w:sz="4" w:space="0" w:color="000000"/>
            </w:tcBorders>
          </w:tcPr>
          <w:p>
            <w:pPr>
              <w:rPr>
                <w:sz w:val="2"/>
                <w:szCs w:val="2"/>
              </w:rPr>
            </w:pPr>
          </w:p>
        </w:tc>
        <w:tc>
          <w:tcPr>
            <w:tcW w:w="5335" w:type="dxa"/>
            <w:gridSpan w:val="4"/>
            <w:tcBorders>
              <w:top w:val="single" w:sz="4" w:space="0" w:color="000000"/>
              <w:left w:val="single" w:sz="4" w:space="0" w:color="000000"/>
              <w:bottom w:val="single" w:sz="12" w:space="0" w:color="000000"/>
              <w:right w:val="single" w:sz="12" w:space="0" w:color="000000"/>
            </w:tcBorders>
          </w:tcPr>
          <w:p>
            <w:pPr>
              <w:pStyle w:val="TableParagraph"/>
              <w:rPr>
                <w:rFonts w:ascii="Times New Roman"/>
                <w:sz w:val="18"/>
              </w:rPr>
            </w:pPr>
          </w:p>
        </w:tc>
      </w:tr>
    </w:tbl>
    <w:p>
      <w:pPr>
        <w:spacing w:after="0"/>
        <w:rPr>
          <w:rFonts w:ascii="Times New Roman"/>
          <w:sz w:val="18"/>
        </w:rPr>
        <w:sectPr>
          <w:pgSz w:w="11910" w:h="16840"/>
          <w:pgMar w:header="0" w:footer="375" w:top="480" w:bottom="2381" w:left="460" w:right="160"/>
        </w:sectPr>
      </w:pPr>
    </w:p>
    <w:tbl>
      <w:tblPr>
        <w:tblW w:w="0" w:type="auto"/>
        <w:jc w:val="left"/>
        <w:tblInd w:w="4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553"/>
        <w:gridCol w:w="3540"/>
        <w:gridCol w:w="1537"/>
        <w:gridCol w:w="1348"/>
        <w:gridCol w:w="1216"/>
        <w:gridCol w:w="1234"/>
      </w:tblGrid>
      <w:tr>
        <w:trPr>
          <w:trHeight w:val="900" w:hRule="atLeast"/>
        </w:trPr>
        <w:tc>
          <w:tcPr>
            <w:tcW w:w="1553" w:type="dxa"/>
            <w:tcBorders>
              <w:left w:val="single" w:sz="12" w:space="0" w:color="000000"/>
              <w:bottom w:val="nil"/>
              <w:right w:val="nil"/>
            </w:tcBorders>
            <w:shd w:val="clear" w:color="auto" w:fill="5B9AD4"/>
          </w:tcPr>
          <w:p>
            <w:pPr>
              <w:pStyle w:val="TableParagraph"/>
              <w:spacing w:before="2"/>
              <w:rPr>
                <w:b/>
                <w:sz w:val="19"/>
              </w:rPr>
            </w:pPr>
          </w:p>
          <w:p>
            <w:pPr>
              <w:pStyle w:val="TableParagraph"/>
              <w:ind w:left="169"/>
              <w:rPr>
                <w:b/>
                <w:sz w:val="20"/>
              </w:rPr>
            </w:pPr>
            <w:r>
              <w:rPr>
                <w:b/>
                <w:color w:val="FFFFFF"/>
                <w:sz w:val="20"/>
              </w:rPr>
              <w:t>Service</w:t>
            </w:r>
            <w:r>
              <w:rPr>
                <w:b/>
                <w:color w:val="FFFFFF"/>
                <w:spacing w:val="-10"/>
                <w:sz w:val="20"/>
              </w:rPr>
              <w:t> </w:t>
            </w:r>
            <w:r>
              <w:rPr>
                <w:b/>
                <w:color w:val="FFFFFF"/>
                <w:spacing w:val="-4"/>
                <w:sz w:val="20"/>
              </w:rPr>
              <w:t>Area</w:t>
            </w:r>
          </w:p>
        </w:tc>
        <w:tc>
          <w:tcPr>
            <w:tcW w:w="3540" w:type="dxa"/>
            <w:tcBorders>
              <w:left w:val="nil"/>
              <w:bottom w:val="nil"/>
              <w:right w:val="nil"/>
            </w:tcBorders>
            <w:shd w:val="clear" w:color="auto" w:fill="5B9AD4"/>
          </w:tcPr>
          <w:p>
            <w:pPr>
              <w:pStyle w:val="TableParagraph"/>
              <w:spacing w:before="6"/>
              <w:rPr>
                <w:b/>
                <w:sz w:val="28"/>
              </w:rPr>
            </w:pPr>
          </w:p>
          <w:p>
            <w:pPr>
              <w:pStyle w:val="TableParagraph"/>
              <w:ind w:left="916"/>
              <w:rPr>
                <w:b/>
                <w:sz w:val="20"/>
              </w:rPr>
            </w:pPr>
            <w:r>
              <w:rPr>
                <w:b/>
                <w:color w:val="FFFFFF"/>
                <w:sz w:val="20"/>
              </w:rPr>
              <w:t>Services</w:t>
            </w:r>
            <w:r>
              <w:rPr>
                <w:b/>
                <w:color w:val="FFFFFF"/>
                <w:spacing w:val="-9"/>
                <w:sz w:val="20"/>
              </w:rPr>
              <w:t> </w:t>
            </w:r>
            <w:r>
              <w:rPr>
                <w:b/>
                <w:color w:val="FFFFFF"/>
                <w:spacing w:val="-2"/>
                <w:sz w:val="20"/>
              </w:rPr>
              <w:t>Provided</w:t>
            </w:r>
          </w:p>
        </w:tc>
        <w:tc>
          <w:tcPr>
            <w:tcW w:w="1537" w:type="dxa"/>
            <w:tcBorders>
              <w:left w:val="nil"/>
              <w:bottom w:val="nil"/>
              <w:right w:val="nil"/>
            </w:tcBorders>
            <w:shd w:val="clear" w:color="auto" w:fill="5B9AD4"/>
          </w:tcPr>
          <w:p>
            <w:pPr>
              <w:pStyle w:val="TableParagraph"/>
              <w:rPr>
                <w:rFonts w:ascii="Times New Roman"/>
                <w:sz w:val="18"/>
              </w:rPr>
            </w:pPr>
          </w:p>
        </w:tc>
        <w:tc>
          <w:tcPr>
            <w:tcW w:w="1348" w:type="dxa"/>
            <w:tcBorders>
              <w:left w:val="nil"/>
              <w:bottom w:val="nil"/>
              <w:right w:val="nil"/>
            </w:tcBorders>
            <w:shd w:val="clear" w:color="auto" w:fill="5B9AD4"/>
          </w:tcPr>
          <w:p>
            <w:pPr>
              <w:pStyle w:val="TableParagraph"/>
              <w:spacing w:before="26"/>
              <w:ind w:left="350" w:right="222"/>
              <w:jc w:val="center"/>
              <w:rPr>
                <w:b/>
                <w:sz w:val="20"/>
              </w:rPr>
            </w:pPr>
            <w:r>
              <w:rPr>
                <w:b/>
                <w:color w:val="FFFFFF"/>
                <w:spacing w:val="-2"/>
                <w:sz w:val="20"/>
              </w:rPr>
              <w:t>2023/24</w:t>
            </w:r>
          </w:p>
          <w:p>
            <w:pPr>
              <w:pStyle w:val="TableParagraph"/>
              <w:spacing w:before="72"/>
              <w:ind w:left="350" w:right="223"/>
              <w:jc w:val="center"/>
              <w:rPr>
                <w:b/>
                <w:sz w:val="20"/>
              </w:rPr>
            </w:pPr>
            <w:r>
              <w:rPr>
                <w:b/>
                <w:color w:val="FFFFFF"/>
                <w:spacing w:val="-2"/>
                <w:sz w:val="20"/>
              </w:rPr>
              <w:t>Actual</w:t>
            </w:r>
          </w:p>
          <w:p>
            <w:pPr>
              <w:pStyle w:val="TableParagraph"/>
              <w:spacing w:before="75"/>
              <w:ind w:left="350" w:right="223"/>
              <w:jc w:val="center"/>
              <w:rPr>
                <w:b/>
                <w:sz w:val="20"/>
              </w:rPr>
            </w:pPr>
            <w:r>
              <w:rPr>
                <w:b/>
                <w:color w:val="FFFFFF"/>
                <w:spacing w:val="-2"/>
                <w:sz w:val="20"/>
              </w:rPr>
              <w:t>$'000</w:t>
            </w:r>
          </w:p>
        </w:tc>
        <w:tc>
          <w:tcPr>
            <w:tcW w:w="1216" w:type="dxa"/>
            <w:tcBorders>
              <w:left w:val="nil"/>
              <w:bottom w:val="nil"/>
              <w:right w:val="nil"/>
            </w:tcBorders>
            <w:shd w:val="clear" w:color="auto" w:fill="5B9AD4"/>
          </w:tcPr>
          <w:p>
            <w:pPr>
              <w:pStyle w:val="TableParagraph"/>
              <w:spacing w:before="26"/>
              <w:ind w:left="80" w:right="113"/>
              <w:jc w:val="center"/>
              <w:rPr>
                <w:b/>
                <w:sz w:val="20"/>
              </w:rPr>
            </w:pPr>
            <w:r>
              <w:rPr>
                <w:b/>
                <w:color w:val="FFFFFF"/>
                <w:spacing w:val="-2"/>
                <w:sz w:val="20"/>
              </w:rPr>
              <w:t>2024/25</w:t>
            </w:r>
          </w:p>
          <w:p>
            <w:pPr>
              <w:pStyle w:val="TableParagraph"/>
              <w:spacing w:before="72"/>
              <w:ind w:left="81" w:right="113"/>
              <w:jc w:val="center"/>
              <w:rPr>
                <w:b/>
                <w:sz w:val="20"/>
              </w:rPr>
            </w:pPr>
            <w:r>
              <w:rPr>
                <w:b/>
                <w:color w:val="FFFFFF"/>
                <w:spacing w:val="-2"/>
                <w:sz w:val="20"/>
              </w:rPr>
              <w:t>Forecast</w:t>
            </w:r>
          </w:p>
          <w:p>
            <w:pPr>
              <w:pStyle w:val="TableParagraph"/>
              <w:spacing w:before="75"/>
              <w:ind w:left="79" w:right="113"/>
              <w:jc w:val="center"/>
              <w:rPr>
                <w:b/>
                <w:sz w:val="20"/>
              </w:rPr>
            </w:pPr>
            <w:r>
              <w:rPr>
                <w:b/>
                <w:color w:val="FFFFFF"/>
                <w:spacing w:val="-2"/>
                <w:sz w:val="20"/>
              </w:rPr>
              <w:t>$'000</w:t>
            </w:r>
          </w:p>
        </w:tc>
        <w:tc>
          <w:tcPr>
            <w:tcW w:w="1234" w:type="dxa"/>
            <w:tcBorders>
              <w:left w:val="nil"/>
              <w:bottom w:val="nil"/>
              <w:right w:val="single" w:sz="12" w:space="0" w:color="000000"/>
            </w:tcBorders>
            <w:shd w:val="clear" w:color="auto" w:fill="5B9AD4"/>
          </w:tcPr>
          <w:p>
            <w:pPr>
              <w:pStyle w:val="TableParagraph"/>
              <w:spacing w:before="26"/>
              <w:ind w:left="240" w:right="221"/>
              <w:jc w:val="center"/>
              <w:rPr>
                <w:b/>
                <w:sz w:val="20"/>
              </w:rPr>
            </w:pPr>
            <w:r>
              <w:rPr>
                <w:b/>
                <w:color w:val="FFFFFF"/>
                <w:spacing w:val="-2"/>
                <w:sz w:val="20"/>
              </w:rPr>
              <w:t>2025/26</w:t>
            </w:r>
          </w:p>
          <w:p>
            <w:pPr>
              <w:pStyle w:val="TableParagraph"/>
              <w:spacing w:before="72"/>
              <w:ind w:left="240" w:right="219"/>
              <w:jc w:val="center"/>
              <w:rPr>
                <w:b/>
                <w:sz w:val="20"/>
              </w:rPr>
            </w:pPr>
            <w:r>
              <w:rPr>
                <w:b/>
                <w:color w:val="FFFFFF"/>
                <w:spacing w:val="-2"/>
                <w:sz w:val="20"/>
              </w:rPr>
              <w:t>Budget</w:t>
            </w:r>
          </w:p>
          <w:p>
            <w:pPr>
              <w:pStyle w:val="TableParagraph"/>
              <w:spacing w:before="75"/>
              <w:ind w:left="240" w:right="221"/>
              <w:jc w:val="center"/>
              <w:rPr>
                <w:b/>
                <w:sz w:val="20"/>
              </w:rPr>
            </w:pPr>
            <w:r>
              <w:rPr>
                <w:b/>
                <w:color w:val="FFFFFF"/>
                <w:spacing w:val="-2"/>
                <w:sz w:val="20"/>
              </w:rPr>
              <w:t>$'000</w:t>
            </w:r>
          </w:p>
        </w:tc>
      </w:tr>
      <w:tr>
        <w:trPr>
          <w:trHeight w:val="616" w:hRule="atLeast"/>
        </w:trPr>
        <w:tc>
          <w:tcPr>
            <w:tcW w:w="1553" w:type="dxa"/>
            <w:tcBorders>
              <w:top w:val="nil"/>
              <w:left w:val="single" w:sz="12" w:space="0" w:color="000000"/>
              <w:bottom w:val="nil"/>
              <w:right w:val="single" w:sz="4" w:space="0" w:color="000000"/>
            </w:tcBorders>
          </w:tcPr>
          <w:p>
            <w:pPr>
              <w:pStyle w:val="TableParagraph"/>
              <w:ind w:left="107"/>
              <w:rPr>
                <w:sz w:val="20"/>
              </w:rPr>
            </w:pPr>
            <w:r>
              <w:rPr>
                <w:spacing w:val="-2"/>
                <w:sz w:val="20"/>
              </w:rPr>
              <w:t>Engineering services</w:t>
            </w:r>
          </w:p>
        </w:tc>
        <w:tc>
          <w:tcPr>
            <w:tcW w:w="3540" w:type="dxa"/>
            <w:vMerge w:val="restart"/>
            <w:tcBorders>
              <w:top w:val="nil"/>
              <w:left w:val="single" w:sz="4" w:space="0" w:color="000000"/>
              <w:bottom w:val="single" w:sz="4" w:space="0" w:color="000000"/>
              <w:right w:val="single" w:sz="4" w:space="0" w:color="000000"/>
            </w:tcBorders>
          </w:tcPr>
          <w:p>
            <w:pPr>
              <w:pStyle w:val="TableParagraph"/>
              <w:numPr>
                <w:ilvl w:val="0"/>
                <w:numId w:val="29"/>
              </w:numPr>
              <w:tabs>
                <w:tab w:pos="429" w:val="left" w:leader="none"/>
                <w:tab w:pos="430" w:val="left" w:leader="none"/>
              </w:tabs>
              <w:spacing w:line="244" w:lineRule="exact" w:before="0" w:after="0"/>
              <w:ind w:left="429" w:right="0" w:hanging="313"/>
              <w:jc w:val="left"/>
              <w:rPr>
                <w:sz w:val="20"/>
              </w:rPr>
            </w:pPr>
            <w:r>
              <w:rPr>
                <w:sz w:val="20"/>
              </w:rPr>
              <w:t>Council</w:t>
            </w:r>
            <w:r>
              <w:rPr>
                <w:spacing w:val="-7"/>
                <w:sz w:val="20"/>
              </w:rPr>
              <w:t> </w:t>
            </w:r>
            <w:r>
              <w:rPr>
                <w:sz w:val="20"/>
              </w:rPr>
              <w:t>asset</w:t>
            </w:r>
            <w:r>
              <w:rPr>
                <w:spacing w:val="-3"/>
                <w:sz w:val="20"/>
              </w:rPr>
              <w:t> </w:t>
            </w:r>
            <w:r>
              <w:rPr>
                <w:spacing w:val="-2"/>
                <w:sz w:val="20"/>
              </w:rPr>
              <w:t>protection</w:t>
            </w:r>
          </w:p>
          <w:p>
            <w:pPr>
              <w:pStyle w:val="TableParagraph"/>
              <w:numPr>
                <w:ilvl w:val="0"/>
                <w:numId w:val="29"/>
              </w:numPr>
              <w:tabs>
                <w:tab w:pos="429" w:val="left" w:leader="none"/>
                <w:tab w:pos="430" w:val="left" w:leader="none"/>
              </w:tabs>
              <w:spacing w:line="240" w:lineRule="auto" w:before="0" w:after="0"/>
              <w:ind w:left="429" w:right="877" w:hanging="312"/>
              <w:jc w:val="left"/>
              <w:rPr>
                <w:sz w:val="20"/>
              </w:rPr>
            </w:pPr>
            <w:r>
              <w:rPr>
                <w:sz w:val="20"/>
              </w:rPr>
              <w:t>Capital Works Program coordination</w:t>
            </w:r>
            <w:r>
              <w:rPr>
                <w:spacing w:val="-14"/>
                <w:sz w:val="20"/>
              </w:rPr>
              <w:t> </w:t>
            </w:r>
            <w:r>
              <w:rPr>
                <w:sz w:val="20"/>
              </w:rPr>
              <w:t>and</w:t>
            </w:r>
            <w:r>
              <w:rPr>
                <w:spacing w:val="-14"/>
                <w:sz w:val="20"/>
              </w:rPr>
              <w:t> </w:t>
            </w:r>
            <w:r>
              <w:rPr>
                <w:sz w:val="20"/>
              </w:rPr>
              <w:t>delivery</w:t>
            </w:r>
            <w:r>
              <w:rPr>
                <w:sz w:val="20"/>
              </w:rPr>
              <w:t> (engineering</w:t>
            </w:r>
            <w:r>
              <w:rPr>
                <w:spacing w:val="-14"/>
                <w:sz w:val="20"/>
              </w:rPr>
              <w:t> </w:t>
            </w:r>
            <w:r>
              <w:rPr>
                <w:sz w:val="20"/>
              </w:rPr>
              <w:t>component)</w:t>
            </w:r>
          </w:p>
          <w:p>
            <w:pPr>
              <w:pStyle w:val="TableParagraph"/>
              <w:numPr>
                <w:ilvl w:val="0"/>
                <w:numId w:val="29"/>
              </w:numPr>
              <w:tabs>
                <w:tab w:pos="429" w:val="left" w:leader="none"/>
                <w:tab w:pos="430" w:val="left" w:leader="none"/>
              </w:tabs>
              <w:spacing w:line="240" w:lineRule="auto" w:before="0" w:after="0"/>
              <w:ind w:left="429" w:right="199" w:hanging="312"/>
              <w:jc w:val="left"/>
              <w:rPr>
                <w:sz w:val="20"/>
              </w:rPr>
            </w:pPr>
            <w:r>
              <w:rPr>
                <w:sz w:val="20"/>
              </w:rPr>
              <w:t>Capital</w:t>
            </w:r>
            <w:r>
              <w:rPr>
                <w:spacing w:val="-13"/>
                <w:sz w:val="20"/>
              </w:rPr>
              <w:t> </w:t>
            </w:r>
            <w:r>
              <w:rPr>
                <w:sz w:val="20"/>
              </w:rPr>
              <w:t>Works</w:t>
            </w:r>
            <w:r>
              <w:rPr>
                <w:spacing w:val="-14"/>
                <w:sz w:val="20"/>
              </w:rPr>
              <w:t> </w:t>
            </w:r>
            <w:r>
              <w:rPr>
                <w:sz w:val="20"/>
              </w:rPr>
              <w:t>Renewal</w:t>
            </w:r>
            <w:r>
              <w:rPr>
                <w:spacing w:val="-14"/>
                <w:sz w:val="20"/>
              </w:rPr>
              <w:t> </w:t>
            </w:r>
            <w:r>
              <w:rPr>
                <w:sz w:val="20"/>
              </w:rPr>
              <w:t>Program development and delivery</w:t>
            </w:r>
          </w:p>
          <w:p>
            <w:pPr>
              <w:pStyle w:val="TableParagraph"/>
              <w:numPr>
                <w:ilvl w:val="0"/>
                <w:numId w:val="29"/>
              </w:numPr>
              <w:tabs>
                <w:tab w:pos="429" w:val="left" w:leader="none"/>
                <w:tab w:pos="430" w:val="left" w:leader="none"/>
              </w:tabs>
              <w:spacing w:line="235" w:lineRule="auto" w:before="1" w:after="0"/>
              <w:ind w:left="429" w:right="397" w:hanging="312"/>
              <w:jc w:val="left"/>
              <w:rPr>
                <w:sz w:val="20"/>
              </w:rPr>
            </w:pPr>
            <w:r>
              <w:rPr>
                <w:sz w:val="20"/>
              </w:rPr>
              <w:t>Engineering</w:t>
            </w:r>
            <w:r>
              <w:rPr>
                <w:spacing w:val="-14"/>
                <w:sz w:val="20"/>
              </w:rPr>
              <w:t> </w:t>
            </w:r>
            <w:r>
              <w:rPr>
                <w:sz w:val="20"/>
              </w:rPr>
              <w:t>development</w:t>
            </w:r>
            <w:r>
              <w:rPr>
                <w:spacing w:val="-14"/>
                <w:sz w:val="20"/>
              </w:rPr>
              <w:t> </w:t>
            </w:r>
            <w:r>
              <w:rPr>
                <w:sz w:val="20"/>
              </w:rPr>
              <w:t>plan </w:t>
            </w:r>
            <w:r>
              <w:rPr>
                <w:spacing w:val="-2"/>
                <w:sz w:val="20"/>
              </w:rPr>
              <w:t>approvals</w:t>
            </w:r>
          </w:p>
          <w:p>
            <w:pPr>
              <w:pStyle w:val="TableParagraph"/>
              <w:numPr>
                <w:ilvl w:val="0"/>
                <w:numId w:val="29"/>
              </w:numPr>
              <w:tabs>
                <w:tab w:pos="429" w:val="left" w:leader="none"/>
                <w:tab w:pos="430" w:val="left" w:leader="none"/>
              </w:tabs>
              <w:spacing w:line="235" w:lineRule="auto" w:before="8" w:after="0"/>
              <w:ind w:left="429" w:right="811" w:hanging="312"/>
              <w:jc w:val="left"/>
              <w:rPr>
                <w:sz w:val="20"/>
              </w:rPr>
            </w:pPr>
            <w:r>
              <w:rPr>
                <w:sz w:val="20"/>
              </w:rPr>
              <w:t>Infrastructure/building</w:t>
            </w:r>
            <w:r>
              <w:rPr>
                <w:spacing w:val="-14"/>
                <w:sz w:val="20"/>
              </w:rPr>
              <w:t> </w:t>
            </w:r>
            <w:r>
              <w:rPr>
                <w:sz w:val="20"/>
              </w:rPr>
              <w:t>site </w:t>
            </w:r>
            <w:r>
              <w:rPr>
                <w:spacing w:val="-2"/>
                <w:sz w:val="20"/>
              </w:rPr>
              <w:t>inspections/compliance</w:t>
            </w:r>
          </w:p>
          <w:p>
            <w:pPr>
              <w:pStyle w:val="TableParagraph"/>
              <w:numPr>
                <w:ilvl w:val="0"/>
                <w:numId w:val="29"/>
              </w:numPr>
              <w:tabs>
                <w:tab w:pos="429" w:val="left" w:leader="none"/>
                <w:tab w:pos="430" w:val="left" w:leader="none"/>
              </w:tabs>
              <w:spacing w:line="240" w:lineRule="auto" w:before="3" w:after="0"/>
              <w:ind w:left="429" w:right="308" w:hanging="312"/>
              <w:jc w:val="left"/>
              <w:rPr>
                <w:sz w:val="20"/>
              </w:rPr>
            </w:pPr>
            <w:r>
              <w:rPr>
                <w:sz w:val="20"/>
              </w:rPr>
              <w:t>Drainage,</w:t>
            </w:r>
            <w:r>
              <w:rPr>
                <w:spacing w:val="-11"/>
                <w:sz w:val="20"/>
              </w:rPr>
              <w:t> </w:t>
            </w:r>
            <w:r>
              <w:rPr>
                <w:sz w:val="20"/>
              </w:rPr>
              <w:t>stormwater</w:t>
            </w:r>
            <w:r>
              <w:rPr>
                <w:spacing w:val="-14"/>
                <w:sz w:val="20"/>
              </w:rPr>
              <w:t> </w:t>
            </w:r>
            <w:r>
              <w:rPr>
                <w:sz w:val="20"/>
              </w:rPr>
              <w:t>and</w:t>
            </w:r>
            <w:r>
              <w:rPr>
                <w:spacing w:val="-14"/>
                <w:sz w:val="20"/>
              </w:rPr>
              <w:t> </w:t>
            </w:r>
            <w:r>
              <w:rPr>
                <w:sz w:val="20"/>
              </w:rPr>
              <w:t>flood management and strategic </w:t>
            </w:r>
            <w:r>
              <w:rPr>
                <w:spacing w:val="-2"/>
                <w:sz w:val="20"/>
              </w:rPr>
              <w:t>planning</w:t>
            </w:r>
          </w:p>
          <w:p>
            <w:pPr>
              <w:pStyle w:val="TableParagraph"/>
              <w:numPr>
                <w:ilvl w:val="0"/>
                <w:numId w:val="29"/>
              </w:numPr>
              <w:tabs>
                <w:tab w:pos="429" w:val="left" w:leader="none"/>
                <w:tab w:pos="430" w:val="left" w:leader="none"/>
              </w:tabs>
              <w:spacing w:line="240" w:lineRule="auto" w:before="0" w:after="0"/>
              <w:ind w:left="429" w:right="333" w:hanging="312"/>
              <w:jc w:val="left"/>
              <w:rPr>
                <w:sz w:val="20"/>
              </w:rPr>
            </w:pPr>
            <w:r>
              <w:rPr>
                <w:sz w:val="20"/>
              </w:rPr>
              <w:t>Open</w:t>
            </w:r>
            <w:r>
              <w:rPr>
                <w:spacing w:val="-14"/>
                <w:sz w:val="20"/>
              </w:rPr>
              <w:t> </w:t>
            </w:r>
            <w:r>
              <w:rPr>
                <w:sz w:val="20"/>
              </w:rPr>
              <w:t>Traffic</w:t>
            </w:r>
            <w:r>
              <w:rPr>
                <w:spacing w:val="-13"/>
                <w:sz w:val="20"/>
              </w:rPr>
              <w:t> </w:t>
            </w:r>
            <w:r>
              <w:rPr>
                <w:sz w:val="20"/>
              </w:rPr>
              <w:t>and</w:t>
            </w:r>
            <w:r>
              <w:rPr>
                <w:spacing w:val="-14"/>
                <w:sz w:val="20"/>
              </w:rPr>
              <w:t> </w:t>
            </w:r>
            <w:r>
              <w:rPr>
                <w:sz w:val="20"/>
              </w:rPr>
              <w:t>transportation </w:t>
            </w:r>
            <w:r>
              <w:rPr>
                <w:spacing w:val="-2"/>
                <w:sz w:val="20"/>
              </w:rPr>
              <w:t>planning</w:t>
            </w:r>
          </w:p>
          <w:p>
            <w:pPr>
              <w:pStyle w:val="TableParagraph"/>
              <w:numPr>
                <w:ilvl w:val="0"/>
                <w:numId w:val="29"/>
              </w:numPr>
              <w:tabs>
                <w:tab w:pos="429" w:val="left" w:leader="none"/>
                <w:tab w:pos="430" w:val="left" w:leader="none"/>
              </w:tabs>
              <w:spacing w:line="235" w:lineRule="auto" w:before="2" w:after="0"/>
              <w:ind w:left="429" w:right="462" w:hanging="312"/>
              <w:jc w:val="left"/>
              <w:rPr>
                <w:sz w:val="20"/>
              </w:rPr>
            </w:pPr>
            <w:r>
              <w:rPr>
                <w:sz w:val="20"/>
              </w:rPr>
              <w:t>Engineering</w:t>
            </w:r>
            <w:r>
              <w:rPr>
                <w:spacing w:val="-14"/>
                <w:sz w:val="20"/>
              </w:rPr>
              <w:t> </w:t>
            </w:r>
            <w:r>
              <w:rPr>
                <w:sz w:val="20"/>
              </w:rPr>
              <w:t>customer</w:t>
            </w:r>
            <w:r>
              <w:rPr>
                <w:spacing w:val="-14"/>
                <w:sz w:val="20"/>
              </w:rPr>
              <w:t> </w:t>
            </w:r>
            <w:r>
              <w:rPr>
                <w:sz w:val="20"/>
              </w:rPr>
              <w:t>service and administration</w:t>
            </w:r>
          </w:p>
        </w:tc>
        <w:tc>
          <w:tcPr>
            <w:tcW w:w="1537" w:type="dxa"/>
            <w:tcBorders>
              <w:top w:val="nil"/>
              <w:left w:val="single" w:sz="4" w:space="0" w:color="000000"/>
              <w:bottom w:val="single" w:sz="4" w:space="0" w:color="000000"/>
              <w:right w:val="nil"/>
            </w:tcBorders>
          </w:tcPr>
          <w:p>
            <w:pPr>
              <w:pStyle w:val="TableParagraph"/>
              <w:spacing w:line="230" w:lineRule="exact"/>
              <w:ind w:left="114"/>
              <w:rPr>
                <w:sz w:val="20"/>
              </w:rPr>
            </w:pPr>
            <w:r>
              <w:rPr>
                <w:spacing w:val="-2"/>
                <w:sz w:val="20"/>
              </w:rPr>
              <w:t>Income</w:t>
            </w:r>
          </w:p>
          <w:p>
            <w:pPr>
              <w:pStyle w:val="TableParagraph"/>
              <w:spacing w:before="82"/>
              <w:ind w:left="114"/>
              <w:rPr>
                <w:sz w:val="20"/>
              </w:rPr>
            </w:pPr>
            <w:r>
              <w:rPr>
                <w:spacing w:val="-2"/>
                <w:sz w:val="20"/>
              </w:rPr>
              <w:t>Expenditure</w:t>
            </w:r>
          </w:p>
        </w:tc>
        <w:tc>
          <w:tcPr>
            <w:tcW w:w="1348" w:type="dxa"/>
            <w:tcBorders>
              <w:top w:val="nil"/>
              <w:left w:val="nil"/>
              <w:bottom w:val="single" w:sz="4" w:space="0" w:color="000000"/>
              <w:right w:val="nil"/>
            </w:tcBorders>
          </w:tcPr>
          <w:p>
            <w:pPr>
              <w:pStyle w:val="TableParagraph"/>
              <w:spacing w:line="206" w:lineRule="exact"/>
              <w:ind w:left="745"/>
              <w:rPr>
                <w:sz w:val="18"/>
              </w:rPr>
            </w:pPr>
            <w:r>
              <w:rPr>
                <w:spacing w:val="-2"/>
                <w:sz w:val="18"/>
              </w:rPr>
              <w:t>1,208</w:t>
            </w:r>
          </w:p>
          <w:p>
            <w:pPr>
              <w:pStyle w:val="TableParagraph"/>
              <w:spacing w:before="105"/>
              <w:ind w:left="745"/>
              <w:rPr>
                <w:sz w:val="18"/>
              </w:rPr>
            </w:pPr>
            <w:r>
              <w:rPr>
                <w:spacing w:val="-2"/>
                <w:sz w:val="18"/>
              </w:rPr>
              <w:t>2,688</w:t>
            </w:r>
          </w:p>
        </w:tc>
        <w:tc>
          <w:tcPr>
            <w:tcW w:w="1216" w:type="dxa"/>
            <w:tcBorders>
              <w:top w:val="nil"/>
              <w:left w:val="nil"/>
              <w:bottom w:val="single" w:sz="4" w:space="0" w:color="000000"/>
              <w:right w:val="nil"/>
            </w:tcBorders>
          </w:tcPr>
          <w:p>
            <w:pPr>
              <w:pStyle w:val="TableParagraph"/>
              <w:spacing w:line="206" w:lineRule="exact"/>
              <w:ind w:left="669"/>
              <w:rPr>
                <w:sz w:val="18"/>
              </w:rPr>
            </w:pPr>
            <w:r>
              <w:rPr>
                <w:spacing w:val="-2"/>
                <w:sz w:val="18"/>
              </w:rPr>
              <w:t>1,290</w:t>
            </w:r>
          </w:p>
          <w:p>
            <w:pPr>
              <w:pStyle w:val="TableParagraph"/>
              <w:spacing w:before="105"/>
              <w:ind w:left="669"/>
              <w:rPr>
                <w:sz w:val="18"/>
              </w:rPr>
            </w:pPr>
            <w:r>
              <w:rPr>
                <w:spacing w:val="-2"/>
                <w:sz w:val="18"/>
              </w:rPr>
              <w:t>2,513</w:t>
            </w:r>
          </w:p>
        </w:tc>
        <w:tc>
          <w:tcPr>
            <w:tcW w:w="1234" w:type="dxa"/>
            <w:tcBorders>
              <w:top w:val="nil"/>
              <w:left w:val="nil"/>
              <w:bottom w:val="single" w:sz="4" w:space="0" w:color="000000"/>
              <w:right w:val="single" w:sz="12" w:space="0" w:color="000000"/>
            </w:tcBorders>
            <w:shd w:val="clear" w:color="auto" w:fill="BCD6ED"/>
          </w:tcPr>
          <w:p>
            <w:pPr>
              <w:pStyle w:val="TableParagraph"/>
              <w:spacing w:line="206" w:lineRule="exact"/>
              <w:ind w:left="671"/>
              <w:rPr>
                <w:sz w:val="18"/>
              </w:rPr>
            </w:pPr>
            <w:r>
              <w:rPr>
                <w:spacing w:val="-2"/>
                <w:sz w:val="18"/>
              </w:rPr>
              <w:t>1,239</w:t>
            </w:r>
          </w:p>
          <w:p>
            <w:pPr>
              <w:pStyle w:val="TableParagraph"/>
              <w:spacing w:before="105"/>
              <w:ind w:left="671"/>
              <w:rPr>
                <w:sz w:val="18"/>
              </w:rPr>
            </w:pPr>
            <w:r>
              <w:rPr>
                <w:spacing w:val="-2"/>
                <w:sz w:val="18"/>
              </w:rPr>
              <w:t>2,452</w:t>
            </w:r>
          </w:p>
        </w:tc>
      </w:tr>
      <w:tr>
        <w:trPr>
          <w:trHeight w:val="457" w:hRule="atLeast"/>
        </w:trPr>
        <w:tc>
          <w:tcPr>
            <w:tcW w:w="1553" w:type="dxa"/>
            <w:tcBorders>
              <w:top w:val="nil"/>
              <w:left w:val="single" w:sz="12" w:space="0" w:color="000000"/>
              <w:bottom w:val="nil"/>
              <w:right w:val="single" w:sz="4" w:space="0" w:color="000000"/>
            </w:tcBorders>
          </w:tcPr>
          <w:p>
            <w:pPr>
              <w:pStyle w:val="TableParagraph"/>
              <w:rPr>
                <w:rFonts w:ascii="Times New Roman"/>
                <w:sz w:val="18"/>
              </w:rPr>
            </w:pPr>
          </w:p>
        </w:tc>
        <w:tc>
          <w:tcPr>
            <w:tcW w:w="3540" w:type="dxa"/>
            <w:vMerge/>
            <w:tcBorders>
              <w:top w:val="nil"/>
              <w:left w:val="single" w:sz="4" w:space="0" w:color="000000"/>
              <w:bottom w:val="single" w:sz="4" w:space="0" w:color="000000"/>
              <w:right w:val="single" w:sz="4" w:space="0" w:color="000000"/>
            </w:tcBorders>
          </w:tcPr>
          <w:p>
            <w:pPr>
              <w:rPr>
                <w:sz w:val="2"/>
                <w:szCs w:val="2"/>
              </w:rPr>
            </w:pPr>
          </w:p>
        </w:tc>
        <w:tc>
          <w:tcPr>
            <w:tcW w:w="1537" w:type="dxa"/>
            <w:tcBorders>
              <w:top w:val="single" w:sz="4" w:space="0" w:color="000000"/>
              <w:left w:val="single" w:sz="4" w:space="0" w:color="000000"/>
              <w:bottom w:val="single" w:sz="4" w:space="0" w:color="000000"/>
              <w:right w:val="nil"/>
            </w:tcBorders>
          </w:tcPr>
          <w:p>
            <w:pPr>
              <w:pStyle w:val="TableParagraph"/>
              <w:spacing w:line="228" w:lineRule="exact"/>
              <w:ind w:left="114"/>
              <w:rPr>
                <w:b/>
                <w:sz w:val="20"/>
              </w:rPr>
            </w:pPr>
            <w:r>
              <w:rPr>
                <w:b/>
                <w:sz w:val="20"/>
              </w:rPr>
              <w:t>Surplus</w:t>
            </w:r>
            <w:r>
              <w:rPr>
                <w:b/>
                <w:spacing w:val="-14"/>
                <w:sz w:val="20"/>
              </w:rPr>
              <w:t> </w:t>
            </w:r>
            <w:r>
              <w:rPr>
                <w:b/>
                <w:sz w:val="20"/>
              </w:rPr>
              <w:t>/ </w:t>
            </w:r>
            <w:r>
              <w:rPr>
                <w:b/>
                <w:spacing w:val="-2"/>
                <w:sz w:val="20"/>
              </w:rPr>
              <w:t>(deficit)</w:t>
            </w:r>
          </w:p>
        </w:tc>
        <w:tc>
          <w:tcPr>
            <w:tcW w:w="1348" w:type="dxa"/>
            <w:tcBorders>
              <w:top w:val="single" w:sz="4" w:space="0" w:color="000000"/>
              <w:left w:val="nil"/>
              <w:bottom w:val="single" w:sz="4" w:space="0" w:color="000000"/>
              <w:right w:val="nil"/>
            </w:tcBorders>
          </w:tcPr>
          <w:p>
            <w:pPr>
              <w:pStyle w:val="TableParagraph"/>
              <w:spacing w:line="206" w:lineRule="exact"/>
              <w:ind w:right="147"/>
              <w:jc w:val="right"/>
              <w:rPr>
                <w:b/>
                <w:sz w:val="18"/>
              </w:rPr>
            </w:pPr>
            <w:r>
              <w:rPr>
                <w:b/>
                <w:spacing w:val="-2"/>
                <w:sz w:val="18"/>
              </w:rPr>
              <w:t>(1,480)</w:t>
            </w:r>
          </w:p>
        </w:tc>
        <w:tc>
          <w:tcPr>
            <w:tcW w:w="1216" w:type="dxa"/>
            <w:tcBorders>
              <w:top w:val="single" w:sz="4" w:space="0" w:color="000000"/>
              <w:left w:val="nil"/>
              <w:bottom w:val="single" w:sz="4" w:space="0" w:color="000000"/>
              <w:right w:val="nil"/>
            </w:tcBorders>
          </w:tcPr>
          <w:p>
            <w:pPr>
              <w:pStyle w:val="TableParagraph"/>
              <w:spacing w:line="206" w:lineRule="exact"/>
              <w:ind w:right="91"/>
              <w:jc w:val="right"/>
              <w:rPr>
                <w:b/>
                <w:sz w:val="18"/>
              </w:rPr>
            </w:pPr>
            <w:r>
              <w:rPr>
                <w:b/>
                <w:spacing w:val="-2"/>
                <w:sz w:val="18"/>
              </w:rPr>
              <w:t>(1,223)</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line="206" w:lineRule="exact"/>
              <w:ind w:right="77"/>
              <w:jc w:val="right"/>
              <w:rPr>
                <w:b/>
                <w:sz w:val="18"/>
              </w:rPr>
            </w:pPr>
            <w:r>
              <w:rPr>
                <w:b/>
                <w:spacing w:val="-2"/>
                <w:sz w:val="18"/>
              </w:rPr>
              <w:t>(1,213)</w:t>
            </w:r>
          </w:p>
        </w:tc>
      </w:tr>
      <w:tr>
        <w:trPr>
          <w:trHeight w:val="3121" w:hRule="atLeast"/>
        </w:trPr>
        <w:tc>
          <w:tcPr>
            <w:tcW w:w="1553" w:type="dxa"/>
            <w:tcBorders>
              <w:top w:val="nil"/>
              <w:left w:val="single" w:sz="12" w:space="0" w:color="000000"/>
              <w:bottom w:val="single" w:sz="4" w:space="0" w:color="000000"/>
              <w:right w:val="single" w:sz="4" w:space="0" w:color="000000"/>
            </w:tcBorders>
          </w:tcPr>
          <w:p>
            <w:pPr>
              <w:pStyle w:val="TableParagraph"/>
              <w:rPr>
                <w:rFonts w:ascii="Times New Roman"/>
                <w:sz w:val="18"/>
              </w:rPr>
            </w:pPr>
          </w:p>
        </w:tc>
        <w:tc>
          <w:tcPr>
            <w:tcW w:w="3540" w:type="dxa"/>
            <w:vMerge/>
            <w:tcBorders>
              <w:top w:val="nil"/>
              <w:left w:val="single" w:sz="4" w:space="0" w:color="000000"/>
              <w:bottom w:val="single" w:sz="4" w:space="0" w:color="000000"/>
              <w:right w:val="single" w:sz="4" w:space="0" w:color="000000"/>
            </w:tcBorders>
          </w:tcPr>
          <w:p>
            <w:pPr>
              <w:rPr>
                <w:sz w:val="2"/>
                <w:szCs w:val="2"/>
              </w:rPr>
            </w:pPr>
          </w:p>
        </w:tc>
        <w:tc>
          <w:tcPr>
            <w:tcW w:w="5335" w:type="dxa"/>
            <w:gridSpan w:val="4"/>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8"/>
              </w:rPr>
            </w:pPr>
          </w:p>
        </w:tc>
      </w:tr>
      <w:tr>
        <w:trPr>
          <w:trHeight w:val="269" w:hRule="atLeast"/>
        </w:trPr>
        <w:tc>
          <w:tcPr>
            <w:tcW w:w="1553" w:type="dxa"/>
            <w:tcBorders>
              <w:top w:val="single" w:sz="4" w:space="0" w:color="000000"/>
              <w:left w:val="single" w:sz="12" w:space="0" w:color="000000"/>
              <w:bottom w:val="nil"/>
              <w:right w:val="single" w:sz="4" w:space="0" w:color="000000"/>
            </w:tcBorders>
          </w:tcPr>
          <w:p>
            <w:pPr>
              <w:pStyle w:val="TableParagraph"/>
              <w:spacing w:line="229" w:lineRule="exact"/>
              <w:ind w:left="107"/>
              <w:rPr>
                <w:sz w:val="20"/>
              </w:rPr>
            </w:pPr>
            <w:r>
              <w:rPr>
                <w:sz w:val="20"/>
              </w:rPr>
              <w:t>Local</w:t>
            </w:r>
            <w:r>
              <w:rPr>
                <w:spacing w:val="-5"/>
                <w:sz w:val="20"/>
              </w:rPr>
              <w:t> </w:t>
            </w:r>
            <w:r>
              <w:rPr>
                <w:spacing w:val="-4"/>
                <w:sz w:val="20"/>
              </w:rPr>
              <w:t>laws</w:t>
            </w:r>
          </w:p>
        </w:tc>
        <w:tc>
          <w:tcPr>
            <w:tcW w:w="3540" w:type="dxa"/>
            <w:vMerge w:val="restart"/>
            <w:tcBorders>
              <w:top w:val="single" w:sz="4" w:space="0" w:color="000000"/>
              <w:left w:val="single" w:sz="4" w:space="0" w:color="000000"/>
              <w:bottom w:val="single" w:sz="4" w:space="0" w:color="000000"/>
              <w:right w:val="single" w:sz="4" w:space="0" w:color="000000"/>
            </w:tcBorders>
          </w:tcPr>
          <w:p>
            <w:pPr>
              <w:pStyle w:val="TableParagraph"/>
              <w:numPr>
                <w:ilvl w:val="0"/>
                <w:numId w:val="30"/>
              </w:numPr>
              <w:tabs>
                <w:tab w:pos="429" w:val="left" w:leader="none"/>
                <w:tab w:pos="430" w:val="left" w:leader="none"/>
              </w:tabs>
              <w:spacing w:line="245" w:lineRule="exact" w:before="0" w:after="0"/>
              <w:ind w:left="429" w:right="0" w:hanging="313"/>
              <w:jc w:val="left"/>
              <w:rPr>
                <w:sz w:val="20"/>
              </w:rPr>
            </w:pPr>
            <w:r>
              <w:rPr>
                <w:sz w:val="20"/>
              </w:rPr>
              <w:t>Animal</w:t>
            </w:r>
            <w:r>
              <w:rPr>
                <w:spacing w:val="-9"/>
                <w:sz w:val="20"/>
              </w:rPr>
              <w:t> </w:t>
            </w:r>
            <w:r>
              <w:rPr>
                <w:spacing w:val="-2"/>
                <w:sz w:val="20"/>
              </w:rPr>
              <w:t>management</w:t>
            </w:r>
          </w:p>
          <w:p>
            <w:pPr>
              <w:pStyle w:val="TableParagraph"/>
              <w:numPr>
                <w:ilvl w:val="0"/>
                <w:numId w:val="30"/>
              </w:numPr>
              <w:tabs>
                <w:tab w:pos="429" w:val="left" w:leader="none"/>
                <w:tab w:pos="430" w:val="left" w:leader="none"/>
              </w:tabs>
              <w:spacing w:line="244" w:lineRule="exact" w:before="0" w:after="0"/>
              <w:ind w:left="429" w:right="0" w:hanging="313"/>
              <w:jc w:val="left"/>
              <w:rPr>
                <w:sz w:val="20"/>
              </w:rPr>
            </w:pPr>
            <w:r>
              <w:rPr>
                <w:sz w:val="20"/>
              </w:rPr>
              <w:t>Parking</w:t>
            </w:r>
            <w:r>
              <w:rPr>
                <w:spacing w:val="-9"/>
                <w:sz w:val="20"/>
              </w:rPr>
              <w:t> </w:t>
            </w:r>
            <w:r>
              <w:rPr>
                <w:spacing w:val="-2"/>
                <w:sz w:val="20"/>
              </w:rPr>
              <w:t>management</w:t>
            </w:r>
          </w:p>
          <w:p>
            <w:pPr>
              <w:pStyle w:val="TableParagraph"/>
              <w:numPr>
                <w:ilvl w:val="0"/>
                <w:numId w:val="30"/>
              </w:numPr>
              <w:tabs>
                <w:tab w:pos="429" w:val="left" w:leader="none"/>
                <w:tab w:pos="430" w:val="left" w:leader="none"/>
              </w:tabs>
              <w:spacing w:line="240" w:lineRule="auto" w:before="0" w:after="0"/>
              <w:ind w:left="429" w:right="299" w:hanging="312"/>
              <w:jc w:val="left"/>
              <w:rPr>
                <w:sz w:val="20"/>
              </w:rPr>
            </w:pPr>
            <w:r>
              <w:rPr>
                <w:sz w:val="20"/>
              </w:rPr>
              <w:t>Prosecutions</w:t>
            </w:r>
            <w:r>
              <w:rPr>
                <w:spacing w:val="-14"/>
                <w:sz w:val="20"/>
              </w:rPr>
              <w:t> </w:t>
            </w:r>
            <w:r>
              <w:rPr>
                <w:sz w:val="20"/>
              </w:rPr>
              <w:t>and</w:t>
            </w:r>
            <w:r>
              <w:rPr>
                <w:spacing w:val="-14"/>
                <w:sz w:val="20"/>
              </w:rPr>
              <w:t> </w:t>
            </w:r>
            <w:r>
              <w:rPr>
                <w:sz w:val="20"/>
              </w:rPr>
              <w:t>infringements </w:t>
            </w:r>
            <w:r>
              <w:rPr>
                <w:spacing w:val="-2"/>
                <w:sz w:val="20"/>
              </w:rPr>
              <w:t>review</w:t>
            </w:r>
          </w:p>
          <w:p>
            <w:pPr>
              <w:pStyle w:val="TableParagraph"/>
              <w:numPr>
                <w:ilvl w:val="0"/>
                <w:numId w:val="30"/>
              </w:numPr>
              <w:tabs>
                <w:tab w:pos="429" w:val="left" w:leader="none"/>
                <w:tab w:pos="430" w:val="left" w:leader="none"/>
              </w:tabs>
              <w:spacing w:line="244" w:lineRule="exact" w:before="0" w:after="0"/>
              <w:ind w:left="429" w:right="0" w:hanging="313"/>
              <w:jc w:val="left"/>
              <w:rPr>
                <w:sz w:val="20"/>
              </w:rPr>
            </w:pPr>
            <w:r>
              <w:rPr>
                <w:sz w:val="20"/>
              </w:rPr>
              <w:t>Safety</w:t>
            </w:r>
            <w:r>
              <w:rPr>
                <w:spacing w:val="-7"/>
                <w:sz w:val="20"/>
              </w:rPr>
              <w:t> </w:t>
            </w:r>
            <w:r>
              <w:rPr>
                <w:spacing w:val="-2"/>
                <w:sz w:val="20"/>
              </w:rPr>
              <w:t>amenity</w:t>
            </w:r>
          </w:p>
          <w:p>
            <w:pPr>
              <w:pStyle w:val="TableParagraph"/>
              <w:numPr>
                <w:ilvl w:val="0"/>
                <w:numId w:val="30"/>
              </w:numPr>
              <w:tabs>
                <w:tab w:pos="429" w:val="left" w:leader="none"/>
                <w:tab w:pos="430" w:val="left" w:leader="none"/>
              </w:tabs>
              <w:spacing w:line="244" w:lineRule="exact" w:before="0" w:after="0"/>
              <w:ind w:left="429" w:right="0" w:hanging="313"/>
              <w:jc w:val="left"/>
              <w:rPr>
                <w:sz w:val="20"/>
              </w:rPr>
            </w:pPr>
            <w:r>
              <w:rPr>
                <w:sz w:val="20"/>
              </w:rPr>
              <w:t>School</w:t>
            </w:r>
            <w:r>
              <w:rPr>
                <w:spacing w:val="-9"/>
                <w:sz w:val="20"/>
              </w:rPr>
              <w:t> </w:t>
            </w:r>
            <w:r>
              <w:rPr>
                <w:sz w:val="20"/>
              </w:rPr>
              <w:t>crossing</w:t>
            </w:r>
            <w:r>
              <w:rPr>
                <w:spacing w:val="-4"/>
                <w:sz w:val="20"/>
              </w:rPr>
              <w:t> </w:t>
            </w:r>
            <w:r>
              <w:rPr>
                <w:spacing w:val="-2"/>
                <w:sz w:val="20"/>
              </w:rPr>
              <w:t>management</w:t>
            </w:r>
          </w:p>
        </w:tc>
        <w:tc>
          <w:tcPr>
            <w:tcW w:w="1537" w:type="dxa"/>
            <w:tcBorders>
              <w:top w:val="single" w:sz="4" w:space="0" w:color="000000"/>
              <w:left w:val="single" w:sz="4" w:space="0" w:color="000000"/>
              <w:bottom w:val="nil"/>
              <w:right w:val="nil"/>
            </w:tcBorders>
          </w:tcPr>
          <w:p>
            <w:pPr>
              <w:pStyle w:val="TableParagraph"/>
              <w:spacing w:line="229" w:lineRule="exact"/>
              <w:ind w:left="114"/>
              <w:rPr>
                <w:sz w:val="20"/>
              </w:rPr>
            </w:pPr>
            <w:r>
              <w:rPr>
                <w:spacing w:val="-2"/>
                <w:sz w:val="20"/>
              </w:rPr>
              <w:t>Income</w:t>
            </w:r>
          </w:p>
        </w:tc>
        <w:tc>
          <w:tcPr>
            <w:tcW w:w="1348" w:type="dxa"/>
            <w:tcBorders>
              <w:top w:val="single" w:sz="4" w:space="0" w:color="000000"/>
              <w:left w:val="nil"/>
              <w:bottom w:val="nil"/>
              <w:right w:val="nil"/>
            </w:tcBorders>
          </w:tcPr>
          <w:p>
            <w:pPr>
              <w:pStyle w:val="TableParagraph"/>
              <w:spacing w:line="206" w:lineRule="exact"/>
              <w:ind w:right="147"/>
              <w:jc w:val="right"/>
              <w:rPr>
                <w:sz w:val="18"/>
              </w:rPr>
            </w:pPr>
            <w:r>
              <w:rPr>
                <w:spacing w:val="-2"/>
                <w:sz w:val="18"/>
              </w:rPr>
              <w:t>3,825</w:t>
            </w:r>
          </w:p>
        </w:tc>
        <w:tc>
          <w:tcPr>
            <w:tcW w:w="1216" w:type="dxa"/>
            <w:tcBorders>
              <w:top w:val="single" w:sz="4" w:space="0" w:color="000000"/>
              <w:left w:val="nil"/>
              <w:bottom w:val="nil"/>
              <w:right w:val="nil"/>
            </w:tcBorders>
          </w:tcPr>
          <w:p>
            <w:pPr>
              <w:pStyle w:val="TableParagraph"/>
              <w:spacing w:line="206" w:lineRule="exact"/>
              <w:ind w:right="91"/>
              <w:jc w:val="right"/>
              <w:rPr>
                <w:sz w:val="18"/>
              </w:rPr>
            </w:pPr>
            <w:r>
              <w:rPr>
                <w:spacing w:val="-2"/>
                <w:sz w:val="18"/>
              </w:rPr>
              <w:t>3,960</w:t>
            </w:r>
          </w:p>
        </w:tc>
        <w:tc>
          <w:tcPr>
            <w:tcW w:w="1234" w:type="dxa"/>
            <w:tcBorders>
              <w:top w:val="single" w:sz="4" w:space="0" w:color="000000"/>
              <w:left w:val="nil"/>
              <w:bottom w:val="nil"/>
              <w:right w:val="single" w:sz="12" w:space="0" w:color="000000"/>
            </w:tcBorders>
            <w:shd w:val="clear" w:color="auto" w:fill="BCD6ED"/>
          </w:tcPr>
          <w:p>
            <w:pPr>
              <w:pStyle w:val="TableParagraph"/>
              <w:spacing w:line="206" w:lineRule="exact"/>
              <w:ind w:right="77"/>
              <w:jc w:val="right"/>
              <w:rPr>
                <w:sz w:val="18"/>
              </w:rPr>
            </w:pPr>
            <w:r>
              <w:rPr>
                <w:spacing w:val="-2"/>
                <w:sz w:val="18"/>
              </w:rPr>
              <w:t>4,036</w:t>
            </w:r>
          </w:p>
        </w:tc>
      </w:tr>
      <w:tr>
        <w:trPr>
          <w:trHeight w:val="337" w:hRule="atLeast"/>
        </w:trPr>
        <w:tc>
          <w:tcPr>
            <w:tcW w:w="1553" w:type="dxa"/>
            <w:tcBorders>
              <w:top w:val="nil"/>
              <w:left w:val="single" w:sz="12" w:space="0" w:color="000000"/>
              <w:bottom w:val="nil"/>
              <w:right w:val="single" w:sz="4" w:space="0" w:color="000000"/>
            </w:tcBorders>
          </w:tcPr>
          <w:p>
            <w:pPr>
              <w:pStyle w:val="TableParagraph"/>
              <w:rPr>
                <w:rFonts w:ascii="Times New Roman"/>
                <w:sz w:val="18"/>
              </w:rPr>
            </w:pPr>
          </w:p>
        </w:tc>
        <w:tc>
          <w:tcPr>
            <w:tcW w:w="3540" w:type="dxa"/>
            <w:vMerge/>
            <w:tcBorders>
              <w:top w:val="nil"/>
              <w:left w:val="single" w:sz="4" w:space="0" w:color="000000"/>
              <w:bottom w:val="single" w:sz="4" w:space="0" w:color="000000"/>
              <w:right w:val="single" w:sz="4" w:space="0" w:color="000000"/>
            </w:tcBorders>
          </w:tcPr>
          <w:p>
            <w:pPr>
              <w:rPr>
                <w:sz w:val="2"/>
                <w:szCs w:val="2"/>
              </w:rPr>
            </w:pPr>
          </w:p>
        </w:tc>
        <w:tc>
          <w:tcPr>
            <w:tcW w:w="1537" w:type="dxa"/>
            <w:tcBorders>
              <w:top w:val="nil"/>
              <w:left w:val="single" w:sz="4" w:space="0" w:color="000000"/>
              <w:bottom w:val="single" w:sz="4" w:space="0" w:color="000000"/>
              <w:right w:val="nil"/>
            </w:tcBorders>
          </w:tcPr>
          <w:p>
            <w:pPr>
              <w:pStyle w:val="TableParagraph"/>
              <w:spacing w:before="34"/>
              <w:ind w:left="114"/>
              <w:rPr>
                <w:sz w:val="20"/>
              </w:rPr>
            </w:pPr>
            <w:r>
              <w:rPr>
                <w:spacing w:val="-2"/>
                <w:sz w:val="20"/>
              </w:rPr>
              <w:t>Expenditure</w:t>
            </w:r>
          </w:p>
        </w:tc>
        <w:tc>
          <w:tcPr>
            <w:tcW w:w="1348" w:type="dxa"/>
            <w:tcBorders>
              <w:top w:val="nil"/>
              <w:left w:val="nil"/>
              <w:bottom w:val="single" w:sz="4" w:space="0" w:color="000000"/>
              <w:right w:val="nil"/>
            </w:tcBorders>
          </w:tcPr>
          <w:p>
            <w:pPr>
              <w:pStyle w:val="TableParagraph"/>
              <w:spacing w:before="34"/>
              <w:ind w:right="147"/>
              <w:jc w:val="right"/>
              <w:rPr>
                <w:sz w:val="18"/>
              </w:rPr>
            </w:pPr>
            <w:r>
              <w:rPr>
                <w:spacing w:val="-2"/>
                <w:sz w:val="18"/>
              </w:rPr>
              <w:t>4,334</w:t>
            </w:r>
          </w:p>
        </w:tc>
        <w:tc>
          <w:tcPr>
            <w:tcW w:w="1216" w:type="dxa"/>
            <w:tcBorders>
              <w:top w:val="nil"/>
              <w:left w:val="nil"/>
              <w:bottom w:val="single" w:sz="4" w:space="0" w:color="000000"/>
              <w:right w:val="nil"/>
            </w:tcBorders>
          </w:tcPr>
          <w:p>
            <w:pPr>
              <w:pStyle w:val="TableParagraph"/>
              <w:spacing w:before="34"/>
              <w:ind w:right="91"/>
              <w:jc w:val="right"/>
              <w:rPr>
                <w:sz w:val="18"/>
              </w:rPr>
            </w:pPr>
            <w:r>
              <w:rPr>
                <w:spacing w:val="-2"/>
                <w:sz w:val="18"/>
              </w:rPr>
              <w:t>4,734</w:t>
            </w:r>
          </w:p>
        </w:tc>
        <w:tc>
          <w:tcPr>
            <w:tcW w:w="1234" w:type="dxa"/>
            <w:tcBorders>
              <w:top w:val="nil"/>
              <w:left w:val="nil"/>
              <w:bottom w:val="single" w:sz="4" w:space="0" w:color="000000"/>
              <w:right w:val="single" w:sz="12" w:space="0" w:color="000000"/>
            </w:tcBorders>
            <w:shd w:val="clear" w:color="auto" w:fill="BCD6ED"/>
          </w:tcPr>
          <w:p>
            <w:pPr>
              <w:pStyle w:val="TableParagraph"/>
              <w:spacing w:before="34"/>
              <w:ind w:right="77"/>
              <w:jc w:val="right"/>
              <w:rPr>
                <w:sz w:val="18"/>
              </w:rPr>
            </w:pPr>
            <w:r>
              <w:rPr>
                <w:spacing w:val="-2"/>
                <w:sz w:val="18"/>
              </w:rPr>
              <w:t>4,999</w:t>
            </w:r>
          </w:p>
        </w:tc>
      </w:tr>
      <w:tr>
        <w:trPr>
          <w:trHeight w:val="228" w:hRule="atLeast"/>
        </w:trPr>
        <w:tc>
          <w:tcPr>
            <w:tcW w:w="1553" w:type="dxa"/>
            <w:tcBorders>
              <w:top w:val="nil"/>
              <w:left w:val="single" w:sz="12" w:space="0" w:color="000000"/>
              <w:bottom w:val="nil"/>
              <w:right w:val="single" w:sz="4" w:space="0" w:color="000000"/>
            </w:tcBorders>
          </w:tcPr>
          <w:p>
            <w:pPr>
              <w:pStyle w:val="TableParagraph"/>
              <w:rPr>
                <w:rFonts w:ascii="Times New Roman"/>
                <w:sz w:val="16"/>
              </w:rPr>
            </w:pPr>
          </w:p>
        </w:tc>
        <w:tc>
          <w:tcPr>
            <w:tcW w:w="3540" w:type="dxa"/>
            <w:vMerge/>
            <w:tcBorders>
              <w:top w:val="nil"/>
              <w:left w:val="single" w:sz="4" w:space="0" w:color="000000"/>
              <w:bottom w:val="single" w:sz="4" w:space="0" w:color="000000"/>
              <w:right w:val="single" w:sz="4" w:space="0" w:color="000000"/>
            </w:tcBorders>
          </w:tcPr>
          <w:p>
            <w:pPr>
              <w:rPr>
                <w:sz w:val="2"/>
                <w:szCs w:val="2"/>
              </w:rPr>
            </w:pPr>
          </w:p>
        </w:tc>
        <w:tc>
          <w:tcPr>
            <w:tcW w:w="1537" w:type="dxa"/>
            <w:tcBorders>
              <w:top w:val="single" w:sz="4" w:space="0" w:color="000000"/>
              <w:left w:val="single" w:sz="4" w:space="0" w:color="000000"/>
              <w:bottom w:val="nil"/>
              <w:right w:val="nil"/>
            </w:tcBorders>
          </w:tcPr>
          <w:p>
            <w:pPr>
              <w:pStyle w:val="TableParagraph"/>
              <w:spacing w:line="208" w:lineRule="exact"/>
              <w:ind w:left="114"/>
              <w:rPr>
                <w:b/>
                <w:sz w:val="20"/>
              </w:rPr>
            </w:pPr>
            <w:r>
              <w:rPr>
                <w:b/>
                <w:sz w:val="20"/>
              </w:rPr>
              <w:t>Surplus</w:t>
            </w:r>
            <w:r>
              <w:rPr>
                <w:b/>
                <w:spacing w:val="-11"/>
                <w:sz w:val="20"/>
              </w:rPr>
              <w:t> </w:t>
            </w:r>
            <w:r>
              <w:rPr>
                <w:b/>
                <w:spacing w:val="-10"/>
                <w:sz w:val="20"/>
              </w:rPr>
              <w:t>/</w:t>
            </w:r>
          </w:p>
        </w:tc>
        <w:tc>
          <w:tcPr>
            <w:tcW w:w="1348" w:type="dxa"/>
            <w:tcBorders>
              <w:top w:val="single" w:sz="4" w:space="0" w:color="000000"/>
              <w:left w:val="nil"/>
              <w:bottom w:val="nil"/>
              <w:right w:val="nil"/>
            </w:tcBorders>
          </w:tcPr>
          <w:p>
            <w:pPr>
              <w:pStyle w:val="TableParagraph"/>
              <w:spacing w:line="206" w:lineRule="exact"/>
              <w:ind w:right="146"/>
              <w:jc w:val="right"/>
              <w:rPr>
                <w:b/>
                <w:sz w:val="18"/>
              </w:rPr>
            </w:pPr>
            <w:r>
              <w:rPr>
                <w:b/>
                <w:spacing w:val="-2"/>
                <w:sz w:val="18"/>
              </w:rPr>
              <w:t>(509)</w:t>
            </w:r>
          </w:p>
        </w:tc>
        <w:tc>
          <w:tcPr>
            <w:tcW w:w="1216" w:type="dxa"/>
            <w:tcBorders>
              <w:top w:val="single" w:sz="4" w:space="0" w:color="000000"/>
              <w:left w:val="nil"/>
              <w:bottom w:val="nil"/>
              <w:right w:val="nil"/>
            </w:tcBorders>
          </w:tcPr>
          <w:p>
            <w:pPr>
              <w:pStyle w:val="TableParagraph"/>
              <w:spacing w:line="206" w:lineRule="exact"/>
              <w:ind w:right="90"/>
              <w:jc w:val="right"/>
              <w:rPr>
                <w:b/>
                <w:sz w:val="18"/>
              </w:rPr>
            </w:pPr>
            <w:r>
              <w:rPr>
                <w:b/>
                <w:spacing w:val="-2"/>
                <w:sz w:val="18"/>
              </w:rPr>
              <w:t>(774)</w:t>
            </w:r>
          </w:p>
        </w:tc>
        <w:tc>
          <w:tcPr>
            <w:tcW w:w="1234" w:type="dxa"/>
            <w:tcBorders>
              <w:top w:val="single" w:sz="4" w:space="0" w:color="000000"/>
              <w:left w:val="nil"/>
              <w:bottom w:val="nil"/>
              <w:right w:val="single" w:sz="12" w:space="0" w:color="000000"/>
            </w:tcBorders>
            <w:shd w:val="clear" w:color="auto" w:fill="BCD6ED"/>
          </w:tcPr>
          <w:p>
            <w:pPr>
              <w:pStyle w:val="TableParagraph"/>
              <w:spacing w:line="206" w:lineRule="exact"/>
              <w:ind w:right="76"/>
              <w:jc w:val="right"/>
              <w:rPr>
                <w:b/>
                <w:sz w:val="18"/>
              </w:rPr>
            </w:pPr>
            <w:r>
              <w:rPr>
                <w:b/>
                <w:spacing w:val="-2"/>
                <w:sz w:val="18"/>
              </w:rPr>
              <w:t>(963)</w:t>
            </w:r>
          </w:p>
        </w:tc>
      </w:tr>
      <w:tr>
        <w:trPr>
          <w:trHeight w:val="222" w:hRule="atLeast"/>
        </w:trPr>
        <w:tc>
          <w:tcPr>
            <w:tcW w:w="1553" w:type="dxa"/>
            <w:tcBorders>
              <w:top w:val="nil"/>
              <w:left w:val="single" w:sz="12" w:space="0" w:color="000000"/>
              <w:bottom w:val="nil"/>
              <w:right w:val="single" w:sz="4" w:space="0" w:color="000000"/>
            </w:tcBorders>
          </w:tcPr>
          <w:p>
            <w:pPr>
              <w:pStyle w:val="TableParagraph"/>
              <w:rPr>
                <w:rFonts w:ascii="Times New Roman"/>
                <w:sz w:val="14"/>
              </w:rPr>
            </w:pPr>
          </w:p>
        </w:tc>
        <w:tc>
          <w:tcPr>
            <w:tcW w:w="3540" w:type="dxa"/>
            <w:vMerge/>
            <w:tcBorders>
              <w:top w:val="nil"/>
              <w:left w:val="single" w:sz="4" w:space="0" w:color="000000"/>
              <w:bottom w:val="single" w:sz="4" w:space="0" w:color="000000"/>
              <w:right w:val="single" w:sz="4" w:space="0" w:color="000000"/>
            </w:tcBorders>
          </w:tcPr>
          <w:p>
            <w:pPr>
              <w:rPr>
                <w:sz w:val="2"/>
                <w:szCs w:val="2"/>
              </w:rPr>
            </w:pPr>
          </w:p>
        </w:tc>
        <w:tc>
          <w:tcPr>
            <w:tcW w:w="1537" w:type="dxa"/>
            <w:tcBorders>
              <w:top w:val="nil"/>
              <w:left w:val="single" w:sz="4" w:space="0" w:color="000000"/>
              <w:bottom w:val="single" w:sz="4" w:space="0" w:color="000000"/>
              <w:right w:val="nil"/>
            </w:tcBorders>
          </w:tcPr>
          <w:p>
            <w:pPr>
              <w:pStyle w:val="TableParagraph"/>
              <w:spacing w:line="202" w:lineRule="exact"/>
              <w:ind w:left="114"/>
              <w:rPr>
                <w:b/>
                <w:sz w:val="20"/>
              </w:rPr>
            </w:pPr>
            <w:r>
              <w:rPr>
                <w:b/>
                <w:spacing w:val="-2"/>
                <w:sz w:val="20"/>
              </w:rPr>
              <w:t>(deficit)</w:t>
            </w:r>
          </w:p>
        </w:tc>
        <w:tc>
          <w:tcPr>
            <w:tcW w:w="1348" w:type="dxa"/>
            <w:tcBorders>
              <w:top w:val="nil"/>
              <w:left w:val="nil"/>
              <w:bottom w:val="single" w:sz="4" w:space="0" w:color="000000"/>
              <w:right w:val="nil"/>
            </w:tcBorders>
          </w:tcPr>
          <w:p>
            <w:pPr>
              <w:pStyle w:val="TableParagraph"/>
              <w:rPr>
                <w:rFonts w:ascii="Times New Roman"/>
                <w:sz w:val="14"/>
              </w:rPr>
            </w:pPr>
          </w:p>
        </w:tc>
        <w:tc>
          <w:tcPr>
            <w:tcW w:w="1216" w:type="dxa"/>
            <w:tcBorders>
              <w:top w:val="nil"/>
              <w:left w:val="nil"/>
              <w:bottom w:val="single" w:sz="4" w:space="0" w:color="000000"/>
              <w:right w:val="nil"/>
            </w:tcBorders>
          </w:tcPr>
          <w:p>
            <w:pPr>
              <w:pStyle w:val="TableParagraph"/>
              <w:rPr>
                <w:rFonts w:ascii="Times New Roman"/>
                <w:sz w:val="14"/>
              </w:rPr>
            </w:pPr>
          </w:p>
        </w:tc>
        <w:tc>
          <w:tcPr>
            <w:tcW w:w="1234" w:type="dxa"/>
            <w:tcBorders>
              <w:top w:val="nil"/>
              <w:left w:val="nil"/>
              <w:bottom w:val="single" w:sz="4" w:space="0" w:color="000000"/>
              <w:right w:val="single" w:sz="12" w:space="0" w:color="000000"/>
            </w:tcBorders>
            <w:shd w:val="clear" w:color="auto" w:fill="BCD6ED"/>
          </w:tcPr>
          <w:p>
            <w:pPr>
              <w:pStyle w:val="TableParagraph"/>
              <w:rPr>
                <w:rFonts w:ascii="Times New Roman"/>
                <w:sz w:val="14"/>
              </w:rPr>
            </w:pPr>
          </w:p>
        </w:tc>
      </w:tr>
      <w:tr>
        <w:trPr>
          <w:trHeight w:val="604" w:hRule="atLeast"/>
        </w:trPr>
        <w:tc>
          <w:tcPr>
            <w:tcW w:w="1553" w:type="dxa"/>
            <w:tcBorders>
              <w:top w:val="nil"/>
              <w:left w:val="single" w:sz="12" w:space="0" w:color="000000"/>
              <w:bottom w:val="single" w:sz="4" w:space="0" w:color="000000"/>
              <w:right w:val="single" w:sz="4" w:space="0" w:color="000000"/>
            </w:tcBorders>
          </w:tcPr>
          <w:p>
            <w:pPr>
              <w:pStyle w:val="TableParagraph"/>
              <w:rPr>
                <w:rFonts w:ascii="Times New Roman"/>
                <w:sz w:val="18"/>
              </w:rPr>
            </w:pPr>
          </w:p>
        </w:tc>
        <w:tc>
          <w:tcPr>
            <w:tcW w:w="3540" w:type="dxa"/>
            <w:vMerge/>
            <w:tcBorders>
              <w:top w:val="nil"/>
              <w:left w:val="single" w:sz="4" w:space="0" w:color="000000"/>
              <w:bottom w:val="single" w:sz="4" w:space="0" w:color="000000"/>
              <w:right w:val="single" w:sz="4" w:space="0" w:color="000000"/>
            </w:tcBorders>
          </w:tcPr>
          <w:p>
            <w:pPr>
              <w:rPr>
                <w:sz w:val="2"/>
                <w:szCs w:val="2"/>
              </w:rPr>
            </w:pPr>
          </w:p>
        </w:tc>
        <w:tc>
          <w:tcPr>
            <w:tcW w:w="5335" w:type="dxa"/>
            <w:gridSpan w:val="4"/>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8"/>
              </w:rPr>
            </w:pPr>
          </w:p>
        </w:tc>
      </w:tr>
      <w:tr>
        <w:trPr>
          <w:trHeight w:val="606" w:hRule="atLeast"/>
        </w:trPr>
        <w:tc>
          <w:tcPr>
            <w:tcW w:w="1553" w:type="dxa"/>
            <w:tcBorders>
              <w:top w:val="single" w:sz="4" w:space="0" w:color="000000"/>
              <w:left w:val="single" w:sz="12" w:space="0" w:color="000000"/>
              <w:bottom w:val="nil"/>
              <w:right w:val="single" w:sz="4" w:space="0" w:color="000000"/>
            </w:tcBorders>
          </w:tcPr>
          <w:p>
            <w:pPr>
              <w:pStyle w:val="TableParagraph"/>
              <w:ind w:left="107"/>
              <w:rPr>
                <w:sz w:val="20"/>
              </w:rPr>
            </w:pPr>
            <w:r>
              <w:rPr>
                <w:spacing w:val="-2"/>
                <w:sz w:val="20"/>
              </w:rPr>
              <w:t>Statutory planning</w:t>
            </w:r>
          </w:p>
        </w:tc>
        <w:tc>
          <w:tcPr>
            <w:tcW w:w="3540" w:type="dxa"/>
            <w:vMerge w:val="restart"/>
            <w:tcBorders>
              <w:top w:val="single" w:sz="4" w:space="0" w:color="000000"/>
              <w:left w:val="single" w:sz="4" w:space="0" w:color="000000"/>
              <w:bottom w:val="single" w:sz="12" w:space="0" w:color="000000"/>
              <w:right w:val="single" w:sz="4" w:space="0" w:color="000000"/>
            </w:tcBorders>
          </w:tcPr>
          <w:p>
            <w:pPr>
              <w:pStyle w:val="TableParagraph"/>
              <w:numPr>
                <w:ilvl w:val="0"/>
                <w:numId w:val="31"/>
              </w:numPr>
              <w:tabs>
                <w:tab w:pos="429" w:val="left" w:leader="none"/>
                <w:tab w:pos="430" w:val="left" w:leader="none"/>
              </w:tabs>
              <w:spacing w:line="244" w:lineRule="exact" w:before="0" w:after="0"/>
              <w:ind w:left="429" w:right="0" w:hanging="313"/>
              <w:jc w:val="left"/>
              <w:rPr>
                <w:sz w:val="20"/>
              </w:rPr>
            </w:pPr>
            <w:r>
              <w:rPr>
                <w:sz w:val="20"/>
              </w:rPr>
              <w:t>Statutory</w:t>
            </w:r>
            <w:r>
              <w:rPr>
                <w:spacing w:val="-10"/>
                <w:sz w:val="20"/>
              </w:rPr>
              <w:t> </w:t>
            </w:r>
            <w:r>
              <w:rPr>
                <w:sz w:val="20"/>
              </w:rPr>
              <w:t>planning</w:t>
            </w:r>
            <w:r>
              <w:rPr>
                <w:spacing w:val="-10"/>
                <w:sz w:val="20"/>
              </w:rPr>
              <w:t> </w:t>
            </w:r>
            <w:r>
              <w:rPr>
                <w:spacing w:val="-2"/>
                <w:sz w:val="20"/>
              </w:rPr>
              <w:t>applications</w:t>
            </w:r>
          </w:p>
          <w:p>
            <w:pPr>
              <w:pStyle w:val="TableParagraph"/>
              <w:numPr>
                <w:ilvl w:val="0"/>
                <w:numId w:val="31"/>
              </w:numPr>
              <w:tabs>
                <w:tab w:pos="429" w:val="left" w:leader="none"/>
                <w:tab w:pos="430" w:val="left" w:leader="none"/>
              </w:tabs>
              <w:spacing w:line="244" w:lineRule="exact" w:before="0" w:after="0"/>
              <w:ind w:left="429" w:right="0" w:hanging="313"/>
              <w:jc w:val="left"/>
              <w:rPr>
                <w:sz w:val="20"/>
              </w:rPr>
            </w:pPr>
            <w:r>
              <w:rPr>
                <w:sz w:val="20"/>
              </w:rPr>
              <w:t>Subdivisions</w:t>
            </w:r>
            <w:r>
              <w:rPr>
                <w:spacing w:val="-9"/>
                <w:sz w:val="20"/>
              </w:rPr>
              <w:t> </w:t>
            </w:r>
            <w:r>
              <w:rPr>
                <w:sz w:val="20"/>
              </w:rPr>
              <w:t>and</w:t>
            </w:r>
            <w:r>
              <w:rPr>
                <w:spacing w:val="-9"/>
                <w:sz w:val="20"/>
              </w:rPr>
              <w:t> </w:t>
            </w:r>
            <w:r>
              <w:rPr>
                <w:spacing w:val="-2"/>
                <w:sz w:val="20"/>
              </w:rPr>
              <w:t>certifications</w:t>
            </w:r>
          </w:p>
          <w:p>
            <w:pPr>
              <w:pStyle w:val="TableParagraph"/>
              <w:numPr>
                <w:ilvl w:val="0"/>
                <w:numId w:val="31"/>
              </w:numPr>
              <w:tabs>
                <w:tab w:pos="429" w:val="left" w:leader="none"/>
                <w:tab w:pos="430" w:val="left" w:leader="none"/>
              </w:tabs>
              <w:spacing w:line="237" w:lineRule="auto" w:before="2" w:after="0"/>
              <w:ind w:left="429" w:right="689" w:hanging="312"/>
              <w:jc w:val="left"/>
              <w:rPr>
                <w:sz w:val="20"/>
              </w:rPr>
            </w:pPr>
            <w:r>
              <w:rPr>
                <w:sz w:val="20"/>
              </w:rPr>
              <w:t>Environmental planning applications</w:t>
            </w:r>
            <w:r>
              <w:rPr>
                <w:spacing w:val="-14"/>
                <w:sz w:val="20"/>
              </w:rPr>
              <w:t> </w:t>
            </w:r>
            <w:r>
              <w:rPr>
                <w:sz w:val="20"/>
              </w:rPr>
              <w:t>and</w:t>
            </w:r>
            <w:r>
              <w:rPr>
                <w:spacing w:val="-14"/>
                <w:sz w:val="20"/>
              </w:rPr>
              <w:t> </w:t>
            </w:r>
            <w:r>
              <w:rPr>
                <w:sz w:val="20"/>
              </w:rPr>
              <w:t>landscape </w:t>
            </w:r>
            <w:r>
              <w:rPr>
                <w:spacing w:val="-2"/>
                <w:sz w:val="20"/>
              </w:rPr>
              <w:t>assessments</w:t>
            </w:r>
          </w:p>
          <w:p>
            <w:pPr>
              <w:pStyle w:val="TableParagraph"/>
              <w:numPr>
                <w:ilvl w:val="0"/>
                <w:numId w:val="31"/>
              </w:numPr>
              <w:tabs>
                <w:tab w:pos="429" w:val="left" w:leader="none"/>
                <w:tab w:pos="430" w:val="left" w:leader="none"/>
              </w:tabs>
              <w:spacing w:line="244" w:lineRule="exact" w:before="3" w:after="0"/>
              <w:ind w:left="429" w:right="0" w:hanging="313"/>
              <w:jc w:val="left"/>
              <w:rPr>
                <w:sz w:val="20"/>
              </w:rPr>
            </w:pPr>
            <w:r>
              <w:rPr>
                <w:sz w:val="20"/>
              </w:rPr>
              <w:t>Planning</w:t>
            </w:r>
            <w:r>
              <w:rPr>
                <w:spacing w:val="-10"/>
                <w:sz w:val="20"/>
              </w:rPr>
              <w:t> </w:t>
            </w:r>
            <w:r>
              <w:rPr>
                <w:spacing w:val="-2"/>
                <w:sz w:val="20"/>
              </w:rPr>
              <w:t>compliance</w:t>
            </w:r>
          </w:p>
          <w:p>
            <w:pPr>
              <w:pStyle w:val="TableParagraph"/>
              <w:numPr>
                <w:ilvl w:val="0"/>
                <w:numId w:val="31"/>
              </w:numPr>
              <w:tabs>
                <w:tab w:pos="429" w:val="left" w:leader="none"/>
                <w:tab w:pos="430" w:val="left" w:leader="none"/>
              </w:tabs>
              <w:spacing w:line="240" w:lineRule="auto" w:before="0" w:after="0"/>
              <w:ind w:left="429" w:right="364" w:hanging="312"/>
              <w:jc w:val="left"/>
              <w:rPr>
                <w:sz w:val="20"/>
              </w:rPr>
            </w:pPr>
            <w:r>
              <w:rPr>
                <w:sz w:val="20"/>
              </w:rPr>
              <w:t>Planning</w:t>
            </w:r>
            <w:r>
              <w:rPr>
                <w:spacing w:val="-14"/>
                <w:sz w:val="20"/>
              </w:rPr>
              <w:t> </w:t>
            </w:r>
            <w:r>
              <w:rPr>
                <w:sz w:val="20"/>
              </w:rPr>
              <w:t>customer</w:t>
            </w:r>
            <w:r>
              <w:rPr>
                <w:spacing w:val="-13"/>
                <w:sz w:val="20"/>
              </w:rPr>
              <w:t> </w:t>
            </w:r>
            <w:r>
              <w:rPr>
                <w:sz w:val="20"/>
              </w:rPr>
              <w:t>service</w:t>
            </w:r>
            <w:r>
              <w:rPr>
                <w:spacing w:val="-12"/>
                <w:sz w:val="20"/>
              </w:rPr>
              <w:t> </w:t>
            </w:r>
            <w:r>
              <w:rPr>
                <w:sz w:val="20"/>
              </w:rPr>
              <w:t>and </w:t>
            </w:r>
            <w:r>
              <w:rPr>
                <w:spacing w:val="-2"/>
                <w:sz w:val="20"/>
              </w:rPr>
              <w:t>administration</w:t>
            </w:r>
          </w:p>
          <w:p>
            <w:pPr>
              <w:pStyle w:val="TableParagraph"/>
              <w:numPr>
                <w:ilvl w:val="0"/>
                <w:numId w:val="31"/>
              </w:numPr>
              <w:tabs>
                <w:tab w:pos="429" w:val="left" w:leader="none"/>
                <w:tab w:pos="430" w:val="left" w:leader="none"/>
              </w:tabs>
              <w:spacing w:line="237" w:lineRule="auto" w:before="1" w:after="0"/>
              <w:ind w:left="429" w:right="187" w:hanging="312"/>
              <w:jc w:val="left"/>
              <w:rPr>
                <w:sz w:val="20"/>
              </w:rPr>
            </w:pPr>
            <w:r>
              <w:rPr>
                <w:sz w:val="20"/>
              </w:rPr>
              <w:t>Victorian</w:t>
            </w:r>
            <w:r>
              <w:rPr>
                <w:spacing w:val="-14"/>
                <w:sz w:val="20"/>
              </w:rPr>
              <w:t> </w:t>
            </w:r>
            <w:r>
              <w:rPr>
                <w:sz w:val="20"/>
              </w:rPr>
              <w:t>Civil</w:t>
            </w:r>
            <w:r>
              <w:rPr>
                <w:spacing w:val="-14"/>
                <w:sz w:val="20"/>
              </w:rPr>
              <w:t> </w:t>
            </w:r>
            <w:r>
              <w:rPr>
                <w:sz w:val="20"/>
              </w:rPr>
              <w:t>and</w:t>
            </w:r>
            <w:r>
              <w:rPr>
                <w:spacing w:val="-12"/>
                <w:sz w:val="20"/>
              </w:rPr>
              <w:t> </w:t>
            </w:r>
            <w:r>
              <w:rPr>
                <w:sz w:val="20"/>
              </w:rPr>
              <w:t>Administrative Tribunal (VCAT), Building Appeals Board (BAB) and Magistrate Court attendance</w:t>
            </w:r>
          </w:p>
          <w:p>
            <w:pPr>
              <w:pStyle w:val="TableParagraph"/>
              <w:numPr>
                <w:ilvl w:val="0"/>
                <w:numId w:val="31"/>
              </w:numPr>
              <w:tabs>
                <w:tab w:pos="429" w:val="left" w:leader="none"/>
                <w:tab w:pos="430" w:val="left" w:leader="none"/>
              </w:tabs>
              <w:spacing w:line="240" w:lineRule="auto" w:before="4" w:after="0"/>
              <w:ind w:left="429" w:right="432" w:hanging="312"/>
              <w:jc w:val="left"/>
              <w:rPr>
                <w:sz w:val="20"/>
              </w:rPr>
            </w:pPr>
            <w:r>
              <w:rPr>
                <w:sz w:val="20"/>
              </w:rPr>
              <w:t>Building regulation siting and front</w:t>
            </w:r>
            <w:r>
              <w:rPr>
                <w:spacing w:val="-10"/>
                <w:sz w:val="20"/>
              </w:rPr>
              <w:t> </w:t>
            </w:r>
            <w:r>
              <w:rPr>
                <w:sz w:val="20"/>
              </w:rPr>
              <w:t>fence</w:t>
            </w:r>
            <w:r>
              <w:rPr>
                <w:spacing w:val="-10"/>
                <w:sz w:val="20"/>
              </w:rPr>
              <w:t> </w:t>
            </w:r>
            <w:r>
              <w:rPr>
                <w:sz w:val="20"/>
              </w:rPr>
              <w:t>report</w:t>
            </w:r>
            <w:r>
              <w:rPr>
                <w:spacing w:val="-11"/>
                <w:sz w:val="20"/>
              </w:rPr>
              <w:t> </w:t>
            </w:r>
            <w:r>
              <w:rPr>
                <w:sz w:val="20"/>
              </w:rPr>
              <w:t>and</w:t>
            </w:r>
            <w:r>
              <w:rPr>
                <w:spacing w:val="-10"/>
                <w:sz w:val="20"/>
              </w:rPr>
              <w:t> </w:t>
            </w:r>
            <w:r>
              <w:rPr>
                <w:sz w:val="20"/>
              </w:rPr>
              <w:t>consent </w:t>
            </w:r>
            <w:r>
              <w:rPr>
                <w:spacing w:val="-2"/>
                <w:sz w:val="20"/>
              </w:rPr>
              <w:t>applications</w:t>
            </w:r>
          </w:p>
        </w:tc>
        <w:tc>
          <w:tcPr>
            <w:tcW w:w="4101" w:type="dxa"/>
            <w:gridSpan w:val="3"/>
            <w:tcBorders>
              <w:top w:val="single" w:sz="4" w:space="0" w:color="000000"/>
              <w:left w:val="single" w:sz="4" w:space="0" w:color="000000"/>
              <w:bottom w:val="single" w:sz="4" w:space="0" w:color="000000"/>
              <w:right w:val="nil"/>
            </w:tcBorders>
          </w:tcPr>
          <w:p>
            <w:pPr>
              <w:pStyle w:val="TableParagraph"/>
              <w:tabs>
                <w:tab w:pos="2277" w:val="left" w:leader="none"/>
                <w:tab w:pos="3549" w:val="left" w:leader="none"/>
              </w:tabs>
              <w:spacing w:line="229" w:lineRule="exact"/>
              <w:ind w:left="114"/>
              <w:rPr>
                <w:sz w:val="18"/>
              </w:rPr>
            </w:pPr>
            <w:r>
              <w:rPr>
                <w:spacing w:val="-2"/>
                <w:sz w:val="20"/>
              </w:rPr>
              <w:t>Income</w:t>
            </w:r>
            <w:r>
              <w:rPr>
                <w:sz w:val="20"/>
              </w:rPr>
              <w:tab/>
            </w:r>
            <w:r>
              <w:rPr>
                <w:spacing w:val="-4"/>
                <w:position w:val="2"/>
                <w:sz w:val="18"/>
              </w:rPr>
              <w:t>6,697</w:t>
            </w:r>
            <w:r>
              <w:rPr>
                <w:position w:val="2"/>
                <w:sz w:val="18"/>
              </w:rPr>
              <w:tab/>
            </w:r>
            <w:r>
              <w:rPr>
                <w:spacing w:val="-4"/>
                <w:position w:val="2"/>
                <w:sz w:val="18"/>
              </w:rPr>
              <w:t>6,042</w:t>
            </w:r>
          </w:p>
          <w:p>
            <w:pPr>
              <w:pStyle w:val="TableParagraph"/>
              <w:tabs>
                <w:tab w:pos="2277" w:val="left" w:leader="none"/>
                <w:tab w:pos="3549" w:val="left" w:leader="none"/>
              </w:tabs>
              <w:spacing w:before="80"/>
              <w:ind w:left="114"/>
              <w:rPr>
                <w:sz w:val="18"/>
              </w:rPr>
            </w:pPr>
            <w:r>
              <w:rPr>
                <w:spacing w:val="-2"/>
                <w:sz w:val="20"/>
              </w:rPr>
              <w:t>Expenditure</w:t>
            </w:r>
            <w:r>
              <w:rPr>
                <w:sz w:val="20"/>
              </w:rPr>
              <w:tab/>
            </w:r>
            <w:r>
              <w:rPr>
                <w:spacing w:val="-4"/>
                <w:position w:val="2"/>
                <w:sz w:val="18"/>
              </w:rPr>
              <w:t>2,594</w:t>
            </w:r>
            <w:r>
              <w:rPr>
                <w:position w:val="2"/>
                <w:sz w:val="18"/>
              </w:rPr>
              <w:tab/>
            </w:r>
            <w:r>
              <w:rPr>
                <w:spacing w:val="-4"/>
                <w:position w:val="2"/>
                <w:sz w:val="18"/>
              </w:rPr>
              <w:t>3,596</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line="206" w:lineRule="exact"/>
              <w:ind w:left="671"/>
              <w:rPr>
                <w:sz w:val="18"/>
              </w:rPr>
            </w:pPr>
            <w:r>
              <w:rPr>
                <w:spacing w:val="-2"/>
                <w:sz w:val="18"/>
              </w:rPr>
              <w:t>6,439</w:t>
            </w:r>
          </w:p>
          <w:p>
            <w:pPr>
              <w:pStyle w:val="TableParagraph"/>
              <w:spacing w:before="105"/>
              <w:ind w:left="671"/>
              <w:rPr>
                <w:sz w:val="18"/>
              </w:rPr>
            </w:pPr>
            <w:r>
              <w:rPr>
                <w:spacing w:val="-2"/>
                <w:sz w:val="18"/>
              </w:rPr>
              <w:t>3,168</w:t>
            </w:r>
          </w:p>
        </w:tc>
      </w:tr>
      <w:tr>
        <w:trPr>
          <w:trHeight w:val="438" w:hRule="atLeast"/>
        </w:trPr>
        <w:tc>
          <w:tcPr>
            <w:tcW w:w="1553" w:type="dxa"/>
            <w:tcBorders>
              <w:top w:val="nil"/>
              <w:left w:val="single" w:sz="12" w:space="0" w:color="000000"/>
              <w:bottom w:val="nil"/>
              <w:right w:val="single" w:sz="4" w:space="0" w:color="000000"/>
            </w:tcBorders>
          </w:tcPr>
          <w:p>
            <w:pPr>
              <w:pStyle w:val="TableParagraph"/>
              <w:rPr>
                <w:rFonts w:ascii="Times New Roman"/>
                <w:sz w:val="18"/>
              </w:rPr>
            </w:pPr>
          </w:p>
        </w:tc>
        <w:tc>
          <w:tcPr>
            <w:tcW w:w="3540" w:type="dxa"/>
            <w:vMerge/>
            <w:tcBorders>
              <w:top w:val="nil"/>
              <w:left w:val="single" w:sz="4" w:space="0" w:color="000000"/>
              <w:bottom w:val="single" w:sz="12" w:space="0" w:color="000000"/>
              <w:right w:val="single" w:sz="4" w:space="0" w:color="000000"/>
            </w:tcBorders>
          </w:tcPr>
          <w:p>
            <w:pPr>
              <w:rPr>
                <w:sz w:val="2"/>
                <w:szCs w:val="2"/>
              </w:rPr>
            </w:pPr>
          </w:p>
        </w:tc>
        <w:tc>
          <w:tcPr>
            <w:tcW w:w="1537" w:type="dxa"/>
            <w:tcBorders>
              <w:top w:val="single" w:sz="4" w:space="0" w:color="000000"/>
              <w:left w:val="single" w:sz="4" w:space="0" w:color="000000"/>
              <w:bottom w:val="single" w:sz="4" w:space="0" w:color="000000"/>
              <w:right w:val="nil"/>
            </w:tcBorders>
          </w:tcPr>
          <w:p>
            <w:pPr>
              <w:pStyle w:val="TableParagraph"/>
              <w:spacing w:line="218" w:lineRule="exact"/>
              <w:ind w:left="114"/>
              <w:rPr>
                <w:b/>
                <w:sz w:val="20"/>
              </w:rPr>
            </w:pPr>
            <w:r>
              <w:rPr>
                <w:b/>
                <w:sz w:val="20"/>
              </w:rPr>
              <w:t>Surplus</w:t>
            </w:r>
            <w:r>
              <w:rPr>
                <w:b/>
                <w:spacing w:val="-11"/>
                <w:sz w:val="20"/>
              </w:rPr>
              <w:t> </w:t>
            </w:r>
            <w:r>
              <w:rPr>
                <w:b/>
                <w:spacing w:val="-10"/>
                <w:sz w:val="20"/>
              </w:rPr>
              <w:t>/</w:t>
            </w:r>
          </w:p>
          <w:p>
            <w:pPr>
              <w:pStyle w:val="TableParagraph"/>
              <w:spacing w:line="200" w:lineRule="exact"/>
              <w:ind w:left="114"/>
              <w:rPr>
                <w:b/>
                <w:sz w:val="20"/>
              </w:rPr>
            </w:pPr>
            <w:r>
              <w:rPr>
                <w:b/>
                <w:spacing w:val="-2"/>
                <w:sz w:val="20"/>
              </w:rPr>
              <w:t>(deficit)</w:t>
            </w:r>
          </w:p>
        </w:tc>
        <w:tc>
          <w:tcPr>
            <w:tcW w:w="1348" w:type="dxa"/>
            <w:tcBorders>
              <w:top w:val="single" w:sz="4" w:space="0" w:color="000000"/>
              <w:left w:val="nil"/>
              <w:bottom w:val="single" w:sz="4" w:space="0" w:color="000000"/>
              <w:right w:val="nil"/>
            </w:tcBorders>
          </w:tcPr>
          <w:p>
            <w:pPr>
              <w:pStyle w:val="TableParagraph"/>
              <w:spacing w:line="196" w:lineRule="exact"/>
              <w:ind w:right="147"/>
              <w:jc w:val="right"/>
              <w:rPr>
                <w:b/>
                <w:sz w:val="18"/>
              </w:rPr>
            </w:pPr>
            <w:r>
              <w:rPr>
                <w:b/>
                <w:spacing w:val="-2"/>
                <w:sz w:val="18"/>
              </w:rPr>
              <w:t>4,103</w:t>
            </w:r>
          </w:p>
        </w:tc>
        <w:tc>
          <w:tcPr>
            <w:tcW w:w="1216" w:type="dxa"/>
            <w:tcBorders>
              <w:top w:val="single" w:sz="4" w:space="0" w:color="000000"/>
              <w:left w:val="nil"/>
              <w:bottom w:val="single" w:sz="4" w:space="0" w:color="000000"/>
              <w:right w:val="nil"/>
            </w:tcBorders>
          </w:tcPr>
          <w:p>
            <w:pPr>
              <w:pStyle w:val="TableParagraph"/>
              <w:spacing w:line="196" w:lineRule="exact"/>
              <w:ind w:right="91"/>
              <w:jc w:val="right"/>
              <w:rPr>
                <w:b/>
                <w:sz w:val="18"/>
              </w:rPr>
            </w:pPr>
            <w:r>
              <w:rPr>
                <w:b/>
                <w:spacing w:val="-2"/>
                <w:sz w:val="18"/>
              </w:rPr>
              <w:t>2,446</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line="196" w:lineRule="exact"/>
              <w:ind w:right="77"/>
              <w:jc w:val="right"/>
              <w:rPr>
                <w:b/>
                <w:sz w:val="18"/>
              </w:rPr>
            </w:pPr>
            <w:r>
              <w:rPr>
                <w:b/>
                <w:spacing w:val="-2"/>
                <w:sz w:val="18"/>
              </w:rPr>
              <w:t>3,271</w:t>
            </w:r>
          </w:p>
        </w:tc>
      </w:tr>
      <w:tr>
        <w:trPr>
          <w:trHeight w:val="2638" w:hRule="atLeast"/>
        </w:trPr>
        <w:tc>
          <w:tcPr>
            <w:tcW w:w="1553" w:type="dxa"/>
            <w:tcBorders>
              <w:top w:val="nil"/>
              <w:left w:val="single" w:sz="12" w:space="0" w:color="000000"/>
              <w:bottom w:val="single" w:sz="12" w:space="0" w:color="000000"/>
              <w:right w:val="single" w:sz="4" w:space="0" w:color="000000"/>
            </w:tcBorders>
          </w:tcPr>
          <w:p>
            <w:pPr>
              <w:pStyle w:val="TableParagraph"/>
              <w:rPr>
                <w:rFonts w:ascii="Times New Roman"/>
                <w:sz w:val="18"/>
              </w:rPr>
            </w:pPr>
          </w:p>
        </w:tc>
        <w:tc>
          <w:tcPr>
            <w:tcW w:w="3540" w:type="dxa"/>
            <w:vMerge/>
            <w:tcBorders>
              <w:top w:val="nil"/>
              <w:left w:val="single" w:sz="4" w:space="0" w:color="000000"/>
              <w:bottom w:val="single" w:sz="12" w:space="0" w:color="000000"/>
              <w:right w:val="single" w:sz="4" w:space="0" w:color="000000"/>
            </w:tcBorders>
          </w:tcPr>
          <w:p>
            <w:pPr>
              <w:rPr>
                <w:sz w:val="2"/>
                <w:szCs w:val="2"/>
              </w:rPr>
            </w:pPr>
          </w:p>
        </w:tc>
        <w:tc>
          <w:tcPr>
            <w:tcW w:w="5335" w:type="dxa"/>
            <w:gridSpan w:val="4"/>
            <w:tcBorders>
              <w:top w:val="single" w:sz="4" w:space="0" w:color="000000"/>
              <w:left w:val="single" w:sz="4" w:space="0" w:color="000000"/>
              <w:bottom w:val="single" w:sz="12" w:space="0" w:color="000000"/>
              <w:right w:val="single" w:sz="12" w:space="0" w:color="000000"/>
            </w:tcBorders>
          </w:tcPr>
          <w:p>
            <w:pPr>
              <w:pStyle w:val="TableParagraph"/>
              <w:rPr>
                <w:rFonts w:ascii="Times New Roman"/>
                <w:sz w:val="18"/>
              </w:rPr>
            </w:pPr>
          </w:p>
        </w:tc>
      </w:tr>
    </w:tbl>
    <w:p>
      <w:pPr>
        <w:spacing w:after="0"/>
        <w:rPr>
          <w:rFonts w:ascii="Times New Roman"/>
          <w:sz w:val="18"/>
        </w:rPr>
        <w:sectPr>
          <w:type w:val="continuous"/>
          <w:pgSz w:w="11910" w:h="16840"/>
          <w:pgMar w:header="0" w:footer="375" w:top="540" w:bottom="560" w:left="460" w:right="160"/>
        </w:sectPr>
      </w:pPr>
    </w:p>
    <w:tbl>
      <w:tblPr>
        <w:tblW w:w="0" w:type="auto"/>
        <w:jc w:val="left"/>
        <w:tblInd w:w="4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553"/>
        <w:gridCol w:w="3540"/>
        <w:gridCol w:w="1660"/>
        <w:gridCol w:w="1223"/>
        <w:gridCol w:w="1216"/>
        <w:gridCol w:w="1234"/>
      </w:tblGrid>
      <w:tr>
        <w:trPr>
          <w:trHeight w:val="293" w:hRule="atLeast"/>
        </w:trPr>
        <w:tc>
          <w:tcPr>
            <w:tcW w:w="7976" w:type="dxa"/>
            <w:gridSpan w:val="4"/>
            <w:tcBorders>
              <w:left w:val="single" w:sz="12" w:space="0" w:color="000000"/>
              <w:bottom w:val="nil"/>
              <w:right w:val="nil"/>
            </w:tcBorders>
            <w:shd w:val="clear" w:color="auto" w:fill="5B9AD4"/>
          </w:tcPr>
          <w:p>
            <w:pPr>
              <w:pStyle w:val="TableParagraph"/>
              <w:spacing w:before="26"/>
              <w:ind w:right="230"/>
              <w:jc w:val="right"/>
              <w:rPr>
                <w:b/>
                <w:sz w:val="20"/>
              </w:rPr>
            </w:pPr>
            <w:r>
              <w:rPr>
                <w:b/>
                <w:color w:val="FFFFFF"/>
                <w:spacing w:val="-2"/>
                <w:sz w:val="20"/>
              </w:rPr>
              <w:t>2023/24</w:t>
            </w:r>
          </w:p>
        </w:tc>
        <w:tc>
          <w:tcPr>
            <w:tcW w:w="1216" w:type="dxa"/>
            <w:tcBorders>
              <w:left w:val="nil"/>
              <w:bottom w:val="nil"/>
              <w:right w:val="nil"/>
            </w:tcBorders>
            <w:shd w:val="clear" w:color="auto" w:fill="5B9AD4"/>
          </w:tcPr>
          <w:p>
            <w:pPr>
              <w:pStyle w:val="TableParagraph"/>
              <w:spacing w:before="26"/>
              <w:ind w:left="232"/>
              <w:rPr>
                <w:b/>
                <w:sz w:val="20"/>
              </w:rPr>
            </w:pPr>
            <w:r>
              <w:rPr>
                <w:b/>
                <w:color w:val="FFFFFF"/>
                <w:spacing w:val="-2"/>
                <w:sz w:val="20"/>
              </w:rPr>
              <w:t>2024/25</w:t>
            </w:r>
          </w:p>
        </w:tc>
        <w:tc>
          <w:tcPr>
            <w:tcW w:w="1234" w:type="dxa"/>
            <w:tcBorders>
              <w:left w:val="nil"/>
              <w:bottom w:val="nil"/>
              <w:right w:val="single" w:sz="12" w:space="0" w:color="000000"/>
            </w:tcBorders>
            <w:shd w:val="clear" w:color="auto" w:fill="5B9AD4"/>
          </w:tcPr>
          <w:p>
            <w:pPr>
              <w:pStyle w:val="TableParagraph"/>
              <w:spacing w:before="26"/>
              <w:ind w:left="253"/>
              <w:rPr>
                <w:b/>
                <w:sz w:val="20"/>
              </w:rPr>
            </w:pPr>
            <w:r>
              <w:rPr>
                <w:b/>
                <w:color w:val="FFFFFF"/>
                <w:spacing w:val="-2"/>
                <w:sz w:val="20"/>
              </w:rPr>
              <w:t>2025/26</w:t>
            </w:r>
          </w:p>
        </w:tc>
      </w:tr>
      <w:tr>
        <w:trPr>
          <w:trHeight w:val="626" w:hRule="atLeast"/>
        </w:trPr>
        <w:tc>
          <w:tcPr>
            <w:tcW w:w="1553" w:type="dxa"/>
            <w:tcBorders>
              <w:top w:val="nil"/>
              <w:left w:val="single" w:sz="12" w:space="0" w:color="000000"/>
              <w:bottom w:val="single" w:sz="4" w:space="0" w:color="000000"/>
              <w:right w:val="single" w:sz="4" w:space="0" w:color="000000"/>
            </w:tcBorders>
            <w:shd w:val="clear" w:color="auto" w:fill="5B9AD4"/>
          </w:tcPr>
          <w:p>
            <w:pPr>
              <w:pStyle w:val="TableParagraph"/>
              <w:spacing w:line="158" w:lineRule="exact"/>
              <w:ind w:left="169"/>
              <w:rPr>
                <w:b/>
                <w:sz w:val="20"/>
              </w:rPr>
            </w:pPr>
            <w:r>
              <w:rPr>
                <w:b/>
                <w:color w:val="FFFFFF"/>
                <w:sz w:val="20"/>
              </w:rPr>
              <w:t>Service</w:t>
            </w:r>
            <w:r>
              <w:rPr>
                <w:b/>
                <w:color w:val="FFFFFF"/>
                <w:spacing w:val="-10"/>
                <w:sz w:val="20"/>
              </w:rPr>
              <w:t> </w:t>
            </w:r>
            <w:r>
              <w:rPr>
                <w:b/>
                <w:color w:val="FFFFFF"/>
                <w:spacing w:val="-4"/>
                <w:sz w:val="20"/>
              </w:rPr>
              <w:t>Area</w:t>
            </w:r>
          </w:p>
        </w:tc>
        <w:tc>
          <w:tcPr>
            <w:tcW w:w="3540" w:type="dxa"/>
            <w:tcBorders>
              <w:top w:val="nil"/>
              <w:left w:val="single" w:sz="4" w:space="0" w:color="000000"/>
              <w:bottom w:val="single" w:sz="4" w:space="0" w:color="000000"/>
              <w:right w:val="single" w:sz="4" w:space="0" w:color="000000"/>
            </w:tcBorders>
            <w:shd w:val="clear" w:color="auto" w:fill="5B9AD4"/>
          </w:tcPr>
          <w:p>
            <w:pPr>
              <w:pStyle w:val="TableParagraph"/>
              <w:spacing w:before="47"/>
              <w:ind w:left="911"/>
              <w:rPr>
                <w:b/>
                <w:sz w:val="20"/>
              </w:rPr>
            </w:pPr>
            <w:r>
              <w:rPr>
                <w:b/>
                <w:color w:val="FFFFFF"/>
                <w:sz w:val="20"/>
              </w:rPr>
              <w:t>Services</w:t>
            </w:r>
            <w:r>
              <w:rPr>
                <w:b/>
                <w:color w:val="FFFFFF"/>
                <w:spacing w:val="-9"/>
                <w:sz w:val="20"/>
              </w:rPr>
              <w:t> </w:t>
            </w:r>
            <w:r>
              <w:rPr>
                <w:b/>
                <w:color w:val="FFFFFF"/>
                <w:spacing w:val="-2"/>
                <w:sz w:val="20"/>
              </w:rPr>
              <w:t>Provided</w:t>
            </w:r>
          </w:p>
        </w:tc>
        <w:tc>
          <w:tcPr>
            <w:tcW w:w="2883" w:type="dxa"/>
            <w:gridSpan w:val="2"/>
            <w:tcBorders>
              <w:top w:val="nil"/>
              <w:left w:val="single" w:sz="4" w:space="0" w:color="000000"/>
              <w:bottom w:val="single" w:sz="4" w:space="0" w:color="000000"/>
              <w:right w:val="nil"/>
            </w:tcBorders>
            <w:shd w:val="clear" w:color="auto" w:fill="5B9AD4"/>
          </w:tcPr>
          <w:p>
            <w:pPr>
              <w:pStyle w:val="TableParagraph"/>
              <w:spacing w:before="47"/>
              <w:ind w:right="296"/>
              <w:jc w:val="right"/>
              <w:rPr>
                <w:b/>
                <w:sz w:val="20"/>
              </w:rPr>
            </w:pPr>
            <w:r>
              <w:rPr>
                <w:b/>
                <w:color w:val="FFFFFF"/>
                <w:spacing w:val="-2"/>
                <w:sz w:val="20"/>
              </w:rPr>
              <w:t>Actual</w:t>
            </w:r>
          </w:p>
          <w:p>
            <w:pPr>
              <w:pStyle w:val="TableParagraph"/>
              <w:spacing w:before="82"/>
              <w:ind w:right="356"/>
              <w:jc w:val="right"/>
              <w:rPr>
                <w:b/>
                <w:sz w:val="20"/>
              </w:rPr>
            </w:pPr>
            <w:r>
              <w:rPr>
                <w:b/>
                <w:color w:val="FFFFFF"/>
                <w:spacing w:val="-2"/>
                <w:sz w:val="20"/>
              </w:rPr>
              <w:t>$'000</w:t>
            </w:r>
          </w:p>
        </w:tc>
        <w:tc>
          <w:tcPr>
            <w:tcW w:w="1216" w:type="dxa"/>
            <w:tcBorders>
              <w:top w:val="nil"/>
              <w:left w:val="nil"/>
              <w:bottom w:val="single" w:sz="4" w:space="0" w:color="000000"/>
              <w:right w:val="nil"/>
            </w:tcBorders>
            <w:shd w:val="clear" w:color="auto" w:fill="5B9AD4"/>
          </w:tcPr>
          <w:p>
            <w:pPr>
              <w:pStyle w:val="TableParagraph"/>
              <w:spacing w:before="47"/>
              <w:ind w:left="85" w:right="113"/>
              <w:jc w:val="center"/>
              <w:rPr>
                <w:b/>
                <w:sz w:val="20"/>
              </w:rPr>
            </w:pPr>
            <w:r>
              <w:rPr>
                <w:b/>
                <w:color w:val="FFFFFF"/>
                <w:spacing w:val="-2"/>
                <w:sz w:val="20"/>
              </w:rPr>
              <w:t>Forecast</w:t>
            </w:r>
          </w:p>
          <w:p>
            <w:pPr>
              <w:pStyle w:val="TableParagraph"/>
              <w:spacing w:before="82"/>
              <w:ind w:left="83" w:right="113"/>
              <w:jc w:val="center"/>
              <w:rPr>
                <w:b/>
                <w:sz w:val="20"/>
              </w:rPr>
            </w:pPr>
            <w:r>
              <w:rPr>
                <w:b/>
                <w:color w:val="FFFFFF"/>
                <w:spacing w:val="-2"/>
                <w:sz w:val="20"/>
              </w:rPr>
              <w:t>$'000</w:t>
            </w:r>
          </w:p>
        </w:tc>
        <w:tc>
          <w:tcPr>
            <w:tcW w:w="1234" w:type="dxa"/>
            <w:tcBorders>
              <w:top w:val="nil"/>
              <w:left w:val="nil"/>
              <w:bottom w:val="single" w:sz="4" w:space="0" w:color="000000"/>
              <w:right w:val="single" w:sz="12" w:space="0" w:color="000000"/>
            </w:tcBorders>
            <w:shd w:val="clear" w:color="auto" w:fill="5B9AD4"/>
          </w:tcPr>
          <w:p>
            <w:pPr>
              <w:pStyle w:val="TableParagraph"/>
              <w:spacing w:before="47"/>
              <w:ind w:left="270"/>
              <w:rPr>
                <w:b/>
                <w:sz w:val="20"/>
              </w:rPr>
            </w:pPr>
            <w:r>
              <w:rPr>
                <w:b/>
                <w:color w:val="FFFFFF"/>
                <w:spacing w:val="-2"/>
                <w:sz w:val="20"/>
              </w:rPr>
              <w:t>Budget</w:t>
            </w:r>
          </w:p>
          <w:p>
            <w:pPr>
              <w:pStyle w:val="TableParagraph"/>
              <w:spacing w:before="82"/>
              <w:ind w:left="369"/>
              <w:rPr>
                <w:b/>
                <w:sz w:val="20"/>
              </w:rPr>
            </w:pPr>
            <w:r>
              <w:rPr>
                <w:b/>
                <w:color w:val="FFFFFF"/>
                <w:spacing w:val="-2"/>
                <w:sz w:val="20"/>
              </w:rPr>
              <w:t>$'000</w:t>
            </w:r>
          </w:p>
        </w:tc>
      </w:tr>
      <w:tr>
        <w:trPr>
          <w:trHeight w:val="606" w:hRule="atLeast"/>
        </w:trPr>
        <w:tc>
          <w:tcPr>
            <w:tcW w:w="1553" w:type="dxa"/>
            <w:vMerge w:val="restart"/>
            <w:tcBorders>
              <w:top w:val="single" w:sz="4" w:space="0" w:color="000000"/>
              <w:left w:val="single" w:sz="12" w:space="0" w:color="000000"/>
              <w:bottom w:val="single" w:sz="12" w:space="0" w:color="000000"/>
              <w:right w:val="single" w:sz="4" w:space="0" w:color="000000"/>
            </w:tcBorders>
          </w:tcPr>
          <w:p>
            <w:pPr>
              <w:pStyle w:val="TableParagraph"/>
              <w:ind w:left="107"/>
              <w:rPr>
                <w:sz w:val="20"/>
              </w:rPr>
            </w:pPr>
            <w:r>
              <w:rPr>
                <w:spacing w:val="-2"/>
                <w:sz w:val="20"/>
              </w:rPr>
              <w:t>Strategic </w:t>
            </w:r>
            <w:r>
              <w:rPr>
                <w:sz w:val="20"/>
              </w:rPr>
              <w:t>planning and </w:t>
            </w:r>
            <w:r>
              <w:rPr>
                <w:spacing w:val="-2"/>
                <w:sz w:val="20"/>
              </w:rPr>
              <w:t>Sustainability</w:t>
            </w:r>
          </w:p>
        </w:tc>
        <w:tc>
          <w:tcPr>
            <w:tcW w:w="3540" w:type="dxa"/>
            <w:vMerge w:val="restart"/>
            <w:tcBorders>
              <w:top w:val="single" w:sz="4" w:space="0" w:color="000000"/>
              <w:left w:val="single" w:sz="4" w:space="0" w:color="000000"/>
              <w:bottom w:val="single" w:sz="12" w:space="0" w:color="000000"/>
              <w:right w:val="single" w:sz="4" w:space="0" w:color="000000"/>
            </w:tcBorders>
          </w:tcPr>
          <w:p>
            <w:pPr>
              <w:pStyle w:val="TableParagraph"/>
              <w:numPr>
                <w:ilvl w:val="0"/>
                <w:numId w:val="32"/>
              </w:numPr>
              <w:tabs>
                <w:tab w:pos="429" w:val="left" w:leader="none"/>
                <w:tab w:pos="430" w:val="left" w:leader="none"/>
              </w:tabs>
              <w:spacing w:line="240" w:lineRule="auto" w:before="0" w:after="0"/>
              <w:ind w:left="429" w:right="453" w:hanging="312"/>
              <w:jc w:val="left"/>
              <w:rPr>
                <w:sz w:val="20"/>
              </w:rPr>
            </w:pPr>
            <w:r>
              <w:rPr>
                <w:sz w:val="20"/>
              </w:rPr>
              <w:t>Land use planning, including master</w:t>
            </w:r>
            <w:r>
              <w:rPr>
                <w:spacing w:val="-12"/>
                <w:sz w:val="20"/>
              </w:rPr>
              <w:t> </w:t>
            </w:r>
            <w:r>
              <w:rPr>
                <w:sz w:val="20"/>
              </w:rPr>
              <w:t>planning</w:t>
            </w:r>
            <w:r>
              <w:rPr>
                <w:spacing w:val="-14"/>
                <w:sz w:val="20"/>
              </w:rPr>
              <w:t> </w:t>
            </w:r>
            <w:r>
              <w:rPr>
                <w:sz w:val="20"/>
              </w:rPr>
              <w:t>and</w:t>
            </w:r>
            <w:r>
              <w:rPr>
                <w:spacing w:val="-14"/>
                <w:sz w:val="20"/>
              </w:rPr>
              <w:t> </w:t>
            </w:r>
            <w:r>
              <w:rPr>
                <w:sz w:val="20"/>
              </w:rPr>
              <w:t>structure </w:t>
            </w:r>
            <w:r>
              <w:rPr>
                <w:spacing w:val="-2"/>
                <w:sz w:val="20"/>
              </w:rPr>
              <w:t>planning</w:t>
            </w:r>
          </w:p>
          <w:p>
            <w:pPr>
              <w:pStyle w:val="TableParagraph"/>
              <w:numPr>
                <w:ilvl w:val="0"/>
                <w:numId w:val="32"/>
              </w:numPr>
              <w:tabs>
                <w:tab w:pos="429" w:val="left" w:leader="none"/>
                <w:tab w:pos="430" w:val="left" w:leader="none"/>
              </w:tabs>
              <w:spacing w:line="235" w:lineRule="auto" w:before="5" w:after="0"/>
              <w:ind w:left="429" w:right="465" w:hanging="312"/>
              <w:jc w:val="left"/>
              <w:rPr>
                <w:sz w:val="20"/>
              </w:rPr>
            </w:pPr>
            <w:r>
              <w:rPr>
                <w:sz w:val="20"/>
              </w:rPr>
              <w:t>Maroondah</w:t>
            </w:r>
            <w:r>
              <w:rPr>
                <w:spacing w:val="-14"/>
                <w:sz w:val="20"/>
              </w:rPr>
              <w:t> </w:t>
            </w:r>
            <w:r>
              <w:rPr>
                <w:sz w:val="20"/>
              </w:rPr>
              <w:t>Planning</w:t>
            </w:r>
            <w:r>
              <w:rPr>
                <w:spacing w:val="-14"/>
                <w:sz w:val="20"/>
              </w:rPr>
              <w:t> </w:t>
            </w:r>
            <w:r>
              <w:rPr>
                <w:sz w:val="20"/>
              </w:rPr>
              <w:t>Scheme reviews and amendments</w:t>
            </w:r>
          </w:p>
          <w:p>
            <w:pPr>
              <w:pStyle w:val="TableParagraph"/>
              <w:numPr>
                <w:ilvl w:val="0"/>
                <w:numId w:val="32"/>
              </w:numPr>
              <w:tabs>
                <w:tab w:pos="429" w:val="left" w:leader="none"/>
                <w:tab w:pos="430" w:val="left" w:leader="none"/>
              </w:tabs>
              <w:spacing w:line="235" w:lineRule="auto" w:before="7" w:after="0"/>
              <w:ind w:left="429" w:right="420" w:hanging="312"/>
              <w:jc w:val="left"/>
              <w:rPr>
                <w:sz w:val="20"/>
              </w:rPr>
            </w:pPr>
            <w:r>
              <w:rPr>
                <w:sz w:val="20"/>
              </w:rPr>
              <w:t>Local</w:t>
            </w:r>
            <w:r>
              <w:rPr>
                <w:spacing w:val="-14"/>
                <w:sz w:val="20"/>
              </w:rPr>
              <w:t> </w:t>
            </w:r>
            <w:r>
              <w:rPr>
                <w:sz w:val="20"/>
              </w:rPr>
              <w:t>neighbourhood</w:t>
            </w:r>
            <w:r>
              <w:rPr>
                <w:spacing w:val="-14"/>
                <w:sz w:val="20"/>
              </w:rPr>
              <w:t> </w:t>
            </w:r>
            <w:r>
              <w:rPr>
                <w:sz w:val="20"/>
              </w:rPr>
              <w:t>planning and placemaking</w:t>
            </w:r>
          </w:p>
          <w:p>
            <w:pPr>
              <w:pStyle w:val="TableParagraph"/>
              <w:numPr>
                <w:ilvl w:val="0"/>
                <w:numId w:val="32"/>
              </w:numPr>
              <w:tabs>
                <w:tab w:pos="429" w:val="left" w:leader="none"/>
                <w:tab w:pos="430" w:val="left" w:leader="none"/>
              </w:tabs>
              <w:spacing w:line="235" w:lineRule="auto" w:before="7" w:after="0"/>
              <w:ind w:left="429" w:right="521" w:hanging="312"/>
              <w:jc w:val="left"/>
              <w:rPr>
                <w:sz w:val="20"/>
              </w:rPr>
            </w:pPr>
            <w:r>
              <w:rPr>
                <w:sz w:val="20"/>
              </w:rPr>
              <w:t>Local</w:t>
            </w:r>
            <w:r>
              <w:rPr>
                <w:spacing w:val="-13"/>
                <w:sz w:val="20"/>
              </w:rPr>
              <w:t> </w:t>
            </w:r>
            <w:r>
              <w:rPr>
                <w:sz w:val="20"/>
              </w:rPr>
              <w:t>heritage</w:t>
            </w:r>
            <w:r>
              <w:rPr>
                <w:spacing w:val="-14"/>
                <w:sz w:val="20"/>
              </w:rPr>
              <w:t> </w:t>
            </w:r>
            <w:r>
              <w:rPr>
                <w:sz w:val="20"/>
              </w:rPr>
              <w:t>protection</w:t>
            </w:r>
            <w:r>
              <w:rPr>
                <w:spacing w:val="-13"/>
                <w:sz w:val="20"/>
              </w:rPr>
              <w:t> </w:t>
            </w:r>
            <w:r>
              <w:rPr>
                <w:sz w:val="20"/>
              </w:rPr>
              <w:t>and action planning</w:t>
            </w:r>
          </w:p>
          <w:p>
            <w:pPr>
              <w:pStyle w:val="TableParagraph"/>
              <w:numPr>
                <w:ilvl w:val="0"/>
                <w:numId w:val="32"/>
              </w:numPr>
              <w:tabs>
                <w:tab w:pos="429" w:val="left" w:leader="none"/>
                <w:tab w:pos="430" w:val="left" w:leader="none"/>
              </w:tabs>
              <w:spacing w:line="240" w:lineRule="auto" w:before="4" w:after="0"/>
              <w:ind w:left="429" w:right="754" w:hanging="312"/>
              <w:jc w:val="left"/>
              <w:rPr>
                <w:sz w:val="20"/>
              </w:rPr>
            </w:pPr>
            <w:r>
              <w:rPr>
                <w:sz w:val="20"/>
              </w:rPr>
              <w:t>Carbon</w:t>
            </w:r>
            <w:r>
              <w:rPr>
                <w:spacing w:val="-14"/>
                <w:sz w:val="20"/>
              </w:rPr>
              <w:t> </w:t>
            </w:r>
            <w:r>
              <w:rPr>
                <w:sz w:val="20"/>
              </w:rPr>
              <w:t>reduction</w:t>
            </w:r>
            <w:r>
              <w:rPr>
                <w:spacing w:val="-14"/>
                <w:sz w:val="20"/>
              </w:rPr>
              <w:t> </w:t>
            </w:r>
            <w:r>
              <w:rPr>
                <w:sz w:val="20"/>
              </w:rPr>
              <w:t>strategic</w:t>
            </w:r>
            <w:r>
              <w:rPr>
                <w:sz w:val="20"/>
              </w:rPr>
              <w:t> </w:t>
            </w:r>
            <w:r>
              <w:rPr>
                <w:spacing w:val="-2"/>
                <w:sz w:val="20"/>
              </w:rPr>
              <w:t>planning</w:t>
            </w:r>
          </w:p>
          <w:p>
            <w:pPr>
              <w:pStyle w:val="TableParagraph"/>
              <w:numPr>
                <w:ilvl w:val="0"/>
                <w:numId w:val="32"/>
              </w:numPr>
              <w:tabs>
                <w:tab w:pos="429" w:val="left" w:leader="none"/>
                <w:tab w:pos="430" w:val="left" w:leader="none"/>
              </w:tabs>
              <w:spacing w:line="235" w:lineRule="auto" w:before="4" w:after="0"/>
              <w:ind w:left="429" w:right="754" w:hanging="312"/>
              <w:jc w:val="left"/>
              <w:rPr>
                <w:sz w:val="20"/>
              </w:rPr>
            </w:pPr>
            <w:r>
              <w:rPr>
                <w:sz w:val="20"/>
              </w:rPr>
              <w:t>Carbon</w:t>
            </w:r>
            <w:r>
              <w:rPr>
                <w:spacing w:val="-14"/>
                <w:sz w:val="20"/>
              </w:rPr>
              <w:t> </w:t>
            </w:r>
            <w:r>
              <w:rPr>
                <w:sz w:val="20"/>
              </w:rPr>
              <w:t>reduction</w:t>
            </w:r>
            <w:r>
              <w:rPr>
                <w:spacing w:val="-14"/>
                <w:sz w:val="20"/>
              </w:rPr>
              <w:t> </w:t>
            </w:r>
            <w:r>
              <w:rPr>
                <w:sz w:val="20"/>
              </w:rPr>
              <w:t>strategic</w:t>
            </w:r>
            <w:r>
              <w:rPr>
                <w:sz w:val="20"/>
              </w:rPr>
              <w:t> </w:t>
            </w:r>
            <w:r>
              <w:rPr>
                <w:spacing w:val="-2"/>
                <w:sz w:val="20"/>
              </w:rPr>
              <w:t>planning</w:t>
            </w:r>
          </w:p>
          <w:p>
            <w:pPr>
              <w:pStyle w:val="TableParagraph"/>
              <w:numPr>
                <w:ilvl w:val="0"/>
                <w:numId w:val="32"/>
              </w:numPr>
              <w:tabs>
                <w:tab w:pos="429" w:val="left" w:leader="none"/>
                <w:tab w:pos="430" w:val="left" w:leader="none"/>
              </w:tabs>
              <w:spacing w:line="235" w:lineRule="auto" w:before="7" w:after="0"/>
              <w:ind w:left="429" w:right="898" w:hanging="312"/>
              <w:jc w:val="left"/>
              <w:rPr>
                <w:sz w:val="20"/>
              </w:rPr>
            </w:pPr>
            <w:r>
              <w:rPr>
                <w:sz w:val="20"/>
              </w:rPr>
              <w:t>Climate</w:t>
            </w:r>
            <w:r>
              <w:rPr>
                <w:spacing w:val="-14"/>
                <w:sz w:val="20"/>
              </w:rPr>
              <w:t> </w:t>
            </w:r>
            <w:r>
              <w:rPr>
                <w:sz w:val="20"/>
              </w:rPr>
              <w:t>change</w:t>
            </w:r>
            <w:r>
              <w:rPr>
                <w:spacing w:val="-14"/>
                <w:sz w:val="20"/>
              </w:rPr>
              <w:t> </w:t>
            </w:r>
            <w:r>
              <w:rPr>
                <w:sz w:val="20"/>
              </w:rPr>
              <w:t>strategic</w:t>
            </w:r>
            <w:r>
              <w:rPr>
                <w:sz w:val="20"/>
              </w:rPr>
              <w:t> </w:t>
            </w:r>
            <w:r>
              <w:rPr>
                <w:spacing w:val="-2"/>
                <w:sz w:val="20"/>
              </w:rPr>
              <w:t>planning</w:t>
            </w:r>
          </w:p>
          <w:p>
            <w:pPr>
              <w:pStyle w:val="TableParagraph"/>
              <w:numPr>
                <w:ilvl w:val="0"/>
                <w:numId w:val="32"/>
              </w:numPr>
              <w:tabs>
                <w:tab w:pos="429" w:val="left" w:leader="none"/>
                <w:tab w:pos="430" w:val="left" w:leader="none"/>
              </w:tabs>
              <w:spacing w:line="245" w:lineRule="exact" w:before="3" w:after="0"/>
              <w:ind w:left="429" w:right="0" w:hanging="313"/>
              <w:jc w:val="left"/>
              <w:rPr>
                <w:sz w:val="20"/>
              </w:rPr>
            </w:pPr>
            <w:r>
              <w:rPr>
                <w:sz w:val="20"/>
              </w:rPr>
              <w:t>Sustainability</w:t>
            </w:r>
            <w:r>
              <w:rPr>
                <w:spacing w:val="-11"/>
                <w:sz w:val="20"/>
              </w:rPr>
              <w:t> </w:t>
            </w:r>
            <w:r>
              <w:rPr>
                <w:sz w:val="20"/>
              </w:rPr>
              <w:t>strategic</w:t>
            </w:r>
            <w:r>
              <w:rPr>
                <w:spacing w:val="-9"/>
                <w:sz w:val="20"/>
              </w:rPr>
              <w:t> </w:t>
            </w:r>
            <w:r>
              <w:rPr>
                <w:spacing w:val="-2"/>
                <w:sz w:val="20"/>
              </w:rPr>
              <w:t>planning</w:t>
            </w:r>
          </w:p>
          <w:p>
            <w:pPr>
              <w:pStyle w:val="TableParagraph"/>
              <w:numPr>
                <w:ilvl w:val="0"/>
                <w:numId w:val="32"/>
              </w:numPr>
              <w:tabs>
                <w:tab w:pos="429" w:val="left" w:leader="none"/>
                <w:tab w:pos="430" w:val="left" w:leader="none"/>
              </w:tabs>
              <w:spacing w:line="244" w:lineRule="exact" w:before="0" w:after="0"/>
              <w:ind w:left="429" w:right="0" w:hanging="313"/>
              <w:jc w:val="left"/>
              <w:rPr>
                <w:sz w:val="20"/>
              </w:rPr>
            </w:pPr>
            <w:r>
              <w:rPr>
                <w:sz w:val="20"/>
              </w:rPr>
              <w:t>Vegetation</w:t>
            </w:r>
            <w:r>
              <w:rPr>
                <w:spacing w:val="-11"/>
                <w:sz w:val="20"/>
              </w:rPr>
              <w:t> </w:t>
            </w:r>
            <w:r>
              <w:rPr>
                <w:sz w:val="20"/>
              </w:rPr>
              <w:t>strategic</w:t>
            </w:r>
            <w:r>
              <w:rPr>
                <w:spacing w:val="-10"/>
                <w:sz w:val="20"/>
              </w:rPr>
              <w:t> </w:t>
            </w:r>
            <w:r>
              <w:rPr>
                <w:spacing w:val="-2"/>
                <w:sz w:val="20"/>
              </w:rPr>
              <w:t>planning</w:t>
            </w:r>
          </w:p>
          <w:p>
            <w:pPr>
              <w:pStyle w:val="TableParagraph"/>
              <w:numPr>
                <w:ilvl w:val="0"/>
                <w:numId w:val="32"/>
              </w:numPr>
              <w:tabs>
                <w:tab w:pos="429" w:val="left" w:leader="none"/>
                <w:tab w:pos="430" w:val="left" w:leader="none"/>
              </w:tabs>
              <w:spacing w:line="242" w:lineRule="exact" w:before="0" w:after="0"/>
              <w:ind w:left="429" w:right="0" w:hanging="313"/>
              <w:jc w:val="left"/>
              <w:rPr>
                <w:sz w:val="20"/>
              </w:rPr>
            </w:pPr>
            <w:r>
              <w:rPr>
                <w:sz w:val="20"/>
              </w:rPr>
              <w:t>Biodiversity</w:t>
            </w:r>
            <w:r>
              <w:rPr>
                <w:spacing w:val="-9"/>
                <w:sz w:val="20"/>
              </w:rPr>
              <w:t> </w:t>
            </w:r>
            <w:r>
              <w:rPr>
                <w:sz w:val="20"/>
              </w:rPr>
              <w:t>strategic</w:t>
            </w:r>
            <w:r>
              <w:rPr>
                <w:spacing w:val="-9"/>
                <w:sz w:val="20"/>
              </w:rPr>
              <w:t> </w:t>
            </w:r>
            <w:r>
              <w:rPr>
                <w:spacing w:val="-2"/>
                <w:sz w:val="20"/>
              </w:rPr>
              <w:t>planning</w:t>
            </w:r>
          </w:p>
          <w:p>
            <w:pPr>
              <w:pStyle w:val="TableParagraph"/>
              <w:numPr>
                <w:ilvl w:val="0"/>
                <w:numId w:val="32"/>
              </w:numPr>
              <w:tabs>
                <w:tab w:pos="429" w:val="left" w:leader="none"/>
                <w:tab w:pos="430" w:val="left" w:leader="none"/>
              </w:tabs>
              <w:spacing w:line="244" w:lineRule="exact" w:before="0" w:after="0"/>
              <w:ind w:left="429" w:right="0" w:hanging="313"/>
              <w:jc w:val="left"/>
              <w:rPr>
                <w:sz w:val="20"/>
              </w:rPr>
            </w:pPr>
            <w:r>
              <w:rPr>
                <w:sz w:val="20"/>
              </w:rPr>
              <w:t>Transport</w:t>
            </w:r>
            <w:r>
              <w:rPr>
                <w:spacing w:val="-10"/>
                <w:sz w:val="20"/>
              </w:rPr>
              <w:t> </w:t>
            </w:r>
            <w:r>
              <w:rPr>
                <w:sz w:val="20"/>
              </w:rPr>
              <w:t>strategic</w:t>
            </w:r>
            <w:r>
              <w:rPr>
                <w:spacing w:val="-9"/>
                <w:sz w:val="20"/>
              </w:rPr>
              <w:t> </w:t>
            </w:r>
            <w:r>
              <w:rPr>
                <w:spacing w:val="-2"/>
                <w:sz w:val="20"/>
              </w:rPr>
              <w:t>planning</w:t>
            </w:r>
          </w:p>
          <w:p>
            <w:pPr>
              <w:pStyle w:val="TableParagraph"/>
              <w:numPr>
                <w:ilvl w:val="0"/>
                <w:numId w:val="32"/>
              </w:numPr>
              <w:tabs>
                <w:tab w:pos="429" w:val="left" w:leader="none"/>
                <w:tab w:pos="430" w:val="left" w:leader="none"/>
              </w:tabs>
              <w:spacing w:line="235" w:lineRule="auto" w:before="4" w:after="0"/>
              <w:ind w:left="429" w:right="675" w:hanging="312"/>
              <w:jc w:val="left"/>
              <w:rPr>
                <w:sz w:val="20"/>
              </w:rPr>
            </w:pPr>
            <w:r>
              <w:rPr>
                <w:sz w:val="20"/>
              </w:rPr>
              <w:t>Carbon</w:t>
            </w:r>
            <w:r>
              <w:rPr>
                <w:spacing w:val="-14"/>
                <w:sz w:val="20"/>
              </w:rPr>
              <w:t> </w:t>
            </w:r>
            <w:r>
              <w:rPr>
                <w:sz w:val="20"/>
              </w:rPr>
              <w:t>Neutral</w:t>
            </w:r>
            <w:r>
              <w:rPr>
                <w:spacing w:val="-14"/>
                <w:sz w:val="20"/>
              </w:rPr>
              <w:t> </w:t>
            </w:r>
            <w:r>
              <w:rPr>
                <w:sz w:val="20"/>
              </w:rPr>
              <w:t>certification </w:t>
            </w:r>
            <w:r>
              <w:rPr>
                <w:spacing w:val="-2"/>
                <w:sz w:val="20"/>
              </w:rPr>
              <w:t>reporting</w:t>
            </w:r>
          </w:p>
          <w:p>
            <w:pPr>
              <w:pStyle w:val="TableParagraph"/>
              <w:numPr>
                <w:ilvl w:val="0"/>
                <w:numId w:val="32"/>
              </w:numPr>
              <w:tabs>
                <w:tab w:pos="429" w:val="left" w:leader="none"/>
                <w:tab w:pos="430" w:val="left" w:leader="none"/>
              </w:tabs>
              <w:spacing w:line="235" w:lineRule="auto" w:before="8" w:after="0"/>
              <w:ind w:left="429" w:right="210" w:hanging="312"/>
              <w:jc w:val="left"/>
              <w:rPr>
                <w:sz w:val="20"/>
              </w:rPr>
            </w:pPr>
            <w:r>
              <w:rPr>
                <w:sz w:val="20"/>
              </w:rPr>
              <w:t>Eastern</w:t>
            </w:r>
            <w:r>
              <w:rPr>
                <w:spacing w:val="-14"/>
                <w:sz w:val="20"/>
              </w:rPr>
              <w:t> </w:t>
            </w:r>
            <w:r>
              <w:rPr>
                <w:sz w:val="20"/>
              </w:rPr>
              <w:t>Alliance</w:t>
            </w:r>
            <w:r>
              <w:rPr>
                <w:spacing w:val="-14"/>
                <w:sz w:val="20"/>
              </w:rPr>
              <w:t> </w:t>
            </w:r>
            <w:r>
              <w:rPr>
                <w:sz w:val="20"/>
              </w:rPr>
              <w:t>for</w:t>
            </w:r>
            <w:r>
              <w:rPr>
                <w:spacing w:val="-13"/>
                <w:sz w:val="20"/>
              </w:rPr>
              <w:t> </w:t>
            </w:r>
            <w:r>
              <w:rPr>
                <w:sz w:val="20"/>
              </w:rPr>
              <w:t>Greenhouse Action host Council</w:t>
            </w:r>
          </w:p>
          <w:p>
            <w:pPr>
              <w:pStyle w:val="TableParagraph"/>
              <w:numPr>
                <w:ilvl w:val="0"/>
                <w:numId w:val="32"/>
              </w:numPr>
              <w:tabs>
                <w:tab w:pos="429" w:val="left" w:leader="none"/>
                <w:tab w:pos="430" w:val="left" w:leader="none"/>
              </w:tabs>
              <w:spacing w:line="240" w:lineRule="auto" w:before="3" w:after="0"/>
              <w:ind w:left="429" w:right="576" w:hanging="312"/>
              <w:jc w:val="left"/>
              <w:rPr>
                <w:sz w:val="20"/>
              </w:rPr>
            </w:pPr>
            <w:r>
              <w:rPr>
                <w:sz w:val="20"/>
              </w:rPr>
              <w:t>Environmentally</w:t>
            </w:r>
            <w:r>
              <w:rPr>
                <w:spacing w:val="-14"/>
                <w:sz w:val="20"/>
              </w:rPr>
              <w:t> </w:t>
            </w:r>
            <w:r>
              <w:rPr>
                <w:sz w:val="20"/>
              </w:rPr>
              <w:t>Sustainable Design (ESD) guidance</w:t>
            </w:r>
          </w:p>
          <w:p>
            <w:pPr>
              <w:pStyle w:val="TableParagraph"/>
              <w:numPr>
                <w:ilvl w:val="0"/>
                <w:numId w:val="32"/>
              </w:numPr>
              <w:tabs>
                <w:tab w:pos="429" w:val="left" w:leader="none"/>
                <w:tab w:pos="430" w:val="left" w:leader="none"/>
              </w:tabs>
              <w:spacing w:line="235" w:lineRule="auto" w:before="4" w:after="0"/>
              <w:ind w:left="429" w:right="366" w:hanging="312"/>
              <w:jc w:val="left"/>
              <w:rPr>
                <w:sz w:val="20"/>
              </w:rPr>
            </w:pPr>
            <w:r>
              <w:rPr>
                <w:sz w:val="20"/>
              </w:rPr>
              <w:t>Environmental education and behavioural</w:t>
            </w:r>
            <w:r>
              <w:rPr>
                <w:spacing w:val="-14"/>
                <w:sz w:val="20"/>
              </w:rPr>
              <w:t> </w:t>
            </w:r>
            <w:r>
              <w:rPr>
                <w:sz w:val="20"/>
              </w:rPr>
              <w:t>change</w:t>
            </w:r>
            <w:r>
              <w:rPr>
                <w:spacing w:val="-14"/>
                <w:sz w:val="20"/>
              </w:rPr>
              <w:t> </w:t>
            </w:r>
            <w:r>
              <w:rPr>
                <w:sz w:val="20"/>
              </w:rPr>
              <w:t>initiatives</w:t>
            </w:r>
            <w:r>
              <w:rPr>
                <w:spacing w:val="-13"/>
                <w:sz w:val="20"/>
              </w:rPr>
              <w:t> </w:t>
            </w:r>
            <w:r>
              <w:rPr>
                <w:sz w:val="20"/>
              </w:rPr>
              <w:t>/</w:t>
            </w:r>
          </w:p>
          <w:p>
            <w:pPr>
              <w:pStyle w:val="TableParagraph"/>
              <w:spacing w:line="210" w:lineRule="exact" w:before="2"/>
              <w:ind w:left="429"/>
              <w:rPr>
                <w:sz w:val="20"/>
              </w:rPr>
            </w:pPr>
            <w:r>
              <w:rPr>
                <w:spacing w:val="-2"/>
                <w:sz w:val="20"/>
              </w:rPr>
              <w:t>events</w:t>
            </w:r>
          </w:p>
        </w:tc>
        <w:tc>
          <w:tcPr>
            <w:tcW w:w="1660" w:type="dxa"/>
            <w:tcBorders>
              <w:top w:val="single" w:sz="4" w:space="0" w:color="000000"/>
              <w:left w:val="single" w:sz="4" w:space="0" w:color="000000"/>
              <w:bottom w:val="single" w:sz="4" w:space="0" w:color="000000"/>
              <w:right w:val="nil"/>
            </w:tcBorders>
          </w:tcPr>
          <w:p>
            <w:pPr>
              <w:pStyle w:val="TableParagraph"/>
              <w:spacing w:line="229" w:lineRule="exact"/>
              <w:ind w:left="114"/>
              <w:rPr>
                <w:sz w:val="20"/>
              </w:rPr>
            </w:pPr>
            <w:r>
              <w:rPr>
                <w:spacing w:val="-2"/>
                <w:sz w:val="20"/>
              </w:rPr>
              <w:t>Income</w:t>
            </w:r>
          </w:p>
          <w:p>
            <w:pPr>
              <w:pStyle w:val="TableParagraph"/>
              <w:spacing w:before="84"/>
              <w:ind w:left="114"/>
              <w:rPr>
                <w:sz w:val="20"/>
              </w:rPr>
            </w:pPr>
            <w:r>
              <w:rPr>
                <w:spacing w:val="-2"/>
                <w:sz w:val="20"/>
              </w:rPr>
              <w:t>Expenditure</w:t>
            </w:r>
          </w:p>
        </w:tc>
        <w:tc>
          <w:tcPr>
            <w:tcW w:w="1223" w:type="dxa"/>
            <w:tcBorders>
              <w:top w:val="single" w:sz="4" w:space="0" w:color="000000"/>
              <w:left w:val="nil"/>
              <w:bottom w:val="single" w:sz="4" w:space="0" w:color="000000"/>
              <w:right w:val="nil"/>
            </w:tcBorders>
          </w:tcPr>
          <w:p>
            <w:pPr>
              <w:pStyle w:val="TableParagraph"/>
              <w:spacing w:line="206" w:lineRule="exact"/>
              <w:ind w:left="773"/>
              <w:rPr>
                <w:sz w:val="18"/>
              </w:rPr>
            </w:pPr>
            <w:r>
              <w:rPr>
                <w:spacing w:val="-5"/>
                <w:sz w:val="18"/>
              </w:rPr>
              <w:t>811</w:t>
            </w:r>
          </w:p>
          <w:p>
            <w:pPr>
              <w:pStyle w:val="TableParagraph"/>
              <w:spacing w:before="107"/>
              <w:ind w:left="622"/>
              <w:rPr>
                <w:sz w:val="18"/>
              </w:rPr>
            </w:pPr>
            <w:r>
              <w:rPr>
                <w:spacing w:val="-2"/>
                <w:sz w:val="18"/>
              </w:rPr>
              <w:t>3,045</w:t>
            </w:r>
          </w:p>
        </w:tc>
        <w:tc>
          <w:tcPr>
            <w:tcW w:w="1216" w:type="dxa"/>
            <w:tcBorders>
              <w:top w:val="single" w:sz="4" w:space="0" w:color="000000"/>
              <w:left w:val="nil"/>
              <w:bottom w:val="single" w:sz="4" w:space="0" w:color="000000"/>
              <w:right w:val="nil"/>
            </w:tcBorders>
          </w:tcPr>
          <w:p>
            <w:pPr>
              <w:pStyle w:val="TableParagraph"/>
              <w:spacing w:line="206" w:lineRule="exact"/>
              <w:ind w:left="671"/>
              <w:rPr>
                <w:sz w:val="18"/>
              </w:rPr>
            </w:pPr>
            <w:r>
              <w:rPr>
                <w:spacing w:val="-2"/>
                <w:sz w:val="18"/>
              </w:rPr>
              <w:t>1,081</w:t>
            </w:r>
          </w:p>
          <w:p>
            <w:pPr>
              <w:pStyle w:val="TableParagraph"/>
              <w:spacing w:before="107"/>
              <w:ind w:left="671"/>
              <w:rPr>
                <w:sz w:val="18"/>
              </w:rPr>
            </w:pPr>
            <w:r>
              <w:rPr>
                <w:spacing w:val="-2"/>
                <w:sz w:val="18"/>
              </w:rPr>
              <w:t>3,314</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line="206" w:lineRule="exact"/>
              <w:ind w:right="76"/>
              <w:jc w:val="right"/>
              <w:rPr>
                <w:sz w:val="18"/>
              </w:rPr>
            </w:pPr>
            <w:r>
              <w:rPr>
                <w:spacing w:val="-5"/>
                <w:sz w:val="18"/>
              </w:rPr>
              <w:t>884</w:t>
            </w:r>
          </w:p>
          <w:p>
            <w:pPr>
              <w:pStyle w:val="TableParagraph"/>
              <w:spacing w:before="107"/>
              <w:ind w:left="673"/>
              <w:rPr>
                <w:sz w:val="18"/>
              </w:rPr>
            </w:pPr>
            <w:r>
              <w:rPr>
                <w:spacing w:val="-2"/>
                <w:sz w:val="18"/>
              </w:rPr>
              <w:t>2,848</w:t>
            </w:r>
          </w:p>
        </w:tc>
      </w:tr>
      <w:tr>
        <w:trPr>
          <w:trHeight w:val="440" w:hRule="atLeast"/>
        </w:trPr>
        <w:tc>
          <w:tcPr>
            <w:tcW w:w="1553" w:type="dxa"/>
            <w:vMerge/>
            <w:tcBorders>
              <w:top w:val="nil"/>
              <w:left w:val="single" w:sz="12" w:space="0" w:color="000000"/>
              <w:bottom w:val="single" w:sz="12" w:space="0" w:color="000000"/>
              <w:right w:val="single" w:sz="4" w:space="0" w:color="000000"/>
            </w:tcBorders>
          </w:tcPr>
          <w:p>
            <w:pPr>
              <w:rPr>
                <w:sz w:val="2"/>
                <w:szCs w:val="2"/>
              </w:rPr>
            </w:pPr>
          </w:p>
        </w:tc>
        <w:tc>
          <w:tcPr>
            <w:tcW w:w="3540" w:type="dxa"/>
            <w:vMerge/>
            <w:tcBorders>
              <w:top w:val="nil"/>
              <w:left w:val="single" w:sz="4" w:space="0" w:color="000000"/>
              <w:bottom w:val="single" w:sz="12" w:space="0" w:color="000000"/>
              <w:right w:val="single" w:sz="4" w:space="0" w:color="000000"/>
            </w:tcBorders>
          </w:tcPr>
          <w:p>
            <w:pPr>
              <w:rPr>
                <w:sz w:val="2"/>
                <w:szCs w:val="2"/>
              </w:rPr>
            </w:pPr>
          </w:p>
        </w:tc>
        <w:tc>
          <w:tcPr>
            <w:tcW w:w="1660" w:type="dxa"/>
            <w:tcBorders>
              <w:top w:val="single" w:sz="4" w:space="0" w:color="000000"/>
              <w:left w:val="single" w:sz="4" w:space="0" w:color="000000"/>
              <w:bottom w:val="single" w:sz="4" w:space="0" w:color="000000"/>
              <w:right w:val="nil"/>
            </w:tcBorders>
          </w:tcPr>
          <w:p>
            <w:pPr>
              <w:pStyle w:val="TableParagraph"/>
              <w:spacing w:line="219" w:lineRule="exact"/>
              <w:ind w:left="114"/>
              <w:rPr>
                <w:b/>
                <w:sz w:val="20"/>
              </w:rPr>
            </w:pPr>
            <w:r>
              <w:rPr>
                <w:b/>
                <w:sz w:val="20"/>
              </w:rPr>
              <w:t>Surplus</w:t>
            </w:r>
            <w:r>
              <w:rPr>
                <w:b/>
                <w:spacing w:val="-11"/>
                <w:sz w:val="20"/>
              </w:rPr>
              <w:t> </w:t>
            </w:r>
            <w:r>
              <w:rPr>
                <w:b/>
                <w:spacing w:val="-10"/>
                <w:sz w:val="20"/>
              </w:rPr>
              <w:t>/</w:t>
            </w:r>
          </w:p>
          <w:p>
            <w:pPr>
              <w:pStyle w:val="TableParagraph"/>
              <w:spacing w:line="201" w:lineRule="exact"/>
              <w:ind w:left="114"/>
              <w:rPr>
                <w:b/>
                <w:sz w:val="20"/>
              </w:rPr>
            </w:pPr>
            <w:r>
              <w:rPr>
                <w:b/>
                <w:spacing w:val="-2"/>
                <w:sz w:val="20"/>
              </w:rPr>
              <w:t>(deficit)</w:t>
            </w:r>
          </w:p>
        </w:tc>
        <w:tc>
          <w:tcPr>
            <w:tcW w:w="1223" w:type="dxa"/>
            <w:tcBorders>
              <w:top w:val="single" w:sz="4" w:space="0" w:color="000000"/>
              <w:left w:val="nil"/>
              <w:bottom w:val="single" w:sz="4" w:space="0" w:color="000000"/>
              <w:right w:val="nil"/>
            </w:tcBorders>
          </w:tcPr>
          <w:p>
            <w:pPr>
              <w:pStyle w:val="TableParagraph"/>
              <w:spacing w:line="196" w:lineRule="exact"/>
              <w:ind w:left="502"/>
              <w:rPr>
                <w:b/>
                <w:sz w:val="18"/>
              </w:rPr>
            </w:pPr>
            <w:r>
              <w:rPr>
                <w:b/>
                <w:spacing w:val="-2"/>
                <w:sz w:val="18"/>
              </w:rPr>
              <w:t>(2,234)</w:t>
            </w:r>
          </w:p>
        </w:tc>
        <w:tc>
          <w:tcPr>
            <w:tcW w:w="1216" w:type="dxa"/>
            <w:tcBorders>
              <w:top w:val="single" w:sz="4" w:space="0" w:color="000000"/>
              <w:left w:val="nil"/>
              <w:bottom w:val="single" w:sz="4" w:space="0" w:color="000000"/>
              <w:right w:val="nil"/>
            </w:tcBorders>
          </w:tcPr>
          <w:p>
            <w:pPr>
              <w:pStyle w:val="TableParagraph"/>
              <w:spacing w:line="196" w:lineRule="exact"/>
              <w:ind w:left="551"/>
              <w:rPr>
                <w:b/>
                <w:sz w:val="18"/>
              </w:rPr>
            </w:pPr>
            <w:r>
              <w:rPr>
                <w:b/>
                <w:spacing w:val="-2"/>
                <w:sz w:val="18"/>
              </w:rPr>
              <w:t>(2,233)</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line="196" w:lineRule="exact"/>
              <w:ind w:left="553"/>
              <w:rPr>
                <w:b/>
                <w:sz w:val="18"/>
              </w:rPr>
            </w:pPr>
            <w:r>
              <w:rPr>
                <w:b/>
                <w:spacing w:val="-2"/>
                <w:sz w:val="18"/>
              </w:rPr>
              <w:t>(1,964)</w:t>
            </w:r>
          </w:p>
        </w:tc>
      </w:tr>
      <w:tr>
        <w:trPr>
          <w:trHeight w:val="5535" w:hRule="atLeast"/>
        </w:trPr>
        <w:tc>
          <w:tcPr>
            <w:tcW w:w="1553" w:type="dxa"/>
            <w:vMerge/>
            <w:tcBorders>
              <w:top w:val="nil"/>
              <w:left w:val="single" w:sz="12" w:space="0" w:color="000000"/>
              <w:bottom w:val="single" w:sz="12" w:space="0" w:color="000000"/>
              <w:right w:val="single" w:sz="4" w:space="0" w:color="000000"/>
            </w:tcBorders>
          </w:tcPr>
          <w:p>
            <w:pPr>
              <w:rPr>
                <w:sz w:val="2"/>
                <w:szCs w:val="2"/>
              </w:rPr>
            </w:pPr>
          </w:p>
        </w:tc>
        <w:tc>
          <w:tcPr>
            <w:tcW w:w="3540" w:type="dxa"/>
            <w:vMerge/>
            <w:tcBorders>
              <w:top w:val="nil"/>
              <w:left w:val="single" w:sz="4" w:space="0" w:color="000000"/>
              <w:bottom w:val="single" w:sz="12" w:space="0" w:color="000000"/>
              <w:right w:val="single" w:sz="4" w:space="0" w:color="000000"/>
            </w:tcBorders>
          </w:tcPr>
          <w:p>
            <w:pPr>
              <w:rPr>
                <w:sz w:val="2"/>
                <w:szCs w:val="2"/>
              </w:rPr>
            </w:pPr>
          </w:p>
        </w:tc>
        <w:tc>
          <w:tcPr>
            <w:tcW w:w="5333" w:type="dxa"/>
            <w:gridSpan w:val="4"/>
            <w:tcBorders>
              <w:top w:val="single" w:sz="4" w:space="0" w:color="000000"/>
              <w:left w:val="single" w:sz="4" w:space="0" w:color="000000"/>
              <w:bottom w:val="single" w:sz="12" w:space="0" w:color="000000"/>
              <w:right w:val="single" w:sz="12" w:space="0" w:color="000000"/>
            </w:tcBorders>
          </w:tcPr>
          <w:p>
            <w:pPr>
              <w:pStyle w:val="TableParagraph"/>
              <w:rPr>
                <w:rFonts w:ascii="Times New Roman"/>
                <w:sz w:val="20"/>
              </w:rPr>
            </w:pPr>
          </w:p>
        </w:tc>
      </w:tr>
    </w:tbl>
    <w:p>
      <w:pPr>
        <w:pStyle w:val="BodyText"/>
        <w:spacing w:before="4"/>
        <w:rPr>
          <w:b/>
          <w:sz w:val="14"/>
        </w:rPr>
      </w:pPr>
    </w:p>
    <w:p>
      <w:pPr>
        <w:pStyle w:val="Heading5"/>
        <w:spacing w:before="94"/>
        <w:ind w:left="391"/>
      </w:pPr>
      <w:r>
        <w:rPr/>
        <w:t>Major</w:t>
      </w:r>
      <w:r>
        <w:rPr>
          <w:spacing w:val="-5"/>
        </w:rPr>
        <w:t> </w:t>
      </w:r>
      <w:r>
        <w:rPr/>
        <w:t>Initiatives</w:t>
      </w:r>
      <w:r>
        <w:rPr>
          <w:spacing w:val="-5"/>
        </w:rPr>
        <w:t> </w:t>
      </w:r>
      <w:r>
        <w:rPr/>
        <w:t>(Priority</w:t>
      </w:r>
      <w:r>
        <w:rPr>
          <w:spacing w:val="-6"/>
        </w:rPr>
        <w:t> </w:t>
      </w:r>
      <w:r>
        <w:rPr>
          <w:spacing w:val="-2"/>
        </w:rPr>
        <w:t>Action)</w:t>
      </w:r>
    </w:p>
    <w:p>
      <w:pPr>
        <w:pStyle w:val="BodyText"/>
        <w:spacing w:before="9"/>
        <w:rPr>
          <w:b/>
          <w:sz w:val="21"/>
        </w:rPr>
      </w:pPr>
    </w:p>
    <w:p>
      <w:pPr>
        <w:pStyle w:val="ListParagraph"/>
        <w:numPr>
          <w:ilvl w:val="0"/>
          <w:numId w:val="24"/>
        </w:numPr>
        <w:tabs>
          <w:tab w:pos="959" w:val="left" w:leader="none"/>
          <w:tab w:pos="960" w:val="left" w:leader="none"/>
        </w:tabs>
        <w:spacing w:line="240" w:lineRule="auto" w:before="0" w:after="0"/>
        <w:ind w:left="959" w:right="0" w:hanging="569"/>
        <w:jc w:val="left"/>
        <w:rPr>
          <w:sz w:val="22"/>
        </w:rPr>
      </w:pPr>
      <w:r>
        <w:rPr>
          <w:sz w:val="22"/>
        </w:rPr>
        <w:t>Construct</w:t>
      </w:r>
      <w:r>
        <w:rPr>
          <w:spacing w:val="-4"/>
          <w:sz w:val="22"/>
        </w:rPr>
        <w:t> </w:t>
      </w:r>
      <w:r>
        <w:rPr>
          <w:sz w:val="22"/>
        </w:rPr>
        <w:t>the</w:t>
      </w:r>
      <w:r>
        <w:rPr>
          <w:spacing w:val="-2"/>
          <w:sz w:val="22"/>
        </w:rPr>
        <w:t> </w:t>
      </w:r>
      <w:r>
        <w:rPr>
          <w:sz w:val="22"/>
        </w:rPr>
        <w:t>Ringwood</w:t>
      </w:r>
      <w:r>
        <w:rPr>
          <w:spacing w:val="-5"/>
          <w:sz w:val="22"/>
        </w:rPr>
        <w:t> </w:t>
      </w:r>
      <w:r>
        <w:rPr>
          <w:sz w:val="22"/>
        </w:rPr>
        <w:t>Activity</w:t>
      </w:r>
      <w:r>
        <w:rPr>
          <w:spacing w:val="-3"/>
          <w:sz w:val="22"/>
        </w:rPr>
        <w:t> </w:t>
      </w:r>
      <w:r>
        <w:rPr>
          <w:sz w:val="22"/>
        </w:rPr>
        <w:t>Centre</w:t>
      </w:r>
      <w:r>
        <w:rPr>
          <w:spacing w:val="-4"/>
          <w:sz w:val="22"/>
        </w:rPr>
        <w:t> </w:t>
      </w:r>
      <w:r>
        <w:rPr>
          <w:sz w:val="22"/>
        </w:rPr>
        <w:t>Car</w:t>
      </w:r>
      <w:r>
        <w:rPr>
          <w:spacing w:val="-2"/>
          <w:sz w:val="22"/>
        </w:rPr>
        <w:t> </w:t>
      </w:r>
      <w:r>
        <w:rPr>
          <w:spacing w:val="-4"/>
          <w:sz w:val="22"/>
        </w:rPr>
        <w:t>Park.</w:t>
      </w:r>
    </w:p>
    <w:p>
      <w:pPr>
        <w:pStyle w:val="ListParagraph"/>
        <w:numPr>
          <w:ilvl w:val="0"/>
          <w:numId w:val="24"/>
        </w:numPr>
        <w:tabs>
          <w:tab w:pos="959" w:val="left" w:leader="none"/>
          <w:tab w:pos="960" w:val="left" w:leader="none"/>
        </w:tabs>
        <w:spacing w:line="240" w:lineRule="auto" w:before="40" w:after="0"/>
        <w:ind w:left="959" w:right="0" w:hanging="569"/>
        <w:jc w:val="left"/>
        <w:rPr>
          <w:sz w:val="22"/>
        </w:rPr>
      </w:pPr>
      <w:r>
        <w:rPr>
          <w:sz w:val="22"/>
        </w:rPr>
        <w:t>Develop</w:t>
      </w:r>
      <w:r>
        <w:rPr>
          <w:spacing w:val="-5"/>
          <w:sz w:val="22"/>
        </w:rPr>
        <w:t> </w:t>
      </w:r>
      <w:r>
        <w:rPr>
          <w:sz w:val="22"/>
        </w:rPr>
        <w:t>and</w:t>
      </w:r>
      <w:r>
        <w:rPr>
          <w:spacing w:val="-4"/>
          <w:sz w:val="22"/>
        </w:rPr>
        <w:t> </w:t>
      </w:r>
      <w:r>
        <w:rPr>
          <w:sz w:val="22"/>
        </w:rPr>
        <w:t>implement</w:t>
      </w:r>
      <w:r>
        <w:rPr>
          <w:spacing w:val="-4"/>
          <w:sz w:val="22"/>
        </w:rPr>
        <w:t> </w:t>
      </w:r>
      <w:r>
        <w:rPr>
          <w:sz w:val="22"/>
        </w:rPr>
        <w:t>a</w:t>
      </w:r>
      <w:r>
        <w:rPr>
          <w:spacing w:val="-7"/>
          <w:sz w:val="22"/>
        </w:rPr>
        <w:t> </w:t>
      </w:r>
      <w:r>
        <w:rPr>
          <w:sz w:val="22"/>
        </w:rPr>
        <w:t>liveable</w:t>
      </w:r>
      <w:r>
        <w:rPr>
          <w:spacing w:val="-5"/>
          <w:sz w:val="22"/>
        </w:rPr>
        <w:t> </w:t>
      </w:r>
      <w:r>
        <w:rPr>
          <w:sz w:val="22"/>
        </w:rPr>
        <w:t>neighbourhoods</w:t>
      </w:r>
      <w:r>
        <w:rPr>
          <w:spacing w:val="-3"/>
          <w:sz w:val="22"/>
        </w:rPr>
        <w:t> </w:t>
      </w:r>
      <w:r>
        <w:rPr>
          <w:spacing w:val="-2"/>
          <w:sz w:val="22"/>
        </w:rPr>
        <w:t>strategy.</w:t>
      </w:r>
    </w:p>
    <w:p>
      <w:pPr>
        <w:pStyle w:val="ListParagraph"/>
        <w:numPr>
          <w:ilvl w:val="0"/>
          <w:numId w:val="24"/>
        </w:numPr>
        <w:tabs>
          <w:tab w:pos="959" w:val="left" w:leader="none"/>
          <w:tab w:pos="960" w:val="left" w:leader="none"/>
        </w:tabs>
        <w:spacing w:line="240" w:lineRule="auto" w:before="38" w:after="0"/>
        <w:ind w:left="959" w:right="0" w:hanging="569"/>
        <w:jc w:val="left"/>
        <w:rPr>
          <w:sz w:val="22"/>
        </w:rPr>
      </w:pPr>
      <w:r>
        <w:rPr>
          <w:sz w:val="22"/>
        </w:rPr>
        <w:t>Undertake</w:t>
      </w:r>
      <w:r>
        <w:rPr>
          <w:spacing w:val="-9"/>
          <w:sz w:val="22"/>
        </w:rPr>
        <w:t> </w:t>
      </w:r>
      <w:r>
        <w:rPr>
          <w:sz w:val="22"/>
        </w:rPr>
        <w:t>staged</w:t>
      </w:r>
      <w:r>
        <w:rPr>
          <w:spacing w:val="-6"/>
          <w:sz w:val="22"/>
        </w:rPr>
        <w:t> </w:t>
      </w:r>
      <w:r>
        <w:rPr>
          <w:sz w:val="22"/>
        </w:rPr>
        <w:t>enhancements</w:t>
      </w:r>
      <w:r>
        <w:rPr>
          <w:spacing w:val="-2"/>
          <w:sz w:val="22"/>
        </w:rPr>
        <w:t> </w:t>
      </w:r>
      <w:r>
        <w:rPr>
          <w:sz w:val="22"/>
        </w:rPr>
        <w:t>of</w:t>
      </w:r>
      <w:r>
        <w:rPr>
          <w:spacing w:val="-4"/>
          <w:sz w:val="22"/>
        </w:rPr>
        <w:t> </w:t>
      </w:r>
      <w:r>
        <w:rPr>
          <w:sz w:val="22"/>
        </w:rPr>
        <w:t>the</w:t>
      </w:r>
      <w:r>
        <w:rPr>
          <w:spacing w:val="-4"/>
          <w:sz w:val="22"/>
        </w:rPr>
        <w:t> </w:t>
      </w:r>
      <w:r>
        <w:rPr>
          <w:sz w:val="22"/>
        </w:rPr>
        <w:t>Ringwood</w:t>
      </w:r>
      <w:r>
        <w:rPr>
          <w:spacing w:val="-6"/>
          <w:sz w:val="22"/>
        </w:rPr>
        <w:t> </w:t>
      </w:r>
      <w:r>
        <w:rPr>
          <w:sz w:val="22"/>
        </w:rPr>
        <w:t>Metropolitan</w:t>
      </w:r>
      <w:r>
        <w:rPr>
          <w:spacing w:val="-6"/>
          <w:sz w:val="22"/>
        </w:rPr>
        <w:t> </w:t>
      </w:r>
      <w:r>
        <w:rPr>
          <w:sz w:val="22"/>
        </w:rPr>
        <w:t>Activity</w:t>
      </w:r>
      <w:r>
        <w:rPr>
          <w:spacing w:val="-6"/>
          <w:sz w:val="22"/>
        </w:rPr>
        <w:t> </w:t>
      </w:r>
      <w:r>
        <w:rPr>
          <w:sz w:val="22"/>
        </w:rPr>
        <w:t>Centre</w:t>
      </w:r>
      <w:r>
        <w:rPr>
          <w:spacing w:val="-6"/>
          <w:sz w:val="22"/>
        </w:rPr>
        <w:t> </w:t>
      </w:r>
      <w:r>
        <w:rPr>
          <w:spacing w:val="-2"/>
          <w:sz w:val="22"/>
        </w:rPr>
        <w:t>including:</w:t>
      </w:r>
    </w:p>
    <w:p>
      <w:pPr>
        <w:pStyle w:val="ListParagraph"/>
        <w:numPr>
          <w:ilvl w:val="1"/>
          <w:numId w:val="24"/>
        </w:numPr>
        <w:tabs>
          <w:tab w:pos="1525" w:val="left" w:leader="none"/>
          <w:tab w:pos="1526" w:val="left" w:leader="none"/>
        </w:tabs>
        <w:spacing w:line="240" w:lineRule="auto" w:before="37" w:after="0"/>
        <w:ind w:left="1525" w:right="0" w:hanging="568"/>
        <w:jc w:val="left"/>
        <w:rPr>
          <w:sz w:val="22"/>
        </w:rPr>
      </w:pPr>
      <w:r>
        <w:rPr>
          <w:sz w:val="22"/>
        </w:rPr>
        <w:t>Maroondah</w:t>
      </w:r>
      <w:r>
        <w:rPr>
          <w:spacing w:val="-6"/>
          <w:sz w:val="22"/>
        </w:rPr>
        <w:t> </w:t>
      </w:r>
      <w:r>
        <w:rPr>
          <w:sz w:val="22"/>
        </w:rPr>
        <w:t>Highway</w:t>
      </w:r>
      <w:r>
        <w:rPr>
          <w:spacing w:val="-4"/>
          <w:sz w:val="22"/>
        </w:rPr>
        <w:t> </w:t>
      </w:r>
      <w:r>
        <w:rPr>
          <w:sz w:val="22"/>
        </w:rPr>
        <w:t>Boulevard</w:t>
      </w:r>
      <w:r>
        <w:rPr>
          <w:spacing w:val="-6"/>
          <w:sz w:val="22"/>
        </w:rPr>
        <w:t> </w:t>
      </w:r>
      <w:r>
        <w:rPr>
          <w:sz w:val="22"/>
        </w:rPr>
        <w:t>(subject</w:t>
      </w:r>
      <w:r>
        <w:rPr>
          <w:spacing w:val="-4"/>
          <w:sz w:val="22"/>
        </w:rPr>
        <w:t> </w:t>
      </w:r>
      <w:r>
        <w:rPr>
          <w:sz w:val="22"/>
        </w:rPr>
        <w:t>to</w:t>
      </w:r>
      <w:r>
        <w:rPr>
          <w:spacing w:val="-6"/>
          <w:sz w:val="22"/>
        </w:rPr>
        <w:t> </w:t>
      </w:r>
      <w:r>
        <w:rPr>
          <w:spacing w:val="-2"/>
          <w:sz w:val="22"/>
        </w:rPr>
        <w:t>funding)</w:t>
      </w:r>
    </w:p>
    <w:p>
      <w:pPr>
        <w:pStyle w:val="ListParagraph"/>
        <w:numPr>
          <w:ilvl w:val="1"/>
          <w:numId w:val="24"/>
        </w:numPr>
        <w:tabs>
          <w:tab w:pos="1525" w:val="left" w:leader="none"/>
          <w:tab w:pos="1526" w:val="left" w:leader="none"/>
        </w:tabs>
        <w:spacing w:line="240" w:lineRule="auto" w:before="18" w:after="0"/>
        <w:ind w:left="1525" w:right="0" w:hanging="568"/>
        <w:jc w:val="left"/>
        <w:rPr>
          <w:sz w:val="22"/>
        </w:rPr>
      </w:pPr>
      <w:r>
        <w:rPr>
          <w:sz w:val="22"/>
        </w:rPr>
        <w:t>Staley</w:t>
      </w:r>
      <w:r>
        <w:rPr>
          <w:spacing w:val="-2"/>
          <w:sz w:val="22"/>
        </w:rPr>
        <w:t> </w:t>
      </w:r>
      <w:r>
        <w:rPr>
          <w:sz w:val="22"/>
        </w:rPr>
        <w:t>Gardens</w:t>
      </w:r>
      <w:r>
        <w:rPr>
          <w:spacing w:val="-6"/>
          <w:sz w:val="22"/>
        </w:rPr>
        <w:t> </w:t>
      </w:r>
      <w:r>
        <w:rPr>
          <w:sz w:val="22"/>
        </w:rPr>
        <w:t>(subject</w:t>
      </w:r>
      <w:r>
        <w:rPr>
          <w:spacing w:val="-3"/>
          <w:sz w:val="22"/>
        </w:rPr>
        <w:t> </w:t>
      </w:r>
      <w:r>
        <w:rPr>
          <w:sz w:val="22"/>
        </w:rPr>
        <w:t>to</w:t>
      </w:r>
      <w:r>
        <w:rPr>
          <w:spacing w:val="-5"/>
          <w:sz w:val="22"/>
        </w:rPr>
        <w:t> </w:t>
      </w:r>
      <w:r>
        <w:rPr>
          <w:spacing w:val="-2"/>
          <w:sz w:val="22"/>
        </w:rPr>
        <w:t>funding).</w:t>
      </w:r>
    </w:p>
    <w:p>
      <w:pPr>
        <w:pStyle w:val="ListParagraph"/>
        <w:numPr>
          <w:ilvl w:val="0"/>
          <w:numId w:val="24"/>
        </w:numPr>
        <w:tabs>
          <w:tab w:pos="959" w:val="left" w:leader="none"/>
          <w:tab w:pos="960" w:val="left" w:leader="none"/>
        </w:tabs>
        <w:spacing w:line="276" w:lineRule="auto" w:before="20" w:after="0"/>
        <w:ind w:left="958" w:right="401" w:hanging="567"/>
        <w:jc w:val="left"/>
        <w:rPr>
          <w:sz w:val="22"/>
        </w:rPr>
      </w:pPr>
      <w:r>
        <w:rPr>
          <w:sz w:val="22"/>
        </w:rPr>
        <w:t>Work in partnership with the Victorian Government to implement the objectives of Victoria’s Housing Statement for the Ringwood Metropolitan Activity Centre.</w:t>
      </w:r>
    </w:p>
    <w:p>
      <w:pPr>
        <w:pStyle w:val="ListParagraph"/>
        <w:numPr>
          <w:ilvl w:val="0"/>
          <w:numId w:val="24"/>
        </w:numPr>
        <w:tabs>
          <w:tab w:pos="959" w:val="left" w:leader="none"/>
          <w:tab w:pos="960" w:val="left" w:leader="none"/>
        </w:tabs>
        <w:spacing w:line="252" w:lineRule="exact" w:before="0" w:after="0"/>
        <w:ind w:left="959" w:right="0" w:hanging="569"/>
        <w:jc w:val="left"/>
        <w:rPr>
          <w:sz w:val="22"/>
        </w:rPr>
      </w:pPr>
      <w:r>
        <w:rPr>
          <w:sz w:val="22"/>
        </w:rPr>
        <w:t>Develop</w:t>
      </w:r>
      <w:r>
        <w:rPr>
          <w:spacing w:val="-6"/>
          <w:sz w:val="22"/>
        </w:rPr>
        <w:t> </w:t>
      </w:r>
      <w:r>
        <w:rPr>
          <w:sz w:val="22"/>
        </w:rPr>
        <w:t>and</w:t>
      </w:r>
      <w:r>
        <w:rPr>
          <w:spacing w:val="-2"/>
          <w:sz w:val="22"/>
        </w:rPr>
        <w:t> </w:t>
      </w:r>
      <w:r>
        <w:rPr>
          <w:sz w:val="22"/>
        </w:rPr>
        <w:t>implement</w:t>
      </w:r>
      <w:r>
        <w:rPr>
          <w:spacing w:val="-4"/>
          <w:sz w:val="22"/>
        </w:rPr>
        <w:t> </w:t>
      </w:r>
      <w:r>
        <w:rPr>
          <w:sz w:val="22"/>
        </w:rPr>
        <w:t>masterplans</w:t>
      </w:r>
      <w:r>
        <w:rPr>
          <w:spacing w:val="-6"/>
          <w:sz w:val="22"/>
        </w:rPr>
        <w:t> </w:t>
      </w:r>
      <w:r>
        <w:rPr>
          <w:sz w:val="22"/>
        </w:rPr>
        <w:t>for</w:t>
      </w:r>
      <w:r>
        <w:rPr>
          <w:spacing w:val="-4"/>
          <w:sz w:val="22"/>
        </w:rPr>
        <w:t> </w:t>
      </w:r>
      <w:r>
        <w:rPr>
          <w:sz w:val="22"/>
        </w:rPr>
        <w:t>the</w:t>
      </w:r>
      <w:r>
        <w:rPr>
          <w:spacing w:val="-6"/>
          <w:sz w:val="22"/>
        </w:rPr>
        <w:t> </w:t>
      </w:r>
      <w:r>
        <w:rPr>
          <w:sz w:val="22"/>
        </w:rPr>
        <w:t>Croydon</w:t>
      </w:r>
      <w:r>
        <w:rPr>
          <w:spacing w:val="-3"/>
          <w:sz w:val="22"/>
        </w:rPr>
        <w:t> </w:t>
      </w:r>
      <w:r>
        <w:rPr>
          <w:sz w:val="22"/>
        </w:rPr>
        <w:t>and</w:t>
      </w:r>
      <w:r>
        <w:rPr>
          <w:spacing w:val="-4"/>
          <w:sz w:val="22"/>
        </w:rPr>
        <w:t> </w:t>
      </w:r>
      <w:r>
        <w:rPr>
          <w:sz w:val="22"/>
        </w:rPr>
        <w:t>Ringwood</w:t>
      </w:r>
      <w:r>
        <w:rPr>
          <w:spacing w:val="-3"/>
          <w:sz w:val="22"/>
        </w:rPr>
        <w:t> </w:t>
      </w:r>
      <w:r>
        <w:rPr>
          <w:sz w:val="22"/>
        </w:rPr>
        <w:t>East</w:t>
      </w:r>
      <w:r>
        <w:rPr>
          <w:spacing w:val="-3"/>
          <w:sz w:val="22"/>
        </w:rPr>
        <w:t> </w:t>
      </w:r>
      <w:r>
        <w:rPr>
          <w:sz w:val="22"/>
        </w:rPr>
        <w:t>activity</w:t>
      </w:r>
      <w:r>
        <w:rPr>
          <w:spacing w:val="-6"/>
          <w:sz w:val="22"/>
        </w:rPr>
        <w:t> </w:t>
      </w:r>
      <w:r>
        <w:rPr>
          <w:spacing w:val="-2"/>
          <w:sz w:val="22"/>
        </w:rPr>
        <w:t>centres.</w:t>
      </w:r>
    </w:p>
    <w:p>
      <w:pPr>
        <w:pStyle w:val="ListParagraph"/>
        <w:numPr>
          <w:ilvl w:val="0"/>
          <w:numId w:val="24"/>
        </w:numPr>
        <w:tabs>
          <w:tab w:pos="959" w:val="left" w:leader="none"/>
          <w:tab w:pos="960" w:val="left" w:leader="none"/>
        </w:tabs>
        <w:spacing w:line="240" w:lineRule="auto" w:before="38" w:after="0"/>
        <w:ind w:left="959" w:right="0" w:hanging="569"/>
        <w:jc w:val="left"/>
        <w:rPr>
          <w:sz w:val="22"/>
        </w:rPr>
      </w:pPr>
      <w:r>
        <w:rPr>
          <w:sz w:val="22"/>
        </w:rPr>
        <w:t>Work</w:t>
      </w:r>
      <w:r>
        <w:rPr>
          <w:spacing w:val="-6"/>
          <w:sz w:val="22"/>
        </w:rPr>
        <w:t> </w:t>
      </w:r>
      <w:r>
        <w:rPr>
          <w:sz w:val="22"/>
        </w:rPr>
        <w:t>in</w:t>
      </w:r>
      <w:r>
        <w:rPr>
          <w:spacing w:val="-4"/>
          <w:sz w:val="22"/>
        </w:rPr>
        <w:t> </w:t>
      </w:r>
      <w:r>
        <w:rPr>
          <w:sz w:val="22"/>
        </w:rPr>
        <w:t>partnership</w:t>
      </w:r>
      <w:r>
        <w:rPr>
          <w:spacing w:val="-6"/>
          <w:sz w:val="22"/>
        </w:rPr>
        <w:t> </w:t>
      </w:r>
      <w:r>
        <w:rPr>
          <w:sz w:val="22"/>
        </w:rPr>
        <w:t>to</w:t>
      </w:r>
      <w:r>
        <w:rPr>
          <w:spacing w:val="-8"/>
          <w:sz w:val="22"/>
        </w:rPr>
        <w:t> </w:t>
      </w:r>
      <w:r>
        <w:rPr>
          <w:sz w:val="22"/>
        </w:rPr>
        <w:t>implement</w:t>
      </w:r>
      <w:r>
        <w:rPr>
          <w:spacing w:val="-3"/>
          <w:sz w:val="22"/>
        </w:rPr>
        <w:t> </w:t>
      </w:r>
      <w:r>
        <w:rPr>
          <w:sz w:val="22"/>
        </w:rPr>
        <w:t>road</w:t>
      </w:r>
      <w:r>
        <w:rPr>
          <w:spacing w:val="-2"/>
          <w:sz w:val="22"/>
        </w:rPr>
        <w:t> </w:t>
      </w:r>
      <w:r>
        <w:rPr>
          <w:sz w:val="22"/>
        </w:rPr>
        <w:t>improvement</w:t>
      </w:r>
      <w:r>
        <w:rPr>
          <w:spacing w:val="-2"/>
          <w:sz w:val="22"/>
        </w:rPr>
        <w:t> </w:t>
      </w:r>
      <w:r>
        <w:rPr>
          <w:sz w:val="22"/>
        </w:rPr>
        <w:t>works</w:t>
      </w:r>
      <w:r>
        <w:rPr>
          <w:spacing w:val="-4"/>
          <w:sz w:val="22"/>
        </w:rPr>
        <w:t> </w:t>
      </w:r>
      <w:r>
        <w:rPr>
          <w:spacing w:val="-5"/>
          <w:sz w:val="22"/>
        </w:rPr>
        <w:t>at:</w:t>
      </w:r>
    </w:p>
    <w:p>
      <w:pPr>
        <w:pStyle w:val="ListParagraph"/>
        <w:numPr>
          <w:ilvl w:val="1"/>
          <w:numId w:val="24"/>
        </w:numPr>
        <w:tabs>
          <w:tab w:pos="1525" w:val="left" w:leader="none"/>
          <w:tab w:pos="1526" w:val="left" w:leader="none"/>
        </w:tabs>
        <w:spacing w:line="240" w:lineRule="auto" w:before="37" w:after="0"/>
        <w:ind w:left="1525" w:right="0" w:hanging="568"/>
        <w:jc w:val="left"/>
        <w:rPr>
          <w:sz w:val="22"/>
        </w:rPr>
      </w:pPr>
      <w:r>
        <w:rPr>
          <w:sz w:val="22"/>
        </w:rPr>
        <w:t>Eastfield</w:t>
      </w:r>
      <w:r>
        <w:rPr>
          <w:spacing w:val="-6"/>
          <w:sz w:val="22"/>
        </w:rPr>
        <w:t> </w:t>
      </w:r>
      <w:r>
        <w:rPr>
          <w:sz w:val="22"/>
        </w:rPr>
        <w:t>Road,</w:t>
      </w:r>
      <w:r>
        <w:rPr>
          <w:spacing w:val="-3"/>
          <w:sz w:val="22"/>
        </w:rPr>
        <w:t> </w:t>
      </w:r>
      <w:r>
        <w:rPr>
          <w:sz w:val="22"/>
        </w:rPr>
        <w:t>Railway</w:t>
      </w:r>
      <w:r>
        <w:rPr>
          <w:spacing w:val="-3"/>
          <w:sz w:val="22"/>
        </w:rPr>
        <w:t> </w:t>
      </w:r>
      <w:r>
        <w:rPr>
          <w:sz w:val="22"/>
        </w:rPr>
        <w:t>Avenue</w:t>
      </w:r>
      <w:r>
        <w:rPr>
          <w:spacing w:val="-3"/>
          <w:sz w:val="22"/>
        </w:rPr>
        <w:t> </w:t>
      </w:r>
      <w:r>
        <w:rPr>
          <w:sz w:val="22"/>
        </w:rPr>
        <w:t>and</w:t>
      </w:r>
      <w:r>
        <w:rPr>
          <w:spacing w:val="-5"/>
          <w:sz w:val="22"/>
        </w:rPr>
        <w:t> </w:t>
      </w:r>
      <w:r>
        <w:rPr>
          <w:sz w:val="22"/>
        </w:rPr>
        <w:t>Morinda</w:t>
      </w:r>
      <w:r>
        <w:rPr>
          <w:spacing w:val="-5"/>
          <w:sz w:val="22"/>
        </w:rPr>
        <w:t> </w:t>
      </w:r>
      <w:r>
        <w:rPr>
          <w:sz w:val="22"/>
        </w:rPr>
        <w:t>Street,</w:t>
      </w:r>
      <w:r>
        <w:rPr>
          <w:spacing w:val="-4"/>
          <w:sz w:val="22"/>
        </w:rPr>
        <w:t> </w:t>
      </w:r>
      <w:r>
        <w:rPr>
          <w:sz w:val="22"/>
        </w:rPr>
        <w:t>Ringwood</w:t>
      </w:r>
      <w:r>
        <w:rPr>
          <w:spacing w:val="-3"/>
          <w:sz w:val="22"/>
        </w:rPr>
        <w:t> </w:t>
      </w:r>
      <w:r>
        <w:rPr>
          <w:spacing w:val="-4"/>
          <w:sz w:val="22"/>
        </w:rPr>
        <w:t>East</w:t>
      </w:r>
    </w:p>
    <w:p>
      <w:pPr>
        <w:pStyle w:val="ListParagraph"/>
        <w:numPr>
          <w:ilvl w:val="1"/>
          <w:numId w:val="24"/>
        </w:numPr>
        <w:tabs>
          <w:tab w:pos="1525" w:val="left" w:leader="none"/>
          <w:tab w:pos="1526" w:val="left" w:leader="none"/>
        </w:tabs>
        <w:spacing w:line="240" w:lineRule="auto" w:before="21" w:after="0"/>
        <w:ind w:left="1525" w:right="0" w:hanging="568"/>
        <w:jc w:val="left"/>
        <w:rPr>
          <w:sz w:val="22"/>
        </w:rPr>
      </w:pPr>
      <w:r>
        <w:rPr>
          <w:sz w:val="22"/>
        </w:rPr>
        <w:t>Holloway</w:t>
      </w:r>
      <w:r>
        <w:rPr>
          <w:spacing w:val="-5"/>
          <w:sz w:val="22"/>
        </w:rPr>
        <w:t> </w:t>
      </w:r>
      <w:r>
        <w:rPr>
          <w:sz w:val="22"/>
        </w:rPr>
        <w:t>Road,</w:t>
      </w:r>
      <w:r>
        <w:rPr>
          <w:spacing w:val="-2"/>
          <w:sz w:val="22"/>
        </w:rPr>
        <w:t> </w:t>
      </w:r>
      <w:r>
        <w:rPr>
          <w:sz w:val="22"/>
        </w:rPr>
        <w:t>Croydon</w:t>
      </w:r>
      <w:r>
        <w:rPr>
          <w:spacing w:val="-5"/>
          <w:sz w:val="22"/>
        </w:rPr>
        <w:t> </w:t>
      </w:r>
      <w:r>
        <w:rPr>
          <w:spacing w:val="-4"/>
          <w:sz w:val="22"/>
        </w:rPr>
        <w:t>North</w:t>
      </w:r>
    </w:p>
    <w:p>
      <w:pPr>
        <w:pStyle w:val="ListParagraph"/>
        <w:numPr>
          <w:ilvl w:val="1"/>
          <w:numId w:val="24"/>
        </w:numPr>
        <w:tabs>
          <w:tab w:pos="1525" w:val="left" w:leader="none"/>
          <w:tab w:pos="1526" w:val="left" w:leader="none"/>
        </w:tabs>
        <w:spacing w:line="240" w:lineRule="auto" w:before="18" w:after="0"/>
        <w:ind w:left="1525" w:right="0" w:hanging="568"/>
        <w:jc w:val="left"/>
        <w:rPr>
          <w:sz w:val="22"/>
        </w:rPr>
      </w:pPr>
      <w:r>
        <w:rPr>
          <w:sz w:val="22"/>
        </w:rPr>
        <w:t>Glenvale</w:t>
      </w:r>
      <w:r>
        <w:rPr>
          <w:spacing w:val="-5"/>
          <w:sz w:val="22"/>
        </w:rPr>
        <w:t> </w:t>
      </w:r>
      <w:r>
        <w:rPr>
          <w:sz w:val="22"/>
        </w:rPr>
        <w:t>Road,</w:t>
      </w:r>
      <w:r>
        <w:rPr>
          <w:spacing w:val="-4"/>
          <w:sz w:val="22"/>
        </w:rPr>
        <w:t> </w:t>
      </w:r>
      <w:r>
        <w:rPr>
          <w:sz w:val="22"/>
        </w:rPr>
        <w:t>Ringwood</w:t>
      </w:r>
      <w:r>
        <w:rPr>
          <w:spacing w:val="-4"/>
          <w:sz w:val="22"/>
        </w:rPr>
        <w:t> </w:t>
      </w:r>
      <w:r>
        <w:rPr>
          <w:spacing w:val="-2"/>
          <w:sz w:val="22"/>
        </w:rPr>
        <w:t>North.</w:t>
      </w:r>
    </w:p>
    <w:p>
      <w:pPr>
        <w:pStyle w:val="ListParagraph"/>
        <w:numPr>
          <w:ilvl w:val="0"/>
          <w:numId w:val="24"/>
        </w:numPr>
        <w:tabs>
          <w:tab w:pos="959" w:val="left" w:leader="none"/>
          <w:tab w:pos="960" w:val="left" w:leader="none"/>
        </w:tabs>
        <w:spacing w:line="240" w:lineRule="auto" w:before="17" w:after="0"/>
        <w:ind w:left="959" w:right="0" w:hanging="569"/>
        <w:jc w:val="left"/>
        <w:rPr>
          <w:sz w:val="22"/>
        </w:rPr>
      </w:pPr>
      <w:r>
        <w:rPr>
          <w:sz w:val="22"/>
        </w:rPr>
        <w:t>Implement</w:t>
      </w:r>
      <w:r>
        <w:rPr>
          <w:spacing w:val="-9"/>
          <w:sz w:val="22"/>
        </w:rPr>
        <w:t> </w:t>
      </w:r>
      <w:r>
        <w:rPr>
          <w:sz w:val="22"/>
        </w:rPr>
        <w:t>technological</w:t>
      </w:r>
      <w:r>
        <w:rPr>
          <w:spacing w:val="-7"/>
          <w:sz w:val="22"/>
        </w:rPr>
        <w:t> </w:t>
      </w:r>
      <w:r>
        <w:rPr>
          <w:sz w:val="22"/>
        </w:rPr>
        <w:t>advancements</w:t>
      </w:r>
      <w:r>
        <w:rPr>
          <w:spacing w:val="-7"/>
          <w:sz w:val="22"/>
        </w:rPr>
        <w:t> </w:t>
      </w:r>
      <w:r>
        <w:rPr>
          <w:sz w:val="22"/>
        </w:rPr>
        <w:t>for</w:t>
      </w:r>
      <w:r>
        <w:rPr>
          <w:spacing w:val="-4"/>
          <w:sz w:val="22"/>
        </w:rPr>
        <w:t> </w:t>
      </w:r>
      <w:r>
        <w:rPr>
          <w:sz w:val="22"/>
        </w:rPr>
        <w:t>car</w:t>
      </w:r>
      <w:r>
        <w:rPr>
          <w:spacing w:val="-5"/>
          <w:sz w:val="22"/>
        </w:rPr>
        <w:t> </w:t>
      </w:r>
      <w:r>
        <w:rPr>
          <w:sz w:val="22"/>
        </w:rPr>
        <w:t>parking</w:t>
      </w:r>
      <w:r>
        <w:rPr>
          <w:spacing w:val="-5"/>
          <w:sz w:val="22"/>
        </w:rPr>
        <w:t> </w:t>
      </w:r>
      <w:r>
        <w:rPr>
          <w:sz w:val="22"/>
        </w:rPr>
        <w:t>management</w:t>
      </w:r>
      <w:r>
        <w:rPr>
          <w:spacing w:val="-3"/>
          <w:sz w:val="22"/>
        </w:rPr>
        <w:t> </w:t>
      </w:r>
      <w:r>
        <w:rPr>
          <w:sz w:val="22"/>
        </w:rPr>
        <w:t>within</w:t>
      </w:r>
      <w:r>
        <w:rPr>
          <w:spacing w:val="-8"/>
          <w:sz w:val="22"/>
        </w:rPr>
        <w:t> </w:t>
      </w:r>
      <w:r>
        <w:rPr>
          <w:spacing w:val="-2"/>
          <w:sz w:val="22"/>
        </w:rPr>
        <w:t>Maroondah.</w:t>
      </w:r>
    </w:p>
    <w:p>
      <w:pPr>
        <w:pStyle w:val="ListParagraph"/>
        <w:numPr>
          <w:ilvl w:val="0"/>
          <w:numId w:val="24"/>
        </w:numPr>
        <w:tabs>
          <w:tab w:pos="959" w:val="left" w:leader="none"/>
          <w:tab w:pos="960" w:val="left" w:leader="none"/>
        </w:tabs>
        <w:spacing w:line="278" w:lineRule="auto" w:before="38" w:after="0"/>
        <w:ind w:left="958" w:right="401" w:hanging="567"/>
        <w:jc w:val="left"/>
        <w:rPr>
          <w:sz w:val="22"/>
        </w:rPr>
      </w:pPr>
      <w:r>
        <w:rPr>
          <w:sz w:val="22"/>
        </w:rPr>
        <w:t>Undertake footpath construction in the Principal Pedestrian Network and progress the renewal of the Mullum Mullum Creek shared trail.</w:t>
      </w:r>
    </w:p>
    <w:p>
      <w:pPr>
        <w:pStyle w:val="ListParagraph"/>
        <w:numPr>
          <w:ilvl w:val="0"/>
          <w:numId w:val="24"/>
        </w:numPr>
        <w:tabs>
          <w:tab w:pos="959" w:val="left" w:leader="none"/>
          <w:tab w:pos="960" w:val="left" w:leader="none"/>
        </w:tabs>
        <w:spacing w:line="276" w:lineRule="auto" w:before="0" w:after="0"/>
        <w:ind w:left="958" w:right="404" w:hanging="567"/>
        <w:jc w:val="left"/>
        <w:rPr>
          <w:sz w:val="22"/>
        </w:rPr>
      </w:pPr>
      <w:r>
        <w:rPr>
          <w:sz w:val="22"/>
        </w:rPr>
        <w:t>Advocate</w:t>
      </w:r>
      <w:r>
        <w:rPr>
          <w:spacing w:val="64"/>
          <w:sz w:val="22"/>
        </w:rPr>
        <w:t> </w:t>
      </w:r>
      <w:r>
        <w:rPr>
          <w:sz w:val="22"/>
        </w:rPr>
        <w:t>to</w:t>
      </w:r>
      <w:r>
        <w:rPr>
          <w:spacing w:val="64"/>
          <w:sz w:val="22"/>
        </w:rPr>
        <w:t> </w:t>
      </w:r>
      <w:r>
        <w:rPr>
          <w:sz w:val="22"/>
        </w:rPr>
        <w:t>the</w:t>
      </w:r>
      <w:r>
        <w:rPr>
          <w:spacing w:val="63"/>
          <w:sz w:val="22"/>
        </w:rPr>
        <w:t> </w:t>
      </w:r>
      <w:r>
        <w:rPr>
          <w:sz w:val="22"/>
        </w:rPr>
        <w:t>Australian</w:t>
      </w:r>
      <w:r>
        <w:rPr>
          <w:spacing w:val="65"/>
          <w:sz w:val="22"/>
        </w:rPr>
        <w:t> </w:t>
      </w:r>
      <w:r>
        <w:rPr>
          <w:sz w:val="22"/>
        </w:rPr>
        <w:t>and</w:t>
      </w:r>
      <w:r>
        <w:rPr>
          <w:spacing w:val="67"/>
          <w:sz w:val="22"/>
        </w:rPr>
        <w:t> </w:t>
      </w:r>
      <w:r>
        <w:rPr>
          <w:sz w:val="22"/>
        </w:rPr>
        <w:t>Victorian</w:t>
      </w:r>
      <w:r>
        <w:rPr>
          <w:spacing w:val="64"/>
          <w:sz w:val="22"/>
        </w:rPr>
        <w:t> </w:t>
      </w:r>
      <w:r>
        <w:rPr>
          <w:sz w:val="22"/>
        </w:rPr>
        <w:t>Governments</w:t>
      </w:r>
      <w:r>
        <w:rPr>
          <w:spacing w:val="40"/>
          <w:sz w:val="22"/>
        </w:rPr>
        <w:t> </w:t>
      </w:r>
      <w:r>
        <w:rPr>
          <w:sz w:val="22"/>
        </w:rPr>
        <w:t>for</w:t>
      </w:r>
      <w:r>
        <w:rPr>
          <w:spacing w:val="40"/>
          <w:sz w:val="22"/>
        </w:rPr>
        <w:t> </w:t>
      </w:r>
      <w:r>
        <w:rPr>
          <w:sz w:val="22"/>
        </w:rPr>
        <w:t>the</w:t>
      </w:r>
      <w:r>
        <w:rPr>
          <w:spacing w:val="65"/>
          <w:sz w:val="22"/>
        </w:rPr>
        <w:t> </w:t>
      </w:r>
      <w:r>
        <w:rPr>
          <w:sz w:val="22"/>
        </w:rPr>
        <w:t>provision</w:t>
      </w:r>
      <w:r>
        <w:rPr>
          <w:spacing w:val="67"/>
          <w:sz w:val="22"/>
        </w:rPr>
        <w:t> </w:t>
      </w:r>
      <w:r>
        <w:rPr>
          <w:sz w:val="22"/>
        </w:rPr>
        <w:t>of</w:t>
      </w:r>
      <w:r>
        <w:rPr>
          <w:spacing w:val="67"/>
          <w:sz w:val="22"/>
        </w:rPr>
        <w:t> </w:t>
      </w:r>
      <w:r>
        <w:rPr>
          <w:sz w:val="22"/>
        </w:rPr>
        <w:t>new</w:t>
      </w:r>
      <w:r>
        <w:rPr>
          <w:spacing w:val="40"/>
          <w:sz w:val="22"/>
        </w:rPr>
        <w:t> </w:t>
      </w:r>
      <w:r>
        <w:rPr>
          <w:sz w:val="22"/>
        </w:rPr>
        <w:t>and</w:t>
      </w:r>
      <w:r>
        <w:rPr>
          <w:spacing w:val="65"/>
          <w:sz w:val="22"/>
        </w:rPr>
        <w:t> </w:t>
      </w:r>
      <w:r>
        <w:rPr>
          <w:sz w:val="22"/>
        </w:rPr>
        <w:t>upgraded transportation infrastructure in Maroondah.</w:t>
      </w:r>
    </w:p>
    <w:p>
      <w:pPr>
        <w:spacing w:after="0" w:line="276" w:lineRule="auto"/>
        <w:jc w:val="left"/>
        <w:rPr>
          <w:sz w:val="22"/>
        </w:rPr>
        <w:sectPr>
          <w:pgSz w:w="11910" w:h="16840"/>
          <w:pgMar w:header="0" w:footer="375" w:top="540" w:bottom="560" w:left="460" w:right="160"/>
        </w:sectPr>
      </w:pPr>
    </w:p>
    <w:p>
      <w:pPr>
        <w:spacing w:before="70"/>
        <w:ind w:left="391" w:right="0" w:firstLine="0"/>
        <w:jc w:val="left"/>
        <w:rPr>
          <w:b/>
          <w:sz w:val="22"/>
        </w:rPr>
      </w:pPr>
      <w:r>
        <w:rPr>
          <w:b/>
          <w:sz w:val="22"/>
        </w:rPr>
        <w:t>Service</w:t>
      </w:r>
      <w:r>
        <w:rPr>
          <w:b/>
          <w:spacing w:val="-4"/>
          <w:sz w:val="22"/>
        </w:rPr>
        <w:t> </w:t>
      </w:r>
      <w:r>
        <w:rPr>
          <w:b/>
          <w:sz w:val="22"/>
        </w:rPr>
        <w:t>Performance</w:t>
      </w:r>
      <w:r>
        <w:rPr>
          <w:b/>
          <w:spacing w:val="-7"/>
          <w:sz w:val="22"/>
        </w:rPr>
        <w:t> </w:t>
      </w:r>
      <w:r>
        <w:rPr>
          <w:b/>
          <w:sz w:val="22"/>
        </w:rPr>
        <w:t>Outcome</w:t>
      </w:r>
      <w:r>
        <w:rPr>
          <w:b/>
          <w:spacing w:val="-7"/>
          <w:sz w:val="22"/>
        </w:rPr>
        <w:t> </w:t>
      </w:r>
      <w:r>
        <w:rPr>
          <w:b/>
          <w:spacing w:val="-2"/>
          <w:sz w:val="22"/>
        </w:rPr>
        <w:t>Indicators</w:t>
      </w:r>
    </w:p>
    <w:p>
      <w:pPr>
        <w:pStyle w:val="BodyText"/>
        <w:spacing w:before="9" w:after="1"/>
        <w:rPr>
          <w:b/>
          <w:sz w:val="21"/>
        </w:rPr>
      </w:pPr>
    </w:p>
    <w:tbl>
      <w:tblPr>
        <w:tblW w:w="0" w:type="auto"/>
        <w:jc w:val="left"/>
        <w:tblInd w:w="4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774"/>
        <w:gridCol w:w="1671"/>
        <w:gridCol w:w="3538"/>
        <w:gridCol w:w="3478"/>
      </w:tblGrid>
      <w:tr>
        <w:trPr>
          <w:trHeight w:val="501" w:hRule="atLeast"/>
        </w:trPr>
        <w:tc>
          <w:tcPr>
            <w:tcW w:w="1774" w:type="dxa"/>
            <w:tcBorders>
              <w:left w:val="single" w:sz="12" w:space="0" w:color="000000"/>
              <w:bottom w:val="single" w:sz="4" w:space="0" w:color="000000"/>
              <w:right w:val="single" w:sz="4" w:space="0" w:color="000000"/>
            </w:tcBorders>
            <w:shd w:val="clear" w:color="auto" w:fill="629CD1"/>
          </w:tcPr>
          <w:p>
            <w:pPr>
              <w:pStyle w:val="TableParagraph"/>
              <w:spacing w:before="132"/>
              <w:ind w:left="527"/>
              <w:rPr>
                <w:b/>
                <w:sz w:val="20"/>
              </w:rPr>
            </w:pPr>
            <w:r>
              <w:rPr>
                <w:b/>
                <w:spacing w:val="-2"/>
                <w:sz w:val="20"/>
              </w:rPr>
              <w:t>Service</w:t>
            </w:r>
          </w:p>
        </w:tc>
        <w:tc>
          <w:tcPr>
            <w:tcW w:w="1671" w:type="dxa"/>
            <w:tcBorders>
              <w:left w:val="single" w:sz="4" w:space="0" w:color="000000"/>
              <w:bottom w:val="single" w:sz="4" w:space="0" w:color="000000"/>
              <w:right w:val="single" w:sz="4" w:space="0" w:color="000000"/>
            </w:tcBorders>
            <w:shd w:val="clear" w:color="auto" w:fill="629CD1"/>
          </w:tcPr>
          <w:p>
            <w:pPr>
              <w:pStyle w:val="TableParagraph"/>
              <w:spacing w:before="132"/>
              <w:ind w:left="419"/>
              <w:rPr>
                <w:b/>
                <w:sz w:val="20"/>
              </w:rPr>
            </w:pPr>
            <w:r>
              <w:rPr>
                <w:b/>
                <w:spacing w:val="-2"/>
                <w:sz w:val="20"/>
              </w:rPr>
              <w:t>Indicator</w:t>
            </w:r>
          </w:p>
        </w:tc>
        <w:tc>
          <w:tcPr>
            <w:tcW w:w="3538" w:type="dxa"/>
            <w:tcBorders>
              <w:left w:val="single" w:sz="4" w:space="0" w:color="000000"/>
              <w:bottom w:val="single" w:sz="4" w:space="0" w:color="000000"/>
              <w:right w:val="single" w:sz="4" w:space="0" w:color="000000"/>
            </w:tcBorders>
            <w:shd w:val="clear" w:color="auto" w:fill="629CD1"/>
          </w:tcPr>
          <w:p>
            <w:pPr>
              <w:pStyle w:val="TableParagraph"/>
              <w:spacing w:before="132"/>
              <w:ind w:left="728"/>
              <w:rPr>
                <w:b/>
                <w:sz w:val="20"/>
              </w:rPr>
            </w:pPr>
            <w:r>
              <w:rPr>
                <w:b/>
                <w:w w:val="95"/>
                <w:sz w:val="20"/>
              </w:rPr>
              <w:t>Performance</w:t>
            </w:r>
            <w:r>
              <w:rPr>
                <w:b/>
                <w:spacing w:val="47"/>
                <w:sz w:val="20"/>
              </w:rPr>
              <w:t> </w:t>
            </w:r>
            <w:r>
              <w:rPr>
                <w:b/>
                <w:spacing w:val="-2"/>
                <w:sz w:val="20"/>
              </w:rPr>
              <w:t>Measure</w:t>
            </w:r>
          </w:p>
        </w:tc>
        <w:tc>
          <w:tcPr>
            <w:tcW w:w="3478" w:type="dxa"/>
            <w:tcBorders>
              <w:left w:val="single" w:sz="4" w:space="0" w:color="000000"/>
              <w:bottom w:val="single" w:sz="4" w:space="0" w:color="000000"/>
              <w:right w:val="single" w:sz="12" w:space="0" w:color="000000"/>
            </w:tcBorders>
            <w:shd w:val="clear" w:color="auto" w:fill="629CD1"/>
          </w:tcPr>
          <w:p>
            <w:pPr>
              <w:pStyle w:val="TableParagraph"/>
              <w:spacing w:before="132"/>
              <w:ind w:left="1118"/>
              <w:rPr>
                <w:b/>
                <w:sz w:val="20"/>
              </w:rPr>
            </w:pPr>
            <w:r>
              <w:rPr>
                <w:b/>
                <w:spacing w:val="-2"/>
                <w:sz w:val="20"/>
              </w:rPr>
              <w:t>Computation</w:t>
            </w:r>
          </w:p>
        </w:tc>
      </w:tr>
      <w:tr>
        <w:trPr>
          <w:trHeight w:val="921" w:hRule="atLeast"/>
        </w:trPr>
        <w:tc>
          <w:tcPr>
            <w:tcW w:w="1774" w:type="dxa"/>
            <w:tcBorders>
              <w:top w:val="single" w:sz="4" w:space="0" w:color="000000"/>
              <w:left w:val="single" w:sz="12" w:space="0" w:color="000000"/>
              <w:bottom w:val="single" w:sz="4" w:space="0" w:color="000000"/>
              <w:right w:val="single" w:sz="4" w:space="0" w:color="000000"/>
            </w:tcBorders>
          </w:tcPr>
          <w:p>
            <w:pPr>
              <w:pStyle w:val="TableParagraph"/>
              <w:ind w:left="107"/>
              <w:rPr>
                <w:sz w:val="20"/>
              </w:rPr>
            </w:pPr>
            <w:r>
              <w:rPr>
                <w:spacing w:val="-2"/>
                <w:sz w:val="20"/>
              </w:rPr>
              <w:t>Animal Management</w:t>
            </w:r>
          </w:p>
        </w:tc>
        <w:tc>
          <w:tcPr>
            <w:tcW w:w="1671" w:type="dxa"/>
            <w:tcBorders>
              <w:top w:val="single" w:sz="4" w:space="0" w:color="000000"/>
              <w:left w:val="single" w:sz="4" w:space="0" w:color="000000"/>
              <w:bottom w:val="single" w:sz="4" w:space="0" w:color="000000"/>
              <w:right w:val="single" w:sz="4" w:space="0" w:color="000000"/>
            </w:tcBorders>
          </w:tcPr>
          <w:p>
            <w:pPr>
              <w:pStyle w:val="TableParagraph"/>
              <w:ind w:left="114" w:right="573"/>
              <w:rPr>
                <w:sz w:val="20"/>
              </w:rPr>
            </w:pPr>
            <w:r>
              <w:rPr>
                <w:sz w:val="20"/>
              </w:rPr>
              <w:t>Health</w:t>
            </w:r>
            <w:r>
              <w:rPr>
                <w:spacing w:val="-14"/>
                <w:sz w:val="20"/>
              </w:rPr>
              <w:t> </w:t>
            </w:r>
            <w:r>
              <w:rPr>
                <w:sz w:val="20"/>
              </w:rPr>
              <w:t>and </w:t>
            </w:r>
            <w:r>
              <w:rPr>
                <w:spacing w:val="-2"/>
                <w:sz w:val="20"/>
              </w:rPr>
              <w:t>safety</w:t>
            </w:r>
          </w:p>
        </w:tc>
        <w:tc>
          <w:tcPr>
            <w:tcW w:w="3538" w:type="dxa"/>
            <w:tcBorders>
              <w:top w:val="single" w:sz="4" w:space="0" w:color="000000"/>
              <w:left w:val="single" w:sz="4" w:space="0" w:color="000000"/>
              <w:bottom w:val="single" w:sz="4" w:space="0" w:color="000000"/>
              <w:right w:val="single" w:sz="4" w:space="0" w:color="000000"/>
            </w:tcBorders>
          </w:tcPr>
          <w:p>
            <w:pPr>
              <w:pStyle w:val="TableParagraph"/>
              <w:ind w:left="113"/>
              <w:rPr>
                <w:sz w:val="20"/>
              </w:rPr>
            </w:pPr>
            <w:r>
              <w:rPr>
                <w:sz w:val="20"/>
              </w:rPr>
              <w:t>Animal management prosecutions. (Percentage</w:t>
            </w:r>
            <w:r>
              <w:rPr>
                <w:spacing w:val="-14"/>
                <w:sz w:val="20"/>
              </w:rPr>
              <w:t> </w:t>
            </w:r>
            <w:r>
              <w:rPr>
                <w:sz w:val="20"/>
              </w:rPr>
              <w:t>of</w:t>
            </w:r>
            <w:r>
              <w:rPr>
                <w:spacing w:val="-14"/>
                <w:sz w:val="20"/>
              </w:rPr>
              <w:t> </w:t>
            </w:r>
            <w:r>
              <w:rPr>
                <w:sz w:val="20"/>
              </w:rPr>
              <w:t>animal</w:t>
            </w:r>
            <w:r>
              <w:rPr>
                <w:spacing w:val="-12"/>
                <w:sz w:val="20"/>
              </w:rPr>
              <w:t> </w:t>
            </w:r>
            <w:r>
              <w:rPr>
                <w:sz w:val="20"/>
              </w:rPr>
              <w:t>management prosecutions which are successful)</w:t>
            </w:r>
          </w:p>
        </w:tc>
        <w:tc>
          <w:tcPr>
            <w:tcW w:w="3478" w:type="dxa"/>
            <w:tcBorders>
              <w:top w:val="single" w:sz="4" w:space="0" w:color="000000"/>
              <w:left w:val="single" w:sz="4" w:space="0" w:color="000000"/>
              <w:bottom w:val="single" w:sz="4" w:space="0" w:color="000000"/>
              <w:right w:val="single" w:sz="12" w:space="0" w:color="000000"/>
            </w:tcBorders>
          </w:tcPr>
          <w:p>
            <w:pPr>
              <w:pStyle w:val="TableParagraph"/>
              <w:spacing w:line="230" w:lineRule="exact"/>
              <w:ind w:left="103" w:right="79"/>
              <w:jc w:val="both"/>
              <w:rPr>
                <w:sz w:val="20"/>
              </w:rPr>
            </w:pPr>
            <w:r>
              <w:rPr>
                <w:sz w:val="20"/>
              </w:rPr>
              <w:t>Number of successful </w:t>
            </w:r>
            <w:r>
              <w:rPr>
                <w:sz w:val="20"/>
              </w:rPr>
              <w:t>animal management prosecutions / Total number of animal management </w:t>
            </w:r>
            <w:r>
              <w:rPr>
                <w:spacing w:val="-2"/>
                <w:sz w:val="20"/>
              </w:rPr>
              <w:t>prosecutions</w:t>
            </w:r>
          </w:p>
        </w:tc>
      </w:tr>
      <w:tr>
        <w:trPr>
          <w:trHeight w:val="1379" w:hRule="atLeast"/>
        </w:trPr>
        <w:tc>
          <w:tcPr>
            <w:tcW w:w="1774" w:type="dxa"/>
            <w:tcBorders>
              <w:top w:val="single" w:sz="4" w:space="0" w:color="000000"/>
              <w:left w:val="single" w:sz="12" w:space="0" w:color="000000"/>
              <w:bottom w:val="single" w:sz="4" w:space="0" w:color="000000"/>
              <w:right w:val="single" w:sz="4" w:space="0" w:color="000000"/>
            </w:tcBorders>
          </w:tcPr>
          <w:p>
            <w:pPr>
              <w:pStyle w:val="TableParagraph"/>
              <w:ind w:left="107" w:right="122"/>
              <w:rPr>
                <w:sz w:val="20"/>
              </w:rPr>
            </w:pPr>
            <w:r>
              <w:rPr>
                <w:spacing w:val="-2"/>
                <w:sz w:val="20"/>
              </w:rPr>
              <w:t>Statutory Planning</w:t>
            </w:r>
          </w:p>
        </w:tc>
        <w:tc>
          <w:tcPr>
            <w:tcW w:w="1671" w:type="dxa"/>
            <w:tcBorders>
              <w:top w:val="single" w:sz="4" w:space="0" w:color="000000"/>
              <w:left w:val="single" w:sz="4" w:space="0" w:color="000000"/>
              <w:bottom w:val="single" w:sz="4" w:space="0" w:color="000000"/>
              <w:right w:val="single" w:sz="4" w:space="0" w:color="000000"/>
            </w:tcBorders>
          </w:tcPr>
          <w:p>
            <w:pPr>
              <w:pStyle w:val="TableParagraph"/>
              <w:ind w:left="114" w:right="764"/>
              <w:rPr>
                <w:sz w:val="20"/>
              </w:rPr>
            </w:pPr>
            <w:r>
              <w:rPr>
                <w:spacing w:val="-2"/>
                <w:sz w:val="20"/>
              </w:rPr>
              <w:t>Service standard</w:t>
            </w:r>
          </w:p>
        </w:tc>
        <w:tc>
          <w:tcPr>
            <w:tcW w:w="3538" w:type="dxa"/>
            <w:tcBorders>
              <w:top w:val="single" w:sz="4" w:space="0" w:color="000000"/>
              <w:left w:val="single" w:sz="4" w:space="0" w:color="000000"/>
              <w:bottom w:val="single" w:sz="4" w:space="0" w:color="000000"/>
              <w:right w:val="single" w:sz="4" w:space="0" w:color="000000"/>
            </w:tcBorders>
          </w:tcPr>
          <w:p>
            <w:pPr>
              <w:pStyle w:val="TableParagraph"/>
              <w:ind w:left="113"/>
              <w:rPr>
                <w:sz w:val="20"/>
              </w:rPr>
            </w:pPr>
            <w:r>
              <w:rPr>
                <w:sz w:val="20"/>
              </w:rPr>
              <w:t>Planning</w:t>
            </w:r>
            <w:r>
              <w:rPr>
                <w:spacing w:val="-13"/>
                <w:sz w:val="20"/>
              </w:rPr>
              <w:t> </w:t>
            </w:r>
            <w:r>
              <w:rPr>
                <w:sz w:val="20"/>
              </w:rPr>
              <w:t>applications</w:t>
            </w:r>
            <w:r>
              <w:rPr>
                <w:spacing w:val="-13"/>
                <w:sz w:val="20"/>
              </w:rPr>
              <w:t> </w:t>
            </w:r>
            <w:r>
              <w:rPr>
                <w:sz w:val="20"/>
              </w:rPr>
              <w:t>decided</w:t>
            </w:r>
            <w:r>
              <w:rPr>
                <w:spacing w:val="-14"/>
                <w:sz w:val="20"/>
              </w:rPr>
              <w:t> </w:t>
            </w:r>
            <w:r>
              <w:rPr>
                <w:sz w:val="20"/>
              </w:rPr>
              <w:t>within required timeframes (percentage of regular and VicSmart planning application decisions made within legislated timeframes)</w:t>
            </w:r>
          </w:p>
        </w:tc>
        <w:tc>
          <w:tcPr>
            <w:tcW w:w="3478" w:type="dxa"/>
            <w:tcBorders>
              <w:top w:val="single" w:sz="4" w:space="0" w:color="000000"/>
              <w:left w:val="single" w:sz="4" w:space="0" w:color="000000"/>
              <w:bottom w:val="single" w:sz="4" w:space="0" w:color="000000"/>
              <w:right w:val="single" w:sz="12" w:space="0" w:color="000000"/>
            </w:tcBorders>
          </w:tcPr>
          <w:p>
            <w:pPr>
              <w:pStyle w:val="TableParagraph"/>
              <w:ind w:left="103" w:right="79"/>
              <w:jc w:val="both"/>
              <w:rPr>
                <w:sz w:val="20"/>
              </w:rPr>
            </w:pPr>
            <w:r>
              <w:rPr>
                <w:sz w:val="20"/>
              </w:rPr>
              <w:t>[Number of planning application decisions made within 60 days </w:t>
            </w:r>
            <w:r>
              <w:rPr>
                <w:sz w:val="20"/>
              </w:rPr>
              <w:t>for regular permits and 10 days for VicSmart</w:t>
            </w:r>
            <w:r>
              <w:rPr>
                <w:spacing w:val="48"/>
                <w:sz w:val="20"/>
              </w:rPr>
              <w:t>  </w:t>
            </w:r>
            <w:r>
              <w:rPr>
                <w:sz w:val="20"/>
              </w:rPr>
              <w:t>permits</w:t>
            </w:r>
            <w:r>
              <w:rPr>
                <w:spacing w:val="49"/>
                <w:sz w:val="20"/>
              </w:rPr>
              <w:t>  </w:t>
            </w:r>
            <w:r>
              <w:rPr>
                <w:sz w:val="20"/>
              </w:rPr>
              <w:t>/</w:t>
            </w:r>
            <w:r>
              <w:rPr>
                <w:spacing w:val="49"/>
                <w:sz w:val="20"/>
              </w:rPr>
              <w:t>  </w:t>
            </w:r>
            <w:r>
              <w:rPr>
                <w:sz w:val="20"/>
              </w:rPr>
              <w:t>Number</w:t>
            </w:r>
            <w:r>
              <w:rPr>
                <w:spacing w:val="49"/>
                <w:sz w:val="20"/>
              </w:rPr>
              <w:t>  </w:t>
            </w:r>
            <w:r>
              <w:rPr>
                <w:spacing w:val="-5"/>
                <w:sz w:val="20"/>
              </w:rPr>
              <w:t>of</w:t>
            </w:r>
          </w:p>
          <w:p>
            <w:pPr>
              <w:pStyle w:val="TableParagraph"/>
              <w:spacing w:line="230" w:lineRule="exact"/>
              <w:ind w:left="103" w:right="80"/>
              <w:jc w:val="both"/>
              <w:rPr>
                <w:sz w:val="20"/>
              </w:rPr>
            </w:pPr>
            <w:r>
              <w:rPr>
                <w:sz w:val="20"/>
              </w:rPr>
              <w:t>planning</w:t>
            </w:r>
            <w:r>
              <w:rPr>
                <w:spacing w:val="-13"/>
                <w:sz w:val="20"/>
              </w:rPr>
              <w:t> </w:t>
            </w:r>
            <w:r>
              <w:rPr>
                <w:sz w:val="20"/>
              </w:rPr>
              <w:t>application</w:t>
            </w:r>
            <w:r>
              <w:rPr>
                <w:spacing w:val="-12"/>
                <w:sz w:val="20"/>
              </w:rPr>
              <w:t> </w:t>
            </w:r>
            <w:r>
              <w:rPr>
                <w:sz w:val="20"/>
              </w:rPr>
              <w:t>decisions</w:t>
            </w:r>
            <w:r>
              <w:rPr>
                <w:spacing w:val="-11"/>
                <w:sz w:val="20"/>
              </w:rPr>
              <w:t> </w:t>
            </w:r>
            <w:r>
              <w:rPr>
                <w:sz w:val="20"/>
              </w:rPr>
              <w:t>made] </w:t>
            </w:r>
            <w:r>
              <w:rPr>
                <w:spacing w:val="-4"/>
                <w:sz w:val="20"/>
              </w:rPr>
              <w:t>x100</w:t>
            </w:r>
          </w:p>
        </w:tc>
      </w:tr>
      <w:tr>
        <w:trPr>
          <w:trHeight w:val="1379" w:hRule="atLeast"/>
        </w:trPr>
        <w:tc>
          <w:tcPr>
            <w:tcW w:w="1774" w:type="dxa"/>
            <w:tcBorders>
              <w:top w:val="single" w:sz="4" w:space="0" w:color="000000"/>
              <w:left w:val="single" w:sz="12" w:space="0" w:color="000000"/>
              <w:bottom w:val="single" w:sz="12" w:space="0" w:color="000000"/>
              <w:right w:val="single" w:sz="4" w:space="0" w:color="000000"/>
            </w:tcBorders>
          </w:tcPr>
          <w:p>
            <w:pPr>
              <w:pStyle w:val="TableParagraph"/>
              <w:spacing w:line="229" w:lineRule="exact"/>
              <w:ind w:left="107"/>
              <w:rPr>
                <w:sz w:val="20"/>
              </w:rPr>
            </w:pPr>
            <w:r>
              <w:rPr>
                <w:spacing w:val="-2"/>
                <w:sz w:val="20"/>
              </w:rPr>
              <w:t>Roads</w:t>
            </w:r>
          </w:p>
        </w:tc>
        <w:tc>
          <w:tcPr>
            <w:tcW w:w="1671" w:type="dxa"/>
            <w:tcBorders>
              <w:top w:val="single" w:sz="4" w:space="0" w:color="000000"/>
              <w:left w:val="single" w:sz="4" w:space="0" w:color="000000"/>
              <w:bottom w:val="single" w:sz="12" w:space="0" w:color="000000"/>
              <w:right w:val="single" w:sz="4" w:space="0" w:color="000000"/>
            </w:tcBorders>
          </w:tcPr>
          <w:p>
            <w:pPr>
              <w:pStyle w:val="TableParagraph"/>
              <w:spacing w:line="229" w:lineRule="exact"/>
              <w:ind w:left="115"/>
              <w:rPr>
                <w:sz w:val="20"/>
              </w:rPr>
            </w:pPr>
            <w:r>
              <w:rPr>
                <w:spacing w:val="-2"/>
                <w:sz w:val="20"/>
              </w:rPr>
              <w:t>Condition</w:t>
            </w:r>
          </w:p>
        </w:tc>
        <w:tc>
          <w:tcPr>
            <w:tcW w:w="3538" w:type="dxa"/>
            <w:tcBorders>
              <w:top w:val="single" w:sz="4" w:space="0" w:color="000000"/>
              <w:left w:val="single" w:sz="4" w:space="0" w:color="000000"/>
              <w:bottom w:val="single" w:sz="12" w:space="0" w:color="000000"/>
              <w:right w:val="single" w:sz="4" w:space="0" w:color="000000"/>
            </w:tcBorders>
          </w:tcPr>
          <w:p>
            <w:pPr>
              <w:pStyle w:val="TableParagraph"/>
              <w:ind w:left="113"/>
              <w:rPr>
                <w:sz w:val="20"/>
              </w:rPr>
            </w:pPr>
            <w:r>
              <w:rPr>
                <w:sz w:val="20"/>
              </w:rPr>
              <w:t>Sealed local roads below the intervention level (percentage of sealed</w:t>
            </w:r>
            <w:r>
              <w:rPr>
                <w:spacing w:val="-8"/>
                <w:sz w:val="20"/>
              </w:rPr>
              <w:t> </w:t>
            </w:r>
            <w:r>
              <w:rPr>
                <w:sz w:val="20"/>
              </w:rPr>
              <w:t>local</w:t>
            </w:r>
            <w:r>
              <w:rPr>
                <w:spacing w:val="-8"/>
                <w:sz w:val="20"/>
              </w:rPr>
              <w:t> </w:t>
            </w:r>
            <w:r>
              <w:rPr>
                <w:sz w:val="20"/>
              </w:rPr>
              <w:t>roads</w:t>
            </w:r>
            <w:r>
              <w:rPr>
                <w:spacing w:val="-6"/>
                <w:sz w:val="20"/>
              </w:rPr>
              <w:t> </w:t>
            </w:r>
            <w:r>
              <w:rPr>
                <w:sz w:val="20"/>
              </w:rPr>
              <w:t>that</w:t>
            </w:r>
            <w:r>
              <w:rPr>
                <w:spacing w:val="-7"/>
                <w:sz w:val="20"/>
              </w:rPr>
              <w:t> </w:t>
            </w:r>
            <w:r>
              <w:rPr>
                <w:sz w:val="20"/>
              </w:rPr>
              <w:t>are</w:t>
            </w:r>
            <w:r>
              <w:rPr>
                <w:spacing w:val="-6"/>
                <w:sz w:val="20"/>
              </w:rPr>
              <w:t> </w:t>
            </w:r>
            <w:r>
              <w:rPr>
                <w:sz w:val="20"/>
              </w:rPr>
              <w:t>below</w:t>
            </w:r>
            <w:r>
              <w:rPr>
                <w:spacing w:val="-7"/>
                <w:sz w:val="20"/>
              </w:rPr>
              <w:t> </w:t>
            </w:r>
            <w:r>
              <w:rPr>
                <w:sz w:val="20"/>
              </w:rPr>
              <w:t>the renewal intervention level set by Council and not requiring renewal)</w:t>
            </w:r>
          </w:p>
        </w:tc>
        <w:tc>
          <w:tcPr>
            <w:tcW w:w="3478" w:type="dxa"/>
            <w:tcBorders>
              <w:top w:val="single" w:sz="4" w:space="0" w:color="000000"/>
              <w:left w:val="single" w:sz="4" w:space="0" w:color="000000"/>
              <w:bottom w:val="single" w:sz="12" w:space="0" w:color="000000"/>
              <w:right w:val="single" w:sz="12" w:space="0" w:color="000000"/>
            </w:tcBorders>
          </w:tcPr>
          <w:p>
            <w:pPr>
              <w:pStyle w:val="TableParagraph"/>
              <w:ind w:left="103" w:right="79"/>
              <w:jc w:val="both"/>
              <w:rPr>
                <w:sz w:val="20"/>
              </w:rPr>
            </w:pPr>
            <w:r>
              <w:rPr>
                <w:sz w:val="20"/>
              </w:rPr>
              <w:t>[Number</w:t>
            </w:r>
            <w:r>
              <w:rPr>
                <w:spacing w:val="-12"/>
                <w:sz w:val="20"/>
              </w:rPr>
              <w:t> </w:t>
            </w:r>
            <w:r>
              <w:rPr>
                <w:sz w:val="20"/>
              </w:rPr>
              <w:t>of</w:t>
            </w:r>
            <w:r>
              <w:rPr>
                <w:spacing w:val="-13"/>
                <w:sz w:val="20"/>
              </w:rPr>
              <w:t> </w:t>
            </w:r>
            <w:r>
              <w:rPr>
                <w:sz w:val="20"/>
              </w:rPr>
              <w:t>kilometres</w:t>
            </w:r>
            <w:r>
              <w:rPr>
                <w:spacing w:val="-11"/>
                <w:sz w:val="20"/>
              </w:rPr>
              <w:t> </w:t>
            </w:r>
            <w:r>
              <w:rPr>
                <w:sz w:val="20"/>
              </w:rPr>
              <w:t>of</w:t>
            </w:r>
            <w:r>
              <w:rPr>
                <w:spacing w:val="-11"/>
                <w:sz w:val="20"/>
              </w:rPr>
              <w:t> </w:t>
            </w:r>
            <w:r>
              <w:rPr>
                <w:sz w:val="20"/>
              </w:rPr>
              <w:t>sealed</w:t>
            </w:r>
            <w:r>
              <w:rPr>
                <w:spacing w:val="-11"/>
                <w:sz w:val="20"/>
              </w:rPr>
              <w:t> </w:t>
            </w:r>
            <w:r>
              <w:rPr>
                <w:sz w:val="20"/>
              </w:rPr>
              <w:t>local roads</w:t>
            </w:r>
            <w:r>
              <w:rPr>
                <w:spacing w:val="-4"/>
                <w:sz w:val="20"/>
              </w:rPr>
              <w:t> </w:t>
            </w:r>
            <w:r>
              <w:rPr>
                <w:sz w:val="20"/>
              </w:rPr>
              <w:t>below</w:t>
            </w:r>
            <w:r>
              <w:rPr>
                <w:spacing w:val="-5"/>
                <w:sz w:val="20"/>
              </w:rPr>
              <w:t> </w:t>
            </w:r>
            <w:r>
              <w:rPr>
                <w:sz w:val="20"/>
              </w:rPr>
              <w:t>the</w:t>
            </w:r>
            <w:r>
              <w:rPr>
                <w:spacing w:val="-7"/>
                <w:sz w:val="20"/>
              </w:rPr>
              <w:t> </w:t>
            </w:r>
            <w:r>
              <w:rPr>
                <w:sz w:val="20"/>
              </w:rPr>
              <w:t>renewal</w:t>
            </w:r>
            <w:r>
              <w:rPr>
                <w:spacing w:val="-8"/>
                <w:sz w:val="20"/>
              </w:rPr>
              <w:t> </w:t>
            </w:r>
            <w:r>
              <w:rPr>
                <w:sz w:val="20"/>
              </w:rPr>
              <w:t>intervention level set by Council / Kilometres of sealed local roads] x100</w:t>
            </w:r>
          </w:p>
        </w:tc>
      </w:tr>
    </w:tbl>
    <w:p>
      <w:pPr>
        <w:spacing w:after="0"/>
        <w:jc w:val="both"/>
        <w:rPr>
          <w:sz w:val="20"/>
        </w:rPr>
        <w:sectPr>
          <w:pgSz w:w="11910" w:h="16840"/>
          <w:pgMar w:header="0" w:footer="375" w:top="480" w:bottom="560" w:left="460" w:right="160"/>
        </w:sectPr>
      </w:pPr>
    </w:p>
    <w:p>
      <w:pPr>
        <w:pStyle w:val="Heading2"/>
        <w:numPr>
          <w:ilvl w:val="2"/>
          <w:numId w:val="12"/>
        </w:numPr>
        <w:tabs>
          <w:tab w:pos="861" w:val="left" w:leader="none"/>
        </w:tabs>
        <w:spacing w:line="240" w:lineRule="auto" w:before="71" w:after="0"/>
        <w:ind w:left="860" w:right="0" w:hanging="470"/>
        <w:jc w:val="left"/>
      </w:pPr>
      <w:r>
        <w:rPr/>
        <w:pict>
          <v:shape style="position:absolute;margin-left:502.919037pt;margin-top:272.040009pt;width:61pt;height:54pt;mso-position-horizontal-relative:page;mso-position-vertical-relative:page;z-index:-38040576" id="docshape11" coordorigin="10058,5441" coordsize="1220,1080" path="m11278,6060l10058,6060,10058,6521,11278,6521,11278,6060xm11278,5441l10058,5441,10058,5446,10058,5748,10058,5753,10058,6055,11278,6055,11278,5753,11278,5748,11278,5446,11278,5441xe" filled="true" fillcolor="#bcd6ed" stroked="false">
            <v:path arrowok="t"/>
            <v:fill type="solid"/>
            <w10:wrap type="none"/>
          </v:shape>
        </w:pict>
      </w:r>
      <w:r>
        <w:rPr/>
        <w:pict>
          <v:shape style="position:absolute;margin-left:502.919037pt;margin-top:473.640015pt;width:61pt;height:54pt;mso-position-horizontal-relative:page;mso-position-vertical-relative:page;z-index:-38040064" id="docshape12" coordorigin="10058,9473" coordsize="1220,1080" path="m11278,10094l10058,10094,10058,10553,11278,10553,11278,10094xm11278,9473l10058,9473,10058,9478,10058,9780,10058,9785,10058,10090,11278,10090,11278,9785,11278,9780,11278,9478,11278,9473xe" filled="true" fillcolor="#bcd6ed" stroked="false">
            <v:path arrowok="t"/>
            <v:fill type="solid"/>
            <w10:wrap type="none"/>
          </v:shape>
        </w:pict>
      </w:r>
      <w:r>
        <w:rPr/>
        <w:pict>
          <v:shape style="position:absolute;margin-left:502.919037pt;margin-top:583.800049pt;width:61pt;height:54pt;mso-position-horizontal-relative:page;mso-position-vertical-relative:page;z-index:-38039552" id="docshape13" coordorigin="10058,11676" coordsize="1220,1080" path="m11278,12298l10058,12298,10058,12756,11278,12756,11278,12298xm11278,11676l10058,11676,10058,11681,10058,11983,10058,11988,10058,12293,11278,12293,11278,11988,11278,11983,11278,11681,11278,11676xe" filled="true" fillcolor="#bcd6ed" stroked="false">
            <v:path arrowok="t"/>
            <v:fill type="solid"/>
            <w10:wrap type="none"/>
          </v:shape>
        </w:pict>
      </w:r>
      <w:bookmarkStart w:name="_TOC_250012" w:id="20"/>
      <w:r>
        <w:rPr>
          <w:color w:val="4966AC"/>
        </w:rPr>
        <w:t>Outcome</w:t>
      </w:r>
      <w:r>
        <w:rPr>
          <w:color w:val="4966AC"/>
          <w:spacing w:val="-8"/>
        </w:rPr>
        <w:t> </w:t>
      </w:r>
      <w:r>
        <w:rPr>
          <w:color w:val="4966AC"/>
        </w:rPr>
        <w:t>Area</w:t>
      </w:r>
      <w:r>
        <w:rPr>
          <w:color w:val="4966AC"/>
          <w:spacing w:val="-5"/>
        </w:rPr>
        <w:t> </w:t>
      </w:r>
      <w:r>
        <w:rPr>
          <w:color w:val="4966AC"/>
        </w:rPr>
        <w:t>(Strategic</w:t>
      </w:r>
      <w:r>
        <w:rPr>
          <w:color w:val="4966AC"/>
          <w:spacing w:val="-5"/>
        </w:rPr>
        <w:t> </w:t>
      </w:r>
      <w:r>
        <w:rPr>
          <w:color w:val="4966AC"/>
        </w:rPr>
        <w:t>Objective)</w:t>
      </w:r>
      <w:r>
        <w:rPr>
          <w:color w:val="4966AC"/>
          <w:spacing w:val="-1"/>
        </w:rPr>
        <w:t> </w:t>
      </w:r>
      <w:r>
        <w:rPr>
          <w:color w:val="4966AC"/>
        </w:rPr>
        <w:t>3:</w:t>
      </w:r>
      <w:r>
        <w:rPr>
          <w:color w:val="4966AC"/>
          <w:spacing w:val="-4"/>
        </w:rPr>
        <w:t> </w:t>
      </w:r>
      <w:r>
        <w:rPr>
          <w:color w:val="4966AC"/>
        </w:rPr>
        <w:t>A</w:t>
      </w:r>
      <w:r>
        <w:rPr>
          <w:color w:val="4966AC"/>
          <w:spacing w:val="-5"/>
        </w:rPr>
        <w:t> </w:t>
      </w:r>
      <w:r>
        <w:rPr>
          <w:color w:val="4966AC"/>
        </w:rPr>
        <w:t>green</w:t>
      </w:r>
      <w:r>
        <w:rPr>
          <w:color w:val="4966AC"/>
          <w:spacing w:val="-3"/>
        </w:rPr>
        <w:t> </w:t>
      </w:r>
      <w:r>
        <w:rPr>
          <w:color w:val="4966AC"/>
        </w:rPr>
        <w:t>and</w:t>
      </w:r>
      <w:r>
        <w:rPr>
          <w:color w:val="4966AC"/>
          <w:spacing w:val="-3"/>
        </w:rPr>
        <w:t> </w:t>
      </w:r>
      <w:r>
        <w:rPr>
          <w:color w:val="4966AC"/>
        </w:rPr>
        <w:t>sustainable</w:t>
      </w:r>
      <w:r>
        <w:rPr>
          <w:color w:val="4966AC"/>
          <w:spacing w:val="-3"/>
        </w:rPr>
        <w:t> </w:t>
      </w:r>
      <w:bookmarkEnd w:id="20"/>
      <w:r>
        <w:rPr>
          <w:color w:val="4966AC"/>
          <w:spacing w:val="-2"/>
        </w:rPr>
        <w:t>community</w:t>
      </w:r>
    </w:p>
    <w:p>
      <w:pPr>
        <w:pStyle w:val="BodyText"/>
        <w:spacing w:before="9"/>
        <w:rPr>
          <w:b/>
          <w:sz w:val="21"/>
        </w:rPr>
      </w:pPr>
    </w:p>
    <w:tbl>
      <w:tblPr>
        <w:tblW w:w="0" w:type="auto"/>
        <w:jc w:val="left"/>
        <w:tblInd w:w="4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553"/>
        <w:gridCol w:w="3540"/>
        <w:gridCol w:w="1537"/>
        <w:gridCol w:w="1347"/>
        <w:gridCol w:w="1216"/>
        <w:gridCol w:w="1234"/>
      </w:tblGrid>
      <w:tr>
        <w:trPr>
          <w:trHeight w:val="925" w:hRule="exact"/>
        </w:trPr>
        <w:tc>
          <w:tcPr>
            <w:tcW w:w="1553" w:type="dxa"/>
            <w:tcBorders>
              <w:left w:val="single" w:sz="12" w:space="0" w:color="000000"/>
              <w:bottom w:val="single" w:sz="2" w:space="0" w:color="000000"/>
              <w:right w:val="nil"/>
            </w:tcBorders>
            <w:shd w:val="clear" w:color="auto" w:fill="5B9AD4"/>
          </w:tcPr>
          <w:p>
            <w:pPr>
              <w:pStyle w:val="TableParagraph"/>
              <w:spacing w:before="2"/>
              <w:rPr>
                <w:b/>
                <w:sz w:val="19"/>
              </w:rPr>
            </w:pPr>
          </w:p>
          <w:p>
            <w:pPr>
              <w:pStyle w:val="TableParagraph"/>
              <w:ind w:left="155"/>
              <w:rPr>
                <w:b/>
                <w:sz w:val="20"/>
              </w:rPr>
            </w:pPr>
            <w:r>
              <w:rPr>
                <w:b/>
                <w:color w:val="FFFFFF"/>
                <w:sz w:val="20"/>
              </w:rPr>
              <w:t>Service</w:t>
            </w:r>
            <w:r>
              <w:rPr>
                <w:b/>
                <w:color w:val="FFFFFF"/>
                <w:spacing w:val="-10"/>
                <w:sz w:val="20"/>
              </w:rPr>
              <w:t> </w:t>
            </w:r>
            <w:r>
              <w:rPr>
                <w:b/>
                <w:color w:val="FFFFFF"/>
                <w:spacing w:val="-4"/>
                <w:sz w:val="20"/>
              </w:rPr>
              <w:t>Area</w:t>
            </w:r>
          </w:p>
        </w:tc>
        <w:tc>
          <w:tcPr>
            <w:tcW w:w="3540" w:type="dxa"/>
            <w:tcBorders>
              <w:left w:val="nil"/>
              <w:bottom w:val="single" w:sz="2" w:space="0" w:color="000000"/>
              <w:right w:val="nil"/>
            </w:tcBorders>
            <w:shd w:val="clear" w:color="auto" w:fill="5B9AD4"/>
          </w:tcPr>
          <w:p>
            <w:pPr>
              <w:pStyle w:val="TableParagraph"/>
              <w:spacing w:before="9"/>
              <w:rPr>
                <w:b/>
                <w:sz w:val="28"/>
              </w:rPr>
            </w:pPr>
          </w:p>
          <w:p>
            <w:pPr>
              <w:pStyle w:val="TableParagraph"/>
              <w:ind w:left="902"/>
              <w:rPr>
                <w:b/>
                <w:sz w:val="20"/>
              </w:rPr>
            </w:pPr>
            <w:r>
              <w:rPr>
                <w:b/>
                <w:color w:val="FFFFFF"/>
                <w:sz w:val="20"/>
              </w:rPr>
              <w:t>Services</w:t>
            </w:r>
            <w:r>
              <w:rPr>
                <w:b/>
                <w:color w:val="FFFFFF"/>
                <w:spacing w:val="-9"/>
                <w:sz w:val="20"/>
              </w:rPr>
              <w:t> </w:t>
            </w:r>
            <w:r>
              <w:rPr>
                <w:b/>
                <w:color w:val="FFFFFF"/>
                <w:spacing w:val="-2"/>
                <w:sz w:val="20"/>
              </w:rPr>
              <w:t>Provided</w:t>
            </w:r>
          </w:p>
        </w:tc>
        <w:tc>
          <w:tcPr>
            <w:tcW w:w="1537" w:type="dxa"/>
            <w:tcBorders>
              <w:left w:val="nil"/>
              <w:bottom w:val="nil"/>
              <w:right w:val="nil"/>
            </w:tcBorders>
            <w:shd w:val="clear" w:color="auto" w:fill="5B9AD4"/>
          </w:tcPr>
          <w:p>
            <w:pPr>
              <w:pStyle w:val="TableParagraph"/>
              <w:rPr>
                <w:rFonts w:ascii="Times New Roman"/>
                <w:sz w:val="18"/>
              </w:rPr>
            </w:pPr>
          </w:p>
        </w:tc>
        <w:tc>
          <w:tcPr>
            <w:tcW w:w="1347" w:type="dxa"/>
            <w:tcBorders>
              <w:left w:val="nil"/>
              <w:bottom w:val="nil"/>
              <w:right w:val="nil"/>
            </w:tcBorders>
            <w:shd w:val="clear" w:color="auto" w:fill="5B9AD4"/>
          </w:tcPr>
          <w:p>
            <w:pPr>
              <w:pStyle w:val="TableParagraph"/>
              <w:spacing w:before="28"/>
              <w:ind w:left="335" w:right="234"/>
              <w:jc w:val="center"/>
              <w:rPr>
                <w:b/>
                <w:sz w:val="20"/>
              </w:rPr>
            </w:pPr>
            <w:r>
              <w:rPr>
                <w:b/>
                <w:color w:val="FFFFFF"/>
                <w:spacing w:val="-2"/>
                <w:sz w:val="20"/>
              </w:rPr>
              <w:t>2023/24</w:t>
            </w:r>
          </w:p>
          <w:p>
            <w:pPr>
              <w:pStyle w:val="TableParagraph"/>
              <w:spacing w:before="73"/>
              <w:ind w:left="335" w:right="234"/>
              <w:jc w:val="center"/>
              <w:rPr>
                <w:b/>
                <w:sz w:val="20"/>
              </w:rPr>
            </w:pPr>
            <w:r>
              <w:rPr>
                <w:b/>
                <w:color w:val="FFFFFF"/>
                <w:spacing w:val="-2"/>
                <w:sz w:val="20"/>
              </w:rPr>
              <w:t>Actual</w:t>
            </w:r>
          </w:p>
          <w:p>
            <w:pPr>
              <w:pStyle w:val="TableParagraph"/>
              <w:spacing w:before="72"/>
              <w:ind w:left="335" w:right="234"/>
              <w:jc w:val="center"/>
              <w:rPr>
                <w:b/>
                <w:sz w:val="20"/>
              </w:rPr>
            </w:pPr>
            <w:r>
              <w:rPr>
                <w:b/>
                <w:color w:val="FFFFFF"/>
                <w:spacing w:val="-2"/>
                <w:sz w:val="20"/>
              </w:rPr>
              <w:t>$'000</w:t>
            </w:r>
          </w:p>
        </w:tc>
        <w:tc>
          <w:tcPr>
            <w:tcW w:w="1216" w:type="dxa"/>
            <w:tcBorders>
              <w:left w:val="nil"/>
              <w:bottom w:val="nil"/>
              <w:right w:val="nil"/>
            </w:tcBorders>
            <w:shd w:val="clear" w:color="auto" w:fill="5B9AD4"/>
          </w:tcPr>
          <w:p>
            <w:pPr>
              <w:pStyle w:val="TableParagraph"/>
              <w:spacing w:before="28"/>
              <w:ind w:left="55" w:right="113"/>
              <w:jc w:val="center"/>
              <w:rPr>
                <w:b/>
                <w:sz w:val="20"/>
              </w:rPr>
            </w:pPr>
            <w:r>
              <w:rPr>
                <w:b/>
                <w:color w:val="FFFFFF"/>
                <w:spacing w:val="-2"/>
                <w:sz w:val="20"/>
              </w:rPr>
              <w:t>2024/25</w:t>
            </w:r>
          </w:p>
          <w:p>
            <w:pPr>
              <w:pStyle w:val="TableParagraph"/>
              <w:spacing w:before="73"/>
              <w:ind w:left="56" w:right="113"/>
              <w:jc w:val="center"/>
              <w:rPr>
                <w:b/>
                <w:sz w:val="20"/>
              </w:rPr>
            </w:pPr>
            <w:r>
              <w:rPr>
                <w:b/>
                <w:color w:val="FFFFFF"/>
                <w:spacing w:val="-2"/>
                <w:sz w:val="20"/>
              </w:rPr>
              <w:t>Forecast</w:t>
            </w:r>
          </w:p>
          <w:p>
            <w:pPr>
              <w:pStyle w:val="TableParagraph"/>
              <w:spacing w:before="72"/>
              <w:ind w:left="54" w:right="113"/>
              <w:jc w:val="center"/>
              <w:rPr>
                <w:b/>
                <w:sz w:val="20"/>
              </w:rPr>
            </w:pPr>
            <w:r>
              <w:rPr>
                <w:b/>
                <w:color w:val="FFFFFF"/>
                <w:spacing w:val="-2"/>
                <w:sz w:val="20"/>
              </w:rPr>
              <w:t>$'000</w:t>
            </w:r>
          </w:p>
        </w:tc>
        <w:tc>
          <w:tcPr>
            <w:tcW w:w="1234" w:type="dxa"/>
            <w:tcBorders>
              <w:left w:val="nil"/>
              <w:bottom w:val="nil"/>
              <w:right w:val="single" w:sz="12" w:space="0" w:color="000000"/>
            </w:tcBorders>
            <w:shd w:val="clear" w:color="auto" w:fill="5B9AD4"/>
          </w:tcPr>
          <w:p>
            <w:pPr>
              <w:pStyle w:val="TableParagraph"/>
              <w:spacing w:before="28"/>
              <w:ind w:left="234" w:right="224"/>
              <w:jc w:val="center"/>
              <w:rPr>
                <w:b/>
                <w:sz w:val="20"/>
              </w:rPr>
            </w:pPr>
            <w:r>
              <w:rPr>
                <w:b/>
                <w:color w:val="FFFFFF"/>
                <w:spacing w:val="-2"/>
                <w:sz w:val="20"/>
              </w:rPr>
              <w:t>2025/26</w:t>
            </w:r>
          </w:p>
          <w:p>
            <w:pPr>
              <w:pStyle w:val="TableParagraph"/>
              <w:spacing w:before="73"/>
              <w:ind w:left="235" w:right="224"/>
              <w:jc w:val="center"/>
              <w:rPr>
                <w:b/>
                <w:sz w:val="20"/>
              </w:rPr>
            </w:pPr>
            <w:r>
              <w:rPr>
                <w:b/>
                <w:color w:val="FFFFFF"/>
                <w:spacing w:val="-2"/>
                <w:sz w:val="20"/>
              </w:rPr>
              <w:t>Budget</w:t>
            </w:r>
          </w:p>
          <w:p>
            <w:pPr>
              <w:pStyle w:val="TableParagraph"/>
              <w:spacing w:before="72"/>
              <w:ind w:left="233" w:right="224"/>
              <w:jc w:val="center"/>
              <w:rPr>
                <w:b/>
                <w:sz w:val="20"/>
              </w:rPr>
            </w:pPr>
            <w:r>
              <w:rPr>
                <w:b/>
                <w:color w:val="FFFFFF"/>
                <w:spacing w:val="-2"/>
                <w:sz w:val="20"/>
              </w:rPr>
              <w:t>$'000</w:t>
            </w:r>
          </w:p>
        </w:tc>
      </w:tr>
      <w:tr>
        <w:trPr>
          <w:trHeight w:val="616" w:hRule="exact"/>
        </w:trPr>
        <w:tc>
          <w:tcPr>
            <w:tcW w:w="1553" w:type="dxa"/>
            <w:vMerge w:val="restart"/>
            <w:tcBorders>
              <w:top w:val="single" w:sz="2" w:space="0" w:color="000000"/>
              <w:left w:val="single" w:sz="12" w:space="0" w:color="000000"/>
              <w:bottom w:val="single" w:sz="2" w:space="0" w:color="000000"/>
              <w:right w:val="single" w:sz="2" w:space="0" w:color="000000"/>
            </w:tcBorders>
          </w:tcPr>
          <w:p>
            <w:pPr>
              <w:pStyle w:val="TableParagraph"/>
              <w:ind w:left="92" w:right="201"/>
              <w:rPr>
                <w:sz w:val="20"/>
              </w:rPr>
            </w:pPr>
            <w:r>
              <w:rPr>
                <w:spacing w:val="-2"/>
                <w:sz w:val="20"/>
              </w:rPr>
              <w:t>Bushland management</w:t>
            </w:r>
          </w:p>
        </w:tc>
        <w:tc>
          <w:tcPr>
            <w:tcW w:w="3540" w:type="dxa"/>
            <w:vMerge w:val="restart"/>
            <w:tcBorders>
              <w:top w:val="single" w:sz="2" w:space="0" w:color="000000"/>
              <w:left w:val="single" w:sz="2" w:space="0" w:color="000000"/>
              <w:bottom w:val="single" w:sz="2" w:space="0" w:color="000000"/>
              <w:right w:val="single" w:sz="2" w:space="0" w:color="000000"/>
            </w:tcBorders>
          </w:tcPr>
          <w:p>
            <w:pPr>
              <w:pStyle w:val="TableParagraph"/>
              <w:numPr>
                <w:ilvl w:val="0"/>
                <w:numId w:val="33"/>
              </w:numPr>
              <w:tabs>
                <w:tab w:pos="417" w:val="left" w:leader="none"/>
                <w:tab w:pos="418" w:val="left" w:leader="none"/>
              </w:tabs>
              <w:spacing w:line="235" w:lineRule="auto" w:before="7" w:after="0"/>
              <w:ind w:left="417" w:right="161" w:hanging="312"/>
              <w:jc w:val="left"/>
              <w:rPr>
                <w:sz w:val="20"/>
              </w:rPr>
            </w:pPr>
            <w:r>
              <w:rPr>
                <w:sz w:val="20"/>
              </w:rPr>
              <w:t>Bushland</w:t>
            </w:r>
            <w:r>
              <w:rPr>
                <w:spacing w:val="-14"/>
                <w:sz w:val="20"/>
              </w:rPr>
              <w:t> </w:t>
            </w:r>
            <w:r>
              <w:rPr>
                <w:sz w:val="20"/>
              </w:rPr>
              <w:t>maintenance</w:t>
            </w:r>
            <w:r>
              <w:rPr>
                <w:spacing w:val="-14"/>
                <w:sz w:val="20"/>
              </w:rPr>
              <w:t> </w:t>
            </w:r>
            <w:r>
              <w:rPr>
                <w:sz w:val="20"/>
              </w:rPr>
              <w:t>and</w:t>
            </w:r>
            <w:r>
              <w:rPr>
                <w:spacing w:val="-13"/>
                <w:sz w:val="20"/>
              </w:rPr>
              <w:t> </w:t>
            </w:r>
            <w:r>
              <w:rPr>
                <w:sz w:val="20"/>
              </w:rPr>
              <w:t>weed </w:t>
            </w:r>
            <w:r>
              <w:rPr>
                <w:spacing w:val="-2"/>
                <w:sz w:val="20"/>
              </w:rPr>
              <w:t>control</w:t>
            </w:r>
          </w:p>
          <w:p>
            <w:pPr>
              <w:pStyle w:val="TableParagraph"/>
              <w:numPr>
                <w:ilvl w:val="0"/>
                <w:numId w:val="33"/>
              </w:numPr>
              <w:tabs>
                <w:tab w:pos="417" w:val="left" w:leader="none"/>
                <w:tab w:pos="418" w:val="left" w:leader="none"/>
              </w:tabs>
              <w:spacing w:line="244" w:lineRule="exact" w:before="3" w:after="0"/>
              <w:ind w:left="417" w:right="0" w:hanging="313"/>
              <w:jc w:val="left"/>
              <w:rPr>
                <w:sz w:val="20"/>
              </w:rPr>
            </w:pPr>
            <w:r>
              <w:rPr>
                <w:sz w:val="20"/>
              </w:rPr>
              <w:t>Fire</w:t>
            </w:r>
            <w:r>
              <w:rPr>
                <w:spacing w:val="-6"/>
                <w:sz w:val="20"/>
              </w:rPr>
              <w:t> </w:t>
            </w:r>
            <w:r>
              <w:rPr>
                <w:sz w:val="20"/>
              </w:rPr>
              <w:t>hazard</w:t>
            </w:r>
            <w:r>
              <w:rPr>
                <w:spacing w:val="-6"/>
                <w:sz w:val="20"/>
              </w:rPr>
              <w:t> </w:t>
            </w:r>
            <w:r>
              <w:rPr>
                <w:spacing w:val="-2"/>
                <w:sz w:val="20"/>
              </w:rPr>
              <w:t>clearance</w:t>
            </w:r>
          </w:p>
          <w:p>
            <w:pPr>
              <w:pStyle w:val="TableParagraph"/>
              <w:numPr>
                <w:ilvl w:val="0"/>
                <w:numId w:val="33"/>
              </w:numPr>
              <w:tabs>
                <w:tab w:pos="417" w:val="left" w:leader="none"/>
                <w:tab w:pos="418" w:val="left" w:leader="none"/>
              </w:tabs>
              <w:spacing w:line="244" w:lineRule="exact" w:before="0" w:after="0"/>
              <w:ind w:left="417" w:right="0" w:hanging="313"/>
              <w:jc w:val="left"/>
              <w:rPr>
                <w:sz w:val="20"/>
              </w:rPr>
            </w:pPr>
            <w:r>
              <w:rPr>
                <w:sz w:val="20"/>
              </w:rPr>
              <w:t>Flora</w:t>
            </w:r>
            <w:r>
              <w:rPr>
                <w:spacing w:val="-6"/>
                <w:sz w:val="20"/>
              </w:rPr>
              <w:t> </w:t>
            </w:r>
            <w:r>
              <w:rPr>
                <w:sz w:val="20"/>
              </w:rPr>
              <w:t>and</w:t>
            </w:r>
            <w:r>
              <w:rPr>
                <w:spacing w:val="-5"/>
                <w:sz w:val="20"/>
              </w:rPr>
              <w:t> </w:t>
            </w:r>
            <w:r>
              <w:rPr>
                <w:sz w:val="20"/>
              </w:rPr>
              <w:t>fauna</w:t>
            </w:r>
            <w:r>
              <w:rPr>
                <w:spacing w:val="-6"/>
                <w:sz w:val="20"/>
              </w:rPr>
              <w:t> </w:t>
            </w:r>
            <w:r>
              <w:rPr>
                <w:spacing w:val="-2"/>
                <w:sz w:val="20"/>
              </w:rPr>
              <w:t>conservation</w:t>
            </w:r>
          </w:p>
          <w:p>
            <w:pPr>
              <w:pStyle w:val="TableParagraph"/>
              <w:numPr>
                <w:ilvl w:val="0"/>
                <w:numId w:val="33"/>
              </w:numPr>
              <w:tabs>
                <w:tab w:pos="417" w:val="left" w:leader="none"/>
                <w:tab w:pos="418" w:val="left" w:leader="none"/>
              </w:tabs>
              <w:spacing w:line="244" w:lineRule="exact" w:before="0" w:after="0"/>
              <w:ind w:left="417" w:right="0" w:hanging="313"/>
              <w:jc w:val="left"/>
              <w:rPr>
                <w:sz w:val="20"/>
              </w:rPr>
            </w:pPr>
            <w:r>
              <w:rPr>
                <w:sz w:val="20"/>
              </w:rPr>
              <w:t>Friends/community</w:t>
            </w:r>
            <w:r>
              <w:rPr>
                <w:spacing w:val="-14"/>
                <w:sz w:val="20"/>
              </w:rPr>
              <w:t> </w:t>
            </w:r>
            <w:r>
              <w:rPr>
                <w:sz w:val="20"/>
              </w:rPr>
              <w:t>group</w:t>
            </w:r>
            <w:r>
              <w:rPr>
                <w:spacing w:val="-11"/>
                <w:sz w:val="20"/>
              </w:rPr>
              <w:t> </w:t>
            </w:r>
            <w:r>
              <w:rPr>
                <w:spacing w:val="-2"/>
                <w:sz w:val="20"/>
              </w:rPr>
              <w:t>support</w:t>
            </w:r>
          </w:p>
          <w:p>
            <w:pPr>
              <w:pStyle w:val="TableParagraph"/>
              <w:numPr>
                <w:ilvl w:val="0"/>
                <w:numId w:val="33"/>
              </w:numPr>
              <w:tabs>
                <w:tab w:pos="417" w:val="left" w:leader="none"/>
                <w:tab w:pos="418" w:val="left" w:leader="none"/>
              </w:tabs>
              <w:spacing w:line="244" w:lineRule="exact" w:before="0" w:after="0"/>
              <w:ind w:left="417" w:right="0" w:hanging="313"/>
              <w:jc w:val="left"/>
              <w:rPr>
                <w:sz w:val="20"/>
              </w:rPr>
            </w:pPr>
            <w:r>
              <w:rPr>
                <w:sz w:val="20"/>
              </w:rPr>
              <w:t>Indigenous</w:t>
            </w:r>
            <w:r>
              <w:rPr>
                <w:spacing w:val="-10"/>
                <w:sz w:val="20"/>
              </w:rPr>
              <w:t> </w:t>
            </w:r>
            <w:r>
              <w:rPr>
                <w:sz w:val="20"/>
              </w:rPr>
              <w:t>planting</w:t>
            </w:r>
            <w:r>
              <w:rPr>
                <w:spacing w:val="-10"/>
                <w:sz w:val="20"/>
              </w:rPr>
              <w:t> </w:t>
            </w:r>
            <w:r>
              <w:rPr>
                <w:spacing w:val="-2"/>
                <w:sz w:val="20"/>
              </w:rPr>
              <w:t>programs</w:t>
            </w:r>
          </w:p>
          <w:p>
            <w:pPr>
              <w:pStyle w:val="TableParagraph"/>
              <w:numPr>
                <w:ilvl w:val="0"/>
                <w:numId w:val="33"/>
              </w:numPr>
              <w:tabs>
                <w:tab w:pos="417" w:val="left" w:leader="none"/>
                <w:tab w:pos="418" w:val="left" w:leader="none"/>
              </w:tabs>
              <w:spacing w:line="244" w:lineRule="exact" w:before="0" w:after="0"/>
              <w:ind w:left="417" w:right="0" w:hanging="313"/>
              <w:jc w:val="left"/>
              <w:rPr>
                <w:sz w:val="20"/>
              </w:rPr>
            </w:pPr>
            <w:r>
              <w:rPr>
                <w:sz w:val="20"/>
              </w:rPr>
              <w:t>Path</w:t>
            </w:r>
            <w:r>
              <w:rPr>
                <w:spacing w:val="-5"/>
                <w:sz w:val="20"/>
              </w:rPr>
              <w:t> </w:t>
            </w:r>
            <w:r>
              <w:rPr>
                <w:spacing w:val="-2"/>
                <w:sz w:val="20"/>
              </w:rPr>
              <w:t>maintenance</w:t>
            </w:r>
          </w:p>
          <w:p>
            <w:pPr>
              <w:pStyle w:val="TableParagraph"/>
              <w:numPr>
                <w:ilvl w:val="0"/>
                <w:numId w:val="33"/>
              </w:numPr>
              <w:tabs>
                <w:tab w:pos="417" w:val="left" w:leader="none"/>
                <w:tab w:pos="418" w:val="left" w:leader="none"/>
              </w:tabs>
              <w:spacing w:line="235" w:lineRule="auto" w:before="3" w:after="0"/>
              <w:ind w:left="417" w:right="127" w:hanging="312"/>
              <w:jc w:val="left"/>
              <w:rPr>
                <w:sz w:val="20"/>
              </w:rPr>
            </w:pPr>
            <w:r>
              <w:rPr>
                <w:sz w:val="20"/>
              </w:rPr>
              <w:t>Regeneration</w:t>
            </w:r>
            <w:r>
              <w:rPr>
                <w:spacing w:val="-10"/>
                <w:sz w:val="20"/>
              </w:rPr>
              <w:t> </w:t>
            </w:r>
            <w:r>
              <w:rPr>
                <w:sz w:val="20"/>
              </w:rPr>
              <w:t>in</w:t>
            </w:r>
            <w:r>
              <w:rPr>
                <w:spacing w:val="-11"/>
                <w:sz w:val="20"/>
              </w:rPr>
              <w:t> </w:t>
            </w:r>
            <w:r>
              <w:rPr>
                <w:sz w:val="20"/>
              </w:rPr>
              <w:t>sites</w:t>
            </w:r>
            <w:r>
              <w:rPr>
                <w:spacing w:val="-10"/>
                <w:sz w:val="20"/>
              </w:rPr>
              <w:t> </w:t>
            </w:r>
            <w:r>
              <w:rPr>
                <w:sz w:val="20"/>
              </w:rPr>
              <w:t>of</w:t>
            </w:r>
            <w:r>
              <w:rPr>
                <w:spacing w:val="-10"/>
                <w:sz w:val="20"/>
              </w:rPr>
              <w:t> </w:t>
            </w:r>
            <w:r>
              <w:rPr>
                <w:sz w:val="20"/>
              </w:rPr>
              <w:t>biological </w:t>
            </w:r>
            <w:r>
              <w:rPr>
                <w:spacing w:val="-2"/>
                <w:sz w:val="20"/>
              </w:rPr>
              <w:t>significance</w:t>
            </w:r>
          </w:p>
          <w:p>
            <w:pPr>
              <w:pStyle w:val="TableParagraph"/>
              <w:numPr>
                <w:ilvl w:val="0"/>
                <w:numId w:val="33"/>
              </w:numPr>
              <w:tabs>
                <w:tab w:pos="417" w:val="left" w:leader="none"/>
                <w:tab w:pos="418" w:val="left" w:leader="none"/>
              </w:tabs>
              <w:spacing w:line="240" w:lineRule="auto" w:before="3" w:after="0"/>
              <w:ind w:left="417" w:right="391" w:hanging="312"/>
              <w:jc w:val="left"/>
              <w:rPr>
                <w:sz w:val="20"/>
              </w:rPr>
            </w:pPr>
            <w:r>
              <w:rPr>
                <w:sz w:val="20"/>
              </w:rPr>
              <w:t>Waterway and water sensitive urban</w:t>
            </w:r>
            <w:r>
              <w:rPr>
                <w:spacing w:val="-11"/>
                <w:sz w:val="20"/>
              </w:rPr>
              <w:t> </w:t>
            </w:r>
            <w:r>
              <w:rPr>
                <w:sz w:val="20"/>
              </w:rPr>
              <w:t>design</w:t>
            </w:r>
            <w:r>
              <w:rPr>
                <w:spacing w:val="-14"/>
                <w:sz w:val="20"/>
              </w:rPr>
              <w:t> </w:t>
            </w:r>
            <w:r>
              <w:rPr>
                <w:sz w:val="20"/>
              </w:rPr>
              <w:t>site</w:t>
            </w:r>
            <w:r>
              <w:rPr>
                <w:spacing w:val="-14"/>
                <w:sz w:val="20"/>
              </w:rPr>
              <w:t> </w:t>
            </w:r>
            <w:r>
              <w:rPr>
                <w:sz w:val="20"/>
              </w:rPr>
              <w:t>maintenance under Council management</w:t>
            </w:r>
          </w:p>
          <w:p>
            <w:pPr>
              <w:pStyle w:val="TableParagraph"/>
              <w:numPr>
                <w:ilvl w:val="0"/>
                <w:numId w:val="33"/>
              </w:numPr>
              <w:tabs>
                <w:tab w:pos="417" w:val="left" w:leader="none"/>
                <w:tab w:pos="418" w:val="left" w:leader="none"/>
              </w:tabs>
              <w:spacing w:line="243" w:lineRule="exact" w:before="0" w:after="0"/>
              <w:ind w:left="417" w:right="0" w:hanging="313"/>
              <w:jc w:val="left"/>
              <w:rPr>
                <w:sz w:val="20"/>
              </w:rPr>
            </w:pPr>
            <w:r>
              <w:rPr>
                <w:sz w:val="20"/>
              </w:rPr>
              <w:t>Wetland</w:t>
            </w:r>
            <w:r>
              <w:rPr>
                <w:spacing w:val="-11"/>
                <w:sz w:val="20"/>
              </w:rPr>
              <w:t> </w:t>
            </w:r>
            <w:r>
              <w:rPr>
                <w:sz w:val="20"/>
              </w:rPr>
              <w:t>vegetation</w:t>
            </w:r>
            <w:r>
              <w:rPr>
                <w:spacing w:val="-7"/>
                <w:sz w:val="20"/>
              </w:rPr>
              <w:t> </w:t>
            </w:r>
            <w:r>
              <w:rPr>
                <w:spacing w:val="-2"/>
                <w:sz w:val="20"/>
              </w:rPr>
              <w:t>management</w:t>
            </w:r>
          </w:p>
        </w:tc>
        <w:tc>
          <w:tcPr>
            <w:tcW w:w="1537" w:type="dxa"/>
            <w:tcBorders>
              <w:top w:val="nil"/>
              <w:left w:val="single" w:sz="2" w:space="0" w:color="000000"/>
              <w:bottom w:val="single" w:sz="2" w:space="0" w:color="000000"/>
              <w:right w:val="nil"/>
            </w:tcBorders>
          </w:tcPr>
          <w:p>
            <w:pPr>
              <w:pStyle w:val="TableParagraph"/>
              <w:spacing w:before="2"/>
              <w:ind w:left="103"/>
              <w:rPr>
                <w:sz w:val="20"/>
              </w:rPr>
            </w:pPr>
            <w:r>
              <w:rPr>
                <w:spacing w:val="-2"/>
                <w:sz w:val="20"/>
              </w:rPr>
              <w:t>Income</w:t>
            </w:r>
          </w:p>
          <w:p>
            <w:pPr>
              <w:pStyle w:val="TableParagraph"/>
              <w:spacing w:before="79"/>
              <w:ind w:left="103"/>
              <w:rPr>
                <w:sz w:val="20"/>
              </w:rPr>
            </w:pPr>
            <w:r>
              <w:rPr>
                <w:spacing w:val="-2"/>
                <w:sz w:val="20"/>
              </w:rPr>
              <w:t>Expenditure</w:t>
            </w:r>
          </w:p>
        </w:tc>
        <w:tc>
          <w:tcPr>
            <w:tcW w:w="1347" w:type="dxa"/>
            <w:tcBorders>
              <w:top w:val="nil"/>
              <w:left w:val="nil"/>
              <w:bottom w:val="single" w:sz="2" w:space="0" w:color="000000"/>
              <w:right w:val="nil"/>
            </w:tcBorders>
          </w:tcPr>
          <w:p>
            <w:pPr>
              <w:pStyle w:val="TableParagraph"/>
              <w:spacing w:before="4"/>
              <w:ind w:right="161"/>
              <w:jc w:val="right"/>
              <w:rPr>
                <w:sz w:val="18"/>
              </w:rPr>
            </w:pPr>
            <w:r>
              <w:rPr>
                <w:spacing w:val="-5"/>
                <w:sz w:val="18"/>
              </w:rPr>
              <w:t>53</w:t>
            </w:r>
          </w:p>
          <w:p>
            <w:pPr>
              <w:pStyle w:val="TableParagraph"/>
              <w:spacing w:before="100"/>
              <w:ind w:right="160"/>
              <w:jc w:val="right"/>
              <w:rPr>
                <w:sz w:val="18"/>
              </w:rPr>
            </w:pPr>
            <w:r>
              <w:rPr>
                <w:spacing w:val="-2"/>
                <w:sz w:val="18"/>
              </w:rPr>
              <w:t>3,059</w:t>
            </w:r>
          </w:p>
        </w:tc>
        <w:tc>
          <w:tcPr>
            <w:tcW w:w="1216" w:type="dxa"/>
            <w:tcBorders>
              <w:top w:val="nil"/>
              <w:left w:val="nil"/>
              <w:bottom w:val="single" w:sz="2" w:space="0" w:color="000000"/>
              <w:right w:val="nil"/>
            </w:tcBorders>
          </w:tcPr>
          <w:p>
            <w:pPr>
              <w:pStyle w:val="TableParagraph"/>
              <w:spacing w:before="4"/>
              <w:ind w:right="104"/>
              <w:jc w:val="right"/>
              <w:rPr>
                <w:sz w:val="18"/>
              </w:rPr>
            </w:pPr>
            <w:r>
              <w:rPr>
                <w:spacing w:val="-5"/>
                <w:sz w:val="18"/>
              </w:rPr>
              <w:t>40</w:t>
            </w:r>
          </w:p>
          <w:p>
            <w:pPr>
              <w:pStyle w:val="TableParagraph"/>
              <w:spacing w:before="100"/>
              <w:ind w:right="104"/>
              <w:jc w:val="right"/>
              <w:rPr>
                <w:sz w:val="18"/>
              </w:rPr>
            </w:pPr>
            <w:r>
              <w:rPr>
                <w:spacing w:val="-2"/>
                <w:sz w:val="18"/>
              </w:rPr>
              <w:t>3,019</w:t>
            </w:r>
          </w:p>
        </w:tc>
        <w:tc>
          <w:tcPr>
            <w:tcW w:w="1234" w:type="dxa"/>
            <w:tcBorders>
              <w:top w:val="nil"/>
              <w:left w:val="nil"/>
              <w:bottom w:val="single" w:sz="2" w:space="0" w:color="000000"/>
              <w:right w:val="single" w:sz="12" w:space="0" w:color="000000"/>
            </w:tcBorders>
            <w:shd w:val="clear" w:color="auto" w:fill="BCD6ED"/>
          </w:tcPr>
          <w:p>
            <w:pPr>
              <w:pStyle w:val="TableParagraph"/>
              <w:spacing w:before="4"/>
              <w:ind w:right="89"/>
              <w:jc w:val="right"/>
              <w:rPr>
                <w:sz w:val="18"/>
              </w:rPr>
            </w:pPr>
            <w:r>
              <w:rPr>
                <w:spacing w:val="-5"/>
                <w:sz w:val="18"/>
              </w:rPr>
              <w:t>46</w:t>
            </w:r>
          </w:p>
          <w:p>
            <w:pPr>
              <w:pStyle w:val="TableParagraph"/>
              <w:spacing w:before="100"/>
              <w:ind w:right="89"/>
              <w:jc w:val="right"/>
              <w:rPr>
                <w:sz w:val="18"/>
              </w:rPr>
            </w:pPr>
            <w:r>
              <w:rPr>
                <w:spacing w:val="-2"/>
                <w:sz w:val="18"/>
              </w:rPr>
              <w:t>3,157</w:t>
            </w:r>
          </w:p>
        </w:tc>
      </w:tr>
      <w:tr>
        <w:trPr>
          <w:trHeight w:val="465" w:hRule="exact"/>
        </w:trPr>
        <w:tc>
          <w:tcPr>
            <w:tcW w:w="1553" w:type="dxa"/>
            <w:vMerge/>
            <w:tcBorders>
              <w:top w:val="nil"/>
              <w:left w:val="single" w:sz="12" w:space="0" w:color="000000"/>
              <w:bottom w:val="single" w:sz="2" w:space="0" w:color="000000"/>
              <w:right w:val="single" w:sz="2" w:space="0" w:color="000000"/>
            </w:tcBorders>
          </w:tcPr>
          <w:p>
            <w:pPr>
              <w:rPr>
                <w:sz w:val="2"/>
                <w:szCs w:val="2"/>
              </w:rPr>
            </w:pPr>
          </w:p>
        </w:tc>
        <w:tc>
          <w:tcPr>
            <w:tcW w:w="3540" w:type="dxa"/>
            <w:vMerge/>
            <w:tcBorders>
              <w:top w:val="nil"/>
              <w:left w:val="single" w:sz="2" w:space="0" w:color="000000"/>
              <w:bottom w:val="single" w:sz="2" w:space="0" w:color="000000"/>
              <w:right w:val="single" w:sz="2" w:space="0" w:color="000000"/>
            </w:tcBorders>
          </w:tcPr>
          <w:p>
            <w:pPr>
              <w:rPr>
                <w:sz w:val="2"/>
                <w:szCs w:val="2"/>
              </w:rPr>
            </w:pPr>
          </w:p>
        </w:tc>
        <w:tc>
          <w:tcPr>
            <w:tcW w:w="1537" w:type="dxa"/>
            <w:tcBorders>
              <w:top w:val="single" w:sz="2" w:space="0" w:color="000000"/>
              <w:left w:val="single" w:sz="2" w:space="0" w:color="000000"/>
              <w:bottom w:val="single" w:sz="2" w:space="0" w:color="000000"/>
              <w:right w:val="nil"/>
            </w:tcBorders>
          </w:tcPr>
          <w:p>
            <w:pPr>
              <w:pStyle w:val="TableParagraph"/>
              <w:spacing w:line="230" w:lineRule="exact"/>
              <w:ind w:left="103" w:right="569"/>
              <w:rPr>
                <w:b/>
                <w:sz w:val="20"/>
              </w:rPr>
            </w:pPr>
            <w:r>
              <w:rPr>
                <w:b/>
                <w:sz w:val="20"/>
              </w:rPr>
              <w:t>Surplus</w:t>
            </w:r>
            <w:r>
              <w:rPr>
                <w:b/>
                <w:spacing w:val="-14"/>
                <w:sz w:val="20"/>
              </w:rPr>
              <w:t> </w:t>
            </w:r>
            <w:r>
              <w:rPr>
                <w:b/>
                <w:sz w:val="20"/>
              </w:rPr>
              <w:t>/ </w:t>
            </w:r>
            <w:r>
              <w:rPr>
                <w:b/>
                <w:spacing w:val="-2"/>
                <w:sz w:val="20"/>
              </w:rPr>
              <w:t>(deficit)</w:t>
            </w:r>
          </w:p>
        </w:tc>
        <w:tc>
          <w:tcPr>
            <w:tcW w:w="1347" w:type="dxa"/>
            <w:tcBorders>
              <w:top w:val="single" w:sz="2" w:space="0" w:color="000000"/>
              <w:left w:val="nil"/>
              <w:bottom w:val="single" w:sz="2" w:space="0" w:color="000000"/>
              <w:right w:val="nil"/>
            </w:tcBorders>
          </w:tcPr>
          <w:p>
            <w:pPr>
              <w:pStyle w:val="TableParagraph"/>
              <w:spacing w:line="206" w:lineRule="exact"/>
              <w:ind w:right="160"/>
              <w:jc w:val="right"/>
              <w:rPr>
                <w:b/>
                <w:sz w:val="18"/>
              </w:rPr>
            </w:pPr>
            <w:r>
              <w:rPr>
                <w:b/>
                <w:spacing w:val="-2"/>
                <w:sz w:val="18"/>
              </w:rPr>
              <w:t>(3,006)</w:t>
            </w:r>
          </w:p>
        </w:tc>
        <w:tc>
          <w:tcPr>
            <w:tcW w:w="1216" w:type="dxa"/>
            <w:tcBorders>
              <w:top w:val="single" w:sz="2" w:space="0" w:color="000000"/>
              <w:left w:val="nil"/>
              <w:bottom w:val="single" w:sz="2" w:space="0" w:color="000000"/>
              <w:right w:val="nil"/>
            </w:tcBorders>
          </w:tcPr>
          <w:p>
            <w:pPr>
              <w:pStyle w:val="TableParagraph"/>
              <w:spacing w:line="206" w:lineRule="exact"/>
              <w:ind w:right="104"/>
              <w:jc w:val="right"/>
              <w:rPr>
                <w:b/>
                <w:sz w:val="18"/>
              </w:rPr>
            </w:pPr>
            <w:r>
              <w:rPr>
                <w:b/>
                <w:spacing w:val="-2"/>
                <w:sz w:val="18"/>
              </w:rPr>
              <w:t>(2,979)</w:t>
            </w:r>
          </w:p>
        </w:tc>
        <w:tc>
          <w:tcPr>
            <w:tcW w:w="1234" w:type="dxa"/>
            <w:tcBorders>
              <w:top w:val="single" w:sz="2" w:space="0" w:color="000000"/>
              <w:left w:val="nil"/>
              <w:bottom w:val="single" w:sz="2" w:space="0" w:color="000000"/>
              <w:right w:val="single" w:sz="12" w:space="0" w:color="000000"/>
            </w:tcBorders>
            <w:shd w:val="clear" w:color="auto" w:fill="BCD6ED"/>
          </w:tcPr>
          <w:p>
            <w:pPr>
              <w:pStyle w:val="TableParagraph"/>
              <w:spacing w:line="206" w:lineRule="exact"/>
              <w:ind w:right="89"/>
              <w:jc w:val="right"/>
              <w:rPr>
                <w:b/>
                <w:sz w:val="18"/>
              </w:rPr>
            </w:pPr>
            <w:r>
              <w:rPr>
                <w:b/>
                <w:spacing w:val="-2"/>
                <w:sz w:val="18"/>
              </w:rPr>
              <w:t>(3,111)</w:t>
            </w:r>
          </w:p>
        </w:tc>
      </w:tr>
      <w:tr>
        <w:trPr>
          <w:trHeight w:val="2277" w:hRule="exact"/>
        </w:trPr>
        <w:tc>
          <w:tcPr>
            <w:tcW w:w="1553" w:type="dxa"/>
            <w:vMerge/>
            <w:tcBorders>
              <w:top w:val="nil"/>
              <w:left w:val="single" w:sz="12" w:space="0" w:color="000000"/>
              <w:bottom w:val="single" w:sz="2" w:space="0" w:color="000000"/>
              <w:right w:val="single" w:sz="2" w:space="0" w:color="000000"/>
            </w:tcBorders>
          </w:tcPr>
          <w:p>
            <w:pPr>
              <w:rPr>
                <w:sz w:val="2"/>
                <w:szCs w:val="2"/>
              </w:rPr>
            </w:pPr>
          </w:p>
        </w:tc>
        <w:tc>
          <w:tcPr>
            <w:tcW w:w="3540" w:type="dxa"/>
            <w:vMerge/>
            <w:tcBorders>
              <w:top w:val="nil"/>
              <w:left w:val="single" w:sz="2" w:space="0" w:color="000000"/>
              <w:bottom w:val="single" w:sz="2" w:space="0" w:color="000000"/>
              <w:right w:val="single" w:sz="2" w:space="0" w:color="000000"/>
            </w:tcBorders>
          </w:tcPr>
          <w:p>
            <w:pPr>
              <w:rPr>
                <w:sz w:val="2"/>
                <w:szCs w:val="2"/>
              </w:rPr>
            </w:pPr>
          </w:p>
        </w:tc>
        <w:tc>
          <w:tcPr>
            <w:tcW w:w="1537" w:type="dxa"/>
            <w:vMerge w:val="restart"/>
            <w:tcBorders>
              <w:top w:val="single" w:sz="2" w:space="0" w:color="000000"/>
              <w:left w:val="single" w:sz="2" w:space="0" w:color="000000"/>
              <w:bottom w:val="single" w:sz="2" w:space="0" w:color="000000"/>
              <w:right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300" w:lineRule="atLeast" w:before="183"/>
              <w:ind w:left="103"/>
              <w:rPr>
                <w:sz w:val="20"/>
              </w:rPr>
            </w:pPr>
            <w:r>
              <w:rPr>
                <w:spacing w:val="-2"/>
                <w:sz w:val="20"/>
              </w:rPr>
              <w:t>Income Expenditure</w:t>
            </w:r>
          </w:p>
        </w:tc>
        <w:tc>
          <w:tcPr>
            <w:tcW w:w="1347" w:type="dxa"/>
            <w:vMerge w:val="restart"/>
            <w:tcBorders>
              <w:top w:val="single" w:sz="2" w:space="0" w:color="000000"/>
              <w:left w:val="nil"/>
              <w:bottom w:val="single" w:sz="2" w:space="0" w:color="000000"/>
              <w:right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
              <w:rPr>
                <w:b/>
                <w:sz w:val="17"/>
              </w:rPr>
            </w:pPr>
          </w:p>
          <w:p>
            <w:pPr>
              <w:pStyle w:val="TableParagraph"/>
              <w:ind w:right="161"/>
              <w:jc w:val="right"/>
              <w:rPr>
                <w:sz w:val="18"/>
              </w:rPr>
            </w:pPr>
            <w:r>
              <w:rPr>
                <w:spacing w:val="-5"/>
                <w:sz w:val="18"/>
              </w:rPr>
              <w:t>62</w:t>
            </w:r>
          </w:p>
          <w:p>
            <w:pPr>
              <w:pStyle w:val="TableParagraph"/>
              <w:spacing w:before="100"/>
              <w:ind w:right="160"/>
              <w:jc w:val="right"/>
              <w:rPr>
                <w:sz w:val="18"/>
              </w:rPr>
            </w:pPr>
            <w:r>
              <w:rPr>
                <w:spacing w:val="-2"/>
                <w:sz w:val="18"/>
              </w:rPr>
              <w:t>4,866</w:t>
            </w:r>
          </w:p>
        </w:tc>
        <w:tc>
          <w:tcPr>
            <w:tcW w:w="1216" w:type="dxa"/>
            <w:vMerge w:val="restart"/>
            <w:tcBorders>
              <w:top w:val="single" w:sz="2" w:space="0" w:color="000000"/>
              <w:left w:val="nil"/>
              <w:bottom w:val="single" w:sz="2" w:space="0" w:color="000000"/>
              <w:right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
              <w:rPr>
                <w:b/>
                <w:sz w:val="17"/>
              </w:rPr>
            </w:pPr>
          </w:p>
          <w:p>
            <w:pPr>
              <w:pStyle w:val="TableParagraph"/>
              <w:ind w:right="104"/>
              <w:jc w:val="right"/>
              <w:rPr>
                <w:sz w:val="18"/>
              </w:rPr>
            </w:pPr>
            <w:r>
              <w:rPr>
                <w:spacing w:val="-5"/>
                <w:sz w:val="18"/>
              </w:rPr>
              <w:t>15</w:t>
            </w:r>
          </w:p>
          <w:p>
            <w:pPr>
              <w:pStyle w:val="TableParagraph"/>
              <w:spacing w:before="100"/>
              <w:ind w:right="104"/>
              <w:jc w:val="right"/>
              <w:rPr>
                <w:sz w:val="18"/>
              </w:rPr>
            </w:pPr>
            <w:r>
              <w:rPr>
                <w:spacing w:val="-2"/>
                <w:sz w:val="18"/>
              </w:rPr>
              <w:t>4,837</w:t>
            </w:r>
          </w:p>
        </w:tc>
        <w:tc>
          <w:tcPr>
            <w:tcW w:w="1234" w:type="dxa"/>
            <w:vMerge w:val="restart"/>
            <w:tcBorders>
              <w:top w:val="single" w:sz="2" w:space="0" w:color="000000"/>
              <w:left w:val="nil"/>
              <w:bottom w:val="single" w:sz="2" w:space="0" w:color="000000"/>
              <w:right w:val="single" w:sz="12" w:space="0" w:color="000000"/>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
              <w:rPr>
                <w:b/>
                <w:sz w:val="17"/>
              </w:rPr>
            </w:pPr>
          </w:p>
          <w:p>
            <w:pPr>
              <w:pStyle w:val="TableParagraph"/>
              <w:ind w:right="89"/>
              <w:jc w:val="right"/>
              <w:rPr>
                <w:sz w:val="18"/>
              </w:rPr>
            </w:pPr>
            <w:r>
              <w:rPr>
                <w:spacing w:val="-5"/>
                <w:sz w:val="18"/>
              </w:rPr>
              <w:t>15</w:t>
            </w:r>
          </w:p>
          <w:p>
            <w:pPr>
              <w:pStyle w:val="TableParagraph"/>
              <w:spacing w:before="100"/>
              <w:ind w:right="89"/>
              <w:jc w:val="right"/>
              <w:rPr>
                <w:sz w:val="18"/>
              </w:rPr>
            </w:pPr>
            <w:r>
              <w:rPr>
                <w:spacing w:val="-2"/>
                <w:sz w:val="18"/>
              </w:rPr>
              <w:t>5,120</w:t>
            </w:r>
          </w:p>
        </w:tc>
      </w:tr>
      <w:tr>
        <w:trPr>
          <w:trHeight w:val="614" w:hRule="exact"/>
        </w:trPr>
        <w:tc>
          <w:tcPr>
            <w:tcW w:w="1553" w:type="dxa"/>
            <w:vMerge w:val="restart"/>
            <w:tcBorders>
              <w:top w:val="single" w:sz="2" w:space="0" w:color="000000"/>
              <w:left w:val="single" w:sz="12" w:space="0" w:color="000000"/>
              <w:bottom w:val="single" w:sz="2" w:space="0" w:color="000000"/>
              <w:right w:val="single" w:sz="2" w:space="0" w:color="000000"/>
            </w:tcBorders>
          </w:tcPr>
          <w:p>
            <w:pPr>
              <w:pStyle w:val="TableParagraph"/>
              <w:ind w:left="92" w:right="201"/>
              <w:rPr>
                <w:sz w:val="20"/>
              </w:rPr>
            </w:pPr>
            <w:r>
              <w:rPr>
                <w:spacing w:val="-2"/>
                <w:sz w:val="20"/>
              </w:rPr>
              <w:t>Parks maintenance</w:t>
            </w:r>
          </w:p>
        </w:tc>
        <w:tc>
          <w:tcPr>
            <w:tcW w:w="3540" w:type="dxa"/>
            <w:vMerge w:val="restart"/>
            <w:tcBorders>
              <w:top w:val="single" w:sz="2" w:space="0" w:color="000000"/>
              <w:left w:val="single" w:sz="2" w:space="0" w:color="000000"/>
              <w:bottom w:val="single" w:sz="2" w:space="0" w:color="000000"/>
              <w:right w:val="single" w:sz="2" w:space="0" w:color="000000"/>
            </w:tcBorders>
          </w:tcPr>
          <w:p>
            <w:pPr>
              <w:pStyle w:val="TableParagraph"/>
              <w:numPr>
                <w:ilvl w:val="0"/>
                <w:numId w:val="34"/>
              </w:numPr>
              <w:tabs>
                <w:tab w:pos="417" w:val="left" w:leader="none"/>
                <w:tab w:pos="418" w:val="left" w:leader="none"/>
              </w:tabs>
              <w:spacing w:line="244" w:lineRule="exact" w:before="0" w:after="0"/>
              <w:ind w:left="417" w:right="0" w:hanging="313"/>
              <w:jc w:val="left"/>
              <w:rPr>
                <w:sz w:val="20"/>
              </w:rPr>
            </w:pPr>
            <w:r>
              <w:rPr>
                <w:sz w:val="20"/>
              </w:rPr>
              <w:t>Landscaped</w:t>
            </w:r>
            <w:r>
              <w:rPr>
                <w:spacing w:val="-8"/>
                <w:sz w:val="20"/>
              </w:rPr>
              <w:t> </w:t>
            </w:r>
            <w:r>
              <w:rPr>
                <w:sz w:val="20"/>
              </w:rPr>
              <w:t>area</w:t>
            </w:r>
            <w:r>
              <w:rPr>
                <w:spacing w:val="-8"/>
                <w:sz w:val="20"/>
              </w:rPr>
              <w:t> </w:t>
            </w:r>
            <w:r>
              <w:rPr>
                <w:spacing w:val="-2"/>
                <w:sz w:val="20"/>
              </w:rPr>
              <w:t>maintenance</w:t>
            </w:r>
          </w:p>
          <w:p>
            <w:pPr>
              <w:pStyle w:val="TableParagraph"/>
              <w:numPr>
                <w:ilvl w:val="0"/>
                <w:numId w:val="34"/>
              </w:numPr>
              <w:tabs>
                <w:tab w:pos="417" w:val="left" w:leader="none"/>
                <w:tab w:pos="418" w:val="left" w:leader="none"/>
              </w:tabs>
              <w:spacing w:line="244" w:lineRule="exact" w:before="0" w:after="0"/>
              <w:ind w:left="417" w:right="0" w:hanging="313"/>
              <w:jc w:val="left"/>
              <w:rPr>
                <w:sz w:val="20"/>
              </w:rPr>
            </w:pPr>
            <w:r>
              <w:rPr>
                <w:sz w:val="20"/>
              </w:rPr>
              <w:t>Irrigation</w:t>
            </w:r>
            <w:r>
              <w:rPr>
                <w:spacing w:val="-13"/>
                <w:sz w:val="20"/>
              </w:rPr>
              <w:t> </w:t>
            </w:r>
            <w:r>
              <w:rPr>
                <w:spacing w:val="-2"/>
                <w:sz w:val="20"/>
              </w:rPr>
              <w:t>systems</w:t>
            </w:r>
          </w:p>
          <w:p>
            <w:pPr>
              <w:pStyle w:val="TableParagraph"/>
              <w:numPr>
                <w:ilvl w:val="0"/>
                <w:numId w:val="34"/>
              </w:numPr>
              <w:tabs>
                <w:tab w:pos="417" w:val="left" w:leader="none"/>
                <w:tab w:pos="418" w:val="left" w:leader="none"/>
              </w:tabs>
              <w:spacing w:line="244" w:lineRule="exact" w:before="0" w:after="0"/>
              <w:ind w:left="417" w:right="0" w:hanging="313"/>
              <w:jc w:val="left"/>
              <w:rPr>
                <w:sz w:val="20"/>
              </w:rPr>
            </w:pPr>
            <w:r>
              <w:rPr>
                <w:sz w:val="20"/>
              </w:rPr>
              <w:t>Marveloo</w:t>
            </w:r>
            <w:r>
              <w:rPr>
                <w:spacing w:val="-7"/>
                <w:sz w:val="20"/>
              </w:rPr>
              <w:t> </w:t>
            </w:r>
            <w:r>
              <w:rPr>
                <w:sz w:val="20"/>
              </w:rPr>
              <w:t>use</w:t>
            </w:r>
            <w:r>
              <w:rPr>
                <w:spacing w:val="-5"/>
                <w:sz w:val="20"/>
              </w:rPr>
              <w:t> </w:t>
            </w:r>
            <w:r>
              <w:rPr>
                <w:sz w:val="20"/>
              </w:rPr>
              <w:t>and</w:t>
            </w:r>
            <w:r>
              <w:rPr>
                <w:spacing w:val="-3"/>
                <w:sz w:val="20"/>
              </w:rPr>
              <w:t> </w:t>
            </w:r>
            <w:r>
              <w:rPr>
                <w:spacing w:val="-4"/>
                <w:sz w:val="20"/>
              </w:rPr>
              <w:t>hire</w:t>
            </w:r>
          </w:p>
          <w:p>
            <w:pPr>
              <w:pStyle w:val="TableParagraph"/>
              <w:numPr>
                <w:ilvl w:val="0"/>
                <w:numId w:val="34"/>
              </w:numPr>
              <w:tabs>
                <w:tab w:pos="417" w:val="left" w:leader="none"/>
                <w:tab w:pos="418" w:val="left" w:leader="none"/>
              </w:tabs>
              <w:spacing w:line="242" w:lineRule="exact" w:before="0" w:after="0"/>
              <w:ind w:left="417" w:right="0" w:hanging="313"/>
              <w:jc w:val="left"/>
              <w:rPr>
                <w:sz w:val="20"/>
              </w:rPr>
            </w:pPr>
            <w:r>
              <w:rPr>
                <w:sz w:val="20"/>
              </w:rPr>
              <w:t>Park</w:t>
            </w:r>
            <w:r>
              <w:rPr>
                <w:spacing w:val="-7"/>
                <w:sz w:val="20"/>
              </w:rPr>
              <w:t> </w:t>
            </w:r>
            <w:r>
              <w:rPr>
                <w:sz w:val="20"/>
              </w:rPr>
              <w:t>and</w:t>
            </w:r>
            <w:r>
              <w:rPr>
                <w:spacing w:val="-7"/>
                <w:sz w:val="20"/>
              </w:rPr>
              <w:t> </w:t>
            </w:r>
            <w:r>
              <w:rPr>
                <w:sz w:val="20"/>
              </w:rPr>
              <w:t>roadside</w:t>
            </w:r>
            <w:r>
              <w:rPr>
                <w:spacing w:val="-4"/>
                <w:sz w:val="20"/>
              </w:rPr>
              <w:t> </w:t>
            </w:r>
            <w:r>
              <w:rPr>
                <w:spacing w:val="-2"/>
                <w:sz w:val="20"/>
              </w:rPr>
              <w:t>mowing</w:t>
            </w:r>
          </w:p>
          <w:p>
            <w:pPr>
              <w:pStyle w:val="TableParagraph"/>
              <w:numPr>
                <w:ilvl w:val="0"/>
                <w:numId w:val="34"/>
              </w:numPr>
              <w:tabs>
                <w:tab w:pos="417" w:val="left" w:leader="none"/>
                <w:tab w:pos="418" w:val="left" w:leader="none"/>
              </w:tabs>
              <w:spacing w:line="244" w:lineRule="exact" w:before="0" w:after="0"/>
              <w:ind w:left="417" w:right="0" w:hanging="313"/>
              <w:jc w:val="left"/>
              <w:rPr>
                <w:sz w:val="20"/>
              </w:rPr>
            </w:pPr>
            <w:r>
              <w:rPr>
                <w:sz w:val="20"/>
              </w:rPr>
              <w:t>Park</w:t>
            </w:r>
            <w:r>
              <w:rPr>
                <w:spacing w:val="-8"/>
                <w:sz w:val="20"/>
              </w:rPr>
              <w:t> </w:t>
            </w:r>
            <w:r>
              <w:rPr>
                <w:sz w:val="20"/>
              </w:rPr>
              <w:t>furniture</w:t>
            </w:r>
            <w:r>
              <w:rPr>
                <w:spacing w:val="-4"/>
                <w:sz w:val="20"/>
              </w:rPr>
              <w:t> </w:t>
            </w:r>
            <w:r>
              <w:rPr>
                <w:spacing w:val="-2"/>
                <w:sz w:val="20"/>
              </w:rPr>
              <w:t>maintenance</w:t>
            </w:r>
          </w:p>
          <w:p>
            <w:pPr>
              <w:pStyle w:val="TableParagraph"/>
              <w:numPr>
                <w:ilvl w:val="0"/>
                <w:numId w:val="34"/>
              </w:numPr>
              <w:tabs>
                <w:tab w:pos="417" w:val="left" w:leader="none"/>
                <w:tab w:pos="418" w:val="left" w:leader="none"/>
              </w:tabs>
              <w:spacing w:line="235" w:lineRule="auto" w:before="4" w:after="0"/>
              <w:ind w:left="417" w:right="761" w:hanging="312"/>
              <w:jc w:val="left"/>
              <w:rPr>
                <w:sz w:val="20"/>
              </w:rPr>
            </w:pPr>
            <w:r>
              <w:rPr>
                <w:sz w:val="20"/>
              </w:rPr>
              <w:t>Play</w:t>
            </w:r>
            <w:r>
              <w:rPr>
                <w:spacing w:val="-13"/>
                <w:sz w:val="20"/>
              </w:rPr>
              <w:t> </w:t>
            </w:r>
            <w:r>
              <w:rPr>
                <w:sz w:val="20"/>
              </w:rPr>
              <w:t>space</w:t>
            </w:r>
            <w:r>
              <w:rPr>
                <w:spacing w:val="-14"/>
                <w:sz w:val="20"/>
              </w:rPr>
              <w:t> </w:t>
            </w:r>
            <w:r>
              <w:rPr>
                <w:sz w:val="20"/>
              </w:rPr>
              <w:t>and</w:t>
            </w:r>
            <w:r>
              <w:rPr>
                <w:spacing w:val="-14"/>
                <w:sz w:val="20"/>
              </w:rPr>
              <w:t> </w:t>
            </w:r>
            <w:r>
              <w:rPr>
                <w:sz w:val="20"/>
              </w:rPr>
              <w:t>equipment </w:t>
            </w:r>
            <w:r>
              <w:rPr>
                <w:spacing w:val="-2"/>
                <w:sz w:val="20"/>
              </w:rPr>
              <w:t>maintenance</w:t>
            </w:r>
          </w:p>
          <w:p>
            <w:pPr>
              <w:pStyle w:val="TableParagraph"/>
              <w:numPr>
                <w:ilvl w:val="0"/>
                <w:numId w:val="34"/>
              </w:numPr>
              <w:tabs>
                <w:tab w:pos="417" w:val="left" w:leader="none"/>
                <w:tab w:pos="418" w:val="left" w:leader="none"/>
              </w:tabs>
              <w:spacing w:line="245" w:lineRule="exact" w:before="3" w:after="0"/>
              <w:ind w:left="417" w:right="0" w:hanging="313"/>
              <w:jc w:val="left"/>
              <w:rPr>
                <w:sz w:val="20"/>
              </w:rPr>
            </w:pPr>
            <w:r>
              <w:rPr>
                <w:sz w:val="20"/>
              </w:rPr>
              <w:t>Reserve</w:t>
            </w:r>
            <w:r>
              <w:rPr>
                <w:spacing w:val="-8"/>
                <w:sz w:val="20"/>
              </w:rPr>
              <w:t> </w:t>
            </w:r>
            <w:r>
              <w:rPr>
                <w:sz w:val="20"/>
              </w:rPr>
              <w:t>fence</w:t>
            </w:r>
            <w:r>
              <w:rPr>
                <w:spacing w:val="-3"/>
                <w:sz w:val="20"/>
              </w:rPr>
              <w:t> </w:t>
            </w:r>
            <w:r>
              <w:rPr>
                <w:sz w:val="20"/>
              </w:rPr>
              <w:t>line</w:t>
            </w:r>
            <w:r>
              <w:rPr>
                <w:spacing w:val="-6"/>
                <w:sz w:val="20"/>
              </w:rPr>
              <w:t> </w:t>
            </w:r>
            <w:r>
              <w:rPr>
                <w:spacing w:val="-2"/>
                <w:sz w:val="20"/>
              </w:rPr>
              <w:t>program</w:t>
            </w:r>
          </w:p>
          <w:p>
            <w:pPr>
              <w:pStyle w:val="TableParagraph"/>
              <w:numPr>
                <w:ilvl w:val="0"/>
                <w:numId w:val="34"/>
              </w:numPr>
              <w:tabs>
                <w:tab w:pos="417" w:val="left" w:leader="none"/>
                <w:tab w:pos="418" w:val="left" w:leader="none"/>
              </w:tabs>
              <w:spacing w:line="237" w:lineRule="auto" w:before="2" w:after="0"/>
              <w:ind w:left="417" w:right="228" w:hanging="312"/>
              <w:jc w:val="left"/>
              <w:rPr>
                <w:sz w:val="20"/>
              </w:rPr>
            </w:pPr>
            <w:r>
              <w:rPr>
                <w:sz w:val="20"/>
              </w:rPr>
              <w:t>Neighbourhood,</w:t>
            </w:r>
            <w:r>
              <w:rPr>
                <w:spacing w:val="-14"/>
                <w:sz w:val="20"/>
              </w:rPr>
              <w:t> </w:t>
            </w:r>
            <w:r>
              <w:rPr>
                <w:sz w:val="20"/>
              </w:rPr>
              <w:t>community,</w:t>
            </w:r>
            <w:r>
              <w:rPr>
                <w:spacing w:val="-14"/>
                <w:sz w:val="20"/>
              </w:rPr>
              <w:t> </w:t>
            </w:r>
            <w:r>
              <w:rPr>
                <w:sz w:val="20"/>
              </w:rPr>
              <w:t>and local shopping centre </w:t>
            </w:r>
            <w:r>
              <w:rPr>
                <w:spacing w:val="-2"/>
                <w:sz w:val="20"/>
              </w:rPr>
              <w:t>maintenance</w:t>
            </w:r>
          </w:p>
          <w:p>
            <w:pPr>
              <w:pStyle w:val="TableParagraph"/>
              <w:numPr>
                <w:ilvl w:val="0"/>
                <w:numId w:val="34"/>
              </w:numPr>
              <w:tabs>
                <w:tab w:pos="417" w:val="left" w:leader="none"/>
                <w:tab w:pos="418" w:val="left" w:leader="none"/>
              </w:tabs>
              <w:spacing w:line="235" w:lineRule="auto" w:before="7" w:after="0"/>
              <w:ind w:left="417" w:right="1118" w:hanging="312"/>
              <w:jc w:val="left"/>
              <w:rPr>
                <w:sz w:val="20"/>
              </w:rPr>
            </w:pPr>
            <w:r>
              <w:rPr>
                <w:sz w:val="20"/>
              </w:rPr>
              <w:t>Skate</w:t>
            </w:r>
            <w:r>
              <w:rPr>
                <w:spacing w:val="-14"/>
                <w:sz w:val="20"/>
              </w:rPr>
              <w:t> </w:t>
            </w:r>
            <w:r>
              <w:rPr>
                <w:sz w:val="20"/>
              </w:rPr>
              <w:t>and</w:t>
            </w:r>
            <w:r>
              <w:rPr>
                <w:spacing w:val="-14"/>
                <w:sz w:val="20"/>
              </w:rPr>
              <w:t> </w:t>
            </w:r>
            <w:r>
              <w:rPr>
                <w:sz w:val="20"/>
              </w:rPr>
              <w:t>BMX</w:t>
            </w:r>
            <w:r>
              <w:rPr>
                <w:spacing w:val="-14"/>
                <w:sz w:val="20"/>
              </w:rPr>
              <w:t> </w:t>
            </w:r>
            <w:r>
              <w:rPr>
                <w:sz w:val="20"/>
              </w:rPr>
              <w:t>facility</w:t>
            </w:r>
            <w:r>
              <w:rPr>
                <w:sz w:val="20"/>
              </w:rPr>
              <w:t> </w:t>
            </w:r>
            <w:r>
              <w:rPr>
                <w:spacing w:val="-2"/>
                <w:sz w:val="20"/>
              </w:rPr>
              <w:t>maintenance.</w:t>
            </w:r>
          </w:p>
          <w:p>
            <w:pPr>
              <w:pStyle w:val="TableParagraph"/>
              <w:numPr>
                <w:ilvl w:val="0"/>
                <w:numId w:val="34"/>
              </w:numPr>
              <w:tabs>
                <w:tab w:pos="417" w:val="left" w:leader="none"/>
                <w:tab w:pos="418" w:val="left" w:leader="none"/>
              </w:tabs>
              <w:spacing w:line="235" w:lineRule="auto" w:before="8" w:after="0"/>
              <w:ind w:left="417" w:right="771" w:hanging="312"/>
              <w:jc w:val="left"/>
              <w:rPr>
                <w:sz w:val="20"/>
              </w:rPr>
            </w:pPr>
            <w:r>
              <w:rPr>
                <w:sz w:val="20"/>
              </w:rPr>
              <w:t>Tree</w:t>
            </w:r>
            <w:r>
              <w:rPr>
                <w:spacing w:val="-14"/>
                <w:sz w:val="20"/>
              </w:rPr>
              <w:t> </w:t>
            </w:r>
            <w:r>
              <w:rPr>
                <w:sz w:val="20"/>
              </w:rPr>
              <w:t>planting</w:t>
            </w:r>
            <w:r>
              <w:rPr>
                <w:spacing w:val="-12"/>
                <w:sz w:val="20"/>
              </w:rPr>
              <w:t> </w:t>
            </w:r>
            <w:r>
              <w:rPr>
                <w:sz w:val="20"/>
              </w:rPr>
              <w:t>(strategic</w:t>
            </w:r>
            <w:r>
              <w:rPr>
                <w:spacing w:val="-13"/>
                <w:sz w:val="20"/>
              </w:rPr>
              <w:t> </w:t>
            </w:r>
            <w:r>
              <w:rPr>
                <w:sz w:val="20"/>
              </w:rPr>
              <w:t>re- </w:t>
            </w:r>
            <w:r>
              <w:rPr>
                <w:spacing w:val="-2"/>
                <w:sz w:val="20"/>
              </w:rPr>
              <w:t>planting)</w:t>
            </w:r>
          </w:p>
          <w:p>
            <w:pPr>
              <w:pStyle w:val="TableParagraph"/>
              <w:numPr>
                <w:ilvl w:val="0"/>
                <w:numId w:val="34"/>
              </w:numPr>
              <w:tabs>
                <w:tab w:pos="417" w:val="left" w:leader="none"/>
                <w:tab w:pos="418" w:val="left" w:leader="none"/>
              </w:tabs>
              <w:spacing w:line="240" w:lineRule="auto" w:before="3" w:after="0"/>
              <w:ind w:left="417" w:right="0" w:hanging="313"/>
              <w:jc w:val="left"/>
              <w:rPr>
                <w:sz w:val="20"/>
              </w:rPr>
            </w:pPr>
            <w:r>
              <w:rPr>
                <w:sz w:val="20"/>
              </w:rPr>
              <w:t>Weed</w:t>
            </w:r>
            <w:r>
              <w:rPr>
                <w:spacing w:val="-5"/>
                <w:sz w:val="20"/>
              </w:rPr>
              <w:t> </w:t>
            </w:r>
            <w:r>
              <w:rPr>
                <w:sz w:val="20"/>
              </w:rPr>
              <w:t>and</w:t>
            </w:r>
            <w:r>
              <w:rPr>
                <w:spacing w:val="-4"/>
                <w:sz w:val="20"/>
              </w:rPr>
              <w:t> </w:t>
            </w:r>
            <w:r>
              <w:rPr>
                <w:sz w:val="20"/>
              </w:rPr>
              <w:t>litter</w:t>
            </w:r>
            <w:r>
              <w:rPr>
                <w:spacing w:val="-4"/>
                <w:sz w:val="20"/>
              </w:rPr>
              <w:t> </w:t>
            </w:r>
            <w:r>
              <w:rPr>
                <w:sz w:val="20"/>
              </w:rPr>
              <w:t>control</w:t>
            </w:r>
            <w:r>
              <w:rPr>
                <w:spacing w:val="-6"/>
                <w:sz w:val="20"/>
              </w:rPr>
              <w:t> </w:t>
            </w:r>
            <w:r>
              <w:rPr>
                <w:sz w:val="20"/>
              </w:rPr>
              <w:t>in</w:t>
            </w:r>
            <w:r>
              <w:rPr>
                <w:spacing w:val="-5"/>
                <w:sz w:val="20"/>
              </w:rPr>
              <w:t> </w:t>
            </w:r>
            <w:r>
              <w:rPr>
                <w:spacing w:val="-4"/>
                <w:sz w:val="20"/>
              </w:rPr>
              <w:t>parks</w:t>
            </w:r>
          </w:p>
        </w:tc>
        <w:tc>
          <w:tcPr>
            <w:tcW w:w="1537" w:type="dxa"/>
            <w:vMerge/>
            <w:tcBorders>
              <w:top w:val="nil"/>
              <w:left w:val="single" w:sz="2" w:space="0" w:color="000000"/>
              <w:bottom w:val="single" w:sz="2" w:space="0" w:color="000000"/>
              <w:right w:val="nil"/>
            </w:tcBorders>
          </w:tcPr>
          <w:p>
            <w:pPr>
              <w:rPr>
                <w:sz w:val="2"/>
                <w:szCs w:val="2"/>
              </w:rPr>
            </w:pPr>
          </w:p>
        </w:tc>
        <w:tc>
          <w:tcPr>
            <w:tcW w:w="1347" w:type="dxa"/>
            <w:vMerge/>
            <w:tcBorders>
              <w:top w:val="nil"/>
              <w:left w:val="nil"/>
              <w:bottom w:val="single" w:sz="2" w:space="0" w:color="000000"/>
              <w:right w:val="nil"/>
            </w:tcBorders>
          </w:tcPr>
          <w:p>
            <w:pPr>
              <w:rPr>
                <w:sz w:val="2"/>
                <w:szCs w:val="2"/>
              </w:rPr>
            </w:pPr>
          </w:p>
        </w:tc>
        <w:tc>
          <w:tcPr>
            <w:tcW w:w="1216" w:type="dxa"/>
            <w:vMerge/>
            <w:tcBorders>
              <w:top w:val="nil"/>
              <w:left w:val="nil"/>
              <w:bottom w:val="single" w:sz="2" w:space="0" w:color="000000"/>
              <w:right w:val="nil"/>
            </w:tcBorders>
          </w:tcPr>
          <w:p>
            <w:pPr>
              <w:rPr>
                <w:sz w:val="2"/>
                <w:szCs w:val="2"/>
              </w:rPr>
            </w:pPr>
          </w:p>
        </w:tc>
        <w:tc>
          <w:tcPr>
            <w:tcW w:w="1234" w:type="dxa"/>
            <w:vMerge/>
            <w:tcBorders>
              <w:top w:val="nil"/>
              <w:left w:val="nil"/>
              <w:bottom w:val="single" w:sz="2" w:space="0" w:color="000000"/>
              <w:right w:val="single" w:sz="12" w:space="0" w:color="000000"/>
            </w:tcBorders>
          </w:tcPr>
          <w:p>
            <w:pPr>
              <w:rPr>
                <w:sz w:val="2"/>
                <w:szCs w:val="2"/>
              </w:rPr>
            </w:pPr>
          </w:p>
        </w:tc>
      </w:tr>
      <w:tr>
        <w:trPr>
          <w:trHeight w:val="465" w:hRule="exact"/>
        </w:trPr>
        <w:tc>
          <w:tcPr>
            <w:tcW w:w="1553" w:type="dxa"/>
            <w:vMerge/>
            <w:tcBorders>
              <w:top w:val="nil"/>
              <w:left w:val="single" w:sz="12" w:space="0" w:color="000000"/>
              <w:bottom w:val="single" w:sz="2" w:space="0" w:color="000000"/>
              <w:right w:val="single" w:sz="2" w:space="0" w:color="000000"/>
            </w:tcBorders>
          </w:tcPr>
          <w:p>
            <w:pPr>
              <w:rPr>
                <w:sz w:val="2"/>
                <w:szCs w:val="2"/>
              </w:rPr>
            </w:pPr>
          </w:p>
        </w:tc>
        <w:tc>
          <w:tcPr>
            <w:tcW w:w="3540" w:type="dxa"/>
            <w:vMerge/>
            <w:tcBorders>
              <w:top w:val="nil"/>
              <w:left w:val="single" w:sz="2" w:space="0" w:color="000000"/>
              <w:bottom w:val="single" w:sz="2" w:space="0" w:color="000000"/>
              <w:right w:val="single" w:sz="2" w:space="0" w:color="000000"/>
            </w:tcBorders>
          </w:tcPr>
          <w:p>
            <w:pPr>
              <w:rPr>
                <w:sz w:val="2"/>
                <w:szCs w:val="2"/>
              </w:rPr>
            </w:pPr>
          </w:p>
        </w:tc>
        <w:tc>
          <w:tcPr>
            <w:tcW w:w="1537" w:type="dxa"/>
            <w:tcBorders>
              <w:top w:val="single" w:sz="2" w:space="0" w:color="000000"/>
              <w:left w:val="single" w:sz="2" w:space="0" w:color="000000"/>
              <w:bottom w:val="single" w:sz="2" w:space="0" w:color="000000"/>
              <w:right w:val="nil"/>
            </w:tcBorders>
          </w:tcPr>
          <w:p>
            <w:pPr>
              <w:pStyle w:val="TableParagraph"/>
              <w:spacing w:line="230" w:lineRule="exact"/>
              <w:ind w:left="103" w:right="569"/>
              <w:rPr>
                <w:b/>
                <w:sz w:val="20"/>
              </w:rPr>
            </w:pPr>
            <w:r>
              <w:rPr>
                <w:b/>
                <w:sz w:val="20"/>
              </w:rPr>
              <w:t>Surplus</w:t>
            </w:r>
            <w:r>
              <w:rPr>
                <w:b/>
                <w:spacing w:val="-14"/>
                <w:sz w:val="20"/>
              </w:rPr>
              <w:t> </w:t>
            </w:r>
            <w:r>
              <w:rPr>
                <w:b/>
                <w:sz w:val="20"/>
              </w:rPr>
              <w:t>/ </w:t>
            </w:r>
            <w:r>
              <w:rPr>
                <w:b/>
                <w:spacing w:val="-2"/>
                <w:sz w:val="20"/>
              </w:rPr>
              <w:t>(deficit)</w:t>
            </w:r>
          </w:p>
        </w:tc>
        <w:tc>
          <w:tcPr>
            <w:tcW w:w="1347" w:type="dxa"/>
            <w:tcBorders>
              <w:top w:val="single" w:sz="2" w:space="0" w:color="000000"/>
              <w:left w:val="nil"/>
              <w:bottom w:val="single" w:sz="2" w:space="0" w:color="000000"/>
              <w:right w:val="nil"/>
            </w:tcBorders>
          </w:tcPr>
          <w:p>
            <w:pPr>
              <w:pStyle w:val="TableParagraph"/>
              <w:spacing w:line="206" w:lineRule="exact"/>
              <w:ind w:right="160"/>
              <w:jc w:val="right"/>
              <w:rPr>
                <w:b/>
                <w:sz w:val="18"/>
              </w:rPr>
            </w:pPr>
            <w:r>
              <w:rPr>
                <w:b/>
                <w:spacing w:val="-2"/>
                <w:sz w:val="18"/>
              </w:rPr>
              <w:t>(4,804)</w:t>
            </w:r>
          </w:p>
        </w:tc>
        <w:tc>
          <w:tcPr>
            <w:tcW w:w="1216" w:type="dxa"/>
            <w:tcBorders>
              <w:top w:val="single" w:sz="2" w:space="0" w:color="000000"/>
              <w:left w:val="nil"/>
              <w:bottom w:val="single" w:sz="2" w:space="0" w:color="000000"/>
              <w:right w:val="nil"/>
            </w:tcBorders>
          </w:tcPr>
          <w:p>
            <w:pPr>
              <w:pStyle w:val="TableParagraph"/>
              <w:spacing w:line="206" w:lineRule="exact"/>
              <w:ind w:right="104"/>
              <w:jc w:val="right"/>
              <w:rPr>
                <w:b/>
                <w:sz w:val="18"/>
              </w:rPr>
            </w:pPr>
            <w:r>
              <w:rPr>
                <w:b/>
                <w:spacing w:val="-2"/>
                <w:sz w:val="18"/>
              </w:rPr>
              <w:t>(4,822)</w:t>
            </w:r>
          </w:p>
        </w:tc>
        <w:tc>
          <w:tcPr>
            <w:tcW w:w="1234" w:type="dxa"/>
            <w:tcBorders>
              <w:top w:val="single" w:sz="2" w:space="0" w:color="000000"/>
              <w:left w:val="nil"/>
              <w:bottom w:val="single" w:sz="2" w:space="0" w:color="000000"/>
              <w:right w:val="single" w:sz="12" w:space="0" w:color="000000"/>
            </w:tcBorders>
          </w:tcPr>
          <w:p>
            <w:pPr>
              <w:pStyle w:val="TableParagraph"/>
              <w:spacing w:line="206" w:lineRule="exact"/>
              <w:ind w:right="89"/>
              <w:jc w:val="right"/>
              <w:rPr>
                <w:b/>
                <w:sz w:val="18"/>
              </w:rPr>
            </w:pPr>
            <w:r>
              <w:rPr>
                <w:b/>
                <w:spacing w:val="-2"/>
                <w:sz w:val="18"/>
              </w:rPr>
              <w:t>(5,105)</w:t>
            </w:r>
          </w:p>
        </w:tc>
      </w:tr>
      <w:tr>
        <w:trPr>
          <w:trHeight w:val="2952" w:hRule="exact"/>
        </w:trPr>
        <w:tc>
          <w:tcPr>
            <w:tcW w:w="1553" w:type="dxa"/>
            <w:vMerge/>
            <w:tcBorders>
              <w:top w:val="nil"/>
              <w:left w:val="single" w:sz="12" w:space="0" w:color="000000"/>
              <w:bottom w:val="single" w:sz="2" w:space="0" w:color="000000"/>
              <w:right w:val="single" w:sz="2" w:space="0" w:color="000000"/>
            </w:tcBorders>
          </w:tcPr>
          <w:p>
            <w:pPr>
              <w:rPr>
                <w:sz w:val="2"/>
                <w:szCs w:val="2"/>
              </w:rPr>
            </w:pPr>
          </w:p>
        </w:tc>
        <w:tc>
          <w:tcPr>
            <w:tcW w:w="3540" w:type="dxa"/>
            <w:vMerge/>
            <w:tcBorders>
              <w:top w:val="nil"/>
              <w:left w:val="single" w:sz="2" w:space="0" w:color="000000"/>
              <w:bottom w:val="single" w:sz="2" w:space="0" w:color="000000"/>
              <w:right w:val="single" w:sz="2" w:space="0" w:color="000000"/>
            </w:tcBorders>
          </w:tcPr>
          <w:p>
            <w:pPr>
              <w:rPr>
                <w:sz w:val="2"/>
                <w:szCs w:val="2"/>
              </w:rPr>
            </w:pPr>
          </w:p>
        </w:tc>
        <w:tc>
          <w:tcPr>
            <w:tcW w:w="1537" w:type="dxa"/>
            <w:vMerge w:val="restart"/>
            <w:tcBorders>
              <w:top w:val="single" w:sz="2" w:space="0" w:color="000000"/>
              <w:left w:val="single" w:sz="2" w:space="0" w:color="000000"/>
              <w:bottom w:val="single" w:sz="2" w:space="0" w:color="000000"/>
              <w:right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6"/>
              <w:rPr>
                <w:b/>
                <w:sz w:val="30"/>
              </w:rPr>
            </w:pPr>
          </w:p>
          <w:p>
            <w:pPr>
              <w:pStyle w:val="TableParagraph"/>
              <w:spacing w:line="300" w:lineRule="atLeast"/>
              <w:ind w:left="103"/>
              <w:rPr>
                <w:sz w:val="20"/>
              </w:rPr>
            </w:pPr>
            <w:r>
              <w:rPr>
                <w:spacing w:val="-2"/>
                <w:sz w:val="20"/>
              </w:rPr>
              <w:t>Income Expenditure</w:t>
            </w:r>
          </w:p>
        </w:tc>
        <w:tc>
          <w:tcPr>
            <w:tcW w:w="1347" w:type="dxa"/>
            <w:vMerge w:val="restart"/>
            <w:tcBorders>
              <w:top w:val="single" w:sz="2" w:space="0" w:color="000000"/>
              <w:left w:val="nil"/>
              <w:bottom w:val="single" w:sz="2" w:space="0" w:color="000000"/>
              <w:right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7"/>
              <w:rPr>
                <w:b/>
                <w:sz w:val="16"/>
              </w:rPr>
            </w:pPr>
          </w:p>
          <w:p>
            <w:pPr>
              <w:pStyle w:val="TableParagraph"/>
              <w:ind w:right="161"/>
              <w:jc w:val="right"/>
              <w:rPr>
                <w:sz w:val="18"/>
              </w:rPr>
            </w:pPr>
            <w:r>
              <w:rPr>
                <w:spacing w:val="-5"/>
                <w:sz w:val="18"/>
              </w:rPr>
              <w:t>25</w:t>
            </w:r>
          </w:p>
          <w:p>
            <w:pPr>
              <w:pStyle w:val="TableParagraph"/>
              <w:spacing w:before="100"/>
              <w:ind w:right="160"/>
              <w:jc w:val="right"/>
              <w:rPr>
                <w:sz w:val="18"/>
              </w:rPr>
            </w:pPr>
            <w:r>
              <w:rPr>
                <w:spacing w:val="-2"/>
                <w:sz w:val="18"/>
              </w:rPr>
              <w:t>4,332</w:t>
            </w:r>
          </w:p>
        </w:tc>
        <w:tc>
          <w:tcPr>
            <w:tcW w:w="1216" w:type="dxa"/>
            <w:vMerge w:val="restart"/>
            <w:tcBorders>
              <w:top w:val="single" w:sz="2" w:space="0" w:color="000000"/>
              <w:left w:val="nil"/>
              <w:bottom w:val="single" w:sz="2" w:space="0" w:color="000000"/>
              <w:right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7"/>
              <w:rPr>
                <w:b/>
                <w:sz w:val="16"/>
              </w:rPr>
            </w:pPr>
          </w:p>
          <w:p>
            <w:pPr>
              <w:pStyle w:val="TableParagraph"/>
              <w:ind w:right="104"/>
              <w:jc w:val="right"/>
              <w:rPr>
                <w:sz w:val="18"/>
              </w:rPr>
            </w:pPr>
            <w:r>
              <w:rPr>
                <w:spacing w:val="-5"/>
                <w:sz w:val="18"/>
              </w:rPr>
              <w:t>48</w:t>
            </w:r>
          </w:p>
          <w:p>
            <w:pPr>
              <w:pStyle w:val="TableParagraph"/>
              <w:spacing w:before="100"/>
              <w:ind w:right="104"/>
              <w:jc w:val="right"/>
              <w:rPr>
                <w:sz w:val="18"/>
              </w:rPr>
            </w:pPr>
            <w:r>
              <w:rPr>
                <w:spacing w:val="-2"/>
                <w:sz w:val="18"/>
              </w:rPr>
              <w:t>4,227</w:t>
            </w:r>
          </w:p>
        </w:tc>
        <w:tc>
          <w:tcPr>
            <w:tcW w:w="1234" w:type="dxa"/>
            <w:vMerge w:val="restart"/>
            <w:tcBorders>
              <w:top w:val="single" w:sz="2" w:space="0" w:color="000000"/>
              <w:left w:val="nil"/>
              <w:bottom w:val="single" w:sz="2" w:space="0" w:color="000000"/>
              <w:right w:val="single" w:sz="12" w:space="0" w:color="000000"/>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7"/>
              <w:rPr>
                <w:b/>
                <w:sz w:val="16"/>
              </w:rPr>
            </w:pPr>
          </w:p>
          <w:p>
            <w:pPr>
              <w:pStyle w:val="TableParagraph"/>
              <w:ind w:right="89"/>
              <w:jc w:val="right"/>
              <w:rPr>
                <w:sz w:val="18"/>
              </w:rPr>
            </w:pPr>
            <w:r>
              <w:rPr>
                <w:spacing w:val="-5"/>
                <w:sz w:val="18"/>
              </w:rPr>
              <w:t>52</w:t>
            </w:r>
          </w:p>
          <w:p>
            <w:pPr>
              <w:pStyle w:val="TableParagraph"/>
              <w:spacing w:before="100"/>
              <w:ind w:right="89"/>
              <w:jc w:val="right"/>
              <w:rPr>
                <w:sz w:val="18"/>
              </w:rPr>
            </w:pPr>
            <w:r>
              <w:rPr>
                <w:spacing w:val="-2"/>
                <w:sz w:val="18"/>
              </w:rPr>
              <w:t>4,315</w:t>
            </w:r>
          </w:p>
        </w:tc>
      </w:tr>
      <w:tr>
        <w:trPr>
          <w:trHeight w:val="616" w:hRule="exact"/>
        </w:trPr>
        <w:tc>
          <w:tcPr>
            <w:tcW w:w="1553" w:type="dxa"/>
            <w:vMerge w:val="restart"/>
            <w:tcBorders>
              <w:top w:val="single" w:sz="2" w:space="0" w:color="000000"/>
              <w:left w:val="single" w:sz="12" w:space="0" w:color="000000"/>
              <w:bottom w:val="single" w:sz="2" w:space="0" w:color="000000"/>
              <w:right w:val="single" w:sz="2" w:space="0" w:color="000000"/>
            </w:tcBorders>
          </w:tcPr>
          <w:p>
            <w:pPr>
              <w:pStyle w:val="TableParagraph"/>
              <w:ind w:left="92" w:right="201"/>
              <w:rPr>
                <w:sz w:val="20"/>
              </w:rPr>
            </w:pPr>
            <w:r>
              <w:rPr>
                <w:spacing w:val="-4"/>
                <w:sz w:val="20"/>
              </w:rPr>
              <w:t>Tree </w:t>
            </w:r>
            <w:r>
              <w:rPr>
                <w:spacing w:val="-2"/>
                <w:sz w:val="20"/>
              </w:rPr>
              <w:t>maintenance</w:t>
            </w:r>
          </w:p>
        </w:tc>
        <w:tc>
          <w:tcPr>
            <w:tcW w:w="3540" w:type="dxa"/>
            <w:vMerge w:val="restart"/>
            <w:tcBorders>
              <w:top w:val="single" w:sz="2" w:space="0" w:color="000000"/>
              <w:left w:val="single" w:sz="2" w:space="0" w:color="000000"/>
              <w:bottom w:val="single" w:sz="2" w:space="0" w:color="000000"/>
              <w:right w:val="single" w:sz="2" w:space="0" w:color="000000"/>
            </w:tcBorders>
          </w:tcPr>
          <w:p>
            <w:pPr>
              <w:pStyle w:val="TableParagraph"/>
              <w:numPr>
                <w:ilvl w:val="0"/>
                <w:numId w:val="35"/>
              </w:numPr>
              <w:tabs>
                <w:tab w:pos="417" w:val="left" w:leader="none"/>
                <w:tab w:pos="418" w:val="left" w:leader="none"/>
              </w:tabs>
              <w:spacing w:line="235" w:lineRule="auto" w:before="4" w:after="0"/>
              <w:ind w:left="417" w:right="1250" w:hanging="312"/>
              <w:jc w:val="left"/>
              <w:rPr>
                <w:sz w:val="20"/>
              </w:rPr>
            </w:pPr>
            <w:r>
              <w:rPr>
                <w:sz w:val="20"/>
              </w:rPr>
              <w:t>Power-line</w:t>
            </w:r>
            <w:r>
              <w:rPr>
                <w:spacing w:val="-14"/>
                <w:sz w:val="20"/>
              </w:rPr>
              <w:t> </w:t>
            </w:r>
            <w:r>
              <w:rPr>
                <w:sz w:val="20"/>
              </w:rPr>
              <w:t>clearance</w:t>
            </w:r>
            <w:r>
              <w:rPr>
                <w:sz w:val="20"/>
              </w:rPr>
              <w:t> </w:t>
            </w:r>
            <w:r>
              <w:rPr>
                <w:spacing w:val="-2"/>
                <w:sz w:val="20"/>
              </w:rPr>
              <w:t>management</w:t>
            </w:r>
          </w:p>
          <w:p>
            <w:pPr>
              <w:pStyle w:val="TableParagraph"/>
              <w:numPr>
                <w:ilvl w:val="0"/>
                <w:numId w:val="35"/>
              </w:numPr>
              <w:tabs>
                <w:tab w:pos="417" w:val="left" w:leader="none"/>
                <w:tab w:pos="418" w:val="left" w:leader="none"/>
              </w:tabs>
              <w:spacing w:line="245" w:lineRule="exact" w:before="3" w:after="0"/>
              <w:ind w:left="417" w:right="0" w:hanging="313"/>
              <w:jc w:val="left"/>
              <w:rPr>
                <w:sz w:val="20"/>
              </w:rPr>
            </w:pPr>
            <w:r>
              <w:rPr>
                <w:sz w:val="20"/>
              </w:rPr>
              <w:t>Storm</w:t>
            </w:r>
            <w:r>
              <w:rPr>
                <w:spacing w:val="-7"/>
                <w:sz w:val="20"/>
              </w:rPr>
              <w:t> </w:t>
            </w:r>
            <w:r>
              <w:rPr>
                <w:sz w:val="20"/>
              </w:rPr>
              <w:t>damage</w:t>
            </w:r>
            <w:r>
              <w:rPr>
                <w:spacing w:val="-10"/>
                <w:sz w:val="20"/>
              </w:rPr>
              <w:t> </w:t>
            </w:r>
            <w:r>
              <w:rPr>
                <w:sz w:val="20"/>
              </w:rPr>
              <w:t>remedial</w:t>
            </w:r>
            <w:r>
              <w:rPr>
                <w:spacing w:val="-7"/>
                <w:sz w:val="20"/>
              </w:rPr>
              <w:t> </w:t>
            </w:r>
            <w:r>
              <w:rPr>
                <w:spacing w:val="-4"/>
                <w:sz w:val="20"/>
              </w:rPr>
              <w:t>work</w:t>
            </w:r>
          </w:p>
          <w:p>
            <w:pPr>
              <w:pStyle w:val="TableParagraph"/>
              <w:numPr>
                <w:ilvl w:val="0"/>
                <w:numId w:val="35"/>
              </w:numPr>
              <w:tabs>
                <w:tab w:pos="417" w:val="left" w:leader="none"/>
                <w:tab w:pos="418" w:val="left" w:leader="none"/>
              </w:tabs>
              <w:spacing w:line="244" w:lineRule="exact" w:before="0" w:after="0"/>
              <w:ind w:left="417" w:right="0" w:hanging="313"/>
              <w:jc w:val="left"/>
              <w:rPr>
                <w:sz w:val="20"/>
              </w:rPr>
            </w:pPr>
            <w:r>
              <w:rPr>
                <w:sz w:val="20"/>
              </w:rPr>
              <w:t>Tree</w:t>
            </w:r>
            <w:r>
              <w:rPr>
                <w:spacing w:val="-7"/>
                <w:sz w:val="20"/>
              </w:rPr>
              <w:t> </w:t>
            </w:r>
            <w:r>
              <w:rPr>
                <w:spacing w:val="-2"/>
                <w:sz w:val="20"/>
              </w:rPr>
              <w:t>inspections</w:t>
            </w:r>
          </w:p>
          <w:p>
            <w:pPr>
              <w:pStyle w:val="TableParagraph"/>
              <w:numPr>
                <w:ilvl w:val="0"/>
                <w:numId w:val="35"/>
              </w:numPr>
              <w:tabs>
                <w:tab w:pos="417" w:val="left" w:leader="none"/>
                <w:tab w:pos="418" w:val="left" w:leader="none"/>
              </w:tabs>
              <w:spacing w:line="240" w:lineRule="auto" w:before="0" w:after="0"/>
              <w:ind w:left="417" w:right="1116" w:hanging="312"/>
              <w:jc w:val="left"/>
              <w:rPr>
                <w:sz w:val="20"/>
              </w:rPr>
            </w:pPr>
            <w:r>
              <w:rPr>
                <w:sz w:val="20"/>
              </w:rPr>
              <w:t>Tree</w:t>
            </w:r>
            <w:r>
              <w:rPr>
                <w:spacing w:val="-14"/>
                <w:sz w:val="20"/>
              </w:rPr>
              <w:t> </w:t>
            </w:r>
            <w:r>
              <w:rPr>
                <w:sz w:val="20"/>
              </w:rPr>
              <w:t>maintenance</w:t>
            </w:r>
            <w:r>
              <w:rPr>
                <w:spacing w:val="-14"/>
                <w:sz w:val="20"/>
              </w:rPr>
              <w:t> </w:t>
            </w:r>
            <w:r>
              <w:rPr>
                <w:sz w:val="20"/>
              </w:rPr>
              <w:t>and </w:t>
            </w:r>
            <w:r>
              <w:rPr>
                <w:spacing w:val="-2"/>
                <w:sz w:val="20"/>
              </w:rPr>
              <w:t>management</w:t>
            </w:r>
          </w:p>
          <w:p>
            <w:pPr>
              <w:pStyle w:val="TableParagraph"/>
              <w:numPr>
                <w:ilvl w:val="0"/>
                <w:numId w:val="35"/>
              </w:numPr>
              <w:tabs>
                <w:tab w:pos="417" w:val="left" w:leader="none"/>
                <w:tab w:pos="418" w:val="left" w:leader="none"/>
              </w:tabs>
              <w:spacing w:line="240" w:lineRule="auto" w:before="0" w:after="0"/>
              <w:ind w:left="417" w:right="0" w:hanging="313"/>
              <w:jc w:val="left"/>
              <w:rPr>
                <w:sz w:val="20"/>
              </w:rPr>
            </w:pPr>
            <w:r>
              <w:rPr>
                <w:sz w:val="20"/>
              </w:rPr>
              <w:t>Tree</w:t>
            </w:r>
            <w:r>
              <w:rPr>
                <w:spacing w:val="-8"/>
                <w:sz w:val="20"/>
              </w:rPr>
              <w:t> </w:t>
            </w:r>
            <w:r>
              <w:rPr>
                <w:sz w:val="20"/>
              </w:rPr>
              <w:t>planting</w:t>
            </w:r>
            <w:r>
              <w:rPr>
                <w:spacing w:val="-5"/>
                <w:sz w:val="20"/>
              </w:rPr>
              <w:t> </w:t>
            </w:r>
            <w:r>
              <w:rPr>
                <w:spacing w:val="-2"/>
                <w:sz w:val="20"/>
              </w:rPr>
              <w:t>(programmed)</w:t>
            </w:r>
          </w:p>
        </w:tc>
        <w:tc>
          <w:tcPr>
            <w:tcW w:w="1537" w:type="dxa"/>
            <w:vMerge/>
            <w:tcBorders>
              <w:top w:val="nil"/>
              <w:left w:val="single" w:sz="2" w:space="0" w:color="000000"/>
              <w:bottom w:val="single" w:sz="2" w:space="0" w:color="000000"/>
              <w:right w:val="nil"/>
            </w:tcBorders>
          </w:tcPr>
          <w:p>
            <w:pPr>
              <w:rPr>
                <w:sz w:val="2"/>
                <w:szCs w:val="2"/>
              </w:rPr>
            </w:pPr>
          </w:p>
        </w:tc>
        <w:tc>
          <w:tcPr>
            <w:tcW w:w="1347" w:type="dxa"/>
            <w:vMerge/>
            <w:tcBorders>
              <w:top w:val="nil"/>
              <w:left w:val="nil"/>
              <w:bottom w:val="single" w:sz="2" w:space="0" w:color="000000"/>
              <w:right w:val="nil"/>
            </w:tcBorders>
          </w:tcPr>
          <w:p>
            <w:pPr>
              <w:rPr>
                <w:sz w:val="2"/>
                <w:szCs w:val="2"/>
              </w:rPr>
            </w:pPr>
          </w:p>
        </w:tc>
        <w:tc>
          <w:tcPr>
            <w:tcW w:w="1216" w:type="dxa"/>
            <w:vMerge/>
            <w:tcBorders>
              <w:top w:val="nil"/>
              <w:left w:val="nil"/>
              <w:bottom w:val="single" w:sz="2" w:space="0" w:color="000000"/>
              <w:right w:val="nil"/>
            </w:tcBorders>
          </w:tcPr>
          <w:p>
            <w:pPr>
              <w:rPr>
                <w:sz w:val="2"/>
                <w:szCs w:val="2"/>
              </w:rPr>
            </w:pPr>
          </w:p>
        </w:tc>
        <w:tc>
          <w:tcPr>
            <w:tcW w:w="1234" w:type="dxa"/>
            <w:vMerge/>
            <w:tcBorders>
              <w:top w:val="nil"/>
              <w:left w:val="nil"/>
              <w:bottom w:val="single" w:sz="2" w:space="0" w:color="000000"/>
              <w:right w:val="single" w:sz="12" w:space="0" w:color="000000"/>
            </w:tcBorders>
          </w:tcPr>
          <w:p>
            <w:pPr>
              <w:rPr>
                <w:sz w:val="2"/>
                <w:szCs w:val="2"/>
              </w:rPr>
            </w:pPr>
          </w:p>
        </w:tc>
      </w:tr>
      <w:tr>
        <w:trPr>
          <w:trHeight w:val="463" w:hRule="exact"/>
        </w:trPr>
        <w:tc>
          <w:tcPr>
            <w:tcW w:w="1553" w:type="dxa"/>
            <w:vMerge/>
            <w:tcBorders>
              <w:top w:val="nil"/>
              <w:left w:val="single" w:sz="12" w:space="0" w:color="000000"/>
              <w:bottom w:val="single" w:sz="2" w:space="0" w:color="000000"/>
              <w:right w:val="single" w:sz="2" w:space="0" w:color="000000"/>
            </w:tcBorders>
          </w:tcPr>
          <w:p>
            <w:pPr>
              <w:rPr>
                <w:sz w:val="2"/>
                <w:szCs w:val="2"/>
              </w:rPr>
            </w:pPr>
          </w:p>
        </w:tc>
        <w:tc>
          <w:tcPr>
            <w:tcW w:w="3540" w:type="dxa"/>
            <w:vMerge/>
            <w:tcBorders>
              <w:top w:val="nil"/>
              <w:left w:val="single" w:sz="2" w:space="0" w:color="000000"/>
              <w:bottom w:val="single" w:sz="2" w:space="0" w:color="000000"/>
              <w:right w:val="single" w:sz="2" w:space="0" w:color="000000"/>
            </w:tcBorders>
          </w:tcPr>
          <w:p>
            <w:pPr>
              <w:rPr>
                <w:sz w:val="2"/>
                <w:szCs w:val="2"/>
              </w:rPr>
            </w:pPr>
          </w:p>
        </w:tc>
        <w:tc>
          <w:tcPr>
            <w:tcW w:w="1537" w:type="dxa"/>
            <w:tcBorders>
              <w:top w:val="single" w:sz="2" w:space="0" w:color="000000"/>
              <w:left w:val="single" w:sz="2" w:space="0" w:color="000000"/>
              <w:bottom w:val="single" w:sz="2" w:space="0" w:color="000000"/>
              <w:right w:val="nil"/>
            </w:tcBorders>
          </w:tcPr>
          <w:p>
            <w:pPr>
              <w:pStyle w:val="TableParagraph"/>
              <w:spacing w:line="228" w:lineRule="exact"/>
              <w:ind w:left="103" w:right="569"/>
              <w:rPr>
                <w:b/>
                <w:sz w:val="20"/>
              </w:rPr>
            </w:pPr>
            <w:r>
              <w:rPr>
                <w:b/>
                <w:sz w:val="20"/>
              </w:rPr>
              <w:t>Surplus</w:t>
            </w:r>
            <w:r>
              <w:rPr>
                <w:b/>
                <w:spacing w:val="-14"/>
                <w:sz w:val="20"/>
              </w:rPr>
              <w:t> </w:t>
            </w:r>
            <w:r>
              <w:rPr>
                <w:b/>
                <w:sz w:val="20"/>
              </w:rPr>
              <w:t>/ </w:t>
            </w:r>
            <w:r>
              <w:rPr>
                <w:b/>
                <w:spacing w:val="-2"/>
                <w:sz w:val="20"/>
              </w:rPr>
              <w:t>(deficit)</w:t>
            </w:r>
          </w:p>
        </w:tc>
        <w:tc>
          <w:tcPr>
            <w:tcW w:w="1347" w:type="dxa"/>
            <w:tcBorders>
              <w:top w:val="single" w:sz="2" w:space="0" w:color="000000"/>
              <w:left w:val="nil"/>
              <w:bottom w:val="single" w:sz="2" w:space="0" w:color="000000"/>
              <w:right w:val="nil"/>
            </w:tcBorders>
          </w:tcPr>
          <w:p>
            <w:pPr>
              <w:pStyle w:val="TableParagraph"/>
              <w:spacing w:line="206" w:lineRule="exact"/>
              <w:ind w:right="160"/>
              <w:jc w:val="right"/>
              <w:rPr>
                <w:b/>
                <w:sz w:val="18"/>
              </w:rPr>
            </w:pPr>
            <w:r>
              <w:rPr>
                <w:b/>
                <w:spacing w:val="-2"/>
                <w:sz w:val="18"/>
              </w:rPr>
              <w:t>(4,307)</w:t>
            </w:r>
          </w:p>
        </w:tc>
        <w:tc>
          <w:tcPr>
            <w:tcW w:w="1216" w:type="dxa"/>
            <w:tcBorders>
              <w:top w:val="single" w:sz="2" w:space="0" w:color="000000"/>
              <w:left w:val="nil"/>
              <w:bottom w:val="single" w:sz="2" w:space="0" w:color="000000"/>
              <w:right w:val="nil"/>
            </w:tcBorders>
          </w:tcPr>
          <w:p>
            <w:pPr>
              <w:pStyle w:val="TableParagraph"/>
              <w:spacing w:line="206" w:lineRule="exact"/>
              <w:ind w:right="104"/>
              <w:jc w:val="right"/>
              <w:rPr>
                <w:b/>
                <w:sz w:val="18"/>
              </w:rPr>
            </w:pPr>
            <w:r>
              <w:rPr>
                <w:b/>
                <w:spacing w:val="-2"/>
                <w:sz w:val="18"/>
              </w:rPr>
              <w:t>(4,179)</w:t>
            </w:r>
          </w:p>
        </w:tc>
        <w:tc>
          <w:tcPr>
            <w:tcW w:w="1234" w:type="dxa"/>
            <w:tcBorders>
              <w:top w:val="single" w:sz="2" w:space="0" w:color="000000"/>
              <w:left w:val="nil"/>
              <w:bottom w:val="single" w:sz="2" w:space="0" w:color="000000"/>
              <w:right w:val="single" w:sz="12" w:space="0" w:color="000000"/>
            </w:tcBorders>
          </w:tcPr>
          <w:p>
            <w:pPr>
              <w:pStyle w:val="TableParagraph"/>
              <w:spacing w:line="206" w:lineRule="exact"/>
              <w:ind w:right="89"/>
              <w:jc w:val="right"/>
              <w:rPr>
                <w:b/>
                <w:sz w:val="18"/>
              </w:rPr>
            </w:pPr>
            <w:r>
              <w:rPr>
                <w:b/>
                <w:spacing w:val="-2"/>
                <w:sz w:val="18"/>
              </w:rPr>
              <w:t>(4,263)</w:t>
            </w:r>
          </w:p>
        </w:tc>
      </w:tr>
      <w:tr>
        <w:trPr>
          <w:trHeight w:val="1123" w:hRule="exact"/>
        </w:trPr>
        <w:tc>
          <w:tcPr>
            <w:tcW w:w="1553" w:type="dxa"/>
            <w:vMerge/>
            <w:tcBorders>
              <w:top w:val="nil"/>
              <w:left w:val="single" w:sz="12" w:space="0" w:color="000000"/>
              <w:bottom w:val="single" w:sz="2" w:space="0" w:color="000000"/>
              <w:right w:val="single" w:sz="2" w:space="0" w:color="000000"/>
            </w:tcBorders>
          </w:tcPr>
          <w:p>
            <w:pPr>
              <w:rPr>
                <w:sz w:val="2"/>
                <w:szCs w:val="2"/>
              </w:rPr>
            </w:pPr>
          </w:p>
        </w:tc>
        <w:tc>
          <w:tcPr>
            <w:tcW w:w="3540" w:type="dxa"/>
            <w:vMerge/>
            <w:tcBorders>
              <w:top w:val="nil"/>
              <w:left w:val="single" w:sz="2" w:space="0" w:color="000000"/>
              <w:bottom w:val="single" w:sz="2" w:space="0" w:color="000000"/>
              <w:right w:val="single" w:sz="2" w:space="0" w:color="000000"/>
            </w:tcBorders>
          </w:tcPr>
          <w:p>
            <w:pPr>
              <w:rPr>
                <w:sz w:val="2"/>
                <w:szCs w:val="2"/>
              </w:rPr>
            </w:pPr>
          </w:p>
        </w:tc>
        <w:tc>
          <w:tcPr>
            <w:tcW w:w="1537" w:type="dxa"/>
            <w:vMerge w:val="restart"/>
            <w:tcBorders>
              <w:top w:val="single" w:sz="2" w:space="0" w:color="000000"/>
              <w:left w:val="single" w:sz="2" w:space="0" w:color="000000"/>
              <w:bottom w:val="single" w:sz="2" w:space="0" w:color="000000"/>
              <w:right w:val="nil"/>
            </w:tcBorders>
          </w:tcPr>
          <w:p>
            <w:pPr>
              <w:pStyle w:val="TableParagraph"/>
              <w:rPr>
                <w:b/>
                <w:sz w:val="22"/>
              </w:rPr>
            </w:pPr>
          </w:p>
          <w:p>
            <w:pPr>
              <w:pStyle w:val="TableParagraph"/>
              <w:rPr>
                <w:b/>
                <w:sz w:val="22"/>
              </w:rPr>
            </w:pPr>
          </w:p>
          <w:p>
            <w:pPr>
              <w:pStyle w:val="TableParagraph"/>
              <w:rPr>
                <w:b/>
                <w:sz w:val="22"/>
              </w:rPr>
            </w:pPr>
          </w:p>
          <w:p>
            <w:pPr>
              <w:pStyle w:val="TableParagraph"/>
              <w:spacing w:before="6"/>
              <w:rPr>
                <w:b/>
                <w:sz w:val="25"/>
              </w:rPr>
            </w:pPr>
          </w:p>
          <w:p>
            <w:pPr>
              <w:pStyle w:val="TableParagraph"/>
              <w:spacing w:line="300" w:lineRule="atLeast"/>
              <w:ind w:left="103"/>
              <w:rPr>
                <w:sz w:val="20"/>
              </w:rPr>
            </w:pPr>
            <w:r>
              <w:rPr>
                <w:spacing w:val="-2"/>
                <w:sz w:val="20"/>
              </w:rPr>
              <w:t>Income Expenditure</w:t>
            </w:r>
          </w:p>
        </w:tc>
        <w:tc>
          <w:tcPr>
            <w:tcW w:w="1347" w:type="dxa"/>
            <w:vMerge w:val="restart"/>
            <w:tcBorders>
              <w:top w:val="single" w:sz="2" w:space="0" w:color="000000"/>
              <w:left w:val="nil"/>
              <w:bottom w:val="single" w:sz="2" w:space="0" w:color="000000"/>
              <w:right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6"/>
              <w:rPr>
                <w:b/>
                <w:sz w:val="17"/>
              </w:rPr>
            </w:pPr>
          </w:p>
          <w:p>
            <w:pPr>
              <w:pStyle w:val="TableParagraph"/>
              <w:spacing w:before="1"/>
              <w:ind w:right="161"/>
              <w:jc w:val="right"/>
              <w:rPr>
                <w:sz w:val="18"/>
              </w:rPr>
            </w:pPr>
            <w:r>
              <w:rPr>
                <w:spacing w:val="-5"/>
                <w:sz w:val="18"/>
              </w:rPr>
              <w:t>382</w:t>
            </w:r>
          </w:p>
          <w:p>
            <w:pPr>
              <w:pStyle w:val="TableParagraph"/>
              <w:spacing w:before="100"/>
              <w:ind w:right="160"/>
              <w:jc w:val="right"/>
              <w:rPr>
                <w:sz w:val="18"/>
              </w:rPr>
            </w:pPr>
            <w:r>
              <w:rPr>
                <w:spacing w:val="-2"/>
                <w:sz w:val="18"/>
              </w:rPr>
              <w:t>18,135</w:t>
            </w:r>
          </w:p>
        </w:tc>
        <w:tc>
          <w:tcPr>
            <w:tcW w:w="1216" w:type="dxa"/>
            <w:vMerge w:val="restart"/>
            <w:tcBorders>
              <w:top w:val="single" w:sz="2" w:space="0" w:color="000000"/>
              <w:left w:val="nil"/>
              <w:bottom w:val="single" w:sz="2" w:space="0" w:color="000000"/>
              <w:right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6"/>
              <w:rPr>
                <w:b/>
                <w:sz w:val="17"/>
              </w:rPr>
            </w:pPr>
          </w:p>
          <w:p>
            <w:pPr>
              <w:pStyle w:val="TableParagraph"/>
              <w:spacing w:before="1"/>
              <w:ind w:right="105"/>
              <w:jc w:val="right"/>
              <w:rPr>
                <w:sz w:val="18"/>
              </w:rPr>
            </w:pPr>
            <w:r>
              <w:rPr>
                <w:spacing w:val="-5"/>
                <w:sz w:val="18"/>
              </w:rPr>
              <w:t>284</w:t>
            </w:r>
          </w:p>
          <w:p>
            <w:pPr>
              <w:pStyle w:val="TableParagraph"/>
              <w:spacing w:before="100"/>
              <w:ind w:right="103"/>
              <w:jc w:val="right"/>
              <w:rPr>
                <w:sz w:val="18"/>
              </w:rPr>
            </w:pPr>
            <w:r>
              <w:rPr>
                <w:spacing w:val="-2"/>
                <w:sz w:val="18"/>
              </w:rPr>
              <w:t>20,359</w:t>
            </w:r>
          </w:p>
        </w:tc>
        <w:tc>
          <w:tcPr>
            <w:tcW w:w="1234" w:type="dxa"/>
            <w:vMerge w:val="restart"/>
            <w:tcBorders>
              <w:top w:val="single" w:sz="2" w:space="0" w:color="000000"/>
              <w:left w:val="nil"/>
              <w:bottom w:val="single" w:sz="2" w:space="0" w:color="000000"/>
              <w:right w:val="single" w:sz="12" w:space="0" w:color="000000"/>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6"/>
              <w:rPr>
                <w:b/>
                <w:sz w:val="17"/>
              </w:rPr>
            </w:pPr>
          </w:p>
          <w:p>
            <w:pPr>
              <w:pStyle w:val="TableParagraph"/>
              <w:spacing w:before="1"/>
              <w:ind w:right="90"/>
              <w:jc w:val="right"/>
              <w:rPr>
                <w:sz w:val="18"/>
              </w:rPr>
            </w:pPr>
            <w:r>
              <w:rPr>
                <w:spacing w:val="-5"/>
                <w:sz w:val="18"/>
              </w:rPr>
              <w:t>200</w:t>
            </w:r>
          </w:p>
          <w:p>
            <w:pPr>
              <w:pStyle w:val="TableParagraph"/>
              <w:spacing w:before="100"/>
              <w:ind w:right="88"/>
              <w:jc w:val="right"/>
              <w:rPr>
                <w:sz w:val="18"/>
              </w:rPr>
            </w:pPr>
            <w:r>
              <w:rPr>
                <w:spacing w:val="-2"/>
                <w:sz w:val="18"/>
              </w:rPr>
              <w:t>22,755</w:t>
            </w:r>
          </w:p>
        </w:tc>
      </w:tr>
      <w:tr>
        <w:trPr>
          <w:trHeight w:val="616" w:hRule="exact"/>
        </w:trPr>
        <w:tc>
          <w:tcPr>
            <w:tcW w:w="1553" w:type="dxa"/>
            <w:vMerge w:val="restart"/>
            <w:tcBorders>
              <w:top w:val="single" w:sz="2" w:space="0" w:color="000000"/>
              <w:left w:val="single" w:sz="12" w:space="0" w:color="000000"/>
              <w:bottom w:val="single" w:sz="12" w:space="0" w:color="000000"/>
              <w:right w:val="single" w:sz="2" w:space="0" w:color="000000"/>
            </w:tcBorders>
          </w:tcPr>
          <w:p>
            <w:pPr>
              <w:pStyle w:val="TableParagraph"/>
              <w:ind w:left="92" w:right="201"/>
              <w:rPr>
                <w:sz w:val="20"/>
              </w:rPr>
            </w:pPr>
            <w:r>
              <w:rPr>
                <w:spacing w:val="-2"/>
                <w:sz w:val="20"/>
              </w:rPr>
              <w:t>Waste management</w:t>
            </w:r>
          </w:p>
        </w:tc>
        <w:tc>
          <w:tcPr>
            <w:tcW w:w="3540" w:type="dxa"/>
            <w:vMerge w:val="restart"/>
            <w:tcBorders>
              <w:top w:val="single" w:sz="2" w:space="0" w:color="000000"/>
              <w:left w:val="single" w:sz="2" w:space="0" w:color="000000"/>
              <w:bottom w:val="single" w:sz="12" w:space="0" w:color="000000"/>
              <w:right w:val="single" w:sz="2" w:space="0" w:color="000000"/>
            </w:tcBorders>
          </w:tcPr>
          <w:p>
            <w:pPr>
              <w:pStyle w:val="TableParagraph"/>
              <w:numPr>
                <w:ilvl w:val="0"/>
                <w:numId w:val="36"/>
              </w:numPr>
              <w:tabs>
                <w:tab w:pos="417" w:val="left" w:leader="none"/>
                <w:tab w:pos="418" w:val="left" w:leader="none"/>
              </w:tabs>
              <w:spacing w:line="235" w:lineRule="auto" w:before="4" w:after="0"/>
              <w:ind w:left="417" w:right="660" w:hanging="312"/>
              <w:jc w:val="left"/>
              <w:rPr>
                <w:sz w:val="20"/>
              </w:rPr>
            </w:pPr>
            <w:r>
              <w:rPr>
                <w:sz w:val="20"/>
              </w:rPr>
              <w:t>Residential</w:t>
            </w:r>
            <w:r>
              <w:rPr>
                <w:spacing w:val="-14"/>
                <w:sz w:val="20"/>
              </w:rPr>
              <w:t> </w:t>
            </w:r>
            <w:r>
              <w:rPr>
                <w:sz w:val="20"/>
              </w:rPr>
              <w:t>and</w:t>
            </w:r>
            <w:r>
              <w:rPr>
                <w:spacing w:val="-14"/>
                <w:sz w:val="20"/>
              </w:rPr>
              <w:t> </w:t>
            </w:r>
            <w:r>
              <w:rPr>
                <w:sz w:val="20"/>
              </w:rPr>
              <w:t>commercial waste services</w:t>
            </w:r>
          </w:p>
          <w:p>
            <w:pPr>
              <w:pStyle w:val="TableParagraph"/>
              <w:numPr>
                <w:ilvl w:val="0"/>
                <w:numId w:val="36"/>
              </w:numPr>
              <w:tabs>
                <w:tab w:pos="417" w:val="left" w:leader="none"/>
                <w:tab w:pos="418" w:val="left" w:leader="none"/>
              </w:tabs>
              <w:spacing w:line="240" w:lineRule="auto" w:before="3" w:after="0"/>
              <w:ind w:left="417" w:right="372" w:hanging="312"/>
              <w:jc w:val="left"/>
              <w:rPr>
                <w:sz w:val="20"/>
              </w:rPr>
            </w:pPr>
            <w:r>
              <w:rPr>
                <w:sz w:val="20"/>
              </w:rPr>
              <w:t>Waste,</w:t>
            </w:r>
            <w:r>
              <w:rPr>
                <w:spacing w:val="-12"/>
                <w:sz w:val="20"/>
              </w:rPr>
              <w:t> </w:t>
            </w:r>
            <w:r>
              <w:rPr>
                <w:sz w:val="20"/>
              </w:rPr>
              <w:t>recycling,</w:t>
            </w:r>
            <w:r>
              <w:rPr>
                <w:spacing w:val="-9"/>
                <w:sz w:val="20"/>
              </w:rPr>
              <w:t> </w:t>
            </w:r>
            <w:r>
              <w:rPr>
                <w:sz w:val="20"/>
              </w:rPr>
              <w:t>and</w:t>
            </w:r>
            <w:r>
              <w:rPr>
                <w:spacing w:val="-12"/>
                <w:sz w:val="20"/>
              </w:rPr>
              <w:t> </w:t>
            </w:r>
            <w:r>
              <w:rPr>
                <w:sz w:val="20"/>
              </w:rPr>
              <w:t>food</w:t>
            </w:r>
            <w:r>
              <w:rPr>
                <w:spacing w:val="-9"/>
                <w:sz w:val="20"/>
              </w:rPr>
              <w:t> </w:t>
            </w:r>
            <w:r>
              <w:rPr>
                <w:sz w:val="20"/>
              </w:rPr>
              <w:t>and garden organics collection</w:t>
            </w:r>
          </w:p>
          <w:p>
            <w:pPr>
              <w:pStyle w:val="TableParagraph"/>
              <w:numPr>
                <w:ilvl w:val="0"/>
                <w:numId w:val="36"/>
              </w:numPr>
              <w:tabs>
                <w:tab w:pos="417" w:val="left" w:leader="none"/>
                <w:tab w:pos="418" w:val="left" w:leader="none"/>
              </w:tabs>
              <w:spacing w:line="235" w:lineRule="auto" w:before="5" w:after="0"/>
              <w:ind w:left="417" w:right="303" w:hanging="312"/>
              <w:jc w:val="left"/>
              <w:rPr>
                <w:sz w:val="20"/>
              </w:rPr>
            </w:pPr>
            <w:r>
              <w:rPr>
                <w:sz w:val="20"/>
              </w:rPr>
              <w:t>On</w:t>
            </w:r>
            <w:r>
              <w:rPr>
                <w:spacing w:val="-9"/>
                <w:sz w:val="20"/>
              </w:rPr>
              <w:t> </w:t>
            </w:r>
            <w:r>
              <w:rPr>
                <w:sz w:val="20"/>
              </w:rPr>
              <w:t>call</w:t>
            </w:r>
            <w:r>
              <w:rPr>
                <w:spacing w:val="-9"/>
                <w:sz w:val="20"/>
              </w:rPr>
              <w:t> </w:t>
            </w:r>
            <w:r>
              <w:rPr>
                <w:sz w:val="20"/>
              </w:rPr>
              <w:t>hard</w:t>
            </w:r>
            <w:r>
              <w:rPr>
                <w:spacing w:val="-7"/>
                <w:sz w:val="20"/>
              </w:rPr>
              <w:t> </w:t>
            </w:r>
            <w:r>
              <w:rPr>
                <w:sz w:val="20"/>
              </w:rPr>
              <w:t>waste</w:t>
            </w:r>
            <w:r>
              <w:rPr>
                <w:spacing w:val="-8"/>
                <w:sz w:val="20"/>
              </w:rPr>
              <w:t> </w:t>
            </w:r>
            <w:r>
              <w:rPr>
                <w:sz w:val="20"/>
              </w:rPr>
              <w:t>and</w:t>
            </w:r>
            <w:r>
              <w:rPr>
                <w:spacing w:val="-7"/>
                <w:sz w:val="20"/>
              </w:rPr>
              <w:t> </w:t>
            </w:r>
            <w:r>
              <w:rPr>
                <w:sz w:val="20"/>
              </w:rPr>
              <w:t>bundled branch collection</w:t>
            </w:r>
          </w:p>
          <w:p>
            <w:pPr>
              <w:pStyle w:val="TableParagraph"/>
              <w:numPr>
                <w:ilvl w:val="0"/>
                <w:numId w:val="36"/>
              </w:numPr>
              <w:tabs>
                <w:tab w:pos="417" w:val="left" w:leader="none"/>
                <w:tab w:pos="418" w:val="left" w:leader="none"/>
              </w:tabs>
              <w:spacing w:line="235" w:lineRule="auto" w:before="7" w:after="0"/>
              <w:ind w:left="417" w:right="270" w:hanging="312"/>
              <w:jc w:val="left"/>
              <w:rPr>
                <w:sz w:val="20"/>
              </w:rPr>
            </w:pPr>
            <w:r>
              <w:rPr>
                <w:sz w:val="20"/>
              </w:rPr>
              <w:t>Contract</w:t>
            </w:r>
            <w:r>
              <w:rPr>
                <w:spacing w:val="-13"/>
                <w:sz w:val="20"/>
              </w:rPr>
              <w:t> </w:t>
            </w:r>
            <w:r>
              <w:rPr>
                <w:sz w:val="20"/>
              </w:rPr>
              <w:t>management</w:t>
            </w:r>
            <w:r>
              <w:rPr>
                <w:spacing w:val="-14"/>
                <w:sz w:val="20"/>
              </w:rPr>
              <w:t> </w:t>
            </w:r>
            <w:r>
              <w:rPr>
                <w:sz w:val="20"/>
              </w:rPr>
              <w:t>for</w:t>
            </w:r>
            <w:r>
              <w:rPr>
                <w:spacing w:val="-12"/>
                <w:sz w:val="20"/>
              </w:rPr>
              <w:t> </w:t>
            </w:r>
            <w:r>
              <w:rPr>
                <w:sz w:val="20"/>
              </w:rPr>
              <w:t>waste collection and sorting</w:t>
            </w:r>
          </w:p>
          <w:p>
            <w:pPr>
              <w:pStyle w:val="TableParagraph"/>
              <w:numPr>
                <w:ilvl w:val="0"/>
                <w:numId w:val="36"/>
              </w:numPr>
              <w:tabs>
                <w:tab w:pos="417" w:val="left" w:leader="none"/>
                <w:tab w:pos="418" w:val="left" w:leader="none"/>
              </w:tabs>
              <w:spacing w:line="235" w:lineRule="auto" w:before="7" w:after="0"/>
              <w:ind w:left="417" w:right="285" w:hanging="312"/>
              <w:jc w:val="left"/>
              <w:rPr>
                <w:sz w:val="20"/>
              </w:rPr>
            </w:pPr>
            <w:r>
              <w:rPr>
                <w:sz w:val="20"/>
              </w:rPr>
              <w:t>Drop-off</w:t>
            </w:r>
            <w:r>
              <w:rPr>
                <w:spacing w:val="-14"/>
                <w:sz w:val="20"/>
              </w:rPr>
              <w:t> </w:t>
            </w:r>
            <w:r>
              <w:rPr>
                <w:sz w:val="20"/>
              </w:rPr>
              <w:t>recycling</w:t>
            </w:r>
            <w:r>
              <w:rPr>
                <w:spacing w:val="-14"/>
                <w:sz w:val="20"/>
              </w:rPr>
              <w:t> </w:t>
            </w:r>
            <w:r>
              <w:rPr>
                <w:sz w:val="20"/>
              </w:rPr>
              <w:t>collection</w:t>
            </w:r>
            <w:r>
              <w:rPr>
                <w:spacing w:val="-14"/>
                <w:sz w:val="20"/>
              </w:rPr>
              <w:t> </w:t>
            </w:r>
            <w:r>
              <w:rPr>
                <w:sz w:val="20"/>
              </w:rPr>
              <w:t>day </w:t>
            </w:r>
            <w:r>
              <w:rPr>
                <w:spacing w:val="-2"/>
                <w:sz w:val="20"/>
              </w:rPr>
              <w:t>coordination</w:t>
            </w:r>
          </w:p>
          <w:p>
            <w:pPr>
              <w:pStyle w:val="TableParagraph"/>
              <w:numPr>
                <w:ilvl w:val="0"/>
                <w:numId w:val="36"/>
              </w:numPr>
              <w:tabs>
                <w:tab w:pos="417" w:val="left" w:leader="none"/>
                <w:tab w:pos="418" w:val="left" w:leader="none"/>
              </w:tabs>
              <w:spacing w:line="240" w:lineRule="auto" w:before="4" w:after="0"/>
              <w:ind w:left="417" w:right="145" w:hanging="312"/>
              <w:jc w:val="left"/>
              <w:rPr>
                <w:sz w:val="20"/>
              </w:rPr>
            </w:pPr>
            <w:r>
              <w:rPr>
                <w:sz w:val="20"/>
              </w:rPr>
              <w:t>Waste</w:t>
            </w:r>
            <w:r>
              <w:rPr>
                <w:spacing w:val="-11"/>
                <w:sz w:val="20"/>
              </w:rPr>
              <w:t> </w:t>
            </w:r>
            <w:r>
              <w:rPr>
                <w:sz w:val="20"/>
              </w:rPr>
              <w:t>education</w:t>
            </w:r>
            <w:r>
              <w:rPr>
                <w:spacing w:val="-14"/>
                <w:sz w:val="20"/>
              </w:rPr>
              <w:t> </w:t>
            </w:r>
            <w:r>
              <w:rPr>
                <w:sz w:val="20"/>
              </w:rPr>
              <w:t>and</w:t>
            </w:r>
            <w:r>
              <w:rPr>
                <w:spacing w:val="-13"/>
                <w:sz w:val="20"/>
              </w:rPr>
              <w:t> </w:t>
            </w:r>
            <w:r>
              <w:rPr>
                <w:sz w:val="20"/>
              </w:rPr>
              <w:t>behavioural change programs</w:t>
            </w:r>
          </w:p>
          <w:p>
            <w:pPr>
              <w:pStyle w:val="TableParagraph"/>
              <w:numPr>
                <w:ilvl w:val="0"/>
                <w:numId w:val="36"/>
              </w:numPr>
              <w:tabs>
                <w:tab w:pos="417" w:val="left" w:leader="none"/>
                <w:tab w:pos="418" w:val="left" w:leader="none"/>
              </w:tabs>
              <w:spacing w:line="235" w:lineRule="auto" w:before="4" w:after="0"/>
              <w:ind w:left="417" w:right="517" w:hanging="312"/>
              <w:jc w:val="left"/>
              <w:rPr>
                <w:sz w:val="20"/>
              </w:rPr>
            </w:pPr>
            <w:r>
              <w:rPr>
                <w:sz w:val="20"/>
              </w:rPr>
              <w:t>Waste</w:t>
            </w:r>
            <w:r>
              <w:rPr>
                <w:spacing w:val="-14"/>
                <w:sz w:val="20"/>
              </w:rPr>
              <w:t> </w:t>
            </w:r>
            <w:r>
              <w:rPr>
                <w:sz w:val="20"/>
              </w:rPr>
              <w:t>management</w:t>
            </w:r>
            <w:r>
              <w:rPr>
                <w:spacing w:val="-14"/>
                <w:sz w:val="20"/>
              </w:rPr>
              <w:t> </w:t>
            </w:r>
            <w:r>
              <w:rPr>
                <w:sz w:val="20"/>
              </w:rPr>
              <w:t>strategic </w:t>
            </w:r>
            <w:r>
              <w:rPr>
                <w:spacing w:val="-2"/>
                <w:sz w:val="20"/>
              </w:rPr>
              <w:t>planning</w:t>
            </w:r>
          </w:p>
        </w:tc>
        <w:tc>
          <w:tcPr>
            <w:tcW w:w="1537" w:type="dxa"/>
            <w:vMerge/>
            <w:tcBorders>
              <w:top w:val="nil"/>
              <w:left w:val="single" w:sz="2" w:space="0" w:color="000000"/>
              <w:bottom w:val="single" w:sz="2" w:space="0" w:color="000000"/>
              <w:right w:val="nil"/>
            </w:tcBorders>
          </w:tcPr>
          <w:p>
            <w:pPr>
              <w:rPr>
                <w:sz w:val="2"/>
                <w:szCs w:val="2"/>
              </w:rPr>
            </w:pPr>
          </w:p>
        </w:tc>
        <w:tc>
          <w:tcPr>
            <w:tcW w:w="1347" w:type="dxa"/>
            <w:vMerge/>
            <w:tcBorders>
              <w:top w:val="nil"/>
              <w:left w:val="nil"/>
              <w:bottom w:val="single" w:sz="2" w:space="0" w:color="000000"/>
              <w:right w:val="nil"/>
            </w:tcBorders>
          </w:tcPr>
          <w:p>
            <w:pPr>
              <w:rPr>
                <w:sz w:val="2"/>
                <w:szCs w:val="2"/>
              </w:rPr>
            </w:pPr>
          </w:p>
        </w:tc>
        <w:tc>
          <w:tcPr>
            <w:tcW w:w="1216" w:type="dxa"/>
            <w:vMerge/>
            <w:tcBorders>
              <w:top w:val="nil"/>
              <w:left w:val="nil"/>
              <w:bottom w:val="single" w:sz="2" w:space="0" w:color="000000"/>
              <w:right w:val="nil"/>
            </w:tcBorders>
          </w:tcPr>
          <w:p>
            <w:pPr>
              <w:rPr>
                <w:sz w:val="2"/>
                <w:szCs w:val="2"/>
              </w:rPr>
            </w:pPr>
          </w:p>
        </w:tc>
        <w:tc>
          <w:tcPr>
            <w:tcW w:w="1234" w:type="dxa"/>
            <w:vMerge/>
            <w:tcBorders>
              <w:top w:val="nil"/>
              <w:left w:val="nil"/>
              <w:bottom w:val="single" w:sz="2" w:space="0" w:color="000000"/>
              <w:right w:val="single" w:sz="12" w:space="0" w:color="000000"/>
            </w:tcBorders>
          </w:tcPr>
          <w:p>
            <w:pPr>
              <w:rPr>
                <w:sz w:val="2"/>
                <w:szCs w:val="2"/>
              </w:rPr>
            </w:pPr>
          </w:p>
        </w:tc>
      </w:tr>
      <w:tr>
        <w:trPr>
          <w:trHeight w:val="463" w:hRule="exact"/>
        </w:trPr>
        <w:tc>
          <w:tcPr>
            <w:tcW w:w="1553" w:type="dxa"/>
            <w:vMerge/>
            <w:tcBorders>
              <w:top w:val="nil"/>
              <w:left w:val="single" w:sz="12" w:space="0" w:color="000000"/>
              <w:bottom w:val="single" w:sz="12" w:space="0" w:color="000000"/>
              <w:right w:val="single" w:sz="2" w:space="0" w:color="000000"/>
            </w:tcBorders>
          </w:tcPr>
          <w:p>
            <w:pPr>
              <w:rPr>
                <w:sz w:val="2"/>
                <w:szCs w:val="2"/>
              </w:rPr>
            </w:pPr>
          </w:p>
        </w:tc>
        <w:tc>
          <w:tcPr>
            <w:tcW w:w="3540" w:type="dxa"/>
            <w:vMerge/>
            <w:tcBorders>
              <w:top w:val="nil"/>
              <w:left w:val="single" w:sz="2" w:space="0" w:color="000000"/>
              <w:bottom w:val="single" w:sz="12" w:space="0" w:color="000000"/>
              <w:right w:val="single" w:sz="2" w:space="0" w:color="000000"/>
            </w:tcBorders>
          </w:tcPr>
          <w:p>
            <w:pPr>
              <w:rPr>
                <w:sz w:val="2"/>
                <w:szCs w:val="2"/>
              </w:rPr>
            </w:pPr>
          </w:p>
        </w:tc>
        <w:tc>
          <w:tcPr>
            <w:tcW w:w="1537" w:type="dxa"/>
            <w:tcBorders>
              <w:top w:val="single" w:sz="2" w:space="0" w:color="000000"/>
              <w:left w:val="single" w:sz="2" w:space="0" w:color="000000"/>
              <w:bottom w:val="single" w:sz="2" w:space="0" w:color="000000"/>
              <w:right w:val="nil"/>
            </w:tcBorders>
          </w:tcPr>
          <w:p>
            <w:pPr>
              <w:pStyle w:val="TableParagraph"/>
              <w:spacing w:line="230" w:lineRule="exact"/>
              <w:ind w:left="103" w:right="569"/>
              <w:rPr>
                <w:b/>
                <w:sz w:val="20"/>
              </w:rPr>
            </w:pPr>
            <w:r>
              <w:rPr>
                <w:b/>
                <w:sz w:val="20"/>
              </w:rPr>
              <w:t>Surplus</w:t>
            </w:r>
            <w:r>
              <w:rPr>
                <w:b/>
                <w:spacing w:val="-14"/>
                <w:sz w:val="20"/>
              </w:rPr>
              <w:t> </w:t>
            </w:r>
            <w:r>
              <w:rPr>
                <w:b/>
                <w:sz w:val="20"/>
              </w:rPr>
              <w:t>/ </w:t>
            </w:r>
            <w:r>
              <w:rPr>
                <w:b/>
                <w:spacing w:val="-2"/>
                <w:sz w:val="20"/>
              </w:rPr>
              <w:t>(deficit)</w:t>
            </w:r>
          </w:p>
        </w:tc>
        <w:tc>
          <w:tcPr>
            <w:tcW w:w="1347" w:type="dxa"/>
            <w:tcBorders>
              <w:top w:val="single" w:sz="2" w:space="0" w:color="000000"/>
              <w:left w:val="nil"/>
              <w:bottom w:val="single" w:sz="2" w:space="0" w:color="000000"/>
              <w:right w:val="nil"/>
            </w:tcBorders>
          </w:tcPr>
          <w:p>
            <w:pPr>
              <w:pStyle w:val="TableParagraph"/>
              <w:spacing w:line="206" w:lineRule="exact"/>
              <w:ind w:right="160"/>
              <w:jc w:val="right"/>
              <w:rPr>
                <w:b/>
                <w:sz w:val="18"/>
              </w:rPr>
            </w:pPr>
            <w:r>
              <w:rPr>
                <w:b/>
                <w:spacing w:val="-2"/>
                <w:sz w:val="18"/>
              </w:rPr>
              <w:t>(17,753)</w:t>
            </w:r>
          </w:p>
        </w:tc>
        <w:tc>
          <w:tcPr>
            <w:tcW w:w="1216" w:type="dxa"/>
            <w:tcBorders>
              <w:top w:val="single" w:sz="2" w:space="0" w:color="000000"/>
              <w:left w:val="nil"/>
              <w:bottom w:val="single" w:sz="2" w:space="0" w:color="000000"/>
              <w:right w:val="nil"/>
            </w:tcBorders>
          </w:tcPr>
          <w:p>
            <w:pPr>
              <w:pStyle w:val="TableParagraph"/>
              <w:spacing w:line="206" w:lineRule="exact"/>
              <w:ind w:right="104"/>
              <w:jc w:val="right"/>
              <w:rPr>
                <w:b/>
                <w:sz w:val="18"/>
              </w:rPr>
            </w:pPr>
            <w:r>
              <w:rPr>
                <w:b/>
                <w:spacing w:val="-2"/>
                <w:sz w:val="18"/>
              </w:rPr>
              <w:t>(20,075)</w:t>
            </w:r>
          </w:p>
        </w:tc>
        <w:tc>
          <w:tcPr>
            <w:tcW w:w="1234" w:type="dxa"/>
            <w:tcBorders>
              <w:top w:val="single" w:sz="2" w:space="0" w:color="000000"/>
              <w:left w:val="nil"/>
              <w:bottom w:val="single" w:sz="2" w:space="0" w:color="000000"/>
              <w:right w:val="single" w:sz="12" w:space="0" w:color="000000"/>
            </w:tcBorders>
          </w:tcPr>
          <w:p>
            <w:pPr>
              <w:pStyle w:val="TableParagraph"/>
              <w:spacing w:line="206" w:lineRule="exact"/>
              <w:ind w:right="89"/>
              <w:jc w:val="right"/>
              <w:rPr>
                <w:b/>
                <w:sz w:val="18"/>
              </w:rPr>
            </w:pPr>
            <w:r>
              <w:rPr>
                <w:b/>
                <w:spacing w:val="-2"/>
                <w:sz w:val="18"/>
              </w:rPr>
              <w:t>(22,555)</w:t>
            </w:r>
          </w:p>
        </w:tc>
      </w:tr>
      <w:tr>
        <w:trPr>
          <w:trHeight w:val="2452" w:hRule="exact"/>
        </w:trPr>
        <w:tc>
          <w:tcPr>
            <w:tcW w:w="1553" w:type="dxa"/>
            <w:vMerge/>
            <w:tcBorders>
              <w:top w:val="nil"/>
              <w:left w:val="single" w:sz="12" w:space="0" w:color="000000"/>
              <w:bottom w:val="single" w:sz="12" w:space="0" w:color="000000"/>
              <w:right w:val="single" w:sz="2" w:space="0" w:color="000000"/>
            </w:tcBorders>
          </w:tcPr>
          <w:p>
            <w:pPr>
              <w:rPr>
                <w:sz w:val="2"/>
                <w:szCs w:val="2"/>
              </w:rPr>
            </w:pPr>
          </w:p>
        </w:tc>
        <w:tc>
          <w:tcPr>
            <w:tcW w:w="3540" w:type="dxa"/>
            <w:vMerge/>
            <w:tcBorders>
              <w:top w:val="nil"/>
              <w:left w:val="single" w:sz="2" w:space="0" w:color="000000"/>
              <w:bottom w:val="single" w:sz="12" w:space="0" w:color="000000"/>
              <w:right w:val="single" w:sz="2" w:space="0" w:color="000000"/>
            </w:tcBorders>
          </w:tcPr>
          <w:p>
            <w:pPr>
              <w:rPr>
                <w:sz w:val="2"/>
                <w:szCs w:val="2"/>
              </w:rPr>
            </w:pPr>
          </w:p>
        </w:tc>
        <w:tc>
          <w:tcPr>
            <w:tcW w:w="5334" w:type="dxa"/>
            <w:gridSpan w:val="4"/>
            <w:tcBorders>
              <w:top w:val="single" w:sz="2" w:space="0" w:color="000000"/>
              <w:left w:val="single" w:sz="2" w:space="0" w:color="000000"/>
              <w:bottom w:val="single" w:sz="12" w:space="0" w:color="000000"/>
              <w:right w:val="single" w:sz="12" w:space="0" w:color="000000"/>
            </w:tcBorders>
          </w:tcPr>
          <w:p>
            <w:pPr>
              <w:pStyle w:val="TableParagraph"/>
              <w:rPr>
                <w:rFonts w:ascii="Times New Roman"/>
                <w:sz w:val="18"/>
              </w:rPr>
            </w:pPr>
          </w:p>
        </w:tc>
      </w:tr>
    </w:tbl>
    <w:p>
      <w:pPr>
        <w:spacing w:after="0"/>
        <w:rPr>
          <w:rFonts w:ascii="Times New Roman"/>
          <w:sz w:val="18"/>
        </w:rPr>
        <w:sectPr>
          <w:pgSz w:w="11910" w:h="16840"/>
          <w:pgMar w:header="0" w:footer="375" w:top="480" w:bottom="560" w:left="460" w:right="160"/>
        </w:sectPr>
      </w:pPr>
    </w:p>
    <w:p>
      <w:pPr>
        <w:pStyle w:val="Heading5"/>
        <w:spacing w:before="70"/>
        <w:ind w:left="391"/>
      </w:pPr>
      <w:r>
        <w:rPr/>
        <w:t>Major</w:t>
      </w:r>
      <w:r>
        <w:rPr>
          <w:spacing w:val="-5"/>
        </w:rPr>
        <w:t> </w:t>
      </w:r>
      <w:r>
        <w:rPr/>
        <w:t>Initiatives</w:t>
      </w:r>
      <w:r>
        <w:rPr>
          <w:spacing w:val="-5"/>
        </w:rPr>
        <w:t> </w:t>
      </w:r>
      <w:r>
        <w:rPr/>
        <w:t>(Priority</w:t>
      </w:r>
      <w:r>
        <w:rPr>
          <w:spacing w:val="-6"/>
        </w:rPr>
        <w:t> </w:t>
      </w:r>
      <w:r>
        <w:rPr>
          <w:spacing w:val="-2"/>
        </w:rPr>
        <w:t>Actions)</w:t>
      </w:r>
    </w:p>
    <w:p>
      <w:pPr>
        <w:pStyle w:val="BodyText"/>
        <w:spacing w:before="9"/>
        <w:rPr>
          <w:b/>
          <w:sz w:val="21"/>
        </w:rPr>
      </w:pPr>
    </w:p>
    <w:p>
      <w:pPr>
        <w:pStyle w:val="ListParagraph"/>
        <w:numPr>
          <w:ilvl w:val="0"/>
          <w:numId w:val="24"/>
        </w:numPr>
        <w:tabs>
          <w:tab w:pos="960" w:val="left" w:leader="none"/>
        </w:tabs>
        <w:spacing w:line="240" w:lineRule="auto" w:before="1" w:after="0"/>
        <w:ind w:left="958" w:right="399" w:hanging="567"/>
        <w:jc w:val="both"/>
        <w:rPr>
          <w:sz w:val="22"/>
        </w:rPr>
      </w:pPr>
      <w:r>
        <w:rPr>
          <w:sz w:val="22"/>
        </w:rPr>
        <w:t>Work in partnership to advocate to the Victorian Government to postpone the mandatory implementation of the glass only bin service to households, as well as the expansion of the Container Deposit Scheme.</w:t>
      </w:r>
    </w:p>
    <w:p>
      <w:pPr>
        <w:pStyle w:val="ListParagraph"/>
        <w:numPr>
          <w:ilvl w:val="0"/>
          <w:numId w:val="24"/>
        </w:numPr>
        <w:tabs>
          <w:tab w:pos="960" w:val="left" w:leader="none"/>
        </w:tabs>
        <w:spacing w:line="240" w:lineRule="auto" w:before="2" w:after="0"/>
        <w:ind w:left="958" w:right="404" w:hanging="567"/>
        <w:jc w:val="both"/>
        <w:rPr>
          <w:sz w:val="22"/>
        </w:rPr>
      </w:pPr>
      <w:r>
        <w:rPr>
          <w:sz w:val="22"/>
        </w:rPr>
        <w:t>Implement</w:t>
      </w:r>
      <w:r>
        <w:rPr>
          <w:spacing w:val="-16"/>
          <w:sz w:val="22"/>
        </w:rPr>
        <w:t> </w:t>
      </w:r>
      <w:r>
        <w:rPr>
          <w:sz w:val="22"/>
        </w:rPr>
        <w:t>Council's</w:t>
      </w:r>
      <w:r>
        <w:rPr>
          <w:spacing w:val="-15"/>
          <w:sz w:val="22"/>
        </w:rPr>
        <w:t> </w:t>
      </w:r>
      <w:r>
        <w:rPr>
          <w:i/>
          <w:sz w:val="22"/>
        </w:rPr>
        <w:t>Sustainability</w:t>
      </w:r>
      <w:r>
        <w:rPr>
          <w:i/>
          <w:spacing w:val="-15"/>
          <w:sz w:val="22"/>
        </w:rPr>
        <w:t> </w:t>
      </w:r>
      <w:r>
        <w:rPr>
          <w:i/>
          <w:sz w:val="22"/>
        </w:rPr>
        <w:t>Strategy</w:t>
      </w:r>
      <w:r>
        <w:rPr>
          <w:i/>
          <w:spacing w:val="-16"/>
          <w:sz w:val="22"/>
        </w:rPr>
        <w:t> </w:t>
      </w:r>
      <w:r>
        <w:rPr>
          <w:i/>
          <w:sz w:val="22"/>
        </w:rPr>
        <w:t>2022-2031</w:t>
      </w:r>
      <w:r>
        <w:rPr>
          <w:sz w:val="22"/>
        </w:rPr>
        <w:t>,</w:t>
      </w:r>
      <w:r>
        <w:rPr>
          <w:spacing w:val="-15"/>
          <w:sz w:val="22"/>
        </w:rPr>
        <w:t> </w:t>
      </w:r>
      <w:r>
        <w:rPr>
          <w:sz w:val="22"/>
        </w:rPr>
        <w:t>including</w:t>
      </w:r>
      <w:r>
        <w:rPr>
          <w:spacing w:val="-15"/>
          <w:sz w:val="22"/>
        </w:rPr>
        <w:t> </w:t>
      </w:r>
      <w:r>
        <w:rPr>
          <w:sz w:val="22"/>
        </w:rPr>
        <w:t>the</w:t>
      </w:r>
      <w:r>
        <w:rPr>
          <w:spacing w:val="-15"/>
          <w:sz w:val="22"/>
        </w:rPr>
        <w:t> </w:t>
      </w:r>
      <w:r>
        <w:rPr>
          <w:sz w:val="22"/>
        </w:rPr>
        <w:t>development</w:t>
      </w:r>
      <w:r>
        <w:rPr>
          <w:spacing w:val="-16"/>
          <w:sz w:val="22"/>
        </w:rPr>
        <w:t> </w:t>
      </w:r>
      <w:r>
        <w:rPr>
          <w:sz w:val="22"/>
        </w:rPr>
        <w:t>of</w:t>
      </w:r>
      <w:r>
        <w:rPr>
          <w:spacing w:val="-15"/>
          <w:sz w:val="22"/>
        </w:rPr>
        <w:t> </w:t>
      </w:r>
      <w:r>
        <w:rPr>
          <w:sz w:val="22"/>
        </w:rPr>
        <w:t>a</w:t>
      </w:r>
      <w:r>
        <w:rPr>
          <w:spacing w:val="-15"/>
          <w:sz w:val="22"/>
        </w:rPr>
        <w:t> </w:t>
      </w:r>
      <w:r>
        <w:rPr>
          <w:sz w:val="22"/>
        </w:rPr>
        <w:t>Climate</w:t>
      </w:r>
      <w:r>
        <w:rPr>
          <w:spacing w:val="-16"/>
          <w:sz w:val="22"/>
        </w:rPr>
        <w:t> </w:t>
      </w:r>
      <w:r>
        <w:rPr>
          <w:sz w:val="22"/>
        </w:rPr>
        <w:t>Change </w:t>
      </w:r>
      <w:r>
        <w:rPr>
          <w:spacing w:val="-2"/>
          <w:sz w:val="22"/>
        </w:rPr>
        <w:t>Plan.</w:t>
      </w:r>
    </w:p>
    <w:p>
      <w:pPr>
        <w:pStyle w:val="ListParagraph"/>
        <w:numPr>
          <w:ilvl w:val="0"/>
          <w:numId w:val="24"/>
        </w:numPr>
        <w:tabs>
          <w:tab w:pos="960" w:val="left" w:leader="none"/>
        </w:tabs>
        <w:spacing w:line="252" w:lineRule="exact" w:before="0" w:after="0"/>
        <w:ind w:left="959" w:right="0" w:hanging="569"/>
        <w:jc w:val="both"/>
        <w:rPr>
          <w:sz w:val="22"/>
        </w:rPr>
      </w:pPr>
      <w:r>
        <w:rPr>
          <w:sz w:val="22"/>
        </w:rPr>
        <w:t>Review,</w:t>
      </w:r>
      <w:r>
        <w:rPr>
          <w:spacing w:val="-5"/>
          <w:sz w:val="22"/>
        </w:rPr>
        <w:t> </w:t>
      </w:r>
      <w:r>
        <w:rPr>
          <w:sz w:val="22"/>
        </w:rPr>
        <w:t>update</w:t>
      </w:r>
      <w:r>
        <w:rPr>
          <w:spacing w:val="-8"/>
          <w:sz w:val="22"/>
        </w:rPr>
        <w:t> </w:t>
      </w:r>
      <w:r>
        <w:rPr>
          <w:sz w:val="22"/>
        </w:rPr>
        <w:t>and</w:t>
      </w:r>
      <w:r>
        <w:rPr>
          <w:spacing w:val="-5"/>
          <w:sz w:val="22"/>
        </w:rPr>
        <w:t> </w:t>
      </w:r>
      <w:r>
        <w:rPr>
          <w:sz w:val="22"/>
        </w:rPr>
        <w:t>implement</w:t>
      </w:r>
      <w:r>
        <w:rPr>
          <w:spacing w:val="-4"/>
          <w:sz w:val="22"/>
        </w:rPr>
        <w:t> </w:t>
      </w:r>
      <w:r>
        <w:rPr>
          <w:sz w:val="22"/>
        </w:rPr>
        <w:t>Council’s</w:t>
      </w:r>
      <w:r>
        <w:rPr>
          <w:spacing w:val="-4"/>
          <w:sz w:val="22"/>
        </w:rPr>
        <w:t> </w:t>
      </w:r>
      <w:r>
        <w:rPr>
          <w:i/>
          <w:sz w:val="22"/>
        </w:rPr>
        <w:t>Waste,</w:t>
      </w:r>
      <w:r>
        <w:rPr>
          <w:i/>
          <w:spacing w:val="-6"/>
          <w:sz w:val="22"/>
        </w:rPr>
        <w:t> </w:t>
      </w:r>
      <w:r>
        <w:rPr>
          <w:i/>
          <w:sz w:val="22"/>
        </w:rPr>
        <w:t>Litter</w:t>
      </w:r>
      <w:r>
        <w:rPr>
          <w:i/>
          <w:spacing w:val="-5"/>
          <w:sz w:val="22"/>
        </w:rPr>
        <w:t> </w:t>
      </w:r>
      <w:r>
        <w:rPr>
          <w:i/>
          <w:sz w:val="22"/>
        </w:rPr>
        <w:t>and</w:t>
      </w:r>
      <w:r>
        <w:rPr>
          <w:i/>
          <w:spacing w:val="-3"/>
          <w:sz w:val="22"/>
        </w:rPr>
        <w:t> </w:t>
      </w:r>
      <w:r>
        <w:rPr>
          <w:i/>
          <w:sz w:val="22"/>
        </w:rPr>
        <w:t>Resource</w:t>
      </w:r>
      <w:r>
        <w:rPr>
          <w:i/>
          <w:spacing w:val="-4"/>
          <w:sz w:val="22"/>
        </w:rPr>
        <w:t> </w:t>
      </w:r>
      <w:r>
        <w:rPr>
          <w:i/>
          <w:sz w:val="22"/>
        </w:rPr>
        <w:t>Recovery</w:t>
      </w:r>
      <w:r>
        <w:rPr>
          <w:i/>
          <w:spacing w:val="-5"/>
          <w:sz w:val="22"/>
        </w:rPr>
        <w:t> </w:t>
      </w:r>
      <w:r>
        <w:rPr>
          <w:i/>
          <w:sz w:val="22"/>
        </w:rPr>
        <w:t>Strategy</w:t>
      </w:r>
      <w:r>
        <w:rPr>
          <w:i/>
          <w:spacing w:val="-2"/>
          <w:sz w:val="22"/>
        </w:rPr>
        <w:t> </w:t>
      </w:r>
      <w:r>
        <w:rPr>
          <w:i/>
          <w:sz w:val="22"/>
        </w:rPr>
        <w:t>2020-</w:t>
      </w:r>
      <w:r>
        <w:rPr>
          <w:i/>
          <w:spacing w:val="-2"/>
          <w:sz w:val="22"/>
        </w:rPr>
        <w:t>2030</w:t>
      </w:r>
      <w:r>
        <w:rPr>
          <w:spacing w:val="-2"/>
          <w:sz w:val="22"/>
        </w:rPr>
        <w:t>.</w:t>
      </w:r>
    </w:p>
    <w:p>
      <w:pPr>
        <w:pStyle w:val="ListParagraph"/>
        <w:numPr>
          <w:ilvl w:val="0"/>
          <w:numId w:val="24"/>
        </w:numPr>
        <w:tabs>
          <w:tab w:pos="959" w:val="left" w:leader="none"/>
          <w:tab w:pos="960" w:val="left" w:leader="none"/>
        </w:tabs>
        <w:spacing w:line="240" w:lineRule="auto" w:before="0" w:after="0"/>
        <w:ind w:left="958" w:right="403" w:hanging="567"/>
        <w:jc w:val="left"/>
        <w:rPr>
          <w:sz w:val="22"/>
        </w:rPr>
      </w:pPr>
      <w:r>
        <w:rPr>
          <w:sz w:val="22"/>
        </w:rPr>
        <w:t>Prepare</w:t>
      </w:r>
      <w:r>
        <w:rPr>
          <w:spacing w:val="40"/>
          <w:sz w:val="22"/>
        </w:rPr>
        <w:t> </w:t>
      </w:r>
      <w:r>
        <w:rPr>
          <w:sz w:val="22"/>
        </w:rPr>
        <w:t>and</w:t>
      </w:r>
      <w:r>
        <w:rPr>
          <w:spacing w:val="40"/>
          <w:sz w:val="22"/>
        </w:rPr>
        <w:t> </w:t>
      </w:r>
      <w:r>
        <w:rPr>
          <w:sz w:val="22"/>
        </w:rPr>
        <w:t>implement</w:t>
      </w:r>
      <w:r>
        <w:rPr>
          <w:spacing w:val="40"/>
          <w:sz w:val="22"/>
        </w:rPr>
        <w:t> </w:t>
      </w:r>
      <w:r>
        <w:rPr>
          <w:sz w:val="22"/>
        </w:rPr>
        <w:t>a</w:t>
      </w:r>
      <w:r>
        <w:rPr>
          <w:spacing w:val="40"/>
          <w:sz w:val="22"/>
        </w:rPr>
        <w:t> </w:t>
      </w:r>
      <w:r>
        <w:rPr>
          <w:sz w:val="22"/>
        </w:rPr>
        <w:t>series</w:t>
      </w:r>
      <w:r>
        <w:rPr>
          <w:spacing w:val="40"/>
          <w:sz w:val="22"/>
        </w:rPr>
        <w:t> </w:t>
      </w:r>
      <w:r>
        <w:rPr>
          <w:sz w:val="22"/>
        </w:rPr>
        <w:t>of</w:t>
      </w:r>
      <w:r>
        <w:rPr>
          <w:spacing w:val="40"/>
          <w:sz w:val="22"/>
        </w:rPr>
        <w:t> </w:t>
      </w:r>
      <w:r>
        <w:rPr>
          <w:sz w:val="22"/>
        </w:rPr>
        <w:t>Biolink</w:t>
      </w:r>
      <w:r>
        <w:rPr>
          <w:spacing w:val="40"/>
          <w:sz w:val="22"/>
        </w:rPr>
        <w:t> </w:t>
      </w:r>
      <w:r>
        <w:rPr>
          <w:sz w:val="22"/>
        </w:rPr>
        <w:t>Action</w:t>
      </w:r>
      <w:r>
        <w:rPr>
          <w:spacing w:val="40"/>
          <w:sz w:val="22"/>
        </w:rPr>
        <w:t> </w:t>
      </w:r>
      <w:r>
        <w:rPr>
          <w:sz w:val="22"/>
        </w:rPr>
        <w:t>Plans</w:t>
      </w:r>
      <w:r>
        <w:rPr>
          <w:spacing w:val="40"/>
          <w:sz w:val="22"/>
        </w:rPr>
        <w:t> </w:t>
      </w:r>
      <w:r>
        <w:rPr>
          <w:sz w:val="22"/>
        </w:rPr>
        <w:t>that</w:t>
      </w:r>
      <w:r>
        <w:rPr>
          <w:spacing w:val="40"/>
          <w:sz w:val="22"/>
        </w:rPr>
        <w:t> </w:t>
      </w:r>
      <w:r>
        <w:rPr>
          <w:sz w:val="22"/>
        </w:rPr>
        <w:t>implement</w:t>
      </w:r>
      <w:r>
        <w:rPr>
          <w:spacing w:val="40"/>
          <w:sz w:val="22"/>
        </w:rPr>
        <w:t> </w:t>
      </w:r>
      <w:r>
        <w:rPr>
          <w:sz w:val="22"/>
        </w:rPr>
        <w:t>the</w:t>
      </w:r>
      <w:r>
        <w:rPr>
          <w:spacing w:val="40"/>
          <w:sz w:val="22"/>
        </w:rPr>
        <w:t> </w:t>
      </w:r>
      <w:r>
        <w:rPr>
          <w:sz w:val="22"/>
        </w:rPr>
        <w:t>Maroondah</w:t>
      </w:r>
      <w:r>
        <w:rPr>
          <w:spacing w:val="40"/>
          <w:sz w:val="22"/>
        </w:rPr>
        <w:t> </w:t>
      </w:r>
      <w:r>
        <w:rPr>
          <w:sz w:val="22"/>
        </w:rPr>
        <w:t>Habitat Connectivity Study.</w:t>
      </w:r>
    </w:p>
    <w:p>
      <w:pPr>
        <w:pStyle w:val="ListParagraph"/>
        <w:numPr>
          <w:ilvl w:val="0"/>
          <w:numId w:val="24"/>
        </w:numPr>
        <w:tabs>
          <w:tab w:pos="959" w:val="left" w:leader="none"/>
          <w:tab w:pos="960" w:val="left" w:leader="none"/>
        </w:tabs>
        <w:spacing w:line="252" w:lineRule="exact" w:before="0" w:after="0"/>
        <w:ind w:left="959" w:right="0" w:hanging="569"/>
        <w:jc w:val="left"/>
        <w:rPr>
          <w:sz w:val="22"/>
        </w:rPr>
      </w:pPr>
      <w:r>
        <w:rPr>
          <w:sz w:val="22"/>
        </w:rPr>
        <w:t>Work</w:t>
      </w:r>
      <w:r>
        <w:rPr>
          <w:spacing w:val="-8"/>
          <w:sz w:val="22"/>
        </w:rPr>
        <w:t> </w:t>
      </w:r>
      <w:r>
        <w:rPr>
          <w:sz w:val="22"/>
        </w:rPr>
        <w:t>in</w:t>
      </w:r>
      <w:r>
        <w:rPr>
          <w:spacing w:val="-3"/>
          <w:sz w:val="22"/>
        </w:rPr>
        <w:t> </w:t>
      </w:r>
      <w:r>
        <w:rPr>
          <w:sz w:val="22"/>
        </w:rPr>
        <w:t>partnership</w:t>
      </w:r>
      <w:r>
        <w:rPr>
          <w:spacing w:val="-5"/>
          <w:sz w:val="22"/>
        </w:rPr>
        <w:t> </w:t>
      </w:r>
      <w:r>
        <w:rPr>
          <w:sz w:val="22"/>
        </w:rPr>
        <w:t>to</w:t>
      </w:r>
      <w:r>
        <w:rPr>
          <w:spacing w:val="-7"/>
          <w:sz w:val="22"/>
        </w:rPr>
        <w:t> </w:t>
      </w:r>
      <w:r>
        <w:rPr>
          <w:sz w:val="22"/>
        </w:rPr>
        <w:t>deliver</w:t>
      </w:r>
      <w:r>
        <w:rPr>
          <w:spacing w:val="-3"/>
          <w:sz w:val="22"/>
        </w:rPr>
        <w:t> </w:t>
      </w:r>
      <w:r>
        <w:rPr>
          <w:sz w:val="22"/>
        </w:rPr>
        <w:t>the</w:t>
      </w:r>
      <w:r>
        <w:rPr>
          <w:spacing w:val="-5"/>
          <w:sz w:val="22"/>
        </w:rPr>
        <w:t> </w:t>
      </w:r>
      <w:r>
        <w:rPr>
          <w:sz w:val="22"/>
        </w:rPr>
        <w:t>staged</w:t>
      </w:r>
      <w:r>
        <w:rPr>
          <w:spacing w:val="-5"/>
          <w:sz w:val="22"/>
        </w:rPr>
        <w:t> </w:t>
      </w:r>
      <w:r>
        <w:rPr>
          <w:sz w:val="22"/>
        </w:rPr>
        <w:t>implementation</w:t>
      </w:r>
      <w:r>
        <w:rPr>
          <w:spacing w:val="-3"/>
          <w:sz w:val="22"/>
        </w:rPr>
        <w:t> </w:t>
      </w:r>
      <w:r>
        <w:rPr>
          <w:sz w:val="22"/>
        </w:rPr>
        <w:t>of</w:t>
      </w:r>
      <w:r>
        <w:rPr>
          <w:spacing w:val="-3"/>
          <w:sz w:val="22"/>
        </w:rPr>
        <w:t> </w:t>
      </w:r>
      <w:r>
        <w:rPr>
          <w:sz w:val="22"/>
        </w:rPr>
        <w:t>the</w:t>
      </w:r>
      <w:r>
        <w:rPr>
          <w:spacing w:val="-3"/>
          <w:sz w:val="22"/>
        </w:rPr>
        <w:t> </w:t>
      </w:r>
      <w:r>
        <w:rPr>
          <w:i/>
          <w:sz w:val="22"/>
        </w:rPr>
        <w:t>Reimagining</w:t>
      </w:r>
      <w:r>
        <w:rPr>
          <w:i/>
          <w:spacing w:val="-3"/>
          <w:sz w:val="22"/>
        </w:rPr>
        <w:t> </w:t>
      </w:r>
      <w:r>
        <w:rPr>
          <w:i/>
          <w:sz w:val="22"/>
        </w:rPr>
        <w:t>Tarralla</w:t>
      </w:r>
      <w:r>
        <w:rPr>
          <w:i/>
          <w:spacing w:val="-2"/>
          <w:sz w:val="22"/>
        </w:rPr>
        <w:t> </w:t>
      </w:r>
      <w:r>
        <w:rPr>
          <w:i/>
          <w:sz w:val="22"/>
        </w:rPr>
        <w:t>Creek</w:t>
      </w:r>
      <w:r>
        <w:rPr>
          <w:i/>
          <w:spacing w:val="-3"/>
          <w:sz w:val="22"/>
        </w:rPr>
        <w:t> </w:t>
      </w:r>
      <w:r>
        <w:rPr>
          <w:spacing w:val="-2"/>
          <w:sz w:val="22"/>
        </w:rPr>
        <w:t>project.</w:t>
      </w:r>
    </w:p>
    <w:p>
      <w:pPr>
        <w:pStyle w:val="ListParagraph"/>
        <w:numPr>
          <w:ilvl w:val="0"/>
          <w:numId w:val="24"/>
        </w:numPr>
        <w:tabs>
          <w:tab w:pos="959" w:val="left" w:leader="none"/>
          <w:tab w:pos="960" w:val="left" w:leader="none"/>
        </w:tabs>
        <w:spacing w:line="252" w:lineRule="exact" w:before="0" w:after="0"/>
        <w:ind w:left="959" w:right="0" w:hanging="569"/>
        <w:jc w:val="left"/>
        <w:rPr>
          <w:sz w:val="22"/>
        </w:rPr>
      </w:pPr>
      <w:r>
        <w:rPr>
          <w:sz w:val="22"/>
        </w:rPr>
        <w:t>Undertake</w:t>
      </w:r>
      <w:r>
        <w:rPr>
          <w:spacing w:val="-5"/>
          <w:sz w:val="22"/>
        </w:rPr>
        <w:t> </w:t>
      </w:r>
      <w:r>
        <w:rPr>
          <w:sz w:val="22"/>
        </w:rPr>
        <w:t>flood</w:t>
      </w:r>
      <w:r>
        <w:rPr>
          <w:spacing w:val="-4"/>
          <w:sz w:val="22"/>
        </w:rPr>
        <w:t> </w:t>
      </w:r>
      <w:r>
        <w:rPr>
          <w:sz w:val="22"/>
        </w:rPr>
        <w:t>mitigation</w:t>
      </w:r>
      <w:r>
        <w:rPr>
          <w:spacing w:val="-3"/>
          <w:sz w:val="22"/>
        </w:rPr>
        <w:t> </w:t>
      </w:r>
      <w:r>
        <w:rPr>
          <w:sz w:val="22"/>
        </w:rPr>
        <w:t>works</w:t>
      </w:r>
      <w:r>
        <w:rPr>
          <w:spacing w:val="-4"/>
          <w:sz w:val="22"/>
        </w:rPr>
        <w:t> </w:t>
      </w:r>
      <w:r>
        <w:rPr>
          <w:spacing w:val="-5"/>
          <w:sz w:val="22"/>
        </w:rPr>
        <w:t>at:</w:t>
      </w:r>
    </w:p>
    <w:p>
      <w:pPr>
        <w:pStyle w:val="ListParagraph"/>
        <w:numPr>
          <w:ilvl w:val="1"/>
          <w:numId w:val="24"/>
        </w:numPr>
        <w:tabs>
          <w:tab w:pos="1525" w:val="left" w:leader="none"/>
          <w:tab w:pos="1526" w:val="left" w:leader="none"/>
        </w:tabs>
        <w:spacing w:line="262" w:lineRule="exact" w:before="1" w:after="0"/>
        <w:ind w:left="1525" w:right="0" w:hanging="568"/>
        <w:jc w:val="left"/>
        <w:rPr>
          <w:sz w:val="22"/>
        </w:rPr>
      </w:pPr>
      <w:r>
        <w:rPr>
          <w:sz w:val="22"/>
        </w:rPr>
        <w:t>San</w:t>
      </w:r>
      <w:r>
        <w:rPr>
          <w:spacing w:val="-4"/>
          <w:sz w:val="22"/>
        </w:rPr>
        <w:t> </w:t>
      </w:r>
      <w:r>
        <w:rPr>
          <w:sz w:val="22"/>
        </w:rPr>
        <w:t>Remo</w:t>
      </w:r>
      <w:r>
        <w:rPr>
          <w:spacing w:val="-6"/>
          <w:sz w:val="22"/>
        </w:rPr>
        <w:t> </w:t>
      </w:r>
      <w:r>
        <w:rPr>
          <w:sz w:val="22"/>
        </w:rPr>
        <w:t>Road,</w:t>
      </w:r>
      <w:r>
        <w:rPr>
          <w:spacing w:val="-3"/>
          <w:sz w:val="22"/>
        </w:rPr>
        <w:t> </w:t>
      </w:r>
      <w:r>
        <w:rPr>
          <w:sz w:val="22"/>
        </w:rPr>
        <w:t>Ringwood</w:t>
      </w:r>
      <w:r>
        <w:rPr>
          <w:spacing w:val="-4"/>
          <w:sz w:val="22"/>
        </w:rPr>
        <w:t> North</w:t>
      </w:r>
    </w:p>
    <w:p>
      <w:pPr>
        <w:pStyle w:val="ListParagraph"/>
        <w:numPr>
          <w:ilvl w:val="1"/>
          <w:numId w:val="24"/>
        </w:numPr>
        <w:tabs>
          <w:tab w:pos="1525" w:val="left" w:leader="none"/>
          <w:tab w:pos="1526" w:val="left" w:leader="none"/>
        </w:tabs>
        <w:spacing w:line="252" w:lineRule="exact" w:before="0" w:after="0"/>
        <w:ind w:left="1525" w:right="0" w:hanging="568"/>
        <w:jc w:val="left"/>
        <w:rPr>
          <w:sz w:val="22"/>
        </w:rPr>
      </w:pPr>
      <w:r>
        <w:rPr>
          <w:sz w:val="22"/>
        </w:rPr>
        <w:t>Possum</w:t>
      </w:r>
      <w:r>
        <w:rPr>
          <w:spacing w:val="-3"/>
          <w:sz w:val="22"/>
        </w:rPr>
        <w:t> </w:t>
      </w:r>
      <w:r>
        <w:rPr>
          <w:sz w:val="22"/>
        </w:rPr>
        <w:t>Lane,</w:t>
      </w:r>
      <w:r>
        <w:rPr>
          <w:spacing w:val="-2"/>
          <w:sz w:val="22"/>
        </w:rPr>
        <w:t> Heathmont</w:t>
      </w:r>
    </w:p>
    <w:p>
      <w:pPr>
        <w:pStyle w:val="ListParagraph"/>
        <w:numPr>
          <w:ilvl w:val="1"/>
          <w:numId w:val="24"/>
        </w:numPr>
        <w:tabs>
          <w:tab w:pos="1525" w:val="left" w:leader="none"/>
          <w:tab w:pos="1526" w:val="left" w:leader="none"/>
        </w:tabs>
        <w:spacing w:line="253" w:lineRule="exact" w:before="0" w:after="0"/>
        <w:ind w:left="1525" w:right="0" w:hanging="568"/>
        <w:jc w:val="left"/>
        <w:rPr>
          <w:sz w:val="22"/>
        </w:rPr>
      </w:pPr>
      <w:r>
        <w:rPr>
          <w:sz w:val="22"/>
        </w:rPr>
        <w:t>Erica</w:t>
      </w:r>
      <w:r>
        <w:rPr>
          <w:spacing w:val="-4"/>
          <w:sz w:val="22"/>
        </w:rPr>
        <w:t> </w:t>
      </w:r>
      <w:r>
        <w:rPr>
          <w:sz w:val="22"/>
        </w:rPr>
        <w:t>Crescent,</w:t>
      </w:r>
      <w:r>
        <w:rPr>
          <w:spacing w:val="-6"/>
          <w:sz w:val="22"/>
        </w:rPr>
        <w:t> </w:t>
      </w:r>
      <w:r>
        <w:rPr>
          <w:spacing w:val="-2"/>
          <w:sz w:val="22"/>
        </w:rPr>
        <w:t>Heathmont</w:t>
      </w:r>
    </w:p>
    <w:p>
      <w:pPr>
        <w:pStyle w:val="ListParagraph"/>
        <w:numPr>
          <w:ilvl w:val="0"/>
          <w:numId w:val="24"/>
        </w:numPr>
        <w:tabs>
          <w:tab w:pos="959" w:val="left" w:leader="none"/>
          <w:tab w:pos="960" w:val="left" w:leader="none"/>
        </w:tabs>
        <w:spacing w:line="244" w:lineRule="exact" w:before="0" w:after="0"/>
        <w:ind w:left="959" w:right="0" w:hanging="569"/>
        <w:jc w:val="left"/>
        <w:rPr>
          <w:sz w:val="22"/>
        </w:rPr>
      </w:pPr>
      <w:r>
        <w:rPr>
          <w:sz w:val="22"/>
        </w:rPr>
        <w:t>Implement</w:t>
      </w:r>
      <w:r>
        <w:rPr>
          <w:spacing w:val="-10"/>
          <w:sz w:val="22"/>
        </w:rPr>
        <w:t> </w:t>
      </w:r>
      <w:r>
        <w:rPr>
          <w:sz w:val="22"/>
        </w:rPr>
        <w:t>Council's</w:t>
      </w:r>
      <w:r>
        <w:rPr>
          <w:spacing w:val="-6"/>
          <w:sz w:val="22"/>
        </w:rPr>
        <w:t> </w:t>
      </w:r>
      <w:r>
        <w:rPr>
          <w:sz w:val="22"/>
        </w:rPr>
        <w:t>annual</w:t>
      </w:r>
      <w:r>
        <w:rPr>
          <w:spacing w:val="-5"/>
          <w:sz w:val="22"/>
        </w:rPr>
        <w:t> </w:t>
      </w:r>
      <w:r>
        <w:rPr>
          <w:sz w:val="22"/>
        </w:rPr>
        <w:t>streetscape</w:t>
      </w:r>
      <w:r>
        <w:rPr>
          <w:spacing w:val="-7"/>
          <w:sz w:val="22"/>
        </w:rPr>
        <w:t> </w:t>
      </w:r>
      <w:r>
        <w:rPr>
          <w:sz w:val="22"/>
        </w:rPr>
        <w:t>enhancement</w:t>
      </w:r>
      <w:r>
        <w:rPr>
          <w:spacing w:val="-5"/>
          <w:sz w:val="22"/>
        </w:rPr>
        <w:t> </w:t>
      </w:r>
      <w:r>
        <w:rPr>
          <w:spacing w:val="-2"/>
          <w:sz w:val="22"/>
        </w:rPr>
        <w:t>program.</w:t>
      </w:r>
    </w:p>
    <w:p>
      <w:pPr>
        <w:pStyle w:val="BodyText"/>
        <w:spacing w:before="1"/>
      </w:pPr>
    </w:p>
    <w:p>
      <w:pPr>
        <w:spacing w:before="0"/>
        <w:ind w:left="391" w:right="0" w:firstLine="0"/>
        <w:jc w:val="left"/>
        <w:rPr>
          <w:b/>
          <w:sz w:val="22"/>
        </w:rPr>
      </w:pPr>
      <w:r>
        <w:rPr>
          <w:b/>
          <w:sz w:val="22"/>
        </w:rPr>
        <w:t>Service</w:t>
      </w:r>
      <w:r>
        <w:rPr>
          <w:b/>
          <w:spacing w:val="-4"/>
          <w:sz w:val="22"/>
        </w:rPr>
        <w:t> </w:t>
      </w:r>
      <w:r>
        <w:rPr>
          <w:b/>
          <w:sz w:val="22"/>
        </w:rPr>
        <w:t>Performance</w:t>
      </w:r>
      <w:r>
        <w:rPr>
          <w:b/>
          <w:spacing w:val="-7"/>
          <w:sz w:val="22"/>
        </w:rPr>
        <w:t> </w:t>
      </w:r>
      <w:r>
        <w:rPr>
          <w:b/>
          <w:sz w:val="22"/>
        </w:rPr>
        <w:t>Outcome</w:t>
      </w:r>
      <w:r>
        <w:rPr>
          <w:b/>
          <w:spacing w:val="-7"/>
          <w:sz w:val="22"/>
        </w:rPr>
        <w:t> </w:t>
      </w:r>
      <w:r>
        <w:rPr>
          <w:b/>
          <w:spacing w:val="-2"/>
          <w:sz w:val="22"/>
        </w:rPr>
        <w:t>Indicators</w:t>
      </w:r>
    </w:p>
    <w:p>
      <w:pPr>
        <w:pStyle w:val="BodyText"/>
        <w:spacing w:before="9"/>
        <w:rPr>
          <w:b/>
          <w:sz w:val="21"/>
        </w:rPr>
      </w:pPr>
    </w:p>
    <w:tbl>
      <w:tblPr>
        <w:tblW w:w="0" w:type="auto"/>
        <w:jc w:val="left"/>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1"/>
        <w:gridCol w:w="1478"/>
        <w:gridCol w:w="3844"/>
        <w:gridCol w:w="3698"/>
      </w:tblGrid>
      <w:tr>
        <w:trPr>
          <w:trHeight w:val="501" w:hRule="atLeast"/>
        </w:trPr>
        <w:tc>
          <w:tcPr>
            <w:tcW w:w="1441" w:type="dxa"/>
            <w:tcBorders>
              <w:top w:val="single" w:sz="18" w:space="0" w:color="000000"/>
              <w:left w:val="single" w:sz="12" w:space="0" w:color="000000"/>
            </w:tcBorders>
            <w:shd w:val="clear" w:color="auto" w:fill="629CD1"/>
          </w:tcPr>
          <w:p>
            <w:pPr>
              <w:pStyle w:val="TableParagraph"/>
              <w:spacing w:before="132"/>
              <w:ind w:left="393"/>
              <w:rPr>
                <w:b/>
                <w:sz w:val="20"/>
              </w:rPr>
            </w:pPr>
            <w:r>
              <w:rPr>
                <w:b/>
                <w:spacing w:val="-2"/>
                <w:sz w:val="20"/>
              </w:rPr>
              <w:t>Service</w:t>
            </w:r>
          </w:p>
        </w:tc>
        <w:tc>
          <w:tcPr>
            <w:tcW w:w="1478" w:type="dxa"/>
            <w:tcBorders>
              <w:top w:val="single" w:sz="18" w:space="0" w:color="000000"/>
            </w:tcBorders>
            <w:shd w:val="clear" w:color="auto" w:fill="629CD1"/>
          </w:tcPr>
          <w:p>
            <w:pPr>
              <w:pStyle w:val="TableParagraph"/>
              <w:spacing w:before="132"/>
              <w:ind w:left="421"/>
              <w:rPr>
                <w:b/>
                <w:sz w:val="20"/>
              </w:rPr>
            </w:pPr>
            <w:r>
              <w:rPr>
                <w:b/>
                <w:spacing w:val="-2"/>
                <w:sz w:val="20"/>
              </w:rPr>
              <w:t>Indicator</w:t>
            </w:r>
          </w:p>
        </w:tc>
        <w:tc>
          <w:tcPr>
            <w:tcW w:w="3844" w:type="dxa"/>
            <w:tcBorders>
              <w:top w:val="single" w:sz="18" w:space="0" w:color="000000"/>
            </w:tcBorders>
            <w:shd w:val="clear" w:color="auto" w:fill="629CD1"/>
          </w:tcPr>
          <w:p>
            <w:pPr>
              <w:pStyle w:val="TableParagraph"/>
              <w:spacing w:before="132"/>
              <w:ind w:left="961"/>
              <w:rPr>
                <w:b/>
                <w:sz w:val="20"/>
              </w:rPr>
            </w:pPr>
            <w:r>
              <w:rPr>
                <w:b/>
                <w:w w:val="95"/>
                <w:sz w:val="20"/>
              </w:rPr>
              <w:t>Performance</w:t>
            </w:r>
            <w:r>
              <w:rPr>
                <w:b/>
                <w:spacing w:val="47"/>
                <w:sz w:val="20"/>
              </w:rPr>
              <w:t> </w:t>
            </w:r>
            <w:r>
              <w:rPr>
                <w:b/>
                <w:spacing w:val="-2"/>
                <w:sz w:val="20"/>
              </w:rPr>
              <w:t>Measure</w:t>
            </w:r>
          </w:p>
        </w:tc>
        <w:tc>
          <w:tcPr>
            <w:tcW w:w="3698" w:type="dxa"/>
            <w:tcBorders>
              <w:top w:val="single" w:sz="18" w:space="0" w:color="000000"/>
              <w:right w:val="single" w:sz="12" w:space="0" w:color="000000"/>
            </w:tcBorders>
            <w:shd w:val="clear" w:color="auto" w:fill="629CD1"/>
          </w:tcPr>
          <w:p>
            <w:pPr>
              <w:pStyle w:val="TableParagraph"/>
              <w:spacing w:before="132"/>
              <w:ind w:left="1238"/>
              <w:rPr>
                <w:b/>
                <w:sz w:val="20"/>
              </w:rPr>
            </w:pPr>
            <w:r>
              <w:rPr>
                <w:b/>
                <w:spacing w:val="-2"/>
                <w:sz w:val="20"/>
              </w:rPr>
              <w:t>Computation</w:t>
            </w:r>
          </w:p>
        </w:tc>
      </w:tr>
      <w:tr>
        <w:trPr>
          <w:trHeight w:val="1151" w:hRule="atLeast"/>
        </w:trPr>
        <w:tc>
          <w:tcPr>
            <w:tcW w:w="1441" w:type="dxa"/>
            <w:tcBorders>
              <w:left w:val="single" w:sz="12" w:space="0" w:color="000000"/>
              <w:bottom w:val="single" w:sz="12" w:space="0" w:color="000000"/>
            </w:tcBorders>
          </w:tcPr>
          <w:p>
            <w:pPr>
              <w:pStyle w:val="TableParagraph"/>
              <w:ind w:left="107"/>
              <w:rPr>
                <w:sz w:val="20"/>
              </w:rPr>
            </w:pPr>
            <w:r>
              <w:rPr>
                <w:spacing w:val="-2"/>
                <w:sz w:val="20"/>
              </w:rPr>
              <w:t>Waste management</w:t>
            </w:r>
          </w:p>
        </w:tc>
        <w:tc>
          <w:tcPr>
            <w:tcW w:w="1478" w:type="dxa"/>
            <w:tcBorders>
              <w:bottom w:val="single" w:sz="12" w:space="0" w:color="000000"/>
            </w:tcBorders>
          </w:tcPr>
          <w:p>
            <w:pPr>
              <w:pStyle w:val="TableParagraph"/>
              <w:ind w:left="183" w:right="459"/>
              <w:rPr>
                <w:sz w:val="20"/>
              </w:rPr>
            </w:pPr>
            <w:r>
              <w:rPr>
                <w:spacing w:val="-2"/>
                <w:sz w:val="20"/>
              </w:rPr>
              <w:t>Waste Diversion</w:t>
            </w:r>
          </w:p>
        </w:tc>
        <w:tc>
          <w:tcPr>
            <w:tcW w:w="3844" w:type="dxa"/>
            <w:tcBorders>
              <w:bottom w:val="single" w:sz="12" w:space="0" w:color="000000"/>
            </w:tcBorders>
          </w:tcPr>
          <w:p>
            <w:pPr>
              <w:pStyle w:val="TableParagraph"/>
              <w:ind w:left="241" w:right="113"/>
              <w:jc w:val="both"/>
              <w:rPr>
                <w:sz w:val="20"/>
              </w:rPr>
            </w:pPr>
            <w:r>
              <w:rPr>
                <w:sz w:val="20"/>
              </w:rPr>
              <w:t>Kerbside</w:t>
            </w:r>
            <w:r>
              <w:rPr>
                <w:spacing w:val="-8"/>
                <w:sz w:val="20"/>
              </w:rPr>
              <w:t> </w:t>
            </w:r>
            <w:r>
              <w:rPr>
                <w:sz w:val="20"/>
              </w:rPr>
              <w:t>collection</w:t>
            </w:r>
            <w:r>
              <w:rPr>
                <w:spacing w:val="-9"/>
                <w:sz w:val="20"/>
              </w:rPr>
              <w:t> </w:t>
            </w:r>
            <w:r>
              <w:rPr>
                <w:sz w:val="20"/>
              </w:rPr>
              <w:t>waste</w:t>
            </w:r>
            <w:r>
              <w:rPr>
                <w:spacing w:val="-6"/>
                <w:sz w:val="20"/>
              </w:rPr>
              <w:t> </w:t>
            </w:r>
            <w:r>
              <w:rPr>
                <w:sz w:val="20"/>
              </w:rPr>
              <w:t>diverted</w:t>
            </w:r>
            <w:r>
              <w:rPr>
                <w:spacing w:val="-8"/>
                <w:sz w:val="20"/>
              </w:rPr>
              <w:t> </w:t>
            </w:r>
            <w:r>
              <w:rPr>
                <w:sz w:val="20"/>
              </w:rPr>
              <w:t>from landfill.</w:t>
            </w:r>
            <w:r>
              <w:rPr>
                <w:spacing w:val="38"/>
                <w:sz w:val="20"/>
              </w:rPr>
              <w:t> </w:t>
            </w:r>
            <w:r>
              <w:rPr>
                <w:sz w:val="20"/>
              </w:rPr>
              <w:t>(Percentage</w:t>
            </w:r>
            <w:r>
              <w:rPr>
                <w:spacing w:val="-11"/>
                <w:sz w:val="20"/>
              </w:rPr>
              <w:t> </w:t>
            </w:r>
            <w:r>
              <w:rPr>
                <w:sz w:val="20"/>
              </w:rPr>
              <w:t>of</w:t>
            </w:r>
            <w:r>
              <w:rPr>
                <w:spacing w:val="-7"/>
                <w:sz w:val="20"/>
              </w:rPr>
              <w:t> </w:t>
            </w:r>
            <w:r>
              <w:rPr>
                <w:sz w:val="20"/>
              </w:rPr>
              <w:t>recyclables</w:t>
            </w:r>
            <w:r>
              <w:rPr>
                <w:spacing w:val="-8"/>
                <w:sz w:val="20"/>
              </w:rPr>
              <w:t> </w:t>
            </w:r>
            <w:r>
              <w:rPr>
                <w:sz w:val="20"/>
              </w:rPr>
              <w:t>and green organics collected from kerbside bins that is diverted from landfill)</w:t>
            </w:r>
          </w:p>
        </w:tc>
        <w:tc>
          <w:tcPr>
            <w:tcW w:w="3698" w:type="dxa"/>
            <w:tcBorders>
              <w:bottom w:val="single" w:sz="12" w:space="0" w:color="000000"/>
              <w:right w:val="single" w:sz="12" w:space="0" w:color="000000"/>
            </w:tcBorders>
          </w:tcPr>
          <w:p>
            <w:pPr>
              <w:pStyle w:val="TableParagraph"/>
              <w:spacing w:line="230" w:lineRule="exact"/>
              <w:ind w:left="126"/>
              <w:rPr>
                <w:sz w:val="20"/>
              </w:rPr>
            </w:pPr>
            <w:r>
              <w:rPr>
                <w:sz w:val="20"/>
              </w:rPr>
              <w:t>[Weight of recyclables and green organics collected from kerbside bins / Weight of garbage, recyclables and green</w:t>
            </w:r>
            <w:r>
              <w:rPr>
                <w:spacing w:val="-6"/>
                <w:sz w:val="20"/>
              </w:rPr>
              <w:t> </w:t>
            </w:r>
            <w:r>
              <w:rPr>
                <w:sz w:val="20"/>
              </w:rPr>
              <w:t>organics</w:t>
            </w:r>
            <w:r>
              <w:rPr>
                <w:spacing w:val="-7"/>
                <w:sz w:val="20"/>
              </w:rPr>
              <w:t> </w:t>
            </w:r>
            <w:r>
              <w:rPr>
                <w:sz w:val="20"/>
              </w:rPr>
              <w:t>collected</w:t>
            </w:r>
            <w:r>
              <w:rPr>
                <w:spacing w:val="-6"/>
                <w:sz w:val="20"/>
              </w:rPr>
              <w:t> </w:t>
            </w:r>
            <w:r>
              <w:rPr>
                <w:sz w:val="20"/>
              </w:rPr>
              <w:t>from</w:t>
            </w:r>
            <w:r>
              <w:rPr>
                <w:spacing w:val="-8"/>
                <w:sz w:val="20"/>
              </w:rPr>
              <w:t> </w:t>
            </w:r>
            <w:r>
              <w:rPr>
                <w:sz w:val="20"/>
              </w:rPr>
              <w:t>kerbside bins] x100</w:t>
            </w:r>
          </w:p>
        </w:tc>
      </w:tr>
    </w:tbl>
    <w:p>
      <w:pPr>
        <w:spacing w:after="0" w:line="230" w:lineRule="exact"/>
        <w:rPr>
          <w:sz w:val="20"/>
        </w:rPr>
        <w:sectPr>
          <w:pgSz w:w="11910" w:h="16840"/>
          <w:pgMar w:header="0" w:footer="375" w:top="480" w:bottom="560" w:left="460" w:right="160"/>
        </w:sectPr>
      </w:pPr>
    </w:p>
    <w:p>
      <w:pPr>
        <w:pStyle w:val="Heading2"/>
        <w:numPr>
          <w:ilvl w:val="2"/>
          <w:numId w:val="12"/>
        </w:numPr>
        <w:tabs>
          <w:tab w:pos="861" w:val="left" w:leader="none"/>
        </w:tabs>
        <w:spacing w:line="240" w:lineRule="auto" w:before="71" w:after="0"/>
        <w:ind w:left="391" w:right="1896" w:firstLine="0"/>
        <w:jc w:val="left"/>
      </w:pPr>
      <w:r>
        <w:rPr/>
        <w:pict>
          <v:shape style="position:absolute;margin-left:503.640015pt;margin-top:434.040039pt;width:61.1pt;height:54pt;mso-position-horizontal-relative:page;mso-position-vertical-relative:page;z-index:-38039040" id="docshape14" coordorigin="10073,8681" coordsize="1222,1080" path="m11294,9300l10075,9300,10075,9761,11294,9761,11294,9300xm11294,8686l11292,8686,11292,8681,10073,8681,10073,8686,10075,8686,10075,8988,10073,8988,10073,8993,10075,8993,10075,9295,11294,9295,11294,8993,11292,8993,11292,8988,11294,8988,11294,8686xe" filled="true" fillcolor="#bcd6ed" stroked="false">
            <v:path arrowok="t"/>
            <v:fill type="solid"/>
            <w10:wrap type="none"/>
          </v:shape>
        </w:pict>
      </w:r>
      <w:bookmarkStart w:name="_TOC_250011" w:id="21"/>
      <w:r>
        <w:rPr>
          <w:color w:val="4966AC"/>
        </w:rPr>
        <w:t>Outcome</w:t>
      </w:r>
      <w:r>
        <w:rPr>
          <w:color w:val="4966AC"/>
          <w:spacing w:val="-6"/>
        </w:rPr>
        <w:t> </w:t>
      </w:r>
      <w:r>
        <w:rPr>
          <w:color w:val="4966AC"/>
        </w:rPr>
        <w:t>Area</w:t>
      </w:r>
      <w:r>
        <w:rPr>
          <w:color w:val="4966AC"/>
          <w:spacing w:val="-6"/>
        </w:rPr>
        <w:t> </w:t>
      </w:r>
      <w:r>
        <w:rPr>
          <w:color w:val="4966AC"/>
        </w:rPr>
        <w:t>(Strategic</w:t>
      </w:r>
      <w:r>
        <w:rPr>
          <w:color w:val="4966AC"/>
          <w:spacing w:val="-6"/>
        </w:rPr>
        <w:t> </w:t>
      </w:r>
      <w:r>
        <w:rPr>
          <w:color w:val="4966AC"/>
        </w:rPr>
        <w:t>Objective)</w:t>
      </w:r>
      <w:r>
        <w:rPr>
          <w:color w:val="4966AC"/>
          <w:spacing w:val="-2"/>
        </w:rPr>
        <w:t> </w:t>
      </w:r>
      <w:r>
        <w:rPr>
          <w:color w:val="4966AC"/>
        </w:rPr>
        <w:t>4:</w:t>
      </w:r>
      <w:r>
        <w:rPr>
          <w:color w:val="4966AC"/>
          <w:spacing w:val="-4"/>
        </w:rPr>
        <w:t> </w:t>
      </w:r>
      <w:r>
        <w:rPr>
          <w:color w:val="4966AC"/>
        </w:rPr>
        <w:t>A</w:t>
      </w:r>
      <w:r>
        <w:rPr>
          <w:color w:val="4966AC"/>
          <w:spacing w:val="-4"/>
        </w:rPr>
        <w:t> </w:t>
      </w:r>
      <w:r>
        <w:rPr>
          <w:color w:val="4966AC"/>
        </w:rPr>
        <w:t>vibrant</w:t>
      </w:r>
      <w:r>
        <w:rPr>
          <w:color w:val="4966AC"/>
          <w:spacing w:val="-4"/>
        </w:rPr>
        <w:t> </w:t>
      </w:r>
      <w:r>
        <w:rPr>
          <w:color w:val="4966AC"/>
        </w:rPr>
        <w:t>and</w:t>
      </w:r>
      <w:r>
        <w:rPr>
          <w:color w:val="4966AC"/>
          <w:spacing w:val="-4"/>
        </w:rPr>
        <w:t> </w:t>
      </w:r>
      <w:r>
        <w:rPr>
          <w:color w:val="4966AC"/>
        </w:rPr>
        <w:t>prosperous </w:t>
      </w:r>
      <w:bookmarkEnd w:id="21"/>
      <w:r>
        <w:rPr>
          <w:color w:val="4966AC"/>
          <w:spacing w:val="-2"/>
        </w:rPr>
        <w:t>community</w:t>
      </w:r>
    </w:p>
    <w:p>
      <w:pPr>
        <w:pStyle w:val="BodyText"/>
        <w:spacing w:before="9"/>
        <w:rPr>
          <w:b/>
          <w:sz w:val="21"/>
        </w:rPr>
      </w:pPr>
    </w:p>
    <w:tbl>
      <w:tblPr>
        <w:tblW w:w="0" w:type="auto"/>
        <w:jc w:val="left"/>
        <w:tblInd w:w="43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553"/>
        <w:gridCol w:w="3540"/>
        <w:gridCol w:w="1539"/>
        <w:gridCol w:w="1347"/>
        <w:gridCol w:w="1214"/>
        <w:gridCol w:w="1234"/>
      </w:tblGrid>
      <w:tr>
        <w:trPr>
          <w:trHeight w:val="927" w:hRule="exact"/>
        </w:trPr>
        <w:tc>
          <w:tcPr>
            <w:tcW w:w="1553" w:type="dxa"/>
            <w:tcBorders>
              <w:left w:val="single" w:sz="12" w:space="0" w:color="000000"/>
              <w:bottom w:val="single" w:sz="2" w:space="0" w:color="000000"/>
              <w:right w:val="nil"/>
            </w:tcBorders>
            <w:shd w:val="clear" w:color="auto" w:fill="5B9AD4"/>
          </w:tcPr>
          <w:p>
            <w:pPr>
              <w:pStyle w:val="TableParagraph"/>
              <w:spacing w:before="4"/>
              <w:rPr>
                <w:b/>
                <w:sz w:val="19"/>
              </w:rPr>
            </w:pPr>
          </w:p>
          <w:p>
            <w:pPr>
              <w:pStyle w:val="TableParagraph"/>
              <w:ind w:left="157"/>
              <w:rPr>
                <w:b/>
                <w:sz w:val="20"/>
              </w:rPr>
            </w:pPr>
            <w:r>
              <w:rPr>
                <w:b/>
                <w:color w:val="FFFFFF"/>
                <w:sz w:val="20"/>
              </w:rPr>
              <w:t>Service</w:t>
            </w:r>
            <w:r>
              <w:rPr>
                <w:b/>
                <w:color w:val="FFFFFF"/>
                <w:spacing w:val="-10"/>
                <w:sz w:val="20"/>
              </w:rPr>
              <w:t> </w:t>
            </w:r>
            <w:r>
              <w:rPr>
                <w:b/>
                <w:color w:val="FFFFFF"/>
                <w:spacing w:val="-4"/>
                <w:sz w:val="20"/>
              </w:rPr>
              <w:t>Area</w:t>
            </w:r>
          </w:p>
        </w:tc>
        <w:tc>
          <w:tcPr>
            <w:tcW w:w="3540" w:type="dxa"/>
            <w:tcBorders>
              <w:left w:val="nil"/>
              <w:bottom w:val="single" w:sz="2" w:space="0" w:color="000000"/>
              <w:right w:val="nil"/>
            </w:tcBorders>
            <w:shd w:val="clear" w:color="auto" w:fill="5B9AD4"/>
          </w:tcPr>
          <w:p>
            <w:pPr>
              <w:pStyle w:val="TableParagraph"/>
              <w:spacing w:before="9"/>
              <w:rPr>
                <w:b/>
                <w:sz w:val="28"/>
              </w:rPr>
            </w:pPr>
          </w:p>
          <w:p>
            <w:pPr>
              <w:pStyle w:val="TableParagraph"/>
              <w:ind w:left="902"/>
              <w:rPr>
                <w:b/>
                <w:sz w:val="20"/>
              </w:rPr>
            </w:pPr>
            <w:r>
              <w:rPr>
                <w:b/>
                <w:color w:val="FFFFFF"/>
                <w:sz w:val="20"/>
              </w:rPr>
              <w:t>Services</w:t>
            </w:r>
            <w:r>
              <w:rPr>
                <w:b/>
                <w:color w:val="FFFFFF"/>
                <w:spacing w:val="-9"/>
                <w:sz w:val="20"/>
              </w:rPr>
              <w:t> </w:t>
            </w:r>
            <w:r>
              <w:rPr>
                <w:b/>
                <w:color w:val="FFFFFF"/>
                <w:spacing w:val="-2"/>
                <w:sz w:val="20"/>
              </w:rPr>
              <w:t>Provided</w:t>
            </w:r>
          </w:p>
        </w:tc>
        <w:tc>
          <w:tcPr>
            <w:tcW w:w="1539" w:type="dxa"/>
            <w:tcBorders>
              <w:left w:val="nil"/>
              <w:bottom w:val="nil"/>
              <w:right w:val="nil"/>
            </w:tcBorders>
            <w:shd w:val="clear" w:color="auto" w:fill="5B9AD4"/>
          </w:tcPr>
          <w:p>
            <w:pPr>
              <w:pStyle w:val="TableParagraph"/>
              <w:rPr>
                <w:rFonts w:ascii="Times New Roman"/>
                <w:sz w:val="20"/>
              </w:rPr>
            </w:pPr>
          </w:p>
        </w:tc>
        <w:tc>
          <w:tcPr>
            <w:tcW w:w="1347" w:type="dxa"/>
            <w:tcBorders>
              <w:left w:val="nil"/>
              <w:bottom w:val="nil"/>
              <w:right w:val="nil"/>
            </w:tcBorders>
            <w:shd w:val="clear" w:color="auto" w:fill="5B9AD4"/>
          </w:tcPr>
          <w:p>
            <w:pPr>
              <w:pStyle w:val="TableParagraph"/>
              <w:spacing w:before="28"/>
              <w:ind w:left="335" w:right="234"/>
              <w:jc w:val="center"/>
              <w:rPr>
                <w:b/>
                <w:sz w:val="20"/>
              </w:rPr>
            </w:pPr>
            <w:r>
              <w:rPr>
                <w:b/>
                <w:color w:val="FFFFFF"/>
                <w:spacing w:val="-2"/>
                <w:sz w:val="20"/>
              </w:rPr>
              <w:t>2023/24</w:t>
            </w:r>
          </w:p>
          <w:p>
            <w:pPr>
              <w:pStyle w:val="TableParagraph"/>
              <w:spacing w:before="73"/>
              <w:ind w:left="335" w:right="234"/>
              <w:jc w:val="center"/>
              <w:rPr>
                <w:b/>
                <w:sz w:val="20"/>
              </w:rPr>
            </w:pPr>
            <w:r>
              <w:rPr>
                <w:b/>
                <w:color w:val="FFFFFF"/>
                <w:spacing w:val="-2"/>
                <w:sz w:val="20"/>
              </w:rPr>
              <w:t>Actual</w:t>
            </w:r>
          </w:p>
          <w:p>
            <w:pPr>
              <w:pStyle w:val="TableParagraph"/>
              <w:spacing w:before="72"/>
              <w:ind w:left="335" w:right="234"/>
              <w:jc w:val="center"/>
              <w:rPr>
                <w:b/>
                <w:sz w:val="20"/>
              </w:rPr>
            </w:pPr>
            <w:r>
              <w:rPr>
                <w:b/>
                <w:color w:val="FFFFFF"/>
                <w:spacing w:val="-2"/>
                <w:sz w:val="20"/>
              </w:rPr>
              <w:t>$'000</w:t>
            </w:r>
          </w:p>
        </w:tc>
        <w:tc>
          <w:tcPr>
            <w:tcW w:w="1214" w:type="dxa"/>
            <w:tcBorders>
              <w:left w:val="nil"/>
              <w:bottom w:val="nil"/>
              <w:right w:val="nil"/>
            </w:tcBorders>
            <w:shd w:val="clear" w:color="auto" w:fill="5B9AD4"/>
          </w:tcPr>
          <w:p>
            <w:pPr>
              <w:pStyle w:val="TableParagraph"/>
              <w:spacing w:before="28"/>
              <w:ind w:left="149" w:right="205"/>
              <w:jc w:val="center"/>
              <w:rPr>
                <w:b/>
                <w:sz w:val="20"/>
              </w:rPr>
            </w:pPr>
            <w:r>
              <w:rPr>
                <w:b/>
                <w:color w:val="FFFFFF"/>
                <w:spacing w:val="-2"/>
                <w:sz w:val="20"/>
              </w:rPr>
              <w:t>2024/25</w:t>
            </w:r>
          </w:p>
          <w:p>
            <w:pPr>
              <w:pStyle w:val="TableParagraph"/>
              <w:spacing w:before="73"/>
              <w:ind w:left="151" w:right="205"/>
              <w:jc w:val="center"/>
              <w:rPr>
                <w:b/>
                <w:sz w:val="20"/>
              </w:rPr>
            </w:pPr>
            <w:r>
              <w:rPr>
                <w:b/>
                <w:color w:val="FFFFFF"/>
                <w:spacing w:val="-2"/>
                <w:sz w:val="20"/>
              </w:rPr>
              <w:t>Forecast</w:t>
            </w:r>
          </w:p>
          <w:p>
            <w:pPr>
              <w:pStyle w:val="TableParagraph"/>
              <w:spacing w:before="72"/>
              <w:ind w:left="149" w:right="205"/>
              <w:jc w:val="center"/>
              <w:rPr>
                <w:b/>
                <w:sz w:val="20"/>
              </w:rPr>
            </w:pPr>
            <w:r>
              <w:rPr>
                <w:b/>
                <w:color w:val="FFFFFF"/>
                <w:spacing w:val="-2"/>
                <w:sz w:val="20"/>
              </w:rPr>
              <w:t>$'000</w:t>
            </w:r>
          </w:p>
        </w:tc>
        <w:tc>
          <w:tcPr>
            <w:tcW w:w="1234" w:type="dxa"/>
            <w:tcBorders>
              <w:left w:val="nil"/>
              <w:bottom w:val="nil"/>
              <w:right w:val="single" w:sz="12" w:space="0" w:color="000000"/>
            </w:tcBorders>
            <w:shd w:val="clear" w:color="auto" w:fill="5B9AD4"/>
          </w:tcPr>
          <w:p>
            <w:pPr>
              <w:pStyle w:val="TableParagraph"/>
              <w:spacing w:before="28"/>
              <w:ind w:left="239" w:right="224"/>
              <w:jc w:val="center"/>
              <w:rPr>
                <w:b/>
                <w:sz w:val="20"/>
              </w:rPr>
            </w:pPr>
            <w:r>
              <w:rPr>
                <w:b/>
                <w:color w:val="FFFFFF"/>
                <w:spacing w:val="-2"/>
                <w:sz w:val="20"/>
              </w:rPr>
              <w:t>2025/26</w:t>
            </w:r>
          </w:p>
          <w:p>
            <w:pPr>
              <w:pStyle w:val="TableParagraph"/>
              <w:spacing w:before="73"/>
              <w:ind w:left="240" w:right="224"/>
              <w:jc w:val="center"/>
              <w:rPr>
                <w:b/>
                <w:sz w:val="20"/>
              </w:rPr>
            </w:pPr>
            <w:r>
              <w:rPr>
                <w:b/>
                <w:color w:val="FFFFFF"/>
                <w:spacing w:val="-2"/>
                <w:sz w:val="20"/>
              </w:rPr>
              <w:t>Budget</w:t>
            </w:r>
          </w:p>
          <w:p>
            <w:pPr>
              <w:pStyle w:val="TableParagraph"/>
              <w:spacing w:before="72"/>
              <w:ind w:left="238" w:right="224"/>
              <w:jc w:val="center"/>
              <w:rPr>
                <w:b/>
                <w:sz w:val="20"/>
              </w:rPr>
            </w:pPr>
            <w:r>
              <w:rPr>
                <w:b/>
                <w:color w:val="FFFFFF"/>
                <w:spacing w:val="-2"/>
                <w:sz w:val="20"/>
              </w:rPr>
              <w:t>$'000</w:t>
            </w:r>
          </w:p>
        </w:tc>
      </w:tr>
      <w:tr>
        <w:trPr>
          <w:trHeight w:val="614" w:hRule="exact"/>
        </w:trPr>
        <w:tc>
          <w:tcPr>
            <w:tcW w:w="1553" w:type="dxa"/>
            <w:vMerge w:val="restart"/>
            <w:tcBorders>
              <w:top w:val="single" w:sz="2" w:space="0" w:color="000000"/>
              <w:left w:val="single" w:sz="12" w:space="0" w:color="000000"/>
              <w:bottom w:val="nil"/>
              <w:right w:val="single" w:sz="2" w:space="0" w:color="000000"/>
            </w:tcBorders>
          </w:tcPr>
          <w:p>
            <w:pPr>
              <w:pStyle w:val="TableParagraph"/>
              <w:ind w:left="95" w:right="201"/>
              <w:rPr>
                <w:sz w:val="20"/>
              </w:rPr>
            </w:pPr>
            <w:r>
              <w:rPr>
                <w:spacing w:val="-2"/>
                <w:sz w:val="20"/>
              </w:rPr>
              <w:t>Business </w:t>
            </w:r>
            <w:r>
              <w:rPr>
                <w:sz w:val="20"/>
              </w:rPr>
              <w:t>Support</w:t>
            </w:r>
            <w:r>
              <w:rPr>
                <w:spacing w:val="-14"/>
                <w:sz w:val="20"/>
              </w:rPr>
              <w:t> </w:t>
            </w:r>
            <w:r>
              <w:rPr>
                <w:sz w:val="20"/>
              </w:rPr>
              <w:t>and </w:t>
            </w:r>
            <w:r>
              <w:rPr>
                <w:spacing w:val="-2"/>
                <w:sz w:val="20"/>
              </w:rPr>
              <w:t>Activity centres</w:t>
            </w:r>
          </w:p>
        </w:tc>
        <w:tc>
          <w:tcPr>
            <w:tcW w:w="3540" w:type="dxa"/>
            <w:vMerge w:val="restart"/>
            <w:tcBorders>
              <w:top w:val="single" w:sz="2" w:space="0" w:color="000000"/>
              <w:left w:val="single" w:sz="2" w:space="0" w:color="000000"/>
              <w:bottom w:val="nil"/>
              <w:right w:val="single" w:sz="2" w:space="0" w:color="000000"/>
            </w:tcBorders>
          </w:tcPr>
          <w:p>
            <w:pPr>
              <w:pStyle w:val="TableParagraph"/>
              <w:spacing w:line="229" w:lineRule="exact"/>
              <w:ind w:left="105"/>
              <w:rPr>
                <w:sz w:val="20"/>
              </w:rPr>
            </w:pPr>
            <w:r>
              <w:rPr>
                <w:sz w:val="20"/>
              </w:rPr>
              <w:t>Business</w:t>
            </w:r>
            <w:r>
              <w:rPr>
                <w:spacing w:val="-10"/>
                <w:sz w:val="20"/>
              </w:rPr>
              <w:t> </w:t>
            </w:r>
            <w:r>
              <w:rPr>
                <w:spacing w:val="-2"/>
                <w:sz w:val="20"/>
              </w:rPr>
              <w:t>Support</w:t>
            </w:r>
          </w:p>
          <w:p>
            <w:pPr>
              <w:pStyle w:val="TableParagraph"/>
              <w:numPr>
                <w:ilvl w:val="0"/>
                <w:numId w:val="37"/>
              </w:numPr>
              <w:tabs>
                <w:tab w:pos="417" w:val="left" w:leader="none"/>
                <w:tab w:pos="418" w:val="left" w:leader="none"/>
              </w:tabs>
              <w:spacing w:line="237" w:lineRule="auto" w:before="3" w:after="0"/>
              <w:ind w:left="417" w:right="393" w:hanging="312"/>
              <w:jc w:val="left"/>
              <w:rPr>
                <w:sz w:val="20"/>
              </w:rPr>
            </w:pPr>
            <w:r>
              <w:rPr>
                <w:sz w:val="20"/>
              </w:rPr>
              <w:t>Business support, including workshops,</w:t>
            </w:r>
            <w:r>
              <w:rPr>
                <w:spacing w:val="-14"/>
                <w:sz w:val="20"/>
              </w:rPr>
              <w:t> </w:t>
            </w:r>
            <w:r>
              <w:rPr>
                <w:sz w:val="20"/>
              </w:rPr>
              <w:t>training,</w:t>
            </w:r>
            <w:r>
              <w:rPr>
                <w:spacing w:val="-14"/>
                <w:sz w:val="20"/>
              </w:rPr>
              <w:t> </w:t>
            </w:r>
            <w:r>
              <w:rPr>
                <w:sz w:val="20"/>
              </w:rPr>
              <w:t>mentoring and engagement</w:t>
            </w:r>
          </w:p>
          <w:p>
            <w:pPr>
              <w:pStyle w:val="TableParagraph"/>
              <w:numPr>
                <w:ilvl w:val="0"/>
                <w:numId w:val="37"/>
              </w:numPr>
              <w:tabs>
                <w:tab w:pos="417" w:val="left" w:leader="none"/>
                <w:tab w:pos="418" w:val="left" w:leader="none"/>
              </w:tabs>
              <w:spacing w:line="244" w:lineRule="exact" w:before="3" w:after="0"/>
              <w:ind w:left="417" w:right="0" w:hanging="313"/>
              <w:jc w:val="left"/>
              <w:rPr>
                <w:sz w:val="20"/>
              </w:rPr>
            </w:pPr>
            <w:r>
              <w:rPr>
                <w:sz w:val="20"/>
              </w:rPr>
              <w:t>BizHub</w:t>
            </w:r>
            <w:r>
              <w:rPr>
                <w:spacing w:val="-10"/>
                <w:sz w:val="20"/>
              </w:rPr>
              <w:t> </w:t>
            </w:r>
            <w:r>
              <w:rPr>
                <w:sz w:val="20"/>
              </w:rPr>
              <w:t>coworking</w:t>
            </w:r>
            <w:r>
              <w:rPr>
                <w:spacing w:val="-9"/>
                <w:sz w:val="20"/>
              </w:rPr>
              <w:t> </w:t>
            </w:r>
            <w:r>
              <w:rPr>
                <w:spacing w:val="-4"/>
                <w:sz w:val="20"/>
              </w:rPr>
              <w:t>space</w:t>
            </w:r>
          </w:p>
          <w:p>
            <w:pPr>
              <w:pStyle w:val="TableParagraph"/>
              <w:numPr>
                <w:ilvl w:val="0"/>
                <w:numId w:val="37"/>
              </w:numPr>
              <w:tabs>
                <w:tab w:pos="417" w:val="left" w:leader="none"/>
                <w:tab w:pos="418" w:val="left" w:leader="none"/>
              </w:tabs>
              <w:spacing w:line="244" w:lineRule="exact" w:before="0" w:after="0"/>
              <w:ind w:left="417" w:right="0" w:hanging="313"/>
              <w:jc w:val="left"/>
              <w:rPr>
                <w:sz w:val="20"/>
              </w:rPr>
            </w:pPr>
            <w:r>
              <w:rPr>
                <w:sz w:val="20"/>
              </w:rPr>
              <w:t>Business</w:t>
            </w:r>
            <w:r>
              <w:rPr>
                <w:spacing w:val="-11"/>
                <w:sz w:val="20"/>
              </w:rPr>
              <w:t> </w:t>
            </w:r>
            <w:r>
              <w:rPr>
                <w:spacing w:val="-2"/>
                <w:sz w:val="20"/>
              </w:rPr>
              <w:t>concierge</w:t>
            </w:r>
          </w:p>
          <w:p>
            <w:pPr>
              <w:pStyle w:val="TableParagraph"/>
              <w:numPr>
                <w:ilvl w:val="0"/>
                <w:numId w:val="37"/>
              </w:numPr>
              <w:tabs>
                <w:tab w:pos="417" w:val="left" w:leader="none"/>
                <w:tab w:pos="418" w:val="left" w:leader="none"/>
              </w:tabs>
              <w:spacing w:line="237" w:lineRule="auto" w:before="2" w:after="0"/>
              <w:ind w:left="417" w:right="159" w:hanging="312"/>
              <w:jc w:val="left"/>
              <w:rPr>
                <w:sz w:val="20"/>
              </w:rPr>
            </w:pPr>
            <w:r>
              <w:rPr>
                <w:sz w:val="20"/>
              </w:rPr>
              <w:t>Business events, including Maroondah Business Excellence Awards,</w:t>
            </w:r>
            <w:r>
              <w:rPr>
                <w:spacing w:val="-10"/>
                <w:sz w:val="20"/>
              </w:rPr>
              <w:t> </w:t>
            </w:r>
            <w:r>
              <w:rPr>
                <w:sz w:val="20"/>
              </w:rPr>
              <w:t>BizMonth</w:t>
            </w:r>
            <w:r>
              <w:rPr>
                <w:spacing w:val="-12"/>
                <w:sz w:val="20"/>
              </w:rPr>
              <w:t> </w:t>
            </w:r>
            <w:r>
              <w:rPr>
                <w:sz w:val="20"/>
              </w:rPr>
              <w:t>and</w:t>
            </w:r>
            <w:r>
              <w:rPr>
                <w:spacing w:val="-10"/>
                <w:sz w:val="20"/>
              </w:rPr>
              <w:t> </w:t>
            </w:r>
            <w:r>
              <w:rPr>
                <w:sz w:val="20"/>
              </w:rPr>
              <w:t>Women</w:t>
            </w:r>
            <w:r>
              <w:rPr>
                <w:spacing w:val="-8"/>
                <w:sz w:val="20"/>
              </w:rPr>
              <w:t> </w:t>
            </w:r>
            <w:r>
              <w:rPr>
                <w:sz w:val="20"/>
              </w:rPr>
              <w:t>in </w:t>
            </w:r>
            <w:r>
              <w:rPr>
                <w:spacing w:val="-2"/>
                <w:sz w:val="20"/>
              </w:rPr>
              <w:t>Business</w:t>
            </w:r>
          </w:p>
        </w:tc>
        <w:tc>
          <w:tcPr>
            <w:tcW w:w="1539" w:type="dxa"/>
            <w:tcBorders>
              <w:top w:val="nil"/>
              <w:left w:val="single" w:sz="2" w:space="0" w:color="000000"/>
              <w:bottom w:val="single" w:sz="2" w:space="0" w:color="000000"/>
              <w:right w:val="nil"/>
            </w:tcBorders>
          </w:tcPr>
          <w:p>
            <w:pPr>
              <w:pStyle w:val="TableParagraph"/>
              <w:spacing w:before="2"/>
              <w:ind w:left="105"/>
              <w:rPr>
                <w:sz w:val="20"/>
              </w:rPr>
            </w:pPr>
            <w:r>
              <w:rPr>
                <w:spacing w:val="-2"/>
                <w:sz w:val="20"/>
              </w:rPr>
              <w:t>Income</w:t>
            </w:r>
          </w:p>
          <w:p>
            <w:pPr>
              <w:pStyle w:val="TableParagraph"/>
              <w:spacing w:before="77"/>
              <w:ind w:left="105"/>
              <w:rPr>
                <w:sz w:val="20"/>
              </w:rPr>
            </w:pPr>
            <w:r>
              <w:rPr>
                <w:spacing w:val="-2"/>
                <w:sz w:val="20"/>
              </w:rPr>
              <w:t>Expenditure</w:t>
            </w:r>
          </w:p>
        </w:tc>
        <w:tc>
          <w:tcPr>
            <w:tcW w:w="1347" w:type="dxa"/>
            <w:tcBorders>
              <w:top w:val="nil"/>
              <w:left w:val="nil"/>
              <w:bottom w:val="single" w:sz="2" w:space="0" w:color="000000"/>
              <w:right w:val="nil"/>
            </w:tcBorders>
          </w:tcPr>
          <w:p>
            <w:pPr>
              <w:pStyle w:val="TableParagraph"/>
              <w:spacing w:before="1"/>
              <w:ind w:right="161"/>
              <w:jc w:val="right"/>
              <w:rPr>
                <w:sz w:val="18"/>
              </w:rPr>
            </w:pPr>
            <w:r>
              <w:rPr>
                <w:spacing w:val="-5"/>
                <w:sz w:val="18"/>
              </w:rPr>
              <w:t>556</w:t>
            </w:r>
          </w:p>
          <w:p>
            <w:pPr>
              <w:pStyle w:val="TableParagraph"/>
              <w:spacing w:before="100"/>
              <w:ind w:right="160"/>
              <w:jc w:val="right"/>
              <w:rPr>
                <w:sz w:val="18"/>
              </w:rPr>
            </w:pPr>
            <w:r>
              <w:rPr>
                <w:spacing w:val="-2"/>
                <w:sz w:val="18"/>
              </w:rPr>
              <w:t>1,664</w:t>
            </w:r>
          </w:p>
        </w:tc>
        <w:tc>
          <w:tcPr>
            <w:tcW w:w="1214" w:type="dxa"/>
            <w:tcBorders>
              <w:top w:val="nil"/>
              <w:left w:val="nil"/>
              <w:bottom w:val="single" w:sz="2" w:space="0" w:color="000000"/>
              <w:right w:val="nil"/>
            </w:tcBorders>
          </w:tcPr>
          <w:p>
            <w:pPr>
              <w:pStyle w:val="TableParagraph"/>
              <w:spacing w:before="1"/>
              <w:ind w:right="103"/>
              <w:jc w:val="right"/>
              <w:rPr>
                <w:sz w:val="18"/>
              </w:rPr>
            </w:pPr>
            <w:r>
              <w:rPr>
                <w:spacing w:val="-5"/>
                <w:sz w:val="18"/>
              </w:rPr>
              <w:t>526</w:t>
            </w:r>
          </w:p>
          <w:p>
            <w:pPr>
              <w:pStyle w:val="TableParagraph"/>
              <w:spacing w:before="100"/>
              <w:ind w:right="101"/>
              <w:jc w:val="right"/>
              <w:rPr>
                <w:sz w:val="18"/>
              </w:rPr>
            </w:pPr>
            <w:r>
              <w:rPr>
                <w:spacing w:val="-2"/>
                <w:sz w:val="18"/>
              </w:rPr>
              <w:t>1,678</w:t>
            </w:r>
          </w:p>
        </w:tc>
        <w:tc>
          <w:tcPr>
            <w:tcW w:w="1234" w:type="dxa"/>
            <w:tcBorders>
              <w:top w:val="nil"/>
              <w:left w:val="nil"/>
              <w:bottom w:val="single" w:sz="2" w:space="0" w:color="000000"/>
              <w:right w:val="single" w:sz="12" w:space="0" w:color="000000"/>
            </w:tcBorders>
            <w:shd w:val="clear" w:color="auto" w:fill="BCD6ED"/>
          </w:tcPr>
          <w:p>
            <w:pPr>
              <w:pStyle w:val="TableParagraph"/>
              <w:spacing w:before="1"/>
              <w:ind w:right="88"/>
              <w:jc w:val="right"/>
              <w:rPr>
                <w:sz w:val="18"/>
              </w:rPr>
            </w:pPr>
            <w:r>
              <w:rPr>
                <w:spacing w:val="-5"/>
                <w:sz w:val="18"/>
              </w:rPr>
              <w:t>297</w:t>
            </w:r>
          </w:p>
          <w:p>
            <w:pPr>
              <w:pStyle w:val="TableParagraph"/>
              <w:spacing w:before="100"/>
              <w:ind w:right="86"/>
              <w:jc w:val="right"/>
              <w:rPr>
                <w:sz w:val="18"/>
              </w:rPr>
            </w:pPr>
            <w:r>
              <w:rPr>
                <w:spacing w:val="-2"/>
                <w:sz w:val="18"/>
              </w:rPr>
              <w:t>1,411</w:t>
            </w:r>
          </w:p>
        </w:tc>
      </w:tr>
      <w:tr>
        <w:trPr>
          <w:trHeight w:val="465" w:hRule="exact"/>
        </w:trPr>
        <w:tc>
          <w:tcPr>
            <w:tcW w:w="1553" w:type="dxa"/>
            <w:vMerge/>
            <w:tcBorders>
              <w:top w:val="nil"/>
              <w:left w:val="single" w:sz="12" w:space="0" w:color="000000"/>
              <w:bottom w:val="nil"/>
              <w:right w:val="single" w:sz="2" w:space="0" w:color="000000"/>
            </w:tcBorders>
          </w:tcPr>
          <w:p>
            <w:pPr>
              <w:rPr>
                <w:sz w:val="2"/>
                <w:szCs w:val="2"/>
              </w:rPr>
            </w:pPr>
          </w:p>
        </w:tc>
        <w:tc>
          <w:tcPr>
            <w:tcW w:w="3540" w:type="dxa"/>
            <w:vMerge/>
            <w:tcBorders>
              <w:top w:val="nil"/>
              <w:left w:val="single" w:sz="2" w:space="0" w:color="000000"/>
              <w:bottom w:val="nil"/>
              <w:right w:val="single" w:sz="2" w:space="0" w:color="000000"/>
            </w:tcBorders>
          </w:tcPr>
          <w:p>
            <w:pPr>
              <w:rPr>
                <w:sz w:val="2"/>
                <w:szCs w:val="2"/>
              </w:rPr>
            </w:pPr>
          </w:p>
        </w:tc>
        <w:tc>
          <w:tcPr>
            <w:tcW w:w="1539" w:type="dxa"/>
            <w:tcBorders>
              <w:top w:val="single" w:sz="2" w:space="0" w:color="000000"/>
              <w:left w:val="single" w:sz="2" w:space="0" w:color="000000"/>
              <w:bottom w:val="single" w:sz="2" w:space="0" w:color="000000"/>
              <w:right w:val="nil"/>
            </w:tcBorders>
          </w:tcPr>
          <w:p>
            <w:pPr>
              <w:pStyle w:val="TableParagraph"/>
              <w:spacing w:line="230" w:lineRule="exact"/>
              <w:ind w:left="105" w:right="569"/>
              <w:rPr>
                <w:b/>
                <w:sz w:val="20"/>
              </w:rPr>
            </w:pPr>
            <w:r>
              <w:rPr>
                <w:b/>
                <w:sz w:val="20"/>
              </w:rPr>
              <w:t>Surplus</w:t>
            </w:r>
            <w:r>
              <w:rPr>
                <w:b/>
                <w:spacing w:val="-14"/>
                <w:sz w:val="20"/>
              </w:rPr>
              <w:t> </w:t>
            </w:r>
            <w:r>
              <w:rPr>
                <w:b/>
                <w:sz w:val="20"/>
              </w:rPr>
              <w:t>/ </w:t>
            </w:r>
            <w:r>
              <w:rPr>
                <w:b/>
                <w:spacing w:val="-2"/>
                <w:sz w:val="20"/>
              </w:rPr>
              <w:t>(deficit)</w:t>
            </w:r>
          </w:p>
        </w:tc>
        <w:tc>
          <w:tcPr>
            <w:tcW w:w="1347" w:type="dxa"/>
            <w:tcBorders>
              <w:top w:val="single" w:sz="2" w:space="0" w:color="000000"/>
              <w:left w:val="nil"/>
              <w:bottom w:val="single" w:sz="2" w:space="0" w:color="000000"/>
              <w:right w:val="nil"/>
            </w:tcBorders>
          </w:tcPr>
          <w:p>
            <w:pPr>
              <w:pStyle w:val="TableParagraph"/>
              <w:spacing w:line="206" w:lineRule="exact"/>
              <w:ind w:right="160"/>
              <w:jc w:val="right"/>
              <w:rPr>
                <w:b/>
                <w:sz w:val="18"/>
              </w:rPr>
            </w:pPr>
            <w:r>
              <w:rPr>
                <w:b/>
                <w:spacing w:val="-2"/>
                <w:sz w:val="18"/>
              </w:rPr>
              <w:t>(1,108)</w:t>
            </w:r>
          </w:p>
        </w:tc>
        <w:tc>
          <w:tcPr>
            <w:tcW w:w="1214" w:type="dxa"/>
            <w:tcBorders>
              <w:top w:val="single" w:sz="2" w:space="0" w:color="000000"/>
              <w:left w:val="nil"/>
              <w:bottom w:val="single" w:sz="2" w:space="0" w:color="000000"/>
              <w:right w:val="nil"/>
            </w:tcBorders>
          </w:tcPr>
          <w:p>
            <w:pPr>
              <w:pStyle w:val="TableParagraph"/>
              <w:spacing w:line="206" w:lineRule="exact"/>
              <w:ind w:right="101"/>
              <w:jc w:val="right"/>
              <w:rPr>
                <w:b/>
                <w:sz w:val="18"/>
              </w:rPr>
            </w:pPr>
            <w:r>
              <w:rPr>
                <w:b/>
                <w:spacing w:val="-2"/>
                <w:sz w:val="18"/>
              </w:rPr>
              <w:t>(1,152)</w:t>
            </w:r>
          </w:p>
        </w:tc>
        <w:tc>
          <w:tcPr>
            <w:tcW w:w="1234" w:type="dxa"/>
            <w:tcBorders>
              <w:top w:val="single" w:sz="2" w:space="0" w:color="000000"/>
              <w:left w:val="nil"/>
              <w:bottom w:val="single" w:sz="2" w:space="0" w:color="000000"/>
              <w:right w:val="single" w:sz="12" w:space="0" w:color="000000"/>
            </w:tcBorders>
            <w:shd w:val="clear" w:color="auto" w:fill="BCD6ED"/>
          </w:tcPr>
          <w:p>
            <w:pPr>
              <w:pStyle w:val="TableParagraph"/>
              <w:spacing w:line="206" w:lineRule="exact"/>
              <w:ind w:right="86"/>
              <w:jc w:val="right"/>
              <w:rPr>
                <w:b/>
                <w:sz w:val="18"/>
              </w:rPr>
            </w:pPr>
            <w:r>
              <w:rPr>
                <w:b/>
                <w:spacing w:val="-2"/>
                <w:sz w:val="18"/>
              </w:rPr>
              <w:t>(1,114)</w:t>
            </w:r>
          </w:p>
        </w:tc>
      </w:tr>
      <w:tr>
        <w:trPr>
          <w:trHeight w:val="1392" w:hRule="exact"/>
        </w:trPr>
        <w:tc>
          <w:tcPr>
            <w:tcW w:w="1553" w:type="dxa"/>
            <w:vMerge/>
            <w:tcBorders>
              <w:top w:val="nil"/>
              <w:left w:val="single" w:sz="12" w:space="0" w:color="000000"/>
              <w:bottom w:val="nil"/>
              <w:right w:val="single" w:sz="2" w:space="0" w:color="000000"/>
            </w:tcBorders>
          </w:tcPr>
          <w:p>
            <w:pPr>
              <w:rPr>
                <w:sz w:val="2"/>
                <w:szCs w:val="2"/>
              </w:rPr>
            </w:pPr>
          </w:p>
        </w:tc>
        <w:tc>
          <w:tcPr>
            <w:tcW w:w="3540" w:type="dxa"/>
            <w:vMerge/>
            <w:tcBorders>
              <w:top w:val="nil"/>
              <w:left w:val="single" w:sz="2" w:space="0" w:color="000000"/>
              <w:bottom w:val="nil"/>
              <w:right w:val="single" w:sz="2" w:space="0" w:color="000000"/>
            </w:tcBorders>
          </w:tcPr>
          <w:p>
            <w:pPr>
              <w:rPr>
                <w:sz w:val="2"/>
                <w:szCs w:val="2"/>
              </w:rPr>
            </w:pPr>
          </w:p>
        </w:tc>
        <w:tc>
          <w:tcPr>
            <w:tcW w:w="1539" w:type="dxa"/>
            <w:tcBorders>
              <w:top w:val="single" w:sz="2" w:space="0" w:color="000000"/>
              <w:left w:val="single" w:sz="2" w:space="0" w:color="000000"/>
              <w:bottom w:val="nil"/>
              <w:right w:val="nil"/>
            </w:tcBorders>
          </w:tcPr>
          <w:p>
            <w:pPr>
              <w:pStyle w:val="TableParagraph"/>
              <w:rPr>
                <w:rFonts w:ascii="Times New Roman"/>
                <w:sz w:val="20"/>
              </w:rPr>
            </w:pPr>
          </w:p>
        </w:tc>
        <w:tc>
          <w:tcPr>
            <w:tcW w:w="1347" w:type="dxa"/>
            <w:tcBorders>
              <w:top w:val="single" w:sz="2" w:space="0" w:color="000000"/>
              <w:left w:val="nil"/>
              <w:bottom w:val="nil"/>
              <w:right w:val="nil"/>
            </w:tcBorders>
          </w:tcPr>
          <w:p>
            <w:pPr>
              <w:pStyle w:val="TableParagraph"/>
              <w:rPr>
                <w:rFonts w:ascii="Times New Roman"/>
                <w:sz w:val="20"/>
              </w:rPr>
            </w:pPr>
          </w:p>
        </w:tc>
        <w:tc>
          <w:tcPr>
            <w:tcW w:w="1214" w:type="dxa"/>
            <w:tcBorders>
              <w:top w:val="single" w:sz="2" w:space="0" w:color="000000"/>
              <w:left w:val="nil"/>
              <w:bottom w:val="nil"/>
              <w:right w:val="nil"/>
            </w:tcBorders>
          </w:tcPr>
          <w:p>
            <w:pPr>
              <w:pStyle w:val="TableParagraph"/>
              <w:rPr>
                <w:rFonts w:ascii="Times New Roman"/>
                <w:sz w:val="20"/>
              </w:rPr>
            </w:pPr>
          </w:p>
        </w:tc>
        <w:tc>
          <w:tcPr>
            <w:tcW w:w="1234" w:type="dxa"/>
            <w:tcBorders>
              <w:top w:val="single" w:sz="2" w:space="0" w:color="000000"/>
              <w:left w:val="nil"/>
              <w:bottom w:val="nil"/>
              <w:right w:val="single" w:sz="12" w:space="0" w:color="000000"/>
            </w:tcBorders>
          </w:tcPr>
          <w:p>
            <w:pPr>
              <w:pStyle w:val="TableParagraph"/>
              <w:rPr>
                <w:rFonts w:ascii="Times New Roman"/>
                <w:sz w:val="20"/>
              </w:rPr>
            </w:pPr>
          </w:p>
        </w:tc>
      </w:tr>
      <w:tr>
        <w:trPr>
          <w:trHeight w:val="2096" w:hRule="exact"/>
        </w:trPr>
        <w:tc>
          <w:tcPr>
            <w:tcW w:w="1553" w:type="dxa"/>
            <w:tcBorders>
              <w:top w:val="nil"/>
              <w:left w:val="single" w:sz="12" w:space="0" w:color="000000"/>
              <w:bottom w:val="nil"/>
              <w:right w:val="single" w:sz="2" w:space="0" w:color="000000"/>
            </w:tcBorders>
          </w:tcPr>
          <w:p>
            <w:pPr>
              <w:pStyle w:val="TableParagraph"/>
              <w:rPr>
                <w:rFonts w:ascii="Times New Roman"/>
                <w:sz w:val="20"/>
              </w:rPr>
            </w:pPr>
          </w:p>
        </w:tc>
        <w:tc>
          <w:tcPr>
            <w:tcW w:w="3540" w:type="dxa"/>
            <w:tcBorders>
              <w:top w:val="nil"/>
              <w:left w:val="single" w:sz="2" w:space="0" w:color="000000"/>
              <w:bottom w:val="nil"/>
              <w:right w:val="single" w:sz="2" w:space="0" w:color="000000"/>
            </w:tcBorders>
          </w:tcPr>
          <w:p>
            <w:pPr>
              <w:pStyle w:val="TableParagraph"/>
              <w:spacing w:before="112"/>
              <w:ind w:left="105"/>
              <w:rPr>
                <w:sz w:val="20"/>
              </w:rPr>
            </w:pPr>
            <w:r>
              <w:rPr>
                <w:sz w:val="20"/>
              </w:rPr>
              <w:t>Activity</w:t>
            </w:r>
            <w:r>
              <w:rPr>
                <w:spacing w:val="-9"/>
                <w:sz w:val="20"/>
              </w:rPr>
              <w:t> </w:t>
            </w:r>
            <w:r>
              <w:rPr>
                <w:spacing w:val="-2"/>
                <w:sz w:val="20"/>
              </w:rPr>
              <w:t>Centres</w:t>
            </w:r>
          </w:p>
          <w:p>
            <w:pPr>
              <w:pStyle w:val="TableParagraph"/>
              <w:numPr>
                <w:ilvl w:val="0"/>
                <w:numId w:val="38"/>
              </w:numPr>
              <w:tabs>
                <w:tab w:pos="417" w:val="left" w:leader="none"/>
                <w:tab w:pos="418" w:val="left" w:leader="none"/>
              </w:tabs>
              <w:spacing w:line="235" w:lineRule="auto" w:before="5" w:after="0"/>
              <w:ind w:left="417" w:right="425" w:hanging="312"/>
              <w:jc w:val="left"/>
              <w:rPr>
                <w:sz w:val="20"/>
              </w:rPr>
            </w:pPr>
            <w:r>
              <w:rPr>
                <w:sz w:val="20"/>
              </w:rPr>
              <w:t>Development</w:t>
            </w:r>
            <w:r>
              <w:rPr>
                <w:spacing w:val="-14"/>
                <w:sz w:val="20"/>
              </w:rPr>
              <w:t> </w:t>
            </w:r>
            <w:r>
              <w:rPr>
                <w:sz w:val="20"/>
              </w:rPr>
              <w:t>facilitation</w:t>
            </w:r>
            <w:r>
              <w:rPr>
                <w:spacing w:val="-14"/>
                <w:sz w:val="20"/>
              </w:rPr>
              <w:t> </w:t>
            </w:r>
            <w:r>
              <w:rPr>
                <w:sz w:val="20"/>
              </w:rPr>
              <w:t>within activity centres</w:t>
            </w:r>
          </w:p>
          <w:p>
            <w:pPr>
              <w:pStyle w:val="TableParagraph"/>
              <w:numPr>
                <w:ilvl w:val="0"/>
                <w:numId w:val="38"/>
              </w:numPr>
              <w:tabs>
                <w:tab w:pos="417" w:val="left" w:leader="none"/>
                <w:tab w:pos="418" w:val="left" w:leader="none"/>
              </w:tabs>
              <w:spacing w:line="240" w:lineRule="auto" w:before="3" w:after="0"/>
              <w:ind w:left="417" w:right="315" w:hanging="312"/>
              <w:jc w:val="left"/>
              <w:rPr>
                <w:sz w:val="20"/>
              </w:rPr>
            </w:pPr>
            <w:r>
              <w:rPr>
                <w:sz w:val="20"/>
              </w:rPr>
              <w:t>Infrastructure and amenity improvements</w:t>
            </w:r>
            <w:r>
              <w:rPr>
                <w:spacing w:val="-12"/>
                <w:sz w:val="20"/>
              </w:rPr>
              <w:t> </w:t>
            </w:r>
            <w:r>
              <w:rPr>
                <w:sz w:val="20"/>
              </w:rPr>
              <w:t>in</w:t>
            </w:r>
            <w:r>
              <w:rPr>
                <w:spacing w:val="-14"/>
                <w:sz w:val="20"/>
              </w:rPr>
              <w:t> </w:t>
            </w:r>
            <w:r>
              <w:rPr>
                <w:sz w:val="20"/>
              </w:rPr>
              <w:t>local</w:t>
            </w:r>
            <w:r>
              <w:rPr>
                <w:spacing w:val="-14"/>
                <w:sz w:val="20"/>
              </w:rPr>
              <w:t> </w:t>
            </w:r>
            <w:r>
              <w:rPr>
                <w:sz w:val="20"/>
              </w:rPr>
              <w:t>shopping</w:t>
            </w:r>
            <w:r>
              <w:rPr>
                <w:sz w:val="20"/>
              </w:rPr>
              <w:t> </w:t>
            </w:r>
            <w:r>
              <w:rPr>
                <w:spacing w:val="-2"/>
                <w:sz w:val="20"/>
              </w:rPr>
              <w:t>centres</w:t>
            </w:r>
          </w:p>
          <w:p>
            <w:pPr>
              <w:pStyle w:val="TableParagraph"/>
              <w:numPr>
                <w:ilvl w:val="0"/>
                <w:numId w:val="38"/>
              </w:numPr>
              <w:tabs>
                <w:tab w:pos="417" w:val="left" w:leader="none"/>
                <w:tab w:pos="418" w:val="left" w:leader="none"/>
              </w:tabs>
              <w:spacing w:line="240" w:lineRule="auto" w:before="0" w:after="0"/>
              <w:ind w:left="417" w:right="538" w:hanging="312"/>
              <w:jc w:val="left"/>
              <w:rPr>
                <w:sz w:val="20"/>
              </w:rPr>
            </w:pPr>
            <w:r>
              <w:rPr>
                <w:sz w:val="20"/>
              </w:rPr>
              <w:t>Placemaking/place</w:t>
            </w:r>
            <w:r>
              <w:rPr>
                <w:spacing w:val="-14"/>
                <w:sz w:val="20"/>
              </w:rPr>
              <w:t> </w:t>
            </w:r>
            <w:r>
              <w:rPr>
                <w:sz w:val="20"/>
              </w:rPr>
              <w:t>activation </w:t>
            </w:r>
            <w:r>
              <w:rPr>
                <w:spacing w:val="-2"/>
                <w:sz w:val="20"/>
              </w:rPr>
              <w:t>projects</w:t>
            </w:r>
          </w:p>
        </w:tc>
        <w:tc>
          <w:tcPr>
            <w:tcW w:w="1539" w:type="dxa"/>
            <w:tcBorders>
              <w:top w:val="nil"/>
              <w:left w:val="single" w:sz="2" w:space="0" w:color="000000"/>
              <w:bottom w:val="nil"/>
              <w:right w:val="nil"/>
            </w:tcBorders>
          </w:tcPr>
          <w:p>
            <w:pPr>
              <w:pStyle w:val="TableParagraph"/>
              <w:rPr>
                <w:rFonts w:ascii="Times New Roman"/>
                <w:sz w:val="20"/>
              </w:rPr>
            </w:pPr>
          </w:p>
        </w:tc>
        <w:tc>
          <w:tcPr>
            <w:tcW w:w="1347" w:type="dxa"/>
            <w:tcBorders>
              <w:top w:val="nil"/>
              <w:left w:val="nil"/>
              <w:bottom w:val="nil"/>
              <w:right w:val="nil"/>
            </w:tcBorders>
          </w:tcPr>
          <w:p>
            <w:pPr>
              <w:pStyle w:val="TableParagraph"/>
              <w:rPr>
                <w:rFonts w:ascii="Times New Roman"/>
                <w:sz w:val="20"/>
              </w:rPr>
            </w:pPr>
          </w:p>
        </w:tc>
        <w:tc>
          <w:tcPr>
            <w:tcW w:w="1214" w:type="dxa"/>
            <w:tcBorders>
              <w:top w:val="nil"/>
              <w:left w:val="nil"/>
              <w:bottom w:val="nil"/>
              <w:right w:val="nil"/>
            </w:tcBorders>
          </w:tcPr>
          <w:p>
            <w:pPr>
              <w:pStyle w:val="TableParagraph"/>
              <w:rPr>
                <w:rFonts w:ascii="Times New Roman"/>
                <w:sz w:val="20"/>
              </w:rPr>
            </w:pPr>
          </w:p>
        </w:tc>
        <w:tc>
          <w:tcPr>
            <w:tcW w:w="1234" w:type="dxa"/>
            <w:tcBorders>
              <w:top w:val="nil"/>
              <w:left w:val="nil"/>
              <w:bottom w:val="nil"/>
              <w:right w:val="single" w:sz="12" w:space="0" w:color="000000"/>
            </w:tcBorders>
          </w:tcPr>
          <w:p>
            <w:pPr>
              <w:pStyle w:val="TableParagraph"/>
              <w:rPr>
                <w:rFonts w:ascii="Times New Roman"/>
                <w:sz w:val="20"/>
              </w:rPr>
            </w:pPr>
          </w:p>
        </w:tc>
      </w:tr>
      <w:tr>
        <w:trPr>
          <w:trHeight w:val="1707" w:hRule="exact"/>
        </w:trPr>
        <w:tc>
          <w:tcPr>
            <w:tcW w:w="1553" w:type="dxa"/>
            <w:tcBorders>
              <w:top w:val="nil"/>
              <w:left w:val="single" w:sz="12" w:space="0" w:color="000000"/>
              <w:bottom w:val="single" w:sz="2" w:space="0" w:color="000000"/>
              <w:right w:val="single" w:sz="2" w:space="0" w:color="000000"/>
            </w:tcBorders>
          </w:tcPr>
          <w:p>
            <w:pPr>
              <w:pStyle w:val="TableParagraph"/>
              <w:rPr>
                <w:rFonts w:ascii="Times New Roman"/>
                <w:sz w:val="20"/>
              </w:rPr>
            </w:pPr>
          </w:p>
        </w:tc>
        <w:tc>
          <w:tcPr>
            <w:tcW w:w="3540" w:type="dxa"/>
            <w:tcBorders>
              <w:top w:val="nil"/>
              <w:left w:val="single" w:sz="2" w:space="0" w:color="000000"/>
              <w:bottom w:val="single" w:sz="2" w:space="0" w:color="000000"/>
              <w:right w:val="single" w:sz="2" w:space="0" w:color="000000"/>
            </w:tcBorders>
          </w:tcPr>
          <w:p>
            <w:pPr>
              <w:pStyle w:val="TableParagraph"/>
              <w:spacing w:before="96"/>
              <w:ind w:left="105"/>
              <w:rPr>
                <w:sz w:val="20"/>
              </w:rPr>
            </w:pPr>
            <w:r>
              <w:rPr>
                <w:sz w:val="20"/>
              </w:rPr>
              <w:t>Bayswater</w:t>
            </w:r>
            <w:r>
              <w:rPr>
                <w:spacing w:val="-8"/>
                <w:sz w:val="20"/>
              </w:rPr>
              <w:t> </w:t>
            </w:r>
            <w:r>
              <w:rPr>
                <w:sz w:val="20"/>
              </w:rPr>
              <w:t>Business</w:t>
            </w:r>
            <w:r>
              <w:rPr>
                <w:spacing w:val="-11"/>
                <w:sz w:val="20"/>
              </w:rPr>
              <w:t> </w:t>
            </w:r>
            <w:r>
              <w:rPr>
                <w:spacing w:val="-2"/>
                <w:sz w:val="20"/>
              </w:rPr>
              <w:t>precinct</w:t>
            </w:r>
          </w:p>
          <w:p>
            <w:pPr>
              <w:pStyle w:val="TableParagraph"/>
              <w:numPr>
                <w:ilvl w:val="0"/>
                <w:numId w:val="39"/>
              </w:numPr>
              <w:tabs>
                <w:tab w:pos="417" w:val="left" w:leader="none"/>
                <w:tab w:pos="418" w:val="left" w:leader="none"/>
              </w:tabs>
              <w:spacing w:line="237" w:lineRule="auto" w:before="3" w:after="0"/>
              <w:ind w:left="417" w:right="191" w:hanging="312"/>
              <w:jc w:val="left"/>
              <w:rPr>
                <w:sz w:val="20"/>
              </w:rPr>
            </w:pPr>
            <w:r>
              <w:rPr>
                <w:sz w:val="20"/>
              </w:rPr>
              <w:t>Bayswater Business Precinct partnership</w:t>
            </w:r>
            <w:r>
              <w:rPr>
                <w:spacing w:val="-13"/>
                <w:sz w:val="20"/>
              </w:rPr>
              <w:t> </w:t>
            </w:r>
            <w:r>
              <w:rPr>
                <w:sz w:val="20"/>
              </w:rPr>
              <w:t>(with</w:t>
            </w:r>
            <w:r>
              <w:rPr>
                <w:spacing w:val="-9"/>
                <w:sz w:val="20"/>
              </w:rPr>
              <w:t> </w:t>
            </w:r>
            <w:r>
              <w:rPr>
                <w:sz w:val="20"/>
              </w:rPr>
              <w:t>Knox</w:t>
            </w:r>
            <w:r>
              <w:rPr>
                <w:spacing w:val="-9"/>
                <w:sz w:val="20"/>
              </w:rPr>
              <w:t> </w:t>
            </w:r>
            <w:r>
              <w:rPr>
                <w:sz w:val="20"/>
              </w:rPr>
              <w:t>and</w:t>
            </w:r>
            <w:r>
              <w:rPr>
                <w:spacing w:val="-8"/>
                <w:sz w:val="20"/>
              </w:rPr>
              <w:t> </w:t>
            </w:r>
            <w:r>
              <w:rPr>
                <w:sz w:val="20"/>
              </w:rPr>
              <w:t>Yarra Ranges Councils)</w:t>
            </w:r>
          </w:p>
          <w:p>
            <w:pPr>
              <w:pStyle w:val="TableParagraph"/>
              <w:numPr>
                <w:ilvl w:val="0"/>
                <w:numId w:val="39"/>
              </w:numPr>
              <w:tabs>
                <w:tab w:pos="417" w:val="left" w:leader="none"/>
                <w:tab w:pos="418" w:val="left" w:leader="none"/>
              </w:tabs>
              <w:spacing w:line="235" w:lineRule="auto" w:before="8" w:after="0"/>
              <w:ind w:left="417" w:right="227" w:hanging="312"/>
              <w:jc w:val="left"/>
              <w:rPr>
                <w:sz w:val="20"/>
              </w:rPr>
            </w:pPr>
            <w:r>
              <w:rPr>
                <w:sz w:val="20"/>
              </w:rPr>
              <w:t>Bayswater Business Precinct Transformation</w:t>
            </w:r>
            <w:r>
              <w:rPr>
                <w:spacing w:val="-14"/>
                <w:sz w:val="20"/>
              </w:rPr>
              <w:t> </w:t>
            </w:r>
            <w:r>
              <w:rPr>
                <w:sz w:val="20"/>
              </w:rPr>
              <w:t>Strategy</w:t>
            </w:r>
            <w:r>
              <w:rPr>
                <w:spacing w:val="-14"/>
                <w:sz w:val="20"/>
              </w:rPr>
              <w:t> </w:t>
            </w:r>
            <w:r>
              <w:rPr>
                <w:sz w:val="20"/>
              </w:rPr>
              <w:t>delivery</w:t>
            </w:r>
          </w:p>
        </w:tc>
        <w:tc>
          <w:tcPr>
            <w:tcW w:w="1539" w:type="dxa"/>
            <w:tcBorders>
              <w:top w:val="nil"/>
              <w:left w:val="single" w:sz="2" w:space="0" w:color="000000"/>
              <w:bottom w:val="nil"/>
              <w:right w:val="nil"/>
            </w:tcBorders>
          </w:tcPr>
          <w:p>
            <w:pPr>
              <w:pStyle w:val="TableParagraph"/>
              <w:rPr>
                <w:rFonts w:ascii="Times New Roman"/>
                <w:sz w:val="20"/>
              </w:rPr>
            </w:pPr>
          </w:p>
        </w:tc>
        <w:tc>
          <w:tcPr>
            <w:tcW w:w="1347" w:type="dxa"/>
            <w:tcBorders>
              <w:top w:val="nil"/>
              <w:left w:val="nil"/>
              <w:bottom w:val="nil"/>
              <w:right w:val="nil"/>
            </w:tcBorders>
          </w:tcPr>
          <w:p>
            <w:pPr>
              <w:pStyle w:val="TableParagraph"/>
              <w:rPr>
                <w:rFonts w:ascii="Times New Roman"/>
                <w:sz w:val="20"/>
              </w:rPr>
            </w:pPr>
          </w:p>
        </w:tc>
        <w:tc>
          <w:tcPr>
            <w:tcW w:w="1214" w:type="dxa"/>
            <w:tcBorders>
              <w:top w:val="nil"/>
              <w:left w:val="nil"/>
              <w:bottom w:val="nil"/>
              <w:right w:val="nil"/>
            </w:tcBorders>
          </w:tcPr>
          <w:p>
            <w:pPr>
              <w:pStyle w:val="TableParagraph"/>
              <w:rPr>
                <w:rFonts w:ascii="Times New Roman"/>
                <w:sz w:val="20"/>
              </w:rPr>
            </w:pPr>
          </w:p>
        </w:tc>
        <w:tc>
          <w:tcPr>
            <w:tcW w:w="1234" w:type="dxa"/>
            <w:tcBorders>
              <w:top w:val="nil"/>
              <w:left w:val="nil"/>
              <w:bottom w:val="nil"/>
              <w:right w:val="single" w:sz="12" w:space="0" w:color="000000"/>
            </w:tcBorders>
          </w:tcPr>
          <w:p>
            <w:pPr>
              <w:pStyle w:val="TableParagraph"/>
              <w:rPr>
                <w:rFonts w:ascii="Times New Roman"/>
                <w:sz w:val="20"/>
              </w:rPr>
            </w:pPr>
          </w:p>
        </w:tc>
      </w:tr>
      <w:tr>
        <w:trPr>
          <w:trHeight w:val="614" w:hRule="exact"/>
        </w:trPr>
        <w:tc>
          <w:tcPr>
            <w:tcW w:w="1553" w:type="dxa"/>
            <w:vMerge w:val="restart"/>
            <w:tcBorders>
              <w:top w:val="single" w:sz="2" w:space="0" w:color="000000"/>
              <w:left w:val="single" w:sz="12" w:space="0" w:color="000000"/>
              <w:bottom w:val="nil"/>
              <w:right w:val="single" w:sz="2" w:space="0" w:color="000000"/>
            </w:tcBorders>
          </w:tcPr>
          <w:p>
            <w:pPr>
              <w:pStyle w:val="TableParagraph"/>
              <w:ind w:left="95" w:right="201"/>
              <w:rPr>
                <w:sz w:val="20"/>
              </w:rPr>
            </w:pPr>
            <w:r>
              <w:rPr>
                <w:sz w:val="20"/>
              </w:rPr>
              <w:t>Arts</w:t>
            </w:r>
            <w:r>
              <w:rPr>
                <w:spacing w:val="-14"/>
                <w:sz w:val="20"/>
              </w:rPr>
              <w:t> </w:t>
            </w:r>
            <w:r>
              <w:rPr>
                <w:sz w:val="20"/>
              </w:rPr>
              <w:t>and </w:t>
            </w:r>
            <w:r>
              <w:rPr>
                <w:spacing w:val="-2"/>
                <w:sz w:val="20"/>
              </w:rPr>
              <w:t>culture</w:t>
            </w:r>
          </w:p>
        </w:tc>
        <w:tc>
          <w:tcPr>
            <w:tcW w:w="3540" w:type="dxa"/>
            <w:vMerge w:val="restart"/>
            <w:tcBorders>
              <w:top w:val="single" w:sz="2" w:space="0" w:color="000000"/>
              <w:left w:val="single" w:sz="2" w:space="0" w:color="000000"/>
              <w:bottom w:val="nil"/>
              <w:right w:val="single" w:sz="2" w:space="0" w:color="000000"/>
            </w:tcBorders>
          </w:tcPr>
          <w:p>
            <w:pPr>
              <w:pStyle w:val="TableParagraph"/>
              <w:spacing w:line="227" w:lineRule="exact"/>
              <w:ind w:left="105"/>
              <w:rPr>
                <w:sz w:val="20"/>
              </w:rPr>
            </w:pPr>
            <w:r>
              <w:rPr>
                <w:sz w:val="20"/>
              </w:rPr>
              <w:t>Arts</w:t>
            </w:r>
            <w:r>
              <w:rPr>
                <w:spacing w:val="-5"/>
                <w:sz w:val="20"/>
              </w:rPr>
              <w:t> </w:t>
            </w:r>
            <w:r>
              <w:rPr>
                <w:sz w:val="20"/>
              </w:rPr>
              <w:t>and</w:t>
            </w:r>
            <w:r>
              <w:rPr>
                <w:spacing w:val="-3"/>
                <w:sz w:val="20"/>
              </w:rPr>
              <w:t> </w:t>
            </w:r>
            <w:r>
              <w:rPr>
                <w:spacing w:val="-2"/>
                <w:sz w:val="20"/>
              </w:rPr>
              <w:t>Culture</w:t>
            </w:r>
          </w:p>
          <w:p>
            <w:pPr>
              <w:pStyle w:val="TableParagraph"/>
              <w:numPr>
                <w:ilvl w:val="0"/>
                <w:numId w:val="40"/>
              </w:numPr>
              <w:tabs>
                <w:tab w:pos="417" w:val="left" w:leader="none"/>
                <w:tab w:pos="418" w:val="left" w:leader="none"/>
              </w:tabs>
              <w:spacing w:line="245" w:lineRule="exact" w:before="1" w:after="0"/>
              <w:ind w:left="417" w:right="0" w:hanging="313"/>
              <w:jc w:val="left"/>
              <w:rPr>
                <w:sz w:val="20"/>
              </w:rPr>
            </w:pPr>
            <w:r>
              <w:rPr>
                <w:sz w:val="20"/>
              </w:rPr>
              <w:t>ArtSpace</w:t>
            </w:r>
            <w:r>
              <w:rPr>
                <w:spacing w:val="-9"/>
                <w:sz w:val="20"/>
              </w:rPr>
              <w:t> </w:t>
            </w:r>
            <w:r>
              <w:rPr>
                <w:sz w:val="20"/>
              </w:rPr>
              <w:t>at</w:t>
            </w:r>
            <w:r>
              <w:rPr>
                <w:spacing w:val="-5"/>
                <w:sz w:val="20"/>
              </w:rPr>
              <w:t> </w:t>
            </w:r>
            <w:r>
              <w:rPr>
                <w:sz w:val="20"/>
              </w:rPr>
              <w:t>Realm</w:t>
            </w:r>
            <w:r>
              <w:rPr>
                <w:spacing w:val="-6"/>
                <w:sz w:val="20"/>
              </w:rPr>
              <w:t> </w:t>
            </w:r>
            <w:r>
              <w:rPr>
                <w:spacing w:val="-2"/>
                <w:sz w:val="20"/>
              </w:rPr>
              <w:t>programming</w:t>
            </w:r>
          </w:p>
          <w:p>
            <w:pPr>
              <w:pStyle w:val="TableParagraph"/>
              <w:numPr>
                <w:ilvl w:val="0"/>
                <w:numId w:val="40"/>
              </w:numPr>
              <w:tabs>
                <w:tab w:pos="417" w:val="left" w:leader="none"/>
                <w:tab w:pos="418" w:val="left" w:leader="none"/>
              </w:tabs>
              <w:spacing w:line="235" w:lineRule="auto" w:before="4" w:after="0"/>
              <w:ind w:left="417" w:right="193" w:hanging="312"/>
              <w:jc w:val="left"/>
              <w:rPr>
                <w:sz w:val="20"/>
              </w:rPr>
            </w:pPr>
            <w:r>
              <w:rPr>
                <w:sz w:val="20"/>
              </w:rPr>
              <w:t>Maroondah Federation Estate Gallery</w:t>
            </w:r>
            <w:r>
              <w:rPr>
                <w:spacing w:val="-14"/>
                <w:sz w:val="20"/>
              </w:rPr>
              <w:t> </w:t>
            </w:r>
            <w:r>
              <w:rPr>
                <w:sz w:val="20"/>
              </w:rPr>
              <w:t>exhibitions</w:t>
            </w:r>
            <w:r>
              <w:rPr>
                <w:spacing w:val="-13"/>
                <w:sz w:val="20"/>
              </w:rPr>
              <w:t> </w:t>
            </w:r>
            <w:r>
              <w:rPr>
                <w:sz w:val="20"/>
              </w:rPr>
              <w:t>and</w:t>
            </w:r>
            <w:r>
              <w:rPr>
                <w:spacing w:val="-13"/>
                <w:sz w:val="20"/>
              </w:rPr>
              <w:t> </w:t>
            </w:r>
            <w:r>
              <w:rPr>
                <w:sz w:val="20"/>
              </w:rPr>
              <w:t>programs</w:t>
            </w:r>
          </w:p>
          <w:p>
            <w:pPr>
              <w:pStyle w:val="TableParagraph"/>
              <w:numPr>
                <w:ilvl w:val="0"/>
                <w:numId w:val="40"/>
              </w:numPr>
              <w:tabs>
                <w:tab w:pos="417" w:val="left" w:leader="none"/>
                <w:tab w:pos="418" w:val="left" w:leader="none"/>
              </w:tabs>
              <w:spacing w:line="237" w:lineRule="auto" w:before="5" w:after="0"/>
              <w:ind w:left="417" w:right="182" w:hanging="312"/>
              <w:jc w:val="left"/>
              <w:rPr>
                <w:sz w:val="20"/>
              </w:rPr>
            </w:pPr>
            <w:r>
              <w:rPr>
                <w:sz w:val="20"/>
              </w:rPr>
              <w:t>Wyreena</w:t>
            </w:r>
            <w:r>
              <w:rPr>
                <w:spacing w:val="-14"/>
                <w:sz w:val="20"/>
              </w:rPr>
              <w:t> </w:t>
            </w:r>
            <w:r>
              <w:rPr>
                <w:sz w:val="20"/>
              </w:rPr>
              <w:t>Community</w:t>
            </w:r>
            <w:r>
              <w:rPr>
                <w:spacing w:val="-12"/>
                <w:sz w:val="20"/>
              </w:rPr>
              <w:t> </w:t>
            </w:r>
            <w:r>
              <w:rPr>
                <w:sz w:val="20"/>
              </w:rPr>
              <w:t>Arts</w:t>
            </w:r>
            <w:r>
              <w:rPr>
                <w:spacing w:val="-14"/>
                <w:sz w:val="20"/>
              </w:rPr>
              <w:t> </w:t>
            </w:r>
            <w:r>
              <w:rPr>
                <w:sz w:val="20"/>
              </w:rPr>
              <w:t>Centre venue operations, tenancies, programs, and events</w:t>
            </w:r>
          </w:p>
          <w:p>
            <w:pPr>
              <w:pStyle w:val="TableParagraph"/>
              <w:numPr>
                <w:ilvl w:val="0"/>
                <w:numId w:val="40"/>
              </w:numPr>
              <w:tabs>
                <w:tab w:pos="417" w:val="left" w:leader="none"/>
                <w:tab w:pos="418" w:val="left" w:leader="none"/>
              </w:tabs>
              <w:spacing w:line="245" w:lineRule="exact" w:before="4" w:after="0"/>
              <w:ind w:left="417" w:right="0" w:hanging="313"/>
              <w:jc w:val="left"/>
              <w:rPr>
                <w:sz w:val="20"/>
              </w:rPr>
            </w:pPr>
            <w:r>
              <w:rPr>
                <w:sz w:val="20"/>
              </w:rPr>
              <w:t>Arts</w:t>
            </w:r>
            <w:r>
              <w:rPr>
                <w:spacing w:val="-7"/>
                <w:sz w:val="20"/>
              </w:rPr>
              <w:t> </w:t>
            </w:r>
            <w:r>
              <w:rPr>
                <w:sz w:val="20"/>
              </w:rPr>
              <w:t>and</w:t>
            </w:r>
            <w:r>
              <w:rPr>
                <w:spacing w:val="-6"/>
                <w:sz w:val="20"/>
              </w:rPr>
              <w:t> </w:t>
            </w:r>
            <w:r>
              <w:rPr>
                <w:sz w:val="20"/>
              </w:rPr>
              <w:t>cultural</w:t>
            </w:r>
            <w:r>
              <w:rPr>
                <w:spacing w:val="-4"/>
                <w:sz w:val="20"/>
              </w:rPr>
              <w:t> </w:t>
            </w:r>
            <w:r>
              <w:rPr>
                <w:sz w:val="20"/>
              </w:rPr>
              <w:t>grants</w:t>
            </w:r>
            <w:r>
              <w:rPr>
                <w:spacing w:val="-6"/>
                <w:sz w:val="20"/>
              </w:rPr>
              <w:t> </w:t>
            </w:r>
            <w:r>
              <w:rPr>
                <w:spacing w:val="-2"/>
                <w:sz w:val="20"/>
              </w:rPr>
              <w:t>program</w:t>
            </w:r>
          </w:p>
          <w:p>
            <w:pPr>
              <w:pStyle w:val="TableParagraph"/>
              <w:numPr>
                <w:ilvl w:val="0"/>
                <w:numId w:val="40"/>
              </w:numPr>
              <w:tabs>
                <w:tab w:pos="417" w:val="left" w:leader="none"/>
                <w:tab w:pos="418" w:val="left" w:leader="none"/>
              </w:tabs>
              <w:spacing w:line="235" w:lineRule="auto" w:before="3" w:after="0"/>
              <w:ind w:left="417" w:right="804" w:hanging="312"/>
              <w:jc w:val="left"/>
              <w:rPr>
                <w:sz w:val="20"/>
              </w:rPr>
            </w:pPr>
            <w:r>
              <w:rPr>
                <w:sz w:val="20"/>
              </w:rPr>
              <w:t>Public</w:t>
            </w:r>
            <w:r>
              <w:rPr>
                <w:spacing w:val="-11"/>
                <w:sz w:val="20"/>
              </w:rPr>
              <w:t> </w:t>
            </w:r>
            <w:r>
              <w:rPr>
                <w:sz w:val="20"/>
              </w:rPr>
              <w:t>art</w:t>
            </w:r>
            <w:r>
              <w:rPr>
                <w:spacing w:val="-10"/>
                <w:sz w:val="20"/>
              </w:rPr>
              <w:t> </w:t>
            </w:r>
            <w:r>
              <w:rPr>
                <w:sz w:val="20"/>
              </w:rPr>
              <w:t>program</w:t>
            </w:r>
            <w:r>
              <w:rPr>
                <w:spacing w:val="-12"/>
                <w:sz w:val="20"/>
              </w:rPr>
              <w:t> </w:t>
            </w:r>
            <w:r>
              <w:rPr>
                <w:sz w:val="20"/>
              </w:rPr>
              <w:t>and</w:t>
            </w:r>
            <w:r>
              <w:rPr>
                <w:spacing w:val="-8"/>
                <w:sz w:val="20"/>
              </w:rPr>
              <w:t> </w:t>
            </w:r>
            <w:r>
              <w:rPr>
                <w:sz w:val="20"/>
              </w:rPr>
              <w:t>art collection management</w:t>
            </w:r>
          </w:p>
          <w:p>
            <w:pPr>
              <w:pStyle w:val="TableParagraph"/>
              <w:numPr>
                <w:ilvl w:val="0"/>
                <w:numId w:val="40"/>
              </w:numPr>
              <w:tabs>
                <w:tab w:pos="417" w:val="left" w:leader="none"/>
                <w:tab w:pos="418" w:val="left" w:leader="none"/>
              </w:tabs>
              <w:spacing w:line="244" w:lineRule="exact" w:before="4" w:after="0"/>
              <w:ind w:left="417" w:right="0" w:hanging="313"/>
              <w:jc w:val="left"/>
              <w:rPr>
                <w:sz w:val="20"/>
              </w:rPr>
            </w:pPr>
            <w:r>
              <w:rPr>
                <w:sz w:val="20"/>
              </w:rPr>
              <w:t>Community</w:t>
            </w:r>
            <w:r>
              <w:rPr>
                <w:spacing w:val="-10"/>
                <w:sz w:val="20"/>
              </w:rPr>
              <w:t> </w:t>
            </w:r>
            <w:r>
              <w:rPr>
                <w:sz w:val="20"/>
              </w:rPr>
              <w:t>cultural</w:t>
            </w:r>
            <w:r>
              <w:rPr>
                <w:spacing w:val="-7"/>
                <w:sz w:val="20"/>
              </w:rPr>
              <w:t> </w:t>
            </w:r>
            <w:r>
              <w:rPr>
                <w:spacing w:val="-2"/>
                <w:sz w:val="20"/>
              </w:rPr>
              <w:t>development</w:t>
            </w:r>
          </w:p>
          <w:p>
            <w:pPr>
              <w:pStyle w:val="TableParagraph"/>
              <w:numPr>
                <w:ilvl w:val="0"/>
                <w:numId w:val="40"/>
              </w:numPr>
              <w:tabs>
                <w:tab w:pos="417" w:val="left" w:leader="none"/>
                <w:tab w:pos="418" w:val="left" w:leader="none"/>
              </w:tabs>
              <w:spacing w:line="240" w:lineRule="auto" w:before="0" w:after="0"/>
              <w:ind w:left="417" w:right="214" w:hanging="312"/>
              <w:jc w:val="left"/>
              <w:rPr>
                <w:sz w:val="20"/>
              </w:rPr>
            </w:pPr>
            <w:r>
              <w:rPr>
                <w:sz w:val="20"/>
              </w:rPr>
              <w:t>Local</w:t>
            </w:r>
            <w:r>
              <w:rPr>
                <w:spacing w:val="-14"/>
                <w:sz w:val="20"/>
              </w:rPr>
              <w:t> </w:t>
            </w:r>
            <w:r>
              <w:rPr>
                <w:sz w:val="20"/>
              </w:rPr>
              <w:t>creative</w:t>
            </w:r>
            <w:r>
              <w:rPr>
                <w:spacing w:val="-12"/>
                <w:sz w:val="20"/>
              </w:rPr>
              <w:t> </w:t>
            </w:r>
            <w:r>
              <w:rPr>
                <w:sz w:val="20"/>
              </w:rPr>
              <w:t>industry</w:t>
            </w:r>
            <w:r>
              <w:rPr>
                <w:spacing w:val="-12"/>
                <w:sz w:val="20"/>
              </w:rPr>
              <w:t> </w:t>
            </w:r>
            <w:r>
              <w:rPr>
                <w:sz w:val="20"/>
              </w:rPr>
              <w:t>networks,</w:t>
            </w:r>
            <w:r>
              <w:rPr>
                <w:sz w:val="20"/>
              </w:rPr>
              <w:t> training, and development</w:t>
            </w:r>
          </w:p>
        </w:tc>
        <w:tc>
          <w:tcPr>
            <w:tcW w:w="1539" w:type="dxa"/>
            <w:tcBorders>
              <w:top w:val="nil"/>
              <w:left w:val="single" w:sz="2" w:space="0" w:color="000000"/>
              <w:bottom w:val="single" w:sz="2" w:space="0" w:color="000000"/>
              <w:right w:val="nil"/>
            </w:tcBorders>
          </w:tcPr>
          <w:p>
            <w:pPr>
              <w:pStyle w:val="TableParagraph"/>
              <w:spacing w:line="230" w:lineRule="exact"/>
              <w:ind w:left="105"/>
              <w:rPr>
                <w:sz w:val="20"/>
              </w:rPr>
            </w:pPr>
            <w:r>
              <w:rPr>
                <w:spacing w:val="-2"/>
                <w:sz w:val="20"/>
              </w:rPr>
              <w:t>Income</w:t>
            </w:r>
          </w:p>
          <w:p>
            <w:pPr>
              <w:pStyle w:val="TableParagraph"/>
              <w:spacing w:before="79"/>
              <w:ind w:left="105"/>
              <w:rPr>
                <w:sz w:val="20"/>
              </w:rPr>
            </w:pPr>
            <w:r>
              <w:rPr>
                <w:spacing w:val="-2"/>
                <w:sz w:val="20"/>
              </w:rPr>
              <w:t>Expenditure</w:t>
            </w:r>
          </w:p>
        </w:tc>
        <w:tc>
          <w:tcPr>
            <w:tcW w:w="1347" w:type="dxa"/>
            <w:tcBorders>
              <w:top w:val="nil"/>
              <w:left w:val="nil"/>
              <w:bottom w:val="single" w:sz="2" w:space="0" w:color="000000"/>
              <w:right w:val="nil"/>
            </w:tcBorders>
          </w:tcPr>
          <w:p>
            <w:pPr>
              <w:pStyle w:val="TableParagraph"/>
              <w:spacing w:before="1"/>
              <w:ind w:right="161"/>
              <w:jc w:val="right"/>
              <w:rPr>
                <w:sz w:val="18"/>
              </w:rPr>
            </w:pPr>
            <w:r>
              <w:rPr>
                <w:spacing w:val="-5"/>
                <w:sz w:val="18"/>
              </w:rPr>
              <w:t>660</w:t>
            </w:r>
          </w:p>
          <w:p>
            <w:pPr>
              <w:pStyle w:val="TableParagraph"/>
              <w:spacing w:before="100"/>
              <w:ind w:right="160"/>
              <w:jc w:val="right"/>
              <w:rPr>
                <w:sz w:val="18"/>
              </w:rPr>
            </w:pPr>
            <w:r>
              <w:rPr>
                <w:spacing w:val="-2"/>
                <w:sz w:val="18"/>
              </w:rPr>
              <w:t>1,873</w:t>
            </w:r>
          </w:p>
        </w:tc>
        <w:tc>
          <w:tcPr>
            <w:tcW w:w="1214" w:type="dxa"/>
            <w:tcBorders>
              <w:top w:val="nil"/>
              <w:left w:val="nil"/>
              <w:bottom w:val="single" w:sz="2" w:space="0" w:color="000000"/>
              <w:right w:val="nil"/>
            </w:tcBorders>
          </w:tcPr>
          <w:p>
            <w:pPr>
              <w:pStyle w:val="TableParagraph"/>
              <w:spacing w:before="1"/>
              <w:ind w:right="103"/>
              <w:jc w:val="right"/>
              <w:rPr>
                <w:sz w:val="18"/>
              </w:rPr>
            </w:pPr>
            <w:r>
              <w:rPr>
                <w:spacing w:val="-5"/>
                <w:sz w:val="18"/>
              </w:rPr>
              <w:t>682</w:t>
            </w:r>
          </w:p>
          <w:p>
            <w:pPr>
              <w:pStyle w:val="TableParagraph"/>
              <w:spacing w:before="100"/>
              <w:ind w:right="101"/>
              <w:jc w:val="right"/>
              <w:rPr>
                <w:sz w:val="18"/>
              </w:rPr>
            </w:pPr>
            <w:r>
              <w:rPr>
                <w:spacing w:val="-2"/>
                <w:sz w:val="18"/>
              </w:rPr>
              <w:t>1,913</w:t>
            </w:r>
          </w:p>
        </w:tc>
        <w:tc>
          <w:tcPr>
            <w:tcW w:w="1234" w:type="dxa"/>
            <w:tcBorders>
              <w:top w:val="nil"/>
              <w:left w:val="nil"/>
              <w:bottom w:val="single" w:sz="2" w:space="0" w:color="000000"/>
              <w:right w:val="single" w:sz="12" w:space="0" w:color="000000"/>
            </w:tcBorders>
          </w:tcPr>
          <w:p>
            <w:pPr>
              <w:pStyle w:val="TableParagraph"/>
              <w:spacing w:before="1"/>
              <w:ind w:right="88"/>
              <w:jc w:val="right"/>
              <w:rPr>
                <w:sz w:val="18"/>
              </w:rPr>
            </w:pPr>
            <w:r>
              <w:rPr>
                <w:spacing w:val="-5"/>
                <w:sz w:val="18"/>
              </w:rPr>
              <w:t>712</w:t>
            </w:r>
          </w:p>
          <w:p>
            <w:pPr>
              <w:pStyle w:val="TableParagraph"/>
              <w:spacing w:before="100"/>
              <w:ind w:right="86"/>
              <w:jc w:val="right"/>
              <w:rPr>
                <w:sz w:val="18"/>
              </w:rPr>
            </w:pPr>
            <w:r>
              <w:rPr>
                <w:spacing w:val="-2"/>
                <w:sz w:val="18"/>
              </w:rPr>
              <w:t>2,020</w:t>
            </w:r>
          </w:p>
        </w:tc>
      </w:tr>
      <w:tr>
        <w:trPr>
          <w:trHeight w:val="465" w:hRule="exact"/>
        </w:trPr>
        <w:tc>
          <w:tcPr>
            <w:tcW w:w="1553" w:type="dxa"/>
            <w:vMerge/>
            <w:tcBorders>
              <w:top w:val="nil"/>
              <w:left w:val="single" w:sz="12" w:space="0" w:color="000000"/>
              <w:bottom w:val="nil"/>
              <w:right w:val="single" w:sz="2" w:space="0" w:color="000000"/>
            </w:tcBorders>
          </w:tcPr>
          <w:p>
            <w:pPr>
              <w:rPr>
                <w:sz w:val="2"/>
                <w:szCs w:val="2"/>
              </w:rPr>
            </w:pPr>
          </w:p>
        </w:tc>
        <w:tc>
          <w:tcPr>
            <w:tcW w:w="3540" w:type="dxa"/>
            <w:vMerge/>
            <w:tcBorders>
              <w:top w:val="nil"/>
              <w:left w:val="single" w:sz="2" w:space="0" w:color="000000"/>
              <w:bottom w:val="nil"/>
              <w:right w:val="single" w:sz="2" w:space="0" w:color="000000"/>
            </w:tcBorders>
          </w:tcPr>
          <w:p>
            <w:pPr>
              <w:rPr>
                <w:sz w:val="2"/>
                <w:szCs w:val="2"/>
              </w:rPr>
            </w:pPr>
          </w:p>
        </w:tc>
        <w:tc>
          <w:tcPr>
            <w:tcW w:w="1539" w:type="dxa"/>
            <w:tcBorders>
              <w:top w:val="single" w:sz="2" w:space="0" w:color="000000"/>
              <w:left w:val="single" w:sz="2" w:space="0" w:color="000000"/>
              <w:bottom w:val="single" w:sz="2" w:space="0" w:color="000000"/>
              <w:right w:val="nil"/>
            </w:tcBorders>
          </w:tcPr>
          <w:p>
            <w:pPr>
              <w:pStyle w:val="TableParagraph"/>
              <w:spacing w:line="230" w:lineRule="exact"/>
              <w:ind w:left="105" w:right="569"/>
              <w:rPr>
                <w:b/>
                <w:sz w:val="20"/>
              </w:rPr>
            </w:pPr>
            <w:r>
              <w:rPr>
                <w:b/>
                <w:sz w:val="20"/>
              </w:rPr>
              <w:t>Surplus</w:t>
            </w:r>
            <w:r>
              <w:rPr>
                <w:b/>
                <w:spacing w:val="-14"/>
                <w:sz w:val="20"/>
              </w:rPr>
              <w:t> </w:t>
            </w:r>
            <w:r>
              <w:rPr>
                <w:b/>
                <w:sz w:val="20"/>
              </w:rPr>
              <w:t>/ </w:t>
            </w:r>
            <w:r>
              <w:rPr>
                <w:b/>
                <w:spacing w:val="-2"/>
                <w:sz w:val="20"/>
              </w:rPr>
              <w:t>(deficit)</w:t>
            </w:r>
          </w:p>
        </w:tc>
        <w:tc>
          <w:tcPr>
            <w:tcW w:w="1347" w:type="dxa"/>
            <w:tcBorders>
              <w:top w:val="single" w:sz="2" w:space="0" w:color="000000"/>
              <w:left w:val="nil"/>
              <w:bottom w:val="single" w:sz="2" w:space="0" w:color="000000"/>
              <w:right w:val="nil"/>
            </w:tcBorders>
          </w:tcPr>
          <w:p>
            <w:pPr>
              <w:pStyle w:val="TableParagraph"/>
              <w:spacing w:line="206" w:lineRule="exact"/>
              <w:ind w:right="160"/>
              <w:jc w:val="right"/>
              <w:rPr>
                <w:b/>
                <w:sz w:val="18"/>
              </w:rPr>
            </w:pPr>
            <w:r>
              <w:rPr>
                <w:b/>
                <w:spacing w:val="-2"/>
                <w:sz w:val="18"/>
              </w:rPr>
              <w:t>(1,213)</w:t>
            </w:r>
          </w:p>
        </w:tc>
        <w:tc>
          <w:tcPr>
            <w:tcW w:w="1214" w:type="dxa"/>
            <w:tcBorders>
              <w:top w:val="single" w:sz="2" w:space="0" w:color="000000"/>
              <w:left w:val="nil"/>
              <w:bottom w:val="single" w:sz="2" w:space="0" w:color="000000"/>
              <w:right w:val="nil"/>
            </w:tcBorders>
          </w:tcPr>
          <w:p>
            <w:pPr>
              <w:pStyle w:val="TableParagraph"/>
              <w:spacing w:line="206" w:lineRule="exact"/>
              <w:ind w:right="101"/>
              <w:jc w:val="right"/>
              <w:rPr>
                <w:b/>
                <w:sz w:val="18"/>
              </w:rPr>
            </w:pPr>
            <w:r>
              <w:rPr>
                <w:b/>
                <w:spacing w:val="-2"/>
                <w:sz w:val="18"/>
              </w:rPr>
              <w:t>(1,231)</w:t>
            </w:r>
          </w:p>
        </w:tc>
        <w:tc>
          <w:tcPr>
            <w:tcW w:w="1234" w:type="dxa"/>
            <w:tcBorders>
              <w:top w:val="single" w:sz="2" w:space="0" w:color="000000"/>
              <w:left w:val="nil"/>
              <w:bottom w:val="single" w:sz="2" w:space="0" w:color="000000"/>
              <w:right w:val="single" w:sz="12" w:space="0" w:color="000000"/>
            </w:tcBorders>
          </w:tcPr>
          <w:p>
            <w:pPr>
              <w:pStyle w:val="TableParagraph"/>
              <w:spacing w:line="206" w:lineRule="exact"/>
              <w:ind w:right="86"/>
              <w:jc w:val="right"/>
              <w:rPr>
                <w:b/>
                <w:sz w:val="18"/>
              </w:rPr>
            </w:pPr>
            <w:r>
              <w:rPr>
                <w:b/>
                <w:spacing w:val="-2"/>
                <w:sz w:val="18"/>
              </w:rPr>
              <w:t>(1,308)</w:t>
            </w:r>
          </w:p>
        </w:tc>
      </w:tr>
      <w:tr>
        <w:trPr>
          <w:trHeight w:val="2108" w:hRule="exact"/>
        </w:trPr>
        <w:tc>
          <w:tcPr>
            <w:tcW w:w="1553" w:type="dxa"/>
            <w:vMerge/>
            <w:tcBorders>
              <w:top w:val="nil"/>
              <w:left w:val="single" w:sz="12" w:space="0" w:color="000000"/>
              <w:bottom w:val="nil"/>
              <w:right w:val="single" w:sz="2" w:space="0" w:color="000000"/>
            </w:tcBorders>
          </w:tcPr>
          <w:p>
            <w:pPr>
              <w:rPr>
                <w:sz w:val="2"/>
                <w:szCs w:val="2"/>
              </w:rPr>
            </w:pPr>
          </w:p>
        </w:tc>
        <w:tc>
          <w:tcPr>
            <w:tcW w:w="3540" w:type="dxa"/>
            <w:vMerge/>
            <w:tcBorders>
              <w:top w:val="nil"/>
              <w:left w:val="single" w:sz="2" w:space="0" w:color="000000"/>
              <w:bottom w:val="nil"/>
              <w:right w:val="single" w:sz="2" w:space="0" w:color="000000"/>
            </w:tcBorders>
          </w:tcPr>
          <w:p>
            <w:pPr>
              <w:rPr>
                <w:sz w:val="2"/>
                <w:szCs w:val="2"/>
              </w:rPr>
            </w:pPr>
          </w:p>
        </w:tc>
        <w:tc>
          <w:tcPr>
            <w:tcW w:w="5334" w:type="dxa"/>
            <w:gridSpan w:val="4"/>
            <w:vMerge w:val="restart"/>
            <w:tcBorders>
              <w:top w:val="single" w:sz="2" w:space="0" w:color="000000"/>
              <w:left w:val="single" w:sz="2" w:space="0" w:color="000000"/>
              <w:bottom w:val="single" w:sz="12" w:space="0" w:color="000000"/>
              <w:right w:val="single" w:sz="12" w:space="0" w:color="000000"/>
            </w:tcBorders>
          </w:tcPr>
          <w:p>
            <w:pPr>
              <w:pStyle w:val="TableParagraph"/>
              <w:rPr>
                <w:rFonts w:ascii="Times New Roman"/>
                <w:sz w:val="20"/>
              </w:rPr>
            </w:pPr>
          </w:p>
        </w:tc>
      </w:tr>
      <w:tr>
        <w:trPr>
          <w:trHeight w:val="2667" w:hRule="exact"/>
        </w:trPr>
        <w:tc>
          <w:tcPr>
            <w:tcW w:w="1553" w:type="dxa"/>
            <w:tcBorders>
              <w:top w:val="nil"/>
              <w:left w:val="single" w:sz="12" w:space="0" w:color="000000"/>
              <w:bottom w:val="single" w:sz="12" w:space="0" w:color="000000"/>
              <w:right w:val="single" w:sz="2" w:space="0" w:color="000000"/>
            </w:tcBorders>
          </w:tcPr>
          <w:p>
            <w:pPr>
              <w:pStyle w:val="TableParagraph"/>
              <w:rPr>
                <w:rFonts w:ascii="Times New Roman"/>
                <w:sz w:val="20"/>
              </w:rPr>
            </w:pPr>
          </w:p>
        </w:tc>
        <w:tc>
          <w:tcPr>
            <w:tcW w:w="3540" w:type="dxa"/>
            <w:tcBorders>
              <w:top w:val="nil"/>
              <w:left w:val="single" w:sz="2" w:space="0" w:color="000000"/>
              <w:bottom w:val="single" w:sz="12" w:space="0" w:color="000000"/>
              <w:right w:val="single" w:sz="2" w:space="0" w:color="000000"/>
            </w:tcBorders>
          </w:tcPr>
          <w:p>
            <w:pPr>
              <w:pStyle w:val="TableParagraph"/>
              <w:spacing w:before="96"/>
              <w:ind w:left="105"/>
              <w:rPr>
                <w:sz w:val="20"/>
              </w:rPr>
            </w:pPr>
            <w:r>
              <w:rPr>
                <w:sz w:val="20"/>
              </w:rPr>
              <w:t>Creative</w:t>
            </w:r>
            <w:r>
              <w:rPr>
                <w:spacing w:val="-14"/>
                <w:sz w:val="20"/>
              </w:rPr>
              <w:t> </w:t>
            </w:r>
            <w:r>
              <w:rPr>
                <w:sz w:val="20"/>
              </w:rPr>
              <w:t>precinct</w:t>
            </w:r>
            <w:r>
              <w:rPr>
                <w:spacing w:val="-13"/>
                <w:sz w:val="20"/>
              </w:rPr>
              <w:t> </w:t>
            </w:r>
            <w:r>
              <w:rPr>
                <w:sz w:val="20"/>
              </w:rPr>
              <w:t>planning</w:t>
            </w:r>
            <w:r>
              <w:rPr>
                <w:spacing w:val="-13"/>
                <w:sz w:val="20"/>
              </w:rPr>
              <w:t> </w:t>
            </w:r>
            <w:r>
              <w:rPr>
                <w:sz w:val="20"/>
              </w:rPr>
              <w:t>and </w:t>
            </w:r>
            <w:r>
              <w:rPr>
                <w:spacing w:val="-2"/>
                <w:sz w:val="20"/>
              </w:rPr>
              <w:t>activation</w:t>
            </w:r>
          </w:p>
          <w:p>
            <w:pPr>
              <w:pStyle w:val="TableParagraph"/>
              <w:numPr>
                <w:ilvl w:val="0"/>
                <w:numId w:val="41"/>
              </w:numPr>
              <w:tabs>
                <w:tab w:pos="417" w:val="left" w:leader="none"/>
                <w:tab w:pos="418" w:val="left" w:leader="none"/>
              </w:tabs>
              <w:spacing w:line="235" w:lineRule="auto" w:before="6" w:after="0"/>
              <w:ind w:left="417" w:right="803" w:hanging="312"/>
              <w:jc w:val="left"/>
              <w:rPr>
                <w:sz w:val="20"/>
              </w:rPr>
            </w:pPr>
            <w:r>
              <w:rPr>
                <w:sz w:val="20"/>
              </w:rPr>
              <w:t>Creative</w:t>
            </w:r>
            <w:r>
              <w:rPr>
                <w:spacing w:val="-14"/>
                <w:sz w:val="20"/>
              </w:rPr>
              <w:t> </w:t>
            </w:r>
            <w:r>
              <w:rPr>
                <w:sz w:val="20"/>
              </w:rPr>
              <w:t>placemaking</w:t>
            </w:r>
            <w:r>
              <w:rPr>
                <w:spacing w:val="-14"/>
                <w:sz w:val="20"/>
              </w:rPr>
              <w:t> </w:t>
            </w:r>
            <w:r>
              <w:rPr>
                <w:sz w:val="20"/>
              </w:rPr>
              <w:t>and </w:t>
            </w:r>
            <w:r>
              <w:rPr>
                <w:spacing w:val="-2"/>
                <w:sz w:val="20"/>
              </w:rPr>
              <w:t>activation</w:t>
            </w:r>
          </w:p>
          <w:p>
            <w:pPr>
              <w:pStyle w:val="TableParagraph"/>
              <w:numPr>
                <w:ilvl w:val="0"/>
                <w:numId w:val="41"/>
              </w:numPr>
              <w:tabs>
                <w:tab w:pos="417" w:val="left" w:leader="none"/>
                <w:tab w:pos="418" w:val="left" w:leader="none"/>
              </w:tabs>
              <w:spacing w:line="235" w:lineRule="auto" w:before="7" w:after="0"/>
              <w:ind w:left="417" w:right="195" w:hanging="312"/>
              <w:jc w:val="left"/>
              <w:rPr>
                <w:sz w:val="20"/>
              </w:rPr>
            </w:pPr>
            <w:r>
              <w:rPr>
                <w:sz w:val="20"/>
              </w:rPr>
              <w:t>Cultural</w:t>
            </w:r>
            <w:r>
              <w:rPr>
                <w:spacing w:val="-14"/>
                <w:sz w:val="20"/>
              </w:rPr>
              <w:t> </w:t>
            </w:r>
            <w:r>
              <w:rPr>
                <w:sz w:val="20"/>
              </w:rPr>
              <w:t>planning,</w:t>
            </w:r>
            <w:r>
              <w:rPr>
                <w:spacing w:val="-14"/>
                <w:sz w:val="20"/>
              </w:rPr>
              <w:t> </w:t>
            </w:r>
            <w:r>
              <w:rPr>
                <w:sz w:val="20"/>
              </w:rPr>
              <w:t>strategies,</w:t>
            </w:r>
            <w:r>
              <w:rPr>
                <w:spacing w:val="-14"/>
                <w:sz w:val="20"/>
              </w:rPr>
              <w:t> </w:t>
            </w:r>
            <w:r>
              <w:rPr>
                <w:sz w:val="20"/>
              </w:rPr>
              <w:t>and </w:t>
            </w:r>
            <w:r>
              <w:rPr>
                <w:spacing w:val="-2"/>
                <w:sz w:val="20"/>
              </w:rPr>
              <w:t>policy</w:t>
            </w:r>
          </w:p>
          <w:p>
            <w:pPr>
              <w:pStyle w:val="TableParagraph"/>
              <w:numPr>
                <w:ilvl w:val="0"/>
                <w:numId w:val="41"/>
              </w:numPr>
              <w:tabs>
                <w:tab w:pos="417" w:val="left" w:leader="none"/>
                <w:tab w:pos="418" w:val="left" w:leader="none"/>
              </w:tabs>
              <w:spacing w:line="235" w:lineRule="auto" w:before="7" w:after="0"/>
              <w:ind w:left="417" w:right="471" w:hanging="312"/>
              <w:jc w:val="left"/>
              <w:rPr>
                <w:sz w:val="20"/>
              </w:rPr>
            </w:pPr>
            <w:r>
              <w:rPr>
                <w:sz w:val="20"/>
              </w:rPr>
              <w:t>Cultural</w:t>
            </w:r>
            <w:r>
              <w:rPr>
                <w:spacing w:val="-14"/>
                <w:sz w:val="20"/>
              </w:rPr>
              <w:t> </w:t>
            </w:r>
            <w:r>
              <w:rPr>
                <w:sz w:val="20"/>
              </w:rPr>
              <w:t>precinct</w:t>
            </w:r>
            <w:r>
              <w:rPr>
                <w:spacing w:val="-13"/>
                <w:sz w:val="20"/>
              </w:rPr>
              <w:t> </w:t>
            </w:r>
            <w:r>
              <w:rPr>
                <w:sz w:val="20"/>
              </w:rPr>
              <w:t>planning</w:t>
            </w:r>
            <w:r>
              <w:rPr>
                <w:spacing w:val="-14"/>
                <w:sz w:val="20"/>
              </w:rPr>
              <w:t> </w:t>
            </w:r>
            <w:r>
              <w:rPr>
                <w:sz w:val="20"/>
              </w:rPr>
              <w:t>and </w:t>
            </w:r>
            <w:r>
              <w:rPr>
                <w:spacing w:val="-2"/>
                <w:sz w:val="20"/>
              </w:rPr>
              <w:t>development</w:t>
            </w:r>
          </w:p>
          <w:p>
            <w:pPr>
              <w:pStyle w:val="TableParagraph"/>
              <w:numPr>
                <w:ilvl w:val="0"/>
                <w:numId w:val="41"/>
              </w:numPr>
              <w:tabs>
                <w:tab w:pos="417" w:val="left" w:leader="none"/>
                <w:tab w:pos="418" w:val="left" w:leader="none"/>
              </w:tabs>
              <w:spacing w:line="240" w:lineRule="auto" w:before="4" w:after="0"/>
              <w:ind w:left="417" w:right="492" w:hanging="312"/>
              <w:jc w:val="left"/>
              <w:rPr>
                <w:sz w:val="20"/>
              </w:rPr>
            </w:pPr>
            <w:r>
              <w:rPr>
                <w:sz w:val="20"/>
              </w:rPr>
              <w:t>Major</w:t>
            </w:r>
            <w:r>
              <w:rPr>
                <w:spacing w:val="-13"/>
                <w:sz w:val="20"/>
              </w:rPr>
              <w:t> </w:t>
            </w:r>
            <w:r>
              <w:rPr>
                <w:sz w:val="20"/>
              </w:rPr>
              <w:t>creative</w:t>
            </w:r>
            <w:r>
              <w:rPr>
                <w:spacing w:val="-12"/>
                <w:sz w:val="20"/>
              </w:rPr>
              <w:t> </w:t>
            </w:r>
            <w:r>
              <w:rPr>
                <w:sz w:val="20"/>
              </w:rPr>
              <w:t>venues</w:t>
            </w:r>
            <w:r>
              <w:rPr>
                <w:spacing w:val="-14"/>
                <w:sz w:val="20"/>
              </w:rPr>
              <w:t> </w:t>
            </w:r>
            <w:r>
              <w:rPr>
                <w:sz w:val="20"/>
              </w:rPr>
              <w:t>master </w:t>
            </w:r>
            <w:r>
              <w:rPr>
                <w:spacing w:val="-2"/>
                <w:sz w:val="20"/>
              </w:rPr>
              <w:t>plans</w:t>
            </w:r>
          </w:p>
        </w:tc>
        <w:tc>
          <w:tcPr>
            <w:tcW w:w="5334" w:type="dxa"/>
            <w:gridSpan w:val="4"/>
            <w:vMerge/>
            <w:tcBorders>
              <w:top w:val="nil"/>
              <w:left w:val="single" w:sz="2" w:space="0" w:color="000000"/>
              <w:bottom w:val="single" w:sz="12" w:space="0" w:color="000000"/>
              <w:right w:val="single" w:sz="12" w:space="0" w:color="000000"/>
            </w:tcBorders>
          </w:tcPr>
          <w:p>
            <w:pPr>
              <w:rPr>
                <w:sz w:val="2"/>
                <w:szCs w:val="2"/>
              </w:rPr>
            </w:pPr>
          </w:p>
        </w:tc>
      </w:tr>
    </w:tbl>
    <w:p>
      <w:pPr>
        <w:spacing w:after="0"/>
        <w:rPr>
          <w:sz w:val="2"/>
          <w:szCs w:val="2"/>
        </w:rPr>
        <w:sectPr>
          <w:pgSz w:w="11910" w:h="16840"/>
          <w:pgMar w:header="0" w:footer="375" w:top="480" w:bottom="1851" w:left="460" w:right="160"/>
        </w:sectPr>
      </w:pPr>
    </w:p>
    <w:tbl>
      <w:tblPr>
        <w:tblW w:w="0" w:type="auto"/>
        <w:jc w:val="left"/>
        <w:tblInd w:w="4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553"/>
        <w:gridCol w:w="3540"/>
        <w:gridCol w:w="1537"/>
        <w:gridCol w:w="1348"/>
        <w:gridCol w:w="1216"/>
        <w:gridCol w:w="1234"/>
      </w:tblGrid>
      <w:tr>
        <w:trPr>
          <w:trHeight w:val="900" w:hRule="atLeast"/>
        </w:trPr>
        <w:tc>
          <w:tcPr>
            <w:tcW w:w="1553" w:type="dxa"/>
            <w:tcBorders>
              <w:left w:val="single" w:sz="12" w:space="0" w:color="000000"/>
              <w:bottom w:val="single" w:sz="2" w:space="0" w:color="000000"/>
              <w:right w:val="nil"/>
            </w:tcBorders>
            <w:shd w:val="clear" w:color="auto" w:fill="5B9AD4"/>
          </w:tcPr>
          <w:p>
            <w:pPr>
              <w:pStyle w:val="TableParagraph"/>
              <w:spacing w:before="2"/>
              <w:rPr>
                <w:b/>
                <w:sz w:val="19"/>
              </w:rPr>
            </w:pPr>
          </w:p>
          <w:p>
            <w:pPr>
              <w:pStyle w:val="TableParagraph"/>
              <w:ind w:left="169"/>
              <w:rPr>
                <w:b/>
                <w:sz w:val="20"/>
              </w:rPr>
            </w:pPr>
            <w:r>
              <w:rPr>
                <w:b/>
                <w:color w:val="FFFFFF"/>
                <w:sz w:val="20"/>
              </w:rPr>
              <w:t>Service</w:t>
            </w:r>
            <w:r>
              <w:rPr>
                <w:b/>
                <w:color w:val="FFFFFF"/>
                <w:spacing w:val="-10"/>
                <w:sz w:val="20"/>
              </w:rPr>
              <w:t> </w:t>
            </w:r>
            <w:r>
              <w:rPr>
                <w:b/>
                <w:color w:val="FFFFFF"/>
                <w:spacing w:val="-4"/>
                <w:sz w:val="20"/>
              </w:rPr>
              <w:t>Area</w:t>
            </w:r>
          </w:p>
        </w:tc>
        <w:tc>
          <w:tcPr>
            <w:tcW w:w="3540" w:type="dxa"/>
            <w:tcBorders>
              <w:left w:val="nil"/>
              <w:bottom w:val="single" w:sz="2" w:space="0" w:color="000000"/>
              <w:right w:val="nil"/>
            </w:tcBorders>
            <w:shd w:val="clear" w:color="auto" w:fill="5B9AD4"/>
          </w:tcPr>
          <w:p>
            <w:pPr>
              <w:pStyle w:val="TableParagraph"/>
              <w:spacing w:before="6"/>
              <w:rPr>
                <w:b/>
                <w:sz w:val="28"/>
              </w:rPr>
            </w:pPr>
          </w:p>
          <w:p>
            <w:pPr>
              <w:pStyle w:val="TableParagraph"/>
              <w:ind w:left="916"/>
              <w:rPr>
                <w:b/>
                <w:sz w:val="20"/>
              </w:rPr>
            </w:pPr>
            <w:r>
              <w:rPr>
                <w:b/>
                <w:color w:val="FFFFFF"/>
                <w:sz w:val="20"/>
              </w:rPr>
              <w:t>Services</w:t>
            </w:r>
            <w:r>
              <w:rPr>
                <w:b/>
                <w:color w:val="FFFFFF"/>
                <w:spacing w:val="-9"/>
                <w:sz w:val="20"/>
              </w:rPr>
              <w:t> </w:t>
            </w:r>
            <w:r>
              <w:rPr>
                <w:b/>
                <w:color w:val="FFFFFF"/>
                <w:spacing w:val="-2"/>
                <w:sz w:val="20"/>
              </w:rPr>
              <w:t>Provided</w:t>
            </w:r>
          </w:p>
        </w:tc>
        <w:tc>
          <w:tcPr>
            <w:tcW w:w="1537" w:type="dxa"/>
            <w:tcBorders>
              <w:left w:val="nil"/>
              <w:bottom w:val="nil"/>
              <w:right w:val="nil"/>
            </w:tcBorders>
            <w:shd w:val="clear" w:color="auto" w:fill="5B9AD4"/>
          </w:tcPr>
          <w:p>
            <w:pPr>
              <w:pStyle w:val="TableParagraph"/>
              <w:rPr>
                <w:rFonts w:ascii="Times New Roman"/>
                <w:sz w:val="20"/>
              </w:rPr>
            </w:pPr>
          </w:p>
        </w:tc>
        <w:tc>
          <w:tcPr>
            <w:tcW w:w="1348" w:type="dxa"/>
            <w:tcBorders>
              <w:left w:val="nil"/>
              <w:bottom w:val="nil"/>
              <w:right w:val="nil"/>
            </w:tcBorders>
            <w:shd w:val="clear" w:color="auto" w:fill="5B9AD4"/>
          </w:tcPr>
          <w:p>
            <w:pPr>
              <w:pStyle w:val="TableParagraph"/>
              <w:spacing w:before="26"/>
              <w:ind w:left="350" w:right="222"/>
              <w:jc w:val="center"/>
              <w:rPr>
                <w:b/>
                <w:sz w:val="20"/>
              </w:rPr>
            </w:pPr>
            <w:r>
              <w:rPr>
                <w:b/>
                <w:color w:val="FFFFFF"/>
                <w:spacing w:val="-2"/>
                <w:sz w:val="20"/>
              </w:rPr>
              <w:t>2023/24</w:t>
            </w:r>
          </w:p>
          <w:p>
            <w:pPr>
              <w:pStyle w:val="TableParagraph"/>
              <w:spacing w:before="72"/>
              <w:ind w:left="350" w:right="223"/>
              <w:jc w:val="center"/>
              <w:rPr>
                <w:b/>
                <w:sz w:val="20"/>
              </w:rPr>
            </w:pPr>
            <w:r>
              <w:rPr>
                <w:b/>
                <w:color w:val="FFFFFF"/>
                <w:spacing w:val="-2"/>
                <w:sz w:val="20"/>
              </w:rPr>
              <w:t>Actual</w:t>
            </w:r>
          </w:p>
          <w:p>
            <w:pPr>
              <w:pStyle w:val="TableParagraph"/>
              <w:spacing w:before="75"/>
              <w:ind w:left="350" w:right="223"/>
              <w:jc w:val="center"/>
              <w:rPr>
                <w:b/>
                <w:sz w:val="20"/>
              </w:rPr>
            </w:pPr>
            <w:r>
              <w:rPr>
                <w:b/>
                <w:color w:val="FFFFFF"/>
                <w:spacing w:val="-2"/>
                <w:sz w:val="20"/>
              </w:rPr>
              <w:t>$'000</w:t>
            </w:r>
          </w:p>
        </w:tc>
        <w:tc>
          <w:tcPr>
            <w:tcW w:w="1216" w:type="dxa"/>
            <w:tcBorders>
              <w:left w:val="nil"/>
              <w:bottom w:val="nil"/>
              <w:right w:val="nil"/>
            </w:tcBorders>
            <w:shd w:val="clear" w:color="auto" w:fill="5B9AD4"/>
          </w:tcPr>
          <w:p>
            <w:pPr>
              <w:pStyle w:val="TableParagraph"/>
              <w:spacing w:before="26"/>
              <w:ind w:left="80" w:right="113"/>
              <w:jc w:val="center"/>
              <w:rPr>
                <w:b/>
                <w:sz w:val="20"/>
              </w:rPr>
            </w:pPr>
            <w:r>
              <w:rPr>
                <w:b/>
                <w:color w:val="FFFFFF"/>
                <w:spacing w:val="-2"/>
                <w:sz w:val="20"/>
              </w:rPr>
              <w:t>2024/25</w:t>
            </w:r>
          </w:p>
          <w:p>
            <w:pPr>
              <w:pStyle w:val="TableParagraph"/>
              <w:spacing w:before="72"/>
              <w:ind w:left="81" w:right="113"/>
              <w:jc w:val="center"/>
              <w:rPr>
                <w:b/>
                <w:sz w:val="20"/>
              </w:rPr>
            </w:pPr>
            <w:r>
              <w:rPr>
                <w:b/>
                <w:color w:val="FFFFFF"/>
                <w:spacing w:val="-2"/>
                <w:sz w:val="20"/>
              </w:rPr>
              <w:t>Forecast</w:t>
            </w:r>
          </w:p>
          <w:p>
            <w:pPr>
              <w:pStyle w:val="TableParagraph"/>
              <w:spacing w:before="75"/>
              <w:ind w:left="79" w:right="113"/>
              <w:jc w:val="center"/>
              <w:rPr>
                <w:b/>
                <w:sz w:val="20"/>
              </w:rPr>
            </w:pPr>
            <w:r>
              <w:rPr>
                <w:b/>
                <w:color w:val="FFFFFF"/>
                <w:spacing w:val="-2"/>
                <w:sz w:val="20"/>
              </w:rPr>
              <w:t>$'000</w:t>
            </w:r>
          </w:p>
        </w:tc>
        <w:tc>
          <w:tcPr>
            <w:tcW w:w="1234" w:type="dxa"/>
            <w:tcBorders>
              <w:left w:val="nil"/>
              <w:bottom w:val="nil"/>
              <w:right w:val="single" w:sz="12" w:space="0" w:color="000000"/>
            </w:tcBorders>
            <w:shd w:val="clear" w:color="auto" w:fill="5B9AD4"/>
          </w:tcPr>
          <w:p>
            <w:pPr>
              <w:pStyle w:val="TableParagraph"/>
              <w:spacing w:before="26"/>
              <w:ind w:left="240" w:right="221"/>
              <w:jc w:val="center"/>
              <w:rPr>
                <w:b/>
                <w:sz w:val="20"/>
              </w:rPr>
            </w:pPr>
            <w:r>
              <w:rPr>
                <w:b/>
                <w:color w:val="FFFFFF"/>
                <w:spacing w:val="-2"/>
                <w:sz w:val="20"/>
              </w:rPr>
              <w:t>2025/26</w:t>
            </w:r>
          </w:p>
          <w:p>
            <w:pPr>
              <w:pStyle w:val="TableParagraph"/>
              <w:spacing w:before="72"/>
              <w:ind w:left="240" w:right="219"/>
              <w:jc w:val="center"/>
              <w:rPr>
                <w:b/>
                <w:sz w:val="20"/>
              </w:rPr>
            </w:pPr>
            <w:r>
              <w:rPr>
                <w:b/>
                <w:color w:val="FFFFFF"/>
                <w:spacing w:val="-2"/>
                <w:sz w:val="20"/>
              </w:rPr>
              <w:t>Budget</w:t>
            </w:r>
          </w:p>
          <w:p>
            <w:pPr>
              <w:pStyle w:val="TableParagraph"/>
              <w:spacing w:before="75"/>
              <w:ind w:left="240" w:right="221"/>
              <w:jc w:val="center"/>
              <w:rPr>
                <w:b/>
                <w:sz w:val="20"/>
              </w:rPr>
            </w:pPr>
            <w:r>
              <w:rPr>
                <w:b/>
                <w:color w:val="FFFFFF"/>
                <w:spacing w:val="-2"/>
                <w:sz w:val="20"/>
              </w:rPr>
              <w:t>$'000</w:t>
            </w:r>
          </w:p>
        </w:tc>
      </w:tr>
      <w:tr>
        <w:trPr>
          <w:trHeight w:val="599" w:hRule="atLeast"/>
        </w:trPr>
        <w:tc>
          <w:tcPr>
            <w:tcW w:w="1553" w:type="dxa"/>
            <w:vMerge w:val="restart"/>
            <w:tcBorders>
              <w:top w:val="single" w:sz="2" w:space="0" w:color="000000"/>
              <w:left w:val="single" w:sz="12" w:space="0" w:color="000000"/>
              <w:bottom w:val="single" w:sz="12" w:space="0" w:color="000000"/>
              <w:right w:val="single" w:sz="2" w:space="0" w:color="000000"/>
            </w:tcBorders>
          </w:tcPr>
          <w:p>
            <w:pPr>
              <w:pStyle w:val="TableParagraph"/>
              <w:ind w:left="107" w:right="201"/>
              <w:rPr>
                <w:sz w:val="20"/>
              </w:rPr>
            </w:pPr>
            <w:r>
              <w:rPr>
                <w:spacing w:val="-2"/>
                <w:sz w:val="20"/>
              </w:rPr>
              <w:t>Karralyka </w:t>
            </w:r>
            <w:r>
              <w:rPr>
                <w:sz w:val="20"/>
              </w:rPr>
              <w:t>precinct</w:t>
            </w:r>
            <w:r>
              <w:rPr>
                <w:spacing w:val="-14"/>
                <w:sz w:val="20"/>
              </w:rPr>
              <w:t> </w:t>
            </w:r>
            <w:r>
              <w:rPr>
                <w:sz w:val="20"/>
              </w:rPr>
              <w:t>and </w:t>
            </w:r>
            <w:r>
              <w:rPr>
                <w:spacing w:val="-2"/>
                <w:sz w:val="20"/>
              </w:rPr>
              <w:t>services</w:t>
            </w:r>
          </w:p>
        </w:tc>
        <w:tc>
          <w:tcPr>
            <w:tcW w:w="3540" w:type="dxa"/>
            <w:vMerge w:val="restart"/>
            <w:tcBorders>
              <w:top w:val="single" w:sz="2" w:space="0" w:color="000000"/>
              <w:left w:val="single" w:sz="2" w:space="0" w:color="000000"/>
              <w:bottom w:val="single" w:sz="12" w:space="0" w:color="000000"/>
              <w:right w:val="single" w:sz="2" w:space="0" w:color="000000"/>
            </w:tcBorders>
          </w:tcPr>
          <w:p>
            <w:pPr>
              <w:pStyle w:val="TableParagraph"/>
              <w:numPr>
                <w:ilvl w:val="0"/>
                <w:numId w:val="42"/>
              </w:numPr>
              <w:tabs>
                <w:tab w:pos="431" w:val="left" w:leader="none"/>
                <w:tab w:pos="433" w:val="left" w:leader="none"/>
              </w:tabs>
              <w:spacing w:line="235" w:lineRule="auto" w:before="4" w:after="0"/>
              <w:ind w:left="431" w:right="534" w:hanging="312"/>
              <w:jc w:val="left"/>
              <w:rPr>
                <w:sz w:val="20"/>
              </w:rPr>
            </w:pPr>
            <w:r>
              <w:rPr>
                <w:sz w:val="20"/>
              </w:rPr>
              <w:t>Karralyka theatre programs, functions,</w:t>
            </w:r>
            <w:r>
              <w:rPr>
                <w:spacing w:val="-14"/>
                <w:sz w:val="20"/>
              </w:rPr>
              <w:t> </w:t>
            </w:r>
            <w:r>
              <w:rPr>
                <w:sz w:val="20"/>
              </w:rPr>
              <w:t>and</w:t>
            </w:r>
            <w:r>
              <w:rPr>
                <w:spacing w:val="-13"/>
                <w:sz w:val="20"/>
              </w:rPr>
              <w:t> </w:t>
            </w:r>
            <w:r>
              <w:rPr>
                <w:sz w:val="20"/>
              </w:rPr>
              <w:t>special</w:t>
            </w:r>
            <w:r>
              <w:rPr>
                <w:spacing w:val="-12"/>
                <w:sz w:val="20"/>
              </w:rPr>
              <w:t> </w:t>
            </w:r>
            <w:r>
              <w:rPr>
                <w:sz w:val="20"/>
              </w:rPr>
              <w:t>events</w:t>
            </w:r>
          </w:p>
          <w:p>
            <w:pPr>
              <w:pStyle w:val="TableParagraph"/>
              <w:numPr>
                <w:ilvl w:val="0"/>
                <w:numId w:val="42"/>
              </w:numPr>
              <w:tabs>
                <w:tab w:pos="431" w:val="left" w:leader="none"/>
                <w:tab w:pos="433" w:val="left" w:leader="none"/>
              </w:tabs>
              <w:spacing w:line="240" w:lineRule="auto" w:before="3" w:after="0"/>
              <w:ind w:left="431" w:right="278" w:hanging="312"/>
              <w:jc w:val="left"/>
              <w:rPr>
                <w:sz w:val="20"/>
              </w:rPr>
            </w:pPr>
            <w:r>
              <w:rPr>
                <w:sz w:val="20"/>
              </w:rPr>
              <w:t>Karralyka</w:t>
            </w:r>
            <w:r>
              <w:rPr>
                <w:spacing w:val="-14"/>
                <w:sz w:val="20"/>
              </w:rPr>
              <w:t> </w:t>
            </w:r>
            <w:r>
              <w:rPr>
                <w:sz w:val="20"/>
              </w:rPr>
              <w:t>venue</w:t>
            </w:r>
            <w:r>
              <w:rPr>
                <w:spacing w:val="-13"/>
                <w:sz w:val="20"/>
              </w:rPr>
              <w:t> </w:t>
            </w:r>
            <w:r>
              <w:rPr>
                <w:sz w:val="20"/>
              </w:rPr>
              <w:t>operations</w:t>
            </w:r>
            <w:r>
              <w:rPr>
                <w:spacing w:val="-12"/>
                <w:sz w:val="20"/>
              </w:rPr>
              <w:t> </w:t>
            </w:r>
            <w:r>
              <w:rPr>
                <w:sz w:val="20"/>
              </w:rPr>
              <w:t>and hospitality services</w:t>
            </w:r>
          </w:p>
          <w:p>
            <w:pPr>
              <w:pStyle w:val="TableParagraph"/>
              <w:numPr>
                <w:ilvl w:val="0"/>
                <w:numId w:val="42"/>
              </w:numPr>
              <w:tabs>
                <w:tab w:pos="431" w:val="left" w:leader="none"/>
                <w:tab w:pos="433" w:val="left" w:leader="none"/>
              </w:tabs>
              <w:spacing w:line="237" w:lineRule="auto" w:before="3" w:after="0"/>
              <w:ind w:left="431" w:right="456" w:hanging="312"/>
              <w:jc w:val="left"/>
              <w:rPr>
                <w:sz w:val="20"/>
              </w:rPr>
            </w:pPr>
            <w:r>
              <w:rPr>
                <w:sz w:val="20"/>
              </w:rPr>
              <w:t>Maroondah</w:t>
            </w:r>
            <w:r>
              <w:rPr>
                <w:spacing w:val="-14"/>
                <w:sz w:val="20"/>
              </w:rPr>
              <w:t> </w:t>
            </w:r>
            <w:r>
              <w:rPr>
                <w:sz w:val="20"/>
              </w:rPr>
              <w:t>Federation</w:t>
            </w:r>
            <w:r>
              <w:rPr>
                <w:spacing w:val="-14"/>
                <w:sz w:val="20"/>
              </w:rPr>
              <w:t> </w:t>
            </w:r>
            <w:r>
              <w:rPr>
                <w:sz w:val="20"/>
              </w:rPr>
              <w:t>Estate venue management and </w:t>
            </w:r>
            <w:r>
              <w:rPr>
                <w:spacing w:val="-2"/>
                <w:sz w:val="20"/>
              </w:rPr>
              <w:t>bookings</w:t>
            </w:r>
          </w:p>
          <w:p>
            <w:pPr>
              <w:pStyle w:val="TableParagraph"/>
              <w:numPr>
                <w:ilvl w:val="0"/>
                <w:numId w:val="42"/>
              </w:numPr>
              <w:tabs>
                <w:tab w:pos="431" w:val="left" w:leader="none"/>
                <w:tab w:pos="433" w:val="left" w:leader="none"/>
              </w:tabs>
              <w:spacing w:line="235" w:lineRule="auto" w:before="7" w:after="0"/>
              <w:ind w:left="431" w:right="134" w:hanging="312"/>
              <w:jc w:val="left"/>
              <w:rPr>
                <w:sz w:val="20"/>
              </w:rPr>
            </w:pPr>
            <w:r>
              <w:rPr>
                <w:sz w:val="20"/>
              </w:rPr>
              <w:t>Meals</w:t>
            </w:r>
            <w:r>
              <w:rPr>
                <w:spacing w:val="-9"/>
                <w:sz w:val="20"/>
              </w:rPr>
              <w:t> </w:t>
            </w:r>
            <w:r>
              <w:rPr>
                <w:sz w:val="20"/>
              </w:rPr>
              <w:t>on</w:t>
            </w:r>
            <w:r>
              <w:rPr>
                <w:spacing w:val="-8"/>
                <w:sz w:val="20"/>
              </w:rPr>
              <w:t> </w:t>
            </w:r>
            <w:r>
              <w:rPr>
                <w:sz w:val="20"/>
              </w:rPr>
              <w:t>Wheels</w:t>
            </w:r>
            <w:r>
              <w:rPr>
                <w:spacing w:val="-11"/>
                <w:sz w:val="20"/>
              </w:rPr>
              <w:t> </w:t>
            </w:r>
            <w:r>
              <w:rPr>
                <w:sz w:val="20"/>
              </w:rPr>
              <w:t>food</w:t>
            </w:r>
            <w:r>
              <w:rPr>
                <w:spacing w:val="-12"/>
                <w:sz w:val="20"/>
              </w:rPr>
              <w:t> </w:t>
            </w:r>
            <w:r>
              <w:rPr>
                <w:sz w:val="20"/>
              </w:rPr>
              <w:t>production (Maroondah and Knox)</w:t>
            </w:r>
          </w:p>
          <w:p>
            <w:pPr>
              <w:pStyle w:val="TableParagraph"/>
              <w:numPr>
                <w:ilvl w:val="0"/>
                <w:numId w:val="42"/>
              </w:numPr>
              <w:tabs>
                <w:tab w:pos="431" w:val="left" w:leader="none"/>
                <w:tab w:pos="433" w:val="left" w:leader="none"/>
              </w:tabs>
              <w:spacing w:line="237" w:lineRule="auto" w:before="5" w:after="0"/>
              <w:ind w:left="431" w:right="279" w:hanging="312"/>
              <w:jc w:val="left"/>
              <w:rPr>
                <w:sz w:val="20"/>
              </w:rPr>
            </w:pPr>
            <w:r>
              <w:rPr>
                <w:sz w:val="20"/>
              </w:rPr>
              <w:t>K-Cafe</w:t>
            </w:r>
            <w:r>
              <w:rPr>
                <w:spacing w:val="-14"/>
                <w:sz w:val="20"/>
              </w:rPr>
              <w:t> </w:t>
            </w:r>
            <w:r>
              <w:rPr>
                <w:sz w:val="20"/>
              </w:rPr>
              <w:t>management</w:t>
            </w:r>
            <w:r>
              <w:rPr>
                <w:spacing w:val="-14"/>
                <w:sz w:val="20"/>
              </w:rPr>
              <w:t> </w:t>
            </w:r>
            <w:r>
              <w:rPr>
                <w:sz w:val="20"/>
              </w:rPr>
              <w:t>(Aquahub, Aquanation, Maroondah Federation Estate)</w:t>
            </w:r>
          </w:p>
          <w:p>
            <w:pPr>
              <w:pStyle w:val="TableParagraph"/>
              <w:numPr>
                <w:ilvl w:val="0"/>
                <w:numId w:val="42"/>
              </w:numPr>
              <w:tabs>
                <w:tab w:pos="431" w:val="left" w:leader="none"/>
                <w:tab w:pos="433" w:val="left" w:leader="none"/>
              </w:tabs>
              <w:spacing w:line="237" w:lineRule="auto" w:before="5" w:after="0"/>
              <w:ind w:left="431" w:right="578" w:hanging="312"/>
              <w:jc w:val="left"/>
              <w:rPr>
                <w:sz w:val="20"/>
              </w:rPr>
            </w:pPr>
            <w:r>
              <w:rPr>
                <w:sz w:val="20"/>
              </w:rPr>
              <w:t>Community halls facility management,</w:t>
            </w:r>
            <w:r>
              <w:rPr>
                <w:spacing w:val="-14"/>
                <w:sz w:val="20"/>
              </w:rPr>
              <w:t> </w:t>
            </w:r>
            <w:r>
              <w:rPr>
                <w:sz w:val="20"/>
              </w:rPr>
              <w:t>bookings,</w:t>
            </w:r>
            <w:r>
              <w:rPr>
                <w:spacing w:val="-14"/>
                <w:sz w:val="20"/>
              </w:rPr>
              <w:t> </w:t>
            </w:r>
            <w:r>
              <w:rPr>
                <w:sz w:val="20"/>
              </w:rPr>
              <w:t>and community licences</w:t>
            </w:r>
          </w:p>
        </w:tc>
        <w:tc>
          <w:tcPr>
            <w:tcW w:w="1537" w:type="dxa"/>
            <w:tcBorders>
              <w:top w:val="nil"/>
              <w:left w:val="single" w:sz="2" w:space="0" w:color="000000"/>
              <w:bottom w:val="single" w:sz="2" w:space="0" w:color="000000"/>
              <w:right w:val="nil"/>
            </w:tcBorders>
          </w:tcPr>
          <w:p>
            <w:pPr>
              <w:pStyle w:val="TableParagraph"/>
              <w:spacing w:line="229" w:lineRule="exact"/>
              <w:ind w:left="117"/>
              <w:rPr>
                <w:sz w:val="20"/>
              </w:rPr>
            </w:pPr>
            <w:r>
              <w:rPr>
                <w:spacing w:val="-2"/>
                <w:sz w:val="20"/>
              </w:rPr>
              <w:t>Income</w:t>
            </w:r>
          </w:p>
          <w:p>
            <w:pPr>
              <w:pStyle w:val="TableParagraph"/>
              <w:spacing w:before="77"/>
              <w:ind w:left="117"/>
              <w:rPr>
                <w:sz w:val="20"/>
              </w:rPr>
            </w:pPr>
            <w:r>
              <w:rPr>
                <w:spacing w:val="-2"/>
                <w:sz w:val="20"/>
              </w:rPr>
              <w:t>Expenditure</w:t>
            </w:r>
          </w:p>
        </w:tc>
        <w:tc>
          <w:tcPr>
            <w:tcW w:w="1348" w:type="dxa"/>
            <w:tcBorders>
              <w:top w:val="nil"/>
              <w:left w:val="nil"/>
              <w:bottom w:val="single" w:sz="2" w:space="0" w:color="000000"/>
              <w:right w:val="nil"/>
            </w:tcBorders>
          </w:tcPr>
          <w:p>
            <w:pPr>
              <w:pStyle w:val="TableParagraph"/>
              <w:spacing w:line="206" w:lineRule="exact"/>
              <w:ind w:left="745"/>
              <w:rPr>
                <w:sz w:val="18"/>
              </w:rPr>
            </w:pPr>
            <w:r>
              <w:rPr>
                <w:spacing w:val="-2"/>
                <w:sz w:val="18"/>
              </w:rPr>
              <w:t>5,454</w:t>
            </w:r>
          </w:p>
          <w:p>
            <w:pPr>
              <w:pStyle w:val="TableParagraph"/>
              <w:spacing w:before="100"/>
              <w:ind w:left="745"/>
              <w:rPr>
                <w:sz w:val="18"/>
              </w:rPr>
            </w:pPr>
            <w:r>
              <w:rPr>
                <w:spacing w:val="-2"/>
                <w:sz w:val="18"/>
              </w:rPr>
              <w:t>5,875</w:t>
            </w:r>
          </w:p>
        </w:tc>
        <w:tc>
          <w:tcPr>
            <w:tcW w:w="1216" w:type="dxa"/>
            <w:tcBorders>
              <w:top w:val="nil"/>
              <w:left w:val="nil"/>
              <w:bottom w:val="single" w:sz="2" w:space="0" w:color="000000"/>
              <w:right w:val="nil"/>
            </w:tcBorders>
          </w:tcPr>
          <w:p>
            <w:pPr>
              <w:pStyle w:val="TableParagraph"/>
              <w:spacing w:line="206" w:lineRule="exact"/>
              <w:ind w:left="669"/>
              <w:rPr>
                <w:sz w:val="18"/>
              </w:rPr>
            </w:pPr>
            <w:r>
              <w:rPr>
                <w:spacing w:val="-2"/>
                <w:sz w:val="18"/>
              </w:rPr>
              <w:t>4,577</w:t>
            </w:r>
          </w:p>
          <w:p>
            <w:pPr>
              <w:pStyle w:val="TableParagraph"/>
              <w:spacing w:before="100"/>
              <w:ind w:left="669"/>
              <w:rPr>
                <w:sz w:val="18"/>
              </w:rPr>
            </w:pPr>
            <w:r>
              <w:rPr>
                <w:spacing w:val="-2"/>
                <w:sz w:val="18"/>
              </w:rPr>
              <w:t>4,912</w:t>
            </w:r>
          </w:p>
        </w:tc>
        <w:tc>
          <w:tcPr>
            <w:tcW w:w="1234" w:type="dxa"/>
            <w:tcBorders>
              <w:top w:val="nil"/>
              <w:left w:val="nil"/>
              <w:bottom w:val="single" w:sz="2" w:space="0" w:color="000000"/>
              <w:right w:val="single" w:sz="12" w:space="0" w:color="000000"/>
            </w:tcBorders>
            <w:shd w:val="clear" w:color="auto" w:fill="BCD6ED"/>
          </w:tcPr>
          <w:p>
            <w:pPr>
              <w:pStyle w:val="TableParagraph"/>
              <w:spacing w:line="206" w:lineRule="exact"/>
              <w:ind w:left="671"/>
              <w:rPr>
                <w:sz w:val="18"/>
              </w:rPr>
            </w:pPr>
            <w:r>
              <w:rPr>
                <w:spacing w:val="-2"/>
                <w:sz w:val="18"/>
              </w:rPr>
              <w:t>5,075</w:t>
            </w:r>
          </w:p>
          <w:p>
            <w:pPr>
              <w:pStyle w:val="TableParagraph"/>
              <w:spacing w:before="100"/>
              <w:ind w:left="671"/>
              <w:rPr>
                <w:sz w:val="18"/>
              </w:rPr>
            </w:pPr>
            <w:r>
              <w:rPr>
                <w:spacing w:val="-2"/>
                <w:sz w:val="18"/>
              </w:rPr>
              <w:t>5,304</w:t>
            </w:r>
          </w:p>
        </w:tc>
      </w:tr>
      <w:tr>
        <w:trPr>
          <w:trHeight w:val="433" w:hRule="atLeast"/>
        </w:trPr>
        <w:tc>
          <w:tcPr>
            <w:tcW w:w="1553" w:type="dxa"/>
            <w:vMerge/>
            <w:tcBorders>
              <w:top w:val="nil"/>
              <w:left w:val="single" w:sz="12" w:space="0" w:color="000000"/>
              <w:bottom w:val="single" w:sz="12" w:space="0" w:color="000000"/>
              <w:right w:val="single" w:sz="2" w:space="0" w:color="000000"/>
            </w:tcBorders>
          </w:tcPr>
          <w:p>
            <w:pPr>
              <w:rPr>
                <w:sz w:val="2"/>
                <w:szCs w:val="2"/>
              </w:rPr>
            </w:pPr>
          </w:p>
        </w:tc>
        <w:tc>
          <w:tcPr>
            <w:tcW w:w="3540" w:type="dxa"/>
            <w:vMerge/>
            <w:tcBorders>
              <w:top w:val="nil"/>
              <w:left w:val="single" w:sz="2" w:space="0" w:color="000000"/>
              <w:bottom w:val="single" w:sz="12" w:space="0" w:color="000000"/>
              <w:right w:val="single" w:sz="2" w:space="0" w:color="000000"/>
            </w:tcBorders>
          </w:tcPr>
          <w:p>
            <w:pPr>
              <w:rPr>
                <w:sz w:val="2"/>
                <w:szCs w:val="2"/>
              </w:rPr>
            </w:pPr>
          </w:p>
        </w:tc>
        <w:tc>
          <w:tcPr>
            <w:tcW w:w="1537" w:type="dxa"/>
            <w:tcBorders>
              <w:top w:val="single" w:sz="2" w:space="0" w:color="000000"/>
              <w:left w:val="single" w:sz="2" w:space="0" w:color="000000"/>
              <w:bottom w:val="single" w:sz="2" w:space="0" w:color="000000"/>
              <w:right w:val="nil"/>
            </w:tcBorders>
          </w:tcPr>
          <w:p>
            <w:pPr>
              <w:pStyle w:val="TableParagraph"/>
              <w:spacing w:line="215" w:lineRule="exact"/>
              <w:ind w:left="117"/>
              <w:rPr>
                <w:b/>
                <w:sz w:val="20"/>
              </w:rPr>
            </w:pPr>
            <w:r>
              <w:rPr>
                <w:b/>
                <w:sz w:val="20"/>
              </w:rPr>
              <w:t>Surplus</w:t>
            </w:r>
            <w:r>
              <w:rPr>
                <w:b/>
                <w:spacing w:val="-11"/>
                <w:sz w:val="20"/>
              </w:rPr>
              <w:t> </w:t>
            </w:r>
            <w:r>
              <w:rPr>
                <w:b/>
                <w:spacing w:val="-10"/>
                <w:sz w:val="20"/>
              </w:rPr>
              <w:t>/</w:t>
            </w:r>
          </w:p>
          <w:p>
            <w:pPr>
              <w:pStyle w:val="TableParagraph"/>
              <w:spacing w:line="198" w:lineRule="exact"/>
              <w:ind w:left="117"/>
              <w:rPr>
                <w:b/>
                <w:sz w:val="20"/>
              </w:rPr>
            </w:pPr>
            <w:r>
              <w:rPr>
                <w:b/>
                <w:spacing w:val="-2"/>
                <w:sz w:val="20"/>
              </w:rPr>
              <w:t>(deficit)</w:t>
            </w:r>
          </w:p>
        </w:tc>
        <w:tc>
          <w:tcPr>
            <w:tcW w:w="1348" w:type="dxa"/>
            <w:tcBorders>
              <w:top w:val="single" w:sz="2" w:space="0" w:color="000000"/>
              <w:left w:val="nil"/>
              <w:bottom w:val="single" w:sz="2" w:space="0" w:color="000000"/>
              <w:right w:val="nil"/>
            </w:tcBorders>
          </w:tcPr>
          <w:p>
            <w:pPr>
              <w:pStyle w:val="TableParagraph"/>
              <w:spacing w:line="194" w:lineRule="exact"/>
              <w:ind w:left="776"/>
              <w:rPr>
                <w:b/>
                <w:sz w:val="18"/>
              </w:rPr>
            </w:pPr>
            <w:r>
              <w:rPr>
                <w:b/>
                <w:spacing w:val="-2"/>
                <w:sz w:val="18"/>
              </w:rPr>
              <w:t>(421)</w:t>
            </w:r>
          </w:p>
        </w:tc>
        <w:tc>
          <w:tcPr>
            <w:tcW w:w="1216" w:type="dxa"/>
            <w:tcBorders>
              <w:top w:val="single" w:sz="2" w:space="0" w:color="000000"/>
              <w:left w:val="nil"/>
              <w:bottom w:val="single" w:sz="2" w:space="0" w:color="000000"/>
              <w:right w:val="nil"/>
            </w:tcBorders>
          </w:tcPr>
          <w:p>
            <w:pPr>
              <w:pStyle w:val="TableParagraph"/>
              <w:spacing w:line="194" w:lineRule="exact"/>
              <w:ind w:left="700"/>
              <w:rPr>
                <w:b/>
                <w:sz w:val="18"/>
              </w:rPr>
            </w:pPr>
            <w:r>
              <w:rPr>
                <w:b/>
                <w:spacing w:val="-2"/>
                <w:sz w:val="18"/>
              </w:rPr>
              <w:t>(335)</w:t>
            </w:r>
          </w:p>
        </w:tc>
        <w:tc>
          <w:tcPr>
            <w:tcW w:w="1234" w:type="dxa"/>
            <w:tcBorders>
              <w:top w:val="single" w:sz="2" w:space="0" w:color="000000"/>
              <w:left w:val="nil"/>
              <w:bottom w:val="single" w:sz="2" w:space="0" w:color="000000"/>
              <w:right w:val="single" w:sz="12" w:space="0" w:color="000000"/>
            </w:tcBorders>
            <w:shd w:val="clear" w:color="auto" w:fill="BCD6ED"/>
          </w:tcPr>
          <w:p>
            <w:pPr>
              <w:pStyle w:val="TableParagraph"/>
              <w:spacing w:line="194" w:lineRule="exact"/>
              <w:ind w:left="702"/>
              <w:rPr>
                <w:b/>
                <w:sz w:val="18"/>
              </w:rPr>
            </w:pPr>
            <w:r>
              <w:rPr>
                <w:b/>
                <w:spacing w:val="-2"/>
                <w:sz w:val="18"/>
              </w:rPr>
              <w:t>(229)</w:t>
            </w:r>
          </w:p>
        </w:tc>
      </w:tr>
      <w:tr>
        <w:trPr>
          <w:trHeight w:val="2638" w:hRule="atLeast"/>
        </w:trPr>
        <w:tc>
          <w:tcPr>
            <w:tcW w:w="1553" w:type="dxa"/>
            <w:vMerge/>
            <w:tcBorders>
              <w:top w:val="nil"/>
              <w:left w:val="single" w:sz="12" w:space="0" w:color="000000"/>
              <w:bottom w:val="single" w:sz="12" w:space="0" w:color="000000"/>
              <w:right w:val="single" w:sz="2" w:space="0" w:color="000000"/>
            </w:tcBorders>
          </w:tcPr>
          <w:p>
            <w:pPr>
              <w:rPr>
                <w:sz w:val="2"/>
                <w:szCs w:val="2"/>
              </w:rPr>
            </w:pPr>
          </w:p>
        </w:tc>
        <w:tc>
          <w:tcPr>
            <w:tcW w:w="3540" w:type="dxa"/>
            <w:vMerge/>
            <w:tcBorders>
              <w:top w:val="nil"/>
              <w:left w:val="single" w:sz="2" w:space="0" w:color="000000"/>
              <w:bottom w:val="single" w:sz="12" w:space="0" w:color="000000"/>
              <w:right w:val="single" w:sz="2" w:space="0" w:color="000000"/>
            </w:tcBorders>
          </w:tcPr>
          <w:p>
            <w:pPr>
              <w:rPr>
                <w:sz w:val="2"/>
                <w:szCs w:val="2"/>
              </w:rPr>
            </w:pPr>
          </w:p>
        </w:tc>
        <w:tc>
          <w:tcPr>
            <w:tcW w:w="5335" w:type="dxa"/>
            <w:gridSpan w:val="4"/>
            <w:tcBorders>
              <w:top w:val="single" w:sz="2" w:space="0" w:color="000000"/>
              <w:left w:val="single" w:sz="2" w:space="0" w:color="000000"/>
              <w:bottom w:val="single" w:sz="12" w:space="0" w:color="000000"/>
              <w:right w:val="single" w:sz="12" w:space="0" w:color="000000"/>
            </w:tcBorders>
          </w:tcPr>
          <w:p>
            <w:pPr>
              <w:pStyle w:val="TableParagraph"/>
              <w:rPr>
                <w:rFonts w:ascii="Times New Roman"/>
                <w:sz w:val="20"/>
              </w:rPr>
            </w:pPr>
          </w:p>
        </w:tc>
      </w:tr>
    </w:tbl>
    <w:p>
      <w:pPr>
        <w:pStyle w:val="BodyText"/>
        <w:spacing w:before="1"/>
        <w:rPr>
          <w:b/>
          <w:sz w:val="14"/>
        </w:rPr>
      </w:pPr>
    </w:p>
    <w:p>
      <w:pPr>
        <w:pStyle w:val="Heading5"/>
        <w:spacing w:before="94"/>
        <w:ind w:left="391"/>
      </w:pPr>
      <w:r>
        <w:rPr/>
        <w:t>Major</w:t>
      </w:r>
      <w:r>
        <w:rPr>
          <w:spacing w:val="-5"/>
        </w:rPr>
        <w:t> </w:t>
      </w:r>
      <w:r>
        <w:rPr/>
        <w:t>Initiatives</w:t>
      </w:r>
      <w:r>
        <w:rPr>
          <w:spacing w:val="-5"/>
        </w:rPr>
        <w:t> </w:t>
      </w:r>
      <w:r>
        <w:rPr/>
        <w:t>(Priority</w:t>
      </w:r>
      <w:r>
        <w:rPr>
          <w:spacing w:val="-6"/>
        </w:rPr>
        <w:t> </w:t>
      </w:r>
      <w:r>
        <w:rPr>
          <w:spacing w:val="-2"/>
        </w:rPr>
        <w:t>Actions)</w:t>
      </w:r>
    </w:p>
    <w:p>
      <w:pPr>
        <w:pStyle w:val="BodyText"/>
        <w:rPr>
          <w:b/>
        </w:rPr>
      </w:pPr>
    </w:p>
    <w:p>
      <w:pPr>
        <w:pStyle w:val="ListParagraph"/>
        <w:numPr>
          <w:ilvl w:val="0"/>
          <w:numId w:val="24"/>
        </w:numPr>
        <w:tabs>
          <w:tab w:pos="960" w:val="left" w:leader="none"/>
        </w:tabs>
        <w:spacing w:line="240" w:lineRule="auto" w:before="1" w:after="0"/>
        <w:ind w:left="959" w:right="0" w:hanging="569"/>
        <w:jc w:val="both"/>
        <w:rPr>
          <w:sz w:val="22"/>
        </w:rPr>
      </w:pPr>
      <w:r>
        <w:rPr>
          <w:sz w:val="22"/>
        </w:rPr>
        <w:t>Develop</w:t>
      </w:r>
      <w:r>
        <w:rPr>
          <w:spacing w:val="-6"/>
          <w:sz w:val="22"/>
        </w:rPr>
        <w:t> </w:t>
      </w:r>
      <w:r>
        <w:rPr>
          <w:sz w:val="22"/>
        </w:rPr>
        <w:t>and</w:t>
      </w:r>
      <w:r>
        <w:rPr>
          <w:spacing w:val="-4"/>
          <w:sz w:val="22"/>
        </w:rPr>
        <w:t> </w:t>
      </w:r>
      <w:r>
        <w:rPr>
          <w:sz w:val="22"/>
        </w:rPr>
        <w:t>implement</w:t>
      </w:r>
      <w:r>
        <w:rPr>
          <w:spacing w:val="-5"/>
          <w:sz w:val="22"/>
        </w:rPr>
        <w:t> </w:t>
      </w:r>
      <w:r>
        <w:rPr>
          <w:sz w:val="22"/>
        </w:rPr>
        <w:t>Counicl’s</w:t>
      </w:r>
      <w:r>
        <w:rPr>
          <w:spacing w:val="-4"/>
          <w:sz w:val="22"/>
        </w:rPr>
        <w:t> </w:t>
      </w:r>
      <w:r>
        <w:rPr>
          <w:sz w:val="22"/>
        </w:rPr>
        <w:t>Creative</w:t>
      </w:r>
      <w:r>
        <w:rPr>
          <w:spacing w:val="-6"/>
          <w:sz w:val="22"/>
        </w:rPr>
        <w:t> </w:t>
      </w:r>
      <w:r>
        <w:rPr>
          <w:sz w:val="22"/>
        </w:rPr>
        <w:t>Maroondah</w:t>
      </w:r>
      <w:r>
        <w:rPr>
          <w:spacing w:val="-6"/>
          <w:sz w:val="22"/>
        </w:rPr>
        <w:t> </w:t>
      </w:r>
      <w:r>
        <w:rPr>
          <w:spacing w:val="-2"/>
          <w:sz w:val="22"/>
        </w:rPr>
        <w:t>strategy.</w:t>
      </w:r>
    </w:p>
    <w:p>
      <w:pPr>
        <w:pStyle w:val="ListParagraph"/>
        <w:numPr>
          <w:ilvl w:val="0"/>
          <w:numId w:val="24"/>
        </w:numPr>
        <w:tabs>
          <w:tab w:pos="960" w:val="left" w:leader="none"/>
        </w:tabs>
        <w:spacing w:line="252" w:lineRule="exact" w:before="1" w:after="0"/>
        <w:ind w:left="959" w:right="0" w:hanging="569"/>
        <w:jc w:val="both"/>
        <w:rPr>
          <w:sz w:val="22"/>
        </w:rPr>
      </w:pPr>
      <w:r>
        <w:rPr>
          <w:sz w:val="22"/>
        </w:rPr>
        <w:t>Construct</w:t>
      </w:r>
      <w:r>
        <w:rPr>
          <w:spacing w:val="-6"/>
          <w:sz w:val="22"/>
        </w:rPr>
        <w:t> </w:t>
      </w:r>
      <w:r>
        <w:rPr>
          <w:sz w:val="22"/>
        </w:rPr>
        <w:t>the</w:t>
      </w:r>
      <w:r>
        <w:rPr>
          <w:spacing w:val="-3"/>
          <w:sz w:val="22"/>
        </w:rPr>
        <w:t> </w:t>
      </w:r>
      <w:r>
        <w:rPr>
          <w:sz w:val="22"/>
        </w:rPr>
        <w:t>staged</w:t>
      </w:r>
      <w:r>
        <w:rPr>
          <w:spacing w:val="-5"/>
          <w:sz w:val="22"/>
        </w:rPr>
        <w:t> </w:t>
      </w:r>
      <w:r>
        <w:rPr>
          <w:sz w:val="22"/>
        </w:rPr>
        <w:t>redevelopment</w:t>
      </w:r>
      <w:r>
        <w:rPr>
          <w:spacing w:val="-4"/>
          <w:sz w:val="22"/>
        </w:rPr>
        <w:t> </w:t>
      </w:r>
      <w:r>
        <w:rPr>
          <w:sz w:val="22"/>
        </w:rPr>
        <w:t>of</w:t>
      </w:r>
      <w:r>
        <w:rPr>
          <w:spacing w:val="-3"/>
          <w:sz w:val="22"/>
        </w:rPr>
        <w:t> </w:t>
      </w:r>
      <w:r>
        <w:rPr>
          <w:sz w:val="22"/>
        </w:rPr>
        <w:t>Karralyka</w:t>
      </w:r>
      <w:r>
        <w:rPr>
          <w:spacing w:val="-9"/>
          <w:sz w:val="22"/>
        </w:rPr>
        <w:t> </w:t>
      </w:r>
      <w:r>
        <w:rPr>
          <w:sz w:val="22"/>
        </w:rPr>
        <w:t>(subject</w:t>
      </w:r>
      <w:r>
        <w:rPr>
          <w:spacing w:val="-3"/>
          <w:sz w:val="22"/>
        </w:rPr>
        <w:t> </w:t>
      </w:r>
      <w:r>
        <w:rPr>
          <w:sz w:val="22"/>
        </w:rPr>
        <w:t>to</w:t>
      </w:r>
      <w:r>
        <w:rPr>
          <w:spacing w:val="-5"/>
          <w:sz w:val="22"/>
        </w:rPr>
        <w:t> </w:t>
      </w:r>
      <w:r>
        <w:rPr>
          <w:spacing w:val="-2"/>
          <w:sz w:val="22"/>
        </w:rPr>
        <w:t>funding).</w:t>
      </w:r>
    </w:p>
    <w:p>
      <w:pPr>
        <w:pStyle w:val="ListParagraph"/>
        <w:numPr>
          <w:ilvl w:val="0"/>
          <w:numId w:val="24"/>
        </w:numPr>
        <w:tabs>
          <w:tab w:pos="960" w:val="left" w:leader="none"/>
        </w:tabs>
        <w:spacing w:line="240" w:lineRule="auto" w:before="0" w:after="0"/>
        <w:ind w:left="958" w:right="399" w:hanging="567"/>
        <w:jc w:val="both"/>
        <w:rPr>
          <w:sz w:val="22"/>
        </w:rPr>
      </w:pPr>
      <w:r>
        <w:rPr>
          <w:sz w:val="22"/>
        </w:rPr>
        <w:t>Work in partnership to implement the Bayswater Business Precinct Transformation Strategy and investigate and implement innovative opportunities to enhance business capability, skill development, employment and education pathways for the manufacturing sector.</w:t>
      </w:r>
    </w:p>
    <w:p>
      <w:pPr>
        <w:pStyle w:val="ListParagraph"/>
        <w:numPr>
          <w:ilvl w:val="0"/>
          <w:numId w:val="24"/>
        </w:numPr>
        <w:tabs>
          <w:tab w:pos="959" w:val="left" w:leader="none"/>
          <w:tab w:pos="960" w:val="left" w:leader="none"/>
        </w:tabs>
        <w:spacing w:line="252" w:lineRule="exact" w:before="0" w:after="0"/>
        <w:ind w:left="959" w:right="0" w:hanging="569"/>
        <w:jc w:val="left"/>
        <w:rPr>
          <w:sz w:val="22"/>
        </w:rPr>
      </w:pPr>
      <w:r>
        <w:rPr>
          <w:sz w:val="22"/>
        </w:rPr>
        <w:t>Identify</w:t>
      </w:r>
      <w:r>
        <w:rPr>
          <w:spacing w:val="-6"/>
          <w:sz w:val="22"/>
        </w:rPr>
        <w:t> </w:t>
      </w:r>
      <w:r>
        <w:rPr>
          <w:sz w:val="22"/>
        </w:rPr>
        <w:t>and</w:t>
      </w:r>
      <w:r>
        <w:rPr>
          <w:spacing w:val="-5"/>
          <w:sz w:val="22"/>
        </w:rPr>
        <w:t> </w:t>
      </w:r>
      <w:r>
        <w:rPr>
          <w:sz w:val="22"/>
        </w:rPr>
        <w:t>facilitate</w:t>
      </w:r>
      <w:r>
        <w:rPr>
          <w:spacing w:val="-7"/>
          <w:sz w:val="22"/>
        </w:rPr>
        <w:t> </w:t>
      </w:r>
      <w:r>
        <w:rPr>
          <w:sz w:val="22"/>
        </w:rPr>
        <w:t>co-working</w:t>
      </w:r>
      <w:r>
        <w:rPr>
          <w:spacing w:val="-3"/>
          <w:sz w:val="22"/>
        </w:rPr>
        <w:t> </w:t>
      </w:r>
      <w:r>
        <w:rPr>
          <w:sz w:val="22"/>
        </w:rPr>
        <w:t>opportunities</w:t>
      </w:r>
      <w:r>
        <w:rPr>
          <w:spacing w:val="-1"/>
          <w:sz w:val="22"/>
        </w:rPr>
        <w:t> </w:t>
      </w:r>
      <w:r>
        <w:rPr>
          <w:sz w:val="22"/>
        </w:rPr>
        <w:t>and</w:t>
      </w:r>
      <w:r>
        <w:rPr>
          <w:spacing w:val="-3"/>
          <w:sz w:val="22"/>
        </w:rPr>
        <w:t> </w:t>
      </w:r>
      <w:r>
        <w:rPr>
          <w:sz w:val="22"/>
        </w:rPr>
        <w:t>spaces</w:t>
      </w:r>
      <w:r>
        <w:rPr>
          <w:spacing w:val="-5"/>
          <w:sz w:val="22"/>
        </w:rPr>
        <w:t> </w:t>
      </w:r>
      <w:r>
        <w:rPr>
          <w:sz w:val="22"/>
        </w:rPr>
        <w:t>in</w:t>
      </w:r>
      <w:r>
        <w:rPr>
          <w:spacing w:val="-3"/>
          <w:sz w:val="22"/>
        </w:rPr>
        <w:t> </w:t>
      </w:r>
      <w:r>
        <w:rPr>
          <w:spacing w:val="-2"/>
          <w:sz w:val="22"/>
        </w:rPr>
        <w:t>Maroondah.</w:t>
      </w:r>
    </w:p>
    <w:p>
      <w:pPr>
        <w:pStyle w:val="ListParagraph"/>
        <w:numPr>
          <w:ilvl w:val="0"/>
          <w:numId w:val="24"/>
        </w:numPr>
        <w:tabs>
          <w:tab w:pos="959" w:val="left" w:leader="none"/>
          <w:tab w:pos="960" w:val="left" w:leader="none"/>
        </w:tabs>
        <w:spacing w:line="252" w:lineRule="exact" w:before="1" w:after="0"/>
        <w:ind w:left="959" w:right="0" w:hanging="569"/>
        <w:jc w:val="left"/>
        <w:rPr>
          <w:sz w:val="22"/>
        </w:rPr>
      </w:pPr>
      <w:r>
        <w:rPr>
          <w:sz w:val="22"/>
        </w:rPr>
        <w:t>Work</w:t>
      </w:r>
      <w:r>
        <w:rPr>
          <w:spacing w:val="-8"/>
          <w:sz w:val="22"/>
        </w:rPr>
        <w:t> </w:t>
      </w:r>
      <w:r>
        <w:rPr>
          <w:sz w:val="22"/>
        </w:rPr>
        <w:t>in</w:t>
      </w:r>
      <w:r>
        <w:rPr>
          <w:spacing w:val="-2"/>
          <w:sz w:val="22"/>
        </w:rPr>
        <w:t> </w:t>
      </w:r>
      <w:r>
        <w:rPr>
          <w:sz w:val="22"/>
        </w:rPr>
        <w:t>partnership</w:t>
      </w:r>
      <w:r>
        <w:rPr>
          <w:spacing w:val="-5"/>
          <w:sz w:val="22"/>
        </w:rPr>
        <w:t> </w:t>
      </w:r>
      <w:r>
        <w:rPr>
          <w:sz w:val="22"/>
        </w:rPr>
        <w:t>to</w:t>
      </w:r>
      <w:r>
        <w:rPr>
          <w:spacing w:val="-7"/>
          <w:sz w:val="22"/>
        </w:rPr>
        <w:t> </w:t>
      </w:r>
      <w:r>
        <w:rPr>
          <w:sz w:val="22"/>
        </w:rPr>
        <w:t>explore,</w:t>
      </w:r>
      <w:r>
        <w:rPr>
          <w:spacing w:val="-1"/>
          <w:sz w:val="22"/>
        </w:rPr>
        <w:t> </w:t>
      </w:r>
      <w:r>
        <w:rPr>
          <w:sz w:val="22"/>
        </w:rPr>
        <w:t>plan</w:t>
      </w:r>
      <w:r>
        <w:rPr>
          <w:spacing w:val="-2"/>
          <w:sz w:val="22"/>
        </w:rPr>
        <w:t> </w:t>
      </w:r>
      <w:r>
        <w:rPr>
          <w:sz w:val="22"/>
        </w:rPr>
        <w:t>and</w:t>
      </w:r>
      <w:r>
        <w:rPr>
          <w:spacing w:val="-5"/>
          <w:sz w:val="22"/>
        </w:rPr>
        <w:t> </w:t>
      </w:r>
      <w:r>
        <w:rPr>
          <w:sz w:val="22"/>
        </w:rPr>
        <w:t>implement</w:t>
      </w:r>
      <w:r>
        <w:rPr>
          <w:spacing w:val="-1"/>
          <w:sz w:val="22"/>
        </w:rPr>
        <w:t> </w:t>
      </w:r>
      <w:r>
        <w:rPr>
          <w:sz w:val="22"/>
        </w:rPr>
        <w:t>a</w:t>
      </w:r>
      <w:r>
        <w:rPr>
          <w:spacing w:val="-7"/>
          <w:sz w:val="22"/>
        </w:rPr>
        <w:t> </w:t>
      </w:r>
      <w:r>
        <w:rPr>
          <w:sz w:val="22"/>
        </w:rPr>
        <w:t>regional</w:t>
      </w:r>
      <w:r>
        <w:rPr>
          <w:spacing w:val="-3"/>
          <w:sz w:val="22"/>
        </w:rPr>
        <w:t> </w:t>
      </w:r>
      <w:r>
        <w:rPr>
          <w:sz w:val="22"/>
        </w:rPr>
        <w:t>women</w:t>
      </w:r>
      <w:r>
        <w:rPr>
          <w:spacing w:val="-5"/>
          <w:sz w:val="22"/>
        </w:rPr>
        <w:t> </w:t>
      </w:r>
      <w:r>
        <w:rPr>
          <w:sz w:val="22"/>
        </w:rPr>
        <w:t>in</w:t>
      </w:r>
      <w:r>
        <w:rPr>
          <w:spacing w:val="-5"/>
          <w:sz w:val="22"/>
        </w:rPr>
        <w:t> </w:t>
      </w:r>
      <w:r>
        <w:rPr>
          <w:sz w:val="22"/>
        </w:rPr>
        <w:t>business</w:t>
      </w:r>
      <w:r>
        <w:rPr>
          <w:spacing w:val="-3"/>
          <w:sz w:val="22"/>
        </w:rPr>
        <w:t> </w:t>
      </w:r>
      <w:r>
        <w:rPr>
          <w:spacing w:val="-2"/>
          <w:sz w:val="22"/>
        </w:rPr>
        <w:t>program.</w:t>
      </w:r>
    </w:p>
    <w:p>
      <w:pPr>
        <w:pStyle w:val="ListParagraph"/>
        <w:numPr>
          <w:ilvl w:val="0"/>
          <w:numId w:val="24"/>
        </w:numPr>
        <w:tabs>
          <w:tab w:pos="959" w:val="left" w:leader="none"/>
          <w:tab w:pos="960" w:val="left" w:leader="none"/>
        </w:tabs>
        <w:spacing w:line="252" w:lineRule="exact" w:before="0" w:after="0"/>
        <w:ind w:left="959" w:right="0" w:hanging="569"/>
        <w:jc w:val="left"/>
        <w:rPr>
          <w:sz w:val="22"/>
        </w:rPr>
      </w:pPr>
      <w:r>
        <w:rPr>
          <w:sz w:val="22"/>
        </w:rPr>
        <w:t>Work</w:t>
      </w:r>
      <w:r>
        <w:rPr>
          <w:spacing w:val="-8"/>
          <w:sz w:val="22"/>
        </w:rPr>
        <w:t> </w:t>
      </w:r>
      <w:r>
        <w:rPr>
          <w:sz w:val="22"/>
        </w:rPr>
        <w:t>in</w:t>
      </w:r>
      <w:r>
        <w:rPr>
          <w:spacing w:val="-2"/>
          <w:sz w:val="22"/>
        </w:rPr>
        <w:t> </w:t>
      </w:r>
      <w:r>
        <w:rPr>
          <w:sz w:val="22"/>
        </w:rPr>
        <w:t>partnership</w:t>
      </w:r>
      <w:r>
        <w:rPr>
          <w:spacing w:val="-5"/>
          <w:sz w:val="22"/>
        </w:rPr>
        <w:t> </w:t>
      </w:r>
      <w:r>
        <w:rPr>
          <w:sz w:val="22"/>
        </w:rPr>
        <w:t>to</w:t>
      </w:r>
      <w:r>
        <w:rPr>
          <w:spacing w:val="-8"/>
          <w:sz w:val="22"/>
        </w:rPr>
        <w:t> </w:t>
      </w:r>
      <w:r>
        <w:rPr>
          <w:sz w:val="22"/>
        </w:rPr>
        <w:t>explore,</w:t>
      </w:r>
      <w:r>
        <w:rPr>
          <w:spacing w:val="-1"/>
          <w:sz w:val="22"/>
        </w:rPr>
        <w:t> </w:t>
      </w:r>
      <w:r>
        <w:rPr>
          <w:sz w:val="22"/>
        </w:rPr>
        <w:t>plan</w:t>
      </w:r>
      <w:r>
        <w:rPr>
          <w:spacing w:val="-2"/>
          <w:sz w:val="22"/>
        </w:rPr>
        <w:t> </w:t>
      </w:r>
      <w:r>
        <w:rPr>
          <w:sz w:val="22"/>
        </w:rPr>
        <w:t>and</w:t>
      </w:r>
      <w:r>
        <w:rPr>
          <w:spacing w:val="-5"/>
          <w:sz w:val="22"/>
        </w:rPr>
        <w:t> </w:t>
      </w:r>
      <w:r>
        <w:rPr>
          <w:sz w:val="22"/>
        </w:rPr>
        <w:t>implement</w:t>
      </w:r>
      <w:r>
        <w:rPr>
          <w:spacing w:val="-1"/>
          <w:sz w:val="22"/>
        </w:rPr>
        <w:t> </w:t>
      </w:r>
      <w:r>
        <w:rPr>
          <w:sz w:val="22"/>
        </w:rPr>
        <w:t>a</w:t>
      </w:r>
      <w:r>
        <w:rPr>
          <w:spacing w:val="-7"/>
          <w:sz w:val="22"/>
        </w:rPr>
        <w:t> </w:t>
      </w:r>
      <w:r>
        <w:rPr>
          <w:sz w:val="22"/>
        </w:rPr>
        <w:t>regional</w:t>
      </w:r>
      <w:r>
        <w:rPr>
          <w:spacing w:val="-4"/>
          <w:sz w:val="22"/>
        </w:rPr>
        <w:t> </w:t>
      </w:r>
      <w:r>
        <w:rPr>
          <w:sz w:val="22"/>
        </w:rPr>
        <w:t>business</w:t>
      </w:r>
      <w:r>
        <w:rPr>
          <w:spacing w:val="-5"/>
          <w:sz w:val="22"/>
        </w:rPr>
        <w:t> </w:t>
      </w:r>
      <w:r>
        <w:rPr>
          <w:sz w:val="22"/>
        </w:rPr>
        <w:t>award</w:t>
      </w:r>
      <w:r>
        <w:rPr>
          <w:spacing w:val="-3"/>
          <w:sz w:val="22"/>
        </w:rPr>
        <w:t> </w:t>
      </w:r>
      <w:r>
        <w:rPr>
          <w:spacing w:val="-2"/>
          <w:sz w:val="22"/>
        </w:rPr>
        <w:t>program.</w:t>
      </w:r>
    </w:p>
    <w:p>
      <w:pPr>
        <w:spacing w:after="0" w:line="252" w:lineRule="exact"/>
        <w:jc w:val="left"/>
        <w:rPr>
          <w:sz w:val="22"/>
        </w:rPr>
        <w:sectPr>
          <w:type w:val="continuous"/>
          <w:pgSz w:w="11910" w:h="16840"/>
          <w:pgMar w:header="0" w:footer="375" w:top="540" w:bottom="560" w:left="460" w:right="160"/>
        </w:sectPr>
      </w:pPr>
    </w:p>
    <w:p>
      <w:pPr>
        <w:pStyle w:val="Heading2"/>
        <w:numPr>
          <w:ilvl w:val="2"/>
          <w:numId w:val="12"/>
        </w:numPr>
        <w:tabs>
          <w:tab w:pos="861" w:val="left" w:leader="none"/>
        </w:tabs>
        <w:spacing w:line="240" w:lineRule="auto" w:before="71" w:after="0"/>
        <w:ind w:left="391" w:right="948" w:firstLine="0"/>
        <w:jc w:val="left"/>
      </w:pPr>
      <w:bookmarkStart w:name="_TOC_250010" w:id="22"/>
      <w:r>
        <w:rPr>
          <w:color w:val="4966AC"/>
        </w:rPr>
        <w:t>Outcome</w:t>
      </w:r>
      <w:r>
        <w:rPr>
          <w:color w:val="4966AC"/>
          <w:spacing w:val="-6"/>
        </w:rPr>
        <w:t> </w:t>
      </w:r>
      <w:r>
        <w:rPr>
          <w:color w:val="4966AC"/>
        </w:rPr>
        <w:t>Area</w:t>
      </w:r>
      <w:r>
        <w:rPr>
          <w:color w:val="4966AC"/>
          <w:spacing w:val="-6"/>
        </w:rPr>
        <w:t> </w:t>
      </w:r>
      <w:r>
        <w:rPr>
          <w:color w:val="4966AC"/>
        </w:rPr>
        <w:t>(Strategic</w:t>
      </w:r>
      <w:r>
        <w:rPr>
          <w:color w:val="4966AC"/>
          <w:spacing w:val="-6"/>
        </w:rPr>
        <w:t> </w:t>
      </w:r>
      <w:r>
        <w:rPr>
          <w:color w:val="4966AC"/>
        </w:rPr>
        <w:t>Objective)</w:t>
      </w:r>
      <w:r>
        <w:rPr>
          <w:color w:val="4966AC"/>
          <w:spacing w:val="-2"/>
        </w:rPr>
        <w:t> </w:t>
      </w:r>
      <w:r>
        <w:rPr>
          <w:color w:val="4966AC"/>
        </w:rPr>
        <w:t>5:</w:t>
      </w:r>
      <w:r>
        <w:rPr>
          <w:color w:val="4966AC"/>
          <w:spacing w:val="-4"/>
        </w:rPr>
        <w:t> </w:t>
      </w:r>
      <w:r>
        <w:rPr>
          <w:color w:val="4966AC"/>
        </w:rPr>
        <w:t>A</w:t>
      </w:r>
      <w:r>
        <w:rPr>
          <w:color w:val="4966AC"/>
          <w:spacing w:val="-4"/>
        </w:rPr>
        <w:t> </w:t>
      </w:r>
      <w:r>
        <w:rPr>
          <w:color w:val="4966AC"/>
        </w:rPr>
        <w:t>well</w:t>
      </w:r>
      <w:r>
        <w:rPr>
          <w:color w:val="4966AC"/>
          <w:spacing w:val="-4"/>
        </w:rPr>
        <w:t> </w:t>
      </w:r>
      <w:r>
        <w:rPr>
          <w:color w:val="4966AC"/>
        </w:rPr>
        <w:t>governed</w:t>
      </w:r>
      <w:r>
        <w:rPr>
          <w:color w:val="4966AC"/>
          <w:spacing w:val="-4"/>
        </w:rPr>
        <w:t> </w:t>
      </w:r>
      <w:r>
        <w:rPr>
          <w:color w:val="4966AC"/>
        </w:rPr>
        <w:t>and</w:t>
      </w:r>
      <w:r>
        <w:rPr>
          <w:color w:val="4966AC"/>
          <w:spacing w:val="-4"/>
        </w:rPr>
        <w:t> </w:t>
      </w:r>
      <w:r>
        <w:rPr>
          <w:color w:val="4966AC"/>
        </w:rPr>
        <w:t>empowered </w:t>
      </w:r>
      <w:bookmarkEnd w:id="22"/>
      <w:r>
        <w:rPr>
          <w:color w:val="4966AC"/>
          <w:spacing w:val="-2"/>
        </w:rPr>
        <w:t>community</w:t>
      </w:r>
    </w:p>
    <w:p>
      <w:pPr>
        <w:pStyle w:val="BodyText"/>
        <w:spacing w:before="9"/>
        <w:rPr>
          <w:b/>
          <w:sz w:val="21"/>
        </w:rPr>
      </w:pPr>
    </w:p>
    <w:tbl>
      <w:tblPr>
        <w:tblW w:w="0" w:type="auto"/>
        <w:jc w:val="left"/>
        <w:tblInd w:w="4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553"/>
        <w:gridCol w:w="3540"/>
        <w:gridCol w:w="1537"/>
        <w:gridCol w:w="1348"/>
        <w:gridCol w:w="1216"/>
        <w:gridCol w:w="1234"/>
      </w:tblGrid>
      <w:tr>
        <w:trPr>
          <w:trHeight w:val="902" w:hRule="atLeast"/>
        </w:trPr>
        <w:tc>
          <w:tcPr>
            <w:tcW w:w="1553" w:type="dxa"/>
            <w:tcBorders>
              <w:left w:val="single" w:sz="12" w:space="0" w:color="000000"/>
              <w:bottom w:val="single" w:sz="2" w:space="0" w:color="000000"/>
              <w:right w:val="nil"/>
            </w:tcBorders>
            <w:shd w:val="clear" w:color="auto" w:fill="5B9AD4"/>
          </w:tcPr>
          <w:p>
            <w:pPr>
              <w:pStyle w:val="TableParagraph"/>
              <w:spacing w:before="4"/>
              <w:rPr>
                <w:b/>
                <w:sz w:val="19"/>
              </w:rPr>
            </w:pPr>
          </w:p>
          <w:p>
            <w:pPr>
              <w:pStyle w:val="TableParagraph"/>
              <w:ind w:left="169"/>
              <w:rPr>
                <w:b/>
                <w:sz w:val="20"/>
              </w:rPr>
            </w:pPr>
            <w:r>
              <w:rPr>
                <w:b/>
                <w:color w:val="FFFFFF"/>
                <w:sz w:val="20"/>
              </w:rPr>
              <w:t>Service</w:t>
            </w:r>
            <w:r>
              <w:rPr>
                <w:b/>
                <w:color w:val="FFFFFF"/>
                <w:spacing w:val="-10"/>
                <w:sz w:val="20"/>
              </w:rPr>
              <w:t> </w:t>
            </w:r>
            <w:r>
              <w:rPr>
                <w:b/>
                <w:color w:val="FFFFFF"/>
                <w:spacing w:val="-4"/>
                <w:sz w:val="20"/>
              </w:rPr>
              <w:t>Area</w:t>
            </w:r>
          </w:p>
        </w:tc>
        <w:tc>
          <w:tcPr>
            <w:tcW w:w="3540" w:type="dxa"/>
            <w:tcBorders>
              <w:left w:val="nil"/>
              <w:bottom w:val="single" w:sz="2" w:space="0" w:color="000000"/>
              <w:right w:val="nil"/>
            </w:tcBorders>
            <w:shd w:val="clear" w:color="auto" w:fill="5B9AD4"/>
          </w:tcPr>
          <w:p>
            <w:pPr>
              <w:pStyle w:val="TableParagraph"/>
              <w:spacing w:before="9"/>
              <w:rPr>
                <w:b/>
                <w:sz w:val="28"/>
              </w:rPr>
            </w:pPr>
          </w:p>
          <w:p>
            <w:pPr>
              <w:pStyle w:val="TableParagraph"/>
              <w:ind w:left="916"/>
              <w:rPr>
                <w:b/>
                <w:sz w:val="20"/>
              </w:rPr>
            </w:pPr>
            <w:r>
              <w:rPr>
                <w:b/>
                <w:color w:val="FFFFFF"/>
                <w:sz w:val="20"/>
              </w:rPr>
              <w:t>Services</w:t>
            </w:r>
            <w:r>
              <w:rPr>
                <w:b/>
                <w:color w:val="FFFFFF"/>
                <w:spacing w:val="-9"/>
                <w:sz w:val="20"/>
              </w:rPr>
              <w:t> </w:t>
            </w:r>
            <w:r>
              <w:rPr>
                <w:b/>
                <w:color w:val="FFFFFF"/>
                <w:spacing w:val="-2"/>
                <w:sz w:val="20"/>
              </w:rPr>
              <w:t>Provided</w:t>
            </w:r>
          </w:p>
        </w:tc>
        <w:tc>
          <w:tcPr>
            <w:tcW w:w="1537" w:type="dxa"/>
            <w:tcBorders>
              <w:left w:val="nil"/>
              <w:bottom w:val="nil"/>
              <w:right w:val="nil"/>
            </w:tcBorders>
            <w:shd w:val="clear" w:color="auto" w:fill="5B9AD4"/>
          </w:tcPr>
          <w:p>
            <w:pPr>
              <w:pStyle w:val="TableParagraph"/>
              <w:rPr>
                <w:rFonts w:ascii="Times New Roman"/>
                <w:sz w:val="20"/>
              </w:rPr>
            </w:pPr>
          </w:p>
        </w:tc>
        <w:tc>
          <w:tcPr>
            <w:tcW w:w="1348" w:type="dxa"/>
            <w:tcBorders>
              <w:left w:val="nil"/>
              <w:bottom w:val="nil"/>
              <w:right w:val="nil"/>
            </w:tcBorders>
            <w:shd w:val="clear" w:color="auto" w:fill="5B9AD4"/>
          </w:tcPr>
          <w:p>
            <w:pPr>
              <w:pStyle w:val="TableParagraph"/>
              <w:spacing w:before="28"/>
              <w:ind w:left="350" w:right="222"/>
              <w:jc w:val="center"/>
              <w:rPr>
                <w:b/>
                <w:sz w:val="20"/>
              </w:rPr>
            </w:pPr>
            <w:r>
              <w:rPr>
                <w:b/>
                <w:color w:val="FFFFFF"/>
                <w:spacing w:val="-2"/>
                <w:sz w:val="20"/>
              </w:rPr>
              <w:t>2023/24</w:t>
            </w:r>
          </w:p>
          <w:p>
            <w:pPr>
              <w:pStyle w:val="TableParagraph"/>
              <w:spacing w:before="73"/>
              <w:ind w:left="350" w:right="223"/>
              <w:jc w:val="center"/>
              <w:rPr>
                <w:b/>
                <w:sz w:val="20"/>
              </w:rPr>
            </w:pPr>
            <w:r>
              <w:rPr>
                <w:b/>
                <w:color w:val="FFFFFF"/>
                <w:spacing w:val="-2"/>
                <w:sz w:val="20"/>
              </w:rPr>
              <w:t>Actual</w:t>
            </w:r>
          </w:p>
          <w:p>
            <w:pPr>
              <w:pStyle w:val="TableParagraph"/>
              <w:spacing w:before="72"/>
              <w:ind w:left="350" w:right="223"/>
              <w:jc w:val="center"/>
              <w:rPr>
                <w:b/>
                <w:sz w:val="20"/>
              </w:rPr>
            </w:pPr>
            <w:r>
              <w:rPr>
                <w:b/>
                <w:color w:val="FFFFFF"/>
                <w:spacing w:val="-2"/>
                <w:sz w:val="20"/>
              </w:rPr>
              <w:t>$'000</w:t>
            </w:r>
          </w:p>
        </w:tc>
        <w:tc>
          <w:tcPr>
            <w:tcW w:w="1216" w:type="dxa"/>
            <w:tcBorders>
              <w:left w:val="nil"/>
              <w:bottom w:val="nil"/>
              <w:right w:val="nil"/>
            </w:tcBorders>
            <w:shd w:val="clear" w:color="auto" w:fill="5B9AD4"/>
          </w:tcPr>
          <w:p>
            <w:pPr>
              <w:pStyle w:val="TableParagraph"/>
              <w:spacing w:before="28"/>
              <w:ind w:left="80" w:right="113"/>
              <w:jc w:val="center"/>
              <w:rPr>
                <w:b/>
                <w:sz w:val="20"/>
              </w:rPr>
            </w:pPr>
            <w:r>
              <w:rPr>
                <w:b/>
                <w:color w:val="FFFFFF"/>
                <w:spacing w:val="-2"/>
                <w:sz w:val="20"/>
              </w:rPr>
              <w:t>2024/25</w:t>
            </w:r>
          </w:p>
          <w:p>
            <w:pPr>
              <w:pStyle w:val="TableParagraph"/>
              <w:spacing w:before="73"/>
              <w:ind w:left="81" w:right="113"/>
              <w:jc w:val="center"/>
              <w:rPr>
                <w:b/>
                <w:sz w:val="20"/>
              </w:rPr>
            </w:pPr>
            <w:r>
              <w:rPr>
                <w:b/>
                <w:color w:val="FFFFFF"/>
                <w:spacing w:val="-2"/>
                <w:sz w:val="20"/>
              </w:rPr>
              <w:t>Forecast</w:t>
            </w:r>
          </w:p>
          <w:p>
            <w:pPr>
              <w:pStyle w:val="TableParagraph"/>
              <w:spacing w:before="72"/>
              <w:ind w:left="79" w:right="113"/>
              <w:jc w:val="center"/>
              <w:rPr>
                <w:b/>
                <w:sz w:val="20"/>
              </w:rPr>
            </w:pPr>
            <w:r>
              <w:rPr>
                <w:b/>
                <w:color w:val="FFFFFF"/>
                <w:spacing w:val="-2"/>
                <w:sz w:val="20"/>
              </w:rPr>
              <w:t>$'000</w:t>
            </w:r>
          </w:p>
        </w:tc>
        <w:tc>
          <w:tcPr>
            <w:tcW w:w="1234" w:type="dxa"/>
            <w:tcBorders>
              <w:left w:val="nil"/>
              <w:bottom w:val="nil"/>
              <w:right w:val="single" w:sz="12" w:space="0" w:color="000000"/>
            </w:tcBorders>
            <w:shd w:val="clear" w:color="auto" w:fill="5B9AD4"/>
          </w:tcPr>
          <w:p>
            <w:pPr>
              <w:pStyle w:val="TableParagraph"/>
              <w:spacing w:before="28"/>
              <w:ind w:left="240" w:right="221"/>
              <w:jc w:val="center"/>
              <w:rPr>
                <w:b/>
                <w:sz w:val="20"/>
              </w:rPr>
            </w:pPr>
            <w:r>
              <w:rPr>
                <w:b/>
                <w:color w:val="FFFFFF"/>
                <w:spacing w:val="-2"/>
                <w:sz w:val="20"/>
              </w:rPr>
              <w:t>2025/26</w:t>
            </w:r>
          </w:p>
          <w:p>
            <w:pPr>
              <w:pStyle w:val="TableParagraph"/>
              <w:spacing w:before="73"/>
              <w:ind w:left="240" w:right="219"/>
              <w:jc w:val="center"/>
              <w:rPr>
                <w:b/>
                <w:sz w:val="20"/>
              </w:rPr>
            </w:pPr>
            <w:r>
              <w:rPr>
                <w:b/>
                <w:color w:val="FFFFFF"/>
                <w:spacing w:val="-2"/>
                <w:sz w:val="20"/>
              </w:rPr>
              <w:t>Budget</w:t>
            </w:r>
          </w:p>
          <w:p>
            <w:pPr>
              <w:pStyle w:val="TableParagraph"/>
              <w:spacing w:before="72"/>
              <w:ind w:left="240" w:right="221"/>
              <w:jc w:val="center"/>
              <w:rPr>
                <w:b/>
                <w:sz w:val="20"/>
              </w:rPr>
            </w:pPr>
            <w:r>
              <w:rPr>
                <w:b/>
                <w:color w:val="FFFFFF"/>
                <w:spacing w:val="-2"/>
                <w:sz w:val="20"/>
              </w:rPr>
              <w:t>$'000</w:t>
            </w:r>
          </w:p>
        </w:tc>
      </w:tr>
      <w:tr>
        <w:trPr>
          <w:trHeight w:val="609" w:hRule="atLeast"/>
        </w:trPr>
        <w:tc>
          <w:tcPr>
            <w:tcW w:w="1553" w:type="dxa"/>
            <w:vMerge w:val="restart"/>
            <w:tcBorders>
              <w:top w:val="single" w:sz="2" w:space="0" w:color="000000"/>
              <w:left w:val="single" w:sz="12" w:space="0" w:color="000000"/>
              <w:bottom w:val="single" w:sz="2" w:space="0" w:color="000000"/>
              <w:right w:val="single" w:sz="2" w:space="0" w:color="000000"/>
            </w:tcBorders>
          </w:tcPr>
          <w:p>
            <w:pPr>
              <w:pStyle w:val="TableParagraph"/>
              <w:ind w:left="107"/>
              <w:rPr>
                <w:sz w:val="20"/>
              </w:rPr>
            </w:pPr>
            <w:r>
              <w:rPr>
                <w:spacing w:val="-2"/>
                <w:sz w:val="20"/>
              </w:rPr>
              <w:t>Communicatio </w:t>
            </w:r>
            <w:r>
              <w:rPr>
                <w:sz w:val="20"/>
              </w:rPr>
              <w:t>ns and </w:t>
            </w:r>
            <w:r>
              <w:rPr>
                <w:spacing w:val="-2"/>
                <w:sz w:val="20"/>
              </w:rPr>
              <w:t>engagement</w:t>
            </w:r>
          </w:p>
        </w:tc>
        <w:tc>
          <w:tcPr>
            <w:tcW w:w="3540" w:type="dxa"/>
            <w:vMerge w:val="restart"/>
            <w:tcBorders>
              <w:top w:val="single" w:sz="2" w:space="0" w:color="000000"/>
              <w:left w:val="single" w:sz="2" w:space="0" w:color="000000"/>
              <w:bottom w:val="single" w:sz="2" w:space="0" w:color="000000"/>
              <w:right w:val="single" w:sz="2" w:space="0" w:color="000000"/>
            </w:tcBorders>
          </w:tcPr>
          <w:p>
            <w:pPr>
              <w:pStyle w:val="TableParagraph"/>
              <w:numPr>
                <w:ilvl w:val="0"/>
                <w:numId w:val="43"/>
              </w:numPr>
              <w:tabs>
                <w:tab w:pos="431" w:val="left" w:leader="none"/>
                <w:tab w:pos="433" w:val="left" w:leader="none"/>
              </w:tabs>
              <w:spacing w:line="235" w:lineRule="auto" w:before="4" w:after="0"/>
              <w:ind w:left="431" w:right="691" w:hanging="312"/>
              <w:jc w:val="left"/>
              <w:rPr>
                <w:sz w:val="20"/>
              </w:rPr>
            </w:pPr>
            <w:r>
              <w:rPr>
                <w:sz w:val="20"/>
              </w:rPr>
              <w:t>Community</w:t>
            </w:r>
            <w:r>
              <w:rPr>
                <w:spacing w:val="-14"/>
                <w:sz w:val="20"/>
              </w:rPr>
              <w:t> </w:t>
            </w:r>
            <w:r>
              <w:rPr>
                <w:sz w:val="20"/>
              </w:rPr>
              <w:t>communication planning and delivery</w:t>
            </w:r>
          </w:p>
          <w:p>
            <w:pPr>
              <w:pStyle w:val="TableParagraph"/>
              <w:numPr>
                <w:ilvl w:val="0"/>
                <w:numId w:val="43"/>
              </w:numPr>
              <w:tabs>
                <w:tab w:pos="431" w:val="left" w:leader="none"/>
                <w:tab w:pos="433" w:val="left" w:leader="none"/>
              </w:tabs>
              <w:spacing w:line="235" w:lineRule="auto" w:before="7" w:after="0"/>
              <w:ind w:left="431" w:right="113" w:hanging="312"/>
              <w:jc w:val="left"/>
              <w:rPr>
                <w:sz w:val="20"/>
              </w:rPr>
            </w:pPr>
            <w:r>
              <w:rPr>
                <w:sz w:val="20"/>
              </w:rPr>
              <w:t>Community</w:t>
            </w:r>
            <w:r>
              <w:rPr>
                <w:spacing w:val="-14"/>
                <w:sz w:val="20"/>
              </w:rPr>
              <w:t> </w:t>
            </w:r>
            <w:r>
              <w:rPr>
                <w:sz w:val="20"/>
              </w:rPr>
              <w:t>engagement</w:t>
            </w:r>
            <w:r>
              <w:rPr>
                <w:spacing w:val="-14"/>
                <w:sz w:val="20"/>
              </w:rPr>
              <w:t> </w:t>
            </w:r>
            <w:r>
              <w:rPr>
                <w:sz w:val="20"/>
              </w:rPr>
              <w:t>planning and delivery</w:t>
            </w:r>
          </w:p>
          <w:p>
            <w:pPr>
              <w:pStyle w:val="TableParagraph"/>
              <w:numPr>
                <w:ilvl w:val="0"/>
                <w:numId w:val="43"/>
              </w:numPr>
              <w:tabs>
                <w:tab w:pos="431" w:val="left" w:leader="none"/>
                <w:tab w:pos="433" w:val="left" w:leader="none"/>
              </w:tabs>
              <w:spacing w:line="240" w:lineRule="auto" w:before="4" w:after="0"/>
              <w:ind w:left="431" w:right="511" w:hanging="312"/>
              <w:jc w:val="left"/>
              <w:rPr>
                <w:sz w:val="20"/>
              </w:rPr>
            </w:pPr>
            <w:r>
              <w:rPr>
                <w:sz w:val="20"/>
              </w:rPr>
              <w:t>Maroondah</w:t>
            </w:r>
            <w:r>
              <w:rPr>
                <w:spacing w:val="-14"/>
                <w:sz w:val="20"/>
              </w:rPr>
              <w:t> </w:t>
            </w:r>
            <w:r>
              <w:rPr>
                <w:sz w:val="20"/>
              </w:rPr>
              <w:t>News</w:t>
            </w:r>
            <w:r>
              <w:rPr>
                <w:spacing w:val="-14"/>
                <w:sz w:val="20"/>
              </w:rPr>
              <w:t> </w:t>
            </w:r>
            <w:r>
              <w:rPr>
                <w:sz w:val="20"/>
              </w:rPr>
              <w:t>distribution (print and digital)</w:t>
            </w:r>
          </w:p>
          <w:p>
            <w:pPr>
              <w:pStyle w:val="TableParagraph"/>
              <w:numPr>
                <w:ilvl w:val="0"/>
                <w:numId w:val="43"/>
              </w:numPr>
              <w:tabs>
                <w:tab w:pos="431" w:val="left" w:leader="none"/>
                <w:tab w:pos="433" w:val="left" w:leader="none"/>
              </w:tabs>
              <w:spacing w:line="244" w:lineRule="exact" w:before="0" w:after="0"/>
              <w:ind w:left="432" w:right="0" w:hanging="314"/>
              <w:jc w:val="left"/>
              <w:rPr>
                <w:sz w:val="20"/>
              </w:rPr>
            </w:pPr>
            <w:r>
              <w:rPr>
                <w:sz w:val="20"/>
              </w:rPr>
              <w:t>Internal</w:t>
            </w:r>
            <w:r>
              <w:rPr>
                <w:spacing w:val="-11"/>
                <w:sz w:val="20"/>
              </w:rPr>
              <w:t> </w:t>
            </w:r>
            <w:r>
              <w:rPr>
                <w:spacing w:val="-2"/>
                <w:sz w:val="20"/>
              </w:rPr>
              <w:t>communication</w:t>
            </w:r>
          </w:p>
          <w:p>
            <w:pPr>
              <w:pStyle w:val="TableParagraph"/>
              <w:numPr>
                <w:ilvl w:val="0"/>
                <w:numId w:val="43"/>
              </w:numPr>
              <w:tabs>
                <w:tab w:pos="431" w:val="left" w:leader="none"/>
                <w:tab w:pos="433" w:val="left" w:leader="none"/>
              </w:tabs>
              <w:spacing w:line="235" w:lineRule="auto" w:before="3" w:after="0"/>
              <w:ind w:left="431" w:right="857" w:hanging="312"/>
              <w:jc w:val="left"/>
              <w:rPr>
                <w:sz w:val="20"/>
              </w:rPr>
            </w:pPr>
            <w:r>
              <w:rPr>
                <w:sz w:val="20"/>
              </w:rPr>
              <w:t>Promotion,</w:t>
            </w:r>
            <w:r>
              <w:rPr>
                <w:spacing w:val="-14"/>
                <w:sz w:val="20"/>
              </w:rPr>
              <w:t> </w:t>
            </w:r>
            <w:r>
              <w:rPr>
                <w:sz w:val="20"/>
              </w:rPr>
              <w:t>branding,</w:t>
            </w:r>
            <w:r>
              <w:rPr>
                <w:spacing w:val="-14"/>
                <w:sz w:val="20"/>
              </w:rPr>
              <w:t> </w:t>
            </w:r>
            <w:r>
              <w:rPr>
                <w:sz w:val="20"/>
              </w:rPr>
              <w:t>and </w:t>
            </w:r>
            <w:r>
              <w:rPr>
                <w:spacing w:val="-2"/>
                <w:sz w:val="20"/>
              </w:rPr>
              <w:t>marketing</w:t>
            </w:r>
          </w:p>
          <w:p>
            <w:pPr>
              <w:pStyle w:val="TableParagraph"/>
              <w:numPr>
                <w:ilvl w:val="0"/>
                <w:numId w:val="43"/>
              </w:numPr>
              <w:tabs>
                <w:tab w:pos="431" w:val="left" w:leader="none"/>
                <w:tab w:pos="433" w:val="left" w:leader="none"/>
              </w:tabs>
              <w:spacing w:line="240" w:lineRule="auto" w:before="3" w:after="0"/>
              <w:ind w:left="431" w:right="1146" w:hanging="312"/>
              <w:jc w:val="left"/>
              <w:rPr>
                <w:sz w:val="20"/>
              </w:rPr>
            </w:pPr>
            <w:r>
              <w:rPr>
                <w:sz w:val="20"/>
              </w:rPr>
              <w:t>Reputation</w:t>
            </w:r>
            <w:r>
              <w:rPr>
                <w:spacing w:val="-14"/>
                <w:sz w:val="20"/>
              </w:rPr>
              <w:t> </w:t>
            </w:r>
            <w:r>
              <w:rPr>
                <w:sz w:val="20"/>
              </w:rPr>
              <w:t>and</w:t>
            </w:r>
            <w:r>
              <w:rPr>
                <w:spacing w:val="-14"/>
                <w:sz w:val="20"/>
              </w:rPr>
              <w:t> </w:t>
            </w:r>
            <w:r>
              <w:rPr>
                <w:sz w:val="20"/>
              </w:rPr>
              <w:t>media</w:t>
            </w:r>
            <w:r>
              <w:rPr>
                <w:sz w:val="20"/>
              </w:rPr>
              <w:t> </w:t>
            </w:r>
            <w:r>
              <w:rPr>
                <w:spacing w:val="-2"/>
                <w:sz w:val="20"/>
              </w:rPr>
              <w:t>management</w:t>
            </w:r>
          </w:p>
        </w:tc>
        <w:tc>
          <w:tcPr>
            <w:tcW w:w="1537" w:type="dxa"/>
            <w:tcBorders>
              <w:top w:val="nil"/>
              <w:left w:val="single" w:sz="2" w:space="0" w:color="000000"/>
              <w:bottom w:val="single" w:sz="2" w:space="0" w:color="000000"/>
              <w:right w:val="nil"/>
            </w:tcBorders>
          </w:tcPr>
          <w:p>
            <w:pPr>
              <w:pStyle w:val="TableParagraph"/>
              <w:spacing w:line="229" w:lineRule="exact"/>
              <w:ind w:left="117"/>
              <w:rPr>
                <w:sz w:val="20"/>
              </w:rPr>
            </w:pPr>
            <w:r>
              <w:rPr>
                <w:spacing w:val="-2"/>
                <w:sz w:val="20"/>
              </w:rPr>
              <w:t>Income</w:t>
            </w:r>
          </w:p>
          <w:p>
            <w:pPr>
              <w:pStyle w:val="TableParagraph"/>
              <w:spacing w:before="77"/>
              <w:ind w:left="117"/>
              <w:rPr>
                <w:sz w:val="20"/>
              </w:rPr>
            </w:pPr>
            <w:r>
              <w:rPr>
                <w:spacing w:val="-2"/>
                <w:sz w:val="20"/>
              </w:rPr>
              <w:t>Expenditure</w:t>
            </w:r>
          </w:p>
        </w:tc>
        <w:tc>
          <w:tcPr>
            <w:tcW w:w="1348" w:type="dxa"/>
            <w:tcBorders>
              <w:top w:val="nil"/>
              <w:left w:val="nil"/>
              <w:bottom w:val="single" w:sz="2" w:space="0" w:color="000000"/>
              <w:right w:val="nil"/>
            </w:tcBorders>
          </w:tcPr>
          <w:p>
            <w:pPr>
              <w:pStyle w:val="TableParagraph"/>
              <w:spacing w:line="206" w:lineRule="exact"/>
              <w:ind w:right="149"/>
              <w:jc w:val="right"/>
              <w:rPr>
                <w:sz w:val="18"/>
              </w:rPr>
            </w:pPr>
            <w:r>
              <w:rPr>
                <w:sz w:val="18"/>
              </w:rPr>
              <w:t>-</w:t>
            </w:r>
          </w:p>
          <w:p>
            <w:pPr>
              <w:pStyle w:val="TableParagraph"/>
              <w:spacing w:before="100"/>
              <w:ind w:right="147"/>
              <w:jc w:val="right"/>
              <w:rPr>
                <w:sz w:val="18"/>
              </w:rPr>
            </w:pPr>
            <w:r>
              <w:rPr>
                <w:spacing w:val="-2"/>
                <w:sz w:val="18"/>
              </w:rPr>
              <w:t>2,356</w:t>
            </w:r>
          </w:p>
        </w:tc>
        <w:tc>
          <w:tcPr>
            <w:tcW w:w="1216" w:type="dxa"/>
            <w:tcBorders>
              <w:top w:val="nil"/>
              <w:left w:val="nil"/>
              <w:bottom w:val="single" w:sz="2" w:space="0" w:color="000000"/>
              <w:right w:val="nil"/>
            </w:tcBorders>
          </w:tcPr>
          <w:p>
            <w:pPr>
              <w:pStyle w:val="TableParagraph"/>
              <w:spacing w:line="206" w:lineRule="exact"/>
              <w:ind w:right="94"/>
              <w:jc w:val="right"/>
              <w:rPr>
                <w:sz w:val="18"/>
              </w:rPr>
            </w:pPr>
            <w:r>
              <w:rPr>
                <w:sz w:val="18"/>
              </w:rPr>
              <w:t>2</w:t>
            </w:r>
          </w:p>
          <w:p>
            <w:pPr>
              <w:pStyle w:val="TableParagraph"/>
              <w:spacing w:before="100"/>
              <w:ind w:right="91"/>
              <w:jc w:val="right"/>
              <w:rPr>
                <w:sz w:val="18"/>
              </w:rPr>
            </w:pPr>
            <w:r>
              <w:rPr>
                <w:spacing w:val="-2"/>
                <w:sz w:val="18"/>
              </w:rPr>
              <w:t>2,173</w:t>
            </w:r>
          </w:p>
        </w:tc>
        <w:tc>
          <w:tcPr>
            <w:tcW w:w="1234" w:type="dxa"/>
            <w:tcBorders>
              <w:top w:val="nil"/>
              <w:left w:val="nil"/>
              <w:bottom w:val="single" w:sz="2" w:space="0" w:color="000000"/>
              <w:right w:val="single" w:sz="12" w:space="0" w:color="000000"/>
            </w:tcBorders>
            <w:shd w:val="clear" w:color="auto" w:fill="BCD6ED"/>
          </w:tcPr>
          <w:p>
            <w:pPr>
              <w:pStyle w:val="TableParagraph"/>
              <w:spacing w:line="206" w:lineRule="exact"/>
              <w:ind w:right="79"/>
              <w:jc w:val="right"/>
              <w:rPr>
                <w:sz w:val="18"/>
              </w:rPr>
            </w:pPr>
            <w:r>
              <w:rPr>
                <w:sz w:val="18"/>
              </w:rPr>
              <w:t>9</w:t>
            </w:r>
          </w:p>
          <w:p>
            <w:pPr>
              <w:pStyle w:val="TableParagraph"/>
              <w:spacing w:before="100"/>
              <w:ind w:right="77"/>
              <w:jc w:val="right"/>
              <w:rPr>
                <w:sz w:val="18"/>
              </w:rPr>
            </w:pPr>
            <w:r>
              <w:rPr>
                <w:spacing w:val="-2"/>
                <w:sz w:val="18"/>
              </w:rPr>
              <w:t>2,409</w:t>
            </w:r>
          </w:p>
        </w:tc>
      </w:tr>
      <w:tr>
        <w:trPr>
          <w:trHeight w:val="460" w:hRule="atLeast"/>
        </w:trPr>
        <w:tc>
          <w:tcPr>
            <w:tcW w:w="1553" w:type="dxa"/>
            <w:vMerge/>
            <w:tcBorders>
              <w:top w:val="nil"/>
              <w:left w:val="single" w:sz="12" w:space="0" w:color="000000"/>
              <w:bottom w:val="single" w:sz="2" w:space="0" w:color="000000"/>
              <w:right w:val="single" w:sz="2" w:space="0" w:color="000000"/>
            </w:tcBorders>
          </w:tcPr>
          <w:p>
            <w:pPr>
              <w:rPr>
                <w:sz w:val="2"/>
                <w:szCs w:val="2"/>
              </w:rPr>
            </w:pPr>
          </w:p>
        </w:tc>
        <w:tc>
          <w:tcPr>
            <w:tcW w:w="3540" w:type="dxa"/>
            <w:vMerge/>
            <w:tcBorders>
              <w:top w:val="nil"/>
              <w:left w:val="single" w:sz="2" w:space="0" w:color="000000"/>
              <w:bottom w:val="single" w:sz="2" w:space="0" w:color="000000"/>
              <w:right w:val="single" w:sz="2" w:space="0" w:color="000000"/>
            </w:tcBorders>
          </w:tcPr>
          <w:p>
            <w:pPr>
              <w:rPr>
                <w:sz w:val="2"/>
                <w:szCs w:val="2"/>
              </w:rPr>
            </w:pPr>
          </w:p>
        </w:tc>
        <w:tc>
          <w:tcPr>
            <w:tcW w:w="1537" w:type="dxa"/>
            <w:tcBorders>
              <w:top w:val="single" w:sz="2" w:space="0" w:color="000000"/>
              <w:left w:val="single" w:sz="2" w:space="0" w:color="000000"/>
              <w:bottom w:val="single" w:sz="2" w:space="0" w:color="000000"/>
              <w:right w:val="nil"/>
            </w:tcBorders>
          </w:tcPr>
          <w:p>
            <w:pPr>
              <w:pStyle w:val="TableParagraph"/>
              <w:spacing w:line="230" w:lineRule="exact"/>
              <w:ind w:left="117" w:right="555"/>
              <w:rPr>
                <w:b/>
                <w:sz w:val="20"/>
              </w:rPr>
            </w:pPr>
            <w:r>
              <w:rPr>
                <w:b/>
                <w:sz w:val="20"/>
              </w:rPr>
              <w:t>Surplus</w:t>
            </w:r>
            <w:r>
              <w:rPr>
                <w:b/>
                <w:spacing w:val="-14"/>
                <w:sz w:val="20"/>
              </w:rPr>
              <w:t> </w:t>
            </w:r>
            <w:r>
              <w:rPr>
                <w:b/>
                <w:sz w:val="20"/>
              </w:rPr>
              <w:t>/ </w:t>
            </w:r>
            <w:r>
              <w:rPr>
                <w:b/>
                <w:spacing w:val="-2"/>
                <w:sz w:val="20"/>
              </w:rPr>
              <w:t>(deficit)</w:t>
            </w:r>
          </w:p>
        </w:tc>
        <w:tc>
          <w:tcPr>
            <w:tcW w:w="1348" w:type="dxa"/>
            <w:tcBorders>
              <w:top w:val="single" w:sz="2" w:space="0" w:color="000000"/>
              <w:left w:val="nil"/>
              <w:bottom w:val="single" w:sz="2" w:space="0" w:color="000000"/>
              <w:right w:val="nil"/>
            </w:tcBorders>
          </w:tcPr>
          <w:p>
            <w:pPr>
              <w:pStyle w:val="TableParagraph"/>
              <w:spacing w:line="206" w:lineRule="exact"/>
              <w:ind w:right="147"/>
              <w:jc w:val="right"/>
              <w:rPr>
                <w:b/>
                <w:sz w:val="18"/>
              </w:rPr>
            </w:pPr>
            <w:r>
              <w:rPr>
                <w:b/>
                <w:spacing w:val="-2"/>
                <w:sz w:val="18"/>
              </w:rPr>
              <w:t>(2,356)</w:t>
            </w:r>
          </w:p>
        </w:tc>
        <w:tc>
          <w:tcPr>
            <w:tcW w:w="1216" w:type="dxa"/>
            <w:tcBorders>
              <w:top w:val="single" w:sz="2" w:space="0" w:color="000000"/>
              <w:left w:val="nil"/>
              <w:bottom w:val="single" w:sz="2" w:space="0" w:color="000000"/>
              <w:right w:val="nil"/>
            </w:tcBorders>
          </w:tcPr>
          <w:p>
            <w:pPr>
              <w:pStyle w:val="TableParagraph"/>
              <w:spacing w:line="206" w:lineRule="exact"/>
              <w:ind w:right="91"/>
              <w:jc w:val="right"/>
              <w:rPr>
                <w:b/>
                <w:sz w:val="18"/>
              </w:rPr>
            </w:pPr>
            <w:r>
              <w:rPr>
                <w:b/>
                <w:spacing w:val="-2"/>
                <w:sz w:val="18"/>
              </w:rPr>
              <w:t>(2,171)</w:t>
            </w:r>
          </w:p>
        </w:tc>
        <w:tc>
          <w:tcPr>
            <w:tcW w:w="1234" w:type="dxa"/>
            <w:tcBorders>
              <w:top w:val="single" w:sz="2" w:space="0" w:color="000000"/>
              <w:left w:val="nil"/>
              <w:bottom w:val="single" w:sz="2" w:space="0" w:color="000000"/>
              <w:right w:val="single" w:sz="12" w:space="0" w:color="000000"/>
            </w:tcBorders>
            <w:shd w:val="clear" w:color="auto" w:fill="BCD6ED"/>
          </w:tcPr>
          <w:p>
            <w:pPr>
              <w:pStyle w:val="TableParagraph"/>
              <w:spacing w:line="206" w:lineRule="exact"/>
              <w:ind w:right="77"/>
              <w:jc w:val="right"/>
              <w:rPr>
                <w:b/>
                <w:sz w:val="18"/>
              </w:rPr>
            </w:pPr>
            <w:r>
              <w:rPr>
                <w:b/>
                <w:spacing w:val="-2"/>
                <w:sz w:val="18"/>
              </w:rPr>
              <w:t>(2,400)</w:t>
            </w:r>
          </w:p>
        </w:tc>
      </w:tr>
      <w:tr>
        <w:trPr>
          <w:trHeight w:val="1730" w:hRule="atLeast"/>
        </w:trPr>
        <w:tc>
          <w:tcPr>
            <w:tcW w:w="1553" w:type="dxa"/>
            <w:vMerge/>
            <w:tcBorders>
              <w:top w:val="nil"/>
              <w:left w:val="single" w:sz="12" w:space="0" w:color="000000"/>
              <w:bottom w:val="single" w:sz="2" w:space="0" w:color="000000"/>
              <w:right w:val="single" w:sz="2" w:space="0" w:color="000000"/>
            </w:tcBorders>
          </w:tcPr>
          <w:p>
            <w:pPr>
              <w:rPr>
                <w:sz w:val="2"/>
                <w:szCs w:val="2"/>
              </w:rPr>
            </w:pPr>
          </w:p>
        </w:tc>
        <w:tc>
          <w:tcPr>
            <w:tcW w:w="3540" w:type="dxa"/>
            <w:vMerge/>
            <w:tcBorders>
              <w:top w:val="nil"/>
              <w:left w:val="single" w:sz="2" w:space="0" w:color="000000"/>
              <w:bottom w:val="single" w:sz="2" w:space="0" w:color="000000"/>
              <w:right w:val="single" w:sz="2" w:space="0" w:color="000000"/>
            </w:tcBorders>
          </w:tcPr>
          <w:p>
            <w:pPr>
              <w:rPr>
                <w:sz w:val="2"/>
                <w:szCs w:val="2"/>
              </w:rPr>
            </w:pPr>
          </w:p>
        </w:tc>
        <w:tc>
          <w:tcPr>
            <w:tcW w:w="5335" w:type="dxa"/>
            <w:gridSpan w:val="4"/>
            <w:tcBorders>
              <w:top w:val="single" w:sz="2" w:space="0" w:color="000000"/>
              <w:left w:val="single" w:sz="2" w:space="0" w:color="000000"/>
              <w:bottom w:val="single" w:sz="4" w:space="0" w:color="000000"/>
              <w:right w:val="single" w:sz="12" w:space="0" w:color="000000"/>
            </w:tcBorders>
          </w:tcPr>
          <w:p>
            <w:pPr>
              <w:pStyle w:val="TableParagraph"/>
              <w:rPr>
                <w:rFonts w:ascii="Times New Roman"/>
                <w:sz w:val="20"/>
              </w:rPr>
            </w:pPr>
          </w:p>
        </w:tc>
      </w:tr>
      <w:tr>
        <w:trPr>
          <w:trHeight w:val="611" w:hRule="atLeast"/>
        </w:trPr>
        <w:tc>
          <w:tcPr>
            <w:tcW w:w="1553" w:type="dxa"/>
            <w:vMerge w:val="restart"/>
            <w:tcBorders>
              <w:top w:val="single" w:sz="2" w:space="0" w:color="000000"/>
              <w:left w:val="single" w:sz="12" w:space="0" w:color="000000"/>
              <w:bottom w:val="single" w:sz="2" w:space="0" w:color="000000"/>
              <w:right w:val="single" w:sz="2" w:space="0" w:color="000000"/>
            </w:tcBorders>
          </w:tcPr>
          <w:p>
            <w:pPr>
              <w:pStyle w:val="TableParagraph"/>
              <w:ind w:left="107" w:right="201"/>
              <w:rPr>
                <w:sz w:val="20"/>
              </w:rPr>
            </w:pPr>
            <w:r>
              <w:rPr>
                <w:spacing w:val="-2"/>
                <w:sz w:val="20"/>
              </w:rPr>
              <w:t>Corporate planning</w:t>
            </w:r>
          </w:p>
        </w:tc>
        <w:tc>
          <w:tcPr>
            <w:tcW w:w="3540" w:type="dxa"/>
            <w:vMerge w:val="restart"/>
            <w:tcBorders>
              <w:top w:val="single" w:sz="2" w:space="0" w:color="000000"/>
              <w:left w:val="single" w:sz="2" w:space="0" w:color="000000"/>
              <w:bottom w:val="single" w:sz="2" w:space="0" w:color="000000"/>
              <w:right w:val="single" w:sz="2" w:space="0" w:color="000000"/>
            </w:tcBorders>
          </w:tcPr>
          <w:p>
            <w:pPr>
              <w:pStyle w:val="TableParagraph"/>
              <w:numPr>
                <w:ilvl w:val="0"/>
                <w:numId w:val="44"/>
              </w:numPr>
              <w:tabs>
                <w:tab w:pos="431" w:val="left" w:leader="none"/>
                <w:tab w:pos="433" w:val="left" w:leader="none"/>
              </w:tabs>
              <w:spacing w:line="235" w:lineRule="auto" w:before="4" w:after="0"/>
              <w:ind w:left="431" w:right="291" w:hanging="312"/>
              <w:jc w:val="left"/>
              <w:rPr>
                <w:sz w:val="20"/>
              </w:rPr>
            </w:pPr>
            <w:r>
              <w:rPr>
                <w:sz w:val="20"/>
              </w:rPr>
              <w:t>Community</w:t>
            </w:r>
            <w:r>
              <w:rPr>
                <w:spacing w:val="-14"/>
                <w:sz w:val="20"/>
              </w:rPr>
              <w:t> </w:t>
            </w:r>
            <w:r>
              <w:rPr>
                <w:sz w:val="20"/>
              </w:rPr>
              <w:t>Vision</w:t>
            </w:r>
            <w:r>
              <w:rPr>
                <w:spacing w:val="-14"/>
                <w:sz w:val="20"/>
              </w:rPr>
              <w:t> </w:t>
            </w:r>
            <w:r>
              <w:rPr>
                <w:sz w:val="20"/>
              </w:rPr>
              <w:t>development and implementation</w:t>
            </w:r>
          </w:p>
          <w:p>
            <w:pPr>
              <w:pStyle w:val="TableParagraph"/>
              <w:numPr>
                <w:ilvl w:val="0"/>
                <w:numId w:val="44"/>
              </w:numPr>
              <w:tabs>
                <w:tab w:pos="431" w:val="left" w:leader="none"/>
                <w:tab w:pos="433" w:val="left" w:leader="none"/>
              </w:tabs>
              <w:spacing w:line="240" w:lineRule="auto" w:before="3" w:after="0"/>
              <w:ind w:left="431" w:right="391" w:hanging="312"/>
              <w:jc w:val="left"/>
              <w:rPr>
                <w:sz w:val="20"/>
              </w:rPr>
            </w:pPr>
            <w:r>
              <w:rPr>
                <w:sz w:val="20"/>
              </w:rPr>
              <w:t>Council</w:t>
            </w:r>
            <w:r>
              <w:rPr>
                <w:spacing w:val="-14"/>
                <w:sz w:val="20"/>
              </w:rPr>
              <w:t> </w:t>
            </w:r>
            <w:r>
              <w:rPr>
                <w:sz w:val="20"/>
              </w:rPr>
              <w:t>Plan</w:t>
            </w:r>
            <w:r>
              <w:rPr>
                <w:spacing w:val="-14"/>
                <w:sz w:val="20"/>
              </w:rPr>
              <w:t> </w:t>
            </w:r>
            <w:r>
              <w:rPr>
                <w:sz w:val="20"/>
              </w:rPr>
              <w:t>development</w:t>
            </w:r>
            <w:r>
              <w:rPr>
                <w:spacing w:val="-13"/>
                <w:sz w:val="20"/>
              </w:rPr>
              <w:t> </w:t>
            </w:r>
            <w:r>
              <w:rPr>
                <w:sz w:val="20"/>
              </w:rPr>
              <w:t>and </w:t>
            </w:r>
            <w:r>
              <w:rPr>
                <w:spacing w:val="-2"/>
                <w:sz w:val="20"/>
              </w:rPr>
              <w:t>implementation</w:t>
            </w:r>
          </w:p>
          <w:p>
            <w:pPr>
              <w:pStyle w:val="TableParagraph"/>
              <w:numPr>
                <w:ilvl w:val="0"/>
                <w:numId w:val="44"/>
              </w:numPr>
              <w:tabs>
                <w:tab w:pos="431" w:val="left" w:leader="none"/>
                <w:tab w:pos="433" w:val="left" w:leader="none"/>
              </w:tabs>
              <w:spacing w:line="235" w:lineRule="auto" w:before="5" w:after="0"/>
              <w:ind w:left="431" w:right="879" w:hanging="312"/>
              <w:jc w:val="left"/>
              <w:rPr>
                <w:sz w:val="20"/>
              </w:rPr>
            </w:pPr>
            <w:r>
              <w:rPr>
                <w:sz w:val="20"/>
              </w:rPr>
              <w:t>Service</w:t>
            </w:r>
            <w:r>
              <w:rPr>
                <w:spacing w:val="-14"/>
                <w:sz w:val="20"/>
              </w:rPr>
              <w:t> </w:t>
            </w:r>
            <w:r>
              <w:rPr>
                <w:sz w:val="20"/>
              </w:rPr>
              <w:t>delivery</w:t>
            </w:r>
            <w:r>
              <w:rPr>
                <w:spacing w:val="-14"/>
                <w:sz w:val="20"/>
              </w:rPr>
              <w:t> </w:t>
            </w:r>
            <w:r>
              <w:rPr>
                <w:sz w:val="20"/>
              </w:rPr>
              <w:t>planning </w:t>
            </w:r>
            <w:r>
              <w:rPr>
                <w:spacing w:val="-2"/>
                <w:sz w:val="20"/>
              </w:rPr>
              <w:t>facilitation</w:t>
            </w:r>
          </w:p>
          <w:p>
            <w:pPr>
              <w:pStyle w:val="TableParagraph"/>
              <w:numPr>
                <w:ilvl w:val="0"/>
                <w:numId w:val="44"/>
              </w:numPr>
              <w:tabs>
                <w:tab w:pos="431" w:val="left" w:leader="none"/>
                <w:tab w:pos="433" w:val="left" w:leader="none"/>
              </w:tabs>
              <w:spacing w:line="244" w:lineRule="exact" w:before="3" w:after="0"/>
              <w:ind w:left="432" w:right="0" w:hanging="314"/>
              <w:jc w:val="left"/>
              <w:rPr>
                <w:sz w:val="20"/>
              </w:rPr>
            </w:pPr>
            <w:r>
              <w:rPr>
                <w:sz w:val="20"/>
              </w:rPr>
              <w:t>Annual</w:t>
            </w:r>
            <w:r>
              <w:rPr>
                <w:spacing w:val="-9"/>
                <w:sz w:val="20"/>
              </w:rPr>
              <w:t> </w:t>
            </w:r>
            <w:r>
              <w:rPr>
                <w:sz w:val="20"/>
              </w:rPr>
              <w:t>Report</w:t>
            </w:r>
            <w:r>
              <w:rPr>
                <w:spacing w:val="-8"/>
                <w:sz w:val="20"/>
              </w:rPr>
              <w:t> </w:t>
            </w:r>
            <w:r>
              <w:rPr>
                <w:spacing w:val="-2"/>
                <w:sz w:val="20"/>
              </w:rPr>
              <w:t>preparation</w:t>
            </w:r>
          </w:p>
          <w:p>
            <w:pPr>
              <w:pStyle w:val="TableParagraph"/>
              <w:numPr>
                <w:ilvl w:val="0"/>
                <w:numId w:val="44"/>
              </w:numPr>
              <w:tabs>
                <w:tab w:pos="431" w:val="left" w:leader="none"/>
                <w:tab w:pos="433" w:val="left" w:leader="none"/>
              </w:tabs>
              <w:spacing w:line="237" w:lineRule="auto" w:before="1" w:after="0"/>
              <w:ind w:left="431" w:right="368" w:hanging="312"/>
              <w:jc w:val="left"/>
              <w:rPr>
                <w:sz w:val="20"/>
              </w:rPr>
            </w:pPr>
            <w:r>
              <w:rPr>
                <w:sz w:val="20"/>
              </w:rPr>
              <w:t>Performance reporting and monitoring</w:t>
            </w:r>
            <w:r>
              <w:rPr>
                <w:spacing w:val="-14"/>
                <w:sz w:val="20"/>
              </w:rPr>
              <w:t> </w:t>
            </w:r>
            <w:r>
              <w:rPr>
                <w:sz w:val="20"/>
              </w:rPr>
              <w:t>of</w:t>
            </w:r>
            <w:r>
              <w:rPr>
                <w:spacing w:val="-14"/>
                <w:sz w:val="20"/>
              </w:rPr>
              <w:t> </w:t>
            </w:r>
            <w:r>
              <w:rPr>
                <w:sz w:val="20"/>
              </w:rPr>
              <w:t>relevant</w:t>
            </w:r>
            <w:r>
              <w:rPr>
                <w:spacing w:val="-12"/>
                <w:sz w:val="20"/>
              </w:rPr>
              <w:t> </w:t>
            </w:r>
            <w:r>
              <w:rPr>
                <w:sz w:val="20"/>
              </w:rPr>
              <w:t>strategic plans and policies</w:t>
            </w:r>
          </w:p>
          <w:p>
            <w:pPr>
              <w:pStyle w:val="TableParagraph"/>
              <w:numPr>
                <w:ilvl w:val="0"/>
                <w:numId w:val="44"/>
              </w:numPr>
              <w:tabs>
                <w:tab w:pos="431" w:val="left" w:leader="none"/>
                <w:tab w:pos="433" w:val="left" w:leader="none"/>
              </w:tabs>
              <w:spacing w:line="240" w:lineRule="auto" w:before="3" w:after="0"/>
              <w:ind w:left="431" w:right="268" w:hanging="312"/>
              <w:jc w:val="left"/>
              <w:rPr>
                <w:sz w:val="20"/>
              </w:rPr>
            </w:pPr>
            <w:r>
              <w:rPr>
                <w:sz w:val="20"/>
              </w:rPr>
              <w:t>Local</w:t>
            </w:r>
            <w:r>
              <w:rPr>
                <w:spacing w:val="-14"/>
                <w:sz w:val="20"/>
              </w:rPr>
              <w:t> </w:t>
            </w:r>
            <w:r>
              <w:rPr>
                <w:sz w:val="20"/>
              </w:rPr>
              <w:t>Government</w:t>
            </w:r>
            <w:r>
              <w:rPr>
                <w:spacing w:val="-14"/>
                <w:sz w:val="20"/>
              </w:rPr>
              <w:t> </w:t>
            </w:r>
            <w:r>
              <w:rPr>
                <w:sz w:val="20"/>
              </w:rPr>
              <w:t>Performance Reporting Framework </w:t>
            </w:r>
            <w:r>
              <w:rPr>
                <w:spacing w:val="-2"/>
                <w:sz w:val="20"/>
              </w:rPr>
              <w:t>coordination</w:t>
            </w:r>
          </w:p>
          <w:p>
            <w:pPr>
              <w:pStyle w:val="TableParagraph"/>
              <w:numPr>
                <w:ilvl w:val="0"/>
                <w:numId w:val="44"/>
              </w:numPr>
              <w:tabs>
                <w:tab w:pos="431" w:val="left" w:leader="none"/>
                <w:tab w:pos="433" w:val="left" w:leader="none"/>
              </w:tabs>
              <w:spacing w:line="240" w:lineRule="auto" w:before="0" w:after="0"/>
              <w:ind w:left="431" w:right="158" w:hanging="312"/>
              <w:jc w:val="left"/>
              <w:rPr>
                <w:sz w:val="20"/>
              </w:rPr>
            </w:pPr>
            <w:r>
              <w:rPr>
                <w:sz w:val="20"/>
              </w:rPr>
              <w:t>Integrated</w:t>
            </w:r>
            <w:r>
              <w:rPr>
                <w:spacing w:val="-14"/>
                <w:sz w:val="20"/>
              </w:rPr>
              <w:t> </w:t>
            </w:r>
            <w:r>
              <w:rPr>
                <w:sz w:val="20"/>
              </w:rPr>
              <w:t>planning</w:t>
            </w:r>
            <w:r>
              <w:rPr>
                <w:spacing w:val="-13"/>
                <w:sz w:val="20"/>
              </w:rPr>
              <w:t> </w:t>
            </w:r>
            <w:r>
              <w:rPr>
                <w:sz w:val="20"/>
              </w:rPr>
              <w:t>and</w:t>
            </w:r>
            <w:r>
              <w:rPr>
                <w:spacing w:val="-14"/>
                <w:sz w:val="20"/>
              </w:rPr>
              <w:t> </w:t>
            </w:r>
            <w:r>
              <w:rPr>
                <w:sz w:val="20"/>
              </w:rPr>
              <w:t>reporting framework implementation</w:t>
            </w:r>
          </w:p>
          <w:p>
            <w:pPr>
              <w:pStyle w:val="TableParagraph"/>
              <w:numPr>
                <w:ilvl w:val="0"/>
                <w:numId w:val="44"/>
              </w:numPr>
              <w:tabs>
                <w:tab w:pos="431" w:val="left" w:leader="none"/>
                <w:tab w:pos="433" w:val="left" w:leader="none"/>
              </w:tabs>
              <w:spacing w:line="235" w:lineRule="auto" w:before="2" w:after="0"/>
              <w:ind w:left="431" w:right="199" w:hanging="312"/>
              <w:jc w:val="left"/>
              <w:rPr>
                <w:sz w:val="20"/>
              </w:rPr>
            </w:pPr>
            <w:r>
              <w:rPr>
                <w:sz w:val="20"/>
              </w:rPr>
              <w:t>Strategy</w:t>
            </w:r>
            <w:r>
              <w:rPr>
                <w:spacing w:val="-13"/>
                <w:sz w:val="20"/>
              </w:rPr>
              <w:t> </w:t>
            </w:r>
            <w:r>
              <w:rPr>
                <w:sz w:val="20"/>
              </w:rPr>
              <w:t>and</w:t>
            </w:r>
            <w:r>
              <w:rPr>
                <w:spacing w:val="-14"/>
                <w:sz w:val="20"/>
              </w:rPr>
              <w:t> </w:t>
            </w:r>
            <w:r>
              <w:rPr>
                <w:sz w:val="20"/>
              </w:rPr>
              <w:t>policy</w:t>
            </w:r>
            <w:r>
              <w:rPr>
                <w:spacing w:val="-12"/>
                <w:sz w:val="20"/>
              </w:rPr>
              <w:t> </w:t>
            </w:r>
            <w:r>
              <w:rPr>
                <w:sz w:val="20"/>
              </w:rPr>
              <w:t>development and facilitation</w:t>
            </w:r>
          </w:p>
        </w:tc>
        <w:tc>
          <w:tcPr>
            <w:tcW w:w="1537" w:type="dxa"/>
            <w:tcBorders>
              <w:top w:val="single" w:sz="4" w:space="0" w:color="000000"/>
              <w:left w:val="single" w:sz="2" w:space="0" w:color="000000"/>
              <w:bottom w:val="single" w:sz="2" w:space="0" w:color="000000"/>
              <w:right w:val="nil"/>
            </w:tcBorders>
          </w:tcPr>
          <w:p>
            <w:pPr>
              <w:pStyle w:val="TableParagraph"/>
              <w:spacing w:line="229" w:lineRule="exact"/>
              <w:ind w:left="117"/>
              <w:rPr>
                <w:sz w:val="20"/>
              </w:rPr>
            </w:pPr>
            <w:r>
              <w:rPr>
                <w:spacing w:val="-2"/>
                <w:sz w:val="20"/>
              </w:rPr>
              <w:t>Income</w:t>
            </w:r>
          </w:p>
          <w:p>
            <w:pPr>
              <w:pStyle w:val="TableParagraph"/>
              <w:spacing w:before="77"/>
              <w:ind w:left="117"/>
              <w:rPr>
                <w:sz w:val="20"/>
              </w:rPr>
            </w:pPr>
            <w:r>
              <w:rPr>
                <w:spacing w:val="-2"/>
                <w:sz w:val="20"/>
              </w:rPr>
              <w:t>Expenditure</w:t>
            </w:r>
          </w:p>
        </w:tc>
        <w:tc>
          <w:tcPr>
            <w:tcW w:w="1348" w:type="dxa"/>
            <w:tcBorders>
              <w:top w:val="single" w:sz="4" w:space="0" w:color="000000"/>
              <w:left w:val="nil"/>
              <w:bottom w:val="single" w:sz="2" w:space="0" w:color="000000"/>
              <w:right w:val="nil"/>
            </w:tcBorders>
          </w:tcPr>
          <w:p>
            <w:pPr>
              <w:pStyle w:val="TableParagraph"/>
              <w:spacing w:line="206" w:lineRule="exact"/>
              <w:ind w:right="150"/>
              <w:jc w:val="right"/>
              <w:rPr>
                <w:sz w:val="18"/>
              </w:rPr>
            </w:pPr>
            <w:r>
              <w:rPr>
                <w:sz w:val="18"/>
              </w:rPr>
              <w:t>1</w:t>
            </w:r>
          </w:p>
          <w:p>
            <w:pPr>
              <w:pStyle w:val="TableParagraph"/>
              <w:spacing w:before="100"/>
              <w:ind w:right="149"/>
              <w:jc w:val="right"/>
              <w:rPr>
                <w:sz w:val="18"/>
              </w:rPr>
            </w:pPr>
            <w:r>
              <w:rPr>
                <w:spacing w:val="-5"/>
                <w:sz w:val="18"/>
              </w:rPr>
              <w:t>654</w:t>
            </w:r>
          </w:p>
        </w:tc>
        <w:tc>
          <w:tcPr>
            <w:tcW w:w="1216" w:type="dxa"/>
            <w:tcBorders>
              <w:top w:val="single" w:sz="4" w:space="0" w:color="000000"/>
              <w:left w:val="nil"/>
              <w:bottom w:val="single" w:sz="2" w:space="0" w:color="000000"/>
              <w:right w:val="nil"/>
            </w:tcBorders>
          </w:tcPr>
          <w:p>
            <w:pPr>
              <w:pStyle w:val="TableParagraph"/>
              <w:spacing w:line="206" w:lineRule="exact"/>
              <w:ind w:right="94"/>
              <w:jc w:val="right"/>
              <w:rPr>
                <w:sz w:val="18"/>
              </w:rPr>
            </w:pPr>
            <w:r>
              <w:rPr>
                <w:sz w:val="18"/>
              </w:rPr>
              <w:t>1</w:t>
            </w:r>
          </w:p>
          <w:p>
            <w:pPr>
              <w:pStyle w:val="TableParagraph"/>
              <w:spacing w:before="100"/>
              <w:ind w:right="93"/>
              <w:jc w:val="right"/>
              <w:rPr>
                <w:sz w:val="18"/>
              </w:rPr>
            </w:pPr>
            <w:r>
              <w:rPr>
                <w:spacing w:val="-5"/>
                <w:sz w:val="18"/>
              </w:rPr>
              <w:t>575</w:t>
            </w:r>
          </w:p>
        </w:tc>
        <w:tc>
          <w:tcPr>
            <w:tcW w:w="1234" w:type="dxa"/>
            <w:tcBorders>
              <w:top w:val="single" w:sz="4" w:space="0" w:color="000000"/>
              <w:left w:val="nil"/>
              <w:bottom w:val="single" w:sz="2" w:space="0" w:color="000000"/>
              <w:right w:val="single" w:sz="12" w:space="0" w:color="000000"/>
            </w:tcBorders>
            <w:shd w:val="clear" w:color="auto" w:fill="BCD6ED"/>
          </w:tcPr>
          <w:p>
            <w:pPr>
              <w:pStyle w:val="TableParagraph"/>
              <w:spacing w:line="206" w:lineRule="exact"/>
              <w:ind w:right="79"/>
              <w:jc w:val="right"/>
              <w:rPr>
                <w:sz w:val="18"/>
              </w:rPr>
            </w:pPr>
            <w:r>
              <w:rPr>
                <w:sz w:val="18"/>
              </w:rPr>
              <w:t>1</w:t>
            </w:r>
          </w:p>
          <w:p>
            <w:pPr>
              <w:pStyle w:val="TableParagraph"/>
              <w:spacing w:before="100"/>
              <w:ind w:right="78"/>
              <w:jc w:val="right"/>
              <w:rPr>
                <w:sz w:val="18"/>
              </w:rPr>
            </w:pPr>
            <w:r>
              <w:rPr>
                <w:spacing w:val="-5"/>
                <w:sz w:val="18"/>
              </w:rPr>
              <w:t>692</w:t>
            </w:r>
          </w:p>
        </w:tc>
      </w:tr>
      <w:tr>
        <w:trPr>
          <w:trHeight w:val="458" w:hRule="atLeast"/>
        </w:trPr>
        <w:tc>
          <w:tcPr>
            <w:tcW w:w="1553" w:type="dxa"/>
            <w:vMerge/>
            <w:tcBorders>
              <w:top w:val="nil"/>
              <w:left w:val="single" w:sz="12" w:space="0" w:color="000000"/>
              <w:bottom w:val="single" w:sz="2" w:space="0" w:color="000000"/>
              <w:right w:val="single" w:sz="2" w:space="0" w:color="000000"/>
            </w:tcBorders>
          </w:tcPr>
          <w:p>
            <w:pPr>
              <w:rPr>
                <w:sz w:val="2"/>
                <w:szCs w:val="2"/>
              </w:rPr>
            </w:pPr>
          </w:p>
        </w:tc>
        <w:tc>
          <w:tcPr>
            <w:tcW w:w="3540" w:type="dxa"/>
            <w:vMerge/>
            <w:tcBorders>
              <w:top w:val="nil"/>
              <w:left w:val="single" w:sz="2" w:space="0" w:color="000000"/>
              <w:bottom w:val="single" w:sz="2" w:space="0" w:color="000000"/>
              <w:right w:val="single" w:sz="2" w:space="0" w:color="000000"/>
            </w:tcBorders>
          </w:tcPr>
          <w:p>
            <w:pPr>
              <w:rPr>
                <w:sz w:val="2"/>
                <w:szCs w:val="2"/>
              </w:rPr>
            </w:pPr>
          </w:p>
        </w:tc>
        <w:tc>
          <w:tcPr>
            <w:tcW w:w="1537" w:type="dxa"/>
            <w:tcBorders>
              <w:top w:val="single" w:sz="2" w:space="0" w:color="000000"/>
              <w:left w:val="single" w:sz="2" w:space="0" w:color="000000"/>
              <w:bottom w:val="single" w:sz="2" w:space="0" w:color="000000"/>
              <w:right w:val="nil"/>
            </w:tcBorders>
          </w:tcPr>
          <w:p>
            <w:pPr>
              <w:pStyle w:val="TableParagraph"/>
              <w:spacing w:line="230" w:lineRule="exact"/>
              <w:ind w:left="117" w:right="555"/>
              <w:rPr>
                <w:b/>
                <w:sz w:val="20"/>
              </w:rPr>
            </w:pPr>
            <w:r>
              <w:rPr>
                <w:b/>
                <w:sz w:val="20"/>
              </w:rPr>
              <w:t>Surplus</w:t>
            </w:r>
            <w:r>
              <w:rPr>
                <w:b/>
                <w:spacing w:val="-14"/>
                <w:sz w:val="20"/>
              </w:rPr>
              <w:t> </w:t>
            </w:r>
            <w:r>
              <w:rPr>
                <w:b/>
                <w:sz w:val="20"/>
              </w:rPr>
              <w:t>/ </w:t>
            </w:r>
            <w:r>
              <w:rPr>
                <w:b/>
                <w:spacing w:val="-2"/>
                <w:sz w:val="20"/>
              </w:rPr>
              <w:t>(deficit)</w:t>
            </w:r>
          </w:p>
        </w:tc>
        <w:tc>
          <w:tcPr>
            <w:tcW w:w="1348" w:type="dxa"/>
            <w:tcBorders>
              <w:top w:val="single" w:sz="2" w:space="0" w:color="000000"/>
              <w:left w:val="nil"/>
              <w:bottom w:val="single" w:sz="2" w:space="0" w:color="000000"/>
              <w:right w:val="nil"/>
            </w:tcBorders>
          </w:tcPr>
          <w:p>
            <w:pPr>
              <w:pStyle w:val="TableParagraph"/>
              <w:spacing w:line="206" w:lineRule="exact"/>
              <w:ind w:right="146"/>
              <w:jc w:val="right"/>
              <w:rPr>
                <w:b/>
                <w:sz w:val="18"/>
              </w:rPr>
            </w:pPr>
            <w:r>
              <w:rPr>
                <w:b/>
                <w:spacing w:val="-2"/>
                <w:sz w:val="18"/>
              </w:rPr>
              <w:t>(653)</w:t>
            </w:r>
          </w:p>
        </w:tc>
        <w:tc>
          <w:tcPr>
            <w:tcW w:w="1216" w:type="dxa"/>
            <w:tcBorders>
              <w:top w:val="single" w:sz="2" w:space="0" w:color="000000"/>
              <w:left w:val="nil"/>
              <w:bottom w:val="single" w:sz="2" w:space="0" w:color="000000"/>
              <w:right w:val="nil"/>
            </w:tcBorders>
          </w:tcPr>
          <w:p>
            <w:pPr>
              <w:pStyle w:val="TableParagraph"/>
              <w:spacing w:line="206" w:lineRule="exact"/>
              <w:ind w:right="90"/>
              <w:jc w:val="right"/>
              <w:rPr>
                <w:b/>
                <w:sz w:val="18"/>
              </w:rPr>
            </w:pPr>
            <w:r>
              <w:rPr>
                <w:b/>
                <w:spacing w:val="-2"/>
                <w:sz w:val="18"/>
              </w:rPr>
              <w:t>(574)</w:t>
            </w:r>
          </w:p>
        </w:tc>
        <w:tc>
          <w:tcPr>
            <w:tcW w:w="1234" w:type="dxa"/>
            <w:tcBorders>
              <w:top w:val="single" w:sz="2" w:space="0" w:color="000000"/>
              <w:left w:val="nil"/>
              <w:bottom w:val="single" w:sz="2" w:space="0" w:color="000000"/>
              <w:right w:val="single" w:sz="12" w:space="0" w:color="000000"/>
            </w:tcBorders>
            <w:shd w:val="clear" w:color="auto" w:fill="BCD6ED"/>
          </w:tcPr>
          <w:p>
            <w:pPr>
              <w:pStyle w:val="TableParagraph"/>
              <w:spacing w:line="206" w:lineRule="exact"/>
              <w:ind w:right="76"/>
              <w:jc w:val="right"/>
              <w:rPr>
                <w:b/>
                <w:sz w:val="18"/>
              </w:rPr>
            </w:pPr>
            <w:r>
              <w:rPr>
                <w:b/>
                <w:spacing w:val="-2"/>
                <w:sz w:val="18"/>
              </w:rPr>
              <w:t>(691)</w:t>
            </w:r>
          </w:p>
        </w:tc>
      </w:tr>
      <w:tr>
        <w:trPr>
          <w:trHeight w:val="3134" w:hRule="atLeast"/>
        </w:trPr>
        <w:tc>
          <w:tcPr>
            <w:tcW w:w="1553" w:type="dxa"/>
            <w:vMerge/>
            <w:tcBorders>
              <w:top w:val="nil"/>
              <w:left w:val="single" w:sz="12" w:space="0" w:color="000000"/>
              <w:bottom w:val="single" w:sz="2" w:space="0" w:color="000000"/>
              <w:right w:val="single" w:sz="2" w:space="0" w:color="000000"/>
            </w:tcBorders>
          </w:tcPr>
          <w:p>
            <w:pPr>
              <w:rPr>
                <w:sz w:val="2"/>
                <w:szCs w:val="2"/>
              </w:rPr>
            </w:pPr>
          </w:p>
        </w:tc>
        <w:tc>
          <w:tcPr>
            <w:tcW w:w="3540" w:type="dxa"/>
            <w:vMerge/>
            <w:tcBorders>
              <w:top w:val="nil"/>
              <w:left w:val="single" w:sz="2" w:space="0" w:color="000000"/>
              <w:bottom w:val="single" w:sz="2" w:space="0" w:color="000000"/>
              <w:right w:val="single" w:sz="2" w:space="0" w:color="000000"/>
            </w:tcBorders>
          </w:tcPr>
          <w:p>
            <w:pPr>
              <w:rPr>
                <w:sz w:val="2"/>
                <w:szCs w:val="2"/>
              </w:rPr>
            </w:pPr>
          </w:p>
        </w:tc>
        <w:tc>
          <w:tcPr>
            <w:tcW w:w="5335" w:type="dxa"/>
            <w:gridSpan w:val="4"/>
            <w:tcBorders>
              <w:top w:val="single" w:sz="2" w:space="0" w:color="000000"/>
              <w:left w:val="single" w:sz="2" w:space="0" w:color="000000"/>
              <w:bottom w:val="single" w:sz="4" w:space="0" w:color="000000"/>
              <w:right w:val="single" w:sz="12" w:space="0" w:color="000000"/>
            </w:tcBorders>
          </w:tcPr>
          <w:p>
            <w:pPr>
              <w:pStyle w:val="TableParagraph"/>
              <w:rPr>
                <w:rFonts w:ascii="Times New Roman"/>
                <w:sz w:val="20"/>
              </w:rPr>
            </w:pPr>
          </w:p>
        </w:tc>
      </w:tr>
      <w:tr>
        <w:trPr>
          <w:trHeight w:val="599" w:hRule="atLeast"/>
        </w:trPr>
        <w:tc>
          <w:tcPr>
            <w:tcW w:w="1553" w:type="dxa"/>
            <w:vMerge w:val="restart"/>
            <w:tcBorders>
              <w:top w:val="single" w:sz="2" w:space="0" w:color="000000"/>
              <w:left w:val="single" w:sz="12" w:space="0" w:color="000000"/>
              <w:bottom w:val="single" w:sz="12" w:space="0" w:color="000000"/>
              <w:right w:val="single" w:sz="2" w:space="0" w:color="000000"/>
            </w:tcBorders>
          </w:tcPr>
          <w:p>
            <w:pPr>
              <w:pStyle w:val="TableParagraph"/>
              <w:ind w:left="107" w:right="201"/>
              <w:rPr>
                <w:sz w:val="20"/>
              </w:rPr>
            </w:pPr>
            <w:r>
              <w:rPr>
                <w:spacing w:val="-2"/>
                <w:sz w:val="20"/>
              </w:rPr>
              <w:t>Customer service</w:t>
            </w:r>
          </w:p>
        </w:tc>
        <w:tc>
          <w:tcPr>
            <w:tcW w:w="3540" w:type="dxa"/>
            <w:vMerge w:val="restart"/>
            <w:tcBorders>
              <w:top w:val="single" w:sz="2" w:space="0" w:color="000000"/>
              <w:left w:val="single" w:sz="2" w:space="0" w:color="000000"/>
              <w:bottom w:val="single" w:sz="12" w:space="0" w:color="000000"/>
              <w:right w:val="single" w:sz="2" w:space="0" w:color="000000"/>
            </w:tcBorders>
          </w:tcPr>
          <w:p>
            <w:pPr>
              <w:pStyle w:val="TableParagraph"/>
              <w:numPr>
                <w:ilvl w:val="0"/>
                <w:numId w:val="45"/>
              </w:numPr>
              <w:tabs>
                <w:tab w:pos="431" w:val="left" w:leader="none"/>
                <w:tab w:pos="433" w:val="left" w:leader="none"/>
              </w:tabs>
              <w:spacing w:line="240" w:lineRule="auto" w:before="0" w:after="0"/>
              <w:ind w:left="431" w:right="303" w:hanging="312"/>
              <w:jc w:val="left"/>
              <w:rPr>
                <w:sz w:val="20"/>
              </w:rPr>
            </w:pPr>
            <w:r>
              <w:rPr>
                <w:sz w:val="20"/>
              </w:rPr>
              <w:t>In-person</w:t>
            </w:r>
            <w:r>
              <w:rPr>
                <w:spacing w:val="-14"/>
                <w:sz w:val="20"/>
              </w:rPr>
              <w:t> </w:t>
            </w:r>
            <w:r>
              <w:rPr>
                <w:sz w:val="20"/>
              </w:rPr>
              <w:t>customer</w:t>
            </w:r>
            <w:r>
              <w:rPr>
                <w:spacing w:val="-13"/>
                <w:sz w:val="20"/>
              </w:rPr>
              <w:t> </w:t>
            </w:r>
            <w:r>
              <w:rPr>
                <w:sz w:val="20"/>
              </w:rPr>
              <w:t>service</w:t>
            </w:r>
            <w:r>
              <w:rPr>
                <w:spacing w:val="-14"/>
                <w:sz w:val="20"/>
              </w:rPr>
              <w:t> </w:t>
            </w:r>
            <w:r>
              <w:rPr>
                <w:sz w:val="20"/>
              </w:rPr>
              <w:t>and cashiering at Council’s service centres (Realm and Croydon </w:t>
            </w:r>
            <w:r>
              <w:rPr>
                <w:spacing w:val="-2"/>
                <w:sz w:val="20"/>
              </w:rPr>
              <w:t>Library)</w:t>
            </w:r>
          </w:p>
          <w:p>
            <w:pPr>
              <w:pStyle w:val="TableParagraph"/>
              <w:numPr>
                <w:ilvl w:val="0"/>
                <w:numId w:val="45"/>
              </w:numPr>
              <w:tabs>
                <w:tab w:pos="433" w:val="left" w:leader="none"/>
              </w:tabs>
              <w:spacing w:line="240" w:lineRule="auto" w:before="0" w:after="0"/>
              <w:ind w:left="431" w:right="523" w:hanging="312"/>
              <w:jc w:val="both"/>
              <w:rPr>
                <w:sz w:val="20"/>
              </w:rPr>
            </w:pPr>
            <w:r>
              <w:rPr>
                <w:sz w:val="20"/>
              </w:rPr>
              <w:t>Telephone</w:t>
            </w:r>
            <w:r>
              <w:rPr>
                <w:spacing w:val="-14"/>
                <w:sz w:val="20"/>
              </w:rPr>
              <w:t> </w:t>
            </w:r>
            <w:r>
              <w:rPr>
                <w:sz w:val="20"/>
              </w:rPr>
              <w:t>and</w:t>
            </w:r>
            <w:r>
              <w:rPr>
                <w:spacing w:val="-12"/>
                <w:sz w:val="20"/>
              </w:rPr>
              <w:t> </w:t>
            </w:r>
            <w:r>
              <w:rPr>
                <w:sz w:val="20"/>
              </w:rPr>
              <w:t>online</w:t>
            </w:r>
            <w:r>
              <w:rPr>
                <w:spacing w:val="-14"/>
                <w:sz w:val="20"/>
              </w:rPr>
              <w:t> </w:t>
            </w:r>
            <w:r>
              <w:rPr>
                <w:sz w:val="20"/>
              </w:rPr>
              <w:t>(email, SMS,</w:t>
            </w:r>
            <w:r>
              <w:rPr>
                <w:spacing w:val="-8"/>
                <w:sz w:val="20"/>
              </w:rPr>
              <w:t> </w:t>
            </w:r>
            <w:r>
              <w:rPr>
                <w:sz w:val="20"/>
              </w:rPr>
              <w:t>live</w:t>
            </w:r>
            <w:r>
              <w:rPr>
                <w:spacing w:val="-7"/>
                <w:sz w:val="20"/>
              </w:rPr>
              <w:t> </w:t>
            </w:r>
            <w:r>
              <w:rPr>
                <w:sz w:val="20"/>
              </w:rPr>
              <w:t>chat,</w:t>
            </w:r>
            <w:r>
              <w:rPr>
                <w:spacing w:val="-8"/>
                <w:sz w:val="20"/>
              </w:rPr>
              <w:t> </w:t>
            </w:r>
            <w:r>
              <w:rPr>
                <w:sz w:val="20"/>
              </w:rPr>
              <w:t>social</w:t>
            </w:r>
            <w:r>
              <w:rPr>
                <w:spacing w:val="-5"/>
                <w:sz w:val="20"/>
              </w:rPr>
              <w:t> </w:t>
            </w:r>
            <w:r>
              <w:rPr>
                <w:sz w:val="20"/>
              </w:rPr>
              <w:t>media) customer service</w:t>
            </w:r>
          </w:p>
          <w:p>
            <w:pPr>
              <w:pStyle w:val="TableParagraph"/>
              <w:numPr>
                <w:ilvl w:val="0"/>
                <w:numId w:val="45"/>
              </w:numPr>
              <w:tabs>
                <w:tab w:pos="433" w:val="left" w:leader="none"/>
              </w:tabs>
              <w:spacing w:line="243" w:lineRule="exact" w:before="0" w:after="0"/>
              <w:ind w:left="432" w:right="0" w:hanging="314"/>
              <w:jc w:val="both"/>
              <w:rPr>
                <w:sz w:val="20"/>
              </w:rPr>
            </w:pPr>
            <w:r>
              <w:rPr>
                <w:sz w:val="20"/>
              </w:rPr>
              <w:t>Complaints</w:t>
            </w:r>
            <w:r>
              <w:rPr>
                <w:spacing w:val="-15"/>
                <w:sz w:val="20"/>
              </w:rPr>
              <w:t> </w:t>
            </w:r>
            <w:r>
              <w:rPr>
                <w:spacing w:val="-2"/>
                <w:sz w:val="20"/>
              </w:rPr>
              <w:t>handling</w:t>
            </w:r>
          </w:p>
        </w:tc>
        <w:tc>
          <w:tcPr>
            <w:tcW w:w="4101" w:type="dxa"/>
            <w:gridSpan w:val="3"/>
            <w:tcBorders>
              <w:top w:val="single" w:sz="4" w:space="0" w:color="000000"/>
              <w:left w:val="single" w:sz="2" w:space="0" w:color="000000"/>
              <w:bottom w:val="single" w:sz="2" w:space="0" w:color="000000"/>
              <w:right w:val="nil"/>
            </w:tcBorders>
          </w:tcPr>
          <w:p>
            <w:pPr>
              <w:pStyle w:val="TableParagraph"/>
              <w:tabs>
                <w:tab w:pos="2670" w:val="left" w:leader="none"/>
                <w:tab w:pos="3942" w:val="left" w:leader="none"/>
              </w:tabs>
              <w:spacing w:line="229" w:lineRule="exact"/>
              <w:ind w:left="117"/>
              <w:rPr>
                <w:sz w:val="18"/>
              </w:rPr>
            </w:pPr>
            <w:r>
              <w:rPr>
                <w:spacing w:val="-2"/>
                <w:sz w:val="20"/>
              </w:rPr>
              <w:t>Income</w:t>
            </w:r>
            <w:r>
              <w:rPr>
                <w:sz w:val="20"/>
              </w:rPr>
              <w:tab/>
            </w:r>
            <w:r>
              <w:rPr>
                <w:spacing w:val="-10"/>
                <w:position w:val="2"/>
                <w:sz w:val="18"/>
              </w:rPr>
              <w:t>-</w:t>
            </w:r>
            <w:r>
              <w:rPr>
                <w:position w:val="2"/>
                <w:sz w:val="18"/>
              </w:rPr>
              <w:tab/>
            </w:r>
            <w:r>
              <w:rPr>
                <w:spacing w:val="-10"/>
                <w:position w:val="2"/>
                <w:sz w:val="18"/>
              </w:rPr>
              <w:t>-</w:t>
            </w:r>
          </w:p>
          <w:p>
            <w:pPr>
              <w:pStyle w:val="TableParagraph"/>
              <w:tabs>
                <w:tab w:pos="2279" w:val="left" w:leader="none"/>
                <w:tab w:pos="3551" w:val="left" w:leader="none"/>
              </w:tabs>
              <w:spacing w:before="78"/>
              <w:ind w:left="117"/>
              <w:rPr>
                <w:sz w:val="18"/>
              </w:rPr>
            </w:pPr>
            <w:r>
              <w:rPr>
                <w:spacing w:val="-2"/>
                <w:sz w:val="20"/>
              </w:rPr>
              <w:t>Expenditure</w:t>
            </w:r>
            <w:r>
              <w:rPr>
                <w:sz w:val="20"/>
              </w:rPr>
              <w:tab/>
            </w:r>
            <w:r>
              <w:rPr>
                <w:spacing w:val="-2"/>
                <w:position w:val="2"/>
                <w:sz w:val="18"/>
              </w:rPr>
              <w:t>1,809</w:t>
            </w:r>
            <w:r>
              <w:rPr>
                <w:position w:val="2"/>
                <w:sz w:val="18"/>
              </w:rPr>
              <w:tab/>
            </w:r>
            <w:r>
              <w:rPr>
                <w:spacing w:val="-4"/>
                <w:position w:val="2"/>
                <w:sz w:val="18"/>
              </w:rPr>
              <w:t>1,714</w:t>
            </w:r>
          </w:p>
        </w:tc>
        <w:tc>
          <w:tcPr>
            <w:tcW w:w="1234" w:type="dxa"/>
            <w:tcBorders>
              <w:top w:val="single" w:sz="4" w:space="0" w:color="000000"/>
              <w:left w:val="nil"/>
              <w:bottom w:val="single" w:sz="2" w:space="0" w:color="000000"/>
              <w:right w:val="single" w:sz="12" w:space="0" w:color="000000"/>
            </w:tcBorders>
            <w:shd w:val="clear" w:color="auto" w:fill="BCD6ED"/>
          </w:tcPr>
          <w:p>
            <w:pPr>
              <w:pStyle w:val="TableParagraph"/>
              <w:spacing w:line="206" w:lineRule="exact"/>
              <w:ind w:right="79"/>
              <w:jc w:val="right"/>
              <w:rPr>
                <w:sz w:val="18"/>
              </w:rPr>
            </w:pPr>
            <w:r>
              <w:rPr>
                <w:sz w:val="18"/>
              </w:rPr>
              <w:t>-</w:t>
            </w:r>
          </w:p>
          <w:p>
            <w:pPr>
              <w:pStyle w:val="TableParagraph"/>
              <w:spacing w:before="102"/>
              <w:ind w:right="77"/>
              <w:jc w:val="right"/>
              <w:rPr>
                <w:sz w:val="18"/>
              </w:rPr>
            </w:pPr>
            <w:r>
              <w:rPr>
                <w:spacing w:val="-2"/>
                <w:sz w:val="18"/>
              </w:rPr>
              <w:t>1,707</w:t>
            </w:r>
          </w:p>
        </w:tc>
      </w:tr>
      <w:tr>
        <w:trPr>
          <w:trHeight w:val="435" w:hRule="atLeast"/>
        </w:trPr>
        <w:tc>
          <w:tcPr>
            <w:tcW w:w="1553" w:type="dxa"/>
            <w:vMerge/>
            <w:tcBorders>
              <w:top w:val="nil"/>
              <w:left w:val="single" w:sz="12" w:space="0" w:color="000000"/>
              <w:bottom w:val="single" w:sz="12" w:space="0" w:color="000000"/>
              <w:right w:val="single" w:sz="2" w:space="0" w:color="000000"/>
            </w:tcBorders>
          </w:tcPr>
          <w:p>
            <w:pPr>
              <w:rPr>
                <w:sz w:val="2"/>
                <w:szCs w:val="2"/>
              </w:rPr>
            </w:pPr>
          </w:p>
        </w:tc>
        <w:tc>
          <w:tcPr>
            <w:tcW w:w="3540" w:type="dxa"/>
            <w:vMerge/>
            <w:tcBorders>
              <w:top w:val="nil"/>
              <w:left w:val="single" w:sz="2" w:space="0" w:color="000000"/>
              <w:bottom w:val="single" w:sz="12" w:space="0" w:color="000000"/>
              <w:right w:val="single" w:sz="2" w:space="0" w:color="000000"/>
            </w:tcBorders>
          </w:tcPr>
          <w:p>
            <w:pPr>
              <w:rPr>
                <w:sz w:val="2"/>
                <w:szCs w:val="2"/>
              </w:rPr>
            </w:pPr>
          </w:p>
        </w:tc>
        <w:tc>
          <w:tcPr>
            <w:tcW w:w="1537" w:type="dxa"/>
            <w:tcBorders>
              <w:top w:val="single" w:sz="2" w:space="0" w:color="000000"/>
              <w:left w:val="single" w:sz="2" w:space="0" w:color="000000"/>
              <w:bottom w:val="single" w:sz="2" w:space="0" w:color="000000"/>
              <w:right w:val="nil"/>
            </w:tcBorders>
          </w:tcPr>
          <w:p>
            <w:pPr>
              <w:pStyle w:val="TableParagraph"/>
              <w:spacing w:line="217" w:lineRule="exact"/>
              <w:ind w:left="117"/>
              <w:rPr>
                <w:b/>
                <w:sz w:val="20"/>
              </w:rPr>
            </w:pPr>
            <w:r>
              <w:rPr>
                <w:b/>
                <w:sz w:val="20"/>
              </w:rPr>
              <w:t>Surplus</w:t>
            </w:r>
            <w:r>
              <w:rPr>
                <w:b/>
                <w:spacing w:val="-11"/>
                <w:sz w:val="20"/>
              </w:rPr>
              <w:t> </w:t>
            </w:r>
            <w:r>
              <w:rPr>
                <w:b/>
                <w:spacing w:val="-10"/>
                <w:sz w:val="20"/>
              </w:rPr>
              <w:t>/</w:t>
            </w:r>
          </w:p>
          <w:p>
            <w:pPr>
              <w:pStyle w:val="TableParagraph"/>
              <w:spacing w:line="198" w:lineRule="exact"/>
              <w:ind w:left="117"/>
              <w:rPr>
                <w:b/>
                <w:sz w:val="20"/>
              </w:rPr>
            </w:pPr>
            <w:r>
              <w:rPr>
                <w:b/>
                <w:spacing w:val="-2"/>
                <w:sz w:val="20"/>
              </w:rPr>
              <w:t>(deficit)</w:t>
            </w:r>
          </w:p>
        </w:tc>
        <w:tc>
          <w:tcPr>
            <w:tcW w:w="1348" w:type="dxa"/>
            <w:tcBorders>
              <w:top w:val="single" w:sz="2" w:space="0" w:color="000000"/>
              <w:left w:val="nil"/>
              <w:bottom w:val="single" w:sz="2" w:space="0" w:color="000000"/>
              <w:right w:val="nil"/>
            </w:tcBorders>
          </w:tcPr>
          <w:p>
            <w:pPr>
              <w:pStyle w:val="TableParagraph"/>
              <w:spacing w:line="194" w:lineRule="exact"/>
              <w:ind w:right="147"/>
              <w:jc w:val="right"/>
              <w:rPr>
                <w:b/>
                <w:sz w:val="18"/>
              </w:rPr>
            </w:pPr>
            <w:r>
              <w:rPr>
                <w:b/>
                <w:spacing w:val="-2"/>
                <w:sz w:val="18"/>
              </w:rPr>
              <w:t>(1,809)</w:t>
            </w:r>
          </w:p>
        </w:tc>
        <w:tc>
          <w:tcPr>
            <w:tcW w:w="1216" w:type="dxa"/>
            <w:tcBorders>
              <w:top w:val="single" w:sz="2" w:space="0" w:color="000000"/>
              <w:left w:val="nil"/>
              <w:bottom w:val="single" w:sz="2" w:space="0" w:color="000000"/>
              <w:right w:val="nil"/>
            </w:tcBorders>
          </w:tcPr>
          <w:p>
            <w:pPr>
              <w:pStyle w:val="TableParagraph"/>
              <w:spacing w:line="194" w:lineRule="exact"/>
              <w:ind w:right="91"/>
              <w:jc w:val="right"/>
              <w:rPr>
                <w:b/>
                <w:sz w:val="18"/>
              </w:rPr>
            </w:pPr>
            <w:r>
              <w:rPr>
                <w:b/>
                <w:spacing w:val="-2"/>
                <w:sz w:val="18"/>
              </w:rPr>
              <w:t>(1,714)</w:t>
            </w:r>
          </w:p>
        </w:tc>
        <w:tc>
          <w:tcPr>
            <w:tcW w:w="1234" w:type="dxa"/>
            <w:tcBorders>
              <w:top w:val="single" w:sz="2" w:space="0" w:color="000000"/>
              <w:left w:val="nil"/>
              <w:bottom w:val="single" w:sz="2" w:space="0" w:color="000000"/>
              <w:right w:val="single" w:sz="12" w:space="0" w:color="000000"/>
            </w:tcBorders>
            <w:shd w:val="clear" w:color="auto" w:fill="BCD6ED"/>
          </w:tcPr>
          <w:p>
            <w:pPr>
              <w:pStyle w:val="TableParagraph"/>
              <w:spacing w:line="194" w:lineRule="exact"/>
              <w:ind w:right="77"/>
              <w:jc w:val="right"/>
              <w:rPr>
                <w:b/>
                <w:sz w:val="18"/>
              </w:rPr>
            </w:pPr>
            <w:r>
              <w:rPr>
                <w:b/>
                <w:spacing w:val="-2"/>
                <w:sz w:val="18"/>
              </w:rPr>
              <w:t>(1,707)</w:t>
            </w:r>
          </w:p>
        </w:tc>
      </w:tr>
      <w:tr>
        <w:trPr>
          <w:trHeight w:val="987" w:hRule="atLeast"/>
        </w:trPr>
        <w:tc>
          <w:tcPr>
            <w:tcW w:w="1553" w:type="dxa"/>
            <w:vMerge/>
            <w:tcBorders>
              <w:top w:val="nil"/>
              <w:left w:val="single" w:sz="12" w:space="0" w:color="000000"/>
              <w:bottom w:val="single" w:sz="12" w:space="0" w:color="000000"/>
              <w:right w:val="single" w:sz="2" w:space="0" w:color="000000"/>
            </w:tcBorders>
          </w:tcPr>
          <w:p>
            <w:pPr>
              <w:rPr>
                <w:sz w:val="2"/>
                <w:szCs w:val="2"/>
              </w:rPr>
            </w:pPr>
          </w:p>
        </w:tc>
        <w:tc>
          <w:tcPr>
            <w:tcW w:w="3540" w:type="dxa"/>
            <w:vMerge/>
            <w:tcBorders>
              <w:top w:val="nil"/>
              <w:left w:val="single" w:sz="2" w:space="0" w:color="000000"/>
              <w:bottom w:val="single" w:sz="12" w:space="0" w:color="000000"/>
              <w:right w:val="single" w:sz="2" w:space="0" w:color="000000"/>
            </w:tcBorders>
          </w:tcPr>
          <w:p>
            <w:pPr>
              <w:rPr>
                <w:sz w:val="2"/>
                <w:szCs w:val="2"/>
              </w:rPr>
            </w:pPr>
          </w:p>
        </w:tc>
        <w:tc>
          <w:tcPr>
            <w:tcW w:w="5335" w:type="dxa"/>
            <w:gridSpan w:val="4"/>
            <w:tcBorders>
              <w:top w:val="single" w:sz="2" w:space="0" w:color="000000"/>
              <w:left w:val="single" w:sz="2" w:space="0" w:color="000000"/>
              <w:bottom w:val="single" w:sz="12" w:space="0" w:color="000000"/>
              <w:right w:val="single" w:sz="12" w:space="0" w:color="000000"/>
            </w:tcBorders>
          </w:tcPr>
          <w:p>
            <w:pPr>
              <w:pStyle w:val="TableParagraph"/>
              <w:rPr>
                <w:rFonts w:ascii="Times New Roman"/>
                <w:sz w:val="20"/>
              </w:rPr>
            </w:pPr>
          </w:p>
        </w:tc>
      </w:tr>
    </w:tbl>
    <w:p>
      <w:pPr>
        <w:spacing w:after="0"/>
        <w:rPr>
          <w:rFonts w:ascii="Times New Roman"/>
          <w:sz w:val="20"/>
        </w:rPr>
        <w:sectPr>
          <w:pgSz w:w="11910" w:h="16840"/>
          <w:pgMar w:header="0" w:footer="375" w:top="480" w:bottom="560" w:left="460" w:right="160"/>
        </w:sectPr>
      </w:pPr>
    </w:p>
    <w:tbl>
      <w:tblPr>
        <w:tblW w:w="0" w:type="auto"/>
        <w:jc w:val="left"/>
        <w:tblInd w:w="4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553"/>
        <w:gridCol w:w="3540"/>
        <w:gridCol w:w="1537"/>
        <w:gridCol w:w="1348"/>
        <w:gridCol w:w="1216"/>
        <w:gridCol w:w="1234"/>
      </w:tblGrid>
      <w:tr>
        <w:trPr>
          <w:trHeight w:val="900" w:hRule="atLeast"/>
        </w:trPr>
        <w:tc>
          <w:tcPr>
            <w:tcW w:w="1553" w:type="dxa"/>
            <w:tcBorders>
              <w:left w:val="single" w:sz="12" w:space="0" w:color="000000"/>
              <w:bottom w:val="single" w:sz="2" w:space="0" w:color="000000"/>
              <w:right w:val="nil"/>
            </w:tcBorders>
            <w:shd w:val="clear" w:color="auto" w:fill="5B9AD4"/>
          </w:tcPr>
          <w:p>
            <w:pPr>
              <w:pStyle w:val="TableParagraph"/>
              <w:spacing w:before="2"/>
              <w:rPr>
                <w:b/>
                <w:sz w:val="19"/>
              </w:rPr>
            </w:pPr>
          </w:p>
          <w:p>
            <w:pPr>
              <w:pStyle w:val="TableParagraph"/>
              <w:ind w:left="169"/>
              <w:rPr>
                <w:b/>
                <w:sz w:val="20"/>
              </w:rPr>
            </w:pPr>
            <w:r>
              <w:rPr>
                <w:b/>
                <w:color w:val="FFFFFF"/>
                <w:sz w:val="20"/>
              </w:rPr>
              <w:t>Service</w:t>
            </w:r>
            <w:r>
              <w:rPr>
                <w:b/>
                <w:color w:val="FFFFFF"/>
                <w:spacing w:val="-10"/>
                <w:sz w:val="20"/>
              </w:rPr>
              <w:t> </w:t>
            </w:r>
            <w:r>
              <w:rPr>
                <w:b/>
                <w:color w:val="FFFFFF"/>
                <w:spacing w:val="-4"/>
                <w:sz w:val="20"/>
              </w:rPr>
              <w:t>Area</w:t>
            </w:r>
          </w:p>
        </w:tc>
        <w:tc>
          <w:tcPr>
            <w:tcW w:w="3540" w:type="dxa"/>
            <w:tcBorders>
              <w:left w:val="nil"/>
              <w:bottom w:val="single" w:sz="2" w:space="0" w:color="000000"/>
              <w:right w:val="nil"/>
            </w:tcBorders>
            <w:shd w:val="clear" w:color="auto" w:fill="5B9AD4"/>
          </w:tcPr>
          <w:p>
            <w:pPr>
              <w:pStyle w:val="TableParagraph"/>
              <w:spacing w:before="6"/>
              <w:rPr>
                <w:b/>
                <w:sz w:val="28"/>
              </w:rPr>
            </w:pPr>
          </w:p>
          <w:p>
            <w:pPr>
              <w:pStyle w:val="TableParagraph"/>
              <w:ind w:left="916"/>
              <w:rPr>
                <w:b/>
                <w:sz w:val="20"/>
              </w:rPr>
            </w:pPr>
            <w:r>
              <w:rPr>
                <w:b/>
                <w:color w:val="FFFFFF"/>
                <w:sz w:val="20"/>
              </w:rPr>
              <w:t>Services</w:t>
            </w:r>
            <w:r>
              <w:rPr>
                <w:b/>
                <w:color w:val="FFFFFF"/>
                <w:spacing w:val="-9"/>
                <w:sz w:val="20"/>
              </w:rPr>
              <w:t> </w:t>
            </w:r>
            <w:r>
              <w:rPr>
                <w:b/>
                <w:color w:val="FFFFFF"/>
                <w:spacing w:val="-2"/>
                <w:sz w:val="20"/>
              </w:rPr>
              <w:t>Provided</w:t>
            </w:r>
          </w:p>
        </w:tc>
        <w:tc>
          <w:tcPr>
            <w:tcW w:w="1537" w:type="dxa"/>
            <w:tcBorders>
              <w:left w:val="nil"/>
              <w:bottom w:val="nil"/>
              <w:right w:val="nil"/>
            </w:tcBorders>
            <w:shd w:val="clear" w:color="auto" w:fill="5B9AD4"/>
          </w:tcPr>
          <w:p>
            <w:pPr>
              <w:pStyle w:val="TableParagraph"/>
              <w:rPr>
                <w:rFonts w:ascii="Times New Roman"/>
                <w:sz w:val="18"/>
              </w:rPr>
            </w:pPr>
          </w:p>
        </w:tc>
        <w:tc>
          <w:tcPr>
            <w:tcW w:w="1348" w:type="dxa"/>
            <w:tcBorders>
              <w:left w:val="nil"/>
              <w:bottom w:val="nil"/>
              <w:right w:val="nil"/>
            </w:tcBorders>
            <w:shd w:val="clear" w:color="auto" w:fill="5B9AD4"/>
          </w:tcPr>
          <w:p>
            <w:pPr>
              <w:pStyle w:val="TableParagraph"/>
              <w:spacing w:before="26"/>
              <w:ind w:left="350" w:right="222"/>
              <w:jc w:val="center"/>
              <w:rPr>
                <w:b/>
                <w:sz w:val="20"/>
              </w:rPr>
            </w:pPr>
            <w:r>
              <w:rPr>
                <w:b/>
                <w:color w:val="FFFFFF"/>
                <w:spacing w:val="-2"/>
                <w:sz w:val="20"/>
              </w:rPr>
              <w:t>2023/24</w:t>
            </w:r>
          </w:p>
          <w:p>
            <w:pPr>
              <w:pStyle w:val="TableParagraph"/>
              <w:spacing w:before="72"/>
              <w:ind w:left="350" w:right="223"/>
              <w:jc w:val="center"/>
              <w:rPr>
                <w:b/>
                <w:sz w:val="20"/>
              </w:rPr>
            </w:pPr>
            <w:r>
              <w:rPr>
                <w:b/>
                <w:color w:val="FFFFFF"/>
                <w:spacing w:val="-2"/>
                <w:sz w:val="20"/>
              </w:rPr>
              <w:t>Actual</w:t>
            </w:r>
          </w:p>
          <w:p>
            <w:pPr>
              <w:pStyle w:val="TableParagraph"/>
              <w:spacing w:before="75"/>
              <w:ind w:left="350" w:right="223"/>
              <w:jc w:val="center"/>
              <w:rPr>
                <w:b/>
                <w:sz w:val="20"/>
              </w:rPr>
            </w:pPr>
            <w:r>
              <w:rPr>
                <w:b/>
                <w:color w:val="FFFFFF"/>
                <w:spacing w:val="-2"/>
                <w:sz w:val="20"/>
              </w:rPr>
              <w:t>$'000</w:t>
            </w:r>
          </w:p>
        </w:tc>
        <w:tc>
          <w:tcPr>
            <w:tcW w:w="1216" w:type="dxa"/>
            <w:tcBorders>
              <w:left w:val="nil"/>
              <w:bottom w:val="nil"/>
              <w:right w:val="nil"/>
            </w:tcBorders>
            <w:shd w:val="clear" w:color="auto" w:fill="5B9AD4"/>
          </w:tcPr>
          <w:p>
            <w:pPr>
              <w:pStyle w:val="TableParagraph"/>
              <w:spacing w:before="26"/>
              <w:ind w:left="80" w:right="113"/>
              <w:jc w:val="center"/>
              <w:rPr>
                <w:b/>
                <w:sz w:val="20"/>
              </w:rPr>
            </w:pPr>
            <w:r>
              <w:rPr>
                <w:b/>
                <w:color w:val="FFFFFF"/>
                <w:spacing w:val="-2"/>
                <w:sz w:val="20"/>
              </w:rPr>
              <w:t>2024/25</w:t>
            </w:r>
          </w:p>
          <w:p>
            <w:pPr>
              <w:pStyle w:val="TableParagraph"/>
              <w:spacing w:before="72"/>
              <w:ind w:left="81" w:right="113"/>
              <w:jc w:val="center"/>
              <w:rPr>
                <w:b/>
                <w:sz w:val="20"/>
              </w:rPr>
            </w:pPr>
            <w:r>
              <w:rPr>
                <w:b/>
                <w:color w:val="FFFFFF"/>
                <w:spacing w:val="-2"/>
                <w:sz w:val="20"/>
              </w:rPr>
              <w:t>Forecast</w:t>
            </w:r>
          </w:p>
          <w:p>
            <w:pPr>
              <w:pStyle w:val="TableParagraph"/>
              <w:spacing w:before="75"/>
              <w:ind w:left="79" w:right="113"/>
              <w:jc w:val="center"/>
              <w:rPr>
                <w:b/>
                <w:sz w:val="20"/>
              </w:rPr>
            </w:pPr>
            <w:r>
              <w:rPr>
                <w:b/>
                <w:color w:val="FFFFFF"/>
                <w:spacing w:val="-2"/>
                <w:sz w:val="20"/>
              </w:rPr>
              <w:t>$'000</w:t>
            </w:r>
          </w:p>
        </w:tc>
        <w:tc>
          <w:tcPr>
            <w:tcW w:w="1234" w:type="dxa"/>
            <w:tcBorders>
              <w:left w:val="nil"/>
              <w:bottom w:val="nil"/>
              <w:right w:val="single" w:sz="12" w:space="0" w:color="000000"/>
            </w:tcBorders>
            <w:shd w:val="clear" w:color="auto" w:fill="5B9AD4"/>
          </w:tcPr>
          <w:p>
            <w:pPr>
              <w:pStyle w:val="TableParagraph"/>
              <w:spacing w:before="26"/>
              <w:ind w:left="240" w:right="221"/>
              <w:jc w:val="center"/>
              <w:rPr>
                <w:b/>
                <w:sz w:val="20"/>
              </w:rPr>
            </w:pPr>
            <w:r>
              <w:rPr>
                <w:b/>
                <w:color w:val="FFFFFF"/>
                <w:spacing w:val="-2"/>
                <w:sz w:val="20"/>
              </w:rPr>
              <w:t>2025/26</w:t>
            </w:r>
          </w:p>
          <w:p>
            <w:pPr>
              <w:pStyle w:val="TableParagraph"/>
              <w:spacing w:before="72"/>
              <w:ind w:left="240" w:right="219"/>
              <w:jc w:val="center"/>
              <w:rPr>
                <w:b/>
                <w:sz w:val="20"/>
              </w:rPr>
            </w:pPr>
            <w:r>
              <w:rPr>
                <w:b/>
                <w:color w:val="FFFFFF"/>
                <w:spacing w:val="-2"/>
                <w:sz w:val="20"/>
              </w:rPr>
              <w:t>Budget</w:t>
            </w:r>
          </w:p>
          <w:p>
            <w:pPr>
              <w:pStyle w:val="TableParagraph"/>
              <w:spacing w:before="75"/>
              <w:ind w:left="240" w:right="221"/>
              <w:jc w:val="center"/>
              <w:rPr>
                <w:b/>
                <w:sz w:val="20"/>
              </w:rPr>
            </w:pPr>
            <w:r>
              <w:rPr>
                <w:b/>
                <w:color w:val="FFFFFF"/>
                <w:spacing w:val="-2"/>
                <w:sz w:val="20"/>
              </w:rPr>
              <w:t>$'000</w:t>
            </w:r>
          </w:p>
        </w:tc>
      </w:tr>
      <w:tr>
        <w:trPr>
          <w:trHeight w:val="611" w:hRule="atLeast"/>
        </w:trPr>
        <w:tc>
          <w:tcPr>
            <w:tcW w:w="1553" w:type="dxa"/>
            <w:vMerge w:val="restart"/>
            <w:tcBorders>
              <w:top w:val="single" w:sz="2" w:space="0" w:color="000000"/>
              <w:left w:val="single" w:sz="12" w:space="0" w:color="000000"/>
              <w:bottom w:val="single" w:sz="2" w:space="0" w:color="000000"/>
              <w:right w:val="single" w:sz="2" w:space="0" w:color="000000"/>
            </w:tcBorders>
          </w:tcPr>
          <w:p>
            <w:pPr>
              <w:pStyle w:val="TableParagraph"/>
              <w:ind w:left="107" w:right="201"/>
              <w:rPr>
                <w:sz w:val="20"/>
              </w:rPr>
            </w:pPr>
            <w:r>
              <w:rPr>
                <w:sz w:val="20"/>
              </w:rPr>
              <w:t>Cyber and </w:t>
            </w:r>
            <w:r>
              <w:rPr>
                <w:spacing w:val="-2"/>
                <w:sz w:val="20"/>
              </w:rPr>
              <w:t>technology</w:t>
            </w:r>
          </w:p>
        </w:tc>
        <w:tc>
          <w:tcPr>
            <w:tcW w:w="3540" w:type="dxa"/>
            <w:vMerge w:val="restart"/>
            <w:tcBorders>
              <w:top w:val="single" w:sz="2" w:space="0" w:color="000000"/>
              <w:left w:val="single" w:sz="2" w:space="0" w:color="000000"/>
              <w:bottom w:val="single" w:sz="2" w:space="0" w:color="000000"/>
              <w:right w:val="single" w:sz="2" w:space="0" w:color="000000"/>
            </w:tcBorders>
          </w:tcPr>
          <w:p>
            <w:pPr>
              <w:pStyle w:val="TableParagraph"/>
              <w:numPr>
                <w:ilvl w:val="0"/>
                <w:numId w:val="46"/>
              </w:numPr>
              <w:tabs>
                <w:tab w:pos="431" w:val="left" w:leader="none"/>
                <w:tab w:pos="433" w:val="left" w:leader="none"/>
              </w:tabs>
              <w:spacing w:line="235" w:lineRule="auto" w:before="4" w:after="0"/>
              <w:ind w:left="431" w:right="313" w:hanging="312"/>
              <w:jc w:val="left"/>
              <w:rPr>
                <w:sz w:val="20"/>
              </w:rPr>
            </w:pPr>
            <w:r>
              <w:rPr>
                <w:sz w:val="20"/>
              </w:rPr>
              <w:t>Information</w:t>
            </w:r>
            <w:r>
              <w:rPr>
                <w:spacing w:val="-14"/>
                <w:sz w:val="20"/>
              </w:rPr>
              <w:t> </w:t>
            </w:r>
            <w:r>
              <w:rPr>
                <w:sz w:val="20"/>
              </w:rPr>
              <w:t>and</w:t>
            </w:r>
            <w:r>
              <w:rPr>
                <w:spacing w:val="-14"/>
                <w:sz w:val="20"/>
              </w:rPr>
              <w:t> </w:t>
            </w:r>
            <w:r>
              <w:rPr>
                <w:sz w:val="20"/>
              </w:rPr>
              <w:t>communication technology (ICT) infrastructure</w:t>
            </w:r>
          </w:p>
          <w:p>
            <w:pPr>
              <w:pStyle w:val="TableParagraph"/>
              <w:numPr>
                <w:ilvl w:val="0"/>
                <w:numId w:val="46"/>
              </w:numPr>
              <w:tabs>
                <w:tab w:pos="431" w:val="left" w:leader="none"/>
                <w:tab w:pos="433" w:val="left" w:leader="none"/>
              </w:tabs>
              <w:spacing w:line="245" w:lineRule="exact" w:before="3" w:after="0"/>
              <w:ind w:left="432" w:right="0" w:hanging="314"/>
              <w:jc w:val="left"/>
              <w:rPr>
                <w:sz w:val="20"/>
              </w:rPr>
            </w:pPr>
            <w:r>
              <w:rPr>
                <w:sz w:val="20"/>
              </w:rPr>
              <w:t>ICT</w:t>
            </w:r>
            <w:r>
              <w:rPr>
                <w:spacing w:val="-5"/>
                <w:sz w:val="20"/>
              </w:rPr>
              <w:t> </w:t>
            </w:r>
            <w:r>
              <w:rPr>
                <w:sz w:val="20"/>
              </w:rPr>
              <w:t>service</w:t>
            </w:r>
            <w:r>
              <w:rPr>
                <w:spacing w:val="-6"/>
                <w:sz w:val="20"/>
              </w:rPr>
              <w:t> </w:t>
            </w:r>
            <w:r>
              <w:rPr>
                <w:sz w:val="20"/>
              </w:rPr>
              <w:t>desk</w:t>
            </w:r>
            <w:r>
              <w:rPr>
                <w:spacing w:val="-4"/>
                <w:sz w:val="20"/>
              </w:rPr>
              <w:t> </w:t>
            </w:r>
            <w:r>
              <w:rPr>
                <w:spacing w:val="-2"/>
                <w:sz w:val="20"/>
              </w:rPr>
              <w:t>support</w:t>
            </w:r>
          </w:p>
          <w:p>
            <w:pPr>
              <w:pStyle w:val="TableParagraph"/>
              <w:numPr>
                <w:ilvl w:val="0"/>
                <w:numId w:val="46"/>
              </w:numPr>
              <w:tabs>
                <w:tab w:pos="431" w:val="left" w:leader="none"/>
                <w:tab w:pos="433" w:val="left" w:leader="none"/>
              </w:tabs>
              <w:spacing w:line="244" w:lineRule="exact" w:before="0" w:after="0"/>
              <w:ind w:left="432" w:right="0" w:hanging="314"/>
              <w:jc w:val="left"/>
              <w:rPr>
                <w:sz w:val="20"/>
              </w:rPr>
            </w:pPr>
            <w:r>
              <w:rPr>
                <w:sz w:val="20"/>
              </w:rPr>
              <w:t>ICT</w:t>
            </w:r>
            <w:r>
              <w:rPr>
                <w:spacing w:val="-6"/>
                <w:sz w:val="20"/>
              </w:rPr>
              <w:t> </w:t>
            </w:r>
            <w:r>
              <w:rPr>
                <w:sz w:val="20"/>
              </w:rPr>
              <w:t>project</w:t>
            </w:r>
            <w:r>
              <w:rPr>
                <w:spacing w:val="-6"/>
                <w:sz w:val="20"/>
              </w:rPr>
              <w:t> </w:t>
            </w:r>
            <w:r>
              <w:rPr>
                <w:spacing w:val="-2"/>
                <w:sz w:val="20"/>
              </w:rPr>
              <w:t>management</w:t>
            </w:r>
          </w:p>
          <w:p>
            <w:pPr>
              <w:pStyle w:val="TableParagraph"/>
              <w:numPr>
                <w:ilvl w:val="0"/>
                <w:numId w:val="46"/>
              </w:numPr>
              <w:tabs>
                <w:tab w:pos="431" w:val="left" w:leader="none"/>
                <w:tab w:pos="433" w:val="left" w:leader="none"/>
              </w:tabs>
              <w:spacing w:line="235" w:lineRule="auto" w:before="3" w:after="0"/>
              <w:ind w:left="431" w:right="578" w:hanging="312"/>
              <w:jc w:val="left"/>
              <w:rPr>
                <w:sz w:val="20"/>
              </w:rPr>
            </w:pPr>
            <w:r>
              <w:rPr>
                <w:sz w:val="20"/>
              </w:rPr>
              <w:t>ICT</w:t>
            </w:r>
            <w:r>
              <w:rPr>
                <w:spacing w:val="-14"/>
                <w:sz w:val="20"/>
              </w:rPr>
              <w:t> </w:t>
            </w:r>
            <w:r>
              <w:rPr>
                <w:sz w:val="20"/>
              </w:rPr>
              <w:t>consultation</w:t>
            </w:r>
            <w:r>
              <w:rPr>
                <w:spacing w:val="-13"/>
                <w:sz w:val="20"/>
              </w:rPr>
              <w:t> </w:t>
            </w:r>
            <w:r>
              <w:rPr>
                <w:sz w:val="20"/>
              </w:rPr>
              <w:t>and</w:t>
            </w:r>
            <w:r>
              <w:rPr>
                <w:spacing w:val="-13"/>
                <w:sz w:val="20"/>
              </w:rPr>
              <w:t> </w:t>
            </w:r>
            <w:r>
              <w:rPr>
                <w:sz w:val="20"/>
              </w:rPr>
              <w:t>service</w:t>
            </w:r>
            <w:r>
              <w:rPr>
                <w:sz w:val="20"/>
              </w:rPr>
              <w:t> </w:t>
            </w:r>
            <w:r>
              <w:rPr>
                <w:spacing w:val="-2"/>
                <w:sz w:val="20"/>
              </w:rPr>
              <w:t>review</w:t>
            </w:r>
          </w:p>
          <w:p>
            <w:pPr>
              <w:pStyle w:val="TableParagraph"/>
              <w:numPr>
                <w:ilvl w:val="0"/>
                <w:numId w:val="46"/>
              </w:numPr>
              <w:tabs>
                <w:tab w:pos="431" w:val="left" w:leader="none"/>
                <w:tab w:pos="433" w:val="left" w:leader="none"/>
              </w:tabs>
              <w:spacing w:line="245" w:lineRule="exact" w:before="3" w:after="0"/>
              <w:ind w:left="432" w:right="0" w:hanging="314"/>
              <w:jc w:val="left"/>
              <w:rPr>
                <w:sz w:val="20"/>
              </w:rPr>
            </w:pPr>
            <w:r>
              <w:rPr>
                <w:spacing w:val="-2"/>
                <w:sz w:val="20"/>
              </w:rPr>
              <w:t>Cybersecurity</w:t>
            </w:r>
          </w:p>
          <w:p>
            <w:pPr>
              <w:pStyle w:val="TableParagraph"/>
              <w:numPr>
                <w:ilvl w:val="0"/>
                <w:numId w:val="46"/>
              </w:numPr>
              <w:tabs>
                <w:tab w:pos="431" w:val="left" w:leader="none"/>
                <w:tab w:pos="433" w:val="left" w:leader="none"/>
              </w:tabs>
              <w:spacing w:line="244" w:lineRule="exact" w:before="0" w:after="0"/>
              <w:ind w:left="432" w:right="0" w:hanging="314"/>
              <w:jc w:val="left"/>
              <w:rPr>
                <w:sz w:val="20"/>
              </w:rPr>
            </w:pPr>
            <w:r>
              <w:rPr>
                <w:sz w:val="20"/>
              </w:rPr>
              <w:t>Network</w:t>
            </w:r>
            <w:r>
              <w:rPr>
                <w:spacing w:val="-7"/>
                <w:sz w:val="20"/>
              </w:rPr>
              <w:t> </w:t>
            </w:r>
            <w:r>
              <w:rPr>
                <w:sz w:val="20"/>
              </w:rPr>
              <w:t>and</w:t>
            </w:r>
            <w:r>
              <w:rPr>
                <w:spacing w:val="-7"/>
                <w:sz w:val="20"/>
              </w:rPr>
              <w:t> </w:t>
            </w:r>
            <w:r>
              <w:rPr>
                <w:sz w:val="20"/>
              </w:rPr>
              <w:t>server</w:t>
            </w:r>
            <w:r>
              <w:rPr>
                <w:spacing w:val="-5"/>
                <w:sz w:val="20"/>
              </w:rPr>
              <w:t> </w:t>
            </w:r>
            <w:r>
              <w:rPr>
                <w:spacing w:val="-2"/>
                <w:sz w:val="20"/>
              </w:rPr>
              <w:t>infrastructure</w:t>
            </w:r>
          </w:p>
          <w:p>
            <w:pPr>
              <w:pStyle w:val="TableParagraph"/>
              <w:numPr>
                <w:ilvl w:val="0"/>
                <w:numId w:val="46"/>
              </w:numPr>
              <w:tabs>
                <w:tab w:pos="431" w:val="left" w:leader="none"/>
                <w:tab w:pos="433" w:val="left" w:leader="none"/>
              </w:tabs>
              <w:spacing w:line="244" w:lineRule="exact" w:before="0" w:after="0"/>
              <w:ind w:left="432" w:right="0" w:hanging="314"/>
              <w:jc w:val="left"/>
              <w:rPr>
                <w:sz w:val="20"/>
              </w:rPr>
            </w:pPr>
            <w:r>
              <w:rPr>
                <w:sz w:val="20"/>
              </w:rPr>
              <w:t>Software</w:t>
            </w:r>
            <w:r>
              <w:rPr>
                <w:spacing w:val="-10"/>
                <w:sz w:val="20"/>
              </w:rPr>
              <w:t> </w:t>
            </w:r>
            <w:r>
              <w:rPr>
                <w:spacing w:val="-2"/>
                <w:sz w:val="20"/>
              </w:rPr>
              <w:t>applications</w:t>
            </w:r>
          </w:p>
          <w:p>
            <w:pPr>
              <w:pStyle w:val="TableParagraph"/>
              <w:numPr>
                <w:ilvl w:val="0"/>
                <w:numId w:val="46"/>
              </w:numPr>
              <w:tabs>
                <w:tab w:pos="431" w:val="left" w:leader="none"/>
                <w:tab w:pos="433" w:val="left" w:leader="none"/>
              </w:tabs>
              <w:spacing w:line="244" w:lineRule="exact" w:before="0" w:after="0"/>
              <w:ind w:left="432" w:right="0" w:hanging="314"/>
              <w:jc w:val="left"/>
              <w:rPr>
                <w:sz w:val="20"/>
              </w:rPr>
            </w:pPr>
            <w:r>
              <w:rPr>
                <w:sz w:val="20"/>
              </w:rPr>
              <w:t>Video</w:t>
            </w:r>
            <w:r>
              <w:rPr>
                <w:spacing w:val="-5"/>
                <w:sz w:val="20"/>
              </w:rPr>
              <w:t> </w:t>
            </w:r>
            <w:r>
              <w:rPr>
                <w:sz w:val="20"/>
              </w:rPr>
              <w:t>and</w:t>
            </w:r>
            <w:r>
              <w:rPr>
                <w:spacing w:val="-4"/>
                <w:sz w:val="20"/>
              </w:rPr>
              <w:t> </w:t>
            </w:r>
            <w:r>
              <w:rPr>
                <w:sz w:val="20"/>
              </w:rPr>
              <w:t>audio</w:t>
            </w:r>
            <w:r>
              <w:rPr>
                <w:spacing w:val="-5"/>
                <w:sz w:val="20"/>
              </w:rPr>
              <w:t> </w:t>
            </w:r>
            <w:r>
              <w:rPr>
                <w:sz w:val="20"/>
              </w:rPr>
              <w:t>calling</w:t>
            </w:r>
            <w:r>
              <w:rPr>
                <w:spacing w:val="-8"/>
                <w:sz w:val="20"/>
              </w:rPr>
              <w:t> </w:t>
            </w:r>
            <w:r>
              <w:rPr>
                <w:spacing w:val="-2"/>
                <w:sz w:val="20"/>
              </w:rPr>
              <w:t>systems</w:t>
            </w:r>
          </w:p>
          <w:p>
            <w:pPr>
              <w:pStyle w:val="TableParagraph"/>
              <w:numPr>
                <w:ilvl w:val="0"/>
                <w:numId w:val="46"/>
              </w:numPr>
              <w:tabs>
                <w:tab w:pos="431" w:val="left" w:leader="none"/>
                <w:tab w:pos="433" w:val="left" w:leader="none"/>
              </w:tabs>
              <w:spacing w:line="244" w:lineRule="exact" w:before="0" w:after="0"/>
              <w:ind w:left="432" w:right="0" w:hanging="314"/>
              <w:jc w:val="left"/>
              <w:rPr>
                <w:sz w:val="20"/>
              </w:rPr>
            </w:pPr>
            <w:r>
              <w:rPr>
                <w:sz w:val="20"/>
              </w:rPr>
              <w:t>Enterprise</w:t>
            </w:r>
            <w:r>
              <w:rPr>
                <w:spacing w:val="-10"/>
                <w:sz w:val="20"/>
              </w:rPr>
              <w:t> </w:t>
            </w:r>
            <w:r>
              <w:rPr>
                <w:sz w:val="20"/>
              </w:rPr>
              <w:t>resource</w:t>
            </w:r>
            <w:r>
              <w:rPr>
                <w:spacing w:val="-8"/>
                <w:sz w:val="20"/>
              </w:rPr>
              <w:t> </w:t>
            </w:r>
            <w:r>
              <w:rPr>
                <w:spacing w:val="-2"/>
                <w:sz w:val="20"/>
              </w:rPr>
              <w:t>planning</w:t>
            </w:r>
          </w:p>
          <w:p>
            <w:pPr>
              <w:pStyle w:val="TableParagraph"/>
              <w:numPr>
                <w:ilvl w:val="0"/>
                <w:numId w:val="46"/>
              </w:numPr>
              <w:tabs>
                <w:tab w:pos="431" w:val="left" w:leader="none"/>
                <w:tab w:pos="433" w:val="left" w:leader="none"/>
              </w:tabs>
              <w:spacing w:line="235" w:lineRule="auto" w:before="4" w:after="0"/>
              <w:ind w:left="431" w:right="366" w:hanging="312"/>
              <w:jc w:val="left"/>
              <w:rPr>
                <w:sz w:val="20"/>
              </w:rPr>
            </w:pPr>
            <w:r>
              <w:rPr>
                <w:sz w:val="20"/>
              </w:rPr>
              <w:t>Business</w:t>
            </w:r>
            <w:r>
              <w:rPr>
                <w:spacing w:val="-13"/>
                <w:sz w:val="20"/>
              </w:rPr>
              <w:t> </w:t>
            </w:r>
            <w:r>
              <w:rPr>
                <w:sz w:val="20"/>
              </w:rPr>
              <w:t>analysis</w:t>
            </w:r>
            <w:r>
              <w:rPr>
                <w:spacing w:val="-12"/>
                <w:sz w:val="20"/>
              </w:rPr>
              <w:t> </w:t>
            </w:r>
            <w:r>
              <w:rPr>
                <w:sz w:val="20"/>
              </w:rPr>
              <w:t>and</w:t>
            </w:r>
            <w:r>
              <w:rPr>
                <w:spacing w:val="-14"/>
                <w:sz w:val="20"/>
              </w:rPr>
              <w:t> </w:t>
            </w:r>
            <w:r>
              <w:rPr>
                <w:sz w:val="20"/>
              </w:rPr>
              <w:t>process </w:t>
            </w:r>
            <w:r>
              <w:rPr>
                <w:spacing w:val="-2"/>
                <w:sz w:val="20"/>
              </w:rPr>
              <w:t>improvement</w:t>
            </w:r>
          </w:p>
        </w:tc>
        <w:tc>
          <w:tcPr>
            <w:tcW w:w="1537" w:type="dxa"/>
            <w:tcBorders>
              <w:top w:val="nil"/>
              <w:left w:val="single" w:sz="2" w:space="0" w:color="000000"/>
              <w:bottom w:val="single" w:sz="2" w:space="0" w:color="000000"/>
              <w:right w:val="nil"/>
            </w:tcBorders>
          </w:tcPr>
          <w:p>
            <w:pPr>
              <w:pStyle w:val="TableParagraph"/>
              <w:spacing w:line="229" w:lineRule="exact"/>
              <w:ind w:left="117"/>
              <w:rPr>
                <w:sz w:val="20"/>
              </w:rPr>
            </w:pPr>
            <w:r>
              <w:rPr>
                <w:spacing w:val="-2"/>
                <w:sz w:val="20"/>
              </w:rPr>
              <w:t>Income</w:t>
            </w:r>
          </w:p>
          <w:p>
            <w:pPr>
              <w:pStyle w:val="TableParagraph"/>
              <w:spacing w:before="77"/>
              <w:ind w:left="117"/>
              <w:rPr>
                <w:sz w:val="20"/>
              </w:rPr>
            </w:pPr>
            <w:r>
              <w:rPr>
                <w:spacing w:val="-2"/>
                <w:sz w:val="20"/>
              </w:rPr>
              <w:t>Expenditure</w:t>
            </w:r>
          </w:p>
        </w:tc>
        <w:tc>
          <w:tcPr>
            <w:tcW w:w="1348" w:type="dxa"/>
            <w:tcBorders>
              <w:top w:val="nil"/>
              <w:left w:val="nil"/>
              <w:bottom w:val="single" w:sz="2" w:space="0" w:color="000000"/>
              <w:right w:val="nil"/>
            </w:tcBorders>
          </w:tcPr>
          <w:p>
            <w:pPr>
              <w:pStyle w:val="TableParagraph"/>
              <w:spacing w:line="206" w:lineRule="exact"/>
              <w:ind w:right="148"/>
              <w:jc w:val="right"/>
              <w:rPr>
                <w:sz w:val="18"/>
              </w:rPr>
            </w:pPr>
            <w:r>
              <w:rPr>
                <w:spacing w:val="-5"/>
                <w:sz w:val="18"/>
              </w:rPr>
              <w:t>13</w:t>
            </w:r>
          </w:p>
          <w:p>
            <w:pPr>
              <w:pStyle w:val="TableParagraph"/>
              <w:spacing w:before="100"/>
              <w:ind w:right="147"/>
              <w:jc w:val="right"/>
              <w:rPr>
                <w:sz w:val="18"/>
              </w:rPr>
            </w:pPr>
            <w:r>
              <w:rPr>
                <w:spacing w:val="-2"/>
                <w:sz w:val="18"/>
              </w:rPr>
              <w:t>6,100</w:t>
            </w:r>
          </w:p>
        </w:tc>
        <w:tc>
          <w:tcPr>
            <w:tcW w:w="1216" w:type="dxa"/>
            <w:tcBorders>
              <w:top w:val="nil"/>
              <w:left w:val="nil"/>
              <w:bottom w:val="single" w:sz="2" w:space="0" w:color="000000"/>
              <w:right w:val="nil"/>
            </w:tcBorders>
          </w:tcPr>
          <w:p>
            <w:pPr>
              <w:pStyle w:val="TableParagraph"/>
              <w:spacing w:line="206" w:lineRule="exact"/>
              <w:ind w:right="94"/>
              <w:jc w:val="right"/>
              <w:rPr>
                <w:sz w:val="18"/>
              </w:rPr>
            </w:pPr>
            <w:r>
              <w:rPr>
                <w:sz w:val="18"/>
              </w:rPr>
              <w:t>8</w:t>
            </w:r>
          </w:p>
          <w:p>
            <w:pPr>
              <w:pStyle w:val="TableParagraph"/>
              <w:spacing w:before="100"/>
              <w:ind w:right="91"/>
              <w:jc w:val="right"/>
              <w:rPr>
                <w:sz w:val="18"/>
              </w:rPr>
            </w:pPr>
            <w:r>
              <w:rPr>
                <w:spacing w:val="-2"/>
                <w:sz w:val="18"/>
              </w:rPr>
              <w:t>7,715</w:t>
            </w:r>
          </w:p>
        </w:tc>
        <w:tc>
          <w:tcPr>
            <w:tcW w:w="1234" w:type="dxa"/>
            <w:tcBorders>
              <w:top w:val="nil"/>
              <w:left w:val="nil"/>
              <w:bottom w:val="single" w:sz="2" w:space="0" w:color="000000"/>
              <w:right w:val="single" w:sz="12" w:space="0" w:color="000000"/>
            </w:tcBorders>
            <w:shd w:val="clear" w:color="auto" w:fill="BCD6ED"/>
          </w:tcPr>
          <w:p>
            <w:pPr>
              <w:pStyle w:val="TableParagraph"/>
              <w:spacing w:line="206" w:lineRule="exact"/>
              <w:ind w:right="79"/>
              <w:jc w:val="right"/>
              <w:rPr>
                <w:sz w:val="18"/>
              </w:rPr>
            </w:pPr>
            <w:r>
              <w:rPr>
                <w:sz w:val="18"/>
              </w:rPr>
              <w:t>-</w:t>
            </w:r>
          </w:p>
          <w:p>
            <w:pPr>
              <w:pStyle w:val="TableParagraph"/>
              <w:spacing w:before="100"/>
              <w:ind w:right="77"/>
              <w:jc w:val="right"/>
              <w:rPr>
                <w:sz w:val="18"/>
              </w:rPr>
            </w:pPr>
            <w:r>
              <w:rPr>
                <w:spacing w:val="-2"/>
                <w:sz w:val="18"/>
              </w:rPr>
              <w:t>8,174</w:t>
            </w:r>
          </w:p>
        </w:tc>
      </w:tr>
      <w:tr>
        <w:trPr>
          <w:trHeight w:val="458" w:hRule="atLeast"/>
        </w:trPr>
        <w:tc>
          <w:tcPr>
            <w:tcW w:w="1553" w:type="dxa"/>
            <w:vMerge/>
            <w:tcBorders>
              <w:top w:val="nil"/>
              <w:left w:val="single" w:sz="12" w:space="0" w:color="000000"/>
              <w:bottom w:val="single" w:sz="2" w:space="0" w:color="000000"/>
              <w:right w:val="single" w:sz="2" w:space="0" w:color="000000"/>
            </w:tcBorders>
          </w:tcPr>
          <w:p>
            <w:pPr>
              <w:rPr>
                <w:sz w:val="2"/>
                <w:szCs w:val="2"/>
              </w:rPr>
            </w:pPr>
          </w:p>
        </w:tc>
        <w:tc>
          <w:tcPr>
            <w:tcW w:w="3540" w:type="dxa"/>
            <w:vMerge/>
            <w:tcBorders>
              <w:top w:val="nil"/>
              <w:left w:val="single" w:sz="2" w:space="0" w:color="000000"/>
              <w:bottom w:val="single" w:sz="2" w:space="0" w:color="000000"/>
              <w:right w:val="single" w:sz="2" w:space="0" w:color="000000"/>
            </w:tcBorders>
          </w:tcPr>
          <w:p>
            <w:pPr>
              <w:rPr>
                <w:sz w:val="2"/>
                <w:szCs w:val="2"/>
              </w:rPr>
            </w:pPr>
          </w:p>
        </w:tc>
        <w:tc>
          <w:tcPr>
            <w:tcW w:w="1537" w:type="dxa"/>
            <w:tcBorders>
              <w:top w:val="single" w:sz="2" w:space="0" w:color="000000"/>
              <w:left w:val="single" w:sz="2" w:space="0" w:color="000000"/>
              <w:bottom w:val="single" w:sz="2" w:space="0" w:color="000000"/>
              <w:right w:val="nil"/>
            </w:tcBorders>
          </w:tcPr>
          <w:p>
            <w:pPr>
              <w:pStyle w:val="TableParagraph"/>
              <w:spacing w:line="230" w:lineRule="exact"/>
              <w:ind w:left="117" w:right="555"/>
              <w:rPr>
                <w:b/>
                <w:sz w:val="20"/>
              </w:rPr>
            </w:pPr>
            <w:r>
              <w:rPr>
                <w:b/>
                <w:sz w:val="20"/>
              </w:rPr>
              <w:t>Surplus</w:t>
            </w:r>
            <w:r>
              <w:rPr>
                <w:b/>
                <w:spacing w:val="-14"/>
                <w:sz w:val="20"/>
              </w:rPr>
              <w:t> </w:t>
            </w:r>
            <w:r>
              <w:rPr>
                <w:b/>
                <w:sz w:val="20"/>
              </w:rPr>
              <w:t>/ </w:t>
            </w:r>
            <w:r>
              <w:rPr>
                <w:b/>
                <w:spacing w:val="-2"/>
                <w:sz w:val="20"/>
              </w:rPr>
              <w:t>(deficit)</w:t>
            </w:r>
          </w:p>
        </w:tc>
        <w:tc>
          <w:tcPr>
            <w:tcW w:w="1348" w:type="dxa"/>
            <w:tcBorders>
              <w:top w:val="single" w:sz="2" w:space="0" w:color="000000"/>
              <w:left w:val="nil"/>
              <w:bottom w:val="single" w:sz="2" w:space="0" w:color="000000"/>
              <w:right w:val="nil"/>
            </w:tcBorders>
          </w:tcPr>
          <w:p>
            <w:pPr>
              <w:pStyle w:val="TableParagraph"/>
              <w:spacing w:line="206" w:lineRule="exact"/>
              <w:ind w:right="147"/>
              <w:jc w:val="right"/>
              <w:rPr>
                <w:b/>
                <w:sz w:val="18"/>
              </w:rPr>
            </w:pPr>
            <w:r>
              <w:rPr>
                <w:b/>
                <w:spacing w:val="-2"/>
                <w:sz w:val="18"/>
              </w:rPr>
              <w:t>(6,087)</w:t>
            </w:r>
          </w:p>
        </w:tc>
        <w:tc>
          <w:tcPr>
            <w:tcW w:w="1216" w:type="dxa"/>
            <w:tcBorders>
              <w:top w:val="single" w:sz="2" w:space="0" w:color="000000"/>
              <w:left w:val="nil"/>
              <w:bottom w:val="single" w:sz="2" w:space="0" w:color="000000"/>
              <w:right w:val="nil"/>
            </w:tcBorders>
          </w:tcPr>
          <w:p>
            <w:pPr>
              <w:pStyle w:val="TableParagraph"/>
              <w:spacing w:line="206" w:lineRule="exact"/>
              <w:ind w:right="91"/>
              <w:jc w:val="right"/>
              <w:rPr>
                <w:b/>
                <w:sz w:val="18"/>
              </w:rPr>
            </w:pPr>
            <w:r>
              <w:rPr>
                <w:b/>
                <w:spacing w:val="-2"/>
                <w:sz w:val="18"/>
              </w:rPr>
              <w:t>(7,707)</w:t>
            </w:r>
          </w:p>
        </w:tc>
        <w:tc>
          <w:tcPr>
            <w:tcW w:w="1234" w:type="dxa"/>
            <w:tcBorders>
              <w:top w:val="single" w:sz="2" w:space="0" w:color="000000"/>
              <w:left w:val="nil"/>
              <w:bottom w:val="single" w:sz="2" w:space="0" w:color="000000"/>
              <w:right w:val="single" w:sz="12" w:space="0" w:color="000000"/>
            </w:tcBorders>
            <w:shd w:val="clear" w:color="auto" w:fill="BCD6ED"/>
          </w:tcPr>
          <w:p>
            <w:pPr>
              <w:pStyle w:val="TableParagraph"/>
              <w:spacing w:line="206" w:lineRule="exact"/>
              <w:ind w:right="77"/>
              <w:jc w:val="right"/>
              <w:rPr>
                <w:b/>
                <w:sz w:val="18"/>
              </w:rPr>
            </w:pPr>
            <w:r>
              <w:rPr>
                <w:b/>
                <w:spacing w:val="-2"/>
                <w:sz w:val="18"/>
              </w:rPr>
              <w:t>(8,174)</w:t>
            </w:r>
          </w:p>
        </w:tc>
      </w:tr>
      <w:tr>
        <w:trPr>
          <w:trHeight w:val="2241" w:hRule="atLeast"/>
        </w:trPr>
        <w:tc>
          <w:tcPr>
            <w:tcW w:w="1553" w:type="dxa"/>
            <w:vMerge/>
            <w:tcBorders>
              <w:top w:val="nil"/>
              <w:left w:val="single" w:sz="12" w:space="0" w:color="000000"/>
              <w:bottom w:val="single" w:sz="2" w:space="0" w:color="000000"/>
              <w:right w:val="single" w:sz="2" w:space="0" w:color="000000"/>
            </w:tcBorders>
          </w:tcPr>
          <w:p>
            <w:pPr>
              <w:rPr>
                <w:sz w:val="2"/>
                <w:szCs w:val="2"/>
              </w:rPr>
            </w:pPr>
          </w:p>
        </w:tc>
        <w:tc>
          <w:tcPr>
            <w:tcW w:w="3540" w:type="dxa"/>
            <w:vMerge/>
            <w:tcBorders>
              <w:top w:val="nil"/>
              <w:left w:val="single" w:sz="2" w:space="0" w:color="000000"/>
              <w:bottom w:val="single" w:sz="2" w:space="0" w:color="000000"/>
              <w:right w:val="single" w:sz="2" w:space="0" w:color="000000"/>
            </w:tcBorders>
          </w:tcPr>
          <w:p>
            <w:pPr>
              <w:rPr>
                <w:sz w:val="2"/>
                <w:szCs w:val="2"/>
              </w:rPr>
            </w:pPr>
          </w:p>
        </w:tc>
        <w:tc>
          <w:tcPr>
            <w:tcW w:w="5335" w:type="dxa"/>
            <w:gridSpan w:val="4"/>
            <w:tcBorders>
              <w:top w:val="single" w:sz="2" w:space="0" w:color="000000"/>
              <w:left w:val="single" w:sz="2" w:space="0" w:color="000000"/>
              <w:bottom w:val="single" w:sz="4" w:space="0" w:color="000000"/>
              <w:right w:val="single" w:sz="12" w:space="0" w:color="000000"/>
            </w:tcBorders>
          </w:tcPr>
          <w:p>
            <w:pPr>
              <w:pStyle w:val="TableParagraph"/>
              <w:rPr>
                <w:rFonts w:ascii="Times New Roman"/>
                <w:sz w:val="18"/>
              </w:rPr>
            </w:pPr>
          </w:p>
        </w:tc>
      </w:tr>
      <w:tr>
        <w:trPr>
          <w:trHeight w:val="611" w:hRule="atLeast"/>
        </w:trPr>
        <w:tc>
          <w:tcPr>
            <w:tcW w:w="1553" w:type="dxa"/>
            <w:vMerge w:val="restart"/>
            <w:tcBorders>
              <w:top w:val="single" w:sz="2" w:space="0" w:color="000000"/>
              <w:left w:val="single" w:sz="12" w:space="0" w:color="000000"/>
              <w:bottom w:val="single" w:sz="2" w:space="0" w:color="000000"/>
              <w:right w:val="single" w:sz="2" w:space="0" w:color="000000"/>
            </w:tcBorders>
          </w:tcPr>
          <w:p>
            <w:pPr>
              <w:pStyle w:val="TableParagraph"/>
              <w:ind w:left="107" w:right="201"/>
              <w:rPr>
                <w:sz w:val="20"/>
              </w:rPr>
            </w:pPr>
            <w:r>
              <w:rPr>
                <w:sz w:val="20"/>
              </w:rPr>
              <w:t>Digital</w:t>
            </w:r>
            <w:r>
              <w:rPr>
                <w:spacing w:val="-14"/>
                <w:sz w:val="20"/>
              </w:rPr>
              <w:t> </w:t>
            </w:r>
            <w:r>
              <w:rPr>
                <w:sz w:val="20"/>
              </w:rPr>
              <w:t>and </w:t>
            </w:r>
            <w:r>
              <w:rPr>
                <w:spacing w:val="-2"/>
                <w:sz w:val="20"/>
              </w:rPr>
              <w:t>online</w:t>
            </w:r>
          </w:p>
        </w:tc>
        <w:tc>
          <w:tcPr>
            <w:tcW w:w="3540" w:type="dxa"/>
            <w:vMerge w:val="restart"/>
            <w:tcBorders>
              <w:top w:val="single" w:sz="2" w:space="0" w:color="000000"/>
              <w:left w:val="single" w:sz="2" w:space="0" w:color="000000"/>
              <w:bottom w:val="single" w:sz="2" w:space="0" w:color="000000"/>
              <w:right w:val="single" w:sz="2" w:space="0" w:color="000000"/>
            </w:tcBorders>
          </w:tcPr>
          <w:p>
            <w:pPr>
              <w:pStyle w:val="TableParagraph"/>
              <w:numPr>
                <w:ilvl w:val="0"/>
                <w:numId w:val="47"/>
              </w:numPr>
              <w:tabs>
                <w:tab w:pos="431" w:val="left" w:leader="none"/>
                <w:tab w:pos="433" w:val="left" w:leader="none"/>
              </w:tabs>
              <w:spacing w:line="240" w:lineRule="auto" w:before="0" w:after="0"/>
              <w:ind w:left="431" w:right="345" w:hanging="312"/>
              <w:jc w:val="left"/>
              <w:rPr>
                <w:sz w:val="20"/>
              </w:rPr>
            </w:pPr>
            <w:r>
              <w:rPr>
                <w:sz w:val="20"/>
              </w:rPr>
              <w:t>Council websites and intranet development</w:t>
            </w:r>
            <w:r>
              <w:rPr>
                <w:spacing w:val="-14"/>
                <w:sz w:val="20"/>
              </w:rPr>
              <w:t> </w:t>
            </w:r>
            <w:r>
              <w:rPr>
                <w:sz w:val="20"/>
              </w:rPr>
              <w:t>and</w:t>
            </w:r>
            <w:r>
              <w:rPr>
                <w:spacing w:val="-14"/>
                <w:sz w:val="20"/>
              </w:rPr>
              <w:t> </w:t>
            </w:r>
            <w:r>
              <w:rPr>
                <w:sz w:val="20"/>
              </w:rPr>
              <w:t>management</w:t>
            </w:r>
          </w:p>
          <w:p>
            <w:pPr>
              <w:pStyle w:val="TableParagraph"/>
              <w:numPr>
                <w:ilvl w:val="0"/>
                <w:numId w:val="47"/>
              </w:numPr>
              <w:tabs>
                <w:tab w:pos="431" w:val="left" w:leader="none"/>
                <w:tab w:pos="433" w:val="left" w:leader="none"/>
              </w:tabs>
              <w:spacing w:line="235" w:lineRule="auto" w:before="4" w:after="0"/>
              <w:ind w:left="431" w:right="1270" w:hanging="312"/>
              <w:jc w:val="left"/>
              <w:rPr>
                <w:sz w:val="20"/>
              </w:rPr>
            </w:pPr>
            <w:r>
              <w:rPr>
                <w:sz w:val="20"/>
              </w:rPr>
              <w:t>Council</w:t>
            </w:r>
            <w:r>
              <w:rPr>
                <w:spacing w:val="-14"/>
                <w:sz w:val="20"/>
              </w:rPr>
              <w:t> </w:t>
            </w:r>
            <w:r>
              <w:rPr>
                <w:sz w:val="20"/>
              </w:rPr>
              <w:t>social</w:t>
            </w:r>
            <w:r>
              <w:rPr>
                <w:spacing w:val="-14"/>
                <w:sz w:val="20"/>
              </w:rPr>
              <w:t> </w:t>
            </w:r>
            <w:r>
              <w:rPr>
                <w:sz w:val="20"/>
              </w:rPr>
              <w:t>media</w:t>
            </w:r>
            <w:r>
              <w:rPr>
                <w:sz w:val="20"/>
              </w:rPr>
              <w:t> </w:t>
            </w:r>
            <w:r>
              <w:rPr>
                <w:spacing w:val="-2"/>
                <w:sz w:val="20"/>
              </w:rPr>
              <w:t>management</w:t>
            </w:r>
          </w:p>
          <w:p>
            <w:pPr>
              <w:pStyle w:val="TableParagraph"/>
              <w:numPr>
                <w:ilvl w:val="0"/>
                <w:numId w:val="47"/>
              </w:numPr>
              <w:tabs>
                <w:tab w:pos="431" w:val="left" w:leader="none"/>
                <w:tab w:pos="433" w:val="left" w:leader="none"/>
              </w:tabs>
              <w:spacing w:line="235" w:lineRule="auto" w:before="8" w:after="0"/>
              <w:ind w:left="431" w:right="1256" w:hanging="312"/>
              <w:jc w:val="left"/>
              <w:rPr>
                <w:sz w:val="20"/>
              </w:rPr>
            </w:pPr>
            <w:r>
              <w:rPr>
                <w:sz w:val="20"/>
              </w:rPr>
              <w:t>Electronic</w:t>
            </w:r>
            <w:r>
              <w:rPr>
                <w:spacing w:val="-14"/>
                <w:sz w:val="20"/>
              </w:rPr>
              <w:t> </w:t>
            </w:r>
            <w:r>
              <w:rPr>
                <w:sz w:val="20"/>
              </w:rPr>
              <w:t>direct</w:t>
            </w:r>
            <w:r>
              <w:rPr>
                <w:spacing w:val="-14"/>
                <w:sz w:val="20"/>
              </w:rPr>
              <w:t> </w:t>
            </w:r>
            <w:r>
              <w:rPr>
                <w:sz w:val="20"/>
              </w:rPr>
              <w:t>mail </w:t>
            </w:r>
            <w:r>
              <w:rPr>
                <w:spacing w:val="-2"/>
                <w:sz w:val="20"/>
              </w:rPr>
              <w:t>management</w:t>
            </w:r>
          </w:p>
          <w:p>
            <w:pPr>
              <w:pStyle w:val="TableParagraph"/>
              <w:numPr>
                <w:ilvl w:val="0"/>
                <w:numId w:val="47"/>
              </w:numPr>
              <w:tabs>
                <w:tab w:pos="431" w:val="left" w:leader="none"/>
                <w:tab w:pos="433" w:val="left" w:leader="none"/>
              </w:tabs>
              <w:spacing w:line="245" w:lineRule="exact" w:before="3" w:after="0"/>
              <w:ind w:left="432" w:right="0" w:hanging="314"/>
              <w:jc w:val="left"/>
              <w:rPr>
                <w:sz w:val="20"/>
              </w:rPr>
            </w:pPr>
            <w:r>
              <w:rPr>
                <w:sz w:val="20"/>
              </w:rPr>
              <w:t>Graphic</w:t>
            </w:r>
            <w:r>
              <w:rPr>
                <w:spacing w:val="-11"/>
                <w:sz w:val="20"/>
              </w:rPr>
              <w:t> </w:t>
            </w:r>
            <w:r>
              <w:rPr>
                <w:spacing w:val="-2"/>
                <w:sz w:val="20"/>
              </w:rPr>
              <w:t>design</w:t>
            </w:r>
          </w:p>
          <w:p>
            <w:pPr>
              <w:pStyle w:val="TableParagraph"/>
              <w:numPr>
                <w:ilvl w:val="0"/>
                <w:numId w:val="47"/>
              </w:numPr>
              <w:tabs>
                <w:tab w:pos="431" w:val="left" w:leader="none"/>
                <w:tab w:pos="433" w:val="left" w:leader="none"/>
              </w:tabs>
              <w:spacing w:line="235" w:lineRule="auto" w:before="4" w:after="0"/>
              <w:ind w:left="431" w:right="724" w:hanging="312"/>
              <w:jc w:val="left"/>
              <w:rPr>
                <w:sz w:val="20"/>
              </w:rPr>
            </w:pPr>
            <w:r>
              <w:rPr>
                <w:sz w:val="20"/>
              </w:rPr>
              <w:t>Signage</w:t>
            </w:r>
            <w:r>
              <w:rPr>
                <w:spacing w:val="-14"/>
                <w:sz w:val="20"/>
              </w:rPr>
              <w:t> </w:t>
            </w:r>
            <w:r>
              <w:rPr>
                <w:sz w:val="20"/>
              </w:rPr>
              <w:t>and</w:t>
            </w:r>
            <w:r>
              <w:rPr>
                <w:spacing w:val="-12"/>
                <w:sz w:val="20"/>
              </w:rPr>
              <w:t> </w:t>
            </w:r>
            <w:r>
              <w:rPr>
                <w:sz w:val="20"/>
              </w:rPr>
              <w:t>digital</w:t>
            </w:r>
            <w:r>
              <w:rPr>
                <w:spacing w:val="-14"/>
                <w:sz w:val="20"/>
              </w:rPr>
              <w:t> </w:t>
            </w:r>
            <w:r>
              <w:rPr>
                <w:sz w:val="20"/>
              </w:rPr>
              <w:t>display </w:t>
            </w:r>
            <w:r>
              <w:rPr>
                <w:spacing w:val="-2"/>
                <w:sz w:val="20"/>
              </w:rPr>
              <w:t>design</w:t>
            </w:r>
          </w:p>
          <w:p>
            <w:pPr>
              <w:pStyle w:val="TableParagraph"/>
              <w:numPr>
                <w:ilvl w:val="0"/>
                <w:numId w:val="47"/>
              </w:numPr>
              <w:tabs>
                <w:tab w:pos="431" w:val="left" w:leader="none"/>
                <w:tab w:pos="433" w:val="left" w:leader="none"/>
              </w:tabs>
              <w:spacing w:line="244" w:lineRule="exact" w:before="3" w:after="0"/>
              <w:ind w:left="432" w:right="0" w:hanging="314"/>
              <w:jc w:val="left"/>
              <w:rPr>
                <w:sz w:val="20"/>
              </w:rPr>
            </w:pPr>
            <w:r>
              <w:rPr>
                <w:sz w:val="20"/>
              </w:rPr>
              <w:t>Multimedia</w:t>
            </w:r>
            <w:r>
              <w:rPr>
                <w:spacing w:val="-10"/>
                <w:sz w:val="20"/>
              </w:rPr>
              <w:t> </w:t>
            </w:r>
            <w:r>
              <w:rPr>
                <w:sz w:val="20"/>
              </w:rPr>
              <w:t>and</w:t>
            </w:r>
            <w:r>
              <w:rPr>
                <w:spacing w:val="-4"/>
                <w:sz w:val="20"/>
              </w:rPr>
              <w:t> </w:t>
            </w:r>
            <w:r>
              <w:rPr>
                <w:spacing w:val="-2"/>
                <w:sz w:val="20"/>
              </w:rPr>
              <w:t>photography</w:t>
            </w:r>
          </w:p>
          <w:p>
            <w:pPr>
              <w:pStyle w:val="TableParagraph"/>
              <w:numPr>
                <w:ilvl w:val="0"/>
                <w:numId w:val="47"/>
              </w:numPr>
              <w:tabs>
                <w:tab w:pos="431" w:val="left" w:leader="none"/>
                <w:tab w:pos="433" w:val="left" w:leader="none"/>
              </w:tabs>
              <w:spacing w:line="244" w:lineRule="exact" w:before="0" w:after="0"/>
              <w:ind w:left="432" w:right="0" w:hanging="314"/>
              <w:jc w:val="left"/>
              <w:rPr>
                <w:sz w:val="20"/>
              </w:rPr>
            </w:pPr>
            <w:r>
              <w:rPr>
                <w:sz w:val="20"/>
              </w:rPr>
              <w:t>Reporting</w:t>
            </w:r>
            <w:r>
              <w:rPr>
                <w:spacing w:val="-9"/>
                <w:sz w:val="20"/>
              </w:rPr>
              <w:t> </w:t>
            </w:r>
            <w:r>
              <w:rPr>
                <w:sz w:val="20"/>
              </w:rPr>
              <w:t>and</w:t>
            </w:r>
            <w:r>
              <w:rPr>
                <w:spacing w:val="-7"/>
                <w:sz w:val="20"/>
              </w:rPr>
              <w:t> </w:t>
            </w:r>
            <w:r>
              <w:rPr>
                <w:spacing w:val="-2"/>
                <w:sz w:val="20"/>
              </w:rPr>
              <w:t>analytics</w:t>
            </w:r>
          </w:p>
          <w:p>
            <w:pPr>
              <w:pStyle w:val="TableParagraph"/>
              <w:numPr>
                <w:ilvl w:val="0"/>
                <w:numId w:val="47"/>
              </w:numPr>
              <w:tabs>
                <w:tab w:pos="431" w:val="left" w:leader="none"/>
                <w:tab w:pos="433" w:val="left" w:leader="none"/>
              </w:tabs>
              <w:spacing w:line="244" w:lineRule="exact" w:before="0" w:after="0"/>
              <w:ind w:left="432" w:right="0" w:hanging="314"/>
              <w:jc w:val="left"/>
              <w:rPr>
                <w:sz w:val="20"/>
              </w:rPr>
            </w:pPr>
            <w:r>
              <w:rPr>
                <w:sz w:val="20"/>
              </w:rPr>
              <w:t>Surveys</w:t>
            </w:r>
            <w:r>
              <w:rPr>
                <w:spacing w:val="-7"/>
                <w:sz w:val="20"/>
              </w:rPr>
              <w:t> </w:t>
            </w:r>
            <w:r>
              <w:rPr>
                <w:sz w:val="20"/>
              </w:rPr>
              <w:t>and</w:t>
            </w:r>
            <w:r>
              <w:rPr>
                <w:spacing w:val="-4"/>
                <w:sz w:val="20"/>
              </w:rPr>
              <w:t> </w:t>
            </w:r>
            <w:r>
              <w:rPr>
                <w:spacing w:val="-2"/>
                <w:sz w:val="20"/>
              </w:rPr>
              <w:t>forms</w:t>
            </w:r>
          </w:p>
          <w:p>
            <w:pPr>
              <w:pStyle w:val="TableParagraph"/>
              <w:numPr>
                <w:ilvl w:val="0"/>
                <w:numId w:val="47"/>
              </w:numPr>
              <w:tabs>
                <w:tab w:pos="431" w:val="left" w:leader="none"/>
                <w:tab w:pos="433" w:val="left" w:leader="none"/>
              </w:tabs>
              <w:spacing w:line="244" w:lineRule="exact" w:before="0" w:after="0"/>
              <w:ind w:left="432" w:right="0" w:hanging="314"/>
              <w:jc w:val="left"/>
              <w:rPr>
                <w:sz w:val="20"/>
              </w:rPr>
            </w:pPr>
            <w:r>
              <w:rPr>
                <w:sz w:val="20"/>
              </w:rPr>
              <w:t>Digital</w:t>
            </w:r>
            <w:r>
              <w:rPr>
                <w:spacing w:val="-6"/>
                <w:sz w:val="20"/>
              </w:rPr>
              <w:t> </w:t>
            </w:r>
            <w:r>
              <w:rPr>
                <w:sz w:val="20"/>
              </w:rPr>
              <w:t>asset</w:t>
            </w:r>
            <w:r>
              <w:rPr>
                <w:spacing w:val="-2"/>
                <w:sz w:val="20"/>
              </w:rPr>
              <w:t> management</w:t>
            </w:r>
          </w:p>
        </w:tc>
        <w:tc>
          <w:tcPr>
            <w:tcW w:w="1537" w:type="dxa"/>
            <w:tcBorders>
              <w:top w:val="single" w:sz="4" w:space="0" w:color="000000"/>
              <w:left w:val="single" w:sz="2" w:space="0" w:color="000000"/>
              <w:bottom w:val="single" w:sz="2" w:space="0" w:color="000000"/>
              <w:right w:val="nil"/>
            </w:tcBorders>
          </w:tcPr>
          <w:p>
            <w:pPr>
              <w:pStyle w:val="TableParagraph"/>
              <w:spacing w:line="229" w:lineRule="exact"/>
              <w:ind w:left="117"/>
              <w:rPr>
                <w:sz w:val="20"/>
              </w:rPr>
            </w:pPr>
            <w:r>
              <w:rPr>
                <w:spacing w:val="-2"/>
                <w:sz w:val="20"/>
              </w:rPr>
              <w:t>Income</w:t>
            </w:r>
          </w:p>
          <w:p>
            <w:pPr>
              <w:pStyle w:val="TableParagraph"/>
              <w:spacing w:before="79"/>
              <w:ind w:left="117"/>
              <w:rPr>
                <w:sz w:val="20"/>
              </w:rPr>
            </w:pPr>
            <w:r>
              <w:rPr>
                <w:spacing w:val="-2"/>
                <w:sz w:val="20"/>
              </w:rPr>
              <w:t>Expenditure</w:t>
            </w:r>
          </w:p>
        </w:tc>
        <w:tc>
          <w:tcPr>
            <w:tcW w:w="1348" w:type="dxa"/>
            <w:tcBorders>
              <w:top w:val="single" w:sz="4" w:space="0" w:color="000000"/>
              <w:left w:val="nil"/>
              <w:bottom w:val="single" w:sz="2" w:space="0" w:color="000000"/>
              <w:right w:val="nil"/>
            </w:tcBorders>
          </w:tcPr>
          <w:p>
            <w:pPr>
              <w:pStyle w:val="TableParagraph"/>
              <w:spacing w:line="206" w:lineRule="exact"/>
              <w:ind w:right="149"/>
              <w:jc w:val="right"/>
              <w:rPr>
                <w:sz w:val="18"/>
              </w:rPr>
            </w:pPr>
            <w:r>
              <w:rPr>
                <w:sz w:val="18"/>
              </w:rPr>
              <w:t>-</w:t>
            </w:r>
          </w:p>
          <w:p>
            <w:pPr>
              <w:pStyle w:val="TableParagraph"/>
              <w:spacing w:before="102"/>
              <w:ind w:right="149"/>
              <w:jc w:val="right"/>
              <w:rPr>
                <w:sz w:val="18"/>
              </w:rPr>
            </w:pPr>
            <w:r>
              <w:rPr>
                <w:spacing w:val="-5"/>
                <w:sz w:val="18"/>
              </w:rPr>
              <w:t>268</w:t>
            </w:r>
          </w:p>
        </w:tc>
        <w:tc>
          <w:tcPr>
            <w:tcW w:w="1216" w:type="dxa"/>
            <w:tcBorders>
              <w:top w:val="single" w:sz="4" w:space="0" w:color="000000"/>
              <w:left w:val="nil"/>
              <w:bottom w:val="single" w:sz="2" w:space="0" w:color="000000"/>
              <w:right w:val="nil"/>
            </w:tcBorders>
          </w:tcPr>
          <w:p>
            <w:pPr>
              <w:pStyle w:val="TableParagraph"/>
              <w:spacing w:line="206" w:lineRule="exact"/>
              <w:ind w:right="93"/>
              <w:jc w:val="right"/>
              <w:rPr>
                <w:sz w:val="18"/>
              </w:rPr>
            </w:pPr>
            <w:r>
              <w:rPr>
                <w:sz w:val="18"/>
              </w:rPr>
              <w:t>-</w:t>
            </w:r>
          </w:p>
          <w:p>
            <w:pPr>
              <w:pStyle w:val="TableParagraph"/>
              <w:spacing w:before="102"/>
              <w:ind w:right="93"/>
              <w:jc w:val="right"/>
              <w:rPr>
                <w:sz w:val="18"/>
              </w:rPr>
            </w:pPr>
            <w:r>
              <w:rPr>
                <w:spacing w:val="-5"/>
                <w:sz w:val="18"/>
              </w:rPr>
              <w:t>298</w:t>
            </w:r>
          </w:p>
        </w:tc>
        <w:tc>
          <w:tcPr>
            <w:tcW w:w="1234" w:type="dxa"/>
            <w:tcBorders>
              <w:top w:val="single" w:sz="4" w:space="0" w:color="000000"/>
              <w:left w:val="nil"/>
              <w:bottom w:val="single" w:sz="2" w:space="0" w:color="000000"/>
              <w:right w:val="single" w:sz="12" w:space="0" w:color="000000"/>
            </w:tcBorders>
            <w:shd w:val="clear" w:color="auto" w:fill="BCD6ED"/>
          </w:tcPr>
          <w:p>
            <w:pPr>
              <w:pStyle w:val="TableParagraph"/>
              <w:spacing w:line="206" w:lineRule="exact"/>
              <w:ind w:right="79"/>
              <w:jc w:val="right"/>
              <w:rPr>
                <w:sz w:val="18"/>
              </w:rPr>
            </w:pPr>
            <w:r>
              <w:rPr>
                <w:sz w:val="18"/>
              </w:rPr>
              <w:t>-</w:t>
            </w:r>
          </w:p>
          <w:p>
            <w:pPr>
              <w:pStyle w:val="TableParagraph"/>
              <w:spacing w:before="102"/>
              <w:ind w:right="78"/>
              <w:jc w:val="right"/>
              <w:rPr>
                <w:sz w:val="18"/>
              </w:rPr>
            </w:pPr>
            <w:r>
              <w:rPr>
                <w:spacing w:val="-5"/>
                <w:sz w:val="18"/>
              </w:rPr>
              <w:t>298</w:t>
            </w:r>
          </w:p>
        </w:tc>
      </w:tr>
      <w:tr>
        <w:trPr>
          <w:trHeight w:val="460" w:hRule="atLeast"/>
        </w:trPr>
        <w:tc>
          <w:tcPr>
            <w:tcW w:w="1553" w:type="dxa"/>
            <w:vMerge/>
            <w:tcBorders>
              <w:top w:val="nil"/>
              <w:left w:val="single" w:sz="12" w:space="0" w:color="000000"/>
              <w:bottom w:val="single" w:sz="2" w:space="0" w:color="000000"/>
              <w:right w:val="single" w:sz="2" w:space="0" w:color="000000"/>
            </w:tcBorders>
          </w:tcPr>
          <w:p>
            <w:pPr>
              <w:rPr>
                <w:sz w:val="2"/>
                <w:szCs w:val="2"/>
              </w:rPr>
            </w:pPr>
          </w:p>
        </w:tc>
        <w:tc>
          <w:tcPr>
            <w:tcW w:w="3540" w:type="dxa"/>
            <w:vMerge/>
            <w:tcBorders>
              <w:top w:val="nil"/>
              <w:left w:val="single" w:sz="2" w:space="0" w:color="000000"/>
              <w:bottom w:val="single" w:sz="2" w:space="0" w:color="000000"/>
              <w:right w:val="single" w:sz="2" w:space="0" w:color="000000"/>
            </w:tcBorders>
          </w:tcPr>
          <w:p>
            <w:pPr>
              <w:rPr>
                <w:sz w:val="2"/>
                <w:szCs w:val="2"/>
              </w:rPr>
            </w:pPr>
          </w:p>
        </w:tc>
        <w:tc>
          <w:tcPr>
            <w:tcW w:w="1537" w:type="dxa"/>
            <w:tcBorders>
              <w:top w:val="single" w:sz="2" w:space="0" w:color="000000"/>
              <w:left w:val="single" w:sz="2" w:space="0" w:color="000000"/>
              <w:bottom w:val="single" w:sz="2" w:space="0" w:color="000000"/>
              <w:right w:val="nil"/>
            </w:tcBorders>
          </w:tcPr>
          <w:p>
            <w:pPr>
              <w:pStyle w:val="TableParagraph"/>
              <w:spacing w:line="230" w:lineRule="exact"/>
              <w:ind w:left="117" w:right="555"/>
              <w:rPr>
                <w:b/>
                <w:sz w:val="20"/>
              </w:rPr>
            </w:pPr>
            <w:r>
              <w:rPr>
                <w:b/>
                <w:sz w:val="20"/>
              </w:rPr>
              <w:t>Surplus</w:t>
            </w:r>
            <w:r>
              <w:rPr>
                <w:b/>
                <w:spacing w:val="-14"/>
                <w:sz w:val="20"/>
              </w:rPr>
              <w:t> </w:t>
            </w:r>
            <w:r>
              <w:rPr>
                <w:b/>
                <w:sz w:val="20"/>
              </w:rPr>
              <w:t>/ </w:t>
            </w:r>
            <w:r>
              <w:rPr>
                <w:b/>
                <w:spacing w:val="-2"/>
                <w:sz w:val="20"/>
              </w:rPr>
              <w:t>(deficit)</w:t>
            </w:r>
          </w:p>
        </w:tc>
        <w:tc>
          <w:tcPr>
            <w:tcW w:w="1348" w:type="dxa"/>
            <w:tcBorders>
              <w:top w:val="single" w:sz="2" w:space="0" w:color="000000"/>
              <w:left w:val="nil"/>
              <w:bottom w:val="single" w:sz="2" w:space="0" w:color="000000"/>
              <w:right w:val="nil"/>
            </w:tcBorders>
          </w:tcPr>
          <w:p>
            <w:pPr>
              <w:pStyle w:val="TableParagraph"/>
              <w:spacing w:line="206" w:lineRule="exact"/>
              <w:ind w:right="146"/>
              <w:jc w:val="right"/>
              <w:rPr>
                <w:b/>
                <w:sz w:val="18"/>
              </w:rPr>
            </w:pPr>
            <w:r>
              <w:rPr>
                <w:b/>
                <w:spacing w:val="-2"/>
                <w:sz w:val="18"/>
              </w:rPr>
              <w:t>(268)</w:t>
            </w:r>
          </w:p>
        </w:tc>
        <w:tc>
          <w:tcPr>
            <w:tcW w:w="1216" w:type="dxa"/>
            <w:tcBorders>
              <w:top w:val="single" w:sz="2" w:space="0" w:color="000000"/>
              <w:left w:val="nil"/>
              <w:bottom w:val="single" w:sz="2" w:space="0" w:color="000000"/>
              <w:right w:val="nil"/>
            </w:tcBorders>
          </w:tcPr>
          <w:p>
            <w:pPr>
              <w:pStyle w:val="TableParagraph"/>
              <w:spacing w:line="206" w:lineRule="exact"/>
              <w:ind w:right="90"/>
              <w:jc w:val="right"/>
              <w:rPr>
                <w:b/>
                <w:sz w:val="18"/>
              </w:rPr>
            </w:pPr>
            <w:r>
              <w:rPr>
                <w:b/>
                <w:spacing w:val="-2"/>
                <w:sz w:val="18"/>
              </w:rPr>
              <w:t>(298)</w:t>
            </w:r>
          </w:p>
        </w:tc>
        <w:tc>
          <w:tcPr>
            <w:tcW w:w="1234" w:type="dxa"/>
            <w:tcBorders>
              <w:top w:val="single" w:sz="2" w:space="0" w:color="000000"/>
              <w:left w:val="nil"/>
              <w:bottom w:val="single" w:sz="2" w:space="0" w:color="000000"/>
              <w:right w:val="single" w:sz="12" w:space="0" w:color="000000"/>
            </w:tcBorders>
            <w:shd w:val="clear" w:color="auto" w:fill="BCD6ED"/>
          </w:tcPr>
          <w:p>
            <w:pPr>
              <w:pStyle w:val="TableParagraph"/>
              <w:spacing w:line="206" w:lineRule="exact"/>
              <w:ind w:right="76"/>
              <w:jc w:val="right"/>
              <w:rPr>
                <w:b/>
                <w:sz w:val="18"/>
              </w:rPr>
            </w:pPr>
            <w:r>
              <w:rPr>
                <w:b/>
                <w:spacing w:val="-2"/>
                <w:sz w:val="18"/>
              </w:rPr>
              <w:t>(298)</w:t>
            </w:r>
          </w:p>
        </w:tc>
      </w:tr>
      <w:tr>
        <w:trPr>
          <w:trHeight w:val="2229" w:hRule="atLeast"/>
        </w:trPr>
        <w:tc>
          <w:tcPr>
            <w:tcW w:w="1553" w:type="dxa"/>
            <w:vMerge/>
            <w:tcBorders>
              <w:top w:val="nil"/>
              <w:left w:val="single" w:sz="12" w:space="0" w:color="000000"/>
              <w:bottom w:val="single" w:sz="2" w:space="0" w:color="000000"/>
              <w:right w:val="single" w:sz="2" w:space="0" w:color="000000"/>
            </w:tcBorders>
          </w:tcPr>
          <w:p>
            <w:pPr>
              <w:rPr>
                <w:sz w:val="2"/>
                <w:szCs w:val="2"/>
              </w:rPr>
            </w:pPr>
          </w:p>
        </w:tc>
        <w:tc>
          <w:tcPr>
            <w:tcW w:w="3540" w:type="dxa"/>
            <w:vMerge/>
            <w:tcBorders>
              <w:top w:val="nil"/>
              <w:left w:val="single" w:sz="2" w:space="0" w:color="000000"/>
              <w:bottom w:val="single" w:sz="2" w:space="0" w:color="000000"/>
              <w:right w:val="single" w:sz="2" w:space="0" w:color="000000"/>
            </w:tcBorders>
          </w:tcPr>
          <w:p>
            <w:pPr>
              <w:rPr>
                <w:sz w:val="2"/>
                <w:szCs w:val="2"/>
              </w:rPr>
            </w:pPr>
          </w:p>
        </w:tc>
        <w:tc>
          <w:tcPr>
            <w:tcW w:w="5335" w:type="dxa"/>
            <w:gridSpan w:val="4"/>
            <w:tcBorders>
              <w:top w:val="single" w:sz="2" w:space="0" w:color="000000"/>
              <w:left w:val="single" w:sz="2" w:space="0" w:color="000000"/>
              <w:bottom w:val="single" w:sz="4" w:space="0" w:color="000000"/>
              <w:right w:val="single" w:sz="12" w:space="0" w:color="000000"/>
            </w:tcBorders>
          </w:tcPr>
          <w:p>
            <w:pPr>
              <w:pStyle w:val="TableParagraph"/>
              <w:rPr>
                <w:rFonts w:ascii="Times New Roman"/>
                <w:sz w:val="18"/>
              </w:rPr>
            </w:pPr>
          </w:p>
        </w:tc>
      </w:tr>
      <w:tr>
        <w:trPr>
          <w:trHeight w:val="611" w:hRule="atLeast"/>
        </w:trPr>
        <w:tc>
          <w:tcPr>
            <w:tcW w:w="1553" w:type="dxa"/>
            <w:vMerge w:val="restart"/>
            <w:tcBorders>
              <w:top w:val="single" w:sz="2" w:space="0" w:color="000000"/>
              <w:left w:val="single" w:sz="12" w:space="0" w:color="000000"/>
              <w:bottom w:val="single" w:sz="2" w:space="0" w:color="000000"/>
              <w:right w:val="single" w:sz="2" w:space="0" w:color="000000"/>
            </w:tcBorders>
          </w:tcPr>
          <w:p>
            <w:pPr>
              <w:pStyle w:val="TableParagraph"/>
              <w:ind w:left="107" w:right="201"/>
              <w:rPr>
                <w:sz w:val="20"/>
              </w:rPr>
            </w:pPr>
            <w:r>
              <w:rPr>
                <w:spacing w:val="-2"/>
                <w:sz w:val="20"/>
              </w:rPr>
              <w:t>Emergency management</w:t>
            </w:r>
          </w:p>
        </w:tc>
        <w:tc>
          <w:tcPr>
            <w:tcW w:w="3540" w:type="dxa"/>
            <w:vMerge w:val="restart"/>
            <w:tcBorders>
              <w:top w:val="single" w:sz="2" w:space="0" w:color="000000"/>
              <w:left w:val="single" w:sz="2" w:space="0" w:color="000000"/>
              <w:bottom w:val="single" w:sz="2" w:space="0" w:color="000000"/>
              <w:right w:val="single" w:sz="2" w:space="0" w:color="000000"/>
            </w:tcBorders>
          </w:tcPr>
          <w:p>
            <w:pPr>
              <w:pStyle w:val="TableParagraph"/>
              <w:numPr>
                <w:ilvl w:val="0"/>
                <w:numId w:val="48"/>
              </w:numPr>
              <w:tabs>
                <w:tab w:pos="431" w:val="left" w:leader="none"/>
                <w:tab w:pos="433" w:val="left" w:leader="none"/>
              </w:tabs>
              <w:spacing w:line="245" w:lineRule="exact" w:before="0" w:after="0"/>
              <w:ind w:left="432" w:right="0" w:hanging="314"/>
              <w:jc w:val="left"/>
              <w:rPr>
                <w:sz w:val="20"/>
              </w:rPr>
            </w:pPr>
            <w:r>
              <w:rPr>
                <w:sz w:val="20"/>
              </w:rPr>
              <w:t>Municipal</w:t>
            </w:r>
            <w:r>
              <w:rPr>
                <w:spacing w:val="-9"/>
                <w:sz w:val="20"/>
              </w:rPr>
              <w:t> </w:t>
            </w:r>
            <w:r>
              <w:rPr>
                <w:sz w:val="20"/>
              </w:rPr>
              <w:t>emergency</w:t>
            </w:r>
            <w:r>
              <w:rPr>
                <w:spacing w:val="-11"/>
                <w:sz w:val="20"/>
              </w:rPr>
              <w:t> </w:t>
            </w:r>
            <w:r>
              <w:rPr>
                <w:spacing w:val="-2"/>
                <w:sz w:val="20"/>
              </w:rPr>
              <w:t>planning</w:t>
            </w:r>
          </w:p>
          <w:p>
            <w:pPr>
              <w:pStyle w:val="TableParagraph"/>
              <w:numPr>
                <w:ilvl w:val="0"/>
                <w:numId w:val="48"/>
              </w:numPr>
              <w:tabs>
                <w:tab w:pos="431" w:val="left" w:leader="none"/>
                <w:tab w:pos="433" w:val="left" w:leader="none"/>
              </w:tabs>
              <w:spacing w:line="244" w:lineRule="exact" w:before="0" w:after="0"/>
              <w:ind w:left="432" w:right="0" w:hanging="314"/>
              <w:jc w:val="left"/>
              <w:rPr>
                <w:sz w:val="20"/>
              </w:rPr>
            </w:pPr>
            <w:r>
              <w:rPr>
                <w:sz w:val="20"/>
              </w:rPr>
              <w:t>Community</w:t>
            </w:r>
            <w:r>
              <w:rPr>
                <w:spacing w:val="-9"/>
                <w:sz w:val="20"/>
              </w:rPr>
              <w:t> </w:t>
            </w:r>
            <w:r>
              <w:rPr>
                <w:sz w:val="20"/>
              </w:rPr>
              <w:t>resilience</w:t>
            </w:r>
            <w:r>
              <w:rPr>
                <w:spacing w:val="-10"/>
                <w:sz w:val="20"/>
              </w:rPr>
              <w:t> </w:t>
            </w:r>
            <w:r>
              <w:rPr>
                <w:spacing w:val="-2"/>
                <w:sz w:val="20"/>
              </w:rPr>
              <w:t>building</w:t>
            </w:r>
          </w:p>
          <w:p>
            <w:pPr>
              <w:pStyle w:val="TableParagraph"/>
              <w:numPr>
                <w:ilvl w:val="0"/>
                <w:numId w:val="48"/>
              </w:numPr>
              <w:tabs>
                <w:tab w:pos="431" w:val="left" w:leader="none"/>
                <w:tab w:pos="433" w:val="left" w:leader="none"/>
              </w:tabs>
              <w:spacing w:line="235" w:lineRule="auto" w:before="3" w:after="0"/>
              <w:ind w:left="431" w:right="435" w:hanging="312"/>
              <w:jc w:val="left"/>
              <w:rPr>
                <w:sz w:val="20"/>
              </w:rPr>
            </w:pPr>
            <w:r>
              <w:rPr>
                <w:sz w:val="20"/>
              </w:rPr>
              <w:t>Emergency</w:t>
            </w:r>
            <w:r>
              <w:rPr>
                <w:spacing w:val="-13"/>
                <w:sz w:val="20"/>
              </w:rPr>
              <w:t> </w:t>
            </w:r>
            <w:r>
              <w:rPr>
                <w:sz w:val="20"/>
              </w:rPr>
              <w:t>event</w:t>
            </w:r>
            <w:r>
              <w:rPr>
                <w:spacing w:val="-14"/>
                <w:sz w:val="20"/>
              </w:rPr>
              <w:t> </w:t>
            </w:r>
            <w:r>
              <w:rPr>
                <w:sz w:val="20"/>
              </w:rPr>
              <w:t>support</w:t>
            </w:r>
            <w:r>
              <w:rPr>
                <w:spacing w:val="-14"/>
                <w:sz w:val="20"/>
              </w:rPr>
              <w:t> </w:t>
            </w:r>
            <w:r>
              <w:rPr>
                <w:sz w:val="20"/>
              </w:rPr>
              <w:t>and </w:t>
            </w:r>
            <w:r>
              <w:rPr>
                <w:spacing w:val="-2"/>
                <w:sz w:val="20"/>
              </w:rPr>
              <w:t>assistance</w:t>
            </w:r>
          </w:p>
          <w:p>
            <w:pPr>
              <w:pStyle w:val="TableParagraph"/>
              <w:numPr>
                <w:ilvl w:val="0"/>
                <w:numId w:val="48"/>
              </w:numPr>
              <w:tabs>
                <w:tab w:pos="431" w:val="left" w:leader="none"/>
                <w:tab w:pos="433" w:val="left" w:leader="none"/>
              </w:tabs>
              <w:spacing w:line="240" w:lineRule="auto" w:before="3" w:after="0"/>
              <w:ind w:left="431" w:right="1137" w:hanging="312"/>
              <w:jc w:val="left"/>
              <w:rPr>
                <w:sz w:val="20"/>
              </w:rPr>
            </w:pPr>
            <w:r>
              <w:rPr>
                <w:sz w:val="20"/>
              </w:rPr>
              <w:t>Local</w:t>
            </w:r>
            <w:r>
              <w:rPr>
                <w:spacing w:val="-14"/>
                <w:sz w:val="20"/>
              </w:rPr>
              <w:t> </w:t>
            </w:r>
            <w:r>
              <w:rPr>
                <w:sz w:val="20"/>
              </w:rPr>
              <w:t>recovery</w:t>
            </w:r>
            <w:r>
              <w:rPr>
                <w:spacing w:val="-14"/>
                <w:sz w:val="20"/>
              </w:rPr>
              <w:t> </w:t>
            </w:r>
            <w:r>
              <w:rPr>
                <w:sz w:val="20"/>
              </w:rPr>
              <w:t>activity</w:t>
            </w:r>
            <w:r>
              <w:rPr>
                <w:sz w:val="20"/>
              </w:rPr>
              <w:t> </w:t>
            </w:r>
            <w:r>
              <w:rPr>
                <w:spacing w:val="-2"/>
                <w:sz w:val="20"/>
              </w:rPr>
              <w:t>coordination</w:t>
            </w:r>
          </w:p>
          <w:p>
            <w:pPr>
              <w:pStyle w:val="TableParagraph"/>
              <w:numPr>
                <w:ilvl w:val="0"/>
                <w:numId w:val="48"/>
              </w:numPr>
              <w:tabs>
                <w:tab w:pos="431" w:val="left" w:leader="none"/>
                <w:tab w:pos="433" w:val="left" w:leader="none"/>
              </w:tabs>
              <w:spacing w:line="240" w:lineRule="auto" w:before="0" w:after="0"/>
              <w:ind w:left="432" w:right="0" w:hanging="314"/>
              <w:jc w:val="left"/>
              <w:rPr>
                <w:sz w:val="20"/>
              </w:rPr>
            </w:pPr>
            <w:r>
              <w:rPr>
                <w:sz w:val="20"/>
              </w:rPr>
              <w:t>Covid</w:t>
            </w:r>
            <w:r>
              <w:rPr>
                <w:spacing w:val="-5"/>
                <w:sz w:val="20"/>
              </w:rPr>
              <w:t> </w:t>
            </w:r>
            <w:r>
              <w:rPr>
                <w:sz w:val="20"/>
              </w:rPr>
              <w:t>19</w:t>
            </w:r>
            <w:r>
              <w:rPr>
                <w:spacing w:val="-3"/>
                <w:sz w:val="20"/>
              </w:rPr>
              <w:t> </w:t>
            </w:r>
            <w:r>
              <w:rPr>
                <w:spacing w:val="-2"/>
                <w:sz w:val="20"/>
              </w:rPr>
              <w:t>Pandemic</w:t>
            </w:r>
          </w:p>
        </w:tc>
        <w:tc>
          <w:tcPr>
            <w:tcW w:w="4101" w:type="dxa"/>
            <w:gridSpan w:val="3"/>
            <w:tcBorders>
              <w:top w:val="single" w:sz="4" w:space="0" w:color="000000"/>
              <w:left w:val="single" w:sz="2" w:space="0" w:color="000000"/>
              <w:bottom w:val="single" w:sz="2" w:space="0" w:color="000000"/>
              <w:right w:val="nil"/>
            </w:tcBorders>
          </w:tcPr>
          <w:p>
            <w:pPr>
              <w:pStyle w:val="TableParagraph"/>
              <w:tabs>
                <w:tab w:pos="2430" w:val="left" w:leader="none"/>
                <w:tab w:pos="3942" w:val="left" w:leader="none"/>
              </w:tabs>
              <w:spacing w:line="229" w:lineRule="exact"/>
              <w:ind w:left="117"/>
              <w:rPr>
                <w:sz w:val="18"/>
              </w:rPr>
            </w:pPr>
            <w:r>
              <w:rPr>
                <w:spacing w:val="-2"/>
                <w:sz w:val="20"/>
              </w:rPr>
              <w:t>Income</w:t>
            </w:r>
            <w:r>
              <w:rPr>
                <w:sz w:val="20"/>
              </w:rPr>
              <w:tab/>
            </w:r>
            <w:r>
              <w:rPr>
                <w:spacing w:val="-5"/>
                <w:position w:val="2"/>
                <w:sz w:val="18"/>
              </w:rPr>
              <w:t>162</w:t>
            </w:r>
            <w:r>
              <w:rPr>
                <w:position w:val="2"/>
                <w:sz w:val="18"/>
              </w:rPr>
              <w:tab/>
            </w:r>
            <w:r>
              <w:rPr>
                <w:spacing w:val="-10"/>
                <w:position w:val="2"/>
                <w:sz w:val="18"/>
              </w:rPr>
              <w:t>-</w:t>
            </w:r>
          </w:p>
          <w:p>
            <w:pPr>
              <w:pStyle w:val="TableParagraph"/>
              <w:tabs>
                <w:tab w:pos="2430" w:val="left" w:leader="none"/>
                <w:tab w:pos="4003" w:val="right" w:leader="none"/>
              </w:tabs>
              <w:spacing w:before="76"/>
              <w:ind w:left="117"/>
              <w:rPr>
                <w:sz w:val="18"/>
              </w:rPr>
            </w:pPr>
            <w:r>
              <w:rPr>
                <w:spacing w:val="-2"/>
                <w:sz w:val="20"/>
              </w:rPr>
              <w:t>Expenditure</w:t>
            </w:r>
            <w:r>
              <w:rPr>
                <w:sz w:val="20"/>
              </w:rPr>
              <w:tab/>
            </w:r>
            <w:r>
              <w:rPr>
                <w:spacing w:val="-5"/>
                <w:position w:val="2"/>
                <w:sz w:val="18"/>
              </w:rPr>
              <w:t>263</w:t>
            </w:r>
            <w:r>
              <w:rPr>
                <w:rFonts w:ascii="Times New Roman"/>
                <w:position w:val="2"/>
                <w:sz w:val="18"/>
              </w:rPr>
              <w:tab/>
            </w:r>
            <w:r>
              <w:rPr>
                <w:spacing w:val="-5"/>
                <w:position w:val="2"/>
                <w:sz w:val="18"/>
              </w:rPr>
              <w:t>160</w:t>
            </w:r>
          </w:p>
        </w:tc>
        <w:tc>
          <w:tcPr>
            <w:tcW w:w="1234" w:type="dxa"/>
            <w:tcBorders>
              <w:top w:val="single" w:sz="4" w:space="0" w:color="000000"/>
              <w:left w:val="nil"/>
              <w:bottom w:val="single" w:sz="2" w:space="0" w:color="000000"/>
              <w:right w:val="single" w:sz="12" w:space="0" w:color="000000"/>
            </w:tcBorders>
            <w:shd w:val="clear" w:color="auto" w:fill="BCD6ED"/>
          </w:tcPr>
          <w:p>
            <w:pPr>
              <w:pStyle w:val="TableParagraph"/>
              <w:spacing w:line="206" w:lineRule="exact"/>
              <w:ind w:right="79"/>
              <w:jc w:val="right"/>
              <w:rPr>
                <w:sz w:val="18"/>
              </w:rPr>
            </w:pPr>
            <w:r>
              <w:rPr>
                <w:sz w:val="18"/>
              </w:rPr>
              <w:t>-</w:t>
            </w:r>
          </w:p>
          <w:p>
            <w:pPr>
              <w:pStyle w:val="TableParagraph"/>
              <w:spacing w:before="100"/>
              <w:ind w:right="78"/>
              <w:jc w:val="right"/>
              <w:rPr>
                <w:sz w:val="18"/>
              </w:rPr>
            </w:pPr>
            <w:r>
              <w:rPr>
                <w:spacing w:val="-5"/>
                <w:sz w:val="18"/>
              </w:rPr>
              <w:t>158</w:t>
            </w:r>
          </w:p>
        </w:tc>
      </w:tr>
      <w:tr>
        <w:trPr>
          <w:trHeight w:val="458" w:hRule="atLeast"/>
        </w:trPr>
        <w:tc>
          <w:tcPr>
            <w:tcW w:w="1553" w:type="dxa"/>
            <w:vMerge/>
            <w:tcBorders>
              <w:top w:val="nil"/>
              <w:left w:val="single" w:sz="12" w:space="0" w:color="000000"/>
              <w:bottom w:val="single" w:sz="2" w:space="0" w:color="000000"/>
              <w:right w:val="single" w:sz="2" w:space="0" w:color="000000"/>
            </w:tcBorders>
          </w:tcPr>
          <w:p>
            <w:pPr>
              <w:rPr>
                <w:sz w:val="2"/>
                <w:szCs w:val="2"/>
              </w:rPr>
            </w:pPr>
          </w:p>
        </w:tc>
        <w:tc>
          <w:tcPr>
            <w:tcW w:w="3540" w:type="dxa"/>
            <w:vMerge/>
            <w:tcBorders>
              <w:top w:val="nil"/>
              <w:left w:val="single" w:sz="2" w:space="0" w:color="000000"/>
              <w:bottom w:val="single" w:sz="2" w:space="0" w:color="000000"/>
              <w:right w:val="single" w:sz="2" w:space="0" w:color="000000"/>
            </w:tcBorders>
          </w:tcPr>
          <w:p>
            <w:pPr>
              <w:rPr>
                <w:sz w:val="2"/>
                <w:szCs w:val="2"/>
              </w:rPr>
            </w:pPr>
          </w:p>
        </w:tc>
        <w:tc>
          <w:tcPr>
            <w:tcW w:w="1537" w:type="dxa"/>
            <w:tcBorders>
              <w:top w:val="single" w:sz="2" w:space="0" w:color="000000"/>
              <w:left w:val="single" w:sz="2" w:space="0" w:color="000000"/>
              <w:bottom w:val="single" w:sz="2" w:space="0" w:color="000000"/>
              <w:right w:val="nil"/>
            </w:tcBorders>
          </w:tcPr>
          <w:p>
            <w:pPr>
              <w:pStyle w:val="TableParagraph"/>
              <w:spacing w:line="228" w:lineRule="exact"/>
              <w:ind w:left="117" w:right="555"/>
              <w:rPr>
                <w:b/>
                <w:sz w:val="20"/>
              </w:rPr>
            </w:pPr>
            <w:r>
              <w:rPr>
                <w:b/>
                <w:sz w:val="20"/>
              </w:rPr>
              <w:t>Surplus</w:t>
            </w:r>
            <w:r>
              <w:rPr>
                <w:b/>
                <w:spacing w:val="-14"/>
                <w:sz w:val="20"/>
              </w:rPr>
              <w:t> </w:t>
            </w:r>
            <w:r>
              <w:rPr>
                <w:b/>
                <w:sz w:val="20"/>
              </w:rPr>
              <w:t>/ </w:t>
            </w:r>
            <w:r>
              <w:rPr>
                <w:b/>
                <w:spacing w:val="-2"/>
                <w:sz w:val="20"/>
              </w:rPr>
              <w:t>(deficit)</w:t>
            </w:r>
          </w:p>
        </w:tc>
        <w:tc>
          <w:tcPr>
            <w:tcW w:w="1348" w:type="dxa"/>
            <w:tcBorders>
              <w:top w:val="single" w:sz="2" w:space="0" w:color="000000"/>
              <w:left w:val="nil"/>
              <w:bottom w:val="single" w:sz="2" w:space="0" w:color="000000"/>
              <w:right w:val="nil"/>
            </w:tcBorders>
          </w:tcPr>
          <w:p>
            <w:pPr>
              <w:pStyle w:val="TableParagraph"/>
              <w:spacing w:line="206" w:lineRule="exact"/>
              <w:ind w:right="146"/>
              <w:jc w:val="right"/>
              <w:rPr>
                <w:b/>
                <w:sz w:val="18"/>
              </w:rPr>
            </w:pPr>
            <w:r>
              <w:rPr>
                <w:b/>
                <w:spacing w:val="-2"/>
                <w:sz w:val="18"/>
              </w:rPr>
              <w:t>(101)</w:t>
            </w:r>
          </w:p>
        </w:tc>
        <w:tc>
          <w:tcPr>
            <w:tcW w:w="1216" w:type="dxa"/>
            <w:tcBorders>
              <w:top w:val="single" w:sz="2" w:space="0" w:color="000000"/>
              <w:left w:val="nil"/>
              <w:bottom w:val="single" w:sz="2" w:space="0" w:color="000000"/>
              <w:right w:val="nil"/>
            </w:tcBorders>
          </w:tcPr>
          <w:p>
            <w:pPr>
              <w:pStyle w:val="TableParagraph"/>
              <w:spacing w:line="206" w:lineRule="exact"/>
              <w:ind w:right="90"/>
              <w:jc w:val="right"/>
              <w:rPr>
                <w:b/>
                <w:sz w:val="18"/>
              </w:rPr>
            </w:pPr>
            <w:r>
              <w:rPr>
                <w:b/>
                <w:spacing w:val="-2"/>
                <w:sz w:val="18"/>
              </w:rPr>
              <w:t>(160)</w:t>
            </w:r>
          </w:p>
        </w:tc>
        <w:tc>
          <w:tcPr>
            <w:tcW w:w="1234" w:type="dxa"/>
            <w:tcBorders>
              <w:top w:val="single" w:sz="2" w:space="0" w:color="000000"/>
              <w:left w:val="nil"/>
              <w:bottom w:val="single" w:sz="2" w:space="0" w:color="000000"/>
              <w:right w:val="single" w:sz="12" w:space="0" w:color="000000"/>
            </w:tcBorders>
            <w:shd w:val="clear" w:color="auto" w:fill="BCD6ED"/>
          </w:tcPr>
          <w:p>
            <w:pPr>
              <w:pStyle w:val="TableParagraph"/>
              <w:spacing w:line="206" w:lineRule="exact"/>
              <w:ind w:right="76"/>
              <w:jc w:val="right"/>
              <w:rPr>
                <w:b/>
                <w:sz w:val="18"/>
              </w:rPr>
            </w:pPr>
            <w:r>
              <w:rPr>
                <w:b/>
                <w:spacing w:val="-2"/>
                <w:sz w:val="18"/>
              </w:rPr>
              <w:t>(158)</w:t>
            </w:r>
          </w:p>
        </w:tc>
      </w:tr>
      <w:tr>
        <w:trPr>
          <w:trHeight w:val="796" w:hRule="atLeast"/>
        </w:trPr>
        <w:tc>
          <w:tcPr>
            <w:tcW w:w="1553" w:type="dxa"/>
            <w:vMerge/>
            <w:tcBorders>
              <w:top w:val="nil"/>
              <w:left w:val="single" w:sz="12" w:space="0" w:color="000000"/>
              <w:bottom w:val="single" w:sz="2" w:space="0" w:color="000000"/>
              <w:right w:val="single" w:sz="2" w:space="0" w:color="000000"/>
            </w:tcBorders>
          </w:tcPr>
          <w:p>
            <w:pPr>
              <w:rPr>
                <w:sz w:val="2"/>
                <w:szCs w:val="2"/>
              </w:rPr>
            </w:pPr>
          </w:p>
        </w:tc>
        <w:tc>
          <w:tcPr>
            <w:tcW w:w="3540" w:type="dxa"/>
            <w:vMerge/>
            <w:tcBorders>
              <w:top w:val="nil"/>
              <w:left w:val="single" w:sz="2" w:space="0" w:color="000000"/>
              <w:bottom w:val="single" w:sz="2" w:space="0" w:color="000000"/>
              <w:right w:val="single" w:sz="2" w:space="0" w:color="000000"/>
            </w:tcBorders>
          </w:tcPr>
          <w:p>
            <w:pPr>
              <w:rPr>
                <w:sz w:val="2"/>
                <w:szCs w:val="2"/>
              </w:rPr>
            </w:pPr>
          </w:p>
        </w:tc>
        <w:tc>
          <w:tcPr>
            <w:tcW w:w="4101" w:type="dxa"/>
            <w:gridSpan w:val="3"/>
            <w:tcBorders>
              <w:top w:val="single" w:sz="2" w:space="0" w:color="000000"/>
              <w:left w:val="single" w:sz="2" w:space="0" w:color="000000"/>
              <w:bottom w:val="single" w:sz="4" w:space="0" w:color="000000"/>
              <w:right w:val="nil"/>
            </w:tcBorders>
          </w:tcPr>
          <w:p>
            <w:pPr>
              <w:pStyle w:val="TableParagraph"/>
              <w:rPr>
                <w:rFonts w:ascii="Times New Roman"/>
                <w:sz w:val="18"/>
              </w:rPr>
            </w:pPr>
          </w:p>
        </w:tc>
        <w:tc>
          <w:tcPr>
            <w:tcW w:w="1234" w:type="dxa"/>
            <w:tcBorders>
              <w:top w:val="single" w:sz="2" w:space="0" w:color="000000"/>
              <w:left w:val="nil"/>
              <w:bottom w:val="single" w:sz="4" w:space="0" w:color="000000"/>
              <w:right w:val="single" w:sz="12" w:space="0" w:color="000000"/>
            </w:tcBorders>
            <w:shd w:val="clear" w:color="auto" w:fill="BCD6ED"/>
          </w:tcPr>
          <w:p>
            <w:pPr>
              <w:pStyle w:val="TableParagraph"/>
              <w:rPr>
                <w:rFonts w:ascii="Times New Roman"/>
                <w:sz w:val="18"/>
              </w:rPr>
            </w:pPr>
          </w:p>
        </w:tc>
      </w:tr>
      <w:tr>
        <w:trPr>
          <w:trHeight w:val="599" w:hRule="atLeast"/>
        </w:trPr>
        <w:tc>
          <w:tcPr>
            <w:tcW w:w="1553" w:type="dxa"/>
            <w:vMerge w:val="restart"/>
            <w:tcBorders>
              <w:top w:val="single" w:sz="2" w:space="0" w:color="000000"/>
              <w:left w:val="single" w:sz="12" w:space="0" w:color="000000"/>
              <w:bottom w:val="single" w:sz="12" w:space="0" w:color="000000"/>
              <w:right w:val="single" w:sz="2" w:space="0" w:color="000000"/>
            </w:tcBorders>
          </w:tcPr>
          <w:p>
            <w:pPr>
              <w:pStyle w:val="TableParagraph"/>
              <w:ind w:left="107" w:right="201"/>
              <w:rPr>
                <w:sz w:val="20"/>
              </w:rPr>
            </w:pPr>
            <w:r>
              <w:rPr>
                <w:spacing w:val="-2"/>
                <w:sz w:val="20"/>
              </w:rPr>
              <w:t>Executive office</w:t>
            </w:r>
          </w:p>
        </w:tc>
        <w:tc>
          <w:tcPr>
            <w:tcW w:w="3540" w:type="dxa"/>
            <w:vMerge w:val="restart"/>
            <w:tcBorders>
              <w:top w:val="single" w:sz="2" w:space="0" w:color="000000"/>
              <w:left w:val="single" w:sz="2" w:space="0" w:color="000000"/>
              <w:bottom w:val="single" w:sz="12" w:space="0" w:color="000000"/>
              <w:right w:val="single" w:sz="2" w:space="0" w:color="000000"/>
            </w:tcBorders>
          </w:tcPr>
          <w:p>
            <w:pPr>
              <w:pStyle w:val="TableParagraph"/>
              <w:numPr>
                <w:ilvl w:val="0"/>
                <w:numId w:val="49"/>
              </w:numPr>
              <w:tabs>
                <w:tab w:pos="431" w:val="left" w:leader="none"/>
                <w:tab w:pos="433" w:val="left" w:leader="none"/>
              </w:tabs>
              <w:spacing w:line="245" w:lineRule="exact" w:before="0" w:after="0"/>
              <w:ind w:left="432" w:right="0" w:hanging="314"/>
              <w:jc w:val="left"/>
              <w:rPr>
                <w:sz w:val="20"/>
              </w:rPr>
            </w:pPr>
            <w:r>
              <w:rPr>
                <w:sz w:val="20"/>
              </w:rPr>
              <w:t>Mayor</w:t>
            </w:r>
            <w:r>
              <w:rPr>
                <w:spacing w:val="-6"/>
                <w:sz w:val="20"/>
              </w:rPr>
              <w:t> </w:t>
            </w:r>
            <w:r>
              <w:rPr>
                <w:sz w:val="20"/>
              </w:rPr>
              <w:t>and</w:t>
            </w:r>
            <w:r>
              <w:rPr>
                <w:spacing w:val="-8"/>
                <w:sz w:val="20"/>
              </w:rPr>
              <w:t> </w:t>
            </w:r>
            <w:r>
              <w:rPr>
                <w:sz w:val="20"/>
              </w:rPr>
              <w:t>Councillor</w:t>
            </w:r>
            <w:r>
              <w:rPr>
                <w:spacing w:val="-7"/>
                <w:sz w:val="20"/>
              </w:rPr>
              <w:t> </w:t>
            </w:r>
            <w:r>
              <w:rPr>
                <w:spacing w:val="-2"/>
                <w:sz w:val="20"/>
              </w:rPr>
              <w:t>support</w:t>
            </w:r>
          </w:p>
          <w:p>
            <w:pPr>
              <w:pStyle w:val="TableParagraph"/>
              <w:numPr>
                <w:ilvl w:val="0"/>
                <w:numId w:val="49"/>
              </w:numPr>
              <w:tabs>
                <w:tab w:pos="431" w:val="left" w:leader="none"/>
                <w:tab w:pos="433" w:val="left" w:leader="none"/>
              </w:tabs>
              <w:spacing w:line="244" w:lineRule="exact" w:before="0" w:after="0"/>
              <w:ind w:left="432" w:right="0" w:hanging="314"/>
              <w:jc w:val="left"/>
              <w:rPr>
                <w:sz w:val="20"/>
              </w:rPr>
            </w:pPr>
            <w:r>
              <w:rPr>
                <w:sz w:val="20"/>
              </w:rPr>
              <w:t>Executive</w:t>
            </w:r>
            <w:r>
              <w:rPr>
                <w:spacing w:val="-12"/>
                <w:sz w:val="20"/>
              </w:rPr>
              <w:t> </w:t>
            </w:r>
            <w:r>
              <w:rPr>
                <w:spacing w:val="-2"/>
                <w:sz w:val="20"/>
              </w:rPr>
              <w:t>support</w:t>
            </w:r>
          </w:p>
          <w:p>
            <w:pPr>
              <w:pStyle w:val="TableParagraph"/>
              <w:numPr>
                <w:ilvl w:val="0"/>
                <w:numId w:val="49"/>
              </w:numPr>
              <w:tabs>
                <w:tab w:pos="431" w:val="left" w:leader="none"/>
                <w:tab w:pos="433" w:val="left" w:leader="none"/>
              </w:tabs>
              <w:spacing w:line="240" w:lineRule="auto" w:before="0" w:after="0"/>
              <w:ind w:left="431" w:right="534" w:hanging="312"/>
              <w:jc w:val="left"/>
              <w:rPr>
                <w:sz w:val="20"/>
              </w:rPr>
            </w:pPr>
            <w:r>
              <w:rPr>
                <w:sz w:val="20"/>
              </w:rPr>
              <w:t>Stakeholder</w:t>
            </w:r>
            <w:r>
              <w:rPr>
                <w:spacing w:val="-14"/>
                <w:sz w:val="20"/>
              </w:rPr>
              <w:t> </w:t>
            </w:r>
            <w:r>
              <w:rPr>
                <w:sz w:val="20"/>
              </w:rPr>
              <w:t>and</w:t>
            </w:r>
            <w:r>
              <w:rPr>
                <w:spacing w:val="-14"/>
                <w:sz w:val="20"/>
              </w:rPr>
              <w:t> </w:t>
            </w:r>
            <w:r>
              <w:rPr>
                <w:sz w:val="20"/>
              </w:rPr>
              <w:t>government </w:t>
            </w:r>
            <w:r>
              <w:rPr>
                <w:spacing w:val="-2"/>
                <w:sz w:val="20"/>
              </w:rPr>
              <w:t>relations</w:t>
            </w:r>
          </w:p>
          <w:p>
            <w:pPr>
              <w:pStyle w:val="TableParagraph"/>
              <w:numPr>
                <w:ilvl w:val="0"/>
                <w:numId w:val="49"/>
              </w:numPr>
              <w:tabs>
                <w:tab w:pos="431" w:val="left" w:leader="none"/>
                <w:tab w:pos="433" w:val="left" w:leader="none"/>
              </w:tabs>
              <w:spacing w:line="244" w:lineRule="exact" w:before="0" w:after="0"/>
              <w:ind w:left="432" w:right="0" w:hanging="314"/>
              <w:jc w:val="left"/>
              <w:rPr>
                <w:sz w:val="20"/>
              </w:rPr>
            </w:pPr>
            <w:r>
              <w:rPr>
                <w:spacing w:val="-2"/>
                <w:sz w:val="20"/>
              </w:rPr>
              <w:t>Advocacy</w:t>
            </w:r>
          </w:p>
          <w:p>
            <w:pPr>
              <w:pStyle w:val="TableParagraph"/>
              <w:numPr>
                <w:ilvl w:val="0"/>
                <w:numId w:val="49"/>
              </w:numPr>
              <w:tabs>
                <w:tab w:pos="431" w:val="left" w:leader="none"/>
                <w:tab w:pos="433" w:val="left" w:leader="none"/>
              </w:tabs>
              <w:spacing w:line="244" w:lineRule="exact" w:before="0" w:after="0"/>
              <w:ind w:left="432" w:right="0" w:hanging="314"/>
              <w:jc w:val="left"/>
              <w:rPr>
                <w:sz w:val="20"/>
              </w:rPr>
            </w:pPr>
            <w:r>
              <w:rPr>
                <w:sz w:val="20"/>
              </w:rPr>
              <w:t>Civil</w:t>
            </w:r>
            <w:r>
              <w:rPr>
                <w:spacing w:val="-5"/>
                <w:sz w:val="20"/>
              </w:rPr>
              <w:t> </w:t>
            </w:r>
            <w:r>
              <w:rPr>
                <w:spacing w:val="-2"/>
                <w:sz w:val="20"/>
              </w:rPr>
              <w:t>events</w:t>
            </w:r>
          </w:p>
          <w:p>
            <w:pPr>
              <w:pStyle w:val="TableParagraph"/>
              <w:numPr>
                <w:ilvl w:val="0"/>
                <w:numId w:val="49"/>
              </w:numPr>
              <w:tabs>
                <w:tab w:pos="431" w:val="left" w:leader="none"/>
                <w:tab w:pos="433" w:val="left" w:leader="none"/>
              </w:tabs>
              <w:spacing w:line="240" w:lineRule="auto" w:before="0" w:after="0"/>
              <w:ind w:left="432" w:right="0" w:hanging="314"/>
              <w:jc w:val="left"/>
              <w:rPr>
                <w:sz w:val="20"/>
              </w:rPr>
            </w:pPr>
            <w:r>
              <w:rPr>
                <w:spacing w:val="-2"/>
                <w:sz w:val="20"/>
              </w:rPr>
              <w:t>Awards</w:t>
            </w:r>
          </w:p>
        </w:tc>
        <w:tc>
          <w:tcPr>
            <w:tcW w:w="1537" w:type="dxa"/>
            <w:tcBorders>
              <w:top w:val="single" w:sz="4" w:space="0" w:color="000000"/>
              <w:left w:val="single" w:sz="2" w:space="0" w:color="000000"/>
              <w:bottom w:val="single" w:sz="2" w:space="0" w:color="000000"/>
              <w:right w:val="nil"/>
            </w:tcBorders>
          </w:tcPr>
          <w:p>
            <w:pPr>
              <w:pStyle w:val="TableParagraph"/>
              <w:spacing w:line="229" w:lineRule="exact"/>
              <w:ind w:left="117"/>
              <w:rPr>
                <w:sz w:val="20"/>
              </w:rPr>
            </w:pPr>
            <w:r>
              <w:rPr>
                <w:spacing w:val="-2"/>
                <w:sz w:val="20"/>
              </w:rPr>
              <w:t>Income</w:t>
            </w:r>
          </w:p>
          <w:p>
            <w:pPr>
              <w:pStyle w:val="TableParagraph"/>
              <w:spacing w:before="79"/>
              <w:ind w:left="117"/>
              <w:rPr>
                <w:sz w:val="20"/>
              </w:rPr>
            </w:pPr>
            <w:r>
              <w:rPr>
                <w:spacing w:val="-2"/>
                <w:sz w:val="20"/>
              </w:rPr>
              <w:t>Expenditure</w:t>
            </w:r>
          </w:p>
        </w:tc>
        <w:tc>
          <w:tcPr>
            <w:tcW w:w="1348" w:type="dxa"/>
            <w:tcBorders>
              <w:top w:val="single" w:sz="4" w:space="0" w:color="000000"/>
              <w:left w:val="nil"/>
              <w:bottom w:val="single" w:sz="2" w:space="0" w:color="000000"/>
              <w:right w:val="nil"/>
            </w:tcBorders>
          </w:tcPr>
          <w:p>
            <w:pPr>
              <w:pStyle w:val="TableParagraph"/>
              <w:spacing w:line="206" w:lineRule="exact"/>
              <w:ind w:right="148"/>
              <w:jc w:val="right"/>
              <w:rPr>
                <w:sz w:val="18"/>
              </w:rPr>
            </w:pPr>
            <w:r>
              <w:rPr>
                <w:spacing w:val="-5"/>
                <w:sz w:val="18"/>
              </w:rPr>
              <w:t>49</w:t>
            </w:r>
          </w:p>
          <w:p>
            <w:pPr>
              <w:pStyle w:val="TableParagraph"/>
              <w:spacing w:before="102"/>
              <w:ind w:right="147"/>
              <w:jc w:val="right"/>
              <w:rPr>
                <w:sz w:val="18"/>
              </w:rPr>
            </w:pPr>
            <w:r>
              <w:rPr>
                <w:spacing w:val="-2"/>
                <w:sz w:val="18"/>
              </w:rPr>
              <w:t>2,002</w:t>
            </w:r>
          </w:p>
        </w:tc>
        <w:tc>
          <w:tcPr>
            <w:tcW w:w="1216" w:type="dxa"/>
            <w:tcBorders>
              <w:top w:val="single" w:sz="4" w:space="0" w:color="000000"/>
              <w:left w:val="nil"/>
              <w:bottom w:val="single" w:sz="2" w:space="0" w:color="000000"/>
              <w:right w:val="nil"/>
            </w:tcBorders>
          </w:tcPr>
          <w:p>
            <w:pPr>
              <w:pStyle w:val="TableParagraph"/>
              <w:spacing w:line="206" w:lineRule="exact"/>
              <w:ind w:right="94"/>
              <w:jc w:val="right"/>
              <w:rPr>
                <w:sz w:val="18"/>
              </w:rPr>
            </w:pPr>
            <w:r>
              <w:rPr>
                <w:sz w:val="18"/>
              </w:rPr>
              <w:t>5</w:t>
            </w:r>
          </w:p>
          <w:p>
            <w:pPr>
              <w:pStyle w:val="TableParagraph"/>
              <w:spacing w:before="102"/>
              <w:ind w:right="91"/>
              <w:jc w:val="right"/>
              <w:rPr>
                <w:sz w:val="18"/>
              </w:rPr>
            </w:pPr>
            <w:r>
              <w:rPr>
                <w:spacing w:val="-2"/>
                <w:sz w:val="18"/>
              </w:rPr>
              <w:t>1,862</w:t>
            </w:r>
          </w:p>
        </w:tc>
        <w:tc>
          <w:tcPr>
            <w:tcW w:w="1234" w:type="dxa"/>
            <w:tcBorders>
              <w:top w:val="single" w:sz="4" w:space="0" w:color="000000"/>
              <w:left w:val="nil"/>
              <w:bottom w:val="single" w:sz="2" w:space="0" w:color="000000"/>
              <w:right w:val="single" w:sz="12" w:space="0" w:color="000000"/>
            </w:tcBorders>
            <w:shd w:val="clear" w:color="auto" w:fill="BCD6ED"/>
          </w:tcPr>
          <w:p>
            <w:pPr>
              <w:pStyle w:val="TableParagraph"/>
              <w:spacing w:line="206" w:lineRule="exact"/>
              <w:ind w:right="79"/>
              <w:jc w:val="right"/>
              <w:rPr>
                <w:sz w:val="18"/>
              </w:rPr>
            </w:pPr>
            <w:r>
              <w:rPr>
                <w:sz w:val="18"/>
              </w:rPr>
              <w:t>5</w:t>
            </w:r>
          </w:p>
          <w:p>
            <w:pPr>
              <w:pStyle w:val="TableParagraph"/>
              <w:spacing w:before="102"/>
              <w:ind w:right="77"/>
              <w:jc w:val="right"/>
              <w:rPr>
                <w:sz w:val="18"/>
              </w:rPr>
            </w:pPr>
            <w:r>
              <w:rPr>
                <w:spacing w:val="-2"/>
                <w:sz w:val="18"/>
              </w:rPr>
              <w:t>1,987</w:t>
            </w:r>
          </w:p>
        </w:tc>
      </w:tr>
      <w:tr>
        <w:trPr>
          <w:trHeight w:val="435" w:hRule="atLeast"/>
        </w:trPr>
        <w:tc>
          <w:tcPr>
            <w:tcW w:w="1553" w:type="dxa"/>
            <w:vMerge/>
            <w:tcBorders>
              <w:top w:val="nil"/>
              <w:left w:val="single" w:sz="12" w:space="0" w:color="000000"/>
              <w:bottom w:val="single" w:sz="12" w:space="0" w:color="000000"/>
              <w:right w:val="single" w:sz="2" w:space="0" w:color="000000"/>
            </w:tcBorders>
          </w:tcPr>
          <w:p>
            <w:pPr>
              <w:rPr>
                <w:sz w:val="2"/>
                <w:szCs w:val="2"/>
              </w:rPr>
            </w:pPr>
          </w:p>
        </w:tc>
        <w:tc>
          <w:tcPr>
            <w:tcW w:w="3540" w:type="dxa"/>
            <w:vMerge/>
            <w:tcBorders>
              <w:top w:val="nil"/>
              <w:left w:val="single" w:sz="2" w:space="0" w:color="000000"/>
              <w:bottom w:val="single" w:sz="12" w:space="0" w:color="000000"/>
              <w:right w:val="single" w:sz="2" w:space="0" w:color="000000"/>
            </w:tcBorders>
          </w:tcPr>
          <w:p>
            <w:pPr>
              <w:rPr>
                <w:sz w:val="2"/>
                <w:szCs w:val="2"/>
              </w:rPr>
            </w:pPr>
          </w:p>
        </w:tc>
        <w:tc>
          <w:tcPr>
            <w:tcW w:w="1537" w:type="dxa"/>
            <w:tcBorders>
              <w:top w:val="single" w:sz="2" w:space="0" w:color="000000"/>
              <w:left w:val="single" w:sz="2" w:space="0" w:color="000000"/>
              <w:bottom w:val="single" w:sz="2" w:space="0" w:color="000000"/>
              <w:right w:val="nil"/>
            </w:tcBorders>
          </w:tcPr>
          <w:p>
            <w:pPr>
              <w:pStyle w:val="TableParagraph"/>
              <w:spacing w:line="217" w:lineRule="exact"/>
              <w:ind w:left="117"/>
              <w:rPr>
                <w:b/>
                <w:sz w:val="20"/>
              </w:rPr>
            </w:pPr>
            <w:r>
              <w:rPr>
                <w:b/>
                <w:sz w:val="20"/>
              </w:rPr>
              <w:t>Surplus</w:t>
            </w:r>
            <w:r>
              <w:rPr>
                <w:b/>
                <w:spacing w:val="-11"/>
                <w:sz w:val="20"/>
              </w:rPr>
              <w:t> </w:t>
            </w:r>
            <w:r>
              <w:rPr>
                <w:b/>
                <w:spacing w:val="-10"/>
                <w:sz w:val="20"/>
              </w:rPr>
              <w:t>/</w:t>
            </w:r>
          </w:p>
          <w:p>
            <w:pPr>
              <w:pStyle w:val="TableParagraph"/>
              <w:spacing w:line="198" w:lineRule="exact"/>
              <w:ind w:left="117"/>
              <w:rPr>
                <w:b/>
                <w:sz w:val="20"/>
              </w:rPr>
            </w:pPr>
            <w:r>
              <w:rPr>
                <w:b/>
                <w:spacing w:val="-2"/>
                <w:sz w:val="20"/>
              </w:rPr>
              <w:t>(deficit)</w:t>
            </w:r>
          </w:p>
        </w:tc>
        <w:tc>
          <w:tcPr>
            <w:tcW w:w="1348" w:type="dxa"/>
            <w:tcBorders>
              <w:top w:val="single" w:sz="2" w:space="0" w:color="000000"/>
              <w:left w:val="nil"/>
              <w:bottom w:val="single" w:sz="2" w:space="0" w:color="000000"/>
              <w:right w:val="nil"/>
            </w:tcBorders>
          </w:tcPr>
          <w:p>
            <w:pPr>
              <w:pStyle w:val="TableParagraph"/>
              <w:spacing w:line="194" w:lineRule="exact"/>
              <w:ind w:right="147"/>
              <w:jc w:val="right"/>
              <w:rPr>
                <w:b/>
                <w:sz w:val="18"/>
              </w:rPr>
            </w:pPr>
            <w:r>
              <w:rPr>
                <w:b/>
                <w:spacing w:val="-2"/>
                <w:sz w:val="18"/>
              </w:rPr>
              <w:t>(1,953)</w:t>
            </w:r>
          </w:p>
        </w:tc>
        <w:tc>
          <w:tcPr>
            <w:tcW w:w="1216" w:type="dxa"/>
            <w:tcBorders>
              <w:top w:val="single" w:sz="2" w:space="0" w:color="000000"/>
              <w:left w:val="nil"/>
              <w:bottom w:val="single" w:sz="2" w:space="0" w:color="000000"/>
              <w:right w:val="nil"/>
            </w:tcBorders>
          </w:tcPr>
          <w:p>
            <w:pPr>
              <w:pStyle w:val="TableParagraph"/>
              <w:spacing w:line="194" w:lineRule="exact"/>
              <w:ind w:right="91"/>
              <w:jc w:val="right"/>
              <w:rPr>
                <w:b/>
                <w:sz w:val="18"/>
              </w:rPr>
            </w:pPr>
            <w:r>
              <w:rPr>
                <w:b/>
                <w:spacing w:val="-2"/>
                <w:sz w:val="18"/>
              </w:rPr>
              <w:t>(1,857)</w:t>
            </w:r>
          </w:p>
        </w:tc>
        <w:tc>
          <w:tcPr>
            <w:tcW w:w="1234" w:type="dxa"/>
            <w:tcBorders>
              <w:top w:val="single" w:sz="2" w:space="0" w:color="000000"/>
              <w:left w:val="nil"/>
              <w:bottom w:val="single" w:sz="2" w:space="0" w:color="000000"/>
              <w:right w:val="single" w:sz="12" w:space="0" w:color="000000"/>
            </w:tcBorders>
            <w:shd w:val="clear" w:color="auto" w:fill="BCD6ED"/>
          </w:tcPr>
          <w:p>
            <w:pPr>
              <w:pStyle w:val="TableParagraph"/>
              <w:spacing w:line="194" w:lineRule="exact"/>
              <w:ind w:right="77"/>
              <w:jc w:val="right"/>
              <w:rPr>
                <w:b/>
                <w:sz w:val="18"/>
              </w:rPr>
            </w:pPr>
            <w:r>
              <w:rPr>
                <w:b/>
                <w:spacing w:val="-2"/>
                <w:sz w:val="18"/>
              </w:rPr>
              <w:t>(1,982)</w:t>
            </w:r>
          </w:p>
        </w:tc>
      </w:tr>
      <w:tr>
        <w:trPr>
          <w:trHeight w:val="797" w:hRule="atLeast"/>
        </w:trPr>
        <w:tc>
          <w:tcPr>
            <w:tcW w:w="1553" w:type="dxa"/>
            <w:vMerge/>
            <w:tcBorders>
              <w:top w:val="nil"/>
              <w:left w:val="single" w:sz="12" w:space="0" w:color="000000"/>
              <w:bottom w:val="single" w:sz="12" w:space="0" w:color="000000"/>
              <w:right w:val="single" w:sz="2" w:space="0" w:color="000000"/>
            </w:tcBorders>
          </w:tcPr>
          <w:p>
            <w:pPr>
              <w:rPr>
                <w:sz w:val="2"/>
                <w:szCs w:val="2"/>
              </w:rPr>
            </w:pPr>
          </w:p>
        </w:tc>
        <w:tc>
          <w:tcPr>
            <w:tcW w:w="3540" w:type="dxa"/>
            <w:vMerge/>
            <w:tcBorders>
              <w:top w:val="nil"/>
              <w:left w:val="single" w:sz="2" w:space="0" w:color="000000"/>
              <w:bottom w:val="single" w:sz="12" w:space="0" w:color="000000"/>
              <w:right w:val="single" w:sz="2" w:space="0" w:color="000000"/>
            </w:tcBorders>
          </w:tcPr>
          <w:p>
            <w:pPr>
              <w:rPr>
                <w:sz w:val="2"/>
                <w:szCs w:val="2"/>
              </w:rPr>
            </w:pPr>
          </w:p>
        </w:tc>
        <w:tc>
          <w:tcPr>
            <w:tcW w:w="5335" w:type="dxa"/>
            <w:gridSpan w:val="4"/>
            <w:tcBorders>
              <w:top w:val="single" w:sz="2" w:space="0" w:color="000000"/>
              <w:left w:val="single" w:sz="2" w:space="0" w:color="000000"/>
              <w:bottom w:val="single" w:sz="12" w:space="0" w:color="000000"/>
              <w:right w:val="single" w:sz="12" w:space="0" w:color="000000"/>
            </w:tcBorders>
          </w:tcPr>
          <w:p>
            <w:pPr>
              <w:pStyle w:val="TableParagraph"/>
              <w:rPr>
                <w:rFonts w:ascii="Times New Roman"/>
                <w:sz w:val="18"/>
              </w:rPr>
            </w:pPr>
          </w:p>
        </w:tc>
      </w:tr>
    </w:tbl>
    <w:p>
      <w:pPr>
        <w:spacing w:after="0"/>
        <w:rPr>
          <w:rFonts w:ascii="Times New Roman"/>
          <w:sz w:val="18"/>
        </w:rPr>
        <w:sectPr>
          <w:pgSz w:w="11910" w:h="16840"/>
          <w:pgMar w:header="0" w:footer="375" w:top="540" w:bottom="560" w:left="460" w:right="160"/>
        </w:sectPr>
      </w:pPr>
    </w:p>
    <w:tbl>
      <w:tblPr>
        <w:tblW w:w="0" w:type="auto"/>
        <w:jc w:val="left"/>
        <w:tblInd w:w="4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553"/>
        <w:gridCol w:w="3540"/>
        <w:gridCol w:w="1537"/>
        <w:gridCol w:w="1348"/>
        <w:gridCol w:w="1216"/>
        <w:gridCol w:w="1234"/>
      </w:tblGrid>
      <w:tr>
        <w:trPr>
          <w:trHeight w:val="900" w:hRule="atLeast"/>
        </w:trPr>
        <w:tc>
          <w:tcPr>
            <w:tcW w:w="1553" w:type="dxa"/>
            <w:tcBorders>
              <w:left w:val="single" w:sz="12" w:space="0" w:color="000000"/>
              <w:bottom w:val="single" w:sz="2" w:space="0" w:color="000000"/>
              <w:right w:val="nil"/>
            </w:tcBorders>
            <w:shd w:val="clear" w:color="auto" w:fill="5B9AD4"/>
          </w:tcPr>
          <w:p>
            <w:pPr>
              <w:pStyle w:val="TableParagraph"/>
              <w:spacing w:before="2"/>
              <w:rPr>
                <w:b/>
                <w:sz w:val="19"/>
              </w:rPr>
            </w:pPr>
          </w:p>
          <w:p>
            <w:pPr>
              <w:pStyle w:val="TableParagraph"/>
              <w:ind w:left="169"/>
              <w:rPr>
                <w:b/>
                <w:sz w:val="20"/>
              </w:rPr>
            </w:pPr>
            <w:r>
              <w:rPr>
                <w:b/>
                <w:color w:val="FFFFFF"/>
                <w:sz w:val="20"/>
              </w:rPr>
              <w:t>Service</w:t>
            </w:r>
            <w:r>
              <w:rPr>
                <w:b/>
                <w:color w:val="FFFFFF"/>
                <w:spacing w:val="-10"/>
                <w:sz w:val="20"/>
              </w:rPr>
              <w:t> </w:t>
            </w:r>
            <w:r>
              <w:rPr>
                <w:b/>
                <w:color w:val="FFFFFF"/>
                <w:spacing w:val="-4"/>
                <w:sz w:val="20"/>
              </w:rPr>
              <w:t>Area</w:t>
            </w:r>
          </w:p>
        </w:tc>
        <w:tc>
          <w:tcPr>
            <w:tcW w:w="3540" w:type="dxa"/>
            <w:tcBorders>
              <w:left w:val="nil"/>
              <w:bottom w:val="single" w:sz="2" w:space="0" w:color="000000"/>
              <w:right w:val="nil"/>
            </w:tcBorders>
            <w:shd w:val="clear" w:color="auto" w:fill="5B9AD4"/>
          </w:tcPr>
          <w:p>
            <w:pPr>
              <w:pStyle w:val="TableParagraph"/>
              <w:spacing w:before="6"/>
              <w:rPr>
                <w:b/>
                <w:sz w:val="28"/>
              </w:rPr>
            </w:pPr>
          </w:p>
          <w:p>
            <w:pPr>
              <w:pStyle w:val="TableParagraph"/>
              <w:ind w:left="916"/>
              <w:rPr>
                <w:b/>
                <w:sz w:val="20"/>
              </w:rPr>
            </w:pPr>
            <w:r>
              <w:rPr>
                <w:b/>
                <w:color w:val="FFFFFF"/>
                <w:sz w:val="20"/>
              </w:rPr>
              <w:t>Services</w:t>
            </w:r>
            <w:r>
              <w:rPr>
                <w:b/>
                <w:color w:val="FFFFFF"/>
                <w:spacing w:val="-9"/>
                <w:sz w:val="20"/>
              </w:rPr>
              <w:t> </w:t>
            </w:r>
            <w:r>
              <w:rPr>
                <w:b/>
                <w:color w:val="FFFFFF"/>
                <w:spacing w:val="-2"/>
                <w:sz w:val="20"/>
              </w:rPr>
              <w:t>Provided</w:t>
            </w:r>
          </w:p>
        </w:tc>
        <w:tc>
          <w:tcPr>
            <w:tcW w:w="1537" w:type="dxa"/>
            <w:tcBorders>
              <w:left w:val="nil"/>
              <w:bottom w:val="nil"/>
              <w:right w:val="nil"/>
            </w:tcBorders>
            <w:shd w:val="clear" w:color="auto" w:fill="5B9AD4"/>
          </w:tcPr>
          <w:p>
            <w:pPr>
              <w:pStyle w:val="TableParagraph"/>
              <w:rPr>
                <w:rFonts w:ascii="Times New Roman"/>
                <w:sz w:val="18"/>
              </w:rPr>
            </w:pPr>
          </w:p>
        </w:tc>
        <w:tc>
          <w:tcPr>
            <w:tcW w:w="1348" w:type="dxa"/>
            <w:tcBorders>
              <w:left w:val="nil"/>
              <w:bottom w:val="nil"/>
              <w:right w:val="nil"/>
            </w:tcBorders>
            <w:shd w:val="clear" w:color="auto" w:fill="5B9AD4"/>
          </w:tcPr>
          <w:p>
            <w:pPr>
              <w:pStyle w:val="TableParagraph"/>
              <w:spacing w:before="26"/>
              <w:ind w:left="350" w:right="222"/>
              <w:jc w:val="center"/>
              <w:rPr>
                <w:b/>
                <w:sz w:val="20"/>
              </w:rPr>
            </w:pPr>
            <w:r>
              <w:rPr>
                <w:b/>
                <w:color w:val="FFFFFF"/>
                <w:spacing w:val="-2"/>
                <w:sz w:val="20"/>
              </w:rPr>
              <w:t>2023/24</w:t>
            </w:r>
          </w:p>
          <w:p>
            <w:pPr>
              <w:pStyle w:val="TableParagraph"/>
              <w:spacing w:before="72"/>
              <w:ind w:left="350" w:right="223"/>
              <w:jc w:val="center"/>
              <w:rPr>
                <w:b/>
                <w:sz w:val="20"/>
              </w:rPr>
            </w:pPr>
            <w:r>
              <w:rPr>
                <w:b/>
                <w:color w:val="FFFFFF"/>
                <w:spacing w:val="-2"/>
                <w:sz w:val="20"/>
              </w:rPr>
              <w:t>Actual</w:t>
            </w:r>
          </w:p>
          <w:p>
            <w:pPr>
              <w:pStyle w:val="TableParagraph"/>
              <w:spacing w:before="75"/>
              <w:ind w:left="350" w:right="223"/>
              <w:jc w:val="center"/>
              <w:rPr>
                <w:b/>
                <w:sz w:val="20"/>
              </w:rPr>
            </w:pPr>
            <w:r>
              <w:rPr>
                <w:b/>
                <w:color w:val="FFFFFF"/>
                <w:spacing w:val="-2"/>
                <w:sz w:val="20"/>
              </w:rPr>
              <w:t>$'000</w:t>
            </w:r>
          </w:p>
        </w:tc>
        <w:tc>
          <w:tcPr>
            <w:tcW w:w="1216" w:type="dxa"/>
            <w:tcBorders>
              <w:left w:val="nil"/>
              <w:bottom w:val="nil"/>
              <w:right w:val="nil"/>
            </w:tcBorders>
            <w:shd w:val="clear" w:color="auto" w:fill="5B9AD4"/>
          </w:tcPr>
          <w:p>
            <w:pPr>
              <w:pStyle w:val="TableParagraph"/>
              <w:spacing w:before="26"/>
              <w:ind w:left="80" w:right="113"/>
              <w:jc w:val="center"/>
              <w:rPr>
                <w:b/>
                <w:sz w:val="20"/>
              </w:rPr>
            </w:pPr>
            <w:r>
              <w:rPr>
                <w:b/>
                <w:color w:val="FFFFFF"/>
                <w:spacing w:val="-2"/>
                <w:sz w:val="20"/>
              </w:rPr>
              <w:t>2024/25</w:t>
            </w:r>
          </w:p>
          <w:p>
            <w:pPr>
              <w:pStyle w:val="TableParagraph"/>
              <w:spacing w:before="72"/>
              <w:ind w:left="81" w:right="113"/>
              <w:jc w:val="center"/>
              <w:rPr>
                <w:b/>
                <w:sz w:val="20"/>
              </w:rPr>
            </w:pPr>
            <w:r>
              <w:rPr>
                <w:b/>
                <w:color w:val="FFFFFF"/>
                <w:spacing w:val="-2"/>
                <w:sz w:val="20"/>
              </w:rPr>
              <w:t>Forecast</w:t>
            </w:r>
          </w:p>
          <w:p>
            <w:pPr>
              <w:pStyle w:val="TableParagraph"/>
              <w:spacing w:before="75"/>
              <w:ind w:left="79" w:right="113"/>
              <w:jc w:val="center"/>
              <w:rPr>
                <w:b/>
                <w:sz w:val="20"/>
              </w:rPr>
            </w:pPr>
            <w:r>
              <w:rPr>
                <w:b/>
                <w:color w:val="FFFFFF"/>
                <w:spacing w:val="-2"/>
                <w:sz w:val="20"/>
              </w:rPr>
              <w:t>$'000</w:t>
            </w:r>
          </w:p>
        </w:tc>
        <w:tc>
          <w:tcPr>
            <w:tcW w:w="1234" w:type="dxa"/>
            <w:tcBorders>
              <w:left w:val="nil"/>
              <w:bottom w:val="nil"/>
              <w:right w:val="single" w:sz="12" w:space="0" w:color="000000"/>
            </w:tcBorders>
            <w:shd w:val="clear" w:color="auto" w:fill="5B9AD4"/>
          </w:tcPr>
          <w:p>
            <w:pPr>
              <w:pStyle w:val="TableParagraph"/>
              <w:spacing w:before="26"/>
              <w:ind w:left="240" w:right="221"/>
              <w:jc w:val="center"/>
              <w:rPr>
                <w:b/>
                <w:sz w:val="20"/>
              </w:rPr>
            </w:pPr>
            <w:r>
              <w:rPr>
                <w:b/>
                <w:color w:val="FFFFFF"/>
                <w:spacing w:val="-2"/>
                <w:sz w:val="20"/>
              </w:rPr>
              <w:t>2025/26</w:t>
            </w:r>
          </w:p>
          <w:p>
            <w:pPr>
              <w:pStyle w:val="TableParagraph"/>
              <w:spacing w:before="72"/>
              <w:ind w:left="240" w:right="219"/>
              <w:jc w:val="center"/>
              <w:rPr>
                <w:b/>
                <w:sz w:val="20"/>
              </w:rPr>
            </w:pPr>
            <w:r>
              <w:rPr>
                <w:b/>
                <w:color w:val="FFFFFF"/>
                <w:spacing w:val="-2"/>
                <w:sz w:val="20"/>
              </w:rPr>
              <w:t>Budget</w:t>
            </w:r>
          </w:p>
          <w:p>
            <w:pPr>
              <w:pStyle w:val="TableParagraph"/>
              <w:spacing w:before="75"/>
              <w:ind w:left="240" w:right="221"/>
              <w:jc w:val="center"/>
              <w:rPr>
                <w:b/>
                <w:sz w:val="20"/>
              </w:rPr>
            </w:pPr>
            <w:r>
              <w:rPr>
                <w:b/>
                <w:color w:val="FFFFFF"/>
                <w:spacing w:val="-2"/>
                <w:sz w:val="20"/>
              </w:rPr>
              <w:t>$'000</w:t>
            </w:r>
          </w:p>
        </w:tc>
      </w:tr>
      <w:tr>
        <w:trPr>
          <w:trHeight w:val="611" w:hRule="atLeast"/>
        </w:trPr>
        <w:tc>
          <w:tcPr>
            <w:tcW w:w="1553" w:type="dxa"/>
            <w:tcBorders>
              <w:top w:val="single" w:sz="2" w:space="0" w:color="000000"/>
              <w:left w:val="single" w:sz="12" w:space="0" w:color="000000"/>
              <w:bottom w:val="nil"/>
              <w:right w:val="single" w:sz="2" w:space="0" w:color="000000"/>
            </w:tcBorders>
          </w:tcPr>
          <w:p>
            <w:pPr>
              <w:pStyle w:val="TableParagraph"/>
              <w:ind w:left="107" w:right="201"/>
              <w:rPr>
                <w:sz w:val="20"/>
              </w:rPr>
            </w:pPr>
            <w:r>
              <w:rPr>
                <w:spacing w:val="-2"/>
                <w:sz w:val="20"/>
              </w:rPr>
              <w:t>Financial accounting</w:t>
            </w:r>
          </w:p>
        </w:tc>
        <w:tc>
          <w:tcPr>
            <w:tcW w:w="3540" w:type="dxa"/>
            <w:vMerge w:val="restart"/>
            <w:tcBorders>
              <w:top w:val="single" w:sz="2" w:space="0" w:color="000000"/>
              <w:left w:val="single" w:sz="2" w:space="0" w:color="000000"/>
              <w:bottom w:val="single" w:sz="2" w:space="0" w:color="000000"/>
              <w:right w:val="single" w:sz="2" w:space="0" w:color="000000"/>
            </w:tcBorders>
          </w:tcPr>
          <w:p>
            <w:pPr>
              <w:pStyle w:val="TableParagraph"/>
              <w:numPr>
                <w:ilvl w:val="0"/>
                <w:numId w:val="50"/>
              </w:numPr>
              <w:tabs>
                <w:tab w:pos="431" w:val="left" w:leader="none"/>
                <w:tab w:pos="433" w:val="left" w:leader="none"/>
              </w:tabs>
              <w:spacing w:line="244" w:lineRule="exact" w:before="0" w:after="0"/>
              <w:ind w:left="432" w:right="0" w:hanging="314"/>
              <w:jc w:val="left"/>
              <w:rPr>
                <w:sz w:val="20"/>
              </w:rPr>
            </w:pPr>
            <w:r>
              <w:rPr>
                <w:sz w:val="20"/>
              </w:rPr>
              <w:t>Financial</w:t>
            </w:r>
            <w:r>
              <w:rPr>
                <w:spacing w:val="-12"/>
                <w:sz w:val="20"/>
              </w:rPr>
              <w:t> </w:t>
            </w:r>
            <w:r>
              <w:rPr>
                <w:spacing w:val="-2"/>
                <w:sz w:val="20"/>
              </w:rPr>
              <w:t>accounting</w:t>
            </w:r>
          </w:p>
          <w:p>
            <w:pPr>
              <w:pStyle w:val="TableParagraph"/>
              <w:numPr>
                <w:ilvl w:val="0"/>
                <w:numId w:val="50"/>
              </w:numPr>
              <w:tabs>
                <w:tab w:pos="431" w:val="left" w:leader="none"/>
                <w:tab w:pos="433" w:val="left" w:leader="none"/>
              </w:tabs>
              <w:spacing w:line="244" w:lineRule="exact" w:before="0" w:after="0"/>
              <w:ind w:left="432" w:right="0" w:hanging="314"/>
              <w:jc w:val="left"/>
              <w:rPr>
                <w:sz w:val="20"/>
              </w:rPr>
            </w:pPr>
            <w:r>
              <w:rPr>
                <w:sz w:val="20"/>
              </w:rPr>
              <w:t>Financial</w:t>
            </w:r>
            <w:r>
              <w:rPr>
                <w:spacing w:val="-10"/>
                <w:sz w:val="20"/>
              </w:rPr>
              <w:t> </w:t>
            </w:r>
            <w:r>
              <w:rPr>
                <w:sz w:val="20"/>
              </w:rPr>
              <w:t>Statements</w:t>
            </w:r>
            <w:r>
              <w:rPr>
                <w:spacing w:val="-10"/>
                <w:sz w:val="20"/>
              </w:rPr>
              <w:t> </w:t>
            </w:r>
            <w:r>
              <w:rPr>
                <w:spacing w:val="-2"/>
                <w:sz w:val="20"/>
              </w:rPr>
              <w:t>preparation</w:t>
            </w:r>
          </w:p>
          <w:p>
            <w:pPr>
              <w:pStyle w:val="TableParagraph"/>
              <w:numPr>
                <w:ilvl w:val="0"/>
                <w:numId w:val="50"/>
              </w:numPr>
              <w:tabs>
                <w:tab w:pos="431" w:val="left" w:leader="none"/>
                <w:tab w:pos="433" w:val="left" w:leader="none"/>
              </w:tabs>
              <w:spacing w:line="235" w:lineRule="auto" w:before="4" w:after="0"/>
              <w:ind w:left="431" w:right="391" w:hanging="312"/>
              <w:jc w:val="left"/>
              <w:rPr>
                <w:sz w:val="20"/>
              </w:rPr>
            </w:pPr>
            <w:r>
              <w:rPr>
                <w:sz w:val="20"/>
              </w:rPr>
              <w:t>Treasury</w:t>
            </w:r>
            <w:r>
              <w:rPr>
                <w:spacing w:val="-14"/>
                <w:sz w:val="20"/>
              </w:rPr>
              <w:t> </w:t>
            </w:r>
            <w:r>
              <w:rPr>
                <w:sz w:val="20"/>
              </w:rPr>
              <w:t>accounting,</w:t>
            </w:r>
            <w:r>
              <w:rPr>
                <w:spacing w:val="-14"/>
                <w:sz w:val="20"/>
              </w:rPr>
              <w:t> </w:t>
            </w:r>
            <w:r>
              <w:rPr>
                <w:sz w:val="20"/>
              </w:rPr>
              <w:t>including borrowings and investments</w:t>
            </w:r>
          </w:p>
          <w:p>
            <w:pPr>
              <w:pStyle w:val="TableParagraph"/>
              <w:numPr>
                <w:ilvl w:val="0"/>
                <w:numId w:val="50"/>
              </w:numPr>
              <w:tabs>
                <w:tab w:pos="431" w:val="left" w:leader="none"/>
                <w:tab w:pos="433" w:val="left" w:leader="none"/>
              </w:tabs>
              <w:spacing w:line="245" w:lineRule="exact" w:before="3" w:after="0"/>
              <w:ind w:left="432" w:right="0" w:hanging="314"/>
              <w:jc w:val="left"/>
              <w:rPr>
                <w:sz w:val="20"/>
              </w:rPr>
            </w:pPr>
            <w:r>
              <w:rPr>
                <w:sz w:val="20"/>
              </w:rPr>
              <w:t>Tax</w:t>
            </w:r>
            <w:r>
              <w:rPr>
                <w:spacing w:val="-6"/>
                <w:sz w:val="20"/>
              </w:rPr>
              <w:t> </w:t>
            </w:r>
            <w:r>
              <w:rPr>
                <w:sz w:val="20"/>
              </w:rPr>
              <w:t>reporting</w:t>
            </w:r>
            <w:r>
              <w:rPr>
                <w:spacing w:val="-5"/>
                <w:sz w:val="20"/>
              </w:rPr>
              <w:t> </w:t>
            </w:r>
            <w:r>
              <w:rPr>
                <w:sz w:val="20"/>
              </w:rPr>
              <w:t>and</w:t>
            </w:r>
            <w:r>
              <w:rPr>
                <w:spacing w:val="-7"/>
                <w:sz w:val="20"/>
              </w:rPr>
              <w:t> </w:t>
            </w:r>
            <w:r>
              <w:rPr>
                <w:spacing w:val="-2"/>
                <w:sz w:val="20"/>
              </w:rPr>
              <w:t>compliance</w:t>
            </w:r>
          </w:p>
          <w:p>
            <w:pPr>
              <w:pStyle w:val="TableParagraph"/>
              <w:numPr>
                <w:ilvl w:val="0"/>
                <w:numId w:val="50"/>
              </w:numPr>
              <w:tabs>
                <w:tab w:pos="431" w:val="left" w:leader="none"/>
                <w:tab w:pos="433" w:val="left" w:leader="none"/>
              </w:tabs>
              <w:spacing w:line="244" w:lineRule="exact" w:before="0" w:after="0"/>
              <w:ind w:left="432" w:right="0" w:hanging="314"/>
              <w:jc w:val="left"/>
              <w:rPr>
                <w:sz w:val="20"/>
              </w:rPr>
            </w:pPr>
            <w:r>
              <w:rPr>
                <w:sz w:val="20"/>
              </w:rPr>
              <w:t>Strategic</w:t>
            </w:r>
            <w:r>
              <w:rPr>
                <w:spacing w:val="-10"/>
                <w:sz w:val="20"/>
              </w:rPr>
              <w:t> </w:t>
            </w:r>
            <w:r>
              <w:rPr>
                <w:sz w:val="20"/>
              </w:rPr>
              <w:t>project</w:t>
            </w:r>
            <w:r>
              <w:rPr>
                <w:spacing w:val="-6"/>
                <w:sz w:val="20"/>
              </w:rPr>
              <w:t> </w:t>
            </w:r>
            <w:r>
              <w:rPr>
                <w:spacing w:val="-2"/>
                <w:sz w:val="20"/>
              </w:rPr>
              <w:t>analysis</w:t>
            </w:r>
          </w:p>
          <w:p>
            <w:pPr>
              <w:pStyle w:val="TableParagraph"/>
              <w:numPr>
                <w:ilvl w:val="0"/>
                <w:numId w:val="50"/>
              </w:numPr>
              <w:tabs>
                <w:tab w:pos="431" w:val="left" w:leader="none"/>
                <w:tab w:pos="433" w:val="left" w:leader="none"/>
              </w:tabs>
              <w:spacing w:line="235" w:lineRule="auto" w:before="3" w:after="0"/>
              <w:ind w:left="431" w:right="822" w:hanging="312"/>
              <w:jc w:val="left"/>
              <w:rPr>
                <w:sz w:val="20"/>
              </w:rPr>
            </w:pPr>
            <w:r>
              <w:rPr>
                <w:sz w:val="20"/>
              </w:rPr>
              <w:t>Financial</w:t>
            </w:r>
            <w:r>
              <w:rPr>
                <w:spacing w:val="-14"/>
                <w:sz w:val="20"/>
              </w:rPr>
              <w:t> </w:t>
            </w:r>
            <w:r>
              <w:rPr>
                <w:sz w:val="20"/>
              </w:rPr>
              <w:t>and</w:t>
            </w:r>
            <w:r>
              <w:rPr>
                <w:spacing w:val="-14"/>
                <w:sz w:val="20"/>
              </w:rPr>
              <w:t> </w:t>
            </w:r>
            <w:r>
              <w:rPr>
                <w:sz w:val="20"/>
              </w:rPr>
              <w:t>cost-benefit </w:t>
            </w:r>
            <w:r>
              <w:rPr>
                <w:spacing w:val="-2"/>
                <w:sz w:val="20"/>
              </w:rPr>
              <w:t>guidance</w:t>
            </w:r>
          </w:p>
          <w:p>
            <w:pPr>
              <w:pStyle w:val="TableParagraph"/>
              <w:numPr>
                <w:ilvl w:val="0"/>
                <w:numId w:val="50"/>
              </w:numPr>
              <w:tabs>
                <w:tab w:pos="431" w:val="left" w:leader="none"/>
                <w:tab w:pos="433" w:val="left" w:leader="none"/>
              </w:tabs>
              <w:spacing w:line="240" w:lineRule="auto" w:before="3" w:after="0"/>
              <w:ind w:left="432" w:right="0" w:hanging="314"/>
              <w:jc w:val="left"/>
              <w:rPr>
                <w:sz w:val="20"/>
              </w:rPr>
            </w:pPr>
            <w:r>
              <w:rPr>
                <w:sz w:val="20"/>
              </w:rPr>
              <w:t>Accounts</w:t>
            </w:r>
            <w:r>
              <w:rPr>
                <w:spacing w:val="-10"/>
                <w:sz w:val="20"/>
              </w:rPr>
              <w:t> </w:t>
            </w:r>
            <w:r>
              <w:rPr>
                <w:spacing w:val="-2"/>
                <w:sz w:val="20"/>
              </w:rPr>
              <w:t>payable</w:t>
            </w:r>
          </w:p>
        </w:tc>
        <w:tc>
          <w:tcPr>
            <w:tcW w:w="1537" w:type="dxa"/>
            <w:tcBorders>
              <w:top w:val="nil"/>
              <w:left w:val="single" w:sz="2" w:space="0" w:color="000000"/>
              <w:bottom w:val="single" w:sz="2" w:space="0" w:color="000000"/>
              <w:right w:val="nil"/>
            </w:tcBorders>
          </w:tcPr>
          <w:p>
            <w:pPr>
              <w:pStyle w:val="TableParagraph"/>
              <w:spacing w:line="229" w:lineRule="exact"/>
              <w:ind w:left="117"/>
              <w:rPr>
                <w:sz w:val="20"/>
              </w:rPr>
            </w:pPr>
            <w:r>
              <w:rPr>
                <w:spacing w:val="-2"/>
                <w:sz w:val="20"/>
              </w:rPr>
              <w:t>Income</w:t>
            </w:r>
          </w:p>
          <w:p>
            <w:pPr>
              <w:pStyle w:val="TableParagraph"/>
              <w:spacing w:before="77"/>
              <w:ind w:left="117"/>
              <w:rPr>
                <w:sz w:val="20"/>
              </w:rPr>
            </w:pPr>
            <w:r>
              <w:rPr>
                <w:spacing w:val="-2"/>
                <w:sz w:val="20"/>
              </w:rPr>
              <w:t>Expenditure</w:t>
            </w:r>
          </w:p>
        </w:tc>
        <w:tc>
          <w:tcPr>
            <w:tcW w:w="1348" w:type="dxa"/>
            <w:tcBorders>
              <w:top w:val="nil"/>
              <w:left w:val="nil"/>
              <w:bottom w:val="single" w:sz="2" w:space="0" w:color="000000"/>
              <w:right w:val="nil"/>
            </w:tcBorders>
          </w:tcPr>
          <w:p>
            <w:pPr>
              <w:pStyle w:val="TableParagraph"/>
              <w:spacing w:line="206" w:lineRule="exact"/>
              <w:ind w:left="745"/>
              <w:rPr>
                <w:sz w:val="18"/>
              </w:rPr>
            </w:pPr>
            <w:r>
              <w:rPr>
                <w:spacing w:val="-2"/>
                <w:sz w:val="18"/>
              </w:rPr>
              <w:t>4,214</w:t>
            </w:r>
          </w:p>
          <w:p>
            <w:pPr>
              <w:pStyle w:val="TableParagraph"/>
              <w:spacing w:before="100"/>
              <w:ind w:left="745"/>
              <w:rPr>
                <w:sz w:val="18"/>
              </w:rPr>
            </w:pPr>
            <w:r>
              <w:rPr>
                <w:spacing w:val="-2"/>
                <w:sz w:val="18"/>
              </w:rPr>
              <w:t>1,794</w:t>
            </w:r>
          </w:p>
        </w:tc>
        <w:tc>
          <w:tcPr>
            <w:tcW w:w="1216" w:type="dxa"/>
            <w:tcBorders>
              <w:top w:val="nil"/>
              <w:left w:val="nil"/>
              <w:bottom w:val="single" w:sz="2" w:space="0" w:color="000000"/>
              <w:right w:val="nil"/>
            </w:tcBorders>
          </w:tcPr>
          <w:p>
            <w:pPr>
              <w:pStyle w:val="TableParagraph"/>
              <w:spacing w:line="206" w:lineRule="exact"/>
              <w:ind w:left="669"/>
              <w:rPr>
                <w:sz w:val="18"/>
              </w:rPr>
            </w:pPr>
            <w:r>
              <w:rPr>
                <w:spacing w:val="-2"/>
                <w:sz w:val="18"/>
              </w:rPr>
              <w:t>3,546</w:t>
            </w:r>
          </w:p>
          <w:p>
            <w:pPr>
              <w:pStyle w:val="TableParagraph"/>
              <w:spacing w:before="100"/>
              <w:ind w:left="669"/>
              <w:rPr>
                <w:sz w:val="18"/>
              </w:rPr>
            </w:pPr>
            <w:r>
              <w:rPr>
                <w:spacing w:val="-2"/>
                <w:sz w:val="18"/>
              </w:rPr>
              <w:t>1,761</w:t>
            </w:r>
          </w:p>
        </w:tc>
        <w:tc>
          <w:tcPr>
            <w:tcW w:w="1234" w:type="dxa"/>
            <w:tcBorders>
              <w:top w:val="nil"/>
              <w:left w:val="nil"/>
              <w:bottom w:val="single" w:sz="2" w:space="0" w:color="000000"/>
              <w:right w:val="single" w:sz="12" w:space="0" w:color="000000"/>
            </w:tcBorders>
            <w:shd w:val="clear" w:color="auto" w:fill="BCD6ED"/>
          </w:tcPr>
          <w:p>
            <w:pPr>
              <w:pStyle w:val="TableParagraph"/>
              <w:spacing w:line="206" w:lineRule="exact"/>
              <w:ind w:left="671"/>
              <w:rPr>
                <w:sz w:val="18"/>
              </w:rPr>
            </w:pPr>
            <w:r>
              <w:rPr>
                <w:spacing w:val="-2"/>
                <w:sz w:val="18"/>
              </w:rPr>
              <w:t>2,398</w:t>
            </w:r>
          </w:p>
          <w:p>
            <w:pPr>
              <w:pStyle w:val="TableParagraph"/>
              <w:spacing w:before="100"/>
              <w:ind w:left="671"/>
              <w:rPr>
                <w:sz w:val="18"/>
              </w:rPr>
            </w:pPr>
            <w:r>
              <w:rPr>
                <w:spacing w:val="-2"/>
                <w:sz w:val="18"/>
              </w:rPr>
              <w:t>1,604</w:t>
            </w:r>
          </w:p>
        </w:tc>
      </w:tr>
      <w:tr>
        <w:trPr>
          <w:trHeight w:val="458" w:hRule="atLeast"/>
        </w:trPr>
        <w:tc>
          <w:tcPr>
            <w:tcW w:w="1553" w:type="dxa"/>
            <w:tcBorders>
              <w:top w:val="nil"/>
              <w:left w:val="single" w:sz="12" w:space="0" w:color="000000"/>
              <w:bottom w:val="nil"/>
              <w:right w:val="single" w:sz="2" w:space="0" w:color="000000"/>
            </w:tcBorders>
          </w:tcPr>
          <w:p>
            <w:pPr>
              <w:pStyle w:val="TableParagraph"/>
              <w:rPr>
                <w:rFonts w:ascii="Times New Roman"/>
                <w:sz w:val="18"/>
              </w:rPr>
            </w:pPr>
          </w:p>
        </w:tc>
        <w:tc>
          <w:tcPr>
            <w:tcW w:w="3540" w:type="dxa"/>
            <w:vMerge/>
            <w:tcBorders>
              <w:top w:val="nil"/>
              <w:left w:val="single" w:sz="2" w:space="0" w:color="000000"/>
              <w:bottom w:val="single" w:sz="2" w:space="0" w:color="000000"/>
              <w:right w:val="single" w:sz="2" w:space="0" w:color="000000"/>
            </w:tcBorders>
          </w:tcPr>
          <w:p>
            <w:pPr>
              <w:rPr>
                <w:sz w:val="2"/>
                <w:szCs w:val="2"/>
              </w:rPr>
            </w:pPr>
          </w:p>
        </w:tc>
        <w:tc>
          <w:tcPr>
            <w:tcW w:w="1537" w:type="dxa"/>
            <w:tcBorders>
              <w:top w:val="single" w:sz="2" w:space="0" w:color="000000"/>
              <w:left w:val="single" w:sz="2" w:space="0" w:color="000000"/>
              <w:bottom w:val="single" w:sz="2" w:space="0" w:color="000000"/>
              <w:right w:val="nil"/>
            </w:tcBorders>
          </w:tcPr>
          <w:p>
            <w:pPr>
              <w:pStyle w:val="TableParagraph"/>
              <w:spacing w:line="230" w:lineRule="exact"/>
              <w:ind w:left="117" w:right="555"/>
              <w:rPr>
                <w:b/>
                <w:sz w:val="20"/>
              </w:rPr>
            </w:pPr>
            <w:r>
              <w:rPr>
                <w:b/>
                <w:sz w:val="20"/>
              </w:rPr>
              <w:t>Surplus</w:t>
            </w:r>
            <w:r>
              <w:rPr>
                <w:b/>
                <w:spacing w:val="-14"/>
                <w:sz w:val="20"/>
              </w:rPr>
              <w:t> </w:t>
            </w:r>
            <w:r>
              <w:rPr>
                <w:b/>
                <w:sz w:val="20"/>
              </w:rPr>
              <w:t>/ </w:t>
            </w:r>
            <w:r>
              <w:rPr>
                <w:b/>
                <w:spacing w:val="-2"/>
                <w:sz w:val="20"/>
              </w:rPr>
              <w:t>(deficit)</w:t>
            </w:r>
          </w:p>
        </w:tc>
        <w:tc>
          <w:tcPr>
            <w:tcW w:w="1348" w:type="dxa"/>
            <w:tcBorders>
              <w:top w:val="single" w:sz="2" w:space="0" w:color="000000"/>
              <w:left w:val="nil"/>
              <w:bottom w:val="single" w:sz="2" w:space="0" w:color="000000"/>
              <w:right w:val="nil"/>
            </w:tcBorders>
          </w:tcPr>
          <w:p>
            <w:pPr>
              <w:pStyle w:val="TableParagraph"/>
              <w:spacing w:line="206" w:lineRule="exact"/>
              <w:ind w:right="147"/>
              <w:jc w:val="right"/>
              <w:rPr>
                <w:b/>
                <w:sz w:val="18"/>
              </w:rPr>
            </w:pPr>
            <w:r>
              <w:rPr>
                <w:b/>
                <w:spacing w:val="-2"/>
                <w:sz w:val="18"/>
              </w:rPr>
              <w:t>2,420</w:t>
            </w:r>
          </w:p>
        </w:tc>
        <w:tc>
          <w:tcPr>
            <w:tcW w:w="1216" w:type="dxa"/>
            <w:tcBorders>
              <w:top w:val="single" w:sz="2" w:space="0" w:color="000000"/>
              <w:left w:val="nil"/>
              <w:bottom w:val="single" w:sz="2" w:space="0" w:color="000000"/>
              <w:right w:val="nil"/>
            </w:tcBorders>
          </w:tcPr>
          <w:p>
            <w:pPr>
              <w:pStyle w:val="TableParagraph"/>
              <w:spacing w:line="206" w:lineRule="exact"/>
              <w:ind w:right="91"/>
              <w:jc w:val="right"/>
              <w:rPr>
                <w:b/>
                <w:sz w:val="18"/>
              </w:rPr>
            </w:pPr>
            <w:r>
              <w:rPr>
                <w:b/>
                <w:spacing w:val="-2"/>
                <w:sz w:val="18"/>
              </w:rPr>
              <w:t>1,785</w:t>
            </w:r>
          </w:p>
        </w:tc>
        <w:tc>
          <w:tcPr>
            <w:tcW w:w="1234" w:type="dxa"/>
            <w:tcBorders>
              <w:top w:val="single" w:sz="2" w:space="0" w:color="000000"/>
              <w:left w:val="nil"/>
              <w:bottom w:val="single" w:sz="2" w:space="0" w:color="000000"/>
              <w:right w:val="single" w:sz="12" w:space="0" w:color="000000"/>
            </w:tcBorders>
            <w:shd w:val="clear" w:color="auto" w:fill="BCD6ED"/>
          </w:tcPr>
          <w:p>
            <w:pPr>
              <w:pStyle w:val="TableParagraph"/>
              <w:spacing w:line="206" w:lineRule="exact"/>
              <w:ind w:right="78"/>
              <w:jc w:val="right"/>
              <w:rPr>
                <w:b/>
                <w:sz w:val="18"/>
              </w:rPr>
            </w:pPr>
            <w:r>
              <w:rPr>
                <w:b/>
                <w:spacing w:val="-5"/>
                <w:sz w:val="18"/>
              </w:rPr>
              <w:t>794</w:t>
            </w:r>
          </w:p>
        </w:tc>
      </w:tr>
      <w:tr>
        <w:trPr>
          <w:trHeight w:val="1281" w:hRule="atLeast"/>
        </w:trPr>
        <w:tc>
          <w:tcPr>
            <w:tcW w:w="1553" w:type="dxa"/>
            <w:tcBorders>
              <w:top w:val="nil"/>
              <w:left w:val="single" w:sz="12" w:space="0" w:color="000000"/>
              <w:bottom w:val="single" w:sz="2" w:space="0" w:color="000000"/>
              <w:right w:val="single" w:sz="2" w:space="0" w:color="000000"/>
            </w:tcBorders>
          </w:tcPr>
          <w:p>
            <w:pPr>
              <w:pStyle w:val="TableParagraph"/>
              <w:rPr>
                <w:rFonts w:ascii="Times New Roman"/>
                <w:sz w:val="18"/>
              </w:rPr>
            </w:pPr>
          </w:p>
        </w:tc>
        <w:tc>
          <w:tcPr>
            <w:tcW w:w="3540" w:type="dxa"/>
            <w:vMerge/>
            <w:tcBorders>
              <w:top w:val="nil"/>
              <w:left w:val="single" w:sz="2" w:space="0" w:color="000000"/>
              <w:bottom w:val="single" w:sz="2" w:space="0" w:color="000000"/>
              <w:right w:val="single" w:sz="2" w:space="0" w:color="000000"/>
            </w:tcBorders>
          </w:tcPr>
          <w:p>
            <w:pPr>
              <w:rPr>
                <w:sz w:val="2"/>
                <w:szCs w:val="2"/>
              </w:rPr>
            </w:pPr>
          </w:p>
        </w:tc>
        <w:tc>
          <w:tcPr>
            <w:tcW w:w="5335" w:type="dxa"/>
            <w:gridSpan w:val="4"/>
            <w:tcBorders>
              <w:top w:val="single" w:sz="2" w:space="0" w:color="000000"/>
              <w:left w:val="single" w:sz="2" w:space="0" w:color="000000"/>
              <w:bottom w:val="single" w:sz="4" w:space="0" w:color="000000"/>
              <w:right w:val="single" w:sz="12" w:space="0" w:color="000000"/>
            </w:tcBorders>
          </w:tcPr>
          <w:p>
            <w:pPr>
              <w:pStyle w:val="TableParagraph"/>
              <w:rPr>
                <w:rFonts w:ascii="Times New Roman"/>
                <w:sz w:val="18"/>
              </w:rPr>
            </w:pPr>
          </w:p>
        </w:tc>
      </w:tr>
      <w:tr>
        <w:trPr>
          <w:trHeight w:val="269" w:hRule="atLeast"/>
        </w:trPr>
        <w:tc>
          <w:tcPr>
            <w:tcW w:w="1553" w:type="dxa"/>
            <w:tcBorders>
              <w:top w:val="single" w:sz="2" w:space="0" w:color="000000"/>
              <w:left w:val="single" w:sz="12" w:space="0" w:color="000000"/>
              <w:bottom w:val="nil"/>
              <w:right w:val="single" w:sz="2" w:space="0" w:color="000000"/>
            </w:tcBorders>
          </w:tcPr>
          <w:p>
            <w:pPr>
              <w:pStyle w:val="TableParagraph"/>
              <w:spacing w:line="229" w:lineRule="exact"/>
              <w:ind w:left="107"/>
              <w:rPr>
                <w:sz w:val="20"/>
              </w:rPr>
            </w:pPr>
            <w:r>
              <w:rPr>
                <w:spacing w:val="-2"/>
                <w:sz w:val="20"/>
              </w:rPr>
              <w:t>Governance</w:t>
            </w:r>
          </w:p>
        </w:tc>
        <w:tc>
          <w:tcPr>
            <w:tcW w:w="3540" w:type="dxa"/>
            <w:vMerge w:val="restart"/>
            <w:tcBorders>
              <w:top w:val="single" w:sz="2" w:space="0" w:color="000000"/>
              <w:left w:val="single" w:sz="2" w:space="0" w:color="000000"/>
              <w:bottom w:val="single" w:sz="2" w:space="0" w:color="000000"/>
              <w:right w:val="single" w:sz="2" w:space="0" w:color="000000"/>
            </w:tcBorders>
          </w:tcPr>
          <w:p>
            <w:pPr>
              <w:pStyle w:val="TableParagraph"/>
              <w:numPr>
                <w:ilvl w:val="0"/>
                <w:numId w:val="51"/>
              </w:numPr>
              <w:tabs>
                <w:tab w:pos="431" w:val="left" w:leader="none"/>
                <w:tab w:pos="433" w:val="left" w:leader="none"/>
              </w:tabs>
              <w:spacing w:line="235" w:lineRule="auto" w:before="4" w:after="0"/>
              <w:ind w:left="431" w:right="523" w:hanging="312"/>
              <w:jc w:val="left"/>
              <w:rPr>
                <w:sz w:val="20"/>
              </w:rPr>
            </w:pPr>
            <w:r>
              <w:rPr>
                <w:sz w:val="20"/>
              </w:rPr>
              <w:t>Council</w:t>
            </w:r>
            <w:r>
              <w:rPr>
                <w:spacing w:val="-14"/>
                <w:sz w:val="20"/>
              </w:rPr>
              <w:t> </w:t>
            </w:r>
            <w:r>
              <w:rPr>
                <w:sz w:val="20"/>
              </w:rPr>
              <w:t>meeting</w:t>
            </w:r>
            <w:r>
              <w:rPr>
                <w:spacing w:val="-14"/>
                <w:sz w:val="20"/>
              </w:rPr>
              <w:t> </w:t>
            </w:r>
            <w:r>
              <w:rPr>
                <w:sz w:val="20"/>
              </w:rPr>
              <w:t>coordination </w:t>
            </w:r>
            <w:r>
              <w:rPr>
                <w:spacing w:val="-2"/>
                <w:sz w:val="20"/>
              </w:rPr>
              <w:t>management</w:t>
            </w:r>
          </w:p>
          <w:p>
            <w:pPr>
              <w:pStyle w:val="TableParagraph"/>
              <w:numPr>
                <w:ilvl w:val="0"/>
                <w:numId w:val="51"/>
              </w:numPr>
              <w:tabs>
                <w:tab w:pos="431" w:val="left" w:leader="none"/>
                <w:tab w:pos="433" w:val="left" w:leader="none"/>
              </w:tabs>
              <w:spacing w:line="240" w:lineRule="auto" w:before="3" w:after="0"/>
              <w:ind w:left="431" w:right="1192" w:hanging="312"/>
              <w:jc w:val="left"/>
              <w:rPr>
                <w:sz w:val="20"/>
              </w:rPr>
            </w:pPr>
            <w:r>
              <w:rPr>
                <w:sz w:val="20"/>
              </w:rPr>
              <w:t>Citizenship</w:t>
            </w:r>
            <w:r>
              <w:rPr>
                <w:spacing w:val="-14"/>
                <w:sz w:val="20"/>
              </w:rPr>
              <w:t> </w:t>
            </w:r>
            <w:r>
              <w:rPr>
                <w:sz w:val="20"/>
              </w:rPr>
              <w:t>ceremony</w:t>
            </w:r>
            <w:r>
              <w:rPr>
                <w:sz w:val="20"/>
              </w:rPr>
              <w:t> </w:t>
            </w:r>
            <w:r>
              <w:rPr>
                <w:spacing w:val="-2"/>
                <w:sz w:val="20"/>
              </w:rPr>
              <w:t>coordination</w:t>
            </w:r>
          </w:p>
          <w:p>
            <w:pPr>
              <w:pStyle w:val="TableParagraph"/>
              <w:numPr>
                <w:ilvl w:val="0"/>
                <w:numId w:val="51"/>
              </w:numPr>
              <w:tabs>
                <w:tab w:pos="431" w:val="left" w:leader="none"/>
                <w:tab w:pos="433" w:val="left" w:leader="none"/>
              </w:tabs>
              <w:spacing w:line="235" w:lineRule="auto" w:before="5" w:after="0"/>
              <w:ind w:left="431" w:right="657" w:hanging="312"/>
              <w:jc w:val="left"/>
              <w:rPr>
                <w:sz w:val="20"/>
              </w:rPr>
            </w:pPr>
            <w:r>
              <w:rPr>
                <w:sz w:val="20"/>
              </w:rPr>
              <w:t>Council</w:t>
            </w:r>
            <w:r>
              <w:rPr>
                <w:spacing w:val="-14"/>
                <w:sz w:val="20"/>
              </w:rPr>
              <w:t> </w:t>
            </w:r>
            <w:r>
              <w:rPr>
                <w:sz w:val="20"/>
              </w:rPr>
              <w:t>advisory</w:t>
            </w:r>
            <w:r>
              <w:rPr>
                <w:spacing w:val="-14"/>
                <w:sz w:val="20"/>
              </w:rPr>
              <w:t> </w:t>
            </w:r>
            <w:r>
              <w:rPr>
                <w:sz w:val="20"/>
              </w:rPr>
              <w:t>committee</w:t>
            </w:r>
            <w:r>
              <w:rPr>
                <w:sz w:val="20"/>
              </w:rPr>
              <w:t> administrative support</w:t>
            </w:r>
          </w:p>
          <w:p>
            <w:pPr>
              <w:pStyle w:val="TableParagraph"/>
              <w:numPr>
                <w:ilvl w:val="0"/>
                <w:numId w:val="51"/>
              </w:numPr>
              <w:tabs>
                <w:tab w:pos="431" w:val="left" w:leader="none"/>
                <w:tab w:pos="433" w:val="left" w:leader="none"/>
              </w:tabs>
              <w:spacing w:line="244" w:lineRule="exact" w:before="3" w:after="0"/>
              <w:ind w:left="432" w:right="0" w:hanging="314"/>
              <w:jc w:val="left"/>
              <w:rPr>
                <w:sz w:val="20"/>
              </w:rPr>
            </w:pPr>
            <w:r>
              <w:rPr>
                <w:sz w:val="20"/>
              </w:rPr>
              <w:t>Civic</w:t>
            </w:r>
            <w:r>
              <w:rPr>
                <w:spacing w:val="-6"/>
                <w:sz w:val="20"/>
              </w:rPr>
              <w:t> </w:t>
            </w:r>
            <w:r>
              <w:rPr>
                <w:sz w:val="20"/>
              </w:rPr>
              <w:t>event</w:t>
            </w:r>
            <w:r>
              <w:rPr>
                <w:spacing w:val="-6"/>
                <w:sz w:val="20"/>
              </w:rPr>
              <w:t> </w:t>
            </w:r>
            <w:r>
              <w:rPr>
                <w:spacing w:val="-2"/>
                <w:sz w:val="20"/>
              </w:rPr>
              <w:t>coordination</w:t>
            </w:r>
          </w:p>
          <w:p>
            <w:pPr>
              <w:pStyle w:val="TableParagraph"/>
              <w:numPr>
                <w:ilvl w:val="0"/>
                <w:numId w:val="51"/>
              </w:numPr>
              <w:tabs>
                <w:tab w:pos="431" w:val="left" w:leader="none"/>
                <w:tab w:pos="433" w:val="left" w:leader="none"/>
              </w:tabs>
              <w:spacing w:line="240" w:lineRule="auto" w:before="0" w:after="0"/>
              <w:ind w:left="431" w:right="247" w:hanging="312"/>
              <w:jc w:val="left"/>
              <w:rPr>
                <w:sz w:val="20"/>
              </w:rPr>
            </w:pPr>
            <w:r>
              <w:rPr>
                <w:sz w:val="20"/>
              </w:rPr>
              <w:t>Governance</w:t>
            </w:r>
            <w:r>
              <w:rPr>
                <w:spacing w:val="-14"/>
                <w:sz w:val="20"/>
              </w:rPr>
              <w:t> </w:t>
            </w:r>
            <w:r>
              <w:rPr>
                <w:sz w:val="20"/>
              </w:rPr>
              <w:t>policy</w:t>
            </w:r>
            <w:r>
              <w:rPr>
                <w:spacing w:val="-14"/>
                <w:sz w:val="20"/>
              </w:rPr>
              <w:t> </w:t>
            </w:r>
            <w:r>
              <w:rPr>
                <w:sz w:val="20"/>
              </w:rPr>
              <w:t>development and implementation</w:t>
            </w:r>
          </w:p>
          <w:p>
            <w:pPr>
              <w:pStyle w:val="TableParagraph"/>
              <w:numPr>
                <w:ilvl w:val="0"/>
                <w:numId w:val="51"/>
              </w:numPr>
              <w:tabs>
                <w:tab w:pos="431" w:val="left" w:leader="none"/>
                <w:tab w:pos="433" w:val="left" w:leader="none"/>
              </w:tabs>
              <w:spacing w:line="235" w:lineRule="auto" w:before="3" w:after="0"/>
              <w:ind w:left="431" w:right="767" w:hanging="312"/>
              <w:jc w:val="left"/>
              <w:rPr>
                <w:sz w:val="20"/>
              </w:rPr>
            </w:pPr>
            <w:r>
              <w:rPr>
                <w:sz w:val="20"/>
              </w:rPr>
              <w:t>Local</w:t>
            </w:r>
            <w:r>
              <w:rPr>
                <w:spacing w:val="-14"/>
                <w:sz w:val="20"/>
              </w:rPr>
              <w:t> </w:t>
            </w:r>
            <w:r>
              <w:rPr>
                <w:sz w:val="20"/>
              </w:rPr>
              <w:t>government</w:t>
            </w:r>
            <w:r>
              <w:rPr>
                <w:spacing w:val="-14"/>
                <w:sz w:val="20"/>
              </w:rPr>
              <w:t> </w:t>
            </w:r>
            <w:r>
              <w:rPr>
                <w:sz w:val="20"/>
              </w:rPr>
              <w:t>election </w:t>
            </w:r>
            <w:r>
              <w:rPr>
                <w:spacing w:val="-2"/>
                <w:sz w:val="20"/>
              </w:rPr>
              <w:t>support</w:t>
            </w:r>
          </w:p>
        </w:tc>
        <w:tc>
          <w:tcPr>
            <w:tcW w:w="1537" w:type="dxa"/>
            <w:tcBorders>
              <w:top w:val="single" w:sz="4" w:space="0" w:color="000000"/>
              <w:left w:val="single" w:sz="2" w:space="0" w:color="000000"/>
              <w:bottom w:val="nil"/>
              <w:right w:val="nil"/>
            </w:tcBorders>
          </w:tcPr>
          <w:p>
            <w:pPr>
              <w:pStyle w:val="TableParagraph"/>
              <w:spacing w:line="229" w:lineRule="exact"/>
              <w:ind w:left="117"/>
              <w:rPr>
                <w:sz w:val="20"/>
              </w:rPr>
            </w:pPr>
            <w:r>
              <w:rPr>
                <w:spacing w:val="-2"/>
                <w:sz w:val="20"/>
              </w:rPr>
              <w:t>Income</w:t>
            </w:r>
          </w:p>
        </w:tc>
        <w:tc>
          <w:tcPr>
            <w:tcW w:w="1348" w:type="dxa"/>
            <w:tcBorders>
              <w:top w:val="single" w:sz="4" w:space="0" w:color="000000"/>
              <w:left w:val="nil"/>
              <w:bottom w:val="nil"/>
              <w:right w:val="nil"/>
            </w:tcBorders>
          </w:tcPr>
          <w:p>
            <w:pPr>
              <w:pStyle w:val="TableParagraph"/>
              <w:spacing w:line="206" w:lineRule="exact"/>
              <w:ind w:right="148"/>
              <w:jc w:val="right"/>
              <w:rPr>
                <w:sz w:val="18"/>
              </w:rPr>
            </w:pPr>
            <w:r>
              <w:rPr>
                <w:spacing w:val="-5"/>
                <w:sz w:val="18"/>
              </w:rPr>
              <w:t>81</w:t>
            </w:r>
          </w:p>
        </w:tc>
        <w:tc>
          <w:tcPr>
            <w:tcW w:w="1216" w:type="dxa"/>
            <w:tcBorders>
              <w:top w:val="single" w:sz="4" w:space="0" w:color="000000"/>
              <w:left w:val="nil"/>
              <w:bottom w:val="nil"/>
              <w:right w:val="nil"/>
            </w:tcBorders>
          </w:tcPr>
          <w:p>
            <w:pPr>
              <w:pStyle w:val="TableParagraph"/>
              <w:spacing w:line="206" w:lineRule="exact"/>
              <w:ind w:right="92"/>
              <w:jc w:val="right"/>
              <w:rPr>
                <w:sz w:val="18"/>
              </w:rPr>
            </w:pPr>
            <w:r>
              <w:rPr>
                <w:spacing w:val="-5"/>
                <w:sz w:val="18"/>
              </w:rPr>
              <w:t>35</w:t>
            </w:r>
          </w:p>
        </w:tc>
        <w:tc>
          <w:tcPr>
            <w:tcW w:w="1234" w:type="dxa"/>
            <w:tcBorders>
              <w:top w:val="single" w:sz="4" w:space="0" w:color="000000"/>
              <w:left w:val="nil"/>
              <w:bottom w:val="nil"/>
              <w:right w:val="single" w:sz="12" w:space="0" w:color="000000"/>
            </w:tcBorders>
            <w:shd w:val="clear" w:color="auto" w:fill="BCD6ED"/>
          </w:tcPr>
          <w:p>
            <w:pPr>
              <w:pStyle w:val="TableParagraph"/>
              <w:spacing w:line="206" w:lineRule="exact"/>
              <w:ind w:right="78"/>
              <w:jc w:val="right"/>
              <w:rPr>
                <w:sz w:val="18"/>
              </w:rPr>
            </w:pPr>
            <w:r>
              <w:rPr>
                <w:spacing w:val="-5"/>
                <w:sz w:val="18"/>
              </w:rPr>
              <w:t>116</w:t>
            </w:r>
          </w:p>
        </w:tc>
      </w:tr>
      <w:tr>
        <w:trPr>
          <w:trHeight w:val="337" w:hRule="atLeast"/>
        </w:trPr>
        <w:tc>
          <w:tcPr>
            <w:tcW w:w="1553" w:type="dxa"/>
            <w:tcBorders>
              <w:top w:val="nil"/>
              <w:left w:val="single" w:sz="12" w:space="0" w:color="000000"/>
              <w:bottom w:val="nil"/>
              <w:right w:val="single" w:sz="2" w:space="0" w:color="000000"/>
            </w:tcBorders>
          </w:tcPr>
          <w:p>
            <w:pPr>
              <w:pStyle w:val="TableParagraph"/>
              <w:rPr>
                <w:rFonts w:ascii="Times New Roman"/>
                <w:sz w:val="18"/>
              </w:rPr>
            </w:pPr>
          </w:p>
        </w:tc>
        <w:tc>
          <w:tcPr>
            <w:tcW w:w="3540" w:type="dxa"/>
            <w:vMerge/>
            <w:tcBorders>
              <w:top w:val="nil"/>
              <w:left w:val="single" w:sz="2" w:space="0" w:color="000000"/>
              <w:bottom w:val="single" w:sz="2" w:space="0" w:color="000000"/>
              <w:right w:val="single" w:sz="2" w:space="0" w:color="000000"/>
            </w:tcBorders>
          </w:tcPr>
          <w:p>
            <w:pPr>
              <w:rPr>
                <w:sz w:val="2"/>
                <w:szCs w:val="2"/>
              </w:rPr>
            </w:pPr>
          </w:p>
        </w:tc>
        <w:tc>
          <w:tcPr>
            <w:tcW w:w="1537" w:type="dxa"/>
            <w:tcBorders>
              <w:top w:val="nil"/>
              <w:left w:val="single" w:sz="2" w:space="0" w:color="000000"/>
              <w:bottom w:val="single" w:sz="2" w:space="0" w:color="000000"/>
              <w:right w:val="nil"/>
            </w:tcBorders>
          </w:tcPr>
          <w:p>
            <w:pPr>
              <w:pStyle w:val="TableParagraph"/>
              <w:spacing w:before="32"/>
              <w:ind w:left="117"/>
              <w:rPr>
                <w:sz w:val="20"/>
              </w:rPr>
            </w:pPr>
            <w:r>
              <w:rPr>
                <w:spacing w:val="-2"/>
                <w:sz w:val="20"/>
              </w:rPr>
              <w:t>Expenditure</w:t>
            </w:r>
          </w:p>
        </w:tc>
        <w:tc>
          <w:tcPr>
            <w:tcW w:w="1348" w:type="dxa"/>
            <w:tcBorders>
              <w:top w:val="nil"/>
              <w:left w:val="nil"/>
              <w:bottom w:val="single" w:sz="2" w:space="0" w:color="000000"/>
              <w:right w:val="nil"/>
            </w:tcBorders>
          </w:tcPr>
          <w:p>
            <w:pPr>
              <w:pStyle w:val="TableParagraph"/>
              <w:spacing w:before="34"/>
              <w:ind w:right="149"/>
              <w:jc w:val="right"/>
              <w:rPr>
                <w:sz w:val="18"/>
              </w:rPr>
            </w:pPr>
            <w:r>
              <w:rPr>
                <w:spacing w:val="-5"/>
                <w:sz w:val="18"/>
              </w:rPr>
              <w:t>562</w:t>
            </w:r>
          </w:p>
        </w:tc>
        <w:tc>
          <w:tcPr>
            <w:tcW w:w="1216" w:type="dxa"/>
            <w:tcBorders>
              <w:top w:val="nil"/>
              <w:left w:val="nil"/>
              <w:bottom w:val="single" w:sz="2" w:space="0" w:color="000000"/>
              <w:right w:val="nil"/>
            </w:tcBorders>
          </w:tcPr>
          <w:p>
            <w:pPr>
              <w:pStyle w:val="TableParagraph"/>
              <w:spacing w:before="34"/>
              <w:ind w:right="91"/>
              <w:jc w:val="right"/>
              <w:rPr>
                <w:sz w:val="18"/>
              </w:rPr>
            </w:pPr>
            <w:r>
              <w:rPr>
                <w:spacing w:val="-2"/>
                <w:sz w:val="18"/>
              </w:rPr>
              <w:t>1,184</w:t>
            </w:r>
          </w:p>
        </w:tc>
        <w:tc>
          <w:tcPr>
            <w:tcW w:w="1234" w:type="dxa"/>
            <w:tcBorders>
              <w:top w:val="nil"/>
              <w:left w:val="nil"/>
              <w:bottom w:val="single" w:sz="2" w:space="0" w:color="000000"/>
              <w:right w:val="single" w:sz="12" w:space="0" w:color="000000"/>
            </w:tcBorders>
            <w:shd w:val="clear" w:color="auto" w:fill="BCD6ED"/>
          </w:tcPr>
          <w:p>
            <w:pPr>
              <w:pStyle w:val="TableParagraph"/>
              <w:spacing w:before="34"/>
              <w:ind w:right="78"/>
              <w:jc w:val="right"/>
              <w:rPr>
                <w:sz w:val="18"/>
              </w:rPr>
            </w:pPr>
            <w:r>
              <w:rPr>
                <w:spacing w:val="-5"/>
                <w:sz w:val="18"/>
              </w:rPr>
              <w:t>559</w:t>
            </w:r>
          </w:p>
        </w:tc>
      </w:tr>
      <w:tr>
        <w:trPr>
          <w:trHeight w:val="460" w:hRule="atLeast"/>
        </w:trPr>
        <w:tc>
          <w:tcPr>
            <w:tcW w:w="1553" w:type="dxa"/>
            <w:tcBorders>
              <w:top w:val="nil"/>
              <w:left w:val="single" w:sz="12" w:space="0" w:color="000000"/>
              <w:bottom w:val="nil"/>
              <w:right w:val="single" w:sz="2" w:space="0" w:color="000000"/>
            </w:tcBorders>
          </w:tcPr>
          <w:p>
            <w:pPr>
              <w:pStyle w:val="TableParagraph"/>
              <w:rPr>
                <w:rFonts w:ascii="Times New Roman"/>
                <w:sz w:val="18"/>
              </w:rPr>
            </w:pPr>
          </w:p>
        </w:tc>
        <w:tc>
          <w:tcPr>
            <w:tcW w:w="3540" w:type="dxa"/>
            <w:vMerge/>
            <w:tcBorders>
              <w:top w:val="nil"/>
              <w:left w:val="single" w:sz="2" w:space="0" w:color="000000"/>
              <w:bottom w:val="single" w:sz="2" w:space="0" w:color="000000"/>
              <w:right w:val="single" w:sz="2" w:space="0" w:color="000000"/>
            </w:tcBorders>
          </w:tcPr>
          <w:p>
            <w:pPr>
              <w:rPr>
                <w:sz w:val="2"/>
                <w:szCs w:val="2"/>
              </w:rPr>
            </w:pPr>
          </w:p>
        </w:tc>
        <w:tc>
          <w:tcPr>
            <w:tcW w:w="1537" w:type="dxa"/>
            <w:tcBorders>
              <w:top w:val="single" w:sz="2" w:space="0" w:color="000000"/>
              <w:left w:val="single" w:sz="2" w:space="0" w:color="000000"/>
              <w:bottom w:val="single" w:sz="2" w:space="0" w:color="000000"/>
              <w:right w:val="nil"/>
            </w:tcBorders>
          </w:tcPr>
          <w:p>
            <w:pPr>
              <w:pStyle w:val="TableParagraph"/>
              <w:spacing w:line="230" w:lineRule="exact"/>
              <w:ind w:left="117" w:right="555"/>
              <w:rPr>
                <w:b/>
                <w:sz w:val="20"/>
              </w:rPr>
            </w:pPr>
            <w:r>
              <w:rPr>
                <w:b/>
                <w:sz w:val="20"/>
              </w:rPr>
              <w:t>Surplus</w:t>
            </w:r>
            <w:r>
              <w:rPr>
                <w:b/>
                <w:spacing w:val="-14"/>
                <w:sz w:val="20"/>
              </w:rPr>
              <w:t> </w:t>
            </w:r>
            <w:r>
              <w:rPr>
                <w:b/>
                <w:sz w:val="20"/>
              </w:rPr>
              <w:t>/ </w:t>
            </w:r>
            <w:r>
              <w:rPr>
                <w:b/>
                <w:spacing w:val="-2"/>
                <w:sz w:val="20"/>
              </w:rPr>
              <w:t>(deficit)</w:t>
            </w:r>
          </w:p>
        </w:tc>
        <w:tc>
          <w:tcPr>
            <w:tcW w:w="1348" w:type="dxa"/>
            <w:tcBorders>
              <w:top w:val="single" w:sz="2" w:space="0" w:color="000000"/>
              <w:left w:val="nil"/>
              <w:bottom w:val="single" w:sz="2" w:space="0" w:color="000000"/>
              <w:right w:val="nil"/>
            </w:tcBorders>
          </w:tcPr>
          <w:p>
            <w:pPr>
              <w:pStyle w:val="TableParagraph"/>
              <w:spacing w:line="206" w:lineRule="exact"/>
              <w:ind w:right="146"/>
              <w:jc w:val="right"/>
              <w:rPr>
                <w:b/>
                <w:sz w:val="18"/>
              </w:rPr>
            </w:pPr>
            <w:r>
              <w:rPr>
                <w:b/>
                <w:spacing w:val="-2"/>
                <w:sz w:val="18"/>
              </w:rPr>
              <w:t>(481)</w:t>
            </w:r>
          </w:p>
        </w:tc>
        <w:tc>
          <w:tcPr>
            <w:tcW w:w="1216" w:type="dxa"/>
            <w:tcBorders>
              <w:top w:val="single" w:sz="2" w:space="0" w:color="000000"/>
              <w:left w:val="nil"/>
              <w:bottom w:val="single" w:sz="2" w:space="0" w:color="000000"/>
              <w:right w:val="nil"/>
            </w:tcBorders>
          </w:tcPr>
          <w:p>
            <w:pPr>
              <w:pStyle w:val="TableParagraph"/>
              <w:spacing w:line="206" w:lineRule="exact"/>
              <w:ind w:right="91"/>
              <w:jc w:val="right"/>
              <w:rPr>
                <w:b/>
                <w:sz w:val="18"/>
              </w:rPr>
            </w:pPr>
            <w:r>
              <w:rPr>
                <w:b/>
                <w:spacing w:val="-2"/>
                <w:sz w:val="18"/>
              </w:rPr>
              <w:t>(1,149)</w:t>
            </w:r>
          </w:p>
        </w:tc>
        <w:tc>
          <w:tcPr>
            <w:tcW w:w="1234" w:type="dxa"/>
            <w:tcBorders>
              <w:top w:val="single" w:sz="2" w:space="0" w:color="000000"/>
              <w:left w:val="nil"/>
              <w:bottom w:val="single" w:sz="2" w:space="0" w:color="000000"/>
              <w:right w:val="single" w:sz="12" w:space="0" w:color="000000"/>
            </w:tcBorders>
            <w:shd w:val="clear" w:color="auto" w:fill="BCD6ED"/>
          </w:tcPr>
          <w:p>
            <w:pPr>
              <w:pStyle w:val="TableParagraph"/>
              <w:spacing w:line="206" w:lineRule="exact"/>
              <w:ind w:right="76"/>
              <w:jc w:val="right"/>
              <w:rPr>
                <w:b/>
                <w:sz w:val="18"/>
              </w:rPr>
            </w:pPr>
            <w:r>
              <w:rPr>
                <w:b/>
                <w:spacing w:val="-2"/>
                <w:sz w:val="18"/>
              </w:rPr>
              <w:t>(443)</w:t>
            </w:r>
          </w:p>
        </w:tc>
      </w:tr>
      <w:tr>
        <w:trPr>
          <w:trHeight w:val="1727" w:hRule="atLeast"/>
        </w:trPr>
        <w:tc>
          <w:tcPr>
            <w:tcW w:w="1553" w:type="dxa"/>
            <w:tcBorders>
              <w:top w:val="nil"/>
              <w:left w:val="single" w:sz="12" w:space="0" w:color="000000"/>
              <w:bottom w:val="single" w:sz="2" w:space="0" w:color="000000"/>
              <w:right w:val="single" w:sz="2" w:space="0" w:color="000000"/>
            </w:tcBorders>
          </w:tcPr>
          <w:p>
            <w:pPr>
              <w:pStyle w:val="TableParagraph"/>
              <w:rPr>
                <w:rFonts w:ascii="Times New Roman"/>
                <w:sz w:val="18"/>
              </w:rPr>
            </w:pPr>
          </w:p>
        </w:tc>
        <w:tc>
          <w:tcPr>
            <w:tcW w:w="3540" w:type="dxa"/>
            <w:vMerge/>
            <w:tcBorders>
              <w:top w:val="nil"/>
              <w:left w:val="single" w:sz="2" w:space="0" w:color="000000"/>
              <w:bottom w:val="single" w:sz="2" w:space="0" w:color="000000"/>
              <w:right w:val="single" w:sz="2" w:space="0" w:color="000000"/>
            </w:tcBorders>
          </w:tcPr>
          <w:p>
            <w:pPr>
              <w:rPr>
                <w:sz w:val="2"/>
                <w:szCs w:val="2"/>
              </w:rPr>
            </w:pPr>
          </w:p>
        </w:tc>
        <w:tc>
          <w:tcPr>
            <w:tcW w:w="5335" w:type="dxa"/>
            <w:gridSpan w:val="4"/>
            <w:tcBorders>
              <w:top w:val="single" w:sz="2" w:space="0" w:color="000000"/>
              <w:left w:val="single" w:sz="2" w:space="0" w:color="000000"/>
              <w:bottom w:val="single" w:sz="4" w:space="0" w:color="000000"/>
              <w:right w:val="single" w:sz="12" w:space="0" w:color="000000"/>
            </w:tcBorders>
          </w:tcPr>
          <w:p>
            <w:pPr>
              <w:pStyle w:val="TableParagraph"/>
              <w:rPr>
                <w:rFonts w:ascii="Times New Roman"/>
                <w:sz w:val="18"/>
              </w:rPr>
            </w:pPr>
          </w:p>
        </w:tc>
      </w:tr>
      <w:tr>
        <w:trPr>
          <w:trHeight w:val="611" w:hRule="atLeast"/>
        </w:trPr>
        <w:tc>
          <w:tcPr>
            <w:tcW w:w="1553" w:type="dxa"/>
            <w:tcBorders>
              <w:top w:val="single" w:sz="2" w:space="0" w:color="000000"/>
              <w:left w:val="single" w:sz="12" w:space="0" w:color="000000"/>
              <w:bottom w:val="nil"/>
              <w:right w:val="single" w:sz="2" w:space="0" w:color="000000"/>
            </w:tcBorders>
          </w:tcPr>
          <w:p>
            <w:pPr>
              <w:pStyle w:val="TableParagraph"/>
              <w:ind w:left="107" w:right="201"/>
              <w:rPr>
                <w:sz w:val="20"/>
              </w:rPr>
            </w:pPr>
            <w:r>
              <w:rPr>
                <w:spacing w:val="-2"/>
                <w:sz w:val="20"/>
              </w:rPr>
              <w:t>Information management</w:t>
            </w:r>
          </w:p>
        </w:tc>
        <w:tc>
          <w:tcPr>
            <w:tcW w:w="3540" w:type="dxa"/>
            <w:vMerge w:val="restart"/>
            <w:tcBorders>
              <w:top w:val="single" w:sz="2" w:space="0" w:color="000000"/>
              <w:left w:val="single" w:sz="2" w:space="0" w:color="000000"/>
              <w:bottom w:val="single" w:sz="2" w:space="0" w:color="000000"/>
              <w:right w:val="single" w:sz="2" w:space="0" w:color="000000"/>
            </w:tcBorders>
          </w:tcPr>
          <w:p>
            <w:pPr>
              <w:pStyle w:val="TableParagraph"/>
              <w:numPr>
                <w:ilvl w:val="0"/>
                <w:numId w:val="52"/>
              </w:numPr>
              <w:tabs>
                <w:tab w:pos="431" w:val="left" w:leader="none"/>
                <w:tab w:pos="433" w:val="left" w:leader="none"/>
              </w:tabs>
              <w:spacing w:line="240" w:lineRule="auto" w:before="0" w:after="0"/>
              <w:ind w:left="431" w:right="1135" w:hanging="312"/>
              <w:jc w:val="left"/>
              <w:rPr>
                <w:sz w:val="20"/>
              </w:rPr>
            </w:pPr>
            <w:r>
              <w:rPr>
                <w:sz w:val="20"/>
              </w:rPr>
              <w:t>Records</w:t>
            </w:r>
            <w:r>
              <w:rPr>
                <w:spacing w:val="-14"/>
                <w:sz w:val="20"/>
              </w:rPr>
              <w:t> </w:t>
            </w:r>
            <w:r>
              <w:rPr>
                <w:sz w:val="20"/>
              </w:rPr>
              <w:t>management</w:t>
            </w:r>
            <w:r>
              <w:rPr>
                <w:sz w:val="20"/>
              </w:rPr>
              <w:t> </w:t>
            </w:r>
            <w:r>
              <w:rPr>
                <w:spacing w:val="-2"/>
                <w:sz w:val="20"/>
              </w:rPr>
              <w:t>coordination</w:t>
            </w:r>
          </w:p>
          <w:p>
            <w:pPr>
              <w:pStyle w:val="TableParagraph"/>
              <w:numPr>
                <w:ilvl w:val="0"/>
                <w:numId w:val="52"/>
              </w:numPr>
              <w:tabs>
                <w:tab w:pos="431" w:val="left" w:leader="none"/>
                <w:tab w:pos="433" w:val="left" w:leader="none"/>
              </w:tabs>
              <w:spacing w:line="235" w:lineRule="auto" w:before="4" w:after="0"/>
              <w:ind w:left="431" w:right="199" w:hanging="312"/>
              <w:jc w:val="left"/>
              <w:rPr>
                <w:sz w:val="20"/>
              </w:rPr>
            </w:pPr>
            <w:r>
              <w:rPr>
                <w:sz w:val="20"/>
              </w:rPr>
              <w:t>Corporate</w:t>
            </w:r>
            <w:r>
              <w:rPr>
                <w:spacing w:val="-14"/>
                <w:sz w:val="20"/>
              </w:rPr>
              <w:t> </w:t>
            </w:r>
            <w:r>
              <w:rPr>
                <w:sz w:val="20"/>
              </w:rPr>
              <w:t>recordkeeping</w:t>
            </w:r>
            <w:r>
              <w:rPr>
                <w:spacing w:val="-14"/>
                <w:sz w:val="20"/>
              </w:rPr>
              <w:t> </w:t>
            </w:r>
            <w:r>
              <w:rPr>
                <w:sz w:val="20"/>
              </w:rPr>
              <w:t>system </w:t>
            </w:r>
            <w:r>
              <w:rPr>
                <w:spacing w:val="-2"/>
                <w:sz w:val="20"/>
              </w:rPr>
              <w:t>administration</w:t>
            </w:r>
          </w:p>
          <w:p>
            <w:pPr>
              <w:pStyle w:val="TableParagraph"/>
              <w:numPr>
                <w:ilvl w:val="0"/>
                <w:numId w:val="52"/>
              </w:numPr>
              <w:tabs>
                <w:tab w:pos="431" w:val="left" w:leader="none"/>
                <w:tab w:pos="433" w:val="left" w:leader="none"/>
              </w:tabs>
              <w:spacing w:line="244" w:lineRule="exact" w:before="4" w:after="0"/>
              <w:ind w:left="432" w:right="0" w:hanging="314"/>
              <w:jc w:val="left"/>
              <w:rPr>
                <w:sz w:val="20"/>
              </w:rPr>
            </w:pPr>
            <w:r>
              <w:rPr>
                <w:sz w:val="20"/>
              </w:rPr>
              <w:t>Mail</w:t>
            </w:r>
            <w:r>
              <w:rPr>
                <w:spacing w:val="-10"/>
                <w:sz w:val="20"/>
              </w:rPr>
              <w:t> </w:t>
            </w:r>
            <w:r>
              <w:rPr>
                <w:sz w:val="20"/>
              </w:rPr>
              <w:t>receipt</w:t>
            </w:r>
            <w:r>
              <w:rPr>
                <w:spacing w:val="-3"/>
                <w:sz w:val="20"/>
              </w:rPr>
              <w:t> </w:t>
            </w:r>
            <w:r>
              <w:rPr>
                <w:sz w:val="20"/>
              </w:rPr>
              <w:t>and</w:t>
            </w:r>
            <w:r>
              <w:rPr>
                <w:spacing w:val="-3"/>
                <w:sz w:val="20"/>
              </w:rPr>
              <w:t> </w:t>
            </w:r>
            <w:r>
              <w:rPr>
                <w:spacing w:val="-2"/>
                <w:sz w:val="20"/>
              </w:rPr>
              <w:t>distribution</w:t>
            </w:r>
          </w:p>
          <w:p>
            <w:pPr>
              <w:pStyle w:val="TableParagraph"/>
              <w:numPr>
                <w:ilvl w:val="0"/>
                <w:numId w:val="52"/>
              </w:numPr>
              <w:tabs>
                <w:tab w:pos="431" w:val="left" w:leader="none"/>
                <w:tab w:pos="433" w:val="left" w:leader="none"/>
              </w:tabs>
              <w:spacing w:line="244" w:lineRule="exact" w:before="0" w:after="0"/>
              <w:ind w:left="432" w:right="0" w:hanging="314"/>
              <w:jc w:val="left"/>
              <w:rPr>
                <w:sz w:val="20"/>
              </w:rPr>
            </w:pPr>
            <w:r>
              <w:rPr>
                <w:sz w:val="20"/>
              </w:rPr>
              <w:t>Record</w:t>
            </w:r>
            <w:r>
              <w:rPr>
                <w:spacing w:val="-8"/>
                <w:sz w:val="20"/>
              </w:rPr>
              <w:t> </w:t>
            </w:r>
            <w:r>
              <w:rPr>
                <w:sz w:val="20"/>
              </w:rPr>
              <w:t>lifecycle</w:t>
            </w:r>
            <w:r>
              <w:rPr>
                <w:spacing w:val="-6"/>
                <w:sz w:val="20"/>
              </w:rPr>
              <w:t> </w:t>
            </w:r>
            <w:r>
              <w:rPr>
                <w:spacing w:val="-2"/>
                <w:sz w:val="20"/>
              </w:rPr>
              <w:t>archiving</w:t>
            </w:r>
          </w:p>
        </w:tc>
        <w:tc>
          <w:tcPr>
            <w:tcW w:w="4101" w:type="dxa"/>
            <w:gridSpan w:val="3"/>
            <w:tcBorders>
              <w:top w:val="single" w:sz="4" w:space="0" w:color="000000"/>
              <w:left w:val="single" w:sz="2" w:space="0" w:color="000000"/>
              <w:bottom w:val="single" w:sz="2" w:space="0" w:color="000000"/>
              <w:right w:val="nil"/>
            </w:tcBorders>
          </w:tcPr>
          <w:p>
            <w:pPr>
              <w:pStyle w:val="TableParagraph"/>
              <w:tabs>
                <w:tab w:pos="2670" w:val="left" w:leader="none"/>
                <w:tab w:pos="3942" w:val="left" w:leader="none"/>
              </w:tabs>
              <w:spacing w:line="229" w:lineRule="exact"/>
              <w:ind w:left="117"/>
              <w:rPr>
                <w:sz w:val="18"/>
              </w:rPr>
            </w:pPr>
            <w:r>
              <w:rPr>
                <w:spacing w:val="-2"/>
                <w:sz w:val="20"/>
              </w:rPr>
              <w:t>Income</w:t>
            </w:r>
            <w:r>
              <w:rPr>
                <w:sz w:val="20"/>
              </w:rPr>
              <w:tab/>
            </w:r>
            <w:r>
              <w:rPr>
                <w:spacing w:val="-10"/>
                <w:position w:val="2"/>
                <w:sz w:val="18"/>
              </w:rPr>
              <w:t>-</w:t>
            </w:r>
            <w:r>
              <w:rPr>
                <w:position w:val="2"/>
                <w:sz w:val="18"/>
              </w:rPr>
              <w:tab/>
            </w:r>
            <w:r>
              <w:rPr>
                <w:spacing w:val="-10"/>
                <w:position w:val="2"/>
                <w:sz w:val="18"/>
              </w:rPr>
              <w:t>-</w:t>
            </w:r>
          </w:p>
          <w:p>
            <w:pPr>
              <w:pStyle w:val="TableParagraph"/>
              <w:tabs>
                <w:tab w:pos="2430" w:val="left" w:leader="none"/>
                <w:tab w:pos="4003" w:val="right" w:leader="none"/>
              </w:tabs>
              <w:spacing w:before="78"/>
              <w:ind w:left="117"/>
              <w:rPr>
                <w:sz w:val="18"/>
              </w:rPr>
            </w:pPr>
            <w:r>
              <w:rPr>
                <w:spacing w:val="-2"/>
                <w:sz w:val="20"/>
              </w:rPr>
              <w:t>Expenditure</w:t>
            </w:r>
            <w:r>
              <w:rPr>
                <w:sz w:val="20"/>
              </w:rPr>
              <w:tab/>
            </w:r>
            <w:r>
              <w:rPr>
                <w:spacing w:val="-5"/>
                <w:position w:val="2"/>
                <w:sz w:val="18"/>
              </w:rPr>
              <w:t>915</w:t>
            </w:r>
            <w:r>
              <w:rPr>
                <w:rFonts w:ascii="Times New Roman"/>
                <w:position w:val="2"/>
                <w:sz w:val="18"/>
              </w:rPr>
              <w:tab/>
            </w:r>
            <w:r>
              <w:rPr>
                <w:spacing w:val="-5"/>
                <w:position w:val="2"/>
                <w:sz w:val="18"/>
              </w:rPr>
              <w:t>851</w:t>
            </w:r>
          </w:p>
        </w:tc>
        <w:tc>
          <w:tcPr>
            <w:tcW w:w="1234" w:type="dxa"/>
            <w:tcBorders>
              <w:top w:val="single" w:sz="4" w:space="0" w:color="000000"/>
              <w:left w:val="nil"/>
              <w:bottom w:val="single" w:sz="2" w:space="0" w:color="000000"/>
              <w:right w:val="single" w:sz="12" w:space="0" w:color="000000"/>
            </w:tcBorders>
            <w:shd w:val="clear" w:color="auto" w:fill="BCD6ED"/>
          </w:tcPr>
          <w:p>
            <w:pPr>
              <w:pStyle w:val="TableParagraph"/>
              <w:spacing w:line="206" w:lineRule="exact"/>
              <w:ind w:right="79"/>
              <w:jc w:val="right"/>
              <w:rPr>
                <w:sz w:val="18"/>
              </w:rPr>
            </w:pPr>
            <w:r>
              <w:rPr>
                <w:sz w:val="18"/>
              </w:rPr>
              <w:t>-</w:t>
            </w:r>
          </w:p>
          <w:p>
            <w:pPr>
              <w:pStyle w:val="TableParagraph"/>
              <w:spacing w:before="102"/>
              <w:ind w:right="78"/>
              <w:jc w:val="right"/>
              <w:rPr>
                <w:sz w:val="18"/>
              </w:rPr>
            </w:pPr>
            <w:r>
              <w:rPr>
                <w:spacing w:val="-5"/>
                <w:sz w:val="18"/>
              </w:rPr>
              <w:t>840</w:t>
            </w:r>
          </w:p>
        </w:tc>
      </w:tr>
      <w:tr>
        <w:trPr>
          <w:trHeight w:val="503" w:hRule="atLeast"/>
        </w:trPr>
        <w:tc>
          <w:tcPr>
            <w:tcW w:w="1553" w:type="dxa"/>
            <w:tcBorders>
              <w:top w:val="nil"/>
              <w:left w:val="single" w:sz="12" w:space="0" w:color="000000"/>
              <w:bottom w:val="nil"/>
              <w:right w:val="single" w:sz="2" w:space="0" w:color="000000"/>
            </w:tcBorders>
          </w:tcPr>
          <w:p>
            <w:pPr>
              <w:pStyle w:val="TableParagraph"/>
              <w:rPr>
                <w:rFonts w:ascii="Times New Roman"/>
                <w:sz w:val="18"/>
              </w:rPr>
            </w:pPr>
          </w:p>
        </w:tc>
        <w:tc>
          <w:tcPr>
            <w:tcW w:w="3540" w:type="dxa"/>
            <w:vMerge/>
            <w:tcBorders>
              <w:top w:val="nil"/>
              <w:left w:val="single" w:sz="2" w:space="0" w:color="000000"/>
              <w:bottom w:val="single" w:sz="2" w:space="0" w:color="000000"/>
              <w:right w:val="single" w:sz="2" w:space="0" w:color="000000"/>
            </w:tcBorders>
          </w:tcPr>
          <w:p>
            <w:pPr>
              <w:rPr>
                <w:sz w:val="2"/>
                <w:szCs w:val="2"/>
              </w:rPr>
            </w:pPr>
          </w:p>
        </w:tc>
        <w:tc>
          <w:tcPr>
            <w:tcW w:w="1537" w:type="dxa"/>
            <w:tcBorders>
              <w:top w:val="single" w:sz="2" w:space="0" w:color="000000"/>
              <w:left w:val="single" w:sz="2" w:space="0" w:color="000000"/>
              <w:bottom w:val="single" w:sz="2" w:space="0" w:color="000000"/>
              <w:right w:val="nil"/>
            </w:tcBorders>
          </w:tcPr>
          <w:p>
            <w:pPr>
              <w:pStyle w:val="TableParagraph"/>
              <w:ind w:left="117" w:right="555"/>
              <w:rPr>
                <w:b/>
                <w:sz w:val="20"/>
              </w:rPr>
            </w:pPr>
            <w:r>
              <w:rPr>
                <w:b/>
                <w:sz w:val="20"/>
              </w:rPr>
              <w:t>Surplus</w:t>
            </w:r>
            <w:r>
              <w:rPr>
                <w:b/>
                <w:spacing w:val="-14"/>
                <w:sz w:val="20"/>
              </w:rPr>
              <w:t> </w:t>
            </w:r>
            <w:r>
              <w:rPr>
                <w:b/>
                <w:sz w:val="20"/>
              </w:rPr>
              <w:t>/ </w:t>
            </w:r>
            <w:r>
              <w:rPr>
                <w:b/>
                <w:spacing w:val="-2"/>
                <w:sz w:val="20"/>
              </w:rPr>
              <w:t>(deficit)</w:t>
            </w:r>
          </w:p>
        </w:tc>
        <w:tc>
          <w:tcPr>
            <w:tcW w:w="1348" w:type="dxa"/>
            <w:tcBorders>
              <w:top w:val="single" w:sz="2" w:space="0" w:color="000000"/>
              <w:left w:val="nil"/>
              <w:bottom w:val="single" w:sz="2" w:space="0" w:color="000000"/>
              <w:right w:val="nil"/>
            </w:tcBorders>
          </w:tcPr>
          <w:p>
            <w:pPr>
              <w:pStyle w:val="TableParagraph"/>
              <w:spacing w:line="206" w:lineRule="exact"/>
              <w:ind w:right="146"/>
              <w:jc w:val="right"/>
              <w:rPr>
                <w:b/>
                <w:sz w:val="18"/>
              </w:rPr>
            </w:pPr>
            <w:r>
              <w:rPr>
                <w:b/>
                <w:spacing w:val="-2"/>
                <w:sz w:val="18"/>
              </w:rPr>
              <w:t>(915)</w:t>
            </w:r>
          </w:p>
        </w:tc>
        <w:tc>
          <w:tcPr>
            <w:tcW w:w="1216" w:type="dxa"/>
            <w:tcBorders>
              <w:top w:val="single" w:sz="2" w:space="0" w:color="000000"/>
              <w:left w:val="nil"/>
              <w:bottom w:val="single" w:sz="2" w:space="0" w:color="000000"/>
              <w:right w:val="nil"/>
            </w:tcBorders>
          </w:tcPr>
          <w:p>
            <w:pPr>
              <w:pStyle w:val="TableParagraph"/>
              <w:spacing w:line="206" w:lineRule="exact"/>
              <w:ind w:right="90"/>
              <w:jc w:val="right"/>
              <w:rPr>
                <w:b/>
                <w:sz w:val="18"/>
              </w:rPr>
            </w:pPr>
            <w:r>
              <w:rPr>
                <w:b/>
                <w:spacing w:val="-2"/>
                <w:sz w:val="18"/>
              </w:rPr>
              <w:t>(851)</w:t>
            </w:r>
          </w:p>
        </w:tc>
        <w:tc>
          <w:tcPr>
            <w:tcW w:w="1234" w:type="dxa"/>
            <w:tcBorders>
              <w:top w:val="single" w:sz="2" w:space="0" w:color="000000"/>
              <w:left w:val="nil"/>
              <w:bottom w:val="single" w:sz="2" w:space="0" w:color="000000"/>
              <w:right w:val="single" w:sz="12" w:space="0" w:color="000000"/>
            </w:tcBorders>
            <w:shd w:val="clear" w:color="auto" w:fill="BCD6ED"/>
          </w:tcPr>
          <w:p>
            <w:pPr>
              <w:pStyle w:val="TableParagraph"/>
              <w:spacing w:line="206" w:lineRule="exact"/>
              <w:ind w:right="76"/>
              <w:jc w:val="right"/>
              <w:rPr>
                <w:b/>
                <w:sz w:val="18"/>
              </w:rPr>
            </w:pPr>
            <w:r>
              <w:rPr>
                <w:b/>
                <w:spacing w:val="-2"/>
                <w:sz w:val="18"/>
              </w:rPr>
              <w:t>(840)</w:t>
            </w:r>
          </w:p>
        </w:tc>
      </w:tr>
      <w:tr>
        <w:trPr>
          <w:trHeight w:val="508" w:hRule="atLeast"/>
        </w:trPr>
        <w:tc>
          <w:tcPr>
            <w:tcW w:w="1553" w:type="dxa"/>
            <w:tcBorders>
              <w:top w:val="nil"/>
              <w:left w:val="single" w:sz="12" w:space="0" w:color="000000"/>
              <w:bottom w:val="single" w:sz="2" w:space="0" w:color="000000"/>
              <w:right w:val="single" w:sz="2" w:space="0" w:color="000000"/>
            </w:tcBorders>
          </w:tcPr>
          <w:p>
            <w:pPr>
              <w:pStyle w:val="TableParagraph"/>
              <w:rPr>
                <w:rFonts w:ascii="Times New Roman"/>
                <w:sz w:val="18"/>
              </w:rPr>
            </w:pPr>
          </w:p>
        </w:tc>
        <w:tc>
          <w:tcPr>
            <w:tcW w:w="3540" w:type="dxa"/>
            <w:vMerge/>
            <w:tcBorders>
              <w:top w:val="nil"/>
              <w:left w:val="single" w:sz="2" w:space="0" w:color="000000"/>
              <w:bottom w:val="single" w:sz="2" w:space="0" w:color="000000"/>
              <w:right w:val="single" w:sz="2" w:space="0" w:color="000000"/>
            </w:tcBorders>
          </w:tcPr>
          <w:p>
            <w:pPr>
              <w:rPr>
                <w:sz w:val="2"/>
                <w:szCs w:val="2"/>
              </w:rPr>
            </w:pPr>
          </w:p>
        </w:tc>
        <w:tc>
          <w:tcPr>
            <w:tcW w:w="4101" w:type="dxa"/>
            <w:gridSpan w:val="3"/>
            <w:tcBorders>
              <w:top w:val="single" w:sz="2" w:space="0" w:color="000000"/>
              <w:left w:val="single" w:sz="2" w:space="0" w:color="000000"/>
              <w:bottom w:val="single" w:sz="4" w:space="0" w:color="000000"/>
              <w:right w:val="nil"/>
            </w:tcBorders>
          </w:tcPr>
          <w:p>
            <w:pPr>
              <w:pStyle w:val="TableParagraph"/>
              <w:rPr>
                <w:rFonts w:ascii="Times New Roman"/>
                <w:sz w:val="18"/>
              </w:rPr>
            </w:pPr>
          </w:p>
        </w:tc>
        <w:tc>
          <w:tcPr>
            <w:tcW w:w="1234" w:type="dxa"/>
            <w:tcBorders>
              <w:top w:val="single" w:sz="2" w:space="0" w:color="000000"/>
              <w:left w:val="nil"/>
              <w:bottom w:val="single" w:sz="4" w:space="0" w:color="000000"/>
              <w:right w:val="single" w:sz="12" w:space="0" w:color="000000"/>
            </w:tcBorders>
            <w:shd w:val="clear" w:color="auto" w:fill="BCD6ED"/>
          </w:tcPr>
          <w:p>
            <w:pPr>
              <w:pStyle w:val="TableParagraph"/>
              <w:rPr>
                <w:rFonts w:ascii="Times New Roman"/>
                <w:sz w:val="18"/>
              </w:rPr>
            </w:pPr>
          </w:p>
        </w:tc>
      </w:tr>
      <w:tr>
        <w:trPr>
          <w:trHeight w:val="611" w:hRule="atLeast"/>
        </w:trPr>
        <w:tc>
          <w:tcPr>
            <w:tcW w:w="1553" w:type="dxa"/>
            <w:vMerge w:val="restart"/>
            <w:tcBorders>
              <w:top w:val="single" w:sz="2" w:space="0" w:color="000000"/>
              <w:left w:val="single" w:sz="12" w:space="0" w:color="000000"/>
              <w:bottom w:val="nil"/>
              <w:right w:val="single" w:sz="2" w:space="0" w:color="000000"/>
            </w:tcBorders>
          </w:tcPr>
          <w:p>
            <w:pPr>
              <w:pStyle w:val="TableParagraph"/>
              <w:ind w:left="107" w:right="201"/>
              <w:rPr>
                <w:sz w:val="20"/>
              </w:rPr>
            </w:pPr>
            <w:r>
              <w:rPr>
                <w:spacing w:val="-2"/>
                <w:sz w:val="20"/>
              </w:rPr>
              <w:t>Management Accounting </w:t>
            </w:r>
            <w:r>
              <w:rPr>
                <w:sz w:val="20"/>
              </w:rPr>
              <w:t>and payroll</w:t>
            </w:r>
          </w:p>
        </w:tc>
        <w:tc>
          <w:tcPr>
            <w:tcW w:w="3540" w:type="dxa"/>
            <w:vMerge w:val="restart"/>
            <w:tcBorders>
              <w:top w:val="single" w:sz="2" w:space="0" w:color="000000"/>
              <w:left w:val="single" w:sz="2" w:space="0" w:color="000000"/>
              <w:bottom w:val="single" w:sz="2" w:space="0" w:color="000000"/>
              <w:right w:val="single" w:sz="2" w:space="0" w:color="000000"/>
            </w:tcBorders>
          </w:tcPr>
          <w:p>
            <w:pPr>
              <w:pStyle w:val="TableParagraph"/>
              <w:numPr>
                <w:ilvl w:val="0"/>
                <w:numId w:val="53"/>
              </w:numPr>
              <w:tabs>
                <w:tab w:pos="431" w:val="left" w:leader="none"/>
                <w:tab w:pos="433" w:val="left" w:leader="none"/>
              </w:tabs>
              <w:spacing w:line="240" w:lineRule="auto" w:before="0" w:after="0"/>
              <w:ind w:left="431" w:right="444" w:hanging="312"/>
              <w:jc w:val="left"/>
              <w:rPr>
                <w:sz w:val="20"/>
              </w:rPr>
            </w:pPr>
            <w:r>
              <w:rPr>
                <w:sz w:val="20"/>
              </w:rPr>
              <w:t>Financial</w:t>
            </w:r>
            <w:r>
              <w:rPr>
                <w:spacing w:val="-14"/>
                <w:sz w:val="20"/>
              </w:rPr>
              <w:t> </w:t>
            </w:r>
            <w:r>
              <w:rPr>
                <w:sz w:val="20"/>
              </w:rPr>
              <w:t>planning,</w:t>
            </w:r>
            <w:r>
              <w:rPr>
                <w:spacing w:val="-14"/>
                <w:sz w:val="20"/>
              </w:rPr>
              <w:t> </w:t>
            </w:r>
            <w:r>
              <w:rPr>
                <w:sz w:val="20"/>
              </w:rPr>
              <w:t>budgeting, and forecasting</w:t>
            </w:r>
          </w:p>
          <w:p>
            <w:pPr>
              <w:pStyle w:val="TableParagraph"/>
              <w:numPr>
                <w:ilvl w:val="0"/>
                <w:numId w:val="53"/>
              </w:numPr>
              <w:tabs>
                <w:tab w:pos="431" w:val="left" w:leader="none"/>
                <w:tab w:pos="433" w:val="left" w:leader="none"/>
              </w:tabs>
              <w:spacing w:line="235" w:lineRule="auto" w:before="4" w:after="0"/>
              <w:ind w:left="431" w:right="924" w:hanging="312"/>
              <w:jc w:val="left"/>
              <w:rPr>
                <w:sz w:val="20"/>
              </w:rPr>
            </w:pPr>
            <w:r>
              <w:rPr>
                <w:sz w:val="20"/>
              </w:rPr>
              <w:t>Financial</w:t>
            </w:r>
            <w:r>
              <w:rPr>
                <w:spacing w:val="-14"/>
                <w:sz w:val="20"/>
              </w:rPr>
              <w:t> </w:t>
            </w:r>
            <w:r>
              <w:rPr>
                <w:sz w:val="20"/>
              </w:rPr>
              <w:t>monitoring</w:t>
            </w:r>
            <w:r>
              <w:rPr>
                <w:spacing w:val="-14"/>
                <w:sz w:val="20"/>
              </w:rPr>
              <w:t> </w:t>
            </w:r>
            <w:r>
              <w:rPr>
                <w:sz w:val="20"/>
              </w:rPr>
              <w:t>and </w:t>
            </w:r>
            <w:r>
              <w:rPr>
                <w:spacing w:val="-2"/>
                <w:sz w:val="20"/>
              </w:rPr>
              <w:t>reporting</w:t>
            </w:r>
          </w:p>
          <w:p>
            <w:pPr>
              <w:pStyle w:val="TableParagraph"/>
              <w:numPr>
                <w:ilvl w:val="0"/>
                <w:numId w:val="53"/>
              </w:numPr>
              <w:tabs>
                <w:tab w:pos="431" w:val="left" w:leader="none"/>
                <w:tab w:pos="433" w:val="left" w:leader="none"/>
              </w:tabs>
              <w:spacing w:line="235" w:lineRule="auto" w:before="8" w:after="0"/>
              <w:ind w:left="431" w:right="991" w:hanging="312"/>
              <w:jc w:val="left"/>
              <w:rPr>
                <w:sz w:val="20"/>
              </w:rPr>
            </w:pPr>
            <w:r>
              <w:rPr>
                <w:sz w:val="20"/>
              </w:rPr>
              <w:t>Grant</w:t>
            </w:r>
            <w:r>
              <w:rPr>
                <w:spacing w:val="-14"/>
                <w:sz w:val="20"/>
              </w:rPr>
              <w:t> </w:t>
            </w:r>
            <w:r>
              <w:rPr>
                <w:sz w:val="20"/>
              </w:rPr>
              <w:t>management</w:t>
            </w:r>
            <w:r>
              <w:rPr>
                <w:spacing w:val="-14"/>
                <w:sz w:val="20"/>
              </w:rPr>
              <w:t> </w:t>
            </w:r>
            <w:r>
              <w:rPr>
                <w:sz w:val="20"/>
              </w:rPr>
              <w:t>and</w:t>
            </w:r>
            <w:r>
              <w:rPr>
                <w:sz w:val="20"/>
              </w:rPr>
              <w:t> </w:t>
            </w:r>
            <w:r>
              <w:rPr>
                <w:spacing w:val="-2"/>
                <w:sz w:val="20"/>
              </w:rPr>
              <w:t>acquittals</w:t>
            </w:r>
          </w:p>
          <w:p>
            <w:pPr>
              <w:pStyle w:val="TableParagraph"/>
              <w:numPr>
                <w:ilvl w:val="0"/>
                <w:numId w:val="53"/>
              </w:numPr>
              <w:tabs>
                <w:tab w:pos="431" w:val="left" w:leader="none"/>
                <w:tab w:pos="433" w:val="left" w:leader="none"/>
              </w:tabs>
              <w:spacing w:line="240" w:lineRule="auto" w:before="3" w:after="0"/>
              <w:ind w:left="432" w:right="0" w:hanging="314"/>
              <w:jc w:val="left"/>
              <w:rPr>
                <w:sz w:val="20"/>
              </w:rPr>
            </w:pPr>
            <w:r>
              <w:rPr>
                <w:sz w:val="20"/>
              </w:rPr>
              <w:t>Payroll</w:t>
            </w:r>
            <w:r>
              <w:rPr>
                <w:spacing w:val="-10"/>
                <w:sz w:val="20"/>
              </w:rPr>
              <w:t> </w:t>
            </w:r>
            <w:r>
              <w:rPr>
                <w:spacing w:val="-2"/>
                <w:sz w:val="20"/>
              </w:rPr>
              <w:t>management</w:t>
            </w:r>
          </w:p>
        </w:tc>
        <w:tc>
          <w:tcPr>
            <w:tcW w:w="1537" w:type="dxa"/>
            <w:tcBorders>
              <w:top w:val="single" w:sz="4" w:space="0" w:color="000000"/>
              <w:left w:val="single" w:sz="2" w:space="0" w:color="000000"/>
              <w:bottom w:val="single" w:sz="2" w:space="0" w:color="000000"/>
              <w:right w:val="nil"/>
            </w:tcBorders>
          </w:tcPr>
          <w:p>
            <w:pPr>
              <w:pStyle w:val="TableParagraph"/>
              <w:spacing w:line="229" w:lineRule="exact"/>
              <w:ind w:left="117"/>
              <w:rPr>
                <w:sz w:val="20"/>
              </w:rPr>
            </w:pPr>
            <w:r>
              <w:rPr>
                <w:spacing w:val="-2"/>
                <w:sz w:val="20"/>
              </w:rPr>
              <w:t>Income</w:t>
            </w:r>
          </w:p>
          <w:p>
            <w:pPr>
              <w:pStyle w:val="TableParagraph"/>
              <w:spacing w:before="79"/>
              <w:ind w:left="117"/>
              <w:rPr>
                <w:sz w:val="20"/>
              </w:rPr>
            </w:pPr>
            <w:r>
              <w:rPr>
                <w:spacing w:val="-2"/>
                <w:sz w:val="20"/>
              </w:rPr>
              <w:t>Expenditure</w:t>
            </w:r>
          </w:p>
        </w:tc>
        <w:tc>
          <w:tcPr>
            <w:tcW w:w="1348" w:type="dxa"/>
            <w:tcBorders>
              <w:top w:val="single" w:sz="4" w:space="0" w:color="000000"/>
              <w:left w:val="nil"/>
              <w:bottom w:val="single" w:sz="2" w:space="0" w:color="000000"/>
              <w:right w:val="nil"/>
            </w:tcBorders>
          </w:tcPr>
          <w:p>
            <w:pPr>
              <w:pStyle w:val="TableParagraph"/>
              <w:spacing w:line="206" w:lineRule="exact"/>
              <w:ind w:right="147"/>
              <w:jc w:val="right"/>
              <w:rPr>
                <w:sz w:val="18"/>
              </w:rPr>
            </w:pPr>
            <w:r>
              <w:rPr>
                <w:spacing w:val="-2"/>
                <w:sz w:val="18"/>
              </w:rPr>
              <w:t>(3,878)</w:t>
            </w:r>
          </w:p>
          <w:p>
            <w:pPr>
              <w:pStyle w:val="TableParagraph"/>
              <w:spacing w:before="102"/>
              <w:ind w:right="147"/>
              <w:jc w:val="right"/>
              <w:rPr>
                <w:sz w:val="18"/>
              </w:rPr>
            </w:pPr>
            <w:r>
              <w:rPr>
                <w:spacing w:val="-2"/>
                <w:sz w:val="18"/>
              </w:rPr>
              <w:t>2,002</w:t>
            </w:r>
          </w:p>
        </w:tc>
        <w:tc>
          <w:tcPr>
            <w:tcW w:w="1216" w:type="dxa"/>
            <w:tcBorders>
              <w:top w:val="single" w:sz="4" w:space="0" w:color="000000"/>
              <w:left w:val="nil"/>
              <w:bottom w:val="single" w:sz="2" w:space="0" w:color="000000"/>
              <w:right w:val="nil"/>
            </w:tcBorders>
          </w:tcPr>
          <w:p>
            <w:pPr>
              <w:pStyle w:val="TableParagraph"/>
              <w:spacing w:line="206" w:lineRule="exact"/>
              <w:ind w:right="91"/>
              <w:jc w:val="right"/>
              <w:rPr>
                <w:sz w:val="18"/>
              </w:rPr>
            </w:pPr>
            <w:r>
              <w:rPr>
                <w:spacing w:val="-2"/>
                <w:sz w:val="18"/>
              </w:rPr>
              <w:t>(3,404)</w:t>
            </w:r>
          </w:p>
          <w:p>
            <w:pPr>
              <w:pStyle w:val="TableParagraph"/>
              <w:spacing w:before="102"/>
              <w:ind w:right="90"/>
              <w:jc w:val="right"/>
              <w:rPr>
                <w:sz w:val="18"/>
              </w:rPr>
            </w:pPr>
            <w:r>
              <w:rPr>
                <w:spacing w:val="-2"/>
                <w:sz w:val="18"/>
              </w:rPr>
              <w:t>(104)</w:t>
            </w:r>
          </w:p>
        </w:tc>
        <w:tc>
          <w:tcPr>
            <w:tcW w:w="1234" w:type="dxa"/>
            <w:tcBorders>
              <w:top w:val="single" w:sz="4" w:space="0" w:color="000000"/>
              <w:left w:val="nil"/>
              <w:bottom w:val="single" w:sz="2" w:space="0" w:color="000000"/>
              <w:right w:val="single" w:sz="12" w:space="0" w:color="000000"/>
            </w:tcBorders>
            <w:shd w:val="clear" w:color="auto" w:fill="BCD6ED"/>
          </w:tcPr>
          <w:p>
            <w:pPr>
              <w:pStyle w:val="TableParagraph"/>
              <w:spacing w:line="206" w:lineRule="exact"/>
              <w:ind w:right="77"/>
              <w:jc w:val="right"/>
              <w:rPr>
                <w:sz w:val="18"/>
              </w:rPr>
            </w:pPr>
            <w:r>
              <w:rPr>
                <w:spacing w:val="-2"/>
                <w:sz w:val="18"/>
              </w:rPr>
              <w:t>(2,251)</w:t>
            </w:r>
          </w:p>
          <w:p>
            <w:pPr>
              <w:pStyle w:val="TableParagraph"/>
              <w:spacing w:before="102"/>
              <w:ind w:right="77"/>
              <w:jc w:val="right"/>
              <w:rPr>
                <w:sz w:val="18"/>
              </w:rPr>
            </w:pPr>
            <w:r>
              <w:rPr>
                <w:spacing w:val="-2"/>
                <w:sz w:val="18"/>
              </w:rPr>
              <w:t>1,397</w:t>
            </w:r>
          </w:p>
        </w:tc>
      </w:tr>
      <w:tr>
        <w:trPr>
          <w:trHeight w:val="503" w:hRule="atLeast"/>
        </w:trPr>
        <w:tc>
          <w:tcPr>
            <w:tcW w:w="1553" w:type="dxa"/>
            <w:vMerge/>
            <w:tcBorders>
              <w:top w:val="nil"/>
              <w:left w:val="single" w:sz="12" w:space="0" w:color="000000"/>
              <w:bottom w:val="nil"/>
              <w:right w:val="single" w:sz="2" w:space="0" w:color="000000"/>
            </w:tcBorders>
          </w:tcPr>
          <w:p>
            <w:pPr>
              <w:rPr>
                <w:sz w:val="2"/>
                <w:szCs w:val="2"/>
              </w:rPr>
            </w:pPr>
          </w:p>
        </w:tc>
        <w:tc>
          <w:tcPr>
            <w:tcW w:w="3540" w:type="dxa"/>
            <w:vMerge/>
            <w:tcBorders>
              <w:top w:val="nil"/>
              <w:left w:val="single" w:sz="2" w:space="0" w:color="000000"/>
              <w:bottom w:val="single" w:sz="2" w:space="0" w:color="000000"/>
              <w:right w:val="single" w:sz="2" w:space="0" w:color="000000"/>
            </w:tcBorders>
          </w:tcPr>
          <w:p>
            <w:pPr>
              <w:rPr>
                <w:sz w:val="2"/>
                <w:szCs w:val="2"/>
              </w:rPr>
            </w:pPr>
          </w:p>
        </w:tc>
        <w:tc>
          <w:tcPr>
            <w:tcW w:w="1537" w:type="dxa"/>
            <w:tcBorders>
              <w:top w:val="single" w:sz="2" w:space="0" w:color="000000"/>
              <w:left w:val="single" w:sz="2" w:space="0" w:color="000000"/>
              <w:bottom w:val="single" w:sz="2" w:space="0" w:color="000000"/>
              <w:right w:val="nil"/>
            </w:tcBorders>
          </w:tcPr>
          <w:p>
            <w:pPr>
              <w:pStyle w:val="TableParagraph"/>
              <w:ind w:left="117" w:right="555"/>
              <w:rPr>
                <w:b/>
                <w:sz w:val="20"/>
              </w:rPr>
            </w:pPr>
            <w:r>
              <w:rPr>
                <w:b/>
                <w:sz w:val="20"/>
              </w:rPr>
              <w:t>Surplus</w:t>
            </w:r>
            <w:r>
              <w:rPr>
                <w:b/>
                <w:spacing w:val="-14"/>
                <w:sz w:val="20"/>
              </w:rPr>
              <w:t> </w:t>
            </w:r>
            <w:r>
              <w:rPr>
                <w:b/>
                <w:sz w:val="20"/>
              </w:rPr>
              <w:t>/ </w:t>
            </w:r>
            <w:r>
              <w:rPr>
                <w:b/>
                <w:spacing w:val="-2"/>
                <w:sz w:val="20"/>
              </w:rPr>
              <w:t>(deficit)</w:t>
            </w:r>
          </w:p>
        </w:tc>
        <w:tc>
          <w:tcPr>
            <w:tcW w:w="1348" w:type="dxa"/>
            <w:tcBorders>
              <w:top w:val="single" w:sz="2" w:space="0" w:color="000000"/>
              <w:left w:val="nil"/>
              <w:bottom w:val="single" w:sz="2" w:space="0" w:color="000000"/>
              <w:right w:val="nil"/>
            </w:tcBorders>
          </w:tcPr>
          <w:p>
            <w:pPr>
              <w:pStyle w:val="TableParagraph"/>
              <w:spacing w:line="206" w:lineRule="exact"/>
              <w:ind w:right="147"/>
              <w:jc w:val="right"/>
              <w:rPr>
                <w:b/>
                <w:sz w:val="18"/>
              </w:rPr>
            </w:pPr>
            <w:r>
              <w:rPr>
                <w:b/>
                <w:spacing w:val="-2"/>
                <w:sz w:val="18"/>
              </w:rPr>
              <w:t>(5,880)</w:t>
            </w:r>
          </w:p>
        </w:tc>
        <w:tc>
          <w:tcPr>
            <w:tcW w:w="1216" w:type="dxa"/>
            <w:tcBorders>
              <w:top w:val="single" w:sz="2" w:space="0" w:color="000000"/>
              <w:left w:val="nil"/>
              <w:bottom w:val="single" w:sz="2" w:space="0" w:color="000000"/>
              <w:right w:val="nil"/>
            </w:tcBorders>
          </w:tcPr>
          <w:p>
            <w:pPr>
              <w:pStyle w:val="TableParagraph"/>
              <w:spacing w:line="206" w:lineRule="exact"/>
              <w:ind w:right="91"/>
              <w:jc w:val="right"/>
              <w:rPr>
                <w:b/>
                <w:sz w:val="18"/>
              </w:rPr>
            </w:pPr>
            <w:r>
              <w:rPr>
                <w:b/>
                <w:spacing w:val="-2"/>
                <w:sz w:val="18"/>
              </w:rPr>
              <w:t>(3,300)</w:t>
            </w:r>
          </w:p>
        </w:tc>
        <w:tc>
          <w:tcPr>
            <w:tcW w:w="1234" w:type="dxa"/>
            <w:tcBorders>
              <w:top w:val="single" w:sz="2" w:space="0" w:color="000000"/>
              <w:left w:val="nil"/>
              <w:bottom w:val="single" w:sz="2" w:space="0" w:color="000000"/>
              <w:right w:val="single" w:sz="12" w:space="0" w:color="000000"/>
            </w:tcBorders>
            <w:shd w:val="clear" w:color="auto" w:fill="BCD6ED"/>
          </w:tcPr>
          <w:p>
            <w:pPr>
              <w:pStyle w:val="TableParagraph"/>
              <w:spacing w:line="206" w:lineRule="exact"/>
              <w:ind w:right="77"/>
              <w:jc w:val="right"/>
              <w:rPr>
                <w:b/>
                <w:sz w:val="18"/>
              </w:rPr>
            </w:pPr>
            <w:r>
              <w:rPr>
                <w:b/>
                <w:spacing w:val="-2"/>
                <w:sz w:val="18"/>
              </w:rPr>
              <w:t>(3,648)</w:t>
            </w:r>
          </w:p>
        </w:tc>
      </w:tr>
      <w:tr>
        <w:trPr>
          <w:trHeight w:val="738" w:hRule="atLeast"/>
        </w:trPr>
        <w:tc>
          <w:tcPr>
            <w:tcW w:w="1553" w:type="dxa"/>
            <w:tcBorders>
              <w:top w:val="nil"/>
              <w:left w:val="single" w:sz="12" w:space="0" w:color="000000"/>
              <w:bottom w:val="single" w:sz="2" w:space="0" w:color="000000"/>
              <w:right w:val="single" w:sz="2" w:space="0" w:color="000000"/>
            </w:tcBorders>
          </w:tcPr>
          <w:p>
            <w:pPr>
              <w:pStyle w:val="TableParagraph"/>
              <w:rPr>
                <w:rFonts w:ascii="Times New Roman"/>
                <w:sz w:val="18"/>
              </w:rPr>
            </w:pPr>
          </w:p>
        </w:tc>
        <w:tc>
          <w:tcPr>
            <w:tcW w:w="3540" w:type="dxa"/>
            <w:vMerge/>
            <w:tcBorders>
              <w:top w:val="nil"/>
              <w:left w:val="single" w:sz="2" w:space="0" w:color="000000"/>
              <w:bottom w:val="single" w:sz="2" w:space="0" w:color="000000"/>
              <w:right w:val="single" w:sz="2" w:space="0" w:color="000000"/>
            </w:tcBorders>
          </w:tcPr>
          <w:p>
            <w:pPr>
              <w:rPr>
                <w:sz w:val="2"/>
                <w:szCs w:val="2"/>
              </w:rPr>
            </w:pPr>
          </w:p>
        </w:tc>
        <w:tc>
          <w:tcPr>
            <w:tcW w:w="4101" w:type="dxa"/>
            <w:gridSpan w:val="3"/>
            <w:tcBorders>
              <w:top w:val="single" w:sz="2" w:space="0" w:color="000000"/>
              <w:left w:val="single" w:sz="2" w:space="0" w:color="000000"/>
              <w:bottom w:val="single" w:sz="4" w:space="0" w:color="000000"/>
              <w:right w:val="nil"/>
            </w:tcBorders>
          </w:tcPr>
          <w:p>
            <w:pPr>
              <w:pStyle w:val="TableParagraph"/>
              <w:rPr>
                <w:rFonts w:ascii="Times New Roman"/>
                <w:sz w:val="18"/>
              </w:rPr>
            </w:pPr>
          </w:p>
        </w:tc>
        <w:tc>
          <w:tcPr>
            <w:tcW w:w="1234" w:type="dxa"/>
            <w:tcBorders>
              <w:top w:val="single" w:sz="2" w:space="0" w:color="000000"/>
              <w:left w:val="nil"/>
              <w:bottom w:val="single" w:sz="4" w:space="0" w:color="000000"/>
              <w:right w:val="single" w:sz="12" w:space="0" w:color="000000"/>
            </w:tcBorders>
            <w:shd w:val="clear" w:color="auto" w:fill="BCD6ED"/>
          </w:tcPr>
          <w:p>
            <w:pPr>
              <w:pStyle w:val="TableParagraph"/>
              <w:rPr>
                <w:rFonts w:ascii="Times New Roman"/>
                <w:sz w:val="18"/>
              </w:rPr>
            </w:pPr>
          </w:p>
        </w:tc>
      </w:tr>
      <w:tr>
        <w:trPr>
          <w:trHeight w:val="599" w:hRule="atLeast"/>
        </w:trPr>
        <w:tc>
          <w:tcPr>
            <w:tcW w:w="1553" w:type="dxa"/>
            <w:tcBorders>
              <w:top w:val="single" w:sz="2" w:space="0" w:color="000000"/>
              <w:left w:val="single" w:sz="12" w:space="0" w:color="000000"/>
              <w:bottom w:val="nil"/>
              <w:right w:val="single" w:sz="2" w:space="0" w:color="000000"/>
            </w:tcBorders>
          </w:tcPr>
          <w:p>
            <w:pPr>
              <w:pStyle w:val="TableParagraph"/>
              <w:ind w:left="107" w:right="201"/>
              <w:rPr>
                <w:sz w:val="20"/>
              </w:rPr>
            </w:pPr>
            <w:r>
              <w:rPr>
                <w:sz w:val="20"/>
              </w:rPr>
              <w:t>People</w:t>
            </w:r>
            <w:r>
              <w:rPr>
                <w:spacing w:val="-14"/>
                <w:sz w:val="20"/>
              </w:rPr>
              <w:t> </w:t>
            </w:r>
            <w:r>
              <w:rPr>
                <w:sz w:val="20"/>
              </w:rPr>
              <w:t>and </w:t>
            </w:r>
            <w:r>
              <w:rPr>
                <w:spacing w:val="-2"/>
                <w:sz w:val="20"/>
              </w:rPr>
              <w:t>culture</w:t>
            </w:r>
          </w:p>
        </w:tc>
        <w:tc>
          <w:tcPr>
            <w:tcW w:w="3540" w:type="dxa"/>
            <w:vMerge w:val="restart"/>
            <w:tcBorders>
              <w:top w:val="single" w:sz="2" w:space="0" w:color="000000"/>
              <w:left w:val="single" w:sz="2" w:space="0" w:color="000000"/>
              <w:bottom w:val="single" w:sz="12" w:space="0" w:color="000000"/>
              <w:right w:val="single" w:sz="2" w:space="0" w:color="000000"/>
            </w:tcBorders>
          </w:tcPr>
          <w:p>
            <w:pPr>
              <w:pStyle w:val="TableParagraph"/>
              <w:numPr>
                <w:ilvl w:val="0"/>
                <w:numId w:val="54"/>
              </w:numPr>
              <w:tabs>
                <w:tab w:pos="431" w:val="left" w:leader="none"/>
                <w:tab w:pos="433" w:val="left" w:leader="none"/>
              </w:tabs>
              <w:spacing w:line="235" w:lineRule="auto" w:before="4" w:after="0"/>
              <w:ind w:left="431" w:right="825" w:hanging="312"/>
              <w:jc w:val="left"/>
              <w:rPr>
                <w:sz w:val="20"/>
              </w:rPr>
            </w:pPr>
            <w:r>
              <w:rPr>
                <w:sz w:val="20"/>
              </w:rPr>
              <w:t>Human</w:t>
            </w:r>
            <w:r>
              <w:rPr>
                <w:spacing w:val="-14"/>
                <w:sz w:val="20"/>
              </w:rPr>
              <w:t> </w:t>
            </w:r>
            <w:r>
              <w:rPr>
                <w:sz w:val="20"/>
              </w:rPr>
              <w:t>resource</w:t>
            </w:r>
            <w:r>
              <w:rPr>
                <w:spacing w:val="-14"/>
                <w:sz w:val="20"/>
              </w:rPr>
              <w:t> </w:t>
            </w:r>
            <w:r>
              <w:rPr>
                <w:sz w:val="20"/>
              </w:rPr>
              <w:t>advisory</w:t>
            </w:r>
            <w:r>
              <w:rPr>
                <w:sz w:val="20"/>
              </w:rPr>
              <w:t> </w:t>
            </w:r>
            <w:r>
              <w:rPr>
                <w:spacing w:val="-2"/>
                <w:sz w:val="20"/>
              </w:rPr>
              <w:t>services</w:t>
            </w:r>
          </w:p>
          <w:p>
            <w:pPr>
              <w:pStyle w:val="TableParagraph"/>
              <w:numPr>
                <w:ilvl w:val="0"/>
                <w:numId w:val="54"/>
              </w:numPr>
              <w:tabs>
                <w:tab w:pos="431" w:val="left" w:leader="none"/>
                <w:tab w:pos="433" w:val="left" w:leader="none"/>
              </w:tabs>
              <w:spacing w:line="245" w:lineRule="exact" w:before="3" w:after="0"/>
              <w:ind w:left="432" w:right="0" w:hanging="314"/>
              <w:jc w:val="left"/>
              <w:rPr>
                <w:sz w:val="20"/>
              </w:rPr>
            </w:pPr>
            <w:r>
              <w:rPr>
                <w:sz w:val="20"/>
              </w:rPr>
              <w:t>Learning</w:t>
            </w:r>
            <w:r>
              <w:rPr>
                <w:spacing w:val="-8"/>
                <w:sz w:val="20"/>
              </w:rPr>
              <w:t> </w:t>
            </w:r>
            <w:r>
              <w:rPr>
                <w:sz w:val="20"/>
              </w:rPr>
              <w:t>and</w:t>
            </w:r>
            <w:r>
              <w:rPr>
                <w:spacing w:val="-7"/>
                <w:sz w:val="20"/>
              </w:rPr>
              <w:t> </w:t>
            </w:r>
            <w:r>
              <w:rPr>
                <w:spacing w:val="-2"/>
                <w:sz w:val="20"/>
              </w:rPr>
              <w:t>development</w:t>
            </w:r>
          </w:p>
          <w:p>
            <w:pPr>
              <w:pStyle w:val="TableParagraph"/>
              <w:numPr>
                <w:ilvl w:val="0"/>
                <w:numId w:val="54"/>
              </w:numPr>
              <w:tabs>
                <w:tab w:pos="431" w:val="left" w:leader="none"/>
                <w:tab w:pos="433" w:val="left" w:leader="none"/>
              </w:tabs>
              <w:spacing w:line="244" w:lineRule="exact" w:before="0" w:after="0"/>
              <w:ind w:left="432" w:right="0" w:hanging="314"/>
              <w:jc w:val="left"/>
              <w:rPr>
                <w:sz w:val="20"/>
              </w:rPr>
            </w:pPr>
            <w:r>
              <w:rPr>
                <w:sz w:val="20"/>
              </w:rPr>
              <w:t>Occupational</w:t>
            </w:r>
            <w:r>
              <w:rPr>
                <w:spacing w:val="-6"/>
                <w:sz w:val="20"/>
              </w:rPr>
              <w:t> </w:t>
            </w:r>
            <w:r>
              <w:rPr>
                <w:sz w:val="20"/>
              </w:rPr>
              <w:t>health</w:t>
            </w:r>
            <w:r>
              <w:rPr>
                <w:spacing w:val="-8"/>
                <w:sz w:val="20"/>
              </w:rPr>
              <w:t> </w:t>
            </w:r>
            <w:r>
              <w:rPr>
                <w:sz w:val="20"/>
              </w:rPr>
              <w:t>and</w:t>
            </w:r>
            <w:r>
              <w:rPr>
                <w:spacing w:val="-8"/>
                <w:sz w:val="20"/>
              </w:rPr>
              <w:t> </w:t>
            </w:r>
            <w:r>
              <w:rPr>
                <w:spacing w:val="-2"/>
                <w:sz w:val="20"/>
              </w:rPr>
              <w:t>safety</w:t>
            </w:r>
          </w:p>
          <w:p>
            <w:pPr>
              <w:pStyle w:val="TableParagraph"/>
              <w:numPr>
                <w:ilvl w:val="0"/>
                <w:numId w:val="54"/>
              </w:numPr>
              <w:tabs>
                <w:tab w:pos="431" w:val="left" w:leader="none"/>
                <w:tab w:pos="433" w:val="left" w:leader="none"/>
              </w:tabs>
              <w:spacing w:line="244" w:lineRule="exact" w:before="0" w:after="0"/>
              <w:ind w:left="432" w:right="0" w:hanging="314"/>
              <w:jc w:val="left"/>
              <w:rPr>
                <w:sz w:val="20"/>
              </w:rPr>
            </w:pPr>
            <w:r>
              <w:rPr>
                <w:sz w:val="20"/>
              </w:rPr>
              <w:t>Organisational</w:t>
            </w:r>
            <w:r>
              <w:rPr>
                <w:spacing w:val="-11"/>
                <w:sz w:val="20"/>
              </w:rPr>
              <w:t> </w:t>
            </w:r>
            <w:r>
              <w:rPr>
                <w:spacing w:val="-2"/>
                <w:sz w:val="20"/>
              </w:rPr>
              <w:t>development</w:t>
            </w:r>
          </w:p>
          <w:p>
            <w:pPr>
              <w:pStyle w:val="TableParagraph"/>
              <w:numPr>
                <w:ilvl w:val="0"/>
                <w:numId w:val="54"/>
              </w:numPr>
              <w:tabs>
                <w:tab w:pos="431" w:val="left" w:leader="none"/>
                <w:tab w:pos="433" w:val="left" w:leader="none"/>
              </w:tabs>
              <w:spacing w:line="244" w:lineRule="exact" w:before="0" w:after="0"/>
              <w:ind w:left="432" w:right="0" w:hanging="314"/>
              <w:jc w:val="left"/>
              <w:rPr>
                <w:sz w:val="20"/>
              </w:rPr>
            </w:pPr>
            <w:r>
              <w:rPr>
                <w:sz w:val="20"/>
              </w:rPr>
              <w:t>Recruitment</w:t>
            </w:r>
            <w:r>
              <w:rPr>
                <w:spacing w:val="-8"/>
                <w:sz w:val="20"/>
              </w:rPr>
              <w:t> </w:t>
            </w:r>
            <w:r>
              <w:rPr>
                <w:sz w:val="20"/>
              </w:rPr>
              <w:t>and</w:t>
            </w:r>
            <w:r>
              <w:rPr>
                <w:spacing w:val="-9"/>
                <w:sz w:val="20"/>
              </w:rPr>
              <w:t> </w:t>
            </w:r>
            <w:r>
              <w:rPr>
                <w:spacing w:val="-2"/>
                <w:sz w:val="20"/>
              </w:rPr>
              <w:t>selection</w:t>
            </w:r>
          </w:p>
          <w:p>
            <w:pPr>
              <w:pStyle w:val="TableParagraph"/>
              <w:numPr>
                <w:ilvl w:val="0"/>
                <w:numId w:val="54"/>
              </w:numPr>
              <w:tabs>
                <w:tab w:pos="431" w:val="left" w:leader="none"/>
                <w:tab w:pos="433" w:val="left" w:leader="none"/>
              </w:tabs>
              <w:spacing w:line="244" w:lineRule="exact" w:before="0" w:after="0"/>
              <w:ind w:left="432" w:right="0" w:hanging="314"/>
              <w:jc w:val="left"/>
              <w:rPr>
                <w:sz w:val="20"/>
              </w:rPr>
            </w:pPr>
            <w:r>
              <w:rPr>
                <w:sz w:val="20"/>
              </w:rPr>
              <w:t>Volunteers</w:t>
            </w:r>
            <w:r>
              <w:rPr>
                <w:spacing w:val="-8"/>
                <w:sz w:val="20"/>
              </w:rPr>
              <w:t> </w:t>
            </w:r>
            <w:r>
              <w:rPr>
                <w:sz w:val="20"/>
              </w:rPr>
              <w:t>and</w:t>
            </w:r>
            <w:r>
              <w:rPr>
                <w:spacing w:val="-8"/>
                <w:sz w:val="20"/>
              </w:rPr>
              <w:t> </w:t>
            </w:r>
            <w:r>
              <w:rPr>
                <w:spacing w:val="-2"/>
                <w:sz w:val="20"/>
              </w:rPr>
              <w:t>placements</w:t>
            </w:r>
          </w:p>
          <w:p>
            <w:pPr>
              <w:pStyle w:val="TableParagraph"/>
              <w:numPr>
                <w:ilvl w:val="0"/>
                <w:numId w:val="54"/>
              </w:numPr>
              <w:tabs>
                <w:tab w:pos="431" w:val="left" w:leader="none"/>
                <w:tab w:pos="433" w:val="left" w:leader="none"/>
              </w:tabs>
              <w:spacing w:line="235" w:lineRule="auto" w:before="4" w:after="0"/>
              <w:ind w:left="431" w:right="1225" w:hanging="312"/>
              <w:jc w:val="left"/>
              <w:rPr>
                <w:sz w:val="20"/>
              </w:rPr>
            </w:pPr>
            <w:r>
              <w:rPr>
                <w:sz w:val="20"/>
              </w:rPr>
              <w:t>Workcover</w:t>
            </w:r>
            <w:r>
              <w:rPr>
                <w:spacing w:val="-14"/>
                <w:sz w:val="20"/>
              </w:rPr>
              <w:t> </w:t>
            </w:r>
            <w:r>
              <w:rPr>
                <w:sz w:val="20"/>
              </w:rPr>
              <w:t>and</w:t>
            </w:r>
            <w:r>
              <w:rPr>
                <w:spacing w:val="-14"/>
                <w:sz w:val="20"/>
              </w:rPr>
              <w:t> </w:t>
            </w:r>
            <w:r>
              <w:rPr>
                <w:sz w:val="20"/>
              </w:rPr>
              <w:t>injury</w:t>
            </w:r>
            <w:r>
              <w:rPr>
                <w:sz w:val="20"/>
              </w:rPr>
              <w:t> </w:t>
            </w:r>
            <w:r>
              <w:rPr>
                <w:spacing w:val="-2"/>
                <w:sz w:val="20"/>
              </w:rPr>
              <w:t>management</w:t>
            </w:r>
          </w:p>
          <w:p>
            <w:pPr>
              <w:pStyle w:val="TableParagraph"/>
              <w:numPr>
                <w:ilvl w:val="0"/>
                <w:numId w:val="54"/>
              </w:numPr>
              <w:tabs>
                <w:tab w:pos="431" w:val="left" w:leader="none"/>
                <w:tab w:pos="433" w:val="left" w:leader="none"/>
              </w:tabs>
              <w:spacing w:line="240" w:lineRule="auto" w:before="4" w:after="0"/>
              <w:ind w:left="432" w:right="0" w:hanging="314"/>
              <w:jc w:val="left"/>
              <w:rPr>
                <w:sz w:val="20"/>
              </w:rPr>
            </w:pPr>
            <w:r>
              <w:rPr>
                <w:sz w:val="20"/>
              </w:rPr>
              <w:t>Workforce</w:t>
            </w:r>
            <w:r>
              <w:rPr>
                <w:spacing w:val="-11"/>
                <w:sz w:val="20"/>
              </w:rPr>
              <w:t> </w:t>
            </w:r>
            <w:r>
              <w:rPr>
                <w:spacing w:val="-2"/>
                <w:sz w:val="20"/>
              </w:rPr>
              <w:t>relations</w:t>
            </w:r>
          </w:p>
        </w:tc>
        <w:tc>
          <w:tcPr>
            <w:tcW w:w="1537" w:type="dxa"/>
            <w:tcBorders>
              <w:top w:val="single" w:sz="4" w:space="0" w:color="000000"/>
              <w:left w:val="single" w:sz="2" w:space="0" w:color="000000"/>
              <w:bottom w:val="single" w:sz="2" w:space="0" w:color="000000"/>
              <w:right w:val="nil"/>
            </w:tcBorders>
          </w:tcPr>
          <w:p>
            <w:pPr>
              <w:pStyle w:val="TableParagraph"/>
              <w:spacing w:line="229" w:lineRule="exact"/>
              <w:ind w:left="117"/>
              <w:rPr>
                <w:sz w:val="20"/>
              </w:rPr>
            </w:pPr>
            <w:r>
              <w:rPr>
                <w:spacing w:val="-2"/>
                <w:sz w:val="20"/>
              </w:rPr>
              <w:t>Income</w:t>
            </w:r>
          </w:p>
          <w:p>
            <w:pPr>
              <w:pStyle w:val="TableParagraph"/>
              <w:spacing w:before="77"/>
              <w:ind w:left="117"/>
              <w:rPr>
                <w:sz w:val="20"/>
              </w:rPr>
            </w:pPr>
            <w:r>
              <w:rPr>
                <w:spacing w:val="-2"/>
                <w:sz w:val="20"/>
              </w:rPr>
              <w:t>Expenditure</w:t>
            </w:r>
          </w:p>
        </w:tc>
        <w:tc>
          <w:tcPr>
            <w:tcW w:w="1348" w:type="dxa"/>
            <w:tcBorders>
              <w:top w:val="single" w:sz="4" w:space="0" w:color="000000"/>
              <w:left w:val="nil"/>
              <w:bottom w:val="single" w:sz="2" w:space="0" w:color="000000"/>
              <w:right w:val="nil"/>
            </w:tcBorders>
          </w:tcPr>
          <w:p>
            <w:pPr>
              <w:pStyle w:val="TableParagraph"/>
              <w:spacing w:line="206" w:lineRule="exact"/>
              <w:ind w:right="149"/>
              <w:jc w:val="right"/>
              <w:rPr>
                <w:sz w:val="18"/>
              </w:rPr>
            </w:pPr>
            <w:r>
              <w:rPr>
                <w:sz w:val="18"/>
              </w:rPr>
              <w:t>-</w:t>
            </w:r>
          </w:p>
          <w:p>
            <w:pPr>
              <w:pStyle w:val="TableParagraph"/>
              <w:spacing w:before="100"/>
              <w:ind w:right="147"/>
              <w:jc w:val="right"/>
              <w:rPr>
                <w:sz w:val="18"/>
              </w:rPr>
            </w:pPr>
            <w:r>
              <w:rPr>
                <w:spacing w:val="-2"/>
                <w:sz w:val="18"/>
              </w:rPr>
              <w:t>2,607</w:t>
            </w:r>
          </w:p>
        </w:tc>
        <w:tc>
          <w:tcPr>
            <w:tcW w:w="1216" w:type="dxa"/>
            <w:tcBorders>
              <w:top w:val="single" w:sz="4" w:space="0" w:color="000000"/>
              <w:left w:val="nil"/>
              <w:bottom w:val="single" w:sz="2" w:space="0" w:color="000000"/>
              <w:right w:val="nil"/>
            </w:tcBorders>
          </w:tcPr>
          <w:p>
            <w:pPr>
              <w:pStyle w:val="TableParagraph"/>
              <w:spacing w:line="206" w:lineRule="exact"/>
              <w:ind w:right="93"/>
              <w:jc w:val="right"/>
              <w:rPr>
                <w:sz w:val="18"/>
              </w:rPr>
            </w:pPr>
            <w:r>
              <w:rPr>
                <w:sz w:val="18"/>
              </w:rPr>
              <w:t>-</w:t>
            </w:r>
          </w:p>
          <w:p>
            <w:pPr>
              <w:pStyle w:val="TableParagraph"/>
              <w:spacing w:before="100"/>
              <w:ind w:right="91"/>
              <w:jc w:val="right"/>
              <w:rPr>
                <w:sz w:val="18"/>
              </w:rPr>
            </w:pPr>
            <w:r>
              <w:rPr>
                <w:spacing w:val="-2"/>
                <w:sz w:val="18"/>
              </w:rPr>
              <w:t>2,879</w:t>
            </w:r>
          </w:p>
        </w:tc>
        <w:tc>
          <w:tcPr>
            <w:tcW w:w="1234" w:type="dxa"/>
            <w:tcBorders>
              <w:top w:val="single" w:sz="4" w:space="0" w:color="000000"/>
              <w:left w:val="nil"/>
              <w:bottom w:val="single" w:sz="2" w:space="0" w:color="000000"/>
              <w:right w:val="single" w:sz="12" w:space="0" w:color="000000"/>
            </w:tcBorders>
            <w:shd w:val="clear" w:color="auto" w:fill="BCD6ED"/>
          </w:tcPr>
          <w:p>
            <w:pPr>
              <w:pStyle w:val="TableParagraph"/>
              <w:spacing w:line="206" w:lineRule="exact"/>
              <w:ind w:right="79"/>
              <w:jc w:val="right"/>
              <w:rPr>
                <w:sz w:val="18"/>
              </w:rPr>
            </w:pPr>
            <w:r>
              <w:rPr>
                <w:sz w:val="18"/>
              </w:rPr>
              <w:t>-</w:t>
            </w:r>
          </w:p>
          <w:p>
            <w:pPr>
              <w:pStyle w:val="TableParagraph"/>
              <w:spacing w:before="100"/>
              <w:ind w:right="77"/>
              <w:jc w:val="right"/>
              <w:rPr>
                <w:sz w:val="18"/>
              </w:rPr>
            </w:pPr>
            <w:r>
              <w:rPr>
                <w:spacing w:val="-2"/>
                <w:sz w:val="18"/>
              </w:rPr>
              <w:t>3,129</w:t>
            </w:r>
          </w:p>
        </w:tc>
      </w:tr>
      <w:tr>
        <w:trPr>
          <w:trHeight w:val="433" w:hRule="atLeast"/>
        </w:trPr>
        <w:tc>
          <w:tcPr>
            <w:tcW w:w="1553" w:type="dxa"/>
            <w:tcBorders>
              <w:top w:val="nil"/>
              <w:left w:val="single" w:sz="12" w:space="0" w:color="000000"/>
              <w:bottom w:val="nil"/>
              <w:right w:val="single" w:sz="2" w:space="0" w:color="000000"/>
            </w:tcBorders>
          </w:tcPr>
          <w:p>
            <w:pPr>
              <w:pStyle w:val="TableParagraph"/>
              <w:rPr>
                <w:rFonts w:ascii="Times New Roman"/>
                <w:sz w:val="18"/>
              </w:rPr>
            </w:pPr>
          </w:p>
        </w:tc>
        <w:tc>
          <w:tcPr>
            <w:tcW w:w="3540" w:type="dxa"/>
            <w:vMerge/>
            <w:tcBorders>
              <w:top w:val="nil"/>
              <w:left w:val="single" w:sz="2" w:space="0" w:color="000000"/>
              <w:bottom w:val="single" w:sz="12" w:space="0" w:color="000000"/>
              <w:right w:val="single" w:sz="2" w:space="0" w:color="000000"/>
            </w:tcBorders>
          </w:tcPr>
          <w:p>
            <w:pPr>
              <w:rPr>
                <w:sz w:val="2"/>
                <w:szCs w:val="2"/>
              </w:rPr>
            </w:pPr>
          </w:p>
        </w:tc>
        <w:tc>
          <w:tcPr>
            <w:tcW w:w="1537" w:type="dxa"/>
            <w:tcBorders>
              <w:top w:val="single" w:sz="2" w:space="0" w:color="000000"/>
              <w:left w:val="single" w:sz="2" w:space="0" w:color="000000"/>
              <w:bottom w:val="single" w:sz="2" w:space="0" w:color="000000"/>
              <w:right w:val="nil"/>
            </w:tcBorders>
          </w:tcPr>
          <w:p>
            <w:pPr>
              <w:pStyle w:val="TableParagraph"/>
              <w:spacing w:line="216" w:lineRule="exact"/>
              <w:ind w:left="117"/>
              <w:rPr>
                <w:b/>
                <w:sz w:val="20"/>
              </w:rPr>
            </w:pPr>
            <w:r>
              <w:rPr>
                <w:b/>
                <w:sz w:val="20"/>
              </w:rPr>
              <w:t>Surplus</w:t>
            </w:r>
            <w:r>
              <w:rPr>
                <w:b/>
                <w:spacing w:val="-11"/>
                <w:sz w:val="20"/>
              </w:rPr>
              <w:t> </w:t>
            </w:r>
            <w:r>
              <w:rPr>
                <w:b/>
                <w:spacing w:val="-10"/>
                <w:sz w:val="20"/>
              </w:rPr>
              <w:t>/</w:t>
            </w:r>
          </w:p>
          <w:p>
            <w:pPr>
              <w:pStyle w:val="TableParagraph"/>
              <w:spacing w:line="197" w:lineRule="exact"/>
              <w:ind w:left="117"/>
              <w:rPr>
                <w:b/>
                <w:sz w:val="20"/>
              </w:rPr>
            </w:pPr>
            <w:r>
              <w:rPr>
                <w:b/>
                <w:spacing w:val="-2"/>
                <w:sz w:val="20"/>
              </w:rPr>
              <w:t>(deficit)</w:t>
            </w:r>
          </w:p>
        </w:tc>
        <w:tc>
          <w:tcPr>
            <w:tcW w:w="1348" w:type="dxa"/>
            <w:tcBorders>
              <w:top w:val="single" w:sz="2" w:space="0" w:color="000000"/>
              <w:left w:val="nil"/>
              <w:bottom w:val="single" w:sz="2" w:space="0" w:color="000000"/>
              <w:right w:val="nil"/>
            </w:tcBorders>
          </w:tcPr>
          <w:p>
            <w:pPr>
              <w:pStyle w:val="TableParagraph"/>
              <w:spacing w:line="194" w:lineRule="exact"/>
              <w:ind w:right="147"/>
              <w:jc w:val="right"/>
              <w:rPr>
                <w:b/>
                <w:sz w:val="18"/>
              </w:rPr>
            </w:pPr>
            <w:r>
              <w:rPr>
                <w:b/>
                <w:spacing w:val="-2"/>
                <w:sz w:val="18"/>
              </w:rPr>
              <w:t>(2,607)</w:t>
            </w:r>
          </w:p>
        </w:tc>
        <w:tc>
          <w:tcPr>
            <w:tcW w:w="1216" w:type="dxa"/>
            <w:tcBorders>
              <w:top w:val="single" w:sz="2" w:space="0" w:color="000000"/>
              <w:left w:val="nil"/>
              <w:bottom w:val="single" w:sz="2" w:space="0" w:color="000000"/>
              <w:right w:val="nil"/>
            </w:tcBorders>
          </w:tcPr>
          <w:p>
            <w:pPr>
              <w:pStyle w:val="TableParagraph"/>
              <w:spacing w:line="194" w:lineRule="exact"/>
              <w:ind w:right="91"/>
              <w:jc w:val="right"/>
              <w:rPr>
                <w:b/>
                <w:sz w:val="18"/>
              </w:rPr>
            </w:pPr>
            <w:r>
              <w:rPr>
                <w:b/>
                <w:spacing w:val="-2"/>
                <w:sz w:val="18"/>
              </w:rPr>
              <w:t>(2,879)</w:t>
            </w:r>
          </w:p>
        </w:tc>
        <w:tc>
          <w:tcPr>
            <w:tcW w:w="1234" w:type="dxa"/>
            <w:tcBorders>
              <w:top w:val="single" w:sz="2" w:space="0" w:color="000000"/>
              <w:left w:val="nil"/>
              <w:bottom w:val="single" w:sz="2" w:space="0" w:color="000000"/>
              <w:right w:val="single" w:sz="12" w:space="0" w:color="000000"/>
            </w:tcBorders>
            <w:shd w:val="clear" w:color="auto" w:fill="BCD6ED"/>
          </w:tcPr>
          <w:p>
            <w:pPr>
              <w:pStyle w:val="TableParagraph"/>
              <w:spacing w:line="194" w:lineRule="exact"/>
              <w:ind w:right="77"/>
              <w:jc w:val="right"/>
              <w:rPr>
                <w:b/>
                <w:sz w:val="18"/>
              </w:rPr>
            </w:pPr>
            <w:r>
              <w:rPr>
                <w:b/>
                <w:spacing w:val="-2"/>
                <w:sz w:val="18"/>
              </w:rPr>
              <w:t>(3,129)</w:t>
            </w:r>
          </w:p>
        </w:tc>
      </w:tr>
      <w:tr>
        <w:trPr>
          <w:trHeight w:val="1515" w:hRule="atLeast"/>
        </w:trPr>
        <w:tc>
          <w:tcPr>
            <w:tcW w:w="1553" w:type="dxa"/>
            <w:tcBorders>
              <w:top w:val="nil"/>
              <w:left w:val="single" w:sz="12" w:space="0" w:color="000000"/>
              <w:bottom w:val="single" w:sz="12" w:space="0" w:color="000000"/>
              <w:right w:val="single" w:sz="2" w:space="0" w:color="000000"/>
            </w:tcBorders>
          </w:tcPr>
          <w:p>
            <w:pPr>
              <w:pStyle w:val="TableParagraph"/>
              <w:rPr>
                <w:rFonts w:ascii="Times New Roman"/>
                <w:sz w:val="18"/>
              </w:rPr>
            </w:pPr>
          </w:p>
        </w:tc>
        <w:tc>
          <w:tcPr>
            <w:tcW w:w="3540" w:type="dxa"/>
            <w:vMerge/>
            <w:tcBorders>
              <w:top w:val="nil"/>
              <w:left w:val="single" w:sz="2" w:space="0" w:color="000000"/>
              <w:bottom w:val="single" w:sz="12" w:space="0" w:color="000000"/>
              <w:right w:val="single" w:sz="2" w:space="0" w:color="000000"/>
            </w:tcBorders>
          </w:tcPr>
          <w:p>
            <w:pPr>
              <w:rPr>
                <w:sz w:val="2"/>
                <w:szCs w:val="2"/>
              </w:rPr>
            </w:pPr>
          </w:p>
        </w:tc>
        <w:tc>
          <w:tcPr>
            <w:tcW w:w="5335" w:type="dxa"/>
            <w:gridSpan w:val="4"/>
            <w:tcBorders>
              <w:top w:val="single" w:sz="2" w:space="0" w:color="000000"/>
              <w:left w:val="single" w:sz="2" w:space="0" w:color="000000"/>
              <w:bottom w:val="single" w:sz="12" w:space="0" w:color="000000"/>
              <w:right w:val="single" w:sz="12" w:space="0" w:color="000000"/>
            </w:tcBorders>
          </w:tcPr>
          <w:p>
            <w:pPr>
              <w:pStyle w:val="TableParagraph"/>
              <w:rPr>
                <w:rFonts w:ascii="Times New Roman"/>
                <w:sz w:val="18"/>
              </w:rPr>
            </w:pPr>
          </w:p>
        </w:tc>
      </w:tr>
    </w:tbl>
    <w:p>
      <w:pPr>
        <w:spacing w:after="0"/>
        <w:rPr>
          <w:rFonts w:ascii="Times New Roman"/>
          <w:sz w:val="18"/>
        </w:rPr>
        <w:sectPr>
          <w:pgSz w:w="11910" w:h="16840"/>
          <w:pgMar w:header="0" w:footer="375" w:top="540" w:bottom="560" w:left="460" w:right="160"/>
        </w:sectPr>
      </w:pPr>
    </w:p>
    <w:tbl>
      <w:tblPr>
        <w:tblW w:w="0" w:type="auto"/>
        <w:jc w:val="left"/>
        <w:tblInd w:w="4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553"/>
        <w:gridCol w:w="3540"/>
        <w:gridCol w:w="1537"/>
        <w:gridCol w:w="1348"/>
        <w:gridCol w:w="1216"/>
        <w:gridCol w:w="1234"/>
      </w:tblGrid>
      <w:tr>
        <w:trPr>
          <w:trHeight w:val="925" w:hRule="exact"/>
        </w:trPr>
        <w:tc>
          <w:tcPr>
            <w:tcW w:w="1553" w:type="dxa"/>
            <w:tcBorders>
              <w:left w:val="single" w:sz="12" w:space="0" w:color="000000"/>
              <w:bottom w:val="single" w:sz="2" w:space="0" w:color="000000"/>
              <w:right w:val="nil"/>
            </w:tcBorders>
            <w:shd w:val="clear" w:color="auto" w:fill="5B9AD4"/>
          </w:tcPr>
          <w:p>
            <w:pPr>
              <w:pStyle w:val="TableParagraph"/>
              <w:spacing w:before="2"/>
              <w:rPr>
                <w:b/>
                <w:sz w:val="19"/>
              </w:rPr>
            </w:pPr>
          </w:p>
          <w:p>
            <w:pPr>
              <w:pStyle w:val="TableParagraph"/>
              <w:ind w:left="155"/>
              <w:rPr>
                <w:b/>
                <w:sz w:val="20"/>
              </w:rPr>
            </w:pPr>
            <w:r>
              <w:rPr>
                <w:b/>
                <w:color w:val="FFFFFF"/>
                <w:sz w:val="20"/>
              </w:rPr>
              <w:t>Service</w:t>
            </w:r>
            <w:r>
              <w:rPr>
                <w:b/>
                <w:color w:val="FFFFFF"/>
                <w:spacing w:val="-10"/>
                <w:sz w:val="20"/>
              </w:rPr>
              <w:t> </w:t>
            </w:r>
            <w:r>
              <w:rPr>
                <w:b/>
                <w:color w:val="FFFFFF"/>
                <w:spacing w:val="-4"/>
                <w:sz w:val="20"/>
              </w:rPr>
              <w:t>Area</w:t>
            </w:r>
          </w:p>
        </w:tc>
        <w:tc>
          <w:tcPr>
            <w:tcW w:w="3540" w:type="dxa"/>
            <w:tcBorders>
              <w:left w:val="nil"/>
              <w:bottom w:val="single" w:sz="2" w:space="0" w:color="000000"/>
              <w:right w:val="nil"/>
            </w:tcBorders>
            <w:shd w:val="clear" w:color="auto" w:fill="5B9AD4"/>
          </w:tcPr>
          <w:p>
            <w:pPr>
              <w:pStyle w:val="TableParagraph"/>
              <w:spacing w:before="6"/>
              <w:rPr>
                <w:b/>
                <w:sz w:val="28"/>
              </w:rPr>
            </w:pPr>
          </w:p>
          <w:p>
            <w:pPr>
              <w:pStyle w:val="TableParagraph"/>
              <w:ind w:left="902"/>
              <w:rPr>
                <w:b/>
                <w:sz w:val="20"/>
              </w:rPr>
            </w:pPr>
            <w:r>
              <w:rPr>
                <w:b/>
                <w:color w:val="FFFFFF"/>
                <w:sz w:val="20"/>
              </w:rPr>
              <w:t>Services</w:t>
            </w:r>
            <w:r>
              <w:rPr>
                <w:b/>
                <w:color w:val="FFFFFF"/>
                <w:spacing w:val="-9"/>
                <w:sz w:val="20"/>
              </w:rPr>
              <w:t> </w:t>
            </w:r>
            <w:r>
              <w:rPr>
                <w:b/>
                <w:color w:val="FFFFFF"/>
                <w:spacing w:val="-2"/>
                <w:sz w:val="20"/>
              </w:rPr>
              <w:t>Provided</w:t>
            </w:r>
          </w:p>
        </w:tc>
        <w:tc>
          <w:tcPr>
            <w:tcW w:w="1537" w:type="dxa"/>
            <w:tcBorders>
              <w:left w:val="nil"/>
              <w:bottom w:val="nil"/>
              <w:right w:val="nil"/>
            </w:tcBorders>
            <w:shd w:val="clear" w:color="auto" w:fill="5B9AD4"/>
          </w:tcPr>
          <w:p>
            <w:pPr>
              <w:pStyle w:val="TableParagraph"/>
              <w:rPr>
                <w:rFonts w:ascii="Times New Roman"/>
                <w:sz w:val="18"/>
              </w:rPr>
            </w:pPr>
          </w:p>
        </w:tc>
        <w:tc>
          <w:tcPr>
            <w:tcW w:w="1348" w:type="dxa"/>
            <w:tcBorders>
              <w:left w:val="nil"/>
              <w:bottom w:val="nil"/>
              <w:right w:val="nil"/>
            </w:tcBorders>
            <w:shd w:val="clear" w:color="auto" w:fill="5B9AD4"/>
          </w:tcPr>
          <w:p>
            <w:pPr>
              <w:pStyle w:val="TableParagraph"/>
              <w:spacing w:before="26"/>
              <w:ind w:left="336" w:right="235"/>
              <w:jc w:val="center"/>
              <w:rPr>
                <w:b/>
                <w:sz w:val="20"/>
              </w:rPr>
            </w:pPr>
            <w:r>
              <w:rPr>
                <w:b/>
                <w:color w:val="FFFFFF"/>
                <w:spacing w:val="-2"/>
                <w:sz w:val="20"/>
              </w:rPr>
              <w:t>2023/24</w:t>
            </w:r>
          </w:p>
          <w:p>
            <w:pPr>
              <w:pStyle w:val="TableParagraph"/>
              <w:spacing w:before="72"/>
              <w:ind w:left="336" w:right="235"/>
              <w:jc w:val="center"/>
              <w:rPr>
                <w:b/>
                <w:sz w:val="20"/>
              </w:rPr>
            </w:pPr>
            <w:r>
              <w:rPr>
                <w:b/>
                <w:color w:val="FFFFFF"/>
                <w:spacing w:val="-2"/>
                <w:sz w:val="20"/>
              </w:rPr>
              <w:t>Actual</w:t>
            </w:r>
          </w:p>
          <w:p>
            <w:pPr>
              <w:pStyle w:val="TableParagraph"/>
              <w:spacing w:before="75"/>
              <w:ind w:left="336" w:right="235"/>
              <w:jc w:val="center"/>
              <w:rPr>
                <w:b/>
                <w:sz w:val="20"/>
              </w:rPr>
            </w:pPr>
            <w:r>
              <w:rPr>
                <w:b/>
                <w:color w:val="FFFFFF"/>
                <w:spacing w:val="-2"/>
                <w:sz w:val="20"/>
              </w:rPr>
              <w:t>$'000</w:t>
            </w:r>
          </w:p>
        </w:tc>
        <w:tc>
          <w:tcPr>
            <w:tcW w:w="1216" w:type="dxa"/>
            <w:tcBorders>
              <w:left w:val="nil"/>
              <w:bottom w:val="nil"/>
              <w:right w:val="nil"/>
            </w:tcBorders>
            <w:shd w:val="clear" w:color="auto" w:fill="5B9AD4"/>
          </w:tcPr>
          <w:p>
            <w:pPr>
              <w:pStyle w:val="TableParagraph"/>
              <w:spacing w:before="26"/>
              <w:ind w:left="54" w:right="113"/>
              <w:jc w:val="center"/>
              <w:rPr>
                <w:b/>
                <w:sz w:val="20"/>
              </w:rPr>
            </w:pPr>
            <w:r>
              <w:rPr>
                <w:b/>
                <w:color w:val="FFFFFF"/>
                <w:spacing w:val="-2"/>
                <w:sz w:val="20"/>
              </w:rPr>
              <w:t>2024/25</w:t>
            </w:r>
          </w:p>
          <w:p>
            <w:pPr>
              <w:pStyle w:val="TableParagraph"/>
              <w:spacing w:before="72"/>
              <w:ind w:left="56" w:right="113"/>
              <w:jc w:val="center"/>
              <w:rPr>
                <w:b/>
                <w:sz w:val="20"/>
              </w:rPr>
            </w:pPr>
            <w:r>
              <w:rPr>
                <w:b/>
                <w:color w:val="FFFFFF"/>
                <w:spacing w:val="-2"/>
                <w:sz w:val="20"/>
              </w:rPr>
              <w:t>Forecast</w:t>
            </w:r>
          </w:p>
          <w:p>
            <w:pPr>
              <w:pStyle w:val="TableParagraph"/>
              <w:spacing w:before="75"/>
              <w:ind w:left="54" w:right="113"/>
              <w:jc w:val="center"/>
              <w:rPr>
                <w:b/>
                <w:sz w:val="20"/>
              </w:rPr>
            </w:pPr>
            <w:r>
              <w:rPr>
                <w:b/>
                <w:color w:val="FFFFFF"/>
                <w:spacing w:val="-2"/>
                <w:sz w:val="20"/>
              </w:rPr>
              <w:t>$'000</w:t>
            </w:r>
          </w:p>
        </w:tc>
        <w:tc>
          <w:tcPr>
            <w:tcW w:w="1234" w:type="dxa"/>
            <w:tcBorders>
              <w:left w:val="nil"/>
              <w:bottom w:val="nil"/>
              <w:right w:val="single" w:sz="12" w:space="0" w:color="000000"/>
            </w:tcBorders>
            <w:shd w:val="clear" w:color="auto" w:fill="5B9AD4"/>
          </w:tcPr>
          <w:p>
            <w:pPr>
              <w:pStyle w:val="TableParagraph"/>
              <w:spacing w:before="26"/>
              <w:ind w:left="234" w:right="224"/>
              <w:jc w:val="center"/>
              <w:rPr>
                <w:b/>
                <w:sz w:val="20"/>
              </w:rPr>
            </w:pPr>
            <w:r>
              <w:rPr>
                <w:b/>
                <w:color w:val="FFFFFF"/>
                <w:spacing w:val="-2"/>
                <w:sz w:val="20"/>
              </w:rPr>
              <w:t>2025/26</w:t>
            </w:r>
          </w:p>
          <w:p>
            <w:pPr>
              <w:pStyle w:val="TableParagraph"/>
              <w:spacing w:before="72"/>
              <w:ind w:left="235" w:right="224"/>
              <w:jc w:val="center"/>
              <w:rPr>
                <w:b/>
                <w:sz w:val="20"/>
              </w:rPr>
            </w:pPr>
            <w:r>
              <w:rPr>
                <w:b/>
                <w:color w:val="FFFFFF"/>
                <w:spacing w:val="-2"/>
                <w:sz w:val="20"/>
              </w:rPr>
              <w:t>Budget</w:t>
            </w:r>
          </w:p>
          <w:p>
            <w:pPr>
              <w:pStyle w:val="TableParagraph"/>
              <w:spacing w:before="75"/>
              <w:ind w:left="233" w:right="224"/>
              <w:jc w:val="center"/>
              <w:rPr>
                <w:b/>
                <w:sz w:val="20"/>
              </w:rPr>
            </w:pPr>
            <w:r>
              <w:rPr>
                <w:b/>
                <w:color w:val="FFFFFF"/>
                <w:spacing w:val="-2"/>
                <w:sz w:val="20"/>
              </w:rPr>
              <w:t>$'000</w:t>
            </w:r>
          </w:p>
        </w:tc>
      </w:tr>
      <w:tr>
        <w:trPr>
          <w:trHeight w:val="616" w:hRule="exact"/>
        </w:trPr>
        <w:tc>
          <w:tcPr>
            <w:tcW w:w="1553" w:type="dxa"/>
            <w:vMerge w:val="restart"/>
            <w:tcBorders>
              <w:top w:val="single" w:sz="2" w:space="0" w:color="000000"/>
              <w:left w:val="single" w:sz="12" w:space="0" w:color="000000"/>
              <w:bottom w:val="single" w:sz="2" w:space="0" w:color="000000"/>
              <w:right w:val="single" w:sz="2" w:space="0" w:color="000000"/>
            </w:tcBorders>
          </w:tcPr>
          <w:p>
            <w:pPr>
              <w:pStyle w:val="TableParagraph"/>
              <w:spacing w:line="229" w:lineRule="exact"/>
              <w:ind w:left="92"/>
              <w:rPr>
                <w:sz w:val="20"/>
              </w:rPr>
            </w:pPr>
            <w:r>
              <w:rPr>
                <w:spacing w:val="-2"/>
                <w:sz w:val="20"/>
              </w:rPr>
              <w:t>Procurement</w:t>
            </w:r>
          </w:p>
        </w:tc>
        <w:tc>
          <w:tcPr>
            <w:tcW w:w="3540" w:type="dxa"/>
            <w:vMerge w:val="restart"/>
            <w:tcBorders>
              <w:top w:val="single" w:sz="2" w:space="0" w:color="000000"/>
              <w:left w:val="single" w:sz="2" w:space="0" w:color="000000"/>
              <w:bottom w:val="single" w:sz="2" w:space="0" w:color="000000"/>
              <w:right w:val="single" w:sz="2" w:space="0" w:color="000000"/>
            </w:tcBorders>
          </w:tcPr>
          <w:p>
            <w:pPr>
              <w:pStyle w:val="TableParagraph"/>
              <w:numPr>
                <w:ilvl w:val="0"/>
                <w:numId w:val="55"/>
              </w:numPr>
              <w:tabs>
                <w:tab w:pos="417" w:val="left" w:leader="none"/>
                <w:tab w:pos="418" w:val="left" w:leader="none"/>
              </w:tabs>
              <w:spacing w:line="235" w:lineRule="auto" w:before="4" w:after="0"/>
              <w:ind w:left="417" w:right="837" w:hanging="312"/>
              <w:jc w:val="left"/>
              <w:rPr>
                <w:sz w:val="20"/>
              </w:rPr>
            </w:pPr>
            <w:r>
              <w:rPr>
                <w:sz w:val="20"/>
              </w:rPr>
              <w:t>Purchasing</w:t>
            </w:r>
            <w:r>
              <w:rPr>
                <w:spacing w:val="-14"/>
                <w:sz w:val="20"/>
              </w:rPr>
              <w:t> </w:t>
            </w:r>
            <w:r>
              <w:rPr>
                <w:sz w:val="20"/>
              </w:rPr>
              <w:t>and</w:t>
            </w:r>
            <w:r>
              <w:rPr>
                <w:spacing w:val="-14"/>
                <w:sz w:val="20"/>
              </w:rPr>
              <w:t> </w:t>
            </w:r>
            <w:r>
              <w:rPr>
                <w:sz w:val="20"/>
              </w:rPr>
              <w:t>tendering </w:t>
            </w:r>
            <w:r>
              <w:rPr>
                <w:spacing w:val="-2"/>
                <w:sz w:val="20"/>
              </w:rPr>
              <w:t>coordination</w:t>
            </w:r>
          </w:p>
          <w:p>
            <w:pPr>
              <w:pStyle w:val="TableParagraph"/>
              <w:numPr>
                <w:ilvl w:val="0"/>
                <w:numId w:val="55"/>
              </w:numPr>
              <w:tabs>
                <w:tab w:pos="417" w:val="left" w:leader="none"/>
                <w:tab w:pos="418" w:val="left" w:leader="none"/>
              </w:tabs>
              <w:spacing w:line="240" w:lineRule="auto" w:before="3" w:after="0"/>
              <w:ind w:left="417" w:right="271" w:hanging="312"/>
              <w:jc w:val="left"/>
              <w:rPr>
                <w:sz w:val="20"/>
              </w:rPr>
            </w:pPr>
            <w:r>
              <w:rPr>
                <w:sz w:val="20"/>
              </w:rPr>
              <w:t>Procurement policy implementation,</w:t>
            </w:r>
            <w:r>
              <w:rPr>
                <w:spacing w:val="-14"/>
                <w:sz w:val="20"/>
              </w:rPr>
              <w:t> </w:t>
            </w:r>
            <w:r>
              <w:rPr>
                <w:sz w:val="20"/>
              </w:rPr>
              <w:t>monitoring,</w:t>
            </w:r>
            <w:r>
              <w:rPr>
                <w:spacing w:val="-14"/>
                <w:sz w:val="20"/>
              </w:rPr>
              <w:t> </w:t>
            </w:r>
            <w:r>
              <w:rPr>
                <w:sz w:val="20"/>
              </w:rPr>
              <w:t>and</w:t>
            </w:r>
            <w:r>
              <w:rPr>
                <w:sz w:val="20"/>
              </w:rPr>
              <w:t> </w:t>
            </w:r>
            <w:r>
              <w:rPr>
                <w:spacing w:val="-2"/>
                <w:sz w:val="20"/>
              </w:rPr>
              <w:t>reporting</w:t>
            </w:r>
          </w:p>
          <w:p>
            <w:pPr>
              <w:pStyle w:val="TableParagraph"/>
              <w:numPr>
                <w:ilvl w:val="0"/>
                <w:numId w:val="55"/>
              </w:numPr>
              <w:tabs>
                <w:tab w:pos="417" w:val="left" w:leader="none"/>
                <w:tab w:pos="418" w:val="left" w:leader="none"/>
              </w:tabs>
              <w:spacing w:line="243" w:lineRule="exact" w:before="0" w:after="0"/>
              <w:ind w:left="417" w:right="0" w:hanging="313"/>
              <w:jc w:val="left"/>
              <w:rPr>
                <w:sz w:val="20"/>
              </w:rPr>
            </w:pPr>
            <w:r>
              <w:rPr>
                <w:sz w:val="20"/>
              </w:rPr>
              <w:t>Contract</w:t>
            </w:r>
            <w:r>
              <w:rPr>
                <w:spacing w:val="-11"/>
                <w:sz w:val="20"/>
              </w:rPr>
              <w:t> </w:t>
            </w:r>
            <w:r>
              <w:rPr>
                <w:spacing w:val="-2"/>
                <w:sz w:val="20"/>
              </w:rPr>
              <w:t>administration</w:t>
            </w:r>
          </w:p>
        </w:tc>
        <w:tc>
          <w:tcPr>
            <w:tcW w:w="1537" w:type="dxa"/>
            <w:tcBorders>
              <w:top w:val="nil"/>
              <w:left w:val="single" w:sz="2" w:space="0" w:color="000000"/>
              <w:bottom w:val="single" w:sz="2" w:space="0" w:color="000000"/>
              <w:right w:val="nil"/>
            </w:tcBorders>
          </w:tcPr>
          <w:p>
            <w:pPr>
              <w:pStyle w:val="TableParagraph"/>
              <w:spacing w:before="2"/>
              <w:ind w:left="103"/>
              <w:rPr>
                <w:sz w:val="20"/>
              </w:rPr>
            </w:pPr>
            <w:r>
              <w:rPr>
                <w:spacing w:val="-2"/>
                <w:sz w:val="20"/>
              </w:rPr>
              <w:t>Income</w:t>
            </w:r>
          </w:p>
          <w:p>
            <w:pPr>
              <w:pStyle w:val="TableParagraph"/>
              <w:spacing w:before="77"/>
              <w:ind w:left="103"/>
              <w:rPr>
                <w:sz w:val="20"/>
              </w:rPr>
            </w:pPr>
            <w:r>
              <w:rPr>
                <w:spacing w:val="-2"/>
                <w:sz w:val="20"/>
              </w:rPr>
              <w:t>Expenditure</w:t>
            </w:r>
          </w:p>
        </w:tc>
        <w:tc>
          <w:tcPr>
            <w:tcW w:w="1348" w:type="dxa"/>
            <w:tcBorders>
              <w:top w:val="nil"/>
              <w:left w:val="nil"/>
              <w:bottom w:val="single" w:sz="2" w:space="0" w:color="000000"/>
              <w:right w:val="nil"/>
            </w:tcBorders>
          </w:tcPr>
          <w:p>
            <w:pPr>
              <w:pStyle w:val="TableParagraph"/>
              <w:spacing w:before="1"/>
              <w:ind w:right="162"/>
              <w:jc w:val="right"/>
              <w:rPr>
                <w:sz w:val="18"/>
              </w:rPr>
            </w:pPr>
            <w:r>
              <w:rPr>
                <w:sz w:val="18"/>
              </w:rPr>
              <w:t>-</w:t>
            </w:r>
          </w:p>
          <w:p>
            <w:pPr>
              <w:pStyle w:val="TableParagraph"/>
              <w:spacing w:before="100"/>
              <w:ind w:right="162"/>
              <w:jc w:val="right"/>
              <w:rPr>
                <w:sz w:val="18"/>
              </w:rPr>
            </w:pPr>
            <w:r>
              <w:rPr>
                <w:spacing w:val="-5"/>
                <w:sz w:val="18"/>
              </w:rPr>
              <w:t>370</w:t>
            </w:r>
          </w:p>
        </w:tc>
        <w:tc>
          <w:tcPr>
            <w:tcW w:w="1216" w:type="dxa"/>
            <w:tcBorders>
              <w:top w:val="nil"/>
              <w:left w:val="nil"/>
              <w:bottom w:val="single" w:sz="2" w:space="0" w:color="000000"/>
              <w:right w:val="nil"/>
            </w:tcBorders>
          </w:tcPr>
          <w:p>
            <w:pPr>
              <w:pStyle w:val="TableParagraph"/>
              <w:spacing w:before="1"/>
              <w:ind w:right="106"/>
              <w:jc w:val="right"/>
              <w:rPr>
                <w:sz w:val="18"/>
              </w:rPr>
            </w:pPr>
            <w:r>
              <w:rPr>
                <w:sz w:val="18"/>
              </w:rPr>
              <w:t>-</w:t>
            </w:r>
          </w:p>
          <w:p>
            <w:pPr>
              <w:pStyle w:val="TableParagraph"/>
              <w:spacing w:before="100"/>
              <w:ind w:right="105"/>
              <w:jc w:val="right"/>
              <w:rPr>
                <w:sz w:val="18"/>
              </w:rPr>
            </w:pPr>
            <w:r>
              <w:rPr>
                <w:spacing w:val="-5"/>
                <w:sz w:val="18"/>
              </w:rPr>
              <w:t>397</w:t>
            </w:r>
          </w:p>
        </w:tc>
        <w:tc>
          <w:tcPr>
            <w:tcW w:w="1234" w:type="dxa"/>
            <w:tcBorders>
              <w:top w:val="nil"/>
              <w:left w:val="nil"/>
              <w:bottom w:val="single" w:sz="2" w:space="0" w:color="000000"/>
              <w:right w:val="single" w:sz="12" w:space="0" w:color="000000"/>
            </w:tcBorders>
            <w:shd w:val="clear" w:color="auto" w:fill="BCD6ED"/>
          </w:tcPr>
          <w:p>
            <w:pPr>
              <w:pStyle w:val="TableParagraph"/>
              <w:spacing w:before="1"/>
              <w:ind w:right="91"/>
              <w:jc w:val="right"/>
              <w:rPr>
                <w:sz w:val="18"/>
              </w:rPr>
            </w:pPr>
            <w:r>
              <w:rPr>
                <w:sz w:val="18"/>
              </w:rPr>
              <w:t>-</w:t>
            </w:r>
          </w:p>
          <w:p>
            <w:pPr>
              <w:pStyle w:val="TableParagraph"/>
              <w:spacing w:before="100"/>
              <w:ind w:right="90"/>
              <w:jc w:val="right"/>
              <w:rPr>
                <w:sz w:val="18"/>
              </w:rPr>
            </w:pPr>
            <w:r>
              <w:rPr>
                <w:spacing w:val="-5"/>
                <w:sz w:val="18"/>
              </w:rPr>
              <w:t>439</w:t>
            </w:r>
          </w:p>
        </w:tc>
      </w:tr>
      <w:tr>
        <w:trPr>
          <w:trHeight w:val="463" w:hRule="exact"/>
        </w:trPr>
        <w:tc>
          <w:tcPr>
            <w:tcW w:w="1553" w:type="dxa"/>
            <w:vMerge/>
            <w:tcBorders>
              <w:top w:val="nil"/>
              <w:left w:val="single" w:sz="12" w:space="0" w:color="000000"/>
              <w:bottom w:val="single" w:sz="2" w:space="0" w:color="000000"/>
              <w:right w:val="single" w:sz="2" w:space="0" w:color="000000"/>
            </w:tcBorders>
          </w:tcPr>
          <w:p>
            <w:pPr>
              <w:rPr>
                <w:sz w:val="2"/>
                <w:szCs w:val="2"/>
              </w:rPr>
            </w:pPr>
          </w:p>
        </w:tc>
        <w:tc>
          <w:tcPr>
            <w:tcW w:w="3540" w:type="dxa"/>
            <w:vMerge/>
            <w:tcBorders>
              <w:top w:val="nil"/>
              <w:left w:val="single" w:sz="2" w:space="0" w:color="000000"/>
              <w:bottom w:val="single" w:sz="2" w:space="0" w:color="000000"/>
              <w:right w:val="single" w:sz="2" w:space="0" w:color="000000"/>
            </w:tcBorders>
          </w:tcPr>
          <w:p>
            <w:pPr>
              <w:rPr>
                <w:sz w:val="2"/>
                <w:szCs w:val="2"/>
              </w:rPr>
            </w:pPr>
          </w:p>
        </w:tc>
        <w:tc>
          <w:tcPr>
            <w:tcW w:w="1537" w:type="dxa"/>
            <w:tcBorders>
              <w:top w:val="single" w:sz="2" w:space="0" w:color="000000"/>
              <w:left w:val="single" w:sz="2" w:space="0" w:color="000000"/>
              <w:bottom w:val="single" w:sz="2" w:space="0" w:color="000000"/>
              <w:right w:val="nil"/>
            </w:tcBorders>
          </w:tcPr>
          <w:p>
            <w:pPr>
              <w:pStyle w:val="TableParagraph"/>
              <w:spacing w:line="230" w:lineRule="exact"/>
              <w:ind w:left="103" w:right="569"/>
              <w:rPr>
                <w:b/>
                <w:sz w:val="20"/>
              </w:rPr>
            </w:pPr>
            <w:r>
              <w:rPr>
                <w:b/>
                <w:sz w:val="20"/>
              </w:rPr>
              <w:t>Surplus</w:t>
            </w:r>
            <w:r>
              <w:rPr>
                <w:b/>
                <w:spacing w:val="-14"/>
                <w:sz w:val="20"/>
              </w:rPr>
              <w:t> </w:t>
            </w:r>
            <w:r>
              <w:rPr>
                <w:b/>
                <w:sz w:val="20"/>
              </w:rPr>
              <w:t>/ </w:t>
            </w:r>
            <w:r>
              <w:rPr>
                <w:b/>
                <w:spacing w:val="-2"/>
                <w:sz w:val="20"/>
              </w:rPr>
              <w:t>(deficit)</w:t>
            </w:r>
          </w:p>
        </w:tc>
        <w:tc>
          <w:tcPr>
            <w:tcW w:w="1348" w:type="dxa"/>
            <w:tcBorders>
              <w:top w:val="single" w:sz="2" w:space="0" w:color="000000"/>
              <w:left w:val="nil"/>
              <w:bottom w:val="single" w:sz="2" w:space="0" w:color="000000"/>
              <w:right w:val="nil"/>
            </w:tcBorders>
          </w:tcPr>
          <w:p>
            <w:pPr>
              <w:pStyle w:val="TableParagraph"/>
              <w:spacing w:line="206" w:lineRule="exact"/>
              <w:ind w:right="159"/>
              <w:jc w:val="right"/>
              <w:rPr>
                <w:b/>
                <w:sz w:val="18"/>
              </w:rPr>
            </w:pPr>
            <w:r>
              <w:rPr>
                <w:b/>
                <w:spacing w:val="-2"/>
                <w:sz w:val="18"/>
              </w:rPr>
              <w:t>(370)</w:t>
            </w:r>
          </w:p>
        </w:tc>
        <w:tc>
          <w:tcPr>
            <w:tcW w:w="1216" w:type="dxa"/>
            <w:tcBorders>
              <w:top w:val="single" w:sz="2" w:space="0" w:color="000000"/>
              <w:left w:val="nil"/>
              <w:bottom w:val="single" w:sz="2" w:space="0" w:color="000000"/>
              <w:right w:val="nil"/>
            </w:tcBorders>
          </w:tcPr>
          <w:p>
            <w:pPr>
              <w:pStyle w:val="TableParagraph"/>
              <w:spacing w:line="206" w:lineRule="exact"/>
              <w:ind w:right="103"/>
              <w:jc w:val="right"/>
              <w:rPr>
                <w:b/>
                <w:sz w:val="18"/>
              </w:rPr>
            </w:pPr>
            <w:r>
              <w:rPr>
                <w:b/>
                <w:spacing w:val="-2"/>
                <w:sz w:val="18"/>
              </w:rPr>
              <w:t>(397)</w:t>
            </w:r>
          </w:p>
        </w:tc>
        <w:tc>
          <w:tcPr>
            <w:tcW w:w="1234" w:type="dxa"/>
            <w:tcBorders>
              <w:top w:val="single" w:sz="2" w:space="0" w:color="000000"/>
              <w:left w:val="nil"/>
              <w:bottom w:val="single" w:sz="2" w:space="0" w:color="000000"/>
              <w:right w:val="single" w:sz="12" w:space="0" w:color="000000"/>
            </w:tcBorders>
            <w:shd w:val="clear" w:color="auto" w:fill="BCD6ED"/>
          </w:tcPr>
          <w:p>
            <w:pPr>
              <w:pStyle w:val="TableParagraph"/>
              <w:spacing w:line="206" w:lineRule="exact"/>
              <w:ind w:right="88"/>
              <w:jc w:val="right"/>
              <w:rPr>
                <w:b/>
                <w:sz w:val="18"/>
              </w:rPr>
            </w:pPr>
            <w:r>
              <w:rPr>
                <w:b/>
                <w:spacing w:val="-2"/>
                <w:sz w:val="18"/>
              </w:rPr>
              <w:t>(439)</w:t>
            </w:r>
          </w:p>
        </w:tc>
      </w:tr>
      <w:tr>
        <w:trPr>
          <w:trHeight w:val="681" w:hRule="exact"/>
        </w:trPr>
        <w:tc>
          <w:tcPr>
            <w:tcW w:w="1553" w:type="dxa"/>
            <w:vMerge/>
            <w:tcBorders>
              <w:top w:val="nil"/>
              <w:left w:val="single" w:sz="12" w:space="0" w:color="000000"/>
              <w:bottom w:val="single" w:sz="2" w:space="0" w:color="000000"/>
              <w:right w:val="single" w:sz="2" w:space="0" w:color="000000"/>
            </w:tcBorders>
          </w:tcPr>
          <w:p>
            <w:pPr>
              <w:rPr>
                <w:sz w:val="2"/>
                <w:szCs w:val="2"/>
              </w:rPr>
            </w:pPr>
          </w:p>
        </w:tc>
        <w:tc>
          <w:tcPr>
            <w:tcW w:w="3540" w:type="dxa"/>
            <w:vMerge/>
            <w:tcBorders>
              <w:top w:val="nil"/>
              <w:left w:val="single" w:sz="2" w:space="0" w:color="000000"/>
              <w:bottom w:val="single" w:sz="2" w:space="0" w:color="000000"/>
              <w:right w:val="single" w:sz="2" w:space="0" w:color="000000"/>
            </w:tcBorders>
          </w:tcPr>
          <w:p>
            <w:pPr>
              <w:rPr>
                <w:sz w:val="2"/>
                <w:szCs w:val="2"/>
              </w:rPr>
            </w:pPr>
          </w:p>
        </w:tc>
        <w:tc>
          <w:tcPr>
            <w:tcW w:w="1537" w:type="dxa"/>
            <w:vMerge w:val="restart"/>
            <w:tcBorders>
              <w:top w:val="single" w:sz="2" w:space="0" w:color="000000"/>
              <w:left w:val="single" w:sz="2" w:space="0" w:color="000000"/>
              <w:bottom w:val="single" w:sz="2" w:space="0" w:color="000000"/>
              <w:right w:val="nil"/>
            </w:tcBorders>
          </w:tcPr>
          <w:p>
            <w:pPr>
              <w:pStyle w:val="TableParagraph"/>
              <w:rPr>
                <w:b/>
                <w:sz w:val="22"/>
              </w:rPr>
            </w:pPr>
          </w:p>
          <w:p>
            <w:pPr>
              <w:pStyle w:val="TableParagraph"/>
              <w:spacing w:before="1"/>
              <w:rPr>
                <w:b/>
                <w:sz w:val="31"/>
              </w:rPr>
            </w:pPr>
          </w:p>
          <w:p>
            <w:pPr>
              <w:pStyle w:val="TableParagraph"/>
              <w:spacing w:line="300" w:lineRule="atLeast"/>
              <w:ind w:left="103"/>
              <w:rPr>
                <w:sz w:val="20"/>
              </w:rPr>
            </w:pPr>
            <w:r>
              <w:rPr>
                <w:spacing w:val="-2"/>
                <w:sz w:val="20"/>
              </w:rPr>
              <w:t>Income Expenditure</w:t>
            </w:r>
          </w:p>
        </w:tc>
        <w:tc>
          <w:tcPr>
            <w:tcW w:w="1348" w:type="dxa"/>
            <w:vMerge w:val="restart"/>
            <w:tcBorders>
              <w:top w:val="single" w:sz="2" w:space="0" w:color="000000"/>
              <w:left w:val="nil"/>
              <w:bottom w:val="single" w:sz="2" w:space="0" w:color="000000"/>
              <w:right w:val="nil"/>
            </w:tcBorders>
          </w:tcPr>
          <w:p>
            <w:pPr>
              <w:pStyle w:val="TableParagraph"/>
              <w:rPr>
                <w:b/>
                <w:sz w:val="20"/>
              </w:rPr>
            </w:pPr>
          </w:p>
          <w:p>
            <w:pPr>
              <w:pStyle w:val="TableParagraph"/>
              <w:rPr>
                <w:b/>
                <w:sz w:val="20"/>
              </w:rPr>
            </w:pPr>
          </w:p>
          <w:p>
            <w:pPr>
              <w:pStyle w:val="TableParagraph"/>
              <w:spacing w:before="2"/>
              <w:rPr>
                <w:b/>
                <w:sz w:val="19"/>
              </w:rPr>
            </w:pPr>
          </w:p>
          <w:p>
            <w:pPr>
              <w:pStyle w:val="TableParagraph"/>
              <w:ind w:right="162"/>
              <w:jc w:val="right"/>
              <w:rPr>
                <w:sz w:val="18"/>
              </w:rPr>
            </w:pPr>
            <w:r>
              <w:rPr>
                <w:spacing w:val="-5"/>
                <w:sz w:val="18"/>
              </w:rPr>
              <w:t>990</w:t>
            </w:r>
          </w:p>
          <w:p>
            <w:pPr>
              <w:pStyle w:val="TableParagraph"/>
              <w:spacing w:before="100"/>
              <w:ind w:right="160"/>
              <w:jc w:val="right"/>
              <w:rPr>
                <w:sz w:val="18"/>
              </w:rPr>
            </w:pPr>
            <w:r>
              <w:rPr>
                <w:spacing w:val="-2"/>
                <w:sz w:val="18"/>
              </w:rPr>
              <w:t>(6,160)</w:t>
            </w:r>
          </w:p>
        </w:tc>
        <w:tc>
          <w:tcPr>
            <w:tcW w:w="1216" w:type="dxa"/>
            <w:vMerge w:val="restart"/>
            <w:tcBorders>
              <w:top w:val="single" w:sz="2" w:space="0" w:color="000000"/>
              <w:left w:val="nil"/>
              <w:bottom w:val="single" w:sz="2" w:space="0" w:color="000000"/>
              <w:right w:val="nil"/>
            </w:tcBorders>
          </w:tcPr>
          <w:p>
            <w:pPr>
              <w:pStyle w:val="TableParagraph"/>
              <w:rPr>
                <w:b/>
                <w:sz w:val="20"/>
              </w:rPr>
            </w:pPr>
          </w:p>
          <w:p>
            <w:pPr>
              <w:pStyle w:val="TableParagraph"/>
              <w:rPr>
                <w:b/>
                <w:sz w:val="20"/>
              </w:rPr>
            </w:pPr>
          </w:p>
          <w:p>
            <w:pPr>
              <w:pStyle w:val="TableParagraph"/>
              <w:spacing w:before="2"/>
              <w:rPr>
                <w:b/>
                <w:sz w:val="19"/>
              </w:rPr>
            </w:pPr>
          </w:p>
          <w:p>
            <w:pPr>
              <w:pStyle w:val="TableParagraph"/>
              <w:ind w:left="656"/>
              <w:rPr>
                <w:sz w:val="18"/>
              </w:rPr>
            </w:pPr>
            <w:r>
              <w:rPr>
                <w:spacing w:val="-2"/>
                <w:sz w:val="18"/>
              </w:rPr>
              <w:t>1,129</w:t>
            </w:r>
          </w:p>
          <w:p>
            <w:pPr>
              <w:pStyle w:val="TableParagraph"/>
              <w:spacing w:before="100"/>
              <w:ind w:left="656"/>
              <w:rPr>
                <w:sz w:val="18"/>
              </w:rPr>
            </w:pPr>
            <w:r>
              <w:rPr>
                <w:spacing w:val="-2"/>
                <w:sz w:val="18"/>
              </w:rPr>
              <w:t>2,189</w:t>
            </w:r>
          </w:p>
        </w:tc>
        <w:tc>
          <w:tcPr>
            <w:tcW w:w="1234" w:type="dxa"/>
            <w:vMerge w:val="restart"/>
            <w:tcBorders>
              <w:top w:val="single" w:sz="2" w:space="0" w:color="000000"/>
              <w:left w:val="nil"/>
              <w:bottom w:val="single" w:sz="2" w:space="0" w:color="000000"/>
              <w:right w:val="single" w:sz="12" w:space="0" w:color="000000"/>
            </w:tcBorders>
          </w:tcPr>
          <w:p>
            <w:pPr>
              <w:pStyle w:val="TableParagraph"/>
              <w:rPr>
                <w:b/>
                <w:sz w:val="20"/>
              </w:rPr>
            </w:pPr>
          </w:p>
          <w:p>
            <w:pPr>
              <w:pStyle w:val="TableParagraph"/>
              <w:rPr>
                <w:b/>
                <w:sz w:val="20"/>
              </w:rPr>
            </w:pPr>
          </w:p>
          <w:p>
            <w:pPr>
              <w:pStyle w:val="TableParagraph"/>
              <w:spacing w:before="2"/>
              <w:rPr>
                <w:b/>
                <w:sz w:val="19"/>
              </w:rPr>
            </w:pPr>
          </w:p>
          <w:p>
            <w:pPr>
              <w:pStyle w:val="TableParagraph"/>
              <w:ind w:left="674"/>
              <w:rPr>
                <w:sz w:val="18"/>
              </w:rPr>
            </w:pPr>
            <w:r>
              <w:rPr>
                <w:spacing w:val="-2"/>
                <w:sz w:val="18"/>
              </w:rPr>
              <w:t>1,839</w:t>
            </w:r>
          </w:p>
          <w:p>
            <w:pPr>
              <w:pStyle w:val="TableParagraph"/>
              <w:spacing w:before="100"/>
              <w:ind w:left="674"/>
              <w:rPr>
                <w:sz w:val="18"/>
              </w:rPr>
            </w:pPr>
            <w:r>
              <w:rPr>
                <w:spacing w:val="-2"/>
                <w:sz w:val="18"/>
              </w:rPr>
              <w:t>2,299</w:t>
            </w:r>
          </w:p>
        </w:tc>
      </w:tr>
      <w:tr>
        <w:trPr>
          <w:trHeight w:val="616" w:hRule="exact"/>
        </w:trPr>
        <w:tc>
          <w:tcPr>
            <w:tcW w:w="1553" w:type="dxa"/>
            <w:vMerge w:val="restart"/>
            <w:tcBorders>
              <w:top w:val="single" w:sz="2" w:space="0" w:color="000000"/>
              <w:left w:val="single" w:sz="12" w:space="0" w:color="000000"/>
              <w:bottom w:val="single" w:sz="2" w:space="0" w:color="000000"/>
              <w:right w:val="single" w:sz="2" w:space="0" w:color="000000"/>
            </w:tcBorders>
          </w:tcPr>
          <w:p>
            <w:pPr>
              <w:pStyle w:val="TableParagraph"/>
              <w:ind w:left="92" w:right="201"/>
              <w:rPr>
                <w:sz w:val="20"/>
              </w:rPr>
            </w:pPr>
            <w:r>
              <w:rPr>
                <w:spacing w:val="-2"/>
                <w:sz w:val="20"/>
              </w:rPr>
              <w:t>Property, </w:t>
            </w:r>
            <w:r>
              <w:rPr>
                <w:sz w:val="20"/>
              </w:rPr>
              <w:t>revenue,</w:t>
            </w:r>
            <w:r>
              <w:rPr>
                <w:spacing w:val="-14"/>
                <w:sz w:val="20"/>
              </w:rPr>
              <w:t> </w:t>
            </w:r>
            <w:r>
              <w:rPr>
                <w:sz w:val="20"/>
              </w:rPr>
              <w:t>and </w:t>
            </w:r>
            <w:r>
              <w:rPr>
                <w:spacing w:val="-2"/>
                <w:sz w:val="20"/>
              </w:rPr>
              <w:t>valuation services</w:t>
            </w:r>
          </w:p>
        </w:tc>
        <w:tc>
          <w:tcPr>
            <w:tcW w:w="3540" w:type="dxa"/>
            <w:vMerge w:val="restart"/>
            <w:tcBorders>
              <w:top w:val="single" w:sz="2" w:space="0" w:color="000000"/>
              <w:left w:val="single" w:sz="2" w:space="0" w:color="000000"/>
              <w:bottom w:val="single" w:sz="2" w:space="0" w:color="000000"/>
              <w:right w:val="single" w:sz="2" w:space="0" w:color="000000"/>
            </w:tcBorders>
          </w:tcPr>
          <w:p>
            <w:pPr>
              <w:pStyle w:val="TableParagraph"/>
              <w:numPr>
                <w:ilvl w:val="0"/>
                <w:numId w:val="56"/>
              </w:numPr>
              <w:tabs>
                <w:tab w:pos="417" w:val="left" w:leader="none"/>
                <w:tab w:pos="418" w:val="left" w:leader="none"/>
              </w:tabs>
              <w:spacing w:line="235" w:lineRule="auto" w:before="4" w:after="0"/>
              <w:ind w:left="417" w:right="439" w:hanging="312"/>
              <w:jc w:val="left"/>
              <w:rPr>
                <w:sz w:val="20"/>
              </w:rPr>
            </w:pPr>
            <w:r>
              <w:rPr>
                <w:sz w:val="20"/>
              </w:rPr>
              <w:t>Rates</w:t>
            </w:r>
            <w:r>
              <w:rPr>
                <w:spacing w:val="-14"/>
                <w:sz w:val="20"/>
              </w:rPr>
              <w:t> </w:t>
            </w:r>
            <w:r>
              <w:rPr>
                <w:sz w:val="20"/>
              </w:rPr>
              <w:t>and</w:t>
            </w:r>
            <w:r>
              <w:rPr>
                <w:spacing w:val="-14"/>
                <w:sz w:val="20"/>
              </w:rPr>
              <w:t> </w:t>
            </w:r>
            <w:r>
              <w:rPr>
                <w:sz w:val="20"/>
              </w:rPr>
              <w:t>charges</w:t>
            </w:r>
            <w:r>
              <w:rPr>
                <w:spacing w:val="-13"/>
                <w:sz w:val="20"/>
              </w:rPr>
              <w:t> </w:t>
            </w:r>
            <w:r>
              <w:rPr>
                <w:sz w:val="20"/>
              </w:rPr>
              <w:t>generation and collection</w:t>
            </w:r>
          </w:p>
          <w:p>
            <w:pPr>
              <w:pStyle w:val="TableParagraph"/>
              <w:numPr>
                <w:ilvl w:val="0"/>
                <w:numId w:val="56"/>
              </w:numPr>
              <w:tabs>
                <w:tab w:pos="417" w:val="left" w:leader="none"/>
                <w:tab w:pos="418" w:val="left" w:leader="none"/>
              </w:tabs>
              <w:spacing w:line="240" w:lineRule="auto" w:before="3" w:after="0"/>
              <w:ind w:left="417" w:right="282" w:hanging="312"/>
              <w:jc w:val="left"/>
              <w:rPr>
                <w:sz w:val="20"/>
              </w:rPr>
            </w:pPr>
            <w:r>
              <w:rPr>
                <w:sz w:val="20"/>
              </w:rPr>
              <w:t>Accounts</w:t>
            </w:r>
            <w:r>
              <w:rPr>
                <w:spacing w:val="-13"/>
                <w:sz w:val="20"/>
              </w:rPr>
              <w:t> </w:t>
            </w:r>
            <w:r>
              <w:rPr>
                <w:sz w:val="20"/>
              </w:rPr>
              <w:t>receivable</w:t>
            </w:r>
            <w:r>
              <w:rPr>
                <w:spacing w:val="-14"/>
                <w:sz w:val="20"/>
              </w:rPr>
              <w:t> </w:t>
            </w:r>
            <w:r>
              <w:rPr>
                <w:sz w:val="20"/>
              </w:rPr>
              <w:t>and</w:t>
            </w:r>
            <w:r>
              <w:rPr>
                <w:spacing w:val="-14"/>
                <w:sz w:val="20"/>
              </w:rPr>
              <w:t> </w:t>
            </w:r>
            <w:r>
              <w:rPr>
                <w:sz w:val="20"/>
              </w:rPr>
              <w:t>sundry debtor billing</w:t>
            </w:r>
          </w:p>
          <w:p>
            <w:pPr>
              <w:pStyle w:val="TableParagraph"/>
              <w:numPr>
                <w:ilvl w:val="0"/>
                <w:numId w:val="56"/>
              </w:numPr>
              <w:tabs>
                <w:tab w:pos="417" w:val="left" w:leader="none"/>
                <w:tab w:pos="418" w:val="left" w:leader="none"/>
              </w:tabs>
              <w:spacing w:line="244" w:lineRule="exact" w:before="1" w:after="0"/>
              <w:ind w:left="417" w:right="0" w:hanging="313"/>
              <w:jc w:val="left"/>
              <w:rPr>
                <w:sz w:val="20"/>
              </w:rPr>
            </w:pPr>
            <w:r>
              <w:rPr>
                <w:sz w:val="20"/>
              </w:rPr>
              <w:t>Debt</w:t>
            </w:r>
            <w:r>
              <w:rPr>
                <w:spacing w:val="-8"/>
                <w:sz w:val="20"/>
              </w:rPr>
              <w:t> </w:t>
            </w:r>
            <w:r>
              <w:rPr>
                <w:spacing w:val="-2"/>
                <w:sz w:val="20"/>
              </w:rPr>
              <w:t>recovery</w:t>
            </w:r>
          </w:p>
          <w:p>
            <w:pPr>
              <w:pStyle w:val="TableParagraph"/>
              <w:numPr>
                <w:ilvl w:val="0"/>
                <w:numId w:val="56"/>
              </w:numPr>
              <w:tabs>
                <w:tab w:pos="417" w:val="left" w:leader="none"/>
                <w:tab w:pos="418" w:val="left" w:leader="none"/>
              </w:tabs>
              <w:spacing w:line="235" w:lineRule="auto" w:before="2" w:after="0"/>
              <w:ind w:left="417" w:right="335" w:hanging="312"/>
              <w:jc w:val="left"/>
              <w:rPr>
                <w:sz w:val="20"/>
              </w:rPr>
            </w:pPr>
            <w:r>
              <w:rPr>
                <w:sz w:val="20"/>
              </w:rPr>
              <w:t>Ownership,</w:t>
            </w:r>
            <w:r>
              <w:rPr>
                <w:spacing w:val="-14"/>
                <w:sz w:val="20"/>
              </w:rPr>
              <w:t> </w:t>
            </w:r>
            <w:r>
              <w:rPr>
                <w:sz w:val="20"/>
              </w:rPr>
              <w:t>name,</w:t>
            </w:r>
            <w:r>
              <w:rPr>
                <w:spacing w:val="-12"/>
                <w:sz w:val="20"/>
              </w:rPr>
              <w:t> </w:t>
            </w:r>
            <w:r>
              <w:rPr>
                <w:sz w:val="20"/>
              </w:rPr>
              <w:t>and</w:t>
            </w:r>
            <w:r>
              <w:rPr>
                <w:spacing w:val="-12"/>
                <w:sz w:val="20"/>
              </w:rPr>
              <w:t> </w:t>
            </w:r>
            <w:r>
              <w:rPr>
                <w:sz w:val="20"/>
              </w:rPr>
              <w:t>address </w:t>
            </w:r>
            <w:r>
              <w:rPr>
                <w:spacing w:val="-2"/>
                <w:sz w:val="20"/>
              </w:rPr>
              <w:t>maintenance</w:t>
            </w:r>
          </w:p>
          <w:p>
            <w:pPr>
              <w:pStyle w:val="TableParagraph"/>
              <w:numPr>
                <w:ilvl w:val="0"/>
                <w:numId w:val="56"/>
              </w:numPr>
              <w:tabs>
                <w:tab w:pos="417" w:val="left" w:leader="none"/>
                <w:tab w:pos="418" w:val="left" w:leader="none"/>
              </w:tabs>
              <w:spacing w:line="240" w:lineRule="auto" w:before="4" w:after="0"/>
              <w:ind w:left="417" w:right="738" w:hanging="312"/>
              <w:jc w:val="left"/>
              <w:rPr>
                <w:sz w:val="20"/>
              </w:rPr>
            </w:pPr>
            <w:r>
              <w:rPr>
                <w:sz w:val="20"/>
              </w:rPr>
              <w:t>Annual</w:t>
            </w:r>
            <w:r>
              <w:rPr>
                <w:spacing w:val="-14"/>
                <w:sz w:val="20"/>
              </w:rPr>
              <w:t> </w:t>
            </w:r>
            <w:r>
              <w:rPr>
                <w:sz w:val="20"/>
              </w:rPr>
              <w:t>and</w:t>
            </w:r>
            <w:r>
              <w:rPr>
                <w:spacing w:val="-14"/>
                <w:sz w:val="20"/>
              </w:rPr>
              <w:t> </w:t>
            </w:r>
            <w:r>
              <w:rPr>
                <w:sz w:val="20"/>
              </w:rPr>
              <w:t>supplementary </w:t>
            </w:r>
            <w:r>
              <w:rPr>
                <w:spacing w:val="-2"/>
                <w:sz w:val="20"/>
              </w:rPr>
              <w:t>valuations</w:t>
            </w:r>
          </w:p>
          <w:p>
            <w:pPr>
              <w:pStyle w:val="TableParagraph"/>
              <w:numPr>
                <w:ilvl w:val="0"/>
                <w:numId w:val="56"/>
              </w:numPr>
              <w:tabs>
                <w:tab w:pos="417" w:val="left" w:leader="none"/>
                <w:tab w:pos="418" w:val="left" w:leader="none"/>
              </w:tabs>
              <w:spacing w:line="235" w:lineRule="auto" w:before="4" w:after="0"/>
              <w:ind w:left="417" w:right="950" w:hanging="312"/>
              <w:jc w:val="left"/>
              <w:rPr>
                <w:sz w:val="20"/>
              </w:rPr>
            </w:pPr>
            <w:r>
              <w:rPr>
                <w:sz w:val="20"/>
              </w:rPr>
              <w:t>State</w:t>
            </w:r>
            <w:r>
              <w:rPr>
                <w:spacing w:val="-14"/>
                <w:sz w:val="20"/>
              </w:rPr>
              <w:t> </w:t>
            </w:r>
            <w:r>
              <w:rPr>
                <w:sz w:val="20"/>
              </w:rPr>
              <w:t>Fire</w:t>
            </w:r>
            <w:r>
              <w:rPr>
                <w:spacing w:val="-14"/>
                <w:sz w:val="20"/>
              </w:rPr>
              <w:t> </w:t>
            </w:r>
            <w:r>
              <w:rPr>
                <w:sz w:val="20"/>
              </w:rPr>
              <w:t>Services</w:t>
            </w:r>
            <w:r>
              <w:rPr>
                <w:spacing w:val="-13"/>
                <w:sz w:val="20"/>
              </w:rPr>
              <w:t> </w:t>
            </w:r>
            <w:r>
              <w:rPr>
                <w:sz w:val="20"/>
              </w:rPr>
              <w:t>Levy </w:t>
            </w:r>
            <w:r>
              <w:rPr>
                <w:spacing w:val="-2"/>
                <w:sz w:val="20"/>
              </w:rPr>
              <w:t>collection</w:t>
            </w:r>
          </w:p>
          <w:p>
            <w:pPr>
              <w:pStyle w:val="TableParagraph"/>
              <w:numPr>
                <w:ilvl w:val="0"/>
                <w:numId w:val="56"/>
              </w:numPr>
              <w:tabs>
                <w:tab w:pos="417" w:val="left" w:leader="none"/>
                <w:tab w:pos="418" w:val="left" w:leader="none"/>
              </w:tabs>
              <w:spacing w:line="244" w:lineRule="exact" w:before="3" w:after="0"/>
              <w:ind w:left="417" w:right="0" w:hanging="313"/>
              <w:jc w:val="left"/>
              <w:rPr>
                <w:sz w:val="20"/>
              </w:rPr>
            </w:pPr>
            <w:r>
              <w:rPr>
                <w:sz w:val="20"/>
              </w:rPr>
              <w:t>Pension</w:t>
            </w:r>
            <w:r>
              <w:rPr>
                <w:spacing w:val="-12"/>
                <w:sz w:val="20"/>
              </w:rPr>
              <w:t> </w:t>
            </w:r>
            <w:r>
              <w:rPr>
                <w:spacing w:val="-2"/>
                <w:sz w:val="20"/>
              </w:rPr>
              <w:t>concessions</w:t>
            </w:r>
          </w:p>
          <w:p>
            <w:pPr>
              <w:pStyle w:val="TableParagraph"/>
              <w:numPr>
                <w:ilvl w:val="0"/>
                <w:numId w:val="56"/>
              </w:numPr>
              <w:tabs>
                <w:tab w:pos="417" w:val="left" w:leader="none"/>
                <w:tab w:pos="418" w:val="left" w:leader="none"/>
              </w:tabs>
              <w:spacing w:line="244" w:lineRule="exact" w:before="0" w:after="0"/>
              <w:ind w:left="417" w:right="0" w:hanging="313"/>
              <w:jc w:val="left"/>
              <w:rPr>
                <w:sz w:val="20"/>
              </w:rPr>
            </w:pPr>
            <w:r>
              <w:rPr>
                <w:sz w:val="20"/>
              </w:rPr>
              <w:t>Electoral</w:t>
            </w:r>
            <w:r>
              <w:rPr>
                <w:spacing w:val="-7"/>
                <w:sz w:val="20"/>
              </w:rPr>
              <w:t> </w:t>
            </w:r>
            <w:r>
              <w:rPr>
                <w:sz w:val="20"/>
              </w:rPr>
              <w:t>roll</w:t>
            </w:r>
            <w:r>
              <w:rPr>
                <w:spacing w:val="-7"/>
                <w:sz w:val="20"/>
              </w:rPr>
              <w:t> </w:t>
            </w:r>
            <w:r>
              <w:rPr>
                <w:spacing w:val="-2"/>
                <w:sz w:val="20"/>
              </w:rPr>
              <w:t>production</w:t>
            </w:r>
          </w:p>
          <w:p>
            <w:pPr>
              <w:pStyle w:val="TableParagraph"/>
              <w:numPr>
                <w:ilvl w:val="0"/>
                <w:numId w:val="56"/>
              </w:numPr>
              <w:tabs>
                <w:tab w:pos="417" w:val="left" w:leader="none"/>
                <w:tab w:pos="418" w:val="left" w:leader="none"/>
              </w:tabs>
              <w:spacing w:line="235" w:lineRule="auto" w:before="4" w:after="0"/>
              <w:ind w:left="417" w:right="1249" w:hanging="312"/>
              <w:jc w:val="left"/>
              <w:rPr>
                <w:sz w:val="20"/>
              </w:rPr>
            </w:pPr>
            <w:r>
              <w:rPr>
                <w:sz w:val="20"/>
              </w:rPr>
              <w:t>Council</w:t>
            </w:r>
            <w:r>
              <w:rPr>
                <w:spacing w:val="-14"/>
                <w:sz w:val="20"/>
              </w:rPr>
              <w:t> </w:t>
            </w:r>
            <w:r>
              <w:rPr>
                <w:sz w:val="20"/>
              </w:rPr>
              <w:t>land</w:t>
            </w:r>
            <w:r>
              <w:rPr>
                <w:spacing w:val="-14"/>
                <w:sz w:val="20"/>
              </w:rPr>
              <w:t> </w:t>
            </w:r>
            <w:r>
              <w:rPr>
                <w:sz w:val="20"/>
              </w:rPr>
              <w:t>portfolio</w:t>
            </w:r>
            <w:r>
              <w:rPr>
                <w:sz w:val="20"/>
              </w:rPr>
              <w:t> </w:t>
            </w:r>
            <w:r>
              <w:rPr>
                <w:spacing w:val="-2"/>
                <w:sz w:val="20"/>
              </w:rPr>
              <w:t>management</w:t>
            </w:r>
          </w:p>
          <w:p>
            <w:pPr>
              <w:pStyle w:val="TableParagraph"/>
              <w:numPr>
                <w:ilvl w:val="0"/>
                <w:numId w:val="56"/>
              </w:numPr>
              <w:tabs>
                <w:tab w:pos="417" w:val="left" w:leader="none"/>
                <w:tab w:pos="418" w:val="left" w:leader="none"/>
              </w:tabs>
              <w:spacing w:line="235" w:lineRule="auto" w:before="7" w:after="0"/>
              <w:ind w:left="417" w:right="558" w:hanging="312"/>
              <w:jc w:val="left"/>
              <w:rPr>
                <w:sz w:val="20"/>
              </w:rPr>
            </w:pPr>
            <w:r>
              <w:rPr>
                <w:sz w:val="20"/>
              </w:rPr>
              <w:t>Reconciliation of geographic information</w:t>
            </w:r>
            <w:r>
              <w:rPr>
                <w:spacing w:val="-14"/>
                <w:sz w:val="20"/>
              </w:rPr>
              <w:t> </w:t>
            </w:r>
            <w:r>
              <w:rPr>
                <w:sz w:val="20"/>
              </w:rPr>
              <w:t>system</w:t>
            </w:r>
            <w:r>
              <w:rPr>
                <w:spacing w:val="-14"/>
                <w:sz w:val="20"/>
              </w:rPr>
              <w:t> </w:t>
            </w:r>
            <w:r>
              <w:rPr>
                <w:sz w:val="20"/>
              </w:rPr>
              <w:t>database</w:t>
            </w:r>
          </w:p>
          <w:p>
            <w:pPr>
              <w:pStyle w:val="TableParagraph"/>
              <w:numPr>
                <w:ilvl w:val="0"/>
                <w:numId w:val="56"/>
              </w:numPr>
              <w:tabs>
                <w:tab w:pos="417" w:val="left" w:leader="none"/>
                <w:tab w:pos="418" w:val="left" w:leader="none"/>
              </w:tabs>
              <w:spacing w:line="245" w:lineRule="exact" w:before="4" w:after="0"/>
              <w:ind w:left="417" w:right="0" w:hanging="313"/>
              <w:jc w:val="left"/>
              <w:rPr>
                <w:sz w:val="20"/>
              </w:rPr>
            </w:pPr>
            <w:r>
              <w:rPr>
                <w:sz w:val="20"/>
              </w:rPr>
              <w:t>Street</w:t>
            </w:r>
            <w:r>
              <w:rPr>
                <w:spacing w:val="-7"/>
                <w:sz w:val="20"/>
              </w:rPr>
              <w:t> </w:t>
            </w:r>
            <w:r>
              <w:rPr>
                <w:spacing w:val="-2"/>
                <w:sz w:val="20"/>
              </w:rPr>
              <w:t>addressing</w:t>
            </w:r>
          </w:p>
          <w:p>
            <w:pPr>
              <w:pStyle w:val="TableParagraph"/>
              <w:numPr>
                <w:ilvl w:val="0"/>
                <w:numId w:val="56"/>
              </w:numPr>
              <w:tabs>
                <w:tab w:pos="417" w:val="left" w:leader="none"/>
                <w:tab w:pos="418" w:val="left" w:leader="none"/>
              </w:tabs>
              <w:spacing w:line="235" w:lineRule="auto" w:before="4" w:after="0"/>
              <w:ind w:left="417" w:right="894" w:hanging="312"/>
              <w:jc w:val="left"/>
              <w:rPr>
                <w:sz w:val="20"/>
              </w:rPr>
            </w:pPr>
            <w:r>
              <w:rPr>
                <w:sz w:val="20"/>
              </w:rPr>
              <w:t>Facilitation of strategic commercial</w:t>
            </w:r>
            <w:r>
              <w:rPr>
                <w:spacing w:val="-14"/>
                <w:sz w:val="20"/>
              </w:rPr>
              <w:t> </w:t>
            </w:r>
            <w:r>
              <w:rPr>
                <w:sz w:val="20"/>
              </w:rPr>
              <w:t>opportunities</w:t>
            </w:r>
          </w:p>
          <w:p>
            <w:pPr>
              <w:pStyle w:val="TableParagraph"/>
              <w:numPr>
                <w:ilvl w:val="0"/>
                <w:numId w:val="56"/>
              </w:numPr>
              <w:tabs>
                <w:tab w:pos="417" w:val="left" w:leader="none"/>
                <w:tab w:pos="418" w:val="left" w:leader="none"/>
              </w:tabs>
              <w:spacing w:line="240" w:lineRule="auto" w:before="3" w:after="0"/>
              <w:ind w:left="417" w:right="0" w:hanging="313"/>
              <w:jc w:val="left"/>
              <w:rPr>
                <w:sz w:val="20"/>
              </w:rPr>
            </w:pPr>
            <w:r>
              <w:rPr>
                <w:sz w:val="20"/>
              </w:rPr>
              <w:t>Access</w:t>
            </w:r>
            <w:r>
              <w:rPr>
                <w:spacing w:val="-9"/>
                <w:sz w:val="20"/>
              </w:rPr>
              <w:t> </w:t>
            </w:r>
            <w:r>
              <w:rPr>
                <w:sz w:val="20"/>
              </w:rPr>
              <w:t>over</w:t>
            </w:r>
            <w:r>
              <w:rPr>
                <w:spacing w:val="-4"/>
                <w:sz w:val="20"/>
              </w:rPr>
              <w:t> </w:t>
            </w:r>
            <w:r>
              <w:rPr>
                <w:sz w:val="20"/>
              </w:rPr>
              <w:t>Council</w:t>
            </w:r>
            <w:r>
              <w:rPr>
                <w:spacing w:val="-6"/>
                <w:sz w:val="20"/>
              </w:rPr>
              <w:t> </w:t>
            </w:r>
            <w:r>
              <w:rPr>
                <w:spacing w:val="-4"/>
                <w:sz w:val="20"/>
              </w:rPr>
              <w:t>land</w:t>
            </w:r>
          </w:p>
        </w:tc>
        <w:tc>
          <w:tcPr>
            <w:tcW w:w="1537" w:type="dxa"/>
            <w:vMerge/>
            <w:tcBorders>
              <w:top w:val="nil"/>
              <w:left w:val="single" w:sz="2" w:space="0" w:color="000000"/>
              <w:bottom w:val="single" w:sz="2" w:space="0" w:color="000000"/>
              <w:right w:val="nil"/>
            </w:tcBorders>
          </w:tcPr>
          <w:p>
            <w:pPr>
              <w:rPr>
                <w:sz w:val="2"/>
                <w:szCs w:val="2"/>
              </w:rPr>
            </w:pPr>
          </w:p>
        </w:tc>
        <w:tc>
          <w:tcPr>
            <w:tcW w:w="1348" w:type="dxa"/>
            <w:vMerge/>
            <w:tcBorders>
              <w:top w:val="nil"/>
              <w:left w:val="nil"/>
              <w:bottom w:val="single" w:sz="2" w:space="0" w:color="000000"/>
              <w:right w:val="nil"/>
            </w:tcBorders>
          </w:tcPr>
          <w:p>
            <w:pPr>
              <w:rPr>
                <w:sz w:val="2"/>
                <w:szCs w:val="2"/>
              </w:rPr>
            </w:pPr>
          </w:p>
        </w:tc>
        <w:tc>
          <w:tcPr>
            <w:tcW w:w="1216" w:type="dxa"/>
            <w:vMerge/>
            <w:tcBorders>
              <w:top w:val="nil"/>
              <w:left w:val="nil"/>
              <w:bottom w:val="single" w:sz="2" w:space="0" w:color="000000"/>
              <w:right w:val="nil"/>
            </w:tcBorders>
          </w:tcPr>
          <w:p>
            <w:pPr>
              <w:rPr>
                <w:sz w:val="2"/>
                <w:szCs w:val="2"/>
              </w:rPr>
            </w:pPr>
          </w:p>
        </w:tc>
        <w:tc>
          <w:tcPr>
            <w:tcW w:w="1234" w:type="dxa"/>
            <w:vMerge/>
            <w:tcBorders>
              <w:top w:val="nil"/>
              <w:left w:val="nil"/>
              <w:bottom w:val="single" w:sz="2" w:space="0" w:color="000000"/>
              <w:right w:val="single" w:sz="12" w:space="0" w:color="000000"/>
            </w:tcBorders>
          </w:tcPr>
          <w:p>
            <w:pPr>
              <w:rPr>
                <w:sz w:val="2"/>
                <w:szCs w:val="2"/>
              </w:rPr>
            </w:pPr>
          </w:p>
        </w:tc>
      </w:tr>
      <w:tr>
        <w:trPr>
          <w:trHeight w:val="463" w:hRule="exact"/>
        </w:trPr>
        <w:tc>
          <w:tcPr>
            <w:tcW w:w="1553" w:type="dxa"/>
            <w:vMerge/>
            <w:tcBorders>
              <w:top w:val="nil"/>
              <w:left w:val="single" w:sz="12" w:space="0" w:color="000000"/>
              <w:bottom w:val="single" w:sz="2" w:space="0" w:color="000000"/>
              <w:right w:val="single" w:sz="2" w:space="0" w:color="000000"/>
            </w:tcBorders>
          </w:tcPr>
          <w:p>
            <w:pPr>
              <w:rPr>
                <w:sz w:val="2"/>
                <w:szCs w:val="2"/>
              </w:rPr>
            </w:pPr>
          </w:p>
        </w:tc>
        <w:tc>
          <w:tcPr>
            <w:tcW w:w="3540" w:type="dxa"/>
            <w:vMerge/>
            <w:tcBorders>
              <w:top w:val="nil"/>
              <w:left w:val="single" w:sz="2" w:space="0" w:color="000000"/>
              <w:bottom w:val="single" w:sz="2" w:space="0" w:color="000000"/>
              <w:right w:val="single" w:sz="2" w:space="0" w:color="000000"/>
            </w:tcBorders>
          </w:tcPr>
          <w:p>
            <w:pPr>
              <w:rPr>
                <w:sz w:val="2"/>
                <w:szCs w:val="2"/>
              </w:rPr>
            </w:pPr>
          </w:p>
        </w:tc>
        <w:tc>
          <w:tcPr>
            <w:tcW w:w="1537" w:type="dxa"/>
            <w:tcBorders>
              <w:top w:val="single" w:sz="2" w:space="0" w:color="000000"/>
              <w:left w:val="single" w:sz="2" w:space="0" w:color="000000"/>
              <w:bottom w:val="single" w:sz="2" w:space="0" w:color="000000"/>
              <w:right w:val="nil"/>
            </w:tcBorders>
          </w:tcPr>
          <w:p>
            <w:pPr>
              <w:pStyle w:val="TableParagraph"/>
              <w:spacing w:line="228" w:lineRule="exact"/>
              <w:ind w:left="103" w:right="569"/>
              <w:rPr>
                <w:b/>
                <w:sz w:val="20"/>
              </w:rPr>
            </w:pPr>
            <w:r>
              <w:rPr>
                <w:b/>
                <w:sz w:val="20"/>
              </w:rPr>
              <w:t>Surplus</w:t>
            </w:r>
            <w:r>
              <w:rPr>
                <w:b/>
                <w:spacing w:val="-14"/>
                <w:sz w:val="20"/>
              </w:rPr>
              <w:t> </w:t>
            </w:r>
            <w:r>
              <w:rPr>
                <w:b/>
                <w:sz w:val="20"/>
              </w:rPr>
              <w:t>/ </w:t>
            </w:r>
            <w:r>
              <w:rPr>
                <w:b/>
                <w:spacing w:val="-2"/>
                <w:sz w:val="20"/>
              </w:rPr>
              <w:t>(deficit)</w:t>
            </w:r>
          </w:p>
        </w:tc>
        <w:tc>
          <w:tcPr>
            <w:tcW w:w="1348" w:type="dxa"/>
            <w:tcBorders>
              <w:top w:val="single" w:sz="2" w:space="0" w:color="000000"/>
              <w:left w:val="nil"/>
              <w:bottom w:val="single" w:sz="2" w:space="0" w:color="000000"/>
              <w:right w:val="nil"/>
            </w:tcBorders>
          </w:tcPr>
          <w:p>
            <w:pPr>
              <w:pStyle w:val="TableParagraph"/>
              <w:spacing w:line="206" w:lineRule="exact"/>
              <w:ind w:right="160"/>
              <w:jc w:val="right"/>
              <w:rPr>
                <w:b/>
                <w:sz w:val="18"/>
              </w:rPr>
            </w:pPr>
            <w:r>
              <w:rPr>
                <w:b/>
                <w:spacing w:val="-2"/>
                <w:sz w:val="18"/>
              </w:rPr>
              <w:t>7,150</w:t>
            </w:r>
          </w:p>
        </w:tc>
        <w:tc>
          <w:tcPr>
            <w:tcW w:w="1216" w:type="dxa"/>
            <w:tcBorders>
              <w:top w:val="single" w:sz="2" w:space="0" w:color="000000"/>
              <w:left w:val="nil"/>
              <w:bottom w:val="single" w:sz="2" w:space="0" w:color="000000"/>
              <w:right w:val="nil"/>
            </w:tcBorders>
          </w:tcPr>
          <w:p>
            <w:pPr>
              <w:pStyle w:val="TableParagraph"/>
              <w:spacing w:line="206" w:lineRule="exact"/>
              <w:ind w:right="104"/>
              <w:jc w:val="right"/>
              <w:rPr>
                <w:b/>
                <w:sz w:val="18"/>
              </w:rPr>
            </w:pPr>
            <w:r>
              <w:rPr>
                <w:b/>
                <w:spacing w:val="-2"/>
                <w:sz w:val="18"/>
              </w:rPr>
              <w:t>(1,060)</w:t>
            </w:r>
          </w:p>
        </w:tc>
        <w:tc>
          <w:tcPr>
            <w:tcW w:w="1234" w:type="dxa"/>
            <w:tcBorders>
              <w:top w:val="single" w:sz="2" w:space="0" w:color="000000"/>
              <w:left w:val="nil"/>
              <w:bottom w:val="single" w:sz="2" w:space="0" w:color="000000"/>
              <w:right w:val="single" w:sz="12" w:space="0" w:color="000000"/>
            </w:tcBorders>
          </w:tcPr>
          <w:p>
            <w:pPr>
              <w:pStyle w:val="TableParagraph"/>
              <w:spacing w:line="206" w:lineRule="exact"/>
              <w:ind w:right="88"/>
              <w:jc w:val="right"/>
              <w:rPr>
                <w:b/>
                <w:sz w:val="18"/>
              </w:rPr>
            </w:pPr>
            <w:r>
              <w:rPr>
                <w:b/>
                <w:spacing w:val="-2"/>
                <w:sz w:val="18"/>
              </w:rPr>
              <w:t>(460)</w:t>
            </w:r>
          </w:p>
        </w:tc>
      </w:tr>
      <w:tr>
        <w:trPr>
          <w:trHeight w:val="4130" w:hRule="exact"/>
        </w:trPr>
        <w:tc>
          <w:tcPr>
            <w:tcW w:w="1553" w:type="dxa"/>
            <w:vMerge/>
            <w:tcBorders>
              <w:top w:val="nil"/>
              <w:left w:val="single" w:sz="12" w:space="0" w:color="000000"/>
              <w:bottom w:val="single" w:sz="2" w:space="0" w:color="000000"/>
              <w:right w:val="single" w:sz="2" w:space="0" w:color="000000"/>
            </w:tcBorders>
          </w:tcPr>
          <w:p>
            <w:pPr>
              <w:rPr>
                <w:sz w:val="2"/>
                <w:szCs w:val="2"/>
              </w:rPr>
            </w:pPr>
          </w:p>
        </w:tc>
        <w:tc>
          <w:tcPr>
            <w:tcW w:w="3540" w:type="dxa"/>
            <w:vMerge/>
            <w:tcBorders>
              <w:top w:val="nil"/>
              <w:left w:val="single" w:sz="2" w:space="0" w:color="000000"/>
              <w:bottom w:val="single" w:sz="2" w:space="0" w:color="000000"/>
              <w:right w:val="single" w:sz="2" w:space="0" w:color="000000"/>
            </w:tcBorders>
          </w:tcPr>
          <w:p>
            <w:pPr>
              <w:rPr>
                <w:sz w:val="2"/>
                <w:szCs w:val="2"/>
              </w:rPr>
            </w:pPr>
          </w:p>
        </w:tc>
        <w:tc>
          <w:tcPr>
            <w:tcW w:w="1537" w:type="dxa"/>
            <w:vMerge w:val="restart"/>
            <w:tcBorders>
              <w:top w:val="single" w:sz="2" w:space="0" w:color="000000"/>
              <w:left w:val="single" w:sz="2" w:space="0" w:color="000000"/>
              <w:bottom w:val="single" w:sz="2" w:space="0" w:color="000000"/>
              <w:right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3"/>
              </w:rPr>
            </w:pPr>
          </w:p>
          <w:p>
            <w:pPr>
              <w:pStyle w:val="TableParagraph"/>
              <w:spacing w:line="300" w:lineRule="atLeast"/>
              <w:ind w:left="103"/>
              <w:rPr>
                <w:sz w:val="20"/>
              </w:rPr>
            </w:pPr>
            <w:r>
              <w:rPr>
                <w:spacing w:val="-2"/>
                <w:sz w:val="20"/>
              </w:rPr>
              <w:t>Income Expenditure</w:t>
            </w:r>
          </w:p>
        </w:tc>
        <w:tc>
          <w:tcPr>
            <w:tcW w:w="1348" w:type="dxa"/>
            <w:vMerge w:val="restart"/>
            <w:tcBorders>
              <w:top w:val="single" w:sz="2" w:space="0" w:color="000000"/>
              <w:left w:val="nil"/>
              <w:bottom w:val="single" w:sz="2" w:space="0" w:color="000000"/>
              <w:right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
              <w:rPr>
                <w:b/>
                <w:sz w:val="19"/>
              </w:rPr>
            </w:pPr>
          </w:p>
          <w:p>
            <w:pPr>
              <w:pStyle w:val="TableParagraph"/>
              <w:ind w:left="253" w:right="149"/>
              <w:jc w:val="center"/>
              <w:rPr>
                <w:sz w:val="18"/>
              </w:rPr>
            </w:pPr>
            <w:r>
              <w:rPr>
                <w:spacing w:val="-5"/>
                <w:sz w:val="18"/>
              </w:rPr>
              <w:t>36</w:t>
            </w:r>
          </w:p>
          <w:p>
            <w:pPr>
              <w:pStyle w:val="TableParagraph"/>
              <w:spacing w:before="100"/>
              <w:ind w:left="610" w:right="42"/>
              <w:jc w:val="center"/>
              <w:rPr>
                <w:sz w:val="18"/>
              </w:rPr>
            </w:pPr>
            <w:r>
              <w:rPr>
                <w:spacing w:val="-2"/>
                <w:sz w:val="18"/>
              </w:rPr>
              <w:t>1,254</w:t>
            </w:r>
          </w:p>
        </w:tc>
        <w:tc>
          <w:tcPr>
            <w:tcW w:w="1216" w:type="dxa"/>
            <w:vMerge w:val="restart"/>
            <w:tcBorders>
              <w:top w:val="single" w:sz="2" w:space="0" w:color="000000"/>
              <w:left w:val="nil"/>
              <w:bottom w:val="single" w:sz="2" w:space="0" w:color="000000"/>
              <w:right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
              <w:rPr>
                <w:b/>
                <w:sz w:val="19"/>
              </w:rPr>
            </w:pPr>
          </w:p>
          <w:p>
            <w:pPr>
              <w:pStyle w:val="TableParagraph"/>
              <w:ind w:right="104"/>
              <w:jc w:val="right"/>
              <w:rPr>
                <w:sz w:val="18"/>
              </w:rPr>
            </w:pPr>
            <w:r>
              <w:rPr>
                <w:spacing w:val="-5"/>
                <w:sz w:val="18"/>
              </w:rPr>
              <w:t>43</w:t>
            </w:r>
          </w:p>
          <w:p>
            <w:pPr>
              <w:pStyle w:val="TableParagraph"/>
              <w:spacing w:before="100"/>
              <w:ind w:right="104"/>
              <w:jc w:val="right"/>
              <w:rPr>
                <w:sz w:val="18"/>
              </w:rPr>
            </w:pPr>
            <w:r>
              <w:rPr>
                <w:spacing w:val="-2"/>
                <w:sz w:val="18"/>
              </w:rPr>
              <w:t>1,173</w:t>
            </w:r>
          </w:p>
        </w:tc>
        <w:tc>
          <w:tcPr>
            <w:tcW w:w="1234" w:type="dxa"/>
            <w:vMerge w:val="restart"/>
            <w:tcBorders>
              <w:top w:val="single" w:sz="2" w:space="0" w:color="000000"/>
              <w:left w:val="nil"/>
              <w:bottom w:val="single" w:sz="2" w:space="0" w:color="000000"/>
              <w:right w:val="single" w:sz="12" w:space="0" w:color="000000"/>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
              <w:rPr>
                <w:b/>
                <w:sz w:val="19"/>
              </w:rPr>
            </w:pPr>
          </w:p>
          <w:p>
            <w:pPr>
              <w:pStyle w:val="TableParagraph"/>
              <w:ind w:right="89"/>
              <w:jc w:val="right"/>
              <w:rPr>
                <w:sz w:val="18"/>
              </w:rPr>
            </w:pPr>
            <w:r>
              <w:rPr>
                <w:spacing w:val="-5"/>
                <w:sz w:val="18"/>
              </w:rPr>
              <w:t>46</w:t>
            </w:r>
          </w:p>
          <w:p>
            <w:pPr>
              <w:pStyle w:val="TableParagraph"/>
              <w:spacing w:before="100"/>
              <w:ind w:right="89"/>
              <w:jc w:val="right"/>
              <w:rPr>
                <w:sz w:val="18"/>
              </w:rPr>
            </w:pPr>
            <w:r>
              <w:rPr>
                <w:spacing w:val="-2"/>
                <w:sz w:val="18"/>
              </w:rPr>
              <w:t>1,207</w:t>
            </w:r>
          </w:p>
        </w:tc>
      </w:tr>
      <w:tr>
        <w:trPr>
          <w:trHeight w:val="614" w:hRule="exact"/>
        </w:trPr>
        <w:tc>
          <w:tcPr>
            <w:tcW w:w="1553" w:type="dxa"/>
            <w:vMerge w:val="restart"/>
            <w:tcBorders>
              <w:top w:val="single" w:sz="2" w:space="0" w:color="000000"/>
              <w:left w:val="single" w:sz="12" w:space="0" w:color="000000"/>
              <w:bottom w:val="single" w:sz="2" w:space="0" w:color="000000"/>
              <w:right w:val="single" w:sz="2" w:space="0" w:color="000000"/>
            </w:tcBorders>
          </w:tcPr>
          <w:p>
            <w:pPr>
              <w:pStyle w:val="TableParagraph"/>
              <w:ind w:left="92" w:right="201"/>
              <w:rPr>
                <w:sz w:val="20"/>
              </w:rPr>
            </w:pPr>
            <w:r>
              <w:rPr>
                <w:spacing w:val="-2"/>
                <w:sz w:val="20"/>
              </w:rPr>
              <w:t>Realm operations</w:t>
            </w:r>
          </w:p>
        </w:tc>
        <w:tc>
          <w:tcPr>
            <w:tcW w:w="3540" w:type="dxa"/>
            <w:vMerge w:val="restart"/>
            <w:tcBorders>
              <w:top w:val="single" w:sz="2" w:space="0" w:color="000000"/>
              <w:left w:val="single" w:sz="2" w:space="0" w:color="000000"/>
              <w:bottom w:val="single" w:sz="2" w:space="0" w:color="000000"/>
              <w:right w:val="single" w:sz="2" w:space="0" w:color="000000"/>
            </w:tcBorders>
          </w:tcPr>
          <w:p>
            <w:pPr>
              <w:pStyle w:val="TableParagraph"/>
              <w:numPr>
                <w:ilvl w:val="0"/>
                <w:numId w:val="57"/>
              </w:numPr>
              <w:tabs>
                <w:tab w:pos="417" w:val="left" w:leader="none"/>
                <w:tab w:pos="418" w:val="left" w:leader="none"/>
              </w:tabs>
              <w:spacing w:line="244" w:lineRule="exact" w:before="0" w:after="0"/>
              <w:ind w:left="417" w:right="0" w:hanging="313"/>
              <w:jc w:val="left"/>
              <w:rPr>
                <w:sz w:val="20"/>
              </w:rPr>
            </w:pPr>
            <w:r>
              <w:rPr>
                <w:sz w:val="20"/>
              </w:rPr>
              <w:t>Realm</w:t>
            </w:r>
            <w:r>
              <w:rPr>
                <w:spacing w:val="-8"/>
                <w:sz w:val="20"/>
              </w:rPr>
              <w:t> </w:t>
            </w:r>
            <w:r>
              <w:rPr>
                <w:sz w:val="20"/>
              </w:rPr>
              <w:t>facility</w:t>
            </w:r>
            <w:r>
              <w:rPr>
                <w:spacing w:val="-6"/>
                <w:sz w:val="20"/>
              </w:rPr>
              <w:t> </w:t>
            </w:r>
            <w:r>
              <w:rPr>
                <w:spacing w:val="-2"/>
                <w:sz w:val="20"/>
              </w:rPr>
              <w:t>operations</w:t>
            </w:r>
          </w:p>
          <w:p>
            <w:pPr>
              <w:pStyle w:val="TableParagraph"/>
              <w:numPr>
                <w:ilvl w:val="0"/>
                <w:numId w:val="57"/>
              </w:numPr>
              <w:tabs>
                <w:tab w:pos="417" w:val="left" w:leader="none"/>
                <w:tab w:pos="418" w:val="left" w:leader="none"/>
              </w:tabs>
              <w:spacing w:line="240" w:lineRule="auto" w:before="0" w:after="0"/>
              <w:ind w:left="417" w:right="504" w:hanging="312"/>
              <w:jc w:val="left"/>
              <w:rPr>
                <w:sz w:val="20"/>
              </w:rPr>
            </w:pPr>
            <w:r>
              <w:rPr>
                <w:sz w:val="20"/>
              </w:rPr>
              <w:t>Civic</w:t>
            </w:r>
            <w:r>
              <w:rPr>
                <w:spacing w:val="-13"/>
                <w:sz w:val="20"/>
              </w:rPr>
              <w:t> </w:t>
            </w:r>
            <w:r>
              <w:rPr>
                <w:sz w:val="20"/>
              </w:rPr>
              <w:t>and</w:t>
            </w:r>
            <w:r>
              <w:rPr>
                <w:spacing w:val="-14"/>
                <w:sz w:val="20"/>
              </w:rPr>
              <w:t> </w:t>
            </w:r>
            <w:r>
              <w:rPr>
                <w:sz w:val="20"/>
              </w:rPr>
              <w:t>ceremonial</w:t>
            </w:r>
            <w:r>
              <w:rPr>
                <w:spacing w:val="-14"/>
                <w:sz w:val="20"/>
              </w:rPr>
              <w:t> </w:t>
            </w:r>
            <w:r>
              <w:rPr>
                <w:sz w:val="20"/>
              </w:rPr>
              <w:t>function </w:t>
            </w:r>
            <w:r>
              <w:rPr>
                <w:spacing w:val="-2"/>
                <w:sz w:val="20"/>
              </w:rPr>
              <w:t>support</w:t>
            </w:r>
          </w:p>
        </w:tc>
        <w:tc>
          <w:tcPr>
            <w:tcW w:w="1537" w:type="dxa"/>
            <w:vMerge/>
            <w:tcBorders>
              <w:top w:val="nil"/>
              <w:left w:val="single" w:sz="2" w:space="0" w:color="000000"/>
              <w:bottom w:val="single" w:sz="2" w:space="0" w:color="000000"/>
              <w:right w:val="nil"/>
            </w:tcBorders>
          </w:tcPr>
          <w:p>
            <w:pPr>
              <w:rPr>
                <w:sz w:val="2"/>
                <w:szCs w:val="2"/>
              </w:rPr>
            </w:pPr>
          </w:p>
        </w:tc>
        <w:tc>
          <w:tcPr>
            <w:tcW w:w="1348" w:type="dxa"/>
            <w:vMerge/>
            <w:tcBorders>
              <w:top w:val="nil"/>
              <w:left w:val="nil"/>
              <w:bottom w:val="single" w:sz="2" w:space="0" w:color="000000"/>
              <w:right w:val="nil"/>
            </w:tcBorders>
          </w:tcPr>
          <w:p>
            <w:pPr>
              <w:rPr>
                <w:sz w:val="2"/>
                <w:szCs w:val="2"/>
              </w:rPr>
            </w:pPr>
          </w:p>
        </w:tc>
        <w:tc>
          <w:tcPr>
            <w:tcW w:w="1216" w:type="dxa"/>
            <w:vMerge/>
            <w:tcBorders>
              <w:top w:val="nil"/>
              <w:left w:val="nil"/>
              <w:bottom w:val="single" w:sz="2" w:space="0" w:color="000000"/>
              <w:right w:val="nil"/>
            </w:tcBorders>
          </w:tcPr>
          <w:p>
            <w:pPr>
              <w:rPr>
                <w:sz w:val="2"/>
                <w:szCs w:val="2"/>
              </w:rPr>
            </w:pPr>
          </w:p>
        </w:tc>
        <w:tc>
          <w:tcPr>
            <w:tcW w:w="1234" w:type="dxa"/>
            <w:vMerge/>
            <w:tcBorders>
              <w:top w:val="nil"/>
              <w:left w:val="nil"/>
              <w:bottom w:val="single" w:sz="2" w:space="0" w:color="000000"/>
              <w:right w:val="single" w:sz="12" w:space="0" w:color="000000"/>
            </w:tcBorders>
          </w:tcPr>
          <w:p>
            <w:pPr>
              <w:rPr>
                <w:sz w:val="2"/>
                <w:szCs w:val="2"/>
              </w:rPr>
            </w:pPr>
          </w:p>
        </w:tc>
      </w:tr>
      <w:tr>
        <w:trPr>
          <w:trHeight w:val="465" w:hRule="exact"/>
        </w:trPr>
        <w:tc>
          <w:tcPr>
            <w:tcW w:w="1553" w:type="dxa"/>
            <w:vMerge/>
            <w:tcBorders>
              <w:top w:val="nil"/>
              <w:left w:val="single" w:sz="12" w:space="0" w:color="000000"/>
              <w:bottom w:val="single" w:sz="2" w:space="0" w:color="000000"/>
              <w:right w:val="single" w:sz="2" w:space="0" w:color="000000"/>
            </w:tcBorders>
          </w:tcPr>
          <w:p>
            <w:pPr>
              <w:rPr>
                <w:sz w:val="2"/>
                <w:szCs w:val="2"/>
              </w:rPr>
            </w:pPr>
          </w:p>
        </w:tc>
        <w:tc>
          <w:tcPr>
            <w:tcW w:w="3540" w:type="dxa"/>
            <w:vMerge/>
            <w:tcBorders>
              <w:top w:val="nil"/>
              <w:left w:val="single" w:sz="2" w:space="0" w:color="000000"/>
              <w:bottom w:val="single" w:sz="2" w:space="0" w:color="000000"/>
              <w:right w:val="single" w:sz="2" w:space="0" w:color="000000"/>
            </w:tcBorders>
          </w:tcPr>
          <w:p>
            <w:pPr>
              <w:rPr>
                <w:sz w:val="2"/>
                <w:szCs w:val="2"/>
              </w:rPr>
            </w:pPr>
          </w:p>
        </w:tc>
        <w:tc>
          <w:tcPr>
            <w:tcW w:w="1537" w:type="dxa"/>
            <w:tcBorders>
              <w:top w:val="single" w:sz="2" w:space="0" w:color="000000"/>
              <w:left w:val="single" w:sz="2" w:space="0" w:color="000000"/>
              <w:bottom w:val="single" w:sz="2" w:space="0" w:color="000000"/>
              <w:right w:val="nil"/>
            </w:tcBorders>
          </w:tcPr>
          <w:p>
            <w:pPr>
              <w:pStyle w:val="TableParagraph"/>
              <w:spacing w:line="230" w:lineRule="exact"/>
              <w:ind w:left="103" w:right="569"/>
              <w:rPr>
                <w:b/>
                <w:sz w:val="20"/>
              </w:rPr>
            </w:pPr>
            <w:r>
              <w:rPr>
                <w:b/>
                <w:sz w:val="20"/>
              </w:rPr>
              <w:t>Surplus</w:t>
            </w:r>
            <w:r>
              <w:rPr>
                <w:b/>
                <w:spacing w:val="-14"/>
                <w:sz w:val="20"/>
              </w:rPr>
              <w:t> </w:t>
            </w:r>
            <w:r>
              <w:rPr>
                <w:b/>
                <w:sz w:val="20"/>
              </w:rPr>
              <w:t>/ </w:t>
            </w:r>
            <w:r>
              <w:rPr>
                <w:b/>
                <w:spacing w:val="-2"/>
                <w:sz w:val="20"/>
              </w:rPr>
              <w:t>(deficit)</w:t>
            </w:r>
          </w:p>
        </w:tc>
        <w:tc>
          <w:tcPr>
            <w:tcW w:w="1348" w:type="dxa"/>
            <w:tcBorders>
              <w:top w:val="single" w:sz="2" w:space="0" w:color="000000"/>
              <w:left w:val="nil"/>
              <w:bottom w:val="single" w:sz="2" w:space="0" w:color="000000"/>
              <w:right w:val="nil"/>
            </w:tcBorders>
          </w:tcPr>
          <w:p>
            <w:pPr>
              <w:pStyle w:val="TableParagraph"/>
              <w:spacing w:before="1"/>
              <w:ind w:right="160"/>
              <w:jc w:val="right"/>
              <w:rPr>
                <w:b/>
                <w:sz w:val="18"/>
              </w:rPr>
            </w:pPr>
            <w:r>
              <w:rPr>
                <w:b/>
                <w:spacing w:val="-2"/>
                <w:sz w:val="18"/>
              </w:rPr>
              <w:t>(1,218)</w:t>
            </w:r>
          </w:p>
        </w:tc>
        <w:tc>
          <w:tcPr>
            <w:tcW w:w="1216" w:type="dxa"/>
            <w:tcBorders>
              <w:top w:val="single" w:sz="2" w:space="0" w:color="000000"/>
              <w:left w:val="nil"/>
              <w:bottom w:val="single" w:sz="2" w:space="0" w:color="000000"/>
              <w:right w:val="nil"/>
            </w:tcBorders>
          </w:tcPr>
          <w:p>
            <w:pPr>
              <w:pStyle w:val="TableParagraph"/>
              <w:spacing w:before="1"/>
              <w:ind w:right="104"/>
              <w:jc w:val="right"/>
              <w:rPr>
                <w:b/>
                <w:sz w:val="18"/>
              </w:rPr>
            </w:pPr>
            <w:r>
              <w:rPr>
                <w:b/>
                <w:spacing w:val="-2"/>
                <w:sz w:val="18"/>
              </w:rPr>
              <w:t>(1,130)</w:t>
            </w:r>
          </w:p>
        </w:tc>
        <w:tc>
          <w:tcPr>
            <w:tcW w:w="1234" w:type="dxa"/>
            <w:tcBorders>
              <w:top w:val="single" w:sz="2" w:space="0" w:color="000000"/>
              <w:left w:val="nil"/>
              <w:bottom w:val="single" w:sz="2" w:space="0" w:color="000000"/>
              <w:right w:val="single" w:sz="12" w:space="0" w:color="000000"/>
            </w:tcBorders>
          </w:tcPr>
          <w:p>
            <w:pPr>
              <w:pStyle w:val="TableParagraph"/>
              <w:spacing w:before="1"/>
              <w:ind w:right="89"/>
              <w:jc w:val="right"/>
              <w:rPr>
                <w:b/>
                <w:sz w:val="18"/>
              </w:rPr>
            </w:pPr>
            <w:r>
              <w:rPr>
                <w:b/>
                <w:spacing w:val="-2"/>
                <w:sz w:val="18"/>
              </w:rPr>
              <w:t>(1,161)</w:t>
            </w:r>
          </w:p>
        </w:tc>
      </w:tr>
      <w:tr>
        <w:trPr>
          <w:trHeight w:val="616" w:hRule="exact"/>
        </w:trPr>
        <w:tc>
          <w:tcPr>
            <w:tcW w:w="1553" w:type="dxa"/>
            <w:vMerge w:val="restart"/>
            <w:tcBorders>
              <w:top w:val="single" w:sz="2" w:space="0" w:color="000000"/>
              <w:left w:val="single" w:sz="12" w:space="0" w:color="000000"/>
              <w:bottom w:val="single" w:sz="12" w:space="0" w:color="000000"/>
              <w:right w:val="single" w:sz="2" w:space="0" w:color="000000"/>
            </w:tcBorders>
          </w:tcPr>
          <w:p>
            <w:pPr>
              <w:pStyle w:val="TableParagraph"/>
              <w:ind w:left="92" w:right="201"/>
              <w:rPr>
                <w:sz w:val="20"/>
              </w:rPr>
            </w:pPr>
            <w:r>
              <w:rPr>
                <w:spacing w:val="-4"/>
                <w:sz w:val="20"/>
              </w:rPr>
              <w:t>Risk </w:t>
            </w:r>
            <w:r>
              <w:rPr>
                <w:spacing w:val="-2"/>
                <w:sz w:val="20"/>
              </w:rPr>
              <w:t>management</w:t>
            </w:r>
          </w:p>
        </w:tc>
        <w:tc>
          <w:tcPr>
            <w:tcW w:w="3540" w:type="dxa"/>
            <w:vMerge w:val="restart"/>
            <w:tcBorders>
              <w:top w:val="single" w:sz="2" w:space="0" w:color="000000"/>
              <w:left w:val="single" w:sz="2" w:space="0" w:color="000000"/>
              <w:bottom w:val="single" w:sz="12" w:space="0" w:color="000000"/>
              <w:right w:val="single" w:sz="2" w:space="0" w:color="000000"/>
            </w:tcBorders>
          </w:tcPr>
          <w:p>
            <w:pPr>
              <w:pStyle w:val="TableParagraph"/>
              <w:numPr>
                <w:ilvl w:val="0"/>
                <w:numId w:val="58"/>
              </w:numPr>
              <w:tabs>
                <w:tab w:pos="417" w:val="left" w:leader="none"/>
                <w:tab w:pos="418" w:val="left" w:leader="none"/>
              </w:tabs>
              <w:spacing w:line="240" w:lineRule="auto" w:before="0" w:after="0"/>
              <w:ind w:left="417" w:right="728" w:hanging="312"/>
              <w:jc w:val="left"/>
              <w:rPr>
                <w:sz w:val="20"/>
              </w:rPr>
            </w:pPr>
            <w:r>
              <w:rPr>
                <w:sz w:val="20"/>
              </w:rPr>
              <w:t>Risk registers </w:t>
            </w:r>
            <w:r>
              <w:rPr>
                <w:spacing w:val="-2"/>
                <w:sz w:val="20"/>
              </w:rPr>
              <w:t>coordination/administration</w:t>
            </w:r>
          </w:p>
          <w:p>
            <w:pPr>
              <w:pStyle w:val="TableParagraph"/>
              <w:numPr>
                <w:ilvl w:val="0"/>
                <w:numId w:val="58"/>
              </w:numPr>
              <w:tabs>
                <w:tab w:pos="417" w:val="left" w:leader="none"/>
                <w:tab w:pos="418" w:val="left" w:leader="none"/>
              </w:tabs>
              <w:spacing w:line="235" w:lineRule="auto" w:before="4" w:after="0"/>
              <w:ind w:left="417" w:right="1194" w:hanging="312"/>
              <w:jc w:val="left"/>
              <w:rPr>
                <w:sz w:val="20"/>
              </w:rPr>
            </w:pPr>
            <w:r>
              <w:rPr>
                <w:sz w:val="20"/>
              </w:rPr>
              <w:t>Claims</w:t>
            </w:r>
            <w:r>
              <w:rPr>
                <w:spacing w:val="-14"/>
                <w:sz w:val="20"/>
              </w:rPr>
              <w:t> </w:t>
            </w:r>
            <w:r>
              <w:rPr>
                <w:sz w:val="20"/>
              </w:rPr>
              <w:t>and</w:t>
            </w:r>
            <w:r>
              <w:rPr>
                <w:spacing w:val="-14"/>
                <w:sz w:val="20"/>
              </w:rPr>
              <w:t> </w:t>
            </w:r>
            <w:r>
              <w:rPr>
                <w:sz w:val="20"/>
              </w:rPr>
              <w:t>insurance</w:t>
            </w:r>
            <w:r>
              <w:rPr>
                <w:sz w:val="20"/>
              </w:rPr>
              <w:t> </w:t>
            </w:r>
            <w:r>
              <w:rPr>
                <w:spacing w:val="-2"/>
                <w:sz w:val="20"/>
              </w:rPr>
              <w:t>management</w:t>
            </w:r>
          </w:p>
          <w:p>
            <w:pPr>
              <w:pStyle w:val="TableParagraph"/>
              <w:numPr>
                <w:ilvl w:val="0"/>
                <w:numId w:val="58"/>
              </w:numPr>
              <w:tabs>
                <w:tab w:pos="417" w:val="left" w:leader="none"/>
                <w:tab w:pos="418" w:val="left" w:leader="none"/>
              </w:tabs>
              <w:spacing w:line="244" w:lineRule="exact" w:before="4" w:after="0"/>
              <w:ind w:left="417" w:right="0" w:hanging="313"/>
              <w:jc w:val="left"/>
              <w:rPr>
                <w:sz w:val="20"/>
              </w:rPr>
            </w:pPr>
            <w:r>
              <w:rPr>
                <w:sz w:val="20"/>
              </w:rPr>
              <w:t>Internal</w:t>
            </w:r>
            <w:r>
              <w:rPr>
                <w:spacing w:val="-10"/>
                <w:sz w:val="20"/>
              </w:rPr>
              <w:t> </w:t>
            </w:r>
            <w:r>
              <w:rPr>
                <w:sz w:val="20"/>
              </w:rPr>
              <w:t>audit</w:t>
            </w:r>
            <w:r>
              <w:rPr>
                <w:spacing w:val="-7"/>
                <w:sz w:val="20"/>
              </w:rPr>
              <w:t> </w:t>
            </w:r>
            <w:r>
              <w:rPr>
                <w:spacing w:val="-2"/>
                <w:sz w:val="20"/>
              </w:rPr>
              <w:t>coordination</w:t>
            </w:r>
          </w:p>
          <w:p>
            <w:pPr>
              <w:pStyle w:val="TableParagraph"/>
              <w:numPr>
                <w:ilvl w:val="0"/>
                <w:numId w:val="58"/>
              </w:numPr>
              <w:tabs>
                <w:tab w:pos="417" w:val="left" w:leader="none"/>
                <w:tab w:pos="418" w:val="left" w:leader="none"/>
              </w:tabs>
              <w:spacing w:line="244" w:lineRule="exact" w:before="0" w:after="0"/>
              <w:ind w:left="417" w:right="0" w:hanging="313"/>
              <w:jc w:val="left"/>
              <w:rPr>
                <w:sz w:val="20"/>
              </w:rPr>
            </w:pPr>
            <w:r>
              <w:rPr>
                <w:sz w:val="20"/>
              </w:rPr>
              <w:t>Business</w:t>
            </w:r>
            <w:r>
              <w:rPr>
                <w:spacing w:val="-11"/>
                <w:sz w:val="20"/>
              </w:rPr>
              <w:t> </w:t>
            </w:r>
            <w:r>
              <w:rPr>
                <w:sz w:val="20"/>
              </w:rPr>
              <w:t>continuity</w:t>
            </w:r>
            <w:r>
              <w:rPr>
                <w:spacing w:val="-8"/>
                <w:sz w:val="20"/>
              </w:rPr>
              <w:t> </w:t>
            </w:r>
            <w:r>
              <w:rPr>
                <w:spacing w:val="-2"/>
                <w:sz w:val="20"/>
              </w:rPr>
              <w:t>planning</w:t>
            </w:r>
          </w:p>
          <w:p>
            <w:pPr>
              <w:pStyle w:val="TableParagraph"/>
              <w:numPr>
                <w:ilvl w:val="0"/>
                <w:numId w:val="58"/>
              </w:numPr>
              <w:tabs>
                <w:tab w:pos="417" w:val="left" w:leader="none"/>
                <w:tab w:pos="418" w:val="left" w:leader="none"/>
              </w:tabs>
              <w:spacing w:line="244" w:lineRule="exact" w:before="0" w:after="0"/>
              <w:ind w:left="417" w:right="0" w:hanging="313"/>
              <w:jc w:val="left"/>
              <w:rPr>
                <w:sz w:val="20"/>
              </w:rPr>
            </w:pPr>
            <w:r>
              <w:rPr>
                <w:sz w:val="20"/>
              </w:rPr>
              <w:t>Fraud</w:t>
            </w:r>
            <w:r>
              <w:rPr>
                <w:spacing w:val="-8"/>
                <w:sz w:val="20"/>
              </w:rPr>
              <w:t> </w:t>
            </w:r>
            <w:r>
              <w:rPr>
                <w:spacing w:val="-2"/>
                <w:sz w:val="20"/>
              </w:rPr>
              <w:t>mitigation</w:t>
            </w:r>
          </w:p>
          <w:p>
            <w:pPr>
              <w:pStyle w:val="TableParagraph"/>
              <w:numPr>
                <w:ilvl w:val="0"/>
                <w:numId w:val="58"/>
              </w:numPr>
              <w:tabs>
                <w:tab w:pos="417" w:val="left" w:leader="none"/>
                <w:tab w:pos="418" w:val="left" w:leader="none"/>
              </w:tabs>
              <w:spacing w:line="237" w:lineRule="auto" w:before="0" w:after="0"/>
              <w:ind w:left="417" w:right="203" w:hanging="312"/>
              <w:jc w:val="left"/>
              <w:rPr>
                <w:i/>
                <w:sz w:val="20"/>
              </w:rPr>
            </w:pPr>
            <w:r>
              <w:rPr>
                <w:sz w:val="20"/>
              </w:rPr>
              <w:t>Information</w:t>
            </w:r>
            <w:r>
              <w:rPr>
                <w:spacing w:val="-14"/>
                <w:sz w:val="20"/>
              </w:rPr>
              <w:t> </w:t>
            </w:r>
            <w:r>
              <w:rPr>
                <w:sz w:val="20"/>
              </w:rPr>
              <w:t>privacy</w:t>
            </w:r>
            <w:r>
              <w:rPr>
                <w:spacing w:val="-14"/>
                <w:sz w:val="20"/>
              </w:rPr>
              <w:t> </w:t>
            </w:r>
            <w:r>
              <w:rPr>
                <w:sz w:val="20"/>
              </w:rPr>
              <w:t>management in accordance with the </w:t>
            </w:r>
            <w:r>
              <w:rPr>
                <w:i/>
                <w:sz w:val="20"/>
              </w:rPr>
              <w:t>Privacy</w:t>
            </w:r>
            <w:r>
              <w:rPr>
                <w:i/>
                <w:sz w:val="20"/>
              </w:rPr>
              <w:t> and Data Protection Act 2014</w:t>
            </w:r>
          </w:p>
          <w:p>
            <w:pPr>
              <w:pStyle w:val="TableParagraph"/>
              <w:numPr>
                <w:ilvl w:val="0"/>
                <w:numId w:val="58"/>
              </w:numPr>
              <w:tabs>
                <w:tab w:pos="417" w:val="left" w:leader="none"/>
                <w:tab w:pos="418" w:val="left" w:leader="none"/>
              </w:tabs>
              <w:spacing w:line="235" w:lineRule="auto" w:before="8" w:after="0"/>
              <w:ind w:left="417" w:right="1039" w:hanging="312"/>
              <w:jc w:val="left"/>
              <w:rPr>
                <w:sz w:val="20"/>
              </w:rPr>
            </w:pPr>
            <w:r>
              <w:rPr>
                <w:sz w:val="20"/>
              </w:rPr>
              <w:t>Freedom</w:t>
            </w:r>
            <w:r>
              <w:rPr>
                <w:spacing w:val="-14"/>
                <w:sz w:val="20"/>
              </w:rPr>
              <w:t> </w:t>
            </w:r>
            <w:r>
              <w:rPr>
                <w:sz w:val="20"/>
              </w:rPr>
              <w:t>of</w:t>
            </w:r>
            <w:r>
              <w:rPr>
                <w:spacing w:val="-14"/>
                <w:sz w:val="20"/>
              </w:rPr>
              <w:t> </w:t>
            </w:r>
            <w:r>
              <w:rPr>
                <w:sz w:val="20"/>
              </w:rPr>
              <w:t>Information </w:t>
            </w:r>
            <w:r>
              <w:rPr>
                <w:spacing w:val="-2"/>
                <w:sz w:val="20"/>
              </w:rPr>
              <w:t>coordination</w:t>
            </w:r>
          </w:p>
          <w:p>
            <w:pPr>
              <w:pStyle w:val="TableParagraph"/>
              <w:numPr>
                <w:ilvl w:val="0"/>
                <w:numId w:val="58"/>
              </w:numPr>
              <w:tabs>
                <w:tab w:pos="417" w:val="left" w:leader="none"/>
                <w:tab w:pos="418" w:val="left" w:leader="none"/>
              </w:tabs>
              <w:spacing w:line="240" w:lineRule="auto" w:before="3" w:after="0"/>
              <w:ind w:left="417" w:right="926" w:hanging="312"/>
              <w:jc w:val="left"/>
              <w:rPr>
                <w:sz w:val="20"/>
              </w:rPr>
            </w:pPr>
            <w:r>
              <w:rPr>
                <w:sz w:val="20"/>
              </w:rPr>
              <w:t>Protected</w:t>
            </w:r>
            <w:r>
              <w:rPr>
                <w:spacing w:val="-14"/>
                <w:sz w:val="20"/>
              </w:rPr>
              <w:t> </w:t>
            </w:r>
            <w:r>
              <w:rPr>
                <w:sz w:val="20"/>
              </w:rPr>
              <w:t>Disclosure</w:t>
            </w:r>
            <w:r>
              <w:rPr>
                <w:spacing w:val="-14"/>
                <w:sz w:val="20"/>
              </w:rPr>
              <w:t> </w:t>
            </w:r>
            <w:r>
              <w:rPr>
                <w:sz w:val="20"/>
              </w:rPr>
              <w:t>Act </w:t>
            </w:r>
            <w:r>
              <w:rPr>
                <w:spacing w:val="-2"/>
                <w:sz w:val="20"/>
              </w:rPr>
              <w:t>coordination</w:t>
            </w:r>
          </w:p>
          <w:p>
            <w:pPr>
              <w:pStyle w:val="TableParagraph"/>
              <w:numPr>
                <w:ilvl w:val="0"/>
                <w:numId w:val="58"/>
              </w:numPr>
              <w:tabs>
                <w:tab w:pos="417" w:val="left" w:leader="none"/>
                <w:tab w:pos="418" w:val="left" w:leader="none"/>
              </w:tabs>
              <w:spacing w:line="235" w:lineRule="auto" w:before="4" w:after="0"/>
              <w:ind w:left="417" w:right="851" w:hanging="312"/>
              <w:jc w:val="left"/>
              <w:rPr>
                <w:sz w:val="20"/>
              </w:rPr>
            </w:pPr>
            <w:r>
              <w:rPr>
                <w:sz w:val="20"/>
              </w:rPr>
              <w:t>Personal</w:t>
            </w:r>
            <w:r>
              <w:rPr>
                <w:spacing w:val="-14"/>
                <w:sz w:val="20"/>
              </w:rPr>
              <w:t> </w:t>
            </w:r>
            <w:r>
              <w:rPr>
                <w:sz w:val="20"/>
              </w:rPr>
              <w:t>Interest</w:t>
            </w:r>
            <w:r>
              <w:rPr>
                <w:spacing w:val="-14"/>
                <w:sz w:val="20"/>
              </w:rPr>
              <w:t> </w:t>
            </w:r>
            <w:r>
              <w:rPr>
                <w:sz w:val="20"/>
              </w:rPr>
              <w:t>Returns </w:t>
            </w:r>
            <w:r>
              <w:rPr>
                <w:spacing w:val="-2"/>
                <w:sz w:val="20"/>
              </w:rPr>
              <w:t>coordination</w:t>
            </w:r>
          </w:p>
        </w:tc>
        <w:tc>
          <w:tcPr>
            <w:tcW w:w="1537" w:type="dxa"/>
            <w:tcBorders>
              <w:top w:val="single" w:sz="2" w:space="0" w:color="000000"/>
              <w:left w:val="single" w:sz="2" w:space="0" w:color="000000"/>
              <w:bottom w:val="single" w:sz="2" w:space="0" w:color="000000"/>
              <w:right w:val="nil"/>
            </w:tcBorders>
          </w:tcPr>
          <w:p>
            <w:pPr>
              <w:pStyle w:val="TableParagraph"/>
              <w:spacing w:line="229" w:lineRule="exact"/>
              <w:ind w:left="103"/>
              <w:rPr>
                <w:sz w:val="20"/>
              </w:rPr>
            </w:pPr>
            <w:r>
              <w:rPr>
                <w:spacing w:val="-2"/>
                <w:sz w:val="20"/>
              </w:rPr>
              <w:t>Income</w:t>
            </w:r>
          </w:p>
          <w:p>
            <w:pPr>
              <w:pStyle w:val="TableParagraph"/>
              <w:spacing w:before="77"/>
              <w:ind w:left="103"/>
              <w:rPr>
                <w:sz w:val="20"/>
              </w:rPr>
            </w:pPr>
            <w:r>
              <w:rPr>
                <w:spacing w:val="-2"/>
                <w:sz w:val="20"/>
              </w:rPr>
              <w:t>Expenditure</w:t>
            </w:r>
          </w:p>
        </w:tc>
        <w:tc>
          <w:tcPr>
            <w:tcW w:w="1348" w:type="dxa"/>
            <w:tcBorders>
              <w:top w:val="single" w:sz="2" w:space="0" w:color="000000"/>
              <w:left w:val="nil"/>
              <w:bottom w:val="single" w:sz="2" w:space="0" w:color="000000"/>
              <w:right w:val="nil"/>
            </w:tcBorders>
          </w:tcPr>
          <w:p>
            <w:pPr>
              <w:pStyle w:val="TableParagraph"/>
              <w:spacing w:line="206" w:lineRule="exact"/>
              <w:ind w:right="163"/>
              <w:jc w:val="right"/>
              <w:rPr>
                <w:sz w:val="18"/>
              </w:rPr>
            </w:pPr>
            <w:r>
              <w:rPr>
                <w:sz w:val="18"/>
              </w:rPr>
              <w:t>1</w:t>
            </w:r>
          </w:p>
          <w:p>
            <w:pPr>
              <w:pStyle w:val="TableParagraph"/>
              <w:spacing w:before="102"/>
              <w:ind w:right="160"/>
              <w:jc w:val="right"/>
              <w:rPr>
                <w:sz w:val="18"/>
              </w:rPr>
            </w:pPr>
            <w:r>
              <w:rPr>
                <w:spacing w:val="-2"/>
                <w:sz w:val="18"/>
              </w:rPr>
              <w:t>1,972</w:t>
            </w:r>
          </w:p>
        </w:tc>
        <w:tc>
          <w:tcPr>
            <w:tcW w:w="1216" w:type="dxa"/>
            <w:tcBorders>
              <w:top w:val="single" w:sz="2" w:space="0" w:color="000000"/>
              <w:left w:val="nil"/>
              <w:bottom w:val="single" w:sz="2" w:space="0" w:color="000000"/>
              <w:right w:val="nil"/>
            </w:tcBorders>
          </w:tcPr>
          <w:p>
            <w:pPr>
              <w:pStyle w:val="TableParagraph"/>
              <w:spacing w:line="206" w:lineRule="exact"/>
              <w:ind w:right="106"/>
              <w:jc w:val="right"/>
              <w:rPr>
                <w:sz w:val="18"/>
              </w:rPr>
            </w:pPr>
            <w:r>
              <w:rPr>
                <w:sz w:val="18"/>
              </w:rPr>
              <w:t>-</w:t>
            </w:r>
          </w:p>
          <w:p>
            <w:pPr>
              <w:pStyle w:val="TableParagraph"/>
              <w:spacing w:before="102"/>
              <w:ind w:right="104"/>
              <w:jc w:val="right"/>
              <w:rPr>
                <w:sz w:val="18"/>
              </w:rPr>
            </w:pPr>
            <w:r>
              <w:rPr>
                <w:spacing w:val="-2"/>
                <w:sz w:val="18"/>
              </w:rPr>
              <w:t>2,406</w:t>
            </w:r>
          </w:p>
        </w:tc>
        <w:tc>
          <w:tcPr>
            <w:tcW w:w="1234" w:type="dxa"/>
            <w:tcBorders>
              <w:top w:val="single" w:sz="2" w:space="0" w:color="000000"/>
              <w:left w:val="nil"/>
              <w:bottom w:val="single" w:sz="2" w:space="0" w:color="000000"/>
              <w:right w:val="single" w:sz="12" w:space="0" w:color="000000"/>
            </w:tcBorders>
          </w:tcPr>
          <w:p>
            <w:pPr>
              <w:pStyle w:val="TableParagraph"/>
              <w:spacing w:line="206" w:lineRule="exact"/>
              <w:ind w:right="91"/>
              <w:jc w:val="right"/>
              <w:rPr>
                <w:sz w:val="18"/>
              </w:rPr>
            </w:pPr>
            <w:r>
              <w:rPr>
                <w:sz w:val="18"/>
              </w:rPr>
              <w:t>-</w:t>
            </w:r>
          </w:p>
          <w:p>
            <w:pPr>
              <w:pStyle w:val="TableParagraph"/>
              <w:spacing w:before="102"/>
              <w:ind w:right="89"/>
              <w:jc w:val="right"/>
              <w:rPr>
                <w:sz w:val="18"/>
              </w:rPr>
            </w:pPr>
            <w:r>
              <w:rPr>
                <w:spacing w:val="-2"/>
                <w:sz w:val="18"/>
              </w:rPr>
              <w:t>2,822</w:t>
            </w:r>
          </w:p>
        </w:tc>
      </w:tr>
      <w:tr>
        <w:trPr>
          <w:trHeight w:val="465" w:hRule="exact"/>
        </w:trPr>
        <w:tc>
          <w:tcPr>
            <w:tcW w:w="1553" w:type="dxa"/>
            <w:vMerge/>
            <w:tcBorders>
              <w:top w:val="nil"/>
              <w:left w:val="single" w:sz="12" w:space="0" w:color="000000"/>
              <w:bottom w:val="single" w:sz="12" w:space="0" w:color="000000"/>
              <w:right w:val="single" w:sz="2" w:space="0" w:color="000000"/>
            </w:tcBorders>
          </w:tcPr>
          <w:p>
            <w:pPr>
              <w:rPr>
                <w:sz w:val="2"/>
                <w:szCs w:val="2"/>
              </w:rPr>
            </w:pPr>
          </w:p>
        </w:tc>
        <w:tc>
          <w:tcPr>
            <w:tcW w:w="3540" w:type="dxa"/>
            <w:vMerge/>
            <w:tcBorders>
              <w:top w:val="nil"/>
              <w:left w:val="single" w:sz="2" w:space="0" w:color="000000"/>
              <w:bottom w:val="single" w:sz="12" w:space="0" w:color="000000"/>
              <w:right w:val="single" w:sz="2" w:space="0" w:color="000000"/>
            </w:tcBorders>
          </w:tcPr>
          <w:p>
            <w:pPr>
              <w:rPr>
                <w:sz w:val="2"/>
                <w:szCs w:val="2"/>
              </w:rPr>
            </w:pPr>
          </w:p>
        </w:tc>
        <w:tc>
          <w:tcPr>
            <w:tcW w:w="1537" w:type="dxa"/>
            <w:tcBorders>
              <w:top w:val="single" w:sz="2" w:space="0" w:color="000000"/>
              <w:left w:val="single" w:sz="2" w:space="0" w:color="000000"/>
              <w:bottom w:val="single" w:sz="2" w:space="0" w:color="000000"/>
              <w:right w:val="nil"/>
            </w:tcBorders>
          </w:tcPr>
          <w:p>
            <w:pPr>
              <w:pStyle w:val="TableParagraph"/>
              <w:spacing w:line="230" w:lineRule="exact"/>
              <w:ind w:left="103" w:right="569"/>
              <w:rPr>
                <w:b/>
                <w:sz w:val="20"/>
              </w:rPr>
            </w:pPr>
            <w:r>
              <w:rPr>
                <w:b/>
                <w:sz w:val="20"/>
              </w:rPr>
              <w:t>Surplus</w:t>
            </w:r>
            <w:r>
              <w:rPr>
                <w:b/>
                <w:spacing w:val="-14"/>
                <w:sz w:val="20"/>
              </w:rPr>
              <w:t> </w:t>
            </w:r>
            <w:r>
              <w:rPr>
                <w:b/>
                <w:sz w:val="20"/>
              </w:rPr>
              <w:t>/ </w:t>
            </w:r>
            <w:r>
              <w:rPr>
                <w:b/>
                <w:spacing w:val="-2"/>
                <w:sz w:val="20"/>
              </w:rPr>
              <w:t>(deficit)</w:t>
            </w:r>
          </w:p>
        </w:tc>
        <w:tc>
          <w:tcPr>
            <w:tcW w:w="1348" w:type="dxa"/>
            <w:tcBorders>
              <w:top w:val="single" w:sz="2" w:space="0" w:color="000000"/>
              <w:left w:val="nil"/>
              <w:bottom w:val="single" w:sz="2" w:space="0" w:color="000000"/>
              <w:right w:val="nil"/>
            </w:tcBorders>
          </w:tcPr>
          <w:p>
            <w:pPr>
              <w:pStyle w:val="TableParagraph"/>
              <w:spacing w:line="206" w:lineRule="exact"/>
              <w:ind w:right="160"/>
              <w:jc w:val="right"/>
              <w:rPr>
                <w:b/>
                <w:sz w:val="18"/>
              </w:rPr>
            </w:pPr>
            <w:r>
              <w:rPr>
                <w:b/>
                <w:spacing w:val="-2"/>
                <w:sz w:val="18"/>
              </w:rPr>
              <w:t>(1,971)</w:t>
            </w:r>
          </w:p>
        </w:tc>
        <w:tc>
          <w:tcPr>
            <w:tcW w:w="1216" w:type="dxa"/>
            <w:tcBorders>
              <w:top w:val="single" w:sz="2" w:space="0" w:color="000000"/>
              <w:left w:val="nil"/>
              <w:bottom w:val="single" w:sz="2" w:space="0" w:color="000000"/>
              <w:right w:val="nil"/>
            </w:tcBorders>
          </w:tcPr>
          <w:p>
            <w:pPr>
              <w:pStyle w:val="TableParagraph"/>
              <w:spacing w:line="206" w:lineRule="exact"/>
              <w:ind w:right="104"/>
              <w:jc w:val="right"/>
              <w:rPr>
                <w:b/>
                <w:sz w:val="18"/>
              </w:rPr>
            </w:pPr>
            <w:r>
              <w:rPr>
                <w:b/>
                <w:spacing w:val="-2"/>
                <w:sz w:val="18"/>
              </w:rPr>
              <w:t>(2,406)</w:t>
            </w:r>
          </w:p>
        </w:tc>
        <w:tc>
          <w:tcPr>
            <w:tcW w:w="1234" w:type="dxa"/>
            <w:tcBorders>
              <w:top w:val="single" w:sz="2" w:space="0" w:color="000000"/>
              <w:left w:val="nil"/>
              <w:bottom w:val="single" w:sz="2" w:space="0" w:color="000000"/>
              <w:right w:val="single" w:sz="12" w:space="0" w:color="000000"/>
            </w:tcBorders>
          </w:tcPr>
          <w:p>
            <w:pPr>
              <w:pStyle w:val="TableParagraph"/>
              <w:spacing w:line="206" w:lineRule="exact"/>
              <w:ind w:right="89"/>
              <w:jc w:val="right"/>
              <w:rPr>
                <w:b/>
                <w:sz w:val="18"/>
              </w:rPr>
            </w:pPr>
            <w:r>
              <w:rPr>
                <w:b/>
                <w:spacing w:val="-2"/>
                <w:sz w:val="18"/>
              </w:rPr>
              <w:t>(2,822)</w:t>
            </w:r>
          </w:p>
        </w:tc>
      </w:tr>
      <w:tr>
        <w:trPr>
          <w:trHeight w:val="2937" w:hRule="exact"/>
        </w:trPr>
        <w:tc>
          <w:tcPr>
            <w:tcW w:w="1553" w:type="dxa"/>
            <w:vMerge/>
            <w:tcBorders>
              <w:top w:val="nil"/>
              <w:left w:val="single" w:sz="12" w:space="0" w:color="000000"/>
              <w:bottom w:val="single" w:sz="12" w:space="0" w:color="000000"/>
              <w:right w:val="single" w:sz="2" w:space="0" w:color="000000"/>
            </w:tcBorders>
          </w:tcPr>
          <w:p>
            <w:pPr>
              <w:rPr>
                <w:sz w:val="2"/>
                <w:szCs w:val="2"/>
              </w:rPr>
            </w:pPr>
          </w:p>
        </w:tc>
        <w:tc>
          <w:tcPr>
            <w:tcW w:w="3540" w:type="dxa"/>
            <w:vMerge/>
            <w:tcBorders>
              <w:top w:val="nil"/>
              <w:left w:val="single" w:sz="2" w:space="0" w:color="000000"/>
              <w:bottom w:val="single" w:sz="12" w:space="0" w:color="000000"/>
              <w:right w:val="single" w:sz="2" w:space="0" w:color="000000"/>
            </w:tcBorders>
          </w:tcPr>
          <w:p>
            <w:pPr>
              <w:rPr>
                <w:sz w:val="2"/>
                <w:szCs w:val="2"/>
              </w:rPr>
            </w:pPr>
          </w:p>
        </w:tc>
        <w:tc>
          <w:tcPr>
            <w:tcW w:w="5335" w:type="dxa"/>
            <w:gridSpan w:val="4"/>
            <w:tcBorders>
              <w:top w:val="single" w:sz="2" w:space="0" w:color="000000"/>
              <w:left w:val="single" w:sz="2" w:space="0" w:color="000000"/>
              <w:bottom w:val="single" w:sz="12" w:space="0" w:color="000000"/>
              <w:right w:val="single" w:sz="12" w:space="0" w:color="000000"/>
            </w:tcBorders>
          </w:tcPr>
          <w:p>
            <w:pPr>
              <w:pStyle w:val="TableParagraph"/>
              <w:rPr>
                <w:rFonts w:ascii="Times New Roman"/>
                <w:sz w:val="18"/>
              </w:rPr>
            </w:pPr>
          </w:p>
        </w:tc>
      </w:tr>
    </w:tbl>
    <w:p>
      <w:pPr>
        <w:rPr>
          <w:sz w:val="2"/>
          <w:szCs w:val="2"/>
        </w:rPr>
      </w:pPr>
      <w:r>
        <w:rPr/>
        <w:pict>
          <v:shape style="position:absolute;margin-left:502.919037pt;margin-top:163.440018pt;width:61pt;height:54pt;mso-position-horizontal-relative:page;mso-position-vertical-relative:page;z-index:-38038528" id="docshape15" coordorigin="10058,3269" coordsize="1220,1080" path="m11278,3890l10058,3890,10058,4349,11278,4349,11278,3890xm11278,3269l10058,3269,10058,3274,10058,3576,10058,3581,10058,3886,11278,3886,11278,3581,11278,3576,11278,3274,11278,3269xe" filled="true" fillcolor="#bcd6ed" stroked="false">
            <v:path arrowok="t"/>
            <v:fill type="solid"/>
            <w10:wrap type="none"/>
          </v:shape>
        </w:pict>
      </w:r>
      <w:r>
        <w:rPr/>
        <w:pict>
          <v:shape style="position:absolute;margin-left:502.919037pt;margin-top:423.960022pt;width:61pt;height:254.3pt;mso-position-horizontal-relative:page;mso-position-vertical-relative:page;z-index:-38038016" id="docshape16" coordorigin="10058,8479" coordsize="1220,5086" path="m11278,10646l10058,10646,10058,13565,11278,13565,11278,10646xm11278,10181l10058,10181,10058,10642,11278,10642,11278,10181xm11278,9564l10058,9564,10058,9869,10058,9874,10058,10176,11278,10176,11278,9874,11278,9869,11278,9564xm11278,9101l10058,9101,10058,9559,11278,9559,11278,9101xm11278,8479l10058,8479,10058,8484,10058,8786,10058,8791,10058,9094,11278,9094,11278,8791,11278,8786,11278,8484,11278,8479xe" filled="true" fillcolor="#bcd6ed" stroked="false">
            <v:path arrowok="t"/>
            <v:fill type="solid"/>
            <w10:wrap type="none"/>
          </v:shape>
        </w:pict>
      </w:r>
    </w:p>
    <w:p>
      <w:pPr>
        <w:spacing w:after="0"/>
        <w:rPr>
          <w:sz w:val="2"/>
          <w:szCs w:val="2"/>
        </w:rPr>
        <w:sectPr>
          <w:pgSz w:w="11910" w:h="16840"/>
          <w:pgMar w:header="0" w:footer="375" w:top="540" w:bottom="560" w:left="460" w:right="160"/>
        </w:sectPr>
      </w:pPr>
    </w:p>
    <w:p>
      <w:pPr>
        <w:pStyle w:val="Heading5"/>
        <w:spacing w:before="70"/>
        <w:ind w:left="391"/>
      </w:pPr>
      <w:r>
        <w:rPr/>
        <w:t>Major</w:t>
      </w:r>
      <w:r>
        <w:rPr>
          <w:spacing w:val="-5"/>
        </w:rPr>
        <w:t> </w:t>
      </w:r>
      <w:r>
        <w:rPr/>
        <w:t>Initiatives</w:t>
      </w:r>
      <w:r>
        <w:rPr>
          <w:spacing w:val="-5"/>
        </w:rPr>
        <w:t> </w:t>
      </w:r>
      <w:r>
        <w:rPr/>
        <w:t>(Priority</w:t>
      </w:r>
      <w:r>
        <w:rPr>
          <w:spacing w:val="-6"/>
        </w:rPr>
        <w:t> </w:t>
      </w:r>
      <w:r>
        <w:rPr>
          <w:spacing w:val="-2"/>
        </w:rPr>
        <w:t>Actions)</w:t>
      </w:r>
    </w:p>
    <w:p>
      <w:pPr>
        <w:pStyle w:val="BodyText"/>
        <w:spacing w:before="9"/>
        <w:rPr>
          <w:b/>
          <w:sz w:val="21"/>
        </w:rPr>
      </w:pPr>
    </w:p>
    <w:p>
      <w:pPr>
        <w:pStyle w:val="ListParagraph"/>
        <w:numPr>
          <w:ilvl w:val="0"/>
          <w:numId w:val="24"/>
        </w:numPr>
        <w:tabs>
          <w:tab w:pos="959" w:val="left" w:leader="none"/>
          <w:tab w:pos="960" w:val="left" w:leader="none"/>
        </w:tabs>
        <w:spacing w:line="240" w:lineRule="auto" w:before="1" w:after="0"/>
        <w:ind w:left="959" w:right="0" w:hanging="569"/>
        <w:jc w:val="left"/>
        <w:rPr>
          <w:sz w:val="22"/>
        </w:rPr>
      </w:pPr>
      <w:r>
        <w:rPr>
          <w:sz w:val="22"/>
        </w:rPr>
        <w:t>Implement</w:t>
      </w:r>
      <w:r>
        <w:rPr>
          <w:spacing w:val="-7"/>
          <w:sz w:val="22"/>
        </w:rPr>
        <w:t> </w:t>
      </w:r>
      <w:r>
        <w:rPr>
          <w:sz w:val="22"/>
        </w:rPr>
        <w:t>the</w:t>
      </w:r>
      <w:r>
        <w:rPr>
          <w:spacing w:val="-6"/>
          <w:sz w:val="22"/>
        </w:rPr>
        <w:t> </w:t>
      </w:r>
      <w:r>
        <w:rPr>
          <w:sz w:val="22"/>
        </w:rPr>
        <w:t>Maroondah</w:t>
      </w:r>
      <w:r>
        <w:rPr>
          <w:spacing w:val="-4"/>
          <w:sz w:val="22"/>
        </w:rPr>
        <w:t> </w:t>
      </w:r>
      <w:r>
        <w:rPr>
          <w:sz w:val="22"/>
        </w:rPr>
        <w:t>2050</w:t>
      </w:r>
      <w:r>
        <w:rPr>
          <w:spacing w:val="-4"/>
          <w:sz w:val="22"/>
        </w:rPr>
        <w:t> </w:t>
      </w:r>
      <w:r>
        <w:rPr>
          <w:sz w:val="22"/>
        </w:rPr>
        <w:t>Community</w:t>
      </w:r>
      <w:r>
        <w:rPr>
          <w:spacing w:val="-4"/>
          <w:sz w:val="22"/>
        </w:rPr>
        <w:t> </w:t>
      </w:r>
      <w:r>
        <w:rPr>
          <w:spacing w:val="-2"/>
          <w:sz w:val="22"/>
        </w:rPr>
        <w:t>Vision.</w:t>
      </w:r>
    </w:p>
    <w:p>
      <w:pPr>
        <w:pStyle w:val="ListParagraph"/>
        <w:numPr>
          <w:ilvl w:val="0"/>
          <w:numId w:val="24"/>
        </w:numPr>
        <w:tabs>
          <w:tab w:pos="959" w:val="left" w:leader="none"/>
          <w:tab w:pos="960" w:val="left" w:leader="none"/>
        </w:tabs>
        <w:spacing w:line="252" w:lineRule="exact" w:before="1" w:after="0"/>
        <w:ind w:left="959" w:right="0" w:hanging="569"/>
        <w:jc w:val="left"/>
        <w:rPr>
          <w:sz w:val="22"/>
        </w:rPr>
      </w:pPr>
      <w:r>
        <w:rPr>
          <w:sz w:val="22"/>
        </w:rPr>
        <w:t>Develop</w:t>
      </w:r>
      <w:r>
        <w:rPr>
          <w:spacing w:val="-6"/>
          <w:sz w:val="22"/>
        </w:rPr>
        <w:t> </w:t>
      </w:r>
      <w:r>
        <w:rPr>
          <w:sz w:val="22"/>
        </w:rPr>
        <w:t>and</w:t>
      </w:r>
      <w:r>
        <w:rPr>
          <w:spacing w:val="-4"/>
          <w:sz w:val="22"/>
        </w:rPr>
        <w:t> </w:t>
      </w:r>
      <w:r>
        <w:rPr>
          <w:sz w:val="22"/>
        </w:rPr>
        <w:t>implement</w:t>
      </w:r>
      <w:r>
        <w:rPr>
          <w:spacing w:val="-6"/>
          <w:sz w:val="22"/>
        </w:rPr>
        <w:t> </w:t>
      </w:r>
      <w:r>
        <w:rPr>
          <w:sz w:val="22"/>
        </w:rPr>
        <w:t>Council’s</w:t>
      </w:r>
      <w:r>
        <w:rPr>
          <w:spacing w:val="-5"/>
          <w:sz w:val="22"/>
        </w:rPr>
        <w:t> </w:t>
      </w:r>
      <w:r>
        <w:rPr>
          <w:i/>
          <w:sz w:val="22"/>
        </w:rPr>
        <w:t>Customer</w:t>
      </w:r>
      <w:r>
        <w:rPr>
          <w:i/>
          <w:spacing w:val="-7"/>
          <w:sz w:val="22"/>
        </w:rPr>
        <w:t> </w:t>
      </w:r>
      <w:r>
        <w:rPr>
          <w:i/>
          <w:sz w:val="22"/>
        </w:rPr>
        <w:t>Service</w:t>
      </w:r>
      <w:r>
        <w:rPr>
          <w:i/>
          <w:spacing w:val="-6"/>
          <w:sz w:val="22"/>
        </w:rPr>
        <w:t> </w:t>
      </w:r>
      <w:r>
        <w:rPr>
          <w:i/>
          <w:sz w:val="22"/>
        </w:rPr>
        <w:t>Strategy</w:t>
      </w:r>
      <w:r>
        <w:rPr>
          <w:i/>
          <w:spacing w:val="-4"/>
          <w:sz w:val="22"/>
        </w:rPr>
        <w:t> </w:t>
      </w:r>
      <w:r>
        <w:rPr>
          <w:i/>
          <w:sz w:val="22"/>
        </w:rPr>
        <w:t>2025-</w:t>
      </w:r>
      <w:r>
        <w:rPr>
          <w:i/>
          <w:spacing w:val="-2"/>
          <w:sz w:val="22"/>
        </w:rPr>
        <w:t>2029</w:t>
      </w:r>
      <w:r>
        <w:rPr>
          <w:spacing w:val="-2"/>
          <w:sz w:val="22"/>
        </w:rPr>
        <w:t>.</w:t>
      </w:r>
    </w:p>
    <w:p>
      <w:pPr>
        <w:pStyle w:val="ListParagraph"/>
        <w:numPr>
          <w:ilvl w:val="0"/>
          <w:numId w:val="24"/>
        </w:numPr>
        <w:tabs>
          <w:tab w:pos="959" w:val="left" w:leader="none"/>
          <w:tab w:pos="960" w:val="left" w:leader="none"/>
        </w:tabs>
        <w:spacing w:line="252" w:lineRule="exact" w:before="0" w:after="0"/>
        <w:ind w:left="959" w:right="0" w:hanging="569"/>
        <w:jc w:val="left"/>
        <w:rPr>
          <w:sz w:val="22"/>
        </w:rPr>
      </w:pPr>
      <w:r>
        <w:rPr>
          <w:sz w:val="22"/>
        </w:rPr>
        <w:t>Develop</w:t>
      </w:r>
      <w:r>
        <w:rPr>
          <w:spacing w:val="-9"/>
          <w:sz w:val="22"/>
        </w:rPr>
        <w:t> </w:t>
      </w:r>
      <w:r>
        <w:rPr>
          <w:sz w:val="22"/>
        </w:rPr>
        <w:t>and</w:t>
      </w:r>
      <w:r>
        <w:rPr>
          <w:spacing w:val="-5"/>
          <w:sz w:val="22"/>
        </w:rPr>
        <w:t> </w:t>
      </w:r>
      <w:r>
        <w:rPr>
          <w:sz w:val="22"/>
        </w:rPr>
        <w:t>implement</w:t>
      </w:r>
      <w:r>
        <w:rPr>
          <w:spacing w:val="-7"/>
          <w:sz w:val="22"/>
        </w:rPr>
        <w:t> </w:t>
      </w:r>
      <w:r>
        <w:rPr>
          <w:sz w:val="22"/>
        </w:rPr>
        <w:t>Council’s</w:t>
      </w:r>
      <w:r>
        <w:rPr>
          <w:spacing w:val="-5"/>
          <w:sz w:val="22"/>
        </w:rPr>
        <w:t> </w:t>
      </w:r>
      <w:r>
        <w:rPr>
          <w:sz w:val="22"/>
        </w:rPr>
        <w:t>Communications</w:t>
      </w:r>
      <w:r>
        <w:rPr>
          <w:spacing w:val="-7"/>
          <w:sz w:val="22"/>
        </w:rPr>
        <w:t> </w:t>
      </w:r>
      <w:r>
        <w:rPr>
          <w:spacing w:val="-2"/>
          <w:sz w:val="22"/>
        </w:rPr>
        <w:t>Strategy.</w:t>
      </w:r>
    </w:p>
    <w:p>
      <w:pPr>
        <w:pStyle w:val="ListParagraph"/>
        <w:numPr>
          <w:ilvl w:val="0"/>
          <w:numId w:val="24"/>
        </w:numPr>
        <w:tabs>
          <w:tab w:pos="959" w:val="left" w:leader="none"/>
          <w:tab w:pos="960" w:val="left" w:leader="none"/>
        </w:tabs>
        <w:spacing w:line="252" w:lineRule="exact" w:before="2" w:after="0"/>
        <w:ind w:left="959" w:right="0" w:hanging="569"/>
        <w:jc w:val="left"/>
        <w:rPr>
          <w:sz w:val="22"/>
        </w:rPr>
      </w:pPr>
      <w:r>
        <w:rPr>
          <w:sz w:val="22"/>
        </w:rPr>
        <w:t>Implement</w:t>
      </w:r>
      <w:r>
        <w:rPr>
          <w:spacing w:val="-7"/>
          <w:sz w:val="22"/>
        </w:rPr>
        <w:t> </w:t>
      </w:r>
      <w:r>
        <w:rPr>
          <w:sz w:val="22"/>
        </w:rPr>
        <w:t>Council’s</w:t>
      </w:r>
      <w:r>
        <w:rPr>
          <w:spacing w:val="-3"/>
          <w:sz w:val="22"/>
        </w:rPr>
        <w:t> </w:t>
      </w:r>
      <w:r>
        <w:rPr>
          <w:i/>
          <w:sz w:val="22"/>
        </w:rPr>
        <w:t>Property</w:t>
      </w:r>
      <w:r>
        <w:rPr>
          <w:i/>
          <w:spacing w:val="-6"/>
          <w:sz w:val="22"/>
        </w:rPr>
        <w:t> </w:t>
      </w:r>
      <w:r>
        <w:rPr>
          <w:i/>
          <w:sz w:val="22"/>
        </w:rPr>
        <w:t>Management</w:t>
      </w:r>
      <w:r>
        <w:rPr>
          <w:i/>
          <w:spacing w:val="-4"/>
          <w:sz w:val="22"/>
        </w:rPr>
        <w:t> </w:t>
      </w:r>
      <w:r>
        <w:rPr>
          <w:i/>
          <w:sz w:val="22"/>
        </w:rPr>
        <w:t>Strategy</w:t>
      </w:r>
      <w:r>
        <w:rPr>
          <w:i/>
          <w:spacing w:val="-4"/>
          <w:sz w:val="22"/>
        </w:rPr>
        <w:t> </w:t>
      </w:r>
      <w:r>
        <w:rPr>
          <w:i/>
          <w:sz w:val="22"/>
        </w:rPr>
        <w:t>2025</w:t>
      </w:r>
      <w:r>
        <w:rPr>
          <w:i/>
          <w:spacing w:val="-6"/>
          <w:sz w:val="22"/>
        </w:rPr>
        <w:t> </w:t>
      </w:r>
      <w:r>
        <w:rPr>
          <w:i/>
          <w:sz w:val="22"/>
        </w:rPr>
        <w:t>-</w:t>
      </w:r>
      <w:r>
        <w:rPr>
          <w:i/>
          <w:spacing w:val="-3"/>
          <w:sz w:val="22"/>
        </w:rPr>
        <w:t> </w:t>
      </w:r>
      <w:r>
        <w:rPr>
          <w:i/>
          <w:spacing w:val="-2"/>
          <w:sz w:val="22"/>
        </w:rPr>
        <w:t>2029</w:t>
      </w:r>
      <w:r>
        <w:rPr>
          <w:spacing w:val="-2"/>
          <w:sz w:val="22"/>
        </w:rPr>
        <w:t>.</w:t>
      </w:r>
    </w:p>
    <w:p>
      <w:pPr>
        <w:pStyle w:val="ListParagraph"/>
        <w:numPr>
          <w:ilvl w:val="0"/>
          <w:numId w:val="24"/>
        </w:numPr>
        <w:tabs>
          <w:tab w:pos="959" w:val="left" w:leader="none"/>
          <w:tab w:pos="960" w:val="left" w:leader="none"/>
        </w:tabs>
        <w:spacing w:line="240" w:lineRule="auto" w:before="0" w:after="0"/>
        <w:ind w:left="958" w:right="405" w:hanging="567"/>
        <w:jc w:val="left"/>
        <w:rPr>
          <w:sz w:val="22"/>
        </w:rPr>
      </w:pPr>
      <w:r>
        <w:rPr>
          <w:sz w:val="22"/>
        </w:rPr>
        <w:t>Review a range of Council’s core technological systems and undertake the phased implementation of enterprise-wide replacement systems.</w:t>
      </w:r>
    </w:p>
    <w:p>
      <w:pPr>
        <w:pStyle w:val="ListParagraph"/>
        <w:numPr>
          <w:ilvl w:val="0"/>
          <w:numId w:val="24"/>
        </w:numPr>
        <w:tabs>
          <w:tab w:pos="959" w:val="left" w:leader="none"/>
          <w:tab w:pos="960" w:val="left" w:leader="none"/>
        </w:tabs>
        <w:spacing w:line="252" w:lineRule="exact" w:before="0" w:after="0"/>
        <w:ind w:left="959" w:right="0" w:hanging="569"/>
        <w:jc w:val="left"/>
        <w:rPr>
          <w:sz w:val="22"/>
        </w:rPr>
      </w:pPr>
      <w:r>
        <w:rPr>
          <w:sz w:val="22"/>
        </w:rPr>
        <w:t>Evolve</w:t>
      </w:r>
      <w:r>
        <w:rPr>
          <w:spacing w:val="-6"/>
          <w:sz w:val="22"/>
        </w:rPr>
        <w:t> </w:t>
      </w:r>
      <w:r>
        <w:rPr>
          <w:sz w:val="22"/>
        </w:rPr>
        <w:t>organisational</w:t>
      </w:r>
      <w:r>
        <w:rPr>
          <w:spacing w:val="-5"/>
          <w:sz w:val="22"/>
        </w:rPr>
        <w:t> </w:t>
      </w:r>
      <w:r>
        <w:rPr>
          <w:sz w:val="22"/>
        </w:rPr>
        <w:t>capacity</w:t>
      </w:r>
      <w:r>
        <w:rPr>
          <w:spacing w:val="-5"/>
          <w:sz w:val="22"/>
        </w:rPr>
        <w:t> </w:t>
      </w:r>
      <w:r>
        <w:rPr>
          <w:sz w:val="22"/>
        </w:rPr>
        <w:t>and</w:t>
      </w:r>
      <w:r>
        <w:rPr>
          <w:spacing w:val="-6"/>
          <w:sz w:val="22"/>
        </w:rPr>
        <w:t> </w:t>
      </w:r>
      <w:r>
        <w:rPr>
          <w:sz w:val="22"/>
        </w:rPr>
        <w:t>implement</w:t>
      </w:r>
      <w:r>
        <w:rPr>
          <w:spacing w:val="-3"/>
          <w:sz w:val="22"/>
        </w:rPr>
        <w:t> </w:t>
      </w:r>
      <w:r>
        <w:rPr>
          <w:sz w:val="22"/>
        </w:rPr>
        <w:t>systems</w:t>
      </w:r>
      <w:r>
        <w:rPr>
          <w:spacing w:val="-6"/>
          <w:sz w:val="22"/>
        </w:rPr>
        <w:t> </w:t>
      </w:r>
      <w:r>
        <w:rPr>
          <w:sz w:val="22"/>
        </w:rPr>
        <w:t>to</w:t>
      </w:r>
      <w:r>
        <w:rPr>
          <w:spacing w:val="-7"/>
          <w:sz w:val="22"/>
        </w:rPr>
        <w:t> </w:t>
      </w:r>
      <w:r>
        <w:rPr>
          <w:sz w:val="22"/>
        </w:rPr>
        <w:t>minimise</w:t>
      </w:r>
      <w:r>
        <w:rPr>
          <w:spacing w:val="-3"/>
          <w:sz w:val="22"/>
        </w:rPr>
        <w:t> </w:t>
      </w:r>
      <w:r>
        <w:rPr>
          <w:sz w:val="22"/>
        </w:rPr>
        <w:t>risks</w:t>
      </w:r>
      <w:r>
        <w:rPr>
          <w:spacing w:val="-5"/>
          <w:sz w:val="22"/>
        </w:rPr>
        <w:t> </w:t>
      </w:r>
      <w:r>
        <w:rPr>
          <w:sz w:val="22"/>
        </w:rPr>
        <w:t>to</w:t>
      </w:r>
      <w:r>
        <w:rPr>
          <w:spacing w:val="-4"/>
          <w:sz w:val="22"/>
        </w:rPr>
        <w:t> </w:t>
      </w:r>
      <w:r>
        <w:rPr>
          <w:sz w:val="22"/>
        </w:rPr>
        <w:t>cybersecurity</w:t>
      </w:r>
      <w:r>
        <w:rPr>
          <w:spacing w:val="-4"/>
          <w:sz w:val="22"/>
        </w:rPr>
        <w:t> </w:t>
      </w:r>
      <w:r>
        <w:rPr>
          <w:spacing w:val="-2"/>
          <w:sz w:val="22"/>
        </w:rPr>
        <w:t>impacts.</w:t>
      </w:r>
    </w:p>
    <w:p>
      <w:pPr>
        <w:pStyle w:val="ListParagraph"/>
        <w:numPr>
          <w:ilvl w:val="0"/>
          <w:numId w:val="24"/>
        </w:numPr>
        <w:tabs>
          <w:tab w:pos="959" w:val="left" w:leader="none"/>
          <w:tab w:pos="960" w:val="left" w:leader="none"/>
        </w:tabs>
        <w:spacing w:line="240" w:lineRule="auto" w:before="0" w:after="0"/>
        <w:ind w:left="958" w:right="401" w:hanging="567"/>
        <w:jc w:val="left"/>
        <w:rPr>
          <w:sz w:val="22"/>
        </w:rPr>
      </w:pPr>
      <w:r>
        <w:rPr>
          <w:sz w:val="22"/>
        </w:rPr>
        <w:t>Partner</w:t>
      </w:r>
      <w:r>
        <w:rPr>
          <w:spacing w:val="40"/>
          <w:sz w:val="22"/>
        </w:rPr>
        <w:t> </w:t>
      </w:r>
      <w:r>
        <w:rPr>
          <w:sz w:val="22"/>
        </w:rPr>
        <w:t>and</w:t>
      </w:r>
      <w:r>
        <w:rPr>
          <w:spacing w:val="40"/>
          <w:sz w:val="22"/>
        </w:rPr>
        <w:t> </w:t>
      </w:r>
      <w:r>
        <w:rPr>
          <w:sz w:val="22"/>
        </w:rPr>
        <w:t>advocate</w:t>
      </w:r>
      <w:r>
        <w:rPr>
          <w:spacing w:val="40"/>
          <w:sz w:val="22"/>
        </w:rPr>
        <w:t> </w:t>
      </w:r>
      <w:r>
        <w:rPr>
          <w:sz w:val="22"/>
        </w:rPr>
        <w:t>regionally</w:t>
      </w:r>
      <w:r>
        <w:rPr>
          <w:spacing w:val="40"/>
          <w:sz w:val="22"/>
        </w:rPr>
        <w:t> </w:t>
      </w:r>
      <w:r>
        <w:rPr>
          <w:sz w:val="22"/>
        </w:rPr>
        <w:t>with</w:t>
      </w:r>
      <w:r>
        <w:rPr>
          <w:spacing w:val="40"/>
          <w:sz w:val="22"/>
        </w:rPr>
        <w:t> </w:t>
      </w:r>
      <w:r>
        <w:rPr>
          <w:sz w:val="22"/>
        </w:rPr>
        <w:t>the</w:t>
      </w:r>
      <w:r>
        <w:rPr>
          <w:spacing w:val="40"/>
          <w:sz w:val="22"/>
        </w:rPr>
        <w:t> </w:t>
      </w:r>
      <w:r>
        <w:rPr>
          <w:sz w:val="22"/>
        </w:rPr>
        <w:t>Eastern</w:t>
      </w:r>
      <w:r>
        <w:rPr>
          <w:spacing w:val="40"/>
          <w:sz w:val="22"/>
        </w:rPr>
        <w:t> </w:t>
      </w:r>
      <w:r>
        <w:rPr>
          <w:sz w:val="22"/>
        </w:rPr>
        <w:t>Region</w:t>
      </w:r>
      <w:r>
        <w:rPr>
          <w:spacing w:val="40"/>
          <w:sz w:val="22"/>
        </w:rPr>
        <w:t> </w:t>
      </w:r>
      <w:r>
        <w:rPr>
          <w:sz w:val="22"/>
        </w:rPr>
        <w:t>Group</w:t>
      </w:r>
      <w:r>
        <w:rPr>
          <w:spacing w:val="40"/>
          <w:sz w:val="22"/>
        </w:rPr>
        <w:t> </w:t>
      </w:r>
      <w:r>
        <w:rPr>
          <w:sz w:val="22"/>
        </w:rPr>
        <w:t>of</w:t>
      </w:r>
      <w:r>
        <w:rPr>
          <w:spacing w:val="40"/>
          <w:sz w:val="22"/>
        </w:rPr>
        <w:t> </w:t>
      </w:r>
      <w:r>
        <w:rPr>
          <w:sz w:val="22"/>
        </w:rPr>
        <w:t>Councils</w:t>
      </w:r>
      <w:r>
        <w:rPr>
          <w:spacing w:val="40"/>
          <w:sz w:val="22"/>
        </w:rPr>
        <w:t> </w:t>
      </w:r>
      <w:r>
        <w:rPr>
          <w:sz w:val="22"/>
        </w:rPr>
        <w:t>to</w:t>
      </w:r>
      <w:r>
        <w:rPr>
          <w:spacing w:val="40"/>
          <w:sz w:val="22"/>
        </w:rPr>
        <w:t> </w:t>
      </w:r>
      <w:r>
        <w:rPr>
          <w:sz w:val="22"/>
        </w:rPr>
        <w:t>address</w:t>
      </w:r>
      <w:r>
        <w:rPr>
          <w:spacing w:val="40"/>
          <w:sz w:val="22"/>
        </w:rPr>
        <w:t> </w:t>
      </w:r>
      <w:r>
        <w:rPr>
          <w:sz w:val="22"/>
        </w:rPr>
        <w:t>common challenges and progress shared priorities.</w:t>
      </w:r>
    </w:p>
    <w:p>
      <w:pPr>
        <w:pStyle w:val="ListParagraph"/>
        <w:numPr>
          <w:ilvl w:val="0"/>
          <w:numId w:val="24"/>
        </w:numPr>
        <w:tabs>
          <w:tab w:pos="959" w:val="left" w:leader="none"/>
          <w:tab w:pos="960" w:val="left" w:leader="none"/>
        </w:tabs>
        <w:spacing w:line="240" w:lineRule="auto" w:before="0" w:after="0"/>
        <w:ind w:left="958" w:right="404" w:hanging="567"/>
        <w:jc w:val="left"/>
        <w:rPr>
          <w:sz w:val="22"/>
        </w:rPr>
      </w:pPr>
      <w:r>
        <w:rPr>
          <w:sz w:val="22"/>
        </w:rPr>
        <w:t>Advocate on key local issues on behalf of the Maroondah community in the lead up to Victorian and</w:t>
      </w:r>
      <w:r>
        <w:rPr>
          <w:spacing w:val="40"/>
          <w:sz w:val="22"/>
        </w:rPr>
        <w:t> </w:t>
      </w:r>
      <w:r>
        <w:rPr>
          <w:sz w:val="22"/>
        </w:rPr>
        <w:t>Australian Government elections.</w:t>
      </w:r>
    </w:p>
    <w:p>
      <w:pPr>
        <w:pStyle w:val="BodyText"/>
        <w:spacing w:before="10"/>
        <w:rPr>
          <w:sz w:val="21"/>
        </w:rPr>
      </w:pPr>
    </w:p>
    <w:p>
      <w:pPr>
        <w:spacing w:before="0"/>
        <w:ind w:left="391" w:right="0" w:firstLine="0"/>
        <w:jc w:val="left"/>
        <w:rPr>
          <w:b/>
          <w:sz w:val="22"/>
        </w:rPr>
      </w:pPr>
      <w:r>
        <w:rPr>
          <w:b/>
          <w:sz w:val="22"/>
        </w:rPr>
        <w:t>Service</w:t>
      </w:r>
      <w:r>
        <w:rPr>
          <w:b/>
          <w:spacing w:val="-4"/>
          <w:sz w:val="22"/>
        </w:rPr>
        <w:t> </w:t>
      </w:r>
      <w:r>
        <w:rPr>
          <w:b/>
          <w:sz w:val="22"/>
        </w:rPr>
        <w:t>Performance</w:t>
      </w:r>
      <w:r>
        <w:rPr>
          <w:b/>
          <w:spacing w:val="-7"/>
          <w:sz w:val="22"/>
        </w:rPr>
        <w:t> </w:t>
      </w:r>
      <w:r>
        <w:rPr>
          <w:b/>
          <w:sz w:val="22"/>
        </w:rPr>
        <w:t>Outcome</w:t>
      </w:r>
      <w:r>
        <w:rPr>
          <w:b/>
          <w:spacing w:val="-7"/>
          <w:sz w:val="22"/>
        </w:rPr>
        <w:t> </w:t>
      </w:r>
      <w:r>
        <w:rPr>
          <w:b/>
          <w:spacing w:val="-2"/>
          <w:sz w:val="22"/>
        </w:rPr>
        <w:t>Indicators</w:t>
      </w:r>
    </w:p>
    <w:p>
      <w:pPr>
        <w:pStyle w:val="BodyText"/>
        <w:spacing w:before="1"/>
        <w:rPr>
          <w:b/>
        </w:rPr>
      </w:pPr>
    </w:p>
    <w:tbl>
      <w:tblPr>
        <w:tblW w:w="0" w:type="auto"/>
        <w:jc w:val="left"/>
        <w:tblInd w:w="4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548"/>
        <w:gridCol w:w="1665"/>
        <w:gridCol w:w="4014"/>
        <w:gridCol w:w="3230"/>
      </w:tblGrid>
      <w:tr>
        <w:trPr>
          <w:trHeight w:val="501" w:hRule="atLeast"/>
        </w:trPr>
        <w:tc>
          <w:tcPr>
            <w:tcW w:w="1548" w:type="dxa"/>
            <w:tcBorders>
              <w:left w:val="single" w:sz="12" w:space="0" w:color="000000"/>
              <w:bottom w:val="single" w:sz="4" w:space="0" w:color="000000"/>
              <w:right w:val="nil"/>
            </w:tcBorders>
            <w:shd w:val="clear" w:color="auto" w:fill="629CD1"/>
          </w:tcPr>
          <w:p>
            <w:pPr>
              <w:pStyle w:val="TableParagraph"/>
              <w:spacing w:before="132"/>
              <w:ind w:right="284"/>
              <w:jc w:val="right"/>
              <w:rPr>
                <w:b/>
                <w:sz w:val="20"/>
              </w:rPr>
            </w:pPr>
            <w:r>
              <w:rPr>
                <w:b/>
                <w:spacing w:val="-2"/>
                <w:sz w:val="20"/>
              </w:rPr>
              <w:t>Service</w:t>
            </w:r>
          </w:p>
        </w:tc>
        <w:tc>
          <w:tcPr>
            <w:tcW w:w="1665" w:type="dxa"/>
            <w:tcBorders>
              <w:left w:val="nil"/>
              <w:bottom w:val="single" w:sz="4" w:space="0" w:color="000000"/>
              <w:right w:val="nil"/>
            </w:tcBorders>
            <w:shd w:val="clear" w:color="auto" w:fill="629CD1"/>
          </w:tcPr>
          <w:p>
            <w:pPr>
              <w:pStyle w:val="TableParagraph"/>
              <w:spacing w:before="132"/>
              <w:ind w:left="595"/>
              <w:rPr>
                <w:b/>
                <w:sz w:val="20"/>
              </w:rPr>
            </w:pPr>
            <w:r>
              <w:rPr>
                <w:b/>
                <w:spacing w:val="-2"/>
                <w:sz w:val="20"/>
              </w:rPr>
              <w:t>Indicator</w:t>
            </w:r>
          </w:p>
        </w:tc>
        <w:tc>
          <w:tcPr>
            <w:tcW w:w="4014" w:type="dxa"/>
            <w:tcBorders>
              <w:left w:val="nil"/>
              <w:bottom w:val="single" w:sz="4" w:space="0" w:color="000000"/>
              <w:right w:val="nil"/>
            </w:tcBorders>
            <w:shd w:val="clear" w:color="auto" w:fill="629CD1"/>
          </w:tcPr>
          <w:p>
            <w:pPr>
              <w:pStyle w:val="TableParagraph"/>
              <w:spacing w:before="132"/>
              <w:ind w:left="1080"/>
              <w:rPr>
                <w:b/>
                <w:sz w:val="20"/>
              </w:rPr>
            </w:pPr>
            <w:r>
              <w:rPr>
                <w:b/>
                <w:w w:val="95"/>
                <w:sz w:val="20"/>
              </w:rPr>
              <w:t>Performance</w:t>
            </w:r>
            <w:r>
              <w:rPr>
                <w:b/>
                <w:spacing w:val="47"/>
                <w:sz w:val="20"/>
              </w:rPr>
              <w:t> </w:t>
            </w:r>
            <w:r>
              <w:rPr>
                <w:b/>
                <w:spacing w:val="-2"/>
                <w:sz w:val="20"/>
              </w:rPr>
              <w:t>Measure</w:t>
            </w:r>
          </w:p>
        </w:tc>
        <w:tc>
          <w:tcPr>
            <w:tcW w:w="3230" w:type="dxa"/>
            <w:tcBorders>
              <w:left w:val="nil"/>
              <w:bottom w:val="single" w:sz="4" w:space="0" w:color="000000"/>
              <w:right w:val="single" w:sz="12" w:space="0" w:color="000000"/>
            </w:tcBorders>
            <w:shd w:val="clear" w:color="auto" w:fill="629CD1"/>
          </w:tcPr>
          <w:p>
            <w:pPr>
              <w:pStyle w:val="TableParagraph"/>
              <w:spacing w:before="132"/>
              <w:ind w:left="1037"/>
              <w:rPr>
                <w:b/>
                <w:sz w:val="20"/>
              </w:rPr>
            </w:pPr>
            <w:r>
              <w:rPr>
                <w:b/>
                <w:spacing w:val="-2"/>
                <w:sz w:val="20"/>
              </w:rPr>
              <w:t>Computation</w:t>
            </w:r>
          </w:p>
        </w:tc>
      </w:tr>
      <w:tr>
        <w:trPr>
          <w:trHeight w:val="1151" w:hRule="atLeast"/>
        </w:trPr>
        <w:tc>
          <w:tcPr>
            <w:tcW w:w="1548" w:type="dxa"/>
            <w:tcBorders>
              <w:top w:val="single" w:sz="4" w:space="0" w:color="000000"/>
              <w:left w:val="single" w:sz="12" w:space="0" w:color="000000"/>
              <w:bottom w:val="single" w:sz="12" w:space="0" w:color="000000"/>
              <w:right w:val="nil"/>
            </w:tcBorders>
          </w:tcPr>
          <w:p>
            <w:pPr>
              <w:pStyle w:val="TableParagraph"/>
              <w:spacing w:line="229" w:lineRule="exact"/>
              <w:ind w:right="320"/>
              <w:jc w:val="right"/>
              <w:rPr>
                <w:sz w:val="20"/>
              </w:rPr>
            </w:pPr>
            <w:r>
              <w:rPr>
                <w:spacing w:val="-2"/>
                <w:sz w:val="20"/>
              </w:rPr>
              <w:t>Governance</w:t>
            </w:r>
          </w:p>
        </w:tc>
        <w:tc>
          <w:tcPr>
            <w:tcW w:w="1665" w:type="dxa"/>
            <w:tcBorders>
              <w:top w:val="single" w:sz="4" w:space="0" w:color="000000"/>
              <w:left w:val="nil"/>
              <w:bottom w:val="single" w:sz="12" w:space="0" w:color="000000"/>
              <w:right w:val="nil"/>
            </w:tcBorders>
          </w:tcPr>
          <w:p>
            <w:pPr>
              <w:pStyle w:val="TableParagraph"/>
              <w:ind w:left="331" w:right="221"/>
              <w:rPr>
                <w:sz w:val="20"/>
              </w:rPr>
            </w:pPr>
            <w:r>
              <w:rPr>
                <w:spacing w:val="-2"/>
                <w:sz w:val="20"/>
              </w:rPr>
              <w:t>Consultation </w:t>
            </w:r>
            <w:r>
              <w:rPr>
                <w:spacing w:val="-4"/>
                <w:sz w:val="20"/>
              </w:rPr>
              <w:t>and </w:t>
            </w:r>
            <w:r>
              <w:rPr>
                <w:spacing w:val="-2"/>
                <w:sz w:val="20"/>
              </w:rPr>
              <w:t>engagement</w:t>
            </w:r>
          </w:p>
        </w:tc>
        <w:tc>
          <w:tcPr>
            <w:tcW w:w="4014" w:type="dxa"/>
            <w:tcBorders>
              <w:top w:val="single" w:sz="4" w:space="0" w:color="000000"/>
              <w:left w:val="nil"/>
              <w:bottom w:val="single" w:sz="12" w:space="0" w:color="000000"/>
              <w:right w:val="nil"/>
            </w:tcBorders>
          </w:tcPr>
          <w:p>
            <w:pPr>
              <w:pStyle w:val="TableParagraph"/>
              <w:ind w:left="255" w:right="48"/>
              <w:rPr>
                <w:sz w:val="20"/>
              </w:rPr>
            </w:pPr>
            <w:r>
              <w:rPr>
                <w:sz w:val="20"/>
              </w:rPr>
              <w:t>Satisfaction</w:t>
            </w:r>
            <w:r>
              <w:rPr>
                <w:spacing w:val="-14"/>
                <w:sz w:val="20"/>
              </w:rPr>
              <w:t> </w:t>
            </w:r>
            <w:r>
              <w:rPr>
                <w:sz w:val="20"/>
              </w:rPr>
              <w:t>with</w:t>
            </w:r>
            <w:r>
              <w:rPr>
                <w:spacing w:val="-14"/>
                <w:sz w:val="20"/>
              </w:rPr>
              <w:t> </w:t>
            </w:r>
            <w:r>
              <w:rPr>
                <w:sz w:val="20"/>
              </w:rPr>
              <w:t>community</w:t>
            </w:r>
            <w:r>
              <w:rPr>
                <w:spacing w:val="-13"/>
                <w:sz w:val="20"/>
              </w:rPr>
              <w:t> </w:t>
            </w:r>
            <w:r>
              <w:rPr>
                <w:sz w:val="20"/>
              </w:rPr>
              <w:t>consultation and engagement.</w:t>
            </w:r>
            <w:r>
              <w:rPr>
                <w:spacing w:val="40"/>
                <w:sz w:val="20"/>
              </w:rPr>
              <w:t> </w:t>
            </w:r>
            <w:r>
              <w:rPr>
                <w:sz w:val="20"/>
              </w:rPr>
              <w:t>(Community satisfaction rating out of 100 with the</w:t>
            </w:r>
          </w:p>
          <w:p>
            <w:pPr>
              <w:pStyle w:val="TableParagraph"/>
              <w:spacing w:line="228" w:lineRule="exact"/>
              <w:ind w:left="255"/>
              <w:rPr>
                <w:sz w:val="20"/>
              </w:rPr>
            </w:pPr>
            <w:r>
              <w:rPr>
                <w:sz w:val="20"/>
              </w:rPr>
              <w:t>consultation</w:t>
            </w:r>
            <w:r>
              <w:rPr>
                <w:spacing w:val="-12"/>
                <w:sz w:val="20"/>
              </w:rPr>
              <w:t> </w:t>
            </w:r>
            <w:r>
              <w:rPr>
                <w:sz w:val="20"/>
              </w:rPr>
              <w:t>and</w:t>
            </w:r>
            <w:r>
              <w:rPr>
                <w:spacing w:val="-11"/>
                <w:sz w:val="20"/>
              </w:rPr>
              <w:t> </w:t>
            </w:r>
            <w:r>
              <w:rPr>
                <w:sz w:val="20"/>
              </w:rPr>
              <w:t>engagement</w:t>
            </w:r>
            <w:r>
              <w:rPr>
                <w:spacing w:val="-11"/>
                <w:sz w:val="20"/>
              </w:rPr>
              <w:t> </w:t>
            </w:r>
            <w:r>
              <w:rPr>
                <w:sz w:val="20"/>
              </w:rPr>
              <w:t>efforts</w:t>
            </w:r>
            <w:r>
              <w:rPr>
                <w:spacing w:val="-9"/>
                <w:sz w:val="20"/>
              </w:rPr>
              <w:t> </w:t>
            </w:r>
            <w:r>
              <w:rPr>
                <w:sz w:val="20"/>
              </w:rPr>
              <w:t>of </w:t>
            </w:r>
            <w:r>
              <w:rPr>
                <w:spacing w:val="-2"/>
                <w:sz w:val="20"/>
              </w:rPr>
              <w:t>Council)</w:t>
            </w:r>
          </w:p>
        </w:tc>
        <w:tc>
          <w:tcPr>
            <w:tcW w:w="3230" w:type="dxa"/>
            <w:tcBorders>
              <w:top w:val="single" w:sz="4" w:space="0" w:color="000000"/>
              <w:left w:val="nil"/>
              <w:bottom w:val="single" w:sz="12" w:space="0" w:color="000000"/>
              <w:right w:val="single" w:sz="12" w:space="0" w:color="000000"/>
            </w:tcBorders>
          </w:tcPr>
          <w:p>
            <w:pPr>
              <w:pStyle w:val="TableParagraph"/>
              <w:ind w:left="186" w:right="75"/>
              <w:jc w:val="both"/>
              <w:rPr>
                <w:sz w:val="20"/>
              </w:rPr>
            </w:pPr>
            <w:r>
              <w:rPr>
                <w:sz w:val="20"/>
              </w:rPr>
              <w:t>Community</w:t>
            </w:r>
            <w:r>
              <w:rPr>
                <w:spacing w:val="-14"/>
                <w:sz w:val="20"/>
              </w:rPr>
              <w:t> </w:t>
            </w:r>
            <w:r>
              <w:rPr>
                <w:sz w:val="20"/>
              </w:rPr>
              <w:t>satisfaction</w:t>
            </w:r>
            <w:r>
              <w:rPr>
                <w:spacing w:val="-14"/>
                <w:sz w:val="20"/>
              </w:rPr>
              <w:t> </w:t>
            </w:r>
            <w:r>
              <w:rPr>
                <w:sz w:val="20"/>
              </w:rPr>
              <w:t>rating</w:t>
            </w:r>
            <w:r>
              <w:rPr>
                <w:spacing w:val="-14"/>
                <w:sz w:val="20"/>
              </w:rPr>
              <w:t> </w:t>
            </w:r>
            <w:r>
              <w:rPr>
                <w:sz w:val="20"/>
              </w:rPr>
              <w:t>out of 100 with how Council </w:t>
            </w:r>
            <w:r>
              <w:rPr>
                <w:sz w:val="20"/>
              </w:rPr>
              <w:t>has performed on community consultation and engagement</w:t>
            </w:r>
          </w:p>
        </w:tc>
      </w:tr>
    </w:tbl>
    <w:p>
      <w:pPr>
        <w:spacing w:after="0"/>
        <w:jc w:val="both"/>
        <w:rPr>
          <w:sz w:val="20"/>
        </w:rPr>
        <w:sectPr>
          <w:pgSz w:w="11910" w:h="16840"/>
          <w:pgMar w:header="0" w:footer="375" w:top="480" w:bottom="560" w:left="460" w:right="160"/>
        </w:sectPr>
      </w:pPr>
    </w:p>
    <w:p>
      <w:pPr>
        <w:pStyle w:val="Heading2"/>
        <w:numPr>
          <w:ilvl w:val="2"/>
          <w:numId w:val="12"/>
        </w:numPr>
        <w:tabs>
          <w:tab w:pos="861" w:val="left" w:leader="none"/>
        </w:tabs>
        <w:spacing w:line="240" w:lineRule="auto" w:before="71" w:after="0"/>
        <w:ind w:left="860" w:right="0" w:hanging="470"/>
        <w:jc w:val="left"/>
      </w:pPr>
      <w:bookmarkStart w:name="_TOC_250009" w:id="23"/>
      <w:r>
        <w:rPr>
          <w:color w:val="4966AC"/>
        </w:rPr>
        <w:t>Reconciliation</w:t>
      </w:r>
      <w:r>
        <w:rPr>
          <w:color w:val="4966AC"/>
          <w:spacing w:val="-8"/>
        </w:rPr>
        <w:t> </w:t>
      </w:r>
      <w:r>
        <w:rPr>
          <w:color w:val="4966AC"/>
        </w:rPr>
        <w:t>with</w:t>
      </w:r>
      <w:r>
        <w:rPr>
          <w:color w:val="4966AC"/>
          <w:spacing w:val="-7"/>
        </w:rPr>
        <w:t> </w:t>
      </w:r>
      <w:r>
        <w:rPr>
          <w:color w:val="4966AC"/>
        </w:rPr>
        <w:t>budgeted</w:t>
      </w:r>
      <w:r>
        <w:rPr>
          <w:color w:val="4966AC"/>
          <w:spacing w:val="-5"/>
        </w:rPr>
        <w:t> </w:t>
      </w:r>
      <w:r>
        <w:rPr>
          <w:color w:val="4966AC"/>
        </w:rPr>
        <w:t>operating</w:t>
      </w:r>
      <w:r>
        <w:rPr>
          <w:color w:val="4966AC"/>
          <w:spacing w:val="-8"/>
        </w:rPr>
        <w:t> </w:t>
      </w:r>
      <w:bookmarkEnd w:id="23"/>
      <w:r>
        <w:rPr>
          <w:color w:val="4966AC"/>
          <w:spacing w:val="-2"/>
        </w:rPr>
        <w:t>result</w:t>
      </w:r>
    </w:p>
    <w:p>
      <w:pPr>
        <w:pStyle w:val="BodyText"/>
        <w:spacing w:before="251"/>
        <w:ind w:left="391" w:right="445"/>
      </w:pPr>
      <w:r>
        <w:rPr/>
        <w:t>(Note:</w:t>
      </w:r>
      <w:r>
        <w:rPr>
          <w:spacing w:val="80"/>
        </w:rPr>
        <w:t> </w:t>
      </w:r>
      <w:r>
        <w:rPr/>
        <w:t>This</w:t>
      </w:r>
      <w:r>
        <w:rPr>
          <w:spacing w:val="80"/>
        </w:rPr>
        <w:t> </w:t>
      </w:r>
      <w:r>
        <w:rPr/>
        <w:t>reconciles</w:t>
      </w:r>
      <w:r>
        <w:rPr>
          <w:spacing w:val="80"/>
        </w:rPr>
        <w:t> </w:t>
      </w:r>
      <w:r>
        <w:rPr/>
        <w:t>to</w:t>
      </w:r>
      <w:r>
        <w:rPr>
          <w:spacing w:val="80"/>
        </w:rPr>
        <w:t> </w:t>
      </w:r>
      <w:r>
        <w:rPr/>
        <w:t>the</w:t>
      </w:r>
      <w:r>
        <w:rPr>
          <w:spacing w:val="80"/>
        </w:rPr>
        <w:t> </w:t>
      </w:r>
      <w:r>
        <w:rPr/>
        <w:t>budgeted</w:t>
      </w:r>
      <w:r>
        <w:rPr>
          <w:spacing w:val="80"/>
        </w:rPr>
        <w:t> </w:t>
      </w:r>
      <w:r>
        <w:rPr/>
        <w:t>Comprehensive</w:t>
      </w:r>
      <w:r>
        <w:rPr>
          <w:spacing w:val="80"/>
        </w:rPr>
        <w:t> </w:t>
      </w:r>
      <w:r>
        <w:rPr/>
        <w:t>Result</w:t>
      </w:r>
      <w:r>
        <w:rPr>
          <w:spacing w:val="80"/>
        </w:rPr>
        <w:t> </w:t>
      </w:r>
      <w:r>
        <w:rPr/>
        <w:t>from</w:t>
      </w:r>
      <w:r>
        <w:rPr>
          <w:spacing w:val="80"/>
        </w:rPr>
        <w:t> </w:t>
      </w:r>
      <w:r>
        <w:rPr/>
        <w:t>Operations</w:t>
      </w:r>
      <w:r>
        <w:rPr>
          <w:spacing w:val="80"/>
        </w:rPr>
        <w:t> </w:t>
      </w:r>
      <w:r>
        <w:rPr/>
        <w:t>as</w:t>
      </w:r>
      <w:r>
        <w:rPr>
          <w:spacing w:val="80"/>
        </w:rPr>
        <w:t> </w:t>
      </w:r>
      <w:r>
        <w:rPr/>
        <w:t>shown</w:t>
      </w:r>
      <w:r>
        <w:rPr>
          <w:spacing w:val="80"/>
        </w:rPr>
        <w:t> </w:t>
      </w:r>
      <w:r>
        <w:rPr/>
        <w:t>on</w:t>
      </w:r>
      <w:r>
        <w:rPr>
          <w:spacing w:val="80"/>
        </w:rPr>
        <w:t> </w:t>
      </w:r>
      <w:r>
        <w:rPr/>
        <w:t>the Comprehensive Income Statement included in Section 3</w:t>
      </w:r>
    </w:p>
    <w:p>
      <w:pPr>
        <w:pStyle w:val="BodyText"/>
        <w:spacing w:before="10" w:after="1"/>
        <w:rPr>
          <w:sz w:val="21"/>
        </w:rPr>
      </w:pPr>
    </w:p>
    <w:tbl>
      <w:tblPr>
        <w:tblW w:w="0" w:type="auto"/>
        <w:jc w:val="left"/>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19"/>
        <w:gridCol w:w="2130"/>
        <w:gridCol w:w="1664"/>
        <w:gridCol w:w="1258"/>
      </w:tblGrid>
      <w:tr>
        <w:trPr>
          <w:trHeight w:val="907" w:hRule="atLeast"/>
        </w:trPr>
        <w:tc>
          <w:tcPr>
            <w:tcW w:w="7349" w:type="dxa"/>
            <w:gridSpan w:val="2"/>
            <w:tcBorders>
              <w:top w:val="single" w:sz="18" w:space="0" w:color="000000"/>
              <w:left w:val="single" w:sz="12" w:space="0" w:color="000000"/>
            </w:tcBorders>
            <w:shd w:val="clear" w:color="auto" w:fill="5B9AD4"/>
          </w:tcPr>
          <w:p>
            <w:pPr>
              <w:pStyle w:val="TableParagraph"/>
              <w:spacing w:before="132"/>
              <w:ind w:left="6299" w:right="221"/>
              <w:jc w:val="center"/>
              <w:rPr>
                <w:b/>
                <w:sz w:val="20"/>
              </w:rPr>
            </w:pPr>
            <w:r>
              <w:rPr>
                <w:b/>
                <w:color w:val="FFFFFF"/>
                <w:spacing w:val="-2"/>
                <w:sz w:val="20"/>
              </w:rPr>
              <w:t>Surplus/ (Deficit)</w:t>
            </w:r>
          </w:p>
          <w:p>
            <w:pPr>
              <w:pStyle w:val="TableParagraph"/>
              <w:spacing w:line="211" w:lineRule="exact" w:before="84"/>
              <w:ind w:left="6298" w:right="221"/>
              <w:jc w:val="center"/>
              <w:rPr>
                <w:b/>
                <w:sz w:val="20"/>
              </w:rPr>
            </w:pPr>
            <w:r>
              <w:rPr>
                <w:b/>
                <w:color w:val="FFFFFF"/>
                <w:spacing w:val="-2"/>
                <w:sz w:val="20"/>
              </w:rPr>
              <w:t>$’000</w:t>
            </w:r>
          </w:p>
        </w:tc>
        <w:tc>
          <w:tcPr>
            <w:tcW w:w="1664" w:type="dxa"/>
            <w:tcBorders>
              <w:top w:val="single" w:sz="18" w:space="0" w:color="000000"/>
            </w:tcBorders>
            <w:shd w:val="clear" w:color="auto" w:fill="5B9AD4"/>
          </w:tcPr>
          <w:p>
            <w:pPr>
              <w:pStyle w:val="TableParagraph"/>
              <w:spacing w:before="5"/>
              <w:rPr>
                <w:sz w:val="31"/>
              </w:rPr>
            </w:pPr>
          </w:p>
          <w:p>
            <w:pPr>
              <w:pStyle w:val="TableParagraph"/>
              <w:spacing w:before="1"/>
              <w:ind w:left="173" w:right="316"/>
              <w:jc w:val="center"/>
              <w:rPr>
                <w:b/>
                <w:sz w:val="20"/>
              </w:rPr>
            </w:pPr>
            <w:r>
              <w:rPr>
                <w:b/>
                <w:color w:val="FFFFFF"/>
                <w:spacing w:val="-2"/>
                <w:sz w:val="20"/>
              </w:rPr>
              <w:t>Expenditure</w:t>
            </w:r>
          </w:p>
          <w:p>
            <w:pPr>
              <w:pStyle w:val="TableParagraph"/>
              <w:spacing w:line="211" w:lineRule="exact" w:before="84"/>
              <w:ind w:left="172" w:right="316"/>
              <w:jc w:val="center"/>
              <w:rPr>
                <w:b/>
                <w:sz w:val="20"/>
              </w:rPr>
            </w:pPr>
            <w:r>
              <w:rPr>
                <w:b/>
                <w:color w:val="FFFFFF"/>
                <w:spacing w:val="-2"/>
                <w:sz w:val="20"/>
              </w:rPr>
              <w:t>$’000</w:t>
            </w:r>
          </w:p>
        </w:tc>
        <w:tc>
          <w:tcPr>
            <w:tcW w:w="1258" w:type="dxa"/>
            <w:tcBorders>
              <w:top w:val="single" w:sz="18" w:space="0" w:color="000000"/>
              <w:right w:val="single" w:sz="12" w:space="0" w:color="000000"/>
            </w:tcBorders>
            <w:shd w:val="clear" w:color="auto" w:fill="5B9AD4"/>
          </w:tcPr>
          <w:p>
            <w:pPr>
              <w:pStyle w:val="TableParagraph"/>
              <w:spacing w:before="5"/>
              <w:rPr>
                <w:sz w:val="31"/>
              </w:rPr>
            </w:pPr>
          </w:p>
          <w:p>
            <w:pPr>
              <w:pStyle w:val="TableParagraph"/>
              <w:spacing w:before="1"/>
              <w:ind w:left="136" w:right="246"/>
              <w:jc w:val="center"/>
              <w:rPr>
                <w:b/>
                <w:sz w:val="20"/>
              </w:rPr>
            </w:pPr>
            <w:r>
              <w:rPr>
                <w:b/>
                <w:color w:val="FFFFFF"/>
                <w:spacing w:val="-2"/>
                <w:sz w:val="20"/>
              </w:rPr>
              <w:t>Revenue</w:t>
            </w:r>
          </w:p>
          <w:p>
            <w:pPr>
              <w:pStyle w:val="TableParagraph"/>
              <w:spacing w:line="211" w:lineRule="exact" w:before="84"/>
              <w:ind w:left="136" w:right="245"/>
              <w:jc w:val="center"/>
              <w:rPr>
                <w:b/>
                <w:sz w:val="20"/>
              </w:rPr>
            </w:pPr>
            <w:r>
              <w:rPr>
                <w:b/>
                <w:color w:val="FFFFFF"/>
                <w:spacing w:val="-2"/>
                <w:sz w:val="20"/>
              </w:rPr>
              <w:t>$’000</w:t>
            </w:r>
          </w:p>
        </w:tc>
      </w:tr>
      <w:tr>
        <w:trPr>
          <w:trHeight w:val="316" w:hRule="atLeast"/>
        </w:trPr>
        <w:tc>
          <w:tcPr>
            <w:tcW w:w="5219" w:type="dxa"/>
            <w:tcBorders>
              <w:left w:val="single" w:sz="12" w:space="0" w:color="000000"/>
            </w:tcBorders>
          </w:tcPr>
          <w:p>
            <w:pPr>
              <w:pStyle w:val="TableParagraph"/>
              <w:spacing w:before="55"/>
              <w:ind w:left="13"/>
              <w:rPr>
                <w:sz w:val="20"/>
              </w:rPr>
            </w:pPr>
            <w:r>
              <w:rPr>
                <w:sz w:val="20"/>
              </w:rPr>
              <w:t>A</w:t>
            </w:r>
            <w:r>
              <w:rPr>
                <w:spacing w:val="-7"/>
                <w:sz w:val="20"/>
              </w:rPr>
              <w:t> </w:t>
            </w:r>
            <w:r>
              <w:rPr>
                <w:sz w:val="20"/>
              </w:rPr>
              <w:t>healthy,</w:t>
            </w:r>
            <w:r>
              <w:rPr>
                <w:spacing w:val="-7"/>
                <w:sz w:val="20"/>
              </w:rPr>
              <w:t> </w:t>
            </w:r>
            <w:r>
              <w:rPr>
                <w:sz w:val="20"/>
              </w:rPr>
              <w:t>inclusive</w:t>
            </w:r>
            <w:r>
              <w:rPr>
                <w:spacing w:val="-3"/>
                <w:sz w:val="20"/>
              </w:rPr>
              <w:t> </w:t>
            </w:r>
            <w:r>
              <w:rPr>
                <w:sz w:val="20"/>
              </w:rPr>
              <w:t>and</w:t>
            </w:r>
            <w:r>
              <w:rPr>
                <w:spacing w:val="-7"/>
                <w:sz w:val="20"/>
              </w:rPr>
              <w:t> </w:t>
            </w:r>
            <w:r>
              <w:rPr>
                <w:sz w:val="20"/>
              </w:rPr>
              <w:t>connected</w:t>
            </w:r>
            <w:r>
              <w:rPr>
                <w:spacing w:val="-6"/>
                <w:sz w:val="20"/>
              </w:rPr>
              <w:t> </w:t>
            </w:r>
            <w:r>
              <w:rPr>
                <w:spacing w:val="-2"/>
                <w:sz w:val="20"/>
              </w:rPr>
              <w:t>community</w:t>
            </w:r>
          </w:p>
        </w:tc>
        <w:tc>
          <w:tcPr>
            <w:tcW w:w="2130" w:type="dxa"/>
          </w:tcPr>
          <w:p>
            <w:pPr>
              <w:pStyle w:val="TableParagraph"/>
              <w:spacing w:before="55"/>
              <w:ind w:right="153"/>
              <w:jc w:val="right"/>
              <w:rPr>
                <w:sz w:val="20"/>
              </w:rPr>
            </w:pPr>
            <w:r>
              <w:rPr>
                <w:spacing w:val="-2"/>
                <w:sz w:val="20"/>
              </w:rPr>
              <w:t>(11,728)</w:t>
            </w:r>
          </w:p>
        </w:tc>
        <w:tc>
          <w:tcPr>
            <w:tcW w:w="1664" w:type="dxa"/>
          </w:tcPr>
          <w:p>
            <w:pPr>
              <w:pStyle w:val="TableParagraph"/>
              <w:spacing w:before="55"/>
              <w:ind w:right="126"/>
              <w:jc w:val="right"/>
              <w:rPr>
                <w:sz w:val="20"/>
              </w:rPr>
            </w:pPr>
            <w:r>
              <w:rPr>
                <w:spacing w:val="-2"/>
                <w:sz w:val="20"/>
              </w:rPr>
              <w:t>42,241</w:t>
            </w:r>
          </w:p>
        </w:tc>
        <w:tc>
          <w:tcPr>
            <w:tcW w:w="1258" w:type="dxa"/>
            <w:tcBorders>
              <w:right w:val="single" w:sz="12" w:space="0" w:color="000000"/>
            </w:tcBorders>
          </w:tcPr>
          <w:p>
            <w:pPr>
              <w:pStyle w:val="TableParagraph"/>
              <w:spacing w:before="55"/>
              <w:ind w:right="86"/>
              <w:jc w:val="right"/>
              <w:rPr>
                <w:sz w:val="20"/>
              </w:rPr>
            </w:pPr>
            <w:r>
              <w:rPr>
                <w:spacing w:val="-2"/>
                <w:sz w:val="20"/>
              </w:rPr>
              <w:t>30,513</w:t>
            </w:r>
          </w:p>
        </w:tc>
      </w:tr>
      <w:tr>
        <w:trPr>
          <w:trHeight w:val="284" w:hRule="atLeast"/>
        </w:trPr>
        <w:tc>
          <w:tcPr>
            <w:tcW w:w="5219" w:type="dxa"/>
            <w:tcBorders>
              <w:left w:val="single" w:sz="12" w:space="0" w:color="000000"/>
            </w:tcBorders>
          </w:tcPr>
          <w:p>
            <w:pPr>
              <w:pStyle w:val="TableParagraph"/>
              <w:spacing w:before="24"/>
              <w:ind w:left="13"/>
              <w:rPr>
                <w:sz w:val="20"/>
              </w:rPr>
            </w:pPr>
            <w:r>
              <w:rPr>
                <w:sz w:val="20"/>
              </w:rPr>
              <w:t>A</w:t>
            </w:r>
            <w:r>
              <w:rPr>
                <w:spacing w:val="-7"/>
                <w:sz w:val="20"/>
              </w:rPr>
              <w:t> </w:t>
            </w:r>
            <w:r>
              <w:rPr>
                <w:sz w:val="20"/>
              </w:rPr>
              <w:t>safe</w:t>
            </w:r>
            <w:r>
              <w:rPr>
                <w:spacing w:val="-2"/>
                <w:sz w:val="20"/>
              </w:rPr>
              <w:t> </w:t>
            </w:r>
            <w:r>
              <w:rPr>
                <w:sz w:val="20"/>
              </w:rPr>
              <w:t>and</w:t>
            </w:r>
            <w:r>
              <w:rPr>
                <w:spacing w:val="-4"/>
                <w:sz w:val="20"/>
              </w:rPr>
              <w:t> </w:t>
            </w:r>
            <w:r>
              <w:rPr>
                <w:sz w:val="20"/>
              </w:rPr>
              <w:t>liveable</w:t>
            </w:r>
            <w:r>
              <w:rPr>
                <w:spacing w:val="-6"/>
                <w:sz w:val="20"/>
              </w:rPr>
              <w:t> </w:t>
            </w:r>
            <w:r>
              <w:rPr>
                <w:spacing w:val="-2"/>
                <w:sz w:val="20"/>
              </w:rPr>
              <w:t>community</w:t>
            </w:r>
          </w:p>
        </w:tc>
        <w:tc>
          <w:tcPr>
            <w:tcW w:w="2130" w:type="dxa"/>
          </w:tcPr>
          <w:p>
            <w:pPr>
              <w:pStyle w:val="TableParagraph"/>
              <w:spacing w:before="24"/>
              <w:ind w:right="152"/>
              <w:jc w:val="right"/>
              <w:rPr>
                <w:sz w:val="20"/>
              </w:rPr>
            </w:pPr>
            <w:r>
              <w:rPr>
                <w:spacing w:val="-2"/>
                <w:sz w:val="20"/>
              </w:rPr>
              <w:t>(15,224)</w:t>
            </w:r>
          </w:p>
        </w:tc>
        <w:tc>
          <w:tcPr>
            <w:tcW w:w="1664" w:type="dxa"/>
          </w:tcPr>
          <w:p>
            <w:pPr>
              <w:pStyle w:val="TableParagraph"/>
              <w:spacing w:before="24"/>
              <w:ind w:right="125"/>
              <w:jc w:val="right"/>
              <w:rPr>
                <w:sz w:val="20"/>
              </w:rPr>
            </w:pPr>
            <w:r>
              <w:rPr>
                <w:spacing w:val="-2"/>
                <w:sz w:val="20"/>
              </w:rPr>
              <w:t>24,459</w:t>
            </w:r>
          </w:p>
        </w:tc>
        <w:tc>
          <w:tcPr>
            <w:tcW w:w="1258" w:type="dxa"/>
            <w:tcBorders>
              <w:right w:val="single" w:sz="12" w:space="0" w:color="000000"/>
            </w:tcBorders>
          </w:tcPr>
          <w:p>
            <w:pPr>
              <w:pStyle w:val="TableParagraph"/>
              <w:spacing w:before="24"/>
              <w:ind w:right="83"/>
              <w:jc w:val="right"/>
              <w:rPr>
                <w:sz w:val="20"/>
              </w:rPr>
            </w:pPr>
            <w:r>
              <w:rPr>
                <w:spacing w:val="-2"/>
                <w:sz w:val="20"/>
              </w:rPr>
              <w:t>9,235</w:t>
            </w:r>
          </w:p>
        </w:tc>
      </w:tr>
      <w:tr>
        <w:trPr>
          <w:trHeight w:val="284" w:hRule="atLeast"/>
        </w:trPr>
        <w:tc>
          <w:tcPr>
            <w:tcW w:w="5219" w:type="dxa"/>
            <w:tcBorders>
              <w:left w:val="single" w:sz="12" w:space="0" w:color="000000"/>
            </w:tcBorders>
          </w:tcPr>
          <w:p>
            <w:pPr>
              <w:pStyle w:val="TableParagraph"/>
              <w:spacing w:before="23"/>
              <w:ind w:left="13"/>
              <w:rPr>
                <w:sz w:val="20"/>
              </w:rPr>
            </w:pPr>
            <w:r>
              <w:rPr>
                <w:sz w:val="20"/>
              </w:rPr>
              <w:t>A</w:t>
            </w:r>
            <w:r>
              <w:rPr>
                <w:spacing w:val="-6"/>
                <w:sz w:val="20"/>
              </w:rPr>
              <w:t> </w:t>
            </w:r>
            <w:r>
              <w:rPr>
                <w:sz w:val="20"/>
              </w:rPr>
              <w:t>green</w:t>
            </w:r>
            <w:r>
              <w:rPr>
                <w:spacing w:val="-5"/>
                <w:sz w:val="20"/>
              </w:rPr>
              <w:t> </w:t>
            </w:r>
            <w:r>
              <w:rPr>
                <w:sz w:val="20"/>
              </w:rPr>
              <w:t>and</w:t>
            </w:r>
            <w:r>
              <w:rPr>
                <w:spacing w:val="-5"/>
                <w:sz w:val="20"/>
              </w:rPr>
              <w:t> </w:t>
            </w:r>
            <w:r>
              <w:rPr>
                <w:sz w:val="20"/>
              </w:rPr>
              <w:t>sustainable</w:t>
            </w:r>
            <w:r>
              <w:rPr>
                <w:spacing w:val="-5"/>
                <w:sz w:val="20"/>
              </w:rPr>
              <w:t> </w:t>
            </w:r>
            <w:r>
              <w:rPr>
                <w:spacing w:val="-2"/>
                <w:sz w:val="20"/>
              </w:rPr>
              <w:t>community</w:t>
            </w:r>
          </w:p>
        </w:tc>
        <w:tc>
          <w:tcPr>
            <w:tcW w:w="2130" w:type="dxa"/>
          </w:tcPr>
          <w:p>
            <w:pPr>
              <w:pStyle w:val="TableParagraph"/>
              <w:spacing w:before="23"/>
              <w:ind w:right="152"/>
              <w:jc w:val="right"/>
              <w:rPr>
                <w:sz w:val="20"/>
              </w:rPr>
            </w:pPr>
            <w:r>
              <w:rPr>
                <w:spacing w:val="-2"/>
                <w:sz w:val="20"/>
              </w:rPr>
              <w:t>(35,034)</w:t>
            </w:r>
          </w:p>
        </w:tc>
        <w:tc>
          <w:tcPr>
            <w:tcW w:w="1664" w:type="dxa"/>
          </w:tcPr>
          <w:p>
            <w:pPr>
              <w:pStyle w:val="TableParagraph"/>
              <w:spacing w:before="23"/>
              <w:ind w:right="125"/>
              <w:jc w:val="right"/>
              <w:rPr>
                <w:sz w:val="20"/>
              </w:rPr>
            </w:pPr>
            <w:r>
              <w:rPr>
                <w:spacing w:val="-2"/>
                <w:sz w:val="20"/>
              </w:rPr>
              <w:t>35,347</w:t>
            </w:r>
          </w:p>
        </w:tc>
        <w:tc>
          <w:tcPr>
            <w:tcW w:w="1258" w:type="dxa"/>
            <w:tcBorders>
              <w:right w:val="single" w:sz="12" w:space="0" w:color="000000"/>
            </w:tcBorders>
          </w:tcPr>
          <w:p>
            <w:pPr>
              <w:pStyle w:val="TableParagraph"/>
              <w:spacing w:before="23"/>
              <w:ind w:right="84"/>
              <w:jc w:val="right"/>
              <w:rPr>
                <w:sz w:val="20"/>
              </w:rPr>
            </w:pPr>
            <w:r>
              <w:rPr>
                <w:spacing w:val="-5"/>
                <w:sz w:val="20"/>
              </w:rPr>
              <w:t>313</w:t>
            </w:r>
          </w:p>
        </w:tc>
      </w:tr>
      <w:tr>
        <w:trPr>
          <w:trHeight w:val="292" w:hRule="atLeast"/>
        </w:trPr>
        <w:tc>
          <w:tcPr>
            <w:tcW w:w="5219" w:type="dxa"/>
            <w:tcBorders>
              <w:left w:val="single" w:sz="12" w:space="0" w:color="000000"/>
            </w:tcBorders>
          </w:tcPr>
          <w:p>
            <w:pPr>
              <w:pStyle w:val="TableParagraph"/>
              <w:spacing w:before="24"/>
              <w:ind w:left="13"/>
              <w:rPr>
                <w:sz w:val="20"/>
              </w:rPr>
            </w:pPr>
            <w:r>
              <w:rPr>
                <w:sz w:val="20"/>
              </w:rPr>
              <w:t>A</w:t>
            </w:r>
            <w:r>
              <w:rPr>
                <w:spacing w:val="-8"/>
                <w:sz w:val="20"/>
              </w:rPr>
              <w:t> </w:t>
            </w:r>
            <w:r>
              <w:rPr>
                <w:sz w:val="20"/>
              </w:rPr>
              <w:t>vibrant</w:t>
            </w:r>
            <w:r>
              <w:rPr>
                <w:spacing w:val="-6"/>
                <w:sz w:val="20"/>
              </w:rPr>
              <w:t> </w:t>
            </w:r>
            <w:r>
              <w:rPr>
                <w:sz w:val="20"/>
              </w:rPr>
              <w:t>and</w:t>
            </w:r>
            <w:r>
              <w:rPr>
                <w:spacing w:val="-5"/>
                <w:sz w:val="20"/>
              </w:rPr>
              <w:t> </w:t>
            </w:r>
            <w:r>
              <w:rPr>
                <w:sz w:val="20"/>
              </w:rPr>
              <w:t>prosperous</w:t>
            </w:r>
            <w:r>
              <w:rPr>
                <w:spacing w:val="-4"/>
                <w:sz w:val="20"/>
              </w:rPr>
              <w:t> </w:t>
            </w:r>
            <w:r>
              <w:rPr>
                <w:spacing w:val="-2"/>
                <w:sz w:val="20"/>
              </w:rPr>
              <w:t>community</w:t>
            </w:r>
          </w:p>
        </w:tc>
        <w:tc>
          <w:tcPr>
            <w:tcW w:w="2130" w:type="dxa"/>
          </w:tcPr>
          <w:p>
            <w:pPr>
              <w:pStyle w:val="TableParagraph"/>
              <w:spacing w:before="24"/>
              <w:ind w:right="155"/>
              <w:jc w:val="right"/>
              <w:rPr>
                <w:sz w:val="20"/>
              </w:rPr>
            </w:pPr>
            <w:r>
              <w:rPr>
                <w:spacing w:val="-2"/>
                <w:sz w:val="20"/>
              </w:rPr>
              <w:t>(2,651)</w:t>
            </w:r>
          </w:p>
        </w:tc>
        <w:tc>
          <w:tcPr>
            <w:tcW w:w="1664" w:type="dxa"/>
          </w:tcPr>
          <w:p>
            <w:pPr>
              <w:pStyle w:val="TableParagraph"/>
              <w:spacing w:before="24"/>
              <w:ind w:right="125"/>
              <w:jc w:val="right"/>
              <w:rPr>
                <w:sz w:val="20"/>
              </w:rPr>
            </w:pPr>
            <w:r>
              <w:rPr>
                <w:spacing w:val="-2"/>
                <w:sz w:val="20"/>
              </w:rPr>
              <w:t>8,735</w:t>
            </w:r>
          </w:p>
        </w:tc>
        <w:tc>
          <w:tcPr>
            <w:tcW w:w="1258" w:type="dxa"/>
            <w:tcBorders>
              <w:right w:val="single" w:sz="12" w:space="0" w:color="000000"/>
            </w:tcBorders>
          </w:tcPr>
          <w:p>
            <w:pPr>
              <w:pStyle w:val="TableParagraph"/>
              <w:spacing w:before="24"/>
              <w:ind w:right="84"/>
              <w:jc w:val="right"/>
              <w:rPr>
                <w:sz w:val="20"/>
              </w:rPr>
            </w:pPr>
            <w:r>
              <w:rPr>
                <w:spacing w:val="-2"/>
                <w:sz w:val="20"/>
              </w:rPr>
              <w:t>6,084</w:t>
            </w:r>
          </w:p>
        </w:tc>
      </w:tr>
      <w:tr>
        <w:trPr>
          <w:trHeight w:val="307" w:hRule="atLeast"/>
        </w:trPr>
        <w:tc>
          <w:tcPr>
            <w:tcW w:w="5219" w:type="dxa"/>
            <w:tcBorders>
              <w:left w:val="single" w:sz="12" w:space="0" w:color="000000"/>
            </w:tcBorders>
          </w:tcPr>
          <w:p>
            <w:pPr>
              <w:pStyle w:val="TableParagraph"/>
              <w:spacing w:before="31"/>
              <w:ind w:left="13"/>
              <w:rPr>
                <w:sz w:val="20"/>
              </w:rPr>
            </w:pPr>
            <w:r>
              <w:rPr>
                <w:sz w:val="20"/>
              </w:rPr>
              <w:t>A</w:t>
            </w:r>
            <w:r>
              <w:rPr>
                <w:spacing w:val="-8"/>
                <w:sz w:val="20"/>
              </w:rPr>
              <w:t> </w:t>
            </w:r>
            <w:r>
              <w:rPr>
                <w:sz w:val="20"/>
              </w:rPr>
              <w:t>well</w:t>
            </w:r>
            <w:r>
              <w:rPr>
                <w:spacing w:val="-6"/>
                <w:sz w:val="20"/>
              </w:rPr>
              <w:t> </w:t>
            </w:r>
            <w:r>
              <w:rPr>
                <w:sz w:val="20"/>
              </w:rPr>
              <w:t>governed</w:t>
            </w:r>
            <w:r>
              <w:rPr>
                <w:spacing w:val="-7"/>
                <w:sz w:val="20"/>
              </w:rPr>
              <w:t> </w:t>
            </w:r>
            <w:r>
              <w:rPr>
                <w:sz w:val="20"/>
              </w:rPr>
              <w:t>and</w:t>
            </w:r>
            <w:r>
              <w:rPr>
                <w:spacing w:val="-3"/>
                <w:sz w:val="20"/>
              </w:rPr>
              <w:t> </w:t>
            </w:r>
            <w:r>
              <w:rPr>
                <w:sz w:val="20"/>
              </w:rPr>
              <w:t>empowered</w:t>
            </w:r>
            <w:r>
              <w:rPr>
                <w:spacing w:val="-6"/>
                <w:sz w:val="20"/>
              </w:rPr>
              <w:t> </w:t>
            </w:r>
            <w:r>
              <w:rPr>
                <w:spacing w:val="-2"/>
                <w:sz w:val="20"/>
              </w:rPr>
              <w:t>community</w:t>
            </w:r>
          </w:p>
        </w:tc>
        <w:tc>
          <w:tcPr>
            <w:tcW w:w="2130" w:type="dxa"/>
          </w:tcPr>
          <w:p>
            <w:pPr>
              <w:pStyle w:val="TableParagraph"/>
              <w:spacing w:before="31"/>
              <w:ind w:right="152"/>
              <w:jc w:val="right"/>
              <w:rPr>
                <w:sz w:val="20"/>
              </w:rPr>
            </w:pPr>
            <w:r>
              <w:rPr>
                <w:spacing w:val="-2"/>
                <w:sz w:val="20"/>
              </w:rPr>
              <w:t>(27,558)</w:t>
            </w:r>
          </w:p>
        </w:tc>
        <w:tc>
          <w:tcPr>
            <w:tcW w:w="1664" w:type="dxa"/>
          </w:tcPr>
          <w:p>
            <w:pPr>
              <w:pStyle w:val="TableParagraph"/>
              <w:spacing w:before="31"/>
              <w:ind w:right="126"/>
              <w:jc w:val="right"/>
              <w:rPr>
                <w:sz w:val="20"/>
              </w:rPr>
            </w:pPr>
            <w:r>
              <w:rPr>
                <w:spacing w:val="-2"/>
                <w:sz w:val="20"/>
              </w:rPr>
              <w:t>29,721</w:t>
            </w:r>
          </w:p>
        </w:tc>
        <w:tc>
          <w:tcPr>
            <w:tcW w:w="1258" w:type="dxa"/>
            <w:tcBorders>
              <w:right w:val="single" w:sz="12" w:space="0" w:color="000000"/>
            </w:tcBorders>
          </w:tcPr>
          <w:p>
            <w:pPr>
              <w:pStyle w:val="TableParagraph"/>
              <w:spacing w:before="31"/>
              <w:ind w:right="84"/>
              <w:jc w:val="right"/>
              <w:rPr>
                <w:sz w:val="20"/>
              </w:rPr>
            </w:pPr>
            <w:r>
              <w:rPr>
                <w:spacing w:val="-2"/>
                <w:sz w:val="20"/>
              </w:rPr>
              <w:t>2,163</w:t>
            </w:r>
          </w:p>
        </w:tc>
      </w:tr>
      <w:tr>
        <w:trPr>
          <w:trHeight w:val="457" w:hRule="atLeast"/>
        </w:trPr>
        <w:tc>
          <w:tcPr>
            <w:tcW w:w="5219" w:type="dxa"/>
            <w:tcBorders>
              <w:left w:val="single" w:sz="12" w:space="0" w:color="000000"/>
            </w:tcBorders>
          </w:tcPr>
          <w:p>
            <w:pPr>
              <w:pStyle w:val="TableParagraph"/>
              <w:spacing w:before="38"/>
              <w:ind w:left="13"/>
              <w:rPr>
                <w:b/>
                <w:sz w:val="20"/>
              </w:rPr>
            </w:pPr>
            <w:r>
              <w:rPr>
                <w:b/>
                <w:sz w:val="20"/>
              </w:rPr>
              <w:t>Total</w:t>
            </w:r>
            <w:r>
              <w:rPr>
                <w:b/>
                <w:spacing w:val="-8"/>
                <w:sz w:val="20"/>
              </w:rPr>
              <w:t> </w:t>
            </w:r>
            <w:r>
              <w:rPr>
                <w:b/>
                <w:sz w:val="20"/>
              </w:rPr>
              <w:t>services</w:t>
            </w:r>
            <w:r>
              <w:rPr>
                <w:b/>
                <w:spacing w:val="-7"/>
                <w:sz w:val="20"/>
              </w:rPr>
              <w:t> </w:t>
            </w:r>
            <w:r>
              <w:rPr>
                <w:b/>
                <w:sz w:val="20"/>
              </w:rPr>
              <w:t>and</w:t>
            </w:r>
            <w:r>
              <w:rPr>
                <w:b/>
                <w:spacing w:val="-5"/>
                <w:sz w:val="20"/>
              </w:rPr>
              <w:t> </w:t>
            </w:r>
            <w:r>
              <w:rPr>
                <w:b/>
                <w:spacing w:val="-2"/>
                <w:sz w:val="20"/>
              </w:rPr>
              <w:t>initiatives</w:t>
            </w:r>
          </w:p>
        </w:tc>
        <w:tc>
          <w:tcPr>
            <w:tcW w:w="2130" w:type="dxa"/>
          </w:tcPr>
          <w:p>
            <w:pPr>
              <w:pStyle w:val="TableParagraph"/>
              <w:spacing w:before="38"/>
              <w:ind w:right="153"/>
              <w:jc w:val="right"/>
              <w:rPr>
                <w:b/>
                <w:sz w:val="20"/>
              </w:rPr>
            </w:pPr>
            <w:r>
              <w:rPr>
                <w:b/>
                <w:spacing w:val="-2"/>
                <w:sz w:val="20"/>
              </w:rPr>
              <w:t>(92,195)</w:t>
            </w:r>
          </w:p>
        </w:tc>
        <w:tc>
          <w:tcPr>
            <w:tcW w:w="1664" w:type="dxa"/>
          </w:tcPr>
          <w:p>
            <w:pPr>
              <w:pStyle w:val="TableParagraph"/>
              <w:spacing w:before="38"/>
              <w:ind w:right="126"/>
              <w:jc w:val="right"/>
              <w:rPr>
                <w:b/>
                <w:sz w:val="20"/>
              </w:rPr>
            </w:pPr>
            <w:r>
              <w:rPr>
                <w:b/>
                <w:spacing w:val="-2"/>
                <w:sz w:val="20"/>
              </w:rPr>
              <w:t>140,503</w:t>
            </w:r>
          </w:p>
        </w:tc>
        <w:tc>
          <w:tcPr>
            <w:tcW w:w="1258" w:type="dxa"/>
            <w:tcBorders>
              <w:right w:val="single" w:sz="12" w:space="0" w:color="000000"/>
            </w:tcBorders>
          </w:tcPr>
          <w:p>
            <w:pPr>
              <w:pStyle w:val="TableParagraph"/>
              <w:spacing w:before="38"/>
              <w:ind w:right="85"/>
              <w:jc w:val="right"/>
              <w:rPr>
                <w:b/>
                <w:sz w:val="20"/>
              </w:rPr>
            </w:pPr>
            <w:r>
              <w:rPr>
                <w:b/>
                <w:spacing w:val="-2"/>
                <w:sz w:val="20"/>
              </w:rPr>
              <w:t>48,308</w:t>
            </w:r>
          </w:p>
        </w:tc>
      </w:tr>
      <w:tr>
        <w:trPr>
          <w:trHeight w:val="442" w:hRule="atLeast"/>
        </w:trPr>
        <w:tc>
          <w:tcPr>
            <w:tcW w:w="5219" w:type="dxa"/>
            <w:tcBorders>
              <w:left w:val="single" w:sz="12" w:space="0" w:color="000000"/>
            </w:tcBorders>
          </w:tcPr>
          <w:p>
            <w:pPr>
              <w:pStyle w:val="TableParagraph"/>
              <w:spacing w:before="181"/>
              <w:ind w:left="13"/>
              <w:rPr>
                <w:b/>
                <w:sz w:val="20"/>
              </w:rPr>
            </w:pPr>
            <w:r>
              <w:rPr>
                <w:b/>
                <w:sz w:val="20"/>
              </w:rPr>
              <w:t>Expenses</w:t>
            </w:r>
            <w:r>
              <w:rPr>
                <w:b/>
                <w:spacing w:val="-8"/>
                <w:sz w:val="20"/>
              </w:rPr>
              <w:t> </w:t>
            </w:r>
            <w:r>
              <w:rPr>
                <w:b/>
                <w:sz w:val="20"/>
              </w:rPr>
              <w:t>added</w:t>
            </w:r>
            <w:r>
              <w:rPr>
                <w:b/>
                <w:spacing w:val="-10"/>
                <w:sz w:val="20"/>
              </w:rPr>
              <w:t> </w:t>
            </w:r>
            <w:r>
              <w:rPr>
                <w:b/>
                <w:spacing w:val="-5"/>
                <w:sz w:val="20"/>
              </w:rPr>
              <w:t>in:</w:t>
            </w:r>
          </w:p>
        </w:tc>
        <w:tc>
          <w:tcPr>
            <w:tcW w:w="2130" w:type="dxa"/>
          </w:tcPr>
          <w:p>
            <w:pPr>
              <w:pStyle w:val="TableParagraph"/>
              <w:rPr>
                <w:rFonts w:ascii="Times New Roman"/>
                <w:sz w:val="20"/>
              </w:rPr>
            </w:pPr>
          </w:p>
        </w:tc>
        <w:tc>
          <w:tcPr>
            <w:tcW w:w="1664" w:type="dxa"/>
          </w:tcPr>
          <w:p>
            <w:pPr>
              <w:pStyle w:val="TableParagraph"/>
              <w:rPr>
                <w:rFonts w:ascii="Times New Roman"/>
                <w:sz w:val="20"/>
              </w:rPr>
            </w:pPr>
          </w:p>
        </w:tc>
        <w:tc>
          <w:tcPr>
            <w:tcW w:w="1258" w:type="dxa"/>
            <w:tcBorders>
              <w:right w:val="single" w:sz="12" w:space="0" w:color="000000"/>
            </w:tcBorders>
          </w:tcPr>
          <w:p>
            <w:pPr>
              <w:pStyle w:val="TableParagraph"/>
              <w:rPr>
                <w:rFonts w:ascii="Times New Roman"/>
                <w:sz w:val="20"/>
              </w:rPr>
            </w:pPr>
          </w:p>
        </w:tc>
      </w:tr>
      <w:tr>
        <w:trPr>
          <w:trHeight w:val="285" w:hRule="atLeast"/>
        </w:trPr>
        <w:tc>
          <w:tcPr>
            <w:tcW w:w="5219" w:type="dxa"/>
            <w:tcBorders>
              <w:left w:val="single" w:sz="12" w:space="0" w:color="000000"/>
            </w:tcBorders>
          </w:tcPr>
          <w:p>
            <w:pPr>
              <w:pStyle w:val="TableParagraph"/>
              <w:spacing w:before="24"/>
              <w:ind w:left="13"/>
              <w:rPr>
                <w:sz w:val="20"/>
              </w:rPr>
            </w:pPr>
            <w:r>
              <w:rPr>
                <w:spacing w:val="-2"/>
                <w:sz w:val="20"/>
              </w:rPr>
              <w:t>Depreciation</w:t>
            </w:r>
          </w:p>
        </w:tc>
        <w:tc>
          <w:tcPr>
            <w:tcW w:w="2130" w:type="dxa"/>
          </w:tcPr>
          <w:p>
            <w:pPr>
              <w:pStyle w:val="TableParagraph"/>
              <w:spacing w:before="24"/>
              <w:ind w:right="154"/>
              <w:jc w:val="right"/>
              <w:rPr>
                <w:sz w:val="20"/>
              </w:rPr>
            </w:pPr>
            <w:r>
              <w:rPr>
                <w:spacing w:val="-2"/>
                <w:sz w:val="20"/>
              </w:rPr>
              <w:t>28,125</w:t>
            </w:r>
          </w:p>
        </w:tc>
        <w:tc>
          <w:tcPr>
            <w:tcW w:w="1664" w:type="dxa"/>
          </w:tcPr>
          <w:p>
            <w:pPr>
              <w:pStyle w:val="TableParagraph"/>
              <w:rPr>
                <w:rFonts w:ascii="Times New Roman"/>
                <w:sz w:val="20"/>
              </w:rPr>
            </w:pPr>
          </w:p>
        </w:tc>
        <w:tc>
          <w:tcPr>
            <w:tcW w:w="1258" w:type="dxa"/>
            <w:tcBorders>
              <w:right w:val="single" w:sz="12" w:space="0" w:color="000000"/>
            </w:tcBorders>
          </w:tcPr>
          <w:p>
            <w:pPr>
              <w:pStyle w:val="TableParagraph"/>
              <w:rPr>
                <w:rFonts w:ascii="Times New Roman"/>
                <w:sz w:val="20"/>
              </w:rPr>
            </w:pPr>
          </w:p>
        </w:tc>
      </w:tr>
      <w:tr>
        <w:trPr>
          <w:trHeight w:val="292" w:hRule="atLeast"/>
        </w:trPr>
        <w:tc>
          <w:tcPr>
            <w:tcW w:w="5219" w:type="dxa"/>
            <w:tcBorders>
              <w:left w:val="single" w:sz="12" w:space="0" w:color="000000"/>
            </w:tcBorders>
          </w:tcPr>
          <w:p>
            <w:pPr>
              <w:pStyle w:val="TableParagraph"/>
              <w:spacing w:before="24"/>
              <w:ind w:left="13"/>
              <w:rPr>
                <w:sz w:val="20"/>
              </w:rPr>
            </w:pPr>
            <w:r>
              <w:rPr>
                <w:spacing w:val="-2"/>
                <w:sz w:val="20"/>
              </w:rPr>
              <w:t>Amortisation</w:t>
            </w:r>
          </w:p>
        </w:tc>
        <w:tc>
          <w:tcPr>
            <w:tcW w:w="2130" w:type="dxa"/>
          </w:tcPr>
          <w:p>
            <w:pPr>
              <w:pStyle w:val="TableParagraph"/>
              <w:spacing w:before="24"/>
              <w:ind w:right="153"/>
              <w:jc w:val="right"/>
              <w:rPr>
                <w:sz w:val="20"/>
              </w:rPr>
            </w:pPr>
            <w:r>
              <w:rPr>
                <w:spacing w:val="-2"/>
                <w:sz w:val="20"/>
              </w:rPr>
              <w:t>1,688</w:t>
            </w:r>
          </w:p>
        </w:tc>
        <w:tc>
          <w:tcPr>
            <w:tcW w:w="1664" w:type="dxa"/>
          </w:tcPr>
          <w:p>
            <w:pPr>
              <w:pStyle w:val="TableParagraph"/>
              <w:rPr>
                <w:rFonts w:ascii="Times New Roman"/>
                <w:sz w:val="20"/>
              </w:rPr>
            </w:pPr>
          </w:p>
        </w:tc>
        <w:tc>
          <w:tcPr>
            <w:tcW w:w="1258" w:type="dxa"/>
            <w:tcBorders>
              <w:right w:val="single" w:sz="12" w:space="0" w:color="000000"/>
            </w:tcBorders>
          </w:tcPr>
          <w:p>
            <w:pPr>
              <w:pStyle w:val="TableParagraph"/>
              <w:rPr>
                <w:rFonts w:ascii="Times New Roman"/>
                <w:sz w:val="20"/>
              </w:rPr>
            </w:pPr>
          </w:p>
        </w:tc>
      </w:tr>
      <w:tr>
        <w:trPr>
          <w:trHeight w:val="300" w:hRule="atLeast"/>
        </w:trPr>
        <w:tc>
          <w:tcPr>
            <w:tcW w:w="5219" w:type="dxa"/>
            <w:tcBorders>
              <w:left w:val="single" w:sz="12" w:space="0" w:color="000000"/>
            </w:tcBorders>
          </w:tcPr>
          <w:p>
            <w:pPr>
              <w:pStyle w:val="TableParagraph"/>
              <w:spacing w:before="31"/>
              <w:ind w:left="13"/>
              <w:rPr>
                <w:b/>
                <w:sz w:val="20"/>
              </w:rPr>
            </w:pPr>
            <w:r>
              <w:rPr>
                <w:b/>
                <w:sz w:val="20"/>
              </w:rPr>
              <w:t>Surplus/(Deficit)</w:t>
            </w:r>
            <w:r>
              <w:rPr>
                <w:b/>
                <w:spacing w:val="-11"/>
                <w:sz w:val="20"/>
              </w:rPr>
              <w:t> </w:t>
            </w:r>
            <w:r>
              <w:rPr>
                <w:b/>
                <w:sz w:val="20"/>
              </w:rPr>
              <w:t>before</w:t>
            </w:r>
            <w:r>
              <w:rPr>
                <w:b/>
                <w:spacing w:val="-10"/>
                <w:sz w:val="20"/>
              </w:rPr>
              <w:t> </w:t>
            </w:r>
            <w:r>
              <w:rPr>
                <w:b/>
                <w:sz w:val="20"/>
              </w:rPr>
              <w:t>funding</w:t>
            </w:r>
            <w:r>
              <w:rPr>
                <w:b/>
                <w:spacing w:val="-10"/>
                <w:sz w:val="20"/>
              </w:rPr>
              <w:t> </w:t>
            </w:r>
            <w:r>
              <w:rPr>
                <w:b/>
                <w:spacing w:val="-2"/>
                <w:sz w:val="20"/>
              </w:rPr>
              <w:t>sources</w:t>
            </w:r>
          </w:p>
        </w:tc>
        <w:tc>
          <w:tcPr>
            <w:tcW w:w="2130" w:type="dxa"/>
          </w:tcPr>
          <w:p>
            <w:pPr>
              <w:pStyle w:val="TableParagraph"/>
              <w:spacing w:before="31"/>
              <w:ind w:right="155"/>
              <w:jc w:val="right"/>
              <w:rPr>
                <w:b/>
                <w:sz w:val="20"/>
              </w:rPr>
            </w:pPr>
            <w:r>
              <w:rPr>
                <w:b/>
                <w:spacing w:val="-2"/>
                <w:sz w:val="20"/>
              </w:rPr>
              <w:t>(122,008)</w:t>
            </w:r>
          </w:p>
        </w:tc>
        <w:tc>
          <w:tcPr>
            <w:tcW w:w="1664" w:type="dxa"/>
          </w:tcPr>
          <w:p>
            <w:pPr>
              <w:pStyle w:val="TableParagraph"/>
              <w:rPr>
                <w:rFonts w:ascii="Times New Roman"/>
                <w:sz w:val="20"/>
              </w:rPr>
            </w:pPr>
          </w:p>
        </w:tc>
        <w:tc>
          <w:tcPr>
            <w:tcW w:w="1258" w:type="dxa"/>
            <w:tcBorders>
              <w:right w:val="single" w:sz="12" w:space="0" w:color="000000"/>
            </w:tcBorders>
          </w:tcPr>
          <w:p>
            <w:pPr>
              <w:pStyle w:val="TableParagraph"/>
              <w:rPr>
                <w:rFonts w:ascii="Times New Roman"/>
                <w:sz w:val="20"/>
              </w:rPr>
            </w:pPr>
          </w:p>
        </w:tc>
      </w:tr>
      <w:tr>
        <w:trPr>
          <w:trHeight w:val="380" w:hRule="atLeast"/>
        </w:trPr>
        <w:tc>
          <w:tcPr>
            <w:tcW w:w="5219" w:type="dxa"/>
            <w:tcBorders>
              <w:left w:val="single" w:sz="12" w:space="0" w:color="000000"/>
            </w:tcBorders>
          </w:tcPr>
          <w:p>
            <w:pPr>
              <w:pStyle w:val="TableParagraph"/>
              <w:spacing w:before="31"/>
              <w:ind w:left="13"/>
              <w:rPr>
                <w:b/>
                <w:sz w:val="20"/>
              </w:rPr>
            </w:pPr>
            <w:r>
              <w:rPr>
                <w:b/>
                <w:sz w:val="20"/>
              </w:rPr>
              <w:t>Funding</w:t>
            </w:r>
            <w:r>
              <w:rPr>
                <w:b/>
                <w:spacing w:val="-8"/>
                <w:sz w:val="20"/>
              </w:rPr>
              <w:t> </w:t>
            </w:r>
            <w:r>
              <w:rPr>
                <w:b/>
                <w:spacing w:val="-2"/>
                <w:sz w:val="20"/>
              </w:rPr>
              <w:t>sources</w:t>
            </w:r>
          </w:p>
        </w:tc>
        <w:tc>
          <w:tcPr>
            <w:tcW w:w="2130" w:type="dxa"/>
          </w:tcPr>
          <w:p>
            <w:pPr>
              <w:pStyle w:val="TableParagraph"/>
              <w:rPr>
                <w:rFonts w:ascii="Times New Roman"/>
                <w:sz w:val="20"/>
              </w:rPr>
            </w:pPr>
          </w:p>
        </w:tc>
        <w:tc>
          <w:tcPr>
            <w:tcW w:w="1664" w:type="dxa"/>
          </w:tcPr>
          <w:p>
            <w:pPr>
              <w:pStyle w:val="TableParagraph"/>
              <w:rPr>
                <w:rFonts w:ascii="Times New Roman"/>
                <w:sz w:val="20"/>
              </w:rPr>
            </w:pPr>
          </w:p>
        </w:tc>
        <w:tc>
          <w:tcPr>
            <w:tcW w:w="1258" w:type="dxa"/>
            <w:tcBorders>
              <w:right w:val="single" w:sz="12" w:space="0" w:color="000000"/>
            </w:tcBorders>
          </w:tcPr>
          <w:p>
            <w:pPr>
              <w:pStyle w:val="TableParagraph"/>
              <w:rPr>
                <w:rFonts w:ascii="Times New Roman"/>
                <w:sz w:val="20"/>
              </w:rPr>
            </w:pPr>
          </w:p>
        </w:tc>
      </w:tr>
      <w:tr>
        <w:trPr>
          <w:trHeight w:val="459" w:hRule="atLeast"/>
        </w:trPr>
        <w:tc>
          <w:tcPr>
            <w:tcW w:w="5219" w:type="dxa"/>
            <w:tcBorders>
              <w:left w:val="single" w:sz="12" w:space="0" w:color="000000"/>
            </w:tcBorders>
          </w:tcPr>
          <w:p>
            <w:pPr>
              <w:pStyle w:val="TableParagraph"/>
              <w:spacing w:before="112"/>
              <w:ind w:left="13"/>
              <w:rPr>
                <w:sz w:val="20"/>
              </w:rPr>
            </w:pPr>
            <w:r>
              <w:rPr>
                <w:sz w:val="20"/>
              </w:rPr>
              <w:t>Rates</w:t>
            </w:r>
            <w:r>
              <w:rPr>
                <w:spacing w:val="-6"/>
                <w:sz w:val="20"/>
              </w:rPr>
              <w:t> </w:t>
            </w:r>
            <w:r>
              <w:rPr>
                <w:sz w:val="20"/>
              </w:rPr>
              <w:t>and</w:t>
            </w:r>
            <w:r>
              <w:rPr>
                <w:spacing w:val="-7"/>
                <w:sz w:val="20"/>
              </w:rPr>
              <w:t> </w:t>
            </w:r>
            <w:r>
              <w:rPr>
                <w:sz w:val="20"/>
              </w:rPr>
              <w:t>Charges</w:t>
            </w:r>
            <w:r>
              <w:rPr>
                <w:spacing w:val="-6"/>
                <w:sz w:val="20"/>
              </w:rPr>
              <w:t> </w:t>
            </w:r>
            <w:r>
              <w:rPr>
                <w:spacing w:val="-2"/>
                <w:sz w:val="20"/>
              </w:rPr>
              <w:t>revenue</w:t>
            </w:r>
          </w:p>
        </w:tc>
        <w:tc>
          <w:tcPr>
            <w:tcW w:w="2130" w:type="dxa"/>
          </w:tcPr>
          <w:p>
            <w:pPr>
              <w:pStyle w:val="TableParagraph"/>
              <w:spacing w:before="112"/>
              <w:ind w:right="151"/>
              <w:jc w:val="right"/>
              <w:rPr>
                <w:sz w:val="20"/>
              </w:rPr>
            </w:pPr>
            <w:r>
              <w:rPr>
                <w:spacing w:val="-2"/>
                <w:sz w:val="20"/>
              </w:rPr>
              <w:t>94,245</w:t>
            </w:r>
          </w:p>
        </w:tc>
        <w:tc>
          <w:tcPr>
            <w:tcW w:w="1664" w:type="dxa"/>
          </w:tcPr>
          <w:p>
            <w:pPr>
              <w:pStyle w:val="TableParagraph"/>
              <w:rPr>
                <w:rFonts w:ascii="Times New Roman"/>
                <w:sz w:val="20"/>
              </w:rPr>
            </w:pPr>
          </w:p>
        </w:tc>
        <w:tc>
          <w:tcPr>
            <w:tcW w:w="1258" w:type="dxa"/>
            <w:tcBorders>
              <w:right w:val="single" w:sz="12" w:space="0" w:color="000000"/>
            </w:tcBorders>
          </w:tcPr>
          <w:p>
            <w:pPr>
              <w:pStyle w:val="TableParagraph"/>
              <w:rPr>
                <w:rFonts w:ascii="Times New Roman"/>
                <w:sz w:val="20"/>
              </w:rPr>
            </w:pPr>
          </w:p>
        </w:tc>
      </w:tr>
      <w:tr>
        <w:trPr>
          <w:trHeight w:val="459" w:hRule="atLeast"/>
        </w:trPr>
        <w:tc>
          <w:tcPr>
            <w:tcW w:w="5219" w:type="dxa"/>
            <w:tcBorders>
              <w:left w:val="single" w:sz="12" w:space="0" w:color="000000"/>
            </w:tcBorders>
          </w:tcPr>
          <w:p>
            <w:pPr>
              <w:pStyle w:val="TableParagraph"/>
              <w:spacing w:before="110"/>
              <w:ind w:left="13"/>
              <w:rPr>
                <w:sz w:val="20"/>
              </w:rPr>
            </w:pPr>
            <w:r>
              <w:rPr>
                <w:sz w:val="20"/>
              </w:rPr>
              <w:t>Waste</w:t>
            </w:r>
            <w:r>
              <w:rPr>
                <w:spacing w:val="-5"/>
                <w:sz w:val="20"/>
              </w:rPr>
              <w:t> </w:t>
            </w:r>
            <w:r>
              <w:rPr>
                <w:sz w:val="20"/>
              </w:rPr>
              <w:t>Charge</w:t>
            </w:r>
            <w:r>
              <w:rPr>
                <w:spacing w:val="-9"/>
                <w:sz w:val="20"/>
              </w:rPr>
              <w:t> </w:t>
            </w:r>
            <w:r>
              <w:rPr>
                <w:spacing w:val="-2"/>
                <w:sz w:val="20"/>
              </w:rPr>
              <w:t>Revenue</w:t>
            </w:r>
          </w:p>
        </w:tc>
        <w:tc>
          <w:tcPr>
            <w:tcW w:w="2130" w:type="dxa"/>
          </w:tcPr>
          <w:p>
            <w:pPr>
              <w:pStyle w:val="TableParagraph"/>
              <w:spacing w:before="110"/>
              <w:ind w:right="151"/>
              <w:jc w:val="right"/>
              <w:rPr>
                <w:sz w:val="20"/>
              </w:rPr>
            </w:pPr>
            <w:r>
              <w:rPr>
                <w:spacing w:val="-2"/>
                <w:sz w:val="20"/>
              </w:rPr>
              <w:t>21,914</w:t>
            </w:r>
          </w:p>
        </w:tc>
        <w:tc>
          <w:tcPr>
            <w:tcW w:w="1664" w:type="dxa"/>
          </w:tcPr>
          <w:p>
            <w:pPr>
              <w:pStyle w:val="TableParagraph"/>
              <w:rPr>
                <w:rFonts w:ascii="Times New Roman"/>
                <w:sz w:val="20"/>
              </w:rPr>
            </w:pPr>
          </w:p>
        </w:tc>
        <w:tc>
          <w:tcPr>
            <w:tcW w:w="1258" w:type="dxa"/>
            <w:tcBorders>
              <w:right w:val="single" w:sz="12" w:space="0" w:color="000000"/>
            </w:tcBorders>
          </w:tcPr>
          <w:p>
            <w:pPr>
              <w:pStyle w:val="TableParagraph"/>
              <w:rPr>
                <w:rFonts w:ascii="Times New Roman"/>
                <w:sz w:val="20"/>
              </w:rPr>
            </w:pPr>
          </w:p>
        </w:tc>
      </w:tr>
      <w:tr>
        <w:trPr>
          <w:trHeight w:val="460" w:hRule="atLeast"/>
        </w:trPr>
        <w:tc>
          <w:tcPr>
            <w:tcW w:w="5219" w:type="dxa"/>
            <w:tcBorders>
              <w:left w:val="single" w:sz="12" w:space="0" w:color="000000"/>
            </w:tcBorders>
          </w:tcPr>
          <w:p>
            <w:pPr>
              <w:pStyle w:val="TableParagraph"/>
              <w:spacing w:before="112"/>
              <w:ind w:left="13"/>
              <w:rPr>
                <w:sz w:val="20"/>
              </w:rPr>
            </w:pPr>
            <w:r>
              <w:rPr>
                <w:sz w:val="20"/>
              </w:rPr>
              <w:t>Capital</w:t>
            </w:r>
            <w:r>
              <w:rPr>
                <w:spacing w:val="-5"/>
                <w:sz w:val="20"/>
              </w:rPr>
              <w:t> </w:t>
            </w:r>
            <w:r>
              <w:rPr>
                <w:sz w:val="20"/>
              </w:rPr>
              <w:t>grants</w:t>
            </w:r>
            <w:r>
              <w:rPr>
                <w:spacing w:val="-6"/>
                <w:sz w:val="20"/>
              </w:rPr>
              <w:t> </w:t>
            </w:r>
            <w:r>
              <w:rPr>
                <w:sz w:val="20"/>
              </w:rPr>
              <w:t>&amp;</w:t>
            </w:r>
            <w:r>
              <w:rPr>
                <w:spacing w:val="-6"/>
                <w:sz w:val="20"/>
              </w:rPr>
              <w:t> </w:t>
            </w:r>
            <w:r>
              <w:rPr>
                <w:spacing w:val="-2"/>
                <w:sz w:val="20"/>
              </w:rPr>
              <w:t>Contributions</w:t>
            </w:r>
          </w:p>
        </w:tc>
        <w:tc>
          <w:tcPr>
            <w:tcW w:w="2130" w:type="dxa"/>
          </w:tcPr>
          <w:p>
            <w:pPr>
              <w:pStyle w:val="TableParagraph"/>
              <w:spacing w:before="112"/>
              <w:ind w:right="150"/>
              <w:jc w:val="right"/>
              <w:rPr>
                <w:sz w:val="20"/>
              </w:rPr>
            </w:pPr>
            <w:r>
              <w:rPr>
                <w:spacing w:val="-2"/>
                <w:sz w:val="20"/>
              </w:rPr>
              <w:t>7,456</w:t>
            </w:r>
          </w:p>
        </w:tc>
        <w:tc>
          <w:tcPr>
            <w:tcW w:w="1664" w:type="dxa"/>
          </w:tcPr>
          <w:p>
            <w:pPr>
              <w:pStyle w:val="TableParagraph"/>
              <w:rPr>
                <w:rFonts w:ascii="Times New Roman"/>
                <w:sz w:val="20"/>
              </w:rPr>
            </w:pPr>
          </w:p>
        </w:tc>
        <w:tc>
          <w:tcPr>
            <w:tcW w:w="1258" w:type="dxa"/>
            <w:tcBorders>
              <w:right w:val="single" w:sz="12" w:space="0" w:color="000000"/>
            </w:tcBorders>
          </w:tcPr>
          <w:p>
            <w:pPr>
              <w:pStyle w:val="TableParagraph"/>
              <w:rPr>
                <w:rFonts w:ascii="Times New Roman"/>
                <w:sz w:val="20"/>
              </w:rPr>
            </w:pPr>
          </w:p>
        </w:tc>
      </w:tr>
      <w:tr>
        <w:trPr>
          <w:trHeight w:val="459" w:hRule="atLeast"/>
        </w:trPr>
        <w:tc>
          <w:tcPr>
            <w:tcW w:w="5219" w:type="dxa"/>
            <w:tcBorders>
              <w:left w:val="single" w:sz="12" w:space="0" w:color="000000"/>
            </w:tcBorders>
          </w:tcPr>
          <w:p>
            <w:pPr>
              <w:pStyle w:val="TableParagraph"/>
              <w:spacing w:before="112"/>
              <w:ind w:left="13"/>
              <w:rPr>
                <w:sz w:val="20"/>
              </w:rPr>
            </w:pPr>
            <w:r>
              <w:rPr>
                <w:sz w:val="20"/>
              </w:rPr>
              <w:t>Net</w:t>
            </w:r>
            <w:r>
              <w:rPr>
                <w:spacing w:val="-6"/>
                <w:sz w:val="20"/>
              </w:rPr>
              <w:t> </w:t>
            </w:r>
            <w:r>
              <w:rPr>
                <w:sz w:val="20"/>
              </w:rPr>
              <w:t>gain</w:t>
            </w:r>
            <w:r>
              <w:rPr>
                <w:spacing w:val="-3"/>
                <w:sz w:val="20"/>
              </w:rPr>
              <w:t> </w:t>
            </w:r>
            <w:r>
              <w:rPr>
                <w:sz w:val="20"/>
              </w:rPr>
              <w:t>(loss)</w:t>
            </w:r>
            <w:r>
              <w:rPr>
                <w:spacing w:val="-3"/>
                <w:sz w:val="20"/>
              </w:rPr>
              <w:t> </w:t>
            </w:r>
            <w:r>
              <w:rPr>
                <w:sz w:val="20"/>
              </w:rPr>
              <w:t>of</w:t>
            </w:r>
            <w:r>
              <w:rPr>
                <w:spacing w:val="-5"/>
                <w:sz w:val="20"/>
              </w:rPr>
              <w:t> </w:t>
            </w:r>
            <w:r>
              <w:rPr>
                <w:sz w:val="20"/>
              </w:rPr>
              <w:t>Fixed</w:t>
            </w:r>
            <w:r>
              <w:rPr>
                <w:spacing w:val="-6"/>
                <w:sz w:val="20"/>
              </w:rPr>
              <w:t> </w:t>
            </w:r>
            <w:r>
              <w:rPr>
                <w:spacing w:val="-2"/>
                <w:sz w:val="20"/>
              </w:rPr>
              <w:t>assets</w:t>
            </w:r>
          </w:p>
        </w:tc>
        <w:tc>
          <w:tcPr>
            <w:tcW w:w="2130" w:type="dxa"/>
          </w:tcPr>
          <w:p>
            <w:pPr>
              <w:pStyle w:val="TableParagraph"/>
              <w:spacing w:before="112"/>
              <w:ind w:right="150"/>
              <w:jc w:val="right"/>
              <w:rPr>
                <w:sz w:val="20"/>
              </w:rPr>
            </w:pPr>
            <w:r>
              <w:rPr>
                <w:spacing w:val="-2"/>
                <w:sz w:val="20"/>
              </w:rPr>
              <w:t>7,875</w:t>
            </w:r>
          </w:p>
        </w:tc>
        <w:tc>
          <w:tcPr>
            <w:tcW w:w="1664" w:type="dxa"/>
          </w:tcPr>
          <w:p>
            <w:pPr>
              <w:pStyle w:val="TableParagraph"/>
              <w:rPr>
                <w:rFonts w:ascii="Times New Roman"/>
                <w:sz w:val="20"/>
              </w:rPr>
            </w:pPr>
          </w:p>
        </w:tc>
        <w:tc>
          <w:tcPr>
            <w:tcW w:w="1258" w:type="dxa"/>
            <w:tcBorders>
              <w:right w:val="single" w:sz="12" w:space="0" w:color="000000"/>
            </w:tcBorders>
          </w:tcPr>
          <w:p>
            <w:pPr>
              <w:pStyle w:val="TableParagraph"/>
              <w:rPr>
                <w:rFonts w:ascii="Times New Roman"/>
                <w:sz w:val="20"/>
              </w:rPr>
            </w:pPr>
          </w:p>
        </w:tc>
      </w:tr>
      <w:tr>
        <w:trPr>
          <w:trHeight w:val="459" w:hRule="atLeast"/>
        </w:trPr>
        <w:tc>
          <w:tcPr>
            <w:tcW w:w="5219" w:type="dxa"/>
            <w:tcBorders>
              <w:left w:val="single" w:sz="12" w:space="0" w:color="000000"/>
            </w:tcBorders>
          </w:tcPr>
          <w:p>
            <w:pPr>
              <w:pStyle w:val="TableParagraph"/>
              <w:spacing w:before="110"/>
              <w:ind w:left="13"/>
              <w:rPr>
                <w:sz w:val="20"/>
              </w:rPr>
            </w:pPr>
            <w:r>
              <w:rPr>
                <w:sz w:val="20"/>
              </w:rPr>
              <w:t>Other</w:t>
            </w:r>
            <w:r>
              <w:rPr>
                <w:spacing w:val="-6"/>
                <w:sz w:val="20"/>
              </w:rPr>
              <w:t> </w:t>
            </w:r>
            <w:r>
              <w:rPr>
                <w:spacing w:val="-2"/>
                <w:sz w:val="20"/>
              </w:rPr>
              <w:t>Revenue</w:t>
            </w:r>
          </w:p>
        </w:tc>
        <w:tc>
          <w:tcPr>
            <w:tcW w:w="2130" w:type="dxa"/>
          </w:tcPr>
          <w:p>
            <w:pPr>
              <w:pStyle w:val="TableParagraph"/>
              <w:spacing w:before="110"/>
              <w:ind w:right="150"/>
              <w:jc w:val="right"/>
              <w:rPr>
                <w:sz w:val="20"/>
              </w:rPr>
            </w:pPr>
            <w:r>
              <w:rPr>
                <w:spacing w:val="-2"/>
                <w:sz w:val="20"/>
              </w:rPr>
              <w:t>8,128</w:t>
            </w:r>
          </w:p>
        </w:tc>
        <w:tc>
          <w:tcPr>
            <w:tcW w:w="1664" w:type="dxa"/>
          </w:tcPr>
          <w:p>
            <w:pPr>
              <w:pStyle w:val="TableParagraph"/>
              <w:rPr>
                <w:rFonts w:ascii="Times New Roman"/>
                <w:sz w:val="20"/>
              </w:rPr>
            </w:pPr>
          </w:p>
        </w:tc>
        <w:tc>
          <w:tcPr>
            <w:tcW w:w="1258" w:type="dxa"/>
            <w:tcBorders>
              <w:right w:val="single" w:sz="12" w:space="0" w:color="000000"/>
            </w:tcBorders>
          </w:tcPr>
          <w:p>
            <w:pPr>
              <w:pStyle w:val="TableParagraph"/>
              <w:rPr>
                <w:rFonts w:ascii="Times New Roman"/>
                <w:sz w:val="20"/>
              </w:rPr>
            </w:pPr>
          </w:p>
        </w:tc>
      </w:tr>
      <w:tr>
        <w:trPr>
          <w:trHeight w:val="460" w:hRule="atLeast"/>
        </w:trPr>
        <w:tc>
          <w:tcPr>
            <w:tcW w:w="5219" w:type="dxa"/>
            <w:tcBorders>
              <w:left w:val="single" w:sz="12" w:space="0" w:color="000000"/>
            </w:tcBorders>
          </w:tcPr>
          <w:p>
            <w:pPr>
              <w:pStyle w:val="TableParagraph"/>
              <w:spacing w:before="112"/>
              <w:ind w:left="13"/>
              <w:rPr>
                <w:b/>
                <w:sz w:val="20"/>
              </w:rPr>
            </w:pPr>
            <w:r>
              <w:rPr>
                <w:b/>
                <w:sz w:val="20"/>
              </w:rPr>
              <w:t>Total</w:t>
            </w:r>
            <w:r>
              <w:rPr>
                <w:b/>
                <w:spacing w:val="-7"/>
                <w:sz w:val="20"/>
              </w:rPr>
              <w:t> </w:t>
            </w:r>
            <w:r>
              <w:rPr>
                <w:b/>
                <w:sz w:val="20"/>
              </w:rPr>
              <w:t>funding</w:t>
            </w:r>
            <w:r>
              <w:rPr>
                <w:b/>
                <w:spacing w:val="-7"/>
                <w:sz w:val="20"/>
              </w:rPr>
              <w:t> </w:t>
            </w:r>
            <w:r>
              <w:rPr>
                <w:b/>
                <w:spacing w:val="-2"/>
                <w:sz w:val="20"/>
              </w:rPr>
              <w:t>sources</w:t>
            </w:r>
          </w:p>
        </w:tc>
        <w:tc>
          <w:tcPr>
            <w:tcW w:w="2130" w:type="dxa"/>
          </w:tcPr>
          <w:p>
            <w:pPr>
              <w:pStyle w:val="TableParagraph"/>
              <w:spacing w:before="112"/>
              <w:ind w:right="151"/>
              <w:jc w:val="right"/>
              <w:rPr>
                <w:b/>
                <w:sz w:val="20"/>
              </w:rPr>
            </w:pPr>
            <w:r>
              <w:rPr>
                <w:b/>
                <w:spacing w:val="-2"/>
                <w:sz w:val="20"/>
              </w:rPr>
              <w:t>139,618</w:t>
            </w:r>
          </w:p>
        </w:tc>
        <w:tc>
          <w:tcPr>
            <w:tcW w:w="1664" w:type="dxa"/>
          </w:tcPr>
          <w:p>
            <w:pPr>
              <w:pStyle w:val="TableParagraph"/>
              <w:rPr>
                <w:rFonts w:ascii="Times New Roman"/>
                <w:sz w:val="20"/>
              </w:rPr>
            </w:pPr>
          </w:p>
        </w:tc>
        <w:tc>
          <w:tcPr>
            <w:tcW w:w="1258" w:type="dxa"/>
            <w:tcBorders>
              <w:right w:val="single" w:sz="12" w:space="0" w:color="000000"/>
            </w:tcBorders>
          </w:tcPr>
          <w:p>
            <w:pPr>
              <w:pStyle w:val="TableParagraph"/>
              <w:rPr>
                <w:rFonts w:ascii="Times New Roman"/>
                <w:sz w:val="20"/>
              </w:rPr>
            </w:pPr>
          </w:p>
        </w:tc>
      </w:tr>
      <w:tr>
        <w:trPr>
          <w:trHeight w:val="342" w:hRule="atLeast"/>
        </w:trPr>
        <w:tc>
          <w:tcPr>
            <w:tcW w:w="5219" w:type="dxa"/>
            <w:tcBorders>
              <w:left w:val="single" w:sz="12" w:space="0" w:color="000000"/>
              <w:bottom w:val="single" w:sz="12" w:space="0" w:color="000000"/>
            </w:tcBorders>
          </w:tcPr>
          <w:p>
            <w:pPr>
              <w:pStyle w:val="TableParagraph"/>
              <w:spacing w:line="210" w:lineRule="exact" w:before="112"/>
              <w:ind w:left="13"/>
              <w:rPr>
                <w:b/>
                <w:sz w:val="20"/>
              </w:rPr>
            </w:pPr>
            <w:r>
              <w:rPr>
                <w:b/>
                <w:sz w:val="20"/>
              </w:rPr>
              <w:t>Surplus</w:t>
            </w:r>
            <w:r>
              <w:rPr>
                <w:b/>
                <w:spacing w:val="-7"/>
                <w:sz w:val="20"/>
              </w:rPr>
              <w:t> </w:t>
            </w:r>
            <w:r>
              <w:rPr>
                <w:b/>
                <w:sz w:val="20"/>
              </w:rPr>
              <w:t>for</w:t>
            </w:r>
            <w:r>
              <w:rPr>
                <w:b/>
                <w:spacing w:val="-4"/>
                <w:sz w:val="20"/>
              </w:rPr>
              <w:t> </w:t>
            </w:r>
            <w:r>
              <w:rPr>
                <w:b/>
                <w:sz w:val="20"/>
              </w:rPr>
              <w:t>the</w:t>
            </w:r>
            <w:r>
              <w:rPr>
                <w:b/>
                <w:spacing w:val="-7"/>
                <w:sz w:val="20"/>
              </w:rPr>
              <w:t> </w:t>
            </w:r>
            <w:r>
              <w:rPr>
                <w:b/>
                <w:spacing w:val="-4"/>
                <w:sz w:val="20"/>
              </w:rPr>
              <w:t>year</w:t>
            </w:r>
          </w:p>
        </w:tc>
        <w:tc>
          <w:tcPr>
            <w:tcW w:w="2130" w:type="dxa"/>
            <w:tcBorders>
              <w:bottom w:val="single" w:sz="12" w:space="0" w:color="000000"/>
            </w:tcBorders>
          </w:tcPr>
          <w:p>
            <w:pPr>
              <w:pStyle w:val="TableParagraph"/>
              <w:spacing w:line="210" w:lineRule="exact" w:before="112"/>
              <w:ind w:right="151"/>
              <w:jc w:val="right"/>
              <w:rPr>
                <w:b/>
                <w:sz w:val="20"/>
              </w:rPr>
            </w:pPr>
            <w:r>
              <w:rPr>
                <w:b/>
                <w:spacing w:val="-2"/>
                <w:sz w:val="20"/>
              </w:rPr>
              <w:t>17,610</w:t>
            </w:r>
          </w:p>
        </w:tc>
        <w:tc>
          <w:tcPr>
            <w:tcW w:w="1664" w:type="dxa"/>
            <w:tcBorders>
              <w:bottom w:val="single" w:sz="12" w:space="0" w:color="000000"/>
            </w:tcBorders>
          </w:tcPr>
          <w:p>
            <w:pPr>
              <w:pStyle w:val="TableParagraph"/>
              <w:rPr>
                <w:rFonts w:ascii="Times New Roman"/>
                <w:sz w:val="20"/>
              </w:rPr>
            </w:pPr>
          </w:p>
        </w:tc>
        <w:tc>
          <w:tcPr>
            <w:tcW w:w="1258" w:type="dxa"/>
            <w:tcBorders>
              <w:bottom w:val="single" w:sz="12" w:space="0" w:color="000000"/>
              <w:right w:val="single" w:sz="12" w:space="0" w:color="000000"/>
            </w:tcBorders>
          </w:tcPr>
          <w:p>
            <w:pPr>
              <w:pStyle w:val="TableParagraph"/>
              <w:rPr>
                <w:rFonts w:ascii="Times New Roman"/>
                <w:sz w:val="20"/>
              </w:rPr>
            </w:pPr>
          </w:p>
        </w:tc>
      </w:tr>
    </w:tbl>
    <w:p>
      <w:pPr>
        <w:spacing w:after="0"/>
        <w:rPr>
          <w:rFonts w:ascii="Times New Roman"/>
          <w:sz w:val="20"/>
        </w:rPr>
        <w:sectPr>
          <w:pgSz w:w="11910" w:h="16840"/>
          <w:pgMar w:header="0" w:footer="375" w:top="480" w:bottom="560" w:left="460" w:right="160"/>
        </w:sectPr>
      </w:pPr>
    </w:p>
    <w:p>
      <w:pPr>
        <w:pStyle w:val="Heading1"/>
        <w:numPr>
          <w:ilvl w:val="1"/>
          <w:numId w:val="12"/>
        </w:numPr>
        <w:tabs>
          <w:tab w:pos="1034" w:val="left" w:leader="none"/>
          <w:tab w:pos="1035" w:val="left" w:leader="none"/>
        </w:tabs>
        <w:spacing w:line="240" w:lineRule="auto" w:before="70" w:after="0"/>
        <w:ind w:left="1034" w:right="0" w:hanging="644"/>
        <w:jc w:val="left"/>
      </w:pPr>
      <w:bookmarkStart w:name="_TOC_250008" w:id="24"/>
      <w:r>
        <w:rPr>
          <w:color w:val="4966AC"/>
        </w:rPr>
        <w:t>Financial</w:t>
      </w:r>
      <w:r>
        <w:rPr>
          <w:color w:val="4966AC"/>
          <w:spacing w:val="-15"/>
        </w:rPr>
        <w:t> </w:t>
      </w:r>
      <w:bookmarkEnd w:id="24"/>
      <w:r>
        <w:rPr>
          <w:color w:val="4966AC"/>
          <w:spacing w:val="-2"/>
        </w:rPr>
        <w:t>Statements</w:t>
      </w:r>
    </w:p>
    <w:p>
      <w:pPr>
        <w:pStyle w:val="BodyText"/>
        <w:spacing w:before="251"/>
        <w:ind w:left="391" w:right="401"/>
        <w:jc w:val="both"/>
      </w:pPr>
      <w:r>
        <w:rPr/>
        <w:t>This section presents information regarding the Budgeted Financial Statements. The budget information for the</w:t>
      </w:r>
      <w:r>
        <w:rPr>
          <w:spacing w:val="-7"/>
        </w:rPr>
        <w:t> </w:t>
      </w:r>
      <w:r>
        <w:rPr/>
        <w:t>years</w:t>
      </w:r>
      <w:r>
        <w:rPr>
          <w:spacing w:val="-7"/>
        </w:rPr>
        <w:t> </w:t>
      </w:r>
      <w:r>
        <w:rPr/>
        <w:t>2025/26</w:t>
      </w:r>
      <w:r>
        <w:rPr>
          <w:spacing w:val="-9"/>
        </w:rPr>
        <w:t> </w:t>
      </w:r>
      <w:r>
        <w:rPr/>
        <w:t>to</w:t>
      </w:r>
      <w:r>
        <w:rPr>
          <w:spacing w:val="-9"/>
        </w:rPr>
        <w:t> </w:t>
      </w:r>
      <w:r>
        <w:rPr/>
        <w:t>2028/29</w:t>
      </w:r>
      <w:r>
        <w:rPr>
          <w:spacing w:val="-7"/>
        </w:rPr>
        <w:t> </w:t>
      </w:r>
      <w:r>
        <w:rPr/>
        <w:t>has</w:t>
      </w:r>
      <w:r>
        <w:rPr>
          <w:spacing w:val="-9"/>
        </w:rPr>
        <w:t> </w:t>
      </w:r>
      <w:r>
        <w:rPr/>
        <w:t>been</w:t>
      </w:r>
      <w:r>
        <w:rPr>
          <w:spacing w:val="-7"/>
        </w:rPr>
        <w:t> </w:t>
      </w:r>
      <w:r>
        <w:rPr/>
        <w:t>extracted</w:t>
      </w:r>
      <w:r>
        <w:rPr>
          <w:spacing w:val="-11"/>
        </w:rPr>
        <w:t> </w:t>
      </w:r>
      <w:r>
        <w:rPr/>
        <w:t>from</w:t>
      </w:r>
      <w:r>
        <w:rPr>
          <w:spacing w:val="-8"/>
        </w:rPr>
        <w:t> </w:t>
      </w:r>
      <w:r>
        <w:rPr/>
        <w:t>the</w:t>
      </w:r>
      <w:r>
        <w:rPr>
          <w:spacing w:val="-7"/>
        </w:rPr>
        <w:t> </w:t>
      </w:r>
      <w:r>
        <w:rPr/>
        <w:t>Financial</w:t>
      </w:r>
      <w:r>
        <w:rPr>
          <w:spacing w:val="-7"/>
        </w:rPr>
        <w:t> </w:t>
      </w:r>
      <w:r>
        <w:rPr/>
        <w:t>Plan.</w:t>
      </w:r>
      <w:r>
        <w:rPr>
          <w:spacing w:val="-11"/>
        </w:rPr>
        <w:t> </w:t>
      </w:r>
      <w:r>
        <w:rPr/>
        <w:t>A</w:t>
      </w:r>
      <w:r>
        <w:rPr>
          <w:spacing w:val="-7"/>
        </w:rPr>
        <w:t> </w:t>
      </w:r>
      <w:r>
        <w:rPr/>
        <w:t>Statement</w:t>
      </w:r>
      <w:r>
        <w:rPr>
          <w:spacing w:val="-5"/>
        </w:rPr>
        <w:t> </w:t>
      </w:r>
      <w:r>
        <w:rPr/>
        <w:t>of</w:t>
      </w:r>
      <w:r>
        <w:rPr>
          <w:spacing w:val="-5"/>
        </w:rPr>
        <w:t> </w:t>
      </w:r>
      <w:r>
        <w:rPr/>
        <w:t>Human</w:t>
      </w:r>
      <w:r>
        <w:rPr>
          <w:spacing w:val="-6"/>
        </w:rPr>
        <w:t> </w:t>
      </w:r>
      <w:r>
        <w:rPr/>
        <w:t>Resources is also included for the years 2025/26 to 2028/29.</w:t>
      </w:r>
    </w:p>
    <w:p>
      <w:pPr>
        <w:pStyle w:val="BodyText"/>
        <w:spacing w:before="1"/>
      </w:pPr>
    </w:p>
    <w:p>
      <w:pPr>
        <w:pStyle w:val="BodyText"/>
        <w:ind w:left="391" w:right="398"/>
        <w:jc w:val="both"/>
      </w:pPr>
      <w:r>
        <w:rPr/>
        <w:t>At the end of each financial year, Council is required to report back to the community on a comparison of actual</w:t>
      </w:r>
      <w:r>
        <w:rPr>
          <w:spacing w:val="-16"/>
        </w:rPr>
        <w:t> </w:t>
      </w:r>
      <w:r>
        <w:rPr/>
        <w:t>financial</w:t>
      </w:r>
      <w:r>
        <w:rPr>
          <w:spacing w:val="-15"/>
        </w:rPr>
        <w:t> </w:t>
      </w:r>
      <w:r>
        <w:rPr/>
        <w:t>results</w:t>
      </w:r>
      <w:r>
        <w:rPr>
          <w:spacing w:val="-13"/>
        </w:rPr>
        <w:t> </w:t>
      </w:r>
      <w:r>
        <w:rPr/>
        <w:t>against</w:t>
      </w:r>
      <w:r>
        <w:rPr>
          <w:spacing w:val="-12"/>
        </w:rPr>
        <w:t> </w:t>
      </w:r>
      <w:r>
        <w:rPr/>
        <w:t>these</w:t>
      </w:r>
      <w:r>
        <w:rPr>
          <w:spacing w:val="-16"/>
        </w:rPr>
        <w:t> </w:t>
      </w:r>
      <w:r>
        <w:rPr/>
        <w:t>Budgeted</w:t>
      </w:r>
      <w:r>
        <w:rPr>
          <w:spacing w:val="-15"/>
        </w:rPr>
        <w:t> </w:t>
      </w:r>
      <w:r>
        <w:rPr/>
        <w:t>Financial</w:t>
      </w:r>
      <w:r>
        <w:rPr>
          <w:spacing w:val="-13"/>
        </w:rPr>
        <w:t> </w:t>
      </w:r>
      <w:r>
        <w:rPr/>
        <w:t>Statements</w:t>
      </w:r>
      <w:r>
        <w:rPr>
          <w:spacing w:val="-16"/>
        </w:rPr>
        <w:t> </w:t>
      </w:r>
      <w:r>
        <w:rPr/>
        <w:t>and</w:t>
      </w:r>
      <w:r>
        <w:rPr>
          <w:spacing w:val="-14"/>
        </w:rPr>
        <w:t> </w:t>
      </w:r>
      <w:r>
        <w:rPr/>
        <w:t>provide</w:t>
      </w:r>
      <w:r>
        <w:rPr>
          <w:spacing w:val="-14"/>
        </w:rPr>
        <w:t> </w:t>
      </w:r>
      <w:r>
        <w:rPr/>
        <w:t>an</w:t>
      </w:r>
      <w:r>
        <w:rPr>
          <w:spacing w:val="-15"/>
        </w:rPr>
        <w:t> </w:t>
      </w:r>
      <w:r>
        <w:rPr/>
        <w:t>explanation</w:t>
      </w:r>
      <w:r>
        <w:rPr>
          <w:spacing w:val="-14"/>
        </w:rPr>
        <w:t> </w:t>
      </w:r>
      <w:r>
        <w:rPr/>
        <w:t>of</w:t>
      </w:r>
      <w:r>
        <w:rPr>
          <w:spacing w:val="-11"/>
        </w:rPr>
        <w:t> </w:t>
      </w:r>
      <w:r>
        <w:rPr/>
        <w:t>significant variances.</w:t>
      </w:r>
      <w:r>
        <w:rPr>
          <w:spacing w:val="-3"/>
        </w:rPr>
        <w:t> </w:t>
      </w:r>
      <w:r>
        <w:rPr/>
        <w:t>The</w:t>
      </w:r>
      <w:r>
        <w:rPr>
          <w:spacing w:val="-1"/>
        </w:rPr>
        <w:t> </w:t>
      </w:r>
      <w:r>
        <w:rPr/>
        <w:t>Financial</w:t>
      </w:r>
      <w:r>
        <w:rPr>
          <w:spacing w:val="-5"/>
        </w:rPr>
        <w:t> </w:t>
      </w:r>
      <w:r>
        <w:rPr/>
        <w:t>Statements</w:t>
      </w:r>
      <w:r>
        <w:rPr>
          <w:spacing w:val="-3"/>
        </w:rPr>
        <w:t> </w:t>
      </w:r>
      <w:r>
        <w:rPr/>
        <w:t>together</w:t>
      </w:r>
      <w:r>
        <w:rPr>
          <w:spacing w:val="-3"/>
        </w:rPr>
        <w:t> </w:t>
      </w:r>
      <w:r>
        <w:rPr/>
        <w:t>with</w:t>
      </w:r>
      <w:r>
        <w:rPr>
          <w:spacing w:val="-4"/>
        </w:rPr>
        <w:t> </w:t>
      </w:r>
      <w:r>
        <w:rPr/>
        <w:t>the</w:t>
      </w:r>
      <w:r>
        <w:rPr>
          <w:spacing w:val="-4"/>
        </w:rPr>
        <w:t> </w:t>
      </w:r>
      <w:r>
        <w:rPr/>
        <w:t>Performance</w:t>
      </w:r>
      <w:r>
        <w:rPr>
          <w:spacing w:val="-4"/>
        </w:rPr>
        <w:t> </w:t>
      </w:r>
      <w:r>
        <w:rPr/>
        <w:t>Statement</w:t>
      </w:r>
      <w:r>
        <w:rPr>
          <w:spacing w:val="-1"/>
        </w:rPr>
        <w:t> </w:t>
      </w:r>
      <w:r>
        <w:rPr/>
        <w:t>provide</w:t>
      </w:r>
      <w:r>
        <w:rPr>
          <w:spacing w:val="-3"/>
        </w:rPr>
        <w:t> </w:t>
      </w:r>
      <w:r>
        <w:rPr/>
        <w:t>a</w:t>
      </w:r>
      <w:r>
        <w:rPr>
          <w:spacing w:val="-5"/>
        </w:rPr>
        <w:t> </w:t>
      </w:r>
      <w:r>
        <w:rPr/>
        <w:t>clear,</w:t>
      </w:r>
      <w:r>
        <w:rPr>
          <w:spacing w:val="-3"/>
        </w:rPr>
        <w:t> </w:t>
      </w:r>
      <w:r>
        <w:rPr/>
        <w:t>concise,</w:t>
      </w:r>
      <w:r>
        <w:rPr>
          <w:spacing w:val="-1"/>
        </w:rPr>
        <w:t> </w:t>
      </w:r>
      <w:r>
        <w:rPr/>
        <w:t>and understandable</w:t>
      </w:r>
      <w:r>
        <w:rPr>
          <w:spacing w:val="-1"/>
        </w:rPr>
        <w:t> </w:t>
      </w:r>
      <w:r>
        <w:rPr/>
        <w:t>report</w:t>
      </w:r>
      <w:r>
        <w:rPr>
          <w:spacing w:val="-1"/>
        </w:rPr>
        <w:t> </w:t>
      </w:r>
      <w:r>
        <w:rPr/>
        <w:t>of Council’s activities</w:t>
      </w:r>
      <w:r>
        <w:rPr>
          <w:spacing w:val="-2"/>
        </w:rPr>
        <w:t> </w:t>
      </w:r>
      <w:r>
        <w:rPr/>
        <w:t>for the year from both</w:t>
      </w:r>
      <w:r>
        <w:rPr>
          <w:spacing w:val="-1"/>
        </w:rPr>
        <w:t> </w:t>
      </w:r>
      <w:r>
        <w:rPr/>
        <w:t>a</w:t>
      </w:r>
      <w:r>
        <w:rPr>
          <w:spacing w:val="-1"/>
        </w:rPr>
        <w:t> </w:t>
      </w:r>
      <w:r>
        <w:rPr/>
        <w:t>financial and non-financial perspective, particularly for those users who do not have a financial background.</w:t>
      </w:r>
    </w:p>
    <w:p>
      <w:pPr>
        <w:pStyle w:val="BodyText"/>
        <w:spacing w:before="10"/>
        <w:rPr>
          <w:sz w:val="21"/>
        </w:rPr>
      </w:pPr>
    </w:p>
    <w:p>
      <w:pPr>
        <w:spacing w:before="1"/>
        <w:ind w:left="391" w:right="403" w:firstLine="0"/>
        <w:jc w:val="both"/>
        <w:rPr>
          <w:sz w:val="22"/>
        </w:rPr>
      </w:pPr>
      <w:r>
        <w:rPr>
          <w:sz w:val="22"/>
        </w:rPr>
        <w:t>This section includes the following financial statements prepared in accordance with the </w:t>
      </w:r>
      <w:r>
        <w:rPr>
          <w:i/>
          <w:sz w:val="22"/>
        </w:rPr>
        <w:t>Local Government</w:t>
      </w:r>
      <w:r>
        <w:rPr>
          <w:i/>
          <w:sz w:val="22"/>
        </w:rPr>
        <w:t> Act 2020 and the Local Government (Planning and Reporting) Regulations 2020</w:t>
      </w:r>
      <w:r>
        <w:rPr>
          <w:sz w:val="22"/>
        </w:rPr>
        <w:t>:</w:t>
      </w:r>
    </w:p>
    <w:p>
      <w:pPr>
        <w:pStyle w:val="BodyText"/>
        <w:spacing w:before="1"/>
      </w:pPr>
    </w:p>
    <w:p>
      <w:pPr>
        <w:pStyle w:val="ListParagraph"/>
        <w:numPr>
          <w:ilvl w:val="1"/>
          <w:numId w:val="2"/>
        </w:numPr>
        <w:tabs>
          <w:tab w:pos="958" w:val="left" w:leader="none"/>
          <w:tab w:pos="959" w:val="left" w:leader="none"/>
          <w:tab w:pos="5431" w:val="left" w:leader="none"/>
        </w:tabs>
        <w:spacing w:line="269" w:lineRule="exact" w:before="0" w:after="0"/>
        <w:ind w:left="958" w:right="0" w:hanging="568"/>
        <w:jc w:val="left"/>
        <w:rPr>
          <w:i/>
          <w:sz w:val="22"/>
        </w:rPr>
      </w:pPr>
      <w:r>
        <w:rPr>
          <w:i/>
          <w:sz w:val="22"/>
        </w:rPr>
        <w:t>Comprehensive</w:t>
      </w:r>
      <w:r>
        <w:rPr>
          <w:i/>
          <w:spacing w:val="-8"/>
          <w:sz w:val="22"/>
        </w:rPr>
        <w:t> </w:t>
      </w:r>
      <w:r>
        <w:rPr>
          <w:i/>
          <w:sz w:val="22"/>
        </w:rPr>
        <w:t>Income</w:t>
      </w:r>
      <w:r>
        <w:rPr>
          <w:i/>
          <w:spacing w:val="-7"/>
          <w:sz w:val="22"/>
        </w:rPr>
        <w:t> </w:t>
      </w:r>
      <w:r>
        <w:rPr>
          <w:i/>
          <w:sz w:val="22"/>
        </w:rPr>
        <w:t>Statement</w:t>
      </w:r>
      <w:r>
        <w:rPr>
          <w:i/>
          <w:spacing w:val="-5"/>
          <w:sz w:val="22"/>
        </w:rPr>
        <w:t> </w:t>
      </w:r>
      <w:r>
        <w:rPr>
          <w:spacing w:val="-5"/>
          <w:sz w:val="22"/>
        </w:rPr>
        <w:t>……</w:t>
      </w:r>
      <w:r>
        <w:rPr>
          <w:sz w:val="22"/>
        </w:rPr>
        <w:tab/>
      </w:r>
      <w:r>
        <w:rPr>
          <w:i/>
          <w:sz w:val="22"/>
        </w:rPr>
        <w:t>Page</w:t>
      </w:r>
      <w:r>
        <w:rPr>
          <w:i/>
          <w:spacing w:val="-1"/>
          <w:sz w:val="22"/>
        </w:rPr>
        <w:t> </w:t>
      </w:r>
      <w:r>
        <w:rPr>
          <w:i/>
          <w:spacing w:val="-5"/>
          <w:sz w:val="22"/>
        </w:rPr>
        <w:t>40</w:t>
      </w:r>
    </w:p>
    <w:p>
      <w:pPr>
        <w:pStyle w:val="ListParagraph"/>
        <w:numPr>
          <w:ilvl w:val="1"/>
          <w:numId w:val="2"/>
        </w:numPr>
        <w:tabs>
          <w:tab w:pos="958" w:val="left" w:leader="none"/>
          <w:tab w:pos="959" w:val="left" w:leader="none"/>
          <w:tab w:pos="5432" w:val="left" w:leader="none"/>
        </w:tabs>
        <w:spacing w:line="268" w:lineRule="exact" w:before="0" w:after="0"/>
        <w:ind w:left="958" w:right="0" w:hanging="568"/>
        <w:jc w:val="left"/>
        <w:rPr>
          <w:i/>
          <w:sz w:val="22"/>
        </w:rPr>
      </w:pPr>
      <w:r>
        <w:rPr>
          <w:i/>
          <w:sz w:val="22"/>
        </w:rPr>
        <w:t>Balance</w:t>
      </w:r>
      <w:r>
        <w:rPr>
          <w:i/>
          <w:spacing w:val="-4"/>
          <w:sz w:val="22"/>
        </w:rPr>
        <w:t> </w:t>
      </w:r>
      <w:r>
        <w:rPr>
          <w:i/>
          <w:sz w:val="22"/>
        </w:rPr>
        <w:t>Sheet</w:t>
      </w:r>
      <w:r>
        <w:rPr>
          <w:i/>
          <w:spacing w:val="-3"/>
          <w:sz w:val="22"/>
        </w:rPr>
        <w:t> </w:t>
      </w:r>
      <w:r>
        <w:rPr>
          <w:i/>
          <w:spacing w:val="-2"/>
          <w:sz w:val="22"/>
        </w:rPr>
        <w:t>…………………………...</w:t>
      </w:r>
      <w:r>
        <w:rPr>
          <w:i/>
          <w:sz w:val="22"/>
        </w:rPr>
        <w:tab/>
        <w:t>Page</w:t>
      </w:r>
      <w:r>
        <w:rPr>
          <w:i/>
          <w:spacing w:val="-4"/>
          <w:sz w:val="22"/>
        </w:rPr>
        <w:t> </w:t>
      </w:r>
      <w:r>
        <w:rPr>
          <w:i/>
          <w:spacing w:val="-5"/>
          <w:sz w:val="22"/>
        </w:rPr>
        <w:t>41</w:t>
      </w:r>
    </w:p>
    <w:p>
      <w:pPr>
        <w:pStyle w:val="ListParagraph"/>
        <w:numPr>
          <w:ilvl w:val="1"/>
          <w:numId w:val="2"/>
        </w:numPr>
        <w:tabs>
          <w:tab w:pos="958" w:val="left" w:leader="none"/>
          <w:tab w:pos="959" w:val="left" w:leader="none"/>
          <w:tab w:pos="5431" w:val="left" w:leader="none"/>
        </w:tabs>
        <w:spacing w:line="268" w:lineRule="exact" w:before="0" w:after="0"/>
        <w:ind w:left="958" w:right="0" w:hanging="568"/>
        <w:jc w:val="left"/>
        <w:rPr>
          <w:i/>
          <w:sz w:val="22"/>
        </w:rPr>
      </w:pPr>
      <w:r>
        <w:rPr>
          <w:i/>
          <w:sz w:val="22"/>
        </w:rPr>
        <w:t>Statement</w:t>
      </w:r>
      <w:r>
        <w:rPr>
          <w:i/>
          <w:spacing w:val="-3"/>
          <w:sz w:val="22"/>
        </w:rPr>
        <w:t> </w:t>
      </w:r>
      <w:r>
        <w:rPr>
          <w:i/>
          <w:sz w:val="22"/>
        </w:rPr>
        <w:t>of</w:t>
      </w:r>
      <w:r>
        <w:rPr>
          <w:i/>
          <w:spacing w:val="-4"/>
          <w:sz w:val="22"/>
        </w:rPr>
        <w:t> </w:t>
      </w:r>
      <w:r>
        <w:rPr>
          <w:i/>
          <w:sz w:val="22"/>
        </w:rPr>
        <w:t>Changes</w:t>
      </w:r>
      <w:r>
        <w:rPr>
          <w:i/>
          <w:spacing w:val="-2"/>
          <w:sz w:val="22"/>
        </w:rPr>
        <w:t> </w:t>
      </w:r>
      <w:r>
        <w:rPr>
          <w:i/>
          <w:sz w:val="22"/>
        </w:rPr>
        <w:t>in</w:t>
      </w:r>
      <w:r>
        <w:rPr>
          <w:i/>
          <w:spacing w:val="-3"/>
          <w:sz w:val="22"/>
        </w:rPr>
        <w:t> </w:t>
      </w:r>
      <w:r>
        <w:rPr>
          <w:i/>
          <w:spacing w:val="-2"/>
          <w:sz w:val="22"/>
        </w:rPr>
        <w:t>Equity……….</w:t>
      </w:r>
      <w:r>
        <w:rPr>
          <w:i/>
          <w:sz w:val="22"/>
        </w:rPr>
        <w:tab/>
        <w:t>Page</w:t>
      </w:r>
      <w:r>
        <w:rPr>
          <w:i/>
          <w:spacing w:val="-1"/>
          <w:sz w:val="22"/>
        </w:rPr>
        <w:t> </w:t>
      </w:r>
      <w:r>
        <w:rPr>
          <w:i/>
          <w:spacing w:val="-5"/>
          <w:sz w:val="22"/>
        </w:rPr>
        <w:t>42</w:t>
      </w:r>
    </w:p>
    <w:p>
      <w:pPr>
        <w:pStyle w:val="ListParagraph"/>
        <w:numPr>
          <w:ilvl w:val="1"/>
          <w:numId w:val="2"/>
        </w:numPr>
        <w:tabs>
          <w:tab w:pos="958" w:val="left" w:leader="none"/>
          <w:tab w:pos="959" w:val="left" w:leader="none"/>
          <w:tab w:pos="5432" w:val="left" w:leader="none"/>
        </w:tabs>
        <w:spacing w:line="269" w:lineRule="exact" w:before="0" w:after="0"/>
        <w:ind w:left="958" w:right="0" w:hanging="568"/>
        <w:jc w:val="left"/>
        <w:rPr>
          <w:i/>
          <w:sz w:val="22"/>
        </w:rPr>
      </w:pPr>
      <w:r>
        <w:rPr>
          <w:i/>
          <w:sz w:val="22"/>
        </w:rPr>
        <w:t>Statement</w:t>
      </w:r>
      <w:r>
        <w:rPr>
          <w:i/>
          <w:spacing w:val="-3"/>
          <w:sz w:val="22"/>
        </w:rPr>
        <w:t> </w:t>
      </w:r>
      <w:r>
        <w:rPr>
          <w:i/>
          <w:sz w:val="22"/>
        </w:rPr>
        <w:t>of</w:t>
      </w:r>
      <w:r>
        <w:rPr>
          <w:i/>
          <w:spacing w:val="-4"/>
          <w:sz w:val="22"/>
        </w:rPr>
        <w:t> </w:t>
      </w:r>
      <w:r>
        <w:rPr>
          <w:i/>
          <w:sz w:val="22"/>
        </w:rPr>
        <w:t>Cash</w:t>
      </w:r>
      <w:r>
        <w:rPr>
          <w:i/>
          <w:spacing w:val="-1"/>
          <w:sz w:val="22"/>
        </w:rPr>
        <w:t> </w:t>
      </w:r>
      <w:r>
        <w:rPr>
          <w:i/>
          <w:spacing w:val="-2"/>
          <w:sz w:val="22"/>
        </w:rPr>
        <w:t>Flow…………………</w:t>
      </w:r>
      <w:r>
        <w:rPr>
          <w:i/>
          <w:sz w:val="22"/>
        </w:rPr>
        <w:tab/>
        <w:t>Page</w:t>
      </w:r>
      <w:r>
        <w:rPr>
          <w:i/>
          <w:spacing w:val="-4"/>
          <w:sz w:val="22"/>
        </w:rPr>
        <w:t> </w:t>
      </w:r>
      <w:r>
        <w:rPr>
          <w:i/>
          <w:spacing w:val="-5"/>
          <w:sz w:val="22"/>
        </w:rPr>
        <w:t>43</w:t>
      </w:r>
    </w:p>
    <w:p>
      <w:pPr>
        <w:pStyle w:val="ListParagraph"/>
        <w:numPr>
          <w:ilvl w:val="1"/>
          <w:numId w:val="2"/>
        </w:numPr>
        <w:tabs>
          <w:tab w:pos="958" w:val="left" w:leader="none"/>
          <w:tab w:pos="959" w:val="left" w:leader="none"/>
          <w:tab w:pos="5432" w:val="left" w:leader="none"/>
        </w:tabs>
        <w:spacing w:line="268" w:lineRule="exact" w:before="0" w:after="0"/>
        <w:ind w:left="958" w:right="0" w:hanging="568"/>
        <w:jc w:val="left"/>
        <w:rPr>
          <w:i/>
          <w:sz w:val="22"/>
        </w:rPr>
      </w:pPr>
      <w:r>
        <w:rPr>
          <w:i/>
          <w:sz w:val="22"/>
        </w:rPr>
        <w:t>Statement</w:t>
      </w:r>
      <w:r>
        <w:rPr>
          <w:i/>
          <w:spacing w:val="-4"/>
          <w:sz w:val="22"/>
        </w:rPr>
        <w:t> </w:t>
      </w:r>
      <w:r>
        <w:rPr>
          <w:i/>
          <w:sz w:val="22"/>
        </w:rPr>
        <w:t>of</w:t>
      </w:r>
      <w:r>
        <w:rPr>
          <w:i/>
          <w:spacing w:val="-4"/>
          <w:sz w:val="22"/>
        </w:rPr>
        <w:t> </w:t>
      </w:r>
      <w:r>
        <w:rPr>
          <w:i/>
          <w:sz w:val="22"/>
        </w:rPr>
        <w:t>Capital</w:t>
      </w:r>
      <w:r>
        <w:rPr>
          <w:i/>
          <w:spacing w:val="-3"/>
          <w:sz w:val="22"/>
        </w:rPr>
        <w:t> </w:t>
      </w:r>
      <w:r>
        <w:rPr>
          <w:i/>
          <w:spacing w:val="-2"/>
          <w:sz w:val="22"/>
        </w:rPr>
        <w:t>Works…………….</w:t>
      </w:r>
      <w:r>
        <w:rPr>
          <w:i/>
          <w:sz w:val="22"/>
        </w:rPr>
        <w:tab/>
        <w:t>Page</w:t>
      </w:r>
      <w:r>
        <w:rPr>
          <w:i/>
          <w:spacing w:val="-4"/>
          <w:sz w:val="22"/>
        </w:rPr>
        <w:t> </w:t>
      </w:r>
      <w:r>
        <w:rPr>
          <w:i/>
          <w:spacing w:val="-5"/>
          <w:sz w:val="22"/>
        </w:rPr>
        <w:t>44</w:t>
      </w:r>
    </w:p>
    <w:p>
      <w:pPr>
        <w:pStyle w:val="ListParagraph"/>
        <w:numPr>
          <w:ilvl w:val="1"/>
          <w:numId w:val="2"/>
        </w:numPr>
        <w:tabs>
          <w:tab w:pos="958" w:val="left" w:leader="none"/>
          <w:tab w:pos="959" w:val="left" w:leader="none"/>
          <w:tab w:pos="5432" w:val="left" w:leader="none"/>
        </w:tabs>
        <w:spacing w:line="268" w:lineRule="exact" w:before="0" w:after="0"/>
        <w:ind w:left="958" w:right="0" w:hanging="568"/>
        <w:jc w:val="left"/>
        <w:rPr>
          <w:i/>
          <w:sz w:val="22"/>
        </w:rPr>
      </w:pPr>
      <w:r>
        <w:rPr>
          <w:i/>
          <w:sz w:val="22"/>
        </w:rPr>
        <w:t>Statement</w:t>
      </w:r>
      <w:r>
        <w:rPr>
          <w:i/>
          <w:spacing w:val="-3"/>
          <w:sz w:val="22"/>
        </w:rPr>
        <w:t> </w:t>
      </w:r>
      <w:r>
        <w:rPr>
          <w:i/>
          <w:sz w:val="22"/>
        </w:rPr>
        <w:t>of</w:t>
      </w:r>
      <w:r>
        <w:rPr>
          <w:i/>
          <w:spacing w:val="-5"/>
          <w:sz w:val="22"/>
        </w:rPr>
        <w:t> </w:t>
      </w:r>
      <w:r>
        <w:rPr>
          <w:i/>
          <w:sz w:val="22"/>
        </w:rPr>
        <w:t>Human</w:t>
      </w:r>
      <w:r>
        <w:rPr>
          <w:i/>
          <w:spacing w:val="-4"/>
          <w:sz w:val="22"/>
        </w:rPr>
        <w:t> </w:t>
      </w:r>
      <w:r>
        <w:rPr>
          <w:i/>
          <w:spacing w:val="-2"/>
          <w:sz w:val="22"/>
        </w:rPr>
        <w:t>Resources………</w:t>
      </w:r>
      <w:r>
        <w:rPr>
          <w:i/>
          <w:sz w:val="22"/>
        </w:rPr>
        <w:tab/>
        <w:t>Page</w:t>
      </w:r>
      <w:r>
        <w:rPr>
          <w:i/>
          <w:spacing w:val="-3"/>
          <w:sz w:val="22"/>
        </w:rPr>
        <w:t> </w:t>
      </w:r>
      <w:r>
        <w:rPr>
          <w:i/>
          <w:spacing w:val="-5"/>
          <w:sz w:val="22"/>
        </w:rPr>
        <w:t>45</w:t>
      </w:r>
    </w:p>
    <w:p>
      <w:pPr>
        <w:spacing w:after="0" w:line="268" w:lineRule="exact"/>
        <w:jc w:val="left"/>
        <w:rPr>
          <w:sz w:val="22"/>
        </w:rPr>
        <w:sectPr>
          <w:pgSz w:w="11910" w:h="16840"/>
          <w:pgMar w:header="0" w:footer="375" w:top="480" w:bottom="560" w:left="460" w:right="160"/>
        </w:sectPr>
      </w:pPr>
    </w:p>
    <w:tbl>
      <w:tblPr>
        <w:tblW w:w="0" w:type="auto"/>
        <w:jc w:val="left"/>
        <w:tblInd w:w="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21"/>
        <w:gridCol w:w="1022"/>
        <w:gridCol w:w="1272"/>
        <w:gridCol w:w="1270"/>
        <w:gridCol w:w="1370"/>
        <w:gridCol w:w="1400"/>
        <w:gridCol w:w="1192"/>
      </w:tblGrid>
      <w:tr>
        <w:trPr>
          <w:trHeight w:val="885" w:hRule="atLeast"/>
        </w:trPr>
        <w:tc>
          <w:tcPr>
            <w:tcW w:w="10747" w:type="dxa"/>
            <w:gridSpan w:val="7"/>
            <w:tcBorders>
              <w:top w:val="single" w:sz="18" w:space="0" w:color="000000"/>
              <w:left w:val="single" w:sz="12" w:space="0" w:color="000000"/>
              <w:right w:val="single" w:sz="12" w:space="0" w:color="000000"/>
            </w:tcBorders>
          </w:tcPr>
          <w:p>
            <w:pPr>
              <w:pStyle w:val="TableParagraph"/>
              <w:spacing w:line="267" w:lineRule="exact"/>
              <w:ind w:left="104"/>
              <w:rPr>
                <w:b/>
                <w:sz w:val="24"/>
              </w:rPr>
            </w:pPr>
            <w:r>
              <w:rPr>
                <w:b/>
                <w:color w:val="4966AC"/>
                <w:sz w:val="24"/>
              </w:rPr>
              <w:t>Comprehensive</w:t>
            </w:r>
            <w:r>
              <w:rPr>
                <w:b/>
                <w:color w:val="4966AC"/>
                <w:spacing w:val="-1"/>
                <w:sz w:val="24"/>
              </w:rPr>
              <w:t> </w:t>
            </w:r>
            <w:r>
              <w:rPr>
                <w:b/>
                <w:color w:val="4966AC"/>
                <w:sz w:val="24"/>
              </w:rPr>
              <w:t>Income </w:t>
            </w:r>
            <w:r>
              <w:rPr>
                <w:b/>
                <w:color w:val="4966AC"/>
                <w:spacing w:val="-2"/>
                <w:sz w:val="24"/>
              </w:rPr>
              <w:t>Statement</w:t>
            </w:r>
          </w:p>
          <w:p>
            <w:pPr>
              <w:pStyle w:val="TableParagraph"/>
              <w:spacing w:line="253" w:lineRule="exact"/>
              <w:ind w:left="104"/>
              <w:rPr>
                <w:sz w:val="22"/>
              </w:rPr>
            </w:pPr>
            <w:r>
              <w:rPr>
                <w:color w:val="4966AC"/>
                <w:sz w:val="22"/>
              </w:rPr>
              <w:t>For</w:t>
            </w:r>
            <w:r>
              <w:rPr>
                <w:color w:val="4966AC"/>
                <w:spacing w:val="-3"/>
                <w:sz w:val="22"/>
              </w:rPr>
              <w:t> </w:t>
            </w:r>
            <w:r>
              <w:rPr>
                <w:color w:val="4966AC"/>
                <w:sz w:val="22"/>
              </w:rPr>
              <w:t>the</w:t>
            </w:r>
            <w:r>
              <w:rPr>
                <w:color w:val="4966AC"/>
                <w:spacing w:val="-3"/>
                <w:sz w:val="22"/>
              </w:rPr>
              <w:t> </w:t>
            </w:r>
            <w:r>
              <w:rPr>
                <w:color w:val="4966AC"/>
                <w:sz w:val="22"/>
              </w:rPr>
              <w:t>four</w:t>
            </w:r>
            <w:r>
              <w:rPr>
                <w:color w:val="4966AC"/>
                <w:spacing w:val="-2"/>
                <w:sz w:val="22"/>
              </w:rPr>
              <w:t> </w:t>
            </w:r>
            <w:r>
              <w:rPr>
                <w:color w:val="4966AC"/>
                <w:sz w:val="22"/>
              </w:rPr>
              <w:t>years</w:t>
            </w:r>
            <w:r>
              <w:rPr>
                <w:color w:val="4966AC"/>
                <w:spacing w:val="-2"/>
                <w:sz w:val="22"/>
              </w:rPr>
              <w:t> </w:t>
            </w:r>
            <w:r>
              <w:rPr>
                <w:color w:val="4966AC"/>
                <w:sz w:val="22"/>
              </w:rPr>
              <w:t>ending</w:t>
            </w:r>
            <w:r>
              <w:rPr>
                <w:color w:val="4966AC"/>
                <w:spacing w:val="-3"/>
                <w:sz w:val="22"/>
              </w:rPr>
              <w:t> </w:t>
            </w:r>
            <w:r>
              <w:rPr>
                <w:color w:val="4966AC"/>
                <w:sz w:val="22"/>
              </w:rPr>
              <w:t>30</w:t>
            </w:r>
            <w:r>
              <w:rPr>
                <w:color w:val="4966AC"/>
                <w:spacing w:val="-2"/>
                <w:sz w:val="22"/>
              </w:rPr>
              <w:t> </w:t>
            </w:r>
            <w:r>
              <w:rPr>
                <w:color w:val="4966AC"/>
                <w:sz w:val="22"/>
              </w:rPr>
              <w:t>June</w:t>
            </w:r>
            <w:r>
              <w:rPr>
                <w:color w:val="4966AC"/>
                <w:spacing w:val="-3"/>
                <w:sz w:val="22"/>
              </w:rPr>
              <w:t> </w:t>
            </w:r>
            <w:r>
              <w:rPr>
                <w:color w:val="4966AC"/>
                <w:spacing w:val="-4"/>
                <w:sz w:val="22"/>
              </w:rPr>
              <w:t>2029</w:t>
            </w:r>
          </w:p>
        </w:tc>
      </w:tr>
      <w:tr>
        <w:trPr>
          <w:trHeight w:val="950" w:hRule="atLeast"/>
        </w:trPr>
        <w:tc>
          <w:tcPr>
            <w:tcW w:w="3221" w:type="dxa"/>
            <w:tcBorders>
              <w:left w:val="single" w:sz="12" w:space="0" w:color="000000"/>
            </w:tcBorders>
            <w:shd w:val="clear" w:color="auto" w:fill="5B9AD4"/>
          </w:tcPr>
          <w:p>
            <w:pPr>
              <w:pStyle w:val="TableParagraph"/>
              <w:rPr>
                <w:rFonts w:ascii="Times New Roman"/>
                <w:sz w:val="18"/>
              </w:rPr>
            </w:pPr>
          </w:p>
        </w:tc>
        <w:tc>
          <w:tcPr>
            <w:tcW w:w="1022" w:type="dxa"/>
            <w:shd w:val="clear" w:color="auto" w:fill="5B9AD4"/>
          </w:tcPr>
          <w:p>
            <w:pPr>
              <w:pStyle w:val="TableParagraph"/>
              <w:rPr>
                <w:i/>
                <w:sz w:val="22"/>
              </w:rPr>
            </w:pPr>
          </w:p>
          <w:p>
            <w:pPr>
              <w:pStyle w:val="TableParagraph"/>
              <w:rPr>
                <w:i/>
                <w:sz w:val="22"/>
              </w:rPr>
            </w:pPr>
          </w:p>
          <w:p>
            <w:pPr>
              <w:pStyle w:val="TableParagraph"/>
              <w:spacing w:before="10"/>
              <w:rPr>
                <w:i/>
                <w:sz w:val="17"/>
              </w:rPr>
            </w:pPr>
          </w:p>
          <w:p>
            <w:pPr>
              <w:pStyle w:val="TableParagraph"/>
              <w:spacing w:line="218" w:lineRule="exact" w:before="1"/>
              <w:ind w:left="184"/>
              <w:rPr>
                <w:b/>
                <w:sz w:val="20"/>
              </w:rPr>
            </w:pPr>
            <w:r>
              <w:rPr>
                <w:b/>
                <w:color w:val="FFFFFF"/>
                <w:spacing w:val="-2"/>
                <w:sz w:val="20"/>
              </w:rPr>
              <w:t>NOTES</w:t>
            </w:r>
          </w:p>
        </w:tc>
        <w:tc>
          <w:tcPr>
            <w:tcW w:w="1272" w:type="dxa"/>
            <w:shd w:val="clear" w:color="auto" w:fill="5B9AD4"/>
          </w:tcPr>
          <w:p>
            <w:pPr>
              <w:pStyle w:val="TableParagraph"/>
              <w:spacing w:line="244" w:lineRule="auto"/>
              <w:ind w:left="230" w:right="207"/>
              <w:jc w:val="center"/>
              <w:rPr>
                <w:b/>
                <w:sz w:val="20"/>
              </w:rPr>
            </w:pPr>
            <w:r>
              <w:rPr>
                <w:b/>
                <w:color w:val="FFFFFF"/>
                <w:spacing w:val="-2"/>
                <w:sz w:val="20"/>
              </w:rPr>
              <w:t>Forecast Actual 2024/25</w:t>
            </w:r>
          </w:p>
          <w:p>
            <w:pPr>
              <w:pStyle w:val="TableParagraph"/>
              <w:spacing w:line="218" w:lineRule="exact" w:before="8"/>
              <w:ind w:left="227" w:right="207"/>
              <w:jc w:val="center"/>
              <w:rPr>
                <w:b/>
                <w:sz w:val="20"/>
              </w:rPr>
            </w:pPr>
            <w:r>
              <w:rPr>
                <w:b/>
                <w:color w:val="FFFFFF"/>
                <w:spacing w:val="-2"/>
                <w:sz w:val="20"/>
              </w:rPr>
              <w:t>$’000</w:t>
            </w:r>
          </w:p>
        </w:tc>
        <w:tc>
          <w:tcPr>
            <w:tcW w:w="1270" w:type="dxa"/>
            <w:shd w:val="clear" w:color="auto" w:fill="5B9AD4"/>
          </w:tcPr>
          <w:p>
            <w:pPr>
              <w:pStyle w:val="TableParagraph"/>
              <w:spacing w:line="352" w:lineRule="exact" w:before="21"/>
              <w:ind w:left="288" w:right="253" w:firstLine="16"/>
              <w:rPr>
                <w:b/>
                <w:sz w:val="20"/>
              </w:rPr>
            </w:pPr>
            <w:r>
              <w:rPr>
                <w:b/>
                <w:color w:val="FFFFFF"/>
                <w:spacing w:val="-2"/>
                <w:sz w:val="20"/>
              </w:rPr>
              <w:t>Budget 2025/26</w:t>
            </w:r>
          </w:p>
          <w:p>
            <w:pPr>
              <w:pStyle w:val="TableParagraph"/>
              <w:spacing w:line="206" w:lineRule="exact"/>
              <w:ind w:left="398"/>
              <w:rPr>
                <w:b/>
                <w:sz w:val="20"/>
              </w:rPr>
            </w:pPr>
            <w:r>
              <w:rPr>
                <w:b/>
                <w:color w:val="FFFFFF"/>
                <w:spacing w:val="-2"/>
                <w:sz w:val="20"/>
              </w:rPr>
              <w:t>$’000</w:t>
            </w:r>
          </w:p>
        </w:tc>
        <w:tc>
          <w:tcPr>
            <w:tcW w:w="1370" w:type="dxa"/>
            <w:shd w:val="clear" w:color="auto" w:fill="5B9AD4"/>
          </w:tcPr>
          <w:p>
            <w:pPr>
              <w:pStyle w:val="TableParagraph"/>
              <w:rPr>
                <w:i/>
                <w:sz w:val="22"/>
              </w:rPr>
            </w:pPr>
          </w:p>
          <w:p>
            <w:pPr>
              <w:pStyle w:val="TableParagraph"/>
              <w:spacing w:before="7"/>
              <w:rPr>
                <w:i/>
                <w:sz w:val="18"/>
              </w:rPr>
            </w:pPr>
          </w:p>
          <w:p>
            <w:pPr>
              <w:pStyle w:val="TableParagraph"/>
              <w:ind w:left="359"/>
              <w:rPr>
                <w:b/>
                <w:sz w:val="20"/>
              </w:rPr>
            </w:pPr>
            <w:r>
              <w:rPr>
                <w:b/>
                <w:color w:val="FFFFFF"/>
                <w:spacing w:val="-2"/>
                <w:sz w:val="20"/>
              </w:rPr>
              <w:t>2026/27</w:t>
            </w:r>
          </w:p>
          <w:p>
            <w:pPr>
              <w:pStyle w:val="TableParagraph"/>
              <w:spacing w:line="218" w:lineRule="exact" w:before="15"/>
              <w:ind w:left="470"/>
              <w:rPr>
                <w:b/>
                <w:sz w:val="20"/>
              </w:rPr>
            </w:pPr>
            <w:r>
              <w:rPr>
                <w:b/>
                <w:color w:val="FFFFFF"/>
                <w:spacing w:val="-2"/>
                <w:sz w:val="20"/>
              </w:rPr>
              <w:t>$’000</w:t>
            </w:r>
          </w:p>
        </w:tc>
        <w:tc>
          <w:tcPr>
            <w:tcW w:w="1400" w:type="dxa"/>
            <w:shd w:val="clear" w:color="auto" w:fill="5B9AD4"/>
          </w:tcPr>
          <w:p>
            <w:pPr>
              <w:pStyle w:val="TableParagraph"/>
              <w:spacing w:line="352" w:lineRule="exact" w:before="21"/>
              <w:ind w:left="333" w:hanging="255"/>
              <w:rPr>
                <w:b/>
                <w:sz w:val="20"/>
              </w:rPr>
            </w:pPr>
            <w:r>
              <w:rPr>
                <w:b/>
                <w:color w:val="FFFFFF"/>
                <w:spacing w:val="-2"/>
                <w:sz w:val="20"/>
              </w:rPr>
              <w:t>Projections 2027/28</w:t>
            </w:r>
          </w:p>
          <w:p>
            <w:pPr>
              <w:pStyle w:val="TableParagraph"/>
              <w:spacing w:line="206" w:lineRule="exact"/>
              <w:ind w:left="444"/>
              <w:rPr>
                <w:b/>
                <w:sz w:val="20"/>
              </w:rPr>
            </w:pPr>
            <w:r>
              <w:rPr>
                <w:b/>
                <w:color w:val="FFFFFF"/>
                <w:spacing w:val="-2"/>
                <w:sz w:val="20"/>
              </w:rPr>
              <w:t>$’000</w:t>
            </w:r>
          </w:p>
        </w:tc>
        <w:tc>
          <w:tcPr>
            <w:tcW w:w="1192" w:type="dxa"/>
            <w:tcBorders>
              <w:right w:val="single" w:sz="12" w:space="0" w:color="000000"/>
            </w:tcBorders>
            <w:shd w:val="clear" w:color="auto" w:fill="5B9AD4"/>
          </w:tcPr>
          <w:p>
            <w:pPr>
              <w:pStyle w:val="TableParagraph"/>
              <w:rPr>
                <w:i/>
                <w:sz w:val="22"/>
              </w:rPr>
            </w:pPr>
          </w:p>
          <w:p>
            <w:pPr>
              <w:pStyle w:val="TableParagraph"/>
              <w:spacing w:before="7"/>
              <w:rPr>
                <w:i/>
                <w:sz w:val="18"/>
              </w:rPr>
            </w:pPr>
          </w:p>
          <w:p>
            <w:pPr>
              <w:pStyle w:val="TableParagraph"/>
              <w:ind w:left="190"/>
              <w:rPr>
                <w:b/>
                <w:sz w:val="20"/>
              </w:rPr>
            </w:pPr>
            <w:r>
              <w:rPr>
                <w:b/>
                <w:color w:val="FFFFFF"/>
                <w:spacing w:val="-2"/>
                <w:sz w:val="20"/>
              </w:rPr>
              <w:t>2028/29</w:t>
            </w:r>
          </w:p>
          <w:p>
            <w:pPr>
              <w:pStyle w:val="TableParagraph"/>
              <w:spacing w:line="218" w:lineRule="exact" w:before="15"/>
              <w:ind w:left="301"/>
              <w:rPr>
                <w:b/>
                <w:sz w:val="20"/>
              </w:rPr>
            </w:pPr>
            <w:r>
              <w:rPr>
                <w:b/>
                <w:color w:val="FFFFFF"/>
                <w:spacing w:val="-2"/>
                <w:sz w:val="20"/>
              </w:rPr>
              <w:t>$’000</w:t>
            </w:r>
          </w:p>
        </w:tc>
      </w:tr>
      <w:tr>
        <w:trPr>
          <w:trHeight w:val="240" w:hRule="atLeast"/>
        </w:trPr>
        <w:tc>
          <w:tcPr>
            <w:tcW w:w="3221" w:type="dxa"/>
            <w:tcBorders>
              <w:left w:val="single" w:sz="12" w:space="0" w:color="000000"/>
            </w:tcBorders>
          </w:tcPr>
          <w:p>
            <w:pPr>
              <w:pStyle w:val="TableParagraph"/>
              <w:spacing w:line="221" w:lineRule="exact"/>
              <w:ind w:left="104"/>
              <w:rPr>
                <w:b/>
                <w:sz w:val="20"/>
              </w:rPr>
            </w:pPr>
            <w:r>
              <w:rPr>
                <w:b/>
                <w:spacing w:val="-2"/>
                <w:sz w:val="20"/>
              </w:rPr>
              <w:t>Income/Revenue</w:t>
            </w:r>
          </w:p>
        </w:tc>
        <w:tc>
          <w:tcPr>
            <w:tcW w:w="1022" w:type="dxa"/>
          </w:tcPr>
          <w:p>
            <w:pPr>
              <w:pStyle w:val="TableParagraph"/>
              <w:rPr>
                <w:rFonts w:ascii="Times New Roman"/>
                <w:sz w:val="16"/>
              </w:rPr>
            </w:pPr>
          </w:p>
        </w:tc>
        <w:tc>
          <w:tcPr>
            <w:tcW w:w="1272" w:type="dxa"/>
          </w:tcPr>
          <w:p>
            <w:pPr>
              <w:pStyle w:val="TableParagraph"/>
              <w:rPr>
                <w:rFonts w:ascii="Times New Roman"/>
                <w:sz w:val="16"/>
              </w:rPr>
            </w:pPr>
          </w:p>
        </w:tc>
        <w:tc>
          <w:tcPr>
            <w:tcW w:w="1270" w:type="dxa"/>
            <w:shd w:val="clear" w:color="auto" w:fill="DDEBF6"/>
          </w:tcPr>
          <w:p>
            <w:pPr>
              <w:pStyle w:val="TableParagraph"/>
              <w:rPr>
                <w:rFonts w:ascii="Times New Roman"/>
                <w:sz w:val="16"/>
              </w:rPr>
            </w:pPr>
          </w:p>
        </w:tc>
        <w:tc>
          <w:tcPr>
            <w:tcW w:w="1370" w:type="dxa"/>
          </w:tcPr>
          <w:p>
            <w:pPr>
              <w:pStyle w:val="TableParagraph"/>
              <w:rPr>
                <w:rFonts w:ascii="Times New Roman"/>
                <w:sz w:val="16"/>
              </w:rPr>
            </w:pPr>
          </w:p>
        </w:tc>
        <w:tc>
          <w:tcPr>
            <w:tcW w:w="1400" w:type="dxa"/>
          </w:tcPr>
          <w:p>
            <w:pPr>
              <w:pStyle w:val="TableParagraph"/>
              <w:rPr>
                <w:rFonts w:ascii="Times New Roman"/>
                <w:sz w:val="16"/>
              </w:rPr>
            </w:pPr>
          </w:p>
        </w:tc>
        <w:tc>
          <w:tcPr>
            <w:tcW w:w="1192" w:type="dxa"/>
            <w:tcBorders>
              <w:right w:val="single" w:sz="12" w:space="0" w:color="000000"/>
            </w:tcBorders>
          </w:tcPr>
          <w:p>
            <w:pPr>
              <w:pStyle w:val="TableParagraph"/>
              <w:rPr>
                <w:rFonts w:ascii="Times New Roman"/>
                <w:sz w:val="16"/>
              </w:rPr>
            </w:pPr>
          </w:p>
        </w:tc>
      </w:tr>
      <w:tr>
        <w:trPr>
          <w:trHeight w:val="248" w:hRule="atLeast"/>
        </w:trPr>
        <w:tc>
          <w:tcPr>
            <w:tcW w:w="3221" w:type="dxa"/>
            <w:tcBorders>
              <w:left w:val="single" w:sz="12" w:space="0" w:color="000000"/>
            </w:tcBorders>
          </w:tcPr>
          <w:p>
            <w:pPr>
              <w:pStyle w:val="TableParagraph"/>
              <w:spacing w:line="225" w:lineRule="exact" w:before="4"/>
              <w:ind w:left="104"/>
              <w:rPr>
                <w:sz w:val="20"/>
              </w:rPr>
            </w:pPr>
            <w:r>
              <w:rPr>
                <w:sz w:val="20"/>
              </w:rPr>
              <w:t>Rates</w:t>
            </w:r>
            <w:r>
              <w:rPr>
                <w:spacing w:val="-5"/>
                <w:sz w:val="20"/>
              </w:rPr>
              <w:t> </w:t>
            </w:r>
            <w:r>
              <w:rPr>
                <w:sz w:val="20"/>
              </w:rPr>
              <w:t>and</w:t>
            </w:r>
            <w:r>
              <w:rPr>
                <w:spacing w:val="-6"/>
                <w:sz w:val="20"/>
              </w:rPr>
              <w:t> </w:t>
            </w:r>
            <w:r>
              <w:rPr>
                <w:spacing w:val="-2"/>
                <w:sz w:val="20"/>
              </w:rPr>
              <w:t>charges</w:t>
            </w:r>
          </w:p>
        </w:tc>
        <w:tc>
          <w:tcPr>
            <w:tcW w:w="1022" w:type="dxa"/>
          </w:tcPr>
          <w:p>
            <w:pPr>
              <w:pStyle w:val="TableParagraph"/>
              <w:spacing w:line="225" w:lineRule="exact" w:before="4"/>
              <w:ind w:left="306"/>
              <w:rPr>
                <w:sz w:val="20"/>
              </w:rPr>
            </w:pPr>
            <w:r>
              <w:rPr>
                <w:spacing w:val="-2"/>
                <w:sz w:val="20"/>
              </w:rPr>
              <w:t>4.1.1</w:t>
            </w:r>
          </w:p>
        </w:tc>
        <w:tc>
          <w:tcPr>
            <w:tcW w:w="1272" w:type="dxa"/>
          </w:tcPr>
          <w:p>
            <w:pPr>
              <w:pStyle w:val="TableParagraph"/>
              <w:spacing w:line="217" w:lineRule="exact" w:before="11"/>
              <w:ind w:right="96"/>
              <w:jc w:val="right"/>
              <w:rPr>
                <w:sz w:val="20"/>
              </w:rPr>
            </w:pPr>
            <w:r>
              <w:rPr>
                <w:spacing w:val="-2"/>
                <w:sz w:val="20"/>
              </w:rPr>
              <w:t>111,689</w:t>
            </w:r>
          </w:p>
        </w:tc>
        <w:tc>
          <w:tcPr>
            <w:tcW w:w="1270" w:type="dxa"/>
            <w:shd w:val="clear" w:color="auto" w:fill="DDEBF6"/>
          </w:tcPr>
          <w:p>
            <w:pPr>
              <w:pStyle w:val="TableParagraph"/>
              <w:spacing w:line="217" w:lineRule="exact" w:before="11"/>
              <w:ind w:right="94"/>
              <w:jc w:val="right"/>
              <w:rPr>
                <w:b/>
                <w:sz w:val="20"/>
              </w:rPr>
            </w:pPr>
            <w:r>
              <w:rPr>
                <w:b/>
                <w:spacing w:val="-2"/>
                <w:sz w:val="20"/>
              </w:rPr>
              <w:t>116,159</w:t>
            </w:r>
          </w:p>
        </w:tc>
        <w:tc>
          <w:tcPr>
            <w:tcW w:w="1370" w:type="dxa"/>
          </w:tcPr>
          <w:p>
            <w:pPr>
              <w:pStyle w:val="TableParagraph"/>
              <w:spacing w:line="217" w:lineRule="exact" w:before="11"/>
              <w:ind w:right="50"/>
              <w:jc w:val="right"/>
              <w:rPr>
                <w:sz w:val="20"/>
              </w:rPr>
            </w:pPr>
            <w:r>
              <w:rPr>
                <w:spacing w:val="-2"/>
                <w:sz w:val="20"/>
              </w:rPr>
              <w:t>124,073</w:t>
            </w:r>
          </w:p>
        </w:tc>
        <w:tc>
          <w:tcPr>
            <w:tcW w:w="1400" w:type="dxa"/>
          </w:tcPr>
          <w:p>
            <w:pPr>
              <w:pStyle w:val="TableParagraph"/>
              <w:spacing w:line="217" w:lineRule="exact" w:before="11"/>
              <w:ind w:right="176"/>
              <w:jc w:val="right"/>
              <w:rPr>
                <w:sz w:val="20"/>
              </w:rPr>
            </w:pPr>
            <w:r>
              <w:rPr>
                <w:spacing w:val="-2"/>
                <w:sz w:val="20"/>
              </w:rPr>
              <w:t>125,120</w:t>
            </w:r>
          </w:p>
        </w:tc>
        <w:tc>
          <w:tcPr>
            <w:tcW w:w="1192" w:type="dxa"/>
            <w:tcBorders>
              <w:right w:val="single" w:sz="12" w:space="0" w:color="000000"/>
            </w:tcBorders>
          </w:tcPr>
          <w:p>
            <w:pPr>
              <w:pStyle w:val="TableParagraph"/>
              <w:spacing w:line="217" w:lineRule="exact" w:before="11"/>
              <w:ind w:right="81"/>
              <w:jc w:val="right"/>
              <w:rPr>
                <w:sz w:val="20"/>
              </w:rPr>
            </w:pPr>
            <w:r>
              <w:rPr>
                <w:spacing w:val="-2"/>
                <w:sz w:val="20"/>
              </w:rPr>
              <w:t>128,145</w:t>
            </w:r>
          </w:p>
        </w:tc>
      </w:tr>
      <w:tr>
        <w:trPr>
          <w:trHeight w:val="244" w:hRule="atLeast"/>
        </w:trPr>
        <w:tc>
          <w:tcPr>
            <w:tcW w:w="3221" w:type="dxa"/>
            <w:tcBorders>
              <w:left w:val="single" w:sz="12" w:space="0" w:color="000000"/>
            </w:tcBorders>
          </w:tcPr>
          <w:p>
            <w:pPr>
              <w:pStyle w:val="TableParagraph"/>
              <w:spacing w:line="225" w:lineRule="exact"/>
              <w:ind w:left="104"/>
              <w:rPr>
                <w:sz w:val="20"/>
              </w:rPr>
            </w:pPr>
            <w:r>
              <w:rPr>
                <w:sz w:val="20"/>
              </w:rPr>
              <w:t>Statutory</w:t>
            </w:r>
            <w:r>
              <w:rPr>
                <w:spacing w:val="-7"/>
                <w:sz w:val="20"/>
              </w:rPr>
              <w:t> </w:t>
            </w:r>
            <w:r>
              <w:rPr>
                <w:sz w:val="20"/>
              </w:rPr>
              <w:t>fees</w:t>
            </w:r>
            <w:r>
              <w:rPr>
                <w:spacing w:val="-6"/>
                <w:sz w:val="20"/>
              </w:rPr>
              <w:t> </w:t>
            </w:r>
            <w:r>
              <w:rPr>
                <w:sz w:val="20"/>
              </w:rPr>
              <w:t>and</w:t>
            </w:r>
            <w:r>
              <w:rPr>
                <w:spacing w:val="-6"/>
                <w:sz w:val="20"/>
              </w:rPr>
              <w:t> </w:t>
            </w:r>
            <w:r>
              <w:rPr>
                <w:spacing w:val="-4"/>
                <w:sz w:val="20"/>
              </w:rPr>
              <w:t>fines</w:t>
            </w:r>
          </w:p>
        </w:tc>
        <w:tc>
          <w:tcPr>
            <w:tcW w:w="1022" w:type="dxa"/>
          </w:tcPr>
          <w:p>
            <w:pPr>
              <w:pStyle w:val="TableParagraph"/>
              <w:spacing w:line="225" w:lineRule="exact"/>
              <w:ind w:left="306"/>
              <w:rPr>
                <w:sz w:val="20"/>
              </w:rPr>
            </w:pPr>
            <w:r>
              <w:rPr>
                <w:spacing w:val="-2"/>
                <w:sz w:val="20"/>
              </w:rPr>
              <w:t>4.1.2</w:t>
            </w:r>
          </w:p>
        </w:tc>
        <w:tc>
          <w:tcPr>
            <w:tcW w:w="1272" w:type="dxa"/>
          </w:tcPr>
          <w:p>
            <w:pPr>
              <w:pStyle w:val="TableParagraph"/>
              <w:spacing w:line="217" w:lineRule="exact" w:before="7"/>
              <w:ind w:right="95"/>
              <w:jc w:val="right"/>
              <w:rPr>
                <w:sz w:val="20"/>
              </w:rPr>
            </w:pPr>
            <w:r>
              <w:rPr>
                <w:spacing w:val="-2"/>
                <w:sz w:val="20"/>
              </w:rPr>
              <w:t>5,582</w:t>
            </w:r>
          </w:p>
        </w:tc>
        <w:tc>
          <w:tcPr>
            <w:tcW w:w="1270" w:type="dxa"/>
            <w:shd w:val="clear" w:color="auto" w:fill="DDEBF6"/>
          </w:tcPr>
          <w:p>
            <w:pPr>
              <w:pStyle w:val="TableParagraph"/>
              <w:spacing w:line="217" w:lineRule="exact" w:before="7"/>
              <w:ind w:right="93"/>
              <w:jc w:val="right"/>
              <w:rPr>
                <w:b/>
                <w:sz w:val="20"/>
              </w:rPr>
            </w:pPr>
            <w:r>
              <w:rPr>
                <w:b/>
                <w:spacing w:val="-2"/>
                <w:sz w:val="20"/>
              </w:rPr>
              <w:t>5,846</w:t>
            </w:r>
          </w:p>
        </w:tc>
        <w:tc>
          <w:tcPr>
            <w:tcW w:w="1370" w:type="dxa"/>
          </w:tcPr>
          <w:p>
            <w:pPr>
              <w:pStyle w:val="TableParagraph"/>
              <w:spacing w:line="217" w:lineRule="exact" w:before="7"/>
              <w:ind w:right="49"/>
              <w:jc w:val="right"/>
              <w:rPr>
                <w:sz w:val="20"/>
              </w:rPr>
            </w:pPr>
            <w:r>
              <w:rPr>
                <w:spacing w:val="-2"/>
                <w:sz w:val="20"/>
              </w:rPr>
              <w:t>5,873</w:t>
            </w:r>
          </w:p>
        </w:tc>
        <w:tc>
          <w:tcPr>
            <w:tcW w:w="1400" w:type="dxa"/>
          </w:tcPr>
          <w:p>
            <w:pPr>
              <w:pStyle w:val="TableParagraph"/>
              <w:spacing w:line="217" w:lineRule="exact" w:before="7"/>
              <w:ind w:right="175"/>
              <w:jc w:val="right"/>
              <w:rPr>
                <w:sz w:val="20"/>
              </w:rPr>
            </w:pPr>
            <w:r>
              <w:rPr>
                <w:spacing w:val="-2"/>
                <w:sz w:val="20"/>
              </w:rPr>
              <w:t>6,020</w:t>
            </w:r>
          </w:p>
        </w:tc>
        <w:tc>
          <w:tcPr>
            <w:tcW w:w="1192" w:type="dxa"/>
            <w:tcBorders>
              <w:right w:val="single" w:sz="12" w:space="0" w:color="000000"/>
            </w:tcBorders>
          </w:tcPr>
          <w:p>
            <w:pPr>
              <w:pStyle w:val="TableParagraph"/>
              <w:spacing w:line="217" w:lineRule="exact" w:before="7"/>
              <w:ind w:right="80"/>
              <w:jc w:val="right"/>
              <w:rPr>
                <w:sz w:val="20"/>
              </w:rPr>
            </w:pPr>
            <w:r>
              <w:rPr>
                <w:spacing w:val="-2"/>
                <w:sz w:val="20"/>
              </w:rPr>
              <w:t>6,342</w:t>
            </w:r>
          </w:p>
        </w:tc>
      </w:tr>
      <w:tr>
        <w:trPr>
          <w:trHeight w:val="244" w:hRule="atLeast"/>
        </w:trPr>
        <w:tc>
          <w:tcPr>
            <w:tcW w:w="3221" w:type="dxa"/>
            <w:tcBorders>
              <w:left w:val="single" w:sz="12" w:space="0" w:color="000000"/>
            </w:tcBorders>
          </w:tcPr>
          <w:p>
            <w:pPr>
              <w:pStyle w:val="TableParagraph"/>
              <w:spacing w:line="225" w:lineRule="exact"/>
              <w:ind w:left="104"/>
              <w:rPr>
                <w:sz w:val="20"/>
              </w:rPr>
            </w:pPr>
            <w:r>
              <w:rPr>
                <w:sz w:val="20"/>
              </w:rPr>
              <w:t>User</w:t>
            </w:r>
            <w:r>
              <w:rPr>
                <w:spacing w:val="-4"/>
                <w:sz w:val="20"/>
              </w:rPr>
              <w:t> fees</w:t>
            </w:r>
          </w:p>
        </w:tc>
        <w:tc>
          <w:tcPr>
            <w:tcW w:w="1022" w:type="dxa"/>
          </w:tcPr>
          <w:p>
            <w:pPr>
              <w:pStyle w:val="TableParagraph"/>
              <w:spacing w:line="225" w:lineRule="exact"/>
              <w:ind w:left="306"/>
              <w:rPr>
                <w:sz w:val="20"/>
              </w:rPr>
            </w:pPr>
            <w:r>
              <w:rPr>
                <w:spacing w:val="-2"/>
                <w:sz w:val="20"/>
              </w:rPr>
              <w:t>4.1.3</w:t>
            </w:r>
          </w:p>
        </w:tc>
        <w:tc>
          <w:tcPr>
            <w:tcW w:w="1272" w:type="dxa"/>
          </w:tcPr>
          <w:p>
            <w:pPr>
              <w:pStyle w:val="TableParagraph"/>
              <w:spacing w:line="217" w:lineRule="exact" w:before="7"/>
              <w:ind w:right="96"/>
              <w:jc w:val="right"/>
              <w:rPr>
                <w:sz w:val="20"/>
              </w:rPr>
            </w:pPr>
            <w:r>
              <w:rPr>
                <w:spacing w:val="-2"/>
                <w:sz w:val="20"/>
              </w:rPr>
              <w:t>32,681</w:t>
            </w:r>
          </w:p>
        </w:tc>
        <w:tc>
          <w:tcPr>
            <w:tcW w:w="1270" w:type="dxa"/>
            <w:shd w:val="clear" w:color="auto" w:fill="DDEBF6"/>
          </w:tcPr>
          <w:p>
            <w:pPr>
              <w:pStyle w:val="TableParagraph"/>
              <w:spacing w:line="217" w:lineRule="exact" w:before="7"/>
              <w:ind w:right="94"/>
              <w:jc w:val="right"/>
              <w:rPr>
                <w:b/>
                <w:sz w:val="20"/>
              </w:rPr>
            </w:pPr>
            <w:r>
              <w:rPr>
                <w:b/>
                <w:spacing w:val="-2"/>
                <w:sz w:val="20"/>
              </w:rPr>
              <w:t>35,464</w:t>
            </w:r>
          </w:p>
        </w:tc>
        <w:tc>
          <w:tcPr>
            <w:tcW w:w="1370" w:type="dxa"/>
          </w:tcPr>
          <w:p>
            <w:pPr>
              <w:pStyle w:val="TableParagraph"/>
              <w:spacing w:line="217" w:lineRule="exact" w:before="7"/>
              <w:ind w:right="50"/>
              <w:jc w:val="right"/>
              <w:rPr>
                <w:sz w:val="20"/>
              </w:rPr>
            </w:pPr>
            <w:r>
              <w:rPr>
                <w:spacing w:val="-2"/>
                <w:sz w:val="20"/>
              </w:rPr>
              <w:t>37,517</w:t>
            </w:r>
          </w:p>
        </w:tc>
        <w:tc>
          <w:tcPr>
            <w:tcW w:w="1400" w:type="dxa"/>
          </w:tcPr>
          <w:p>
            <w:pPr>
              <w:pStyle w:val="TableParagraph"/>
              <w:spacing w:line="217" w:lineRule="exact" w:before="7"/>
              <w:ind w:right="176"/>
              <w:jc w:val="right"/>
              <w:rPr>
                <w:sz w:val="20"/>
              </w:rPr>
            </w:pPr>
            <w:r>
              <w:rPr>
                <w:spacing w:val="-2"/>
                <w:sz w:val="20"/>
              </w:rPr>
              <w:t>39,296</w:t>
            </w:r>
          </w:p>
        </w:tc>
        <w:tc>
          <w:tcPr>
            <w:tcW w:w="1192" w:type="dxa"/>
            <w:tcBorders>
              <w:right w:val="single" w:sz="12" w:space="0" w:color="000000"/>
            </w:tcBorders>
          </w:tcPr>
          <w:p>
            <w:pPr>
              <w:pStyle w:val="TableParagraph"/>
              <w:spacing w:line="217" w:lineRule="exact" w:before="7"/>
              <w:ind w:right="81"/>
              <w:jc w:val="right"/>
              <w:rPr>
                <w:sz w:val="20"/>
              </w:rPr>
            </w:pPr>
            <w:r>
              <w:rPr>
                <w:spacing w:val="-2"/>
                <w:sz w:val="20"/>
              </w:rPr>
              <w:t>41,076</w:t>
            </w:r>
          </w:p>
        </w:tc>
      </w:tr>
      <w:tr>
        <w:trPr>
          <w:trHeight w:val="244" w:hRule="atLeast"/>
        </w:trPr>
        <w:tc>
          <w:tcPr>
            <w:tcW w:w="3221" w:type="dxa"/>
            <w:tcBorders>
              <w:left w:val="single" w:sz="12" w:space="0" w:color="000000"/>
            </w:tcBorders>
          </w:tcPr>
          <w:p>
            <w:pPr>
              <w:pStyle w:val="TableParagraph"/>
              <w:spacing w:line="225" w:lineRule="exact"/>
              <w:ind w:left="104"/>
              <w:rPr>
                <w:sz w:val="20"/>
              </w:rPr>
            </w:pPr>
            <w:r>
              <w:rPr>
                <w:sz w:val="20"/>
              </w:rPr>
              <w:t>Grants</w:t>
            </w:r>
            <w:r>
              <w:rPr>
                <w:spacing w:val="-6"/>
                <w:sz w:val="20"/>
              </w:rPr>
              <w:t> </w:t>
            </w:r>
            <w:r>
              <w:rPr>
                <w:sz w:val="20"/>
              </w:rPr>
              <w:t>-</w:t>
            </w:r>
            <w:r>
              <w:rPr>
                <w:spacing w:val="-2"/>
                <w:sz w:val="20"/>
              </w:rPr>
              <w:t>operating</w:t>
            </w:r>
          </w:p>
        </w:tc>
        <w:tc>
          <w:tcPr>
            <w:tcW w:w="1022" w:type="dxa"/>
          </w:tcPr>
          <w:p>
            <w:pPr>
              <w:pStyle w:val="TableParagraph"/>
              <w:spacing w:line="225" w:lineRule="exact"/>
              <w:ind w:left="306"/>
              <w:rPr>
                <w:sz w:val="20"/>
              </w:rPr>
            </w:pPr>
            <w:r>
              <w:rPr>
                <w:spacing w:val="-2"/>
                <w:sz w:val="20"/>
              </w:rPr>
              <w:t>4.1.4</w:t>
            </w:r>
          </w:p>
        </w:tc>
        <w:tc>
          <w:tcPr>
            <w:tcW w:w="1272" w:type="dxa"/>
          </w:tcPr>
          <w:p>
            <w:pPr>
              <w:pStyle w:val="TableParagraph"/>
              <w:spacing w:line="217" w:lineRule="exact" w:before="7"/>
              <w:ind w:right="96"/>
              <w:jc w:val="right"/>
              <w:rPr>
                <w:sz w:val="20"/>
              </w:rPr>
            </w:pPr>
            <w:r>
              <w:rPr>
                <w:spacing w:val="-2"/>
                <w:sz w:val="20"/>
              </w:rPr>
              <w:t>10,356</w:t>
            </w:r>
          </w:p>
        </w:tc>
        <w:tc>
          <w:tcPr>
            <w:tcW w:w="1270" w:type="dxa"/>
            <w:shd w:val="clear" w:color="auto" w:fill="DDEBF6"/>
          </w:tcPr>
          <w:p>
            <w:pPr>
              <w:pStyle w:val="TableParagraph"/>
              <w:spacing w:line="217" w:lineRule="exact" w:before="7"/>
              <w:ind w:right="93"/>
              <w:jc w:val="right"/>
              <w:rPr>
                <w:b/>
                <w:sz w:val="20"/>
              </w:rPr>
            </w:pPr>
            <w:r>
              <w:rPr>
                <w:b/>
                <w:spacing w:val="-2"/>
                <w:sz w:val="20"/>
              </w:rPr>
              <w:t>8,131</w:t>
            </w:r>
          </w:p>
        </w:tc>
        <w:tc>
          <w:tcPr>
            <w:tcW w:w="1370" w:type="dxa"/>
          </w:tcPr>
          <w:p>
            <w:pPr>
              <w:pStyle w:val="TableParagraph"/>
              <w:spacing w:line="217" w:lineRule="exact" w:before="7"/>
              <w:ind w:right="49"/>
              <w:jc w:val="right"/>
              <w:rPr>
                <w:sz w:val="20"/>
              </w:rPr>
            </w:pPr>
            <w:r>
              <w:rPr>
                <w:spacing w:val="-2"/>
                <w:sz w:val="20"/>
              </w:rPr>
              <w:t>8,006</w:t>
            </w:r>
          </w:p>
        </w:tc>
        <w:tc>
          <w:tcPr>
            <w:tcW w:w="1400" w:type="dxa"/>
          </w:tcPr>
          <w:p>
            <w:pPr>
              <w:pStyle w:val="TableParagraph"/>
              <w:spacing w:line="217" w:lineRule="exact" w:before="7"/>
              <w:ind w:right="175"/>
              <w:jc w:val="right"/>
              <w:rPr>
                <w:sz w:val="20"/>
              </w:rPr>
            </w:pPr>
            <w:r>
              <w:rPr>
                <w:spacing w:val="-2"/>
                <w:sz w:val="20"/>
              </w:rPr>
              <w:t>8,177</w:t>
            </w:r>
          </w:p>
        </w:tc>
        <w:tc>
          <w:tcPr>
            <w:tcW w:w="1192" w:type="dxa"/>
            <w:tcBorders>
              <w:right w:val="single" w:sz="12" w:space="0" w:color="000000"/>
            </w:tcBorders>
          </w:tcPr>
          <w:p>
            <w:pPr>
              <w:pStyle w:val="TableParagraph"/>
              <w:spacing w:line="217" w:lineRule="exact" w:before="7"/>
              <w:ind w:right="80"/>
              <w:jc w:val="right"/>
              <w:rPr>
                <w:sz w:val="20"/>
              </w:rPr>
            </w:pPr>
            <w:r>
              <w:rPr>
                <w:spacing w:val="-2"/>
                <w:sz w:val="20"/>
              </w:rPr>
              <w:t>8,352</w:t>
            </w:r>
          </w:p>
        </w:tc>
      </w:tr>
      <w:tr>
        <w:trPr>
          <w:trHeight w:val="244" w:hRule="atLeast"/>
        </w:trPr>
        <w:tc>
          <w:tcPr>
            <w:tcW w:w="3221" w:type="dxa"/>
            <w:tcBorders>
              <w:left w:val="single" w:sz="12" w:space="0" w:color="000000"/>
            </w:tcBorders>
          </w:tcPr>
          <w:p>
            <w:pPr>
              <w:pStyle w:val="TableParagraph"/>
              <w:spacing w:line="225" w:lineRule="exact"/>
              <w:ind w:left="104"/>
              <w:rPr>
                <w:sz w:val="20"/>
              </w:rPr>
            </w:pPr>
            <w:r>
              <w:rPr>
                <w:sz w:val="20"/>
              </w:rPr>
              <w:t>Grants</w:t>
            </w:r>
            <w:r>
              <w:rPr>
                <w:spacing w:val="-3"/>
                <w:sz w:val="20"/>
              </w:rPr>
              <w:t> </w:t>
            </w:r>
            <w:r>
              <w:rPr>
                <w:sz w:val="20"/>
              </w:rPr>
              <w:t>-</w:t>
            </w:r>
            <w:r>
              <w:rPr>
                <w:spacing w:val="-5"/>
                <w:sz w:val="20"/>
              </w:rPr>
              <w:t> </w:t>
            </w:r>
            <w:r>
              <w:rPr>
                <w:spacing w:val="-2"/>
                <w:sz w:val="20"/>
              </w:rPr>
              <w:t>capital</w:t>
            </w:r>
          </w:p>
        </w:tc>
        <w:tc>
          <w:tcPr>
            <w:tcW w:w="1022" w:type="dxa"/>
          </w:tcPr>
          <w:p>
            <w:pPr>
              <w:pStyle w:val="TableParagraph"/>
              <w:spacing w:line="225" w:lineRule="exact"/>
              <w:ind w:left="306"/>
              <w:rPr>
                <w:sz w:val="20"/>
              </w:rPr>
            </w:pPr>
            <w:r>
              <w:rPr>
                <w:spacing w:val="-2"/>
                <w:sz w:val="20"/>
              </w:rPr>
              <w:t>4.1.4</w:t>
            </w:r>
          </w:p>
        </w:tc>
        <w:tc>
          <w:tcPr>
            <w:tcW w:w="1272" w:type="dxa"/>
          </w:tcPr>
          <w:p>
            <w:pPr>
              <w:pStyle w:val="TableParagraph"/>
              <w:spacing w:line="217" w:lineRule="exact" w:before="7"/>
              <w:ind w:right="96"/>
              <w:jc w:val="right"/>
              <w:rPr>
                <w:sz w:val="20"/>
              </w:rPr>
            </w:pPr>
            <w:r>
              <w:rPr>
                <w:spacing w:val="-2"/>
                <w:sz w:val="20"/>
              </w:rPr>
              <w:t>25,942</w:t>
            </w:r>
          </w:p>
        </w:tc>
        <w:tc>
          <w:tcPr>
            <w:tcW w:w="1270" w:type="dxa"/>
            <w:shd w:val="clear" w:color="auto" w:fill="DDEBF6"/>
          </w:tcPr>
          <w:p>
            <w:pPr>
              <w:pStyle w:val="TableParagraph"/>
              <w:spacing w:line="217" w:lineRule="exact" w:before="7"/>
              <w:ind w:right="93"/>
              <w:jc w:val="right"/>
              <w:rPr>
                <w:b/>
                <w:sz w:val="20"/>
              </w:rPr>
            </w:pPr>
            <w:r>
              <w:rPr>
                <w:b/>
                <w:spacing w:val="-2"/>
                <w:sz w:val="20"/>
              </w:rPr>
              <w:t>7,234</w:t>
            </w:r>
          </w:p>
        </w:tc>
        <w:tc>
          <w:tcPr>
            <w:tcW w:w="1370" w:type="dxa"/>
          </w:tcPr>
          <w:p>
            <w:pPr>
              <w:pStyle w:val="TableParagraph"/>
              <w:spacing w:line="217" w:lineRule="exact" w:before="7"/>
              <w:ind w:right="50"/>
              <w:jc w:val="right"/>
              <w:rPr>
                <w:sz w:val="20"/>
              </w:rPr>
            </w:pPr>
            <w:r>
              <w:rPr>
                <w:spacing w:val="-2"/>
                <w:sz w:val="20"/>
              </w:rPr>
              <w:t>17,466</w:t>
            </w:r>
          </w:p>
        </w:tc>
        <w:tc>
          <w:tcPr>
            <w:tcW w:w="1400" w:type="dxa"/>
          </w:tcPr>
          <w:p>
            <w:pPr>
              <w:pStyle w:val="TableParagraph"/>
              <w:spacing w:line="217" w:lineRule="exact" w:before="7"/>
              <w:ind w:right="176"/>
              <w:jc w:val="right"/>
              <w:rPr>
                <w:sz w:val="20"/>
              </w:rPr>
            </w:pPr>
            <w:r>
              <w:rPr>
                <w:spacing w:val="-2"/>
                <w:sz w:val="20"/>
              </w:rPr>
              <w:t>11,479</w:t>
            </w:r>
          </w:p>
        </w:tc>
        <w:tc>
          <w:tcPr>
            <w:tcW w:w="1192" w:type="dxa"/>
            <w:tcBorders>
              <w:right w:val="single" w:sz="12" w:space="0" w:color="000000"/>
            </w:tcBorders>
          </w:tcPr>
          <w:p>
            <w:pPr>
              <w:pStyle w:val="TableParagraph"/>
              <w:spacing w:line="217" w:lineRule="exact" w:before="7"/>
              <w:ind w:right="81"/>
              <w:jc w:val="right"/>
              <w:rPr>
                <w:sz w:val="20"/>
              </w:rPr>
            </w:pPr>
            <w:r>
              <w:rPr>
                <w:spacing w:val="-2"/>
                <w:sz w:val="20"/>
              </w:rPr>
              <w:t>11,016</w:t>
            </w:r>
          </w:p>
        </w:tc>
      </w:tr>
      <w:tr>
        <w:trPr>
          <w:trHeight w:val="247" w:hRule="atLeast"/>
        </w:trPr>
        <w:tc>
          <w:tcPr>
            <w:tcW w:w="3221" w:type="dxa"/>
            <w:tcBorders>
              <w:left w:val="single" w:sz="12" w:space="0" w:color="000000"/>
            </w:tcBorders>
          </w:tcPr>
          <w:p>
            <w:pPr>
              <w:pStyle w:val="TableParagraph"/>
              <w:spacing w:line="227" w:lineRule="exact"/>
              <w:ind w:left="104"/>
              <w:rPr>
                <w:sz w:val="20"/>
              </w:rPr>
            </w:pPr>
            <w:r>
              <w:rPr>
                <w:sz w:val="20"/>
              </w:rPr>
              <w:t>Contributions</w:t>
            </w:r>
            <w:r>
              <w:rPr>
                <w:spacing w:val="-8"/>
                <w:sz w:val="20"/>
              </w:rPr>
              <w:t> </w:t>
            </w:r>
            <w:r>
              <w:rPr>
                <w:sz w:val="20"/>
              </w:rPr>
              <w:t>-</w:t>
            </w:r>
            <w:r>
              <w:rPr>
                <w:spacing w:val="-7"/>
                <w:sz w:val="20"/>
              </w:rPr>
              <w:t> </w:t>
            </w:r>
            <w:r>
              <w:rPr>
                <w:spacing w:val="-2"/>
                <w:sz w:val="20"/>
              </w:rPr>
              <w:t>monetary</w:t>
            </w:r>
          </w:p>
        </w:tc>
        <w:tc>
          <w:tcPr>
            <w:tcW w:w="1022" w:type="dxa"/>
          </w:tcPr>
          <w:p>
            <w:pPr>
              <w:pStyle w:val="TableParagraph"/>
              <w:spacing w:line="227" w:lineRule="exact"/>
              <w:ind w:left="306"/>
              <w:rPr>
                <w:sz w:val="20"/>
              </w:rPr>
            </w:pPr>
            <w:r>
              <w:rPr>
                <w:spacing w:val="-2"/>
                <w:sz w:val="20"/>
              </w:rPr>
              <w:t>4.1.5</w:t>
            </w:r>
          </w:p>
        </w:tc>
        <w:tc>
          <w:tcPr>
            <w:tcW w:w="1272" w:type="dxa"/>
          </w:tcPr>
          <w:p>
            <w:pPr>
              <w:pStyle w:val="TableParagraph"/>
              <w:spacing w:line="217" w:lineRule="exact" w:before="10"/>
              <w:ind w:right="95"/>
              <w:jc w:val="right"/>
              <w:rPr>
                <w:sz w:val="20"/>
              </w:rPr>
            </w:pPr>
            <w:r>
              <w:rPr>
                <w:spacing w:val="-2"/>
                <w:sz w:val="20"/>
              </w:rPr>
              <w:t>8,571</w:t>
            </w:r>
          </w:p>
        </w:tc>
        <w:tc>
          <w:tcPr>
            <w:tcW w:w="1270" w:type="dxa"/>
            <w:shd w:val="clear" w:color="auto" w:fill="DDEBF6"/>
          </w:tcPr>
          <w:p>
            <w:pPr>
              <w:pStyle w:val="TableParagraph"/>
              <w:spacing w:line="217" w:lineRule="exact" w:before="10"/>
              <w:ind w:right="93"/>
              <w:jc w:val="right"/>
              <w:rPr>
                <w:b/>
                <w:sz w:val="20"/>
              </w:rPr>
            </w:pPr>
            <w:r>
              <w:rPr>
                <w:b/>
                <w:spacing w:val="-2"/>
                <w:sz w:val="20"/>
              </w:rPr>
              <w:t>6,919</w:t>
            </w:r>
          </w:p>
        </w:tc>
        <w:tc>
          <w:tcPr>
            <w:tcW w:w="1370" w:type="dxa"/>
          </w:tcPr>
          <w:p>
            <w:pPr>
              <w:pStyle w:val="TableParagraph"/>
              <w:spacing w:line="217" w:lineRule="exact" w:before="10"/>
              <w:ind w:right="49"/>
              <w:jc w:val="right"/>
              <w:rPr>
                <w:sz w:val="20"/>
              </w:rPr>
            </w:pPr>
            <w:r>
              <w:rPr>
                <w:spacing w:val="-2"/>
                <w:sz w:val="20"/>
              </w:rPr>
              <w:t>7,194</w:t>
            </w:r>
          </w:p>
        </w:tc>
        <w:tc>
          <w:tcPr>
            <w:tcW w:w="1400" w:type="dxa"/>
          </w:tcPr>
          <w:p>
            <w:pPr>
              <w:pStyle w:val="TableParagraph"/>
              <w:spacing w:line="217" w:lineRule="exact" w:before="10"/>
              <w:ind w:right="175"/>
              <w:jc w:val="right"/>
              <w:rPr>
                <w:sz w:val="20"/>
              </w:rPr>
            </w:pPr>
            <w:r>
              <w:rPr>
                <w:spacing w:val="-2"/>
                <w:sz w:val="20"/>
              </w:rPr>
              <w:t>7,920</w:t>
            </w:r>
          </w:p>
        </w:tc>
        <w:tc>
          <w:tcPr>
            <w:tcW w:w="1192" w:type="dxa"/>
            <w:tcBorders>
              <w:right w:val="single" w:sz="12" w:space="0" w:color="000000"/>
            </w:tcBorders>
          </w:tcPr>
          <w:p>
            <w:pPr>
              <w:pStyle w:val="TableParagraph"/>
              <w:spacing w:line="217" w:lineRule="exact" w:before="10"/>
              <w:ind w:right="80"/>
              <w:jc w:val="right"/>
              <w:rPr>
                <w:sz w:val="20"/>
              </w:rPr>
            </w:pPr>
            <w:r>
              <w:rPr>
                <w:spacing w:val="-2"/>
                <w:sz w:val="20"/>
              </w:rPr>
              <w:t>7,948</w:t>
            </w:r>
          </w:p>
        </w:tc>
      </w:tr>
      <w:tr>
        <w:trPr>
          <w:trHeight w:val="244" w:hRule="atLeast"/>
        </w:trPr>
        <w:tc>
          <w:tcPr>
            <w:tcW w:w="3221" w:type="dxa"/>
            <w:tcBorders>
              <w:left w:val="single" w:sz="12" w:space="0" w:color="000000"/>
            </w:tcBorders>
          </w:tcPr>
          <w:p>
            <w:pPr>
              <w:pStyle w:val="TableParagraph"/>
              <w:spacing w:line="225" w:lineRule="exact"/>
              <w:ind w:left="104"/>
              <w:rPr>
                <w:sz w:val="20"/>
              </w:rPr>
            </w:pPr>
            <w:r>
              <w:rPr>
                <w:sz w:val="20"/>
              </w:rPr>
              <w:t>Contributions</w:t>
            </w:r>
            <w:r>
              <w:rPr>
                <w:spacing w:val="-9"/>
                <w:sz w:val="20"/>
              </w:rPr>
              <w:t> </w:t>
            </w:r>
            <w:r>
              <w:rPr>
                <w:sz w:val="20"/>
              </w:rPr>
              <w:t>-</w:t>
            </w:r>
            <w:r>
              <w:rPr>
                <w:spacing w:val="-11"/>
                <w:sz w:val="20"/>
              </w:rPr>
              <w:t> </w:t>
            </w:r>
            <w:r>
              <w:rPr>
                <w:sz w:val="20"/>
              </w:rPr>
              <w:t>non-</w:t>
            </w:r>
            <w:r>
              <w:rPr>
                <w:spacing w:val="-2"/>
                <w:sz w:val="20"/>
              </w:rPr>
              <w:t>monetary</w:t>
            </w:r>
          </w:p>
        </w:tc>
        <w:tc>
          <w:tcPr>
            <w:tcW w:w="1022" w:type="dxa"/>
          </w:tcPr>
          <w:p>
            <w:pPr>
              <w:pStyle w:val="TableParagraph"/>
              <w:spacing w:line="225" w:lineRule="exact"/>
              <w:ind w:left="306"/>
              <w:rPr>
                <w:sz w:val="20"/>
              </w:rPr>
            </w:pPr>
            <w:r>
              <w:rPr>
                <w:spacing w:val="-2"/>
                <w:sz w:val="20"/>
              </w:rPr>
              <w:t>4.1.5</w:t>
            </w:r>
          </w:p>
        </w:tc>
        <w:tc>
          <w:tcPr>
            <w:tcW w:w="1272" w:type="dxa"/>
          </w:tcPr>
          <w:p>
            <w:pPr>
              <w:pStyle w:val="TableParagraph"/>
              <w:spacing w:line="217" w:lineRule="exact" w:before="7"/>
              <w:ind w:right="94"/>
              <w:jc w:val="right"/>
              <w:rPr>
                <w:sz w:val="20"/>
              </w:rPr>
            </w:pPr>
            <w:r>
              <w:rPr>
                <w:w w:val="99"/>
                <w:sz w:val="20"/>
              </w:rPr>
              <w:t>-</w:t>
            </w:r>
          </w:p>
        </w:tc>
        <w:tc>
          <w:tcPr>
            <w:tcW w:w="1270" w:type="dxa"/>
            <w:shd w:val="clear" w:color="auto" w:fill="DDEBF6"/>
          </w:tcPr>
          <w:p>
            <w:pPr>
              <w:pStyle w:val="TableParagraph"/>
              <w:spacing w:line="217" w:lineRule="exact" w:before="7"/>
              <w:ind w:right="92"/>
              <w:jc w:val="right"/>
              <w:rPr>
                <w:b/>
                <w:sz w:val="20"/>
              </w:rPr>
            </w:pPr>
            <w:r>
              <w:rPr>
                <w:b/>
                <w:w w:val="99"/>
                <w:sz w:val="20"/>
              </w:rPr>
              <w:t>-</w:t>
            </w:r>
          </w:p>
        </w:tc>
        <w:tc>
          <w:tcPr>
            <w:tcW w:w="1370" w:type="dxa"/>
          </w:tcPr>
          <w:p>
            <w:pPr>
              <w:pStyle w:val="TableParagraph"/>
              <w:spacing w:line="217" w:lineRule="exact" w:before="7"/>
              <w:ind w:right="49"/>
              <w:jc w:val="right"/>
              <w:rPr>
                <w:sz w:val="20"/>
              </w:rPr>
            </w:pPr>
            <w:r>
              <w:rPr>
                <w:w w:val="99"/>
                <w:sz w:val="20"/>
              </w:rPr>
              <w:t>-</w:t>
            </w:r>
          </w:p>
        </w:tc>
        <w:tc>
          <w:tcPr>
            <w:tcW w:w="1400" w:type="dxa"/>
          </w:tcPr>
          <w:p>
            <w:pPr>
              <w:pStyle w:val="TableParagraph"/>
              <w:spacing w:line="217" w:lineRule="exact" w:before="7"/>
              <w:ind w:right="174"/>
              <w:jc w:val="right"/>
              <w:rPr>
                <w:sz w:val="20"/>
              </w:rPr>
            </w:pPr>
            <w:r>
              <w:rPr>
                <w:w w:val="99"/>
                <w:sz w:val="20"/>
              </w:rPr>
              <w:t>-</w:t>
            </w:r>
          </w:p>
        </w:tc>
        <w:tc>
          <w:tcPr>
            <w:tcW w:w="1192" w:type="dxa"/>
            <w:tcBorders>
              <w:right w:val="single" w:sz="12" w:space="0" w:color="000000"/>
            </w:tcBorders>
          </w:tcPr>
          <w:p>
            <w:pPr>
              <w:pStyle w:val="TableParagraph"/>
              <w:spacing w:line="217" w:lineRule="exact" w:before="7"/>
              <w:ind w:right="79"/>
              <w:jc w:val="right"/>
              <w:rPr>
                <w:sz w:val="20"/>
              </w:rPr>
            </w:pPr>
            <w:r>
              <w:rPr>
                <w:w w:val="99"/>
                <w:sz w:val="20"/>
              </w:rPr>
              <w:t>-</w:t>
            </w:r>
          </w:p>
        </w:tc>
      </w:tr>
      <w:tr>
        <w:trPr>
          <w:trHeight w:val="232" w:hRule="atLeast"/>
        </w:trPr>
        <w:tc>
          <w:tcPr>
            <w:tcW w:w="3221" w:type="dxa"/>
            <w:tcBorders>
              <w:left w:val="single" w:sz="12" w:space="0" w:color="000000"/>
            </w:tcBorders>
          </w:tcPr>
          <w:p>
            <w:pPr>
              <w:pStyle w:val="TableParagraph"/>
              <w:spacing w:line="213" w:lineRule="exact"/>
              <w:ind w:left="104"/>
              <w:rPr>
                <w:sz w:val="20"/>
              </w:rPr>
            </w:pPr>
            <w:r>
              <w:rPr>
                <w:sz w:val="20"/>
              </w:rPr>
              <w:t>Net</w:t>
            </w:r>
            <w:r>
              <w:rPr>
                <w:spacing w:val="-7"/>
                <w:sz w:val="20"/>
              </w:rPr>
              <w:t> </w:t>
            </w:r>
            <w:r>
              <w:rPr>
                <w:sz w:val="20"/>
              </w:rPr>
              <w:t>(gain)/loss</w:t>
            </w:r>
            <w:r>
              <w:rPr>
                <w:spacing w:val="-7"/>
                <w:sz w:val="20"/>
              </w:rPr>
              <w:t> </w:t>
            </w:r>
            <w:r>
              <w:rPr>
                <w:sz w:val="20"/>
              </w:rPr>
              <w:t>on</w:t>
            </w:r>
            <w:r>
              <w:rPr>
                <w:spacing w:val="-4"/>
                <w:sz w:val="20"/>
              </w:rPr>
              <w:t> </w:t>
            </w:r>
            <w:r>
              <w:rPr>
                <w:sz w:val="20"/>
              </w:rPr>
              <w:t>disposal</w:t>
            </w:r>
            <w:r>
              <w:rPr>
                <w:spacing w:val="-4"/>
                <w:sz w:val="20"/>
              </w:rPr>
              <w:t> </w:t>
            </w:r>
            <w:r>
              <w:rPr>
                <w:spacing w:val="-5"/>
                <w:sz w:val="20"/>
              </w:rPr>
              <w:t>of</w:t>
            </w:r>
          </w:p>
        </w:tc>
        <w:tc>
          <w:tcPr>
            <w:tcW w:w="1022" w:type="dxa"/>
          </w:tcPr>
          <w:p>
            <w:pPr>
              <w:pStyle w:val="TableParagraph"/>
              <w:rPr>
                <w:rFonts w:ascii="Times New Roman"/>
                <w:sz w:val="16"/>
              </w:rPr>
            </w:pPr>
          </w:p>
        </w:tc>
        <w:tc>
          <w:tcPr>
            <w:tcW w:w="1272" w:type="dxa"/>
          </w:tcPr>
          <w:p>
            <w:pPr>
              <w:pStyle w:val="TableParagraph"/>
              <w:rPr>
                <w:rFonts w:ascii="Times New Roman"/>
                <w:sz w:val="16"/>
              </w:rPr>
            </w:pPr>
          </w:p>
        </w:tc>
        <w:tc>
          <w:tcPr>
            <w:tcW w:w="1270" w:type="dxa"/>
            <w:shd w:val="clear" w:color="auto" w:fill="DDEBF6"/>
          </w:tcPr>
          <w:p>
            <w:pPr>
              <w:pStyle w:val="TableParagraph"/>
              <w:rPr>
                <w:rFonts w:ascii="Times New Roman"/>
                <w:sz w:val="16"/>
              </w:rPr>
            </w:pPr>
          </w:p>
        </w:tc>
        <w:tc>
          <w:tcPr>
            <w:tcW w:w="1370" w:type="dxa"/>
          </w:tcPr>
          <w:p>
            <w:pPr>
              <w:pStyle w:val="TableParagraph"/>
              <w:rPr>
                <w:rFonts w:ascii="Times New Roman"/>
                <w:sz w:val="16"/>
              </w:rPr>
            </w:pPr>
          </w:p>
        </w:tc>
        <w:tc>
          <w:tcPr>
            <w:tcW w:w="1400" w:type="dxa"/>
          </w:tcPr>
          <w:p>
            <w:pPr>
              <w:pStyle w:val="TableParagraph"/>
              <w:rPr>
                <w:rFonts w:ascii="Times New Roman"/>
                <w:sz w:val="16"/>
              </w:rPr>
            </w:pPr>
          </w:p>
        </w:tc>
        <w:tc>
          <w:tcPr>
            <w:tcW w:w="1192" w:type="dxa"/>
            <w:tcBorders>
              <w:right w:val="single" w:sz="12" w:space="0" w:color="000000"/>
            </w:tcBorders>
          </w:tcPr>
          <w:p>
            <w:pPr>
              <w:pStyle w:val="TableParagraph"/>
              <w:rPr>
                <w:rFonts w:ascii="Times New Roman"/>
                <w:sz w:val="16"/>
              </w:rPr>
            </w:pPr>
          </w:p>
        </w:tc>
      </w:tr>
      <w:tr>
        <w:trPr>
          <w:trHeight w:val="229" w:hRule="atLeast"/>
        </w:trPr>
        <w:tc>
          <w:tcPr>
            <w:tcW w:w="3221" w:type="dxa"/>
            <w:tcBorders>
              <w:left w:val="single" w:sz="12" w:space="0" w:color="000000"/>
            </w:tcBorders>
          </w:tcPr>
          <w:p>
            <w:pPr>
              <w:pStyle w:val="TableParagraph"/>
              <w:spacing w:line="209" w:lineRule="exact"/>
              <w:ind w:left="104"/>
              <w:rPr>
                <w:sz w:val="20"/>
              </w:rPr>
            </w:pPr>
            <w:r>
              <w:rPr>
                <w:sz w:val="20"/>
              </w:rPr>
              <w:t>property,</w:t>
            </w:r>
            <w:r>
              <w:rPr>
                <w:spacing w:val="-7"/>
                <w:sz w:val="20"/>
              </w:rPr>
              <w:t> </w:t>
            </w:r>
            <w:r>
              <w:rPr>
                <w:sz w:val="20"/>
              </w:rPr>
              <w:t>infrastructure,</w:t>
            </w:r>
            <w:r>
              <w:rPr>
                <w:spacing w:val="-9"/>
                <w:sz w:val="20"/>
              </w:rPr>
              <w:t> </w:t>
            </w:r>
            <w:r>
              <w:rPr>
                <w:sz w:val="20"/>
              </w:rPr>
              <w:t>plant</w:t>
            </w:r>
            <w:r>
              <w:rPr>
                <w:spacing w:val="-9"/>
                <w:sz w:val="20"/>
              </w:rPr>
              <w:t> </w:t>
            </w:r>
            <w:r>
              <w:rPr>
                <w:spacing w:val="-5"/>
                <w:sz w:val="20"/>
              </w:rPr>
              <w:t>and</w:t>
            </w:r>
          </w:p>
        </w:tc>
        <w:tc>
          <w:tcPr>
            <w:tcW w:w="1022" w:type="dxa"/>
          </w:tcPr>
          <w:p>
            <w:pPr>
              <w:pStyle w:val="TableParagraph"/>
              <w:rPr>
                <w:rFonts w:ascii="Times New Roman"/>
                <w:sz w:val="16"/>
              </w:rPr>
            </w:pPr>
          </w:p>
        </w:tc>
        <w:tc>
          <w:tcPr>
            <w:tcW w:w="1272" w:type="dxa"/>
          </w:tcPr>
          <w:p>
            <w:pPr>
              <w:pStyle w:val="TableParagraph"/>
              <w:spacing w:line="209" w:lineRule="exact"/>
              <w:ind w:right="96"/>
              <w:jc w:val="right"/>
              <w:rPr>
                <w:sz w:val="20"/>
              </w:rPr>
            </w:pPr>
            <w:r>
              <w:rPr>
                <w:spacing w:val="-5"/>
                <w:sz w:val="20"/>
              </w:rPr>
              <w:t>120</w:t>
            </w:r>
          </w:p>
        </w:tc>
        <w:tc>
          <w:tcPr>
            <w:tcW w:w="1270" w:type="dxa"/>
            <w:shd w:val="clear" w:color="auto" w:fill="DDEBF6"/>
          </w:tcPr>
          <w:p>
            <w:pPr>
              <w:pStyle w:val="TableParagraph"/>
              <w:spacing w:line="209" w:lineRule="exact"/>
              <w:ind w:right="93"/>
              <w:jc w:val="right"/>
              <w:rPr>
                <w:b/>
                <w:sz w:val="20"/>
              </w:rPr>
            </w:pPr>
            <w:r>
              <w:rPr>
                <w:b/>
                <w:spacing w:val="-2"/>
                <w:sz w:val="20"/>
              </w:rPr>
              <w:t>7,875</w:t>
            </w:r>
          </w:p>
        </w:tc>
        <w:tc>
          <w:tcPr>
            <w:tcW w:w="1370" w:type="dxa"/>
          </w:tcPr>
          <w:p>
            <w:pPr>
              <w:pStyle w:val="TableParagraph"/>
              <w:spacing w:line="209" w:lineRule="exact"/>
              <w:ind w:right="48"/>
              <w:jc w:val="right"/>
              <w:rPr>
                <w:sz w:val="20"/>
              </w:rPr>
            </w:pPr>
            <w:r>
              <w:rPr>
                <w:spacing w:val="-4"/>
                <w:sz w:val="20"/>
              </w:rPr>
              <w:t>(93)</w:t>
            </w:r>
          </w:p>
        </w:tc>
        <w:tc>
          <w:tcPr>
            <w:tcW w:w="1400" w:type="dxa"/>
          </w:tcPr>
          <w:p>
            <w:pPr>
              <w:pStyle w:val="TableParagraph"/>
              <w:spacing w:line="209" w:lineRule="exact"/>
              <w:ind w:right="174"/>
              <w:jc w:val="right"/>
              <w:rPr>
                <w:sz w:val="20"/>
              </w:rPr>
            </w:pPr>
            <w:r>
              <w:rPr>
                <w:spacing w:val="-4"/>
                <w:sz w:val="20"/>
              </w:rPr>
              <w:t>(93)</w:t>
            </w:r>
          </w:p>
        </w:tc>
        <w:tc>
          <w:tcPr>
            <w:tcW w:w="1192" w:type="dxa"/>
            <w:tcBorders>
              <w:right w:val="single" w:sz="12" w:space="0" w:color="000000"/>
            </w:tcBorders>
          </w:tcPr>
          <w:p>
            <w:pPr>
              <w:pStyle w:val="TableParagraph"/>
              <w:spacing w:line="209" w:lineRule="exact"/>
              <w:ind w:right="79"/>
              <w:jc w:val="right"/>
              <w:rPr>
                <w:sz w:val="20"/>
              </w:rPr>
            </w:pPr>
            <w:r>
              <w:rPr>
                <w:spacing w:val="-4"/>
                <w:sz w:val="20"/>
              </w:rPr>
              <w:t>(93)</w:t>
            </w:r>
          </w:p>
        </w:tc>
      </w:tr>
      <w:tr>
        <w:trPr>
          <w:trHeight w:val="230" w:hRule="atLeast"/>
        </w:trPr>
        <w:tc>
          <w:tcPr>
            <w:tcW w:w="3221" w:type="dxa"/>
            <w:tcBorders>
              <w:left w:val="single" w:sz="12" w:space="0" w:color="000000"/>
            </w:tcBorders>
          </w:tcPr>
          <w:p>
            <w:pPr>
              <w:pStyle w:val="TableParagraph"/>
              <w:spacing w:line="210" w:lineRule="exact"/>
              <w:ind w:left="104"/>
              <w:rPr>
                <w:sz w:val="20"/>
              </w:rPr>
            </w:pPr>
            <w:r>
              <w:rPr>
                <w:spacing w:val="-2"/>
                <w:sz w:val="20"/>
              </w:rPr>
              <w:t>equipment</w:t>
            </w:r>
          </w:p>
        </w:tc>
        <w:tc>
          <w:tcPr>
            <w:tcW w:w="1022" w:type="dxa"/>
          </w:tcPr>
          <w:p>
            <w:pPr>
              <w:pStyle w:val="TableParagraph"/>
              <w:rPr>
                <w:rFonts w:ascii="Times New Roman"/>
                <w:sz w:val="16"/>
              </w:rPr>
            </w:pPr>
          </w:p>
        </w:tc>
        <w:tc>
          <w:tcPr>
            <w:tcW w:w="1272" w:type="dxa"/>
          </w:tcPr>
          <w:p>
            <w:pPr>
              <w:pStyle w:val="TableParagraph"/>
              <w:rPr>
                <w:rFonts w:ascii="Times New Roman"/>
                <w:sz w:val="16"/>
              </w:rPr>
            </w:pPr>
          </w:p>
        </w:tc>
        <w:tc>
          <w:tcPr>
            <w:tcW w:w="1270" w:type="dxa"/>
            <w:shd w:val="clear" w:color="auto" w:fill="DDEBF6"/>
          </w:tcPr>
          <w:p>
            <w:pPr>
              <w:pStyle w:val="TableParagraph"/>
              <w:rPr>
                <w:rFonts w:ascii="Times New Roman"/>
                <w:sz w:val="16"/>
              </w:rPr>
            </w:pPr>
          </w:p>
        </w:tc>
        <w:tc>
          <w:tcPr>
            <w:tcW w:w="1370" w:type="dxa"/>
          </w:tcPr>
          <w:p>
            <w:pPr>
              <w:pStyle w:val="TableParagraph"/>
              <w:rPr>
                <w:rFonts w:ascii="Times New Roman"/>
                <w:sz w:val="16"/>
              </w:rPr>
            </w:pPr>
          </w:p>
        </w:tc>
        <w:tc>
          <w:tcPr>
            <w:tcW w:w="1400" w:type="dxa"/>
          </w:tcPr>
          <w:p>
            <w:pPr>
              <w:pStyle w:val="TableParagraph"/>
              <w:rPr>
                <w:rFonts w:ascii="Times New Roman"/>
                <w:sz w:val="16"/>
              </w:rPr>
            </w:pPr>
          </w:p>
        </w:tc>
        <w:tc>
          <w:tcPr>
            <w:tcW w:w="1192" w:type="dxa"/>
            <w:tcBorders>
              <w:right w:val="single" w:sz="12" w:space="0" w:color="000000"/>
            </w:tcBorders>
          </w:tcPr>
          <w:p>
            <w:pPr>
              <w:pStyle w:val="TableParagraph"/>
              <w:rPr>
                <w:rFonts w:ascii="Times New Roman"/>
                <w:sz w:val="16"/>
              </w:rPr>
            </w:pPr>
          </w:p>
        </w:tc>
      </w:tr>
      <w:tr>
        <w:trPr>
          <w:trHeight w:val="460" w:hRule="atLeast"/>
        </w:trPr>
        <w:tc>
          <w:tcPr>
            <w:tcW w:w="3221" w:type="dxa"/>
            <w:tcBorders>
              <w:left w:val="single" w:sz="12" w:space="0" w:color="000000"/>
            </w:tcBorders>
          </w:tcPr>
          <w:p>
            <w:pPr>
              <w:pStyle w:val="TableParagraph"/>
              <w:spacing w:line="230" w:lineRule="exact"/>
              <w:ind w:left="104"/>
              <w:rPr>
                <w:sz w:val="20"/>
              </w:rPr>
            </w:pPr>
            <w:r>
              <w:rPr>
                <w:sz w:val="20"/>
              </w:rPr>
              <w:t>Share</w:t>
            </w:r>
            <w:r>
              <w:rPr>
                <w:spacing w:val="-6"/>
                <w:sz w:val="20"/>
              </w:rPr>
              <w:t> </w:t>
            </w:r>
            <w:r>
              <w:rPr>
                <w:sz w:val="20"/>
              </w:rPr>
              <w:t>of</w:t>
            </w:r>
            <w:r>
              <w:rPr>
                <w:spacing w:val="-6"/>
                <w:sz w:val="20"/>
              </w:rPr>
              <w:t> </w:t>
            </w:r>
            <w:r>
              <w:rPr>
                <w:sz w:val="20"/>
              </w:rPr>
              <w:t>net</w:t>
            </w:r>
            <w:r>
              <w:rPr>
                <w:spacing w:val="-8"/>
                <w:sz w:val="20"/>
              </w:rPr>
              <w:t> </w:t>
            </w:r>
            <w:r>
              <w:rPr>
                <w:sz w:val="20"/>
              </w:rPr>
              <w:t>surplus/(deficit)</w:t>
            </w:r>
            <w:r>
              <w:rPr>
                <w:spacing w:val="-6"/>
                <w:sz w:val="20"/>
              </w:rPr>
              <w:t> </w:t>
            </w:r>
            <w:r>
              <w:rPr>
                <w:sz w:val="20"/>
              </w:rPr>
              <w:t>of </w:t>
            </w:r>
            <w:r>
              <w:rPr>
                <w:spacing w:val="-2"/>
                <w:sz w:val="20"/>
              </w:rPr>
              <w:t>associates</w:t>
            </w:r>
          </w:p>
        </w:tc>
        <w:tc>
          <w:tcPr>
            <w:tcW w:w="1022" w:type="dxa"/>
          </w:tcPr>
          <w:p>
            <w:pPr>
              <w:pStyle w:val="TableParagraph"/>
              <w:rPr>
                <w:rFonts w:ascii="Times New Roman"/>
                <w:sz w:val="18"/>
              </w:rPr>
            </w:pPr>
          </w:p>
        </w:tc>
        <w:tc>
          <w:tcPr>
            <w:tcW w:w="1272" w:type="dxa"/>
          </w:tcPr>
          <w:p>
            <w:pPr>
              <w:pStyle w:val="TableParagraph"/>
              <w:spacing w:before="112"/>
              <w:ind w:right="94"/>
              <w:jc w:val="right"/>
              <w:rPr>
                <w:sz w:val="20"/>
              </w:rPr>
            </w:pPr>
            <w:r>
              <w:rPr>
                <w:w w:val="99"/>
                <w:sz w:val="20"/>
              </w:rPr>
              <w:t>-</w:t>
            </w:r>
          </w:p>
        </w:tc>
        <w:tc>
          <w:tcPr>
            <w:tcW w:w="1270" w:type="dxa"/>
            <w:shd w:val="clear" w:color="auto" w:fill="DDEBF6"/>
          </w:tcPr>
          <w:p>
            <w:pPr>
              <w:pStyle w:val="TableParagraph"/>
              <w:spacing w:before="112"/>
              <w:ind w:right="92"/>
              <w:jc w:val="right"/>
              <w:rPr>
                <w:b/>
                <w:sz w:val="20"/>
              </w:rPr>
            </w:pPr>
            <w:r>
              <w:rPr>
                <w:b/>
                <w:w w:val="99"/>
                <w:sz w:val="20"/>
              </w:rPr>
              <w:t>-</w:t>
            </w:r>
          </w:p>
        </w:tc>
        <w:tc>
          <w:tcPr>
            <w:tcW w:w="1370" w:type="dxa"/>
          </w:tcPr>
          <w:p>
            <w:pPr>
              <w:pStyle w:val="TableParagraph"/>
              <w:spacing w:before="112"/>
              <w:ind w:right="49"/>
              <w:jc w:val="right"/>
              <w:rPr>
                <w:sz w:val="20"/>
              </w:rPr>
            </w:pPr>
            <w:r>
              <w:rPr>
                <w:w w:val="99"/>
                <w:sz w:val="20"/>
              </w:rPr>
              <w:t>-</w:t>
            </w:r>
          </w:p>
        </w:tc>
        <w:tc>
          <w:tcPr>
            <w:tcW w:w="1400" w:type="dxa"/>
          </w:tcPr>
          <w:p>
            <w:pPr>
              <w:pStyle w:val="TableParagraph"/>
              <w:spacing w:before="112"/>
              <w:ind w:right="174"/>
              <w:jc w:val="right"/>
              <w:rPr>
                <w:sz w:val="20"/>
              </w:rPr>
            </w:pPr>
            <w:r>
              <w:rPr>
                <w:w w:val="99"/>
                <w:sz w:val="20"/>
              </w:rPr>
              <w:t>-</w:t>
            </w:r>
          </w:p>
        </w:tc>
        <w:tc>
          <w:tcPr>
            <w:tcW w:w="1192" w:type="dxa"/>
            <w:tcBorders>
              <w:right w:val="single" w:sz="12" w:space="0" w:color="000000"/>
            </w:tcBorders>
          </w:tcPr>
          <w:p>
            <w:pPr>
              <w:pStyle w:val="TableParagraph"/>
              <w:spacing w:before="112"/>
              <w:ind w:right="79"/>
              <w:jc w:val="right"/>
              <w:rPr>
                <w:sz w:val="20"/>
              </w:rPr>
            </w:pPr>
            <w:r>
              <w:rPr>
                <w:w w:val="99"/>
                <w:sz w:val="20"/>
              </w:rPr>
              <w:t>-</w:t>
            </w:r>
          </w:p>
        </w:tc>
      </w:tr>
      <w:tr>
        <w:trPr>
          <w:trHeight w:val="241" w:hRule="atLeast"/>
        </w:trPr>
        <w:tc>
          <w:tcPr>
            <w:tcW w:w="3221" w:type="dxa"/>
            <w:tcBorders>
              <w:left w:val="single" w:sz="12" w:space="0" w:color="000000"/>
            </w:tcBorders>
          </w:tcPr>
          <w:p>
            <w:pPr>
              <w:pStyle w:val="TableParagraph"/>
              <w:spacing w:line="222" w:lineRule="exact"/>
              <w:ind w:left="104"/>
              <w:rPr>
                <w:sz w:val="20"/>
              </w:rPr>
            </w:pPr>
            <w:r>
              <w:rPr>
                <w:sz w:val="20"/>
              </w:rPr>
              <w:t>Other</w:t>
            </w:r>
            <w:r>
              <w:rPr>
                <w:spacing w:val="-6"/>
                <w:sz w:val="20"/>
              </w:rPr>
              <w:t> </w:t>
            </w:r>
            <w:r>
              <w:rPr>
                <w:spacing w:val="-2"/>
                <w:sz w:val="20"/>
              </w:rPr>
              <w:t>income</w:t>
            </w:r>
          </w:p>
        </w:tc>
        <w:tc>
          <w:tcPr>
            <w:tcW w:w="1022" w:type="dxa"/>
          </w:tcPr>
          <w:p>
            <w:pPr>
              <w:pStyle w:val="TableParagraph"/>
              <w:spacing w:line="222" w:lineRule="exact"/>
              <w:ind w:left="306"/>
              <w:rPr>
                <w:sz w:val="20"/>
              </w:rPr>
            </w:pPr>
            <w:r>
              <w:rPr>
                <w:spacing w:val="-2"/>
                <w:sz w:val="20"/>
              </w:rPr>
              <w:t>4.1.6</w:t>
            </w:r>
          </w:p>
        </w:tc>
        <w:tc>
          <w:tcPr>
            <w:tcW w:w="1272" w:type="dxa"/>
            <w:tcBorders>
              <w:bottom w:val="single" w:sz="2" w:space="0" w:color="000000"/>
            </w:tcBorders>
          </w:tcPr>
          <w:p>
            <w:pPr>
              <w:pStyle w:val="TableParagraph"/>
              <w:spacing w:line="218" w:lineRule="exact" w:before="4"/>
              <w:ind w:right="95"/>
              <w:jc w:val="right"/>
              <w:rPr>
                <w:sz w:val="20"/>
              </w:rPr>
            </w:pPr>
            <w:r>
              <w:rPr>
                <w:spacing w:val="-2"/>
                <w:sz w:val="20"/>
              </w:rPr>
              <w:t>5,072</w:t>
            </w:r>
          </w:p>
        </w:tc>
        <w:tc>
          <w:tcPr>
            <w:tcW w:w="1270" w:type="dxa"/>
            <w:tcBorders>
              <w:bottom w:val="single" w:sz="2" w:space="0" w:color="000000"/>
            </w:tcBorders>
            <w:shd w:val="clear" w:color="auto" w:fill="DDEBF6"/>
          </w:tcPr>
          <w:p>
            <w:pPr>
              <w:pStyle w:val="TableParagraph"/>
              <w:spacing w:line="218" w:lineRule="exact" w:before="4"/>
              <w:ind w:right="93"/>
              <w:jc w:val="right"/>
              <w:rPr>
                <w:b/>
                <w:sz w:val="20"/>
              </w:rPr>
            </w:pPr>
            <w:r>
              <w:rPr>
                <w:b/>
                <w:spacing w:val="-2"/>
                <w:sz w:val="20"/>
              </w:rPr>
              <w:t>4,244</w:t>
            </w:r>
          </w:p>
        </w:tc>
        <w:tc>
          <w:tcPr>
            <w:tcW w:w="1370" w:type="dxa"/>
            <w:tcBorders>
              <w:bottom w:val="single" w:sz="2" w:space="0" w:color="000000"/>
            </w:tcBorders>
          </w:tcPr>
          <w:p>
            <w:pPr>
              <w:pStyle w:val="TableParagraph"/>
              <w:spacing w:line="218" w:lineRule="exact" w:before="4"/>
              <w:ind w:right="49"/>
              <w:jc w:val="right"/>
              <w:rPr>
                <w:sz w:val="20"/>
              </w:rPr>
            </w:pPr>
            <w:r>
              <w:rPr>
                <w:spacing w:val="-2"/>
                <w:sz w:val="20"/>
              </w:rPr>
              <w:t>4,690</w:t>
            </w:r>
          </w:p>
        </w:tc>
        <w:tc>
          <w:tcPr>
            <w:tcW w:w="1400" w:type="dxa"/>
            <w:tcBorders>
              <w:bottom w:val="single" w:sz="2" w:space="0" w:color="000000"/>
            </w:tcBorders>
          </w:tcPr>
          <w:p>
            <w:pPr>
              <w:pStyle w:val="TableParagraph"/>
              <w:spacing w:line="218" w:lineRule="exact" w:before="4"/>
              <w:ind w:right="175"/>
              <w:jc w:val="right"/>
              <w:rPr>
                <w:sz w:val="20"/>
              </w:rPr>
            </w:pPr>
            <w:r>
              <w:rPr>
                <w:spacing w:val="-2"/>
                <w:sz w:val="20"/>
              </w:rPr>
              <w:t>4,893</w:t>
            </w:r>
          </w:p>
        </w:tc>
        <w:tc>
          <w:tcPr>
            <w:tcW w:w="1192" w:type="dxa"/>
            <w:tcBorders>
              <w:bottom w:val="single" w:sz="2" w:space="0" w:color="000000"/>
              <w:right w:val="single" w:sz="12" w:space="0" w:color="000000"/>
            </w:tcBorders>
          </w:tcPr>
          <w:p>
            <w:pPr>
              <w:pStyle w:val="TableParagraph"/>
              <w:spacing w:line="218" w:lineRule="exact" w:before="4"/>
              <w:ind w:right="80"/>
              <w:jc w:val="right"/>
              <w:rPr>
                <w:sz w:val="20"/>
              </w:rPr>
            </w:pPr>
            <w:r>
              <w:rPr>
                <w:spacing w:val="-2"/>
                <w:sz w:val="20"/>
              </w:rPr>
              <w:t>4,981</w:t>
            </w:r>
          </w:p>
        </w:tc>
      </w:tr>
      <w:tr>
        <w:trPr>
          <w:trHeight w:val="244" w:hRule="atLeast"/>
        </w:trPr>
        <w:tc>
          <w:tcPr>
            <w:tcW w:w="3221" w:type="dxa"/>
            <w:tcBorders>
              <w:left w:val="single" w:sz="12" w:space="0" w:color="000000"/>
            </w:tcBorders>
          </w:tcPr>
          <w:p>
            <w:pPr>
              <w:pStyle w:val="TableParagraph"/>
              <w:spacing w:line="225" w:lineRule="exact"/>
              <w:ind w:left="104"/>
              <w:rPr>
                <w:sz w:val="20"/>
              </w:rPr>
            </w:pPr>
            <w:r>
              <w:rPr>
                <w:sz w:val="20"/>
              </w:rPr>
              <w:t>Total</w:t>
            </w:r>
            <w:r>
              <w:rPr>
                <w:spacing w:val="-6"/>
                <w:sz w:val="20"/>
              </w:rPr>
              <w:t> </w:t>
            </w:r>
            <w:r>
              <w:rPr>
                <w:spacing w:val="-2"/>
                <w:sz w:val="20"/>
              </w:rPr>
              <w:t>income/Revenue</w:t>
            </w:r>
          </w:p>
        </w:tc>
        <w:tc>
          <w:tcPr>
            <w:tcW w:w="1022" w:type="dxa"/>
          </w:tcPr>
          <w:p>
            <w:pPr>
              <w:pStyle w:val="TableParagraph"/>
              <w:rPr>
                <w:rFonts w:ascii="Times New Roman"/>
                <w:sz w:val="16"/>
              </w:rPr>
            </w:pPr>
          </w:p>
        </w:tc>
        <w:tc>
          <w:tcPr>
            <w:tcW w:w="1272" w:type="dxa"/>
            <w:tcBorders>
              <w:top w:val="single" w:sz="2" w:space="0" w:color="000000"/>
              <w:bottom w:val="single" w:sz="2" w:space="0" w:color="000000"/>
            </w:tcBorders>
          </w:tcPr>
          <w:p>
            <w:pPr>
              <w:pStyle w:val="TableParagraph"/>
              <w:spacing w:line="218" w:lineRule="exact" w:before="6"/>
              <w:ind w:right="96"/>
              <w:jc w:val="right"/>
              <w:rPr>
                <w:b/>
                <w:sz w:val="20"/>
              </w:rPr>
            </w:pPr>
            <w:r>
              <w:rPr>
                <w:b/>
                <w:spacing w:val="-2"/>
                <w:sz w:val="20"/>
              </w:rPr>
              <w:t>200,013</w:t>
            </w:r>
          </w:p>
        </w:tc>
        <w:tc>
          <w:tcPr>
            <w:tcW w:w="1270" w:type="dxa"/>
            <w:tcBorders>
              <w:top w:val="single" w:sz="2" w:space="0" w:color="000000"/>
              <w:bottom w:val="single" w:sz="2" w:space="0" w:color="000000"/>
            </w:tcBorders>
            <w:shd w:val="clear" w:color="auto" w:fill="DDEBF6"/>
          </w:tcPr>
          <w:p>
            <w:pPr>
              <w:pStyle w:val="TableParagraph"/>
              <w:spacing w:line="218" w:lineRule="exact" w:before="6"/>
              <w:ind w:right="94"/>
              <w:jc w:val="right"/>
              <w:rPr>
                <w:b/>
                <w:sz w:val="20"/>
              </w:rPr>
            </w:pPr>
            <w:r>
              <w:rPr>
                <w:b/>
                <w:spacing w:val="-2"/>
                <w:sz w:val="20"/>
              </w:rPr>
              <w:t>191,872</w:t>
            </w:r>
          </w:p>
        </w:tc>
        <w:tc>
          <w:tcPr>
            <w:tcW w:w="1370" w:type="dxa"/>
            <w:tcBorders>
              <w:top w:val="single" w:sz="2" w:space="0" w:color="000000"/>
              <w:bottom w:val="single" w:sz="2" w:space="0" w:color="000000"/>
            </w:tcBorders>
          </w:tcPr>
          <w:p>
            <w:pPr>
              <w:pStyle w:val="TableParagraph"/>
              <w:spacing w:line="218" w:lineRule="exact" w:before="6"/>
              <w:ind w:right="50"/>
              <w:jc w:val="right"/>
              <w:rPr>
                <w:b/>
                <w:sz w:val="20"/>
              </w:rPr>
            </w:pPr>
            <w:r>
              <w:rPr>
                <w:b/>
                <w:spacing w:val="-2"/>
                <w:sz w:val="20"/>
              </w:rPr>
              <w:t>204,726</w:t>
            </w:r>
          </w:p>
        </w:tc>
        <w:tc>
          <w:tcPr>
            <w:tcW w:w="1400" w:type="dxa"/>
            <w:tcBorders>
              <w:top w:val="single" w:sz="2" w:space="0" w:color="000000"/>
              <w:bottom w:val="single" w:sz="2" w:space="0" w:color="000000"/>
            </w:tcBorders>
          </w:tcPr>
          <w:p>
            <w:pPr>
              <w:pStyle w:val="TableParagraph"/>
              <w:spacing w:line="218" w:lineRule="exact" w:before="6"/>
              <w:ind w:right="176"/>
              <w:jc w:val="right"/>
              <w:rPr>
                <w:b/>
                <w:sz w:val="20"/>
              </w:rPr>
            </w:pPr>
            <w:r>
              <w:rPr>
                <w:b/>
                <w:spacing w:val="-2"/>
                <w:sz w:val="20"/>
              </w:rPr>
              <w:t>202,812</w:t>
            </w:r>
          </w:p>
        </w:tc>
        <w:tc>
          <w:tcPr>
            <w:tcW w:w="1192" w:type="dxa"/>
            <w:tcBorders>
              <w:top w:val="single" w:sz="2" w:space="0" w:color="000000"/>
              <w:bottom w:val="single" w:sz="2" w:space="0" w:color="000000"/>
              <w:right w:val="single" w:sz="12" w:space="0" w:color="000000"/>
            </w:tcBorders>
          </w:tcPr>
          <w:p>
            <w:pPr>
              <w:pStyle w:val="TableParagraph"/>
              <w:spacing w:line="218" w:lineRule="exact" w:before="6"/>
              <w:ind w:right="81"/>
              <w:jc w:val="right"/>
              <w:rPr>
                <w:b/>
                <w:sz w:val="20"/>
              </w:rPr>
            </w:pPr>
            <w:r>
              <w:rPr>
                <w:b/>
                <w:spacing w:val="-2"/>
                <w:sz w:val="20"/>
              </w:rPr>
              <w:t>207,767</w:t>
            </w:r>
          </w:p>
        </w:tc>
      </w:tr>
      <w:tr>
        <w:trPr>
          <w:trHeight w:val="485" w:hRule="atLeast"/>
        </w:trPr>
        <w:tc>
          <w:tcPr>
            <w:tcW w:w="3221" w:type="dxa"/>
            <w:tcBorders>
              <w:left w:val="single" w:sz="12" w:space="0" w:color="000000"/>
            </w:tcBorders>
          </w:tcPr>
          <w:p>
            <w:pPr>
              <w:pStyle w:val="TableParagraph"/>
              <w:spacing w:before="2"/>
              <w:rPr>
                <w:i/>
                <w:sz w:val="21"/>
              </w:rPr>
            </w:pPr>
          </w:p>
          <w:p>
            <w:pPr>
              <w:pStyle w:val="TableParagraph"/>
              <w:spacing w:line="221" w:lineRule="exact" w:before="1"/>
              <w:ind w:left="104"/>
              <w:rPr>
                <w:b/>
                <w:sz w:val="20"/>
              </w:rPr>
            </w:pPr>
            <w:r>
              <w:rPr>
                <w:b/>
                <w:spacing w:val="-2"/>
                <w:sz w:val="20"/>
              </w:rPr>
              <w:t>Expenses</w:t>
            </w:r>
          </w:p>
        </w:tc>
        <w:tc>
          <w:tcPr>
            <w:tcW w:w="1022" w:type="dxa"/>
          </w:tcPr>
          <w:p>
            <w:pPr>
              <w:pStyle w:val="TableParagraph"/>
              <w:rPr>
                <w:rFonts w:ascii="Times New Roman"/>
                <w:sz w:val="18"/>
              </w:rPr>
            </w:pPr>
          </w:p>
        </w:tc>
        <w:tc>
          <w:tcPr>
            <w:tcW w:w="1272" w:type="dxa"/>
            <w:tcBorders>
              <w:top w:val="single" w:sz="2" w:space="0" w:color="000000"/>
            </w:tcBorders>
          </w:tcPr>
          <w:p>
            <w:pPr>
              <w:pStyle w:val="TableParagraph"/>
              <w:rPr>
                <w:rFonts w:ascii="Times New Roman"/>
                <w:sz w:val="18"/>
              </w:rPr>
            </w:pPr>
          </w:p>
        </w:tc>
        <w:tc>
          <w:tcPr>
            <w:tcW w:w="1270" w:type="dxa"/>
            <w:tcBorders>
              <w:top w:val="single" w:sz="2" w:space="0" w:color="000000"/>
            </w:tcBorders>
            <w:shd w:val="clear" w:color="auto" w:fill="DDEBF6"/>
          </w:tcPr>
          <w:p>
            <w:pPr>
              <w:pStyle w:val="TableParagraph"/>
              <w:rPr>
                <w:rFonts w:ascii="Times New Roman"/>
                <w:sz w:val="18"/>
              </w:rPr>
            </w:pPr>
          </w:p>
        </w:tc>
        <w:tc>
          <w:tcPr>
            <w:tcW w:w="1370" w:type="dxa"/>
            <w:tcBorders>
              <w:top w:val="single" w:sz="2" w:space="0" w:color="000000"/>
            </w:tcBorders>
          </w:tcPr>
          <w:p>
            <w:pPr>
              <w:pStyle w:val="TableParagraph"/>
              <w:rPr>
                <w:rFonts w:ascii="Times New Roman"/>
                <w:sz w:val="18"/>
              </w:rPr>
            </w:pPr>
          </w:p>
        </w:tc>
        <w:tc>
          <w:tcPr>
            <w:tcW w:w="1400" w:type="dxa"/>
            <w:tcBorders>
              <w:top w:val="single" w:sz="2" w:space="0" w:color="000000"/>
            </w:tcBorders>
          </w:tcPr>
          <w:p>
            <w:pPr>
              <w:pStyle w:val="TableParagraph"/>
              <w:rPr>
                <w:rFonts w:ascii="Times New Roman"/>
                <w:sz w:val="18"/>
              </w:rPr>
            </w:pPr>
          </w:p>
        </w:tc>
        <w:tc>
          <w:tcPr>
            <w:tcW w:w="1192" w:type="dxa"/>
            <w:tcBorders>
              <w:top w:val="single" w:sz="2" w:space="0" w:color="000000"/>
              <w:right w:val="single" w:sz="12" w:space="0" w:color="000000"/>
            </w:tcBorders>
          </w:tcPr>
          <w:p>
            <w:pPr>
              <w:pStyle w:val="TableParagraph"/>
              <w:rPr>
                <w:rFonts w:ascii="Times New Roman"/>
                <w:sz w:val="18"/>
              </w:rPr>
            </w:pPr>
          </w:p>
        </w:tc>
      </w:tr>
      <w:tr>
        <w:trPr>
          <w:trHeight w:val="248" w:hRule="atLeast"/>
        </w:trPr>
        <w:tc>
          <w:tcPr>
            <w:tcW w:w="3221" w:type="dxa"/>
            <w:tcBorders>
              <w:left w:val="single" w:sz="12" w:space="0" w:color="000000"/>
            </w:tcBorders>
          </w:tcPr>
          <w:p>
            <w:pPr>
              <w:pStyle w:val="TableParagraph"/>
              <w:spacing w:line="225" w:lineRule="exact" w:before="4"/>
              <w:ind w:left="104"/>
              <w:rPr>
                <w:sz w:val="20"/>
              </w:rPr>
            </w:pPr>
            <w:r>
              <w:rPr>
                <w:sz w:val="20"/>
              </w:rPr>
              <w:t>Employee</w:t>
            </w:r>
            <w:r>
              <w:rPr>
                <w:spacing w:val="-11"/>
                <w:sz w:val="20"/>
              </w:rPr>
              <w:t> </w:t>
            </w:r>
            <w:r>
              <w:rPr>
                <w:spacing w:val="-2"/>
                <w:sz w:val="20"/>
              </w:rPr>
              <w:t>costs</w:t>
            </w:r>
          </w:p>
        </w:tc>
        <w:tc>
          <w:tcPr>
            <w:tcW w:w="1022" w:type="dxa"/>
          </w:tcPr>
          <w:p>
            <w:pPr>
              <w:pStyle w:val="TableParagraph"/>
              <w:spacing w:line="225" w:lineRule="exact" w:before="4"/>
              <w:ind w:left="306"/>
              <w:rPr>
                <w:sz w:val="20"/>
              </w:rPr>
            </w:pPr>
            <w:r>
              <w:rPr>
                <w:spacing w:val="-2"/>
                <w:sz w:val="20"/>
              </w:rPr>
              <w:t>4.1.7</w:t>
            </w:r>
          </w:p>
        </w:tc>
        <w:tc>
          <w:tcPr>
            <w:tcW w:w="1272" w:type="dxa"/>
          </w:tcPr>
          <w:p>
            <w:pPr>
              <w:pStyle w:val="TableParagraph"/>
              <w:spacing w:line="217" w:lineRule="exact" w:before="11"/>
              <w:ind w:right="96"/>
              <w:jc w:val="right"/>
              <w:rPr>
                <w:sz w:val="20"/>
              </w:rPr>
            </w:pPr>
            <w:r>
              <w:rPr>
                <w:spacing w:val="-2"/>
                <w:sz w:val="20"/>
              </w:rPr>
              <w:t>70,896</w:t>
            </w:r>
          </w:p>
        </w:tc>
        <w:tc>
          <w:tcPr>
            <w:tcW w:w="1270" w:type="dxa"/>
            <w:shd w:val="clear" w:color="auto" w:fill="DDEBF6"/>
          </w:tcPr>
          <w:p>
            <w:pPr>
              <w:pStyle w:val="TableParagraph"/>
              <w:spacing w:line="217" w:lineRule="exact" w:before="11"/>
              <w:ind w:right="94"/>
              <w:jc w:val="right"/>
              <w:rPr>
                <w:b/>
                <w:sz w:val="20"/>
              </w:rPr>
            </w:pPr>
            <w:r>
              <w:rPr>
                <w:b/>
                <w:spacing w:val="-2"/>
                <w:sz w:val="20"/>
              </w:rPr>
              <w:t>72,006</w:t>
            </w:r>
          </w:p>
        </w:tc>
        <w:tc>
          <w:tcPr>
            <w:tcW w:w="1370" w:type="dxa"/>
          </w:tcPr>
          <w:p>
            <w:pPr>
              <w:pStyle w:val="TableParagraph"/>
              <w:spacing w:line="217" w:lineRule="exact" w:before="11"/>
              <w:ind w:right="50"/>
              <w:jc w:val="right"/>
              <w:rPr>
                <w:sz w:val="20"/>
              </w:rPr>
            </w:pPr>
            <w:r>
              <w:rPr>
                <w:spacing w:val="-2"/>
                <w:sz w:val="20"/>
              </w:rPr>
              <w:t>72,948</w:t>
            </w:r>
          </w:p>
        </w:tc>
        <w:tc>
          <w:tcPr>
            <w:tcW w:w="1400" w:type="dxa"/>
          </w:tcPr>
          <w:p>
            <w:pPr>
              <w:pStyle w:val="TableParagraph"/>
              <w:spacing w:line="217" w:lineRule="exact" w:before="11"/>
              <w:ind w:right="176"/>
              <w:jc w:val="right"/>
              <w:rPr>
                <w:sz w:val="20"/>
              </w:rPr>
            </w:pPr>
            <w:r>
              <w:rPr>
                <w:spacing w:val="-2"/>
                <w:sz w:val="20"/>
              </w:rPr>
              <w:t>74,097</w:t>
            </w:r>
          </w:p>
        </w:tc>
        <w:tc>
          <w:tcPr>
            <w:tcW w:w="1192" w:type="dxa"/>
            <w:tcBorders>
              <w:right w:val="single" w:sz="12" w:space="0" w:color="000000"/>
            </w:tcBorders>
          </w:tcPr>
          <w:p>
            <w:pPr>
              <w:pStyle w:val="TableParagraph"/>
              <w:spacing w:line="217" w:lineRule="exact" w:before="11"/>
              <w:ind w:right="81"/>
              <w:jc w:val="right"/>
              <w:rPr>
                <w:sz w:val="20"/>
              </w:rPr>
            </w:pPr>
            <w:r>
              <w:rPr>
                <w:spacing w:val="-2"/>
                <w:sz w:val="20"/>
              </w:rPr>
              <w:t>75,508</w:t>
            </w:r>
          </w:p>
        </w:tc>
      </w:tr>
      <w:tr>
        <w:trPr>
          <w:trHeight w:val="244" w:hRule="atLeast"/>
        </w:trPr>
        <w:tc>
          <w:tcPr>
            <w:tcW w:w="3221" w:type="dxa"/>
            <w:tcBorders>
              <w:left w:val="single" w:sz="12" w:space="0" w:color="000000"/>
            </w:tcBorders>
          </w:tcPr>
          <w:p>
            <w:pPr>
              <w:pStyle w:val="TableParagraph"/>
              <w:spacing w:line="225" w:lineRule="exact"/>
              <w:ind w:left="104"/>
              <w:rPr>
                <w:sz w:val="20"/>
              </w:rPr>
            </w:pPr>
            <w:r>
              <w:rPr>
                <w:sz w:val="20"/>
              </w:rPr>
              <w:t>Materials</w:t>
            </w:r>
            <w:r>
              <w:rPr>
                <w:spacing w:val="-6"/>
                <w:sz w:val="20"/>
              </w:rPr>
              <w:t> </w:t>
            </w:r>
            <w:r>
              <w:rPr>
                <w:sz w:val="20"/>
              </w:rPr>
              <w:t>and</w:t>
            </w:r>
            <w:r>
              <w:rPr>
                <w:spacing w:val="-9"/>
                <w:sz w:val="20"/>
              </w:rPr>
              <w:t> </w:t>
            </w:r>
            <w:r>
              <w:rPr>
                <w:spacing w:val="-2"/>
                <w:sz w:val="20"/>
              </w:rPr>
              <w:t>services</w:t>
            </w:r>
          </w:p>
        </w:tc>
        <w:tc>
          <w:tcPr>
            <w:tcW w:w="1022" w:type="dxa"/>
          </w:tcPr>
          <w:p>
            <w:pPr>
              <w:pStyle w:val="TableParagraph"/>
              <w:spacing w:line="225" w:lineRule="exact"/>
              <w:ind w:left="306"/>
              <w:rPr>
                <w:sz w:val="20"/>
              </w:rPr>
            </w:pPr>
            <w:r>
              <w:rPr>
                <w:spacing w:val="-2"/>
                <w:sz w:val="20"/>
              </w:rPr>
              <w:t>4.1.8</w:t>
            </w:r>
          </w:p>
        </w:tc>
        <w:tc>
          <w:tcPr>
            <w:tcW w:w="1272" w:type="dxa"/>
          </w:tcPr>
          <w:p>
            <w:pPr>
              <w:pStyle w:val="TableParagraph"/>
              <w:spacing w:line="217" w:lineRule="exact" w:before="7"/>
              <w:ind w:right="96"/>
              <w:jc w:val="right"/>
              <w:rPr>
                <w:sz w:val="20"/>
              </w:rPr>
            </w:pPr>
            <w:r>
              <w:rPr>
                <w:spacing w:val="-2"/>
                <w:sz w:val="20"/>
              </w:rPr>
              <w:t>66,232</w:t>
            </w:r>
          </w:p>
        </w:tc>
        <w:tc>
          <w:tcPr>
            <w:tcW w:w="1270" w:type="dxa"/>
            <w:shd w:val="clear" w:color="auto" w:fill="DDEBF6"/>
          </w:tcPr>
          <w:p>
            <w:pPr>
              <w:pStyle w:val="TableParagraph"/>
              <w:spacing w:line="217" w:lineRule="exact" w:before="7"/>
              <w:ind w:right="94"/>
              <w:jc w:val="right"/>
              <w:rPr>
                <w:b/>
                <w:sz w:val="20"/>
              </w:rPr>
            </w:pPr>
            <w:r>
              <w:rPr>
                <w:b/>
                <w:spacing w:val="-2"/>
                <w:sz w:val="20"/>
              </w:rPr>
              <w:t>70,236</w:t>
            </w:r>
          </w:p>
        </w:tc>
        <w:tc>
          <w:tcPr>
            <w:tcW w:w="1370" w:type="dxa"/>
          </w:tcPr>
          <w:p>
            <w:pPr>
              <w:pStyle w:val="TableParagraph"/>
              <w:spacing w:line="217" w:lineRule="exact" w:before="7"/>
              <w:ind w:right="50"/>
              <w:jc w:val="right"/>
              <w:rPr>
                <w:b/>
                <w:sz w:val="20"/>
              </w:rPr>
            </w:pPr>
            <w:r>
              <w:rPr>
                <w:b/>
                <w:spacing w:val="-2"/>
                <w:sz w:val="20"/>
              </w:rPr>
              <w:t>71,505</w:t>
            </w:r>
          </w:p>
        </w:tc>
        <w:tc>
          <w:tcPr>
            <w:tcW w:w="1400" w:type="dxa"/>
          </w:tcPr>
          <w:p>
            <w:pPr>
              <w:pStyle w:val="TableParagraph"/>
              <w:spacing w:line="217" w:lineRule="exact" w:before="7"/>
              <w:ind w:right="176"/>
              <w:jc w:val="right"/>
              <w:rPr>
                <w:b/>
                <w:sz w:val="20"/>
              </w:rPr>
            </w:pPr>
            <w:r>
              <w:rPr>
                <w:b/>
                <w:spacing w:val="-2"/>
                <w:sz w:val="20"/>
              </w:rPr>
              <w:t>73,907</w:t>
            </w:r>
          </w:p>
        </w:tc>
        <w:tc>
          <w:tcPr>
            <w:tcW w:w="1192" w:type="dxa"/>
            <w:tcBorders>
              <w:right w:val="single" w:sz="12" w:space="0" w:color="000000"/>
            </w:tcBorders>
          </w:tcPr>
          <w:p>
            <w:pPr>
              <w:pStyle w:val="TableParagraph"/>
              <w:spacing w:line="217" w:lineRule="exact" w:before="7"/>
              <w:ind w:right="81"/>
              <w:jc w:val="right"/>
              <w:rPr>
                <w:sz w:val="20"/>
              </w:rPr>
            </w:pPr>
            <w:r>
              <w:rPr>
                <w:spacing w:val="-2"/>
                <w:sz w:val="20"/>
              </w:rPr>
              <w:t>76,448</w:t>
            </w:r>
          </w:p>
        </w:tc>
      </w:tr>
      <w:tr>
        <w:trPr>
          <w:trHeight w:val="246" w:hRule="atLeast"/>
        </w:trPr>
        <w:tc>
          <w:tcPr>
            <w:tcW w:w="3221" w:type="dxa"/>
            <w:tcBorders>
              <w:left w:val="single" w:sz="12" w:space="0" w:color="000000"/>
            </w:tcBorders>
          </w:tcPr>
          <w:p>
            <w:pPr>
              <w:pStyle w:val="TableParagraph"/>
              <w:spacing w:line="226" w:lineRule="exact"/>
              <w:ind w:left="104"/>
              <w:rPr>
                <w:sz w:val="20"/>
              </w:rPr>
            </w:pPr>
            <w:r>
              <w:rPr>
                <w:spacing w:val="-2"/>
                <w:sz w:val="20"/>
              </w:rPr>
              <w:t>Depreciation</w:t>
            </w:r>
          </w:p>
        </w:tc>
        <w:tc>
          <w:tcPr>
            <w:tcW w:w="1022" w:type="dxa"/>
          </w:tcPr>
          <w:p>
            <w:pPr>
              <w:pStyle w:val="TableParagraph"/>
              <w:spacing w:line="226" w:lineRule="exact"/>
              <w:ind w:left="306"/>
              <w:rPr>
                <w:sz w:val="20"/>
              </w:rPr>
            </w:pPr>
            <w:r>
              <w:rPr>
                <w:spacing w:val="-2"/>
                <w:sz w:val="20"/>
              </w:rPr>
              <w:t>4.1.9</w:t>
            </w:r>
          </w:p>
        </w:tc>
        <w:tc>
          <w:tcPr>
            <w:tcW w:w="1272" w:type="dxa"/>
          </w:tcPr>
          <w:p>
            <w:pPr>
              <w:pStyle w:val="TableParagraph"/>
              <w:spacing w:line="216" w:lineRule="exact" w:before="10"/>
              <w:ind w:right="96"/>
              <w:jc w:val="right"/>
              <w:rPr>
                <w:sz w:val="20"/>
              </w:rPr>
            </w:pPr>
            <w:r>
              <w:rPr>
                <w:spacing w:val="-2"/>
                <w:sz w:val="20"/>
              </w:rPr>
              <w:t>27,153</w:t>
            </w:r>
          </w:p>
        </w:tc>
        <w:tc>
          <w:tcPr>
            <w:tcW w:w="1270" w:type="dxa"/>
            <w:shd w:val="clear" w:color="auto" w:fill="DDEBF6"/>
          </w:tcPr>
          <w:p>
            <w:pPr>
              <w:pStyle w:val="TableParagraph"/>
              <w:spacing w:line="216" w:lineRule="exact" w:before="10"/>
              <w:ind w:right="94"/>
              <w:jc w:val="right"/>
              <w:rPr>
                <w:b/>
                <w:sz w:val="20"/>
              </w:rPr>
            </w:pPr>
            <w:r>
              <w:rPr>
                <w:b/>
                <w:spacing w:val="-2"/>
                <w:sz w:val="20"/>
              </w:rPr>
              <w:t>28,125</w:t>
            </w:r>
          </w:p>
        </w:tc>
        <w:tc>
          <w:tcPr>
            <w:tcW w:w="1370" w:type="dxa"/>
          </w:tcPr>
          <w:p>
            <w:pPr>
              <w:pStyle w:val="TableParagraph"/>
              <w:spacing w:line="216" w:lineRule="exact" w:before="10"/>
              <w:ind w:right="50"/>
              <w:jc w:val="right"/>
              <w:rPr>
                <w:sz w:val="20"/>
              </w:rPr>
            </w:pPr>
            <w:r>
              <w:rPr>
                <w:spacing w:val="-2"/>
                <w:sz w:val="20"/>
              </w:rPr>
              <w:t>29,601</w:t>
            </w:r>
          </w:p>
        </w:tc>
        <w:tc>
          <w:tcPr>
            <w:tcW w:w="1400" w:type="dxa"/>
          </w:tcPr>
          <w:p>
            <w:pPr>
              <w:pStyle w:val="TableParagraph"/>
              <w:spacing w:line="216" w:lineRule="exact" w:before="10"/>
              <w:ind w:right="176"/>
              <w:jc w:val="right"/>
              <w:rPr>
                <w:sz w:val="20"/>
              </w:rPr>
            </w:pPr>
            <w:r>
              <w:rPr>
                <w:spacing w:val="-2"/>
                <w:sz w:val="20"/>
              </w:rPr>
              <w:t>30,691</w:t>
            </w:r>
          </w:p>
        </w:tc>
        <w:tc>
          <w:tcPr>
            <w:tcW w:w="1192" w:type="dxa"/>
            <w:tcBorders>
              <w:right w:val="single" w:sz="12" w:space="0" w:color="000000"/>
            </w:tcBorders>
          </w:tcPr>
          <w:p>
            <w:pPr>
              <w:pStyle w:val="TableParagraph"/>
              <w:spacing w:line="216" w:lineRule="exact" w:before="10"/>
              <w:ind w:right="81"/>
              <w:jc w:val="right"/>
              <w:rPr>
                <w:sz w:val="20"/>
              </w:rPr>
            </w:pPr>
            <w:r>
              <w:rPr>
                <w:spacing w:val="-2"/>
                <w:sz w:val="20"/>
              </w:rPr>
              <w:t>31,610</w:t>
            </w:r>
          </w:p>
        </w:tc>
      </w:tr>
      <w:tr>
        <w:trPr>
          <w:trHeight w:val="245" w:hRule="atLeast"/>
        </w:trPr>
        <w:tc>
          <w:tcPr>
            <w:tcW w:w="3221" w:type="dxa"/>
            <w:tcBorders>
              <w:left w:val="single" w:sz="12" w:space="0" w:color="000000"/>
            </w:tcBorders>
          </w:tcPr>
          <w:p>
            <w:pPr>
              <w:pStyle w:val="TableParagraph"/>
              <w:spacing w:line="226" w:lineRule="exact"/>
              <w:ind w:left="104"/>
              <w:rPr>
                <w:sz w:val="20"/>
              </w:rPr>
            </w:pPr>
            <w:r>
              <w:rPr>
                <w:sz w:val="20"/>
              </w:rPr>
              <w:t>Amortisation</w:t>
            </w:r>
            <w:r>
              <w:rPr>
                <w:spacing w:val="-9"/>
                <w:sz w:val="20"/>
              </w:rPr>
              <w:t> </w:t>
            </w:r>
            <w:r>
              <w:rPr>
                <w:sz w:val="20"/>
              </w:rPr>
              <w:t>-</w:t>
            </w:r>
            <w:r>
              <w:rPr>
                <w:spacing w:val="-6"/>
                <w:sz w:val="20"/>
              </w:rPr>
              <w:t> </w:t>
            </w:r>
            <w:r>
              <w:rPr>
                <w:sz w:val="20"/>
              </w:rPr>
              <w:t>intangible</w:t>
            </w:r>
            <w:r>
              <w:rPr>
                <w:spacing w:val="-8"/>
                <w:sz w:val="20"/>
              </w:rPr>
              <w:t> </w:t>
            </w:r>
            <w:r>
              <w:rPr>
                <w:spacing w:val="-2"/>
                <w:sz w:val="20"/>
              </w:rPr>
              <w:t>assets</w:t>
            </w:r>
          </w:p>
        </w:tc>
        <w:tc>
          <w:tcPr>
            <w:tcW w:w="1022" w:type="dxa"/>
          </w:tcPr>
          <w:p>
            <w:pPr>
              <w:pStyle w:val="TableParagraph"/>
              <w:rPr>
                <w:rFonts w:ascii="Times New Roman"/>
                <w:sz w:val="16"/>
              </w:rPr>
            </w:pPr>
          </w:p>
        </w:tc>
        <w:tc>
          <w:tcPr>
            <w:tcW w:w="1272" w:type="dxa"/>
          </w:tcPr>
          <w:p>
            <w:pPr>
              <w:pStyle w:val="TableParagraph"/>
              <w:spacing w:line="217" w:lineRule="exact" w:before="8"/>
              <w:ind w:right="96"/>
              <w:jc w:val="right"/>
              <w:rPr>
                <w:sz w:val="20"/>
              </w:rPr>
            </w:pPr>
            <w:r>
              <w:rPr>
                <w:spacing w:val="-5"/>
                <w:sz w:val="20"/>
              </w:rPr>
              <w:t>332</w:t>
            </w:r>
          </w:p>
        </w:tc>
        <w:tc>
          <w:tcPr>
            <w:tcW w:w="1270" w:type="dxa"/>
            <w:shd w:val="clear" w:color="auto" w:fill="DDEBF6"/>
          </w:tcPr>
          <w:p>
            <w:pPr>
              <w:pStyle w:val="TableParagraph"/>
              <w:spacing w:line="217" w:lineRule="exact" w:before="8"/>
              <w:ind w:right="94"/>
              <w:jc w:val="right"/>
              <w:rPr>
                <w:b/>
                <w:sz w:val="20"/>
              </w:rPr>
            </w:pPr>
            <w:r>
              <w:rPr>
                <w:b/>
                <w:spacing w:val="-5"/>
                <w:sz w:val="20"/>
              </w:rPr>
              <w:t>425</w:t>
            </w:r>
          </w:p>
        </w:tc>
        <w:tc>
          <w:tcPr>
            <w:tcW w:w="1370" w:type="dxa"/>
          </w:tcPr>
          <w:p>
            <w:pPr>
              <w:pStyle w:val="TableParagraph"/>
              <w:spacing w:line="217" w:lineRule="exact" w:before="8"/>
              <w:ind w:right="49"/>
              <w:jc w:val="right"/>
              <w:rPr>
                <w:sz w:val="20"/>
              </w:rPr>
            </w:pPr>
            <w:r>
              <w:rPr>
                <w:w w:val="99"/>
                <w:sz w:val="20"/>
              </w:rPr>
              <w:t>-</w:t>
            </w:r>
          </w:p>
        </w:tc>
        <w:tc>
          <w:tcPr>
            <w:tcW w:w="1400" w:type="dxa"/>
          </w:tcPr>
          <w:p>
            <w:pPr>
              <w:pStyle w:val="TableParagraph"/>
              <w:spacing w:line="217" w:lineRule="exact" w:before="8"/>
              <w:ind w:right="174"/>
              <w:jc w:val="right"/>
              <w:rPr>
                <w:sz w:val="20"/>
              </w:rPr>
            </w:pPr>
            <w:r>
              <w:rPr>
                <w:w w:val="99"/>
                <w:sz w:val="20"/>
              </w:rPr>
              <w:t>-</w:t>
            </w:r>
          </w:p>
        </w:tc>
        <w:tc>
          <w:tcPr>
            <w:tcW w:w="1192" w:type="dxa"/>
            <w:tcBorders>
              <w:right w:val="single" w:sz="12" w:space="0" w:color="000000"/>
            </w:tcBorders>
          </w:tcPr>
          <w:p>
            <w:pPr>
              <w:pStyle w:val="TableParagraph"/>
              <w:spacing w:line="217" w:lineRule="exact" w:before="8"/>
              <w:ind w:right="79"/>
              <w:jc w:val="right"/>
              <w:rPr>
                <w:sz w:val="20"/>
              </w:rPr>
            </w:pPr>
            <w:r>
              <w:rPr>
                <w:w w:val="99"/>
                <w:sz w:val="20"/>
              </w:rPr>
              <w:t>-</w:t>
            </w:r>
          </w:p>
        </w:tc>
      </w:tr>
      <w:tr>
        <w:trPr>
          <w:trHeight w:val="244" w:hRule="atLeast"/>
        </w:trPr>
        <w:tc>
          <w:tcPr>
            <w:tcW w:w="3221" w:type="dxa"/>
            <w:tcBorders>
              <w:left w:val="single" w:sz="12" w:space="0" w:color="000000"/>
            </w:tcBorders>
          </w:tcPr>
          <w:p>
            <w:pPr>
              <w:pStyle w:val="TableParagraph"/>
              <w:spacing w:line="225" w:lineRule="exact"/>
              <w:ind w:left="104"/>
              <w:rPr>
                <w:sz w:val="20"/>
              </w:rPr>
            </w:pPr>
            <w:r>
              <w:rPr>
                <w:sz w:val="20"/>
              </w:rPr>
              <w:t>Depreciation</w:t>
            </w:r>
            <w:r>
              <w:rPr>
                <w:spacing w:val="-7"/>
                <w:sz w:val="20"/>
              </w:rPr>
              <w:t> </w:t>
            </w:r>
            <w:r>
              <w:rPr>
                <w:sz w:val="20"/>
              </w:rPr>
              <w:t>-</w:t>
            </w:r>
            <w:r>
              <w:rPr>
                <w:spacing w:val="-4"/>
                <w:sz w:val="20"/>
              </w:rPr>
              <w:t> </w:t>
            </w:r>
            <w:r>
              <w:rPr>
                <w:sz w:val="20"/>
              </w:rPr>
              <w:t>right</w:t>
            </w:r>
            <w:r>
              <w:rPr>
                <w:spacing w:val="-3"/>
                <w:sz w:val="20"/>
              </w:rPr>
              <w:t> </w:t>
            </w:r>
            <w:r>
              <w:rPr>
                <w:sz w:val="20"/>
              </w:rPr>
              <w:t>of</w:t>
            </w:r>
            <w:r>
              <w:rPr>
                <w:spacing w:val="-5"/>
                <w:sz w:val="20"/>
              </w:rPr>
              <w:t> </w:t>
            </w:r>
            <w:r>
              <w:rPr>
                <w:sz w:val="20"/>
              </w:rPr>
              <w:t>use</w:t>
            </w:r>
            <w:r>
              <w:rPr>
                <w:spacing w:val="-5"/>
                <w:sz w:val="20"/>
              </w:rPr>
              <w:t> </w:t>
            </w:r>
            <w:r>
              <w:rPr>
                <w:spacing w:val="-2"/>
                <w:sz w:val="20"/>
              </w:rPr>
              <w:t>assets</w:t>
            </w:r>
          </w:p>
        </w:tc>
        <w:tc>
          <w:tcPr>
            <w:tcW w:w="1022" w:type="dxa"/>
          </w:tcPr>
          <w:p>
            <w:pPr>
              <w:pStyle w:val="TableParagraph"/>
              <w:spacing w:line="225" w:lineRule="exact"/>
              <w:ind w:left="249"/>
              <w:rPr>
                <w:sz w:val="20"/>
              </w:rPr>
            </w:pPr>
            <w:r>
              <w:rPr>
                <w:spacing w:val="-2"/>
                <w:sz w:val="20"/>
              </w:rPr>
              <w:t>4.1.10</w:t>
            </w:r>
          </w:p>
        </w:tc>
        <w:tc>
          <w:tcPr>
            <w:tcW w:w="1272" w:type="dxa"/>
          </w:tcPr>
          <w:p>
            <w:pPr>
              <w:pStyle w:val="TableParagraph"/>
              <w:spacing w:line="217" w:lineRule="exact" w:before="7"/>
              <w:ind w:right="95"/>
              <w:jc w:val="right"/>
              <w:rPr>
                <w:sz w:val="20"/>
              </w:rPr>
            </w:pPr>
            <w:r>
              <w:rPr>
                <w:spacing w:val="-2"/>
                <w:sz w:val="20"/>
              </w:rPr>
              <w:t>1,636</w:t>
            </w:r>
          </w:p>
        </w:tc>
        <w:tc>
          <w:tcPr>
            <w:tcW w:w="1270" w:type="dxa"/>
            <w:shd w:val="clear" w:color="auto" w:fill="DDEBF6"/>
          </w:tcPr>
          <w:p>
            <w:pPr>
              <w:pStyle w:val="TableParagraph"/>
              <w:spacing w:line="217" w:lineRule="exact" w:before="7"/>
              <w:ind w:right="93"/>
              <w:jc w:val="right"/>
              <w:rPr>
                <w:b/>
                <w:sz w:val="20"/>
              </w:rPr>
            </w:pPr>
            <w:r>
              <w:rPr>
                <w:b/>
                <w:spacing w:val="-2"/>
                <w:sz w:val="20"/>
              </w:rPr>
              <w:t>1,688</w:t>
            </w:r>
          </w:p>
        </w:tc>
        <w:tc>
          <w:tcPr>
            <w:tcW w:w="1370" w:type="dxa"/>
          </w:tcPr>
          <w:p>
            <w:pPr>
              <w:pStyle w:val="TableParagraph"/>
              <w:spacing w:line="217" w:lineRule="exact" w:before="7"/>
              <w:ind w:right="49"/>
              <w:jc w:val="right"/>
              <w:rPr>
                <w:sz w:val="20"/>
              </w:rPr>
            </w:pPr>
            <w:r>
              <w:rPr>
                <w:spacing w:val="-2"/>
                <w:sz w:val="20"/>
              </w:rPr>
              <w:t>1,735</w:t>
            </w:r>
          </w:p>
        </w:tc>
        <w:tc>
          <w:tcPr>
            <w:tcW w:w="1400" w:type="dxa"/>
          </w:tcPr>
          <w:p>
            <w:pPr>
              <w:pStyle w:val="TableParagraph"/>
              <w:spacing w:line="217" w:lineRule="exact" w:before="7"/>
              <w:ind w:right="175"/>
              <w:jc w:val="right"/>
              <w:rPr>
                <w:sz w:val="20"/>
              </w:rPr>
            </w:pPr>
            <w:r>
              <w:rPr>
                <w:spacing w:val="-2"/>
                <w:sz w:val="20"/>
              </w:rPr>
              <w:t>1,782</w:t>
            </w:r>
          </w:p>
        </w:tc>
        <w:tc>
          <w:tcPr>
            <w:tcW w:w="1192" w:type="dxa"/>
            <w:tcBorders>
              <w:right w:val="single" w:sz="12" w:space="0" w:color="000000"/>
            </w:tcBorders>
          </w:tcPr>
          <w:p>
            <w:pPr>
              <w:pStyle w:val="TableParagraph"/>
              <w:spacing w:line="217" w:lineRule="exact" w:before="7"/>
              <w:ind w:right="80"/>
              <w:jc w:val="right"/>
              <w:rPr>
                <w:sz w:val="20"/>
              </w:rPr>
            </w:pPr>
            <w:r>
              <w:rPr>
                <w:spacing w:val="-2"/>
                <w:sz w:val="20"/>
              </w:rPr>
              <w:t>1,831</w:t>
            </w:r>
          </w:p>
        </w:tc>
      </w:tr>
      <w:tr>
        <w:trPr>
          <w:trHeight w:val="244" w:hRule="atLeast"/>
        </w:trPr>
        <w:tc>
          <w:tcPr>
            <w:tcW w:w="3221" w:type="dxa"/>
            <w:tcBorders>
              <w:left w:val="single" w:sz="12" w:space="0" w:color="000000"/>
            </w:tcBorders>
          </w:tcPr>
          <w:p>
            <w:pPr>
              <w:pStyle w:val="TableParagraph"/>
              <w:spacing w:line="225" w:lineRule="exact"/>
              <w:ind w:left="104"/>
              <w:rPr>
                <w:sz w:val="20"/>
              </w:rPr>
            </w:pPr>
            <w:r>
              <w:rPr>
                <w:sz w:val="20"/>
              </w:rPr>
              <w:t>Allowance</w:t>
            </w:r>
            <w:r>
              <w:rPr>
                <w:spacing w:val="-9"/>
                <w:sz w:val="20"/>
              </w:rPr>
              <w:t> </w:t>
            </w:r>
            <w:r>
              <w:rPr>
                <w:sz w:val="20"/>
              </w:rPr>
              <w:t>for</w:t>
            </w:r>
            <w:r>
              <w:rPr>
                <w:spacing w:val="-8"/>
                <w:sz w:val="20"/>
              </w:rPr>
              <w:t> </w:t>
            </w:r>
            <w:r>
              <w:rPr>
                <w:sz w:val="20"/>
              </w:rPr>
              <w:t>impairment</w:t>
            </w:r>
            <w:r>
              <w:rPr>
                <w:spacing w:val="-8"/>
                <w:sz w:val="20"/>
              </w:rPr>
              <w:t> </w:t>
            </w:r>
            <w:r>
              <w:rPr>
                <w:spacing w:val="-2"/>
                <w:sz w:val="20"/>
              </w:rPr>
              <w:t>losses</w:t>
            </w:r>
          </w:p>
        </w:tc>
        <w:tc>
          <w:tcPr>
            <w:tcW w:w="1022" w:type="dxa"/>
          </w:tcPr>
          <w:p>
            <w:pPr>
              <w:pStyle w:val="TableParagraph"/>
              <w:rPr>
                <w:rFonts w:ascii="Times New Roman"/>
                <w:sz w:val="16"/>
              </w:rPr>
            </w:pPr>
          </w:p>
        </w:tc>
        <w:tc>
          <w:tcPr>
            <w:tcW w:w="1272" w:type="dxa"/>
          </w:tcPr>
          <w:p>
            <w:pPr>
              <w:pStyle w:val="TableParagraph"/>
              <w:spacing w:line="217" w:lineRule="exact" w:before="7"/>
              <w:ind w:right="94"/>
              <w:jc w:val="right"/>
              <w:rPr>
                <w:sz w:val="20"/>
              </w:rPr>
            </w:pPr>
            <w:r>
              <w:rPr>
                <w:w w:val="99"/>
                <w:sz w:val="20"/>
              </w:rPr>
              <w:t>-</w:t>
            </w:r>
          </w:p>
        </w:tc>
        <w:tc>
          <w:tcPr>
            <w:tcW w:w="1270" w:type="dxa"/>
            <w:shd w:val="clear" w:color="auto" w:fill="DDEBF6"/>
          </w:tcPr>
          <w:p>
            <w:pPr>
              <w:pStyle w:val="TableParagraph"/>
              <w:spacing w:line="217" w:lineRule="exact" w:before="7"/>
              <w:ind w:right="92"/>
              <w:jc w:val="right"/>
              <w:rPr>
                <w:b/>
                <w:sz w:val="20"/>
              </w:rPr>
            </w:pPr>
            <w:r>
              <w:rPr>
                <w:b/>
                <w:w w:val="99"/>
                <w:sz w:val="20"/>
              </w:rPr>
              <w:t>-</w:t>
            </w:r>
          </w:p>
        </w:tc>
        <w:tc>
          <w:tcPr>
            <w:tcW w:w="1370" w:type="dxa"/>
          </w:tcPr>
          <w:p>
            <w:pPr>
              <w:pStyle w:val="TableParagraph"/>
              <w:spacing w:line="217" w:lineRule="exact" w:before="7"/>
              <w:ind w:right="49"/>
              <w:jc w:val="right"/>
              <w:rPr>
                <w:sz w:val="20"/>
              </w:rPr>
            </w:pPr>
            <w:r>
              <w:rPr>
                <w:w w:val="99"/>
                <w:sz w:val="20"/>
              </w:rPr>
              <w:t>-</w:t>
            </w:r>
          </w:p>
        </w:tc>
        <w:tc>
          <w:tcPr>
            <w:tcW w:w="1400" w:type="dxa"/>
          </w:tcPr>
          <w:p>
            <w:pPr>
              <w:pStyle w:val="TableParagraph"/>
              <w:spacing w:line="217" w:lineRule="exact" w:before="7"/>
              <w:ind w:right="174"/>
              <w:jc w:val="right"/>
              <w:rPr>
                <w:sz w:val="20"/>
              </w:rPr>
            </w:pPr>
            <w:r>
              <w:rPr>
                <w:w w:val="99"/>
                <w:sz w:val="20"/>
              </w:rPr>
              <w:t>-</w:t>
            </w:r>
          </w:p>
        </w:tc>
        <w:tc>
          <w:tcPr>
            <w:tcW w:w="1192" w:type="dxa"/>
            <w:tcBorders>
              <w:right w:val="single" w:sz="12" w:space="0" w:color="000000"/>
            </w:tcBorders>
          </w:tcPr>
          <w:p>
            <w:pPr>
              <w:pStyle w:val="TableParagraph"/>
              <w:spacing w:line="217" w:lineRule="exact" w:before="7"/>
              <w:ind w:right="79"/>
              <w:jc w:val="right"/>
              <w:rPr>
                <w:sz w:val="20"/>
              </w:rPr>
            </w:pPr>
            <w:r>
              <w:rPr>
                <w:w w:val="99"/>
                <w:sz w:val="20"/>
              </w:rPr>
              <w:t>-</w:t>
            </w:r>
          </w:p>
        </w:tc>
      </w:tr>
      <w:tr>
        <w:trPr>
          <w:trHeight w:val="244" w:hRule="atLeast"/>
        </w:trPr>
        <w:tc>
          <w:tcPr>
            <w:tcW w:w="3221" w:type="dxa"/>
            <w:tcBorders>
              <w:left w:val="single" w:sz="12" w:space="0" w:color="000000"/>
            </w:tcBorders>
          </w:tcPr>
          <w:p>
            <w:pPr>
              <w:pStyle w:val="TableParagraph"/>
              <w:spacing w:line="225" w:lineRule="exact"/>
              <w:ind w:left="104"/>
              <w:rPr>
                <w:sz w:val="20"/>
              </w:rPr>
            </w:pPr>
            <w:r>
              <w:rPr>
                <w:sz w:val="20"/>
              </w:rPr>
              <w:t>Borrowing</w:t>
            </w:r>
            <w:r>
              <w:rPr>
                <w:spacing w:val="-15"/>
                <w:sz w:val="20"/>
              </w:rPr>
              <w:t> </w:t>
            </w:r>
            <w:r>
              <w:rPr>
                <w:spacing w:val="-2"/>
                <w:sz w:val="20"/>
              </w:rPr>
              <w:t>costs</w:t>
            </w:r>
          </w:p>
        </w:tc>
        <w:tc>
          <w:tcPr>
            <w:tcW w:w="1022" w:type="dxa"/>
          </w:tcPr>
          <w:p>
            <w:pPr>
              <w:pStyle w:val="TableParagraph"/>
              <w:rPr>
                <w:rFonts w:ascii="Times New Roman"/>
                <w:sz w:val="16"/>
              </w:rPr>
            </w:pPr>
          </w:p>
        </w:tc>
        <w:tc>
          <w:tcPr>
            <w:tcW w:w="1272" w:type="dxa"/>
          </w:tcPr>
          <w:p>
            <w:pPr>
              <w:pStyle w:val="TableParagraph"/>
              <w:spacing w:line="217" w:lineRule="exact" w:before="7"/>
              <w:ind w:right="96"/>
              <w:jc w:val="right"/>
              <w:rPr>
                <w:sz w:val="20"/>
              </w:rPr>
            </w:pPr>
            <w:r>
              <w:rPr>
                <w:spacing w:val="-5"/>
                <w:sz w:val="20"/>
              </w:rPr>
              <w:t>788</w:t>
            </w:r>
          </w:p>
        </w:tc>
        <w:tc>
          <w:tcPr>
            <w:tcW w:w="1270" w:type="dxa"/>
            <w:shd w:val="clear" w:color="auto" w:fill="DDEBF6"/>
          </w:tcPr>
          <w:p>
            <w:pPr>
              <w:pStyle w:val="TableParagraph"/>
              <w:spacing w:line="217" w:lineRule="exact" w:before="7"/>
              <w:ind w:right="94"/>
              <w:jc w:val="right"/>
              <w:rPr>
                <w:b/>
                <w:sz w:val="20"/>
              </w:rPr>
            </w:pPr>
            <w:r>
              <w:rPr>
                <w:b/>
                <w:spacing w:val="-5"/>
                <w:sz w:val="20"/>
              </w:rPr>
              <w:t>656</w:t>
            </w:r>
          </w:p>
        </w:tc>
        <w:tc>
          <w:tcPr>
            <w:tcW w:w="1370" w:type="dxa"/>
          </w:tcPr>
          <w:p>
            <w:pPr>
              <w:pStyle w:val="TableParagraph"/>
              <w:spacing w:line="217" w:lineRule="exact" w:before="7"/>
              <w:ind w:right="50"/>
              <w:jc w:val="right"/>
              <w:rPr>
                <w:sz w:val="20"/>
              </w:rPr>
            </w:pPr>
            <w:r>
              <w:rPr>
                <w:spacing w:val="-5"/>
                <w:sz w:val="20"/>
              </w:rPr>
              <w:t>919</w:t>
            </w:r>
          </w:p>
        </w:tc>
        <w:tc>
          <w:tcPr>
            <w:tcW w:w="1400" w:type="dxa"/>
          </w:tcPr>
          <w:p>
            <w:pPr>
              <w:pStyle w:val="TableParagraph"/>
              <w:spacing w:line="217" w:lineRule="exact" w:before="7"/>
              <w:ind w:right="175"/>
              <w:jc w:val="right"/>
              <w:rPr>
                <w:sz w:val="20"/>
              </w:rPr>
            </w:pPr>
            <w:r>
              <w:rPr>
                <w:spacing w:val="-2"/>
                <w:sz w:val="20"/>
              </w:rPr>
              <w:t>1,154</w:t>
            </w:r>
          </w:p>
        </w:tc>
        <w:tc>
          <w:tcPr>
            <w:tcW w:w="1192" w:type="dxa"/>
            <w:tcBorders>
              <w:right w:val="single" w:sz="12" w:space="0" w:color="000000"/>
            </w:tcBorders>
          </w:tcPr>
          <w:p>
            <w:pPr>
              <w:pStyle w:val="TableParagraph"/>
              <w:spacing w:line="217" w:lineRule="exact" w:before="7"/>
              <w:ind w:right="80"/>
              <w:jc w:val="right"/>
              <w:rPr>
                <w:sz w:val="20"/>
              </w:rPr>
            </w:pPr>
            <w:r>
              <w:rPr>
                <w:spacing w:val="-2"/>
                <w:sz w:val="20"/>
              </w:rPr>
              <w:t>1,163</w:t>
            </w:r>
          </w:p>
        </w:tc>
      </w:tr>
      <w:tr>
        <w:trPr>
          <w:trHeight w:val="244" w:hRule="atLeast"/>
        </w:trPr>
        <w:tc>
          <w:tcPr>
            <w:tcW w:w="3221" w:type="dxa"/>
            <w:tcBorders>
              <w:left w:val="single" w:sz="12" w:space="0" w:color="000000"/>
            </w:tcBorders>
          </w:tcPr>
          <w:p>
            <w:pPr>
              <w:pStyle w:val="TableParagraph"/>
              <w:spacing w:line="225" w:lineRule="exact"/>
              <w:ind w:left="104"/>
              <w:rPr>
                <w:sz w:val="20"/>
              </w:rPr>
            </w:pPr>
            <w:r>
              <w:rPr>
                <w:sz w:val="20"/>
              </w:rPr>
              <w:t>Finance</w:t>
            </w:r>
            <w:r>
              <w:rPr>
                <w:spacing w:val="-6"/>
                <w:sz w:val="20"/>
              </w:rPr>
              <w:t> </w:t>
            </w:r>
            <w:r>
              <w:rPr>
                <w:sz w:val="20"/>
              </w:rPr>
              <w:t>Costs</w:t>
            </w:r>
            <w:r>
              <w:rPr>
                <w:spacing w:val="-4"/>
                <w:sz w:val="20"/>
              </w:rPr>
              <w:t> </w:t>
            </w:r>
            <w:r>
              <w:rPr>
                <w:sz w:val="20"/>
              </w:rPr>
              <w:t>-</w:t>
            </w:r>
            <w:r>
              <w:rPr>
                <w:spacing w:val="-6"/>
                <w:sz w:val="20"/>
              </w:rPr>
              <w:t> </w:t>
            </w:r>
            <w:r>
              <w:rPr>
                <w:spacing w:val="-2"/>
                <w:sz w:val="20"/>
              </w:rPr>
              <w:t>leases</w:t>
            </w:r>
          </w:p>
        </w:tc>
        <w:tc>
          <w:tcPr>
            <w:tcW w:w="1022" w:type="dxa"/>
          </w:tcPr>
          <w:p>
            <w:pPr>
              <w:pStyle w:val="TableParagraph"/>
              <w:rPr>
                <w:rFonts w:ascii="Times New Roman"/>
                <w:sz w:val="16"/>
              </w:rPr>
            </w:pPr>
          </w:p>
        </w:tc>
        <w:tc>
          <w:tcPr>
            <w:tcW w:w="1272" w:type="dxa"/>
          </w:tcPr>
          <w:p>
            <w:pPr>
              <w:pStyle w:val="TableParagraph"/>
              <w:spacing w:line="217" w:lineRule="exact" w:before="7"/>
              <w:ind w:right="96"/>
              <w:jc w:val="right"/>
              <w:rPr>
                <w:sz w:val="20"/>
              </w:rPr>
            </w:pPr>
            <w:r>
              <w:rPr>
                <w:spacing w:val="-5"/>
                <w:sz w:val="20"/>
              </w:rPr>
              <w:t>400</w:t>
            </w:r>
          </w:p>
        </w:tc>
        <w:tc>
          <w:tcPr>
            <w:tcW w:w="1270" w:type="dxa"/>
            <w:shd w:val="clear" w:color="auto" w:fill="DDEBF6"/>
          </w:tcPr>
          <w:p>
            <w:pPr>
              <w:pStyle w:val="TableParagraph"/>
              <w:spacing w:line="217" w:lineRule="exact" w:before="7"/>
              <w:ind w:right="94"/>
              <w:jc w:val="right"/>
              <w:rPr>
                <w:b/>
                <w:sz w:val="20"/>
              </w:rPr>
            </w:pPr>
            <w:r>
              <w:rPr>
                <w:b/>
                <w:spacing w:val="-5"/>
                <w:sz w:val="20"/>
              </w:rPr>
              <w:t>413</w:t>
            </w:r>
          </w:p>
        </w:tc>
        <w:tc>
          <w:tcPr>
            <w:tcW w:w="1370" w:type="dxa"/>
          </w:tcPr>
          <w:p>
            <w:pPr>
              <w:pStyle w:val="TableParagraph"/>
              <w:spacing w:line="217" w:lineRule="exact" w:before="7"/>
              <w:ind w:right="50"/>
              <w:jc w:val="right"/>
              <w:rPr>
                <w:sz w:val="20"/>
              </w:rPr>
            </w:pPr>
            <w:r>
              <w:rPr>
                <w:spacing w:val="-5"/>
                <w:sz w:val="20"/>
              </w:rPr>
              <w:t>424</w:t>
            </w:r>
          </w:p>
        </w:tc>
        <w:tc>
          <w:tcPr>
            <w:tcW w:w="1400" w:type="dxa"/>
          </w:tcPr>
          <w:p>
            <w:pPr>
              <w:pStyle w:val="TableParagraph"/>
              <w:spacing w:line="217" w:lineRule="exact" w:before="7"/>
              <w:ind w:right="176"/>
              <w:jc w:val="right"/>
              <w:rPr>
                <w:sz w:val="20"/>
              </w:rPr>
            </w:pPr>
            <w:r>
              <w:rPr>
                <w:spacing w:val="-5"/>
                <w:sz w:val="20"/>
              </w:rPr>
              <w:t>436</w:t>
            </w:r>
          </w:p>
        </w:tc>
        <w:tc>
          <w:tcPr>
            <w:tcW w:w="1192" w:type="dxa"/>
            <w:tcBorders>
              <w:right w:val="single" w:sz="12" w:space="0" w:color="000000"/>
            </w:tcBorders>
          </w:tcPr>
          <w:p>
            <w:pPr>
              <w:pStyle w:val="TableParagraph"/>
              <w:spacing w:line="217" w:lineRule="exact" w:before="7"/>
              <w:ind w:right="81"/>
              <w:jc w:val="right"/>
              <w:rPr>
                <w:sz w:val="20"/>
              </w:rPr>
            </w:pPr>
            <w:r>
              <w:rPr>
                <w:spacing w:val="-5"/>
                <w:sz w:val="20"/>
              </w:rPr>
              <w:t>448</w:t>
            </w:r>
          </w:p>
        </w:tc>
      </w:tr>
      <w:tr>
        <w:trPr>
          <w:trHeight w:val="245" w:hRule="atLeast"/>
        </w:trPr>
        <w:tc>
          <w:tcPr>
            <w:tcW w:w="3221" w:type="dxa"/>
            <w:tcBorders>
              <w:left w:val="single" w:sz="12" w:space="0" w:color="000000"/>
            </w:tcBorders>
          </w:tcPr>
          <w:p>
            <w:pPr>
              <w:pStyle w:val="TableParagraph"/>
              <w:spacing w:line="225" w:lineRule="exact"/>
              <w:ind w:left="104"/>
              <w:rPr>
                <w:sz w:val="20"/>
              </w:rPr>
            </w:pPr>
            <w:r>
              <w:rPr>
                <w:sz w:val="20"/>
              </w:rPr>
              <w:t>Other</w:t>
            </w:r>
            <w:r>
              <w:rPr>
                <w:spacing w:val="-6"/>
                <w:sz w:val="20"/>
              </w:rPr>
              <w:t> </w:t>
            </w:r>
            <w:r>
              <w:rPr>
                <w:spacing w:val="-2"/>
                <w:sz w:val="20"/>
              </w:rPr>
              <w:t>expenses</w:t>
            </w:r>
          </w:p>
        </w:tc>
        <w:tc>
          <w:tcPr>
            <w:tcW w:w="1022" w:type="dxa"/>
          </w:tcPr>
          <w:p>
            <w:pPr>
              <w:pStyle w:val="TableParagraph"/>
              <w:spacing w:line="225" w:lineRule="exact"/>
              <w:ind w:left="249"/>
              <w:rPr>
                <w:sz w:val="20"/>
              </w:rPr>
            </w:pPr>
            <w:r>
              <w:rPr>
                <w:spacing w:val="-2"/>
                <w:sz w:val="20"/>
              </w:rPr>
              <w:t>4.1.11</w:t>
            </w:r>
          </w:p>
        </w:tc>
        <w:tc>
          <w:tcPr>
            <w:tcW w:w="1272" w:type="dxa"/>
            <w:tcBorders>
              <w:bottom w:val="single" w:sz="2" w:space="0" w:color="000000"/>
            </w:tcBorders>
          </w:tcPr>
          <w:p>
            <w:pPr>
              <w:pStyle w:val="TableParagraph"/>
              <w:spacing w:line="218" w:lineRule="exact" w:before="7"/>
              <w:ind w:right="96"/>
              <w:jc w:val="right"/>
              <w:rPr>
                <w:sz w:val="20"/>
              </w:rPr>
            </w:pPr>
            <w:r>
              <w:rPr>
                <w:spacing w:val="-5"/>
                <w:sz w:val="20"/>
              </w:rPr>
              <w:t>649</w:t>
            </w:r>
          </w:p>
        </w:tc>
        <w:tc>
          <w:tcPr>
            <w:tcW w:w="1270" w:type="dxa"/>
            <w:tcBorders>
              <w:bottom w:val="single" w:sz="2" w:space="0" w:color="000000"/>
            </w:tcBorders>
            <w:shd w:val="clear" w:color="auto" w:fill="DDEBF6"/>
          </w:tcPr>
          <w:p>
            <w:pPr>
              <w:pStyle w:val="TableParagraph"/>
              <w:spacing w:line="218" w:lineRule="exact" w:before="7"/>
              <w:ind w:right="94"/>
              <w:jc w:val="right"/>
              <w:rPr>
                <w:b/>
                <w:sz w:val="20"/>
              </w:rPr>
            </w:pPr>
            <w:r>
              <w:rPr>
                <w:b/>
                <w:spacing w:val="-5"/>
                <w:sz w:val="20"/>
              </w:rPr>
              <w:t>713</w:t>
            </w:r>
          </w:p>
        </w:tc>
        <w:tc>
          <w:tcPr>
            <w:tcW w:w="1370" w:type="dxa"/>
            <w:tcBorders>
              <w:bottom w:val="single" w:sz="2" w:space="0" w:color="000000"/>
            </w:tcBorders>
          </w:tcPr>
          <w:p>
            <w:pPr>
              <w:pStyle w:val="TableParagraph"/>
              <w:spacing w:line="218" w:lineRule="exact" w:before="7"/>
              <w:ind w:right="50"/>
              <w:jc w:val="right"/>
              <w:rPr>
                <w:sz w:val="20"/>
              </w:rPr>
            </w:pPr>
            <w:r>
              <w:rPr>
                <w:spacing w:val="-5"/>
                <w:sz w:val="20"/>
              </w:rPr>
              <w:t>733</w:t>
            </w:r>
          </w:p>
        </w:tc>
        <w:tc>
          <w:tcPr>
            <w:tcW w:w="1400" w:type="dxa"/>
            <w:tcBorders>
              <w:bottom w:val="single" w:sz="2" w:space="0" w:color="000000"/>
            </w:tcBorders>
          </w:tcPr>
          <w:p>
            <w:pPr>
              <w:pStyle w:val="TableParagraph"/>
              <w:spacing w:line="218" w:lineRule="exact" w:before="7"/>
              <w:ind w:right="176"/>
              <w:jc w:val="right"/>
              <w:rPr>
                <w:sz w:val="20"/>
              </w:rPr>
            </w:pPr>
            <w:r>
              <w:rPr>
                <w:spacing w:val="-5"/>
                <w:sz w:val="20"/>
              </w:rPr>
              <w:t>753</w:t>
            </w:r>
          </w:p>
        </w:tc>
        <w:tc>
          <w:tcPr>
            <w:tcW w:w="1192" w:type="dxa"/>
            <w:tcBorders>
              <w:bottom w:val="single" w:sz="2" w:space="0" w:color="000000"/>
              <w:right w:val="single" w:sz="12" w:space="0" w:color="000000"/>
            </w:tcBorders>
          </w:tcPr>
          <w:p>
            <w:pPr>
              <w:pStyle w:val="TableParagraph"/>
              <w:spacing w:line="218" w:lineRule="exact" w:before="7"/>
              <w:ind w:right="81"/>
              <w:jc w:val="right"/>
              <w:rPr>
                <w:sz w:val="20"/>
              </w:rPr>
            </w:pPr>
            <w:r>
              <w:rPr>
                <w:spacing w:val="-5"/>
                <w:sz w:val="20"/>
              </w:rPr>
              <w:t>773</w:t>
            </w:r>
          </w:p>
        </w:tc>
      </w:tr>
      <w:tr>
        <w:trPr>
          <w:trHeight w:val="244" w:hRule="atLeast"/>
        </w:trPr>
        <w:tc>
          <w:tcPr>
            <w:tcW w:w="3221" w:type="dxa"/>
            <w:tcBorders>
              <w:left w:val="single" w:sz="12" w:space="0" w:color="000000"/>
            </w:tcBorders>
          </w:tcPr>
          <w:p>
            <w:pPr>
              <w:pStyle w:val="TableParagraph"/>
              <w:spacing w:line="225" w:lineRule="exact"/>
              <w:ind w:left="104"/>
              <w:rPr>
                <w:b/>
                <w:sz w:val="20"/>
              </w:rPr>
            </w:pPr>
            <w:r>
              <w:rPr>
                <w:b/>
                <w:sz w:val="20"/>
              </w:rPr>
              <w:t>Total</w:t>
            </w:r>
            <w:r>
              <w:rPr>
                <w:b/>
                <w:spacing w:val="-6"/>
                <w:sz w:val="20"/>
              </w:rPr>
              <w:t> </w:t>
            </w:r>
            <w:r>
              <w:rPr>
                <w:b/>
                <w:spacing w:val="-2"/>
                <w:sz w:val="20"/>
              </w:rPr>
              <w:t>expenses</w:t>
            </w:r>
          </w:p>
        </w:tc>
        <w:tc>
          <w:tcPr>
            <w:tcW w:w="1022" w:type="dxa"/>
          </w:tcPr>
          <w:p>
            <w:pPr>
              <w:pStyle w:val="TableParagraph"/>
              <w:rPr>
                <w:rFonts w:ascii="Times New Roman"/>
                <w:sz w:val="16"/>
              </w:rPr>
            </w:pPr>
          </w:p>
        </w:tc>
        <w:tc>
          <w:tcPr>
            <w:tcW w:w="1272" w:type="dxa"/>
            <w:tcBorders>
              <w:top w:val="single" w:sz="2" w:space="0" w:color="000000"/>
              <w:bottom w:val="single" w:sz="2" w:space="0" w:color="000000"/>
            </w:tcBorders>
          </w:tcPr>
          <w:p>
            <w:pPr>
              <w:pStyle w:val="TableParagraph"/>
              <w:spacing w:line="218" w:lineRule="exact" w:before="6"/>
              <w:ind w:right="96"/>
              <w:jc w:val="right"/>
              <w:rPr>
                <w:sz w:val="20"/>
              </w:rPr>
            </w:pPr>
            <w:r>
              <w:rPr>
                <w:spacing w:val="-2"/>
                <w:sz w:val="20"/>
              </w:rPr>
              <w:t>168,086</w:t>
            </w:r>
          </w:p>
        </w:tc>
        <w:tc>
          <w:tcPr>
            <w:tcW w:w="1270" w:type="dxa"/>
            <w:tcBorders>
              <w:top w:val="single" w:sz="2" w:space="0" w:color="000000"/>
              <w:bottom w:val="single" w:sz="2" w:space="0" w:color="000000"/>
            </w:tcBorders>
            <w:shd w:val="clear" w:color="auto" w:fill="DDEBF6"/>
          </w:tcPr>
          <w:p>
            <w:pPr>
              <w:pStyle w:val="TableParagraph"/>
              <w:spacing w:line="218" w:lineRule="exact" w:before="6"/>
              <w:ind w:right="94"/>
              <w:jc w:val="right"/>
              <w:rPr>
                <w:b/>
                <w:sz w:val="20"/>
              </w:rPr>
            </w:pPr>
            <w:r>
              <w:rPr>
                <w:b/>
                <w:spacing w:val="-2"/>
                <w:sz w:val="20"/>
              </w:rPr>
              <w:t>174,262</w:t>
            </w:r>
          </w:p>
        </w:tc>
        <w:tc>
          <w:tcPr>
            <w:tcW w:w="1370" w:type="dxa"/>
            <w:tcBorders>
              <w:top w:val="single" w:sz="2" w:space="0" w:color="000000"/>
              <w:bottom w:val="single" w:sz="2" w:space="0" w:color="000000"/>
            </w:tcBorders>
          </w:tcPr>
          <w:p>
            <w:pPr>
              <w:pStyle w:val="TableParagraph"/>
              <w:spacing w:line="218" w:lineRule="exact" w:before="6"/>
              <w:ind w:right="50"/>
              <w:jc w:val="right"/>
              <w:rPr>
                <w:sz w:val="20"/>
              </w:rPr>
            </w:pPr>
            <w:r>
              <w:rPr>
                <w:spacing w:val="-2"/>
                <w:sz w:val="20"/>
              </w:rPr>
              <w:t>177,865</w:t>
            </w:r>
          </w:p>
        </w:tc>
        <w:tc>
          <w:tcPr>
            <w:tcW w:w="1400" w:type="dxa"/>
            <w:tcBorders>
              <w:top w:val="single" w:sz="2" w:space="0" w:color="000000"/>
              <w:bottom w:val="single" w:sz="2" w:space="0" w:color="000000"/>
            </w:tcBorders>
          </w:tcPr>
          <w:p>
            <w:pPr>
              <w:pStyle w:val="TableParagraph"/>
              <w:spacing w:line="218" w:lineRule="exact" w:before="6"/>
              <w:ind w:right="176"/>
              <w:jc w:val="right"/>
              <w:rPr>
                <w:sz w:val="20"/>
              </w:rPr>
            </w:pPr>
            <w:r>
              <w:rPr>
                <w:spacing w:val="-2"/>
                <w:sz w:val="20"/>
              </w:rPr>
              <w:t>182,820</w:t>
            </w:r>
          </w:p>
        </w:tc>
        <w:tc>
          <w:tcPr>
            <w:tcW w:w="1192" w:type="dxa"/>
            <w:tcBorders>
              <w:top w:val="single" w:sz="2" w:space="0" w:color="000000"/>
              <w:bottom w:val="single" w:sz="2" w:space="0" w:color="000000"/>
              <w:right w:val="single" w:sz="12" w:space="0" w:color="000000"/>
            </w:tcBorders>
          </w:tcPr>
          <w:p>
            <w:pPr>
              <w:pStyle w:val="TableParagraph"/>
              <w:spacing w:line="218" w:lineRule="exact" w:before="6"/>
              <w:ind w:right="81"/>
              <w:jc w:val="right"/>
              <w:rPr>
                <w:sz w:val="20"/>
              </w:rPr>
            </w:pPr>
            <w:r>
              <w:rPr>
                <w:spacing w:val="-2"/>
                <w:sz w:val="20"/>
              </w:rPr>
              <w:t>187,781</w:t>
            </w:r>
          </w:p>
        </w:tc>
      </w:tr>
      <w:tr>
        <w:trPr>
          <w:trHeight w:val="244" w:hRule="atLeast"/>
        </w:trPr>
        <w:tc>
          <w:tcPr>
            <w:tcW w:w="3221" w:type="dxa"/>
            <w:tcBorders>
              <w:left w:val="single" w:sz="12" w:space="0" w:color="000000"/>
            </w:tcBorders>
          </w:tcPr>
          <w:p>
            <w:pPr>
              <w:pStyle w:val="TableParagraph"/>
              <w:rPr>
                <w:rFonts w:ascii="Times New Roman"/>
                <w:sz w:val="16"/>
              </w:rPr>
            </w:pPr>
          </w:p>
        </w:tc>
        <w:tc>
          <w:tcPr>
            <w:tcW w:w="1022" w:type="dxa"/>
          </w:tcPr>
          <w:p>
            <w:pPr>
              <w:pStyle w:val="TableParagraph"/>
              <w:rPr>
                <w:rFonts w:ascii="Times New Roman"/>
                <w:sz w:val="16"/>
              </w:rPr>
            </w:pPr>
          </w:p>
        </w:tc>
        <w:tc>
          <w:tcPr>
            <w:tcW w:w="1272" w:type="dxa"/>
            <w:tcBorders>
              <w:top w:val="single" w:sz="2" w:space="0" w:color="000000"/>
              <w:bottom w:val="single" w:sz="2" w:space="0" w:color="000000"/>
            </w:tcBorders>
          </w:tcPr>
          <w:p>
            <w:pPr>
              <w:pStyle w:val="TableParagraph"/>
              <w:rPr>
                <w:rFonts w:ascii="Times New Roman"/>
                <w:sz w:val="16"/>
              </w:rPr>
            </w:pPr>
          </w:p>
        </w:tc>
        <w:tc>
          <w:tcPr>
            <w:tcW w:w="1270" w:type="dxa"/>
            <w:tcBorders>
              <w:top w:val="single" w:sz="2" w:space="0" w:color="000000"/>
              <w:bottom w:val="single" w:sz="2" w:space="0" w:color="000000"/>
            </w:tcBorders>
            <w:shd w:val="clear" w:color="auto" w:fill="DDEBF6"/>
          </w:tcPr>
          <w:p>
            <w:pPr>
              <w:pStyle w:val="TableParagraph"/>
              <w:rPr>
                <w:rFonts w:ascii="Times New Roman"/>
                <w:sz w:val="16"/>
              </w:rPr>
            </w:pPr>
          </w:p>
        </w:tc>
        <w:tc>
          <w:tcPr>
            <w:tcW w:w="3962" w:type="dxa"/>
            <w:gridSpan w:val="3"/>
            <w:tcBorders>
              <w:top w:val="single" w:sz="2" w:space="0" w:color="000000"/>
              <w:bottom w:val="single" w:sz="2" w:space="0" w:color="000000"/>
              <w:right w:val="single" w:sz="12" w:space="0" w:color="000000"/>
            </w:tcBorders>
          </w:tcPr>
          <w:p>
            <w:pPr>
              <w:pStyle w:val="TableParagraph"/>
              <w:rPr>
                <w:rFonts w:ascii="Times New Roman"/>
                <w:sz w:val="16"/>
              </w:rPr>
            </w:pPr>
          </w:p>
        </w:tc>
      </w:tr>
      <w:tr>
        <w:trPr>
          <w:trHeight w:val="247" w:hRule="atLeast"/>
        </w:trPr>
        <w:tc>
          <w:tcPr>
            <w:tcW w:w="3221" w:type="dxa"/>
            <w:tcBorders>
              <w:left w:val="single" w:sz="12" w:space="0" w:color="000000"/>
            </w:tcBorders>
          </w:tcPr>
          <w:p>
            <w:pPr>
              <w:pStyle w:val="TableParagraph"/>
              <w:spacing w:line="227" w:lineRule="exact"/>
              <w:ind w:left="104"/>
              <w:rPr>
                <w:b/>
                <w:sz w:val="20"/>
              </w:rPr>
            </w:pPr>
            <w:r>
              <w:rPr>
                <w:b/>
                <w:sz w:val="20"/>
              </w:rPr>
              <w:t>Surplus/(deficit)</w:t>
            </w:r>
            <w:r>
              <w:rPr>
                <w:b/>
                <w:spacing w:val="-8"/>
                <w:sz w:val="20"/>
              </w:rPr>
              <w:t> </w:t>
            </w:r>
            <w:r>
              <w:rPr>
                <w:b/>
                <w:sz w:val="20"/>
              </w:rPr>
              <w:t>for</w:t>
            </w:r>
            <w:r>
              <w:rPr>
                <w:b/>
                <w:spacing w:val="-9"/>
                <w:sz w:val="20"/>
              </w:rPr>
              <w:t> </w:t>
            </w:r>
            <w:r>
              <w:rPr>
                <w:b/>
                <w:sz w:val="20"/>
              </w:rPr>
              <w:t>the</w:t>
            </w:r>
            <w:r>
              <w:rPr>
                <w:b/>
                <w:spacing w:val="-8"/>
                <w:sz w:val="20"/>
              </w:rPr>
              <w:t> </w:t>
            </w:r>
            <w:r>
              <w:rPr>
                <w:b/>
                <w:spacing w:val="-4"/>
                <w:sz w:val="20"/>
              </w:rPr>
              <w:t>year</w:t>
            </w:r>
          </w:p>
        </w:tc>
        <w:tc>
          <w:tcPr>
            <w:tcW w:w="1022" w:type="dxa"/>
          </w:tcPr>
          <w:p>
            <w:pPr>
              <w:pStyle w:val="TableParagraph"/>
              <w:rPr>
                <w:rFonts w:ascii="Times New Roman"/>
                <w:sz w:val="18"/>
              </w:rPr>
            </w:pPr>
          </w:p>
        </w:tc>
        <w:tc>
          <w:tcPr>
            <w:tcW w:w="1272" w:type="dxa"/>
            <w:tcBorders>
              <w:top w:val="single" w:sz="2" w:space="0" w:color="000000"/>
              <w:bottom w:val="single" w:sz="2" w:space="0" w:color="000000"/>
            </w:tcBorders>
          </w:tcPr>
          <w:p>
            <w:pPr>
              <w:pStyle w:val="TableParagraph"/>
              <w:spacing w:line="218" w:lineRule="exact" w:before="9"/>
              <w:ind w:right="96"/>
              <w:jc w:val="right"/>
              <w:rPr>
                <w:b/>
                <w:sz w:val="20"/>
              </w:rPr>
            </w:pPr>
            <w:r>
              <w:rPr>
                <w:b/>
                <w:spacing w:val="-2"/>
                <w:sz w:val="20"/>
              </w:rPr>
              <w:t>31,927</w:t>
            </w:r>
          </w:p>
        </w:tc>
        <w:tc>
          <w:tcPr>
            <w:tcW w:w="1270" w:type="dxa"/>
            <w:tcBorders>
              <w:top w:val="single" w:sz="2" w:space="0" w:color="000000"/>
              <w:bottom w:val="single" w:sz="2" w:space="0" w:color="000000"/>
            </w:tcBorders>
            <w:shd w:val="clear" w:color="auto" w:fill="DDEBF6"/>
          </w:tcPr>
          <w:p>
            <w:pPr>
              <w:pStyle w:val="TableParagraph"/>
              <w:spacing w:line="218" w:lineRule="exact" w:before="9"/>
              <w:ind w:right="94"/>
              <w:jc w:val="right"/>
              <w:rPr>
                <w:b/>
                <w:sz w:val="20"/>
              </w:rPr>
            </w:pPr>
            <w:r>
              <w:rPr>
                <w:b/>
                <w:spacing w:val="-2"/>
                <w:sz w:val="20"/>
              </w:rPr>
              <w:t>17,610</w:t>
            </w:r>
          </w:p>
        </w:tc>
        <w:tc>
          <w:tcPr>
            <w:tcW w:w="1370" w:type="dxa"/>
            <w:tcBorders>
              <w:top w:val="single" w:sz="2" w:space="0" w:color="000000"/>
              <w:bottom w:val="single" w:sz="2" w:space="0" w:color="000000"/>
            </w:tcBorders>
          </w:tcPr>
          <w:p>
            <w:pPr>
              <w:pStyle w:val="TableParagraph"/>
              <w:spacing w:line="218" w:lineRule="exact" w:before="9"/>
              <w:ind w:right="50"/>
              <w:jc w:val="right"/>
              <w:rPr>
                <w:b/>
                <w:sz w:val="20"/>
              </w:rPr>
            </w:pPr>
            <w:r>
              <w:rPr>
                <w:b/>
                <w:spacing w:val="-2"/>
                <w:sz w:val="20"/>
              </w:rPr>
              <w:t>26,861</w:t>
            </w:r>
          </w:p>
        </w:tc>
        <w:tc>
          <w:tcPr>
            <w:tcW w:w="1400" w:type="dxa"/>
            <w:tcBorders>
              <w:top w:val="single" w:sz="2" w:space="0" w:color="000000"/>
              <w:bottom w:val="single" w:sz="2" w:space="0" w:color="000000"/>
            </w:tcBorders>
          </w:tcPr>
          <w:p>
            <w:pPr>
              <w:pStyle w:val="TableParagraph"/>
              <w:spacing w:line="218" w:lineRule="exact" w:before="9"/>
              <w:ind w:right="176"/>
              <w:jc w:val="right"/>
              <w:rPr>
                <w:b/>
                <w:sz w:val="20"/>
              </w:rPr>
            </w:pPr>
            <w:r>
              <w:rPr>
                <w:b/>
                <w:spacing w:val="-2"/>
                <w:sz w:val="20"/>
              </w:rPr>
              <w:t>19,992</w:t>
            </w:r>
          </w:p>
        </w:tc>
        <w:tc>
          <w:tcPr>
            <w:tcW w:w="1192" w:type="dxa"/>
            <w:tcBorders>
              <w:top w:val="single" w:sz="2" w:space="0" w:color="000000"/>
              <w:bottom w:val="single" w:sz="2" w:space="0" w:color="000000"/>
              <w:right w:val="single" w:sz="12" w:space="0" w:color="000000"/>
            </w:tcBorders>
          </w:tcPr>
          <w:p>
            <w:pPr>
              <w:pStyle w:val="TableParagraph"/>
              <w:spacing w:line="218" w:lineRule="exact" w:before="9"/>
              <w:ind w:right="81"/>
              <w:jc w:val="right"/>
              <w:rPr>
                <w:b/>
                <w:sz w:val="20"/>
              </w:rPr>
            </w:pPr>
            <w:r>
              <w:rPr>
                <w:b/>
                <w:spacing w:val="-2"/>
                <w:sz w:val="20"/>
              </w:rPr>
              <w:t>19,986</w:t>
            </w:r>
          </w:p>
        </w:tc>
      </w:tr>
      <w:tr>
        <w:trPr>
          <w:trHeight w:val="244" w:hRule="atLeast"/>
        </w:trPr>
        <w:tc>
          <w:tcPr>
            <w:tcW w:w="3221" w:type="dxa"/>
            <w:tcBorders>
              <w:left w:val="single" w:sz="12" w:space="0" w:color="000000"/>
            </w:tcBorders>
          </w:tcPr>
          <w:p>
            <w:pPr>
              <w:pStyle w:val="TableParagraph"/>
              <w:rPr>
                <w:rFonts w:ascii="Times New Roman"/>
                <w:sz w:val="16"/>
              </w:rPr>
            </w:pPr>
          </w:p>
        </w:tc>
        <w:tc>
          <w:tcPr>
            <w:tcW w:w="1022" w:type="dxa"/>
          </w:tcPr>
          <w:p>
            <w:pPr>
              <w:pStyle w:val="TableParagraph"/>
              <w:rPr>
                <w:rFonts w:ascii="Times New Roman"/>
                <w:sz w:val="16"/>
              </w:rPr>
            </w:pPr>
          </w:p>
        </w:tc>
        <w:tc>
          <w:tcPr>
            <w:tcW w:w="1272" w:type="dxa"/>
            <w:tcBorders>
              <w:top w:val="single" w:sz="2" w:space="0" w:color="000000"/>
              <w:bottom w:val="single" w:sz="4" w:space="0" w:color="000000"/>
            </w:tcBorders>
          </w:tcPr>
          <w:p>
            <w:pPr>
              <w:pStyle w:val="TableParagraph"/>
              <w:rPr>
                <w:rFonts w:ascii="Times New Roman"/>
                <w:sz w:val="16"/>
              </w:rPr>
            </w:pPr>
          </w:p>
        </w:tc>
        <w:tc>
          <w:tcPr>
            <w:tcW w:w="1270" w:type="dxa"/>
            <w:tcBorders>
              <w:top w:val="single" w:sz="2" w:space="0" w:color="000000"/>
              <w:bottom w:val="single" w:sz="4" w:space="0" w:color="000000"/>
            </w:tcBorders>
            <w:shd w:val="clear" w:color="auto" w:fill="DDEBF6"/>
          </w:tcPr>
          <w:p>
            <w:pPr>
              <w:pStyle w:val="TableParagraph"/>
              <w:rPr>
                <w:rFonts w:ascii="Times New Roman"/>
                <w:sz w:val="16"/>
              </w:rPr>
            </w:pPr>
          </w:p>
        </w:tc>
        <w:tc>
          <w:tcPr>
            <w:tcW w:w="3962" w:type="dxa"/>
            <w:gridSpan w:val="3"/>
            <w:tcBorders>
              <w:top w:val="single" w:sz="2" w:space="0" w:color="000000"/>
              <w:bottom w:val="single" w:sz="4" w:space="0" w:color="000000"/>
              <w:right w:val="single" w:sz="12" w:space="0" w:color="000000"/>
            </w:tcBorders>
          </w:tcPr>
          <w:p>
            <w:pPr>
              <w:pStyle w:val="TableParagraph"/>
              <w:rPr>
                <w:rFonts w:ascii="Times New Roman"/>
                <w:sz w:val="16"/>
              </w:rPr>
            </w:pPr>
          </w:p>
        </w:tc>
      </w:tr>
      <w:tr>
        <w:trPr>
          <w:trHeight w:val="258" w:hRule="atLeast"/>
        </w:trPr>
        <w:tc>
          <w:tcPr>
            <w:tcW w:w="3221" w:type="dxa"/>
            <w:tcBorders>
              <w:left w:val="single" w:sz="12" w:space="0" w:color="000000"/>
              <w:bottom w:val="single" w:sz="12" w:space="0" w:color="000000"/>
            </w:tcBorders>
          </w:tcPr>
          <w:p>
            <w:pPr>
              <w:pStyle w:val="TableParagraph"/>
              <w:spacing w:line="229" w:lineRule="exact"/>
              <w:ind w:left="104"/>
              <w:rPr>
                <w:b/>
                <w:sz w:val="20"/>
              </w:rPr>
            </w:pPr>
            <w:r>
              <w:rPr>
                <w:b/>
                <w:sz w:val="20"/>
              </w:rPr>
              <w:t>Total</w:t>
            </w:r>
            <w:r>
              <w:rPr>
                <w:b/>
                <w:spacing w:val="-12"/>
                <w:sz w:val="20"/>
              </w:rPr>
              <w:t> </w:t>
            </w:r>
            <w:r>
              <w:rPr>
                <w:b/>
                <w:sz w:val="20"/>
              </w:rPr>
              <w:t>comprehensive</w:t>
            </w:r>
            <w:r>
              <w:rPr>
                <w:b/>
                <w:spacing w:val="-12"/>
                <w:sz w:val="20"/>
              </w:rPr>
              <w:t> </w:t>
            </w:r>
            <w:r>
              <w:rPr>
                <w:b/>
                <w:spacing w:val="-2"/>
                <w:sz w:val="20"/>
              </w:rPr>
              <w:t>result</w:t>
            </w:r>
          </w:p>
        </w:tc>
        <w:tc>
          <w:tcPr>
            <w:tcW w:w="1022" w:type="dxa"/>
            <w:tcBorders>
              <w:bottom w:val="single" w:sz="12" w:space="0" w:color="000000"/>
            </w:tcBorders>
          </w:tcPr>
          <w:p>
            <w:pPr>
              <w:pStyle w:val="TableParagraph"/>
              <w:rPr>
                <w:rFonts w:ascii="Times New Roman"/>
                <w:sz w:val="18"/>
              </w:rPr>
            </w:pPr>
          </w:p>
        </w:tc>
        <w:tc>
          <w:tcPr>
            <w:tcW w:w="1272" w:type="dxa"/>
            <w:tcBorders>
              <w:top w:val="single" w:sz="4" w:space="0" w:color="000000"/>
              <w:bottom w:val="single" w:sz="12" w:space="0" w:color="000000"/>
            </w:tcBorders>
          </w:tcPr>
          <w:p>
            <w:pPr>
              <w:pStyle w:val="TableParagraph"/>
              <w:spacing w:line="225" w:lineRule="exact" w:before="14"/>
              <w:ind w:right="96"/>
              <w:jc w:val="right"/>
              <w:rPr>
                <w:b/>
                <w:sz w:val="20"/>
              </w:rPr>
            </w:pPr>
            <w:r>
              <w:rPr>
                <w:b/>
                <w:spacing w:val="-2"/>
                <w:sz w:val="20"/>
              </w:rPr>
              <w:t>31,927</w:t>
            </w:r>
          </w:p>
        </w:tc>
        <w:tc>
          <w:tcPr>
            <w:tcW w:w="1270" w:type="dxa"/>
            <w:tcBorders>
              <w:top w:val="single" w:sz="4" w:space="0" w:color="000000"/>
              <w:bottom w:val="single" w:sz="12" w:space="0" w:color="000000"/>
            </w:tcBorders>
            <w:shd w:val="clear" w:color="auto" w:fill="DDEBF6"/>
          </w:tcPr>
          <w:p>
            <w:pPr>
              <w:pStyle w:val="TableParagraph"/>
              <w:spacing w:line="225" w:lineRule="exact" w:before="14"/>
              <w:ind w:right="94"/>
              <w:jc w:val="right"/>
              <w:rPr>
                <w:b/>
                <w:sz w:val="20"/>
              </w:rPr>
            </w:pPr>
            <w:r>
              <w:rPr>
                <w:b/>
                <w:spacing w:val="-2"/>
                <w:sz w:val="20"/>
              </w:rPr>
              <w:t>17,610</w:t>
            </w:r>
          </w:p>
        </w:tc>
        <w:tc>
          <w:tcPr>
            <w:tcW w:w="1370" w:type="dxa"/>
            <w:tcBorders>
              <w:top w:val="single" w:sz="4" w:space="0" w:color="000000"/>
              <w:bottom w:val="single" w:sz="12" w:space="0" w:color="000000"/>
            </w:tcBorders>
          </w:tcPr>
          <w:p>
            <w:pPr>
              <w:pStyle w:val="TableParagraph"/>
              <w:spacing w:line="225" w:lineRule="exact" w:before="14"/>
              <w:ind w:right="50"/>
              <w:jc w:val="right"/>
              <w:rPr>
                <w:b/>
                <w:sz w:val="20"/>
              </w:rPr>
            </w:pPr>
            <w:r>
              <w:rPr>
                <w:b/>
                <w:spacing w:val="-2"/>
                <w:sz w:val="20"/>
              </w:rPr>
              <w:t>26,861</w:t>
            </w:r>
          </w:p>
        </w:tc>
        <w:tc>
          <w:tcPr>
            <w:tcW w:w="1400" w:type="dxa"/>
            <w:tcBorders>
              <w:top w:val="single" w:sz="4" w:space="0" w:color="000000"/>
              <w:bottom w:val="single" w:sz="12" w:space="0" w:color="000000"/>
            </w:tcBorders>
          </w:tcPr>
          <w:p>
            <w:pPr>
              <w:pStyle w:val="TableParagraph"/>
              <w:spacing w:line="225" w:lineRule="exact" w:before="14"/>
              <w:ind w:right="176"/>
              <w:jc w:val="right"/>
              <w:rPr>
                <w:b/>
                <w:sz w:val="20"/>
              </w:rPr>
            </w:pPr>
            <w:r>
              <w:rPr>
                <w:b/>
                <w:spacing w:val="-2"/>
                <w:sz w:val="20"/>
              </w:rPr>
              <w:t>19,992</w:t>
            </w:r>
          </w:p>
        </w:tc>
        <w:tc>
          <w:tcPr>
            <w:tcW w:w="1192" w:type="dxa"/>
            <w:tcBorders>
              <w:top w:val="single" w:sz="4" w:space="0" w:color="000000"/>
              <w:bottom w:val="single" w:sz="12" w:space="0" w:color="000000"/>
              <w:right w:val="single" w:sz="12" w:space="0" w:color="000000"/>
            </w:tcBorders>
          </w:tcPr>
          <w:p>
            <w:pPr>
              <w:pStyle w:val="TableParagraph"/>
              <w:spacing w:line="225" w:lineRule="exact" w:before="14"/>
              <w:ind w:right="81"/>
              <w:jc w:val="right"/>
              <w:rPr>
                <w:b/>
                <w:sz w:val="20"/>
              </w:rPr>
            </w:pPr>
            <w:r>
              <w:rPr>
                <w:b/>
                <w:spacing w:val="-2"/>
                <w:sz w:val="20"/>
              </w:rPr>
              <w:t>19,986</w:t>
            </w:r>
          </w:p>
        </w:tc>
      </w:tr>
    </w:tbl>
    <w:p>
      <w:pPr>
        <w:spacing w:after="0" w:line="225" w:lineRule="exact"/>
        <w:jc w:val="right"/>
        <w:rPr>
          <w:sz w:val="20"/>
        </w:rPr>
        <w:sectPr>
          <w:pgSz w:w="11910" w:h="16840"/>
          <w:pgMar w:header="0" w:footer="375" w:top="540" w:bottom="560" w:left="460" w:right="160"/>
        </w:sectPr>
      </w:pPr>
    </w:p>
    <w:tbl>
      <w:tblPr>
        <w:tblW w:w="0" w:type="auto"/>
        <w:jc w:val="left"/>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41"/>
        <w:gridCol w:w="1142"/>
        <w:gridCol w:w="1275"/>
        <w:gridCol w:w="1275"/>
        <w:gridCol w:w="1302"/>
        <w:gridCol w:w="1470"/>
        <w:gridCol w:w="1191"/>
      </w:tblGrid>
      <w:tr>
        <w:trPr>
          <w:trHeight w:val="806" w:hRule="atLeast"/>
        </w:trPr>
        <w:tc>
          <w:tcPr>
            <w:tcW w:w="10896" w:type="dxa"/>
            <w:gridSpan w:val="7"/>
            <w:tcBorders>
              <w:top w:val="single" w:sz="18" w:space="0" w:color="000000"/>
              <w:left w:val="single" w:sz="12" w:space="0" w:color="000000"/>
              <w:right w:val="single" w:sz="12" w:space="0" w:color="000000"/>
            </w:tcBorders>
          </w:tcPr>
          <w:p>
            <w:pPr>
              <w:pStyle w:val="TableParagraph"/>
              <w:spacing w:line="267" w:lineRule="exact"/>
              <w:ind w:left="107"/>
              <w:rPr>
                <w:b/>
                <w:sz w:val="24"/>
              </w:rPr>
            </w:pPr>
            <w:r>
              <w:rPr>
                <w:b/>
                <w:color w:val="4966AC"/>
                <w:sz w:val="24"/>
              </w:rPr>
              <w:t>Balance </w:t>
            </w:r>
            <w:r>
              <w:rPr>
                <w:b/>
                <w:color w:val="4966AC"/>
                <w:spacing w:val="-2"/>
                <w:sz w:val="24"/>
              </w:rPr>
              <w:t>Sheet</w:t>
            </w:r>
          </w:p>
          <w:p>
            <w:pPr>
              <w:pStyle w:val="TableParagraph"/>
              <w:spacing w:before="2"/>
              <w:ind w:left="107"/>
              <w:rPr>
                <w:sz w:val="22"/>
              </w:rPr>
            </w:pPr>
            <w:r>
              <w:rPr>
                <w:color w:val="4966AC"/>
                <w:sz w:val="22"/>
              </w:rPr>
              <w:t>For</w:t>
            </w:r>
            <w:r>
              <w:rPr>
                <w:color w:val="4966AC"/>
                <w:spacing w:val="-3"/>
                <w:sz w:val="22"/>
              </w:rPr>
              <w:t> </w:t>
            </w:r>
            <w:r>
              <w:rPr>
                <w:color w:val="4966AC"/>
                <w:sz w:val="22"/>
              </w:rPr>
              <w:t>the</w:t>
            </w:r>
            <w:r>
              <w:rPr>
                <w:color w:val="4966AC"/>
                <w:spacing w:val="-3"/>
                <w:sz w:val="22"/>
              </w:rPr>
              <w:t> </w:t>
            </w:r>
            <w:r>
              <w:rPr>
                <w:color w:val="4966AC"/>
                <w:sz w:val="22"/>
              </w:rPr>
              <w:t>four</w:t>
            </w:r>
            <w:r>
              <w:rPr>
                <w:color w:val="4966AC"/>
                <w:spacing w:val="-2"/>
                <w:sz w:val="22"/>
              </w:rPr>
              <w:t> </w:t>
            </w:r>
            <w:r>
              <w:rPr>
                <w:color w:val="4966AC"/>
                <w:sz w:val="22"/>
              </w:rPr>
              <w:t>years</w:t>
            </w:r>
            <w:r>
              <w:rPr>
                <w:color w:val="4966AC"/>
                <w:spacing w:val="-2"/>
                <w:sz w:val="22"/>
              </w:rPr>
              <w:t> </w:t>
            </w:r>
            <w:r>
              <w:rPr>
                <w:color w:val="4966AC"/>
                <w:sz w:val="22"/>
              </w:rPr>
              <w:t>ending</w:t>
            </w:r>
            <w:r>
              <w:rPr>
                <w:color w:val="4966AC"/>
                <w:spacing w:val="-3"/>
                <w:sz w:val="22"/>
              </w:rPr>
              <w:t> </w:t>
            </w:r>
            <w:r>
              <w:rPr>
                <w:color w:val="4966AC"/>
                <w:sz w:val="22"/>
              </w:rPr>
              <w:t>30</w:t>
            </w:r>
            <w:r>
              <w:rPr>
                <w:color w:val="4966AC"/>
                <w:spacing w:val="-2"/>
                <w:sz w:val="22"/>
              </w:rPr>
              <w:t> </w:t>
            </w:r>
            <w:r>
              <w:rPr>
                <w:color w:val="4966AC"/>
                <w:sz w:val="22"/>
              </w:rPr>
              <w:t>June</w:t>
            </w:r>
            <w:r>
              <w:rPr>
                <w:color w:val="4966AC"/>
                <w:spacing w:val="-3"/>
                <w:sz w:val="22"/>
              </w:rPr>
              <w:t> </w:t>
            </w:r>
            <w:r>
              <w:rPr>
                <w:color w:val="4966AC"/>
                <w:spacing w:val="-4"/>
                <w:sz w:val="22"/>
              </w:rPr>
              <w:t>2029</w:t>
            </w:r>
          </w:p>
        </w:tc>
      </w:tr>
      <w:tr>
        <w:trPr>
          <w:trHeight w:val="470" w:hRule="atLeast"/>
        </w:trPr>
        <w:tc>
          <w:tcPr>
            <w:tcW w:w="3241" w:type="dxa"/>
            <w:vMerge w:val="restart"/>
            <w:tcBorders>
              <w:left w:val="single" w:sz="12" w:space="0" w:color="000000"/>
            </w:tcBorders>
            <w:shd w:val="clear" w:color="auto" w:fill="5B9AD4"/>
          </w:tcPr>
          <w:p>
            <w:pPr>
              <w:pStyle w:val="TableParagraph"/>
              <w:rPr>
                <w:rFonts w:ascii="Times New Roman"/>
                <w:sz w:val="18"/>
              </w:rPr>
            </w:pPr>
          </w:p>
        </w:tc>
        <w:tc>
          <w:tcPr>
            <w:tcW w:w="1142" w:type="dxa"/>
            <w:vMerge w:val="restart"/>
            <w:shd w:val="clear" w:color="auto" w:fill="5B9AD4"/>
          </w:tcPr>
          <w:p>
            <w:pPr>
              <w:pStyle w:val="TableParagraph"/>
              <w:rPr>
                <w:i/>
                <w:sz w:val="22"/>
              </w:rPr>
            </w:pPr>
          </w:p>
          <w:p>
            <w:pPr>
              <w:pStyle w:val="TableParagraph"/>
              <w:rPr>
                <w:i/>
                <w:sz w:val="22"/>
              </w:rPr>
            </w:pPr>
          </w:p>
          <w:p>
            <w:pPr>
              <w:pStyle w:val="TableParagraph"/>
              <w:spacing w:before="5"/>
              <w:rPr>
                <w:i/>
                <w:sz w:val="20"/>
              </w:rPr>
            </w:pPr>
          </w:p>
          <w:p>
            <w:pPr>
              <w:pStyle w:val="TableParagraph"/>
              <w:spacing w:line="228" w:lineRule="exact"/>
              <w:ind w:left="315"/>
              <w:rPr>
                <w:b/>
                <w:sz w:val="20"/>
              </w:rPr>
            </w:pPr>
            <w:r>
              <w:rPr>
                <w:b/>
                <w:color w:val="FFFFFF"/>
                <w:spacing w:val="-2"/>
                <w:sz w:val="20"/>
              </w:rPr>
              <w:t>NOTES</w:t>
            </w:r>
          </w:p>
        </w:tc>
        <w:tc>
          <w:tcPr>
            <w:tcW w:w="1275" w:type="dxa"/>
            <w:shd w:val="clear" w:color="auto" w:fill="5B9AD4"/>
          </w:tcPr>
          <w:p>
            <w:pPr>
              <w:pStyle w:val="TableParagraph"/>
              <w:spacing w:line="228" w:lineRule="exact"/>
              <w:ind w:left="345" w:right="203" w:hanging="111"/>
              <w:rPr>
                <w:b/>
                <w:sz w:val="20"/>
              </w:rPr>
            </w:pPr>
            <w:r>
              <w:rPr>
                <w:b/>
                <w:color w:val="FFFFFF"/>
                <w:spacing w:val="-2"/>
                <w:sz w:val="20"/>
              </w:rPr>
              <w:t>Forecast Actual</w:t>
            </w:r>
          </w:p>
        </w:tc>
        <w:tc>
          <w:tcPr>
            <w:tcW w:w="1275" w:type="dxa"/>
            <w:shd w:val="clear" w:color="auto" w:fill="5B9AD4"/>
          </w:tcPr>
          <w:p>
            <w:pPr>
              <w:pStyle w:val="TableParagraph"/>
              <w:spacing w:before="115"/>
              <w:ind w:left="306"/>
              <w:rPr>
                <w:b/>
                <w:sz w:val="20"/>
              </w:rPr>
            </w:pPr>
            <w:r>
              <w:rPr>
                <w:b/>
                <w:color w:val="FFFFFF"/>
                <w:spacing w:val="-2"/>
                <w:sz w:val="20"/>
              </w:rPr>
              <w:t>Budget</w:t>
            </w:r>
          </w:p>
        </w:tc>
        <w:tc>
          <w:tcPr>
            <w:tcW w:w="1302" w:type="dxa"/>
            <w:shd w:val="clear" w:color="auto" w:fill="5B9AD4"/>
          </w:tcPr>
          <w:p>
            <w:pPr>
              <w:pStyle w:val="TableParagraph"/>
              <w:rPr>
                <w:rFonts w:ascii="Times New Roman"/>
                <w:sz w:val="18"/>
              </w:rPr>
            </w:pPr>
          </w:p>
        </w:tc>
        <w:tc>
          <w:tcPr>
            <w:tcW w:w="1470" w:type="dxa"/>
            <w:shd w:val="clear" w:color="auto" w:fill="5B9AD4"/>
          </w:tcPr>
          <w:p>
            <w:pPr>
              <w:pStyle w:val="TableParagraph"/>
              <w:spacing w:before="115"/>
              <w:ind w:right="235"/>
              <w:jc w:val="right"/>
              <w:rPr>
                <w:b/>
                <w:sz w:val="20"/>
              </w:rPr>
            </w:pPr>
            <w:r>
              <w:rPr>
                <w:b/>
                <w:color w:val="FFFFFF"/>
                <w:spacing w:val="-2"/>
                <w:sz w:val="20"/>
              </w:rPr>
              <w:t>Projections</w:t>
            </w:r>
          </w:p>
        </w:tc>
        <w:tc>
          <w:tcPr>
            <w:tcW w:w="1191" w:type="dxa"/>
            <w:tcBorders>
              <w:right w:val="single" w:sz="12" w:space="0" w:color="000000"/>
            </w:tcBorders>
            <w:shd w:val="clear" w:color="auto" w:fill="5B9AD4"/>
          </w:tcPr>
          <w:p>
            <w:pPr>
              <w:pStyle w:val="TableParagraph"/>
              <w:rPr>
                <w:rFonts w:ascii="Times New Roman"/>
                <w:sz w:val="18"/>
              </w:rPr>
            </w:pPr>
          </w:p>
        </w:tc>
      </w:tr>
      <w:tr>
        <w:trPr>
          <w:trHeight w:val="256" w:hRule="atLeast"/>
        </w:trPr>
        <w:tc>
          <w:tcPr>
            <w:tcW w:w="3241" w:type="dxa"/>
            <w:vMerge/>
            <w:tcBorders>
              <w:top w:val="nil"/>
              <w:left w:val="single" w:sz="12" w:space="0" w:color="000000"/>
            </w:tcBorders>
            <w:shd w:val="clear" w:color="auto" w:fill="5B9AD4"/>
          </w:tcPr>
          <w:p>
            <w:pPr>
              <w:rPr>
                <w:sz w:val="2"/>
                <w:szCs w:val="2"/>
              </w:rPr>
            </w:pPr>
          </w:p>
        </w:tc>
        <w:tc>
          <w:tcPr>
            <w:tcW w:w="1142" w:type="dxa"/>
            <w:vMerge/>
            <w:tcBorders>
              <w:top w:val="nil"/>
            </w:tcBorders>
            <w:shd w:val="clear" w:color="auto" w:fill="5B9AD4"/>
          </w:tcPr>
          <w:p>
            <w:pPr>
              <w:rPr>
                <w:sz w:val="2"/>
                <w:szCs w:val="2"/>
              </w:rPr>
            </w:pPr>
          </w:p>
        </w:tc>
        <w:tc>
          <w:tcPr>
            <w:tcW w:w="1275" w:type="dxa"/>
            <w:shd w:val="clear" w:color="auto" w:fill="5B9AD4"/>
          </w:tcPr>
          <w:p>
            <w:pPr>
              <w:pStyle w:val="TableParagraph"/>
              <w:spacing w:before="6"/>
              <w:ind w:left="289"/>
              <w:rPr>
                <w:b/>
                <w:sz w:val="20"/>
              </w:rPr>
            </w:pPr>
            <w:r>
              <w:rPr>
                <w:b/>
                <w:color w:val="FFFFFF"/>
                <w:spacing w:val="-2"/>
                <w:sz w:val="20"/>
              </w:rPr>
              <w:t>2024/25</w:t>
            </w:r>
          </w:p>
        </w:tc>
        <w:tc>
          <w:tcPr>
            <w:tcW w:w="1275" w:type="dxa"/>
            <w:shd w:val="clear" w:color="auto" w:fill="5B9AD4"/>
          </w:tcPr>
          <w:p>
            <w:pPr>
              <w:pStyle w:val="TableParagraph"/>
              <w:spacing w:before="6"/>
              <w:ind w:left="289"/>
              <w:rPr>
                <w:b/>
                <w:sz w:val="20"/>
              </w:rPr>
            </w:pPr>
            <w:r>
              <w:rPr>
                <w:b/>
                <w:color w:val="FFFFFF"/>
                <w:spacing w:val="-2"/>
                <w:sz w:val="20"/>
              </w:rPr>
              <w:t>2025/26</w:t>
            </w:r>
          </w:p>
        </w:tc>
        <w:tc>
          <w:tcPr>
            <w:tcW w:w="1302" w:type="dxa"/>
            <w:shd w:val="clear" w:color="auto" w:fill="5B9AD4"/>
          </w:tcPr>
          <w:p>
            <w:pPr>
              <w:pStyle w:val="TableParagraph"/>
              <w:spacing w:before="6"/>
              <w:ind w:left="288"/>
              <w:rPr>
                <w:b/>
                <w:sz w:val="20"/>
              </w:rPr>
            </w:pPr>
            <w:r>
              <w:rPr>
                <w:b/>
                <w:color w:val="FFFFFF"/>
                <w:spacing w:val="-2"/>
                <w:sz w:val="20"/>
              </w:rPr>
              <w:t>2026/27</w:t>
            </w:r>
          </w:p>
        </w:tc>
        <w:tc>
          <w:tcPr>
            <w:tcW w:w="1470" w:type="dxa"/>
            <w:shd w:val="clear" w:color="auto" w:fill="5B9AD4"/>
          </w:tcPr>
          <w:p>
            <w:pPr>
              <w:pStyle w:val="TableParagraph"/>
              <w:spacing w:before="6"/>
              <w:ind w:left="328"/>
              <w:rPr>
                <w:b/>
                <w:sz w:val="20"/>
              </w:rPr>
            </w:pPr>
            <w:r>
              <w:rPr>
                <w:b/>
                <w:color w:val="FFFFFF"/>
                <w:spacing w:val="-2"/>
                <w:sz w:val="20"/>
              </w:rPr>
              <w:t>2027/28</w:t>
            </w:r>
          </w:p>
        </w:tc>
        <w:tc>
          <w:tcPr>
            <w:tcW w:w="1191" w:type="dxa"/>
            <w:tcBorders>
              <w:right w:val="single" w:sz="12" w:space="0" w:color="000000"/>
            </w:tcBorders>
            <w:shd w:val="clear" w:color="auto" w:fill="5B9AD4"/>
          </w:tcPr>
          <w:p>
            <w:pPr>
              <w:pStyle w:val="TableParagraph"/>
              <w:spacing w:before="6"/>
              <w:ind w:left="187"/>
              <w:rPr>
                <w:b/>
                <w:sz w:val="20"/>
              </w:rPr>
            </w:pPr>
            <w:r>
              <w:rPr>
                <w:b/>
                <w:color w:val="FFFFFF"/>
                <w:spacing w:val="-2"/>
                <w:sz w:val="20"/>
              </w:rPr>
              <w:t>2028/29</w:t>
            </w:r>
          </w:p>
        </w:tc>
      </w:tr>
      <w:tr>
        <w:trPr>
          <w:trHeight w:val="261" w:hRule="atLeast"/>
        </w:trPr>
        <w:tc>
          <w:tcPr>
            <w:tcW w:w="3241" w:type="dxa"/>
            <w:vMerge/>
            <w:tcBorders>
              <w:top w:val="nil"/>
              <w:left w:val="single" w:sz="12" w:space="0" w:color="000000"/>
            </w:tcBorders>
            <w:shd w:val="clear" w:color="auto" w:fill="5B9AD4"/>
          </w:tcPr>
          <w:p>
            <w:pPr>
              <w:rPr>
                <w:sz w:val="2"/>
                <w:szCs w:val="2"/>
              </w:rPr>
            </w:pPr>
          </w:p>
        </w:tc>
        <w:tc>
          <w:tcPr>
            <w:tcW w:w="1142" w:type="dxa"/>
            <w:vMerge/>
            <w:tcBorders>
              <w:top w:val="nil"/>
            </w:tcBorders>
            <w:shd w:val="clear" w:color="auto" w:fill="5B9AD4"/>
          </w:tcPr>
          <w:p>
            <w:pPr>
              <w:rPr>
                <w:sz w:val="2"/>
                <w:szCs w:val="2"/>
              </w:rPr>
            </w:pPr>
          </w:p>
        </w:tc>
        <w:tc>
          <w:tcPr>
            <w:tcW w:w="1275" w:type="dxa"/>
            <w:shd w:val="clear" w:color="auto" w:fill="5B9AD4"/>
          </w:tcPr>
          <w:p>
            <w:pPr>
              <w:pStyle w:val="TableParagraph"/>
              <w:spacing w:line="228" w:lineRule="exact" w:before="13"/>
              <w:ind w:left="400"/>
              <w:rPr>
                <w:b/>
                <w:sz w:val="20"/>
              </w:rPr>
            </w:pPr>
            <w:r>
              <w:rPr>
                <w:b/>
                <w:color w:val="FFFFFF"/>
                <w:spacing w:val="-2"/>
                <w:sz w:val="20"/>
              </w:rPr>
              <w:t>$’000</w:t>
            </w:r>
          </w:p>
        </w:tc>
        <w:tc>
          <w:tcPr>
            <w:tcW w:w="1275" w:type="dxa"/>
            <w:shd w:val="clear" w:color="auto" w:fill="5B9AD4"/>
          </w:tcPr>
          <w:p>
            <w:pPr>
              <w:pStyle w:val="TableParagraph"/>
              <w:spacing w:line="228" w:lineRule="exact" w:before="13"/>
              <w:ind w:left="399"/>
              <w:rPr>
                <w:b/>
                <w:sz w:val="20"/>
              </w:rPr>
            </w:pPr>
            <w:r>
              <w:rPr>
                <w:b/>
                <w:color w:val="FFFFFF"/>
                <w:spacing w:val="-2"/>
                <w:sz w:val="20"/>
              </w:rPr>
              <w:t>$’000</w:t>
            </w:r>
          </w:p>
        </w:tc>
        <w:tc>
          <w:tcPr>
            <w:tcW w:w="1302" w:type="dxa"/>
            <w:shd w:val="clear" w:color="auto" w:fill="5B9AD4"/>
          </w:tcPr>
          <w:p>
            <w:pPr>
              <w:pStyle w:val="TableParagraph"/>
              <w:spacing w:line="228" w:lineRule="exact" w:before="13"/>
              <w:ind w:left="399"/>
              <w:rPr>
                <w:b/>
                <w:sz w:val="20"/>
              </w:rPr>
            </w:pPr>
            <w:r>
              <w:rPr>
                <w:b/>
                <w:color w:val="FFFFFF"/>
                <w:spacing w:val="-2"/>
                <w:sz w:val="20"/>
              </w:rPr>
              <w:t>$’000</w:t>
            </w:r>
          </w:p>
        </w:tc>
        <w:tc>
          <w:tcPr>
            <w:tcW w:w="1470" w:type="dxa"/>
            <w:shd w:val="clear" w:color="auto" w:fill="5B9AD4"/>
          </w:tcPr>
          <w:p>
            <w:pPr>
              <w:pStyle w:val="TableParagraph"/>
              <w:spacing w:line="228" w:lineRule="exact" w:before="13"/>
              <w:ind w:left="438"/>
              <w:rPr>
                <w:b/>
                <w:sz w:val="20"/>
              </w:rPr>
            </w:pPr>
            <w:r>
              <w:rPr>
                <w:b/>
                <w:color w:val="FFFFFF"/>
                <w:spacing w:val="-2"/>
                <w:sz w:val="20"/>
              </w:rPr>
              <w:t>$’000</w:t>
            </w:r>
          </w:p>
        </w:tc>
        <w:tc>
          <w:tcPr>
            <w:tcW w:w="1191" w:type="dxa"/>
            <w:tcBorders>
              <w:right w:val="single" w:sz="12" w:space="0" w:color="000000"/>
            </w:tcBorders>
            <w:shd w:val="clear" w:color="auto" w:fill="5B9AD4"/>
          </w:tcPr>
          <w:p>
            <w:pPr>
              <w:pStyle w:val="TableParagraph"/>
              <w:spacing w:line="228" w:lineRule="exact" w:before="13"/>
              <w:ind w:left="297"/>
              <w:rPr>
                <w:b/>
                <w:sz w:val="20"/>
              </w:rPr>
            </w:pPr>
            <w:r>
              <w:rPr>
                <w:b/>
                <w:color w:val="FFFFFF"/>
                <w:spacing w:val="-2"/>
                <w:sz w:val="20"/>
              </w:rPr>
              <w:t>$’000</w:t>
            </w:r>
          </w:p>
        </w:tc>
      </w:tr>
      <w:tr>
        <w:trPr>
          <w:trHeight w:val="251" w:hRule="atLeast"/>
        </w:trPr>
        <w:tc>
          <w:tcPr>
            <w:tcW w:w="3241" w:type="dxa"/>
            <w:tcBorders>
              <w:left w:val="single" w:sz="12" w:space="0" w:color="000000"/>
            </w:tcBorders>
          </w:tcPr>
          <w:p>
            <w:pPr>
              <w:pStyle w:val="TableParagraph"/>
              <w:spacing w:line="230" w:lineRule="exact"/>
              <w:ind w:left="107"/>
              <w:rPr>
                <w:b/>
                <w:sz w:val="20"/>
              </w:rPr>
            </w:pPr>
            <w:r>
              <w:rPr>
                <w:b/>
                <w:spacing w:val="-2"/>
                <w:sz w:val="20"/>
              </w:rPr>
              <w:t>Assets</w:t>
            </w:r>
          </w:p>
        </w:tc>
        <w:tc>
          <w:tcPr>
            <w:tcW w:w="1142" w:type="dxa"/>
          </w:tcPr>
          <w:p>
            <w:pPr>
              <w:pStyle w:val="TableParagraph"/>
              <w:rPr>
                <w:rFonts w:ascii="Times New Roman"/>
                <w:sz w:val="18"/>
              </w:rPr>
            </w:pPr>
          </w:p>
        </w:tc>
        <w:tc>
          <w:tcPr>
            <w:tcW w:w="1275" w:type="dxa"/>
          </w:tcPr>
          <w:p>
            <w:pPr>
              <w:pStyle w:val="TableParagraph"/>
              <w:rPr>
                <w:rFonts w:ascii="Times New Roman"/>
                <w:sz w:val="18"/>
              </w:rPr>
            </w:pPr>
          </w:p>
        </w:tc>
        <w:tc>
          <w:tcPr>
            <w:tcW w:w="1275" w:type="dxa"/>
            <w:shd w:val="clear" w:color="auto" w:fill="DDEBF6"/>
          </w:tcPr>
          <w:p>
            <w:pPr>
              <w:pStyle w:val="TableParagraph"/>
              <w:rPr>
                <w:rFonts w:ascii="Times New Roman"/>
                <w:sz w:val="18"/>
              </w:rPr>
            </w:pPr>
          </w:p>
        </w:tc>
        <w:tc>
          <w:tcPr>
            <w:tcW w:w="1302" w:type="dxa"/>
          </w:tcPr>
          <w:p>
            <w:pPr>
              <w:pStyle w:val="TableParagraph"/>
              <w:rPr>
                <w:rFonts w:ascii="Times New Roman"/>
                <w:sz w:val="18"/>
              </w:rPr>
            </w:pPr>
          </w:p>
        </w:tc>
        <w:tc>
          <w:tcPr>
            <w:tcW w:w="1470" w:type="dxa"/>
          </w:tcPr>
          <w:p>
            <w:pPr>
              <w:pStyle w:val="TableParagraph"/>
              <w:rPr>
                <w:rFonts w:ascii="Times New Roman"/>
                <w:sz w:val="18"/>
              </w:rPr>
            </w:pPr>
          </w:p>
        </w:tc>
        <w:tc>
          <w:tcPr>
            <w:tcW w:w="1191" w:type="dxa"/>
            <w:tcBorders>
              <w:right w:val="single" w:sz="12" w:space="0" w:color="000000"/>
            </w:tcBorders>
          </w:tcPr>
          <w:p>
            <w:pPr>
              <w:pStyle w:val="TableParagraph"/>
              <w:rPr>
                <w:rFonts w:ascii="Times New Roman"/>
                <w:sz w:val="18"/>
              </w:rPr>
            </w:pPr>
          </w:p>
        </w:tc>
      </w:tr>
      <w:tr>
        <w:trPr>
          <w:trHeight w:val="265" w:hRule="atLeast"/>
        </w:trPr>
        <w:tc>
          <w:tcPr>
            <w:tcW w:w="3241" w:type="dxa"/>
            <w:tcBorders>
              <w:left w:val="single" w:sz="12" w:space="0" w:color="000000"/>
            </w:tcBorders>
          </w:tcPr>
          <w:p>
            <w:pPr>
              <w:pStyle w:val="TableParagraph"/>
              <w:spacing w:before="14"/>
              <w:ind w:left="107"/>
              <w:rPr>
                <w:b/>
                <w:sz w:val="20"/>
              </w:rPr>
            </w:pPr>
            <w:r>
              <w:rPr>
                <w:b/>
                <w:sz w:val="20"/>
              </w:rPr>
              <w:t>Current</w:t>
            </w:r>
            <w:r>
              <w:rPr>
                <w:b/>
                <w:spacing w:val="-11"/>
                <w:sz w:val="20"/>
              </w:rPr>
              <w:t> </w:t>
            </w:r>
            <w:r>
              <w:rPr>
                <w:b/>
                <w:spacing w:val="-2"/>
                <w:sz w:val="20"/>
              </w:rPr>
              <w:t>assets</w:t>
            </w:r>
          </w:p>
        </w:tc>
        <w:tc>
          <w:tcPr>
            <w:tcW w:w="1142" w:type="dxa"/>
          </w:tcPr>
          <w:p>
            <w:pPr>
              <w:pStyle w:val="TableParagraph"/>
              <w:rPr>
                <w:rFonts w:ascii="Times New Roman"/>
                <w:sz w:val="18"/>
              </w:rPr>
            </w:pPr>
          </w:p>
        </w:tc>
        <w:tc>
          <w:tcPr>
            <w:tcW w:w="1275" w:type="dxa"/>
          </w:tcPr>
          <w:p>
            <w:pPr>
              <w:pStyle w:val="TableParagraph"/>
              <w:rPr>
                <w:rFonts w:ascii="Times New Roman"/>
                <w:sz w:val="18"/>
              </w:rPr>
            </w:pPr>
          </w:p>
        </w:tc>
        <w:tc>
          <w:tcPr>
            <w:tcW w:w="1275" w:type="dxa"/>
            <w:shd w:val="clear" w:color="auto" w:fill="DDEBF6"/>
          </w:tcPr>
          <w:p>
            <w:pPr>
              <w:pStyle w:val="TableParagraph"/>
              <w:rPr>
                <w:rFonts w:ascii="Times New Roman"/>
                <w:sz w:val="18"/>
              </w:rPr>
            </w:pPr>
          </w:p>
        </w:tc>
        <w:tc>
          <w:tcPr>
            <w:tcW w:w="1302" w:type="dxa"/>
          </w:tcPr>
          <w:p>
            <w:pPr>
              <w:pStyle w:val="TableParagraph"/>
              <w:rPr>
                <w:rFonts w:ascii="Times New Roman"/>
                <w:sz w:val="18"/>
              </w:rPr>
            </w:pPr>
          </w:p>
        </w:tc>
        <w:tc>
          <w:tcPr>
            <w:tcW w:w="1470" w:type="dxa"/>
          </w:tcPr>
          <w:p>
            <w:pPr>
              <w:pStyle w:val="TableParagraph"/>
              <w:rPr>
                <w:rFonts w:ascii="Times New Roman"/>
                <w:sz w:val="18"/>
              </w:rPr>
            </w:pPr>
          </w:p>
        </w:tc>
        <w:tc>
          <w:tcPr>
            <w:tcW w:w="1191" w:type="dxa"/>
            <w:tcBorders>
              <w:right w:val="single" w:sz="12" w:space="0" w:color="000000"/>
            </w:tcBorders>
          </w:tcPr>
          <w:p>
            <w:pPr>
              <w:pStyle w:val="TableParagraph"/>
              <w:rPr>
                <w:rFonts w:ascii="Times New Roman"/>
                <w:sz w:val="18"/>
              </w:rPr>
            </w:pPr>
          </w:p>
        </w:tc>
      </w:tr>
      <w:tr>
        <w:trPr>
          <w:trHeight w:val="272" w:hRule="atLeast"/>
        </w:trPr>
        <w:tc>
          <w:tcPr>
            <w:tcW w:w="3241" w:type="dxa"/>
            <w:tcBorders>
              <w:left w:val="single" w:sz="12" w:space="0" w:color="000000"/>
            </w:tcBorders>
          </w:tcPr>
          <w:p>
            <w:pPr>
              <w:pStyle w:val="TableParagraph"/>
              <w:spacing w:before="13"/>
              <w:ind w:left="107"/>
              <w:rPr>
                <w:sz w:val="20"/>
              </w:rPr>
            </w:pPr>
            <w:r>
              <w:rPr>
                <w:sz w:val="20"/>
              </w:rPr>
              <w:t>Cash</w:t>
            </w:r>
            <w:r>
              <w:rPr>
                <w:spacing w:val="-5"/>
                <w:sz w:val="20"/>
              </w:rPr>
              <w:t> </w:t>
            </w:r>
            <w:r>
              <w:rPr>
                <w:sz w:val="20"/>
              </w:rPr>
              <w:t>and</w:t>
            </w:r>
            <w:r>
              <w:rPr>
                <w:spacing w:val="-5"/>
                <w:sz w:val="20"/>
              </w:rPr>
              <w:t> </w:t>
            </w:r>
            <w:r>
              <w:rPr>
                <w:sz w:val="20"/>
              </w:rPr>
              <w:t>cash</w:t>
            </w:r>
            <w:r>
              <w:rPr>
                <w:spacing w:val="-6"/>
                <w:sz w:val="20"/>
              </w:rPr>
              <w:t> </w:t>
            </w:r>
            <w:r>
              <w:rPr>
                <w:spacing w:val="-2"/>
                <w:sz w:val="20"/>
              </w:rPr>
              <w:t>equivalents</w:t>
            </w:r>
          </w:p>
        </w:tc>
        <w:tc>
          <w:tcPr>
            <w:tcW w:w="1142" w:type="dxa"/>
          </w:tcPr>
          <w:p>
            <w:pPr>
              <w:pStyle w:val="TableParagraph"/>
              <w:rPr>
                <w:rFonts w:ascii="Times New Roman"/>
                <w:sz w:val="18"/>
              </w:rPr>
            </w:pPr>
          </w:p>
        </w:tc>
        <w:tc>
          <w:tcPr>
            <w:tcW w:w="1275" w:type="dxa"/>
          </w:tcPr>
          <w:p>
            <w:pPr>
              <w:pStyle w:val="TableParagraph"/>
              <w:spacing w:line="222" w:lineRule="exact" w:before="30"/>
              <w:ind w:right="95"/>
              <w:jc w:val="right"/>
              <w:rPr>
                <w:sz w:val="20"/>
              </w:rPr>
            </w:pPr>
            <w:r>
              <w:rPr>
                <w:spacing w:val="-2"/>
                <w:sz w:val="20"/>
              </w:rPr>
              <w:t>23,943</w:t>
            </w:r>
          </w:p>
        </w:tc>
        <w:tc>
          <w:tcPr>
            <w:tcW w:w="1275" w:type="dxa"/>
            <w:shd w:val="clear" w:color="auto" w:fill="DDEBF6"/>
          </w:tcPr>
          <w:p>
            <w:pPr>
              <w:pStyle w:val="TableParagraph"/>
              <w:spacing w:line="222" w:lineRule="exact" w:before="30"/>
              <w:ind w:right="95"/>
              <w:jc w:val="right"/>
              <w:rPr>
                <w:b/>
                <w:sz w:val="20"/>
              </w:rPr>
            </w:pPr>
            <w:r>
              <w:rPr>
                <w:b/>
                <w:spacing w:val="-2"/>
                <w:sz w:val="20"/>
              </w:rPr>
              <w:t>34,060</w:t>
            </w:r>
          </w:p>
        </w:tc>
        <w:tc>
          <w:tcPr>
            <w:tcW w:w="1302" w:type="dxa"/>
          </w:tcPr>
          <w:p>
            <w:pPr>
              <w:pStyle w:val="TableParagraph"/>
              <w:spacing w:line="222" w:lineRule="exact" w:before="30"/>
              <w:ind w:right="123"/>
              <w:jc w:val="right"/>
              <w:rPr>
                <w:sz w:val="20"/>
              </w:rPr>
            </w:pPr>
            <w:r>
              <w:rPr>
                <w:spacing w:val="-2"/>
                <w:sz w:val="20"/>
              </w:rPr>
              <w:t>26,780</w:t>
            </w:r>
          </w:p>
        </w:tc>
        <w:tc>
          <w:tcPr>
            <w:tcW w:w="1470" w:type="dxa"/>
          </w:tcPr>
          <w:p>
            <w:pPr>
              <w:pStyle w:val="TableParagraph"/>
              <w:spacing w:line="222" w:lineRule="exact" w:before="30"/>
              <w:ind w:right="182"/>
              <w:jc w:val="right"/>
              <w:rPr>
                <w:sz w:val="20"/>
              </w:rPr>
            </w:pPr>
            <w:r>
              <w:rPr>
                <w:spacing w:val="-2"/>
                <w:sz w:val="20"/>
              </w:rPr>
              <w:t>25,241</w:t>
            </w:r>
          </w:p>
        </w:tc>
        <w:tc>
          <w:tcPr>
            <w:tcW w:w="1191" w:type="dxa"/>
            <w:tcBorders>
              <w:right w:val="single" w:sz="12" w:space="0" w:color="000000"/>
            </w:tcBorders>
          </w:tcPr>
          <w:p>
            <w:pPr>
              <w:pStyle w:val="TableParagraph"/>
              <w:spacing w:line="222" w:lineRule="exact" w:before="30"/>
              <w:ind w:right="83"/>
              <w:jc w:val="right"/>
              <w:rPr>
                <w:sz w:val="20"/>
              </w:rPr>
            </w:pPr>
            <w:r>
              <w:rPr>
                <w:spacing w:val="-2"/>
                <w:sz w:val="20"/>
              </w:rPr>
              <w:t>23,719</w:t>
            </w:r>
          </w:p>
        </w:tc>
      </w:tr>
      <w:tr>
        <w:trPr>
          <w:trHeight w:val="266" w:hRule="atLeast"/>
        </w:trPr>
        <w:tc>
          <w:tcPr>
            <w:tcW w:w="3241" w:type="dxa"/>
            <w:tcBorders>
              <w:left w:val="single" w:sz="12" w:space="0" w:color="000000"/>
            </w:tcBorders>
          </w:tcPr>
          <w:p>
            <w:pPr>
              <w:pStyle w:val="TableParagraph"/>
              <w:spacing w:before="5"/>
              <w:ind w:left="107"/>
              <w:rPr>
                <w:sz w:val="20"/>
              </w:rPr>
            </w:pPr>
            <w:r>
              <w:rPr>
                <w:sz w:val="20"/>
              </w:rPr>
              <w:t>Trade</w:t>
            </w:r>
            <w:r>
              <w:rPr>
                <w:spacing w:val="-7"/>
                <w:sz w:val="20"/>
              </w:rPr>
              <w:t> </w:t>
            </w:r>
            <w:r>
              <w:rPr>
                <w:sz w:val="20"/>
              </w:rPr>
              <w:t>and</w:t>
            </w:r>
            <w:r>
              <w:rPr>
                <w:spacing w:val="-6"/>
                <w:sz w:val="20"/>
              </w:rPr>
              <w:t> </w:t>
            </w:r>
            <w:r>
              <w:rPr>
                <w:sz w:val="20"/>
              </w:rPr>
              <w:t>other</w:t>
            </w:r>
            <w:r>
              <w:rPr>
                <w:spacing w:val="-5"/>
                <w:sz w:val="20"/>
              </w:rPr>
              <w:t> </w:t>
            </w:r>
            <w:r>
              <w:rPr>
                <w:spacing w:val="-2"/>
                <w:sz w:val="20"/>
              </w:rPr>
              <w:t>receivables</w:t>
            </w:r>
          </w:p>
        </w:tc>
        <w:tc>
          <w:tcPr>
            <w:tcW w:w="1142" w:type="dxa"/>
          </w:tcPr>
          <w:p>
            <w:pPr>
              <w:pStyle w:val="TableParagraph"/>
              <w:rPr>
                <w:rFonts w:ascii="Times New Roman"/>
                <w:sz w:val="18"/>
              </w:rPr>
            </w:pPr>
          </w:p>
        </w:tc>
        <w:tc>
          <w:tcPr>
            <w:tcW w:w="1275" w:type="dxa"/>
          </w:tcPr>
          <w:p>
            <w:pPr>
              <w:pStyle w:val="TableParagraph"/>
              <w:spacing w:line="222" w:lineRule="exact" w:before="24"/>
              <w:ind w:right="95"/>
              <w:jc w:val="right"/>
              <w:rPr>
                <w:sz w:val="20"/>
              </w:rPr>
            </w:pPr>
            <w:r>
              <w:rPr>
                <w:spacing w:val="-2"/>
                <w:sz w:val="20"/>
              </w:rPr>
              <w:t>13,409</w:t>
            </w:r>
          </w:p>
        </w:tc>
        <w:tc>
          <w:tcPr>
            <w:tcW w:w="1275" w:type="dxa"/>
            <w:shd w:val="clear" w:color="auto" w:fill="DDEBF6"/>
          </w:tcPr>
          <w:p>
            <w:pPr>
              <w:pStyle w:val="TableParagraph"/>
              <w:spacing w:line="222" w:lineRule="exact" w:before="24"/>
              <w:ind w:right="95"/>
              <w:jc w:val="right"/>
              <w:rPr>
                <w:b/>
                <w:sz w:val="20"/>
              </w:rPr>
            </w:pPr>
            <w:r>
              <w:rPr>
                <w:b/>
                <w:spacing w:val="-2"/>
                <w:sz w:val="20"/>
              </w:rPr>
              <w:t>14,327</w:t>
            </w:r>
          </w:p>
        </w:tc>
        <w:tc>
          <w:tcPr>
            <w:tcW w:w="1302" w:type="dxa"/>
          </w:tcPr>
          <w:p>
            <w:pPr>
              <w:pStyle w:val="TableParagraph"/>
              <w:spacing w:line="222" w:lineRule="exact" w:before="24"/>
              <w:ind w:right="123"/>
              <w:jc w:val="right"/>
              <w:rPr>
                <w:sz w:val="20"/>
              </w:rPr>
            </w:pPr>
            <w:r>
              <w:rPr>
                <w:spacing w:val="-2"/>
                <w:sz w:val="20"/>
              </w:rPr>
              <w:t>15,124</w:t>
            </w:r>
          </w:p>
        </w:tc>
        <w:tc>
          <w:tcPr>
            <w:tcW w:w="1470" w:type="dxa"/>
          </w:tcPr>
          <w:p>
            <w:pPr>
              <w:pStyle w:val="TableParagraph"/>
              <w:spacing w:line="222" w:lineRule="exact" w:before="24"/>
              <w:ind w:right="182"/>
              <w:jc w:val="right"/>
              <w:rPr>
                <w:sz w:val="20"/>
              </w:rPr>
            </w:pPr>
            <w:r>
              <w:rPr>
                <w:spacing w:val="-2"/>
                <w:sz w:val="20"/>
              </w:rPr>
              <w:t>15,642</w:t>
            </w:r>
          </w:p>
        </w:tc>
        <w:tc>
          <w:tcPr>
            <w:tcW w:w="1191" w:type="dxa"/>
            <w:tcBorders>
              <w:right w:val="single" w:sz="12" w:space="0" w:color="000000"/>
            </w:tcBorders>
          </w:tcPr>
          <w:p>
            <w:pPr>
              <w:pStyle w:val="TableParagraph"/>
              <w:spacing w:line="222" w:lineRule="exact" w:before="24"/>
              <w:ind w:right="83"/>
              <w:jc w:val="right"/>
              <w:rPr>
                <w:sz w:val="20"/>
              </w:rPr>
            </w:pPr>
            <w:r>
              <w:rPr>
                <w:spacing w:val="-2"/>
                <w:sz w:val="20"/>
              </w:rPr>
              <w:t>16,274</w:t>
            </w:r>
          </w:p>
        </w:tc>
      </w:tr>
      <w:tr>
        <w:trPr>
          <w:trHeight w:val="263" w:hRule="atLeast"/>
        </w:trPr>
        <w:tc>
          <w:tcPr>
            <w:tcW w:w="3241" w:type="dxa"/>
            <w:tcBorders>
              <w:left w:val="single" w:sz="12" w:space="0" w:color="000000"/>
            </w:tcBorders>
          </w:tcPr>
          <w:p>
            <w:pPr>
              <w:pStyle w:val="TableParagraph"/>
              <w:spacing w:before="5"/>
              <w:ind w:left="107"/>
              <w:rPr>
                <w:sz w:val="20"/>
              </w:rPr>
            </w:pPr>
            <w:r>
              <w:rPr>
                <w:sz w:val="20"/>
              </w:rPr>
              <w:t>Other</w:t>
            </w:r>
            <w:r>
              <w:rPr>
                <w:spacing w:val="-7"/>
                <w:sz w:val="20"/>
              </w:rPr>
              <w:t> </w:t>
            </w:r>
            <w:r>
              <w:rPr>
                <w:sz w:val="20"/>
              </w:rPr>
              <w:t>financial</w:t>
            </w:r>
            <w:r>
              <w:rPr>
                <w:spacing w:val="-6"/>
                <w:sz w:val="20"/>
              </w:rPr>
              <w:t> </w:t>
            </w:r>
            <w:r>
              <w:rPr>
                <w:spacing w:val="-2"/>
                <w:sz w:val="20"/>
              </w:rPr>
              <w:t>assets</w:t>
            </w:r>
          </w:p>
        </w:tc>
        <w:tc>
          <w:tcPr>
            <w:tcW w:w="1142" w:type="dxa"/>
          </w:tcPr>
          <w:p>
            <w:pPr>
              <w:pStyle w:val="TableParagraph"/>
              <w:rPr>
                <w:rFonts w:ascii="Times New Roman"/>
                <w:sz w:val="18"/>
              </w:rPr>
            </w:pPr>
          </w:p>
        </w:tc>
        <w:tc>
          <w:tcPr>
            <w:tcW w:w="1275" w:type="dxa"/>
          </w:tcPr>
          <w:p>
            <w:pPr>
              <w:pStyle w:val="TableParagraph"/>
              <w:spacing w:line="222" w:lineRule="exact" w:before="22"/>
              <w:ind w:right="95"/>
              <w:jc w:val="right"/>
              <w:rPr>
                <w:sz w:val="20"/>
              </w:rPr>
            </w:pPr>
            <w:r>
              <w:rPr>
                <w:spacing w:val="-2"/>
                <w:sz w:val="20"/>
              </w:rPr>
              <w:t>16,026</w:t>
            </w:r>
          </w:p>
        </w:tc>
        <w:tc>
          <w:tcPr>
            <w:tcW w:w="1275" w:type="dxa"/>
            <w:shd w:val="clear" w:color="auto" w:fill="DDEBF6"/>
          </w:tcPr>
          <w:p>
            <w:pPr>
              <w:pStyle w:val="TableParagraph"/>
              <w:spacing w:line="222" w:lineRule="exact" w:before="22"/>
              <w:ind w:right="95"/>
              <w:jc w:val="right"/>
              <w:rPr>
                <w:b/>
                <w:sz w:val="20"/>
              </w:rPr>
            </w:pPr>
            <w:r>
              <w:rPr>
                <w:b/>
                <w:spacing w:val="-2"/>
                <w:sz w:val="20"/>
              </w:rPr>
              <w:t>20,107</w:t>
            </w:r>
          </w:p>
        </w:tc>
        <w:tc>
          <w:tcPr>
            <w:tcW w:w="1302" w:type="dxa"/>
          </w:tcPr>
          <w:p>
            <w:pPr>
              <w:pStyle w:val="TableParagraph"/>
              <w:spacing w:line="222" w:lineRule="exact" w:before="22"/>
              <w:ind w:right="123"/>
              <w:jc w:val="right"/>
              <w:rPr>
                <w:sz w:val="20"/>
              </w:rPr>
            </w:pPr>
            <w:r>
              <w:rPr>
                <w:spacing w:val="-2"/>
                <w:sz w:val="20"/>
              </w:rPr>
              <w:t>16,615</w:t>
            </w:r>
          </w:p>
        </w:tc>
        <w:tc>
          <w:tcPr>
            <w:tcW w:w="1470" w:type="dxa"/>
          </w:tcPr>
          <w:p>
            <w:pPr>
              <w:pStyle w:val="TableParagraph"/>
              <w:spacing w:line="222" w:lineRule="exact" w:before="22"/>
              <w:ind w:right="182"/>
              <w:jc w:val="right"/>
              <w:rPr>
                <w:sz w:val="20"/>
              </w:rPr>
            </w:pPr>
            <w:r>
              <w:rPr>
                <w:spacing w:val="-2"/>
                <w:sz w:val="20"/>
              </w:rPr>
              <w:t>18,542</w:t>
            </w:r>
          </w:p>
        </w:tc>
        <w:tc>
          <w:tcPr>
            <w:tcW w:w="1191" w:type="dxa"/>
            <w:tcBorders>
              <w:right w:val="single" w:sz="12" w:space="0" w:color="000000"/>
            </w:tcBorders>
          </w:tcPr>
          <w:p>
            <w:pPr>
              <w:pStyle w:val="TableParagraph"/>
              <w:spacing w:line="222" w:lineRule="exact" w:before="22"/>
              <w:ind w:right="83"/>
              <w:jc w:val="right"/>
              <w:rPr>
                <w:sz w:val="20"/>
              </w:rPr>
            </w:pPr>
            <w:r>
              <w:rPr>
                <w:spacing w:val="-2"/>
                <w:sz w:val="20"/>
              </w:rPr>
              <w:t>17,643</w:t>
            </w:r>
          </w:p>
        </w:tc>
      </w:tr>
      <w:tr>
        <w:trPr>
          <w:trHeight w:val="265" w:hRule="atLeast"/>
        </w:trPr>
        <w:tc>
          <w:tcPr>
            <w:tcW w:w="3241" w:type="dxa"/>
            <w:tcBorders>
              <w:left w:val="single" w:sz="12" w:space="0" w:color="000000"/>
            </w:tcBorders>
          </w:tcPr>
          <w:p>
            <w:pPr>
              <w:pStyle w:val="TableParagraph"/>
              <w:spacing w:before="5"/>
              <w:ind w:left="107"/>
              <w:rPr>
                <w:sz w:val="20"/>
              </w:rPr>
            </w:pPr>
            <w:r>
              <w:rPr>
                <w:spacing w:val="-2"/>
                <w:sz w:val="20"/>
              </w:rPr>
              <w:t>Inventories</w:t>
            </w:r>
          </w:p>
        </w:tc>
        <w:tc>
          <w:tcPr>
            <w:tcW w:w="1142" w:type="dxa"/>
          </w:tcPr>
          <w:p>
            <w:pPr>
              <w:pStyle w:val="TableParagraph"/>
              <w:rPr>
                <w:rFonts w:ascii="Times New Roman"/>
                <w:sz w:val="18"/>
              </w:rPr>
            </w:pPr>
          </w:p>
        </w:tc>
        <w:tc>
          <w:tcPr>
            <w:tcW w:w="1275" w:type="dxa"/>
          </w:tcPr>
          <w:p>
            <w:pPr>
              <w:pStyle w:val="TableParagraph"/>
              <w:spacing w:line="223" w:lineRule="exact" w:before="22"/>
              <w:ind w:right="95"/>
              <w:jc w:val="right"/>
              <w:rPr>
                <w:sz w:val="20"/>
              </w:rPr>
            </w:pPr>
            <w:r>
              <w:rPr>
                <w:spacing w:val="-5"/>
                <w:sz w:val="20"/>
              </w:rPr>
              <w:t>485</w:t>
            </w:r>
          </w:p>
        </w:tc>
        <w:tc>
          <w:tcPr>
            <w:tcW w:w="1275" w:type="dxa"/>
            <w:shd w:val="clear" w:color="auto" w:fill="DDEBF6"/>
          </w:tcPr>
          <w:p>
            <w:pPr>
              <w:pStyle w:val="TableParagraph"/>
              <w:spacing w:line="223" w:lineRule="exact" w:before="22"/>
              <w:ind w:right="95"/>
              <w:jc w:val="right"/>
              <w:rPr>
                <w:b/>
                <w:sz w:val="20"/>
              </w:rPr>
            </w:pPr>
            <w:r>
              <w:rPr>
                <w:b/>
                <w:spacing w:val="-5"/>
                <w:sz w:val="20"/>
              </w:rPr>
              <w:t>501</w:t>
            </w:r>
          </w:p>
        </w:tc>
        <w:tc>
          <w:tcPr>
            <w:tcW w:w="1302" w:type="dxa"/>
          </w:tcPr>
          <w:p>
            <w:pPr>
              <w:pStyle w:val="TableParagraph"/>
              <w:spacing w:line="223" w:lineRule="exact" w:before="22"/>
              <w:ind w:right="123"/>
              <w:jc w:val="right"/>
              <w:rPr>
                <w:sz w:val="20"/>
              </w:rPr>
            </w:pPr>
            <w:r>
              <w:rPr>
                <w:spacing w:val="-5"/>
                <w:sz w:val="20"/>
              </w:rPr>
              <w:t>515</w:t>
            </w:r>
          </w:p>
        </w:tc>
        <w:tc>
          <w:tcPr>
            <w:tcW w:w="1470" w:type="dxa"/>
          </w:tcPr>
          <w:p>
            <w:pPr>
              <w:pStyle w:val="TableParagraph"/>
              <w:spacing w:line="223" w:lineRule="exact" w:before="22"/>
              <w:ind w:right="182"/>
              <w:jc w:val="right"/>
              <w:rPr>
                <w:sz w:val="20"/>
              </w:rPr>
            </w:pPr>
            <w:r>
              <w:rPr>
                <w:spacing w:val="-5"/>
                <w:sz w:val="20"/>
              </w:rPr>
              <w:t>529</w:t>
            </w:r>
          </w:p>
        </w:tc>
        <w:tc>
          <w:tcPr>
            <w:tcW w:w="1191" w:type="dxa"/>
            <w:tcBorders>
              <w:right w:val="single" w:sz="12" w:space="0" w:color="000000"/>
            </w:tcBorders>
          </w:tcPr>
          <w:p>
            <w:pPr>
              <w:pStyle w:val="TableParagraph"/>
              <w:spacing w:line="223" w:lineRule="exact" w:before="22"/>
              <w:ind w:right="83"/>
              <w:jc w:val="right"/>
              <w:rPr>
                <w:sz w:val="20"/>
              </w:rPr>
            </w:pPr>
            <w:r>
              <w:rPr>
                <w:spacing w:val="-5"/>
                <w:sz w:val="20"/>
              </w:rPr>
              <w:t>543</w:t>
            </w:r>
          </w:p>
        </w:tc>
      </w:tr>
      <w:tr>
        <w:trPr>
          <w:trHeight w:val="265" w:hRule="atLeast"/>
        </w:trPr>
        <w:tc>
          <w:tcPr>
            <w:tcW w:w="3241" w:type="dxa"/>
            <w:tcBorders>
              <w:left w:val="single" w:sz="12" w:space="0" w:color="000000"/>
            </w:tcBorders>
          </w:tcPr>
          <w:p>
            <w:pPr>
              <w:pStyle w:val="TableParagraph"/>
              <w:spacing w:before="6"/>
              <w:ind w:left="107"/>
              <w:rPr>
                <w:sz w:val="20"/>
              </w:rPr>
            </w:pPr>
            <w:r>
              <w:rPr>
                <w:spacing w:val="-2"/>
                <w:sz w:val="20"/>
              </w:rPr>
              <w:t>Prepayments</w:t>
            </w:r>
          </w:p>
        </w:tc>
        <w:tc>
          <w:tcPr>
            <w:tcW w:w="1142" w:type="dxa"/>
          </w:tcPr>
          <w:p>
            <w:pPr>
              <w:pStyle w:val="TableParagraph"/>
              <w:rPr>
                <w:rFonts w:ascii="Times New Roman"/>
                <w:sz w:val="18"/>
              </w:rPr>
            </w:pPr>
          </w:p>
        </w:tc>
        <w:tc>
          <w:tcPr>
            <w:tcW w:w="1275" w:type="dxa"/>
          </w:tcPr>
          <w:p>
            <w:pPr>
              <w:pStyle w:val="TableParagraph"/>
              <w:spacing w:line="222" w:lineRule="exact" w:before="23"/>
              <w:ind w:right="95"/>
              <w:jc w:val="right"/>
              <w:rPr>
                <w:sz w:val="20"/>
              </w:rPr>
            </w:pPr>
            <w:r>
              <w:rPr>
                <w:spacing w:val="-5"/>
                <w:sz w:val="20"/>
              </w:rPr>
              <w:t>895</w:t>
            </w:r>
          </w:p>
        </w:tc>
        <w:tc>
          <w:tcPr>
            <w:tcW w:w="1275" w:type="dxa"/>
            <w:shd w:val="clear" w:color="auto" w:fill="DDEBF6"/>
          </w:tcPr>
          <w:p>
            <w:pPr>
              <w:pStyle w:val="TableParagraph"/>
              <w:spacing w:line="222" w:lineRule="exact" w:before="23"/>
              <w:ind w:right="95"/>
              <w:jc w:val="right"/>
              <w:rPr>
                <w:b/>
                <w:sz w:val="20"/>
              </w:rPr>
            </w:pPr>
            <w:r>
              <w:rPr>
                <w:b/>
                <w:spacing w:val="-5"/>
                <w:sz w:val="20"/>
              </w:rPr>
              <w:t>924</w:t>
            </w:r>
          </w:p>
        </w:tc>
        <w:tc>
          <w:tcPr>
            <w:tcW w:w="1302" w:type="dxa"/>
          </w:tcPr>
          <w:p>
            <w:pPr>
              <w:pStyle w:val="TableParagraph"/>
              <w:spacing w:line="222" w:lineRule="exact" w:before="23"/>
              <w:ind w:right="123"/>
              <w:jc w:val="right"/>
              <w:rPr>
                <w:sz w:val="20"/>
              </w:rPr>
            </w:pPr>
            <w:r>
              <w:rPr>
                <w:spacing w:val="-5"/>
                <w:sz w:val="20"/>
              </w:rPr>
              <w:t>949</w:t>
            </w:r>
          </w:p>
        </w:tc>
        <w:tc>
          <w:tcPr>
            <w:tcW w:w="1470" w:type="dxa"/>
          </w:tcPr>
          <w:p>
            <w:pPr>
              <w:pStyle w:val="TableParagraph"/>
              <w:spacing w:line="222" w:lineRule="exact" w:before="23"/>
              <w:ind w:right="182"/>
              <w:jc w:val="right"/>
              <w:rPr>
                <w:sz w:val="20"/>
              </w:rPr>
            </w:pPr>
            <w:r>
              <w:rPr>
                <w:spacing w:val="-5"/>
                <w:sz w:val="20"/>
              </w:rPr>
              <w:t>976</w:t>
            </w:r>
          </w:p>
        </w:tc>
        <w:tc>
          <w:tcPr>
            <w:tcW w:w="1191" w:type="dxa"/>
            <w:tcBorders>
              <w:right w:val="single" w:sz="12" w:space="0" w:color="000000"/>
            </w:tcBorders>
          </w:tcPr>
          <w:p>
            <w:pPr>
              <w:pStyle w:val="TableParagraph"/>
              <w:spacing w:line="222" w:lineRule="exact" w:before="23"/>
              <w:ind w:right="82"/>
              <w:jc w:val="right"/>
              <w:rPr>
                <w:sz w:val="20"/>
              </w:rPr>
            </w:pPr>
            <w:r>
              <w:rPr>
                <w:spacing w:val="-2"/>
                <w:sz w:val="20"/>
              </w:rPr>
              <w:t>1,002</w:t>
            </w:r>
          </w:p>
        </w:tc>
      </w:tr>
      <w:tr>
        <w:trPr>
          <w:trHeight w:val="238" w:hRule="atLeast"/>
        </w:trPr>
        <w:tc>
          <w:tcPr>
            <w:tcW w:w="3241" w:type="dxa"/>
            <w:tcBorders>
              <w:left w:val="single" w:sz="12" w:space="0" w:color="000000"/>
            </w:tcBorders>
          </w:tcPr>
          <w:p>
            <w:pPr>
              <w:pStyle w:val="TableParagraph"/>
              <w:spacing w:line="214" w:lineRule="exact" w:before="5"/>
              <w:ind w:left="107"/>
              <w:rPr>
                <w:sz w:val="20"/>
              </w:rPr>
            </w:pPr>
            <w:r>
              <w:rPr>
                <w:sz w:val="20"/>
              </w:rPr>
              <w:t>Non-current</w:t>
            </w:r>
            <w:r>
              <w:rPr>
                <w:spacing w:val="-8"/>
                <w:sz w:val="20"/>
              </w:rPr>
              <w:t> </w:t>
            </w:r>
            <w:r>
              <w:rPr>
                <w:sz w:val="20"/>
              </w:rPr>
              <w:t>assets</w:t>
            </w:r>
            <w:r>
              <w:rPr>
                <w:spacing w:val="-8"/>
                <w:sz w:val="20"/>
              </w:rPr>
              <w:t> </w:t>
            </w:r>
            <w:r>
              <w:rPr>
                <w:sz w:val="20"/>
              </w:rPr>
              <w:t>classified</w:t>
            </w:r>
            <w:r>
              <w:rPr>
                <w:spacing w:val="-10"/>
                <w:sz w:val="20"/>
              </w:rPr>
              <w:t> </w:t>
            </w:r>
            <w:r>
              <w:rPr>
                <w:spacing w:val="-5"/>
                <w:sz w:val="20"/>
              </w:rPr>
              <w:t>as</w:t>
            </w:r>
          </w:p>
        </w:tc>
        <w:tc>
          <w:tcPr>
            <w:tcW w:w="1142" w:type="dxa"/>
          </w:tcPr>
          <w:p>
            <w:pPr>
              <w:pStyle w:val="TableParagraph"/>
              <w:rPr>
                <w:rFonts w:ascii="Times New Roman"/>
                <w:sz w:val="16"/>
              </w:rPr>
            </w:pPr>
          </w:p>
        </w:tc>
        <w:tc>
          <w:tcPr>
            <w:tcW w:w="1275" w:type="dxa"/>
          </w:tcPr>
          <w:p>
            <w:pPr>
              <w:pStyle w:val="TableParagraph"/>
              <w:rPr>
                <w:rFonts w:ascii="Times New Roman"/>
                <w:sz w:val="16"/>
              </w:rPr>
            </w:pPr>
          </w:p>
        </w:tc>
        <w:tc>
          <w:tcPr>
            <w:tcW w:w="1275" w:type="dxa"/>
            <w:shd w:val="clear" w:color="auto" w:fill="DDEBF6"/>
          </w:tcPr>
          <w:p>
            <w:pPr>
              <w:pStyle w:val="TableParagraph"/>
              <w:rPr>
                <w:rFonts w:ascii="Times New Roman"/>
                <w:sz w:val="16"/>
              </w:rPr>
            </w:pPr>
          </w:p>
        </w:tc>
        <w:tc>
          <w:tcPr>
            <w:tcW w:w="1302" w:type="dxa"/>
          </w:tcPr>
          <w:p>
            <w:pPr>
              <w:pStyle w:val="TableParagraph"/>
              <w:rPr>
                <w:rFonts w:ascii="Times New Roman"/>
                <w:sz w:val="16"/>
              </w:rPr>
            </w:pPr>
          </w:p>
        </w:tc>
        <w:tc>
          <w:tcPr>
            <w:tcW w:w="1470" w:type="dxa"/>
          </w:tcPr>
          <w:p>
            <w:pPr>
              <w:pStyle w:val="TableParagraph"/>
              <w:rPr>
                <w:rFonts w:ascii="Times New Roman"/>
                <w:sz w:val="16"/>
              </w:rPr>
            </w:pPr>
          </w:p>
        </w:tc>
        <w:tc>
          <w:tcPr>
            <w:tcW w:w="1191" w:type="dxa"/>
            <w:tcBorders>
              <w:right w:val="single" w:sz="12" w:space="0" w:color="000000"/>
            </w:tcBorders>
          </w:tcPr>
          <w:p>
            <w:pPr>
              <w:pStyle w:val="TableParagraph"/>
              <w:rPr>
                <w:rFonts w:ascii="Times New Roman"/>
                <w:sz w:val="16"/>
              </w:rPr>
            </w:pPr>
          </w:p>
        </w:tc>
      </w:tr>
      <w:tr>
        <w:trPr>
          <w:trHeight w:val="230" w:hRule="atLeast"/>
        </w:trPr>
        <w:tc>
          <w:tcPr>
            <w:tcW w:w="3241" w:type="dxa"/>
            <w:tcBorders>
              <w:left w:val="single" w:sz="12" w:space="0" w:color="000000"/>
            </w:tcBorders>
          </w:tcPr>
          <w:p>
            <w:pPr>
              <w:pStyle w:val="TableParagraph"/>
              <w:spacing w:line="210" w:lineRule="exact"/>
              <w:ind w:left="107"/>
              <w:rPr>
                <w:sz w:val="20"/>
              </w:rPr>
            </w:pPr>
            <w:r>
              <w:rPr>
                <w:sz w:val="20"/>
              </w:rPr>
              <w:t>held</w:t>
            </w:r>
            <w:r>
              <w:rPr>
                <w:spacing w:val="-6"/>
                <w:sz w:val="20"/>
              </w:rPr>
              <w:t> </w:t>
            </w:r>
            <w:r>
              <w:rPr>
                <w:sz w:val="20"/>
              </w:rPr>
              <w:t>for</w:t>
            </w:r>
            <w:r>
              <w:rPr>
                <w:spacing w:val="-4"/>
                <w:sz w:val="20"/>
              </w:rPr>
              <w:t> sale</w:t>
            </w:r>
          </w:p>
        </w:tc>
        <w:tc>
          <w:tcPr>
            <w:tcW w:w="1142" w:type="dxa"/>
          </w:tcPr>
          <w:p>
            <w:pPr>
              <w:pStyle w:val="TableParagraph"/>
              <w:rPr>
                <w:rFonts w:ascii="Times New Roman"/>
                <w:sz w:val="16"/>
              </w:rPr>
            </w:pPr>
          </w:p>
        </w:tc>
        <w:tc>
          <w:tcPr>
            <w:tcW w:w="1275" w:type="dxa"/>
          </w:tcPr>
          <w:p>
            <w:pPr>
              <w:pStyle w:val="TableParagraph"/>
              <w:rPr>
                <w:rFonts w:ascii="Times New Roman"/>
                <w:sz w:val="16"/>
              </w:rPr>
            </w:pPr>
          </w:p>
        </w:tc>
        <w:tc>
          <w:tcPr>
            <w:tcW w:w="1275" w:type="dxa"/>
            <w:shd w:val="clear" w:color="auto" w:fill="DDEBF6"/>
          </w:tcPr>
          <w:p>
            <w:pPr>
              <w:pStyle w:val="TableParagraph"/>
              <w:rPr>
                <w:rFonts w:ascii="Times New Roman"/>
                <w:sz w:val="16"/>
              </w:rPr>
            </w:pPr>
          </w:p>
        </w:tc>
        <w:tc>
          <w:tcPr>
            <w:tcW w:w="1302" w:type="dxa"/>
          </w:tcPr>
          <w:p>
            <w:pPr>
              <w:pStyle w:val="TableParagraph"/>
              <w:rPr>
                <w:rFonts w:ascii="Times New Roman"/>
                <w:sz w:val="16"/>
              </w:rPr>
            </w:pPr>
          </w:p>
        </w:tc>
        <w:tc>
          <w:tcPr>
            <w:tcW w:w="1470" w:type="dxa"/>
          </w:tcPr>
          <w:p>
            <w:pPr>
              <w:pStyle w:val="TableParagraph"/>
              <w:rPr>
                <w:rFonts w:ascii="Times New Roman"/>
                <w:sz w:val="16"/>
              </w:rPr>
            </w:pPr>
          </w:p>
        </w:tc>
        <w:tc>
          <w:tcPr>
            <w:tcW w:w="1191" w:type="dxa"/>
            <w:tcBorders>
              <w:right w:val="single" w:sz="12" w:space="0" w:color="000000"/>
            </w:tcBorders>
          </w:tcPr>
          <w:p>
            <w:pPr>
              <w:pStyle w:val="TableParagraph"/>
              <w:rPr>
                <w:rFonts w:ascii="Times New Roman"/>
                <w:sz w:val="16"/>
              </w:rPr>
            </w:pPr>
          </w:p>
        </w:tc>
      </w:tr>
      <w:tr>
        <w:trPr>
          <w:trHeight w:val="247" w:hRule="atLeast"/>
        </w:trPr>
        <w:tc>
          <w:tcPr>
            <w:tcW w:w="3241" w:type="dxa"/>
            <w:tcBorders>
              <w:left w:val="single" w:sz="12" w:space="0" w:color="000000"/>
            </w:tcBorders>
          </w:tcPr>
          <w:p>
            <w:pPr>
              <w:pStyle w:val="TableParagraph"/>
              <w:spacing w:line="227" w:lineRule="exact"/>
              <w:ind w:left="107"/>
              <w:rPr>
                <w:sz w:val="20"/>
              </w:rPr>
            </w:pPr>
            <w:r>
              <w:rPr>
                <w:sz w:val="20"/>
              </w:rPr>
              <w:t>Contract</w:t>
            </w:r>
            <w:r>
              <w:rPr>
                <w:spacing w:val="-10"/>
                <w:sz w:val="20"/>
              </w:rPr>
              <w:t> </w:t>
            </w:r>
            <w:r>
              <w:rPr>
                <w:spacing w:val="-2"/>
                <w:sz w:val="20"/>
              </w:rPr>
              <w:t>assets</w:t>
            </w:r>
          </w:p>
        </w:tc>
        <w:tc>
          <w:tcPr>
            <w:tcW w:w="1142" w:type="dxa"/>
          </w:tcPr>
          <w:p>
            <w:pPr>
              <w:pStyle w:val="TableParagraph"/>
              <w:rPr>
                <w:rFonts w:ascii="Times New Roman"/>
                <w:sz w:val="18"/>
              </w:rPr>
            </w:pPr>
          </w:p>
        </w:tc>
        <w:tc>
          <w:tcPr>
            <w:tcW w:w="1275" w:type="dxa"/>
          </w:tcPr>
          <w:p>
            <w:pPr>
              <w:pStyle w:val="TableParagraph"/>
              <w:rPr>
                <w:rFonts w:ascii="Times New Roman"/>
                <w:sz w:val="18"/>
              </w:rPr>
            </w:pPr>
          </w:p>
        </w:tc>
        <w:tc>
          <w:tcPr>
            <w:tcW w:w="1275" w:type="dxa"/>
            <w:shd w:val="clear" w:color="auto" w:fill="DDEBF6"/>
          </w:tcPr>
          <w:p>
            <w:pPr>
              <w:pStyle w:val="TableParagraph"/>
              <w:rPr>
                <w:rFonts w:ascii="Times New Roman"/>
                <w:sz w:val="18"/>
              </w:rPr>
            </w:pPr>
          </w:p>
        </w:tc>
        <w:tc>
          <w:tcPr>
            <w:tcW w:w="1302" w:type="dxa"/>
          </w:tcPr>
          <w:p>
            <w:pPr>
              <w:pStyle w:val="TableParagraph"/>
              <w:rPr>
                <w:rFonts w:ascii="Times New Roman"/>
                <w:sz w:val="18"/>
              </w:rPr>
            </w:pPr>
          </w:p>
        </w:tc>
        <w:tc>
          <w:tcPr>
            <w:tcW w:w="1470" w:type="dxa"/>
          </w:tcPr>
          <w:p>
            <w:pPr>
              <w:pStyle w:val="TableParagraph"/>
              <w:rPr>
                <w:rFonts w:ascii="Times New Roman"/>
                <w:sz w:val="18"/>
              </w:rPr>
            </w:pPr>
          </w:p>
        </w:tc>
        <w:tc>
          <w:tcPr>
            <w:tcW w:w="1191" w:type="dxa"/>
            <w:tcBorders>
              <w:right w:val="single" w:sz="12" w:space="0" w:color="000000"/>
            </w:tcBorders>
          </w:tcPr>
          <w:p>
            <w:pPr>
              <w:pStyle w:val="TableParagraph"/>
              <w:rPr>
                <w:rFonts w:ascii="Times New Roman"/>
                <w:sz w:val="18"/>
              </w:rPr>
            </w:pPr>
          </w:p>
        </w:tc>
      </w:tr>
      <w:tr>
        <w:trPr>
          <w:trHeight w:val="280" w:hRule="atLeast"/>
        </w:trPr>
        <w:tc>
          <w:tcPr>
            <w:tcW w:w="3241" w:type="dxa"/>
            <w:tcBorders>
              <w:left w:val="single" w:sz="12" w:space="0" w:color="000000"/>
            </w:tcBorders>
          </w:tcPr>
          <w:p>
            <w:pPr>
              <w:pStyle w:val="TableParagraph"/>
              <w:spacing w:before="13"/>
              <w:ind w:left="107"/>
              <w:rPr>
                <w:sz w:val="20"/>
              </w:rPr>
            </w:pPr>
            <w:r>
              <w:rPr>
                <w:sz w:val="20"/>
              </w:rPr>
              <w:t>Other</w:t>
            </w:r>
            <w:r>
              <w:rPr>
                <w:spacing w:val="-6"/>
                <w:sz w:val="20"/>
              </w:rPr>
              <w:t> </w:t>
            </w:r>
            <w:r>
              <w:rPr>
                <w:spacing w:val="-2"/>
                <w:sz w:val="20"/>
              </w:rPr>
              <w:t>assets</w:t>
            </w:r>
          </w:p>
        </w:tc>
        <w:tc>
          <w:tcPr>
            <w:tcW w:w="1142" w:type="dxa"/>
          </w:tcPr>
          <w:p>
            <w:pPr>
              <w:pStyle w:val="TableParagraph"/>
              <w:rPr>
                <w:rFonts w:ascii="Times New Roman"/>
                <w:sz w:val="18"/>
              </w:rPr>
            </w:pPr>
          </w:p>
        </w:tc>
        <w:tc>
          <w:tcPr>
            <w:tcW w:w="1275" w:type="dxa"/>
            <w:tcBorders>
              <w:bottom w:val="single" w:sz="2" w:space="0" w:color="000000"/>
            </w:tcBorders>
          </w:tcPr>
          <w:p>
            <w:pPr>
              <w:pStyle w:val="TableParagraph"/>
              <w:spacing w:before="30"/>
              <w:ind w:right="95"/>
              <w:jc w:val="right"/>
              <w:rPr>
                <w:sz w:val="20"/>
              </w:rPr>
            </w:pPr>
            <w:r>
              <w:rPr>
                <w:spacing w:val="-5"/>
                <w:sz w:val="20"/>
              </w:rPr>
              <w:t>52</w:t>
            </w:r>
          </w:p>
        </w:tc>
        <w:tc>
          <w:tcPr>
            <w:tcW w:w="1275" w:type="dxa"/>
            <w:tcBorders>
              <w:bottom w:val="single" w:sz="2" w:space="0" w:color="000000"/>
            </w:tcBorders>
            <w:shd w:val="clear" w:color="auto" w:fill="DDEBF6"/>
          </w:tcPr>
          <w:p>
            <w:pPr>
              <w:pStyle w:val="TableParagraph"/>
              <w:spacing w:before="30"/>
              <w:ind w:right="96"/>
              <w:jc w:val="right"/>
              <w:rPr>
                <w:b/>
                <w:sz w:val="20"/>
              </w:rPr>
            </w:pPr>
            <w:r>
              <w:rPr>
                <w:b/>
                <w:spacing w:val="-5"/>
                <w:sz w:val="20"/>
              </w:rPr>
              <w:t>54</w:t>
            </w:r>
          </w:p>
        </w:tc>
        <w:tc>
          <w:tcPr>
            <w:tcW w:w="1302" w:type="dxa"/>
            <w:tcBorders>
              <w:bottom w:val="single" w:sz="2" w:space="0" w:color="000000"/>
            </w:tcBorders>
          </w:tcPr>
          <w:p>
            <w:pPr>
              <w:pStyle w:val="TableParagraph"/>
              <w:spacing w:before="30"/>
              <w:ind w:right="123"/>
              <w:jc w:val="right"/>
              <w:rPr>
                <w:sz w:val="20"/>
              </w:rPr>
            </w:pPr>
            <w:r>
              <w:rPr>
                <w:spacing w:val="-5"/>
                <w:sz w:val="20"/>
              </w:rPr>
              <w:t>56</w:t>
            </w:r>
          </w:p>
        </w:tc>
        <w:tc>
          <w:tcPr>
            <w:tcW w:w="1470" w:type="dxa"/>
            <w:tcBorders>
              <w:bottom w:val="single" w:sz="2" w:space="0" w:color="000000"/>
            </w:tcBorders>
          </w:tcPr>
          <w:p>
            <w:pPr>
              <w:pStyle w:val="TableParagraph"/>
              <w:spacing w:before="30"/>
              <w:ind w:right="182"/>
              <w:jc w:val="right"/>
              <w:rPr>
                <w:sz w:val="20"/>
              </w:rPr>
            </w:pPr>
            <w:r>
              <w:rPr>
                <w:spacing w:val="-5"/>
                <w:sz w:val="20"/>
              </w:rPr>
              <w:t>57</w:t>
            </w:r>
          </w:p>
        </w:tc>
        <w:tc>
          <w:tcPr>
            <w:tcW w:w="1191" w:type="dxa"/>
            <w:tcBorders>
              <w:bottom w:val="single" w:sz="2" w:space="0" w:color="000000"/>
              <w:right w:val="single" w:sz="12" w:space="0" w:color="000000"/>
            </w:tcBorders>
          </w:tcPr>
          <w:p>
            <w:pPr>
              <w:pStyle w:val="TableParagraph"/>
              <w:spacing w:before="30"/>
              <w:ind w:right="84"/>
              <w:jc w:val="right"/>
              <w:rPr>
                <w:sz w:val="20"/>
              </w:rPr>
            </w:pPr>
            <w:r>
              <w:rPr>
                <w:spacing w:val="-5"/>
                <w:sz w:val="20"/>
              </w:rPr>
              <w:t>59</w:t>
            </w:r>
          </w:p>
        </w:tc>
      </w:tr>
      <w:tr>
        <w:trPr>
          <w:trHeight w:val="263" w:hRule="atLeast"/>
        </w:trPr>
        <w:tc>
          <w:tcPr>
            <w:tcW w:w="3241" w:type="dxa"/>
            <w:tcBorders>
              <w:left w:val="single" w:sz="12" w:space="0" w:color="000000"/>
            </w:tcBorders>
          </w:tcPr>
          <w:p>
            <w:pPr>
              <w:pStyle w:val="TableParagraph"/>
              <w:spacing w:line="229" w:lineRule="exact"/>
              <w:ind w:left="107"/>
              <w:rPr>
                <w:b/>
                <w:sz w:val="20"/>
              </w:rPr>
            </w:pPr>
            <w:r>
              <w:rPr>
                <w:b/>
                <w:sz w:val="20"/>
              </w:rPr>
              <w:t>Total</w:t>
            </w:r>
            <w:r>
              <w:rPr>
                <w:b/>
                <w:spacing w:val="-8"/>
                <w:sz w:val="20"/>
              </w:rPr>
              <w:t> </w:t>
            </w:r>
            <w:r>
              <w:rPr>
                <w:b/>
                <w:sz w:val="20"/>
              </w:rPr>
              <w:t>current</w:t>
            </w:r>
            <w:r>
              <w:rPr>
                <w:b/>
                <w:spacing w:val="-8"/>
                <w:sz w:val="20"/>
              </w:rPr>
              <w:t> </w:t>
            </w:r>
            <w:r>
              <w:rPr>
                <w:b/>
                <w:spacing w:val="-2"/>
                <w:sz w:val="20"/>
              </w:rPr>
              <w:t>assets</w:t>
            </w:r>
          </w:p>
        </w:tc>
        <w:tc>
          <w:tcPr>
            <w:tcW w:w="1142" w:type="dxa"/>
          </w:tcPr>
          <w:p>
            <w:pPr>
              <w:pStyle w:val="TableParagraph"/>
              <w:spacing w:line="227" w:lineRule="exact" w:before="16"/>
              <w:ind w:right="259"/>
              <w:jc w:val="right"/>
              <w:rPr>
                <w:sz w:val="20"/>
              </w:rPr>
            </w:pPr>
            <w:r>
              <w:rPr>
                <w:spacing w:val="-2"/>
                <w:sz w:val="20"/>
              </w:rPr>
              <w:t>4.2.1</w:t>
            </w:r>
          </w:p>
        </w:tc>
        <w:tc>
          <w:tcPr>
            <w:tcW w:w="1275" w:type="dxa"/>
            <w:tcBorders>
              <w:top w:val="single" w:sz="2" w:space="0" w:color="000000"/>
              <w:bottom w:val="single" w:sz="2" w:space="0" w:color="000000"/>
            </w:tcBorders>
          </w:tcPr>
          <w:p>
            <w:pPr>
              <w:pStyle w:val="TableParagraph"/>
              <w:spacing w:line="227" w:lineRule="exact" w:before="16"/>
              <w:ind w:right="95"/>
              <w:jc w:val="right"/>
              <w:rPr>
                <w:b/>
                <w:sz w:val="20"/>
              </w:rPr>
            </w:pPr>
            <w:r>
              <w:rPr>
                <w:b/>
                <w:spacing w:val="-2"/>
                <w:sz w:val="20"/>
              </w:rPr>
              <w:t>54,810</w:t>
            </w:r>
          </w:p>
        </w:tc>
        <w:tc>
          <w:tcPr>
            <w:tcW w:w="1275" w:type="dxa"/>
            <w:tcBorders>
              <w:top w:val="single" w:sz="2" w:space="0" w:color="000000"/>
              <w:bottom w:val="single" w:sz="2" w:space="0" w:color="000000"/>
            </w:tcBorders>
            <w:shd w:val="clear" w:color="auto" w:fill="DDEBF6"/>
          </w:tcPr>
          <w:p>
            <w:pPr>
              <w:pStyle w:val="TableParagraph"/>
              <w:spacing w:line="227" w:lineRule="exact" w:before="16"/>
              <w:ind w:right="95"/>
              <w:jc w:val="right"/>
              <w:rPr>
                <w:b/>
                <w:sz w:val="20"/>
              </w:rPr>
            </w:pPr>
            <w:r>
              <w:rPr>
                <w:b/>
                <w:spacing w:val="-2"/>
                <w:sz w:val="20"/>
              </w:rPr>
              <w:t>69,973</w:t>
            </w:r>
          </w:p>
        </w:tc>
        <w:tc>
          <w:tcPr>
            <w:tcW w:w="1302" w:type="dxa"/>
            <w:tcBorders>
              <w:top w:val="single" w:sz="2" w:space="0" w:color="000000"/>
              <w:bottom w:val="single" w:sz="2" w:space="0" w:color="000000"/>
            </w:tcBorders>
          </w:tcPr>
          <w:p>
            <w:pPr>
              <w:pStyle w:val="TableParagraph"/>
              <w:spacing w:line="227" w:lineRule="exact" w:before="16"/>
              <w:ind w:right="123"/>
              <w:jc w:val="right"/>
              <w:rPr>
                <w:b/>
                <w:sz w:val="20"/>
              </w:rPr>
            </w:pPr>
            <w:r>
              <w:rPr>
                <w:b/>
                <w:spacing w:val="-2"/>
                <w:sz w:val="20"/>
              </w:rPr>
              <w:t>60,039</w:t>
            </w:r>
          </w:p>
        </w:tc>
        <w:tc>
          <w:tcPr>
            <w:tcW w:w="1470" w:type="dxa"/>
            <w:tcBorders>
              <w:top w:val="single" w:sz="2" w:space="0" w:color="000000"/>
              <w:bottom w:val="single" w:sz="2" w:space="0" w:color="000000"/>
            </w:tcBorders>
          </w:tcPr>
          <w:p>
            <w:pPr>
              <w:pStyle w:val="TableParagraph"/>
              <w:spacing w:line="227" w:lineRule="exact" w:before="16"/>
              <w:ind w:right="182"/>
              <w:jc w:val="right"/>
              <w:rPr>
                <w:b/>
                <w:sz w:val="20"/>
              </w:rPr>
            </w:pPr>
            <w:r>
              <w:rPr>
                <w:b/>
                <w:spacing w:val="-2"/>
                <w:sz w:val="20"/>
              </w:rPr>
              <w:t>60,987</w:t>
            </w:r>
          </w:p>
        </w:tc>
        <w:tc>
          <w:tcPr>
            <w:tcW w:w="1191" w:type="dxa"/>
            <w:tcBorders>
              <w:top w:val="single" w:sz="2" w:space="0" w:color="000000"/>
              <w:bottom w:val="single" w:sz="2" w:space="0" w:color="000000"/>
              <w:right w:val="single" w:sz="12" w:space="0" w:color="000000"/>
            </w:tcBorders>
          </w:tcPr>
          <w:p>
            <w:pPr>
              <w:pStyle w:val="TableParagraph"/>
              <w:spacing w:line="227" w:lineRule="exact" w:before="16"/>
              <w:ind w:right="83"/>
              <w:jc w:val="right"/>
              <w:rPr>
                <w:b/>
                <w:sz w:val="20"/>
              </w:rPr>
            </w:pPr>
            <w:r>
              <w:rPr>
                <w:b/>
                <w:spacing w:val="-2"/>
                <w:sz w:val="20"/>
              </w:rPr>
              <w:t>59,240</w:t>
            </w:r>
          </w:p>
        </w:tc>
      </w:tr>
      <w:tr>
        <w:trPr>
          <w:trHeight w:val="516" w:hRule="atLeast"/>
        </w:trPr>
        <w:tc>
          <w:tcPr>
            <w:tcW w:w="3241" w:type="dxa"/>
            <w:tcBorders>
              <w:left w:val="single" w:sz="12" w:space="0" w:color="000000"/>
            </w:tcBorders>
          </w:tcPr>
          <w:p>
            <w:pPr>
              <w:pStyle w:val="TableParagraph"/>
              <w:spacing w:before="1"/>
              <w:rPr>
                <w:i/>
                <w:sz w:val="23"/>
              </w:rPr>
            </w:pPr>
          </w:p>
          <w:p>
            <w:pPr>
              <w:pStyle w:val="TableParagraph"/>
              <w:ind w:left="107"/>
              <w:rPr>
                <w:b/>
                <w:sz w:val="20"/>
              </w:rPr>
            </w:pPr>
            <w:r>
              <w:rPr>
                <w:b/>
                <w:sz w:val="20"/>
              </w:rPr>
              <w:t>Non-current</w:t>
            </w:r>
            <w:r>
              <w:rPr>
                <w:b/>
                <w:spacing w:val="-14"/>
                <w:sz w:val="20"/>
              </w:rPr>
              <w:t> </w:t>
            </w:r>
            <w:r>
              <w:rPr>
                <w:b/>
                <w:spacing w:val="-2"/>
                <w:sz w:val="20"/>
              </w:rPr>
              <w:t>assets</w:t>
            </w:r>
          </w:p>
        </w:tc>
        <w:tc>
          <w:tcPr>
            <w:tcW w:w="1142" w:type="dxa"/>
          </w:tcPr>
          <w:p>
            <w:pPr>
              <w:pStyle w:val="TableParagraph"/>
              <w:rPr>
                <w:rFonts w:ascii="Times New Roman"/>
                <w:sz w:val="18"/>
              </w:rPr>
            </w:pPr>
          </w:p>
        </w:tc>
        <w:tc>
          <w:tcPr>
            <w:tcW w:w="1275" w:type="dxa"/>
            <w:tcBorders>
              <w:top w:val="single" w:sz="2" w:space="0" w:color="000000"/>
            </w:tcBorders>
          </w:tcPr>
          <w:p>
            <w:pPr>
              <w:pStyle w:val="TableParagraph"/>
              <w:rPr>
                <w:rFonts w:ascii="Times New Roman"/>
                <w:sz w:val="18"/>
              </w:rPr>
            </w:pPr>
          </w:p>
        </w:tc>
        <w:tc>
          <w:tcPr>
            <w:tcW w:w="1275" w:type="dxa"/>
            <w:tcBorders>
              <w:top w:val="single" w:sz="2" w:space="0" w:color="000000"/>
            </w:tcBorders>
            <w:shd w:val="clear" w:color="auto" w:fill="DDEBF6"/>
          </w:tcPr>
          <w:p>
            <w:pPr>
              <w:pStyle w:val="TableParagraph"/>
              <w:rPr>
                <w:rFonts w:ascii="Times New Roman"/>
                <w:sz w:val="18"/>
              </w:rPr>
            </w:pPr>
          </w:p>
        </w:tc>
        <w:tc>
          <w:tcPr>
            <w:tcW w:w="1302" w:type="dxa"/>
            <w:tcBorders>
              <w:top w:val="single" w:sz="2" w:space="0" w:color="000000"/>
            </w:tcBorders>
          </w:tcPr>
          <w:p>
            <w:pPr>
              <w:pStyle w:val="TableParagraph"/>
              <w:rPr>
                <w:rFonts w:ascii="Times New Roman"/>
                <w:sz w:val="18"/>
              </w:rPr>
            </w:pPr>
          </w:p>
        </w:tc>
        <w:tc>
          <w:tcPr>
            <w:tcW w:w="1470" w:type="dxa"/>
            <w:tcBorders>
              <w:top w:val="single" w:sz="2" w:space="0" w:color="000000"/>
            </w:tcBorders>
          </w:tcPr>
          <w:p>
            <w:pPr>
              <w:pStyle w:val="TableParagraph"/>
              <w:rPr>
                <w:rFonts w:ascii="Times New Roman"/>
                <w:sz w:val="18"/>
              </w:rPr>
            </w:pPr>
          </w:p>
        </w:tc>
        <w:tc>
          <w:tcPr>
            <w:tcW w:w="1191" w:type="dxa"/>
            <w:tcBorders>
              <w:top w:val="single" w:sz="2" w:space="0" w:color="000000"/>
              <w:right w:val="single" w:sz="12" w:space="0" w:color="000000"/>
            </w:tcBorders>
          </w:tcPr>
          <w:p>
            <w:pPr>
              <w:pStyle w:val="TableParagraph"/>
              <w:rPr>
                <w:rFonts w:ascii="Times New Roman"/>
                <w:sz w:val="18"/>
              </w:rPr>
            </w:pPr>
          </w:p>
        </w:tc>
      </w:tr>
      <w:tr>
        <w:trPr>
          <w:trHeight w:val="272" w:hRule="atLeast"/>
        </w:trPr>
        <w:tc>
          <w:tcPr>
            <w:tcW w:w="3241" w:type="dxa"/>
            <w:tcBorders>
              <w:left w:val="single" w:sz="12" w:space="0" w:color="000000"/>
            </w:tcBorders>
          </w:tcPr>
          <w:p>
            <w:pPr>
              <w:pStyle w:val="TableParagraph"/>
              <w:spacing w:before="13"/>
              <w:ind w:left="107"/>
              <w:rPr>
                <w:sz w:val="20"/>
              </w:rPr>
            </w:pPr>
            <w:r>
              <w:rPr>
                <w:sz w:val="20"/>
              </w:rPr>
              <w:t>Trade</w:t>
            </w:r>
            <w:r>
              <w:rPr>
                <w:spacing w:val="-7"/>
                <w:sz w:val="20"/>
              </w:rPr>
              <w:t> </w:t>
            </w:r>
            <w:r>
              <w:rPr>
                <w:sz w:val="20"/>
              </w:rPr>
              <w:t>and</w:t>
            </w:r>
            <w:r>
              <w:rPr>
                <w:spacing w:val="-6"/>
                <w:sz w:val="20"/>
              </w:rPr>
              <w:t> </w:t>
            </w:r>
            <w:r>
              <w:rPr>
                <w:sz w:val="20"/>
              </w:rPr>
              <w:t>other</w:t>
            </w:r>
            <w:r>
              <w:rPr>
                <w:spacing w:val="-5"/>
                <w:sz w:val="20"/>
              </w:rPr>
              <w:t> </w:t>
            </w:r>
            <w:r>
              <w:rPr>
                <w:spacing w:val="-2"/>
                <w:sz w:val="20"/>
              </w:rPr>
              <w:t>receivables</w:t>
            </w:r>
          </w:p>
        </w:tc>
        <w:tc>
          <w:tcPr>
            <w:tcW w:w="1142" w:type="dxa"/>
          </w:tcPr>
          <w:p>
            <w:pPr>
              <w:pStyle w:val="TableParagraph"/>
              <w:rPr>
                <w:rFonts w:ascii="Times New Roman"/>
                <w:sz w:val="18"/>
              </w:rPr>
            </w:pPr>
          </w:p>
        </w:tc>
        <w:tc>
          <w:tcPr>
            <w:tcW w:w="1275" w:type="dxa"/>
          </w:tcPr>
          <w:p>
            <w:pPr>
              <w:pStyle w:val="TableParagraph"/>
              <w:spacing w:line="222" w:lineRule="exact" w:before="30"/>
              <w:ind w:right="95"/>
              <w:jc w:val="right"/>
              <w:rPr>
                <w:sz w:val="20"/>
              </w:rPr>
            </w:pPr>
            <w:r>
              <w:rPr>
                <w:spacing w:val="-5"/>
                <w:sz w:val="20"/>
              </w:rPr>
              <w:t>90</w:t>
            </w:r>
          </w:p>
        </w:tc>
        <w:tc>
          <w:tcPr>
            <w:tcW w:w="1275" w:type="dxa"/>
            <w:shd w:val="clear" w:color="auto" w:fill="DDEBF6"/>
          </w:tcPr>
          <w:p>
            <w:pPr>
              <w:pStyle w:val="TableParagraph"/>
              <w:spacing w:line="222" w:lineRule="exact" w:before="30"/>
              <w:ind w:right="96"/>
              <w:jc w:val="right"/>
              <w:rPr>
                <w:b/>
                <w:sz w:val="20"/>
              </w:rPr>
            </w:pPr>
            <w:r>
              <w:rPr>
                <w:b/>
                <w:spacing w:val="-5"/>
                <w:sz w:val="20"/>
              </w:rPr>
              <w:t>90</w:t>
            </w:r>
          </w:p>
        </w:tc>
        <w:tc>
          <w:tcPr>
            <w:tcW w:w="1302" w:type="dxa"/>
          </w:tcPr>
          <w:p>
            <w:pPr>
              <w:pStyle w:val="TableParagraph"/>
              <w:spacing w:line="222" w:lineRule="exact" w:before="30"/>
              <w:ind w:right="123"/>
              <w:jc w:val="right"/>
              <w:rPr>
                <w:sz w:val="20"/>
              </w:rPr>
            </w:pPr>
            <w:r>
              <w:rPr>
                <w:spacing w:val="-5"/>
                <w:sz w:val="20"/>
              </w:rPr>
              <w:t>90</w:t>
            </w:r>
          </w:p>
        </w:tc>
        <w:tc>
          <w:tcPr>
            <w:tcW w:w="1470" w:type="dxa"/>
          </w:tcPr>
          <w:p>
            <w:pPr>
              <w:pStyle w:val="TableParagraph"/>
              <w:spacing w:line="222" w:lineRule="exact" w:before="30"/>
              <w:ind w:right="182"/>
              <w:jc w:val="right"/>
              <w:rPr>
                <w:sz w:val="20"/>
              </w:rPr>
            </w:pPr>
            <w:r>
              <w:rPr>
                <w:spacing w:val="-5"/>
                <w:sz w:val="20"/>
              </w:rPr>
              <w:t>90</w:t>
            </w:r>
          </w:p>
        </w:tc>
        <w:tc>
          <w:tcPr>
            <w:tcW w:w="1191" w:type="dxa"/>
            <w:tcBorders>
              <w:right w:val="single" w:sz="12" w:space="0" w:color="000000"/>
            </w:tcBorders>
          </w:tcPr>
          <w:p>
            <w:pPr>
              <w:pStyle w:val="TableParagraph"/>
              <w:spacing w:line="222" w:lineRule="exact" w:before="30"/>
              <w:ind w:right="84"/>
              <w:jc w:val="right"/>
              <w:rPr>
                <w:sz w:val="20"/>
              </w:rPr>
            </w:pPr>
            <w:r>
              <w:rPr>
                <w:spacing w:val="-5"/>
                <w:sz w:val="20"/>
              </w:rPr>
              <w:t>90</w:t>
            </w:r>
          </w:p>
        </w:tc>
      </w:tr>
      <w:tr>
        <w:trPr>
          <w:trHeight w:val="469" w:hRule="atLeast"/>
        </w:trPr>
        <w:tc>
          <w:tcPr>
            <w:tcW w:w="3241" w:type="dxa"/>
            <w:tcBorders>
              <w:left w:val="single" w:sz="12" w:space="0" w:color="000000"/>
            </w:tcBorders>
          </w:tcPr>
          <w:p>
            <w:pPr>
              <w:pStyle w:val="TableParagraph"/>
              <w:spacing w:line="230" w:lineRule="atLeast"/>
              <w:ind w:left="107"/>
              <w:rPr>
                <w:sz w:val="20"/>
              </w:rPr>
            </w:pPr>
            <w:r>
              <w:rPr>
                <w:sz w:val="20"/>
              </w:rPr>
              <w:t>Investments</w:t>
            </w:r>
            <w:r>
              <w:rPr>
                <w:spacing w:val="-8"/>
                <w:sz w:val="20"/>
              </w:rPr>
              <w:t> </w:t>
            </w:r>
            <w:r>
              <w:rPr>
                <w:sz w:val="20"/>
              </w:rPr>
              <w:t>in</w:t>
            </w:r>
            <w:r>
              <w:rPr>
                <w:spacing w:val="-9"/>
                <w:sz w:val="20"/>
              </w:rPr>
              <w:t> </w:t>
            </w:r>
            <w:r>
              <w:rPr>
                <w:sz w:val="20"/>
              </w:rPr>
              <w:t>associates,</w:t>
            </w:r>
            <w:r>
              <w:rPr>
                <w:spacing w:val="-10"/>
                <w:sz w:val="20"/>
              </w:rPr>
              <w:t> </w:t>
            </w:r>
            <w:r>
              <w:rPr>
                <w:sz w:val="20"/>
              </w:rPr>
              <w:t>joint arrangement, and subsidiaries</w:t>
            </w:r>
          </w:p>
        </w:tc>
        <w:tc>
          <w:tcPr>
            <w:tcW w:w="1142" w:type="dxa"/>
          </w:tcPr>
          <w:p>
            <w:pPr>
              <w:pStyle w:val="TableParagraph"/>
              <w:rPr>
                <w:rFonts w:ascii="Times New Roman"/>
                <w:sz w:val="18"/>
              </w:rPr>
            </w:pPr>
          </w:p>
        </w:tc>
        <w:tc>
          <w:tcPr>
            <w:tcW w:w="1275" w:type="dxa"/>
          </w:tcPr>
          <w:p>
            <w:pPr>
              <w:pStyle w:val="TableParagraph"/>
              <w:spacing w:before="120"/>
              <w:ind w:right="94"/>
              <w:jc w:val="right"/>
              <w:rPr>
                <w:sz w:val="20"/>
              </w:rPr>
            </w:pPr>
            <w:r>
              <w:rPr>
                <w:spacing w:val="-2"/>
                <w:sz w:val="20"/>
              </w:rPr>
              <w:t>2,105</w:t>
            </w:r>
          </w:p>
        </w:tc>
        <w:tc>
          <w:tcPr>
            <w:tcW w:w="1275" w:type="dxa"/>
            <w:shd w:val="clear" w:color="auto" w:fill="DDEBF6"/>
          </w:tcPr>
          <w:p>
            <w:pPr>
              <w:pStyle w:val="TableParagraph"/>
              <w:spacing w:before="120"/>
              <w:ind w:right="94"/>
              <w:jc w:val="right"/>
              <w:rPr>
                <w:b/>
                <w:sz w:val="20"/>
              </w:rPr>
            </w:pPr>
            <w:r>
              <w:rPr>
                <w:b/>
                <w:spacing w:val="-2"/>
                <w:sz w:val="20"/>
              </w:rPr>
              <w:t>2,105</w:t>
            </w:r>
          </w:p>
        </w:tc>
        <w:tc>
          <w:tcPr>
            <w:tcW w:w="1302" w:type="dxa"/>
          </w:tcPr>
          <w:p>
            <w:pPr>
              <w:pStyle w:val="TableParagraph"/>
              <w:spacing w:before="120"/>
              <w:ind w:right="122"/>
              <w:jc w:val="right"/>
              <w:rPr>
                <w:sz w:val="20"/>
              </w:rPr>
            </w:pPr>
            <w:r>
              <w:rPr>
                <w:spacing w:val="-2"/>
                <w:sz w:val="20"/>
              </w:rPr>
              <w:t>2,105</w:t>
            </w:r>
          </w:p>
        </w:tc>
        <w:tc>
          <w:tcPr>
            <w:tcW w:w="1470" w:type="dxa"/>
          </w:tcPr>
          <w:p>
            <w:pPr>
              <w:pStyle w:val="TableParagraph"/>
              <w:spacing w:before="120"/>
              <w:ind w:right="181"/>
              <w:jc w:val="right"/>
              <w:rPr>
                <w:sz w:val="20"/>
              </w:rPr>
            </w:pPr>
            <w:r>
              <w:rPr>
                <w:spacing w:val="-2"/>
                <w:sz w:val="20"/>
              </w:rPr>
              <w:t>2,105</w:t>
            </w:r>
          </w:p>
        </w:tc>
        <w:tc>
          <w:tcPr>
            <w:tcW w:w="1191" w:type="dxa"/>
            <w:tcBorders>
              <w:right w:val="single" w:sz="12" w:space="0" w:color="000000"/>
            </w:tcBorders>
          </w:tcPr>
          <w:p>
            <w:pPr>
              <w:pStyle w:val="TableParagraph"/>
              <w:spacing w:before="120"/>
              <w:ind w:right="82"/>
              <w:jc w:val="right"/>
              <w:rPr>
                <w:sz w:val="20"/>
              </w:rPr>
            </w:pPr>
            <w:r>
              <w:rPr>
                <w:spacing w:val="-2"/>
                <w:sz w:val="20"/>
              </w:rPr>
              <w:t>2,105</w:t>
            </w:r>
          </w:p>
        </w:tc>
      </w:tr>
      <w:tr>
        <w:trPr>
          <w:trHeight w:val="460" w:hRule="atLeast"/>
        </w:trPr>
        <w:tc>
          <w:tcPr>
            <w:tcW w:w="3241" w:type="dxa"/>
            <w:tcBorders>
              <w:left w:val="single" w:sz="12" w:space="0" w:color="000000"/>
            </w:tcBorders>
          </w:tcPr>
          <w:p>
            <w:pPr>
              <w:pStyle w:val="TableParagraph"/>
              <w:spacing w:line="230" w:lineRule="exact"/>
              <w:ind w:left="107"/>
              <w:rPr>
                <w:sz w:val="20"/>
              </w:rPr>
            </w:pPr>
            <w:r>
              <w:rPr>
                <w:sz w:val="20"/>
              </w:rPr>
              <w:t>Property,</w:t>
            </w:r>
            <w:r>
              <w:rPr>
                <w:spacing w:val="-7"/>
                <w:sz w:val="20"/>
              </w:rPr>
              <w:t> </w:t>
            </w:r>
            <w:r>
              <w:rPr>
                <w:sz w:val="20"/>
              </w:rPr>
              <w:t>infrastructure,</w:t>
            </w:r>
            <w:r>
              <w:rPr>
                <w:spacing w:val="-10"/>
                <w:sz w:val="20"/>
              </w:rPr>
              <w:t> </w:t>
            </w:r>
            <w:r>
              <w:rPr>
                <w:sz w:val="20"/>
              </w:rPr>
              <w:t>plant</w:t>
            </w:r>
            <w:r>
              <w:rPr>
                <w:spacing w:val="-10"/>
                <w:sz w:val="20"/>
              </w:rPr>
              <w:t> </w:t>
            </w:r>
            <w:r>
              <w:rPr>
                <w:sz w:val="20"/>
              </w:rPr>
              <w:t>&amp; </w:t>
            </w:r>
            <w:r>
              <w:rPr>
                <w:spacing w:val="-2"/>
                <w:sz w:val="20"/>
              </w:rPr>
              <w:t>equipment</w:t>
            </w:r>
          </w:p>
        </w:tc>
        <w:tc>
          <w:tcPr>
            <w:tcW w:w="1142" w:type="dxa"/>
          </w:tcPr>
          <w:p>
            <w:pPr>
              <w:pStyle w:val="TableParagraph"/>
              <w:rPr>
                <w:rFonts w:ascii="Times New Roman"/>
                <w:sz w:val="18"/>
              </w:rPr>
            </w:pPr>
          </w:p>
        </w:tc>
        <w:tc>
          <w:tcPr>
            <w:tcW w:w="1275" w:type="dxa"/>
          </w:tcPr>
          <w:p>
            <w:pPr>
              <w:pStyle w:val="TableParagraph"/>
              <w:spacing w:before="112"/>
              <w:ind w:right="93"/>
              <w:jc w:val="right"/>
              <w:rPr>
                <w:sz w:val="20"/>
              </w:rPr>
            </w:pPr>
            <w:r>
              <w:rPr>
                <w:spacing w:val="-2"/>
                <w:sz w:val="20"/>
              </w:rPr>
              <w:t>2,243,947</w:t>
            </w:r>
          </w:p>
        </w:tc>
        <w:tc>
          <w:tcPr>
            <w:tcW w:w="1275" w:type="dxa"/>
            <w:shd w:val="clear" w:color="auto" w:fill="DDEBF6"/>
          </w:tcPr>
          <w:p>
            <w:pPr>
              <w:pStyle w:val="TableParagraph"/>
              <w:spacing w:before="112"/>
              <w:ind w:right="94"/>
              <w:jc w:val="right"/>
              <w:rPr>
                <w:b/>
                <w:sz w:val="20"/>
              </w:rPr>
            </w:pPr>
            <w:r>
              <w:rPr>
                <w:b/>
                <w:spacing w:val="-2"/>
                <w:sz w:val="20"/>
              </w:rPr>
              <w:t>2,251,779</w:t>
            </w:r>
          </w:p>
        </w:tc>
        <w:tc>
          <w:tcPr>
            <w:tcW w:w="1302" w:type="dxa"/>
          </w:tcPr>
          <w:p>
            <w:pPr>
              <w:pStyle w:val="TableParagraph"/>
              <w:spacing w:before="112"/>
              <w:ind w:right="122"/>
              <w:jc w:val="right"/>
              <w:rPr>
                <w:sz w:val="20"/>
              </w:rPr>
            </w:pPr>
            <w:r>
              <w:rPr>
                <w:spacing w:val="-2"/>
                <w:sz w:val="20"/>
              </w:rPr>
              <w:t>2,298,562</w:t>
            </w:r>
          </w:p>
        </w:tc>
        <w:tc>
          <w:tcPr>
            <w:tcW w:w="1470" w:type="dxa"/>
          </w:tcPr>
          <w:p>
            <w:pPr>
              <w:pStyle w:val="TableParagraph"/>
              <w:spacing w:before="112"/>
              <w:ind w:right="180"/>
              <w:jc w:val="right"/>
              <w:rPr>
                <w:sz w:val="20"/>
              </w:rPr>
            </w:pPr>
            <w:r>
              <w:rPr>
                <w:spacing w:val="-2"/>
                <w:sz w:val="20"/>
              </w:rPr>
              <w:t>2,316,158</w:t>
            </w:r>
          </w:p>
        </w:tc>
        <w:tc>
          <w:tcPr>
            <w:tcW w:w="1191" w:type="dxa"/>
            <w:tcBorders>
              <w:right w:val="single" w:sz="12" w:space="0" w:color="000000"/>
            </w:tcBorders>
          </w:tcPr>
          <w:p>
            <w:pPr>
              <w:pStyle w:val="TableParagraph"/>
              <w:spacing w:before="112"/>
              <w:ind w:right="82"/>
              <w:jc w:val="right"/>
              <w:rPr>
                <w:sz w:val="20"/>
              </w:rPr>
            </w:pPr>
            <w:r>
              <w:rPr>
                <w:spacing w:val="-2"/>
                <w:sz w:val="20"/>
              </w:rPr>
              <w:t>2,333,664</w:t>
            </w:r>
          </w:p>
        </w:tc>
      </w:tr>
      <w:tr>
        <w:trPr>
          <w:trHeight w:val="255" w:hRule="atLeast"/>
        </w:trPr>
        <w:tc>
          <w:tcPr>
            <w:tcW w:w="3241" w:type="dxa"/>
            <w:tcBorders>
              <w:left w:val="single" w:sz="12" w:space="0" w:color="000000"/>
            </w:tcBorders>
          </w:tcPr>
          <w:p>
            <w:pPr>
              <w:pStyle w:val="TableParagraph"/>
              <w:spacing w:line="227" w:lineRule="exact"/>
              <w:ind w:left="107"/>
              <w:rPr>
                <w:sz w:val="20"/>
              </w:rPr>
            </w:pPr>
            <w:r>
              <w:rPr>
                <w:sz w:val="20"/>
              </w:rPr>
              <w:t>Right-of-use</w:t>
            </w:r>
            <w:r>
              <w:rPr>
                <w:spacing w:val="-13"/>
                <w:sz w:val="20"/>
              </w:rPr>
              <w:t> </w:t>
            </w:r>
            <w:r>
              <w:rPr>
                <w:spacing w:val="-2"/>
                <w:sz w:val="20"/>
              </w:rPr>
              <w:t>assets</w:t>
            </w:r>
          </w:p>
        </w:tc>
        <w:tc>
          <w:tcPr>
            <w:tcW w:w="1142" w:type="dxa"/>
          </w:tcPr>
          <w:p>
            <w:pPr>
              <w:pStyle w:val="TableParagraph"/>
              <w:spacing w:line="222" w:lineRule="exact" w:before="13"/>
              <w:ind w:right="259"/>
              <w:jc w:val="right"/>
              <w:rPr>
                <w:sz w:val="20"/>
              </w:rPr>
            </w:pPr>
            <w:r>
              <w:rPr>
                <w:spacing w:val="-2"/>
                <w:sz w:val="20"/>
              </w:rPr>
              <w:t>4.2.4</w:t>
            </w:r>
          </w:p>
        </w:tc>
        <w:tc>
          <w:tcPr>
            <w:tcW w:w="1275" w:type="dxa"/>
          </w:tcPr>
          <w:p>
            <w:pPr>
              <w:pStyle w:val="TableParagraph"/>
              <w:spacing w:line="222" w:lineRule="exact" w:before="13"/>
              <w:ind w:right="94"/>
              <w:jc w:val="right"/>
              <w:rPr>
                <w:sz w:val="20"/>
              </w:rPr>
            </w:pPr>
            <w:r>
              <w:rPr>
                <w:spacing w:val="-2"/>
                <w:sz w:val="20"/>
              </w:rPr>
              <w:t>5,865</w:t>
            </w:r>
          </w:p>
        </w:tc>
        <w:tc>
          <w:tcPr>
            <w:tcW w:w="1275" w:type="dxa"/>
            <w:shd w:val="clear" w:color="auto" w:fill="DDEBF6"/>
          </w:tcPr>
          <w:p>
            <w:pPr>
              <w:pStyle w:val="TableParagraph"/>
              <w:spacing w:line="222" w:lineRule="exact" w:before="13"/>
              <w:ind w:right="94"/>
              <w:jc w:val="right"/>
              <w:rPr>
                <w:b/>
                <w:sz w:val="20"/>
              </w:rPr>
            </w:pPr>
            <w:r>
              <w:rPr>
                <w:b/>
                <w:spacing w:val="-2"/>
                <w:sz w:val="20"/>
              </w:rPr>
              <w:t>7,625</w:t>
            </w:r>
          </w:p>
        </w:tc>
        <w:tc>
          <w:tcPr>
            <w:tcW w:w="1302" w:type="dxa"/>
          </w:tcPr>
          <w:p>
            <w:pPr>
              <w:pStyle w:val="TableParagraph"/>
              <w:spacing w:line="222" w:lineRule="exact" w:before="13"/>
              <w:ind w:right="122"/>
              <w:jc w:val="right"/>
              <w:rPr>
                <w:sz w:val="20"/>
              </w:rPr>
            </w:pPr>
            <w:r>
              <w:rPr>
                <w:spacing w:val="-2"/>
                <w:sz w:val="20"/>
              </w:rPr>
              <w:t>5,999</w:t>
            </w:r>
          </w:p>
        </w:tc>
        <w:tc>
          <w:tcPr>
            <w:tcW w:w="1470" w:type="dxa"/>
          </w:tcPr>
          <w:p>
            <w:pPr>
              <w:pStyle w:val="TableParagraph"/>
              <w:spacing w:line="222" w:lineRule="exact" w:before="13"/>
              <w:ind w:right="181"/>
              <w:jc w:val="right"/>
              <w:rPr>
                <w:sz w:val="20"/>
              </w:rPr>
            </w:pPr>
            <w:r>
              <w:rPr>
                <w:spacing w:val="-2"/>
                <w:sz w:val="20"/>
              </w:rPr>
              <w:t>4,623</w:t>
            </w:r>
          </w:p>
        </w:tc>
        <w:tc>
          <w:tcPr>
            <w:tcW w:w="1191" w:type="dxa"/>
            <w:tcBorders>
              <w:right w:val="single" w:sz="12" w:space="0" w:color="000000"/>
            </w:tcBorders>
          </w:tcPr>
          <w:p>
            <w:pPr>
              <w:pStyle w:val="TableParagraph"/>
              <w:spacing w:line="222" w:lineRule="exact" w:before="13"/>
              <w:ind w:right="82"/>
              <w:jc w:val="right"/>
              <w:rPr>
                <w:sz w:val="20"/>
              </w:rPr>
            </w:pPr>
            <w:r>
              <w:rPr>
                <w:spacing w:val="-2"/>
                <w:sz w:val="20"/>
              </w:rPr>
              <w:t>5,744</w:t>
            </w:r>
          </w:p>
        </w:tc>
      </w:tr>
      <w:tr>
        <w:trPr>
          <w:trHeight w:val="271" w:hRule="atLeast"/>
        </w:trPr>
        <w:tc>
          <w:tcPr>
            <w:tcW w:w="3241" w:type="dxa"/>
            <w:tcBorders>
              <w:left w:val="single" w:sz="12" w:space="0" w:color="000000"/>
            </w:tcBorders>
          </w:tcPr>
          <w:p>
            <w:pPr>
              <w:pStyle w:val="TableParagraph"/>
              <w:spacing w:before="5"/>
              <w:ind w:left="107"/>
              <w:rPr>
                <w:sz w:val="20"/>
              </w:rPr>
            </w:pPr>
            <w:r>
              <w:rPr>
                <w:sz w:val="20"/>
              </w:rPr>
              <w:t>Intangible</w:t>
            </w:r>
            <w:r>
              <w:rPr>
                <w:spacing w:val="-12"/>
                <w:sz w:val="20"/>
              </w:rPr>
              <w:t> </w:t>
            </w:r>
            <w:r>
              <w:rPr>
                <w:spacing w:val="-2"/>
                <w:sz w:val="20"/>
              </w:rPr>
              <w:t>assets</w:t>
            </w:r>
          </w:p>
        </w:tc>
        <w:tc>
          <w:tcPr>
            <w:tcW w:w="1142" w:type="dxa"/>
          </w:tcPr>
          <w:p>
            <w:pPr>
              <w:pStyle w:val="TableParagraph"/>
              <w:rPr>
                <w:rFonts w:ascii="Times New Roman"/>
                <w:sz w:val="18"/>
              </w:rPr>
            </w:pPr>
          </w:p>
        </w:tc>
        <w:tc>
          <w:tcPr>
            <w:tcW w:w="1275" w:type="dxa"/>
            <w:tcBorders>
              <w:bottom w:val="single" w:sz="2" w:space="0" w:color="000000"/>
            </w:tcBorders>
          </w:tcPr>
          <w:p>
            <w:pPr>
              <w:pStyle w:val="TableParagraph"/>
              <w:spacing w:before="22"/>
              <w:ind w:right="94"/>
              <w:jc w:val="right"/>
              <w:rPr>
                <w:sz w:val="20"/>
              </w:rPr>
            </w:pPr>
            <w:r>
              <w:rPr>
                <w:spacing w:val="-2"/>
                <w:sz w:val="20"/>
              </w:rPr>
              <w:t>1,051</w:t>
            </w:r>
          </w:p>
        </w:tc>
        <w:tc>
          <w:tcPr>
            <w:tcW w:w="1275" w:type="dxa"/>
            <w:tcBorders>
              <w:bottom w:val="single" w:sz="2" w:space="0" w:color="000000"/>
            </w:tcBorders>
            <w:shd w:val="clear" w:color="auto" w:fill="DDEBF6"/>
          </w:tcPr>
          <w:p>
            <w:pPr>
              <w:pStyle w:val="TableParagraph"/>
              <w:spacing w:before="22"/>
              <w:ind w:right="94"/>
              <w:jc w:val="right"/>
              <w:rPr>
                <w:b/>
                <w:sz w:val="20"/>
              </w:rPr>
            </w:pPr>
            <w:r>
              <w:rPr>
                <w:b/>
                <w:spacing w:val="-2"/>
                <w:sz w:val="20"/>
              </w:rPr>
              <w:t>1,051</w:t>
            </w:r>
          </w:p>
        </w:tc>
        <w:tc>
          <w:tcPr>
            <w:tcW w:w="1302" w:type="dxa"/>
            <w:tcBorders>
              <w:bottom w:val="single" w:sz="2" w:space="0" w:color="000000"/>
            </w:tcBorders>
          </w:tcPr>
          <w:p>
            <w:pPr>
              <w:pStyle w:val="TableParagraph"/>
              <w:spacing w:before="22"/>
              <w:ind w:right="122"/>
              <w:jc w:val="right"/>
              <w:rPr>
                <w:sz w:val="20"/>
              </w:rPr>
            </w:pPr>
            <w:r>
              <w:rPr>
                <w:spacing w:val="-2"/>
                <w:sz w:val="20"/>
              </w:rPr>
              <w:t>1,051</w:t>
            </w:r>
          </w:p>
        </w:tc>
        <w:tc>
          <w:tcPr>
            <w:tcW w:w="1470" w:type="dxa"/>
            <w:tcBorders>
              <w:bottom w:val="single" w:sz="2" w:space="0" w:color="000000"/>
            </w:tcBorders>
          </w:tcPr>
          <w:p>
            <w:pPr>
              <w:pStyle w:val="TableParagraph"/>
              <w:spacing w:before="22"/>
              <w:ind w:right="181"/>
              <w:jc w:val="right"/>
              <w:rPr>
                <w:sz w:val="20"/>
              </w:rPr>
            </w:pPr>
            <w:r>
              <w:rPr>
                <w:spacing w:val="-2"/>
                <w:sz w:val="20"/>
              </w:rPr>
              <w:t>1,051</w:t>
            </w:r>
          </w:p>
        </w:tc>
        <w:tc>
          <w:tcPr>
            <w:tcW w:w="1191" w:type="dxa"/>
            <w:tcBorders>
              <w:bottom w:val="single" w:sz="2" w:space="0" w:color="000000"/>
              <w:right w:val="single" w:sz="12" w:space="0" w:color="000000"/>
            </w:tcBorders>
          </w:tcPr>
          <w:p>
            <w:pPr>
              <w:pStyle w:val="TableParagraph"/>
              <w:spacing w:before="22"/>
              <w:ind w:right="82"/>
              <w:jc w:val="right"/>
              <w:rPr>
                <w:sz w:val="20"/>
              </w:rPr>
            </w:pPr>
            <w:r>
              <w:rPr>
                <w:spacing w:val="-2"/>
                <w:sz w:val="20"/>
              </w:rPr>
              <w:t>1,051</w:t>
            </w:r>
          </w:p>
        </w:tc>
      </w:tr>
      <w:tr>
        <w:trPr>
          <w:trHeight w:val="263" w:hRule="atLeast"/>
        </w:trPr>
        <w:tc>
          <w:tcPr>
            <w:tcW w:w="3241" w:type="dxa"/>
            <w:tcBorders>
              <w:left w:val="single" w:sz="12" w:space="0" w:color="000000"/>
            </w:tcBorders>
          </w:tcPr>
          <w:p>
            <w:pPr>
              <w:pStyle w:val="TableParagraph"/>
              <w:spacing w:line="229" w:lineRule="exact"/>
              <w:ind w:left="107"/>
              <w:rPr>
                <w:b/>
                <w:sz w:val="20"/>
              </w:rPr>
            </w:pPr>
            <w:r>
              <w:rPr>
                <w:b/>
                <w:sz w:val="20"/>
              </w:rPr>
              <w:t>Total</w:t>
            </w:r>
            <w:r>
              <w:rPr>
                <w:b/>
                <w:spacing w:val="-10"/>
                <w:sz w:val="20"/>
              </w:rPr>
              <w:t> </w:t>
            </w:r>
            <w:r>
              <w:rPr>
                <w:b/>
                <w:sz w:val="20"/>
              </w:rPr>
              <w:t>non-current</w:t>
            </w:r>
            <w:r>
              <w:rPr>
                <w:b/>
                <w:spacing w:val="-10"/>
                <w:sz w:val="20"/>
              </w:rPr>
              <w:t> </w:t>
            </w:r>
            <w:r>
              <w:rPr>
                <w:b/>
                <w:spacing w:val="-2"/>
                <w:sz w:val="20"/>
              </w:rPr>
              <w:t>assets</w:t>
            </w:r>
          </w:p>
        </w:tc>
        <w:tc>
          <w:tcPr>
            <w:tcW w:w="1142" w:type="dxa"/>
          </w:tcPr>
          <w:p>
            <w:pPr>
              <w:pStyle w:val="TableParagraph"/>
              <w:spacing w:line="227" w:lineRule="exact" w:before="16"/>
              <w:ind w:right="259"/>
              <w:jc w:val="right"/>
              <w:rPr>
                <w:sz w:val="20"/>
              </w:rPr>
            </w:pPr>
            <w:r>
              <w:rPr>
                <w:spacing w:val="-2"/>
                <w:sz w:val="20"/>
              </w:rPr>
              <w:t>4.2.1</w:t>
            </w:r>
          </w:p>
        </w:tc>
        <w:tc>
          <w:tcPr>
            <w:tcW w:w="1275" w:type="dxa"/>
            <w:tcBorders>
              <w:top w:val="single" w:sz="2" w:space="0" w:color="000000"/>
              <w:bottom w:val="single" w:sz="2" w:space="0" w:color="000000"/>
            </w:tcBorders>
          </w:tcPr>
          <w:p>
            <w:pPr>
              <w:pStyle w:val="TableParagraph"/>
              <w:spacing w:line="227" w:lineRule="exact" w:before="16"/>
              <w:ind w:right="93"/>
              <w:jc w:val="right"/>
              <w:rPr>
                <w:b/>
                <w:sz w:val="20"/>
              </w:rPr>
            </w:pPr>
            <w:r>
              <w:rPr>
                <w:b/>
                <w:spacing w:val="-2"/>
                <w:sz w:val="20"/>
              </w:rPr>
              <w:t>2,253,058</w:t>
            </w:r>
          </w:p>
        </w:tc>
        <w:tc>
          <w:tcPr>
            <w:tcW w:w="1275" w:type="dxa"/>
            <w:tcBorders>
              <w:top w:val="single" w:sz="2" w:space="0" w:color="000000"/>
              <w:bottom w:val="single" w:sz="2" w:space="0" w:color="000000"/>
            </w:tcBorders>
            <w:shd w:val="clear" w:color="auto" w:fill="DDEBF6"/>
          </w:tcPr>
          <w:p>
            <w:pPr>
              <w:pStyle w:val="TableParagraph"/>
              <w:spacing w:line="227" w:lineRule="exact" w:before="16"/>
              <w:ind w:right="94"/>
              <w:jc w:val="right"/>
              <w:rPr>
                <w:b/>
                <w:sz w:val="20"/>
              </w:rPr>
            </w:pPr>
            <w:r>
              <w:rPr>
                <w:b/>
                <w:spacing w:val="-2"/>
                <w:sz w:val="20"/>
              </w:rPr>
              <w:t>2,262,650</w:t>
            </w:r>
          </w:p>
        </w:tc>
        <w:tc>
          <w:tcPr>
            <w:tcW w:w="1302" w:type="dxa"/>
            <w:tcBorders>
              <w:top w:val="single" w:sz="2" w:space="0" w:color="000000"/>
              <w:bottom w:val="single" w:sz="2" w:space="0" w:color="000000"/>
            </w:tcBorders>
          </w:tcPr>
          <w:p>
            <w:pPr>
              <w:pStyle w:val="TableParagraph"/>
              <w:spacing w:line="227" w:lineRule="exact" w:before="16"/>
              <w:ind w:right="122"/>
              <w:jc w:val="right"/>
              <w:rPr>
                <w:b/>
                <w:sz w:val="20"/>
              </w:rPr>
            </w:pPr>
            <w:r>
              <w:rPr>
                <w:b/>
                <w:spacing w:val="-2"/>
                <w:sz w:val="20"/>
              </w:rPr>
              <w:t>2,307,807</w:t>
            </w:r>
          </w:p>
        </w:tc>
        <w:tc>
          <w:tcPr>
            <w:tcW w:w="1470" w:type="dxa"/>
            <w:tcBorders>
              <w:top w:val="single" w:sz="2" w:space="0" w:color="000000"/>
              <w:bottom w:val="single" w:sz="2" w:space="0" w:color="000000"/>
            </w:tcBorders>
          </w:tcPr>
          <w:p>
            <w:pPr>
              <w:pStyle w:val="TableParagraph"/>
              <w:spacing w:line="227" w:lineRule="exact" w:before="16"/>
              <w:ind w:right="180"/>
              <w:jc w:val="right"/>
              <w:rPr>
                <w:b/>
                <w:sz w:val="20"/>
              </w:rPr>
            </w:pPr>
            <w:r>
              <w:rPr>
                <w:b/>
                <w:spacing w:val="-2"/>
                <w:sz w:val="20"/>
              </w:rPr>
              <w:t>2,324,027</w:t>
            </w:r>
          </w:p>
        </w:tc>
        <w:tc>
          <w:tcPr>
            <w:tcW w:w="1191" w:type="dxa"/>
            <w:tcBorders>
              <w:top w:val="single" w:sz="2" w:space="0" w:color="000000"/>
              <w:bottom w:val="single" w:sz="2" w:space="0" w:color="000000"/>
              <w:right w:val="single" w:sz="12" w:space="0" w:color="000000"/>
            </w:tcBorders>
          </w:tcPr>
          <w:p>
            <w:pPr>
              <w:pStyle w:val="TableParagraph"/>
              <w:spacing w:line="227" w:lineRule="exact" w:before="16"/>
              <w:ind w:right="82"/>
              <w:jc w:val="right"/>
              <w:rPr>
                <w:b/>
                <w:sz w:val="20"/>
              </w:rPr>
            </w:pPr>
            <w:r>
              <w:rPr>
                <w:b/>
                <w:spacing w:val="-2"/>
                <w:sz w:val="20"/>
              </w:rPr>
              <w:t>2,342,654</w:t>
            </w:r>
          </w:p>
        </w:tc>
      </w:tr>
      <w:tr>
        <w:trPr>
          <w:trHeight w:val="266" w:hRule="atLeast"/>
        </w:trPr>
        <w:tc>
          <w:tcPr>
            <w:tcW w:w="3241" w:type="dxa"/>
            <w:tcBorders>
              <w:left w:val="single" w:sz="12" w:space="0" w:color="000000"/>
            </w:tcBorders>
          </w:tcPr>
          <w:p>
            <w:pPr>
              <w:pStyle w:val="TableParagraph"/>
              <w:spacing w:line="229" w:lineRule="exact"/>
              <w:ind w:left="107"/>
              <w:rPr>
                <w:b/>
                <w:sz w:val="20"/>
              </w:rPr>
            </w:pPr>
            <w:r>
              <w:rPr>
                <w:b/>
                <w:sz w:val="20"/>
              </w:rPr>
              <w:t>Total</w:t>
            </w:r>
            <w:r>
              <w:rPr>
                <w:b/>
                <w:spacing w:val="-6"/>
                <w:sz w:val="20"/>
              </w:rPr>
              <w:t> </w:t>
            </w:r>
            <w:r>
              <w:rPr>
                <w:b/>
                <w:spacing w:val="-2"/>
                <w:sz w:val="20"/>
              </w:rPr>
              <w:t>assets</w:t>
            </w:r>
          </w:p>
        </w:tc>
        <w:tc>
          <w:tcPr>
            <w:tcW w:w="1142" w:type="dxa"/>
          </w:tcPr>
          <w:p>
            <w:pPr>
              <w:pStyle w:val="TableParagraph"/>
              <w:rPr>
                <w:rFonts w:ascii="Times New Roman"/>
                <w:sz w:val="18"/>
              </w:rPr>
            </w:pPr>
          </w:p>
        </w:tc>
        <w:tc>
          <w:tcPr>
            <w:tcW w:w="1275" w:type="dxa"/>
            <w:tcBorders>
              <w:top w:val="single" w:sz="2" w:space="0" w:color="000000"/>
              <w:bottom w:val="single" w:sz="2" w:space="0" w:color="000000"/>
            </w:tcBorders>
          </w:tcPr>
          <w:p>
            <w:pPr>
              <w:pStyle w:val="TableParagraph"/>
              <w:spacing w:before="16"/>
              <w:ind w:right="93"/>
              <w:jc w:val="right"/>
              <w:rPr>
                <w:b/>
                <w:sz w:val="20"/>
              </w:rPr>
            </w:pPr>
            <w:r>
              <w:rPr>
                <w:b/>
                <w:spacing w:val="-2"/>
                <w:sz w:val="20"/>
              </w:rPr>
              <w:t>2,307,868</w:t>
            </w:r>
          </w:p>
        </w:tc>
        <w:tc>
          <w:tcPr>
            <w:tcW w:w="1275" w:type="dxa"/>
            <w:tcBorders>
              <w:top w:val="single" w:sz="2" w:space="0" w:color="000000"/>
              <w:bottom w:val="single" w:sz="2" w:space="0" w:color="000000"/>
            </w:tcBorders>
            <w:shd w:val="clear" w:color="auto" w:fill="DDEBF6"/>
          </w:tcPr>
          <w:p>
            <w:pPr>
              <w:pStyle w:val="TableParagraph"/>
              <w:spacing w:before="16"/>
              <w:ind w:right="94"/>
              <w:jc w:val="right"/>
              <w:rPr>
                <w:b/>
                <w:sz w:val="20"/>
              </w:rPr>
            </w:pPr>
            <w:r>
              <w:rPr>
                <w:b/>
                <w:spacing w:val="-2"/>
                <w:sz w:val="20"/>
              </w:rPr>
              <w:t>2,332,623</w:t>
            </w:r>
          </w:p>
        </w:tc>
        <w:tc>
          <w:tcPr>
            <w:tcW w:w="1302" w:type="dxa"/>
            <w:tcBorders>
              <w:top w:val="single" w:sz="2" w:space="0" w:color="000000"/>
              <w:bottom w:val="single" w:sz="2" w:space="0" w:color="000000"/>
            </w:tcBorders>
          </w:tcPr>
          <w:p>
            <w:pPr>
              <w:pStyle w:val="TableParagraph"/>
              <w:spacing w:before="16"/>
              <w:ind w:right="122"/>
              <w:jc w:val="right"/>
              <w:rPr>
                <w:b/>
                <w:sz w:val="20"/>
              </w:rPr>
            </w:pPr>
            <w:r>
              <w:rPr>
                <w:b/>
                <w:spacing w:val="-2"/>
                <w:sz w:val="20"/>
              </w:rPr>
              <w:t>2,367,846</w:t>
            </w:r>
          </w:p>
        </w:tc>
        <w:tc>
          <w:tcPr>
            <w:tcW w:w="1470" w:type="dxa"/>
            <w:tcBorders>
              <w:top w:val="single" w:sz="2" w:space="0" w:color="000000"/>
              <w:bottom w:val="single" w:sz="2" w:space="0" w:color="000000"/>
            </w:tcBorders>
          </w:tcPr>
          <w:p>
            <w:pPr>
              <w:pStyle w:val="TableParagraph"/>
              <w:spacing w:before="16"/>
              <w:ind w:right="180"/>
              <w:jc w:val="right"/>
              <w:rPr>
                <w:b/>
                <w:sz w:val="20"/>
              </w:rPr>
            </w:pPr>
            <w:r>
              <w:rPr>
                <w:b/>
                <w:spacing w:val="-2"/>
                <w:sz w:val="20"/>
              </w:rPr>
              <w:t>2,385,014</w:t>
            </w:r>
          </w:p>
        </w:tc>
        <w:tc>
          <w:tcPr>
            <w:tcW w:w="1191" w:type="dxa"/>
            <w:tcBorders>
              <w:top w:val="single" w:sz="2" w:space="0" w:color="000000"/>
              <w:bottom w:val="single" w:sz="2" w:space="0" w:color="000000"/>
              <w:right w:val="single" w:sz="12" w:space="0" w:color="000000"/>
            </w:tcBorders>
          </w:tcPr>
          <w:p>
            <w:pPr>
              <w:pStyle w:val="TableParagraph"/>
              <w:spacing w:before="16"/>
              <w:ind w:right="82"/>
              <w:jc w:val="right"/>
              <w:rPr>
                <w:b/>
                <w:sz w:val="20"/>
              </w:rPr>
            </w:pPr>
            <w:r>
              <w:rPr>
                <w:b/>
                <w:spacing w:val="-2"/>
                <w:sz w:val="20"/>
              </w:rPr>
              <w:t>2,401,894</w:t>
            </w:r>
          </w:p>
        </w:tc>
      </w:tr>
      <w:tr>
        <w:trPr>
          <w:trHeight w:val="514" w:hRule="atLeast"/>
        </w:trPr>
        <w:tc>
          <w:tcPr>
            <w:tcW w:w="3241" w:type="dxa"/>
            <w:tcBorders>
              <w:left w:val="single" w:sz="12" w:space="0" w:color="000000"/>
            </w:tcBorders>
          </w:tcPr>
          <w:p>
            <w:pPr>
              <w:pStyle w:val="TableParagraph"/>
              <w:spacing w:before="10"/>
              <w:rPr>
                <w:i/>
                <w:sz w:val="22"/>
              </w:rPr>
            </w:pPr>
          </w:p>
          <w:p>
            <w:pPr>
              <w:pStyle w:val="TableParagraph"/>
              <w:ind w:left="107"/>
              <w:rPr>
                <w:b/>
                <w:sz w:val="20"/>
              </w:rPr>
            </w:pPr>
            <w:r>
              <w:rPr>
                <w:b/>
                <w:spacing w:val="-2"/>
                <w:sz w:val="20"/>
              </w:rPr>
              <w:t>Liabilities</w:t>
            </w:r>
          </w:p>
        </w:tc>
        <w:tc>
          <w:tcPr>
            <w:tcW w:w="1142" w:type="dxa"/>
          </w:tcPr>
          <w:p>
            <w:pPr>
              <w:pStyle w:val="TableParagraph"/>
              <w:rPr>
                <w:rFonts w:ascii="Times New Roman"/>
                <w:sz w:val="18"/>
              </w:rPr>
            </w:pPr>
          </w:p>
        </w:tc>
        <w:tc>
          <w:tcPr>
            <w:tcW w:w="1275" w:type="dxa"/>
            <w:tcBorders>
              <w:top w:val="single" w:sz="2" w:space="0" w:color="000000"/>
            </w:tcBorders>
          </w:tcPr>
          <w:p>
            <w:pPr>
              <w:pStyle w:val="TableParagraph"/>
              <w:rPr>
                <w:rFonts w:ascii="Times New Roman"/>
                <w:sz w:val="18"/>
              </w:rPr>
            </w:pPr>
          </w:p>
        </w:tc>
        <w:tc>
          <w:tcPr>
            <w:tcW w:w="1275" w:type="dxa"/>
            <w:tcBorders>
              <w:top w:val="single" w:sz="2" w:space="0" w:color="000000"/>
            </w:tcBorders>
            <w:shd w:val="clear" w:color="auto" w:fill="DDEBF6"/>
          </w:tcPr>
          <w:p>
            <w:pPr>
              <w:pStyle w:val="TableParagraph"/>
              <w:rPr>
                <w:rFonts w:ascii="Times New Roman"/>
                <w:sz w:val="18"/>
              </w:rPr>
            </w:pPr>
          </w:p>
        </w:tc>
        <w:tc>
          <w:tcPr>
            <w:tcW w:w="1302" w:type="dxa"/>
            <w:tcBorders>
              <w:top w:val="single" w:sz="2" w:space="0" w:color="000000"/>
            </w:tcBorders>
          </w:tcPr>
          <w:p>
            <w:pPr>
              <w:pStyle w:val="TableParagraph"/>
              <w:rPr>
                <w:rFonts w:ascii="Times New Roman"/>
                <w:sz w:val="18"/>
              </w:rPr>
            </w:pPr>
          </w:p>
        </w:tc>
        <w:tc>
          <w:tcPr>
            <w:tcW w:w="1470" w:type="dxa"/>
            <w:tcBorders>
              <w:top w:val="single" w:sz="2" w:space="0" w:color="000000"/>
            </w:tcBorders>
          </w:tcPr>
          <w:p>
            <w:pPr>
              <w:pStyle w:val="TableParagraph"/>
              <w:rPr>
                <w:rFonts w:ascii="Times New Roman"/>
                <w:sz w:val="18"/>
              </w:rPr>
            </w:pPr>
          </w:p>
        </w:tc>
        <w:tc>
          <w:tcPr>
            <w:tcW w:w="1191" w:type="dxa"/>
            <w:tcBorders>
              <w:top w:val="single" w:sz="2" w:space="0" w:color="000000"/>
              <w:right w:val="single" w:sz="12" w:space="0" w:color="000000"/>
            </w:tcBorders>
          </w:tcPr>
          <w:p>
            <w:pPr>
              <w:pStyle w:val="TableParagraph"/>
              <w:rPr>
                <w:rFonts w:ascii="Times New Roman"/>
                <w:sz w:val="18"/>
              </w:rPr>
            </w:pPr>
          </w:p>
        </w:tc>
      </w:tr>
      <w:tr>
        <w:trPr>
          <w:trHeight w:val="265" w:hRule="atLeast"/>
        </w:trPr>
        <w:tc>
          <w:tcPr>
            <w:tcW w:w="3241" w:type="dxa"/>
            <w:tcBorders>
              <w:left w:val="single" w:sz="12" w:space="0" w:color="000000"/>
            </w:tcBorders>
          </w:tcPr>
          <w:p>
            <w:pPr>
              <w:pStyle w:val="TableParagraph"/>
              <w:spacing w:before="13"/>
              <w:ind w:left="107"/>
              <w:rPr>
                <w:b/>
                <w:sz w:val="20"/>
              </w:rPr>
            </w:pPr>
            <w:r>
              <w:rPr>
                <w:b/>
                <w:sz w:val="20"/>
              </w:rPr>
              <w:t>Current</w:t>
            </w:r>
            <w:r>
              <w:rPr>
                <w:b/>
                <w:spacing w:val="-11"/>
                <w:sz w:val="20"/>
              </w:rPr>
              <w:t> </w:t>
            </w:r>
            <w:r>
              <w:rPr>
                <w:b/>
                <w:spacing w:val="-2"/>
                <w:sz w:val="20"/>
              </w:rPr>
              <w:t>liabilities</w:t>
            </w:r>
          </w:p>
        </w:tc>
        <w:tc>
          <w:tcPr>
            <w:tcW w:w="1142" w:type="dxa"/>
          </w:tcPr>
          <w:p>
            <w:pPr>
              <w:pStyle w:val="TableParagraph"/>
              <w:rPr>
                <w:rFonts w:ascii="Times New Roman"/>
                <w:sz w:val="18"/>
              </w:rPr>
            </w:pPr>
          </w:p>
        </w:tc>
        <w:tc>
          <w:tcPr>
            <w:tcW w:w="1275" w:type="dxa"/>
          </w:tcPr>
          <w:p>
            <w:pPr>
              <w:pStyle w:val="TableParagraph"/>
              <w:rPr>
                <w:rFonts w:ascii="Times New Roman"/>
                <w:sz w:val="18"/>
              </w:rPr>
            </w:pPr>
          </w:p>
        </w:tc>
        <w:tc>
          <w:tcPr>
            <w:tcW w:w="1275" w:type="dxa"/>
            <w:shd w:val="clear" w:color="auto" w:fill="DDEBF6"/>
          </w:tcPr>
          <w:p>
            <w:pPr>
              <w:pStyle w:val="TableParagraph"/>
              <w:rPr>
                <w:rFonts w:ascii="Times New Roman"/>
                <w:sz w:val="18"/>
              </w:rPr>
            </w:pPr>
          </w:p>
        </w:tc>
        <w:tc>
          <w:tcPr>
            <w:tcW w:w="1302" w:type="dxa"/>
          </w:tcPr>
          <w:p>
            <w:pPr>
              <w:pStyle w:val="TableParagraph"/>
              <w:rPr>
                <w:rFonts w:ascii="Times New Roman"/>
                <w:sz w:val="18"/>
              </w:rPr>
            </w:pPr>
          </w:p>
        </w:tc>
        <w:tc>
          <w:tcPr>
            <w:tcW w:w="1470" w:type="dxa"/>
          </w:tcPr>
          <w:p>
            <w:pPr>
              <w:pStyle w:val="TableParagraph"/>
              <w:rPr>
                <w:rFonts w:ascii="Times New Roman"/>
                <w:sz w:val="18"/>
              </w:rPr>
            </w:pPr>
          </w:p>
        </w:tc>
        <w:tc>
          <w:tcPr>
            <w:tcW w:w="1191" w:type="dxa"/>
            <w:tcBorders>
              <w:right w:val="single" w:sz="12" w:space="0" w:color="000000"/>
            </w:tcBorders>
          </w:tcPr>
          <w:p>
            <w:pPr>
              <w:pStyle w:val="TableParagraph"/>
              <w:rPr>
                <w:rFonts w:ascii="Times New Roman"/>
                <w:sz w:val="18"/>
              </w:rPr>
            </w:pPr>
          </w:p>
        </w:tc>
      </w:tr>
      <w:tr>
        <w:trPr>
          <w:trHeight w:val="273" w:hRule="atLeast"/>
        </w:trPr>
        <w:tc>
          <w:tcPr>
            <w:tcW w:w="3241" w:type="dxa"/>
            <w:tcBorders>
              <w:left w:val="single" w:sz="12" w:space="0" w:color="000000"/>
            </w:tcBorders>
          </w:tcPr>
          <w:p>
            <w:pPr>
              <w:pStyle w:val="TableParagraph"/>
              <w:spacing w:before="14"/>
              <w:ind w:left="107"/>
              <w:rPr>
                <w:sz w:val="20"/>
              </w:rPr>
            </w:pPr>
            <w:r>
              <w:rPr>
                <w:sz w:val="20"/>
              </w:rPr>
              <w:t>Trade</w:t>
            </w:r>
            <w:r>
              <w:rPr>
                <w:spacing w:val="-7"/>
                <w:sz w:val="20"/>
              </w:rPr>
              <w:t> </w:t>
            </w:r>
            <w:r>
              <w:rPr>
                <w:sz w:val="20"/>
              </w:rPr>
              <w:t>and</w:t>
            </w:r>
            <w:r>
              <w:rPr>
                <w:spacing w:val="-6"/>
                <w:sz w:val="20"/>
              </w:rPr>
              <w:t> </w:t>
            </w:r>
            <w:r>
              <w:rPr>
                <w:sz w:val="20"/>
              </w:rPr>
              <w:t>other</w:t>
            </w:r>
            <w:r>
              <w:rPr>
                <w:spacing w:val="-3"/>
                <w:sz w:val="20"/>
              </w:rPr>
              <w:t> </w:t>
            </w:r>
            <w:r>
              <w:rPr>
                <w:spacing w:val="-2"/>
                <w:sz w:val="20"/>
              </w:rPr>
              <w:t>payables</w:t>
            </w:r>
          </w:p>
        </w:tc>
        <w:tc>
          <w:tcPr>
            <w:tcW w:w="1142" w:type="dxa"/>
          </w:tcPr>
          <w:p>
            <w:pPr>
              <w:pStyle w:val="TableParagraph"/>
              <w:rPr>
                <w:rFonts w:ascii="Times New Roman"/>
                <w:sz w:val="18"/>
              </w:rPr>
            </w:pPr>
          </w:p>
        </w:tc>
        <w:tc>
          <w:tcPr>
            <w:tcW w:w="1275" w:type="dxa"/>
          </w:tcPr>
          <w:p>
            <w:pPr>
              <w:pStyle w:val="TableParagraph"/>
              <w:spacing w:line="222" w:lineRule="exact" w:before="31"/>
              <w:ind w:right="95"/>
              <w:jc w:val="right"/>
              <w:rPr>
                <w:sz w:val="20"/>
              </w:rPr>
            </w:pPr>
            <w:r>
              <w:rPr>
                <w:spacing w:val="-2"/>
                <w:sz w:val="20"/>
              </w:rPr>
              <w:t>13,772</w:t>
            </w:r>
          </w:p>
        </w:tc>
        <w:tc>
          <w:tcPr>
            <w:tcW w:w="1275" w:type="dxa"/>
            <w:shd w:val="clear" w:color="auto" w:fill="DDEBF6"/>
          </w:tcPr>
          <w:p>
            <w:pPr>
              <w:pStyle w:val="TableParagraph"/>
              <w:spacing w:line="222" w:lineRule="exact" w:before="31"/>
              <w:ind w:right="95"/>
              <w:jc w:val="right"/>
              <w:rPr>
                <w:b/>
                <w:sz w:val="20"/>
              </w:rPr>
            </w:pPr>
            <w:r>
              <w:rPr>
                <w:b/>
                <w:spacing w:val="-2"/>
                <w:sz w:val="20"/>
              </w:rPr>
              <w:t>11,612</w:t>
            </w:r>
          </w:p>
        </w:tc>
        <w:tc>
          <w:tcPr>
            <w:tcW w:w="1302" w:type="dxa"/>
          </w:tcPr>
          <w:p>
            <w:pPr>
              <w:pStyle w:val="TableParagraph"/>
              <w:spacing w:line="222" w:lineRule="exact" w:before="31"/>
              <w:ind w:right="123"/>
              <w:jc w:val="right"/>
              <w:rPr>
                <w:sz w:val="20"/>
              </w:rPr>
            </w:pPr>
            <w:r>
              <w:rPr>
                <w:spacing w:val="-2"/>
                <w:sz w:val="20"/>
              </w:rPr>
              <w:t>14,835</w:t>
            </w:r>
          </w:p>
        </w:tc>
        <w:tc>
          <w:tcPr>
            <w:tcW w:w="1470" w:type="dxa"/>
          </w:tcPr>
          <w:p>
            <w:pPr>
              <w:pStyle w:val="TableParagraph"/>
              <w:spacing w:line="222" w:lineRule="exact" w:before="31"/>
              <w:ind w:right="182"/>
              <w:jc w:val="right"/>
              <w:rPr>
                <w:sz w:val="20"/>
              </w:rPr>
            </w:pPr>
            <w:r>
              <w:rPr>
                <w:spacing w:val="-2"/>
                <w:sz w:val="20"/>
              </w:rPr>
              <w:t>12,332</w:t>
            </w:r>
          </w:p>
        </w:tc>
        <w:tc>
          <w:tcPr>
            <w:tcW w:w="1191" w:type="dxa"/>
            <w:tcBorders>
              <w:right w:val="single" w:sz="12" w:space="0" w:color="000000"/>
            </w:tcBorders>
          </w:tcPr>
          <w:p>
            <w:pPr>
              <w:pStyle w:val="TableParagraph"/>
              <w:spacing w:line="222" w:lineRule="exact" w:before="31"/>
              <w:ind w:right="83"/>
              <w:jc w:val="right"/>
              <w:rPr>
                <w:sz w:val="20"/>
              </w:rPr>
            </w:pPr>
            <w:r>
              <w:rPr>
                <w:spacing w:val="-2"/>
                <w:sz w:val="20"/>
              </w:rPr>
              <w:t>12,633</w:t>
            </w:r>
          </w:p>
        </w:tc>
      </w:tr>
      <w:tr>
        <w:trPr>
          <w:trHeight w:val="266" w:hRule="atLeast"/>
        </w:trPr>
        <w:tc>
          <w:tcPr>
            <w:tcW w:w="3241" w:type="dxa"/>
            <w:tcBorders>
              <w:left w:val="single" w:sz="12" w:space="0" w:color="000000"/>
            </w:tcBorders>
          </w:tcPr>
          <w:p>
            <w:pPr>
              <w:pStyle w:val="TableParagraph"/>
              <w:spacing w:before="5"/>
              <w:ind w:left="107"/>
              <w:rPr>
                <w:sz w:val="20"/>
              </w:rPr>
            </w:pPr>
            <w:r>
              <w:rPr>
                <w:sz w:val="20"/>
              </w:rPr>
              <w:t>Trust</w:t>
            </w:r>
            <w:r>
              <w:rPr>
                <w:spacing w:val="-6"/>
                <w:sz w:val="20"/>
              </w:rPr>
              <w:t> </w:t>
            </w:r>
            <w:r>
              <w:rPr>
                <w:sz w:val="20"/>
              </w:rPr>
              <w:t>funds</w:t>
            </w:r>
            <w:r>
              <w:rPr>
                <w:spacing w:val="-4"/>
                <w:sz w:val="20"/>
              </w:rPr>
              <w:t> </w:t>
            </w:r>
            <w:r>
              <w:rPr>
                <w:sz w:val="20"/>
              </w:rPr>
              <w:t>and</w:t>
            </w:r>
            <w:r>
              <w:rPr>
                <w:spacing w:val="-2"/>
                <w:sz w:val="20"/>
              </w:rPr>
              <w:t> deposits</w:t>
            </w:r>
          </w:p>
        </w:tc>
        <w:tc>
          <w:tcPr>
            <w:tcW w:w="1142" w:type="dxa"/>
          </w:tcPr>
          <w:p>
            <w:pPr>
              <w:pStyle w:val="TableParagraph"/>
              <w:rPr>
                <w:rFonts w:ascii="Times New Roman"/>
                <w:sz w:val="18"/>
              </w:rPr>
            </w:pPr>
          </w:p>
        </w:tc>
        <w:tc>
          <w:tcPr>
            <w:tcW w:w="1275" w:type="dxa"/>
          </w:tcPr>
          <w:p>
            <w:pPr>
              <w:pStyle w:val="TableParagraph"/>
              <w:spacing w:line="222" w:lineRule="exact" w:before="24"/>
              <w:ind w:right="94"/>
              <w:jc w:val="right"/>
              <w:rPr>
                <w:sz w:val="20"/>
              </w:rPr>
            </w:pPr>
            <w:r>
              <w:rPr>
                <w:spacing w:val="-2"/>
                <w:sz w:val="20"/>
              </w:rPr>
              <w:t>5,856</w:t>
            </w:r>
          </w:p>
        </w:tc>
        <w:tc>
          <w:tcPr>
            <w:tcW w:w="1275" w:type="dxa"/>
            <w:shd w:val="clear" w:color="auto" w:fill="DDEBF6"/>
          </w:tcPr>
          <w:p>
            <w:pPr>
              <w:pStyle w:val="TableParagraph"/>
              <w:spacing w:line="222" w:lineRule="exact" w:before="24"/>
              <w:ind w:right="94"/>
              <w:jc w:val="right"/>
              <w:rPr>
                <w:b/>
                <w:sz w:val="20"/>
              </w:rPr>
            </w:pPr>
            <w:r>
              <w:rPr>
                <w:b/>
                <w:spacing w:val="-2"/>
                <w:sz w:val="20"/>
              </w:rPr>
              <w:t>5,856</w:t>
            </w:r>
          </w:p>
        </w:tc>
        <w:tc>
          <w:tcPr>
            <w:tcW w:w="1302" w:type="dxa"/>
          </w:tcPr>
          <w:p>
            <w:pPr>
              <w:pStyle w:val="TableParagraph"/>
              <w:spacing w:line="222" w:lineRule="exact" w:before="24"/>
              <w:ind w:right="122"/>
              <w:jc w:val="right"/>
              <w:rPr>
                <w:sz w:val="20"/>
              </w:rPr>
            </w:pPr>
            <w:r>
              <w:rPr>
                <w:spacing w:val="-2"/>
                <w:sz w:val="20"/>
              </w:rPr>
              <w:t>5,856</w:t>
            </w:r>
          </w:p>
        </w:tc>
        <w:tc>
          <w:tcPr>
            <w:tcW w:w="1470" w:type="dxa"/>
          </w:tcPr>
          <w:p>
            <w:pPr>
              <w:pStyle w:val="TableParagraph"/>
              <w:spacing w:line="222" w:lineRule="exact" w:before="24"/>
              <w:ind w:right="181"/>
              <w:jc w:val="right"/>
              <w:rPr>
                <w:sz w:val="20"/>
              </w:rPr>
            </w:pPr>
            <w:r>
              <w:rPr>
                <w:spacing w:val="-2"/>
                <w:sz w:val="20"/>
              </w:rPr>
              <w:t>5,856</w:t>
            </w:r>
          </w:p>
        </w:tc>
        <w:tc>
          <w:tcPr>
            <w:tcW w:w="1191" w:type="dxa"/>
            <w:tcBorders>
              <w:right w:val="single" w:sz="12" w:space="0" w:color="000000"/>
            </w:tcBorders>
          </w:tcPr>
          <w:p>
            <w:pPr>
              <w:pStyle w:val="TableParagraph"/>
              <w:spacing w:line="222" w:lineRule="exact" w:before="24"/>
              <w:ind w:right="82"/>
              <w:jc w:val="right"/>
              <w:rPr>
                <w:sz w:val="20"/>
              </w:rPr>
            </w:pPr>
            <w:r>
              <w:rPr>
                <w:spacing w:val="-2"/>
                <w:sz w:val="20"/>
              </w:rPr>
              <w:t>5,856</w:t>
            </w:r>
          </w:p>
        </w:tc>
      </w:tr>
      <w:tr>
        <w:trPr>
          <w:trHeight w:val="264" w:hRule="atLeast"/>
        </w:trPr>
        <w:tc>
          <w:tcPr>
            <w:tcW w:w="3241" w:type="dxa"/>
            <w:tcBorders>
              <w:left w:val="single" w:sz="12" w:space="0" w:color="000000"/>
            </w:tcBorders>
          </w:tcPr>
          <w:p>
            <w:pPr>
              <w:pStyle w:val="TableParagraph"/>
              <w:spacing w:before="5"/>
              <w:ind w:left="107"/>
              <w:rPr>
                <w:sz w:val="20"/>
              </w:rPr>
            </w:pPr>
            <w:r>
              <w:rPr>
                <w:spacing w:val="-2"/>
                <w:sz w:val="20"/>
              </w:rPr>
              <w:t>Provisions</w:t>
            </w:r>
          </w:p>
        </w:tc>
        <w:tc>
          <w:tcPr>
            <w:tcW w:w="1142" w:type="dxa"/>
          </w:tcPr>
          <w:p>
            <w:pPr>
              <w:pStyle w:val="TableParagraph"/>
              <w:rPr>
                <w:rFonts w:ascii="Times New Roman"/>
                <w:sz w:val="18"/>
              </w:rPr>
            </w:pPr>
          </w:p>
        </w:tc>
        <w:tc>
          <w:tcPr>
            <w:tcW w:w="1275" w:type="dxa"/>
          </w:tcPr>
          <w:p>
            <w:pPr>
              <w:pStyle w:val="TableParagraph"/>
              <w:spacing w:line="222" w:lineRule="exact" w:before="22"/>
              <w:ind w:right="95"/>
              <w:jc w:val="right"/>
              <w:rPr>
                <w:sz w:val="20"/>
              </w:rPr>
            </w:pPr>
            <w:r>
              <w:rPr>
                <w:spacing w:val="-2"/>
                <w:sz w:val="20"/>
              </w:rPr>
              <w:t>15,435</w:t>
            </w:r>
          </w:p>
        </w:tc>
        <w:tc>
          <w:tcPr>
            <w:tcW w:w="1275" w:type="dxa"/>
            <w:shd w:val="clear" w:color="auto" w:fill="DDEBF6"/>
          </w:tcPr>
          <w:p>
            <w:pPr>
              <w:pStyle w:val="TableParagraph"/>
              <w:spacing w:line="222" w:lineRule="exact" w:before="22"/>
              <w:ind w:right="95"/>
              <w:jc w:val="right"/>
              <w:rPr>
                <w:b/>
                <w:sz w:val="20"/>
              </w:rPr>
            </w:pPr>
            <w:r>
              <w:rPr>
                <w:b/>
                <w:spacing w:val="-2"/>
                <w:sz w:val="20"/>
              </w:rPr>
              <w:t>15,934</w:t>
            </w:r>
          </w:p>
        </w:tc>
        <w:tc>
          <w:tcPr>
            <w:tcW w:w="1302" w:type="dxa"/>
          </w:tcPr>
          <w:p>
            <w:pPr>
              <w:pStyle w:val="TableParagraph"/>
              <w:spacing w:line="222" w:lineRule="exact" w:before="22"/>
              <w:ind w:right="123"/>
              <w:jc w:val="right"/>
              <w:rPr>
                <w:sz w:val="20"/>
              </w:rPr>
            </w:pPr>
            <w:r>
              <w:rPr>
                <w:spacing w:val="-2"/>
                <w:sz w:val="20"/>
              </w:rPr>
              <w:t>16,344</w:t>
            </w:r>
          </w:p>
        </w:tc>
        <w:tc>
          <w:tcPr>
            <w:tcW w:w="1470" w:type="dxa"/>
          </w:tcPr>
          <w:p>
            <w:pPr>
              <w:pStyle w:val="TableParagraph"/>
              <w:spacing w:line="222" w:lineRule="exact" w:before="22"/>
              <w:ind w:right="182"/>
              <w:jc w:val="right"/>
              <w:rPr>
                <w:sz w:val="20"/>
              </w:rPr>
            </w:pPr>
            <w:r>
              <w:rPr>
                <w:spacing w:val="-2"/>
                <w:sz w:val="20"/>
              </w:rPr>
              <w:t>16,767</w:t>
            </w:r>
          </w:p>
        </w:tc>
        <w:tc>
          <w:tcPr>
            <w:tcW w:w="1191" w:type="dxa"/>
            <w:tcBorders>
              <w:right w:val="single" w:sz="12" w:space="0" w:color="000000"/>
            </w:tcBorders>
          </w:tcPr>
          <w:p>
            <w:pPr>
              <w:pStyle w:val="TableParagraph"/>
              <w:spacing w:line="222" w:lineRule="exact" w:before="22"/>
              <w:ind w:right="83"/>
              <w:jc w:val="right"/>
              <w:rPr>
                <w:sz w:val="20"/>
              </w:rPr>
            </w:pPr>
            <w:r>
              <w:rPr>
                <w:spacing w:val="-2"/>
                <w:sz w:val="20"/>
              </w:rPr>
              <w:t>17,198</w:t>
            </w:r>
          </w:p>
        </w:tc>
      </w:tr>
      <w:tr>
        <w:trPr>
          <w:trHeight w:val="264" w:hRule="atLeast"/>
        </w:trPr>
        <w:tc>
          <w:tcPr>
            <w:tcW w:w="3241" w:type="dxa"/>
            <w:tcBorders>
              <w:left w:val="single" w:sz="12" w:space="0" w:color="000000"/>
            </w:tcBorders>
          </w:tcPr>
          <w:p>
            <w:pPr>
              <w:pStyle w:val="TableParagraph"/>
              <w:spacing w:before="5"/>
              <w:ind w:left="107"/>
              <w:rPr>
                <w:sz w:val="20"/>
              </w:rPr>
            </w:pPr>
            <w:r>
              <w:rPr>
                <w:w w:val="95"/>
                <w:sz w:val="20"/>
              </w:rPr>
              <w:t>Interest-bearing</w:t>
            </w:r>
            <w:r>
              <w:rPr>
                <w:spacing w:val="54"/>
                <w:sz w:val="20"/>
              </w:rPr>
              <w:t> </w:t>
            </w:r>
            <w:r>
              <w:rPr>
                <w:spacing w:val="-2"/>
                <w:w w:val="95"/>
                <w:sz w:val="20"/>
              </w:rPr>
              <w:t>liabilities</w:t>
            </w:r>
          </w:p>
        </w:tc>
        <w:tc>
          <w:tcPr>
            <w:tcW w:w="1142" w:type="dxa"/>
          </w:tcPr>
          <w:p>
            <w:pPr>
              <w:pStyle w:val="TableParagraph"/>
              <w:spacing w:line="222" w:lineRule="exact" w:before="22"/>
              <w:ind w:right="259"/>
              <w:jc w:val="right"/>
              <w:rPr>
                <w:sz w:val="20"/>
              </w:rPr>
            </w:pPr>
            <w:r>
              <w:rPr>
                <w:spacing w:val="-2"/>
                <w:sz w:val="20"/>
              </w:rPr>
              <w:t>4.2.3</w:t>
            </w:r>
          </w:p>
        </w:tc>
        <w:tc>
          <w:tcPr>
            <w:tcW w:w="1275" w:type="dxa"/>
          </w:tcPr>
          <w:p>
            <w:pPr>
              <w:pStyle w:val="TableParagraph"/>
              <w:spacing w:line="222" w:lineRule="exact" w:before="22"/>
              <w:ind w:right="94"/>
              <w:jc w:val="right"/>
              <w:rPr>
                <w:sz w:val="20"/>
              </w:rPr>
            </w:pPr>
            <w:r>
              <w:rPr>
                <w:spacing w:val="-2"/>
                <w:sz w:val="20"/>
              </w:rPr>
              <w:t>2,962</w:t>
            </w:r>
          </w:p>
        </w:tc>
        <w:tc>
          <w:tcPr>
            <w:tcW w:w="1275" w:type="dxa"/>
            <w:shd w:val="clear" w:color="auto" w:fill="DDEBF6"/>
          </w:tcPr>
          <w:p>
            <w:pPr>
              <w:pStyle w:val="TableParagraph"/>
              <w:spacing w:line="222" w:lineRule="exact" w:before="22"/>
              <w:ind w:right="94"/>
              <w:jc w:val="right"/>
              <w:rPr>
                <w:b/>
                <w:sz w:val="20"/>
              </w:rPr>
            </w:pPr>
            <w:r>
              <w:rPr>
                <w:b/>
                <w:spacing w:val="-2"/>
                <w:sz w:val="20"/>
              </w:rPr>
              <w:t>3,094</w:t>
            </w:r>
          </w:p>
        </w:tc>
        <w:tc>
          <w:tcPr>
            <w:tcW w:w="1302" w:type="dxa"/>
          </w:tcPr>
          <w:p>
            <w:pPr>
              <w:pStyle w:val="TableParagraph"/>
              <w:spacing w:line="222" w:lineRule="exact" w:before="22"/>
              <w:ind w:right="122"/>
              <w:jc w:val="right"/>
              <w:rPr>
                <w:sz w:val="20"/>
              </w:rPr>
            </w:pPr>
            <w:r>
              <w:rPr>
                <w:spacing w:val="-2"/>
                <w:sz w:val="20"/>
              </w:rPr>
              <w:t>3,731</w:t>
            </w:r>
          </w:p>
        </w:tc>
        <w:tc>
          <w:tcPr>
            <w:tcW w:w="1470" w:type="dxa"/>
          </w:tcPr>
          <w:p>
            <w:pPr>
              <w:pStyle w:val="TableParagraph"/>
              <w:spacing w:line="222" w:lineRule="exact" w:before="22"/>
              <w:ind w:right="181"/>
              <w:jc w:val="right"/>
              <w:rPr>
                <w:sz w:val="20"/>
              </w:rPr>
            </w:pPr>
            <w:r>
              <w:rPr>
                <w:spacing w:val="-2"/>
                <w:sz w:val="20"/>
              </w:rPr>
              <w:t>4,395</w:t>
            </w:r>
          </w:p>
        </w:tc>
        <w:tc>
          <w:tcPr>
            <w:tcW w:w="1191" w:type="dxa"/>
            <w:tcBorders>
              <w:right w:val="single" w:sz="12" w:space="0" w:color="000000"/>
            </w:tcBorders>
          </w:tcPr>
          <w:p>
            <w:pPr>
              <w:pStyle w:val="TableParagraph"/>
              <w:spacing w:line="222" w:lineRule="exact" w:before="22"/>
              <w:ind w:right="82"/>
              <w:jc w:val="right"/>
              <w:rPr>
                <w:sz w:val="20"/>
              </w:rPr>
            </w:pPr>
            <w:r>
              <w:rPr>
                <w:spacing w:val="-2"/>
                <w:sz w:val="20"/>
              </w:rPr>
              <w:t>5,003</w:t>
            </w:r>
          </w:p>
        </w:tc>
      </w:tr>
      <w:tr>
        <w:trPr>
          <w:trHeight w:val="271" w:hRule="atLeast"/>
        </w:trPr>
        <w:tc>
          <w:tcPr>
            <w:tcW w:w="3241" w:type="dxa"/>
            <w:tcBorders>
              <w:left w:val="single" w:sz="12" w:space="0" w:color="000000"/>
            </w:tcBorders>
          </w:tcPr>
          <w:p>
            <w:pPr>
              <w:pStyle w:val="TableParagraph"/>
              <w:spacing w:before="5"/>
              <w:ind w:left="107"/>
              <w:rPr>
                <w:sz w:val="20"/>
              </w:rPr>
            </w:pPr>
            <w:r>
              <w:rPr>
                <w:sz w:val="20"/>
              </w:rPr>
              <w:t>Lease</w:t>
            </w:r>
            <w:r>
              <w:rPr>
                <w:spacing w:val="-6"/>
                <w:sz w:val="20"/>
              </w:rPr>
              <w:t> </w:t>
            </w:r>
            <w:r>
              <w:rPr>
                <w:spacing w:val="-2"/>
                <w:sz w:val="20"/>
              </w:rPr>
              <w:t>liabilities</w:t>
            </w:r>
          </w:p>
        </w:tc>
        <w:tc>
          <w:tcPr>
            <w:tcW w:w="1142" w:type="dxa"/>
          </w:tcPr>
          <w:p>
            <w:pPr>
              <w:pStyle w:val="TableParagraph"/>
              <w:spacing w:line="227" w:lineRule="exact" w:before="24"/>
              <w:ind w:right="259"/>
              <w:jc w:val="right"/>
              <w:rPr>
                <w:sz w:val="20"/>
              </w:rPr>
            </w:pPr>
            <w:r>
              <w:rPr>
                <w:spacing w:val="-2"/>
                <w:sz w:val="20"/>
              </w:rPr>
              <w:t>4.2.4</w:t>
            </w:r>
          </w:p>
        </w:tc>
        <w:tc>
          <w:tcPr>
            <w:tcW w:w="1275" w:type="dxa"/>
            <w:tcBorders>
              <w:bottom w:val="single" w:sz="2" w:space="0" w:color="000000"/>
            </w:tcBorders>
          </w:tcPr>
          <w:p>
            <w:pPr>
              <w:pStyle w:val="TableParagraph"/>
              <w:spacing w:line="227" w:lineRule="exact" w:before="24"/>
              <w:ind w:right="94"/>
              <w:jc w:val="right"/>
              <w:rPr>
                <w:sz w:val="20"/>
              </w:rPr>
            </w:pPr>
            <w:r>
              <w:rPr>
                <w:spacing w:val="-2"/>
                <w:sz w:val="20"/>
              </w:rPr>
              <w:t>1,111</w:t>
            </w:r>
          </w:p>
        </w:tc>
        <w:tc>
          <w:tcPr>
            <w:tcW w:w="1275" w:type="dxa"/>
            <w:tcBorders>
              <w:bottom w:val="single" w:sz="2" w:space="0" w:color="000000"/>
            </w:tcBorders>
            <w:shd w:val="clear" w:color="auto" w:fill="DDEBF6"/>
          </w:tcPr>
          <w:p>
            <w:pPr>
              <w:pStyle w:val="TableParagraph"/>
              <w:spacing w:line="227" w:lineRule="exact" w:before="24"/>
              <w:ind w:right="94"/>
              <w:jc w:val="right"/>
              <w:rPr>
                <w:b/>
                <w:sz w:val="20"/>
              </w:rPr>
            </w:pPr>
            <w:r>
              <w:rPr>
                <w:b/>
                <w:spacing w:val="-2"/>
                <w:sz w:val="20"/>
              </w:rPr>
              <w:t>1,696</w:t>
            </w:r>
          </w:p>
        </w:tc>
        <w:tc>
          <w:tcPr>
            <w:tcW w:w="1302" w:type="dxa"/>
            <w:tcBorders>
              <w:bottom w:val="single" w:sz="2" w:space="0" w:color="000000"/>
            </w:tcBorders>
          </w:tcPr>
          <w:p>
            <w:pPr>
              <w:pStyle w:val="TableParagraph"/>
              <w:spacing w:line="227" w:lineRule="exact" w:before="24"/>
              <w:ind w:right="122"/>
              <w:jc w:val="right"/>
              <w:rPr>
                <w:sz w:val="20"/>
              </w:rPr>
            </w:pPr>
            <w:r>
              <w:rPr>
                <w:spacing w:val="-2"/>
                <w:sz w:val="20"/>
              </w:rPr>
              <w:t>1,750</w:t>
            </w:r>
          </w:p>
        </w:tc>
        <w:tc>
          <w:tcPr>
            <w:tcW w:w="1470" w:type="dxa"/>
            <w:tcBorders>
              <w:bottom w:val="single" w:sz="2" w:space="0" w:color="000000"/>
            </w:tcBorders>
          </w:tcPr>
          <w:p>
            <w:pPr>
              <w:pStyle w:val="TableParagraph"/>
              <w:spacing w:line="227" w:lineRule="exact" w:before="24"/>
              <w:ind w:right="181"/>
              <w:jc w:val="right"/>
              <w:rPr>
                <w:sz w:val="20"/>
              </w:rPr>
            </w:pPr>
            <w:r>
              <w:rPr>
                <w:spacing w:val="-2"/>
                <w:sz w:val="20"/>
              </w:rPr>
              <w:t>1,159</w:t>
            </w:r>
          </w:p>
        </w:tc>
        <w:tc>
          <w:tcPr>
            <w:tcW w:w="1191" w:type="dxa"/>
            <w:tcBorders>
              <w:bottom w:val="single" w:sz="2" w:space="0" w:color="000000"/>
              <w:right w:val="single" w:sz="12" w:space="0" w:color="000000"/>
            </w:tcBorders>
          </w:tcPr>
          <w:p>
            <w:pPr>
              <w:pStyle w:val="TableParagraph"/>
              <w:spacing w:line="227" w:lineRule="exact" w:before="24"/>
              <w:ind w:right="82"/>
              <w:jc w:val="right"/>
              <w:rPr>
                <w:sz w:val="20"/>
              </w:rPr>
            </w:pPr>
            <w:r>
              <w:rPr>
                <w:spacing w:val="-2"/>
                <w:sz w:val="20"/>
              </w:rPr>
              <w:t>1,810</w:t>
            </w:r>
          </w:p>
        </w:tc>
      </w:tr>
      <w:tr>
        <w:trPr>
          <w:trHeight w:val="266" w:hRule="atLeast"/>
        </w:trPr>
        <w:tc>
          <w:tcPr>
            <w:tcW w:w="3241" w:type="dxa"/>
            <w:tcBorders>
              <w:left w:val="single" w:sz="12" w:space="0" w:color="000000"/>
            </w:tcBorders>
          </w:tcPr>
          <w:p>
            <w:pPr>
              <w:pStyle w:val="TableParagraph"/>
              <w:spacing w:line="229" w:lineRule="exact"/>
              <w:ind w:left="107"/>
              <w:rPr>
                <w:b/>
                <w:sz w:val="20"/>
              </w:rPr>
            </w:pPr>
            <w:r>
              <w:rPr>
                <w:b/>
                <w:sz w:val="20"/>
              </w:rPr>
              <w:t>Total</w:t>
            </w:r>
            <w:r>
              <w:rPr>
                <w:b/>
                <w:spacing w:val="-8"/>
                <w:sz w:val="20"/>
              </w:rPr>
              <w:t> </w:t>
            </w:r>
            <w:r>
              <w:rPr>
                <w:b/>
                <w:sz w:val="20"/>
              </w:rPr>
              <w:t>current</w:t>
            </w:r>
            <w:r>
              <w:rPr>
                <w:b/>
                <w:spacing w:val="-8"/>
                <w:sz w:val="20"/>
              </w:rPr>
              <w:t> </w:t>
            </w:r>
            <w:r>
              <w:rPr>
                <w:b/>
                <w:spacing w:val="-2"/>
                <w:sz w:val="20"/>
              </w:rPr>
              <w:t>liabilities</w:t>
            </w:r>
          </w:p>
        </w:tc>
        <w:tc>
          <w:tcPr>
            <w:tcW w:w="1142" w:type="dxa"/>
          </w:tcPr>
          <w:p>
            <w:pPr>
              <w:pStyle w:val="TableParagraph"/>
              <w:spacing w:before="16"/>
              <w:ind w:right="259"/>
              <w:jc w:val="right"/>
              <w:rPr>
                <w:sz w:val="20"/>
              </w:rPr>
            </w:pPr>
            <w:r>
              <w:rPr>
                <w:spacing w:val="-2"/>
                <w:sz w:val="20"/>
              </w:rPr>
              <w:t>4.2.2</w:t>
            </w:r>
          </w:p>
        </w:tc>
        <w:tc>
          <w:tcPr>
            <w:tcW w:w="1275" w:type="dxa"/>
            <w:tcBorders>
              <w:top w:val="single" w:sz="2" w:space="0" w:color="000000"/>
              <w:bottom w:val="single" w:sz="2" w:space="0" w:color="000000"/>
            </w:tcBorders>
          </w:tcPr>
          <w:p>
            <w:pPr>
              <w:pStyle w:val="TableParagraph"/>
              <w:spacing w:before="16"/>
              <w:ind w:right="95"/>
              <w:jc w:val="right"/>
              <w:rPr>
                <w:b/>
                <w:sz w:val="20"/>
              </w:rPr>
            </w:pPr>
            <w:r>
              <w:rPr>
                <w:b/>
                <w:spacing w:val="-2"/>
                <w:sz w:val="20"/>
              </w:rPr>
              <w:t>39,136</w:t>
            </w:r>
          </w:p>
        </w:tc>
        <w:tc>
          <w:tcPr>
            <w:tcW w:w="1275" w:type="dxa"/>
            <w:tcBorders>
              <w:top w:val="single" w:sz="2" w:space="0" w:color="000000"/>
              <w:bottom w:val="single" w:sz="2" w:space="0" w:color="000000"/>
            </w:tcBorders>
            <w:shd w:val="clear" w:color="auto" w:fill="DDEBF6"/>
          </w:tcPr>
          <w:p>
            <w:pPr>
              <w:pStyle w:val="TableParagraph"/>
              <w:spacing w:before="16"/>
              <w:ind w:right="95"/>
              <w:jc w:val="right"/>
              <w:rPr>
                <w:b/>
                <w:sz w:val="20"/>
              </w:rPr>
            </w:pPr>
            <w:r>
              <w:rPr>
                <w:b/>
                <w:spacing w:val="-2"/>
                <w:sz w:val="20"/>
              </w:rPr>
              <w:t>38,192</w:t>
            </w:r>
          </w:p>
        </w:tc>
        <w:tc>
          <w:tcPr>
            <w:tcW w:w="1302" w:type="dxa"/>
            <w:tcBorders>
              <w:top w:val="single" w:sz="2" w:space="0" w:color="000000"/>
              <w:bottom w:val="single" w:sz="2" w:space="0" w:color="000000"/>
            </w:tcBorders>
          </w:tcPr>
          <w:p>
            <w:pPr>
              <w:pStyle w:val="TableParagraph"/>
              <w:spacing w:before="16"/>
              <w:ind w:right="123"/>
              <w:jc w:val="right"/>
              <w:rPr>
                <w:b/>
                <w:sz w:val="20"/>
              </w:rPr>
            </w:pPr>
            <w:r>
              <w:rPr>
                <w:b/>
                <w:spacing w:val="-2"/>
                <w:sz w:val="20"/>
              </w:rPr>
              <w:t>42,516</w:t>
            </w:r>
          </w:p>
        </w:tc>
        <w:tc>
          <w:tcPr>
            <w:tcW w:w="1470" w:type="dxa"/>
            <w:tcBorders>
              <w:top w:val="single" w:sz="2" w:space="0" w:color="000000"/>
              <w:bottom w:val="single" w:sz="2" w:space="0" w:color="000000"/>
            </w:tcBorders>
          </w:tcPr>
          <w:p>
            <w:pPr>
              <w:pStyle w:val="TableParagraph"/>
              <w:spacing w:before="16"/>
              <w:ind w:right="182"/>
              <w:jc w:val="right"/>
              <w:rPr>
                <w:b/>
                <w:sz w:val="20"/>
              </w:rPr>
            </w:pPr>
            <w:r>
              <w:rPr>
                <w:b/>
                <w:spacing w:val="-2"/>
                <w:sz w:val="20"/>
              </w:rPr>
              <w:t>40,509</w:t>
            </w:r>
          </w:p>
        </w:tc>
        <w:tc>
          <w:tcPr>
            <w:tcW w:w="1191" w:type="dxa"/>
            <w:tcBorders>
              <w:top w:val="single" w:sz="2" w:space="0" w:color="000000"/>
              <w:bottom w:val="single" w:sz="2" w:space="0" w:color="000000"/>
              <w:right w:val="single" w:sz="12" w:space="0" w:color="000000"/>
            </w:tcBorders>
          </w:tcPr>
          <w:p>
            <w:pPr>
              <w:pStyle w:val="TableParagraph"/>
              <w:spacing w:before="16"/>
              <w:ind w:right="83"/>
              <w:jc w:val="right"/>
              <w:rPr>
                <w:b/>
                <w:sz w:val="20"/>
              </w:rPr>
            </w:pPr>
            <w:r>
              <w:rPr>
                <w:b/>
                <w:spacing w:val="-2"/>
                <w:sz w:val="20"/>
              </w:rPr>
              <w:t>42,500</w:t>
            </w:r>
          </w:p>
        </w:tc>
      </w:tr>
      <w:tr>
        <w:trPr>
          <w:trHeight w:val="514" w:hRule="atLeast"/>
        </w:trPr>
        <w:tc>
          <w:tcPr>
            <w:tcW w:w="3241" w:type="dxa"/>
            <w:tcBorders>
              <w:left w:val="single" w:sz="12" w:space="0" w:color="000000"/>
            </w:tcBorders>
          </w:tcPr>
          <w:p>
            <w:pPr>
              <w:pStyle w:val="TableParagraph"/>
              <w:spacing w:before="10"/>
              <w:rPr>
                <w:i/>
                <w:sz w:val="22"/>
              </w:rPr>
            </w:pPr>
          </w:p>
          <w:p>
            <w:pPr>
              <w:pStyle w:val="TableParagraph"/>
              <w:ind w:left="107"/>
              <w:rPr>
                <w:b/>
                <w:sz w:val="20"/>
              </w:rPr>
            </w:pPr>
            <w:r>
              <w:rPr>
                <w:b/>
                <w:sz w:val="20"/>
              </w:rPr>
              <w:t>Non-current</w:t>
            </w:r>
            <w:r>
              <w:rPr>
                <w:b/>
                <w:spacing w:val="-14"/>
                <w:sz w:val="20"/>
              </w:rPr>
              <w:t> </w:t>
            </w:r>
            <w:r>
              <w:rPr>
                <w:b/>
                <w:spacing w:val="-2"/>
                <w:sz w:val="20"/>
              </w:rPr>
              <w:t>liabilities</w:t>
            </w:r>
          </w:p>
        </w:tc>
        <w:tc>
          <w:tcPr>
            <w:tcW w:w="1142" w:type="dxa"/>
          </w:tcPr>
          <w:p>
            <w:pPr>
              <w:pStyle w:val="TableParagraph"/>
              <w:rPr>
                <w:rFonts w:ascii="Times New Roman"/>
                <w:sz w:val="18"/>
              </w:rPr>
            </w:pPr>
          </w:p>
        </w:tc>
        <w:tc>
          <w:tcPr>
            <w:tcW w:w="1275" w:type="dxa"/>
            <w:tcBorders>
              <w:top w:val="single" w:sz="2" w:space="0" w:color="000000"/>
            </w:tcBorders>
          </w:tcPr>
          <w:p>
            <w:pPr>
              <w:pStyle w:val="TableParagraph"/>
              <w:rPr>
                <w:rFonts w:ascii="Times New Roman"/>
                <w:sz w:val="18"/>
              </w:rPr>
            </w:pPr>
          </w:p>
        </w:tc>
        <w:tc>
          <w:tcPr>
            <w:tcW w:w="1275" w:type="dxa"/>
            <w:tcBorders>
              <w:top w:val="single" w:sz="2" w:space="0" w:color="000000"/>
            </w:tcBorders>
            <w:shd w:val="clear" w:color="auto" w:fill="DDEBF6"/>
          </w:tcPr>
          <w:p>
            <w:pPr>
              <w:pStyle w:val="TableParagraph"/>
              <w:rPr>
                <w:rFonts w:ascii="Times New Roman"/>
                <w:sz w:val="18"/>
              </w:rPr>
            </w:pPr>
          </w:p>
        </w:tc>
        <w:tc>
          <w:tcPr>
            <w:tcW w:w="1302" w:type="dxa"/>
            <w:tcBorders>
              <w:top w:val="single" w:sz="2" w:space="0" w:color="000000"/>
            </w:tcBorders>
          </w:tcPr>
          <w:p>
            <w:pPr>
              <w:pStyle w:val="TableParagraph"/>
              <w:rPr>
                <w:rFonts w:ascii="Times New Roman"/>
                <w:sz w:val="18"/>
              </w:rPr>
            </w:pPr>
          </w:p>
        </w:tc>
        <w:tc>
          <w:tcPr>
            <w:tcW w:w="1470" w:type="dxa"/>
            <w:tcBorders>
              <w:top w:val="single" w:sz="2" w:space="0" w:color="000000"/>
            </w:tcBorders>
          </w:tcPr>
          <w:p>
            <w:pPr>
              <w:pStyle w:val="TableParagraph"/>
              <w:rPr>
                <w:rFonts w:ascii="Times New Roman"/>
                <w:sz w:val="18"/>
              </w:rPr>
            </w:pPr>
          </w:p>
        </w:tc>
        <w:tc>
          <w:tcPr>
            <w:tcW w:w="1191" w:type="dxa"/>
            <w:tcBorders>
              <w:top w:val="single" w:sz="2" w:space="0" w:color="000000"/>
              <w:right w:val="single" w:sz="12" w:space="0" w:color="000000"/>
            </w:tcBorders>
          </w:tcPr>
          <w:p>
            <w:pPr>
              <w:pStyle w:val="TableParagraph"/>
              <w:rPr>
                <w:rFonts w:ascii="Times New Roman"/>
                <w:sz w:val="18"/>
              </w:rPr>
            </w:pPr>
          </w:p>
        </w:tc>
      </w:tr>
      <w:tr>
        <w:trPr>
          <w:trHeight w:val="274" w:hRule="atLeast"/>
        </w:trPr>
        <w:tc>
          <w:tcPr>
            <w:tcW w:w="3241" w:type="dxa"/>
            <w:tcBorders>
              <w:left w:val="single" w:sz="12" w:space="0" w:color="000000"/>
            </w:tcBorders>
          </w:tcPr>
          <w:p>
            <w:pPr>
              <w:pStyle w:val="TableParagraph"/>
              <w:spacing w:before="13"/>
              <w:ind w:left="107"/>
              <w:rPr>
                <w:sz w:val="20"/>
              </w:rPr>
            </w:pPr>
            <w:r>
              <w:rPr>
                <w:sz w:val="20"/>
              </w:rPr>
              <w:t>Trust</w:t>
            </w:r>
            <w:r>
              <w:rPr>
                <w:spacing w:val="-6"/>
                <w:sz w:val="20"/>
              </w:rPr>
              <w:t> </w:t>
            </w:r>
            <w:r>
              <w:rPr>
                <w:sz w:val="20"/>
              </w:rPr>
              <w:t>funds</w:t>
            </w:r>
            <w:r>
              <w:rPr>
                <w:spacing w:val="-4"/>
                <w:sz w:val="20"/>
              </w:rPr>
              <w:t> </w:t>
            </w:r>
            <w:r>
              <w:rPr>
                <w:sz w:val="20"/>
              </w:rPr>
              <w:t>and</w:t>
            </w:r>
            <w:r>
              <w:rPr>
                <w:spacing w:val="-2"/>
                <w:sz w:val="20"/>
              </w:rPr>
              <w:t> deposits</w:t>
            </w:r>
          </w:p>
        </w:tc>
        <w:tc>
          <w:tcPr>
            <w:tcW w:w="1142" w:type="dxa"/>
          </w:tcPr>
          <w:p>
            <w:pPr>
              <w:pStyle w:val="TableParagraph"/>
              <w:rPr>
                <w:rFonts w:ascii="Times New Roman"/>
                <w:sz w:val="18"/>
              </w:rPr>
            </w:pPr>
          </w:p>
        </w:tc>
        <w:tc>
          <w:tcPr>
            <w:tcW w:w="1275" w:type="dxa"/>
          </w:tcPr>
          <w:p>
            <w:pPr>
              <w:pStyle w:val="TableParagraph"/>
              <w:spacing w:line="222" w:lineRule="exact" w:before="32"/>
              <w:ind w:right="92"/>
              <w:jc w:val="right"/>
              <w:rPr>
                <w:sz w:val="20"/>
              </w:rPr>
            </w:pPr>
            <w:r>
              <w:rPr>
                <w:w w:val="99"/>
                <w:sz w:val="20"/>
              </w:rPr>
              <w:t>6</w:t>
            </w:r>
          </w:p>
        </w:tc>
        <w:tc>
          <w:tcPr>
            <w:tcW w:w="1275" w:type="dxa"/>
            <w:shd w:val="clear" w:color="auto" w:fill="DDEBF6"/>
          </w:tcPr>
          <w:p>
            <w:pPr>
              <w:pStyle w:val="TableParagraph"/>
              <w:spacing w:line="222" w:lineRule="exact" w:before="32"/>
              <w:ind w:right="93"/>
              <w:jc w:val="right"/>
              <w:rPr>
                <w:b/>
                <w:sz w:val="20"/>
              </w:rPr>
            </w:pPr>
            <w:r>
              <w:rPr>
                <w:b/>
                <w:w w:val="99"/>
                <w:sz w:val="20"/>
              </w:rPr>
              <w:t>6</w:t>
            </w:r>
          </w:p>
        </w:tc>
        <w:tc>
          <w:tcPr>
            <w:tcW w:w="1302" w:type="dxa"/>
          </w:tcPr>
          <w:p>
            <w:pPr>
              <w:pStyle w:val="TableParagraph"/>
              <w:spacing w:line="222" w:lineRule="exact" w:before="32"/>
              <w:ind w:right="120"/>
              <w:jc w:val="right"/>
              <w:rPr>
                <w:sz w:val="20"/>
              </w:rPr>
            </w:pPr>
            <w:r>
              <w:rPr>
                <w:w w:val="99"/>
                <w:sz w:val="20"/>
              </w:rPr>
              <w:t>6</w:t>
            </w:r>
          </w:p>
        </w:tc>
        <w:tc>
          <w:tcPr>
            <w:tcW w:w="1470" w:type="dxa"/>
          </w:tcPr>
          <w:p>
            <w:pPr>
              <w:pStyle w:val="TableParagraph"/>
              <w:spacing w:line="222" w:lineRule="exact" w:before="32"/>
              <w:ind w:right="179"/>
              <w:jc w:val="right"/>
              <w:rPr>
                <w:sz w:val="20"/>
              </w:rPr>
            </w:pPr>
            <w:r>
              <w:rPr>
                <w:w w:val="99"/>
                <w:sz w:val="20"/>
              </w:rPr>
              <w:t>6</w:t>
            </w:r>
          </w:p>
        </w:tc>
        <w:tc>
          <w:tcPr>
            <w:tcW w:w="1191" w:type="dxa"/>
            <w:tcBorders>
              <w:right w:val="single" w:sz="12" w:space="0" w:color="000000"/>
            </w:tcBorders>
          </w:tcPr>
          <w:p>
            <w:pPr>
              <w:pStyle w:val="TableParagraph"/>
              <w:spacing w:line="222" w:lineRule="exact" w:before="32"/>
              <w:ind w:right="81"/>
              <w:jc w:val="right"/>
              <w:rPr>
                <w:sz w:val="20"/>
              </w:rPr>
            </w:pPr>
            <w:r>
              <w:rPr>
                <w:w w:val="99"/>
                <w:sz w:val="20"/>
              </w:rPr>
              <w:t>6</w:t>
            </w:r>
          </w:p>
        </w:tc>
      </w:tr>
      <w:tr>
        <w:trPr>
          <w:trHeight w:val="264" w:hRule="atLeast"/>
        </w:trPr>
        <w:tc>
          <w:tcPr>
            <w:tcW w:w="3241" w:type="dxa"/>
            <w:tcBorders>
              <w:left w:val="single" w:sz="12" w:space="0" w:color="000000"/>
            </w:tcBorders>
          </w:tcPr>
          <w:p>
            <w:pPr>
              <w:pStyle w:val="TableParagraph"/>
              <w:spacing w:before="5"/>
              <w:ind w:left="107"/>
              <w:rPr>
                <w:sz w:val="20"/>
              </w:rPr>
            </w:pPr>
            <w:r>
              <w:rPr>
                <w:spacing w:val="-2"/>
                <w:sz w:val="20"/>
              </w:rPr>
              <w:t>Provisions</w:t>
            </w:r>
          </w:p>
        </w:tc>
        <w:tc>
          <w:tcPr>
            <w:tcW w:w="1142" w:type="dxa"/>
          </w:tcPr>
          <w:p>
            <w:pPr>
              <w:pStyle w:val="TableParagraph"/>
              <w:rPr>
                <w:rFonts w:ascii="Times New Roman"/>
                <w:sz w:val="18"/>
              </w:rPr>
            </w:pPr>
          </w:p>
        </w:tc>
        <w:tc>
          <w:tcPr>
            <w:tcW w:w="1275" w:type="dxa"/>
          </w:tcPr>
          <w:p>
            <w:pPr>
              <w:pStyle w:val="TableParagraph"/>
              <w:spacing w:line="222" w:lineRule="exact" w:before="22"/>
              <w:ind w:right="94"/>
              <w:jc w:val="right"/>
              <w:rPr>
                <w:sz w:val="20"/>
              </w:rPr>
            </w:pPr>
            <w:r>
              <w:rPr>
                <w:spacing w:val="-2"/>
                <w:sz w:val="20"/>
              </w:rPr>
              <w:t>1,398</w:t>
            </w:r>
          </w:p>
        </w:tc>
        <w:tc>
          <w:tcPr>
            <w:tcW w:w="1275" w:type="dxa"/>
            <w:shd w:val="clear" w:color="auto" w:fill="DDEBF6"/>
          </w:tcPr>
          <w:p>
            <w:pPr>
              <w:pStyle w:val="TableParagraph"/>
              <w:spacing w:line="222" w:lineRule="exact" w:before="22"/>
              <w:ind w:right="94"/>
              <w:jc w:val="right"/>
              <w:rPr>
                <w:b/>
                <w:sz w:val="20"/>
              </w:rPr>
            </w:pPr>
            <w:r>
              <w:rPr>
                <w:b/>
                <w:spacing w:val="-2"/>
                <w:sz w:val="20"/>
              </w:rPr>
              <w:t>1,467</w:t>
            </w:r>
          </w:p>
        </w:tc>
        <w:tc>
          <w:tcPr>
            <w:tcW w:w="1302" w:type="dxa"/>
          </w:tcPr>
          <w:p>
            <w:pPr>
              <w:pStyle w:val="TableParagraph"/>
              <w:spacing w:line="222" w:lineRule="exact" w:before="22"/>
              <w:ind w:right="122"/>
              <w:jc w:val="right"/>
              <w:rPr>
                <w:sz w:val="20"/>
              </w:rPr>
            </w:pPr>
            <w:r>
              <w:rPr>
                <w:spacing w:val="-2"/>
                <w:sz w:val="20"/>
              </w:rPr>
              <w:t>1,541</w:t>
            </w:r>
          </w:p>
        </w:tc>
        <w:tc>
          <w:tcPr>
            <w:tcW w:w="1470" w:type="dxa"/>
          </w:tcPr>
          <w:p>
            <w:pPr>
              <w:pStyle w:val="TableParagraph"/>
              <w:spacing w:line="222" w:lineRule="exact" w:before="22"/>
              <w:ind w:right="181"/>
              <w:jc w:val="right"/>
              <w:rPr>
                <w:sz w:val="20"/>
              </w:rPr>
            </w:pPr>
            <w:r>
              <w:rPr>
                <w:spacing w:val="-2"/>
                <w:sz w:val="20"/>
              </w:rPr>
              <w:t>1,618</w:t>
            </w:r>
          </w:p>
        </w:tc>
        <w:tc>
          <w:tcPr>
            <w:tcW w:w="1191" w:type="dxa"/>
            <w:tcBorders>
              <w:right w:val="single" w:sz="12" w:space="0" w:color="000000"/>
            </w:tcBorders>
          </w:tcPr>
          <w:p>
            <w:pPr>
              <w:pStyle w:val="TableParagraph"/>
              <w:spacing w:line="222" w:lineRule="exact" w:before="22"/>
              <w:ind w:right="82"/>
              <w:jc w:val="right"/>
              <w:rPr>
                <w:sz w:val="20"/>
              </w:rPr>
            </w:pPr>
            <w:r>
              <w:rPr>
                <w:spacing w:val="-2"/>
                <w:sz w:val="20"/>
              </w:rPr>
              <w:t>1,699</w:t>
            </w:r>
          </w:p>
        </w:tc>
      </w:tr>
      <w:tr>
        <w:trPr>
          <w:trHeight w:val="265" w:hRule="atLeast"/>
        </w:trPr>
        <w:tc>
          <w:tcPr>
            <w:tcW w:w="3241" w:type="dxa"/>
            <w:tcBorders>
              <w:left w:val="single" w:sz="12" w:space="0" w:color="000000"/>
            </w:tcBorders>
          </w:tcPr>
          <w:p>
            <w:pPr>
              <w:pStyle w:val="TableParagraph"/>
              <w:spacing w:before="5"/>
              <w:ind w:left="107"/>
              <w:rPr>
                <w:sz w:val="20"/>
              </w:rPr>
            </w:pPr>
            <w:r>
              <w:rPr>
                <w:w w:val="95"/>
                <w:sz w:val="20"/>
              </w:rPr>
              <w:t>Interest-bearing</w:t>
            </w:r>
            <w:r>
              <w:rPr>
                <w:spacing w:val="54"/>
                <w:sz w:val="20"/>
              </w:rPr>
              <w:t> </w:t>
            </w:r>
            <w:r>
              <w:rPr>
                <w:spacing w:val="-2"/>
                <w:w w:val="95"/>
                <w:sz w:val="20"/>
              </w:rPr>
              <w:t>liabilities</w:t>
            </w:r>
          </w:p>
        </w:tc>
        <w:tc>
          <w:tcPr>
            <w:tcW w:w="1142" w:type="dxa"/>
          </w:tcPr>
          <w:p>
            <w:pPr>
              <w:pStyle w:val="TableParagraph"/>
              <w:spacing w:before="5"/>
              <w:ind w:right="259"/>
              <w:jc w:val="right"/>
              <w:rPr>
                <w:sz w:val="20"/>
              </w:rPr>
            </w:pPr>
            <w:r>
              <w:rPr>
                <w:spacing w:val="-2"/>
                <w:sz w:val="20"/>
              </w:rPr>
              <w:t>4.2.3</w:t>
            </w:r>
          </w:p>
        </w:tc>
        <w:tc>
          <w:tcPr>
            <w:tcW w:w="1275" w:type="dxa"/>
          </w:tcPr>
          <w:p>
            <w:pPr>
              <w:pStyle w:val="TableParagraph"/>
              <w:spacing w:line="223" w:lineRule="exact" w:before="22"/>
              <w:ind w:right="95"/>
              <w:jc w:val="right"/>
              <w:rPr>
                <w:sz w:val="20"/>
              </w:rPr>
            </w:pPr>
            <w:r>
              <w:rPr>
                <w:spacing w:val="-2"/>
                <w:sz w:val="20"/>
              </w:rPr>
              <w:t>12,801</w:t>
            </w:r>
          </w:p>
        </w:tc>
        <w:tc>
          <w:tcPr>
            <w:tcW w:w="1275" w:type="dxa"/>
            <w:shd w:val="clear" w:color="auto" w:fill="DDEBF6"/>
          </w:tcPr>
          <w:p>
            <w:pPr>
              <w:pStyle w:val="TableParagraph"/>
              <w:spacing w:line="223" w:lineRule="exact" w:before="22"/>
              <w:ind w:right="95"/>
              <w:jc w:val="right"/>
              <w:rPr>
                <w:b/>
                <w:sz w:val="20"/>
              </w:rPr>
            </w:pPr>
            <w:r>
              <w:rPr>
                <w:b/>
                <w:spacing w:val="-2"/>
                <w:sz w:val="20"/>
              </w:rPr>
              <w:t>19,575</w:t>
            </w:r>
          </w:p>
        </w:tc>
        <w:tc>
          <w:tcPr>
            <w:tcW w:w="1302" w:type="dxa"/>
          </w:tcPr>
          <w:p>
            <w:pPr>
              <w:pStyle w:val="TableParagraph"/>
              <w:spacing w:line="223" w:lineRule="exact" w:before="22"/>
              <w:ind w:right="123"/>
              <w:jc w:val="right"/>
              <w:rPr>
                <w:sz w:val="20"/>
              </w:rPr>
            </w:pPr>
            <w:r>
              <w:rPr>
                <w:spacing w:val="-2"/>
                <w:sz w:val="20"/>
              </w:rPr>
              <w:t>25,206</w:t>
            </w:r>
          </w:p>
        </w:tc>
        <w:tc>
          <w:tcPr>
            <w:tcW w:w="1470" w:type="dxa"/>
          </w:tcPr>
          <w:p>
            <w:pPr>
              <w:pStyle w:val="TableParagraph"/>
              <w:spacing w:line="223" w:lineRule="exact" w:before="22"/>
              <w:ind w:right="182"/>
              <w:jc w:val="right"/>
              <w:rPr>
                <w:sz w:val="20"/>
              </w:rPr>
            </w:pPr>
            <w:r>
              <w:rPr>
                <w:spacing w:val="-2"/>
                <w:sz w:val="20"/>
              </w:rPr>
              <w:t>25,148</w:t>
            </w:r>
          </w:p>
        </w:tc>
        <w:tc>
          <w:tcPr>
            <w:tcW w:w="1191" w:type="dxa"/>
            <w:tcBorders>
              <w:right w:val="single" w:sz="12" w:space="0" w:color="000000"/>
            </w:tcBorders>
          </w:tcPr>
          <w:p>
            <w:pPr>
              <w:pStyle w:val="TableParagraph"/>
              <w:spacing w:line="223" w:lineRule="exact" w:before="22"/>
              <w:ind w:right="83"/>
              <w:jc w:val="right"/>
              <w:rPr>
                <w:sz w:val="20"/>
              </w:rPr>
            </w:pPr>
            <w:r>
              <w:rPr>
                <w:spacing w:val="-2"/>
                <w:sz w:val="20"/>
              </w:rPr>
              <w:t>19,537</w:t>
            </w:r>
          </w:p>
        </w:tc>
      </w:tr>
      <w:tr>
        <w:trPr>
          <w:trHeight w:val="265" w:hRule="atLeast"/>
        </w:trPr>
        <w:tc>
          <w:tcPr>
            <w:tcW w:w="3241" w:type="dxa"/>
            <w:tcBorders>
              <w:left w:val="single" w:sz="12" w:space="0" w:color="000000"/>
            </w:tcBorders>
          </w:tcPr>
          <w:p>
            <w:pPr>
              <w:pStyle w:val="TableParagraph"/>
              <w:spacing w:before="6"/>
              <w:ind w:left="107"/>
              <w:rPr>
                <w:sz w:val="20"/>
              </w:rPr>
            </w:pPr>
            <w:r>
              <w:rPr>
                <w:sz w:val="20"/>
              </w:rPr>
              <w:t>Lease</w:t>
            </w:r>
            <w:r>
              <w:rPr>
                <w:spacing w:val="-6"/>
                <w:sz w:val="20"/>
              </w:rPr>
              <w:t> </w:t>
            </w:r>
            <w:r>
              <w:rPr>
                <w:spacing w:val="-2"/>
                <w:sz w:val="20"/>
              </w:rPr>
              <w:t>liabilities</w:t>
            </w:r>
          </w:p>
        </w:tc>
        <w:tc>
          <w:tcPr>
            <w:tcW w:w="1142" w:type="dxa"/>
          </w:tcPr>
          <w:p>
            <w:pPr>
              <w:pStyle w:val="TableParagraph"/>
              <w:spacing w:before="6"/>
              <w:ind w:right="259"/>
              <w:jc w:val="right"/>
              <w:rPr>
                <w:sz w:val="20"/>
              </w:rPr>
            </w:pPr>
            <w:r>
              <w:rPr>
                <w:spacing w:val="-2"/>
                <w:sz w:val="20"/>
              </w:rPr>
              <w:t>4.2.4</w:t>
            </w:r>
          </w:p>
        </w:tc>
        <w:tc>
          <w:tcPr>
            <w:tcW w:w="1275" w:type="dxa"/>
          </w:tcPr>
          <w:p>
            <w:pPr>
              <w:pStyle w:val="TableParagraph"/>
              <w:spacing w:line="222" w:lineRule="exact" w:before="23"/>
              <w:ind w:right="94"/>
              <w:jc w:val="right"/>
              <w:rPr>
                <w:sz w:val="20"/>
              </w:rPr>
            </w:pPr>
            <w:r>
              <w:rPr>
                <w:spacing w:val="-2"/>
                <w:sz w:val="20"/>
              </w:rPr>
              <w:t>5,339</w:t>
            </w:r>
          </w:p>
        </w:tc>
        <w:tc>
          <w:tcPr>
            <w:tcW w:w="1275" w:type="dxa"/>
            <w:shd w:val="clear" w:color="auto" w:fill="DDEBF6"/>
          </w:tcPr>
          <w:p>
            <w:pPr>
              <w:pStyle w:val="TableParagraph"/>
              <w:spacing w:line="222" w:lineRule="exact" w:before="23"/>
              <w:ind w:right="94"/>
              <w:jc w:val="right"/>
              <w:rPr>
                <w:b/>
                <w:sz w:val="20"/>
              </w:rPr>
            </w:pPr>
            <w:r>
              <w:rPr>
                <w:b/>
                <w:spacing w:val="-2"/>
                <w:sz w:val="20"/>
              </w:rPr>
              <w:t>6,585</w:t>
            </w:r>
          </w:p>
        </w:tc>
        <w:tc>
          <w:tcPr>
            <w:tcW w:w="1302" w:type="dxa"/>
          </w:tcPr>
          <w:p>
            <w:pPr>
              <w:pStyle w:val="TableParagraph"/>
              <w:spacing w:line="222" w:lineRule="exact" w:before="23"/>
              <w:ind w:right="122"/>
              <w:jc w:val="right"/>
              <w:rPr>
                <w:sz w:val="20"/>
              </w:rPr>
            </w:pPr>
            <w:r>
              <w:rPr>
                <w:spacing w:val="-2"/>
                <w:sz w:val="20"/>
              </w:rPr>
              <w:t>4,918</w:t>
            </w:r>
          </w:p>
        </w:tc>
        <w:tc>
          <w:tcPr>
            <w:tcW w:w="1470" w:type="dxa"/>
          </w:tcPr>
          <w:p>
            <w:pPr>
              <w:pStyle w:val="TableParagraph"/>
              <w:spacing w:line="222" w:lineRule="exact" w:before="23"/>
              <w:ind w:right="181"/>
              <w:jc w:val="right"/>
              <w:rPr>
                <w:sz w:val="20"/>
              </w:rPr>
            </w:pPr>
            <w:r>
              <w:rPr>
                <w:spacing w:val="-2"/>
                <w:sz w:val="20"/>
              </w:rPr>
              <w:t>4,081</w:t>
            </w:r>
          </w:p>
        </w:tc>
        <w:tc>
          <w:tcPr>
            <w:tcW w:w="1191" w:type="dxa"/>
            <w:tcBorders>
              <w:right w:val="single" w:sz="12" w:space="0" w:color="000000"/>
            </w:tcBorders>
          </w:tcPr>
          <w:p>
            <w:pPr>
              <w:pStyle w:val="TableParagraph"/>
              <w:spacing w:line="222" w:lineRule="exact" w:before="23"/>
              <w:ind w:right="82"/>
              <w:jc w:val="right"/>
              <w:rPr>
                <w:sz w:val="20"/>
              </w:rPr>
            </w:pPr>
            <w:r>
              <w:rPr>
                <w:spacing w:val="-2"/>
                <w:sz w:val="20"/>
              </w:rPr>
              <w:t>4,514</w:t>
            </w:r>
          </w:p>
        </w:tc>
      </w:tr>
      <w:tr>
        <w:trPr>
          <w:trHeight w:val="271" w:hRule="atLeast"/>
        </w:trPr>
        <w:tc>
          <w:tcPr>
            <w:tcW w:w="3241" w:type="dxa"/>
            <w:tcBorders>
              <w:left w:val="single" w:sz="12" w:space="0" w:color="000000"/>
            </w:tcBorders>
          </w:tcPr>
          <w:p>
            <w:pPr>
              <w:pStyle w:val="TableParagraph"/>
              <w:spacing w:before="5"/>
              <w:ind w:left="107"/>
              <w:rPr>
                <w:b/>
                <w:sz w:val="20"/>
              </w:rPr>
            </w:pPr>
            <w:r>
              <w:rPr>
                <w:b/>
                <w:sz w:val="20"/>
              </w:rPr>
              <w:t>Total</w:t>
            </w:r>
            <w:r>
              <w:rPr>
                <w:b/>
                <w:spacing w:val="-10"/>
                <w:sz w:val="20"/>
              </w:rPr>
              <w:t> </w:t>
            </w:r>
            <w:r>
              <w:rPr>
                <w:b/>
                <w:sz w:val="20"/>
              </w:rPr>
              <w:t>non-current</w:t>
            </w:r>
            <w:r>
              <w:rPr>
                <w:b/>
                <w:spacing w:val="-10"/>
                <w:sz w:val="20"/>
              </w:rPr>
              <w:t> </w:t>
            </w:r>
            <w:r>
              <w:rPr>
                <w:b/>
                <w:spacing w:val="-2"/>
                <w:sz w:val="20"/>
              </w:rPr>
              <w:t>liabilities</w:t>
            </w:r>
          </w:p>
        </w:tc>
        <w:tc>
          <w:tcPr>
            <w:tcW w:w="1142" w:type="dxa"/>
          </w:tcPr>
          <w:p>
            <w:pPr>
              <w:pStyle w:val="TableParagraph"/>
              <w:spacing w:before="5"/>
              <w:ind w:right="259"/>
              <w:jc w:val="right"/>
              <w:rPr>
                <w:sz w:val="20"/>
              </w:rPr>
            </w:pPr>
            <w:r>
              <w:rPr>
                <w:spacing w:val="-2"/>
                <w:sz w:val="20"/>
              </w:rPr>
              <w:t>4.2.2</w:t>
            </w:r>
          </w:p>
        </w:tc>
        <w:tc>
          <w:tcPr>
            <w:tcW w:w="1275" w:type="dxa"/>
            <w:tcBorders>
              <w:bottom w:val="single" w:sz="2" w:space="0" w:color="000000"/>
            </w:tcBorders>
          </w:tcPr>
          <w:p>
            <w:pPr>
              <w:pStyle w:val="TableParagraph"/>
              <w:spacing w:before="22"/>
              <w:ind w:right="95"/>
              <w:jc w:val="right"/>
              <w:rPr>
                <w:sz w:val="20"/>
              </w:rPr>
            </w:pPr>
            <w:r>
              <w:rPr>
                <w:spacing w:val="-2"/>
                <w:sz w:val="20"/>
              </w:rPr>
              <w:t>19,544</w:t>
            </w:r>
          </w:p>
        </w:tc>
        <w:tc>
          <w:tcPr>
            <w:tcW w:w="1275" w:type="dxa"/>
            <w:tcBorders>
              <w:bottom w:val="single" w:sz="2" w:space="0" w:color="000000"/>
            </w:tcBorders>
            <w:shd w:val="clear" w:color="auto" w:fill="DDEBF6"/>
          </w:tcPr>
          <w:p>
            <w:pPr>
              <w:pStyle w:val="TableParagraph"/>
              <w:spacing w:before="22"/>
              <w:ind w:right="95"/>
              <w:jc w:val="right"/>
              <w:rPr>
                <w:b/>
                <w:sz w:val="20"/>
              </w:rPr>
            </w:pPr>
            <w:r>
              <w:rPr>
                <w:b/>
                <w:spacing w:val="-2"/>
                <w:sz w:val="20"/>
              </w:rPr>
              <w:t>27,633</w:t>
            </w:r>
          </w:p>
        </w:tc>
        <w:tc>
          <w:tcPr>
            <w:tcW w:w="1302" w:type="dxa"/>
            <w:tcBorders>
              <w:bottom w:val="single" w:sz="2" w:space="0" w:color="000000"/>
            </w:tcBorders>
          </w:tcPr>
          <w:p>
            <w:pPr>
              <w:pStyle w:val="TableParagraph"/>
              <w:spacing w:before="22"/>
              <w:ind w:right="123"/>
              <w:jc w:val="right"/>
              <w:rPr>
                <w:sz w:val="20"/>
              </w:rPr>
            </w:pPr>
            <w:r>
              <w:rPr>
                <w:spacing w:val="-2"/>
                <w:sz w:val="20"/>
              </w:rPr>
              <w:t>31,671</w:t>
            </w:r>
          </w:p>
        </w:tc>
        <w:tc>
          <w:tcPr>
            <w:tcW w:w="1470" w:type="dxa"/>
            <w:tcBorders>
              <w:bottom w:val="single" w:sz="2" w:space="0" w:color="000000"/>
            </w:tcBorders>
          </w:tcPr>
          <w:p>
            <w:pPr>
              <w:pStyle w:val="TableParagraph"/>
              <w:spacing w:before="22"/>
              <w:ind w:right="182"/>
              <w:jc w:val="right"/>
              <w:rPr>
                <w:sz w:val="20"/>
              </w:rPr>
            </w:pPr>
            <w:r>
              <w:rPr>
                <w:spacing w:val="-2"/>
                <w:sz w:val="20"/>
              </w:rPr>
              <w:t>30,853</w:t>
            </w:r>
          </w:p>
        </w:tc>
        <w:tc>
          <w:tcPr>
            <w:tcW w:w="1191" w:type="dxa"/>
            <w:tcBorders>
              <w:bottom w:val="single" w:sz="2" w:space="0" w:color="000000"/>
              <w:right w:val="single" w:sz="12" w:space="0" w:color="000000"/>
            </w:tcBorders>
          </w:tcPr>
          <w:p>
            <w:pPr>
              <w:pStyle w:val="TableParagraph"/>
              <w:spacing w:before="22"/>
              <w:ind w:right="83"/>
              <w:jc w:val="right"/>
              <w:rPr>
                <w:sz w:val="20"/>
              </w:rPr>
            </w:pPr>
            <w:r>
              <w:rPr>
                <w:spacing w:val="-2"/>
                <w:sz w:val="20"/>
              </w:rPr>
              <w:t>25,756</w:t>
            </w:r>
          </w:p>
        </w:tc>
      </w:tr>
      <w:tr>
        <w:trPr>
          <w:trHeight w:val="263" w:hRule="atLeast"/>
        </w:trPr>
        <w:tc>
          <w:tcPr>
            <w:tcW w:w="3241" w:type="dxa"/>
            <w:tcBorders>
              <w:left w:val="single" w:sz="12" w:space="0" w:color="000000"/>
            </w:tcBorders>
          </w:tcPr>
          <w:p>
            <w:pPr>
              <w:pStyle w:val="TableParagraph"/>
              <w:spacing w:line="227" w:lineRule="exact"/>
              <w:ind w:left="107"/>
              <w:rPr>
                <w:b/>
                <w:sz w:val="20"/>
              </w:rPr>
            </w:pPr>
            <w:r>
              <w:rPr>
                <w:b/>
                <w:sz w:val="20"/>
              </w:rPr>
              <w:t>Total</w:t>
            </w:r>
            <w:r>
              <w:rPr>
                <w:b/>
                <w:spacing w:val="-6"/>
                <w:sz w:val="20"/>
              </w:rPr>
              <w:t> </w:t>
            </w:r>
            <w:r>
              <w:rPr>
                <w:b/>
                <w:spacing w:val="-2"/>
                <w:sz w:val="20"/>
              </w:rPr>
              <w:t>liabilities</w:t>
            </w:r>
          </w:p>
        </w:tc>
        <w:tc>
          <w:tcPr>
            <w:tcW w:w="1142" w:type="dxa"/>
          </w:tcPr>
          <w:p>
            <w:pPr>
              <w:pStyle w:val="TableParagraph"/>
              <w:rPr>
                <w:rFonts w:ascii="Times New Roman"/>
                <w:sz w:val="18"/>
              </w:rPr>
            </w:pPr>
          </w:p>
        </w:tc>
        <w:tc>
          <w:tcPr>
            <w:tcW w:w="1275" w:type="dxa"/>
            <w:tcBorders>
              <w:top w:val="single" w:sz="2" w:space="0" w:color="000000"/>
              <w:bottom w:val="single" w:sz="2" w:space="0" w:color="000000"/>
            </w:tcBorders>
          </w:tcPr>
          <w:p>
            <w:pPr>
              <w:pStyle w:val="TableParagraph"/>
              <w:spacing w:line="227" w:lineRule="exact" w:before="16"/>
              <w:ind w:right="95"/>
              <w:jc w:val="right"/>
              <w:rPr>
                <w:b/>
                <w:sz w:val="20"/>
              </w:rPr>
            </w:pPr>
            <w:r>
              <w:rPr>
                <w:b/>
                <w:spacing w:val="-2"/>
                <w:sz w:val="20"/>
              </w:rPr>
              <w:t>58,680</w:t>
            </w:r>
          </w:p>
        </w:tc>
        <w:tc>
          <w:tcPr>
            <w:tcW w:w="1275" w:type="dxa"/>
            <w:tcBorders>
              <w:top w:val="single" w:sz="2" w:space="0" w:color="000000"/>
              <w:bottom w:val="single" w:sz="2" w:space="0" w:color="000000"/>
            </w:tcBorders>
            <w:shd w:val="clear" w:color="auto" w:fill="DDEBF6"/>
          </w:tcPr>
          <w:p>
            <w:pPr>
              <w:pStyle w:val="TableParagraph"/>
              <w:spacing w:line="227" w:lineRule="exact" w:before="16"/>
              <w:ind w:right="95"/>
              <w:jc w:val="right"/>
              <w:rPr>
                <w:b/>
                <w:sz w:val="20"/>
              </w:rPr>
            </w:pPr>
            <w:r>
              <w:rPr>
                <w:b/>
                <w:spacing w:val="-2"/>
                <w:sz w:val="20"/>
              </w:rPr>
              <w:t>65,825</w:t>
            </w:r>
          </w:p>
        </w:tc>
        <w:tc>
          <w:tcPr>
            <w:tcW w:w="1302" w:type="dxa"/>
            <w:tcBorders>
              <w:top w:val="single" w:sz="2" w:space="0" w:color="000000"/>
              <w:bottom w:val="single" w:sz="2" w:space="0" w:color="000000"/>
            </w:tcBorders>
          </w:tcPr>
          <w:p>
            <w:pPr>
              <w:pStyle w:val="TableParagraph"/>
              <w:spacing w:line="227" w:lineRule="exact" w:before="16"/>
              <w:ind w:right="123"/>
              <w:jc w:val="right"/>
              <w:rPr>
                <w:b/>
                <w:sz w:val="20"/>
              </w:rPr>
            </w:pPr>
            <w:r>
              <w:rPr>
                <w:b/>
                <w:spacing w:val="-2"/>
                <w:sz w:val="20"/>
              </w:rPr>
              <w:t>74,187</w:t>
            </w:r>
          </w:p>
        </w:tc>
        <w:tc>
          <w:tcPr>
            <w:tcW w:w="1470" w:type="dxa"/>
            <w:tcBorders>
              <w:top w:val="single" w:sz="2" w:space="0" w:color="000000"/>
              <w:bottom w:val="single" w:sz="2" w:space="0" w:color="000000"/>
            </w:tcBorders>
          </w:tcPr>
          <w:p>
            <w:pPr>
              <w:pStyle w:val="TableParagraph"/>
              <w:spacing w:line="227" w:lineRule="exact" w:before="16"/>
              <w:ind w:right="182"/>
              <w:jc w:val="right"/>
              <w:rPr>
                <w:b/>
                <w:sz w:val="20"/>
              </w:rPr>
            </w:pPr>
            <w:r>
              <w:rPr>
                <w:b/>
                <w:spacing w:val="-2"/>
                <w:sz w:val="20"/>
              </w:rPr>
              <w:t>71,362</w:t>
            </w:r>
          </w:p>
        </w:tc>
        <w:tc>
          <w:tcPr>
            <w:tcW w:w="1191" w:type="dxa"/>
            <w:tcBorders>
              <w:top w:val="single" w:sz="2" w:space="0" w:color="000000"/>
              <w:bottom w:val="single" w:sz="2" w:space="0" w:color="000000"/>
              <w:right w:val="single" w:sz="12" w:space="0" w:color="000000"/>
            </w:tcBorders>
          </w:tcPr>
          <w:p>
            <w:pPr>
              <w:pStyle w:val="TableParagraph"/>
              <w:spacing w:line="227" w:lineRule="exact" w:before="16"/>
              <w:ind w:right="83"/>
              <w:jc w:val="right"/>
              <w:rPr>
                <w:b/>
                <w:sz w:val="20"/>
              </w:rPr>
            </w:pPr>
            <w:r>
              <w:rPr>
                <w:b/>
                <w:spacing w:val="-2"/>
                <w:sz w:val="20"/>
              </w:rPr>
              <w:t>68,256</w:t>
            </w:r>
          </w:p>
        </w:tc>
      </w:tr>
      <w:tr>
        <w:trPr>
          <w:trHeight w:val="278" w:hRule="atLeast"/>
        </w:trPr>
        <w:tc>
          <w:tcPr>
            <w:tcW w:w="3241" w:type="dxa"/>
            <w:tcBorders>
              <w:left w:val="single" w:sz="12" w:space="0" w:color="000000"/>
            </w:tcBorders>
          </w:tcPr>
          <w:p>
            <w:pPr>
              <w:pStyle w:val="TableParagraph"/>
              <w:spacing w:line="229" w:lineRule="exact"/>
              <w:ind w:left="107"/>
              <w:rPr>
                <w:b/>
                <w:sz w:val="20"/>
              </w:rPr>
            </w:pPr>
            <w:r>
              <w:rPr>
                <w:b/>
                <w:sz w:val="20"/>
              </w:rPr>
              <w:t>Net</w:t>
            </w:r>
            <w:r>
              <w:rPr>
                <w:b/>
                <w:spacing w:val="-5"/>
                <w:sz w:val="20"/>
              </w:rPr>
              <w:t> </w:t>
            </w:r>
            <w:r>
              <w:rPr>
                <w:b/>
                <w:spacing w:val="-2"/>
                <w:sz w:val="20"/>
              </w:rPr>
              <w:t>assets</w:t>
            </w:r>
          </w:p>
        </w:tc>
        <w:tc>
          <w:tcPr>
            <w:tcW w:w="1142" w:type="dxa"/>
          </w:tcPr>
          <w:p>
            <w:pPr>
              <w:pStyle w:val="TableParagraph"/>
              <w:rPr>
                <w:rFonts w:ascii="Times New Roman"/>
                <w:sz w:val="18"/>
              </w:rPr>
            </w:pPr>
          </w:p>
        </w:tc>
        <w:tc>
          <w:tcPr>
            <w:tcW w:w="1275" w:type="dxa"/>
            <w:tcBorders>
              <w:top w:val="single" w:sz="2" w:space="0" w:color="000000"/>
              <w:bottom w:val="single" w:sz="2" w:space="0" w:color="000000"/>
            </w:tcBorders>
          </w:tcPr>
          <w:p>
            <w:pPr>
              <w:pStyle w:val="TableParagraph"/>
              <w:spacing w:before="23"/>
              <w:ind w:right="93"/>
              <w:jc w:val="right"/>
              <w:rPr>
                <w:b/>
                <w:sz w:val="20"/>
              </w:rPr>
            </w:pPr>
            <w:r>
              <w:rPr>
                <w:b/>
                <w:spacing w:val="-2"/>
                <w:sz w:val="20"/>
              </w:rPr>
              <w:t>2,249,188</w:t>
            </w:r>
          </w:p>
        </w:tc>
        <w:tc>
          <w:tcPr>
            <w:tcW w:w="1275" w:type="dxa"/>
            <w:tcBorders>
              <w:top w:val="single" w:sz="2" w:space="0" w:color="000000"/>
              <w:bottom w:val="single" w:sz="2" w:space="0" w:color="000000"/>
            </w:tcBorders>
            <w:shd w:val="clear" w:color="auto" w:fill="DDEBF6"/>
          </w:tcPr>
          <w:p>
            <w:pPr>
              <w:pStyle w:val="TableParagraph"/>
              <w:spacing w:before="23"/>
              <w:ind w:right="94"/>
              <w:jc w:val="right"/>
              <w:rPr>
                <w:b/>
                <w:sz w:val="20"/>
              </w:rPr>
            </w:pPr>
            <w:r>
              <w:rPr>
                <w:b/>
                <w:spacing w:val="-2"/>
                <w:sz w:val="20"/>
              </w:rPr>
              <w:t>2,266,798</w:t>
            </w:r>
          </w:p>
        </w:tc>
        <w:tc>
          <w:tcPr>
            <w:tcW w:w="1302" w:type="dxa"/>
            <w:tcBorders>
              <w:top w:val="single" w:sz="2" w:space="0" w:color="000000"/>
              <w:bottom w:val="single" w:sz="2" w:space="0" w:color="000000"/>
            </w:tcBorders>
          </w:tcPr>
          <w:p>
            <w:pPr>
              <w:pStyle w:val="TableParagraph"/>
              <w:spacing w:before="23"/>
              <w:ind w:right="122"/>
              <w:jc w:val="right"/>
              <w:rPr>
                <w:b/>
                <w:sz w:val="20"/>
              </w:rPr>
            </w:pPr>
            <w:r>
              <w:rPr>
                <w:b/>
                <w:spacing w:val="-2"/>
                <w:sz w:val="20"/>
              </w:rPr>
              <w:t>2,293,659</w:t>
            </w:r>
          </w:p>
        </w:tc>
        <w:tc>
          <w:tcPr>
            <w:tcW w:w="1470" w:type="dxa"/>
            <w:tcBorders>
              <w:top w:val="single" w:sz="2" w:space="0" w:color="000000"/>
              <w:bottom w:val="single" w:sz="2" w:space="0" w:color="000000"/>
            </w:tcBorders>
          </w:tcPr>
          <w:p>
            <w:pPr>
              <w:pStyle w:val="TableParagraph"/>
              <w:spacing w:before="23"/>
              <w:ind w:right="180"/>
              <w:jc w:val="right"/>
              <w:rPr>
                <w:b/>
                <w:sz w:val="20"/>
              </w:rPr>
            </w:pPr>
            <w:r>
              <w:rPr>
                <w:b/>
                <w:spacing w:val="-2"/>
                <w:sz w:val="20"/>
              </w:rPr>
              <w:t>2,313,652</w:t>
            </w:r>
          </w:p>
        </w:tc>
        <w:tc>
          <w:tcPr>
            <w:tcW w:w="1191" w:type="dxa"/>
            <w:tcBorders>
              <w:top w:val="single" w:sz="2" w:space="0" w:color="000000"/>
              <w:bottom w:val="single" w:sz="2" w:space="0" w:color="000000"/>
              <w:right w:val="single" w:sz="12" w:space="0" w:color="000000"/>
            </w:tcBorders>
          </w:tcPr>
          <w:p>
            <w:pPr>
              <w:pStyle w:val="TableParagraph"/>
              <w:spacing w:before="23"/>
              <w:ind w:right="82"/>
              <w:jc w:val="right"/>
              <w:rPr>
                <w:b/>
                <w:sz w:val="20"/>
              </w:rPr>
            </w:pPr>
            <w:r>
              <w:rPr>
                <w:b/>
                <w:spacing w:val="-2"/>
                <w:sz w:val="20"/>
              </w:rPr>
              <w:t>2,333,638</w:t>
            </w:r>
          </w:p>
        </w:tc>
      </w:tr>
      <w:tr>
        <w:trPr>
          <w:trHeight w:val="257" w:hRule="atLeast"/>
        </w:trPr>
        <w:tc>
          <w:tcPr>
            <w:tcW w:w="3241" w:type="dxa"/>
            <w:tcBorders>
              <w:left w:val="single" w:sz="12" w:space="0" w:color="000000"/>
            </w:tcBorders>
          </w:tcPr>
          <w:p>
            <w:pPr>
              <w:pStyle w:val="TableParagraph"/>
              <w:spacing w:line="229" w:lineRule="exact"/>
              <w:ind w:left="107"/>
              <w:rPr>
                <w:b/>
                <w:sz w:val="20"/>
              </w:rPr>
            </w:pPr>
            <w:r>
              <w:rPr>
                <w:b/>
                <w:spacing w:val="-2"/>
                <w:sz w:val="20"/>
              </w:rPr>
              <w:t>Equity</w:t>
            </w:r>
          </w:p>
        </w:tc>
        <w:tc>
          <w:tcPr>
            <w:tcW w:w="1142" w:type="dxa"/>
          </w:tcPr>
          <w:p>
            <w:pPr>
              <w:pStyle w:val="TableParagraph"/>
              <w:rPr>
                <w:rFonts w:ascii="Times New Roman"/>
                <w:sz w:val="18"/>
              </w:rPr>
            </w:pPr>
          </w:p>
        </w:tc>
        <w:tc>
          <w:tcPr>
            <w:tcW w:w="1275" w:type="dxa"/>
            <w:tcBorders>
              <w:top w:val="single" w:sz="2" w:space="0" w:color="000000"/>
            </w:tcBorders>
          </w:tcPr>
          <w:p>
            <w:pPr>
              <w:pStyle w:val="TableParagraph"/>
              <w:rPr>
                <w:rFonts w:ascii="Times New Roman"/>
                <w:sz w:val="18"/>
              </w:rPr>
            </w:pPr>
          </w:p>
        </w:tc>
        <w:tc>
          <w:tcPr>
            <w:tcW w:w="1275" w:type="dxa"/>
            <w:tcBorders>
              <w:top w:val="single" w:sz="2" w:space="0" w:color="000000"/>
            </w:tcBorders>
            <w:shd w:val="clear" w:color="auto" w:fill="DDEBF6"/>
          </w:tcPr>
          <w:p>
            <w:pPr>
              <w:pStyle w:val="TableParagraph"/>
              <w:rPr>
                <w:rFonts w:ascii="Times New Roman"/>
                <w:sz w:val="18"/>
              </w:rPr>
            </w:pPr>
          </w:p>
        </w:tc>
        <w:tc>
          <w:tcPr>
            <w:tcW w:w="1302" w:type="dxa"/>
            <w:tcBorders>
              <w:top w:val="single" w:sz="2" w:space="0" w:color="000000"/>
            </w:tcBorders>
          </w:tcPr>
          <w:p>
            <w:pPr>
              <w:pStyle w:val="TableParagraph"/>
              <w:rPr>
                <w:rFonts w:ascii="Times New Roman"/>
                <w:sz w:val="18"/>
              </w:rPr>
            </w:pPr>
          </w:p>
        </w:tc>
        <w:tc>
          <w:tcPr>
            <w:tcW w:w="1470" w:type="dxa"/>
            <w:tcBorders>
              <w:top w:val="single" w:sz="2" w:space="0" w:color="000000"/>
            </w:tcBorders>
          </w:tcPr>
          <w:p>
            <w:pPr>
              <w:pStyle w:val="TableParagraph"/>
              <w:rPr>
                <w:rFonts w:ascii="Times New Roman"/>
                <w:sz w:val="18"/>
              </w:rPr>
            </w:pPr>
          </w:p>
        </w:tc>
        <w:tc>
          <w:tcPr>
            <w:tcW w:w="1191" w:type="dxa"/>
            <w:tcBorders>
              <w:top w:val="single" w:sz="2" w:space="0" w:color="000000"/>
              <w:right w:val="single" w:sz="12" w:space="0" w:color="000000"/>
            </w:tcBorders>
          </w:tcPr>
          <w:p>
            <w:pPr>
              <w:pStyle w:val="TableParagraph"/>
              <w:rPr>
                <w:rFonts w:ascii="Times New Roman"/>
                <w:sz w:val="18"/>
              </w:rPr>
            </w:pPr>
          </w:p>
        </w:tc>
      </w:tr>
      <w:tr>
        <w:trPr>
          <w:trHeight w:val="279" w:hRule="atLeast"/>
        </w:trPr>
        <w:tc>
          <w:tcPr>
            <w:tcW w:w="3241" w:type="dxa"/>
            <w:tcBorders>
              <w:left w:val="single" w:sz="12" w:space="0" w:color="000000"/>
            </w:tcBorders>
          </w:tcPr>
          <w:p>
            <w:pPr>
              <w:pStyle w:val="TableParagraph"/>
              <w:spacing w:before="20"/>
              <w:ind w:left="107"/>
              <w:rPr>
                <w:sz w:val="20"/>
              </w:rPr>
            </w:pPr>
            <w:r>
              <w:rPr>
                <w:sz w:val="20"/>
              </w:rPr>
              <w:t>Accumulated</w:t>
            </w:r>
            <w:r>
              <w:rPr>
                <w:spacing w:val="-13"/>
                <w:sz w:val="20"/>
              </w:rPr>
              <w:t> </w:t>
            </w:r>
            <w:r>
              <w:rPr>
                <w:spacing w:val="-2"/>
                <w:sz w:val="20"/>
              </w:rPr>
              <w:t>surplus</w:t>
            </w:r>
          </w:p>
        </w:tc>
        <w:tc>
          <w:tcPr>
            <w:tcW w:w="1142" w:type="dxa"/>
          </w:tcPr>
          <w:p>
            <w:pPr>
              <w:pStyle w:val="TableParagraph"/>
              <w:rPr>
                <w:rFonts w:ascii="Times New Roman"/>
                <w:sz w:val="18"/>
              </w:rPr>
            </w:pPr>
          </w:p>
        </w:tc>
        <w:tc>
          <w:tcPr>
            <w:tcW w:w="1275" w:type="dxa"/>
          </w:tcPr>
          <w:p>
            <w:pPr>
              <w:pStyle w:val="TableParagraph"/>
              <w:spacing w:line="222" w:lineRule="exact" w:before="37"/>
              <w:ind w:right="95"/>
              <w:jc w:val="right"/>
              <w:rPr>
                <w:sz w:val="20"/>
              </w:rPr>
            </w:pPr>
            <w:r>
              <w:rPr>
                <w:spacing w:val="-2"/>
                <w:sz w:val="20"/>
              </w:rPr>
              <w:t>919,428</w:t>
            </w:r>
          </w:p>
        </w:tc>
        <w:tc>
          <w:tcPr>
            <w:tcW w:w="1275" w:type="dxa"/>
            <w:shd w:val="clear" w:color="auto" w:fill="DDEBF6"/>
          </w:tcPr>
          <w:p>
            <w:pPr>
              <w:pStyle w:val="TableParagraph"/>
              <w:spacing w:line="222" w:lineRule="exact" w:before="37"/>
              <w:ind w:right="95"/>
              <w:jc w:val="right"/>
              <w:rPr>
                <w:b/>
                <w:sz w:val="20"/>
              </w:rPr>
            </w:pPr>
            <w:r>
              <w:rPr>
                <w:b/>
                <w:spacing w:val="-2"/>
                <w:sz w:val="20"/>
              </w:rPr>
              <w:t>939,538</w:t>
            </w:r>
          </w:p>
        </w:tc>
        <w:tc>
          <w:tcPr>
            <w:tcW w:w="1302" w:type="dxa"/>
          </w:tcPr>
          <w:p>
            <w:pPr>
              <w:pStyle w:val="TableParagraph"/>
              <w:spacing w:line="222" w:lineRule="exact" w:before="37"/>
              <w:ind w:right="123"/>
              <w:jc w:val="right"/>
              <w:rPr>
                <w:sz w:val="20"/>
              </w:rPr>
            </w:pPr>
            <w:r>
              <w:rPr>
                <w:spacing w:val="-2"/>
                <w:sz w:val="20"/>
              </w:rPr>
              <w:t>975,399</w:t>
            </w:r>
          </w:p>
        </w:tc>
        <w:tc>
          <w:tcPr>
            <w:tcW w:w="1470" w:type="dxa"/>
          </w:tcPr>
          <w:p>
            <w:pPr>
              <w:pStyle w:val="TableParagraph"/>
              <w:spacing w:line="222" w:lineRule="exact" w:before="37"/>
              <w:ind w:right="182"/>
              <w:jc w:val="right"/>
              <w:rPr>
                <w:sz w:val="20"/>
              </w:rPr>
            </w:pPr>
            <w:r>
              <w:rPr>
                <w:spacing w:val="-2"/>
                <w:sz w:val="20"/>
              </w:rPr>
              <w:t>996,392</w:t>
            </w:r>
          </w:p>
        </w:tc>
        <w:tc>
          <w:tcPr>
            <w:tcW w:w="1191" w:type="dxa"/>
            <w:tcBorders>
              <w:right w:val="single" w:sz="12" w:space="0" w:color="000000"/>
            </w:tcBorders>
          </w:tcPr>
          <w:p>
            <w:pPr>
              <w:pStyle w:val="TableParagraph"/>
              <w:spacing w:line="222" w:lineRule="exact" w:before="37"/>
              <w:ind w:right="82"/>
              <w:jc w:val="right"/>
              <w:rPr>
                <w:sz w:val="20"/>
              </w:rPr>
            </w:pPr>
            <w:r>
              <w:rPr>
                <w:spacing w:val="-2"/>
                <w:sz w:val="20"/>
              </w:rPr>
              <w:t>1,018,378</w:t>
            </w:r>
          </w:p>
        </w:tc>
      </w:tr>
      <w:tr>
        <w:trPr>
          <w:trHeight w:val="271" w:hRule="atLeast"/>
        </w:trPr>
        <w:tc>
          <w:tcPr>
            <w:tcW w:w="3241" w:type="dxa"/>
            <w:tcBorders>
              <w:left w:val="single" w:sz="12" w:space="0" w:color="000000"/>
            </w:tcBorders>
          </w:tcPr>
          <w:p>
            <w:pPr>
              <w:pStyle w:val="TableParagraph"/>
              <w:spacing w:before="5"/>
              <w:ind w:left="107"/>
              <w:rPr>
                <w:sz w:val="20"/>
              </w:rPr>
            </w:pPr>
            <w:r>
              <w:rPr>
                <w:spacing w:val="-2"/>
                <w:sz w:val="20"/>
              </w:rPr>
              <w:t>Reserves</w:t>
            </w:r>
          </w:p>
        </w:tc>
        <w:tc>
          <w:tcPr>
            <w:tcW w:w="1142" w:type="dxa"/>
          </w:tcPr>
          <w:p>
            <w:pPr>
              <w:pStyle w:val="TableParagraph"/>
              <w:rPr>
                <w:rFonts w:ascii="Times New Roman"/>
                <w:sz w:val="18"/>
              </w:rPr>
            </w:pPr>
          </w:p>
        </w:tc>
        <w:tc>
          <w:tcPr>
            <w:tcW w:w="1275" w:type="dxa"/>
            <w:tcBorders>
              <w:bottom w:val="single" w:sz="2" w:space="0" w:color="000000"/>
            </w:tcBorders>
          </w:tcPr>
          <w:p>
            <w:pPr>
              <w:pStyle w:val="TableParagraph"/>
              <w:spacing w:before="22"/>
              <w:ind w:right="93"/>
              <w:jc w:val="right"/>
              <w:rPr>
                <w:sz w:val="20"/>
              </w:rPr>
            </w:pPr>
            <w:r>
              <w:rPr>
                <w:spacing w:val="-2"/>
                <w:sz w:val="20"/>
              </w:rPr>
              <w:t>1,329,760</w:t>
            </w:r>
          </w:p>
        </w:tc>
        <w:tc>
          <w:tcPr>
            <w:tcW w:w="1275" w:type="dxa"/>
            <w:tcBorders>
              <w:bottom w:val="single" w:sz="2" w:space="0" w:color="000000"/>
            </w:tcBorders>
            <w:shd w:val="clear" w:color="auto" w:fill="DDEBF6"/>
          </w:tcPr>
          <w:p>
            <w:pPr>
              <w:pStyle w:val="TableParagraph"/>
              <w:spacing w:before="22"/>
              <w:ind w:right="94"/>
              <w:jc w:val="right"/>
              <w:rPr>
                <w:b/>
                <w:sz w:val="20"/>
              </w:rPr>
            </w:pPr>
            <w:r>
              <w:rPr>
                <w:b/>
                <w:spacing w:val="-2"/>
                <w:sz w:val="20"/>
              </w:rPr>
              <w:t>1,327,260</w:t>
            </w:r>
          </w:p>
        </w:tc>
        <w:tc>
          <w:tcPr>
            <w:tcW w:w="1302" w:type="dxa"/>
            <w:tcBorders>
              <w:bottom w:val="single" w:sz="2" w:space="0" w:color="000000"/>
            </w:tcBorders>
          </w:tcPr>
          <w:p>
            <w:pPr>
              <w:pStyle w:val="TableParagraph"/>
              <w:spacing w:before="22"/>
              <w:ind w:right="122"/>
              <w:jc w:val="right"/>
              <w:rPr>
                <w:sz w:val="20"/>
              </w:rPr>
            </w:pPr>
            <w:r>
              <w:rPr>
                <w:spacing w:val="-2"/>
                <w:sz w:val="20"/>
              </w:rPr>
              <w:t>1,318,260</w:t>
            </w:r>
          </w:p>
        </w:tc>
        <w:tc>
          <w:tcPr>
            <w:tcW w:w="1470" w:type="dxa"/>
            <w:tcBorders>
              <w:bottom w:val="single" w:sz="2" w:space="0" w:color="000000"/>
            </w:tcBorders>
          </w:tcPr>
          <w:p>
            <w:pPr>
              <w:pStyle w:val="TableParagraph"/>
              <w:spacing w:before="22"/>
              <w:ind w:right="180"/>
              <w:jc w:val="right"/>
              <w:rPr>
                <w:sz w:val="20"/>
              </w:rPr>
            </w:pPr>
            <w:r>
              <w:rPr>
                <w:spacing w:val="-2"/>
                <w:sz w:val="20"/>
              </w:rPr>
              <w:t>1,317,260</w:t>
            </w:r>
          </w:p>
        </w:tc>
        <w:tc>
          <w:tcPr>
            <w:tcW w:w="1191" w:type="dxa"/>
            <w:tcBorders>
              <w:bottom w:val="single" w:sz="2" w:space="0" w:color="000000"/>
              <w:right w:val="single" w:sz="12" w:space="0" w:color="000000"/>
            </w:tcBorders>
          </w:tcPr>
          <w:p>
            <w:pPr>
              <w:pStyle w:val="TableParagraph"/>
              <w:spacing w:before="22"/>
              <w:ind w:right="82"/>
              <w:jc w:val="right"/>
              <w:rPr>
                <w:sz w:val="20"/>
              </w:rPr>
            </w:pPr>
            <w:r>
              <w:rPr>
                <w:spacing w:val="-2"/>
                <w:sz w:val="20"/>
              </w:rPr>
              <w:t>1,315,260</w:t>
            </w:r>
          </w:p>
        </w:tc>
      </w:tr>
      <w:tr>
        <w:trPr>
          <w:trHeight w:val="265" w:hRule="atLeast"/>
        </w:trPr>
        <w:tc>
          <w:tcPr>
            <w:tcW w:w="3241" w:type="dxa"/>
            <w:tcBorders>
              <w:left w:val="single" w:sz="12" w:space="0" w:color="000000"/>
              <w:bottom w:val="single" w:sz="12" w:space="0" w:color="000000"/>
            </w:tcBorders>
          </w:tcPr>
          <w:p>
            <w:pPr>
              <w:pStyle w:val="TableParagraph"/>
              <w:spacing w:line="229" w:lineRule="exact"/>
              <w:ind w:left="107"/>
              <w:rPr>
                <w:b/>
                <w:sz w:val="20"/>
              </w:rPr>
            </w:pPr>
            <w:r>
              <w:rPr>
                <w:b/>
                <w:sz w:val="20"/>
              </w:rPr>
              <w:t>Total</w:t>
            </w:r>
            <w:r>
              <w:rPr>
                <w:b/>
                <w:spacing w:val="-6"/>
                <w:sz w:val="20"/>
              </w:rPr>
              <w:t> </w:t>
            </w:r>
            <w:r>
              <w:rPr>
                <w:b/>
                <w:spacing w:val="-2"/>
                <w:sz w:val="20"/>
              </w:rPr>
              <w:t>equity</w:t>
            </w:r>
          </w:p>
        </w:tc>
        <w:tc>
          <w:tcPr>
            <w:tcW w:w="1142" w:type="dxa"/>
            <w:tcBorders>
              <w:bottom w:val="single" w:sz="12" w:space="0" w:color="000000"/>
            </w:tcBorders>
          </w:tcPr>
          <w:p>
            <w:pPr>
              <w:pStyle w:val="TableParagraph"/>
              <w:rPr>
                <w:rFonts w:ascii="Times New Roman"/>
                <w:sz w:val="18"/>
              </w:rPr>
            </w:pPr>
          </w:p>
        </w:tc>
        <w:tc>
          <w:tcPr>
            <w:tcW w:w="1275" w:type="dxa"/>
            <w:tcBorders>
              <w:top w:val="single" w:sz="2" w:space="0" w:color="000000"/>
              <w:bottom w:val="single" w:sz="12" w:space="0" w:color="000000"/>
            </w:tcBorders>
          </w:tcPr>
          <w:p>
            <w:pPr>
              <w:pStyle w:val="TableParagraph"/>
              <w:spacing w:line="229" w:lineRule="exact" w:before="16"/>
              <w:ind w:right="93"/>
              <w:jc w:val="right"/>
              <w:rPr>
                <w:b/>
                <w:sz w:val="20"/>
              </w:rPr>
            </w:pPr>
            <w:r>
              <w:rPr>
                <w:b/>
                <w:spacing w:val="-2"/>
                <w:sz w:val="20"/>
              </w:rPr>
              <w:t>2,249,188</w:t>
            </w:r>
          </w:p>
        </w:tc>
        <w:tc>
          <w:tcPr>
            <w:tcW w:w="1275" w:type="dxa"/>
            <w:tcBorders>
              <w:top w:val="single" w:sz="2" w:space="0" w:color="000000"/>
              <w:bottom w:val="single" w:sz="12" w:space="0" w:color="000000"/>
            </w:tcBorders>
            <w:shd w:val="clear" w:color="auto" w:fill="DDEBF6"/>
          </w:tcPr>
          <w:p>
            <w:pPr>
              <w:pStyle w:val="TableParagraph"/>
              <w:spacing w:line="229" w:lineRule="exact" w:before="16"/>
              <w:ind w:right="94"/>
              <w:jc w:val="right"/>
              <w:rPr>
                <w:b/>
                <w:sz w:val="20"/>
              </w:rPr>
            </w:pPr>
            <w:r>
              <w:rPr>
                <w:b/>
                <w:spacing w:val="-2"/>
                <w:sz w:val="20"/>
              </w:rPr>
              <w:t>2,266,798</w:t>
            </w:r>
          </w:p>
        </w:tc>
        <w:tc>
          <w:tcPr>
            <w:tcW w:w="1302" w:type="dxa"/>
            <w:tcBorders>
              <w:top w:val="single" w:sz="2" w:space="0" w:color="000000"/>
              <w:bottom w:val="single" w:sz="12" w:space="0" w:color="000000"/>
            </w:tcBorders>
          </w:tcPr>
          <w:p>
            <w:pPr>
              <w:pStyle w:val="TableParagraph"/>
              <w:spacing w:line="229" w:lineRule="exact" w:before="16"/>
              <w:ind w:right="122"/>
              <w:jc w:val="right"/>
              <w:rPr>
                <w:b/>
                <w:sz w:val="20"/>
              </w:rPr>
            </w:pPr>
            <w:r>
              <w:rPr>
                <w:b/>
                <w:spacing w:val="-2"/>
                <w:sz w:val="20"/>
              </w:rPr>
              <w:t>2,293,659</w:t>
            </w:r>
          </w:p>
        </w:tc>
        <w:tc>
          <w:tcPr>
            <w:tcW w:w="1470" w:type="dxa"/>
            <w:tcBorders>
              <w:top w:val="single" w:sz="2" w:space="0" w:color="000000"/>
              <w:bottom w:val="single" w:sz="12" w:space="0" w:color="000000"/>
            </w:tcBorders>
          </w:tcPr>
          <w:p>
            <w:pPr>
              <w:pStyle w:val="TableParagraph"/>
              <w:spacing w:line="229" w:lineRule="exact" w:before="16"/>
              <w:ind w:right="180"/>
              <w:jc w:val="right"/>
              <w:rPr>
                <w:b/>
                <w:sz w:val="20"/>
              </w:rPr>
            </w:pPr>
            <w:r>
              <w:rPr>
                <w:b/>
                <w:spacing w:val="-2"/>
                <w:sz w:val="20"/>
              </w:rPr>
              <w:t>2,313,652</w:t>
            </w:r>
          </w:p>
        </w:tc>
        <w:tc>
          <w:tcPr>
            <w:tcW w:w="1191" w:type="dxa"/>
            <w:tcBorders>
              <w:top w:val="single" w:sz="2" w:space="0" w:color="000000"/>
              <w:bottom w:val="single" w:sz="12" w:space="0" w:color="000000"/>
              <w:right w:val="single" w:sz="12" w:space="0" w:color="000000"/>
            </w:tcBorders>
          </w:tcPr>
          <w:p>
            <w:pPr>
              <w:pStyle w:val="TableParagraph"/>
              <w:spacing w:line="229" w:lineRule="exact" w:before="16"/>
              <w:ind w:right="82"/>
              <w:jc w:val="right"/>
              <w:rPr>
                <w:b/>
                <w:sz w:val="20"/>
              </w:rPr>
            </w:pPr>
            <w:r>
              <w:rPr>
                <w:b/>
                <w:spacing w:val="-2"/>
                <w:sz w:val="20"/>
              </w:rPr>
              <w:t>2,333,638</w:t>
            </w:r>
          </w:p>
        </w:tc>
      </w:tr>
    </w:tbl>
    <w:p>
      <w:pPr>
        <w:spacing w:after="0" w:line="229" w:lineRule="exact"/>
        <w:jc w:val="right"/>
        <w:rPr>
          <w:sz w:val="20"/>
        </w:rPr>
        <w:sectPr>
          <w:pgSz w:w="11910" w:h="16840"/>
          <w:pgMar w:header="0" w:footer="375" w:top="540" w:bottom="2194" w:left="460" w:right="160"/>
        </w:sectPr>
      </w:pPr>
    </w:p>
    <w:tbl>
      <w:tblPr>
        <w:tblW w:w="0" w:type="auto"/>
        <w:jc w:val="left"/>
        <w:tblInd w:w="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76"/>
        <w:gridCol w:w="1101"/>
        <w:gridCol w:w="1358"/>
        <w:gridCol w:w="1345"/>
        <w:gridCol w:w="1379"/>
        <w:gridCol w:w="1275"/>
      </w:tblGrid>
      <w:tr>
        <w:trPr>
          <w:trHeight w:val="912" w:hRule="atLeast"/>
        </w:trPr>
        <w:tc>
          <w:tcPr>
            <w:tcW w:w="10634" w:type="dxa"/>
            <w:gridSpan w:val="6"/>
            <w:tcBorders>
              <w:top w:val="single" w:sz="18" w:space="0" w:color="000000"/>
              <w:left w:val="single" w:sz="12" w:space="0" w:color="000000"/>
              <w:right w:val="single" w:sz="12" w:space="0" w:color="000000"/>
            </w:tcBorders>
          </w:tcPr>
          <w:p>
            <w:pPr>
              <w:pStyle w:val="TableParagraph"/>
              <w:spacing w:line="267" w:lineRule="exact"/>
              <w:ind w:left="107"/>
              <w:rPr>
                <w:b/>
                <w:sz w:val="24"/>
              </w:rPr>
            </w:pPr>
            <w:r>
              <w:rPr>
                <w:b/>
                <w:color w:val="4966AC"/>
                <w:sz w:val="24"/>
              </w:rPr>
              <w:t>Statement</w:t>
            </w:r>
            <w:r>
              <w:rPr>
                <w:b/>
                <w:color w:val="4966AC"/>
                <w:spacing w:val="-4"/>
                <w:sz w:val="24"/>
              </w:rPr>
              <w:t> </w:t>
            </w:r>
            <w:r>
              <w:rPr>
                <w:b/>
                <w:color w:val="4966AC"/>
                <w:sz w:val="24"/>
              </w:rPr>
              <w:t>of</w:t>
            </w:r>
            <w:r>
              <w:rPr>
                <w:b/>
                <w:color w:val="4966AC"/>
                <w:spacing w:val="-1"/>
                <w:sz w:val="24"/>
              </w:rPr>
              <w:t> </w:t>
            </w:r>
            <w:r>
              <w:rPr>
                <w:b/>
                <w:color w:val="4966AC"/>
                <w:sz w:val="24"/>
              </w:rPr>
              <w:t>Changes</w:t>
            </w:r>
            <w:r>
              <w:rPr>
                <w:b/>
                <w:color w:val="4966AC"/>
                <w:spacing w:val="3"/>
                <w:sz w:val="24"/>
              </w:rPr>
              <w:t> </w:t>
            </w:r>
            <w:r>
              <w:rPr>
                <w:b/>
                <w:color w:val="4966AC"/>
                <w:sz w:val="24"/>
              </w:rPr>
              <w:t>in</w:t>
            </w:r>
            <w:r>
              <w:rPr>
                <w:b/>
                <w:color w:val="4966AC"/>
                <w:spacing w:val="1"/>
                <w:sz w:val="24"/>
              </w:rPr>
              <w:t> </w:t>
            </w:r>
            <w:r>
              <w:rPr>
                <w:b/>
                <w:color w:val="4966AC"/>
                <w:spacing w:val="-2"/>
                <w:sz w:val="24"/>
              </w:rPr>
              <w:t>Equity</w:t>
            </w:r>
          </w:p>
          <w:p>
            <w:pPr>
              <w:pStyle w:val="TableParagraph"/>
              <w:spacing w:before="40"/>
              <w:ind w:left="107"/>
              <w:rPr>
                <w:sz w:val="22"/>
              </w:rPr>
            </w:pPr>
            <w:r>
              <w:rPr>
                <w:color w:val="4966AC"/>
                <w:sz w:val="22"/>
              </w:rPr>
              <w:t>For</w:t>
            </w:r>
            <w:r>
              <w:rPr>
                <w:color w:val="4966AC"/>
                <w:spacing w:val="-3"/>
                <w:sz w:val="22"/>
              </w:rPr>
              <w:t> </w:t>
            </w:r>
            <w:r>
              <w:rPr>
                <w:color w:val="4966AC"/>
                <w:sz w:val="22"/>
              </w:rPr>
              <w:t>the</w:t>
            </w:r>
            <w:r>
              <w:rPr>
                <w:color w:val="4966AC"/>
                <w:spacing w:val="-3"/>
                <w:sz w:val="22"/>
              </w:rPr>
              <w:t> </w:t>
            </w:r>
            <w:r>
              <w:rPr>
                <w:color w:val="4966AC"/>
                <w:sz w:val="22"/>
              </w:rPr>
              <w:t>four</w:t>
            </w:r>
            <w:r>
              <w:rPr>
                <w:color w:val="4966AC"/>
                <w:spacing w:val="-2"/>
                <w:sz w:val="22"/>
              </w:rPr>
              <w:t> </w:t>
            </w:r>
            <w:r>
              <w:rPr>
                <w:color w:val="4966AC"/>
                <w:sz w:val="22"/>
              </w:rPr>
              <w:t>years</w:t>
            </w:r>
            <w:r>
              <w:rPr>
                <w:color w:val="4966AC"/>
                <w:spacing w:val="-2"/>
                <w:sz w:val="22"/>
              </w:rPr>
              <w:t> </w:t>
            </w:r>
            <w:r>
              <w:rPr>
                <w:color w:val="4966AC"/>
                <w:sz w:val="22"/>
              </w:rPr>
              <w:t>ending</w:t>
            </w:r>
            <w:r>
              <w:rPr>
                <w:color w:val="4966AC"/>
                <w:spacing w:val="-3"/>
                <w:sz w:val="22"/>
              </w:rPr>
              <w:t> </w:t>
            </w:r>
            <w:r>
              <w:rPr>
                <w:color w:val="4966AC"/>
                <w:sz w:val="22"/>
              </w:rPr>
              <w:t>30</w:t>
            </w:r>
            <w:r>
              <w:rPr>
                <w:color w:val="4966AC"/>
                <w:spacing w:val="-2"/>
                <w:sz w:val="22"/>
              </w:rPr>
              <w:t> </w:t>
            </w:r>
            <w:r>
              <w:rPr>
                <w:color w:val="4966AC"/>
                <w:sz w:val="22"/>
              </w:rPr>
              <w:t>June</w:t>
            </w:r>
            <w:r>
              <w:rPr>
                <w:color w:val="4966AC"/>
                <w:spacing w:val="-3"/>
                <w:sz w:val="22"/>
              </w:rPr>
              <w:t> </w:t>
            </w:r>
            <w:r>
              <w:rPr>
                <w:color w:val="4966AC"/>
                <w:spacing w:val="-4"/>
                <w:sz w:val="22"/>
              </w:rPr>
              <w:t>2029</w:t>
            </w:r>
          </w:p>
        </w:tc>
      </w:tr>
      <w:tr>
        <w:trPr>
          <w:trHeight w:val="815" w:hRule="atLeast"/>
        </w:trPr>
        <w:tc>
          <w:tcPr>
            <w:tcW w:w="5277" w:type="dxa"/>
            <w:gridSpan w:val="2"/>
            <w:tcBorders>
              <w:left w:val="single" w:sz="12" w:space="0" w:color="000000"/>
            </w:tcBorders>
            <w:shd w:val="clear" w:color="auto" w:fill="5B9AD4"/>
          </w:tcPr>
          <w:p>
            <w:pPr>
              <w:pStyle w:val="TableParagraph"/>
              <w:rPr>
                <w:i/>
                <w:sz w:val="22"/>
              </w:rPr>
            </w:pPr>
          </w:p>
          <w:p>
            <w:pPr>
              <w:pStyle w:val="TableParagraph"/>
              <w:spacing w:before="8"/>
              <w:rPr>
                <w:i/>
                <w:sz w:val="25"/>
              </w:rPr>
            </w:pPr>
          </w:p>
          <w:p>
            <w:pPr>
              <w:pStyle w:val="TableParagraph"/>
              <w:ind w:right="90"/>
              <w:jc w:val="right"/>
              <w:rPr>
                <w:b/>
                <w:sz w:val="20"/>
              </w:rPr>
            </w:pPr>
            <w:r>
              <w:rPr>
                <w:b/>
                <w:color w:val="FFFFFF"/>
                <w:spacing w:val="-2"/>
                <w:sz w:val="20"/>
              </w:rPr>
              <w:t>NOTES</w:t>
            </w:r>
          </w:p>
        </w:tc>
        <w:tc>
          <w:tcPr>
            <w:tcW w:w="1358" w:type="dxa"/>
            <w:shd w:val="clear" w:color="auto" w:fill="5B9AD4"/>
          </w:tcPr>
          <w:p>
            <w:pPr>
              <w:pStyle w:val="TableParagraph"/>
              <w:spacing w:before="141"/>
              <w:ind w:left="439"/>
              <w:rPr>
                <w:b/>
                <w:sz w:val="20"/>
              </w:rPr>
            </w:pPr>
            <w:r>
              <w:rPr>
                <w:b/>
                <w:color w:val="FFFFFF"/>
                <w:spacing w:val="-2"/>
                <w:sz w:val="20"/>
              </w:rPr>
              <w:t>Total</w:t>
            </w:r>
          </w:p>
          <w:p>
            <w:pPr>
              <w:pStyle w:val="TableParagraph"/>
              <w:spacing w:before="178"/>
              <w:ind w:left="427"/>
              <w:rPr>
                <w:b/>
                <w:sz w:val="20"/>
              </w:rPr>
            </w:pPr>
            <w:r>
              <w:rPr>
                <w:b/>
                <w:color w:val="FFFFFF"/>
                <w:spacing w:val="-2"/>
                <w:sz w:val="20"/>
              </w:rPr>
              <w:t>$’000</w:t>
            </w:r>
          </w:p>
        </w:tc>
        <w:tc>
          <w:tcPr>
            <w:tcW w:w="1345" w:type="dxa"/>
            <w:shd w:val="clear" w:color="auto" w:fill="5B9AD4"/>
          </w:tcPr>
          <w:p>
            <w:pPr>
              <w:pStyle w:val="TableParagraph"/>
              <w:spacing w:before="73"/>
              <w:ind w:left="154" w:right="180"/>
              <w:jc w:val="center"/>
              <w:rPr>
                <w:b/>
                <w:sz w:val="16"/>
              </w:rPr>
            </w:pPr>
            <w:r>
              <w:rPr>
                <w:b/>
                <w:color w:val="FFFFFF"/>
                <w:spacing w:val="-2"/>
                <w:sz w:val="16"/>
              </w:rPr>
              <w:t>Accumulated Surplus</w:t>
            </w:r>
          </w:p>
          <w:p>
            <w:pPr>
              <w:pStyle w:val="TableParagraph"/>
              <w:spacing w:before="108"/>
              <w:ind w:left="151" w:right="180"/>
              <w:jc w:val="center"/>
              <w:rPr>
                <w:b/>
                <w:sz w:val="20"/>
              </w:rPr>
            </w:pPr>
            <w:r>
              <w:rPr>
                <w:b/>
                <w:color w:val="FFFFFF"/>
                <w:spacing w:val="-2"/>
                <w:sz w:val="20"/>
              </w:rPr>
              <w:t>$’000</w:t>
            </w:r>
          </w:p>
        </w:tc>
        <w:tc>
          <w:tcPr>
            <w:tcW w:w="1379" w:type="dxa"/>
            <w:shd w:val="clear" w:color="auto" w:fill="5B9AD4"/>
          </w:tcPr>
          <w:p>
            <w:pPr>
              <w:pStyle w:val="TableParagraph"/>
              <w:spacing w:before="49"/>
              <w:ind w:left="151" w:right="203"/>
              <w:jc w:val="center"/>
              <w:rPr>
                <w:b/>
                <w:sz w:val="18"/>
              </w:rPr>
            </w:pPr>
            <w:r>
              <w:rPr>
                <w:b/>
                <w:color w:val="FFFFFF"/>
                <w:spacing w:val="-2"/>
                <w:sz w:val="18"/>
              </w:rPr>
              <w:t>Revaluation Reserve</w:t>
            </w:r>
          </w:p>
          <w:p>
            <w:pPr>
              <w:pStyle w:val="TableParagraph"/>
              <w:spacing w:before="86"/>
              <w:ind w:left="151" w:right="202"/>
              <w:jc w:val="center"/>
              <w:rPr>
                <w:b/>
                <w:sz w:val="20"/>
              </w:rPr>
            </w:pPr>
            <w:r>
              <w:rPr>
                <w:b/>
                <w:color w:val="FFFFFF"/>
                <w:spacing w:val="-2"/>
                <w:sz w:val="20"/>
              </w:rPr>
              <w:t>$’000</w:t>
            </w:r>
          </w:p>
        </w:tc>
        <w:tc>
          <w:tcPr>
            <w:tcW w:w="1275" w:type="dxa"/>
            <w:tcBorders>
              <w:right w:val="single" w:sz="12" w:space="0" w:color="000000"/>
            </w:tcBorders>
            <w:shd w:val="clear" w:color="auto" w:fill="5B9AD4"/>
          </w:tcPr>
          <w:p>
            <w:pPr>
              <w:pStyle w:val="TableParagraph"/>
              <w:spacing w:before="26"/>
              <w:ind w:left="163" w:firstLine="180"/>
              <w:rPr>
                <w:b/>
                <w:sz w:val="20"/>
              </w:rPr>
            </w:pPr>
            <w:r>
              <w:rPr>
                <w:b/>
                <w:color w:val="FFFFFF"/>
                <w:spacing w:val="-2"/>
                <w:sz w:val="20"/>
              </w:rPr>
              <w:t>Other Reserves</w:t>
            </w:r>
          </w:p>
          <w:p>
            <w:pPr>
              <w:pStyle w:val="TableParagraph"/>
              <w:spacing w:before="63"/>
              <w:ind w:left="357"/>
              <w:rPr>
                <w:b/>
                <w:sz w:val="20"/>
              </w:rPr>
            </w:pPr>
            <w:r>
              <w:rPr>
                <w:b/>
                <w:color w:val="FFFFFF"/>
                <w:spacing w:val="-2"/>
                <w:sz w:val="20"/>
              </w:rPr>
              <w:t>$’000</w:t>
            </w:r>
          </w:p>
        </w:tc>
      </w:tr>
      <w:tr>
        <w:trPr>
          <w:trHeight w:val="305" w:hRule="atLeast"/>
        </w:trPr>
        <w:tc>
          <w:tcPr>
            <w:tcW w:w="5277" w:type="dxa"/>
            <w:gridSpan w:val="2"/>
            <w:tcBorders>
              <w:left w:val="single" w:sz="12" w:space="0" w:color="000000"/>
            </w:tcBorders>
          </w:tcPr>
          <w:p>
            <w:pPr>
              <w:pStyle w:val="TableParagraph"/>
              <w:spacing w:before="35"/>
              <w:ind w:left="107"/>
              <w:rPr>
                <w:b/>
                <w:sz w:val="20"/>
              </w:rPr>
            </w:pPr>
            <w:r>
              <w:rPr>
                <w:b/>
                <w:sz w:val="20"/>
              </w:rPr>
              <w:t>2025</w:t>
            </w:r>
            <w:r>
              <w:rPr>
                <w:b/>
                <w:spacing w:val="-8"/>
                <w:sz w:val="20"/>
              </w:rPr>
              <w:t> </w:t>
            </w:r>
            <w:r>
              <w:rPr>
                <w:b/>
                <w:sz w:val="20"/>
              </w:rPr>
              <w:t>Forecast</w:t>
            </w:r>
            <w:r>
              <w:rPr>
                <w:b/>
                <w:spacing w:val="-7"/>
                <w:sz w:val="20"/>
              </w:rPr>
              <w:t> </w:t>
            </w:r>
            <w:r>
              <w:rPr>
                <w:b/>
                <w:spacing w:val="-2"/>
                <w:sz w:val="20"/>
              </w:rPr>
              <w:t>Actual</w:t>
            </w:r>
          </w:p>
        </w:tc>
        <w:tc>
          <w:tcPr>
            <w:tcW w:w="1358" w:type="dxa"/>
          </w:tcPr>
          <w:p>
            <w:pPr>
              <w:pStyle w:val="TableParagraph"/>
              <w:rPr>
                <w:rFonts w:ascii="Times New Roman"/>
                <w:sz w:val="18"/>
              </w:rPr>
            </w:pPr>
          </w:p>
        </w:tc>
        <w:tc>
          <w:tcPr>
            <w:tcW w:w="1345" w:type="dxa"/>
          </w:tcPr>
          <w:p>
            <w:pPr>
              <w:pStyle w:val="TableParagraph"/>
              <w:rPr>
                <w:rFonts w:ascii="Times New Roman"/>
                <w:sz w:val="18"/>
              </w:rPr>
            </w:pPr>
          </w:p>
        </w:tc>
        <w:tc>
          <w:tcPr>
            <w:tcW w:w="1379" w:type="dxa"/>
          </w:tcPr>
          <w:p>
            <w:pPr>
              <w:pStyle w:val="TableParagraph"/>
              <w:rPr>
                <w:rFonts w:ascii="Times New Roman"/>
                <w:sz w:val="18"/>
              </w:rPr>
            </w:pPr>
          </w:p>
        </w:tc>
        <w:tc>
          <w:tcPr>
            <w:tcW w:w="1275" w:type="dxa"/>
            <w:tcBorders>
              <w:right w:val="single" w:sz="12" w:space="0" w:color="000000"/>
            </w:tcBorders>
          </w:tcPr>
          <w:p>
            <w:pPr>
              <w:pStyle w:val="TableParagraph"/>
              <w:rPr>
                <w:rFonts w:ascii="Times New Roman"/>
                <w:sz w:val="18"/>
              </w:rPr>
            </w:pPr>
          </w:p>
        </w:tc>
      </w:tr>
      <w:tr>
        <w:trPr>
          <w:trHeight w:val="319" w:hRule="atLeast"/>
        </w:trPr>
        <w:tc>
          <w:tcPr>
            <w:tcW w:w="5277" w:type="dxa"/>
            <w:gridSpan w:val="2"/>
            <w:tcBorders>
              <w:left w:val="single" w:sz="12" w:space="0" w:color="000000"/>
            </w:tcBorders>
          </w:tcPr>
          <w:p>
            <w:pPr>
              <w:pStyle w:val="TableParagraph"/>
              <w:spacing w:before="32"/>
              <w:ind w:left="107"/>
              <w:rPr>
                <w:sz w:val="20"/>
              </w:rPr>
            </w:pPr>
            <w:r>
              <w:rPr>
                <w:sz w:val="20"/>
              </w:rPr>
              <w:t>Balance</w:t>
            </w:r>
            <w:r>
              <w:rPr>
                <w:spacing w:val="-6"/>
                <w:sz w:val="20"/>
              </w:rPr>
              <w:t> </w:t>
            </w:r>
            <w:r>
              <w:rPr>
                <w:sz w:val="20"/>
              </w:rPr>
              <w:t>at</w:t>
            </w:r>
            <w:r>
              <w:rPr>
                <w:spacing w:val="-6"/>
                <w:sz w:val="20"/>
              </w:rPr>
              <w:t> </w:t>
            </w:r>
            <w:r>
              <w:rPr>
                <w:sz w:val="20"/>
              </w:rPr>
              <w:t>beginning</w:t>
            </w:r>
            <w:r>
              <w:rPr>
                <w:spacing w:val="-4"/>
                <w:sz w:val="20"/>
              </w:rPr>
              <w:t> </w:t>
            </w:r>
            <w:r>
              <w:rPr>
                <w:sz w:val="20"/>
              </w:rPr>
              <w:t>of</w:t>
            </w:r>
            <w:r>
              <w:rPr>
                <w:spacing w:val="-6"/>
                <w:sz w:val="20"/>
              </w:rPr>
              <w:t> </w:t>
            </w:r>
            <w:r>
              <w:rPr>
                <w:sz w:val="20"/>
              </w:rPr>
              <w:t>the</w:t>
            </w:r>
            <w:r>
              <w:rPr>
                <w:spacing w:val="-4"/>
                <w:sz w:val="20"/>
              </w:rPr>
              <w:t> </w:t>
            </w:r>
            <w:r>
              <w:rPr>
                <w:sz w:val="20"/>
              </w:rPr>
              <w:t>financial</w:t>
            </w:r>
            <w:r>
              <w:rPr>
                <w:spacing w:val="-7"/>
                <w:sz w:val="20"/>
              </w:rPr>
              <w:t> </w:t>
            </w:r>
            <w:r>
              <w:rPr>
                <w:spacing w:val="-4"/>
                <w:sz w:val="20"/>
              </w:rPr>
              <w:t>year</w:t>
            </w:r>
          </w:p>
        </w:tc>
        <w:tc>
          <w:tcPr>
            <w:tcW w:w="1358" w:type="dxa"/>
          </w:tcPr>
          <w:p>
            <w:pPr>
              <w:pStyle w:val="TableParagraph"/>
              <w:spacing w:before="68"/>
              <w:ind w:right="122"/>
              <w:jc w:val="right"/>
              <w:rPr>
                <w:sz w:val="20"/>
              </w:rPr>
            </w:pPr>
            <w:r>
              <w:rPr>
                <w:spacing w:val="-2"/>
                <w:sz w:val="20"/>
              </w:rPr>
              <w:t>2,217,261</w:t>
            </w:r>
          </w:p>
        </w:tc>
        <w:tc>
          <w:tcPr>
            <w:tcW w:w="1345" w:type="dxa"/>
          </w:tcPr>
          <w:p>
            <w:pPr>
              <w:pStyle w:val="TableParagraph"/>
              <w:spacing w:before="68"/>
              <w:ind w:right="120"/>
              <w:jc w:val="right"/>
              <w:rPr>
                <w:sz w:val="20"/>
              </w:rPr>
            </w:pPr>
            <w:r>
              <w:rPr>
                <w:spacing w:val="-2"/>
                <w:sz w:val="20"/>
              </w:rPr>
              <w:t>890,001</w:t>
            </w:r>
          </w:p>
        </w:tc>
        <w:tc>
          <w:tcPr>
            <w:tcW w:w="1379" w:type="dxa"/>
          </w:tcPr>
          <w:p>
            <w:pPr>
              <w:pStyle w:val="TableParagraph"/>
              <w:spacing w:before="68"/>
              <w:ind w:right="146"/>
              <w:jc w:val="right"/>
              <w:rPr>
                <w:sz w:val="20"/>
              </w:rPr>
            </w:pPr>
            <w:r>
              <w:rPr>
                <w:spacing w:val="-2"/>
                <w:sz w:val="20"/>
              </w:rPr>
              <w:t>1,315,260</w:t>
            </w:r>
          </w:p>
        </w:tc>
        <w:tc>
          <w:tcPr>
            <w:tcW w:w="1275" w:type="dxa"/>
            <w:tcBorders>
              <w:right w:val="single" w:sz="12" w:space="0" w:color="000000"/>
            </w:tcBorders>
          </w:tcPr>
          <w:p>
            <w:pPr>
              <w:pStyle w:val="TableParagraph"/>
              <w:spacing w:before="68"/>
              <w:ind w:right="78"/>
              <w:jc w:val="right"/>
              <w:rPr>
                <w:sz w:val="20"/>
              </w:rPr>
            </w:pPr>
            <w:r>
              <w:rPr>
                <w:spacing w:val="-2"/>
                <w:sz w:val="20"/>
              </w:rPr>
              <w:t>12,000</w:t>
            </w:r>
          </w:p>
        </w:tc>
      </w:tr>
      <w:tr>
        <w:trPr>
          <w:trHeight w:val="301" w:hRule="atLeast"/>
        </w:trPr>
        <w:tc>
          <w:tcPr>
            <w:tcW w:w="5277" w:type="dxa"/>
            <w:gridSpan w:val="2"/>
            <w:tcBorders>
              <w:left w:val="single" w:sz="12" w:space="0" w:color="000000"/>
            </w:tcBorders>
          </w:tcPr>
          <w:p>
            <w:pPr>
              <w:pStyle w:val="TableParagraph"/>
              <w:spacing w:before="13"/>
              <w:ind w:left="107"/>
              <w:rPr>
                <w:sz w:val="20"/>
              </w:rPr>
            </w:pPr>
            <w:r>
              <w:rPr>
                <w:sz w:val="20"/>
              </w:rPr>
              <w:t>Surplus/(deficit)</w:t>
            </w:r>
            <w:r>
              <w:rPr>
                <w:spacing w:val="-10"/>
                <w:sz w:val="20"/>
              </w:rPr>
              <w:t> </w:t>
            </w:r>
            <w:r>
              <w:rPr>
                <w:sz w:val="20"/>
              </w:rPr>
              <w:t>for</w:t>
            </w:r>
            <w:r>
              <w:rPr>
                <w:spacing w:val="-6"/>
                <w:sz w:val="20"/>
              </w:rPr>
              <w:t> </w:t>
            </w:r>
            <w:r>
              <w:rPr>
                <w:sz w:val="20"/>
              </w:rPr>
              <w:t>the</w:t>
            </w:r>
            <w:r>
              <w:rPr>
                <w:spacing w:val="-5"/>
                <w:sz w:val="20"/>
              </w:rPr>
              <w:t> </w:t>
            </w:r>
            <w:r>
              <w:rPr>
                <w:spacing w:val="-4"/>
                <w:sz w:val="20"/>
              </w:rPr>
              <w:t>year</w:t>
            </w:r>
          </w:p>
        </w:tc>
        <w:tc>
          <w:tcPr>
            <w:tcW w:w="1358" w:type="dxa"/>
          </w:tcPr>
          <w:p>
            <w:pPr>
              <w:pStyle w:val="TableParagraph"/>
              <w:spacing w:before="49"/>
              <w:ind w:right="124"/>
              <w:jc w:val="right"/>
              <w:rPr>
                <w:sz w:val="20"/>
              </w:rPr>
            </w:pPr>
            <w:r>
              <w:rPr>
                <w:spacing w:val="-2"/>
                <w:sz w:val="20"/>
              </w:rPr>
              <w:t>31,927</w:t>
            </w:r>
          </w:p>
        </w:tc>
        <w:tc>
          <w:tcPr>
            <w:tcW w:w="1345" w:type="dxa"/>
          </w:tcPr>
          <w:p>
            <w:pPr>
              <w:pStyle w:val="TableParagraph"/>
              <w:spacing w:before="49"/>
              <w:ind w:right="120"/>
              <w:jc w:val="right"/>
              <w:rPr>
                <w:sz w:val="20"/>
              </w:rPr>
            </w:pPr>
            <w:r>
              <w:rPr>
                <w:spacing w:val="-2"/>
                <w:sz w:val="20"/>
              </w:rPr>
              <w:t>31,927</w:t>
            </w:r>
          </w:p>
        </w:tc>
        <w:tc>
          <w:tcPr>
            <w:tcW w:w="1379" w:type="dxa"/>
          </w:tcPr>
          <w:p>
            <w:pPr>
              <w:pStyle w:val="TableParagraph"/>
              <w:spacing w:before="49"/>
              <w:ind w:right="146"/>
              <w:jc w:val="right"/>
              <w:rPr>
                <w:sz w:val="20"/>
              </w:rPr>
            </w:pPr>
            <w:r>
              <w:rPr>
                <w:w w:val="99"/>
                <w:sz w:val="20"/>
              </w:rPr>
              <w:t>-</w:t>
            </w:r>
          </w:p>
        </w:tc>
        <w:tc>
          <w:tcPr>
            <w:tcW w:w="1275" w:type="dxa"/>
            <w:tcBorders>
              <w:right w:val="single" w:sz="12" w:space="0" w:color="000000"/>
            </w:tcBorders>
          </w:tcPr>
          <w:p>
            <w:pPr>
              <w:pStyle w:val="TableParagraph"/>
              <w:spacing w:before="49"/>
              <w:ind w:right="77"/>
              <w:jc w:val="right"/>
              <w:rPr>
                <w:sz w:val="20"/>
              </w:rPr>
            </w:pPr>
            <w:r>
              <w:rPr>
                <w:w w:val="99"/>
                <w:sz w:val="20"/>
              </w:rPr>
              <w:t>-</w:t>
            </w:r>
          </w:p>
        </w:tc>
      </w:tr>
      <w:tr>
        <w:trPr>
          <w:trHeight w:val="302" w:hRule="atLeast"/>
        </w:trPr>
        <w:tc>
          <w:tcPr>
            <w:tcW w:w="5277" w:type="dxa"/>
            <w:gridSpan w:val="2"/>
            <w:tcBorders>
              <w:left w:val="single" w:sz="12" w:space="0" w:color="000000"/>
            </w:tcBorders>
          </w:tcPr>
          <w:p>
            <w:pPr>
              <w:pStyle w:val="TableParagraph"/>
              <w:spacing w:before="14"/>
              <w:ind w:left="107"/>
              <w:rPr>
                <w:sz w:val="20"/>
              </w:rPr>
            </w:pPr>
            <w:r>
              <w:rPr>
                <w:sz w:val="20"/>
              </w:rPr>
              <w:t>Net</w:t>
            </w:r>
            <w:r>
              <w:rPr>
                <w:spacing w:val="-7"/>
                <w:sz w:val="20"/>
              </w:rPr>
              <w:t> </w:t>
            </w:r>
            <w:r>
              <w:rPr>
                <w:sz w:val="20"/>
              </w:rPr>
              <w:t>asset</w:t>
            </w:r>
            <w:r>
              <w:rPr>
                <w:spacing w:val="-6"/>
                <w:sz w:val="20"/>
              </w:rPr>
              <w:t> </w:t>
            </w:r>
            <w:r>
              <w:rPr>
                <w:sz w:val="20"/>
              </w:rPr>
              <w:t>revaluation</w:t>
            </w:r>
            <w:r>
              <w:rPr>
                <w:spacing w:val="-7"/>
                <w:sz w:val="20"/>
              </w:rPr>
              <w:t> </w:t>
            </w:r>
            <w:r>
              <w:rPr>
                <w:spacing w:val="-2"/>
                <w:sz w:val="20"/>
              </w:rPr>
              <w:t>gain/(loss)</w:t>
            </w:r>
          </w:p>
        </w:tc>
        <w:tc>
          <w:tcPr>
            <w:tcW w:w="1358" w:type="dxa"/>
          </w:tcPr>
          <w:p>
            <w:pPr>
              <w:pStyle w:val="TableParagraph"/>
              <w:spacing w:before="50"/>
              <w:ind w:right="122"/>
              <w:jc w:val="right"/>
              <w:rPr>
                <w:sz w:val="20"/>
              </w:rPr>
            </w:pPr>
            <w:r>
              <w:rPr>
                <w:w w:val="99"/>
                <w:sz w:val="20"/>
              </w:rPr>
              <w:t>-</w:t>
            </w:r>
          </w:p>
        </w:tc>
        <w:tc>
          <w:tcPr>
            <w:tcW w:w="1345" w:type="dxa"/>
          </w:tcPr>
          <w:p>
            <w:pPr>
              <w:pStyle w:val="TableParagraph"/>
              <w:spacing w:before="50"/>
              <w:ind w:right="118"/>
              <w:jc w:val="right"/>
              <w:rPr>
                <w:sz w:val="20"/>
              </w:rPr>
            </w:pPr>
            <w:r>
              <w:rPr>
                <w:w w:val="99"/>
                <w:sz w:val="20"/>
              </w:rPr>
              <w:t>-</w:t>
            </w:r>
          </w:p>
        </w:tc>
        <w:tc>
          <w:tcPr>
            <w:tcW w:w="1379" w:type="dxa"/>
          </w:tcPr>
          <w:p>
            <w:pPr>
              <w:pStyle w:val="TableParagraph"/>
              <w:spacing w:before="50"/>
              <w:ind w:right="146"/>
              <w:jc w:val="right"/>
              <w:rPr>
                <w:sz w:val="20"/>
              </w:rPr>
            </w:pPr>
            <w:r>
              <w:rPr>
                <w:w w:val="99"/>
                <w:sz w:val="20"/>
              </w:rPr>
              <w:t>-</w:t>
            </w:r>
          </w:p>
        </w:tc>
        <w:tc>
          <w:tcPr>
            <w:tcW w:w="1275" w:type="dxa"/>
            <w:tcBorders>
              <w:right w:val="single" w:sz="12" w:space="0" w:color="000000"/>
            </w:tcBorders>
          </w:tcPr>
          <w:p>
            <w:pPr>
              <w:pStyle w:val="TableParagraph"/>
              <w:spacing w:before="50"/>
              <w:ind w:right="77"/>
              <w:jc w:val="right"/>
              <w:rPr>
                <w:sz w:val="20"/>
              </w:rPr>
            </w:pPr>
            <w:r>
              <w:rPr>
                <w:w w:val="99"/>
                <w:sz w:val="20"/>
              </w:rPr>
              <w:t>-</w:t>
            </w:r>
          </w:p>
        </w:tc>
      </w:tr>
      <w:tr>
        <w:trPr>
          <w:trHeight w:val="281" w:hRule="atLeast"/>
        </w:trPr>
        <w:tc>
          <w:tcPr>
            <w:tcW w:w="5277" w:type="dxa"/>
            <w:gridSpan w:val="2"/>
            <w:tcBorders>
              <w:left w:val="single" w:sz="12" w:space="0" w:color="000000"/>
            </w:tcBorders>
          </w:tcPr>
          <w:p>
            <w:pPr>
              <w:pStyle w:val="TableParagraph"/>
              <w:spacing w:before="14"/>
              <w:ind w:left="107"/>
              <w:rPr>
                <w:sz w:val="20"/>
              </w:rPr>
            </w:pPr>
            <w:r>
              <w:rPr>
                <w:sz w:val="20"/>
              </w:rPr>
              <w:t>Transfers</w:t>
            </w:r>
            <w:r>
              <w:rPr>
                <w:spacing w:val="-4"/>
                <w:sz w:val="20"/>
              </w:rPr>
              <w:t> </w:t>
            </w:r>
            <w:r>
              <w:rPr>
                <w:sz w:val="20"/>
              </w:rPr>
              <w:t>to</w:t>
            </w:r>
            <w:r>
              <w:rPr>
                <w:spacing w:val="-5"/>
                <w:sz w:val="20"/>
              </w:rPr>
              <w:t> </w:t>
            </w:r>
            <w:r>
              <w:rPr>
                <w:sz w:val="20"/>
              </w:rPr>
              <w:t>/</w:t>
            </w:r>
            <w:r>
              <w:rPr>
                <w:spacing w:val="-4"/>
                <w:sz w:val="20"/>
              </w:rPr>
              <w:t> </w:t>
            </w:r>
            <w:r>
              <w:rPr>
                <w:sz w:val="20"/>
              </w:rPr>
              <w:t>from</w:t>
            </w:r>
            <w:r>
              <w:rPr>
                <w:spacing w:val="-6"/>
                <w:sz w:val="20"/>
              </w:rPr>
              <w:t> </w:t>
            </w:r>
            <w:r>
              <w:rPr>
                <w:sz w:val="20"/>
              </w:rPr>
              <w:t>general</w:t>
            </w:r>
            <w:r>
              <w:rPr>
                <w:spacing w:val="-2"/>
                <w:sz w:val="20"/>
              </w:rPr>
              <w:t> reserve</w:t>
            </w:r>
          </w:p>
        </w:tc>
        <w:tc>
          <w:tcPr>
            <w:tcW w:w="1358" w:type="dxa"/>
            <w:tcBorders>
              <w:bottom w:val="single" w:sz="2" w:space="0" w:color="000000"/>
            </w:tcBorders>
          </w:tcPr>
          <w:p>
            <w:pPr>
              <w:pStyle w:val="TableParagraph"/>
              <w:spacing w:line="211" w:lineRule="exact" w:before="50"/>
              <w:ind w:right="122"/>
              <w:jc w:val="right"/>
              <w:rPr>
                <w:sz w:val="20"/>
              </w:rPr>
            </w:pPr>
            <w:r>
              <w:rPr>
                <w:w w:val="99"/>
                <w:sz w:val="20"/>
              </w:rPr>
              <w:t>-</w:t>
            </w:r>
          </w:p>
        </w:tc>
        <w:tc>
          <w:tcPr>
            <w:tcW w:w="1345" w:type="dxa"/>
            <w:tcBorders>
              <w:bottom w:val="single" w:sz="2" w:space="0" w:color="000000"/>
            </w:tcBorders>
          </w:tcPr>
          <w:p>
            <w:pPr>
              <w:pStyle w:val="TableParagraph"/>
              <w:spacing w:line="211" w:lineRule="exact" w:before="50"/>
              <w:ind w:right="121"/>
              <w:jc w:val="right"/>
              <w:rPr>
                <w:sz w:val="20"/>
              </w:rPr>
            </w:pPr>
            <w:r>
              <w:rPr>
                <w:spacing w:val="-2"/>
                <w:sz w:val="20"/>
              </w:rPr>
              <w:t>(2,500)</w:t>
            </w:r>
          </w:p>
        </w:tc>
        <w:tc>
          <w:tcPr>
            <w:tcW w:w="1379" w:type="dxa"/>
            <w:tcBorders>
              <w:bottom w:val="single" w:sz="2" w:space="0" w:color="000000"/>
            </w:tcBorders>
          </w:tcPr>
          <w:p>
            <w:pPr>
              <w:pStyle w:val="TableParagraph"/>
              <w:spacing w:line="211" w:lineRule="exact" w:before="50"/>
              <w:ind w:right="146"/>
              <w:jc w:val="right"/>
              <w:rPr>
                <w:sz w:val="20"/>
              </w:rPr>
            </w:pPr>
            <w:r>
              <w:rPr>
                <w:w w:val="99"/>
                <w:sz w:val="20"/>
              </w:rPr>
              <w:t>-</w:t>
            </w:r>
          </w:p>
        </w:tc>
        <w:tc>
          <w:tcPr>
            <w:tcW w:w="1275" w:type="dxa"/>
            <w:tcBorders>
              <w:bottom w:val="single" w:sz="2" w:space="0" w:color="000000"/>
              <w:right w:val="single" w:sz="12" w:space="0" w:color="000000"/>
            </w:tcBorders>
          </w:tcPr>
          <w:p>
            <w:pPr>
              <w:pStyle w:val="TableParagraph"/>
              <w:spacing w:line="211" w:lineRule="exact" w:before="50"/>
              <w:ind w:right="77"/>
              <w:jc w:val="right"/>
              <w:rPr>
                <w:sz w:val="20"/>
              </w:rPr>
            </w:pPr>
            <w:r>
              <w:rPr>
                <w:spacing w:val="-2"/>
                <w:sz w:val="20"/>
              </w:rPr>
              <w:t>2,500</w:t>
            </w:r>
          </w:p>
        </w:tc>
      </w:tr>
      <w:tr>
        <w:trPr>
          <w:trHeight w:val="309" w:hRule="atLeast"/>
        </w:trPr>
        <w:tc>
          <w:tcPr>
            <w:tcW w:w="5277" w:type="dxa"/>
            <w:gridSpan w:val="2"/>
            <w:tcBorders>
              <w:left w:val="single" w:sz="12" w:space="0" w:color="000000"/>
            </w:tcBorders>
          </w:tcPr>
          <w:p>
            <w:pPr>
              <w:pStyle w:val="TableParagraph"/>
              <w:spacing w:before="42"/>
              <w:ind w:left="107"/>
              <w:rPr>
                <w:b/>
                <w:sz w:val="20"/>
              </w:rPr>
            </w:pPr>
            <w:r>
              <w:rPr>
                <w:b/>
                <w:sz w:val="20"/>
              </w:rPr>
              <w:t>Balance</w:t>
            </w:r>
            <w:r>
              <w:rPr>
                <w:b/>
                <w:spacing w:val="-8"/>
                <w:sz w:val="20"/>
              </w:rPr>
              <w:t> </w:t>
            </w:r>
            <w:r>
              <w:rPr>
                <w:b/>
                <w:sz w:val="20"/>
              </w:rPr>
              <w:t>at</w:t>
            </w:r>
            <w:r>
              <w:rPr>
                <w:b/>
                <w:spacing w:val="-3"/>
                <w:sz w:val="20"/>
              </w:rPr>
              <w:t> </w:t>
            </w:r>
            <w:r>
              <w:rPr>
                <w:b/>
                <w:sz w:val="20"/>
              </w:rPr>
              <w:t>end</w:t>
            </w:r>
            <w:r>
              <w:rPr>
                <w:b/>
                <w:spacing w:val="-5"/>
                <w:sz w:val="20"/>
              </w:rPr>
              <w:t> </w:t>
            </w:r>
            <w:r>
              <w:rPr>
                <w:b/>
                <w:sz w:val="20"/>
              </w:rPr>
              <w:t>of</w:t>
            </w:r>
            <w:r>
              <w:rPr>
                <w:b/>
                <w:spacing w:val="-3"/>
                <w:sz w:val="20"/>
              </w:rPr>
              <w:t> </w:t>
            </w:r>
            <w:r>
              <w:rPr>
                <w:b/>
                <w:sz w:val="20"/>
              </w:rPr>
              <w:t>the</w:t>
            </w:r>
            <w:r>
              <w:rPr>
                <w:b/>
                <w:spacing w:val="-5"/>
                <w:sz w:val="20"/>
              </w:rPr>
              <w:t> </w:t>
            </w:r>
            <w:r>
              <w:rPr>
                <w:b/>
                <w:sz w:val="20"/>
              </w:rPr>
              <w:t>financial</w:t>
            </w:r>
            <w:r>
              <w:rPr>
                <w:b/>
                <w:spacing w:val="-5"/>
                <w:sz w:val="20"/>
              </w:rPr>
              <w:t> </w:t>
            </w:r>
            <w:r>
              <w:rPr>
                <w:b/>
                <w:spacing w:val="-4"/>
                <w:sz w:val="20"/>
              </w:rPr>
              <w:t>year</w:t>
            </w:r>
          </w:p>
        </w:tc>
        <w:tc>
          <w:tcPr>
            <w:tcW w:w="1358" w:type="dxa"/>
            <w:tcBorders>
              <w:top w:val="single" w:sz="2" w:space="0" w:color="000000"/>
              <w:bottom w:val="thickThinMediumGap" w:sz="3" w:space="0" w:color="000000"/>
            </w:tcBorders>
          </w:tcPr>
          <w:p>
            <w:pPr>
              <w:pStyle w:val="TableParagraph"/>
              <w:spacing w:line="204" w:lineRule="exact" w:before="86"/>
              <w:ind w:right="122"/>
              <w:jc w:val="right"/>
              <w:rPr>
                <w:b/>
                <w:sz w:val="20"/>
              </w:rPr>
            </w:pPr>
            <w:r>
              <w:rPr>
                <w:b/>
                <w:spacing w:val="-2"/>
                <w:sz w:val="20"/>
              </w:rPr>
              <w:t>2,249,188</w:t>
            </w:r>
          </w:p>
        </w:tc>
        <w:tc>
          <w:tcPr>
            <w:tcW w:w="1345" w:type="dxa"/>
            <w:tcBorders>
              <w:top w:val="single" w:sz="2" w:space="0" w:color="000000"/>
              <w:bottom w:val="thickThinMediumGap" w:sz="3" w:space="0" w:color="000000"/>
            </w:tcBorders>
          </w:tcPr>
          <w:p>
            <w:pPr>
              <w:pStyle w:val="TableParagraph"/>
              <w:spacing w:line="204" w:lineRule="exact" w:before="86"/>
              <w:ind w:right="120"/>
              <w:jc w:val="right"/>
              <w:rPr>
                <w:b/>
                <w:sz w:val="20"/>
              </w:rPr>
            </w:pPr>
            <w:r>
              <w:rPr>
                <w:b/>
                <w:spacing w:val="-2"/>
                <w:sz w:val="20"/>
              </w:rPr>
              <w:t>919,428</w:t>
            </w:r>
          </w:p>
        </w:tc>
        <w:tc>
          <w:tcPr>
            <w:tcW w:w="1379" w:type="dxa"/>
            <w:tcBorders>
              <w:top w:val="single" w:sz="2" w:space="0" w:color="000000"/>
              <w:bottom w:val="thickThinMediumGap" w:sz="3" w:space="0" w:color="000000"/>
            </w:tcBorders>
          </w:tcPr>
          <w:p>
            <w:pPr>
              <w:pStyle w:val="TableParagraph"/>
              <w:spacing w:line="204" w:lineRule="exact" w:before="86"/>
              <w:ind w:right="146"/>
              <w:jc w:val="right"/>
              <w:rPr>
                <w:b/>
                <w:sz w:val="20"/>
              </w:rPr>
            </w:pPr>
            <w:r>
              <w:rPr>
                <w:b/>
                <w:spacing w:val="-2"/>
                <w:sz w:val="20"/>
              </w:rPr>
              <w:t>1,315,260</w:t>
            </w:r>
          </w:p>
        </w:tc>
        <w:tc>
          <w:tcPr>
            <w:tcW w:w="1275" w:type="dxa"/>
            <w:tcBorders>
              <w:top w:val="single" w:sz="2" w:space="0" w:color="000000"/>
              <w:bottom w:val="thickThinMediumGap" w:sz="3" w:space="0" w:color="000000"/>
              <w:right w:val="single" w:sz="12" w:space="0" w:color="000000"/>
            </w:tcBorders>
          </w:tcPr>
          <w:p>
            <w:pPr>
              <w:pStyle w:val="TableParagraph"/>
              <w:spacing w:line="204" w:lineRule="exact" w:before="86"/>
              <w:ind w:right="78"/>
              <w:jc w:val="right"/>
              <w:rPr>
                <w:b/>
                <w:sz w:val="20"/>
              </w:rPr>
            </w:pPr>
            <w:r>
              <w:rPr>
                <w:b/>
                <w:spacing w:val="-2"/>
                <w:sz w:val="20"/>
              </w:rPr>
              <w:t>14,500</w:t>
            </w:r>
          </w:p>
        </w:tc>
      </w:tr>
      <w:tr>
        <w:trPr>
          <w:trHeight w:val="309" w:hRule="atLeast"/>
        </w:trPr>
        <w:tc>
          <w:tcPr>
            <w:tcW w:w="5277" w:type="dxa"/>
            <w:gridSpan w:val="2"/>
            <w:tcBorders>
              <w:left w:val="single" w:sz="12" w:space="0" w:color="000000"/>
            </w:tcBorders>
          </w:tcPr>
          <w:p>
            <w:pPr>
              <w:pStyle w:val="TableParagraph"/>
              <w:rPr>
                <w:rFonts w:ascii="Times New Roman"/>
                <w:sz w:val="18"/>
              </w:rPr>
            </w:pPr>
          </w:p>
        </w:tc>
        <w:tc>
          <w:tcPr>
            <w:tcW w:w="5357" w:type="dxa"/>
            <w:gridSpan w:val="4"/>
            <w:tcBorders>
              <w:top w:val="thinThickMediumGap" w:sz="3" w:space="0" w:color="000000"/>
              <w:right w:val="single" w:sz="12" w:space="0" w:color="000000"/>
            </w:tcBorders>
          </w:tcPr>
          <w:p>
            <w:pPr>
              <w:pStyle w:val="TableParagraph"/>
              <w:rPr>
                <w:rFonts w:ascii="Times New Roman"/>
                <w:sz w:val="18"/>
              </w:rPr>
            </w:pPr>
          </w:p>
        </w:tc>
      </w:tr>
      <w:tr>
        <w:trPr>
          <w:trHeight w:val="305" w:hRule="atLeast"/>
        </w:trPr>
        <w:tc>
          <w:tcPr>
            <w:tcW w:w="4176" w:type="dxa"/>
            <w:tcBorders>
              <w:left w:val="single" w:sz="12" w:space="0" w:color="000000"/>
            </w:tcBorders>
            <w:shd w:val="clear" w:color="auto" w:fill="DDEBF6"/>
          </w:tcPr>
          <w:p>
            <w:pPr>
              <w:pStyle w:val="TableParagraph"/>
              <w:spacing w:before="35"/>
              <w:ind w:left="107"/>
              <w:rPr>
                <w:b/>
                <w:sz w:val="20"/>
              </w:rPr>
            </w:pPr>
            <w:r>
              <w:rPr>
                <w:b/>
                <w:sz w:val="20"/>
              </w:rPr>
              <w:t>2026</w:t>
            </w:r>
            <w:r>
              <w:rPr>
                <w:b/>
                <w:spacing w:val="-7"/>
                <w:sz w:val="20"/>
              </w:rPr>
              <w:t> </w:t>
            </w:r>
            <w:r>
              <w:rPr>
                <w:b/>
                <w:spacing w:val="-2"/>
                <w:sz w:val="20"/>
              </w:rPr>
              <w:t>Budget</w:t>
            </w:r>
          </w:p>
        </w:tc>
        <w:tc>
          <w:tcPr>
            <w:tcW w:w="1101" w:type="dxa"/>
            <w:shd w:val="clear" w:color="auto" w:fill="DDEBF6"/>
          </w:tcPr>
          <w:p>
            <w:pPr>
              <w:pStyle w:val="TableParagraph"/>
              <w:rPr>
                <w:rFonts w:ascii="Times New Roman"/>
                <w:sz w:val="18"/>
              </w:rPr>
            </w:pPr>
          </w:p>
        </w:tc>
        <w:tc>
          <w:tcPr>
            <w:tcW w:w="1358" w:type="dxa"/>
            <w:shd w:val="clear" w:color="auto" w:fill="DDEBF6"/>
          </w:tcPr>
          <w:p>
            <w:pPr>
              <w:pStyle w:val="TableParagraph"/>
              <w:rPr>
                <w:rFonts w:ascii="Times New Roman"/>
                <w:sz w:val="18"/>
              </w:rPr>
            </w:pPr>
          </w:p>
        </w:tc>
        <w:tc>
          <w:tcPr>
            <w:tcW w:w="1345" w:type="dxa"/>
            <w:shd w:val="clear" w:color="auto" w:fill="DDEBF6"/>
          </w:tcPr>
          <w:p>
            <w:pPr>
              <w:pStyle w:val="TableParagraph"/>
              <w:rPr>
                <w:rFonts w:ascii="Times New Roman"/>
                <w:sz w:val="18"/>
              </w:rPr>
            </w:pPr>
          </w:p>
        </w:tc>
        <w:tc>
          <w:tcPr>
            <w:tcW w:w="1379" w:type="dxa"/>
            <w:shd w:val="clear" w:color="auto" w:fill="DDEBF6"/>
          </w:tcPr>
          <w:p>
            <w:pPr>
              <w:pStyle w:val="TableParagraph"/>
              <w:rPr>
                <w:rFonts w:ascii="Times New Roman"/>
                <w:sz w:val="18"/>
              </w:rPr>
            </w:pPr>
          </w:p>
        </w:tc>
        <w:tc>
          <w:tcPr>
            <w:tcW w:w="1275" w:type="dxa"/>
            <w:tcBorders>
              <w:right w:val="single" w:sz="12" w:space="0" w:color="000000"/>
            </w:tcBorders>
            <w:shd w:val="clear" w:color="auto" w:fill="DDEBF6"/>
          </w:tcPr>
          <w:p>
            <w:pPr>
              <w:pStyle w:val="TableParagraph"/>
              <w:rPr>
                <w:rFonts w:ascii="Times New Roman"/>
                <w:sz w:val="18"/>
              </w:rPr>
            </w:pPr>
          </w:p>
        </w:tc>
      </w:tr>
      <w:tr>
        <w:trPr>
          <w:trHeight w:val="319" w:hRule="atLeast"/>
        </w:trPr>
        <w:tc>
          <w:tcPr>
            <w:tcW w:w="4176" w:type="dxa"/>
            <w:tcBorders>
              <w:left w:val="single" w:sz="12" w:space="0" w:color="000000"/>
            </w:tcBorders>
            <w:shd w:val="clear" w:color="auto" w:fill="DDEBF6"/>
          </w:tcPr>
          <w:p>
            <w:pPr>
              <w:pStyle w:val="TableParagraph"/>
              <w:spacing w:before="32"/>
              <w:ind w:left="107"/>
              <w:rPr>
                <w:sz w:val="20"/>
              </w:rPr>
            </w:pPr>
            <w:r>
              <w:rPr>
                <w:sz w:val="20"/>
              </w:rPr>
              <w:t>Balance</w:t>
            </w:r>
            <w:r>
              <w:rPr>
                <w:spacing w:val="-6"/>
                <w:sz w:val="20"/>
              </w:rPr>
              <w:t> </w:t>
            </w:r>
            <w:r>
              <w:rPr>
                <w:sz w:val="20"/>
              </w:rPr>
              <w:t>at</w:t>
            </w:r>
            <w:r>
              <w:rPr>
                <w:spacing w:val="-6"/>
                <w:sz w:val="20"/>
              </w:rPr>
              <w:t> </w:t>
            </w:r>
            <w:r>
              <w:rPr>
                <w:sz w:val="20"/>
              </w:rPr>
              <w:t>beginning</w:t>
            </w:r>
            <w:r>
              <w:rPr>
                <w:spacing w:val="-4"/>
                <w:sz w:val="20"/>
              </w:rPr>
              <w:t> </w:t>
            </w:r>
            <w:r>
              <w:rPr>
                <w:sz w:val="20"/>
              </w:rPr>
              <w:t>of</w:t>
            </w:r>
            <w:r>
              <w:rPr>
                <w:spacing w:val="-6"/>
                <w:sz w:val="20"/>
              </w:rPr>
              <w:t> </w:t>
            </w:r>
            <w:r>
              <w:rPr>
                <w:sz w:val="20"/>
              </w:rPr>
              <w:t>the</w:t>
            </w:r>
            <w:r>
              <w:rPr>
                <w:spacing w:val="-4"/>
                <w:sz w:val="20"/>
              </w:rPr>
              <w:t> </w:t>
            </w:r>
            <w:r>
              <w:rPr>
                <w:sz w:val="20"/>
              </w:rPr>
              <w:t>financial</w:t>
            </w:r>
            <w:r>
              <w:rPr>
                <w:spacing w:val="-7"/>
                <w:sz w:val="20"/>
              </w:rPr>
              <w:t> </w:t>
            </w:r>
            <w:r>
              <w:rPr>
                <w:spacing w:val="-4"/>
                <w:sz w:val="20"/>
              </w:rPr>
              <w:t>year</w:t>
            </w:r>
          </w:p>
        </w:tc>
        <w:tc>
          <w:tcPr>
            <w:tcW w:w="1101" w:type="dxa"/>
            <w:shd w:val="clear" w:color="auto" w:fill="DDEBF6"/>
          </w:tcPr>
          <w:p>
            <w:pPr>
              <w:pStyle w:val="TableParagraph"/>
              <w:rPr>
                <w:rFonts w:ascii="Times New Roman"/>
                <w:sz w:val="18"/>
              </w:rPr>
            </w:pPr>
          </w:p>
        </w:tc>
        <w:tc>
          <w:tcPr>
            <w:tcW w:w="1358" w:type="dxa"/>
            <w:shd w:val="clear" w:color="auto" w:fill="DDEBF6"/>
          </w:tcPr>
          <w:p>
            <w:pPr>
              <w:pStyle w:val="TableParagraph"/>
              <w:spacing w:before="68"/>
              <w:ind w:right="122"/>
              <w:jc w:val="right"/>
              <w:rPr>
                <w:sz w:val="20"/>
              </w:rPr>
            </w:pPr>
            <w:r>
              <w:rPr>
                <w:spacing w:val="-2"/>
                <w:sz w:val="20"/>
              </w:rPr>
              <w:t>2,249,188</w:t>
            </w:r>
          </w:p>
        </w:tc>
        <w:tc>
          <w:tcPr>
            <w:tcW w:w="1345" w:type="dxa"/>
            <w:shd w:val="clear" w:color="auto" w:fill="DDEBF6"/>
          </w:tcPr>
          <w:p>
            <w:pPr>
              <w:pStyle w:val="TableParagraph"/>
              <w:spacing w:before="68"/>
              <w:ind w:right="120"/>
              <w:jc w:val="right"/>
              <w:rPr>
                <w:sz w:val="20"/>
              </w:rPr>
            </w:pPr>
            <w:r>
              <w:rPr>
                <w:spacing w:val="-2"/>
                <w:sz w:val="20"/>
              </w:rPr>
              <w:t>919,428</w:t>
            </w:r>
          </w:p>
        </w:tc>
        <w:tc>
          <w:tcPr>
            <w:tcW w:w="1379" w:type="dxa"/>
            <w:shd w:val="clear" w:color="auto" w:fill="DDEBF6"/>
          </w:tcPr>
          <w:p>
            <w:pPr>
              <w:pStyle w:val="TableParagraph"/>
              <w:spacing w:before="68"/>
              <w:ind w:right="146"/>
              <w:jc w:val="right"/>
              <w:rPr>
                <w:sz w:val="20"/>
              </w:rPr>
            </w:pPr>
            <w:r>
              <w:rPr>
                <w:spacing w:val="-2"/>
                <w:sz w:val="20"/>
              </w:rPr>
              <w:t>1,315,260</w:t>
            </w:r>
          </w:p>
        </w:tc>
        <w:tc>
          <w:tcPr>
            <w:tcW w:w="1275" w:type="dxa"/>
            <w:tcBorders>
              <w:right w:val="single" w:sz="12" w:space="0" w:color="000000"/>
            </w:tcBorders>
            <w:shd w:val="clear" w:color="auto" w:fill="DDEBF6"/>
          </w:tcPr>
          <w:p>
            <w:pPr>
              <w:pStyle w:val="TableParagraph"/>
              <w:spacing w:before="68"/>
              <w:ind w:right="78"/>
              <w:jc w:val="right"/>
              <w:rPr>
                <w:sz w:val="20"/>
              </w:rPr>
            </w:pPr>
            <w:r>
              <w:rPr>
                <w:spacing w:val="-2"/>
                <w:sz w:val="20"/>
              </w:rPr>
              <w:t>14,500</w:t>
            </w:r>
          </w:p>
        </w:tc>
      </w:tr>
      <w:tr>
        <w:trPr>
          <w:trHeight w:val="301" w:hRule="atLeast"/>
        </w:trPr>
        <w:tc>
          <w:tcPr>
            <w:tcW w:w="4176" w:type="dxa"/>
            <w:tcBorders>
              <w:left w:val="single" w:sz="12" w:space="0" w:color="000000"/>
            </w:tcBorders>
            <w:shd w:val="clear" w:color="auto" w:fill="DDEBF6"/>
          </w:tcPr>
          <w:p>
            <w:pPr>
              <w:pStyle w:val="TableParagraph"/>
              <w:spacing w:before="13"/>
              <w:ind w:left="107"/>
              <w:rPr>
                <w:sz w:val="20"/>
              </w:rPr>
            </w:pPr>
            <w:r>
              <w:rPr>
                <w:sz w:val="20"/>
              </w:rPr>
              <w:t>Surplus/(deficit)</w:t>
            </w:r>
            <w:r>
              <w:rPr>
                <w:spacing w:val="-10"/>
                <w:sz w:val="20"/>
              </w:rPr>
              <w:t> </w:t>
            </w:r>
            <w:r>
              <w:rPr>
                <w:sz w:val="20"/>
              </w:rPr>
              <w:t>for</w:t>
            </w:r>
            <w:r>
              <w:rPr>
                <w:spacing w:val="-6"/>
                <w:sz w:val="20"/>
              </w:rPr>
              <w:t> </w:t>
            </w:r>
            <w:r>
              <w:rPr>
                <w:sz w:val="20"/>
              </w:rPr>
              <w:t>the</w:t>
            </w:r>
            <w:r>
              <w:rPr>
                <w:spacing w:val="-5"/>
                <w:sz w:val="20"/>
              </w:rPr>
              <w:t> </w:t>
            </w:r>
            <w:r>
              <w:rPr>
                <w:spacing w:val="-4"/>
                <w:sz w:val="20"/>
              </w:rPr>
              <w:t>year</w:t>
            </w:r>
          </w:p>
        </w:tc>
        <w:tc>
          <w:tcPr>
            <w:tcW w:w="1101" w:type="dxa"/>
            <w:shd w:val="clear" w:color="auto" w:fill="DDEBF6"/>
          </w:tcPr>
          <w:p>
            <w:pPr>
              <w:pStyle w:val="TableParagraph"/>
              <w:rPr>
                <w:rFonts w:ascii="Times New Roman"/>
                <w:sz w:val="18"/>
              </w:rPr>
            </w:pPr>
          </w:p>
        </w:tc>
        <w:tc>
          <w:tcPr>
            <w:tcW w:w="1358" w:type="dxa"/>
            <w:shd w:val="clear" w:color="auto" w:fill="DDEBF6"/>
          </w:tcPr>
          <w:p>
            <w:pPr>
              <w:pStyle w:val="TableParagraph"/>
              <w:spacing w:before="49"/>
              <w:ind w:right="124"/>
              <w:jc w:val="right"/>
              <w:rPr>
                <w:sz w:val="20"/>
              </w:rPr>
            </w:pPr>
            <w:r>
              <w:rPr>
                <w:spacing w:val="-2"/>
                <w:sz w:val="20"/>
              </w:rPr>
              <w:t>17,610</w:t>
            </w:r>
          </w:p>
        </w:tc>
        <w:tc>
          <w:tcPr>
            <w:tcW w:w="1345" w:type="dxa"/>
            <w:shd w:val="clear" w:color="auto" w:fill="DDEBF6"/>
          </w:tcPr>
          <w:p>
            <w:pPr>
              <w:pStyle w:val="TableParagraph"/>
              <w:spacing w:before="49"/>
              <w:ind w:right="120"/>
              <w:jc w:val="right"/>
              <w:rPr>
                <w:sz w:val="20"/>
              </w:rPr>
            </w:pPr>
            <w:r>
              <w:rPr>
                <w:spacing w:val="-2"/>
                <w:sz w:val="20"/>
              </w:rPr>
              <w:t>17,610</w:t>
            </w:r>
          </w:p>
        </w:tc>
        <w:tc>
          <w:tcPr>
            <w:tcW w:w="1379" w:type="dxa"/>
            <w:shd w:val="clear" w:color="auto" w:fill="DDEBF6"/>
          </w:tcPr>
          <w:p>
            <w:pPr>
              <w:pStyle w:val="TableParagraph"/>
              <w:spacing w:before="49"/>
              <w:ind w:right="146"/>
              <w:jc w:val="right"/>
              <w:rPr>
                <w:sz w:val="20"/>
              </w:rPr>
            </w:pPr>
            <w:r>
              <w:rPr>
                <w:w w:val="99"/>
                <w:sz w:val="20"/>
              </w:rPr>
              <w:t>-</w:t>
            </w:r>
          </w:p>
        </w:tc>
        <w:tc>
          <w:tcPr>
            <w:tcW w:w="1275" w:type="dxa"/>
            <w:tcBorders>
              <w:right w:val="single" w:sz="12" w:space="0" w:color="000000"/>
            </w:tcBorders>
            <w:shd w:val="clear" w:color="auto" w:fill="DDEBF6"/>
          </w:tcPr>
          <w:p>
            <w:pPr>
              <w:pStyle w:val="TableParagraph"/>
              <w:spacing w:before="49"/>
              <w:ind w:right="77"/>
              <w:jc w:val="right"/>
              <w:rPr>
                <w:sz w:val="20"/>
              </w:rPr>
            </w:pPr>
            <w:r>
              <w:rPr>
                <w:w w:val="99"/>
                <w:sz w:val="20"/>
              </w:rPr>
              <w:t>-</w:t>
            </w:r>
          </w:p>
        </w:tc>
      </w:tr>
      <w:tr>
        <w:trPr>
          <w:trHeight w:val="281" w:hRule="atLeast"/>
        </w:trPr>
        <w:tc>
          <w:tcPr>
            <w:tcW w:w="4176" w:type="dxa"/>
            <w:tcBorders>
              <w:left w:val="single" w:sz="12" w:space="0" w:color="000000"/>
            </w:tcBorders>
            <w:shd w:val="clear" w:color="auto" w:fill="DDEBF6"/>
          </w:tcPr>
          <w:p>
            <w:pPr>
              <w:pStyle w:val="TableParagraph"/>
              <w:spacing w:before="14"/>
              <w:ind w:left="107"/>
              <w:rPr>
                <w:sz w:val="20"/>
              </w:rPr>
            </w:pPr>
            <w:r>
              <w:rPr>
                <w:sz w:val="20"/>
              </w:rPr>
              <w:t>Net</w:t>
            </w:r>
            <w:r>
              <w:rPr>
                <w:spacing w:val="-7"/>
                <w:sz w:val="20"/>
              </w:rPr>
              <w:t> </w:t>
            </w:r>
            <w:r>
              <w:rPr>
                <w:sz w:val="20"/>
              </w:rPr>
              <w:t>asset</w:t>
            </w:r>
            <w:r>
              <w:rPr>
                <w:spacing w:val="-6"/>
                <w:sz w:val="20"/>
              </w:rPr>
              <w:t> </w:t>
            </w:r>
            <w:r>
              <w:rPr>
                <w:sz w:val="20"/>
              </w:rPr>
              <w:t>revaluation</w:t>
            </w:r>
            <w:r>
              <w:rPr>
                <w:spacing w:val="-7"/>
                <w:sz w:val="20"/>
              </w:rPr>
              <w:t> </w:t>
            </w:r>
            <w:r>
              <w:rPr>
                <w:spacing w:val="-2"/>
                <w:sz w:val="20"/>
              </w:rPr>
              <w:t>gain/(loss)</w:t>
            </w:r>
          </w:p>
        </w:tc>
        <w:tc>
          <w:tcPr>
            <w:tcW w:w="1101" w:type="dxa"/>
            <w:shd w:val="clear" w:color="auto" w:fill="DDEBF6"/>
          </w:tcPr>
          <w:p>
            <w:pPr>
              <w:pStyle w:val="TableParagraph"/>
              <w:rPr>
                <w:rFonts w:ascii="Times New Roman"/>
                <w:sz w:val="18"/>
              </w:rPr>
            </w:pPr>
          </w:p>
        </w:tc>
        <w:tc>
          <w:tcPr>
            <w:tcW w:w="1358" w:type="dxa"/>
            <w:tcBorders>
              <w:bottom w:val="single" w:sz="2" w:space="0" w:color="000000"/>
            </w:tcBorders>
            <w:shd w:val="clear" w:color="auto" w:fill="DDEBF6"/>
          </w:tcPr>
          <w:p>
            <w:pPr>
              <w:pStyle w:val="TableParagraph"/>
              <w:spacing w:line="211" w:lineRule="exact" w:before="50"/>
              <w:ind w:right="122"/>
              <w:jc w:val="right"/>
              <w:rPr>
                <w:sz w:val="20"/>
              </w:rPr>
            </w:pPr>
            <w:r>
              <w:rPr>
                <w:w w:val="99"/>
                <w:sz w:val="20"/>
              </w:rPr>
              <w:t>-</w:t>
            </w:r>
          </w:p>
        </w:tc>
        <w:tc>
          <w:tcPr>
            <w:tcW w:w="1345" w:type="dxa"/>
            <w:tcBorders>
              <w:bottom w:val="single" w:sz="2" w:space="0" w:color="000000"/>
            </w:tcBorders>
            <w:shd w:val="clear" w:color="auto" w:fill="DDEBF6"/>
          </w:tcPr>
          <w:p>
            <w:pPr>
              <w:pStyle w:val="TableParagraph"/>
              <w:spacing w:line="211" w:lineRule="exact" w:before="50"/>
              <w:ind w:right="118"/>
              <w:jc w:val="right"/>
              <w:rPr>
                <w:sz w:val="20"/>
              </w:rPr>
            </w:pPr>
            <w:r>
              <w:rPr>
                <w:w w:val="99"/>
                <w:sz w:val="20"/>
              </w:rPr>
              <w:t>-</w:t>
            </w:r>
          </w:p>
        </w:tc>
        <w:tc>
          <w:tcPr>
            <w:tcW w:w="1379" w:type="dxa"/>
            <w:tcBorders>
              <w:bottom w:val="single" w:sz="2" w:space="0" w:color="000000"/>
            </w:tcBorders>
            <w:shd w:val="clear" w:color="auto" w:fill="DDEBF6"/>
          </w:tcPr>
          <w:p>
            <w:pPr>
              <w:pStyle w:val="TableParagraph"/>
              <w:spacing w:line="211" w:lineRule="exact" w:before="50"/>
              <w:ind w:right="146"/>
              <w:jc w:val="right"/>
              <w:rPr>
                <w:sz w:val="20"/>
              </w:rPr>
            </w:pPr>
            <w:r>
              <w:rPr>
                <w:w w:val="99"/>
                <w:sz w:val="20"/>
              </w:rPr>
              <w:t>-</w:t>
            </w:r>
          </w:p>
        </w:tc>
        <w:tc>
          <w:tcPr>
            <w:tcW w:w="1275" w:type="dxa"/>
            <w:tcBorders>
              <w:bottom w:val="single" w:sz="2" w:space="0" w:color="000000"/>
              <w:right w:val="single" w:sz="12" w:space="0" w:color="000000"/>
            </w:tcBorders>
            <w:shd w:val="clear" w:color="auto" w:fill="DDEBF6"/>
          </w:tcPr>
          <w:p>
            <w:pPr>
              <w:pStyle w:val="TableParagraph"/>
              <w:spacing w:line="211" w:lineRule="exact" w:before="50"/>
              <w:ind w:right="77"/>
              <w:jc w:val="right"/>
              <w:rPr>
                <w:sz w:val="20"/>
              </w:rPr>
            </w:pPr>
            <w:r>
              <w:rPr>
                <w:w w:val="99"/>
                <w:sz w:val="20"/>
              </w:rPr>
              <w:t>-</w:t>
            </w:r>
          </w:p>
        </w:tc>
      </w:tr>
      <w:tr>
        <w:trPr>
          <w:trHeight w:val="302" w:hRule="atLeast"/>
        </w:trPr>
        <w:tc>
          <w:tcPr>
            <w:tcW w:w="4176" w:type="dxa"/>
            <w:tcBorders>
              <w:left w:val="single" w:sz="12" w:space="0" w:color="000000"/>
            </w:tcBorders>
            <w:shd w:val="clear" w:color="auto" w:fill="DDEBF6"/>
          </w:tcPr>
          <w:p>
            <w:pPr>
              <w:pStyle w:val="TableParagraph"/>
              <w:spacing w:before="35"/>
              <w:ind w:left="107"/>
              <w:rPr>
                <w:sz w:val="20"/>
              </w:rPr>
            </w:pPr>
            <w:r>
              <w:rPr>
                <w:sz w:val="20"/>
              </w:rPr>
              <w:t>Transfers</w:t>
            </w:r>
            <w:r>
              <w:rPr>
                <w:spacing w:val="-4"/>
                <w:sz w:val="20"/>
              </w:rPr>
              <w:t> </w:t>
            </w:r>
            <w:r>
              <w:rPr>
                <w:sz w:val="20"/>
              </w:rPr>
              <w:t>to</w:t>
            </w:r>
            <w:r>
              <w:rPr>
                <w:spacing w:val="-5"/>
                <w:sz w:val="20"/>
              </w:rPr>
              <w:t> </w:t>
            </w:r>
            <w:r>
              <w:rPr>
                <w:sz w:val="20"/>
              </w:rPr>
              <w:t>/</w:t>
            </w:r>
            <w:r>
              <w:rPr>
                <w:spacing w:val="-4"/>
                <w:sz w:val="20"/>
              </w:rPr>
              <w:t> </w:t>
            </w:r>
            <w:r>
              <w:rPr>
                <w:sz w:val="20"/>
              </w:rPr>
              <w:t>from</w:t>
            </w:r>
            <w:r>
              <w:rPr>
                <w:spacing w:val="-6"/>
                <w:sz w:val="20"/>
              </w:rPr>
              <w:t> </w:t>
            </w:r>
            <w:r>
              <w:rPr>
                <w:sz w:val="20"/>
              </w:rPr>
              <w:t>general</w:t>
            </w:r>
            <w:r>
              <w:rPr>
                <w:spacing w:val="-2"/>
                <w:sz w:val="20"/>
              </w:rPr>
              <w:t> reserve</w:t>
            </w:r>
          </w:p>
        </w:tc>
        <w:tc>
          <w:tcPr>
            <w:tcW w:w="1101" w:type="dxa"/>
            <w:shd w:val="clear" w:color="auto" w:fill="DDEBF6"/>
          </w:tcPr>
          <w:p>
            <w:pPr>
              <w:pStyle w:val="TableParagraph"/>
              <w:spacing w:before="35"/>
              <w:ind w:right="227"/>
              <w:jc w:val="right"/>
              <w:rPr>
                <w:sz w:val="20"/>
              </w:rPr>
            </w:pPr>
            <w:r>
              <w:rPr>
                <w:spacing w:val="-2"/>
                <w:sz w:val="20"/>
              </w:rPr>
              <w:t>4.3.1</w:t>
            </w:r>
          </w:p>
        </w:tc>
        <w:tc>
          <w:tcPr>
            <w:tcW w:w="1358" w:type="dxa"/>
            <w:tcBorders>
              <w:top w:val="single" w:sz="2" w:space="0" w:color="000000"/>
              <w:bottom w:val="single" w:sz="2" w:space="0" w:color="000000"/>
            </w:tcBorders>
            <w:shd w:val="clear" w:color="auto" w:fill="DDEBF6"/>
          </w:tcPr>
          <w:p>
            <w:pPr>
              <w:pStyle w:val="TableParagraph"/>
              <w:spacing w:line="211" w:lineRule="exact" w:before="71"/>
              <w:ind w:right="122"/>
              <w:jc w:val="right"/>
              <w:rPr>
                <w:sz w:val="20"/>
              </w:rPr>
            </w:pPr>
            <w:r>
              <w:rPr>
                <w:w w:val="99"/>
                <w:sz w:val="20"/>
              </w:rPr>
              <w:t>-</w:t>
            </w:r>
          </w:p>
        </w:tc>
        <w:tc>
          <w:tcPr>
            <w:tcW w:w="1345" w:type="dxa"/>
            <w:tcBorders>
              <w:top w:val="single" w:sz="2" w:space="0" w:color="000000"/>
              <w:bottom w:val="single" w:sz="2" w:space="0" w:color="000000"/>
            </w:tcBorders>
            <w:shd w:val="clear" w:color="auto" w:fill="DDEBF6"/>
          </w:tcPr>
          <w:p>
            <w:pPr>
              <w:pStyle w:val="TableParagraph"/>
              <w:spacing w:line="211" w:lineRule="exact" w:before="71"/>
              <w:ind w:right="119"/>
              <w:jc w:val="right"/>
              <w:rPr>
                <w:sz w:val="20"/>
              </w:rPr>
            </w:pPr>
            <w:r>
              <w:rPr>
                <w:spacing w:val="-2"/>
                <w:sz w:val="20"/>
              </w:rPr>
              <w:t>2,500</w:t>
            </w:r>
          </w:p>
        </w:tc>
        <w:tc>
          <w:tcPr>
            <w:tcW w:w="1379" w:type="dxa"/>
            <w:tcBorders>
              <w:top w:val="single" w:sz="2" w:space="0" w:color="000000"/>
              <w:bottom w:val="single" w:sz="2" w:space="0" w:color="000000"/>
            </w:tcBorders>
            <w:shd w:val="clear" w:color="auto" w:fill="DDEBF6"/>
          </w:tcPr>
          <w:p>
            <w:pPr>
              <w:pStyle w:val="TableParagraph"/>
              <w:spacing w:line="211" w:lineRule="exact" w:before="71"/>
              <w:ind w:right="146"/>
              <w:jc w:val="right"/>
              <w:rPr>
                <w:sz w:val="20"/>
              </w:rPr>
            </w:pPr>
            <w:r>
              <w:rPr>
                <w:w w:val="99"/>
                <w:sz w:val="20"/>
              </w:rPr>
              <w:t>-</w:t>
            </w:r>
          </w:p>
        </w:tc>
        <w:tc>
          <w:tcPr>
            <w:tcW w:w="1275" w:type="dxa"/>
            <w:tcBorders>
              <w:top w:val="single" w:sz="2" w:space="0" w:color="000000"/>
              <w:bottom w:val="single" w:sz="2" w:space="0" w:color="000000"/>
              <w:right w:val="single" w:sz="12" w:space="0" w:color="000000"/>
            </w:tcBorders>
            <w:shd w:val="clear" w:color="auto" w:fill="DDEBF6"/>
          </w:tcPr>
          <w:p>
            <w:pPr>
              <w:pStyle w:val="TableParagraph"/>
              <w:spacing w:line="211" w:lineRule="exact" w:before="71"/>
              <w:ind w:right="79"/>
              <w:jc w:val="right"/>
              <w:rPr>
                <w:sz w:val="20"/>
              </w:rPr>
            </w:pPr>
            <w:r>
              <w:rPr>
                <w:spacing w:val="-2"/>
                <w:sz w:val="20"/>
              </w:rPr>
              <w:t>(2,500)</w:t>
            </w:r>
          </w:p>
        </w:tc>
      </w:tr>
      <w:tr>
        <w:trPr>
          <w:trHeight w:val="309" w:hRule="atLeast"/>
        </w:trPr>
        <w:tc>
          <w:tcPr>
            <w:tcW w:w="4176" w:type="dxa"/>
            <w:tcBorders>
              <w:left w:val="single" w:sz="12" w:space="0" w:color="000000"/>
            </w:tcBorders>
            <w:shd w:val="clear" w:color="auto" w:fill="DDEBF6"/>
          </w:tcPr>
          <w:p>
            <w:pPr>
              <w:pStyle w:val="TableParagraph"/>
              <w:spacing w:before="42"/>
              <w:ind w:left="107"/>
              <w:rPr>
                <w:b/>
                <w:sz w:val="20"/>
              </w:rPr>
            </w:pPr>
            <w:r>
              <w:rPr>
                <w:b/>
                <w:sz w:val="20"/>
              </w:rPr>
              <w:t>Balance</w:t>
            </w:r>
            <w:r>
              <w:rPr>
                <w:b/>
                <w:spacing w:val="-8"/>
                <w:sz w:val="20"/>
              </w:rPr>
              <w:t> </w:t>
            </w:r>
            <w:r>
              <w:rPr>
                <w:b/>
                <w:sz w:val="20"/>
              </w:rPr>
              <w:t>at</w:t>
            </w:r>
            <w:r>
              <w:rPr>
                <w:b/>
                <w:spacing w:val="-3"/>
                <w:sz w:val="20"/>
              </w:rPr>
              <w:t> </w:t>
            </w:r>
            <w:r>
              <w:rPr>
                <w:b/>
                <w:sz w:val="20"/>
              </w:rPr>
              <w:t>end</w:t>
            </w:r>
            <w:r>
              <w:rPr>
                <w:b/>
                <w:spacing w:val="-5"/>
                <w:sz w:val="20"/>
              </w:rPr>
              <w:t> </w:t>
            </w:r>
            <w:r>
              <w:rPr>
                <w:b/>
                <w:sz w:val="20"/>
              </w:rPr>
              <w:t>of</w:t>
            </w:r>
            <w:r>
              <w:rPr>
                <w:b/>
                <w:spacing w:val="-3"/>
                <w:sz w:val="20"/>
              </w:rPr>
              <w:t> </w:t>
            </w:r>
            <w:r>
              <w:rPr>
                <w:b/>
                <w:sz w:val="20"/>
              </w:rPr>
              <w:t>the</w:t>
            </w:r>
            <w:r>
              <w:rPr>
                <w:b/>
                <w:spacing w:val="-5"/>
                <w:sz w:val="20"/>
              </w:rPr>
              <w:t> </w:t>
            </w:r>
            <w:r>
              <w:rPr>
                <w:b/>
                <w:sz w:val="20"/>
              </w:rPr>
              <w:t>financial</w:t>
            </w:r>
            <w:r>
              <w:rPr>
                <w:b/>
                <w:spacing w:val="-5"/>
                <w:sz w:val="20"/>
              </w:rPr>
              <w:t> </w:t>
            </w:r>
            <w:r>
              <w:rPr>
                <w:b/>
                <w:spacing w:val="-4"/>
                <w:sz w:val="20"/>
              </w:rPr>
              <w:t>year</w:t>
            </w:r>
          </w:p>
        </w:tc>
        <w:tc>
          <w:tcPr>
            <w:tcW w:w="1101" w:type="dxa"/>
            <w:shd w:val="clear" w:color="auto" w:fill="DDEBF6"/>
          </w:tcPr>
          <w:p>
            <w:pPr>
              <w:pStyle w:val="TableParagraph"/>
              <w:spacing w:before="42"/>
              <w:ind w:right="227"/>
              <w:jc w:val="right"/>
              <w:rPr>
                <w:sz w:val="20"/>
              </w:rPr>
            </w:pPr>
            <w:r>
              <w:rPr>
                <w:spacing w:val="-2"/>
                <w:sz w:val="20"/>
              </w:rPr>
              <w:t>4.3.2</w:t>
            </w:r>
          </w:p>
        </w:tc>
        <w:tc>
          <w:tcPr>
            <w:tcW w:w="1358" w:type="dxa"/>
            <w:tcBorders>
              <w:top w:val="single" w:sz="2" w:space="0" w:color="000000"/>
              <w:bottom w:val="thickThinMediumGap" w:sz="3" w:space="0" w:color="000000"/>
            </w:tcBorders>
            <w:shd w:val="clear" w:color="auto" w:fill="DDEBF6"/>
          </w:tcPr>
          <w:p>
            <w:pPr>
              <w:pStyle w:val="TableParagraph"/>
              <w:spacing w:line="204" w:lineRule="exact" w:before="86"/>
              <w:ind w:right="122"/>
              <w:jc w:val="right"/>
              <w:rPr>
                <w:b/>
                <w:sz w:val="20"/>
              </w:rPr>
            </w:pPr>
            <w:r>
              <w:rPr>
                <w:b/>
                <w:spacing w:val="-2"/>
                <w:sz w:val="20"/>
              </w:rPr>
              <w:t>2,266,798</w:t>
            </w:r>
          </w:p>
        </w:tc>
        <w:tc>
          <w:tcPr>
            <w:tcW w:w="1345" w:type="dxa"/>
            <w:tcBorders>
              <w:top w:val="single" w:sz="2" w:space="0" w:color="000000"/>
              <w:bottom w:val="thickThinMediumGap" w:sz="3" w:space="0" w:color="000000"/>
            </w:tcBorders>
            <w:shd w:val="clear" w:color="auto" w:fill="DDEBF6"/>
          </w:tcPr>
          <w:p>
            <w:pPr>
              <w:pStyle w:val="TableParagraph"/>
              <w:spacing w:line="204" w:lineRule="exact" w:before="86"/>
              <w:ind w:right="120"/>
              <w:jc w:val="right"/>
              <w:rPr>
                <w:b/>
                <w:sz w:val="20"/>
              </w:rPr>
            </w:pPr>
            <w:r>
              <w:rPr>
                <w:b/>
                <w:spacing w:val="-2"/>
                <w:sz w:val="20"/>
              </w:rPr>
              <w:t>939,538</w:t>
            </w:r>
          </w:p>
        </w:tc>
        <w:tc>
          <w:tcPr>
            <w:tcW w:w="1379" w:type="dxa"/>
            <w:tcBorders>
              <w:top w:val="single" w:sz="2" w:space="0" w:color="000000"/>
              <w:bottom w:val="thickThinMediumGap" w:sz="3" w:space="0" w:color="000000"/>
            </w:tcBorders>
            <w:shd w:val="clear" w:color="auto" w:fill="DDEBF6"/>
          </w:tcPr>
          <w:p>
            <w:pPr>
              <w:pStyle w:val="TableParagraph"/>
              <w:spacing w:line="204" w:lineRule="exact" w:before="86"/>
              <w:ind w:right="146"/>
              <w:jc w:val="right"/>
              <w:rPr>
                <w:b/>
                <w:sz w:val="20"/>
              </w:rPr>
            </w:pPr>
            <w:r>
              <w:rPr>
                <w:b/>
                <w:spacing w:val="-2"/>
                <w:sz w:val="20"/>
              </w:rPr>
              <w:t>1,315,260</w:t>
            </w:r>
          </w:p>
        </w:tc>
        <w:tc>
          <w:tcPr>
            <w:tcW w:w="1275" w:type="dxa"/>
            <w:tcBorders>
              <w:top w:val="single" w:sz="2" w:space="0" w:color="000000"/>
              <w:bottom w:val="thickThinMediumGap" w:sz="3" w:space="0" w:color="000000"/>
              <w:right w:val="single" w:sz="12" w:space="0" w:color="000000"/>
            </w:tcBorders>
            <w:shd w:val="clear" w:color="auto" w:fill="DDEBF6"/>
          </w:tcPr>
          <w:p>
            <w:pPr>
              <w:pStyle w:val="TableParagraph"/>
              <w:spacing w:line="204" w:lineRule="exact" w:before="86"/>
              <w:ind w:right="78"/>
              <w:jc w:val="right"/>
              <w:rPr>
                <w:b/>
                <w:sz w:val="20"/>
              </w:rPr>
            </w:pPr>
            <w:r>
              <w:rPr>
                <w:b/>
                <w:spacing w:val="-2"/>
                <w:sz w:val="20"/>
              </w:rPr>
              <w:t>12,000</w:t>
            </w:r>
          </w:p>
        </w:tc>
      </w:tr>
      <w:tr>
        <w:trPr>
          <w:trHeight w:val="615" w:hRule="atLeast"/>
        </w:trPr>
        <w:tc>
          <w:tcPr>
            <w:tcW w:w="5277" w:type="dxa"/>
            <w:gridSpan w:val="2"/>
            <w:tcBorders>
              <w:left w:val="single" w:sz="12" w:space="0" w:color="000000"/>
            </w:tcBorders>
          </w:tcPr>
          <w:p>
            <w:pPr>
              <w:pStyle w:val="TableParagraph"/>
              <w:rPr>
                <w:i/>
                <w:sz w:val="30"/>
              </w:rPr>
            </w:pPr>
          </w:p>
          <w:p>
            <w:pPr>
              <w:pStyle w:val="TableParagraph"/>
              <w:ind w:left="107"/>
              <w:rPr>
                <w:b/>
                <w:sz w:val="20"/>
              </w:rPr>
            </w:pPr>
            <w:r>
              <w:rPr>
                <w:b/>
                <w:spacing w:val="-4"/>
                <w:sz w:val="20"/>
              </w:rPr>
              <w:t>2027</w:t>
            </w:r>
          </w:p>
        </w:tc>
        <w:tc>
          <w:tcPr>
            <w:tcW w:w="1358" w:type="dxa"/>
            <w:tcBorders>
              <w:top w:val="thinThickMediumGap" w:sz="3" w:space="0" w:color="000000"/>
            </w:tcBorders>
          </w:tcPr>
          <w:p>
            <w:pPr>
              <w:pStyle w:val="TableParagraph"/>
              <w:rPr>
                <w:rFonts w:ascii="Times New Roman"/>
                <w:sz w:val="18"/>
              </w:rPr>
            </w:pPr>
          </w:p>
        </w:tc>
        <w:tc>
          <w:tcPr>
            <w:tcW w:w="1345" w:type="dxa"/>
            <w:tcBorders>
              <w:top w:val="thinThickMediumGap" w:sz="3" w:space="0" w:color="000000"/>
            </w:tcBorders>
          </w:tcPr>
          <w:p>
            <w:pPr>
              <w:pStyle w:val="TableParagraph"/>
              <w:rPr>
                <w:rFonts w:ascii="Times New Roman"/>
                <w:sz w:val="18"/>
              </w:rPr>
            </w:pPr>
          </w:p>
        </w:tc>
        <w:tc>
          <w:tcPr>
            <w:tcW w:w="1379" w:type="dxa"/>
            <w:tcBorders>
              <w:top w:val="thinThickMediumGap" w:sz="3" w:space="0" w:color="000000"/>
            </w:tcBorders>
          </w:tcPr>
          <w:p>
            <w:pPr>
              <w:pStyle w:val="TableParagraph"/>
              <w:rPr>
                <w:rFonts w:ascii="Times New Roman"/>
                <w:sz w:val="18"/>
              </w:rPr>
            </w:pPr>
          </w:p>
        </w:tc>
        <w:tc>
          <w:tcPr>
            <w:tcW w:w="1275" w:type="dxa"/>
            <w:tcBorders>
              <w:top w:val="thinThickMediumGap" w:sz="3" w:space="0" w:color="000000"/>
              <w:right w:val="single" w:sz="12" w:space="0" w:color="000000"/>
            </w:tcBorders>
          </w:tcPr>
          <w:p>
            <w:pPr>
              <w:pStyle w:val="TableParagraph"/>
              <w:rPr>
                <w:rFonts w:ascii="Times New Roman"/>
                <w:sz w:val="18"/>
              </w:rPr>
            </w:pPr>
          </w:p>
        </w:tc>
      </w:tr>
      <w:tr>
        <w:trPr>
          <w:trHeight w:val="319" w:hRule="atLeast"/>
        </w:trPr>
        <w:tc>
          <w:tcPr>
            <w:tcW w:w="5277" w:type="dxa"/>
            <w:gridSpan w:val="2"/>
            <w:tcBorders>
              <w:left w:val="single" w:sz="12" w:space="0" w:color="000000"/>
            </w:tcBorders>
          </w:tcPr>
          <w:p>
            <w:pPr>
              <w:pStyle w:val="TableParagraph"/>
              <w:spacing w:before="32"/>
              <w:ind w:left="107"/>
              <w:rPr>
                <w:sz w:val="20"/>
              </w:rPr>
            </w:pPr>
            <w:r>
              <w:rPr>
                <w:sz w:val="20"/>
              </w:rPr>
              <w:t>Balance</w:t>
            </w:r>
            <w:r>
              <w:rPr>
                <w:spacing w:val="-6"/>
                <w:sz w:val="20"/>
              </w:rPr>
              <w:t> </w:t>
            </w:r>
            <w:r>
              <w:rPr>
                <w:sz w:val="20"/>
              </w:rPr>
              <w:t>at</w:t>
            </w:r>
            <w:r>
              <w:rPr>
                <w:spacing w:val="-6"/>
                <w:sz w:val="20"/>
              </w:rPr>
              <w:t> </w:t>
            </w:r>
            <w:r>
              <w:rPr>
                <w:sz w:val="20"/>
              </w:rPr>
              <w:t>beginning</w:t>
            </w:r>
            <w:r>
              <w:rPr>
                <w:spacing w:val="-4"/>
                <w:sz w:val="20"/>
              </w:rPr>
              <w:t> </w:t>
            </w:r>
            <w:r>
              <w:rPr>
                <w:sz w:val="20"/>
              </w:rPr>
              <w:t>of</w:t>
            </w:r>
            <w:r>
              <w:rPr>
                <w:spacing w:val="-6"/>
                <w:sz w:val="20"/>
              </w:rPr>
              <w:t> </w:t>
            </w:r>
            <w:r>
              <w:rPr>
                <w:sz w:val="20"/>
              </w:rPr>
              <w:t>the</w:t>
            </w:r>
            <w:r>
              <w:rPr>
                <w:spacing w:val="-4"/>
                <w:sz w:val="20"/>
              </w:rPr>
              <w:t> </w:t>
            </w:r>
            <w:r>
              <w:rPr>
                <w:sz w:val="20"/>
              </w:rPr>
              <w:t>financial</w:t>
            </w:r>
            <w:r>
              <w:rPr>
                <w:spacing w:val="-7"/>
                <w:sz w:val="20"/>
              </w:rPr>
              <w:t> </w:t>
            </w:r>
            <w:r>
              <w:rPr>
                <w:spacing w:val="-4"/>
                <w:sz w:val="20"/>
              </w:rPr>
              <w:t>year</w:t>
            </w:r>
          </w:p>
        </w:tc>
        <w:tc>
          <w:tcPr>
            <w:tcW w:w="1358" w:type="dxa"/>
          </w:tcPr>
          <w:p>
            <w:pPr>
              <w:pStyle w:val="TableParagraph"/>
              <w:spacing w:before="68"/>
              <w:ind w:right="122"/>
              <w:jc w:val="right"/>
              <w:rPr>
                <w:sz w:val="20"/>
              </w:rPr>
            </w:pPr>
            <w:r>
              <w:rPr>
                <w:spacing w:val="-2"/>
                <w:sz w:val="20"/>
              </w:rPr>
              <w:t>2,266,798</w:t>
            </w:r>
          </w:p>
        </w:tc>
        <w:tc>
          <w:tcPr>
            <w:tcW w:w="1345" w:type="dxa"/>
          </w:tcPr>
          <w:p>
            <w:pPr>
              <w:pStyle w:val="TableParagraph"/>
              <w:spacing w:before="68"/>
              <w:ind w:right="120"/>
              <w:jc w:val="right"/>
              <w:rPr>
                <w:sz w:val="20"/>
              </w:rPr>
            </w:pPr>
            <w:r>
              <w:rPr>
                <w:spacing w:val="-2"/>
                <w:sz w:val="20"/>
              </w:rPr>
              <w:t>939,538</w:t>
            </w:r>
          </w:p>
        </w:tc>
        <w:tc>
          <w:tcPr>
            <w:tcW w:w="1379" w:type="dxa"/>
          </w:tcPr>
          <w:p>
            <w:pPr>
              <w:pStyle w:val="TableParagraph"/>
              <w:spacing w:before="68"/>
              <w:ind w:right="146"/>
              <w:jc w:val="right"/>
              <w:rPr>
                <w:sz w:val="20"/>
              </w:rPr>
            </w:pPr>
            <w:r>
              <w:rPr>
                <w:spacing w:val="-2"/>
                <w:sz w:val="20"/>
              </w:rPr>
              <w:t>1,315,260</w:t>
            </w:r>
          </w:p>
        </w:tc>
        <w:tc>
          <w:tcPr>
            <w:tcW w:w="1275" w:type="dxa"/>
            <w:tcBorders>
              <w:right w:val="single" w:sz="12" w:space="0" w:color="000000"/>
            </w:tcBorders>
          </w:tcPr>
          <w:p>
            <w:pPr>
              <w:pStyle w:val="TableParagraph"/>
              <w:spacing w:before="68"/>
              <w:ind w:right="78"/>
              <w:jc w:val="right"/>
              <w:rPr>
                <w:sz w:val="20"/>
              </w:rPr>
            </w:pPr>
            <w:r>
              <w:rPr>
                <w:spacing w:val="-2"/>
                <w:sz w:val="20"/>
              </w:rPr>
              <w:t>12,000</w:t>
            </w:r>
          </w:p>
        </w:tc>
      </w:tr>
      <w:tr>
        <w:trPr>
          <w:trHeight w:val="301" w:hRule="atLeast"/>
        </w:trPr>
        <w:tc>
          <w:tcPr>
            <w:tcW w:w="5277" w:type="dxa"/>
            <w:gridSpan w:val="2"/>
            <w:tcBorders>
              <w:left w:val="single" w:sz="12" w:space="0" w:color="000000"/>
            </w:tcBorders>
          </w:tcPr>
          <w:p>
            <w:pPr>
              <w:pStyle w:val="TableParagraph"/>
              <w:spacing w:before="13"/>
              <w:ind w:left="107"/>
              <w:rPr>
                <w:sz w:val="20"/>
              </w:rPr>
            </w:pPr>
            <w:r>
              <w:rPr>
                <w:sz w:val="20"/>
              </w:rPr>
              <w:t>Surplus/(deficit)</w:t>
            </w:r>
            <w:r>
              <w:rPr>
                <w:spacing w:val="-10"/>
                <w:sz w:val="20"/>
              </w:rPr>
              <w:t> </w:t>
            </w:r>
            <w:r>
              <w:rPr>
                <w:sz w:val="20"/>
              </w:rPr>
              <w:t>for</w:t>
            </w:r>
            <w:r>
              <w:rPr>
                <w:spacing w:val="-6"/>
                <w:sz w:val="20"/>
              </w:rPr>
              <w:t> </w:t>
            </w:r>
            <w:r>
              <w:rPr>
                <w:sz w:val="20"/>
              </w:rPr>
              <w:t>the</w:t>
            </w:r>
            <w:r>
              <w:rPr>
                <w:spacing w:val="-5"/>
                <w:sz w:val="20"/>
              </w:rPr>
              <w:t> </w:t>
            </w:r>
            <w:r>
              <w:rPr>
                <w:spacing w:val="-4"/>
                <w:sz w:val="20"/>
              </w:rPr>
              <w:t>year</w:t>
            </w:r>
          </w:p>
        </w:tc>
        <w:tc>
          <w:tcPr>
            <w:tcW w:w="1358" w:type="dxa"/>
          </w:tcPr>
          <w:p>
            <w:pPr>
              <w:pStyle w:val="TableParagraph"/>
              <w:spacing w:before="49"/>
              <w:ind w:right="124"/>
              <w:jc w:val="right"/>
              <w:rPr>
                <w:sz w:val="20"/>
              </w:rPr>
            </w:pPr>
            <w:r>
              <w:rPr>
                <w:spacing w:val="-2"/>
                <w:sz w:val="20"/>
              </w:rPr>
              <w:t>26,861</w:t>
            </w:r>
          </w:p>
        </w:tc>
        <w:tc>
          <w:tcPr>
            <w:tcW w:w="1345" w:type="dxa"/>
          </w:tcPr>
          <w:p>
            <w:pPr>
              <w:pStyle w:val="TableParagraph"/>
              <w:spacing w:before="49"/>
              <w:ind w:right="120"/>
              <w:jc w:val="right"/>
              <w:rPr>
                <w:sz w:val="20"/>
              </w:rPr>
            </w:pPr>
            <w:r>
              <w:rPr>
                <w:spacing w:val="-2"/>
                <w:sz w:val="20"/>
              </w:rPr>
              <w:t>26,861</w:t>
            </w:r>
          </w:p>
        </w:tc>
        <w:tc>
          <w:tcPr>
            <w:tcW w:w="1379" w:type="dxa"/>
          </w:tcPr>
          <w:p>
            <w:pPr>
              <w:pStyle w:val="TableParagraph"/>
              <w:spacing w:before="49"/>
              <w:ind w:right="146"/>
              <w:jc w:val="right"/>
              <w:rPr>
                <w:sz w:val="20"/>
              </w:rPr>
            </w:pPr>
            <w:r>
              <w:rPr>
                <w:w w:val="99"/>
                <w:sz w:val="20"/>
              </w:rPr>
              <w:t>-</w:t>
            </w:r>
          </w:p>
        </w:tc>
        <w:tc>
          <w:tcPr>
            <w:tcW w:w="1275" w:type="dxa"/>
            <w:tcBorders>
              <w:right w:val="single" w:sz="12" w:space="0" w:color="000000"/>
            </w:tcBorders>
          </w:tcPr>
          <w:p>
            <w:pPr>
              <w:pStyle w:val="TableParagraph"/>
              <w:spacing w:before="49"/>
              <w:ind w:right="77"/>
              <w:jc w:val="right"/>
              <w:rPr>
                <w:sz w:val="20"/>
              </w:rPr>
            </w:pPr>
            <w:r>
              <w:rPr>
                <w:w w:val="99"/>
                <w:sz w:val="20"/>
              </w:rPr>
              <w:t>-</w:t>
            </w:r>
          </w:p>
        </w:tc>
      </w:tr>
      <w:tr>
        <w:trPr>
          <w:trHeight w:val="302" w:hRule="atLeast"/>
        </w:trPr>
        <w:tc>
          <w:tcPr>
            <w:tcW w:w="5277" w:type="dxa"/>
            <w:gridSpan w:val="2"/>
            <w:tcBorders>
              <w:left w:val="single" w:sz="12" w:space="0" w:color="000000"/>
            </w:tcBorders>
          </w:tcPr>
          <w:p>
            <w:pPr>
              <w:pStyle w:val="TableParagraph"/>
              <w:spacing w:before="14"/>
              <w:ind w:left="107"/>
              <w:rPr>
                <w:sz w:val="20"/>
              </w:rPr>
            </w:pPr>
            <w:r>
              <w:rPr>
                <w:sz w:val="20"/>
              </w:rPr>
              <w:t>Net</w:t>
            </w:r>
            <w:r>
              <w:rPr>
                <w:spacing w:val="-7"/>
                <w:sz w:val="20"/>
              </w:rPr>
              <w:t> </w:t>
            </w:r>
            <w:r>
              <w:rPr>
                <w:sz w:val="20"/>
              </w:rPr>
              <w:t>asset</w:t>
            </w:r>
            <w:r>
              <w:rPr>
                <w:spacing w:val="-6"/>
                <w:sz w:val="20"/>
              </w:rPr>
              <w:t> </w:t>
            </w:r>
            <w:r>
              <w:rPr>
                <w:sz w:val="20"/>
              </w:rPr>
              <w:t>revaluation</w:t>
            </w:r>
            <w:r>
              <w:rPr>
                <w:spacing w:val="-7"/>
                <w:sz w:val="20"/>
              </w:rPr>
              <w:t> </w:t>
            </w:r>
            <w:r>
              <w:rPr>
                <w:spacing w:val="-2"/>
                <w:sz w:val="20"/>
              </w:rPr>
              <w:t>gain/(loss)</w:t>
            </w:r>
          </w:p>
        </w:tc>
        <w:tc>
          <w:tcPr>
            <w:tcW w:w="1358" w:type="dxa"/>
          </w:tcPr>
          <w:p>
            <w:pPr>
              <w:pStyle w:val="TableParagraph"/>
              <w:spacing w:before="50"/>
              <w:ind w:right="122"/>
              <w:jc w:val="right"/>
              <w:rPr>
                <w:sz w:val="20"/>
              </w:rPr>
            </w:pPr>
            <w:r>
              <w:rPr>
                <w:w w:val="99"/>
                <w:sz w:val="20"/>
              </w:rPr>
              <w:t>-</w:t>
            </w:r>
          </w:p>
        </w:tc>
        <w:tc>
          <w:tcPr>
            <w:tcW w:w="1345" w:type="dxa"/>
          </w:tcPr>
          <w:p>
            <w:pPr>
              <w:pStyle w:val="TableParagraph"/>
              <w:spacing w:before="50"/>
              <w:ind w:right="118"/>
              <w:jc w:val="right"/>
              <w:rPr>
                <w:sz w:val="20"/>
              </w:rPr>
            </w:pPr>
            <w:r>
              <w:rPr>
                <w:w w:val="99"/>
                <w:sz w:val="20"/>
              </w:rPr>
              <w:t>-</w:t>
            </w:r>
          </w:p>
        </w:tc>
        <w:tc>
          <w:tcPr>
            <w:tcW w:w="1379" w:type="dxa"/>
          </w:tcPr>
          <w:p>
            <w:pPr>
              <w:pStyle w:val="TableParagraph"/>
              <w:spacing w:before="50"/>
              <w:ind w:right="146"/>
              <w:jc w:val="right"/>
              <w:rPr>
                <w:sz w:val="20"/>
              </w:rPr>
            </w:pPr>
            <w:r>
              <w:rPr>
                <w:w w:val="99"/>
                <w:sz w:val="20"/>
              </w:rPr>
              <w:t>-</w:t>
            </w:r>
          </w:p>
        </w:tc>
        <w:tc>
          <w:tcPr>
            <w:tcW w:w="1275" w:type="dxa"/>
            <w:tcBorders>
              <w:right w:val="single" w:sz="12" w:space="0" w:color="000000"/>
            </w:tcBorders>
          </w:tcPr>
          <w:p>
            <w:pPr>
              <w:pStyle w:val="TableParagraph"/>
              <w:spacing w:before="50"/>
              <w:ind w:right="77"/>
              <w:jc w:val="right"/>
              <w:rPr>
                <w:sz w:val="20"/>
              </w:rPr>
            </w:pPr>
            <w:r>
              <w:rPr>
                <w:w w:val="99"/>
                <w:sz w:val="20"/>
              </w:rPr>
              <w:t>-</w:t>
            </w:r>
          </w:p>
        </w:tc>
      </w:tr>
      <w:tr>
        <w:trPr>
          <w:trHeight w:val="281" w:hRule="atLeast"/>
        </w:trPr>
        <w:tc>
          <w:tcPr>
            <w:tcW w:w="5277" w:type="dxa"/>
            <w:gridSpan w:val="2"/>
            <w:tcBorders>
              <w:left w:val="single" w:sz="12" w:space="0" w:color="000000"/>
            </w:tcBorders>
          </w:tcPr>
          <w:p>
            <w:pPr>
              <w:pStyle w:val="TableParagraph"/>
              <w:spacing w:before="14"/>
              <w:ind w:left="107"/>
              <w:rPr>
                <w:sz w:val="20"/>
              </w:rPr>
            </w:pPr>
            <w:r>
              <w:rPr>
                <w:sz w:val="20"/>
              </w:rPr>
              <w:t>Transfers</w:t>
            </w:r>
            <w:r>
              <w:rPr>
                <w:spacing w:val="-4"/>
                <w:sz w:val="20"/>
              </w:rPr>
              <w:t> </w:t>
            </w:r>
            <w:r>
              <w:rPr>
                <w:sz w:val="20"/>
              </w:rPr>
              <w:t>to</w:t>
            </w:r>
            <w:r>
              <w:rPr>
                <w:spacing w:val="-5"/>
                <w:sz w:val="20"/>
              </w:rPr>
              <w:t> </w:t>
            </w:r>
            <w:r>
              <w:rPr>
                <w:sz w:val="20"/>
              </w:rPr>
              <w:t>/</w:t>
            </w:r>
            <w:r>
              <w:rPr>
                <w:spacing w:val="-4"/>
                <w:sz w:val="20"/>
              </w:rPr>
              <w:t> </w:t>
            </w:r>
            <w:r>
              <w:rPr>
                <w:sz w:val="20"/>
              </w:rPr>
              <w:t>from</w:t>
            </w:r>
            <w:r>
              <w:rPr>
                <w:spacing w:val="-6"/>
                <w:sz w:val="20"/>
              </w:rPr>
              <w:t> </w:t>
            </w:r>
            <w:r>
              <w:rPr>
                <w:sz w:val="20"/>
              </w:rPr>
              <w:t>general</w:t>
            </w:r>
            <w:r>
              <w:rPr>
                <w:spacing w:val="-2"/>
                <w:sz w:val="20"/>
              </w:rPr>
              <w:t> reserve</w:t>
            </w:r>
          </w:p>
        </w:tc>
        <w:tc>
          <w:tcPr>
            <w:tcW w:w="1358" w:type="dxa"/>
            <w:tcBorders>
              <w:bottom w:val="single" w:sz="2" w:space="0" w:color="000000"/>
            </w:tcBorders>
          </w:tcPr>
          <w:p>
            <w:pPr>
              <w:pStyle w:val="TableParagraph"/>
              <w:spacing w:line="211" w:lineRule="exact" w:before="50"/>
              <w:ind w:right="122"/>
              <w:jc w:val="right"/>
              <w:rPr>
                <w:sz w:val="20"/>
              </w:rPr>
            </w:pPr>
            <w:r>
              <w:rPr>
                <w:w w:val="99"/>
                <w:sz w:val="20"/>
              </w:rPr>
              <w:t>-</w:t>
            </w:r>
          </w:p>
        </w:tc>
        <w:tc>
          <w:tcPr>
            <w:tcW w:w="1345" w:type="dxa"/>
            <w:tcBorders>
              <w:bottom w:val="single" w:sz="2" w:space="0" w:color="000000"/>
            </w:tcBorders>
          </w:tcPr>
          <w:p>
            <w:pPr>
              <w:pStyle w:val="TableParagraph"/>
              <w:spacing w:line="211" w:lineRule="exact" w:before="50"/>
              <w:ind w:right="119"/>
              <w:jc w:val="right"/>
              <w:rPr>
                <w:sz w:val="20"/>
              </w:rPr>
            </w:pPr>
            <w:r>
              <w:rPr>
                <w:spacing w:val="-2"/>
                <w:sz w:val="20"/>
              </w:rPr>
              <w:t>9,000</w:t>
            </w:r>
          </w:p>
        </w:tc>
        <w:tc>
          <w:tcPr>
            <w:tcW w:w="1379" w:type="dxa"/>
            <w:tcBorders>
              <w:bottom w:val="single" w:sz="2" w:space="0" w:color="000000"/>
            </w:tcBorders>
          </w:tcPr>
          <w:p>
            <w:pPr>
              <w:pStyle w:val="TableParagraph"/>
              <w:spacing w:line="211" w:lineRule="exact" w:before="50"/>
              <w:ind w:right="146"/>
              <w:jc w:val="right"/>
              <w:rPr>
                <w:sz w:val="20"/>
              </w:rPr>
            </w:pPr>
            <w:r>
              <w:rPr>
                <w:w w:val="99"/>
                <w:sz w:val="20"/>
              </w:rPr>
              <w:t>-</w:t>
            </w:r>
          </w:p>
        </w:tc>
        <w:tc>
          <w:tcPr>
            <w:tcW w:w="1275" w:type="dxa"/>
            <w:tcBorders>
              <w:bottom w:val="single" w:sz="2" w:space="0" w:color="000000"/>
              <w:right w:val="single" w:sz="12" w:space="0" w:color="000000"/>
            </w:tcBorders>
          </w:tcPr>
          <w:p>
            <w:pPr>
              <w:pStyle w:val="TableParagraph"/>
              <w:spacing w:line="211" w:lineRule="exact" w:before="50"/>
              <w:ind w:right="79"/>
              <w:jc w:val="right"/>
              <w:rPr>
                <w:sz w:val="20"/>
              </w:rPr>
            </w:pPr>
            <w:r>
              <w:rPr>
                <w:spacing w:val="-2"/>
                <w:sz w:val="20"/>
              </w:rPr>
              <w:t>(9,000)</w:t>
            </w:r>
          </w:p>
        </w:tc>
      </w:tr>
      <w:tr>
        <w:trPr>
          <w:trHeight w:val="309" w:hRule="atLeast"/>
        </w:trPr>
        <w:tc>
          <w:tcPr>
            <w:tcW w:w="5277" w:type="dxa"/>
            <w:gridSpan w:val="2"/>
            <w:tcBorders>
              <w:left w:val="single" w:sz="12" w:space="0" w:color="000000"/>
            </w:tcBorders>
          </w:tcPr>
          <w:p>
            <w:pPr>
              <w:pStyle w:val="TableParagraph"/>
              <w:spacing w:line="229" w:lineRule="exact"/>
              <w:ind w:left="107"/>
              <w:rPr>
                <w:b/>
                <w:sz w:val="20"/>
              </w:rPr>
            </w:pPr>
            <w:r>
              <w:rPr>
                <w:b/>
                <w:sz w:val="20"/>
              </w:rPr>
              <w:t>Balance</w:t>
            </w:r>
            <w:r>
              <w:rPr>
                <w:b/>
                <w:spacing w:val="-8"/>
                <w:sz w:val="20"/>
              </w:rPr>
              <w:t> </w:t>
            </w:r>
            <w:r>
              <w:rPr>
                <w:b/>
                <w:sz w:val="20"/>
              </w:rPr>
              <w:t>at</w:t>
            </w:r>
            <w:r>
              <w:rPr>
                <w:b/>
                <w:spacing w:val="-3"/>
                <w:sz w:val="20"/>
              </w:rPr>
              <w:t> </w:t>
            </w:r>
            <w:r>
              <w:rPr>
                <w:b/>
                <w:sz w:val="20"/>
              </w:rPr>
              <w:t>end</w:t>
            </w:r>
            <w:r>
              <w:rPr>
                <w:b/>
                <w:spacing w:val="-5"/>
                <w:sz w:val="20"/>
              </w:rPr>
              <w:t> </w:t>
            </w:r>
            <w:r>
              <w:rPr>
                <w:b/>
                <w:sz w:val="20"/>
              </w:rPr>
              <w:t>of</w:t>
            </w:r>
            <w:r>
              <w:rPr>
                <w:b/>
                <w:spacing w:val="-3"/>
                <w:sz w:val="20"/>
              </w:rPr>
              <w:t> </w:t>
            </w:r>
            <w:r>
              <w:rPr>
                <w:b/>
                <w:sz w:val="20"/>
              </w:rPr>
              <w:t>the</w:t>
            </w:r>
            <w:r>
              <w:rPr>
                <w:b/>
                <w:spacing w:val="-5"/>
                <w:sz w:val="20"/>
              </w:rPr>
              <w:t> </w:t>
            </w:r>
            <w:r>
              <w:rPr>
                <w:b/>
                <w:sz w:val="20"/>
              </w:rPr>
              <w:t>financial</w:t>
            </w:r>
            <w:r>
              <w:rPr>
                <w:b/>
                <w:spacing w:val="-5"/>
                <w:sz w:val="20"/>
              </w:rPr>
              <w:t> </w:t>
            </w:r>
            <w:r>
              <w:rPr>
                <w:b/>
                <w:spacing w:val="-4"/>
                <w:sz w:val="20"/>
              </w:rPr>
              <w:t>year</w:t>
            </w:r>
          </w:p>
        </w:tc>
        <w:tc>
          <w:tcPr>
            <w:tcW w:w="1358" w:type="dxa"/>
            <w:tcBorders>
              <w:top w:val="single" w:sz="2" w:space="0" w:color="000000"/>
              <w:bottom w:val="thickThinMediumGap" w:sz="3" w:space="0" w:color="000000"/>
            </w:tcBorders>
          </w:tcPr>
          <w:p>
            <w:pPr>
              <w:pStyle w:val="TableParagraph"/>
              <w:spacing w:line="204" w:lineRule="exact" w:before="86"/>
              <w:ind w:right="122"/>
              <w:jc w:val="right"/>
              <w:rPr>
                <w:b/>
                <w:sz w:val="20"/>
              </w:rPr>
            </w:pPr>
            <w:r>
              <w:rPr>
                <w:b/>
                <w:spacing w:val="-2"/>
                <w:sz w:val="20"/>
              </w:rPr>
              <w:t>2,293,659</w:t>
            </w:r>
          </w:p>
        </w:tc>
        <w:tc>
          <w:tcPr>
            <w:tcW w:w="1345" w:type="dxa"/>
            <w:tcBorders>
              <w:top w:val="single" w:sz="2" w:space="0" w:color="000000"/>
              <w:bottom w:val="thickThinMediumGap" w:sz="3" w:space="0" w:color="000000"/>
            </w:tcBorders>
          </w:tcPr>
          <w:p>
            <w:pPr>
              <w:pStyle w:val="TableParagraph"/>
              <w:spacing w:line="204" w:lineRule="exact" w:before="86"/>
              <w:ind w:right="120"/>
              <w:jc w:val="right"/>
              <w:rPr>
                <w:b/>
                <w:sz w:val="20"/>
              </w:rPr>
            </w:pPr>
            <w:r>
              <w:rPr>
                <w:b/>
                <w:spacing w:val="-2"/>
                <w:sz w:val="20"/>
              </w:rPr>
              <w:t>975,399</w:t>
            </w:r>
          </w:p>
        </w:tc>
        <w:tc>
          <w:tcPr>
            <w:tcW w:w="1379" w:type="dxa"/>
            <w:tcBorders>
              <w:top w:val="single" w:sz="2" w:space="0" w:color="000000"/>
              <w:bottom w:val="thickThinMediumGap" w:sz="3" w:space="0" w:color="000000"/>
            </w:tcBorders>
          </w:tcPr>
          <w:p>
            <w:pPr>
              <w:pStyle w:val="TableParagraph"/>
              <w:spacing w:line="204" w:lineRule="exact" w:before="86"/>
              <w:ind w:right="146"/>
              <w:jc w:val="right"/>
              <w:rPr>
                <w:b/>
                <w:sz w:val="20"/>
              </w:rPr>
            </w:pPr>
            <w:r>
              <w:rPr>
                <w:b/>
                <w:spacing w:val="-2"/>
                <w:sz w:val="20"/>
              </w:rPr>
              <w:t>1,315,260</w:t>
            </w:r>
          </w:p>
        </w:tc>
        <w:tc>
          <w:tcPr>
            <w:tcW w:w="1275" w:type="dxa"/>
            <w:tcBorders>
              <w:top w:val="single" w:sz="2" w:space="0" w:color="000000"/>
              <w:bottom w:val="thickThinMediumGap" w:sz="3" w:space="0" w:color="000000"/>
              <w:right w:val="single" w:sz="12" w:space="0" w:color="000000"/>
            </w:tcBorders>
          </w:tcPr>
          <w:p>
            <w:pPr>
              <w:pStyle w:val="TableParagraph"/>
              <w:spacing w:line="204" w:lineRule="exact" w:before="86"/>
              <w:ind w:right="77"/>
              <w:jc w:val="right"/>
              <w:rPr>
                <w:b/>
                <w:sz w:val="20"/>
              </w:rPr>
            </w:pPr>
            <w:r>
              <w:rPr>
                <w:b/>
                <w:spacing w:val="-2"/>
                <w:sz w:val="20"/>
              </w:rPr>
              <w:t>3,000</w:t>
            </w:r>
          </w:p>
        </w:tc>
      </w:tr>
      <w:tr>
        <w:trPr>
          <w:trHeight w:val="614" w:hRule="atLeast"/>
        </w:trPr>
        <w:tc>
          <w:tcPr>
            <w:tcW w:w="5277" w:type="dxa"/>
            <w:gridSpan w:val="2"/>
            <w:tcBorders>
              <w:left w:val="single" w:sz="12" w:space="0" w:color="000000"/>
            </w:tcBorders>
          </w:tcPr>
          <w:p>
            <w:pPr>
              <w:pStyle w:val="TableParagraph"/>
              <w:rPr>
                <w:i/>
                <w:sz w:val="30"/>
              </w:rPr>
            </w:pPr>
          </w:p>
          <w:p>
            <w:pPr>
              <w:pStyle w:val="TableParagraph"/>
              <w:ind w:left="107"/>
              <w:rPr>
                <w:b/>
                <w:sz w:val="20"/>
              </w:rPr>
            </w:pPr>
            <w:r>
              <w:rPr>
                <w:b/>
                <w:spacing w:val="-4"/>
                <w:sz w:val="20"/>
              </w:rPr>
              <w:t>2028</w:t>
            </w:r>
          </w:p>
        </w:tc>
        <w:tc>
          <w:tcPr>
            <w:tcW w:w="1358" w:type="dxa"/>
            <w:tcBorders>
              <w:top w:val="thinThickMediumGap" w:sz="3" w:space="0" w:color="000000"/>
            </w:tcBorders>
          </w:tcPr>
          <w:p>
            <w:pPr>
              <w:pStyle w:val="TableParagraph"/>
              <w:rPr>
                <w:rFonts w:ascii="Times New Roman"/>
                <w:sz w:val="18"/>
              </w:rPr>
            </w:pPr>
          </w:p>
        </w:tc>
        <w:tc>
          <w:tcPr>
            <w:tcW w:w="1345" w:type="dxa"/>
            <w:tcBorders>
              <w:top w:val="thinThickMediumGap" w:sz="3" w:space="0" w:color="000000"/>
            </w:tcBorders>
          </w:tcPr>
          <w:p>
            <w:pPr>
              <w:pStyle w:val="TableParagraph"/>
              <w:rPr>
                <w:rFonts w:ascii="Times New Roman"/>
                <w:sz w:val="18"/>
              </w:rPr>
            </w:pPr>
          </w:p>
        </w:tc>
        <w:tc>
          <w:tcPr>
            <w:tcW w:w="1379" w:type="dxa"/>
            <w:tcBorders>
              <w:top w:val="thinThickMediumGap" w:sz="3" w:space="0" w:color="000000"/>
            </w:tcBorders>
          </w:tcPr>
          <w:p>
            <w:pPr>
              <w:pStyle w:val="TableParagraph"/>
              <w:rPr>
                <w:rFonts w:ascii="Times New Roman"/>
                <w:sz w:val="18"/>
              </w:rPr>
            </w:pPr>
          </w:p>
        </w:tc>
        <w:tc>
          <w:tcPr>
            <w:tcW w:w="1275" w:type="dxa"/>
            <w:tcBorders>
              <w:top w:val="thinThickMediumGap" w:sz="3" w:space="0" w:color="000000"/>
              <w:right w:val="single" w:sz="12" w:space="0" w:color="000000"/>
            </w:tcBorders>
          </w:tcPr>
          <w:p>
            <w:pPr>
              <w:pStyle w:val="TableParagraph"/>
              <w:rPr>
                <w:rFonts w:ascii="Times New Roman"/>
                <w:sz w:val="18"/>
              </w:rPr>
            </w:pPr>
          </w:p>
        </w:tc>
      </w:tr>
      <w:tr>
        <w:trPr>
          <w:trHeight w:val="319" w:hRule="atLeast"/>
        </w:trPr>
        <w:tc>
          <w:tcPr>
            <w:tcW w:w="5277" w:type="dxa"/>
            <w:gridSpan w:val="2"/>
            <w:tcBorders>
              <w:left w:val="single" w:sz="12" w:space="0" w:color="000000"/>
            </w:tcBorders>
          </w:tcPr>
          <w:p>
            <w:pPr>
              <w:pStyle w:val="TableParagraph"/>
              <w:spacing w:before="31"/>
              <w:ind w:left="107"/>
              <w:rPr>
                <w:sz w:val="20"/>
              </w:rPr>
            </w:pPr>
            <w:r>
              <w:rPr>
                <w:sz w:val="20"/>
              </w:rPr>
              <w:t>Balance</w:t>
            </w:r>
            <w:r>
              <w:rPr>
                <w:spacing w:val="-6"/>
                <w:sz w:val="20"/>
              </w:rPr>
              <w:t> </w:t>
            </w:r>
            <w:r>
              <w:rPr>
                <w:sz w:val="20"/>
              </w:rPr>
              <w:t>at</w:t>
            </w:r>
            <w:r>
              <w:rPr>
                <w:spacing w:val="-6"/>
                <w:sz w:val="20"/>
              </w:rPr>
              <w:t> </w:t>
            </w:r>
            <w:r>
              <w:rPr>
                <w:sz w:val="20"/>
              </w:rPr>
              <w:t>beginning</w:t>
            </w:r>
            <w:r>
              <w:rPr>
                <w:spacing w:val="-4"/>
                <w:sz w:val="20"/>
              </w:rPr>
              <w:t> </w:t>
            </w:r>
            <w:r>
              <w:rPr>
                <w:sz w:val="20"/>
              </w:rPr>
              <w:t>of</w:t>
            </w:r>
            <w:r>
              <w:rPr>
                <w:spacing w:val="-6"/>
                <w:sz w:val="20"/>
              </w:rPr>
              <w:t> </w:t>
            </w:r>
            <w:r>
              <w:rPr>
                <w:sz w:val="20"/>
              </w:rPr>
              <w:t>the</w:t>
            </w:r>
            <w:r>
              <w:rPr>
                <w:spacing w:val="-4"/>
                <w:sz w:val="20"/>
              </w:rPr>
              <w:t> </w:t>
            </w:r>
            <w:r>
              <w:rPr>
                <w:sz w:val="20"/>
              </w:rPr>
              <w:t>financial</w:t>
            </w:r>
            <w:r>
              <w:rPr>
                <w:spacing w:val="-7"/>
                <w:sz w:val="20"/>
              </w:rPr>
              <w:t> </w:t>
            </w:r>
            <w:r>
              <w:rPr>
                <w:spacing w:val="-4"/>
                <w:sz w:val="20"/>
              </w:rPr>
              <w:t>year</w:t>
            </w:r>
          </w:p>
        </w:tc>
        <w:tc>
          <w:tcPr>
            <w:tcW w:w="1358" w:type="dxa"/>
          </w:tcPr>
          <w:p>
            <w:pPr>
              <w:pStyle w:val="TableParagraph"/>
              <w:spacing w:before="67"/>
              <w:ind w:right="122"/>
              <w:jc w:val="right"/>
              <w:rPr>
                <w:sz w:val="20"/>
              </w:rPr>
            </w:pPr>
            <w:r>
              <w:rPr>
                <w:spacing w:val="-2"/>
                <w:sz w:val="20"/>
              </w:rPr>
              <w:t>2,293,659</w:t>
            </w:r>
          </w:p>
        </w:tc>
        <w:tc>
          <w:tcPr>
            <w:tcW w:w="1345" w:type="dxa"/>
          </w:tcPr>
          <w:p>
            <w:pPr>
              <w:pStyle w:val="TableParagraph"/>
              <w:spacing w:before="67"/>
              <w:ind w:right="120"/>
              <w:jc w:val="right"/>
              <w:rPr>
                <w:sz w:val="20"/>
              </w:rPr>
            </w:pPr>
            <w:r>
              <w:rPr>
                <w:spacing w:val="-2"/>
                <w:sz w:val="20"/>
              </w:rPr>
              <w:t>975,399</w:t>
            </w:r>
          </w:p>
        </w:tc>
        <w:tc>
          <w:tcPr>
            <w:tcW w:w="1379" w:type="dxa"/>
          </w:tcPr>
          <w:p>
            <w:pPr>
              <w:pStyle w:val="TableParagraph"/>
              <w:spacing w:before="67"/>
              <w:ind w:right="146"/>
              <w:jc w:val="right"/>
              <w:rPr>
                <w:sz w:val="20"/>
              </w:rPr>
            </w:pPr>
            <w:r>
              <w:rPr>
                <w:spacing w:val="-2"/>
                <w:sz w:val="20"/>
              </w:rPr>
              <w:t>1,315,260</w:t>
            </w:r>
          </w:p>
        </w:tc>
        <w:tc>
          <w:tcPr>
            <w:tcW w:w="1275" w:type="dxa"/>
            <w:tcBorders>
              <w:right w:val="single" w:sz="12" w:space="0" w:color="000000"/>
            </w:tcBorders>
          </w:tcPr>
          <w:p>
            <w:pPr>
              <w:pStyle w:val="TableParagraph"/>
              <w:spacing w:before="67"/>
              <w:ind w:right="77"/>
              <w:jc w:val="right"/>
              <w:rPr>
                <w:sz w:val="20"/>
              </w:rPr>
            </w:pPr>
            <w:r>
              <w:rPr>
                <w:spacing w:val="-2"/>
                <w:sz w:val="20"/>
              </w:rPr>
              <w:t>3,000</w:t>
            </w:r>
          </w:p>
        </w:tc>
      </w:tr>
      <w:tr>
        <w:trPr>
          <w:trHeight w:val="302" w:hRule="atLeast"/>
        </w:trPr>
        <w:tc>
          <w:tcPr>
            <w:tcW w:w="5277" w:type="dxa"/>
            <w:gridSpan w:val="2"/>
            <w:tcBorders>
              <w:left w:val="single" w:sz="12" w:space="0" w:color="000000"/>
            </w:tcBorders>
          </w:tcPr>
          <w:p>
            <w:pPr>
              <w:pStyle w:val="TableParagraph"/>
              <w:spacing w:before="14"/>
              <w:ind w:left="107"/>
              <w:rPr>
                <w:sz w:val="20"/>
              </w:rPr>
            </w:pPr>
            <w:r>
              <w:rPr>
                <w:sz w:val="20"/>
              </w:rPr>
              <w:t>Surplus/(deficit)</w:t>
            </w:r>
            <w:r>
              <w:rPr>
                <w:spacing w:val="-10"/>
                <w:sz w:val="20"/>
              </w:rPr>
              <w:t> </w:t>
            </w:r>
            <w:r>
              <w:rPr>
                <w:sz w:val="20"/>
              </w:rPr>
              <w:t>for</w:t>
            </w:r>
            <w:r>
              <w:rPr>
                <w:spacing w:val="-6"/>
                <w:sz w:val="20"/>
              </w:rPr>
              <w:t> </w:t>
            </w:r>
            <w:r>
              <w:rPr>
                <w:sz w:val="20"/>
              </w:rPr>
              <w:t>the</w:t>
            </w:r>
            <w:r>
              <w:rPr>
                <w:spacing w:val="-5"/>
                <w:sz w:val="20"/>
              </w:rPr>
              <w:t> </w:t>
            </w:r>
            <w:r>
              <w:rPr>
                <w:spacing w:val="-4"/>
                <w:sz w:val="20"/>
              </w:rPr>
              <w:t>year</w:t>
            </w:r>
          </w:p>
        </w:tc>
        <w:tc>
          <w:tcPr>
            <w:tcW w:w="1358" w:type="dxa"/>
          </w:tcPr>
          <w:p>
            <w:pPr>
              <w:pStyle w:val="TableParagraph"/>
              <w:spacing w:before="50"/>
              <w:ind w:right="124"/>
              <w:jc w:val="right"/>
              <w:rPr>
                <w:sz w:val="20"/>
              </w:rPr>
            </w:pPr>
            <w:r>
              <w:rPr>
                <w:spacing w:val="-2"/>
                <w:sz w:val="20"/>
              </w:rPr>
              <w:t>19,993</w:t>
            </w:r>
          </w:p>
        </w:tc>
        <w:tc>
          <w:tcPr>
            <w:tcW w:w="1345" w:type="dxa"/>
          </w:tcPr>
          <w:p>
            <w:pPr>
              <w:pStyle w:val="TableParagraph"/>
              <w:spacing w:before="50"/>
              <w:ind w:right="120"/>
              <w:jc w:val="right"/>
              <w:rPr>
                <w:b/>
                <w:sz w:val="20"/>
              </w:rPr>
            </w:pPr>
            <w:r>
              <w:rPr>
                <w:b/>
                <w:spacing w:val="-2"/>
                <w:sz w:val="20"/>
              </w:rPr>
              <w:t>19,993</w:t>
            </w:r>
          </w:p>
        </w:tc>
        <w:tc>
          <w:tcPr>
            <w:tcW w:w="1379" w:type="dxa"/>
          </w:tcPr>
          <w:p>
            <w:pPr>
              <w:pStyle w:val="TableParagraph"/>
              <w:spacing w:before="50"/>
              <w:ind w:right="146"/>
              <w:jc w:val="right"/>
              <w:rPr>
                <w:sz w:val="20"/>
              </w:rPr>
            </w:pPr>
            <w:r>
              <w:rPr>
                <w:w w:val="99"/>
                <w:sz w:val="20"/>
              </w:rPr>
              <w:t>-</w:t>
            </w:r>
          </w:p>
        </w:tc>
        <w:tc>
          <w:tcPr>
            <w:tcW w:w="1275" w:type="dxa"/>
            <w:tcBorders>
              <w:right w:val="single" w:sz="12" w:space="0" w:color="000000"/>
            </w:tcBorders>
          </w:tcPr>
          <w:p>
            <w:pPr>
              <w:pStyle w:val="TableParagraph"/>
              <w:spacing w:before="50"/>
              <w:ind w:right="77"/>
              <w:jc w:val="right"/>
              <w:rPr>
                <w:sz w:val="20"/>
              </w:rPr>
            </w:pPr>
            <w:r>
              <w:rPr>
                <w:w w:val="99"/>
                <w:sz w:val="20"/>
              </w:rPr>
              <w:t>-</w:t>
            </w:r>
          </w:p>
        </w:tc>
      </w:tr>
      <w:tr>
        <w:trPr>
          <w:trHeight w:val="302" w:hRule="atLeast"/>
        </w:trPr>
        <w:tc>
          <w:tcPr>
            <w:tcW w:w="5277" w:type="dxa"/>
            <w:gridSpan w:val="2"/>
            <w:tcBorders>
              <w:left w:val="single" w:sz="12" w:space="0" w:color="000000"/>
            </w:tcBorders>
          </w:tcPr>
          <w:p>
            <w:pPr>
              <w:pStyle w:val="TableParagraph"/>
              <w:spacing w:before="14"/>
              <w:ind w:left="107"/>
              <w:rPr>
                <w:sz w:val="20"/>
              </w:rPr>
            </w:pPr>
            <w:r>
              <w:rPr>
                <w:sz w:val="20"/>
              </w:rPr>
              <w:t>Net</w:t>
            </w:r>
            <w:r>
              <w:rPr>
                <w:spacing w:val="-7"/>
                <w:sz w:val="20"/>
              </w:rPr>
              <w:t> </w:t>
            </w:r>
            <w:r>
              <w:rPr>
                <w:sz w:val="20"/>
              </w:rPr>
              <w:t>asset</w:t>
            </w:r>
            <w:r>
              <w:rPr>
                <w:spacing w:val="-6"/>
                <w:sz w:val="20"/>
              </w:rPr>
              <w:t> </w:t>
            </w:r>
            <w:r>
              <w:rPr>
                <w:sz w:val="20"/>
              </w:rPr>
              <w:t>revaluation</w:t>
            </w:r>
            <w:r>
              <w:rPr>
                <w:spacing w:val="-7"/>
                <w:sz w:val="20"/>
              </w:rPr>
              <w:t> </w:t>
            </w:r>
            <w:r>
              <w:rPr>
                <w:spacing w:val="-2"/>
                <w:sz w:val="20"/>
              </w:rPr>
              <w:t>gain/(loss)</w:t>
            </w:r>
          </w:p>
        </w:tc>
        <w:tc>
          <w:tcPr>
            <w:tcW w:w="1358" w:type="dxa"/>
          </w:tcPr>
          <w:p>
            <w:pPr>
              <w:pStyle w:val="TableParagraph"/>
              <w:spacing w:before="50"/>
              <w:ind w:right="122"/>
              <w:jc w:val="right"/>
              <w:rPr>
                <w:sz w:val="20"/>
              </w:rPr>
            </w:pPr>
            <w:r>
              <w:rPr>
                <w:w w:val="99"/>
                <w:sz w:val="20"/>
              </w:rPr>
              <w:t>-</w:t>
            </w:r>
          </w:p>
        </w:tc>
        <w:tc>
          <w:tcPr>
            <w:tcW w:w="1345" w:type="dxa"/>
          </w:tcPr>
          <w:p>
            <w:pPr>
              <w:pStyle w:val="TableParagraph"/>
              <w:spacing w:before="50"/>
              <w:ind w:right="118"/>
              <w:jc w:val="right"/>
              <w:rPr>
                <w:sz w:val="20"/>
              </w:rPr>
            </w:pPr>
            <w:r>
              <w:rPr>
                <w:w w:val="99"/>
                <w:sz w:val="20"/>
              </w:rPr>
              <w:t>-</w:t>
            </w:r>
          </w:p>
        </w:tc>
        <w:tc>
          <w:tcPr>
            <w:tcW w:w="1379" w:type="dxa"/>
          </w:tcPr>
          <w:p>
            <w:pPr>
              <w:pStyle w:val="TableParagraph"/>
              <w:spacing w:before="50"/>
              <w:ind w:right="146"/>
              <w:jc w:val="right"/>
              <w:rPr>
                <w:sz w:val="20"/>
              </w:rPr>
            </w:pPr>
            <w:r>
              <w:rPr>
                <w:w w:val="99"/>
                <w:sz w:val="20"/>
              </w:rPr>
              <w:t>-</w:t>
            </w:r>
          </w:p>
        </w:tc>
        <w:tc>
          <w:tcPr>
            <w:tcW w:w="1275" w:type="dxa"/>
            <w:tcBorders>
              <w:right w:val="single" w:sz="12" w:space="0" w:color="000000"/>
            </w:tcBorders>
          </w:tcPr>
          <w:p>
            <w:pPr>
              <w:pStyle w:val="TableParagraph"/>
              <w:spacing w:before="50"/>
              <w:ind w:right="77"/>
              <w:jc w:val="right"/>
              <w:rPr>
                <w:sz w:val="20"/>
              </w:rPr>
            </w:pPr>
            <w:r>
              <w:rPr>
                <w:w w:val="99"/>
                <w:sz w:val="20"/>
              </w:rPr>
              <w:t>-</w:t>
            </w:r>
          </w:p>
        </w:tc>
      </w:tr>
      <w:tr>
        <w:trPr>
          <w:trHeight w:val="281" w:hRule="atLeast"/>
        </w:trPr>
        <w:tc>
          <w:tcPr>
            <w:tcW w:w="5277" w:type="dxa"/>
            <w:gridSpan w:val="2"/>
            <w:tcBorders>
              <w:left w:val="single" w:sz="12" w:space="0" w:color="000000"/>
            </w:tcBorders>
          </w:tcPr>
          <w:p>
            <w:pPr>
              <w:pStyle w:val="TableParagraph"/>
              <w:spacing w:before="14"/>
              <w:ind w:left="107"/>
              <w:rPr>
                <w:sz w:val="20"/>
              </w:rPr>
            </w:pPr>
            <w:r>
              <w:rPr>
                <w:sz w:val="20"/>
              </w:rPr>
              <w:t>Transfers</w:t>
            </w:r>
            <w:r>
              <w:rPr>
                <w:spacing w:val="-4"/>
                <w:sz w:val="20"/>
              </w:rPr>
              <w:t> </w:t>
            </w:r>
            <w:r>
              <w:rPr>
                <w:sz w:val="20"/>
              </w:rPr>
              <w:t>to</w:t>
            </w:r>
            <w:r>
              <w:rPr>
                <w:spacing w:val="-5"/>
                <w:sz w:val="20"/>
              </w:rPr>
              <w:t> </w:t>
            </w:r>
            <w:r>
              <w:rPr>
                <w:sz w:val="20"/>
              </w:rPr>
              <w:t>/</w:t>
            </w:r>
            <w:r>
              <w:rPr>
                <w:spacing w:val="-4"/>
                <w:sz w:val="20"/>
              </w:rPr>
              <w:t> </w:t>
            </w:r>
            <w:r>
              <w:rPr>
                <w:sz w:val="20"/>
              </w:rPr>
              <w:t>from</w:t>
            </w:r>
            <w:r>
              <w:rPr>
                <w:spacing w:val="-6"/>
                <w:sz w:val="20"/>
              </w:rPr>
              <w:t> </w:t>
            </w:r>
            <w:r>
              <w:rPr>
                <w:sz w:val="20"/>
              </w:rPr>
              <w:t>general</w:t>
            </w:r>
            <w:r>
              <w:rPr>
                <w:spacing w:val="-2"/>
                <w:sz w:val="20"/>
              </w:rPr>
              <w:t> reserve</w:t>
            </w:r>
          </w:p>
        </w:tc>
        <w:tc>
          <w:tcPr>
            <w:tcW w:w="1358" w:type="dxa"/>
            <w:tcBorders>
              <w:bottom w:val="single" w:sz="2" w:space="0" w:color="000000"/>
            </w:tcBorders>
          </w:tcPr>
          <w:p>
            <w:pPr>
              <w:pStyle w:val="TableParagraph"/>
              <w:spacing w:line="211" w:lineRule="exact" w:before="50"/>
              <w:ind w:right="122"/>
              <w:jc w:val="right"/>
              <w:rPr>
                <w:sz w:val="20"/>
              </w:rPr>
            </w:pPr>
            <w:r>
              <w:rPr>
                <w:w w:val="99"/>
                <w:sz w:val="20"/>
              </w:rPr>
              <w:t>-</w:t>
            </w:r>
          </w:p>
        </w:tc>
        <w:tc>
          <w:tcPr>
            <w:tcW w:w="1345" w:type="dxa"/>
            <w:tcBorders>
              <w:bottom w:val="single" w:sz="2" w:space="0" w:color="000000"/>
            </w:tcBorders>
          </w:tcPr>
          <w:p>
            <w:pPr>
              <w:pStyle w:val="TableParagraph"/>
              <w:spacing w:line="211" w:lineRule="exact" w:before="50"/>
              <w:ind w:right="119"/>
              <w:jc w:val="right"/>
              <w:rPr>
                <w:sz w:val="20"/>
              </w:rPr>
            </w:pPr>
            <w:r>
              <w:rPr>
                <w:spacing w:val="-2"/>
                <w:sz w:val="20"/>
              </w:rPr>
              <w:t>1,000</w:t>
            </w:r>
          </w:p>
        </w:tc>
        <w:tc>
          <w:tcPr>
            <w:tcW w:w="1379" w:type="dxa"/>
            <w:tcBorders>
              <w:bottom w:val="single" w:sz="2" w:space="0" w:color="000000"/>
            </w:tcBorders>
          </w:tcPr>
          <w:p>
            <w:pPr>
              <w:pStyle w:val="TableParagraph"/>
              <w:spacing w:line="211" w:lineRule="exact" w:before="50"/>
              <w:ind w:right="146"/>
              <w:jc w:val="right"/>
              <w:rPr>
                <w:sz w:val="20"/>
              </w:rPr>
            </w:pPr>
            <w:r>
              <w:rPr>
                <w:w w:val="99"/>
                <w:sz w:val="20"/>
              </w:rPr>
              <w:t>-</w:t>
            </w:r>
          </w:p>
        </w:tc>
        <w:tc>
          <w:tcPr>
            <w:tcW w:w="1275" w:type="dxa"/>
            <w:tcBorders>
              <w:bottom w:val="single" w:sz="2" w:space="0" w:color="000000"/>
              <w:right w:val="single" w:sz="12" w:space="0" w:color="000000"/>
            </w:tcBorders>
          </w:tcPr>
          <w:p>
            <w:pPr>
              <w:pStyle w:val="TableParagraph"/>
              <w:spacing w:line="211" w:lineRule="exact" w:before="50"/>
              <w:ind w:right="79"/>
              <w:jc w:val="right"/>
              <w:rPr>
                <w:sz w:val="20"/>
              </w:rPr>
            </w:pPr>
            <w:r>
              <w:rPr>
                <w:spacing w:val="-2"/>
                <w:sz w:val="20"/>
              </w:rPr>
              <w:t>(1,000)</w:t>
            </w:r>
          </w:p>
        </w:tc>
      </w:tr>
      <w:tr>
        <w:trPr>
          <w:trHeight w:val="309" w:hRule="atLeast"/>
        </w:trPr>
        <w:tc>
          <w:tcPr>
            <w:tcW w:w="5277" w:type="dxa"/>
            <w:gridSpan w:val="2"/>
            <w:tcBorders>
              <w:left w:val="single" w:sz="12" w:space="0" w:color="000000"/>
            </w:tcBorders>
          </w:tcPr>
          <w:p>
            <w:pPr>
              <w:pStyle w:val="TableParagraph"/>
              <w:spacing w:line="229" w:lineRule="exact"/>
              <w:ind w:left="107"/>
              <w:rPr>
                <w:b/>
                <w:sz w:val="20"/>
              </w:rPr>
            </w:pPr>
            <w:r>
              <w:rPr>
                <w:b/>
                <w:sz w:val="20"/>
              </w:rPr>
              <w:t>Balance</w:t>
            </w:r>
            <w:r>
              <w:rPr>
                <w:b/>
                <w:spacing w:val="-8"/>
                <w:sz w:val="20"/>
              </w:rPr>
              <w:t> </w:t>
            </w:r>
            <w:r>
              <w:rPr>
                <w:b/>
                <w:sz w:val="20"/>
              </w:rPr>
              <w:t>at</w:t>
            </w:r>
            <w:r>
              <w:rPr>
                <w:b/>
                <w:spacing w:val="-3"/>
                <w:sz w:val="20"/>
              </w:rPr>
              <w:t> </w:t>
            </w:r>
            <w:r>
              <w:rPr>
                <w:b/>
                <w:sz w:val="20"/>
              </w:rPr>
              <w:t>end</w:t>
            </w:r>
            <w:r>
              <w:rPr>
                <w:b/>
                <w:spacing w:val="-5"/>
                <w:sz w:val="20"/>
              </w:rPr>
              <w:t> </w:t>
            </w:r>
            <w:r>
              <w:rPr>
                <w:b/>
                <w:sz w:val="20"/>
              </w:rPr>
              <w:t>of</w:t>
            </w:r>
            <w:r>
              <w:rPr>
                <w:b/>
                <w:spacing w:val="-3"/>
                <w:sz w:val="20"/>
              </w:rPr>
              <w:t> </w:t>
            </w:r>
            <w:r>
              <w:rPr>
                <w:b/>
                <w:sz w:val="20"/>
              </w:rPr>
              <w:t>the</w:t>
            </w:r>
            <w:r>
              <w:rPr>
                <w:b/>
                <w:spacing w:val="-5"/>
                <w:sz w:val="20"/>
              </w:rPr>
              <w:t> </w:t>
            </w:r>
            <w:r>
              <w:rPr>
                <w:b/>
                <w:sz w:val="20"/>
              </w:rPr>
              <w:t>financial</w:t>
            </w:r>
            <w:r>
              <w:rPr>
                <w:b/>
                <w:spacing w:val="-5"/>
                <w:sz w:val="20"/>
              </w:rPr>
              <w:t> </w:t>
            </w:r>
            <w:r>
              <w:rPr>
                <w:b/>
                <w:spacing w:val="-4"/>
                <w:sz w:val="20"/>
              </w:rPr>
              <w:t>year</w:t>
            </w:r>
          </w:p>
        </w:tc>
        <w:tc>
          <w:tcPr>
            <w:tcW w:w="1358" w:type="dxa"/>
            <w:tcBorders>
              <w:top w:val="single" w:sz="2" w:space="0" w:color="000000"/>
              <w:bottom w:val="thickThinMediumGap" w:sz="3" w:space="0" w:color="000000"/>
            </w:tcBorders>
          </w:tcPr>
          <w:p>
            <w:pPr>
              <w:pStyle w:val="TableParagraph"/>
              <w:spacing w:line="204" w:lineRule="exact" w:before="86"/>
              <w:ind w:right="122"/>
              <w:jc w:val="right"/>
              <w:rPr>
                <w:b/>
                <w:sz w:val="20"/>
              </w:rPr>
            </w:pPr>
            <w:r>
              <w:rPr>
                <w:b/>
                <w:spacing w:val="-2"/>
                <w:sz w:val="20"/>
              </w:rPr>
              <w:t>2,313,652</w:t>
            </w:r>
          </w:p>
        </w:tc>
        <w:tc>
          <w:tcPr>
            <w:tcW w:w="1345" w:type="dxa"/>
            <w:tcBorders>
              <w:top w:val="single" w:sz="2" w:space="0" w:color="000000"/>
              <w:bottom w:val="thickThinMediumGap" w:sz="3" w:space="0" w:color="000000"/>
            </w:tcBorders>
          </w:tcPr>
          <w:p>
            <w:pPr>
              <w:pStyle w:val="TableParagraph"/>
              <w:spacing w:line="204" w:lineRule="exact" w:before="86"/>
              <w:ind w:right="120"/>
              <w:jc w:val="right"/>
              <w:rPr>
                <w:b/>
                <w:sz w:val="20"/>
              </w:rPr>
            </w:pPr>
            <w:r>
              <w:rPr>
                <w:b/>
                <w:spacing w:val="-2"/>
                <w:sz w:val="20"/>
              </w:rPr>
              <w:t>996,392</w:t>
            </w:r>
          </w:p>
        </w:tc>
        <w:tc>
          <w:tcPr>
            <w:tcW w:w="1379" w:type="dxa"/>
            <w:tcBorders>
              <w:top w:val="single" w:sz="2" w:space="0" w:color="000000"/>
              <w:bottom w:val="thickThinMediumGap" w:sz="3" w:space="0" w:color="000000"/>
            </w:tcBorders>
          </w:tcPr>
          <w:p>
            <w:pPr>
              <w:pStyle w:val="TableParagraph"/>
              <w:spacing w:line="204" w:lineRule="exact" w:before="86"/>
              <w:ind w:right="146"/>
              <w:jc w:val="right"/>
              <w:rPr>
                <w:b/>
                <w:sz w:val="20"/>
              </w:rPr>
            </w:pPr>
            <w:r>
              <w:rPr>
                <w:b/>
                <w:spacing w:val="-2"/>
                <w:sz w:val="20"/>
              </w:rPr>
              <w:t>1,315,260</w:t>
            </w:r>
          </w:p>
        </w:tc>
        <w:tc>
          <w:tcPr>
            <w:tcW w:w="1275" w:type="dxa"/>
            <w:tcBorders>
              <w:top w:val="single" w:sz="2" w:space="0" w:color="000000"/>
              <w:bottom w:val="thickThinMediumGap" w:sz="3" w:space="0" w:color="000000"/>
              <w:right w:val="single" w:sz="12" w:space="0" w:color="000000"/>
            </w:tcBorders>
          </w:tcPr>
          <w:p>
            <w:pPr>
              <w:pStyle w:val="TableParagraph"/>
              <w:spacing w:line="204" w:lineRule="exact" w:before="86"/>
              <w:ind w:right="77"/>
              <w:jc w:val="right"/>
              <w:rPr>
                <w:b/>
                <w:sz w:val="20"/>
              </w:rPr>
            </w:pPr>
            <w:r>
              <w:rPr>
                <w:b/>
                <w:spacing w:val="-2"/>
                <w:sz w:val="20"/>
              </w:rPr>
              <w:t>2,000</w:t>
            </w:r>
          </w:p>
        </w:tc>
      </w:tr>
      <w:tr>
        <w:trPr>
          <w:trHeight w:val="614" w:hRule="atLeast"/>
        </w:trPr>
        <w:tc>
          <w:tcPr>
            <w:tcW w:w="5277" w:type="dxa"/>
            <w:gridSpan w:val="2"/>
            <w:tcBorders>
              <w:left w:val="single" w:sz="12" w:space="0" w:color="000000"/>
            </w:tcBorders>
          </w:tcPr>
          <w:p>
            <w:pPr>
              <w:pStyle w:val="TableParagraph"/>
              <w:rPr>
                <w:i/>
                <w:sz w:val="30"/>
              </w:rPr>
            </w:pPr>
          </w:p>
          <w:p>
            <w:pPr>
              <w:pStyle w:val="TableParagraph"/>
              <w:ind w:left="107"/>
              <w:rPr>
                <w:b/>
                <w:sz w:val="20"/>
              </w:rPr>
            </w:pPr>
            <w:r>
              <w:rPr>
                <w:b/>
                <w:spacing w:val="-4"/>
                <w:sz w:val="20"/>
              </w:rPr>
              <w:t>2029</w:t>
            </w:r>
          </w:p>
        </w:tc>
        <w:tc>
          <w:tcPr>
            <w:tcW w:w="1358" w:type="dxa"/>
            <w:tcBorders>
              <w:top w:val="thinThickMediumGap" w:sz="3" w:space="0" w:color="000000"/>
            </w:tcBorders>
          </w:tcPr>
          <w:p>
            <w:pPr>
              <w:pStyle w:val="TableParagraph"/>
              <w:rPr>
                <w:rFonts w:ascii="Times New Roman"/>
                <w:sz w:val="18"/>
              </w:rPr>
            </w:pPr>
          </w:p>
        </w:tc>
        <w:tc>
          <w:tcPr>
            <w:tcW w:w="1345" w:type="dxa"/>
            <w:tcBorders>
              <w:top w:val="thinThickMediumGap" w:sz="3" w:space="0" w:color="000000"/>
            </w:tcBorders>
          </w:tcPr>
          <w:p>
            <w:pPr>
              <w:pStyle w:val="TableParagraph"/>
              <w:rPr>
                <w:rFonts w:ascii="Times New Roman"/>
                <w:sz w:val="18"/>
              </w:rPr>
            </w:pPr>
          </w:p>
        </w:tc>
        <w:tc>
          <w:tcPr>
            <w:tcW w:w="1379" w:type="dxa"/>
            <w:tcBorders>
              <w:top w:val="thinThickMediumGap" w:sz="3" w:space="0" w:color="000000"/>
            </w:tcBorders>
          </w:tcPr>
          <w:p>
            <w:pPr>
              <w:pStyle w:val="TableParagraph"/>
              <w:rPr>
                <w:rFonts w:ascii="Times New Roman"/>
                <w:sz w:val="18"/>
              </w:rPr>
            </w:pPr>
          </w:p>
        </w:tc>
        <w:tc>
          <w:tcPr>
            <w:tcW w:w="1275" w:type="dxa"/>
            <w:tcBorders>
              <w:top w:val="thinThickMediumGap" w:sz="3" w:space="0" w:color="000000"/>
              <w:right w:val="single" w:sz="12" w:space="0" w:color="000000"/>
            </w:tcBorders>
          </w:tcPr>
          <w:p>
            <w:pPr>
              <w:pStyle w:val="TableParagraph"/>
              <w:rPr>
                <w:rFonts w:ascii="Times New Roman"/>
                <w:sz w:val="18"/>
              </w:rPr>
            </w:pPr>
          </w:p>
        </w:tc>
      </w:tr>
      <w:tr>
        <w:trPr>
          <w:trHeight w:val="319" w:hRule="atLeast"/>
        </w:trPr>
        <w:tc>
          <w:tcPr>
            <w:tcW w:w="5277" w:type="dxa"/>
            <w:gridSpan w:val="2"/>
            <w:tcBorders>
              <w:left w:val="single" w:sz="12" w:space="0" w:color="000000"/>
            </w:tcBorders>
          </w:tcPr>
          <w:p>
            <w:pPr>
              <w:pStyle w:val="TableParagraph"/>
              <w:spacing w:before="31"/>
              <w:ind w:left="107"/>
              <w:rPr>
                <w:sz w:val="20"/>
              </w:rPr>
            </w:pPr>
            <w:r>
              <w:rPr>
                <w:sz w:val="20"/>
              </w:rPr>
              <w:t>Balance</w:t>
            </w:r>
            <w:r>
              <w:rPr>
                <w:spacing w:val="-6"/>
                <w:sz w:val="20"/>
              </w:rPr>
              <w:t> </w:t>
            </w:r>
            <w:r>
              <w:rPr>
                <w:sz w:val="20"/>
              </w:rPr>
              <w:t>at</w:t>
            </w:r>
            <w:r>
              <w:rPr>
                <w:spacing w:val="-6"/>
                <w:sz w:val="20"/>
              </w:rPr>
              <w:t> </w:t>
            </w:r>
            <w:r>
              <w:rPr>
                <w:sz w:val="20"/>
              </w:rPr>
              <w:t>beginning</w:t>
            </w:r>
            <w:r>
              <w:rPr>
                <w:spacing w:val="-4"/>
                <w:sz w:val="20"/>
              </w:rPr>
              <w:t> </w:t>
            </w:r>
            <w:r>
              <w:rPr>
                <w:sz w:val="20"/>
              </w:rPr>
              <w:t>of</w:t>
            </w:r>
            <w:r>
              <w:rPr>
                <w:spacing w:val="-6"/>
                <w:sz w:val="20"/>
              </w:rPr>
              <w:t> </w:t>
            </w:r>
            <w:r>
              <w:rPr>
                <w:sz w:val="20"/>
              </w:rPr>
              <w:t>the</w:t>
            </w:r>
            <w:r>
              <w:rPr>
                <w:spacing w:val="-4"/>
                <w:sz w:val="20"/>
              </w:rPr>
              <w:t> </w:t>
            </w:r>
            <w:r>
              <w:rPr>
                <w:sz w:val="20"/>
              </w:rPr>
              <w:t>financial</w:t>
            </w:r>
            <w:r>
              <w:rPr>
                <w:spacing w:val="-7"/>
                <w:sz w:val="20"/>
              </w:rPr>
              <w:t> </w:t>
            </w:r>
            <w:r>
              <w:rPr>
                <w:spacing w:val="-4"/>
                <w:sz w:val="20"/>
              </w:rPr>
              <w:t>year</w:t>
            </w:r>
          </w:p>
        </w:tc>
        <w:tc>
          <w:tcPr>
            <w:tcW w:w="1358" w:type="dxa"/>
          </w:tcPr>
          <w:p>
            <w:pPr>
              <w:pStyle w:val="TableParagraph"/>
              <w:spacing w:before="67"/>
              <w:ind w:right="122"/>
              <w:jc w:val="right"/>
              <w:rPr>
                <w:sz w:val="20"/>
              </w:rPr>
            </w:pPr>
            <w:r>
              <w:rPr>
                <w:spacing w:val="-2"/>
                <w:sz w:val="20"/>
              </w:rPr>
              <w:t>2,313,652</w:t>
            </w:r>
          </w:p>
        </w:tc>
        <w:tc>
          <w:tcPr>
            <w:tcW w:w="1345" w:type="dxa"/>
          </w:tcPr>
          <w:p>
            <w:pPr>
              <w:pStyle w:val="TableParagraph"/>
              <w:spacing w:before="67"/>
              <w:ind w:right="120"/>
              <w:jc w:val="right"/>
              <w:rPr>
                <w:sz w:val="20"/>
              </w:rPr>
            </w:pPr>
            <w:r>
              <w:rPr>
                <w:spacing w:val="-2"/>
                <w:sz w:val="20"/>
              </w:rPr>
              <w:t>996,392</w:t>
            </w:r>
          </w:p>
        </w:tc>
        <w:tc>
          <w:tcPr>
            <w:tcW w:w="1379" w:type="dxa"/>
          </w:tcPr>
          <w:p>
            <w:pPr>
              <w:pStyle w:val="TableParagraph"/>
              <w:spacing w:before="67"/>
              <w:ind w:right="146"/>
              <w:jc w:val="right"/>
              <w:rPr>
                <w:sz w:val="20"/>
              </w:rPr>
            </w:pPr>
            <w:r>
              <w:rPr>
                <w:spacing w:val="-2"/>
                <w:sz w:val="20"/>
              </w:rPr>
              <w:t>1,315,260</w:t>
            </w:r>
          </w:p>
        </w:tc>
        <w:tc>
          <w:tcPr>
            <w:tcW w:w="1275" w:type="dxa"/>
            <w:tcBorders>
              <w:right w:val="single" w:sz="12" w:space="0" w:color="000000"/>
            </w:tcBorders>
          </w:tcPr>
          <w:p>
            <w:pPr>
              <w:pStyle w:val="TableParagraph"/>
              <w:spacing w:before="67"/>
              <w:ind w:right="77"/>
              <w:jc w:val="right"/>
              <w:rPr>
                <w:sz w:val="20"/>
              </w:rPr>
            </w:pPr>
            <w:r>
              <w:rPr>
                <w:spacing w:val="-2"/>
                <w:sz w:val="20"/>
              </w:rPr>
              <w:t>2,000</w:t>
            </w:r>
          </w:p>
        </w:tc>
      </w:tr>
      <w:tr>
        <w:trPr>
          <w:trHeight w:val="302" w:hRule="atLeast"/>
        </w:trPr>
        <w:tc>
          <w:tcPr>
            <w:tcW w:w="5277" w:type="dxa"/>
            <w:gridSpan w:val="2"/>
            <w:tcBorders>
              <w:left w:val="single" w:sz="12" w:space="0" w:color="000000"/>
            </w:tcBorders>
          </w:tcPr>
          <w:p>
            <w:pPr>
              <w:pStyle w:val="TableParagraph"/>
              <w:spacing w:before="14"/>
              <w:ind w:left="107"/>
              <w:rPr>
                <w:sz w:val="20"/>
              </w:rPr>
            </w:pPr>
            <w:r>
              <w:rPr>
                <w:sz w:val="20"/>
              </w:rPr>
              <w:t>Surplus/(deficit)</w:t>
            </w:r>
            <w:r>
              <w:rPr>
                <w:spacing w:val="-10"/>
                <w:sz w:val="20"/>
              </w:rPr>
              <w:t> </w:t>
            </w:r>
            <w:r>
              <w:rPr>
                <w:sz w:val="20"/>
              </w:rPr>
              <w:t>for</w:t>
            </w:r>
            <w:r>
              <w:rPr>
                <w:spacing w:val="-6"/>
                <w:sz w:val="20"/>
              </w:rPr>
              <w:t> </w:t>
            </w:r>
            <w:r>
              <w:rPr>
                <w:sz w:val="20"/>
              </w:rPr>
              <w:t>the</w:t>
            </w:r>
            <w:r>
              <w:rPr>
                <w:spacing w:val="-5"/>
                <w:sz w:val="20"/>
              </w:rPr>
              <w:t> </w:t>
            </w:r>
            <w:r>
              <w:rPr>
                <w:spacing w:val="-4"/>
                <w:sz w:val="20"/>
              </w:rPr>
              <w:t>year</w:t>
            </w:r>
          </w:p>
        </w:tc>
        <w:tc>
          <w:tcPr>
            <w:tcW w:w="1358" w:type="dxa"/>
          </w:tcPr>
          <w:p>
            <w:pPr>
              <w:pStyle w:val="TableParagraph"/>
              <w:spacing w:before="50"/>
              <w:ind w:right="124"/>
              <w:jc w:val="right"/>
              <w:rPr>
                <w:sz w:val="20"/>
              </w:rPr>
            </w:pPr>
            <w:r>
              <w:rPr>
                <w:spacing w:val="-2"/>
                <w:sz w:val="20"/>
              </w:rPr>
              <w:t>19,986</w:t>
            </w:r>
          </w:p>
        </w:tc>
        <w:tc>
          <w:tcPr>
            <w:tcW w:w="1345" w:type="dxa"/>
          </w:tcPr>
          <w:p>
            <w:pPr>
              <w:pStyle w:val="TableParagraph"/>
              <w:spacing w:before="50"/>
              <w:ind w:right="120"/>
              <w:jc w:val="right"/>
              <w:rPr>
                <w:sz w:val="20"/>
              </w:rPr>
            </w:pPr>
            <w:r>
              <w:rPr>
                <w:spacing w:val="-2"/>
                <w:sz w:val="20"/>
              </w:rPr>
              <w:t>19,986</w:t>
            </w:r>
          </w:p>
        </w:tc>
        <w:tc>
          <w:tcPr>
            <w:tcW w:w="1379" w:type="dxa"/>
          </w:tcPr>
          <w:p>
            <w:pPr>
              <w:pStyle w:val="TableParagraph"/>
              <w:spacing w:before="50"/>
              <w:ind w:right="146"/>
              <w:jc w:val="right"/>
              <w:rPr>
                <w:sz w:val="20"/>
              </w:rPr>
            </w:pPr>
            <w:r>
              <w:rPr>
                <w:w w:val="99"/>
                <w:sz w:val="20"/>
              </w:rPr>
              <w:t>-</w:t>
            </w:r>
          </w:p>
        </w:tc>
        <w:tc>
          <w:tcPr>
            <w:tcW w:w="1275" w:type="dxa"/>
            <w:tcBorders>
              <w:right w:val="single" w:sz="12" w:space="0" w:color="000000"/>
            </w:tcBorders>
          </w:tcPr>
          <w:p>
            <w:pPr>
              <w:pStyle w:val="TableParagraph"/>
              <w:spacing w:before="50"/>
              <w:ind w:right="77"/>
              <w:jc w:val="right"/>
              <w:rPr>
                <w:sz w:val="20"/>
              </w:rPr>
            </w:pPr>
            <w:r>
              <w:rPr>
                <w:w w:val="99"/>
                <w:sz w:val="20"/>
              </w:rPr>
              <w:t>-</w:t>
            </w:r>
          </w:p>
        </w:tc>
      </w:tr>
      <w:tr>
        <w:trPr>
          <w:trHeight w:val="302" w:hRule="atLeast"/>
        </w:trPr>
        <w:tc>
          <w:tcPr>
            <w:tcW w:w="5277" w:type="dxa"/>
            <w:gridSpan w:val="2"/>
            <w:tcBorders>
              <w:left w:val="single" w:sz="12" w:space="0" w:color="000000"/>
            </w:tcBorders>
          </w:tcPr>
          <w:p>
            <w:pPr>
              <w:pStyle w:val="TableParagraph"/>
              <w:spacing w:before="14"/>
              <w:ind w:left="107"/>
              <w:rPr>
                <w:sz w:val="20"/>
              </w:rPr>
            </w:pPr>
            <w:r>
              <w:rPr>
                <w:sz w:val="20"/>
              </w:rPr>
              <w:t>Net</w:t>
            </w:r>
            <w:r>
              <w:rPr>
                <w:spacing w:val="-7"/>
                <w:sz w:val="20"/>
              </w:rPr>
              <w:t> </w:t>
            </w:r>
            <w:r>
              <w:rPr>
                <w:sz w:val="20"/>
              </w:rPr>
              <w:t>asset</w:t>
            </w:r>
            <w:r>
              <w:rPr>
                <w:spacing w:val="-6"/>
                <w:sz w:val="20"/>
              </w:rPr>
              <w:t> </w:t>
            </w:r>
            <w:r>
              <w:rPr>
                <w:sz w:val="20"/>
              </w:rPr>
              <w:t>revaluation</w:t>
            </w:r>
            <w:r>
              <w:rPr>
                <w:spacing w:val="-7"/>
                <w:sz w:val="20"/>
              </w:rPr>
              <w:t> </w:t>
            </w:r>
            <w:r>
              <w:rPr>
                <w:spacing w:val="-2"/>
                <w:sz w:val="20"/>
              </w:rPr>
              <w:t>gain/(loss)</w:t>
            </w:r>
          </w:p>
        </w:tc>
        <w:tc>
          <w:tcPr>
            <w:tcW w:w="1358" w:type="dxa"/>
          </w:tcPr>
          <w:p>
            <w:pPr>
              <w:pStyle w:val="TableParagraph"/>
              <w:spacing w:before="50"/>
              <w:ind w:right="122"/>
              <w:jc w:val="right"/>
              <w:rPr>
                <w:sz w:val="20"/>
              </w:rPr>
            </w:pPr>
            <w:r>
              <w:rPr>
                <w:w w:val="99"/>
                <w:sz w:val="20"/>
              </w:rPr>
              <w:t>-</w:t>
            </w:r>
          </w:p>
        </w:tc>
        <w:tc>
          <w:tcPr>
            <w:tcW w:w="1345" w:type="dxa"/>
          </w:tcPr>
          <w:p>
            <w:pPr>
              <w:pStyle w:val="TableParagraph"/>
              <w:spacing w:before="50"/>
              <w:ind w:right="118"/>
              <w:jc w:val="right"/>
              <w:rPr>
                <w:sz w:val="20"/>
              </w:rPr>
            </w:pPr>
            <w:r>
              <w:rPr>
                <w:w w:val="99"/>
                <w:sz w:val="20"/>
              </w:rPr>
              <w:t>-</w:t>
            </w:r>
          </w:p>
        </w:tc>
        <w:tc>
          <w:tcPr>
            <w:tcW w:w="1379" w:type="dxa"/>
          </w:tcPr>
          <w:p>
            <w:pPr>
              <w:pStyle w:val="TableParagraph"/>
              <w:spacing w:before="50"/>
              <w:ind w:right="146"/>
              <w:jc w:val="right"/>
              <w:rPr>
                <w:sz w:val="20"/>
              </w:rPr>
            </w:pPr>
            <w:r>
              <w:rPr>
                <w:w w:val="99"/>
                <w:sz w:val="20"/>
              </w:rPr>
              <w:t>-</w:t>
            </w:r>
          </w:p>
        </w:tc>
        <w:tc>
          <w:tcPr>
            <w:tcW w:w="1275" w:type="dxa"/>
            <w:tcBorders>
              <w:right w:val="single" w:sz="12" w:space="0" w:color="000000"/>
            </w:tcBorders>
          </w:tcPr>
          <w:p>
            <w:pPr>
              <w:pStyle w:val="TableParagraph"/>
              <w:spacing w:before="50"/>
              <w:ind w:right="77"/>
              <w:jc w:val="right"/>
              <w:rPr>
                <w:sz w:val="20"/>
              </w:rPr>
            </w:pPr>
            <w:r>
              <w:rPr>
                <w:w w:val="99"/>
                <w:sz w:val="20"/>
              </w:rPr>
              <w:t>-</w:t>
            </w:r>
          </w:p>
        </w:tc>
      </w:tr>
      <w:tr>
        <w:trPr>
          <w:trHeight w:val="281" w:hRule="atLeast"/>
        </w:trPr>
        <w:tc>
          <w:tcPr>
            <w:tcW w:w="5277" w:type="dxa"/>
            <w:gridSpan w:val="2"/>
            <w:tcBorders>
              <w:left w:val="single" w:sz="12" w:space="0" w:color="000000"/>
            </w:tcBorders>
          </w:tcPr>
          <w:p>
            <w:pPr>
              <w:pStyle w:val="TableParagraph"/>
              <w:spacing w:before="14"/>
              <w:ind w:left="107"/>
              <w:rPr>
                <w:sz w:val="20"/>
              </w:rPr>
            </w:pPr>
            <w:r>
              <w:rPr>
                <w:sz w:val="20"/>
              </w:rPr>
              <w:t>Transfers</w:t>
            </w:r>
            <w:r>
              <w:rPr>
                <w:spacing w:val="-4"/>
                <w:sz w:val="20"/>
              </w:rPr>
              <w:t> </w:t>
            </w:r>
            <w:r>
              <w:rPr>
                <w:sz w:val="20"/>
              </w:rPr>
              <w:t>to</w:t>
            </w:r>
            <w:r>
              <w:rPr>
                <w:spacing w:val="-5"/>
                <w:sz w:val="20"/>
              </w:rPr>
              <w:t> </w:t>
            </w:r>
            <w:r>
              <w:rPr>
                <w:sz w:val="20"/>
              </w:rPr>
              <w:t>/</w:t>
            </w:r>
            <w:r>
              <w:rPr>
                <w:spacing w:val="-4"/>
                <w:sz w:val="20"/>
              </w:rPr>
              <w:t> </w:t>
            </w:r>
            <w:r>
              <w:rPr>
                <w:sz w:val="20"/>
              </w:rPr>
              <w:t>from</w:t>
            </w:r>
            <w:r>
              <w:rPr>
                <w:spacing w:val="-6"/>
                <w:sz w:val="20"/>
              </w:rPr>
              <w:t> </w:t>
            </w:r>
            <w:r>
              <w:rPr>
                <w:sz w:val="20"/>
              </w:rPr>
              <w:t>general</w:t>
            </w:r>
            <w:r>
              <w:rPr>
                <w:spacing w:val="-2"/>
                <w:sz w:val="20"/>
              </w:rPr>
              <w:t> reserve</w:t>
            </w:r>
          </w:p>
        </w:tc>
        <w:tc>
          <w:tcPr>
            <w:tcW w:w="1358" w:type="dxa"/>
            <w:tcBorders>
              <w:bottom w:val="single" w:sz="2" w:space="0" w:color="000000"/>
            </w:tcBorders>
          </w:tcPr>
          <w:p>
            <w:pPr>
              <w:pStyle w:val="TableParagraph"/>
              <w:spacing w:line="211" w:lineRule="exact" w:before="50"/>
              <w:ind w:right="122"/>
              <w:jc w:val="right"/>
              <w:rPr>
                <w:sz w:val="20"/>
              </w:rPr>
            </w:pPr>
            <w:r>
              <w:rPr>
                <w:w w:val="99"/>
                <w:sz w:val="20"/>
              </w:rPr>
              <w:t>-</w:t>
            </w:r>
          </w:p>
        </w:tc>
        <w:tc>
          <w:tcPr>
            <w:tcW w:w="1345" w:type="dxa"/>
            <w:tcBorders>
              <w:bottom w:val="single" w:sz="2" w:space="0" w:color="000000"/>
            </w:tcBorders>
          </w:tcPr>
          <w:p>
            <w:pPr>
              <w:pStyle w:val="TableParagraph"/>
              <w:spacing w:line="211" w:lineRule="exact" w:before="50"/>
              <w:ind w:right="119"/>
              <w:jc w:val="right"/>
              <w:rPr>
                <w:sz w:val="20"/>
              </w:rPr>
            </w:pPr>
            <w:r>
              <w:rPr>
                <w:spacing w:val="-2"/>
                <w:sz w:val="20"/>
              </w:rPr>
              <w:t>2,000</w:t>
            </w:r>
          </w:p>
        </w:tc>
        <w:tc>
          <w:tcPr>
            <w:tcW w:w="1379" w:type="dxa"/>
            <w:tcBorders>
              <w:bottom w:val="single" w:sz="2" w:space="0" w:color="000000"/>
            </w:tcBorders>
          </w:tcPr>
          <w:p>
            <w:pPr>
              <w:pStyle w:val="TableParagraph"/>
              <w:spacing w:line="211" w:lineRule="exact" w:before="50"/>
              <w:ind w:right="146"/>
              <w:jc w:val="right"/>
              <w:rPr>
                <w:sz w:val="20"/>
              </w:rPr>
            </w:pPr>
            <w:r>
              <w:rPr>
                <w:w w:val="99"/>
                <w:sz w:val="20"/>
              </w:rPr>
              <w:t>-</w:t>
            </w:r>
          </w:p>
        </w:tc>
        <w:tc>
          <w:tcPr>
            <w:tcW w:w="1275" w:type="dxa"/>
            <w:tcBorders>
              <w:bottom w:val="single" w:sz="2" w:space="0" w:color="000000"/>
              <w:right w:val="single" w:sz="12" w:space="0" w:color="000000"/>
            </w:tcBorders>
          </w:tcPr>
          <w:p>
            <w:pPr>
              <w:pStyle w:val="TableParagraph"/>
              <w:spacing w:line="211" w:lineRule="exact" w:before="50"/>
              <w:ind w:right="79"/>
              <w:jc w:val="right"/>
              <w:rPr>
                <w:sz w:val="20"/>
              </w:rPr>
            </w:pPr>
            <w:r>
              <w:rPr>
                <w:spacing w:val="-2"/>
                <w:sz w:val="20"/>
              </w:rPr>
              <w:t>(2,000)</w:t>
            </w:r>
          </w:p>
        </w:tc>
      </w:tr>
      <w:tr>
        <w:trPr>
          <w:trHeight w:val="318" w:hRule="atLeast"/>
        </w:trPr>
        <w:tc>
          <w:tcPr>
            <w:tcW w:w="5277" w:type="dxa"/>
            <w:gridSpan w:val="2"/>
            <w:tcBorders>
              <w:left w:val="single" w:sz="12" w:space="0" w:color="000000"/>
              <w:bottom w:val="single" w:sz="12" w:space="0" w:color="000000"/>
            </w:tcBorders>
          </w:tcPr>
          <w:p>
            <w:pPr>
              <w:pStyle w:val="TableParagraph"/>
              <w:spacing w:line="229" w:lineRule="exact"/>
              <w:ind w:left="107"/>
              <w:rPr>
                <w:b/>
                <w:sz w:val="20"/>
              </w:rPr>
            </w:pPr>
            <w:r>
              <w:rPr>
                <w:b/>
                <w:sz w:val="20"/>
              </w:rPr>
              <w:t>Balance</w:t>
            </w:r>
            <w:r>
              <w:rPr>
                <w:b/>
                <w:spacing w:val="-8"/>
                <w:sz w:val="20"/>
              </w:rPr>
              <w:t> </w:t>
            </w:r>
            <w:r>
              <w:rPr>
                <w:b/>
                <w:sz w:val="20"/>
              </w:rPr>
              <w:t>at</w:t>
            </w:r>
            <w:r>
              <w:rPr>
                <w:b/>
                <w:spacing w:val="-3"/>
                <w:sz w:val="20"/>
              </w:rPr>
              <w:t> </w:t>
            </w:r>
            <w:r>
              <w:rPr>
                <w:b/>
                <w:sz w:val="20"/>
              </w:rPr>
              <w:t>end</w:t>
            </w:r>
            <w:r>
              <w:rPr>
                <w:b/>
                <w:spacing w:val="-5"/>
                <w:sz w:val="20"/>
              </w:rPr>
              <w:t> </w:t>
            </w:r>
            <w:r>
              <w:rPr>
                <w:b/>
                <w:sz w:val="20"/>
              </w:rPr>
              <w:t>of</w:t>
            </w:r>
            <w:r>
              <w:rPr>
                <w:b/>
                <w:spacing w:val="-3"/>
                <w:sz w:val="20"/>
              </w:rPr>
              <w:t> </w:t>
            </w:r>
            <w:r>
              <w:rPr>
                <w:b/>
                <w:sz w:val="20"/>
              </w:rPr>
              <w:t>the</w:t>
            </w:r>
            <w:r>
              <w:rPr>
                <w:b/>
                <w:spacing w:val="-5"/>
                <w:sz w:val="20"/>
              </w:rPr>
              <w:t> </w:t>
            </w:r>
            <w:r>
              <w:rPr>
                <w:b/>
                <w:sz w:val="20"/>
              </w:rPr>
              <w:t>financial</w:t>
            </w:r>
            <w:r>
              <w:rPr>
                <w:b/>
                <w:spacing w:val="-5"/>
                <w:sz w:val="20"/>
              </w:rPr>
              <w:t> </w:t>
            </w:r>
            <w:r>
              <w:rPr>
                <w:b/>
                <w:spacing w:val="-4"/>
                <w:sz w:val="20"/>
              </w:rPr>
              <w:t>year</w:t>
            </w:r>
          </w:p>
        </w:tc>
        <w:tc>
          <w:tcPr>
            <w:tcW w:w="1358" w:type="dxa"/>
            <w:tcBorders>
              <w:top w:val="single" w:sz="2" w:space="0" w:color="000000"/>
              <w:bottom w:val="single" w:sz="12" w:space="0" w:color="000000"/>
            </w:tcBorders>
          </w:tcPr>
          <w:p>
            <w:pPr>
              <w:pStyle w:val="TableParagraph"/>
              <w:spacing w:line="213" w:lineRule="exact" w:before="86"/>
              <w:ind w:right="122"/>
              <w:jc w:val="right"/>
              <w:rPr>
                <w:b/>
                <w:sz w:val="20"/>
              </w:rPr>
            </w:pPr>
            <w:r>
              <w:rPr>
                <w:b/>
                <w:spacing w:val="-2"/>
                <w:sz w:val="20"/>
              </w:rPr>
              <w:t>2,333,638</w:t>
            </w:r>
          </w:p>
        </w:tc>
        <w:tc>
          <w:tcPr>
            <w:tcW w:w="1345" w:type="dxa"/>
            <w:tcBorders>
              <w:top w:val="single" w:sz="2" w:space="0" w:color="000000"/>
              <w:bottom w:val="single" w:sz="12" w:space="0" w:color="000000"/>
            </w:tcBorders>
          </w:tcPr>
          <w:p>
            <w:pPr>
              <w:pStyle w:val="TableParagraph"/>
              <w:spacing w:line="213" w:lineRule="exact" w:before="86"/>
              <w:ind w:right="119"/>
              <w:jc w:val="right"/>
              <w:rPr>
                <w:b/>
                <w:sz w:val="20"/>
              </w:rPr>
            </w:pPr>
            <w:r>
              <w:rPr>
                <w:b/>
                <w:spacing w:val="-2"/>
                <w:sz w:val="20"/>
              </w:rPr>
              <w:t>1,018,378</w:t>
            </w:r>
          </w:p>
        </w:tc>
        <w:tc>
          <w:tcPr>
            <w:tcW w:w="1379" w:type="dxa"/>
            <w:tcBorders>
              <w:top w:val="single" w:sz="2" w:space="0" w:color="000000"/>
              <w:bottom w:val="single" w:sz="12" w:space="0" w:color="000000"/>
            </w:tcBorders>
          </w:tcPr>
          <w:p>
            <w:pPr>
              <w:pStyle w:val="TableParagraph"/>
              <w:spacing w:line="213" w:lineRule="exact" w:before="86"/>
              <w:ind w:right="146"/>
              <w:jc w:val="right"/>
              <w:rPr>
                <w:b/>
                <w:sz w:val="20"/>
              </w:rPr>
            </w:pPr>
            <w:r>
              <w:rPr>
                <w:b/>
                <w:spacing w:val="-2"/>
                <w:sz w:val="20"/>
              </w:rPr>
              <w:t>1,315,260</w:t>
            </w:r>
          </w:p>
        </w:tc>
        <w:tc>
          <w:tcPr>
            <w:tcW w:w="1275" w:type="dxa"/>
            <w:tcBorders>
              <w:top w:val="single" w:sz="2" w:space="0" w:color="000000"/>
              <w:bottom w:val="single" w:sz="12" w:space="0" w:color="000000"/>
              <w:right w:val="single" w:sz="12" w:space="0" w:color="000000"/>
            </w:tcBorders>
          </w:tcPr>
          <w:p>
            <w:pPr>
              <w:pStyle w:val="TableParagraph"/>
              <w:spacing w:line="213" w:lineRule="exact" w:before="86"/>
              <w:ind w:right="77"/>
              <w:jc w:val="right"/>
              <w:rPr>
                <w:b/>
                <w:sz w:val="20"/>
              </w:rPr>
            </w:pPr>
            <w:r>
              <w:rPr>
                <w:b/>
                <w:w w:val="99"/>
                <w:sz w:val="20"/>
              </w:rPr>
              <w:t>-</w:t>
            </w:r>
          </w:p>
        </w:tc>
      </w:tr>
    </w:tbl>
    <w:p>
      <w:pPr>
        <w:spacing w:after="0" w:line="213" w:lineRule="exact"/>
        <w:jc w:val="right"/>
        <w:rPr>
          <w:sz w:val="20"/>
        </w:rPr>
        <w:sectPr>
          <w:type w:val="continuous"/>
          <w:pgSz w:w="11910" w:h="16840"/>
          <w:pgMar w:header="0" w:footer="375" w:top="540" w:bottom="560" w:left="460" w:right="160"/>
        </w:sect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96"/>
        <w:gridCol w:w="1159"/>
        <w:gridCol w:w="1205"/>
        <w:gridCol w:w="1122"/>
        <w:gridCol w:w="1241"/>
        <w:gridCol w:w="1116"/>
      </w:tblGrid>
      <w:tr>
        <w:trPr>
          <w:trHeight w:val="833" w:hRule="atLeast"/>
        </w:trPr>
        <w:tc>
          <w:tcPr>
            <w:tcW w:w="10739" w:type="dxa"/>
            <w:gridSpan w:val="6"/>
            <w:tcBorders>
              <w:top w:val="single" w:sz="18" w:space="0" w:color="000000"/>
              <w:left w:val="single" w:sz="12" w:space="0" w:color="000000"/>
              <w:right w:val="single" w:sz="12" w:space="0" w:color="000000"/>
            </w:tcBorders>
          </w:tcPr>
          <w:p>
            <w:pPr>
              <w:pStyle w:val="TableParagraph"/>
              <w:spacing w:line="267" w:lineRule="exact"/>
              <w:ind w:left="107"/>
              <w:rPr>
                <w:b/>
                <w:sz w:val="24"/>
              </w:rPr>
            </w:pPr>
            <w:r>
              <w:rPr>
                <w:b/>
                <w:color w:val="4966AC"/>
                <w:sz w:val="24"/>
              </w:rPr>
              <w:t>Statement</w:t>
            </w:r>
            <w:r>
              <w:rPr>
                <w:b/>
                <w:color w:val="4966AC"/>
                <w:spacing w:val="-2"/>
                <w:sz w:val="24"/>
              </w:rPr>
              <w:t> </w:t>
            </w:r>
            <w:r>
              <w:rPr>
                <w:b/>
                <w:color w:val="4966AC"/>
                <w:sz w:val="24"/>
              </w:rPr>
              <w:t>of</w:t>
            </w:r>
            <w:r>
              <w:rPr>
                <w:b/>
                <w:color w:val="4966AC"/>
                <w:spacing w:val="1"/>
                <w:sz w:val="24"/>
              </w:rPr>
              <w:t> </w:t>
            </w:r>
            <w:r>
              <w:rPr>
                <w:b/>
                <w:color w:val="4966AC"/>
                <w:sz w:val="24"/>
              </w:rPr>
              <w:t>Cash</w:t>
            </w:r>
            <w:r>
              <w:rPr>
                <w:b/>
                <w:color w:val="4966AC"/>
                <w:spacing w:val="1"/>
                <w:sz w:val="24"/>
              </w:rPr>
              <w:t> </w:t>
            </w:r>
            <w:r>
              <w:rPr>
                <w:b/>
                <w:color w:val="4966AC"/>
                <w:spacing w:val="-2"/>
                <w:sz w:val="24"/>
              </w:rPr>
              <w:t>Flows</w:t>
            </w:r>
          </w:p>
          <w:p>
            <w:pPr>
              <w:pStyle w:val="TableParagraph"/>
              <w:spacing w:before="14"/>
              <w:ind w:left="107"/>
              <w:rPr>
                <w:sz w:val="22"/>
              </w:rPr>
            </w:pPr>
            <w:r>
              <w:rPr>
                <w:color w:val="4966AC"/>
                <w:sz w:val="22"/>
              </w:rPr>
              <w:t>For</w:t>
            </w:r>
            <w:r>
              <w:rPr>
                <w:color w:val="4966AC"/>
                <w:spacing w:val="-3"/>
                <w:sz w:val="22"/>
              </w:rPr>
              <w:t> </w:t>
            </w:r>
            <w:r>
              <w:rPr>
                <w:color w:val="4966AC"/>
                <w:sz w:val="22"/>
              </w:rPr>
              <w:t>the</w:t>
            </w:r>
            <w:r>
              <w:rPr>
                <w:color w:val="4966AC"/>
                <w:spacing w:val="-3"/>
                <w:sz w:val="22"/>
              </w:rPr>
              <w:t> </w:t>
            </w:r>
            <w:r>
              <w:rPr>
                <w:color w:val="4966AC"/>
                <w:sz w:val="22"/>
              </w:rPr>
              <w:t>four</w:t>
            </w:r>
            <w:r>
              <w:rPr>
                <w:color w:val="4966AC"/>
                <w:spacing w:val="-2"/>
                <w:sz w:val="22"/>
              </w:rPr>
              <w:t> </w:t>
            </w:r>
            <w:r>
              <w:rPr>
                <w:color w:val="4966AC"/>
                <w:sz w:val="22"/>
              </w:rPr>
              <w:t>years</w:t>
            </w:r>
            <w:r>
              <w:rPr>
                <w:color w:val="4966AC"/>
                <w:spacing w:val="-2"/>
                <w:sz w:val="22"/>
              </w:rPr>
              <w:t> </w:t>
            </w:r>
            <w:r>
              <w:rPr>
                <w:color w:val="4966AC"/>
                <w:sz w:val="22"/>
              </w:rPr>
              <w:t>ending</w:t>
            </w:r>
            <w:r>
              <w:rPr>
                <w:color w:val="4966AC"/>
                <w:spacing w:val="-3"/>
                <w:sz w:val="22"/>
              </w:rPr>
              <w:t> </w:t>
            </w:r>
            <w:r>
              <w:rPr>
                <w:color w:val="4966AC"/>
                <w:sz w:val="22"/>
              </w:rPr>
              <w:t>30</w:t>
            </w:r>
            <w:r>
              <w:rPr>
                <w:color w:val="4966AC"/>
                <w:spacing w:val="-2"/>
                <w:sz w:val="22"/>
              </w:rPr>
              <w:t> </w:t>
            </w:r>
            <w:r>
              <w:rPr>
                <w:color w:val="4966AC"/>
                <w:sz w:val="22"/>
              </w:rPr>
              <w:t>June</w:t>
            </w:r>
            <w:r>
              <w:rPr>
                <w:color w:val="4966AC"/>
                <w:spacing w:val="-3"/>
                <w:sz w:val="22"/>
              </w:rPr>
              <w:t> </w:t>
            </w:r>
            <w:r>
              <w:rPr>
                <w:color w:val="4966AC"/>
                <w:spacing w:val="-4"/>
                <w:sz w:val="22"/>
              </w:rPr>
              <w:t>2029</w:t>
            </w:r>
          </w:p>
        </w:tc>
      </w:tr>
      <w:tr>
        <w:trPr>
          <w:trHeight w:val="1104" w:hRule="atLeast"/>
        </w:trPr>
        <w:tc>
          <w:tcPr>
            <w:tcW w:w="4896" w:type="dxa"/>
            <w:tcBorders>
              <w:left w:val="single" w:sz="12" w:space="0" w:color="000000"/>
            </w:tcBorders>
            <w:shd w:val="clear" w:color="auto" w:fill="5B9AD4"/>
          </w:tcPr>
          <w:p>
            <w:pPr>
              <w:pStyle w:val="TableParagraph"/>
              <w:rPr>
                <w:i/>
                <w:sz w:val="22"/>
              </w:rPr>
            </w:pPr>
          </w:p>
          <w:p>
            <w:pPr>
              <w:pStyle w:val="TableParagraph"/>
              <w:rPr>
                <w:i/>
                <w:sz w:val="22"/>
              </w:rPr>
            </w:pPr>
          </w:p>
          <w:p>
            <w:pPr>
              <w:pStyle w:val="TableParagraph"/>
              <w:spacing w:before="9"/>
              <w:rPr>
                <w:i/>
                <w:sz w:val="29"/>
              </w:rPr>
            </w:pPr>
          </w:p>
          <w:p>
            <w:pPr>
              <w:pStyle w:val="TableParagraph"/>
              <w:ind w:right="81"/>
              <w:jc w:val="right"/>
              <w:rPr>
                <w:b/>
                <w:sz w:val="20"/>
              </w:rPr>
            </w:pPr>
            <w:r>
              <w:rPr>
                <w:b/>
                <w:color w:val="FFFFFF"/>
                <w:spacing w:val="-2"/>
                <w:sz w:val="20"/>
              </w:rPr>
              <w:t>Notes</w:t>
            </w:r>
          </w:p>
        </w:tc>
        <w:tc>
          <w:tcPr>
            <w:tcW w:w="1159" w:type="dxa"/>
            <w:shd w:val="clear" w:color="auto" w:fill="5B9AD4"/>
          </w:tcPr>
          <w:p>
            <w:pPr>
              <w:pStyle w:val="TableParagraph"/>
              <w:spacing w:before="45"/>
              <w:ind w:left="288" w:right="144" w:hanging="111"/>
              <w:rPr>
                <w:b/>
                <w:sz w:val="20"/>
              </w:rPr>
            </w:pPr>
            <w:r>
              <w:rPr>
                <w:b/>
                <w:color w:val="FFFFFF"/>
                <w:spacing w:val="-2"/>
                <w:sz w:val="20"/>
              </w:rPr>
              <w:t>Forecast Actual</w:t>
            </w:r>
          </w:p>
          <w:p>
            <w:pPr>
              <w:pStyle w:val="TableParagraph"/>
              <w:spacing w:before="68"/>
              <w:ind w:left="232"/>
              <w:rPr>
                <w:b/>
                <w:sz w:val="20"/>
              </w:rPr>
            </w:pPr>
            <w:r>
              <w:rPr>
                <w:b/>
                <w:color w:val="FFFFFF"/>
                <w:spacing w:val="-2"/>
                <w:sz w:val="20"/>
              </w:rPr>
              <w:t>2024/25</w:t>
            </w:r>
          </w:p>
          <w:p>
            <w:pPr>
              <w:pStyle w:val="TableParagraph"/>
              <w:spacing w:before="46"/>
              <w:ind w:left="343"/>
              <w:rPr>
                <w:b/>
                <w:sz w:val="20"/>
              </w:rPr>
            </w:pPr>
            <w:r>
              <w:rPr>
                <w:b/>
                <w:color w:val="FFFFFF"/>
                <w:spacing w:val="-2"/>
                <w:sz w:val="20"/>
              </w:rPr>
              <w:t>$’000</w:t>
            </w:r>
          </w:p>
        </w:tc>
        <w:tc>
          <w:tcPr>
            <w:tcW w:w="1205" w:type="dxa"/>
            <w:shd w:val="clear" w:color="auto" w:fill="5B9AD4"/>
          </w:tcPr>
          <w:p>
            <w:pPr>
              <w:pStyle w:val="TableParagraph"/>
              <w:spacing w:line="412" w:lineRule="exact" w:before="18"/>
              <w:ind w:left="254" w:right="222" w:firstLine="16"/>
              <w:rPr>
                <w:b/>
                <w:sz w:val="20"/>
              </w:rPr>
            </w:pPr>
            <w:r>
              <w:rPr>
                <w:b/>
                <w:color w:val="FFFFFF"/>
                <w:spacing w:val="-2"/>
                <w:sz w:val="20"/>
              </w:rPr>
              <w:t>Budget 2025/26</w:t>
            </w:r>
          </w:p>
          <w:p>
            <w:pPr>
              <w:pStyle w:val="TableParagraph"/>
              <w:spacing w:before="7"/>
              <w:ind w:left="365"/>
              <w:rPr>
                <w:b/>
                <w:sz w:val="20"/>
              </w:rPr>
            </w:pPr>
            <w:r>
              <w:rPr>
                <w:b/>
                <w:color w:val="FFFFFF"/>
                <w:spacing w:val="-2"/>
                <w:sz w:val="20"/>
              </w:rPr>
              <w:t>$’000</w:t>
            </w:r>
          </w:p>
        </w:tc>
        <w:tc>
          <w:tcPr>
            <w:tcW w:w="1122" w:type="dxa"/>
            <w:shd w:val="clear" w:color="auto" w:fill="5B9AD4"/>
          </w:tcPr>
          <w:p>
            <w:pPr>
              <w:pStyle w:val="TableParagraph"/>
              <w:rPr>
                <w:i/>
                <w:sz w:val="22"/>
              </w:rPr>
            </w:pPr>
          </w:p>
          <w:p>
            <w:pPr>
              <w:pStyle w:val="TableParagraph"/>
              <w:spacing w:before="9"/>
              <w:rPr>
                <w:i/>
                <w:sz w:val="27"/>
              </w:rPr>
            </w:pPr>
          </w:p>
          <w:p>
            <w:pPr>
              <w:pStyle w:val="TableParagraph"/>
              <w:ind w:left="232"/>
              <w:rPr>
                <w:b/>
                <w:sz w:val="20"/>
              </w:rPr>
            </w:pPr>
            <w:r>
              <w:rPr>
                <w:b/>
                <w:color w:val="FFFFFF"/>
                <w:spacing w:val="-2"/>
                <w:sz w:val="20"/>
              </w:rPr>
              <w:t>2026/27</w:t>
            </w:r>
          </w:p>
          <w:p>
            <w:pPr>
              <w:pStyle w:val="TableParagraph"/>
              <w:spacing w:before="46"/>
              <w:ind w:left="343"/>
              <w:rPr>
                <w:b/>
                <w:sz w:val="20"/>
              </w:rPr>
            </w:pPr>
            <w:r>
              <w:rPr>
                <w:b/>
                <w:color w:val="FFFFFF"/>
                <w:spacing w:val="-2"/>
                <w:sz w:val="20"/>
              </w:rPr>
              <w:t>$’000</w:t>
            </w:r>
          </w:p>
        </w:tc>
        <w:tc>
          <w:tcPr>
            <w:tcW w:w="1241" w:type="dxa"/>
            <w:shd w:val="clear" w:color="auto" w:fill="5B9AD4"/>
          </w:tcPr>
          <w:p>
            <w:pPr>
              <w:pStyle w:val="TableParagraph"/>
              <w:spacing w:line="412" w:lineRule="exact" w:before="18"/>
              <w:ind w:left="85" w:right="65"/>
              <w:jc w:val="center"/>
              <w:rPr>
                <w:b/>
                <w:sz w:val="20"/>
              </w:rPr>
            </w:pPr>
            <w:r>
              <w:rPr>
                <w:b/>
                <w:color w:val="FFFFFF"/>
                <w:spacing w:val="-2"/>
                <w:sz w:val="20"/>
              </w:rPr>
              <w:t>Projections 2027/28</w:t>
            </w:r>
          </w:p>
          <w:p>
            <w:pPr>
              <w:pStyle w:val="TableParagraph"/>
              <w:spacing w:before="7"/>
              <w:ind w:left="84" w:right="65"/>
              <w:jc w:val="center"/>
              <w:rPr>
                <w:b/>
                <w:sz w:val="20"/>
              </w:rPr>
            </w:pPr>
            <w:r>
              <w:rPr>
                <w:b/>
                <w:color w:val="FFFFFF"/>
                <w:spacing w:val="-2"/>
                <w:sz w:val="20"/>
              </w:rPr>
              <w:t>$’000</w:t>
            </w:r>
          </w:p>
        </w:tc>
        <w:tc>
          <w:tcPr>
            <w:tcW w:w="1116" w:type="dxa"/>
            <w:tcBorders>
              <w:right w:val="single" w:sz="12" w:space="0" w:color="000000"/>
            </w:tcBorders>
            <w:shd w:val="clear" w:color="auto" w:fill="5B9AD4"/>
          </w:tcPr>
          <w:p>
            <w:pPr>
              <w:pStyle w:val="TableParagraph"/>
              <w:rPr>
                <w:i/>
                <w:sz w:val="22"/>
              </w:rPr>
            </w:pPr>
          </w:p>
          <w:p>
            <w:pPr>
              <w:pStyle w:val="TableParagraph"/>
              <w:spacing w:before="9"/>
              <w:rPr>
                <w:i/>
                <w:sz w:val="27"/>
              </w:rPr>
            </w:pPr>
          </w:p>
          <w:p>
            <w:pPr>
              <w:pStyle w:val="TableParagraph"/>
              <w:ind w:left="173"/>
              <w:rPr>
                <w:b/>
                <w:sz w:val="20"/>
              </w:rPr>
            </w:pPr>
            <w:r>
              <w:rPr>
                <w:b/>
                <w:color w:val="FFFFFF"/>
                <w:spacing w:val="-2"/>
                <w:sz w:val="20"/>
              </w:rPr>
              <w:t>2028/29</w:t>
            </w:r>
          </w:p>
          <w:p>
            <w:pPr>
              <w:pStyle w:val="TableParagraph"/>
              <w:spacing w:before="46"/>
              <w:ind w:left="283"/>
              <w:rPr>
                <w:b/>
                <w:sz w:val="20"/>
              </w:rPr>
            </w:pPr>
            <w:r>
              <w:rPr>
                <w:b/>
                <w:color w:val="FFFFFF"/>
                <w:spacing w:val="-2"/>
                <w:sz w:val="20"/>
              </w:rPr>
              <w:t>$’000</w:t>
            </w:r>
          </w:p>
        </w:tc>
      </w:tr>
      <w:tr>
        <w:trPr>
          <w:trHeight w:val="256" w:hRule="atLeast"/>
        </w:trPr>
        <w:tc>
          <w:tcPr>
            <w:tcW w:w="4896" w:type="dxa"/>
            <w:tcBorders>
              <w:left w:val="single" w:sz="12" w:space="0" w:color="000000"/>
            </w:tcBorders>
          </w:tcPr>
          <w:p>
            <w:pPr>
              <w:pStyle w:val="TableParagraph"/>
              <w:rPr>
                <w:rFonts w:ascii="Times New Roman"/>
                <w:sz w:val="18"/>
              </w:rPr>
            </w:pPr>
          </w:p>
        </w:tc>
        <w:tc>
          <w:tcPr>
            <w:tcW w:w="1159" w:type="dxa"/>
          </w:tcPr>
          <w:p>
            <w:pPr>
              <w:pStyle w:val="TableParagraph"/>
              <w:spacing w:line="230" w:lineRule="exact"/>
              <w:ind w:left="283"/>
              <w:rPr>
                <w:sz w:val="20"/>
              </w:rPr>
            </w:pPr>
            <w:r>
              <w:rPr>
                <w:spacing w:val="-2"/>
                <w:sz w:val="20"/>
              </w:rPr>
              <w:t>Inflows</w:t>
            </w:r>
          </w:p>
        </w:tc>
        <w:tc>
          <w:tcPr>
            <w:tcW w:w="1205" w:type="dxa"/>
            <w:shd w:val="clear" w:color="auto" w:fill="DDEBF6"/>
          </w:tcPr>
          <w:p>
            <w:pPr>
              <w:pStyle w:val="TableParagraph"/>
              <w:spacing w:line="230" w:lineRule="exact"/>
              <w:ind w:left="271"/>
              <w:rPr>
                <w:b/>
                <w:sz w:val="20"/>
              </w:rPr>
            </w:pPr>
            <w:r>
              <w:rPr>
                <w:b/>
                <w:spacing w:val="-2"/>
                <w:sz w:val="20"/>
              </w:rPr>
              <w:t>Inflows</w:t>
            </w:r>
          </w:p>
        </w:tc>
        <w:tc>
          <w:tcPr>
            <w:tcW w:w="1122" w:type="dxa"/>
          </w:tcPr>
          <w:p>
            <w:pPr>
              <w:pStyle w:val="TableParagraph"/>
              <w:spacing w:line="230" w:lineRule="exact"/>
              <w:ind w:left="283"/>
              <w:rPr>
                <w:sz w:val="20"/>
              </w:rPr>
            </w:pPr>
            <w:r>
              <w:rPr>
                <w:spacing w:val="-2"/>
                <w:sz w:val="20"/>
              </w:rPr>
              <w:t>Inflows</w:t>
            </w:r>
          </w:p>
        </w:tc>
        <w:tc>
          <w:tcPr>
            <w:tcW w:w="1241" w:type="dxa"/>
          </w:tcPr>
          <w:p>
            <w:pPr>
              <w:pStyle w:val="TableParagraph"/>
              <w:spacing w:line="230" w:lineRule="exact"/>
              <w:ind w:left="320"/>
              <w:rPr>
                <w:sz w:val="20"/>
              </w:rPr>
            </w:pPr>
            <w:r>
              <w:rPr>
                <w:spacing w:val="-2"/>
                <w:sz w:val="20"/>
              </w:rPr>
              <w:t>Inflows</w:t>
            </w:r>
          </w:p>
        </w:tc>
        <w:tc>
          <w:tcPr>
            <w:tcW w:w="1116" w:type="dxa"/>
            <w:tcBorders>
              <w:right w:val="single" w:sz="12" w:space="0" w:color="000000"/>
            </w:tcBorders>
          </w:tcPr>
          <w:p>
            <w:pPr>
              <w:pStyle w:val="TableParagraph"/>
              <w:spacing w:line="230" w:lineRule="exact"/>
              <w:ind w:left="223"/>
              <w:rPr>
                <w:sz w:val="20"/>
              </w:rPr>
            </w:pPr>
            <w:r>
              <w:rPr>
                <w:spacing w:val="-2"/>
                <w:sz w:val="20"/>
              </w:rPr>
              <w:t>Inflows</w:t>
            </w:r>
          </w:p>
        </w:tc>
      </w:tr>
      <w:tr>
        <w:trPr>
          <w:trHeight w:val="276" w:hRule="atLeast"/>
        </w:trPr>
        <w:tc>
          <w:tcPr>
            <w:tcW w:w="4896" w:type="dxa"/>
            <w:tcBorders>
              <w:left w:val="single" w:sz="12" w:space="0" w:color="000000"/>
            </w:tcBorders>
          </w:tcPr>
          <w:p>
            <w:pPr>
              <w:pStyle w:val="TableParagraph"/>
              <w:rPr>
                <w:rFonts w:ascii="Times New Roman"/>
                <w:sz w:val="18"/>
              </w:rPr>
            </w:pPr>
          </w:p>
        </w:tc>
        <w:tc>
          <w:tcPr>
            <w:tcW w:w="1159" w:type="dxa"/>
          </w:tcPr>
          <w:p>
            <w:pPr>
              <w:pStyle w:val="TableParagraph"/>
              <w:spacing w:before="19"/>
              <w:ind w:right="112"/>
              <w:jc w:val="right"/>
              <w:rPr>
                <w:sz w:val="20"/>
              </w:rPr>
            </w:pPr>
            <w:r>
              <w:rPr>
                <w:spacing w:val="-2"/>
                <w:sz w:val="20"/>
              </w:rPr>
              <w:t>(Outflows)</w:t>
            </w:r>
          </w:p>
        </w:tc>
        <w:tc>
          <w:tcPr>
            <w:tcW w:w="1205" w:type="dxa"/>
            <w:shd w:val="clear" w:color="auto" w:fill="DDEBF6"/>
          </w:tcPr>
          <w:p>
            <w:pPr>
              <w:pStyle w:val="TableParagraph"/>
              <w:spacing w:before="19"/>
              <w:ind w:right="91"/>
              <w:jc w:val="right"/>
              <w:rPr>
                <w:b/>
                <w:sz w:val="20"/>
              </w:rPr>
            </w:pPr>
            <w:r>
              <w:rPr>
                <w:b/>
                <w:spacing w:val="-2"/>
                <w:sz w:val="20"/>
              </w:rPr>
              <w:t>(Outflows)</w:t>
            </w:r>
          </w:p>
        </w:tc>
        <w:tc>
          <w:tcPr>
            <w:tcW w:w="1122" w:type="dxa"/>
          </w:tcPr>
          <w:p>
            <w:pPr>
              <w:pStyle w:val="TableParagraph"/>
              <w:spacing w:before="19"/>
              <w:ind w:right="75"/>
              <w:jc w:val="right"/>
              <w:rPr>
                <w:sz w:val="20"/>
              </w:rPr>
            </w:pPr>
            <w:r>
              <w:rPr>
                <w:spacing w:val="-2"/>
                <w:sz w:val="20"/>
              </w:rPr>
              <w:t>(Outflows)</w:t>
            </w:r>
          </w:p>
        </w:tc>
        <w:tc>
          <w:tcPr>
            <w:tcW w:w="1241" w:type="dxa"/>
          </w:tcPr>
          <w:p>
            <w:pPr>
              <w:pStyle w:val="TableParagraph"/>
              <w:spacing w:before="19"/>
              <w:ind w:right="157"/>
              <w:jc w:val="right"/>
              <w:rPr>
                <w:sz w:val="20"/>
              </w:rPr>
            </w:pPr>
            <w:r>
              <w:rPr>
                <w:spacing w:val="-2"/>
                <w:sz w:val="20"/>
              </w:rPr>
              <w:t>(Outflows)</w:t>
            </w:r>
          </w:p>
        </w:tc>
        <w:tc>
          <w:tcPr>
            <w:tcW w:w="1116" w:type="dxa"/>
            <w:tcBorders>
              <w:right w:val="single" w:sz="12" w:space="0" w:color="000000"/>
            </w:tcBorders>
          </w:tcPr>
          <w:p>
            <w:pPr>
              <w:pStyle w:val="TableParagraph"/>
              <w:spacing w:before="19"/>
              <w:ind w:right="96"/>
              <w:jc w:val="right"/>
              <w:rPr>
                <w:sz w:val="20"/>
              </w:rPr>
            </w:pPr>
            <w:r>
              <w:rPr>
                <w:spacing w:val="-2"/>
                <w:sz w:val="20"/>
              </w:rPr>
              <w:t>(Outflows)</w:t>
            </w:r>
          </w:p>
        </w:tc>
      </w:tr>
      <w:tr>
        <w:trPr>
          <w:trHeight w:val="276" w:hRule="atLeast"/>
        </w:trPr>
        <w:tc>
          <w:tcPr>
            <w:tcW w:w="4896" w:type="dxa"/>
            <w:tcBorders>
              <w:left w:val="single" w:sz="12" w:space="0" w:color="000000"/>
            </w:tcBorders>
          </w:tcPr>
          <w:p>
            <w:pPr>
              <w:pStyle w:val="TableParagraph"/>
              <w:spacing w:before="19"/>
              <w:ind w:left="107"/>
              <w:rPr>
                <w:b/>
                <w:sz w:val="20"/>
              </w:rPr>
            </w:pPr>
            <w:r>
              <w:rPr>
                <w:b/>
                <w:sz w:val="20"/>
              </w:rPr>
              <w:t>Cash</w:t>
            </w:r>
            <w:r>
              <w:rPr>
                <w:b/>
                <w:spacing w:val="-6"/>
                <w:sz w:val="20"/>
              </w:rPr>
              <w:t> </w:t>
            </w:r>
            <w:r>
              <w:rPr>
                <w:b/>
                <w:sz w:val="20"/>
              </w:rPr>
              <w:t>flows</w:t>
            </w:r>
            <w:r>
              <w:rPr>
                <w:b/>
                <w:spacing w:val="-6"/>
                <w:sz w:val="20"/>
              </w:rPr>
              <w:t> </w:t>
            </w:r>
            <w:r>
              <w:rPr>
                <w:b/>
                <w:sz w:val="20"/>
              </w:rPr>
              <w:t>from</w:t>
            </w:r>
            <w:r>
              <w:rPr>
                <w:b/>
                <w:spacing w:val="-6"/>
                <w:sz w:val="20"/>
              </w:rPr>
              <w:t> </w:t>
            </w:r>
            <w:r>
              <w:rPr>
                <w:b/>
                <w:sz w:val="20"/>
              </w:rPr>
              <w:t>operating</w:t>
            </w:r>
            <w:r>
              <w:rPr>
                <w:b/>
                <w:spacing w:val="-6"/>
                <w:sz w:val="20"/>
              </w:rPr>
              <w:t> </w:t>
            </w:r>
            <w:r>
              <w:rPr>
                <w:b/>
                <w:spacing w:val="-2"/>
                <w:sz w:val="20"/>
              </w:rPr>
              <w:t>activities</w:t>
            </w:r>
          </w:p>
        </w:tc>
        <w:tc>
          <w:tcPr>
            <w:tcW w:w="1159" w:type="dxa"/>
          </w:tcPr>
          <w:p>
            <w:pPr>
              <w:pStyle w:val="TableParagraph"/>
              <w:rPr>
                <w:rFonts w:ascii="Times New Roman"/>
                <w:sz w:val="18"/>
              </w:rPr>
            </w:pPr>
          </w:p>
        </w:tc>
        <w:tc>
          <w:tcPr>
            <w:tcW w:w="1205" w:type="dxa"/>
            <w:shd w:val="clear" w:color="auto" w:fill="DDEBF6"/>
          </w:tcPr>
          <w:p>
            <w:pPr>
              <w:pStyle w:val="TableParagraph"/>
              <w:rPr>
                <w:rFonts w:ascii="Times New Roman"/>
                <w:sz w:val="18"/>
              </w:rPr>
            </w:pPr>
          </w:p>
        </w:tc>
        <w:tc>
          <w:tcPr>
            <w:tcW w:w="1122" w:type="dxa"/>
          </w:tcPr>
          <w:p>
            <w:pPr>
              <w:pStyle w:val="TableParagraph"/>
              <w:rPr>
                <w:rFonts w:ascii="Times New Roman"/>
                <w:sz w:val="18"/>
              </w:rPr>
            </w:pPr>
          </w:p>
        </w:tc>
        <w:tc>
          <w:tcPr>
            <w:tcW w:w="1241" w:type="dxa"/>
          </w:tcPr>
          <w:p>
            <w:pPr>
              <w:pStyle w:val="TableParagraph"/>
              <w:rPr>
                <w:rFonts w:ascii="Times New Roman"/>
                <w:sz w:val="18"/>
              </w:rPr>
            </w:pPr>
          </w:p>
        </w:tc>
        <w:tc>
          <w:tcPr>
            <w:tcW w:w="1116" w:type="dxa"/>
            <w:tcBorders>
              <w:right w:val="single" w:sz="12" w:space="0" w:color="000000"/>
            </w:tcBorders>
          </w:tcPr>
          <w:p>
            <w:pPr>
              <w:pStyle w:val="TableParagraph"/>
              <w:rPr>
                <w:rFonts w:ascii="Times New Roman"/>
                <w:sz w:val="18"/>
              </w:rPr>
            </w:pPr>
          </w:p>
        </w:tc>
      </w:tr>
      <w:tr>
        <w:trPr>
          <w:trHeight w:val="286" w:hRule="atLeast"/>
        </w:trPr>
        <w:tc>
          <w:tcPr>
            <w:tcW w:w="4896" w:type="dxa"/>
            <w:tcBorders>
              <w:left w:val="single" w:sz="12" w:space="0" w:color="000000"/>
            </w:tcBorders>
          </w:tcPr>
          <w:p>
            <w:pPr>
              <w:pStyle w:val="TableParagraph"/>
              <w:spacing w:before="19"/>
              <w:ind w:left="107"/>
              <w:rPr>
                <w:sz w:val="20"/>
              </w:rPr>
            </w:pPr>
            <w:r>
              <w:rPr>
                <w:sz w:val="20"/>
              </w:rPr>
              <w:t>Rates</w:t>
            </w:r>
            <w:r>
              <w:rPr>
                <w:spacing w:val="-5"/>
                <w:sz w:val="20"/>
              </w:rPr>
              <w:t> </w:t>
            </w:r>
            <w:r>
              <w:rPr>
                <w:sz w:val="20"/>
              </w:rPr>
              <w:t>and</w:t>
            </w:r>
            <w:r>
              <w:rPr>
                <w:spacing w:val="-6"/>
                <w:sz w:val="20"/>
              </w:rPr>
              <w:t> </w:t>
            </w:r>
            <w:r>
              <w:rPr>
                <w:spacing w:val="-2"/>
                <w:sz w:val="20"/>
              </w:rPr>
              <w:t>charges</w:t>
            </w:r>
          </w:p>
        </w:tc>
        <w:tc>
          <w:tcPr>
            <w:tcW w:w="1159" w:type="dxa"/>
          </w:tcPr>
          <w:p>
            <w:pPr>
              <w:pStyle w:val="TableParagraph"/>
              <w:spacing w:line="226" w:lineRule="exact" w:before="41"/>
              <w:ind w:right="93"/>
              <w:jc w:val="right"/>
              <w:rPr>
                <w:sz w:val="20"/>
              </w:rPr>
            </w:pPr>
            <w:r>
              <w:rPr>
                <w:spacing w:val="-2"/>
                <w:sz w:val="20"/>
              </w:rPr>
              <w:t>115,117</w:t>
            </w:r>
          </w:p>
        </w:tc>
        <w:tc>
          <w:tcPr>
            <w:tcW w:w="1205" w:type="dxa"/>
            <w:shd w:val="clear" w:color="auto" w:fill="DDEBF6"/>
          </w:tcPr>
          <w:p>
            <w:pPr>
              <w:pStyle w:val="TableParagraph"/>
              <w:spacing w:line="226" w:lineRule="exact" w:before="41"/>
              <w:ind w:right="93"/>
              <w:jc w:val="right"/>
              <w:rPr>
                <w:b/>
                <w:sz w:val="20"/>
              </w:rPr>
            </w:pPr>
            <w:r>
              <w:rPr>
                <w:b/>
                <w:spacing w:val="-2"/>
                <w:sz w:val="20"/>
              </w:rPr>
              <w:t>116,003</w:t>
            </w:r>
          </w:p>
        </w:tc>
        <w:tc>
          <w:tcPr>
            <w:tcW w:w="1122" w:type="dxa"/>
          </w:tcPr>
          <w:p>
            <w:pPr>
              <w:pStyle w:val="TableParagraph"/>
              <w:spacing w:line="226" w:lineRule="exact" w:before="41"/>
              <w:ind w:right="56"/>
              <w:jc w:val="right"/>
              <w:rPr>
                <w:sz w:val="20"/>
              </w:rPr>
            </w:pPr>
            <w:r>
              <w:rPr>
                <w:spacing w:val="-2"/>
                <w:sz w:val="20"/>
              </w:rPr>
              <w:t>123,796</w:t>
            </w:r>
          </w:p>
        </w:tc>
        <w:tc>
          <w:tcPr>
            <w:tcW w:w="1241" w:type="dxa"/>
          </w:tcPr>
          <w:p>
            <w:pPr>
              <w:pStyle w:val="TableParagraph"/>
              <w:spacing w:line="226" w:lineRule="exact" w:before="41"/>
              <w:ind w:right="138"/>
              <w:jc w:val="right"/>
              <w:rPr>
                <w:sz w:val="20"/>
              </w:rPr>
            </w:pPr>
            <w:r>
              <w:rPr>
                <w:spacing w:val="-2"/>
                <w:sz w:val="20"/>
              </w:rPr>
              <w:t>125,083</w:t>
            </w:r>
          </w:p>
        </w:tc>
        <w:tc>
          <w:tcPr>
            <w:tcW w:w="1116" w:type="dxa"/>
            <w:tcBorders>
              <w:right w:val="single" w:sz="12" w:space="0" w:color="000000"/>
            </w:tcBorders>
          </w:tcPr>
          <w:p>
            <w:pPr>
              <w:pStyle w:val="TableParagraph"/>
              <w:spacing w:line="226" w:lineRule="exact" w:before="41"/>
              <w:ind w:right="80"/>
              <w:jc w:val="right"/>
              <w:rPr>
                <w:sz w:val="20"/>
              </w:rPr>
            </w:pPr>
            <w:r>
              <w:rPr>
                <w:spacing w:val="-2"/>
                <w:sz w:val="20"/>
              </w:rPr>
              <w:t>128,040</w:t>
            </w:r>
          </w:p>
        </w:tc>
      </w:tr>
      <w:tr>
        <w:trPr>
          <w:trHeight w:val="275" w:hRule="atLeast"/>
        </w:trPr>
        <w:tc>
          <w:tcPr>
            <w:tcW w:w="4896" w:type="dxa"/>
            <w:tcBorders>
              <w:left w:val="single" w:sz="12" w:space="0" w:color="000000"/>
            </w:tcBorders>
          </w:tcPr>
          <w:p>
            <w:pPr>
              <w:pStyle w:val="TableParagraph"/>
              <w:spacing w:before="8"/>
              <w:ind w:left="107"/>
              <w:rPr>
                <w:sz w:val="20"/>
              </w:rPr>
            </w:pPr>
            <w:r>
              <w:rPr>
                <w:sz w:val="20"/>
              </w:rPr>
              <w:t>Statutory</w:t>
            </w:r>
            <w:r>
              <w:rPr>
                <w:spacing w:val="-7"/>
                <w:sz w:val="20"/>
              </w:rPr>
              <w:t> </w:t>
            </w:r>
            <w:r>
              <w:rPr>
                <w:sz w:val="20"/>
              </w:rPr>
              <w:t>fees</w:t>
            </w:r>
            <w:r>
              <w:rPr>
                <w:spacing w:val="-6"/>
                <w:sz w:val="20"/>
              </w:rPr>
              <w:t> </w:t>
            </w:r>
            <w:r>
              <w:rPr>
                <w:sz w:val="20"/>
              </w:rPr>
              <w:t>and</w:t>
            </w:r>
            <w:r>
              <w:rPr>
                <w:spacing w:val="-6"/>
                <w:sz w:val="20"/>
              </w:rPr>
              <w:t> </w:t>
            </w:r>
            <w:r>
              <w:rPr>
                <w:spacing w:val="-4"/>
                <w:sz w:val="20"/>
              </w:rPr>
              <w:t>fines</w:t>
            </w:r>
          </w:p>
        </w:tc>
        <w:tc>
          <w:tcPr>
            <w:tcW w:w="1159" w:type="dxa"/>
          </w:tcPr>
          <w:p>
            <w:pPr>
              <w:pStyle w:val="TableParagraph"/>
              <w:spacing w:line="226" w:lineRule="exact" w:before="30"/>
              <w:ind w:right="92"/>
              <w:jc w:val="right"/>
              <w:rPr>
                <w:sz w:val="20"/>
              </w:rPr>
            </w:pPr>
            <w:r>
              <w:rPr>
                <w:spacing w:val="-2"/>
                <w:sz w:val="20"/>
              </w:rPr>
              <w:t>5,582</w:t>
            </w:r>
          </w:p>
        </w:tc>
        <w:tc>
          <w:tcPr>
            <w:tcW w:w="1205" w:type="dxa"/>
            <w:shd w:val="clear" w:color="auto" w:fill="DDEBF6"/>
          </w:tcPr>
          <w:p>
            <w:pPr>
              <w:pStyle w:val="TableParagraph"/>
              <w:spacing w:line="226" w:lineRule="exact" w:before="30"/>
              <w:ind w:right="93"/>
              <w:jc w:val="right"/>
              <w:rPr>
                <w:b/>
                <w:sz w:val="20"/>
              </w:rPr>
            </w:pPr>
            <w:r>
              <w:rPr>
                <w:b/>
                <w:spacing w:val="-2"/>
                <w:sz w:val="20"/>
              </w:rPr>
              <w:t>5,846</w:t>
            </w:r>
          </w:p>
        </w:tc>
        <w:tc>
          <w:tcPr>
            <w:tcW w:w="1122" w:type="dxa"/>
          </w:tcPr>
          <w:p>
            <w:pPr>
              <w:pStyle w:val="TableParagraph"/>
              <w:spacing w:line="226" w:lineRule="exact" w:before="30"/>
              <w:ind w:right="55"/>
              <w:jc w:val="right"/>
              <w:rPr>
                <w:sz w:val="20"/>
              </w:rPr>
            </w:pPr>
            <w:r>
              <w:rPr>
                <w:spacing w:val="-2"/>
                <w:sz w:val="20"/>
              </w:rPr>
              <w:t>5,873</w:t>
            </w:r>
          </w:p>
        </w:tc>
        <w:tc>
          <w:tcPr>
            <w:tcW w:w="1241" w:type="dxa"/>
          </w:tcPr>
          <w:p>
            <w:pPr>
              <w:pStyle w:val="TableParagraph"/>
              <w:spacing w:line="226" w:lineRule="exact" w:before="30"/>
              <w:ind w:right="137"/>
              <w:jc w:val="right"/>
              <w:rPr>
                <w:sz w:val="20"/>
              </w:rPr>
            </w:pPr>
            <w:r>
              <w:rPr>
                <w:spacing w:val="-2"/>
                <w:sz w:val="20"/>
              </w:rPr>
              <w:t>6,020</w:t>
            </w:r>
          </w:p>
        </w:tc>
        <w:tc>
          <w:tcPr>
            <w:tcW w:w="1116" w:type="dxa"/>
            <w:tcBorders>
              <w:right w:val="single" w:sz="12" w:space="0" w:color="000000"/>
            </w:tcBorders>
          </w:tcPr>
          <w:p>
            <w:pPr>
              <w:pStyle w:val="TableParagraph"/>
              <w:spacing w:line="226" w:lineRule="exact" w:before="30"/>
              <w:ind w:right="79"/>
              <w:jc w:val="right"/>
              <w:rPr>
                <w:sz w:val="20"/>
              </w:rPr>
            </w:pPr>
            <w:r>
              <w:rPr>
                <w:spacing w:val="-2"/>
                <w:sz w:val="20"/>
              </w:rPr>
              <w:t>6,342</w:t>
            </w:r>
          </w:p>
        </w:tc>
      </w:tr>
      <w:tr>
        <w:trPr>
          <w:trHeight w:val="276" w:hRule="atLeast"/>
        </w:trPr>
        <w:tc>
          <w:tcPr>
            <w:tcW w:w="4896" w:type="dxa"/>
            <w:tcBorders>
              <w:left w:val="single" w:sz="12" w:space="0" w:color="000000"/>
            </w:tcBorders>
          </w:tcPr>
          <w:p>
            <w:pPr>
              <w:pStyle w:val="TableParagraph"/>
              <w:spacing w:before="8"/>
              <w:ind w:left="107"/>
              <w:rPr>
                <w:sz w:val="20"/>
              </w:rPr>
            </w:pPr>
            <w:r>
              <w:rPr>
                <w:sz w:val="20"/>
              </w:rPr>
              <w:t>User</w:t>
            </w:r>
            <w:r>
              <w:rPr>
                <w:spacing w:val="-4"/>
                <w:sz w:val="20"/>
              </w:rPr>
              <w:t> fees</w:t>
            </w:r>
          </w:p>
        </w:tc>
        <w:tc>
          <w:tcPr>
            <w:tcW w:w="1159" w:type="dxa"/>
          </w:tcPr>
          <w:p>
            <w:pPr>
              <w:pStyle w:val="TableParagraph"/>
              <w:spacing w:line="226" w:lineRule="exact" w:before="30"/>
              <w:ind w:right="93"/>
              <w:jc w:val="right"/>
              <w:rPr>
                <w:sz w:val="20"/>
              </w:rPr>
            </w:pPr>
            <w:r>
              <w:rPr>
                <w:spacing w:val="-2"/>
                <w:sz w:val="20"/>
              </w:rPr>
              <w:t>28,171</w:t>
            </w:r>
          </w:p>
        </w:tc>
        <w:tc>
          <w:tcPr>
            <w:tcW w:w="1205" w:type="dxa"/>
            <w:shd w:val="clear" w:color="auto" w:fill="DDEBF6"/>
          </w:tcPr>
          <w:p>
            <w:pPr>
              <w:pStyle w:val="TableParagraph"/>
              <w:spacing w:line="226" w:lineRule="exact" w:before="30"/>
              <w:ind w:right="95"/>
              <w:jc w:val="right"/>
              <w:rPr>
                <w:b/>
                <w:sz w:val="20"/>
              </w:rPr>
            </w:pPr>
            <w:r>
              <w:rPr>
                <w:b/>
                <w:spacing w:val="-2"/>
                <w:sz w:val="20"/>
              </w:rPr>
              <w:t>34,703</w:t>
            </w:r>
          </w:p>
        </w:tc>
        <w:tc>
          <w:tcPr>
            <w:tcW w:w="1122" w:type="dxa"/>
          </w:tcPr>
          <w:p>
            <w:pPr>
              <w:pStyle w:val="TableParagraph"/>
              <w:spacing w:line="226" w:lineRule="exact" w:before="30"/>
              <w:ind w:right="56"/>
              <w:jc w:val="right"/>
              <w:rPr>
                <w:sz w:val="20"/>
              </w:rPr>
            </w:pPr>
            <w:r>
              <w:rPr>
                <w:spacing w:val="-2"/>
                <w:sz w:val="20"/>
              </w:rPr>
              <w:t>36,997</w:t>
            </w:r>
          </w:p>
        </w:tc>
        <w:tc>
          <w:tcPr>
            <w:tcW w:w="1241" w:type="dxa"/>
          </w:tcPr>
          <w:p>
            <w:pPr>
              <w:pStyle w:val="TableParagraph"/>
              <w:spacing w:line="226" w:lineRule="exact" w:before="30"/>
              <w:ind w:right="138"/>
              <w:jc w:val="right"/>
              <w:rPr>
                <w:sz w:val="20"/>
              </w:rPr>
            </w:pPr>
            <w:r>
              <w:rPr>
                <w:spacing w:val="-2"/>
                <w:sz w:val="20"/>
              </w:rPr>
              <w:t>38,815</w:t>
            </w:r>
          </w:p>
        </w:tc>
        <w:tc>
          <w:tcPr>
            <w:tcW w:w="1116" w:type="dxa"/>
            <w:tcBorders>
              <w:right w:val="single" w:sz="12" w:space="0" w:color="000000"/>
            </w:tcBorders>
          </w:tcPr>
          <w:p>
            <w:pPr>
              <w:pStyle w:val="TableParagraph"/>
              <w:spacing w:line="226" w:lineRule="exact" w:before="30"/>
              <w:ind w:right="80"/>
              <w:jc w:val="right"/>
              <w:rPr>
                <w:sz w:val="20"/>
              </w:rPr>
            </w:pPr>
            <w:r>
              <w:rPr>
                <w:spacing w:val="-2"/>
                <w:sz w:val="20"/>
              </w:rPr>
              <w:t>40,551</w:t>
            </w:r>
          </w:p>
        </w:tc>
      </w:tr>
      <w:tr>
        <w:trPr>
          <w:trHeight w:val="276" w:hRule="atLeast"/>
        </w:trPr>
        <w:tc>
          <w:tcPr>
            <w:tcW w:w="4896" w:type="dxa"/>
            <w:tcBorders>
              <w:left w:val="single" w:sz="12" w:space="0" w:color="000000"/>
            </w:tcBorders>
          </w:tcPr>
          <w:p>
            <w:pPr>
              <w:pStyle w:val="TableParagraph"/>
              <w:spacing w:before="8"/>
              <w:ind w:left="107"/>
              <w:rPr>
                <w:sz w:val="20"/>
              </w:rPr>
            </w:pPr>
            <w:r>
              <w:rPr>
                <w:sz w:val="20"/>
              </w:rPr>
              <w:t>Grants</w:t>
            </w:r>
            <w:r>
              <w:rPr>
                <w:spacing w:val="-3"/>
                <w:sz w:val="20"/>
              </w:rPr>
              <w:t> </w:t>
            </w:r>
            <w:r>
              <w:rPr>
                <w:sz w:val="20"/>
              </w:rPr>
              <w:t>-</w:t>
            </w:r>
            <w:r>
              <w:rPr>
                <w:spacing w:val="-5"/>
                <w:sz w:val="20"/>
              </w:rPr>
              <w:t> </w:t>
            </w:r>
            <w:r>
              <w:rPr>
                <w:spacing w:val="-2"/>
                <w:sz w:val="20"/>
              </w:rPr>
              <w:t>operating</w:t>
            </w:r>
          </w:p>
        </w:tc>
        <w:tc>
          <w:tcPr>
            <w:tcW w:w="1159" w:type="dxa"/>
          </w:tcPr>
          <w:p>
            <w:pPr>
              <w:pStyle w:val="TableParagraph"/>
              <w:spacing w:line="226" w:lineRule="exact" w:before="30"/>
              <w:ind w:right="92"/>
              <w:jc w:val="right"/>
              <w:rPr>
                <w:sz w:val="20"/>
              </w:rPr>
            </w:pPr>
            <w:r>
              <w:rPr>
                <w:spacing w:val="-2"/>
                <w:sz w:val="20"/>
              </w:rPr>
              <w:t>9,360</w:t>
            </w:r>
          </w:p>
        </w:tc>
        <w:tc>
          <w:tcPr>
            <w:tcW w:w="1205" w:type="dxa"/>
            <w:shd w:val="clear" w:color="auto" w:fill="DDEBF6"/>
          </w:tcPr>
          <w:p>
            <w:pPr>
              <w:pStyle w:val="TableParagraph"/>
              <w:spacing w:line="226" w:lineRule="exact" w:before="30"/>
              <w:ind w:right="93"/>
              <w:jc w:val="right"/>
              <w:rPr>
                <w:b/>
                <w:sz w:val="20"/>
              </w:rPr>
            </w:pPr>
            <w:r>
              <w:rPr>
                <w:b/>
                <w:spacing w:val="-2"/>
                <w:sz w:val="20"/>
              </w:rPr>
              <w:t>8,131</w:t>
            </w:r>
          </w:p>
        </w:tc>
        <w:tc>
          <w:tcPr>
            <w:tcW w:w="1122" w:type="dxa"/>
          </w:tcPr>
          <w:p>
            <w:pPr>
              <w:pStyle w:val="TableParagraph"/>
              <w:spacing w:line="226" w:lineRule="exact" w:before="30"/>
              <w:ind w:right="55"/>
              <w:jc w:val="right"/>
              <w:rPr>
                <w:sz w:val="20"/>
              </w:rPr>
            </w:pPr>
            <w:r>
              <w:rPr>
                <w:spacing w:val="-2"/>
                <w:sz w:val="20"/>
              </w:rPr>
              <w:t>8,006</w:t>
            </w:r>
          </w:p>
        </w:tc>
        <w:tc>
          <w:tcPr>
            <w:tcW w:w="1241" w:type="dxa"/>
          </w:tcPr>
          <w:p>
            <w:pPr>
              <w:pStyle w:val="TableParagraph"/>
              <w:spacing w:line="226" w:lineRule="exact" w:before="30"/>
              <w:ind w:right="137"/>
              <w:jc w:val="right"/>
              <w:rPr>
                <w:sz w:val="20"/>
              </w:rPr>
            </w:pPr>
            <w:r>
              <w:rPr>
                <w:spacing w:val="-2"/>
                <w:sz w:val="20"/>
              </w:rPr>
              <w:t>8,177</w:t>
            </w:r>
          </w:p>
        </w:tc>
        <w:tc>
          <w:tcPr>
            <w:tcW w:w="1116" w:type="dxa"/>
            <w:tcBorders>
              <w:right w:val="single" w:sz="12" w:space="0" w:color="000000"/>
            </w:tcBorders>
          </w:tcPr>
          <w:p>
            <w:pPr>
              <w:pStyle w:val="TableParagraph"/>
              <w:spacing w:line="226" w:lineRule="exact" w:before="30"/>
              <w:ind w:right="79"/>
              <w:jc w:val="right"/>
              <w:rPr>
                <w:sz w:val="20"/>
              </w:rPr>
            </w:pPr>
            <w:r>
              <w:rPr>
                <w:spacing w:val="-2"/>
                <w:sz w:val="20"/>
              </w:rPr>
              <w:t>8,352</w:t>
            </w:r>
          </w:p>
        </w:tc>
      </w:tr>
      <w:tr>
        <w:trPr>
          <w:trHeight w:val="275" w:hRule="atLeast"/>
        </w:trPr>
        <w:tc>
          <w:tcPr>
            <w:tcW w:w="4896" w:type="dxa"/>
            <w:tcBorders>
              <w:left w:val="single" w:sz="12" w:space="0" w:color="000000"/>
            </w:tcBorders>
          </w:tcPr>
          <w:p>
            <w:pPr>
              <w:pStyle w:val="TableParagraph"/>
              <w:spacing w:before="8"/>
              <w:ind w:left="107"/>
              <w:rPr>
                <w:sz w:val="20"/>
              </w:rPr>
            </w:pPr>
            <w:r>
              <w:rPr>
                <w:sz w:val="20"/>
              </w:rPr>
              <w:t>Grants</w:t>
            </w:r>
            <w:r>
              <w:rPr>
                <w:spacing w:val="-3"/>
                <w:sz w:val="20"/>
              </w:rPr>
              <w:t> </w:t>
            </w:r>
            <w:r>
              <w:rPr>
                <w:sz w:val="20"/>
              </w:rPr>
              <w:t>-</w:t>
            </w:r>
            <w:r>
              <w:rPr>
                <w:spacing w:val="-5"/>
                <w:sz w:val="20"/>
              </w:rPr>
              <w:t> </w:t>
            </w:r>
            <w:r>
              <w:rPr>
                <w:spacing w:val="-2"/>
                <w:sz w:val="20"/>
              </w:rPr>
              <w:t>capital</w:t>
            </w:r>
          </w:p>
        </w:tc>
        <w:tc>
          <w:tcPr>
            <w:tcW w:w="1159" w:type="dxa"/>
          </w:tcPr>
          <w:p>
            <w:pPr>
              <w:pStyle w:val="TableParagraph"/>
              <w:spacing w:line="226" w:lineRule="exact" w:before="30"/>
              <w:ind w:right="93"/>
              <w:jc w:val="right"/>
              <w:rPr>
                <w:sz w:val="20"/>
              </w:rPr>
            </w:pPr>
            <w:r>
              <w:rPr>
                <w:spacing w:val="-2"/>
                <w:sz w:val="20"/>
              </w:rPr>
              <w:t>11,425</w:t>
            </w:r>
          </w:p>
        </w:tc>
        <w:tc>
          <w:tcPr>
            <w:tcW w:w="1205" w:type="dxa"/>
            <w:shd w:val="clear" w:color="auto" w:fill="DDEBF6"/>
          </w:tcPr>
          <w:p>
            <w:pPr>
              <w:pStyle w:val="TableParagraph"/>
              <w:spacing w:line="226" w:lineRule="exact" w:before="30"/>
              <w:ind w:right="93"/>
              <w:jc w:val="right"/>
              <w:rPr>
                <w:b/>
                <w:sz w:val="20"/>
              </w:rPr>
            </w:pPr>
            <w:r>
              <w:rPr>
                <w:b/>
                <w:spacing w:val="-2"/>
                <w:sz w:val="20"/>
              </w:rPr>
              <w:t>7,234</w:t>
            </w:r>
          </w:p>
        </w:tc>
        <w:tc>
          <w:tcPr>
            <w:tcW w:w="1122" w:type="dxa"/>
          </w:tcPr>
          <w:p>
            <w:pPr>
              <w:pStyle w:val="TableParagraph"/>
              <w:spacing w:line="226" w:lineRule="exact" w:before="30"/>
              <w:ind w:right="56"/>
              <w:jc w:val="right"/>
              <w:rPr>
                <w:sz w:val="20"/>
              </w:rPr>
            </w:pPr>
            <w:r>
              <w:rPr>
                <w:spacing w:val="-2"/>
                <w:sz w:val="20"/>
              </w:rPr>
              <w:t>17,466</w:t>
            </w:r>
          </w:p>
        </w:tc>
        <w:tc>
          <w:tcPr>
            <w:tcW w:w="1241" w:type="dxa"/>
          </w:tcPr>
          <w:p>
            <w:pPr>
              <w:pStyle w:val="TableParagraph"/>
              <w:spacing w:line="226" w:lineRule="exact" w:before="30"/>
              <w:ind w:right="138"/>
              <w:jc w:val="right"/>
              <w:rPr>
                <w:sz w:val="20"/>
              </w:rPr>
            </w:pPr>
            <w:r>
              <w:rPr>
                <w:spacing w:val="-2"/>
                <w:sz w:val="20"/>
              </w:rPr>
              <w:t>11,479</w:t>
            </w:r>
          </w:p>
        </w:tc>
        <w:tc>
          <w:tcPr>
            <w:tcW w:w="1116" w:type="dxa"/>
            <w:tcBorders>
              <w:right w:val="single" w:sz="12" w:space="0" w:color="000000"/>
            </w:tcBorders>
          </w:tcPr>
          <w:p>
            <w:pPr>
              <w:pStyle w:val="TableParagraph"/>
              <w:spacing w:line="226" w:lineRule="exact" w:before="30"/>
              <w:ind w:right="80"/>
              <w:jc w:val="right"/>
              <w:rPr>
                <w:sz w:val="20"/>
              </w:rPr>
            </w:pPr>
            <w:r>
              <w:rPr>
                <w:spacing w:val="-2"/>
                <w:sz w:val="20"/>
              </w:rPr>
              <w:t>11,016</w:t>
            </w:r>
          </w:p>
        </w:tc>
      </w:tr>
      <w:tr>
        <w:trPr>
          <w:trHeight w:val="275" w:hRule="atLeast"/>
        </w:trPr>
        <w:tc>
          <w:tcPr>
            <w:tcW w:w="4896" w:type="dxa"/>
            <w:tcBorders>
              <w:left w:val="single" w:sz="12" w:space="0" w:color="000000"/>
            </w:tcBorders>
          </w:tcPr>
          <w:p>
            <w:pPr>
              <w:pStyle w:val="TableParagraph"/>
              <w:spacing w:before="8"/>
              <w:ind w:left="107"/>
              <w:rPr>
                <w:sz w:val="20"/>
              </w:rPr>
            </w:pPr>
            <w:r>
              <w:rPr>
                <w:sz w:val="20"/>
              </w:rPr>
              <w:t>Contributions</w:t>
            </w:r>
            <w:r>
              <w:rPr>
                <w:spacing w:val="-8"/>
                <w:sz w:val="20"/>
              </w:rPr>
              <w:t> </w:t>
            </w:r>
            <w:r>
              <w:rPr>
                <w:sz w:val="20"/>
              </w:rPr>
              <w:t>-</w:t>
            </w:r>
            <w:r>
              <w:rPr>
                <w:spacing w:val="-7"/>
                <w:sz w:val="20"/>
              </w:rPr>
              <w:t> </w:t>
            </w:r>
            <w:r>
              <w:rPr>
                <w:spacing w:val="-2"/>
                <w:sz w:val="20"/>
              </w:rPr>
              <w:t>monetary</w:t>
            </w:r>
          </w:p>
        </w:tc>
        <w:tc>
          <w:tcPr>
            <w:tcW w:w="1159" w:type="dxa"/>
          </w:tcPr>
          <w:p>
            <w:pPr>
              <w:pStyle w:val="TableParagraph"/>
              <w:spacing w:line="226" w:lineRule="exact" w:before="30"/>
              <w:ind w:right="92"/>
              <w:jc w:val="right"/>
              <w:rPr>
                <w:sz w:val="20"/>
              </w:rPr>
            </w:pPr>
            <w:r>
              <w:rPr>
                <w:spacing w:val="-2"/>
                <w:sz w:val="20"/>
              </w:rPr>
              <w:t>8,571</w:t>
            </w:r>
          </w:p>
        </w:tc>
        <w:tc>
          <w:tcPr>
            <w:tcW w:w="1205" w:type="dxa"/>
            <w:shd w:val="clear" w:color="auto" w:fill="DDEBF6"/>
          </w:tcPr>
          <w:p>
            <w:pPr>
              <w:pStyle w:val="TableParagraph"/>
              <w:spacing w:line="226" w:lineRule="exact" w:before="30"/>
              <w:ind w:right="93"/>
              <w:jc w:val="right"/>
              <w:rPr>
                <w:b/>
                <w:sz w:val="20"/>
              </w:rPr>
            </w:pPr>
            <w:r>
              <w:rPr>
                <w:b/>
                <w:spacing w:val="-2"/>
                <w:sz w:val="20"/>
              </w:rPr>
              <w:t>6,919</w:t>
            </w:r>
          </w:p>
        </w:tc>
        <w:tc>
          <w:tcPr>
            <w:tcW w:w="1122" w:type="dxa"/>
          </w:tcPr>
          <w:p>
            <w:pPr>
              <w:pStyle w:val="TableParagraph"/>
              <w:spacing w:line="226" w:lineRule="exact" w:before="30"/>
              <w:ind w:right="55"/>
              <w:jc w:val="right"/>
              <w:rPr>
                <w:sz w:val="20"/>
              </w:rPr>
            </w:pPr>
            <w:r>
              <w:rPr>
                <w:spacing w:val="-2"/>
                <w:sz w:val="20"/>
              </w:rPr>
              <w:t>7,194</w:t>
            </w:r>
          </w:p>
        </w:tc>
        <w:tc>
          <w:tcPr>
            <w:tcW w:w="1241" w:type="dxa"/>
          </w:tcPr>
          <w:p>
            <w:pPr>
              <w:pStyle w:val="TableParagraph"/>
              <w:spacing w:line="226" w:lineRule="exact" w:before="30"/>
              <w:ind w:right="137"/>
              <w:jc w:val="right"/>
              <w:rPr>
                <w:sz w:val="20"/>
              </w:rPr>
            </w:pPr>
            <w:r>
              <w:rPr>
                <w:spacing w:val="-2"/>
                <w:sz w:val="20"/>
              </w:rPr>
              <w:t>7,920</w:t>
            </w:r>
          </w:p>
        </w:tc>
        <w:tc>
          <w:tcPr>
            <w:tcW w:w="1116" w:type="dxa"/>
            <w:tcBorders>
              <w:right w:val="single" w:sz="12" w:space="0" w:color="000000"/>
            </w:tcBorders>
          </w:tcPr>
          <w:p>
            <w:pPr>
              <w:pStyle w:val="TableParagraph"/>
              <w:spacing w:line="226" w:lineRule="exact" w:before="30"/>
              <w:ind w:right="79"/>
              <w:jc w:val="right"/>
              <w:rPr>
                <w:sz w:val="20"/>
              </w:rPr>
            </w:pPr>
            <w:r>
              <w:rPr>
                <w:spacing w:val="-2"/>
                <w:sz w:val="20"/>
              </w:rPr>
              <w:t>7,948</w:t>
            </w:r>
          </w:p>
        </w:tc>
      </w:tr>
      <w:tr>
        <w:trPr>
          <w:trHeight w:val="275" w:hRule="atLeast"/>
        </w:trPr>
        <w:tc>
          <w:tcPr>
            <w:tcW w:w="4896" w:type="dxa"/>
            <w:tcBorders>
              <w:left w:val="single" w:sz="12" w:space="0" w:color="000000"/>
            </w:tcBorders>
          </w:tcPr>
          <w:p>
            <w:pPr>
              <w:pStyle w:val="TableParagraph"/>
              <w:spacing w:before="8"/>
              <w:ind w:left="107"/>
              <w:rPr>
                <w:sz w:val="20"/>
              </w:rPr>
            </w:pPr>
            <w:r>
              <w:rPr>
                <w:sz w:val="20"/>
              </w:rPr>
              <w:t>Interest</w:t>
            </w:r>
            <w:r>
              <w:rPr>
                <w:spacing w:val="-10"/>
                <w:sz w:val="20"/>
              </w:rPr>
              <w:t> </w:t>
            </w:r>
            <w:r>
              <w:rPr>
                <w:spacing w:val="-2"/>
                <w:sz w:val="20"/>
              </w:rPr>
              <w:t>received</w:t>
            </w:r>
          </w:p>
        </w:tc>
        <w:tc>
          <w:tcPr>
            <w:tcW w:w="1159" w:type="dxa"/>
          </w:tcPr>
          <w:p>
            <w:pPr>
              <w:pStyle w:val="TableParagraph"/>
              <w:spacing w:line="226" w:lineRule="exact" w:before="30"/>
              <w:ind w:right="92"/>
              <w:jc w:val="right"/>
              <w:rPr>
                <w:sz w:val="20"/>
              </w:rPr>
            </w:pPr>
            <w:r>
              <w:rPr>
                <w:spacing w:val="-2"/>
                <w:sz w:val="20"/>
              </w:rPr>
              <w:t>5,072</w:t>
            </w:r>
          </w:p>
        </w:tc>
        <w:tc>
          <w:tcPr>
            <w:tcW w:w="1205" w:type="dxa"/>
            <w:shd w:val="clear" w:color="auto" w:fill="DDEBF6"/>
          </w:tcPr>
          <w:p>
            <w:pPr>
              <w:pStyle w:val="TableParagraph"/>
              <w:spacing w:line="226" w:lineRule="exact" w:before="30"/>
              <w:ind w:right="93"/>
              <w:jc w:val="right"/>
              <w:rPr>
                <w:b/>
                <w:sz w:val="20"/>
              </w:rPr>
            </w:pPr>
            <w:r>
              <w:rPr>
                <w:b/>
                <w:spacing w:val="-2"/>
                <w:sz w:val="20"/>
              </w:rPr>
              <w:t>4,244</w:t>
            </w:r>
          </w:p>
        </w:tc>
        <w:tc>
          <w:tcPr>
            <w:tcW w:w="1122" w:type="dxa"/>
          </w:tcPr>
          <w:p>
            <w:pPr>
              <w:pStyle w:val="TableParagraph"/>
              <w:spacing w:line="226" w:lineRule="exact" w:before="30"/>
              <w:ind w:right="55"/>
              <w:jc w:val="right"/>
              <w:rPr>
                <w:sz w:val="20"/>
              </w:rPr>
            </w:pPr>
            <w:r>
              <w:rPr>
                <w:spacing w:val="-2"/>
                <w:sz w:val="20"/>
              </w:rPr>
              <w:t>4,690</w:t>
            </w:r>
          </w:p>
        </w:tc>
        <w:tc>
          <w:tcPr>
            <w:tcW w:w="1241" w:type="dxa"/>
          </w:tcPr>
          <w:p>
            <w:pPr>
              <w:pStyle w:val="TableParagraph"/>
              <w:spacing w:line="226" w:lineRule="exact" w:before="30"/>
              <w:ind w:right="137"/>
              <w:jc w:val="right"/>
              <w:rPr>
                <w:sz w:val="20"/>
              </w:rPr>
            </w:pPr>
            <w:r>
              <w:rPr>
                <w:spacing w:val="-2"/>
                <w:sz w:val="20"/>
              </w:rPr>
              <w:t>4,893</w:t>
            </w:r>
          </w:p>
        </w:tc>
        <w:tc>
          <w:tcPr>
            <w:tcW w:w="1116" w:type="dxa"/>
            <w:tcBorders>
              <w:right w:val="single" w:sz="12" w:space="0" w:color="000000"/>
            </w:tcBorders>
          </w:tcPr>
          <w:p>
            <w:pPr>
              <w:pStyle w:val="TableParagraph"/>
              <w:spacing w:line="226" w:lineRule="exact" w:before="30"/>
              <w:ind w:right="79"/>
              <w:jc w:val="right"/>
              <w:rPr>
                <w:sz w:val="20"/>
              </w:rPr>
            </w:pPr>
            <w:r>
              <w:rPr>
                <w:spacing w:val="-2"/>
                <w:sz w:val="20"/>
              </w:rPr>
              <w:t>4,981</w:t>
            </w:r>
          </w:p>
        </w:tc>
      </w:tr>
      <w:tr>
        <w:trPr>
          <w:trHeight w:val="276" w:hRule="atLeast"/>
        </w:trPr>
        <w:tc>
          <w:tcPr>
            <w:tcW w:w="4896" w:type="dxa"/>
            <w:tcBorders>
              <w:left w:val="single" w:sz="12" w:space="0" w:color="000000"/>
            </w:tcBorders>
          </w:tcPr>
          <w:p>
            <w:pPr>
              <w:pStyle w:val="TableParagraph"/>
              <w:spacing w:before="8"/>
              <w:ind w:left="107"/>
              <w:rPr>
                <w:sz w:val="20"/>
              </w:rPr>
            </w:pPr>
            <w:r>
              <w:rPr>
                <w:sz w:val="20"/>
              </w:rPr>
              <w:t>Trust</w:t>
            </w:r>
            <w:r>
              <w:rPr>
                <w:spacing w:val="-8"/>
                <w:sz w:val="20"/>
              </w:rPr>
              <w:t> </w:t>
            </w:r>
            <w:r>
              <w:rPr>
                <w:sz w:val="20"/>
              </w:rPr>
              <w:t>funds</w:t>
            </w:r>
            <w:r>
              <w:rPr>
                <w:spacing w:val="-5"/>
                <w:sz w:val="20"/>
              </w:rPr>
              <w:t> </w:t>
            </w:r>
            <w:r>
              <w:rPr>
                <w:sz w:val="20"/>
              </w:rPr>
              <w:t>and</w:t>
            </w:r>
            <w:r>
              <w:rPr>
                <w:spacing w:val="-3"/>
                <w:sz w:val="20"/>
              </w:rPr>
              <w:t> </w:t>
            </w:r>
            <w:r>
              <w:rPr>
                <w:sz w:val="20"/>
              </w:rPr>
              <w:t>deposits</w:t>
            </w:r>
            <w:r>
              <w:rPr>
                <w:spacing w:val="-5"/>
                <w:sz w:val="20"/>
              </w:rPr>
              <w:t> </w:t>
            </w:r>
            <w:r>
              <w:rPr>
                <w:spacing w:val="-2"/>
                <w:sz w:val="20"/>
              </w:rPr>
              <w:t>taken</w:t>
            </w:r>
          </w:p>
        </w:tc>
        <w:tc>
          <w:tcPr>
            <w:tcW w:w="1159" w:type="dxa"/>
          </w:tcPr>
          <w:p>
            <w:pPr>
              <w:pStyle w:val="TableParagraph"/>
              <w:spacing w:line="226" w:lineRule="exact" w:before="30"/>
              <w:ind w:right="93"/>
              <w:jc w:val="right"/>
              <w:rPr>
                <w:sz w:val="20"/>
              </w:rPr>
            </w:pPr>
            <w:r>
              <w:rPr>
                <w:spacing w:val="-2"/>
                <w:sz w:val="20"/>
              </w:rPr>
              <w:t>18,500</w:t>
            </w:r>
          </w:p>
        </w:tc>
        <w:tc>
          <w:tcPr>
            <w:tcW w:w="1205" w:type="dxa"/>
            <w:shd w:val="clear" w:color="auto" w:fill="DDEBF6"/>
          </w:tcPr>
          <w:p>
            <w:pPr>
              <w:pStyle w:val="TableParagraph"/>
              <w:spacing w:line="226" w:lineRule="exact" w:before="30"/>
              <w:ind w:right="95"/>
              <w:jc w:val="right"/>
              <w:rPr>
                <w:b/>
                <w:sz w:val="20"/>
              </w:rPr>
            </w:pPr>
            <w:r>
              <w:rPr>
                <w:b/>
                <w:spacing w:val="-2"/>
                <w:sz w:val="20"/>
              </w:rPr>
              <w:t>18,500</w:t>
            </w:r>
          </w:p>
        </w:tc>
        <w:tc>
          <w:tcPr>
            <w:tcW w:w="1122" w:type="dxa"/>
          </w:tcPr>
          <w:p>
            <w:pPr>
              <w:pStyle w:val="TableParagraph"/>
              <w:spacing w:line="226" w:lineRule="exact" w:before="30"/>
              <w:ind w:right="56"/>
              <w:jc w:val="right"/>
              <w:rPr>
                <w:sz w:val="20"/>
              </w:rPr>
            </w:pPr>
            <w:r>
              <w:rPr>
                <w:spacing w:val="-2"/>
                <w:sz w:val="20"/>
              </w:rPr>
              <w:t>18,500</w:t>
            </w:r>
          </w:p>
        </w:tc>
        <w:tc>
          <w:tcPr>
            <w:tcW w:w="1241" w:type="dxa"/>
          </w:tcPr>
          <w:p>
            <w:pPr>
              <w:pStyle w:val="TableParagraph"/>
              <w:spacing w:line="226" w:lineRule="exact" w:before="30"/>
              <w:ind w:right="138"/>
              <w:jc w:val="right"/>
              <w:rPr>
                <w:sz w:val="20"/>
              </w:rPr>
            </w:pPr>
            <w:r>
              <w:rPr>
                <w:spacing w:val="-2"/>
                <w:sz w:val="20"/>
              </w:rPr>
              <w:t>18,500</w:t>
            </w:r>
          </w:p>
        </w:tc>
        <w:tc>
          <w:tcPr>
            <w:tcW w:w="1116" w:type="dxa"/>
            <w:tcBorders>
              <w:right w:val="single" w:sz="12" w:space="0" w:color="000000"/>
            </w:tcBorders>
          </w:tcPr>
          <w:p>
            <w:pPr>
              <w:pStyle w:val="TableParagraph"/>
              <w:spacing w:line="226" w:lineRule="exact" w:before="30"/>
              <w:ind w:right="80"/>
              <w:jc w:val="right"/>
              <w:rPr>
                <w:sz w:val="20"/>
              </w:rPr>
            </w:pPr>
            <w:r>
              <w:rPr>
                <w:spacing w:val="-2"/>
                <w:sz w:val="20"/>
              </w:rPr>
              <w:t>18,500</w:t>
            </w:r>
          </w:p>
        </w:tc>
      </w:tr>
      <w:tr>
        <w:trPr>
          <w:trHeight w:val="276" w:hRule="atLeast"/>
        </w:trPr>
        <w:tc>
          <w:tcPr>
            <w:tcW w:w="4896" w:type="dxa"/>
            <w:tcBorders>
              <w:left w:val="single" w:sz="12" w:space="0" w:color="000000"/>
            </w:tcBorders>
          </w:tcPr>
          <w:p>
            <w:pPr>
              <w:pStyle w:val="TableParagraph"/>
              <w:spacing w:before="8"/>
              <w:ind w:left="107"/>
              <w:rPr>
                <w:sz w:val="20"/>
              </w:rPr>
            </w:pPr>
            <w:r>
              <w:rPr>
                <w:sz w:val="20"/>
              </w:rPr>
              <w:t>Net</w:t>
            </w:r>
            <w:r>
              <w:rPr>
                <w:spacing w:val="-5"/>
                <w:sz w:val="20"/>
              </w:rPr>
              <w:t> </w:t>
            </w:r>
            <w:r>
              <w:rPr>
                <w:sz w:val="20"/>
              </w:rPr>
              <w:t>GST</w:t>
            </w:r>
            <w:r>
              <w:rPr>
                <w:spacing w:val="-4"/>
                <w:sz w:val="20"/>
              </w:rPr>
              <w:t> </w:t>
            </w:r>
            <w:r>
              <w:rPr>
                <w:sz w:val="20"/>
              </w:rPr>
              <w:t>refund</w:t>
            </w:r>
            <w:r>
              <w:rPr>
                <w:spacing w:val="-5"/>
                <w:sz w:val="20"/>
              </w:rPr>
              <w:t> </w:t>
            </w:r>
            <w:r>
              <w:rPr>
                <w:sz w:val="20"/>
              </w:rPr>
              <w:t>/</w:t>
            </w:r>
            <w:r>
              <w:rPr>
                <w:spacing w:val="-4"/>
                <w:sz w:val="20"/>
              </w:rPr>
              <w:t> </w:t>
            </w:r>
            <w:r>
              <w:rPr>
                <w:spacing w:val="-2"/>
                <w:sz w:val="20"/>
              </w:rPr>
              <w:t>payment</w:t>
            </w:r>
          </w:p>
        </w:tc>
        <w:tc>
          <w:tcPr>
            <w:tcW w:w="1159" w:type="dxa"/>
          </w:tcPr>
          <w:p>
            <w:pPr>
              <w:pStyle w:val="TableParagraph"/>
              <w:spacing w:line="226" w:lineRule="exact" w:before="30"/>
              <w:ind w:right="92"/>
              <w:jc w:val="right"/>
              <w:rPr>
                <w:sz w:val="20"/>
              </w:rPr>
            </w:pPr>
            <w:r>
              <w:rPr>
                <w:w w:val="99"/>
                <w:sz w:val="20"/>
              </w:rPr>
              <w:t>-</w:t>
            </w:r>
          </w:p>
        </w:tc>
        <w:tc>
          <w:tcPr>
            <w:tcW w:w="1205" w:type="dxa"/>
            <w:shd w:val="clear" w:color="auto" w:fill="DDEBF6"/>
          </w:tcPr>
          <w:p>
            <w:pPr>
              <w:pStyle w:val="TableParagraph"/>
              <w:spacing w:line="226" w:lineRule="exact" w:before="30"/>
              <w:ind w:right="92"/>
              <w:jc w:val="right"/>
              <w:rPr>
                <w:b/>
                <w:sz w:val="20"/>
              </w:rPr>
            </w:pPr>
            <w:r>
              <w:rPr>
                <w:b/>
                <w:w w:val="99"/>
                <w:sz w:val="20"/>
              </w:rPr>
              <w:t>-</w:t>
            </w:r>
          </w:p>
        </w:tc>
        <w:tc>
          <w:tcPr>
            <w:tcW w:w="1122" w:type="dxa"/>
          </w:tcPr>
          <w:p>
            <w:pPr>
              <w:pStyle w:val="TableParagraph"/>
              <w:spacing w:line="226" w:lineRule="exact" w:before="30"/>
              <w:ind w:right="55"/>
              <w:jc w:val="right"/>
              <w:rPr>
                <w:sz w:val="20"/>
              </w:rPr>
            </w:pPr>
            <w:r>
              <w:rPr>
                <w:w w:val="99"/>
                <w:sz w:val="20"/>
              </w:rPr>
              <w:t>-</w:t>
            </w:r>
          </w:p>
        </w:tc>
        <w:tc>
          <w:tcPr>
            <w:tcW w:w="1241" w:type="dxa"/>
          </w:tcPr>
          <w:p>
            <w:pPr>
              <w:pStyle w:val="TableParagraph"/>
              <w:spacing w:line="226" w:lineRule="exact" w:before="30"/>
              <w:ind w:right="137"/>
              <w:jc w:val="right"/>
              <w:rPr>
                <w:sz w:val="20"/>
              </w:rPr>
            </w:pPr>
            <w:r>
              <w:rPr>
                <w:w w:val="99"/>
                <w:sz w:val="20"/>
              </w:rPr>
              <w:t>-</w:t>
            </w:r>
          </w:p>
        </w:tc>
        <w:tc>
          <w:tcPr>
            <w:tcW w:w="1116" w:type="dxa"/>
            <w:tcBorders>
              <w:right w:val="single" w:sz="12" w:space="0" w:color="000000"/>
            </w:tcBorders>
          </w:tcPr>
          <w:p>
            <w:pPr>
              <w:pStyle w:val="TableParagraph"/>
              <w:spacing w:line="226" w:lineRule="exact" w:before="30"/>
              <w:ind w:right="78"/>
              <w:jc w:val="right"/>
              <w:rPr>
                <w:sz w:val="20"/>
              </w:rPr>
            </w:pPr>
            <w:r>
              <w:rPr>
                <w:w w:val="99"/>
                <w:sz w:val="20"/>
              </w:rPr>
              <w:t>-</w:t>
            </w:r>
          </w:p>
        </w:tc>
      </w:tr>
      <w:tr>
        <w:trPr>
          <w:trHeight w:val="275" w:hRule="atLeast"/>
        </w:trPr>
        <w:tc>
          <w:tcPr>
            <w:tcW w:w="4896" w:type="dxa"/>
            <w:tcBorders>
              <w:left w:val="single" w:sz="12" w:space="0" w:color="000000"/>
            </w:tcBorders>
          </w:tcPr>
          <w:p>
            <w:pPr>
              <w:pStyle w:val="TableParagraph"/>
              <w:spacing w:before="8"/>
              <w:ind w:left="107"/>
              <w:rPr>
                <w:sz w:val="20"/>
              </w:rPr>
            </w:pPr>
            <w:r>
              <w:rPr>
                <w:sz w:val="20"/>
              </w:rPr>
              <w:t>Employee</w:t>
            </w:r>
            <w:r>
              <w:rPr>
                <w:spacing w:val="-11"/>
                <w:sz w:val="20"/>
              </w:rPr>
              <w:t> </w:t>
            </w:r>
            <w:r>
              <w:rPr>
                <w:spacing w:val="-2"/>
                <w:sz w:val="20"/>
              </w:rPr>
              <w:t>costs</w:t>
            </w:r>
          </w:p>
        </w:tc>
        <w:tc>
          <w:tcPr>
            <w:tcW w:w="1159" w:type="dxa"/>
          </w:tcPr>
          <w:p>
            <w:pPr>
              <w:pStyle w:val="TableParagraph"/>
              <w:spacing w:line="226" w:lineRule="exact" w:before="30"/>
              <w:ind w:right="92"/>
              <w:jc w:val="right"/>
              <w:rPr>
                <w:sz w:val="20"/>
              </w:rPr>
            </w:pPr>
            <w:r>
              <w:rPr>
                <w:spacing w:val="-2"/>
                <w:sz w:val="20"/>
              </w:rPr>
              <w:t>(70,461)</w:t>
            </w:r>
          </w:p>
        </w:tc>
        <w:tc>
          <w:tcPr>
            <w:tcW w:w="1205" w:type="dxa"/>
            <w:shd w:val="clear" w:color="auto" w:fill="DDEBF6"/>
          </w:tcPr>
          <w:p>
            <w:pPr>
              <w:pStyle w:val="TableParagraph"/>
              <w:spacing w:line="226" w:lineRule="exact" w:before="30"/>
              <w:ind w:right="93"/>
              <w:jc w:val="right"/>
              <w:rPr>
                <w:b/>
                <w:sz w:val="20"/>
              </w:rPr>
            </w:pPr>
            <w:r>
              <w:rPr>
                <w:b/>
                <w:spacing w:val="-2"/>
                <w:sz w:val="20"/>
              </w:rPr>
              <w:t>(71,438)</w:t>
            </w:r>
          </w:p>
        </w:tc>
        <w:tc>
          <w:tcPr>
            <w:tcW w:w="1122" w:type="dxa"/>
          </w:tcPr>
          <w:p>
            <w:pPr>
              <w:pStyle w:val="TableParagraph"/>
              <w:spacing w:line="226" w:lineRule="exact" w:before="30"/>
              <w:ind w:right="55"/>
              <w:jc w:val="right"/>
              <w:rPr>
                <w:sz w:val="20"/>
              </w:rPr>
            </w:pPr>
            <w:r>
              <w:rPr>
                <w:spacing w:val="-2"/>
                <w:sz w:val="20"/>
              </w:rPr>
              <w:t>(72,464)</w:t>
            </w:r>
          </w:p>
        </w:tc>
        <w:tc>
          <w:tcPr>
            <w:tcW w:w="1241" w:type="dxa"/>
          </w:tcPr>
          <w:p>
            <w:pPr>
              <w:pStyle w:val="TableParagraph"/>
              <w:spacing w:line="226" w:lineRule="exact" w:before="30"/>
              <w:ind w:right="137"/>
              <w:jc w:val="right"/>
              <w:rPr>
                <w:sz w:val="20"/>
              </w:rPr>
            </w:pPr>
            <w:r>
              <w:rPr>
                <w:spacing w:val="-2"/>
                <w:sz w:val="20"/>
              </w:rPr>
              <w:t>(73,598)</w:t>
            </w:r>
          </w:p>
        </w:tc>
        <w:tc>
          <w:tcPr>
            <w:tcW w:w="1116" w:type="dxa"/>
            <w:tcBorders>
              <w:right w:val="single" w:sz="12" w:space="0" w:color="000000"/>
            </w:tcBorders>
          </w:tcPr>
          <w:p>
            <w:pPr>
              <w:pStyle w:val="TableParagraph"/>
              <w:spacing w:line="226" w:lineRule="exact" w:before="30"/>
              <w:ind w:right="79"/>
              <w:jc w:val="right"/>
              <w:rPr>
                <w:sz w:val="20"/>
              </w:rPr>
            </w:pPr>
            <w:r>
              <w:rPr>
                <w:spacing w:val="-2"/>
                <w:sz w:val="20"/>
              </w:rPr>
              <w:t>(74,996)</w:t>
            </w:r>
          </w:p>
        </w:tc>
      </w:tr>
      <w:tr>
        <w:trPr>
          <w:trHeight w:val="275" w:hRule="atLeast"/>
        </w:trPr>
        <w:tc>
          <w:tcPr>
            <w:tcW w:w="4896" w:type="dxa"/>
            <w:tcBorders>
              <w:left w:val="single" w:sz="12" w:space="0" w:color="000000"/>
            </w:tcBorders>
          </w:tcPr>
          <w:p>
            <w:pPr>
              <w:pStyle w:val="TableParagraph"/>
              <w:spacing w:before="8"/>
              <w:ind w:left="107"/>
              <w:rPr>
                <w:sz w:val="20"/>
              </w:rPr>
            </w:pPr>
            <w:r>
              <w:rPr>
                <w:sz w:val="20"/>
              </w:rPr>
              <w:t>Materials</w:t>
            </w:r>
            <w:r>
              <w:rPr>
                <w:spacing w:val="-6"/>
                <w:sz w:val="20"/>
              </w:rPr>
              <w:t> </w:t>
            </w:r>
            <w:r>
              <w:rPr>
                <w:sz w:val="20"/>
              </w:rPr>
              <w:t>and</w:t>
            </w:r>
            <w:r>
              <w:rPr>
                <w:spacing w:val="-9"/>
                <w:sz w:val="20"/>
              </w:rPr>
              <w:t> </w:t>
            </w:r>
            <w:r>
              <w:rPr>
                <w:spacing w:val="-2"/>
                <w:sz w:val="20"/>
              </w:rPr>
              <w:t>services</w:t>
            </w:r>
          </w:p>
        </w:tc>
        <w:tc>
          <w:tcPr>
            <w:tcW w:w="1159" w:type="dxa"/>
          </w:tcPr>
          <w:p>
            <w:pPr>
              <w:pStyle w:val="TableParagraph"/>
              <w:spacing w:line="226" w:lineRule="exact" w:before="30"/>
              <w:ind w:right="92"/>
              <w:jc w:val="right"/>
              <w:rPr>
                <w:sz w:val="20"/>
              </w:rPr>
            </w:pPr>
            <w:r>
              <w:rPr>
                <w:spacing w:val="-2"/>
                <w:sz w:val="20"/>
              </w:rPr>
              <w:t>(85,307)</w:t>
            </w:r>
          </w:p>
        </w:tc>
        <w:tc>
          <w:tcPr>
            <w:tcW w:w="1205" w:type="dxa"/>
            <w:shd w:val="clear" w:color="auto" w:fill="DDEBF6"/>
          </w:tcPr>
          <w:p>
            <w:pPr>
              <w:pStyle w:val="TableParagraph"/>
              <w:spacing w:line="226" w:lineRule="exact" w:before="30"/>
              <w:ind w:right="93"/>
              <w:jc w:val="right"/>
              <w:rPr>
                <w:b/>
                <w:sz w:val="20"/>
              </w:rPr>
            </w:pPr>
            <w:r>
              <w:rPr>
                <w:b/>
                <w:spacing w:val="-2"/>
                <w:sz w:val="20"/>
              </w:rPr>
              <w:t>(73,154)</w:t>
            </w:r>
          </w:p>
        </w:tc>
        <w:tc>
          <w:tcPr>
            <w:tcW w:w="1122" w:type="dxa"/>
          </w:tcPr>
          <w:p>
            <w:pPr>
              <w:pStyle w:val="TableParagraph"/>
              <w:spacing w:line="226" w:lineRule="exact" w:before="30"/>
              <w:ind w:right="55"/>
              <w:jc w:val="right"/>
              <w:rPr>
                <w:sz w:val="20"/>
              </w:rPr>
            </w:pPr>
            <w:r>
              <w:rPr>
                <w:spacing w:val="-2"/>
                <w:sz w:val="20"/>
              </w:rPr>
              <w:t>(69,055)</w:t>
            </w:r>
          </w:p>
        </w:tc>
        <w:tc>
          <w:tcPr>
            <w:tcW w:w="1241" w:type="dxa"/>
          </w:tcPr>
          <w:p>
            <w:pPr>
              <w:pStyle w:val="TableParagraph"/>
              <w:spacing w:line="226" w:lineRule="exact" w:before="30"/>
              <w:ind w:right="137"/>
              <w:jc w:val="right"/>
              <w:rPr>
                <w:sz w:val="20"/>
              </w:rPr>
            </w:pPr>
            <w:r>
              <w:rPr>
                <w:spacing w:val="-2"/>
                <w:sz w:val="20"/>
              </w:rPr>
              <w:t>(77,203)</w:t>
            </w:r>
          </w:p>
        </w:tc>
        <w:tc>
          <w:tcPr>
            <w:tcW w:w="1116" w:type="dxa"/>
            <w:tcBorders>
              <w:right w:val="single" w:sz="12" w:space="0" w:color="000000"/>
            </w:tcBorders>
          </w:tcPr>
          <w:p>
            <w:pPr>
              <w:pStyle w:val="TableParagraph"/>
              <w:spacing w:line="226" w:lineRule="exact" w:before="30"/>
              <w:ind w:right="79"/>
              <w:jc w:val="right"/>
              <w:rPr>
                <w:sz w:val="20"/>
              </w:rPr>
            </w:pPr>
            <w:r>
              <w:rPr>
                <w:spacing w:val="-2"/>
                <w:sz w:val="20"/>
              </w:rPr>
              <w:t>(76,964)</w:t>
            </w:r>
          </w:p>
        </w:tc>
      </w:tr>
      <w:tr>
        <w:trPr>
          <w:trHeight w:val="275" w:hRule="atLeast"/>
        </w:trPr>
        <w:tc>
          <w:tcPr>
            <w:tcW w:w="4896" w:type="dxa"/>
            <w:tcBorders>
              <w:left w:val="single" w:sz="12" w:space="0" w:color="000000"/>
            </w:tcBorders>
          </w:tcPr>
          <w:p>
            <w:pPr>
              <w:pStyle w:val="TableParagraph"/>
              <w:spacing w:before="8"/>
              <w:ind w:left="107"/>
              <w:rPr>
                <w:sz w:val="20"/>
              </w:rPr>
            </w:pPr>
            <w:r>
              <w:rPr>
                <w:sz w:val="20"/>
              </w:rPr>
              <w:t>Trust</w:t>
            </w:r>
            <w:r>
              <w:rPr>
                <w:spacing w:val="-8"/>
                <w:sz w:val="20"/>
              </w:rPr>
              <w:t> </w:t>
            </w:r>
            <w:r>
              <w:rPr>
                <w:sz w:val="20"/>
              </w:rPr>
              <w:t>funds</w:t>
            </w:r>
            <w:r>
              <w:rPr>
                <w:spacing w:val="-5"/>
                <w:sz w:val="20"/>
              </w:rPr>
              <w:t> </w:t>
            </w:r>
            <w:r>
              <w:rPr>
                <w:sz w:val="20"/>
              </w:rPr>
              <w:t>and</w:t>
            </w:r>
            <w:r>
              <w:rPr>
                <w:spacing w:val="-3"/>
                <w:sz w:val="20"/>
              </w:rPr>
              <w:t> </w:t>
            </w:r>
            <w:r>
              <w:rPr>
                <w:sz w:val="20"/>
              </w:rPr>
              <w:t>deposits</w:t>
            </w:r>
            <w:r>
              <w:rPr>
                <w:spacing w:val="-5"/>
                <w:sz w:val="20"/>
              </w:rPr>
              <w:t> </w:t>
            </w:r>
            <w:r>
              <w:rPr>
                <w:spacing w:val="-2"/>
                <w:sz w:val="20"/>
              </w:rPr>
              <w:t>repaid</w:t>
            </w:r>
          </w:p>
        </w:tc>
        <w:tc>
          <w:tcPr>
            <w:tcW w:w="1159" w:type="dxa"/>
          </w:tcPr>
          <w:p>
            <w:pPr>
              <w:pStyle w:val="TableParagraph"/>
              <w:spacing w:line="226" w:lineRule="exact" w:before="30"/>
              <w:ind w:right="92"/>
              <w:jc w:val="right"/>
              <w:rPr>
                <w:sz w:val="20"/>
              </w:rPr>
            </w:pPr>
            <w:r>
              <w:rPr>
                <w:spacing w:val="-2"/>
                <w:sz w:val="20"/>
              </w:rPr>
              <w:t>(18,500)</w:t>
            </w:r>
          </w:p>
        </w:tc>
        <w:tc>
          <w:tcPr>
            <w:tcW w:w="1205" w:type="dxa"/>
            <w:shd w:val="clear" w:color="auto" w:fill="DDEBF6"/>
          </w:tcPr>
          <w:p>
            <w:pPr>
              <w:pStyle w:val="TableParagraph"/>
              <w:spacing w:line="226" w:lineRule="exact" w:before="30"/>
              <w:ind w:right="93"/>
              <w:jc w:val="right"/>
              <w:rPr>
                <w:b/>
                <w:sz w:val="20"/>
              </w:rPr>
            </w:pPr>
            <w:r>
              <w:rPr>
                <w:b/>
                <w:spacing w:val="-2"/>
                <w:sz w:val="20"/>
              </w:rPr>
              <w:t>(18,500)</w:t>
            </w:r>
          </w:p>
        </w:tc>
        <w:tc>
          <w:tcPr>
            <w:tcW w:w="1122" w:type="dxa"/>
          </w:tcPr>
          <w:p>
            <w:pPr>
              <w:pStyle w:val="TableParagraph"/>
              <w:spacing w:line="226" w:lineRule="exact" w:before="30"/>
              <w:ind w:right="55"/>
              <w:jc w:val="right"/>
              <w:rPr>
                <w:sz w:val="20"/>
              </w:rPr>
            </w:pPr>
            <w:r>
              <w:rPr>
                <w:spacing w:val="-2"/>
                <w:sz w:val="20"/>
              </w:rPr>
              <w:t>(18,500)</w:t>
            </w:r>
          </w:p>
        </w:tc>
        <w:tc>
          <w:tcPr>
            <w:tcW w:w="1241" w:type="dxa"/>
          </w:tcPr>
          <w:p>
            <w:pPr>
              <w:pStyle w:val="TableParagraph"/>
              <w:spacing w:line="226" w:lineRule="exact" w:before="30"/>
              <w:ind w:right="137"/>
              <w:jc w:val="right"/>
              <w:rPr>
                <w:sz w:val="20"/>
              </w:rPr>
            </w:pPr>
            <w:r>
              <w:rPr>
                <w:spacing w:val="-2"/>
                <w:sz w:val="20"/>
              </w:rPr>
              <w:t>(18,500)</w:t>
            </w:r>
          </w:p>
        </w:tc>
        <w:tc>
          <w:tcPr>
            <w:tcW w:w="1116" w:type="dxa"/>
            <w:tcBorders>
              <w:right w:val="single" w:sz="12" w:space="0" w:color="000000"/>
            </w:tcBorders>
          </w:tcPr>
          <w:p>
            <w:pPr>
              <w:pStyle w:val="TableParagraph"/>
              <w:spacing w:line="226" w:lineRule="exact" w:before="30"/>
              <w:ind w:right="79"/>
              <w:jc w:val="right"/>
              <w:rPr>
                <w:sz w:val="20"/>
              </w:rPr>
            </w:pPr>
            <w:r>
              <w:rPr>
                <w:spacing w:val="-2"/>
                <w:sz w:val="20"/>
              </w:rPr>
              <w:t>(18,500)</w:t>
            </w:r>
          </w:p>
        </w:tc>
      </w:tr>
      <w:tr>
        <w:trPr>
          <w:trHeight w:val="284" w:hRule="atLeast"/>
        </w:trPr>
        <w:tc>
          <w:tcPr>
            <w:tcW w:w="4896" w:type="dxa"/>
            <w:tcBorders>
              <w:left w:val="single" w:sz="12" w:space="0" w:color="000000"/>
            </w:tcBorders>
          </w:tcPr>
          <w:p>
            <w:pPr>
              <w:pStyle w:val="TableParagraph"/>
              <w:spacing w:before="8"/>
              <w:ind w:left="107"/>
              <w:rPr>
                <w:sz w:val="20"/>
              </w:rPr>
            </w:pPr>
            <w:r>
              <w:rPr>
                <w:sz w:val="20"/>
              </w:rPr>
              <w:t>Other</w:t>
            </w:r>
            <w:r>
              <w:rPr>
                <w:spacing w:val="-6"/>
                <w:sz w:val="20"/>
              </w:rPr>
              <w:t> </w:t>
            </w:r>
            <w:r>
              <w:rPr>
                <w:spacing w:val="-2"/>
                <w:sz w:val="20"/>
              </w:rPr>
              <w:t>payments</w:t>
            </w:r>
          </w:p>
        </w:tc>
        <w:tc>
          <w:tcPr>
            <w:tcW w:w="1159" w:type="dxa"/>
            <w:tcBorders>
              <w:bottom w:val="single" w:sz="2" w:space="0" w:color="000000"/>
            </w:tcBorders>
          </w:tcPr>
          <w:p>
            <w:pPr>
              <w:pStyle w:val="TableParagraph"/>
              <w:spacing w:before="30"/>
              <w:ind w:right="92"/>
              <w:jc w:val="right"/>
              <w:rPr>
                <w:sz w:val="20"/>
              </w:rPr>
            </w:pPr>
            <w:r>
              <w:rPr>
                <w:w w:val="99"/>
                <w:sz w:val="20"/>
              </w:rPr>
              <w:t>-</w:t>
            </w:r>
          </w:p>
        </w:tc>
        <w:tc>
          <w:tcPr>
            <w:tcW w:w="1205" w:type="dxa"/>
            <w:tcBorders>
              <w:bottom w:val="single" w:sz="2" w:space="0" w:color="000000"/>
            </w:tcBorders>
            <w:shd w:val="clear" w:color="auto" w:fill="DDEBF6"/>
          </w:tcPr>
          <w:p>
            <w:pPr>
              <w:pStyle w:val="TableParagraph"/>
              <w:spacing w:before="30"/>
              <w:ind w:right="92"/>
              <w:jc w:val="right"/>
              <w:rPr>
                <w:b/>
                <w:sz w:val="20"/>
              </w:rPr>
            </w:pPr>
            <w:r>
              <w:rPr>
                <w:b/>
                <w:w w:val="99"/>
                <w:sz w:val="20"/>
              </w:rPr>
              <w:t>-</w:t>
            </w:r>
          </w:p>
        </w:tc>
        <w:tc>
          <w:tcPr>
            <w:tcW w:w="1122" w:type="dxa"/>
            <w:tcBorders>
              <w:bottom w:val="single" w:sz="2" w:space="0" w:color="000000"/>
            </w:tcBorders>
          </w:tcPr>
          <w:p>
            <w:pPr>
              <w:pStyle w:val="TableParagraph"/>
              <w:spacing w:before="30"/>
              <w:ind w:right="55"/>
              <w:jc w:val="right"/>
              <w:rPr>
                <w:sz w:val="20"/>
              </w:rPr>
            </w:pPr>
            <w:r>
              <w:rPr>
                <w:w w:val="99"/>
                <w:sz w:val="20"/>
              </w:rPr>
              <w:t>-</w:t>
            </w:r>
          </w:p>
        </w:tc>
        <w:tc>
          <w:tcPr>
            <w:tcW w:w="1241" w:type="dxa"/>
            <w:tcBorders>
              <w:bottom w:val="single" w:sz="2" w:space="0" w:color="000000"/>
            </w:tcBorders>
          </w:tcPr>
          <w:p>
            <w:pPr>
              <w:pStyle w:val="TableParagraph"/>
              <w:spacing w:before="30"/>
              <w:ind w:right="137"/>
              <w:jc w:val="right"/>
              <w:rPr>
                <w:sz w:val="20"/>
              </w:rPr>
            </w:pPr>
            <w:r>
              <w:rPr>
                <w:w w:val="99"/>
                <w:sz w:val="20"/>
              </w:rPr>
              <w:t>-</w:t>
            </w:r>
          </w:p>
        </w:tc>
        <w:tc>
          <w:tcPr>
            <w:tcW w:w="1116" w:type="dxa"/>
            <w:tcBorders>
              <w:bottom w:val="single" w:sz="2" w:space="0" w:color="000000"/>
              <w:right w:val="single" w:sz="12" w:space="0" w:color="000000"/>
            </w:tcBorders>
          </w:tcPr>
          <w:p>
            <w:pPr>
              <w:pStyle w:val="TableParagraph"/>
              <w:spacing w:before="30"/>
              <w:ind w:right="78"/>
              <w:jc w:val="right"/>
              <w:rPr>
                <w:sz w:val="20"/>
              </w:rPr>
            </w:pPr>
            <w:r>
              <w:rPr>
                <w:w w:val="99"/>
                <w:sz w:val="20"/>
              </w:rPr>
              <w:t>-</w:t>
            </w:r>
          </w:p>
        </w:tc>
      </w:tr>
      <w:tr>
        <w:trPr>
          <w:trHeight w:val="230" w:hRule="atLeast"/>
        </w:trPr>
        <w:tc>
          <w:tcPr>
            <w:tcW w:w="4896" w:type="dxa"/>
            <w:tcBorders>
              <w:left w:val="single" w:sz="12" w:space="0" w:color="000000"/>
            </w:tcBorders>
          </w:tcPr>
          <w:p>
            <w:pPr>
              <w:pStyle w:val="TableParagraph"/>
              <w:tabs>
                <w:tab w:pos="4725" w:val="right" w:leader="none"/>
              </w:tabs>
              <w:spacing w:line="211" w:lineRule="exact"/>
              <w:ind w:left="107"/>
              <w:rPr>
                <w:sz w:val="20"/>
              </w:rPr>
            </w:pPr>
            <w:r>
              <w:rPr>
                <w:b/>
                <w:sz w:val="20"/>
              </w:rPr>
              <w:t>Net</w:t>
            </w:r>
            <w:r>
              <w:rPr>
                <w:b/>
                <w:spacing w:val="-5"/>
                <w:sz w:val="20"/>
              </w:rPr>
              <w:t> </w:t>
            </w:r>
            <w:r>
              <w:rPr>
                <w:b/>
                <w:sz w:val="20"/>
              </w:rPr>
              <w:t>cash</w:t>
            </w:r>
            <w:r>
              <w:rPr>
                <w:b/>
                <w:spacing w:val="-3"/>
                <w:sz w:val="20"/>
              </w:rPr>
              <w:t> </w:t>
            </w:r>
            <w:r>
              <w:rPr>
                <w:b/>
                <w:sz w:val="20"/>
              </w:rPr>
              <w:t>provided</w:t>
            </w:r>
            <w:r>
              <w:rPr>
                <w:b/>
                <w:spacing w:val="-6"/>
                <w:sz w:val="20"/>
              </w:rPr>
              <w:t> </w:t>
            </w:r>
            <w:r>
              <w:rPr>
                <w:b/>
                <w:sz w:val="20"/>
              </w:rPr>
              <w:t>by/</w:t>
            </w:r>
            <w:r>
              <w:rPr>
                <w:b/>
                <w:spacing w:val="-6"/>
                <w:sz w:val="20"/>
              </w:rPr>
              <w:t> </w:t>
            </w:r>
            <w:r>
              <w:rPr>
                <w:b/>
                <w:sz w:val="20"/>
              </w:rPr>
              <w:t>(used</w:t>
            </w:r>
            <w:r>
              <w:rPr>
                <w:b/>
                <w:spacing w:val="-6"/>
                <w:sz w:val="20"/>
              </w:rPr>
              <w:t> </w:t>
            </w:r>
            <w:r>
              <w:rPr>
                <w:b/>
                <w:spacing w:val="-5"/>
                <w:sz w:val="20"/>
              </w:rPr>
              <w:t>in)</w:t>
            </w:r>
            <w:r>
              <w:rPr>
                <w:rFonts w:ascii="Times New Roman"/>
                <w:sz w:val="20"/>
              </w:rPr>
              <w:tab/>
            </w:r>
            <w:r>
              <w:rPr>
                <w:spacing w:val="-2"/>
                <w:position w:val="-11"/>
                <w:sz w:val="20"/>
              </w:rPr>
              <w:t>4.4.1</w:t>
            </w:r>
          </w:p>
        </w:tc>
        <w:tc>
          <w:tcPr>
            <w:tcW w:w="1159" w:type="dxa"/>
            <w:vMerge w:val="restart"/>
            <w:tcBorders>
              <w:top w:val="single" w:sz="2" w:space="0" w:color="000000"/>
              <w:bottom w:val="single" w:sz="2" w:space="0" w:color="000000"/>
            </w:tcBorders>
          </w:tcPr>
          <w:p>
            <w:pPr>
              <w:pStyle w:val="TableParagraph"/>
              <w:spacing w:before="114"/>
              <w:ind w:left="453"/>
              <w:rPr>
                <w:b/>
                <w:sz w:val="20"/>
              </w:rPr>
            </w:pPr>
            <w:r>
              <w:rPr>
                <w:b/>
                <w:spacing w:val="-2"/>
                <w:sz w:val="20"/>
              </w:rPr>
              <w:t>27,530</w:t>
            </w:r>
          </w:p>
        </w:tc>
        <w:tc>
          <w:tcPr>
            <w:tcW w:w="1205" w:type="dxa"/>
            <w:vMerge w:val="restart"/>
            <w:tcBorders>
              <w:top w:val="single" w:sz="2" w:space="0" w:color="000000"/>
              <w:bottom w:val="single" w:sz="2" w:space="0" w:color="000000"/>
            </w:tcBorders>
            <w:shd w:val="clear" w:color="auto" w:fill="DDEBF6"/>
          </w:tcPr>
          <w:p>
            <w:pPr>
              <w:pStyle w:val="TableParagraph"/>
              <w:spacing w:before="114"/>
              <w:ind w:left="499"/>
              <w:rPr>
                <w:b/>
                <w:sz w:val="20"/>
              </w:rPr>
            </w:pPr>
            <w:r>
              <w:rPr>
                <w:b/>
                <w:spacing w:val="-2"/>
                <w:sz w:val="20"/>
              </w:rPr>
              <w:t>38,488</w:t>
            </w:r>
          </w:p>
        </w:tc>
        <w:tc>
          <w:tcPr>
            <w:tcW w:w="1122" w:type="dxa"/>
            <w:vMerge w:val="restart"/>
            <w:tcBorders>
              <w:top w:val="single" w:sz="2" w:space="0" w:color="000000"/>
              <w:bottom w:val="single" w:sz="2" w:space="0" w:color="000000"/>
            </w:tcBorders>
          </w:tcPr>
          <w:p>
            <w:pPr>
              <w:pStyle w:val="TableParagraph"/>
              <w:spacing w:before="114"/>
              <w:ind w:left="453"/>
              <w:rPr>
                <w:b/>
                <w:sz w:val="20"/>
              </w:rPr>
            </w:pPr>
            <w:r>
              <w:rPr>
                <w:b/>
                <w:spacing w:val="-2"/>
                <w:sz w:val="20"/>
              </w:rPr>
              <w:t>62,503</w:t>
            </w:r>
          </w:p>
        </w:tc>
        <w:tc>
          <w:tcPr>
            <w:tcW w:w="1241" w:type="dxa"/>
            <w:vMerge w:val="restart"/>
            <w:tcBorders>
              <w:top w:val="single" w:sz="2" w:space="0" w:color="000000"/>
              <w:bottom w:val="single" w:sz="2" w:space="0" w:color="000000"/>
            </w:tcBorders>
          </w:tcPr>
          <w:p>
            <w:pPr>
              <w:pStyle w:val="TableParagraph"/>
              <w:spacing w:before="114"/>
              <w:ind w:left="490"/>
              <w:rPr>
                <w:b/>
                <w:sz w:val="20"/>
              </w:rPr>
            </w:pPr>
            <w:r>
              <w:rPr>
                <w:b/>
                <w:spacing w:val="-2"/>
                <w:sz w:val="20"/>
              </w:rPr>
              <w:t>51,586</w:t>
            </w:r>
          </w:p>
        </w:tc>
        <w:tc>
          <w:tcPr>
            <w:tcW w:w="1116" w:type="dxa"/>
            <w:vMerge w:val="restart"/>
            <w:tcBorders>
              <w:top w:val="single" w:sz="2" w:space="0" w:color="000000"/>
              <w:bottom w:val="single" w:sz="2" w:space="0" w:color="000000"/>
              <w:right w:val="single" w:sz="12" w:space="0" w:color="000000"/>
            </w:tcBorders>
          </w:tcPr>
          <w:p>
            <w:pPr>
              <w:pStyle w:val="TableParagraph"/>
              <w:spacing w:before="114"/>
              <w:ind w:left="394"/>
              <w:rPr>
                <w:b/>
                <w:sz w:val="20"/>
              </w:rPr>
            </w:pPr>
            <w:r>
              <w:rPr>
                <w:b/>
                <w:spacing w:val="-2"/>
                <w:sz w:val="20"/>
              </w:rPr>
              <w:t>55,270</w:t>
            </w:r>
          </w:p>
        </w:tc>
      </w:tr>
      <w:tr>
        <w:trPr>
          <w:trHeight w:val="224" w:hRule="atLeast"/>
        </w:trPr>
        <w:tc>
          <w:tcPr>
            <w:tcW w:w="4896" w:type="dxa"/>
            <w:tcBorders>
              <w:left w:val="single" w:sz="12" w:space="0" w:color="000000"/>
            </w:tcBorders>
          </w:tcPr>
          <w:p>
            <w:pPr>
              <w:pStyle w:val="TableParagraph"/>
              <w:spacing w:line="205" w:lineRule="exact"/>
              <w:ind w:left="107"/>
              <w:rPr>
                <w:b/>
                <w:sz w:val="20"/>
              </w:rPr>
            </w:pPr>
            <w:r>
              <w:rPr>
                <w:b/>
                <w:sz w:val="20"/>
              </w:rPr>
              <w:t>operating</w:t>
            </w:r>
            <w:r>
              <w:rPr>
                <w:b/>
                <w:spacing w:val="-12"/>
                <w:sz w:val="20"/>
              </w:rPr>
              <w:t> </w:t>
            </w:r>
            <w:r>
              <w:rPr>
                <w:b/>
                <w:spacing w:val="-2"/>
                <w:sz w:val="20"/>
              </w:rPr>
              <w:t>activities</w:t>
            </w:r>
          </w:p>
        </w:tc>
        <w:tc>
          <w:tcPr>
            <w:tcW w:w="1159" w:type="dxa"/>
            <w:vMerge/>
            <w:tcBorders>
              <w:top w:val="nil"/>
              <w:bottom w:val="single" w:sz="2" w:space="0" w:color="000000"/>
            </w:tcBorders>
          </w:tcPr>
          <w:p>
            <w:pPr>
              <w:rPr>
                <w:sz w:val="2"/>
                <w:szCs w:val="2"/>
              </w:rPr>
            </w:pPr>
          </w:p>
        </w:tc>
        <w:tc>
          <w:tcPr>
            <w:tcW w:w="1205" w:type="dxa"/>
            <w:vMerge/>
            <w:tcBorders>
              <w:top w:val="nil"/>
              <w:bottom w:val="single" w:sz="2" w:space="0" w:color="000000"/>
            </w:tcBorders>
            <w:shd w:val="clear" w:color="auto" w:fill="DDEBF6"/>
          </w:tcPr>
          <w:p>
            <w:pPr>
              <w:rPr>
                <w:sz w:val="2"/>
                <w:szCs w:val="2"/>
              </w:rPr>
            </w:pPr>
          </w:p>
        </w:tc>
        <w:tc>
          <w:tcPr>
            <w:tcW w:w="1122" w:type="dxa"/>
            <w:vMerge/>
            <w:tcBorders>
              <w:top w:val="nil"/>
              <w:bottom w:val="single" w:sz="2" w:space="0" w:color="000000"/>
            </w:tcBorders>
          </w:tcPr>
          <w:p>
            <w:pPr>
              <w:rPr>
                <w:sz w:val="2"/>
                <w:szCs w:val="2"/>
              </w:rPr>
            </w:pPr>
          </w:p>
        </w:tc>
        <w:tc>
          <w:tcPr>
            <w:tcW w:w="1241" w:type="dxa"/>
            <w:vMerge/>
            <w:tcBorders>
              <w:top w:val="nil"/>
              <w:bottom w:val="single" w:sz="2" w:space="0" w:color="000000"/>
            </w:tcBorders>
          </w:tcPr>
          <w:p>
            <w:pPr>
              <w:rPr>
                <w:sz w:val="2"/>
                <w:szCs w:val="2"/>
              </w:rPr>
            </w:pPr>
          </w:p>
        </w:tc>
        <w:tc>
          <w:tcPr>
            <w:tcW w:w="1116" w:type="dxa"/>
            <w:vMerge/>
            <w:tcBorders>
              <w:top w:val="nil"/>
              <w:bottom w:val="single" w:sz="2" w:space="0" w:color="000000"/>
              <w:right w:val="single" w:sz="12" w:space="0" w:color="000000"/>
            </w:tcBorders>
          </w:tcPr>
          <w:p>
            <w:pPr>
              <w:rPr>
                <w:sz w:val="2"/>
                <w:szCs w:val="2"/>
              </w:rPr>
            </w:pPr>
          </w:p>
        </w:tc>
      </w:tr>
      <w:tr>
        <w:trPr>
          <w:trHeight w:val="532" w:hRule="atLeast"/>
        </w:trPr>
        <w:tc>
          <w:tcPr>
            <w:tcW w:w="4896" w:type="dxa"/>
            <w:tcBorders>
              <w:left w:val="single" w:sz="12" w:space="0" w:color="000000"/>
            </w:tcBorders>
          </w:tcPr>
          <w:p>
            <w:pPr>
              <w:pStyle w:val="TableParagraph"/>
              <w:spacing w:before="11"/>
              <w:rPr>
                <w:i/>
                <w:sz w:val="23"/>
              </w:rPr>
            </w:pPr>
          </w:p>
          <w:p>
            <w:pPr>
              <w:pStyle w:val="TableParagraph"/>
              <w:ind w:left="107"/>
              <w:rPr>
                <w:b/>
                <w:sz w:val="20"/>
              </w:rPr>
            </w:pPr>
            <w:r>
              <w:rPr>
                <w:b/>
                <w:sz w:val="20"/>
              </w:rPr>
              <w:t>Cash</w:t>
            </w:r>
            <w:r>
              <w:rPr>
                <w:b/>
                <w:spacing w:val="-7"/>
                <w:sz w:val="20"/>
              </w:rPr>
              <w:t> </w:t>
            </w:r>
            <w:r>
              <w:rPr>
                <w:b/>
                <w:sz w:val="20"/>
              </w:rPr>
              <w:t>flows</w:t>
            </w:r>
            <w:r>
              <w:rPr>
                <w:b/>
                <w:spacing w:val="-7"/>
                <w:sz w:val="20"/>
              </w:rPr>
              <w:t> </w:t>
            </w:r>
            <w:r>
              <w:rPr>
                <w:b/>
                <w:sz w:val="20"/>
              </w:rPr>
              <w:t>from</w:t>
            </w:r>
            <w:r>
              <w:rPr>
                <w:b/>
                <w:spacing w:val="-4"/>
                <w:sz w:val="20"/>
              </w:rPr>
              <w:t> </w:t>
            </w:r>
            <w:r>
              <w:rPr>
                <w:b/>
                <w:sz w:val="20"/>
              </w:rPr>
              <w:t>investing</w:t>
            </w:r>
            <w:r>
              <w:rPr>
                <w:b/>
                <w:spacing w:val="-7"/>
                <w:sz w:val="20"/>
              </w:rPr>
              <w:t> </w:t>
            </w:r>
            <w:r>
              <w:rPr>
                <w:b/>
                <w:spacing w:val="-2"/>
                <w:sz w:val="20"/>
              </w:rPr>
              <w:t>activities</w:t>
            </w:r>
          </w:p>
        </w:tc>
        <w:tc>
          <w:tcPr>
            <w:tcW w:w="1159" w:type="dxa"/>
            <w:tcBorders>
              <w:top w:val="single" w:sz="2" w:space="0" w:color="000000"/>
            </w:tcBorders>
          </w:tcPr>
          <w:p>
            <w:pPr>
              <w:pStyle w:val="TableParagraph"/>
              <w:rPr>
                <w:rFonts w:ascii="Times New Roman"/>
                <w:sz w:val="18"/>
              </w:rPr>
            </w:pPr>
          </w:p>
        </w:tc>
        <w:tc>
          <w:tcPr>
            <w:tcW w:w="1205" w:type="dxa"/>
            <w:tcBorders>
              <w:top w:val="single" w:sz="2" w:space="0" w:color="000000"/>
            </w:tcBorders>
            <w:shd w:val="clear" w:color="auto" w:fill="DDEBF6"/>
          </w:tcPr>
          <w:p>
            <w:pPr>
              <w:pStyle w:val="TableParagraph"/>
              <w:rPr>
                <w:rFonts w:ascii="Times New Roman"/>
                <w:sz w:val="18"/>
              </w:rPr>
            </w:pPr>
          </w:p>
        </w:tc>
        <w:tc>
          <w:tcPr>
            <w:tcW w:w="1122" w:type="dxa"/>
            <w:tcBorders>
              <w:top w:val="single" w:sz="2" w:space="0" w:color="000000"/>
            </w:tcBorders>
          </w:tcPr>
          <w:p>
            <w:pPr>
              <w:pStyle w:val="TableParagraph"/>
              <w:rPr>
                <w:rFonts w:ascii="Times New Roman"/>
                <w:sz w:val="18"/>
              </w:rPr>
            </w:pPr>
          </w:p>
        </w:tc>
        <w:tc>
          <w:tcPr>
            <w:tcW w:w="1241" w:type="dxa"/>
            <w:tcBorders>
              <w:top w:val="single" w:sz="2" w:space="0" w:color="000000"/>
            </w:tcBorders>
          </w:tcPr>
          <w:p>
            <w:pPr>
              <w:pStyle w:val="TableParagraph"/>
              <w:rPr>
                <w:rFonts w:ascii="Times New Roman"/>
                <w:sz w:val="18"/>
              </w:rPr>
            </w:pPr>
          </w:p>
        </w:tc>
        <w:tc>
          <w:tcPr>
            <w:tcW w:w="1116" w:type="dxa"/>
            <w:tcBorders>
              <w:top w:val="single" w:sz="2" w:space="0" w:color="000000"/>
              <w:right w:val="single" w:sz="12" w:space="0" w:color="000000"/>
            </w:tcBorders>
          </w:tcPr>
          <w:p>
            <w:pPr>
              <w:pStyle w:val="TableParagraph"/>
              <w:rPr>
                <w:rFonts w:ascii="Times New Roman"/>
                <w:sz w:val="18"/>
              </w:rPr>
            </w:pPr>
          </w:p>
        </w:tc>
      </w:tr>
      <w:tr>
        <w:trPr>
          <w:trHeight w:val="481" w:hRule="atLeast"/>
        </w:trPr>
        <w:tc>
          <w:tcPr>
            <w:tcW w:w="4896" w:type="dxa"/>
            <w:tcBorders>
              <w:left w:val="single" w:sz="12" w:space="0" w:color="000000"/>
            </w:tcBorders>
          </w:tcPr>
          <w:p>
            <w:pPr>
              <w:pStyle w:val="TableParagraph"/>
              <w:spacing w:line="228" w:lineRule="exact" w:before="5"/>
              <w:ind w:left="107" w:right="781"/>
              <w:rPr>
                <w:sz w:val="20"/>
              </w:rPr>
            </w:pPr>
            <w:r>
              <w:rPr>
                <w:sz w:val="20"/>
              </w:rPr>
              <w:t>Payments</w:t>
            </w:r>
            <w:r>
              <w:rPr>
                <w:spacing w:val="-6"/>
                <w:sz w:val="20"/>
              </w:rPr>
              <w:t> </w:t>
            </w:r>
            <w:r>
              <w:rPr>
                <w:sz w:val="20"/>
              </w:rPr>
              <w:t>for</w:t>
            </w:r>
            <w:r>
              <w:rPr>
                <w:spacing w:val="-6"/>
                <w:sz w:val="20"/>
              </w:rPr>
              <w:t> </w:t>
            </w:r>
            <w:r>
              <w:rPr>
                <w:sz w:val="20"/>
              </w:rPr>
              <w:t>property,</w:t>
            </w:r>
            <w:r>
              <w:rPr>
                <w:spacing w:val="-7"/>
                <w:sz w:val="20"/>
              </w:rPr>
              <w:t> </w:t>
            </w:r>
            <w:r>
              <w:rPr>
                <w:sz w:val="20"/>
              </w:rPr>
              <w:t>infrastructure,</w:t>
            </w:r>
            <w:r>
              <w:rPr>
                <w:spacing w:val="-8"/>
                <w:sz w:val="20"/>
              </w:rPr>
              <w:t> </w:t>
            </w:r>
            <w:r>
              <w:rPr>
                <w:sz w:val="20"/>
              </w:rPr>
              <w:t>plant, and equipment</w:t>
            </w:r>
          </w:p>
        </w:tc>
        <w:tc>
          <w:tcPr>
            <w:tcW w:w="1159" w:type="dxa"/>
          </w:tcPr>
          <w:p>
            <w:pPr>
              <w:pStyle w:val="TableParagraph"/>
              <w:spacing w:before="134"/>
              <w:ind w:right="92"/>
              <w:jc w:val="right"/>
              <w:rPr>
                <w:b/>
                <w:sz w:val="20"/>
              </w:rPr>
            </w:pPr>
            <w:r>
              <w:rPr>
                <w:b/>
                <w:spacing w:val="-2"/>
                <w:sz w:val="20"/>
              </w:rPr>
              <w:t>(71,487)</w:t>
            </w:r>
          </w:p>
        </w:tc>
        <w:tc>
          <w:tcPr>
            <w:tcW w:w="1205" w:type="dxa"/>
            <w:shd w:val="clear" w:color="auto" w:fill="DDEBF6"/>
          </w:tcPr>
          <w:p>
            <w:pPr>
              <w:pStyle w:val="TableParagraph"/>
              <w:spacing w:before="134"/>
              <w:ind w:right="93"/>
              <w:jc w:val="right"/>
              <w:rPr>
                <w:b/>
                <w:sz w:val="20"/>
              </w:rPr>
            </w:pPr>
            <w:r>
              <w:rPr>
                <w:b/>
                <w:spacing w:val="-2"/>
                <w:sz w:val="20"/>
              </w:rPr>
              <w:t>(45,882)</w:t>
            </w:r>
          </w:p>
        </w:tc>
        <w:tc>
          <w:tcPr>
            <w:tcW w:w="1122" w:type="dxa"/>
          </w:tcPr>
          <w:p>
            <w:pPr>
              <w:pStyle w:val="TableParagraph"/>
              <w:spacing w:before="134"/>
              <w:ind w:right="55"/>
              <w:jc w:val="right"/>
              <w:rPr>
                <w:sz w:val="20"/>
              </w:rPr>
            </w:pPr>
            <w:r>
              <w:rPr>
                <w:spacing w:val="-2"/>
                <w:sz w:val="20"/>
              </w:rPr>
              <w:t>(76,846)</w:t>
            </w:r>
          </w:p>
        </w:tc>
        <w:tc>
          <w:tcPr>
            <w:tcW w:w="1241" w:type="dxa"/>
          </w:tcPr>
          <w:p>
            <w:pPr>
              <w:pStyle w:val="TableParagraph"/>
              <w:spacing w:before="134"/>
              <w:ind w:right="137"/>
              <w:jc w:val="right"/>
              <w:rPr>
                <w:sz w:val="20"/>
              </w:rPr>
            </w:pPr>
            <w:r>
              <w:rPr>
                <w:spacing w:val="-2"/>
                <w:sz w:val="20"/>
              </w:rPr>
              <w:t>(49,416)</w:t>
            </w:r>
          </w:p>
        </w:tc>
        <w:tc>
          <w:tcPr>
            <w:tcW w:w="1116" w:type="dxa"/>
            <w:tcBorders>
              <w:right w:val="single" w:sz="12" w:space="0" w:color="000000"/>
            </w:tcBorders>
          </w:tcPr>
          <w:p>
            <w:pPr>
              <w:pStyle w:val="TableParagraph"/>
              <w:spacing w:before="134"/>
              <w:ind w:right="79"/>
              <w:jc w:val="right"/>
              <w:rPr>
                <w:b/>
                <w:sz w:val="20"/>
              </w:rPr>
            </w:pPr>
            <w:r>
              <w:rPr>
                <w:b/>
                <w:spacing w:val="-2"/>
                <w:sz w:val="20"/>
              </w:rPr>
              <w:t>(49,882)</w:t>
            </w:r>
          </w:p>
        </w:tc>
      </w:tr>
      <w:tr>
        <w:trPr>
          <w:trHeight w:val="493" w:hRule="atLeast"/>
        </w:trPr>
        <w:tc>
          <w:tcPr>
            <w:tcW w:w="4896" w:type="dxa"/>
            <w:tcBorders>
              <w:left w:val="single" w:sz="12" w:space="0" w:color="000000"/>
            </w:tcBorders>
          </w:tcPr>
          <w:p>
            <w:pPr>
              <w:pStyle w:val="TableParagraph"/>
              <w:ind w:left="107" w:right="781"/>
              <w:rPr>
                <w:sz w:val="20"/>
              </w:rPr>
            </w:pPr>
            <w:r>
              <w:rPr>
                <w:sz w:val="20"/>
              </w:rPr>
              <w:t>Proceeds from sale of property, infrastructure,</w:t>
            </w:r>
            <w:r>
              <w:rPr>
                <w:spacing w:val="-7"/>
                <w:sz w:val="20"/>
              </w:rPr>
              <w:t> </w:t>
            </w:r>
            <w:r>
              <w:rPr>
                <w:sz w:val="20"/>
              </w:rPr>
              <w:t>plant,</w:t>
            </w:r>
            <w:r>
              <w:rPr>
                <w:spacing w:val="-10"/>
                <w:sz w:val="20"/>
              </w:rPr>
              <w:t> </w:t>
            </w:r>
            <w:r>
              <w:rPr>
                <w:sz w:val="20"/>
              </w:rPr>
              <w:t>and</w:t>
            </w:r>
            <w:r>
              <w:rPr>
                <w:spacing w:val="-10"/>
                <w:sz w:val="20"/>
              </w:rPr>
              <w:t> </w:t>
            </w:r>
            <w:r>
              <w:rPr>
                <w:sz w:val="20"/>
              </w:rPr>
              <w:t>equipment</w:t>
            </w:r>
          </w:p>
        </w:tc>
        <w:tc>
          <w:tcPr>
            <w:tcW w:w="1159" w:type="dxa"/>
          </w:tcPr>
          <w:p>
            <w:pPr>
              <w:pStyle w:val="TableParagraph"/>
              <w:spacing w:before="145"/>
              <w:ind w:right="92"/>
              <w:jc w:val="right"/>
              <w:rPr>
                <w:sz w:val="20"/>
              </w:rPr>
            </w:pPr>
            <w:r>
              <w:rPr>
                <w:spacing w:val="-2"/>
                <w:sz w:val="20"/>
              </w:rPr>
              <w:t>1,160</w:t>
            </w:r>
          </w:p>
        </w:tc>
        <w:tc>
          <w:tcPr>
            <w:tcW w:w="1205" w:type="dxa"/>
            <w:shd w:val="clear" w:color="auto" w:fill="DDEBF6"/>
          </w:tcPr>
          <w:p>
            <w:pPr>
              <w:pStyle w:val="TableParagraph"/>
              <w:spacing w:before="145"/>
              <w:ind w:right="95"/>
              <w:jc w:val="right"/>
              <w:rPr>
                <w:b/>
                <w:sz w:val="20"/>
              </w:rPr>
            </w:pPr>
            <w:r>
              <w:rPr>
                <w:b/>
                <w:spacing w:val="-2"/>
                <w:sz w:val="20"/>
              </w:rPr>
              <w:t>17,371</w:t>
            </w:r>
          </w:p>
        </w:tc>
        <w:tc>
          <w:tcPr>
            <w:tcW w:w="1122" w:type="dxa"/>
          </w:tcPr>
          <w:p>
            <w:pPr>
              <w:pStyle w:val="TableParagraph"/>
              <w:spacing w:before="145"/>
              <w:ind w:right="56"/>
              <w:jc w:val="right"/>
              <w:rPr>
                <w:sz w:val="20"/>
              </w:rPr>
            </w:pPr>
            <w:r>
              <w:rPr>
                <w:spacing w:val="-5"/>
                <w:sz w:val="20"/>
              </w:rPr>
              <w:t>367</w:t>
            </w:r>
          </w:p>
        </w:tc>
        <w:tc>
          <w:tcPr>
            <w:tcW w:w="1241" w:type="dxa"/>
          </w:tcPr>
          <w:p>
            <w:pPr>
              <w:pStyle w:val="TableParagraph"/>
              <w:spacing w:before="145"/>
              <w:ind w:right="137"/>
              <w:jc w:val="right"/>
              <w:rPr>
                <w:sz w:val="20"/>
              </w:rPr>
            </w:pPr>
            <w:r>
              <w:rPr>
                <w:spacing w:val="-2"/>
                <w:sz w:val="20"/>
              </w:rPr>
              <w:t>1,038</w:t>
            </w:r>
          </w:p>
        </w:tc>
        <w:tc>
          <w:tcPr>
            <w:tcW w:w="1116" w:type="dxa"/>
            <w:tcBorders>
              <w:right w:val="single" w:sz="12" w:space="0" w:color="000000"/>
            </w:tcBorders>
          </w:tcPr>
          <w:p>
            <w:pPr>
              <w:pStyle w:val="TableParagraph"/>
              <w:spacing w:before="145"/>
              <w:ind w:right="80"/>
              <w:jc w:val="right"/>
              <w:rPr>
                <w:sz w:val="20"/>
              </w:rPr>
            </w:pPr>
            <w:r>
              <w:rPr>
                <w:spacing w:val="-5"/>
                <w:sz w:val="20"/>
              </w:rPr>
              <w:t>674</w:t>
            </w:r>
          </w:p>
        </w:tc>
      </w:tr>
      <w:tr>
        <w:trPr>
          <w:trHeight w:val="305" w:hRule="atLeast"/>
        </w:trPr>
        <w:tc>
          <w:tcPr>
            <w:tcW w:w="4896" w:type="dxa"/>
            <w:tcBorders>
              <w:left w:val="single" w:sz="12" w:space="0" w:color="000000"/>
            </w:tcBorders>
          </w:tcPr>
          <w:p>
            <w:pPr>
              <w:pStyle w:val="TableParagraph"/>
              <w:spacing w:before="29"/>
              <w:ind w:left="107"/>
              <w:rPr>
                <w:sz w:val="20"/>
              </w:rPr>
            </w:pPr>
            <w:r>
              <w:rPr>
                <w:sz w:val="20"/>
              </w:rPr>
              <w:t>Net</w:t>
            </w:r>
            <w:r>
              <w:rPr>
                <w:spacing w:val="-7"/>
                <w:sz w:val="20"/>
              </w:rPr>
              <w:t> </w:t>
            </w:r>
            <w:r>
              <w:rPr>
                <w:sz w:val="20"/>
              </w:rPr>
              <w:t>Payments/sale</w:t>
            </w:r>
            <w:r>
              <w:rPr>
                <w:spacing w:val="-6"/>
                <w:sz w:val="20"/>
              </w:rPr>
              <w:t> </w:t>
            </w:r>
            <w:r>
              <w:rPr>
                <w:sz w:val="20"/>
              </w:rPr>
              <w:t>for</w:t>
            </w:r>
            <w:r>
              <w:rPr>
                <w:spacing w:val="-3"/>
                <w:sz w:val="20"/>
              </w:rPr>
              <w:t> </w:t>
            </w:r>
            <w:r>
              <w:rPr>
                <w:spacing w:val="-2"/>
                <w:sz w:val="20"/>
              </w:rPr>
              <w:t>investments</w:t>
            </w:r>
          </w:p>
        </w:tc>
        <w:tc>
          <w:tcPr>
            <w:tcW w:w="1159" w:type="dxa"/>
            <w:tcBorders>
              <w:bottom w:val="single" w:sz="2" w:space="0" w:color="000000"/>
            </w:tcBorders>
          </w:tcPr>
          <w:p>
            <w:pPr>
              <w:pStyle w:val="TableParagraph"/>
              <w:spacing w:before="53"/>
              <w:ind w:right="94"/>
              <w:jc w:val="right"/>
              <w:rPr>
                <w:sz w:val="20"/>
              </w:rPr>
            </w:pPr>
            <w:r>
              <w:rPr>
                <w:spacing w:val="-2"/>
                <w:sz w:val="20"/>
              </w:rPr>
              <w:t>19,975</w:t>
            </w:r>
          </w:p>
        </w:tc>
        <w:tc>
          <w:tcPr>
            <w:tcW w:w="1205" w:type="dxa"/>
            <w:tcBorders>
              <w:bottom w:val="single" w:sz="2" w:space="0" w:color="000000"/>
            </w:tcBorders>
            <w:shd w:val="clear" w:color="auto" w:fill="DDEBF6"/>
          </w:tcPr>
          <w:p>
            <w:pPr>
              <w:pStyle w:val="TableParagraph"/>
              <w:spacing w:before="53"/>
              <w:ind w:right="95"/>
              <w:jc w:val="right"/>
              <w:rPr>
                <w:b/>
                <w:sz w:val="20"/>
              </w:rPr>
            </w:pPr>
            <w:r>
              <w:rPr>
                <w:b/>
                <w:spacing w:val="-2"/>
                <w:sz w:val="20"/>
              </w:rPr>
              <w:t>(4,080)</w:t>
            </w:r>
          </w:p>
        </w:tc>
        <w:tc>
          <w:tcPr>
            <w:tcW w:w="1122" w:type="dxa"/>
            <w:tcBorders>
              <w:bottom w:val="single" w:sz="2" w:space="0" w:color="000000"/>
            </w:tcBorders>
          </w:tcPr>
          <w:p>
            <w:pPr>
              <w:pStyle w:val="TableParagraph"/>
              <w:spacing w:before="53"/>
              <w:ind w:right="55"/>
              <w:jc w:val="right"/>
              <w:rPr>
                <w:sz w:val="20"/>
              </w:rPr>
            </w:pPr>
            <w:r>
              <w:rPr>
                <w:spacing w:val="-2"/>
                <w:sz w:val="20"/>
              </w:rPr>
              <w:t>3,492</w:t>
            </w:r>
          </w:p>
        </w:tc>
        <w:tc>
          <w:tcPr>
            <w:tcW w:w="1241" w:type="dxa"/>
            <w:tcBorders>
              <w:bottom w:val="single" w:sz="2" w:space="0" w:color="000000"/>
            </w:tcBorders>
          </w:tcPr>
          <w:p>
            <w:pPr>
              <w:pStyle w:val="TableParagraph"/>
              <w:spacing w:before="53"/>
              <w:ind w:right="139"/>
              <w:jc w:val="right"/>
              <w:rPr>
                <w:sz w:val="20"/>
              </w:rPr>
            </w:pPr>
            <w:r>
              <w:rPr>
                <w:spacing w:val="-2"/>
                <w:sz w:val="20"/>
              </w:rPr>
              <w:t>(1,927)</w:t>
            </w:r>
          </w:p>
        </w:tc>
        <w:tc>
          <w:tcPr>
            <w:tcW w:w="1116" w:type="dxa"/>
            <w:tcBorders>
              <w:bottom w:val="single" w:sz="2" w:space="0" w:color="000000"/>
              <w:right w:val="single" w:sz="12" w:space="0" w:color="000000"/>
            </w:tcBorders>
          </w:tcPr>
          <w:p>
            <w:pPr>
              <w:pStyle w:val="TableParagraph"/>
              <w:spacing w:before="53"/>
              <w:ind w:right="80"/>
              <w:jc w:val="right"/>
              <w:rPr>
                <w:sz w:val="20"/>
              </w:rPr>
            </w:pPr>
            <w:r>
              <w:rPr>
                <w:spacing w:val="-5"/>
                <w:sz w:val="20"/>
              </w:rPr>
              <w:t>899</w:t>
            </w:r>
          </w:p>
        </w:tc>
      </w:tr>
      <w:tr>
        <w:trPr>
          <w:trHeight w:val="230" w:hRule="atLeast"/>
        </w:trPr>
        <w:tc>
          <w:tcPr>
            <w:tcW w:w="4896" w:type="dxa"/>
            <w:tcBorders>
              <w:left w:val="single" w:sz="12" w:space="0" w:color="000000"/>
            </w:tcBorders>
          </w:tcPr>
          <w:p>
            <w:pPr>
              <w:pStyle w:val="TableParagraph"/>
              <w:tabs>
                <w:tab w:pos="4283" w:val="left" w:leader="none"/>
              </w:tabs>
              <w:spacing w:line="211" w:lineRule="exact"/>
              <w:ind w:left="107"/>
              <w:rPr>
                <w:b/>
                <w:sz w:val="20"/>
              </w:rPr>
            </w:pPr>
            <w:r>
              <w:rPr>
                <w:b/>
                <w:sz w:val="20"/>
              </w:rPr>
              <w:t>Net</w:t>
            </w:r>
            <w:r>
              <w:rPr>
                <w:b/>
                <w:spacing w:val="-4"/>
                <w:sz w:val="20"/>
              </w:rPr>
              <w:t> </w:t>
            </w:r>
            <w:r>
              <w:rPr>
                <w:b/>
                <w:sz w:val="20"/>
              </w:rPr>
              <w:t>cash</w:t>
            </w:r>
            <w:r>
              <w:rPr>
                <w:b/>
                <w:spacing w:val="-2"/>
                <w:sz w:val="20"/>
              </w:rPr>
              <w:t> </w:t>
            </w:r>
            <w:r>
              <w:rPr>
                <w:b/>
                <w:sz w:val="20"/>
              </w:rPr>
              <w:t>provided</w:t>
            </w:r>
            <w:r>
              <w:rPr>
                <w:b/>
                <w:spacing w:val="-6"/>
                <w:sz w:val="20"/>
              </w:rPr>
              <w:t> </w:t>
            </w:r>
            <w:r>
              <w:rPr>
                <w:b/>
                <w:sz w:val="20"/>
              </w:rPr>
              <w:t>by/</w:t>
            </w:r>
            <w:r>
              <w:rPr>
                <w:b/>
                <w:spacing w:val="-6"/>
                <w:sz w:val="20"/>
              </w:rPr>
              <w:t> </w:t>
            </w:r>
            <w:r>
              <w:rPr>
                <w:b/>
                <w:sz w:val="20"/>
              </w:rPr>
              <w:t>(used</w:t>
            </w:r>
            <w:r>
              <w:rPr>
                <w:b/>
                <w:spacing w:val="-5"/>
                <w:sz w:val="20"/>
              </w:rPr>
              <w:t> </w:t>
            </w:r>
            <w:r>
              <w:rPr>
                <w:b/>
                <w:sz w:val="20"/>
              </w:rPr>
              <w:t>in)</w:t>
            </w:r>
            <w:r>
              <w:rPr>
                <w:b/>
                <w:spacing w:val="-5"/>
                <w:sz w:val="20"/>
              </w:rPr>
              <w:t> </w:t>
            </w:r>
            <w:r>
              <w:rPr>
                <w:b/>
                <w:spacing w:val="-2"/>
                <w:sz w:val="20"/>
              </w:rPr>
              <w:t>investing</w:t>
            </w:r>
            <w:r>
              <w:rPr>
                <w:b/>
                <w:sz w:val="20"/>
              </w:rPr>
              <w:tab/>
            </w:r>
            <w:r>
              <w:rPr>
                <w:b/>
                <w:spacing w:val="-2"/>
                <w:position w:val="-11"/>
                <w:sz w:val="20"/>
              </w:rPr>
              <w:t>4.4.2</w:t>
            </w:r>
          </w:p>
        </w:tc>
        <w:tc>
          <w:tcPr>
            <w:tcW w:w="1159" w:type="dxa"/>
            <w:vMerge w:val="restart"/>
            <w:tcBorders>
              <w:top w:val="single" w:sz="2" w:space="0" w:color="000000"/>
              <w:bottom w:val="single" w:sz="2" w:space="0" w:color="000000"/>
            </w:tcBorders>
          </w:tcPr>
          <w:p>
            <w:pPr>
              <w:pStyle w:val="TableParagraph"/>
              <w:spacing w:before="114"/>
              <w:ind w:left="321"/>
              <w:rPr>
                <w:b/>
                <w:sz w:val="20"/>
              </w:rPr>
            </w:pPr>
            <w:r>
              <w:rPr>
                <w:b/>
                <w:spacing w:val="-2"/>
                <w:sz w:val="20"/>
              </w:rPr>
              <w:t>(50,352)</w:t>
            </w:r>
          </w:p>
        </w:tc>
        <w:tc>
          <w:tcPr>
            <w:tcW w:w="1205" w:type="dxa"/>
            <w:vMerge w:val="restart"/>
            <w:tcBorders>
              <w:top w:val="single" w:sz="2" w:space="0" w:color="000000"/>
              <w:bottom w:val="single" w:sz="2" w:space="0" w:color="000000"/>
            </w:tcBorders>
            <w:shd w:val="clear" w:color="auto" w:fill="DDEBF6"/>
          </w:tcPr>
          <w:p>
            <w:pPr>
              <w:pStyle w:val="TableParagraph"/>
              <w:spacing w:before="114"/>
              <w:ind w:left="367"/>
              <w:rPr>
                <w:b/>
                <w:sz w:val="20"/>
              </w:rPr>
            </w:pPr>
            <w:r>
              <w:rPr>
                <w:b/>
                <w:spacing w:val="-2"/>
                <w:sz w:val="20"/>
              </w:rPr>
              <w:t>(32,591)</w:t>
            </w:r>
          </w:p>
        </w:tc>
        <w:tc>
          <w:tcPr>
            <w:tcW w:w="1122" w:type="dxa"/>
            <w:vMerge w:val="restart"/>
            <w:tcBorders>
              <w:top w:val="single" w:sz="2" w:space="0" w:color="000000"/>
              <w:bottom w:val="single" w:sz="2" w:space="0" w:color="000000"/>
            </w:tcBorders>
          </w:tcPr>
          <w:p>
            <w:pPr>
              <w:pStyle w:val="TableParagraph"/>
              <w:spacing w:before="114"/>
              <w:ind w:left="321"/>
              <w:rPr>
                <w:b/>
                <w:sz w:val="20"/>
              </w:rPr>
            </w:pPr>
            <w:r>
              <w:rPr>
                <w:b/>
                <w:spacing w:val="-2"/>
                <w:sz w:val="20"/>
              </w:rPr>
              <w:t>(72,987)</w:t>
            </w:r>
          </w:p>
        </w:tc>
        <w:tc>
          <w:tcPr>
            <w:tcW w:w="1241" w:type="dxa"/>
            <w:vMerge w:val="restart"/>
            <w:tcBorders>
              <w:top w:val="single" w:sz="2" w:space="0" w:color="000000"/>
              <w:bottom w:val="single" w:sz="2" w:space="0" w:color="000000"/>
            </w:tcBorders>
          </w:tcPr>
          <w:p>
            <w:pPr>
              <w:pStyle w:val="TableParagraph"/>
              <w:spacing w:before="114"/>
              <w:ind w:left="358"/>
              <w:rPr>
                <w:b/>
                <w:sz w:val="20"/>
              </w:rPr>
            </w:pPr>
            <w:r>
              <w:rPr>
                <w:b/>
                <w:spacing w:val="-2"/>
                <w:sz w:val="20"/>
              </w:rPr>
              <w:t>(50,305)</w:t>
            </w:r>
          </w:p>
        </w:tc>
        <w:tc>
          <w:tcPr>
            <w:tcW w:w="1116" w:type="dxa"/>
            <w:vMerge w:val="restart"/>
            <w:tcBorders>
              <w:top w:val="single" w:sz="2" w:space="0" w:color="000000"/>
              <w:bottom w:val="single" w:sz="2" w:space="0" w:color="000000"/>
              <w:right w:val="single" w:sz="12" w:space="0" w:color="000000"/>
            </w:tcBorders>
          </w:tcPr>
          <w:p>
            <w:pPr>
              <w:pStyle w:val="TableParagraph"/>
              <w:spacing w:before="114"/>
              <w:ind w:left="262"/>
              <w:rPr>
                <w:b/>
                <w:sz w:val="20"/>
              </w:rPr>
            </w:pPr>
            <w:r>
              <w:rPr>
                <w:b/>
                <w:spacing w:val="-2"/>
                <w:sz w:val="20"/>
              </w:rPr>
              <w:t>(48,309)</w:t>
            </w:r>
          </w:p>
        </w:tc>
      </w:tr>
      <w:tr>
        <w:trPr>
          <w:trHeight w:val="224" w:hRule="atLeast"/>
        </w:trPr>
        <w:tc>
          <w:tcPr>
            <w:tcW w:w="4896" w:type="dxa"/>
            <w:tcBorders>
              <w:left w:val="single" w:sz="12" w:space="0" w:color="000000"/>
            </w:tcBorders>
          </w:tcPr>
          <w:p>
            <w:pPr>
              <w:pStyle w:val="TableParagraph"/>
              <w:spacing w:line="205" w:lineRule="exact"/>
              <w:ind w:left="107"/>
              <w:rPr>
                <w:b/>
                <w:sz w:val="20"/>
              </w:rPr>
            </w:pPr>
            <w:r>
              <w:rPr>
                <w:b/>
                <w:spacing w:val="-2"/>
                <w:sz w:val="20"/>
              </w:rPr>
              <w:t>activities</w:t>
            </w:r>
          </w:p>
        </w:tc>
        <w:tc>
          <w:tcPr>
            <w:tcW w:w="1159" w:type="dxa"/>
            <w:vMerge/>
            <w:tcBorders>
              <w:top w:val="nil"/>
              <w:bottom w:val="single" w:sz="2" w:space="0" w:color="000000"/>
            </w:tcBorders>
          </w:tcPr>
          <w:p>
            <w:pPr>
              <w:rPr>
                <w:sz w:val="2"/>
                <w:szCs w:val="2"/>
              </w:rPr>
            </w:pPr>
          </w:p>
        </w:tc>
        <w:tc>
          <w:tcPr>
            <w:tcW w:w="1205" w:type="dxa"/>
            <w:vMerge/>
            <w:tcBorders>
              <w:top w:val="nil"/>
              <w:bottom w:val="single" w:sz="2" w:space="0" w:color="000000"/>
            </w:tcBorders>
            <w:shd w:val="clear" w:color="auto" w:fill="DDEBF6"/>
          </w:tcPr>
          <w:p>
            <w:pPr>
              <w:rPr>
                <w:sz w:val="2"/>
                <w:szCs w:val="2"/>
              </w:rPr>
            </w:pPr>
          </w:p>
        </w:tc>
        <w:tc>
          <w:tcPr>
            <w:tcW w:w="1122" w:type="dxa"/>
            <w:vMerge/>
            <w:tcBorders>
              <w:top w:val="nil"/>
              <w:bottom w:val="single" w:sz="2" w:space="0" w:color="000000"/>
            </w:tcBorders>
          </w:tcPr>
          <w:p>
            <w:pPr>
              <w:rPr>
                <w:sz w:val="2"/>
                <w:szCs w:val="2"/>
              </w:rPr>
            </w:pPr>
          </w:p>
        </w:tc>
        <w:tc>
          <w:tcPr>
            <w:tcW w:w="1241" w:type="dxa"/>
            <w:vMerge/>
            <w:tcBorders>
              <w:top w:val="nil"/>
              <w:bottom w:val="single" w:sz="2" w:space="0" w:color="000000"/>
            </w:tcBorders>
          </w:tcPr>
          <w:p>
            <w:pPr>
              <w:rPr>
                <w:sz w:val="2"/>
                <w:szCs w:val="2"/>
              </w:rPr>
            </w:pPr>
          </w:p>
        </w:tc>
        <w:tc>
          <w:tcPr>
            <w:tcW w:w="1116" w:type="dxa"/>
            <w:vMerge/>
            <w:tcBorders>
              <w:top w:val="nil"/>
              <w:bottom w:val="single" w:sz="2" w:space="0" w:color="000000"/>
              <w:right w:val="single" w:sz="12" w:space="0" w:color="000000"/>
            </w:tcBorders>
          </w:tcPr>
          <w:p>
            <w:pPr>
              <w:rPr>
                <w:sz w:val="2"/>
                <w:szCs w:val="2"/>
              </w:rPr>
            </w:pPr>
          </w:p>
        </w:tc>
      </w:tr>
      <w:tr>
        <w:trPr>
          <w:trHeight w:val="532" w:hRule="atLeast"/>
        </w:trPr>
        <w:tc>
          <w:tcPr>
            <w:tcW w:w="4896" w:type="dxa"/>
            <w:tcBorders>
              <w:left w:val="single" w:sz="12" w:space="0" w:color="000000"/>
            </w:tcBorders>
          </w:tcPr>
          <w:p>
            <w:pPr>
              <w:pStyle w:val="TableParagraph"/>
              <w:spacing w:before="11"/>
              <w:rPr>
                <w:i/>
                <w:sz w:val="23"/>
              </w:rPr>
            </w:pPr>
          </w:p>
          <w:p>
            <w:pPr>
              <w:pStyle w:val="TableParagraph"/>
              <w:ind w:left="107"/>
              <w:rPr>
                <w:b/>
                <w:sz w:val="20"/>
              </w:rPr>
            </w:pPr>
            <w:r>
              <w:rPr>
                <w:b/>
                <w:sz w:val="20"/>
              </w:rPr>
              <w:t>Cash</w:t>
            </w:r>
            <w:r>
              <w:rPr>
                <w:b/>
                <w:spacing w:val="-6"/>
                <w:sz w:val="20"/>
              </w:rPr>
              <w:t> </w:t>
            </w:r>
            <w:r>
              <w:rPr>
                <w:b/>
                <w:sz w:val="20"/>
              </w:rPr>
              <w:t>flows</w:t>
            </w:r>
            <w:r>
              <w:rPr>
                <w:b/>
                <w:spacing w:val="-6"/>
                <w:sz w:val="20"/>
              </w:rPr>
              <w:t> </w:t>
            </w:r>
            <w:r>
              <w:rPr>
                <w:b/>
                <w:sz w:val="20"/>
              </w:rPr>
              <w:t>from</w:t>
            </w:r>
            <w:r>
              <w:rPr>
                <w:b/>
                <w:spacing w:val="-6"/>
                <w:sz w:val="20"/>
              </w:rPr>
              <w:t> </w:t>
            </w:r>
            <w:r>
              <w:rPr>
                <w:b/>
                <w:sz w:val="20"/>
              </w:rPr>
              <w:t>financing</w:t>
            </w:r>
            <w:r>
              <w:rPr>
                <w:b/>
                <w:spacing w:val="-6"/>
                <w:sz w:val="20"/>
              </w:rPr>
              <w:t> </w:t>
            </w:r>
            <w:r>
              <w:rPr>
                <w:b/>
                <w:spacing w:val="-2"/>
                <w:sz w:val="20"/>
              </w:rPr>
              <w:t>activities</w:t>
            </w:r>
          </w:p>
        </w:tc>
        <w:tc>
          <w:tcPr>
            <w:tcW w:w="1159" w:type="dxa"/>
            <w:tcBorders>
              <w:top w:val="single" w:sz="2" w:space="0" w:color="000000"/>
            </w:tcBorders>
          </w:tcPr>
          <w:p>
            <w:pPr>
              <w:pStyle w:val="TableParagraph"/>
              <w:rPr>
                <w:rFonts w:ascii="Times New Roman"/>
                <w:sz w:val="18"/>
              </w:rPr>
            </w:pPr>
          </w:p>
        </w:tc>
        <w:tc>
          <w:tcPr>
            <w:tcW w:w="1205" w:type="dxa"/>
            <w:tcBorders>
              <w:top w:val="single" w:sz="2" w:space="0" w:color="000000"/>
            </w:tcBorders>
            <w:shd w:val="clear" w:color="auto" w:fill="DDEBF6"/>
          </w:tcPr>
          <w:p>
            <w:pPr>
              <w:pStyle w:val="TableParagraph"/>
              <w:rPr>
                <w:rFonts w:ascii="Times New Roman"/>
                <w:sz w:val="18"/>
              </w:rPr>
            </w:pPr>
          </w:p>
        </w:tc>
        <w:tc>
          <w:tcPr>
            <w:tcW w:w="1122" w:type="dxa"/>
            <w:tcBorders>
              <w:top w:val="single" w:sz="2" w:space="0" w:color="000000"/>
            </w:tcBorders>
          </w:tcPr>
          <w:p>
            <w:pPr>
              <w:pStyle w:val="TableParagraph"/>
              <w:rPr>
                <w:rFonts w:ascii="Times New Roman"/>
                <w:sz w:val="18"/>
              </w:rPr>
            </w:pPr>
          </w:p>
        </w:tc>
        <w:tc>
          <w:tcPr>
            <w:tcW w:w="1241" w:type="dxa"/>
            <w:tcBorders>
              <w:top w:val="single" w:sz="2" w:space="0" w:color="000000"/>
            </w:tcBorders>
          </w:tcPr>
          <w:p>
            <w:pPr>
              <w:pStyle w:val="TableParagraph"/>
              <w:rPr>
                <w:rFonts w:ascii="Times New Roman"/>
                <w:sz w:val="18"/>
              </w:rPr>
            </w:pPr>
          </w:p>
        </w:tc>
        <w:tc>
          <w:tcPr>
            <w:tcW w:w="1116" w:type="dxa"/>
            <w:tcBorders>
              <w:top w:val="single" w:sz="2" w:space="0" w:color="000000"/>
              <w:right w:val="single" w:sz="12" w:space="0" w:color="000000"/>
            </w:tcBorders>
          </w:tcPr>
          <w:p>
            <w:pPr>
              <w:pStyle w:val="TableParagraph"/>
              <w:rPr>
                <w:rFonts w:ascii="Times New Roman"/>
                <w:sz w:val="18"/>
              </w:rPr>
            </w:pPr>
          </w:p>
        </w:tc>
      </w:tr>
      <w:tr>
        <w:trPr>
          <w:trHeight w:val="286" w:hRule="atLeast"/>
        </w:trPr>
        <w:tc>
          <w:tcPr>
            <w:tcW w:w="4896" w:type="dxa"/>
            <w:tcBorders>
              <w:left w:val="single" w:sz="12" w:space="0" w:color="000000"/>
            </w:tcBorders>
          </w:tcPr>
          <w:p>
            <w:pPr>
              <w:pStyle w:val="TableParagraph"/>
              <w:spacing w:before="19"/>
              <w:ind w:left="107"/>
              <w:rPr>
                <w:sz w:val="20"/>
              </w:rPr>
            </w:pPr>
            <w:r>
              <w:rPr>
                <w:sz w:val="20"/>
              </w:rPr>
              <w:t>Finance</w:t>
            </w:r>
            <w:r>
              <w:rPr>
                <w:spacing w:val="-10"/>
                <w:sz w:val="20"/>
              </w:rPr>
              <w:t> </w:t>
            </w:r>
            <w:r>
              <w:rPr>
                <w:spacing w:val="-2"/>
                <w:sz w:val="20"/>
              </w:rPr>
              <w:t>costs</w:t>
            </w:r>
          </w:p>
        </w:tc>
        <w:tc>
          <w:tcPr>
            <w:tcW w:w="1159" w:type="dxa"/>
          </w:tcPr>
          <w:p>
            <w:pPr>
              <w:pStyle w:val="TableParagraph"/>
              <w:spacing w:line="226" w:lineRule="exact" w:before="41"/>
              <w:ind w:right="95"/>
              <w:jc w:val="right"/>
              <w:rPr>
                <w:sz w:val="20"/>
              </w:rPr>
            </w:pPr>
            <w:r>
              <w:rPr>
                <w:spacing w:val="-2"/>
                <w:sz w:val="20"/>
              </w:rPr>
              <w:t>(788)</w:t>
            </w:r>
          </w:p>
        </w:tc>
        <w:tc>
          <w:tcPr>
            <w:tcW w:w="1205" w:type="dxa"/>
            <w:shd w:val="clear" w:color="auto" w:fill="DDEBF6"/>
          </w:tcPr>
          <w:p>
            <w:pPr>
              <w:pStyle w:val="TableParagraph"/>
              <w:spacing w:line="226" w:lineRule="exact" w:before="41"/>
              <w:ind w:right="95"/>
              <w:jc w:val="right"/>
              <w:rPr>
                <w:b/>
                <w:sz w:val="20"/>
              </w:rPr>
            </w:pPr>
            <w:r>
              <w:rPr>
                <w:b/>
                <w:spacing w:val="-2"/>
                <w:sz w:val="20"/>
              </w:rPr>
              <w:t>(656)</w:t>
            </w:r>
          </w:p>
        </w:tc>
        <w:tc>
          <w:tcPr>
            <w:tcW w:w="1122" w:type="dxa"/>
          </w:tcPr>
          <w:p>
            <w:pPr>
              <w:pStyle w:val="TableParagraph"/>
              <w:spacing w:line="226" w:lineRule="exact" w:before="41"/>
              <w:ind w:right="58"/>
              <w:jc w:val="right"/>
              <w:rPr>
                <w:sz w:val="20"/>
              </w:rPr>
            </w:pPr>
            <w:r>
              <w:rPr>
                <w:spacing w:val="-2"/>
                <w:sz w:val="20"/>
              </w:rPr>
              <w:t>(919)</w:t>
            </w:r>
          </w:p>
        </w:tc>
        <w:tc>
          <w:tcPr>
            <w:tcW w:w="1241" w:type="dxa"/>
          </w:tcPr>
          <w:p>
            <w:pPr>
              <w:pStyle w:val="TableParagraph"/>
              <w:spacing w:line="226" w:lineRule="exact" w:before="41"/>
              <w:ind w:right="139"/>
              <w:jc w:val="right"/>
              <w:rPr>
                <w:sz w:val="20"/>
              </w:rPr>
            </w:pPr>
            <w:r>
              <w:rPr>
                <w:spacing w:val="-2"/>
                <w:sz w:val="20"/>
              </w:rPr>
              <w:t>(1,154)</w:t>
            </w:r>
          </w:p>
        </w:tc>
        <w:tc>
          <w:tcPr>
            <w:tcW w:w="1116" w:type="dxa"/>
            <w:tcBorders>
              <w:right w:val="single" w:sz="12" w:space="0" w:color="000000"/>
            </w:tcBorders>
          </w:tcPr>
          <w:p>
            <w:pPr>
              <w:pStyle w:val="TableParagraph"/>
              <w:spacing w:line="226" w:lineRule="exact" w:before="41"/>
              <w:ind w:right="81"/>
              <w:jc w:val="right"/>
              <w:rPr>
                <w:sz w:val="20"/>
              </w:rPr>
            </w:pPr>
            <w:r>
              <w:rPr>
                <w:spacing w:val="-2"/>
                <w:sz w:val="20"/>
              </w:rPr>
              <w:t>(1,163)</w:t>
            </w:r>
          </w:p>
        </w:tc>
      </w:tr>
      <w:tr>
        <w:trPr>
          <w:trHeight w:val="275" w:hRule="atLeast"/>
        </w:trPr>
        <w:tc>
          <w:tcPr>
            <w:tcW w:w="4896" w:type="dxa"/>
            <w:tcBorders>
              <w:left w:val="single" w:sz="12" w:space="0" w:color="000000"/>
            </w:tcBorders>
          </w:tcPr>
          <w:p>
            <w:pPr>
              <w:pStyle w:val="TableParagraph"/>
              <w:spacing w:before="8"/>
              <w:ind w:left="107"/>
              <w:rPr>
                <w:sz w:val="20"/>
              </w:rPr>
            </w:pPr>
            <w:r>
              <w:rPr>
                <w:sz w:val="20"/>
              </w:rPr>
              <w:t>Proceeds</w:t>
            </w:r>
            <w:r>
              <w:rPr>
                <w:spacing w:val="-7"/>
                <w:sz w:val="20"/>
              </w:rPr>
              <w:t> </w:t>
            </w:r>
            <w:r>
              <w:rPr>
                <w:sz w:val="20"/>
              </w:rPr>
              <w:t>from</w:t>
            </w:r>
            <w:r>
              <w:rPr>
                <w:spacing w:val="-8"/>
                <w:sz w:val="20"/>
              </w:rPr>
              <w:t> </w:t>
            </w:r>
            <w:r>
              <w:rPr>
                <w:spacing w:val="-2"/>
                <w:sz w:val="20"/>
              </w:rPr>
              <w:t>borrowings</w:t>
            </w:r>
          </w:p>
        </w:tc>
        <w:tc>
          <w:tcPr>
            <w:tcW w:w="1159" w:type="dxa"/>
          </w:tcPr>
          <w:p>
            <w:pPr>
              <w:pStyle w:val="TableParagraph"/>
              <w:spacing w:line="226" w:lineRule="exact" w:before="30"/>
              <w:ind w:right="92"/>
              <w:jc w:val="right"/>
              <w:rPr>
                <w:sz w:val="20"/>
              </w:rPr>
            </w:pPr>
            <w:r>
              <w:rPr>
                <w:w w:val="99"/>
                <w:sz w:val="20"/>
              </w:rPr>
              <w:t>-</w:t>
            </w:r>
          </w:p>
        </w:tc>
        <w:tc>
          <w:tcPr>
            <w:tcW w:w="1205" w:type="dxa"/>
            <w:shd w:val="clear" w:color="auto" w:fill="DDEBF6"/>
          </w:tcPr>
          <w:p>
            <w:pPr>
              <w:pStyle w:val="TableParagraph"/>
              <w:spacing w:line="226" w:lineRule="exact" w:before="30"/>
              <w:ind w:right="95"/>
              <w:jc w:val="right"/>
              <w:rPr>
                <w:b/>
                <w:sz w:val="20"/>
              </w:rPr>
            </w:pPr>
            <w:r>
              <w:rPr>
                <w:b/>
                <w:spacing w:val="-2"/>
                <w:sz w:val="20"/>
              </w:rPr>
              <w:t>10,000</w:t>
            </w:r>
          </w:p>
        </w:tc>
        <w:tc>
          <w:tcPr>
            <w:tcW w:w="1122" w:type="dxa"/>
          </w:tcPr>
          <w:p>
            <w:pPr>
              <w:pStyle w:val="TableParagraph"/>
              <w:spacing w:line="226" w:lineRule="exact" w:before="30"/>
              <w:ind w:right="56"/>
              <w:jc w:val="right"/>
              <w:rPr>
                <w:sz w:val="20"/>
              </w:rPr>
            </w:pPr>
            <w:r>
              <w:rPr>
                <w:spacing w:val="-2"/>
                <w:sz w:val="20"/>
              </w:rPr>
              <w:t>10,000</w:t>
            </w:r>
          </w:p>
        </w:tc>
        <w:tc>
          <w:tcPr>
            <w:tcW w:w="1241" w:type="dxa"/>
          </w:tcPr>
          <w:p>
            <w:pPr>
              <w:pStyle w:val="TableParagraph"/>
              <w:spacing w:line="226" w:lineRule="exact" w:before="30"/>
              <w:ind w:right="137"/>
              <w:jc w:val="right"/>
              <w:rPr>
                <w:sz w:val="20"/>
              </w:rPr>
            </w:pPr>
            <w:r>
              <w:rPr>
                <w:spacing w:val="-2"/>
                <w:sz w:val="20"/>
              </w:rPr>
              <w:t>5,000</w:t>
            </w:r>
          </w:p>
        </w:tc>
        <w:tc>
          <w:tcPr>
            <w:tcW w:w="1116" w:type="dxa"/>
            <w:tcBorders>
              <w:right w:val="single" w:sz="12" w:space="0" w:color="000000"/>
            </w:tcBorders>
          </w:tcPr>
          <w:p>
            <w:pPr>
              <w:pStyle w:val="TableParagraph"/>
              <w:spacing w:line="226" w:lineRule="exact" w:before="30"/>
              <w:ind w:right="78"/>
              <w:jc w:val="right"/>
              <w:rPr>
                <w:sz w:val="20"/>
              </w:rPr>
            </w:pPr>
            <w:r>
              <w:rPr>
                <w:w w:val="99"/>
                <w:sz w:val="20"/>
              </w:rPr>
              <w:t>-</w:t>
            </w:r>
          </w:p>
        </w:tc>
      </w:tr>
      <w:tr>
        <w:trPr>
          <w:trHeight w:val="275" w:hRule="atLeast"/>
        </w:trPr>
        <w:tc>
          <w:tcPr>
            <w:tcW w:w="4896" w:type="dxa"/>
            <w:tcBorders>
              <w:left w:val="single" w:sz="12" w:space="0" w:color="000000"/>
            </w:tcBorders>
          </w:tcPr>
          <w:p>
            <w:pPr>
              <w:pStyle w:val="TableParagraph"/>
              <w:spacing w:before="8"/>
              <w:ind w:left="107"/>
              <w:rPr>
                <w:sz w:val="20"/>
              </w:rPr>
            </w:pPr>
            <w:r>
              <w:rPr>
                <w:sz w:val="20"/>
              </w:rPr>
              <w:t>Repayment</w:t>
            </w:r>
            <w:r>
              <w:rPr>
                <w:spacing w:val="-5"/>
                <w:sz w:val="20"/>
              </w:rPr>
              <w:t> </w:t>
            </w:r>
            <w:r>
              <w:rPr>
                <w:sz w:val="20"/>
              </w:rPr>
              <w:t>of</w:t>
            </w:r>
            <w:r>
              <w:rPr>
                <w:spacing w:val="-7"/>
                <w:sz w:val="20"/>
              </w:rPr>
              <w:t> </w:t>
            </w:r>
            <w:r>
              <w:rPr>
                <w:spacing w:val="-2"/>
                <w:sz w:val="20"/>
              </w:rPr>
              <w:t>borrowings</w:t>
            </w:r>
          </w:p>
        </w:tc>
        <w:tc>
          <w:tcPr>
            <w:tcW w:w="1159" w:type="dxa"/>
          </w:tcPr>
          <w:p>
            <w:pPr>
              <w:pStyle w:val="TableParagraph"/>
              <w:spacing w:line="226" w:lineRule="exact" w:before="30"/>
              <w:ind w:right="94"/>
              <w:jc w:val="right"/>
              <w:rPr>
                <w:sz w:val="20"/>
              </w:rPr>
            </w:pPr>
            <w:r>
              <w:rPr>
                <w:spacing w:val="-2"/>
                <w:sz w:val="20"/>
              </w:rPr>
              <w:t>(2,962)</w:t>
            </w:r>
          </w:p>
        </w:tc>
        <w:tc>
          <w:tcPr>
            <w:tcW w:w="1205" w:type="dxa"/>
            <w:shd w:val="clear" w:color="auto" w:fill="DDEBF6"/>
          </w:tcPr>
          <w:p>
            <w:pPr>
              <w:pStyle w:val="TableParagraph"/>
              <w:spacing w:line="226" w:lineRule="exact" w:before="30"/>
              <w:ind w:right="95"/>
              <w:jc w:val="right"/>
              <w:rPr>
                <w:b/>
                <w:sz w:val="20"/>
              </w:rPr>
            </w:pPr>
            <w:r>
              <w:rPr>
                <w:b/>
                <w:spacing w:val="-2"/>
                <w:sz w:val="20"/>
              </w:rPr>
              <w:t>(3,094)</w:t>
            </w:r>
          </w:p>
        </w:tc>
        <w:tc>
          <w:tcPr>
            <w:tcW w:w="1122" w:type="dxa"/>
          </w:tcPr>
          <w:p>
            <w:pPr>
              <w:pStyle w:val="TableParagraph"/>
              <w:spacing w:line="226" w:lineRule="exact" w:before="30"/>
              <w:ind w:right="57"/>
              <w:jc w:val="right"/>
              <w:rPr>
                <w:sz w:val="20"/>
              </w:rPr>
            </w:pPr>
            <w:r>
              <w:rPr>
                <w:spacing w:val="-2"/>
                <w:sz w:val="20"/>
              </w:rPr>
              <w:t>(3,731)</w:t>
            </w:r>
          </w:p>
        </w:tc>
        <w:tc>
          <w:tcPr>
            <w:tcW w:w="1241" w:type="dxa"/>
          </w:tcPr>
          <w:p>
            <w:pPr>
              <w:pStyle w:val="TableParagraph"/>
              <w:spacing w:line="226" w:lineRule="exact" w:before="30"/>
              <w:ind w:right="139"/>
              <w:jc w:val="right"/>
              <w:rPr>
                <w:sz w:val="20"/>
              </w:rPr>
            </w:pPr>
            <w:r>
              <w:rPr>
                <w:spacing w:val="-2"/>
                <w:sz w:val="20"/>
              </w:rPr>
              <w:t>(4,395)</w:t>
            </w:r>
          </w:p>
        </w:tc>
        <w:tc>
          <w:tcPr>
            <w:tcW w:w="1116" w:type="dxa"/>
            <w:tcBorders>
              <w:right w:val="single" w:sz="12" w:space="0" w:color="000000"/>
            </w:tcBorders>
          </w:tcPr>
          <w:p>
            <w:pPr>
              <w:pStyle w:val="TableParagraph"/>
              <w:spacing w:line="226" w:lineRule="exact" w:before="30"/>
              <w:ind w:right="81"/>
              <w:jc w:val="right"/>
              <w:rPr>
                <w:sz w:val="20"/>
              </w:rPr>
            </w:pPr>
            <w:r>
              <w:rPr>
                <w:spacing w:val="-2"/>
                <w:sz w:val="20"/>
              </w:rPr>
              <w:t>(5,003)</w:t>
            </w:r>
          </w:p>
        </w:tc>
      </w:tr>
      <w:tr>
        <w:trPr>
          <w:trHeight w:val="276" w:hRule="atLeast"/>
        </w:trPr>
        <w:tc>
          <w:tcPr>
            <w:tcW w:w="4896" w:type="dxa"/>
            <w:tcBorders>
              <w:left w:val="single" w:sz="12" w:space="0" w:color="000000"/>
            </w:tcBorders>
          </w:tcPr>
          <w:p>
            <w:pPr>
              <w:pStyle w:val="TableParagraph"/>
              <w:spacing w:before="8"/>
              <w:ind w:left="107"/>
              <w:rPr>
                <w:sz w:val="20"/>
              </w:rPr>
            </w:pPr>
            <w:r>
              <w:rPr>
                <w:sz w:val="20"/>
              </w:rPr>
              <w:t>Interest</w:t>
            </w:r>
            <w:r>
              <w:rPr>
                <w:spacing w:val="-6"/>
                <w:sz w:val="20"/>
              </w:rPr>
              <w:t> </w:t>
            </w:r>
            <w:r>
              <w:rPr>
                <w:sz w:val="20"/>
              </w:rPr>
              <w:t>paid</w:t>
            </w:r>
            <w:r>
              <w:rPr>
                <w:spacing w:val="-5"/>
                <w:sz w:val="20"/>
              </w:rPr>
              <w:t> </w:t>
            </w:r>
            <w:r>
              <w:rPr>
                <w:sz w:val="20"/>
              </w:rPr>
              <w:t>-</w:t>
            </w:r>
            <w:r>
              <w:rPr>
                <w:spacing w:val="-2"/>
                <w:sz w:val="20"/>
              </w:rPr>
              <w:t> </w:t>
            </w:r>
            <w:r>
              <w:rPr>
                <w:sz w:val="20"/>
              </w:rPr>
              <w:t>lease</w:t>
            </w:r>
            <w:r>
              <w:rPr>
                <w:spacing w:val="-3"/>
                <w:sz w:val="20"/>
              </w:rPr>
              <w:t> </w:t>
            </w:r>
            <w:r>
              <w:rPr>
                <w:spacing w:val="-2"/>
                <w:sz w:val="20"/>
              </w:rPr>
              <w:t>liability</w:t>
            </w:r>
          </w:p>
        </w:tc>
        <w:tc>
          <w:tcPr>
            <w:tcW w:w="1159" w:type="dxa"/>
          </w:tcPr>
          <w:p>
            <w:pPr>
              <w:pStyle w:val="TableParagraph"/>
              <w:spacing w:line="226" w:lineRule="exact" w:before="30"/>
              <w:ind w:right="92"/>
              <w:jc w:val="right"/>
              <w:rPr>
                <w:sz w:val="20"/>
              </w:rPr>
            </w:pPr>
            <w:r>
              <w:rPr>
                <w:w w:val="99"/>
                <w:sz w:val="20"/>
              </w:rPr>
              <w:t>-</w:t>
            </w:r>
          </w:p>
        </w:tc>
        <w:tc>
          <w:tcPr>
            <w:tcW w:w="1205" w:type="dxa"/>
            <w:shd w:val="clear" w:color="auto" w:fill="DDEBF6"/>
          </w:tcPr>
          <w:p>
            <w:pPr>
              <w:pStyle w:val="TableParagraph"/>
              <w:spacing w:line="226" w:lineRule="exact" w:before="30"/>
              <w:ind w:right="95"/>
              <w:jc w:val="right"/>
              <w:rPr>
                <w:b/>
                <w:sz w:val="20"/>
              </w:rPr>
            </w:pPr>
            <w:r>
              <w:rPr>
                <w:b/>
                <w:spacing w:val="-2"/>
                <w:sz w:val="20"/>
              </w:rPr>
              <w:t>(413)</w:t>
            </w:r>
          </w:p>
        </w:tc>
        <w:tc>
          <w:tcPr>
            <w:tcW w:w="1122" w:type="dxa"/>
          </w:tcPr>
          <w:p>
            <w:pPr>
              <w:pStyle w:val="TableParagraph"/>
              <w:spacing w:line="226" w:lineRule="exact" w:before="30"/>
              <w:ind w:right="58"/>
              <w:jc w:val="right"/>
              <w:rPr>
                <w:sz w:val="20"/>
              </w:rPr>
            </w:pPr>
            <w:r>
              <w:rPr>
                <w:spacing w:val="-2"/>
                <w:sz w:val="20"/>
              </w:rPr>
              <w:t>(424)</w:t>
            </w:r>
          </w:p>
        </w:tc>
        <w:tc>
          <w:tcPr>
            <w:tcW w:w="1241" w:type="dxa"/>
          </w:tcPr>
          <w:p>
            <w:pPr>
              <w:pStyle w:val="TableParagraph"/>
              <w:spacing w:line="226" w:lineRule="exact" w:before="30"/>
              <w:ind w:right="140"/>
              <w:jc w:val="right"/>
              <w:rPr>
                <w:sz w:val="20"/>
              </w:rPr>
            </w:pPr>
            <w:r>
              <w:rPr>
                <w:spacing w:val="-2"/>
                <w:sz w:val="20"/>
              </w:rPr>
              <w:t>(436)</w:t>
            </w:r>
          </w:p>
        </w:tc>
        <w:tc>
          <w:tcPr>
            <w:tcW w:w="1116" w:type="dxa"/>
            <w:tcBorders>
              <w:right w:val="single" w:sz="12" w:space="0" w:color="000000"/>
            </w:tcBorders>
          </w:tcPr>
          <w:p>
            <w:pPr>
              <w:pStyle w:val="TableParagraph"/>
              <w:spacing w:line="226" w:lineRule="exact" w:before="30"/>
              <w:ind w:right="82"/>
              <w:jc w:val="right"/>
              <w:rPr>
                <w:sz w:val="20"/>
              </w:rPr>
            </w:pPr>
            <w:r>
              <w:rPr>
                <w:spacing w:val="-2"/>
                <w:sz w:val="20"/>
              </w:rPr>
              <w:t>(448)</w:t>
            </w:r>
          </w:p>
        </w:tc>
      </w:tr>
      <w:tr>
        <w:trPr>
          <w:trHeight w:val="284" w:hRule="atLeast"/>
        </w:trPr>
        <w:tc>
          <w:tcPr>
            <w:tcW w:w="4896" w:type="dxa"/>
            <w:tcBorders>
              <w:left w:val="single" w:sz="12" w:space="0" w:color="000000"/>
            </w:tcBorders>
          </w:tcPr>
          <w:p>
            <w:pPr>
              <w:pStyle w:val="TableParagraph"/>
              <w:spacing w:before="8"/>
              <w:ind w:left="107"/>
              <w:rPr>
                <w:sz w:val="20"/>
              </w:rPr>
            </w:pPr>
            <w:r>
              <w:rPr>
                <w:sz w:val="20"/>
              </w:rPr>
              <w:t>Repayment</w:t>
            </w:r>
            <w:r>
              <w:rPr>
                <w:spacing w:val="-5"/>
                <w:sz w:val="20"/>
              </w:rPr>
              <w:t> </w:t>
            </w:r>
            <w:r>
              <w:rPr>
                <w:sz w:val="20"/>
              </w:rPr>
              <w:t>of</w:t>
            </w:r>
            <w:r>
              <w:rPr>
                <w:spacing w:val="-4"/>
                <w:sz w:val="20"/>
              </w:rPr>
              <w:t> </w:t>
            </w:r>
            <w:r>
              <w:rPr>
                <w:sz w:val="20"/>
              </w:rPr>
              <w:t>lease</w:t>
            </w:r>
            <w:r>
              <w:rPr>
                <w:spacing w:val="-6"/>
                <w:sz w:val="20"/>
              </w:rPr>
              <w:t> </w:t>
            </w:r>
            <w:r>
              <w:rPr>
                <w:spacing w:val="-2"/>
                <w:sz w:val="20"/>
              </w:rPr>
              <w:t>liabilities</w:t>
            </w:r>
          </w:p>
        </w:tc>
        <w:tc>
          <w:tcPr>
            <w:tcW w:w="1159" w:type="dxa"/>
            <w:tcBorders>
              <w:bottom w:val="single" w:sz="2" w:space="0" w:color="000000"/>
            </w:tcBorders>
          </w:tcPr>
          <w:p>
            <w:pPr>
              <w:pStyle w:val="TableParagraph"/>
              <w:spacing w:before="30"/>
              <w:ind w:right="95"/>
              <w:jc w:val="right"/>
              <w:rPr>
                <w:sz w:val="20"/>
              </w:rPr>
            </w:pPr>
            <w:r>
              <w:rPr>
                <w:spacing w:val="-2"/>
                <w:sz w:val="20"/>
              </w:rPr>
              <w:t>(837)</w:t>
            </w:r>
          </w:p>
        </w:tc>
        <w:tc>
          <w:tcPr>
            <w:tcW w:w="1205" w:type="dxa"/>
            <w:tcBorders>
              <w:bottom w:val="single" w:sz="2" w:space="0" w:color="000000"/>
            </w:tcBorders>
            <w:shd w:val="clear" w:color="auto" w:fill="DDEBF6"/>
          </w:tcPr>
          <w:p>
            <w:pPr>
              <w:pStyle w:val="TableParagraph"/>
              <w:spacing w:before="30"/>
              <w:ind w:right="95"/>
              <w:jc w:val="right"/>
              <w:rPr>
                <w:b/>
                <w:sz w:val="20"/>
              </w:rPr>
            </w:pPr>
            <w:r>
              <w:rPr>
                <w:b/>
                <w:spacing w:val="-2"/>
                <w:sz w:val="20"/>
              </w:rPr>
              <w:t>(1,617)</w:t>
            </w:r>
          </w:p>
        </w:tc>
        <w:tc>
          <w:tcPr>
            <w:tcW w:w="1122" w:type="dxa"/>
            <w:tcBorders>
              <w:bottom w:val="single" w:sz="2" w:space="0" w:color="000000"/>
            </w:tcBorders>
          </w:tcPr>
          <w:p>
            <w:pPr>
              <w:pStyle w:val="TableParagraph"/>
              <w:spacing w:before="30"/>
              <w:ind w:right="57"/>
              <w:jc w:val="right"/>
              <w:rPr>
                <w:sz w:val="20"/>
              </w:rPr>
            </w:pPr>
            <w:r>
              <w:rPr>
                <w:spacing w:val="-2"/>
                <w:sz w:val="20"/>
              </w:rPr>
              <w:t>(1,722)</w:t>
            </w:r>
          </w:p>
        </w:tc>
        <w:tc>
          <w:tcPr>
            <w:tcW w:w="1241" w:type="dxa"/>
            <w:tcBorders>
              <w:bottom w:val="single" w:sz="2" w:space="0" w:color="000000"/>
            </w:tcBorders>
          </w:tcPr>
          <w:p>
            <w:pPr>
              <w:pStyle w:val="TableParagraph"/>
              <w:spacing w:before="30"/>
              <w:ind w:right="139"/>
              <w:jc w:val="right"/>
              <w:rPr>
                <w:sz w:val="20"/>
              </w:rPr>
            </w:pPr>
            <w:r>
              <w:rPr>
                <w:spacing w:val="-2"/>
                <w:sz w:val="20"/>
              </w:rPr>
              <w:t>(1,835)</w:t>
            </w:r>
          </w:p>
        </w:tc>
        <w:tc>
          <w:tcPr>
            <w:tcW w:w="1116" w:type="dxa"/>
            <w:tcBorders>
              <w:bottom w:val="single" w:sz="2" w:space="0" w:color="000000"/>
              <w:right w:val="single" w:sz="12" w:space="0" w:color="000000"/>
            </w:tcBorders>
          </w:tcPr>
          <w:p>
            <w:pPr>
              <w:pStyle w:val="TableParagraph"/>
              <w:spacing w:before="30"/>
              <w:ind w:right="81"/>
              <w:jc w:val="right"/>
              <w:rPr>
                <w:sz w:val="20"/>
              </w:rPr>
            </w:pPr>
            <w:r>
              <w:rPr>
                <w:spacing w:val="-2"/>
                <w:sz w:val="20"/>
              </w:rPr>
              <w:t>(1,869)</w:t>
            </w:r>
          </w:p>
        </w:tc>
      </w:tr>
      <w:tr>
        <w:trPr>
          <w:trHeight w:val="230" w:hRule="atLeast"/>
        </w:trPr>
        <w:tc>
          <w:tcPr>
            <w:tcW w:w="4896" w:type="dxa"/>
            <w:tcBorders>
              <w:left w:val="single" w:sz="12" w:space="0" w:color="000000"/>
            </w:tcBorders>
          </w:tcPr>
          <w:p>
            <w:pPr>
              <w:pStyle w:val="TableParagraph"/>
              <w:tabs>
                <w:tab w:pos="4725" w:val="right" w:leader="none"/>
              </w:tabs>
              <w:spacing w:line="211" w:lineRule="exact"/>
              <w:ind w:left="107"/>
              <w:rPr>
                <w:b/>
                <w:sz w:val="20"/>
              </w:rPr>
            </w:pPr>
            <w:r>
              <w:rPr>
                <w:b/>
                <w:sz w:val="20"/>
              </w:rPr>
              <w:t>Net</w:t>
            </w:r>
            <w:r>
              <w:rPr>
                <w:b/>
                <w:spacing w:val="-5"/>
                <w:sz w:val="20"/>
              </w:rPr>
              <w:t> </w:t>
            </w:r>
            <w:r>
              <w:rPr>
                <w:b/>
                <w:sz w:val="20"/>
              </w:rPr>
              <w:t>cash</w:t>
            </w:r>
            <w:r>
              <w:rPr>
                <w:b/>
                <w:spacing w:val="-3"/>
                <w:sz w:val="20"/>
              </w:rPr>
              <w:t> </w:t>
            </w:r>
            <w:r>
              <w:rPr>
                <w:b/>
                <w:sz w:val="20"/>
              </w:rPr>
              <w:t>provided</w:t>
            </w:r>
            <w:r>
              <w:rPr>
                <w:b/>
                <w:spacing w:val="-6"/>
                <w:sz w:val="20"/>
              </w:rPr>
              <w:t> </w:t>
            </w:r>
            <w:r>
              <w:rPr>
                <w:b/>
                <w:sz w:val="20"/>
              </w:rPr>
              <w:t>by/</w:t>
            </w:r>
            <w:r>
              <w:rPr>
                <w:b/>
                <w:spacing w:val="-6"/>
                <w:sz w:val="20"/>
              </w:rPr>
              <w:t> </w:t>
            </w:r>
            <w:r>
              <w:rPr>
                <w:b/>
                <w:sz w:val="20"/>
              </w:rPr>
              <w:t>(used</w:t>
            </w:r>
            <w:r>
              <w:rPr>
                <w:b/>
                <w:spacing w:val="-6"/>
                <w:sz w:val="20"/>
              </w:rPr>
              <w:t> </w:t>
            </w:r>
            <w:r>
              <w:rPr>
                <w:b/>
                <w:spacing w:val="-5"/>
                <w:sz w:val="20"/>
              </w:rPr>
              <w:t>in)</w:t>
            </w:r>
            <w:r>
              <w:rPr>
                <w:rFonts w:ascii="Times New Roman"/>
                <w:sz w:val="20"/>
              </w:rPr>
              <w:tab/>
            </w:r>
            <w:r>
              <w:rPr>
                <w:b/>
                <w:spacing w:val="-2"/>
                <w:position w:val="-11"/>
                <w:sz w:val="20"/>
              </w:rPr>
              <w:t>4.4.3</w:t>
            </w:r>
          </w:p>
        </w:tc>
        <w:tc>
          <w:tcPr>
            <w:tcW w:w="1159" w:type="dxa"/>
            <w:vMerge w:val="restart"/>
            <w:tcBorders>
              <w:top w:val="single" w:sz="2" w:space="0" w:color="000000"/>
              <w:bottom w:val="single" w:sz="2" w:space="0" w:color="000000"/>
            </w:tcBorders>
          </w:tcPr>
          <w:p>
            <w:pPr>
              <w:pStyle w:val="TableParagraph"/>
              <w:spacing w:before="114"/>
              <w:ind w:left="432"/>
              <w:rPr>
                <w:b/>
                <w:sz w:val="20"/>
              </w:rPr>
            </w:pPr>
            <w:r>
              <w:rPr>
                <w:b/>
                <w:spacing w:val="-2"/>
                <w:sz w:val="20"/>
              </w:rPr>
              <w:t>(4,587)</w:t>
            </w:r>
          </w:p>
        </w:tc>
        <w:tc>
          <w:tcPr>
            <w:tcW w:w="1205" w:type="dxa"/>
            <w:vMerge w:val="restart"/>
            <w:tcBorders>
              <w:top w:val="single" w:sz="2" w:space="0" w:color="000000"/>
              <w:bottom w:val="single" w:sz="2" w:space="0" w:color="000000"/>
            </w:tcBorders>
            <w:shd w:val="clear" w:color="auto" w:fill="DDEBF6"/>
          </w:tcPr>
          <w:p>
            <w:pPr>
              <w:pStyle w:val="TableParagraph"/>
              <w:spacing w:before="114"/>
              <w:ind w:left="609"/>
              <w:rPr>
                <w:b/>
                <w:sz w:val="20"/>
              </w:rPr>
            </w:pPr>
            <w:r>
              <w:rPr>
                <w:b/>
                <w:spacing w:val="-2"/>
                <w:sz w:val="20"/>
              </w:rPr>
              <w:t>4,220</w:t>
            </w:r>
          </w:p>
        </w:tc>
        <w:tc>
          <w:tcPr>
            <w:tcW w:w="1122" w:type="dxa"/>
            <w:vMerge w:val="restart"/>
            <w:tcBorders>
              <w:top w:val="single" w:sz="2" w:space="0" w:color="000000"/>
              <w:bottom w:val="single" w:sz="2" w:space="0" w:color="000000"/>
            </w:tcBorders>
          </w:tcPr>
          <w:p>
            <w:pPr>
              <w:pStyle w:val="TableParagraph"/>
              <w:spacing w:before="114"/>
              <w:ind w:left="564"/>
              <w:rPr>
                <w:b/>
                <w:sz w:val="20"/>
              </w:rPr>
            </w:pPr>
            <w:r>
              <w:rPr>
                <w:b/>
                <w:spacing w:val="-2"/>
                <w:sz w:val="20"/>
              </w:rPr>
              <w:t>3,204</w:t>
            </w:r>
          </w:p>
        </w:tc>
        <w:tc>
          <w:tcPr>
            <w:tcW w:w="1241" w:type="dxa"/>
            <w:vMerge w:val="restart"/>
            <w:tcBorders>
              <w:top w:val="single" w:sz="2" w:space="0" w:color="000000"/>
              <w:bottom w:val="single" w:sz="2" w:space="0" w:color="000000"/>
            </w:tcBorders>
          </w:tcPr>
          <w:p>
            <w:pPr>
              <w:pStyle w:val="TableParagraph"/>
              <w:spacing w:before="114"/>
              <w:ind w:left="469"/>
              <w:rPr>
                <w:b/>
                <w:sz w:val="20"/>
              </w:rPr>
            </w:pPr>
            <w:r>
              <w:rPr>
                <w:b/>
                <w:spacing w:val="-2"/>
                <w:sz w:val="20"/>
              </w:rPr>
              <w:t>(2,820)</w:t>
            </w:r>
          </w:p>
        </w:tc>
        <w:tc>
          <w:tcPr>
            <w:tcW w:w="1116" w:type="dxa"/>
            <w:vMerge w:val="restart"/>
            <w:tcBorders>
              <w:top w:val="single" w:sz="2" w:space="0" w:color="000000"/>
              <w:bottom w:val="single" w:sz="2" w:space="0" w:color="000000"/>
              <w:right w:val="single" w:sz="12" w:space="0" w:color="000000"/>
            </w:tcBorders>
          </w:tcPr>
          <w:p>
            <w:pPr>
              <w:pStyle w:val="TableParagraph"/>
              <w:spacing w:before="114"/>
              <w:ind w:left="372"/>
              <w:rPr>
                <w:b/>
                <w:sz w:val="20"/>
              </w:rPr>
            </w:pPr>
            <w:r>
              <w:rPr>
                <w:b/>
                <w:spacing w:val="-2"/>
                <w:sz w:val="20"/>
              </w:rPr>
              <w:t>(8,483)</w:t>
            </w:r>
          </w:p>
        </w:tc>
      </w:tr>
      <w:tr>
        <w:trPr>
          <w:trHeight w:val="224" w:hRule="atLeast"/>
        </w:trPr>
        <w:tc>
          <w:tcPr>
            <w:tcW w:w="4896" w:type="dxa"/>
            <w:tcBorders>
              <w:left w:val="single" w:sz="12" w:space="0" w:color="000000"/>
            </w:tcBorders>
          </w:tcPr>
          <w:p>
            <w:pPr>
              <w:pStyle w:val="TableParagraph"/>
              <w:spacing w:line="205" w:lineRule="exact"/>
              <w:ind w:left="107"/>
              <w:rPr>
                <w:b/>
                <w:sz w:val="20"/>
              </w:rPr>
            </w:pPr>
            <w:r>
              <w:rPr>
                <w:b/>
                <w:sz w:val="20"/>
              </w:rPr>
              <w:t>financing</w:t>
            </w:r>
            <w:r>
              <w:rPr>
                <w:b/>
                <w:spacing w:val="-12"/>
                <w:sz w:val="20"/>
              </w:rPr>
              <w:t> </w:t>
            </w:r>
            <w:r>
              <w:rPr>
                <w:b/>
                <w:spacing w:val="-2"/>
                <w:sz w:val="20"/>
              </w:rPr>
              <w:t>activities</w:t>
            </w:r>
          </w:p>
        </w:tc>
        <w:tc>
          <w:tcPr>
            <w:tcW w:w="1159" w:type="dxa"/>
            <w:vMerge/>
            <w:tcBorders>
              <w:top w:val="nil"/>
              <w:bottom w:val="single" w:sz="2" w:space="0" w:color="000000"/>
            </w:tcBorders>
          </w:tcPr>
          <w:p>
            <w:pPr>
              <w:rPr>
                <w:sz w:val="2"/>
                <w:szCs w:val="2"/>
              </w:rPr>
            </w:pPr>
          </w:p>
        </w:tc>
        <w:tc>
          <w:tcPr>
            <w:tcW w:w="1205" w:type="dxa"/>
            <w:vMerge/>
            <w:tcBorders>
              <w:top w:val="nil"/>
              <w:bottom w:val="single" w:sz="2" w:space="0" w:color="000000"/>
            </w:tcBorders>
            <w:shd w:val="clear" w:color="auto" w:fill="DDEBF6"/>
          </w:tcPr>
          <w:p>
            <w:pPr>
              <w:rPr>
                <w:sz w:val="2"/>
                <w:szCs w:val="2"/>
              </w:rPr>
            </w:pPr>
          </w:p>
        </w:tc>
        <w:tc>
          <w:tcPr>
            <w:tcW w:w="1122" w:type="dxa"/>
            <w:vMerge/>
            <w:tcBorders>
              <w:top w:val="nil"/>
              <w:bottom w:val="single" w:sz="2" w:space="0" w:color="000000"/>
            </w:tcBorders>
          </w:tcPr>
          <w:p>
            <w:pPr>
              <w:rPr>
                <w:sz w:val="2"/>
                <w:szCs w:val="2"/>
              </w:rPr>
            </w:pPr>
          </w:p>
        </w:tc>
        <w:tc>
          <w:tcPr>
            <w:tcW w:w="1241" w:type="dxa"/>
            <w:vMerge/>
            <w:tcBorders>
              <w:top w:val="nil"/>
              <w:bottom w:val="single" w:sz="2" w:space="0" w:color="000000"/>
            </w:tcBorders>
          </w:tcPr>
          <w:p>
            <w:pPr>
              <w:rPr>
                <w:sz w:val="2"/>
                <w:szCs w:val="2"/>
              </w:rPr>
            </w:pPr>
          </w:p>
        </w:tc>
        <w:tc>
          <w:tcPr>
            <w:tcW w:w="1116" w:type="dxa"/>
            <w:vMerge/>
            <w:tcBorders>
              <w:top w:val="nil"/>
              <w:bottom w:val="single" w:sz="2" w:space="0" w:color="000000"/>
              <w:right w:val="single" w:sz="12" w:space="0" w:color="000000"/>
            </w:tcBorders>
          </w:tcPr>
          <w:p>
            <w:pPr>
              <w:rPr>
                <w:sz w:val="2"/>
                <w:szCs w:val="2"/>
              </w:rPr>
            </w:pPr>
          </w:p>
        </w:tc>
      </w:tr>
      <w:tr>
        <w:trPr>
          <w:trHeight w:val="462" w:hRule="atLeast"/>
        </w:trPr>
        <w:tc>
          <w:tcPr>
            <w:tcW w:w="4896" w:type="dxa"/>
            <w:tcBorders>
              <w:left w:val="single" w:sz="12" w:space="0" w:color="000000"/>
            </w:tcBorders>
          </w:tcPr>
          <w:p>
            <w:pPr>
              <w:pStyle w:val="TableParagraph"/>
              <w:spacing w:line="230" w:lineRule="exact"/>
              <w:ind w:left="107" w:right="781"/>
              <w:rPr>
                <w:b/>
                <w:sz w:val="20"/>
              </w:rPr>
            </w:pPr>
            <w:r>
              <w:rPr>
                <w:b/>
                <w:sz w:val="20"/>
              </w:rPr>
              <w:t>Net</w:t>
            </w:r>
            <w:r>
              <w:rPr>
                <w:b/>
                <w:spacing w:val="-5"/>
                <w:sz w:val="20"/>
              </w:rPr>
              <w:t> </w:t>
            </w:r>
            <w:r>
              <w:rPr>
                <w:b/>
                <w:sz w:val="20"/>
              </w:rPr>
              <w:t>increase/(decrease)</w:t>
            </w:r>
            <w:r>
              <w:rPr>
                <w:b/>
                <w:spacing w:val="-7"/>
                <w:sz w:val="20"/>
              </w:rPr>
              <w:t> </w:t>
            </w:r>
            <w:r>
              <w:rPr>
                <w:b/>
                <w:sz w:val="20"/>
              </w:rPr>
              <w:t>in</w:t>
            </w:r>
            <w:r>
              <w:rPr>
                <w:b/>
                <w:spacing w:val="-6"/>
                <w:sz w:val="20"/>
              </w:rPr>
              <w:t> </w:t>
            </w:r>
            <w:r>
              <w:rPr>
                <w:b/>
                <w:sz w:val="20"/>
              </w:rPr>
              <w:t>cash</w:t>
            </w:r>
            <w:r>
              <w:rPr>
                <w:b/>
                <w:spacing w:val="-5"/>
                <w:sz w:val="20"/>
              </w:rPr>
              <w:t> </w:t>
            </w:r>
            <w:r>
              <w:rPr>
                <w:b/>
                <w:sz w:val="20"/>
              </w:rPr>
              <w:t>&amp;</w:t>
            </w:r>
            <w:r>
              <w:rPr>
                <w:b/>
                <w:spacing w:val="-5"/>
                <w:sz w:val="20"/>
              </w:rPr>
              <w:t> </w:t>
            </w:r>
            <w:r>
              <w:rPr>
                <w:b/>
                <w:sz w:val="20"/>
              </w:rPr>
              <w:t>cash </w:t>
            </w:r>
            <w:r>
              <w:rPr>
                <w:b/>
                <w:spacing w:val="-2"/>
                <w:sz w:val="20"/>
              </w:rPr>
              <w:t>equivalents</w:t>
            </w:r>
          </w:p>
        </w:tc>
        <w:tc>
          <w:tcPr>
            <w:tcW w:w="1159" w:type="dxa"/>
            <w:tcBorders>
              <w:top w:val="single" w:sz="2" w:space="0" w:color="000000"/>
            </w:tcBorders>
          </w:tcPr>
          <w:p>
            <w:pPr>
              <w:pStyle w:val="TableParagraph"/>
              <w:spacing w:before="114"/>
              <w:ind w:right="92"/>
              <w:jc w:val="right"/>
              <w:rPr>
                <w:sz w:val="20"/>
              </w:rPr>
            </w:pPr>
            <w:r>
              <w:rPr>
                <w:spacing w:val="-2"/>
                <w:sz w:val="20"/>
              </w:rPr>
              <w:t>(27,409)</w:t>
            </w:r>
          </w:p>
        </w:tc>
        <w:tc>
          <w:tcPr>
            <w:tcW w:w="1205" w:type="dxa"/>
            <w:tcBorders>
              <w:top w:val="single" w:sz="2" w:space="0" w:color="000000"/>
            </w:tcBorders>
            <w:shd w:val="clear" w:color="auto" w:fill="DDEBF6"/>
          </w:tcPr>
          <w:p>
            <w:pPr>
              <w:pStyle w:val="TableParagraph"/>
              <w:spacing w:before="114"/>
              <w:ind w:right="95"/>
              <w:jc w:val="right"/>
              <w:rPr>
                <w:sz w:val="20"/>
              </w:rPr>
            </w:pPr>
            <w:r>
              <w:rPr>
                <w:spacing w:val="-2"/>
                <w:sz w:val="20"/>
              </w:rPr>
              <w:t>10,117</w:t>
            </w:r>
          </w:p>
        </w:tc>
        <w:tc>
          <w:tcPr>
            <w:tcW w:w="1122" w:type="dxa"/>
            <w:tcBorders>
              <w:top w:val="single" w:sz="2" w:space="0" w:color="000000"/>
            </w:tcBorders>
          </w:tcPr>
          <w:p>
            <w:pPr>
              <w:pStyle w:val="TableParagraph"/>
              <w:spacing w:before="114"/>
              <w:ind w:right="57"/>
              <w:jc w:val="right"/>
              <w:rPr>
                <w:sz w:val="20"/>
              </w:rPr>
            </w:pPr>
            <w:r>
              <w:rPr>
                <w:spacing w:val="-2"/>
                <w:sz w:val="20"/>
              </w:rPr>
              <w:t>(7,280)</w:t>
            </w:r>
          </w:p>
        </w:tc>
        <w:tc>
          <w:tcPr>
            <w:tcW w:w="1241" w:type="dxa"/>
            <w:tcBorders>
              <w:top w:val="single" w:sz="2" w:space="0" w:color="000000"/>
            </w:tcBorders>
          </w:tcPr>
          <w:p>
            <w:pPr>
              <w:pStyle w:val="TableParagraph"/>
              <w:spacing w:before="114"/>
              <w:ind w:right="139"/>
              <w:jc w:val="right"/>
              <w:rPr>
                <w:sz w:val="20"/>
              </w:rPr>
            </w:pPr>
            <w:r>
              <w:rPr>
                <w:spacing w:val="-2"/>
                <w:sz w:val="20"/>
              </w:rPr>
              <w:t>(1,539)</w:t>
            </w:r>
          </w:p>
        </w:tc>
        <w:tc>
          <w:tcPr>
            <w:tcW w:w="1116" w:type="dxa"/>
            <w:tcBorders>
              <w:top w:val="single" w:sz="2" w:space="0" w:color="000000"/>
              <w:right w:val="single" w:sz="12" w:space="0" w:color="000000"/>
            </w:tcBorders>
          </w:tcPr>
          <w:p>
            <w:pPr>
              <w:pStyle w:val="TableParagraph"/>
              <w:spacing w:before="114"/>
              <w:ind w:right="81"/>
              <w:jc w:val="right"/>
              <w:rPr>
                <w:sz w:val="20"/>
              </w:rPr>
            </w:pPr>
            <w:r>
              <w:rPr>
                <w:spacing w:val="-2"/>
                <w:sz w:val="20"/>
              </w:rPr>
              <w:t>(1,522)</w:t>
            </w:r>
          </w:p>
        </w:tc>
      </w:tr>
      <w:tr>
        <w:trPr>
          <w:trHeight w:val="494" w:hRule="atLeast"/>
        </w:trPr>
        <w:tc>
          <w:tcPr>
            <w:tcW w:w="4896" w:type="dxa"/>
            <w:tcBorders>
              <w:left w:val="single" w:sz="12" w:space="0" w:color="000000"/>
            </w:tcBorders>
          </w:tcPr>
          <w:p>
            <w:pPr>
              <w:pStyle w:val="TableParagraph"/>
              <w:ind w:left="107" w:right="781"/>
              <w:rPr>
                <w:sz w:val="20"/>
              </w:rPr>
            </w:pPr>
            <w:r>
              <w:rPr>
                <w:sz w:val="20"/>
              </w:rPr>
              <w:t>Cash</w:t>
            </w:r>
            <w:r>
              <w:rPr>
                <w:spacing w:val="-5"/>
                <w:sz w:val="20"/>
              </w:rPr>
              <w:t> </w:t>
            </w:r>
            <w:r>
              <w:rPr>
                <w:sz w:val="20"/>
              </w:rPr>
              <w:t>and</w:t>
            </w:r>
            <w:r>
              <w:rPr>
                <w:spacing w:val="-6"/>
                <w:sz w:val="20"/>
              </w:rPr>
              <w:t> </w:t>
            </w:r>
            <w:r>
              <w:rPr>
                <w:sz w:val="20"/>
              </w:rPr>
              <w:t>cash</w:t>
            </w:r>
            <w:r>
              <w:rPr>
                <w:spacing w:val="-6"/>
                <w:sz w:val="20"/>
              </w:rPr>
              <w:t> </w:t>
            </w:r>
            <w:r>
              <w:rPr>
                <w:sz w:val="20"/>
              </w:rPr>
              <w:t>equivalents</w:t>
            </w:r>
            <w:r>
              <w:rPr>
                <w:spacing w:val="-1"/>
                <w:sz w:val="20"/>
              </w:rPr>
              <w:t> </w:t>
            </w:r>
            <w:r>
              <w:rPr>
                <w:sz w:val="20"/>
              </w:rPr>
              <w:t>at</w:t>
            </w:r>
            <w:r>
              <w:rPr>
                <w:spacing w:val="-5"/>
                <w:sz w:val="20"/>
              </w:rPr>
              <w:t> </w:t>
            </w:r>
            <w:r>
              <w:rPr>
                <w:sz w:val="20"/>
              </w:rPr>
              <w:t>the</w:t>
            </w:r>
            <w:r>
              <w:rPr>
                <w:spacing w:val="-5"/>
                <w:sz w:val="20"/>
              </w:rPr>
              <w:t> </w:t>
            </w:r>
            <w:r>
              <w:rPr>
                <w:sz w:val="20"/>
              </w:rPr>
              <w:t>beginning of the financial year</w:t>
            </w:r>
          </w:p>
        </w:tc>
        <w:tc>
          <w:tcPr>
            <w:tcW w:w="1159" w:type="dxa"/>
            <w:tcBorders>
              <w:bottom w:val="single" w:sz="2" w:space="0" w:color="000000"/>
            </w:tcBorders>
          </w:tcPr>
          <w:p>
            <w:pPr>
              <w:pStyle w:val="TableParagraph"/>
              <w:spacing w:before="130"/>
              <w:ind w:right="94"/>
              <w:jc w:val="right"/>
              <w:rPr>
                <w:sz w:val="20"/>
              </w:rPr>
            </w:pPr>
            <w:r>
              <w:rPr>
                <w:spacing w:val="-2"/>
                <w:sz w:val="20"/>
              </w:rPr>
              <w:t>51,352</w:t>
            </w:r>
          </w:p>
        </w:tc>
        <w:tc>
          <w:tcPr>
            <w:tcW w:w="1205" w:type="dxa"/>
            <w:tcBorders>
              <w:bottom w:val="single" w:sz="2" w:space="0" w:color="000000"/>
            </w:tcBorders>
            <w:shd w:val="clear" w:color="auto" w:fill="DDEBF6"/>
          </w:tcPr>
          <w:p>
            <w:pPr>
              <w:pStyle w:val="TableParagraph"/>
              <w:spacing w:before="130"/>
              <w:ind w:right="95"/>
              <w:jc w:val="right"/>
              <w:rPr>
                <w:b/>
                <w:sz w:val="20"/>
              </w:rPr>
            </w:pPr>
            <w:r>
              <w:rPr>
                <w:b/>
                <w:spacing w:val="-2"/>
                <w:sz w:val="20"/>
              </w:rPr>
              <w:t>23,943</w:t>
            </w:r>
          </w:p>
        </w:tc>
        <w:tc>
          <w:tcPr>
            <w:tcW w:w="1122" w:type="dxa"/>
            <w:tcBorders>
              <w:bottom w:val="single" w:sz="2" w:space="0" w:color="000000"/>
            </w:tcBorders>
          </w:tcPr>
          <w:p>
            <w:pPr>
              <w:pStyle w:val="TableParagraph"/>
              <w:spacing w:before="130"/>
              <w:ind w:right="56"/>
              <w:jc w:val="right"/>
              <w:rPr>
                <w:sz w:val="20"/>
              </w:rPr>
            </w:pPr>
            <w:r>
              <w:rPr>
                <w:spacing w:val="-2"/>
                <w:sz w:val="20"/>
              </w:rPr>
              <w:t>34,060</w:t>
            </w:r>
          </w:p>
        </w:tc>
        <w:tc>
          <w:tcPr>
            <w:tcW w:w="1241" w:type="dxa"/>
            <w:tcBorders>
              <w:bottom w:val="single" w:sz="2" w:space="0" w:color="000000"/>
            </w:tcBorders>
          </w:tcPr>
          <w:p>
            <w:pPr>
              <w:pStyle w:val="TableParagraph"/>
              <w:spacing w:before="130"/>
              <w:ind w:right="138"/>
              <w:jc w:val="right"/>
              <w:rPr>
                <w:sz w:val="20"/>
              </w:rPr>
            </w:pPr>
            <w:r>
              <w:rPr>
                <w:spacing w:val="-2"/>
                <w:sz w:val="20"/>
              </w:rPr>
              <w:t>26,780</w:t>
            </w:r>
          </w:p>
        </w:tc>
        <w:tc>
          <w:tcPr>
            <w:tcW w:w="1116" w:type="dxa"/>
            <w:tcBorders>
              <w:bottom w:val="single" w:sz="2" w:space="0" w:color="000000"/>
              <w:right w:val="single" w:sz="12" w:space="0" w:color="000000"/>
            </w:tcBorders>
          </w:tcPr>
          <w:p>
            <w:pPr>
              <w:pStyle w:val="TableParagraph"/>
              <w:spacing w:before="130"/>
              <w:ind w:right="80"/>
              <w:jc w:val="right"/>
              <w:rPr>
                <w:sz w:val="20"/>
              </w:rPr>
            </w:pPr>
            <w:r>
              <w:rPr>
                <w:spacing w:val="-2"/>
                <w:sz w:val="20"/>
              </w:rPr>
              <w:t>25,241</w:t>
            </w:r>
          </w:p>
        </w:tc>
      </w:tr>
      <w:tr>
        <w:trPr>
          <w:trHeight w:val="217" w:hRule="atLeast"/>
        </w:trPr>
        <w:tc>
          <w:tcPr>
            <w:tcW w:w="4896" w:type="dxa"/>
            <w:tcBorders>
              <w:left w:val="single" w:sz="12" w:space="0" w:color="000000"/>
            </w:tcBorders>
          </w:tcPr>
          <w:p>
            <w:pPr>
              <w:pStyle w:val="TableParagraph"/>
              <w:spacing w:line="197" w:lineRule="exact"/>
              <w:ind w:left="107"/>
              <w:rPr>
                <w:b/>
                <w:sz w:val="20"/>
              </w:rPr>
            </w:pPr>
            <w:r>
              <w:rPr>
                <w:b/>
                <w:sz w:val="20"/>
              </w:rPr>
              <w:t>Cash</w:t>
            </w:r>
            <w:r>
              <w:rPr>
                <w:b/>
                <w:spacing w:val="-5"/>
                <w:sz w:val="20"/>
              </w:rPr>
              <w:t> </w:t>
            </w:r>
            <w:r>
              <w:rPr>
                <w:b/>
                <w:sz w:val="20"/>
              </w:rPr>
              <w:t>and</w:t>
            </w:r>
            <w:r>
              <w:rPr>
                <w:b/>
                <w:spacing w:val="-3"/>
                <w:sz w:val="20"/>
              </w:rPr>
              <w:t> </w:t>
            </w:r>
            <w:r>
              <w:rPr>
                <w:b/>
                <w:sz w:val="20"/>
              </w:rPr>
              <w:t>cash</w:t>
            </w:r>
            <w:r>
              <w:rPr>
                <w:b/>
                <w:spacing w:val="-4"/>
                <w:sz w:val="20"/>
              </w:rPr>
              <w:t> </w:t>
            </w:r>
            <w:r>
              <w:rPr>
                <w:b/>
                <w:sz w:val="20"/>
              </w:rPr>
              <w:t>equivalents</w:t>
            </w:r>
            <w:r>
              <w:rPr>
                <w:b/>
                <w:spacing w:val="-6"/>
                <w:sz w:val="20"/>
              </w:rPr>
              <w:t> </w:t>
            </w:r>
            <w:r>
              <w:rPr>
                <w:b/>
                <w:sz w:val="20"/>
              </w:rPr>
              <w:t>at</w:t>
            </w:r>
            <w:r>
              <w:rPr>
                <w:b/>
                <w:spacing w:val="-4"/>
                <w:sz w:val="20"/>
              </w:rPr>
              <w:t> </w:t>
            </w:r>
            <w:r>
              <w:rPr>
                <w:b/>
                <w:sz w:val="20"/>
              </w:rPr>
              <w:t>the</w:t>
            </w:r>
            <w:r>
              <w:rPr>
                <w:b/>
                <w:spacing w:val="-6"/>
                <w:sz w:val="20"/>
              </w:rPr>
              <w:t> </w:t>
            </w:r>
            <w:r>
              <w:rPr>
                <w:b/>
                <w:sz w:val="20"/>
              </w:rPr>
              <w:t>end</w:t>
            </w:r>
            <w:r>
              <w:rPr>
                <w:b/>
                <w:spacing w:val="-6"/>
                <w:sz w:val="20"/>
              </w:rPr>
              <w:t> </w:t>
            </w:r>
            <w:r>
              <w:rPr>
                <w:b/>
                <w:spacing w:val="-5"/>
                <w:sz w:val="20"/>
              </w:rPr>
              <w:t>of</w:t>
            </w:r>
          </w:p>
        </w:tc>
        <w:tc>
          <w:tcPr>
            <w:tcW w:w="1159" w:type="dxa"/>
            <w:vMerge w:val="restart"/>
            <w:tcBorders>
              <w:top w:val="single" w:sz="2" w:space="0" w:color="000000"/>
              <w:bottom w:val="single" w:sz="12" w:space="0" w:color="000000"/>
            </w:tcBorders>
          </w:tcPr>
          <w:p>
            <w:pPr>
              <w:pStyle w:val="TableParagraph"/>
              <w:spacing w:before="146"/>
              <w:ind w:left="453"/>
              <w:rPr>
                <w:b/>
                <w:sz w:val="20"/>
              </w:rPr>
            </w:pPr>
            <w:r>
              <w:rPr>
                <w:b/>
                <w:spacing w:val="-2"/>
                <w:sz w:val="20"/>
              </w:rPr>
              <w:t>23,943</w:t>
            </w:r>
          </w:p>
        </w:tc>
        <w:tc>
          <w:tcPr>
            <w:tcW w:w="1205" w:type="dxa"/>
            <w:vMerge w:val="restart"/>
            <w:tcBorders>
              <w:top w:val="single" w:sz="2" w:space="0" w:color="000000"/>
              <w:bottom w:val="single" w:sz="12" w:space="0" w:color="000000"/>
            </w:tcBorders>
            <w:shd w:val="clear" w:color="auto" w:fill="DDEBF6"/>
          </w:tcPr>
          <w:p>
            <w:pPr>
              <w:pStyle w:val="TableParagraph"/>
              <w:spacing w:before="146"/>
              <w:ind w:left="499"/>
              <w:rPr>
                <w:b/>
                <w:sz w:val="20"/>
              </w:rPr>
            </w:pPr>
            <w:r>
              <w:rPr>
                <w:b/>
                <w:spacing w:val="-2"/>
                <w:sz w:val="20"/>
              </w:rPr>
              <w:t>34,060</w:t>
            </w:r>
          </w:p>
        </w:tc>
        <w:tc>
          <w:tcPr>
            <w:tcW w:w="1122" w:type="dxa"/>
            <w:vMerge w:val="restart"/>
            <w:tcBorders>
              <w:top w:val="single" w:sz="2" w:space="0" w:color="000000"/>
              <w:bottom w:val="single" w:sz="12" w:space="0" w:color="000000"/>
            </w:tcBorders>
          </w:tcPr>
          <w:p>
            <w:pPr>
              <w:pStyle w:val="TableParagraph"/>
              <w:spacing w:before="146"/>
              <w:ind w:left="453"/>
              <w:rPr>
                <w:b/>
                <w:sz w:val="20"/>
              </w:rPr>
            </w:pPr>
            <w:r>
              <w:rPr>
                <w:b/>
                <w:spacing w:val="-2"/>
                <w:sz w:val="20"/>
              </w:rPr>
              <w:t>26,780</w:t>
            </w:r>
          </w:p>
        </w:tc>
        <w:tc>
          <w:tcPr>
            <w:tcW w:w="1241" w:type="dxa"/>
            <w:vMerge w:val="restart"/>
            <w:tcBorders>
              <w:top w:val="single" w:sz="2" w:space="0" w:color="000000"/>
              <w:bottom w:val="single" w:sz="12" w:space="0" w:color="000000"/>
            </w:tcBorders>
          </w:tcPr>
          <w:p>
            <w:pPr>
              <w:pStyle w:val="TableParagraph"/>
              <w:spacing w:before="146"/>
              <w:ind w:left="490"/>
              <w:rPr>
                <w:b/>
                <w:sz w:val="20"/>
              </w:rPr>
            </w:pPr>
            <w:r>
              <w:rPr>
                <w:b/>
                <w:spacing w:val="-2"/>
                <w:sz w:val="20"/>
              </w:rPr>
              <w:t>25,241</w:t>
            </w:r>
          </w:p>
        </w:tc>
        <w:tc>
          <w:tcPr>
            <w:tcW w:w="1116" w:type="dxa"/>
            <w:vMerge w:val="restart"/>
            <w:tcBorders>
              <w:top w:val="single" w:sz="2" w:space="0" w:color="000000"/>
              <w:bottom w:val="single" w:sz="12" w:space="0" w:color="000000"/>
              <w:right w:val="single" w:sz="12" w:space="0" w:color="000000"/>
            </w:tcBorders>
          </w:tcPr>
          <w:p>
            <w:pPr>
              <w:pStyle w:val="TableParagraph"/>
              <w:spacing w:before="146"/>
              <w:ind w:left="394"/>
              <w:rPr>
                <w:b/>
                <w:sz w:val="20"/>
              </w:rPr>
            </w:pPr>
            <w:r>
              <w:rPr>
                <w:b/>
                <w:spacing w:val="-2"/>
                <w:sz w:val="20"/>
              </w:rPr>
              <w:t>23,719</w:t>
            </w:r>
          </w:p>
        </w:tc>
      </w:tr>
      <w:tr>
        <w:trPr>
          <w:trHeight w:val="280" w:hRule="atLeast"/>
        </w:trPr>
        <w:tc>
          <w:tcPr>
            <w:tcW w:w="4896" w:type="dxa"/>
            <w:tcBorders>
              <w:left w:val="single" w:sz="12" w:space="0" w:color="000000"/>
              <w:bottom w:val="single" w:sz="12" w:space="0" w:color="000000"/>
            </w:tcBorders>
          </w:tcPr>
          <w:p>
            <w:pPr>
              <w:pStyle w:val="TableParagraph"/>
              <w:spacing w:line="210" w:lineRule="exact"/>
              <w:ind w:left="107"/>
              <w:rPr>
                <w:b/>
                <w:sz w:val="20"/>
              </w:rPr>
            </w:pPr>
            <w:r>
              <w:rPr>
                <w:b/>
                <w:sz w:val="20"/>
              </w:rPr>
              <w:t>the</w:t>
            </w:r>
            <w:r>
              <w:rPr>
                <w:b/>
                <w:spacing w:val="-9"/>
                <w:sz w:val="20"/>
              </w:rPr>
              <w:t> </w:t>
            </w:r>
            <w:r>
              <w:rPr>
                <w:b/>
                <w:sz w:val="20"/>
              </w:rPr>
              <w:t>financial</w:t>
            </w:r>
            <w:r>
              <w:rPr>
                <w:b/>
                <w:spacing w:val="-6"/>
                <w:sz w:val="20"/>
              </w:rPr>
              <w:t> </w:t>
            </w:r>
            <w:r>
              <w:rPr>
                <w:b/>
                <w:spacing w:val="-4"/>
                <w:sz w:val="20"/>
              </w:rPr>
              <w:t>year</w:t>
            </w:r>
          </w:p>
        </w:tc>
        <w:tc>
          <w:tcPr>
            <w:tcW w:w="1159" w:type="dxa"/>
            <w:vMerge/>
            <w:tcBorders>
              <w:top w:val="nil"/>
              <w:bottom w:val="single" w:sz="12" w:space="0" w:color="000000"/>
            </w:tcBorders>
          </w:tcPr>
          <w:p>
            <w:pPr>
              <w:rPr>
                <w:sz w:val="2"/>
                <w:szCs w:val="2"/>
              </w:rPr>
            </w:pPr>
          </w:p>
        </w:tc>
        <w:tc>
          <w:tcPr>
            <w:tcW w:w="1205" w:type="dxa"/>
            <w:vMerge/>
            <w:tcBorders>
              <w:top w:val="nil"/>
              <w:bottom w:val="single" w:sz="12" w:space="0" w:color="000000"/>
            </w:tcBorders>
            <w:shd w:val="clear" w:color="auto" w:fill="DDEBF6"/>
          </w:tcPr>
          <w:p>
            <w:pPr>
              <w:rPr>
                <w:sz w:val="2"/>
                <w:szCs w:val="2"/>
              </w:rPr>
            </w:pPr>
          </w:p>
        </w:tc>
        <w:tc>
          <w:tcPr>
            <w:tcW w:w="1122" w:type="dxa"/>
            <w:vMerge/>
            <w:tcBorders>
              <w:top w:val="nil"/>
              <w:bottom w:val="single" w:sz="12" w:space="0" w:color="000000"/>
            </w:tcBorders>
          </w:tcPr>
          <w:p>
            <w:pPr>
              <w:rPr>
                <w:sz w:val="2"/>
                <w:szCs w:val="2"/>
              </w:rPr>
            </w:pPr>
          </w:p>
        </w:tc>
        <w:tc>
          <w:tcPr>
            <w:tcW w:w="1241" w:type="dxa"/>
            <w:vMerge/>
            <w:tcBorders>
              <w:top w:val="nil"/>
              <w:bottom w:val="single" w:sz="12" w:space="0" w:color="000000"/>
            </w:tcBorders>
          </w:tcPr>
          <w:p>
            <w:pPr>
              <w:rPr>
                <w:sz w:val="2"/>
                <w:szCs w:val="2"/>
              </w:rPr>
            </w:pPr>
          </w:p>
        </w:tc>
        <w:tc>
          <w:tcPr>
            <w:tcW w:w="1116" w:type="dxa"/>
            <w:vMerge/>
            <w:tcBorders>
              <w:top w:val="nil"/>
              <w:bottom w:val="single" w:sz="12" w:space="0" w:color="000000"/>
              <w:right w:val="single" w:sz="12" w:space="0" w:color="000000"/>
            </w:tcBorders>
          </w:tcPr>
          <w:p>
            <w:pPr>
              <w:rPr>
                <w:sz w:val="2"/>
                <w:szCs w:val="2"/>
              </w:rPr>
            </w:pPr>
          </w:p>
        </w:tc>
      </w:tr>
    </w:tbl>
    <w:p>
      <w:pPr>
        <w:spacing w:after="0"/>
        <w:rPr>
          <w:sz w:val="2"/>
          <w:szCs w:val="2"/>
        </w:rPr>
        <w:sectPr>
          <w:pgSz w:w="11910" w:h="16840"/>
          <w:pgMar w:header="0" w:footer="375" w:top="540" w:bottom="560" w:left="460" w:right="160"/>
        </w:sectPr>
      </w:pPr>
    </w:p>
    <w:tbl>
      <w:tblPr>
        <w:tblW w:w="0" w:type="auto"/>
        <w:jc w:val="left"/>
        <w:tblInd w:w="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17"/>
        <w:gridCol w:w="1199"/>
        <w:gridCol w:w="1132"/>
        <w:gridCol w:w="1134"/>
        <w:gridCol w:w="1087"/>
        <w:gridCol w:w="1283"/>
        <w:gridCol w:w="1024"/>
      </w:tblGrid>
      <w:tr>
        <w:trPr>
          <w:trHeight w:val="890" w:hRule="atLeast"/>
        </w:trPr>
        <w:tc>
          <w:tcPr>
            <w:tcW w:w="10476" w:type="dxa"/>
            <w:gridSpan w:val="7"/>
            <w:tcBorders>
              <w:top w:val="single" w:sz="18" w:space="0" w:color="000000"/>
              <w:left w:val="single" w:sz="12" w:space="0" w:color="000000"/>
              <w:right w:val="single" w:sz="12" w:space="0" w:color="000000"/>
            </w:tcBorders>
          </w:tcPr>
          <w:p>
            <w:pPr>
              <w:pStyle w:val="TableParagraph"/>
              <w:spacing w:before="15"/>
              <w:ind w:left="109"/>
              <w:rPr>
                <w:b/>
                <w:sz w:val="24"/>
              </w:rPr>
            </w:pPr>
            <w:r>
              <w:rPr>
                <w:b/>
                <w:color w:val="4966AC"/>
                <w:sz w:val="24"/>
              </w:rPr>
              <w:t>Statement</w:t>
            </w:r>
            <w:r>
              <w:rPr>
                <w:b/>
                <w:color w:val="4966AC"/>
                <w:spacing w:val="-3"/>
                <w:sz w:val="24"/>
              </w:rPr>
              <w:t> </w:t>
            </w:r>
            <w:r>
              <w:rPr>
                <w:b/>
                <w:color w:val="4966AC"/>
                <w:sz w:val="24"/>
              </w:rPr>
              <w:t>of Capital</w:t>
            </w:r>
            <w:r>
              <w:rPr>
                <w:b/>
                <w:color w:val="4966AC"/>
                <w:spacing w:val="2"/>
                <w:sz w:val="24"/>
              </w:rPr>
              <w:t> </w:t>
            </w:r>
            <w:r>
              <w:rPr>
                <w:b/>
                <w:color w:val="4966AC"/>
                <w:spacing w:val="-4"/>
                <w:sz w:val="24"/>
              </w:rPr>
              <w:t>Works</w:t>
            </w:r>
          </w:p>
          <w:p>
            <w:pPr>
              <w:pStyle w:val="TableParagraph"/>
              <w:spacing w:before="47"/>
              <w:ind w:left="109"/>
              <w:rPr>
                <w:sz w:val="22"/>
              </w:rPr>
            </w:pPr>
            <w:r>
              <w:rPr>
                <w:color w:val="4966AC"/>
                <w:sz w:val="22"/>
              </w:rPr>
              <w:t>For</w:t>
            </w:r>
            <w:r>
              <w:rPr>
                <w:color w:val="4966AC"/>
                <w:spacing w:val="-2"/>
                <w:sz w:val="22"/>
              </w:rPr>
              <w:t> </w:t>
            </w:r>
            <w:r>
              <w:rPr>
                <w:color w:val="4966AC"/>
                <w:sz w:val="22"/>
              </w:rPr>
              <w:t>the</w:t>
            </w:r>
            <w:r>
              <w:rPr>
                <w:color w:val="4966AC"/>
                <w:spacing w:val="-3"/>
                <w:sz w:val="22"/>
              </w:rPr>
              <w:t> </w:t>
            </w:r>
            <w:r>
              <w:rPr>
                <w:color w:val="4966AC"/>
                <w:sz w:val="22"/>
              </w:rPr>
              <w:t>four</w:t>
            </w:r>
            <w:r>
              <w:rPr>
                <w:color w:val="4966AC"/>
                <w:spacing w:val="-2"/>
                <w:sz w:val="22"/>
              </w:rPr>
              <w:t> </w:t>
            </w:r>
            <w:r>
              <w:rPr>
                <w:color w:val="4966AC"/>
                <w:sz w:val="22"/>
              </w:rPr>
              <w:t>years</w:t>
            </w:r>
            <w:r>
              <w:rPr>
                <w:color w:val="4966AC"/>
                <w:spacing w:val="-1"/>
                <w:sz w:val="22"/>
              </w:rPr>
              <w:t> </w:t>
            </w:r>
            <w:r>
              <w:rPr>
                <w:color w:val="4966AC"/>
                <w:sz w:val="22"/>
              </w:rPr>
              <w:t>ending</w:t>
            </w:r>
            <w:r>
              <w:rPr>
                <w:color w:val="4966AC"/>
                <w:spacing w:val="-2"/>
                <w:sz w:val="22"/>
              </w:rPr>
              <w:t> </w:t>
            </w:r>
            <w:r>
              <w:rPr>
                <w:color w:val="4966AC"/>
                <w:sz w:val="22"/>
              </w:rPr>
              <w:t>30</w:t>
            </w:r>
            <w:r>
              <w:rPr>
                <w:color w:val="4966AC"/>
                <w:spacing w:val="-2"/>
                <w:sz w:val="22"/>
              </w:rPr>
              <w:t> </w:t>
            </w:r>
            <w:r>
              <w:rPr>
                <w:color w:val="4966AC"/>
                <w:sz w:val="22"/>
              </w:rPr>
              <w:t>June</w:t>
            </w:r>
            <w:r>
              <w:rPr>
                <w:color w:val="4966AC"/>
                <w:spacing w:val="-2"/>
                <w:sz w:val="22"/>
              </w:rPr>
              <w:t> </w:t>
            </w:r>
            <w:r>
              <w:rPr>
                <w:color w:val="4966AC"/>
                <w:spacing w:val="-4"/>
                <w:sz w:val="22"/>
              </w:rPr>
              <w:t>2029</w:t>
            </w:r>
          </w:p>
        </w:tc>
      </w:tr>
      <w:tr>
        <w:trPr>
          <w:trHeight w:val="480" w:hRule="atLeast"/>
        </w:trPr>
        <w:tc>
          <w:tcPr>
            <w:tcW w:w="3617" w:type="dxa"/>
            <w:vMerge w:val="restart"/>
            <w:tcBorders>
              <w:left w:val="single" w:sz="12" w:space="0" w:color="000000"/>
            </w:tcBorders>
            <w:shd w:val="clear" w:color="auto" w:fill="5B9AD4"/>
          </w:tcPr>
          <w:p>
            <w:pPr>
              <w:pStyle w:val="TableParagraph"/>
              <w:rPr>
                <w:rFonts w:ascii="Times New Roman"/>
                <w:sz w:val="18"/>
              </w:rPr>
            </w:pPr>
          </w:p>
        </w:tc>
        <w:tc>
          <w:tcPr>
            <w:tcW w:w="1199" w:type="dxa"/>
            <w:vMerge w:val="restart"/>
            <w:shd w:val="clear" w:color="auto" w:fill="5B9AD4"/>
          </w:tcPr>
          <w:p>
            <w:pPr>
              <w:pStyle w:val="TableParagraph"/>
              <w:rPr>
                <w:i/>
                <w:sz w:val="22"/>
              </w:rPr>
            </w:pPr>
          </w:p>
          <w:p>
            <w:pPr>
              <w:pStyle w:val="TableParagraph"/>
              <w:rPr>
                <w:i/>
                <w:sz w:val="22"/>
              </w:rPr>
            </w:pPr>
          </w:p>
          <w:p>
            <w:pPr>
              <w:pStyle w:val="TableParagraph"/>
              <w:spacing w:before="2"/>
              <w:rPr>
                <w:i/>
                <w:sz w:val="28"/>
              </w:rPr>
            </w:pPr>
          </w:p>
          <w:p>
            <w:pPr>
              <w:pStyle w:val="TableParagraph"/>
              <w:spacing w:line="211" w:lineRule="exact"/>
              <w:ind w:left="235"/>
              <w:rPr>
                <w:b/>
                <w:sz w:val="20"/>
              </w:rPr>
            </w:pPr>
            <w:r>
              <w:rPr>
                <w:b/>
                <w:color w:val="FFFFFF"/>
                <w:spacing w:val="-2"/>
                <w:sz w:val="20"/>
              </w:rPr>
              <w:t>NOTES</w:t>
            </w:r>
          </w:p>
        </w:tc>
        <w:tc>
          <w:tcPr>
            <w:tcW w:w="1132" w:type="dxa"/>
            <w:shd w:val="clear" w:color="auto" w:fill="5B9AD4"/>
          </w:tcPr>
          <w:p>
            <w:pPr>
              <w:pStyle w:val="TableParagraph"/>
              <w:ind w:left="274" w:right="131" w:hanging="111"/>
              <w:rPr>
                <w:b/>
                <w:sz w:val="20"/>
              </w:rPr>
            </w:pPr>
            <w:r>
              <w:rPr>
                <w:b/>
                <w:color w:val="FFFFFF"/>
                <w:spacing w:val="-2"/>
                <w:sz w:val="20"/>
              </w:rPr>
              <w:t>Forecast Actual</w:t>
            </w:r>
          </w:p>
        </w:tc>
        <w:tc>
          <w:tcPr>
            <w:tcW w:w="1134" w:type="dxa"/>
            <w:shd w:val="clear" w:color="auto" w:fill="5B9AD4"/>
          </w:tcPr>
          <w:p>
            <w:pPr>
              <w:pStyle w:val="TableParagraph"/>
              <w:spacing w:before="115"/>
              <w:ind w:left="236"/>
              <w:rPr>
                <w:b/>
                <w:sz w:val="20"/>
              </w:rPr>
            </w:pPr>
            <w:r>
              <w:rPr>
                <w:b/>
                <w:color w:val="FFFFFF"/>
                <w:spacing w:val="-2"/>
                <w:sz w:val="20"/>
              </w:rPr>
              <w:t>Budget</w:t>
            </w:r>
          </w:p>
        </w:tc>
        <w:tc>
          <w:tcPr>
            <w:tcW w:w="1087" w:type="dxa"/>
            <w:shd w:val="clear" w:color="auto" w:fill="5B9AD4"/>
          </w:tcPr>
          <w:p>
            <w:pPr>
              <w:pStyle w:val="TableParagraph"/>
              <w:rPr>
                <w:rFonts w:ascii="Times New Roman"/>
                <w:sz w:val="18"/>
              </w:rPr>
            </w:pPr>
          </w:p>
        </w:tc>
        <w:tc>
          <w:tcPr>
            <w:tcW w:w="1283" w:type="dxa"/>
            <w:shd w:val="clear" w:color="auto" w:fill="5B9AD4"/>
          </w:tcPr>
          <w:p>
            <w:pPr>
              <w:pStyle w:val="TableParagraph"/>
              <w:spacing w:before="115"/>
              <w:ind w:right="110"/>
              <w:jc w:val="right"/>
              <w:rPr>
                <w:b/>
                <w:sz w:val="20"/>
              </w:rPr>
            </w:pPr>
            <w:r>
              <w:rPr>
                <w:b/>
                <w:color w:val="FFFFFF"/>
                <w:spacing w:val="-2"/>
                <w:sz w:val="20"/>
              </w:rPr>
              <w:t>Projections</w:t>
            </w:r>
          </w:p>
        </w:tc>
        <w:tc>
          <w:tcPr>
            <w:tcW w:w="1024" w:type="dxa"/>
            <w:tcBorders>
              <w:right w:val="single" w:sz="12" w:space="0" w:color="000000"/>
            </w:tcBorders>
            <w:shd w:val="clear" w:color="auto" w:fill="5B9AD4"/>
          </w:tcPr>
          <w:p>
            <w:pPr>
              <w:pStyle w:val="TableParagraph"/>
              <w:rPr>
                <w:rFonts w:ascii="Times New Roman"/>
                <w:sz w:val="18"/>
              </w:rPr>
            </w:pPr>
          </w:p>
        </w:tc>
      </w:tr>
      <w:tr>
        <w:trPr>
          <w:trHeight w:val="299" w:hRule="atLeast"/>
        </w:trPr>
        <w:tc>
          <w:tcPr>
            <w:tcW w:w="3617" w:type="dxa"/>
            <w:vMerge/>
            <w:tcBorders>
              <w:top w:val="nil"/>
              <w:left w:val="single" w:sz="12" w:space="0" w:color="000000"/>
            </w:tcBorders>
            <w:shd w:val="clear" w:color="auto" w:fill="5B9AD4"/>
          </w:tcPr>
          <w:p>
            <w:pPr>
              <w:rPr>
                <w:sz w:val="2"/>
                <w:szCs w:val="2"/>
              </w:rPr>
            </w:pPr>
          </w:p>
        </w:tc>
        <w:tc>
          <w:tcPr>
            <w:tcW w:w="1199" w:type="dxa"/>
            <w:vMerge/>
            <w:tcBorders>
              <w:top w:val="nil"/>
            </w:tcBorders>
            <w:shd w:val="clear" w:color="auto" w:fill="5B9AD4"/>
          </w:tcPr>
          <w:p>
            <w:pPr>
              <w:rPr>
                <w:sz w:val="2"/>
                <w:szCs w:val="2"/>
              </w:rPr>
            </w:pPr>
          </w:p>
        </w:tc>
        <w:tc>
          <w:tcPr>
            <w:tcW w:w="1132" w:type="dxa"/>
            <w:shd w:val="clear" w:color="auto" w:fill="5B9AD4"/>
          </w:tcPr>
          <w:p>
            <w:pPr>
              <w:pStyle w:val="TableParagraph"/>
              <w:spacing w:before="13"/>
              <w:ind w:left="219"/>
              <w:rPr>
                <w:b/>
                <w:sz w:val="20"/>
              </w:rPr>
            </w:pPr>
            <w:r>
              <w:rPr>
                <w:b/>
                <w:color w:val="FFFFFF"/>
                <w:spacing w:val="-2"/>
                <w:sz w:val="20"/>
              </w:rPr>
              <w:t>2024/25</w:t>
            </w:r>
          </w:p>
        </w:tc>
        <w:tc>
          <w:tcPr>
            <w:tcW w:w="1134" w:type="dxa"/>
            <w:shd w:val="clear" w:color="auto" w:fill="5B9AD4"/>
          </w:tcPr>
          <w:p>
            <w:pPr>
              <w:pStyle w:val="TableParagraph"/>
              <w:spacing w:before="13"/>
              <w:ind w:left="220"/>
              <w:rPr>
                <w:b/>
                <w:sz w:val="20"/>
              </w:rPr>
            </w:pPr>
            <w:r>
              <w:rPr>
                <w:b/>
                <w:color w:val="FFFFFF"/>
                <w:spacing w:val="-2"/>
                <w:sz w:val="20"/>
              </w:rPr>
              <w:t>2025/26</w:t>
            </w:r>
          </w:p>
        </w:tc>
        <w:tc>
          <w:tcPr>
            <w:tcW w:w="1087" w:type="dxa"/>
            <w:shd w:val="clear" w:color="auto" w:fill="5B9AD4"/>
          </w:tcPr>
          <w:p>
            <w:pPr>
              <w:pStyle w:val="TableParagraph"/>
              <w:spacing w:before="13"/>
              <w:ind w:left="221"/>
              <w:rPr>
                <w:b/>
                <w:sz w:val="20"/>
              </w:rPr>
            </w:pPr>
            <w:r>
              <w:rPr>
                <w:b/>
                <w:color w:val="FFFFFF"/>
                <w:spacing w:val="-2"/>
                <w:sz w:val="20"/>
              </w:rPr>
              <w:t>2026/27</w:t>
            </w:r>
          </w:p>
        </w:tc>
        <w:tc>
          <w:tcPr>
            <w:tcW w:w="1283" w:type="dxa"/>
            <w:shd w:val="clear" w:color="auto" w:fill="5B9AD4"/>
          </w:tcPr>
          <w:p>
            <w:pPr>
              <w:pStyle w:val="TableParagraph"/>
              <w:spacing w:before="13"/>
              <w:ind w:left="300"/>
              <w:rPr>
                <w:b/>
                <w:sz w:val="20"/>
              </w:rPr>
            </w:pPr>
            <w:r>
              <w:rPr>
                <w:b/>
                <w:color w:val="FFFFFF"/>
                <w:spacing w:val="-2"/>
                <w:sz w:val="20"/>
              </w:rPr>
              <w:t>2027/28</w:t>
            </w:r>
          </w:p>
        </w:tc>
        <w:tc>
          <w:tcPr>
            <w:tcW w:w="1024" w:type="dxa"/>
            <w:tcBorders>
              <w:right w:val="single" w:sz="12" w:space="0" w:color="000000"/>
            </w:tcBorders>
            <w:shd w:val="clear" w:color="auto" w:fill="5B9AD4"/>
          </w:tcPr>
          <w:p>
            <w:pPr>
              <w:pStyle w:val="TableParagraph"/>
              <w:spacing w:before="13"/>
              <w:ind w:right="136"/>
              <w:jc w:val="right"/>
              <w:rPr>
                <w:b/>
                <w:sz w:val="20"/>
              </w:rPr>
            </w:pPr>
            <w:r>
              <w:rPr>
                <w:b/>
                <w:color w:val="FFFFFF"/>
                <w:spacing w:val="-2"/>
                <w:sz w:val="20"/>
              </w:rPr>
              <w:t>2028/29</w:t>
            </w:r>
          </w:p>
        </w:tc>
      </w:tr>
      <w:tr>
        <w:trPr>
          <w:trHeight w:val="280" w:hRule="atLeast"/>
        </w:trPr>
        <w:tc>
          <w:tcPr>
            <w:tcW w:w="3617" w:type="dxa"/>
            <w:vMerge/>
            <w:tcBorders>
              <w:top w:val="nil"/>
              <w:left w:val="single" w:sz="12" w:space="0" w:color="000000"/>
            </w:tcBorders>
            <w:shd w:val="clear" w:color="auto" w:fill="5B9AD4"/>
          </w:tcPr>
          <w:p>
            <w:pPr>
              <w:rPr>
                <w:sz w:val="2"/>
                <w:szCs w:val="2"/>
              </w:rPr>
            </w:pPr>
          </w:p>
        </w:tc>
        <w:tc>
          <w:tcPr>
            <w:tcW w:w="1199" w:type="dxa"/>
            <w:vMerge/>
            <w:tcBorders>
              <w:top w:val="nil"/>
            </w:tcBorders>
            <w:shd w:val="clear" w:color="auto" w:fill="5B9AD4"/>
          </w:tcPr>
          <w:p>
            <w:pPr>
              <w:rPr>
                <w:sz w:val="2"/>
                <w:szCs w:val="2"/>
              </w:rPr>
            </w:pPr>
          </w:p>
        </w:tc>
        <w:tc>
          <w:tcPr>
            <w:tcW w:w="1132" w:type="dxa"/>
            <w:shd w:val="clear" w:color="auto" w:fill="5B9AD4"/>
          </w:tcPr>
          <w:p>
            <w:pPr>
              <w:pStyle w:val="TableParagraph"/>
              <w:spacing w:line="211" w:lineRule="exact" w:before="49"/>
              <w:ind w:left="329"/>
              <w:rPr>
                <w:b/>
                <w:sz w:val="20"/>
              </w:rPr>
            </w:pPr>
            <w:r>
              <w:rPr>
                <w:b/>
                <w:color w:val="FFFFFF"/>
                <w:spacing w:val="-2"/>
                <w:sz w:val="20"/>
              </w:rPr>
              <w:t>$’000</w:t>
            </w:r>
          </w:p>
        </w:tc>
        <w:tc>
          <w:tcPr>
            <w:tcW w:w="1134" w:type="dxa"/>
            <w:shd w:val="clear" w:color="auto" w:fill="5B9AD4"/>
          </w:tcPr>
          <w:p>
            <w:pPr>
              <w:pStyle w:val="TableParagraph"/>
              <w:spacing w:line="211" w:lineRule="exact" w:before="49"/>
              <w:ind w:left="330"/>
              <w:rPr>
                <w:b/>
                <w:sz w:val="20"/>
              </w:rPr>
            </w:pPr>
            <w:r>
              <w:rPr>
                <w:b/>
                <w:color w:val="FFFFFF"/>
                <w:spacing w:val="-2"/>
                <w:sz w:val="20"/>
              </w:rPr>
              <w:t>$’000</w:t>
            </w:r>
          </w:p>
        </w:tc>
        <w:tc>
          <w:tcPr>
            <w:tcW w:w="1087" w:type="dxa"/>
            <w:shd w:val="clear" w:color="auto" w:fill="5B9AD4"/>
          </w:tcPr>
          <w:p>
            <w:pPr>
              <w:pStyle w:val="TableParagraph"/>
              <w:spacing w:line="211" w:lineRule="exact" w:before="49"/>
              <w:ind w:left="331"/>
              <w:rPr>
                <w:b/>
                <w:sz w:val="20"/>
              </w:rPr>
            </w:pPr>
            <w:r>
              <w:rPr>
                <w:b/>
                <w:color w:val="FFFFFF"/>
                <w:spacing w:val="-2"/>
                <w:sz w:val="20"/>
              </w:rPr>
              <w:t>$’000</w:t>
            </w:r>
          </w:p>
        </w:tc>
        <w:tc>
          <w:tcPr>
            <w:tcW w:w="1283" w:type="dxa"/>
            <w:shd w:val="clear" w:color="auto" w:fill="5B9AD4"/>
          </w:tcPr>
          <w:p>
            <w:pPr>
              <w:pStyle w:val="TableParagraph"/>
              <w:spacing w:line="211" w:lineRule="exact" w:before="49"/>
              <w:ind w:left="411"/>
              <w:rPr>
                <w:b/>
                <w:sz w:val="20"/>
              </w:rPr>
            </w:pPr>
            <w:r>
              <w:rPr>
                <w:b/>
                <w:color w:val="FFFFFF"/>
                <w:spacing w:val="-2"/>
                <w:sz w:val="20"/>
              </w:rPr>
              <w:t>$’000</w:t>
            </w:r>
          </w:p>
        </w:tc>
        <w:tc>
          <w:tcPr>
            <w:tcW w:w="1024" w:type="dxa"/>
            <w:tcBorders>
              <w:right w:val="single" w:sz="12" w:space="0" w:color="000000"/>
            </w:tcBorders>
            <w:shd w:val="clear" w:color="auto" w:fill="5B9AD4"/>
          </w:tcPr>
          <w:p>
            <w:pPr>
              <w:pStyle w:val="TableParagraph"/>
              <w:spacing w:line="211" w:lineRule="exact" w:before="49"/>
              <w:ind w:left="245"/>
              <w:rPr>
                <w:b/>
                <w:sz w:val="20"/>
              </w:rPr>
            </w:pPr>
            <w:r>
              <w:rPr>
                <w:b/>
                <w:color w:val="FFFFFF"/>
                <w:spacing w:val="-2"/>
                <w:sz w:val="20"/>
              </w:rPr>
              <w:t>$’000</w:t>
            </w:r>
          </w:p>
        </w:tc>
      </w:tr>
      <w:tr>
        <w:trPr>
          <w:trHeight w:val="337" w:hRule="atLeast"/>
        </w:trPr>
        <w:tc>
          <w:tcPr>
            <w:tcW w:w="3617" w:type="dxa"/>
            <w:tcBorders>
              <w:left w:val="single" w:sz="12" w:space="0" w:color="000000"/>
            </w:tcBorders>
          </w:tcPr>
          <w:p>
            <w:pPr>
              <w:pStyle w:val="TableParagraph"/>
              <w:spacing w:before="69"/>
              <w:ind w:left="109"/>
              <w:rPr>
                <w:b/>
                <w:sz w:val="20"/>
              </w:rPr>
            </w:pPr>
            <w:r>
              <w:rPr>
                <w:b/>
                <w:spacing w:val="-2"/>
                <w:sz w:val="20"/>
              </w:rPr>
              <w:t>Property</w:t>
            </w:r>
          </w:p>
        </w:tc>
        <w:tc>
          <w:tcPr>
            <w:tcW w:w="1199" w:type="dxa"/>
          </w:tcPr>
          <w:p>
            <w:pPr>
              <w:pStyle w:val="TableParagraph"/>
              <w:rPr>
                <w:rFonts w:ascii="Times New Roman"/>
                <w:sz w:val="18"/>
              </w:rPr>
            </w:pPr>
          </w:p>
        </w:tc>
        <w:tc>
          <w:tcPr>
            <w:tcW w:w="1132" w:type="dxa"/>
          </w:tcPr>
          <w:p>
            <w:pPr>
              <w:pStyle w:val="TableParagraph"/>
              <w:rPr>
                <w:rFonts w:ascii="Times New Roman"/>
                <w:sz w:val="18"/>
              </w:rPr>
            </w:pPr>
          </w:p>
        </w:tc>
        <w:tc>
          <w:tcPr>
            <w:tcW w:w="1134" w:type="dxa"/>
            <w:shd w:val="clear" w:color="auto" w:fill="DDEBF6"/>
          </w:tcPr>
          <w:p>
            <w:pPr>
              <w:pStyle w:val="TableParagraph"/>
              <w:rPr>
                <w:rFonts w:ascii="Times New Roman"/>
                <w:sz w:val="18"/>
              </w:rPr>
            </w:pPr>
          </w:p>
        </w:tc>
        <w:tc>
          <w:tcPr>
            <w:tcW w:w="1087" w:type="dxa"/>
          </w:tcPr>
          <w:p>
            <w:pPr>
              <w:pStyle w:val="TableParagraph"/>
              <w:rPr>
                <w:rFonts w:ascii="Times New Roman"/>
                <w:sz w:val="18"/>
              </w:rPr>
            </w:pPr>
          </w:p>
        </w:tc>
        <w:tc>
          <w:tcPr>
            <w:tcW w:w="1283" w:type="dxa"/>
          </w:tcPr>
          <w:p>
            <w:pPr>
              <w:pStyle w:val="TableParagraph"/>
              <w:rPr>
                <w:rFonts w:ascii="Times New Roman"/>
                <w:sz w:val="18"/>
              </w:rPr>
            </w:pPr>
          </w:p>
        </w:tc>
        <w:tc>
          <w:tcPr>
            <w:tcW w:w="1024" w:type="dxa"/>
            <w:tcBorders>
              <w:right w:val="single" w:sz="12" w:space="0" w:color="000000"/>
            </w:tcBorders>
          </w:tcPr>
          <w:p>
            <w:pPr>
              <w:pStyle w:val="TableParagraph"/>
              <w:rPr>
                <w:rFonts w:ascii="Times New Roman"/>
                <w:sz w:val="18"/>
              </w:rPr>
            </w:pPr>
          </w:p>
        </w:tc>
      </w:tr>
      <w:tr>
        <w:trPr>
          <w:trHeight w:val="300" w:hRule="atLeast"/>
        </w:trPr>
        <w:tc>
          <w:tcPr>
            <w:tcW w:w="3617" w:type="dxa"/>
            <w:tcBorders>
              <w:left w:val="single" w:sz="12" w:space="0" w:color="000000"/>
            </w:tcBorders>
          </w:tcPr>
          <w:p>
            <w:pPr>
              <w:pStyle w:val="TableParagraph"/>
              <w:spacing w:before="31"/>
              <w:ind w:left="109"/>
              <w:rPr>
                <w:sz w:val="20"/>
              </w:rPr>
            </w:pPr>
            <w:r>
              <w:rPr>
                <w:spacing w:val="-4"/>
                <w:sz w:val="20"/>
              </w:rPr>
              <w:t>Land</w:t>
            </w:r>
          </w:p>
        </w:tc>
        <w:tc>
          <w:tcPr>
            <w:tcW w:w="1199" w:type="dxa"/>
          </w:tcPr>
          <w:p>
            <w:pPr>
              <w:pStyle w:val="TableParagraph"/>
              <w:rPr>
                <w:rFonts w:ascii="Times New Roman"/>
                <w:sz w:val="18"/>
              </w:rPr>
            </w:pPr>
          </w:p>
        </w:tc>
        <w:tc>
          <w:tcPr>
            <w:tcW w:w="1132" w:type="dxa"/>
          </w:tcPr>
          <w:p>
            <w:pPr>
              <w:pStyle w:val="TableParagraph"/>
              <w:spacing w:before="31"/>
              <w:ind w:right="90"/>
              <w:jc w:val="right"/>
              <w:rPr>
                <w:sz w:val="20"/>
              </w:rPr>
            </w:pPr>
            <w:r>
              <w:rPr>
                <w:w w:val="99"/>
                <w:sz w:val="20"/>
              </w:rPr>
              <w:t>-</w:t>
            </w:r>
          </w:p>
        </w:tc>
        <w:tc>
          <w:tcPr>
            <w:tcW w:w="1134" w:type="dxa"/>
            <w:shd w:val="clear" w:color="auto" w:fill="DDEBF6"/>
          </w:tcPr>
          <w:p>
            <w:pPr>
              <w:pStyle w:val="TableParagraph"/>
              <w:spacing w:before="31"/>
              <w:ind w:right="92"/>
              <w:jc w:val="right"/>
              <w:rPr>
                <w:sz w:val="20"/>
              </w:rPr>
            </w:pPr>
            <w:r>
              <w:rPr>
                <w:w w:val="99"/>
                <w:sz w:val="20"/>
              </w:rPr>
              <w:t>-</w:t>
            </w:r>
          </w:p>
        </w:tc>
        <w:tc>
          <w:tcPr>
            <w:tcW w:w="1087" w:type="dxa"/>
          </w:tcPr>
          <w:p>
            <w:pPr>
              <w:pStyle w:val="TableParagraph"/>
              <w:spacing w:before="31"/>
              <w:ind w:right="43"/>
              <w:jc w:val="right"/>
              <w:rPr>
                <w:sz w:val="20"/>
              </w:rPr>
            </w:pPr>
            <w:r>
              <w:rPr>
                <w:w w:val="99"/>
                <w:sz w:val="20"/>
              </w:rPr>
              <w:t>-</w:t>
            </w:r>
          </w:p>
        </w:tc>
        <w:tc>
          <w:tcPr>
            <w:tcW w:w="1283" w:type="dxa"/>
          </w:tcPr>
          <w:p>
            <w:pPr>
              <w:pStyle w:val="TableParagraph"/>
              <w:spacing w:before="31"/>
              <w:ind w:right="129"/>
              <w:jc w:val="right"/>
              <w:rPr>
                <w:sz w:val="20"/>
              </w:rPr>
            </w:pPr>
            <w:r>
              <w:rPr>
                <w:w w:val="99"/>
                <w:sz w:val="20"/>
              </w:rPr>
              <w:t>-</w:t>
            </w:r>
          </w:p>
        </w:tc>
        <w:tc>
          <w:tcPr>
            <w:tcW w:w="1024" w:type="dxa"/>
            <w:tcBorders>
              <w:right w:val="single" w:sz="12" w:space="0" w:color="000000"/>
            </w:tcBorders>
          </w:tcPr>
          <w:p>
            <w:pPr>
              <w:pStyle w:val="TableParagraph"/>
              <w:spacing w:before="31"/>
              <w:ind w:right="72"/>
              <w:jc w:val="right"/>
              <w:rPr>
                <w:sz w:val="20"/>
              </w:rPr>
            </w:pPr>
            <w:r>
              <w:rPr>
                <w:w w:val="99"/>
                <w:sz w:val="20"/>
              </w:rPr>
              <w:t>-</w:t>
            </w:r>
          </w:p>
        </w:tc>
      </w:tr>
      <w:tr>
        <w:trPr>
          <w:trHeight w:val="262" w:hRule="atLeast"/>
        </w:trPr>
        <w:tc>
          <w:tcPr>
            <w:tcW w:w="3617" w:type="dxa"/>
            <w:tcBorders>
              <w:left w:val="single" w:sz="12" w:space="0" w:color="000000"/>
            </w:tcBorders>
          </w:tcPr>
          <w:p>
            <w:pPr>
              <w:pStyle w:val="TableParagraph"/>
              <w:spacing w:line="211" w:lineRule="exact" w:before="31"/>
              <w:ind w:left="109"/>
              <w:rPr>
                <w:sz w:val="20"/>
              </w:rPr>
            </w:pPr>
            <w:r>
              <w:rPr>
                <w:sz w:val="20"/>
              </w:rPr>
              <w:t>Land</w:t>
            </w:r>
            <w:r>
              <w:rPr>
                <w:spacing w:val="-7"/>
                <w:sz w:val="20"/>
              </w:rPr>
              <w:t> </w:t>
            </w:r>
            <w:r>
              <w:rPr>
                <w:spacing w:val="-2"/>
                <w:sz w:val="20"/>
              </w:rPr>
              <w:t>improvements</w:t>
            </w:r>
          </w:p>
        </w:tc>
        <w:tc>
          <w:tcPr>
            <w:tcW w:w="1199" w:type="dxa"/>
          </w:tcPr>
          <w:p>
            <w:pPr>
              <w:pStyle w:val="TableParagraph"/>
              <w:rPr>
                <w:rFonts w:ascii="Times New Roman"/>
                <w:sz w:val="18"/>
              </w:rPr>
            </w:pPr>
          </w:p>
        </w:tc>
        <w:tc>
          <w:tcPr>
            <w:tcW w:w="1132" w:type="dxa"/>
            <w:tcBorders>
              <w:bottom w:val="single" w:sz="4" w:space="0" w:color="000000"/>
            </w:tcBorders>
          </w:tcPr>
          <w:p>
            <w:pPr>
              <w:pStyle w:val="TableParagraph"/>
              <w:spacing w:line="211" w:lineRule="exact" w:before="31"/>
              <w:ind w:right="90"/>
              <w:jc w:val="right"/>
              <w:rPr>
                <w:sz w:val="20"/>
              </w:rPr>
            </w:pPr>
            <w:r>
              <w:rPr>
                <w:w w:val="99"/>
                <w:sz w:val="20"/>
              </w:rPr>
              <w:t>-</w:t>
            </w:r>
          </w:p>
        </w:tc>
        <w:tc>
          <w:tcPr>
            <w:tcW w:w="1134" w:type="dxa"/>
            <w:tcBorders>
              <w:bottom w:val="single" w:sz="4" w:space="0" w:color="000000"/>
            </w:tcBorders>
            <w:shd w:val="clear" w:color="auto" w:fill="DDEBF6"/>
          </w:tcPr>
          <w:p>
            <w:pPr>
              <w:pStyle w:val="TableParagraph"/>
              <w:spacing w:line="211" w:lineRule="exact" w:before="31"/>
              <w:ind w:right="92"/>
              <w:jc w:val="right"/>
              <w:rPr>
                <w:sz w:val="20"/>
              </w:rPr>
            </w:pPr>
            <w:r>
              <w:rPr>
                <w:w w:val="99"/>
                <w:sz w:val="20"/>
              </w:rPr>
              <w:t>-</w:t>
            </w:r>
          </w:p>
        </w:tc>
        <w:tc>
          <w:tcPr>
            <w:tcW w:w="1087" w:type="dxa"/>
            <w:tcBorders>
              <w:bottom w:val="single" w:sz="4" w:space="0" w:color="000000"/>
            </w:tcBorders>
          </w:tcPr>
          <w:p>
            <w:pPr>
              <w:pStyle w:val="TableParagraph"/>
              <w:spacing w:line="211" w:lineRule="exact" w:before="31"/>
              <w:ind w:right="43"/>
              <w:jc w:val="right"/>
              <w:rPr>
                <w:sz w:val="20"/>
              </w:rPr>
            </w:pPr>
            <w:r>
              <w:rPr>
                <w:w w:val="99"/>
                <w:sz w:val="20"/>
              </w:rPr>
              <w:t>-</w:t>
            </w:r>
          </w:p>
        </w:tc>
        <w:tc>
          <w:tcPr>
            <w:tcW w:w="1283" w:type="dxa"/>
            <w:tcBorders>
              <w:bottom w:val="single" w:sz="4" w:space="0" w:color="000000"/>
            </w:tcBorders>
          </w:tcPr>
          <w:p>
            <w:pPr>
              <w:pStyle w:val="TableParagraph"/>
              <w:spacing w:line="211" w:lineRule="exact" w:before="31"/>
              <w:ind w:right="129"/>
              <w:jc w:val="right"/>
              <w:rPr>
                <w:sz w:val="20"/>
              </w:rPr>
            </w:pPr>
            <w:r>
              <w:rPr>
                <w:w w:val="99"/>
                <w:sz w:val="20"/>
              </w:rPr>
              <w:t>-</w:t>
            </w:r>
          </w:p>
        </w:tc>
        <w:tc>
          <w:tcPr>
            <w:tcW w:w="1024" w:type="dxa"/>
            <w:tcBorders>
              <w:bottom w:val="single" w:sz="4" w:space="0" w:color="000000"/>
              <w:right w:val="single" w:sz="12" w:space="0" w:color="000000"/>
            </w:tcBorders>
          </w:tcPr>
          <w:p>
            <w:pPr>
              <w:pStyle w:val="TableParagraph"/>
              <w:spacing w:line="211" w:lineRule="exact" w:before="31"/>
              <w:ind w:right="72"/>
              <w:jc w:val="right"/>
              <w:rPr>
                <w:sz w:val="20"/>
              </w:rPr>
            </w:pPr>
            <w:r>
              <w:rPr>
                <w:w w:val="99"/>
                <w:sz w:val="20"/>
              </w:rPr>
              <w:t>-</w:t>
            </w:r>
          </w:p>
        </w:tc>
      </w:tr>
      <w:tr>
        <w:trPr>
          <w:trHeight w:val="299" w:hRule="atLeast"/>
        </w:trPr>
        <w:tc>
          <w:tcPr>
            <w:tcW w:w="3617" w:type="dxa"/>
            <w:tcBorders>
              <w:left w:val="single" w:sz="12" w:space="0" w:color="000000"/>
            </w:tcBorders>
          </w:tcPr>
          <w:p>
            <w:pPr>
              <w:pStyle w:val="TableParagraph"/>
              <w:spacing w:line="211" w:lineRule="exact" w:before="69"/>
              <w:ind w:left="109"/>
              <w:rPr>
                <w:b/>
                <w:sz w:val="20"/>
              </w:rPr>
            </w:pPr>
            <w:r>
              <w:rPr>
                <w:b/>
                <w:sz w:val="20"/>
              </w:rPr>
              <w:t>Total</w:t>
            </w:r>
            <w:r>
              <w:rPr>
                <w:b/>
                <w:spacing w:val="-6"/>
                <w:sz w:val="20"/>
              </w:rPr>
              <w:t> </w:t>
            </w:r>
            <w:r>
              <w:rPr>
                <w:b/>
                <w:spacing w:val="-4"/>
                <w:sz w:val="20"/>
              </w:rPr>
              <w:t>land</w:t>
            </w:r>
          </w:p>
        </w:tc>
        <w:tc>
          <w:tcPr>
            <w:tcW w:w="1199" w:type="dxa"/>
          </w:tcPr>
          <w:p>
            <w:pPr>
              <w:pStyle w:val="TableParagraph"/>
              <w:rPr>
                <w:rFonts w:ascii="Times New Roman"/>
                <w:sz w:val="18"/>
              </w:rPr>
            </w:pPr>
          </w:p>
        </w:tc>
        <w:tc>
          <w:tcPr>
            <w:tcW w:w="1132" w:type="dxa"/>
            <w:tcBorders>
              <w:top w:val="single" w:sz="4" w:space="0" w:color="000000"/>
              <w:bottom w:val="single" w:sz="4" w:space="0" w:color="000000"/>
            </w:tcBorders>
          </w:tcPr>
          <w:p>
            <w:pPr>
              <w:pStyle w:val="TableParagraph"/>
              <w:spacing w:line="211" w:lineRule="exact" w:before="69"/>
              <w:ind w:right="90"/>
              <w:jc w:val="right"/>
              <w:rPr>
                <w:sz w:val="20"/>
              </w:rPr>
            </w:pPr>
            <w:r>
              <w:rPr>
                <w:w w:val="99"/>
                <w:sz w:val="20"/>
              </w:rPr>
              <w:t>-</w:t>
            </w:r>
          </w:p>
        </w:tc>
        <w:tc>
          <w:tcPr>
            <w:tcW w:w="1134" w:type="dxa"/>
            <w:tcBorders>
              <w:top w:val="single" w:sz="4" w:space="0" w:color="000000"/>
              <w:bottom w:val="single" w:sz="4" w:space="0" w:color="000000"/>
            </w:tcBorders>
            <w:shd w:val="clear" w:color="auto" w:fill="DDEBF6"/>
          </w:tcPr>
          <w:p>
            <w:pPr>
              <w:pStyle w:val="TableParagraph"/>
              <w:spacing w:line="211" w:lineRule="exact" w:before="69"/>
              <w:ind w:right="92"/>
              <w:jc w:val="right"/>
              <w:rPr>
                <w:sz w:val="20"/>
              </w:rPr>
            </w:pPr>
            <w:r>
              <w:rPr>
                <w:w w:val="99"/>
                <w:sz w:val="20"/>
              </w:rPr>
              <w:t>-</w:t>
            </w:r>
          </w:p>
        </w:tc>
        <w:tc>
          <w:tcPr>
            <w:tcW w:w="1087" w:type="dxa"/>
            <w:tcBorders>
              <w:top w:val="single" w:sz="4" w:space="0" w:color="000000"/>
              <w:bottom w:val="single" w:sz="4" w:space="0" w:color="000000"/>
            </w:tcBorders>
          </w:tcPr>
          <w:p>
            <w:pPr>
              <w:pStyle w:val="TableParagraph"/>
              <w:spacing w:line="211" w:lineRule="exact" w:before="69"/>
              <w:ind w:right="43"/>
              <w:jc w:val="right"/>
              <w:rPr>
                <w:sz w:val="20"/>
              </w:rPr>
            </w:pPr>
            <w:r>
              <w:rPr>
                <w:w w:val="99"/>
                <w:sz w:val="20"/>
              </w:rPr>
              <w:t>-</w:t>
            </w:r>
          </w:p>
        </w:tc>
        <w:tc>
          <w:tcPr>
            <w:tcW w:w="1283" w:type="dxa"/>
            <w:tcBorders>
              <w:top w:val="single" w:sz="4" w:space="0" w:color="000000"/>
              <w:bottom w:val="single" w:sz="4" w:space="0" w:color="000000"/>
            </w:tcBorders>
          </w:tcPr>
          <w:p>
            <w:pPr>
              <w:pStyle w:val="TableParagraph"/>
              <w:spacing w:line="211" w:lineRule="exact" w:before="69"/>
              <w:ind w:right="129"/>
              <w:jc w:val="right"/>
              <w:rPr>
                <w:sz w:val="20"/>
              </w:rPr>
            </w:pPr>
            <w:r>
              <w:rPr>
                <w:w w:val="99"/>
                <w:sz w:val="20"/>
              </w:rPr>
              <w:t>-</w:t>
            </w:r>
          </w:p>
        </w:tc>
        <w:tc>
          <w:tcPr>
            <w:tcW w:w="1024" w:type="dxa"/>
            <w:tcBorders>
              <w:top w:val="single" w:sz="4" w:space="0" w:color="000000"/>
              <w:bottom w:val="single" w:sz="4" w:space="0" w:color="000000"/>
              <w:right w:val="single" w:sz="12" w:space="0" w:color="000000"/>
            </w:tcBorders>
          </w:tcPr>
          <w:p>
            <w:pPr>
              <w:pStyle w:val="TableParagraph"/>
              <w:spacing w:line="211" w:lineRule="exact" w:before="69"/>
              <w:ind w:right="72"/>
              <w:jc w:val="right"/>
              <w:rPr>
                <w:sz w:val="20"/>
              </w:rPr>
            </w:pPr>
            <w:r>
              <w:rPr>
                <w:w w:val="99"/>
                <w:sz w:val="20"/>
              </w:rPr>
              <w:t>-</w:t>
            </w:r>
          </w:p>
        </w:tc>
      </w:tr>
      <w:tr>
        <w:trPr>
          <w:trHeight w:val="299" w:hRule="atLeast"/>
        </w:trPr>
        <w:tc>
          <w:tcPr>
            <w:tcW w:w="3617" w:type="dxa"/>
            <w:tcBorders>
              <w:left w:val="single" w:sz="12" w:space="0" w:color="000000"/>
            </w:tcBorders>
          </w:tcPr>
          <w:p>
            <w:pPr>
              <w:pStyle w:val="TableParagraph"/>
              <w:spacing w:line="211" w:lineRule="exact" w:before="69"/>
              <w:ind w:left="109"/>
              <w:rPr>
                <w:sz w:val="20"/>
              </w:rPr>
            </w:pPr>
            <w:r>
              <w:rPr>
                <w:spacing w:val="-2"/>
                <w:sz w:val="20"/>
              </w:rPr>
              <w:t>Buildings</w:t>
            </w:r>
          </w:p>
        </w:tc>
        <w:tc>
          <w:tcPr>
            <w:tcW w:w="1199" w:type="dxa"/>
          </w:tcPr>
          <w:p>
            <w:pPr>
              <w:pStyle w:val="TableParagraph"/>
              <w:rPr>
                <w:rFonts w:ascii="Times New Roman"/>
                <w:sz w:val="18"/>
              </w:rPr>
            </w:pPr>
          </w:p>
        </w:tc>
        <w:tc>
          <w:tcPr>
            <w:tcW w:w="1132" w:type="dxa"/>
            <w:tcBorders>
              <w:top w:val="single" w:sz="4" w:space="0" w:color="000000"/>
              <w:bottom w:val="single" w:sz="4" w:space="0" w:color="000000"/>
            </w:tcBorders>
          </w:tcPr>
          <w:p>
            <w:pPr>
              <w:pStyle w:val="TableParagraph"/>
              <w:spacing w:before="35"/>
              <w:ind w:right="92"/>
              <w:jc w:val="right"/>
              <w:rPr>
                <w:sz w:val="20"/>
              </w:rPr>
            </w:pPr>
            <w:r>
              <w:rPr>
                <w:spacing w:val="-2"/>
                <w:sz w:val="20"/>
              </w:rPr>
              <w:t>46,182</w:t>
            </w:r>
          </w:p>
        </w:tc>
        <w:tc>
          <w:tcPr>
            <w:tcW w:w="1134" w:type="dxa"/>
            <w:tcBorders>
              <w:top w:val="single" w:sz="4" w:space="0" w:color="000000"/>
              <w:bottom w:val="single" w:sz="4" w:space="0" w:color="000000"/>
            </w:tcBorders>
            <w:shd w:val="clear" w:color="auto" w:fill="DAE8F7"/>
          </w:tcPr>
          <w:p>
            <w:pPr>
              <w:pStyle w:val="TableParagraph"/>
              <w:spacing w:before="35"/>
              <w:ind w:right="93"/>
              <w:jc w:val="right"/>
              <w:rPr>
                <w:sz w:val="20"/>
              </w:rPr>
            </w:pPr>
            <w:r>
              <w:rPr>
                <w:spacing w:val="-2"/>
                <w:sz w:val="20"/>
              </w:rPr>
              <w:t>22,276</w:t>
            </w:r>
          </w:p>
        </w:tc>
        <w:tc>
          <w:tcPr>
            <w:tcW w:w="1087" w:type="dxa"/>
            <w:tcBorders>
              <w:top w:val="single" w:sz="4" w:space="0" w:color="000000"/>
              <w:bottom w:val="single" w:sz="4" w:space="0" w:color="000000"/>
            </w:tcBorders>
          </w:tcPr>
          <w:p>
            <w:pPr>
              <w:pStyle w:val="TableParagraph"/>
              <w:spacing w:before="35"/>
              <w:ind w:right="45"/>
              <w:jc w:val="right"/>
              <w:rPr>
                <w:sz w:val="20"/>
              </w:rPr>
            </w:pPr>
            <w:r>
              <w:rPr>
                <w:spacing w:val="-2"/>
                <w:sz w:val="20"/>
              </w:rPr>
              <w:t>40,109</w:t>
            </w:r>
          </w:p>
        </w:tc>
        <w:tc>
          <w:tcPr>
            <w:tcW w:w="1283" w:type="dxa"/>
            <w:tcBorders>
              <w:top w:val="single" w:sz="4" w:space="0" w:color="000000"/>
              <w:bottom w:val="single" w:sz="4" w:space="0" w:color="000000"/>
            </w:tcBorders>
          </w:tcPr>
          <w:p>
            <w:pPr>
              <w:pStyle w:val="TableParagraph"/>
              <w:spacing w:before="35"/>
              <w:ind w:right="130"/>
              <w:jc w:val="right"/>
              <w:rPr>
                <w:sz w:val="20"/>
              </w:rPr>
            </w:pPr>
            <w:r>
              <w:rPr>
                <w:spacing w:val="-2"/>
                <w:sz w:val="20"/>
              </w:rPr>
              <w:t>25,393</w:t>
            </w:r>
          </w:p>
        </w:tc>
        <w:tc>
          <w:tcPr>
            <w:tcW w:w="1024" w:type="dxa"/>
            <w:tcBorders>
              <w:top w:val="single" w:sz="4" w:space="0" w:color="000000"/>
              <w:bottom w:val="single" w:sz="4" w:space="0" w:color="000000"/>
              <w:right w:val="single" w:sz="12" w:space="0" w:color="000000"/>
            </w:tcBorders>
          </w:tcPr>
          <w:p>
            <w:pPr>
              <w:pStyle w:val="TableParagraph"/>
              <w:spacing w:before="35"/>
              <w:ind w:right="74"/>
              <w:jc w:val="right"/>
              <w:rPr>
                <w:sz w:val="20"/>
              </w:rPr>
            </w:pPr>
            <w:r>
              <w:rPr>
                <w:spacing w:val="-2"/>
                <w:sz w:val="20"/>
              </w:rPr>
              <w:t>25,687</w:t>
            </w:r>
          </w:p>
        </w:tc>
      </w:tr>
      <w:tr>
        <w:trPr>
          <w:trHeight w:val="299" w:hRule="atLeast"/>
        </w:trPr>
        <w:tc>
          <w:tcPr>
            <w:tcW w:w="3617" w:type="dxa"/>
            <w:tcBorders>
              <w:left w:val="single" w:sz="12" w:space="0" w:color="000000"/>
            </w:tcBorders>
          </w:tcPr>
          <w:p>
            <w:pPr>
              <w:pStyle w:val="TableParagraph"/>
              <w:spacing w:line="211" w:lineRule="exact" w:before="69"/>
              <w:ind w:left="109"/>
              <w:rPr>
                <w:b/>
                <w:sz w:val="20"/>
              </w:rPr>
            </w:pPr>
            <w:r>
              <w:rPr>
                <w:b/>
                <w:sz w:val="20"/>
              </w:rPr>
              <w:t>Total</w:t>
            </w:r>
            <w:r>
              <w:rPr>
                <w:b/>
                <w:spacing w:val="-6"/>
                <w:sz w:val="20"/>
              </w:rPr>
              <w:t> </w:t>
            </w:r>
            <w:r>
              <w:rPr>
                <w:b/>
                <w:spacing w:val="-2"/>
                <w:sz w:val="20"/>
              </w:rPr>
              <w:t>buildings</w:t>
            </w:r>
          </w:p>
        </w:tc>
        <w:tc>
          <w:tcPr>
            <w:tcW w:w="1199" w:type="dxa"/>
          </w:tcPr>
          <w:p>
            <w:pPr>
              <w:pStyle w:val="TableParagraph"/>
              <w:rPr>
                <w:rFonts w:ascii="Times New Roman"/>
                <w:sz w:val="18"/>
              </w:rPr>
            </w:pPr>
          </w:p>
        </w:tc>
        <w:tc>
          <w:tcPr>
            <w:tcW w:w="1132" w:type="dxa"/>
            <w:tcBorders>
              <w:top w:val="single" w:sz="4" w:space="0" w:color="000000"/>
              <w:bottom w:val="single" w:sz="4" w:space="0" w:color="000000"/>
            </w:tcBorders>
          </w:tcPr>
          <w:p>
            <w:pPr>
              <w:pStyle w:val="TableParagraph"/>
              <w:spacing w:before="35"/>
              <w:ind w:right="92"/>
              <w:jc w:val="right"/>
              <w:rPr>
                <w:sz w:val="20"/>
              </w:rPr>
            </w:pPr>
            <w:r>
              <w:rPr>
                <w:spacing w:val="-2"/>
                <w:sz w:val="20"/>
              </w:rPr>
              <w:t>46,182</w:t>
            </w:r>
          </w:p>
        </w:tc>
        <w:tc>
          <w:tcPr>
            <w:tcW w:w="1134" w:type="dxa"/>
            <w:tcBorders>
              <w:top w:val="single" w:sz="4" w:space="0" w:color="000000"/>
              <w:bottom w:val="single" w:sz="4" w:space="0" w:color="000000"/>
            </w:tcBorders>
            <w:shd w:val="clear" w:color="auto" w:fill="DDEBF6"/>
          </w:tcPr>
          <w:p>
            <w:pPr>
              <w:pStyle w:val="TableParagraph"/>
              <w:spacing w:before="35"/>
              <w:ind w:right="93"/>
              <w:jc w:val="right"/>
              <w:rPr>
                <w:sz w:val="20"/>
              </w:rPr>
            </w:pPr>
            <w:r>
              <w:rPr>
                <w:spacing w:val="-2"/>
                <w:sz w:val="20"/>
              </w:rPr>
              <w:t>22,276</w:t>
            </w:r>
          </w:p>
        </w:tc>
        <w:tc>
          <w:tcPr>
            <w:tcW w:w="1087" w:type="dxa"/>
            <w:tcBorders>
              <w:top w:val="single" w:sz="4" w:space="0" w:color="000000"/>
              <w:bottom w:val="single" w:sz="4" w:space="0" w:color="000000"/>
            </w:tcBorders>
          </w:tcPr>
          <w:p>
            <w:pPr>
              <w:pStyle w:val="TableParagraph"/>
              <w:spacing w:before="35"/>
              <w:ind w:right="45"/>
              <w:jc w:val="right"/>
              <w:rPr>
                <w:sz w:val="20"/>
              </w:rPr>
            </w:pPr>
            <w:r>
              <w:rPr>
                <w:spacing w:val="-2"/>
                <w:sz w:val="20"/>
              </w:rPr>
              <w:t>40,109</w:t>
            </w:r>
          </w:p>
        </w:tc>
        <w:tc>
          <w:tcPr>
            <w:tcW w:w="1283" w:type="dxa"/>
            <w:tcBorders>
              <w:top w:val="single" w:sz="4" w:space="0" w:color="000000"/>
              <w:bottom w:val="single" w:sz="4" w:space="0" w:color="000000"/>
            </w:tcBorders>
          </w:tcPr>
          <w:p>
            <w:pPr>
              <w:pStyle w:val="TableParagraph"/>
              <w:spacing w:before="35"/>
              <w:ind w:right="130"/>
              <w:jc w:val="right"/>
              <w:rPr>
                <w:sz w:val="20"/>
              </w:rPr>
            </w:pPr>
            <w:r>
              <w:rPr>
                <w:spacing w:val="-2"/>
                <w:sz w:val="20"/>
              </w:rPr>
              <w:t>25,393</w:t>
            </w:r>
          </w:p>
        </w:tc>
        <w:tc>
          <w:tcPr>
            <w:tcW w:w="1024" w:type="dxa"/>
            <w:tcBorders>
              <w:top w:val="single" w:sz="4" w:space="0" w:color="000000"/>
              <w:bottom w:val="single" w:sz="4" w:space="0" w:color="000000"/>
              <w:right w:val="single" w:sz="12" w:space="0" w:color="000000"/>
            </w:tcBorders>
          </w:tcPr>
          <w:p>
            <w:pPr>
              <w:pStyle w:val="TableParagraph"/>
              <w:spacing w:before="35"/>
              <w:ind w:right="74"/>
              <w:jc w:val="right"/>
              <w:rPr>
                <w:sz w:val="20"/>
              </w:rPr>
            </w:pPr>
            <w:r>
              <w:rPr>
                <w:spacing w:val="-2"/>
                <w:sz w:val="20"/>
              </w:rPr>
              <w:t>25,687</w:t>
            </w:r>
          </w:p>
        </w:tc>
      </w:tr>
      <w:tr>
        <w:trPr>
          <w:trHeight w:val="299" w:hRule="atLeast"/>
        </w:trPr>
        <w:tc>
          <w:tcPr>
            <w:tcW w:w="3617" w:type="dxa"/>
            <w:tcBorders>
              <w:left w:val="single" w:sz="12" w:space="0" w:color="000000"/>
            </w:tcBorders>
          </w:tcPr>
          <w:p>
            <w:pPr>
              <w:pStyle w:val="TableParagraph"/>
              <w:spacing w:line="211" w:lineRule="exact" w:before="69"/>
              <w:ind w:left="109"/>
              <w:rPr>
                <w:b/>
                <w:sz w:val="20"/>
              </w:rPr>
            </w:pPr>
            <w:r>
              <w:rPr>
                <w:b/>
                <w:sz w:val="20"/>
              </w:rPr>
              <w:t>Total</w:t>
            </w:r>
            <w:r>
              <w:rPr>
                <w:b/>
                <w:spacing w:val="-6"/>
                <w:sz w:val="20"/>
              </w:rPr>
              <w:t> </w:t>
            </w:r>
            <w:r>
              <w:rPr>
                <w:b/>
                <w:spacing w:val="-2"/>
                <w:sz w:val="20"/>
              </w:rPr>
              <w:t>property</w:t>
            </w:r>
          </w:p>
        </w:tc>
        <w:tc>
          <w:tcPr>
            <w:tcW w:w="1199" w:type="dxa"/>
          </w:tcPr>
          <w:p>
            <w:pPr>
              <w:pStyle w:val="TableParagraph"/>
              <w:rPr>
                <w:rFonts w:ascii="Times New Roman"/>
                <w:sz w:val="18"/>
              </w:rPr>
            </w:pPr>
          </w:p>
        </w:tc>
        <w:tc>
          <w:tcPr>
            <w:tcW w:w="1132" w:type="dxa"/>
            <w:tcBorders>
              <w:top w:val="single" w:sz="4" w:space="0" w:color="000000"/>
              <w:bottom w:val="single" w:sz="4" w:space="0" w:color="000000"/>
            </w:tcBorders>
          </w:tcPr>
          <w:p>
            <w:pPr>
              <w:pStyle w:val="TableParagraph"/>
              <w:spacing w:before="35"/>
              <w:ind w:right="92"/>
              <w:jc w:val="right"/>
              <w:rPr>
                <w:sz w:val="20"/>
              </w:rPr>
            </w:pPr>
            <w:r>
              <w:rPr>
                <w:spacing w:val="-2"/>
                <w:sz w:val="20"/>
              </w:rPr>
              <w:t>46,182</w:t>
            </w:r>
          </w:p>
        </w:tc>
        <w:tc>
          <w:tcPr>
            <w:tcW w:w="1134" w:type="dxa"/>
            <w:tcBorders>
              <w:top w:val="single" w:sz="4" w:space="0" w:color="000000"/>
              <w:bottom w:val="single" w:sz="4" w:space="0" w:color="000000"/>
            </w:tcBorders>
            <w:shd w:val="clear" w:color="auto" w:fill="DDEBF6"/>
          </w:tcPr>
          <w:p>
            <w:pPr>
              <w:pStyle w:val="TableParagraph"/>
              <w:spacing w:before="35"/>
              <w:ind w:right="93"/>
              <w:jc w:val="right"/>
              <w:rPr>
                <w:b/>
                <w:sz w:val="20"/>
              </w:rPr>
            </w:pPr>
            <w:r>
              <w:rPr>
                <w:b/>
                <w:spacing w:val="-2"/>
                <w:sz w:val="20"/>
              </w:rPr>
              <w:t>22,276</w:t>
            </w:r>
          </w:p>
        </w:tc>
        <w:tc>
          <w:tcPr>
            <w:tcW w:w="1087" w:type="dxa"/>
            <w:tcBorders>
              <w:top w:val="single" w:sz="4" w:space="0" w:color="000000"/>
              <w:bottom w:val="single" w:sz="4" w:space="0" w:color="000000"/>
            </w:tcBorders>
          </w:tcPr>
          <w:p>
            <w:pPr>
              <w:pStyle w:val="TableParagraph"/>
              <w:spacing w:before="35"/>
              <w:ind w:right="45"/>
              <w:jc w:val="right"/>
              <w:rPr>
                <w:sz w:val="20"/>
              </w:rPr>
            </w:pPr>
            <w:r>
              <w:rPr>
                <w:spacing w:val="-2"/>
                <w:sz w:val="20"/>
              </w:rPr>
              <w:t>40,109</w:t>
            </w:r>
          </w:p>
        </w:tc>
        <w:tc>
          <w:tcPr>
            <w:tcW w:w="1283" w:type="dxa"/>
            <w:tcBorders>
              <w:top w:val="single" w:sz="4" w:space="0" w:color="000000"/>
              <w:bottom w:val="single" w:sz="4" w:space="0" w:color="000000"/>
            </w:tcBorders>
          </w:tcPr>
          <w:p>
            <w:pPr>
              <w:pStyle w:val="TableParagraph"/>
              <w:spacing w:before="35"/>
              <w:ind w:right="130"/>
              <w:jc w:val="right"/>
              <w:rPr>
                <w:sz w:val="20"/>
              </w:rPr>
            </w:pPr>
            <w:r>
              <w:rPr>
                <w:spacing w:val="-2"/>
                <w:sz w:val="20"/>
              </w:rPr>
              <w:t>25,393</w:t>
            </w:r>
          </w:p>
        </w:tc>
        <w:tc>
          <w:tcPr>
            <w:tcW w:w="1024" w:type="dxa"/>
            <w:tcBorders>
              <w:top w:val="single" w:sz="4" w:space="0" w:color="000000"/>
              <w:bottom w:val="single" w:sz="4" w:space="0" w:color="000000"/>
              <w:right w:val="single" w:sz="12" w:space="0" w:color="000000"/>
            </w:tcBorders>
          </w:tcPr>
          <w:p>
            <w:pPr>
              <w:pStyle w:val="TableParagraph"/>
              <w:spacing w:before="35"/>
              <w:ind w:right="74"/>
              <w:jc w:val="right"/>
              <w:rPr>
                <w:sz w:val="20"/>
              </w:rPr>
            </w:pPr>
            <w:r>
              <w:rPr>
                <w:spacing w:val="-2"/>
                <w:sz w:val="20"/>
              </w:rPr>
              <w:t>25,687</w:t>
            </w:r>
          </w:p>
        </w:tc>
      </w:tr>
      <w:tr>
        <w:trPr>
          <w:trHeight w:val="621" w:hRule="atLeast"/>
        </w:trPr>
        <w:tc>
          <w:tcPr>
            <w:tcW w:w="3617" w:type="dxa"/>
            <w:tcBorders>
              <w:left w:val="single" w:sz="12" w:space="0" w:color="000000"/>
            </w:tcBorders>
          </w:tcPr>
          <w:p>
            <w:pPr>
              <w:pStyle w:val="TableParagraph"/>
              <w:spacing w:before="3"/>
              <w:rPr>
                <w:i/>
                <w:sz w:val="32"/>
              </w:rPr>
            </w:pPr>
          </w:p>
          <w:p>
            <w:pPr>
              <w:pStyle w:val="TableParagraph"/>
              <w:ind w:left="109"/>
              <w:rPr>
                <w:b/>
                <w:sz w:val="20"/>
              </w:rPr>
            </w:pPr>
            <w:r>
              <w:rPr>
                <w:b/>
                <w:sz w:val="20"/>
              </w:rPr>
              <w:t>Plant</w:t>
            </w:r>
            <w:r>
              <w:rPr>
                <w:b/>
                <w:spacing w:val="-5"/>
                <w:sz w:val="20"/>
              </w:rPr>
              <w:t> </w:t>
            </w:r>
            <w:r>
              <w:rPr>
                <w:b/>
                <w:sz w:val="20"/>
              </w:rPr>
              <w:t>and</w:t>
            </w:r>
            <w:r>
              <w:rPr>
                <w:b/>
                <w:spacing w:val="-4"/>
                <w:sz w:val="20"/>
              </w:rPr>
              <w:t> </w:t>
            </w:r>
            <w:r>
              <w:rPr>
                <w:b/>
                <w:spacing w:val="-2"/>
                <w:sz w:val="20"/>
              </w:rPr>
              <w:t>equipment</w:t>
            </w:r>
          </w:p>
        </w:tc>
        <w:tc>
          <w:tcPr>
            <w:tcW w:w="1199" w:type="dxa"/>
          </w:tcPr>
          <w:p>
            <w:pPr>
              <w:pStyle w:val="TableParagraph"/>
              <w:rPr>
                <w:rFonts w:ascii="Times New Roman"/>
                <w:sz w:val="18"/>
              </w:rPr>
            </w:pPr>
          </w:p>
        </w:tc>
        <w:tc>
          <w:tcPr>
            <w:tcW w:w="1132" w:type="dxa"/>
            <w:tcBorders>
              <w:top w:val="single" w:sz="4" w:space="0" w:color="000000"/>
            </w:tcBorders>
          </w:tcPr>
          <w:p>
            <w:pPr>
              <w:pStyle w:val="TableParagraph"/>
              <w:rPr>
                <w:rFonts w:ascii="Times New Roman"/>
                <w:sz w:val="18"/>
              </w:rPr>
            </w:pPr>
          </w:p>
        </w:tc>
        <w:tc>
          <w:tcPr>
            <w:tcW w:w="1134" w:type="dxa"/>
            <w:tcBorders>
              <w:top w:val="single" w:sz="4" w:space="0" w:color="000000"/>
            </w:tcBorders>
            <w:shd w:val="clear" w:color="auto" w:fill="DDEBF6"/>
          </w:tcPr>
          <w:p>
            <w:pPr>
              <w:pStyle w:val="TableParagraph"/>
              <w:rPr>
                <w:rFonts w:ascii="Times New Roman"/>
                <w:sz w:val="18"/>
              </w:rPr>
            </w:pPr>
          </w:p>
        </w:tc>
        <w:tc>
          <w:tcPr>
            <w:tcW w:w="1087" w:type="dxa"/>
            <w:tcBorders>
              <w:top w:val="single" w:sz="4" w:space="0" w:color="000000"/>
            </w:tcBorders>
          </w:tcPr>
          <w:p>
            <w:pPr>
              <w:pStyle w:val="TableParagraph"/>
              <w:rPr>
                <w:rFonts w:ascii="Times New Roman"/>
                <w:sz w:val="18"/>
              </w:rPr>
            </w:pPr>
          </w:p>
        </w:tc>
        <w:tc>
          <w:tcPr>
            <w:tcW w:w="1283" w:type="dxa"/>
            <w:tcBorders>
              <w:top w:val="single" w:sz="4" w:space="0" w:color="000000"/>
            </w:tcBorders>
          </w:tcPr>
          <w:p>
            <w:pPr>
              <w:pStyle w:val="TableParagraph"/>
              <w:rPr>
                <w:rFonts w:ascii="Times New Roman"/>
                <w:sz w:val="18"/>
              </w:rPr>
            </w:pPr>
          </w:p>
        </w:tc>
        <w:tc>
          <w:tcPr>
            <w:tcW w:w="1024" w:type="dxa"/>
            <w:tcBorders>
              <w:top w:val="single" w:sz="4" w:space="0" w:color="000000"/>
              <w:right w:val="single" w:sz="12" w:space="0" w:color="000000"/>
            </w:tcBorders>
          </w:tcPr>
          <w:p>
            <w:pPr>
              <w:pStyle w:val="TableParagraph"/>
              <w:rPr>
                <w:rFonts w:ascii="Times New Roman"/>
                <w:sz w:val="18"/>
              </w:rPr>
            </w:pPr>
          </w:p>
        </w:tc>
      </w:tr>
      <w:tr>
        <w:trPr>
          <w:trHeight w:val="300" w:hRule="atLeast"/>
        </w:trPr>
        <w:tc>
          <w:tcPr>
            <w:tcW w:w="3617" w:type="dxa"/>
            <w:tcBorders>
              <w:left w:val="single" w:sz="12" w:space="0" w:color="000000"/>
            </w:tcBorders>
          </w:tcPr>
          <w:p>
            <w:pPr>
              <w:pStyle w:val="TableParagraph"/>
              <w:spacing w:before="49"/>
              <w:ind w:left="109"/>
              <w:rPr>
                <w:sz w:val="20"/>
              </w:rPr>
            </w:pPr>
            <w:r>
              <w:rPr>
                <w:sz w:val="20"/>
              </w:rPr>
              <w:t>Plant,</w:t>
            </w:r>
            <w:r>
              <w:rPr>
                <w:spacing w:val="-4"/>
                <w:sz w:val="20"/>
              </w:rPr>
              <w:t> </w:t>
            </w:r>
            <w:r>
              <w:rPr>
                <w:sz w:val="20"/>
              </w:rPr>
              <w:t>machinery,</w:t>
            </w:r>
            <w:r>
              <w:rPr>
                <w:spacing w:val="-8"/>
                <w:sz w:val="20"/>
              </w:rPr>
              <w:t> </w:t>
            </w:r>
            <w:r>
              <w:rPr>
                <w:sz w:val="20"/>
              </w:rPr>
              <w:t>and</w:t>
            </w:r>
            <w:r>
              <w:rPr>
                <w:spacing w:val="-4"/>
                <w:sz w:val="20"/>
              </w:rPr>
              <w:t> </w:t>
            </w:r>
            <w:r>
              <w:rPr>
                <w:spacing w:val="-2"/>
                <w:sz w:val="20"/>
              </w:rPr>
              <w:t>equipment</w:t>
            </w:r>
          </w:p>
        </w:tc>
        <w:tc>
          <w:tcPr>
            <w:tcW w:w="1199" w:type="dxa"/>
          </w:tcPr>
          <w:p>
            <w:pPr>
              <w:pStyle w:val="TableParagraph"/>
              <w:rPr>
                <w:rFonts w:ascii="Times New Roman"/>
                <w:sz w:val="18"/>
              </w:rPr>
            </w:pPr>
          </w:p>
        </w:tc>
        <w:tc>
          <w:tcPr>
            <w:tcW w:w="1132" w:type="dxa"/>
          </w:tcPr>
          <w:p>
            <w:pPr>
              <w:pStyle w:val="TableParagraph"/>
              <w:spacing w:before="13"/>
              <w:ind w:right="91"/>
              <w:jc w:val="right"/>
              <w:rPr>
                <w:sz w:val="20"/>
              </w:rPr>
            </w:pPr>
            <w:r>
              <w:rPr>
                <w:spacing w:val="-2"/>
                <w:sz w:val="20"/>
              </w:rPr>
              <w:t>3,320</w:t>
            </w:r>
          </w:p>
        </w:tc>
        <w:tc>
          <w:tcPr>
            <w:tcW w:w="1134" w:type="dxa"/>
            <w:shd w:val="clear" w:color="auto" w:fill="DDEBF6"/>
          </w:tcPr>
          <w:p>
            <w:pPr>
              <w:pStyle w:val="TableParagraph"/>
              <w:spacing w:before="13"/>
              <w:ind w:right="92"/>
              <w:jc w:val="right"/>
              <w:rPr>
                <w:sz w:val="20"/>
              </w:rPr>
            </w:pPr>
            <w:r>
              <w:rPr>
                <w:spacing w:val="-2"/>
                <w:sz w:val="20"/>
              </w:rPr>
              <w:t>1,257</w:t>
            </w:r>
          </w:p>
        </w:tc>
        <w:tc>
          <w:tcPr>
            <w:tcW w:w="1087" w:type="dxa"/>
          </w:tcPr>
          <w:p>
            <w:pPr>
              <w:pStyle w:val="TableParagraph"/>
              <w:spacing w:before="13"/>
              <w:ind w:right="44"/>
              <w:jc w:val="right"/>
              <w:rPr>
                <w:sz w:val="20"/>
              </w:rPr>
            </w:pPr>
            <w:r>
              <w:rPr>
                <w:spacing w:val="-2"/>
                <w:sz w:val="20"/>
              </w:rPr>
              <w:t>1,104</w:t>
            </w:r>
          </w:p>
        </w:tc>
        <w:tc>
          <w:tcPr>
            <w:tcW w:w="1283" w:type="dxa"/>
          </w:tcPr>
          <w:p>
            <w:pPr>
              <w:pStyle w:val="TableParagraph"/>
              <w:spacing w:before="13"/>
              <w:ind w:right="129"/>
              <w:jc w:val="right"/>
              <w:rPr>
                <w:sz w:val="20"/>
              </w:rPr>
            </w:pPr>
            <w:r>
              <w:rPr>
                <w:spacing w:val="-2"/>
                <w:sz w:val="20"/>
              </w:rPr>
              <w:t>3,350</w:t>
            </w:r>
          </w:p>
        </w:tc>
        <w:tc>
          <w:tcPr>
            <w:tcW w:w="1024" w:type="dxa"/>
            <w:tcBorders>
              <w:right w:val="single" w:sz="12" w:space="0" w:color="000000"/>
            </w:tcBorders>
          </w:tcPr>
          <w:p>
            <w:pPr>
              <w:pStyle w:val="TableParagraph"/>
              <w:spacing w:before="13"/>
              <w:ind w:right="73"/>
              <w:jc w:val="right"/>
              <w:rPr>
                <w:sz w:val="20"/>
              </w:rPr>
            </w:pPr>
            <w:r>
              <w:rPr>
                <w:spacing w:val="-2"/>
                <w:sz w:val="20"/>
              </w:rPr>
              <w:t>2,231</w:t>
            </w:r>
          </w:p>
        </w:tc>
      </w:tr>
      <w:tr>
        <w:trPr>
          <w:trHeight w:val="300" w:hRule="atLeast"/>
        </w:trPr>
        <w:tc>
          <w:tcPr>
            <w:tcW w:w="3617" w:type="dxa"/>
            <w:tcBorders>
              <w:left w:val="single" w:sz="12" w:space="0" w:color="000000"/>
            </w:tcBorders>
          </w:tcPr>
          <w:p>
            <w:pPr>
              <w:pStyle w:val="TableParagraph"/>
              <w:spacing w:before="49"/>
              <w:ind w:left="109"/>
              <w:rPr>
                <w:sz w:val="20"/>
              </w:rPr>
            </w:pPr>
            <w:r>
              <w:rPr>
                <w:sz w:val="20"/>
              </w:rPr>
              <w:t>Fixtures,</w:t>
            </w:r>
            <w:r>
              <w:rPr>
                <w:spacing w:val="-7"/>
                <w:sz w:val="20"/>
              </w:rPr>
              <w:t> </w:t>
            </w:r>
            <w:r>
              <w:rPr>
                <w:sz w:val="20"/>
              </w:rPr>
              <w:t>fittings,</w:t>
            </w:r>
            <w:r>
              <w:rPr>
                <w:spacing w:val="-6"/>
                <w:sz w:val="20"/>
              </w:rPr>
              <w:t> </w:t>
            </w:r>
            <w:r>
              <w:rPr>
                <w:sz w:val="20"/>
              </w:rPr>
              <w:t>and</w:t>
            </w:r>
            <w:r>
              <w:rPr>
                <w:spacing w:val="-7"/>
                <w:sz w:val="20"/>
              </w:rPr>
              <w:t> </w:t>
            </w:r>
            <w:r>
              <w:rPr>
                <w:spacing w:val="-2"/>
                <w:sz w:val="20"/>
              </w:rPr>
              <w:t>furniture</w:t>
            </w:r>
          </w:p>
        </w:tc>
        <w:tc>
          <w:tcPr>
            <w:tcW w:w="1199" w:type="dxa"/>
          </w:tcPr>
          <w:p>
            <w:pPr>
              <w:pStyle w:val="TableParagraph"/>
              <w:rPr>
                <w:rFonts w:ascii="Times New Roman"/>
                <w:sz w:val="18"/>
              </w:rPr>
            </w:pPr>
          </w:p>
        </w:tc>
        <w:tc>
          <w:tcPr>
            <w:tcW w:w="1132" w:type="dxa"/>
          </w:tcPr>
          <w:p>
            <w:pPr>
              <w:pStyle w:val="TableParagraph"/>
              <w:spacing w:before="13"/>
              <w:ind w:right="92"/>
              <w:jc w:val="right"/>
              <w:rPr>
                <w:sz w:val="20"/>
              </w:rPr>
            </w:pPr>
            <w:r>
              <w:rPr>
                <w:spacing w:val="-5"/>
                <w:sz w:val="20"/>
              </w:rPr>
              <w:t>235</w:t>
            </w:r>
          </w:p>
        </w:tc>
        <w:tc>
          <w:tcPr>
            <w:tcW w:w="1134" w:type="dxa"/>
            <w:shd w:val="clear" w:color="auto" w:fill="DDEBF6"/>
          </w:tcPr>
          <w:p>
            <w:pPr>
              <w:pStyle w:val="TableParagraph"/>
              <w:spacing w:before="13"/>
              <w:ind w:right="93"/>
              <w:jc w:val="right"/>
              <w:rPr>
                <w:sz w:val="20"/>
              </w:rPr>
            </w:pPr>
            <w:r>
              <w:rPr>
                <w:spacing w:val="-5"/>
                <w:sz w:val="20"/>
              </w:rPr>
              <w:t>809</w:t>
            </w:r>
          </w:p>
        </w:tc>
        <w:tc>
          <w:tcPr>
            <w:tcW w:w="1087" w:type="dxa"/>
          </w:tcPr>
          <w:p>
            <w:pPr>
              <w:pStyle w:val="TableParagraph"/>
              <w:spacing w:before="13"/>
              <w:ind w:right="45"/>
              <w:jc w:val="right"/>
              <w:rPr>
                <w:sz w:val="20"/>
              </w:rPr>
            </w:pPr>
            <w:r>
              <w:rPr>
                <w:spacing w:val="-5"/>
                <w:sz w:val="20"/>
              </w:rPr>
              <w:t>835</w:t>
            </w:r>
          </w:p>
        </w:tc>
        <w:tc>
          <w:tcPr>
            <w:tcW w:w="1283" w:type="dxa"/>
          </w:tcPr>
          <w:p>
            <w:pPr>
              <w:pStyle w:val="TableParagraph"/>
              <w:spacing w:before="13"/>
              <w:ind w:right="130"/>
              <w:jc w:val="right"/>
              <w:rPr>
                <w:sz w:val="20"/>
              </w:rPr>
            </w:pPr>
            <w:r>
              <w:rPr>
                <w:spacing w:val="-5"/>
                <w:sz w:val="20"/>
              </w:rPr>
              <w:t>837</w:t>
            </w:r>
          </w:p>
        </w:tc>
        <w:tc>
          <w:tcPr>
            <w:tcW w:w="1024" w:type="dxa"/>
            <w:tcBorders>
              <w:right w:val="single" w:sz="12" w:space="0" w:color="000000"/>
            </w:tcBorders>
          </w:tcPr>
          <w:p>
            <w:pPr>
              <w:pStyle w:val="TableParagraph"/>
              <w:spacing w:before="13"/>
              <w:ind w:right="74"/>
              <w:jc w:val="right"/>
              <w:rPr>
                <w:sz w:val="20"/>
              </w:rPr>
            </w:pPr>
            <w:r>
              <w:rPr>
                <w:spacing w:val="-5"/>
                <w:sz w:val="20"/>
              </w:rPr>
              <w:t>839</w:t>
            </w:r>
          </w:p>
        </w:tc>
      </w:tr>
      <w:tr>
        <w:trPr>
          <w:trHeight w:val="280" w:hRule="atLeast"/>
        </w:trPr>
        <w:tc>
          <w:tcPr>
            <w:tcW w:w="3617" w:type="dxa"/>
            <w:tcBorders>
              <w:left w:val="single" w:sz="12" w:space="0" w:color="000000"/>
            </w:tcBorders>
          </w:tcPr>
          <w:p>
            <w:pPr>
              <w:pStyle w:val="TableParagraph"/>
              <w:spacing w:line="211" w:lineRule="exact" w:before="49"/>
              <w:ind w:left="109"/>
              <w:rPr>
                <w:sz w:val="20"/>
              </w:rPr>
            </w:pPr>
            <w:r>
              <w:rPr>
                <w:sz w:val="20"/>
              </w:rPr>
              <w:t>Computers</w:t>
            </w:r>
            <w:r>
              <w:rPr>
                <w:spacing w:val="-6"/>
                <w:sz w:val="20"/>
              </w:rPr>
              <w:t> </w:t>
            </w:r>
            <w:r>
              <w:rPr>
                <w:sz w:val="20"/>
              </w:rPr>
              <w:t>and</w:t>
            </w:r>
            <w:r>
              <w:rPr>
                <w:spacing w:val="-8"/>
                <w:sz w:val="20"/>
              </w:rPr>
              <w:t> </w:t>
            </w:r>
            <w:r>
              <w:rPr>
                <w:spacing w:val="-2"/>
                <w:sz w:val="20"/>
              </w:rPr>
              <w:t>telecommunications</w:t>
            </w:r>
          </w:p>
        </w:tc>
        <w:tc>
          <w:tcPr>
            <w:tcW w:w="1199" w:type="dxa"/>
          </w:tcPr>
          <w:p>
            <w:pPr>
              <w:pStyle w:val="TableParagraph"/>
              <w:rPr>
                <w:rFonts w:ascii="Times New Roman"/>
                <w:sz w:val="18"/>
              </w:rPr>
            </w:pPr>
          </w:p>
        </w:tc>
        <w:tc>
          <w:tcPr>
            <w:tcW w:w="1132" w:type="dxa"/>
            <w:tcBorders>
              <w:bottom w:val="single" w:sz="4" w:space="0" w:color="000000"/>
            </w:tcBorders>
          </w:tcPr>
          <w:p>
            <w:pPr>
              <w:pStyle w:val="TableParagraph"/>
              <w:spacing w:before="13"/>
              <w:ind w:right="92"/>
              <w:jc w:val="right"/>
              <w:rPr>
                <w:sz w:val="20"/>
              </w:rPr>
            </w:pPr>
            <w:r>
              <w:rPr>
                <w:spacing w:val="-5"/>
                <w:sz w:val="20"/>
              </w:rPr>
              <w:t>861</w:t>
            </w:r>
          </w:p>
        </w:tc>
        <w:tc>
          <w:tcPr>
            <w:tcW w:w="1134" w:type="dxa"/>
            <w:tcBorders>
              <w:bottom w:val="single" w:sz="4" w:space="0" w:color="000000"/>
            </w:tcBorders>
            <w:shd w:val="clear" w:color="auto" w:fill="DDEBF6"/>
          </w:tcPr>
          <w:p>
            <w:pPr>
              <w:pStyle w:val="TableParagraph"/>
              <w:spacing w:before="13"/>
              <w:ind w:right="93"/>
              <w:jc w:val="right"/>
              <w:rPr>
                <w:sz w:val="20"/>
              </w:rPr>
            </w:pPr>
            <w:r>
              <w:rPr>
                <w:spacing w:val="-5"/>
                <w:sz w:val="20"/>
              </w:rPr>
              <w:t>326</w:t>
            </w:r>
          </w:p>
        </w:tc>
        <w:tc>
          <w:tcPr>
            <w:tcW w:w="1087" w:type="dxa"/>
            <w:tcBorders>
              <w:bottom w:val="single" w:sz="4" w:space="0" w:color="000000"/>
            </w:tcBorders>
          </w:tcPr>
          <w:p>
            <w:pPr>
              <w:pStyle w:val="TableParagraph"/>
              <w:spacing w:before="13"/>
              <w:ind w:right="45"/>
              <w:jc w:val="right"/>
              <w:rPr>
                <w:sz w:val="20"/>
              </w:rPr>
            </w:pPr>
            <w:r>
              <w:rPr>
                <w:spacing w:val="-5"/>
                <w:sz w:val="20"/>
              </w:rPr>
              <w:t>601</w:t>
            </w:r>
          </w:p>
        </w:tc>
        <w:tc>
          <w:tcPr>
            <w:tcW w:w="1283" w:type="dxa"/>
            <w:tcBorders>
              <w:bottom w:val="single" w:sz="4" w:space="0" w:color="000000"/>
            </w:tcBorders>
          </w:tcPr>
          <w:p>
            <w:pPr>
              <w:pStyle w:val="TableParagraph"/>
              <w:spacing w:before="13"/>
              <w:ind w:right="130"/>
              <w:jc w:val="right"/>
              <w:rPr>
                <w:sz w:val="20"/>
              </w:rPr>
            </w:pPr>
            <w:r>
              <w:rPr>
                <w:spacing w:val="-5"/>
                <w:sz w:val="20"/>
              </w:rPr>
              <w:t>366</w:t>
            </w:r>
          </w:p>
        </w:tc>
        <w:tc>
          <w:tcPr>
            <w:tcW w:w="1024" w:type="dxa"/>
            <w:tcBorders>
              <w:bottom w:val="single" w:sz="4" w:space="0" w:color="000000"/>
              <w:right w:val="single" w:sz="12" w:space="0" w:color="000000"/>
            </w:tcBorders>
          </w:tcPr>
          <w:p>
            <w:pPr>
              <w:pStyle w:val="TableParagraph"/>
              <w:spacing w:before="13"/>
              <w:ind w:right="74"/>
              <w:jc w:val="right"/>
              <w:rPr>
                <w:sz w:val="20"/>
              </w:rPr>
            </w:pPr>
            <w:r>
              <w:rPr>
                <w:spacing w:val="-5"/>
                <w:sz w:val="20"/>
              </w:rPr>
              <w:t>566</w:t>
            </w:r>
          </w:p>
        </w:tc>
      </w:tr>
      <w:tr>
        <w:trPr>
          <w:trHeight w:val="299" w:hRule="atLeast"/>
        </w:trPr>
        <w:tc>
          <w:tcPr>
            <w:tcW w:w="3617" w:type="dxa"/>
            <w:tcBorders>
              <w:left w:val="single" w:sz="12" w:space="0" w:color="000000"/>
            </w:tcBorders>
          </w:tcPr>
          <w:p>
            <w:pPr>
              <w:pStyle w:val="TableParagraph"/>
              <w:spacing w:line="211" w:lineRule="exact" w:before="69"/>
              <w:ind w:left="109"/>
              <w:rPr>
                <w:b/>
                <w:sz w:val="20"/>
              </w:rPr>
            </w:pPr>
            <w:r>
              <w:rPr>
                <w:b/>
                <w:sz w:val="20"/>
              </w:rPr>
              <w:t>Total</w:t>
            </w:r>
            <w:r>
              <w:rPr>
                <w:b/>
                <w:spacing w:val="-6"/>
                <w:sz w:val="20"/>
              </w:rPr>
              <w:t> </w:t>
            </w:r>
            <w:r>
              <w:rPr>
                <w:b/>
                <w:sz w:val="20"/>
              </w:rPr>
              <w:t>plant</w:t>
            </w:r>
            <w:r>
              <w:rPr>
                <w:b/>
                <w:spacing w:val="-4"/>
                <w:sz w:val="20"/>
              </w:rPr>
              <w:t> </w:t>
            </w:r>
            <w:r>
              <w:rPr>
                <w:b/>
                <w:sz w:val="20"/>
              </w:rPr>
              <w:t>and</w:t>
            </w:r>
            <w:r>
              <w:rPr>
                <w:b/>
                <w:spacing w:val="-6"/>
                <w:sz w:val="20"/>
              </w:rPr>
              <w:t> </w:t>
            </w:r>
            <w:r>
              <w:rPr>
                <w:b/>
                <w:spacing w:val="-2"/>
                <w:sz w:val="20"/>
              </w:rPr>
              <w:t>equipment</w:t>
            </w:r>
          </w:p>
        </w:tc>
        <w:tc>
          <w:tcPr>
            <w:tcW w:w="1199" w:type="dxa"/>
          </w:tcPr>
          <w:p>
            <w:pPr>
              <w:pStyle w:val="TableParagraph"/>
              <w:rPr>
                <w:rFonts w:ascii="Times New Roman"/>
                <w:sz w:val="18"/>
              </w:rPr>
            </w:pPr>
          </w:p>
        </w:tc>
        <w:tc>
          <w:tcPr>
            <w:tcW w:w="1132" w:type="dxa"/>
            <w:tcBorders>
              <w:top w:val="single" w:sz="4" w:space="0" w:color="000000"/>
              <w:bottom w:val="single" w:sz="4" w:space="0" w:color="000000"/>
            </w:tcBorders>
          </w:tcPr>
          <w:p>
            <w:pPr>
              <w:pStyle w:val="TableParagraph"/>
              <w:spacing w:before="33"/>
              <w:ind w:right="91"/>
              <w:jc w:val="right"/>
              <w:rPr>
                <w:sz w:val="20"/>
              </w:rPr>
            </w:pPr>
            <w:r>
              <w:rPr>
                <w:spacing w:val="-2"/>
                <w:sz w:val="20"/>
              </w:rPr>
              <w:t>4,416</w:t>
            </w:r>
          </w:p>
        </w:tc>
        <w:tc>
          <w:tcPr>
            <w:tcW w:w="1134" w:type="dxa"/>
            <w:tcBorders>
              <w:top w:val="single" w:sz="4" w:space="0" w:color="000000"/>
              <w:bottom w:val="single" w:sz="4" w:space="0" w:color="000000"/>
            </w:tcBorders>
            <w:shd w:val="clear" w:color="auto" w:fill="DDEBF6"/>
          </w:tcPr>
          <w:p>
            <w:pPr>
              <w:pStyle w:val="TableParagraph"/>
              <w:spacing w:before="33"/>
              <w:ind w:right="92"/>
              <w:jc w:val="right"/>
              <w:rPr>
                <w:b/>
                <w:sz w:val="20"/>
              </w:rPr>
            </w:pPr>
            <w:r>
              <w:rPr>
                <w:b/>
                <w:spacing w:val="-2"/>
                <w:sz w:val="20"/>
              </w:rPr>
              <w:t>2,392</w:t>
            </w:r>
          </w:p>
        </w:tc>
        <w:tc>
          <w:tcPr>
            <w:tcW w:w="1087" w:type="dxa"/>
            <w:tcBorders>
              <w:top w:val="single" w:sz="4" w:space="0" w:color="000000"/>
              <w:bottom w:val="single" w:sz="4" w:space="0" w:color="000000"/>
            </w:tcBorders>
          </w:tcPr>
          <w:p>
            <w:pPr>
              <w:pStyle w:val="TableParagraph"/>
              <w:spacing w:before="33"/>
              <w:ind w:right="44"/>
              <w:jc w:val="right"/>
              <w:rPr>
                <w:sz w:val="20"/>
              </w:rPr>
            </w:pPr>
            <w:r>
              <w:rPr>
                <w:spacing w:val="-2"/>
                <w:sz w:val="20"/>
              </w:rPr>
              <w:t>2,540</w:t>
            </w:r>
          </w:p>
        </w:tc>
        <w:tc>
          <w:tcPr>
            <w:tcW w:w="1283" w:type="dxa"/>
            <w:tcBorders>
              <w:top w:val="single" w:sz="4" w:space="0" w:color="000000"/>
              <w:bottom w:val="single" w:sz="4" w:space="0" w:color="000000"/>
            </w:tcBorders>
          </w:tcPr>
          <w:p>
            <w:pPr>
              <w:pStyle w:val="TableParagraph"/>
              <w:spacing w:before="33"/>
              <w:ind w:right="129"/>
              <w:jc w:val="right"/>
              <w:rPr>
                <w:sz w:val="20"/>
              </w:rPr>
            </w:pPr>
            <w:r>
              <w:rPr>
                <w:spacing w:val="-2"/>
                <w:sz w:val="20"/>
              </w:rPr>
              <w:t>4,553</w:t>
            </w:r>
          </w:p>
        </w:tc>
        <w:tc>
          <w:tcPr>
            <w:tcW w:w="1024" w:type="dxa"/>
            <w:tcBorders>
              <w:top w:val="single" w:sz="4" w:space="0" w:color="000000"/>
              <w:bottom w:val="single" w:sz="4" w:space="0" w:color="000000"/>
              <w:right w:val="single" w:sz="12" w:space="0" w:color="000000"/>
            </w:tcBorders>
          </w:tcPr>
          <w:p>
            <w:pPr>
              <w:pStyle w:val="TableParagraph"/>
              <w:spacing w:before="33"/>
              <w:ind w:right="73"/>
              <w:jc w:val="right"/>
              <w:rPr>
                <w:sz w:val="20"/>
              </w:rPr>
            </w:pPr>
            <w:r>
              <w:rPr>
                <w:spacing w:val="-2"/>
                <w:sz w:val="20"/>
              </w:rPr>
              <w:t>3,636</w:t>
            </w:r>
          </w:p>
        </w:tc>
      </w:tr>
      <w:tr>
        <w:trPr>
          <w:trHeight w:val="619" w:hRule="atLeast"/>
        </w:trPr>
        <w:tc>
          <w:tcPr>
            <w:tcW w:w="3617" w:type="dxa"/>
            <w:tcBorders>
              <w:left w:val="single" w:sz="12" w:space="0" w:color="000000"/>
            </w:tcBorders>
          </w:tcPr>
          <w:p>
            <w:pPr>
              <w:pStyle w:val="TableParagraph"/>
              <w:spacing w:before="1"/>
              <w:rPr>
                <w:i/>
                <w:sz w:val="32"/>
              </w:rPr>
            </w:pPr>
          </w:p>
          <w:p>
            <w:pPr>
              <w:pStyle w:val="TableParagraph"/>
              <w:ind w:left="109"/>
              <w:rPr>
                <w:b/>
                <w:sz w:val="20"/>
              </w:rPr>
            </w:pPr>
            <w:r>
              <w:rPr>
                <w:b/>
                <w:spacing w:val="-2"/>
                <w:sz w:val="20"/>
              </w:rPr>
              <w:t>Infrastructure</w:t>
            </w:r>
          </w:p>
        </w:tc>
        <w:tc>
          <w:tcPr>
            <w:tcW w:w="1199" w:type="dxa"/>
          </w:tcPr>
          <w:p>
            <w:pPr>
              <w:pStyle w:val="TableParagraph"/>
              <w:rPr>
                <w:rFonts w:ascii="Times New Roman"/>
                <w:sz w:val="18"/>
              </w:rPr>
            </w:pPr>
          </w:p>
        </w:tc>
        <w:tc>
          <w:tcPr>
            <w:tcW w:w="1132" w:type="dxa"/>
            <w:tcBorders>
              <w:top w:val="single" w:sz="4" w:space="0" w:color="000000"/>
            </w:tcBorders>
          </w:tcPr>
          <w:p>
            <w:pPr>
              <w:pStyle w:val="TableParagraph"/>
              <w:rPr>
                <w:rFonts w:ascii="Times New Roman"/>
                <w:sz w:val="18"/>
              </w:rPr>
            </w:pPr>
          </w:p>
        </w:tc>
        <w:tc>
          <w:tcPr>
            <w:tcW w:w="1134" w:type="dxa"/>
            <w:tcBorders>
              <w:top w:val="single" w:sz="4" w:space="0" w:color="000000"/>
            </w:tcBorders>
            <w:shd w:val="clear" w:color="auto" w:fill="DDEBF6"/>
          </w:tcPr>
          <w:p>
            <w:pPr>
              <w:pStyle w:val="TableParagraph"/>
              <w:rPr>
                <w:rFonts w:ascii="Times New Roman"/>
                <w:sz w:val="18"/>
              </w:rPr>
            </w:pPr>
          </w:p>
        </w:tc>
        <w:tc>
          <w:tcPr>
            <w:tcW w:w="1087" w:type="dxa"/>
            <w:tcBorders>
              <w:top w:val="single" w:sz="4" w:space="0" w:color="000000"/>
            </w:tcBorders>
          </w:tcPr>
          <w:p>
            <w:pPr>
              <w:pStyle w:val="TableParagraph"/>
              <w:rPr>
                <w:rFonts w:ascii="Times New Roman"/>
                <w:sz w:val="18"/>
              </w:rPr>
            </w:pPr>
          </w:p>
        </w:tc>
        <w:tc>
          <w:tcPr>
            <w:tcW w:w="1283" w:type="dxa"/>
            <w:tcBorders>
              <w:top w:val="single" w:sz="4" w:space="0" w:color="000000"/>
            </w:tcBorders>
          </w:tcPr>
          <w:p>
            <w:pPr>
              <w:pStyle w:val="TableParagraph"/>
              <w:rPr>
                <w:rFonts w:ascii="Times New Roman"/>
                <w:sz w:val="18"/>
              </w:rPr>
            </w:pPr>
          </w:p>
        </w:tc>
        <w:tc>
          <w:tcPr>
            <w:tcW w:w="1024" w:type="dxa"/>
            <w:tcBorders>
              <w:top w:val="single" w:sz="4" w:space="0" w:color="000000"/>
              <w:right w:val="single" w:sz="12" w:space="0" w:color="000000"/>
            </w:tcBorders>
          </w:tcPr>
          <w:p>
            <w:pPr>
              <w:pStyle w:val="TableParagraph"/>
              <w:rPr>
                <w:rFonts w:ascii="Times New Roman"/>
                <w:sz w:val="18"/>
              </w:rPr>
            </w:pPr>
          </w:p>
        </w:tc>
      </w:tr>
      <w:tr>
        <w:trPr>
          <w:trHeight w:val="300" w:hRule="atLeast"/>
        </w:trPr>
        <w:tc>
          <w:tcPr>
            <w:tcW w:w="3617" w:type="dxa"/>
            <w:tcBorders>
              <w:left w:val="single" w:sz="12" w:space="0" w:color="000000"/>
            </w:tcBorders>
          </w:tcPr>
          <w:p>
            <w:pPr>
              <w:pStyle w:val="TableParagraph"/>
              <w:spacing w:before="49"/>
              <w:ind w:left="109"/>
              <w:rPr>
                <w:sz w:val="20"/>
              </w:rPr>
            </w:pPr>
            <w:r>
              <w:rPr>
                <w:spacing w:val="-2"/>
                <w:sz w:val="20"/>
              </w:rPr>
              <w:t>Roads</w:t>
            </w:r>
          </w:p>
        </w:tc>
        <w:tc>
          <w:tcPr>
            <w:tcW w:w="1199" w:type="dxa"/>
          </w:tcPr>
          <w:p>
            <w:pPr>
              <w:pStyle w:val="TableParagraph"/>
              <w:rPr>
                <w:rFonts w:ascii="Times New Roman"/>
                <w:sz w:val="18"/>
              </w:rPr>
            </w:pPr>
          </w:p>
        </w:tc>
        <w:tc>
          <w:tcPr>
            <w:tcW w:w="1132" w:type="dxa"/>
          </w:tcPr>
          <w:p>
            <w:pPr>
              <w:pStyle w:val="TableParagraph"/>
              <w:spacing w:before="13"/>
              <w:ind w:right="91"/>
              <w:jc w:val="right"/>
              <w:rPr>
                <w:sz w:val="20"/>
              </w:rPr>
            </w:pPr>
            <w:r>
              <w:rPr>
                <w:spacing w:val="-2"/>
                <w:sz w:val="20"/>
              </w:rPr>
              <w:t>6,724</w:t>
            </w:r>
          </w:p>
        </w:tc>
        <w:tc>
          <w:tcPr>
            <w:tcW w:w="1134" w:type="dxa"/>
            <w:shd w:val="clear" w:color="auto" w:fill="DDEBF6"/>
          </w:tcPr>
          <w:p>
            <w:pPr>
              <w:pStyle w:val="TableParagraph"/>
              <w:spacing w:before="13"/>
              <w:ind w:right="92"/>
              <w:jc w:val="right"/>
              <w:rPr>
                <w:sz w:val="20"/>
              </w:rPr>
            </w:pPr>
            <w:r>
              <w:rPr>
                <w:spacing w:val="-2"/>
                <w:sz w:val="20"/>
              </w:rPr>
              <w:t>5,751</w:t>
            </w:r>
          </w:p>
        </w:tc>
        <w:tc>
          <w:tcPr>
            <w:tcW w:w="1087" w:type="dxa"/>
          </w:tcPr>
          <w:p>
            <w:pPr>
              <w:pStyle w:val="TableParagraph"/>
              <w:spacing w:before="13"/>
              <w:ind w:right="44"/>
              <w:jc w:val="right"/>
              <w:rPr>
                <w:sz w:val="20"/>
              </w:rPr>
            </w:pPr>
            <w:r>
              <w:rPr>
                <w:spacing w:val="-2"/>
                <w:sz w:val="20"/>
              </w:rPr>
              <w:t>5,054</w:t>
            </w:r>
          </w:p>
        </w:tc>
        <w:tc>
          <w:tcPr>
            <w:tcW w:w="1283" w:type="dxa"/>
          </w:tcPr>
          <w:p>
            <w:pPr>
              <w:pStyle w:val="TableParagraph"/>
              <w:spacing w:before="13"/>
              <w:ind w:right="129"/>
              <w:jc w:val="right"/>
              <w:rPr>
                <w:sz w:val="20"/>
              </w:rPr>
            </w:pPr>
            <w:r>
              <w:rPr>
                <w:spacing w:val="-2"/>
                <w:sz w:val="20"/>
              </w:rPr>
              <w:t>5,204</w:t>
            </w:r>
          </w:p>
        </w:tc>
        <w:tc>
          <w:tcPr>
            <w:tcW w:w="1024" w:type="dxa"/>
            <w:tcBorders>
              <w:right w:val="single" w:sz="12" w:space="0" w:color="000000"/>
            </w:tcBorders>
          </w:tcPr>
          <w:p>
            <w:pPr>
              <w:pStyle w:val="TableParagraph"/>
              <w:spacing w:before="13"/>
              <w:ind w:right="73"/>
              <w:jc w:val="right"/>
              <w:rPr>
                <w:sz w:val="20"/>
              </w:rPr>
            </w:pPr>
            <w:r>
              <w:rPr>
                <w:spacing w:val="-2"/>
                <w:sz w:val="20"/>
              </w:rPr>
              <w:t>5,204</w:t>
            </w:r>
          </w:p>
        </w:tc>
      </w:tr>
      <w:tr>
        <w:trPr>
          <w:trHeight w:val="299" w:hRule="atLeast"/>
        </w:trPr>
        <w:tc>
          <w:tcPr>
            <w:tcW w:w="3617" w:type="dxa"/>
            <w:tcBorders>
              <w:left w:val="single" w:sz="12" w:space="0" w:color="000000"/>
            </w:tcBorders>
          </w:tcPr>
          <w:p>
            <w:pPr>
              <w:pStyle w:val="TableParagraph"/>
              <w:spacing w:before="49"/>
              <w:ind w:left="109"/>
              <w:rPr>
                <w:sz w:val="20"/>
              </w:rPr>
            </w:pPr>
            <w:r>
              <w:rPr>
                <w:sz w:val="20"/>
              </w:rPr>
              <w:t>Footpaths</w:t>
            </w:r>
            <w:r>
              <w:rPr>
                <w:spacing w:val="-7"/>
                <w:sz w:val="20"/>
              </w:rPr>
              <w:t> </w:t>
            </w:r>
            <w:r>
              <w:rPr>
                <w:sz w:val="20"/>
              </w:rPr>
              <w:t>and</w:t>
            </w:r>
            <w:r>
              <w:rPr>
                <w:spacing w:val="-9"/>
                <w:sz w:val="20"/>
              </w:rPr>
              <w:t> </w:t>
            </w:r>
            <w:r>
              <w:rPr>
                <w:spacing w:val="-2"/>
                <w:sz w:val="20"/>
              </w:rPr>
              <w:t>cycleways</w:t>
            </w:r>
          </w:p>
        </w:tc>
        <w:tc>
          <w:tcPr>
            <w:tcW w:w="1199" w:type="dxa"/>
          </w:tcPr>
          <w:p>
            <w:pPr>
              <w:pStyle w:val="TableParagraph"/>
              <w:rPr>
                <w:rFonts w:ascii="Times New Roman"/>
                <w:sz w:val="18"/>
              </w:rPr>
            </w:pPr>
          </w:p>
        </w:tc>
        <w:tc>
          <w:tcPr>
            <w:tcW w:w="1132" w:type="dxa"/>
          </w:tcPr>
          <w:p>
            <w:pPr>
              <w:pStyle w:val="TableParagraph"/>
              <w:spacing w:before="13"/>
              <w:ind w:right="91"/>
              <w:jc w:val="right"/>
              <w:rPr>
                <w:sz w:val="20"/>
              </w:rPr>
            </w:pPr>
            <w:r>
              <w:rPr>
                <w:spacing w:val="-2"/>
                <w:sz w:val="20"/>
              </w:rPr>
              <w:t>2,881</w:t>
            </w:r>
          </w:p>
        </w:tc>
        <w:tc>
          <w:tcPr>
            <w:tcW w:w="1134" w:type="dxa"/>
            <w:shd w:val="clear" w:color="auto" w:fill="DDEBF6"/>
          </w:tcPr>
          <w:p>
            <w:pPr>
              <w:pStyle w:val="TableParagraph"/>
              <w:spacing w:before="13"/>
              <w:ind w:right="92"/>
              <w:jc w:val="right"/>
              <w:rPr>
                <w:sz w:val="20"/>
              </w:rPr>
            </w:pPr>
            <w:r>
              <w:rPr>
                <w:spacing w:val="-2"/>
                <w:sz w:val="20"/>
              </w:rPr>
              <w:t>4,487</w:t>
            </w:r>
          </w:p>
        </w:tc>
        <w:tc>
          <w:tcPr>
            <w:tcW w:w="1087" w:type="dxa"/>
          </w:tcPr>
          <w:p>
            <w:pPr>
              <w:pStyle w:val="TableParagraph"/>
              <w:spacing w:before="13"/>
              <w:ind w:right="44"/>
              <w:jc w:val="right"/>
              <w:rPr>
                <w:sz w:val="20"/>
              </w:rPr>
            </w:pPr>
            <w:r>
              <w:rPr>
                <w:spacing w:val="-2"/>
                <w:sz w:val="20"/>
              </w:rPr>
              <w:t>2,728</w:t>
            </w:r>
          </w:p>
        </w:tc>
        <w:tc>
          <w:tcPr>
            <w:tcW w:w="1283" w:type="dxa"/>
          </w:tcPr>
          <w:p>
            <w:pPr>
              <w:pStyle w:val="TableParagraph"/>
              <w:spacing w:before="13"/>
              <w:ind w:right="129"/>
              <w:jc w:val="right"/>
              <w:rPr>
                <w:sz w:val="20"/>
              </w:rPr>
            </w:pPr>
            <w:r>
              <w:rPr>
                <w:spacing w:val="-2"/>
                <w:sz w:val="20"/>
              </w:rPr>
              <w:t>3,685</w:t>
            </w:r>
          </w:p>
        </w:tc>
        <w:tc>
          <w:tcPr>
            <w:tcW w:w="1024" w:type="dxa"/>
            <w:tcBorders>
              <w:right w:val="single" w:sz="12" w:space="0" w:color="000000"/>
            </w:tcBorders>
          </w:tcPr>
          <w:p>
            <w:pPr>
              <w:pStyle w:val="TableParagraph"/>
              <w:spacing w:before="13"/>
              <w:ind w:right="73"/>
              <w:jc w:val="right"/>
              <w:rPr>
                <w:sz w:val="20"/>
              </w:rPr>
            </w:pPr>
            <w:r>
              <w:rPr>
                <w:spacing w:val="-2"/>
                <w:sz w:val="20"/>
              </w:rPr>
              <w:t>3,734</w:t>
            </w:r>
          </w:p>
        </w:tc>
      </w:tr>
      <w:tr>
        <w:trPr>
          <w:trHeight w:val="283" w:hRule="atLeast"/>
        </w:trPr>
        <w:tc>
          <w:tcPr>
            <w:tcW w:w="3617" w:type="dxa"/>
            <w:tcBorders>
              <w:left w:val="single" w:sz="12" w:space="0" w:color="000000"/>
            </w:tcBorders>
          </w:tcPr>
          <w:p>
            <w:pPr>
              <w:pStyle w:val="TableParagraph"/>
              <w:spacing w:line="214" w:lineRule="exact" w:before="49"/>
              <w:ind w:left="109"/>
              <w:rPr>
                <w:sz w:val="20"/>
              </w:rPr>
            </w:pPr>
            <w:r>
              <w:rPr>
                <w:spacing w:val="-2"/>
                <w:sz w:val="20"/>
              </w:rPr>
              <w:t>Drainage</w:t>
            </w:r>
          </w:p>
        </w:tc>
        <w:tc>
          <w:tcPr>
            <w:tcW w:w="1199" w:type="dxa"/>
          </w:tcPr>
          <w:p>
            <w:pPr>
              <w:pStyle w:val="TableParagraph"/>
              <w:rPr>
                <w:rFonts w:ascii="Times New Roman"/>
                <w:sz w:val="18"/>
              </w:rPr>
            </w:pPr>
          </w:p>
        </w:tc>
        <w:tc>
          <w:tcPr>
            <w:tcW w:w="1132" w:type="dxa"/>
          </w:tcPr>
          <w:p>
            <w:pPr>
              <w:pStyle w:val="TableParagraph"/>
              <w:spacing w:before="13"/>
              <w:ind w:right="91"/>
              <w:jc w:val="right"/>
              <w:rPr>
                <w:sz w:val="20"/>
              </w:rPr>
            </w:pPr>
            <w:r>
              <w:rPr>
                <w:spacing w:val="-2"/>
                <w:sz w:val="20"/>
              </w:rPr>
              <w:t>4,724</w:t>
            </w:r>
          </w:p>
        </w:tc>
        <w:tc>
          <w:tcPr>
            <w:tcW w:w="1134" w:type="dxa"/>
            <w:shd w:val="clear" w:color="auto" w:fill="DDEBF6"/>
          </w:tcPr>
          <w:p>
            <w:pPr>
              <w:pStyle w:val="TableParagraph"/>
              <w:spacing w:before="13"/>
              <w:ind w:right="92"/>
              <w:jc w:val="right"/>
              <w:rPr>
                <w:sz w:val="20"/>
              </w:rPr>
            </w:pPr>
            <w:r>
              <w:rPr>
                <w:spacing w:val="-2"/>
                <w:sz w:val="20"/>
              </w:rPr>
              <w:t>3,130</w:t>
            </w:r>
          </w:p>
        </w:tc>
        <w:tc>
          <w:tcPr>
            <w:tcW w:w="1087" w:type="dxa"/>
          </w:tcPr>
          <w:p>
            <w:pPr>
              <w:pStyle w:val="TableParagraph"/>
              <w:spacing w:before="13"/>
              <w:ind w:right="44"/>
              <w:jc w:val="right"/>
              <w:rPr>
                <w:sz w:val="20"/>
              </w:rPr>
            </w:pPr>
            <w:r>
              <w:rPr>
                <w:spacing w:val="-2"/>
                <w:sz w:val="20"/>
              </w:rPr>
              <w:t>3,170</w:t>
            </w:r>
          </w:p>
        </w:tc>
        <w:tc>
          <w:tcPr>
            <w:tcW w:w="1283" w:type="dxa"/>
          </w:tcPr>
          <w:p>
            <w:pPr>
              <w:pStyle w:val="TableParagraph"/>
              <w:spacing w:before="13"/>
              <w:ind w:right="129"/>
              <w:jc w:val="right"/>
              <w:rPr>
                <w:sz w:val="20"/>
              </w:rPr>
            </w:pPr>
            <w:r>
              <w:rPr>
                <w:spacing w:val="-2"/>
                <w:sz w:val="20"/>
              </w:rPr>
              <w:t>3,200</w:t>
            </w:r>
          </w:p>
        </w:tc>
        <w:tc>
          <w:tcPr>
            <w:tcW w:w="1024" w:type="dxa"/>
            <w:tcBorders>
              <w:right w:val="single" w:sz="12" w:space="0" w:color="000000"/>
            </w:tcBorders>
          </w:tcPr>
          <w:p>
            <w:pPr>
              <w:pStyle w:val="TableParagraph"/>
              <w:spacing w:before="13"/>
              <w:ind w:right="73"/>
              <w:jc w:val="right"/>
              <w:rPr>
                <w:sz w:val="20"/>
              </w:rPr>
            </w:pPr>
            <w:r>
              <w:rPr>
                <w:spacing w:val="-2"/>
                <w:sz w:val="20"/>
              </w:rPr>
              <w:t>4,500</w:t>
            </w:r>
          </w:p>
        </w:tc>
      </w:tr>
      <w:tr>
        <w:trPr>
          <w:trHeight w:val="477" w:hRule="atLeast"/>
        </w:trPr>
        <w:tc>
          <w:tcPr>
            <w:tcW w:w="3617" w:type="dxa"/>
            <w:tcBorders>
              <w:left w:val="single" w:sz="12" w:space="0" w:color="000000"/>
            </w:tcBorders>
          </w:tcPr>
          <w:p>
            <w:pPr>
              <w:pStyle w:val="TableParagraph"/>
              <w:ind w:left="109"/>
              <w:rPr>
                <w:sz w:val="20"/>
              </w:rPr>
            </w:pPr>
            <w:r>
              <w:rPr>
                <w:sz w:val="20"/>
              </w:rPr>
              <w:t>Recreational,</w:t>
            </w:r>
            <w:r>
              <w:rPr>
                <w:spacing w:val="-6"/>
                <w:sz w:val="20"/>
              </w:rPr>
              <w:t> </w:t>
            </w:r>
            <w:r>
              <w:rPr>
                <w:sz w:val="20"/>
              </w:rPr>
              <w:t>leisure</w:t>
            </w:r>
            <w:r>
              <w:rPr>
                <w:spacing w:val="-9"/>
                <w:sz w:val="20"/>
              </w:rPr>
              <w:t> </w:t>
            </w:r>
            <w:r>
              <w:rPr>
                <w:sz w:val="20"/>
              </w:rPr>
              <w:t>and</w:t>
            </w:r>
            <w:r>
              <w:rPr>
                <w:spacing w:val="-8"/>
                <w:sz w:val="20"/>
              </w:rPr>
              <w:t> </w:t>
            </w:r>
            <w:r>
              <w:rPr>
                <w:sz w:val="20"/>
              </w:rPr>
              <w:t>community </w:t>
            </w:r>
            <w:r>
              <w:rPr>
                <w:spacing w:val="-2"/>
                <w:sz w:val="20"/>
              </w:rPr>
              <w:t>facilities</w:t>
            </w:r>
          </w:p>
        </w:tc>
        <w:tc>
          <w:tcPr>
            <w:tcW w:w="1199" w:type="dxa"/>
          </w:tcPr>
          <w:p>
            <w:pPr>
              <w:pStyle w:val="TableParagraph"/>
              <w:rPr>
                <w:rFonts w:ascii="Times New Roman"/>
                <w:sz w:val="18"/>
              </w:rPr>
            </w:pPr>
          </w:p>
        </w:tc>
        <w:tc>
          <w:tcPr>
            <w:tcW w:w="1132" w:type="dxa"/>
          </w:tcPr>
          <w:p>
            <w:pPr>
              <w:pStyle w:val="TableParagraph"/>
              <w:spacing w:before="112"/>
              <w:ind w:right="91"/>
              <w:jc w:val="right"/>
              <w:rPr>
                <w:sz w:val="20"/>
              </w:rPr>
            </w:pPr>
            <w:r>
              <w:rPr>
                <w:spacing w:val="-2"/>
                <w:sz w:val="20"/>
              </w:rPr>
              <w:t>2,406</w:t>
            </w:r>
          </w:p>
        </w:tc>
        <w:tc>
          <w:tcPr>
            <w:tcW w:w="1134" w:type="dxa"/>
            <w:shd w:val="clear" w:color="auto" w:fill="DDEBF6"/>
          </w:tcPr>
          <w:p>
            <w:pPr>
              <w:pStyle w:val="TableParagraph"/>
              <w:spacing w:before="112"/>
              <w:ind w:right="92"/>
              <w:jc w:val="right"/>
              <w:rPr>
                <w:sz w:val="20"/>
              </w:rPr>
            </w:pPr>
            <w:r>
              <w:rPr>
                <w:spacing w:val="-2"/>
                <w:sz w:val="20"/>
              </w:rPr>
              <w:t>1,968</w:t>
            </w:r>
          </w:p>
        </w:tc>
        <w:tc>
          <w:tcPr>
            <w:tcW w:w="1087" w:type="dxa"/>
          </w:tcPr>
          <w:p>
            <w:pPr>
              <w:pStyle w:val="TableParagraph"/>
              <w:spacing w:before="112"/>
              <w:ind w:right="44"/>
              <w:jc w:val="right"/>
              <w:rPr>
                <w:sz w:val="20"/>
              </w:rPr>
            </w:pPr>
            <w:r>
              <w:rPr>
                <w:spacing w:val="-2"/>
                <w:sz w:val="20"/>
              </w:rPr>
              <w:t>2,004</w:t>
            </w:r>
          </w:p>
        </w:tc>
        <w:tc>
          <w:tcPr>
            <w:tcW w:w="1283" w:type="dxa"/>
          </w:tcPr>
          <w:p>
            <w:pPr>
              <w:pStyle w:val="TableParagraph"/>
              <w:spacing w:before="112"/>
              <w:ind w:right="129"/>
              <w:jc w:val="right"/>
              <w:rPr>
                <w:sz w:val="20"/>
              </w:rPr>
            </w:pPr>
            <w:r>
              <w:rPr>
                <w:spacing w:val="-2"/>
                <w:sz w:val="20"/>
              </w:rPr>
              <w:t>2,065</w:t>
            </w:r>
          </w:p>
        </w:tc>
        <w:tc>
          <w:tcPr>
            <w:tcW w:w="1024" w:type="dxa"/>
            <w:tcBorders>
              <w:right w:val="single" w:sz="12" w:space="0" w:color="000000"/>
            </w:tcBorders>
          </w:tcPr>
          <w:p>
            <w:pPr>
              <w:pStyle w:val="TableParagraph"/>
              <w:spacing w:before="112"/>
              <w:ind w:right="73"/>
              <w:jc w:val="right"/>
              <w:rPr>
                <w:sz w:val="20"/>
              </w:rPr>
            </w:pPr>
            <w:r>
              <w:rPr>
                <w:spacing w:val="-2"/>
                <w:sz w:val="20"/>
              </w:rPr>
              <w:t>2,066</w:t>
            </w:r>
          </w:p>
        </w:tc>
      </w:tr>
      <w:tr>
        <w:trPr>
          <w:trHeight w:val="300" w:hRule="atLeast"/>
        </w:trPr>
        <w:tc>
          <w:tcPr>
            <w:tcW w:w="3617" w:type="dxa"/>
            <w:tcBorders>
              <w:left w:val="single" w:sz="12" w:space="0" w:color="000000"/>
            </w:tcBorders>
          </w:tcPr>
          <w:p>
            <w:pPr>
              <w:pStyle w:val="TableParagraph"/>
              <w:spacing w:before="49"/>
              <w:ind w:left="109"/>
              <w:rPr>
                <w:sz w:val="20"/>
              </w:rPr>
            </w:pPr>
            <w:r>
              <w:rPr>
                <w:sz w:val="20"/>
              </w:rPr>
              <w:t>Waste</w:t>
            </w:r>
            <w:r>
              <w:rPr>
                <w:spacing w:val="-6"/>
                <w:sz w:val="20"/>
              </w:rPr>
              <w:t> </w:t>
            </w:r>
            <w:r>
              <w:rPr>
                <w:spacing w:val="-2"/>
                <w:sz w:val="20"/>
              </w:rPr>
              <w:t>management</w:t>
            </w:r>
          </w:p>
        </w:tc>
        <w:tc>
          <w:tcPr>
            <w:tcW w:w="1199" w:type="dxa"/>
          </w:tcPr>
          <w:p>
            <w:pPr>
              <w:pStyle w:val="TableParagraph"/>
              <w:rPr>
                <w:rFonts w:ascii="Times New Roman"/>
                <w:sz w:val="18"/>
              </w:rPr>
            </w:pPr>
          </w:p>
        </w:tc>
        <w:tc>
          <w:tcPr>
            <w:tcW w:w="1132" w:type="dxa"/>
          </w:tcPr>
          <w:p>
            <w:pPr>
              <w:pStyle w:val="TableParagraph"/>
              <w:spacing w:before="13"/>
              <w:ind w:right="92"/>
              <w:jc w:val="right"/>
              <w:rPr>
                <w:sz w:val="20"/>
              </w:rPr>
            </w:pPr>
            <w:r>
              <w:rPr>
                <w:spacing w:val="-5"/>
                <w:sz w:val="20"/>
              </w:rPr>
              <w:t>75</w:t>
            </w:r>
          </w:p>
        </w:tc>
        <w:tc>
          <w:tcPr>
            <w:tcW w:w="1134" w:type="dxa"/>
            <w:shd w:val="clear" w:color="auto" w:fill="DDEBF6"/>
          </w:tcPr>
          <w:p>
            <w:pPr>
              <w:pStyle w:val="TableParagraph"/>
              <w:spacing w:before="13"/>
              <w:ind w:right="94"/>
              <w:jc w:val="right"/>
              <w:rPr>
                <w:sz w:val="20"/>
              </w:rPr>
            </w:pPr>
            <w:r>
              <w:rPr>
                <w:spacing w:val="-5"/>
                <w:sz w:val="20"/>
              </w:rPr>
              <w:t>50</w:t>
            </w:r>
          </w:p>
        </w:tc>
        <w:tc>
          <w:tcPr>
            <w:tcW w:w="1087" w:type="dxa"/>
          </w:tcPr>
          <w:p>
            <w:pPr>
              <w:pStyle w:val="TableParagraph"/>
              <w:spacing w:before="13"/>
              <w:ind w:right="44"/>
              <w:jc w:val="right"/>
              <w:rPr>
                <w:sz w:val="20"/>
              </w:rPr>
            </w:pPr>
            <w:r>
              <w:rPr>
                <w:spacing w:val="-2"/>
                <w:sz w:val="20"/>
              </w:rPr>
              <w:t>3,550</w:t>
            </w:r>
          </w:p>
        </w:tc>
        <w:tc>
          <w:tcPr>
            <w:tcW w:w="1283" w:type="dxa"/>
          </w:tcPr>
          <w:p>
            <w:pPr>
              <w:pStyle w:val="TableParagraph"/>
              <w:spacing w:before="13"/>
              <w:ind w:right="130"/>
              <w:jc w:val="right"/>
              <w:rPr>
                <w:sz w:val="20"/>
              </w:rPr>
            </w:pPr>
            <w:r>
              <w:rPr>
                <w:spacing w:val="-5"/>
                <w:sz w:val="20"/>
              </w:rPr>
              <w:t>550</w:t>
            </w:r>
          </w:p>
        </w:tc>
        <w:tc>
          <w:tcPr>
            <w:tcW w:w="1024" w:type="dxa"/>
            <w:tcBorders>
              <w:right w:val="single" w:sz="12" w:space="0" w:color="000000"/>
            </w:tcBorders>
          </w:tcPr>
          <w:p>
            <w:pPr>
              <w:pStyle w:val="TableParagraph"/>
              <w:spacing w:before="13"/>
              <w:ind w:right="74"/>
              <w:jc w:val="right"/>
              <w:rPr>
                <w:sz w:val="20"/>
              </w:rPr>
            </w:pPr>
            <w:r>
              <w:rPr>
                <w:spacing w:val="-5"/>
                <w:sz w:val="20"/>
              </w:rPr>
              <w:t>50</w:t>
            </w:r>
          </w:p>
        </w:tc>
      </w:tr>
      <w:tr>
        <w:trPr>
          <w:trHeight w:val="300" w:hRule="atLeast"/>
        </w:trPr>
        <w:tc>
          <w:tcPr>
            <w:tcW w:w="3617" w:type="dxa"/>
            <w:tcBorders>
              <w:left w:val="single" w:sz="12" w:space="0" w:color="000000"/>
            </w:tcBorders>
          </w:tcPr>
          <w:p>
            <w:pPr>
              <w:pStyle w:val="TableParagraph"/>
              <w:spacing w:before="49"/>
              <w:ind w:left="109"/>
              <w:rPr>
                <w:sz w:val="20"/>
              </w:rPr>
            </w:pPr>
            <w:r>
              <w:rPr>
                <w:sz w:val="20"/>
              </w:rPr>
              <w:t>Parks,</w:t>
            </w:r>
            <w:r>
              <w:rPr>
                <w:spacing w:val="-6"/>
                <w:sz w:val="20"/>
              </w:rPr>
              <w:t> </w:t>
            </w:r>
            <w:r>
              <w:rPr>
                <w:sz w:val="20"/>
              </w:rPr>
              <w:t>open</w:t>
            </w:r>
            <w:r>
              <w:rPr>
                <w:spacing w:val="-7"/>
                <w:sz w:val="20"/>
              </w:rPr>
              <w:t> </w:t>
            </w:r>
            <w:r>
              <w:rPr>
                <w:sz w:val="20"/>
              </w:rPr>
              <w:t>space,</w:t>
            </w:r>
            <w:r>
              <w:rPr>
                <w:spacing w:val="-2"/>
                <w:sz w:val="20"/>
              </w:rPr>
              <w:t> </w:t>
            </w:r>
            <w:r>
              <w:rPr>
                <w:sz w:val="20"/>
              </w:rPr>
              <w:t>and</w:t>
            </w:r>
            <w:r>
              <w:rPr>
                <w:spacing w:val="-7"/>
                <w:sz w:val="20"/>
              </w:rPr>
              <w:t> </w:t>
            </w:r>
            <w:r>
              <w:rPr>
                <w:spacing w:val="-2"/>
                <w:sz w:val="20"/>
              </w:rPr>
              <w:t>streetscapes</w:t>
            </w:r>
          </w:p>
        </w:tc>
        <w:tc>
          <w:tcPr>
            <w:tcW w:w="1199" w:type="dxa"/>
          </w:tcPr>
          <w:p>
            <w:pPr>
              <w:pStyle w:val="TableParagraph"/>
              <w:rPr>
                <w:rFonts w:ascii="Times New Roman"/>
                <w:sz w:val="18"/>
              </w:rPr>
            </w:pPr>
          </w:p>
        </w:tc>
        <w:tc>
          <w:tcPr>
            <w:tcW w:w="1132" w:type="dxa"/>
          </w:tcPr>
          <w:p>
            <w:pPr>
              <w:pStyle w:val="TableParagraph"/>
              <w:spacing w:before="13"/>
              <w:ind w:right="91"/>
              <w:jc w:val="right"/>
              <w:rPr>
                <w:sz w:val="20"/>
              </w:rPr>
            </w:pPr>
            <w:r>
              <w:rPr>
                <w:spacing w:val="-2"/>
                <w:sz w:val="20"/>
              </w:rPr>
              <w:t>3,067</w:t>
            </w:r>
          </w:p>
        </w:tc>
        <w:tc>
          <w:tcPr>
            <w:tcW w:w="1134" w:type="dxa"/>
            <w:shd w:val="clear" w:color="auto" w:fill="DDEBF6"/>
          </w:tcPr>
          <w:p>
            <w:pPr>
              <w:pStyle w:val="TableParagraph"/>
              <w:spacing w:before="13"/>
              <w:ind w:right="92"/>
              <w:jc w:val="right"/>
              <w:rPr>
                <w:sz w:val="20"/>
              </w:rPr>
            </w:pPr>
            <w:r>
              <w:rPr>
                <w:spacing w:val="-2"/>
                <w:sz w:val="20"/>
              </w:rPr>
              <w:t>2,486</w:t>
            </w:r>
          </w:p>
        </w:tc>
        <w:tc>
          <w:tcPr>
            <w:tcW w:w="1087" w:type="dxa"/>
          </w:tcPr>
          <w:p>
            <w:pPr>
              <w:pStyle w:val="TableParagraph"/>
              <w:spacing w:before="13"/>
              <w:ind w:right="44"/>
              <w:jc w:val="right"/>
              <w:rPr>
                <w:sz w:val="20"/>
              </w:rPr>
            </w:pPr>
            <w:r>
              <w:rPr>
                <w:spacing w:val="-2"/>
                <w:sz w:val="20"/>
              </w:rPr>
              <w:t>3,176</w:t>
            </w:r>
          </w:p>
        </w:tc>
        <w:tc>
          <w:tcPr>
            <w:tcW w:w="1283" w:type="dxa"/>
          </w:tcPr>
          <w:p>
            <w:pPr>
              <w:pStyle w:val="TableParagraph"/>
              <w:spacing w:before="13"/>
              <w:ind w:right="129"/>
              <w:jc w:val="right"/>
              <w:rPr>
                <w:sz w:val="20"/>
              </w:rPr>
            </w:pPr>
            <w:r>
              <w:rPr>
                <w:spacing w:val="-2"/>
                <w:sz w:val="20"/>
              </w:rPr>
              <w:t>2,991</w:t>
            </w:r>
          </w:p>
        </w:tc>
        <w:tc>
          <w:tcPr>
            <w:tcW w:w="1024" w:type="dxa"/>
            <w:tcBorders>
              <w:right w:val="single" w:sz="12" w:space="0" w:color="000000"/>
            </w:tcBorders>
          </w:tcPr>
          <w:p>
            <w:pPr>
              <w:pStyle w:val="TableParagraph"/>
              <w:spacing w:before="13"/>
              <w:ind w:right="73"/>
              <w:jc w:val="right"/>
              <w:rPr>
                <w:sz w:val="20"/>
              </w:rPr>
            </w:pPr>
            <w:r>
              <w:rPr>
                <w:spacing w:val="-2"/>
                <w:sz w:val="20"/>
              </w:rPr>
              <w:t>3,231</w:t>
            </w:r>
          </w:p>
        </w:tc>
      </w:tr>
      <w:tr>
        <w:trPr>
          <w:trHeight w:val="300" w:hRule="atLeast"/>
        </w:trPr>
        <w:tc>
          <w:tcPr>
            <w:tcW w:w="3617" w:type="dxa"/>
            <w:tcBorders>
              <w:left w:val="single" w:sz="12" w:space="0" w:color="000000"/>
            </w:tcBorders>
          </w:tcPr>
          <w:p>
            <w:pPr>
              <w:pStyle w:val="TableParagraph"/>
              <w:spacing w:before="49"/>
              <w:ind w:left="109"/>
              <w:rPr>
                <w:sz w:val="20"/>
              </w:rPr>
            </w:pPr>
            <w:r>
              <w:rPr>
                <w:sz w:val="20"/>
              </w:rPr>
              <w:t>Off</w:t>
            </w:r>
            <w:r>
              <w:rPr>
                <w:spacing w:val="-5"/>
                <w:sz w:val="20"/>
              </w:rPr>
              <w:t> </w:t>
            </w:r>
            <w:r>
              <w:rPr>
                <w:sz w:val="20"/>
              </w:rPr>
              <w:t>street</w:t>
            </w:r>
            <w:r>
              <w:rPr>
                <w:spacing w:val="-5"/>
                <w:sz w:val="20"/>
              </w:rPr>
              <w:t> </w:t>
            </w:r>
            <w:r>
              <w:rPr>
                <w:sz w:val="20"/>
              </w:rPr>
              <w:t>car</w:t>
            </w:r>
            <w:r>
              <w:rPr>
                <w:spacing w:val="-3"/>
                <w:sz w:val="20"/>
              </w:rPr>
              <w:t> </w:t>
            </w:r>
            <w:r>
              <w:rPr>
                <w:spacing w:val="-2"/>
                <w:sz w:val="20"/>
              </w:rPr>
              <w:t>parks</w:t>
            </w:r>
          </w:p>
        </w:tc>
        <w:tc>
          <w:tcPr>
            <w:tcW w:w="1199" w:type="dxa"/>
          </w:tcPr>
          <w:p>
            <w:pPr>
              <w:pStyle w:val="TableParagraph"/>
              <w:rPr>
                <w:rFonts w:ascii="Times New Roman"/>
                <w:sz w:val="18"/>
              </w:rPr>
            </w:pPr>
          </w:p>
        </w:tc>
        <w:tc>
          <w:tcPr>
            <w:tcW w:w="1132" w:type="dxa"/>
          </w:tcPr>
          <w:p>
            <w:pPr>
              <w:pStyle w:val="TableParagraph"/>
              <w:spacing w:before="13"/>
              <w:ind w:right="92"/>
              <w:jc w:val="right"/>
              <w:rPr>
                <w:sz w:val="20"/>
              </w:rPr>
            </w:pPr>
            <w:r>
              <w:rPr>
                <w:spacing w:val="-5"/>
                <w:sz w:val="20"/>
              </w:rPr>
              <w:t>156</w:t>
            </w:r>
          </w:p>
        </w:tc>
        <w:tc>
          <w:tcPr>
            <w:tcW w:w="1134" w:type="dxa"/>
            <w:shd w:val="clear" w:color="auto" w:fill="DDEBF6"/>
          </w:tcPr>
          <w:p>
            <w:pPr>
              <w:pStyle w:val="TableParagraph"/>
              <w:spacing w:before="13"/>
              <w:ind w:right="93"/>
              <w:jc w:val="right"/>
              <w:rPr>
                <w:sz w:val="20"/>
              </w:rPr>
            </w:pPr>
            <w:r>
              <w:rPr>
                <w:spacing w:val="-5"/>
                <w:sz w:val="20"/>
              </w:rPr>
              <w:t>440</w:t>
            </w:r>
          </w:p>
        </w:tc>
        <w:tc>
          <w:tcPr>
            <w:tcW w:w="1087" w:type="dxa"/>
          </w:tcPr>
          <w:p>
            <w:pPr>
              <w:pStyle w:val="TableParagraph"/>
              <w:spacing w:before="13"/>
              <w:ind w:right="45"/>
              <w:jc w:val="right"/>
              <w:rPr>
                <w:sz w:val="20"/>
              </w:rPr>
            </w:pPr>
            <w:r>
              <w:rPr>
                <w:spacing w:val="-5"/>
                <w:sz w:val="20"/>
              </w:rPr>
              <w:t>470</w:t>
            </w:r>
          </w:p>
        </w:tc>
        <w:tc>
          <w:tcPr>
            <w:tcW w:w="1283" w:type="dxa"/>
          </w:tcPr>
          <w:p>
            <w:pPr>
              <w:pStyle w:val="TableParagraph"/>
              <w:spacing w:before="13"/>
              <w:ind w:right="130"/>
              <w:jc w:val="right"/>
              <w:rPr>
                <w:sz w:val="20"/>
              </w:rPr>
            </w:pPr>
            <w:r>
              <w:rPr>
                <w:spacing w:val="-5"/>
                <w:sz w:val="20"/>
              </w:rPr>
              <w:t>530</w:t>
            </w:r>
          </w:p>
        </w:tc>
        <w:tc>
          <w:tcPr>
            <w:tcW w:w="1024" w:type="dxa"/>
            <w:tcBorders>
              <w:right w:val="single" w:sz="12" w:space="0" w:color="000000"/>
            </w:tcBorders>
          </w:tcPr>
          <w:p>
            <w:pPr>
              <w:pStyle w:val="TableParagraph"/>
              <w:spacing w:before="13"/>
              <w:ind w:right="74"/>
              <w:jc w:val="right"/>
              <w:rPr>
                <w:sz w:val="20"/>
              </w:rPr>
            </w:pPr>
            <w:r>
              <w:rPr>
                <w:spacing w:val="-5"/>
                <w:sz w:val="20"/>
              </w:rPr>
              <w:t>530</w:t>
            </w:r>
          </w:p>
        </w:tc>
      </w:tr>
      <w:tr>
        <w:trPr>
          <w:trHeight w:val="280" w:hRule="atLeast"/>
        </w:trPr>
        <w:tc>
          <w:tcPr>
            <w:tcW w:w="3617" w:type="dxa"/>
            <w:tcBorders>
              <w:left w:val="single" w:sz="12" w:space="0" w:color="000000"/>
            </w:tcBorders>
          </w:tcPr>
          <w:p>
            <w:pPr>
              <w:pStyle w:val="TableParagraph"/>
              <w:spacing w:line="211" w:lineRule="exact" w:before="49"/>
              <w:ind w:left="109"/>
              <w:rPr>
                <w:sz w:val="20"/>
              </w:rPr>
            </w:pPr>
            <w:r>
              <w:rPr>
                <w:sz w:val="20"/>
              </w:rPr>
              <w:t>Other</w:t>
            </w:r>
            <w:r>
              <w:rPr>
                <w:spacing w:val="-6"/>
                <w:sz w:val="20"/>
              </w:rPr>
              <w:t> </w:t>
            </w:r>
            <w:r>
              <w:rPr>
                <w:spacing w:val="-2"/>
                <w:sz w:val="20"/>
              </w:rPr>
              <w:t>infrastructure</w:t>
            </w:r>
          </w:p>
        </w:tc>
        <w:tc>
          <w:tcPr>
            <w:tcW w:w="1199" w:type="dxa"/>
          </w:tcPr>
          <w:p>
            <w:pPr>
              <w:pStyle w:val="TableParagraph"/>
              <w:rPr>
                <w:rFonts w:ascii="Times New Roman"/>
                <w:sz w:val="18"/>
              </w:rPr>
            </w:pPr>
          </w:p>
        </w:tc>
        <w:tc>
          <w:tcPr>
            <w:tcW w:w="1132" w:type="dxa"/>
            <w:tcBorders>
              <w:bottom w:val="single" w:sz="4" w:space="0" w:color="000000"/>
            </w:tcBorders>
          </w:tcPr>
          <w:p>
            <w:pPr>
              <w:pStyle w:val="TableParagraph"/>
              <w:spacing w:before="13"/>
              <w:ind w:right="92"/>
              <w:jc w:val="right"/>
              <w:rPr>
                <w:sz w:val="20"/>
              </w:rPr>
            </w:pPr>
            <w:r>
              <w:rPr>
                <w:spacing w:val="-5"/>
                <w:sz w:val="20"/>
              </w:rPr>
              <w:t>851</w:t>
            </w:r>
          </w:p>
        </w:tc>
        <w:tc>
          <w:tcPr>
            <w:tcW w:w="1134" w:type="dxa"/>
            <w:tcBorders>
              <w:bottom w:val="single" w:sz="4" w:space="0" w:color="000000"/>
            </w:tcBorders>
            <w:shd w:val="clear" w:color="auto" w:fill="DDEBF6"/>
          </w:tcPr>
          <w:p>
            <w:pPr>
              <w:pStyle w:val="TableParagraph"/>
              <w:spacing w:before="13"/>
              <w:ind w:right="92"/>
              <w:jc w:val="right"/>
              <w:rPr>
                <w:sz w:val="20"/>
              </w:rPr>
            </w:pPr>
            <w:r>
              <w:rPr>
                <w:spacing w:val="-2"/>
                <w:sz w:val="20"/>
              </w:rPr>
              <w:t>3,045</w:t>
            </w:r>
          </w:p>
        </w:tc>
        <w:tc>
          <w:tcPr>
            <w:tcW w:w="1087" w:type="dxa"/>
            <w:tcBorders>
              <w:bottom w:val="single" w:sz="4" w:space="0" w:color="000000"/>
            </w:tcBorders>
          </w:tcPr>
          <w:p>
            <w:pPr>
              <w:pStyle w:val="TableParagraph"/>
              <w:spacing w:before="13"/>
              <w:ind w:right="45"/>
              <w:jc w:val="right"/>
              <w:rPr>
                <w:sz w:val="20"/>
              </w:rPr>
            </w:pPr>
            <w:r>
              <w:rPr>
                <w:spacing w:val="-2"/>
                <w:sz w:val="20"/>
              </w:rPr>
              <w:t>14,045</w:t>
            </w:r>
          </w:p>
        </w:tc>
        <w:tc>
          <w:tcPr>
            <w:tcW w:w="1283" w:type="dxa"/>
            <w:tcBorders>
              <w:bottom w:val="single" w:sz="4" w:space="0" w:color="000000"/>
            </w:tcBorders>
          </w:tcPr>
          <w:p>
            <w:pPr>
              <w:pStyle w:val="TableParagraph"/>
              <w:spacing w:before="13"/>
              <w:ind w:right="129"/>
              <w:jc w:val="right"/>
              <w:rPr>
                <w:sz w:val="20"/>
              </w:rPr>
            </w:pPr>
            <w:r>
              <w:rPr>
                <w:spacing w:val="-2"/>
                <w:sz w:val="20"/>
              </w:rPr>
              <w:t>1,245</w:t>
            </w:r>
          </w:p>
        </w:tc>
        <w:tc>
          <w:tcPr>
            <w:tcW w:w="1024" w:type="dxa"/>
            <w:tcBorders>
              <w:bottom w:val="single" w:sz="4" w:space="0" w:color="000000"/>
              <w:right w:val="single" w:sz="12" w:space="0" w:color="000000"/>
            </w:tcBorders>
          </w:tcPr>
          <w:p>
            <w:pPr>
              <w:pStyle w:val="TableParagraph"/>
              <w:spacing w:before="13"/>
              <w:ind w:right="73"/>
              <w:jc w:val="right"/>
              <w:rPr>
                <w:sz w:val="20"/>
              </w:rPr>
            </w:pPr>
            <w:r>
              <w:rPr>
                <w:spacing w:val="-2"/>
                <w:sz w:val="20"/>
              </w:rPr>
              <w:t>1,245</w:t>
            </w:r>
          </w:p>
        </w:tc>
      </w:tr>
      <w:tr>
        <w:trPr>
          <w:trHeight w:val="599" w:hRule="atLeast"/>
        </w:trPr>
        <w:tc>
          <w:tcPr>
            <w:tcW w:w="3617" w:type="dxa"/>
            <w:tcBorders>
              <w:left w:val="single" w:sz="12" w:space="0" w:color="000000"/>
            </w:tcBorders>
          </w:tcPr>
          <w:p>
            <w:pPr>
              <w:pStyle w:val="TableParagraph"/>
              <w:spacing w:before="69"/>
              <w:ind w:left="109"/>
              <w:rPr>
                <w:b/>
                <w:sz w:val="20"/>
              </w:rPr>
            </w:pPr>
            <w:r>
              <w:rPr>
                <w:b/>
                <w:sz w:val="20"/>
              </w:rPr>
              <w:t>Total</w:t>
            </w:r>
            <w:r>
              <w:rPr>
                <w:b/>
                <w:spacing w:val="-6"/>
                <w:sz w:val="20"/>
              </w:rPr>
              <w:t> </w:t>
            </w:r>
            <w:r>
              <w:rPr>
                <w:b/>
                <w:spacing w:val="-2"/>
                <w:sz w:val="20"/>
              </w:rPr>
              <w:t>infrastructure</w:t>
            </w:r>
          </w:p>
        </w:tc>
        <w:tc>
          <w:tcPr>
            <w:tcW w:w="1199" w:type="dxa"/>
          </w:tcPr>
          <w:p>
            <w:pPr>
              <w:pStyle w:val="TableParagraph"/>
              <w:rPr>
                <w:rFonts w:ascii="Times New Roman"/>
                <w:sz w:val="18"/>
              </w:rPr>
            </w:pPr>
          </w:p>
        </w:tc>
        <w:tc>
          <w:tcPr>
            <w:tcW w:w="1132" w:type="dxa"/>
            <w:tcBorders>
              <w:top w:val="single" w:sz="4" w:space="0" w:color="000000"/>
              <w:bottom w:val="single" w:sz="4" w:space="0" w:color="000000"/>
            </w:tcBorders>
          </w:tcPr>
          <w:p>
            <w:pPr>
              <w:pStyle w:val="TableParagraph"/>
              <w:spacing w:before="33"/>
              <w:ind w:right="92"/>
              <w:jc w:val="right"/>
              <w:rPr>
                <w:sz w:val="20"/>
              </w:rPr>
            </w:pPr>
            <w:r>
              <w:rPr>
                <w:spacing w:val="-2"/>
                <w:sz w:val="20"/>
              </w:rPr>
              <w:t>20,884</w:t>
            </w:r>
          </w:p>
        </w:tc>
        <w:tc>
          <w:tcPr>
            <w:tcW w:w="1134" w:type="dxa"/>
            <w:tcBorders>
              <w:top w:val="single" w:sz="4" w:space="0" w:color="000000"/>
              <w:bottom w:val="single" w:sz="4" w:space="0" w:color="000000"/>
            </w:tcBorders>
            <w:shd w:val="clear" w:color="auto" w:fill="DDEBF6"/>
          </w:tcPr>
          <w:p>
            <w:pPr>
              <w:pStyle w:val="TableParagraph"/>
              <w:spacing w:before="33"/>
              <w:ind w:right="93"/>
              <w:jc w:val="right"/>
              <w:rPr>
                <w:b/>
                <w:sz w:val="20"/>
              </w:rPr>
            </w:pPr>
            <w:r>
              <w:rPr>
                <w:b/>
                <w:spacing w:val="-2"/>
                <w:sz w:val="20"/>
              </w:rPr>
              <w:t>21,357</w:t>
            </w:r>
          </w:p>
        </w:tc>
        <w:tc>
          <w:tcPr>
            <w:tcW w:w="1087" w:type="dxa"/>
            <w:tcBorders>
              <w:top w:val="single" w:sz="4" w:space="0" w:color="000000"/>
              <w:bottom w:val="single" w:sz="4" w:space="0" w:color="000000"/>
            </w:tcBorders>
          </w:tcPr>
          <w:p>
            <w:pPr>
              <w:pStyle w:val="TableParagraph"/>
              <w:spacing w:before="33"/>
              <w:ind w:right="45"/>
              <w:jc w:val="right"/>
              <w:rPr>
                <w:sz w:val="20"/>
              </w:rPr>
            </w:pPr>
            <w:r>
              <w:rPr>
                <w:spacing w:val="-2"/>
                <w:sz w:val="20"/>
              </w:rPr>
              <w:t>34,197</w:t>
            </w:r>
          </w:p>
        </w:tc>
        <w:tc>
          <w:tcPr>
            <w:tcW w:w="1283" w:type="dxa"/>
            <w:tcBorders>
              <w:top w:val="single" w:sz="4" w:space="0" w:color="000000"/>
              <w:bottom w:val="single" w:sz="4" w:space="0" w:color="000000"/>
            </w:tcBorders>
          </w:tcPr>
          <w:p>
            <w:pPr>
              <w:pStyle w:val="TableParagraph"/>
              <w:spacing w:before="33"/>
              <w:ind w:right="130"/>
              <w:jc w:val="right"/>
              <w:rPr>
                <w:sz w:val="20"/>
              </w:rPr>
            </w:pPr>
            <w:r>
              <w:rPr>
                <w:spacing w:val="-2"/>
                <w:sz w:val="20"/>
              </w:rPr>
              <w:t>19,470</w:t>
            </w:r>
          </w:p>
        </w:tc>
        <w:tc>
          <w:tcPr>
            <w:tcW w:w="1024" w:type="dxa"/>
            <w:tcBorders>
              <w:top w:val="single" w:sz="4" w:space="0" w:color="000000"/>
              <w:bottom w:val="single" w:sz="4" w:space="0" w:color="000000"/>
              <w:right w:val="single" w:sz="12" w:space="0" w:color="000000"/>
            </w:tcBorders>
          </w:tcPr>
          <w:p>
            <w:pPr>
              <w:pStyle w:val="TableParagraph"/>
              <w:spacing w:before="33"/>
              <w:ind w:right="74"/>
              <w:jc w:val="right"/>
              <w:rPr>
                <w:sz w:val="20"/>
              </w:rPr>
            </w:pPr>
            <w:r>
              <w:rPr>
                <w:spacing w:val="-2"/>
                <w:sz w:val="20"/>
              </w:rPr>
              <w:t>20,560</w:t>
            </w:r>
          </w:p>
        </w:tc>
      </w:tr>
      <w:tr>
        <w:trPr>
          <w:trHeight w:val="292" w:hRule="atLeast"/>
        </w:trPr>
        <w:tc>
          <w:tcPr>
            <w:tcW w:w="3617" w:type="dxa"/>
            <w:tcBorders>
              <w:left w:val="single" w:sz="12" w:space="0" w:color="000000"/>
            </w:tcBorders>
          </w:tcPr>
          <w:p>
            <w:pPr>
              <w:pStyle w:val="TableParagraph"/>
              <w:spacing w:line="204" w:lineRule="exact" w:before="69"/>
              <w:ind w:left="109"/>
              <w:rPr>
                <w:b/>
                <w:sz w:val="20"/>
              </w:rPr>
            </w:pPr>
            <w:r>
              <w:rPr>
                <w:b/>
                <w:sz w:val="20"/>
              </w:rPr>
              <w:t>Total</w:t>
            </w:r>
            <w:r>
              <w:rPr>
                <w:b/>
                <w:spacing w:val="-8"/>
                <w:sz w:val="20"/>
              </w:rPr>
              <w:t> </w:t>
            </w:r>
            <w:r>
              <w:rPr>
                <w:b/>
                <w:sz w:val="20"/>
              </w:rPr>
              <w:t>capital</w:t>
            </w:r>
            <w:r>
              <w:rPr>
                <w:b/>
                <w:spacing w:val="-7"/>
                <w:sz w:val="20"/>
              </w:rPr>
              <w:t> </w:t>
            </w:r>
            <w:r>
              <w:rPr>
                <w:b/>
                <w:sz w:val="20"/>
              </w:rPr>
              <w:t>works</w:t>
            </w:r>
            <w:r>
              <w:rPr>
                <w:b/>
                <w:spacing w:val="-4"/>
                <w:sz w:val="20"/>
              </w:rPr>
              <w:t> </w:t>
            </w:r>
            <w:r>
              <w:rPr>
                <w:b/>
                <w:spacing w:val="-2"/>
                <w:sz w:val="20"/>
              </w:rPr>
              <w:t>expenditure</w:t>
            </w:r>
          </w:p>
        </w:tc>
        <w:tc>
          <w:tcPr>
            <w:tcW w:w="1199" w:type="dxa"/>
          </w:tcPr>
          <w:p>
            <w:pPr>
              <w:pStyle w:val="TableParagraph"/>
              <w:spacing w:before="33"/>
              <w:ind w:left="357"/>
              <w:rPr>
                <w:sz w:val="20"/>
              </w:rPr>
            </w:pPr>
            <w:r>
              <w:rPr>
                <w:spacing w:val="-2"/>
                <w:sz w:val="20"/>
              </w:rPr>
              <w:t>4.5.1</w:t>
            </w:r>
          </w:p>
        </w:tc>
        <w:tc>
          <w:tcPr>
            <w:tcW w:w="1132" w:type="dxa"/>
            <w:tcBorders>
              <w:top w:val="single" w:sz="4" w:space="0" w:color="000000"/>
              <w:bottom w:val="thickThinMediumGap" w:sz="3" w:space="0" w:color="000000"/>
            </w:tcBorders>
          </w:tcPr>
          <w:p>
            <w:pPr>
              <w:pStyle w:val="TableParagraph"/>
              <w:spacing w:before="33"/>
              <w:ind w:right="92"/>
              <w:jc w:val="right"/>
              <w:rPr>
                <w:sz w:val="20"/>
              </w:rPr>
            </w:pPr>
            <w:r>
              <w:rPr>
                <w:spacing w:val="-2"/>
                <w:sz w:val="20"/>
              </w:rPr>
              <w:t>71,482</w:t>
            </w:r>
          </w:p>
        </w:tc>
        <w:tc>
          <w:tcPr>
            <w:tcW w:w="1134" w:type="dxa"/>
            <w:tcBorders>
              <w:top w:val="single" w:sz="4" w:space="0" w:color="000000"/>
              <w:bottom w:val="thickThinMediumGap" w:sz="3" w:space="0" w:color="000000"/>
            </w:tcBorders>
            <w:shd w:val="clear" w:color="auto" w:fill="DDEBF6"/>
          </w:tcPr>
          <w:p>
            <w:pPr>
              <w:pStyle w:val="TableParagraph"/>
              <w:spacing w:before="33"/>
              <w:ind w:right="93"/>
              <w:jc w:val="right"/>
              <w:rPr>
                <w:b/>
                <w:sz w:val="20"/>
              </w:rPr>
            </w:pPr>
            <w:r>
              <w:rPr>
                <w:b/>
                <w:spacing w:val="-2"/>
                <w:sz w:val="20"/>
              </w:rPr>
              <w:t>46,025</w:t>
            </w:r>
          </w:p>
        </w:tc>
        <w:tc>
          <w:tcPr>
            <w:tcW w:w="1087" w:type="dxa"/>
            <w:tcBorders>
              <w:top w:val="single" w:sz="4" w:space="0" w:color="000000"/>
              <w:bottom w:val="thickThinMediumGap" w:sz="3" w:space="0" w:color="000000"/>
            </w:tcBorders>
          </w:tcPr>
          <w:p>
            <w:pPr>
              <w:pStyle w:val="TableParagraph"/>
              <w:spacing w:before="33"/>
              <w:ind w:right="45"/>
              <w:jc w:val="right"/>
              <w:rPr>
                <w:sz w:val="20"/>
              </w:rPr>
            </w:pPr>
            <w:r>
              <w:rPr>
                <w:spacing w:val="-2"/>
                <w:sz w:val="20"/>
              </w:rPr>
              <w:t>76,846</w:t>
            </w:r>
          </w:p>
        </w:tc>
        <w:tc>
          <w:tcPr>
            <w:tcW w:w="1283" w:type="dxa"/>
            <w:tcBorders>
              <w:top w:val="single" w:sz="4" w:space="0" w:color="000000"/>
              <w:bottom w:val="thickThinMediumGap" w:sz="3" w:space="0" w:color="000000"/>
            </w:tcBorders>
          </w:tcPr>
          <w:p>
            <w:pPr>
              <w:pStyle w:val="TableParagraph"/>
              <w:spacing w:before="33"/>
              <w:ind w:right="130"/>
              <w:jc w:val="right"/>
              <w:rPr>
                <w:sz w:val="20"/>
              </w:rPr>
            </w:pPr>
            <w:r>
              <w:rPr>
                <w:spacing w:val="-2"/>
                <w:sz w:val="20"/>
              </w:rPr>
              <w:t>49,416</w:t>
            </w:r>
          </w:p>
        </w:tc>
        <w:tc>
          <w:tcPr>
            <w:tcW w:w="1024" w:type="dxa"/>
            <w:tcBorders>
              <w:top w:val="single" w:sz="4" w:space="0" w:color="000000"/>
              <w:bottom w:val="thickThinMediumGap" w:sz="3" w:space="0" w:color="000000"/>
              <w:right w:val="single" w:sz="12" w:space="0" w:color="000000"/>
            </w:tcBorders>
          </w:tcPr>
          <w:p>
            <w:pPr>
              <w:pStyle w:val="TableParagraph"/>
              <w:spacing w:before="33"/>
              <w:ind w:right="74"/>
              <w:jc w:val="right"/>
              <w:rPr>
                <w:sz w:val="20"/>
              </w:rPr>
            </w:pPr>
            <w:r>
              <w:rPr>
                <w:spacing w:val="-2"/>
                <w:sz w:val="20"/>
              </w:rPr>
              <w:t>49,883</w:t>
            </w:r>
          </w:p>
        </w:tc>
      </w:tr>
      <w:tr>
        <w:trPr>
          <w:trHeight w:val="611" w:hRule="atLeast"/>
        </w:trPr>
        <w:tc>
          <w:tcPr>
            <w:tcW w:w="3617" w:type="dxa"/>
            <w:tcBorders>
              <w:left w:val="single" w:sz="12" w:space="0" w:color="000000"/>
            </w:tcBorders>
          </w:tcPr>
          <w:p>
            <w:pPr>
              <w:pStyle w:val="TableParagraph"/>
              <w:spacing w:before="3"/>
              <w:rPr>
                <w:i/>
                <w:sz w:val="31"/>
              </w:rPr>
            </w:pPr>
          </w:p>
          <w:p>
            <w:pPr>
              <w:pStyle w:val="TableParagraph"/>
              <w:ind w:left="109"/>
              <w:rPr>
                <w:b/>
                <w:sz w:val="20"/>
              </w:rPr>
            </w:pPr>
            <w:r>
              <w:rPr>
                <w:b/>
                <w:spacing w:val="-2"/>
                <w:sz w:val="20"/>
              </w:rPr>
              <w:t>Represented</w:t>
            </w:r>
            <w:r>
              <w:rPr>
                <w:b/>
                <w:spacing w:val="5"/>
                <w:sz w:val="20"/>
              </w:rPr>
              <w:t> </w:t>
            </w:r>
            <w:r>
              <w:rPr>
                <w:b/>
                <w:spacing w:val="-5"/>
                <w:sz w:val="20"/>
              </w:rPr>
              <w:t>by:</w:t>
            </w:r>
          </w:p>
        </w:tc>
        <w:tc>
          <w:tcPr>
            <w:tcW w:w="1199" w:type="dxa"/>
          </w:tcPr>
          <w:p>
            <w:pPr>
              <w:pStyle w:val="TableParagraph"/>
              <w:rPr>
                <w:rFonts w:ascii="Times New Roman"/>
                <w:sz w:val="18"/>
              </w:rPr>
            </w:pPr>
          </w:p>
        </w:tc>
        <w:tc>
          <w:tcPr>
            <w:tcW w:w="1132" w:type="dxa"/>
            <w:tcBorders>
              <w:top w:val="thinThickMediumGap" w:sz="3" w:space="0" w:color="000000"/>
            </w:tcBorders>
          </w:tcPr>
          <w:p>
            <w:pPr>
              <w:pStyle w:val="TableParagraph"/>
              <w:rPr>
                <w:rFonts w:ascii="Times New Roman"/>
                <w:sz w:val="18"/>
              </w:rPr>
            </w:pPr>
          </w:p>
        </w:tc>
        <w:tc>
          <w:tcPr>
            <w:tcW w:w="1134" w:type="dxa"/>
            <w:tcBorders>
              <w:top w:val="thinThickMediumGap" w:sz="3" w:space="0" w:color="000000"/>
            </w:tcBorders>
            <w:shd w:val="clear" w:color="auto" w:fill="DDEBF6"/>
          </w:tcPr>
          <w:p>
            <w:pPr>
              <w:pStyle w:val="TableParagraph"/>
              <w:rPr>
                <w:rFonts w:ascii="Times New Roman"/>
                <w:sz w:val="18"/>
              </w:rPr>
            </w:pPr>
          </w:p>
        </w:tc>
        <w:tc>
          <w:tcPr>
            <w:tcW w:w="1087" w:type="dxa"/>
            <w:tcBorders>
              <w:top w:val="thinThickMediumGap" w:sz="3" w:space="0" w:color="000000"/>
            </w:tcBorders>
          </w:tcPr>
          <w:p>
            <w:pPr>
              <w:pStyle w:val="TableParagraph"/>
              <w:rPr>
                <w:rFonts w:ascii="Times New Roman"/>
                <w:sz w:val="18"/>
              </w:rPr>
            </w:pPr>
          </w:p>
        </w:tc>
        <w:tc>
          <w:tcPr>
            <w:tcW w:w="1283" w:type="dxa"/>
            <w:tcBorders>
              <w:top w:val="thinThickMediumGap" w:sz="3" w:space="0" w:color="000000"/>
            </w:tcBorders>
          </w:tcPr>
          <w:p>
            <w:pPr>
              <w:pStyle w:val="TableParagraph"/>
              <w:rPr>
                <w:rFonts w:ascii="Times New Roman"/>
                <w:sz w:val="18"/>
              </w:rPr>
            </w:pPr>
          </w:p>
        </w:tc>
        <w:tc>
          <w:tcPr>
            <w:tcW w:w="1024" w:type="dxa"/>
            <w:tcBorders>
              <w:top w:val="thinThickMediumGap" w:sz="3" w:space="0" w:color="000000"/>
              <w:right w:val="single" w:sz="12" w:space="0" w:color="000000"/>
            </w:tcBorders>
          </w:tcPr>
          <w:p>
            <w:pPr>
              <w:pStyle w:val="TableParagraph"/>
              <w:rPr>
                <w:rFonts w:ascii="Times New Roman"/>
                <w:sz w:val="18"/>
              </w:rPr>
            </w:pPr>
          </w:p>
        </w:tc>
      </w:tr>
      <w:tr>
        <w:trPr>
          <w:trHeight w:val="300" w:hRule="atLeast"/>
        </w:trPr>
        <w:tc>
          <w:tcPr>
            <w:tcW w:w="3617" w:type="dxa"/>
            <w:tcBorders>
              <w:left w:val="single" w:sz="12" w:space="0" w:color="000000"/>
            </w:tcBorders>
          </w:tcPr>
          <w:p>
            <w:pPr>
              <w:pStyle w:val="TableParagraph"/>
              <w:spacing w:before="48"/>
              <w:ind w:left="109"/>
              <w:rPr>
                <w:sz w:val="20"/>
              </w:rPr>
            </w:pPr>
            <w:r>
              <w:rPr>
                <w:sz w:val="20"/>
              </w:rPr>
              <w:t>New</w:t>
            </w:r>
            <w:r>
              <w:rPr>
                <w:spacing w:val="-6"/>
                <w:sz w:val="20"/>
              </w:rPr>
              <w:t> </w:t>
            </w:r>
            <w:r>
              <w:rPr>
                <w:sz w:val="20"/>
              </w:rPr>
              <w:t>asset</w:t>
            </w:r>
            <w:r>
              <w:rPr>
                <w:spacing w:val="-2"/>
                <w:sz w:val="20"/>
              </w:rPr>
              <w:t> expenditure</w:t>
            </w:r>
          </w:p>
        </w:tc>
        <w:tc>
          <w:tcPr>
            <w:tcW w:w="1199" w:type="dxa"/>
          </w:tcPr>
          <w:p>
            <w:pPr>
              <w:pStyle w:val="TableParagraph"/>
              <w:rPr>
                <w:rFonts w:ascii="Times New Roman"/>
                <w:sz w:val="18"/>
              </w:rPr>
            </w:pPr>
          </w:p>
        </w:tc>
        <w:tc>
          <w:tcPr>
            <w:tcW w:w="1132" w:type="dxa"/>
          </w:tcPr>
          <w:p>
            <w:pPr>
              <w:pStyle w:val="TableParagraph"/>
              <w:spacing w:before="14"/>
              <w:ind w:right="92"/>
              <w:jc w:val="right"/>
              <w:rPr>
                <w:sz w:val="20"/>
              </w:rPr>
            </w:pPr>
            <w:r>
              <w:rPr>
                <w:spacing w:val="-2"/>
                <w:sz w:val="20"/>
              </w:rPr>
              <w:t>40,938</w:t>
            </w:r>
          </w:p>
        </w:tc>
        <w:tc>
          <w:tcPr>
            <w:tcW w:w="1134" w:type="dxa"/>
            <w:shd w:val="clear" w:color="auto" w:fill="DDEBF6"/>
          </w:tcPr>
          <w:p>
            <w:pPr>
              <w:pStyle w:val="TableParagraph"/>
              <w:spacing w:before="14"/>
              <w:ind w:right="92"/>
              <w:jc w:val="right"/>
              <w:rPr>
                <w:b/>
                <w:sz w:val="20"/>
              </w:rPr>
            </w:pPr>
            <w:r>
              <w:rPr>
                <w:b/>
                <w:spacing w:val="-2"/>
                <w:sz w:val="20"/>
              </w:rPr>
              <w:t>6,597</w:t>
            </w:r>
          </w:p>
        </w:tc>
        <w:tc>
          <w:tcPr>
            <w:tcW w:w="1087" w:type="dxa"/>
          </w:tcPr>
          <w:p>
            <w:pPr>
              <w:pStyle w:val="TableParagraph"/>
              <w:spacing w:before="14"/>
              <w:ind w:right="44"/>
              <w:jc w:val="right"/>
              <w:rPr>
                <w:sz w:val="20"/>
              </w:rPr>
            </w:pPr>
            <w:r>
              <w:rPr>
                <w:spacing w:val="-2"/>
                <w:sz w:val="20"/>
              </w:rPr>
              <w:t>7,559</w:t>
            </w:r>
          </w:p>
        </w:tc>
        <w:tc>
          <w:tcPr>
            <w:tcW w:w="1283" w:type="dxa"/>
          </w:tcPr>
          <w:p>
            <w:pPr>
              <w:pStyle w:val="TableParagraph"/>
              <w:spacing w:before="14"/>
              <w:ind w:right="129"/>
              <w:jc w:val="right"/>
              <w:rPr>
                <w:sz w:val="20"/>
              </w:rPr>
            </w:pPr>
            <w:r>
              <w:rPr>
                <w:spacing w:val="-2"/>
                <w:sz w:val="20"/>
              </w:rPr>
              <w:t>4,500</w:t>
            </w:r>
          </w:p>
        </w:tc>
        <w:tc>
          <w:tcPr>
            <w:tcW w:w="1024" w:type="dxa"/>
            <w:tcBorders>
              <w:right w:val="single" w:sz="12" w:space="0" w:color="000000"/>
            </w:tcBorders>
          </w:tcPr>
          <w:p>
            <w:pPr>
              <w:pStyle w:val="TableParagraph"/>
              <w:spacing w:before="14"/>
              <w:ind w:right="73"/>
              <w:jc w:val="right"/>
              <w:rPr>
                <w:sz w:val="20"/>
              </w:rPr>
            </w:pPr>
            <w:r>
              <w:rPr>
                <w:spacing w:val="-2"/>
                <w:sz w:val="20"/>
              </w:rPr>
              <w:t>4,101</w:t>
            </w:r>
          </w:p>
        </w:tc>
      </w:tr>
      <w:tr>
        <w:trPr>
          <w:trHeight w:val="299" w:hRule="atLeast"/>
        </w:trPr>
        <w:tc>
          <w:tcPr>
            <w:tcW w:w="3617" w:type="dxa"/>
            <w:tcBorders>
              <w:left w:val="single" w:sz="12" w:space="0" w:color="000000"/>
            </w:tcBorders>
          </w:tcPr>
          <w:p>
            <w:pPr>
              <w:pStyle w:val="TableParagraph"/>
              <w:spacing w:before="48"/>
              <w:ind w:left="109"/>
              <w:rPr>
                <w:sz w:val="20"/>
              </w:rPr>
            </w:pPr>
            <w:r>
              <w:rPr>
                <w:sz w:val="20"/>
              </w:rPr>
              <w:t>Asset</w:t>
            </w:r>
            <w:r>
              <w:rPr>
                <w:spacing w:val="-10"/>
                <w:sz w:val="20"/>
              </w:rPr>
              <w:t> </w:t>
            </w:r>
            <w:r>
              <w:rPr>
                <w:sz w:val="20"/>
              </w:rPr>
              <w:t>renewal</w:t>
            </w:r>
            <w:r>
              <w:rPr>
                <w:spacing w:val="-5"/>
                <w:sz w:val="20"/>
              </w:rPr>
              <w:t> </w:t>
            </w:r>
            <w:r>
              <w:rPr>
                <w:spacing w:val="-2"/>
                <w:sz w:val="20"/>
              </w:rPr>
              <w:t>expenditure</w:t>
            </w:r>
          </w:p>
        </w:tc>
        <w:tc>
          <w:tcPr>
            <w:tcW w:w="1199" w:type="dxa"/>
          </w:tcPr>
          <w:p>
            <w:pPr>
              <w:pStyle w:val="TableParagraph"/>
              <w:rPr>
                <w:rFonts w:ascii="Times New Roman"/>
                <w:sz w:val="18"/>
              </w:rPr>
            </w:pPr>
          </w:p>
        </w:tc>
        <w:tc>
          <w:tcPr>
            <w:tcW w:w="1132" w:type="dxa"/>
          </w:tcPr>
          <w:p>
            <w:pPr>
              <w:pStyle w:val="TableParagraph"/>
              <w:spacing w:before="14"/>
              <w:ind w:right="92"/>
              <w:jc w:val="right"/>
              <w:rPr>
                <w:sz w:val="20"/>
              </w:rPr>
            </w:pPr>
            <w:r>
              <w:rPr>
                <w:spacing w:val="-2"/>
                <w:sz w:val="20"/>
              </w:rPr>
              <w:t>25,393</w:t>
            </w:r>
          </w:p>
        </w:tc>
        <w:tc>
          <w:tcPr>
            <w:tcW w:w="1134" w:type="dxa"/>
            <w:shd w:val="clear" w:color="auto" w:fill="DDEBF6"/>
          </w:tcPr>
          <w:p>
            <w:pPr>
              <w:pStyle w:val="TableParagraph"/>
              <w:spacing w:before="14"/>
              <w:ind w:right="93"/>
              <w:jc w:val="right"/>
              <w:rPr>
                <w:b/>
                <w:sz w:val="20"/>
              </w:rPr>
            </w:pPr>
            <w:r>
              <w:rPr>
                <w:b/>
                <w:spacing w:val="-2"/>
                <w:sz w:val="20"/>
              </w:rPr>
              <w:t>31,222</w:t>
            </w:r>
          </w:p>
        </w:tc>
        <w:tc>
          <w:tcPr>
            <w:tcW w:w="1087" w:type="dxa"/>
          </w:tcPr>
          <w:p>
            <w:pPr>
              <w:pStyle w:val="TableParagraph"/>
              <w:spacing w:before="14"/>
              <w:ind w:right="45"/>
              <w:jc w:val="right"/>
              <w:rPr>
                <w:sz w:val="20"/>
              </w:rPr>
            </w:pPr>
            <w:r>
              <w:rPr>
                <w:spacing w:val="-2"/>
                <w:sz w:val="20"/>
              </w:rPr>
              <w:t>55,268</w:t>
            </w:r>
          </w:p>
        </w:tc>
        <w:tc>
          <w:tcPr>
            <w:tcW w:w="1283" w:type="dxa"/>
          </w:tcPr>
          <w:p>
            <w:pPr>
              <w:pStyle w:val="TableParagraph"/>
              <w:spacing w:before="14"/>
              <w:ind w:right="130"/>
              <w:jc w:val="right"/>
              <w:rPr>
                <w:sz w:val="20"/>
              </w:rPr>
            </w:pPr>
            <w:r>
              <w:rPr>
                <w:spacing w:val="-2"/>
                <w:sz w:val="20"/>
              </w:rPr>
              <w:t>36,327</w:t>
            </w:r>
          </w:p>
        </w:tc>
        <w:tc>
          <w:tcPr>
            <w:tcW w:w="1024" w:type="dxa"/>
            <w:tcBorders>
              <w:right w:val="single" w:sz="12" w:space="0" w:color="000000"/>
            </w:tcBorders>
          </w:tcPr>
          <w:p>
            <w:pPr>
              <w:pStyle w:val="TableParagraph"/>
              <w:spacing w:before="14"/>
              <w:ind w:right="74"/>
              <w:jc w:val="right"/>
              <w:rPr>
                <w:sz w:val="20"/>
              </w:rPr>
            </w:pPr>
            <w:r>
              <w:rPr>
                <w:spacing w:val="-2"/>
                <w:sz w:val="20"/>
              </w:rPr>
              <w:t>36,973</w:t>
            </w:r>
          </w:p>
        </w:tc>
      </w:tr>
      <w:tr>
        <w:trPr>
          <w:trHeight w:val="278" w:hRule="atLeast"/>
        </w:trPr>
        <w:tc>
          <w:tcPr>
            <w:tcW w:w="3617" w:type="dxa"/>
            <w:tcBorders>
              <w:left w:val="single" w:sz="12" w:space="0" w:color="000000"/>
            </w:tcBorders>
          </w:tcPr>
          <w:p>
            <w:pPr>
              <w:pStyle w:val="TableParagraph"/>
              <w:spacing w:line="211" w:lineRule="exact" w:before="48"/>
              <w:ind w:left="109"/>
              <w:rPr>
                <w:sz w:val="20"/>
              </w:rPr>
            </w:pPr>
            <w:r>
              <w:rPr>
                <w:sz w:val="20"/>
              </w:rPr>
              <w:t>Asset</w:t>
            </w:r>
            <w:r>
              <w:rPr>
                <w:spacing w:val="-8"/>
                <w:sz w:val="20"/>
              </w:rPr>
              <w:t> </w:t>
            </w:r>
            <w:r>
              <w:rPr>
                <w:sz w:val="20"/>
              </w:rPr>
              <w:t>upgrade</w:t>
            </w:r>
            <w:r>
              <w:rPr>
                <w:spacing w:val="-7"/>
                <w:sz w:val="20"/>
              </w:rPr>
              <w:t> </w:t>
            </w:r>
            <w:r>
              <w:rPr>
                <w:spacing w:val="-2"/>
                <w:sz w:val="20"/>
              </w:rPr>
              <w:t>expenditure</w:t>
            </w:r>
          </w:p>
        </w:tc>
        <w:tc>
          <w:tcPr>
            <w:tcW w:w="1199" w:type="dxa"/>
          </w:tcPr>
          <w:p>
            <w:pPr>
              <w:pStyle w:val="TableParagraph"/>
              <w:rPr>
                <w:rFonts w:ascii="Times New Roman"/>
                <w:sz w:val="18"/>
              </w:rPr>
            </w:pPr>
          </w:p>
        </w:tc>
        <w:tc>
          <w:tcPr>
            <w:tcW w:w="1132" w:type="dxa"/>
            <w:tcBorders>
              <w:bottom w:val="single" w:sz="4" w:space="0" w:color="000000"/>
            </w:tcBorders>
          </w:tcPr>
          <w:p>
            <w:pPr>
              <w:pStyle w:val="TableParagraph"/>
              <w:spacing w:before="14"/>
              <w:ind w:right="91"/>
              <w:jc w:val="right"/>
              <w:rPr>
                <w:sz w:val="20"/>
              </w:rPr>
            </w:pPr>
            <w:r>
              <w:rPr>
                <w:spacing w:val="-2"/>
                <w:sz w:val="20"/>
              </w:rPr>
              <w:t>5,151</w:t>
            </w:r>
          </w:p>
        </w:tc>
        <w:tc>
          <w:tcPr>
            <w:tcW w:w="1134" w:type="dxa"/>
            <w:tcBorders>
              <w:bottom w:val="single" w:sz="4" w:space="0" w:color="000000"/>
            </w:tcBorders>
            <w:shd w:val="clear" w:color="auto" w:fill="DDEBF6"/>
          </w:tcPr>
          <w:p>
            <w:pPr>
              <w:pStyle w:val="TableParagraph"/>
              <w:spacing w:before="14"/>
              <w:ind w:right="92"/>
              <w:jc w:val="right"/>
              <w:rPr>
                <w:b/>
                <w:sz w:val="20"/>
              </w:rPr>
            </w:pPr>
            <w:r>
              <w:rPr>
                <w:b/>
                <w:spacing w:val="-2"/>
                <w:sz w:val="20"/>
              </w:rPr>
              <w:t>8,206</w:t>
            </w:r>
          </w:p>
        </w:tc>
        <w:tc>
          <w:tcPr>
            <w:tcW w:w="1087" w:type="dxa"/>
            <w:tcBorders>
              <w:bottom w:val="single" w:sz="4" w:space="0" w:color="000000"/>
            </w:tcBorders>
          </w:tcPr>
          <w:p>
            <w:pPr>
              <w:pStyle w:val="TableParagraph"/>
              <w:spacing w:before="14"/>
              <w:ind w:right="45"/>
              <w:jc w:val="right"/>
              <w:rPr>
                <w:sz w:val="20"/>
              </w:rPr>
            </w:pPr>
            <w:r>
              <w:rPr>
                <w:spacing w:val="-2"/>
                <w:sz w:val="20"/>
              </w:rPr>
              <w:t>14,019</w:t>
            </w:r>
          </w:p>
        </w:tc>
        <w:tc>
          <w:tcPr>
            <w:tcW w:w="1283" w:type="dxa"/>
            <w:tcBorders>
              <w:bottom w:val="single" w:sz="4" w:space="0" w:color="000000"/>
            </w:tcBorders>
          </w:tcPr>
          <w:p>
            <w:pPr>
              <w:pStyle w:val="TableParagraph"/>
              <w:spacing w:before="14"/>
              <w:ind w:right="129"/>
              <w:jc w:val="right"/>
              <w:rPr>
                <w:sz w:val="20"/>
              </w:rPr>
            </w:pPr>
            <w:r>
              <w:rPr>
                <w:spacing w:val="-2"/>
                <w:sz w:val="20"/>
              </w:rPr>
              <w:t>8,589</w:t>
            </w:r>
          </w:p>
        </w:tc>
        <w:tc>
          <w:tcPr>
            <w:tcW w:w="1024" w:type="dxa"/>
            <w:tcBorders>
              <w:bottom w:val="single" w:sz="4" w:space="0" w:color="000000"/>
              <w:right w:val="single" w:sz="12" w:space="0" w:color="000000"/>
            </w:tcBorders>
          </w:tcPr>
          <w:p>
            <w:pPr>
              <w:pStyle w:val="TableParagraph"/>
              <w:spacing w:before="14"/>
              <w:ind w:right="73"/>
              <w:jc w:val="right"/>
              <w:rPr>
                <w:sz w:val="20"/>
              </w:rPr>
            </w:pPr>
            <w:r>
              <w:rPr>
                <w:spacing w:val="-2"/>
                <w:sz w:val="20"/>
              </w:rPr>
              <w:t>8,809</w:t>
            </w:r>
          </w:p>
        </w:tc>
      </w:tr>
      <w:tr>
        <w:trPr>
          <w:trHeight w:val="300" w:hRule="atLeast"/>
        </w:trPr>
        <w:tc>
          <w:tcPr>
            <w:tcW w:w="3617" w:type="dxa"/>
            <w:tcBorders>
              <w:left w:val="single" w:sz="12" w:space="0" w:color="000000"/>
            </w:tcBorders>
          </w:tcPr>
          <w:p>
            <w:pPr>
              <w:pStyle w:val="TableParagraph"/>
              <w:spacing w:line="209" w:lineRule="exact" w:before="71"/>
              <w:ind w:left="109"/>
              <w:rPr>
                <w:b/>
                <w:sz w:val="20"/>
              </w:rPr>
            </w:pPr>
            <w:r>
              <w:rPr>
                <w:b/>
                <w:sz w:val="20"/>
              </w:rPr>
              <w:t>Total</w:t>
            </w:r>
            <w:r>
              <w:rPr>
                <w:b/>
                <w:spacing w:val="-8"/>
                <w:sz w:val="20"/>
              </w:rPr>
              <w:t> </w:t>
            </w:r>
            <w:r>
              <w:rPr>
                <w:b/>
                <w:sz w:val="20"/>
              </w:rPr>
              <w:t>capital</w:t>
            </w:r>
            <w:r>
              <w:rPr>
                <w:b/>
                <w:spacing w:val="-7"/>
                <w:sz w:val="20"/>
              </w:rPr>
              <w:t> </w:t>
            </w:r>
            <w:r>
              <w:rPr>
                <w:b/>
                <w:sz w:val="20"/>
              </w:rPr>
              <w:t>works</w:t>
            </w:r>
            <w:r>
              <w:rPr>
                <w:b/>
                <w:spacing w:val="-4"/>
                <w:sz w:val="20"/>
              </w:rPr>
              <w:t> </w:t>
            </w:r>
            <w:r>
              <w:rPr>
                <w:b/>
                <w:spacing w:val="-2"/>
                <w:sz w:val="20"/>
              </w:rPr>
              <w:t>expenditure</w:t>
            </w:r>
          </w:p>
        </w:tc>
        <w:tc>
          <w:tcPr>
            <w:tcW w:w="1199" w:type="dxa"/>
          </w:tcPr>
          <w:p>
            <w:pPr>
              <w:pStyle w:val="TableParagraph"/>
              <w:spacing w:before="35"/>
              <w:ind w:left="357"/>
              <w:rPr>
                <w:sz w:val="20"/>
              </w:rPr>
            </w:pPr>
            <w:r>
              <w:rPr>
                <w:spacing w:val="-2"/>
                <w:sz w:val="20"/>
              </w:rPr>
              <w:t>4.5.1</w:t>
            </w:r>
          </w:p>
        </w:tc>
        <w:tc>
          <w:tcPr>
            <w:tcW w:w="1132" w:type="dxa"/>
            <w:tcBorders>
              <w:top w:val="single" w:sz="4" w:space="0" w:color="000000"/>
              <w:bottom w:val="thickThinMediumGap" w:sz="4" w:space="0" w:color="000000"/>
            </w:tcBorders>
          </w:tcPr>
          <w:p>
            <w:pPr>
              <w:pStyle w:val="TableParagraph"/>
              <w:spacing w:before="35"/>
              <w:ind w:right="92"/>
              <w:jc w:val="right"/>
              <w:rPr>
                <w:sz w:val="20"/>
              </w:rPr>
            </w:pPr>
            <w:r>
              <w:rPr>
                <w:spacing w:val="-2"/>
                <w:sz w:val="20"/>
              </w:rPr>
              <w:t>71,482</w:t>
            </w:r>
          </w:p>
        </w:tc>
        <w:tc>
          <w:tcPr>
            <w:tcW w:w="1134" w:type="dxa"/>
            <w:tcBorders>
              <w:top w:val="single" w:sz="4" w:space="0" w:color="000000"/>
              <w:bottom w:val="thickThinMediumGap" w:sz="4" w:space="0" w:color="000000"/>
            </w:tcBorders>
            <w:shd w:val="clear" w:color="auto" w:fill="DDEBF6"/>
          </w:tcPr>
          <w:p>
            <w:pPr>
              <w:pStyle w:val="TableParagraph"/>
              <w:spacing w:before="35"/>
              <w:ind w:right="93"/>
              <w:jc w:val="right"/>
              <w:rPr>
                <w:b/>
                <w:sz w:val="20"/>
              </w:rPr>
            </w:pPr>
            <w:r>
              <w:rPr>
                <w:b/>
                <w:spacing w:val="-2"/>
                <w:sz w:val="20"/>
              </w:rPr>
              <w:t>46,025</w:t>
            </w:r>
          </w:p>
        </w:tc>
        <w:tc>
          <w:tcPr>
            <w:tcW w:w="1087" w:type="dxa"/>
            <w:tcBorders>
              <w:top w:val="single" w:sz="4" w:space="0" w:color="000000"/>
              <w:bottom w:val="double" w:sz="6" w:space="0" w:color="000000"/>
            </w:tcBorders>
          </w:tcPr>
          <w:p>
            <w:pPr>
              <w:pStyle w:val="TableParagraph"/>
              <w:spacing w:before="35"/>
              <w:ind w:right="45"/>
              <w:jc w:val="right"/>
              <w:rPr>
                <w:sz w:val="20"/>
              </w:rPr>
            </w:pPr>
            <w:r>
              <w:rPr>
                <w:spacing w:val="-2"/>
                <w:sz w:val="20"/>
              </w:rPr>
              <w:t>76,846</w:t>
            </w:r>
          </w:p>
        </w:tc>
        <w:tc>
          <w:tcPr>
            <w:tcW w:w="1283" w:type="dxa"/>
            <w:tcBorders>
              <w:top w:val="single" w:sz="4" w:space="0" w:color="000000"/>
              <w:bottom w:val="double" w:sz="6" w:space="0" w:color="000000"/>
            </w:tcBorders>
          </w:tcPr>
          <w:p>
            <w:pPr>
              <w:pStyle w:val="TableParagraph"/>
              <w:spacing w:before="35"/>
              <w:ind w:right="130"/>
              <w:jc w:val="right"/>
              <w:rPr>
                <w:sz w:val="20"/>
              </w:rPr>
            </w:pPr>
            <w:r>
              <w:rPr>
                <w:spacing w:val="-2"/>
                <w:sz w:val="20"/>
              </w:rPr>
              <w:t>49,416</w:t>
            </w:r>
          </w:p>
        </w:tc>
        <w:tc>
          <w:tcPr>
            <w:tcW w:w="1024" w:type="dxa"/>
            <w:tcBorders>
              <w:top w:val="single" w:sz="4" w:space="0" w:color="000000"/>
              <w:bottom w:val="double" w:sz="6" w:space="0" w:color="000000"/>
              <w:right w:val="single" w:sz="12" w:space="0" w:color="000000"/>
            </w:tcBorders>
          </w:tcPr>
          <w:p>
            <w:pPr>
              <w:pStyle w:val="TableParagraph"/>
              <w:spacing w:before="35"/>
              <w:ind w:right="74"/>
              <w:jc w:val="right"/>
              <w:rPr>
                <w:sz w:val="20"/>
              </w:rPr>
            </w:pPr>
            <w:r>
              <w:rPr>
                <w:spacing w:val="-2"/>
                <w:sz w:val="20"/>
              </w:rPr>
              <w:t>49,883</w:t>
            </w:r>
          </w:p>
        </w:tc>
      </w:tr>
      <w:tr>
        <w:trPr>
          <w:trHeight w:val="585" w:hRule="atLeast"/>
        </w:trPr>
        <w:tc>
          <w:tcPr>
            <w:tcW w:w="3617" w:type="dxa"/>
            <w:tcBorders>
              <w:left w:val="single" w:sz="12" w:space="0" w:color="000000"/>
            </w:tcBorders>
          </w:tcPr>
          <w:p>
            <w:pPr>
              <w:pStyle w:val="TableParagraph"/>
              <w:spacing w:before="11"/>
              <w:rPr>
                <w:i/>
                <w:sz w:val="28"/>
              </w:rPr>
            </w:pPr>
          </w:p>
          <w:p>
            <w:pPr>
              <w:pStyle w:val="TableParagraph"/>
              <w:ind w:left="109"/>
              <w:rPr>
                <w:b/>
                <w:sz w:val="20"/>
              </w:rPr>
            </w:pPr>
            <w:r>
              <w:rPr>
                <w:b/>
                <w:sz w:val="20"/>
              </w:rPr>
              <w:t>Funding</w:t>
            </w:r>
            <w:r>
              <w:rPr>
                <w:b/>
                <w:spacing w:val="-12"/>
                <w:sz w:val="20"/>
              </w:rPr>
              <w:t> </w:t>
            </w:r>
            <w:r>
              <w:rPr>
                <w:b/>
                <w:sz w:val="20"/>
              </w:rPr>
              <w:t>sources</w:t>
            </w:r>
            <w:r>
              <w:rPr>
                <w:b/>
                <w:spacing w:val="-9"/>
                <w:sz w:val="20"/>
              </w:rPr>
              <w:t> </w:t>
            </w:r>
            <w:r>
              <w:rPr>
                <w:b/>
                <w:sz w:val="20"/>
              </w:rPr>
              <w:t>represented</w:t>
            </w:r>
            <w:r>
              <w:rPr>
                <w:b/>
                <w:spacing w:val="-8"/>
                <w:sz w:val="20"/>
              </w:rPr>
              <w:t> </w:t>
            </w:r>
            <w:r>
              <w:rPr>
                <w:b/>
                <w:spacing w:val="-5"/>
                <w:sz w:val="20"/>
              </w:rPr>
              <w:t>by:</w:t>
            </w:r>
          </w:p>
        </w:tc>
        <w:tc>
          <w:tcPr>
            <w:tcW w:w="1199" w:type="dxa"/>
          </w:tcPr>
          <w:p>
            <w:pPr>
              <w:pStyle w:val="TableParagraph"/>
              <w:rPr>
                <w:rFonts w:ascii="Times New Roman"/>
                <w:sz w:val="18"/>
              </w:rPr>
            </w:pPr>
          </w:p>
        </w:tc>
        <w:tc>
          <w:tcPr>
            <w:tcW w:w="1132" w:type="dxa"/>
            <w:tcBorders>
              <w:top w:val="thinThickMediumGap" w:sz="4" w:space="0" w:color="000000"/>
            </w:tcBorders>
          </w:tcPr>
          <w:p>
            <w:pPr>
              <w:pStyle w:val="TableParagraph"/>
              <w:rPr>
                <w:rFonts w:ascii="Times New Roman"/>
                <w:sz w:val="18"/>
              </w:rPr>
            </w:pPr>
          </w:p>
        </w:tc>
        <w:tc>
          <w:tcPr>
            <w:tcW w:w="1134" w:type="dxa"/>
            <w:tcBorders>
              <w:top w:val="thinThickMediumGap" w:sz="4" w:space="0" w:color="000000"/>
            </w:tcBorders>
            <w:shd w:val="clear" w:color="auto" w:fill="DDEBF6"/>
          </w:tcPr>
          <w:p>
            <w:pPr>
              <w:pStyle w:val="TableParagraph"/>
              <w:rPr>
                <w:rFonts w:ascii="Times New Roman"/>
                <w:sz w:val="18"/>
              </w:rPr>
            </w:pPr>
          </w:p>
        </w:tc>
        <w:tc>
          <w:tcPr>
            <w:tcW w:w="1087" w:type="dxa"/>
            <w:tcBorders>
              <w:top w:val="double" w:sz="6" w:space="0" w:color="000000"/>
            </w:tcBorders>
          </w:tcPr>
          <w:p>
            <w:pPr>
              <w:pStyle w:val="TableParagraph"/>
              <w:rPr>
                <w:rFonts w:ascii="Times New Roman"/>
                <w:sz w:val="18"/>
              </w:rPr>
            </w:pPr>
          </w:p>
        </w:tc>
        <w:tc>
          <w:tcPr>
            <w:tcW w:w="1283" w:type="dxa"/>
            <w:tcBorders>
              <w:top w:val="double" w:sz="6" w:space="0" w:color="000000"/>
            </w:tcBorders>
          </w:tcPr>
          <w:p>
            <w:pPr>
              <w:pStyle w:val="TableParagraph"/>
              <w:rPr>
                <w:rFonts w:ascii="Times New Roman"/>
                <w:sz w:val="18"/>
              </w:rPr>
            </w:pPr>
          </w:p>
        </w:tc>
        <w:tc>
          <w:tcPr>
            <w:tcW w:w="1024" w:type="dxa"/>
            <w:tcBorders>
              <w:top w:val="double" w:sz="6" w:space="0" w:color="000000"/>
              <w:right w:val="single" w:sz="12" w:space="0" w:color="000000"/>
            </w:tcBorders>
          </w:tcPr>
          <w:p>
            <w:pPr>
              <w:pStyle w:val="TableParagraph"/>
              <w:rPr>
                <w:rFonts w:ascii="Times New Roman"/>
                <w:sz w:val="18"/>
              </w:rPr>
            </w:pPr>
          </w:p>
        </w:tc>
      </w:tr>
      <w:tr>
        <w:trPr>
          <w:trHeight w:val="300" w:hRule="atLeast"/>
        </w:trPr>
        <w:tc>
          <w:tcPr>
            <w:tcW w:w="3617" w:type="dxa"/>
            <w:tcBorders>
              <w:left w:val="single" w:sz="12" w:space="0" w:color="000000"/>
            </w:tcBorders>
          </w:tcPr>
          <w:p>
            <w:pPr>
              <w:pStyle w:val="TableParagraph"/>
              <w:spacing w:before="48"/>
              <w:ind w:left="109"/>
              <w:rPr>
                <w:sz w:val="20"/>
              </w:rPr>
            </w:pPr>
            <w:r>
              <w:rPr>
                <w:spacing w:val="-2"/>
                <w:sz w:val="20"/>
              </w:rPr>
              <w:t>Grants</w:t>
            </w:r>
          </w:p>
        </w:tc>
        <w:tc>
          <w:tcPr>
            <w:tcW w:w="1199" w:type="dxa"/>
          </w:tcPr>
          <w:p>
            <w:pPr>
              <w:pStyle w:val="TableParagraph"/>
              <w:rPr>
                <w:rFonts w:ascii="Times New Roman"/>
                <w:sz w:val="18"/>
              </w:rPr>
            </w:pPr>
          </w:p>
        </w:tc>
        <w:tc>
          <w:tcPr>
            <w:tcW w:w="1132" w:type="dxa"/>
          </w:tcPr>
          <w:p>
            <w:pPr>
              <w:pStyle w:val="TableParagraph"/>
              <w:spacing w:before="14"/>
              <w:ind w:right="92"/>
              <w:jc w:val="right"/>
              <w:rPr>
                <w:sz w:val="20"/>
              </w:rPr>
            </w:pPr>
            <w:r>
              <w:rPr>
                <w:spacing w:val="-2"/>
                <w:sz w:val="20"/>
              </w:rPr>
              <w:t>26,654</w:t>
            </w:r>
          </w:p>
        </w:tc>
        <w:tc>
          <w:tcPr>
            <w:tcW w:w="1134" w:type="dxa"/>
            <w:shd w:val="clear" w:color="auto" w:fill="DDEBF6"/>
          </w:tcPr>
          <w:p>
            <w:pPr>
              <w:pStyle w:val="TableParagraph"/>
              <w:spacing w:before="14"/>
              <w:ind w:right="92"/>
              <w:jc w:val="right"/>
              <w:rPr>
                <w:b/>
                <w:sz w:val="20"/>
              </w:rPr>
            </w:pPr>
            <w:r>
              <w:rPr>
                <w:b/>
                <w:spacing w:val="-2"/>
                <w:sz w:val="20"/>
              </w:rPr>
              <w:t>7,234</w:t>
            </w:r>
          </w:p>
        </w:tc>
        <w:tc>
          <w:tcPr>
            <w:tcW w:w="1087" w:type="dxa"/>
          </w:tcPr>
          <w:p>
            <w:pPr>
              <w:pStyle w:val="TableParagraph"/>
              <w:spacing w:before="14"/>
              <w:ind w:right="45"/>
              <w:jc w:val="right"/>
              <w:rPr>
                <w:sz w:val="20"/>
              </w:rPr>
            </w:pPr>
            <w:r>
              <w:rPr>
                <w:spacing w:val="-2"/>
                <w:sz w:val="20"/>
              </w:rPr>
              <w:t>17,466</w:t>
            </w:r>
          </w:p>
        </w:tc>
        <w:tc>
          <w:tcPr>
            <w:tcW w:w="1283" w:type="dxa"/>
          </w:tcPr>
          <w:p>
            <w:pPr>
              <w:pStyle w:val="TableParagraph"/>
              <w:spacing w:before="14"/>
              <w:ind w:right="130"/>
              <w:jc w:val="right"/>
              <w:rPr>
                <w:sz w:val="20"/>
              </w:rPr>
            </w:pPr>
            <w:r>
              <w:rPr>
                <w:spacing w:val="-2"/>
                <w:sz w:val="20"/>
              </w:rPr>
              <w:t>11,479</w:t>
            </w:r>
          </w:p>
        </w:tc>
        <w:tc>
          <w:tcPr>
            <w:tcW w:w="1024" w:type="dxa"/>
            <w:tcBorders>
              <w:right w:val="single" w:sz="12" w:space="0" w:color="000000"/>
            </w:tcBorders>
          </w:tcPr>
          <w:p>
            <w:pPr>
              <w:pStyle w:val="TableParagraph"/>
              <w:spacing w:before="14"/>
              <w:ind w:right="74"/>
              <w:jc w:val="right"/>
              <w:rPr>
                <w:sz w:val="20"/>
              </w:rPr>
            </w:pPr>
            <w:r>
              <w:rPr>
                <w:spacing w:val="-2"/>
                <w:sz w:val="20"/>
              </w:rPr>
              <w:t>11,016</w:t>
            </w:r>
          </w:p>
        </w:tc>
      </w:tr>
      <w:tr>
        <w:trPr>
          <w:trHeight w:val="300" w:hRule="atLeast"/>
        </w:trPr>
        <w:tc>
          <w:tcPr>
            <w:tcW w:w="3617" w:type="dxa"/>
            <w:tcBorders>
              <w:left w:val="single" w:sz="12" w:space="0" w:color="000000"/>
            </w:tcBorders>
          </w:tcPr>
          <w:p>
            <w:pPr>
              <w:pStyle w:val="TableParagraph"/>
              <w:spacing w:before="48"/>
              <w:ind w:left="109"/>
              <w:rPr>
                <w:sz w:val="20"/>
              </w:rPr>
            </w:pPr>
            <w:r>
              <w:rPr>
                <w:spacing w:val="-2"/>
                <w:sz w:val="20"/>
              </w:rPr>
              <w:t>Contributions</w:t>
            </w:r>
          </w:p>
        </w:tc>
        <w:tc>
          <w:tcPr>
            <w:tcW w:w="1199" w:type="dxa"/>
          </w:tcPr>
          <w:p>
            <w:pPr>
              <w:pStyle w:val="TableParagraph"/>
              <w:rPr>
                <w:rFonts w:ascii="Times New Roman"/>
                <w:sz w:val="18"/>
              </w:rPr>
            </w:pPr>
          </w:p>
        </w:tc>
        <w:tc>
          <w:tcPr>
            <w:tcW w:w="1132" w:type="dxa"/>
          </w:tcPr>
          <w:p>
            <w:pPr>
              <w:pStyle w:val="TableParagraph"/>
              <w:spacing w:before="14"/>
              <w:ind w:right="91"/>
              <w:jc w:val="right"/>
              <w:rPr>
                <w:sz w:val="20"/>
              </w:rPr>
            </w:pPr>
            <w:r>
              <w:rPr>
                <w:spacing w:val="-2"/>
                <w:sz w:val="20"/>
              </w:rPr>
              <w:t>1,066</w:t>
            </w:r>
          </w:p>
        </w:tc>
        <w:tc>
          <w:tcPr>
            <w:tcW w:w="1134" w:type="dxa"/>
            <w:shd w:val="clear" w:color="auto" w:fill="DDEBF6"/>
          </w:tcPr>
          <w:p>
            <w:pPr>
              <w:pStyle w:val="TableParagraph"/>
              <w:spacing w:before="14"/>
              <w:ind w:right="93"/>
              <w:jc w:val="right"/>
              <w:rPr>
                <w:b/>
                <w:sz w:val="20"/>
              </w:rPr>
            </w:pPr>
            <w:r>
              <w:rPr>
                <w:b/>
                <w:spacing w:val="-5"/>
                <w:sz w:val="20"/>
              </w:rPr>
              <w:t>223</w:t>
            </w:r>
          </w:p>
        </w:tc>
        <w:tc>
          <w:tcPr>
            <w:tcW w:w="1087" w:type="dxa"/>
          </w:tcPr>
          <w:p>
            <w:pPr>
              <w:pStyle w:val="TableParagraph"/>
              <w:spacing w:before="14"/>
              <w:ind w:right="45"/>
              <w:jc w:val="right"/>
              <w:rPr>
                <w:sz w:val="20"/>
              </w:rPr>
            </w:pPr>
            <w:r>
              <w:rPr>
                <w:spacing w:val="-5"/>
                <w:sz w:val="20"/>
              </w:rPr>
              <w:t>234</w:t>
            </w:r>
          </w:p>
        </w:tc>
        <w:tc>
          <w:tcPr>
            <w:tcW w:w="1283" w:type="dxa"/>
          </w:tcPr>
          <w:p>
            <w:pPr>
              <w:pStyle w:val="TableParagraph"/>
              <w:spacing w:before="14"/>
              <w:ind w:right="130"/>
              <w:jc w:val="right"/>
              <w:rPr>
                <w:sz w:val="20"/>
              </w:rPr>
            </w:pPr>
            <w:r>
              <w:rPr>
                <w:spacing w:val="-5"/>
                <w:sz w:val="20"/>
              </w:rPr>
              <w:t>235</w:t>
            </w:r>
          </w:p>
        </w:tc>
        <w:tc>
          <w:tcPr>
            <w:tcW w:w="1024" w:type="dxa"/>
            <w:tcBorders>
              <w:right w:val="single" w:sz="12" w:space="0" w:color="000000"/>
            </w:tcBorders>
          </w:tcPr>
          <w:p>
            <w:pPr>
              <w:pStyle w:val="TableParagraph"/>
              <w:spacing w:before="14"/>
              <w:ind w:right="73"/>
              <w:jc w:val="right"/>
              <w:rPr>
                <w:sz w:val="20"/>
              </w:rPr>
            </w:pPr>
            <w:r>
              <w:rPr>
                <w:spacing w:val="-5"/>
                <w:sz w:val="20"/>
              </w:rPr>
              <w:t>236</w:t>
            </w:r>
          </w:p>
        </w:tc>
      </w:tr>
      <w:tr>
        <w:trPr>
          <w:trHeight w:val="272" w:hRule="atLeast"/>
        </w:trPr>
        <w:tc>
          <w:tcPr>
            <w:tcW w:w="3617" w:type="dxa"/>
            <w:tcBorders>
              <w:left w:val="single" w:sz="12" w:space="0" w:color="000000"/>
            </w:tcBorders>
          </w:tcPr>
          <w:p>
            <w:pPr>
              <w:pStyle w:val="TableParagraph"/>
              <w:spacing w:line="204" w:lineRule="exact" w:before="48"/>
              <w:ind w:left="109"/>
              <w:rPr>
                <w:sz w:val="20"/>
              </w:rPr>
            </w:pPr>
            <w:r>
              <w:rPr>
                <w:sz w:val="20"/>
              </w:rPr>
              <w:t>Council</w:t>
            </w:r>
            <w:r>
              <w:rPr>
                <w:spacing w:val="-9"/>
                <w:sz w:val="20"/>
              </w:rPr>
              <w:t> </w:t>
            </w:r>
            <w:r>
              <w:rPr>
                <w:spacing w:val="-4"/>
                <w:sz w:val="20"/>
              </w:rPr>
              <w:t>cash</w:t>
            </w:r>
          </w:p>
        </w:tc>
        <w:tc>
          <w:tcPr>
            <w:tcW w:w="1199" w:type="dxa"/>
          </w:tcPr>
          <w:p>
            <w:pPr>
              <w:pStyle w:val="TableParagraph"/>
              <w:rPr>
                <w:rFonts w:ascii="Times New Roman"/>
                <w:sz w:val="18"/>
              </w:rPr>
            </w:pPr>
          </w:p>
        </w:tc>
        <w:tc>
          <w:tcPr>
            <w:tcW w:w="1132" w:type="dxa"/>
            <w:tcBorders>
              <w:bottom w:val="single" w:sz="18" w:space="0" w:color="000000"/>
            </w:tcBorders>
          </w:tcPr>
          <w:p>
            <w:pPr>
              <w:pStyle w:val="TableParagraph"/>
              <w:spacing w:before="14"/>
              <w:ind w:right="92"/>
              <w:jc w:val="right"/>
              <w:rPr>
                <w:sz w:val="20"/>
              </w:rPr>
            </w:pPr>
            <w:r>
              <w:rPr>
                <w:spacing w:val="-2"/>
                <w:sz w:val="20"/>
              </w:rPr>
              <w:t>43,762</w:t>
            </w:r>
          </w:p>
        </w:tc>
        <w:tc>
          <w:tcPr>
            <w:tcW w:w="1134" w:type="dxa"/>
            <w:tcBorders>
              <w:bottom w:val="single" w:sz="18" w:space="0" w:color="000000"/>
            </w:tcBorders>
            <w:shd w:val="clear" w:color="auto" w:fill="DDEBF6"/>
          </w:tcPr>
          <w:p>
            <w:pPr>
              <w:pStyle w:val="TableParagraph"/>
              <w:spacing w:before="14"/>
              <w:ind w:right="93"/>
              <w:jc w:val="right"/>
              <w:rPr>
                <w:b/>
                <w:sz w:val="20"/>
              </w:rPr>
            </w:pPr>
            <w:r>
              <w:rPr>
                <w:b/>
                <w:spacing w:val="-2"/>
                <w:sz w:val="20"/>
              </w:rPr>
              <w:t>38,568</w:t>
            </w:r>
          </w:p>
        </w:tc>
        <w:tc>
          <w:tcPr>
            <w:tcW w:w="1087" w:type="dxa"/>
            <w:tcBorders>
              <w:bottom w:val="single" w:sz="12" w:space="0" w:color="000000"/>
            </w:tcBorders>
          </w:tcPr>
          <w:p>
            <w:pPr>
              <w:pStyle w:val="TableParagraph"/>
              <w:spacing w:before="14"/>
              <w:ind w:right="45"/>
              <w:jc w:val="right"/>
              <w:rPr>
                <w:sz w:val="20"/>
              </w:rPr>
            </w:pPr>
            <w:r>
              <w:rPr>
                <w:spacing w:val="-2"/>
                <w:sz w:val="20"/>
              </w:rPr>
              <w:t>59,146</w:t>
            </w:r>
          </w:p>
        </w:tc>
        <w:tc>
          <w:tcPr>
            <w:tcW w:w="1283" w:type="dxa"/>
            <w:tcBorders>
              <w:bottom w:val="single" w:sz="12" w:space="0" w:color="000000"/>
            </w:tcBorders>
          </w:tcPr>
          <w:p>
            <w:pPr>
              <w:pStyle w:val="TableParagraph"/>
              <w:spacing w:before="14"/>
              <w:ind w:right="130"/>
              <w:jc w:val="right"/>
              <w:rPr>
                <w:sz w:val="20"/>
              </w:rPr>
            </w:pPr>
            <w:r>
              <w:rPr>
                <w:spacing w:val="-2"/>
                <w:sz w:val="20"/>
              </w:rPr>
              <w:t>37,702</w:t>
            </w:r>
          </w:p>
        </w:tc>
        <w:tc>
          <w:tcPr>
            <w:tcW w:w="1024" w:type="dxa"/>
            <w:tcBorders>
              <w:bottom w:val="single" w:sz="12" w:space="0" w:color="000000"/>
              <w:right w:val="single" w:sz="12" w:space="0" w:color="000000"/>
            </w:tcBorders>
          </w:tcPr>
          <w:p>
            <w:pPr>
              <w:pStyle w:val="TableParagraph"/>
              <w:spacing w:before="14"/>
              <w:ind w:right="74"/>
              <w:jc w:val="right"/>
              <w:rPr>
                <w:sz w:val="20"/>
              </w:rPr>
            </w:pPr>
            <w:r>
              <w:rPr>
                <w:spacing w:val="-2"/>
                <w:sz w:val="20"/>
              </w:rPr>
              <w:t>38,631</w:t>
            </w:r>
          </w:p>
        </w:tc>
      </w:tr>
      <w:tr>
        <w:trPr>
          <w:trHeight w:val="292" w:hRule="atLeast"/>
        </w:trPr>
        <w:tc>
          <w:tcPr>
            <w:tcW w:w="3617" w:type="dxa"/>
            <w:tcBorders>
              <w:left w:val="single" w:sz="12" w:space="0" w:color="000000"/>
              <w:bottom w:val="single" w:sz="12" w:space="0" w:color="000000"/>
            </w:tcBorders>
          </w:tcPr>
          <w:p>
            <w:pPr>
              <w:pStyle w:val="TableParagraph"/>
              <w:spacing w:line="210" w:lineRule="exact" w:before="62"/>
              <w:ind w:left="109"/>
              <w:rPr>
                <w:b/>
                <w:sz w:val="20"/>
              </w:rPr>
            </w:pPr>
            <w:r>
              <w:rPr>
                <w:b/>
                <w:sz w:val="20"/>
              </w:rPr>
              <w:t>Total</w:t>
            </w:r>
            <w:r>
              <w:rPr>
                <w:b/>
                <w:spacing w:val="-8"/>
                <w:sz w:val="20"/>
              </w:rPr>
              <w:t> </w:t>
            </w:r>
            <w:r>
              <w:rPr>
                <w:b/>
                <w:sz w:val="20"/>
              </w:rPr>
              <w:t>capital</w:t>
            </w:r>
            <w:r>
              <w:rPr>
                <w:b/>
                <w:spacing w:val="-7"/>
                <w:sz w:val="20"/>
              </w:rPr>
              <w:t> </w:t>
            </w:r>
            <w:r>
              <w:rPr>
                <w:b/>
                <w:sz w:val="20"/>
              </w:rPr>
              <w:t>works</w:t>
            </w:r>
            <w:r>
              <w:rPr>
                <w:b/>
                <w:spacing w:val="-4"/>
                <w:sz w:val="20"/>
              </w:rPr>
              <w:t> </w:t>
            </w:r>
            <w:r>
              <w:rPr>
                <w:b/>
                <w:spacing w:val="-2"/>
                <w:sz w:val="20"/>
              </w:rPr>
              <w:t>expenditure</w:t>
            </w:r>
          </w:p>
        </w:tc>
        <w:tc>
          <w:tcPr>
            <w:tcW w:w="1199" w:type="dxa"/>
            <w:tcBorders>
              <w:bottom w:val="single" w:sz="12" w:space="0" w:color="000000"/>
            </w:tcBorders>
          </w:tcPr>
          <w:p>
            <w:pPr>
              <w:pStyle w:val="TableParagraph"/>
              <w:spacing w:before="26"/>
              <w:ind w:left="357"/>
              <w:rPr>
                <w:sz w:val="20"/>
              </w:rPr>
            </w:pPr>
            <w:r>
              <w:rPr>
                <w:spacing w:val="-2"/>
                <w:sz w:val="20"/>
              </w:rPr>
              <w:t>4.5.1</w:t>
            </w:r>
          </w:p>
        </w:tc>
        <w:tc>
          <w:tcPr>
            <w:tcW w:w="1132" w:type="dxa"/>
            <w:tcBorders>
              <w:top w:val="single" w:sz="18" w:space="0" w:color="000000"/>
              <w:bottom w:val="single" w:sz="12" w:space="0" w:color="000000"/>
            </w:tcBorders>
          </w:tcPr>
          <w:p>
            <w:pPr>
              <w:pStyle w:val="TableParagraph"/>
              <w:spacing w:before="26"/>
              <w:ind w:right="92"/>
              <w:jc w:val="right"/>
              <w:rPr>
                <w:sz w:val="20"/>
              </w:rPr>
            </w:pPr>
            <w:r>
              <w:rPr>
                <w:spacing w:val="-2"/>
                <w:sz w:val="20"/>
              </w:rPr>
              <w:t>71,482</w:t>
            </w:r>
          </w:p>
        </w:tc>
        <w:tc>
          <w:tcPr>
            <w:tcW w:w="1134" w:type="dxa"/>
            <w:tcBorders>
              <w:top w:val="single" w:sz="18" w:space="0" w:color="000000"/>
              <w:bottom w:val="single" w:sz="12" w:space="0" w:color="000000"/>
            </w:tcBorders>
            <w:shd w:val="clear" w:color="auto" w:fill="DDEBF6"/>
          </w:tcPr>
          <w:p>
            <w:pPr>
              <w:pStyle w:val="TableParagraph"/>
              <w:spacing w:before="26"/>
              <w:ind w:right="93"/>
              <w:jc w:val="right"/>
              <w:rPr>
                <w:b/>
                <w:sz w:val="20"/>
              </w:rPr>
            </w:pPr>
            <w:r>
              <w:rPr>
                <w:b/>
                <w:spacing w:val="-2"/>
                <w:sz w:val="20"/>
              </w:rPr>
              <w:t>46,025</w:t>
            </w:r>
          </w:p>
        </w:tc>
        <w:tc>
          <w:tcPr>
            <w:tcW w:w="1087" w:type="dxa"/>
            <w:tcBorders>
              <w:top w:val="single" w:sz="12" w:space="0" w:color="000000"/>
              <w:bottom w:val="single" w:sz="12" w:space="0" w:color="000000"/>
            </w:tcBorders>
          </w:tcPr>
          <w:p>
            <w:pPr>
              <w:pStyle w:val="TableParagraph"/>
              <w:spacing w:before="26"/>
              <w:ind w:right="45"/>
              <w:jc w:val="right"/>
              <w:rPr>
                <w:sz w:val="20"/>
              </w:rPr>
            </w:pPr>
            <w:r>
              <w:rPr>
                <w:spacing w:val="-2"/>
                <w:sz w:val="20"/>
              </w:rPr>
              <w:t>76,846</w:t>
            </w:r>
          </w:p>
        </w:tc>
        <w:tc>
          <w:tcPr>
            <w:tcW w:w="1283" w:type="dxa"/>
            <w:tcBorders>
              <w:top w:val="single" w:sz="12" w:space="0" w:color="000000"/>
              <w:bottom w:val="single" w:sz="12" w:space="0" w:color="000000"/>
            </w:tcBorders>
          </w:tcPr>
          <w:p>
            <w:pPr>
              <w:pStyle w:val="TableParagraph"/>
              <w:spacing w:before="26"/>
              <w:ind w:right="130"/>
              <w:jc w:val="right"/>
              <w:rPr>
                <w:sz w:val="20"/>
              </w:rPr>
            </w:pPr>
            <w:r>
              <w:rPr>
                <w:spacing w:val="-2"/>
                <w:sz w:val="20"/>
              </w:rPr>
              <w:t>49,416</w:t>
            </w:r>
          </w:p>
        </w:tc>
        <w:tc>
          <w:tcPr>
            <w:tcW w:w="1024" w:type="dxa"/>
            <w:tcBorders>
              <w:top w:val="single" w:sz="12" w:space="0" w:color="000000"/>
              <w:bottom w:val="single" w:sz="12" w:space="0" w:color="000000"/>
              <w:right w:val="single" w:sz="12" w:space="0" w:color="000000"/>
            </w:tcBorders>
          </w:tcPr>
          <w:p>
            <w:pPr>
              <w:pStyle w:val="TableParagraph"/>
              <w:spacing w:before="26"/>
              <w:ind w:right="74"/>
              <w:jc w:val="right"/>
              <w:rPr>
                <w:sz w:val="20"/>
              </w:rPr>
            </w:pPr>
            <w:r>
              <w:rPr>
                <w:spacing w:val="-2"/>
                <w:sz w:val="20"/>
              </w:rPr>
              <w:t>49,883</w:t>
            </w:r>
          </w:p>
        </w:tc>
      </w:tr>
    </w:tbl>
    <w:p>
      <w:pPr>
        <w:spacing w:after="0"/>
        <w:jc w:val="right"/>
        <w:rPr>
          <w:sz w:val="20"/>
        </w:rPr>
        <w:sectPr>
          <w:pgSz w:w="11910" w:h="16840"/>
          <w:pgMar w:header="0" w:footer="375" w:top="540" w:bottom="560" w:left="460" w:right="160"/>
        </w:sectPr>
      </w:pPr>
    </w:p>
    <w:p>
      <w:pPr>
        <w:pStyle w:val="Heading4"/>
        <w:spacing w:line="276" w:lineRule="exact" w:before="71"/>
        <w:ind w:left="391" w:firstLine="0"/>
      </w:pPr>
      <w:r>
        <w:rPr>
          <w:color w:val="4966AC"/>
        </w:rPr>
        <w:t>Statement</w:t>
      </w:r>
      <w:r>
        <w:rPr>
          <w:color w:val="4966AC"/>
          <w:spacing w:val="-3"/>
        </w:rPr>
        <w:t> </w:t>
      </w:r>
      <w:r>
        <w:rPr>
          <w:color w:val="4966AC"/>
        </w:rPr>
        <w:t>of Human</w:t>
      </w:r>
      <w:r>
        <w:rPr>
          <w:color w:val="4966AC"/>
          <w:spacing w:val="2"/>
        </w:rPr>
        <w:t> </w:t>
      </w:r>
      <w:r>
        <w:rPr>
          <w:color w:val="4966AC"/>
          <w:spacing w:val="-2"/>
        </w:rPr>
        <w:t>Resources</w:t>
      </w:r>
    </w:p>
    <w:p>
      <w:pPr>
        <w:pStyle w:val="BodyText"/>
        <w:spacing w:line="253" w:lineRule="exact"/>
        <w:ind w:left="391"/>
      </w:pPr>
      <w:r>
        <w:rPr>
          <w:color w:val="4966AC"/>
        </w:rPr>
        <w:t>For</w:t>
      </w:r>
      <w:r>
        <w:rPr>
          <w:color w:val="4966AC"/>
          <w:spacing w:val="-3"/>
        </w:rPr>
        <w:t> </w:t>
      </w:r>
      <w:r>
        <w:rPr>
          <w:color w:val="4966AC"/>
        </w:rPr>
        <w:t>the</w:t>
      </w:r>
      <w:r>
        <w:rPr>
          <w:color w:val="4966AC"/>
          <w:spacing w:val="-3"/>
        </w:rPr>
        <w:t> </w:t>
      </w:r>
      <w:r>
        <w:rPr>
          <w:color w:val="4966AC"/>
        </w:rPr>
        <w:t>four</w:t>
      </w:r>
      <w:r>
        <w:rPr>
          <w:color w:val="4966AC"/>
          <w:spacing w:val="-2"/>
        </w:rPr>
        <w:t> </w:t>
      </w:r>
      <w:r>
        <w:rPr>
          <w:color w:val="4966AC"/>
        </w:rPr>
        <w:t>years</w:t>
      </w:r>
      <w:r>
        <w:rPr>
          <w:color w:val="4966AC"/>
          <w:spacing w:val="-2"/>
        </w:rPr>
        <w:t> </w:t>
      </w:r>
      <w:r>
        <w:rPr>
          <w:color w:val="4966AC"/>
        </w:rPr>
        <w:t>ending</w:t>
      </w:r>
      <w:r>
        <w:rPr>
          <w:color w:val="4966AC"/>
          <w:spacing w:val="-3"/>
        </w:rPr>
        <w:t> </w:t>
      </w:r>
      <w:r>
        <w:rPr>
          <w:color w:val="4966AC"/>
        </w:rPr>
        <w:t>30</w:t>
      </w:r>
      <w:r>
        <w:rPr>
          <w:color w:val="4966AC"/>
          <w:spacing w:val="-2"/>
        </w:rPr>
        <w:t> </w:t>
      </w:r>
      <w:r>
        <w:rPr>
          <w:color w:val="4966AC"/>
        </w:rPr>
        <w:t>June</w:t>
      </w:r>
      <w:r>
        <w:rPr>
          <w:color w:val="4966AC"/>
          <w:spacing w:val="-3"/>
        </w:rPr>
        <w:t> </w:t>
      </w:r>
      <w:r>
        <w:rPr>
          <w:color w:val="4966AC"/>
          <w:spacing w:val="-4"/>
        </w:rPr>
        <w:t>2029</w:t>
      </w:r>
    </w:p>
    <w:p>
      <w:pPr>
        <w:pStyle w:val="BodyText"/>
        <w:spacing w:before="2"/>
        <w:rPr>
          <w:sz w:val="21"/>
        </w:rPr>
      </w:pPr>
    </w:p>
    <w:tbl>
      <w:tblPr>
        <w:tblW w:w="0" w:type="auto"/>
        <w:jc w:val="left"/>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35"/>
        <w:gridCol w:w="1274"/>
        <w:gridCol w:w="1416"/>
        <w:gridCol w:w="1511"/>
        <w:gridCol w:w="1614"/>
        <w:gridCol w:w="1402"/>
      </w:tblGrid>
      <w:tr>
        <w:trPr>
          <w:trHeight w:val="1250" w:hRule="atLeast"/>
        </w:trPr>
        <w:tc>
          <w:tcPr>
            <w:tcW w:w="4809" w:type="dxa"/>
            <w:gridSpan w:val="2"/>
            <w:tcBorders>
              <w:top w:val="single" w:sz="18" w:space="0" w:color="000000"/>
              <w:left w:val="single" w:sz="12" w:space="0" w:color="000000"/>
            </w:tcBorders>
            <w:shd w:val="clear" w:color="auto" w:fill="5B9AD4"/>
          </w:tcPr>
          <w:p>
            <w:pPr>
              <w:pStyle w:val="TableParagraph"/>
              <w:spacing w:before="76"/>
              <w:ind w:left="3755" w:right="189"/>
              <w:jc w:val="center"/>
              <w:rPr>
                <w:b/>
                <w:sz w:val="20"/>
              </w:rPr>
            </w:pPr>
            <w:r>
              <w:rPr>
                <w:b/>
                <w:color w:val="FFFFFF"/>
                <w:spacing w:val="-2"/>
                <w:sz w:val="20"/>
              </w:rPr>
              <w:t>Forecast Actual</w:t>
            </w:r>
          </w:p>
          <w:p>
            <w:pPr>
              <w:pStyle w:val="TableParagraph"/>
              <w:spacing w:before="126"/>
              <w:ind w:left="3751" w:right="189"/>
              <w:jc w:val="center"/>
              <w:rPr>
                <w:b/>
                <w:sz w:val="20"/>
              </w:rPr>
            </w:pPr>
            <w:r>
              <w:rPr>
                <w:b/>
                <w:color w:val="FFFFFF"/>
                <w:spacing w:val="-2"/>
                <w:sz w:val="20"/>
              </w:rPr>
              <w:t>2024/25</w:t>
            </w:r>
          </w:p>
          <w:p>
            <w:pPr>
              <w:pStyle w:val="TableParagraph"/>
              <w:spacing w:line="211" w:lineRule="exact" w:before="128"/>
              <w:ind w:left="3752" w:right="189"/>
              <w:jc w:val="center"/>
              <w:rPr>
                <w:b/>
                <w:sz w:val="20"/>
              </w:rPr>
            </w:pPr>
            <w:r>
              <w:rPr>
                <w:b/>
                <w:color w:val="FFFFFF"/>
                <w:spacing w:val="-2"/>
                <w:sz w:val="20"/>
              </w:rPr>
              <w:t>$’000</w:t>
            </w:r>
          </w:p>
        </w:tc>
        <w:tc>
          <w:tcPr>
            <w:tcW w:w="1416" w:type="dxa"/>
            <w:tcBorders>
              <w:top w:val="single" w:sz="18" w:space="0" w:color="000000"/>
            </w:tcBorders>
            <w:shd w:val="clear" w:color="auto" w:fill="5B9AD4"/>
          </w:tcPr>
          <w:p>
            <w:pPr>
              <w:pStyle w:val="TableParagraph"/>
              <w:spacing w:before="189"/>
              <w:ind w:left="377"/>
              <w:rPr>
                <w:b/>
                <w:sz w:val="20"/>
              </w:rPr>
            </w:pPr>
            <w:r>
              <w:rPr>
                <w:b/>
                <w:color w:val="FFFFFF"/>
                <w:spacing w:val="-2"/>
                <w:sz w:val="20"/>
              </w:rPr>
              <w:t>Budget</w:t>
            </w:r>
          </w:p>
          <w:p>
            <w:pPr>
              <w:pStyle w:val="TableParagraph"/>
              <w:spacing w:before="1"/>
              <w:rPr>
                <w:sz w:val="21"/>
              </w:rPr>
            </w:pPr>
          </w:p>
          <w:p>
            <w:pPr>
              <w:pStyle w:val="TableParagraph"/>
              <w:spacing w:before="1"/>
              <w:ind w:left="360"/>
              <w:rPr>
                <w:b/>
                <w:sz w:val="20"/>
              </w:rPr>
            </w:pPr>
            <w:r>
              <w:rPr>
                <w:b/>
                <w:color w:val="FFFFFF"/>
                <w:spacing w:val="-2"/>
                <w:sz w:val="20"/>
              </w:rPr>
              <w:t>2025/26</w:t>
            </w:r>
          </w:p>
          <w:p>
            <w:pPr>
              <w:pStyle w:val="TableParagraph"/>
              <w:spacing w:line="211" w:lineRule="exact" w:before="127"/>
              <w:ind w:left="471"/>
              <w:rPr>
                <w:b/>
                <w:sz w:val="20"/>
              </w:rPr>
            </w:pPr>
            <w:r>
              <w:rPr>
                <w:b/>
                <w:color w:val="FFFFFF"/>
                <w:spacing w:val="-2"/>
                <w:sz w:val="20"/>
              </w:rPr>
              <w:t>$’000</w:t>
            </w:r>
          </w:p>
        </w:tc>
        <w:tc>
          <w:tcPr>
            <w:tcW w:w="1511" w:type="dxa"/>
            <w:tcBorders>
              <w:top w:val="single" w:sz="18" w:space="0" w:color="000000"/>
            </w:tcBorders>
            <w:shd w:val="clear" w:color="auto" w:fill="5B9AD4"/>
          </w:tcPr>
          <w:p>
            <w:pPr>
              <w:pStyle w:val="TableParagraph"/>
              <w:rPr>
                <w:sz w:val="22"/>
              </w:rPr>
            </w:pPr>
          </w:p>
          <w:p>
            <w:pPr>
              <w:pStyle w:val="TableParagraph"/>
              <w:rPr>
                <w:sz w:val="22"/>
              </w:rPr>
            </w:pPr>
          </w:p>
          <w:p>
            <w:pPr>
              <w:pStyle w:val="TableParagraph"/>
              <w:spacing w:before="156"/>
              <w:ind w:left="358"/>
              <w:rPr>
                <w:b/>
                <w:sz w:val="20"/>
              </w:rPr>
            </w:pPr>
            <w:r>
              <w:rPr>
                <w:b/>
                <w:color w:val="FFFFFF"/>
                <w:spacing w:val="-2"/>
                <w:sz w:val="20"/>
              </w:rPr>
              <w:t>2026/27</w:t>
            </w:r>
          </w:p>
          <w:p>
            <w:pPr>
              <w:pStyle w:val="TableParagraph"/>
              <w:spacing w:line="211" w:lineRule="exact" w:before="128"/>
              <w:ind w:left="468"/>
              <w:rPr>
                <w:b/>
                <w:sz w:val="20"/>
              </w:rPr>
            </w:pPr>
            <w:r>
              <w:rPr>
                <w:b/>
                <w:color w:val="FFFFFF"/>
                <w:spacing w:val="-2"/>
                <w:sz w:val="20"/>
              </w:rPr>
              <w:t>$’000</w:t>
            </w:r>
          </w:p>
        </w:tc>
        <w:tc>
          <w:tcPr>
            <w:tcW w:w="1614" w:type="dxa"/>
            <w:tcBorders>
              <w:top w:val="single" w:sz="18" w:space="0" w:color="000000"/>
            </w:tcBorders>
            <w:shd w:val="clear" w:color="auto" w:fill="5B9AD4"/>
          </w:tcPr>
          <w:p>
            <w:pPr>
              <w:pStyle w:val="TableParagraph"/>
              <w:spacing w:before="189"/>
              <w:ind w:left="220"/>
              <w:rPr>
                <w:b/>
                <w:sz w:val="20"/>
              </w:rPr>
            </w:pPr>
            <w:r>
              <w:rPr>
                <w:b/>
                <w:color w:val="FFFFFF"/>
                <w:spacing w:val="-2"/>
                <w:sz w:val="20"/>
              </w:rPr>
              <w:t>Projections</w:t>
            </w:r>
          </w:p>
          <w:p>
            <w:pPr>
              <w:pStyle w:val="TableParagraph"/>
              <w:spacing w:before="1"/>
              <w:rPr>
                <w:sz w:val="21"/>
              </w:rPr>
            </w:pPr>
          </w:p>
          <w:p>
            <w:pPr>
              <w:pStyle w:val="TableParagraph"/>
              <w:spacing w:before="1"/>
              <w:ind w:left="335"/>
              <w:rPr>
                <w:b/>
                <w:sz w:val="20"/>
              </w:rPr>
            </w:pPr>
            <w:r>
              <w:rPr>
                <w:b/>
                <w:color w:val="FFFFFF"/>
                <w:spacing w:val="-2"/>
                <w:sz w:val="20"/>
              </w:rPr>
              <w:t>2027/28</w:t>
            </w:r>
          </w:p>
          <w:p>
            <w:pPr>
              <w:pStyle w:val="TableParagraph"/>
              <w:spacing w:line="211" w:lineRule="exact" w:before="127"/>
              <w:ind w:left="445"/>
              <w:rPr>
                <w:b/>
                <w:sz w:val="20"/>
              </w:rPr>
            </w:pPr>
            <w:r>
              <w:rPr>
                <w:b/>
                <w:color w:val="FFFFFF"/>
                <w:spacing w:val="-2"/>
                <w:sz w:val="20"/>
              </w:rPr>
              <w:t>$’000</w:t>
            </w:r>
          </w:p>
        </w:tc>
        <w:tc>
          <w:tcPr>
            <w:tcW w:w="1402" w:type="dxa"/>
            <w:tcBorders>
              <w:top w:val="single" w:sz="18" w:space="0" w:color="000000"/>
              <w:right w:val="single" w:sz="12" w:space="0" w:color="000000"/>
            </w:tcBorders>
            <w:shd w:val="clear" w:color="auto" w:fill="5B9AD4"/>
          </w:tcPr>
          <w:p>
            <w:pPr>
              <w:pStyle w:val="TableParagraph"/>
              <w:rPr>
                <w:sz w:val="22"/>
              </w:rPr>
            </w:pPr>
          </w:p>
          <w:p>
            <w:pPr>
              <w:pStyle w:val="TableParagraph"/>
              <w:rPr>
                <w:sz w:val="22"/>
              </w:rPr>
            </w:pPr>
          </w:p>
          <w:p>
            <w:pPr>
              <w:pStyle w:val="TableParagraph"/>
              <w:spacing w:before="156"/>
              <w:ind w:left="261"/>
              <w:rPr>
                <w:b/>
                <w:sz w:val="20"/>
              </w:rPr>
            </w:pPr>
            <w:r>
              <w:rPr>
                <w:b/>
                <w:color w:val="FFFFFF"/>
                <w:spacing w:val="-2"/>
                <w:sz w:val="20"/>
              </w:rPr>
              <w:t>2028/29</w:t>
            </w:r>
          </w:p>
          <w:p>
            <w:pPr>
              <w:pStyle w:val="TableParagraph"/>
              <w:spacing w:line="211" w:lineRule="exact" w:before="128"/>
              <w:ind w:left="371"/>
              <w:rPr>
                <w:b/>
                <w:sz w:val="20"/>
              </w:rPr>
            </w:pPr>
            <w:r>
              <w:rPr>
                <w:b/>
                <w:color w:val="FFFFFF"/>
                <w:spacing w:val="-2"/>
                <w:sz w:val="20"/>
              </w:rPr>
              <w:t>$’000</w:t>
            </w:r>
          </w:p>
        </w:tc>
      </w:tr>
      <w:tr>
        <w:trPr>
          <w:trHeight w:val="340" w:hRule="atLeast"/>
        </w:trPr>
        <w:tc>
          <w:tcPr>
            <w:tcW w:w="3535" w:type="dxa"/>
            <w:tcBorders>
              <w:left w:val="single" w:sz="12" w:space="0" w:color="000000"/>
            </w:tcBorders>
          </w:tcPr>
          <w:p>
            <w:pPr>
              <w:pStyle w:val="TableParagraph"/>
              <w:spacing w:before="86"/>
              <w:ind w:left="107"/>
              <w:rPr>
                <w:b/>
                <w:sz w:val="20"/>
              </w:rPr>
            </w:pPr>
            <w:r>
              <w:rPr>
                <w:b/>
                <w:sz w:val="20"/>
              </w:rPr>
              <w:t>Staff</w:t>
            </w:r>
            <w:r>
              <w:rPr>
                <w:b/>
                <w:spacing w:val="-6"/>
                <w:sz w:val="20"/>
              </w:rPr>
              <w:t> </w:t>
            </w:r>
            <w:r>
              <w:rPr>
                <w:b/>
                <w:spacing w:val="-2"/>
                <w:sz w:val="20"/>
              </w:rPr>
              <w:t>expenditure</w:t>
            </w:r>
          </w:p>
        </w:tc>
        <w:tc>
          <w:tcPr>
            <w:tcW w:w="1274" w:type="dxa"/>
          </w:tcPr>
          <w:p>
            <w:pPr>
              <w:pStyle w:val="TableParagraph"/>
              <w:rPr>
                <w:rFonts w:ascii="Times New Roman"/>
                <w:sz w:val="20"/>
              </w:rPr>
            </w:pPr>
          </w:p>
        </w:tc>
        <w:tc>
          <w:tcPr>
            <w:tcW w:w="1416" w:type="dxa"/>
            <w:shd w:val="clear" w:color="auto" w:fill="DDEBF6"/>
          </w:tcPr>
          <w:p>
            <w:pPr>
              <w:pStyle w:val="TableParagraph"/>
              <w:rPr>
                <w:rFonts w:ascii="Times New Roman"/>
                <w:sz w:val="20"/>
              </w:rPr>
            </w:pPr>
          </w:p>
        </w:tc>
        <w:tc>
          <w:tcPr>
            <w:tcW w:w="1511" w:type="dxa"/>
          </w:tcPr>
          <w:p>
            <w:pPr>
              <w:pStyle w:val="TableParagraph"/>
              <w:rPr>
                <w:rFonts w:ascii="Times New Roman"/>
                <w:sz w:val="20"/>
              </w:rPr>
            </w:pPr>
          </w:p>
        </w:tc>
        <w:tc>
          <w:tcPr>
            <w:tcW w:w="1614" w:type="dxa"/>
          </w:tcPr>
          <w:p>
            <w:pPr>
              <w:pStyle w:val="TableParagraph"/>
              <w:rPr>
                <w:rFonts w:ascii="Times New Roman"/>
                <w:sz w:val="20"/>
              </w:rPr>
            </w:pPr>
          </w:p>
        </w:tc>
        <w:tc>
          <w:tcPr>
            <w:tcW w:w="1402" w:type="dxa"/>
            <w:tcBorders>
              <w:right w:val="single" w:sz="12" w:space="0" w:color="000000"/>
            </w:tcBorders>
          </w:tcPr>
          <w:p>
            <w:pPr>
              <w:pStyle w:val="TableParagraph"/>
              <w:rPr>
                <w:rFonts w:ascii="Times New Roman"/>
                <w:sz w:val="20"/>
              </w:rPr>
            </w:pPr>
          </w:p>
        </w:tc>
      </w:tr>
      <w:tr>
        <w:trPr>
          <w:trHeight w:val="317" w:hRule="atLeast"/>
        </w:trPr>
        <w:tc>
          <w:tcPr>
            <w:tcW w:w="3535" w:type="dxa"/>
            <w:tcBorders>
              <w:left w:val="single" w:sz="12" w:space="0" w:color="000000"/>
            </w:tcBorders>
          </w:tcPr>
          <w:p>
            <w:pPr>
              <w:pStyle w:val="TableParagraph"/>
              <w:spacing w:before="60"/>
              <w:ind w:left="107"/>
              <w:rPr>
                <w:sz w:val="20"/>
              </w:rPr>
            </w:pPr>
            <w:r>
              <w:rPr>
                <w:sz w:val="20"/>
              </w:rPr>
              <w:t>Employee</w:t>
            </w:r>
            <w:r>
              <w:rPr>
                <w:spacing w:val="-6"/>
                <w:sz w:val="20"/>
              </w:rPr>
              <w:t> </w:t>
            </w:r>
            <w:r>
              <w:rPr>
                <w:sz w:val="20"/>
              </w:rPr>
              <w:t>costs</w:t>
            </w:r>
            <w:r>
              <w:rPr>
                <w:spacing w:val="-3"/>
                <w:sz w:val="20"/>
              </w:rPr>
              <w:t> </w:t>
            </w:r>
            <w:r>
              <w:rPr>
                <w:sz w:val="20"/>
              </w:rPr>
              <w:t>-</w:t>
            </w:r>
            <w:r>
              <w:rPr>
                <w:spacing w:val="-6"/>
                <w:sz w:val="20"/>
              </w:rPr>
              <w:t> </w:t>
            </w:r>
            <w:r>
              <w:rPr>
                <w:spacing w:val="-2"/>
                <w:sz w:val="20"/>
              </w:rPr>
              <w:t>operating</w:t>
            </w:r>
          </w:p>
        </w:tc>
        <w:tc>
          <w:tcPr>
            <w:tcW w:w="1274" w:type="dxa"/>
          </w:tcPr>
          <w:p>
            <w:pPr>
              <w:pStyle w:val="TableParagraph"/>
              <w:spacing w:before="17"/>
              <w:ind w:right="93"/>
              <w:jc w:val="right"/>
              <w:rPr>
                <w:sz w:val="20"/>
              </w:rPr>
            </w:pPr>
            <w:r>
              <w:rPr>
                <w:spacing w:val="-2"/>
                <w:sz w:val="20"/>
              </w:rPr>
              <w:t>70,896</w:t>
            </w:r>
          </w:p>
        </w:tc>
        <w:tc>
          <w:tcPr>
            <w:tcW w:w="1416" w:type="dxa"/>
            <w:shd w:val="clear" w:color="auto" w:fill="DDEBF6"/>
          </w:tcPr>
          <w:p>
            <w:pPr>
              <w:pStyle w:val="TableParagraph"/>
              <w:spacing w:before="17"/>
              <w:ind w:right="93"/>
              <w:jc w:val="right"/>
              <w:rPr>
                <w:b/>
                <w:sz w:val="20"/>
              </w:rPr>
            </w:pPr>
            <w:r>
              <w:rPr>
                <w:b/>
                <w:spacing w:val="-2"/>
                <w:sz w:val="20"/>
              </w:rPr>
              <w:t>72,006</w:t>
            </w:r>
          </w:p>
        </w:tc>
        <w:tc>
          <w:tcPr>
            <w:tcW w:w="1511" w:type="dxa"/>
          </w:tcPr>
          <w:p>
            <w:pPr>
              <w:pStyle w:val="TableParagraph"/>
              <w:spacing w:before="17"/>
              <w:ind w:right="190"/>
              <w:jc w:val="right"/>
              <w:rPr>
                <w:sz w:val="20"/>
              </w:rPr>
            </w:pPr>
            <w:r>
              <w:rPr>
                <w:spacing w:val="-2"/>
                <w:sz w:val="20"/>
              </w:rPr>
              <w:t>72,948</w:t>
            </w:r>
          </w:p>
        </w:tc>
        <w:tc>
          <w:tcPr>
            <w:tcW w:w="1614" w:type="dxa"/>
          </w:tcPr>
          <w:p>
            <w:pPr>
              <w:pStyle w:val="TableParagraph"/>
              <w:spacing w:before="17"/>
              <w:ind w:right="247"/>
              <w:jc w:val="right"/>
              <w:rPr>
                <w:sz w:val="20"/>
              </w:rPr>
            </w:pPr>
            <w:r>
              <w:rPr>
                <w:spacing w:val="-2"/>
                <w:sz w:val="20"/>
              </w:rPr>
              <w:t>74,097</w:t>
            </w:r>
          </w:p>
        </w:tc>
        <w:tc>
          <w:tcPr>
            <w:tcW w:w="1402" w:type="dxa"/>
            <w:tcBorders>
              <w:right w:val="single" w:sz="12" w:space="0" w:color="000000"/>
            </w:tcBorders>
          </w:tcPr>
          <w:p>
            <w:pPr>
              <w:pStyle w:val="TableParagraph"/>
              <w:spacing w:before="17"/>
              <w:ind w:right="80"/>
              <w:jc w:val="right"/>
              <w:rPr>
                <w:sz w:val="20"/>
              </w:rPr>
            </w:pPr>
            <w:r>
              <w:rPr>
                <w:spacing w:val="-2"/>
                <w:sz w:val="20"/>
              </w:rPr>
              <w:t>75,508</w:t>
            </w:r>
          </w:p>
        </w:tc>
      </w:tr>
      <w:tr>
        <w:trPr>
          <w:trHeight w:val="301" w:hRule="atLeast"/>
        </w:trPr>
        <w:tc>
          <w:tcPr>
            <w:tcW w:w="3535" w:type="dxa"/>
            <w:tcBorders>
              <w:left w:val="single" w:sz="12" w:space="0" w:color="000000"/>
            </w:tcBorders>
          </w:tcPr>
          <w:p>
            <w:pPr>
              <w:pStyle w:val="TableParagraph"/>
              <w:spacing w:line="211" w:lineRule="exact" w:before="71"/>
              <w:ind w:left="107"/>
              <w:rPr>
                <w:sz w:val="20"/>
              </w:rPr>
            </w:pPr>
            <w:r>
              <w:rPr>
                <w:sz w:val="20"/>
              </w:rPr>
              <w:t>Employee</w:t>
            </w:r>
            <w:r>
              <w:rPr>
                <w:spacing w:val="-6"/>
                <w:sz w:val="20"/>
              </w:rPr>
              <w:t> </w:t>
            </w:r>
            <w:r>
              <w:rPr>
                <w:sz w:val="20"/>
              </w:rPr>
              <w:t>costs</w:t>
            </w:r>
            <w:r>
              <w:rPr>
                <w:spacing w:val="-3"/>
                <w:sz w:val="20"/>
              </w:rPr>
              <w:t> </w:t>
            </w:r>
            <w:r>
              <w:rPr>
                <w:sz w:val="20"/>
              </w:rPr>
              <w:t>-</w:t>
            </w:r>
            <w:r>
              <w:rPr>
                <w:spacing w:val="-6"/>
                <w:sz w:val="20"/>
              </w:rPr>
              <w:t> </w:t>
            </w:r>
            <w:r>
              <w:rPr>
                <w:spacing w:val="-2"/>
                <w:sz w:val="20"/>
              </w:rPr>
              <w:t>capital</w:t>
            </w:r>
          </w:p>
        </w:tc>
        <w:tc>
          <w:tcPr>
            <w:tcW w:w="1274" w:type="dxa"/>
            <w:tcBorders>
              <w:bottom w:val="single" w:sz="2" w:space="0" w:color="000000"/>
            </w:tcBorders>
          </w:tcPr>
          <w:p>
            <w:pPr>
              <w:pStyle w:val="TableParagraph"/>
              <w:spacing w:before="20"/>
              <w:ind w:right="92"/>
              <w:jc w:val="right"/>
              <w:rPr>
                <w:sz w:val="20"/>
              </w:rPr>
            </w:pPr>
            <w:r>
              <w:rPr>
                <w:spacing w:val="-2"/>
                <w:sz w:val="20"/>
              </w:rPr>
              <w:t>1,929</w:t>
            </w:r>
          </w:p>
        </w:tc>
        <w:tc>
          <w:tcPr>
            <w:tcW w:w="1416" w:type="dxa"/>
            <w:tcBorders>
              <w:bottom w:val="single" w:sz="2" w:space="0" w:color="000000"/>
            </w:tcBorders>
            <w:shd w:val="clear" w:color="auto" w:fill="DDEBF6"/>
          </w:tcPr>
          <w:p>
            <w:pPr>
              <w:pStyle w:val="TableParagraph"/>
              <w:spacing w:before="20"/>
              <w:ind w:right="92"/>
              <w:jc w:val="right"/>
              <w:rPr>
                <w:b/>
                <w:sz w:val="20"/>
              </w:rPr>
            </w:pPr>
            <w:r>
              <w:rPr>
                <w:b/>
                <w:spacing w:val="-2"/>
                <w:sz w:val="20"/>
              </w:rPr>
              <w:t>2,023</w:t>
            </w:r>
          </w:p>
        </w:tc>
        <w:tc>
          <w:tcPr>
            <w:tcW w:w="1511" w:type="dxa"/>
            <w:tcBorders>
              <w:bottom w:val="single" w:sz="2" w:space="0" w:color="000000"/>
            </w:tcBorders>
          </w:tcPr>
          <w:p>
            <w:pPr>
              <w:pStyle w:val="TableParagraph"/>
              <w:spacing w:before="20"/>
              <w:ind w:right="189"/>
              <w:jc w:val="right"/>
              <w:rPr>
                <w:sz w:val="20"/>
              </w:rPr>
            </w:pPr>
            <w:r>
              <w:rPr>
                <w:spacing w:val="-2"/>
                <w:sz w:val="20"/>
              </w:rPr>
              <w:t>2,075</w:t>
            </w:r>
          </w:p>
        </w:tc>
        <w:tc>
          <w:tcPr>
            <w:tcW w:w="1614" w:type="dxa"/>
            <w:tcBorders>
              <w:bottom w:val="single" w:sz="2" w:space="0" w:color="000000"/>
            </w:tcBorders>
          </w:tcPr>
          <w:p>
            <w:pPr>
              <w:pStyle w:val="TableParagraph"/>
              <w:spacing w:before="20"/>
              <w:ind w:right="246"/>
              <w:jc w:val="right"/>
              <w:rPr>
                <w:sz w:val="20"/>
              </w:rPr>
            </w:pPr>
            <w:r>
              <w:rPr>
                <w:spacing w:val="-2"/>
                <w:sz w:val="20"/>
              </w:rPr>
              <w:t>2,129</w:t>
            </w:r>
          </w:p>
        </w:tc>
        <w:tc>
          <w:tcPr>
            <w:tcW w:w="1402" w:type="dxa"/>
            <w:tcBorders>
              <w:bottom w:val="single" w:sz="2" w:space="0" w:color="000000"/>
              <w:right w:val="single" w:sz="12" w:space="0" w:color="000000"/>
            </w:tcBorders>
          </w:tcPr>
          <w:p>
            <w:pPr>
              <w:pStyle w:val="TableParagraph"/>
              <w:spacing w:before="20"/>
              <w:ind w:right="78"/>
              <w:jc w:val="right"/>
              <w:rPr>
                <w:sz w:val="20"/>
              </w:rPr>
            </w:pPr>
            <w:r>
              <w:rPr>
                <w:spacing w:val="-2"/>
                <w:sz w:val="20"/>
              </w:rPr>
              <w:t>2,184</w:t>
            </w:r>
          </w:p>
        </w:tc>
      </w:tr>
      <w:tr>
        <w:trPr>
          <w:trHeight w:val="324" w:hRule="atLeast"/>
        </w:trPr>
        <w:tc>
          <w:tcPr>
            <w:tcW w:w="3535" w:type="dxa"/>
            <w:tcBorders>
              <w:left w:val="single" w:sz="12" w:space="0" w:color="000000"/>
            </w:tcBorders>
          </w:tcPr>
          <w:p>
            <w:pPr>
              <w:pStyle w:val="TableParagraph"/>
              <w:spacing w:line="204" w:lineRule="exact" w:before="100"/>
              <w:ind w:left="107"/>
              <w:rPr>
                <w:b/>
                <w:sz w:val="20"/>
              </w:rPr>
            </w:pPr>
            <w:r>
              <w:rPr>
                <w:b/>
                <w:sz w:val="20"/>
              </w:rPr>
              <w:t>Total</w:t>
            </w:r>
            <w:r>
              <w:rPr>
                <w:b/>
                <w:spacing w:val="-7"/>
                <w:sz w:val="20"/>
              </w:rPr>
              <w:t> </w:t>
            </w:r>
            <w:r>
              <w:rPr>
                <w:b/>
                <w:sz w:val="20"/>
              </w:rPr>
              <w:t>staff</w:t>
            </w:r>
            <w:r>
              <w:rPr>
                <w:b/>
                <w:spacing w:val="-4"/>
                <w:sz w:val="20"/>
              </w:rPr>
              <w:t> </w:t>
            </w:r>
            <w:r>
              <w:rPr>
                <w:b/>
                <w:spacing w:val="-2"/>
                <w:sz w:val="20"/>
              </w:rPr>
              <w:t>expenditure</w:t>
            </w:r>
          </w:p>
        </w:tc>
        <w:tc>
          <w:tcPr>
            <w:tcW w:w="1274" w:type="dxa"/>
            <w:tcBorders>
              <w:top w:val="single" w:sz="2" w:space="0" w:color="000000"/>
              <w:bottom w:val="thickThinMediumGap" w:sz="3" w:space="0" w:color="000000"/>
            </w:tcBorders>
          </w:tcPr>
          <w:p>
            <w:pPr>
              <w:pStyle w:val="TableParagraph"/>
              <w:spacing w:before="50"/>
              <w:ind w:right="93"/>
              <w:jc w:val="right"/>
              <w:rPr>
                <w:b/>
                <w:sz w:val="20"/>
              </w:rPr>
            </w:pPr>
            <w:r>
              <w:rPr>
                <w:b/>
                <w:spacing w:val="-2"/>
                <w:sz w:val="20"/>
              </w:rPr>
              <w:t>72,825</w:t>
            </w:r>
          </w:p>
        </w:tc>
        <w:tc>
          <w:tcPr>
            <w:tcW w:w="1416" w:type="dxa"/>
            <w:tcBorders>
              <w:top w:val="single" w:sz="2" w:space="0" w:color="000000"/>
              <w:bottom w:val="thickThinMediumGap" w:sz="3" w:space="0" w:color="000000"/>
            </w:tcBorders>
            <w:shd w:val="clear" w:color="auto" w:fill="DDEBF6"/>
          </w:tcPr>
          <w:p>
            <w:pPr>
              <w:pStyle w:val="TableParagraph"/>
              <w:spacing w:before="50"/>
              <w:ind w:right="93"/>
              <w:jc w:val="right"/>
              <w:rPr>
                <w:b/>
                <w:sz w:val="20"/>
              </w:rPr>
            </w:pPr>
            <w:r>
              <w:rPr>
                <w:b/>
                <w:spacing w:val="-2"/>
                <w:sz w:val="20"/>
              </w:rPr>
              <w:t>74,029</w:t>
            </w:r>
          </w:p>
        </w:tc>
        <w:tc>
          <w:tcPr>
            <w:tcW w:w="1511" w:type="dxa"/>
            <w:tcBorders>
              <w:top w:val="single" w:sz="2" w:space="0" w:color="000000"/>
              <w:bottom w:val="thickThinMediumGap" w:sz="3" w:space="0" w:color="000000"/>
            </w:tcBorders>
          </w:tcPr>
          <w:p>
            <w:pPr>
              <w:pStyle w:val="TableParagraph"/>
              <w:spacing w:before="50"/>
              <w:ind w:right="190"/>
              <w:jc w:val="right"/>
              <w:rPr>
                <w:b/>
                <w:sz w:val="20"/>
              </w:rPr>
            </w:pPr>
            <w:r>
              <w:rPr>
                <w:b/>
                <w:spacing w:val="-2"/>
                <w:sz w:val="20"/>
              </w:rPr>
              <w:t>75,023</w:t>
            </w:r>
          </w:p>
        </w:tc>
        <w:tc>
          <w:tcPr>
            <w:tcW w:w="1614" w:type="dxa"/>
            <w:tcBorders>
              <w:top w:val="single" w:sz="2" w:space="0" w:color="000000"/>
              <w:bottom w:val="thickThinMediumGap" w:sz="3" w:space="0" w:color="000000"/>
            </w:tcBorders>
          </w:tcPr>
          <w:p>
            <w:pPr>
              <w:pStyle w:val="TableParagraph"/>
              <w:spacing w:before="50"/>
              <w:ind w:right="247"/>
              <w:jc w:val="right"/>
              <w:rPr>
                <w:b/>
                <w:sz w:val="20"/>
              </w:rPr>
            </w:pPr>
            <w:r>
              <w:rPr>
                <w:b/>
                <w:spacing w:val="-2"/>
                <w:sz w:val="20"/>
              </w:rPr>
              <w:t>76,226</w:t>
            </w:r>
          </w:p>
        </w:tc>
        <w:tc>
          <w:tcPr>
            <w:tcW w:w="1402" w:type="dxa"/>
            <w:tcBorders>
              <w:top w:val="single" w:sz="2" w:space="0" w:color="000000"/>
              <w:bottom w:val="thickThinMediumGap" w:sz="3" w:space="0" w:color="000000"/>
              <w:right w:val="single" w:sz="12" w:space="0" w:color="000000"/>
            </w:tcBorders>
          </w:tcPr>
          <w:p>
            <w:pPr>
              <w:pStyle w:val="TableParagraph"/>
              <w:spacing w:before="50"/>
              <w:ind w:right="80"/>
              <w:jc w:val="right"/>
              <w:rPr>
                <w:b/>
                <w:sz w:val="20"/>
              </w:rPr>
            </w:pPr>
            <w:r>
              <w:rPr>
                <w:b/>
                <w:spacing w:val="-2"/>
                <w:sz w:val="20"/>
              </w:rPr>
              <w:t>77,692</w:t>
            </w:r>
          </w:p>
        </w:tc>
      </w:tr>
      <w:tr>
        <w:trPr>
          <w:trHeight w:val="659" w:hRule="atLeast"/>
        </w:trPr>
        <w:tc>
          <w:tcPr>
            <w:tcW w:w="3535" w:type="dxa"/>
            <w:tcBorders>
              <w:left w:val="single" w:sz="12" w:space="0" w:color="000000"/>
            </w:tcBorders>
          </w:tcPr>
          <w:p>
            <w:pPr>
              <w:pStyle w:val="TableParagraph"/>
              <w:rPr>
                <w:rFonts w:ascii="Times New Roman"/>
                <w:sz w:val="20"/>
              </w:rPr>
            </w:pPr>
          </w:p>
        </w:tc>
        <w:tc>
          <w:tcPr>
            <w:tcW w:w="1274" w:type="dxa"/>
            <w:tcBorders>
              <w:top w:val="thinThickMediumGap" w:sz="3" w:space="0" w:color="000000"/>
            </w:tcBorders>
          </w:tcPr>
          <w:p>
            <w:pPr>
              <w:pStyle w:val="TableParagraph"/>
              <w:spacing w:before="5"/>
              <w:rPr>
                <w:sz w:val="31"/>
              </w:rPr>
            </w:pPr>
          </w:p>
          <w:p>
            <w:pPr>
              <w:pStyle w:val="TableParagraph"/>
              <w:spacing w:before="1"/>
              <w:ind w:right="91"/>
              <w:jc w:val="right"/>
              <w:rPr>
                <w:sz w:val="20"/>
              </w:rPr>
            </w:pPr>
            <w:r>
              <w:rPr>
                <w:spacing w:val="-5"/>
                <w:sz w:val="20"/>
              </w:rPr>
              <w:t>EFT</w:t>
            </w:r>
          </w:p>
        </w:tc>
        <w:tc>
          <w:tcPr>
            <w:tcW w:w="1416" w:type="dxa"/>
            <w:tcBorders>
              <w:top w:val="thinThickMediumGap" w:sz="3" w:space="0" w:color="000000"/>
            </w:tcBorders>
            <w:shd w:val="clear" w:color="auto" w:fill="DDEBF6"/>
          </w:tcPr>
          <w:p>
            <w:pPr>
              <w:pStyle w:val="TableParagraph"/>
              <w:spacing w:before="5"/>
              <w:rPr>
                <w:sz w:val="31"/>
              </w:rPr>
            </w:pPr>
          </w:p>
          <w:p>
            <w:pPr>
              <w:pStyle w:val="TableParagraph"/>
              <w:spacing w:before="1"/>
              <w:ind w:right="91"/>
              <w:jc w:val="right"/>
              <w:rPr>
                <w:b/>
                <w:sz w:val="20"/>
              </w:rPr>
            </w:pPr>
            <w:r>
              <w:rPr>
                <w:b/>
                <w:spacing w:val="-5"/>
                <w:sz w:val="20"/>
              </w:rPr>
              <w:t>EFT</w:t>
            </w:r>
          </w:p>
        </w:tc>
        <w:tc>
          <w:tcPr>
            <w:tcW w:w="1511" w:type="dxa"/>
            <w:tcBorders>
              <w:top w:val="thinThickMediumGap" w:sz="3" w:space="0" w:color="000000"/>
            </w:tcBorders>
          </w:tcPr>
          <w:p>
            <w:pPr>
              <w:pStyle w:val="TableParagraph"/>
              <w:spacing w:before="5"/>
              <w:rPr>
                <w:sz w:val="31"/>
              </w:rPr>
            </w:pPr>
          </w:p>
          <w:p>
            <w:pPr>
              <w:pStyle w:val="TableParagraph"/>
              <w:spacing w:before="1"/>
              <w:ind w:right="188"/>
              <w:jc w:val="right"/>
              <w:rPr>
                <w:sz w:val="20"/>
              </w:rPr>
            </w:pPr>
            <w:r>
              <w:rPr>
                <w:spacing w:val="-5"/>
                <w:sz w:val="20"/>
              </w:rPr>
              <w:t>EFT</w:t>
            </w:r>
          </w:p>
        </w:tc>
        <w:tc>
          <w:tcPr>
            <w:tcW w:w="1614" w:type="dxa"/>
            <w:tcBorders>
              <w:top w:val="thinThickMediumGap" w:sz="3" w:space="0" w:color="000000"/>
            </w:tcBorders>
          </w:tcPr>
          <w:p>
            <w:pPr>
              <w:pStyle w:val="TableParagraph"/>
              <w:spacing w:before="5"/>
              <w:rPr>
                <w:sz w:val="31"/>
              </w:rPr>
            </w:pPr>
          </w:p>
          <w:p>
            <w:pPr>
              <w:pStyle w:val="TableParagraph"/>
              <w:spacing w:before="1"/>
              <w:ind w:right="244"/>
              <w:jc w:val="right"/>
              <w:rPr>
                <w:sz w:val="20"/>
              </w:rPr>
            </w:pPr>
            <w:r>
              <w:rPr>
                <w:spacing w:val="-5"/>
                <w:sz w:val="20"/>
              </w:rPr>
              <w:t>EFT</w:t>
            </w:r>
          </w:p>
        </w:tc>
        <w:tc>
          <w:tcPr>
            <w:tcW w:w="1402" w:type="dxa"/>
            <w:tcBorders>
              <w:top w:val="thinThickMediumGap" w:sz="3" w:space="0" w:color="000000"/>
              <w:right w:val="single" w:sz="12" w:space="0" w:color="000000"/>
            </w:tcBorders>
          </w:tcPr>
          <w:p>
            <w:pPr>
              <w:pStyle w:val="TableParagraph"/>
              <w:spacing w:before="5"/>
              <w:rPr>
                <w:sz w:val="31"/>
              </w:rPr>
            </w:pPr>
          </w:p>
          <w:p>
            <w:pPr>
              <w:pStyle w:val="TableParagraph"/>
              <w:spacing w:before="1"/>
              <w:ind w:right="76"/>
              <w:jc w:val="right"/>
              <w:rPr>
                <w:sz w:val="20"/>
              </w:rPr>
            </w:pPr>
            <w:r>
              <w:rPr>
                <w:spacing w:val="-5"/>
                <w:sz w:val="20"/>
              </w:rPr>
              <w:t>EFT</w:t>
            </w:r>
          </w:p>
        </w:tc>
      </w:tr>
      <w:tr>
        <w:trPr>
          <w:trHeight w:val="319" w:hRule="atLeast"/>
        </w:trPr>
        <w:tc>
          <w:tcPr>
            <w:tcW w:w="3535" w:type="dxa"/>
            <w:tcBorders>
              <w:left w:val="single" w:sz="12" w:space="0" w:color="000000"/>
            </w:tcBorders>
          </w:tcPr>
          <w:p>
            <w:pPr>
              <w:pStyle w:val="TableParagraph"/>
              <w:spacing w:before="60"/>
              <w:ind w:left="107"/>
              <w:rPr>
                <w:b/>
                <w:sz w:val="20"/>
              </w:rPr>
            </w:pPr>
            <w:r>
              <w:rPr>
                <w:b/>
                <w:sz w:val="20"/>
              </w:rPr>
              <w:t>Staff</w:t>
            </w:r>
            <w:r>
              <w:rPr>
                <w:b/>
                <w:spacing w:val="-6"/>
                <w:sz w:val="20"/>
              </w:rPr>
              <w:t> </w:t>
            </w:r>
            <w:r>
              <w:rPr>
                <w:b/>
                <w:spacing w:val="-2"/>
                <w:sz w:val="20"/>
              </w:rPr>
              <w:t>numbers</w:t>
            </w:r>
          </w:p>
        </w:tc>
        <w:tc>
          <w:tcPr>
            <w:tcW w:w="1274" w:type="dxa"/>
          </w:tcPr>
          <w:p>
            <w:pPr>
              <w:pStyle w:val="TableParagraph"/>
              <w:rPr>
                <w:rFonts w:ascii="Times New Roman"/>
                <w:sz w:val="20"/>
              </w:rPr>
            </w:pPr>
          </w:p>
        </w:tc>
        <w:tc>
          <w:tcPr>
            <w:tcW w:w="1416" w:type="dxa"/>
            <w:shd w:val="clear" w:color="auto" w:fill="DDEBF6"/>
          </w:tcPr>
          <w:p>
            <w:pPr>
              <w:pStyle w:val="TableParagraph"/>
              <w:rPr>
                <w:rFonts w:ascii="Times New Roman"/>
                <w:sz w:val="20"/>
              </w:rPr>
            </w:pPr>
          </w:p>
        </w:tc>
        <w:tc>
          <w:tcPr>
            <w:tcW w:w="1511" w:type="dxa"/>
          </w:tcPr>
          <w:p>
            <w:pPr>
              <w:pStyle w:val="TableParagraph"/>
              <w:rPr>
                <w:rFonts w:ascii="Times New Roman"/>
                <w:sz w:val="20"/>
              </w:rPr>
            </w:pPr>
          </w:p>
        </w:tc>
        <w:tc>
          <w:tcPr>
            <w:tcW w:w="1614" w:type="dxa"/>
          </w:tcPr>
          <w:p>
            <w:pPr>
              <w:pStyle w:val="TableParagraph"/>
              <w:rPr>
                <w:rFonts w:ascii="Times New Roman"/>
                <w:sz w:val="20"/>
              </w:rPr>
            </w:pPr>
          </w:p>
        </w:tc>
        <w:tc>
          <w:tcPr>
            <w:tcW w:w="1402" w:type="dxa"/>
            <w:tcBorders>
              <w:right w:val="single" w:sz="12" w:space="0" w:color="000000"/>
            </w:tcBorders>
          </w:tcPr>
          <w:p>
            <w:pPr>
              <w:pStyle w:val="TableParagraph"/>
              <w:rPr>
                <w:rFonts w:ascii="Times New Roman"/>
                <w:sz w:val="20"/>
              </w:rPr>
            </w:pPr>
          </w:p>
        </w:tc>
      </w:tr>
      <w:tr>
        <w:trPr>
          <w:trHeight w:val="302" w:hRule="atLeast"/>
        </w:trPr>
        <w:tc>
          <w:tcPr>
            <w:tcW w:w="3535" w:type="dxa"/>
            <w:tcBorders>
              <w:left w:val="single" w:sz="12" w:space="0" w:color="000000"/>
            </w:tcBorders>
          </w:tcPr>
          <w:p>
            <w:pPr>
              <w:pStyle w:val="TableParagraph"/>
              <w:spacing w:line="211" w:lineRule="exact" w:before="72"/>
              <w:ind w:left="107"/>
              <w:rPr>
                <w:sz w:val="20"/>
              </w:rPr>
            </w:pPr>
            <w:r>
              <w:rPr>
                <w:sz w:val="20"/>
              </w:rPr>
              <w:t>Employees</w:t>
            </w:r>
            <w:r>
              <w:rPr>
                <w:spacing w:val="-10"/>
                <w:sz w:val="20"/>
              </w:rPr>
              <w:t> </w:t>
            </w:r>
            <w:r>
              <w:rPr>
                <w:spacing w:val="-2"/>
                <w:sz w:val="20"/>
              </w:rPr>
              <w:t>(EFT*)</w:t>
            </w:r>
          </w:p>
        </w:tc>
        <w:tc>
          <w:tcPr>
            <w:tcW w:w="1274" w:type="dxa"/>
            <w:tcBorders>
              <w:bottom w:val="single" w:sz="2" w:space="0" w:color="000000"/>
            </w:tcBorders>
          </w:tcPr>
          <w:p>
            <w:pPr>
              <w:pStyle w:val="TableParagraph"/>
              <w:spacing w:before="22"/>
              <w:ind w:right="92"/>
              <w:jc w:val="right"/>
              <w:rPr>
                <w:sz w:val="20"/>
              </w:rPr>
            </w:pPr>
            <w:r>
              <w:rPr>
                <w:spacing w:val="-2"/>
                <w:sz w:val="20"/>
              </w:rPr>
              <w:t>598.5</w:t>
            </w:r>
          </w:p>
        </w:tc>
        <w:tc>
          <w:tcPr>
            <w:tcW w:w="1416" w:type="dxa"/>
            <w:tcBorders>
              <w:bottom w:val="single" w:sz="2" w:space="0" w:color="000000"/>
            </w:tcBorders>
            <w:shd w:val="clear" w:color="auto" w:fill="DDEBF6"/>
          </w:tcPr>
          <w:p>
            <w:pPr>
              <w:pStyle w:val="TableParagraph"/>
              <w:spacing w:before="22"/>
              <w:ind w:right="92"/>
              <w:jc w:val="right"/>
              <w:rPr>
                <w:b/>
                <w:sz w:val="20"/>
              </w:rPr>
            </w:pPr>
            <w:r>
              <w:rPr>
                <w:b/>
                <w:spacing w:val="-2"/>
                <w:sz w:val="20"/>
              </w:rPr>
              <w:t>598.5</w:t>
            </w:r>
          </w:p>
        </w:tc>
        <w:tc>
          <w:tcPr>
            <w:tcW w:w="1511" w:type="dxa"/>
            <w:tcBorders>
              <w:bottom w:val="single" w:sz="2" w:space="0" w:color="000000"/>
            </w:tcBorders>
          </w:tcPr>
          <w:p>
            <w:pPr>
              <w:pStyle w:val="TableParagraph"/>
              <w:spacing w:before="22"/>
              <w:ind w:right="190"/>
              <w:jc w:val="right"/>
              <w:rPr>
                <w:sz w:val="20"/>
              </w:rPr>
            </w:pPr>
            <w:r>
              <w:rPr>
                <w:spacing w:val="-2"/>
                <w:sz w:val="20"/>
              </w:rPr>
              <w:t>598.5</w:t>
            </w:r>
          </w:p>
        </w:tc>
        <w:tc>
          <w:tcPr>
            <w:tcW w:w="1614" w:type="dxa"/>
            <w:tcBorders>
              <w:bottom w:val="single" w:sz="2" w:space="0" w:color="000000"/>
            </w:tcBorders>
          </w:tcPr>
          <w:p>
            <w:pPr>
              <w:pStyle w:val="TableParagraph"/>
              <w:spacing w:before="22"/>
              <w:ind w:right="246"/>
              <w:jc w:val="right"/>
              <w:rPr>
                <w:sz w:val="20"/>
              </w:rPr>
            </w:pPr>
            <w:r>
              <w:rPr>
                <w:spacing w:val="-2"/>
                <w:sz w:val="20"/>
              </w:rPr>
              <w:t>598.5</w:t>
            </w:r>
          </w:p>
        </w:tc>
        <w:tc>
          <w:tcPr>
            <w:tcW w:w="1402" w:type="dxa"/>
            <w:tcBorders>
              <w:bottom w:val="single" w:sz="2" w:space="0" w:color="000000"/>
              <w:right w:val="single" w:sz="12" w:space="0" w:color="000000"/>
            </w:tcBorders>
          </w:tcPr>
          <w:p>
            <w:pPr>
              <w:pStyle w:val="TableParagraph"/>
              <w:spacing w:before="22"/>
              <w:ind w:right="78"/>
              <w:jc w:val="right"/>
              <w:rPr>
                <w:sz w:val="20"/>
              </w:rPr>
            </w:pPr>
            <w:r>
              <w:rPr>
                <w:spacing w:val="-2"/>
                <w:sz w:val="20"/>
              </w:rPr>
              <w:t>598.5</w:t>
            </w:r>
          </w:p>
        </w:tc>
      </w:tr>
      <w:tr>
        <w:trPr>
          <w:trHeight w:val="321" w:hRule="atLeast"/>
        </w:trPr>
        <w:tc>
          <w:tcPr>
            <w:tcW w:w="3535" w:type="dxa"/>
            <w:tcBorders>
              <w:left w:val="single" w:sz="12" w:space="0" w:color="000000"/>
            </w:tcBorders>
          </w:tcPr>
          <w:p>
            <w:pPr>
              <w:pStyle w:val="TableParagraph"/>
              <w:spacing w:line="204" w:lineRule="exact" w:before="98"/>
              <w:ind w:left="107"/>
              <w:rPr>
                <w:sz w:val="20"/>
              </w:rPr>
            </w:pPr>
            <w:r>
              <w:rPr>
                <w:sz w:val="20"/>
              </w:rPr>
              <w:t>Total</w:t>
            </w:r>
            <w:r>
              <w:rPr>
                <w:spacing w:val="-6"/>
                <w:sz w:val="20"/>
              </w:rPr>
              <w:t> </w:t>
            </w:r>
            <w:r>
              <w:rPr>
                <w:sz w:val="20"/>
              </w:rPr>
              <w:t>staff</w:t>
            </w:r>
            <w:r>
              <w:rPr>
                <w:spacing w:val="-4"/>
                <w:sz w:val="20"/>
              </w:rPr>
              <w:t> </w:t>
            </w:r>
            <w:r>
              <w:rPr>
                <w:spacing w:val="-2"/>
                <w:sz w:val="20"/>
              </w:rPr>
              <w:t>numbers</w:t>
            </w:r>
          </w:p>
        </w:tc>
        <w:tc>
          <w:tcPr>
            <w:tcW w:w="1274" w:type="dxa"/>
            <w:tcBorders>
              <w:top w:val="single" w:sz="2" w:space="0" w:color="000000"/>
              <w:bottom w:val="thickThinMediumGap" w:sz="3" w:space="0" w:color="000000"/>
            </w:tcBorders>
          </w:tcPr>
          <w:p>
            <w:pPr>
              <w:pStyle w:val="TableParagraph"/>
              <w:spacing w:before="50"/>
              <w:ind w:right="92"/>
              <w:jc w:val="right"/>
              <w:rPr>
                <w:b/>
                <w:sz w:val="20"/>
              </w:rPr>
            </w:pPr>
            <w:r>
              <w:rPr>
                <w:b/>
                <w:spacing w:val="-2"/>
                <w:sz w:val="20"/>
              </w:rPr>
              <w:t>598.5</w:t>
            </w:r>
          </w:p>
        </w:tc>
        <w:tc>
          <w:tcPr>
            <w:tcW w:w="1416" w:type="dxa"/>
            <w:tcBorders>
              <w:top w:val="single" w:sz="2" w:space="0" w:color="000000"/>
              <w:bottom w:val="thickThinMediumGap" w:sz="3" w:space="0" w:color="000000"/>
            </w:tcBorders>
            <w:shd w:val="clear" w:color="auto" w:fill="DDEBF6"/>
          </w:tcPr>
          <w:p>
            <w:pPr>
              <w:pStyle w:val="TableParagraph"/>
              <w:spacing w:before="50"/>
              <w:ind w:right="92"/>
              <w:jc w:val="right"/>
              <w:rPr>
                <w:b/>
                <w:sz w:val="20"/>
              </w:rPr>
            </w:pPr>
            <w:r>
              <w:rPr>
                <w:b/>
                <w:spacing w:val="-2"/>
                <w:sz w:val="20"/>
              </w:rPr>
              <w:t>598.5</w:t>
            </w:r>
          </w:p>
        </w:tc>
        <w:tc>
          <w:tcPr>
            <w:tcW w:w="1511" w:type="dxa"/>
            <w:tcBorders>
              <w:top w:val="single" w:sz="2" w:space="0" w:color="000000"/>
              <w:bottom w:val="thickThinMediumGap" w:sz="3" w:space="0" w:color="000000"/>
            </w:tcBorders>
          </w:tcPr>
          <w:p>
            <w:pPr>
              <w:pStyle w:val="TableParagraph"/>
              <w:spacing w:before="50"/>
              <w:ind w:right="190"/>
              <w:jc w:val="right"/>
              <w:rPr>
                <w:b/>
                <w:sz w:val="20"/>
              </w:rPr>
            </w:pPr>
            <w:r>
              <w:rPr>
                <w:b/>
                <w:spacing w:val="-2"/>
                <w:sz w:val="20"/>
              </w:rPr>
              <w:t>598.5</w:t>
            </w:r>
          </w:p>
        </w:tc>
        <w:tc>
          <w:tcPr>
            <w:tcW w:w="1614" w:type="dxa"/>
            <w:tcBorders>
              <w:top w:val="single" w:sz="2" w:space="0" w:color="000000"/>
              <w:bottom w:val="thickThinMediumGap" w:sz="3" w:space="0" w:color="000000"/>
            </w:tcBorders>
          </w:tcPr>
          <w:p>
            <w:pPr>
              <w:pStyle w:val="TableParagraph"/>
              <w:spacing w:before="50"/>
              <w:ind w:right="246"/>
              <w:jc w:val="right"/>
              <w:rPr>
                <w:b/>
                <w:sz w:val="20"/>
              </w:rPr>
            </w:pPr>
            <w:r>
              <w:rPr>
                <w:b/>
                <w:spacing w:val="-2"/>
                <w:sz w:val="20"/>
              </w:rPr>
              <w:t>598.5</w:t>
            </w:r>
          </w:p>
        </w:tc>
        <w:tc>
          <w:tcPr>
            <w:tcW w:w="1402" w:type="dxa"/>
            <w:tcBorders>
              <w:top w:val="single" w:sz="2" w:space="0" w:color="000000"/>
              <w:bottom w:val="thickThinMediumGap" w:sz="3" w:space="0" w:color="000000"/>
              <w:right w:val="single" w:sz="12" w:space="0" w:color="000000"/>
            </w:tcBorders>
          </w:tcPr>
          <w:p>
            <w:pPr>
              <w:pStyle w:val="TableParagraph"/>
              <w:spacing w:before="50"/>
              <w:ind w:right="78"/>
              <w:jc w:val="right"/>
              <w:rPr>
                <w:b/>
                <w:sz w:val="20"/>
              </w:rPr>
            </w:pPr>
            <w:r>
              <w:rPr>
                <w:b/>
                <w:spacing w:val="-2"/>
                <w:sz w:val="20"/>
              </w:rPr>
              <w:t>598.5</w:t>
            </w:r>
          </w:p>
        </w:tc>
      </w:tr>
      <w:tr>
        <w:trPr>
          <w:trHeight w:val="323" w:hRule="atLeast"/>
        </w:trPr>
        <w:tc>
          <w:tcPr>
            <w:tcW w:w="10752" w:type="dxa"/>
            <w:gridSpan w:val="6"/>
            <w:tcBorders>
              <w:left w:val="single" w:sz="12" w:space="0" w:color="000000"/>
              <w:bottom w:val="single" w:sz="12" w:space="0" w:color="000000"/>
              <w:right w:val="single" w:sz="12" w:space="0" w:color="000000"/>
            </w:tcBorders>
          </w:tcPr>
          <w:p>
            <w:pPr>
              <w:pStyle w:val="TableParagraph"/>
              <w:spacing w:line="189" w:lineRule="exact" w:before="114"/>
              <w:ind w:left="107"/>
              <w:rPr>
                <w:sz w:val="18"/>
              </w:rPr>
            </w:pPr>
            <w:r>
              <w:rPr>
                <w:sz w:val="18"/>
              </w:rPr>
              <w:t>*</w:t>
            </w:r>
            <w:r>
              <w:rPr>
                <w:spacing w:val="-2"/>
                <w:sz w:val="18"/>
              </w:rPr>
              <w:t> </w:t>
            </w:r>
            <w:r>
              <w:rPr>
                <w:sz w:val="18"/>
              </w:rPr>
              <w:t>EFT represents</w:t>
            </w:r>
            <w:r>
              <w:rPr>
                <w:spacing w:val="-1"/>
                <w:sz w:val="18"/>
              </w:rPr>
              <w:t> </w:t>
            </w:r>
            <w:r>
              <w:rPr>
                <w:sz w:val="18"/>
              </w:rPr>
              <w:t>the</w:t>
            </w:r>
            <w:r>
              <w:rPr>
                <w:spacing w:val="1"/>
                <w:sz w:val="18"/>
              </w:rPr>
              <w:t> </w:t>
            </w:r>
            <w:r>
              <w:rPr>
                <w:sz w:val="18"/>
              </w:rPr>
              <w:t>full-time</w:t>
            </w:r>
            <w:r>
              <w:rPr>
                <w:spacing w:val="-3"/>
                <w:sz w:val="18"/>
              </w:rPr>
              <w:t> </w:t>
            </w:r>
            <w:r>
              <w:rPr>
                <w:sz w:val="18"/>
              </w:rPr>
              <w:t>equivalent</w:t>
            </w:r>
            <w:r>
              <w:rPr>
                <w:spacing w:val="-2"/>
                <w:sz w:val="18"/>
              </w:rPr>
              <w:t> </w:t>
            </w:r>
            <w:r>
              <w:rPr>
                <w:sz w:val="18"/>
              </w:rPr>
              <w:t>number</w:t>
            </w:r>
            <w:r>
              <w:rPr>
                <w:spacing w:val="-1"/>
                <w:sz w:val="18"/>
              </w:rPr>
              <w:t> </w:t>
            </w:r>
            <w:r>
              <w:rPr>
                <w:sz w:val="18"/>
              </w:rPr>
              <w:t>of</w:t>
            </w:r>
            <w:r>
              <w:rPr>
                <w:spacing w:val="-3"/>
                <w:sz w:val="18"/>
              </w:rPr>
              <w:t> </w:t>
            </w:r>
            <w:r>
              <w:rPr>
                <w:spacing w:val="-2"/>
                <w:sz w:val="18"/>
              </w:rPr>
              <w:t>employees</w:t>
            </w:r>
          </w:p>
        </w:tc>
      </w:tr>
    </w:tbl>
    <w:p>
      <w:pPr>
        <w:pStyle w:val="BodyText"/>
        <w:spacing w:before="9"/>
        <w:rPr>
          <w:sz w:val="21"/>
        </w:rPr>
      </w:pPr>
    </w:p>
    <w:p>
      <w:pPr>
        <w:pStyle w:val="BodyText"/>
        <w:ind w:left="391" w:right="445"/>
      </w:pPr>
      <w:r>
        <w:rPr/>
        <w:t>A summary of human resources expenditure categorised according to organisational structure of Council is included below:</w:t>
      </w:r>
    </w:p>
    <w:p>
      <w:pPr>
        <w:pStyle w:val="BodyText"/>
        <w:spacing w:before="1" w:after="1"/>
      </w:pPr>
    </w:p>
    <w:tbl>
      <w:tblPr>
        <w:tblW w:w="0" w:type="auto"/>
        <w:jc w:val="left"/>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10"/>
        <w:gridCol w:w="1447"/>
        <w:gridCol w:w="1644"/>
        <w:gridCol w:w="1105"/>
        <w:gridCol w:w="1045"/>
      </w:tblGrid>
      <w:tr>
        <w:trPr>
          <w:trHeight w:val="1149" w:hRule="atLeast"/>
        </w:trPr>
        <w:tc>
          <w:tcPr>
            <w:tcW w:w="5510" w:type="dxa"/>
            <w:tcBorders>
              <w:top w:val="single" w:sz="18" w:space="0" w:color="000000"/>
              <w:left w:val="single" w:sz="12" w:space="0" w:color="000000"/>
            </w:tcBorders>
            <w:shd w:val="clear" w:color="auto" w:fill="5B9AD4"/>
          </w:tcPr>
          <w:p>
            <w:pPr>
              <w:pStyle w:val="TableParagraph"/>
              <w:rPr>
                <w:sz w:val="22"/>
              </w:rPr>
            </w:pPr>
          </w:p>
          <w:p>
            <w:pPr>
              <w:pStyle w:val="TableParagraph"/>
              <w:spacing w:before="10"/>
              <w:rPr>
                <w:sz w:val="32"/>
              </w:rPr>
            </w:pPr>
          </w:p>
          <w:p>
            <w:pPr>
              <w:pStyle w:val="TableParagraph"/>
              <w:ind w:left="107"/>
              <w:rPr>
                <w:b/>
                <w:sz w:val="20"/>
              </w:rPr>
            </w:pPr>
            <w:r>
              <w:rPr>
                <w:b/>
                <w:color w:val="FFFFFF"/>
                <w:spacing w:val="-2"/>
                <w:sz w:val="20"/>
              </w:rPr>
              <w:t>Department</w:t>
            </w:r>
          </w:p>
        </w:tc>
        <w:tc>
          <w:tcPr>
            <w:tcW w:w="1447" w:type="dxa"/>
            <w:tcBorders>
              <w:top w:val="single" w:sz="18" w:space="0" w:color="000000"/>
            </w:tcBorders>
            <w:shd w:val="clear" w:color="auto" w:fill="5B9AD4"/>
          </w:tcPr>
          <w:p>
            <w:pPr>
              <w:pStyle w:val="TableParagraph"/>
              <w:spacing w:before="7"/>
              <w:rPr>
                <w:sz w:val="29"/>
              </w:rPr>
            </w:pPr>
          </w:p>
          <w:p>
            <w:pPr>
              <w:pStyle w:val="TableParagraph"/>
              <w:spacing w:line="302" w:lineRule="auto"/>
              <w:ind w:left="377" w:right="341" w:firstLine="16"/>
              <w:rPr>
                <w:b/>
                <w:sz w:val="20"/>
              </w:rPr>
            </w:pPr>
            <w:r>
              <w:rPr>
                <w:b/>
                <w:color w:val="FFFFFF"/>
                <w:spacing w:val="-2"/>
                <w:sz w:val="20"/>
              </w:rPr>
              <w:t>Budget 2025/26</w:t>
            </w:r>
          </w:p>
          <w:p>
            <w:pPr>
              <w:pStyle w:val="TableParagraph"/>
              <w:spacing w:line="210" w:lineRule="exact"/>
              <w:ind w:left="492"/>
              <w:rPr>
                <w:b/>
                <w:sz w:val="20"/>
              </w:rPr>
            </w:pPr>
            <w:r>
              <w:rPr>
                <w:b/>
                <w:color w:val="FFFFFF"/>
                <w:spacing w:val="-2"/>
                <w:sz w:val="20"/>
              </w:rPr>
              <w:t>$'000</w:t>
            </w:r>
          </w:p>
        </w:tc>
        <w:tc>
          <w:tcPr>
            <w:tcW w:w="2749" w:type="dxa"/>
            <w:gridSpan w:val="2"/>
            <w:tcBorders>
              <w:top w:val="single" w:sz="18" w:space="0" w:color="000000"/>
            </w:tcBorders>
            <w:shd w:val="clear" w:color="auto" w:fill="5B9AD4"/>
          </w:tcPr>
          <w:p>
            <w:pPr>
              <w:pStyle w:val="TableParagraph"/>
              <w:spacing w:line="302" w:lineRule="auto" w:before="50"/>
              <w:ind w:left="833" w:firstLine="561"/>
              <w:rPr>
                <w:b/>
                <w:sz w:val="20"/>
              </w:rPr>
            </w:pPr>
            <w:r>
              <w:rPr>
                <w:b/>
                <w:color w:val="FFFFFF"/>
                <w:spacing w:val="-2"/>
                <w:sz w:val="20"/>
              </w:rPr>
              <w:t>Comprises Permanent</w:t>
            </w:r>
          </w:p>
          <w:p>
            <w:pPr>
              <w:pStyle w:val="TableParagraph"/>
              <w:tabs>
                <w:tab w:pos="1400" w:val="left" w:leader="none"/>
              </w:tabs>
              <w:spacing w:before="22"/>
              <w:ind w:left="80"/>
              <w:jc w:val="center"/>
              <w:rPr>
                <w:b/>
                <w:sz w:val="18"/>
              </w:rPr>
            </w:pPr>
            <w:r>
              <w:rPr>
                <w:b/>
                <w:color w:val="FFFFFF"/>
                <w:sz w:val="18"/>
              </w:rPr>
              <w:t>Full</w:t>
            </w:r>
            <w:r>
              <w:rPr>
                <w:b/>
                <w:color w:val="FFFFFF"/>
                <w:spacing w:val="1"/>
                <w:sz w:val="18"/>
              </w:rPr>
              <w:t> </w:t>
            </w:r>
            <w:r>
              <w:rPr>
                <w:b/>
                <w:color w:val="FFFFFF"/>
                <w:spacing w:val="-4"/>
                <w:sz w:val="18"/>
              </w:rPr>
              <w:t>Time</w:t>
            </w:r>
            <w:r>
              <w:rPr>
                <w:b/>
                <w:color w:val="FFFFFF"/>
                <w:sz w:val="18"/>
              </w:rPr>
              <w:tab/>
              <w:t>Part</w:t>
            </w:r>
            <w:r>
              <w:rPr>
                <w:b/>
                <w:color w:val="FFFFFF"/>
                <w:spacing w:val="-2"/>
                <w:sz w:val="18"/>
              </w:rPr>
              <w:t> </w:t>
            </w:r>
            <w:r>
              <w:rPr>
                <w:b/>
                <w:color w:val="FFFFFF"/>
                <w:spacing w:val="-4"/>
                <w:sz w:val="18"/>
              </w:rPr>
              <w:t>Time</w:t>
            </w:r>
          </w:p>
          <w:p>
            <w:pPr>
              <w:pStyle w:val="TableParagraph"/>
              <w:tabs>
                <w:tab w:pos="1394" w:val="left" w:leader="none"/>
              </w:tabs>
              <w:spacing w:line="211" w:lineRule="exact" w:before="60"/>
              <w:ind w:left="59"/>
              <w:jc w:val="center"/>
              <w:rPr>
                <w:b/>
                <w:sz w:val="20"/>
              </w:rPr>
            </w:pPr>
            <w:r>
              <w:rPr>
                <w:b/>
                <w:color w:val="FFFFFF"/>
                <w:spacing w:val="-2"/>
                <w:sz w:val="20"/>
              </w:rPr>
              <w:t>$'000</w:t>
            </w:r>
            <w:r>
              <w:rPr>
                <w:b/>
                <w:color w:val="FFFFFF"/>
                <w:sz w:val="20"/>
              </w:rPr>
              <w:tab/>
            </w:r>
            <w:r>
              <w:rPr>
                <w:b/>
                <w:color w:val="FFFFFF"/>
                <w:spacing w:val="-4"/>
                <w:sz w:val="20"/>
              </w:rPr>
              <w:t>$'000</w:t>
            </w:r>
          </w:p>
        </w:tc>
        <w:tc>
          <w:tcPr>
            <w:tcW w:w="1045" w:type="dxa"/>
            <w:tcBorders>
              <w:top w:val="single" w:sz="18" w:space="0" w:color="000000"/>
              <w:right w:val="single" w:sz="12" w:space="0" w:color="000000"/>
            </w:tcBorders>
            <w:shd w:val="clear" w:color="auto" w:fill="5B9AD4"/>
          </w:tcPr>
          <w:p>
            <w:pPr>
              <w:pStyle w:val="TableParagraph"/>
              <w:rPr>
                <w:sz w:val="20"/>
              </w:rPr>
            </w:pPr>
          </w:p>
          <w:p>
            <w:pPr>
              <w:pStyle w:val="TableParagraph"/>
              <w:rPr>
                <w:sz w:val="20"/>
              </w:rPr>
            </w:pPr>
          </w:p>
          <w:p>
            <w:pPr>
              <w:pStyle w:val="TableParagraph"/>
              <w:spacing w:before="8"/>
              <w:rPr>
                <w:sz w:val="16"/>
              </w:rPr>
            </w:pPr>
          </w:p>
          <w:p>
            <w:pPr>
              <w:pStyle w:val="TableParagraph"/>
              <w:ind w:left="188"/>
              <w:rPr>
                <w:b/>
                <w:sz w:val="18"/>
              </w:rPr>
            </w:pPr>
            <w:r>
              <w:rPr>
                <w:b/>
                <w:color w:val="FFFFFF"/>
                <w:spacing w:val="-2"/>
                <w:sz w:val="18"/>
              </w:rPr>
              <w:t>Casual</w:t>
            </w:r>
          </w:p>
          <w:p>
            <w:pPr>
              <w:pStyle w:val="TableParagraph"/>
              <w:spacing w:line="211" w:lineRule="exact" w:before="60"/>
              <w:ind w:left="236"/>
              <w:rPr>
                <w:b/>
                <w:sz w:val="20"/>
              </w:rPr>
            </w:pPr>
            <w:r>
              <w:rPr>
                <w:b/>
                <w:color w:val="FFFFFF"/>
                <w:spacing w:val="-2"/>
                <w:sz w:val="20"/>
              </w:rPr>
              <w:t>$'000</w:t>
            </w:r>
          </w:p>
        </w:tc>
      </w:tr>
      <w:tr>
        <w:trPr>
          <w:trHeight w:val="308" w:hRule="atLeast"/>
        </w:trPr>
        <w:tc>
          <w:tcPr>
            <w:tcW w:w="5510" w:type="dxa"/>
            <w:tcBorders>
              <w:left w:val="single" w:sz="12" w:space="0" w:color="000000"/>
            </w:tcBorders>
          </w:tcPr>
          <w:p>
            <w:pPr>
              <w:pStyle w:val="TableParagraph"/>
              <w:spacing w:line="229" w:lineRule="exact" w:before="59"/>
              <w:ind w:left="107"/>
              <w:rPr>
                <w:sz w:val="20"/>
              </w:rPr>
            </w:pPr>
            <w:r>
              <w:rPr>
                <w:sz w:val="20"/>
              </w:rPr>
              <w:t>Strategy</w:t>
            </w:r>
            <w:r>
              <w:rPr>
                <w:spacing w:val="-7"/>
                <w:sz w:val="20"/>
              </w:rPr>
              <w:t> </w:t>
            </w:r>
            <w:r>
              <w:rPr>
                <w:sz w:val="20"/>
              </w:rPr>
              <w:t>and</w:t>
            </w:r>
            <w:r>
              <w:rPr>
                <w:spacing w:val="-8"/>
                <w:sz w:val="20"/>
              </w:rPr>
              <w:t> </w:t>
            </w:r>
            <w:r>
              <w:rPr>
                <w:spacing w:val="-2"/>
                <w:sz w:val="20"/>
              </w:rPr>
              <w:t>Development</w:t>
            </w:r>
          </w:p>
        </w:tc>
        <w:tc>
          <w:tcPr>
            <w:tcW w:w="1447" w:type="dxa"/>
            <w:shd w:val="clear" w:color="auto" w:fill="DFEBF4"/>
          </w:tcPr>
          <w:p>
            <w:pPr>
              <w:pStyle w:val="TableParagraph"/>
              <w:spacing w:before="31"/>
              <w:ind w:right="93"/>
              <w:jc w:val="right"/>
              <w:rPr>
                <w:b/>
                <w:sz w:val="20"/>
              </w:rPr>
            </w:pPr>
            <w:r>
              <w:rPr>
                <w:b/>
                <w:spacing w:val="-2"/>
                <w:sz w:val="20"/>
              </w:rPr>
              <w:t>15,084</w:t>
            </w:r>
          </w:p>
        </w:tc>
        <w:tc>
          <w:tcPr>
            <w:tcW w:w="1644" w:type="dxa"/>
          </w:tcPr>
          <w:p>
            <w:pPr>
              <w:pStyle w:val="TableParagraph"/>
              <w:spacing w:before="31"/>
              <w:ind w:right="290"/>
              <w:jc w:val="right"/>
              <w:rPr>
                <w:sz w:val="20"/>
              </w:rPr>
            </w:pPr>
            <w:r>
              <w:rPr>
                <w:spacing w:val="-2"/>
                <w:sz w:val="20"/>
              </w:rPr>
              <w:t>10,719</w:t>
            </w:r>
          </w:p>
        </w:tc>
        <w:tc>
          <w:tcPr>
            <w:tcW w:w="1105" w:type="dxa"/>
          </w:tcPr>
          <w:p>
            <w:pPr>
              <w:pStyle w:val="TableParagraph"/>
              <w:spacing w:before="31"/>
              <w:ind w:right="170"/>
              <w:jc w:val="right"/>
              <w:rPr>
                <w:sz w:val="20"/>
              </w:rPr>
            </w:pPr>
            <w:r>
              <w:rPr>
                <w:spacing w:val="-2"/>
                <w:sz w:val="20"/>
              </w:rPr>
              <w:t>3,900</w:t>
            </w:r>
          </w:p>
        </w:tc>
        <w:tc>
          <w:tcPr>
            <w:tcW w:w="1045" w:type="dxa"/>
            <w:tcBorders>
              <w:right w:val="single" w:sz="12" w:space="0" w:color="000000"/>
            </w:tcBorders>
          </w:tcPr>
          <w:p>
            <w:pPr>
              <w:pStyle w:val="TableParagraph"/>
              <w:spacing w:before="31"/>
              <w:ind w:right="78"/>
              <w:jc w:val="right"/>
              <w:rPr>
                <w:sz w:val="20"/>
              </w:rPr>
            </w:pPr>
            <w:r>
              <w:rPr>
                <w:spacing w:val="-5"/>
                <w:sz w:val="20"/>
              </w:rPr>
              <w:t>465</w:t>
            </w:r>
          </w:p>
        </w:tc>
      </w:tr>
      <w:tr>
        <w:trPr>
          <w:trHeight w:val="289" w:hRule="atLeast"/>
        </w:trPr>
        <w:tc>
          <w:tcPr>
            <w:tcW w:w="5510" w:type="dxa"/>
            <w:tcBorders>
              <w:left w:val="single" w:sz="12" w:space="0" w:color="000000"/>
            </w:tcBorders>
          </w:tcPr>
          <w:p>
            <w:pPr>
              <w:pStyle w:val="TableParagraph"/>
              <w:spacing w:line="228" w:lineRule="exact" w:before="41"/>
              <w:ind w:left="107"/>
              <w:rPr>
                <w:sz w:val="20"/>
              </w:rPr>
            </w:pPr>
            <w:r>
              <w:rPr>
                <w:sz w:val="20"/>
              </w:rPr>
              <w:t>People</w:t>
            </w:r>
            <w:r>
              <w:rPr>
                <w:spacing w:val="-7"/>
                <w:sz w:val="20"/>
              </w:rPr>
              <w:t> </w:t>
            </w:r>
            <w:r>
              <w:rPr>
                <w:sz w:val="20"/>
              </w:rPr>
              <w:t>and</w:t>
            </w:r>
            <w:r>
              <w:rPr>
                <w:spacing w:val="-6"/>
                <w:sz w:val="20"/>
              </w:rPr>
              <w:t> </w:t>
            </w:r>
            <w:r>
              <w:rPr>
                <w:spacing w:val="-2"/>
                <w:sz w:val="20"/>
              </w:rPr>
              <w:t>Places</w:t>
            </w:r>
          </w:p>
        </w:tc>
        <w:tc>
          <w:tcPr>
            <w:tcW w:w="1447" w:type="dxa"/>
            <w:shd w:val="clear" w:color="auto" w:fill="DFEBF4"/>
          </w:tcPr>
          <w:p>
            <w:pPr>
              <w:pStyle w:val="TableParagraph"/>
              <w:spacing w:before="12"/>
              <w:ind w:right="93"/>
              <w:jc w:val="right"/>
              <w:rPr>
                <w:b/>
                <w:sz w:val="20"/>
              </w:rPr>
            </w:pPr>
            <w:r>
              <w:rPr>
                <w:b/>
                <w:spacing w:val="-2"/>
                <w:sz w:val="20"/>
              </w:rPr>
              <w:t>17,384</w:t>
            </w:r>
          </w:p>
        </w:tc>
        <w:tc>
          <w:tcPr>
            <w:tcW w:w="1644" w:type="dxa"/>
          </w:tcPr>
          <w:p>
            <w:pPr>
              <w:pStyle w:val="TableParagraph"/>
              <w:spacing w:before="12"/>
              <w:ind w:right="289"/>
              <w:jc w:val="right"/>
              <w:rPr>
                <w:sz w:val="20"/>
              </w:rPr>
            </w:pPr>
            <w:r>
              <w:rPr>
                <w:spacing w:val="-2"/>
                <w:sz w:val="20"/>
              </w:rPr>
              <w:t>8,473</w:t>
            </w:r>
          </w:p>
        </w:tc>
        <w:tc>
          <w:tcPr>
            <w:tcW w:w="1105" w:type="dxa"/>
          </w:tcPr>
          <w:p>
            <w:pPr>
              <w:pStyle w:val="TableParagraph"/>
              <w:spacing w:before="12"/>
              <w:ind w:right="170"/>
              <w:jc w:val="right"/>
              <w:rPr>
                <w:sz w:val="20"/>
              </w:rPr>
            </w:pPr>
            <w:r>
              <w:rPr>
                <w:spacing w:val="-2"/>
                <w:sz w:val="20"/>
              </w:rPr>
              <w:t>6,719</w:t>
            </w:r>
          </w:p>
        </w:tc>
        <w:tc>
          <w:tcPr>
            <w:tcW w:w="1045" w:type="dxa"/>
            <w:tcBorders>
              <w:right w:val="single" w:sz="12" w:space="0" w:color="000000"/>
            </w:tcBorders>
          </w:tcPr>
          <w:p>
            <w:pPr>
              <w:pStyle w:val="TableParagraph"/>
              <w:spacing w:before="12"/>
              <w:ind w:right="77"/>
              <w:jc w:val="right"/>
              <w:rPr>
                <w:sz w:val="20"/>
              </w:rPr>
            </w:pPr>
            <w:r>
              <w:rPr>
                <w:spacing w:val="-2"/>
                <w:sz w:val="20"/>
              </w:rPr>
              <w:t>2,192</w:t>
            </w:r>
          </w:p>
        </w:tc>
      </w:tr>
      <w:tr>
        <w:trPr>
          <w:trHeight w:val="290" w:hRule="atLeast"/>
        </w:trPr>
        <w:tc>
          <w:tcPr>
            <w:tcW w:w="5510" w:type="dxa"/>
            <w:tcBorders>
              <w:left w:val="single" w:sz="12" w:space="0" w:color="000000"/>
            </w:tcBorders>
          </w:tcPr>
          <w:p>
            <w:pPr>
              <w:pStyle w:val="TableParagraph"/>
              <w:spacing w:line="228" w:lineRule="exact" w:before="42"/>
              <w:ind w:left="107"/>
              <w:rPr>
                <w:sz w:val="20"/>
              </w:rPr>
            </w:pPr>
            <w:r>
              <w:rPr>
                <w:sz w:val="20"/>
              </w:rPr>
              <w:t>Assets</w:t>
            </w:r>
            <w:r>
              <w:rPr>
                <w:spacing w:val="-5"/>
                <w:sz w:val="20"/>
              </w:rPr>
              <w:t> </w:t>
            </w:r>
            <w:r>
              <w:rPr>
                <w:sz w:val="20"/>
              </w:rPr>
              <w:t>and</w:t>
            </w:r>
            <w:r>
              <w:rPr>
                <w:spacing w:val="-6"/>
                <w:sz w:val="20"/>
              </w:rPr>
              <w:t> </w:t>
            </w:r>
            <w:r>
              <w:rPr>
                <w:spacing w:val="-2"/>
                <w:sz w:val="20"/>
              </w:rPr>
              <w:t>Leisure</w:t>
            </w:r>
          </w:p>
        </w:tc>
        <w:tc>
          <w:tcPr>
            <w:tcW w:w="1447" w:type="dxa"/>
            <w:shd w:val="clear" w:color="auto" w:fill="DFEBF4"/>
          </w:tcPr>
          <w:p>
            <w:pPr>
              <w:pStyle w:val="TableParagraph"/>
              <w:spacing w:before="11"/>
              <w:ind w:right="93"/>
              <w:jc w:val="right"/>
              <w:rPr>
                <w:b/>
                <w:sz w:val="20"/>
              </w:rPr>
            </w:pPr>
            <w:r>
              <w:rPr>
                <w:b/>
                <w:spacing w:val="-2"/>
                <w:sz w:val="20"/>
              </w:rPr>
              <w:t>27,001</w:t>
            </w:r>
          </w:p>
        </w:tc>
        <w:tc>
          <w:tcPr>
            <w:tcW w:w="1644" w:type="dxa"/>
          </w:tcPr>
          <w:p>
            <w:pPr>
              <w:pStyle w:val="TableParagraph"/>
              <w:spacing w:before="11"/>
              <w:ind w:right="290"/>
              <w:jc w:val="right"/>
              <w:rPr>
                <w:sz w:val="20"/>
              </w:rPr>
            </w:pPr>
            <w:r>
              <w:rPr>
                <w:spacing w:val="-2"/>
                <w:sz w:val="20"/>
              </w:rPr>
              <w:t>14,387</w:t>
            </w:r>
          </w:p>
        </w:tc>
        <w:tc>
          <w:tcPr>
            <w:tcW w:w="1105" w:type="dxa"/>
          </w:tcPr>
          <w:p>
            <w:pPr>
              <w:pStyle w:val="TableParagraph"/>
              <w:spacing w:before="11"/>
              <w:ind w:right="170"/>
              <w:jc w:val="right"/>
              <w:rPr>
                <w:sz w:val="20"/>
              </w:rPr>
            </w:pPr>
            <w:r>
              <w:rPr>
                <w:spacing w:val="-2"/>
                <w:sz w:val="20"/>
              </w:rPr>
              <w:t>4,880</w:t>
            </w:r>
          </w:p>
        </w:tc>
        <w:tc>
          <w:tcPr>
            <w:tcW w:w="1045" w:type="dxa"/>
            <w:tcBorders>
              <w:right w:val="single" w:sz="12" w:space="0" w:color="000000"/>
            </w:tcBorders>
          </w:tcPr>
          <w:p>
            <w:pPr>
              <w:pStyle w:val="TableParagraph"/>
              <w:spacing w:before="11"/>
              <w:ind w:right="77"/>
              <w:jc w:val="right"/>
              <w:rPr>
                <w:sz w:val="20"/>
              </w:rPr>
            </w:pPr>
            <w:r>
              <w:rPr>
                <w:spacing w:val="-2"/>
                <w:sz w:val="20"/>
              </w:rPr>
              <w:t>7,733</w:t>
            </w:r>
          </w:p>
        </w:tc>
      </w:tr>
      <w:tr>
        <w:trPr>
          <w:trHeight w:val="290" w:hRule="atLeast"/>
        </w:trPr>
        <w:tc>
          <w:tcPr>
            <w:tcW w:w="5510" w:type="dxa"/>
            <w:tcBorders>
              <w:left w:val="single" w:sz="12" w:space="0" w:color="000000"/>
            </w:tcBorders>
          </w:tcPr>
          <w:p>
            <w:pPr>
              <w:pStyle w:val="TableParagraph"/>
              <w:spacing w:line="228" w:lineRule="exact" w:before="42"/>
              <w:ind w:left="107"/>
              <w:rPr>
                <w:sz w:val="20"/>
              </w:rPr>
            </w:pPr>
            <w:r>
              <w:rPr>
                <w:sz w:val="20"/>
              </w:rPr>
              <w:t>Chief</w:t>
            </w:r>
            <w:r>
              <w:rPr>
                <w:spacing w:val="-9"/>
                <w:sz w:val="20"/>
              </w:rPr>
              <w:t> </w:t>
            </w:r>
            <w:r>
              <w:rPr>
                <w:sz w:val="20"/>
              </w:rPr>
              <w:t>Executive's</w:t>
            </w:r>
            <w:r>
              <w:rPr>
                <w:spacing w:val="-5"/>
                <w:sz w:val="20"/>
              </w:rPr>
              <w:t> </w:t>
            </w:r>
            <w:r>
              <w:rPr>
                <w:spacing w:val="-2"/>
                <w:sz w:val="20"/>
              </w:rPr>
              <w:t>Office</w:t>
            </w:r>
          </w:p>
        </w:tc>
        <w:tc>
          <w:tcPr>
            <w:tcW w:w="1447" w:type="dxa"/>
            <w:shd w:val="clear" w:color="auto" w:fill="DFEBF4"/>
          </w:tcPr>
          <w:p>
            <w:pPr>
              <w:pStyle w:val="TableParagraph"/>
              <w:spacing w:before="11"/>
              <w:ind w:right="92"/>
              <w:jc w:val="right"/>
              <w:rPr>
                <w:b/>
                <w:sz w:val="20"/>
              </w:rPr>
            </w:pPr>
            <w:r>
              <w:rPr>
                <w:b/>
                <w:spacing w:val="-2"/>
                <w:sz w:val="20"/>
              </w:rPr>
              <w:t>1,136</w:t>
            </w:r>
          </w:p>
        </w:tc>
        <w:tc>
          <w:tcPr>
            <w:tcW w:w="1644" w:type="dxa"/>
          </w:tcPr>
          <w:p>
            <w:pPr>
              <w:pStyle w:val="TableParagraph"/>
              <w:spacing w:before="11"/>
              <w:ind w:right="289"/>
              <w:jc w:val="right"/>
              <w:rPr>
                <w:sz w:val="20"/>
              </w:rPr>
            </w:pPr>
            <w:r>
              <w:rPr>
                <w:spacing w:val="-2"/>
                <w:sz w:val="20"/>
              </w:rPr>
              <w:t>1,104</w:t>
            </w:r>
          </w:p>
        </w:tc>
        <w:tc>
          <w:tcPr>
            <w:tcW w:w="1105" w:type="dxa"/>
          </w:tcPr>
          <w:p>
            <w:pPr>
              <w:pStyle w:val="TableParagraph"/>
              <w:spacing w:before="11"/>
              <w:ind w:right="171"/>
              <w:jc w:val="right"/>
              <w:rPr>
                <w:sz w:val="20"/>
              </w:rPr>
            </w:pPr>
            <w:r>
              <w:rPr>
                <w:spacing w:val="-5"/>
                <w:sz w:val="20"/>
              </w:rPr>
              <w:t>31</w:t>
            </w:r>
          </w:p>
        </w:tc>
        <w:tc>
          <w:tcPr>
            <w:tcW w:w="1045" w:type="dxa"/>
            <w:tcBorders>
              <w:right w:val="single" w:sz="12" w:space="0" w:color="000000"/>
            </w:tcBorders>
          </w:tcPr>
          <w:p>
            <w:pPr>
              <w:pStyle w:val="TableParagraph"/>
              <w:spacing w:before="11"/>
              <w:ind w:right="75"/>
              <w:jc w:val="right"/>
              <w:rPr>
                <w:sz w:val="20"/>
              </w:rPr>
            </w:pPr>
            <w:r>
              <w:rPr>
                <w:w w:val="99"/>
                <w:sz w:val="20"/>
              </w:rPr>
              <w:t>0</w:t>
            </w:r>
          </w:p>
        </w:tc>
      </w:tr>
      <w:tr>
        <w:trPr>
          <w:trHeight w:val="272" w:hRule="atLeast"/>
        </w:trPr>
        <w:tc>
          <w:tcPr>
            <w:tcW w:w="5510" w:type="dxa"/>
            <w:tcBorders>
              <w:left w:val="single" w:sz="12" w:space="0" w:color="000000"/>
              <w:bottom w:val="single" w:sz="2" w:space="0" w:color="000000"/>
            </w:tcBorders>
          </w:tcPr>
          <w:p>
            <w:pPr>
              <w:pStyle w:val="TableParagraph"/>
              <w:spacing w:line="211" w:lineRule="exact" w:before="42"/>
              <w:ind w:left="107"/>
              <w:rPr>
                <w:sz w:val="20"/>
              </w:rPr>
            </w:pPr>
            <w:r>
              <w:rPr>
                <w:sz w:val="20"/>
              </w:rPr>
              <w:t>Chief</w:t>
            </w:r>
            <w:r>
              <w:rPr>
                <w:spacing w:val="-9"/>
                <w:sz w:val="20"/>
              </w:rPr>
              <w:t> </w:t>
            </w:r>
            <w:r>
              <w:rPr>
                <w:sz w:val="20"/>
              </w:rPr>
              <w:t>Financial</w:t>
            </w:r>
            <w:r>
              <w:rPr>
                <w:spacing w:val="-9"/>
                <w:sz w:val="20"/>
              </w:rPr>
              <w:t> </w:t>
            </w:r>
            <w:r>
              <w:rPr>
                <w:spacing w:val="-2"/>
                <w:sz w:val="20"/>
              </w:rPr>
              <w:t>Office</w:t>
            </w:r>
          </w:p>
        </w:tc>
        <w:tc>
          <w:tcPr>
            <w:tcW w:w="1447" w:type="dxa"/>
            <w:tcBorders>
              <w:bottom w:val="single" w:sz="2" w:space="0" w:color="000000"/>
            </w:tcBorders>
            <w:shd w:val="clear" w:color="auto" w:fill="DFEBF4"/>
          </w:tcPr>
          <w:p>
            <w:pPr>
              <w:pStyle w:val="TableParagraph"/>
              <w:spacing w:before="11"/>
              <w:ind w:right="93"/>
              <w:jc w:val="right"/>
              <w:rPr>
                <w:b/>
                <w:sz w:val="20"/>
              </w:rPr>
            </w:pPr>
            <w:r>
              <w:rPr>
                <w:b/>
                <w:spacing w:val="-2"/>
                <w:sz w:val="20"/>
              </w:rPr>
              <w:t>10,219</w:t>
            </w:r>
          </w:p>
        </w:tc>
        <w:tc>
          <w:tcPr>
            <w:tcW w:w="1644" w:type="dxa"/>
            <w:tcBorders>
              <w:bottom w:val="single" w:sz="2" w:space="0" w:color="000000"/>
            </w:tcBorders>
          </w:tcPr>
          <w:p>
            <w:pPr>
              <w:pStyle w:val="TableParagraph"/>
              <w:spacing w:before="11"/>
              <w:ind w:right="289"/>
              <w:jc w:val="right"/>
              <w:rPr>
                <w:sz w:val="20"/>
              </w:rPr>
            </w:pPr>
            <w:r>
              <w:rPr>
                <w:spacing w:val="-2"/>
                <w:sz w:val="20"/>
              </w:rPr>
              <w:t>8,891</w:t>
            </w:r>
          </w:p>
        </w:tc>
        <w:tc>
          <w:tcPr>
            <w:tcW w:w="1105" w:type="dxa"/>
            <w:tcBorders>
              <w:bottom w:val="single" w:sz="2" w:space="0" w:color="000000"/>
            </w:tcBorders>
          </w:tcPr>
          <w:p>
            <w:pPr>
              <w:pStyle w:val="TableParagraph"/>
              <w:spacing w:before="11"/>
              <w:ind w:right="170"/>
              <w:jc w:val="right"/>
              <w:rPr>
                <w:sz w:val="20"/>
              </w:rPr>
            </w:pPr>
            <w:r>
              <w:rPr>
                <w:spacing w:val="-2"/>
                <w:sz w:val="20"/>
              </w:rPr>
              <w:t>1,319</w:t>
            </w:r>
          </w:p>
        </w:tc>
        <w:tc>
          <w:tcPr>
            <w:tcW w:w="1045" w:type="dxa"/>
            <w:tcBorders>
              <w:bottom w:val="single" w:sz="2" w:space="0" w:color="000000"/>
              <w:right w:val="single" w:sz="12" w:space="0" w:color="000000"/>
            </w:tcBorders>
          </w:tcPr>
          <w:p>
            <w:pPr>
              <w:pStyle w:val="TableParagraph"/>
              <w:spacing w:before="11"/>
              <w:ind w:right="75"/>
              <w:jc w:val="right"/>
              <w:rPr>
                <w:sz w:val="20"/>
              </w:rPr>
            </w:pPr>
            <w:r>
              <w:rPr>
                <w:w w:val="99"/>
                <w:sz w:val="20"/>
              </w:rPr>
              <w:t>9</w:t>
            </w:r>
          </w:p>
        </w:tc>
      </w:tr>
      <w:tr>
        <w:trPr>
          <w:trHeight w:val="1177" w:hRule="atLeast"/>
        </w:trPr>
        <w:tc>
          <w:tcPr>
            <w:tcW w:w="5510" w:type="dxa"/>
            <w:tcBorders>
              <w:top w:val="single" w:sz="2" w:space="0" w:color="000000"/>
              <w:left w:val="single" w:sz="12" w:space="0" w:color="000000"/>
              <w:bottom w:val="single" w:sz="2" w:space="0" w:color="000000"/>
            </w:tcBorders>
          </w:tcPr>
          <w:p>
            <w:pPr>
              <w:pStyle w:val="TableParagraph"/>
              <w:spacing w:before="59"/>
              <w:ind w:left="107"/>
              <w:rPr>
                <w:b/>
                <w:sz w:val="20"/>
              </w:rPr>
            </w:pPr>
            <w:r>
              <w:rPr>
                <w:b/>
                <w:sz w:val="20"/>
              </w:rPr>
              <w:t>Total</w:t>
            </w:r>
            <w:r>
              <w:rPr>
                <w:b/>
                <w:spacing w:val="-8"/>
                <w:sz w:val="20"/>
              </w:rPr>
              <w:t> </w:t>
            </w:r>
            <w:r>
              <w:rPr>
                <w:b/>
                <w:sz w:val="20"/>
              </w:rPr>
              <w:t>permanent</w:t>
            </w:r>
            <w:r>
              <w:rPr>
                <w:b/>
                <w:spacing w:val="-7"/>
                <w:sz w:val="20"/>
              </w:rPr>
              <w:t> </w:t>
            </w:r>
            <w:r>
              <w:rPr>
                <w:b/>
                <w:sz w:val="20"/>
              </w:rPr>
              <w:t>staff</w:t>
            </w:r>
            <w:r>
              <w:rPr>
                <w:b/>
                <w:spacing w:val="-7"/>
                <w:sz w:val="20"/>
              </w:rPr>
              <w:t> </w:t>
            </w:r>
            <w:r>
              <w:rPr>
                <w:b/>
                <w:spacing w:val="-2"/>
                <w:sz w:val="20"/>
              </w:rPr>
              <w:t>expenditure</w:t>
            </w:r>
          </w:p>
          <w:p>
            <w:pPr>
              <w:pStyle w:val="TableParagraph"/>
              <w:spacing w:before="8"/>
              <w:rPr>
                <w:sz w:val="23"/>
              </w:rPr>
            </w:pPr>
          </w:p>
          <w:p>
            <w:pPr>
              <w:pStyle w:val="TableParagraph"/>
              <w:spacing w:line="300" w:lineRule="atLeast" w:before="1"/>
              <w:ind w:left="107" w:right="1053"/>
              <w:rPr>
                <w:sz w:val="20"/>
              </w:rPr>
            </w:pPr>
            <w:r>
              <w:rPr>
                <w:sz w:val="20"/>
              </w:rPr>
              <w:t>Other</w:t>
            </w:r>
            <w:r>
              <w:rPr>
                <w:spacing w:val="-8"/>
                <w:sz w:val="20"/>
              </w:rPr>
              <w:t> </w:t>
            </w:r>
            <w:r>
              <w:rPr>
                <w:sz w:val="20"/>
              </w:rPr>
              <w:t>Employee</w:t>
            </w:r>
            <w:r>
              <w:rPr>
                <w:spacing w:val="-7"/>
                <w:sz w:val="20"/>
              </w:rPr>
              <w:t> </w:t>
            </w:r>
            <w:r>
              <w:rPr>
                <w:sz w:val="20"/>
              </w:rPr>
              <w:t>Related</w:t>
            </w:r>
            <w:r>
              <w:rPr>
                <w:spacing w:val="-11"/>
                <w:sz w:val="20"/>
              </w:rPr>
              <w:t> </w:t>
            </w:r>
            <w:r>
              <w:rPr>
                <w:sz w:val="20"/>
              </w:rPr>
              <w:t>Expenditure* Capitalised labour costs</w:t>
            </w:r>
          </w:p>
        </w:tc>
        <w:tc>
          <w:tcPr>
            <w:tcW w:w="1447" w:type="dxa"/>
            <w:tcBorders>
              <w:top w:val="single" w:sz="2" w:space="0" w:color="000000"/>
              <w:bottom w:val="single" w:sz="2" w:space="0" w:color="000000"/>
            </w:tcBorders>
            <w:shd w:val="clear" w:color="auto" w:fill="DFEBF4"/>
          </w:tcPr>
          <w:p>
            <w:pPr>
              <w:pStyle w:val="TableParagraph"/>
              <w:spacing w:before="28"/>
              <w:ind w:left="742"/>
              <w:rPr>
                <w:b/>
                <w:sz w:val="20"/>
              </w:rPr>
            </w:pPr>
            <w:r>
              <w:rPr>
                <w:b/>
                <w:spacing w:val="-2"/>
                <w:sz w:val="20"/>
              </w:rPr>
              <w:t>70,823</w:t>
            </w:r>
          </w:p>
          <w:p>
            <w:pPr>
              <w:pStyle w:val="TableParagraph"/>
              <w:spacing w:before="1"/>
              <w:rPr>
                <w:sz w:val="31"/>
              </w:rPr>
            </w:pPr>
          </w:p>
          <w:p>
            <w:pPr>
              <w:pStyle w:val="TableParagraph"/>
              <w:spacing w:before="1"/>
              <w:ind w:left="852"/>
              <w:rPr>
                <w:b/>
                <w:sz w:val="20"/>
              </w:rPr>
            </w:pPr>
            <w:r>
              <w:rPr>
                <w:b/>
                <w:spacing w:val="-2"/>
                <w:sz w:val="20"/>
              </w:rPr>
              <w:t>1,182</w:t>
            </w:r>
          </w:p>
          <w:p>
            <w:pPr>
              <w:pStyle w:val="TableParagraph"/>
              <w:spacing w:before="74"/>
              <w:ind w:left="852"/>
              <w:rPr>
                <w:b/>
                <w:sz w:val="20"/>
              </w:rPr>
            </w:pPr>
            <w:r>
              <w:rPr>
                <w:b/>
                <w:spacing w:val="-2"/>
                <w:sz w:val="20"/>
              </w:rPr>
              <w:t>2,024</w:t>
            </w:r>
          </w:p>
        </w:tc>
        <w:tc>
          <w:tcPr>
            <w:tcW w:w="1644" w:type="dxa"/>
            <w:vMerge w:val="restart"/>
            <w:tcBorders>
              <w:top w:val="single" w:sz="2" w:space="0" w:color="000000"/>
              <w:bottom w:val="single" w:sz="12" w:space="0" w:color="000000"/>
            </w:tcBorders>
          </w:tcPr>
          <w:p>
            <w:pPr>
              <w:pStyle w:val="TableParagraph"/>
              <w:spacing w:before="28"/>
              <w:ind w:left="742"/>
              <w:rPr>
                <w:b/>
                <w:sz w:val="20"/>
              </w:rPr>
            </w:pPr>
            <w:r>
              <w:rPr>
                <w:b/>
                <w:spacing w:val="-2"/>
                <w:sz w:val="20"/>
              </w:rPr>
              <w:t>43,574</w:t>
            </w:r>
          </w:p>
        </w:tc>
        <w:tc>
          <w:tcPr>
            <w:tcW w:w="1105" w:type="dxa"/>
            <w:vMerge w:val="restart"/>
            <w:tcBorders>
              <w:top w:val="single" w:sz="2" w:space="0" w:color="000000"/>
              <w:bottom w:val="single" w:sz="12" w:space="0" w:color="000000"/>
            </w:tcBorders>
          </w:tcPr>
          <w:p>
            <w:pPr>
              <w:pStyle w:val="TableParagraph"/>
              <w:spacing w:before="28"/>
              <w:ind w:left="322"/>
              <w:rPr>
                <w:b/>
                <w:sz w:val="20"/>
              </w:rPr>
            </w:pPr>
            <w:r>
              <w:rPr>
                <w:b/>
                <w:spacing w:val="-2"/>
                <w:sz w:val="20"/>
              </w:rPr>
              <w:t>16,850</w:t>
            </w:r>
          </w:p>
        </w:tc>
        <w:tc>
          <w:tcPr>
            <w:tcW w:w="1045" w:type="dxa"/>
            <w:vMerge w:val="restart"/>
            <w:tcBorders>
              <w:top w:val="single" w:sz="2" w:space="0" w:color="000000"/>
              <w:bottom w:val="single" w:sz="12" w:space="0" w:color="000000"/>
              <w:right w:val="single" w:sz="12" w:space="0" w:color="000000"/>
            </w:tcBorders>
          </w:tcPr>
          <w:p>
            <w:pPr>
              <w:pStyle w:val="TableParagraph"/>
              <w:spacing w:before="28"/>
              <w:ind w:left="325"/>
              <w:rPr>
                <w:b/>
                <w:sz w:val="20"/>
              </w:rPr>
            </w:pPr>
            <w:r>
              <w:rPr>
                <w:b/>
                <w:spacing w:val="-2"/>
                <w:sz w:val="20"/>
              </w:rPr>
              <w:t>10,399</w:t>
            </w:r>
          </w:p>
        </w:tc>
      </w:tr>
      <w:tr>
        <w:trPr>
          <w:trHeight w:val="291" w:hRule="atLeast"/>
        </w:trPr>
        <w:tc>
          <w:tcPr>
            <w:tcW w:w="5510" w:type="dxa"/>
            <w:tcBorders>
              <w:top w:val="single" w:sz="2" w:space="0" w:color="000000"/>
              <w:left w:val="single" w:sz="12" w:space="0" w:color="000000"/>
              <w:bottom w:val="single" w:sz="12" w:space="0" w:color="000000"/>
            </w:tcBorders>
          </w:tcPr>
          <w:p>
            <w:pPr>
              <w:pStyle w:val="TableParagraph"/>
              <w:spacing w:line="210" w:lineRule="exact" w:before="61"/>
              <w:ind w:left="107"/>
              <w:rPr>
                <w:b/>
                <w:sz w:val="20"/>
              </w:rPr>
            </w:pPr>
            <w:r>
              <w:rPr>
                <w:b/>
                <w:sz w:val="20"/>
              </w:rPr>
              <w:t>Total</w:t>
            </w:r>
            <w:r>
              <w:rPr>
                <w:b/>
                <w:spacing w:val="-6"/>
                <w:sz w:val="20"/>
              </w:rPr>
              <w:t> </w:t>
            </w:r>
            <w:r>
              <w:rPr>
                <w:b/>
                <w:spacing w:val="-2"/>
                <w:sz w:val="20"/>
              </w:rPr>
              <w:t>expenditure</w:t>
            </w:r>
          </w:p>
        </w:tc>
        <w:tc>
          <w:tcPr>
            <w:tcW w:w="1447" w:type="dxa"/>
            <w:tcBorders>
              <w:top w:val="single" w:sz="2" w:space="0" w:color="000000"/>
              <w:bottom w:val="single" w:sz="12" w:space="0" w:color="000000"/>
            </w:tcBorders>
            <w:shd w:val="clear" w:color="auto" w:fill="DFEBF4"/>
          </w:tcPr>
          <w:p>
            <w:pPr>
              <w:pStyle w:val="TableParagraph"/>
              <w:spacing w:before="23"/>
              <w:ind w:right="93"/>
              <w:jc w:val="right"/>
              <w:rPr>
                <w:b/>
                <w:sz w:val="20"/>
              </w:rPr>
            </w:pPr>
            <w:r>
              <w:rPr>
                <w:b/>
                <w:spacing w:val="-2"/>
                <w:sz w:val="20"/>
              </w:rPr>
              <w:t>74,029</w:t>
            </w:r>
          </w:p>
        </w:tc>
        <w:tc>
          <w:tcPr>
            <w:tcW w:w="1644" w:type="dxa"/>
            <w:vMerge/>
            <w:tcBorders>
              <w:top w:val="nil"/>
              <w:bottom w:val="single" w:sz="12" w:space="0" w:color="000000"/>
            </w:tcBorders>
          </w:tcPr>
          <w:p>
            <w:pPr>
              <w:rPr>
                <w:sz w:val="2"/>
                <w:szCs w:val="2"/>
              </w:rPr>
            </w:pPr>
          </w:p>
        </w:tc>
        <w:tc>
          <w:tcPr>
            <w:tcW w:w="1105" w:type="dxa"/>
            <w:vMerge/>
            <w:tcBorders>
              <w:top w:val="nil"/>
              <w:bottom w:val="single" w:sz="12" w:space="0" w:color="000000"/>
            </w:tcBorders>
          </w:tcPr>
          <w:p>
            <w:pPr>
              <w:rPr>
                <w:sz w:val="2"/>
                <w:szCs w:val="2"/>
              </w:rPr>
            </w:pPr>
          </w:p>
        </w:tc>
        <w:tc>
          <w:tcPr>
            <w:tcW w:w="1045" w:type="dxa"/>
            <w:vMerge/>
            <w:tcBorders>
              <w:top w:val="nil"/>
              <w:bottom w:val="single" w:sz="12" w:space="0" w:color="000000"/>
              <w:right w:val="single" w:sz="12" w:space="0" w:color="000000"/>
            </w:tcBorders>
          </w:tcPr>
          <w:p>
            <w:pPr>
              <w:rPr>
                <w:sz w:val="2"/>
                <w:szCs w:val="2"/>
              </w:rPr>
            </w:pPr>
          </w:p>
        </w:tc>
      </w:tr>
    </w:tbl>
    <w:p>
      <w:pPr>
        <w:pStyle w:val="BodyText"/>
        <w:spacing w:before="10"/>
        <w:rPr>
          <w:sz w:val="21"/>
        </w:rPr>
      </w:pPr>
    </w:p>
    <w:p>
      <w:pPr>
        <w:pStyle w:val="BodyText"/>
        <w:ind w:left="391" w:right="445"/>
      </w:pPr>
      <w:r>
        <w:rPr/>
        <w:t>A summary of the number of full time equivalent (FTE) Council staff in relation to the above expenditure is included below:</w:t>
      </w:r>
    </w:p>
    <w:p>
      <w:pPr>
        <w:pStyle w:val="BodyText"/>
        <w:spacing w:before="11"/>
        <w:rPr>
          <w:sz w:val="21"/>
        </w:rPr>
      </w:pPr>
    </w:p>
    <w:tbl>
      <w:tblPr>
        <w:tblW w:w="0" w:type="auto"/>
        <w:jc w:val="left"/>
        <w:tblInd w:w="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22"/>
        <w:gridCol w:w="1452"/>
        <w:gridCol w:w="1691"/>
        <w:gridCol w:w="1217"/>
        <w:gridCol w:w="868"/>
      </w:tblGrid>
      <w:tr>
        <w:trPr>
          <w:trHeight w:val="816" w:hRule="atLeast"/>
        </w:trPr>
        <w:tc>
          <w:tcPr>
            <w:tcW w:w="10750" w:type="dxa"/>
            <w:gridSpan w:val="5"/>
            <w:tcBorders>
              <w:top w:val="single" w:sz="18" w:space="0" w:color="000000"/>
              <w:left w:val="single" w:sz="12" w:space="0" w:color="000000"/>
              <w:right w:val="single" w:sz="12" w:space="0" w:color="000000"/>
            </w:tcBorders>
            <w:shd w:val="clear" w:color="auto" w:fill="5B9AD4"/>
          </w:tcPr>
          <w:p>
            <w:pPr>
              <w:pStyle w:val="TableParagraph"/>
              <w:spacing w:before="36"/>
              <w:ind w:left="8341"/>
              <w:rPr>
                <w:b/>
                <w:sz w:val="20"/>
              </w:rPr>
            </w:pPr>
            <w:r>
              <w:rPr>
                <w:b/>
                <w:color w:val="FFFFFF"/>
                <w:spacing w:val="-2"/>
                <w:sz w:val="20"/>
              </w:rPr>
              <w:t>Comprises</w:t>
            </w:r>
          </w:p>
          <w:p>
            <w:pPr>
              <w:pStyle w:val="TableParagraph"/>
              <w:tabs>
                <w:tab w:pos="7780" w:val="left" w:leader="none"/>
              </w:tabs>
              <w:spacing w:before="43"/>
              <w:ind w:left="5903"/>
              <w:rPr>
                <w:b/>
                <w:sz w:val="20"/>
              </w:rPr>
            </w:pPr>
            <w:r>
              <w:rPr>
                <w:b/>
                <w:color w:val="FFFFFF"/>
                <w:spacing w:val="-2"/>
                <w:sz w:val="20"/>
              </w:rPr>
              <w:t>Budget</w:t>
            </w:r>
            <w:r>
              <w:rPr>
                <w:b/>
                <w:color w:val="FFFFFF"/>
                <w:sz w:val="20"/>
              </w:rPr>
              <w:tab/>
            </w:r>
            <w:r>
              <w:rPr>
                <w:b/>
                <w:color w:val="FFFFFF"/>
                <w:spacing w:val="-2"/>
                <w:sz w:val="20"/>
              </w:rPr>
              <w:t>Permanent</w:t>
            </w:r>
          </w:p>
          <w:p>
            <w:pPr>
              <w:pStyle w:val="TableParagraph"/>
              <w:tabs>
                <w:tab w:pos="7304" w:val="left" w:leader="none"/>
                <w:tab w:pos="8612" w:val="left" w:leader="none"/>
                <w:tab w:pos="9889" w:val="left" w:leader="none"/>
              </w:tabs>
              <w:spacing w:line="206" w:lineRule="exact" w:before="51"/>
              <w:ind w:left="6059"/>
              <w:rPr>
                <w:b/>
                <w:sz w:val="18"/>
              </w:rPr>
            </w:pPr>
            <w:r>
              <w:rPr>
                <w:b/>
                <w:color w:val="FFFFFF"/>
                <w:spacing w:val="-5"/>
                <w:sz w:val="20"/>
              </w:rPr>
              <w:t>FTE</w:t>
            </w:r>
            <w:r>
              <w:rPr>
                <w:b/>
                <w:color w:val="FFFFFF"/>
                <w:sz w:val="20"/>
              </w:rPr>
              <w:tab/>
            </w:r>
            <w:r>
              <w:rPr>
                <w:b/>
                <w:color w:val="FFFFFF"/>
                <w:sz w:val="18"/>
              </w:rPr>
              <w:t>Full</w:t>
            </w:r>
            <w:r>
              <w:rPr>
                <w:b/>
                <w:color w:val="FFFFFF"/>
                <w:spacing w:val="-1"/>
                <w:sz w:val="18"/>
              </w:rPr>
              <w:t> </w:t>
            </w:r>
            <w:r>
              <w:rPr>
                <w:b/>
                <w:color w:val="FFFFFF"/>
                <w:spacing w:val="-4"/>
                <w:sz w:val="18"/>
              </w:rPr>
              <w:t>Time</w:t>
            </w:r>
            <w:r>
              <w:rPr>
                <w:b/>
                <w:color w:val="FFFFFF"/>
                <w:sz w:val="18"/>
              </w:rPr>
              <w:tab/>
              <w:t>Part </w:t>
            </w:r>
            <w:r>
              <w:rPr>
                <w:b/>
                <w:color w:val="FFFFFF"/>
                <w:spacing w:val="-4"/>
                <w:sz w:val="18"/>
              </w:rPr>
              <w:t>Time</w:t>
            </w:r>
            <w:r>
              <w:rPr>
                <w:b/>
                <w:color w:val="FFFFFF"/>
                <w:sz w:val="18"/>
              </w:rPr>
              <w:tab/>
            </w:r>
            <w:r>
              <w:rPr>
                <w:b/>
                <w:color w:val="FFFFFF"/>
                <w:spacing w:val="-2"/>
                <w:sz w:val="18"/>
              </w:rPr>
              <w:t>Casual</w:t>
            </w:r>
          </w:p>
        </w:tc>
      </w:tr>
      <w:tr>
        <w:trPr>
          <w:trHeight w:val="289" w:hRule="atLeast"/>
        </w:trPr>
        <w:tc>
          <w:tcPr>
            <w:tcW w:w="5522" w:type="dxa"/>
            <w:tcBorders>
              <w:left w:val="single" w:sz="12" w:space="0" w:color="000000"/>
            </w:tcBorders>
          </w:tcPr>
          <w:p>
            <w:pPr>
              <w:pStyle w:val="TableParagraph"/>
              <w:spacing w:line="225" w:lineRule="exact" w:before="45"/>
              <w:ind w:left="107"/>
              <w:rPr>
                <w:sz w:val="20"/>
              </w:rPr>
            </w:pPr>
            <w:r>
              <w:rPr>
                <w:sz w:val="20"/>
              </w:rPr>
              <w:t>Strategy</w:t>
            </w:r>
            <w:r>
              <w:rPr>
                <w:spacing w:val="-7"/>
                <w:sz w:val="20"/>
              </w:rPr>
              <w:t> </w:t>
            </w:r>
            <w:r>
              <w:rPr>
                <w:sz w:val="20"/>
              </w:rPr>
              <w:t>and</w:t>
            </w:r>
            <w:r>
              <w:rPr>
                <w:spacing w:val="-8"/>
                <w:sz w:val="20"/>
              </w:rPr>
              <w:t> </w:t>
            </w:r>
            <w:r>
              <w:rPr>
                <w:spacing w:val="-2"/>
                <w:sz w:val="20"/>
              </w:rPr>
              <w:t>Development</w:t>
            </w:r>
          </w:p>
        </w:tc>
        <w:tc>
          <w:tcPr>
            <w:tcW w:w="1452" w:type="dxa"/>
            <w:shd w:val="clear" w:color="auto" w:fill="DFEBF4"/>
          </w:tcPr>
          <w:p>
            <w:pPr>
              <w:pStyle w:val="TableParagraph"/>
              <w:spacing w:before="21"/>
              <w:ind w:right="93"/>
              <w:jc w:val="right"/>
              <w:rPr>
                <w:b/>
                <w:sz w:val="20"/>
              </w:rPr>
            </w:pPr>
            <w:r>
              <w:rPr>
                <w:b/>
                <w:spacing w:val="-2"/>
                <w:sz w:val="20"/>
              </w:rPr>
              <w:t>116.9</w:t>
            </w:r>
          </w:p>
        </w:tc>
        <w:tc>
          <w:tcPr>
            <w:tcW w:w="1691" w:type="dxa"/>
          </w:tcPr>
          <w:p>
            <w:pPr>
              <w:pStyle w:val="TableParagraph"/>
              <w:spacing w:before="21"/>
              <w:ind w:right="332"/>
              <w:jc w:val="right"/>
              <w:rPr>
                <w:sz w:val="20"/>
              </w:rPr>
            </w:pPr>
            <w:r>
              <w:rPr>
                <w:spacing w:val="-4"/>
                <w:sz w:val="20"/>
              </w:rPr>
              <w:t>76.1</w:t>
            </w:r>
          </w:p>
        </w:tc>
        <w:tc>
          <w:tcPr>
            <w:tcW w:w="1217" w:type="dxa"/>
          </w:tcPr>
          <w:p>
            <w:pPr>
              <w:pStyle w:val="TableParagraph"/>
              <w:spacing w:before="21"/>
              <w:ind w:right="351"/>
              <w:jc w:val="right"/>
              <w:rPr>
                <w:sz w:val="20"/>
              </w:rPr>
            </w:pPr>
            <w:r>
              <w:rPr>
                <w:spacing w:val="-4"/>
                <w:sz w:val="20"/>
              </w:rPr>
              <w:t>34.4</w:t>
            </w:r>
          </w:p>
        </w:tc>
        <w:tc>
          <w:tcPr>
            <w:tcW w:w="868" w:type="dxa"/>
            <w:tcBorders>
              <w:right w:val="single" w:sz="12" w:space="0" w:color="000000"/>
            </w:tcBorders>
          </w:tcPr>
          <w:p>
            <w:pPr>
              <w:pStyle w:val="TableParagraph"/>
              <w:spacing w:before="21"/>
              <w:ind w:right="82"/>
              <w:jc w:val="right"/>
              <w:rPr>
                <w:sz w:val="20"/>
              </w:rPr>
            </w:pPr>
            <w:r>
              <w:rPr>
                <w:spacing w:val="-5"/>
                <w:sz w:val="20"/>
              </w:rPr>
              <w:t>6.4</w:t>
            </w:r>
          </w:p>
        </w:tc>
      </w:tr>
      <w:tr>
        <w:trPr>
          <w:trHeight w:val="273" w:hRule="atLeast"/>
        </w:trPr>
        <w:tc>
          <w:tcPr>
            <w:tcW w:w="5522" w:type="dxa"/>
            <w:tcBorders>
              <w:left w:val="single" w:sz="12" w:space="0" w:color="000000"/>
            </w:tcBorders>
          </w:tcPr>
          <w:p>
            <w:pPr>
              <w:pStyle w:val="TableParagraph"/>
              <w:spacing w:line="225" w:lineRule="exact" w:before="29"/>
              <w:ind w:left="107"/>
              <w:rPr>
                <w:sz w:val="20"/>
              </w:rPr>
            </w:pPr>
            <w:r>
              <w:rPr>
                <w:sz w:val="20"/>
              </w:rPr>
              <w:t>People</w:t>
            </w:r>
            <w:r>
              <w:rPr>
                <w:spacing w:val="-7"/>
                <w:sz w:val="20"/>
              </w:rPr>
              <w:t> </w:t>
            </w:r>
            <w:r>
              <w:rPr>
                <w:sz w:val="20"/>
              </w:rPr>
              <w:t>and</w:t>
            </w:r>
            <w:r>
              <w:rPr>
                <w:spacing w:val="-6"/>
                <w:sz w:val="20"/>
              </w:rPr>
              <w:t> </w:t>
            </w:r>
            <w:r>
              <w:rPr>
                <w:spacing w:val="-2"/>
                <w:sz w:val="20"/>
              </w:rPr>
              <w:t>Places</w:t>
            </w:r>
          </w:p>
        </w:tc>
        <w:tc>
          <w:tcPr>
            <w:tcW w:w="1452" w:type="dxa"/>
            <w:shd w:val="clear" w:color="auto" w:fill="DFEBF4"/>
          </w:tcPr>
          <w:p>
            <w:pPr>
              <w:pStyle w:val="TableParagraph"/>
              <w:spacing w:before="7"/>
              <w:ind w:right="93"/>
              <w:jc w:val="right"/>
              <w:rPr>
                <w:b/>
                <w:sz w:val="20"/>
              </w:rPr>
            </w:pPr>
            <w:r>
              <w:rPr>
                <w:b/>
                <w:spacing w:val="-2"/>
                <w:sz w:val="20"/>
              </w:rPr>
              <w:t>132.4</w:t>
            </w:r>
          </w:p>
        </w:tc>
        <w:tc>
          <w:tcPr>
            <w:tcW w:w="1691" w:type="dxa"/>
          </w:tcPr>
          <w:p>
            <w:pPr>
              <w:pStyle w:val="TableParagraph"/>
              <w:spacing w:before="7"/>
              <w:ind w:right="332"/>
              <w:jc w:val="right"/>
              <w:rPr>
                <w:sz w:val="20"/>
              </w:rPr>
            </w:pPr>
            <w:r>
              <w:rPr>
                <w:spacing w:val="-4"/>
                <w:sz w:val="20"/>
              </w:rPr>
              <w:t>60.7</w:t>
            </w:r>
          </w:p>
        </w:tc>
        <w:tc>
          <w:tcPr>
            <w:tcW w:w="1217" w:type="dxa"/>
          </w:tcPr>
          <w:p>
            <w:pPr>
              <w:pStyle w:val="TableParagraph"/>
              <w:spacing w:before="7"/>
              <w:ind w:right="351"/>
              <w:jc w:val="right"/>
              <w:rPr>
                <w:sz w:val="20"/>
              </w:rPr>
            </w:pPr>
            <w:r>
              <w:rPr>
                <w:spacing w:val="-4"/>
                <w:sz w:val="20"/>
              </w:rPr>
              <w:t>57.6</w:t>
            </w:r>
          </w:p>
        </w:tc>
        <w:tc>
          <w:tcPr>
            <w:tcW w:w="868" w:type="dxa"/>
            <w:tcBorders>
              <w:right w:val="single" w:sz="12" w:space="0" w:color="000000"/>
            </w:tcBorders>
          </w:tcPr>
          <w:p>
            <w:pPr>
              <w:pStyle w:val="TableParagraph"/>
              <w:spacing w:before="7"/>
              <w:ind w:right="81"/>
              <w:jc w:val="right"/>
              <w:rPr>
                <w:sz w:val="20"/>
              </w:rPr>
            </w:pPr>
            <w:r>
              <w:rPr>
                <w:spacing w:val="-4"/>
                <w:sz w:val="20"/>
              </w:rPr>
              <w:t>14.1</w:t>
            </w:r>
          </w:p>
        </w:tc>
      </w:tr>
      <w:tr>
        <w:trPr>
          <w:trHeight w:val="275" w:hRule="atLeast"/>
        </w:trPr>
        <w:tc>
          <w:tcPr>
            <w:tcW w:w="5522" w:type="dxa"/>
            <w:tcBorders>
              <w:left w:val="single" w:sz="12" w:space="0" w:color="000000"/>
            </w:tcBorders>
          </w:tcPr>
          <w:p>
            <w:pPr>
              <w:pStyle w:val="TableParagraph"/>
              <w:spacing w:line="225" w:lineRule="exact" w:before="31"/>
              <w:ind w:left="107"/>
              <w:rPr>
                <w:sz w:val="20"/>
              </w:rPr>
            </w:pPr>
            <w:r>
              <w:rPr>
                <w:sz w:val="20"/>
              </w:rPr>
              <w:t>Assets</w:t>
            </w:r>
            <w:r>
              <w:rPr>
                <w:spacing w:val="-5"/>
                <w:sz w:val="20"/>
              </w:rPr>
              <w:t> </w:t>
            </w:r>
            <w:r>
              <w:rPr>
                <w:sz w:val="20"/>
              </w:rPr>
              <w:t>and</w:t>
            </w:r>
            <w:r>
              <w:rPr>
                <w:spacing w:val="-6"/>
                <w:sz w:val="20"/>
              </w:rPr>
              <w:t> </w:t>
            </w:r>
            <w:r>
              <w:rPr>
                <w:spacing w:val="-2"/>
                <w:sz w:val="20"/>
              </w:rPr>
              <w:t>Leisure</w:t>
            </w:r>
          </w:p>
        </w:tc>
        <w:tc>
          <w:tcPr>
            <w:tcW w:w="1452" w:type="dxa"/>
            <w:shd w:val="clear" w:color="auto" w:fill="DFEBF4"/>
          </w:tcPr>
          <w:p>
            <w:pPr>
              <w:pStyle w:val="TableParagraph"/>
              <w:spacing w:before="7"/>
              <w:ind w:right="93"/>
              <w:jc w:val="right"/>
              <w:rPr>
                <w:b/>
                <w:sz w:val="20"/>
              </w:rPr>
            </w:pPr>
            <w:r>
              <w:rPr>
                <w:b/>
                <w:spacing w:val="-2"/>
                <w:sz w:val="20"/>
              </w:rPr>
              <w:t>250.8</w:t>
            </w:r>
          </w:p>
        </w:tc>
        <w:tc>
          <w:tcPr>
            <w:tcW w:w="1691" w:type="dxa"/>
          </w:tcPr>
          <w:p>
            <w:pPr>
              <w:pStyle w:val="TableParagraph"/>
              <w:spacing w:before="7"/>
              <w:ind w:right="332"/>
              <w:jc w:val="right"/>
              <w:rPr>
                <w:sz w:val="20"/>
              </w:rPr>
            </w:pPr>
            <w:r>
              <w:rPr>
                <w:spacing w:val="-2"/>
                <w:sz w:val="20"/>
              </w:rPr>
              <w:t>128.4</w:t>
            </w:r>
          </w:p>
        </w:tc>
        <w:tc>
          <w:tcPr>
            <w:tcW w:w="1217" w:type="dxa"/>
          </w:tcPr>
          <w:p>
            <w:pPr>
              <w:pStyle w:val="TableParagraph"/>
              <w:spacing w:before="7"/>
              <w:ind w:right="351"/>
              <w:jc w:val="right"/>
              <w:rPr>
                <w:sz w:val="20"/>
              </w:rPr>
            </w:pPr>
            <w:r>
              <w:rPr>
                <w:spacing w:val="-4"/>
                <w:sz w:val="20"/>
              </w:rPr>
              <w:t>65.4</w:t>
            </w:r>
          </w:p>
        </w:tc>
        <w:tc>
          <w:tcPr>
            <w:tcW w:w="868" w:type="dxa"/>
            <w:tcBorders>
              <w:right w:val="single" w:sz="12" w:space="0" w:color="000000"/>
            </w:tcBorders>
          </w:tcPr>
          <w:p>
            <w:pPr>
              <w:pStyle w:val="TableParagraph"/>
              <w:spacing w:before="7"/>
              <w:ind w:right="81"/>
              <w:jc w:val="right"/>
              <w:rPr>
                <w:sz w:val="20"/>
              </w:rPr>
            </w:pPr>
            <w:r>
              <w:rPr>
                <w:spacing w:val="-4"/>
                <w:sz w:val="20"/>
              </w:rPr>
              <w:t>57.0</w:t>
            </w:r>
          </w:p>
        </w:tc>
      </w:tr>
      <w:tr>
        <w:trPr>
          <w:trHeight w:val="274" w:hRule="atLeast"/>
        </w:trPr>
        <w:tc>
          <w:tcPr>
            <w:tcW w:w="5522" w:type="dxa"/>
            <w:tcBorders>
              <w:left w:val="single" w:sz="12" w:space="0" w:color="000000"/>
            </w:tcBorders>
          </w:tcPr>
          <w:p>
            <w:pPr>
              <w:pStyle w:val="TableParagraph"/>
              <w:spacing w:line="226" w:lineRule="exact" w:before="29"/>
              <w:ind w:left="107"/>
              <w:rPr>
                <w:sz w:val="20"/>
              </w:rPr>
            </w:pPr>
            <w:r>
              <w:rPr>
                <w:sz w:val="20"/>
              </w:rPr>
              <w:t>Chief</w:t>
            </w:r>
            <w:r>
              <w:rPr>
                <w:spacing w:val="-9"/>
                <w:sz w:val="20"/>
              </w:rPr>
              <w:t> </w:t>
            </w:r>
            <w:r>
              <w:rPr>
                <w:sz w:val="20"/>
              </w:rPr>
              <w:t>Executive's</w:t>
            </w:r>
            <w:r>
              <w:rPr>
                <w:spacing w:val="-5"/>
                <w:sz w:val="20"/>
              </w:rPr>
              <w:t> </w:t>
            </w:r>
            <w:r>
              <w:rPr>
                <w:spacing w:val="-2"/>
                <w:sz w:val="20"/>
              </w:rPr>
              <w:t>Office</w:t>
            </w:r>
          </w:p>
        </w:tc>
        <w:tc>
          <w:tcPr>
            <w:tcW w:w="1452" w:type="dxa"/>
            <w:shd w:val="clear" w:color="auto" w:fill="DFEBF4"/>
          </w:tcPr>
          <w:p>
            <w:pPr>
              <w:pStyle w:val="TableParagraph"/>
              <w:spacing w:before="7"/>
              <w:ind w:right="93"/>
              <w:jc w:val="right"/>
              <w:rPr>
                <w:b/>
                <w:sz w:val="20"/>
              </w:rPr>
            </w:pPr>
            <w:r>
              <w:rPr>
                <w:b/>
                <w:spacing w:val="-5"/>
                <w:sz w:val="20"/>
              </w:rPr>
              <w:t>5.3</w:t>
            </w:r>
          </w:p>
        </w:tc>
        <w:tc>
          <w:tcPr>
            <w:tcW w:w="1691" w:type="dxa"/>
          </w:tcPr>
          <w:p>
            <w:pPr>
              <w:pStyle w:val="TableParagraph"/>
              <w:spacing w:before="7"/>
              <w:ind w:right="332"/>
              <w:jc w:val="right"/>
              <w:rPr>
                <w:sz w:val="20"/>
              </w:rPr>
            </w:pPr>
            <w:r>
              <w:rPr>
                <w:spacing w:val="-5"/>
                <w:sz w:val="20"/>
              </w:rPr>
              <w:t>5.0</w:t>
            </w:r>
          </w:p>
        </w:tc>
        <w:tc>
          <w:tcPr>
            <w:tcW w:w="1217" w:type="dxa"/>
          </w:tcPr>
          <w:p>
            <w:pPr>
              <w:pStyle w:val="TableParagraph"/>
              <w:spacing w:before="7"/>
              <w:ind w:right="352"/>
              <w:jc w:val="right"/>
              <w:rPr>
                <w:sz w:val="20"/>
              </w:rPr>
            </w:pPr>
            <w:r>
              <w:rPr>
                <w:spacing w:val="-5"/>
                <w:sz w:val="20"/>
              </w:rPr>
              <w:t>0.3</w:t>
            </w:r>
          </w:p>
        </w:tc>
        <w:tc>
          <w:tcPr>
            <w:tcW w:w="868" w:type="dxa"/>
            <w:tcBorders>
              <w:right w:val="single" w:sz="12" w:space="0" w:color="000000"/>
            </w:tcBorders>
          </w:tcPr>
          <w:p>
            <w:pPr>
              <w:pStyle w:val="TableParagraph"/>
              <w:spacing w:before="7"/>
              <w:ind w:right="82"/>
              <w:jc w:val="right"/>
              <w:rPr>
                <w:sz w:val="20"/>
              </w:rPr>
            </w:pPr>
            <w:r>
              <w:rPr>
                <w:spacing w:val="-5"/>
                <w:sz w:val="20"/>
              </w:rPr>
              <w:t>0.0</w:t>
            </w:r>
          </w:p>
        </w:tc>
      </w:tr>
      <w:tr>
        <w:trPr>
          <w:trHeight w:val="278" w:hRule="atLeast"/>
        </w:trPr>
        <w:tc>
          <w:tcPr>
            <w:tcW w:w="5522" w:type="dxa"/>
            <w:tcBorders>
              <w:left w:val="single" w:sz="12" w:space="0" w:color="000000"/>
            </w:tcBorders>
          </w:tcPr>
          <w:p>
            <w:pPr>
              <w:pStyle w:val="TableParagraph"/>
              <w:spacing w:line="228" w:lineRule="exact" w:before="30"/>
              <w:ind w:left="107"/>
              <w:rPr>
                <w:sz w:val="20"/>
              </w:rPr>
            </w:pPr>
            <w:r>
              <w:rPr>
                <w:sz w:val="20"/>
              </w:rPr>
              <w:t>Chief</w:t>
            </w:r>
            <w:r>
              <w:rPr>
                <w:spacing w:val="-9"/>
                <w:sz w:val="20"/>
              </w:rPr>
              <w:t> </w:t>
            </w:r>
            <w:r>
              <w:rPr>
                <w:sz w:val="20"/>
              </w:rPr>
              <w:t>Financial</w:t>
            </w:r>
            <w:r>
              <w:rPr>
                <w:spacing w:val="-9"/>
                <w:sz w:val="20"/>
              </w:rPr>
              <w:t> </w:t>
            </w:r>
            <w:r>
              <w:rPr>
                <w:spacing w:val="-2"/>
                <w:sz w:val="20"/>
              </w:rPr>
              <w:t>Office</w:t>
            </w:r>
          </w:p>
        </w:tc>
        <w:tc>
          <w:tcPr>
            <w:tcW w:w="1452" w:type="dxa"/>
            <w:shd w:val="clear" w:color="auto" w:fill="DFEBF4"/>
          </w:tcPr>
          <w:p>
            <w:pPr>
              <w:pStyle w:val="TableParagraph"/>
              <w:spacing w:before="8"/>
              <w:ind w:right="93"/>
              <w:jc w:val="right"/>
              <w:rPr>
                <w:b/>
                <w:sz w:val="20"/>
              </w:rPr>
            </w:pPr>
            <w:r>
              <w:rPr>
                <w:b/>
                <w:spacing w:val="-4"/>
                <w:sz w:val="20"/>
              </w:rPr>
              <w:t>76.9</w:t>
            </w:r>
          </w:p>
        </w:tc>
        <w:tc>
          <w:tcPr>
            <w:tcW w:w="1691" w:type="dxa"/>
          </w:tcPr>
          <w:p>
            <w:pPr>
              <w:pStyle w:val="TableParagraph"/>
              <w:spacing w:before="8"/>
              <w:ind w:right="332"/>
              <w:jc w:val="right"/>
              <w:rPr>
                <w:sz w:val="20"/>
              </w:rPr>
            </w:pPr>
            <w:r>
              <w:rPr>
                <w:spacing w:val="-4"/>
                <w:sz w:val="20"/>
              </w:rPr>
              <w:t>65.5</w:t>
            </w:r>
          </w:p>
        </w:tc>
        <w:tc>
          <w:tcPr>
            <w:tcW w:w="1217" w:type="dxa"/>
          </w:tcPr>
          <w:p>
            <w:pPr>
              <w:pStyle w:val="TableParagraph"/>
              <w:spacing w:before="8"/>
              <w:ind w:right="351"/>
              <w:jc w:val="right"/>
              <w:rPr>
                <w:sz w:val="20"/>
              </w:rPr>
            </w:pPr>
            <w:r>
              <w:rPr>
                <w:spacing w:val="-4"/>
                <w:sz w:val="20"/>
              </w:rPr>
              <w:t>11.3</w:t>
            </w:r>
          </w:p>
        </w:tc>
        <w:tc>
          <w:tcPr>
            <w:tcW w:w="868" w:type="dxa"/>
            <w:tcBorders>
              <w:right w:val="single" w:sz="12" w:space="0" w:color="000000"/>
            </w:tcBorders>
          </w:tcPr>
          <w:p>
            <w:pPr>
              <w:pStyle w:val="TableParagraph"/>
              <w:spacing w:before="8"/>
              <w:ind w:right="82"/>
              <w:jc w:val="right"/>
              <w:rPr>
                <w:sz w:val="20"/>
              </w:rPr>
            </w:pPr>
            <w:r>
              <w:rPr>
                <w:spacing w:val="-5"/>
                <w:sz w:val="20"/>
              </w:rPr>
              <w:t>0.1</w:t>
            </w:r>
          </w:p>
        </w:tc>
      </w:tr>
      <w:tr>
        <w:trPr>
          <w:trHeight w:val="270" w:hRule="atLeast"/>
        </w:trPr>
        <w:tc>
          <w:tcPr>
            <w:tcW w:w="5522" w:type="dxa"/>
            <w:tcBorders>
              <w:left w:val="single" w:sz="12" w:space="0" w:color="000000"/>
              <w:bottom w:val="single" w:sz="2" w:space="0" w:color="000000"/>
            </w:tcBorders>
          </w:tcPr>
          <w:p>
            <w:pPr>
              <w:pStyle w:val="TableParagraph"/>
              <w:spacing w:line="211" w:lineRule="exact" w:before="40"/>
              <w:ind w:left="107"/>
              <w:rPr>
                <w:sz w:val="20"/>
              </w:rPr>
            </w:pPr>
            <w:r>
              <w:rPr>
                <w:sz w:val="20"/>
              </w:rPr>
              <w:t>Capitalised</w:t>
            </w:r>
            <w:r>
              <w:rPr>
                <w:spacing w:val="-11"/>
                <w:sz w:val="20"/>
              </w:rPr>
              <w:t> </w:t>
            </w:r>
            <w:r>
              <w:rPr>
                <w:spacing w:val="-2"/>
                <w:sz w:val="20"/>
              </w:rPr>
              <w:t>labour</w:t>
            </w:r>
          </w:p>
        </w:tc>
        <w:tc>
          <w:tcPr>
            <w:tcW w:w="1452" w:type="dxa"/>
            <w:tcBorders>
              <w:bottom w:val="single" w:sz="2" w:space="0" w:color="000000"/>
            </w:tcBorders>
            <w:shd w:val="clear" w:color="auto" w:fill="DFEBF4"/>
          </w:tcPr>
          <w:p>
            <w:pPr>
              <w:pStyle w:val="TableParagraph"/>
              <w:spacing w:before="11"/>
              <w:ind w:right="93"/>
              <w:jc w:val="right"/>
              <w:rPr>
                <w:b/>
                <w:sz w:val="20"/>
              </w:rPr>
            </w:pPr>
            <w:r>
              <w:rPr>
                <w:b/>
                <w:spacing w:val="-4"/>
                <w:sz w:val="20"/>
              </w:rPr>
              <w:t>16.2</w:t>
            </w:r>
          </w:p>
        </w:tc>
        <w:tc>
          <w:tcPr>
            <w:tcW w:w="1691" w:type="dxa"/>
            <w:tcBorders>
              <w:bottom w:val="single" w:sz="2" w:space="0" w:color="000000"/>
            </w:tcBorders>
          </w:tcPr>
          <w:p>
            <w:pPr>
              <w:pStyle w:val="TableParagraph"/>
              <w:spacing w:before="11"/>
              <w:ind w:right="332"/>
              <w:jc w:val="right"/>
              <w:rPr>
                <w:sz w:val="20"/>
              </w:rPr>
            </w:pPr>
            <w:r>
              <w:rPr>
                <w:spacing w:val="-4"/>
                <w:sz w:val="20"/>
              </w:rPr>
              <w:t>16.2</w:t>
            </w:r>
          </w:p>
        </w:tc>
        <w:tc>
          <w:tcPr>
            <w:tcW w:w="1217" w:type="dxa"/>
            <w:tcBorders>
              <w:bottom w:val="single" w:sz="2" w:space="0" w:color="000000"/>
            </w:tcBorders>
          </w:tcPr>
          <w:p>
            <w:pPr>
              <w:pStyle w:val="TableParagraph"/>
              <w:spacing w:before="11"/>
              <w:ind w:right="352"/>
              <w:jc w:val="right"/>
              <w:rPr>
                <w:sz w:val="20"/>
              </w:rPr>
            </w:pPr>
            <w:r>
              <w:rPr>
                <w:spacing w:val="-5"/>
                <w:sz w:val="20"/>
              </w:rPr>
              <w:t>0.0</w:t>
            </w:r>
          </w:p>
        </w:tc>
        <w:tc>
          <w:tcPr>
            <w:tcW w:w="868" w:type="dxa"/>
            <w:tcBorders>
              <w:bottom w:val="single" w:sz="2" w:space="0" w:color="000000"/>
              <w:right w:val="single" w:sz="12" w:space="0" w:color="000000"/>
            </w:tcBorders>
          </w:tcPr>
          <w:p>
            <w:pPr>
              <w:pStyle w:val="TableParagraph"/>
              <w:spacing w:before="11"/>
              <w:ind w:right="82"/>
              <w:jc w:val="right"/>
              <w:rPr>
                <w:sz w:val="20"/>
              </w:rPr>
            </w:pPr>
            <w:r>
              <w:rPr>
                <w:spacing w:val="-5"/>
                <w:sz w:val="20"/>
              </w:rPr>
              <w:t>0.0</w:t>
            </w:r>
          </w:p>
        </w:tc>
      </w:tr>
      <w:tr>
        <w:trPr>
          <w:trHeight w:val="275" w:hRule="atLeast"/>
        </w:trPr>
        <w:tc>
          <w:tcPr>
            <w:tcW w:w="5522" w:type="dxa"/>
            <w:tcBorders>
              <w:top w:val="single" w:sz="2" w:space="0" w:color="000000"/>
              <w:left w:val="single" w:sz="12" w:space="0" w:color="000000"/>
              <w:bottom w:val="single" w:sz="12" w:space="0" w:color="000000"/>
            </w:tcBorders>
          </w:tcPr>
          <w:p>
            <w:pPr>
              <w:pStyle w:val="TableParagraph"/>
              <w:spacing w:line="210" w:lineRule="exact" w:before="45"/>
              <w:ind w:left="107"/>
              <w:rPr>
                <w:b/>
                <w:sz w:val="20"/>
              </w:rPr>
            </w:pPr>
            <w:r>
              <w:rPr>
                <w:b/>
                <w:sz w:val="20"/>
              </w:rPr>
              <w:t>Total</w:t>
            </w:r>
            <w:r>
              <w:rPr>
                <w:b/>
                <w:spacing w:val="-6"/>
                <w:sz w:val="20"/>
              </w:rPr>
              <w:t> </w:t>
            </w:r>
            <w:r>
              <w:rPr>
                <w:b/>
                <w:spacing w:val="-2"/>
                <w:sz w:val="20"/>
              </w:rPr>
              <w:t>staff</w:t>
            </w:r>
          </w:p>
        </w:tc>
        <w:tc>
          <w:tcPr>
            <w:tcW w:w="1452" w:type="dxa"/>
            <w:tcBorders>
              <w:top w:val="single" w:sz="2" w:space="0" w:color="000000"/>
              <w:bottom w:val="single" w:sz="12" w:space="0" w:color="000000"/>
            </w:tcBorders>
            <w:shd w:val="clear" w:color="auto" w:fill="DFEBF4"/>
          </w:tcPr>
          <w:p>
            <w:pPr>
              <w:pStyle w:val="TableParagraph"/>
              <w:spacing w:before="21"/>
              <w:ind w:right="93"/>
              <w:jc w:val="right"/>
              <w:rPr>
                <w:b/>
                <w:sz w:val="20"/>
              </w:rPr>
            </w:pPr>
            <w:r>
              <w:rPr>
                <w:b/>
                <w:spacing w:val="-2"/>
                <w:sz w:val="20"/>
              </w:rPr>
              <w:t>598.5</w:t>
            </w:r>
          </w:p>
        </w:tc>
        <w:tc>
          <w:tcPr>
            <w:tcW w:w="1691" w:type="dxa"/>
            <w:tcBorders>
              <w:top w:val="single" w:sz="2" w:space="0" w:color="000000"/>
              <w:bottom w:val="single" w:sz="12" w:space="0" w:color="000000"/>
            </w:tcBorders>
          </w:tcPr>
          <w:p>
            <w:pPr>
              <w:pStyle w:val="TableParagraph"/>
              <w:spacing w:before="21"/>
              <w:ind w:right="332"/>
              <w:jc w:val="right"/>
              <w:rPr>
                <w:b/>
                <w:sz w:val="20"/>
              </w:rPr>
            </w:pPr>
            <w:r>
              <w:rPr>
                <w:b/>
                <w:spacing w:val="-2"/>
                <w:sz w:val="20"/>
              </w:rPr>
              <w:t>351.9</w:t>
            </w:r>
          </w:p>
        </w:tc>
        <w:tc>
          <w:tcPr>
            <w:tcW w:w="1217" w:type="dxa"/>
            <w:tcBorders>
              <w:top w:val="single" w:sz="2" w:space="0" w:color="000000"/>
              <w:bottom w:val="single" w:sz="12" w:space="0" w:color="000000"/>
            </w:tcBorders>
          </w:tcPr>
          <w:p>
            <w:pPr>
              <w:pStyle w:val="TableParagraph"/>
              <w:spacing w:before="21"/>
              <w:ind w:right="351"/>
              <w:jc w:val="right"/>
              <w:rPr>
                <w:b/>
                <w:sz w:val="20"/>
              </w:rPr>
            </w:pPr>
            <w:r>
              <w:rPr>
                <w:b/>
                <w:spacing w:val="-2"/>
                <w:sz w:val="20"/>
              </w:rPr>
              <w:t>169.0</w:t>
            </w:r>
          </w:p>
        </w:tc>
        <w:tc>
          <w:tcPr>
            <w:tcW w:w="868" w:type="dxa"/>
            <w:tcBorders>
              <w:top w:val="single" w:sz="2" w:space="0" w:color="000000"/>
              <w:bottom w:val="single" w:sz="12" w:space="0" w:color="000000"/>
              <w:right w:val="single" w:sz="12" w:space="0" w:color="000000"/>
            </w:tcBorders>
          </w:tcPr>
          <w:p>
            <w:pPr>
              <w:pStyle w:val="TableParagraph"/>
              <w:spacing w:before="21"/>
              <w:ind w:right="81"/>
              <w:jc w:val="right"/>
              <w:rPr>
                <w:b/>
                <w:sz w:val="20"/>
              </w:rPr>
            </w:pPr>
            <w:r>
              <w:rPr>
                <w:b/>
                <w:spacing w:val="-4"/>
                <w:sz w:val="20"/>
              </w:rPr>
              <w:t>77.6</w:t>
            </w:r>
          </w:p>
        </w:tc>
      </w:tr>
    </w:tbl>
    <w:p>
      <w:pPr>
        <w:spacing w:after="0"/>
        <w:jc w:val="right"/>
        <w:rPr>
          <w:sz w:val="20"/>
        </w:rPr>
        <w:sectPr>
          <w:pgSz w:w="11910" w:h="16840"/>
          <w:pgMar w:header="0" w:footer="375" w:top="480" w:bottom="560" w:left="460" w:right="160"/>
        </w:sectPr>
      </w:pPr>
    </w:p>
    <w:p>
      <w:pPr>
        <w:pStyle w:val="Heading4"/>
        <w:spacing w:line="276" w:lineRule="exact" w:before="71"/>
        <w:ind w:left="391" w:firstLine="0"/>
      </w:pPr>
      <w:r>
        <w:rPr>
          <w:color w:val="4966AC"/>
        </w:rPr>
        <w:t>Statement</w:t>
      </w:r>
      <w:r>
        <w:rPr>
          <w:color w:val="4966AC"/>
          <w:spacing w:val="-4"/>
        </w:rPr>
        <w:t> </w:t>
      </w:r>
      <w:r>
        <w:rPr>
          <w:color w:val="4966AC"/>
        </w:rPr>
        <w:t>of</w:t>
      </w:r>
      <w:r>
        <w:rPr>
          <w:color w:val="4966AC"/>
          <w:spacing w:val="-2"/>
        </w:rPr>
        <w:t> </w:t>
      </w:r>
      <w:r>
        <w:rPr>
          <w:color w:val="4966AC"/>
        </w:rPr>
        <w:t>Planned</w:t>
      </w:r>
      <w:r>
        <w:rPr>
          <w:color w:val="4966AC"/>
          <w:spacing w:val="-2"/>
        </w:rPr>
        <w:t> </w:t>
      </w:r>
      <w:r>
        <w:rPr>
          <w:color w:val="4966AC"/>
        </w:rPr>
        <w:t>Human</w:t>
      </w:r>
      <w:r>
        <w:rPr>
          <w:color w:val="4966AC"/>
          <w:spacing w:val="2"/>
        </w:rPr>
        <w:t> </w:t>
      </w:r>
      <w:r>
        <w:rPr>
          <w:color w:val="4966AC"/>
        </w:rPr>
        <w:t>Resources</w:t>
      </w:r>
      <w:r>
        <w:rPr>
          <w:color w:val="4966AC"/>
          <w:spacing w:val="-1"/>
        </w:rPr>
        <w:t> </w:t>
      </w:r>
      <w:r>
        <w:rPr>
          <w:color w:val="4966AC"/>
          <w:spacing w:val="-2"/>
        </w:rPr>
        <w:t>Expenditure</w:t>
      </w:r>
    </w:p>
    <w:p>
      <w:pPr>
        <w:pStyle w:val="BodyText"/>
        <w:spacing w:line="253" w:lineRule="exact"/>
        <w:ind w:left="391"/>
      </w:pPr>
      <w:r>
        <w:rPr>
          <w:color w:val="4966AC"/>
        </w:rPr>
        <w:t>For</w:t>
      </w:r>
      <w:r>
        <w:rPr>
          <w:color w:val="4966AC"/>
          <w:spacing w:val="-3"/>
        </w:rPr>
        <w:t> </w:t>
      </w:r>
      <w:r>
        <w:rPr>
          <w:color w:val="4966AC"/>
        </w:rPr>
        <w:t>the</w:t>
      </w:r>
      <w:r>
        <w:rPr>
          <w:color w:val="4966AC"/>
          <w:spacing w:val="-3"/>
        </w:rPr>
        <w:t> </w:t>
      </w:r>
      <w:r>
        <w:rPr>
          <w:color w:val="4966AC"/>
        </w:rPr>
        <w:t>four</w:t>
      </w:r>
      <w:r>
        <w:rPr>
          <w:color w:val="4966AC"/>
          <w:spacing w:val="-2"/>
        </w:rPr>
        <w:t> </w:t>
      </w:r>
      <w:r>
        <w:rPr>
          <w:color w:val="4966AC"/>
        </w:rPr>
        <w:t>years</w:t>
      </w:r>
      <w:r>
        <w:rPr>
          <w:color w:val="4966AC"/>
          <w:spacing w:val="-2"/>
        </w:rPr>
        <w:t> </w:t>
      </w:r>
      <w:r>
        <w:rPr>
          <w:color w:val="4966AC"/>
        </w:rPr>
        <w:t>ending</w:t>
      </w:r>
      <w:r>
        <w:rPr>
          <w:color w:val="4966AC"/>
          <w:spacing w:val="-3"/>
        </w:rPr>
        <w:t> </w:t>
      </w:r>
      <w:r>
        <w:rPr>
          <w:color w:val="4966AC"/>
        </w:rPr>
        <w:t>30</w:t>
      </w:r>
      <w:r>
        <w:rPr>
          <w:color w:val="4966AC"/>
          <w:spacing w:val="-2"/>
        </w:rPr>
        <w:t> </w:t>
      </w:r>
      <w:r>
        <w:rPr>
          <w:color w:val="4966AC"/>
        </w:rPr>
        <w:t>June</w:t>
      </w:r>
      <w:r>
        <w:rPr>
          <w:color w:val="4966AC"/>
          <w:spacing w:val="-3"/>
        </w:rPr>
        <w:t> </w:t>
      </w:r>
      <w:r>
        <w:rPr>
          <w:color w:val="4966AC"/>
          <w:spacing w:val="-4"/>
        </w:rPr>
        <w:t>2029</w:t>
      </w:r>
    </w:p>
    <w:p>
      <w:pPr>
        <w:pStyle w:val="BodyText"/>
        <w:spacing w:before="9"/>
        <w:rPr>
          <w:sz w:val="21"/>
        </w:rPr>
      </w:pPr>
    </w:p>
    <w:tbl>
      <w:tblPr>
        <w:tblW w:w="0" w:type="auto"/>
        <w:jc w:val="left"/>
        <w:tblInd w:w="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26"/>
        <w:gridCol w:w="1239"/>
        <w:gridCol w:w="1228"/>
        <w:gridCol w:w="1371"/>
        <w:gridCol w:w="1233"/>
      </w:tblGrid>
      <w:tr>
        <w:trPr>
          <w:trHeight w:val="528" w:hRule="atLeast"/>
        </w:trPr>
        <w:tc>
          <w:tcPr>
            <w:tcW w:w="5426" w:type="dxa"/>
            <w:tcBorders>
              <w:top w:val="single" w:sz="18" w:space="0" w:color="000000"/>
              <w:left w:val="single" w:sz="12" w:space="0" w:color="000000"/>
            </w:tcBorders>
            <w:shd w:val="clear" w:color="auto" w:fill="629CD1"/>
          </w:tcPr>
          <w:p>
            <w:pPr>
              <w:pStyle w:val="TableParagraph"/>
              <w:spacing w:before="31"/>
              <w:ind w:left="1607"/>
              <w:rPr>
                <w:b/>
                <w:sz w:val="20"/>
              </w:rPr>
            </w:pPr>
            <w:r>
              <w:rPr>
                <w:b/>
                <w:color w:val="FFFFFF"/>
                <w:spacing w:val="-2"/>
                <w:sz w:val="20"/>
              </w:rPr>
              <w:t>Directorate</w:t>
            </w:r>
          </w:p>
        </w:tc>
        <w:tc>
          <w:tcPr>
            <w:tcW w:w="1239" w:type="dxa"/>
            <w:tcBorders>
              <w:top w:val="single" w:sz="18" w:space="0" w:color="000000"/>
            </w:tcBorders>
            <w:shd w:val="clear" w:color="auto" w:fill="629CD1"/>
          </w:tcPr>
          <w:p>
            <w:pPr>
              <w:pStyle w:val="TableParagraph"/>
              <w:spacing w:before="12"/>
              <w:ind w:left="229" w:right="260"/>
              <w:jc w:val="center"/>
              <w:rPr>
                <w:b/>
                <w:sz w:val="20"/>
              </w:rPr>
            </w:pPr>
            <w:r>
              <w:rPr>
                <w:b/>
                <w:color w:val="FFFFFF"/>
                <w:spacing w:val="-2"/>
                <w:sz w:val="20"/>
              </w:rPr>
              <w:t>2025/26</w:t>
            </w:r>
          </w:p>
          <w:p>
            <w:pPr>
              <w:pStyle w:val="TableParagraph"/>
              <w:spacing w:line="211" w:lineRule="exact" w:before="55"/>
              <w:ind w:left="229" w:right="260"/>
              <w:jc w:val="center"/>
              <w:rPr>
                <w:b/>
                <w:sz w:val="20"/>
              </w:rPr>
            </w:pPr>
            <w:r>
              <w:rPr>
                <w:b/>
                <w:color w:val="FFFFFF"/>
                <w:spacing w:val="-2"/>
                <w:sz w:val="20"/>
              </w:rPr>
              <w:t>$'000</w:t>
            </w:r>
          </w:p>
        </w:tc>
        <w:tc>
          <w:tcPr>
            <w:tcW w:w="1228" w:type="dxa"/>
            <w:tcBorders>
              <w:top w:val="single" w:sz="18" w:space="0" w:color="000000"/>
            </w:tcBorders>
            <w:shd w:val="clear" w:color="auto" w:fill="629CD1"/>
          </w:tcPr>
          <w:p>
            <w:pPr>
              <w:pStyle w:val="TableParagraph"/>
              <w:spacing w:before="12"/>
              <w:ind w:left="169" w:right="310"/>
              <w:jc w:val="center"/>
              <w:rPr>
                <w:b/>
                <w:sz w:val="20"/>
              </w:rPr>
            </w:pPr>
            <w:r>
              <w:rPr>
                <w:b/>
                <w:color w:val="FFFFFF"/>
                <w:spacing w:val="-2"/>
                <w:sz w:val="20"/>
              </w:rPr>
              <w:t>2026/27</w:t>
            </w:r>
          </w:p>
          <w:p>
            <w:pPr>
              <w:pStyle w:val="TableParagraph"/>
              <w:spacing w:line="211" w:lineRule="exact" w:before="55"/>
              <w:ind w:left="169" w:right="310"/>
              <w:jc w:val="center"/>
              <w:rPr>
                <w:b/>
                <w:sz w:val="20"/>
              </w:rPr>
            </w:pPr>
            <w:r>
              <w:rPr>
                <w:b/>
                <w:color w:val="FFFFFF"/>
                <w:spacing w:val="-2"/>
                <w:sz w:val="20"/>
              </w:rPr>
              <w:t>$'000</w:t>
            </w:r>
          </w:p>
        </w:tc>
        <w:tc>
          <w:tcPr>
            <w:tcW w:w="1371" w:type="dxa"/>
            <w:tcBorders>
              <w:top w:val="single" w:sz="18" w:space="0" w:color="000000"/>
            </w:tcBorders>
            <w:shd w:val="clear" w:color="auto" w:fill="629CD1"/>
          </w:tcPr>
          <w:p>
            <w:pPr>
              <w:pStyle w:val="TableParagraph"/>
              <w:spacing w:before="12"/>
              <w:ind w:left="222" w:right="399"/>
              <w:jc w:val="center"/>
              <w:rPr>
                <w:b/>
                <w:sz w:val="20"/>
              </w:rPr>
            </w:pPr>
            <w:r>
              <w:rPr>
                <w:b/>
                <w:color w:val="FFFFFF"/>
                <w:spacing w:val="-2"/>
                <w:sz w:val="20"/>
              </w:rPr>
              <w:t>2027/28</w:t>
            </w:r>
          </w:p>
          <w:p>
            <w:pPr>
              <w:pStyle w:val="TableParagraph"/>
              <w:spacing w:line="211" w:lineRule="exact" w:before="55"/>
              <w:ind w:left="222" w:right="399"/>
              <w:jc w:val="center"/>
              <w:rPr>
                <w:b/>
                <w:sz w:val="20"/>
              </w:rPr>
            </w:pPr>
            <w:r>
              <w:rPr>
                <w:b/>
                <w:color w:val="FFFFFF"/>
                <w:spacing w:val="-2"/>
                <w:sz w:val="20"/>
              </w:rPr>
              <w:t>$'000</w:t>
            </w:r>
          </w:p>
        </w:tc>
        <w:tc>
          <w:tcPr>
            <w:tcW w:w="1233" w:type="dxa"/>
            <w:tcBorders>
              <w:top w:val="single" w:sz="18" w:space="0" w:color="000000"/>
              <w:right w:val="single" w:sz="12" w:space="0" w:color="000000"/>
            </w:tcBorders>
            <w:shd w:val="clear" w:color="auto" w:fill="629CD1"/>
          </w:tcPr>
          <w:p>
            <w:pPr>
              <w:pStyle w:val="TableParagraph"/>
              <w:spacing w:before="12"/>
              <w:ind w:left="202" w:right="266"/>
              <w:jc w:val="center"/>
              <w:rPr>
                <w:b/>
                <w:sz w:val="20"/>
              </w:rPr>
            </w:pPr>
            <w:r>
              <w:rPr>
                <w:b/>
                <w:color w:val="FFFFFF"/>
                <w:spacing w:val="-2"/>
                <w:sz w:val="20"/>
              </w:rPr>
              <w:t>2028/29</w:t>
            </w:r>
          </w:p>
          <w:p>
            <w:pPr>
              <w:pStyle w:val="TableParagraph"/>
              <w:spacing w:line="211" w:lineRule="exact" w:before="55"/>
              <w:ind w:left="202" w:right="266"/>
              <w:jc w:val="center"/>
              <w:rPr>
                <w:b/>
                <w:sz w:val="20"/>
              </w:rPr>
            </w:pPr>
            <w:r>
              <w:rPr>
                <w:b/>
                <w:color w:val="FFFFFF"/>
                <w:spacing w:val="-2"/>
                <w:sz w:val="20"/>
              </w:rPr>
              <w:t>$'000</w:t>
            </w:r>
          </w:p>
        </w:tc>
      </w:tr>
      <w:tr>
        <w:trPr>
          <w:trHeight w:val="281" w:hRule="atLeast"/>
        </w:trPr>
        <w:tc>
          <w:tcPr>
            <w:tcW w:w="5426" w:type="dxa"/>
            <w:tcBorders>
              <w:left w:val="single" w:sz="12" w:space="0" w:color="000000"/>
            </w:tcBorders>
          </w:tcPr>
          <w:p>
            <w:pPr>
              <w:pStyle w:val="TableParagraph"/>
              <w:spacing w:line="223" w:lineRule="exact" w:before="38"/>
              <w:ind w:left="107"/>
              <w:rPr>
                <w:b/>
                <w:sz w:val="20"/>
              </w:rPr>
            </w:pPr>
            <w:r>
              <w:rPr>
                <w:b/>
                <w:sz w:val="20"/>
              </w:rPr>
              <w:t>Strategy</w:t>
            </w:r>
            <w:r>
              <w:rPr>
                <w:b/>
                <w:spacing w:val="-8"/>
                <w:sz w:val="20"/>
              </w:rPr>
              <w:t> </w:t>
            </w:r>
            <w:r>
              <w:rPr>
                <w:b/>
                <w:sz w:val="20"/>
              </w:rPr>
              <w:t>and</w:t>
            </w:r>
            <w:r>
              <w:rPr>
                <w:b/>
                <w:spacing w:val="-8"/>
                <w:sz w:val="20"/>
              </w:rPr>
              <w:t> </w:t>
            </w:r>
            <w:r>
              <w:rPr>
                <w:b/>
                <w:spacing w:val="-2"/>
                <w:sz w:val="20"/>
              </w:rPr>
              <w:t>Development</w:t>
            </w:r>
          </w:p>
        </w:tc>
        <w:tc>
          <w:tcPr>
            <w:tcW w:w="1239" w:type="dxa"/>
          </w:tcPr>
          <w:p>
            <w:pPr>
              <w:pStyle w:val="TableParagraph"/>
              <w:rPr>
                <w:rFonts w:ascii="Times New Roman"/>
                <w:sz w:val="18"/>
              </w:rPr>
            </w:pPr>
          </w:p>
        </w:tc>
        <w:tc>
          <w:tcPr>
            <w:tcW w:w="1228" w:type="dxa"/>
          </w:tcPr>
          <w:p>
            <w:pPr>
              <w:pStyle w:val="TableParagraph"/>
              <w:rPr>
                <w:rFonts w:ascii="Times New Roman"/>
                <w:sz w:val="18"/>
              </w:rPr>
            </w:pPr>
          </w:p>
        </w:tc>
        <w:tc>
          <w:tcPr>
            <w:tcW w:w="1371" w:type="dxa"/>
          </w:tcPr>
          <w:p>
            <w:pPr>
              <w:pStyle w:val="TableParagraph"/>
              <w:rPr>
                <w:rFonts w:ascii="Times New Roman"/>
                <w:sz w:val="18"/>
              </w:rPr>
            </w:pPr>
          </w:p>
        </w:tc>
        <w:tc>
          <w:tcPr>
            <w:tcW w:w="1233" w:type="dxa"/>
            <w:tcBorders>
              <w:right w:val="single" w:sz="12" w:space="0" w:color="000000"/>
            </w:tcBorders>
          </w:tcPr>
          <w:p>
            <w:pPr>
              <w:pStyle w:val="TableParagraph"/>
              <w:rPr>
                <w:rFonts w:ascii="Times New Roman"/>
                <w:sz w:val="18"/>
              </w:rPr>
            </w:pPr>
          </w:p>
        </w:tc>
      </w:tr>
      <w:tr>
        <w:trPr>
          <w:trHeight w:val="267" w:hRule="atLeast"/>
        </w:trPr>
        <w:tc>
          <w:tcPr>
            <w:tcW w:w="5426" w:type="dxa"/>
            <w:tcBorders>
              <w:left w:val="single" w:sz="12" w:space="0" w:color="000000"/>
            </w:tcBorders>
          </w:tcPr>
          <w:p>
            <w:pPr>
              <w:pStyle w:val="TableParagraph"/>
              <w:spacing w:line="222" w:lineRule="exact" w:before="25"/>
              <w:ind w:left="107"/>
              <w:rPr>
                <w:b/>
                <w:sz w:val="20"/>
              </w:rPr>
            </w:pPr>
            <w:r>
              <w:rPr>
                <w:b/>
                <w:sz w:val="20"/>
              </w:rPr>
              <w:t>Permanent</w:t>
            </w:r>
            <w:r>
              <w:rPr>
                <w:b/>
                <w:spacing w:val="-9"/>
                <w:sz w:val="20"/>
              </w:rPr>
              <w:t> </w:t>
            </w:r>
            <w:r>
              <w:rPr>
                <w:b/>
                <w:sz w:val="20"/>
              </w:rPr>
              <w:t>full</w:t>
            </w:r>
            <w:r>
              <w:rPr>
                <w:b/>
                <w:spacing w:val="-8"/>
                <w:sz w:val="20"/>
              </w:rPr>
              <w:t> </w:t>
            </w:r>
            <w:r>
              <w:rPr>
                <w:b/>
                <w:spacing w:val="-4"/>
                <w:sz w:val="20"/>
              </w:rPr>
              <w:t>time</w:t>
            </w:r>
          </w:p>
        </w:tc>
        <w:tc>
          <w:tcPr>
            <w:tcW w:w="1239" w:type="dxa"/>
          </w:tcPr>
          <w:p>
            <w:pPr>
              <w:pStyle w:val="TableParagraph"/>
              <w:spacing w:before="6"/>
              <w:ind w:right="151"/>
              <w:jc w:val="right"/>
              <w:rPr>
                <w:b/>
                <w:sz w:val="20"/>
              </w:rPr>
            </w:pPr>
            <w:r>
              <w:rPr>
                <w:b/>
                <w:spacing w:val="-2"/>
                <w:sz w:val="20"/>
              </w:rPr>
              <w:t>10,719</w:t>
            </w:r>
          </w:p>
        </w:tc>
        <w:tc>
          <w:tcPr>
            <w:tcW w:w="1228" w:type="dxa"/>
          </w:tcPr>
          <w:p>
            <w:pPr>
              <w:pStyle w:val="TableParagraph"/>
              <w:spacing w:before="6"/>
              <w:ind w:right="203"/>
              <w:jc w:val="right"/>
              <w:rPr>
                <w:b/>
                <w:sz w:val="20"/>
              </w:rPr>
            </w:pPr>
            <w:r>
              <w:rPr>
                <w:b/>
                <w:spacing w:val="-2"/>
                <w:sz w:val="20"/>
              </w:rPr>
              <w:t>10,863</w:t>
            </w:r>
          </w:p>
        </w:tc>
        <w:tc>
          <w:tcPr>
            <w:tcW w:w="1371" w:type="dxa"/>
          </w:tcPr>
          <w:p>
            <w:pPr>
              <w:pStyle w:val="TableParagraph"/>
              <w:spacing w:before="6"/>
              <w:ind w:right="191"/>
              <w:jc w:val="right"/>
              <w:rPr>
                <w:b/>
                <w:sz w:val="20"/>
              </w:rPr>
            </w:pPr>
            <w:r>
              <w:rPr>
                <w:b/>
                <w:spacing w:val="-2"/>
                <w:sz w:val="20"/>
              </w:rPr>
              <w:t>11,037</w:t>
            </w:r>
          </w:p>
        </w:tc>
        <w:tc>
          <w:tcPr>
            <w:tcW w:w="1233" w:type="dxa"/>
            <w:tcBorders>
              <w:right w:val="single" w:sz="12" w:space="0" w:color="000000"/>
            </w:tcBorders>
          </w:tcPr>
          <w:p>
            <w:pPr>
              <w:pStyle w:val="TableParagraph"/>
              <w:spacing w:before="6"/>
              <w:ind w:right="77"/>
              <w:jc w:val="right"/>
              <w:rPr>
                <w:b/>
                <w:sz w:val="20"/>
              </w:rPr>
            </w:pPr>
            <w:r>
              <w:rPr>
                <w:b/>
                <w:spacing w:val="-2"/>
                <w:sz w:val="20"/>
              </w:rPr>
              <w:t>11,250</w:t>
            </w:r>
          </w:p>
        </w:tc>
      </w:tr>
      <w:tr>
        <w:trPr>
          <w:trHeight w:val="267" w:hRule="atLeast"/>
        </w:trPr>
        <w:tc>
          <w:tcPr>
            <w:tcW w:w="5426" w:type="dxa"/>
            <w:tcBorders>
              <w:left w:val="single" w:sz="12" w:space="0" w:color="000000"/>
            </w:tcBorders>
          </w:tcPr>
          <w:p>
            <w:pPr>
              <w:pStyle w:val="TableParagraph"/>
              <w:spacing w:line="223" w:lineRule="exact" w:before="24"/>
              <w:ind w:left="107"/>
              <w:rPr>
                <w:sz w:val="20"/>
              </w:rPr>
            </w:pPr>
            <w:r>
              <w:rPr>
                <w:spacing w:val="-2"/>
                <w:sz w:val="20"/>
              </w:rPr>
              <w:t>Women</w:t>
            </w:r>
          </w:p>
        </w:tc>
        <w:tc>
          <w:tcPr>
            <w:tcW w:w="1239" w:type="dxa"/>
          </w:tcPr>
          <w:p>
            <w:pPr>
              <w:pStyle w:val="TableParagraph"/>
              <w:spacing w:before="5"/>
              <w:ind w:right="150"/>
              <w:jc w:val="right"/>
              <w:rPr>
                <w:sz w:val="20"/>
              </w:rPr>
            </w:pPr>
            <w:r>
              <w:rPr>
                <w:spacing w:val="-2"/>
                <w:sz w:val="20"/>
              </w:rPr>
              <w:t>4,259</w:t>
            </w:r>
          </w:p>
        </w:tc>
        <w:tc>
          <w:tcPr>
            <w:tcW w:w="1228" w:type="dxa"/>
          </w:tcPr>
          <w:p>
            <w:pPr>
              <w:pStyle w:val="TableParagraph"/>
              <w:spacing w:before="5"/>
              <w:ind w:right="202"/>
              <w:jc w:val="right"/>
              <w:rPr>
                <w:sz w:val="20"/>
              </w:rPr>
            </w:pPr>
            <w:r>
              <w:rPr>
                <w:spacing w:val="-2"/>
                <w:sz w:val="20"/>
              </w:rPr>
              <w:t>4,316</w:t>
            </w:r>
          </w:p>
        </w:tc>
        <w:tc>
          <w:tcPr>
            <w:tcW w:w="1371" w:type="dxa"/>
          </w:tcPr>
          <w:p>
            <w:pPr>
              <w:pStyle w:val="TableParagraph"/>
              <w:spacing w:before="5"/>
              <w:ind w:right="189"/>
              <w:jc w:val="right"/>
              <w:rPr>
                <w:sz w:val="20"/>
              </w:rPr>
            </w:pPr>
            <w:r>
              <w:rPr>
                <w:spacing w:val="-2"/>
                <w:sz w:val="20"/>
              </w:rPr>
              <w:t>4,386</w:t>
            </w:r>
          </w:p>
        </w:tc>
        <w:tc>
          <w:tcPr>
            <w:tcW w:w="1233" w:type="dxa"/>
            <w:tcBorders>
              <w:right w:val="single" w:sz="12" w:space="0" w:color="000000"/>
            </w:tcBorders>
          </w:tcPr>
          <w:p>
            <w:pPr>
              <w:pStyle w:val="TableParagraph"/>
              <w:spacing w:before="5"/>
              <w:ind w:right="75"/>
              <w:jc w:val="right"/>
              <w:rPr>
                <w:sz w:val="20"/>
              </w:rPr>
            </w:pPr>
            <w:r>
              <w:rPr>
                <w:spacing w:val="-2"/>
                <w:sz w:val="20"/>
              </w:rPr>
              <w:t>4,470</w:t>
            </w:r>
          </w:p>
        </w:tc>
      </w:tr>
      <w:tr>
        <w:trPr>
          <w:trHeight w:val="268" w:hRule="atLeast"/>
        </w:trPr>
        <w:tc>
          <w:tcPr>
            <w:tcW w:w="5426" w:type="dxa"/>
            <w:tcBorders>
              <w:left w:val="single" w:sz="12" w:space="0" w:color="000000"/>
            </w:tcBorders>
          </w:tcPr>
          <w:p>
            <w:pPr>
              <w:pStyle w:val="TableParagraph"/>
              <w:spacing w:line="223" w:lineRule="exact" w:before="25"/>
              <w:ind w:left="107"/>
              <w:rPr>
                <w:sz w:val="20"/>
              </w:rPr>
            </w:pPr>
            <w:r>
              <w:rPr>
                <w:spacing w:val="-5"/>
                <w:sz w:val="20"/>
              </w:rPr>
              <w:t>Men</w:t>
            </w:r>
          </w:p>
        </w:tc>
        <w:tc>
          <w:tcPr>
            <w:tcW w:w="1239" w:type="dxa"/>
          </w:tcPr>
          <w:p>
            <w:pPr>
              <w:pStyle w:val="TableParagraph"/>
              <w:spacing w:before="6"/>
              <w:ind w:right="150"/>
              <w:jc w:val="right"/>
              <w:rPr>
                <w:sz w:val="20"/>
              </w:rPr>
            </w:pPr>
            <w:r>
              <w:rPr>
                <w:spacing w:val="-2"/>
                <w:sz w:val="20"/>
              </w:rPr>
              <w:t>6,334</w:t>
            </w:r>
          </w:p>
        </w:tc>
        <w:tc>
          <w:tcPr>
            <w:tcW w:w="1228" w:type="dxa"/>
          </w:tcPr>
          <w:p>
            <w:pPr>
              <w:pStyle w:val="TableParagraph"/>
              <w:spacing w:before="6"/>
              <w:ind w:right="202"/>
              <w:jc w:val="right"/>
              <w:rPr>
                <w:sz w:val="20"/>
              </w:rPr>
            </w:pPr>
            <w:r>
              <w:rPr>
                <w:spacing w:val="-2"/>
                <w:sz w:val="20"/>
              </w:rPr>
              <w:t>6,419</w:t>
            </w:r>
          </w:p>
        </w:tc>
        <w:tc>
          <w:tcPr>
            <w:tcW w:w="1371" w:type="dxa"/>
          </w:tcPr>
          <w:p>
            <w:pPr>
              <w:pStyle w:val="TableParagraph"/>
              <w:spacing w:before="6"/>
              <w:ind w:right="189"/>
              <w:jc w:val="right"/>
              <w:rPr>
                <w:sz w:val="20"/>
              </w:rPr>
            </w:pPr>
            <w:r>
              <w:rPr>
                <w:spacing w:val="-2"/>
                <w:sz w:val="20"/>
              </w:rPr>
              <w:t>6,522</w:t>
            </w:r>
          </w:p>
        </w:tc>
        <w:tc>
          <w:tcPr>
            <w:tcW w:w="1233" w:type="dxa"/>
            <w:tcBorders>
              <w:right w:val="single" w:sz="12" w:space="0" w:color="000000"/>
            </w:tcBorders>
          </w:tcPr>
          <w:p>
            <w:pPr>
              <w:pStyle w:val="TableParagraph"/>
              <w:spacing w:before="6"/>
              <w:ind w:right="75"/>
              <w:jc w:val="right"/>
              <w:rPr>
                <w:sz w:val="20"/>
              </w:rPr>
            </w:pPr>
            <w:r>
              <w:rPr>
                <w:spacing w:val="-2"/>
                <w:sz w:val="20"/>
              </w:rPr>
              <w:t>6,648</w:t>
            </w:r>
          </w:p>
        </w:tc>
      </w:tr>
      <w:tr>
        <w:trPr>
          <w:trHeight w:val="267" w:hRule="atLeast"/>
        </w:trPr>
        <w:tc>
          <w:tcPr>
            <w:tcW w:w="5426" w:type="dxa"/>
            <w:tcBorders>
              <w:left w:val="single" w:sz="12" w:space="0" w:color="000000"/>
            </w:tcBorders>
          </w:tcPr>
          <w:p>
            <w:pPr>
              <w:pStyle w:val="TableParagraph"/>
              <w:spacing w:line="222" w:lineRule="exact" w:before="25"/>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39" w:type="dxa"/>
          </w:tcPr>
          <w:p>
            <w:pPr>
              <w:pStyle w:val="TableParagraph"/>
              <w:spacing w:before="6"/>
              <w:ind w:right="151"/>
              <w:jc w:val="right"/>
              <w:rPr>
                <w:sz w:val="20"/>
              </w:rPr>
            </w:pPr>
            <w:r>
              <w:rPr>
                <w:spacing w:val="-5"/>
                <w:sz w:val="20"/>
              </w:rPr>
              <w:t>126</w:t>
            </w:r>
          </w:p>
        </w:tc>
        <w:tc>
          <w:tcPr>
            <w:tcW w:w="1228" w:type="dxa"/>
          </w:tcPr>
          <w:p>
            <w:pPr>
              <w:pStyle w:val="TableParagraph"/>
              <w:spacing w:before="6"/>
              <w:ind w:right="203"/>
              <w:jc w:val="right"/>
              <w:rPr>
                <w:sz w:val="20"/>
              </w:rPr>
            </w:pPr>
            <w:r>
              <w:rPr>
                <w:spacing w:val="-5"/>
                <w:sz w:val="20"/>
              </w:rPr>
              <w:t>127</w:t>
            </w:r>
          </w:p>
        </w:tc>
        <w:tc>
          <w:tcPr>
            <w:tcW w:w="1371" w:type="dxa"/>
          </w:tcPr>
          <w:p>
            <w:pPr>
              <w:pStyle w:val="TableParagraph"/>
              <w:spacing w:before="6"/>
              <w:ind w:right="190"/>
              <w:jc w:val="right"/>
              <w:rPr>
                <w:sz w:val="20"/>
              </w:rPr>
            </w:pPr>
            <w:r>
              <w:rPr>
                <w:spacing w:val="-5"/>
                <w:sz w:val="20"/>
              </w:rPr>
              <w:t>129</w:t>
            </w:r>
          </w:p>
        </w:tc>
        <w:tc>
          <w:tcPr>
            <w:tcW w:w="1233" w:type="dxa"/>
            <w:tcBorders>
              <w:right w:val="single" w:sz="12" w:space="0" w:color="000000"/>
            </w:tcBorders>
          </w:tcPr>
          <w:p>
            <w:pPr>
              <w:pStyle w:val="TableParagraph"/>
              <w:spacing w:before="6"/>
              <w:ind w:right="76"/>
              <w:jc w:val="right"/>
              <w:rPr>
                <w:sz w:val="20"/>
              </w:rPr>
            </w:pPr>
            <w:r>
              <w:rPr>
                <w:spacing w:val="-5"/>
                <w:sz w:val="20"/>
              </w:rPr>
              <w:t>132</w:t>
            </w:r>
          </w:p>
        </w:tc>
      </w:tr>
      <w:tr>
        <w:trPr>
          <w:trHeight w:val="267" w:hRule="atLeast"/>
        </w:trPr>
        <w:tc>
          <w:tcPr>
            <w:tcW w:w="5426" w:type="dxa"/>
            <w:tcBorders>
              <w:left w:val="single" w:sz="12" w:space="0" w:color="000000"/>
            </w:tcBorders>
          </w:tcPr>
          <w:p>
            <w:pPr>
              <w:pStyle w:val="TableParagraph"/>
              <w:spacing w:line="223" w:lineRule="exact" w:before="24"/>
              <w:ind w:left="107"/>
              <w:rPr>
                <w:sz w:val="20"/>
              </w:rPr>
            </w:pPr>
            <w:r>
              <w:rPr>
                <w:sz w:val="20"/>
              </w:rPr>
              <w:t>Vacant</w:t>
            </w:r>
            <w:r>
              <w:rPr>
                <w:spacing w:val="-7"/>
                <w:sz w:val="20"/>
              </w:rPr>
              <w:t> </w:t>
            </w:r>
            <w:r>
              <w:rPr>
                <w:spacing w:val="-2"/>
                <w:sz w:val="20"/>
              </w:rPr>
              <w:t>Position</w:t>
            </w:r>
          </w:p>
        </w:tc>
        <w:tc>
          <w:tcPr>
            <w:tcW w:w="1239" w:type="dxa"/>
          </w:tcPr>
          <w:p>
            <w:pPr>
              <w:pStyle w:val="TableParagraph"/>
              <w:spacing w:before="5"/>
              <w:ind w:right="149"/>
              <w:jc w:val="right"/>
              <w:rPr>
                <w:sz w:val="20"/>
              </w:rPr>
            </w:pPr>
            <w:r>
              <w:rPr>
                <w:w w:val="99"/>
                <w:sz w:val="20"/>
              </w:rPr>
              <w:t>0</w:t>
            </w:r>
          </w:p>
        </w:tc>
        <w:tc>
          <w:tcPr>
            <w:tcW w:w="1228" w:type="dxa"/>
          </w:tcPr>
          <w:p>
            <w:pPr>
              <w:pStyle w:val="TableParagraph"/>
              <w:spacing w:before="5"/>
              <w:ind w:right="201"/>
              <w:jc w:val="right"/>
              <w:rPr>
                <w:sz w:val="20"/>
              </w:rPr>
            </w:pPr>
            <w:r>
              <w:rPr>
                <w:w w:val="99"/>
                <w:sz w:val="20"/>
              </w:rPr>
              <w:t>0</w:t>
            </w:r>
          </w:p>
        </w:tc>
        <w:tc>
          <w:tcPr>
            <w:tcW w:w="1371" w:type="dxa"/>
          </w:tcPr>
          <w:p>
            <w:pPr>
              <w:pStyle w:val="TableParagraph"/>
              <w:spacing w:before="5"/>
              <w:ind w:right="187"/>
              <w:jc w:val="right"/>
              <w:rPr>
                <w:sz w:val="20"/>
              </w:rPr>
            </w:pPr>
            <w:r>
              <w:rPr>
                <w:w w:val="99"/>
                <w:sz w:val="20"/>
              </w:rPr>
              <w:t>0</w:t>
            </w:r>
          </w:p>
        </w:tc>
        <w:tc>
          <w:tcPr>
            <w:tcW w:w="1233" w:type="dxa"/>
            <w:tcBorders>
              <w:right w:val="single" w:sz="12" w:space="0" w:color="000000"/>
            </w:tcBorders>
          </w:tcPr>
          <w:p>
            <w:pPr>
              <w:pStyle w:val="TableParagraph"/>
              <w:spacing w:before="5"/>
              <w:ind w:right="73"/>
              <w:jc w:val="right"/>
              <w:rPr>
                <w:sz w:val="20"/>
              </w:rPr>
            </w:pPr>
            <w:r>
              <w:rPr>
                <w:w w:val="99"/>
                <w:sz w:val="20"/>
              </w:rPr>
              <w:t>0</w:t>
            </w:r>
          </w:p>
        </w:tc>
      </w:tr>
      <w:tr>
        <w:trPr>
          <w:trHeight w:val="268" w:hRule="atLeast"/>
        </w:trPr>
        <w:tc>
          <w:tcPr>
            <w:tcW w:w="5426" w:type="dxa"/>
            <w:tcBorders>
              <w:left w:val="single" w:sz="12" w:space="0" w:color="000000"/>
            </w:tcBorders>
          </w:tcPr>
          <w:p>
            <w:pPr>
              <w:pStyle w:val="TableParagraph"/>
              <w:spacing w:line="223" w:lineRule="exact" w:before="25"/>
              <w:ind w:left="107"/>
              <w:rPr>
                <w:b/>
                <w:sz w:val="20"/>
              </w:rPr>
            </w:pPr>
            <w:r>
              <w:rPr>
                <w:b/>
                <w:sz w:val="20"/>
              </w:rPr>
              <w:t>Permanent</w:t>
            </w:r>
            <w:r>
              <w:rPr>
                <w:b/>
                <w:spacing w:val="-9"/>
                <w:sz w:val="20"/>
              </w:rPr>
              <w:t> </w:t>
            </w:r>
            <w:r>
              <w:rPr>
                <w:b/>
                <w:sz w:val="20"/>
              </w:rPr>
              <w:t>part</w:t>
            </w:r>
            <w:r>
              <w:rPr>
                <w:b/>
                <w:spacing w:val="-7"/>
                <w:sz w:val="20"/>
              </w:rPr>
              <w:t> </w:t>
            </w:r>
            <w:r>
              <w:rPr>
                <w:b/>
                <w:spacing w:val="-4"/>
                <w:sz w:val="20"/>
              </w:rPr>
              <w:t>time</w:t>
            </w:r>
          </w:p>
        </w:tc>
        <w:tc>
          <w:tcPr>
            <w:tcW w:w="1239" w:type="dxa"/>
          </w:tcPr>
          <w:p>
            <w:pPr>
              <w:pStyle w:val="TableParagraph"/>
              <w:spacing w:before="6"/>
              <w:ind w:right="150"/>
              <w:jc w:val="right"/>
              <w:rPr>
                <w:b/>
                <w:sz w:val="20"/>
              </w:rPr>
            </w:pPr>
            <w:r>
              <w:rPr>
                <w:b/>
                <w:spacing w:val="-2"/>
                <w:sz w:val="20"/>
              </w:rPr>
              <w:t>3,900</w:t>
            </w:r>
          </w:p>
        </w:tc>
        <w:tc>
          <w:tcPr>
            <w:tcW w:w="1228" w:type="dxa"/>
          </w:tcPr>
          <w:p>
            <w:pPr>
              <w:pStyle w:val="TableParagraph"/>
              <w:spacing w:before="6"/>
              <w:ind w:right="202"/>
              <w:jc w:val="right"/>
              <w:rPr>
                <w:b/>
                <w:sz w:val="20"/>
              </w:rPr>
            </w:pPr>
            <w:r>
              <w:rPr>
                <w:b/>
                <w:spacing w:val="-2"/>
                <w:sz w:val="20"/>
              </w:rPr>
              <w:t>3,952</w:t>
            </w:r>
          </w:p>
        </w:tc>
        <w:tc>
          <w:tcPr>
            <w:tcW w:w="1371" w:type="dxa"/>
          </w:tcPr>
          <w:p>
            <w:pPr>
              <w:pStyle w:val="TableParagraph"/>
              <w:spacing w:before="6"/>
              <w:ind w:right="189"/>
              <w:jc w:val="right"/>
              <w:rPr>
                <w:b/>
                <w:sz w:val="20"/>
              </w:rPr>
            </w:pPr>
            <w:r>
              <w:rPr>
                <w:b/>
                <w:spacing w:val="-2"/>
                <w:sz w:val="20"/>
              </w:rPr>
              <w:t>4,016</w:t>
            </w:r>
          </w:p>
        </w:tc>
        <w:tc>
          <w:tcPr>
            <w:tcW w:w="1233" w:type="dxa"/>
            <w:tcBorders>
              <w:right w:val="single" w:sz="12" w:space="0" w:color="000000"/>
            </w:tcBorders>
          </w:tcPr>
          <w:p>
            <w:pPr>
              <w:pStyle w:val="TableParagraph"/>
              <w:spacing w:before="6"/>
              <w:ind w:right="75"/>
              <w:jc w:val="right"/>
              <w:rPr>
                <w:b/>
                <w:sz w:val="20"/>
              </w:rPr>
            </w:pPr>
            <w:r>
              <w:rPr>
                <w:b/>
                <w:spacing w:val="-2"/>
                <w:sz w:val="20"/>
              </w:rPr>
              <w:t>4,093</w:t>
            </w:r>
          </w:p>
        </w:tc>
      </w:tr>
      <w:tr>
        <w:trPr>
          <w:trHeight w:val="267" w:hRule="atLeast"/>
        </w:trPr>
        <w:tc>
          <w:tcPr>
            <w:tcW w:w="5426" w:type="dxa"/>
            <w:tcBorders>
              <w:left w:val="single" w:sz="12" w:space="0" w:color="000000"/>
            </w:tcBorders>
          </w:tcPr>
          <w:p>
            <w:pPr>
              <w:pStyle w:val="TableParagraph"/>
              <w:spacing w:line="222" w:lineRule="exact" w:before="25"/>
              <w:ind w:left="107"/>
              <w:rPr>
                <w:sz w:val="20"/>
              </w:rPr>
            </w:pPr>
            <w:r>
              <w:rPr>
                <w:spacing w:val="-2"/>
                <w:sz w:val="20"/>
              </w:rPr>
              <w:t>Women</w:t>
            </w:r>
          </w:p>
        </w:tc>
        <w:tc>
          <w:tcPr>
            <w:tcW w:w="1239" w:type="dxa"/>
          </w:tcPr>
          <w:p>
            <w:pPr>
              <w:pStyle w:val="TableParagraph"/>
              <w:spacing w:before="6"/>
              <w:ind w:right="150"/>
              <w:jc w:val="right"/>
              <w:rPr>
                <w:sz w:val="20"/>
              </w:rPr>
            </w:pPr>
            <w:r>
              <w:rPr>
                <w:spacing w:val="-2"/>
                <w:sz w:val="20"/>
              </w:rPr>
              <w:t>3,022</w:t>
            </w:r>
          </w:p>
        </w:tc>
        <w:tc>
          <w:tcPr>
            <w:tcW w:w="1228" w:type="dxa"/>
          </w:tcPr>
          <w:p>
            <w:pPr>
              <w:pStyle w:val="TableParagraph"/>
              <w:spacing w:before="6"/>
              <w:ind w:right="202"/>
              <w:jc w:val="right"/>
              <w:rPr>
                <w:sz w:val="20"/>
              </w:rPr>
            </w:pPr>
            <w:r>
              <w:rPr>
                <w:spacing w:val="-2"/>
                <w:sz w:val="20"/>
              </w:rPr>
              <w:t>3,063</w:t>
            </w:r>
          </w:p>
        </w:tc>
        <w:tc>
          <w:tcPr>
            <w:tcW w:w="1371" w:type="dxa"/>
          </w:tcPr>
          <w:p>
            <w:pPr>
              <w:pStyle w:val="TableParagraph"/>
              <w:spacing w:before="6"/>
              <w:ind w:right="189"/>
              <w:jc w:val="right"/>
              <w:rPr>
                <w:sz w:val="20"/>
              </w:rPr>
            </w:pPr>
            <w:r>
              <w:rPr>
                <w:spacing w:val="-2"/>
                <w:sz w:val="20"/>
              </w:rPr>
              <w:t>3,112</w:t>
            </w:r>
          </w:p>
        </w:tc>
        <w:tc>
          <w:tcPr>
            <w:tcW w:w="1233" w:type="dxa"/>
            <w:tcBorders>
              <w:right w:val="single" w:sz="12" w:space="0" w:color="000000"/>
            </w:tcBorders>
          </w:tcPr>
          <w:p>
            <w:pPr>
              <w:pStyle w:val="TableParagraph"/>
              <w:spacing w:before="6"/>
              <w:ind w:right="75"/>
              <w:jc w:val="right"/>
              <w:rPr>
                <w:sz w:val="20"/>
              </w:rPr>
            </w:pPr>
            <w:r>
              <w:rPr>
                <w:spacing w:val="-2"/>
                <w:sz w:val="20"/>
              </w:rPr>
              <w:t>3,172</w:t>
            </w:r>
          </w:p>
        </w:tc>
      </w:tr>
      <w:tr>
        <w:trPr>
          <w:trHeight w:val="267" w:hRule="atLeast"/>
        </w:trPr>
        <w:tc>
          <w:tcPr>
            <w:tcW w:w="5426" w:type="dxa"/>
            <w:tcBorders>
              <w:left w:val="single" w:sz="12" w:space="0" w:color="000000"/>
            </w:tcBorders>
          </w:tcPr>
          <w:p>
            <w:pPr>
              <w:pStyle w:val="TableParagraph"/>
              <w:spacing w:line="223" w:lineRule="exact" w:before="24"/>
              <w:ind w:left="107"/>
              <w:rPr>
                <w:sz w:val="20"/>
              </w:rPr>
            </w:pPr>
            <w:r>
              <w:rPr>
                <w:spacing w:val="-5"/>
                <w:sz w:val="20"/>
              </w:rPr>
              <w:t>Men</w:t>
            </w:r>
          </w:p>
        </w:tc>
        <w:tc>
          <w:tcPr>
            <w:tcW w:w="1239" w:type="dxa"/>
          </w:tcPr>
          <w:p>
            <w:pPr>
              <w:pStyle w:val="TableParagraph"/>
              <w:spacing w:before="5"/>
              <w:ind w:right="151"/>
              <w:jc w:val="right"/>
              <w:rPr>
                <w:sz w:val="20"/>
              </w:rPr>
            </w:pPr>
            <w:r>
              <w:rPr>
                <w:spacing w:val="-5"/>
                <w:sz w:val="20"/>
              </w:rPr>
              <w:t>860</w:t>
            </w:r>
          </w:p>
        </w:tc>
        <w:tc>
          <w:tcPr>
            <w:tcW w:w="1228" w:type="dxa"/>
          </w:tcPr>
          <w:p>
            <w:pPr>
              <w:pStyle w:val="TableParagraph"/>
              <w:spacing w:before="5"/>
              <w:ind w:right="203"/>
              <w:jc w:val="right"/>
              <w:rPr>
                <w:sz w:val="20"/>
              </w:rPr>
            </w:pPr>
            <w:r>
              <w:rPr>
                <w:spacing w:val="-5"/>
                <w:sz w:val="20"/>
              </w:rPr>
              <w:t>871</w:t>
            </w:r>
          </w:p>
        </w:tc>
        <w:tc>
          <w:tcPr>
            <w:tcW w:w="1371" w:type="dxa"/>
          </w:tcPr>
          <w:p>
            <w:pPr>
              <w:pStyle w:val="TableParagraph"/>
              <w:spacing w:before="5"/>
              <w:ind w:right="190"/>
              <w:jc w:val="right"/>
              <w:rPr>
                <w:sz w:val="20"/>
              </w:rPr>
            </w:pPr>
            <w:r>
              <w:rPr>
                <w:spacing w:val="-5"/>
                <w:sz w:val="20"/>
              </w:rPr>
              <w:t>885</w:t>
            </w:r>
          </w:p>
        </w:tc>
        <w:tc>
          <w:tcPr>
            <w:tcW w:w="1233" w:type="dxa"/>
            <w:tcBorders>
              <w:right w:val="single" w:sz="12" w:space="0" w:color="000000"/>
            </w:tcBorders>
          </w:tcPr>
          <w:p>
            <w:pPr>
              <w:pStyle w:val="TableParagraph"/>
              <w:spacing w:before="5"/>
              <w:ind w:right="76"/>
              <w:jc w:val="right"/>
              <w:rPr>
                <w:sz w:val="20"/>
              </w:rPr>
            </w:pPr>
            <w:r>
              <w:rPr>
                <w:spacing w:val="-5"/>
                <w:sz w:val="20"/>
              </w:rPr>
              <w:t>902</w:t>
            </w:r>
          </w:p>
        </w:tc>
      </w:tr>
      <w:tr>
        <w:trPr>
          <w:trHeight w:val="268" w:hRule="atLeast"/>
        </w:trPr>
        <w:tc>
          <w:tcPr>
            <w:tcW w:w="5426" w:type="dxa"/>
            <w:tcBorders>
              <w:left w:val="single" w:sz="12" w:space="0" w:color="000000"/>
            </w:tcBorders>
          </w:tcPr>
          <w:p>
            <w:pPr>
              <w:pStyle w:val="TableParagraph"/>
              <w:spacing w:line="223" w:lineRule="exact" w:before="25"/>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39" w:type="dxa"/>
          </w:tcPr>
          <w:p>
            <w:pPr>
              <w:pStyle w:val="TableParagraph"/>
              <w:spacing w:before="6"/>
              <w:ind w:right="149"/>
              <w:jc w:val="right"/>
              <w:rPr>
                <w:sz w:val="20"/>
              </w:rPr>
            </w:pPr>
            <w:r>
              <w:rPr>
                <w:w w:val="99"/>
                <w:sz w:val="20"/>
              </w:rPr>
              <w:t>0</w:t>
            </w:r>
          </w:p>
        </w:tc>
        <w:tc>
          <w:tcPr>
            <w:tcW w:w="1228" w:type="dxa"/>
          </w:tcPr>
          <w:p>
            <w:pPr>
              <w:pStyle w:val="TableParagraph"/>
              <w:spacing w:before="6"/>
              <w:ind w:right="201"/>
              <w:jc w:val="right"/>
              <w:rPr>
                <w:sz w:val="20"/>
              </w:rPr>
            </w:pPr>
            <w:r>
              <w:rPr>
                <w:w w:val="99"/>
                <w:sz w:val="20"/>
              </w:rPr>
              <w:t>0</w:t>
            </w:r>
          </w:p>
        </w:tc>
        <w:tc>
          <w:tcPr>
            <w:tcW w:w="1371" w:type="dxa"/>
          </w:tcPr>
          <w:p>
            <w:pPr>
              <w:pStyle w:val="TableParagraph"/>
              <w:spacing w:before="6"/>
              <w:ind w:right="187"/>
              <w:jc w:val="right"/>
              <w:rPr>
                <w:sz w:val="20"/>
              </w:rPr>
            </w:pPr>
            <w:r>
              <w:rPr>
                <w:w w:val="99"/>
                <w:sz w:val="20"/>
              </w:rPr>
              <w:t>0</w:t>
            </w:r>
          </w:p>
        </w:tc>
        <w:tc>
          <w:tcPr>
            <w:tcW w:w="1233" w:type="dxa"/>
            <w:tcBorders>
              <w:right w:val="single" w:sz="12" w:space="0" w:color="000000"/>
            </w:tcBorders>
          </w:tcPr>
          <w:p>
            <w:pPr>
              <w:pStyle w:val="TableParagraph"/>
              <w:spacing w:before="6"/>
              <w:ind w:right="73"/>
              <w:jc w:val="right"/>
              <w:rPr>
                <w:sz w:val="20"/>
              </w:rPr>
            </w:pPr>
            <w:r>
              <w:rPr>
                <w:w w:val="99"/>
                <w:sz w:val="20"/>
              </w:rPr>
              <w:t>0</w:t>
            </w:r>
          </w:p>
        </w:tc>
      </w:tr>
      <w:tr>
        <w:trPr>
          <w:trHeight w:val="256" w:hRule="atLeast"/>
        </w:trPr>
        <w:tc>
          <w:tcPr>
            <w:tcW w:w="5426" w:type="dxa"/>
            <w:tcBorders>
              <w:left w:val="single" w:sz="12" w:space="0" w:color="000000"/>
            </w:tcBorders>
          </w:tcPr>
          <w:p>
            <w:pPr>
              <w:pStyle w:val="TableParagraph"/>
              <w:spacing w:line="211" w:lineRule="exact" w:before="25"/>
              <w:ind w:left="107"/>
              <w:rPr>
                <w:sz w:val="20"/>
              </w:rPr>
            </w:pPr>
            <w:r>
              <w:rPr>
                <w:sz w:val="20"/>
              </w:rPr>
              <w:t>Vacant</w:t>
            </w:r>
            <w:r>
              <w:rPr>
                <w:spacing w:val="-7"/>
                <w:sz w:val="20"/>
              </w:rPr>
              <w:t> </w:t>
            </w:r>
            <w:r>
              <w:rPr>
                <w:spacing w:val="-2"/>
                <w:sz w:val="20"/>
              </w:rPr>
              <w:t>Position</w:t>
            </w:r>
          </w:p>
        </w:tc>
        <w:tc>
          <w:tcPr>
            <w:tcW w:w="1239" w:type="dxa"/>
            <w:tcBorders>
              <w:bottom w:val="single" w:sz="4" w:space="0" w:color="000000"/>
            </w:tcBorders>
          </w:tcPr>
          <w:p>
            <w:pPr>
              <w:pStyle w:val="TableParagraph"/>
              <w:spacing w:before="6"/>
              <w:ind w:right="152"/>
              <w:jc w:val="right"/>
              <w:rPr>
                <w:sz w:val="20"/>
              </w:rPr>
            </w:pPr>
            <w:r>
              <w:rPr>
                <w:spacing w:val="-5"/>
                <w:sz w:val="20"/>
              </w:rPr>
              <w:t>18</w:t>
            </w:r>
          </w:p>
        </w:tc>
        <w:tc>
          <w:tcPr>
            <w:tcW w:w="1228" w:type="dxa"/>
            <w:tcBorders>
              <w:bottom w:val="single" w:sz="4" w:space="0" w:color="000000"/>
            </w:tcBorders>
          </w:tcPr>
          <w:p>
            <w:pPr>
              <w:pStyle w:val="TableParagraph"/>
              <w:spacing w:before="6"/>
              <w:ind w:right="204"/>
              <w:jc w:val="right"/>
              <w:rPr>
                <w:sz w:val="20"/>
              </w:rPr>
            </w:pPr>
            <w:r>
              <w:rPr>
                <w:spacing w:val="-5"/>
                <w:sz w:val="20"/>
              </w:rPr>
              <w:t>18</w:t>
            </w:r>
          </w:p>
        </w:tc>
        <w:tc>
          <w:tcPr>
            <w:tcW w:w="1371" w:type="dxa"/>
            <w:tcBorders>
              <w:bottom w:val="single" w:sz="4" w:space="0" w:color="000000"/>
            </w:tcBorders>
          </w:tcPr>
          <w:p>
            <w:pPr>
              <w:pStyle w:val="TableParagraph"/>
              <w:spacing w:before="6"/>
              <w:ind w:right="190"/>
              <w:jc w:val="right"/>
              <w:rPr>
                <w:sz w:val="20"/>
              </w:rPr>
            </w:pPr>
            <w:r>
              <w:rPr>
                <w:spacing w:val="-5"/>
                <w:sz w:val="20"/>
              </w:rPr>
              <w:t>18</w:t>
            </w:r>
          </w:p>
        </w:tc>
        <w:tc>
          <w:tcPr>
            <w:tcW w:w="1233" w:type="dxa"/>
            <w:tcBorders>
              <w:bottom w:val="single" w:sz="4" w:space="0" w:color="000000"/>
              <w:right w:val="single" w:sz="12" w:space="0" w:color="000000"/>
            </w:tcBorders>
          </w:tcPr>
          <w:p>
            <w:pPr>
              <w:pStyle w:val="TableParagraph"/>
              <w:spacing w:before="6"/>
              <w:ind w:right="76"/>
              <w:jc w:val="right"/>
              <w:rPr>
                <w:sz w:val="20"/>
              </w:rPr>
            </w:pPr>
            <w:r>
              <w:rPr>
                <w:spacing w:val="-5"/>
                <w:sz w:val="20"/>
              </w:rPr>
              <w:t>19</w:t>
            </w:r>
          </w:p>
        </w:tc>
      </w:tr>
      <w:tr>
        <w:trPr>
          <w:trHeight w:val="265" w:hRule="atLeast"/>
        </w:trPr>
        <w:tc>
          <w:tcPr>
            <w:tcW w:w="5426" w:type="dxa"/>
            <w:tcBorders>
              <w:left w:val="single" w:sz="12" w:space="0" w:color="000000"/>
            </w:tcBorders>
          </w:tcPr>
          <w:p>
            <w:pPr>
              <w:pStyle w:val="TableParagraph"/>
              <w:spacing w:line="211" w:lineRule="exact" w:before="35"/>
              <w:ind w:left="107"/>
              <w:rPr>
                <w:b/>
                <w:sz w:val="20"/>
              </w:rPr>
            </w:pPr>
            <w:r>
              <w:rPr>
                <w:b/>
                <w:sz w:val="20"/>
              </w:rPr>
              <w:t>Total</w:t>
            </w:r>
            <w:r>
              <w:rPr>
                <w:b/>
                <w:spacing w:val="-7"/>
                <w:sz w:val="20"/>
              </w:rPr>
              <w:t> </w:t>
            </w:r>
            <w:r>
              <w:rPr>
                <w:b/>
                <w:sz w:val="20"/>
              </w:rPr>
              <w:t>Strategy</w:t>
            </w:r>
            <w:r>
              <w:rPr>
                <w:b/>
                <w:spacing w:val="-7"/>
                <w:sz w:val="20"/>
              </w:rPr>
              <w:t> </w:t>
            </w:r>
            <w:r>
              <w:rPr>
                <w:b/>
                <w:sz w:val="20"/>
              </w:rPr>
              <w:t>and</w:t>
            </w:r>
            <w:r>
              <w:rPr>
                <w:b/>
                <w:spacing w:val="-7"/>
                <w:sz w:val="20"/>
              </w:rPr>
              <w:t> </w:t>
            </w:r>
            <w:r>
              <w:rPr>
                <w:b/>
                <w:spacing w:val="-2"/>
                <w:sz w:val="20"/>
              </w:rPr>
              <w:t>Development</w:t>
            </w:r>
          </w:p>
        </w:tc>
        <w:tc>
          <w:tcPr>
            <w:tcW w:w="1239" w:type="dxa"/>
            <w:tcBorders>
              <w:top w:val="single" w:sz="4" w:space="0" w:color="000000"/>
              <w:bottom w:val="single" w:sz="4" w:space="0" w:color="000000"/>
            </w:tcBorders>
          </w:tcPr>
          <w:p>
            <w:pPr>
              <w:pStyle w:val="TableParagraph"/>
              <w:spacing w:line="227" w:lineRule="exact" w:before="18"/>
              <w:ind w:right="151"/>
              <w:jc w:val="right"/>
              <w:rPr>
                <w:b/>
                <w:sz w:val="20"/>
              </w:rPr>
            </w:pPr>
            <w:r>
              <w:rPr>
                <w:b/>
                <w:spacing w:val="-2"/>
                <w:sz w:val="20"/>
              </w:rPr>
              <w:t>14,619</w:t>
            </w:r>
          </w:p>
        </w:tc>
        <w:tc>
          <w:tcPr>
            <w:tcW w:w="1228" w:type="dxa"/>
            <w:tcBorders>
              <w:top w:val="single" w:sz="4" w:space="0" w:color="000000"/>
              <w:bottom w:val="single" w:sz="4" w:space="0" w:color="000000"/>
            </w:tcBorders>
          </w:tcPr>
          <w:p>
            <w:pPr>
              <w:pStyle w:val="TableParagraph"/>
              <w:spacing w:line="227" w:lineRule="exact" w:before="18"/>
              <w:ind w:right="203"/>
              <w:jc w:val="right"/>
              <w:rPr>
                <w:b/>
                <w:sz w:val="20"/>
              </w:rPr>
            </w:pPr>
            <w:r>
              <w:rPr>
                <w:b/>
                <w:spacing w:val="-2"/>
                <w:sz w:val="20"/>
              </w:rPr>
              <w:t>14,815</w:t>
            </w:r>
          </w:p>
        </w:tc>
        <w:tc>
          <w:tcPr>
            <w:tcW w:w="1371" w:type="dxa"/>
            <w:tcBorders>
              <w:top w:val="single" w:sz="4" w:space="0" w:color="000000"/>
              <w:bottom w:val="single" w:sz="4" w:space="0" w:color="000000"/>
            </w:tcBorders>
          </w:tcPr>
          <w:p>
            <w:pPr>
              <w:pStyle w:val="TableParagraph"/>
              <w:spacing w:line="227" w:lineRule="exact" w:before="18"/>
              <w:ind w:right="191"/>
              <w:jc w:val="right"/>
              <w:rPr>
                <w:b/>
                <w:sz w:val="20"/>
              </w:rPr>
            </w:pPr>
            <w:r>
              <w:rPr>
                <w:b/>
                <w:spacing w:val="-2"/>
                <w:sz w:val="20"/>
              </w:rPr>
              <w:t>15,053</w:t>
            </w:r>
          </w:p>
        </w:tc>
        <w:tc>
          <w:tcPr>
            <w:tcW w:w="1233" w:type="dxa"/>
            <w:tcBorders>
              <w:top w:val="single" w:sz="4" w:space="0" w:color="000000"/>
              <w:bottom w:val="single" w:sz="4" w:space="0" w:color="000000"/>
              <w:right w:val="single" w:sz="12" w:space="0" w:color="000000"/>
            </w:tcBorders>
          </w:tcPr>
          <w:p>
            <w:pPr>
              <w:pStyle w:val="TableParagraph"/>
              <w:spacing w:line="227" w:lineRule="exact" w:before="18"/>
              <w:ind w:right="77"/>
              <w:jc w:val="right"/>
              <w:rPr>
                <w:b/>
                <w:sz w:val="20"/>
              </w:rPr>
            </w:pPr>
            <w:r>
              <w:rPr>
                <w:b/>
                <w:spacing w:val="-2"/>
                <w:sz w:val="20"/>
              </w:rPr>
              <w:t>15,343</w:t>
            </w:r>
          </w:p>
        </w:tc>
      </w:tr>
      <w:tr>
        <w:trPr>
          <w:trHeight w:val="281" w:hRule="atLeast"/>
        </w:trPr>
        <w:tc>
          <w:tcPr>
            <w:tcW w:w="5426" w:type="dxa"/>
            <w:tcBorders>
              <w:left w:val="single" w:sz="12" w:space="0" w:color="000000"/>
            </w:tcBorders>
          </w:tcPr>
          <w:p>
            <w:pPr>
              <w:pStyle w:val="TableParagraph"/>
              <w:spacing w:line="223" w:lineRule="exact" w:before="38"/>
              <w:ind w:left="107"/>
              <w:rPr>
                <w:b/>
                <w:sz w:val="20"/>
              </w:rPr>
            </w:pPr>
            <w:r>
              <w:rPr>
                <w:b/>
                <w:sz w:val="20"/>
              </w:rPr>
              <w:t>People</w:t>
            </w:r>
            <w:r>
              <w:rPr>
                <w:b/>
                <w:spacing w:val="-6"/>
                <w:sz w:val="20"/>
              </w:rPr>
              <w:t> </w:t>
            </w:r>
            <w:r>
              <w:rPr>
                <w:b/>
                <w:sz w:val="20"/>
              </w:rPr>
              <w:t>and</w:t>
            </w:r>
            <w:r>
              <w:rPr>
                <w:b/>
                <w:spacing w:val="-6"/>
                <w:sz w:val="20"/>
              </w:rPr>
              <w:t> </w:t>
            </w:r>
            <w:r>
              <w:rPr>
                <w:b/>
                <w:spacing w:val="-2"/>
                <w:sz w:val="20"/>
              </w:rPr>
              <w:t>Places</w:t>
            </w:r>
          </w:p>
        </w:tc>
        <w:tc>
          <w:tcPr>
            <w:tcW w:w="1239" w:type="dxa"/>
            <w:tcBorders>
              <w:top w:val="single" w:sz="4" w:space="0" w:color="000000"/>
            </w:tcBorders>
          </w:tcPr>
          <w:p>
            <w:pPr>
              <w:pStyle w:val="TableParagraph"/>
              <w:rPr>
                <w:rFonts w:ascii="Times New Roman"/>
                <w:sz w:val="18"/>
              </w:rPr>
            </w:pPr>
          </w:p>
        </w:tc>
        <w:tc>
          <w:tcPr>
            <w:tcW w:w="1228" w:type="dxa"/>
            <w:tcBorders>
              <w:top w:val="single" w:sz="4" w:space="0" w:color="000000"/>
            </w:tcBorders>
          </w:tcPr>
          <w:p>
            <w:pPr>
              <w:pStyle w:val="TableParagraph"/>
              <w:rPr>
                <w:rFonts w:ascii="Times New Roman"/>
                <w:sz w:val="18"/>
              </w:rPr>
            </w:pPr>
          </w:p>
        </w:tc>
        <w:tc>
          <w:tcPr>
            <w:tcW w:w="1371" w:type="dxa"/>
            <w:tcBorders>
              <w:top w:val="single" w:sz="4" w:space="0" w:color="000000"/>
            </w:tcBorders>
          </w:tcPr>
          <w:p>
            <w:pPr>
              <w:pStyle w:val="TableParagraph"/>
              <w:rPr>
                <w:rFonts w:ascii="Times New Roman"/>
                <w:sz w:val="18"/>
              </w:rPr>
            </w:pPr>
          </w:p>
        </w:tc>
        <w:tc>
          <w:tcPr>
            <w:tcW w:w="1233" w:type="dxa"/>
            <w:tcBorders>
              <w:top w:val="single" w:sz="4" w:space="0" w:color="000000"/>
              <w:right w:val="single" w:sz="12" w:space="0" w:color="000000"/>
            </w:tcBorders>
          </w:tcPr>
          <w:p>
            <w:pPr>
              <w:pStyle w:val="TableParagraph"/>
              <w:rPr>
                <w:rFonts w:ascii="Times New Roman"/>
                <w:sz w:val="18"/>
              </w:rPr>
            </w:pPr>
          </w:p>
        </w:tc>
      </w:tr>
      <w:tr>
        <w:trPr>
          <w:trHeight w:val="268" w:hRule="atLeast"/>
        </w:trPr>
        <w:tc>
          <w:tcPr>
            <w:tcW w:w="5426" w:type="dxa"/>
            <w:tcBorders>
              <w:left w:val="single" w:sz="12" w:space="0" w:color="000000"/>
            </w:tcBorders>
          </w:tcPr>
          <w:p>
            <w:pPr>
              <w:pStyle w:val="TableParagraph"/>
              <w:spacing w:line="223" w:lineRule="exact" w:before="25"/>
              <w:ind w:left="107"/>
              <w:rPr>
                <w:b/>
                <w:sz w:val="20"/>
              </w:rPr>
            </w:pPr>
            <w:r>
              <w:rPr>
                <w:b/>
                <w:sz w:val="20"/>
              </w:rPr>
              <w:t>Permanent</w:t>
            </w:r>
            <w:r>
              <w:rPr>
                <w:b/>
                <w:spacing w:val="-9"/>
                <w:sz w:val="20"/>
              </w:rPr>
              <w:t> </w:t>
            </w:r>
            <w:r>
              <w:rPr>
                <w:b/>
                <w:sz w:val="20"/>
              </w:rPr>
              <w:t>full</w:t>
            </w:r>
            <w:r>
              <w:rPr>
                <w:b/>
                <w:spacing w:val="-8"/>
                <w:sz w:val="20"/>
              </w:rPr>
              <w:t> </w:t>
            </w:r>
            <w:r>
              <w:rPr>
                <w:b/>
                <w:spacing w:val="-4"/>
                <w:sz w:val="20"/>
              </w:rPr>
              <w:t>time</w:t>
            </w:r>
          </w:p>
        </w:tc>
        <w:tc>
          <w:tcPr>
            <w:tcW w:w="1239" w:type="dxa"/>
          </w:tcPr>
          <w:p>
            <w:pPr>
              <w:pStyle w:val="TableParagraph"/>
              <w:spacing w:before="6"/>
              <w:ind w:right="150"/>
              <w:jc w:val="right"/>
              <w:rPr>
                <w:b/>
                <w:sz w:val="20"/>
              </w:rPr>
            </w:pPr>
            <w:r>
              <w:rPr>
                <w:b/>
                <w:spacing w:val="-2"/>
                <w:sz w:val="20"/>
              </w:rPr>
              <w:t>8,473</w:t>
            </w:r>
          </w:p>
        </w:tc>
        <w:tc>
          <w:tcPr>
            <w:tcW w:w="1228" w:type="dxa"/>
          </w:tcPr>
          <w:p>
            <w:pPr>
              <w:pStyle w:val="TableParagraph"/>
              <w:spacing w:before="6"/>
              <w:ind w:right="202"/>
              <w:jc w:val="right"/>
              <w:rPr>
                <w:b/>
                <w:sz w:val="20"/>
              </w:rPr>
            </w:pPr>
            <w:r>
              <w:rPr>
                <w:b/>
                <w:spacing w:val="-2"/>
                <w:sz w:val="20"/>
              </w:rPr>
              <w:t>8,587</w:t>
            </w:r>
          </w:p>
        </w:tc>
        <w:tc>
          <w:tcPr>
            <w:tcW w:w="1371" w:type="dxa"/>
          </w:tcPr>
          <w:p>
            <w:pPr>
              <w:pStyle w:val="TableParagraph"/>
              <w:spacing w:before="6"/>
              <w:ind w:right="189"/>
              <w:jc w:val="right"/>
              <w:rPr>
                <w:b/>
                <w:sz w:val="20"/>
              </w:rPr>
            </w:pPr>
            <w:r>
              <w:rPr>
                <w:b/>
                <w:spacing w:val="-2"/>
                <w:sz w:val="20"/>
              </w:rPr>
              <w:t>8,725</w:t>
            </w:r>
          </w:p>
        </w:tc>
        <w:tc>
          <w:tcPr>
            <w:tcW w:w="1233" w:type="dxa"/>
            <w:tcBorders>
              <w:right w:val="single" w:sz="12" w:space="0" w:color="000000"/>
            </w:tcBorders>
          </w:tcPr>
          <w:p>
            <w:pPr>
              <w:pStyle w:val="TableParagraph"/>
              <w:spacing w:before="6"/>
              <w:ind w:right="75"/>
              <w:jc w:val="right"/>
              <w:rPr>
                <w:b/>
                <w:sz w:val="20"/>
              </w:rPr>
            </w:pPr>
            <w:r>
              <w:rPr>
                <w:b/>
                <w:spacing w:val="-2"/>
                <w:sz w:val="20"/>
              </w:rPr>
              <w:t>8,893</w:t>
            </w:r>
          </w:p>
        </w:tc>
      </w:tr>
      <w:tr>
        <w:trPr>
          <w:trHeight w:val="267" w:hRule="atLeast"/>
        </w:trPr>
        <w:tc>
          <w:tcPr>
            <w:tcW w:w="5426" w:type="dxa"/>
            <w:tcBorders>
              <w:left w:val="single" w:sz="12" w:space="0" w:color="000000"/>
            </w:tcBorders>
          </w:tcPr>
          <w:p>
            <w:pPr>
              <w:pStyle w:val="TableParagraph"/>
              <w:spacing w:line="222" w:lineRule="exact" w:before="25"/>
              <w:ind w:left="107"/>
              <w:rPr>
                <w:sz w:val="20"/>
              </w:rPr>
            </w:pPr>
            <w:r>
              <w:rPr>
                <w:spacing w:val="-2"/>
                <w:sz w:val="20"/>
              </w:rPr>
              <w:t>Women</w:t>
            </w:r>
          </w:p>
        </w:tc>
        <w:tc>
          <w:tcPr>
            <w:tcW w:w="1239" w:type="dxa"/>
          </w:tcPr>
          <w:p>
            <w:pPr>
              <w:pStyle w:val="TableParagraph"/>
              <w:spacing w:before="6"/>
              <w:ind w:right="150"/>
              <w:jc w:val="right"/>
              <w:rPr>
                <w:sz w:val="20"/>
              </w:rPr>
            </w:pPr>
            <w:r>
              <w:rPr>
                <w:spacing w:val="-2"/>
                <w:sz w:val="20"/>
              </w:rPr>
              <w:t>6,542</w:t>
            </w:r>
          </w:p>
        </w:tc>
        <w:tc>
          <w:tcPr>
            <w:tcW w:w="1228" w:type="dxa"/>
          </w:tcPr>
          <w:p>
            <w:pPr>
              <w:pStyle w:val="TableParagraph"/>
              <w:spacing w:before="6"/>
              <w:ind w:right="202"/>
              <w:jc w:val="right"/>
              <w:rPr>
                <w:sz w:val="20"/>
              </w:rPr>
            </w:pPr>
            <w:r>
              <w:rPr>
                <w:spacing w:val="-2"/>
                <w:sz w:val="20"/>
              </w:rPr>
              <w:t>6,630</w:t>
            </w:r>
          </w:p>
        </w:tc>
        <w:tc>
          <w:tcPr>
            <w:tcW w:w="1371" w:type="dxa"/>
          </w:tcPr>
          <w:p>
            <w:pPr>
              <w:pStyle w:val="TableParagraph"/>
              <w:spacing w:before="6"/>
              <w:ind w:right="189"/>
              <w:jc w:val="right"/>
              <w:rPr>
                <w:sz w:val="20"/>
              </w:rPr>
            </w:pPr>
            <w:r>
              <w:rPr>
                <w:spacing w:val="-2"/>
                <w:sz w:val="20"/>
              </w:rPr>
              <w:t>6,736</w:t>
            </w:r>
          </w:p>
        </w:tc>
        <w:tc>
          <w:tcPr>
            <w:tcW w:w="1233" w:type="dxa"/>
            <w:tcBorders>
              <w:right w:val="single" w:sz="12" w:space="0" w:color="000000"/>
            </w:tcBorders>
          </w:tcPr>
          <w:p>
            <w:pPr>
              <w:pStyle w:val="TableParagraph"/>
              <w:spacing w:before="6"/>
              <w:ind w:right="75"/>
              <w:jc w:val="right"/>
              <w:rPr>
                <w:sz w:val="20"/>
              </w:rPr>
            </w:pPr>
            <w:r>
              <w:rPr>
                <w:spacing w:val="-2"/>
                <w:sz w:val="20"/>
              </w:rPr>
              <w:t>6,865</w:t>
            </w:r>
          </w:p>
        </w:tc>
      </w:tr>
      <w:tr>
        <w:trPr>
          <w:trHeight w:val="267" w:hRule="atLeast"/>
        </w:trPr>
        <w:tc>
          <w:tcPr>
            <w:tcW w:w="5426" w:type="dxa"/>
            <w:tcBorders>
              <w:left w:val="single" w:sz="12" w:space="0" w:color="000000"/>
            </w:tcBorders>
          </w:tcPr>
          <w:p>
            <w:pPr>
              <w:pStyle w:val="TableParagraph"/>
              <w:spacing w:line="223" w:lineRule="exact" w:before="24"/>
              <w:ind w:left="107"/>
              <w:rPr>
                <w:sz w:val="20"/>
              </w:rPr>
            </w:pPr>
            <w:r>
              <w:rPr>
                <w:spacing w:val="-5"/>
                <w:sz w:val="20"/>
              </w:rPr>
              <w:t>Men</w:t>
            </w:r>
          </w:p>
        </w:tc>
        <w:tc>
          <w:tcPr>
            <w:tcW w:w="1239" w:type="dxa"/>
          </w:tcPr>
          <w:p>
            <w:pPr>
              <w:pStyle w:val="TableParagraph"/>
              <w:spacing w:before="5"/>
              <w:ind w:right="150"/>
              <w:jc w:val="right"/>
              <w:rPr>
                <w:sz w:val="20"/>
              </w:rPr>
            </w:pPr>
            <w:r>
              <w:rPr>
                <w:spacing w:val="-2"/>
                <w:sz w:val="20"/>
              </w:rPr>
              <w:t>1,932</w:t>
            </w:r>
          </w:p>
        </w:tc>
        <w:tc>
          <w:tcPr>
            <w:tcW w:w="1228" w:type="dxa"/>
          </w:tcPr>
          <w:p>
            <w:pPr>
              <w:pStyle w:val="TableParagraph"/>
              <w:spacing w:before="5"/>
              <w:ind w:right="202"/>
              <w:jc w:val="right"/>
              <w:rPr>
                <w:sz w:val="20"/>
              </w:rPr>
            </w:pPr>
            <w:r>
              <w:rPr>
                <w:spacing w:val="-2"/>
                <w:sz w:val="20"/>
              </w:rPr>
              <w:t>1,958</w:t>
            </w:r>
          </w:p>
        </w:tc>
        <w:tc>
          <w:tcPr>
            <w:tcW w:w="1371" w:type="dxa"/>
          </w:tcPr>
          <w:p>
            <w:pPr>
              <w:pStyle w:val="TableParagraph"/>
              <w:spacing w:before="5"/>
              <w:ind w:right="189"/>
              <w:jc w:val="right"/>
              <w:rPr>
                <w:sz w:val="20"/>
              </w:rPr>
            </w:pPr>
            <w:r>
              <w:rPr>
                <w:spacing w:val="-2"/>
                <w:sz w:val="20"/>
              </w:rPr>
              <w:t>1,989</w:t>
            </w:r>
          </w:p>
        </w:tc>
        <w:tc>
          <w:tcPr>
            <w:tcW w:w="1233" w:type="dxa"/>
            <w:tcBorders>
              <w:right w:val="single" w:sz="12" w:space="0" w:color="000000"/>
            </w:tcBorders>
          </w:tcPr>
          <w:p>
            <w:pPr>
              <w:pStyle w:val="TableParagraph"/>
              <w:spacing w:before="5"/>
              <w:ind w:right="75"/>
              <w:jc w:val="right"/>
              <w:rPr>
                <w:sz w:val="20"/>
              </w:rPr>
            </w:pPr>
            <w:r>
              <w:rPr>
                <w:spacing w:val="-2"/>
                <w:sz w:val="20"/>
              </w:rPr>
              <w:t>2,027</w:t>
            </w:r>
          </w:p>
        </w:tc>
      </w:tr>
      <w:tr>
        <w:trPr>
          <w:trHeight w:val="268" w:hRule="atLeast"/>
        </w:trPr>
        <w:tc>
          <w:tcPr>
            <w:tcW w:w="5426" w:type="dxa"/>
            <w:tcBorders>
              <w:left w:val="single" w:sz="12" w:space="0" w:color="000000"/>
            </w:tcBorders>
          </w:tcPr>
          <w:p>
            <w:pPr>
              <w:pStyle w:val="TableParagraph"/>
              <w:spacing w:line="223" w:lineRule="exact" w:before="25"/>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39" w:type="dxa"/>
          </w:tcPr>
          <w:p>
            <w:pPr>
              <w:pStyle w:val="TableParagraph"/>
              <w:spacing w:before="6"/>
              <w:ind w:right="149"/>
              <w:jc w:val="right"/>
              <w:rPr>
                <w:sz w:val="20"/>
              </w:rPr>
            </w:pPr>
            <w:r>
              <w:rPr>
                <w:w w:val="99"/>
                <w:sz w:val="20"/>
              </w:rPr>
              <w:t>0</w:t>
            </w:r>
          </w:p>
        </w:tc>
        <w:tc>
          <w:tcPr>
            <w:tcW w:w="1228" w:type="dxa"/>
          </w:tcPr>
          <w:p>
            <w:pPr>
              <w:pStyle w:val="TableParagraph"/>
              <w:spacing w:before="6"/>
              <w:ind w:right="201"/>
              <w:jc w:val="right"/>
              <w:rPr>
                <w:sz w:val="20"/>
              </w:rPr>
            </w:pPr>
            <w:r>
              <w:rPr>
                <w:w w:val="99"/>
                <w:sz w:val="20"/>
              </w:rPr>
              <w:t>0</w:t>
            </w:r>
          </w:p>
        </w:tc>
        <w:tc>
          <w:tcPr>
            <w:tcW w:w="1371" w:type="dxa"/>
          </w:tcPr>
          <w:p>
            <w:pPr>
              <w:pStyle w:val="TableParagraph"/>
              <w:spacing w:before="6"/>
              <w:ind w:right="187"/>
              <w:jc w:val="right"/>
              <w:rPr>
                <w:sz w:val="20"/>
              </w:rPr>
            </w:pPr>
            <w:r>
              <w:rPr>
                <w:w w:val="99"/>
                <w:sz w:val="20"/>
              </w:rPr>
              <w:t>0</w:t>
            </w:r>
          </w:p>
        </w:tc>
        <w:tc>
          <w:tcPr>
            <w:tcW w:w="1233" w:type="dxa"/>
            <w:tcBorders>
              <w:right w:val="single" w:sz="12" w:space="0" w:color="000000"/>
            </w:tcBorders>
          </w:tcPr>
          <w:p>
            <w:pPr>
              <w:pStyle w:val="TableParagraph"/>
              <w:spacing w:before="6"/>
              <w:ind w:right="73"/>
              <w:jc w:val="right"/>
              <w:rPr>
                <w:sz w:val="20"/>
              </w:rPr>
            </w:pPr>
            <w:r>
              <w:rPr>
                <w:w w:val="99"/>
                <w:sz w:val="20"/>
              </w:rPr>
              <w:t>0</w:t>
            </w:r>
          </w:p>
        </w:tc>
      </w:tr>
      <w:tr>
        <w:trPr>
          <w:trHeight w:val="267" w:hRule="atLeast"/>
        </w:trPr>
        <w:tc>
          <w:tcPr>
            <w:tcW w:w="5426" w:type="dxa"/>
            <w:tcBorders>
              <w:left w:val="single" w:sz="12" w:space="0" w:color="000000"/>
            </w:tcBorders>
          </w:tcPr>
          <w:p>
            <w:pPr>
              <w:pStyle w:val="TableParagraph"/>
              <w:spacing w:line="222" w:lineRule="exact" w:before="25"/>
              <w:ind w:left="107"/>
              <w:rPr>
                <w:sz w:val="20"/>
              </w:rPr>
            </w:pPr>
            <w:r>
              <w:rPr>
                <w:sz w:val="20"/>
              </w:rPr>
              <w:t>Vacant</w:t>
            </w:r>
            <w:r>
              <w:rPr>
                <w:spacing w:val="-7"/>
                <w:sz w:val="20"/>
              </w:rPr>
              <w:t> </w:t>
            </w:r>
            <w:r>
              <w:rPr>
                <w:spacing w:val="-2"/>
                <w:sz w:val="20"/>
              </w:rPr>
              <w:t>Position</w:t>
            </w:r>
          </w:p>
        </w:tc>
        <w:tc>
          <w:tcPr>
            <w:tcW w:w="1239" w:type="dxa"/>
          </w:tcPr>
          <w:p>
            <w:pPr>
              <w:pStyle w:val="TableParagraph"/>
              <w:spacing w:before="6"/>
              <w:ind w:right="149"/>
              <w:jc w:val="right"/>
              <w:rPr>
                <w:sz w:val="20"/>
              </w:rPr>
            </w:pPr>
            <w:r>
              <w:rPr>
                <w:w w:val="99"/>
                <w:sz w:val="20"/>
              </w:rPr>
              <w:t>0</w:t>
            </w:r>
          </w:p>
        </w:tc>
        <w:tc>
          <w:tcPr>
            <w:tcW w:w="1228" w:type="dxa"/>
          </w:tcPr>
          <w:p>
            <w:pPr>
              <w:pStyle w:val="TableParagraph"/>
              <w:spacing w:before="6"/>
              <w:ind w:right="201"/>
              <w:jc w:val="right"/>
              <w:rPr>
                <w:sz w:val="20"/>
              </w:rPr>
            </w:pPr>
            <w:r>
              <w:rPr>
                <w:w w:val="99"/>
                <w:sz w:val="20"/>
              </w:rPr>
              <w:t>0</w:t>
            </w:r>
          </w:p>
        </w:tc>
        <w:tc>
          <w:tcPr>
            <w:tcW w:w="1371" w:type="dxa"/>
          </w:tcPr>
          <w:p>
            <w:pPr>
              <w:pStyle w:val="TableParagraph"/>
              <w:spacing w:before="6"/>
              <w:ind w:right="187"/>
              <w:jc w:val="right"/>
              <w:rPr>
                <w:sz w:val="20"/>
              </w:rPr>
            </w:pPr>
            <w:r>
              <w:rPr>
                <w:w w:val="99"/>
                <w:sz w:val="20"/>
              </w:rPr>
              <w:t>0</w:t>
            </w:r>
          </w:p>
        </w:tc>
        <w:tc>
          <w:tcPr>
            <w:tcW w:w="1233" w:type="dxa"/>
            <w:tcBorders>
              <w:right w:val="single" w:sz="12" w:space="0" w:color="000000"/>
            </w:tcBorders>
          </w:tcPr>
          <w:p>
            <w:pPr>
              <w:pStyle w:val="TableParagraph"/>
              <w:spacing w:before="6"/>
              <w:ind w:right="73"/>
              <w:jc w:val="right"/>
              <w:rPr>
                <w:sz w:val="20"/>
              </w:rPr>
            </w:pPr>
            <w:r>
              <w:rPr>
                <w:w w:val="99"/>
                <w:sz w:val="20"/>
              </w:rPr>
              <w:t>0</w:t>
            </w:r>
          </w:p>
        </w:tc>
      </w:tr>
      <w:tr>
        <w:trPr>
          <w:trHeight w:val="267" w:hRule="atLeast"/>
        </w:trPr>
        <w:tc>
          <w:tcPr>
            <w:tcW w:w="5426" w:type="dxa"/>
            <w:tcBorders>
              <w:left w:val="single" w:sz="12" w:space="0" w:color="000000"/>
            </w:tcBorders>
          </w:tcPr>
          <w:p>
            <w:pPr>
              <w:pStyle w:val="TableParagraph"/>
              <w:spacing w:line="223" w:lineRule="exact" w:before="24"/>
              <w:ind w:left="107"/>
              <w:rPr>
                <w:b/>
                <w:sz w:val="20"/>
              </w:rPr>
            </w:pPr>
            <w:r>
              <w:rPr>
                <w:b/>
                <w:sz w:val="20"/>
              </w:rPr>
              <w:t>Permanent</w:t>
            </w:r>
            <w:r>
              <w:rPr>
                <w:b/>
                <w:spacing w:val="-9"/>
                <w:sz w:val="20"/>
              </w:rPr>
              <w:t> </w:t>
            </w:r>
            <w:r>
              <w:rPr>
                <w:b/>
                <w:sz w:val="20"/>
              </w:rPr>
              <w:t>part</w:t>
            </w:r>
            <w:r>
              <w:rPr>
                <w:b/>
                <w:spacing w:val="-7"/>
                <w:sz w:val="20"/>
              </w:rPr>
              <w:t> </w:t>
            </w:r>
            <w:r>
              <w:rPr>
                <w:b/>
                <w:spacing w:val="-4"/>
                <w:sz w:val="20"/>
              </w:rPr>
              <w:t>time</w:t>
            </w:r>
          </w:p>
        </w:tc>
        <w:tc>
          <w:tcPr>
            <w:tcW w:w="1239" w:type="dxa"/>
          </w:tcPr>
          <w:p>
            <w:pPr>
              <w:pStyle w:val="TableParagraph"/>
              <w:spacing w:before="5"/>
              <w:ind w:right="150"/>
              <w:jc w:val="right"/>
              <w:rPr>
                <w:b/>
                <w:sz w:val="20"/>
              </w:rPr>
            </w:pPr>
            <w:r>
              <w:rPr>
                <w:b/>
                <w:spacing w:val="-2"/>
                <w:sz w:val="20"/>
              </w:rPr>
              <w:t>6,719</w:t>
            </w:r>
          </w:p>
        </w:tc>
        <w:tc>
          <w:tcPr>
            <w:tcW w:w="1228" w:type="dxa"/>
          </w:tcPr>
          <w:p>
            <w:pPr>
              <w:pStyle w:val="TableParagraph"/>
              <w:spacing w:before="5"/>
              <w:ind w:right="202"/>
              <w:jc w:val="right"/>
              <w:rPr>
                <w:b/>
                <w:sz w:val="20"/>
              </w:rPr>
            </w:pPr>
            <w:r>
              <w:rPr>
                <w:b/>
                <w:spacing w:val="-2"/>
                <w:sz w:val="20"/>
              </w:rPr>
              <w:t>6,809</w:t>
            </w:r>
          </w:p>
        </w:tc>
        <w:tc>
          <w:tcPr>
            <w:tcW w:w="1371" w:type="dxa"/>
          </w:tcPr>
          <w:p>
            <w:pPr>
              <w:pStyle w:val="TableParagraph"/>
              <w:spacing w:before="5"/>
              <w:ind w:right="189"/>
              <w:jc w:val="right"/>
              <w:rPr>
                <w:b/>
                <w:sz w:val="20"/>
              </w:rPr>
            </w:pPr>
            <w:r>
              <w:rPr>
                <w:b/>
                <w:spacing w:val="-2"/>
                <w:sz w:val="20"/>
              </w:rPr>
              <w:t>6,918</w:t>
            </w:r>
          </w:p>
        </w:tc>
        <w:tc>
          <w:tcPr>
            <w:tcW w:w="1233" w:type="dxa"/>
            <w:tcBorders>
              <w:right w:val="single" w:sz="12" w:space="0" w:color="000000"/>
            </w:tcBorders>
          </w:tcPr>
          <w:p>
            <w:pPr>
              <w:pStyle w:val="TableParagraph"/>
              <w:spacing w:before="5"/>
              <w:ind w:right="75"/>
              <w:jc w:val="right"/>
              <w:rPr>
                <w:b/>
                <w:sz w:val="20"/>
              </w:rPr>
            </w:pPr>
            <w:r>
              <w:rPr>
                <w:b/>
                <w:spacing w:val="-2"/>
                <w:sz w:val="20"/>
              </w:rPr>
              <w:t>7,052</w:t>
            </w:r>
          </w:p>
        </w:tc>
      </w:tr>
      <w:tr>
        <w:trPr>
          <w:trHeight w:val="268" w:hRule="atLeast"/>
        </w:trPr>
        <w:tc>
          <w:tcPr>
            <w:tcW w:w="5426" w:type="dxa"/>
            <w:tcBorders>
              <w:left w:val="single" w:sz="12" w:space="0" w:color="000000"/>
            </w:tcBorders>
          </w:tcPr>
          <w:p>
            <w:pPr>
              <w:pStyle w:val="TableParagraph"/>
              <w:spacing w:line="223" w:lineRule="exact" w:before="25"/>
              <w:ind w:left="107"/>
              <w:rPr>
                <w:sz w:val="20"/>
              </w:rPr>
            </w:pPr>
            <w:r>
              <w:rPr>
                <w:spacing w:val="-2"/>
                <w:sz w:val="20"/>
              </w:rPr>
              <w:t>Women</w:t>
            </w:r>
          </w:p>
        </w:tc>
        <w:tc>
          <w:tcPr>
            <w:tcW w:w="1239" w:type="dxa"/>
          </w:tcPr>
          <w:p>
            <w:pPr>
              <w:pStyle w:val="TableParagraph"/>
              <w:spacing w:before="6"/>
              <w:ind w:right="150"/>
              <w:jc w:val="right"/>
              <w:rPr>
                <w:sz w:val="20"/>
              </w:rPr>
            </w:pPr>
            <w:r>
              <w:rPr>
                <w:spacing w:val="-2"/>
                <w:sz w:val="20"/>
              </w:rPr>
              <w:t>6,069</w:t>
            </w:r>
          </w:p>
        </w:tc>
        <w:tc>
          <w:tcPr>
            <w:tcW w:w="1228" w:type="dxa"/>
          </w:tcPr>
          <w:p>
            <w:pPr>
              <w:pStyle w:val="TableParagraph"/>
              <w:spacing w:before="6"/>
              <w:ind w:right="202"/>
              <w:jc w:val="right"/>
              <w:rPr>
                <w:sz w:val="20"/>
              </w:rPr>
            </w:pPr>
            <w:r>
              <w:rPr>
                <w:spacing w:val="-2"/>
                <w:sz w:val="20"/>
              </w:rPr>
              <w:t>6,150</w:t>
            </w:r>
          </w:p>
        </w:tc>
        <w:tc>
          <w:tcPr>
            <w:tcW w:w="1371" w:type="dxa"/>
          </w:tcPr>
          <w:p>
            <w:pPr>
              <w:pStyle w:val="TableParagraph"/>
              <w:spacing w:before="6"/>
              <w:ind w:right="189"/>
              <w:jc w:val="right"/>
              <w:rPr>
                <w:sz w:val="20"/>
              </w:rPr>
            </w:pPr>
            <w:r>
              <w:rPr>
                <w:spacing w:val="-2"/>
                <w:sz w:val="20"/>
              </w:rPr>
              <w:t>6,249</w:t>
            </w:r>
          </w:p>
        </w:tc>
        <w:tc>
          <w:tcPr>
            <w:tcW w:w="1233" w:type="dxa"/>
            <w:tcBorders>
              <w:right w:val="single" w:sz="12" w:space="0" w:color="000000"/>
            </w:tcBorders>
          </w:tcPr>
          <w:p>
            <w:pPr>
              <w:pStyle w:val="TableParagraph"/>
              <w:spacing w:before="6"/>
              <w:ind w:right="75"/>
              <w:jc w:val="right"/>
              <w:rPr>
                <w:sz w:val="20"/>
              </w:rPr>
            </w:pPr>
            <w:r>
              <w:rPr>
                <w:spacing w:val="-2"/>
                <w:sz w:val="20"/>
              </w:rPr>
              <w:t>6,369</w:t>
            </w:r>
          </w:p>
        </w:tc>
      </w:tr>
      <w:tr>
        <w:trPr>
          <w:trHeight w:val="267" w:hRule="atLeast"/>
        </w:trPr>
        <w:tc>
          <w:tcPr>
            <w:tcW w:w="5426" w:type="dxa"/>
            <w:tcBorders>
              <w:left w:val="single" w:sz="12" w:space="0" w:color="000000"/>
            </w:tcBorders>
          </w:tcPr>
          <w:p>
            <w:pPr>
              <w:pStyle w:val="TableParagraph"/>
              <w:spacing w:line="222" w:lineRule="exact" w:before="25"/>
              <w:ind w:left="107"/>
              <w:rPr>
                <w:sz w:val="20"/>
              </w:rPr>
            </w:pPr>
            <w:r>
              <w:rPr>
                <w:spacing w:val="-5"/>
                <w:sz w:val="20"/>
              </w:rPr>
              <w:t>Men</w:t>
            </w:r>
          </w:p>
        </w:tc>
        <w:tc>
          <w:tcPr>
            <w:tcW w:w="1239" w:type="dxa"/>
          </w:tcPr>
          <w:p>
            <w:pPr>
              <w:pStyle w:val="TableParagraph"/>
              <w:spacing w:before="6"/>
              <w:ind w:right="151"/>
              <w:jc w:val="right"/>
              <w:rPr>
                <w:sz w:val="20"/>
              </w:rPr>
            </w:pPr>
            <w:r>
              <w:rPr>
                <w:spacing w:val="-5"/>
                <w:sz w:val="20"/>
              </w:rPr>
              <w:t>650</w:t>
            </w:r>
          </w:p>
        </w:tc>
        <w:tc>
          <w:tcPr>
            <w:tcW w:w="1228" w:type="dxa"/>
          </w:tcPr>
          <w:p>
            <w:pPr>
              <w:pStyle w:val="TableParagraph"/>
              <w:spacing w:before="6"/>
              <w:ind w:right="203"/>
              <w:jc w:val="right"/>
              <w:rPr>
                <w:sz w:val="20"/>
              </w:rPr>
            </w:pPr>
            <w:r>
              <w:rPr>
                <w:spacing w:val="-5"/>
                <w:sz w:val="20"/>
              </w:rPr>
              <w:t>659</w:t>
            </w:r>
          </w:p>
        </w:tc>
        <w:tc>
          <w:tcPr>
            <w:tcW w:w="1371" w:type="dxa"/>
          </w:tcPr>
          <w:p>
            <w:pPr>
              <w:pStyle w:val="TableParagraph"/>
              <w:spacing w:before="6"/>
              <w:ind w:right="190"/>
              <w:jc w:val="right"/>
              <w:rPr>
                <w:sz w:val="20"/>
              </w:rPr>
            </w:pPr>
            <w:r>
              <w:rPr>
                <w:spacing w:val="-5"/>
                <w:sz w:val="20"/>
              </w:rPr>
              <w:t>670</w:t>
            </w:r>
          </w:p>
        </w:tc>
        <w:tc>
          <w:tcPr>
            <w:tcW w:w="1233" w:type="dxa"/>
            <w:tcBorders>
              <w:right w:val="single" w:sz="12" w:space="0" w:color="000000"/>
            </w:tcBorders>
          </w:tcPr>
          <w:p>
            <w:pPr>
              <w:pStyle w:val="TableParagraph"/>
              <w:spacing w:before="6"/>
              <w:ind w:right="76"/>
              <w:jc w:val="right"/>
              <w:rPr>
                <w:sz w:val="20"/>
              </w:rPr>
            </w:pPr>
            <w:r>
              <w:rPr>
                <w:spacing w:val="-5"/>
                <w:sz w:val="20"/>
              </w:rPr>
              <w:t>683</w:t>
            </w:r>
          </w:p>
        </w:tc>
      </w:tr>
      <w:tr>
        <w:trPr>
          <w:trHeight w:val="267" w:hRule="atLeast"/>
        </w:trPr>
        <w:tc>
          <w:tcPr>
            <w:tcW w:w="5426" w:type="dxa"/>
            <w:tcBorders>
              <w:left w:val="single" w:sz="12" w:space="0" w:color="000000"/>
            </w:tcBorders>
          </w:tcPr>
          <w:p>
            <w:pPr>
              <w:pStyle w:val="TableParagraph"/>
              <w:spacing w:line="223" w:lineRule="exact" w:before="24"/>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39" w:type="dxa"/>
          </w:tcPr>
          <w:p>
            <w:pPr>
              <w:pStyle w:val="TableParagraph"/>
              <w:spacing w:before="5"/>
              <w:ind w:right="149"/>
              <w:jc w:val="right"/>
              <w:rPr>
                <w:sz w:val="20"/>
              </w:rPr>
            </w:pPr>
            <w:r>
              <w:rPr>
                <w:w w:val="99"/>
                <w:sz w:val="20"/>
              </w:rPr>
              <w:t>0</w:t>
            </w:r>
          </w:p>
        </w:tc>
        <w:tc>
          <w:tcPr>
            <w:tcW w:w="1228" w:type="dxa"/>
          </w:tcPr>
          <w:p>
            <w:pPr>
              <w:pStyle w:val="TableParagraph"/>
              <w:spacing w:before="5"/>
              <w:ind w:right="201"/>
              <w:jc w:val="right"/>
              <w:rPr>
                <w:sz w:val="20"/>
              </w:rPr>
            </w:pPr>
            <w:r>
              <w:rPr>
                <w:w w:val="99"/>
                <w:sz w:val="20"/>
              </w:rPr>
              <w:t>0</w:t>
            </w:r>
          </w:p>
        </w:tc>
        <w:tc>
          <w:tcPr>
            <w:tcW w:w="1371" w:type="dxa"/>
          </w:tcPr>
          <w:p>
            <w:pPr>
              <w:pStyle w:val="TableParagraph"/>
              <w:spacing w:before="5"/>
              <w:ind w:right="187"/>
              <w:jc w:val="right"/>
              <w:rPr>
                <w:sz w:val="20"/>
              </w:rPr>
            </w:pPr>
            <w:r>
              <w:rPr>
                <w:w w:val="99"/>
                <w:sz w:val="20"/>
              </w:rPr>
              <w:t>0</w:t>
            </w:r>
          </w:p>
        </w:tc>
        <w:tc>
          <w:tcPr>
            <w:tcW w:w="1233" w:type="dxa"/>
            <w:tcBorders>
              <w:right w:val="single" w:sz="12" w:space="0" w:color="000000"/>
            </w:tcBorders>
          </w:tcPr>
          <w:p>
            <w:pPr>
              <w:pStyle w:val="TableParagraph"/>
              <w:spacing w:before="5"/>
              <w:ind w:right="73"/>
              <w:jc w:val="right"/>
              <w:rPr>
                <w:sz w:val="20"/>
              </w:rPr>
            </w:pPr>
            <w:r>
              <w:rPr>
                <w:w w:val="99"/>
                <w:sz w:val="20"/>
              </w:rPr>
              <w:t>0</w:t>
            </w:r>
          </w:p>
        </w:tc>
      </w:tr>
      <w:tr>
        <w:trPr>
          <w:trHeight w:val="256" w:hRule="atLeast"/>
        </w:trPr>
        <w:tc>
          <w:tcPr>
            <w:tcW w:w="5426" w:type="dxa"/>
            <w:tcBorders>
              <w:left w:val="single" w:sz="12" w:space="0" w:color="000000"/>
            </w:tcBorders>
          </w:tcPr>
          <w:p>
            <w:pPr>
              <w:pStyle w:val="TableParagraph"/>
              <w:spacing w:line="211" w:lineRule="exact" w:before="25"/>
              <w:ind w:left="107"/>
              <w:rPr>
                <w:sz w:val="20"/>
              </w:rPr>
            </w:pPr>
            <w:r>
              <w:rPr>
                <w:sz w:val="20"/>
              </w:rPr>
              <w:t>Vacant</w:t>
            </w:r>
            <w:r>
              <w:rPr>
                <w:spacing w:val="-7"/>
                <w:sz w:val="20"/>
              </w:rPr>
              <w:t> </w:t>
            </w:r>
            <w:r>
              <w:rPr>
                <w:spacing w:val="-2"/>
                <w:sz w:val="20"/>
              </w:rPr>
              <w:t>Position</w:t>
            </w:r>
          </w:p>
        </w:tc>
        <w:tc>
          <w:tcPr>
            <w:tcW w:w="1239" w:type="dxa"/>
            <w:tcBorders>
              <w:bottom w:val="single" w:sz="4" w:space="0" w:color="000000"/>
            </w:tcBorders>
          </w:tcPr>
          <w:p>
            <w:pPr>
              <w:pStyle w:val="TableParagraph"/>
              <w:spacing w:before="6"/>
              <w:ind w:right="149"/>
              <w:jc w:val="right"/>
              <w:rPr>
                <w:sz w:val="20"/>
              </w:rPr>
            </w:pPr>
            <w:r>
              <w:rPr>
                <w:w w:val="99"/>
                <w:sz w:val="20"/>
              </w:rPr>
              <w:t>0</w:t>
            </w:r>
          </w:p>
        </w:tc>
        <w:tc>
          <w:tcPr>
            <w:tcW w:w="1228" w:type="dxa"/>
            <w:tcBorders>
              <w:bottom w:val="single" w:sz="4" w:space="0" w:color="000000"/>
            </w:tcBorders>
          </w:tcPr>
          <w:p>
            <w:pPr>
              <w:pStyle w:val="TableParagraph"/>
              <w:spacing w:before="6"/>
              <w:ind w:right="201"/>
              <w:jc w:val="right"/>
              <w:rPr>
                <w:sz w:val="20"/>
              </w:rPr>
            </w:pPr>
            <w:r>
              <w:rPr>
                <w:w w:val="99"/>
                <w:sz w:val="20"/>
              </w:rPr>
              <w:t>0</w:t>
            </w:r>
          </w:p>
        </w:tc>
        <w:tc>
          <w:tcPr>
            <w:tcW w:w="1371" w:type="dxa"/>
            <w:tcBorders>
              <w:bottom w:val="single" w:sz="4" w:space="0" w:color="000000"/>
            </w:tcBorders>
          </w:tcPr>
          <w:p>
            <w:pPr>
              <w:pStyle w:val="TableParagraph"/>
              <w:spacing w:before="6"/>
              <w:ind w:right="187"/>
              <w:jc w:val="right"/>
              <w:rPr>
                <w:sz w:val="20"/>
              </w:rPr>
            </w:pPr>
            <w:r>
              <w:rPr>
                <w:w w:val="99"/>
                <w:sz w:val="20"/>
              </w:rPr>
              <w:t>0</w:t>
            </w:r>
          </w:p>
        </w:tc>
        <w:tc>
          <w:tcPr>
            <w:tcW w:w="1233" w:type="dxa"/>
            <w:tcBorders>
              <w:bottom w:val="single" w:sz="4" w:space="0" w:color="000000"/>
              <w:right w:val="single" w:sz="12" w:space="0" w:color="000000"/>
            </w:tcBorders>
          </w:tcPr>
          <w:p>
            <w:pPr>
              <w:pStyle w:val="TableParagraph"/>
              <w:spacing w:before="6"/>
              <w:ind w:right="73"/>
              <w:jc w:val="right"/>
              <w:rPr>
                <w:sz w:val="20"/>
              </w:rPr>
            </w:pPr>
            <w:r>
              <w:rPr>
                <w:w w:val="99"/>
                <w:sz w:val="20"/>
              </w:rPr>
              <w:t>0</w:t>
            </w:r>
          </w:p>
        </w:tc>
      </w:tr>
      <w:tr>
        <w:trPr>
          <w:trHeight w:val="268" w:hRule="atLeast"/>
        </w:trPr>
        <w:tc>
          <w:tcPr>
            <w:tcW w:w="5426" w:type="dxa"/>
            <w:tcBorders>
              <w:left w:val="single" w:sz="12" w:space="0" w:color="000000"/>
            </w:tcBorders>
          </w:tcPr>
          <w:p>
            <w:pPr>
              <w:pStyle w:val="TableParagraph"/>
              <w:spacing w:line="211" w:lineRule="exact" w:before="38"/>
              <w:ind w:left="107"/>
              <w:rPr>
                <w:b/>
                <w:sz w:val="20"/>
              </w:rPr>
            </w:pPr>
            <w:r>
              <w:rPr>
                <w:b/>
                <w:sz w:val="20"/>
              </w:rPr>
              <w:t>Total</w:t>
            </w:r>
            <w:r>
              <w:rPr>
                <w:b/>
                <w:spacing w:val="-8"/>
                <w:sz w:val="20"/>
              </w:rPr>
              <w:t> </w:t>
            </w:r>
            <w:r>
              <w:rPr>
                <w:b/>
                <w:sz w:val="20"/>
              </w:rPr>
              <w:t>People</w:t>
            </w:r>
            <w:r>
              <w:rPr>
                <w:b/>
                <w:spacing w:val="-4"/>
                <w:sz w:val="20"/>
              </w:rPr>
              <w:t> </w:t>
            </w:r>
            <w:r>
              <w:rPr>
                <w:b/>
                <w:sz w:val="20"/>
              </w:rPr>
              <w:t>and</w:t>
            </w:r>
            <w:r>
              <w:rPr>
                <w:b/>
                <w:spacing w:val="-4"/>
                <w:sz w:val="20"/>
              </w:rPr>
              <w:t> </w:t>
            </w:r>
            <w:r>
              <w:rPr>
                <w:b/>
                <w:spacing w:val="-2"/>
                <w:sz w:val="20"/>
              </w:rPr>
              <w:t>Places</w:t>
            </w:r>
          </w:p>
        </w:tc>
        <w:tc>
          <w:tcPr>
            <w:tcW w:w="1239" w:type="dxa"/>
            <w:tcBorders>
              <w:top w:val="single" w:sz="4" w:space="0" w:color="000000"/>
              <w:bottom w:val="single" w:sz="4" w:space="0" w:color="000000"/>
            </w:tcBorders>
          </w:tcPr>
          <w:p>
            <w:pPr>
              <w:pStyle w:val="TableParagraph"/>
              <w:spacing w:before="18"/>
              <w:ind w:right="151"/>
              <w:jc w:val="right"/>
              <w:rPr>
                <w:b/>
                <w:sz w:val="20"/>
              </w:rPr>
            </w:pPr>
            <w:r>
              <w:rPr>
                <w:b/>
                <w:spacing w:val="-2"/>
                <w:sz w:val="20"/>
              </w:rPr>
              <w:t>15,192</w:t>
            </w:r>
          </w:p>
        </w:tc>
        <w:tc>
          <w:tcPr>
            <w:tcW w:w="1228" w:type="dxa"/>
            <w:tcBorders>
              <w:top w:val="single" w:sz="4" w:space="0" w:color="000000"/>
              <w:bottom w:val="single" w:sz="4" w:space="0" w:color="000000"/>
            </w:tcBorders>
          </w:tcPr>
          <w:p>
            <w:pPr>
              <w:pStyle w:val="TableParagraph"/>
              <w:spacing w:before="18"/>
              <w:ind w:right="203"/>
              <w:jc w:val="right"/>
              <w:rPr>
                <w:b/>
                <w:sz w:val="20"/>
              </w:rPr>
            </w:pPr>
            <w:r>
              <w:rPr>
                <w:b/>
                <w:spacing w:val="-2"/>
                <w:sz w:val="20"/>
              </w:rPr>
              <w:t>15,396</w:t>
            </w:r>
          </w:p>
        </w:tc>
        <w:tc>
          <w:tcPr>
            <w:tcW w:w="1371" w:type="dxa"/>
            <w:tcBorders>
              <w:top w:val="single" w:sz="4" w:space="0" w:color="000000"/>
              <w:bottom w:val="single" w:sz="4" w:space="0" w:color="000000"/>
            </w:tcBorders>
          </w:tcPr>
          <w:p>
            <w:pPr>
              <w:pStyle w:val="TableParagraph"/>
              <w:spacing w:before="18"/>
              <w:ind w:right="191"/>
              <w:jc w:val="right"/>
              <w:rPr>
                <w:b/>
                <w:sz w:val="20"/>
              </w:rPr>
            </w:pPr>
            <w:r>
              <w:rPr>
                <w:b/>
                <w:spacing w:val="-2"/>
                <w:sz w:val="20"/>
              </w:rPr>
              <w:t>15,643</w:t>
            </w:r>
          </w:p>
        </w:tc>
        <w:tc>
          <w:tcPr>
            <w:tcW w:w="1233" w:type="dxa"/>
            <w:tcBorders>
              <w:top w:val="single" w:sz="4" w:space="0" w:color="000000"/>
              <w:bottom w:val="single" w:sz="4" w:space="0" w:color="000000"/>
              <w:right w:val="single" w:sz="12" w:space="0" w:color="000000"/>
            </w:tcBorders>
          </w:tcPr>
          <w:p>
            <w:pPr>
              <w:pStyle w:val="TableParagraph"/>
              <w:spacing w:before="18"/>
              <w:ind w:right="77"/>
              <w:jc w:val="right"/>
              <w:rPr>
                <w:b/>
                <w:sz w:val="20"/>
              </w:rPr>
            </w:pPr>
            <w:r>
              <w:rPr>
                <w:b/>
                <w:spacing w:val="-2"/>
                <w:sz w:val="20"/>
              </w:rPr>
              <w:t>15,944</w:t>
            </w:r>
          </w:p>
        </w:tc>
      </w:tr>
      <w:tr>
        <w:trPr>
          <w:trHeight w:val="279" w:hRule="atLeast"/>
        </w:trPr>
        <w:tc>
          <w:tcPr>
            <w:tcW w:w="5426" w:type="dxa"/>
            <w:tcBorders>
              <w:left w:val="single" w:sz="12" w:space="0" w:color="000000"/>
            </w:tcBorders>
          </w:tcPr>
          <w:p>
            <w:pPr>
              <w:pStyle w:val="TableParagraph"/>
              <w:spacing w:line="222" w:lineRule="exact" w:before="38"/>
              <w:ind w:left="107"/>
              <w:rPr>
                <w:b/>
                <w:sz w:val="20"/>
              </w:rPr>
            </w:pPr>
            <w:r>
              <w:rPr>
                <w:b/>
                <w:sz w:val="20"/>
              </w:rPr>
              <w:t>Assets</w:t>
            </w:r>
            <w:r>
              <w:rPr>
                <w:b/>
                <w:spacing w:val="-7"/>
                <w:sz w:val="20"/>
              </w:rPr>
              <w:t> </w:t>
            </w:r>
            <w:r>
              <w:rPr>
                <w:b/>
                <w:sz w:val="20"/>
              </w:rPr>
              <w:t>&amp;</w:t>
            </w:r>
            <w:r>
              <w:rPr>
                <w:b/>
                <w:spacing w:val="-4"/>
                <w:sz w:val="20"/>
              </w:rPr>
              <w:t> </w:t>
            </w:r>
            <w:r>
              <w:rPr>
                <w:b/>
                <w:spacing w:val="-2"/>
                <w:sz w:val="20"/>
              </w:rPr>
              <w:t>Leisure</w:t>
            </w:r>
          </w:p>
        </w:tc>
        <w:tc>
          <w:tcPr>
            <w:tcW w:w="1239" w:type="dxa"/>
            <w:tcBorders>
              <w:top w:val="single" w:sz="4" w:space="0" w:color="000000"/>
            </w:tcBorders>
          </w:tcPr>
          <w:p>
            <w:pPr>
              <w:pStyle w:val="TableParagraph"/>
              <w:rPr>
                <w:rFonts w:ascii="Times New Roman"/>
                <w:sz w:val="18"/>
              </w:rPr>
            </w:pPr>
          </w:p>
        </w:tc>
        <w:tc>
          <w:tcPr>
            <w:tcW w:w="1228" w:type="dxa"/>
            <w:tcBorders>
              <w:top w:val="single" w:sz="4" w:space="0" w:color="000000"/>
            </w:tcBorders>
          </w:tcPr>
          <w:p>
            <w:pPr>
              <w:pStyle w:val="TableParagraph"/>
              <w:rPr>
                <w:rFonts w:ascii="Times New Roman"/>
                <w:sz w:val="18"/>
              </w:rPr>
            </w:pPr>
          </w:p>
        </w:tc>
        <w:tc>
          <w:tcPr>
            <w:tcW w:w="1371" w:type="dxa"/>
            <w:tcBorders>
              <w:top w:val="single" w:sz="4" w:space="0" w:color="000000"/>
            </w:tcBorders>
          </w:tcPr>
          <w:p>
            <w:pPr>
              <w:pStyle w:val="TableParagraph"/>
              <w:rPr>
                <w:rFonts w:ascii="Times New Roman"/>
                <w:sz w:val="18"/>
              </w:rPr>
            </w:pPr>
          </w:p>
        </w:tc>
        <w:tc>
          <w:tcPr>
            <w:tcW w:w="1233" w:type="dxa"/>
            <w:tcBorders>
              <w:top w:val="single" w:sz="4" w:space="0" w:color="000000"/>
              <w:right w:val="single" w:sz="12" w:space="0" w:color="000000"/>
            </w:tcBorders>
          </w:tcPr>
          <w:p>
            <w:pPr>
              <w:pStyle w:val="TableParagraph"/>
              <w:rPr>
                <w:rFonts w:ascii="Times New Roman"/>
                <w:sz w:val="18"/>
              </w:rPr>
            </w:pPr>
          </w:p>
        </w:tc>
      </w:tr>
      <w:tr>
        <w:trPr>
          <w:trHeight w:val="267" w:hRule="atLeast"/>
        </w:trPr>
        <w:tc>
          <w:tcPr>
            <w:tcW w:w="5426" w:type="dxa"/>
            <w:tcBorders>
              <w:left w:val="single" w:sz="12" w:space="0" w:color="000000"/>
            </w:tcBorders>
          </w:tcPr>
          <w:p>
            <w:pPr>
              <w:pStyle w:val="TableParagraph"/>
              <w:spacing w:line="223" w:lineRule="exact" w:before="24"/>
              <w:ind w:left="107"/>
              <w:rPr>
                <w:b/>
                <w:sz w:val="20"/>
              </w:rPr>
            </w:pPr>
            <w:r>
              <w:rPr>
                <w:b/>
                <w:sz w:val="20"/>
              </w:rPr>
              <w:t>Permanent</w:t>
            </w:r>
            <w:r>
              <w:rPr>
                <w:b/>
                <w:spacing w:val="-9"/>
                <w:sz w:val="20"/>
              </w:rPr>
              <w:t> </w:t>
            </w:r>
            <w:r>
              <w:rPr>
                <w:b/>
                <w:sz w:val="20"/>
              </w:rPr>
              <w:t>full</w:t>
            </w:r>
            <w:r>
              <w:rPr>
                <w:b/>
                <w:spacing w:val="-8"/>
                <w:sz w:val="20"/>
              </w:rPr>
              <w:t> </w:t>
            </w:r>
            <w:r>
              <w:rPr>
                <w:b/>
                <w:spacing w:val="-4"/>
                <w:sz w:val="20"/>
              </w:rPr>
              <w:t>time</w:t>
            </w:r>
          </w:p>
        </w:tc>
        <w:tc>
          <w:tcPr>
            <w:tcW w:w="1239" w:type="dxa"/>
          </w:tcPr>
          <w:p>
            <w:pPr>
              <w:pStyle w:val="TableParagraph"/>
              <w:spacing w:before="5"/>
              <w:ind w:right="151"/>
              <w:jc w:val="right"/>
              <w:rPr>
                <w:b/>
                <w:sz w:val="20"/>
              </w:rPr>
            </w:pPr>
            <w:r>
              <w:rPr>
                <w:b/>
                <w:spacing w:val="-2"/>
                <w:sz w:val="20"/>
              </w:rPr>
              <w:t>14,387</w:t>
            </w:r>
          </w:p>
        </w:tc>
        <w:tc>
          <w:tcPr>
            <w:tcW w:w="1228" w:type="dxa"/>
          </w:tcPr>
          <w:p>
            <w:pPr>
              <w:pStyle w:val="TableParagraph"/>
              <w:spacing w:before="5"/>
              <w:ind w:right="203"/>
              <w:jc w:val="right"/>
              <w:rPr>
                <w:b/>
                <w:sz w:val="20"/>
              </w:rPr>
            </w:pPr>
            <w:r>
              <w:rPr>
                <w:b/>
                <w:spacing w:val="-2"/>
                <w:sz w:val="20"/>
              </w:rPr>
              <w:t>14,580</w:t>
            </w:r>
          </w:p>
        </w:tc>
        <w:tc>
          <w:tcPr>
            <w:tcW w:w="1371" w:type="dxa"/>
          </w:tcPr>
          <w:p>
            <w:pPr>
              <w:pStyle w:val="TableParagraph"/>
              <w:spacing w:before="5"/>
              <w:ind w:right="191"/>
              <w:jc w:val="right"/>
              <w:rPr>
                <w:b/>
                <w:sz w:val="20"/>
              </w:rPr>
            </w:pPr>
            <w:r>
              <w:rPr>
                <w:b/>
                <w:spacing w:val="-2"/>
                <w:sz w:val="20"/>
              </w:rPr>
              <w:t>14,814</w:t>
            </w:r>
          </w:p>
        </w:tc>
        <w:tc>
          <w:tcPr>
            <w:tcW w:w="1233" w:type="dxa"/>
            <w:tcBorders>
              <w:right w:val="single" w:sz="12" w:space="0" w:color="000000"/>
            </w:tcBorders>
          </w:tcPr>
          <w:p>
            <w:pPr>
              <w:pStyle w:val="TableParagraph"/>
              <w:spacing w:before="5"/>
              <w:ind w:right="77"/>
              <w:jc w:val="right"/>
              <w:rPr>
                <w:b/>
                <w:sz w:val="20"/>
              </w:rPr>
            </w:pPr>
            <w:r>
              <w:rPr>
                <w:b/>
                <w:spacing w:val="-2"/>
                <w:sz w:val="20"/>
              </w:rPr>
              <w:t>15,099</w:t>
            </w:r>
          </w:p>
        </w:tc>
      </w:tr>
      <w:tr>
        <w:trPr>
          <w:trHeight w:val="268" w:hRule="atLeast"/>
        </w:trPr>
        <w:tc>
          <w:tcPr>
            <w:tcW w:w="5426" w:type="dxa"/>
            <w:tcBorders>
              <w:left w:val="single" w:sz="12" w:space="0" w:color="000000"/>
            </w:tcBorders>
          </w:tcPr>
          <w:p>
            <w:pPr>
              <w:pStyle w:val="TableParagraph"/>
              <w:spacing w:line="223" w:lineRule="exact" w:before="25"/>
              <w:ind w:left="107"/>
              <w:rPr>
                <w:sz w:val="20"/>
              </w:rPr>
            </w:pPr>
            <w:r>
              <w:rPr>
                <w:spacing w:val="-2"/>
                <w:sz w:val="20"/>
              </w:rPr>
              <w:t>Women</w:t>
            </w:r>
          </w:p>
        </w:tc>
        <w:tc>
          <w:tcPr>
            <w:tcW w:w="1239" w:type="dxa"/>
          </w:tcPr>
          <w:p>
            <w:pPr>
              <w:pStyle w:val="TableParagraph"/>
              <w:spacing w:before="6"/>
              <w:ind w:right="150"/>
              <w:jc w:val="right"/>
              <w:rPr>
                <w:sz w:val="20"/>
              </w:rPr>
            </w:pPr>
            <w:r>
              <w:rPr>
                <w:spacing w:val="-2"/>
                <w:sz w:val="20"/>
              </w:rPr>
              <w:t>2,365</w:t>
            </w:r>
          </w:p>
        </w:tc>
        <w:tc>
          <w:tcPr>
            <w:tcW w:w="1228" w:type="dxa"/>
          </w:tcPr>
          <w:p>
            <w:pPr>
              <w:pStyle w:val="TableParagraph"/>
              <w:spacing w:before="6"/>
              <w:ind w:right="202"/>
              <w:jc w:val="right"/>
              <w:rPr>
                <w:sz w:val="20"/>
              </w:rPr>
            </w:pPr>
            <w:r>
              <w:rPr>
                <w:spacing w:val="-2"/>
                <w:sz w:val="20"/>
              </w:rPr>
              <w:t>2,396</w:t>
            </w:r>
          </w:p>
        </w:tc>
        <w:tc>
          <w:tcPr>
            <w:tcW w:w="1371" w:type="dxa"/>
          </w:tcPr>
          <w:p>
            <w:pPr>
              <w:pStyle w:val="TableParagraph"/>
              <w:spacing w:before="6"/>
              <w:ind w:right="189"/>
              <w:jc w:val="right"/>
              <w:rPr>
                <w:sz w:val="20"/>
              </w:rPr>
            </w:pPr>
            <w:r>
              <w:rPr>
                <w:spacing w:val="-2"/>
                <w:sz w:val="20"/>
              </w:rPr>
              <w:t>2,435</w:t>
            </w:r>
          </w:p>
        </w:tc>
        <w:tc>
          <w:tcPr>
            <w:tcW w:w="1233" w:type="dxa"/>
            <w:tcBorders>
              <w:right w:val="single" w:sz="12" w:space="0" w:color="000000"/>
            </w:tcBorders>
          </w:tcPr>
          <w:p>
            <w:pPr>
              <w:pStyle w:val="TableParagraph"/>
              <w:spacing w:before="6"/>
              <w:ind w:right="75"/>
              <w:jc w:val="right"/>
              <w:rPr>
                <w:sz w:val="20"/>
              </w:rPr>
            </w:pPr>
            <w:r>
              <w:rPr>
                <w:spacing w:val="-2"/>
                <w:sz w:val="20"/>
              </w:rPr>
              <w:t>2,482</w:t>
            </w:r>
          </w:p>
        </w:tc>
      </w:tr>
      <w:tr>
        <w:trPr>
          <w:trHeight w:val="267" w:hRule="atLeast"/>
        </w:trPr>
        <w:tc>
          <w:tcPr>
            <w:tcW w:w="5426" w:type="dxa"/>
            <w:tcBorders>
              <w:left w:val="single" w:sz="12" w:space="0" w:color="000000"/>
            </w:tcBorders>
          </w:tcPr>
          <w:p>
            <w:pPr>
              <w:pStyle w:val="TableParagraph"/>
              <w:spacing w:line="222" w:lineRule="exact" w:before="25"/>
              <w:ind w:left="107"/>
              <w:rPr>
                <w:sz w:val="20"/>
              </w:rPr>
            </w:pPr>
            <w:r>
              <w:rPr>
                <w:spacing w:val="-5"/>
                <w:sz w:val="20"/>
              </w:rPr>
              <w:t>Men</w:t>
            </w:r>
          </w:p>
        </w:tc>
        <w:tc>
          <w:tcPr>
            <w:tcW w:w="1239" w:type="dxa"/>
          </w:tcPr>
          <w:p>
            <w:pPr>
              <w:pStyle w:val="TableParagraph"/>
              <w:spacing w:before="6"/>
              <w:ind w:right="151"/>
              <w:jc w:val="right"/>
              <w:rPr>
                <w:sz w:val="20"/>
              </w:rPr>
            </w:pPr>
            <w:r>
              <w:rPr>
                <w:spacing w:val="-2"/>
                <w:sz w:val="20"/>
              </w:rPr>
              <w:t>11,559</w:t>
            </w:r>
          </w:p>
        </w:tc>
        <w:tc>
          <w:tcPr>
            <w:tcW w:w="1228" w:type="dxa"/>
          </w:tcPr>
          <w:p>
            <w:pPr>
              <w:pStyle w:val="TableParagraph"/>
              <w:spacing w:before="6"/>
              <w:ind w:right="203"/>
              <w:jc w:val="right"/>
              <w:rPr>
                <w:sz w:val="20"/>
              </w:rPr>
            </w:pPr>
            <w:r>
              <w:rPr>
                <w:spacing w:val="-2"/>
                <w:sz w:val="20"/>
              </w:rPr>
              <w:t>11,714</w:t>
            </w:r>
          </w:p>
        </w:tc>
        <w:tc>
          <w:tcPr>
            <w:tcW w:w="1371" w:type="dxa"/>
          </w:tcPr>
          <w:p>
            <w:pPr>
              <w:pStyle w:val="TableParagraph"/>
              <w:spacing w:before="6"/>
              <w:ind w:right="191"/>
              <w:jc w:val="right"/>
              <w:rPr>
                <w:sz w:val="20"/>
              </w:rPr>
            </w:pPr>
            <w:r>
              <w:rPr>
                <w:spacing w:val="-2"/>
                <w:sz w:val="20"/>
              </w:rPr>
              <w:t>11,902</w:t>
            </w:r>
          </w:p>
        </w:tc>
        <w:tc>
          <w:tcPr>
            <w:tcW w:w="1233" w:type="dxa"/>
            <w:tcBorders>
              <w:right w:val="single" w:sz="12" w:space="0" w:color="000000"/>
            </w:tcBorders>
          </w:tcPr>
          <w:p>
            <w:pPr>
              <w:pStyle w:val="TableParagraph"/>
              <w:spacing w:before="6"/>
              <w:ind w:right="77"/>
              <w:jc w:val="right"/>
              <w:rPr>
                <w:sz w:val="20"/>
              </w:rPr>
            </w:pPr>
            <w:r>
              <w:rPr>
                <w:spacing w:val="-2"/>
                <w:sz w:val="20"/>
              </w:rPr>
              <w:t>12,131</w:t>
            </w:r>
          </w:p>
        </w:tc>
      </w:tr>
      <w:tr>
        <w:trPr>
          <w:trHeight w:val="267" w:hRule="atLeast"/>
        </w:trPr>
        <w:tc>
          <w:tcPr>
            <w:tcW w:w="5426" w:type="dxa"/>
            <w:tcBorders>
              <w:left w:val="single" w:sz="12" w:space="0" w:color="000000"/>
            </w:tcBorders>
          </w:tcPr>
          <w:p>
            <w:pPr>
              <w:pStyle w:val="TableParagraph"/>
              <w:spacing w:line="223" w:lineRule="exact" w:before="24"/>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39" w:type="dxa"/>
          </w:tcPr>
          <w:p>
            <w:pPr>
              <w:pStyle w:val="TableParagraph"/>
              <w:spacing w:before="5"/>
              <w:ind w:right="149"/>
              <w:jc w:val="right"/>
              <w:rPr>
                <w:sz w:val="20"/>
              </w:rPr>
            </w:pPr>
            <w:r>
              <w:rPr>
                <w:w w:val="99"/>
                <w:sz w:val="20"/>
              </w:rPr>
              <w:t>0</w:t>
            </w:r>
          </w:p>
        </w:tc>
        <w:tc>
          <w:tcPr>
            <w:tcW w:w="1228" w:type="dxa"/>
          </w:tcPr>
          <w:p>
            <w:pPr>
              <w:pStyle w:val="TableParagraph"/>
              <w:spacing w:before="5"/>
              <w:ind w:right="201"/>
              <w:jc w:val="right"/>
              <w:rPr>
                <w:sz w:val="20"/>
              </w:rPr>
            </w:pPr>
            <w:r>
              <w:rPr>
                <w:w w:val="99"/>
                <w:sz w:val="20"/>
              </w:rPr>
              <w:t>0</w:t>
            </w:r>
          </w:p>
        </w:tc>
        <w:tc>
          <w:tcPr>
            <w:tcW w:w="1371" w:type="dxa"/>
          </w:tcPr>
          <w:p>
            <w:pPr>
              <w:pStyle w:val="TableParagraph"/>
              <w:spacing w:before="5"/>
              <w:ind w:right="187"/>
              <w:jc w:val="right"/>
              <w:rPr>
                <w:sz w:val="20"/>
              </w:rPr>
            </w:pPr>
            <w:r>
              <w:rPr>
                <w:w w:val="99"/>
                <w:sz w:val="20"/>
              </w:rPr>
              <w:t>0</w:t>
            </w:r>
          </w:p>
        </w:tc>
        <w:tc>
          <w:tcPr>
            <w:tcW w:w="1233" w:type="dxa"/>
            <w:tcBorders>
              <w:right w:val="single" w:sz="12" w:space="0" w:color="000000"/>
            </w:tcBorders>
          </w:tcPr>
          <w:p>
            <w:pPr>
              <w:pStyle w:val="TableParagraph"/>
              <w:spacing w:before="5"/>
              <w:ind w:right="73"/>
              <w:jc w:val="right"/>
              <w:rPr>
                <w:sz w:val="20"/>
              </w:rPr>
            </w:pPr>
            <w:r>
              <w:rPr>
                <w:w w:val="99"/>
                <w:sz w:val="20"/>
              </w:rPr>
              <w:t>0</w:t>
            </w:r>
          </w:p>
        </w:tc>
      </w:tr>
      <w:tr>
        <w:trPr>
          <w:trHeight w:val="268" w:hRule="atLeast"/>
        </w:trPr>
        <w:tc>
          <w:tcPr>
            <w:tcW w:w="5426" w:type="dxa"/>
            <w:tcBorders>
              <w:left w:val="single" w:sz="12" w:space="0" w:color="000000"/>
            </w:tcBorders>
          </w:tcPr>
          <w:p>
            <w:pPr>
              <w:pStyle w:val="TableParagraph"/>
              <w:spacing w:line="223" w:lineRule="exact" w:before="25"/>
              <w:ind w:left="107"/>
              <w:rPr>
                <w:sz w:val="20"/>
              </w:rPr>
            </w:pPr>
            <w:r>
              <w:rPr>
                <w:sz w:val="20"/>
              </w:rPr>
              <w:t>Vacant</w:t>
            </w:r>
            <w:r>
              <w:rPr>
                <w:spacing w:val="-7"/>
                <w:sz w:val="20"/>
              </w:rPr>
              <w:t> </w:t>
            </w:r>
            <w:r>
              <w:rPr>
                <w:spacing w:val="-2"/>
                <w:sz w:val="20"/>
              </w:rPr>
              <w:t>Position</w:t>
            </w:r>
          </w:p>
        </w:tc>
        <w:tc>
          <w:tcPr>
            <w:tcW w:w="1239" w:type="dxa"/>
          </w:tcPr>
          <w:p>
            <w:pPr>
              <w:pStyle w:val="TableParagraph"/>
              <w:spacing w:before="6"/>
              <w:ind w:right="151"/>
              <w:jc w:val="right"/>
              <w:rPr>
                <w:sz w:val="20"/>
              </w:rPr>
            </w:pPr>
            <w:r>
              <w:rPr>
                <w:spacing w:val="-5"/>
                <w:sz w:val="20"/>
              </w:rPr>
              <w:t>463</w:t>
            </w:r>
          </w:p>
        </w:tc>
        <w:tc>
          <w:tcPr>
            <w:tcW w:w="1228" w:type="dxa"/>
          </w:tcPr>
          <w:p>
            <w:pPr>
              <w:pStyle w:val="TableParagraph"/>
              <w:spacing w:before="6"/>
              <w:ind w:right="203"/>
              <w:jc w:val="right"/>
              <w:rPr>
                <w:sz w:val="20"/>
              </w:rPr>
            </w:pPr>
            <w:r>
              <w:rPr>
                <w:spacing w:val="-5"/>
                <w:sz w:val="20"/>
              </w:rPr>
              <w:t>470</w:t>
            </w:r>
          </w:p>
        </w:tc>
        <w:tc>
          <w:tcPr>
            <w:tcW w:w="1371" w:type="dxa"/>
          </w:tcPr>
          <w:p>
            <w:pPr>
              <w:pStyle w:val="TableParagraph"/>
              <w:spacing w:before="6"/>
              <w:ind w:right="190"/>
              <w:jc w:val="right"/>
              <w:rPr>
                <w:sz w:val="20"/>
              </w:rPr>
            </w:pPr>
            <w:r>
              <w:rPr>
                <w:spacing w:val="-5"/>
                <w:sz w:val="20"/>
              </w:rPr>
              <w:t>477</w:t>
            </w:r>
          </w:p>
        </w:tc>
        <w:tc>
          <w:tcPr>
            <w:tcW w:w="1233" w:type="dxa"/>
            <w:tcBorders>
              <w:right w:val="single" w:sz="12" w:space="0" w:color="000000"/>
            </w:tcBorders>
          </w:tcPr>
          <w:p>
            <w:pPr>
              <w:pStyle w:val="TableParagraph"/>
              <w:spacing w:before="6"/>
              <w:ind w:right="76"/>
              <w:jc w:val="right"/>
              <w:rPr>
                <w:sz w:val="20"/>
              </w:rPr>
            </w:pPr>
            <w:r>
              <w:rPr>
                <w:spacing w:val="-5"/>
                <w:sz w:val="20"/>
              </w:rPr>
              <w:t>486</w:t>
            </w:r>
          </w:p>
        </w:tc>
      </w:tr>
      <w:tr>
        <w:trPr>
          <w:trHeight w:val="267" w:hRule="atLeast"/>
        </w:trPr>
        <w:tc>
          <w:tcPr>
            <w:tcW w:w="5426" w:type="dxa"/>
            <w:tcBorders>
              <w:left w:val="single" w:sz="12" w:space="0" w:color="000000"/>
            </w:tcBorders>
          </w:tcPr>
          <w:p>
            <w:pPr>
              <w:pStyle w:val="TableParagraph"/>
              <w:spacing w:line="222" w:lineRule="exact" w:before="25"/>
              <w:ind w:left="107"/>
              <w:rPr>
                <w:b/>
                <w:sz w:val="20"/>
              </w:rPr>
            </w:pPr>
            <w:r>
              <w:rPr>
                <w:b/>
                <w:sz w:val="20"/>
              </w:rPr>
              <w:t>Permanent</w:t>
            </w:r>
            <w:r>
              <w:rPr>
                <w:b/>
                <w:spacing w:val="-9"/>
                <w:sz w:val="20"/>
              </w:rPr>
              <w:t> </w:t>
            </w:r>
            <w:r>
              <w:rPr>
                <w:b/>
                <w:sz w:val="20"/>
              </w:rPr>
              <w:t>part</w:t>
            </w:r>
            <w:r>
              <w:rPr>
                <w:b/>
                <w:spacing w:val="-7"/>
                <w:sz w:val="20"/>
              </w:rPr>
              <w:t> </w:t>
            </w:r>
            <w:r>
              <w:rPr>
                <w:b/>
                <w:spacing w:val="-4"/>
                <w:sz w:val="20"/>
              </w:rPr>
              <w:t>time</w:t>
            </w:r>
          </w:p>
        </w:tc>
        <w:tc>
          <w:tcPr>
            <w:tcW w:w="1239" w:type="dxa"/>
          </w:tcPr>
          <w:p>
            <w:pPr>
              <w:pStyle w:val="TableParagraph"/>
              <w:spacing w:before="6"/>
              <w:ind w:right="150"/>
              <w:jc w:val="right"/>
              <w:rPr>
                <w:b/>
                <w:sz w:val="20"/>
              </w:rPr>
            </w:pPr>
            <w:r>
              <w:rPr>
                <w:b/>
                <w:spacing w:val="-2"/>
                <w:sz w:val="20"/>
              </w:rPr>
              <w:t>4,880</w:t>
            </w:r>
          </w:p>
        </w:tc>
        <w:tc>
          <w:tcPr>
            <w:tcW w:w="1228" w:type="dxa"/>
          </w:tcPr>
          <w:p>
            <w:pPr>
              <w:pStyle w:val="TableParagraph"/>
              <w:spacing w:before="6"/>
              <w:ind w:right="202"/>
              <w:jc w:val="right"/>
              <w:rPr>
                <w:b/>
                <w:sz w:val="20"/>
              </w:rPr>
            </w:pPr>
            <w:r>
              <w:rPr>
                <w:b/>
                <w:spacing w:val="-2"/>
                <w:sz w:val="20"/>
              </w:rPr>
              <w:t>4,946</w:t>
            </w:r>
          </w:p>
        </w:tc>
        <w:tc>
          <w:tcPr>
            <w:tcW w:w="1371" w:type="dxa"/>
          </w:tcPr>
          <w:p>
            <w:pPr>
              <w:pStyle w:val="TableParagraph"/>
              <w:spacing w:before="6"/>
              <w:ind w:right="189"/>
              <w:jc w:val="right"/>
              <w:rPr>
                <w:b/>
                <w:sz w:val="20"/>
              </w:rPr>
            </w:pPr>
            <w:r>
              <w:rPr>
                <w:b/>
                <w:spacing w:val="-2"/>
                <w:sz w:val="20"/>
              </w:rPr>
              <w:t>5,025</w:t>
            </w:r>
          </w:p>
        </w:tc>
        <w:tc>
          <w:tcPr>
            <w:tcW w:w="1233" w:type="dxa"/>
            <w:tcBorders>
              <w:right w:val="single" w:sz="12" w:space="0" w:color="000000"/>
            </w:tcBorders>
          </w:tcPr>
          <w:p>
            <w:pPr>
              <w:pStyle w:val="TableParagraph"/>
              <w:spacing w:before="6"/>
              <w:ind w:right="75"/>
              <w:jc w:val="right"/>
              <w:rPr>
                <w:b/>
                <w:sz w:val="20"/>
              </w:rPr>
            </w:pPr>
            <w:r>
              <w:rPr>
                <w:b/>
                <w:spacing w:val="-2"/>
                <w:sz w:val="20"/>
              </w:rPr>
              <w:t>5,122</w:t>
            </w:r>
          </w:p>
        </w:tc>
      </w:tr>
      <w:tr>
        <w:trPr>
          <w:trHeight w:val="267" w:hRule="atLeast"/>
        </w:trPr>
        <w:tc>
          <w:tcPr>
            <w:tcW w:w="5426" w:type="dxa"/>
            <w:tcBorders>
              <w:left w:val="single" w:sz="12" w:space="0" w:color="000000"/>
            </w:tcBorders>
          </w:tcPr>
          <w:p>
            <w:pPr>
              <w:pStyle w:val="TableParagraph"/>
              <w:spacing w:line="223" w:lineRule="exact" w:before="24"/>
              <w:ind w:left="107"/>
              <w:rPr>
                <w:sz w:val="20"/>
              </w:rPr>
            </w:pPr>
            <w:r>
              <w:rPr>
                <w:spacing w:val="-2"/>
                <w:sz w:val="20"/>
              </w:rPr>
              <w:t>Women</w:t>
            </w:r>
          </w:p>
        </w:tc>
        <w:tc>
          <w:tcPr>
            <w:tcW w:w="1239" w:type="dxa"/>
          </w:tcPr>
          <w:p>
            <w:pPr>
              <w:pStyle w:val="TableParagraph"/>
              <w:spacing w:before="5"/>
              <w:ind w:right="150"/>
              <w:jc w:val="right"/>
              <w:rPr>
                <w:sz w:val="20"/>
              </w:rPr>
            </w:pPr>
            <w:r>
              <w:rPr>
                <w:spacing w:val="-2"/>
                <w:sz w:val="20"/>
              </w:rPr>
              <w:t>4,321</w:t>
            </w:r>
          </w:p>
        </w:tc>
        <w:tc>
          <w:tcPr>
            <w:tcW w:w="1228" w:type="dxa"/>
          </w:tcPr>
          <w:p>
            <w:pPr>
              <w:pStyle w:val="TableParagraph"/>
              <w:spacing w:before="5"/>
              <w:ind w:right="202"/>
              <w:jc w:val="right"/>
              <w:rPr>
                <w:sz w:val="20"/>
              </w:rPr>
            </w:pPr>
            <w:r>
              <w:rPr>
                <w:spacing w:val="-2"/>
                <w:sz w:val="20"/>
              </w:rPr>
              <w:t>4,379</w:t>
            </w:r>
          </w:p>
        </w:tc>
        <w:tc>
          <w:tcPr>
            <w:tcW w:w="1371" w:type="dxa"/>
          </w:tcPr>
          <w:p>
            <w:pPr>
              <w:pStyle w:val="TableParagraph"/>
              <w:spacing w:before="5"/>
              <w:ind w:right="189"/>
              <w:jc w:val="right"/>
              <w:rPr>
                <w:sz w:val="20"/>
              </w:rPr>
            </w:pPr>
            <w:r>
              <w:rPr>
                <w:spacing w:val="-2"/>
                <w:sz w:val="20"/>
              </w:rPr>
              <w:t>4,450</w:t>
            </w:r>
          </w:p>
        </w:tc>
        <w:tc>
          <w:tcPr>
            <w:tcW w:w="1233" w:type="dxa"/>
            <w:tcBorders>
              <w:right w:val="single" w:sz="12" w:space="0" w:color="000000"/>
            </w:tcBorders>
          </w:tcPr>
          <w:p>
            <w:pPr>
              <w:pStyle w:val="TableParagraph"/>
              <w:spacing w:before="5"/>
              <w:ind w:right="75"/>
              <w:jc w:val="right"/>
              <w:rPr>
                <w:sz w:val="20"/>
              </w:rPr>
            </w:pPr>
            <w:r>
              <w:rPr>
                <w:spacing w:val="-2"/>
                <w:sz w:val="20"/>
              </w:rPr>
              <w:t>4,535</w:t>
            </w:r>
          </w:p>
        </w:tc>
      </w:tr>
      <w:tr>
        <w:trPr>
          <w:trHeight w:val="268" w:hRule="atLeast"/>
        </w:trPr>
        <w:tc>
          <w:tcPr>
            <w:tcW w:w="5426" w:type="dxa"/>
            <w:tcBorders>
              <w:left w:val="single" w:sz="12" w:space="0" w:color="000000"/>
            </w:tcBorders>
          </w:tcPr>
          <w:p>
            <w:pPr>
              <w:pStyle w:val="TableParagraph"/>
              <w:spacing w:line="223" w:lineRule="exact" w:before="25"/>
              <w:ind w:left="107"/>
              <w:rPr>
                <w:sz w:val="20"/>
              </w:rPr>
            </w:pPr>
            <w:r>
              <w:rPr>
                <w:spacing w:val="-5"/>
                <w:sz w:val="20"/>
              </w:rPr>
              <w:t>Men</w:t>
            </w:r>
          </w:p>
        </w:tc>
        <w:tc>
          <w:tcPr>
            <w:tcW w:w="1239" w:type="dxa"/>
          </w:tcPr>
          <w:p>
            <w:pPr>
              <w:pStyle w:val="TableParagraph"/>
              <w:spacing w:before="6"/>
              <w:ind w:right="151"/>
              <w:jc w:val="right"/>
              <w:rPr>
                <w:sz w:val="20"/>
              </w:rPr>
            </w:pPr>
            <w:r>
              <w:rPr>
                <w:spacing w:val="-5"/>
                <w:sz w:val="20"/>
              </w:rPr>
              <w:t>427</w:t>
            </w:r>
          </w:p>
        </w:tc>
        <w:tc>
          <w:tcPr>
            <w:tcW w:w="1228" w:type="dxa"/>
          </w:tcPr>
          <w:p>
            <w:pPr>
              <w:pStyle w:val="TableParagraph"/>
              <w:spacing w:before="6"/>
              <w:ind w:right="203"/>
              <w:jc w:val="right"/>
              <w:rPr>
                <w:sz w:val="20"/>
              </w:rPr>
            </w:pPr>
            <w:r>
              <w:rPr>
                <w:spacing w:val="-5"/>
                <w:sz w:val="20"/>
              </w:rPr>
              <w:t>432</w:t>
            </w:r>
          </w:p>
        </w:tc>
        <w:tc>
          <w:tcPr>
            <w:tcW w:w="1371" w:type="dxa"/>
          </w:tcPr>
          <w:p>
            <w:pPr>
              <w:pStyle w:val="TableParagraph"/>
              <w:spacing w:before="6"/>
              <w:ind w:right="190"/>
              <w:jc w:val="right"/>
              <w:rPr>
                <w:sz w:val="20"/>
              </w:rPr>
            </w:pPr>
            <w:r>
              <w:rPr>
                <w:spacing w:val="-5"/>
                <w:sz w:val="20"/>
              </w:rPr>
              <w:t>439</w:t>
            </w:r>
          </w:p>
        </w:tc>
        <w:tc>
          <w:tcPr>
            <w:tcW w:w="1233" w:type="dxa"/>
            <w:tcBorders>
              <w:right w:val="single" w:sz="12" w:space="0" w:color="000000"/>
            </w:tcBorders>
          </w:tcPr>
          <w:p>
            <w:pPr>
              <w:pStyle w:val="TableParagraph"/>
              <w:spacing w:before="6"/>
              <w:ind w:right="76"/>
              <w:jc w:val="right"/>
              <w:rPr>
                <w:sz w:val="20"/>
              </w:rPr>
            </w:pPr>
            <w:r>
              <w:rPr>
                <w:spacing w:val="-5"/>
                <w:sz w:val="20"/>
              </w:rPr>
              <w:t>448</w:t>
            </w:r>
          </w:p>
        </w:tc>
      </w:tr>
      <w:tr>
        <w:trPr>
          <w:trHeight w:val="267" w:hRule="atLeast"/>
        </w:trPr>
        <w:tc>
          <w:tcPr>
            <w:tcW w:w="5426" w:type="dxa"/>
            <w:tcBorders>
              <w:left w:val="single" w:sz="12" w:space="0" w:color="000000"/>
            </w:tcBorders>
          </w:tcPr>
          <w:p>
            <w:pPr>
              <w:pStyle w:val="TableParagraph"/>
              <w:spacing w:line="222" w:lineRule="exact" w:before="25"/>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39" w:type="dxa"/>
          </w:tcPr>
          <w:p>
            <w:pPr>
              <w:pStyle w:val="TableParagraph"/>
              <w:spacing w:before="6"/>
              <w:ind w:right="149"/>
              <w:jc w:val="right"/>
              <w:rPr>
                <w:sz w:val="20"/>
              </w:rPr>
            </w:pPr>
            <w:r>
              <w:rPr>
                <w:w w:val="99"/>
                <w:sz w:val="20"/>
              </w:rPr>
              <w:t>0</w:t>
            </w:r>
          </w:p>
        </w:tc>
        <w:tc>
          <w:tcPr>
            <w:tcW w:w="1228" w:type="dxa"/>
          </w:tcPr>
          <w:p>
            <w:pPr>
              <w:pStyle w:val="TableParagraph"/>
              <w:spacing w:before="6"/>
              <w:ind w:right="201"/>
              <w:jc w:val="right"/>
              <w:rPr>
                <w:sz w:val="20"/>
              </w:rPr>
            </w:pPr>
            <w:r>
              <w:rPr>
                <w:w w:val="99"/>
                <w:sz w:val="20"/>
              </w:rPr>
              <w:t>0</w:t>
            </w:r>
          </w:p>
        </w:tc>
        <w:tc>
          <w:tcPr>
            <w:tcW w:w="1371" w:type="dxa"/>
          </w:tcPr>
          <w:p>
            <w:pPr>
              <w:pStyle w:val="TableParagraph"/>
              <w:spacing w:before="6"/>
              <w:ind w:right="187"/>
              <w:jc w:val="right"/>
              <w:rPr>
                <w:sz w:val="20"/>
              </w:rPr>
            </w:pPr>
            <w:r>
              <w:rPr>
                <w:w w:val="99"/>
                <w:sz w:val="20"/>
              </w:rPr>
              <w:t>0</w:t>
            </w:r>
          </w:p>
        </w:tc>
        <w:tc>
          <w:tcPr>
            <w:tcW w:w="1233" w:type="dxa"/>
            <w:tcBorders>
              <w:right w:val="single" w:sz="12" w:space="0" w:color="000000"/>
            </w:tcBorders>
          </w:tcPr>
          <w:p>
            <w:pPr>
              <w:pStyle w:val="TableParagraph"/>
              <w:spacing w:before="6"/>
              <w:ind w:right="73"/>
              <w:jc w:val="right"/>
              <w:rPr>
                <w:sz w:val="20"/>
              </w:rPr>
            </w:pPr>
            <w:r>
              <w:rPr>
                <w:w w:val="99"/>
                <w:sz w:val="20"/>
              </w:rPr>
              <w:t>0</w:t>
            </w:r>
          </w:p>
        </w:tc>
      </w:tr>
      <w:tr>
        <w:trPr>
          <w:trHeight w:val="254" w:hRule="atLeast"/>
        </w:trPr>
        <w:tc>
          <w:tcPr>
            <w:tcW w:w="5426" w:type="dxa"/>
            <w:tcBorders>
              <w:left w:val="single" w:sz="12" w:space="0" w:color="000000"/>
            </w:tcBorders>
          </w:tcPr>
          <w:p>
            <w:pPr>
              <w:pStyle w:val="TableParagraph"/>
              <w:spacing w:line="211" w:lineRule="exact" w:before="24"/>
              <w:ind w:left="107"/>
              <w:rPr>
                <w:sz w:val="20"/>
              </w:rPr>
            </w:pPr>
            <w:r>
              <w:rPr>
                <w:sz w:val="20"/>
              </w:rPr>
              <w:t>Vacant</w:t>
            </w:r>
            <w:r>
              <w:rPr>
                <w:spacing w:val="-7"/>
                <w:sz w:val="20"/>
              </w:rPr>
              <w:t> </w:t>
            </w:r>
            <w:r>
              <w:rPr>
                <w:spacing w:val="-2"/>
                <w:sz w:val="20"/>
              </w:rPr>
              <w:t>Position</w:t>
            </w:r>
          </w:p>
        </w:tc>
        <w:tc>
          <w:tcPr>
            <w:tcW w:w="1239" w:type="dxa"/>
            <w:tcBorders>
              <w:bottom w:val="single" w:sz="4" w:space="0" w:color="000000"/>
            </w:tcBorders>
          </w:tcPr>
          <w:p>
            <w:pPr>
              <w:pStyle w:val="TableParagraph"/>
              <w:spacing w:before="5"/>
              <w:ind w:right="151"/>
              <w:jc w:val="right"/>
              <w:rPr>
                <w:sz w:val="20"/>
              </w:rPr>
            </w:pPr>
            <w:r>
              <w:rPr>
                <w:spacing w:val="-5"/>
                <w:sz w:val="20"/>
              </w:rPr>
              <w:t>132</w:t>
            </w:r>
          </w:p>
        </w:tc>
        <w:tc>
          <w:tcPr>
            <w:tcW w:w="1228" w:type="dxa"/>
            <w:tcBorders>
              <w:bottom w:val="single" w:sz="4" w:space="0" w:color="000000"/>
            </w:tcBorders>
          </w:tcPr>
          <w:p>
            <w:pPr>
              <w:pStyle w:val="TableParagraph"/>
              <w:spacing w:before="5"/>
              <w:ind w:right="203"/>
              <w:jc w:val="right"/>
              <w:rPr>
                <w:sz w:val="20"/>
              </w:rPr>
            </w:pPr>
            <w:r>
              <w:rPr>
                <w:spacing w:val="-5"/>
                <w:sz w:val="20"/>
              </w:rPr>
              <w:t>134</w:t>
            </w:r>
          </w:p>
        </w:tc>
        <w:tc>
          <w:tcPr>
            <w:tcW w:w="1371" w:type="dxa"/>
            <w:tcBorders>
              <w:bottom w:val="single" w:sz="4" w:space="0" w:color="000000"/>
            </w:tcBorders>
          </w:tcPr>
          <w:p>
            <w:pPr>
              <w:pStyle w:val="TableParagraph"/>
              <w:spacing w:before="5"/>
              <w:ind w:right="190"/>
              <w:jc w:val="right"/>
              <w:rPr>
                <w:sz w:val="20"/>
              </w:rPr>
            </w:pPr>
            <w:r>
              <w:rPr>
                <w:spacing w:val="-5"/>
                <w:sz w:val="20"/>
              </w:rPr>
              <w:t>136</w:t>
            </w:r>
          </w:p>
        </w:tc>
        <w:tc>
          <w:tcPr>
            <w:tcW w:w="1233" w:type="dxa"/>
            <w:tcBorders>
              <w:bottom w:val="single" w:sz="4" w:space="0" w:color="000000"/>
              <w:right w:val="single" w:sz="12" w:space="0" w:color="000000"/>
            </w:tcBorders>
          </w:tcPr>
          <w:p>
            <w:pPr>
              <w:pStyle w:val="TableParagraph"/>
              <w:spacing w:before="5"/>
              <w:ind w:right="76"/>
              <w:jc w:val="right"/>
              <w:rPr>
                <w:sz w:val="20"/>
              </w:rPr>
            </w:pPr>
            <w:r>
              <w:rPr>
                <w:spacing w:val="-5"/>
                <w:sz w:val="20"/>
              </w:rPr>
              <w:t>139</w:t>
            </w:r>
          </w:p>
        </w:tc>
      </w:tr>
      <w:tr>
        <w:trPr>
          <w:trHeight w:val="268" w:hRule="atLeast"/>
        </w:trPr>
        <w:tc>
          <w:tcPr>
            <w:tcW w:w="5426" w:type="dxa"/>
            <w:tcBorders>
              <w:left w:val="single" w:sz="12" w:space="0" w:color="000000"/>
            </w:tcBorders>
          </w:tcPr>
          <w:p>
            <w:pPr>
              <w:pStyle w:val="TableParagraph"/>
              <w:spacing w:line="211" w:lineRule="exact" w:before="38"/>
              <w:ind w:left="107"/>
              <w:rPr>
                <w:b/>
                <w:sz w:val="20"/>
              </w:rPr>
            </w:pPr>
            <w:r>
              <w:rPr>
                <w:b/>
                <w:sz w:val="20"/>
              </w:rPr>
              <w:t>Total</w:t>
            </w:r>
            <w:r>
              <w:rPr>
                <w:b/>
                <w:spacing w:val="-5"/>
                <w:sz w:val="20"/>
              </w:rPr>
              <w:t> </w:t>
            </w:r>
            <w:r>
              <w:rPr>
                <w:b/>
                <w:sz w:val="20"/>
              </w:rPr>
              <w:t>Assets</w:t>
            </w:r>
            <w:r>
              <w:rPr>
                <w:b/>
                <w:spacing w:val="-6"/>
                <w:sz w:val="20"/>
              </w:rPr>
              <w:t> </w:t>
            </w:r>
            <w:r>
              <w:rPr>
                <w:b/>
                <w:sz w:val="20"/>
              </w:rPr>
              <w:t>&amp;</w:t>
            </w:r>
            <w:r>
              <w:rPr>
                <w:b/>
                <w:spacing w:val="-5"/>
                <w:sz w:val="20"/>
              </w:rPr>
              <w:t> </w:t>
            </w:r>
            <w:r>
              <w:rPr>
                <w:b/>
                <w:spacing w:val="-2"/>
                <w:sz w:val="20"/>
              </w:rPr>
              <w:t>Leisure</w:t>
            </w:r>
          </w:p>
        </w:tc>
        <w:tc>
          <w:tcPr>
            <w:tcW w:w="1239" w:type="dxa"/>
            <w:tcBorders>
              <w:top w:val="single" w:sz="4" w:space="0" w:color="000000"/>
              <w:bottom w:val="single" w:sz="4" w:space="0" w:color="000000"/>
            </w:tcBorders>
          </w:tcPr>
          <w:p>
            <w:pPr>
              <w:pStyle w:val="TableParagraph"/>
              <w:spacing w:before="18"/>
              <w:ind w:right="151"/>
              <w:jc w:val="right"/>
              <w:rPr>
                <w:b/>
                <w:sz w:val="20"/>
              </w:rPr>
            </w:pPr>
            <w:r>
              <w:rPr>
                <w:b/>
                <w:spacing w:val="-2"/>
                <w:sz w:val="20"/>
              </w:rPr>
              <w:t>19,267</w:t>
            </w:r>
          </w:p>
        </w:tc>
        <w:tc>
          <w:tcPr>
            <w:tcW w:w="1228" w:type="dxa"/>
            <w:tcBorders>
              <w:top w:val="single" w:sz="4" w:space="0" w:color="000000"/>
              <w:bottom w:val="single" w:sz="4" w:space="0" w:color="000000"/>
            </w:tcBorders>
          </w:tcPr>
          <w:p>
            <w:pPr>
              <w:pStyle w:val="TableParagraph"/>
              <w:spacing w:before="18"/>
              <w:ind w:right="203"/>
              <w:jc w:val="right"/>
              <w:rPr>
                <w:b/>
                <w:sz w:val="20"/>
              </w:rPr>
            </w:pPr>
            <w:r>
              <w:rPr>
                <w:b/>
                <w:spacing w:val="-2"/>
                <w:sz w:val="20"/>
              </w:rPr>
              <w:t>19,526</w:t>
            </w:r>
          </w:p>
        </w:tc>
        <w:tc>
          <w:tcPr>
            <w:tcW w:w="1371" w:type="dxa"/>
            <w:tcBorders>
              <w:top w:val="single" w:sz="4" w:space="0" w:color="000000"/>
              <w:bottom w:val="single" w:sz="4" w:space="0" w:color="000000"/>
            </w:tcBorders>
          </w:tcPr>
          <w:p>
            <w:pPr>
              <w:pStyle w:val="TableParagraph"/>
              <w:spacing w:before="18"/>
              <w:ind w:right="191"/>
              <w:jc w:val="right"/>
              <w:rPr>
                <w:b/>
                <w:sz w:val="20"/>
              </w:rPr>
            </w:pPr>
            <w:r>
              <w:rPr>
                <w:b/>
                <w:spacing w:val="-2"/>
                <w:sz w:val="20"/>
              </w:rPr>
              <w:t>19,839</w:t>
            </w:r>
          </w:p>
        </w:tc>
        <w:tc>
          <w:tcPr>
            <w:tcW w:w="1233" w:type="dxa"/>
            <w:tcBorders>
              <w:top w:val="single" w:sz="4" w:space="0" w:color="000000"/>
              <w:bottom w:val="single" w:sz="4" w:space="0" w:color="000000"/>
              <w:right w:val="single" w:sz="12" w:space="0" w:color="000000"/>
            </w:tcBorders>
          </w:tcPr>
          <w:p>
            <w:pPr>
              <w:pStyle w:val="TableParagraph"/>
              <w:spacing w:before="18"/>
              <w:ind w:right="77"/>
              <w:jc w:val="right"/>
              <w:rPr>
                <w:b/>
                <w:sz w:val="20"/>
              </w:rPr>
            </w:pPr>
            <w:r>
              <w:rPr>
                <w:b/>
                <w:spacing w:val="-2"/>
                <w:sz w:val="20"/>
              </w:rPr>
              <w:t>20,221</w:t>
            </w:r>
          </w:p>
        </w:tc>
      </w:tr>
      <w:tr>
        <w:trPr>
          <w:trHeight w:val="281" w:hRule="atLeast"/>
        </w:trPr>
        <w:tc>
          <w:tcPr>
            <w:tcW w:w="5426" w:type="dxa"/>
            <w:tcBorders>
              <w:left w:val="single" w:sz="12" w:space="0" w:color="000000"/>
            </w:tcBorders>
          </w:tcPr>
          <w:p>
            <w:pPr>
              <w:pStyle w:val="TableParagraph"/>
              <w:spacing w:line="223" w:lineRule="exact" w:before="38"/>
              <w:ind w:left="107"/>
              <w:rPr>
                <w:b/>
                <w:sz w:val="20"/>
              </w:rPr>
            </w:pPr>
            <w:r>
              <w:rPr>
                <w:b/>
                <w:sz w:val="20"/>
              </w:rPr>
              <w:t>Chief</w:t>
            </w:r>
            <w:r>
              <w:rPr>
                <w:b/>
                <w:spacing w:val="-9"/>
                <w:sz w:val="20"/>
              </w:rPr>
              <w:t> </w:t>
            </w:r>
            <w:r>
              <w:rPr>
                <w:b/>
                <w:sz w:val="20"/>
              </w:rPr>
              <w:t>Executive's</w:t>
            </w:r>
            <w:r>
              <w:rPr>
                <w:b/>
                <w:spacing w:val="-9"/>
                <w:sz w:val="20"/>
              </w:rPr>
              <w:t> </w:t>
            </w:r>
            <w:r>
              <w:rPr>
                <w:b/>
                <w:spacing w:val="-2"/>
                <w:sz w:val="20"/>
              </w:rPr>
              <w:t>office</w:t>
            </w:r>
          </w:p>
        </w:tc>
        <w:tc>
          <w:tcPr>
            <w:tcW w:w="1239" w:type="dxa"/>
            <w:tcBorders>
              <w:top w:val="single" w:sz="4" w:space="0" w:color="000000"/>
            </w:tcBorders>
          </w:tcPr>
          <w:p>
            <w:pPr>
              <w:pStyle w:val="TableParagraph"/>
              <w:rPr>
                <w:rFonts w:ascii="Times New Roman"/>
                <w:sz w:val="18"/>
              </w:rPr>
            </w:pPr>
          </w:p>
        </w:tc>
        <w:tc>
          <w:tcPr>
            <w:tcW w:w="1228" w:type="dxa"/>
            <w:tcBorders>
              <w:top w:val="single" w:sz="4" w:space="0" w:color="000000"/>
            </w:tcBorders>
          </w:tcPr>
          <w:p>
            <w:pPr>
              <w:pStyle w:val="TableParagraph"/>
              <w:rPr>
                <w:rFonts w:ascii="Times New Roman"/>
                <w:sz w:val="18"/>
              </w:rPr>
            </w:pPr>
          </w:p>
        </w:tc>
        <w:tc>
          <w:tcPr>
            <w:tcW w:w="1371" w:type="dxa"/>
            <w:tcBorders>
              <w:top w:val="single" w:sz="4" w:space="0" w:color="000000"/>
            </w:tcBorders>
          </w:tcPr>
          <w:p>
            <w:pPr>
              <w:pStyle w:val="TableParagraph"/>
              <w:rPr>
                <w:rFonts w:ascii="Times New Roman"/>
                <w:sz w:val="18"/>
              </w:rPr>
            </w:pPr>
          </w:p>
        </w:tc>
        <w:tc>
          <w:tcPr>
            <w:tcW w:w="1233" w:type="dxa"/>
            <w:tcBorders>
              <w:top w:val="single" w:sz="4" w:space="0" w:color="000000"/>
              <w:right w:val="single" w:sz="12" w:space="0" w:color="000000"/>
            </w:tcBorders>
          </w:tcPr>
          <w:p>
            <w:pPr>
              <w:pStyle w:val="TableParagraph"/>
              <w:rPr>
                <w:rFonts w:ascii="Times New Roman"/>
                <w:sz w:val="18"/>
              </w:rPr>
            </w:pPr>
          </w:p>
        </w:tc>
      </w:tr>
      <w:tr>
        <w:trPr>
          <w:trHeight w:val="267" w:hRule="atLeast"/>
        </w:trPr>
        <w:tc>
          <w:tcPr>
            <w:tcW w:w="5426" w:type="dxa"/>
            <w:tcBorders>
              <w:left w:val="single" w:sz="12" w:space="0" w:color="000000"/>
            </w:tcBorders>
          </w:tcPr>
          <w:p>
            <w:pPr>
              <w:pStyle w:val="TableParagraph"/>
              <w:spacing w:line="222" w:lineRule="exact" w:before="25"/>
              <w:ind w:left="107"/>
              <w:rPr>
                <w:b/>
                <w:sz w:val="20"/>
              </w:rPr>
            </w:pPr>
            <w:r>
              <w:rPr>
                <w:b/>
                <w:sz w:val="20"/>
              </w:rPr>
              <w:t>Permanent</w:t>
            </w:r>
            <w:r>
              <w:rPr>
                <w:b/>
                <w:spacing w:val="-9"/>
                <w:sz w:val="20"/>
              </w:rPr>
              <w:t> </w:t>
            </w:r>
            <w:r>
              <w:rPr>
                <w:b/>
                <w:sz w:val="20"/>
              </w:rPr>
              <w:t>full</w:t>
            </w:r>
            <w:r>
              <w:rPr>
                <w:b/>
                <w:spacing w:val="-8"/>
                <w:sz w:val="20"/>
              </w:rPr>
              <w:t> </w:t>
            </w:r>
            <w:r>
              <w:rPr>
                <w:b/>
                <w:spacing w:val="-4"/>
                <w:sz w:val="20"/>
              </w:rPr>
              <w:t>time</w:t>
            </w:r>
          </w:p>
        </w:tc>
        <w:tc>
          <w:tcPr>
            <w:tcW w:w="1239" w:type="dxa"/>
          </w:tcPr>
          <w:p>
            <w:pPr>
              <w:pStyle w:val="TableParagraph"/>
              <w:spacing w:before="6"/>
              <w:ind w:right="150"/>
              <w:jc w:val="right"/>
              <w:rPr>
                <w:b/>
                <w:sz w:val="20"/>
              </w:rPr>
            </w:pPr>
            <w:r>
              <w:rPr>
                <w:b/>
                <w:spacing w:val="-2"/>
                <w:sz w:val="20"/>
              </w:rPr>
              <w:t>1,104</w:t>
            </w:r>
          </w:p>
        </w:tc>
        <w:tc>
          <w:tcPr>
            <w:tcW w:w="1228" w:type="dxa"/>
          </w:tcPr>
          <w:p>
            <w:pPr>
              <w:pStyle w:val="TableParagraph"/>
              <w:spacing w:before="6"/>
              <w:ind w:right="202"/>
              <w:jc w:val="right"/>
              <w:rPr>
                <w:b/>
                <w:sz w:val="20"/>
              </w:rPr>
            </w:pPr>
            <w:r>
              <w:rPr>
                <w:b/>
                <w:spacing w:val="-2"/>
                <w:sz w:val="20"/>
              </w:rPr>
              <w:t>1,119</w:t>
            </w:r>
          </w:p>
        </w:tc>
        <w:tc>
          <w:tcPr>
            <w:tcW w:w="1371" w:type="dxa"/>
          </w:tcPr>
          <w:p>
            <w:pPr>
              <w:pStyle w:val="TableParagraph"/>
              <w:spacing w:before="6"/>
              <w:ind w:right="189"/>
              <w:jc w:val="right"/>
              <w:rPr>
                <w:b/>
                <w:sz w:val="20"/>
              </w:rPr>
            </w:pPr>
            <w:r>
              <w:rPr>
                <w:b/>
                <w:spacing w:val="-2"/>
                <w:sz w:val="20"/>
              </w:rPr>
              <w:t>1,137</w:t>
            </w:r>
          </w:p>
        </w:tc>
        <w:tc>
          <w:tcPr>
            <w:tcW w:w="1233" w:type="dxa"/>
            <w:tcBorders>
              <w:right w:val="single" w:sz="12" w:space="0" w:color="000000"/>
            </w:tcBorders>
          </w:tcPr>
          <w:p>
            <w:pPr>
              <w:pStyle w:val="TableParagraph"/>
              <w:spacing w:before="6"/>
              <w:ind w:right="75"/>
              <w:jc w:val="right"/>
              <w:rPr>
                <w:b/>
                <w:sz w:val="20"/>
              </w:rPr>
            </w:pPr>
            <w:r>
              <w:rPr>
                <w:b/>
                <w:spacing w:val="-2"/>
                <w:sz w:val="20"/>
              </w:rPr>
              <w:t>1,159</w:t>
            </w:r>
          </w:p>
        </w:tc>
      </w:tr>
      <w:tr>
        <w:trPr>
          <w:trHeight w:val="267" w:hRule="atLeast"/>
        </w:trPr>
        <w:tc>
          <w:tcPr>
            <w:tcW w:w="5426" w:type="dxa"/>
            <w:tcBorders>
              <w:left w:val="single" w:sz="12" w:space="0" w:color="000000"/>
            </w:tcBorders>
          </w:tcPr>
          <w:p>
            <w:pPr>
              <w:pStyle w:val="TableParagraph"/>
              <w:spacing w:line="223" w:lineRule="exact" w:before="24"/>
              <w:ind w:left="107"/>
              <w:rPr>
                <w:sz w:val="20"/>
              </w:rPr>
            </w:pPr>
            <w:r>
              <w:rPr>
                <w:spacing w:val="-2"/>
                <w:sz w:val="20"/>
              </w:rPr>
              <w:t>Women</w:t>
            </w:r>
          </w:p>
        </w:tc>
        <w:tc>
          <w:tcPr>
            <w:tcW w:w="1239" w:type="dxa"/>
          </w:tcPr>
          <w:p>
            <w:pPr>
              <w:pStyle w:val="TableParagraph"/>
              <w:spacing w:before="5"/>
              <w:ind w:right="151"/>
              <w:jc w:val="right"/>
              <w:rPr>
                <w:sz w:val="20"/>
              </w:rPr>
            </w:pPr>
            <w:r>
              <w:rPr>
                <w:spacing w:val="-5"/>
                <w:sz w:val="20"/>
              </w:rPr>
              <w:t>595</w:t>
            </w:r>
          </w:p>
        </w:tc>
        <w:tc>
          <w:tcPr>
            <w:tcW w:w="1228" w:type="dxa"/>
          </w:tcPr>
          <w:p>
            <w:pPr>
              <w:pStyle w:val="TableParagraph"/>
              <w:spacing w:before="5"/>
              <w:ind w:right="203"/>
              <w:jc w:val="right"/>
              <w:rPr>
                <w:sz w:val="20"/>
              </w:rPr>
            </w:pPr>
            <w:r>
              <w:rPr>
                <w:spacing w:val="-5"/>
                <w:sz w:val="20"/>
              </w:rPr>
              <w:t>603</w:t>
            </w:r>
          </w:p>
        </w:tc>
        <w:tc>
          <w:tcPr>
            <w:tcW w:w="1371" w:type="dxa"/>
          </w:tcPr>
          <w:p>
            <w:pPr>
              <w:pStyle w:val="TableParagraph"/>
              <w:spacing w:before="5"/>
              <w:ind w:right="190"/>
              <w:jc w:val="right"/>
              <w:rPr>
                <w:sz w:val="20"/>
              </w:rPr>
            </w:pPr>
            <w:r>
              <w:rPr>
                <w:spacing w:val="-5"/>
                <w:sz w:val="20"/>
              </w:rPr>
              <w:t>613</w:t>
            </w:r>
          </w:p>
        </w:tc>
        <w:tc>
          <w:tcPr>
            <w:tcW w:w="1233" w:type="dxa"/>
            <w:tcBorders>
              <w:right w:val="single" w:sz="12" w:space="0" w:color="000000"/>
            </w:tcBorders>
          </w:tcPr>
          <w:p>
            <w:pPr>
              <w:pStyle w:val="TableParagraph"/>
              <w:spacing w:before="5"/>
              <w:ind w:right="76"/>
              <w:jc w:val="right"/>
              <w:rPr>
                <w:sz w:val="20"/>
              </w:rPr>
            </w:pPr>
            <w:r>
              <w:rPr>
                <w:spacing w:val="-5"/>
                <w:sz w:val="20"/>
              </w:rPr>
              <w:t>625</w:t>
            </w:r>
          </w:p>
        </w:tc>
      </w:tr>
      <w:tr>
        <w:trPr>
          <w:trHeight w:val="268" w:hRule="atLeast"/>
        </w:trPr>
        <w:tc>
          <w:tcPr>
            <w:tcW w:w="5426" w:type="dxa"/>
            <w:tcBorders>
              <w:left w:val="single" w:sz="12" w:space="0" w:color="000000"/>
            </w:tcBorders>
          </w:tcPr>
          <w:p>
            <w:pPr>
              <w:pStyle w:val="TableParagraph"/>
              <w:spacing w:line="223" w:lineRule="exact" w:before="25"/>
              <w:ind w:left="107"/>
              <w:rPr>
                <w:sz w:val="20"/>
              </w:rPr>
            </w:pPr>
            <w:r>
              <w:rPr>
                <w:spacing w:val="-5"/>
                <w:sz w:val="20"/>
              </w:rPr>
              <w:t>Men</w:t>
            </w:r>
          </w:p>
        </w:tc>
        <w:tc>
          <w:tcPr>
            <w:tcW w:w="1239" w:type="dxa"/>
          </w:tcPr>
          <w:p>
            <w:pPr>
              <w:pStyle w:val="TableParagraph"/>
              <w:spacing w:before="6"/>
              <w:ind w:right="151"/>
              <w:jc w:val="right"/>
              <w:rPr>
                <w:sz w:val="20"/>
              </w:rPr>
            </w:pPr>
            <w:r>
              <w:rPr>
                <w:spacing w:val="-5"/>
                <w:sz w:val="20"/>
              </w:rPr>
              <w:t>509</w:t>
            </w:r>
          </w:p>
        </w:tc>
        <w:tc>
          <w:tcPr>
            <w:tcW w:w="1228" w:type="dxa"/>
          </w:tcPr>
          <w:p>
            <w:pPr>
              <w:pStyle w:val="TableParagraph"/>
              <w:spacing w:before="6"/>
              <w:ind w:right="203"/>
              <w:jc w:val="right"/>
              <w:rPr>
                <w:sz w:val="20"/>
              </w:rPr>
            </w:pPr>
            <w:r>
              <w:rPr>
                <w:spacing w:val="-5"/>
                <w:sz w:val="20"/>
              </w:rPr>
              <w:t>516</w:t>
            </w:r>
          </w:p>
        </w:tc>
        <w:tc>
          <w:tcPr>
            <w:tcW w:w="1371" w:type="dxa"/>
          </w:tcPr>
          <w:p>
            <w:pPr>
              <w:pStyle w:val="TableParagraph"/>
              <w:spacing w:before="6"/>
              <w:ind w:right="190"/>
              <w:jc w:val="right"/>
              <w:rPr>
                <w:sz w:val="20"/>
              </w:rPr>
            </w:pPr>
            <w:r>
              <w:rPr>
                <w:spacing w:val="-5"/>
                <w:sz w:val="20"/>
              </w:rPr>
              <w:t>524</w:t>
            </w:r>
          </w:p>
        </w:tc>
        <w:tc>
          <w:tcPr>
            <w:tcW w:w="1233" w:type="dxa"/>
            <w:tcBorders>
              <w:right w:val="single" w:sz="12" w:space="0" w:color="000000"/>
            </w:tcBorders>
          </w:tcPr>
          <w:p>
            <w:pPr>
              <w:pStyle w:val="TableParagraph"/>
              <w:spacing w:before="6"/>
              <w:ind w:right="76"/>
              <w:jc w:val="right"/>
              <w:rPr>
                <w:sz w:val="20"/>
              </w:rPr>
            </w:pPr>
            <w:r>
              <w:rPr>
                <w:spacing w:val="-5"/>
                <w:sz w:val="20"/>
              </w:rPr>
              <w:t>534</w:t>
            </w:r>
          </w:p>
        </w:tc>
      </w:tr>
      <w:tr>
        <w:trPr>
          <w:trHeight w:val="267" w:hRule="atLeast"/>
        </w:trPr>
        <w:tc>
          <w:tcPr>
            <w:tcW w:w="5426" w:type="dxa"/>
            <w:tcBorders>
              <w:left w:val="single" w:sz="12" w:space="0" w:color="000000"/>
            </w:tcBorders>
          </w:tcPr>
          <w:p>
            <w:pPr>
              <w:pStyle w:val="TableParagraph"/>
              <w:spacing w:line="222" w:lineRule="exact" w:before="25"/>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39" w:type="dxa"/>
          </w:tcPr>
          <w:p>
            <w:pPr>
              <w:pStyle w:val="TableParagraph"/>
              <w:spacing w:before="6"/>
              <w:ind w:right="149"/>
              <w:jc w:val="right"/>
              <w:rPr>
                <w:sz w:val="20"/>
              </w:rPr>
            </w:pPr>
            <w:r>
              <w:rPr>
                <w:w w:val="99"/>
                <w:sz w:val="20"/>
              </w:rPr>
              <w:t>0</w:t>
            </w:r>
          </w:p>
        </w:tc>
        <w:tc>
          <w:tcPr>
            <w:tcW w:w="1228" w:type="dxa"/>
          </w:tcPr>
          <w:p>
            <w:pPr>
              <w:pStyle w:val="TableParagraph"/>
              <w:spacing w:before="6"/>
              <w:ind w:right="201"/>
              <w:jc w:val="right"/>
              <w:rPr>
                <w:sz w:val="20"/>
              </w:rPr>
            </w:pPr>
            <w:r>
              <w:rPr>
                <w:w w:val="99"/>
                <w:sz w:val="20"/>
              </w:rPr>
              <w:t>0</w:t>
            </w:r>
          </w:p>
        </w:tc>
        <w:tc>
          <w:tcPr>
            <w:tcW w:w="1371" w:type="dxa"/>
          </w:tcPr>
          <w:p>
            <w:pPr>
              <w:pStyle w:val="TableParagraph"/>
              <w:spacing w:before="6"/>
              <w:ind w:right="187"/>
              <w:jc w:val="right"/>
              <w:rPr>
                <w:sz w:val="20"/>
              </w:rPr>
            </w:pPr>
            <w:r>
              <w:rPr>
                <w:w w:val="99"/>
                <w:sz w:val="20"/>
              </w:rPr>
              <w:t>0</w:t>
            </w:r>
          </w:p>
        </w:tc>
        <w:tc>
          <w:tcPr>
            <w:tcW w:w="1233" w:type="dxa"/>
            <w:tcBorders>
              <w:right w:val="single" w:sz="12" w:space="0" w:color="000000"/>
            </w:tcBorders>
          </w:tcPr>
          <w:p>
            <w:pPr>
              <w:pStyle w:val="TableParagraph"/>
              <w:spacing w:before="6"/>
              <w:ind w:right="73"/>
              <w:jc w:val="right"/>
              <w:rPr>
                <w:sz w:val="20"/>
              </w:rPr>
            </w:pPr>
            <w:r>
              <w:rPr>
                <w:w w:val="99"/>
                <w:sz w:val="20"/>
              </w:rPr>
              <w:t>0</w:t>
            </w:r>
          </w:p>
        </w:tc>
      </w:tr>
      <w:tr>
        <w:trPr>
          <w:trHeight w:val="267" w:hRule="atLeast"/>
        </w:trPr>
        <w:tc>
          <w:tcPr>
            <w:tcW w:w="5426" w:type="dxa"/>
            <w:tcBorders>
              <w:left w:val="single" w:sz="12" w:space="0" w:color="000000"/>
            </w:tcBorders>
          </w:tcPr>
          <w:p>
            <w:pPr>
              <w:pStyle w:val="TableParagraph"/>
              <w:spacing w:line="223" w:lineRule="exact" w:before="24"/>
              <w:ind w:left="107"/>
              <w:rPr>
                <w:sz w:val="20"/>
              </w:rPr>
            </w:pPr>
            <w:r>
              <w:rPr>
                <w:sz w:val="20"/>
              </w:rPr>
              <w:t>Vacant</w:t>
            </w:r>
            <w:r>
              <w:rPr>
                <w:spacing w:val="-7"/>
                <w:sz w:val="20"/>
              </w:rPr>
              <w:t> </w:t>
            </w:r>
            <w:r>
              <w:rPr>
                <w:spacing w:val="-2"/>
                <w:sz w:val="20"/>
              </w:rPr>
              <w:t>Position</w:t>
            </w:r>
          </w:p>
        </w:tc>
        <w:tc>
          <w:tcPr>
            <w:tcW w:w="1239" w:type="dxa"/>
          </w:tcPr>
          <w:p>
            <w:pPr>
              <w:pStyle w:val="TableParagraph"/>
              <w:spacing w:before="5"/>
              <w:ind w:right="149"/>
              <w:jc w:val="right"/>
              <w:rPr>
                <w:sz w:val="20"/>
              </w:rPr>
            </w:pPr>
            <w:r>
              <w:rPr>
                <w:w w:val="99"/>
                <w:sz w:val="20"/>
              </w:rPr>
              <w:t>0</w:t>
            </w:r>
          </w:p>
        </w:tc>
        <w:tc>
          <w:tcPr>
            <w:tcW w:w="1228" w:type="dxa"/>
          </w:tcPr>
          <w:p>
            <w:pPr>
              <w:pStyle w:val="TableParagraph"/>
              <w:spacing w:before="5"/>
              <w:ind w:right="201"/>
              <w:jc w:val="right"/>
              <w:rPr>
                <w:sz w:val="20"/>
              </w:rPr>
            </w:pPr>
            <w:r>
              <w:rPr>
                <w:w w:val="99"/>
                <w:sz w:val="20"/>
              </w:rPr>
              <w:t>0</w:t>
            </w:r>
          </w:p>
        </w:tc>
        <w:tc>
          <w:tcPr>
            <w:tcW w:w="1371" w:type="dxa"/>
          </w:tcPr>
          <w:p>
            <w:pPr>
              <w:pStyle w:val="TableParagraph"/>
              <w:spacing w:before="5"/>
              <w:ind w:right="187"/>
              <w:jc w:val="right"/>
              <w:rPr>
                <w:sz w:val="20"/>
              </w:rPr>
            </w:pPr>
            <w:r>
              <w:rPr>
                <w:w w:val="99"/>
                <w:sz w:val="20"/>
              </w:rPr>
              <w:t>0</w:t>
            </w:r>
          </w:p>
        </w:tc>
        <w:tc>
          <w:tcPr>
            <w:tcW w:w="1233" w:type="dxa"/>
            <w:tcBorders>
              <w:right w:val="single" w:sz="12" w:space="0" w:color="000000"/>
            </w:tcBorders>
          </w:tcPr>
          <w:p>
            <w:pPr>
              <w:pStyle w:val="TableParagraph"/>
              <w:spacing w:before="5"/>
              <w:ind w:right="73"/>
              <w:jc w:val="right"/>
              <w:rPr>
                <w:sz w:val="20"/>
              </w:rPr>
            </w:pPr>
            <w:r>
              <w:rPr>
                <w:w w:val="99"/>
                <w:sz w:val="20"/>
              </w:rPr>
              <w:t>0</w:t>
            </w:r>
          </w:p>
        </w:tc>
      </w:tr>
      <w:tr>
        <w:trPr>
          <w:trHeight w:val="268" w:hRule="atLeast"/>
        </w:trPr>
        <w:tc>
          <w:tcPr>
            <w:tcW w:w="5426" w:type="dxa"/>
            <w:tcBorders>
              <w:left w:val="single" w:sz="12" w:space="0" w:color="000000"/>
            </w:tcBorders>
          </w:tcPr>
          <w:p>
            <w:pPr>
              <w:pStyle w:val="TableParagraph"/>
              <w:spacing w:line="223" w:lineRule="exact" w:before="25"/>
              <w:ind w:left="107"/>
              <w:rPr>
                <w:b/>
                <w:sz w:val="20"/>
              </w:rPr>
            </w:pPr>
            <w:r>
              <w:rPr>
                <w:b/>
                <w:sz w:val="20"/>
              </w:rPr>
              <w:t>Permanent</w:t>
            </w:r>
            <w:r>
              <w:rPr>
                <w:b/>
                <w:spacing w:val="-9"/>
                <w:sz w:val="20"/>
              </w:rPr>
              <w:t> </w:t>
            </w:r>
            <w:r>
              <w:rPr>
                <w:b/>
                <w:sz w:val="20"/>
              </w:rPr>
              <w:t>part</w:t>
            </w:r>
            <w:r>
              <w:rPr>
                <w:b/>
                <w:spacing w:val="-7"/>
                <w:sz w:val="20"/>
              </w:rPr>
              <w:t> </w:t>
            </w:r>
            <w:r>
              <w:rPr>
                <w:b/>
                <w:spacing w:val="-4"/>
                <w:sz w:val="20"/>
              </w:rPr>
              <w:t>time</w:t>
            </w:r>
          </w:p>
        </w:tc>
        <w:tc>
          <w:tcPr>
            <w:tcW w:w="1239" w:type="dxa"/>
          </w:tcPr>
          <w:p>
            <w:pPr>
              <w:pStyle w:val="TableParagraph"/>
              <w:spacing w:before="6"/>
              <w:ind w:right="152"/>
              <w:jc w:val="right"/>
              <w:rPr>
                <w:b/>
                <w:sz w:val="20"/>
              </w:rPr>
            </w:pPr>
            <w:r>
              <w:rPr>
                <w:b/>
                <w:spacing w:val="-5"/>
                <w:sz w:val="20"/>
              </w:rPr>
              <w:t>31</w:t>
            </w:r>
          </w:p>
        </w:tc>
        <w:tc>
          <w:tcPr>
            <w:tcW w:w="1228" w:type="dxa"/>
          </w:tcPr>
          <w:p>
            <w:pPr>
              <w:pStyle w:val="TableParagraph"/>
              <w:spacing w:before="6"/>
              <w:ind w:right="204"/>
              <w:jc w:val="right"/>
              <w:rPr>
                <w:b/>
                <w:sz w:val="20"/>
              </w:rPr>
            </w:pPr>
            <w:r>
              <w:rPr>
                <w:b/>
                <w:spacing w:val="-5"/>
                <w:sz w:val="20"/>
              </w:rPr>
              <w:t>32</w:t>
            </w:r>
          </w:p>
        </w:tc>
        <w:tc>
          <w:tcPr>
            <w:tcW w:w="1371" w:type="dxa"/>
          </w:tcPr>
          <w:p>
            <w:pPr>
              <w:pStyle w:val="TableParagraph"/>
              <w:spacing w:before="6"/>
              <w:ind w:right="190"/>
              <w:jc w:val="right"/>
              <w:rPr>
                <w:b/>
                <w:sz w:val="20"/>
              </w:rPr>
            </w:pPr>
            <w:r>
              <w:rPr>
                <w:b/>
                <w:spacing w:val="-5"/>
                <w:sz w:val="20"/>
              </w:rPr>
              <w:t>32</w:t>
            </w:r>
          </w:p>
        </w:tc>
        <w:tc>
          <w:tcPr>
            <w:tcW w:w="1233" w:type="dxa"/>
            <w:tcBorders>
              <w:right w:val="single" w:sz="12" w:space="0" w:color="000000"/>
            </w:tcBorders>
          </w:tcPr>
          <w:p>
            <w:pPr>
              <w:pStyle w:val="TableParagraph"/>
              <w:spacing w:before="6"/>
              <w:ind w:right="76"/>
              <w:jc w:val="right"/>
              <w:rPr>
                <w:b/>
                <w:sz w:val="20"/>
              </w:rPr>
            </w:pPr>
            <w:r>
              <w:rPr>
                <w:b/>
                <w:spacing w:val="-5"/>
                <w:sz w:val="20"/>
              </w:rPr>
              <w:t>33</w:t>
            </w:r>
          </w:p>
        </w:tc>
      </w:tr>
      <w:tr>
        <w:trPr>
          <w:trHeight w:val="267" w:hRule="atLeast"/>
        </w:trPr>
        <w:tc>
          <w:tcPr>
            <w:tcW w:w="5426" w:type="dxa"/>
            <w:tcBorders>
              <w:left w:val="single" w:sz="12" w:space="0" w:color="000000"/>
            </w:tcBorders>
          </w:tcPr>
          <w:p>
            <w:pPr>
              <w:pStyle w:val="TableParagraph"/>
              <w:spacing w:line="222" w:lineRule="exact" w:before="25"/>
              <w:ind w:left="107"/>
              <w:rPr>
                <w:sz w:val="20"/>
              </w:rPr>
            </w:pPr>
            <w:r>
              <w:rPr>
                <w:spacing w:val="-2"/>
                <w:sz w:val="20"/>
              </w:rPr>
              <w:t>Women</w:t>
            </w:r>
          </w:p>
        </w:tc>
        <w:tc>
          <w:tcPr>
            <w:tcW w:w="1239" w:type="dxa"/>
          </w:tcPr>
          <w:p>
            <w:pPr>
              <w:pStyle w:val="TableParagraph"/>
              <w:spacing w:before="6"/>
              <w:ind w:right="149"/>
              <w:jc w:val="right"/>
              <w:rPr>
                <w:sz w:val="20"/>
              </w:rPr>
            </w:pPr>
            <w:r>
              <w:rPr>
                <w:w w:val="99"/>
                <w:sz w:val="20"/>
              </w:rPr>
              <w:t>0</w:t>
            </w:r>
          </w:p>
        </w:tc>
        <w:tc>
          <w:tcPr>
            <w:tcW w:w="1228" w:type="dxa"/>
          </w:tcPr>
          <w:p>
            <w:pPr>
              <w:pStyle w:val="TableParagraph"/>
              <w:spacing w:before="6"/>
              <w:ind w:right="201"/>
              <w:jc w:val="right"/>
              <w:rPr>
                <w:sz w:val="20"/>
              </w:rPr>
            </w:pPr>
            <w:r>
              <w:rPr>
                <w:w w:val="99"/>
                <w:sz w:val="20"/>
              </w:rPr>
              <w:t>0</w:t>
            </w:r>
          </w:p>
        </w:tc>
        <w:tc>
          <w:tcPr>
            <w:tcW w:w="1371" w:type="dxa"/>
          </w:tcPr>
          <w:p>
            <w:pPr>
              <w:pStyle w:val="TableParagraph"/>
              <w:spacing w:before="6"/>
              <w:ind w:right="187"/>
              <w:jc w:val="right"/>
              <w:rPr>
                <w:sz w:val="20"/>
              </w:rPr>
            </w:pPr>
            <w:r>
              <w:rPr>
                <w:w w:val="99"/>
                <w:sz w:val="20"/>
              </w:rPr>
              <w:t>0</w:t>
            </w:r>
          </w:p>
        </w:tc>
        <w:tc>
          <w:tcPr>
            <w:tcW w:w="1233" w:type="dxa"/>
            <w:tcBorders>
              <w:right w:val="single" w:sz="12" w:space="0" w:color="000000"/>
            </w:tcBorders>
          </w:tcPr>
          <w:p>
            <w:pPr>
              <w:pStyle w:val="TableParagraph"/>
              <w:spacing w:before="6"/>
              <w:ind w:right="73"/>
              <w:jc w:val="right"/>
              <w:rPr>
                <w:sz w:val="20"/>
              </w:rPr>
            </w:pPr>
            <w:r>
              <w:rPr>
                <w:w w:val="99"/>
                <w:sz w:val="20"/>
              </w:rPr>
              <w:t>0</w:t>
            </w:r>
          </w:p>
        </w:tc>
      </w:tr>
      <w:tr>
        <w:trPr>
          <w:trHeight w:val="267" w:hRule="atLeast"/>
        </w:trPr>
        <w:tc>
          <w:tcPr>
            <w:tcW w:w="5426" w:type="dxa"/>
            <w:tcBorders>
              <w:left w:val="single" w:sz="12" w:space="0" w:color="000000"/>
            </w:tcBorders>
          </w:tcPr>
          <w:p>
            <w:pPr>
              <w:pStyle w:val="TableParagraph"/>
              <w:spacing w:line="223" w:lineRule="exact" w:before="24"/>
              <w:ind w:left="107"/>
              <w:rPr>
                <w:sz w:val="20"/>
              </w:rPr>
            </w:pPr>
            <w:r>
              <w:rPr>
                <w:spacing w:val="-5"/>
                <w:sz w:val="20"/>
              </w:rPr>
              <w:t>Men</w:t>
            </w:r>
          </w:p>
        </w:tc>
        <w:tc>
          <w:tcPr>
            <w:tcW w:w="1239" w:type="dxa"/>
          </w:tcPr>
          <w:p>
            <w:pPr>
              <w:pStyle w:val="TableParagraph"/>
              <w:spacing w:before="5"/>
              <w:ind w:right="149"/>
              <w:jc w:val="right"/>
              <w:rPr>
                <w:sz w:val="20"/>
              </w:rPr>
            </w:pPr>
            <w:r>
              <w:rPr>
                <w:w w:val="99"/>
                <w:sz w:val="20"/>
              </w:rPr>
              <w:t>0</w:t>
            </w:r>
          </w:p>
        </w:tc>
        <w:tc>
          <w:tcPr>
            <w:tcW w:w="1228" w:type="dxa"/>
          </w:tcPr>
          <w:p>
            <w:pPr>
              <w:pStyle w:val="TableParagraph"/>
              <w:spacing w:before="5"/>
              <w:ind w:right="201"/>
              <w:jc w:val="right"/>
              <w:rPr>
                <w:sz w:val="20"/>
              </w:rPr>
            </w:pPr>
            <w:r>
              <w:rPr>
                <w:w w:val="99"/>
                <w:sz w:val="20"/>
              </w:rPr>
              <w:t>0</w:t>
            </w:r>
          </w:p>
        </w:tc>
        <w:tc>
          <w:tcPr>
            <w:tcW w:w="1371" w:type="dxa"/>
          </w:tcPr>
          <w:p>
            <w:pPr>
              <w:pStyle w:val="TableParagraph"/>
              <w:spacing w:before="5"/>
              <w:ind w:right="187"/>
              <w:jc w:val="right"/>
              <w:rPr>
                <w:sz w:val="20"/>
              </w:rPr>
            </w:pPr>
            <w:r>
              <w:rPr>
                <w:w w:val="99"/>
                <w:sz w:val="20"/>
              </w:rPr>
              <w:t>0</w:t>
            </w:r>
          </w:p>
        </w:tc>
        <w:tc>
          <w:tcPr>
            <w:tcW w:w="1233" w:type="dxa"/>
            <w:tcBorders>
              <w:right w:val="single" w:sz="12" w:space="0" w:color="000000"/>
            </w:tcBorders>
          </w:tcPr>
          <w:p>
            <w:pPr>
              <w:pStyle w:val="TableParagraph"/>
              <w:spacing w:before="5"/>
              <w:ind w:right="73"/>
              <w:jc w:val="right"/>
              <w:rPr>
                <w:sz w:val="20"/>
              </w:rPr>
            </w:pPr>
            <w:r>
              <w:rPr>
                <w:w w:val="99"/>
                <w:sz w:val="20"/>
              </w:rPr>
              <w:t>0</w:t>
            </w:r>
          </w:p>
        </w:tc>
      </w:tr>
      <w:tr>
        <w:trPr>
          <w:trHeight w:val="268" w:hRule="atLeast"/>
        </w:trPr>
        <w:tc>
          <w:tcPr>
            <w:tcW w:w="5426" w:type="dxa"/>
            <w:tcBorders>
              <w:left w:val="single" w:sz="12" w:space="0" w:color="000000"/>
            </w:tcBorders>
          </w:tcPr>
          <w:p>
            <w:pPr>
              <w:pStyle w:val="TableParagraph"/>
              <w:spacing w:line="223" w:lineRule="exact" w:before="25"/>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39" w:type="dxa"/>
          </w:tcPr>
          <w:p>
            <w:pPr>
              <w:pStyle w:val="TableParagraph"/>
              <w:spacing w:before="6"/>
              <w:ind w:right="149"/>
              <w:jc w:val="right"/>
              <w:rPr>
                <w:sz w:val="20"/>
              </w:rPr>
            </w:pPr>
            <w:r>
              <w:rPr>
                <w:w w:val="99"/>
                <w:sz w:val="20"/>
              </w:rPr>
              <w:t>0</w:t>
            </w:r>
          </w:p>
        </w:tc>
        <w:tc>
          <w:tcPr>
            <w:tcW w:w="1228" w:type="dxa"/>
          </w:tcPr>
          <w:p>
            <w:pPr>
              <w:pStyle w:val="TableParagraph"/>
              <w:spacing w:before="6"/>
              <w:ind w:right="201"/>
              <w:jc w:val="right"/>
              <w:rPr>
                <w:sz w:val="20"/>
              </w:rPr>
            </w:pPr>
            <w:r>
              <w:rPr>
                <w:w w:val="99"/>
                <w:sz w:val="20"/>
              </w:rPr>
              <w:t>0</w:t>
            </w:r>
          </w:p>
        </w:tc>
        <w:tc>
          <w:tcPr>
            <w:tcW w:w="1371" w:type="dxa"/>
          </w:tcPr>
          <w:p>
            <w:pPr>
              <w:pStyle w:val="TableParagraph"/>
              <w:spacing w:before="6"/>
              <w:ind w:right="187"/>
              <w:jc w:val="right"/>
              <w:rPr>
                <w:sz w:val="20"/>
              </w:rPr>
            </w:pPr>
            <w:r>
              <w:rPr>
                <w:w w:val="99"/>
                <w:sz w:val="20"/>
              </w:rPr>
              <w:t>0</w:t>
            </w:r>
          </w:p>
        </w:tc>
        <w:tc>
          <w:tcPr>
            <w:tcW w:w="1233" w:type="dxa"/>
            <w:tcBorders>
              <w:right w:val="single" w:sz="12" w:space="0" w:color="000000"/>
            </w:tcBorders>
          </w:tcPr>
          <w:p>
            <w:pPr>
              <w:pStyle w:val="TableParagraph"/>
              <w:spacing w:before="6"/>
              <w:ind w:right="73"/>
              <w:jc w:val="right"/>
              <w:rPr>
                <w:sz w:val="20"/>
              </w:rPr>
            </w:pPr>
            <w:r>
              <w:rPr>
                <w:w w:val="99"/>
                <w:sz w:val="20"/>
              </w:rPr>
              <w:t>0</w:t>
            </w:r>
          </w:p>
        </w:tc>
      </w:tr>
      <w:tr>
        <w:trPr>
          <w:trHeight w:val="256" w:hRule="atLeast"/>
        </w:trPr>
        <w:tc>
          <w:tcPr>
            <w:tcW w:w="5426" w:type="dxa"/>
            <w:tcBorders>
              <w:left w:val="single" w:sz="12" w:space="0" w:color="000000"/>
            </w:tcBorders>
          </w:tcPr>
          <w:p>
            <w:pPr>
              <w:pStyle w:val="TableParagraph"/>
              <w:spacing w:line="211" w:lineRule="exact" w:before="25"/>
              <w:ind w:left="107"/>
              <w:rPr>
                <w:sz w:val="20"/>
              </w:rPr>
            </w:pPr>
            <w:r>
              <w:rPr>
                <w:sz w:val="20"/>
              </w:rPr>
              <w:t>Vacant</w:t>
            </w:r>
            <w:r>
              <w:rPr>
                <w:spacing w:val="-7"/>
                <w:sz w:val="20"/>
              </w:rPr>
              <w:t> </w:t>
            </w:r>
            <w:r>
              <w:rPr>
                <w:spacing w:val="-2"/>
                <w:sz w:val="20"/>
              </w:rPr>
              <w:t>Position</w:t>
            </w:r>
          </w:p>
        </w:tc>
        <w:tc>
          <w:tcPr>
            <w:tcW w:w="1239" w:type="dxa"/>
            <w:tcBorders>
              <w:bottom w:val="single" w:sz="4" w:space="0" w:color="000000"/>
            </w:tcBorders>
          </w:tcPr>
          <w:p>
            <w:pPr>
              <w:pStyle w:val="TableParagraph"/>
              <w:spacing w:before="6"/>
              <w:ind w:right="149"/>
              <w:jc w:val="right"/>
              <w:rPr>
                <w:sz w:val="20"/>
              </w:rPr>
            </w:pPr>
            <w:r>
              <w:rPr>
                <w:w w:val="99"/>
                <w:sz w:val="20"/>
              </w:rPr>
              <w:t>0</w:t>
            </w:r>
          </w:p>
        </w:tc>
        <w:tc>
          <w:tcPr>
            <w:tcW w:w="1228" w:type="dxa"/>
            <w:tcBorders>
              <w:bottom w:val="single" w:sz="4" w:space="0" w:color="000000"/>
            </w:tcBorders>
          </w:tcPr>
          <w:p>
            <w:pPr>
              <w:pStyle w:val="TableParagraph"/>
              <w:spacing w:before="6"/>
              <w:ind w:right="201"/>
              <w:jc w:val="right"/>
              <w:rPr>
                <w:sz w:val="20"/>
              </w:rPr>
            </w:pPr>
            <w:r>
              <w:rPr>
                <w:w w:val="99"/>
                <w:sz w:val="20"/>
              </w:rPr>
              <w:t>0</w:t>
            </w:r>
          </w:p>
        </w:tc>
        <w:tc>
          <w:tcPr>
            <w:tcW w:w="1371" w:type="dxa"/>
            <w:tcBorders>
              <w:bottom w:val="single" w:sz="4" w:space="0" w:color="000000"/>
            </w:tcBorders>
          </w:tcPr>
          <w:p>
            <w:pPr>
              <w:pStyle w:val="TableParagraph"/>
              <w:spacing w:before="6"/>
              <w:ind w:right="187"/>
              <w:jc w:val="right"/>
              <w:rPr>
                <w:sz w:val="20"/>
              </w:rPr>
            </w:pPr>
            <w:r>
              <w:rPr>
                <w:w w:val="99"/>
                <w:sz w:val="20"/>
              </w:rPr>
              <w:t>0</w:t>
            </w:r>
          </w:p>
        </w:tc>
        <w:tc>
          <w:tcPr>
            <w:tcW w:w="1233" w:type="dxa"/>
            <w:tcBorders>
              <w:bottom w:val="single" w:sz="4" w:space="0" w:color="000000"/>
              <w:right w:val="single" w:sz="12" w:space="0" w:color="000000"/>
            </w:tcBorders>
          </w:tcPr>
          <w:p>
            <w:pPr>
              <w:pStyle w:val="TableParagraph"/>
              <w:spacing w:before="6"/>
              <w:ind w:right="73"/>
              <w:jc w:val="right"/>
              <w:rPr>
                <w:sz w:val="20"/>
              </w:rPr>
            </w:pPr>
            <w:r>
              <w:rPr>
                <w:w w:val="99"/>
                <w:sz w:val="20"/>
              </w:rPr>
              <w:t>0</w:t>
            </w:r>
          </w:p>
        </w:tc>
      </w:tr>
      <w:tr>
        <w:trPr>
          <w:trHeight w:val="268" w:hRule="atLeast"/>
        </w:trPr>
        <w:tc>
          <w:tcPr>
            <w:tcW w:w="5426" w:type="dxa"/>
            <w:tcBorders>
              <w:left w:val="single" w:sz="12" w:space="0" w:color="000000"/>
              <w:bottom w:val="single" w:sz="12" w:space="0" w:color="000000"/>
            </w:tcBorders>
          </w:tcPr>
          <w:p>
            <w:pPr>
              <w:pStyle w:val="TableParagraph"/>
              <w:spacing w:line="213" w:lineRule="exact" w:before="35"/>
              <w:ind w:left="107"/>
              <w:rPr>
                <w:b/>
                <w:sz w:val="20"/>
              </w:rPr>
            </w:pPr>
            <w:r>
              <w:rPr>
                <w:b/>
                <w:sz w:val="20"/>
              </w:rPr>
              <w:t>Total</w:t>
            </w:r>
            <w:r>
              <w:rPr>
                <w:b/>
                <w:spacing w:val="-8"/>
                <w:sz w:val="20"/>
              </w:rPr>
              <w:t> </w:t>
            </w:r>
            <w:r>
              <w:rPr>
                <w:b/>
                <w:sz w:val="20"/>
              </w:rPr>
              <w:t>Chief</w:t>
            </w:r>
            <w:r>
              <w:rPr>
                <w:b/>
                <w:spacing w:val="-8"/>
                <w:sz w:val="20"/>
              </w:rPr>
              <w:t> </w:t>
            </w:r>
            <w:r>
              <w:rPr>
                <w:b/>
                <w:sz w:val="20"/>
              </w:rPr>
              <w:t>Executive's</w:t>
            </w:r>
            <w:r>
              <w:rPr>
                <w:b/>
                <w:spacing w:val="-7"/>
                <w:sz w:val="20"/>
              </w:rPr>
              <w:t> </w:t>
            </w:r>
            <w:r>
              <w:rPr>
                <w:b/>
                <w:spacing w:val="-2"/>
                <w:sz w:val="20"/>
              </w:rPr>
              <w:t>office</w:t>
            </w:r>
          </w:p>
        </w:tc>
        <w:tc>
          <w:tcPr>
            <w:tcW w:w="1239" w:type="dxa"/>
            <w:tcBorders>
              <w:top w:val="single" w:sz="4" w:space="0" w:color="000000"/>
              <w:bottom w:val="single" w:sz="12" w:space="0" w:color="000000"/>
            </w:tcBorders>
          </w:tcPr>
          <w:p>
            <w:pPr>
              <w:pStyle w:val="TableParagraph"/>
              <w:spacing w:line="229" w:lineRule="exact" w:before="18"/>
              <w:ind w:right="150"/>
              <w:jc w:val="right"/>
              <w:rPr>
                <w:b/>
                <w:sz w:val="20"/>
              </w:rPr>
            </w:pPr>
            <w:r>
              <w:rPr>
                <w:b/>
                <w:spacing w:val="-2"/>
                <w:sz w:val="20"/>
              </w:rPr>
              <w:t>1,136</w:t>
            </w:r>
          </w:p>
        </w:tc>
        <w:tc>
          <w:tcPr>
            <w:tcW w:w="1228" w:type="dxa"/>
            <w:tcBorders>
              <w:top w:val="single" w:sz="4" w:space="0" w:color="000000"/>
              <w:bottom w:val="single" w:sz="12" w:space="0" w:color="000000"/>
            </w:tcBorders>
          </w:tcPr>
          <w:p>
            <w:pPr>
              <w:pStyle w:val="TableParagraph"/>
              <w:spacing w:line="229" w:lineRule="exact" w:before="18"/>
              <w:ind w:right="202"/>
              <w:jc w:val="right"/>
              <w:rPr>
                <w:b/>
                <w:sz w:val="20"/>
              </w:rPr>
            </w:pPr>
            <w:r>
              <w:rPr>
                <w:b/>
                <w:spacing w:val="-2"/>
                <w:sz w:val="20"/>
              </w:rPr>
              <w:t>1,151</w:t>
            </w:r>
          </w:p>
        </w:tc>
        <w:tc>
          <w:tcPr>
            <w:tcW w:w="1371" w:type="dxa"/>
            <w:tcBorders>
              <w:top w:val="single" w:sz="4" w:space="0" w:color="000000"/>
              <w:bottom w:val="single" w:sz="12" w:space="0" w:color="000000"/>
            </w:tcBorders>
          </w:tcPr>
          <w:p>
            <w:pPr>
              <w:pStyle w:val="TableParagraph"/>
              <w:spacing w:line="229" w:lineRule="exact" w:before="18"/>
              <w:ind w:right="189"/>
              <w:jc w:val="right"/>
              <w:rPr>
                <w:b/>
                <w:sz w:val="20"/>
              </w:rPr>
            </w:pPr>
            <w:r>
              <w:rPr>
                <w:b/>
                <w:spacing w:val="-2"/>
                <w:sz w:val="20"/>
              </w:rPr>
              <w:t>1,169</w:t>
            </w:r>
          </w:p>
        </w:tc>
        <w:tc>
          <w:tcPr>
            <w:tcW w:w="1233" w:type="dxa"/>
            <w:tcBorders>
              <w:top w:val="single" w:sz="4" w:space="0" w:color="000000"/>
              <w:bottom w:val="single" w:sz="12" w:space="0" w:color="000000"/>
              <w:right w:val="single" w:sz="12" w:space="0" w:color="000000"/>
            </w:tcBorders>
          </w:tcPr>
          <w:p>
            <w:pPr>
              <w:pStyle w:val="TableParagraph"/>
              <w:spacing w:line="229" w:lineRule="exact" w:before="18"/>
              <w:ind w:right="75"/>
              <w:jc w:val="right"/>
              <w:rPr>
                <w:b/>
                <w:sz w:val="20"/>
              </w:rPr>
            </w:pPr>
            <w:r>
              <w:rPr>
                <w:b/>
                <w:spacing w:val="-2"/>
                <w:sz w:val="20"/>
              </w:rPr>
              <w:t>1,192</w:t>
            </w:r>
          </w:p>
        </w:tc>
      </w:tr>
    </w:tbl>
    <w:p>
      <w:pPr>
        <w:spacing w:after="0" w:line="229" w:lineRule="exact"/>
        <w:jc w:val="right"/>
        <w:rPr>
          <w:sz w:val="20"/>
        </w:rPr>
        <w:sectPr>
          <w:pgSz w:w="11910" w:h="16840"/>
          <w:pgMar w:header="0" w:footer="375" w:top="480" w:bottom="1733" w:left="460" w:right="160"/>
        </w:sectPr>
      </w:pPr>
    </w:p>
    <w:tbl>
      <w:tblPr>
        <w:tblW w:w="0" w:type="auto"/>
        <w:jc w:val="left"/>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83"/>
        <w:gridCol w:w="1234"/>
        <w:gridCol w:w="1234"/>
        <w:gridCol w:w="1374"/>
        <w:gridCol w:w="1227"/>
      </w:tblGrid>
      <w:tr>
        <w:trPr>
          <w:trHeight w:val="533" w:hRule="atLeast"/>
        </w:trPr>
        <w:tc>
          <w:tcPr>
            <w:tcW w:w="5383" w:type="dxa"/>
            <w:tcBorders>
              <w:top w:val="single" w:sz="18" w:space="0" w:color="000000"/>
              <w:left w:val="single" w:sz="12" w:space="0" w:color="000000"/>
            </w:tcBorders>
            <w:shd w:val="clear" w:color="auto" w:fill="629CD1"/>
          </w:tcPr>
          <w:p>
            <w:pPr>
              <w:pStyle w:val="TableParagraph"/>
              <w:spacing w:before="31"/>
              <w:ind w:left="1727"/>
              <w:rPr>
                <w:b/>
                <w:sz w:val="20"/>
              </w:rPr>
            </w:pPr>
            <w:r>
              <w:rPr>
                <w:b/>
                <w:color w:val="FFFFFF"/>
                <w:spacing w:val="-2"/>
                <w:sz w:val="20"/>
              </w:rPr>
              <w:t>Directorate</w:t>
            </w:r>
          </w:p>
        </w:tc>
        <w:tc>
          <w:tcPr>
            <w:tcW w:w="1234" w:type="dxa"/>
            <w:tcBorders>
              <w:top w:val="single" w:sz="18" w:space="0" w:color="000000"/>
            </w:tcBorders>
            <w:shd w:val="clear" w:color="auto" w:fill="629CD1"/>
          </w:tcPr>
          <w:p>
            <w:pPr>
              <w:pStyle w:val="TableParagraph"/>
              <w:spacing w:before="12"/>
              <w:ind w:left="169" w:right="205"/>
              <w:jc w:val="center"/>
              <w:rPr>
                <w:b/>
                <w:sz w:val="20"/>
              </w:rPr>
            </w:pPr>
            <w:r>
              <w:rPr>
                <w:b/>
                <w:color w:val="FFFFFF"/>
                <w:spacing w:val="-2"/>
                <w:sz w:val="20"/>
              </w:rPr>
              <w:t>2025/26</w:t>
            </w:r>
          </w:p>
          <w:p>
            <w:pPr>
              <w:pStyle w:val="TableParagraph"/>
              <w:spacing w:line="211" w:lineRule="exact" w:before="60"/>
              <w:ind w:left="169" w:right="205"/>
              <w:jc w:val="center"/>
              <w:rPr>
                <w:b/>
                <w:sz w:val="20"/>
              </w:rPr>
            </w:pPr>
            <w:r>
              <w:rPr>
                <w:b/>
                <w:color w:val="FFFFFF"/>
                <w:spacing w:val="-2"/>
                <w:sz w:val="20"/>
              </w:rPr>
              <w:t>$'000</w:t>
            </w:r>
          </w:p>
        </w:tc>
        <w:tc>
          <w:tcPr>
            <w:tcW w:w="1234" w:type="dxa"/>
            <w:tcBorders>
              <w:top w:val="single" w:sz="18" w:space="0" w:color="000000"/>
            </w:tcBorders>
            <w:shd w:val="clear" w:color="auto" w:fill="629CD1"/>
          </w:tcPr>
          <w:p>
            <w:pPr>
              <w:pStyle w:val="TableParagraph"/>
              <w:spacing w:before="12"/>
              <w:ind w:left="113" w:right="260"/>
              <w:jc w:val="center"/>
              <w:rPr>
                <w:b/>
                <w:sz w:val="20"/>
              </w:rPr>
            </w:pPr>
            <w:r>
              <w:rPr>
                <w:b/>
                <w:color w:val="FFFFFF"/>
                <w:spacing w:val="-2"/>
                <w:sz w:val="20"/>
              </w:rPr>
              <w:t>2026/27</w:t>
            </w:r>
          </w:p>
          <w:p>
            <w:pPr>
              <w:pStyle w:val="TableParagraph"/>
              <w:spacing w:line="211" w:lineRule="exact" w:before="60"/>
              <w:ind w:left="113" w:right="260"/>
              <w:jc w:val="center"/>
              <w:rPr>
                <w:b/>
                <w:sz w:val="20"/>
              </w:rPr>
            </w:pPr>
            <w:r>
              <w:rPr>
                <w:b/>
                <w:color w:val="FFFFFF"/>
                <w:spacing w:val="-2"/>
                <w:sz w:val="20"/>
              </w:rPr>
              <w:t>$'000</w:t>
            </w:r>
          </w:p>
        </w:tc>
        <w:tc>
          <w:tcPr>
            <w:tcW w:w="1374" w:type="dxa"/>
            <w:tcBorders>
              <w:top w:val="single" w:sz="18" w:space="0" w:color="000000"/>
            </w:tcBorders>
            <w:shd w:val="clear" w:color="auto" w:fill="629CD1"/>
          </w:tcPr>
          <w:p>
            <w:pPr>
              <w:pStyle w:val="TableParagraph"/>
              <w:spacing w:before="12"/>
              <w:ind w:left="221" w:right="403"/>
              <w:jc w:val="center"/>
              <w:rPr>
                <w:b/>
                <w:sz w:val="20"/>
              </w:rPr>
            </w:pPr>
            <w:r>
              <w:rPr>
                <w:b/>
                <w:color w:val="FFFFFF"/>
                <w:spacing w:val="-2"/>
                <w:sz w:val="20"/>
              </w:rPr>
              <w:t>2027/28</w:t>
            </w:r>
          </w:p>
          <w:p>
            <w:pPr>
              <w:pStyle w:val="TableParagraph"/>
              <w:spacing w:line="211" w:lineRule="exact" w:before="60"/>
              <w:ind w:left="220" w:right="403"/>
              <w:jc w:val="center"/>
              <w:rPr>
                <w:b/>
                <w:sz w:val="20"/>
              </w:rPr>
            </w:pPr>
            <w:r>
              <w:rPr>
                <w:b/>
                <w:color w:val="FFFFFF"/>
                <w:spacing w:val="-2"/>
                <w:sz w:val="20"/>
              </w:rPr>
              <w:t>$'000</w:t>
            </w:r>
          </w:p>
        </w:tc>
        <w:tc>
          <w:tcPr>
            <w:tcW w:w="1227" w:type="dxa"/>
            <w:tcBorders>
              <w:top w:val="single" w:sz="18" w:space="0" w:color="000000"/>
              <w:right w:val="single" w:sz="12" w:space="0" w:color="000000"/>
            </w:tcBorders>
            <w:shd w:val="clear" w:color="auto" w:fill="629CD1"/>
          </w:tcPr>
          <w:p>
            <w:pPr>
              <w:pStyle w:val="TableParagraph"/>
              <w:spacing w:before="12"/>
              <w:ind w:left="196" w:right="267"/>
              <w:jc w:val="center"/>
              <w:rPr>
                <w:b/>
                <w:sz w:val="20"/>
              </w:rPr>
            </w:pPr>
            <w:r>
              <w:rPr>
                <w:b/>
                <w:color w:val="FFFFFF"/>
                <w:spacing w:val="-2"/>
                <w:sz w:val="20"/>
              </w:rPr>
              <w:t>2028/29</w:t>
            </w:r>
          </w:p>
          <w:p>
            <w:pPr>
              <w:pStyle w:val="TableParagraph"/>
              <w:spacing w:line="211" w:lineRule="exact" w:before="60"/>
              <w:ind w:left="195" w:right="267"/>
              <w:jc w:val="center"/>
              <w:rPr>
                <w:b/>
                <w:sz w:val="20"/>
              </w:rPr>
            </w:pPr>
            <w:r>
              <w:rPr>
                <w:b/>
                <w:color w:val="FFFFFF"/>
                <w:spacing w:val="-2"/>
                <w:sz w:val="20"/>
              </w:rPr>
              <w:t>$'000</w:t>
            </w:r>
          </w:p>
        </w:tc>
      </w:tr>
      <w:tr>
        <w:trPr>
          <w:trHeight w:val="554" w:hRule="atLeast"/>
        </w:trPr>
        <w:tc>
          <w:tcPr>
            <w:tcW w:w="5383" w:type="dxa"/>
            <w:tcBorders>
              <w:left w:val="single" w:sz="12" w:space="0" w:color="000000"/>
            </w:tcBorders>
          </w:tcPr>
          <w:p>
            <w:pPr>
              <w:pStyle w:val="TableParagraph"/>
              <w:spacing w:before="1"/>
              <w:rPr>
                <w:sz w:val="27"/>
              </w:rPr>
            </w:pPr>
          </w:p>
          <w:p>
            <w:pPr>
              <w:pStyle w:val="TableParagraph"/>
              <w:spacing w:line="223" w:lineRule="exact"/>
              <w:ind w:left="107"/>
              <w:rPr>
                <w:b/>
                <w:sz w:val="20"/>
              </w:rPr>
            </w:pPr>
            <w:r>
              <w:rPr>
                <w:b/>
                <w:sz w:val="20"/>
              </w:rPr>
              <w:t>Chief</w:t>
            </w:r>
            <w:r>
              <w:rPr>
                <w:b/>
                <w:spacing w:val="-7"/>
                <w:sz w:val="20"/>
              </w:rPr>
              <w:t> </w:t>
            </w:r>
            <w:r>
              <w:rPr>
                <w:b/>
                <w:sz w:val="20"/>
              </w:rPr>
              <w:t>Financial</w:t>
            </w:r>
            <w:r>
              <w:rPr>
                <w:b/>
                <w:spacing w:val="-7"/>
                <w:sz w:val="20"/>
              </w:rPr>
              <w:t> </w:t>
            </w:r>
            <w:r>
              <w:rPr>
                <w:b/>
                <w:spacing w:val="-2"/>
                <w:sz w:val="20"/>
              </w:rPr>
              <w:t>Office</w:t>
            </w:r>
          </w:p>
        </w:tc>
        <w:tc>
          <w:tcPr>
            <w:tcW w:w="1234" w:type="dxa"/>
          </w:tcPr>
          <w:p>
            <w:pPr>
              <w:pStyle w:val="TableParagraph"/>
              <w:rPr>
                <w:rFonts w:ascii="Times New Roman"/>
                <w:sz w:val="18"/>
              </w:rPr>
            </w:pPr>
          </w:p>
        </w:tc>
        <w:tc>
          <w:tcPr>
            <w:tcW w:w="1234" w:type="dxa"/>
          </w:tcPr>
          <w:p>
            <w:pPr>
              <w:pStyle w:val="TableParagraph"/>
              <w:rPr>
                <w:rFonts w:ascii="Times New Roman"/>
                <w:sz w:val="18"/>
              </w:rPr>
            </w:pPr>
          </w:p>
        </w:tc>
        <w:tc>
          <w:tcPr>
            <w:tcW w:w="1374" w:type="dxa"/>
          </w:tcPr>
          <w:p>
            <w:pPr>
              <w:pStyle w:val="TableParagraph"/>
              <w:rPr>
                <w:rFonts w:ascii="Times New Roman"/>
                <w:sz w:val="18"/>
              </w:rPr>
            </w:pPr>
          </w:p>
        </w:tc>
        <w:tc>
          <w:tcPr>
            <w:tcW w:w="1227" w:type="dxa"/>
            <w:tcBorders>
              <w:right w:val="single" w:sz="12" w:space="0" w:color="000000"/>
            </w:tcBorders>
          </w:tcPr>
          <w:p>
            <w:pPr>
              <w:pStyle w:val="TableParagraph"/>
              <w:rPr>
                <w:rFonts w:ascii="Times New Roman"/>
                <w:sz w:val="18"/>
              </w:rPr>
            </w:pPr>
          </w:p>
        </w:tc>
      </w:tr>
      <w:tr>
        <w:trPr>
          <w:trHeight w:val="271" w:hRule="atLeast"/>
        </w:trPr>
        <w:tc>
          <w:tcPr>
            <w:tcW w:w="5383" w:type="dxa"/>
            <w:tcBorders>
              <w:left w:val="single" w:sz="12" w:space="0" w:color="000000"/>
            </w:tcBorders>
          </w:tcPr>
          <w:p>
            <w:pPr>
              <w:pStyle w:val="TableParagraph"/>
              <w:spacing w:line="223" w:lineRule="exact" w:before="28"/>
              <w:ind w:left="107"/>
              <w:rPr>
                <w:b/>
                <w:sz w:val="20"/>
              </w:rPr>
            </w:pPr>
            <w:r>
              <w:rPr>
                <w:b/>
                <w:sz w:val="20"/>
              </w:rPr>
              <w:t>Permanent</w:t>
            </w:r>
            <w:r>
              <w:rPr>
                <w:b/>
                <w:spacing w:val="-9"/>
                <w:sz w:val="20"/>
              </w:rPr>
              <w:t> </w:t>
            </w:r>
            <w:r>
              <w:rPr>
                <w:b/>
                <w:sz w:val="20"/>
              </w:rPr>
              <w:t>full</w:t>
            </w:r>
            <w:r>
              <w:rPr>
                <w:b/>
                <w:spacing w:val="-8"/>
                <w:sz w:val="20"/>
              </w:rPr>
              <w:t> </w:t>
            </w:r>
            <w:r>
              <w:rPr>
                <w:b/>
                <w:spacing w:val="-4"/>
                <w:sz w:val="20"/>
              </w:rPr>
              <w:t>time</w:t>
            </w:r>
          </w:p>
        </w:tc>
        <w:tc>
          <w:tcPr>
            <w:tcW w:w="1234" w:type="dxa"/>
          </w:tcPr>
          <w:p>
            <w:pPr>
              <w:pStyle w:val="TableParagraph"/>
              <w:spacing w:before="6"/>
              <w:ind w:right="153"/>
              <w:jc w:val="right"/>
              <w:rPr>
                <w:b/>
                <w:sz w:val="20"/>
              </w:rPr>
            </w:pPr>
            <w:r>
              <w:rPr>
                <w:b/>
                <w:spacing w:val="-2"/>
                <w:sz w:val="20"/>
              </w:rPr>
              <w:t>8,891</w:t>
            </w:r>
          </w:p>
        </w:tc>
        <w:tc>
          <w:tcPr>
            <w:tcW w:w="1234" w:type="dxa"/>
          </w:tcPr>
          <w:p>
            <w:pPr>
              <w:pStyle w:val="TableParagraph"/>
              <w:spacing w:before="6"/>
              <w:ind w:right="206"/>
              <w:jc w:val="right"/>
              <w:rPr>
                <w:b/>
                <w:sz w:val="20"/>
              </w:rPr>
            </w:pPr>
            <w:r>
              <w:rPr>
                <w:b/>
                <w:spacing w:val="-2"/>
                <w:sz w:val="20"/>
              </w:rPr>
              <w:t>9,010</w:t>
            </w:r>
          </w:p>
        </w:tc>
        <w:tc>
          <w:tcPr>
            <w:tcW w:w="1374" w:type="dxa"/>
          </w:tcPr>
          <w:p>
            <w:pPr>
              <w:pStyle w:val="TableParagraph"/>
              <w:spacing w:before="6"/>
              <w:ind w:right="188"/>
              <w:jc w:val="right"/>
              <w:rPr>
                <w:b/>
                <w:sz w:val="20"/>
              </w:rPr>
            </w:pPr>
            <w:r>
              <w:rPr>
                <w:b/>
                <w:spacing w:val="-2"/>
                <w:sz w:val="20"/>
              </w:rPr>
              <w:t>9,154</w:t>
            </w:r>
          </w:p>
        </w:tc>
        <w:tc>
          <w:tcPr>
            <w:tcW w:w="1227" w:type="dxa"/>
            <w:tcBorders>
              <w:right w:val="single" w:sz="12" w:space="0" w:color="000000"/>
            </w:tcBorders>
          </w:tcPr>
          <w:p>
            <w:pPr>
              <w:pStyle w:val="TableParagraph"/>
              <w:spacing w:before="6"/>
              <w:ind w:right="80"/>
              <w:jc w:val="right"/>
              <w:rPr>
                <w:b/>
                <w:sz w:val="20"/>
              </w:rPr>
            </w:pPr>
            <w:r>
              <w:rPr>
                <w:b/>
                <w:spacing w:val="-2"/>
                <w:sz w:val="20"/>
              </w:rPr>
              <w:t>9,331</w:t>
            </w:r>
          </w:p>
        </w:tc>
      </w:tr>
      <w:tr>
        <w:trPr>
          <w:trHeight w:val="271" w:hRule="atLeast"/>
        </w:trPr>
        <w:tc>
          <w:tcPr>
            <w:tcW w:w="5383" w:type="dxa"/>
            <w:tcBorders>
              <w:left w:val="single" w:sz="12" w:space="0" w:color="000000"/>
            </w:tcBorders>
          </w:tcPr>
          <w:p>
            <w:pPr>
              <w:pStyle w:val="TableParagraph"/>
              <w:spacing w:line="223" w:lineRule="exact" w:before="28"/>
              <w:ind w:left="107"/>
              <w:rPr>
                <w:sz w:val="20"/>
              </w:rPr>
            </w:pPr>
            <w:r>
              <w:rPr>
                <w:spacing w:val="-2"/>
                <w:sz w:val="20"/>
              </w:rPr>
              <w:t>Women</w:t>
            </w:r>
          </w:p>
        </w:tc>
        <w:tc>
          <w:tcPr>
            <w:tcW w:w="1234" w:type="dxa"/>
          </w:tcPr>
          <w:p>
            <w:pPr>
              <w:pStyle w:val="TableParagraph"/>
              <w:spacing w:before="6"/>
              <w:ind w:right="153"/>
              <w:jc w:val="right"/>
              <w:rPr>
                <w:sz w:val="20"/>
              </w:rPr>
            </w:pPr>
            <w:r>
              <w:rPr>
                <w:spacing w:val="-2"/>
                <w:sz w:val="20"/>
              </w:rPr>
              <w:t>4,165</w:t>
            </w:r>
          </w:p>
        </w:tc>
        <w:tc>
          <w:tcPr>
            <w:tcW w:w="1234" w:type="dxa"/>
          </w:tcPr>
          <w:p>
            <w:pPr>
              <w:pStyle w:val="TableParagraph"/>
              <w:spacing w:before="6"/>
              <w:ind w:right="206"/>
              <w:jc w:val="right"/>
              <w:rPr>
                <w:sz w:val="20"/>
              </w:rPr>
            </w:pPr>
            <w:r>
              <w:rPr>
                <w:spacing w:val="-2"/>
                <w:sz w:val="20"/>
              </w:rPr>
              <w:t>4,221</w:t>
            </w:r>
          </w:p>
        </w:tc>
        <w:tc>
          <w:tcPr>
            <w:tcW w:w="1374" w:type="dxa"/>
          </w:tcPr>
          <w:p>
            <w:pPr>
              <w:pStyle w:val="TableParagraph"/>
              <w:spacing w:before="6"/>
              <w:ind w:right="188"/>
              <w:jc w:val="right"/>
              <w:rPr>
                <w:sz w:val="20"/>
              </w:rPr>
            </w:pPr>
            <w:r>
              <w:rPr>
                <w:spacing w:val="-2"/>
                <w:sz w:val="20"/>
              </w:rPr>
              <w:t>4,289</w:t>
            </w:r>
          </w:p>
        </w:tc>
        <w:tc>
          <w:tcPr>
            <w:tcW w:w="1227" w:type="dxa"/>
            <w:tcBorders>
              <w:right w:val="single" w:sz="12" w:space="0" w:color="000000"/>
            </w:tcBorders>
          </w:tcPr>
          <w:p>
            <w:pPr>
              <w:pStyle w:val="TableParagraph"/>
              <w:spacing w:before="6"/>
              <w:ind w:right="80"/>
              <w:jc w:val="right"/>
              <w:rPr>
                <w:sz w:val="20"/>
              </w:rPr>
            </w:pPr>
            <w:r>
              <w:rPr>
                <w:spacing w:val="-2"/>
                <w:sz w:val="20"/>
              </w:rPr>
              <w:t>4,371</w:t>
            </w:r>
          </w:p>
        </w:tc>
      </w:tr>
      <w:tr>
        <w:trPr>
          <w:trHeight w:val="271" w:hRule="atLeast"/>
        </w:trPr>
        <w:tc>
          <w:tcPr>
            <w:tcW w:w="5383" w:type="dxa"/>
            <w:tcBorders>
              <w:left w:val="single" w:sz="12" w:space="0" w:color="000000"/>
            </w:tcBorders>
          </w:tcPr>
          <w:p>
            <w:pPr>
              <w:pStyle w:val="TableParagraph"/>
              <w:spacing w:line="223" w:lineRule="exact" w:before="28"/>
              <w:ind w:left="107"/>
              <w:rPr>
                <w:sz w:val="20"/>
              </w:rPr>
            </w:pPr>
            <w:r>
              <w:rPr>
                <w:spacing w:val="-5"/>
                <w:sz w:val="20"/>
              </w:rPr>
              <w:t>Men</w:t>
            </w:r>
          </w:p>
        </w:tc>
        <w:tc>
          <w:tcPr>
            <w:tcW w:w="1234" w:type="dxa"/>
          </w:tcPr>
          <w:p>
            <w:pPr>
              <w:pStyle w:val="TableParagraph"/>
              <w:spacing w:before="6"/>
              <w:ind w:right="153"/>
              <w:jc w:val="right"/>
              <w:rPr>
                <w:sz w:val="20"/>
              </w:rPr>
            </w:pPr>
            <w:r>
              <w:rPr>
                <w:spacing w:val="-2"/>
                <w:sz w:val="20"/>
              </w:rPr>
              <w:t>4,314</w:t>
            </w:r>
          </w:p>
        </w:tc>
        <w:tc>
          <w:tcPr>
            <w:tcW w:w="1234" w:type="dxa"/>
          </w:tcPr>
          <w:p>
            <w:pPr>
              <w:pStyle w:val="TableParagraph"/>
              <w:spacing w:before="6"/>
              <w:ind w:right="206"/>
              <w:jc w:val="right"/>
              <w:rPr>
                <w:sz w:val="20"/>
              </w:rPr>
            </w:pPr>
            <w:r>
              <w:rPr>
                <w:spacing w:val="-2"/>
                <w:sz w:val="20"/>
              </w:rPr>
              <w:t>4,372</w:t>
            </w:r>
          </w:p>
        </w:tc>
        <w:tc>
          <w:tcPr>
            <w:tcW w:w="1374" w:type="dxa"/>
          </w:tcPr>
          <w:p>
            <w:pPr>
              <w:pStyle w:val="TableParagraph"/>
              <w:spacing w:before="6"/>
              <w:ind w:right="188"/>
              <w:jc w:val="right"/>
              <w:rPr>
                <w:sz w:val="20"/>
              </w:rPr>
            </w:pPr>
            <w:r>
              <w:rPr>
                <w:spacing w:val="-2"/>
                <w:sz w:val="20"/>
              </w:rPr>
              <w:t>4,442</w:t>
            </w:r>
          </w:p>
        </w:tc>
        <w:tc>
          <w:tcPr>
            <w:tcW w:w="1227" w:type="dxa"/>
            <w:tcBorders>
              <w:right w:val="single" w:sz="12" w:space="0" w:color="000000"/>
            </w:tcBorders>
          </w:tcPr>
          <w:p>
            <w:pPr>
              <w:pStyle w:val="TableParagraph"/>
              <w:spacing w:before="6"/>
              <w:ind w:right="80"/>
              <w:jc w:val="right"/>
              <w:rPr>
                <w:sz w:val="20"/>
              </w:rPr>
            </w:pPr>
            <w:r>
              <w:rPr>
                <w:spacing w:val="-2"/>
                <w:sz w:val="20"/>
              </w:rPr>
              <w:t>4,528</w:t>
            </w:r>
          </w:p>
        </w:tc>
      </w:tr>
      <w:tr>
        <w:trPr>
          <w:trHeight w:val="271" w:hRule="atLeast"/>
        </w:trPr>
        <w:tc>
          <w:tcPr>
            <w:tcW w:w="5383" w:type="dxa"/>
            <w:tcBorders>
              <w:left w:val="single" w:sz="12" w:space="0" w:color="000000"/>
            </w:tcBorders>
          </w:tcPr>
          <w:p>
            <w:pPr>
              <w:pStyle w:val="TableParagraph"/>
              <w:spacing w:line="223" w:lineRule="exact" w:before="28"/>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34" w:type="dxa"/>
          </w:tcPr>
          <w:p>
            <w:pPr>
              <w:pStyle w:val="TableParagraph"/>
              <w:spacing w:before="6"/>
              <w:ind w:right="151"/>
              <w:jc w:val="right"/>
              <w:rPr>
                <w:sz w:val="20"/>
              </w:rPr>
            </w:pPr>
            <w:r>
              <w:rPr>
                <w:w w:val="99"/>
                <w:sz w:val="20"/>
              </w:rPr>
              <w:t>0</w:t>
            </w:r>
          </w:p>
        </w:tc>
        <w:tc>
          <w:tcPr>
            <w:tcW w:w="1234" w:type="dxa"/>
          </w:tcPr>
          <w:p>
            <w:pPr>
              <w:pStyle w:val="TableParagraph"/>
              <w:spacing w:before="6"/>
              <w:ind w:right="204"/>
              <w:jc w:val="right"/>
              <w:rPr>
                <w:sz w:val="20"/>
              </w:rPr>
            </w:pPr>
            <w:r>
              <w:rPr>
                <w:w w:val="99"/>
                <w:sz w:val="20"/>
              </w:rPr>
              <w:t>0</w:t>
            </w:r>
          </w:p>
        </w:tc>
        <w:tc>
          <w:tcPr>
            <w:tcW w:w="1374" w:type="dxa"/>
          </w:tcPr>
          <w:p>
            <w:pPr>
              <w:pStyle w:val="TableParagraph"/>
              <w:spacing w:before="6"/>
              <w:ind w:right="186"/>
              <w:jc w:val="right"/>
              <w:rPr>
                <w:sz w:val="20"/>
              </w:rPr>
            </w:pPr>
            <w:r>
              <w:rPr>
                <w:w w:val="99"/>
                <w:sz w:val="20"/>
              </w:rPr>
              <w:t>0</w:t>
            </w:r>
          </w:p>
        </w:tc>
        <w:tc>
          <w:tcPr>
            <w:tcW w:w="1227" w:type="dxa"/>
            <w:tcBorders>
              <w:right w:val="single" w:sz="12" w:space="0" w:color="000000"/>
            </w:tcBorders>
          </w:tcPr>
          <w:p>
            <w:pPr>
              <w:pStyle w:val="TableParagraph"/>
              <w:spacing w:before="6"/>
              <w:ind w:right="78"/>
              <w:jc w:val="right"/>
              <w:rPr>
                <w:sz w:val="20"/>
              </w:rPr>
            </w:pPr>
            <w:r>
              <w:rPr>
                <w:w w:val="99"/>
                <w:sz w:val="20"/>
              </w:rPr>
              <w:t>0</w:t>
            </w:r>
          </w:p>
        </w:tc>
      </w:tr>
      <w:tr>
        <w:trPr>
          <w:trHeight w:val="270" w:hRule="atLeast"/>
        </w:trPr>
        <w:tc>
          <w:tcPr>
            <w:tcW w:w="5383" w:type="dxa"/>
            <w:tcBorders>
              <w:left w:val="single" w:sz="12" w:space="0" w:color="000000"/>
            </w:tcBorders>
          </w:tcPr>
          <w:p>
            <w:pPr>
              <w:pStyle w:val="TableParagraph"/>
              <w:spacing w:line="225" w:lineRule="exact" w:before="25"/>
              <w:ind w:left="107"/>
              <w:rPr>
                <w:sz w:val="20"/>
              </w:rPr>
            </w:pPr>
            <w:r>
              <w:rPr>
                <w:sz w:val="20"/>
              </w:rPr>
              <w:t>Vacant</w:t>
            </w:r>
            <w:r>
              <w:rPr>
                <w:spacing w:val="-7"/>
                <w:sz w:val="20"/>
              </w:rPr>
              <w:t> </w:t>
            </w:r>
            <w:r>
              <w:rPr>
                <w:spacing w:val="-2"/>
                <w:sz w:val="20"/>
              </w:rPr>
              <w:t>Position</w:t>
            </w:r>
          </w:p>
        </w:tc>
        <w:tc>
          <w:tcPr>
            <w:tcW w:w="1234" w:type="dxa"/>
          </w:tcPr>
          <w:p>
            <w:pPr>
              <w:pStyle w:val="TableParagraph"/>
              <w:spacing w:before="6"/>
              <w:ind w:right="154"/>
              <w:jc w:val="right"/>
              <w:rPr>
                <w:sz w:val="20"/>
              </w:rPr>
            </w:pPr>
            <w:r>
              <w:rPr>
                <w:spacing w:val="-5"/>
                <w:sz w:val="20"/>
              </w:rPr>
              <w:t>411</w:t>
            </w:r>
          </w:p>
        </w:tc>
        <w:tc>
          <w:tcPr>
            <w:tcW w:w="1234" w:type="dxa"/>
          </w:tcPr>
          <w:p>
            <w:pPr>
              <w:pStyle w:val="TableParagraph"/>
              <w:spacing w:before="6"/>
              <w:ind w:right="207"/>
              <w:jc w:val="right"/>
              <w:rPr>
                <w:sz w:val="20"/>
              </w:rPr>
            </w:pPr>
            <w:r>
              <w:rPr>
                <w:spacing w:val="-5"/>
                <w:sz w:val="20"/>
              </w:rPr>
              <w:t>417</w:t>
            </w:r>
          </w:p>
        </w:tc>
        <w:tc>
          <w:tcPr>
            <w:tcW w:w="1374" w:type="dxa"/>
          </w:tcPr>
          <w:p>
            <w:pPr>
              <w:pStyle w:val="TableParagraph"/>
              <w:spacing w:before="6"/>
              <w:ind w:right="189"/>
              <w:jc w:val="right"/>
              <w:rPr>
                <w:sz w:val="20"/>
              </w:rPr>
            </w:pPr>
            <w:r>
              <w:rPr>
                <w:spacing w:val="-5"/>
                <w:sz w:val="20"/>
              </w:rPr>
              <w:t>423</w:t>
            </w:r>
          </w:p>
        </w:tc>
        <w:tc>
          <w:tcPr>
            <w:tcW w:w="1227" w:type="dxa"/>
            <w:tcBorders>
              <w:right w:val="single" w:sz="12" w:space="0" w:color="000000"/>
            </w:tcBorders>
          </w:tcPr>
          <w:p>
            <w:pPr>
              <w:pStyle w:val="TableParagraph"/>
              <w:spacing w:before="6"/>
              <w:ind w:right="81"/>
              <w:jc w:val="right"/>
              <w:rPr>
                <w:sz w:val="20"/>
              </w:rPr>
            </w:pPr>
            <w:r>
              <w:rPr>
                <w:spacing w:val="-5"/>
                <w:sz w:val="20"/>
              </w:rPr>
              <w:t>432</w:t>
            </w:r>
          </w:p>
        </w:tc>
      </w:tr>
      <w:tr>
        <w:trPr>
          <w:trHeight w:val="271" w:hRule="atLeast"/>
        </w:trPr>
        <w:tc>
          <w:tcPr>
            <w:tcW w:w="5383" w:type="dxa"/>
            <w:tcBorders>
              <w:left w:val="single" w:sz="12" w:space="0" w:color="000000"/>
            </w:tcBorders>
          </w:tcPr>
          <w:p>
            <w:pPr>
              <w:pStyle w:val="TableParagraph"/>
              <w:spacing w:line="225" w:lineRule="exact" w:before="26"/>
              <w:ind w:left="107"/>
              <w:rPr>
                <w:b/>
                <w:sz w:val="20"/>
              </w:rPr>
            </w:pPr>
            <w:r>
              <w:rPr>
                <w:b/>
                <w:sz w:val="20"/>
              </w:rPr>
              <w:t>Permanent</w:t>
            </w:r>
            <w:r>
              <w:rPr>
                <w:b/>
                <w:spacing w:val="-9"/>
                <w:sz w:val="20"/>
              </w:rPr>
              <w:t> </w:t>
            </w:r>
            <w:r>
              <w:rPr>
                <w:b/>
                <w:sz w:val="20"/>
              </w:rPr>
              <w:t>part</w:t>
            </w:r>
            <w:r>
              <w:rPr>
                <w:b/>
                <w:spacing w:val="-7"/>
                <w:sz w:val="20"/>
              </w:rPr>
              <w:t> </w:t>
            </w:r>
            <w:r>
              <w:rPr>
                <w:b/>
                <w:spacing w:val="-4"/>
                <w:sz w:val="20"/>
              </w:rPr>
              <w:t>time</w:t>
            </w:r>
          </w:p>
        </w:tc>
        <w:tc>
          <w:tcPr>
            <w:tcW w:w="1234" w:type="dxa"/>
          </w:tcPr>
          <w:p>
            <w:pPr>
              <w:pStyle w:val="TableParagraph"/>
              <w:spacing w:before="7"/>
              <w:ind w:right="153"/>
              <w:jc w:val="right"/>
              <w:rPr>
                <w:b/>
                <w:sz w:val="20"/>
              </w:rPr>
            </w:pPr>
            <w:r>
              <w:rPr>
                <w:b/>
                <w:spacing w:val="-2"/>
                <w:sz w:val="20"/>
              </w:rPr>
              <w:t>1,319</w:t>
            </w:r>
          </w:p>
        </w:tc>
        <w:tc>
          <w:tcPr>
            <w:tcW w:w="1234" w:type="dxa"/>
          </w:tcPr>
          <w:p>
            <w:pPr>
              <w:pStyle w:val="TableParagraph"/>
              <w:spacing w:before="7"/>
              <w:ind w:right="206"/>
              <w:jc w:val="right"/>
              <w:rPr>
                <w:b/>
                <w:sz w:val="20"/>
              </w:rPr>
            </w:pPr>
            <w:r>
              <w:rPr>
                <w:b/>
                <w:spacing w:val="-2"/>
                <w:sz w:val="20"/>
              </w:rPr>
              <w:t>1,337</w:t>
            </w:r>
          </w:p>
        </w:tc>
        <w:tc>
          <w:tcPr>
            <w:tcW w:w="1374" w:type="dxa"/>
          </w:tcPr>
          <w:p>
            <w:pPr>
              <w:pStyle w:val="TableParagraph"/>
              <w:spacing w:before="7"/>
              <w:ind w:right="188"/>
              <w:jc w:val="right"/>
              <w:rPr>
                <w:b/>
                <w:sz w:val="20"/>
              </w:rPr>
            </w:pPr>
            <w:r>
              <w:rPr>
                <w:b/>
                <w:spacing w:val="-2"/>
                <w:sz w:val="20"/>
              </w:rPr>
              <w:t>1,358</w:t>
            </w:r>
          </w:p>
        </w:tc>
        <w:tc>
          <w:tcPr>
            <w:tcW w:w="1227" w:type="dxa"/>
            <w:tcBorders>
              <w:right w:val="single" w:sz="12" w:space="0" w:color="000000"/>
            </w:tcBorders>
          </w:tcPr>
          <w:p>
            <w:pPr>
              <w:pStyle w:val="TableParagraph"/>
              <w:spacing w:before="7"/>
              <w:ind w:right="80"/>
              <w:jc w:val="right"/>
              <w:rPr>
                <w:b/>
                <w:sz w:val="20"/>
              </w:rPr>
            </w:pPr>
            <w:r>
              <w:rPr>
                <w:b/>
                <w:spacing w:val="-2"/>
                <w:sz w:val="20"/>
              </w:rPr>
              <w:t>1,384</w:t>
            </w:r>
          </w:p>
        </w:tc>
      </w:tr>
      <w:tr>
        <w:trPr>
          <w:trHeight w:val="271" w:hRule="atLeast"/>
        </w:trPr>
        <w:tc>
          <w:tcPr>
            <w:tcW w:w="5383" w:type="dxa"/>
            <w:tcBorders>
              <w:left w:val="single" w:sz="12" w:space="0" w:color="000000"/>
            </w:tcBorders>
          </w:tcPr>
          <w:p>
            <w:pPr>
              <w:pStyle w:val="TableParagraph"/>
              <w:spacing w:line="225" w:lineRule="exact" w:before="26"/>
              <w:ind w:left="107"/>
              <w:rPr>
                <w:sz w:val="20"/>
              </w:rPr>
            </w:pPr>
            <w:r>
              <w:rPr>
                <w:spacing w:val="-2"/>
                <w:sz w:val="20"/>
              </w:rPr>
              <w:t>Women</w:t>
            </w:r>
          </w:p>
        </w:tc>
        <w:tc>
          <w:tcPr>
            <w:tcW w:w="1234" w:type="dxa"/>
          </w:tcPr>
          <w:p>
            <w:pPr>
              <w:pStyle w:val="TableParagraph"/>
              <w:spacing w:before="7"/>
              <w:ind w:right="153"/>
              <w:jc w:val="right"/>
              <w:rPr>
                <w:sz w:val="20"/>
              </w:rPr>
            </w:pPr>
            <w:r>
              <w:rPr>
                <w:spacing w:val="-2"/>
                <w:sz w:val="20"/>
              </w:rPr>
              <w:t>1,214</w:t>
            </w:r>
          </w:p>
        </w:tc>
        <w:tc>
          <w:tcPr>
            <w:tcW w:w="1234" w:type="dxa"/>
          </w:tcPr>
          <w:p>
            <w:pPr>
              <w:pStyle w:val="TableParagraph"/>
              <w:spacing w:before="7"/>
              <w:ind w:right="206"/>
              <w:jc w:val="right"/>
              <w:rPr>
                <w:sz w:val="20"/>
              </w:rPr>
            </w:pPr>
            <w:r>
              <w:rPr>
                <w:spacing w:val="-2"/>
                <w:sz w:val="20"/>
              </w:rPr>
              <w:t>1,231</w:t>
            </w:r>
          </w:p>
        </w:tc>
        <w:tc>
          <w:tcPr>
            <w:tcW w:w="1374" w:type="dxa"/>
          </w:tcPr>
          <w:p>
            <w:pPr>
              <w:pStyle w:val="TableParagraph"/>
              <w:spacing w:before="7"/>
              <w:ind w:right="188"/>
              <w:jc w:val="right"/>
              <w:rPr>
                <w:sz w:val="20"/>
              </w:rPr>
            </w:pPr>
            <w:r>
              <w:rPr>
                <w:spacing w:val="-2"/>
                <w:sz w:val="20"/>
              </w:rPr>
              <w:t>1,250</w:t>
            </w:r>
          </w:p>
        </w:tc>
        <w:tc>
          <w:tcPr>
            <w:tcW w:w="1227" w:type="dxa"/>
            <w:tcBorders>
              <w:right w:val="single" w:sz="12" w:space="0" w:color="000000"/>
            </w:tcBorders>
          </w:tcPr>
          <w:p>
            <w:pPr>
              <w:pStyle w:val="TableParagraph"/>
              <w:spacing w:before="7"/>
              <w:ind w:right="80"/>
              <w:jc w:val="right"/>
              <w:rPr>
                <w:sz w:val="20"/>
              </w:rPr>
            </w:pPr>
            <w:r>
              <w:rPr>
                <w:spacing w:val="-2"/>
                <w:sz w:val="20"/>
              </w:rPr>
              <w:t>1,275</w:t>
            </w:r>
          </w:p>
        </w:tc>
      </w:tr>
      <w:tr>
        <w:trPr>
          <w:trHeight w:val="271" w:hRule="atLeast"/>
        </w:trPr>
        <w:tc>
          <w:tcPr>
            <w:tcW w:w="5383" w:type="dxa"/>
            <w:tcBorders>
              <w:left w:val="single" w:sz="12" w:space="0" w:color="000000"/>
            </w:tcBorders>
          </w:tcPr>
          <w:p>
            <w:pPr>
              <w:pStyle w:val="TableParagraph"/>
              <w:spacing w:line="225" w:lineRule="exact" w:before="26"/>
              <w:ind w:left="107"/>
              <w:rPr>
                <w:sz w:val="20"/>
              </w:rPr>
            </w:pPr>
            <w:r>
              <w:rPr>
                <w:spacing w:val="-5"/>
                <w:sz w:val="20"/>
              </w:rPr>
              <w:t>Men</w:t>
            </w:r>
          </w:p>
        </w:tc>
        <w:tc>
          <w:tcPr>
            <w:tcW w:w="1234" w:type="dxa"/>
          </w:tcPr>
          <w:p>
            <w:pPr>
              <w:pStyle w:val="TableParagraph"/>
              <w:spacing w:before="7"/>
              <w:ind w:right="154"/>
              <w:jc w:val="right"/>
              <w:rPr>
                <w:sz w:val="20"/>
              </w:rPr>
            </w:pPr>
            <w:r>
              <w:rPr>
                <w:spacing w:val="-5"/>
                <w:sz w:val="20"/>
              </w:rPr>
              <w:t>46</w:t>
            </w:r>
          </w:p>
        </w:tc>
        <w:tc>
          <w:tcPr>
            <w:tcW w:w="1234" w:type="dxa"/>
          </w:tcPr>
          <w:p>
            <w:pPr>
              <w:pStyle w:val="TableParagraph"/>
              <w:spacing w:before="7"/>
              <w:ind w:right="207"/>
              <w:jc w:val="right"/>
              <w:rPr>
                <w:sz w:val="20"/>
              </w:rPr>
            </w:pPr>
            <w:r>
              <w:rPr>
                <w:spacing w:val="-5"/>
                <w:sz w:val="20"/>
              </w:rPr>
              <w:t>46</w:t>
            </w:r>
          </w:p>
        </w:tc>
        <w:tc>
          <w:tcPr>
            <w:tcW w:w="1374" w:type="dxa"/>
          </w:tcPr>
          <w:p>
            <w:pPr>
              <w:pStyle w:val="TableParagraph"/>
              <w:spacing w:before="7"/>
              <w:ind w:right="189"/>
              <w:jc w:val="right"/>
              <w:rPr>
                <w:sz w:val="20"/>
              </w:rPr>
            </w:pPr>
            <w:r>
              <w:rPr>
                <w:spacing w:val="-5"/>
                <w:sz w:val="20"/>
              </w:rPr>
              <w:t>47</w:t>
            </w:r>
          </w:p>
        </w:tc>
        <w:tc>
          <w:tcPr>
            <w:tcW w:w="1227" w:type="dxa"/>
            <w:tcBorders>
              <w:right w:val="single" w:sz="12" w:space="0" w:color="000000"/>
            </w:tcBorders>
          </w:tcPr>
          <w:p>
            <w:pPr>
              <w:pStyle w:val="TableParagraph"/>
              <w:spacing w:before="7"/>
              <w:ind w:right="81"/>
              <w:jc w:val="right"/>
              <w:rPr>
                <w:sz w:val="20"/>
              </w:rPr>
            </w:pPr>
            <w:r>
              <w:rPr>
                <w:spacing w:val="-5"/>
                <w:sz w:val="20"/>
              </w:rPr>
              <w:t>48</w:t>
            </w:r>
          </w:p>
        </w:tc>
      </w:tr>
      <w:tr>
        <w:trPr>
          <w:trHeight w:val="270" w:hRule="atLeast"/>
        </w:trPr>
        <w:tc>
          <w:tcPr>
            <w:tcW w:w="5383" w:type="dxa"/>
            <w:tcBorders>
              <w:left w:val="single" w:sz="12" w:space="0" w:color="000000"/>
            </w:tcBorders>
          </w:tcPr>
          <w:p>
            <w:pPr>
              <w:pStyle w:val="TableParagraph"/>
              <w:spacing w:line="223" w:lineRule="exact" w:before="26"/>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34" w:type="dxa"/>
          </w:tcPr>
          <w:p>
            <w:pPr>
              <w:pStyle w:val="TableParagraph"/>
              <w:spacing w:before="7"/>
              <w:ind w:right="151"/>
              <w:jc w:val="right"/>
              <w:rPr>
                <w:sz w:val="20"/>
              </w:rPr>
            </w:pPr>
            <w:r>
              <w:rPr>
                <w:w w:val="99"/>
                <w:sz w:val="20"/>
              </w:rPr>
              <w:t>0</w:t>
            </w:r>
          </w:p>
        </w:tc>
        <w:tc>
          <w:tcPr>
            <w:tcW w:w="1234" w:type="dxa"/>
          </w:tcPr>
          <w:p>
            <w:pPr>
              <w:pStyle w:val="TableParagraph"/>
              <w:spacing w:before="7"/>
              <w:ind w:right="204"/>
              <w:jc w:val="right"/>
              <w:rPr>
                <w:sz w:val="20"/>
              </w:rPr>
            </w:pPr>
            <w:r>
              <w:rPr>
                <w:w w:val="99"/>
                <w:sz w:val="20"/>
              </w:rPr>
              <w:t>0</w:t>
            </w:r>
          </w:p>
        </w:tc>
        <w:tc>
          <w:tcPr>
            <w:tcW w:w="1374" w:type="dxa"/>
          </w:tcPr>
          <w:p>
            <w:pPr>
              <w:pStyle w:val="TableParagraph"/>
              <w:spacing w:before="7"/>
              <w:ind w:right="186"/>
              <w:jc w:val="right"/>
              <w:rPr>
                <w:sz w:val="20"/>
              </w:rPr>
            </w:pPr>
            <w:r>
              <w:rPr>
                <w:w w:val="99"/>
                <w:sz w:val="20"/>
              </w:rPr>
              <w:t>0</w:t>
            </w:r>
          </w:p>
        </w:tc>
        <w:tc>
          <w:tcPr>
            <w:tcW w:w="1227" w:type="dxa"/>
            <w:tcBorders>
              <w:right w:val="single" w:sz="12" w:space="0" w:color="000000"/>
            </w:tcBorders>
          </w:tcPr>
          <w:p>
            <w:pPr>
              <w:pStyle w:val="TableParagraph"/>
              <w:spacing w:before="7"/>
              <w:ind w:right="78"/>
              <w:jc w:val="right"/>
              <w:rPr>
                <w:sz w:val="20"/>
              </w:rPr>
            </w:pPr>
            <w:r>
              <w:rPr>
                <w:w w:val="99"/>
                <w:sz w:val="20"/>
              </w:rPr>
              <w:t>0</w:t>
            </w:r>
          </w:p>
        </w:tc>
      </w:tr>
      <w:tr>
        <w:trPr>
          <w:trHeight w:val="258" w:hRule="atLeast"/>
        </w:trPr>
        <w:tc>
          <w:tcPr>
            <w:tcW w:w="5383" w:type="dxa"/>
            <w:tcBorders>
              <w:left w:val="single" w:sz="12" w:space="0" w:color="000000"/>
            </w:tcBorders>
          </w:tcPr>
          <w:p>
            <w:pPr>
              <w:pStyle w:val="TableParagraph"/>
              <w:spacing w:line="211" w:lineRule="exact" w:before="28"/>
              <w:ind w:left="107"/>
              <w:rPr>
                <w:sz w:val="20"/>
              </w:rPr>
            </w:pPr>
            <w:r>
              <w:rPr>
                <w:sz w:val="20"/>
              </w:rPr>
              <w:t>Vacant</w:t>
            </w:r>
            <w:r>
              <w:rPr>
                <w:spacing w:val="-7"/>
                <w:sz w:val="20"/>
              </w:rPr>
              <w:t> </w:t>
            </w:r>
            <w:r>
              <w:rPr>
                <w:spacing w:val="-2"/>
                <w:sz w:val="20"/>
              </w:rPr>
              <w:t>Position</w:t>
            </w:r>
          </w:p>
        </w:tc>
        <w:tc>
          <w:tcPr>
            <w:tcW w:w="1234" w:type="dxa"/>
            <w:tcBorders>
              <w:bottom w:val="single" w:sz="4" w:space="0" w:color="000000"/>
            </w:tcBorders>
          </w:tcPr>
          <w:p>
            <w:pPr>
              <w:pStyle w:val="TableParagraph"/>
              <w:spacing w:before="6"/>
              <w:ind w:right="154"/>
              <w:jc w:val="right"/>
              <w:rPr>
                <w:sz w:val="20"/>
              </w:rPr>
            </w:pPr>
            <w:r>
              <w:rPr>
                <w:spacing w:val="-5"/>
                <w:sz w:val="20"/>
              </w:rPr>
              <w:t>59</w:t>
            </w:r>
          </w:p>
        </w:tc>
        <w:tc>
          <w:tcPr>
            <w:tcW w:w="1234" w:type="dxa"/>
            <w:tcBorders>
              <w:bottom w:val="single" w:sz="4" w:space="0" w:color="000000"/>
            </w:tcBorders>
          </w:tcPr>
          <w:p>
            <w:pPr>
              <w:pStyle w:val="TableParagraph"/>
              <w:spacing w:before="6"/>
              <w:ind w:right="207"/>
              <w:jc w:val="right"/>
              <w:rPr>
                <w:sz w:val="20"/>
              </w:rPr>
            </w:pPr>
            <w:r>
              <w:rPr>
                <w:spacing w:val="-5"/>
                <w:sz w:val="20"/>
              </w:rPr>
              <w:t>60</w:t>
            </w:r>
          </w:p>
        </w:tc>
        <w:tc>
          <w:tcPr>
            <w:tcW w:w="1374" w:type="dxa"/>
            <w:tcBorders>
              <w:bottom w:val="single" w:sz="4" w:space="0" w:color="000000"/>
            </w:tcBorders>
          </w:tcPr>
          <w:p>
            <w:pPr>
              <w:pStyle w:val="TableParagraph"/>
              <w:spacing w:before="6"/>
              <w:ind w:right="189"/>
              <w:jc w:val="right"/>
              <w:rPr>
                <w:sz w:val="20"/>
              </w:rPr>
            </w:pPr>
            <w:r>
              <w:rPr>
                <w:spacing w:val="-5"/>
                <w:sz w:val="20"/>
              </w:rPr>
              <w:t>61</w:t>
            </w:r>
          </w:p>
        </w:tc>
        <w:tc>
          <w:tcPr>
            <w:tcW w:w="1227" w:type="dxa"/>
            <w:tcBorders>
              <w:bottom w:val="single" w:sz="4" w:space="0" w:color="000000"/>
              <w:right w:val="single" w:sz="12" w:space="0" w:color="000000"/>
            </w:tcBorders>
          </w:tcPr>
          <w:p>
            <w:pPr>
              <w:pStyle w:val="TableParagraph"/>
              <w:spacing w:before="6"/>
              <w:ind w:right="81"/>
              <w:jc w:val="right"/>
              <w:rPr>
                <w:sz w:val="20"/>
              </w:rPr>
            </w:pPr>
            <w:r>
              <w:rPr>
                <w:spacing w:val="-5"/>
                <w:sz w:val="20"/>
              </w:rPr>
              <w:t>62</w:t>
            </w:r>
          </w:p>
        </w:tc>
      </w:tr>
      <w:tr>
        <w:trPr>
          <w:trHeight w:val="270" w:hRule="atLeast"/>
        </w:trPr>
        <w:tc>
          <w:tcPr>
            <w:tcW w:w="5383" w:type="dxa"/>
            <w:tcBorders>
              <w:left w:val="single" w:sz="12" w:space="0" w:color="000000"/>
            </w:tcBorders>
          </w:tcPr>
          <w:p>
            <w:pPr>
              <w:pStyle w:val="TableParagraph"/>
              <w:spacing w:line="211" w:lineRule="exact" w:before="40"/>
              <w:ind w:left="107"/>
              <w:rPr>
                <w:b/>
                <w:sz w:val="20"/>
              </w:rPr>
            </w:pPr>
            <w:r>
              <w:rPr>
                <w:b/>
                <w:sz w:val="20"/>
              </w:rPr>
              <w:t>Total</w:t>
            </w:r>
            <w:r>
              <w:rPr>
                <w:b/>
                <w:spacing w:val="-7"/>
                <w:sz w:val="20"/>
              </w:rPr>
              <w:t> </w:t>
            </w:r>
            <w:r>
              <w:rPr>
                <w:b/>
                <w:sz w:val="20"/>
              </w:rPr>
              <w:t>Chief</w:t>
            </w:r>
            <w:r>
              <w:rPr>
                <w:b/>
                <w:spacing w:val="-7"/>
                <w:sz w:val="20"/>
              </w:rPr>
              <w:t> </w:t>
            </w:r>
            <w:r>
              <w:rPr>
                <w:b/>
                <w:sz w:val="20"/>
              </w:rPr>
              <w:t>Financial</w:t>
            </w:r>
            <w:r>
              <w:rPr>
                <w:b/>
                <w:spacing w:val="-7"/>
                <w:sz w:val="20"/>
              </w:rPr>
              <w:t> </w:t>
            </w:r>
            <w:r>
              <w:rPr>
                <w:b/>
                <w:spacing w:val="-2"/>
                <w:sz w:val="20"/>
              </w:rPr>
              <w:t>Office</w:t>
            </w:r>
          </w:p>
        </w:tc>
        <w:tc>
          <w:tcPr>
            <w:tcW w:w="1234" w:type="dxa"/>
            <w:tcBorders>
              <w:top w:val="single" w:sz="4" w:space="0" w:color="000000"/>
              <w:bottom w:val="single" w:sz="4" w:space="0" w:color="000000"/>
            </w:tcBorders>
          </w:tcPr>
          <w:p>
            <w:pPr>
              <w:pStyle w:val="TableParagraph"/>
              <w:spacing w:before="21"/>
              <w:ind w:right="154"/>
              <w:jc w:val="right"/>
              <w:rPr>
                <w:b/>
                <w:sz w:val="20"/>
              </w:rPr>
            </w:pPr>
            <w:r>
              <w:rPr>
                <w:b/>
                <w:spacing w:val="-2"/>
                <w:sz w:val="20"/>
              </w:rPr>
              <w:t>10,210</w:t>
            </w:r>
          </w:p>
        </w:tc>
        <w:tc>
          <w:tcPr>
            <w:tcW w:w="1234" w:type="dxa"/>
            <w:tcBorders>
              <w:top w:val="single" w:sz="4" w:space="0" w:color="000000"/>
              <w:bottom w:val="single" w:sz="4" w:space="0" w:color="000000"/>
            </w:tcBorders>
          </w:tcPr>
          <w:p>
            <w:pPr>
              <w:pStyle w:val="TableParagraph"/>
              <w:spacing w:before="21"/>
              <w:ind w:right="207"/>
              <w:jc w:val="right"/>
              <w:rPr>
                <w:b/>
                <w:sz w:val="20"/>
              </w:rPr>
            </w:pPr>
            <w:r>
              <w:rPr>
                <w:b/>
                <w:spacing w:val="-2"/>
                <w:sz w:val="20"/>
              </w:rPr>
              <w:t>10,347</w:t>
            </w:r>
          </w:p>
        </w:tc>
        <w:tc>
          <w:tcPr>
            <w:tcW w:w="1374" w:type="dxa"/>
            <w:tcBorders>
              <w:top w:val="single" w:sz="4" w:space="0" w:color="000000"/>
              <w:bottom w:val="single" w:sz="4" w:space="0" w:color="000000"/>
            </w:tcBorders>
          </w:tcPr>
          <w:p>
            <w:pPr>
              <w:pStyle w:val="TableParagraph"/>
              <w:spacing w:before="21"/>
              <w:ind w:right="189"/>
              <w:jc w:val="right"/>
              <w:rPr>
                <w:b/>
                <w:sz w:val="20"/>
              </w:rPr>
            </w:pPr>
            <w:r>
              <w:rPr>
                <w:b/>
                <w:spacing w:val="-2"/>
                <w:sz w:val="20"/>
              </w:rPr>
              <w:t>10,513</w:t>
            </w:r>
          </w:p>
        </w:tc>
        <w:tc>
          <w:tcPr>
            <w:tcW w:w="1227" w:type="dxa"/>
            <w:tcBorders>
              <w:top w:val="single" w:sz="4" w:space="0" w:color="000000"/>
              <w:bottom w:val="single" w:sz="4" w:space="0" w:color="000000"/>
              <w:right w:val="single" w:sz="12" w:space="0" w:color="000000"/>
            </w:tcBorders>
          </w:tcPr>
          <w:p>
            <w:pPr>
              <w:pStyle w:val="TableParagraph"/>
              <w:spacing w:before="21"/>
              <w:ind w:right="81"/>
              <w:jc w:val="right"/>
              <w:rPr>
                <w:b/>
                <w:sz w:val="20"/>
              </w:rPr>
            </w:pPr>
            <w:r>
              <w:rPr>
                <w:b/>
                <w:spacing w:val="-2"/>
                <w:sz w:val="20"/>
              </w:rPr>
              <w:t>10,715</w:t>
            </w:r>
          </w:p>
        </w:tc>
      </w:tr>
      <w:tr>
        <w:trPr>
          <w:trHeight w:val="284" w:hRule="atLeast"/>
        </w:trPr>
        <w:tc>
          <w:tcPr>
            <w:tcW w:w="5383" w:type="dxa"/>
            <w:tcBorders>
              <w:left w:val="single" w:sz="12" w:space="0" w:color="000000"/>
            </w:tcBorders>
          </w:tcPr>
          <w:p>
            <w:pPr>
              <w:pStyle w:val="TableParagraph"/>
              <w:spacing w:line="225" w:lineRule="exact" w:before="40"/>
              <w:ind w:left="107"/>
              <w:rPr>
                <w:sz w:val="20"/>
              </w:rPr>
            </w:pPr>
            <w:r>
              <w:rPr>
                <w:sz w:val="20"/>
              </w:rPr>
              <w:t>Casuals,</w:t>
            </w:r>
            <w:r>
              <w:rPr>
                <w:spacing w:val="-5"/>
                <w:sz w:val="20"/>
              </w:rPr>
              <w:t> </w:t>
            </w:r>
            <w:r>
              <w:rPr>
                <w:sz w:val="20"/>
              </w:rPr>
              <w:t>temporary</w:t>
            </w:r>
            <w:r>
              <w:rPr>
                <w:spacing w:val="-7"/>
                <w:sz w:val="20"/>
              </w:rPr>
              <w:t> </w:t>
            </w:r>
            <w:r>
              <w:rPr>
                <w:sz w:val="20"/>
              </w:rPr>
              <w:t>and</w:t>
            </w:r>
            <w:r>
              <w:rPr>
                <w:spacing w:val="-7"/>
                <w:sz w:val="20"/>
              </w:rPr>
              <w:t> </w:t>
            </w:r>
            <w:r>
              <w:rPr>
                <w:sz w:val="20"/>
              </w:rPr>
              <w:t>other</w:t>
            </w:r>
            <w:r>
              <w:rPr>
                <w:spacing w:val="-7"/>
                <w:sz w:val="20"/>
              </w:rPr>
              <w:t> </w:t>
            </w:r>
            <w:r>
              <w:rPr>
                <w:spacing w:val="-2"/>
                <w:sz w:val="20"/>
              </w:rPr>
              <w:t>expenditure</w:t>
            </w:r>
          </w:p>
        </w:tc>
        <w:tc>
          <w:tcPr>
            <w:tcW w:w="1234" w:type="dxa"/>
            <w:tcBorders>
              <w:top w:val="single" w:sz="4" w:space="0" w:color="000000"/>
            </w:tcBorders>
          </w:tcPr>
          <w:p>
            <w:pPr>
              <w:pStyle w:val="TableParagraph"/>
              <w:spacing w:before="21"/>
              <w:ind w:right="154"/>
              <w:jc w:val="right"/>
              <w:rPr>
                <w:b/>
                <w:sz w:val="20"/>
              </w:rPr>
            </w:pPr>
            <w:r>
              <w:rPr>
                <w:b/>
                <w:spacing w:val="-2"/>
                <w:sz w:val="20"/>
              </w:rPr>
              <w:t>11,582</w:t>
            </w:r>
          </w:p>
        </w:tc>
        <w:tc>
          <w:tcPr>
            <w:tcW w:w="1234" w:type="dxa"/>
            <w:tcBorders>
              <w:top w:val="single" w:sz="4" w:space="0" w:color="000000"/>
            </w:tcBorders>
          </w:tcPr>
          <w:p>
            <w:pPr>
              <w:pStyle w:val="TableParagraph"/>
              <w:spacing w:before="21"/>
              <w:ind w:right="207"/>
              <w:jc w:val="right"/>
              <w:rPr>
                <w:sz w:val="20"/>
              </w:rPr>
            </w:pPr>
            <w:r>
              <w:rPr>
                <w:spacing w:val="-2"/>
                <w:sz w:val="20"/>
              </w:rPr>
              <w:t>11,738</w:t>
            </w:r>
          </w:p>
        </w:tc>
        <w:tc>
          <w:tcPr>
            <w:tcW w:w="1374" w:type="dxa"/>
            <w:tcBorders>
              <w:top w:val="single" w:sz="4" w:space="0" w:color="000000"/>
            </w:tcBorders>
          </w:tcPr>
          <w:p>
            <w:pPr>
              <w:pStyle w:val="TableParagraph"/>
              <w:spacing w:before="21"/>
              <w:ind w:right="189"/>
              <w:jc w:val="right"/>
              <w:rPr>
                <w:sz w:val="20"/>
              </w:rPr>
            </w:pPr>
            <w:r>
              <w:rPr>
                <w:spacing w:val="-2"/>
                <w:sz w:val="20"/>
              </w:rPr>
              <w:t>11,926</w:t>
            </w:r>
          </w:p>
        </w:tc>
        <w:tc>
          <w:tcPr>
            <w:tcW w:w="1227" w:type="dxa"/>
            <w:tcBorders>
              <w:top w:val="single" w:sz="4" w:space="0" w:color="000000"/>
              <w:right w:val="single" w:sz="12" w:space="0" w:color="000000"/>
            </w:tcBorders>
          </w:tcPr>
          <w:p>
            <w:pPr>
              <w:pStyle w:val="TableParagraph"/>
              <w:spacing w:before="21"/>
              <w:ind w:right="81"/>
              <w:jc w:val="right"/>
              <w:rPr>
                <w:sz w:val="20"/>
              </w:rPr>
            </w:pPr>
            <w:r>
              <w:rPr>
                <w:spacing w:val="-2"/>
                <w:sz w:val="20"/>
              </w:rPr>
              <w:t>12,156</w:t>
            </w:r>
          </w:p>
        </w:tc>
      </w:tr>
      <w:tr>
        <w:trPr>
          <w:trHeight w:val="257" w:hRule="atLeast"/>
        </w:trPr>
        <w:tc>
          <w:tcPr>
            <w:tcW w:w="5383" w:type="dxa"/>
            <w:tcBorders>
              <w:left w:val="single" w:sz="12" w:space="0" w:color="000000"/>
            </w:tcBorders>
          </w:tcPr>
          <w:p>
            <w:pPr>
              <w:pStyle w:val="TableParagraph"/>
              <w:spacing w:line="211" w:lineRule="exact" w:before="26"/>
              <w:ind w:left="107"/>
              <w:rPr>
                <w:sz w:val="20"/>
              </w:rPr>
            </w:pPr>
            <w:r>
              <w:rPr>
                <w:sz w:val="20"/>
              </w:rPr>
              <w:t>Capitalised</w:t>
            </w:r>
            <w:r>
              <w:rPr>
                <w:spacing w:val="-9"/>
                <w:sz w:val="20"/>
              </w:rPr>
              <w:t> </w:t>
            </w:r>
            <w:r>
              <w:rPr>
                <w:sz w:val="20"/>
              </w:rPr>
              <w:t>labour</w:t>
            </w:r>
            <w:r>
              <w:rPr>
                <w:spacing w:val="-7"/>
                <w:sz w:val="20"/>
              </w:rPr>
              <w:t> </w:t>
            </w:r>
            <w:r>
              <w:rPr>
                <w:spacing w:val="-2"/>
                <w:sz w:val="20"/>
              </w:rPr>
              <w:t>costs</w:t>
            </w:r>
          </w:p>
        </w:tc>
        <w:tc>
          <w:tcPr>
            <w:tcW w:w="1234" w:type="dxa"/>
            <w:tcBorders>
              <w:bottom w:val="single" w:sz="4" w:space="0" w:color="000000"/>
            </w:tcBorders>
          </w:tcPr>
          <w:p>
            <w:pPr>
              <w:pStyle w:val="TableParagraph"/>
              <w:spacing w:before="7"/>
              <w:ind w:right="153"/>
              <w:jc w:val="right"/>
              <w:rPr>
                <w:b/>
                <w:sz w:val="20"/>
              </w:rPr>
            </w:pPr>
            <w:r>
              <w:rPr>
                <w:b/>
                <w:spacing w:val="-2"/>
                <w:sz w:val="20"/>
              </w:rPr>
              <w:t>2,023</w:t>
            </w:r>
          </w:p>
        </w:tc>
        <w:tc>
          <w:tcPr>
            <w:tcW w:w="1234" w:type="dxa"/>
            <w:tcBorders>
              <w:bottom w:val="single" w:sz="4" w:space="0" w:color="000000"/>
            </w:tcBorders>
          </w:tcPr>
          <w:p>
            <w:pPr>
              <w:pStyle w:val="TableParagraph"/>
              <w:spacing w:before="7"/>
              <w:ind w:right="206"/>
              <w:jc w:val="right"/>
              <w:rPr>
                <w:sz w:val="20"/>
              </w:rPr>
            </w:pPr>
            <w:r>
              <w:rPr>
                <w:spacing w:val="-2"/>
                <w:sz w:val="20"/>
              </w:rPr>
              <w:t>2,050</w:t>
            </w:r>
          </w:p>
        </w:tc>
        <w:tc>
          <w:tcPr>
            <w:tcW w:w="1374" w:type="dxa"/>
            <w:tcBorders>
              <w:bottom w:val="single" w:sz="4" w:space="0" w:color="000000"/>
            </w:tcBorders>
          </w:tcPr>
          <w:p>
            <w:pPr>
              <w:pStyle w:val="TableParagraph"/>
              <w:spacing w:before="7"/>
              <w:ind w:right="188"/>
              <w:jc w:val="right"/>
              <w:rPr>
                <w:sz w:val="20"/>
              </w:rPr>
            </w:pPr>
            <w:r>
              <w:rPr>
                <w:spacing w:val="-2"/>
                <w:sz w:val="20"/>
              </w:rPr>
              <w:t>2,083</w:t>
            </w:r>
          </w:p>
        </w:tc>
        <w:tc>
          <w:tcPr>
            <w:tcW w:w="1227" w:type="dxa"/>
            <w:tcBorders>
              <w:bottom w:val="single" w:sz="4" w:space="0" w:color="000000"/>
              <w:right w:val="single" w:sz="12" w:space="0" w:color="000000"/>
            </w:tcBorders>
          </w:tcPr>
          <w:p>
            <w:pPr>
              <w:pStyle w:val="TableParagraph"/>
              <w:spacing w:before="7"/>
              <w:ind w:right="80"/>
              <w:jc w:val="right"/>
              <w:rPr>
                <w:sz w:val="20"/>
              </w:rPr>
            </w:pPr>
            <w:r>
              <w:rPr>
                <w:spacing w:val="-2"/>
                <w:sz w:val="20"/>
              </w:rPr>
              <w:t>2,123</w:t>
            </w:r>
          </w:p>
        </w:tc>
      </w:tr>
      <w:tr>
        <w:trPr>
          <w:trHeight w:val="272" w:hRule="atLeast"/>
        </w:trPr>
        <w:tc>
          <w:tcPr>
            <w:tcW w:w="5383" w:type="dxa"/>
            <w:tcBorders>
              <w:left w:val="single" w:sz="12" w:space="0" w:color="000000"/>
              <w:bottom w:val="single" w:sz="12" w:space="0" w:color="000000"/>
            </w:tcBorders>
          </w:tcPr>
          <w:p>
            <w:pPr>
              <w:pStyle w:val="TableParagraph"/>
              <w:spacing w:line="213" w:lineRule="exact" w:before="40"/>
              <w:ind w:left="107"/>
              <w:rPr>
                <w:b/>
                <w:sz w:val="20"/>
              </w:rPr>
            </w:pPr>
            <w:r>
              <w:rPr>
                <w:b/>
                <w:sz w:val="20"/>
              </w:rPr>
              <w:t>Total</w:t>
            </w:r>
            <w:r>
              <w:rPr>
                <w:b/>
                <w:spacing w:val="-7"/>
                <w:sz w:val="20"/>
              </w:rPr>
              <w:t> </w:t>
            </w:r>
            <w:r>
              <w:rPr>
                <w:b/>
                <w:sz w:val="20"/>
              </w:rPr>
              <w:t>Staff</w:t>
            </w:r>
            <w:r>
              <w:rPr>
                <w:b/>
                <w:spacing w:val="-5"/>
                <w:sz w:val="20"/>
              </w:rPr>
              <w:t> </w:t>
            </w:r>
            <w:r>
              <w:rPr>
                <w:b/>
                <w:spacing w:val="-2"/>
                <w:sz w:val="20"/>
              </w:rPr>
              <w:t>Expenditure</w:t>
            </w:r>
          </w:p>
        </w:tc>
        <w:tc>
          <w:tcPr>
            <w:tcW w:w="1234" w:type="dxa"/>
            <w:tcBorders>
              <w:top w:val="single" w:sz="4" w:space="0" w:color="000000"/>
              <w:bottom w:val="single" w:sz="12" w:space="0" w:color="000000"/>
            </w:tcBorders>
          </w:tcPr>
          <w:p>
            <w:pPr>
              <w:pStyle w:val="TableParagraph"/>
              <w:spacing w:line="213" w:lineRule="exact" w:before="40"/>
              <w:ind w:right="154"/>
              <w:jc w:val="right"/>
              <w:rPr>
                <w:b/>
                <w:sz w:val="20"/>
              </w:rPr>
            </w:pPr>
            <w:r>
              <w:rPr>
                <w:b/>
                <w:spacing w:val="-2"/>
                <w:sz w:val="20"/>
              </w:rPr>
              <w:t>74,029</w:t>
            </w:r>
          </w:p>
        </w:tc>
        <w:tc>
          <w:tcPr>
            <w:tcW w:w="1234" w:type="dxa"/>
            <w:tcBorders>
              <w:top w:val="single" w:sz="4" w:space="0" w:color="000000"/>
              <w:bottom w:val="single" w:sz="12" w:space="0" w:color="000000"/>
            </w:tcBorders>
          </w:tcPr>
          <w:p>
            <w:pPr>
              <w:pStyle w:val="TableParagraph"/>
              <w:spacing w:line="213" w:lineRule="exact" w:before="40"/>
              <w:ind w:right="207"/>
              <w:jc w:val="right"/>
              <w:rPr>
                <w:b/>
                <w:sz w:val="20"/>
              </w:rPr>
            </w:pPr>
            <w:r>
              <w:rPr>
                <w:b/>
                <w:spacing w:val="-2"/>
                <w:sz w:val="20"/>
              </w:rPr>
              <w:t>75,023</w:t>
            </w:r>
          </w:p>
        </w:tc>
        <w:tc>
          <w:tcPr>
            <w:tcW w:w="1374" w:type="dxa"/>
            <w:tcBorders>
              <w:top w:val="single" w:sz="4" w:space="0" w:color="000000"/>
              <w:bottom w:val="single" w:sz="12" w:space="0" w:color="000000"/>
            </w:tcBorders>
          </w:tcPr>
          <w:p>
            <w:pPr>
              <w:pStyle w:val="TableParagraph"/>
              <w:spacing w:line="213" w:lineRule="exact" w:before="40"/>
              <w:ind w:right="189"/>
              <w:jc w:val="right"/>
              <w:rPr>
                <w:b/>
                <w:sz w:val="20"/>
              </w:rPr>
            </w:pPr>
            <w:r>
              <w:rPr>
                <w:b/>
                <w:spacing w:val="-2"/>
                <w:sz w:val="20"/>
              </w:rPr>
              <w:t>76,226</w:t>
            </w:r>
          </w:p>
        </w:tc>
        <w:tc>
          <w:tcPr>
            <w:tcW w:w="1227" w:type="dxa"/>
            <w:tcBorders>
              <w:top w:val="single" w:sz="4" w:space="0" w:color="000000"/>
              <w:bottom w:val="single" w:sz="12" w:space="0" w:color="000000"/>
              <w:right w:val="single" w:sz="12" w:space="0" w:color="000000"/>
            </w:tcBorders>
          </w:tcPr>
          <w:p>
            <w:pPr>
              <w:pStyle w:val="TableParagraph"/>
              <w:spacing w:line="213" w:lineRule="exact" w:before="40"/>
              <w:ind w:right="81"/>
              <w:jc w:val="right"/>
              <w:rPr>
                <w:b/>
                <w:sz w:val="20"/>
              </w:rPr>
            </w:pPr>
            <w:r>
              <w:rPr>
                <w:b/>
                <w:spacing w:val="-2"/>
                <w:sz w:val="20"/>
              </w:rPr>
              <w:t>77,692</w:t>
            </w:r>
          </w:p>
        </w:tc>
      </w:tr>
    </w:tbl>
    <w:p>
      <w:pPr>
        <w:pStyle w:val="BodyText"/>
        <w:rPr>
          <w:sz w:val="20"/>
        </w:rPr>
      </w:pPr>
    </w:p>
    <w:p>
      <w:pPr>
        <w:pStyle w:val="BodyText"/>
        <w:spacing w:before="6"/>
        <w:rPr>
          <w:sz w:val="24"/>
        </w:rPr>
      </w:pPr>
    </w:p>
    <w:tbl>
      <w:tblPr>
        <w:tblW w:w="0" w:type="auto"/>
        <w:jc w:val="left"/>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97"/>
        <w:gridCol w:w="1248"/>
        <w:gridCol w:w="1314"/>
        <w:gridCol w:w="1553"/>
        <w:gridCol w:w="1367"/>
      </w:tblGrid>
      <w:tr>
        <w:trPr>
          <w:trHeight w:val="564" w:hRule="atLeast"/>
        </w:trPr>
        <w:tc>
          <w:tcPr>
            <w:tcW w:w="4997" w:type="dxa"/>
            <w:tcBorders>
              <w:top w:val="single" w:sz="18" w:space="0" w:color="000000"/>
              <w:left w:val="single" w:sz="12" w:space="0" w:color="000000"/>
            </w:tcBorders>
            <w:shd w:val="clear" w:color="auto" w:fill="629CD1"/>
          </w:tcPr>
          <w:p>
            <w:pPr>
              <w:pStyle w:val="TableParagraph"/>
              <w:spacing w:before="48"/>
              <w:ind w:left="1650"/>
              <w:rPr>
                <w:b/>
                <w:sz w:val="20"/>
              </w:rPr>
            </w:pPr>
            <w:r>
              <w:rPr>
                <w:b/>
                <w:color w:val="FFFFFF"/>
                <w:spacing w:val="-2"/>
                <w:sz w:val="20"/>
              </w:rPr>
              <w:t>Directorate</w:t>
            </w:r>
          </w:p>
        </w:tc>
        <w:tc>
          <w:tcPr>
            <w:tcW w:w="1248" w:type="dxa"/>
            <w:tcBorders>
              <w:top w:val="single" w:sz="18" w:space="0" w:color="000000"/>
            </w:tcBorders>
            <w:shd w:val="clear" w:color="auto" w:fill="629CD1"/>
          </w:tcPr>
          <w:p>
            <w:pPr>
              <w:pStyle w:val="TableParagraph"/>
              <w:spacing w:before="19"/>
              <w:ind w:left="226" w:right="272"/>
              <w:jc w:val="center"/>
              <w:rPr>
                <w:b/>
                <w:sz w:val="20"/>
              </w:rPr>
            </w:pPr>
            <w:r>
              <w:rPr>
                <w:b/>
                <w:color w:val="FFFFFF"/>
                <w:spacing w:val="-2"/>
                <w:sz w:val="20"/>
              </w:rPr>
              <w:t>2025/26</w:t>
            </w:r>
          </w:p>
          <w:p>
            <w:pPr>
              <w:pStyle w:val="TableParagraph"/>
              <w:spacing w:line="211" w:lineRule="exact" w:before="84"/>
              <w:ind w:left="226" w:right="268"/>
              <w:jc w:val="center"/>
              <w:rPr>
                <w:b/>
                <w:sz w:val="20"/>
              </w:rPr>
            </w:pPr>
            <w:r>
              <w:rPr>
                <w:b/>
                <w:color w:val="FFFFFF"/>
                <w:spacing w:val="-5"/>
                <w:sz w:val="20"/>
              </w:rPr>
              <w:t>FTE</w:t>
            </w:r>
          </w:p>
        </w:tc>
        <w:tc>
          <w:tcPr>
            <w:tcW w:w="1314" w:type="dxa"/>
            <w:tcBorders>
              <w:top w:val="single" w:sz="18" w:space="0" w:color="000000"/>
            </w:tcBorders>
            <w:shd w:val="clear" w:color="auto" w:fill="629CD1"/>
          </w:tcPr>
          <w:p>
            <w:pPr>
              <w:pStyle w:val="TableParagraph"/>
              <w:spacing w:before="19"/>
              <w:ind w:left="181" w:right="384"/>
              <w:jc w:val="center"/>
              <w:rPr>
                <w:b/>
                <w:sz w:val="20"/>
              </w:rPr>
            </w:pPr>
            <w:r>
              <w:rPr>
                <w:b/>
                <w:color w:val="FFFFFF"/>
                <w:spacing w:val="-2"/>
                <w:sz w:val="20"/>
              </w:rPr>
              <w:t>2026/27</w:t>
            </w:r>
          </w:p>
          <w:p>
            <w:pPr>
              <w:pStyle w:val="TableParagraph"/>
              <w:spacing w:line="211" w:lineRule="exact" w:before="84"/>
              <w:ind w:left="181" w:right="380"/>
              <w:jc w:val="center"/>
              <w:rPr>
                <w:b/>
                <w:sz w:val="20"/>
              </w:rPr>
            </w:pPr>
            <w:r>
              <w:rPr>
                <w:b/>
                <w:color w:val="FFFFFF"/>
                <w:spacing w:val="-5"/>
                <w:sz w:val="20"/>
              </w:rPr>
              <w:t>FTE</w:t>
            </w:r>
          </w:p>
        </w:tc>
        <w:tc>
          <w:tcPr>
            <w:tcW w:w="1553" w:type="dxa"/>
            <w:tcBorders>
              <w:top w:val="single" w:sz="18" w:space="0" w:color="000000"/>
            </w:tcBorders>
            <w:shd w:val="clear" w:color="auto" w:fill="629CD1"/>
          </w:tcPr>
          <w:p>
            <w:pPr>
              <w:pStyle w:val="TableParagraph"/>
              <w:spacing w:before="19"/>
              <w:ind w:left="266" w:right="538"/>
              <w:jc w:val="center"/>
              <w:rPr>
                <w:b/>
                <w:sz w:val="20"/>
              </w:rPr>
            </w:pPr>
            <w:r>
              <w:rPr>
                <w:b/>
                <w:color w:val="FFFFFF"/>
                <w:spacing w:val="-2"/>
                <w:sz w:val="20"/>
              </w:rPr>
              <w:t>2027/28</w:t>
            </w:r>
          </w:p>
          <w:p>
            <w:pPr>
              <w:pStyle w:val="TableParagraph"/>
              <w:spacing w:line="211" w:lineRule="exact" w:before="84"/>
              <w:ind w:left="266" w:right="534"/>
              <w:jc w:val="center"/>
              <w:rPr>
                <w:b/>
                <w:sz w:val="20"/>
              </w:rPr>
            </w:pPr>
            <w:r>
              <w:rPr>
                <w:b/>
                <w:color w:val="FFFFFF"/>
                <w:spacing w:val="-5"/>
                <w:sz w:val="20"/>
              </w:rPr>
              <w:t>FTE</w:t>
            </w:r>
          </w:p>
        </w:tc>
        <w:tc>
          <w:tcPr>
            <w:tcW w:w="1367" w:type="dxa"/>
            <w:tcBorders>
              <w:top w:val="single" w:sz="18" w:space="0" w:color="000000"/>
              <w:right w:val="single" w:sz="12" w:space="0" w:color="000000"/>
            </w:tcBorders>
            <w:shd w:val="clear" w:color="auto" w:fill="629CD1"/>
          </w:tcPr>
          <w:p>
            <w:pPr>
              <w:pStyle w:val="TableParagraph"/>
              <w:spacing w:before="19"/>
              <w:ind w:left="208" w:right="323"/>
              <w:jc w:val="center"/>
              <w:rPr>
                <w:b/>
                <w:sz w:val="20"/>
              </w:rPr>
            </w:pPr>
            <w:r>
              <w:rPr>
                <w:b/>
                <w:color w:val="FFFFFF"/>
                <w:spacing w:val="-2"/>
                <w:sz w:val="20"/>
              </w:rPr>
              <w:t>2028/29</w:t>
            </w:r>
          </w:p>
          <w:p>
            <w:pPr>
              <w:pStyle w:val="TableParagraph"/>
              <w:spacing w:line="211" w:lineRule="exact" w:before="84"/>
              <w:ind w:left="208" w:right="319"/>
              <w:jc w:val="center"/>
              <w:rPr>
                <w:b/>
                <w:sz w:val="20"/>
              </w:rPr>
            </w:pPr>
            <w:r>
              <w:rPr>
                <w:b/>
                <w:color w:val="FFFFFF"/>
                <w:spacing w:val="-5"/>
                <w:sz w:val="20"/>
              </w:rPr>
              <w:t>FTE</w:t>
            </w:r>
          </w:p>
        </w:tc>
      </w:tr>
      <w:tr>
        <w:trPr>
          <w:trHeight w:val="302" w:hRule="atLeast"/>
        </w:trPr>
        <w:tc>
          <w:tcPr>
            <w:tcW w:w="4997" w:type="dxa"/>
            <w:tcBorders>
              <w:left w:val="single" w:sz="12" w:space="0" w:color="000000"/>
            </w:tcBorders>
          </w:tcPr>
          <w:p>
            <w:pPr>
              <w:pStyle w:val="TableParagraph"/>
              <w:spacing w:line="228" w:lineRule="exact" w:before="55"/>
              <w:ind w:left="107"/>
              <w:rPr>
                <w:b/>
                <w:sz w:val="20"/>
              </w:rPr>
            </w:pPr>
            <w:r>
              <w:rPr>
                <w:b/>
                <w:sz w:val="20"/>
              </w:rPr>
              <w:t>Strategy</w:t>
            </w:r>
            <w:r>
              <w:rPr>
                <w:b/>
                <w:spacing w:val="-8"/>
                <w:sz w:val="20"/>
              </w:rPr>
              <w:t> </w:t>
            </w:r>
            <w:r>
              <w:rPr>
                <w:b/>
                <w:sz w:val="20"/>
              </w:rPr>
              <w:t>and</w:t>
            </w:r>
            <w:r>
              <w:rPr>
                <w:b/>
                <w:spacing w:val="-8"/>
                <w:sz w:val="20"/>
              </w:rPr>
              <w:t> </w:t>
            </w:r>
            <w:r>
              <w:rPr>
                <w:b/>
                <w:spacing w:val="-2"/>
                <w:sz w:val="20"/>
              </w:rPr>
              <w:t>Development</w:t>
            </w:r>
          </w:p>
        </w:tc>
        <w:tc>
          <w:tcPr>
            <w:tcW w:w="1248" w:type="dxa"/>
          </w:tcPr>
          <w:p>
            <w:pPr>
              <w:pStyle w:val="TableParagraph"/>
              <w:rPr>
                <w:rFonts w:ascii="Times New Roman"/>
                <w:sz w:val="18"/>
              </w:rPr>
            </w:pPr>
          </w:p>
        </w:tc>
        <w:tc>
          <w:tcPr>
            <w:tcW w:w="1314" w:type="dxa"/>
          </w:tcPr>
          <w:p>
            <w:pPr>
              <w:pStyle w:val="TableParagraph"/>
              <w:rPr>
                <w:rFonts w:ascii="Times New Roman"/>
                <w:sz w:val="18"/>
              </w:rPr>
            </w:pPr>
          </w:p>
        </w:tc>
        <w:tc>
          <w:tcPr>
            <w:tcW w:w="1553" w:type="dxa"/>
          </w:tcPr>
          <w:p>
            <w:pPr>
              <w:pStyle w:val="TableParagraph"/>
              <w:rPr>
                <w:rFonts w:ascii="Times New Roman"/>
                <w:sz w:val="18"/>
              </w:rPr>
            </w:pPr>
          </w:p>
        </w:tc>
        <w:tc>
          <w:tcPr>
            <w:tcW w:w="1367" w:type="dxa"/>
            <w:tcBorders>
              <w:right w:val="single" w:sz="12" w:space="0" w:color="000000"/>
            </w:tcBorders>
          </w:tcPr>
          <w:p>
            <w:pPr>
              <w:pStyle w:val="TableParagraph"/>
              <w:rPr>
                <w:rFonts w:ascii="Times New Roman"/>
                <w:sz w:val="18"/>
              </w:rPr>
            </w:pPr>
          </w:p>
        </w:tc>
      </w:tr>
      <w:tr>
        <w:trPr>
          <w:trHeight w:val="286" w:hRule="atLeast"/>
        </w:trPr>
        <w:tc>
          <w:tcPr>
            <w:tcW w:w="4997" w:type="dxa"/>
            <w:tcBorders>
              <w:left w:val="single" w:sz="12" w:space="0" w:color="000000"/>
            </w:tcBorders>
          </w:tcPr>
          <w:p>
            <w:pPr>
              <w:pStyle w:val="TableParagraph"/>
              <w:spacing w:line="227" w:lineRule="exact" w:before="40"/>
              <w:ind w:left="107"/>
              <w:rPr>
                <w:b/>
                <w:sz w:val="20"/>
              </w:rPr>
            </w:pPr>
            <w:r>
              <w:rPr>
                <w:b/>
                <w:sz w:val="20"/>
              </w:rPr>
              <w:t>Permanent</w:t>
            </w:r>
            <w:r>
              <w:rPr>
                <w:b/>
                <w:spacing w:val="-9"/>
                <w:sz w:val="20"/>
              </w:rPr>
              <w:t> </w:t>
            </w:r>
            <w:r>
              <w:rPr>
                <w:b/>
                <w:sz w:val="20"/>
              </w:rPr>
              <w:t>full</w:t>
            </w:r>
            <w:r>
              <w:rPr>
                <w:b/>
                <w:spacing w:val="-8"/>
                <w:sz w:val="20"/>
              </w:rPr>
              <w:t> </w:t>
            </w:r>
            <w:r>
              <w:rPr>
                <w:b/>
                <w:spacing w:val="-4"/>
                <w:sz w:val="20"/>
              </w:rPr>
              <w:t>time</w:t>
            </w:r>
          </w:p>
        </w:tc>
        <w:tc>
          <w:tcPr>
            <w:tcW w:w="1248" w:type="dxa"/>
          </w:tcPr>
          <w:p>
            <w:pPr>
              <w:pStyle w:val="TableParagraph"/>
              <w:spacing w:before="11"/>
              <w:ind w:right="163"/>
              <w:jc w:val="right"/>
              <w:rPr>
                <w:b/>
                <w:sz w:val="20"/>
              </w:rPr>
            </w:pPr>
            <w:r>
              <w:rPr>
                <w:b/>
                <w:spacing w:val="-4"/>
                <w:sz w:val="20"/>
              </w:rPr>
              <w:t>76.1</w:t>
            </w:r>
          </w:p>
        </w:tc>
        <w:tc>
          <w:tcPr>
            <w:tcW w:w="1314" w:type="dxa"/>
          </w:tcPr>
          <w:p>
            <w:pPr>
              <w:pStyle w:val="TableParagraph"/>
              <w:spacing w:before="11"/>
              <w:ind w:right="248"/>
              <w:jc w:val="right"/>
              <w:rPr>
                <w:b/>
                <w:sz w:val="20"/>
              </w:rPr>
            </w:pPr>
            <w:r>
              <w:rPr>
                <w:b/>
                <w:spacing w:val="-4"/>
                <w:sz w:val="20"/>
              </w:rPr>
              <w:t>76.1</w:t>
            </w:r>
          </w:p>
        </w:tc>
        <w:tc>
          <w:tcPr>
            <w:tcW w:w="1553" w:type="dxa"/>
          </w:tcPr>
          <w:p>
            <w:pPr>
              <w:pStyle w:val="TableParagraph"/>
              <w:spacing w:before="11"/>
              <w:ind w:right="234"/>
              <w:jc w:val="right"/>
              <w:rPr>
                <w:b/>
                <w:sz w:val="20"/>
              </w:rPr>
            </w:pPr>
            <w:r>
              <w:rPr>
                <w:b/>
                <w:spacing w:val="-4"/>
                <w:sz w:val="20"/>
              </w:rPr>
              <w:t>76.1</w:t>
            </w:r>
          </w:p>
        </w:tc>
        <w:tc>
          <w:tcPr>
            <w:tcW w:w="1367" w:type="dxa"/>
            <w:tcBorders>
              <w:right w:val="single" w:sz="12" w:space="0" w:color="000000"/>
            </w:tcBorders>
          </w:tcPr>
          <w:p>
            <w:pPr>
              <w:pStyle w:val="TableParagraph"/>
              <w:spacing w:before="11"/>
              <w:ind w:right="76"/>
              <w:jc w:val="right"/>
              <w:rPr>
                <w:b/>
                <w:sz w:val="20"/>
              </w:rPr>
            </w:pPr>
            <w:r>
              <w:rPr>
                <w:b/>
                <w:spacing w:val="-4"/>
                <w:sz w:val="20"/>
              </w:rPr>
              <w:t>76.1</w:t>
            </w:r>
          </w:p>
        </w:tc>
      </w:tr>
      <w:tr>
        <w:trPr>
          <w:trHeight w:val="285" w:hRule="atLeast"/>
        </w:trPr>
        <w:tc>
          <w:tcPr>
            <w:tcW w:w="4997" w:type="dxa"/>
            <w:tcBorders>
              <w:left w:val="single" w:sz="12" w:space="0" w:color="000000"/>
            </w:tcBorders>
          </w:tcPr>
          <w:p>
            <w:pPr>
              <w:pStyle w:val="TableParagraph"/>
              <w:spacing w:line="227" w:lineRule="exact" w:before="38"/>
              <w:ind w:left="107"/>
              <w:rPr>
                <w:sz w:val="20"/>
              </w:rPr>
            </w:pPr>
            <w:r>
              <w:rPr>
                <w:spacing w:val="-2"/>
                <w:sz w:val="20"/>
              </w:rPr>
              <w:t>Women</w:t>
            </w:r>
          </w:p>
        </w:tc>
        <w:tc>
          <w:tcPr>
            <w:tcW w:w="1248" w:type="dxa"/>
          </w:tcPr>
          <w:p>
            <w:pPr>
              <w:pStyle w:val="TableParagraph"/>
              <w:spacing w:before="10"/>
              <w:ind w:right="163"/>
              <w:jc w:val="right"/>
              <w:rPr>
                <w:sz w:val="20"/>
              </w:rPr>
            </w:pPr>
            <w:r>
              <w:rPr>
                <w:spacing w:val="-4"/>
                <w:sz w:val="20"/>
              </w:rPr>
              <w:t>31.6</w:t>
            </w:r>
          </w:p>
        </w:tc>
        <w:tc>
          <w:tcPr>
            <w:tcW w:w="1314" w:type="dxa"/>
          </w:tcPr>
          <w:p>
            <w:pPr>
              <w:pStyle w:val="TableParagraph"/>
              <w:spacing w:before="10"/>
              <w:ind w:right="248"/>
              <w:jc w:val="right"/>
              <w:rPr>
                <w:sz w:val="20"/>
              </w:rPr>
            </w:pPr>
            <w:r>
              <w:rPr>
                <w:spacing w:val="-4"/>
                <w:sz w:val="20"/>
              </w:rPr>
              <w:t>31.6</w:t>
            </w:r>
          </w:p>
        </w:tc>
        <w:tc>
          <w:tcPr>
            <w:tcW w:w="1553" w:type="dxa"/>
          </w:tcPr>
          <w:p>
            <w:pPr>
              <w:pStyle w:val="TableParagraph"/>
              <w:spacing w:before="10"/>
              <w:ind w:right="234"/>
              <w:jc w:val="right"/>
              <w:rPr>
                <w:sz w:val="20"/>
              </w:rPr>
            </w:pPr>
            <w:r>
              <w:rPr>
                <w:spacing w:val="-4"/>
                <w:sz w:val="20"/>
              </w:rPr>
              <w:t>31.6</w:t>
            </w:r>
          </w:p>
        </w:tc>
        <w:tc>
          <w:tcPr>
            <w:tcW w:w="1367" w:type="dxa"/>
            <w:tcBorders>
              <w:right w:val="single" w:sz="12" w:space="0" w:color="000000"/>
            </w:tcBorders>
          </w:tcPr>
          <w:p>
            <w:pPr>
              <w:pStyle w:val="TableParagraph"/>
              <w:spacing w:before="10"/>
              <w:ind w:right="76"/>
              <w:jc w:val="right"/>
              <w:rPr>
                <w:sz w:val="20"/>
              </w:rPr>
            </w:pPr>
            <w:r>
              <w:rPr>
                <w:spacing w:val="-4"/>
                <w:sz w:val="20"/>
              </w:rPr>
              <w:t>31.6</w:t>
            </w:r>
          </w:p>
        </w:tc>
      </w:tr>
      <w:tr>
        <w:trPr>
          <w:trHeight w:val="285" w:hRule="atLeast"/>
        </w:trPr>
        <w:tc>
          <w:tcPr>
            <w:tcW w:w="4997" w:type="dxa"/>
            <w:tcBorders>
              <w:left w:val="single" w:sz="12" w:space="0" w:color="000000"/>
            </w:tcBorders>
          </w:tcPr>
          <w:p>
            <w:pPr>
              <w:pStyle w:val="TableParagraph"/>
              <w:spacing w:line="227" w:lineRule="exact" w:before="38"/>
              <w:ind w:left="107"/>
              <w:rPr>
                <w:sz w:val="20"/>
              </w:rPr>
            </w:pPr>
            <w:r>
              <w:rPr>
                <w:spacing w:val="-5"/>
                <w:sz w:val="20"/>
              </w:rPr>
              <w:t>Men</w:t>
            </w:r>
          </w:p>
        </w:tc>
        <w:tc>
          <w:tcPr>
            <w:tcW w:w="1248" w:type="dxa"/>
          </w:tcPr>
          <w:p>
            <w:pPr>
              <w:pStyle w:val="TableParagraph"/>
              <w:spacing w:before="10"/>
              <w:ind w:right="163"/>
              <w:jc w:val="right"/>
              <w:rPr>
                <w:sz w:val="20"/>
              </w:rPr>
            </w:pPr>
            <w:r>
              <w:rPr>
                <w:spacing w:val="-4"/>
                <w:sz w:val="20"/>
              </w:rPr>
              <w:t>43.5</w:t>
            </w:r>
          </w:p>
        </w:tc>
        <w:tc>
          <w:tcPr>
            <w:tcW w:w="1314" w:type="dxa"/>
          </w:tcPr>
          <w:p>
            <w:pPr>
              <w:pStyle w:val="TableParagraph"/>
              <w:spacing w:before="10"/>
              <w:ind w:right="248"/>
              <w:jc w:val="right"/>
              <w:rPr>
                <w:sz w:val="20"/>
              </w:rPr>
            </w:pPr>
            <w:r>
              <w:rPr>
                <w:spacing w:val="-4"/>
                <w:sz w:val="20"/>
              </w:rPr>
              <w:t>43.5</w:t>
            </w:r>
          </w:p>
        </w:tc>
        <w:tc>
          <w:tcPr>
            <w:tcW w:w="1553" w:type="dxa"/>
          </w:tcPr>
          <w:p>
            <w:pPr>
              <w:pStyle w:val="TableParagraph"/>
              <w:spacing w:before="10"/>
              <w:ind w:right="234"/>
              <w:jc w:val="right"/>
              <w:rPr>
                <w:sz w:val="20"/>
              </w:rPr>
            </w:pPr>
            <w:r>
              <w:rPr>
                <w:spacing w:val="-4"/>
                <w:sz w:val="20"/>
              </w:rPr>
              <w:t>43.5</w:t>
            </w:r>
          </w:p>
        </w:tc>
        <w:tc>
          <w:tcPr>
            <w:tcW w:w="1367" w:type="dxa"/>
            <w:tcBorders>
              <w:right w:val="single" w:sz="12" w:space="0" w:color="000000"/>
            </w:tcBorders>
          </w:tcPr>
          <w:p>
            <w:pPr>
              <w:pStyle w:val="TableParagraph"/>
              <w:spacing w:before="10"/>
              <w:ind w:right="76"/>
              <w:jc w:val="right"/>
              <w:rPr>
                <w:sz w:val="20"/>
              </w:rPr>
            </w:pPr>
            <w:r>
              <w:rPr>
                <w:spacing w:val="-4"/>
                <w:sz w:val="20"/>
              </w:rPr>
              <w:t>43.5</w:t>
            </w:r>
          </w:p>
        </w:tc>
      </w:tr>
      <w:tr>
        <w:trPr>
          <w:trHeight w:val="286" w:hRule="atLeast"/>
        </w:trPr>
        <w:tc>
          <w:tcPr>
            <w:tcW w:w="4997" w:type="dxa"/>
            <w:tcBorders>
              <w:left w:val="single" w:sz="12" w:space="0" w:color="000000"/>
            </w:tcBorders>
          </w:tcPr>
          <w:p>
            <w:pPr>
              <w:pStyle w:val="TableParagraph"/>
              <w:spacing w:line="228" w:lineRule="exact" w:before="38"/>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48" w:type="dxa"/>
          </w:tcPr>
          <w:p>
            <w:pPr>
              <w:pStyle w:val="TableParagraph"/>
              <w:spacing w:before="10"/>
              <w:ind w:right="163"/>
              <w:jc w:val="right"/>
              <w:rPr>
                <w:sz w:val="20"/>
              </w:rPr>
            </w:pPr>
            <w:r>
              <w:rPr>
                <w:spacing w:val="-5"/>
                <w:sz w:val="20"/>
              </w:rPr>
              <w:t>1.0</w:t>
            </w:r>
          </w:p>
        </w:tc>
        <w:tc>
          <w:tcPr>
            <w:tcW w:w="1314" w:type="dxa"/>
          </w:tcPr>
          <w:p>
            <w:pPr>
              <w:pStyle w:val="TableParagraph"/>
              <w:spacing w:before="10"/>
              <w:ind w:right="249"/>
              <w:jc w:val="right"/>
              <w:rPr>
                <w:sz w:val="20"/>
              </w:rPr>
            </w:pPr>
            <w:r>
              <w:rPr>
                <w:spacing w:val="-5"/>
                <w:sz w:val="20"/>
              </w:rPr>
              <w:t>1.0</w:t>
            </w:r>
          </w:p>
        </w:tc>
        <w:tc>
          <w:tcPr>
            <w:tcW w:w="1553" w:type="dxa"/>
          </w:tcPr>
          <w:p>
            <w:pPr>
              <w:pStyle w:val="TableParagraph"/>
              <w:spacing w:before="10"/>
              <w:ind w:right="236"/>
              <w:jc w:val="right"/>
              <w:rPr>
                <w:sz w:val="20"/>
              </w:rPr>
            </w:pPr>
            <w:r>
              <w:rPr>
                <w:spacing w:val="-5"/>
                <w:sz w:val="20"/>
              </w:rPr>
              <w:t>1.0</w:t>
            </w:r>
          </w:p>
        </w:tc>
        <w:tc>
          <w:tcPr>
            <w:tcW w:w="1367" w:type="dxa"/>
            <w:tcBorders>
              <w:right w:val="single" w:sz="12" w:space="0" w:color="000000"/>
            </w:tcBorders>
          </w:tcPr>
          <w:p>
            <w:pPr>
              <w:pStyle w:val="TableParagraph"/>
              <w:spacing w:before="10"/>
              <w:ind w:right="77"/>
              <w:jc w:val="right"/>
              <w:rPr>
                <w:sz w:val="20"/>
              </w:rPr>
            </w:pPr>
            <w:r>
              <w:rPr>
                <w:spacing w:val="-5"/>
                <w:sz w:val="20"/>
              </w:rPr>
              <w:t>1.0</w:t>
            </w:r>
          </w:p>
        </w:tc>
      </w:tr>
      <w:tr>
        <w:trPr>
          <w:trHeight w:val="285" w:hRule="atLeast"/>
        </w:trPr>
        <w:tc>
          <w:tcPr>
            <w:tcW w:w="4997" w:type="dxa"/>
            <w:tcBorders>
              <w:left w:val="single" w:sz="12" w:space="0" w:color="000000"/>
            </w:tcBorders>
          </w:tcPr>
          <w:p>
            <w:pPr>
              <w:pStyle w:val="TableParagraph"/>
              <w:spacing w:line="228" w:lineRule="exact" w:before="37"/>
              <w:ind w:left="107"/>
              <w:rPr>
                <w:sz w:val="20"/>
              </w:rPr>
            </w:pPr>
            <w:r>
              <w:rPr>
                <w:sz w:val="20"/>
              </w:rPr>
              <w:t>Vacant</w:t>
            </w:r>
            <w:r>
              <w:rPr>
                <w:spacing w:val="-7"/>
                <w:sz w:val="20"/>
              </w:rPr>
              <w:t> </w:t>
            </w:r>
            <w:r>
              <w:rPr>
                <w:spacing w:val="-2"/>
                <w:sz w:val="20"/>
              </w:rPr>
              <w:t>Position</w:t>
            </w:r>
          </w:p>
        </w:tc>
        <w:tc>
          <w:tcPr>
            <w:tcW w:w="1248" w:type="dxa"/>
          </w:tcPr>
          <w:p>
            <w:pPr>
              <w:pStyle w:val="TableParagraph"/>
              <w:spacing w:before="11"/>
              <w:ind w:right="165"/>
              <w:jc w:val="right"/>
              <w:rPr>
                <w:sz w:val="20"/>
              </w:rPr>
            </w:pPr>
            <w:r>
              <w:rPr>
                <w:w w:val="99"/>
                <w:sz w:val="20"/>
              </w:rPr>
              <w:t>-</w:t>
            </w:r>
          </w:p>
        </w:tc>
        <w:tc>
          <w:tcPr>
            <w:tcW w:w="1314" w:type="dxa"/>
          </w:tcPr>
          <w:p>
            <w:pPr>
              <w:pStyle w:val="TableParagraph"/>
              <w:spacing w:before="11"/>
              <w:ind w:right="249"/>
              <w:jc w:val="right"/>
              <w:rPr>
                <w:sz w:val="20"/>
              </w:rPr>
            </w:pPr>
            <w:r>
              <w:rPr>
                <w:w w:val="99"/>
                <w:sz w:val="20"/>
              </w:rPr>
              <w:t>-</w:t>
            </w:r>
          </w:p>
        </w:tc>
        <w:tc>
          <w:tcPr>
            <w:tcW w:w="1553" w:type="dxa"/>
          </w:tcPr>
          <w:p>
            <w:pPr>
              <w:pStyle w:val="TableParagraph"/>
              <w:spacing w:before="11"/>
              <w:ind w:right="235"/>
              <w:jc w:val="right"/>
              <w:rPr>
                <w:sz w:val="20"/>
              </w:rPr>
            </w:pPr>
            <w:r>
              <w:rPr>
                <w:w w:val="99"/>
                <w:sz w:val="20"/>
              </w:rPr>
              <w:t>-</w:t>
            </w:r>
          </w:p>
        </w:tc>
        <w:tc>
          <w:tcPr>
            <w:tcW w:w="1367" w:type="dxa"/>
            <w:tcBorders>
              <w:right w:val="single" w:sz="12" w:space="0" w:color="000000"/>
            </w:tcBorders>
          </w:tcPr>
          <w:p>
            <w:pPr>
              <w:pStyle w:val="TableParagraph"/>
              <w:spacing w:before="11"/>
              <w:ind w:right="78"/>
              <w:jc w:val="right"/>
              <w:rPr>
                <w:sz w:val="20"/>
              </w:rPr>
            </w:pPr>
            <w:r>
              <w:rPr>
                <w:w w:val="99"/>
                <w:sz w:val="20"/>
              </w:rPr>
              <w:t>-</w:t>
            </w:r>
          </w:p>
        </w:tc>
      </w:tr>
      <w:tr>
        <w:trPr>
          <w:trHeight w:val="285" w:hRule="atLeast"/>
        </w:trPr>
        <w:tc>
          <w:tcPr>
            <w:tcW w:w="4997" w:type="dxa"/>
            <w:tcBorders>
              <w:left w:val="single" w:sz="12" w:space="0" w:color="000000"/>
            </w:tcBorders>
          </w:tcPr>
          <w:p>
            <w:pPr>
              <w:pStyle w:val="TableParagraph"/>
              <w:spacing w:line="228" w:lineRule="exact" w:before="37"/>
              <w:ind w:left="107"/>
              <w:rPr>
                <w:b/>
                <w:sz w:val="20"/>
              </w:rPr>
            </w:pPr>
            <w:r>
              <w:rPr>
                <w:b/>
                <w:sz w:val="20"/>
              </w:rPr>
              <w:t>Permanent</w:t>
            </w:r>
            <w:r>
              <w:rPr>
                <w:b/>
                <w:spacing w:val="-9"/>
                <w:sz w:val="20"/>
              </w:rPr>
              <w:t> </w:t>
            </w:r>
            <w:r>
              <w:rPr>
                <w:b/>
                <w:sz w:val="20"/>
              </w:rPr>
              <w:t>part</w:t>
            </w:r>
            <w:r>
              <w:rPr>
                <w:b/>
                <w:spacing w:val="-7"/>
                <w:sz w:val="20"/>
              </w:rPr>
              <w:t> </w:t>
            </w:r>
            <w:r>
              <w:rPr>
                <w:b/>
                <w:spacing w:val="-4"/>
                <w:sz w:val="20"/>
              </w:rPr>
              <w:t>time</w:t>
            </w:r>
          </w:p>
        </w:tc>
        <w:tc>
          <w:tcPr>
            <w:tcW w:w="1248" w:type="dxa"/>
          </w:tcPr>
          <w:p>
            <w:pPr>
              <w:pStyle w:val="TableParagraph"/>
              <w:spacing w:before="11"/>
              <w:ind w:right="163"/>
              <w:jc w:val="right"/>
              <w:rPr>
                <w:b/>
                <w:sz w:val="20"/>
              </w:rPr>
            </w:pPr>
            <w:r>
              <w:rPr>
                <w:b/>
                <w:spacing w:val="-4"/>
                <w:sz w:val="20"/>
              </w:rPr>
              <w:t>34.4</w:t>
            </w:r>
          </w:p>
        </w:tc>
        <w:tc>
          <w:tcPr>
            <w:tcW w:w="1314" w:type="dxa"/>
          </w:tcPr>
          <w:p>
            <w:pPr>
              <w:pStyle w:val="TableParagraph"/>
              <w:spacing w:before="11"/>
              <w:ind w:right="248"/>
              <w:jc w:val="right"/>
              <w:rPr>
                <w:b/>
                <w:sz w:val="20"/>
              </w:rPr>
            </w:pPr>
            <w:r>
              <w:rPr>
                <w:b/>
                <w:spacing w:val="-4"/>
                <w:sz w:val="20"/>
              </w:rPr>
              <w:t>34.4</w:t>
            </w:r>
          </w:p>
        </w:tc>
        <w:tc>
          <w:tcPr>
            <w:tcW w:w="1553" w:type="dxa"/>
          </w:tcPr>
          <w:p>
            <w:pPr>
              <w:pStyle w:val="TableParagraph"/>
              <w:spacing w:before="11"/>
              <w:ind w:right="234"/>
              <w:jc w:val="right"/>
              <w:rPr>
                <w:b/>
                <w:sz w:val="20"/>
              </w:rPr>
            </w:pPr>
            <w:r>
              <w:rPr>
                <w:b/>
                <w:spacing w:val="-4"/>
                <w:sz w:val="20"/>
              </w:rPr>
              <w:t>34.4</w:t>
            </w:r>
          </w:p>
        </w:tc>
        <w:tc>
          <w:tcPr>
            <w:tcW w:w="1367" w:type="dxa"/>
            <w:tcBorders>
              <w:right w:val="single" w:sz="12" w:space="0" w:color="000000"/>
            </w:tcBorders>
          </w:tcPr>
          <w:p>
            <w:pPr>
              <w:pStyle w:val="TableParagraph"/>
              <w:spacing w:before="11"/>
              <w:ind w:right="76"/>
              <w:jc w:val="right"/>
              <w:rPr>
                <w:b/>
                <w:sz w:val="20"/>
              </w:rPr>
            </w:pPr>
            <w:r>
              <w:rPr>
                <w:b/>
                <w:spacing w:val="-4"/>
                <w:sz w:val="20"/>
              </w:rPr>
              <w:t>34.4</w:t>
            </w:r>
          </w:p>
        </w:tc>
      </w:tr>
      <w:tr>
        <w:trPr>
          <w:trHeight w:val="286" w:hRule="atLeast"/>
        </w:trPr>
        <w:tc>
          <w:tcPr>
            <w:tcW w:w="4997" w:type="dxa"/>
            <w:tcBorders>
              <w:left w:val="single" w:sz="12" w:space="0" w:color="000000"/>
            </w:tcBorders>
          </w:tcPr>
          <w:p>
            <w:pPr>
              <w:pStyle w:val="TableParagraph"/>
              <w:spacing w:line="227" w:lineRule="exact" w:before="40"/>
              <w:ind w:left="107"/>
              <w:rPr>
                <w:sz w:val="20"/>
              </w:rPr>
            </w:pPr>
            <w:r>
              <w:rPr>
                <w:spacing w:val="-2"/>
                <w:sz w:val="20"/>
              </w:rPr>
              <w:t>Women</w:t>
            </w:r>
          </w:p>
        </w:tc>
        <w:tc>
          <w:tcPr>
            <w:tcW w:w="1248" w:type="dxa"/>
          </w:tcPr>
          <w:p>
            <w:pPr>
              <w:pStyle w:val="TableParagraph"/>
              <w:spacing w:before="11"/>
              <w:ind w:right="163"/>
              <w:jc w:val="right"/>
              <w:rPr>
                <w:sz w:val="20"/>
              </w:rPr>
            </w:pPr>
            <w:r>
              <w:rPr>
                <w:spacing w:val="-4"/>
                <w:sz w:val="20"/>
              </w:rPr>
              <w:t>23.4</w:t>
            </w:r>
          </w:p>
        </w:tc>
        <w:tc>
          <w:tcPr>
            <w:tcW w:w="1314" w:type="dxa"/>
          </w:tcPr>
          <w:p>
            <w:pPr>
              <w:pStyle w:val="TableParagraph"/>
              <w:spacing w:before="11"/>
              <w:ind w:right="248"/>
              <w:jc w:val="right"/>
              <w:rPr>
                <w:sz w:val="20"/>
              </w:rPr>
            </w:pPr>
            <w:r>
              <w:rPr>
                <w:spacing w:val="-4"/>
                <w:sz w:val="20"/>
              </w:rPr>
              <w:t>23.4</w:t>
            </w:r>
          </w:p>
        </w:tc>
        <w:tc>
          <w:tcPr>
            <w:tcW w:w="1553" w:type="dxa"/>
          </w:tcPr>
          <w:p>
            <w:pPr>
              <w:pStyle w:val="TableParagraph"/>
              <w:spacing w:before="11"/>
              <w:ind w:right="234"/>
              <w:jc w:val="right"/>
              <w:rPr>
                <w:sz w:val="20"/>
              </w:rPr>
            </w:pPr>
            <w:r>
              <w:rPr>
                <w:spacing w:val="-4"/>
                <w:sz w:val="20"/>
              </w:rPr>
              <w:t>23.4</w:t>
            </w:r>
          </w:p>
        </w:tc>
        <w:tc>
          <w:tcPr>
            <w:tcW w:w="1367" w:type="dxa"/>
            <w:tcBorders>
              <w:right w:val="single" w:sz="12" w:space="0" w:color="000000"/>
            </w:tcBorders>
          </w:tcPr>
          <w:p>
            <w:pPr>
              <w:pStyle w:val="TableParagraph"/>
              <w:spacing w:before="11"/>
              <w:ind w:right="76"/>
              <w:jc w:val="right"/>
              <w:rPr>
                <w:sz w:val="20"/>
              </w:rPr>
            </w:pPr>
            <w:r>
              <w:rPr>
                <w:spacing w:val="-4"/>
                <w:sz w:val="20"/>
              </w:rPr>
              <w:t>23.4</w:t>
            </w:r>
          </w:p>
        </w:tc>
      </w:tr>
      <w:tr>
        <w:trPr>
          <w:trHeight w:val="285" w:hRule="atLeast"/>
        </w:trPr>
        <w:tc>
          <w:tcPr>
            <w:tcW w:w="4997" w:type="dxa"/>
            <w:tcBorders>
              <w:left w:val="single" w:sz="12" w:space="0" w:color="000000"/>
            </w:tcBorders>
          </w:tcPr>
          <w:p>
            <w:pPr>
              <w:pStyle w:val="TableParagraph"/>
              <w:spacing w:line="227" w:lineRule="exact" w:before="38"/>
              <w:ind w:left="107"/>
              <w:rPr>
                <w:sz w:val="20"/>
              </w:rPr>
            </w:pPr>
            <w:r>
              <w:rPr>
                <w:spacing w:val="-5"/>
                <w:sz w:val="20"/>
              </w:rPr>
              <w:t>Men</w:t>
            </w:r>
          </w:p>
        </w:tc>
        <w:tc>
          <w:tcPr>
            <w:tcW w:w="1248" w:type="dxa"/>
          </w:tcPr>
          <w:p>
            <w:pPr>
              <w:pStyle w:val="TableParagraph"/>
              <w:spacing w:before="10"/>
              <w:ind w:right="163"/>
              <w:jc w:val="right"/>
              <w:rPr>
                <w:sz w:val="20"/>
              </w:rPr>
            </w:pPr>
            <w:r>
              <w:rPr>
                <w:spacing w:val="-4"/>
                <w:sz w:val="20"/>
              </w:rPr>
              <w:t>10.6</w:t>
            </w:r>
          </w:p>
        </w:tc>
        <w:tc>
          <w:tcPr>
            <w:tcW w:w="1314" w:type="dxa"/>
          </w:tcPr>
          <w:p>
            <w:pPr>
              <w:pStyle w:val="TableParagraph"/>
              <w:spacing w:before="10"/>
              <w:ind w:right="248"/>
              <w:jc w:val="right"/>
              <w:rPr>
                <w:sz w:val="20"/>
              </w:rPr>
            </w:pPr>
            <w:r>
              <w:rPr>
                <w:spacing w:val="-4"/>
                <w:sz w:val="20"/>
              </w:rPr>
              <w:t>10.6</w:t>
            </w:r>
          </w:p>
        </w:tc>
        <w:tc>
          <w:tcPr>
            <w:tcW w:w="1553" w:type="dxa"/>
          </w:tcPr>
          <w:p>
            <w:pPr>
              <w:pStyle w:val="TableParagraph"/>
              <w:spacing w:before="10"/>
              <w:ind w:right="234"/>
              <w:jc w:val="right"/>
              <w:rPr>
                <w:sz w:val="20"/>
              </w:rPr>
            </w:pPr>
            <w:r>
              <w:rPr>
                <w:spacing w:val="-4"/>
                <w:sz w:val="20"/>
              </w:rPr>
              <w:t>10.6</w:t>
            </w:r>
          </w:p>
        </w:tc>
        <w:tc>
          <w:tcPr>
            <w:tcW w:w="1367" w:type="dxa"/>
            <w:tcBorders>
              <w:right w:val="single" w:sz="12" w:space="0" w:color="000000"/>
            </w:tcBorders>
          </w:tcPr>
          <w:p>
            <w:pPr>
              <w:pStyle w:val="TableParagraph"/>
              <w:spacing w:before="10"/>
              <w:ind w:right="76"/>
              <w:jc w:val="right"/>
              <w:rPr>
                <w:sz w:val="20"/>
              </w:rPr>
            </w:pPr>
            <w:r>
              <w:rPr>
                <w:spacing w:val="-4"/>
                <w:sz w:val="20"/>
              </w:rPr>
              <w:t>10.6</w:t>
            </w:r>
          </w:p>
        </w:tc>
      </w:tr>
      <w:tr>
        <w:trPr>
          <w:trHeight w:val="285" w:hRule="atLeast"/>
        </w:trPr>
        <w:tc>
          <w:tcPr>
            <w:tcW w:w="4997" w:type="dxa"/>
            <w:tcBorders>
              <w:left w:val="single" w:sz="12" w:space="0" w:color="000000"/>
            </w:tcBorders>
          </w:tcPr>
          <w:p>
            <w:pPr>
              <w:pStyle w:val="TableParagraph"/>
              <w:spacing w:line="227" w:lineRule="exact" w:before="38"/>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48" w:type="dxa"/>
          </w:tcPr>
          <w:p>
            <w:pPr>
              <w:pStyle w:val="TableParagraph"/>
              <w:spacing w:before="10"/>
              <w:ind w:right="165"/>
              <w:jc w:val="right"/>
              <w:rPr>
                <w:sz w:val="20"/>
              </w:rPr>
            </w:pPr>
            <w:r>
              <w:rPr>
                <w:w w:val="99"/>
                <w:sz w:val="20"/>
              </w:rPr>
              <w:t>-</w:t>
            </w:r>
          </w:p>
        </w:tc>
        <w:tc>
          <w:tcPr>
            <w:tcW w:w="1314" w:type="dxa"/>
          </w:tcPr>
          <w:p>
            <w:pPr>
              <w:pStyle w:val="TableParagraph"/>
              <w:spacing w:before="10"/>
              <w:ind w:right="249"/>
              <w:jc w:val="right"/>
              <w:rPr>
                <w:sz w:val="20"/>
              </w:rPr>
            </w:pPr>
            <w:r>
              <w:rPr>
                <w:w w:val="99"/>
                <w:sz w:val="20"/>
              </w:rPr>
              <w:t>-</w:t>
            </w:r>
          </w:p>
        </w:tc>
        <w:tc>
          <w:tcPr>
            <w:tcW w:w="1553" w:type="dxa"/>
          </w:tcPr>
          <w:p>
            <w:pPr>
              <w:pStyle w:val="TableParagraph"/>
              <w:spacing w:before="10"/>
              <w:ind w:right="235"/>
              <w:jc w:val="right"/>
              <w:rPr>
                <w:sz w:val="20"/>
              </w:rPr>
            </w:pPr>
            <w:r>
              <w:rPr>
                <w:w w:val="99"/>
                <w:sz w:val="20"/>
              </w:rPr>
              <w:t>-</w:t>
            </w:r>
          </w:p>
        </w:tc>
        <w:tc>
          <w:tcPr>
            <w:tcW w:w="1367" w:type="dxa"/>
            <w:tcBorders>
              <w:right w:val="single" w:sz="12" w:space="0" w:color="000000"/>
            </w:tcBorders>
          </w:tcPr>
          <w:p>
            <w:pPr>
              <w:pStyle w:val="TableParagraph"/>
              <w:spacing w:before="10"/>
              <w:ind w:right="78"/>
              <w:jc w:val="right"/>
              <w:rPr>
                <w:sz w:val="20"/>
              </w:rPr>
            </w:pPr>
            <w:r>
              <w:rPr>
                <w:w w:val="99"/>
                <w:sz w:val="20"/>
              </w:rPr>
              <w:t>-</w:t>
            </w:r>
          </w:p>
        </w:tc>
      </w:tr>
      <w:tr>
        <w:trPr>
          <w:trHeight w:val="269" w:hRule="atLeast"/>
        </w:trPr>
        <w:tc>
          <w:tcPr>
            <w:tcW w:w="4997" w:type="dxa"/>
            <w:tcBorders>
              <w:left w:val="single" w:sz="12" w:space="0" w:color="000000"/>
            </w:tcBorders>
          </w:tcPr>
          <w:p>
            <w:pPr>
              <w:pStyle w:val="TableParagraph"/>
              <w:spacing w:line="211" w:lineRule="exact" w:before="38"/>
              <w:ind w:left="107"/>
              <w:rPr>
                <w:sz w:val="20"/>
              </w:rPr>
            </w:pPr>
            <w:r>
              <w:rPr>
                <w:sz w:val="20"/>
              </w:rPr>
              <w:t>Vacant</w:t>
            </w:r>
            <w:r>
              <w:rPr>
                <w:spacing w:val="-7"/>
                <w:sz w:val="20"/>
              </w:rPr>
              <w:t> </w:t>
            </w:r>
            <w:r>
              <w:rPr>
                <w:spacing w:val="-2"/>
                <w:sz w:val="20"/>
              </w:rPr>
              <w:t>Position</w:t>
            </w:r>
          </w:p>
        </w:tc>
        <w:tc>
          <w:tcPr>
            <w:tcW w:w="1248" w:type="dxa"/>
            <w:tcBorders>
              <w:bottom w:val="single" w:sz="4" w:space="0" w:color="000000"/>
            </w:tcBorders>
          </w:tcPr>
          <w:p>
            <w:pPr>
              <w:pStyle w:val="TableParagraph"/>
              <w:spacing w:before="10"/>
              <w:ind w:right="163"/>
              <w:jc w:val="right"/>
              <w:rPr>
                <w:sz w:val="20"/>
              </w:rPr>
            </w:pPr>
            <w:r>
              <w:rPr>
                <w:spacing w:val="-5"/>
                <w:sz w:val="20"/>
              </w:rPr>
              <w:t>0.4</w:t>
            </w:r>
          </w:p>
        </w:tc>
        <w:tc>
          <w:tcPr>
            <w:tcW w:w="1314" w:type="dxa"/>
            <w:tcBorders>
              <w:bottom w:val="single" w:sz="4" w:space="0" w:color="000000"/>
            </w:tcBorders>
          </w:tcPr>
          <w:p>
            <w:pPr>
              <w:pStyle w:val="TableParagraph"/>
              <w:spacing w:before="10"/>
              <w:ind w:right="249"/>
              <w:jc w:val="right"/>
              <w:rPr>
                <w:sz w:val="20"/>
              </w:rPr>
            </w:pPr>
            <w:r>
              <w:rPr>
                <w:spacing w:val="-5"/>
                <w:sz w:val="20"/>
              </w:rPr>
              <w:t>0.4</w:t>
            </w:r>
          </w:p>
        </w:tc>
        <w:tc>
          <w:tcPr>
            <w:tcW w:w="1553" w:type="dxa"/>
            <w:tcBorders>
              <w:bottom w:val="single" w:sz="4" w:space="0" w:color="000000"/>
            </w:tcBorders>
          </w:tcPr>
          <w:p>
            <w:pPr>
              <w:pStyle w:val="TableParagraph"/>
              <w:spacing w:before="10"/>
              <w:ind w:right="236"/>
              <w:jc w:val="right"/>
              <w:rPr>
                <w:sz w:val="20"/>
              </w:rPr>
            </w:pPr>
            <w:r>
              <w:rPr>
                <w:spacing w:val="-5"/>
                <w:sz w:val="20"/>
              </w:rPr>
              <w:t>0.4</w:t>
            </w:r>
          </w:p>
        </w:tc>
        <w:tc>
          <w:tcPr>
            <w:tcW w:w="1367" w:type="dxa"/>
            <w:tcBorders>
              <w:bottom w:val="single" w:sz="4" w:space="0" w:color="000000"/>
              <w:right w:val="single" w:sz="12" w:space="0" w:color="000000"/>
            </w:tcBorders>
          </w:tcPr>
          <w:p>
            <w:pPr>
              <w:pStyle w:val="TableParagraph"/>
              <w:spacing w:before="10"/>
              <w:ind w:right="77"/>
              <w:jc w:val="right"/>
              <w:rPr>
                <w:sz w:val="20"/>
              </w:rPr>
            </w:pPr>
            <w:r>
              <w:rPr>
                <w:spacing w:val="-5"/>
                <w:sz w:val="20"/>
              </w:rPr>
              <w:t>0.4</w:t>
            </w:r>
          </w:p>
        </w:tc>
      </w:tr>
      <w:tr>
        <w:trPr>
          <w:trHeight w:val="285" w:hRule="atLeast"/>
        </w:trPr>
        <w:tc>
          <w:tcPr>
            <w:tcW w:w="4997" w:type="dxa"/>
            <w:tcBorders>
              <w:left w:val="single" w:sz="12" w:space="0" w:color="000000"/>
            </w:tcBorders>
          </w:tcPr>
          <w:p>
            <w:pPr>
              <w:pStyle w:val="TableParagraph"/>
              <w:spacing w:line="211" w:lineRule="exact" w:before="54"/>
              <w:ind w:left="107"/>
              <w:rPr>
                <w:b/>
                <w:sz w:val="20"/>
              </w:rPr>
            </w:pPr>
            <w:r>
              <w:rPr>
                <w:b/>
                <w:sz w:val="20"/>
              </w:rPr>
              <w:t>Total</w:t>
            </w:r>
            <w:r>
              <w:rPr>
                <w:b/>
                <w:spacing w:val="-7"/>
                <w:sz w:val="20"/>
              </w:rPr>
              <w:t> </w:t>
            </w:r>
            <w:r>
              <w:rPr>
                <w:b/>
                <w:sz w:val="20"/>
              </w:rPr>
              <w:t>Strategy</w:t>
            </w:r>
            <w:r>
              <w:rPr>
                <w:b/>
                <w:spacing w:val="-7"/>
                <w:sz w:val="20"/>
              </w:rPr>
              <w:t> </w:t>
            </w:r>
            <w:r>
              <w:rPr>
                <w:b/>
                <w:sz w:val="20"/>
              </w:rPr>
              <w:t>and</w:t>
            </w:r>
            <w:r>
              <w:rPr>
                <w:b/>
                <w:spacing w:val="-7"/>
                <w:sz w:val="20"/>
              </w:rPr>
              <w:t> </w:t>
            </w:r>
            <w:r>
              <w:rPr>
                <w:b/>
                <w:spacing w:val="-2"/>
                <w:sz w:val="20"/>
              </w:rPr>
              <w:t>Development</w:t>
            </w:r>
          </w:p>
        </w:tc>
        <w:tc>
          <w:tcPr>
            <w:tcW w:w="1248" w:type="dxa"/>
            <w:tcBorders>
              <w:top w:val="single" w:sz="4" w:space="0" w:color="000000"/>
              <w:bottom w:val="single" w:sz="4" w:space="0" w:color="000000"/>
            </w:tcBorders>
          </w:tcPr>
          <w:p>
            <w:pPr>
              <w:pStyle w:val="TableParagraph"/>
              <w:spacing w:before="28"/>
              <w:ind w:right="164"/>
              <w:jc w:val="right"/>
              <w:rPr>
                <w:b/>
                <w:sz w:val="20"/>
              </w:rPr>
            </w:pPr>
            <w:r>
              <w:rPr>
                <w:b/>
                <w:spacing w:val="-2"/>
                <w:sz w:val="20"/>
              </w:rPr>
              <w:t>110.5</w:t>
            </w:r>
          </w:p>
        </w:tc>
        <w:tc>
          <w:tcPr>
            <w:tcW w:w="1314" w:type="dxa"/>
            <w:tcBorders>
              <w:top w:val="single" w:sz="4" w:space="0" w:color="000000"/>
              <w:bottom w:val="single" w:sz="4" w:space="0" w:color="000000"/>
            </w:tcBorders>
          </w:tcPr>
          <w:p>
            <w:pPr>
              <w:pStyle w:val="TableParagraph"/>
              <w:spacing w:before="28"/>
              <w:ind w:right="248"/>
              <w:jc w:val="right"/>
              <w:rPr>
                <w:b/>
                <w:sz w:val="20"/>
              </w:rPr>
            </w:pPr>
            <w:r>
              <w:rPr>
                <w:b/>
                <w:spacing w:val="-4"/>
                <w:sz w:val="20"/>
              </w:rPr>
              <w:t>110.5</w:t>
            </w:r>
          </w:p>
        </w:tc>
        <w:tc>
          <w:tcPr>
            <w:tcW w:w="1553" w:type="dxa"/>
            <w:tcBorders>
              <w:top w:val="single" w:sz="4" w:space="0" w:color="000000"/>
              <w:bottom w:val="single" w:sz="4" w:space="0" w:color="000000"/>
            </w:tcBorders>
          </w:tcPr>
          <w:p>
            <w:pPr>
              <w:pStyle w:val="TableParagraph"/>
              <w:spacing w:before="28"/>
              <w:ind w:right="234"/>
              <w:jc w:val="right"/>
              <w:rPr>
                <w:b/>
                <w:sz w:val="20"/>
              </w:rPr>
            </w:pPr>
            <w:r>
              <w:rPr>
                <w:b/>
                <w:spacing w:val="-2"/>
                <w:sz w:val="20"/>
              </w:rPr>
              <w:t>110.5</w:t>
            </w:r>
          </w:p>
        </w:tc>
        <w:tc>
          <w:tcPr>
            <w:tcW w:w="1367" w:type="dxa"/>
            <w:tcBorders>
              <w:top w:val="single" w:sz="4" w:space="0" w:color="000000"/>
              <w:bottom w:val="single" w:sz="4" w:space="0" w:color="000000"/>
              <w:right w:val="single" w:sz="12" w:space="0" w:color="000000"/>
            </w:tcBorders>
          </w:tcPr>
          <w:p>
            <w:pPr>
              <w:pStyle w:val="TableParagraph"/>
              <w:spacing w:before="28"/>
              <w:ind w:right="77"/>
              <w:jc w:val="right"/>
              <w:rPr>
                <w:b/>
                <w:sz w:val="20"/>
              </w:rPr>
            </w:pPr>
            <w:r>
              <w:rPr>
                <w:b/>
                <w:spacing w:val="-2"/>
                <w:sz w:val="20"/>
              </w:rPr>
              <w:t>110.5</w:t>
            </w:r>
          </w:p>
        </w:tc>
      </w:tr>
      <w:tr>
        <w:trPr>
          <w:trHeight w:val="303" w:hRule="atLeast"/>
        </w:trPr>
        <w:tc>
          <w:tcPr>
            <w:tcW w:w="4997" w:type="dxa"/>
            <w:tcBorders>
              <w:left w:val="single" w:sz="12" w:space="0" w:color="000000"/>
            </w:tcBorders>
          </w:tcPr>
          <w:p>
            <w:pPr>
              <w:pStyle w:val="TableParagraph"/>
              <w:spacing w:line="227" w:lineRule="exact" w:before="57"/>
              <w:ind w:left="107"/>
              <w:rPr>
                <w:b/>
                <w:sz w:val="20"/>
              </w:rPr>
            </w:pPr>
            <w:r>
              <w:rPr>
                <w:b/>
                <w:sz w:val="20"/>
              </w:rPr>
              <w:t>People</w:t>
            </w:r>
            <w:r>
              <w:rPr>
                <w:b/>
                <w:spacing w:val="-6"/>
                <w:sz w:val="20"/>
              </w:rPr>
              <w:t> </w:t>
            </w:r>
            <w:r>
              <w:rPr>
                <w:b/>
                <w:sz w:val="20"/>
              </w:rPr>
              <w:t>and</w:t>
            </w:r>
            <w:r>
              <w:rPr>
                <w:b/>
                <w:spacing w:val="-6"/>
                <w:sz w:val="20"/>
              </w:rPr>
              <w:t> </w:t>
            </w:r>
            <w:r>
              <w:rPr>
                <w:b/>
                <w:spacing w:val="-2"/>
                <w:sz w:val="20"/>
              </w:rPr>
              <w:t>Places</w:t>
            </w:r>
          </w:p>
        </w:tc>
        <w:tc>
          <w:tcPr>
            <w:tcW w:w="1248" w:type="dxa"/>
            <w:tcBorders>
              <w:top w:val="single" w:sz="4" w:space="0" w:color="000000"/>
            </w:tcBorders>
          </w:tcPr>
          <w:p>
            <w:pPr>
              <w:pStyle w:val="TableParagraph"/>
              <w:rPr>
                <w:rFonts w:ascii="Times New Roman"/>
                <w:sz w:val="18"/>
              </w:rPr>
            </w:pPr>
          </w:p>
        </w:tc>
        <w:tc>
          <w:tcPr>
            <w:tcW w:w="1314" w:type="dxa"/>
            <w:tcBorders>
              <w:top w:val="single" w:sz="4" w:space="0" w:color="000000"/>
            </w:tcBorders>
          </w:tcPr>
          <w:p>
            <w:pPr>
              <w:pStyle w:val="TableParagraph"/>
              <w:rPr>
                <w:rFonts w:ascii="Times New Roman"/>
                <w:sz w:val="18"/>
              </w:rPr>
            </w:pPr>
          </w:p>
        </w:tc>
        <w:tc>
          <w:tcPr>
            <w:tcW w:w="1553" w:type="dxa"/>
            <w:tcBorders>
              <w:top w:val="single" w:sz="4" w:space="0" w:color="000000"/>
            </w:tcBorders>
          </w:tcPr>
          <w:p>
            <w:pPr>
              <w:pStyle w:val="TableParagraph"/>
              <w:rPr>
                <w:rFonts w:ascii="Times New Roman"/>
                <w:sz w:val="18"/>
              </w:rPr>
            </w:pPr>
          </w:p>
        </w:tc>
        <w:tc>
          <w:tcPr>
            <w:tcW w:w="1367" w:type="dxa"/>
            <w:tcBorders>
              <w:top w:val="single" w:sz="4" w:space="0" w:color="000000"/>
              <w:right w:val="single" w:sz="12" w:space="0" w:color="000000"/>
            </w:tcBorders>
          </w:tcPr>
          <w:p>
            <w:pPr>
              <w:pStyle w:val="TableParagraph"/>
              <w:rPr>
                <w:rFonts w:ascii="Times New Roman"/>
                <w:sz w:val="18"/>
              </w:rPr>
            </w:pPr>
          </w:p>
        </w:tc>
      </w:tr>
      <w:tr>
        <w:trPr>
          <w:trHeight w:val="285" w:hRule="atLeast"/>
        </w:trPr>
        <w:tc>
          <w:tcPr>
            <w:tcW w:w="4997" w:type="dxa"/>
            <w:tcBorders>
              <w:left w:val="single" w:sz="12" w:space="0" w:color="000000"/>
            </w:tcBorders>
          </w:tcPr>
          <w:p>
            <w:pPr>
              <w:pStyle w:val="TableParagraph"/>
              <w:spacing w:line="227" w:lineRule="exact" w:before="38"/>
              <w:ind w:left="107"/>
              <w:rPr>
                <w:b/>
                <w:sz w:val="20"/>
              </w:rPr>
            </w:pPr>
            <w:r>
              <w:rPr>
                <w:b/>
                <w:sz w:val="20"/>
              </w:rPr>
              <w:t>Permanent</w:t>
            </w:r>
            <w:r>
              <w:rPr>
                <w:b/>
                <w:spacing w:val="-9"/>
                <w:sz w:val="20"/>
              </w:rPr>
              <w:t> </w:t>
            </w:r>
            <w:r>
              <w:rPr>
                <w:b/>
                <w:sz w:val="20"/>
              </w:rPr>
              <w:t>full</w:t>
            </w:r>
            <w:r>
              <w:rPr>
                <w:b/>
                <w:spacing w:val="-8"/>
                <w:sz w:val="20"/>
              </w:rPr>
              <w:t> </w:t>
            </w:r>
            <w:r>
              <w:rPr>
                <w:b/>
                <w:spacing w:val="-4"/>
                <w:sz w:val="20"/>
              </w:rPr>
              <w:t>time</w:t>
            </w:r>
          </w:p>
        </w:tc>
        <w:tc>
          <w:tcPr>
            <w:tcW w:w="1248" w:type="dxa"/>
          </w:tcPr>
          <w:p>
            <w:pPr>
              <w:pStyle w:val="TableParagraph"/>
              <w:spacing w:before="10"/>
              <w:ind w:right="163"/>
              <w:jc w:val="right"/>
              <w:rPr>
                <w:b/>
                <w:sz w:val="20"/>
              </w:rPr>
            </w:pPr>
            <w:r>
              <w:rPr>
                <w:b/>
                <w:spacing w:val="-4"/>
                <w:sz w:val="20"/>
              </w:rPr>
              <w:t>60.7</w:t>
            </w:r>
          </w:p>
        </w:tc>
        <w:tc>
          <w:tcPr>
            <w:tcW w:w="1314" w:type="dxa"/>
          </w:tcPr>
          <w:p>
            <w:pPr>
              <w:pStyle w:val="TableParagraph"/>
              <w:spacing w:before="10"/>
              <w:ind w:right="248"/>
              <w:jc w:val="right"/>
              <w:rPr>
                <w:b/>
                <w:sz w:val="20"/>
              </w:rPr>
            </w:pPr>
            <w:r>
              <w:rPr>
                <w:b/>
                <w:spacing w:val="-4"/>
                <w:sz w:val="20"/>
              </w:rPr>
              <w:t>60.7</w:t>
            </w:r>
          </w:p>
        </w:tc>
        <w:tc>
          <w:tcPr>
            <w:tcW w:w="1553" w:type="dxa"/>
          </w:tcPr>
          <w:p>
            <w:pPr>
              <w:pStyle w:val="TableParagraph"/>
              <w:spacing w:before="10"/>
              <w:ind w:right="234"/>
              <w:jc w:val="right"/>
              <w:rPr>
                <w:b/>
                <w:sz w:val="20"/>
              </w:rPr>
            </w:pPr>
            <w:r>
              <w:rPr>
                <w:b/>
                <w:spacing w:val="-4"/>
                <w:sz w:val="20"/>
              </w:rPr>
              <w:t>60.7</w:t>
            </w:r>
          </w:p>
        </w:tc>
        <w:tc>
          <w:tcPr>
            <w:tcW w:w="1367" w:type="dxa"/>
            <w:tcBorders>
              <w:right w:val="single" w:sz="12" w:space="0" w:color="000000"/>
            </w:tcBorders>
          </w:tcPr>
          <w:p>
            <w:pPr>
              <w:pStyle w:val="TableParagraph"/>
              <w:spacing w:before="10"/>
              <w:ind w:right="76"/>
              <w:jc w:val="right"/>
              <w:rPr>
                <w:b/>
                <w:sz w:val="20"/>
              </w:rPr>
            </w:pPr>
            <w:r>
              <w:rPr>
                <w:b/>
                <w:spacing w:val="-4"/>
                <w:sz w:val="20"/>
              </w:rPr>
              <w:t>60.7</w:t>
            </w:r>
          </w:p>
        </w:tc>
      </w:tr>
      <w:tr>
        <w:trPr>
          <w:trHeight w:val="286" w:hRule="atLeast"/>
        </w:trPr>
        <w:tc>
          <w:tcPr>
            <w:tcW w:w="4997" w:type="dxa"/>
            <w:tcBorders>
              <w:left w:val="single" w:sz="12" w:space="0" w:color="000000"/>
            </w:tcBorders>
          </w:tcPr>
          <w:p>
            <w:pPr>
              <w:pStyle w:val="TableParagraph"/>
              <w:spacing w:line="228" w:lineRule="exact" w:before="38"/>
              <w:ind w:left="107"/>
              <w:rPr>
                <w:sz w:val="20"/>
              </w:rPr>
            </w:pPr>
            <w:r>
              <w:rPr>
                <w:spacing w:val="-2"/>
                <w:sz w:val="20"/>
              </w:rPr>
              <w:t>Women</w:t>
            </w:r>
          </w:p>
        </w:tc>
        <w:tc>
          <w:tcPr>
            <w:tcW w:w="1248" w:type="dxa"/>
          </w:tcPr>
          <w:p>
            <w:pPr>
              <w:pStyle w:val="TableParagraph"/>
              <w:spacing w:before="10"/>
              <w:ind w:right="163"/>
              <w:jc w:val="right"/>
              <w:rPr>
                <w:sz w:val="20"/>
              </w:rPr>
            </w:pPr>
            <w:r>
              <w:rPr>
                <w:spacing w:val="-4"/>
                <w:sz w:val="20"/>
              </w:rPr>
              <w:t>48.0</w:t>
            </w:r>
          </w:p>
        </w:tc>
        <w:tc>
          <w:tcPr>
            <w:tcW w:w="1314" w:type="dxa"/>
          </w:tcPr>
          <w:p>
            <w:pPr>
              <w:pStyle w:val="TableParagraph"/>
              <w:spacing w:before="10"/>
              <w:ind w:right="248"/>
              <w:jc w:val="right"/>
              <w:rPr>
                <w:sz w:val="20"/>
              </w:rPr>
            </w:pPr>
            <w:r>
              <w:rPr>
                <w:spacing w:val="-4"/>
                <w:sz w:val="20"/>
              </w:rPr>
              <w:t>48.0</w:t>
            </w:r>
          </w:p>
        </w:tc>
        <w:tc>
          <w:tcPr>
            <w:tcW w:w="1553" w:type="dxa"/>
          </w:tcPr>
          <w:p>
            <w:pPr>
              <w:pStyle w:val="TableParagraph"/>
              <w:spacing w:before="10"/>
              <w:ind w:right="234"/>
              <w:jc w:val="right"/>
              <w:rPr>
                <w:sz w:val="20"/>
              </w:rPr>
            </w:pPr>
            <w:r>
              <w:rPr>
                <w:spacing w:val="-4"/>
                <w:sz w:val="20"/>
              </w:rPr>
              <w:t>48.0</w:t>
            </w:r>
          </w:p>
        </w:tc>
        <w:tc>
          <w:tcPr>
            <w:tcW w:w="1367" w:type="dxa"/>
            <w:tcBorders>
              <w:right w:val="single" w:sz="12" w:space="0" w:color="000000"/>
            </w:tcBorders>
          </w:tcPr>
          <w:p>
            <w:pPr>
              <w:pStyle w:val="TableParagraph"/>
              <w:spacing w:before="10"/>
              <w:ind w:right="76"/>
              <w:jc w:val="right"/>
              <w:rPr>
                <w:sz w:val="20"/>
              </w:rPr>
            </w:pPr>
            <w:r>
              <w:rPr>
                <w:spacing w:val="-4"/>
                <w:sz w:val="20"/>
              </w:rPr>
              <w:t>48.0</w:t>
            </w:r>
          </w:p>
        </w:tc>
      </w:tr>
      <w:tr>
        <w:trPr>
          <w:trHeight w:val="285" w:hRule="atLeast"/>
        </w:trPr>
        <w:tc>
          <w:tcPr>
            <w:tcW w:w="4997" w:type="dxa"/>
            <w:tcBorders>
              <w:left w:val="single" w:sz="12" w:space="0" w:color="000000"/>
            </w:tcBorders>
          </w:tcPr>
          <w:p>
            <w:pPr>
              <w:pStyle w:val="TableParagraph"/>
              <w:spacing w:line="228" w:lineRule="exact" w:before="37"/>
              <w:ind w:left="107"/>
              <w:rPr>
                <w:sz w:val="20"/>
              </w:rPr>
            </w:pPr>
            <w:r>
              <w:rPr>
                <w:spacing w:val="-5"/>
                <w:sz w:val="20"/>
              </w:rPr>
              <w:t>Men</w:t>
            </w:r>
          </w:p>
        </w:tc>
        <w:tc>
          <w:tcPr>
            <w:tcW w:w="1248" w:type="dxa"/>
          </w:tcPr>
          <w:p>
            <w:pPr>
              <w:pStyle w:val="TableParagraph"/>
              <w:spacing w:before="11"/>
              <w:ind w:right="163"/>
              <w:jc w:val="right"/>
              <w:rPr>
                <w:sz w:val="20"/>
              </w:rPr>
            </w:pPr>
            <w:r>
              <w:rPr>
                <w:spacing w:val="-4"/>
                <w:sz w:val="20"/>
              </w:rPr>
              <w:t>12.7</w:t>
            </w:r>
          </w:p>
        </w:tc>
        <w:tc>
          <w:tcPr>
            <w:tcW w:w="1314" w:type="dxa"/>
          </w:tcPr>
          <w:p>
            <w:pPr>
              <w:pStyle w:val="TableParagraph"/>
              <w:spacing w:before="11"/>
              <w:ind w:right="248"/>
              <w:jc w:val="right"/>
              <w:rPr>
                <w:sz w:val="20"/>
              </w:rPr>
            </w:pPr>
            <w:r>
              <w:rPr>
                <w:spacing w:val="-4"/>
                <w:sz w:val="20"/>
              </w:rPr>
              <w:t>12.7</w:t>
            </w:r>
          </w:p>
        </w:tc>
        <w:tc>
          <w:tcPr>
            <w:tcW w:w="1553" w:type="dxa"/>
          </w:tcPr>
          <w:p>
            <w:pPr>
              <w:pStyle w:val="TableParagraph"/>
              <w:spacing w:before="11"/>
              <w:ind w:right="234"/>
              <w:jc w:val="right"/>
              <w:rPr>
                <w:sz w:val="20"/>
              </w:rPr>
            </w:pPr>
            <w:r>
              <w:rPr>
                <w:spacing w:val="-4"/>
                <w:sz w:val="20"/>
              </w:rPr>
              <w:t>12.7</w:t>
            </w:r>
          </w:p>
        </w:tc>
        <w:tc>
          <w:tcPr>
            <w:tcW w:w="1367" w:type="dxa"/>
            <w:tcBorders>
              <w:right w:val="single" w:sz="12" w:space="0" w:color="000000"/>
            </w:tcBorders>
          </w:tcPr>
          <w:p>
            <w:pPr>
              <w:pStyle w:val="TableParagraph"/>
              <w:spacing w:before="11"/>
              <w:ind w:right="76"/>
              <w:jc w:val="right"/>
              <w:rPr>
                <w:sz w:val="20"/>
              </w:rPr>
            </w:pPr>
            <w:r>
              <w:rPr>
                <w:spacing w:val="-4"/>
                <w:sz w:val="20"/>
              </w:rPr>
              <w:t>12.7</w:t>
            </w:r>
          </w:p>
        </w:tc>
      </w:tr>
      <w:tr>
        <w:trPr>
          <w:trHeight w:val="285" w:hRule="atLeast"/>
        </w:trPr>
        <w:tc>
          <w:tcPr>
            <w:tcW w:w="4997" w:type="dxa"/>
            <w:tcBorders>
              <w:left w:val="single" w:sz="12" w:space="0" w:color="000000"/>
            </w:tcBorders>
          </w:tcPr>
          <w:p>
            <w:pPr>
              <w:pStyle w:val="TableParagraph"/>
              <w:spacing w:line="228" w:lineRule="exact" w:before="37"/>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48" w:type="dxa"/>
          </w:tcPr>
          <w:p>
            <w:pPr>
              <w:pStyle w:val="TableParagraph"/>
              <w:spacing w:before="11"/>
              <w:ind w:right="165"/>
              <w:jc w:val="right"/>
              <w:rPr>
                <w:sz w:val="20"/>
              </w:rPr>
            </w:pPr>
            <w:r>
              <w:rPr>
                <w:w w:val="99"/>
                <w:sz w:val="20"/>
              </w:rPr>
              <w:t>-</w:t>
            </w:r>
          </w:p>
        </w:tc>
        <w:tc>
          <w:tcPr>
            <w:tcW w:w="1314" w:type="dxa"/>
          </w:tcPr>
          <w:p>
            <w:pPr>
              <w:pStyle w:val="TableParagraph"/>
              <w:spacing w:before="11"/>
              <w:ind w:right="249"/>
              <w:jc w:val="right"/>
              <w:rPr>
                <w:sz w:val="20"/>
              </w:rPr>
            </w:pPr>
            <w:r>
              <w:rPr>
                <w:w w:val="99"/>
                <w:sz w:val="20"/>
              </w:rPr>
              <w:t>-</w:t>
            </w:r>
          </w:p>
        </w:tc>
        <w:tc>
          <w:tcPr>
            <w:tcW w:w="1553" w:type="dxa"/>
          </w:tcPr>
          <w:p>
            <w:pPr>
              <w:pStyle w:val="TableParagraph"/>
              <w:spacing w:before="11"/>
              <w:ind w:right="235"/>
              <w:jc w:val="right"/>
              <w:rPr>
                <w:sz w:val="20"/>
              </w:rPr>
            </w:pPr>
            <w:r>
              <w:rPr>
                <w:w w:val="99"/>
                <w:sz w:val="20"/>
              </w:rPr>
              <w:t>-</w:t>
            </w:r>
          </w:p>
        </w:tc>
        <w:tc>
          <w:tcPr>
            <w:tcW w:w="1367" w:type="dxa"/>
            <w:tcBorders>
              <w:right w:val="single" w:sz="12" w:space="0" w:color="000000"/>
            </w:tcBorders>
          </w:tcPr>
          <w:p>
            <w:pPr>
              <w:pStyle w:val="TableParagraph"/>
              <w:spacing w:before="11"/>
              <w:ind w:right="78"/>
              <w:jc w:val="right"/>
              <w:rPr>
                <w:sz w:val="20"/>
              </w:rPr>
            </w:pPr>
            <w:r>
              <w:rPr>
                <w:w w:val="99"/>
                <w:sz w:val="20"/>
              </w:rPr>
              <w:t>-</w:t>
            </w:r>
          </w:p>
        </w:tc>
      </w:tr>
      <w:tr>
        <w:trPr>
          <w:trHeight w:val="286" w:hRule="atLeast"/>
        </w:trPr>
        <w:tc>
          <w:tcPr>
            <w:tcW w:w="4997" w:type="dxa"/>
            <w:tcBorders>
              <w:left w:val="single" w:sz="12" w:space="0" w:color="000000"/>
            </w:tcBorders>
          </w:tcPr>
          <w:p>
            <w:pPr>
              <w:pStyle w:val="TableParagraph"/>
              <w:spacing w:line="227" w:lineRule="exact" w:before="40"/>
              <w:ind w:left="107"/>
              <w:rPr>
                <w:sz w:val="20"/>
              </w:rPr>
            </w:pPr>
            <w:r>
              <w:rPr>
                <w:sz w:val="20"/>
              </w:rPr>
              <w:t>Vacant</w:t>
            </w:r>
            <w:r>
              <w:rPr>
                <w:spacing w:val="-7"/>
                <w:sz w:val="20"/>
              </w:rPr>
              <w:t> </w:t>
            </w:r>
            <w:r>
              <w:rPr>
                <w:spacing w:val="-2"/>
                <w:sz w:val="20"/>
              </w:rPr>
              <w:t>Position</w:t>
            </w:r>
          </w:p>
        </w:tc>
        <w:tc>
          <w:tcPr>
            <w:tcW w:w="1248" w:type="dxa"/>
          </w:tcPr>
          <w:p>
            <w:pPr>
              <w:pStyle w:val="TableParagraph"/>
              <w:spacing w:before="11"/>
              <w:ind w:right="165"/>
              <w:jc w:val="right"/>
              <w:rPr>
                <w:sz w:val="20"/>
              </w:rPr>
            </w:pPr>
            <w:r>
              <w:rPr>
                <w:w w:val="99"/>
                <w:sz w:val="20"/>
              </w:rPr>
              <w:t>-</w:t>
            </w:r>
          </w:p>
        </w:tc>
        <w:tc>
          <w:tcPr>
            <w:tcW w:w="1314" w:type="dxa"/>
          </w:tcPr>
          <w:p>
            <w:pPr>
              <w:pStyle w:val="TableParagraph"/>
              <w:spacing w:before="11"/>
              <w:ind w:right="249"/>
              <w:jc w:val="right"/>
              <w:rPr>
                <w:sz w:val="20"/>
              </w:rPr>
            </w:pPr>
            <w:r>
              <w:rPr>
                <w:w w:val="99"/>
                <w:sz w:val="20"/>
              </w:rPr>
              <w:t>-</w:t>
            </w:r>
          </w:p>
        </w:tc>
        <w:tc>
          <w:tcPr>
            <w:tcW w:w="1553" w:type="dxa"/>
          </w:tcPr>
          <w:p>
            <w:pPr>
              <w:pStyle w:val="TableParagraph"/>
              <w:spacing w:before="11"/>
              <w:ind w:right="235"/>
              <w:jc w:val="right"/>
              <w:rPr>
                <w:sz w:val="20"/>
              </w:rPr>
            </w:pPr>
            <w:r>
              <w:rPr>
                <w:w w:val="99"/>
                <w:sz w:val="20"/>
              </w:rPr>
              <w:t>-</w:t>
            </w:r>
          </w:p>
        </w:tc>
        <w:tc>
          <w:tcPr>
            <w:tcW w:w="1367" w:type="dxa"/>
            <w:tcBorders>
              <w:right w:val="single" w:sz="12" w:space="0" w:color="000000"/>
            </w:tcBorders>
          </w:tcPr>
          <w:p>
            <w:pPr>
              <w:pStyle w:val="TableParagraph"/>
              <w:spacing w:before="11"/>
              <w:ind w:right="78"/>
              <w:jc w:val="right"/>
              <w:rPr>
                <w:sz w:val="20"/>
              </w:rPr>
            </w:pPr>
            <w:r>
              <w:rPr>
                <w:w w:val="99"/>
                <w:sz w:val="20"/>
              </w:rPr>
              <w:t>-</w:t>
            </w:r>
          </w:p>
        </w:tc>
      </w:tr>
      <w:tr>
        <w:trPr>
          <w:trHeight w:val="285" w:hRule="atLeast"/>
        </w:trPr>
        <w:tc>
          <w:tcPr>
            <w:tcW w:w="4997" w:type="dxa"/>
            <w:tcBorders>
              <w:left w:val="single" w:sz="12" w:space="0" w:color="000000"/>
            </w:tcBorders>
          </w:tcPr>
          <w:p>
            <w:pPr>
              <w:pStyle w:val="TableParagraph"/>
              <w:spacing w:line="227" w:lineRule="exact" w:before="38"/>
              <w:ind w:left="107"/>
              <w:rPr>
                <w:b/>
                <w:sz w:val="20"/>
              </w:rPr>
            </w:pPr>
            <w:r>
              <w:rPr>
                <w:b/>
                <w:sz w:val="20"/>
              </w:rPr>
              <w:t>Permanent</w:t>
            </w:r>
            <w:r>
              <w:rPr>
                <w:b/>
                <w:spacing w:val="-9"/>
                <w:sz w:val="20"/>
              </w:rPr>
              <w:t> </w:t>
            </w:r>
            <w:r>
              <w:rPr>
                <w:b/>
                <w:sz w:val="20"/>
              </w:rPr>
              <w:t>part</w:t>
            </w:r>
            <w:r>
              <w:rPr>
                <w:b/>
                <w:spacing w:val="-7"/>
                <w:sz w:val="20"/>
              </w:rPr>
              <w:t> </w:t>
            </w:r>
            <w:r>
              <w:rPr>
                <w:b/>
                <w:spacing w:val="-4"/>
                <w:sz w:val="20"/>
              </w:rPr>
              <w:t>time</w:t>
            </w:r>
          </w:p>
        </w:tc>
        <w:tc>
          <w:tcPr>
            <w:tcW w:w="1248" w:type="dxa"/>
          </w:tcPr>
          <w:p>
            <w:pPr>
              <w:pStyle w:val="TableParagraph"/>
              <w:spacing w:before="10"/>
              <w:ind w:right="163"/>
              <w:jc w:val="right"/>
              <w:rPr>
                <w:b/>
                <w:sz w:val="20"/>
              </w:rPr>
            </w:pPr>
            <w:r>
              <w:rPr>
                <w:b/>
                <w:spacing w:val="-4"/>
                <w:sz w:val="20"/>
              </w:rPr>
              <w:t>57.6</w:t>
            </w:r>
          </w:p>
        </w:tc>
        <w:tc>
          <w:tcPr>
            <w:tcW w:w="1314" w:type="dxa"/>
          </w:tcPr>
          <w:p>
            <w:pPr>
              <w:pStyle w:val="TableParagraph"/>
              <w:spacing w:before="10"/>
              <w:ind w:right="248"/>
              <w:jc w:val="right"/>
              <w:rPr>
                <w:b/>
                <w:sz w:val="20"/>
              </w:rPr>
            </w:pPr>
            <w:r>
              <w:rPr>
                <w:b/>
                <w:spacing w:val="-4"/>
                <w:sz w:val="20"/>
              </w:rPr>
              <w:t>57.6</w:t>
            </w:r>
          </w:p>
        </w:tc>
        <w:tc>
          <w:tcPr>
            <w:tcW w:w="1553" w:type="dxa"/>
          </w:tcPr>
          <w:p>
            <w:pPr>
              <w:pStyle w:val="TableParagraph"/>
              <w:spacing w:before="10"/>
              <w:ind w:right="234"/>
              <w:jc w:val="right"/>
              <w:rPr>
                <w:b/>
                <w:sz w:val="20"/>
              </w:rPr>
            </w:pPr>
            <w:r>
              <w:rPr>
                <w:b/>
                <w:spacing w:val="-4"/>
                <w:sz w:val="20"/>
              </w:rPr>
              <w:t>57.6</w:t>
            </w:r>
          </w:p>
        </w:tc>
        <w:tc>
          <w:tcPr>
            <w:tcW w:w="1367" w:type="dxa"/>
            <w:tcBorders>
              <w:right w:val="single" w:sz="12" w:space="0" w:color="000000"/>
            </w:tcBorders>
          </w:tcPr>
          <w:p>
            <w:pPr>
              <w:pStyle w:val="TableParagraph"/>
              <w:spacing w:before="10"/>
              <w:ind w:right="76"/>
              <w:jc w:val="right"/>
              <w:rPr>
                <w:b/>
                <w:sz w:val="20"/>
              </w:rPr>
            </w:pPr>
            <w:r>
              <w:rPr>
                <w:b/>
                <w:spacing w:val="-4"/>
                <w:sz w:val="20"/>
              </w:rPr>
              <w:t>57.6</w:t>
            </w:r>
          </w:p>
        </w:tc>
      </w:tr>
      <w:tr>
        <w:trPr>
          <w:trHeight w:val="285" w:hRule="atLeast"/>
        </w:trPr>
        <w:tc>
          <w:tcPr>
            <w:tcW w:w="4997" w:type="dxa"/>
            <w:tcBorders>
              <w:left w:val="single" w:sz="12" w:space="0" w:color="000000"/>
            </w:tcBorders>
          </w:tcPr>
          <w:p>
            <w:pPr>
              <w:pStyle w:val="TableParagraph"/>
              <w:spacing w:line="227" w:lineRule="exact" w:before="38"/>
              <w:ind w:left="107"/>
              <w:rPr>
                <w:sz w:val="20"/>
              </w:rPr>
            </w:pPr>
            <w:r>
              <w:rPr>
                <w:spacing w:val="-2"/>
                <w:sz w:val="20"/>
              </w:rPr>
              <w:t>Women</w:t>
            </w:r>
          </w:p>
        </w:tc>
        <w:tc>
          <w:tcPr>
            <w:tcW w:w="1248" w:type="dxa"/>
          </w:tcPr>
          <w:p>
            <w:pPr>
              <w:pStyle w:val="TableParagraph"/>
              <w:spacing w:before="10"/>
              <w:ind w:right="163"/>
              <w:jc w:val="right"/>
              <w:rPr>
                <w:sz w:val="20"/>
              </w:rPr>
            </w:pPr>
            <w:r>
              <w:rPr>
                <w:spacing w:val="-4"/>
                <w:sz w:val="20"/>
              </w:rPr>
              <w:t>51.6</w:t>
            </w:r>
          </w:p>
        </w:tc>
        <w:tc>
          <w:tcPr>
            <w:tcW w:w="1314" w:type="dxa"/>
          </w:tcPr>
          <w:p>
            <w:pPr>
              <w:pStyle w:val="TableParagraph"/>
              <w:spacing w:before="10"/>
              <w:ind w:right="248"/>
              <w:jc w:val="right"/>
              <w:rPr>
                <w:sz w:val="20"/>
              </w:rPr>
            </w:pPr>
            <w:r>
              <w:rPr>
                <w:spacing w:val="-4"/>
                <w:sz w:val="20"/>
              </w:rPr>
              <w:t>51.6</w:t>
            </w:r>
          </w:p>
        </w:tc>
        <w:tc>
          <w:tcPr>
            <w:tcW w:w="1553" w:type="dxa"/>
          </w:tcPr>
          <w:p>
            <w:pPr>
              <w:pStyle w:val="TableParagraph"/>
              <w:spacing w:before="10"/>
              <w:ind w:right="234"/>
              <w:jc w:val="right"/>
              <w:rPr>
                <w:sz w:val="20"/>
              </w:rPr>
            </w:pPr>
            <w:r>
              <w:rPr>
                <w:spacing w:val="-4"/>
                <w:sz w:val="20"/>
              </w:rPr>
              <w:t>51.6</w:t>
            </w:r>
          </w:p>
        </w:tc>
        <w:tc>
          <w:tcPr>
            <w:tcW w:w="1367" w:type="dxa"/>
            <w:tcBorders>
              <w:right w:val="single" w:sz="12" w:space="0" w:color="000000"/>
            </w:tcBorders>
          </w:tcPr>
          <w:p>
            <w:pPr>
              <w:pStyle w:val="TableParagraph"/>
              <w:spacing w:before="10"/>
              <w:ind w:right="76"/>
              <w:jc w:val="right"/>
              <w:rPr>
                <w:sz w:val="20"/>
              </w:rPr>
            </w:pPr>
            <w:r>
              <w:rPr>
                <w:spacing w:val="-4"/>
                <w:sz w:val="20"/>
              </w:rPr>
              <w:t>51.6</w:t>
            </w:r>
          </w:p>
        </w:tc>
      </w:tr>
      <w:tr>
        <w:trPr>
          <w:trHeight w:val="286" w:hRule="atLeast"/>
        </w:trPr>
        <w:tc>
          <w:tcPr>
            <w:tcW w:w="4997" w:type="dxa"/>
            <w:tcBorders>
              <w:left w:val="single" w:sz="12" w:space="0" w:color="000000"/>
            </w:tcBorders>
          </w:tcPr>
          <w:p>
            <w:pPr>
              <w:pStyle w:val="TableParagraph"/>
              <w:spacing w:line="228" w:lineRule="exact" w:before="38"/>
              <w:ind w:left="107"/>
              <w:rPr>
                <w:sz w:val="20"/>
              </w:rPr>
            </w:pPr>
            <w:r>
              <w:rPr>
                <w:spacing w:val="-5"/>
                <w:sz w:val="20"/>
              </w:rPr>
              <w:t>Men</w:t>
            </w:r>
          </w:p>
        </w:tc>
        <w:tc>
          <w:tcPr>
            <w:tcW w:w="1248" w:type="dxa"/>
          </w:tcPr>
          <w:p>
            <w:pPr>
              <w:pStyle w:val="TableParagraph"/>
              <w:spacing w:before="10"/>
              <w:ind w:right="163"/>
              <w:jc w:val="right"/>
              <w:rPr>
                <w:sz w:val="20"/>
              </w:rPr>
            </w:pPr>
            <w:r>
              <w:rPr>
                <w:spacing w:val="-5"/>
                <w:sz w:val="20"/>
              </w:rPr>
              <w:t>6.0</w:t>
            </w:r>
          </w:p>
        </w:tc>
        <w:tc>
          <w:tcPr>
            <w:tcW w:w="1314" w:type="dxa"/>
          </w:tcPr>
          <w:p>
            <w:pPr>
              <w:pStyle w:val="TableParagraph"/>
              <w:spacing w:before="10"/>
              <w:ind w:right="249"/>
              <w:jc w:val="right"/>
              <w:rPr>
                <w:sz w:val="20"/>
              </w:rPr>
            </w:pPr>
            <w:r>
              <w:rPr>
                <w:spacing w:val="-5"/>
                <w:sz w:val="20"/>
              </w:rPr>
              <w:t>6.0</w:t>
            </w:r>
          </w:p>
        </w:tc>
        <w:tc>
          <w:tcPr>
            <w:tcW w:w="1553" w:type="dxa"/>
          </w:tcPr>
          <w:p>
            <w:pPr>
              <w:pStyle w:val="TableParagraph"/>
              <w:spacing w:before="10"/>
              <w:ind w:right="236"/>
              <w:jc w:val="right"/>
              <w:rPr>
                <w:sz w:val="20"/>
              </w:rPr>
            </w:pPr>
            <w:r>
              <w:rPr>
                <w:spacing w:val="-5"/>
                <w:sz w:val="20"/>
              </w:rPr>
              <w:t>6.0</w:t>
            </w:r>
          </w:p>
        </w:tc>
        <w:tc>
          <w:tcPr>
            <w:tcW w:w="1367" w:type="dxa"/>
            <w:tcBorders>
              <w:right w:val="single" w:sz="12" w:space="0" w:color="000000"/>
            </w:tcBorders>
          </w:tcPr>
          <w:p>
            <w:pPr>
              <w:pStyle w:val="TableParagraph"/>
              <w:spacing w:before="10"/>
              <w:ind w:right="77"/>
              <w:jc w:val="right"/>
              <w:rPr>
                <w:sz w:val="20"/>
              </w:rPr>
            </w:pPr>
            <w:r>
              <w:rPr>
                <w:spacing w:val="-5"/>
                <w:sz w:val="20"/>
              </w:rPr>
              <w:t>6.0</w:t>
            </w:r>
          </w:p>
        </w:tc>
      </w:tr>
      <w:tr>
        <w:trPr>
          <w:trHeight w:val="285" w:hRule="atLeast"/>
        </w:trPr>
        <w:tc>
          <w:tcPr>
            <w:tcW w:w="4997" w:type="dxa"/>
            <w:tcBorders>
              <w:left w:val="single" w:sz="12" w:space="0" w:color="000000"/>
            </w:tcBorders>
          </w:tcPr>
          <w:p>
            <w:pPr>
              <w:pStyle w:val="TableParagraph"/>
              <w:spacing w:line="228" w:lineRule="exact" w:before="37"/>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48" w:type="dxa"/>
          </w:tcPr>
          <w:p>
            <w:pPr>
              <w:pStyle w:val="TableParagraph"/>
              <w:spacing w:before="11"/>
              <w:ind w:right="165"/>
              <w:jc w:val="right"/>
              <w:rPr>
                <w:sz w:val="20"/>
              </w:rPr>
            </w:pPr>
            <w:r>
              <w:rPr>
                <w:w w:val="99"/>
                <w:sz w:val="20"/>
              </w:rPr>
              <w:t>-</w:t>
            </w:r>
          </w:p>
        </w:tc>
        <w:tc>
          <w:tcPr>
            <w:tcW w:w="1314" w:type="dxa"/>
          </w:tcPr>
          <w:p>
            <w:pPr>
              <w:pStyle w:val="TableParagraph"/>
              <w:spacing w:before="11"/>
              <w:ind w:right="249"/>
              <w:jc w:val="right"/>
              <w:rPr>
                <w:sz w:val="20"/>
              </w:rPr>
            </w:pPr>
            <w:r>
              <w:rPr>
                <w:w w:val="99"/>
                <w:sz w:val="20"/>
              </w:rPr>
              <w:t>-</w:t>
            </w:r>
          </w:p>
        </w:tc>
        <w:tc>
          <w:tcPr>
            <w:tcW w:w="1553" w:type="dxa"/>
          </w:tcPr>
          <w:p>
            <w:pPr>
              <w:pStyle w:val="TableParagraph"/>
              <w:spacing w:before="11"/>
              <w:ind w:right="235"/>
              <w:jc w:val="right"/>
              <w:rPr>
                <w:sz w:val="20"/>
              </w:rPr>
            </w:pPr>
            <w:r>
              <w:rPr>
                <w:w w:val="99"/>
                <w:sz w:val="20"/>
              </w:rPr>
              <w:t>-</w:t>
            </w:r>
          </w:p>
        </w:tc>
        <w:tc>
          <w:tcPr>
            <w:tcW w:w="1367" w:type="dxa"/>
            <w:tcBorders>
              <w:right w:val="single" w:sz="12" w:space="0" w:color="000000"/>
            </w:tcBorders>
          </w:tcPr>
          <w:p>
            <w:pPr>
              <w:pStyle w:val="TableParagraph"/>
              <w:spacing w:before="11"/>
              <w:ind w:right="78"/>
              <w:jc w:val="right"/>
              <w:rPr>
                <w:sz w:val="20"/>
              </w:rPr>
            </w:pPr>
            <w:r>
              <w:rPr>
                <w:w w:val="99"/>
                <w:sz w:val="20"/>
              </w:rPr>
              <w:t>-</w:t>
            </w:r>
          </w:p>
        </w:tc>
      </w:tr>
      <w:tr>
        <w:trPr>
          <w:trHeight w:val="268" w:hRule="atLeast"/>
        </w:trPr>
        <w:tc>
          <w:tcPr>
            <w:tcW w:w="4997" w:type="dxa"/>
            <w:tcBorders>
              <w:left w:val="single" w:sz="12" w:space="0" w:color="000000"/>
            </w:tcBorders>
          </w:tcPr>
          <w:p>
            <w:pPr>
              <w:pStyle w:val="TableParagraph"/>
              <w:spacing w:line="211" w:lineRule="exact" w:before="37"/>
              <w:ind w:left="107"/>
              <w:rPr>
                <w:sz w:val="20"/>
              </w:rPr>
            </w:pPr>
            <w:r>
              <w:rPr>
                <w:sz w:val="20"/>
              </w:rPr>
              <w:t>Vacant</w:t>
            </w:r>
            <w:r>
              <w:rPr>
                <w:spacing w:val="-7"/>
                <w:sz w:val="20"/>
              </w:rPr>
              <w:t> </w:t>
            </w:r>
            <w:r>
              <w:rPr>
                <w:spacing w:val="-2"/>
                <w:sz w:val="20"/>
              </w:rPr>
              <w:t>Position</w:t>
            </w:r>
          </w:p>
        </w:tc>
        <w:tc>
          <w:tcPr>
            <w:tcW w:w="1248" w:type="dxa"/>
            <w:tcBorders>
              <w:bottom w:val="single" w:sz="4" w:space="0" w:color="000000"/>
            </w:tcBorders>
          </w:tcPr>
          <w:p>
            <w:pPr>
              <w:pStyle w:val="TableParagraph"/>
              <w:spacing w:before="11"/>
              <w:ind w:right="165"/>
              <w:jc w:val="right"/>
              <w:rPr>
                <w:sz w:val="20"/>
              </w:rPr>
            </w:pPr>
            <w:r>
              <w:rPr>
                <w:w w:val="99"/>
                <w:sz w:val="20"/>
              </w:rPr>
              <w:t>-</w:t>
            </w:r>
          </w:p>
        </w:tc>
        <w:tc>
          <w:tcPr>
            <w:tcW w:w="1314" w:type="dxa"/>
            <w:tcBorders>
              <w:bottom w:val="single" w:sz="4" w:space="0" w:color="000000"/>
            </w:tcBorders>
          </w:tcPr>
          <w:p>
            <w:pPr>
              <w:pStyle w:val="TableParagraph"/>
              <w:spacing w:before="11"/>
              <w:ind w:right="249"/>
              <w:jc w:val="right"/>
              <w:rPr>
                <w:sz w:val="20"/>
              </w:rPr>
            </w:pPr>
            <w:r>
              <w:rPr>
                <w:w w:val="99"/>
                <w:sz w:val="20"/>
              </w:rPr>
              <w:t>-</w:t>
            </w:r>
          </w:p>
        </w:tc>
        <w:tc>
          <w:tcPr>
            <w:tcW w:w="1553" w:type="dxa"/>
            <w:tcBorders>
              <w:bottom w:val="single" w:sz="4" w:space="0" w:color="000000"/>
            </w:tcBorders>
          </w:tcPr>
          <w:p>
            <w:pPr>
              <w:pStyle w:val="TableParagraph"/>
              <w:spacing w:before="11"/>
              <w:ind w:right="235"/>
              <w:jc w:val="right"/>
              <w:rPr>
                <w:sz w:val="20"/>
              </w:rPr>
            </w:pPr>
            <w:r>
              <w:rPr>
                <w:w w:val="99"/>
                <w:sz w:val="20"/>
              </w:rPr>
              <w:t>-</w:t>
            </w:r>
          </w:p>
        </w:tc>
        <w:tc>
          <w:tcPr>
            <w:tcW w:w="1367" w:type="dxa"/>
            <w:tcBorders>
              <w:bottom w:val="single" w:sz="4" w:space="0" w:color="000000"/>
              <w:right w:val="single" w:sz="12" w:space="0" w:color="000000"/>
            </w:tcBorders>
          </w:tcPr>
          <w:p>
            <w:pPr>
              <w:pStyle w:val="TableParagraph"/>
              <w:spacing w:before="11"/>
              <w:ind w:right="78"/>
              <w:jc w:val="right"/>
              <w:rPr>
                <w:sz w:val="20"/>
              </w:rPr>
            </w:pPr>
            <w:r>
              <w:rPr>
                <w:w w:val="99"/>
                <w:sz w:val="20"/>
              </w:rPr>
              <w:t>-</w:t>
            </w:r>
          </w:p>
        </w:tc>
      </w:tr>
      <w:tr>
        <w:trPr>
          <w:trHeight w:val="287" w:hRule="atLeast"/>
        </w:trPr>
        <w:tc>
          <w:tcPr>
            <w:tcW w:w="4997" w:type="dxa"/>
            <w:tcBorders>
              <w:left w:val="single" w:sz="12" w:space="0" w:color="000000"/>
              <w:bottom w:val="single" w:sz="12" w:space="0" w:color="000000"/>
            </w:tcBorders>
          </w:tcPr>
          <w:p>
            <w:pPr>
              <w:pStyle w:val="TableParagraph"/>
              <w:spacing w:line="210" w:lineRule="exact" w:before="57"/>
              <w:ind w:left="107"/>
              <w:rPr>
                <w:b/>
                <w:sz w:val="20"/>
              </w:rPr>
            </w:pPr>
            <w:r>
              <w:rPr>
                <w:b/>
                <w:sz w:val="20"/>
              </w:rPr>
              <w:t>Total</w:t>
            </w:r>
            <w:r>
              <w:rPr>
                <w:b/>
                <w:spacing w:val="-8"/>
                <w:sz w:val="20"/>
              </w:rPr>
              <w:t> </w:t>
            </w:r>
            <w:r>
              <w:rPr>
                <w:b/>
                <w:sz w:val="20"/>
              </w:rPr>
              <w:t>People</w:t>
            </w:r>
            <w:r>
              <w:rPr>
                <w:b/>
                <w:spacing w:val="-4"/>
                <w:sz w:val="20"/>
              </w:rPr>
              <w:t> </w:t>
            </w:r>
            <w:r>
              <w:rPr>
                <w:b/>
                <w:sz w:val="20"/>
              </w:rPr>
              <w:t>and</w:t>
            </w:r>
            <w:r>
              <w:rPr>
                <w:b/>
                <w:spacing w:val="-4"/>
                <w:sz w:val="20"/>
              </w:rPr>
              <w:t> </w:t>
            </w:r>
            <w:r>
              <w:rPr>
                <w:b/>
                <w:spacing w:val="-2"/>
                <w:sz w:val="20"/>
              </w:rPr>
              <w:t>Places</w:t>
            </w:r>
          </w:p>
        </w:tc>
        <w:tc>
          <w:tcPr>
            <w:tcW w:w="1248" w:type="dxa"/>
            <w:tcBorders>
              <w:top w:val="single" w:sz="4" w:space="0" w:color="000000"/>
              <w:bottom w:val="single" w:sz="12" w:space="0" w:color="000000"/>
            </w:tcBorders>
          </w:tcPr>
          <w:p>
            <w:pPr>
              <w:pStyle w:val="TableParagraph"/>
              <w:spacing w:before="28"/>
              <w:ind w:right="164"/>
              <w:jc w:val="right"/>
              <w:rPr>
                <w:b/>
                <w:sz w:val="20"/>
              </w:rPr>
            </w:pPr>
            <w:r>
              <w:rPr>
                <w:b/>
                <w:spacing w:val="-2"/>
                <w:sz w:val="20"/>
              </w:rPr>
              <w:t>118.4</w:t>
            </w:r>
          </w:p>
        </w:tc>
        <w:tc>
          <w:tcPr>
            <w:tcW w:w="1314" w:type="dxa"/>
            <w:tcBorders>
              <w:top w:val="single" w:sz="4" w:space="0" w:color="000000"/>
              <w:bottom w:val="single" w:sz="12" w:space="0" w:color="000000"/>
            </w:tcBorders>
          </w:tcPr>
          <w:p>
            <w:pPr>
              <w:pStyle w:val="TableParagraph"/>
              <w:spacing w:before="28"/>
              <w:ind w:right="248"/>
              <w:jc w:val="right"/>
              <w:rPr>
                <w:b/>
                <w:sz w:val="20"/>
              </w:rPr>
            </w:pPr>
            <w:r>
              <w:rPr>
                <w:b/>
                <w:spacing w:val="-4"/>
                <w:sz w:val="20"/>
              </w:rPr>
              <w:t>118.4</w:t>
            </w:r>
          </w:p>
        </w:tc>
        <w:tc>
          <w:tcPr>
            <w:tcW w:w="1553" w:type="dxa"/>
            <w:tcBorders>
              <w:top w:val="single" w:sz="4" w:space="0" w:color="000000"/>
              <w:bottom w:val="single" w:sz="12" w:space="0" w:color="000000"/>
            </w:tcBorders>
          </w:tcPr>
          <w:p>
            <w:pPr>
              <w:pStyle w:val="TableParagraph"/>
              <w:spacing w:before="28"/>
              <w:ind w:right="234"/>
              <w:jc w:val="right"/>
              <w:rPr>
                <w:b/>
                <w:sz w:val="20"/>
              </w:rPr>
            </w:pPr>
            <w:r>
              <w:rPr>
                <w:b/>
                <w:spacing w:val="-2"/>
                <w:sz w:val="20"/>
              </w:rPr>
              <w:t>118.4</w:t>
            </w:r>
          </w:p>
        </w:tc>
        <w:tc>
          <w:tcPr>
            <w:tcW w:w="1367" w:type="dxa"/>
            <w:tcBorders>
              <w:top w:val="single" w:sz="4" w:space="0" w:color="000000"/>
              <w:bottom w:val="single" w:sz="12" w:space="0" w:color="000000"/>
              <w:right w:val="single" w:sz="12" w:space="0" w:color="000000"/>
            </w:tcBorders>
          </w:tcPr>
          <w:p>
            <w:pPr>
              <w:pStyle w:val="TableParagraph"/>
              <w:spacing w:before="28"/>
              <w:ind w:right="77"/>
              <w:jc w:val="right"/>
              <w:rPr>
                <w:b/>
                <w:sz w:val="20"/>
              </w:rPr>
            </w:pPr>
            <w:r>
              <w:rPr>
                <w:b/>
                <w:spacing w:val="-2"/>
                <w:sz w:val="20"/>
              </w:rPr>
              <w:t>118.4</w:t>
            </w:r>
          </w:p>
        </w:tc>
      </w:tr>
    </w:tbl>
    <w:p>
      <w:pPr>
        <w:spacing w:after="0"/>
        <w:jc w:val="right"/>
        <w:rPr>
          <w:sz w:val="20"/>
        </w:rPr>
        <w:sectPr>
          <w:type w:val="continuous"/>
          <w:pgSz w:w="11910" w:h="16840"/>
          <w:pgMar w:header="0" w:footer="375" w:top="540" w:bottom="560" w:left="460" w:right="160"/>
        </w:sectPr>
      </w:pPr>
    </w:p>
    <w:tbl>
      <w:tblPr>
        <w:tblW w:w="0" w:type="auto"/>
        <w:jc w:val="left"/>
        <w:tblInd w:w="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16"/>
        <w:gridCol w:w="1256"/>
        <w:gridCol w:w="1320"/>
        <w:gridCol w:w="1561"/>
        <w:gridCol w:w="1374"/>
      </w:tblGrid>
      <w:tr>
        <w:trPr>
          <w:trHeight w:val="549" w:hRule="atLeast"/>
        </w:trPr>
        <w:tc>
          <w:tcPr>
            <w:tcW w:w="5016" w:type="dxa"/>
            <w:tcBorders>
              <w:top w:val="single" w:sz="18" w:space="0" w:color="000000"/>
              <w:left w:val="single" w:sz="12" w:space="0" w:color="000000"/>
            </w:tcBorders>
            <w:shd w:val="clear" w:color="auto" w:fill="629CD1"/>
          </w:tcPr>
          <w:p>
            <w:pPr>
              <w:pStyle w:val="TableParagraph"/>
              <w:spacing w:before="40"/>
              <w:ind w:left="1657"/>
              <w:rPr>
                <w:b/>
                <w:sz w:val="20"/>
              </w:rPr>
            </w:pPr>
            <w:r>
              <w:rPr>
                <w:b/>
                <w:color w:val="FFFFFF"/>
                <w:spacing w:val="-2"/>
                <w:sz w:val="20"/>
              </w:rPr>
              <w:t>Directorate</w:t>
            </w:r>
          </w:p>
        </w:tc>
        <w:tc>
          <w:tcPr>
            <w:tcW w:w="1256" w:type="dxa"/>
            <w:tcBorders>
              <w:top w:val="single" w:sz="18" w:space="0" w:color="000000"/>
            </w:tcBorders>
            <w:shd w:val="clear" w:color="auto" w:fill="629CD1"/>
          </w:tcPr>
          <w:p>
            <w:pPr>
              <w:pStyle w:val="TableParagraph"/>
              <w:spacing w:before="14"/>
              <w:ind w:left="229" w:right="278"/>
              <w:jc w:val="center"/>
              <w:rPr>
                <w:b/>
                <w:sz w:val="20"/>
              </w:rPr>
            </w:pPr>
            <w:r>
              <w:rPr>
                <w:b/>
                <w:color w:val="FFFFFF"/>
                <w:spacing w:val="-2"/>
                <w:sz w:val="20"/>
              </w:rPr>
              <w:t>2025/26</w:t>
            </w:r>
          </w:p>
          <w:p>
            <w:pPr>
              <w:pStyle w:val="TableParagraph"/>
              <w:spacing w:line="211" w:lineRule="exact" w:before="75"/>
              <w:ind w:left="229" w:right="274"/>
              <w:jc w:val="center"/>
              <w:rPr>
                <w:b/>
                <w:sz w:val="20"/>
              </w:rPr>
            </w:pPr>
            <w:r>
              <w:rPr>
                <w:b/>
                <w:color w:val="FFFFFF"/>
                <w:spacing w:val="-5"/>
                <w:sz w:val="20"/>
              </w:rPr>
              <w:t>FTE</w:t>
            </w:r>
          </w:p>
        </w:tc>
        <w:tc>
          <w:tcPr>
            <w:tcW w:w="1320" w:type="dxa"/>
            <w:tcBorders>
              <w:top w:val="single" w:sz="18" w:space="0" w:color="000000"/>
            </w:tcBorders>
            <w:shd w:val="clear" w:color="auto" w:fill="629CD1"/>
          </w:tcPr>
          <w:p>
            <w:pPr>
              <w:pStyle w:val="TableParagraph"/>
              <w:spacing w:before="14"/>
              <w:ind w:left="183" w:right="388"/>
              <w:jc w:val="center"/>
              <w:rPr>
                <w:b/>
                <w:sz w:val="20"/>
              </w:rPr>
            </w:pPr>
            <w:r>
              <w:rPr>
                <w:b/>
                <w:color w:val="FFFFFF"/>
                <w:spacing w:val="-2"/>
                <w:sz w:val="20"/>
              </w:rPr>
              <w:t>2026/27</w:t>
            </w:r>
          </w:p>
          <w:p>
            <w:pPr>
              <w:pStyle w:val="TableParagraph"/>
              <w:spacing w:line="211" w:lineRule="exact" w:before="75"/>
              <w:ind w:left="183" w:right="385"/>
              <w:jc w:val="center"/>
              <w:rPr>
                <w:b/>
                <w:sz w:val="20"/>
              </w:rPr>
            </w:pPr>
            <w:r>
              <w:rPr>
                <w:b/>
                <w:color w:val="FFFFFF"/>
                <w:spacing w:val="-5"/>
                <w:sz w:val="20"/>
              </w:rPr>
              <w:t>FTE</w:t>
            </w:r>
          </w:p>
        </w:tc>
        <w:tc>
          <w:tcPr>
            <w:tcW w:w="1561" w:type="dxa"/>
            <w:tcBorders>
              <w:top w:val="single" w:sz="18" w:space="0" w:color="000000"/>
            </w:tcBorders>
            <w:shd w:val="clear" w:color="auto" w:fill="629CD1"/>
          </w:tcPr>
          <w:p>
            <w:pPr>
              <w:pStyle w:val="TableParagraph"/>
              <w:spacing w:before="14"/>
              <w:ind w:left="248" w:right="526"/>
              <w:jc w:val="center"/>
              <w:rPr>
                <w:b/>
                <w:sz w:val="20"/>
              </w:rPr>
            </w:pPr>
            <w:r>
              <w:rPr>
                <w:b/>
                <w:color w:val="FFFFFF"/>
                <w:spacing w:val="-2"/>
                <w:sz w:val="20"/>
              </w:rPr>
              <w:t>2027/28</w:t>
            </w:r>
          </w:p>
          <w:p>
            <w:pPr>
              <w:pStyle w:val="TableParagraph"/>
              <w:spacing w:line="211" w:lineRule="exact" w:before="75"/>
              <w:ind w:left="251" w:right="526"/>
              <w:jc w:val="center"/>
              <w:rPr>
                <w:b/>
                <w:sz w:val="20"/>
              </w:rPr>
            </w:pPr>
            <w:r>
              <w:rPr>
                <w:b/>
                <w:color w:val="FFFFFF"/>
                <w:spacing w:val="-5"/>
                <w:sz w:val="20"/>
              </w:rPr>
              <w:t>FTE</w:t>
            </w:r>
          </w:p>
        </w:tc>
        <w:tc>
          <w:tcPr>
            <w:tcW w:w="1374" w:type="dxa"/>
            <w:tcBorders>
              <w:top w:val="single" w:sz="18" w:space="0" w:color="000000"/>
              <w:right w:val="single" w:sz="12" w:space="0" w:color="000000"/>
            </w:tcBorders>
            <w:shd w:val="clear" w:color="auto" w:fill="629CD1"/>
          </w:tcPr>
          <w:p>
            <w:pPr>
              <w:pStyle w:val="TableParagraph"/>
              <w:spacing w:before="14"/>
              <w:ind w:left="246" w:right="363"/>
              <w:jc w:val="center"/>
              <w:rPr>
                <w:b/>
                <w:sz w:val="20"/>
              </w:rPr>
            </w:pPr>
            <w:r>
              <w:rPr>
                <w:b/>
                <w:color w:val="FFFFFF"/>
                <w:spacing w:val="-2"/>
                <w:sz w:val="20"/>
              </w:rPr>
              <w:t>2028/29</w:t>
            </w:r>
          </w:p>
          <w:p>
            <w:pPr>
              <w:pStyle w:val="TableParagraph"/>
              <w:spacing w:line="211" w:lineRule="exact" w:before="75"/>
              <w:ind w:left="246" w:right="360"/>
              <w:jc w:val="center"/>
              <w:rPr>
                <w:b/>
                <w:sz w:val="20"/>
              </w:rPr>
            </w:pPr>
            <w:r>
              <w:rPr>
                <w:b/>
                <w:color w:val="FFFFFF"/>
                <w:spacing w:val="-5"/>
                <w:sz w:val="20"/>
              </w:rPr>
              <w:t>FTE</w:t>
            </w:r>
          </w:p>
        </w:tc>
      </w:tr>
      <w:tr>
        <w:trPr>
          <w:trHeight w:val="295" w:hRule="atLeast"/>
        </w:trPr>
        <w:tc>
          <w:tcPr>
            <w:tcW w:w="5016" w:type="dxa"/>
            <w:tcBorders>
              <w:left w:val="single" w:sz="12" w:space="0" w:color="000000"/>
            </w:tcBorders>
          </w:tcPr>
          <w:p>
            <w:pPr>
              <w:pStyle w:val="TableParagraph"/>
              <w:spacing w:line="226" w:lineRule="exact" w:before="50"/>
              <w:ind w:left="107"/>
              <w:rPr>
                <w:b/>
                <w:sz w:val="20"/>
              </w:rPr>
            </w:pPr>
            <w:r>
              <w:rPr>
                <w:b/>
                <w:sz w:val="20"/>
              </w:rPr>
              <w:t>Assets</w:t>
            </w:r>
            <w:r>
              <w:rPr>
                <w:b/>
                <w:spacing w:val="-7"/>
                <w:sz w:val="20"/>
              </w:rPr>
              <w:t> </w:t>
            </w:r>
            <w:r>
              <w:rPr>
                <w:b/>
                <w:sz w:val="20"/>
              </w:rPr>
              <w:t>&amp;</w:t>
            </w:r>
            <w:r>
              <w:rPr>
                <w:b/>
                <w:spacing w:val="-5"/>
                <w:sz w:val="20"/>
              </w:rPr>
              <w:t> </w:t>
            </w:r>
            <w:r>
              <w:rPr>
                <w:b/>
                <w:spacing w:val="-2"/>
                <w:sz w:val="20"/>
              </w:rPr>
              <w:t>Leisure</w:t>
            </w:r>
          </w:p>
        </w:tc>
        <w:tc>
          <w:tcPr>
            <w:tcW w:w="1256" w:type="dxa"/>
          </w:tcPr>
          <w:p>
            <w:pPr>
              <w:pStyle w:val="TableParagraph"/>
              <w:rPr>
                <w:rFonts w:ascii="Times New Roman"/>
                <w:sz w:val="18"/>
              </w:rPr>
            </w:pPr>
          </w:p>
        </w:tc>
        <w:tc>
          <w:tcPr>
            <w:tcW w:w="1320" w:type="dxa"/>
          </w:tcPr>
          <w:p>
            <w:pPr>
              <w:pStyle w:val="TableParagraph"/>
              <w:rPr>
                <w:rFonts w:ascii="Times New Roman"/>
                <w:sz w:val="18"/>
              </w:rPr>
            </w:pPr>
          </w:p>
        </w:tc>
        <w:tc>
          <w:tcPr>
            <w:tcW w:w="1561" w:type="dxa"/>
          </w:tcPr>
          <w:p>
            <w:pPr>
              <w:pStyle w:val="TableParagraph"/>
              <w:rPr>
                <w:rFonts w:ascii="Times New Roman"/>
                <w:sz w:val="18"/>
              </w:rPr>
            </w:pPr>
          </w:p>
        </w:tc>
        <w:tc>
          <w:tcPr>
            <w:tcW w:w="1374" w:type="dxa"/>
            <w:tcBorders>
              <w:right w:val="single" w:sz="12" w:space="0" w:color="000000"/>
            </w:tcBorders>
          </w:tcPr>
          <w:p>
            <w:pPr>
              <w:pStyle w:val="TableParagraph"/>
              <w:rPr>
                <w:rFonts w:ascii="Times New Roman"/>
                <w:sz w:val="18"/>
              </w:rPr>
            </w:pPr>
          </w:p>
        </w:tc>
      </w:tr>
      <w:tr>
        <w:trPr>
          <w:trHeight w:val="280" w:hRule="atLeast"/>
        </w:trPr>
        <w:tc>
          <w:tcPr>
            <w:tcW w:w="5016" w:type="dxa"/>
            <w:tcBorders>
              <w:left w:val="single" w:sz="12" w:space="0" w:color="000000"/>
            </w:tcBorders>
          </w:tcPr>
          <w:p>
            <w:pPr>
              <w:pStyle w:val="TableParagraph"/>
              <w:spacing w:line="226" w:lineRule="exact" w:before="35"/>
              <w:ind w:left="107"/>
              <w:rPr>
                <w:b/>
                <w:sz w:val="20"/>
              </w:rPr>
            </w:pPr>
            <w:r>
              <w:rPr>
                <w:b/>
                <w:sz w:val="20"/>
              </w:rPr>
              <w:t>Permanent</w:t>
            </w:r>
            <w:r>
              <w:rPr>
                <w:b/>
                <w:spacing w:val="-9"/>
                <w:sz w:val="20"/>
              </w:rPr>
              <w:t> </w:t>
            </w:r>
            <w:r>
              <w:rPr>
                <w:b/>
                <w:sz w:val="20"/>
              </w:rPr>
              <w:t>full</w:t>
            </w:r>
            <w:r>
              <w:rPr>
                <w:b/>
                <w:spacing w:val="-8"/>
                <w:sz w:val="20"/>
              </w:rPr>
              <w:t> </w:t>
            </w:r>
            <w:r>
              <w:rPr>
                <w:b/>
                <w:spacing w:val="-4"/>
                <w:sz w:val="20"/>
              </w:rPr>
              <w:t>time</w:t>
            </w:r>
          </w:p>
        </w:tc>
        <w:tc>
          <w:tcPr>
            <w:tcW w:w="1256" w:type="dxa"/>
          </w:tcPr>
          <w:p>
            <w:pPr>
              <w:pStyle w:val="TableParagraph"/>
              <w:spacing w:before="8"/>
              <w:ind w:right="167"/>
              <w:jc w:val="right"/>
              <w:rPr>
                <w:b/>
                <w:sz w:val="20"/>
              </w:rPr>
            </w:pPr>
            <w:r>
              <w:rPr>
                <w:b/>
                <w:spacing w:val="-2"/>
                <w:sz w:val="20"/>
              </w:rPr>
              <w:t>128.4</w:t>
            </w:r>
          </w:p>
        </w:tc>
        <w:tc>
          <w:tcPr>
            <w:tcW w:w="1320" w:type="dxa"/>
          </w:tcPr>
          <w:p>
            <w:pPr>
              <w:pStyle w:val="TableParagraph"/>
              <w:spacing w:before="8"/>
              <w:ind w:right="250"/>
              <w:jc w:val="right"/>
              <w:rPr>
                <w:b/>
                <w:sz w:val="20"/>
              </w:rPr>
            </w:pPr>
            <w:r>
              <w:rPr>
                <w:b/>
                <w:spacing w:val="-4"/>
                <w:sz w:val="20"/>
              </w:rPr>
              <w:t>128.4</w:t>
            </w:r>
          </w:p>
        </w:tc>
        <w:tc>
          <w:tcPr>
            <w:tcW w:w="1561" w:type="dxa"/>
          </w:tcPr>
          <w:p>
            <w:pPr>
              <w:pStyle w:val="TableParagraph"/>
              <w:spacing w:before="8"/>
              <w:ind w:right="237"/>
              <w:jc w:val="right"/>
              <w:rPr>
                <w:b/>
                <w:sz w:val="20"/>
              </w:rPr>
            </w:pPr>
            <w:r>
              <w:rPr>
                <w:b/>
                <w:spacing w:val="-2"/>
                <w:sz w:val="20"/>
              </w:rPr>
              <w:t>128.4</w:t>
            </w:r>
          </w:p>
        </w:tc>
        <w:tc>
          <w:tcPr>
            <w:tcW w:w="1374" w:type="dxa"/>
            <w:tcBorders>
              <w:right w:val="single" w:sz="12" w:space="0" w:color="000000"/>
            </w:tcBorders>
          </w:tcPr>
          <w:p>
            <w:pPr>
              <w:pStyle w:val="TableParagraph"/>
              <w:spacing w:before="8"/>
              <w:ind w:right="77"/>
              <w:jc w:val="right"/>
              <w:rPr>
                <w:b/>
                <w:sz w:val="20"/>
              </w:rPr>
            </w:pPr>
            <w:r>
              <w:rPr>
                <w:b/>
                <w:spacing w:val="-2"/>
                <w:sz w:val="20"/>
              </w:rPr>
              <w:t>128.4</w:t>
            </w:r>
          </w:p>
        </w:tc>
      </w:tr>
      <w:tr>
        <w:trPr>
          <w:trHeight w:val="279" w:hRule="atLeast"/>
        </w:trPr>
        <w:tc>
          <w:tcPr>
            <w:tcW w:w="5016" w:type="dxa"/>
            <w:tcBorders>
              <w:left w:val="single" w:sz="12" w:space="0" w:color="000000"/>
            </w:tcBorders>
          </w:tcPr>
          <w:p>
            <w:pPr>
              <w:pStyle w:val="TableParagraph"/>
              <w:spacing w:line="227" w:lineRule="exact" w:before="32"/>
              <w:ind w:left="107"/>
              <w:rPr>
                <w:sz w:val="20"/>
              </w:rPr>
            </w:pPr>
            <w:r>
              <w:rPr>
                <w:spacing w:val="-2"/>
                <w:sz w:val="20"/>
              </w:rPr>
              <w:t>Women</w:t>
            </w:r>
          </w:p>
        </w:tc>
        <w:tc>
          <w:tcPr>
            <w:tcW w:w="1256" w:type="dxa"/>
          </w:tcPr>
          <w:p>
            <w:pPr>
              <w:pStyle w:val="TableParagraph"/>
              <w:spacing w:before="8"/>
              <w:ind w:right="166"/>
              <w:jc w:val="right"/>
              <w:rPr>
                <w:sz w:val="20"/>
              </w:rPr>
            </w:pPr>
            <w:r>
              <w:rPr>
                <w:spacing w:val="-4"/>
                <w:sz w:val="20"/>
              </w:rPr>
              <w:t>22.1</w:t>
            </w:r>
          </w:p>
        </w:tc>
        <w:tc>
          <w:tcPr>
            <w:tcW w:w="1320" w:type="dxa"/>
          </w:tcPr>
          <w:p>
            <w:pPr>
              <w:pStyle w:val="TableParagraph"/>
              <w:spacing w:before="8"/>
              <w:ind w:right="250"/>
              <w:jc w:val="right"/>
              <w:rPr>
                <w:sz w:val="20"/>
              </w:rPr>
            </w:pPr>
            <w:r>
              <w:rPr>
                <w:spacing w:val="-4"/>
                <w:sz w:val="20"/>
              </w:rPr>
              <w:t>22.1</w:t>
            </w:r>
          </w:p>
        </w:tc>
        <w:tc>
          <w:tcPr>
            <w:tcW w:w="1561" w:type="dxa"/>
          </w:tcPr>
          <w:p>
            <w:pPr>
              <w:pStyle w:val="TableParagraph"/>
              <w:spacing w:before="8"/>
              <w:ind w:right="236"/>
              <w:jc w:val="right"/>
              <w:rPr>
                <w:sz w:val="20"/>
              </w:rPr>
            </w:pPr>
            <w:r>
              <w:rPr>
                <w:spacing w:val="-4"/>
                <w:sz w:val="20"/>
              </w:rPr>
              <w:t>22.1</w:t>
            </w:r>
          </w:p>
        </w:tc>
        <w:tc>
          <w:tcPr>
            <w:tcW w:w="1374" w:type="dxa"/>
            <w:tcBorders>
              <w:right w:val="single" w:sz="12" w:space="0" w:color="000000"/>
            </w:tcBorders>
          </w:tcPr>
          <w:p>
            <w:pPr>
              <w:pStyle w:val="TableParagraph"/>
              <w:spacing w:before="8"/>
              <w:ind w:right="76"/>
              <w:jc w:val="right"/>
              <w:rPr>
                <w:sz w:val="20"/>
              </w:rPr>
            </w:pPr>
            <w:r>
              <w:rPr>
                <w:spacing w:val="-4"/>
                <w:sz w:val="20"/>
              </w:rPr>
              <w:t>22.1</w:t>
            </w:r>
          </w:p>
        </w:tc>
      </w:tr>
      <w:tr>
        <w:trPr>
          <w:trHeight w:val="279" w:hRule="atLeast"/>
        </w:trPr>
        <w:tc>
          <w:tcPr>
            <w:tcW w:w="5016" w:type="dxa"/>
            <w:tcBorders>
              <w:left w:val="single" w:sz="12" w:space="0" w:color="000000"/>
            </w:tcBorders>
          </w:tcPr>
          <w:p>
            <w:pPr>
              <w:pStyle w:val="TableParagraph"/>
              <w:spacing w:line="226" w:lineRule="exact" w:before="34"/>
              <w:ind w:left="107"/>
              <w:rPr>
                <w:sz w:val="20"/>
              </w:rPr>
            </w:pPr>
            <w:r>
              <w:rPr>
                <w:spacing w:val="-5"/>
                <w:sz w:val="20"/>
              </w:rPr>
              <w:t>Men</w:t>
            </w:r>
          </w:p>
        </w:tc>
        <w:tc>
          <w:tcPr>
            <w:tcW w:w="1256" w:type="dxa"/>
          </w:tcPr>
          <w:p>
            <w:pPr>
              <w:pStyle w:val="TableParagraph"/>
              <w:spacing w:before="10"/>
              <w:ind w:right="167"/>
              <w:jc w:val="right"/>
              <w:rPr>
                <w:sz w:val="20"/>
              </w:rPr>
            </w:pPr>
            <w:r>
              <w:rPr>
                <w:spacing w:val="-2"/>
                <w:sz w:val="20"/>
              </w:rPr>
              <w:t>104.0</w:t>
            </w:r>
          </w:p>
        </w:tc>
        <w:tc>
          <w:tcPr>
            <w:tcW w:w="1320" w:type="dxa"/>
          </w:tcPr>
          <w:p>
            <w:pPr>
              <w:pStyle w:val="TableParagraph"/>
              <w:spacing w:before="10"/>
              <w:ind w:right="250"/>
              <w:jc w:val="right"/>
              <w:rPr>
                <w:sz w:val="20"/>
              </w:rPr>
            </w:pPr>
            <w:r>
              <w:rPr>
                <w:spacing w:val="-4"/>
                <w:sz w:val="20"/>
              </w:rPr>
              <w:t>104.0</w:t>
            </w:r>
          </w:p>
        </w:tc>
        <w:tc>
          <w:tcPr>
            <w:tcW w:w="1561" w:type="dxa"/>
          </w:tcPr>
          <w:p>
            <w:pPr>
              <w:pStyle w:val="TableParagraph"/>
              <w:spacing w:before="10"/>
              <w:ind w:right="237"/>
              <w:jc w:val="right"/>
              <w:rPr>
                <w:sz w:val="20"/>
              </w:rPr>
            </w:pPr>
            <w:r>
              <w:rPr>
                <w:spacing w:val="-2"/>
                <w:sz w:val="20"/>
              </w:rPr>
              <w:t>104.0</w:t>
            </w:r>
          </w:p>
        </w:tc>
        <w:tc>
          <w:tcPr>
            <w:tcW w:w="1374" w:type="dxa"/>
            <w:tcBorders>
              <w:right w:val="single" w:sz="12" w:space="0" w:color="000000"/>
            </w:tcBorders>
          </w:tcPr>
          <w:p>
            <w:pPr>
              <w:pStyle w:val="TableParagraph"/>
              <w:spacing w:before="10"/>
              <w:ind w:right="77"/>
              <w:jc w:val="right"/>
              <w:rPr>
                <w:sz w:val="20"/>
              </w:rPr>
            </w:pPr>
            <w:r>
              <w:rPr>
                <w:spacing w:val="-2"/>
                <w:sz w:val="20"/>
              </w:rPr>
              <w:t>104.0</w:t>
            </w:r>
          </w:p>
        </w:tc>
      </w:tr>
      <w:tr>
        <w:trPr>
          <w:trHeight w:val="280" w:hRule="atLeast"/>
        </w:trPr>
        <w:tc>
          <w:tcPr>
            <w:tcW w:w="5016" w:type="dxa"/>
            <w:tcBorders>
              <w:left w:val="single" w:sz="12" w:space="0" w:color="000000"/>
            </w:tcBorders>
          </w:tcPr>
          <w:p>
            <w:pPr>
              <w:pStyle w:val="TableParagraph"/>
              <w:spacing w:line="226" w:lineRule="exact" w:before="35"/>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56" w:type="dxa"/>
          </w:tcPr>
          <w:p>
            <w:pPr>
              <w:pStyle w:val="TableParagraph"/>
              <w:spacing w:before="8"/>
              <w:ind w:right="168"/>
              <w:jc w:val="right"/>
              <w:rPr>
                <w:sz w:val="20"/>
              </w:rPr>
            </w:pPr>
            <w:r>
              <w:rPr>
                <w:w w:val="99"/>
                <w:sz w:val="20"/>
              </w:rPr>
              <w:t>-</w:t>
            </w:r>
          </w:p>
        </w:tc>
        <w:tc>
          <w:tcPr>
            <w:tcW w:w="1320" w:type="dxa"/>
          </w:tcPr>
          <w:p>
            <w:pPr>
              <w:pStyle w:val="TableParagraph"/>
              <w:spacing w:before="8"/>
              <w:ind w:right="251"/>
              <w:jc w:val="right"/>
              <w:rPr>
                <w:sz w:val="20"/>
              </w:rPr>
            </w:pPr>
            <w:r>
              <w:rPr>
                <w:w w:val="99"/>
                <w:sz w:val="20"/>
              </w:rPr>
              <w:t>-</w:t>
            </w:r>
          </w:p>
        </w:tc>
        <w:tc>
          <w:tcPr>
            <w:tcW w:w="1561" w:type="dxa"/>
          </w:tcPr>
          <w:p>
            <w:pPr>
              <w:pStyle w:val="TableParagraph"/>
              <w:spacing w:before="8"/>
              <w:ind w:right="238"/>
              <w:jc w:val="right"/>
              <w:rPr>
                <w:sz w:val="20"/>
              </w:rPr>
            </w:pPr>
            <w:r>
              <w:rPr>
                <w:w w:val="99"/>
                <w:sz w:val="20"/>
              </w:rPr>
              <w:t>-</w:t>
            </w:r>
          </w:p>
        </w:tc>
        <w:tc>
          <w:tcPr>
            <w:tcW w:w="1374" w:type="dxa"/>
            <w:tcBorders>
              <w:right w:val="single" w:sz="12" w:space="0" w:color="000000"/>
            </w:tcBorders>
          </w:tcPr>
          <w:p>
            <w:pPr>
              <w:pStyle w:val="TableParagraph"/>
              <w:spacing w:before="8"/>
              <w:ind w:right="78"/>
              <w:jc w:val="right"/>
              <w:rPr>
                <w:sz w:val="20"/>
              </w:rPr>
            </w:pPr>
            <w:r>
              <w:rPr>
                <w:w w:val="99"/>
                <w:sz w:val="20"/>
              </w:rPr>
              <w:t>-</w:t>
            </w:r>
          </w:p>
        </w:tc>
      </w:tr>
      <w:tr>
        <w:trPr>
          <w:trHeight w:val="279" w:hRule="atLeast"/>
        </w:trPr>
        <w:tc>
          <w:tcPr>
            <w:tcW w:w="5016" w:type="dxa"/>
            <w:tcBorders>
              <w:left w:val="single" w:sz="12" w:space="0" w:color="000000"/>
            </w:tcBorders>
          </w:tcPr>
          <w:p>
            <w:pPr>
              <w:pStyle w:val="TableParagraph"/>
              <w:spacing w:line="227" w:lineRule="exact" w:before="32"/>
              <w:ind w:left="107"/>
              <w:rPr>
                <w:sz w:val="20"/>
              </w:rPr>
            </w:pPr>
            <w:r>
              <w:rPr>
                <w:sz w:val="20"/>
              </w:rPr>
              <w:t>Vacant</w:t>
            </w:r>
            <w:r>
              <w:rPr>
                <w:spacing w:val="-7"/>
                <w:sz w:val="20"/>
              </w:rPr>
              <w:t> </w:t>
            </w:r>
            <w:r>
              <w:rPr>
                <w:spacing w:val="-2"/>
                <w:sz w:val="20"/>
              </w:rPr>
              <w:t>Position</w:t>
            </w:r>
          </w:p>
        </w:tc>
        <w:tc>
          <w:tcPr>
            <w:tcW w:w="1256" w:type="dxa"/>
          </w:tcPr>
          <w:p>
            <w:pPr>
              <w:pStyle w:val="TableParagraph"/>
              <w:spacing w:before="8"/>
              <w:ind w:right="166"/>
              <w:jc w:val="right"/>
              <w:rPr>
                <w:sz w:val="20"/>
              </w:rPr>
            </w:pPr>
            <w:r>
              <w:rPr>
                <w:spacing w:val="-5"/>
                <w:sz w:val="20"/>
              </w:rPr>
              <w:t>2.2</w:t>
            </w:r>
          </w:p>
        </w:tc>
        <w:tc>
          <w:tcPr>
            <w:tcW w:w="1320" w:type="dxa"/>
          </w:tcPr>
          <w:p>
            <w:pPr>
              <w:pStyle w:val="TableParagraph"/>
              <w:spacing w:before="8"/>
              <w:ind w:right="250"/>
              <w:jc w:val="right"/>
              <w:rPr>
                <w:sz w:val="20"/>
              </w:rPr>
            </w:pPr>
            <w:r>
              <w:rPr>
                <w:spacing w:val="-5"/>
                <w:sz w:val="20"/>
              </w:rPr>
              <w:t>2.2</w:t>
            </w:r>
          </w:p>
        </w:tc>
        <w:tc>
          <w:tcPr>
            <w:tcW w:w="1561" w:type="dxa"/>
          </w:tcPr>
          <w:p>
            <w:pPr>
              <w:pStyle w:val="TableParagraph"/>
              <w:spacing w:before="8"/>
              <w:ind w:right="239"/>
              <w:jc w:val="right"/>
              <w:rPr>
                <w:sz w:val="20"/>
              </w:rPr>
            </w:pPr>
            <w:r>
              <w:rPr>
                <w:spacing w:val="-5"/>
                <w:sz w:val="20"/>
              </w:rPr>
              <w:t>2.2</w:t>
            </w:r>
          </w:p>
        </w:tc>
        <w:tc>
          <w:tcPr>
            <w:tcW w:w="1374" w:type="dxa"/>
            <w:tcBorders>
              <w:right w:val="single" w:sz="12" w:space="0" w:color="000000"/>
            </w:tcBorders>
          </w:tcPr>
          <w:p>
            <w:pPr>
              <w:pStyle w:val="TableParagraph"/>
              <w:spacing w:before="8"/>
              <w:ind w:right="77"/>
              <w:jc w:val="right"/>
              <w:rPr>
                <w:sz w:val="20"/>
              </w:rPr>
            </w:pPr>
            <w:r>
              <w:rPr>
                <w:spacing w:val="-5"/>
                <w:sz w:val="20"/>
              </w:rPr>
              <w:t>2.2</w:t>
            </w:r>
          </w:p>
        </w:tc>
      </w:tr>
      <w:tr>
        <w:trPr>
          <w:trHeight w:val="279" w:hRule="atLeast"/>
        </w:trPr>
        <w:tc>
          <w:tcPr>
            <w:tcW w:w="5016" w:type="dxa"/>
            <w:tcBorders>
              <w:left w:val="single" w:sz="12" w:space="0" w:color="000000"/>
            </w:tcBorders>
          </w:tcPr>
          <w:p>
            <w:pPr>
              <w:pStyle w:val="TableParagraph"/>
              <w:spacing w:line="226" w:lineRule="exact" w:before="34"/>
              <w:ind w:left="107"/>
              <w:rPr>
                <w:b/>
                <w:sz w:val="20"/>
              </w:rPr>
            </w:pPr>
            <w:r>
              <w:rPr>
                <w:b/>
                <w:sz w:val="20"/>
              </w:rPr>
              <w:t>Permanent</w:t>
            </w:r>
            <w:r>
              <w:rPr>
                <w:b/>
                <w:spacing w:val="-9"/>
                <w:sz w:val="20"/>
              </w:rPr>
              <w:t> </w:t>
            </w:r>
            <w:r>
              <w:rPr>
                <w:b/>
                <w:sz w:val="20"/>
              </w:rPr>
              <w:t>part</w:t>
            </w:r>
            <w:r>
              <w:rPr>
                <w:b/>
                <w:spacing w:val="-7"/>
                <w:sz w:val="20"/>
              </w:rPr>
              <w:t> </w:t>
            </w:r>
            <w:r>
              <w:rPr>
                <w:b/>
                <w:spacing w:val="-4"/>
                <w:sz w:val="20"/>
              </w:rPr>
              <w:t>time</w:t>
            </w:r>
          </w:p>
        </w:tc>
        <w:tc>
          <w:tcPr>
            <w:tcW w:w="1256" w:type="dxa"/>
          </w:tcPr>
          <w:p>
            <w:pPr>
              <w:pStyle w:val="TableParagraph"/>
              <w:spacing w:before="10"/>
              <w:ind w:right="166"/>
              <w:jc w:val="right"/>
              <w:rPr>
                <w:b/>
                <w:sz w:val="20"/>
              </w:rPr>
            </w:pPr>
            <w:r>
              <w:rPr>
                <w:b/>
                <w:spacing w:val="-4"/>
                <w:sz w:val="20"/>
              </w:rPr>
              <w:t>65.4</w:t>
            </w:r>
          </w:p>
        </w:tc>
        <w:tc>
          <w:tcPr>
            <w:tcW w:w="1320" w:type="dxa"/>
          </w:tcPr>
          <w:p>
            <w:pPr>
              <w:pStyle w:val="TableParagraph"/>
              <w:spacing w:before="10"/>
              <w:ind w:right="250"/>
              <w:jc w:val="right"/>
              <w:rPr>
                <w:b/>
                <w:sz w:val="20"/>
              </w:rPr>
            </w:pPr>
            <w:r>
              <w:rPr>
                <w:b/>
                <w:spacing w:val="-4"/>
                <w:sz w:val="20"/>
              </w:rPr>
              <w:t>65.4</w:t>
            </w:r>
          </w:p>
        </w:tc>
        <w:tc>
          <w:tcPr>
            <w:tcW w:w="1561" w:type="dxa"/>
          </w:tcPr>
          <w:p>
            <w:pPr>
              <w:pStyle w:val="TableParagraph"/>
              <w:spacing w:before="10"/>
              <w:ind w:right="236"/>
              <w:jc w:val="right"/>
              <w:rPr>
                <w:b/>
                <w:sz w:val="20"/>
              </w:rPr>
            </w:pPr>
            <w:r>
              <w:rPr>
                <w:b/>
                <w:spacing w:val="-4"/>
                <w:sz w:val="20"/>
              </w:rPr>
              <w:t>65.4</w:t>
            </w:r>
          </w:p>
        </w:tc>
        <w:tc>
          <w:tcPr>
            <w:tcW w:w="1374" w:type="dxa"/>
            <w:tcBorders>
              <w:right w:val="single" w:sz="12" w:space="0" w:color="000000"/>
            </w:tcBorders>
          </w:tcPr>
          <w:p>
            <w:pPr>
              <w:pStyle w:val="TableParagraph"/>
              <w:spacing w:before="10"/>
              <w:ind w:right="76"/>
              <w:jc w:val="right"/>
              <w:rPr>
                <w:b/>
                <w:sz w:val="20"/>
              </w:rPr>
            </w:pPr>
            <w:r>
              <w:rPr>
                <w:b/>
                <w:spacing w:val="-4"/>
                <w:sz w:val="20"/>
              </w:rPr>
              <w:t>65.4</w:t>
            </w:r>
          </w:p>
        </w:tc>
      </w:tr>
      <w:tr>
        <w:trPr>
          <w:trHeight w:val="280" w:hRule="atLeast"/>
        </w:trPr>
        <w:tc>
          <w:tcPr>
            <w:tcW w:w="5016" w:type="dxa"/>
            <w:tcBorders>
              <w:left w:val="single" w:sz="12" w:space="0" w:color="000000"/>
            </w:tcBorders>
          </w:tcPr>
          <w:p>
            <w:pPr>
              <w:pStyle w:val="TableParagraph"/>
              <w:spacing w:line="226" w:lineRule="exact" w:before="35"/>
              <w:ind w:left="107"/>
              <w:rPr>
                <w:sz w:val="20"/>
              </w:rPr>
            </w:pPr>
            <w:r>
              <w:rPr>
                <w:spacing w:val="-2"/>
                <w:sz w:val="20"/>
              </w:rPr>
              <w:t>Women</w:t>
            </w:r>
          </w:p>
        </w:tc>
        <w:tc>
          <w:tcPr>
            <w:tcW w:w="1256" w:type="dxa"/>
          </w:tcPr>
          <w:p>
            <w:pPr>
              <w:pStyle w:val="TableParagraph"/>
              <w:spacing w:before="8"/>
              <w:ind w:right="166"/>
              <w:jc w:val="right"/>
              <w:rPr>
                <w:sz w:val="20"/>
              </w:rPr>
            </w:pPr>
            <w:r>
              <w:rPr>
                <w:spacing w:val="-4"/>
                <w:sz w:val="20"/>
              </w:rPr>
              <w:t>52.3</w:t>
            </w:r>
          </w:p>
        </w:tc>
        <w:tc>
          <w:tcPr>
            <w:tcW w:w="1320" w:type="dxa"/>
          </w:tcPr>
          <w:p>
            <w:pPr>
              <w:pStyle w:val="TableParagraph"/>
              <w:spacing w:before="8"/>
              <w:ind w:right="250"/>
              <w:jc w:val="right"/>
              <w:rPr>
                <w:sz w:val="20"/>
              </w:rPr>
            </w:pPr>
            <w:r>
              <w:rPr>
                <w:spacing w:val="-4"/>
                <w:sz w:val="20"/>
              </w:rPr>
              <w:t>52.3</w:t>
            </w:r>
          </w:p>
        </w:tc>
        <w:tc>
          <w:tcPr>
            <w:tcW w:w="1561" w:type="dxa"/>
          </w:tcPr>
          <w:p>
            <w:pPr>
              <w:pStyle w:val="TableParagraph"/>
              <w:spacing w:before="8"/>
              <w:ind w:right="236"/>
              <w:jc w:val="right"/>
              <w:rPr>
                <w:sz w:val="20"/>
              </w:rPr>
            </w:pPr>
            <w:r>
              <w:rPr>
                <w:spacing w:val="-4"/>
                <w:sz w:val="20"/>
              </w:rPr>
              <w:t>52.3</w:t>
            </w:r>
          </w:p>
        </w:tc>
        <w:tc>
          <w:tcPr>
            <w:tcW w:w="1374" w:type="dxa"/>
            <w:tcBorders>
              <w:right w:val="single" w:sz="12" w:space="0" w:color="000000"/>
            </w:tcBorders>
          </w:tcPr>
          <w:p>
            <w:pPr>
              <w:pStyle w:val="TableParagraph"/>
              <w:spacing w:before="8"/>
              <w:ind w:right="76"/>
              <w:jc w:val="right"/>
              <w:rPr>
                <w:sz w:val="20"/>
              </w:rPr>
            </w:pPr>
            <w:r>
              <w:rPr>
                <w:spacing w:val="-4"/>
                <w:sz w:val="20"/>
              </w:rPr>
              <w:t>52.3</w:t>
            </w:r>
          </w:p>
        </w:tc>
      </w:tr>
      <w:tr>
        <w:trPr>
          <w:trHeight w:val="279" w:hRule="atLeast"/>
        </w:trPr>
        <w:tc>
          <w:tcPr>
            <w:tcW w:w="5016" w:type="dxa"/>
            <w:tcBorders>
              <w:left w:val="single" w:sz="12" w:space="0" w:color="000000"/>
            </w:tcBorders>
          </w:tcPr>
          <w:p>
            <w:pPr>
              <w:pStyle w:val="TableParagraph"/>
              <w:spacing w:line="227" w:lineRule="exact" w:before="32"/>
              <w:ind w:left="107"/>
              <w:rPr>
                <w:sz w:val="20"/>
              </w:rPr>
            </w:pPr>
            <w:r>
              <w:rPr>
                <w:spacing w:val="-5"/>
                <w:sz w:val="20"/>
              </w:rPr>
              <w:t>Men</w:t>
            </w:r>
          </w:p>
        </w:tc>
        <w:tc>
          <w:tcPr>
            <w:tcW w:w="1256" w:type="dxa"/>
          </w:tcPr>
          <w:p>
            <w:pPr>
              <w:pStyle w:val="TableParagraph"/>
              <w:spacing w:before="8"/>
              <w:ind w:right="166"/>
              <w:jc w:val="right"/>
              <w:rPr>
                <w:sz w:val="20"/>
              </w:rPr>
            </w:pPr>
            <w:r>
              <w:rPr>
                <w:spacing w:val="-5"/>
                <w:sz w:val="20"/>
              </w:rPr>
              <w:t>5.2</w:t>
            </w:r>
          </w:p>
        </w:tc>
        <w:tc>
          <w:tcPr>
            <w:tcW w:w="1320" w:type="dxa"/>
          </w:tcPr>
          <w:p>
            <w:pPr>
              <w:pStyle w:val="TableParagraph"/>
              <w:spacing w:before="8"/>
              <w:ind w:right="250"/>
              <w:jc w:val="right"/>
              <w:rPr>
                <w:sz w:val="20"/>
              </w:rPr>
            </w:pPr>
            <w:r>
              <w:rPr>
                <w:spacing w:val="-5"/>
                <w:sz w:val="20"/>
              </w:rPr>
              <w:t>5.2</w:t>
            </w:r>
          </w:p>
        </w:tc>
        <w:tc>
          <w:tcPr>
            <w:tcW w:w="1561" w:type="dxa"/>
          </w:tcPr>
          <w:p>
            <w:pPr>
              <w:pStyle w:val="TableParagraph"/>
              <w:spacing w:before="8"/>
              <w:ind w:right="239"/>
              <w:jc w:val="right"/>
              <w:rPr>
                <w:sz w:val="20"/>
              </w:rPr>
            </w:pPr>
            <w:r>
              <w:rPr>
                <w:spacing w:val="-5"/>
                <w:sz w:val="20"/>
              </w:rPr>
              <w:t>5.2</w:t>
            </w:r>
          </w:p>
        </w:tc>
        <w:tc>
          <w:tcPr>
            <w:tcW w:w="1374" w:type="dxa"/>
            <w:tcBorders>
              <w:right w:val="single" w:sz="12" w:space="0" w:color="000000"/>
            </w:tcBorders>
          </w:tcPr>
          <w:p>
            <w:pPr>
              <w:pStyle w:val="TableParagraph"/>
              <w:spacing w:before="8"/>
              <w:ind w:right="77"/>
              <w:jc w:val="right"/>
              <w:rPr>
                <w:sz w:val="20"/>
              </w:rPr>
            </w:pPr>
            <w:r>
              <w:rPr>
                <w:spacing w:val="-5"/>
                <w:sz w:val="20"/>
              </w:rPr>
              <w:t>5.2</w:t>
            </w:r>
          </w:p>
        </w:tc>
      </w:tr>
      <w:tr>
        <w:trPr>
          <w:trHeight w:val="279" w:hRule="atLeast"/>
        </w:trPr>
        <w:tc>
          <w:tcPr>
            <w:tcW w:w="5016" w:type="dxa"/>
            <w:tcBorders>
              <w:left w:val="single" w:sz="12" w:space="0" w:color="000000"/>
            </w:tcBorders>
          </w:tcPr>
          <w:p>
            <w:pPr>
              <w:pStyle w:val="TableParagraph"/>
              <w:spacing w:line="226" w:lineRule="exact" w:before="34"/>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56" w:type="dxa"/>
          </w:tcPr>
          <w:p>
            <w:pPr>
              <w:pStyle w:val="TableParagraph"/>
              <w:spacing w:before="10"/>
              <w:ind w:right="168"/>
              <w:jc w:val="right"/>
              <w:rPr>
                <w:sz w:val="20"/>
              </w:rPr>
            </w:pPr>
            <w:r>
              <w:rPr>
                <w:w w:val="99"/>
                <w:sz w:val="20"/>
              </w:rPr>
              <w:t>-</w:t>
            </w:r>
          </w:p>
        </w:tc>
        <w:tc>
          <w:tcPr>
            <w:tcW w:w="1320" w:type="dxa"/>
          </w:tcPr>
          <w:p>
            <w:pPr>
              <w:pStyle w:val="TableParagraph"/>
              <w:spacing w:before="10"/>
              <w:ind w:right="251"/>
              <w:jc w:val="right"/>
              <w:rPr>
                <w:sz w:val="20"/>
              </w:rPr>
            </w:pPr>
            <w:r>
              <w:rPr>
                <w:w w:val="99"/>
                <w:sz w:val="20"/>
              </w:rPr>
              <w:t>-</w:t>
            </w:r>
          </w:p>
        </w:tc>
        <w:tc>
          <w:tcPr>
            <w:tcW w:w="1561" w:type="dxa"/>
          </w:tcPr>
          <w:p>
            <w:pPr>
              <w:pStyle w:val="TableParagraph"/>
              <w:spacing w:before="10"/>
              <w:ind w:right="238"/>
              <w:jc w:val="right"/>
              <w:rPr>
                <w:sz w:val="20"/>
              </w:rPr>
            </w:pPr>
            <w:r>
              <w:rPr>
                <w:w w:val="99"/>
                <w:sz w:val="20"/>
              </w:rPr>
              <w:t>-</w:t>
            </w:r>
          </w:p>
        </w:tc>
        <w:tc>
          <w:tcPr>
            <w:tcW w:w="1374" w:type="dxa"/>
            <w:tcBorders>
              <w:right w:val="single" w:sz="12" w:space="0" w:color="000000"/>
            </w:tcBorders>
          </w:tcPr>
          <w:p>
            <w:pPr>
              <w:pStyle w:val="TableParagraph"/>
              <w:spacing w:before="10"/>
              <w:ind w:right="78"/>
              <w:jc w:val="right"/>
              <w:rPr>
                <w:sz w:val="20"/>
              </w:rPr>
            </w:pPr>
            <w:r>
              <w:rPr>
                <w:w w:val="99"/>
                <w:sz w:val="20"/>
              </w:rPr>
              <w:t>-</w:t>
            </w:r>
          </w:p>
        </w:tc>
      </w:tr>
      <w:tr>
        <w:trPr>
          <w:trHeight w:val="265" w:hRule="atLeast"/>
        </w:trPr>
        <w:tc>
          <w:tcPr>
            <w:tcW w:w="5016" w:type="dxa"/>
            <w:tcBorders>
              <w:left w:val="single" w:sz="12" w:space="0" w:color="000000"/>
            </w:tcBorders>
          </w:tcPr>
          <w:p>
            <w:pPr>
              <w:pStyle w:val="TableParagraph"/>
              <w:spacing w:line="211" w:lineRule="exact" w:before="35"/>
              <w:ind w:left="107"/>
              <w:rPr>
                <w:sz w:val="20"/>
              </w:rPr>
            </w:pPr>
            <w:r>
              <w:rPr>
                <w:sz w:val="20"/>
              </w:rPr>
              <w:t>Vacant</w:t>
            </w:r>
            <w:r>
              <w:rPr>
                <w:spacing w:val="-7"/>
                <w:sz w:val="20"/>
              </w:rPr>
              <w:t> </w:t>
            </w:r>
            <w:r>
              <w:rPr>
                <w:spacing w:val="-2"/>
                <w:sz w:val="20"/>
              </w:rPr>
              <w:t>Position</w:t>
            </w:r>
          </w:p>
        </w:tc>
        <w:tc>
          <w:tcPr>
            <w:tcW w:w="1256" w:type="dxa"/>
            <w:tcBorders>
              <w:bottom w:val="single" w:sz="4" w:space="0" w:color="000000"/>
            </w:tcBorders>
          </w:tcPr>
          <w:p>
            <w:pPr>
              <w:pStyle w:val="TableParagraph"/>
              <w:spacing w:before="8"/>
              <w:ind w:right="166"/>
              <w:jc w:val="right"/>
              <w:rPr>
                <w:sz w:val="20"/>
              </w:rPr>
            </w:pPr>
            <w:r>
              <w:rPr>
                <w:spacing w:val="-5"/>
                <w:sz w:val="20"/>
              </w:rPr>
              <w:t>7.8</w:t>
            </w:r>
          </w:p>
        </w:tc>
        <w:tc>
          <w:tcPr>
            <w:tcW w:w="1320" w:type="dxa"/>
            <w:tcBorders>
              <w:bottom w:val="single" w:sz="4" w:space="0" w:color="000000"/>
            </w:tcBorders>
          </w:tcPr>
          <w:p>
            <w:pPr>
              <w:pStyle w:val="TableParagraph"/>
              <w:spacing w:before="8"/>
              <w:ind w:right="250"/>
              <w:jc w:val="right"/>
              <w:rPr>
                <w:sz w:val="20"/>
              </w:rPr>
            </w:pPr>
            <w:r>
              <w:rPr>
                <w:spacing w:val="-5"/>
                <w:sz w:val="20"/>
              </w:rPr>
              <w:t>7.8</w:t>
            </w:r>
          </w:p>
        </w:tc>
        <w:tc>
          <w:tcPr>
            <w:tcW w:w="1561" w:type="dxa"/>
            <w:tcBorders>
              <w:bottom w:val="single" w:sz="4" w:space="0" w:color="000000"/>
            </w:tcBorders>
          </w:tcPr>
          <w:p>
            <w:pPr>
              <w:pStyle w:val="TableParagraph"/>
              <w:spacing w:before="8"/>
              <w:ind w:right="239"/>
              <w:jc w:val="right"/>
              <w:rPr>
                <w:sz w:val="20"/>
              </w:rPr>
            </w:pPr>
            <w:r>
              <w:rPr>
                <w:spacing w:val="-5"/>
                <w:sz w:val="20"/>
              </w:rPr>
              <w:t>7.8</w:t>
            </w:r>
          </w:p>
        </w:tc>
        <w:tc>
          <w:tcPr>
            <w:tcW w:w="1374" w:type="dxa"/>
            <w:tcBorders>
              <w:bottom w:val="single" w:sz="4" w:space="0" w:color="000000"/>
              <w:right w:val="single" w:sz="12" w:space="0" w:color="000000"/>
            </w:tcBorders>
          </w:tcPr>
          <w:p>
            <w:pPr>
              <w:pStyle w:val="TableParagraph"/>
              <w:spacing w:before="8"/>
              <w:ind w:right="77"/>
              <w:jc w:val="right"/>
              <w:rPr>
                <w:sz w:val="20"/>
              </w:rPr>
            </w:pPr>
            <w:r>
              <w:rPr>
                <w:spacing w:val="-5"/>
                <w:sz w:val="20"/>
              </w:rPr>
              <w:t>7.8</w:t>
            </w:r>
          </w:p>
        </w:tc>
      </w:tr>
      <w:tr>
        <w:trPr>
          <w:trHeight w:val="280" w:hRule="atLeast"/>
        </w:trPr>
        <w:tc>
          <w:tcPr>
            <w:tcW w:w="5016" w:type="dxa"/>
            <w:tcBorders>
              <w:left w:val="single" w:sz="12" w:space="0" w:color="000000"/>
            </w:tcBorders>
          </w:tcPr>
          <w:p>
            <w:pPr>
              <w:pStyle w:val="TableParagraph"/>
              <w:spacing w:line="211" w:lineRule="exact" w:before="50"/>
              <w:ind w:left="107"/>
              <w:rPr>
                <w:b/>
                <w:sz w:val="20"/>
              </w:rPr>
            </w:pPr>
            <w:r>
              <w:rPr>
                <w:b/>
                <w:sz w:val="20"/>
              </w:rPr>
              <w:t>Total</w:t>
            </w:r>
            <w:r>
              <w:rPr>
                <w:b/>
                <w:spacing w:val="-5"/>
                <w:sz w:val="20"/>
              </w:rPr>
              <w:t> </w:t>
            </w:r>
            <w:r>
              <w:rPr>
                <w:b/>
                <w:sz w:val="20"/>
              </w:rPr>
              <w:t>Assets</w:t>
            </w:r>
            <w:r>
              <w:rPr>
                <w:b/>
                <w:spacing w:val="-6"/>
                <w:sz w:val="20"/>
              </w:rPr>
              <w:t> </w:t>
            </w:r>
            <w:r>
              <w:rPr>
                <w:b/>
                <w:sz w:val="20"/>
              </w:rPr>
              <w:t>&amp;</w:t>
            </w:r>
            <w:r>
              <w:rPr>
                <w:b/>
                <w:spacing w:val="-5"/>
                <w:sz w:val="20"/>
              </w:rPr>
              <w:t> </w:t>
            </w:r>
            <w:r>
              <w:rPr>
                <w:b/>
                <w:spacing w:val="-2"/>
                <w:sz w:val="20"/>
              </w:rPr>
              <w:t>Leisure</w:t>
            </w:r>
          </w:p>
        </w:tc>
        <w:tc>
          <w:tcPr>
            <w:tcW w:w="1256" w:type="dxa"/>
            <w:tcBorders>
              <w:top w:val="single" w:sz="4" w:space="0" w:color="000000"/>
              <w:bottom w:val="single" w:sz="4" w:space="0" w:color="000000"/>
            </w:tcBorders>
          </w:tcPr>
          <w:p>
            <w:pPr>
              <w:pStyle w:val="TableParagraph"/>
              <w:spacing w:before="23"/>
              <w:ind w:right="167"/>
              <w:jc w:val="right"/>
              <w:rPr>
                <w:b/>
                <w:sz w:val="20"/>
              </w:rPr>
            </w:pPr>
            <w:r>
              <w:rPr>
                <w:b/>
                <w:spacing w:val="-2"/>
                <w:sz w:val="20"/>
              </w:rPr>
              <w:t>193.8</w:t>
            </w:r>
          </w:p>
        </w:tc>
        <w:tc>
          <w:tcPr>
            <w:tcW w:w="1320" w:type="dxa"/>
            <w:tcBorders>
              <w:top w:val="single" w:sz="4" w:space="0" w:color="000000"/>
              <w:bottom w:val="single" w:sz="4" w:space="0" w:color="000000"/>
            </w:tcBorders>
          </w:tcPr>
          <w:p>
            <w:pPr>
              <w:pStyle w:val="TableParagraph"/>
              <w:spacing w:before="23"/>
              <w:ind w:right="250"/>
              <w:jc w:val="right"/>
              <w:rPr>
                <w:b/>
                <w:sz w:val="20"/>
              </w:rPr>
            </w:pPr>
            <w:r>
              <w:rPr>
                <w:b/>
                <w:spacing w:val="-4"/>
                <w:sz w:val="20"/>
              </w:rPr>
              <w:t>193.8</w:t>
            </w:r>
          </w:p>
        </w:tc>
        <w:tc>
          <w:tcPr>
            <w:tcW w:w="1561" w:type="dxa"/>
            <w:tcBorders>
              <w:top w:val="single" w:sz="4" w:space="0" w:color="000000"/>
              <w:bottom w:val="single" w:sz="4" w:space="0" w:color="000000"/>
            </w:tcBorders>
          </w:tcPr>
          <w:p>
            <w:pPr>
              <w:pStyle w:val="TableParagraph"/>
              <w:spacing w:before="23"/>
              <w:ind w:right="237"/>
              <w:jc w:val="right"/>
              <w:rPr>
                <w:b/>
                <w:sz w:val="20"/>
              </w:rPr>
            </w:pPr>
            <w:r>
              <w:rPr>
                <w:b/>
                <w:spacing w:val="-2"/>
                <w:sz w:val="20"/>
              </w:rPr>
              <w:t>193.8</w:t>
            </w:r>
          </w:p>
        </w:tc>
        <w:tc>
          <w:tcPr>
            <w:tcW w:w="1374" w:type="dxa"/>
            <w:tcBorders>
              <w:top w:val="single" w:sz="4" w:space="0" w:color="000000"/>
              <w:bottom w:val="single" w:sz="4" w:space="0" w:color="000000"/>
              <w:right w:val="single" w:sz="12" w:space="0" w:color="000000"/>
            </w:tcBorders>
          </w:tcPr>
          <w:p>
            <w:pPr>
              <w:pStyle w:val="TableParagraph"/>
              <w:spacing w:before="23"/>
              <w:ind w:right="77"/>
              <w:jc w:val="right"/>
              <w:rPr>
                <w:b/>
                <w:sz w:val="20"/>
              </w:rPr>
            </w:pPr>
            <w:r>
              <w:rPr>
                <w:b/>
                <w:spacing w:val="-2"/>
                <w:sz w:val="20"/>
              </w:rPr>
              <w:t>193.8</w:t>
            </w:r>
          </w:p>
        </w:tc>
      </w:tr>
      <w:tr>
        <w:trPr>
          <w:trHeight w:val="294" w:hRule="atLeast"/>
        </w:trPr>
        <w:tc>
          <w:tcPr>
            <w:tcW w:w="5016" w:type="dxa"/>
            <w:tcBorders>
              <w:left w:val="single" w:sz="12" w:space="0" w:color="000000"/>
            </w:tcBorders>
          </w:tcPr>
          <w:p>
            <w:pPr>
              <w:pStyle w:val="TableParagraph"/>
              <w:spacing w:line="227" w:lineRule="exact" w:before="47"/>
              <w:ind w:left="107"/>
              <w:rPr>
                <w:b/>
                <w:sz w:val="20"/>
              </w:rPr>
            </w:pPr>
            <w:r>
              <w:rPr>
                <w:b/>
                <w:sz w:val="20"/>
              </w:rPr>
              <w:t>Chief</w:t>
            </w:r>
            <w:r>
              <w:rPr>
                <w:b/>
                <w:spacing w:val="-9"/>
                <w:sz w:val="20"/>
              </w:rPr>
              <w:t> </w:t>
            </w:r>
            <w:r>
              <w:rPr>
                <w:b/>
                <w:sz w:val="20"/>
              </w:rPr>
              <w:t>Executive's</w:t>
            </w:r>
            <w:r>
              <w:rPr>
                <w:b/>
                <w:spacing w:val="-9"/>
                <w:sz w:val="20"/>
              </w:rPr>
              <w:t> </w:t>
            </w:r>
            <w:r>
              <w:rPr>
                <w:b/>
                <w:spacing w:val="-2"/>
                <w:sz w:val="20"/>
              </w:rPr>
              <w:t>office</w:t>
            </w:r>
          </w:p>
        </w:tc>
        <w:tc>
          <w:tcPr>
            <w:tcW w:w="1256" w:type="dxa"/>
            <w:tcBorders>
              <w:top w:val="single" w:sz="4" w:space="0" w:color="000000"/>
            </w:tcBorders>
          </w:tcPr>
          <w:p>
            <w:pPr>
              <w:pStyle w:val="TableParagraph"/>
              <w:rPr>
                <w:rFonts w:ascii="Times New Roman"/>
                <w:sz w:val="18"/>
              </w:rPr>
            </w:pPr>
          </w:p>
        </w:tc>
        <w:tc>
          <w:tcPr>
            <w:tcW w:w="1320" w:type="dxa"/>
            <w:tcBorders>
              <w:top w:val="single" w:sz="4" w:space="0" w:color="000000"/>
            </w:tcBorders>
          </w:tcPr>
          <w:p>
            <w:pPr>
              <w:pStyle w:val="TableParagraph"/>
              <w:rPr>
                <w:rFonts w:ascii="Times New Roman"/>
                <w:sz w:val="18"/>
              </w:rPr>
            </w:pPr>
          </w:p>
        </w:tc>
        <w:tc>
          <w:tcPr>
            <w:tcW w:w="1561" w:type="dxa"/>
            <w:tcBorders>
              <w:top w:val="single" w:sz="4" w:space="0" w:color="000000"/>
            </w:tcBorders>
          </w:tcPr>
          <w:p>
            <w:pPr>
              <w:pStyle w:val="TableParagraph"/>
              <w:rPr>
                <w:rFonts w:ascii="Times New Roman"/>
                <w:sz w:val="18"/>
              </w:rPr>
            </w:pPr>
          </w:p>
        </w:tc>
        <w:tc>
          <w:tcPr>
            <w:tcW w:w="1374" w:type="dxa"/>
            <w:tcBorders>
              <w:top w:val="single" w:sz="4" w:space="0" w:color="000000"/>
              <w:right w:val="single" w:sz="12" w:space="0" w:color="000000"/>
            </w:tcBorders>
          </w:tcPr>
          <w:p>
            <w:pPr>
              <w:pStyle w:val="TableParagraph"/>
              <w:rPr>
                <w:rFonts w:ascii="Times New Roman"/>
                <w:sz w:val="18"/>
              </w:rPr>
            </w:pPr>
          </w:p>
        </w:tc>
      </w:tr>
      <w:tr>
        <w:trPr>
          <w:trHeight w:val="279" w:hRule="atLeast"/>
        </w:trPr>
        <w:tc>
          <w:tcPr>
            <w:tcW w:w="5016" w:type="dxa"/>
            <w:tcBorders>
              <w:left w:val="single" w:sz="12" w:space="0" w:color="000000"/>
            </w:tcBorders>
          </w:tcPr>
          <w:p>
            <w:pPr>
              <w:pStyle w:val="TableParagraph"/>
              <w:spacing w:line="226" w:lineRule="exact" w:before="34"/>
              <w:ind w:left="107"/>
              <w:rPr>
                <w:b/>
                <w:sz w:val="20"/>
              </w:rPr>
            </w:pPr>
            <w:r>
              <w:rPr>
                <w:b/>
                <w:sz w:val="20"/>
              </w:rPr>
              <w:t>Permanent</w:t>
            </w:r>
            <w:r>
              <w:rPr>
                <w:b/>
                <w:spacing w:val="-9"/>
                <w:sz w:val="20"/>
              </w:rPr>
              <w:t> </w:t>
            </w:r>
            <w:r>
              <w:rPr>
                <w:b/>
                <w:sz w:val="20"/>
              </w:rPr>
              <w:t>full</w:t>
            </w:r>
            <w:r>
              <w:rPr>
                <w:b/>
                <w:spacing w:val="-8"/>
                <w:sz w:val="20"/>
              </w:rPr>
              <w:t> </w:t>
            </w:r>
            <w:r>
              <w:rPr>
                <w:b/>
                <w:spacing w:val="-4"/>
                <w:sz w:val="20"/>
              </w:rPr>
              <w:t>time</w:t>
            </w:r>
          </w:p>
        </w:tc>
        <w:tc>
          <w:tcPr>
            <w:tcW w:w="1256" w:type="dxa"/>
          </w:tcPr>
          <w:p>
            <w:pPr>
              <w:pStyle w:val="TableParagraph"/>
              <w:spacing w:before="10"/>
              <w:ind w:right="166"/>
              <w:jc w:val="right"/>
              <w:rPr>
                <w:b/>
                <w:sz w:val="20"/>
              </w:rPr>
            </w:pPr>
            <w:r>
              <w:rPr>
                <w:b/>
                <w:spacing w:val="-5"/>
                <w:sz w:val="20"/>
              </w:rPr>
              <w:t>5.0</w:t>
            </w:r>
          </w:p>
        </w:tc>
        <w:tc>
          <w:tcPr>
            <w:tcW w:w="1320" w:type="dxa"/>
          </w:tcPr>
          <w:p>
            <w:pPr>
              <w:pStyle w:val="TableParagraph"/>
              <w:spacing w:before="10"/>
              <w:ind w:right="250"/>
              <w:jc w:val="right"/>
              <w:rPr>
                <w:b/>
                <w:sz w:val="20"/>
              </w:rPr>
            </w:pPr>
            <w:r>
              <w:rPr>
                <w:b/>
                <w:spacing w:val="-5"/>
                <w:sz w:val="20"/>
              </w:rPr>
              <w:t>5.0</w:t>
            </w:r>
          </w:p>
        </w:tc>
        <w:tc>
          <w:tcPr>
            <w:tcW w:w="1561" w:type="dxa"/>
          </w:tcPr>
          <w:p>
            <w:pPr>
              <w:pStyle w:val="TableParagraph"/>
              <w:spacing w:before="10"/>
              <w:ind w:right="239"/>
              <w:jc w:val="right"/>
              <w:rPr>
                <w:b/>
                <w:sz w:val="20"/>
              </w:rPr>
            </w:pPr>
            <w:r>
              <w:rPr>
                <w:b/>
                <w:spacing w:val="-5"/>
                <w:sz w:val="20"/>
              </w:rPr>
              <w:t>5.0</w:t>
            </w:r>
          </w:p>
        </w:tc>
        <w:tc>
          <w:tcPr>
            <w:tcW w:w="1374" w:type="dxa"/>
            <w:tcBorders>
              <w:right w:val="single" w:sz="12" w:space="0" w:color="000000"/>
            </w:tcBorders>
          </w:tcPr>
          <w:p>
            <w:pPr>
              <w:pStyle w:val="TableParagraph"/>
              <w:spacing w:before="10"/>
              <w:ind w:right="77"/>
              <w:jc w:val="right"/>
              <w:rPr>
                <w:b/>
                <w:sz w:val="20"/>
              </w:rPr>
            </w:pPr>
            <w:r>
              <w:rPr>
                <w:b/>
                <w:spacing w:val="-5"/>
                <w:sz w:val="20"/>
              </w:rPr>
              <w:t>5.0</w:t>
            </w:r>
          </w:p>
        </w:tc>
      </w:tr>
      <w:tr>
        <w:trPr>
          <w:trHeight w:val="280" w:hRule="atLeast"/>
        </w:trPr>
        <w:tc>
          <w:tcPr>
            <w:tcW w:w="5016" w:type="dxa"/>
            <w:tcBorders>
              <w:left w:val="single" w:sz="12" w:space="0" w:color="000000"/>
            </w:tcBorders>
          </w:tcPr>
          <w:p>
            <w:pPr>
              <w:pStyle w:val="TableParagraph"/>
              <w:spacing w:line="226" w:lineRule="exact" w:before="35"/>
              <w:ind w:left="107"/>
              <w:rPr>
                <w:sz w:val="20"/>
              </w:rPr>
            </w:pPr>
            <w:r>
              <w:rPr>
                <w:spacing w:val="-2"/>
                <w:sz w:val="20"/>
              </w:rPr>
              <w:t>Women</w:t>
            </w:r>
          </w:p>
        </w:tc>
        <w:tc>
          <w:tcPr>
            <w:tcW w:w="1256" w:type="dxa"/>
          </w:tcPr>
          <w:p>
            <w:pPr>
              <w:pStyle w:val="TableParagraph"/>
              <w:spacing w:before="8"/>
              <w:ind w:right="166"/>
              <w:jc w:val="right"/>
              <w:rPr>
                <w:sz w:val="20"/>
              </w:rPr>
            </w:pPr>
            <w:r>
              <w:rPr>
                <w:spacing w:val="-5"/>
                <w:sz w:val="20"/>
              </w:rPr>
              <w:t>4.0</w:t>
            </w:r>
          </w:p>
        </w:tc>
        <w:tc>
          <w:tcPr>
            <w:tcW w:w="1320" w:type="dxa"/>
          </w:tcPr>
          <w:p>
            <w:pPr>
              <w:pStyle w:val="TableParagraph"/>
              <w:spacing w:before="8"/>
              <w:ind w:right="250"/>
              <w:jc w:val="right"/>
              <w:rPr>
                <w:sz w:val="20"/>
              </w:rPr>
            </w:pPr>
            <w:r>
              <w:rPr>
                <w:spacing w:val="-5"/>
                <w:sz w:val="20"/>
              </w:rPr>
              <w:t>4.0</w:t>
            </w:r>
          </w:p>
        </w:tc>
        <w:tc>
          <w:tcPr>
            <w:tcW w:w="1561" w:type="dxa"/>
          </w:tcPr>
          <w:p>
            <w:pPr>
              <w:pStyle w:val="TableParagraph"/>
              <w:spacing w:before="8"/>
              <w:ind w:right="239"/>
              <w:jc w:val="right"/>
              <w:rPr>
                <w:sz w:val="20"/>
              </w:rPr>
            </w:pPr>
            <w:r>
              <w:rPr>
                <w:spacing w:val="-5"/>
                <w:sz w:val="20"/>
              </w:rPr>
              <w:t>4.0</w:t>
            </w:r>
          </w:p>
        </w:tc>
        <w:tc>
          <w:tcPr>
            <w:tcW w:w="1374" w:type="dxa"/>
            <w:tcBorders>
              <w:right w:val="single" w:sz="12" w:space="0" w:color="000000"/>
            </w:tcBorders>
          </w:tcPr>
          <w:p>
            <w:pPr>
              <w:pStyle w:val="TableParagraph"/>
              <w:spacing w:before="8"/>
              <w:ind w:right="77"/>
              <w:jc w:val="right"/>
              <w:rPr>
                <w:sz w:val="20"/>
              </w:rPr>
            </w:pPr>
            <w:r>
              <w:rPr>
                <w:spacing w:val="-5"/>
                <w:sz w:val="20"/>
              </w:rPr>
              <w:t>4.0</w:t>
            </w:r>
          </w:p>
        </w:tc>
      </w:tr>
      <w:tr>
        <w:trPr>
          <w:trHeight w:val="279" w:hRule="atLeast"/>
        </w:trPr>
        <w:tc>
          <w:tcPr>
            <w:tcW w:w="5016" w:type="dxa"/>
            <w:tcBorders>
              <w:left w:val="single" w:sz="12" w:space="0" w:color="000000"/>
            </w:tcBorders>
          </w:tcPr>
          <w:p>
            <w:pPr>
              <w:pStyle w:val="TableParagraph"/>
              <w:spacing w:line="227" w:lineRule="exact" w:before="32"/>
              <w:ind w:left="107"/>
              <w:rPr>
                <w:sz w:val="20"/>
              </w:rPr>
            </w:pPr>
            <w:r>
              <w:rPr>
                <w:spacing w:val="-5"/>
                <w:sz w:val="20"/>
              </w:rPr>
              <w:t>Men</w:t>
            </w:r>
          </w:p>
        </w:tc>
        <w:tc>
          <w:tcPr>
            <w:tcW w:w="1256" w:type="dxa"/>
          </w:tcPr>
          <w:p>
            <w:pPr>
              <w:pStyle w:val="TableParagraph"/>
              <w:spacing w:before="8"/>
              <w:ind w:right="166"/>
              <w:jc w:val="right"/>
              <w:rPr>
                <w:sz w:val="20"/>
              </w:rPr>
            </w:pPr>
            <w:r>
              <w:rPr>
                <w:spacing w:val="-5"/>
                <w:sz w:val="20"/>
              </w:rPr>
              <w:t>1.0</w:t>
            </w:r>
          </w:p>
        </w:tc>
        <w:tc>
          <w:tcPr>
            <w:tcW w:w="1320" w:type="dxa"/>
          </w:tcPr>
          <w:p>
            <w:pPr>
              <w:pStyle w:val="TableParagraph"/>
              <w:spacing w:before="8"/>
              <w:ind w:right="250"/>
              <w:jc w:val="right"/>
              <w:rPr>
                <w:sz w:val="20"/>
              </w:rPr>
            </w:pPr>
            <w:r>
              <w:rPr>
                <w:spacing w:val="-5"/>
                <w:sz w:val="20"/>
              </w:rPr>
              <w:t>1.0</w:t>
            </w:r>
          </w:p>
        </w:tc>
        <w:tc>
          <w:tcPr>
            <w:tcW w:w="1561" w:type="dxa"/>
          </w:tcPr>
          <w:p>
            <w:pPr>
              <w:pStyle w:val="TableParagraph"/>
              <w:spacing w:before="8"/>
              <w:ind w:right="239"/>
              <w:jc w:val="right"/>
              <w:rPr>
                <w:sz w:val="20"/>
              </w:rPr>
            </w:pPr>
            <w:r>
              <w:rPr>
                <w:spacing w:val="-5"/>
                <w:sz w:val="20"/>
              </w:rPr>
              <w:t>1.0</w:t>
            </w:r>
          </w:p>
        </w:tc>
        <w:tc>
          <w:tcPr>
            <w:tcW w:w="1374" w:type="dxa"/>
            <w:tcBorders>
              <w:right w:val="single" w:sz="12" w:space="0" w:color="000000"/>
            </w:tcBorders>
          </w:tcPr>
          <w:p>
            <w:pPr>
              <w:pStyle w:val="TableParagraph"/>
              <w:spacing w:before="8"/>
              <w:ind w:right="77"/>
              <w:jc w:val="right"/>
              <w:rPr>
                <w:sz w:val="20"/>
              </w:rPr>
            </w:pPr>
            <w:r>
              <w:rPr>
                <w:spacing w:val="-5"/>
                <w:sz w:val="20"/>
              </w:rPr>
              <w:t>1.0</w:t>
            </w:r>
          </w:p>
        </w:tc>
      </w:tr>
      <w:tr>
        <w:trPr>
          <w:trHeight w:val="279" w:hRule="atLeast"/>
        </w:trPr>
        <w:tc>
          <w:tcPr>
            <w:tcW w:w="5016" w:type="dxa"/>
            <w:tcBorders>
              <w:left w:val="single" w:sz="12" w:space="0" w:color="000000"/>
            </w:tcBorders>
          </w:tcPr>
          <w:p>
            <w:pPr>
              <w:pStyle w:val="TableParagraph"/>
              <w:spacing w:line="226" w:lineRule="exact" w:before="34"/>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56" w:type="dxa"/>
          </w:tcPr>
          <w:p>
            <w:pPr>
              <w:pStyle w:val="TableParagraph"/>
              <w:spacing w:before="10"/>
              <w:ind w:right="168"/>
              <w:jc w:val="right"/>
              <w:rPr>
                <w:sz w:val="20"/>
              </w:rPr>
            </w:pPr>
            <w:r>
              <w:rPr>
                <w:w w:val="99"/>
                <w:sz w:val="20"/>
              </w:rPr>
              <w:t>-</w:t>
            </w:r>
          </w:p>
        </w:tc>
        <w:tc>
          <w:tcPr>
            <w:tcW w:w="1320" w:type="dxa"/>
          </w:tcPr>
          <w:p>
            <w:pPr>
              <w:pStyle w:val="TableParagraph"/>
              <w:spacing w:before="10"/>
              <w:ind w:right="251"/>
              <w:jc w:val="right"/>
              <w:rPr>
                <w:sz w:val="20"/>
              </w:rPr>
            </w:pPr>
            <w:r>
              <w:rPr>
                <w:w w:val="99"/>
                <w:sz w:val="20"/>
              </w:rPr>
              <w:t>-</w:t>
            </w:r>
          </w:p>
        </w:tc>
        <w:tc>
          <w:tcPr>
            <w:tcW w:w="1561" w:type="dxa"/>
          </w:tcPr>
          <w:p>
            <w:pPr>
              <w:pStyle w:val="TableParagraph"/>
              <w:spacing w:before="10"/>
              <w:ind w:right="238"/>
              <w:jc w:val="right"/>
              <w:rPr>
                <w:sz w:val="20"/>
              </w:rPr>
            </w:pPr>
            <w:r>
              <w:rPr>
                <w:w w:val="99"/>
                <w:sz w:val="20"/>
              </w:rPr>
              <w:t>-</w:t>
            </w:r>
          </w:p>
        </w:tc>
        <w:tc>
          <w:tcPr>
            <w:tcW w:w="1374" w:type="dxa"/>
            <w:tcBorders>
              <w:right w:val="single" w:sz="12" w:space="0" w:color="000000"/>
            </w:tcBorders>
          </w:tcPr>
          <w:p>
            <w:pPr>
              <w:pStyle w:val="TableParagraph"/>
              <w:spacing w:before="10"/>
              <w:ind w:right="78"/>
              <w:jc w:val="right"/>
              <w:rPr>
                <w:sz w:val="20"/>
              </w:rPr>
            </w:pPr>
            <w:r>
              <w:rPr>
                <w:w w:val="99"/>
                <w:sz w:val="20"/>
              </w:rPr>
              <w:t>-</w:t>
            </w:r>
          </w:p>
        </w:tc>
      </w:tr>
      <w:tr>
        <w:trPr>
          <w:trHeight w:val="280" w:hRule="atLeast"/>
        </w:trPr>
        <w:tc>
          <w:tcPr>
            <w:tcW w:w="5016" w:type="dxa"/>
            <w:tcBorders>
              <w:left w:val="single" w:sz="12" w:space="0" w:color="000000"/>
            </w:tcBorders>
          </w:tcPr>
          <w:p>
            <w:pPr>
              <w:pStyle w:val="TableParagraph"/>
              <w:spacing w:line="226" w:lineRule="exact" w:before="35"/>
              <w:ind w:left="107"/>
              <w:rPr>
                <w:sz w:val="20"/>
              </w:rPr>
            </w:pPr>
            <w:r>
              <w:rPr>
                <w:sz w:val="20"/>
              </w:rPr>
              <w:t>Vacant</w:t>
            </w:r>
            <w:r>
              <w:rPr>
                <w:spacing w:val="-7"/>
                <w:sz w:val="20"/>
              </w:rPr>
              <w:t> </w:t>
            </w:r>
            <w:r>
              <w:rPr>
                <w:spacing w:val="-2"/>
                <w:sz w:val="20"/>
              </w:rPr>
              <w:t>Position</w:t>
            </w:r>
          </w:p>
        </w:tc>
        <w:tc>
          <w:tcPr>
            <w:tcW w:w="1256" w:type="dxa"/>
          </w:tcPr>
          <w:p>
            <w:pPr>
              <w:pStyle w:val="TableParagraph"/>
              <w:spacing w:before="8"/>
              <w:ind w:right="168"/>
              <w:jc w:val="right"/>
              <w:rPr>
                <w:sz w:val="20"/>
              </w:rPr>
            </w:pPr>
            <w:r>
              <w:rPr>
                <w:w w:val="99"/>
                <w:sz w:val="20"/>
              </w:rPr>
              <w:t>-</w:t>
            </w:r>
          </w:p>
        </w:tc>
        <w:tc>
          <w:tcPr>
            <w:tcW w:w="1320" w:type="dxa"/>
          </w:tcPr>
          <w:p>
            <w:pPr>
              <w:pStyle w:val="TableParagraph"/>
              <w:spacing w:before="8"/>
              <w:ind w:right="251"/>
              <w:jc w:val="right"/>
              <w:rPr>
                <w:sz w:val="20"/>
              </w:rPr>
            </w:pPr>
            <w:r>
              <w:rPr>
                <w:w w:val="99"/>
                <w:sz w:val="20"/>
              </w:rPr>
              <w:t>-</w:t>
            </w:r>
          </w:p>
        </w:tc>
        <w:tc>
          <w:tcPr>
            <w:tcW w:w="1561" w:type="dxa"/>
          </w:tcPr>
          <w:p>
            <w:pPr>
              <w:pStyle w:val="TableParagraph"/>
              <w:spacing w:before="8"/>
              <w:ind w:right="238"/>
              <w:jc w:val="right"/>
              <w:rPr>
                <w:sz w:val="20"/>
              </w:rPr>
            </w:pPr>
            <w:r>
              <w:rPr>
                <w:w w:val="99"/>
                <w:sz w:val="20"/>
              </w:rPr>
              <w:t>-</w:t>
            </w:r>
          </w:p>
        </w:tc>
        <w:tc>
          <w:tcPr>
            <w:tcW w:w="1374" w:type="dxa"/>
            <w:tcBorders>
              <w:right w:val="single" w:sz="12" w:space="0" w:color="000000"/>
            </w:tcBorders>
          </w:tcPr>
          <w:p>
            <w:pPr>
              <w:pStyle w:val="TableParagraph"/>
              <w:spacing w:before="8"/>
              <w:ind w:right="78"/>
              <w:jc w:val="right"/>
              <w:rPr>
                <w:sz w:val="20"/>
              </w:rPr>
            </w:pPr>
            <w:r>
              <w:rPr>
                <w:w w:val="99"/>
                <w:sz w:val="20"/>
              </w:rPr>
              <w:t>-</w:t>
            </w:r>
          </w:p>
        </w:tc>
      </w:tr>
      <w:tr>
        <w:trPr>
          <w:trHeight w:val="279" w:hRule="atLeast"/>
        </w:trPr>
        <w:tc>
          <w:tcPr>
            <w:tcW w:w="5016" w:type="dxa"/>
            <w:tcBorders>
              <w:left w:val="single" w:sz="12" w:space="0" w:color="000000"/>
            </w:tcBorders>
          </w:tcPr>
          <w:p>
            <w:pPr>
              <w:pStyle w:val="TableParagraph"/>
              <w:spacing w:line="227" w:lineRule="exact" w:before="32"/>
              <w:ind w:left="107"/>
              <w:rPr>
                <w:b/>
                <w:sz w:val="20"/>
              </w:rPr>
            </w:pPr>
            <w:r>
              <w:rPr>
                <w:b/>
                <w:sz w:val="20"/>
              </w:rPr>
              <w:t>Permanent</w:t>
            </w:r>
            <w:r>
              <w:rPr>
                <w:b/>
                <w:spacing w:val="-9"/>
                <w:sz w:val="20"/>
              </w:rPr>
              <w:t> </w:t>
            </w:r>
            <w:r>
              <w:rPr>
                <w:b/>
                <w:sz w:val="20"/>
              </w:rPr>
              <w:t>part</w:t>
            </w:r>
            <w:r>
              <w:rPr>
                <w:b/>
                <w:spacing w:val="-7"/>
                <w:sz w:val="20"/>
              </w:rPr>
              <w:t> </w:t>
            </w:r>
            <w:r>
              <w:rPr>
                <w:b/>
                <w:spacing w:val="-4"/>
                <w:sz w:val="20"/>
              </w:rPr>
              <w:t>time</w:t>
            </w:r>
          </w:p>
        </w:tc>
        <w:tc>
          <w:tcPr>
            <w:tcW w:w="1256" w:type="dxa"/>
          </w:tcPr>
          <w:p>
            <w:pPr>
              <w:pStyle w:val="TableParagraph"/>
              <w:spacing w:before="8"/>
              <w:ind w:right="166"/>
              <w:jc w:val="right"/>
              <w:rPr>
                <w:b/>
                <w:sz w:val="20"/>
              </w:rPr>
            </w:pPr>
            <w:r>
              <w:rPr>
                <w:b/>
                <w:spacing w:val="-5"/>
                <w:sz w:val="20"/>
              </w:rPr>
              <w:t>0.3</w:t>
            </w:r>
          </w:p>
        </w:tc>
        <w:tc>
          <w:tcPr>
            <w:tcW w:w="1320" w:type="dxa"/>
          </w:tcPr>
          <w:p>
            <w:pPr>
              <w:pStyle w:val="TableParagraph"/>
              <w:spacing w:before="8"/>
              <w:ind w:right="250"/>
              <w:jc w:val="right"/>
              <w:rPr>
                <w:b/>
                <w:sz w:val="20"/>
              </w:rPr>
            </w:pPr>
            <w:r>
              <w:rPr>
                <w:b/>
                <w:spacing w:val="-5"/>
                <w:sz w:val="20"/>
              </w:rPr>
              <w:t>0.3</w:t>
            </w:r>
          </w:p>
        </w:tc>
        <w:tc>
          <w:tcPr>
            <w:tcW w:w="1561" w:type="dxa"/>
          </w:tcPr>
          <w:p>
            <w:pPr>
              <w:pStyle w:val="TableParagraph"/>
              <w:spacing w:before="8"/>
              <w:ind w:right="239"/>
              <w:jc w:val="right"/>
              <w:rPr>
                <w:b/>
                <w:sz w:val="20"/>
              </w:rPr>
            </w:pPr>
            <w:r>
              <w:rPr>
                <w:b/>
                <w:spacing w:val="-5"/>
                <w:sz w:val="20"/>
              </w:rPr>
              <w:t>0.3</w:t>
            </w:r>
          </w:p>
        </w:tc>
        <w:tc>
          <w:tcPr>
            <w:tcW w:w="1374" w:type="dxa"/>
            <w:tcBorders>
              <w:right w:val="single" w:sz="12" w:space="0" w:color="000000"/>
            </w:tcBorders>
          </w:tcPr>
          <w:p>
            <w:pPr>
              <w:pStyle w:val="TableParagraph"/>
              <w:spacing w:before="8"/>
              <w:ind w:right="77"/>
              <w:jc w:val="right"/>
              <w:rPr>
                <w:b/>
                <w:sz w:val="20"/>
              </w:rPr>
            </w:pPr>
            <w:r>
              <w:rPr>
                <w:b/>
                <w:spacing w:val="-5"/>
                <w:sz w:val="20"/>
              </w:rPr>
              <w:t>0.3</w:t>
            </w:r>
          </w:p>
        </w:tc>
      </w:tr>
      <w:tr>
        <w:trPr>
          <w:trHeight w:val="279" w:hRule="atLeast"/>
        </w:trPr>
        <w:tc>
          <w:tcPr>
            <w:tcW w:w="5016" w:type="dxa"/>
            <w:tcBorders>
              <w:left w:val="single" w:sz="12" w:space="0" w:color="000000"/>
            </w:tcBorders>
          </w:tcPr>
          <w:p>
            <w:pPr>
              <w:pStyle w:val="TableParagraph"/>
              <w:spacing w:line="226" w:lineRule="exact" w:before="34"/>
              <w:ind w:left="107"/>
              <w:rPr>
                <w:sz w:val="20"/>
              </w:rPr>
            </w:pPr>
            <w:r>
              <w:rPr>
                <w:spacing w:val="-2"/>
                <w:sz w:val="20"/>
              </w:rPr>
              <w:t>Women</w:t>
            </w:r>
          </w:p>
        </w:tc>
        <w:tc>
          <w:tcPr>
            <w:tcW w:w="1256" w:type="dxa"/>
          </w:tcPr>
          <w:p>
            <w:pPr>
              <w:pStyle w:val="TableParagraph"/>
              <w:spacing w:before="10"/>
              <w:ind w:right="168"/>
              <w:jc w:val="right"/>
              <w:rPr>
                <w:sz w:val="20"/>
              </w:rPr>
            </w:pPr>
            <w:r>
              <w:rPr>
                <w:w w:val="99"/>
                <w:sz w:val="20"/>
              </w:rPr>
              <w:t>-</w:t>
            </w:r>
          </w:p>
        </w:tc>
        <w:tc>
          <w:tcPr>
            <w:tcW w:w="1320" w:type="dxa"/>
          </w:tcPr>
          <w:p>
            <w:pPr>
              <w:pStyle w:val="TableParagraph"/>
              <w:spacing w:before="10"/>
              <w:ind w:right="251"/>
              <w:jc w:val="right"/>
              <w:rPr>
                <w:sz w:val="20"/>
              </w:rPr>
            </w:pPr>
            <w:r>
              <w:rPr>
                <w:w w:val="99"/>
                <w:sz w:val="20"/>
              </w:rPr>
              <w:t>-</w:t>
            </w:r>
          </w:p>
        </w:tc>
        <w:tc>
          <w:tcPr>
            <w:tcW w:w="1561" w:type="dxa"/>
          </w:tcPr>
          <w:p>
            <w:pPr>
              <w:pStyle w:val="TableParagraph"/>
              <w:spacing w:before="10"/>
              <w:ind w:right="238"/>
              <w:jc w:val="right"/>
              <w:rPr>
                <w:sz w:val="20"/>
              </w:rPr>
            </w:pPr>
            <w:r>
              <w:rPr>
                <w:w w:val="99"/>
                <w:sz w:val="20"/>
              </w:rPr>
              <w:t>-</w:t>
            </w:r>
          </w:p>
        </w:tc>
        <w:tc>
          <w:tcPr>
            <w:tcW w:w="1374" w:type="dxa"/>
            <w:tcBorders>
              <w:right w:val="single" w:sz="12" w:space="0" w:color="000000"/>
            </w:tcBorders>
          </w:tcPr>
          <w:p>
            <w:pPr>
              <w:pStyle w:val="TableParagraph"/>
              <w:spacing w:before="10"/>
              <w:ind w:right="78"/>
              <w:jc w:val="right"/>
              <w:rPr>
                <w:sz w:val="20"/>
              </w:rPr>
            </w:pPr>
            <w:r>
              <w:rPr>
                <w:w w:val="99"/>
                <w:sz w:val="20"/>
              </w:rPr>
              <w:t>-</w:t>
            </w:r>
          </w:p>
        </w:tc>
      </w:tr>
      <w:tr>
        <w:trPr>
          <w:trHeight w:val="280" w:hRule="atLeast"/>
        </w:trPr>
        <w:tc>
          <w:tcPr>
            <w:tcW w:w="5016" w:type="dxa"/>
            <w:tcBorders>
              <w:left w:val="single" w:sz="12" w:space="0" w:color="000000"/>
            </w:tcBorders>
          </w:tcPr>
          <w:p>
            <w:pPr>
              <w:pStyle w:val="TableParagraph"/>
              <w:spacing w:line="226" w:lineRule="exact" w:before="35"/>
              <w:ind w:left="107"/>
              <w:rPr>
                <w:sz w:val="20"/>
              </w:rPr>
            </w:pPr>
            <w:r>
              <w:rPr>
                <w:spacing w:val="-5"/>
                <w:sz w:val="20"/>
              </w:rPr>
              <w:t>Men</w:t>
            </w:r>
          </w:p>
        </w:tc>
        <w:tc>
          <w:tcPr>
            <w:tcW w:w="1256" w:type="dxa"/>
          </w:tcPr>
          <w:p>
            <w:pPr>
              <w:pStyle w:val="TableParagraph"/>
              <w:spacing w:before="8"/>
              <w:ind w:right="168"/>
              <w:jc w:val="right"/>
              <w:rPr>
                <w:sz w:val="20"/>
              </w:rPr>
            </w:pPr>
            <w:r>
              <w:rPr>
                <w:w w:val="99"/>
                <w:sz w:val="20"/>
              </w:rPr>
              <w:t>-</w:t>
            </w:r>
          </w:p>
        </w:tc>
        <w:tc>
          <w:tcPr>
            <w:tcW w:w="1320" w:type="dxa"/>
          </w:tcPr>
          <w:p>
            <w:pPr>
              <w:pStyle w:val="TableParagraph"/>
              <w:spacing w:before="8"/>
              <w:ind w:right="251"/>
              <w:jc w:val="right"/>
              <w:rPr>
                <w:sz w:val="20"/>
              </w:rPr>
            </w:pPr>
            <w:r>
              <w:rPr>
                <w:w w:val="99"/>
                <w:sz w:val="20"/>
              </w:rPr>
              <w:t>-</w:t>
            </w:r>
          </w:p>
        </w:tc>
        <w:tc>
          <w:tcPr>
            <w:tcW w:w="1561" w:type="dxa"/>
          </w:tcPr>
          <w:p>
            <w:pPr>
              <w:pStyle w:val="TableParagraph"/>
              <w:spacing w:before="8"/>
              <w:ind w:right="238"/>
              <w:jc w:val="right"/>
              <w:rPr>
                <w:sz w:val="20"/>
              </w:rPr>
            </w:pPr>
            <w:r>
              <w:rPr>
                <w:w w:val="99"/>
                <w:sz w:val="20"/>
              </w:rPr>
              <w:t>-</w:t>
            </w:r>
          </w:p>
        </w:tc>
        <w:tc>
          <w:tcPr>
            <w:tcW w:w="1374" w:type="dxa"/>
            <w:tcBorders>
              <w:right w:val="single" w:sz="12" w:space="0" w:color="000000"/>
            </w:tcBorders>
          </w:tcPr>
          <w:p>
            <w:pPr>
              <w:pStyle w:val="TableParagraph"/>
              <w:spacing w:before="8"/>
              <w:ind w:right="78"/>
              <w:jc w:val="right"/>
              <w:rPr>
                <w:sz w:val="20"/>
              </w:rPr>
            </w:pPr>
            <w:r>
              <w:rPr>
                <w:w w:val="99"/>
                <w:sz w:val="20"/>
              </w:rPr>
              <w:t>-</w:t>
            </w:r>
          </w:p>
        </w:tc>
      </w:tr>
      <w:tr>
        <w:trPr>
          <w:trHeight w:val="279" w:hRule="atLeast"/>
        </w:trPr>
        <w:tc>
          <w:tcPr>
            <w:tcW w:w="5016" w:type="dxa"/>
            <w:tcBorders>
              <w:left w:val="single" w:sz="12" w:space="0" w:color="000000"/>
            </w:tcBorders>
          </w:tcPr>
          <w:p>
            <w:pPr>
              <w:pStyle w:val="TableParagraph"/>
              <w:spacing w:line="227" w:lineRule="exact" w:before="32"/>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56" w:type="dxa"/>
          </w:tcPr>
          <w:p>
            <w:pPr>
              <w:pStyle w:val="TableParagraph"/>
              <w:spacing w:before="8"/>
              <w:ind w:right="168"/>
              <w:jc w:val="right"/>
              <w:rPr>
                <w:sz w:val="20"/>
              </w:rPr>
            </w:pPr>
            <w:r>
              <w:rPr>
                <w:w w:val="99"/>
                <w:sz w:val="20"/>
              </w:rPr>
              <w:t>-</w:t>
            </w:r>
          </w:p>
        </w:tc>
        <w:tc>
          <w:tcPr>
            <w:tcW w:w="1320" w:type="dxa"/>
          </w:tcPr>
          <w:p>
            <w:pPr>
              <w:pStyle w:val="TableParagraph"/>
              <w:spacing w:before="8"/>
              <w:ind w:right="251"/>
              <w:jc w:val="right"/>
              <w:rPr>
                <w:sz w:val="20"/>
              </w:rPr>
            </w:pPr>
            <w:r>
              <w:rPr>
                <w:w w:val="99"/>
                <w:sz w:val="20"/>
              </w:rPr>
              <w:t>-</w:t>
            </w:r>
          </w:p>
        </w:tc>
        <w:tc>
          <w:tcPr>
            <w:tcW w:w="1561" w:type="dxa"/>
          </w:tcPr>
          <w:p>
            <w:pPr>
              <w:pStyle w:val="TableParagraph"/>
              <w:spacing w:before="8"/>
              <w:ind w:right="238"/>
              <w:jc w:val="right"/>
              <w:rPr>
                <w:sz w:val="20"/>
              </w:rPr>
            </w:pPr>
            <w:r>
              <w:rPr>
                <w:w w:val="99"/>
                <w:sz w:val="20"/>
              </w:rPr>
              <w:t>-</w:t>
            </w:r>
          </w:p>
        </w:tc>
        <w:tc>
          <w:tcPr>
            <w:tcW w:w="1374" w:type="dxa"/>
            <w:tcBorders>
              <w:right w:val="single" w:sz="12" w:space="0" w:color="000000"/>
            </w:tcBorders>
          </w:tcPr>
          <w:p>
            <w:pPr>
              <w:pStyle w:val="TableParagraph"/>
              <w:spacing w:before="8"/>
              <w:ind w:right="78"/>
              <w:jc w:val="right"/>
              <w:rPr>
                <w:sz w:val="20"/>
              </w:rPr>
            </w:pPr>
            <w:r>
              <w:rPr>
                <w:w w:val="99"/>
                <w:sz w:val="20"/>
              </w:rPr>
              <w:t>-</w:t>
            </w:r>
          </w:p>
        </w:tc>
      </w:tr>
      <w:tr>
        <w:trPr>
          <w:trHeight w:val="264" w:hRule="atLeast"/>
        </w:trPr>
        <w:tc>
          <w:tcPr>
            <w:tcW w:w="5016" w:type="dxa"/>
            <w:tcBorders>
              <w:left w:val="single" w:sz="12" w:space="0" w:color="000000"/>
            </w:tcBorders>
          </w:tcPr>
          <w:p>
            <w:pPr>
              <w:pStyle w:val="TableParagraph"/>
              <w:spacing w:line="211" w:lineRule="exact" w:before="34"/>
              <w:ind w:left="107"/>
              <w:rPr>
                <w:sz w:val="20"/>
              </w:rPr>
            </w:pPr>
            <w:r>
              <w:rPr>
                <w:sz w:val="20"/>
              </w:rPr>
              <w:t>Vacant</w:t>
            </w:r>
            <w:r>
              <w:rPr>
                <w:spacing w:val="-7"/>
                <w:sz w:val="20"/>
              </w:rPr>
              <w:t> </w:t>
            </w:r>
            <w:r>
              <w:rPr>
                <w:spacing w:val="-2"/>
                <w:sz w:val="20"/>
              </w:rPr>
              <w:t>Position</w:t>
            </w:r>
          </w:p>
        </w:tc>
        <w:tc>
          <w:tcPr>
            <w:tcW w:w="1256" w:type="dxa"/>
            <w:tcBorders>
              <w:bottom w:val="single" w:sz="4" w:space="0" w:color="000000"/>
            </w:tcBorders>
          </w:tcPr>
          <w:p>
            <w:pPr>
              <w:pStyle w:val="TableParagraph"/>
              <w:spacing w:before="10"/>
              <w:ind w:right="168"/>
              <w:jc w:val="right"/>
              <w:rPr>
                <w:sz w:val="20"/>
              </w:rPr>
            </w:pPr>
            <w:r>
              <w:rPr>
                <w:w w:val="99"/>
                <w:sz w:val="20"/>
              </w:rPr>
              <w:t>-</w:t>
            </w:r>
          </w:p>
        </w:tc>
        <w:tc>
          <w:tcPr>
            <w:tcW w:w="1320" w:type="dxa"/>
            <w:tcBorders>
              <w:bottom w:val="single" w:sz="4" w:space="0" w:color="000000"/>
            </w:tcBorders>
          </w:tcPr>
          <w:p>
            <w:pPr>
              <w:pStyle w:val="TableParagraph"/>
              <w:spacing w:before="10"/>
              <w:ind w:right="251"/>
              <w:jc w:val="right"/>
              <w:rPr>
                <w:sz w:val="20"/>
              </w:rPr>
            </w:pPr>
            <w:r>
              <w:rPr>
                <w:w w:val="99"/>
                <w:sz w:val="20"/>
              </w:rPr>
              <w:t>-</w:t>
            </w:r>
          </w:p>
        </w:tc>
        <w:tc>
          <w:tcPr>
            <w:tcW w:w="1561" w:type="dxa"/>
            <w:tcBorders>
              <w:bottom w:val="single" w:sz="4" w:space="0" w:color="000000"/>
            </w:tcBorders>
          </w:tcPr>
          <w:p>
            <w:pPr>
              <w:pStyle w:val="TableParagraph"/>
              <w:spacing w:before="10"/>
              <w:ind w:right="238"/>
              <w:jc w:val="right"/>
              <w:rPr>
                <w:sz w:val="20"/>
              </w:rPr>
            </w:pPr>
            <w:r>
              <w:rPr>
                <w:w w:val="99"/>
                <w:sz w:val="20"/>
              </w:rPr>
              <w:t>-</w:t>
            </w:r>
          </w:p>
        </w:tc>
        <w:tc>
          <w:tcPr>
            <w:tcW w:w="1374" w:type="dxa"/>
            <w:tcBorders>
              <w:bottom w:val="single" w:sz="4" w:space="0" w:color="000000"/>
              <w:right w:val="single" w:sz="12" w:space="0" w:color="000000"/>
            </w:tcBorders>
          </w:tcPr>
          <w:p>
            <w:pPr>
              <w:pStyle w:val="TableParagraph"/>
              <w:spacing w:before="10"/>
              <w:ind w:right="78"/>
              <w:jc w:val="right"/>
              <w:rPr>
                <w:sz w:val="20"/>
              </w:rPr>
            </w:pPr>
            <w:r>
              <w:rPr>
                <w:w w:val="99"/>
                <w:sz w:val="20"/>
              </w:rPr>
              <w:t>-</w:t>
            </w:r>
          </w:p>
        </w:tc>
      </w:tr>
      <w:tr>
        <w:trPr>
          <w:trHeight w:val="280" w:hRule="atLeast"/>
        </w:trPr>
        <w:tc>
          <w:tcPr>
            <w:tcW w:w="5016" w:type="dxa"/>
            <w:tcBorders>
              <w:left w:val="single" w:sz="12" w:space="0" w:color="000000"/>
            </w:tcBorders>
          </w:tcPr>
          <w:p>
            <w:pPr>
              <w:pStyle w:val="TableParagraph"/>
              <w:spacing w:line="211" w:lineRule="exact" w:before="50"/>
              <w:ind w:left="107"/>
              <w:rPr>
                <w:b/>
                <w:sz w:val="20"/>
              </w:rPr>
            </w:pPr>
            <w:r>
              <w:rPr>
                <w:b/>
                <w:sz w:val="20"/>
              </w:rPr>
              <w:t>Total</w:t>
            </w:r>
            <w:r>
              <w:rPr>
                <w:b/>
                <w:spacing w:val="-8"/>
                <w:sz w:val="20"/>
              </w:rPr>
              <w:t> </w:t>
            </w:r>
            <w:r>
              <w:rPr>
                <w:b/>
                <w:sz w:val="20"/>
              </w:rPr>
              <w:t>Chief</w:t>
            </w:r>
            <w:r>
              <w:rPr>
                <w:b/>
                <w:spacing w:val="-8"/>
                <w:sz w:val="20"/>
              </w:rPr>
              <w:t> </w:t>
            </w:r>
            <w:r>
              <w:rPr>
                <w:b/>
                <w:sz w:val="20"/>
              </w:rPr>
              <w:t>Executive's</w:t>
            </w:r>
            <w:r>
              <w:rPr>
                <w:b/>
                <w:spacing w:val="-7"/>
                <w:sz w:val="20"/>
              </w:rPr>
              <w:t> </w:t>
            </w:r>
            <w:r>
              <w:rPr>
                <w:b/>
                <w:spacing w:val="-2"/>
                <w:sz w:val="20"/>
              </w:rPr>
              <w:t>office</w:t>
            </w:r>
          </w:p>
        </w:tc>
        <w:tc>
          <w:tcPr>
            <w:tcW w:w="1256" w:type="dxa"/>
            <w:tcBorders>
              <w:top w:val="single" w:sz="4" w:space="0" w:color="000000"/>
              <w:bottom w:val="single" w:sz="4" w:space="0" w:color="000000"/>
            </w:tcBorders>
          </w:tcPr>
          <w:p>
            <w:pPr>
              <w:pStyle w:val="TableParagraph"/>
              <w:spacing w:before="26"/>
              <w:ind w:right="166"/>
              <w:jc w:val="right"/>
              <w:rPr>
                <w:b/>
                <w:sz w:val="20"/>
              </w:rPr>
            </w:pPr>
            <w:r>
              <w:rPr>
                <w:b/>
                <w:spacing w:val="-5"/>
                <w:sz w:val="20"/>
              </w:rPr>
              <w:t>5.3</w:t>
            </w:r>
          </w:p>
        </w:tc>
        <w:tc>
          <w:tcPr>
            <w:tcW w:w="1320" w:type="dxa"/>
            <w:tcBorders>
              <w:top w:val="single" w:sz="4" w:space="0" w:color="000000"/>
              <w:bottom w:val="single" w:sz="4" w:space="0" w:color="000000"/>
            </w:tcBorders>
          </w:tcPr>
          <w:p>
            <w:pPr>
              <w:pStyle w:val="TableParagraph"/>
              <w:spacing w:before="26"/>
              <w:ind w:right="250"/>
              <w:jc w:val="right"/>
              <w:rPr>
                <w:b/>
                <w:sz w:val="20"/>
              </w:rPr>
            </w:pPr>
            <w:r>
              <w:rPr>
                <w:b/>
                <w:spacing w:val="-5"/>
                <w:sz w:val="20"/>
              </w:rPr>
              <w:t>5.3</w:t>
            </w:r>
          </w:p>
        </w:tc>
        <w:tc>
          <w:tcPr>
            <w:tcW w:w="1561" w:type="dxa"/>
            <w:tcBorders>
              <w:top w:val="single" w:sz="4" w:space="0" w:color="000000"/>
              <w:bottom w:val="single" w:sz="4" w:space="0" w:color="000000"/>
            </w:tcBorders>
          </w:tcPr>
          <w:p>
            <w:pPr>
              <w:pStyle w:val="TableParagraph"/>
              <w:spacing w:before="26"/>
              <w:ind w:right="239"/>
              <w:jc w:val="right"/>
              <w:rPr>
                <w:b/>
                <w:sz w:val="20"/>
              </w:rPr>
            </w:pPr>
            <w:r>
              <w:rPr>
                <w:b/>
                <w:spacing w:val="-5"/>
                <w:sz w:val="20"/>
              </w:rPr>
              <w:t>5.3</w:t>
            </w:r>
          </w:p>
        </w:tc>
        <w:tc>
          <w:tcPr>
            <w:tcW w:w="1374" w:type="dxa"/>
            <w:tcBorders>
              <w:top w:val="single" w:sz="4" w:space="0" w:color="000000"/>
              <w:bottom w:val="single" w:sz="4" w:space="0" w:color="000000"/>
              <w:right w:val="single" w:sz="12" w:space="0" w:color="000000"/>
            </w:tcBorders>
          </w:tcPr>
          <w:p>
            <w:pPr>
              <w:pStyle w:val="TableParagraph"/>
              <w:spacing w:before="26"/>
              <w:ind w:right="77"/>
              <w:jc w:val="right"/>
              <w:rPr>
                <w:b/>
                <w:sz w:val="20"/>
              </w:rPr>
            </w:pPr>
            <w:r>
              <w:rPr>
                <w:b/>
                <w:spacing w:val="-5"/>
                <w:sz w:val="20"/>
              </w:rPr>
              <w:t>5.3</w:t>
            </w:r>
          </w:p>
        </w:tc>
      </w:tr>
      <w:tr>
        <w:trPr>
          <w:trHeight w:val="295" w:hRule="atLeast"/>
        </w:trPr>
        <w:tc>
          <w:tcPr>
            <w:tcW w:w="5016" w:type="dxa"/>
            <w:tcBorders>
              <w:left w:val="single" w:sz="12" w:space="0" w:color="000000"/>
            </w:tcBorders>
          </w:tcPr>
          <w:p>
            <w:pPr>
              <w:pStyle w:val="TableParagraph"/>
              <w:spacing w:line="226" w:lineRule="exact" w:before="50"/>
              <w:ind w:left="107"/>
              <w:rPr>
                <w:b/>
                <w:sz w:val="20"/>
              </w:rPr>
            </w:pPr>
            <w:r>
              <w:rPr>
                <w:b/>
                <w:sz w:val="20"/>
              </w:rPr>
              <w:t>Chief</w:t>
            </w:r>
            <w:r>
              <w:rPr>
                <w:b/>
                <w:spacing w:val="-7"/>
                <w:sz w:val="20"/>
              </w:rPr>
              <w:t> </w:t>
            </w:r>
            <w:r>
              <w:rPr>
                <w:b/>
                <w:sz w:val="20"/>
              </w:rPr>
              <w:t>Financial</w:t>
            </w:r>
            <w:r>
              <w:rPr>
                <w:b/>
                <w:spacing w:val="-7"/>
                <w:sz w:val="20"/>
              </w:rPr>
              <w:t> </w:t>
            </w:r>
            <w:r>
              <w:rPr>
                <w:b/>
                <w:spacing w:val="-2"/>
                <w:sz w:val="20"/>
              </w:rPr>
              <w:t>Office</w:t>
            </w:r>
          </w:p>
        </w:tc>
        <w:tc>
          <w:tcPr>
            <w:tcW w:w="1256" w:type="dxa"/>
            <w:tcBorders>
              <w:top w:val="single" w:sz="4" w:space="0" w:color="000000"/>
            </w:tcBorders>
          </w:tcPr>
          <w:p>
            <w:pPr>
              <w:pStyle w:val="TableParagraph"/>
              <w:rPr>
                <w:rFonts w:ascii="Times New Roman"/>
                <w:sz w:val="18"/>
              </w:rPr>
            </w:pPr>
          </w:p>
        </w:tc>
        <w:tc>
          <w:tcPr>
            <w:tcW w:w="1320" w:type="dxa"/>
            <w:tcBorders>
              <w:top w:val="single" w:sz="4" w:space="0" w:color="000000"/>
            </w:tcBorders>
          </w:tcPr>
          <w:p>
            <w:pPr>
              <w:pStyle w:val="TableParagraph"/>
              <w:rPr>
                <w:rFonts w:ascii="Times New Roman"/>
                <w:sz w:val="18"/>
              </w:rPr>
            </w:pPr>
          </w:p>
        </w:tc>
        <w:tc>
          <w:tcPr>
            <w:tcW w:w="1561" w:type="dxa"/>
            <w:tcBorders>
              <w:top w:val="single" w:sz="4" w:space="0" w:color="000000"/>
            </w:tcBorders>
          </w:tcPr>
          <w:p>
            <w:pPr>
              <w:pStyle w:val="TableParagraph"/>
              <w:rPr>
                <w:rFonts w:ascii="Times New Roman"/>
                <w:sz w:val="18"/>
              </w:rPr>
            </w:pPr>
          </w:p>
        </w:tc>
        <w:tc>
          <w:tcPr>
            <w:tcW w:w="1374" w:type="dxa"/>
            <w:tcBorders>
              <w:top w:val="single" w:sz="4" w:space="0" w:color="000000"/>
              <w:right w:val="single" w:sz="12" w:space="0" w:color="000000"/>
            </w:tcBorders>
          </w:tcPr>
          <w:p>
            <w:pPr>
              <w:pStyle w:val="TableParagraph"/>
              <w:rPr>
                <w:rFonts w:ascii="Times New Roman"/>
                <w:sz w:val="18"/>
              </w:rPr>
            </w:pPr>
          </w:p>
        </w:tc>
      </w:tr>
      <w:tr>
        <w:trPr>
          <w:trHeight w:val="279" w:hRule="atLeast"/>
        </w:trPr>
        <w:tc>
          <w:tcPr>
            <w:tcW w:w="5016" w:type="dxa"/>
            <w:tcBorders>
              <w:left w:val="single" w:sz="12" w:space="0" w:color="000000"/>
            </w:tcBorders>
          </w:tcPr>
          <w:p>
            <w:pPr>
              <w:pStyle w:val="TableParagraph"/>
              <w:spacing w:line="227" w:lineRule="exact" w:before="32"/>
              <w:ind w:left="107"/>
              <w:rPr>
                <w:b/>
                <w:sz w:val="20"/>
              </w:rPr>
            </w:pPr>
            <w:r>
              <w:rPr>
                <w:b/>
                <w:sz w:val="20"/>
              </w:rPr>
              <w:t>Permanent</w:t>
            </w:r>
            <w:r>
              <w:rPr>
                <w:b/>
                <w:spacing w:val="-9"/>
                <w:sz w:val="20"/>
              </w:rPr>
              <w:t> </w:t>
            </w:r>
            <w:r>
              <w:rPr>
                <w:b/>
                <w:sz w:val="20"/>
              </w:rPr>
              <w:t>full</w:t>
            </w:r>
            <w:r>
              <w:rPr>
                <w:b/>
                <w:spacing w:val="-8"/>
                <w:sz w:val="20"/>
              </w:rPr>
              <w:t> </w:t>
            </w:r>
            <w:r>
              <w:rPr>
                <w:b/>
                <w:spacing w:val="-4"/>
                <w:sz w:val="20"/>
              </w:rPr>
              <w:t>time</w:t>
            </w:r>
          </w:p>
        </w:tc>
        <w:tc>
          <w:tcPr>
            <w:tcW w:w="1256" w:type="dxa"/>
          </w:tcPr>
          <w:p>
            <w:pPr>
              <w:pStyle w:val="TableParagraph"/>
              <w:spacing w:before="8"/>
              <w:ind w:right="166"/>
              <w:jc w:val="right"/>
              <w:rPr>
                <w:b/>
                <w:sz w:val="20"/>
              </w:rPr>
            </w:pPr>
            <w:r>
              <w:rPr>
                <w:b/>
                <w:spacing w:val="-4"/>
                <w:sz w:val="20"/>
              </w:rPr>
              <w:t>65.5</w:t>
            </w:r>
          </w:p>
        </w:tc>
        <w:tc>
          <w:tcPr>
            <w:tcW w:w="1320" w:type="dxa"/>
          </w:tcPr>
          <w:p>
            <w:pPr>
              <w:pStyle w:val="TableParagraph"/>
              <w:spacing w:before="8"/>
              <w:ind w:right="250"/>
              <w:jc w:val="right"/>
              <w:rPr>
                <w:b/>
                <w:sz w:val="20"/>
              </w:rPr>
            </w:pPr>
            <w:r>
              <w:rPr>
                <w:b/>
                <w:spacing w:val="-4"/>
                <w:sz w:val="20"/>
              </w:rPr>
              <w:t>65.5</w:t>
            </w:r>
          </w:p>
        </w:tc>
        <w:tc>
          <w:tcPr>
            <w:tcW w:w="1561" w:type="dxa"/>
          </w:tcPr>
          <w:p>
            <w:pPr>
              <w:pStyle w:val="TableParagraph"/>
              <w:spacing w:before="8"/>
              <w:ind w:right="236"/>
              <w:jc w:val="right"/>
              <w:rPr>
                <w:b/>
                <w:sz w:val="20"/>
              </w:rPr>
            </w:pPr>
            <w:r>
              <w:rPr>
                <w:b/>
                <w:spacing w:val="-4"/>
                <w:sz w:val="20"/>
              </w:rPr>
              <w:t>65.5</w:t>
            </w:r>
          </w:p>
        </w:tc>
        <w:tc>
          <w:tcPr>
            <w:tcW w:w="1374" w:type="dxa"/>
            <w:tcBorders>
              <w:right w:val="single" w:sz="12" w:space="0" w:color="000000"/>
            </w:tcBorders>
          </w:tcPr>
          <w:p>
            <w:pPr>
              <w:pStyle w:val="TableParagraph"/>
              <w:spacing w:before="8"/>
              <w:ind w:right="76"/>
              <w:jc w:val="right"/>
              <w:rPr>
                <w:b/>
                <w:sz w:val="20"/>
              </w:rPr>
            </w:pPr>
            <w:r>
              <w:rPr>
                <w:b/>
                <w:spacing w:val="-4"/>
                <w:sz w:val="20"/>
              </w:rPr>
              <w:t>65.5</w:t>
            </w:r>
          </w:p>
        </w:tc>
      </w:tr>
      <w:tr>
        <w:trPr>
          <w:trHeight w:val="279" w:hRule="atLeast"/>
        </w:trPr>
        <w:tc>
          <w:tcPr>
            <w:tcW w:w="5016" w:type="dxa"/>
            <w:tcBorders>
              <w:left w:val="single" w:sz="12" w:space="0" w:color="000000"/>
            </w:tcBorders>
          </w:tcPr>
          <w:p>
            <w:pPr>
              <w:pStyle w:val="TableParagraph"/>
              <w:spacing w:line="226" w:lineRule="exact" w:before="34"/>
              <w:ind w:left="107"/>
              <w:rPr>
                <w:sz w:val="20"/>
              </w:rPr>
            </w:pPr>
            <w:r>
              <w:rPr>
                <w:spacing w:val="-2"/>
                <w:sz w:val="20"/>
              </w:rPr>
              <w:t>Women</w:t>
            </w:r>
          </w:p>
        </w:tc>
        <w:tc>
          <w:tcPr>
            <w:tcW w:w="1256" w:type="dxa"/>
          </w:tcPr>
          <w:p>
            <w:pPr>
              <w:pStyle w:val="TableParagraph"/>
              <w:spacing w:before="10"/>
              <w:ind w:right="166"/>
              <w:jc w:val="right"/>
              <w:rPr>
                <w:sz w:val="20"/>
              </w:rPr>
            </w:pPr>
            <w:r>
              <w:rPr>
                <w:spacing w:val="-4"/>
                <w:sz w:val="20"/>
              </w:rPr>
              <w:t>34.8</w:t>
            </w:r>
          </w:p>
        </w:tc>
        <w:tc>
          <w:tcPr>
            <w:tcW w:w="1320" w:type="dxa"/>
          </w:tcPr>
          <w:p>
            <w:pPr>
              <w:pStyle w:val="TableParagraph"/>
              <w:spacing w:before="10"/>
              <w:ind w:right="250"/>
              <w:jc w:val="right"/>
              <w:rPr>
                <w:sz w:val="20"/>
              </w:rPr>
            </w:pPr>
            <w:r>
              <w:rPr>
                <w:spacing w:val="-4"/>
                <w:sz w:val="20"/>
              </w:rPr>
              <w:t>34.8</w:t>
            </w:r>
          </w:p>
        </w:tc>
        <w:tc>
          <w:tcPr>
            <w:tcW w:w="1561" w:type="dxa"/>
          </w:tcPr>
          <w:p>
            <w:pPr>
              <w:pStyle w:val="TableParagraph"/>
              <w:spacing w:before="10"/>
              <w:ind w:right="236"/>
              <w:jc w:val="right"/>
              <w:rPr>
                <w:sz w:val="20"/>
              </w:rPr>
            </w:pPr>
            <w:r>
              <w:rPr>
                <w:spacing w:val="-4"/>
                <w:sz w:val="20"/>
              </w:rPr>
              <w:t>34.8</w:t>
            </w:r>
          </w:p>
        </w:tc>
        <w:tc>
          <w:tcPr>
            <w:tcW w:w="1374" w:type="dxa"/>
            <w:tcBorders>
              <w:right w:val="single" w:sz="12" w:space="0" w:color="000000"/>
            </w:tcBorders>
          </w:tcPr>
          <w:p>
            <w:pPr>
              <w:pStyle w:val="TableParagraph"/>
              <w:spacing w:before="10"/>
              <w:ind w:right="76"/>
              <w:jc w:val="right"/>
              <w:rPr>
                <w:sz w:val="20"/>
              </w:rPr>
            </w:pPr>
            <w:r>
              <w:rPr>
                <w:spacing w:val="-4"/>
                <w:sz w:val="20"/>
              </w:rPr>
              <w:t>34.8</w:t>
            </w:r>
          </w:p>
        </w:tc>
      </w:tr>
      <w:tr>
        <w:trPr>
          <w:trHeight w:val="280" w:hRule="atLeast"/>
        </w:trPr>
        <w:tc>
          <w:tcPr>
            <w:tcW w:w="5016" w:type="dxa"/>
            <w:tcBorders>
              <w:left w:val="single" w:sz="12" w:space="0" w:color="000000"/>
            </w:tcBorders>
          </w:tcPr>
          <w:p>
            <w:pPr>
              <w:pStyle w:val="TableParagraph"/>
              <w:spacing w:line="226" w:lineRule="exact" w:before="35"/>
              <w:ind w:left="107"/>
              <w:rPr>
                <w:sz w:val="20"/>
              </w:rPr>
            </w:pPr>
            <w:r>
              <w:rPr>
                <w:spacing w:val="-5"/>
                <w:sz w:val="20"/>
              </w:rPr>
              <w:t>Men</w:t>
            </w:r>
          </w:p>
        </w:tc>
        <w:tc>
          <w:tcPr>
            <w:tcW w:w="1256" w:type="dxa"/>
          </w:tcPr>
          <w:p>
            <w:pPr>
              <w:pStyle w:val="TableParagraph"/>
              <w:spacing w:before="8"/>
              <w:ind w:right="166"/>
              <w:jc w:val="right"/>
              <w:rPr>
                <w:sz w:val="20"/>
              </w:rPr>
            </w:pPr>
            <w:r>
              <w:rPr>
                <w:spacing w:val="-4"/>
                <w:sz w:val="20"/>
              </w:rPr>
              <w:t>29.7</w:t>
            </w:r>
          </w:p>
        </w:tc>
        <w:tc>
          <w:tcPr>
            <w:tcW w:w="1320" w:type="dxa"/>
          </w:tcPr>
          <w:p>
            <w:pPr>
              <w:pStyle w:val="TableParagraph"/>
              <w:spacing w:before="8"/>
              <w:ind w:right="250"/>
              <w:jc w:val="right"/>
              <w:rPr>
                <w:sz w:val="20"/>
              </w:rPr>
            </w:pPr>
            <w:r>
              <w:rPr>
                <w:spacing w:val="-4"/>
                <w:sz w:val="20"/>
              </w:rPr>
              <w:t>29.7</w:t>
            </w:r>
          </w:p>
        </w:tc>
        <w:tc>
          <w:tcPr>
            <w:tcW w:w="1561" w:type="dxa"/>
          </w:tcPr>
          <w:p>
            <w:pPr>
              <w:pStyle w:val="TableParagraph"/>
              <w:spacing w:before="8"/>
              <w:ind w:right="236"/>
              <w:jc w:val="right"/>
              <w:rPr>
                <w:sz w:val="20"/>
              </w:rPr>
            </w:pPr>
            <w:r>
              <w:rPr>
                <w:spacing w:val="-4"/>
                <w:sz w:val="20"/>
              </w:rPr>
              <w:t>29.7</w:t>
            </w:r>
          </w:p>
        </w:tc>
        <w:tc>
          <w:tcPr>
            <w:tcW w:w="1374" w:type="dxa"/>
            <w:tcBorders>
              <w:right w:val="single" w:sz="12" w:space="0" w:color="000000"/>
            </w:tcBorders>
          </w:tcPr>
          <w:p>
            <w:pPr>
              <w:pStyle w:val="TableParagraph"/>
              <w:spacing w:before="8"/>
              <w:ind w:right="76"/>
              <w:jc w:val="right"/>
              <w:rPr>
                <w:sz w:val="20"/>
              </w:rPr>
            </w:pPr>
            <w:r>
              <w:rPr>
                <w:spacing w:val="-4"/>
                <w:sz w:val="20"/>
              </w:rPr>
              <w:t>29.7</w:t>
            </w:r>
          </w:p>
        </w:tc>
      </w:tr>
      <w:tr>
        <w:trPr>
          <w:trHeight w:val="279" w:hRule="atLeast"/>
        </w:trPr>
        <w:tc>
          <w:tcPr>
            <w:tcW w:w="5016" w:type="dxa"/>
            <w:tcBorders>
              <w:left w:val="single" w:sz="12" w:space="0" w:color="000000"/>
            </w:tcBorders>
          </w:tcPr>
          <w:p>
            <w:pPr>
              <w:pStyle w:val="TableParagraph"/>
              <w:spacing w:line="227" w:lineRule="exact" w:before="32"/>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56" w:type="dxa"/>
          </w:tcPr>
          <w:p>
            <w:pPr>
              <w:pStyle w:val="TableParagraph"/>
              <w:spacing w:before="8"/>
              <w:ind w:right="168"/>
              <w:jc w:val="right"/>
              <w:rPr>
                <w:sz w:val="20"/>
              </w:rPr>
            </w:pPr>
            <w:r>
              <w:rPr>
                <w:w w:val="99"/>
                <w:sz w:val="20"/>
              </w:rPr>
              <w:t>-</w:t>
            </w:r>
          </w:p>
        </w:tc>
        <w:tc>
          <w:tcPr>
            <w:tcW w:w="1320" w:type="dxa"/>
          </w:tcPr>
          <w:p>
            <w:pPr>
              <w:pStyle w:val="TableParagraph"/>
              <w:spacing w:before="8"/>
              <w:ind w:right="251"/>
              <w:jc w:val="right"/>
              <w:rPr>
                <w:sz w:val="20"/>
              </w:rPr>
            </w:pPr>
            <w:r>
              <w:rPr>
                <w:w w:val="99"/>
                <w:sz w:val="20"/>
              </w:rPr>
              <w:t>-</w:t>
            </w:r>
          </w:p>
        </w:tc>
        <w:tc>
          <w:tcPr>
            <w:tcW w:w="1561" w:type="dxa"/>
          </w:tcPr>
          <w:p>
            <w:pPr>
              <w:pStyle w:val="TableParagraph"/>
              <w:spacing w:before="8"/>
              <w:ind w:right="238"/>
              <w:jc w:val="right"/>
              <w:rPr>
                <w:sz w:val="20"/>
              </w:rPr>
            </w:pPr>
            <w:r>
              <w:rPr>
                <w:w w:val="99"/>
                <w:sz w:val="20"/>
              </w:rPr>
              <w:t>-</w:t>
            </w:r>
          </w:p>
        </w:tc>
        <w:tc>
          <w:tcPr>
            <w:tcW w:w="1374" w:type="dxa"/>
            <w:tcBorders>
              <w:right w:val="single" w:sz="12" w:space="0" w:color="000000"/>
            </w:tcBorders>
          </w:tcPr>
          <w:p>
            <w:pPr>
              <w:pStyle w:val="TableParagraph"/>
              <w:spacing w:before="8"/>
              <w:ind w:right="78"/>
              <w:jc w:val="right"/>
              <w:rPr>
                <w:sz w:val="20"/>
              </w:rPr>
            </w:pPr>
            <w:r>
              <w:rPr>
                <w:w w:val="99"/>
                <w:sz w:val="20"/>
              </w:rPr>
              <w:t>-</w:t>
            </w:r>
          </w:p>
        </w:tc>
      </w:tr>
      <w:tr>
        <w:trPr>
          <w:trHeight w:val="279" w:hRule="atLeast"/>
        </w:trPr>
        <w:tc>
          <w:tcPr>
            <w:tcW w:w="5016" w:type="dxa"/>
            <w:tcBorders>
              <w:left w:val="single" w:sz="12" w:space="0" w:color="000000"/>
            </w:tcBorders>
          </w:tcPr>
          <w:p>
            <w:pPr>
              <w:pStyle w:val="TableParagraph"/>
              <w:spacing w:line="226" w:lineRule="exact" w:before="34"/>
              <w:ind w:left="107"/>
              <w:rPr>
                <w:sz w:val="20"/>
              </w:rPr>
            </w:pPr>
            <w:r>
              <w:rPr>
                <w:sz w:val="20"/>
              </w:rPr>
              <w:t>Vacant</w:t>
            </w:r>
            <w:r>
              <w:rPr>
                <w:spacing w:val="-7"/>
                <w:sz w:val="20"/>
              </w:rPr>
              <w:t> </w:t>
            </w:r>
            <w:r>
              <w:rPr>
                <w:spacing w:val="-2"/>
                <w:sz w:val="20"/>
              </w:rPr>
              <w:t>Position</w:t>
            </w:r>
          </w:p>
        </w:tc>
        <w:tc>
          <w:tcPr>
            <w:tcW w:w="1256" w:type="dxa"/>
          </w:tcPr>
          <w:p>
            <w:pPr>
              <w:pStyle w:val="TableParagraph"/>
              <w:spacing w:before="10"/>
              <w:ind w:right="166"/>
              <w:jc w:val="right"/>
              <w:rPr>
                <w:sz w:val="20"/>
              </w:rPr>
            </w:pPr>
            <w:r>
              <w:rPr>
                <w:spacing w:val="-5"/>
                <w:sz w:val="20"/>
              </w:rPr>
              <w:t>1.0</w:t>
            </w:r>
          </w:p>
        </w:tc>
        <w:tc>
          <w:tcPr>
            <w:tcW w:w="1320" w:type="dxa"/>
          </w:tcPr>
          <w:p>
            <w:pPr>
              <w:pStyle w:val="TableParagraph"/>
              <w:spacing w:before="10"/>
              <w:ind w:right="250"/>
              <w:jc w:val="right"/>
              <w:rPr>
                <w:sz w:val="20"/>
              </w:rPr>
            </w:pPr>
            <w:r>
              <w:rPr>
                <w:spacing w:val="-5"/>
                <w:sz w:val="20"/>
              </w:rPr>
              <w:t>1.0</w:t>
            </w:r>
          </w:p>
        </w:tc>
        <w:tc>
          <w:tcPr>
            <w:tcW w:w="1561" w:type="dxa"/>
          </w:tcPr>
          <w:p>
            <w:pPr>
              <w:pStyle w:val="TableParagraph"/>
              <w:spacing w:before="10"/>
              <w:ind w:right="239"/>
              <w:jc w:val="right"/>
              <w:rPr>
                <w:sz w:val="20"/>
              </w:rPr>
            </w:pPr>
            <w:r>
              <w:rPr>
                <w:spacing w:val="-5"/>
                <w:sz w:val="20"/>
              </w:rPr>
              <w:t>1.0</w:t>
            </w:r>
          </w:p>
        </w:tc>
        <w:tc>
          <w:tcPr>
            <w:tcW w:w="1374" w:type="dxa"/>
            <w:tcBorders>
              <w:right w:val="single" w:sz="12" w:space="0" w:color="000000"/>
            </w:tcBorders>
          </w:tcPr>
          <w:p>
            <w:pPr>
              <w:pStyle w:val="TableParagraph"/>
              <w:spacing w:before="10"/>
              <w:ind w:right="77"/>
              <w:jc w:val="right"/>
              <w:rPr>
                <w:sz w:val="20"/>
              </w:rPr>
            </w:pPr>
            <w:r>
              <w:rPr>
                <w:spacing w:val="-5"/>
                <w:sz w:val="20"/>
              </w:rPr>
              <w:t>1.0</w:t>
            </w:r>
          </w:p>
        </w:tc>
      </w:tr>
      <w:tr>
        <w:trPr>
          <w:trHeight w:val="280" w:hRule="atLeast"/>
        </w:trPr>
        <w:tc>
          <w:tcPr>
            <w:tcW w:w="5016" w:type="dxa"/>
            <w:tcBorders>
              <w:left w:val="single" w:sz="12" w:space="0" w:color="000000"/>
            </w:tcBorders>
          </w:tcPr>
          <w:p>
            <w:pPr>
              <w:pStyle w:val="TableParagraph"/>
              <w:spacing w:line="226" w:lineRule="exact" w:before="35"/>
              <w:ind w:left="107"/>
              <w:rPr>
                <w:b/>
                <w:sz w:val="20"/>
              </w:rPr>
            </w:pPr>
            <w:r>
              <w:rPr>
                <w:b/>
                <w:sz w:val="20"/>
              </w:rPr>
              <w:t>Permanent</w:t>
            </w:r>
            <w:r>
              <w:rPr>
                <w:b/>
                <w:spacing w:val="-9"/>
                <w:sz w:val="20"/>
              </w:rPr>
              <w:t> </w:t>
            </w:r>
            <w:r>
              <w:rPr>
                <w:b/>
                <w:sz w:val="20"/>
              </w:rPr>
              <w:t>part</w:t>
            </w:r>
            <w:r>
              <w:rPr>
                <w:b/>
                <w:spacing w:val="-7"/>
                <w:sz w:val="20"/>
              </w:rPr>
              <w:t> </w:t>
            </w:r>
            <w:r>
              <w:rPr>
                <w:b/>
                <w:spacing w:val="-4"/>
                <w:sz w:val="20"/>
              </w:rPr>
              <w:t>time</w:t>
            </w:r>
          </w:p>
        </w:tc>
        <w:tc>
          <w:tcPr>
            <w:tcW w:w="1256" w:type="dxa"/>
          </w:tcPr>
          <w:p>
            <w:pPr>
              <w:pStyle w:val="TableParagraph"/>
              <w:spacing w:before="8"/>
              <w:ind w:right="166"/>
              <w:jc w:val="right"/>
              <w:rPr>
                <w:b/>
                <w:sz w:val="20"/>
              </w:rPr>
            </w:pPr>
            <w:r>
              <w:rPr>
                <w:b/>
                <w:spacing w:val="-4"/>
                <w:sz w:val="20"/>
              </w:rPr>
              <w:t>11.3</w:t>
            </w:r>
          </w:p>
        </w:tc>
        <w:tc>
          <w:tcPr>
            <w:tcW w:w="1320" w:type="dxa"/>
          </w:tcPr>
          <w:p>
            <w:pPr>
              <w:pStyle w:val="TableParagraph"/>
              <w:spacing w:before="8"/>
              <w:ind w:right="250"/>
              <w:jc w:val="right"/>
              <w:rPr>
                <w:b/>
                <w:sz w:val="20"/>
              </w:rPr>
            </w:pPr>
            <w:r>
              <w:rPr>
                <w:b/>
                <w:spacing w:val="-4"/>
                <w:sz w:val="20"/>
              </w:rPr>
              <w:t>11.3</w:t>
            </w:r>
          </w:p>
        </w:tc>
        <w:tc>
          <w:tcPr>
            <w:tcW w:w="1561" w:type="dxa"/>
          </w:tcPr>
          <w:p>
            <w:pPr>
              <w:pStyle w:val="TableParagraph"/>
              <w:spacing w:before="8"/>
              <w:ind w:right="236"/>
              <w:jc w:val="right"/>
              <w:rPr>
                <w:b/>
                <w:sz w:val="20"/>
              </w:rPr>
            </w:pPr>
            <w:r>
              <w:rPr>
                <w:b/>
                <w:spacing w:val="-4"/>
                <w:sz w:val="20"/>
              </w:rPr>
              <w:t>11.3</w:t>
            </w:r>
          </w:p>
        </w:tc>
        <w:tc>
          <w:tcPr>
            <w:tcW w:w="1374" w:type="dxa"/>
            <w:tcBorders>
              <w:right w:val="single" w:sz="12" w:space="0" w:color="000000"/>
            </w:tcBorders>
          </w:tcPr>
          <w:p>
            <w:pPr>
              <w:pStyle w:val="TableParagraph"/>
              <w:spacing w:before="8"/>
              <w:ind w:right="76"/>
              <w:jc w:val="right"/>
              <w:rPr>
                <w:b/>
                <w:sz w:val="20"/>
              </w:rPr>
            </w:pPr>
            <w:r>
              <w:rPr>
                <w:b/>
                <w:spacing w:val="-4"/>
                <w:sz w:val="20"/>
              </w:rPr>
              <w:t>11.3</w:t>
            </w:r>
          </w:p>
        </w:tc>
      </w:tr>
      <w:tr>
        <w:trPr>
          <w:trHeight w:val="279" w:hRule="atLeast"/>
        </w:trPr>
        <w:tc>
          <w:tcPr>
            <w:tcW w:w="5016" w:type="dxa"/>
            <w:tcBorders>
              <w:left w:val="single" w:sz="12" w:space="0" w:color="000000"/>
            </w:tcBorders>
          </w:tcPr>
          <w:p>
            <w:pPr>
              <w:pStyle w:val="TableParagraph"/>
              <w:spacing w:line="227" w:lineRule="exact" w:before="32"/>
              <w:ind w:left="107"/>
              <w:rPr>
                <w:sz w:val="20"/>
              </w:rPr>
            </w:pPr>
            <w:r>
              <w:rPr>
                <w:spacing w:val="-2"/>
                <w:sz w:val="20"/>
              </w:rPr>
              <w:t>Women</w:t>
            </w:r>
          </w:p>
        </w:tc>
        <w:tc>
          <w:tcPr>
            <w:tcW w:w="1256" w:type="dxa"/>
          </w:tcPr>
          <w:p>
            <w:pPr>
              <w:pStyle w:val="TableParagraph"/>
              <w:spacing w:before="8"/>
              <w:ind w:right="166"/>
              <w:jc w:val="right"/>
              <w:rPr>
                <w:sz w:val="20"/>
              </w:rPr>
            </w:pPr>
            <w:r>
              <w:rPr>
                <w:spacing w:val="-5"/>
                <w:sz w:val="20"/>
              </w:rPr>
              <w:t>9.9</w:t>
            </w:r>
          </w:p>
        </w:tc>
        <w:tc>
          <w:tcPr>
            <w:tcW w:w="1320" w:type="dxa"/>
          </w:tcPr>
          <w:p>
            <w:pPr>
              <w:pStyle w:val="TableParagraph"/>
              <w:spacing w:before="8"/>
              <w:ind w:right="250"/>
              <w:jc w:val="right"/>
              <w:rPr>
                <w:sz w:val="20"/>
              </w:rPr>
            </w:pPr>
            <w:r>
              <w:rPr>
                <w:spacing w:val="-5"/>
                <w:sz w:val="20"/>
              </w:rPr>
              <w:t>9.9</w:t>
            </w:r>
          </w:p>
        </w:tc>
        <w:tc>
          <w:tcPr>
            <w:tcW w:w="1561" w:type="dxa"/>
          </w:tcPr>
          <w:p>
            <w:pPr>
              <w:pStyle w:val="TableParagraph"/>
              <w:spacing w:before="8"/>
              <w:ind w:right="239"/>
              <w:jc w:val="right"/>
              <w:rPr>
                <w:sz w:val="20"/>
              </w:rPr>
            </w:pPr>
            <w:r>
              <w:rPr>
                <w:spacing w:val="-5"/>
                <w:sz w:val="20"/>
              </w:rPr>
              <w:t>9.9</w:t>
            </w:r>
          </w:p>
        </w:tc>
        <w:tc>
          <w:tcPr>
            <w:tcW w:w="1374" w:type="dxa"/>
            <w:tcBorders>
              <w:right w:val="single" w:sz="12" w:space="0" w:color="000000"/>
            </w:tcBorders>
          </w:tcPr>
          <w:p>
            <w:pPr>
              <w:pStyle w:val="TableParagraph"/>
              <w:spacing w:before="8"/>
              <w:ind w:right="77"/>
              <w:jc w:val="right"/>
              <w:rPr>
                <w:sz w:val="20"/>
              </w:rPr>
            </w:pPr>
            <w:r>
              <w:rPr>
                <w:spacing w:val="-5"/>
                <w:sz w:val="20"/>
              </w:rPr>
              <w:t>9.9</w:t>
            </w:r>
          </w:p>
        </w:tc>
      </w:tr>
      <w:tr>
        <w:trPr>
          <w:trHeight w:val="279" w:hRule="atLeast"/>
        </w:trPr>
        <w:tc>
          <w:tcPr>
            <w:tcW w:w="5016" w:type="dxa"/>
            <w:tcBorders>
              <w:left w:val="single" w:sz="12" w:space="0" w:color="000000"/>
            </w:tcBorders>
          </w:tcPr>
          <w:p>
            <w:pPr>
              <w:pStyle w:val="TableParagraph"/>
              <w:spacing w:line="226" w:lineRule="exact" w:before="34"/>
              <w:ind w:left="107"/>
              <w:rPr>
                <w:sz w:val="20"/>
              </w:rPr>
            </w:pPr>
            <w:r>
              <w:rPr>
                <w:spacing w:val="-5"/>
                <w:sz w:val="20"/>
              </w:rPr>
              <w:t>Men</w:t>
            </w:r>
          </w:p>
        </w:tc>
        <w:tc>
          <w:tcPr>
            <w:tcW w:w="1256" w:type="dxa"/>
          </w:tcPr>
          <w:p>
            <w:pPr>
              <w:pStyle w:val="TableParagraph"/>
              <w:spacing w:before="10"/>
              <w:ind w:right="166"/>
              <w:jc w:val="right"/>
              <w:rPr>
                <w:sz w:val="20"/>
              </w:rPr>
            </w:pPr>
            <w:r>
              <w:rPr>
                <w:spacing w:val="-5"/>
                <w:sz w:val="20"/>
              </w:rPr>
              <w:t>0.7</w:t>
            </w:r>
          </w:p>
        </w:tc>
        <w:tc>
          <w:tcPr>
            <w:tcW w:w="1320" w:type="dxa"/>
          </w:tcPr>
          <w:p>
            <w:pPr>
              <w:pStyle w:val="TableParagraph"/>
              <w:spacing w:before="10"/>
              <w:ind w:right="250"/>
              <w:jc w:val="right"/>
              <w:rPr>
                <w:sz w:val="20"/>
              </w:rPr>
            </w:pPr>
            <w:r>
              <w:rPr>
                <w:spacing w:val="-5"/>
                <w:sz w:val="20"/>
              </w:rPr>
              <w:t>0.7</w:t>
            </w:r>
          </w:p>
        </w:tc>
        <w:tc>
          <w:tcPr>
            <w:tcW w:w="1561" w:type="dxa"/>
          </w:tcPr>
          <w:p>
            <w:pPr>
              <w:pStyle w:val="TableParagraph"/>
              <w:spacing w:before="10"/>
              <w:ind w:right="239"/>
              <w:jc w:val="right"/>
              <w:rPr>
                <w:sz w:val="20"/>
              </w:rPr>
            </w:pPr>
            <w:r>
              <w:rPr>
                <w:spacing w:val="-5"/>
                <w:sz w:val="20"/>
              </w:rPr>
              <w:t>0.7</w:t>
            </w:r>
          </w:p>
        </w:tc>
        <w:tc>
          <w:tcPr>
            <w:tcW w:w="1374" w:type="dxa"/>
            <w:tcBorders>
              <w:right w:val="single" w:sz="12" w:space="0" w:color="000000"/>
            </w:tcBorders>
          </w:tcPr>
          <w:p>
            <w:pPr>
              <w:pStyle w:val="TableParagraph"/>
              <w:spacing w:before="10"/>
              <w:ind w:right="77"/>
              <w:jc w:val="right"/>
              <w:rPr>
                <w:sz w:val="20"/>
              </w:rPr>
            </w:pPr>
            <w:r>
              <w:rPr>
                <w:spacing w:val="-5"/>
                <w:sz w:val="20"/>
              </w:rPr>
              <w:t>0.7</w:t>
            </w:r>
          </w:p>
        </w:tc>
      </w:tr>
      <w:tr>
        <w:trPr>
          <w:trHeight w:val="280" w:hRule="atLeast"/>
        </w:trPr>
        <w:tc>
          <w:tcPr>
            <w:tcW w:w="5016" w:type="dxa"/>
            <w:tcBorders>
              <w:left w:val="single" w:sz="12" w:space="0" w:color="000000"/>
            </w:tcBorders>
          </w:tcPr>
          <w:p>
            <w:pPr>
              <w:pStyle w:val="TableParagraph"/>
              <w:spacing w:line="226" w:lineRule="exact" w:before="35"/>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56" w:type="dxa"/>
          </w:tcPr>
          <w:p>
            <w:pPr>
              <w:pStyle w:val="TableParagraph"/>
              <w:spacing w:before="8"/>
              <w:ind w:right="168"/>
              <w:jc w:val="right"/>
              <w:rPr>
                <w:sz w:val="20"/>
              </w:rPr>
            </w:pPr>
            <w:r>
              <w:rPr>
                <w:w w:val="99"/>
                <w:sz w:val="20"/>
              </w:rPr>
              <w:t>-</w:t>
            </w:r>
          </w:p>
        </w:tc>
        <w:tc>
          <w:tcPr>
            <w:tcW w:w="1320" w:type="dxa"/>
          </w:tcPr>
          <w:p>
            <w:pPr>
              <w:pStyle w:val="TableParagraph"/>
              <w:spacing w:before="8"/>
              <w:ind w:right="251"/>
              <w:jc w:val="right"/>
              <w:rPr>
                <w:sz w:val="20"/>
              </w:rPr>
            </w:pPr>
            <w:r>
              <w:rPr>
                <w:w w:val="99"/>
                <w:sz w:val="20"/>
              </w:rPr>
              <w:t>-</w:t>
            </w:r>
          </w:p>
        </w:tc>
        <w:tc>
          <w:tcPr>
            <w:tcW w:w="1561" w:type="dxa"/>
          </w:tcPr>
          <w:p>
            <w:pPr>
              <w:pStyle w:val="TableParagraph"/>
              <w:spacing w:before="8"/>
              <w:ind w:right="238"/>
              <w:jc w:val="right"/>
              <w:rPr>
                <w:sz w:val="20"/>
              </w:rPr>
            </w:pPr>
            <w:r>
              <w:rPr>
                <w:w w:val="99"/>
                <w:sz w:val="20"/>
              </w:rPr>
              <w:t>-</w:t>
            </w:r>
          </w:p>
        </w:tc>
        <w:tc>
          <w:tcPr>
            <w:tcW w:w="1374" w:type="dxa"/>
            <w:tcBorders>
              <w:right w:val="single" w:sz="12" w:space="0" w:color="000000"/>
            </w:tcBorders>
          </w:tcPr>
          <w:p>
            <w:pPr>
              <w:pStyle w:val="TableParagraph"/>
              <w:spacing w:before="8"/>
              <w:ind w:right="78"/>
              <w:jc w:val="right"/>
              <w:rPr>
                <w:sz w:val="20"/>
              </w:rPr>
            </w:pPr>
            <w:r>
              <w:rPr>
                <w:w w:val="99"/>
                <w:sz w:val="20"/>
              </w:rPr>
              <w:t>-</w:t>
            </w:r>
          </w:p>
        </w:tc>
      </w:tr>
      <w:tr>
        <w:trPr>
          <w:trHeight w:val="263" w:hRule="atLeast"/>
        </w:trPr>
        <w:tc>
          <w:tcPr>
            <w:tcW w:w="5016" w:type="dxa"/>
            <w:tcBorders>
              <w:left w:val="single" w:sz="12" w:space="0" w:color="000000"/>
            </w:tcBorders>
          </w:tcPr>
          <w:p>
            <w:pPr>
              <w:pStyle w:val="TableParagraph"/>
              <w:spacing w:line="211" w:lineRule="exact" w:before="32"/>
              <w:ind w:left="107"/>
              <w:rPr>
                <w:sz w:val="20"/>
              </w:rPr>
            </w:pPr>
            <w:r>
              <w:rPr>
                <w:sz w:val="20"/>
              </w:rPr>
              <w:t>Vacant</w:t>
            </w:r>
            <w:r>
              <w:rPr>
                <w:spacing w:val="-7"/>
                <w:sz w:val="20"/>
              </w:rPr>
              <w:t> </w:t>
            </w:r>
            <w:r>
              <w:rPr>
                <w:spacing w:val="-2"/>
                <w:sz w:val="20"/>
              </w:rPr>
              <w:t>Position</w:t>
            </w:r>
          </w:p>
        </w:tc>
        <w:tc>
          <w:tcPr>
            <w:tcW w:w="1256" w:type="dxa"/>
            <w:tcBorders>
              <w:bottom w:val="single" w:sz="4" w:space="0" w:color="000000"/>
            </w:tcBorders>
          </w:tcPr>
          <w:p>
            <w:pPr>
              <w:pStyle w:val="TableParagraph"/>
              <w:spacing w:before="8"/>
              <w:ind w:right="166"/>
              <w:jc w:val="right"/>
              <w:rPr>
                <w:sz w:val="20"/>
              </w:rPr>
            </w:pPr>
            <w:r>
              <w:rPr>
                <w:spacing w:val="-5"/>
                <w:sz w:val="20"/>
              </w:rPr>
              <w:t>0.7</w:t>
            </w:r>
          </w:p>
        </w:tc>
        <w:tc>
          <w:tcPr>
            <w:tcW w:w="1320" w:type="dxa"/>
            <w:tcBorders>
              <w:bottom w:val="single" w:sz="4" w:space="0" w:color="000000"/>
            </w:tcBorders>
          </w:tcPr>
          <w:p>
            <w:pPr>
              <w:pStyle w:val="TableParagraph"/>
              <w:spacing w:before="8"/>
              <w:ind w:right="250"/>
              <w:jc w:val="right"/>
              <w:rPr>
                <w:sz w:val="20"/>
              </w:rPr>
            </w:pPr>
            <w:r>
              <w:rPr>
                <w:spacing w:val="-5"/>
                <w:sz w:val="20"/>
              </w:rPr>
              <w:t>0.7</w:t>
            </w:r>
          </w:p>
        </w:tc>
        <w:tc>
          <w:tcPr>
            <w:tcW w:w="1561" w:type="dxa"/>
            <w:tcBorders>
              <w:bottom w:val="single" w:sz="4" w:space="0" w:color="000000"/>
            </w:tcBorders>
          </w:tcPr>
          <w:p>
            <w:pPr>
              <w:pStyle w:val="TableParagraph"/>
              <w:spacing w:before="8"/>
              <w:ind w:right="239"/>
              <w:jc w:val="right"/>
              <w:rPr>
                <w:sz w:val="20"/>
              </w:rPr>
            </w:pPr>
            <w:r>
              <w:rPr>
                <w:spacing w:val="-5"/>
                <w:sz w:val="20"/>
              </w:rPr>
              <w:t>0.7</w:t>
            </w:r>
          </w:p>
        </w:tc>
        <w:tc>
          <w:tcPr>
            <w:tcW w:w="1374" w:type="dxa"/>
            <w:tcBorders>
              <w:bottom w:val="single" w:sz="4" w:space="0" w:color="000000"/>
              <w:right w:val="single" w:sz="12" w:space="0" w:color="000000"/>
            </w:tcBorders>
          </w:tcPr>
          <w:p>
            <w:pPr>
              <w:pStyle w:val="TableParagraph"/>
              <w:spacing w:before="8"/>
              <w:ind w:right="77"/>
              <w:jc w:val="right"/>
              <w:rPr>
                <w:sz w:val="20"/>
              </w:rPr>
            </w:pPr>
            <w:r>
              <w:rPr>
                <w:spacing w:val="-5"/>
                <w:sz w:val="20"/>
              </w:rPr>
              <w:t>0.7</w:t>
            </w:r>
          </w:p>
        </w:tc>
      </w:tr>
      <w:tr>
        <w:trPr>
          <w:trHeight w:val="296" w:hRule="atLeast"/>
        </w:trPr>
        <w:tc>
          <w:tcPr>
            <w:tcW w:w="5016" w:type="dxa"/>
            <w:tcBorders>
              <w:left w:val="single" w:sz="12" w:space="0" w:color="000000"/>
            </w:tcBorders>
          </w:tcPr>
          <w:p>
            <w:pPr>
              <w:pStyle w:val="TableParagraph"/>
              <w:spacing w:line="227" w:lineRule="exact" w:before="50"/>
              <w:ind w:left="107"/>
              <w:rPr>
                <w:b/>
                <w:sz w:val="20"/>
              </w:rPr>
            </w:pPr>
            <w:r>
              <w:rPr>
                <w:b/>
                <w:sz w:val="20"/>
              </w:rPr>
              <w:t>Total</w:t>
            </w:r>
            <w:r>
              <w:rPr>
                <w:b/>
                <w:spacing w:val="-7"/>
                <w:sz w:val="20"/>
              </w:rPr>
              <w:t> </w:t>
            </w:r>
            <w:r>
              <w:rPr>
                <w:b/>
                <w:sz w:val="20"/>
              </w:rPr>
              <w:t>Chief</w:t>
            </w:r>
            <w:r>
              <w:rPr>
                <w:b/>
                <w:spacing w:val="-7"/>
                <w:sz w:val="20"/>
              </w:rPr>
              <w:t> </w:t>
            </w:r>
            <w:r>
              <w:rPr>
                <w:b/>
                <w:sz w:val="20"/>
              </w:rPr>
              <w:t>Financial</w:t>
            </w:r>
            <w:r>
              <w:rPr>
                <w:b/>
                <w:spacing w:val="-7"/>
                <w:sz w:val="20"/>
              </w:rPr>
              <w:t> </w:t>
            </w:r>
            <w:r>
              <w:rPr>
                <w:b/>
                <w:spacing w:val="-2"/>
                <w:sz w:val="20"/>
              </w:rPr>
              <w:t>Office</w:t>
            </w:r>
          </w:p>
        </w:tc>
        <w:tc>
          <w:tcPr>
            <w:tcW w:w="1256" w:type="dxa"/>
            <w:tcBorders>
              <w:top w:val="single" w:sz="4" w:space="0" w:color="000000"/>
            </w:tcBorders>
          </w:tcPr>
          <w:p>
            <w:pPr>
              <w:pStyle w:val="TableParagraph"/>
              <w:spacing w:before="26"/>
              <w:ind w:right="166"/>
              <w:jc w:val="right"/>
              <w:rPr>
                <w:b/>
                <w:sz w:val="20"/>
              </w:rPr>
            </w:pPr>
            <w:r>
              <w:rPr>
                <w:b/>
                <w:spacing w:val="-4"/>
                <w:sz w:val="20"/>
              </w:rPr>
              <w:t>76.8</w:t>
            </w:r>
          </w:p>
        </w:tc>
        <w:tc>
          <w:tcPr>
            <w:tcW w:w="1320" w:type="dxa"/>
            <w:tcBorders>
              <w:top w:val="single" w:sz="4" w:space="0" w:color="000000"/>
            </w:tcBorders>
          </w:tcPr>
          <w:p>
            <w:pPr>
              <w:pStyle w:val="TableParagraph"/>
              <w:spacing w:before="26"/>
              <w:ind w:right="250"/>
              <w:jc w:val="right"/>
              <w:rPr>
                <w:b/>
                <w:sz w:val="20"/>
              </w:rPr>
            </w:pPr>
            <w:r>
              <w:rPr>
                <w:b/>
                <w:spacing w:val="-4"/>
                <w:sz w:val="20"/>
              </w:rPr>
              <w:t>76.8</w:t>
            </w:r>
          </w:p>
        </w:tc>
        <w:tc>
          <w:tcPr>
            <w:tcW w:w="1561" w:type="dxa"/>
            <w:tcBorders>
              <w:top w:val="single" w:sz="4" w:space="0" w:color="000000"/>
            </w:tcBorders>
          </w:tcPr>
          <w:p>
            <w:pPr>
              <w:pStyle w:val="TableParagraph"/>
              <w:spacing w:before="26"/>
              <w:ind w:right="236"/>
              <w:jc w:val="right"/>
              <w:rPr>
                <w:b/>
                <w:sz w:val="20"/>
              </w:rPr>
            </w:pPr>
            <w:r>
              <w:rPr>
                <w:b/>
                <w:spacing w:val="-4"/>
                <w:sz w:val="20"/>
              </w:rPr>
              <w:t>76.8</w:t>
            </w:r>
          </w:p>
        </w:tc>
        <w:tc>
          <w:tcPr>
            <w:tcW w:w="1374" w:type="dxa"/>
            <w:tcBorders>
              <w:top w:val="single" w:sz="4" w:space="0" w:color="000000"/>
              <w:right w:val="single" w:sz="12" w:space="0" w:color="000000"/>
            </w:tcBorders>
          </w:tcPr>
          <w:p>
            <w:pPr>
              <w:pStyle w:val="TableParagraph"/>
              <w:spacing w:before="26"/>
              <w:ind w:right="76"/>
              <w:jc w:val="right"/>
              <w:rPr>
                <w:b/>
                <w:sz w:val="20"/>
              </w:rPr>
            </w:pPr>
            <w:r>
              <w:rPr>
                <w:b/>
                <w:spacing w:val="-4"/>
                <w:sz w:val="20"/>
              </w:rPr>
              <w:t>76.8</w:t>
            </w:r>
          </w:p>
        </w:tc>
      </w:tr>
      <w:tr>
        <w:trPr>
          <w:trHeight w:val="279" w:hRule="atLeast"/>
        </w:trPr>
        <w:tc>
          <w:tcPr>
            <w:tcW w:w="5016" w:type="dxa"/>
            <w:tcBorders>
              <w:left w:val="single" w:sz="12" w:space="0" w:color="000000"/>
            </w:tcBorders>
          </w:tcPr>
          <w:p>
            <w:pPr>
              <w:pStyle w:val="TableParagraph"/>
              <w:spacing w:line="226" w:lineRule="exact" w:before="34"/>
              <w:ind w:left="107"/>
              <w:rPr>
                <w:sz w:val="20"/>
              </w:rPr>
            </w:pPr>
            <w:r>
              <w:rPr>
                <w:sz w:val="20"/>
              </w:rPr>
              <w:t>Total</w:t>
            </w:r>
            <w:r>
              <w:rPr>
                <w:spacing w:val="-6"/>
                <w:sz w:val="20"/>
              </w:rPr>
              <w:t> </w:t>
            </w:r>
            <w:r>
              <w:rPr>
                <w:spacing w:val="-2"/>
                <w:sz w:val="20"/>
              </w:rPr>
              <w:t>Casuals</w:t>
            </w:r>
          </w:p>
        </w:tc>
        <w:tc>
          <w:tcPr>
            <w:tcW w:w="1256" w:type="dxa"/>
          </w:tcPr>
          <w:p>
            <w:pPr>
              <w:pStyle w:val="TableParagraph"/>
              <w:spacing w:before="10"/>
              <w:ind w:right="166"/>
              <w:jc w:val="right"/>
              <w:rPr>
                <w:sz w:val="20"/>
              </w:rPr>
            </w:pPr>
            <w:r>
              <w:rPr>
                <w:spacing w:val="-4"/>
                <w:sz w:val="20"/>
              </w:rPr>
              <w:t>77.6</w:t>
            </w:r>
          </w:p>
        </w:tc>
        <w:tc>
          <w:tcPr>
            <w:tcW w:w="1320" w:type="dxa"/>
          </w:tcPr>
          <w:p>
            <w:pPr>
              <w:pStyle w:val="TableParagraph"/>
              <w:spacing w:before="10"/>
              <w:ind w:right="250"/>
              <w:jc w:val="right"/>
              <w:rPr>
                <w:sz w:val="20"/>
              </w:rPr>
            </w:pPr>
            <w:r>
              <w:rPr>
                <w:spacing w:val="-4"/>
                <w:sz w:val="20"/>
              </w:rPr>
              <w:t>77.6</w:t>
            </w:r>
          </w:p>
        </w:tc>
        <w:tc>
          <w:tcPr>
            <w:tcW w:w="1561" w:type="dxa"/>
          </w:tcPr>
          <w:p>
            <w:pPr>
              <w:pStyle w:val="TableParagraph"/>
              <w:spacing w:before="10"/>
              <w:ind w:right="236"/>
              <w:jc w:val="right"/>
              <w:rPr>
                <w:sz w:val="20"/>
              </w:rPr>
            </w:pPr>
            <w:r>
              <w:rPr>
                <w:spacing w:val="-4"/>
                <w:sz w:val="20"/>
              </w:rPr>
              <w:t>77.6</w:t>
            </w:r>
          </w:p>
        </w:tc>
        <w:tc>
          <w:tcPr>
            <w:tcW w:w="1374" w:type="dxa"/>
            <w:tcBorders>
              <w:right w:val="single" w:sz="12" w:space="0" w:color="000000"/>
            </w:tcBorders>
          </w:tcPr>
          <w:p>
            <w:pPr>
              <w:pStyle w:val="TableParagraph"/>
              <w:spacing w:before="10"/>
              <w:ind w:right="76"/>
              <w:jc w:val="right"/>
              <w:rPr>
                <w:sz w:val="20"/>
              </w:rPr>
            </w:pPr>
            <w:r>
              <w:rPr>
                <w:spacing w:val="-4"/>
                <w:sz w:val="20"/>
              </w:rPr>
              <w:t>77.6</w:t>
            </w:r>
          </w:p>
        </w:tc>
      </w:tr>
      <w:tr>
        <w:trPr>
          <w:trHeight w:val="265" w:hRule="atLeast"/>
        </w:trPr>
        <w:tc>
          <w:tcPr>
            <w:tcW w:w="5016" w:type="dxa"/>
            <w:tcBorders>
              <w:left w:val="single" w:sz="12" w:space="0" w:color="000000"/>
            </w:tcBorders>
          </w:tcPr>
          <w:p>
            <w:pPr>
              <w:pStyle w:val="TableParagraph"/>
              <w:spacing w:line="211" w:lineRule="exact" w:before="35"/>
              <w:ind w:left="107"/>
              <w:rPr>
                <w:sz w:val="20"/>
              </w:rPr>
            </w:pPr>
            <w:r>
              <w:rPr>
                <w:sz w:val="20"/>
              </w:rPr>
              <w:t>Capitalised</w:t>
            </w:r>
            <w:r>
              <w:rPr>
                <w:spacing w:val="-11"/>
                <w:sz w:val="20"/>
              </w:rPr>
              <w:t> </w:t>
            </w:r>
            <w:r>
              <w:rPr>
                <w:spacing w:val="-2"/>
                <w:sz w:val="20"/>
              </w:rPr>
              <w:t>labour</w:t>
            </w:r>
          </w:p>
        </w:tc>
        <w:tc>
          <w:tcPr>
            <w:tcW w:w="1256" w:type="dxa"/>
            <w:tcBorders>
              <w:bottom w:val="single" w:sz="4" w:space="0" w:color="000000"/>
            </w:tcBorders>
          </w:tcPr>
          <w:p>
            <w:pPr>
              <w:pStyle w:val="TableParagraph"/>
              <w:spacing w:before="8"/>
              <w:ind w:right="166"/>
              <w:jc w:val="right"/>
              <w:rPr>
                <w:sz w:val="20"/>
              </w:rPr>
            </w:pPr>
            <w:r>
              <w:rPr>
                <w:spacing w:val="-4"/>
                <w:sz w:val="20"/>
              </w:rPr>
              <w:t>16.2</w:t>
            </w:r>
          </w:p>
        </w:tc>
        <w:tc>
          <w:tcPr>
            <w:tcW w:w="1320" w:type="dxa"/>
            <w:tcBorders>
              <w:bottom w:val="single" w:sz="4" w:space="0" w:color="000000"/>
            </w:tcBorders>
          </w:tcPr>
          <w:p>
            <w:pPr>
              <w:pStyle w:val="TableParagraph"/>
              <w:spacing w:before="8"/>
              <w:ind w:right="250"/>
              <w:jc w:val="right"/>
              <w:rPr>
                <w:sz w:val="20"/>
              </w:rPr>
            </w:pPr>
            <w:r>
              <w:rPr>
                <w:spacing w:val="-4"/>
                <w:sz w:val="20"/>
              </w:rPr>
              <w:t>16.2</w:t>
            </w:r>
          </w:p>
        </w:tc>
        <w:tc>
          <w:tcPr>
            <w:tcW w:w="1561" w:type="dxa"/>
            <w:tcBorders>
              <w:bottom w:val="single" w:sz="4" w:space="0" w:color="000000"/>
            </w:tcBorders>
          </w:tcPr>
          <w:p>
            <w:pPr>
              <w:pStyle w:val="TableParagraph"/>
              <w:spacing w:before="8"/>
              <w:ind w:right="236"/>
              <w:jc w:val="right"/>
              <w:rPr>
                <w:sz w:val="20"/>
              </w:rPr>
            </w:pPr>
            <w:r>
              <w:rPr>
                <w:spacing w:val="-4"/>
                <w:sz w:val="20"/>
              </w:rPr>
              <w:t>16.2</w:t>
            </w:r>
          </w:p>
        </w:tc>
        <w:tc>
          <w:tcPr>
            <w:tcW w:w="1374" w:type="dxa"/>
            <w:tcBorders>
              <w:bottom w:val="single" w:sz="4" w:space="0" w:color="000000"/>
              <w:right w:val="single" w:sz="12" w:space="0" w:color="000000"/>
            </w:tcBorders>
          </w:tcPr>
          <w:p>
            <w:pPr>
              <w:pStyle w:val="TableParagraph"/>
              <w:spacing w:before="8"/>
              <w:ind w:right="76"/>
              <w:jc w:val="right"/>
              <w:rPr>
                <w:sz w:val="20"/>
              </w:rPr>
            </w:pPr>
            <w:r>
              <w:rPr>
                <w:spacing w:val="-4"/>
                <w:sz w:val="20"/>
              </w:rPr>
              <w:t>16.2</w:t>
            </w:r>
          </w:p>
        </w:tc>
      </w:tr>
      <w:tr>
        <w:trPr>
          <w:trHeight w:val="280" w:hRule="atLeast"/>
        </w:trPr>
        <w:tc>
          <w:tcPr>
            <w:tcW w:w="5016" w:type="dxa"/>
            <w:tcBorders>
              <w:left w:val="single" w:sz="12" w:space="0" w:color="000000"/>
              <w:bottom w:val="single" w:sz="12" w:space="0" w:color="000000"/>
            </w:tcBorders>
          </w:tcPr>
          <w:p>
            <w:pPr>
              <w:pStyle w:val="TableParagraph"/>
              <w:spacing w:line="213" w:lineRule="exact" w:before="47"/>
              <w:ind w:left="107"/>
              <w:rPr>
                <w:b/>
                <w:sz w:val="20"/>
              </w:rPr>
            </w:pPr>
            <w:r>
              <w:rPr>
                <w:b/>
                <w:sz w:val="20"/>
              </w:rPr>
              <w:t>Total</w:t>
            </w:r>
            <w:r>
              <w:rPr>
                <w:b/>
                <w:spacing w:val="-7"/>
                <w:sz w:val="20"/>
              </w:rPr>
              <w:t> </w:t>
            </w:r>
            <w:r>
              <w:rPr>
                <w:b/>
                <w:sz w:val="20"/>
              </w:rPr>
              <w:t>Staff</w:t>
            </w:r>
            <w:r>
              <w:rPr>
                <w:b/>
                <w:spacing w:val="-7"/>
                <w:sz w:val="20"/>
              </w:rPr>
              <w:t> </w:t>
            </w:r>
            <w:r>
              <w:rPr>
                <w:b/>
                <w:spacing w:val="-5"/>
                <w:sz w:val="20"/>
              </w:rPr>
              <w:t>FTE</w:t>
            </w:r>
          </w:p>
        </w:tc>
        <w:tc>
          <w:tcPr>
            <w:tcW w:w="1256" w:type="dxa"/>
            <w:tcBorders>
              <w:top w:val="single" w:sz="4" w:space="0" w:color="000000"/>
              <w:bottom w:val="single" w:sz="12" w:space="0" w:color="000000"/>
            </w:tcBorders>
          </w:tcPr>
          <w:p>
            <w:pPr>
              <w:pStyle w:val="TableParagraph"/>
              <w:spacing w:line="213" w:lineRule="exact" w:before="47"/>
              <w:ind w:right="165"/>
              <w:jc w:val="right"/>
              <w:rPr>
                <w:b/>
                <w:sz w:val="20"/>
              </w:rPr>
            </w:pPr>
            <w:r>
              <w:rPr>
                <w:b/>
                <w:spacing w:val="-4"/>
                <w:sz w:val="20"/>
              </w:rPr>
              <w:t>598.5</w:t>
            </w:r>
          </w:p>
        </w:tc>
        <w:tc>
          <w:tcPr>
            <w:tcW w:w="1320" w:type="dxa"/>
            <w:tcBorders>
              <w:top w:val="single" w:sz="4" w:space="0" w:color="000000"/>
              <w:bottom w:val="single" w:sz="12" w:space="0" w:color="000000"/>
            </w:tcBorders>
          </w:tcPr>
          <w:p>
            <w:pPr>
              <w:pStyle w:val="TableParagraph"/>
              <w:spacing w:line="213" w:lineRule="exact" w:before="47"/>
              <w:ind w:right="249"/>
              <w:jc w:val="right"/>
              <w:rPr>
                <w:b/>
                <w:sz w:val="20"/>
              </w:rPr>
            </w:pPr>
            <w:r>
              <w:rPr>
                <w:b/>
                <w:spacing w:val="-4"/>
                <w:sz w:val="20"/>
              </w:rPr>
              <w:t>598.5</w:t>
            </w:r>
          </w:p>
        </w:tc>
        <w:tc>
          <w:tcPr>
            <w:tcW w:w="1561" w:type="dxa"/>
            <w:tcBorders>
              <w:top w:val="single" w:sz="4" w:space="0" w:color="000000"/>
              <w:bottom w:val="single" w:sz="12" w:space="0" w:color="000000"/>
            </w:tcBorders>
          </w:tcPr>
          <w:p>
            <w:pPr>
              <w:pStyle w:val="TableParagraph"/>
              <w:spacing w:line="213" w:lineRule="exact" w:before="47"/>
              <w:ind w:right="236"/>
              <w:jc w:val="right"/>
              <w:rPr>
                <w:b/>
                <w:sz w:val="20"/>
              </w:rPr>
            </w:pPr>
            <w:r>
              <w:rPr>
                <w:b/>
                <w:spacing w:val="-2"/>
                <w:sz w:val="20"/>
              </w:rPr>
              <w:t>598.5</w:t>
            </w:r>
          </w:p>
        </w:tc>
        <w:tc>
          <w:tcPr>
            <w:tcW w:w="1374" w:type="dxa"/>
            <w:tcBorders>
              <w:top w:val="single" w:sz="4" w:space="0" w:color="000000"/>
              <w:bottom w:val="single" w:sz="12" w:space="0" w:color="000000"/>
              <w:right w:val="single" w:sz="12" w:space="0" w:color="000000"/>
            </w:tcBorders>
          </w:tcPr>
          <w:p>
            <w:pPr>
              <w:pStyle w:val="TableParagraph"/>
              <w:spacing w:line="213" w:lineRule="exact" w:before="47"/>
              <w:ind w:right="77"/>
              <w:jc w:val="right"/>
              <w:rPr>
                <w:b/>
                <w:sz w:val="20"/>
              </w:rPr>
            </w:pPr>
            <w:r>
              <w:rPr>
                <w:b/>
                <w:spacing w:val="-2"/>
                <w:sz w:val="20"/>
              </w:rPr>
              <w:t>598.5</w:t>
            </w:r>
          </w:p>
        </w:tc>
      </w:tr>
    </w:tbl>
    <w:p>
      <w:pPr>
        <w:spacing w:after="0" w:line="213" w:lineRule="exact"/>
        <w:jc w:val="right"/>
        <w:rPr>
          <w:sz w:val="20"/>
        </w:rPr>
        <w:sectPr>
          <w:pgSz w:w="11910" w:h="16840"/>
          <w:pgMar w:header="0" w:footer="375" w:top="540" w:bottom="560" w:left="460" w:right="160"/>
        </w:sectPr>
      </w:pPr>
    </w:p>
    <w:p>
      <w:pPr>
        <w:pStyle w:val="Heading1"/>
        <w:numPr>
          <w:ilvl w:val="1"/>
          <w:numId w:val="12"/>
        </w:numPr>
        <w:tabs>
          <w:tab w:pos="905" w:val="left" w:leader="none"/>
          <w:tab w:pos="907" w:val="left" w:leader="none"/>
        </w:tabs>
        <w:spacing w:line="240" w:lineRule="auto" w:before="63" w:after="0"/>
        <w:ind w:left="906" w:right="0" w:hanging="647"/>
        <w:jc w:val="left"/>
      </w:pPr>
      <w:bookmarkStart w:name="_TOC_250007" w:id="25"/>
      <w:r>
        <w:rPr>
          <w:color w:val="4966AC"/>
        </w:rPr>
        <w:t>Notes</w:t>
      </w:r>
      <w:r>
        <w:rPr>
          <w:color w:val="4966AC"/>
          <w:spacing w:val="-6"/>
        </w:rPr>
        <w:t> </w:t>
      </w:r>
      <w:r>
        <w:rPr>
          <w:color w:val="4966AC"/>
        </w:rPr>
        <w:t>to</w:t>
      </w:r>
      <w:r>
        <w:rPr>
          <w:color w:val="4966AC"/>
          <w:spacing w:val="-9"/>
        </w:rPr>
        <w:t> </w:t>
      </w:r>
      <w:r>
        <w:rPr>
          <w:color w:val="4966AC"/>
        </w:rPr>
        <w:t>the</w:t>
      </w:r>
      <w:r>
        <w:rPr>
          <w:color w:val="4966AC"/>
          <w:spacing w:val="-8"/>
        </w:rPr>
        <w:t> </w:t>
      </w:r>
      <w:r>
        <w:rPr>
          <w:color w:val="4966AC"/>
        </w:rPr>
        <w:t>financial</w:t>
      </w:r>
      <w:r>
        <w:rPr>
          <w:color w:val="4966AC"/>
          <w:spacing w:val="-9"/>
        </w:rPr>
        <w:t> </w:t>
      </w:r>
      <w:bookmarkEnd w:id="25"/>
      <w:r>
        <w:rPr>
          <w:color w:val="4966AC"/>
          <w:spacing w:val="-2"/>
        </w:rPr>
        <w:t>statements.</w:t>
      </w:r>
    </w:p>
    <w:p>
      <w:pPr>
        <w:pStyle w:val="BodyText"/>
        <w:spacing w:before="290"/>
        <w:ind w:left="260"/>
      </w:pPr>
      <w:r>
        <w:rPr/>
        <w:t>This</w:t>
      </w:r>
      <w:r>
        <w:rPr>
          <w:spacing w:val="-7"/>
        </w:rPr>
        <w:t> </w:t>
      </w:r>
      <w:r>
        <w:rPr/>
        <w:t>section</w:t>
      </w:r>
      <w:r>
        <w:rPr>
          <w:spacing w:val="-2"/>
        </w:rPr>
        <w:t> </w:t>
      </w:r>
      <w:r>
        <w:rPr/>
        <w:t>presents</w:t>
      </w:r>
      <w:r>
        <w:rPr>
          <w:spacing w:val="-3"/>
        </w:rPr>
        <w:t> </w:t>
      </w:r>
      <w:r>
        <w:rPr/>
        <w:t>detailed</w:t>
      </w:r>
      <w:r>
        <w:rPr>
          <w:spacing w:val="-6"/>
        </w:rPr>
        <w:t> </w:t>
      </w:r>
      <w:r>
        <w:rPr/>
        <w:t>information</w:t>
      </w:r>
      <w:r>
        <w:rPr>
          <w:spacing w:val="-3"/>
        </w:rPr>
        <w:t> </w:t>
      </w:r>
      <w:r>
        <w:rPr/>
        <w:t>on</w:t>
      </w:r>
      <w:r>
        <w:rPr>
          <w:spacing w:val="-6"/>
        </w:rPr>
        <w:t> </w:t>
      </w:r>
      <w:r>
        <w:rPr/>
        <w:t>material</w:t>
      </w:r>
      <w:r>
        <w:rPr>
          <w:spacing w:val="-5"/>
        </w:rPr>
        <w:t> </w:t>
      </w:r>
      <w:r>
        <w:rPr/>
        <w:t>components</w:t>
      </w:r>
      <w:r>
        <w:rPr>
          <w:spacing w:val="-4"/>
        </w:rPr>
        <w:t> </w:t>
      </w:r>
      <w:r>
        <w:rPr/>
        <w:t>of</w:t>
      </w:r>
      <w:r>
        <w:rPr>
          <w:spacing w:val="-6"/>
        </w:rPr>
        <w:t> </w:t>
      </w:r>
      <w:r>
        <w:rPr/>
        <w:t>the</w:t>
      </w:r>
      <w:r>
        <w:rPr>
          <w:spacing w:val="-6"/>
        </w:rPr>
        <w:t> </w:t>
      </w:r>
      <w:r>
        <w:rPr/>
        <w:t>financial</w:t>
      </w:r>
      <w:r>
        <w:rPr>
          <w:spacing w:val="-4"/>
        </w:rPr>
        <w:t> </w:t>
      </w:r>
      <w:r>
        <w:rPr>
          <w:spacing w:val="-2"/>
        </w:rPr>
        <w:t>statements</w:t>
      </w:r>
      <w:r>
        <w:rPr>
          <w:color w:val="FF0000"/>
          <w:spacing w:val="-2"/>
        </w:rPr>
        <w:t>.</w:t>
      </w:r>
    </w:p>
    <w:p>
      <w:pPr>
        <w:pStyle w:val="BodyText"/>
        <w:spacing w:before="5"/>
        <w:rPr>
          <w:sz w:val="25"/>
        </w:rPr>
      </w:pPr>
    </w:p>
    <w:p>
      <w:pPr>
        <w:pStyle w:val="Heading2"/>
        <w:numPr>
          <w:ilvl w:val="2"/>
          <w:numId w:val="12"/>
        </w:numPr>
        <w:tabs>
          <w:tab w:pos="729" w:val="left" w:leader="none"/>
        </w:tabs>
        <w:spacing w:line="240" w:lineRule="auto" w:before="0" w:after="0"/>
        <w:ind w:left="728" w:right="0" w:hanging="469"/>
        <w:jc w:val="left"/>
      </w:pPr>
      <w:bookmarkStart w:name="_TOC_250006" w:id="26"/>
      <w:r>
        <w:rPr>
          <w:color w:val="4966AC"/>
        </w:rPr>
        <w:t>Comprehensive</w:t>
      </w:r>
      <w:r>
        <w:rPr>
          <w:color w:val="4966AC"/>
          <w:spacing w:val="-7"/>
        </w:rPr>
        <w:t> </w:t>
      </w:r>
      <w:r>
        <w:rPr>
          <w:color w:val="4966AC"/>
        </w:rPr>
        <w:t>Income</w:t>
      </w:r>
      <w:r>
        <w:rPr>
          <w:color w:val="4966AC"/>
          <w:spacing w:val="-7"/>
        </w:rPr>
        <w:t> </w:t>
      </w:r>
      <w:bookmarkEnd w:id="26"/>
      <w:r>
        <w:rPr>
          <w:color w:val="4966AC"/>
          <w:spacing w:val="-2"/>
        </w:rPr>
        <w:t>Statement</w:t>
      </w:r>
    </w:p>
    <w:p>
      <w:pPr>
        <w:pStyle w:val="BodyText"/>
        <w:spacing w:before="2"/>
        <w:rPr>
          <w:b/>
          <w:sz w:val="25"/>
        </w:rPr>
      </w:pPr>
    </w:p>
    <w:p>
      <w:pPr>
        <w:pStyle w:val="Heading4"/>
        <w:numPr>
          <w:ilvl w:val="2"/>
          <w:numId w:val="59"/>
        </w:numPr>
        <w:tabs>
          <w:tab w:pos="862" w:val="left" w:leader="none"/>
        </w:tabs>
        <w:spacing w:line="240" w:lineRule="auto" w:before="0" w:after="0"/>
        <w:ind w:left="861" w:right="0" w:hanging="602"/>
        <w:jc w:val="left"/>
      </w:pPr>
      <w:r>
        <w:rPr>
          <w:color w:val="4966AC"/>
        </w:rPr>
        <w:t>Rates</w:t>
      </w:r>
      <w:r>
        <w:rPr>
          <w:color w:val="4966AC"/>
          <w:spacing w:val="-1"/>
        </w:rPr>
        <w:t> </w:t>
      </w:r>
      <w:r>
        <w:rPr>
          <w:color w:val="4966AC"/>
        </w:rPr>
        <w:t>and </w:t>
      </w:r>
      <w:r>
        <w:rPr>
          <w:color w:val="4966AC"/>
          <w:spacing w:val="-2"/>
        </w:rPr>
        <w:t>charges</w:t>
      </w:r>
    </w:p>
    <w:p>
      <w:pPr>
        <w:pStyle w:val="BodyText"/>
        <w:spacing w:before="11"/>
        <w:rPr>
          <w:b/>
          <w:sz w:val="23"/>
        </w:rPr>
      </w:pPr>
    </w:p>
    <w:p>
      <w:pPr>
        <w:pStyle w:val="BodyText"/>
        <w:ind w:left="260"/>
      </w:pPr>
      <w:r>
        <w:rPr/>
        <w:t>Rates</w:t>
      </w:r>
      <w:r>
        <w:rPr>
          <w:spacing w:val="-1"/>
        </w:rPr>
        <w:t> </w:t>
      </w:r>
      <w:r>
        <w:rPr/>
        <w:t>and</w:t>
      </w:r>
      <w:r>
        <w:rPr>
          <w:spacing w:val="-4"/>
        </w:rPr>
        <w:t> </w:t>
      </w:r>
      <w:r>
        <w:rPr/>
        <w:t>charges</w:t>
      </w:r>
      <w:r>
        <w:rPr>
          <w:spacing w:val="-3"/>
        </w:rPr>
        <w:t> </w:t>
      </w:r>
      <w:r>
        <w:rPr/>
        <w:t>are</w:t>
      </w:r>
      <w:r>
        <w:rPr>
          <w:spacing w:val="-5"/>
        </w:rPr>
        <w:t> </w:t>
      </w:r>
      <w:r>
        <w:rPr/>
        <w:t>required</w:t>
      </w:r>
      <w:r>
        <w:rPr>
          <w:spacing w:val="-2"/>
        </w:rPr>
        <w:t> </w:t>
      </w:r>
      <w:r>
        <w:rPr/>
        <w:t>by</w:t>
      </w:r>
      <w:r>
        <w:rPr>
          <w:spacing w:val="-4"/>
        </w:rPr>
        <w:t> </w:t>
      </w:r>
      <w:r>
        <w:rPr/>
        <w:t>the</w:t>
      </w:r>
      <w:r>
        <w:rPr>
          <w:spacing w:val="-4"/>
        </w:rPr>
        <w:t> </w:t>
      </w:r>
      <w:r>
        <w:rPr/>
        <w:t>Act</w:t>
      </w:r>
      <w:r>
        <w:rPr>
          <w:spacing w:val="-4"/>
        </w:rPr>
        <w:t> </w:t>
      </w:r>
      <w:r>
        <w:rPr/>
        <w:t>and</w:t>
      </w:r>
      <w:r>
        <w:rPr>
          <w:spacing w:val="-4"/>
        </w:rPr>
        <w:t> </w:t>
      </w:r>
      <w:r>
        <w:rPr/>
        <w:t>the</w:t>
      </w:r>
      <w:r>
        <w:rPr>
          <w:spacing w:val="-2"/>
        </w:rPr>
        <w:t> </w:t>
      </w:r>
      <w:r>
        <w:rPr/>
        <w:t>Regulations</w:t>
      </w:r>
      <w:r>
        <w:rPr>
          <w:spacing w:val="-2"/>
        </w:rPr>
        <w:t> </w:t>
      </w:r>
      <w:r>
        <w:rPr/>
        <w:t>to</w:t>
      </w:r>
      <w:r>
        <w:rPr>
          <w:spacing w:val="-7"/>
        </w:rPr>
        <w:t> </w:t>
      </w:r>
      <w:r>
        <w:rPr/>
        <w:t>be</w:t>
      </w:r>
      <w:r>
        <w:rPr>
          <w:spacing w:val="-4"/>
        </w:rPr>
        <w:t> </w:t>
      </w:r>
      <w:r>
        <w:rPr/>
        <w:t>disclosed</w:t>
      </w:r>
      <w:r>
        <w:rPr>
          <w:spacing w:val="-2"/>
        </w:rPr>
        <w:t> </w:t>
      </w:r>
      <w:r>
        <w:rPr/>
        <w:t>in</w:t>
      </w:r>
      <w:r>
        <w:rPr>
          <w:spacing w:val="-2"/>
        </w:rPr>
        <w:t> </w:t>
      </w:r>
      <w:r>
        <w:rPr/>
        <w:t>Council’s</w:t>
      </w:r>
      <w:r>
        <w:rPr>
          <w:spacing w:val="-2"/>
        </w:rPr>
        <w:t> budget.</w:t>
      </w:r>
    </w:p>
    <w:p>
      <w:pPr>
        <w:pStyle w:val="BodyText"/>
        <w:spacing w:before="2"/>
        <w:rPr>
          <w:sz w:val="25"/>
        </w:rPr>
      </w:pPr>
    </w:p>
    <w:p>
      <w:pPr>
        <w:pStyle w:val="BodyText"/>
        <w:spacing w:line="242" w:lineRule="auto"/>
        <w:ind w:left="260" w:right="554"/>
        <w:jc w:val="both"/>
      </w:pPr>
      <w:r>
        <w:rPr/>
        <w:t>As per the </w:t>
      </w:r>
      <w:r>
        <w:rPr>
          <w:i/>
        </w:rPr>
        <w:t>Local Government Act 2020</w:t>
      </w:r>
      <w:r>
        <w:rPr/>
        <w:t>, Council is required to have a Revenue and Rating Plan which is a four-year plan for how Council will generate income to deliver the Council Plan, program and services and capital works commitments over a four-year period.</w:t>
      </w:r>
    </w:p>
    <w:p>
      <w:pPr>
        <w:pStyle w:val="BodyText"/>
        <w:spacing w:before="8"/>
        <w:rPr>
          <w:sz w:val="24"/>
        </w:rPr>
      </w:pPr>
    </w:p>
    <w:p>
      <w:pPr>
        <w:pStyle w:val="BodyText"/>
        <w:spacing w:before="1"/>
        <w:ind w:left="260" w:right="555"/>
        <w:jc w:val="both"/>
      </w:pPr>
      <w:r>
        <w:rPr/>
        <w:t>In</w:t>
      </w:r>
      <w:r>
        <w:rPr>
          <w:spacing w:val="-4"/>
        </w:rPr>
        <w:t> </w:t>
      </w:r>
      <w:r>
        <w:rPr/>
        <w:t>developing</w:t>
      </w:r>
      <w:r>
        <w:rPr>
          <w:spacing w:val="-4"/>
        </w:rPr>
        <w:t> </w:t>
      </w:r>
      <w:r>
        <w:rPr/>
        <w:t>the</w:t>
      </w:r>
      <w:r>
        <w:rPr>
          <w:spacing w:val="-4"/>
        </w:rPr>
        <w:t> </w:t>
      </w:r>
      <w:r>
        <w:rPr/>
        <w:t>Budget,</w:t>
      </w:r>
      <w:r>
        <w:rPr>
          <w:spacing w:val="-2"/>
        </w:rPr>
        <w:t> </w:t>
      </w:r>
      <w:r>
        <w:rPr/>
        <w:t>rates</w:t>
      </w:r>
      <w:r>
        <w:rPr>
          <w:spacing w:val="-4"/>
        </w:rPr>
        <w:t> </w:t>
      </w:r>
      <w:r>
        <w:rPr/>
        <w:t>and</w:t>
      </w:r>
      <w:r>
        <w:rPr>
          <w:spacing w:val="-5"/>
        </w:rPr>
        <w:t> </w:t>
      </w:r>
      <w:r>
        <w:rPr/>
        <w:t>charges</w:t>
      </w:r>
      <w:r>
        <w:rPr>
          <w:spacing w:val="-2"/>
        </w:rPr>
        <w:t> </w:t>
      </w:r>
      <w:r>
        <w:rPr/>
        <w:t>were</w:t>
      </w:r>
      <w:r>
        <w:rPr>
          <w:spacing w:val="-8"/>
        </w:rPr>
        <w:t> </w:t>
      </w:r>
      <w:r>
        <w:rPr/>
        <w:t>identified</w:t>
      </w:r>
      <w:r>
        <w:rPr>
          <w:spacing w:val="-4"/>
        </w:rPr>
        <w:t> </w:t>
      </w:r>
      <w:r>
        <w:rPr/>
        <w:t>as</w:t>
      </w:r>
      <w:r>
        <w:rPr>
          <w:spacing w:val="-4"/>
        </w:rPr>
        <w:t> </w:t>
      </w:r>
      <w:r>
        <w:rPr/>
        <w:t>an</w:t>
      </w:r>
      <w:r>
        <w:rPr>
          <w:spacing w:val="-4"/>
        </w:rPr>
        <w:t> </w:t>
      </w:r>
      <w:r>
        <w:rPr/>
        <w:t>important</w:t>
      </w:r>
      <w:r>
        <w:rPr>
          <w:spacing w:val="-4"/>
        </w:rPr>
        <w:t> </w:t>
      </w:r>
      <w:r>
        <w:rPr/>
        <w:t>source</w:t>
      </w:r>
      <w:r>
        <w:rPr>
          <w:spacing w:val="-4"/>
        </w:rPr>
        <w:t> </w:t>
      </w:r>
      <w:r>
        <w:rPr/>
        <w:t>of</w:t>
      </w:r>
      <w:r>
        <w:rPr>
          <w:spacing w:val="-6"/>
        </w:rPr>
        <w:t> </w:t>
      </w:r>
      <w:r>
        <w:rPr/>
        <w:t>revenue.</w:t>
      </w:r>
      <w:r>
        <w:rPr>
          <w:spacing w:val="-1"/>
        </w:rPr>
        <w:t> </w:t>
      </w:r>
      <w:r>
        <w:rPr/>
        <w:t>Planning</w:t>
      </w:r>
      <w:r>
        <w:rPr>
          <w:spacing w:val="-4"/>
        </w:rPr>
        <w:t> </w:t>
      </w:r>
      <w:r>
        <w:rPr/>
        <w:t>for future</w:t>
      </w:r>
      <w:r>
        <w:rPr>
          <w:spacing w:val="-5"/>
        </w:rPr>
        <w:t> </w:t>
      </w:r>
      <w:r>
        <w:rPr/>
        <w:t>rate</w:t>
      </w:r>
      <w:r>
        <w:rPr>
          <w:spacing w:val="-5"/>
        </w:rPr>
        <w:t> </w:t>
      </w:r>
      <w:r>
        <w:rPr/>
        <w:t>increases</w:t>
      </w:r>
      <w:r>
        <w:rPr>
          <w:spacing w:val="-4"/>
        </w:rPr>
        <w:t> </w:t>
      </w:r>
      <w:r>
        <w:rPr/>
        <w:t>has</w:t>
      </w:r>
      <w:r>
        <w:rPr>
          <w:spacing w:val="-6"/>
        </w:rPr>
        <w:t> </w:t>
      </w:r>
      <w:r>
        <w:rPr/>
        <w:t>therefore</w:t>
      </w:r>
      <w:r>
        <w:rPr>
          <w:spacing w:val="-6"/>
        </w:rPr>
        <w:t> </w:t>
      </w:r>
      <w:r>
        <w:rPr/>
        <w:t>been</w:t>
      </w:r>
      <w:r>
        <w:rPr>
          <w:spacing w:val="-4"/>
        </w:rPr>
        <w:t> </w:t>
      </w:r>
      <w:r>
        <w:rPr/>
        <w:t>an</w:t>
      </w:r>
      <w:r>
        <w:rPr>
          <w:spacing w:val="-4"/>
        </w:rPr>
        <w:t> </w:t>
      </w:r>
      <w:r>
        <w:rPr/>
        <w:t>important</w:t>
      </w:r>
      <w:r>
        <w:rPr>
          <w:spacing w:val="-1"/>
        </w:rPr>
        <w:t> </w:t>
      </w:r>
      <w:r>
        <w:rPr/>
        <w:t>component</w:t>
      </w:r>
      <w:r>
        <w:rPr>
          <w:spacing w:val="-4"/>
        </w:rPr>
        <w:t> </w:t>
      </w:r>
      <w:r>
        <w:rPr/>
        <w:t>of</w:t>
      </w:r>
      <w:r>
        <w:rPr>
          <w:spacing w:val="-4"/>
        </w:rPr>
        <w:t> </w:t>
      </w:r>
      <w:r>
        <w:rPr/>
        <w:t>the</w:t>
      </w:r>
      <w:r>
        <w:rPr>
          <w:spacing w:val="-6"/>
        </w:rPr>
        <w:t> </w:t>
      </w:r>
      <w:r>
        <w:rPr/>
        <w:t>financial</w:t>
      </w:r>
      <w:r>
        <w:rPr>
          <w:spacing w:val="-4"/>
        </w:rPr>
        <w:t> </w:t>
      </w:r>
      <w:r>
        <w:rPr/>
        <w:t>planning</w:t>
      </w:r>
      <w:r>
        <w:rPr>
          <w:spacing w:val="-4"/>
        </w:rPr>
        <w:t> </w:t>
      </w:r>
      <w:r>
        <w:rPr/>
        <w:t>process.</w:t>
      </w:r>
      <w:r>
        <w:rPr>
          <w:spacing w:val="-4"/>
        </w:rPr>
        <w:t> </w:t>
      </w:r>
      <w:r>
        <w:rPr/>
        <w:t>The</w:t>
      </w:r>
      <w:r>
        <w:rPr>
          <w:spacing w:val="-4"/>
        </w:rPr>
        <w:t> </w:t>
      </w:r>
      <w:r>
        <w:rPr/>
        <w:t>Fair Go Rates System (FGRS) sets out the maximum amount councils may increase rates in a year. For the 2025/26 financial year, the FGRS cap has been set at 3.00%. The cap applies to both general rates and municipal charges and is calculated on the basis of council’s average rates and charges.</w:t>
      </w:r>
    </w:p>
    <w:p>
      <w:pPr>
        <w:pStyle w:val="BodyText"/>
        <w:spacing w:before="7"/>
        <w:rPr>
          <w:sz w:val="25"/>
        </w:rPr>
      </w:pPr>
    </w:p>
    <w:p>
      <w:pPr>
        <w:pStyle w:val="BodyText"/>
        <w:ind w:left="260" w:right="556"/>
        <w:jc w:val="both"/>
      </w:pPr>
      <w:r>
        <w:rPr/>
        <w:t>The</w:t>
      </w:r>
      <w:r>
        <w:rPr>
          <w:spacing w:val="-8"/>
        </w:rPr>
        <w:t> </w:t>
      </w:r>
      <w:r>
        <w:rPr/>
        <w:t>level</w:t>
      </w:r>
      <w:r>
        <w:rPr>
          <w:spacing w:val="-8"/>
        </w:rPr>
        <w:t> </w:t>
      </w:r>
      <w:r>
        <w:rPr/>
        <w:t>of</w:t>
      </w:r>
      <w:r>
        <w:rPr>
          <w:spacing w:val="-11"/>
        </w:rPr>
        <w:t> </w:t>
      </w:r>
      <w:r>
        <w:rPr/>
        <w:t>required</w:t>
      </w:r>
      <w:r>
        <w:rPr>
          <w:spacing w:val="-11"/>
        </w:rPr>
        <w:t> </w:t>
      </w:r>
      <w:r>
        <w:rPr/>
        <w:t>rates</w:t>
      </w:r>
      <w:r>
        <w:rPr>
          <w:spacing w:val="-8"/>
        </w:rPr>
        <w:t> </w:t>
      </w:r>
      <w:r>
        <w:rPr/>
        <w:t>and</w:t>
      </w:r>
      <w:r>
        <w:rPr>
          <w:spacing w:val="-10"/>
        </w:rPr>
        <w:t> </w:t>
      </w:r>
      <w:r>
        <w:rPr/>
        <w:t>charges</w:t>
      </w:r>
      <w:r>
        <w:rPr>
          <w:spacing w:val="-11"/>
        </w:rPr>
        <w:t> </w:t>
      </w:r>
      <w:r>
        <w:rPr/>
        <w:t>has</w:t>
      </w:r>
      <w:r>
        <w:rPr>
          <w:spacing w:val="-11"/>
        </w:rPr>
        <w:t> </w:t>
      </w:r>
      <w:r>
        <w:rPr/>
        <w:t>been</w:t>
      </w:r>
      <w:r>
        <w:rPr>
          <w:spacing w:val="-14"/>
        </w:rPr>
        <w:t> </w:t>
      </w:r>
      <w:r>
        <w:rPr/>
        <w:t>considered</w:t>
      </w:r>
      <w:r>
        <w:rPr>
          <w:spacing w:val="-8"/>
        </w:rPr>
        <w:t> </w:t>
      </w:r>
      <w:r>
        <w:rPr/>
        <w:t>in</w:t>
      </w:r>
      <w:r>
        <w:rPr>
          <w:spacing w:val="-12"/>
        </w:rPr>
        <w:t> </w:t>
      </w:r>
      <w:r>
        <w:rPr/>
        <w:t>this</w:t>
      </w:r>
      <w:r>
        <w:rPr>
          <w:spacing w:val="-11"/>
        </w:rPr>
        <w:t> </w:t>
      </w:r>
      <w:r>
        <w:rPr/>
        <w:t>context,</w:t>
      </w:r>
      <w:r>
        <w:rPr>
          <w:spacing w:val="-8"/>
        </w:rPr>
        <w:t> </w:t>
      </w:r>
      <w:r>
        <w:rPr/>
        <w:t>with</w:t>
      </w:r>
      <w:r>
        <w:rPr>
          <w:spacing w:val="-12"/>
        </w:rPr>
        <w:t> </w:t>
      </w:r>
      <w:r>
        <w:rPr/>
        <w:t>reference</w:t>
      </w:r>
      <w:r>
        <w:rPr>
          <w:spacing w:val="-10"/>
        </w:rPr>
        <w:t> </w:t>
      </w:r>
      <w:r>
        <w:rPr/>
        <w:t>to</w:t>
      </w:r>
      <w:r>
        <w:rPr>
          <w:spacing w:val="-10"/>
        </w:rPr>
        <w:t> </w:t>
      </w:r>
      <w:r>
        <w:rPr/>
        <w:t>Council's</w:t>
      </w:r>
      <w:r>
        <w:rPr>
          <w:spacing w:val="-8"/>
        </w:rPr>
        <w:t> </w:t>
      </w:r>
      <w:r>
        <w:rPr/>
        <w:t>other sources</w:t>
      </w:r>
      <w:r>
        <w:rPr>
          <w:spacing w:val="-2"/>
        </w:rPr>
        <w:t> </w:t>
      </w:r>
      <w:r>
        <w:rPr/>
        <w:t>of</w:t>
      </w:r>
      <w:r>
        <w:rPr>
          <w:spacing w:val="-4"/>
        </w:rPr>
        <w:t> </w:t>
      </w:r>
      <w:r>
        <w:rPr/>
        <w:t>income</w:t>
      </w:r>
      <w:r>
        <w:rPr>
          <w:spacing w:val="-3"/>
        </w:rPr>
        <w:t> </w:t>
      </w:r>
      <w:r>
        <w:rPr/>
        <w:t>and</w:t>
      </w:r>
      <w:r>
        <w:rPr>
          <w:spacing w:val="-4"/>
        </w:rPr>
        <w:t> </w:t>
      </w:r>
      <w:r>
        <w:rPr/>
        <w:t>the</w:t>
      </w:r>
      <w:r>
        <w:rPr>
          <w:spacing w:val="-2"/>
        </w:rPr>
        <w:t> </w:t>
      </w:r>
      <w:r>
        <w:rPr/>
        <w:t>planned</w:t>
      </w:r>
      <w:r>
        <w:rPr>
          <w:spacing w:val="-1"/>
        </w:rPr>
        <w:t> </w:t>
      </w:r>
      <w:r>
        <w:rPr/>
        <w:t>expenditure</w:t>
      </w:r>
      <w:r>
        <w:rPr>
          <w:spacing w:val="-4"/>
        </w:rPr>
        <w:t> </w:t>
      </w:r>
      <w:r>
        <w:rPr/>
        <w:t>on</w:t>
      </w:r>
      <w:r>
        <w:rPr>
          <w:spacing w:val="-2"/>
        </w:rPr>
        <w:t> </w:t>
      </w:r>
      <w:r>
        <w:rPr/>
        <w:t>services</w:t>
      </w:r>
      <w:r>
        <w:rPr>
          <w:spacing w:val="-4"/>
        </w:rPr>
        <w:t> </w:t>
      </w:r>
      <w:r>
        <w:rPr/>
        <w:t>and</w:t>
      </w:r>
      <w:r>
        <w:rPr>
          <w:spacing w:val="-2"/>
        </w:rPr>
        <w:t> </w:t>
      </w:r>
      <w:r>
        <w:rPr/>
        <w:t>works</w:t>
      </w:r>
      <w:r>
        <w:rPr>
          <w:spacing w:val="-4"/>
        </w:rPr>
        <w:t> </w:t>
      </w:r>
      <w:r>
        <w:rPr/>
        <w:t>to</w:t>
      </w:r>
      <w:r>
        <w:rPr>
          <w:spacing w:val="-6"/>
        </w:rPr>
        <w:t> </w:t>
      </w:r>
      <w:r>
        <w:rPr/>
        <w:t>be</w:t>
      </w:r>
      <w:r>
        <w:rPr>
          <w:spacing w:val="-2"/>
        </w:rPr>
        <w:t> </w:t>
      </w:r>
      <w:r>
        <w:rPr/>
        <w:t>undertaken</w:t>
      </w:r>
      <w:r>
        <w:rPr>
          <w:spacing w:val="-4"/>
        </w:rPr>
        <w:t> </w:t>
      </w:r>
      <w:r>
        <w:rPr/>
        <w:t>for</w:t>
      </w:r>
      <w:r>
        <w:rPr>
          <w:spacing w:val="-2"/>
        </w:rPr>
        <w:t> </w:t>
      </w:r>
      <w:r>
        <w:rPr/>
        <w:t>the</w:t>
      </w:r>
      <w:r>
        <w:rPr>
          <w:spacing w:val="-2"/>
        </w:rPr>
        <w:t> community.</w:t>
      </w:r>
    </w:p>
    <w:p>
      <w:pPr>
        <w:pStyle w:val="BodyText"/>
        <w:spacing w:before="3"/>
        <w:rPr>
          <w:sz w:val="25"/>
        </w:rPr>
      </w:pPr>
    </w:p>
    <w:p>
      <w:pPr>
        <w:pStyle w:val="BodyText"/>
        <w:spacing w:line="244" w:lineRule="auto" w:before="1"/>
        <w:ind w:left="260" w:right="555"/>
        <w:jc w:val="both"/>
      </w:pPr>
      <w:r>
        <w:rPr/>
        <w:t>To achieve these objectives while maintaining service levels and a strong capital expenditure program, the average general rate and the municipal charge will increase by 3.00% in line with the rate cap.</w:t>
      </w:r>
    </w:p>
    <w:p>
      <w:pPr>
        <w:spacing w:after="0" w:line="244" w:lineRule="auto"/>
        <w:jc w:val="both"/>
        <w:sectPr>
          <w:pgSz w:w="11910" w:h="16840"/>
          <w:pgMar w:header="0" w:footer="375" w:top="840" w:bottom="560" w:left="460" w:right="160"/>
        </w:sectPr>
      </w:pPr>
    </w:p>
    <w:p>
      <w:pPr>
        <w:pStyle w:val="BodyText"/>
        <w:spacing w:before="81"/>
        <w:ind w:left="980" w:right="554" w:hanging="721"/>
        <w:jc w:val="both"/>
      </w:pPr>
      <w:r>
        <w:rPr/>
        <w:pict>
          <v:rect style="position:absolute;margin-left:248.039993pt;margin-top:604.320007pt;width:67.55999pt;height:15pt;mso-position-horizontal-relative:page;mso-position-vertical-relative:page;z-index:-38035968" id="docshape17" filled="true" fillcolor="#d8d8d8" stroked="false">
            <v:fill type="solid"/>
            <w10:wrap type="none"/>
          </v:rect>
        </w:pict>
      </w:r>
      <w:r>
        <w:rPr/>
        <w:pict>
          <v:shape style="position:absolute;margin-left:423.720032pt;margin-top:604.320007pt;width:134.3pt;height:15pt;mso-position-horizontal-relative:page;mso-position-vertical-relative:page;z-index:-38035456" id="docshape18" coordorigin="8474,12086" coordsize="2686,300" path="m11160,12086l9826,12086,8474,12086,8474,12386,9826,12386,11160,12386,11160,12086xe" filled="true" fillcolor="#d8d8d8" stroked="false">
            <v:path arrowok="t"/>
            <v:fill type="solid"/>
            <w10:wrap type="none"/>
          </v:shape>
        </w:pict>
      </w:r>
      <w:r>
        <w:rPr/>
        <w:t>4.1.1(a)The reconciliation of the total rates and charges to the Comprehensive Income Statement is as </w:t>
      </w:r>
      <w:r>
        <w:rPr>
          <w:spacing w:val="-2"/>
        </w:rPr>
        <w:t>follows:</w:t>
      </w:r>
    </w:p>
    <w:p>
      <w:pPr>
        <w:pStyle w:val="BodyText"/>
      </w:pPr>
    </w:p>
    <w:tbl>
      <w:tblPr>
        <w:tblW w:w="0" w:type="auto"/>
        <w:jc w:val="left"/>
        <w:tblInd w:w="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98"/>
        <w:gridCol w:w="1888"/>
        <w:gridCol w:w="1889"/>
        <w:gridCol w:w="1895"/>
        <w:gridCol w:w="1024"/>
      </w:tblGrid>
      <w:tr>
        <w:trPr>
          <w:trHeight w:val="883" w:hRule="atLeast"/>
        </w:trPr>
        <w:tc>
          <w:tcPr>
            <w:tcW w:w="5686" w:type="dxa"/>
            <w:gridSpan w:val="2"/>
            <w:tcBorders>
              <w:top w:val="single" w:sz="18" w:space="0" w:color="000000"/>
              <w:left w:val="single" w:sz="12" w:space="0" w:color="000000"/>
            </w:tcBorders>
            <w:shd w:val="clear" w:color="auto" w:fill="629CD1"/>
          </w:tcPr>
          <w:p>
            <w:pPr>
              <w:pStyle w:val="TableParagraph"/>
              <w:spacing w:before="42"/>
              <w:ind w:left="4062" w:right="239"/>
              <w:jc w:val="center"/>
              <w:rPr>
                <w:b/>
                <w:sz w:val="18"/>
              </w:rPr>
            </w:pPr>
            <w:r>
              <w:rPr>
                <w:b/>
                <w:color w:val="FFFFFF"/>
                <w:sz w:val="18"/>
              </w:rPr>
              <w:t>Forecast</w:t>
            </w:r>
            <w:r>
              <w:rPr>
                <w:b/>
                <w:color w:val="FFFFFF"/>
                <w:spacing w:val="-13"/>
                <w:sz w:val="18"/>
              </w:rPr>
              <w:t> </w:t>
            </w:r>
            <w:r>
              <w:rPr>
                <w:b/>
                <w:color w:val="FFFFFF"/>
                <w:sz w:val="18"/>
              </w:rPr>
              <w:t>Actual </w:t>
            </w:r>
            <w:r>
              <w:rPr>
                <w:b/>
                <w:color w:val="FFFFFF"/>
                <w:spacing w:val="-2"/>
                <w:sz w:val="18"/>
              </w:rPr>
              <w:t>2024/25</w:t>
            </w:r>
          </w:p>
          <w:p>
            <w:pPr>
              <w:pStyle w:val="TableParagraph"/>
              <w:spacing w:before="136"/>
              <w:ind w:left="4062" w:right="238"/>
              <w:jc w:val="center"/>
              <w:rPr>
                <w:b/>
                <w:sz w:val="18"/>
              </w:rPr>
            </w:pPr>
            <w:r>
              <w:rPr>
                <w:b/>
                <w:color w:val="FFFFFF"/>
                <w:spacing w:val="-2"/>
                <w:sz w:val="18"/>
              </w:rPr>
              <w:t>$’000</w:t>
            </w:r>
          </w:p>
        </w:tc>
        <w:tc>
          <w:tcPr>
            <w:tcW w:w="1889" w:type="dxa"/>
            <w:tcBorders>
              <w:top w:val="single" w:sz="18" w:space="0" w:color="000000"/>
            </w:tcBorders>
            <w:shd w:val="clear" w:color="auto" w:fill="629CD1"/>
          </w:tcPr>
          <w:p>
            <w:pPr>
              <w:pStyle w:val="TableParagraph"/>
              <w:spacing w:before="42"/>
              <w:ind w:left="633" w:right="602" w:hanging="2"/>
              <w:jc w:val="center"/>
              <w:rPr>
                <w:b/>
                <w:sz w:val="18"/>
              </w:rPr>
            </w:pPr>
            <w:r>
              <w:rPr>
                <w:b/>
                <w:color w:val="FFFFFF"/>
                <w:spacing w:val="-2"/>
                <w:sz w:val="18"/>
              </w:rPr>
              <w:t>Budget 2025/26</w:t>
            </w:r>
          </w:p>
          <w:p>
            <w:pPr>
              <w:pStyle w:val="TableParagraph"/>
              <w:spacing w:before="136"/>
              <w:ind w:left="717" w:right="690"/>
              <w:jc w:val="center"/>
              <w:rPr>
                <w:b/>
                <w:sz w:val="18"/>
              </w:rPr>
            </w:pPr>
            <w:r>
              <w:rPr>
                <w:b/>
                <w:color w:val="FFFFFF"/>
                <w:spacing w:val="-2"/>
                <w:sz w:val="18"/>
              </w:rPr>
              <w:t>$’000</w:t>
            </w:r>
          </w:p>
        </w:tc>
        <w:tc>
          <w:tcPr>
            <w:tcW w:w="1895" w:type="dxa"/>
            <w:tcBorders>
              <w:top w:val="single" w:sz="18" w:space="0" w:color="000000"/>
            </w:tcBorders>
            <w:shd w:val="clear" w:color="auto" w:fill="629CD1"/>
          </w:tcPr>
          <w:p>
            <w:pPr>
              <w:pStyle w:val="TableParagraph"/>
              <w:spacing w:before="146"/>
              <w:ind w:left="1141"/>
              <w:rPr>
                <w:b/>
                <w:sz w:val="18"/>
              </w:rPr>
            </w:pPr>
            <w:r>
              <w:rPr>
                <w:b/>
                <w:color w:val="FFFFFF"/>
                <w:spacing w:val="-2"/>
                <w:sz w:val="18"/>
              </w:rPr>
              <w:t>Change</w:t>
            </w:r>
          </w:p>
          <w:p>
            <w:pPr>
              <w:pStyle w:val="TableParagraph"/>
              <w:spacing w:before="9"/>
              <w:rPr>
                <w:sz w:val="20"/>
              </w:rPr>
            </w:pPr>
          </w:p>
          <w:p>
            <w:pPr>
              <w:pStyle w:val="TableParagraph"/>
              <w:ind w:left="606"/>
              <w:rPr>
                <w:b/>
                <w:sz w:val="18"/>
              </w:rPr>
            </w:pPr>
            <w:r>
              <w:rPr>
                <w:b/>
                <w:color w:val="FFFFFF"/>
                <w:spacing w:val="-2"/>
                <w:sz w:val="18"/>
              </w:rPr>
              <w:t>$’000</w:t>
            </w:r>
          </w:p>
        </w:tc>
        <w:tc>
          <w:tcPr>
            <w:tcW w:w="1024" w:type="dxa"/>
            <w:tcBorders>
              <w:top w:val="single" w:sz="18" w:space="0" w:color="000000"/>
              <w:right w:val="single" w:sz="12" w:space="0" w:color="000000"/>
            </w:tcBorders>
            <w:shd w:val="clear" w:color="auto" w:fill="629CD1"/>
          </w:tcPr>
          <w:p>
            <w:pPr>
              <w:pStyle w:val="TableParagraph"/>
              <w:rPr>
                <w:sz w:val="20"/>
              </w:rPr>
            </w:pPr>
          </w:p>
          <w:p>
            <w:pPr>
              <w:pStyle w:val="TableParagraph"/>
              <w:rPr>
                <w:sz w:val="20"/>
              </w:rPr>
            </w:pPr>
          </w:p>
          <w:p>
            <w:pPr>
              <w:pStyle w:val="TableParagraph"/>
              <w:spacing w:before="132"/>
              <w:ind w:left="302"/>
              <w:rPr>
                <w:b/>
                <w:sz w:val="18"/>
              </w:rPr>
            </w:pPr>
            <w:r>
              <w:rPr>
                <w:b/>
                <w:color w:val="FFFFFF"/>
                <w:sz w:val="18"/>
              </w:rPr>
              <w:t>%</w:t>
            </w:r>
          </w:p>
        </w:tc>
      </w:tr>
      <w:tr>
        <w:trPr>
          <w:trHeight w:val="305" w:hRule="atLeast"/>
        </w:trPr>
        <w:tc>
          <w:tcPr>
            <w:tcW w:w="3798" w:type="dxa"/>
            <w:tcBorders>
              <w:left w:val="single" w:sz="12" w:space="0" w:color="000000"/>
            </w:tcBorders>
          </w:tcPr>
          <w:p>
            <w:pPr>
              <w:pStyle w:val="TableParagraph"/>
              <w:spacing w:before="35"/>
              <w:ind w:left="107"/>
              <w:rPr>
                <w:sz w:val="20"/>
              </w:rPr>
            </w:pPr>
            <w:r>
              <w:rPr>
                <w:sz w:val="20"/>
              </w:rPr>
              <w:t>General</w:t>
            </w:r>
            <w:r>
              <w:rPr>
                <w:spacing w:val="-8"/>
                <w:sz w:val="20"/>
              </w:rPr>
              <w:t> </w:t>
            </w:r>
            <w:r>
              <w:rPr>
                <w:spacing w:val="-2"/>
                <w:sz w:val="20"/>
              </w:rPr>
              <w:t>rates*</w:t>
            </w:r>
          </w:p>
        </w:tc>
        <w:tc>
          <w:tcPr>
            <w:tcW w:w="1888" w:type="dxa"/>
          </w:tcPr>
          <w:p>
            <w:pPr>
              <w:pStyle w:val="TableParagraph"/>
              <w:spacing w:before="35"/>
              <w:ind w:right="92"/>
              <w:jc w:val="right"/>
              <w:rPr>
                <w:sz w:val="20"/>
              </w:rPr>
            </w:pPr>
            <w:r>
              <w:rPr>
                <w:spacing w:val="-2"/>
                <w:sz w:val="20"/>
              </w:rPr>
              <w:t>90,190</w:t>
            </w:r>
          </w:p>
        </w:tc>
        <w:tc>
          <w:tcPr>
            <w:tcW w:w="1889" w:type="dxa"/>
            <w:shd w:val="clear" w:color="auto" w:fill="DDEBF6"/>
          </w:tcPr>
          <w:p>
            <w:pPr>
              <w:pStyle w:val="TableParagraph"/>
              <w:spacing w:before="35"/>
              <w:ind w:right="91"/>
              <w:jc w:val="right"/>
              <w:rPr>
                <w:b/>
                <w:sz w:val="20"/>
              </w:rPr>
            </w:pPr>
            <w:r>
              <w:rPr>
                <w:b/>
                <w:spacing w:val="-2"/>
                <w:sz w:val="20"/>
              </w:rPr>
              <w:t>93,344</w:t>
            </w:r>
          </w:p>
        </w:tc>
        <w:tc>
          <w:tcPr>
            <w:tcW w:w="1895" w:type="dxa"/>
          </w:tcPr>
          <w:p>
            <w:pPr>
              <w:pStyle w:val="TableParagraph"/>
              <w:spacing w:before="35"/>
              <w:ind w:right="349"/>
              <w:jc w:val="right"/>
              <w:rPr>
                <w:sz w:val="20"/>
              </w:rPr>
            </w:pPr>
            <w:r>
              <w:rPr>
                <w:spacing w:val="-2"/>
                <w:sz w:val="20"/>
              </w:rPr>
              <w:t>3,154</w:t>
            </w:r>
          </w:p>
        </w:tc>
        <w:tc>
          <w:tcPr>
            <w:tcW w:w="1024" w:type="dxa"/>
            <w:tcBorders>
              <w:right w:val="single" w:sz="12" w:space="0" w:color="000000"/>
            </w:tcBorders>
          </w:tcPr>
          <w:p>
            <w:pPr>
              <w:pStyle w:val="TableParagraph"/>
              <w:spacing w:before="35"/>
              <w:ind w:right="80"/>
              <w:jc w:val="right"/>
              <w:rPr>
                <w:sz w:val="20"/>
              </w:rPr>
            </w:pPr>
            <w:r>
              <w:rPr>
                <w:spacing w:val="-2"/>
                <w:sz w:val="20"/>
              </w:rPr>
              <w:t>3.50%</w:t>
            </w:r>
          </w:p>
        </w:tc>
      </w:tr>
      <w:tr>
        <w:trPr>
          <w:trHeight w:val="303" w:hRule="atLeast"/>
        </w:trPr>
        <w:tc>
          <w:tcPr>
            <w:tcW w:w="3798" w:type="dxa"/>
            <w:tcBorders>
              <w:left w:val="single" w:sz="12" w:space="0" w:color="000000"/>
            </w:tcBorders>
          </w:tcPr>
          <w:p>
            <w:pPr>
              <w:pStyle w:val="TableParagraph"/>
              <w:spacing w:before="32"/>
              <w:ind w:left="107"/>
              <w:rPr>
                <w:sz w:val="20"/>
              </w:rPr>
            </w:pPr>
            <w:r>
              <w:rPr>
                <w:sz w:val="20"/>
              </w:rPr>
              <w:t>Service</w:t>
            </w:r>
            <w:r>
              <w:rPr>
                <w:spacing w:val="-6"/>
                <w:sz w:val="20"/>
              </w:rPr>
              <w:t> </w:t>
            </w:r>
            <w:r>
              <w:rPr>
                <w:sz w:val="20"/>
              </w:rPr>
              <w:t>rates</w:t>
            </w:r>
            <w:r>
              <w:rPr>
                <w:spacing w:val="-4"/>
                <w:sz w:val="20"/>
              </w:rPr>
              <w:t> </w:t>
            </w:r>
            <w:r>
              <w:rPr>
                <w:sz w:val="20"/>
              </w:rPr>
              <w:t>and</w:t>
            </w:r>
            <w:r>
              <w:rPr>
                <w:spacing w:val="-6"/>
                <w:sz w:val="20"/>
              </w:rPr>
              <w:t> </w:t>
            </w:r>
            <w:r>
              <w:rPr>
                <w:spacing w:val="-2"/>
                <w:sz w:val="20"/>
              </w:rPr>
              <w:t>charges</w:t>
            </w:r>
          </w:p>
        </w:tc>
        <w:tc>
          <w:tcPr>
            <w:tcW w:w="1888" w:type="dxa"/>
          </w:tcPr>
          <w:p>
            <w:pPr>
              <w:pStyle w:val="TableParagraph"/>
              <w:spacing w:before="32"/>
              <w:ind w:right="92"/>
              <w:jc w:val="right"/>
              <w:rPr>
                <w:sz w:val="20"/>
              </w:rPr>
            </w:pPr>
            <w:r>
              <w:rPr>
                <w:spacing w:val="-2"/>
                <w:sz w:val="20"/>
              </w:rPr>
              <w:t>20,496</w:t>
            </w:r>
          </w:p>
        </w:tc>
        <w:tc>
          <w:tcPr>
            <w:tcW w:w="1889" w:type="dxa"/>
            <w:shd w:val="clear" w:color="auto" w:fill="DDEBF6"/>
          </w:tcPr>
          <w:p>
            <w:pPr>
              <w:pStyle w:val="TableParagraph"/>
              <w:spacing w:before="32"/>
              <w:ind w:right="91"/>
              <w:jc w:val="right"/>
              <w:rPr>
                <w:b/>
                <w:sz w:val="20"/>
              </w:rPr>
            </w:pPr>
            <w:r>
              <w:rPr>
                <w:b/>
                <w:spacing w:val="-2"/>
                <w:sz w:val="20"/>
              </w:rPr>
              <w:t>21,874</w:t>
            </w:r>
          </w:p>
        </w:tc>
        <w:tc>
          <w:tcPr>
            <w:tcW w:w="1895" w:type="dxa"/>
          </w:tcPr>
          <w:p>
            <w:pPr>
              <w:pStyle w:val="TableParagraph"/>
              <w:spacing w:before="32"/>
              <w:ind w:right="349"/>
              <w:jc w:val="right"/>
              <w:rPr>
                <w:sz w:val="20"/>
              </w:rPr>
            </w:pPr>
            <w:r>
              <w:rPr>
                <w:spacing w:val="-2"/>
                <w:sz w:val="20"/>
              </w:rPr>
              <w:t>1,378</w:t>
            </w:r>
          </w:p>
        </w:tc>
        <w:tc>
          <w:tcPr>
            <w:tcW w:w="1024" w:type="dxa"/>
            <w:tcBorders>
              <w:right w:val="single" w:sz="12" w:space="0" w:color="000000"/>
            </w:tcBorders>
          </w:tcPr>
          <w:p>
            <w:pPr>
              <w:pStyle w:val="TableParagraph"/>
              <w:spacing w:before="32"/>
              <w:ind w:right="80"/>
              <w:jc w:val="right"/>
              <w:rPr>
                <w:sz w:val="20"/>
              </w:rPr>
            </w:pPr>
            <w:r>
              <w:rPr>
                <w:spacing w:val="-2"/>
                <w:sz w:val="20"/>
              </w:rPr>
              <w:t>6.73%</w:t>
            </w:r>
          </w:p>
        </w:tc>
      </w:tr>
      <w:tr>
        <w:trPr>
          <w:trHeight w:val="298" w:hRule="atLeast"/>
        </w:trPr>
        <w:tc>
          <w:tcPr>
            <w:tcW w:w="3798" w:type="dxa"/>
            <w:tcBorders>
              <w:left w:val="single" w:sz="12" w:space="0" w:color="000000"/>
            </w:tcBorders>
          </w:tcPr>
          <w:p>
            <w:pPr>
              <w:pStyle w:val="TableParagraph"/>
              <w:spacing w:before="34"/>
              <w:ind w:left="107"/>
              <w:rPr>
                <w:sz w:val="20"/>
              </w:rPr>
            </w:pPr>
            <w:r>
              <w:rPr>
                <w:sz w:val="20"/>
              </w:rPr>
              <w:t>Special</w:t>
            </w:r>
            <w:r>
              <w:rPr>
                <w:spacing w:val="-7"/>
                <w:sz w:val="20"/>
              </w:rPr>
              <w:t> </w:t>
            </w:r>
            <w:r>
              <w:rPr>
                <w:sz w:val="20"/>
              </w:rPr>
              <w:t>rates</w:t>
            </w:r>
            <w:r>
              <w:rPr>
                <w:spacing w:val="-6"/>
                <w:sz w:val="20"/>
              </w:rPr>
              <w:t> </w:t>
            </w:r>
            <w:r>
              <w:rPr>
                <w:sz w:val="20"/>
              </w:rPr>
              <w:t>and</w:t>
            </w:r>
            <w:r>
              <w:rPr>
                <w:spacing w:val="-7"/>
                <w:sz w:val="20"/>
              </w:rPr>
              <w:t> </w:t>
            </w:r>
            <w:r>
              <w:rPr>
                <w:spacing w:val="-2"/>
                <w:sz w:val="20"/>
              </w:rPr>
              <w:t>charges</w:t>
            </w:r>
          </w:p>
        </w:tc>
        <w:tc>
          <w:tcPr>
            <w:tcW w:w="1888" w:type="dxa"/>
          </w:tcPr>
          <w:p>
            <w:pPr>
              <w:pStyle w:val="TableParagraph"/>
              <w:spacing w:before="34"/>
              <w:ind w:right="92"/>
              <w:jc w:val="right"/>
              <w:rPr>
                <w:sz w:val="20"/>
              </w:rPr>
            </w:pPr>
            <w:r>
              <w:rPr>
                <w:spacing w:val="-5"/>
                <w:sz w:val="20"/>
              </w:rPr>
              <w:t>142</w:t>
            </w:r>
          </w:p>
        </w:tc>
        <w:tc>
          <w:tcPr>
            <w:tcW w:w="1889" w:type="dxa"/>
            <w:shd w:val="clear" w:color="auto" w:fill="DDEBF6"/>
          </w:tcPr>
          <w:p>
            <w:pPr>
              <w:pStyle w:val="TableParagraph"/>
              <w:spacing w:before="34"/>
              <w:ind w:right="92"/>
              <w:jc w:val="right"/>
              <w:rPr>
                <w:b/>
                <w:sz w:val="20"/>
              </w:rPr>
            </w:pPr>
            <w:r>
              <w:rPr>
                <w:b/>
                <w:spacing w:val="-5"/>
                <w:sz w:val="20"/>
              </w:rPr>
              <w:t>146</w:t>
            </w:r>
          </w:p>
        </w:tc>
        <w:tc>
          <w:tcPr>
            <w:tcW w:w="1895" w:type="dxa"/>
          </w:tcPr>
          <w:p>
            <w:pPr>
              <w:pStyle w:val="TableParagraph"/>
              <w:spacing w:before="34"/>
              <w:ind w:right="347"/>
              <w:jc w:val="right"/>
              <w:rPr>
                <w:sz w:val="20"/>
              </w:rPr>
            </w:pPr>
            <w:r>
              <w:rPr>
                <w:w w:val="99"/>
                <w:sz w:val="20"/>
              </w:rPr>
              <w:t>4</w:t>
            </w:r>
          </w:p>
        </w:tc>
        <w:tc>
          <w:tcPr>
            <w:tcW w:w="1024" w:type="dxa"/>
            <w:tcBorders>
              <w:right w:val="single" w:sz="12" w:space="0" w:color="000000"/>
            </w:tcBorders>
          </w:tcPr>
          <w:p>
            <w:pPr>
              <w:pStyle w:val="TableParagraph"/>
              <w:spacing w:before="34"/>
              <w:ind w:right="80"/>
              <w:jc w:val="right"/>
              <w:rPr>
                <w:sz w:val="20"/>
              </w:rPr>
            </w:pPr>
            <w:r>
              <w:rPr>
                <w:spacing w:val="-2"/>
                <w:sz w:val="20"/>
              </w:rPr>
              <w:t>2.74%</w:t>
            </w:r>
          </w:p>
        </w:tc>
      </w:tr>
      <w:tr>
        <w:trPr>
          <w:trHeight w:val="526" w:hRule="atLeast"/>
        </w:trPr>
        <w:tc>
          <w:tcPr>
            <w:tcW w:w="3798" w:type="dxa"/>
            <w:tcBorders>
              <w:left w:val="single" w:sz="12" w:space="0" w:color="000000"/>
            </w:tcBorders>
          </w:tcPr>
          <w:p>
            <w:pPr>
              <w:pStyle w:val="TableParagraph"/>
              <w:spacing w:before="28"/>
              <w:ind w:left="107" w:right="29"/>
              <w:rPr>
                <w:sz w:val="20"/>
              </w:rPr>
            </w:pPr>
            <w:r>
              <w:rPr>
                <w:sz w:val="20"/>
              </w:rPr>
              <w:t>Supplementary</w:t>
            </w:r>
            <w:r>
              <w:rPr>
                <w:spacing w:val="-9"/>
                <w:sz w:val="20"/>
              </w:rPr>
              <w:t> </w:t>
            </w:r>
            <w:r>
              <w:rPr>
                <w:sz w:val="20"/>
              </w:rPr>
              <w:t>rates</w:t>
            </w:r>
            <w:r>
              <w:rPr>
                <w:spacing w:val="-7"/>
                <w:sz w:val="20"/>
              </w:rPr>
              <w:t> </w:t>
            </w:r>
            <w:r>
              <w:rPr>
                <w:sz w:val="20"/>
              </w:rPr>
              <w:t>and</w:t>
            </w:r>
            <w:r>
              <w:rPr>
                <w:spacing w:val="-9"/>
                <w:sz w:val="20"/>
              </w:rPr>
              <w:t> </w:t>
            </w:r>
            <w:r>
              <w:rPr>
                <w:sz w:val="20"/>
              </w:rPr>
              <w:t>rate </w:t>
            </w:r>
            <w:r>
              <w:rPr>
                <w:spacing w:val="-2"/>
                <w:sz w:val="20"/>
              </w:rPr>
              <w:t>adjustments</w:t>
            </w:r>
          </w:p>
        </w:tc>
        <w:tc>
          <w:tcPr>
            <w:tcW w:w="1888" w:type="dxa"/>
          </w:tcPr>
          <w:p>
            <w:pPr>
              <w:pStyle w:val="TableParagraph"/>
              <w:spacing w:before="143"/>
              <w:ind w:right="91"/>
              <w:jc w:val="right"/>
              <w:rPr>
                <w:sz w:val="20"/>
              </w:rPr>
            </w:pPr>
            <w:r>
              <w:rPr>
                <w:spacing w:val="-5"/>
                <w:sz w:val="20"/>
              </w:rPr>
              <w:t>616</w:t>
            </w:r>
          </w:p>
        </w:tc>
        <w:tc>
          <w:tcPr>
            <w:tcW w:w="1889" w:type="dxa"/>
            <w:shd w:val="clear" w:color="auto" w:fill="DDEBF6"/>
          </w:tcPr>
          <w:p>
            <w:pPr>
              <w:pStyle w:val="TableParagraph"/>
              <w:spacing w:before="143"/>
              <w:ind w:right="92"/>
              <w:jc w:val="right"/>
              <w:rPr>
                <w:b/>
                <w:sz w:val="20"/>
              </w:rPr>
            </w:pPr>
            <w:r>
              <w:rPr>
                <w:b/>
                <w:spacing w:val="-5"/>
                <w:sz w:val="20"/>
              </w:rPr>
              <w:t>543</w:t>
            </w:r>
          </w:p>
        </w:tc>
        <w:tc>
          <w:tcPr>
            <w:tcW w:w="1895" w:type="dxa"/>
          </w:tcPr>
          <w:p>
            <w:pPr>
              <w:pStyle w:val="TableParagraph"/>
              <w:spacing w:before="143"/>
              <w:ind w:right="348"/>
              <w:jc w:val="right"/>
              <w:rPr>
                <w:sz w:val="20"/>
              </w:rPr>
            </w:pPr>
            <w:r>
              <w:rPr>
                <w:spacing w:val="-4"/>
                <w:sz w:val="20"/>
              </w:rPr>
              <w:t>(73)</w:t>
            </w:r>
          </w:p>
        </w:tc>
        <w:tc>
          <w:tcPr>
            <w:tcW w:w="1024" w:type="dxa"/>
            <w:tcBorders>
              <w:right w:val="single" w:sz="12" w:space="0" w:color="000000"/>
            </w:tcBorders>
          </w:tcPr>
          <w:p>
            <w:pPr>
              <w:pStyle w:val="TableParagraph"/>
              <w:spacing w:before="143"/>
              <w:ind w:right="81"/>
              <w:jc w:val="right"/>
              <w:rPr>
                <w:sz w:val="20"/>
              </w:rPr>
            </w:pPr>
            <w:r>
              <w:rPr>
                <w:spacing w:val="-2"/>
                <w:sz w:val="20"/>
              </w:rPr>
              <w:t>(11.85%)</w:t>
            </w:r>
          </w:p>
        </w:tc>
      </w:tr>
      <w:tr>
        <w:trPr>
          <w:trHeight w:val="309" w:hRule="atLeast"/>
        </w:trPr>
        <w:tc>
          <w:tcPr>
            <w:tcW w:w="3798" w:type="dxa"/>
            <w:tcBorders>
              <w:left w:val="single" w:sz="12" w:space="0" w:color="000000"/>
            </w:tcBorders>
          </w:tcPr>
          <w:p>
            <w:pPr>
              <w:pStyle w:val="TableParagraph"/>
              <w:spacing w:before="31"/>
              <w:ind w:left="107"/>
              <w:rPr>
                <w:sz w:val="20"/>
              </w:rPr>
            </w:pPr>
            <w:r>
              <w:rPr>
                <w:sz w:val="20"/>
              </w:rPr>
              <w:t>Interest</w:t>
            </w:r>
            <w:r>
              <w:rPr>
                <w:spacing w:val="-7"/>
                <w:sz w:val="20"/>
              </w:rPr>
              <w:t> </w:t>
            </w:r>
            <w:r>
              <w:rPr>
                <w:sz w:val="20"/>
              </w:rPr>
              <w:t>on</w:t>
            </w:r>
            <w:r>
              <w:rPr>
                <w:spacing w:val="-6"/>
                <w:sz w:val="20"/>
              </w:rPr>
              <w:t> </w:t>
            </w:r>
            <w:r>
              <w:rPr>
                <w:sz w:val="20"/>
              </w:rPr>
              <w:t>rates</w:t>
            </w:r>
            <w:r>
              <w:rPr>
                <w:spacing w:val="-3"/>
                <w:sz w:val="20"/>
              </w:rPr>
              <w:t> </w:t>
            </w:r>
            <w:r>
              <w:rPr>
                <w:sz w:val="20"/>
              </w:rPr>
              <w:t>and</w:t>
            </w:r>
            <w:r>
              <w:rPr>
                <w:spacing w:val="-5"/>
                <w:sz w:val="20"/>
              </w:rPr>
              <w:t> </w:t>
            </w:r>
            <w:r>
              <w:rPr>
                <w:spacing w:val="-2"/>
                <w:sz w:val="20"/>
              </w:rPr>
              <w:t>charges</w:t>
            </w:r>
          </w:p>
        </w:tc>
        <w:tc>
          <w:tcPr>
            <w:tcW w:w="1888" w:type="dxa"/>
          </w:tcPr>
          <w:p>
            <w:pPr>
              <w:pStyle w:val="TableParagraph"/>
              <w:spacing w:before="31"/>
              <w:ind w:right="92"/>
              <w:jc w:val="right"/>
              <w:rPr>
                <w:sz w:val="20"/>
              </w:rPr>
            </w:pPr>
            <w:r>
              <w:rPr>
                <w:spacing w:val="-5"/>
                <w:sz w:val="20"/>
              </w:rPr>
              <w:t>246</w:t>
            </w:r>
          </w:p>
        </w:tc>
        <w:tc>
          <w:tcPr>
            <w:tcW w:w="1889" w:type="dxa"/>
            <w:shd w:val="clear" w:color="auto" w:fill="DDEBF6"/>
          </w:tcPr>
          <w:p>
            <w:pPr>
              <w:pStyle w:val="TableParagraph"/>
              <w:spacing w:before="31"/>
              <w:ind w:right="92"/>
              <w:jc w:val="right"/>
              <w:rPr>
                <w:b/>
                <w:sz w:val="20"/>
              </w:rPr>
            </w:pPr>
            <w:r>
              <w:rPr>
                <w:b/>
                <w:spacing w:val="-5"/>
                <w:sz w:val="20"/>
              </w:rPr>
              <w:t>252</w:t>
            </w:r>
          </w:p>
        </w:tc>
        <w:tc>
          <w:tcPr>
            <w:tcW w:w="1895" w:type="dxa"/>
          </w:tcPr>
          <w:p>
            <w:pPr>
              <w:pStyle w:val="TableParagraph"/>
              <w:spacing w:before="31"/>
              <w:ind w:right="347"/>
              <w:jc w:val="right"/>
              <w:rPr>
                <w:sz w:val="20"/>
              </w:rPr>
            </w:pPr>
            <w:r>
              <w:rPr>
                <w:w w:val="99"/>
                <w:sz w:val="20"/>
              </w:rPr>
              <w:t>7</w:t>
            </w:r>
          </w:p>
        </w:tc>
        <w:tc>
          <w:tcPr>
            <w:tcW w:w="1024" w:type="dxa"/>
            <w:tcBorders>
              <w:right w:val="single" w:sz="12" w:space="0" w:color="000000"/>
            </w:tcBorders>
          </w:tcPr>
          <w:p>
            <w:pPr>
              <w:pStyle w:val="TableParagraph"/>
              <w:spacing w:before="31"/>
              <w:ind w:right="80"/>
              <w:jc w:val="right"/>
              <w:rPr>
                <w:sz w:val="20"/>
              </w:rPr>
            </w:pPr>
            <w:r>
              <w:rPr>
                <w:spacing w:val="-2"/>
                <w:sz w:val="20"/>
              </w:rPr>
              <w:t>2.65%</w:t>
            </w:r>
          </w:p>
        </w:tc>
      </w:tr>
      <w:tr>
        <w:trPr>
          <w:trHeight w:val="316" w:hRule="atLeast"/>
        </w:trPr>
        <w:tc>
          <w:tcPr>
            <w:tcW w:w="3798" w:type="dxa"/>
            <w:tcBorders>
              <w:left w:val="single" w:sz="12" w:space="0" w:color="000000"/>
              <w:bottom w:val="single" w:sz="12" w:space="0" w:color="000000"/>
            </w:tcBorders>
          </w:tcPr>
          <w:p>
            <w:pPr>
              <w:pStyle w:val="TableParagraph"/>
              <w:spacing w:before="41"/>
              <w:ind w:left="107"/>
              <w:rPr>
                <w:b/>
                <w:sz w:val="20"/>
              </w:rPr>
            </w:pPr>
            <w:r>
              <w:rPr>
                <w:b/>
                <w:sz w:val="20"/>
              </w:rPr>
              <w:t>Total</w:t>
            </w:r>
            <w:r>
              <w:rPr>
                <w:b/>
                <w:spacing w:val="-7"/>
                <w:sz w:val="20"/>
              </w:rPr>
              <w:t> </w:t>
            </w:r>
            <w:r>
              <w:rPr>
                <w:b/>
                <w:sz w:val="20"/>
              </w:rPr>
              <w:t>rates</w:t>
            </w:r>
            <w:r>
              <w:rPr>
                <w:b/>
                <w:spacing w:val="-4"/>
                <w:sz w:val="20"/>
              </w:rPr>
              <w:t> </w:t>
            </w:r>
            <w:r>
              <w:rPr>
                <w:b/>
                <w:sz w:val="20"/>
              </w:rPr>
              <w:t>and</w:t>
            </w:r>
            <w:r>
              <w:rPr>
                <w:b/>
                <w:spacing w:val="-7"/>
                <w:sz w:val="20"/>
              </w:rPr>
              <w:t> </w:t>
            </w:r>
            <w:r>
              <w:rPr>
                <w:b/>
                <w:spacing w:val="-2"/>
                <w:sz w:val="20"/>
              </w:rPr>
              <w:t>charges</w:t>
            </w:r>
          </w:p>
        </w:tc>
        <w:tc>
          <w:tcPr>
            <w:tcW w:w="1888" w:type="dxa"/>
            <w:tcBorders>
              <w:bottom w:val="single" w:sz="12" w:space="0" w:color="000000"/>
            </w:tcBorders>
          </w:tcPr>
          <w:p>
            <w:pPr>
              <w:pStyle w:val="TableParagraph"/>
              <w:spacing w:before="41"/>
              <w:ind w:right="92"/>
              <w:jc w:val="right"/>
              <w:rPr>
                <w:b/>
                <w:sz w:val="20"/>
              </w:rPr>
            </w:pPr>
            <w:r>
              <w:rPr>
                <w:b/>
                <w:spacing w:val="-2"/>
                <w:sz w:val="20"/>
              </w:rPr>
              <w:t>111,689</w:t>
            </w:r>
          </w:p>
        </w:tc>
        <w:tc>
          <w:tcPr>
            <w:tcW w:w="1889" w:type="dxa"/>
            <w:tcBorders>
              <w:bottom w:val="single" w:sz="12" w:space="0" w:color="000000"/>
            </w:tcBorders>
            <w:shd w:val="clear" w:color="auto" w:fill="DDEBF6"/>
          </w:tcPr>
          <w:p>
            <w:pPr>
              <w:pStyle w:val="TableParagraph"/>
              <w:spacing w:before="41"/>
              <w:ind w:right="91"/>
              <w:jc w:val="right"/>
              <w:rPr>
                <w:b/>
                <w:sz w:val="20"/>
              </w:rPr>
            </w:pPr>
            <w:r>
              <w:rPr>
                <w:b/>
                <w:spacing w:val="-2"/>
                <w:sz w:val="20"/>
              </w:rPr>
              <w:t>116,159</w:t>
            </w:r>
          </w:p>
        </w:tc>
        <w:tc>
          <w:tcPr>
            <w:tcW w:w="1895" w:type="dxa"/>
            <w:tcBorders>
              <w:bottom w:val="single" w:sz="12" w:space="0" w:color="000000"/>
            </w:tcBorders>
          </w:tcPr>
          <w:p>
            <w:pPr>
              <w:pStyle w:val="TableParagraph"/>
              <w:spacing w:before="41"/>
              <w:ind w:right="383"/>
              <w:jc w:val="right"/>
              <w:rPr>
                <w:b/>
                <w:sz w:val="20"/>
              </w:rPr>
            </w:pPr>
            <w:r>
              <w:rPr>
                <w:b/>
                <w:spacing w:val="-2"/>
                <w:sz w:val="20"/>
              </w:rPr>
              <w:t>4,470</w:t>
            </w:r>
          </w:p>
        </w:tc>
        <w:tc>
          <w:tcPr>
            <w:tcW w:w="1024" w:type="dxa"/>
            <w:tcBorders>
              <w:bottom w:val="single" w:sz="12" w:space="0" w:color="000000"/>
              <w:right w:val="single" w:sz="12" w:space="0" w:color="000000"/>
            </w:tcBorders>
          </w:tcPr>
          <w:p>
            <w:pPr>
              <w:pStyle w:val="TableParagraph"/>
              <w:spacing w:before="41"/>
              <w:ind w:right="77"/>
              <w:jc w:val="right"/>
              <w:rPr>
                <w:b/>
                <w:sz w:val="20"/>
              </w:rPr>
            </w:pPr>
            <w:r>
              <w:rPr>
                <w:b/>
                <w:spacing w:val="-2"/>
                <w:sz w:val="20"/>
              </w:rPr>
              <w:t>4.00%</w:t>
            </w:r>
          </w:p>
        </w:tc>
      </w:tr>
    </w:tbl>
    <w:p>
      <w:pPr>
        <w:spacing w:before="0"/>
        <w:ind w:left="260" w:right="0" w:firstLine="0"/>
        <w:jc w:val="left"/>
        <w:rPr>
          <w:sz w:val="20"/>
        </w:rPr>
      </w:pPr>
      <w:r>
        <w:rPr>
          <w:sz w:val="20"/>
        </w:rPr>
        <w:t>*These</w:t>
      </w:r>
      <w:r>
        <w:rPr>
          <w:spacing w:val="-4"/>
          <w:sz w:val="20"/>
        </w:rPr>
        <w:t> </w:t>
      </w:r>
      <w:r>
        <w:rPr>
          <w:sz w:val="20"/>
        </w:rPr>
        <w:t>items</w:t>
      </w:r>
      <w:r>
        <w:rPr>
          <w:spacing w:val="-5"/>
          <w:sz w:val="20"/>
        </w:rPr>
        <w:t> </w:t>
      </w:r>
      <w:r>
        <w:rPr>
          <w:sz w:val="20"/>
        </w:rPr>
        <w:t>are</w:t>
      </w:r>
      <w:r>
        <w:rPr>
          <w:spacing w:val="-6"/>
          <w:sz w:val="20"/>
        </w:rPr>
        <w:t> </w:t>
      </w:r>
      <w:r>
        <w:rPr>
          <w:sz w:val="20"/>
        </w:rPr>
        <w:t>subject</w:t>
      </w:r>
      <w:r>
        <w:rPr>
          <w:spacing w:val="-5"/>
          <w:sz w:val="20"/>
        </w:rPr>
        <w:t> </w:t>
      </w:r>
      <w:r>
        <w:rPr>
          <w:sz w:val="20"/>
        </w:rPr>
        <w:t>to</w:t>
      </w:r>
      <w:r>
        <w:rPr>
          <w:spacing w:val="-5"/>
          <w:sz w:val="20"/>
        </w:rPr>
        <w:t> </w:t>
      </w:r>
      <w:r>
        <w:rPr>
          <w:sz w:val="20"/>
        </w:rPr>
        <w:t>the</w:t>
      </w:r>
      <w:r>
        <w:rPr>
          <w:spacing w:val="-5"/>
          <w:sz w:val="20"/>
        </w:rPr>
        <w:t> </w:t>
      </w:r>
      <w:r>
        <w:rPr>
          <w:sz w:val="20"/>
        </w:rPr>
        <w:t>rate</w:t>
      </w:r>
      <w:r>
        <w:rPr>
          <w:spacing w:val="-5"/>
          <w:sz w:val="20"/>
        </w:rPr>
        <w:t> </w:t>
      </w:r>
      <w:r>
        <w:rPr>
          <w:sz w:val="20"/>
        </w:rPr>
        <w:t>cap</w:t>
      </w:r>
      <w:r>
        <w:rPr>
          <w:spacing w:val="-4"/>
          <w:sz w:val="20"/>
        </w:rPr>
        <w:t> </w:t>
      </w:r>
      <w:r>
        <w:rPr>
          <w:sz w:val="20"/>
        </w:rPr>
        <w:t>established</w:t>
      </w:r>
      <w:r>
        <w:rPr>
          <w:spacing w:val="-2"/>
          <w:sz w:val="20"/>
        </w:rPr>
        <w:t> </w:t>
      </w:r>
      <w:r>
        <w:rPr>
          <w:sz w:val="20"/>
        </w:rPr>
        <w:t>under</w:t>
      </w:r>
      <w:r>
        <w:rPr>
          <w:spacing w:val="-3"/>
          <w:sz w:val="20"/>
        </w:rPr>
        <w:t> </w:t>
      </w:r>
      <w:r>
        <w:rPr>
          <w:sz w:val="20"/>
        </w:rPr>
        <w:t>the</w:t>
      </w:r>
      <w:r>
        <w:rPr>
          <w:spacing w:val="-6"/>
          <w:sz w:val="20"/>
        </w:rPr>
        <w:t> </w:t>
      </w:r>
      <w:r>
        <w:rPr>
          <w:spacing w:val="-4"/>
          <w:sz w:val="20"/>
        </w:rPr>
        <w:t>FGRS</w:t>
      </w:r>
    </w:p>
    <w:p>
      <w:pPr>
        <w:pStyle w:val="BodyText"/>
        <w:spacing w:before="7"/>
        <w:rPr>
          <w:sz w:val="21"/>
        </w:rPr>
      </w:pPr>
    </w:p>
    <w:p>
      <w:pPr>
        <w:pStyle w:val="BodyText"/>
        <w:spacing w:before="1"/>
        <w:ind w:left="826" w:right="449" w:hanging="567"/>
      </w:pPr>
      <w:r>
        <w:rPr/>
        <w:pict>
          <v:shape style="position:absolute;margin-left:292.679016pt;margin-top:84.52787pt;width:265.25pt;height:15pt;mso-position-horizontal-relative:page;mso-position-vertical-relative:paragraph;z-index:-38037504" id="docshape19" coordorigin="5854,1691" coordsize="5305,300" path="m11158,1691l9401,1691,7627,1691,5854,1691,5854,1991,7627,1991,9401,1991,11158,1991,11158,1691xe" filled="true" fillcolor="#d8d8d8" stroked="false">
            <v:path arrowok="t"/>
            <v:fill type="solid"/>
            <w10:wrap type="none"/>
          </v:shape>
        </w:pict>
      </w:r>
      <w:r>
        <w:rPr/>
        <w:t>4.1.1(b)</w:t>
      </w:r>
      <w:r>
        <w:rPr>
          <w:spacing w:val="-7"/>
        </w:rPr>
        <w:t> </w:t>
      </w:r>
      <w:r>
        <w:rPr/>
        <w:t>The</w:t>
      </w:r>
      <w:r>
        <w:rPr>
          <w:spacing w:val="-11"/>
        </w:rPr>
        <w:t> </w:t>
      </w:r>
      <w:r>
        <w:rPr/>
        <w:t>rate</w:t>
      </w:r>
      <w:r>
        <w:rPr>
          <w:spacing w:val="-10"/>
        </w:rPr>
        <w:t> </w:t>
      </w:r>
      <w:r>
        <w:rPr/>
        <w:t>in</w:t>
      </w:r>
      <w:r>
        <w:rPr>
          <w:spacing w:val="-11"/>
        </w:rPr>
        <w:t> </w:t>
      </w:r>
      <w:r>
        <w:rPr/>
        <w:t>the</w:t>
      </w:r>
      <w:r>
        <w:rPr>
          <w:spacing w:val="-8"/>
        </w:rPr>
        <w:t> </w:t>
      </w:r>
      <w:r>
        <w:rPr/>
        <w:t>dollar</w:t>
      </w:r>
      <w:r>
        <w:rPr>
          <w:spacing w:val="-7"/>
        </w:rPr>
        <w:t> </w:t>
      </w:r>
      <w:r>
        <w:rPr/>
        <w:t>to</w:t>
      </w:r>
      <w:r>
        <w:rPr>
          <w:spacing w:val="-8"/>
        </w:rPr>
        <w:t> </w:t>
      </w:r>
      <w:r>
        <w:rPr/>
        <w:t>be</w:t>
      </w:r>
      <w:r>
        <w:rPr>
          <w:spacing w:val="-8"/>
        </w:rPr>
        <w:t> </w:t>
      </w:r>
      <w:r>
        <w:rPr/>
        <w:t>levied</w:t>
      </w:r>
      <w:r>
        <w:rPr>
          <w:spacing w:val="-10"/>
        </w:rPr>
        <w:t> </w:t>
      </w:r>
      <w:r>
        <w:rPr/>
        <w:t>as</w:t>
      </w:r>
      <w:r>
        <w:rPr>
          <w:spacing w:val="-11"/>
        </w:rPr>
        <w:t> </w:t>
      </w:r>
      <w:r>
        <w:rPr/>
        <w:t>general</w:t>
      </w:r>
      <w:r>
        <w:rPr>
          <w:spacing w:val="-11"/>
        </w:rPr>
        <w:t> </w:t>
      </w:r>
      <w:r>
        <w:rPr/>
        <w:t>rates</w:t>
      </w:r>
      <w:r>
        <w:rPr>
          <w:spacing w:val="-8"/>
        </w:rPr>
        <w:t> </w:t>
      </w:r>
      <w:r>
        <w:rPr/>
        <w:t>under</w:t>
      </w:r>
      <w:r>
        <w:rPr>
          <w:spacing w:val="-7"/>
        </w:rPr>
        <w:t> </w:t>
      </w:r>
      <w:r>
        <w:rPr/>
        <w:t>section</w:t>
      </w:r>
      <w:r>
        <w:rPr>
          <w:spacing w:val="-8"/>
        </w:rPr>
        <w:t> </w:t>
      </w:r>
      <w:r>
        <w:rPr/>
        <w:t>158</w:t>
      </w:r>
      <w:r>
        <w:rPr>
          <w:spacing w:val="-8"/>
        </w:rPr>
        <w:t> </w:t>
      </w:r>
      <w:r>
        <w:rPr/>
        <w:t>of</w:t>
      </w:r>
      <w:r>
        <w:rPr>
          <w:spacing w:val="-11"/>
        </w:rPr>
        <w:t> </w:t>
      </w:r>
      <w:r>
        <w:rPr/>
        <w:t>the</w:t>
      </w:r>
      <w:r>
        <w:rPr>
          <w:spacing w:val="-10"/>
        </w:rPr>
        <w:t> </w:t>
      </w:r>
      <w:r>
        <w:rPr/>
        <w:t>Act</w:t>
      </w:r>
      <w:r>
        <w:rPr>
          <w:spacing w:val="-11"/>
        </w:rPr>
        <w:t> </w:t>
      </w:r>
      <w:r>
        <w:rPr/>
        <w:t>for</w:t>
      </w:r>
      <w:r>
        <w:rPr>
          <w:spacing w:val="-7"/>
        </w:rPr>
        <w:t> </w:t>
      </w:r>
      <w:r>
        <w:rPr/>
        <w:t>each</w:t>
      </w:r>
      <w:r>
        <w:rPr>
          <w:spacing w:val="-8"/>
        </w:rPr>
        <w:t> </w:t>
      </w:r>
      <w:r>
        <w:rPr/>
        <w:t>type</w:t>
      </w:r>
      <w:r>
        <w:rPr>
          <w:spacing w:val="-10"/>
        </w:rPr>
        <w:t> </w:t>
      </w:r>
      <w:r>
        <w:rPr/>
        <w:t>or</w:t>
      </w:r>
      <w:r>
        <w:rPr>
          <w:spacing w:val="-7"/>
        </w:rPr>
        <w:t> </w:t>
      </w:r>
      <w:r>
        <w:rPr/>
        <w:t>class of land compared with the previous financial year</w:t>
      </w:r>
    </w:p>
    <w:p>
      <w:pPr>
        <w:pStyle w:val="BodyText"/>
        <w:spacing w:before="10" w:after="1"/>
        <w:rPr>
          <w:sz w:val="21"/>
        </w:rPr>
      </w:pPr>
    </w:p>
    <w:tbl>
      <w:tblPr>
        <w:tblW w:w="0" w:type="auto"/>
        <w:jc w:val="left"/>
        <w:tblInd w:w="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83"/>
        <w:gridCol w:w="2551"/>
        <w:gridCol w:w="1855"/>
        <w:gridCol w:w="1548"/>
      </w:tblGrid>
      <w:tr>
        <w:trPr>
          <w:trHeight w:val="593" w:hRule="atLeast"/>
        </w:trPr>
        <w:tc>
          <w:tcPr>
            <w:tcW w:w="4483" w:type="dxa"/>
            <w:tcBorders>
              <w:top w:val="single" w:sz="18" w:space="0" w:color="000000"/>
              <w:left w:val="single" w:sz="12" w:space="0" w:color="000000"/>
            </w:tcBorders>
            <w:shd w:val="clear" w:color="auto" w:fill="5B9AD4"/>
          </w:tcPr>
          <w:p>
            <w:pPr>
              <w:pStyle w:val="TableParagraph"/>
              <w:spacing w:before="5"/>
              <w:rPr>
                <w:sz w:val="16"/>
              </w:rPr>
            </w:pPr>
          </w:p>
          <w:p>
            <w:pPr>
              <w:pStyle w:val="TableParagraph"/>
              <w:ind w:left="1662"/>
              <w:rPr>
                <w:b/>
                <w:sz w:val="18"/>
              </w:rPr>
            </w:pPr>
            <w:r>
              <w:rPr>
                <w:b/>
                <w:color w:val="FFFFFF"/>
                <w:sz w:val="18"/>
              </w:rPr>
              <w:t>Type</w:t>
            </w:r>
            <w:r>
              <w:rPr>
                <w:b/>
                <w:color w:val="FFFFFF"/>
                <w:spacing w:val="-2"/>
                <w:sz w:val="18"/>
              </w:rPr>
              <w:t> </w:t>
            </w:r>
            <w:r>
              <w:rPr>
                <w:b/>
                <w:color w:val="FFFFFF"/>
                <w:sz w:val="18"/>
              </w:rPr>
              <w:t>or</w:t>
            </w:r>
            <w:r>
              <w:rPr>
                <w:b/>
                <w:color w:val="FFFFFF"/>
                <w:spacing w:val="-3"/>
                <w:sz w:val="18"/>
              </w:rPr>
              <w:t> </w:t>
            </w:r>
            <w:r>
              <w:rPr>
                <w:b/>
                <w:color w:val="FFFFFF"/>
                <w:sz w:val="18"/>
              </w:rPr>
              <w:t>class</w:t>
            </w:r>
            <w:r>
              <w:rPr>
                <w:b/>
                <w:color w:val="FFFFFF"/>
                <w:spacing w:val="1"/>
                <w:sz w:val="18"/>
              </w:rPr>
              <w:t> </w:t>
            </w:r>
            <w:r>
              <w:rPr>
                <w:b/>
                <w:color w:val="FFFFFF"/>
                <w:sz w:val="18"/>
              </w:rPr>
              <w:t>of</w:t>
            </w:r>
            <w:r>
              <w:rPr>
                <w:b/>
                <w:color w:val="FFFFFF"/>
                <w:spacing w:val="1"/>
                <w:sz w:val="18"/>
              </w:rPr>
              <w:t> </w:t>
            </w:r>
            <w:r>
              <w:rPr>
                <w:b/>
                <w:color w:val="FFFFFF"/>
                <w:spacing w:val="-4"/>
                <w:sz w:val="18"/>
              </w:rPr>
              <w:t>land</w:t>
            </w:r>
          </w:p>
        </w:tc>
        <w:tc>
          <w:tcPr>
            <w:tcW w:w="2551" w:type="dxa"/>
            <w:tcBorders>
              <w:top w:val="single" w:sz="18" w:space="0" w:color="000000"/>
            </w:tcBorders>
            <w:shd w:val="clear" w:color="auto" w:fill="5B9AD4"/>
          </w:tcPr>
          <w:p>
            <w:pPr>
              <w:pStyle w:val="TableParagraph"/>
              <w:spacing w:before="38"/>
              <w:ind w:left="1032" w:right="507"/>
              <w:jc w:val="center"/>
              <w:rPr>
                <w:b/>
                <w:sz w:val="18"/>
              </w:rPr>
            </w:pPr>
            <w:r>
              <w:rPr>
                <w:b/>
                <w:color w:val="FFFFFF"/>
                <w:spacing w:val="-2"/>
                <w:sz w:val="18"/>
              </w:rPr>
              <w:t>2024/25</w:t>
            </w:r>
          </w:p>
          <w:p>
            <w:pPr>
              <w:pStyle w:val="TableParagraph"/>
              <w:spacing w:before="93"/>
              <w:ind w:left="1032" w:right="509"/>
              <w:jc w:val="center"/>
              <w:rPr>
                <w:b/>
                <w:sz w:val="18"/>
              </w:rPr>
            </w:pPr>
            <w:r>
              <w:rPr>
                <w:b/>
                <w:color w:val="FFFFFF"/>
                <w:spacing w:val="-2"/>
                <w:sz w:val="18"/>
              </w:rPr>
              <w:t>cents/$CIV*</w:t>
            </w:r>
          </w:p>
        </w:tc>
        <w:tc>
          <w:tcPr>
            <w:tcW w:w="1855" w:type="dxa"/>
            <w:tcBorders>
              <w:top w:val="single" w:sz="18" w:space="0" w:color="000000"/>
            </w:tcBorders>
            <w:shd w:val="clear" w:color="auto" w:fill="5B9AD4"/>
          </w:tcPr>
          <w:p>
            <w:pPr>
              <w:pStyle w:val="TableParagraph"/>
              <w:spacing w:before="38"/>
              <w:ind w:left="256" w:right="587"/>
              <w:jc w:val="center"/>
              <w:rPr>
                <w:b/>
                <w:sz w:val="18"/>
              </w:rPr>
            </w:pPr>
            <w:r>
              <w:rPr>
                <w:b/>
                <w:color w:val="FFFFFF"/>
                <w:spacing w:val="-2"/>
                <w:sz w:val="18"/>
              </w:rPr>
              <w:t>2025/26</w:t>
            </w:r>
          </w:p>
          <w:p>
            <w:pPr>
              <w:pStyle w:val="TableParagraph"/>
              <w:spacing w:before="93"/>
              <w:ind w:left="256" w:right="589"/>
              <w:jc w:val="center"/>
              <w:rPr>
                <w:b/>
                <w:sz w:val="18"/>
              </w:rPr>
            </w:pPr>
            <w:r>
              <w:rPr>
                <w:b/>
                <w:color w:val="FFFFFF"/>
                <w:spacing w:val="-2"/>
                <w:sz w:val="18"/>
              </w:rPr>
              <w:t>cents/$CIV*</w:t>
            </w:r>
          </w:p>
        </w:tc>
        <w:tc>
          <w:tcPr>
            <w:tcW w:w="1548" w:type="dxa"/>
            <w:tcBorders>
              <w:top w:val="single" w:sz="18" w:space="0" w:color="000000"/>
              <w:right w:val="single" w:sz="12" w:space="0" w:color="000000"/>
            </w:tcBorders>
            <w:shd w:val="clear" w:color="auto" w:fill="5B9AD4"/>
          </w:tcPr>
          <w:p>
            <w:pPr>
              <w:pStyle w:val="TableParagraph"/>
              <w:spacing w:before="5"/>
              <w:rPr>
                <w:sz w:val="16"/>
              </w:rPr>
            </w:pPr>
          </w:p>
          <w:p>
            <w:pPr>
              <w:pStyle w:val="TableParagraph"/>
              <w:ind w:left="331"/>
              <w:rPr>
                <w:b/>
                <w:sz w:val="18"/>
              </w:rPr>
            </w:pPr>
            <w:r>
              <w:rPr>
                <w:b/>
                <w:color w:val="FFFFFF"/>
                <w:spacing w:val="-2"/>
                <w:sz w:val="18"/>
              </w:rPr>
              <w:t>Change</w:t>
            </w:r>
          </w:p>
        </w:tc>
      </w:tr>
      <w:tr>
        <w:trPr>
          <w:trHeight w:val="301" w:hRule="atLeast"/>
        </w:trPr>
        <w:tc>
          <w:tcPr>
            <w:tcW w:w="4483" w:type="dxa"/>
            <w:tcBorders>
              <w:left w:val="single" w:sz="12" w:space="0" w:color="000000"/>
            </w:tcBorders>
          </w:tcPr>
          <w:p>
            <w:pPr>
              <w:pStyle w:val="TableParagraph"/>
              <w:spacing w:before="33"/>
              <w:ind w:left="107"/>
              <w:rPr>
                <w:sz w:val="20"/>
              </w:rPr>
            </w:pPr>
            <w:r>
              <w:rPr>
                <w:sz w:val="20"/>
              </w:rPr>
              <w:t>General</w:t>
            </w:r>
            <w:r>
              <w:rPr>
                <w:spacing w:val="-8"/>
                <w:sz w:val="20"/>
              </w:rPr>
              <w:t> </w:t>
            </w:r>
            <w:r>
              <w:rPr>
                <w:spacing w:val="-4"/>
                <w:sz w:val="20"/>
              </w:rPr>
              <w:t>Land</w:t>
            </w:r>
          </w:p>
        </w:tc>
        <w:tc>
          <w:tcPr>
            <w:tcW w:w="2551" w:type="dxa"/>
          </w:tcPr>
          <w:p>
            <w:pPr>
              <w:pStyle w:val="TableParagraph"/>
              <w:spacing w:before="33"/>
              <w:ind w:right="234"/>
              <w:jc w:val="right"/>
              <w:rPr>
                <w:sz w:val="20"/>
              </w:rPr>
            </w:pPr>
            <w:r>
              <w:rPr>
                <w:spacing w:val="-2"/>
                <w:sz w:val="20"/>
              </w:rPr>
              <w:t>0.191336</w:t>
            </w:r>
          </w:p>
        </w:tc>
        <w:tc>
          <w:tcPr>
            <w:tcW w:w="1855" w:type="dxa"/>
          </w:tcPr>
          <w:p>
            <w:pPr>
              <w:pStyle w:val="TableParagraph"/>
              <w:spacing w:before="33"/>
              <w:ind w:right="315"/>
              <w:jc w:val="right"/>
              <w:rPr>
                <w:b/>
                <w:sz w:val="20"/>
              </w:rPr>
            </w:pPr>
            <w:r>
              <w:rPr>
                <w:b/>
                <w:spacing w:val="-2"/>
                <w:sz w:val="20"/>
              </w:rPr>
              <w:t>0.194869</w:t>
            </w:r>
          </w:p>
        </w:tc>
        <w:tc>
          <w:tcPr>
            <w:tcW w:w="1548" w:type="dxa"/>
            <w:tcBorders>
              <w:right w:val="single" w:sz="12" w:space="0" w:color="000000"/>
            </w:tcBorders>
          </w:tcPr>
          <w:p>
            <w:pPr>
              <w:pStyle w:val="TableParagraph"/>
              <w:spacing w:before="33"/>
              <w:ind w:right="78"/>
              <w:jc w:val="right"/>
              <w:rPr>
                <w:sz w:val="20"/>
              </w:rPr>
            </w:pPr>
            <w:r>
              <w:rPr>
                <w:spacing w:val="-2"/>
                <w:sz w:val="20"/>
              </w:rPr>
              <w:t>1.85%</w:t>
            </w:r>
          </w:p>
        </w:tc>
      </w:tr>
      <w:tr>
        <w:trPr>
          <w:trHeight w:val="300" w:hRule="atLeast"/>
        </w:trPr>
        <w:tc>
          <w:tcPr>
            <w:tcW w:w="4483" w:type="dxa"/>
            <w:tcBorders>
              <w:left w:val="single" w:sz="12" w:space="0" w:color="000000"/>
            </w:tcBorders>
          </w:tcPr>
          <w:p>
            <w:pPr>
              <w:pStyle w:val="TableParagraph"/>
              <w:spacing w:before="31"/>
              <w:ind w:left="107"/>
              <w:rPr>
                <w:sz w:val="20"/>
              </w:rPr>
            </w:pPr>
            <w:r>
              <w:rPr>
                <w:sz w:val="20"/>
              </w:rPr>
              <w:t>Differential</w:t>
            </w:r>
            <w:r>
              <w:rPr>
                <w:spacing w:val="-9"/>
                <w:sz w:val="20"/>
              </w:rPr>
              <w:t> </w:t>
            </w:r>
            <w:r>
              <w:rPr>
                <w:spacing w:val="-2"/>
                <w:sz w:val="20"/>
              </w:rPr>
              <w:t>Rate:</w:t>
            </w:r>
          </w:p>
        </w:tc>
        <w:tc>
          <w:tcPr>
            <w:tcW w:w="2551" w:type="dxa"/>
          </w:tcPr>
          <w:p>
            <w:pPr>
              <w:pStyle w:val="TableParagraph"/>
              <w:rPr>
                <w:rFonts w:ascii="Times New Roman"/>
                <w:sz w:val="20"/>
              </w:rPr>
            </w:pPr>
          </w:p>
        </w:tc>
        <w:tc>
          <w:tcPr>
            <w:tcW w:w="1855" w:type="dxa"/>
          </w:tcPr>
          <w:p>
            <w:pPr>
              <w:pStyle w:val="TableParagraph"/>
              <w:rPr>
                <w:rFonts w:ascii="Times New Roman"/>
                <w:sz w:val="20"/>
              </w:rPr>
            </w:pPr>
          </w:p>
        </w:tc>
        <w:tc>
          <w:tcPr>
            <w:tcW w:w="1548" w:type="dxa"/>
            <w:tcBorders>
              <w:right w:val="single" w:sz="12" w:space="0" w:color="000000"/>
            </w:tcBorders>
          </w:tcPr>
          <w:p>
            <w:pPr>
              <w:pStyle w:val="TableParagraph"/>
              <w:rPr>
                <w:rFonts w:ascii="Times New Roman"/>
                <w:sz w:val="20"/>
              </w:rPr>
            </w:pPr>
          </w:p>
        </w:tc>
      </w:tr>
      <w:tr>
        <w:trPr>
          <w:trHeight w:val="300" w:hRule="atLeast"/>
        </w:trPr>
        <w:tc>
          <w:tcPr>
            <w:tcW w:w="4483" w:type="dxa"/>
            <w:tcBorders>
              <w:left w:val="single" w:sz="12" w:space="0" w:color="000000"/>
            </w:tcBorders>
          </w:tcPr>
          <w:p>
            <w:pPr>
              <w:pStyle w:val="TableParagraph"/>
              <w:spacing w:before="31"/>
              <w:ind w:left="327"/>
              <w:rPr>
                <w:sz w:val="20"/>
              </w:rPr>
            </w:pPr>
            <w:r>
              <w:rPr>
                <w:sz w:val="20"/>
              </w:rPr>
              <w:t>Vacant</w:t>
            </w:r>
            <w:r>
              <w:rPr>
                <w:spacing w:val="-5"/>
                <w:sz w:val="20"/>
              </w:rPr>
              <w:t> </w:t>
            </w:r>
            <w:r>
              <w:rPr>
                <w:spacing w:val="-4"/>
                <w:sz w:val="20"/>
              </w:rPr>
              <w:t>Land</w:t>
            </w:r>
          </w:p>
        </w:tc>
        <w:tc>
          <w:tcPr>
            <w:tcW w:w="2551" w:type="dxa"/>
          </w:tcPr>
          <w:p>
            <w:pPr>
              <w:pStyle w:val="TableParagraph"/>
              <w:spacing w:before="31"/>
              <w:ind w:right="234"/>
              <w:jc w:val="right"/>
              <w:rPr>
                <w:sz w:val="20"/>
              </w:rPr>
            </w:pPr>
            <w:r>
              <w:rPr>
                <w:spacing w:val="-2"/>
                <w:sz w:val="20"/>
              </w:rPr>
              <w:t>0.287004</w:t>
            </w:r>
          </w:p>
        </w:tc>
        <w:tc>
          <w:tcPr>
            <w:tcW w:w="1855" w:type="dxa"/>
          </w:tcPr>
          <w:p>
            <w:pPr>
              <w:pStyle w:val="TableParagraph"/>
              <w:spacing w:before="31"/>
              <w:ind w:right="315"/>
              <w:jc w:val="right"/>
              <w:rPr>
                <w:b/>
                <w:sz w:val="20"/>
              </w:rPr>
            </w:pPr>
            <w:r>
              <w:rPr>
                <w:b/>
                <w:spacing w:val="-2"/>
                <w:sz w:val="20"/>
              </w:rPr>
              <w:t>0.292304</w:t>
            </w:r>
          </w:p>
        </w:tc>
        <w:tc>
          <w:tcPr>
            <w:tcW w:w="1548" w:type="dxa"/>
            <w:tcBorders>
              <w:right w:val="single" w:sz="12" w:space="0" w:color="000000"/>
            </w:tcBorders>
          </w:tcPr>
          <w:p>
            <w:pPr>
              <w:pStyle w:val="TableParagraph"/>
              <w:spacing w:before="31"/>
              <w:ind w:right="78"/>
              <w:jc w:val="right"/>
              <w:rPr>
                <w:sz w:val="20"/>
              </w:rPr>
            </w:pPr>
            <w:r>
              <w:rPr>
                <w:spacing w:val="-2"/>
                <w:sz w:val="20"/>
              </w:rPr>
              <w:t>1.85%</w:t>
            </w:r>
          </w:p>
        </w:tc>
      </w:tr>
      <w:tr>
        <w:trPr>
          <w:trHeight w:val="300" w:hRule="atLeast"/>
        </w:trPr>
        <w:tc>
          <w:tcPr>
            <w:tcW w:w="4483" w:type="dxa"/>
            <w:tcBorders>
              <w:left w:val="single" w:sz="12" w:space="0" w:color="000000"/>
            </w:tcBorders>
          </w:tcPr>
          <w:p>
            <w:pPr>
              <w:pStyle w:val="TableParagraph"/>
              <w:spacing w:before="31"/>
              <w:ind w:left="327"/>
              <w:rPr>
                <w:sz w:val="20"/>
              </w:rPr>
            </w:pPr>
            <w:r>
              <w:rPr>
                <w:sz w:val="20"/>
              </w:rPr>
              <w:t>Commercial</w:t>
            </w:r>
            <w:r>
              <w:rPr>
                <w:spacing w:val="-9"/>
                <w:sz w:val="20"/>
              </w:rPr>
              <w:t> </w:t>
            </w:r>
            <w:r>
              <w:rPr>
                <w:spacing w:val="-4"/>
                <w:sz w:val="20"/>
              </w:rPr>
              <w:t>Land</w:t>
            </w:r>
          </w:p>
        </w:tc>
        <w:tc>
          <w:tcPr>
            <w:tcW w:w="2551" w:type="dxa"/>
          </w:tcPr>
          <w:p>
            <w:pPr>
              <w:pStyle w:val="TableParagraph"/>
              <w:spacing w:before="31"/>
              <w:ind w:right="235"/>
              <w:jc w:val="right"/>
              <w:rPr>
                <w:sz w:val="20"/>
              </w:rPr>
            </w:pPr>
            <w:r>
              <w:rPr>
                <w:spacing w:val="-2"/>
                <w:sz w:val="20"/>
              </w:rPr>
              <w:t>0.229603</w:t>
            </w:r>
          </w:p>
        </w:tc>
        <w:tc>
          <w:tcPr>
            <w:tcW w:w="1855" w:type="dxa"/>
          </w:tcPr>
          <w:p>
            <w:pPr>
              <w:pStyle w:val="TableParagraph"/>
              <w:spacing w:before="31"/>
              <w:ind w:right="315"/>
              <w:jc w:val="right"/>
              <w:rPr>
                <w:b/>
                <w:sz w:val="20"/>
              </w:rPr>
            </w:pPr>
            <w:r>
              <w:rPr>
                <w:b/>
                <w:spacing w:val="-2"/>
                <w:sz w:val="20"/>
              </w:rPr>
              <w:t>0.233843</w:t>
            </w:r>
          </w:p>
        </w:tc>
        <w:tc>
          <w:tcPr>
            <w:tcW w:w="1548" w:type="dxa"/>
            <w:tcBorders>
              <w:right w:val="single" w:sz="12" w:space="0" w:color="000000"/>
            </w:tcBorders>
          </w:tcPr>
          <w:p>
            <w:pPr>
              <w:pStyle w:val="TableParagraph"/>
              <w:spacing w:before="31"/>
              <w:ind w:right="78"/>
              <w:jc w:val="right"/>
              <w:rPr>
                <w:sz w:val="20"/>
              </w:rPr>
            </w:pPr>
            <w:r>
              <w:rPr>
                <w:spacing w:val="-2"/>
                <w:sz w:val="20"/>
              </w:rPr>
              <w:t>1.85%</w:t>
            </w:r>
          </w:p>
        </w:tc>
      </w:tr>
      <w:tr>
        <w:trPr>
          <w:trHeight w:val="303" w:hRule="atLeast"/>
        </w:trPr>
        <w:tc>
          <w:tcPr>
            <w:tcW w:w="4483" w:type="dxa"/>
            <w:tcBorders>
              <w:left w:val="single" w:sz="12" w:space="0" w:color="000000"/>
            </w:tcBorders>
          </w:tcPr>
          <w:p>
            <w:pPr>
              <w:pStyle w:val="TableParagraph"/>
              <w:spacing w:before="31"/>
              <w:ind w:left="327"/>
              <w:rPr>
                <w:sz w:val="20"/>
              </w:rPr>
            </w:pPr>
            <w:r>
              <w:rPr>
                <w:sz w:val="20"/>
              </w:rPr>
              <w:t>Industrial</w:t>
            </w:r>
            <w:r>
              <w:rPr>
                <w:spacing w:val="-9"/>
                <w:sz w:val="20"/>
              </w:rPr>
              <w:t> </w:t>
            </w:r>
            <w:r>
              <w:rPr>
                <w:spacing w:val="-4"/>
                <w:sz w:val="20"/>
              </w:rPr>
              <w:t>Land</w:t>
            </w:r>
          </w:p>
        </w:tc>
        <w:tc>
          <w:tcPr>
            <w:tcW w:w="2551" w:type="dxa"/>
          </w:tcPr>
          <w:p>
            <w:pPr>
              <w:pStyle w:val="TableParagraph"/>
              <w:spacing w:before="31"/>
              <w:ind w:right="234"/>
              <w:jc w:val="right"/>
              <w:rPr>
                <w:sz w:val="20"/>
              </w:rPr>
            </w:pPr>
            <w:r>
              <w:rPr>
                <w:spacing w:val="-2"/>
                <w:sz w:val="20"/>
              </w:rPr>
              <w:t>0.229603</w:t>
            </w:r>
          </w:p>
        </w:tc>
        <w:tc>
          <w:tcPr>
            <w:tcW w:w="1855" w:type="dxa"/>
          </w:tcPr>
          <w:p>
            <w:pPr>
              <w:pStyle w:val="TableParagraph"/>
              <w:spacing w:before="31"/>
              <w:ind w:right="315"/>
              <w:jc w:val="right"/>
              <w:rPr>
                <w:b/>
                <w:sz w:val="20"/>
              </w:rPr>
            </w:pPr>
            <w:r>
              <w:rPr>
                <w:b/>
                <w:spacing w:val="-2"/>
                <w:sz w:val="20"/>
              </w:rPr>
              <w:t>0.233843</w:t>
            </w:r>
          </w:p>
        </w:tc>
        <w:tc>
          <w:tcPr>
            <w:tcW w:w="1548" w:type="dxa"/>
            <w:tcBorders>
              <w:right w:val="single" w:sz="12" w:space="0" w:color="000000"/>
            </w:tcBorders>
          </w:tcPr>
          <w:p>
            <w:pPr>
              <w:pStyle w:val="TableParagraph"/>
              <w:spacing w:before="31"/>
              <w:ind w:right="78"/>
              <w:jc w:val="right"/>
              <w:rPr>
                <w:sz w:val="20"/>
              </w:rPr>
            </w:pPr>
            <w:r>
              <w:rPr>
                <w:spacing w:val="-2"/>
                <w:sz w:val="20"/>
              </w:rPr>
              <w:t>1.85%</w:t>
            </w:r>
          </w:p>
        </w:tc>
      </w:tr>
      <w:tr>
        <w:trPr>
          <w:trHeight w:val="310" w:hRule="atLeast"/>
        </w:trPr>
        <w:tc>
          <w:tcPr>
            <w:tcW w:w="4483" w:type="dxa"/>
            <w:tcBorders>
              <w:left w:val="single" w:sz="12" w:space="0" w:color="000000"/>
              <w:bottom w:val="single" w:sz="12" w:space="0" w:color="000000"/>
            </w:tcBorders>
          </w:tcPr>
          <w:p>
            <w:pPr>
              <w:pStyle w:val="TableParagraph"/>
              <w:spacing w:before="35"/>
              <w:ind w:left="327"/>
              <w:rPr>
                <w:sz w:val="20"/>
              </w:rPr>
            </w:pPr>
            <w:r>
              <w:rPr>
                <w:sz w:val="20"/>
              </w:rPr>
              <w:t>Derelict</w:t>
            </w:r>
            <w:r>
              <w:rPr>
                <w:spacing w:val="-6"/>
                <w:sz w:val="20"/>
              </w:rPr>
              <w:t> </w:t>
            </w:r>
            <w:r>
              <w:rPr>
                <w:spacing w:val="-4"/>
                <w:sz w:val="20"/>
              </w:rPr>
              <w:t>Land</w:t>
            </w:r>
          </w:p>
        </w:tc>
        <w:tc>
          <w:tcPr>
            <w:tcW w:w="2551" w:type="dxa"/>
            <w:tcBorders>
              <w:bottom w:val="single" w:sz="12" w:space="0" w:color="000000"/>
            </w:tcBorders>
          </w:tcPr>
          <w:p>
            <w:pPr>
              <w:pStyle w:val="TableParagraph"/>
              <w:spacing w:before="35"/>
              <w:ind w:right="234"/>
              <w:jc w:val="right"/>
              <w:rPr>
                <w:sz w:val="20"/>
              </w:rPr>
            </w:pPr>
            <w:r>
              <w:rPr>
                <w:spacing w:val="-2"/>
                <w:sz w:val="20"/>
              </w:rPr>
              <w:t>0.574008</w:t>
            </w:r>
          </w:p>
        </w:tc>
        <w:tc>
          <w:tcPr>
            <w:tcW w:w="1855" w:type="dxa"/>
            <w:tcBorders>
              <w:bottom w:val="single" w:sz="12" w:space="0" w:color="000000"/>
            </w:tcBorders>
          </w:tcPr>
          <w:p>
            <w:pPr>
              <w:pStyle w:val="TableParagraph"/>
              <w:spacing w:before="35"/>
              <w:ind w:right="315"/>
              <w:jc w:val="right"/>
              <w:rPr>
                <w:b/>
                <w:sz w:val="20"/>
              </w:rPr>
            </w:pPr>
            <w:r>
              <w:rPr>
                <w:b/>
                <w:spacing w:val="-2"/>
                <w:sz w:val="20"/>
              </w:rPr>
              <w:t>0.584608</w:t>
            </w:r>
          </w:p>
        </w:tc>
        <w:tc>
          <w:tcPr>
            <w:tcW w:w="1548" w:type="dxa"/>
            <w:tcBorders>
              <w:bottom w:val="single" w:sz="12" w:space="0" w:color="000000"/>
              <w:right w:val="single" w:sz="12" w:space="0" w:color="000000"/>
            </w:tcBorders>
          </w:tcPr>
          <w:p>
            <w:pPr>
              <w:pStyle w:val="TableParagraph"/>
              <w:spacing w:before="35"/>
              <w:ind w:right="78"/>
              <w:jc w:val="right"/>
              <w:rPr>
                <w:sz w:val="20"/>
              </w:rPr>
            </w:pPr>
            <w:r>
              <w:rPr>
                <w:spacing w:val="-2"/>
                <w:sz w:val="20"/>
              </w:rPr>
              <w:t>1.85%</w:t>
            </w:r>
          </w:p>
        </w:tc>
      </w:tr>
    </w:tbl>
    <w:p>
      <w:pPr>
        <w:spacing w:before="0"/>
        <w:ind w:left="260" w:right="0" w:firstLine="0"/>
        <w:jc w:val="left"/>
        <w:rPr>
          <w:i/>
          <w:sz w:val="16"/>
        </w:rPr>
      </w:pPr>
      <w:r>
        <w:rPr>
          <w:i/>
          <w:sz w:val="16"/>
        </w:rPr>
        <w:t>*</w:t>
      </w:r>
      <w:r>
        <w:rPr>
          <w:i/>
          <w:spacing w:val="-2"/>
          <w:sz w:val="16"/>
        </w:rPr>
        <w:t> </w:t>
      </w:r>
      <w:r>
        <w:rPr>
          <w:i/>
          <w:sz w:val="16"/>
        </w:rPr>
        <w:t>Capital</w:t>
      </w:r>
      <w:r>
        <w:rPr>
          <w:i/>
          <w:spacing w:val="-3"/>
          <w:sz w:val="16"/>
        </w:rPr>
        <w:t> </w:t>
      </w:r>
      <w:r>
        <w:rPr>
          <w:i/>
          <w:sz w:val="16"/>
        </w:rPr>
        <w:t>Improved</w:t>
      </w:r>
      <w:r>
        <w:rPr>
          <w:i/>
          <w:spacing w:val="-4"/>
          <w:sz w:val="16"/>
        </w:rPr>
        <w:t> Value</w:t>
      </w:r>
    </w:p>
    <w:p>
      <w:pPr>
        <w:pStyle w:val="BodyText"/>
        <w:spacing w:before="6"/>
        <w:rPr>
          <w:i/>
          <w:sz w:val="21"/>
        </w:rPr>
      </w:pPr>
    </w:p>
    <w:p>
      <w:pPr>
        <w:pStyle w:val="BodyText"/>
        <w:ind w:left="980" w:right="556" w:hanging="721"/>
        <w:jc w:val="both"/>
      </w:pPr>
      <w:r>
        <w:rPr/>
        <w:pict>
          <v:rect style="position:absolute;margin-left:248.039993pt;margin-top:97.077881pt;width:67.55999pt;height:15pt;mso-position-horizontal-relative:page;mso-position-vertical-relative:paragraph;z-index:-38036992" id="docshape20" filled="true" fillcolor="#d8d8d8" stroked="false">
            <v:fill type="solid"/>
            <w10:wrap type="none"/>
          </v:rect>
        </w:pict>
      </w:r>
      <w:r>
        <w:rPr/>
        <w:pict>
          <v:shape style="position:absolute;margin-left:423.720032pt;margin-top:97.077904pt;width:134.3pt;height:15pt;mso-position-horizontal-relative:page;mso-position-vertical-relative:paragraph;z-index:-38036480" id="docshape21" coordorigin="8474,1942" coordsize="2686,300" path="m11160,1942l9826,1942,8474,1942,8474,2242,9826,2242,11160,2242,11160,1942xe" filled="true" fillcolor="#d8d8d8" stroked="false">
            <v:path arrowok="t"/>
            <v:fill type="solid"/>
            <w10:wrap type="none"/>
          </v:shape>
        </w:pict>
      </w:r>
      <w:r>
        <w:rPr/>
        <w:t>4.1.1(c)The estimated total amount to be raised by general rates in relation to each type or class of land, and the estimated total amount to be raised by general rates, compared with the previous financial </w:t>
      </w:r>
      <w:r>
        <w:rPr>
          <w:spacing w:val="-4"/>
        </w:rPr>
        <w:t>year</w:t>
      </w:r>
    </w:p>
    <w:p>
      <w:pPr>
        <w:pStyle w:val="BodyText"/>
        <w:spacing w:before="10"/>
        <w:rPr>
          <w:sz w:val="21"/>
        </w:rPr>
      </w:pPr>
    </w:p>
    <w:tbl>
      <w:tblPr>
        <w:tblW w:w="0" w:type="auto"/>
        <w:jc w:val="left"/>
        <w:tblInd w:w="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48"/>
        <w:gridCol w:w="1233"/>
        <w:gridCol w:w="1426"/>
        <w:gridCol w:w="738"/>
        <w:gridCol w:w="1814"/>
        <w:gridCol w:w="888"/>
      </w:tblGrid>
      <w:tr>
        <w:trPr>
          <w:trHeight w:val="593" w:hRule="atLeast"/>
        </w:trPr>
        <w:tc>
          <w:tcPr>
            <w:tcW w:w="4348" w:type="dxa"/>
            <w:tcBorders>
              <w:top w:val="single" w:sz="18" w:space="0" w:color="000000"/>
              <w:left w:val="single" w:sz="12" w:space="0" w:color="000000"/>
            </w:tcBorders>
            <w:shd w:val="clear" w:color="auto" w:fill="5B9AD4"/>
          </w:tcPr>
          <w:p>
            <w:pPr>
              <w:pStyle w:val="TableParagraph"/>
              <w:spacing w:before="5"/>
              <w:rPr>
                <w:sz w:val="16"/>
              </w:rPr>
            </w:pPr>
          </w:p>
          <w:p>
            <w:pPr>
              <w:pStyle w:val="TableParagraph"/>
              <w:ind w:left="1218"/>
              <w:rPr>
                <w:b/>
                <w:sz w:val="18"/>
              </w:rPr>
            </w:pPr>
            <w:r>
              <w:rPr>
                <w:b/>
                <w:color w:val="FFFFFF"/>
                <w:sz w:val="18"/>
              </w:rPr>
              <w:t>Type</w:t>
            </w:r>
            <w:r>
              <w:rPr>
                <w:b/>
                <w:color w:val="FFFFFF"/>
                <w:spacing w:val="-2"/>
                <w:sz w:val="18"/>
              </w:rPr>
              <w:t> </w:t>
            </w:r>
            <w:r>
              <w:rPr>
                <w:b/>
                <w:color w:val="FFFFFF"/>
                <w:sz w:val="18"/>
              </w:rPr>
              <w:t>or</w:t>
            </w:r>
            <w:r>
              <w:rPr>
                <w:b/>
                <w:color w:val="FFFFFF"/>
                <w:spacing w:val="-3"/>
                <w:sz w:val="18"/>
              </w:rPr>
              <w:t> </w:t>
            </w:r>
            <w:r>
              <w:rPr>
                <w:b/>
                <w:color w:val="FFFFFF"/>
                <w:sz w:val="18"/>
              </w:rPr>
              <w:t>class</w:t>
            </w:r>
            <w:r>
              <w:rPr>
                <w:b/>
                <w:color w:val="FFFFFF"/>
                <w:spacing w:val="1"/>
                <w:sz w:val="18"/>
              </w:rPr>
              <w:t> </w:t>
            </w:r>
            <w:r>
              <w:rPr>
                <w:b/>
                <w:color w:val="FFFFFF"/>
                <w:sz w:val="18"/>
              </w:rPr>
              <w:t>of</w:t>
            </w:r>
            <w:r>
              <w:rPr>
                <w:b/>
                <w:color w:val="FFFFFF"/>
                <w:spacing w:val="1"/>
                <w:sz w:val="18"/>
              </w:rPr>
              <w:t> </w:t>
            </w:r>
            <w:r>
              <w:rPr>
                <w:b/>
                <w:color w:val="FFFFFF"/>
                <w:spacing w:val="-4"/>
                <w:sz w:val="18"/>
              </w:rPr>
              <w:t>land</w:t>
            </w:r>
          </w:p>
        </w:tc>
        <w:tc>
          <w:tcPr>
            <w:tcW w:w="1233" w:type="dxa"/>
            <w:tcBorders>
              <w:top w:val="single" w:sz="18" w:space="0" w:color="000000"/>
            </w:tcBorders>
            <w:shd w:val="clear" w:color="auto" w:fill="5B9AD4"/>
          </w:tcPr>
          <w:p>
            <w:pPr>
              <w:pStyle w:val="TableParagraph"/>
              <w:spacing w:before="38"/>
              <w:ind w:left="245"/>
              <w:rPr>
                <w:b/>
                <w:sz w:val="18"/>
              </w:rPr>
            </w:pPr>
            <w:r>
              <w:rPr>
                <w:b/>
                <w:color w:val="FFFFFF"/>
                <w:spacing w:val="-2"/>
                <w:sz w:val="18"/>
              </w:rPr>
              <w:t>2024/25</w:t>
            </w:r>
          </w:p>
          <w:p>
            <w:pPr>
              <w:pStyle w:val="TableParagraph"/>
              <w:spacing w:before="93"/>
              <w:ind w:left="344"/>
              <w:rPr>
                <w:b/>
                <w:sz w:val="18"/>
              </w:rPr>
            </w:pPr>
            <w:r>
              <w:rPr>
                <w:b/>
                <w:color w:val="FFFFFF"/>
                <w:spacing w:val="-2"/>
                <w:sz w:val="18"/>
              </w:rPr>
              <w:t>$’000</w:t>
            </w:r>
          </w:p>
        </w:tc>
        <w:tc>
          <w:tcPr>
            <w:tcW w:w="1426" w:type="dxa"/>
            <w:tcBorders>
              <w:top w:val="single" w:sz="18" w:space="0" w:color="000000"/>
            </w:tcBorders>
            <w:shd w:val="clear" w:color="auto" w:fill="5B9AD4"/>
          </w:tcPr>
          <w:p>
            <w:pPr>
              <w:pStyle w:val="TableParagraph"/>
              <w:spacing w:before="38"/>
              <w:ind w:left="769"/>
              <w:rPr>
                <w:b/>
                <w:sz w:val="18"/>
              </w:rPr>
            </w:pPr>
            <w:r>
              <w:rPr>
                <w:b/>
                <w:color w:val="FFFFFF"/>
                <w:spacing w:val="-2"/>
                <w:sz w:val="18"/>
              </w:rPr>
              <w:t>2025/26</w:t>
            </w:r>
          </w:p>
          <w:p>
            <w:pPr>
              <w:pStyle w:val="TableParagraph"/>
              <w:spacing w:before="93"/>
              <w:ind w:left="867"/>
              <w:rPr>
                <w:b/>
                <w:sz w:val="18"/>
              </w:rPr>
            </w:pPr>
            <w:r>
              <w:rPr>
                <w:b/>
                <w:color w:val="FFFFFF"/>
                <w:spacing w:val="-2"/>
                <w:sz w:val="18"/>
              </w:rPr>
              <w:t>$’000</w:t>
            </w:r>
          </w:p>
        </w:tc>
        <w:tc>
          <w:tcPr>
            <w:tcW w:w="738" w:type="dxa"/>
            <w:tcBorders>
              <w:top w:val="single" w:sz="18" w:space="0" w:color="000000"/>
            </w:tcBorders>
            <w:shd w:val="clear" w:color="auto" w:fill="5B9AD4"/>
          </w:tcPr>
          <w:p>
            <w:pPr>
              <w:pStyle w:val="TableParagraph"/>
              <w:rPr>
                <w:rFonts w:ascii="Times New Roman"/>
                <w:sz w:val="20"/>
              </w:rPr>
            </w:pPr>
          </w:p>
        </w:tc>
        <w:tc>
          <w:tcPr>
            <w:tcW w:w="1814" w:type="dxa"/>
            <w:tcBorders>
              <w:top w:val="single" w:sz="18" w:space="0" w:color="000000"/>
            </w:tcBorders>
            <w:shd w:val="clear" w:color="auto" w:fill="5B9AD4"/>
          </w:tcPr>
          <w:p>
            <w:pPr>
              <w:pStyle w:val="TableParagraph"/>
              <w:spacing w:before="38"/>
              <w:ind w:left="1031"/>
              <w:rPr>
                <w:b/>
                <w:sz w:val="18"/>
              </w:rPr>
            </w:pPr>
            <w:r>
              <w:rPr>
                <w:b/>
                <w:color w:val="FFFFFF"/>
                <w:spacing w:val="-2"/>
                <w:sz w:val="18"/>
              </w:rPr>
              <w:t>Change</w:t>
            </w:r>
          </w:p>
          <w:p>
            <w:pPr>
              <w:pStyle w:val="TableParagraph"/>
              <w:spacing w:before="93"/>
              <w:ind w:left="460"/>
              <w:rPr>
                <w:b/>
                <w:sz w:val="18"/>
              </w:rPr>
            </w:pPr>
            <w:r>
              <w:rPr>
                <w:b/>
                <w:color w:val="FFFFFF"/>
                <w:spacing w:val="-2"/>
                <w:sz w:val="18"/>
              </w:rPr>
              <w:t>$’000</w:t>
            </w:r>
          </w:p>
        </w:tc>
        <w:tc>
          <w:tcPr>
            <w:tcW w:w="888" w:type="dxa"/>
            <w:tcBorders>
              <w:top w:val="single" w:sz="18" w:space="0" w:color="000000"/>
              <w:right w:val="single" w:sz="12" w:space="0" w:color="000000"/>
            </w:tcBorders>
            <w:shd w:val="clear" w:color="auto" w:fill="5B9AD4"/>
          </w:tcPr>
          <w:p>
            <w:pPr>
              <w:pStyle w:val="TableParagraph"/>
              <w:spacing w:before="4"/>
              <w:rPr>
                <w:sz w:val="29"/>
              </w:rPr>
            </w:pPr>
          </w:p>
          <w:p>
            <w:pPr>
              <w:pStyle w:val="TableParagraph"/>
              <w:ind w:left="126"/>
              <w:rPr>
                <w:b/>
                <w:sz w:val="18"/>
              </w:rPr>
            </w:pPr>
            <w:r>
              <w:rPr>
                <w:b/>
                <w:color w:val="FFFFFF"/>
                <w:sz w:val="18"/>
              </w:rPr>
              <w:t>%</w:t>
            </w:r>
          </w:p>
        </w:tc>
      </w:tr>
      <w:tr>
        <w:trPr>
          <w:trHeight w:val="300" w:hRule="atLeast"/>
        </w:trPr>
        <w:tc>
          <w:tcPr>
            <w:tcW w:w="4348" w:type="dxa"/>
            <w:tcBorders>
              <w:left w:val="single" w:sz="12" w:space="0" w:color="000000"/>
            </w:tcBorders>
          </w:tcPr>
          <w:p>
            <w:pPr>
              <w:pStyle w:val="TableParagraph"/>
              <w:spacing w:before="33"/>
              <w:ind w:left="107"/>
              <w:rPr>
                <w:sz w:val="20"/>
              </w:rPr>
            </w:pPr>
            <w:r>
              <w:rPr>
                <w:sz w:val="20"/>
              </w:rPr>
              <w:t>General</w:t>
            </w:r>
            <w:r>
              <w:rPr>
                <w:spacing w:val="-8"/>
                <w:sz w:val="20"/>
              </w:rPr>
              <w:t> </w:t>
            </w:r>
            <w:r>
              <w:rPr>
                <w:spacing w:val="-4"/>
                <w:sz w:val="20"/>
              </w:rPr>
              <w:t>Land</w:t>
            </w:r>
          </w:p>
        </w:tc>
        <w:tc>
          <w:tcPr>
            <w:tcW w:w="1233" w:type="dxa"/>
          </w:tcPr>
          <w:p>
            <w:pPr>
              <w:pStyle w:val="TableParagraph"/>
              <w:spacing w:before="33"/>
              <w:ind w:right="95"/>
              <w:jc w:val="right"/>
              <w:rPr>
                <w:sz w:val="20"/>
              </w:rPr>
            </w:pPr>
            <w:r>
              <w:rPr>
                <w:spacing w:val="-2"/>
                <w:sz w:val="20"/>
              </w:rPr>
              <w:t>75,012</w:t>
            </w:r>
          </w:p>
        </w:tc>
        <w:tc>
          <w:tcPr>
            <w:tcW w:w="2164" w:type="dxa"/>
            <w:gridSpan w:val="2"/>
            <w:shd w:val="clear" w:color="auto" w:fill="DDEBF6"/>
          </w:tcPr>
          <w:p>
            <w:pPr>
              <w:pStyle w:val="TableParagraph"/>
              <w:spacing w:before="33"/>
              <w:ind w:right="93"/>
              <w:jc w:val="right"/>
              <w:rPr>
                <w:b/>
                <w:sz w:val="20"/>
              </w:rPr>
            </w:pPr>
            <w:r>
              <w:rPr>
                <w:b/>
                <w:spacing w:val="-2"/>
                <w:sz w:val="20"/>
              </w:rPr>
              <w:t>77,703</w:t>
            </w:r>
          </w:p>
        </w:tc>
        <w:tc>
          <w:tcPr>
            <w:tcW w:w="1814" w:type="dxa"/>
          </w:tcPr>
          <w:p>
            <w:pPr>
              <w:pStyle w:val="TableParagraph"/>
              <w:spacing w:before="33"/>
              <w:ind w:right="558"/>
              <w:jc w:val="right"/>
              <w:rPr>
                <w:sz w:val="20"/>
              </w:rPr>
            </w:pPr>
            <w:r>
              <w:rPr>
                <w:spacing w:val="-2"/>
                <w:sz w:val="20"/>
              </w:rPr>
              <w:t>2,690</w:t>
            </w:r>
          </w:p>
        </w:tc>
        <w:tc>
          <w:tcPr>
            <w:tcW w:w="888" w:type="dxa"/>
            <w:tcBorders>
              <w:right w:val="single" w:sz="12" w:space="0" w:color="000000"/>
            </w:tcBorders>
          </w:tcPr>
          <w:p>
            <w:pPr>
              <w:pStyle w:val="TableParagraph"/>
              <w:spacing w:before="33"/>
              <w:ind w:right="83"/>
              <w:jc w:val="right"/>
              <w:rPr>
                <w:sz w:val="20"/>
              </w:rPr>
            </w:pPr>
            <w:r>
              <w:rPr>
                <w:spacing w:val="-2"/>
                <w:sz w:val="20"/>
              </w:rPr>
              <w:t>3.59%</w:t>
            </w:r>
          </w:p>
        </w:tc>
      </w:tr>
      <w:tr>
        <w:trPr>
          <w:trHeight w:val="301" w:hRule="atLeast"/>
        </w:trPr>
        <w:tc>
          <w:tcPr>
            <w:tcW w:w="4348" w:type="dxa"/>
            <w:tcBorders>
              <w:left w:val="single" w:sz="12" w:space="0" w:color="000000"/>
            </w:tcBorders>
          </w:tcPr>
          <w:p>
            <w:pPr>
              <w:pStyle w:val="TableParagraph"/>
              <w:spacing w:before="33"/>
              <w:ind w:left="107"/>
              <w:rPr>
                <w:sz w:val="20"/>
              </w:rPr>
            </w:pPr>
            <w:r>
              <w:rPr>
                <w:sz w:val="20"/>
              </w:rPr>
              <w:t>Differential</w:t>
            </w:r>
            <w:r>
              <w:rPr>
                <w:spacing w:val="-9"/>
                <w:sz w:val="20"/>
              </w:rPr>
              <w:t> </w:t>
            </w:r>
            <w:r>
              <w:rPr>
                <w:spacing w:val="-2"/>
                <w:sz w:val="20"/>
              </w:rPr>
              <w:t>Rate:</w:t>
            </w:r>
          </w:p>
        </w:tc>
        <w:tc>
          <w:tcPr>
            <w:tcW w:w="1233" w:type="dxa"/>
          </w:tcPr>
          <w:p>
            <w:pPr>
              <w:pStyle w:val="TableParagraph"/>
              <w:rPr>
                <w:rFonts w:ascii="Times New Roman"/>
                <w:sz w:val="20"/>
              </w:rPr>
            </w:pPr>
          </w:p>
        </w:tc>
        <w:tc>
          <w:tcPr>
            <w:tcW w:w="2164" w:type="dxa"/>
            <w:gridSpan w:val="2"/>
            <w:shd w:val="clear" w:color="auto" w:fill="D8D8D8"/>
          </w:tcPr>
          <w:p>
            <w:pPr>
              <w:pStyle w:val="TableParagraph"/>
              <w:rPr>
                <w:rFonts w:ascii="Times New Roman"/>
                <w:sz w:val="20"/>
              </w:rPr>
            </w:pPr>
          </w:p>
        </w:tc>
        <w:tc>
          <w:tcPr>
            <w:tcW w:w="1814" w:type="dxa"/>
          </w:tcPr>
          <w:p>
            <w:pPr>
              <w:pStyle w:val="TableParagraph"/>
              <w:rPr>
                <w:rFonts w:ascii="Times New Roman"/>
                <w:sz w:val="20"/>
              </w:rPr>
            </w:pPr>
          </w:p>
        </w:tc>
        <w:tc>
          <w:tcPr>
            <w:tcW w:w="888" w:type="dxa"/>
            <w:tcBorders>
              <w:right w:val="single" w:sz="12" w:space="0" w:color="000000"/>
            </w:tcBorders>
          </w:tcPr>
          <w:p>
            <w:pPr>
              <w:pStyle w:val="TableParagraph"/>
              <w:rPr>
                <w:rFonts w:ascii="Times New Roman"/>
                <w:sz w:val="20"/>
              </w:rPr>
            </w:pPr>
          </w:p>
        </w:tc>
      </w:tr>
      <w:tr>
        <w:trPr>
          <w:trHeight w:val="300" w:hRule="atLeast"/>
        </w:trPr>
        <w:tc>
          <w:tcPr>
            <w:tcW w:w="4348" w:type="dxa"/>
            <w:tcBorders>
              <w:left w:val="single" w:sz="12" w:space="0" w:color="000000"/>
            </w:tcBorders>
          </w:tcPr>
          <w:p>
            <w:pPr>
              <w:pStyle w:val="TableParagraph"/>
              <w:spacing w:before="31"/>
              <w:ind w:left="327"/>
              <w:rPr>
                <w:sz w:val="20"/>
              </w:rPr>
            </w:pPr>
            <w:r>
              <w:rPr>
                <w:sz w:val="20"/>
              </w:rPr>
              <w:t>Vacant</w:t>
            </w:r>
            <w:r>
              <w:rPr>
                <w:spacing w:val="-5"/>
                <w:sz w:val="20"/>
              </w:rPr>
              <w:t> </w:t>
            </w:r>
            <w:r>
              <w:rPr>
                <w:spacing w:val="-4"/>
                <w:sz w:val="20"/>
              </w:rPr>
              <w:t>Land</w:t>
            </w:r>
          </w:p>
        </w:tc>
        <w:tc>
          <w:tcPr>
            <w:tcW w:w="1233" w:type="dxa"/>
          </w:tcPr>
          <w:p>
            <w:pPr>
              <w:pStyle w:val="TableParagraph"/>
              <w:spacing w:before="31"/>
              <w:ind w:right="94"/>
              <w:jc w:val="right"/>
              <w:rPr>
                <w:sz w:val="20"/>
              </w:rPr>
            </w:pPr>
            <w:r>
              <w:rPr>
                <w:spacing w:val="-2"/>
                <w:sz w:val="20"/>
              </w:rPr>
              <w:t>1,475</w:t>
            </w:r>
          </w:p>
        </w:tc>
        <w:tc>
          <w:tcPr>
            <w:tcW w:w="2164" w:type="dxa"/>
            <w:gridSpan w:val="2"/>
            <w:shd w:val="clear" w:color="auto" w:fill="DDEBF6"/>
          </w:tcPr>
          <w:p>
            <w:pPr>
              <w:pStyle w:val="TableParagraph"/>
              <w:spacing w:before="31"/>
              <w:ind w:right="93"/>
              <w:jc w:val="right"/>
              <w:rPr>
                <w:b/>
                <w:sz w:val="20"/>
              </w:rPr>
            </w:pPr>
            <w:r>
              <w:rPr>
                <w:b/>
                <w:spacing w:val="-2"/>
                <w:sz w:val="20"/>
              </w:rPr>
              <w:t>1,386</w:t>
            </w:r>
          </w:p>
        </w:tc>
        <w:tc>
          <w:tcPr>
            <w:tcW w:w="1814" w:type="dxa"/>
          </w:tcPr>
          <w:p>
            <w:pPr>
              <w:pStyle w:val="TableParagraph"/>
              <w:spacing w:before="31"/>
              <w:ind w:right="557"/>
              <w:jc w:val="right"/>
              <w:rPr>
                <w:sz w:val="20"/>
              </w:rPr>
            </w:pPr>
            <w:r>
              <w:rPr>
                <w:spacing w:val="-4"/>
                <w:sz w:val="20"/>
              </w:rPr>
              <w:t>(88)</w:t>
            </w:r>
          </w:p>
        </w:tc>
        <w:tc>
          <w:tcPr>
            <w:tcW w:w="888" w:type="dxa"/>
            <w:tcBorders>
              <w:right w:val="single" w:sz="12" w:space="0" w:color="000000"/>
            </w:tcBorders>
          </w:tcPr>
          <w:p>
            <w:pPr>
              <w:pStyle w:val="TableParagraph"/>
              <w:spacing w:before="31"/>
              <w:ind w:right="82"/>
              <w:jc w:val="right"/>
              <w:rPr>
                <w:sz w:val="20"/>
              </w:rPr>
            </w:pPr>
            <w:r>
              <w:rPr>
                <w:spacing w:val="-2"/>
                <w:sz w:val="20"/>
              </w:rPr>
              <w:t>(6.0%)</w:t>
            </w:r>
          </w:p>
        </w:tc>
      </w:tr>
      <w:tr>
        <w:trPr>
          <w:trHeight w:val="300" w:hRule="atLeast"/>
        </w:trPr>
        <w:tc>
          <w:tcPr>
            <w:tcW w:w="4348" w:type="dxa"/>
            <w:tcBorders>
              <w:left w:val="single" w:sz="12" w:space="0" w:color="000000"/>
            </w:tcBorders>
          </w:tcPr>
          <w:p>
            <w:pPr>
              <w:pStyle w:val="TableParagraph"/>
              <w:spacing w:before="31"/>
              <w:ind w:left="327"/>
              <w:rPr>
                <w:sz w:val="20"/>
              </w:rPr>
            </w:pPr>
            <w:r>
              <w:rPr>
                <w:sz w:val="20"/>
              </w:rPr>
              <w:t>Commercial</w:t>
            </w:r>
            <w:r>
              <w:rPr>
                <w:spacing w:val="-9"/>
                <w:sz w:val="20"/>
              </w:rPr>
              <w:t> </w:t>
            </w:r>
            <w:r>
              <w:rPr>
                <w:spacing w:val="-4"/>
                <w:sz w:val="20"/>
              </w:rPr>
              <w:t>Land</w:t>
            </w:r>
          </w:p>
        </w:tc>
        <w:tc>
          <w:tcPr>
            <w:tcW w:w="1233" w:type="dxa"/>
          </w:tcPr>
          <w:p>
            <w:pPr>
              <w:pStyle w:val="TableParagraph"/>
              <w:spacing w:before="31"/>
              <w:ind w:right="94"/>
              <w:jc w:val="right"/>
              <w:rPr>
                <w:sz w:val="20"/>
              </w:rPr>
            </w:pPr>
            <w:r>
              <w:rPr>
                <w:spacing w:val="-2"/>
                <w:sz w:val="20"/>
              </w:rPr>
              <w:t>7,589</w:t>
            </w:r>
          </w:p>
        </w:tc>
        <w:tc>
          <w:tcPr>
            <w:tcW w:w="2164" w:type="dxa"/>
            <w:gridSpan w:val="2"/>
            <w:shd w:val="clear" w:color="auto" w:fill="DDEBF6"/>
          </w:tcPr>
          <w:p>
            <w:pPr>
              <w:pStyle w:val="TableParagraph"/>
              <w:spacing w:before="31"/>
              <w:ind w:right="93"/>
              <w:jc w:val="right"/>
              <w:rPr>
                <w:b/>
                <w:sz w:val="20"/>
              </w:rPr>
            </w:pPr>
            <w:r>
              <w:rPr>
                <w:b/>
                <w:spacing w:val="-2"/>
                <w:sz w:val="20"/>
              </w:rPr>
              <w:t>7,797</w:t>
            </w:r>
          </w:p>
        </w:tc>
        <w:tc>
          <w:tcPr>
            <w:tcW w:w="1814" w:type="dxa"/>
          </w:tcPr>
          <w:p>
            <w:pPr>
              <w:pStyle w:val="TableParagraph"/>
              <w:spacing w:before="31"/>
              <w:ind w:right="559"/>
              <w:jc w:val="right"/>
              <w:rPr>
                <w:sz w:val="20"/>
              </w:rPr>
            </w:pPr>
            <w:r>
              <w:rPr>
                <w:spacing w:val="-5"/>
                <w:sz w:val="20"/>
              </w:rPr>
              <w:t>208</w:t>
            </w:r>
          </w:p>
        </w:tc>
        <w:tc>
          <w:tcPr>
            <w:tcW w:w="888" w:type="dxa"/>
            <w:tcBorders>
              <w:right w:val="single" w:sz="12" w:space="0" w:color="000000"/>
            </w:tcBorders>
          </w:tcPr>
          <w:p>
            <w:pPr>
              <w:pStyle w:val="TableParagraph"/>
              <w:spacing w:before="31"/>
              <w:ind w:right="83"/>
              <w:jc w:val="right"/>
              <w:rPr>
                <w:sz w:val="20"/>
              </w:rPr>
            </w:pPr>
            <w:r>
              <w:rPr>
                <w:spacing w:val="-2"/>
                <w:sz w:val="20"/>
              </w:rPr>
              <w:t>2.75%</w:t>
            </w:r>
          </w:p>
        </w:tc>
      </w:tr>
      <w:tr>
        <w:trPr>
          <w:trHeight w:val="299" w:hRule="atLeast"/>
        </w:trPr>
        <w:tc>
          <w:tcPr>
            <w:tcW w:w="4348" w:type="dxa"/>
            <w:tcBorders>
              <w:left w:val="single" w:sz="12" w:space="0" w:color="000000"/>
            </w:tcBorders>
          </w:tcPr>
          <w:p>
            <w:pPr>
              <w:pStyle w:val="TableParagraph"/>
              <w:spacing w:before="31"/>
              <w:ind w:left="327"/>
              <w:rPr>
                <w:sz w:val="20"/>
              </w:rPr>
            </w:pPr>
            <w:r>
              <w:rPr>
                <w:sz w:val="20"/>
              </w:rPr>
              <w:t>Industrial</w:t>
            </w:r>
            <w:r>
              <w:rPr>
                <w:spacing w:val="-9"/>
                <w:sz w:val="20"/>
              </w:rPr>
              <w:t> </w:t>
            </w:r>
            <w:r>
              <w:rPr>
                <w:spacing w:val="-4"/>
                <w:sz w:val="20"/>
              </w:rPr>
              <w:t>Land</w:t>
            </w:r>
          </w:p>
        </w:tc>
        <w:tc>
          <w:tcPr>
            <w:tcW w:w="1233" w:type="dxa"/>
          </w:tcPr>
          <w:p>
            <w:pPr>
              <w:pStyle w:val="TableParagraph"/>
              <w:spacing w:before="31"/>
              <w:ind w:right="94"/>
              <w:jc w:val="right"/>
              <w:rPr>
                <w:sz w:val="20"/>
              </w:rPr>
            </w:pPr>
            <w:r>
              <w:rPr>
                <w:spacing w:val="-2"/>
                <w:sz w:val="20"/>
              </w:rPr>
              <w:t>6,096</w:t>
            </w:r>
          </w:p>
        </w:tc>
        <w:tc>
          <w:tcPr>
            <w:tcW w:w="2164" w:type="dxa"/>
            <w:gridSpan w:val="2"/>
            <w:shd w:val="clear" w:color="auto" w:fill="DDEBF6"/>
          </w:tcPr>
          <w:p>
            <w:pPr>
              <w:pStyle w:val="TableParagraph"/>
              <w:spacing w:before="31"/>
              <w:ind w:right="93"/>
              <w:jc w:val="right"/>
              <w:rPr>
                <w:b/>
                <w:sz w:val="20"/>
              </w:rPr>
            </w:pPr>
            <w:r>
              <w:rPr>
                <w:b/>
                <w:spacing w:val="-2"/>
                <w:sz w:val="20"/>
              </w:rPr>
              <w:t>6,440</w:t>
            </w:r>
          </w:p>
        </w:tc>
        <w:tc>
          <w:tcPr>
            <w:tcW w:w="1814" w:type="dxa"/>
          </w:tcPr>
          <w:p>
            <w:pPr>
              <w:pStyle w:val="TableParagraph"/>
              <w:spacing w:before="31"/>
              <w:ind w:right="559"/>
              <w:jc w:val="right"/>
              <w:rPr>
                <w:sz w:val="20"/>
              </w:rPr>
            </w:pPr>
            <w:r>
              <w:rPr>
                <w:spacing w:val="-5"/>
                <w:sz w:val="20"/>
              </w:rPr>
              <w:t>345</w:t>
            </w:r>
          </w:p>
        </w:tc>
        <w:tc>
          <w:tcPr>
            <w:tcW w:w="888" w:type="dxa"/>
            <w:tcBorders>
              <w:right w:val="single" w:sz="12" w:space="0" w:color="000000"/>
            </w:tcBorders>
          </w:tcPr>
          <w:p>
            <w:pPr>
              <w:pStyle w:val="TableParagraph"/>
              <w:spacing w:before="31"/>
              <w:ind w:right="83"/>
              <w:jc w:val="right"/>
              <w:rPr>
                <w:sz w:val="20"/>
              </w:rPr>
            </w:pPr>
            <w:r>
              <w:rPr>
                <w:spacing w:val="-2"/>
                <w:sz w:val="20"/>
              </w:rPr>
              <w:t>5.66%</w:t>
            </w:r>
          </w:p>
        </w:tc>
      </w:tr>
      <w:tr>
        <w:trPr>
          <w:trHeight w:val="300" w:hRule="atLeast"/>
        </w:trPr>
        <w:tc>
          <w:tcPr>
            <w:tcW w:w="4348" w:type="dxa"/>
            <w:tcBorders>
              <w:left w:val="single" w:sz="12" w:space="0" w:color="000000"/>
            </w:tcBorders>
          </w:tcPr>
          <w:p>
            <w:pPr>
              <w:pStyle w:val="TableParagraph"/>
              <w:spacing w:before="31"/>
              <w:ind w:left="327"/>
              <w:rPr>
                <w:sz w:val="20"/>
              </w:rPr>
            </w:pPr>
            <w:r>
              <w:rPr>
                <w:sz w:val="20"/>
              </w:rPr>
              <w:t>Derelict</w:t>
            </w:r>
            <w:r>
              <w:rPr>
                <w:spacing w:val="-6"/>
                <w:sz w:val="20"/>
              </w:rPr>
              <w:t> </w:t>
            </w:r>
            <w:r>
              <w:rPr>
                <w:spacing w:val="-4"/>
                <w:sz w:val="20"/>
              </w:rPr>
              <w:t>Land</w:t>
            </w:r>
          </w:p>
        </w:tc>
        <w:tc>
          <w:tcPr>
            <w:tcW w:w="1233" w:type="dxa"/>
          </w:tcPr>
          <w:p>
            <w:pPr>
              <w:pStyle w:val="TableParagraph"/>
              <w:spacing w:before="31"/>
              <w:ind w:right="93"/>
              <w:jc w:val="right"/>
              <w:rPr>
                <w:sz w:val="20"/>
              </w:rPr>
            </w:pPr>
            <w:r>
              <w:rPr>
                <w:w w:val="99"/>
                <w:sz w:val="20"/>
              </w:rPr>
              <w:t>-</w:t>
            </w:r>
          </w:p>
        </w:tc>
        <w:tc>
          <w:tcPr>
            <w:tcW w:w="2164" w:type="dxa"/>
            <w:gridSpan w:val="2"/>
          </w:tcPr>
          <w:p>
            <w:pPr>
              <w:pStyle w:val="TableParagraph"/>
              <w:spacing w:before="31"/>
              <w:ind w:right="95"/>
              <w:jc w:val="right"/>
              <w:rPr>
                <w:b/>
                <w:sz w:val="20"/>
              </w:rPr>
            </w:pPr>
            <w:r>
              <w:rPr>
                <w:b/>
                <w:w w:val="99"/>
                <w:sz w:val="20"/>
              </w:rPr>
              <w:t>-</w:t>
            </w:r>
          </w:p>
        </w:tc>
        <w:tc>
          <w:tcPr>
            <w:tcW w:w="1814" w:type="dxa"/>
          </w:tcPr>
          <w:p>
            <w:pPr>
              <w:pStyle w:val="TableParagraph"/>
              <w:spacing w:before="31"/>
              <w:ind w:right="557"/>
              <w:jc w:val="right"/>
              <w:rPr>
                <w:sz w:val="20"/>
              </w:rPr>
            </w:pPr>
            <w:r>
              <w:rPr>
                <w:w w:val="99"/>
                <w:sz w:val="20"/>
              </w:rPr>
              <w:t>-</w:t>
            </w:r>
          </w:p>
        </w:tc>
        <w:tc>
          <w:tcPr>
            <w:tcW w:w="888" w:type="dxa"/>
            <w:tcBorders>
              <w:right w:val="single" w:sz="12" w:space="0" w:color="000000"/>
            </w:tcBorders>
          </w:tcPr>
          <w:p>
            <w:pPr>
              <w:pStyle w:val="TableParagraph"/>
              <w:spacing w:before="31"/>
              <w:ind w:right="83"/>
              <w:jc w:val="right"/>
              <w:rPr>
                <w:sz w:val="20"/>
              </w:rPr>
            </w:pPr>
            <w:r>
              <w:rPr>
                <w:spacing w:val="-2"/>
                <w:sz w:val="20"/>
              </w:rPr>
              <w:t>0.00%</w:t>
            </w:r>
          </w:p>
        </w:tc>
      </w:tr>
      <w:tr>
        <w:trPr>
          <w:trHeight w:val="303" w:hRule="atLeast"/>
        </w:trPr>
        <w:tc>
          <w:tcPr>
            <w:tcW w:w="4348" w:type="dxa"/>
            <w:tcBorders>
              <w:left w:val="single" w:sz="12" w:space="0" w:color="000000"/>
            </w:tcBorders>
          </w:tcPr>
          <w:p>
            <w:pPr>
              <w:pStyle w:val="TableParagraph"/>
              <w:spacing w:before="31"/>
              <w:ind w:left="107"/>
              <w:rPr>
                <w:sz w:val="20"/>
              </w:rPr>
            </w:pPr>
            <w:r>
              <w:rPr>
                <w:sz w:val="20"/>
              </w:rPr>
              <w:t>Amounts</w:t>
            </w:r>
            <w:r>
              <w:rPr>
                <w:spacing w:val="-3"/>
                <w:sz w:val="20"/>
              </w:rPr>
              <w:t> </w:t>
            </w:r>
            <w:r>
              <w:rPr>
                <w:sz w:val="20"/>
              </w:rPr>
              <w:t>in</w:t>
            </w:r>
            <w:r>
              <w:rPr>
                <w:spacing w:val="-6"/>
                <w:sz w:val="20"/>
              </w:rPr>
              <w:t> </w:t>
            </w:r>
            <w:r>
              <w:rPr>
                <w:sz w:val="20"/>
              </w:rPr>
              <w:t>Lieu</w:t>
            </w:r>
            <w:r>
              <w:rPr>
                <w:spacing w:val="-5"/>
                <w:sz w:val="20"/>
              </w:rPr>
              <w:t> </w:t>
            </w:r>
            <w:r>
              <w:rPr>
                <w:sz w:val="20"/>
              </w:rPr>
              <w:t>of</w:t>
            </w:r>
            <w:r>
              <w:rPr>
                <w:spacing w:val="-2"/>
                <w:sz w:val="20"/>
              </w:rPr>
              <w:t> Rates:</w:t>
            </w:r>
          </w:p>
        </w:tc>
        <w:tc>
          <w:tcPr>
            <w:tcW w:w="1233" w:type="dxa"/>
          </w:tcPr>
          <w:p>
            <w:pPr>
              <w:pStyle w:val="TableParagraph"/>
              <w:rPr>
                <w:rFonts w:ascii="Times New Roman"/>
                <w:sz w:val="20"/>
              </w:rPr>
            </w:pPr>
          </w:p>
        </w:tc>
        <w:tc>
          <w:tcPr>
            <w:tcW w:w="2164" w:type="dxa"/>
            <w:gridSpan w:val="2"/>
            <w:shd w:val="clear" w:color="auto" w:fill="D8D8D8"/>
          </w:tcPr>
          <w:p>
            <w:pPr>
              <w:pStyle w:val="TableParagraph"/>
              <w:rPr>
                <w:rFonts w:ascii="Times New Roman"/>
                <w:sz w:val="20"/>
              </w:rPr>
            </w:pPr>
          </w:p>
        </w:tc>
        <w:tc>
          <w:tcPr>
            <w:tcW w:w="1814" w:type="dxa"/>
          </w:tcPr>
          <w:p>
            <w:pPr>
              <w:pStyle w:val="TableParagraph"/>
              <w:rPr>
                <w:rFonts w:ascii="Times New Roman"/>
                <w:sz w:val="20"/>
              </w:rPr>
            </w:pPr>
          </w:p>
        </w:tc>
        <w:tc>
          <w:tcPr>
            <w:tcW w:w="888" w:type="dxa"/>
            <w:tcBorders>
              <w:right w:val="single" w:sz="12" w:space="0" w:color="000000"/>
            </w:tcBorders>
          </w:tcPr>
          <w:p>
            <w:pPr>
              <w:pStyle w:val="TableParagraph"/>
              <w:rPr>
                <w:rFonts w:ascii="Times New Roman"/>
                <w:sz w:val="20"/>
              </w:rPr>
            </w:pPr>
          </w:p>
        </w:tc>
      </w:tr>
      <w:tr>
        <w:trPr>
          <w:trHeight w:val="310" w:hRule="atLeast"/>
        </w:trPr>
        <w:tc>
          <w:tcPr>
            <w:tcW w:w="4348" w:type="dxa"/>
            <w:tcBorders>
              <w:left w:val="single" w:sz="12" w:space="0" w:color="000000"/>
            </w:tcBorders>
          </w:tcPr>
          <w:p>
            <w:pPr>
              <w:pStyle w:val="TableParagraph"/>
              <w:spacing w:before="35"/>
              <w:ind w:left="107"/>
              <w:rPr>
                <w:sz w:val="20"/>
              </w:rPr>
            </w:pPr>
            <w:r>
              <w:rPr>
                <w:sz w:val="20"/>
              </w:rPr>
              <w:t>Cultural</w:t>
            </w:r>
            <w:r>
              <w:rPr>
                <w:spacing w:val="-7"/>
                <w:sz w:val="20"/>
              </w:rPr>
              <w:t> </w:t>
            </w:r>
            <w:r>
              <w:rPr>
                <w:sz w:val="20"/>
              </w:rPr>
              <w:t>and</w:t>
            </w:r>
            <w:r>
              <w:rPr>
                <w:spacing w:val="-8"/>
                <w:sz w:val="20"/>
              </w:rPr>
              <w:t> </w:t>
            </w:r>
            <w:r>
              <w:rPr>
                <w:sz w:val="20"/>
              </w:rPr>
              <w:t>Recreational</w:t>
            </w:r>
            <w:r>
              <w:rPr>
                <w:spacing w:val="-7"/>
                <w:sz w:val="20"/>
              </w:rPr>
              <w:t> </w:t>
            </w:r>
            <w:r>
              <w:rPr>
                <w:sz w:val="20"/>
              </w:rPr>
              <w:t>Lands</w:t>
            </w:r>
            <w:r>
              <w:rPr>
                <w:spacing w:val="-7"/>
                <w:sz w:val="20"/>
              </w:rPr>
              <w:t> </w:t>
            </w:r>
            <w:r>
              <w:rPr>
                <w:spacing w:val="-5"/>
                <w:sz w:val="20"/>
              </w:rPr>
              <w:t>Act</w:t>
            </w:r>
          </w:p>
        </w:tc>
        <w:tc>
          <w:tcPr>
            <w:tcW w:w="1233" w:type="dxa"/>
          </w:tcPr>
          <w:p>
            <w:pPr>
              <w:pStyle w:val="TableParagraph"/>
              <w:spacing w:before="35"/>
              <w:ind w:right="94"/>
              <w:jc w:val="right"/>
              <w:rPr>
                <w:sz w:val="20"/>
              </w:rPr>
            </w:pPr>
            <w:r>
              <w:rPr>
                <w:spacing w:val="-5"/>
                <w:sz w:val="20"/>
              </w:rPr>
              <w:t>19</w:t>
            </w:r>
          </w:p>
        </w:tc>
        <w:tc>
          <w:tcPr>
            <w:tcW w:w="2164" w:type="dxa"/>
            <w:gridSpan w:val="2"/>
            <w:shd w:val="clear" w:color="auto" w:fill="DDEBF6"/>
          </w:tcPr>
          <w:p>
            <w:pPr>
              <w:pStyle w:val="TableParagraph"/>
              <w:spacing w:before="35"/>
              <w:ind w:right="93"/>
              <w:jc w:val="right"/>
              <w:rPr>
                <w:b/>
                <w:sz w:val="20"/>
              </w:rPr>
            </w:pPr>
            <w:r>
              <w:rPr>
                <w:b/>
                <w:spacing w:val="-5"/>
                <w:sz w:val="20"/>
              </w:rPr>
              <w:t>18</w:t>
            </w:r>
          </w:p>
        </w:tc>
        <w:tc>
          <w:tcPr>
            <w:tcW w:w="1814" w:type="dxa"/>
          </w:tcPr>
          <w:p>
            <w:pPr>
              <w:pStyle w:val="TableParagraph"/>
              <w:spacing w:before="35"/>
              <w:ind w:right="558"/>
              <w:jc w:val="right"/>
              <w:rPr>
                <w:sz w:val="20"/>
              </w:rPr>
            </w:pPr>
            <w:r>
              <w:rPr>
                <w:spacing w:val="-5"/>
                <w:sz w:val="20"/>
              </w:rPr>
              <w:t>(1)</w:t>
            </w:r>
          </w:p>
        </w:tc>
        <w:tc>
          <w:tcPr>
            <w:tcW w:w="888" w:type="dxa"/>
            <w:tcBorders>
              <w:right w:val="single" w:sz="12" w:space="0" w:color="000000"/>
            </w:tcBorders>
          </w:tcPr>
          <w:p>
            <w:pPr>
              <w:pStyle w:val="TableParagraph"/>
              <w:spacing w:before="35"/>
              <w:ind w:right="82"/>
              <w:jc w:val="right"/>
              <w:rPr>
                <w:sz w:val="20"/>
              </w:rPr>
            </w:pPr>
            <w:r>
              <w:rPr>
                <w:spacing w:val="-2"/>
                <w:sz w:val="20"/>
              </w:rPr>
              <w:t>(2.8%)</w:t>
            </w:r>
          </w:p>
        </w:tc>
      </w:tr>
      <w:tr>
        <w:trPr>
          <w:trHeight w:val="314" w:hRule="atLeast"/>
        </w:trPr>
        <w:tc>
          <w:tcPr>
            <w:tcW w:w="4348" w:type="dxa"/>
            <w:tcBorders>
              <w:left w:val="single" w:sz="12" w:space="0" w:color="000000"/>
              <w:bottom w:val="single" w:sz="12" w:space="0" w:color="000000"/>
            </w:tcBorders>
          </w:tcPr>
          <w:p>
            <w:pPr>
              <w:pStyle w:val="TableParagraph"/>
              <w:spacing w:before="38"/>
              <w:ind w:left="107"/>
              <w:rPr>
                <w:b/>
                <w:sz w:val="20"/>
              </w:rPr>
            </w:pPr>
            <w:r>
              <w:rPr>
                <w:b/>
                <w:sz w:val="20"/>
              </w:rPr>
              <w:t>Total</w:t>
            </w:r>
            <w:r>
              <w:rPr>
                <w:b/>
                <w:spacing w:val="-8"/>
                <w:sz w:val="20"/>
              </w:rPr>
              <w:t> </w:t>
            </w:r>
            <w:r>
              <w:rPr>
                <w:b/>
                <w:sz w:val="20"/>
              </w:rPr>
              <w:t>amount</w:t>
            </w:r>
            <w:r>
              <w:rPr>
                <w:b/>
                <w:spacing w:val="-6"/>
                <w:sz w:val="20"/>
              </w:rPr>
              <w:t> </w:t>
            </w:r>
            <w:r>
              <w:rPr>
                <w:b/>
                <w:sz w:val="20"/>
              </w:rPr>
              <w:t>to</w:t>
            </w:r>
            <w:r>
              <w:rPr>
                <w:b/>
                <w:spacing w:val="-6"/>
                <w:sz w:val="20"/>
              </w:rPr>
              <w:t> </w:t>
            </w:r>
            <w:r>
              <w:rPr>
                <w:b/>
                <w:sz w:val="20"/>
              </w:rPr>
              <w:t>be</w:t>
            </w:r>
            <w:r>
              <w:rPr>
                <w:b/>
                <w:spacing w:val="-6"/>
                <w:sz w:val="20"/>
              </w:rPr>
              <w:t> </w:t>
            </w:r>
            <w:r>
              <w:rPr>
                <w:b/>
                <w:sz w:val="20"/>
              </w:rPr>
              <w:t>raised</w:t>
            </w:r>
            <w:r>
              <w:rPr>
                <w:b/>
                <w:spacing w:val="-4"/>
                <w:sz w:val="20"/>
              </w:rPr>
              <w:t> </w:t>
            </w:r>
            <w:r>
              <w:rPr>
                <w:b/>
                <w:sz w:val="20"/>
              </w:rPr>
              <w:t>by</w:t>
            </w:r>
            <w:r>
              <w:rPr>
                <w:b/>
                <w:spacing w:val="-7"/>
                <w:sz w:val="20"/>
              </w:rPr>
              <w:t> </w:t>
            </w:r>
            <w:r>
              <w:rPr>
                <w:b/>
                <w:sz w:val="20"/>
              </w:rPr>
              <w:t>general</w:t>
            </w:r>
            <w:r>
              <w:rPr>
                <w:b/>
                <w:spacing w:val="-5"/>
                <w:sz w:val="20"/>
              </w:rPr>
              <w:t> </w:t>
            </w:r>
            <w:r>
              <w:rPr>
                <w:b/>
                <w:spacing w:val="-4"/>
                <w:sz w:val="20"/>
              </w:rPr>
              <w:t>rates</w:t>
            </w:r>
          </w:p>
        </w:tc>
        <w:tc>
          <w:tcPr>
            <w:tcW w:w="1233" w:type="dxa"/>
            <w:tcBorders>
              <w:bottom w:val="single" w:sz="12" w:space="0" w:color="000000"/>
            </w:tcBorders>
          </w:tcPr>
          <w:p>
            <w:pPr>
              <w:pStyle w:val="TableParagraph"/>
              <w:spacing w:before="38"/>
              <w:ind w:right="96"/>
              <w:jc w:val="right"/>
              <w:rPr>
                <w:b/>
                <w:sz w:val="20"/>
              </w:rPr>
            </w:pPr>
            <w:r>
              <w:rPr>
                <w:b/>
                <w:spacing w:val="-2"/>
                <w:sz w:val="20"/>
              </w:rPr>
              <w:t>90,190</w:t>
            </w:r>
          </w:p>
        </w:tc>
        <w:tc>
          <w:tcPr>
            <w:tcW w:w="2164" w:type="dxa"/>
            <w:gridSpan w:val="2"/>
            <w:tcBorders>
              <w:bottom w:val="single" w:sz="12" w:space="0" w:color="000000"/>
            </w:tcBorders>
          </w:tcPr>
          <w:p>
            <w:pPr>
              <w:pStyle w:val="TableParagraph"/>
              <w:spacing w:before="38"/>
              <w:ind w:right="93"/>
              <w:jc w:val="right"/>
              <w:rPr>
                <w:b/>
                <w:sz w:val="20"/>
              </w:rPr>
            </w:pPr>
            <w:r>
              <w:rPr>
                <w:b/>
                <w:spacing w:val="-2"/>
                <w:sz w:val="20"/>
              </w:rPr>
              <w:t>93,344</w:t>
            </w:r>
          </w:p>
        </w:tc>
        <w:tc>
          <w:tcPr>
            <w:tcW w:w="1814" w:type="dxa"/>
            <w:tcBorders>
              <w:bottom w:val="single" w:sz="12" w:space="0" w:color="000000"/>
            </w:tcBorders>
          </w:tcPr>
          <w:p>
            <w:pPr>
              <w:pStyle w:val="TableParagraph"/>
              <w:spacing w:before="38"/>
              <w:ind w:right="558"/>
              <w:jc w:val="right"/>
              <w:rPr>
                <w:b/>
                <w:sz w:val="20"/>
              </w:rPr>
            </w:pPr>
            <w:r>
              <w:rPr>
                <w:b/>
                <w:spacing w:val="-2"/>
                <w:sz w:val="20"/>
              </w:rPr>
              <w:t>3,155</w:t>
            </w:r>
          </w:p>
        </w:tc>
        <w:tc>
          <w:tcPr>
            <w:tcW w:w="888" w:type="dxa"/>
            <w:tcBorders>
              <w:bottom w:val="single" w:sz="12" w:space="0" w:color="000000"/>
              <w:right w:val="single" w:sz="12" w:space="0" w:color="000000"/>
            </w:tcBorders>
          </w:tcPr>
          <w:p>
            <w:pPr>
              <w:pStyle w:val="TableParagraph"/>
              <w:spacing w:before="38"/>
              <w:ind w:right="81"/>
              <w:jc w:val="right"/>
              <w:rPr>
                <w:b/>
                <w:sz w:val="20"/>
              </w:rPr>
            </w:pPr>
            <w:r>
              <w:rPr>
                <w:b/>
                <w:spacing w:val="-2"/>
                <w:sz w:val="20"/>
              </w:rPr>
              <w:t>3.50%</w:t>
            </w:r>
          </w:p>
        </w:tc>
      </w:tr>
    </w:tbl>
    <w:p>
      <w:pPr>
        <w:spacing w:after="0"/>
        <w:jc w:val="right"/>
        <w:rPr>
          <w:sz w:val="20"/>
        </w:rPr>
        <w:sectPr>
          <w:pgSz w:w="11910" w:h="16840"/>
          <w:pgMar w:header="0" w:footer="375" w:top="620" w:bottom="560" w:left="460" w:right="160"/>
        </w:sectPr>
      </w:pPr>
    </w:p>
    <w:p>
      <w:pPr>
        <w:pStyle w:val="BodyText"/>
        <w:spacing w:before="81"/>
        <w:ind w:left="980" w:right="445" w:hanging="721"/>
      </w:pPr>
      <w:r>
        <w:rPr/>
        <w:pict>
          <v:shape style="position:absolute;margin-left:259.200012pt;margin-top:86.367874pt;width:307.2pt;height:14.3pt;mso-position-horizontal-relative:page;mso-position-vertical-relative:paragraph;z-index:-38034944" id="docshape22" coordorigin="5184,1727" coordsize="6144,286" path="m11328,1727l9804,1727,8263,1727,6722,1727,5184,1727,5184,2013,6722,2013,8263,2013,9804,2013,11328,2013,11328,1727xe" filled="true" fillcolor="#d8d8d8" stroked="false">
            <v:path arrowok="t"/>
            <v:fill type="solid"/>
            <w10:wrap type="none"/>
          </v:shape>
        </w:pict>
      </w:r>
      <w:r>
        <w:rPr/>
        <w:t>4.1.1(d)The</w:t>
      </w:r>
      <w:r>
        <w:rPr>
          <w:spacing w:val="39"/>
        </w:rPr>
        <w:t> </w:t>
      </w:r>
      <w:r>
        <w:rPr/>
        <w:t>number</w:t>
      </w:r>
      <w:r>
        <w:rPr>
          <w:spacing w:val="40"/>
        </w:rPr>
        <w:t> </w:t>
      </w:r>
      <w:r>
        <w:rPr/>
        <w:t>of</w:t>
      </w:r>
      <w:r>
        <w:rPr>
          <w:spacing w:val="38"/>
        </w:rPr>
        <w:t> </w:t>
      </w:r>
      <w:r>
        <w:rPr/>
        <w:t>assessments</w:t>
      </w:r>
      <w:r>
        <w:rPr>
          <w:spacing w:val="40"/>
        </w:rPr>
        <w:t> </w:t>
      </w:r>
      <w:r>
        <w:rPr/>
        <w:t>in</w:t>
      </w:r>
      <w:r>
        <w:rPr>
          <w:spacing w:val="40"/>
        </w:rPr>
        <w:t> </w:t>
      </w:r>
      <w:r>
        <w:rPr/>
        <w:t>relation</w:t>
      </w:r>
      <w:r>
        <w:rPr>
          <w:spacing w:val="40"/>
        </w:rPr>
        <w:t> </w:t>
      </w:r>
      <w:r>
        <w:rPr/>
        <w:t>to</w:t>
      </w:r>
      <w:r>
        <w:rPr>
          <w:spacing w:val="39"/>
        </w:rPr>
        <w:t> </w:t>
      </w:r>
      <w:r>
        <w:rPr/>
        <w:t>each</w:t>
      </w:r>
      <w:r>
        <w:rPr>
          <w:spacing w:val="40"/>
        </w:rPr>
        <w:t> </w:t>
      </w:r>
      <w:r>
        <w:rPr/>
        <w:t>type</w:t>
      </w:r>
      <w:r>
        <w:rPr>
          <w:spacing w:val="39"/>
        </w:rPr>
        <w:t> </w:t>
      </w:r>
      <w:r>
        <w:rPr/>
        <w:t>or</w:t>
      </w:r>
      <w:r>
        <w:rPr>
          <w:spacing w:val="40"/>
        </w:rPr>
        <w:t> </w:t>
      </w:r>
      <w:r>
        <w:rPr/>
        <w:t>class</w:t>
      </w:r>
      <w:r>
        <w:rPr>
          <w:spacing w:val="38"/>
        </w:rPr>
        <w:t> </w:t>
      </w:r>
      <w:r>
        <w:rPr/>
        <w:t>of</w:t>
      </w:r>
      <w:r>
        <w:rPr>
          <w:spacing w:val="40"/>
        </w:rPr>
        <w:t> </w:t>
      </w:r>
      <w:r>
        <w:rPr/>
        <w:t>land,</w:t>
      </w:r>
      <w:r>
        <w:rPr>
          <w:spacing w:val="40"/>
        </w:rPr>
        <w:t> </w:t>
      </w:r>
      <w:r>
        <w:rPr/>
        <w:t>and</w:t>
      </w:r>
      <w:r>
        <w:rPr>
          <w:spacing w:val="40"/>
        </w:rPr>
        <w:t> </w:t>
      </w:r>
      <w:r>
        <w:rPr/>
        <w:t>the</w:t>
      </w:r>
      <w:r>
        <w:rPr>
          <w:spacing w:val="40"/>
        </w:rPr>
        <w:t> </w:t>
      </w:r>
      <w:r>
        <w:rPr/>
        <w:t>total</w:t>
      </w:r>
      <w:r>
        <w:rPr>
          <w:spacing w:val="40"/>
        </w:rPr>
        <w:t> </w:t>
      </w:r>
      <w:r>
        <w:rPr/>
        <w:t>number</w:t>
      </w:r>
      <w:r>
        <w:rPr>
          <w:spacing w:val="40"/>
        </w:rPr>
        <w:t> </w:t>
      </w:r>
      <w:r>
        <w:rPr/>
        <w:t>of assessments compared with the previous financial year</w:t>
      </w:r>
    </w:p>
    <w:p>
      <w:pPr>
        <w:pStyle w:val="BodyText"/>
      </w:pPr>
    </w:p>
    <w:tbl>
      <w:tblPr>
        <w:tblW w:w="0" w:type="auto"/>
        <w:jc w:val="left"/>
        <w:tblInd w:w="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93"/>
        <w:gridCol w:w="1894"/>
        <w:gridCol w:w="1540"/>
        <w:gridCol w:w="2050"/>
        <w:gridCol w:w="1028"/>
      </w:tblGrid>
      <w:tr>
        <w:trPr>
          <w:trHeight w:val="564" w:hRule="atLeast"/>
        </w:trPr>
        <w:tc>
          <w:tcPr>
            <w:tcW w:w="4093" w:type="dxa"/>
            <w:tcBorders>
              <w:top w:val="single" w:sz="18" w:space="0" w:color="000000"/>
              <w:left w:val="single" w:sz="12" w:space="0" w:color="000000"/>
            </w:tcBorders>
            <w:shd w:val="clear" w:color="auto" w:fill="5B9AD4"/>
          </w:tcPr>
          <w:p>
            <w:pPr>
              <w:pStyle w:val="TableParagraph"/>
              <w:spacing w:before="174"/>
              <w:ind w:left="1326"/>
              <w:rPr>
                <w:b/>
                <w:sz w:val="18"/>
              </w:rPr>
            </w:pPr>
            <w:r>
              <w:rPr>
                <w:b/>
                <w:color w:val="FFFFFF"/>
                <w:sz w:val="18"/>
              </w:rPr>
              <w:t>Type</w:t>
            </w:r>
            <w:r>
              <w:rPr>
                <w:b/>
                <w:color w:val="FFFFFF"/>
                <w:spacing w:val="-2"/>
                <w:sz w:val="18"/>
              </w:rPr>
              <w:t> </w:t>
            </w:r>
            <w:r>
              <w:rPr>
                <w:b/>
                <w:color w:val="FFFFFF"/>
                <w:sz w:val="18"/>
              </w:rPr>
              <w:t>or</w:t>
            </w:r>
            <w:r>
              <w:rPr>
                <w:b/>
                <w:color w:val="FFFFFF"/>
                <w:spacing w:val="-3"/>
                <w:sz w:val="18"/>
              </w:rPr>
              <w:t> </w:t>
            </w:r>
            <w:r>
              <w:rPr>
                <w:b/>
                <w:color w:val="FFFFFF"/>
                <w:sz w:val="18"/>
              </w:rPr>
              <w:t>class</w:t>
            </w:r>
            <w:r>
              <w:rPr>
                <w:b/>
                <w:color w:val="FFFFFF"/>
                <w:spacing w:val="1"/>
                <w:sz w:val="18"/>
              </w:rPr>
              <w:t> </w:t>
            </w:r>
            <w:r>
              <w:rPr>
                <w:b/>
                <w:color w:val="FFFFFF"/>
                <w:sz w:val="18"/>
              </w:rPr>
              <w:t>of</w:t>
            </w:r>
            <w:r>
              <w:rPr>
                <w:b/>
                <w:color w:val="FFFFFF"/>
                <w:spacing w:val="1"/>
                <w:sz w:val="18"/>
              </w:rPr>
              <w:t> </w:t>
            </w:r>
            <w:r>
              <w:rPr>
                <w:b/>
                <w:color w:val="FFFFFF"/>
                <w:spacing w:val="-4"/>
                <w:sz w:val="18"/>
              </w:rPr>
              <w:t>land</w:t>
            </w:r>
          </w:p>
        </w:tc>
        <w:tc>
          <w:tcPr>
            <w:tcW w:w="1894" w:type="dxa"/>
            <w:tcBorders>
              <w:top w:val="single" w:sz="18" w:space="0" w:color="000000"/>
            </w:tcBorders>
            <w:shd w:val="clear" w:color="auto" w:fill="5B9AD4"/>
          </w:tcPr>
          <w:p>
            <w:pPr>
              <w:pStyle w:val="TableParagraph"/>
              <w:spacing w:before="30"/>
              <w:ind w:left="815"/>
              <w:rPr>
                <w:b/>
                <w:sz w:val="18"/>
              </w:rPr>
            </w:pPr>
            <w:r>
              <w:rPr>
                <w:b/>
                <w:color w:val="FFFFFF"/>
                <w:spacing w:val="-2"/>
                <w:sz w:val="18"/>
              </w:rPr>
              <w:t>2024/25</w:t>
            </w:r>
          </w:p>
          <w:p>
            <w:pPr>
              <w:pStyle w:val="TableParagraph"/>
              <w:spacing w:before="79"/>
              <w:ind w:left="800"/>
              <w:rPr>
                <w:b/>
                <w:sz w:val="18"/>
              </w:rPr>
            </w:pPr>
            <w:r>
              <w:rPr>
                <w:b/>
                <w:color w:val="FFFFFF"/>
                <w:spacing w:val="-2"/>
                <w:sz w:val="18"/>
              </w:rPr>
              <w:t>Number</w:t>
            </w:r>
          </w:p>
        </w:tc>
        <w:tc>
          <w:tcPr>
            <w:tcW w:w="1540" w:type="dxa"/>
            <w:tcBorders>
              <w:top w:val="single" w:sz="18" w:space="0" w:color="000000"/>
            </w:tcBorders>
            <w:shd w:val="clear" w:color="auto" w:fill="5B9AD4"/>
          </w:tcPr>
          <w:p>
            <w:pPr>
              <w:pStyle w:val="TableParagraph"/>
              <w:spacing w:before="30"/>
              <w:ind w:left="459"/>
              <w:rPr>
                <w:b/>
                <w:sz w:val="18"/>
              </w:rPr>
            </w:pPr>
            <w:r>
              <w:rPr>
                <w:b/>
                <w:color w:val="FFFFFF"/>
                <w:spacing w:val="-2"/>
                <w:sz w:val="18"/>
              </w:rPr>
              <w:t>2025/26</w:t>
            </w:r>
          </w:p>
          <w:p>
            <w:pPr>
              <w:pStyle w:val="TableParagraph"/>
              <w:spacing w:before="79"/>
              <w:ind w:left="444"/>
              <w:rPr>
                <w:b/>
                <w:sz w:val="18"/>
              </w:rPr>
            </w:pPr>
            <w:r>
              <w:rPr>
                <w:b/>
                <w:color w:val="FFFFFF"/>
                <w:spacing w:val="-2"/>
                <w:sz w:val="18"/>
              </w:rPr>
              <w:t>Number</w:t>
            </w:r>
          </w:p>
        </w:tc>
        <w:tc>
          <w:tcPr>
            <w:tcW w:w="2050" w:type="dxa"/>
            <w:tcBorders>
              <w:top w:val="single" w:sz="18" w:space="0" w:color="000000"/>
            </w:tcBorders>
            <w:shd w:val="clear" w:color="auto" w:fill="5B9AD4"/>
          </w:tcPr>
          <w:p>
            <w:pPr>
              <w:pStyle w:val="TableParagraph"/>
              <w:spacing w:before="30"/>
              <w:ind w:left="1225"/>
              <w:rPr>
                <w:b/>
                <w:sz w:val="18"/>
              </w:rPr>
            </w:pPr>
            <w:r>
              <w:rPr>
                <w:b/>
                <w:color w:val="FFFFFF"/>
                <w:spacing w:val="-2"/>
                <w:sz w:val="18"/>
              </w:rPr>
              <w:t>Change</w:t>
            </w:r>
          </w:p>
          <w:p>
            <w:pPr>
              <w:pStyle w:val="TableParagraph"/>
              <w:spacing w:before="79"/>
              <w:ind w:left="445"/>
              <w:rPr>
                <w:b/>
                <w:sz w:val="18"/>
              </w:rPr>
            </w:pPr>
            <w:r>
              <w:rPr>
                <w:b/>
                <w:color w:val="FFFFFF"/>
                <w:spacing w:val="-2"/>
                <w:sz w:val="18"/>
              </w:rPr>
              <w:t>Number</w:t>
            </w:r>
          </w:p>
        </w:tc>
        <w:tc>
          <w:tcPr>
            <w:tcW w:w="1028" w:type="dxa"/>
            <w:tcBorders>
              <w:top w:val="single" w:sz="18" w:space="0" w:color="000000"/>
              <w:right w:val="single" w:sz="12" w:space="0" w:color="000000"/>
            </w:tcBorders>
            <w:shd w:val="clear" w:color="auto" w:fill="5B9AD4"/>
          </w:tcPr>
          <w:p>
            <w:pPr>
              <w:pStyle w:val="TableParagraph"/>
              <w:spacing w:before="5"/>
              <w:rPr>
                <w:sz w:val="27"/>
              </w:rPr>
            </w:pPr>
          </w:p>
          <w:p>
            <w:pPr>
              <w:pStyle w:val="TableParagraph"/>
              <w:ind w:left="180"/>
              <w:rPr>
                <w:b/>
                <w:sz w:val="18"/>
              </w:rPr>
            </w:pPr>
            <w:r>
              <w:rPr>
                <w:b/>
                <w:color w:val="FFFFFF"/>
                <w:sz w:val="18"/>
              </w:rPr>
              <w:t>%</w:t>
            </w:r>
          </w:p>
        </w:tc>
      </w:tr>
      <w:tr>
        <w:trPr>
          <w:trHeight w:val="571" w:hRule="atLeast"/>
        </w:trPr>
        <w:tc>
          <w:tcPr>
            <w:tcW w:w="4093" w:type="dxa"/>
            <w:tcBorders>
              <w:left w:val="single" w:sz="12" w:space="0" w:color="000000"/>
            </w:tcBorders>
          </w:tcPr>
          <w:p>
            <w:pPr>
              <w:pStyle w:val="TableParagraph"/>
              <w:spacing w:before="28"/>
              <w:ind w:left="107"/>
              <w:rPr>
                <w:sz w:val="20"/>
              </w:rPr>
            </w:pPr>
            <w:r>
              <w:rPr>
                <w:sz w:val="20"/>
              </w:rPr>
              <w:t>General</w:t>
            </w:r>
            <w:r>
              <w:rPr>
                <w:spacing w:val="-8"/>
                <w:sz w:val="20"/>
              </w:rPr>
              <w:t> </w:t>
            </w:r>
            <w:r>
              <w:rPr>
                <w:spacing w:val="-4"/>
                <w:sz w:val="20"/>
              </w:rPr>
              <w:t>Land</w:t>
            </w:r>
          </w:p>
          <w:p>
            <w:pPr>
              <w:pStyle w:val="TableParagraph"/>
              <w:spacing w:before="56"/>
              <w:ind w:left="107"/>
              <w:rPr>
                <w:sz w:val="20"/>
              </w:rPr>
            </w:pPr>
            <w:r>
              <w:rPr>
                <w:sz w:val="20"/>
              </w:rPr>
              <w:t>Differential</w:t>
            </w:r>
            <w:r>
              <w:rPr>
                <w:spacing w:val="-9"/>
                <w:sz w:val="20"/>
              </w:rPr>
              <w:t> </w:t>
            </w:r>
            <w:r>
              <w:rPr>
                <w:spacing w:val="-2"/>
                <w:sz w:val="20"/>
              </w:rPr>
              <w:t>Rate:</w:t>
            </w:r>
          </w:p>
        </w:tc>
        <w:tc>
          <w:tcPr>
            <w:tcW w:w="1894" w:type="dxa"/>
          </w:tcPr>
          <w:p>
            <w:pPr>
              <w:pStyle w:val="TableParagraph"/>
              <w:spacing w:before="28"/>
              <w:ind w:right="90"/>
              <w:jc w:val="right"/>
              <w:rPr>
                <w:sz w:val="20"/>
              </w:rPr>
            </w:pPr>
            <w:r>
              <w:rPr>
                <w:spacing w:val="-2"/>
                <w:sz w:val="20"/>
              </w:rPr>
              <w:t>47,697</w:t>
            </w:r>
          </w:p>
        </w:tc>
        <w:tc>
          <w:tcPr>
            <w:tcW w:w="1540" w:type="dxa"/>
          </w:tcPr>
          <w:p>
            <w:pPr>
              <w:pStyle w:val="TableParagraph"/>
              <w:tabs>
                <w:tab w:pos="820" w:val="left" w:leader="none"/>
              </w:tabs>
              <w:spacing w:before="28"/>
              <w:ind w:right="-29"/>
              <w:jc w:val="right"/>
              <w:rPr>
                <w:b/>
                <w:sz w:val="20"/>
              </w:rPr>
            </w:pPr>
            <w:r>
              <w:rPr>
                <w:rFonts w:ascii="Times New Roman"/>
                <w:color w:val="000000"/>
                <w:sz w:val="20"/>
                <w:shd w:fill="DDEBF6" w:color="auto" w:val="clear"/>
              </w:rPr>
              <w:tab/>
            </w:r>
            <w:r>
              <w:rPr>
                <w:b/>
                <w:color w:val="000000"/>
                <w:spacing w:val="-2"/>
                <w:sz w:val="20"/>
                <w:shd w:fill="DDEBF6" w:color="auto" w:val="clear"/>
              </w:rPr>
              <w:t>47,950</w:t>
            </w:r>
            <w:r>
              <w:rPr>
                <w:b/>
                <w:color w:val="000000"/>
                <w:spacing w:val="80"/>
                <w:sz w:val="20"/>
                <w:shd w:fill="DDEBF6" w:color="auto" w:val="clear"/>
              </w:rPr>
              <w:t> </w:t>
            </w:r>
          </w:p>
        </w:tc>
        <w:tc>
          <w:tcPr>
            <w:tcW w:w="2050" w:type="dxa"/>
          </w:tcPr>
          <w:p>
            <w:pPr>
              <w:pStyle w:val="TableParagraph"/>
              <w:spacing w:before="28"/>
              <w:ind w:right="601"/>
              <w:jc w:val="right"/>
              <w:rPr>
                <w:sz w:val="20"/>
              </w:rPr>
            </w:pPr>
            <w:r>
              <w:rPr>
                <w:spacing w:val="-5"/>
                <w:sz w:val="20"/>
              </w:rPr>
              <w:t>253</w:t>
            </w:r>
          </w:p>
        </w:tc>
        <w:tc>
          <w:tcPr>
            <w:tcW w:w="1028" w:type="dxa"/>
            <w:tcBorders>
              <w:right w:val="single" w:sz="12" w:space="0" w:color="000000"/>
            </w:tcBorders>
          </w:tcPr>
          <w:p>
            <w:pPr>
              <w:pStyle w:val="TableParagraph"/>
              <w:spacing w:before="28"/>
              <w:ind w:right="73"/>
              <w:jc w:val="right"/>
              <w:rPr>
                <w:sz w:val="20"/>
              </w:rPr>
            </w:pPr>
            <w:r>
              <w:rPr>
                <w:spacing w:val="-2"/>
                <w:sz w:val="20"/>
              </w:rPr>
              <w:t>0.53%</w:t>
            </w:r>
          </w:p>
        </w:tc>
      </w:tr>
      <w:tr>
        <w:trPr>
          <w:trHeight w:val="289" w:hRule="atLeast"/>
        </w:trPr>
        <w:tc>
          <w:tcPr>
            <w:tcW w:w="4093" w:type="dxa"/>
            <w:tcBorders>
              <w:left w:val="single" w:sz="12" w:space="0" w:color="000000"/>
            </w:tcBorders>
          </w:tcPr>
          <w:p>
            <w:pPr>
              <w:pStyle w:val="TableParagraph"/>
              <w:spacing w:before="28"/>
              <w:ind w:left="327"/>
              <w:rPr>
                <w:sz w:val="20"/>
              </w:rPr>
            </w:pPr>
            <w:r>
              <w:rPr>
                <w:sz w:val="20"/>
              </w:rPr>
              <w:t>Vacant</w:t>
            </w:r>
            <w:r>
              <w:rPr>
                <w:spacing w:val="-5"/>
                <w:sz w:val="20"/>
              </w:rPr>
              <w:t> </w:t>
            </w:r>
            <w:r>
              <w:rPr>
                <w:spacing w:val="-4"/>
                <w:sz w:val="20"/>
              </w:rPr>
              <w:t>Land</w:t>
            </w:r>
          </w:p>
        </w:tc>
        <w:tc>
          <w:tcPr>
            <w:tcW w:w="1894" w:type="dxa"/>
          </w:tcPr>
          <w:p>
            <w:pPr>
              <w:pStyle w:val="TableParagraph"/>
              <w:spacing w:before="28"/>
              <w:ind w:right="90"/>
              <w:jc w:val="right"/>
              <w:rPr>
                <w:sz w:val="20"/>
              </w:rPr>
            </w:pPr>
            <w:r>
              <w:rPr>
                <w:spacing w:val="-5"/>
                <w:sz w:val="20"/>
              </w:rPr>
              <w:t>591</w:t>
            </w:r>
          </w:p>
        </w:tc>
        <w:tc>
          <w:tcPr>
            <w:tcW w:w="1540" w:type="dxa"/>
            <w:shd w:val="clear" w:color="auto" w:fill="DDEBF6"/>
          </w:tcPr>
          <w:p>
            <w:pPr>
              <w:pStyle w:val="TableParagraph"/>
              <w:spacing w:before="28"/>
              <w:ind w:right="92"/>
              <w:jc w:val="right"/>
              <w:rPr>
                <w:b/>
                <w:sz w:val="20"/>
              </w:rPr>
            </w:pPr>
            <w:r>
              <w:rPr>
                <w:b/>
                <w:spacing w:val="-5"/>
                <w:sz w:val="20"/>
              </w:rPr>
              <w:t>534</w:t>
            </w:r>
          </w:p>
        </w:tc>
        <w:tc>
          <w:tcPr>
            <w:tcW w:w="2050" w:type="dxa"/>
          </w:tcPr>
          <w:p>
            <w:pPr>
              <w:pStyle w:val="TableParagraph"/>
              <w:spacing w:before="28"/>
              <w:ind w:right="599"/>
              <w:jc w:val="right"/>
              <w:rPr>
                <w:sz w:val="20"/>
              </w:rPr>
            </w:pPr>
            <w:r>
              <w:rPr>
                <w:spacing w:val="-4"/>
                <w:sz w:val="20"/>
              </w:rPr>
              <w:t>(57)</w:t>
            </w:r>
          </w:p>
        </w:tc>
        <w:tc>
          <w:tcPr>
            <w:tcW w:w="1028" w:type="dxa"/>
            <w:tcBorders>
              <w:right w:val="single" w:sz="12" w:space="0" w:color="000000"/>
            </w:tcBorders>
          </w:tcPr>
          <w:p>
            <w:pPr>
              <w:pStyle w:val="TableParagraph"/>
              <w:spacing w:before="28"/>
              <w:ind w:left="224"/>
              <w:rPr>
                <w:sz w:val="20"/>
              </w:rPr>
            </w:pPr>
            <w:r>
              <w:rPr>
                <w:spacing w:val="-2"/>
                <w:sz w:val="20"/>
              </w:rPr>
              <w:t>(9.64%)</w:t>
            </w:r>
          </w:p>
        </w:tc>
      </w:tr>
      <w:tr>
        <w:trPr>
          <w:trHeight w:val="285" w:hRule="atLeast"/>
        </w:trPr>
        <w:tc>
          <w:tcPr>
            <w:tcW w:w="4093" w:type="dxa"/>
            <w:tcBorders>
              <w:left w:val="single" w:sz="12" w:space="0" w:color="000000"/>
            </w:tcBorders>
          </w:tcPr>
          <w:p>
            <w:pPr>
              <w:pStyle w:val="TableParagraph"/>
              <w:spacing w:before="24"/>
              <w:ind w:left="327"/>
              <w:rPr>
                <w:sz w:val="20"/>
              </w:rPr>
            </w:pPr>
            <w:r>
              <w:rPr>
                <w:sz w:val="20"/>
              </w:rPr>
              <w:t>Commercial</w:t>
            </w:r>
            <w:r>
              <w:rPr>
                <w:spacing w:val="-9"/>
                <w:sz w:val="20"/>
              </w:rPr>
              <w:t> </w:t>
            </w:r>
            <w:r>
              <w:rPr>
                <w:spacing w:val="-4"/>
                <w:sz w:val="20"/>
              </w:rPr>
              <w:t>Land</w:t>
            </w:r>
          </w:p>
        </w:tc>
        <w:tc>
          <w:tcPr>
            <w:tcW w:w="1894" w:type="dxa"/>
          </w:tcPr>
          <w:p>
            <w:pPr>
              <w:pStyle w:val="TableParagraph"/>
              <w:spacing w:before="24"/>
              <w:ind w:right="89"/>
              <w:jc w:val="right"/>
              <w:rPr>
                <w:sz w:val="20"/>
              </w:rPr>
            </w:pPr>
            <w:r>
              <w:rPr>
                <w:spacing w:val="-2"/>
                <w:sz w:val="20"/>
              </w:rPr>
              <w:t>2,182</w:t>
            </w:r>
          </w:p>
        </w:tc>
        <w:tc>
          <w:tcPr>
            <w:tcW w:w="1540" w:type="dxa"/>
            <w:shd w:val="clear" w:color="auto" w:fill="DDEBF6"/>
          </w:tcPr>
          <w:p>
            <w:pPr>
              <w:pStyle w:val="TableParagraph"/>
              <w:spacing w:before="24"/>
              <w:ind w:right="91"/>
              <w:jc w:val="right"/>
              <w:rPr>
                <w:b/>
                <w:sz w:val="20"/>
              </w:rPr>
            </w:pPr>
            <w:r>
              <w:rPr>
                <w:b/>
                <w:spacing w:val="-2"/>
                <w:sz w:val="20"/>
              </w:rPr>
              <w:t>2,185</w:t>
            </w:r>
          </w:p>
        </w:tc>
        <w:tc>
          <w:tcPr>
            <w:tcW w:w="2050" w:type="dxa"/>
          </w:tcPr>
          <w:p>
            <w:pPr>
              <w:pStyle w:val="TableParagraph"/>
              <w:spacing w:before="24"/>
              <w:ind w:right="598"/>
              <w:jc w:val="right"/>
              <w:rPr>
                <w:sz w:val="20"/>
              </w:rPr>
            </w:pPr>
            <w:r>
              <w:rPr>
                <w:w w:val="99"/>
                <w:sz w:val="20"/>
              </w:rPr>
              <w:t>3</w:t>
            </w:r>
          </w:p>
        </w:tc>
        <w:tc>
          <w:tcPr>
            <w:tcW w:w="1028" w:type="dxa"/>
            <w:tcBorders>
              <w:right w:val="single" w:sz="12" w:space="0" w:color="000000"/>
            </w:tcBorders>
          </w:tcPr>
          <w:p>
            <w:pPr>
              <w:pStyle w:val="TableParagraph"/>
              <w:spacing w:before="24"/>
              <w:ind w:right="73"/>
              <w:jc w:val="right"/>
              <w:rPr>
                <w:sz w:val="20"/>
              </w:rPr>
            </w:pPr>
            <w:r>
              <w:rPr>
                <w:spacing w:val="-2"/>
                <w:sz w:val="20"/>
              </w:rPr>
              <w:t>0.14%</w:t>
            </w:r>
          </w:p>
        </w:tc>
      </w:tr>
      <w:tr>
        <w:trPr>
          <w:trHeight w:val="285" w:hRule="atLeast"/>
        </w:trPr>
        <w:tc>
          <w:tcPr>
            <w:tcW w:w="4093" w:type="dxa"/>
            <w:tcBorders>
              <w:left w:val="single" w:sz="12" w:space="0" w:color="000000"/>
            </w:tcBorders>
          </w:tcPr>
          <w:p>
            <w:pPr>
              <w:pStyle w:val="TableParagraph"/>
              <w:spacing w:before="24"/>
              <w:ind w:left="327"/>
              <w:rPr>
                <w:sz w:val="20"/>
              </w:rPr>
            </w:pPr>
            <w:r>
              <w:rPr>
                <w:sz w:val="20"/>
              </w:rPr>
              <w:t>Industrial</w:t>
            </w:r>
            <w:r>
              <w:rPr>
                <w:spacing w:val="-9"/>
                <w:sz w:val="20"/>
              </w:rPr>
              <w:t> </w:t>
            </w:r>
            <w:r>
              <w:rPr>
                <w:spacing w:val="-4"/>
                <w:sz w:val="20"/>
              </w:rPr>
              <w:t>Land</w:t>
            </w:r>
          </w:p>
        </w:tc>
        <w:tc>
          <w:tcPr>
            <w:tcW w:w="1894" w:type="dxa"/>
          </w:tcPr>
          <w:p>
            <w:pPr>
              <w:pStyle w:val="TableParagraph"/>
              <w:spacing w:before="24"/>
              <w:ind w:right="90"/>
              <w:jc w:val="right"/>
              <w:rPr>
                <w:sz w:val="20"/>
              </w:rPr>
            </w:pPr>
            <w:r>
              <w:rPr>
                <w:spacing w:val="-2"/>
                <w:sz w:val="20"/>
              </w:rPr>
              <w:t>2,205</w:t>
            </w:r>
          </w:p>
        </w:tc>
        <w:tc>
          <w:tcPr>
            <w:tcW w:w="1540" w:type="dxa"/>
            <w:shd w:val="clear" w:color="auto" w:fill="DDEBF6"/>
          </w:tcPr>
          <w:p>
            <w:pPr>
              <w:pStyle w:val="TableParagraph"/>
              <w:spacing w:before="24"/>
              <w:ind w:right="91"/>
              <w:jc w:val="right"/>
              <w:rPr>
                <w:b/>
                <w:sz w:val="20"/>
              </w:rPr>
            </w:pPr>
            <w:r>
              <w:rPr>
                <w:b/>
                <w:spacing w:val="-2"/>
                <w:sz w:val="20"/>
              </w:rPr>
              <w:t>2,209</w:t>
            </w:r>
          </w:p>
        </w:tc>
        <w:tc>
          <w:tcPr>
            <w:tcW w:w="2050" w:type="dxa"/>
          </w:tcPr>
          <w:p>
            <w:pPr>
              <w:pStyle w:val="TableParagraph"/>
              <w:spacing w:before="24"/>
              <w:ind w:right="598"/>
              <w:jc w:val="right"/>
              <w:rPr>
                <w:sz w:val="20"/>
              </w:rPr>
            </w:pPr>
            <w:r>
              <w:rPr>
                <w:w w:val="99"/>
                <w:sz w:val="20"/>
              </w:rPr>
              <w:t>4</w:t>
            </w:r>
          </w:p>
        </w:tc>
        <w:tc>
          <w:tcPr>
            <w:tcW w:w="1028" w:type="dxa"/>
            <w:tcBorders>
              <w:right w:val="single" w:sz="12" w:space="0" w:color="000000"/>
            </w:tcBorders>
          </w:tcPr>
          <w:p>
            <w:pPr>
              <w:pStyle w:val="TableParagraph"/>
              <w:spacing w:before="24"/>
              <w:ind w:right="73"/>
              <w:jc w:val="right"/>
              <w:rPr>
                <w:sz w:val="20"/>
              </w:rPr>
            </w:pPr>
            <w:r>
              <w:rPr>
                <w:spacing w:val="-2"/>
                <w:sz w:val="20"/>
              </w:rPr>
              <w:t>0.18%</w:t>
            </w:r>
          </w:p>
        </w:tc>
      </w:tr>
      <w:tr>
        <w:trPr>
          <w:trHeight w:val="290" w:hRule="atLeast"/>
        </w:trPr>
        <w:tc>
          <w:tcPr>
            <w:tcW w:w="4093" w:type="dxa"/>
            <w:tcBorders>
              <w:left w:val="single" w:sz="12" w:space="0" w:color="000000"/>
            </w:tcBorders>
          </w:tcPr>
          <w:p>
            <w:pPr>
              <w:pStyle w:val="TableParagraph"/>
              <w:spacing w:before="24"/>
              <w:ind w:left="327"/>
              <w:rPr>
                <w:sz w:val="20"/>
              </w:rPr>
            </w:pPr>
            <w:r>
              <w:rPr>
                <w:sz w:val="20"/>
              </w:rPr>
              <w:t>Derelict</w:t>
            </w:r>
            <w:r>
              <w:rPr>
                <w:spacing w:val="-6"/>
                <w:sz w:val="20"/>
              </w:rPr>
              <w:t> </w:t>
            </w:r>
            <w:r>
              <w:rPr>
                <w:spacing w:val="-4"/>
                <w:sz w:val="20"/>
              </w:rPr>
              <w:t>Land</w:t>
            </w:r>
          </w:p>
        </w:tc>
        <w:tc>
          <w:tcPr>
            <w:tcW w:w="1894" w:type="dxa"/>
          </w:tcPr>
          <w:p>
            <w:pPr>
              <w:pStyle w:val="TableParagraph"/>
              <w:spacing w:before="24"/>
              <w:ind w:right="89"/>
              <w:jc w:val="right"/>
              <w:rPr>
                <w:sz w:val="20"/>
              </w:rPr>
            </w:pPr>
            <w:r>
              <w:rPr>
                <w:w w:val="99"/>
                <w:sz w:val="20"/>
              </w:rPr>
              <w:t>-</w:t>
            </w:r>
          </w:p>
        </w:tc>
        <w:tc>
          <w:tcPr>
            <w:tcW w:w="1540" w:type="dxa"/>
            <w:shd w:val="clear" w:color="auto" w:fill="DDEBF6"/>
          </w:tcPr>
          <w:p>
            <w:pPr>
              <w:pStyle w:val="TableParagraph"/>
              <w:spacing w:before="24"/>
              <w:ind w:right="90"/>
              <w:jc w:val="right"/>
              <w:rPr>
                <w:sz w:val="20"/>
              </w:rPr>
            </w:pPr>
            <w:r>
              <w:rPr>
                <w:w w:val="99"/>
                <w:sz w:val="20"/>
              </w:rPr>
              <w:t>-</w:t>
            </w:r>
          </w:p>
        </w:tc>
        <w:tc>
          <w:tcPr>
            <w:tcW w:w="2050" w:type="dxa"/>
          </w:tcPr>
          <w:p>
            <w:pPr>
              <w:pStyle w:val="TableParagraph"/>
              <w:spacing w:before="24"/>
              <w:ind w:right="599"/>
              <w:jc w:val="right"/>
              <w:rPr>
                <w:sz w:val="20"/>
              </w:rPr>
            </w:pPr>
            <w:r>
              <w:rPr>
                <w:w w:val="99"/>
                <w:sz w:val="20"/>
              </w:rPr>
              <w:t>-</w:t>
            </w:r>
          </w:p>
        </w:tc>
        <w:tc>
          <w:tcPr>
            <w:tcW w:w="1028" w:type="dxa"/>
            <w:tcBorders>
              <w:right w:val="single" w:sz="12" w:space="0" w:color="000000"/>
            </w:tcBorders>
          </w:tcPr>
          <w:p>
            <w:pPr>
              <w:pStyle w:val="TableParagraph"/>
              <w:spacing w:before="24"/>
              <w:ind w:right="73"/>
              <w:jc w:val="right"/>
              <w:rPr>
                <w:sz w:val="20"/>
              </w:rPr>
            </w:pPr>
            <w:r>
              <w:rPr>
                <w:spacing w:val="-2"/>
                <w:sz w:val="20"/>
              </w:rPr>
              <w:t>0.00%</w:t>
            </w:r>
          </w:p>
        </w:tc>
      </w:tr>
      <w:tr>
        <w:trPr>
          <w:trHeight w:val="293" w:hRule="atLeast"/>
        </w:trPr>
        <w:tc>
          <w:tcPr>
            <w:tcW w:w="4093" w:type="dxa"/>
            <w:tcBorders>
              <w:left w:val="single" w:sz="12" w:space="0" w:color="000000"/>
              <w:bottom w:val="single" w:sz="4" w:space="0" w:color="000000"/>
            </w:tcBorders>
          </w:tcPr>
          <w:p>
            <w:pPr>
              <w:pStyle w:val="TableParagraph"/>
              <w:spacing w:before="29"/>
              <w:ind w:left="107"/>
              <w:rPr>
                <w:sz w:val="20"/>
              </w:rPr>
            </w:pPr>
            <w:r>
              <w:rPr>
                <w:sz w:val="20"/>
              </w:rPr>
              <w:t>Cultural</w:t>
            </w:r>
            <w:r>
              <w:rPr>
                <w:spacing w:val="-7"/>
                <w:sz w:val="20"/>
              </w:rPr>
              <w:t> </w:t>
            </w:r>
            <w:r>
              <w:rPr>
                <w:sz w:val="20"/>
              </w:rPr>
              <w:t>and</w:t>
            </w:r>
            <w:r>
              <w:rPr>
                <w:spacing w:val="-8"/>
                <w:sz w:val="20"/>
              </w:rPr>
              <w:t> </w:t>
            </w:r>
            <w:r>
              <w:rPr>
                <w:sz w:val="20"/>
              </w:rPr>
              <w:t>Recreational</w:t>
            </w:r>
            <w:r>
              <w:rPr>
                <w:spacing w:val="-7"/>
                <w:sz w:val="20"/>
              </w:rPr>
              <w:t> </w:t>
            </w:r>
            <w:r>
              <w:rPr>
                <w:sz w:val="20"/>
              </w:rPr>
              <w:t>Lands</w:t>
            </w:r>
            <w:r>
              <w:rPr>
                <w:spacing w:val="-7"/>
                <w:sz w:val="20"/>
              </w:rPr>
              <w:t> </w:t>
            </w:r>
            <w:r>
              <w:rPr>
                <w:spacing w:val="-5"/>
                <w:sz w:val="20"/>
              </w:rPr>
              <w:t>Act</w:t>
            </w:r>
          </w:p>
        </w:tc>
        <w:tc>
          <w:tcPr>
            <w:tcW w:w="1894" w:type="dxa"/>
            <w:tcBorders>
              <w:bottom w:val="single" w:sz="4" w:space="0" w:color="000000"/>
            </w:tcBorders>
          </w:tcPr>
          <w:p>
            <w:pPr>
              <w:pStyle w:val="TableParagraph"/>
              <w:spacing w:before="29"/>
              <w:ind w:right="87"/>
              <w:jc w:val="right"/>
              <w:rPr>
                <w:sz w:val="20"/>
              </w:rPr>
            </w:pPr>
            <w:r>
              <w:rPr>
                <w:w w:val="99"/>
                <w:sz w:val="20"/>
              </w:rPr>
              <w:t>3</w:t>
            </w:r>
          </w:p>
        </w:tc>
        <w:tc>
          <w:tcPr>
            <w:tcW w:w="1540" w:type="dxa"/>
            <w:tcBorders>
              <w:bottom w:val="single" w:sz="4" w:space="0" w:color="000000"/>
            </w:tcBorders>
            <w:shd w:val="clear" w:color="auto" w:fill="DDEBF6"/>
          </w:tcPr>
          <w:p>
            <w:pPr>
              <w:pStyle w:val="TableParagraph"/>
              <w:spacing w:before="29"/>
              <w:ind w:right="89"/>
              <w:jc w:val="right"/>
              <w:rPr>
                <w:b/>
                <w:sz w:val="20"/>
              </w:rPr>
            </w:pPr>
            <w:r>
              <w:rPr>
                <w:b/>
                <w:w w:val="99"/>
                <w:sz w:val="20"/>
              </w:rPr>
              <w:t>3</w:t>
            </w:r>
          </w:p>
        </w:tc>
        <w:tc>
          <w:tcPr>
            <w:tcW w:w="2050" w:type="dxa"/>
            <w:tcBorders>
              <w:bottom w:val="single" w:sz="4" w:space="0" w:color="000000"/>
            </w:tcBorders>
          </w:tcPr>
          <w:p>
            <w:pPr>
              <w:pStyle w:val="TableParagraph"/>
              <w:spacing w:before="29"/>
              <w:ind w:right="599"/>
              <w:jc w:val="right"/>
              <w:rPr>
                <w:sz w:val="20"/>
              </w:rPr>
            </w:pPr>
            <w:r>
              <w:rPr>
                <w:w w:val="99"/>
                <w:sz w:val="20"/>
              </w:rPr>
              <w:t>-</w:t>
            </w:r>
          </w:p>
        </w:tc>
        <w:tc>
          <w:tcPr>
            <w:tcW w:w="1028" w:type="dxa"/>
            <w:tcBorders>
              <w:bottom w:val="single" w:sz="4" w:space="0" w:color="000000"/>
              <w:right w:val="single" w:sz="12" w:space="0" w:color="000000"/>
            </w:tcBorders>
          </w:tcPr>
          <w:p>
            <w:pPr>
              <w:pStyle w:val="TableParagraph"/>
              <w:spacing w:before="29"/>
              <w:ind w:right="73"/>
              <w:jc w:val="right"/>
              <w:rPr>
                <w:sz w:val="20"/>
              </w:rPr>
            </w:pPr>
            <w:r>
              <w:rPr>
                <w:spacing w:val="-2"/>
                <w:sz w:val="20"/>
              </w:rPr>
              <w:t>0.00%</w:t>
            </w:r>
          </w:p>
        </w:tc>
      </w:tr>
      <w:tr>
        <w:trPr>
          <w:trHeight w:val="303" w:hRule="atLeast"/>
        </w:trPr>
        <w:tc>
          <w:tcPr>
            <w:tcW w:w="4093" w:type="dxa"/>
            <w:tcBorders>
              <w:top w:val="single" w:sz="4" w:space="0" w:color="000000"/>
              <w:left w:val="single" w:sz="12" w:space="0" w:color="000000"/>
              <w:bottom w:val="single" w:sz="12" w:space="0" w:color="000000"/>
            </w:tcBorders>
          </w:tcPr>
          <w:p>
            <w:pPr>
              <w:pStyle w:val="TableParagraph"/>
              <w:spacing w:before="35"/>
              <w:ind w:left="107"/>
              <w:rPr>
                <w:b/>
                <w:sz w:val="20"/>
              </w:rPr>
            </w:pPr>
            <w:r>
              <w:rPr>
                <w:b/>
                <w:sz w:val="20"/>
              </w:rPr>
              <w:t>Total</w:t>
            </w:r>
            <w:r>
              <w:rPr>
                <w:b/>
                <w:spacing w:val="-6"/>
                <w:sz w:val="20"/>
              </w:rPr>
              <w:t> </w:t>
            </w:r>
            <w:r>
              <w:rPr>
                <w:b/>
                <w:sz w:val="20"/>
              </w:rPr>
              <w:t>number</w:t>
            </w:r>
            <w:r>
              <w:rPr>
                <w:b/>
                <w:spacing w:val="-5"/>
                <w:sz w:val="20"/>
              </w:rPr>
              <w:t> </w:t>
            </w:r>
            <w:r>
              <w:rPr>
                <w:b/>
                <w:sz w:val="20"/>
              </w:rPr>
              <w:t>of</w:t>
            </w:r>
            <w:r>
              <w:rPr>
                <w:b/>
                <w:spacing w:val="-5"/>
                <w:sz w:val="20"/>
              </w:rPr>
              <w:t> </w:t>
            </w:r>
            <w:r>
              <w:rPr>
                <w:b/>
                <w:spacing w:val="-2"/>
                <w:sz w:val="20"/>
              </w:rPr>
              <w:t>assessments</w:t>
            </w:r>
          </w:p>
        </w:tc>
        <w:tc>
          <w:tcPr>
            <w:tcW w:w="1894" w:type="dxa"/>
            <w:tcBorders>
              <w:top w:val="single" w:sz="4" w:space="0" w:color="000000"/>
              <w:bottom w:val="single" w:sz="12" w:space="0" w:color="000000"/>
            </w:tcBorders>
          </w:tcPr>
          <w:p>
            <w:pPr>
              <w:pStyle w:val="TableParagraph"/>
              <w:spacing w:before="35"/>
              <w:ind w:right="90"/>
              <w:jc w:val="right"/>
              <w:rPr>
                <w:b/>
                <w:sz w:val="20"/>
              </w:rPr>
            </w:pPr>
            <w:r>
              <w:rPr>
                <w:b/>
                <w:spacing w:val="-2"/>
                <w:sz w:val="20"/>
              </w:rPr>
              <w:t>52,678</w:t>
            </w:r>
          </w:p>
        </w:tc>
        <w:tc>
          <w:tcPr>
            <w:tcW w:w="1540" w:type="dxa"/>
            <w:tcBorders>
              <w:top w:val="single" w:sz="4" w:space="0" w:color="000000"/>
              <w:bottom w:val="single" w:sz="12" w:space="0" w:color="000000"/>
            </w:tcBorders>
            <w:shd w:val="clear" w:color="auto" w:fill="DDEBF6"/>
          </w:tcPr>
          <w:p>
            <w:pPr>
              <w:pStyle w:val="TableParagraph"/>
              <w:spacing w:before="35"/>
              <w:ind w:right="92"/>
              <w:jc w:val="right"/>
              <w:rPr>
                <w:b/>
                <w:sz w:val="20"/>
              </w:rPr>
            </w:pPr>
            <w:r>
              <w:rPr>
                <w:b/>
                <w:spacing w:val="-2"/>
                <w:sz w:val="20"/>
              </w:rPr>
              <w:t>52,881</w:t>
            </w:r>
          </w:p>
        </w:tc>
        <w:tc>
          <w:tcPr>
            <w:tcW w:w="2050" w:type="dxa"/>
            <w:tcBorders>
              <w:top w:val="single" w:sz="4" w:space="0" w:color="000000"/>
              <w:bottom w:val="single" w:sz="12" w:space="0" w:color="000000"/>
            </w:tcBorders>
          </w:tcPr>
          <w:p>
            <w:pPr>
              <w:pStyle w:val="TableParagraph"/>
              <w:spacing w:before="35"/>
              <w:ind w:right="601"/>
              <w:jc w:val="right"/>
              <w:rPr>
                <w:b/>
                <w:sz w:val="20"/>
              </w:rPr>
            </w:pPr>
            <w:r>
              <w:rPr>
                <w:b/>
                <w:spacing w:val="-5"/>
                <w:sz w:val="20"/>
              </w:rPr>
              <w:t>203</w:t>
            </w:r>
          </w:p>
        </w:tc>
        <w:tc>
          <w:tcPr>
            <w:tcW w:w="1028" w:type="dxa"/>
            <w:tcBorders>
              <w:top w:val="single" w:sz="4" w:space="0" w:color="000000"/>
              <w:bottom w:val="single" w:sz="12" w:space="0" w:color="000000"/>
              <w:right w:val="single" w:sz="12" w:space="0" w:color="000000"/>
            </w:tcBorders>
          </w:tcPr>
          <w:p>
            <w:pPr>
              <w:pStyle w:val="TableParagraph"/>
              <w:spacing w:before="35"/>
              <w:ind w:right="71"/>
              <w:jc w:val="right"/>
              <w:rPr>
                <w:b/>
                <w:sz w:val="20"/>
              </w:rPr>
            </w:pPr>
            <w:r>
              <w:rPr>
                <w:b/>
                <w:spacing w:val="-2"/>
                <w:sz w:val="20"/>
              </w:rPr>
              <w:t>0.39%</w:t>
            </w:r>
          </w:p>
        </w:tc>
      </w:tr>
    </w:tbl>
    <w:p>
      <w:pPr>
        <w:pStyle w:val="BodyText"/>
        <w:spacing w:before="7"/>
        <w:rPr>
          <w:sz w:val="21"/>
        </w:rPr>
      </w:pPr>
    </w:p>
    <w:p>
      <w:pPr>
        <w:pStyle w:val="BodyText"/>
        <w:ind w:left="260"/>
      </w:pPr>
      <w:r>
        <w:rPr/>
        <w:t>4.1.1(e)The</w:t>
      </w:r>
      <w:r>
        <w:rPr>
          <w:spacing w:val="-6"/>
        </w:rPr>
        <w:t> </w:t>
      </w:r>
      <w:r>
        <w:rPr/>
        <w:t>basis</w:t>
      </w:r>
      <w:r>
        <w:rPr>
          <w:spacing w:val="-3"/>
        </w:rPr>
        <w:t> </w:t>
      </w:r>
      <w:r>
        <w:rPr/>
        <w:t>of</w:t>
      </w:r>
      <w:r>
        <w:rPr>
          <w:spacing w:val="-2"/>
        </w:rPr>
        <w:t> </w:t>
      </w:r>
      <w:r>
        <w:rPr/>
        <w:t>valuation</w:t>
      </w:r>
      <w:r>
        <w:rPr>
          <w:spacing w:val="-3"/>
        </w:rPr>
        <w:t> </w:t>
      </w:r>
      <w:r>
        <w:rPr/>
        <w:t>to</w:t>
      </w:r>
      <w:r>
        <w:rPr>
          <w:spacing w:val="-6"/>
        </w:rPr>
        <w:t> </w:t>
      </w:r>
      <w:r>
        <w:rPr/>
        <w:t>be</w:t>
      </w:r>
      <w:r>
        <w:rPr>
          <w:spacing w:val="-4"/>
        </w:rPr>
        <w:t> </w:t>
      </w:r>
      <w:r>
        <w:rPr/>
        <w:t>used</w:t>
      </w:r>
      <w:r>
        <w:rPr>
          <w:spacing w:val="-3"/>
        </w:rPr>
        <w:t> </w:t>
      </w:r>
      <w:r>
        <w:rPr/>
        <w:t>is</w:t>
      </w:r>
      <w:r>
        <w:rPr>
          <w:spacing w:val="-4"/>
        </w:rPr>
        <w:t> </w:t>
      </w:r>
      <w:r>
        <w:rPr/>
        <w:t>the</w:t>
      </w:r>
      <w:r>
        <w:rPr>
          <w:spacing w:val="-4"/>
        </w:rPr>
        <w:t> </w:t>
      </w:r>
      <w:r>
        <w:rPr/>
        <w:t>Capital</w:t>
      </w:r>
      <w:r>
        <w:rPr>
          <w:spacing w:val="-3"/>
        </w:rPr>
        <w:t> </w:t>
      </w:r>
      <w:r>
        <w:rPr/>
        <w:t>Improved</w:t>
      </w:r>
      <w:r>
        <w:rPr>
          <w:spacing w:val="-4"/>
        </w:rPr>
        <w:t> </w:t>
      </w:r>
      <w:r>
        <w:rPr/>
        <w:t>Value</w:t>
      </w:r>
      <w:r>
        <w:rPr>
          <w:spacing w:val="-3"/>
        </w:rPr>
        <w:t> </w:t>
      </w:r>
      <w:r>
        <w:rPr>
          <w:spacing w:val="-2"/>
        </w:rPr>
        <w:t>(CIV)</w:t>
      </w:r>
    </w:p>
    <w:p>
      <w:pPr>
        <w:pStyle w:val="BodyText"/>
      </w:pPr>
    </w:p>
    <w:p>
      <w:pPr>
        <w:pStyle w:val="BodyText"/>
        <w:ind w:left="980" w:right="445" w:hanging="721"/>
      </w:pPr>
      <w:r>
        <w:rPr/>
        <w:pict>
          <v:shape style="position:absolute;margin-left:227.639008pt;margin-top:84.957901pt;width:338.8pt;height:15pt;mso-position-horizontal-relative:page;mso-position-vertical-relative:paragraph;z-index:-38034432" id="docshape23" coordorigin="4553,1699" coordsize="6776,300" path="m11328,1699l9929,1699,8232,1699,6389,1699,4553,1699,4553,1999,6389,1999,8232,1999,9929,1999,11328,1999,11328,1699xe" filled="true" fillcolor="#d8d8d8" stroked="false">
            <v:path arrowok="t"/>
            <v:fill type="solid"/>
            <w10:wrap type="none"/>
          </v:shape>
        </w:pict>
      </w:r>
      <w:r>
        <w:rPr/>
        <w:t>4.1.1(f)The</w:t>
      </w:r>
      <w:r>
        <w:rPr>
          <w:spacing w:val="40"/>
        </w:rPr>
        <w:t> </w:t>
      </w:r>
      <w:r>
        <w:rPr/>
        <w:t>estimated</w:t>
      </w:r>
      <w:r>
        <w:rPr>
          <w:spacing w:val="40"/>
        </w:rPr>
        <w:t> </w:t>
      </w:r>
      <w:r>
        <w:rPr/>
        <w:t>total</w:t>
      </w:r>
      <w:r>
        <w:rPr>
          <w:spacing w:val="40"/>
        </w:rPr>
        <w:t> </w:t>
      </w:r>
      <w:r>
        <w:rPr/>
        <w:t>value</w:t>
      </w:r>
      <w:r>
        <w:rPr>
          <w:spacing w:val="40"/>
        </w:rPr>
        <w:t> </w:t>
      </w:r>
      <w:r>
        <w:rPr/>
        <w:t>of</w:t>
      </w:r>
      <w:r>
        <w:rPr>
          <w:spacing w:val="40"/>
        </w:rPr>
        <w:t> </w:t>
      </w:r>
      <w:r>
        <w:rPr/>
        <w:t>each</w:t>
      </w:r>
      <w:r>
        <w:rPr>
          <w:spacing w:val="40"/>
        </w:rPr>
        <w:t> </w:t>
      </w:r>
      <w:r>
        <w:rPr/>
        <w:t>type</w:t>
      </w:r>
      <w:r>
        <w:rPr>
          <w:spacing w:val="40"/>
        </w:rPr>
        <w:t> </w:t>
      </w:r>
      <w:r>
        <w:rPr/>
        <w:t>or</w:t>
      </w:r>
      <w:r>
        <w:rPr>
          <w:spacing w:val="40"/>
        </w:rPr>
        <w:t> </w:t>
      </w:r>
      <w:r>
        <w:rPr/>
        <w:t>class</w:t>
      </w:r>
      <w:r>
        <w:rPr>
          <w:spacing w:val="40"/>
        </w:rPr>
        <w:t> </w:t>
      </w:r>
      <w:r>
        <w:rPr/>
        <w:t>of</w:t>
      </w:r>
      <w:r>
        <w:rPr>
          <w:spacing w:val="40"/>
        </w:rPr>
        <w:t> </w:t>
      </w:r>
      <w:r>
        <w:rPr/>
        <w:t>land,</w:t>
      </w:r>
      <w:r>
        <w:rPr>
          <w:spacing w:val="40"/>
        </w:rPr>
        <w:t> </w:t>
      </w:r>
      <w:r>
        <w:rPr/>
        <w:t>and</w:t>
      </w:r>
      <w:r>
        <w:rPr>
          <w:spacing w:val="40"/>
        </w:rPr>
        <w:t> </w:t>
      </w:r>
      <w:r>
        <w:rPr/>
        <w:t>the</w:t>
      </w:r>
      <w:r>
        <w:rPr>
          <w:spacing w:val="40"/>
        </w:rPr>
        <w:t> </w:t>
      </w:r>
      <w:r>
        <w:rPr/>
        <w:t>estimated</w:t>
      </w:r>
      <w:r>
        <w:rPr>
          <w:spacing w:val="40"/>
        </w:rPr>
        <w:t> </w:t>
      </w:r>
      <w:r>
        <w:rPr/>
        <w:t>total</w:t>
      </w:r>
      <w:r>
        <w:rPr>
          <w:spacing w:val="40"/>
        </w:rPr>
        <w:t> </w:t>
      </w:r>
      <w:r>
        <w:rPr/>
        <w:t>value</w:t>
      </w:r>
      <w:r>
        <w:rPr>
          <w:spacing w:val="40"/>
        </w:rPr>
        <w:t> </w:t>
      </w:r>
      <w:r>
        <w:rPr/>
        <w:t>of</w:t>
      </w:r>
      <w:r>
        <w:rPr>
          <w:spacing w:val="40"/>
        </w:rPr>
        <w:t> </w:t>
      </w:r>
      <w:r>
        <w:rPr/>
        <w:t>land, compared with the previous financial year</w:t>
      </w:r>
    </w:p>
    <w:p>
      <w:pPr>
        <w:pStyle w:val="BodyText"/>
      </w:pPr>
    </w:p>
    <w:tbl>
      <w:tblPr>
        <w:tblW w:w="0" w:type="auto"/>
        <w:jc w:val="left"/>
        <w:tblInd w:w="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59"/>
        <w:gridCol w:w="1795"/>
        <w:gridCol w:w="1843"/>
        <w:gridCol w:w="2096"/>
        <w:gridCol w:w="1014"/>
      </w:tblGrid>
      <w:tr>
        <w:trPr>
          <w:trHeight w:val="578" w:hRule="atLeast"/>
        </w:trPr>
        <w:tc>
          <w:tcPr>
            <w:tcW w:w="3859" w:type="dxa"/>
            <w:tcBorders>
              <w:top w:val="single" w:sz="18" w:space="0" w:color="000000"/>
              <w:left w:val="single" w:sz="12" w:space="0" w:color="000000"/>
            </w:tcBorders>
            <w:shd w:val="clear" w:color="auto" w:fill="5B9AD4"/>
          </w:tcPr>
          <w:p>
            <w:pPr>
              <w:pStyle w:val="TableParagraph"/>
              <w:spacing w:before="179"/>
              <w:ind w:left="1012"/>
              <w:rPr>
                <w:b/>
                <w:sz w:val="18"/>
              </w:rPr>
            </w:pPr>
            <w:r>
              <w:rPr>
                <w:b/>
                <w:color w:val="FFFFFF"/>
                <w:sz w:val="18"/>
              </w:rPr>
              <w:t>Type</w:t>
            </w:r>
            <w:r>
              <w:rPr>
                <w:b/>
                <w:color w:val="FFFFFF"/>
                <w:spacing w:val="-2"/>
                <w:sz w:val="18"/>
              </w:rPr>
              <w:t> </w:t>
            </w:r>
            <w:r>
              <w:rPr>
                <w:b/>
                <w:color w:val="FFFFFF"/>
                <w:sz w:val="18"/>
              </w:rPr>
              <w:t>or</w:t>
            </w:r>
            <w:r>
              <w:rPr>
                <w:b/>
                <w:color w:val="FFFFFF"/>
                <w:spacing w:val="-3"/>
                <w:sz w:val="18"/>
              </w:rPr>
              <w:t> </w:t>
            </w:r>
            <w:r>
              <w:rPr>
                <w:b/>
                <w:color w:val="FFFFFF"/>
                <w:sz w:val="18"/>
              </w:rPr>
              <w:t>class</w:t>
            </w:r>
            <w:r>
              <w:rPr>
                <w:b/>
                <w:color w:val="FFFFFF"/>
                <w:spacing w:val="1"/>
                <w:sz w:val="18"/>
              </w:rPr>
              <w:t> </w:t>
            </w:r>
            <w:r>
              <w:rPr>
                <w:b/>
                <w:color w:val="FFFFFF"/>
                <w:sz w:val="18"/>
              </w:rPr>
              <w:t>of</w:t>
            </w:r>
            <w:r>
              <w:rPr>
                <w:b/>
                <w:color w:val="FFFFFF"/>
                <w:spacing w:val="1"/>
                <w:sz w:val="18"/>
              </w:rPr>
              <w:t> </w:t>
            </w:r>
            <w:r>
              <w:rPr>
                <w:b/>
                <w:color w:val="FFFFFF"/>
                <w:spacing w:val="-4"/>
                <w:sz w:val="18"/>
              </w:rPr>
              <w:t>land</w:t>
            </w:r>
          </w:p>
        </w:tc>
        <w:tc>
          <w:tcPr>
            <w:tcW w:w="1795" w:type="dxa"/>
            <w:tcBorders>
              <w:top w:val="single" w:sz="18" w:space="0" w:color="000000"/>
            </w:tcBorders>
            <w:shd w:val="clear" w:color="auto" w:fill="5B9AD4"/>
          </w:tcPr>
          <w:p>
            <w:pPr>
              <w:pStyle w:val="TableParagraph"/>
              <w:spacing w:before="38"/>
              <w:ind w:left="555" w:right="563"/>
              <w:jc w:val="center"/>
              <w:rPr>
                <w:b/>
                <w:sz w:val="18"/>
              </w:rPr>
            </w:pPr>
            <w:r>
              <w:rPr>
                <w:b/>
                <w:color w:val="FFFFFF"/>
                <w:spacing w:val="-2"/>
                <w:sz w:val="18"/>
              </w:rPr>
              <w:t>2024/25</w:t>
            </w:r>
          </w:p>
          <w:p>
            <w:pPr>
              <w:pStyle w:val="TableParagraph"/>
              <w:spacing w:before="85"/>
              <w:ind w:left="553" w:right="563"/>
              <w:jc w:val="center"/>
              <w:rPr>
                <w:b/>
                <w:sz w:val="18"/>
              </w:rPr>
            </w:pPr>
            <w:r>
              <w:rPr>
                <w:b/>
                <w:color w:val="FFFFFF"/>
                <w:spacing w:val="-2"/>
                <w:sz w:val="18"/>
              </w:rPr>
              <w:t>$’000</w:t>
            </w:r>
          </w:p>
        </w:tc>
        <w:tc>
          <w:tcPr>
            <w:tcW w:w="1843" w:type="dxa"/>
            <w:tcBorders>
              <w:top w:val="single" w:sz="18" w:space="0" w:color="000000"/>
            </w:tcBorders>
            <w:shd w:val="clear" w:color="auto" w:fill="5B9AD4"/>
          </w:tcPr>
          <w:p>
            <w:pPr>
              <w:pStyle w:val="TableParagraph"/>
              <w:spacing w:before="38"/>
              <w:ind w:left="597" w:right="569"/>
              <w:jc w:val="center"/>
              <w:rPr>
                <w:b/>
                <w:sz w:val="18"/>
              </w:rPr>
            </w:pPr>
            <w:r>
              <w:rPr>
                <w:b/>
                <w:color w:val="FFFFFF"/>
                <w:spacing w:val="-2"/>
                <w:sz w:val="18"/>
              </w:rPr>
              <w:t>2025/26</w:t>
            </w:r>
          </w:p>
          <w:p>
            <w:pPr>
              <w:pStyle w:val="TableParagraph"/>
              <w:spacing w:before="85"/>
              <w:ind w:left="597" w:right="566"/>
              <w:jc w:val="center"/>
              <w:rPr>
                <w:b/>
                <w:sz w:val="18"/>
              </w:rPr>
            </w:pPr>
            <w:r>
              <w:rPr>
                <w:b/>
                <w:color w:val="FFFFFF"/>
                <w:spacing w:val="-2"/>
                <w:sz w:val="18"/>
              </w:rPr>
              <w:t>$’000</w:t>
            </w:r>
          </w:p>
        </w:tc>
        <w:tc>
          <w:tcPr>
            <w:tcW w:w="2096" w:type="dxa"/>
            <w:tcBorders>
              <w:top w:val="single" w:sz="18" w:space="0" w:color="000000"/>
            </w:tcBorders>
            <w:shd w:val="clear" w:color="auto" w:fill="5B9AD4"/>
          </w:tcPr>
          <w:p>
            <w:pPr>
              <w:pStyle w:val="TableParagraph"/>
              <w:spacing w:before="38"/>
              <w:ind w:left="1241"/>
              <w:rPr>
                <w:b/>
                <w:sz w:val="18"/>
              </w:rPr>
            </w:pPr>
            <w:r>
              <w:rPr>
                <w:b/>
                <w:color w:val="FFFFFF"/>
                <w:spacing w:val="-2"/>
                <w:sz w:val="18"/>
              </w:rPr>
              <w:t>Change</w:t>
            </w:r>
          </w:p>
          <w:p>
            <w:pPr>
              <w:pStyle w:val="TableParagraph"/>
              <w:spacing w:before="85"/>
              <w:ind w:left="636"/>
              <w:rPr>
                <w:b/>
                <w:sz w:val="18"/>
              </w:rPr>
            </w:pPr>
            <w:r>
              <w:rPr>
                <w:b/>
                <w:color w:val="FFFFFF"/>
                <w:spacing w:val="-2"/>
                <w:sz w:val="18"/>
              </w:rPr>
              <w:t>$’000</w:t>
            </w:r>
          </w:p>
        </w:tc>
        <w:tc>
          <w:tcPr>
            <w:tcW w:w="1014" w:type="dxa"/>
            <w:tcBorders>
              <w:top w:val="single" w:sz="18" w:space="0" w:color="000000"/>
              <w:right w:val="single" w:sz="12" w:space="0" w:color="000000"/>
            </w:tcBorders>
            <w:shd w:val="clear" w:color="auto" w:fill="5B9AD4"/>
          </w:tcPr>
          <w:p>
            <w:pPr>
              <w:pStyle w:val="TableParagraph"/>
              <w:spacing w:before="8"/>
              <w:rPr>
                <w:sz w:val="28"/>
              </w:rPr>
            </w:pPr>
          </w:p>
          <w:p>
            <w:pPr>
              <w:pStyle w:val="TableParagraph"/>
              <w:ind w:left="227"/>
              <w:rPr>
                <w:b/>
                <w:sz w:val="18"/>
              </w:rPr>
            </w:pPr>
            <w:r>
              <w:rPr>
                <w:b/>
                <w:color w:val="FFFFFF"/>
                <w:sz w:val="18"/>
              </w:rPr>
              <w:t>%</w:t>
            </w:r>
          </w:p>
        </w:tc>
      </w:tr>
      <w:tr>
        <w:trPr>
          <w:trHeight w:val="624" w:hRule="atLeast"/>
        </w:trPr>
        <w:tc>
          <w:tcPr>
            <w:tcW w:w="3859" w:type="dxa"/>
            <w:tcBorders>
              <w:left w:val="single" w:sz="12" w:space="0" w:color="000000"/>
            </w:tcBorders>
          </w:tcPr>
          <w:p>
            <w:pPr>
              <w:pStyle w:val="TableParagraph"/>
              <w:spacing w:before="45"/>
              <w:ind w:left="107"/>
              <w:rPr>
                <w:sz w:val="20"/>
              </w:rPr>
            </w:pPr>
            <w:r>
              <w:rPr>
                <w:sz w:val="20"/>
              </w:rPr>
              <w:t>General</w:t>
            </w:r>
            <w:r>
              <w:rPr>
                <w:spacing w:val="-8"/>
                <w:sz w:val="20"/>
              </w:rPr>
              <w:t> </w:t>
            </w:r>
            <w:r>
              <w:rPr>
                <w:spacing w:val="-4"/>
                <w:sz w:val="20"/>
              </w:rPr>
              <w:t>Land</w:t>
            </w:r>
          </w:p>
          <w:p>
            <w:pPr>
              <w:pStyle w:val="TableParagraph"/>
              <w:spacing w:before="82"/>
              <w:ind w:left="107"/>
              <w:rPr>
                <w:sz w:val="20"/>
              </w:rPr>
            </w:pPr>
            <w:r>
              <w:rPr>
                <w:sz w:val="20"/>
              </w:rPr>
              <w:t>Differential</w:t>
            </w:r>
            <w:r>
              <w:rPr>
                <w:spacing w:val="-9"/>
                <w:sz w:val="20"/>
              </w:rPr>
              <w:t> </w:t>
            </w:r>
            <w:r>
              <w:rPr>
                <w:spacing w:val="-2"/>
                <w:sz w:val="20"/>
              </w:rPr>
              <w:t>Rate:</w:t>
            </w:r>
          </w:p>
        </w:tc>
        <w:tc>
          <w:tcPr>
            <w:tcW w:w="1795" w:type="dxa"/>
          </w:tcPr>
          <w:p>
            <w:pPr>
              <w:pStyle w:val="TableParagraph"/>
              <w:spacing w:before="45"/>
              <w:ind w:right="89"/>
              <w:jc w:val="right"/>
              <w:rPr>
                <w:sz w:val="20"/>
              </w:rPr>
            </w:pPr>
            <w:r>
              <w:rPr>
                <w:spacing w:val="-2"/>
                <w:sz w:val="20"/>
              </w:rPr>
              <w:t>39,204,380</w:t>
            </w:r>
          </w:p>
        </w:tc>
        <w:tc>
          <w:tcPr>
            <w:tcW w:w="1843" w:type="dxa"/>
          </w:tcPr>
          <w:p>
            <w:pPr>
              <w:pStyle w:val="TableParagraph"/>
              <w:tabs>
                <w:tab w:pos="734" w:val="left" w:leader="none"/>
              </w:tabs>
              <w:spacing w:before="45"/>
              <w:ind w:right="-29"/>
              <w:jc w:val="right"/>
              <w:rPr>
                <w:b/>
                <w:sz w:val="20"/>
              </w:rPr>
            </w:pPr>
            <w:r>
              <w:rPr>
                <w:rFonts w:ascii="Times New Roman"/>
                <w:color w:val="000000"/>
                <w:sz w:val="20"/>
                <w:shd w:fill="DDEBF6" w:color="auto" w:val="clear"/>
              </w:rPr>
              <w:tab/>
            </w:r>
            <w:r>
              <w:rPr>
                <w:b/>
                <w:color w:val="000000"/>
                <w:spacing w:val="-2"/>
                <w:sz w:val="20"/>
                <w:shd w:fill="DDEBF6" w:color="auto" w:val="clear"/>
              </w:rPr>
              <w:t>39,874,150</w:t>
            </w:r>
            <w:r>
              <w:rPr>
                <w:b/>
                <w:color w:val="000000"/>
                <w:spacing w:val="80"/>
                <w:sz w:val="20"/>
                <w:shd w:fill="DDEBF6" w:color="auto" w:val="clear"/>
              </w:rPr>
              <w:t> </w:t>
            </w:r>
          </w:p>
        </w:tc>
        <w:tc>
          <w:tcPr>
            <w:tcW w:w="2096" w:type="dxa"/>
          </w:tcPr>
          <w:p>
            <w:pPr>
              <w:pStyle w:val="TableParagraph"/>
              <w:spacing w:before="45"/>
              <w:ind w:right="492"/>
              <w:jc w:val="right"/>
              <w:rPr>
                <w:sz w:val="20"/>
              </w:rPr>
            </w:pPr>
            <w:r>
              <w:rPr>
                <w:spacing w:val="-2"/>
                <w:sz w:val="20"/>
              </w:rPr>
              <w:t>669,770</w:t>
            </w:r>
          </w:p>
        </w:tc>
        <w:tc>
          <w:tcPr>
            <w:tcW w:w="1014" w:type="dxa"/>
            <w:tcBorders>
              <w:right w:val="single" w:sz="12" w:space="0" w:color="000000"/>
            </w:tcBorders>
          </w:tcPr>
          <w:p>
            <w:pPr>
              <w:pStyle w:val="TableParagraph"/>
              <w:spacing w:before="45"/>
              <w:ind w:right="75"/>
              <w:jc w:val="right"/>
              <w:rPr>
                <w:sz w:val="20"/>
              </w:rPr>
            </w:pPr>
            <w:r>
              <w:rPr>
                <w:spacing w:val="-2"/>
                <w:sz w:val="20"/>
              </w:rPr>
              <w:t>1.71%</w:t>
            </w:r>
          </w:p>
        </w:tc>
      </w:tr>
      <w:tr>
        <w:trPr>
          <w:trHeight w:val="301" w:hRule="atLeast"/>
        </w:trPr>
        <w:tc>
          <w:tcPr>
            <w:tcW w:w="3859" w:type="dxa"/>
            <w:tcBorders>
              <w:left w:val="single" w:sz="12" w:space="0" w:color="000000"/>
            </w:tcBorders>
          </w:tcPr>
          <w:p>
            <w:pPr>
              <w:pStyle w:val="TableParagraph"/>
              <w:spacing w:before="33"/>
              <w:ind w:left="327"/>
              <w:rPr>
                <w:sz w:val="20"/>
              </w:rPr>
            </w:pPr>
            <w:r>
              <w:rPr>
                <w:sz w:val="20"/>
              </w:rPr>
              <w:t>Vacant</w:t>
            </w:r>
            <w:r>
              <w:rPr>
                <w:spacing w:val="-5"/>
                <w:sz w:val="20"/>
              </w:rPr>
              <w:t> </w:t>
            </w:r>
            <w:r>
              <w:rPr>
                <w:spacing w:val="-4"/>
                <w:sz w:val="20"/>
              </w:rPr>
              <w:t>Land</w:t>
            </w:r>
          </w:p>
        </w:tc>
        <w:tc>
          <w:tcPr>
            <w:tcW w:w="1795" w:type="dxa"/>
          </w:tcPr>
          <w:p>
            <w:pPr>
              <w:pStyle w:val="TableParagraph"/>
              <w:spacing w:before="33"/>
              <w:ind w:right="90"/>
              <w:jc w:val="right"/>
              <w:rPr>
                <w:sz w:val="20"/>
              </w:rPr>
            </w:pPr>
            <w:r>
              <w:rPr>
                <w:spacing w:val="-2"/>
                <w:sz w:val="20"/>
              </w:rPr>
              <w:t>513,789</w:t>
            </w:r>
          </w:p>
        </w:tc>
        <w:tc>
          <w:tcPr>
            <w:tcW w:w="1843" w:type="dxa"/>
            <w:shd w:val="clear" w:color="auto" w:fill="DDEBF6"/>
          </w:tcPr>
          <w:p>
            <w:pPr>
              <w:pStyle w:val="TableParagraph"/>
              <w:spacing w:before="33"/>
              <w:ind w:right="93"/>
              <w:jc w:val="right"/>
              <w:rPr>
                <w:b/>
                <w:sz w:val="20"/>
              </w:rPr>
            </w:pPr>
            <w:r>
              <w:rPr>
                <w:b/>
                <w:spacing w:val="-2"/>
                <w:sz w:val="20"/>
              </w:rPr>
              <w:t>474,209</w:t>
            </w:r>
          </w:p>
        </w:tc>
        <w:tc>
          <w:tcPr>
            <w:tcW w:w="2096" w:type="dxa"/>
          </w:tcPr>
          <w:p>
            <w:pPr>
              <w:pStyle w:val="TableParagraph"/>
              <w:spacing w:before="33"/>
              <w:ind w:right="491"/>
              <w:jc w:val="right"/>
              <w:rPr>
                <w:sz w:val="20"/>
              </w:rPr>
            </w:pPr>
            <w:r>
              <w:rPr>
                <w:spacing w:val="-2"/>
                <w:sz w:val="20"/>
              </w:rPr>
              <w:t>(39,580)</w:t>
            </w:r>
          </w:p>
        </w:tc>
        <w:tc>
          <w:tcPr>
            <w:tcW w:w="1014" w:type="dxa"/>
            <w:tcBorders>
              <w:right w:val="single" w:sz="12" w:space="0" w:color="000000"/>
            </w:tcBorders>
          </w:tcPr>
          <w:p>
            <w:pPr>
              <w:pStyle w:val="TableParagraph"/>
              <w:spacing w:before="33"/>
              <w:ind w:right="77"/>
              <w:jc w:val="right"/>
              <w:rPr>
                <w:sz w:val="20"/>
              </w:rPr>
            </w:pPr>
            <w:r>
              <w:rPr>
                <w:spacing w:val="-2"/>
                <w:sz w:val="20"/>
              </w:rPr>
              <w:t>(7.70%)</w:t>
            </w:r>
          </w:p>
        </w:tc>
      </w:tr>
      <w:tr>
        <w:trPr>
          <w:trHeight w:val="299" w:hRule="atLeast"/>
        </w:trPr>
        <w:tc>
          <w:tcPr>
            <w:tcW w:w="3859" w:type="dxa"/>
            <w:tcBorders>
              <w:left w:val="single" w:sz="12" w:space="0" w:color="000000"/>
            </w:tcBorders>
          </w:tcPr>
          <w:p>
            <w:pPr>
              <w:pStyle w:val="TableParagraph"/>
              <w:spacing w:before="31"/>
              <w:ind w:left="327"/>
              <w:rPr>
                <w:sz w:val="20"/>
              </w:rPr>
            </w:pPr>
            <w:r>
              <w:rPr>
                <w:sz w:val="20"/>
              </w:rPr>
              <w:t>Commercial</w:t>
            </w:r>
            <w:r>
              <w:rPr>
                <w:spacing w:val="-9"/>
                <w:sz w:val="20"/>
              </w:rPr>
              <w:t> </w:t>
            </w:r>
            <w:r>
              <w:rPr>
                <w:spacing w:val="-4"/>
                <w:sz w:val="20"/>
              </w:rPr>
              <w:t>Land</w:t>
            </w:r>
          </w:p>
        </w:tc>
        <w:tc>
          <w:tcPr>
            <w:tcW w:w="1795" w:type="dxa"/>
          </w:tcPr>
          <w:p>
            <w:pPr>
              <w:pStyle w:val="TableParagraph"/>
              <w:spacing w:before="31"/>
              <w:ind w:right="90"/>
              <w:jc w:val="right"/>
              <w:rPr>
                <w:sz w:val="20"/>
              </w:rPr>
            </w:pPr>
            <w:r>
              <w:rPr>
                <w:spacing w:val="-2"/>
                <w:sz w:val="20"/>
              </w:rPr>
              <w:t>3,305,058</w:t>
            </w:r>
          </w:p>
        </w:tc>
        <w:tc>
          <w:tcPr>
            <w:tcW w:w="1843" w:type="dxa"/>
            <w:shd w:val="clear" w:color="auto" w:fill="DDEBF6"/>
          </w:tcPr>
          <w:p>
            <w:pPr>
              <w:pStyle w:val="TableParagraph"/>
              <w:spacing w:before="31"/>
              <w:ind w:right="92"/>
              <w:jc w:val="right"/>
              <w:rPr>
                <w:b/>
                <w:sz w:val="20"/>
              </w:rPr>
            </w:pPr>
            <w:r>
              <w:rPr>
                <w:b/>
                <w:spacing w:val="-2"/>
                <w:sz w:val="20"/>
              </w:rPr>
              <w:t>3,334,238</w:t>
            </w:r>
          </w:p>
        </w:tc>
        <w:tc>
          <w:tcPr>
            <w:tcW w:w="2096" w:type="dxa"/>
          </w:tcPr>
          <w:p>
            <w:pPr>
              <w:pStyle w:val="TableParagraph"/>
              <w:spacing w:before="31"/>
              <w:ind w:right="492"/>
              <w:jc w:val="right"/>
              <w:rPr>
                <w:sz w:val="20"/>
              </w:rPr>
            </w:pPr>
            <w:r>
              <w:rPr>
                <w:spacing w:val="-2"/>
                <w:sz w:val="20"/>
              </w:rPr>
              <w:t>29,181</w:t>
            </w:r>
          </w:p>
        </w:tc>
        <w:tc>
          <w:tcPr>
            <w:tcW w:w="1014" w:type="dxa"/>
            <w:tcBorders>
              <w:right w:val="single" w:sz="12" w:space="0" w:color="000000"/>
            </w:tcBorders>
          </w:tcPr>
          <w:p>
            <w:pPr>
              <w:pStyle w:val="TableParagraph"/>
              <w:spacing w:before="31"/>
              <w:ind w:right="75"/>
              <w:jc w:val="right"/>
              <w:rPr>
                <w:sz w:val="20"/>
              </w:rPr>
            </w:pPr>
            <w:r>
              <w:rPr>
                <w:spacing w:val="-2"/>
                <w:sz w:val="20"/>
              </w:rPr>
              <w:t>0.88%</w:t>
            </w:r>
          </w:p>
        </w:tc>
      </w:tr>
      <w:tr>
        <w:trPr>
          <w:trHeight w:val="300" w:hRule="atLeast"/>
        </w:trPr>
        <w:tc>
          <w:tcPr>
            <w:tcW w:w="3859" w:type="dxa"/>
            <w:tcBorders>
              <w:left w:val="single" w:sz="12" w:space="0" w:color="000000"/>
            </w:tcBorders>
          </w:tcPr>
          <w:p>
            <w:pPr>
              <w:pStyle w:val="TableParagraph"/>
              <w:spacing w:before="31"/>
              <w:ind w:left="327"/>
              <w:rPr>
                <w:sz w:val="20"/>
              </w:rPr>
            </w:pPr>
            <w:r>
              <w:rPr>
                <w:sz w:val="20"/>
              </w:rPr>
              <w:t>Industrial</w:t>
            </w:r>
            <w:r>
              <w:rPr>
                <w:spacing w:val="-9"/>
                <w:sz w:val="20"/>
              </w:rPr>
              <w:t> </w:t>
            </w:r>
            <w:r>
              <w:rPr>
                <w:spacing w:val="-4"/>
                <w:sz w:val="20"/>
              </w:rPr>
              <w:t>Land</w:t>
            </w:r>
          </w:p>
        </w:tc>
        <w:tc>
          <w:tcPr>
            <w:tcW w:w="1795" w:type="dxa"/>
          </w:tcPr>
          <w:p>
            <w:pPr>
              <w:pStyle w:val="TableParagraph"/>
              <w:spacing w:before="31"/>
              <w:ind w:right="90"/>
              <w:jc w:val="right"/>
              <w:rPr>
                <w:sz w:val="20"/>
              </w:rPr>
            </w:pPr>
            <w:r>
              <w:rPr>
                <w:spacing w:val="-2"/>
                <w:sz w:val="20"/>
              </w:rPr>
              <w:t>2,654,833</w:t>
            </w:r>
          </w:p>
        </w:tc>
        <w:tc>
          <w:tcPr>
            <w:tcW w:w="1843" w:type="dxa"/>
            <w:shd w:val="clear" w:color="auto" w:fill="DDEBF6"/>
          </w:tcPr>
          <w:p>
            <w:pPr>
              <w:pStyle w:val="TableParagraph"/>
              <w:spacing w:before="31"/>
              <w:ind w:right="92"/>
              <w:jc w:val="right"/>
              <w:rPr>
                <w:b/>
                <w:sz w:val="20"/>
              </w:rPr>
            </w:pPr>
            <w:r>
              <w:rPr>
                <w:b/>
                <w:spacing w:val="-2"/>
                <w:sz w:val="20"/>
              </w:rPr>
              <w:t>2,754,141</w:t>
            </w:r>
          </w:p>
        </w:tc>
        <w:tc>
          <w:tcPr>
            <w:tcW w:w="2096" w:type="dxa"/>
          </w:tcPr>
          <w:p>
            <w:pPr>
              <w:pStyle w:val="TableParagraph"/>
              <w:spacing w:before="31"/>
              <w:ind w:right="492"/>
              <w:jc w:val="right"/>
              <w:rPr>
                <w:sz w:val="20"/>
              </w:rPr>
            </w:pPr>
            <w:r>
              <w:rPr>
                <w:spacing w:val="-2"/>
                <w:sz w:val="20"/>
              </w:rPr>
              <w:t>99,308</w:t>
            </w:r>
          </w:p>
        </w:tc>
        <w:tc>
          <w:tcPr>
            <w:tcW w:w="1014" w:type="dxa"/>
            <w:tcBorders>
              <w:right w:val="single" w:sz="12" w:space="0" w:color="000000"/>
            </w:tcBorders>
          </w:tcPr>
          <w:p>
            <w:pPr>
              <w:pStyle w:val="TableParagraph"/>
              <w:spacing w:before="31"/>
              <w:ind w:right="75"/>
              <w:jc w:val="right"/>
              <w:rPr>
                <w:sz w:val="20"/>
              </w:rPr>
            </w:pPr>
            <w:r>
              <w:rPr>
                <w:spacing w:val="-2"/>
                <w:sz w:val="20"/>
              </w:rPr>
              <w:t>3.74%</w:t>
            </w:r>
          </w:p>
        </w:tc>
      </w:tr>
      <w:tr>
        <w:trPr>
          <w:trHeight w:val="303" w:hRule="atLeast"/>
        </w:trPr>
        <w:tc>
          <w:tcPr>
            <w:tcW w:w="3859" w:type="dxa"/>
            <w:tcBorders>
              <w:left w:val="single" w:sz="12" w:space="0" w:color="000000"/>
            </w:tcBorders>
          </w:tcPr>
          <w:p>
            <w:pPr>
              <w:pStyle w:val="TableParagraph"/>
              <w:spacing w:before="31"/>
              <w:ind w:left="327"/>
              <w:rPr>
                <w:sz w:val="20"/>
              </w:rPr>
            </w:pPr>
            <w:r>
              <w:rPr>
                <w:sz w:val="20"/>
              </w:rPr>
              <w:t>Derelict</w:t>
            </w:r>
            <w:r>
              <w:rPr>
                <w:spacing w:val="-6"/>
                <w:sz w:val="20"/>
              </w:rPr>
              <w:t> </w:t>
            </w:r>
            <w:r>
              <w:rPr>
                <w:spacing w:val="-4"/>
                <w:sz w:val="20"/>
              </w:rPr>
              <w:t>Land</w:t>
            </w:r>
          </w:p>
        </w:tc>
        <w:tc>
          <w:tcPr>
            <w:tcW w:w="1795" w:type="dxa"/>
          </w:tcPr>
          <w:p>
            <w:pPr>
              <w:pStyle w:val="TableParagraph"/>
              <w:spacing w:before="31"/>
              <w:ind w:right="92"/>
              <w:jc w:val="right"/>
              <w:rPr>
                <w:sz w:val="20"/>
              </w:rPr>
            </w:pPr>
            <w:r>
              <w:rPr>
                <w:w w:val="99"/>
                <w:sz w:val="20"/>
              </w:rPr>
              <w:t>-</w:t>
            </w:r>
          </w:p>
        </w:tc>
        <w:tc>
          <w:tcPr>
            <w:tcW w:w="1843" w:type="dxa"/>
            <w:shd w:val="clear" w:color="auto" w:fill="DDEBF6"/>
          </w:tcPr>
          <w:p>
            <w:pPr>
              <w:pStyle w:val="TableParagraph"/>
              <w:spacing w:before="31"/>
              <w:ind w:right="91"/>
              <w:jc w:val="right"/>
              <w:rPr>
                <w:sz w:val="20"/>
              </w:rPr>
            </w:pPr>
            <w:r>
              <w:rPr>
                <w:w w:val="99"/>
                <w:sz w:val="20"/>
              </w:rPr>
              <w:t>-</w:t>
            </w:r>
          </w:p>
        </w:tc>
        <w:tc>
          <w:tcPr>
            <w:tcW w:w="2096" w:type="dxa"/>
          </w:tcPr>
          <w:p>
            <w:pPr>
              <w:pStyle w:val="TableParagraph"/>
              <w:spacing w:before="31"/>
              <w:ind w:right="491"/>
              <w:jc w:val="right"/>
              <w:rPr>
                <w:sz w:val="20"/>
              </w:rPr>
            </w:pPr>
            <w:r>
              <w:rPr>
                <w:w w:val="99"/>
                <w:sz w:val="20"/>
              </w:rPr>
              <w:t>-</w:t>
            </w:r>
          </w:p>
        </w:tc>
        <w:tc>
          <w:tcPr>
            <w:tcW w:w="1014" w:type="dxa"/>
            <w:tcBorders>
              <w:right w:val="single" w:sz="12" w:space="0" w:color="000000"/>
            </w:tcBorders>
          </w:tcPr>
          <w:p>
            <w:pPr>
              <w:pStyle w:val="TableParagraph"/>
              <w:spacing w:before="31"/>
              <w:ind w:right="75"/>
              <w:jc w:val="right"/>
              <w:rPr>
                <w:sz w:val="20"/>
              </w:rPr>
            </w:pPr>
            <w:r>
              <w:rPr>
                <w:spacing w:val="-2"/>
                <w:sz w:val="20"/>
              </w:rPr>
              <w:t>0.00%</w:t>
            </w:r>
          </w:p>
        </w:tc>
      </w:tr>
      <w:tr>
        <w:trPr>
          <w:trHeight w:val="310" w:hRule="atLeast"/>
        </w:trPr>
        <w:tc>
          <w:tcPr>
            <w:tcW w:w="3859" w:type="dxa"/>
            <w:tcBorders>
              <w:left w:val="single" w:sz="12" w:space="0" w:color="000000"/>
            </w:tcBorders>
          </w:tcPr>
          <w:p>
            <w:pPr>
              <w:pStyle w:val="TableParagraph"/>
              <w:spacing w:before="35"/>
              <w:ind w:left="107"/>
              <w:rPr>
                <w:sz w:val="20"/>
              </w:rPr>
            </w:pPr>
            <w:r>
              <w:rPr>
                <w:sz w:val="20"/>
              </w:rPr>
              <w:t>Cultural</w:t>
            </w:r>
            <w:r>
              <w:rPr>
                <w:spacing w:val="-7"/>
                <w:sz w:val="20"/>
              </w:rPr>
              <w:t> </w:t>
            </w:r>
            <w:r>
              <w:rPr>
                <w:sz w:val="20"/>
              </w:rPr>
              <w:t>and</w:t>
            </w:r>
            <w:r>
              <w:rPr>
                <w:spacing w:val="-8"/>
                <w:sz w:val="20"/>
              </w:rPr>
              <w:t> </w:t>
            </w:r>
            <w:r>
              <w:rPr>
                <w:sz w:val="20"/>
              </w:rPr>
              <w:t>Recreational</w:t>
            </w:r>
            <w:r>
              <w:rPr>
                <w:spacing w:val="-7"/>
                <w:sz w:val="20"/>
              </w:rPr>
              <w:t> </w:t>
            </w:r>
            <w:r>
              <w:rPr>
                <w:sz w:val="20"/>
              </w:rPr>
              <w:t>Lands</w:t>
            </w:r>
            <w:r>
              <w:rPr>
                <w:spacing w:val="-7"/>
                <w:sz w:val="20"/>
              </w:rPr>
              <w:t> </w:t>
            </w:r>
            <w:r>
              <w:rPr>
                <w:spacing w:val="-5"/>
                <w:sz w:val="20"/>
              </w:rPr>
              <w:t>Act</w:t>
            </w:r>
          </w:p>
        </w:tc>
        <w:tc>
          <w:tcPr>
            <w:tcW w:w="1795" w:type="dxa"/>
          </w:tcPr>
          <w:p>
            <w:pPr>
              <w:pStyle w:val="TableParagraph"/>
              <w:spacing w:before="35"/>
              <w:ind w:right="90"/>
              <w:jc w:val="right"/>
              <w:rPr>
                <w:sz w:val="20"/>
              </w:rPr>
            </w:pPr>
            <w:r>
              <w:rPr>
                <w:spacing w:val="-2"/>
                <w:sz w:val="20"/>
              </w:rPr>
              <w:t>15,200</w:t>
            </w:r>
          </w:p>
        </w:tc>
        <w:tc>
          <w:tcPr>
            <w:tcW w:w="1843" w:type="dxa"/>
            <w:shd w:val="clear" w:color="auto" w:fill="DDEBF6"/>
          </w:tcPr>
          <w:p>
            <w:pPr>
              <w:pStyle w:val="TableParagraph"/>
              <w:spacing w:before="35"/>
              <w:ind w:right="93"/>
              <w:jc w:val="right"/>
              <w:rPr>
                <w:b/>
                <w:sz w:val="20"/>
              </w:rPr>
            </w:pPr>
            <w:r>
              <w:rPr>
                <w:b/>
                <w:spacing w:val="-2"/>
                <w:sz w:val="20"/>
              </w:rPr>
              <w:t>14,500</w:t>
            </w:r>
          </w:p>
        </w:tc>
        <w:tc>
          <w:tcPr>
            <w:tcW w:w="2096" w:type="dxa"/>
          </w:tcPr>
          <w:p>
            <w:pPr>
              <w:pStyle w:val="TableParagraph"/>
              <w:spacing w:before="35"/>
              <w:ind w:right="494"/>
              <w:jc w:val="right"/>
              <w:rPr>
                <w:sz w:val="20"/>
              </w:rPr>
            </w:pPr>
            <w:r>
              <w:rPr>
                <w:spacing w:val="-2"/>
                <w:sz w:val="20"/>
              </w:rPr>
              <w:t>(700)</w:t>
            </w:r>
          </w:p>
        </w:tc>
        <w:tc>
          <w:tcPr>
            <w:tcW w:w="1014" w:type="dxa"/>
            <w:tcBorders>
              <w:right w:val="single" w:sz="12" w:space="0" w:color="000000"/>
            </w:tcBorders>
          </w:tcPr>
          <w:p>
            <w:pPr>
              <w:pStyle w:val="TableParagraph"/>
              <w:spacing w:before="35"/>
              <w:ind w:right="77"/>
              <w:jc w:val="right"/>
              <w:rPr>
                <w:sz w:val="20"/>
              </w:rPr>
            </w:pPr>
            <w:r>
              <w:rPr>
                <w:spacing w:val="-2"/>
                <w:sz w:val="20"/>
              </w:rPr>
              <w:t>(4.61%)</w:t>
            </w:r>
          </w:p>
        </w:tc>
      </w:tr>
      <w:tr>
        <w:trPr>
          <w:trHeight w:val="314" w:hRule="atLeast"/>
        </w:trPr>
        <w:tc>
          <w:tcPr>
            <w:tcW w:w="3859" w:type="dxa"/>
            <w:tcBorders>
              <w:left w:val="single" w:sz="12" w:space="0" w:color="000000"/>
              <w:bottom w:val="single" w:sz="12" w:space="0" w:color="000000"/>
            </w:tcBorders>
          </w:tcPr>
          <w:p>
            <w:pPr>
              <w:pStyle w:val="TableParagraph"/>
              <w:spacing w:before="38"/>
              <w:ind w:left="327"/>
              <w:rPr>
                <w:b/>
                <w:sz w:val="20"/>
              </w:rPr>
            </w:pPr>
            <w:r>
              <w:rPr>
                <w:b/>
                <w:sz w:val="20"/>
              </w:rPr>
              <w:t>Total</w:t>
            </w:r>
            <w:r>
              <w:rPr>
                <w:b/>
                <w:spacing w:val="-7"/>
                <w:sz w:val="20"/>
              </w:rPr>
              <w:t> </w:t>
            </w:r>
            <w:r>
              <w:rPr>
                <w:b/>
                <w:sz w:val="20"/>
              </w:rPr>
              <w:t>Value</w:t>
            </w:r>
            <w:r>
              <w:rPr>
                <w:b/>
                <w:spacing w:val="-6"/>
                <w:sz w:val="20"/>
              </w:rPr>
              <w:t> </w:t>
            </w:r>
            <w:r>
              <w:rPr>
                <w:b/>
                <w:sz w:val="20"/>
              </w:rPr>
              <w:t>of</w:t>
            </w:r>
            <w:r>
              <w:rPr>
                <w:b/>
                <w:spacing w:val="-2"/>
                <w:sz w:val="20"/>
              </w:rPr>
              <w:t> </w:t>
            </w:r>
            <w:r>
              <w:rPr>
                <w:b/>
                <w:spacing w:val="-4"/>
                <w:sz w:val="20"/>
              </w:rPr>
              <w:t>Land</w:t>
            </w:r>
          </w:p>
        </w:tc>
        <w:tc>
          <w:tcPr>
            <w:tcW w:w="1795" w:type="dxa"/>
            <w:tcBorders>
              <w:bottom w:val="single" w:sz="12" w:space="0" w:color="000000"/>
            </w:tcBorders>
          </w:tcPr>
          <w:p>
            <w:pPr>
              <w:pStyle w:val="TableParagraph"/>
              <w:spacing w:before="38"/>
              <w:ind w:right="90"/>
              <w:jc w:val="right"/>
              <w:rPr>
                <w:b/>
                <w:sz w:val="20"/>
              </w:rPr>
            </w:pPr>
            <w:r>
              <w:rPr>
                <w:b/>
                <w:spacing w:val="-2"/>
                <w:sz w:val="20"/>
              </w:rPr>
              <w:t>45,693,259</w:t>
            </w:r>
          </w:p>
        </w:tc>
        <w:tc>
          <w:tcPr>
            <w:tcW w:w="1843" w:type="dxa"/>
            <w:tcBorders>
              <w:bottom w:val="single" w:sz="12" w:space="0" w:color="000000"/>
            </w:tcBorders>
            <w:shd w:val="clear" w:color="auto" w:fill="DDEBF6"/>
          </w:tcPr>
          <w:p>
            <w:pPr>
              <w:pStyle w:val="TableParagraph"/>
              <w:spacing w:before="38"/>
              <w:ind w:right="92"/>
              <w:jc w:val="right"/>
              <w:rPr>
                <w:b/>
                <w:sz w:val="20"/>
              </w:rPr>
            </w:pPr>
            <w:r>
              <w:rPr>
                <w:b/>
                <w:spacing w:val="-2"/>
                <w:sz w:val="20"/>
              </w:rPr>
              <w:t>46,451,238</w:t>
            </w:r>
          </w:p>
        </w:tc>
        <w:tc>
          <w:tcPr>
            <w:tcW w:w="2096" w:type="dxa"/>
            <w:tcBorders>
              <w:bottom w:val="single" w:sz="12" w:space="0" w:color="000000"/>
            </w:tcBorders>
          </w:tcPr>
          <w:p>
            <w:pPr>
              <w:pStyle w:val="TableParagraph"/>
              <w:spacing w:before="38"/>
              <w:ind w:right="492"/>
              <w:jc w:val="right"/>
              <w:rPr>
                <w:b/>
                <w:sz w:val="20"/>
              </w:rPr>
            </w:pPr>
            <w:r>
              <w:rPr>
                <w:b/>
                <w:spacing w:val="-2"/>
                <w:sz w:val="20"/>
              </w:rPr>
              <w:t>757,979</w:t>
            </w:r>
          </w:p>
        </w:tc>
        <w:tc>
          <w:tcPr>
            <w:tcW w:w="1014" w:type="dxa"/>
            <w:tcBorders>
              <w:bottom w:val="single" w:sz="12" w:space="0" w:color="000000"/>
              <w:right w:val="single" w:sz="12" w:space="0" w:color="000000"/>
            </w:tcBorders>
          </w:tcPr>
          <w:p>
            <w:pPr>
              <w:pStyle w:val="TableParagraph"/>
              <w:spacing w:before="38"/>
              <w:ind w:right="73"/>
              <w:jc w:val="right"/>
              <w:rPr>
                <w:b/>
                <w:sz w:val="20"/>
              </w:rPr>
            </w:pPr>
            <w:r>
              <w:rPr>
                <w:b/>
                <w:spacing w:val="-2"/>
                <w:sz w:val="20"/>
              </w:rPr>
              <w:t>1.66%</w:t>
            </w:r>
          </w:p>
        </w:tc>
      </w:tr>
    </w:tbl>
    <w:p>
      <w:pPr>
        <w:pStyle w:val="BodyText"/>
        <w:spacing w:before="7"/>
        <w:rPr>
          <w:sz w:val="21"/>
        </w:rPr>
      </w:pPr>
    </w:p>
    <w:p>
      <w:pPr>
        <w:pStyle w:val="BodyText"/>
        <w:spacing w:line="252" w:lineRule="exact"/>
        <w:ind w:left="260"/>
      </w:pPr>
      <w:r>
        <w:rPr/>
        <w:t>4.1.1(g)</w:t>
      </w:r>
      <w:r>
        <w:rPr>
          <w:spacing w:val="-6"/>
        </w:rPr>
        <w:t> </w:t>
      </w:r>
      <w:r>
        <w:rPr/>
        <w:t>The</w:t>
      </w:r>
      <w:r>
        <w:rPr>
          <w:spacing w:val="-5"/>
        </w:rPr>
        <w:t> </w:t>
      </w:r>
      <w:r>
        <w:rPr/>
        <w:t>municipal</w:t>
      </w:r>
      <w:r>
        <w:rPr>
          <w:spacing w:val="-3"/>
        </w:rPr>
        <w:t> </w:t>
      </w:r>
      <w:r>
        <w:rPr/>
        <w:t>charge</w:t>
      </w:r>
      <w:r>
        <w:rPr>
          <w:spacing w:val="-4"/>
        </w:rPr>
        <w:t> </w:t>
      </w:r>
      <w:r>
        <w:rPr/>
        <w:t>under</w:t>
      </w:r>
      <w:r>
        <w:rPr>
          <w:spacing w:val="-2"/>
        </w:rPr>
        <w:t> </w:t>
      </w:r>
      <w:r>
        <w:rPr/>
        <w:t>Section</w:t>
      </w:r>
      <w:r>
        <w:rPr>
          <w:spacing w:val="-3"/>
        </w:rPr>
        <w:t> </w:t>
      </w:r>
      <w:r>
        <w:rPr/>
        <w:t>159</w:t>
      </w:r>
      <w:r>
        <w:rPr>
          <w:spacing w:val="-5"/>
        </w:rPr>
        <w:t> </w:t>
      </w:r>
      <w:r>
        <w:rPr/>
        <w:t>of</w:t>
      </w:r>
      <w:r>
        <w:rPr>
          <w:spacing w:val="-4"/>
        </w:rPr>
        <w:t> </w:t>
      </w:r>
      <w:r>
        <w:rPr/>
        <w:t>the</w:t>
      </w:r>
      <w:r>
        <w:rPr>
          <w:spacing w:val="-4"/>
        </w:rPr>
        <w:t> </w:t>
      </w:r>
      <w:r>
        <w:rPr/>
        <w:t>Act</w:t>
      </w:r>
      <w:r>
        <w:rPr>
          <w:spacing w:val="-5"/>
        </w:rPr>
        <w:t> </w:t>
      </w:r>
      <w:r>
        <w:rPr/>
        <w:t>compared</w:t>
      </w:r>
      <w:r>
        <w:rPr>
          <w:spacing w:val="-4"/>
        </w:rPr>
        <w:t> </w:t>
      </w:r>
      <w:r>
        <w:rPr/>
        <w:t>with</w:t>
      </w:r>
      <w:r>
        <w:rPr>
          <w:spacing w:val="-3"/>
        </w:rPr>
        <w:t> </w:t>
      </w:r>
      <w:r>
        <w:rPr/>
        <w:t>the</w:t>
      </w:r>
      <w:r>
        <w:rPr>
          <w:spacing w:val="-4"/>
        </w:rPr>
        <w:t> </w:t>
      </w:r>
      <w:r>
        <w:rPr/>
        <w:t>previous</w:t>
      </w:r>
      <w:r>
        <w:rPr>
          <w:spacing w:val="-5"/>
        </w:rPr>
        <w:t> </w:t>
      </w:r>
      <w:r>
        <w:rPr/>
        <w:t>financial</w:t>
      </w:r>
      <w:r>
        <w:rPr>
          <w:spacing w:val="-3"/>
        </w:rPr>
        <w:t> </w:t>
      </w:r>
      <w:r>
        <w:rPr>
          <w:spacing w:val="-2"/>
        </w:rPr>
        <w:t>year.</w:t>
      </w:r>
    </w:p>
    <w:p>
      <w:pPr>
        <w:pStyle w:val="BodyText"/>
        <w:spacing w:line="252" w:lineRule="exact"/>
        <w:ind w:left="827"/>
      </w:pPr>
      <w:r>
        <w:rPr/>
        <w:t>Maroondah</w:t>
      </w:r>
      <w:r>
        <w:rPr>
          <w:spacing w:val="-8"/>
        </w:rPr>
        <w:t> </w:t>
      </w:r>
      <w:r>
        <w:rPr/>
        <w:t>City</w:t>
      </w:r>
      <w:r>
        <w:rPr>
          <w:spacing w:val="-3"/>
        </w:rPr>
        <w:t> </w:t>
      </w:r>
      <w:r>
        <w:rPr/>
        <w:t>Council</w:t>
      </w:r>
      <w:r>
        <w:rPr>
          <w:spacing w:val="-6"/>
        </w:rPr>
        <w:t> </w:t>
      </w:r>
      <w:r>
        <w:rPr/>
        <w:t>does</w:t>
      </w:r>
      <w:r>
        <w:rPr>
          <w:spacing w:val="-1"/>
        </w:rPr>
        <w:t> </w:t>
      </w:r>
      <w:r>
        <w:rPr/>
        <w:t>not</w:t>
      </w:r>
      <w:r>
        <w:rPr>
          <w:spacing w:val="-4"/>
        </w:rPr>
        <w:t> </w:t>
      </w:r>
      <w:r>
        <w:rPr/>
        <w:t>apply</w:t>
      </w:r>
      <w:r>
        <w:rPr>
          <w:spacing w:val="-4"/>
        </w:rPr>
        <w:t> </w:t>
      </w:r>
      <w:r>
        <w:rPr/>
        <w:t>a</w:t>
      </w:r>
      <w:r>
        <w:rPr>
          <w:spacing w:val="-5"/>
        </w:rPr>
        <w:t> </w:t>
      </w:r>
      <w:r>
        <w:rPr/>
        <w:t>municipal</w:t>
      </w:r>
      <w:r>
        <w:rPr>
          <w:spacing w:val="-3"/>
        </w:rPr>
        <w:t> </w:t>
      </w:r>
      <w:r>
        <w:rPr>
          <w:spacing w:val="-2"/>
        </w:rPr>
        <w:t>charge.</w:t>
      </w:r>
    </w:p>
    <w:p>
      <w:pPr>
        <w:pStyle w:val="BodyText"/>
      </w:pPr>
    </w:p>
    <w:p>
      <w:pPr>
        <w:pStyle w:val="BodyText"/>
        <w:spacing w:before="1"/>
        <w:ind w:left="826" w:right="449" w:hanging="567"/>
      </w:pPr>
      <w:r>
        <w:rPr/>
        <w:t>4.1.1(h) The</w:t>
      </w:r>
      <w:r>
        <w:rPr>
          <w:spacing w:val="-1"/>
        </w:rPr>
        <w:t> </w:t>
      </w:r>
      <w:r>
        <w:rPr/>
        <w:t>estimated</w:t>
      </w:r>
      <w:r>
        <w:rPr>
          <w:spacing w:val="-4"/>
        </w:rPr>
        <w:t> </w:t>
      </w:r>
      <w:r>
        <w:rPr/>
        <w:t>total amount</w:t>
      </w:r>
      <w:r>
        <w:rPr>
          <w:spacing w:val="-1"/>
        </w:rPr>
        <w:t> </w:t>
      </w:r>
      <w:r>
        <w:rPr/>
        <w:t>to</w:t>
      </w:r>
      <w:r>
        <w:rPr>
          <w:spacing w:val="-1"/>
        </w:rPr>
        <w:t> </w:t>
      </w:r>
      <w:r>
        <w:rPr/>
        <w:t>be</w:t>
      </w:r>
      <w:r>
        <w:rPr>
          <w:spacing w:val="-2"/>
        </w:rPr>
        <w:t> </w:t>
      </w:r>
      <w:r>
        <w:rPr/>
        <w:t>raised</w:t>
      </w:r>
      <w:r>
        <w:rPr>
          <w:spacing w:val="-3"/>
        </w:rPr>
        <w:t> </w:t>
      </w:r>
      <w:r>
        <w:rPr/>
        <w:t>by</w:t>
      </w:r>
      <w:r>
        <w:rPr>
          <w:spacing w:val="-2"/>
        </w:rPr>
        <w:t> </w:t>
      </w:r>
      <w:r>
        <w:rPr/>
        <w:t>municipal charges compared</w:t>
      </w:r>
      <w:r>
        <w:rPr>
          <w:spacing w:val="-1"/>
        </w:rPr>
        <w:t> </w:t>
      </w:r>
      <w:r>
        <w:rPr/>
        <w:t>with</w:t>
      </w:r>
      <w:r>
        <w:rPr>
          <w:spacing w:val="-1"/>
        </w:rPr>
        <w:t> </w:t>
      </w:r>
      <w:r>
        <w:rPr/>
        <w:t>the</w:t>
      </w:r>
      <w:r>
        <w:rPr>
          <w:spacing w:val="-1"/>
        </w:rPr>
        <w:t> </w:t>
      </w:r>
      <w:r>
        <w:rPr/>
        <w:t>previous financial year. Maroondah City Council does not apply a municipal charge.</w:t>
      </w:r>
    </w:p>
    <w:p>
      <w:pPr>
        <w:spacing w:after="0"/>
        <w:sectPr>
          <w:pgSz w:w="11910" w:h="16840"/>
          <w:pgMar w:header="0" w:footer="375" w:top="620" w:bottom="560" w:left="460" w:right="160"/>
        </w:sectPr>
      </w:pPr>
    </w:p>
    <w:p>
      <w:pPr>
        <w:pStyle w:val="BodyText"/>
        <w:spacing w:before="81"/>
        <w:ind w:left="826" w:right="449" w:hanging="567"/>
      </w:pPr>
      <w:r>
        <w:rPr/>
        <w:t>4.1.1(i) The</w:t>
      </w:r>
      <w:r>
        <w:rPr>
          <w:spacing w:val="-1"/>
        </w:rPr>
        <w:t> </w:t>
      </w:r>
      <w:r>
        <w:rPr/>
        <w:t>rate</w:t>
      </w:r>
      <w:r>
        <w:rPr>
          <w:spacing w:val="-3"/>
        </w:rPr>
        <w:t> </w:t>
      </w:r>
      <w:r>
        <w:rPr/>
        <w:t>or</w:t>
      </w:r>
      <w:r>
        <w:rPr>
          <w:spacing w:val="-1"/>
        </w:rPr>
        <w:t> </w:t>
      </w:r>
      <w:r>
        <w:rPr/>
        <w:t>unit</w:t>
      </w:r>
      <w:r>
        <w:rPr>
          <w:spacing w:val="-1"/>
        </w:rPr>
        <w:t> </w:t>
      </w:r>
      <w:r>
        <w:rPr/>
        <w:t>amount</w:t>
      </w:r>
      <w:r>
        <w:rPr>
          <w:spacing w:val="-1"/>
        </w:rPr>
        <w:t> </w:t>
      </w:r>
      <w:r>
        <w:rPr/>
        <w:t>to be levied</w:t>
      </w:r>
      <w:r>
        <w:rPr>
          <w:spacing w:val="-1"/>
        </w:rPr>
        <w:t> </w:t>
      </w:r>
      <w:r>
        <w:rPr/>
        <w:t>for each</w:t>
      </w:r>
      <w:r>
        <w:rPr>
          <w:spacing w:val="-3"/>
        </w:rPr>
        <w:t> </w:t>
      </w:r>
      <w:r>
        <w:rPr/>
        <w:t>type</w:t>
      </w:r>
      <w:r>
        <w:rPr>
          <w:spacing w:val="-1"/>
        </w:rPr>
        <w:t> </w:t>
      </w:r>
      <w:r>
        <w:rPr/>
        <w:t>of</w:t>
      </w:r>
      <w:r>
        <w:rPr>
          <w:spacing w:val="-1"/>
        </w:rPr>
        <w:t> </w:t>
      </w:r>
      <w:r>
        <w:rPr/>
        <w:t>service</w:t>
      </w:r>
      <w:r>
        <w:rPr>
          <w:spacing w:val="-3"/>
        </w:rPr>
        <w:t> </w:t>
      </w:r>
      <w:r>
        <w:rPr/>
        <w:t>rate</w:t>
      </w:r>
      <w:r>
        <w:rPr>
          <w:spacing w:val="-3"/>
        </w:rPr>
        <w:t> </w:t>
      </w:r>
      <w:r>
        <w:rPr/>
        <w:t>or</w:t>
      </w:r>
      <w:r>
        <w:rPr>
          <w:spacing w:val="-1"/>
        </w:rPr>
        <w:t> </w:t>
      </w:r>
      <w:r>
        <w:rPr/>
        <w:t>charge</w:t>
      </w:r>
      <w:r>
        <w:rPr>
          <w:spacing w:val="-1"/>
        </w:rPr>
        <w:t> </w:t>
      </w:r>
      <w:r>
        <w:rPr/>
        <w:t>under Section</w:t>
      </w:r>
      <w:r>
        <w:rPr>
          <w:spacing w:val="-1"/>
        </w:rPr>
        <w:t> </w:t>
      </w:r>
      <w:r>
        <w:rPr/>
        <w:t>162</w:t>
      </w:r>
      <w:r>
        <w:rPr>
          <w:spacing w:val="-1"/>
        </w:rPr>
        <w:t> </w:t>
      </w:r>
      <w:r>
        <w:rPr/>
        <w:t>of the Act compared with the previous financial year.</w:t>
      </w:r>
    </w:p>
    <w:p>
      <w:pPr>
        <w:pStyle w:val="BodyText"/>
      </w:pPr>
    </w:p>
    <w:tbl>
      <w:tblPr>
        <w:tblW w:w="0" w:type="auto"/>
        <w:jc w:val="left"/>
        <w:tblInd w:w="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43"/>
        <w:gridCol w:w="1258"/>
        <w:gridCol w:w="1514"/>
        <w:gridCol w:w="1877"/>
        <w:gridCol w:w="1145"/>
      </w:tblGrid>
      <w:tr>
        <w:trPr>
          <w:trHeight w:val="1073" w:hRule="atLeast"/>
        </w:trPr>
        <w:tc>
          <w:tcPr>
            <w:tcW w:w="10437" w:type="dxa"/>
            <w:gridSpan w:val="5"/>
            <w:tcBorders>
              <w:top w:val="single" w:sz="18" w:space="0" w:color="000000"/>
              <w:left w:val="single" w:sz="12" w:space="0" w:color="000000"/>
              <w:right w:val="single" w:sz="12" w:space="0" w:color="000000"/>
            </w:tcBorders>
            <w:shd w:val="clear" w:color="auto" w:fill="5B9AD4"/>
          </w:tcPr>
          <w:p>
            <w:pPr>
              <w:pStyle w:val="TableParagraph"/>
              <w:tabs>
                <w:tab w:pos="6112" w:val="left" w:leader="none"/>
              </w:tabs>
              <w:spacing w:before="23"/>
              <w:ind w:left="4595"/>
              <w:rPr>
                <w:b/>
                <w:sz w:val="18"/>
              </w:rPr>
            </w:pPr>
            <w:r>
              <w:rPr>
                <w:b/>
                <w:color w:val="FFFFFF"/>
                <w:sz w:val="18"/>
              </w:rPr>
              <w:t>Per </w:t>
            </w:r>
            <w:r>
              <w:rPr>
                <w:b/>
                <w:color w:val="FFFFFF"/>
                <w:spacing w:val="-2"/>
                <w:sz w:val="18"/>
              </w:rPr>
              <w:t>Rateable</w:t>
            </w:r>
            <w:r>
              <w:rPr>
                <w:b/>
                <w:color w:val="FFFFFF"/>
                <w:sz w:val="18"/>
              </w:rPr>
              <w:tab/>
              <w:t>Per </w:t>
            </w:r>
            <w:r>
              <w:rPr>
                <w:b/>
                <w:color w:val="FFFFFF"/>
                <w:spacing w:val="-2"/>
                <w:sz w:val="18"/>
              </w:rPr>
              <w:t>Rateable</w:t>
            </w:r>
          </w:p>
          <w:p>
            <w:pPr>
              <w:pStyle w:val="TableParagraph"/>
              <w:tabs>
                <w:tab w:pos="6287" w:val="left" w:leader="none"/>
                <w:tab w:pos="8596" w:val="left" w:leader="none"/>
              </w:tabs>
              <w:spacing w:line="226" w:lineRule="exact" w:before="2"/>
              <w:ind w:left="4770"/>
              <w:rPr>
                <w:b/>
                <w:sz w:val="18"/>
              </w:rPr>
            </w:pPr>
            <w:r>
              <w:rPr>
                <w:b/>
                <w:color w:val="FFFFFF"/>
                <w:spacing w:val="-2"/>
                <w:sz w:val="18"/>
              </w:rPr>
              <w:t>Property</w:t>
            </w:r>
            <w:r>
              <w:rPr>
                <w:b/>
                <w:color w:val="FFFFFF"/>
                <w:sz w:val="18"/>
              </w:rPr>
              <w:tab/>
            </w:r>
            <w:r>
              <w:rPr>
                <w:b/>
                <w:color w:val="FFFFFF"/>
                <w:spacing w:val="-2"/>
                <w:sz w:val="18"/>
              </w:rPr>
              <w:t>Property</w:t>
            </w:r>
            <w:r>
              <w:rPr>
                <w:b/>
                <w:color w:val="FFFFFF"/>
                <w:sz w:val="18"/>
              </w:rPr>
              <w:tab/>
            </w:r>
            <w:r>
              <w:rPr>
                <w:b/>
                <w:color w:val="FFFFFF"/>
                <w:spacing w:val="-2"/>
                <w:position w:val="-4"/>
                <w:sz w:val="18"/>
              </w:rPr>
              <w:t>Change</w:t>
            </w:r>
          </w:p>
          <w:p>
            <w:pPr>
              <w:pStyle w:val="TableParagraph"/>
              <w:tabs>
                <w:tab w:pos="4816" w:val="left" w:leader="none"/>
                <w:tab w:pos="6332" w:val="left" w:leader="none"/>
              </w:tabs>
              <w:spacing w:line="266" w:lineRule="exact"/>
              <w:ind w:left="1561"/>
              <w:rPr>
                <w:b/>
                <w:sz w:val="18"/>
              </w:rPr>
            </w:pPr>
            <w:r>
              <w:rPr>
                <w:b/>
                <w:color w:val="FFFFFF"/>
                <w:position w:val="9"/>
                <w:sz w:val="18"/>
              </w:rPr>
              <w:t>Type</w:t>
            </w:r>
            <w:r>
              <w:rPr>
                <w:b/>
                <w:color w:val="FFFFFF"/>
                <w:spacing w:val="2"/>
                <w:position w:val="9"/>
                <w:sz w:val="18"/>
              </w:rPr>
              <w:t> </w:t>
            </w:r>
            <w:r>
              <w:rPr>
                <w:b/>
                <w:color w:val="FFFFFF"/>
                <w:position w:val="9"/>
                <w:sz w:val="18"/>
              </w:rPr>
              <w:t>of</w:t>
            </w:r>
            <w:r>
              <w:rPr>
                <w:b/>
                <w:color w:val="FFFFFF"/>
                <w:spacing w:val="-2"/>
                <w:position w:val="9"/>
                <w:sz w:val="18"/>
              </w:rPr>
              <w:t> Charge</w:t>
            </w:r>
            <w:r>
              <w:rPr>
                <w:b/>
                <w:color w:val="FFFFFF"/>
                <w:position w:val="9"/>
                <w:sz w:val="18"/>
              </w:rPr>
              <w:tab/>
            </w:r>
            <w:r>
              <w:rPr>
                <w:b/>
                <w:color w:val="FFFFFF"/>
                <w:spacing w:val="-2"/>
                <w:sz w:val="18"/>
              </w:rPr>
              <w:t>2024/25</w:t>
            </w:r>
            <w:r>
              <w:rPr>
                <w:b/>
                <w:color w:val="FFFFFF"/>
                <w:sz w:val="18"/>
              </w:rPr>
              <w:tab/>
            </w:r>
            <w:r>
              <w:rPr>
                <w:b/>
                <w:color w:val="FFFFFF"/>
                <w:spacing w:val="-2"/>
                <w:sz w:val="18"/>
              </w:rPr>
              <w:t>2025/26</w:t>
            </w:r>
          </w:p>
          <w:p>
            <w:pPr>
              <w:pStyle w:val="TableParagraph"/>
              <w:tabs>
                <w:tab w:pos="6632" w:val="left" w:leader="none"/>
                <w:tab w:pos="8146" w:val="left" w:leader="none"/>
                <w:tab w:pos="9601" w:val="left" w:leader="none"/>
              </w:tabs>
              <w:spacing w:before="93"/>
              <w:ind w:left="5115"/>
              <w:rPr>
                <w:b/>
                <w:sz w:val="18"/>
              </w:rPr>
            </w:pPr>
            <w:r>
              <w:rPr>
                <w:b/>
                <w:color w:val="FFFFFF"/>
                <w:spacing w:val="-10"/>
                <w:sz w:val="18"/>
              </w:rPr>
              <w:t>$</w:t>
            </w:r>
            <w:r>
              <w:rPr>
                <w:b/>
                <w:color w:val="FFFFFF"/>
                <w:sz w:val="18"/>
              </w:rPr>
              <w:tab/>
            </w:r>
            <w:r>
              <w:rPr>
                <w:b/>
                <w:color w:val="FFFFFF"/>
                <w:spacing w:val="-10"/>
                <w:sz w:val="18"/>
              </w:rPr>
              <w:t>$</w:t>
            </w:r>
            <w:r>
              <w:rPr>
                <w:b/>
                <w:color w:val="FFFFFF"/>
                <w:sz w:val="18"/>
              </w:rPr>
              <w:tab/>
            </w:r>
            <w:r>
              <w:rPr>
                <w:b/>
                <w:color w:val="FFFFFF"/>
                <w:spacing w:val="-10"/>
                <w:sz w:val="18"/>
              </w:rPr>
              <w:t>$</w:t>
            </w:r>
            <w:r>
              <w:rPr>
                <w:b/>
                <w:color w:val="FFFFFF"/>
                <w:sz w:val="18"/>
              </w:rPr>
              <w:tab/>
            </w:r>
            <w:r>
              <w:rPr>
                <w:b/>
                <w:color w:val="FFFFFF"/>
                <w:spacing w:val="-10"/>
                <w:sz w:val="18"/>
              </w:rPr>
              <w:t>%</w:t>
            </w:r>
          </w:p>
        </w:tc>
      </w:tr>
      <w:tr>
        <w:trPr>
          <w:trHeight w:val="301" w:hRule="atLeast"/>
        </w:trPr>
        <w:tc>
          <w:tcPr>
            <w:tcW w:w="4643" w:type="dxa"/>
            <w:tcBorders>
              <w:left w:val="single" w:sz="12" w:space="0" w:color="000000"/>
            </w:tcBorders>
          </w:tcPr>
          <w:p>
            <w:pPr>
              <w:pStyle w:val="TableParagraph"/>
              <w:spacing w:before="33"/>
              <w:ind w:left="107"/>
              <w:rPr>
                <w:sz w:val="20"/>
              </w:rPr>
            </w:pPr>
            <w:r>
              <w:rPr>
                <w:sz w:val="20"/>
              </w:rPr>
              <w:t>Residential</w:t>
            </w:r>
            <w:r>
              <w:rPr>
                <w:spacing w:val="-8"/>
                <w:sz w:val="20"/>
              </w:rPr>
              <w:t> </w:t>
            </w:r>
            <w:r>
              <w:rPr>
                <w:sz w:val="20"/>
              </w:rPr>
              <w:t>80</w:t>
            </w:r>
            <w:r>
              <w:rPr>
                <w:spacing w:val="-7"/>
                <w:sz w:val="20"/>
              </w:rPr>
              <w:t> </w:t>
            </w:r>
            <w:r>
              <w:rPr>
                <w:sz w:val="20"/>
              </w:rPr>
              <w:t>Litre</w:t>
            </w:r>
            <w:r>
              <w:rPr>
                <w:spacing w:val="-7"/>
                <w:sz w:val="20"/>
              </w:rPr>
              <w:t> </w:t>
            </w:r>
            <w:r>
              <w:rPr>
                <w:spacing w:val="-4"/>
                <w:sz w:val="20"/>
              </w:rPr>
              <w:t>Bins</w:t>
            </w:r>
          </w:p>
        </w:tc>
        <w:tc>
          <w:tcPr>
            <w:tcW w:w="1258" w:type="dxa"/>
          </w:tcPr>
          <w:p>
            <w:pPr>
              <w:pStyle w:val="TableParagraph"/>
              <w:spacing w:before="33"/>
              <w:ind w:right="95"/>
              <w:jc w:val="right"/>
              <w:rPr>
                <w:sz w:val="20"/>
              </w:rPr>
            </w:pPr>
            <w:r>
              <w:rPr>
                <w:spacing w:val="-5"/>
                <w:sz w:val="20"/>
              </w:rPr>
              <w:t>365</w:t>
            </w:r>
          </w:p>
        </w:tc>
        <w:tc>
          <w:tcPr>
            <w:tcW w:w="1514" w:type="dxa"/>
            <w:shd w:val="clear" w:color="auto" w:fill="DDEBF6"/>
          </w:tcPr>
          <w:p>
            <w:pPr>
              <w:pStyle w:val="TableParagraph"/>
              <w:spacing w:before="33"/>
              <w:ind w:right="93"/>
              <w:jc w:val="right"/>
              <w:rPr>
                <w:b/>
                <w:sz w:val="20"/>
              </w:rPr>
            </w:pPr>
            <w:r>
              <w:rPr>
                <w:b/>
                <w:spacing w:val="-5"/>
                <w:sz w:val="20"/>
              </w:rPr>
              <w:t>385</w:t>
            </w:r>
          </w:p>
        </w:tc>
        <w:tc>
          <w:tcPr>
            <w:tcW w:w="1877" w:type="dxa"/>
          </w:tcPr>
          <w:p>
            <w:pPr>
              <w:pStyle w:val="TableParagraph"/>
              <w:spacing w:before="33"/>
              <w:ind w:right="456"/>
              <w:jc w:val="right"/>
              <w:rPr>
                <w:sz w:val="20"/>
              </w:rPr>
            </w:pPr>
            <w:r>
              <w:rPr>
                <w:spacing w:val="-5"/>
                <w:sz w:val="20"/>
              </w:rPr>
              <w:t>20</w:t>
            </w:r>
          </w:p>
        </w:tc>
        <w:tc>
          <w:tcPr>
            <w:tcW w:w="1145" w:type="dxa"/>
            <w:tcBorders>
              <w:right w:val="single" w:sz="12" w:space="0" w:color="000000"/>
            </w:tcBorders>
          </w:tcPr>
          <w:p>
            <w:pPr>
              <w:pStyle w:val="TableParagraph"/>
              <w:spacing w:before="33"/>
              <w:ind w:right="78"/>
              <w:jc w:val="right"/>
              <w:rPr>
                <w:sz w:val="20"/>
              </w:rPr>
            </w:pPr>
            <w:r>
              <w:rPr>
                <w:spacing w:val="-2"/>
                <w:sz w:val="20"/>
              </w:rPr>
              <w:t>5.19%</w:t>
            </w:r>
          </w:p>
        </w:tc>
      </w:tr>
      <w:tr>
        <w:trPr>
          <w:trHeight w:val="300" w:hRule="atLeast"/>
        </w:trPr>
        <w:tc>
          <w:tcPr>
            <w:tcW w:w="4643" w:type="dxa"/>
            <w:tcBorders>
              <w:left w:val="single" w:sz="12" w:space="0" w:color="000000"/>
            </w:tcBorders>
          </w:tcPr>
          <w:p>
            <w:pPr>
              <w:pStyle w:val="TableParagraph"/>
              <w:spacing w:before="31"/>
              <w:ind w:left="107"/>
              <w:rPr>
                <w:sz w:val="20"/>
              </w:rPr>
            </w:pPr>
            <w:r>
              <w:rPr>
                <w:sz w:val="20"/>
              </w:rPr>
              <w:t>Residential</w:t>
            </w:r>
            <w:r>
              <w:rPr>
                <w:spacing w:val="-5"/>
                <w:sz w:val="20"/>
              </w:rPr>
              <w:t> </w:t>
            </w:r>
            <w:r>
              <w:rPr>
                <w:sz w:val="20"/>
              </w:rPr>
              <w:t>120</w:t>
            </w:r>
            <w:r>
              <w:rPr>
                <w:spacing w:val="-9"/>
                <w:sz w:val="20"/>
              </w:rPr>
              <w:t> </w:t>
            </w:r>
            <w:r>
              <w:rPr>
                <w:sz w:val="20"/>
              </w:rPr>
              <w:t>Litre</w:t>
            </w:r>
            <w:r>
              <w:rPr>
                <w:spacing w:val="-7"/>
                <w:sz w:val="20"/>
              </w:rPr>
              <w:t> </w:t>
            </w:r>
            <w:r>
              <w:rPr>
                <w:spacing w:val="-4"/>
                <w:sz w:val="20"/>
              </w:rPr>
              <w:t>Bins</w:t>
            </w:r>
          </w:p>
        </w:tc>
        <w:tc>
          <w:tcPr>
            <w:tcW w:w="1258" w:type="dxa"/>
          </w:tcPr>
          <w:p>
            <w:pPr>
              <w:pStyle w:val="TableParagraph"/>
              <w:spacing w:before="31"/>
              <w:ind w:right="96"/>
              <w:jc w:val="right"/>
              <w:rPr>
                <w:sz w:val="20"/>
              </w:rPr>
            </w:pPr>
            <w:r>
              <w:rPr>
                <w:spacing w:val="-5"/>
                <w:sz w:val="20"/>
              </w:rPr>
              <w:t>439</w:t>
            </w:r>
          </w:p>
        </w:tc>
        <w:tc>
          <w:tcPr>
            <w:tcW w:w="1514" w:type="dxa"/>
            <w:shd w:val="clear" w:color="auto" w:fill="DDEBF6"/>
          </w:tcPr>
          <w:p>
            <w:pPr>
              <w:pStyle w:val="TableParagraph"/>
              <w:spacing w:before="31"/>
              <w:ind w:right="93"/>
              <w:jc w:val="right"/>
              <w:rPr>
                <w:b/>
                <w:sz w:val="20"/>
              </w:rPr>
            </w:pPr>
            <w:r>
              <w:rPr>
                <w:b/>
                <w:spacing w:val="-5"/>
                <w:sz w:val="20"/>
              </w:rPr>
              <w:t>465</w:t>
            </w:r>
          </w:p>
        </w:tc>
        <w:tc>
          <w:tcPr>
            <w:tcW w:w="1877" w:type="dxa"/>
          </w:tcPr>
          <w:p>
            <w:pPr>
              <w:pStyle w:val="TableParagraph"/>
              <w:spacing w:before="31"/>
              <w:ind w:right="456"/>
              <w:jc w:val="right"/>
              <w:rPr>
                <w:sz w:val="20"/>
              </w:rPr>
            </w:pPr>
            <w:r>
              <w:rPr>
                <w:spacing w:val="-5"/>
                <w:sz w:val="20"/>
              </w:rPr>
              <w:t>26</w:t>
            </w:r>
          </w:p>
        </w:tc>
        <w:tc>
          <w:tcPr>
            <w:tcW w:w="1145" w:type="dxa"/>
            <w:tcBorders>
              <w:right w:val="single" w:sz="12" w:space="0" w:color="000000"/>
            </w:tcBorders>
          </w:tcPr>
          <w:p>
            <w:pPr>
              <w:pStyle w:val="TableParagraph"/>
              <w:spacing w:before="31"/>
              <w:ind w:right="78"/>
              <w:jc w:val="right"/>
              <w:rPr>
                <w:sz w:val="20"/>
              </w:rPr>
            </w:pPr>
            <w:r>
              <w:rPr>
                <w:spacing w:val="-2"/>
                <w:sz w:val="20"/>
              </w:rPr>
              <w:t>5.49%</w:t>
            </w:r>
          </w:p>
        </w:tc>
      </w:tr>
      <w:tr>
        <w:trPr>
          <w:trHeight w:val="300" w:hRule="atLeast"/>
        </w:trPr>
        <w:tc>
          <w:tcPr>
            <w:tcW w:w="4643" w:type="dxa"/>
            <w:tcBorders>
              <w:left w:val="single" w:sz="12" w:space="0" w:color="000000"/>
            </w:tcBorders>
          </w:tcPr>
          <w:p>
            <w:pPr>
              <w:pStyle w:val="TableParagraph"/>
              <w:spacing w:before="31"/>
              <w:ind w:left="107"/>
              <w:rPr>
                <w:sz w:val="20"/>
              </w:rPr>
            </w:pPr>
            <w:r>
              <w:rPr>
                <w:sz w:val="20"/>
              </w:rPr>
              <w:t>Second</w:t>
            </w:r>
            <w:r>
              <w:rPr>
                <w:spacing w:val="-10"/>
                <w:sz w:val="20"/>
              </w:rPr>
              <w:t> </w:t>
            </w:r>
            <w:r>
              <w:rPr>
                <w:sz w:val="20"/>
              </w:rPr>
              <w:t>and</w:t>
            </w:r>
            <w:r>
              <w:rPr>
                <w:spacing w:val="-7"/>
                <w:sz w:val="20"/>
              </w:rPr>
              <w:t> </w:t>
            </w:r>
            <w:r>
              <w:rPr>
                <w:sz w:val="20"/>
              </w:rPr>
              <w:t>Subsequent</w:t>
            </w:r>
            <w:r>
              <w:rPr>
                <w:spacing w:val="-6"/>
                <w:sz w:val="20"/>
              </w:rPr>
              <w:t> </w:t>
            </w:r>
            <w:r>
              <w:rPr>
                <w:spacing w:val="-4"/>
                <w:sz w:val="20"/>
              </w:rPr>
              <w:t>Bins*</w:t>
            </w:r>
          </w:p>
        </w:tc>
        <w:tc>
          <w:tcPr>
            <w:tcW w:w="1258" w:type="dxa"/>
          </w:tcPr>
          <w:p>
            <w:pPr>
              <w:pStyle w:val="TableParagraph"/>
              <w:spacing w:before="31"/>
              <w:ind w:right="95"/>
              <w:jc w:val="right"/>
              <w:rPr>
                <w:sz w:val="20"/>
              </w:rPr>
            </w:pPr>
            <w:r>
              <w:rPr>
                <w:spacing w:val="-5"/>
                <w:sz w:val="20"/>
              </w:rPr>
              <w:t>466</w:t>
            </w:r>
          </w:p>
        </w:tc>
        <w:tc>
          <w:tcPr>
            <w:tcW w:w="1514" w:type="dxa"/>
            <w:shd w:val="clear" w:color="auto" w:fill="DDEBF6"/>
          </w:tcPr>
          <w:p>
            <w:pPr>
              <w:pStyle w:val="TableParagraph"/>
              <w:spacing w:before="31"/>
              <w:ind w:right="93"/>
              <w:jc w:val="right"/>
              <w:rPr>
                <w:b/>
                <w:sz w:val="20"/>
              </w:rPr>
            </w:pPr>
            <w:r>
              <w:rPr>
                <w:b/>
                <w:spacing w:val="-5"/>
                <w:sz w:val="20"/>
              </w:rPr>
              <w:t>493</w:t>
            </w:r>
          </w:p>
        </w:tc>
        <w:tc>
          <w:tcPr>
            <w:tcW w:w="1877" w:type="dxa"/>
          </w:tcPr>
          <w:p>
            <w:pPr>
              <w:pStyle w:val="TableParagraph"/>
              <w:spacing w:before="31"/>
              <w:ind w:right="456"/>
              <w:jc w:val="right"/>
              <w:rPr>
                <w:sz w:val="20"/>
              </w:rPr>
            </w:pPr>
            <w:r>
              <w:rPr>
                <w:spacing w:val="-5"/>
                <w:sz w:val="20"/>
              </w:rPr>
              <w:t>27</w:t>
            </w:r>
          </w:p>
        </w:tc>
        <w:tc>
          <w:tcPr>
            <w:tcW w:w="1145" w:type="dxa"/>
            <w:tcBorders>
              <w:right w:val="single" w:sz="12" w:space="0" w:color="000000"/>
            </w:tcBorders>
          </w:tcPr>
          <w:p>
            <w:pPr>
              <w:pStyle w:val="TableParagraph"/>
              <w:spacing w:before="31"/>
              <w:ind w:right="78"/>
              <w:jc w:val="right"/>
              <w:rPr>
                <w:sz w:val="20"/>
              </w:rPr>
            </w:pPr>
            <w:r>
              <w:rPr>
                <w:spacing w:val="-2"/>
                <w:sz w:val="20"/>
              </w:rPr>
              <w:t>5.48%</w:t>
            </w:r>
          </w:p>
        </w:tc>
      </w:tr>
      <w:tr>
        <w:trPr>
          <w:trHeight w:val="299" w:hRule="atLeast"/>
        </w:trPr>
        <w:tc>
          <w:tcPr>
            <w:tcW w:w="4643" w:type="dxa"/>
            <w:tcBorders>
              <w:left w:val="single" w:sz="12" w:space="0" w:color="000000"/>
            </w:tcBorders>
          </w:tcPr>
          <w:p>
            <w:pPr>
              <w:pStyle w:val="TableParagraph"/>
              <w:spacing w:before="31"/>
              <w:ind w:left="107"/>
              <w:rPr>
                <w:sz w:val="20"/>
              </w:rPr>
            </w:pPr>
            <w:r>
              <w:rPr>
                <w:sz w:val="20"/>
              </w:rPr>
              <w:t>Additional</w:t>
            </w:r>
            <w:r>
              <w:rPr>
                <w:spacing w:val="-9"/>
                <w:sz w:val="20"/>
              </w:rPr>
              <w:t> </w:t>
            </w:r>
            <w:r>
              <w:rPr>
                <w:sz w:val="20"/>
              </w:rPr>
              <w:t>Residential</w:t>
            </w:r>
            <w:r>
              <w:rPr>
                <w:spacing w:val="-7"/>
                <w:sz w:val="20"/>
              </w:rPr>
              <w:t> </w:t>
            </w:r>
            <w:r>
              <w:rPr>
                <w:sz w:val="20"/>
              </w:rPr>
              <w:t>120</w:t>
            </w:r>
            <w:r>
              <w:rPr>
                <w:spacing w:val="-7"/>
                <w:sz w:val="20"/>
              </w:rPr>
              <w:t> </w:t>
            </w:r>
            <w:r>
              <w:rPr>
                <w:sz w:val="20"/>
              </w:rPr>
              <w:t>Litre</w:t>
            </w:r>
            <w:r>
              <w:rPr>
                <w:spacing w:val="-7"/>
                <w:sz w:val="20"/>
              </w:rPr>
              <w:t> </w:t>
            </w:r>
            <w:r>
              <w:rPr>
                <w:spacing w:val="-4"/>
                <w:sz w:val="20"/>
              </w:rPr>
              <w:t>Bin*</w:t>
            </w:r>
          </w:p>
        </w:tc>
        <w:tc>
          <w:tcPr>
            <w:tcW w:w="1258" w:type="dxa"/>
          </w:tcPr>
          <w:p>
            <w:pPr>
              <w:pStyle w:val="TableParagraph"/>
              <w:spacing w:before="31"/>
              <w:ind w:right="95"/>
              <w:jc w:val="right"/>
              <w:rPr>
                <w:sz w:val="20"/>
              </w:rPr>
            </w:pPr>
            <w:r>
              <w:rPr>
                <w:spacing w:val="-5"/>
                <w:sz w:val="20"/>
              </w:rPr>
              <w:t>280</w:t>
            </w:r>
          </w:p>
        </w:tc>
        <w:tc>
          <w:tcPr>
            <w:tcW w:w="1514" w:type="dxa"/>
            <w:shd w:val="clear" w:color="auto" w:fill="DDEBF6"/>
          </w:tcPr>
          <w:p>
            <w:pPr>
              <w:pStyle w:val="TableParagraph"/>
              <w:spacing w:before="31"/>
              <w:ind w:right="93"/>
              <w:jc w:val="right"/>
              <w:rPr>
                <w:b/>
                <w:sz w:val="20"/>
              </w:rPr>
            </w:pPr>
            <w:r>
              <w:rPr>
                <w:b/>
                <w:spacing w:val="-5"/>
                <w:sz w:val="20"/>
              </w:rPr>
              <w:t>296</w:t>
            </w:r>
          </w:p>
        </w:tc>
        <w:tc>
          <w:tcPr>
            <w:tcW w:w="1877" w:type="dxa"/>
          </w:tcPr>
          <w:p>
            <w:pPr>
              <w:pStyle w:val="TableParagraph"/>
              <w:spacing w:before="31"/>
              <w:ind w:right="456"/>
              <w:jc w:val="right"/>
              <w:rPr>
                <w:sz w:val="20"/>
              </w:rPr>
            </w:pPr>
            <w:r>
              <w:rPr>
                <w:spacing w:val="-5"/>
                <w:sz w:val="20"/>
              </w:rPr>
              <w:t>16</w:t>
            </w:r>
          </w:p>
        </w:tc>
        <w:tc>
          <w:tcPr>
            <w:tcW w:w="1145" w:type="dxa"/>
            <w:tcBorders>
              <w:right w:val="single" w:sz="12" w:space="0" w:color="000000"/>
            </w:tcBorders>
          </w:tcPr>
          <w:p>
            <w:pPr>
              <w:pStyle w:val="TableParagraph"/>
              <w:spacing w:before="31"/>
              <w:ind w:right="78"/>
              <w:jc w:val="right"/>
              <w:rPr>
                <w:sz w:val="20"/>
              </w:rPr>
            </w:pPr>
            <w:r>
              <w:rPr>
                <w:spacing w:val="-2"/>
                <w:sz w:val="20"/>
              </w:rPr>
              <w:t>5.41%</w:t>
            </w:r>
          </w:p>
        </w:tc>
      </w:tr>
      <w:tr>
        <w:trPr>
          <w:trHeight w:val="298" w:hRule="atLeast"/>
        </w:trPr>
        <w:tc>
          <w:tcPr>
            <w:tcW w:w="4643" w:type="dxa"/>
            <w:tcBorders>
              <w:left w:val="single" w:sz="12" w:space="0" w:color="000000"/>
            </w:tcBorders>
          </w:tcPr>
          <w:p>
            <w:pPr>
              <w:pStyle w:val="TableParagraph"/>
              <w:spacing w:before="31"/>
              <w:ind w:left="107"/>
              <w:rPr>
                <w:sz w:val="20"/>
              </w:rPr>
            </w:pPr>
            <w:r>
              <w:rPr>
                <w:sz w:val="20"/>
              </w:rPr>
              <w:t>Additional</w:t>
            </w:r>
            <w:r>
              <w:rPr>
                <w:spacing w:val="-11"/>
                <w:sz w:val="20"/>
              </w:rPr>
              <w:t> </w:t>
            </w:r>
            <w:r>
              <w:rPr>
                <w:sz w:val="20"/>
              </w:rPr>
              <w:t>Residential</w:t>
            </w:r>
            <w:r>
              <w:rPr>
                <w:spacing w:val="-8"/>
                <w:sz w:val="20"/>
              </w:rPr>
              <w:t> </w:t>
            </w:r>
            <w:r>
              <w:rPr>
                <w:sz w:val="20"/>
              </w:rPr>
              <w:t>Garden</w:t>
            </w:r>
            <w:r>
              <w:rPr>
                <w:spacing w:val="-11"/>
                <w:sz w:val="20"/>
              </w:rPr>
              <w:t> </w:t>
            </w:r>
            <w:r>
              <w:rPr>
                <w:spacing w:val="-2"/>
                <w:sz w:val="20"/>
              </w:rPr>
              <w:t>Organics*</w:t>
            </w:r>
          </w:p>
        </w:tc>
        <w:tc>
          <w:tcPr>
            <w:tcW w:w="1258" w:type="dxa"/>
          </w:tcPr>
          <w:p>
            <w:pPr>
              <w:pStyle w:val="TableParagraph"/>
              <w:spacing w:before="31"/>
              <w:ind w:right="95"/>
              <w:jc w:val="right"/>
              <w:rPr>
                <w:sz w:val="20"/>
              </w:rPr>
            </w:pPr>
            <w:r>
              <w:rPr>
                <w:spacing w:val="-5"/>
                <w:sz w:val="20"/>
              </w:rPr>
              <w:t>230</w:t>
            </w:r>
          </w:p>
        </w:tc>
        <w:tc>
          <w:tcPr>
            <w:tcW w:w="1514" w:type="dxa"/>
            <w:shd w:val="clear" w:color="auto" w:fill="DDEBF6"/>
          </w:tcPr>
          <w:p>
            <w:pPr>
              <w:pStyle w:val="TableParagraph"/>
              <w:spacing w:before="31"/>
              <w:ind w:right="93"/>
              <w:jc w:val="right"/>
              <w:rPr>
                <w:b/>
                <w:sz w:val="20"/>
              </w:rPr>
            </w:pPr>
            <w:r>
              <w:rPr>
                <w:b/>
                <w:spacing w:val="-5"/>
                <w:sz w:val="20"/>
              </w:rPr>
              <w:t>230</w:t>
            </w:r>
          </w:p>
        </w:tc>
        <w:tc>
          <w:tcPr>
            <w:tcW w:w="1877" w:type="dxa"/>
          </w:tcPr>
          <w:p>
            <w:pPr>
              <w:pStyle w:val="TableParagraph"/>
              <w:spacing w:before="31"/>
              <w:ind w:right="452"/>
              <w:jc w:val="right"/>
              <w:rPr>
                <w:sz w:val="20"/>
              </w:rPr>
            </w:pPr>
            <w:r>
              <w:rPr>
                <w:w w:val="99"/>
                <w:sz w:val="20"/>
              </w:rPr>
              <w:t>0</w:t>
            </w:r>
          </w:p>
        </w:tc>
        <w:tc>
          <w:tcPr>
            <w:tcW w:w="1145" w:type="dxa"/>
            <w:tcBorders>
              <w:right w:val="single" w:sz="12" w:space="0" w:color="000000"/>
            </w:tcBorders>
          </w:tcPr>
          <w:p>
            <w:pPr>
              <w:pStyle w:val="TableParagraph"/>
              <w:spacing w:before="31"/>
              <w:ind w:right="78"/>
              <w:jc w:val="right"/>
              <w:rPr>
                <w:sz w:val="20"/>
              </w:rPr>
            </w:pPr>
            <w:r>
              <w:rPr>
                <w:spacing w:val="-2"/>
                <w:sz w:val="20"/>
              </w:rPr>
              <w:t>0.00%</w:t>
            </w:r>
          </w:p>
        </w:tc>
      </w:tr>
      <w:tr>
        <w:trPr>
          <w:trHeight w:val="300" w:hRule="atLeast"/>
        </w:trPr>
        <w:tc>
          <w:tcPr>
            <w:tcW w:w="10437" w:type="dxa"/>
            <w:gridSpan w:val="5"/>
            <w:tcBorders>
              <w:left w:val="single" w:sz="12" w:space="0" w:color="000000"/>
              <w:right w:val="single" w:sz="12" w:space="0" w:color="000000"/>
            </w:tcBorders>
          </w:tcPr>
          <w:p>
            <w:pPr>
              <w:pStyle w:val="TableParagraph"/>
              <w:spacing w:before="33"/>
              <w:ind w:left="107"/>
              <w:rPr>
                <w:sz w:val="20"/>
              </w:rPr>
            </w:pPr>
            <w:r>
              <w:rPr>
                <w:sz w:val="20"/>
              </w:rPr>
              <w:t>Commercial</w:t>
            </w:r>
            <w:r>
              <w:rPr>
                <w:spacing w:val="-8"/>
                <w:sz w:val="20"/>
              </w:rPr>
              <w:t> </w:t>
            </w:r>
            <w:r>
              <w:rPr>
                <w:sz w:val="20"/>
              </w:rPr>
              <w:t>240</w:t>
            </w:r>
            <w:r>
              <w:rPr>
                <w:spacing w:val="-7"/>
                <w:sz w:val="20"/>
              </w:rPr>
              <w:t> </w:t>
            </w:r>
            <w:r>
              <w:rPr>
                <w:sz w:val="20"/>
              </w:rPr>
              <w:t>Litre</w:t>
            </w:r>
            <w:r>
              <w:rPr>
                <w:spacing w:val="-5"/>
                <w:sz w:val="20"/>
              </w:rPr>
              <w:t> </w:t>
            </w:r>
            <w:r>
              <w:rPr>
                <w:spacing w:val="-2"/>
                <w:sz w:val="20"/>
              </w:rPr>
              <w:t>Service</w:t>
            </w:r>
          </w:p>
        </w:tc>
      </w:tr>
      <w:tr>
        <w:trPr>
          <w:trHeight w:val="301" w:hRule="atLeast"/>
        </w:trPr>
        <w:tc>
          <w:tcPr>
            <w:tcW w:w="4643" w:type="dxa"/>
            <w:tcBorders>
              <w:left w:val="single" w:sz="12" w:space="0" w:color="000000"/>
            </w:tcBorders>
          </w:tcPr>
          <w:p>
            <w:pPr>
              <w:pStyle w:val="TableParagraph"/>
              <w:spacing w:before="33"/>
              <w:ind w:left="548"/>
              <w:rPr>
                <w:sz w:val="20"/>
              </w:rPr>
            </w:pPr>
            <w:r>
              <w:rPr>
                <w:sz w:val="20"/>
              </w:rPr>
              <w:t>One</w:t>
            </w:r>
            <w:r>
              <w:rPr>
                <w:spacing w:val="-5"/>
                <w:sz w:val="20"/>
              </w:rPr>
              <w:t> </w:t>
            </w:r>
            <w:r>
              <w:rPr>
                <w:sz w:val="20"/>
              </w:rPr>
              <w:t>per</w:t>
            </w:r>
            <w:r>
              <w:rPr>
                <w:spacing w:val="-3"/>
                <w:sz w:val="20"/>
              </w:rPr>
              <w:t> </w:t>
            </w:r>
            <w:r>
              <w:rPr>
                <w:sz w:val="20"/>
              </w:rPr>
              <w:t>week </w:t>
            </w:r>
            <w:r>
              <w:rPr>
                <w:spacing w:val="-10"/>
                <w:sz w:val="20"/>
              </w:rPr>
              <w:t>#</w:t>
            </w:r>
          </w:p>
        </w:tc>
        <w:tc>
          <w:tcPr>
            <w:tcW w:w="1258" w:type="dxa"/>
          </w:tcPr>
          <w:p>
            <w:pPr>
              <w:pStyle w:val="TableParagraph"/>
              <w:spacing w:before="33"/>
              <w:ind w:right="95"/>
              <w:jc w:val="right"/>
              <w:rPr>
                <w:sz w:val="20"/>
              </w:rPr>
            </w:pPr>
            <w:r>
              <w:rPr>
                <w:spacing w:val="-5"/>
                <w:sz w:val="20"/>
              </w:rPr>
              <w:t>786</w:t>
            </w:r>
          </w:p>
        </w:tc>
        <w:tc>
          <w:tcPr>
            <w:tcW w:w="1514" w:type="dxa"/>
            <w:shd w:val="clear" w:color="auto" w:fill="DDEBF6"/>
          </w:tcPr>
          <w:p>
            <w:pPr>
              <w:pStyle w:val="TableParagraph"/>
              <w:spacing w:before="33"/>
              <w:ind w:right="93"/>
              <w:jc w:val="right"/>
              <w:rPr>
                <w:b/>
                <w:sz w:val="20"/>
              </w:rPr>
            </w:pPr>
            <w:r>
              <w:rPr>
                <w:b/>
                <w:spacing w:val="-5"/>
                <w:sz w:val="20"/>
              </w:rPr>
              <w:t>830</w:t>
            </w:r>
          </w:p>
        </w:tc>
        <w:tc>
          <w:tcPr>
            <w:tcW w:w="1877" w:type="dxa"/>
          </w:tcPr>
          <w:p>
            <w:pPr>
              <w:pStyle w:val="TableParagraph"/>
              <w:spacing w:before="33"/>
              <w:ind w:right="456"/>
              <w:jc w:val="right"/>
              <w:rPr>
                <w:sz w:val="20"/>
              </w:rPr>
            </w:pPr>
            <w:r>
              <w:rPr>
                <w:spacing w:val="-5"/>
                <w:sz w:val="20"/>
              </w:rPr>
              <w:t>44</w:t>
            </w:r>
          </w:p>
        </w:tc>
        <w:tc>
          <w:tcPr>
            <w:tcW w:w="1145" w:type="dxa"/>
            <w:tcBorders>
              <w:right w:val="single" w:sz="12" w:space="0" w:color="000000"/>
            </w:tcBorders>
          </w:tcPr>
          <w:p>
            <w:pPr>
              <w:pStyle w:val="TableParagraph"/>
              <w:spacing w:before="33"/>
              <w:ind w:right="78"/>
              <w:jc w:val="right"/>
              <w:rPr>
                <w:sz w:val="20"/>
              </w:rPr>
            </w:pPr>
            <w:r>
              <w:rPr>
                <w:spacing w:val="-2"/>
                <w:sz w:val="20"/>
              </w:rPr>
              <w:t>5.30%</w:t>
            </w:r>
          </w:p>
        </w:tc>
      </w:tr>
      <w:tr>
        <w:trPr>
          <w:trHeight w:val="300" w:hRule="atLeast"/>
        </w:trPr>
        <w:tc>
          <w:tcPr>
            <w:tcW w:w="4643" w:type="dxa"/>
            <w:tcBorders>
              <w:left w:val="single" w:sz="12" w:space="0" w:color="000000"/>
            </w:tcBorders>
          </w:tcPr>
          <w:p>
            <w:pPr>
              <w:pStyle w:val="TableParagraph"/>
              <w:spacing w:before="31"/>
              <w:ind w:left="548"/>
              <w:rPr>
                <w:sz w:val="20"/>
              </w:rPr>
            </w:pPr>
            <w:r>
              <w:rPr>
                <w:sz w:val="20"/>
              </w:rPr>
              <w:t>Three</w:t>
            </w:r>
            <w:r>
              <w:rPr>
                <w:spacing w:val="-6"/>
                <w:sz w:val="20"/>
              </w:rPr>
              <w:t> </w:t>
            </w:r>
            <w:r>
              <w:rPr>
                <w:sz w:val="20"/>
              </w:rPr>
              <w:t>times</w:t>
            </w:r>
            <w:r>
              <w:rPr>
                <w:spacing w:val="-3"/>
                <w:sz w:val="20"/>
              </w:rPr>
              <w:t> </w:t>
            </w:r>
            <w:r>
              <w:rPr>
                <w:sz w:val="20"/>
              </w:rPr>
              <w:t>per</w:t>
            </w:r>
            <w:r>
              <w:rPr>
                <w:spacing w:val="-5"/>
                <w:sz w:val="20"/>
              </w:rPr>
              <w:t> </w:t>
            </w:r>
            <w:r>
              <w:rPr>
                <w:sz w:val="20"/>
              </w:rPr>
              <w:t>week</w:t>
            </w:r>
            <w:r>
              <w:rPr>
                <w:spacing w:val="-1"/>
                <w:sz w:val="20"/>
              </w:rPr>
              <w:t> </w:t>
            </w:r>
            <w:r>
              <w:rPr>
                <w:spacing w:val="-10"/>
                <w:sz w:val="20"/>
              </w:rPr>
              <w:t>#</w:t>
            </w:r>
          </w:p>
        </w:tc>
        <w:tc>
          <w:tcPr>
            <w:tcW w:w="1258" w:type="dxa"/>
          </w:tcPr>
          <w:p>
            <w:pPr>
              <w:pStyle w:val="TableParagraph"/>
              <w:spacing w:before="31"/>
              <w:ind w:right="94"/>
              <w:jc w:val="right"/>
              <w:rPr>
                <w:sz w:val="20"/>
              </w:rPr>
            </w:pPr>
            <w:r>
              <w:rPr>
                <w:spacing w:val="-2"/>
                <w:sz w:val="20"/>
              </w:rPr>
              <w:t>1,722</w:t>
            </w:r>
          </w:p>
        </w:tc>
        <w:tc>
          <w:tcPr>
            <w:tcW w:w="1514" w:type="dxa"/>
            <w:shd w:val="clear" w:color="auto" w:fill="DDEBF6"/>
          </w:tcPr>
          <w:p>
            <w:pPr>
              <w:pStyle w:val="TableParagraph"/>
              <w:spacing w:before="31"/>
              <w:ind w:right="92"/>
              <w:jc w:val="right"/>
              <w:rPr>
                <w:b/>
                <w:sz w:val="20"/>
              </w:rPr>
            </w:pPr>
            <w:r>
              <w:rPr>
                <w:b/>
                <w:spacing w:val="-2"/>
                <w:sz w:val="20"/>
              </w:rPr>
              <w:t>1,822</w:t>
            </w:r>
          </w:p>
        </w:tc>
        <w:tc>
          <w:tcPr>
            <w:tcW w:w="1877" w:type="dxa"/>
          </w:tcPr>
          <w:p>
            <w:pPr>
              <w:pStyle w:val="TableParagraph"/>
              <w:spacing w:before="31"/>
              <w:ind w:right="455"/>
              <w:jc w:val="right"/>
              <w:rPr>
                <w:sz w:val="20"/>
              </w:rPr>
            </w:pPr>
            <w:r>
              <w:rPr>
                <w:spacing w:val="-5"/>
                <w:sz w:val="20"/>
              </w:rPr>
              <w:t>100</w:t>
            </w:r>
          </w:p>
        </w:tc>
        <w:tc>
          <w:tcPr>
            <w:tcW w:w="1145" w:type="dxa"/>
            <w:tcBorders>
              <w:right w:val="single" w:sz="12" w:space="0" w:color="000000"/>
            </w:tcBorders>
          </w:tcPr>
          <w:p>
            <w:pPr>
              <w:pStyle w:val="TableParagraph"/>
              <w:spacing w:before="31"/>
              <w:ind w:right="78"/>
              <w:jc w:val="right"/>
              <w:rPr>
                <w:sz w:val="20"/>
              </w:rPr>
            </w:pPr>
            <w:r>
              <w:rPr>
                <w:spacing w:val="-2"/>
                <w:sz w:val="20"/>
              </w:rPr>
              <w:t>5.49%</w:t>
            </w:r>
          </w:p>
        </w:tc>
      </w:tr>
      <w:tr>
        <w:trPr>
          <w:trHeight w:val="300" w:hRule="atLeast"/>
        </w:trPr>
        <w:tc>
          <w:tcPr>
            <w:tcW w:w="4643" w:type="dxa"/>
            <w:tcBorders>
              <w:left w:val="single" w:sz="12" w:space="0" w:color="000000"/>
            </w:tcBorders>
          </w:tcPr>
          <w:p>
            <w:pPr>
              <w:pStyle w:val="TableParagraph"/>
              <w:spacing w:before="31"/>
              <w:ind w:left="107"/>
              <w:rPr>
                <w:sz w:val="20"/>
              </w:rPr>
            </w:pPr>
            <w:r>
              <w:rPr>
                <w:w w:val="95"/>
                <w:sz w:val="20"/>
              </w:rPr>
              <w:t>Additional</w:t>
            </w:r>
            <w:r>
              <w:rPr>
                <w:spacing w:val="59"/>
                <w:sz w:val="20"/>
              </w:rPr>
              <w:t> </w:t>
            </w:r>
            <w:r>
              <w:rPr>
                <w:w w:val="95"/>
                <w:sz w:val="20"/>
              </w:rPr>
              <w:t>Recycling-Non-Residential</w:t>
            </w:r>
            <w:r>
              <w:rPr>
                <w:spacing w:val="68"/>
                <w:sz w:val="20"/>
              </w:rPr>
              <w:t> </w:t>
            </w:r>
            <w:r>
              <w:rPr>
                <w:spacing w:val="-10"/>
                <w:w w:val="95"/>
                <w:sz w:val="20"/>
              </w:rPr>
              <w:t>#</w:t>
            </w:r>
          </w:p>
        </w:tc>
        <w:tc>
          <w:tcPr>
            <w:tcW w:w="1258" w:type="dxa"/>
          </w:tcPr>
          <w:p>
            <w:pPr>
              <w:pStyle w:val="TableParagraph"/>
              <w:spacing w:before="31"/>
              <w:ind w:right="96"/>
              <w:jc w:val="right"/>
              <w:rPr>
                <w:sz w:val="20"/>
              </w:rPr>
            </w:pPr>
            <w:r>
              <w:rPr>
                <w:spacing w:val="-5"/>
                <w:sz w:val="20"/>
              </w:rPr>
              <w:t>175</w:t>
            </w:r>
          </w:p>
        </w:tc>
        <w:tc>
          <w:tcPr>
            <w:tcW w:w="1514" w:type="dxa"/>
            <w:shd w:val="clear" w:color="auto" w:fill="DDEBF6"/>
          </w:tcPr>
          <w:p>
            <w:pPr>
              <w:pStyle w:val="TableParagraph"/>
              <w:spacing w:before="31"/>
              <w:ind w:right="93"/>
              <w:jc w:val="right"/>
              <w:rPr>
                <w:b/>
                <w:sz w:val="20"/>
              </w:rPr>
            </w:pPr>
            <w:r>
              <w:rPr>
                <w:b/>
                <w:spacing w:val="-5"/>
                <w:sz w:val="20"/>
              </w:rPr>
              <w:t>185</w:t>
            </w:r>
          </w:p>
        </w:tc>
        <w:tc>
          <w:tcPr>
            <w:tcW w:w="1877" w:type="dxa"/>
          </w:tcPr>
          <w:p>
            <w:pPr>
              <w:pStyle w:val="TableParagraph"/>
              <w:spacing w:before="31"/>
              <w:ind w:right="456"/>
              <w:jc w:val="right"/>
              <w:rPr>
                <w:sz w:val="20"/>
              </w:rPr>
            </w:pPr>
            <w:r>
              <w:rPr>
                <w:spacing w:val="-5"/>
                <w:sz w:val="20"/>
              </w:rPr>
              <w:t>10</w:t>
            </w:r>
          </w:p>
        </w:tc>
        <w:tc>
          <w:tcPr>
            <w:tcW w:w="1145" w:type="dxa"/>
            <w:tcBorders>
              <w:right w:val="single" w:sz="12" w:space="0" w:color="000000"/>
            </w:tcBorders>
          </w:tcPr>
          <w:p>
            <w:pPr>
              <w:pStyle w:val="TableParagraph"/>
              <w:spacing w:before="31"/>
              <w:ind w:right="78"/>
              <w:jc w:val="right"/>
              <w:rPr>
                <w:sz w:val="20"/>
              </w:rPr>
            </w:pPr>
            <w:r>
              <w:rPr>
                <w:spacing w:val="-2"/>
                <w:sz w:val="20"/>
              </w:rPr>
              <w:t>5.41%</w:t>
            </w:r>
          </w:p>
        </w:tc>
      </w:tr>
      <w:tr>
        <w:trPr>
          <w:trHeight w:val="300" w:hRule="atLeast"/>
        </w:trPr>
        <w:tc>
          <w:tcPr>
            <w:tcW w:w="4643" w:type="dxa"/>
            <w:tcBorders>
              <w:left w:val="single" w:sz="12" w:space="0" w:color="000000"/>
            </w:tcBorders>
          </w:tcPr>
          <w:p>
            <w:pPr>
              <w:pStyle w:val="TableParagraph"/>
              <w:spacing w:before="31"/>
              <w:ind w:left="107"/>
              <w:rPr>
                <w:sz w:val="20"/>
              </w:rPr>
            </w:pPr>
            <w:r>
              <w:rPr>
                <w:sz w:val="20"/>
              </w:rPr>
              <w:t>Commercial</w:t>
            </w:r>
            <w:r>
              <w:rPr>
                <w:spacing w:val="-9"/>
                <w:sz w:val="20"/>
              </w:rPr>
              <w:t> </w:t>
            </w:r>
            <w:r>
              <w:rPr>
                <w:sz w:val="20"/>
              </w:rPr>
              <w:t>&amp;</w:t>
            </w:r>
            <w:r>
              <w:rPr>
                <w:spacing w:val="-6"/>
                <w:sz w:val="20"/>
              </w:rPr>
              <w:t> </w:t>
            </w:r>
            <w:r>
              <w:rPr>
                <w:sz w:val="20"/>
              </w:rPr>
              <w:t>Industrial</w:t>
            </w:r>
            <w:r>
              <w:rPr>
                <w:spacing w:val="-7"/>
                <w:sz w:val="20"/>
              </w:rPr>
              <w:t> </w:t>
            </w:r>
            <w:r>
              <w:rPr>
                <w:sz w:val="20"/>
              </w:rPr>
              <w:t>Garden</w:t>
            </w:r>
            <w:r>
              <w:rPr>
                <w:spacing w:val="-7"/>
                <w:sz w:val="20"/>
              </w:rPr>
              <w:t> </w:t>
            </w:r>
            <w:r>
              <w:rPr>
                <w:spacing w:val="-2"/>
                <w:sz w:val="20"/>
              </w:rPr>
              <w:t>Organics#*</w:t>
            </w:r>
          </w:p>
        </w:tc>
        <w:tc>
          <w:tcPr>
            <w:tcW w:w="1258" w:type="dxa"/>
          </w:tcPr>
          <w:p>
            <w:pPr>
              <w:pStyle w:val="TableParagraph"/>
              <w:spacing w:before="31"/>
              <w:ind w:right="95"/>
              <w:jc w:val="right"/>
              <w:rPr>
                <w:sz w:val="20"/>
              </w:rPr>
            </w:pPr>
            <w:r>
              <w:rPr>
                <w:spacing w:val="-5"/>
                <w:sz w:val="20"/>
              </w:rPr>
              <w:t>253</w:t>
            </w:r>
          </w:p>
        </w:tc>
        <w:tc>
          <w:tcPr>
            <w:tcW w:w="1514" w:type="dxa"/>
            <w:shd w:val="clear" w:color="auto" w:fill="DDEBF6"/>
          </w:tcPr>
          <w:p>
            <w:pPr>
              <w:pStyle w:val="TableParagraph"/>
              <w:spacing w:before="31"/>
              <w:ind w:right="93"/>
              <w:jc w:val="right"/>
              <w:rPr>
                <w:b/>
                <w:sz w:val="20"/>
              </w:rPr>
            </w:pPr>
            <w:r>
              <w:rPr>
                <w:b/>
                <w:spacing w:val="-5"/>
                <w:sz w:val="20"/>
              </w:rPr>
              <w:t>267</w:t>
            </w:r>
          </w:p>
        </w:tc>
        <w:tc>
          <w:tcPr>
            <w:tcW w:w="1877" w:type="dxa"/>
          </w:tcPr>
          <w:p>
            <w:pPr>
              <w:pStyle w:val="TableParagraph"/>
              <w:spacing w:before="31"/>
              <w:ind w:right="456"/>
              <w:jc w:val="right"/>
              <w:rPr>
                <w:sz w:val="20"/>
              </w:rPr>
            </w:pPr>
            <w:r>
              <w:rPr>
                <w:spacing w:val="-5"/>
                <w:sz w:val="20"/>
              </w:rPr>
              <w:t>14</w:t>
            </w:r>
          </w:p>
        </w:tc>
        <w:tc>
          <w:tcPr>
            <w:tcW w:w="1145" w:type="dxa"/>
            <w:tcBorders>
              <w:right w:val="single" w:sz="12" w:space="0" w:color="000000"/>
            </w:tcBorders>
          </w:tcPr>
          <w:p>
            <w:pPr>
              <w:pStyle w:val="TableParagraph"/>
              <w:spacing w:before="31"/>
              <w:ind w:right="78"/>
              <w:jc w:val="right"/>
              <w:rPr>
                <w:sz w:val="20"/>
              </w:rPr>
            </w:pPr>
            <w:r>
              <w:rPr>
                <w:spacing w:val="-2"/>
                <w:sz w:val="20"/>
              </w:rPr>
              <w:t>5.24%</w:t>
            </w:r>
          </w:p>
        </w:tc>
      </w:tr>
      <w:tr>
        <w:trPr>
          <w:trHeight w:val="303" w:hRule="atLeast"/>
        </w:trPr>
        <w:tc>
          <w:tcPr>
            <w:tcW w:w="4643" w:type="dxa"/>
            <w:tcBorders>
              <w:left w:val="single" w:sz="12" w:space="0" w:color="000000"/>
            </w:tcBorders>
          </w:tcPr>
          <w:p>
            <w:pPr>
              <w:pStyle w:val="TableParagraph"/>
              <w:spacing w:before="31"/>
              <w:ind w:left="107"/>
              <w:rPr>
                <w:sz w:val="20"/>
              </w:rPr>
            </w:pPr>
            <w:r>
              <w:rPr>
                <w:sz w:val="20"/>
              </w:rPr>
              <w:t>Industrial</w:t>
            </w:r>
            <w:r>
              <w:rPr>
                <w:spacing w:val="-4"/>
                <w:sz w:val="20"/>
              </w:rPr>
              <w:t> </w:t>
            </w:r>
            <w:r>
              <w:rPr>
                <w:sz w:val="20"/>
              </w:rPr>
              <w:t>120</w:t>
            </w:r>
            <w:r>
              <w:rPr>
                <w:spacing w:val="-5"/>
                <w:sz w:val="20"/>
              </w:rPr>
              <w:t> </w:t>
            </w:r>
            <w:r>
              <w:rPr>
                <w:sz w:val="20"/>
              </w:rPr>
              <w:t>Litre</w:t>
            </w:r>
            <w:r>
              <w:rPr>
                <w:spacing w:val="-7"/>
                <w:sz w:val="20"/>
              </w:rPr>
              <w:t> </w:t>
            </w:r>
            <w:r>
              <w:rPr>
                <w:sz w:val="20"/>
              </w:rPr>
              <w:t>Service</w:t>
            </w:r>
            <w:r>
              <w:rPr>
                <w:spacing w:val="-6"/>
                <w:sz w:val="20"/>
              </w:rPr>
              <w:t> </w:t>
            </w:r>
            <w:r>
              <w:rPr>
                <w:spacing w:val="-10"/>
                <w:sz w:val="20"/>
              </w:rPr>
              <w:t>#</w:t>
            </w:r>
          </w:p>
        </w:tc>
        <w:tc>
          <w:tcPr>
            <w:tcW w:w="1258" w:type="dxa"/>
          </w:tcPr>
          <w:p>
            <w:pPr>
              <w:pStyle w:val="TableParagraph"/>
              <w:spacing w:before="31"/>
              <w:ind w:right="95"/>
              <w:jc w:val="right"/>
              <w:rPr>
                <w:sz w:val="20"/>
              </w:rPr>
            </w:pPr>
            <w:r>
              <w:rPr>
                <w:spacing w:val="-5"/>
                <w:sz w:val="20"/>
              </w:rPr>
              <w:t>422</w:t>
            </w:r>
          </w:p>
        </w:tc>
        <w:tc>
          <w:tcPr>
            <w:tcW w:w="1514" w:type="dxa"/>
            <w:shd w:val="clear" w:color="auto" w:fill="DDEBF6"/>
          </w:tcPr>
          <w:p>
            <w:pPr>
              <w:pStyle w:val="TableParagraph"/>
              <w:spacing w:before="31"/>
              <w:ind w:right="93"/>
              <w:jc w:val="right"/>
              <w:rPr>
                <w:b/>
                <w:sz w:val="20"/>
              </w:rPr>
            </w:pPr>
            <w:r>
              <w:rPr>
                <w:b/>
                <w:spacing w:val="-5"/>
                <w:sz w:val="20"/>
              </w:rPr>
              <w:t>447</w:t>
            </w:r>
          </w:p>
        </w:tc>
        <w:tc>
          <w:tcPr>
            <w:tcW w:w="1877" w:type="dxa"/>
          </w:tcPr>
          <w:p>
            <w:pPr>
              <w:pStyle w:val="TableParagraph"/>
              <w:spacing w:before="31"/>
              <w:ind w:right="456"/>
              <w:jc w:val="right"/>
              <w:rPr>
                <w:sz w:val="20"/>
              </w:rPr>
            </w:pPr>
            <w:r>
              <w:rPr>
                <w:spacing w:val="-5"/>
                <w:sz w:val="20"/>
              </w:rPr>
              <w:t>25</w:t>
            </w:r>
          </w:p>
        </w:tc>
        <w:tc>
          <w:tcPr>
            <w:tcW w:w="1145" w:type="dxa"/>
            <w:tcBorders>
              <w:right w:val="single" w:sz="12" w:space="0" w:color="000000"/>
            </w:tcBorders>
          </w:tcPr>
          <w:p>
            <w:pPr>
              <w:pStyle w:val="TableParagraph"/>
              <w:spacing w:before="31"/>
              <w:ind w:right="78"/>
              <w:jc w:val="right"/>
              <w:rPr>
                <w:sz w:val="20"/>
              </w:rPr>
            </w:pPr>
            <w:r>
              <w:rPr>
                <w:spacing w:val="-2"/>
                <w:sz w:val="20"/>
              </w:rPr>
              <w:t>5.59%</w:t>
            </w:r>
          </w:p>
        </w:tc>
      </w:tr>
      <w:tr>
        <w:trPr>
          <w:trHeight w:val="308" w:hRule="atLeast"/>
        </w:trPr>
        <w:tc>
          <w:tcPr>
            <w:tcW w:w="4643" w:type="dxa"/>
            <w:tcBorders>
              <w:left w:val="single" w:sz="12" w:space="0" w:color="000000"/>
              <w:bottom w:val="single" w:sz="12" w:space="0" w:color="000000"/>
            </w:tcBorders>
          </w:tcPr>
          <w:p>
            <w:pPr>
              <w:pStyle w:val="TableParagraph"/>
              <w:spacing w:before="35"/>
              <w:ind w:left="107"/>
              <w:rPr>
                <w:sz w:val="20"/>
              </w:rPr>
            </w:pPr>
            <w:r>
              <w:rPr>
                <w:sz w:val="20"/>
              </w:rPr>
              <w:t>Industrial</w:t>
            </w:r>
            <w:r>
              <w:rPr>
                <w:spacing w:val="-6"/>
                <w:sz w:val="20"/>
              </w:rPr>
              <w:t> </w:t>
            </w:r>
            <w:r>
              <w:rPr>
                <w:sz w:val="20"/>
              </w:rPr>
              <w:t>80</w:t>
            </w:r>
            <w:r>
              <w:rPr>
                <w:spacing w:val="-5"/>
                <w:sz w:val="20"/>
              </w:rPr>
              <w:t> </w:t>
            </w:r>
            <w:r>
              <w:rPr>
                <w:sz w:val="20"/>
              </w:rPr>
              <w:t>Litre</w:t>
            </w:r>
            <w:r>
              <w:rPr>
                <w:spacing w:val="-5"/>
                <w:sz w:val="20"/>
              </w:rPr>
              <w:t> </w:t>
            </w:r>
            <w:r>
              <w:rPr>
                <w:sz w:val="20"/>
              </w:rPr>
              <w:t>Service</w:t>
            </w:r>
            <w:r>
              <w:rPr>
                <w:spacing w:val="-5"/>
                <w:sz w:val="20"/>
              </w:rPr>
              <w:t> </w:t>
            </w:r>
            <w:r>
              <w:rPr>
                <w:spacing w:val="-10"/>
                <w:sz w:val="20"/>
              </w:rPr>
              <w:t>#</w:t>
            </w:r>
          </w:p>
        </w:tc>
        <w:tc>
          <w:tcPr>
            <w:tcW w:w="1258" w:type="dxa"/>
            <w:tcBorders>
              <w:bottom w:val="single" w:sz="12" w:space="0" w:color="000000"/>
            </w:tcBorders>
          </w:tcPr>
          <w:p>
            <w:pPr>
              <w:pStyle w:val="TableParagraph"/>
              <w:spacing w:before="35"/>
              <w:ind w:right="95"/>
              <w:jc w:val="right"/>
              <w:rPr>
                <w:sz w:val="20"/>
              </w:rPr>
            </w:pPr>
            <w:r>
              <w:rPr>
                <w:spacing w:val="-5"/>
                <w:sz w:val="20"/>
              </w:rPr>
              <w:t>355</w:t>
            </w:r>
          </w:p>
        </w:tc>
        <w:tc>
          <w:tcPr>
            <w:tcW w:w="1514" w:type="dxa"/>
            <w:tcBorders>
              <w:bottom w:val="single" w:sz="12" w:space="0" w:color="000000"/>
            </w:tcBorders>
            <w:shd w:val="clear" w:color="auto" w:fill="DDEBF6"/>
          </w:tcPr>
          <w:p>
            <w:pPr>
              <w:pStyle w:val="TableParagraph"/>
              <w:spacing w:before="35"/>
              <w:ind w:right="93"/>
              <w:jc w:val="right"/>
              <w:rPr>
                <w:b/>
                <w:sz w:val="20"/>
              </w:rPr>
            </w:pPr>
            <w:r>
              <w:rPr>
                <w:b/>
                <w:spacing w:val="-5"/>
                <w:sz w:val="20"/>
              </w:rPr>
              <w:t>376</w:t>
            </w:r>
          </w:p>
        </w:tc>
        <w:tc>
          <w:tcPr>
            <w:tcW w:w="1877" w:type="dxa"/>
            <w:tcBorders>
              <w:bottom w:val="single" w:sz="12" w:space="0" w:color="000000"/>
            </w:tcBorders>
          </w:tcPr>
          <w:p>
            <w:pPr>
              <w:pStyle w:val="TableParagraph"/>
              <w:spacing w:before="35"/>
              <w:ind w:right="456"/>
              <w:jc w:val="right"/>
              <w:rPr>
                <w:sz w:val="20"/>
              </w:rPr>
            </w:pPr>
            <w:r>
              <w:rPr>
                <w:spacing w:val="-5"/>
                <w:sz w:val="20"/>
              </w:rPr>
              <w:t>21</w:t>
            </w:r>
          </w:p>
        </w:tc>
        <w:tc>
          <w:tcPr>
            <w:tcW w:w="1145" w:type="dxa"/>
            <w:tcBorders>
              <w:bottom w:val="single" w:sz="12" w:space="0" w:color="000000"/>
              <w:right w:val="single" w:sz="12" w:space="0" w:color="000000"/>
            </w:tcBorders>
          </w:tcPr>
          <w:p>
            <w:pPr>
              <w:pStyle w:val="TableParagraph"/>
              <w:spacing w:before="35"/>
              <w:ind w:right="78"/>
              <w:jc w:val="right"/>
              <w:rPr>
                <w:sz w:val="20"/>
              </w:rPr>
            </w:pPr>
            <w:r>
              <w:rPr>
                <w:spacing w:val="-2"/>
                <w:sz w:val="20"/>
              </w:rPr>
              <w:t>5.59%</w:t>
            </w:r>
          </w:p>
        </w:tc>
      </w:tr>
    </w:tbl>
    <w:p>
      <w:pPr>
        <w:pStyle w:val="BodyText"/>
        <w:spacing w:before="8"/>
        <w:rPr>
          <w:sz w:val="21"/>
        </w:rPr>
      </w:pPr>
    </w:p>
    <w:p>
      <w:pPr>
        <w:spacing w:line="207" w:lineRule="exact" w:before="0"/>
        <w:ind w:left="260" w:right="0" w:firstLine="0"/>
        <w:jc w:val="left"/>
        <w:rPr>
          <w:sz w:val="18"/>
        </w:rPr>
      </w:pPr>
      <w:r>
        <w:rPr/>
        <w:pict>
          <v:shape style="position:absolute;margin-left:255.959015pt;margin-top:-119.838104pt;width:301.95pt;height:15pt;mso-position-horizontal-relative:page;mso-position-vertical-relative:paragraph;z-index:-38033920" id="docshape24" coordorigin="5119,-2397" coordsize="6039,300" path="m11158,-2397l9665,-2397,8150,-2397,6636,-2397,5119,-2397,5119,-2097,6636,-2097,8150,-2097,9665,-2097,11158,-2097,11158,-2397xe" filled="true" fillcolor="#d8d8d8" stroked="false">
            <v:path arrowok="t"/>
            <v:fill type="solid"/>
            <w10:wrap type="none"/>
          </v:shape>
        </w:pict>
      </w:r>
      <w:r>
        <w:rPr>
          <w:sz w:val="18"/>
        </w:rPr>
        <w:t>#These figures include</w:t>
      </w:r>
      <w:r>
        <w:rPr>
          <w:spacing w:val="-1"/>
          <w:sz w:val="18"/>
        </w:rPr>
        <w:t> </w:t>
      </w:r>
      <w:r>
        <w:rPr>
          <w:sz w:val="18"/>
        </w:rPr>
        <w:t>GST</w:t>
      </w:r>
      <w:r>
        <w:rPr>
          <w:spacing w:val="-2"/>
          <w:sz w:val="18"/>
        </w:rPr>
        <w:t> </w:t>
      </w:r>
      <w:r>
        <w:rPr>
          <w:sz w:val="18"/>
        </w:rPr>
        <w:t>which</w:t>
      </w:r>
      <w:r>
        <w:rPr>
          <w:spacing w:val="-4"/>
          <w:sz w:val="18"/>
        </w:rPr>
        <w:t> </w:t>
      </w:r>
      <w:r>
        <w:rPr>
          <w:sz w:val="18"/>
        </w:rPr>
        <w:t>applies to</w:t>
      </w:r>
      <w:r>
        <w:rPr>
          <w:spacing w:val="-3"/>
          <w:sz w:val="18"/>
        </w:rPr>
        <w:t> </w:t>
      </w:r>
      <w:r>
        <w:rPr>
          <w:sz w:val="18"/>
        </w:rPr>
        <w:t>these</w:t>
      </w:r>
      <w:r>
        <w:rPr>
          <w:spacing w:val="-3"/>
          <w:sz w:val="18"/>
        </w:rPr>
        <w:t> </w:t>
      </w:r>
      <w:r>
        <w:rPr>
          <w:spacing w:val="-2"/>
          <w:sz w:val="18"/>
        </w:rPr>
        <w:t>services.</w:t>
      </w:r>
    </w:p>
    <w:p>
      <w:pPr>
        <w:spacing w:line="207" w:lineRule="exact" w:before="0"/>
        <w:ind w:left="260" w:right="0" w:firstLine="0"/>
        <w:jc w:val="left"/>
        <w:rPr>
          <w:sz w:val="18"/>
        </w:rPr>
      </w:pPr>
      <w:r>
        <w:rPr>
          <w:sz w:val="18"/>
        </w:rPr>
        <w:t>*</w:t>
      </w:r>
      <w:r>
        <w:rPr>
          <w:spacing w:val="-2"/>
          <w:sz w:val="18"/>
        </w:rPr>
        <w:t> </w:t>
      </w:r>
      <w:r>
        <w:rPr>
          <w:sz w:val="18"/>
        </w:rPr>
        <w:t>Approval of</w:t>
      </w:r>
      <w:r>
        <w:rPr>
          <w:spacing w:val="-2"/>
          <w:sz w:val="18"/>
        </w:rPr>
        <w:t> </w:t>
      </w:r>
      <w:r>
        <w:rPr>
          <w:sz w:val="18"/>
        </w:rPr>
        <w:t>additional waste</w:t>
      </w:r>
      <w:r>
        <w:rPr>
          <w:spacing w:val="-3"/>
          <w:sz w:val="18"/>
        </w:rPr>
        <w:t> </w:t>
      </w:r>
      <w:r>
        <w:rPr>
          <w:sz w:val="18"/>
        </w:rPr>
        <w:t>service</w:t>
      </w:r>
      <w:r>
        <w:rPr>
          <w:spacing w:val="-3"/>
          <w:sz w:val="18"/>
        </w:rPr>
        <w:t> </w:t>
      </w:r>
      <w:r>
        <w:rPr>
          <w:sz w:val="18"/>
        </w:rPr>
        <w:t>is</w:t>
      </w:r>
      <w:r>
        <w:rPr>
          <w:spacing w:val="-3"/>
          <w:sz w:val="18"/>
        </w:rPr>
        <w:t> </w:t>
      </w:r>
      <w:r>
        <w:rPr>
          <w:sz w:val="18"/>
        </w:rPr>
        <w:t>subject</w:t>
      </w:r>
      <w:r>
        <w:rPr>
          <w:spacing w:val="-2"/>
          <w:sz w:val="18"/>
        </w:rPr>
        <w:t> </w:t>
      </w:r>
      <w:r>
        <w:rPr>
          <w:sz w:val="18"/>
        </w:rPr>
        <w:t>to</w:t>
      </w:r>
      <w:r>
        <w:rPr>
          <w:spacing w:val="1"/>
          <w:sz w:val="18"/>
        </w:rPr>
        <w:t> </w:t>
      </w:r>
      <w:r>
        <w:rPr>
          <w:sz w:val="18"/>
        </w:rPr>
        <w:t>Council </w:t>
      </w:r>
      <w:r>
        <w:rPr>
          <w:spacing w:val="-2"/>
          <w:sz w:val="18"/>
        </w:rPr>
        <w:t>assessment.</w:t>
      </w:r>
    </w:p>
    <w:p>
      <w:pPr>
        <w:pStyle w:val="BodyText"/>
        <w:spacing w:before="2"/>
      </w:pPr>
    </w:p>
    <w:p>
      <w:pPr>
        <w:pStyle w:val="BodyText"/>
        <w:ind w:left="826" w:right="449" w:hanging="567"/>
      </w:pPr>
      <w:r>
        <w:rPr/>
        <w:pict>
          <v:shape style="position:absolute;margin-left:248.040009pt;margin-top:144.357895pt;width:309.850pt;height:15pt;mso-position-horizontal-relative:page;mso-position-vertical-relative:paragraph;z-index:-38033408" id="docshape25" coordorigin="4961,2887" coordsize="6197,300" path="m11158,2887l9816,2887,8455,2887,6322,2887,4961,2887,4961,3187,6322,3187,8455,3187,9816,3187,11158,3187,11158,2887xe" filled="true" fillcolor="#d8d8d8" stroked="false">
            <v:path arrowok="t"/>
            <v:fill type="solid"/>
            <w10:wrap type="none"/>
          </v:shape>
        </w:pict>
      </w:r>
      <w:r>
        <w:rPr/>
        <w:t>4.1.1(j) The estimated total amount to be raised by each type of service rate or charge, and the estimated total amount to be raised by service rates and charges, compared with the previous financial year.</w:t>
      </w:r>
    </w:p>
    <w:p>
      <w:pPr>
        <w:pStyle w:val="BodyText"/>
        <w:spacing w:before="11"/>
        <w:rPr>
          <w:sz w:val="21"/>
        </w:rPr>
      </w:pPr>
    </w:p>
    <w:tbl>
      <w:tblPr>
        <w:tblW w:w="0" w:type="auto"/>
        <w:jc w:val="left"/>
        <w:tblInd w:w="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37"/>
        <w:gridCol w:w="1350"/>
        <w:gridCol w:w="2134"/>
        <w:gridCol w:w="1580"/>
        <w:gridCol w:w="1137"/>
      </w:tblGrid>
      <w:tr>
        <w:trPr>
          <w:trHeight w:val="590" w:hRule="atLeast"/>
        </w:trPr>
        <w:tc>
          <w:tcPr>
            <w:tcW w:w="10438" w:type="dxa"/>
            <w:gridSpan w:val="5"/>
            <w:tcBorders>
              <w:top w:val="single" w:sz="18" w:space="0" w:color="000000"/>
              <w:left w:val="single" w:sz="12" w:space="0" w:color="000000"/>
              <w:right w:val="single" w:sz="12" w:space="0" w:color="000000"/>
            </w:tcBorders>
            <w:shd w:val="clear" w:color="auto" w:fill="5B9AD4"/>
          </w:tcPr>
          <w:p>
            <w:pPr>
              <w:pStyle w:val="TableParagraph"/>
              <w:tabs>
                <w:tab w:pos="6328" w:val="left" w:leader="none"/>
                <w:tab w:pos="8747" w:val="left" w:leader="none"/>
              </w:tabs>
              <w:spacing w:line="178" w:lineRule="exact" w:before="38"/>
              <w:ind w:left="4580"/>
              <w:rPr>
                <w:b/>
                <w:sz w:val="18"/>
              </w:rPr>
            </w:pPr>
            <w:r>
              <w:rPr>
                <w:b/>
                <w:color w:val="FFFFFF"/>
                <w:spacing w:val="-2"/>
                <w:sz w:val="18"/>
              </w:rPr>
              <w:t>2024/25</w:t>
            </w:r>
            <w:r>
              <w:rPr>
                <w:b/>
                <w:color w:val="FFFFFF"/>
                <w:sz w:val="18"/>
              </w:rPr>
              <w:tab/>
            </w:r>
            <w:r>
              <w:rPr>
                <w:b/>
                <w:color w:val="FFFFFF"/>
                <w:spacing w:val="-2"/>
                <w:sz w:val="18"/>
              </w:rPr>
              <w:t>2025/26</w:t>
            </w:r>
            <w:r>
              <w:rPr>
                <w:b/>
                <w:color w:val="FFFFFF"/>
                <w:sz w:val="18"/>
              </w:rPr>
              <w:tab/>
            </w:r>
            <w:r>
              <w:rPr>
                <w:b/>
                <w:color w:val="FFFFFF"/>
                <w:spacing w:val="-2"/>
                <w:sz w:val="18"/>
              </w:rPr>
              <w:t>Change</w:t>
            </w:r>
          </w:p>
          <w:p>
            <w:pPr>
              <w:pStyle w:val="TableParagraph"/>
              <w:spacing w:line="150" w:lineRule="exact"/>
              <w:ind w:left="1479"/>
              <w:rPr>
                <w:b/>
                <w:sz w:val="18"/>
              </w:rPr>
            </w:pPr>
            <w:r>
              <w:rPr>
                <w:b/>
                <w:color w:val="FFFFFF"/>
                <w:sz w:val="18"/>
              </w:rPr>
              <w:t>Type</w:t>
            </w:r>
            <w:r>
              <w:rPr>
                <w:b/>
                <w:color w:val="FFFFFF"/>
                <w:spacing w:val="2"/>
                <w:sz w:val="18"/>
              </w:rPr>
              <w:t> </w:t>
            </w:r>
            <w:r>
              <w:rPr>
                <w:b/>
                <w:color w:val="FFFFFF"/>
                <w:sz w:val="18"/>
              </w:rPr>
              <w:t>of</w:t>
            </w:r>
            <w:r>
              <w:rPr>
                <w:b/>
                <w:color w:val="FFFFFF"/>
                <w:spacing w:val="-2"/>
                <w:sz w:val="18"/>
              </w:rPr>
              <w:t> Charge</w:t>
            </w:r>
          </w:p>
          <w:p>
            <w:pPr>
              <w:pStyle w:val="TableParagraph"/>
              <w:tabs>
                <w:tab w:pos="6604" w:val="left" w:leader="none"/>
                <w:tab w:pos="8348" w:val="left" w:leader="none"/>
                <w:tab w:pos="9678" w:val="left" w:leader="none"/>
              </w:tabs>
              <w:spacing w:line="179" w:lineRule="exact"/>
              <w:ind w:left="4854"/>
              <w:rPr>
                <w:b/>
                <w:sz w:val="18"/>
              </w:rPr>
            </w:pPr>
            <w:r>
              <w:rPr>
                <w:b/>
                <w:color w:val="FFFFFF"/>
                <w:spacing w:val="-10"/>
                <w:sz w:val="18"/>
              </w:rPr>
              <w:t>$</w:t>
            </w:r>
            <w:r>
              <w:rPr>
                <w:b/>
                <w:color w:val="FFFFFF"/>
                <w:sz w:val="18"/>
              </w:rPr>
              <w:tab/>
            </w:r>
            <w:r>
              <w:rPr>
                <w:b/>
                <w:color w:val="FFFFFF"/>
                <w:spacing w:val="-10"/>
                <w:sz w:val="18"/>
              </w:rPr>
              <w:t>$</w:t>
            </w:r>
            <w:r>
              <w:rPr>
                <w:b/>
                <w:color w:val="FFFFFF"/>
                <w:sz w:val="18"/>
              </w:rPr>
              <w:tab/>
            </w:r>
            <w:r>
              <w:rPr>
                <w:b/>
                <w:color w:val="FFFFFF"/>
                <w:spacing w:val="-10"/>
                <w:sz w:val="18"/>
              </w:rPr>
              <w:t>$</w:t>
            </w:r>
            <w:r>
              <w:rPr>
                <w:b/>
                <w:color w:val="FFFFFF"/>
                <w:sz w:val="18"/>
              </w:rPr>
              <w:tab/>
            </w:r>
            <w:r>
              <w:rPr>
                <w:b/>
                <w:color w:val="FFFFFF"/>
                <w:spacing w:val="-10"/>
                <w:sz w:val="18"/>
              </w:rPr>
              <w:t>%</w:t>
            </w:r>
          </w:p>
        </w:tc>
      </w:tr>
      <w:tr>
        <w:trPr>
          <w:trHeight w:val="304" w:hRule="atLeast"/>
        </w:trPr>
        <w:tc>
          <w:tcPr>
            <w:tcW w:w="4237" w:type="dxa"/>
            <w:tcBorders>
              <w:left w:val="single" w:sz="12" w:space="0" w:color="000000"/>
            </w:tcBorders>
          </w:tcPr>
          <w:p>
            <w:pPr>
              <w:pStyle w:val="TableParagraph"/>
              <w:spacing w:before="35"/>
              <w:ind w:left="107"/>
              <w:rPr>
                <w:sz w:val="20"/>
              </w:rPr>
            </w:pPr>
            <w:r>
              <w:rPr>
                <w:sz w:val="20"/>
              </w:rPr>
              <w:t>Residential</w:t>
            </w:r>
            <w:r>
              <w:rPr>
                <w:spacing w:val="-8"/>
                <w:sz w:val="20"/>
              </w:rPr>
              <w:t> </w:t>
            </w:r>
            <w:r>
              <w:rPr>
                <w:sz w:val="20"/>
              </w:rPr>
              <w:t>80</w:t>
            </w:r>
            <w:r>
              <w:rPr>
                <w:spacing w:val="-7"/>
                <w:sz w:val="20"/>
              </w:rPr>
              <w:t> </w:t>
            </w:r>
            <w:r>
              <w:rPr>
                <w:sz w:val="20"/>
              </w:rPr>
              <w:t>Litre</w:t>
            </w:r>
            <w:r>
              <w:rPr>
                <w:spacing w:val="-7"/>
                <w:sz w:val="20"/>
              </w:rPr>
              <w:t> </w:t>
            </w:r>
            <w:r>
              <w:rPr>
                <w:spacing w:val="-4"/>
                <w:sz w:val="20"/>
              </w:rPr>
              <w:t>Bins</w:t>
            </w:r>
          </w:p>
        </w:tc>
        <w:tc>
          <w:tcPr>
            <w:tcW w:w="1350" w:type="dxa"/>
          </w:tcPr>
          <w:p>
            <w:pPr>
              <w:pStyle w:val="TableParagraph"/>
              <w:spacing w:before="35"/>
              <w:ind w:right="93"/>
              <w:jc w:val="right"/>
              <w:rPr>
                <w:sz w:val="20"/>
              </w:rPr>
            </w:pPr>
            <w:r>
              <w:rPr>
                <w:spacing w:val="-2"/>
                <w:sz w:val="20"/>
              </w:rPr>
              <w:t>4,008,732</w:t>
            </w:r>
          </w:p>
        </w:tc>
        <w:tc>
          <w:tcPr>
            <w:tcW w:w="2134" w:type="dxa"/>
            <w:shd w:val="clear" w:color="auto" w:fill="DDEBF6"/>
          </w:tcPr>
          <w:p>
            <w:pPr>
              <w:pStyle w:val="TableParagraph"/>
              <w:spacing w:before="35"/>
              <w:ind w:right="90"/>
              <w:jc w:val="right"/>
              <w:rPr>
                <w:b/>
                <w:sz w:val="20"/>
              </w:rPr>
            </w:pPr>
            <w:r>
              <w:rPr>
                <w:b/>
                <w:spacing w:val="-2"/>
                <w:sz w:val="20"/>
              </w:rPr>
              <w:t>4,334,715</w:t>
            </w:r>
          </w:p>
        </w:tc>
        <w:tc>
          <w:tcPr>
            <w:tcW w:w="1580" w:type="dxa"/>
          </w:tcPr>
          <w:p>
            <w:pPr>
              <w:pStyle w:val="TableParagraph"/>
              <w:spacing w:before="35"/>
              <w:ind w:right="313"/>
              <w:jc w:val="right"/>
              <w:rPr>
                <w:sz w:val="20"/>
              </w:rPr>
            </w:pPr>
            <w:r>
              <w:rPr>
                <w:spacing w:val="-2"/>
                <w:sz w:val="20"/>
              </w:rPr>
              <w:t>325,983</w:t>
            </w:r>
          </w:p>
        </w:tc>
        <w:tc>
          <w:tcPr>
            <w:tcW w:w="1137" w:type="dxa"/>
            <w:tcBorders>
              <w:right w:val="single" w:sz="12" w:space="0" w:color="000000"/>
            </w:tcBorders>
          </w:tcPr>
          <w:p>
            <w:pPr>
              <w:pStyle w:val="TableParagraph"/>
              <w:spacing w:before="35"/>
              <w:ind w:right="79"/>
              <w:jc w:val="right"/>
              <w:rPr>
                <w:sz w:val="20"/>
              </w:rPr>
            </w:pPr>
            <w:r>
              <w:rPr>
                <w:spacing w:val="-2"/>
                <w:sz w:val="20"/>
              </w:rPr>
              <w:t>7.52%</w:t>
            </w:r>
          </w:p>
        </w:tc>
      </w:tr>
      <w:tr>
        <w:trPr>
          <w:trHeight w:val="300" w:hRule="atLeast"/>
        </w:trPr>
        <w:tc>
          <w:tcPr>
            <w:tcW w:w="4237" w:type="dxa"/>
            <w:tcBorders>
              <w:left w:val="single" w:sz="12" w:space="0" w:color="000000"/>
            </w:tcBorders>
          </w:tcPr>
          <w:p>
            <w:pPr>
              <w:pStyle w:val="TableParagraph"/>
              <w:spacing w:before="31"/>
              <w:ind w:left="107"/>
              <w:rPr>
                <w:sz w:val="20"/>
              </w:rPr>
            </w:pPr>
            <w:r>
              <w:rPr>
                <w:sz w:val="20"/>
              </w:rPr>
              <w:t>Residential</w:t>
            </w:r>
            <w:r>
              <w:rPr>
                <w:spacing w:val="-5"/>
                <w:sz w:val="20"/>
              </w:rPr>
              <w:t> </w:t>
            </w:r>
            <w:r>
              <w:rPr>
                <w:sz w:val="20"/>
              </w:rPr>
              <w:t>120</w:t>
            </w:r>
            <w:r>
              <w:rPr>
                <w:spacing w:val="-9"/>
                <w:sz w:val="20"/>
              </w:rPr>
              <w:t> </w:t>
            </w:r>
            <w:r>
              <w:rPr>
                <w:sz w:val="20"/>
              </w:rPr>
              <w:t>Litre</w:t>
            </w:r>
            <w:r>
              <w:rPr>
                <w:spacing w:val="-7"/>
                <w:sz w:val="20"/>
              </w:rPr>
              <w:t> </w:t>
            </w:r>
            <w:r>
              <w:rPr>
                <w:spacing w:val="-4"/>
                <w:sz w:val="20"/>
              </w:rPr>
              <w:t>Bins</w:t>
            </w:r>
          </w:p>
        </w:tc>
        <w:tc>
          <w:tcPr>
            <w:tcW w:w="1350" w:type="dxa"/>
          </w:tcPr>
          <w:p>
            <w:pPr>
              <w:pStyle w:val="TableParagraph"/>
              <w:spacing w:before="31"/>
              <w:ind w:right="90"/>
              <w:jc w:val="right"/>
              <w:rPr>
                <w:sz w:val="20"/>
              </w:rPr>
            </w:pPr>
            <w:r>
              <w:rPr>
                <w:spacing w:val="-2"/>
                <w:sz w:val="20"/>
              </w:rPr>
              <w:t>15,118,622</w:t>
            </w:r>
          </w:p>
        </w:tc>
        <w:tc>
          <w:tcPr>
            <w:tcW w:w="2134" w:type="dxa"/>
            <w:shd w:val="clear" w:color="auto" w:fill="DDEBF6"/>
          </w:tcPr>
          <w:p>
            <w:pPr>
              <w:pStyle w:val="TableParagraph"/>
              <w:spacing w:before="31"/>
              <w:ind w:right="91"/>
              <w:jc w:val="right"/>
              <w:rPr>
                <w:b/>
                <w:sz w:val="20"/>
              </w:rPr>
            </w:pPr>
            <w:r>
              <w:rPr>
                <w:b/>
                <w:spacing w:val="-2"/>
                <w:sz w:val="20"/>
              </w:rPr>
              <w:t>16,062,875</w:t>
            </w:r>
          </w:p>
        </w:tc>
        <w:tc>
          <w:tcPr>
            <w:tcW w:w="1580" w:type="dxa"/>
          </w:tcPr>
          <w:p>
            <w:pPr>
              <w:pStyle w:val="TableParagraph"/>
              <w:spacing w:before="31"/>
              <w:ind w:right="313"/>
              <w:jc w:val="right"/>
              <w:rPr>
                <w:sz w:val="20"/>
              </w:rPr>
            </w:pPr>
            <w:r>
              <w:rPr>
                <w:spacing w:val="-2"/>
                <w:sz w:val="20"/>
              </w:rPr>
              <w:t>944,253</w:t>
            </w:r>
          </w:p>
        </w:tc>
        <w:tc>
          <w:tcPr>
            <w:tcW w:w="1137" w:type="dxa"/>
            <w:tcBorders>
              <w:right w:val="single" w:sz="12" w:space="0" w:color="000000"/>
            </w:tcBorders>
          </w:tcPr>
          <w:p>
            <w:pPr>
              <w:pStyle w:val="TableParagraph"/>
              <w:spacing w:before="31"/>
              <w:ind w:right="79"/>
              <w:jc w:val="right"/>
              <w:rPr>
                <w:sz w:val="20"/>
              </w:rPr>
            </w:pPr>
            <w:r>
              <w:rPr>
                <w:spacing w:val="-2"/>
                <w:sz w:val="20"/>
              </w:rPr>
              <w:t>5.88%</w:t>
            </w:r>
          </w:p>
        </w:tc>
      </w:tr>
      <w:tr>
        <w:trPr>
          <w:trHeight w:val="300" w:hRule="atLeast"/>
        </w:trPr>
        <w:tc>
          <w:tcPr>
            <w:tcW w:w="4237" w:type="dxa"/>
            <w:tcBorders>
              <w:left w:val="single" w:sz="12" w:space="0" w:color="000000"/>
            </w:tcBorders>
          </w:tcPr>
          <w:p>
            <w:pPr>
              <w:pStyle w:val="TableParagraph"/>
              <w:spacing w:before="31"/>
              <w:ind w:left="107"/>
              <w:rPr>
                <w:sz w:val="20"/>
              </w:rPr>
            </w:pPr>
            <w:r>
              <w:rPr>
                <w:sz w:val="20"/>
              </w:rPr>
              <w:t>Second</w:t>
            </w:r>
            <w:r>
              <w:rPr>
                <w:spacing w:val="-10"/>
                <w:sz w:val="20"/>
              </w:rPr>
              <w:t> </w:t>
            </w:r>
            <w:r>
              <w:rPr>
                <w:sz w:val="20"/>
              </w:rPr>
              <w:t>and</w:t>
            </w:r>
            <w:r>
              <w:rPr>
                <w:spacing w:val="-7"/>
                <w:sz w:val="20"/>
              </w:rPr>
              <w:t> </w:t>
            </w:r>
            <w:r>
              <w:rPr>
                <w:sz w:val="20"/>
              </w:rPr>
              <w:t>Subsequent</w:t>
            </w:r>
            <w:r>
              <w:rPr>
                <w:spacing w:val="-6"/>
                <w:sz w:val="20"/>
              </w:rPr>
              <w:t> </w:t>
            </w:r>
            <w:r>
              <w:rPr>
                <w:spacing w:val="-4"/>
                <w:sz w:val="20"/>
              </w:rPr>
              <w:t>Bins*</w:t>
            </w:r>
          </w:p>
        </w:tc>
        <w:tc>
          <w:tcPr>
            <w:tcW w:w="1350" w:type="dxa"/>
          </w:tcPr>
          <w:p>
            <w:pPr>
              <w:pStyle w:val="TableParagraph"/>
              <w:spacing w:before="31"/>
              <w:ind w:right="94"/>
              <w:jc w:val="right"/>
              <w:rPr>
                <w:sz w:val="20"/>
              </w:rPr>
            </w:pPr>
            <w:r>
              <w:rPr>
                <w:spacing w:val="-2"/>
                <w:sz w:val="20"/>
              </w:rPr>
              <w:t>121,900</w:t>
            </w:r>
          </w:p>
        </w:tc>
        <w:tc>
          <w:tcPr>
            <w:tcW w:w="2134" w:type="dxa"/>
            <w:shd w:val="clear" w:color="auto" w:fill="DDEBF6"/>
          </w:tcPr>
          <w:p>
            <w:pPr>
              <w:pStyle w:val="TableParagraph"/>
              <w:spacing w:before="31"/>
              <w:ind w:right="91"/>
              <w:jc w:val="right"/>
              <w:rPr>
                <w:b/>
                <w:sz w:val="20"/>
              </w:rPr>
            </w:pPr>
            <w:r>
              <w:rPr>
                <w:b/>
                <w:spacing w:val="-2"/>
                <w:sz w:val="20"/>
              </w:rPr>
              <w:t>128,180</w:t>
            </w:r>
          </w:p>
        </w:tc>
        <w:tc>
          <w:tcPr>
            <w:tcW w:w="1580" w:type="dxa"/>
          </w:tcPr>
          <w:p>
            <w:pPr>
              <w:pStyle w:val="TableParagraph"/>
              <w:spacing w:before="31"/>
              <w:ind w:right="313"/>
              <w:jc w:val="right"/>
              <w:rPr>
                <w:sz w:val="20"/>
              </w:rPr>
            </w:pPr>
            <w:r>
              <w:rPr>
                <w:spacing w:val="-4"/>
                <w:sz w:val="20"/>
              </w:rPr>
              <w:t>6280</w:t>
            </w:r>
          </w:p>
        </w:tc>
        <w:tc>
          <w:tcPr>
            <w:tcW w:w="1137" w:type="dxa"/>
            <w:tcBorders>
              <w:right w:val="single" w:sz="12" w:space="0" w:color="000000"/>
            </w:tcBorders>
          </w:tcPr>
          <w:p>
            <w:pPr>
              <w:pStyle w:val="TableParagraph"/>
              <w:spacing w:before="31"/>
              <w:ind w:right="79"/>
              <w:jc w:val="right"/>
              <w:rPr>
                <w:sz w:val="20"/>
              </w:rPr>
            </w:pPr>
            <w:r>
              <w:rPr>
                <w:spacing w:val="-2"/>
                <w:sz w:val="20"/>
              </w:rPr>
              <w:t>4.90%</w:t>
            </w:r>
          </w:p>
        </w:tc>
      </w:tr>
      <w:tr>
        <w:trPr>
          <w:trHeight w:val="300" w:hRule="atLeast"/>
        </w:trPr>
        <w:tc>
          <w:tcPr>
            <w:tcW w:w="4237" w:type="dxa"/>
            <w:tcBorders>
              <w:left w:val="single" w:sz="12" w:space="0" w:color="000000"/>
            </w:tcBorders>
          </w:tcPr>
          <w:p>
            <w:pPr>
              <w:pStyle w:val="TableParagraph"/>
              <w:spacing w:before="31"/>
              <w:ind w:left="107"/>
              <w:rPr>
                <w:sz w:val="20"/>
              </w:rPr>
            </w:pPr>
            <w:r>
              <w:rPr>
                <w:sz w:val="20"/>
              </w:rPr>
              <w:t>Additional</w:t>
            </w:r>
            <w:r>
              <w:rPr>
                <w:spacing w:val="-9"/>
                <w:sz w:val="20"/>
              </w:rPr>
              <w:t> </w:t>
            </w:r>
            <w:r>
              <w:rPr>
                <w:sz w:val="20"/>
              </w:rPr>
              <w:t>Residential</w:t>
            </w:r>
            <w:r>
              <w:rPr>
                <w:spacing w:val="-7"/>
                <w:sz w:val="20"/>
              </w:rPr>
              <w:t> </w:t>
            </w:r>
            <w:r>
              <w:rPr>
                <w:sz w:val="20"/>
              </w:rPr>
              <w:t>120</w:t>
            </w:r>
            <w:r>
              <w:rPr>
                <w:spacing w:val="-7"/>
                <w:sz w:val="20"/>
              </w:rPr>
              <w:t> </w:t>
            </w:r>
            <w:r>
              <w:rPr>
                <w:sz w:val="20"/>
              </w:rPr>
              <w:t>Litre</w:t>
            </w:r>
            <w:r>
              <w:rPr>
                <w:spacing w:val="-7"/>
                <w:sz w:val="20"/>
              </w:rPr>
              <w:t> </w:t>
            </w:r>
            <w:r>
              <w:rPr>
                <w:spacing w:val="-4"/>
                <w:sz w:val="20"/>
              </w:rPr>
              <w:t>Bin*</w:t>
            </w:r>
          </w:p>
        </w:tc>
        <w:tc>
          <w:tcPr>
            <w:tcW w:w="1350" w:type="dxa"/>
          </w:tcPr>
          <w:p>
            <w:pPr>
              <w:pStyle w:val="TableParagraph"/>
              <w:spacing w:before="31"/>
              <w:ind w:right="94"/>
              <w:jc w:val="right"/>
              <w:rPr>
                <w:sz w:val="20"/>
              </w:rPr>
            </w:pPr>
            <w:r>
              <w:rPr>
                <w:spacing w:val="-2"/>
                <w:sz w:val="20"/>
              </w:rPr>
              <w:t>156,514</w:t>
            </w:r>
          </w:p>
        </w:tc>
        <w:tc>
          <w:tcPr>
            <w:tcW w:w="2134" w:type="dxa"/>
            <w:shd w:val="clear" w:color="auto" w:fill="DDEBF6"/>
          </w:tcPr>
          <w:p>
            <w:pPr>
              <w:pStyle w:val="TableParagraph"/>
              <w:spacing w:before="31"/>
              <w:ind w:right="91"/>
              <w:jc w:val="right"/>
              <w:rPr>
                <w:b/>
                <w:sz w:val="20"/>
              </w:rPr>
            </w:pPr>
            <w:r>
              <w:rPr>
                <w:b/>
                <w:spacing w:val="-2"/>
                <w:sz w:val="20"/>
              </w:rPr>
              <w:t>155,696</w:t>
            </w:r>
          </w:p>
        </w:tc>
        <w:tc>
          <w:tcPr>
            <w:tcW w:w="1580" w:type="dxa"/>
          </w:tcPr>
          <w:p>
            <w:pPr>
              <w:pStyle w:val="TableParagraph"/>
              <w:spacing w:before="31"/>
              <w:ind w:right="315"/>
              <w:jc w:val="right"/>
              <w:rPr>
                <w:sz w:val="20"/>
              </w:rPr>
            </w:pPr>
            <w:r>
              <w:rPr>
                <w:spacing w:val="-2"/>
                <w:sz w:val="20"/>
              </w:rPr>
              <w:t>(818)</w:t>
            </w:r>
          </w:p>
        </w:tc>
        <w:tc>
          <w:tcPr>
            <w:tcW w:w="1137" w:type="dxa"/>
            <w:tcBorders>
              <w:right w:val="single" w:sz="12" w:space="0" w:color="000000"/>
            </w:tcBorders>
          </w:tcPr>
          <w:p>
            <w:pPr>
              <w:pStyle w:val="TableParagraph"/>
              <w:spacing w:before="31"/>
              <w:ind w:right="81"/>
              <w:jc w:val="right"/>
              <w:rPr>
                <w:sz w:val="20"/>
              </w:rPr>
            </w:pPr>
            <w:r>
              <w:rPr>
                <w:spacing w:val="-2"/>
                <w:sz w:val="20"/>
              </w:rPr>
              <w:t>(0.53%)</w:t>
            </w:r>
          </w:p>
        </w:tc>
      </w:tr>
      <w:tr>
        <w:trPr>
          <w:trHeight w:val="295" w:hRule="atLeast"/>
        </w:trPr>
        <w:tc>
          <w:tcPr>
            <w:tcW w:w="4237" w:type="dxa"/>
            <w:tcBorders>
              <w:left w:val="single" w:sz="12" w:space="0" w:color="000000"/>
            </w:tcBorders>
          </w:tcPr>
          <w:p>
            <w:pPr>
              <w:pStyle w:val="TableParagraph"/>
              <w:spacing w:before="31"/>
              <w:ind w:left="107"/>
              <w:rPr>
                <w:sz w:val="20"/>
              </w:rPr>
            </w:pPr>
            <w:r>
              <w:rPr>
                <w:sz w:val="20"/>
              </w:rPr>
              <w:t>Additional</w:t>
            </w:r>
            <w:r>
              <w:rPr>
                <w:spacing w:val="-11"/>
                <w:sz w:val="20"/>
              </w:rPr>
              <w:t> </w:t>
            </w:r>
            <w:r>
              <w:rPr>
                <w:sz w:val="20"/>
              </w:rPr>
              <w:t>Residential</w:t>
            </w:r>
            <w:r>
              <w:rPr>
                <w:spacing w:val="-8"/>
                <w:sz w:val="20"/>
              </w:rPr>
              <w:t> </w:t>
            </w:r>
            <w:r>
              <w:rPr>
                <w:sz w:val="20"/>
              </w:rPr>
              <w:t>Garden</w:t>
            </w:r>
            <w:r>
              <w:rPr>
                <w:spacing w:val="-11"/>
                <w:sz w:val="20"/>
              </w:rPr>
              <w:t> </w:t>
            </w:r>
            <w:r>
              <w:rPr>
                <w:spacing w:val="-2"/>
                <w:sz w:val="20"/>
              </w:rPr>
              <w:t>Organics*</w:t>
            </w:r>
          </w:p>
        </w:tc>
        <w:tc>
          <w:tcPr>
            <w:tcW w:w="1350" w:type="dxa"/>
          </w:tcPr>
          <w:p>
            <w:pPr>
              <w:pStyle w:val="TableParagraph"/>
              <w:spacing w:before="31"/>
              <w:ind w:right="94"/>
              <w:jc w:val="right"/>
              <w:rPr>
                <w:sz w:val="20"/>
              </w:rPr>
            </w:pPr>
            <w:r>
              <w:rPr>
                <w:spacing w:val="-2"/>
                <w:sz w:val="20"/>
              </w:rPr>
              <w:t>212,290</w:t>
            </w:r>
          </w:p>
        </w:tc>
        <w:tc>
          <w:tcPr>
            <w:tcW w:w="2134" w:type="dxa"/>
            <w:shd w:val="clear" w:color="auto" w:fill="DDEBF6"/>
          </w:tcPr>
          <w:p>
            <w:pPr>
              <w:pStyle w:val="TableParagraph"/>
              <w:spacing w:before="31"/>
              <w:ind w:right="91"/>
              <w:jc w:val="right"/>
              <w:rPr>
                <w:b/>
                <w:sz w:val="20"/>
              </w:rPr>
            </w:pPr>
            <w:r>
              <w:rPr>
                <w:b/>
                <w:spacing w:val="-2"/>
                <w:sz w:val="20"/>
              </w:rPr>
              <w:t>251,850</w:t>
            </w:r>
          </w:p>
        </w:tc>
        <w:tc>
          <w:tcPr>
            <w:tcW w:w="1580" w:type="dxa"/>
          </w:tcPr>
          <w:p>
            <w:pPr>
              <w:pStyle w:val="TableParagraph"/>
              <w:spacing w:before="31"/>
              <w:ind w:right="313"/>
              <w:jc w:val="right"/>
              <w:rPr>
                <w:sz w:val="20"/>
              </w:rPr>
            </w:pPr>
            <w:r>
              <w:rPr>
                <w:spacing w:val="-2"/>
                <w:sz w:val="20"/>
              </w:rPr>
              <w:t>39,560</w:t>
            </w:r>
          </w:p>
        </w:tc>
        <w:tc>
          <w:tcPr>
            <w:tcW w:w="1137" w:type="dxa"/>
            <w:tcBorders>
              <w:right w:val="single" w:sz="12" w:space="0" w:color="000000"/>
            </w:tcBorders>
          </w:tcPr>
          <w:p>
            <w:pPr>
              <w:pStyle w:val="TableParagraph"/>
              <w:spacing w:before="31"/>
              <w:ind w:right="80"/>
              <w:jc w:val="right"/>
              <w:rPr>
                <w:sz w:val="20"/>
              </w:rPr>
            </w:pPr>
            <w:r>
              <w:rPr>
                <w:spacing w:val="-2"/>
                <w:sz w:val="20"/>
              </w:rPr>
              <w:t>15.71%</w:t>
            </w:r>
          </w:p>
        </w:tc>
      </w:tr>
      <w:tr>
        <w:trPr>
          <w:trHeight w:val="299" w:hRule="atLeast"/>
        </w:trPr>
        <w:tc>
          <w:tcPr>
            <w:tcW w:w="10438" w:type="dxa"/>
            <w:gridSpan w:val="5"/>
            <w:tcBorders>
              <w:left w:val="single" w:sz="12" w:space="0" w:color="000000"/>
              <w:right w:val="single" w:sz="12" w:space="0" w:color="000000"/>
            </w:tcBorders>
          </w:tcPr>
          <w:p>
            <w:pPr>
              <w:pStyle w:val="TableParagraph"/>
              <w:spacing w:before="35"/>
              <w:ind w:left="107"/>
              <w:rPr>
                <w:sz w:val="20"/>
              </w:rPr>
            </w:pPr>
            <w:r>
              <w:rPr>
                <w:sz w:val="20"/>
              </w:rPr>
              <w:t>Commercial</w:t>
            </w:r>
            <w:r>
              <w:rPr>
                <w:spacing w:val="-8"/>
                <w:sz w:val="20"/>
              </w:rPr>
              <w:t> </w:t>
            </w:r>
            <w:r>
              <w:rPr>
                <w:sz w:val="20"/>
              </w:rPr>
              <w:t>240</w:t>
            </w:r>
            <w:r>
              <w:rPr>
                <w:spacing w:val="-7"/>
                <w:sz w:val="20"/>
              </w:rPr>
              <w:t> </w:t>
            </w:r>
            <w:r>
              <w:rPr>
                <w:sz w:val="20"/>
              </w:rPr>
              <w:t>Litre</w:t>
            </w:r>
            <w:r>
              <w:rPr>
                <w:spacing w:val="-5"/>
                <w:sz w:val="20"/>
              </w:rPr>
              <w:t> </w:t>
            </w:r>
            <w:r>
              <w:rPr>
                <w:spacing w:val="-2"/>
                <w:sz w:val="20"/>
              </w:rPr>
              <w:t>Service</w:t>
            </w:r>
          </w:p>
        </w:tc>
      </w:tr>
      <w:tr>
        <w:trPr>
          <w:trHeight w:val="304" w:hRule="atLeast"/>
        </w:trPr>
        <w:tc>
          <w:tcPr>
            <w:tcW w:w="4237" w:type="dxa"/>
            <w:tcBorders>
              <w:left w:val="single" w:sz="12" w:space="0" w:color="000000"/>
            </w:tcBorders>
          </w:tcPr>
          <w:p>
            <w:pPr>
              <w:pStyle w:val="TableParagraph"/>
              <w:spacing w:before="35"/>
              <w:ind w:left="548"/>
              <w:rPr>
                <w:sz w:val="20"/>
              </w:rPr>
            </w:pPr>
            <w:r>
              <w:rPr>
                <w:sz w:val="20"/>
              </w:rPr>
              <w:t>One</w:t>
            </w:r>
            <w:r>
              <w:rPr>
                <w:spacing w:val="-5"/>
                <w:sz w:val="20"/>
              </w:rPr>
              <w:t> </w:t>
            </w:r>
            <w:r>
              <w:rPr>
                <w:sz w:val="20"/>
              </w:rPr>
              <w:t>per</w:t>
            </w:r>
            <w:r>
              <w:rPr>
                <w:spacing w:val="-3"/>
                <w:sz w:val="20"/>
              </w:rPr>
              <w:t> </w:t>
            </w:r>
            <w:r>
              <w:rPr>
                <w:sz w:val="20"/>
              </w:rPr>
              <w:t>week </w:t>
            </w:r>
            <w:r>
              <w:rPr>
                <w:spacing w:val="-10"/>
                <w:sz w:val="20"/>
              </w:rPr>
              <w:t>#</w:t>
            </w:r>
          </w:p>
        </w:tc>
        <w:tc>
          <w:tcPr>
            <w:tcW w:w="1350" w:type="dxa"/>
          </w:tcPr>
          <w:p>
            <w:pPr>
              <w:pStyle w:val="TableParagraph"/>
              <w:spacing w:before="35"/>
              <w:ind w:right="93"/>
              <w:jc w:val="right"/>
              <w:rPr>
                <w:sz w:val="20"/>
              </w:rPr>
            </w:pPr>
            <w:r>
              <w:rPr>
                <w:spacing w:val="-2"/>
                <w:sz w:val="20"/>
              </w:rPr>
              <w:t>499,892</w:t>
            </w:r>
          </w:p>
        </w:tc>
        <w:tc>
          <w:tcPr>
            <w:tcW w:w="2134" w:type="dxa"/>
            <w:shd w:val="clear" w:color="auto" w:fill="DDEBF6"/>
          </w:tcPr>
          <w:p>
            <w:pPr>
              <w:pStyle w:val="TableParagraph"/>
              <w:spacing w:before="35"/>
              <w:ind w:right="91"/>
              <w:jc w:val="right"/>
              <w:rPr>
                <w:b/>
                <w:sz w:val="20"/>
              </w:rPr>
            </w:pPr>
            <w:r>
              <w:rPr>
                <w:b/>
                <w:spacing w:val="-2"/>
                <w:sz w:val="20"/>
              </w:rPr>
              <w:t>537,840</w:t>
            </w:r>
          </w:p>
        </w:tc>
        <w:tc>
          <w:tcPr>
            <w:tcW w:w="1580" w:type="dxa"/>
          </w:tcPr>
          <w:p>
            <w:pPr>
              <w:pStyle w:val="TableParagraph"/>
              <w:spacing w:before="35"/>
              <w:ind w:right="313"/>
              <w:jc w:val="right"/>
              <w:rPr>
                <w:sz w:val="20"/>
              </w:rPr>
            </w:pPr>
            <w:r>
              <w:rPr>
                <w:spacing w:val="-2"/>
                <w:sz w:val="20"/>
              </w:rPr>
              <w:t>37,948</w:t>
            </w:r>
          </w:p>
        </w:tc>
        <w:tc>
          <w:tcPr>
            <w:tcW w:w="1137" w:type="dxa"/>
            <w:tcBorders>
              <w:right w:val="single" w:sz="12" w:space="0" w:color="000000"/>
            </w:tcBorders>
          </w:tcPr>
          <w:p>
            <w:pPr>
              <w:pStyle w:val="TableParagraph"/>
              <w:spacing w:before="35"/>
              <w:ind w:right="79"/>
              <w:jc w:val="right"/>
              <w:rPr>
                <w:sz w:val="20"/>
              </w:rPr>
            </w:pPr>
            <w:r>
              <w:rPr>
                <w:spacing w:val="-2"/>
                <w:sz w:val="20"/>
              </w:rPr>
              <w:t>7.06%</w:t>
            </w:r>
          </w:p>
        </w:tc>
      </w:tr>
      <w:tr>
        <w:trPr>
          <w:trHeight w:val="300" w:hRule="atLeast"/>
        </w:trPr>
        <w:tc>
          <w:tcPr>
            <w:tcW w:w="4237" w:type="dxa"/>
            <w:tcBorders>
              <w:left w:val="single" w:sz="12" w:space="0" w:color="000000"/>
            </w:tcBorders>
          </w:tcPr>
          <w:p>
            <w:pPr>
              <w:pStyle w:val="TableParagraph"/>
              <w:spacing w:before="31"/>
              <w:ind w:left="548"/>
              <w:rPr>
                <w:sz w:val="20"/>
              </w:rPr>
            </w:pPr>
            <w:r>
              <w:rPr>
                <w:sz w:val="20"/>
              </w:rPr>
              <w:t>Three</w:t>
            </w:r>
            <w:r>
              <w:rPr>
                <w:spacing w:val="-6"/>
                <w:sz w:val="20"/>
              </w:rPr>
              <w:t> </w:t>
            </w:r>
            <w:r>
              <w:rPr>
                <w:sz w:val="20"/>
              </w:rPr>
              <w:t>times</w:t>
            </w:r>
            <w:r>
              <w:rPr>
                <w:spacing w:val="-3"/>
                <w:sz w:val="20"/>
              </w:rPr>
              <w:t> </w:t>
            </w:r>
            <w:r>
              <w:rPr>
                <w:sz w:val="20"/>
              </w:rPr>
              <w:t>per</w:t>
            </w:r>
            <w:r>
              <w:rPr>
                <w:spacing w:val="-5"/>
                <w:sz w:val="20"/>
              </w:rPr>
              <w:t> </w:t>
            </w:r>
            <w:r>
              <w:rPr>
                <w:sz w:val="20"/>
              </w:rPr>
              <w:t>week</w:t>
            </w:r>
            <w:r>
              <w:rPr>
                <w:spacing w:val="-1"/>
                <w:sz w:val="20"/>
              </w:rPr>
              <w:t> </w:t>
            </w:r>
            <w:r>
              <w:rPr>
                <w:spacing w:val="-10"/>
                <w:sz w:val="20"/>
              </w:rPr>
              <w:t>#</w:t>
            </w:r>
          </w:p>
        </w:tc>
        <w:tc>
          <w:tcPr>
            <w:tcW w:w="1350" w:type="dxa"/>
          </w:tcPr>
          <w:p>
            <w:pPr>
              <w:pStyle w:val="TableParagraph"/>
              <w:spacing w:before="31"/>
              <w:ind w:right="94"/>
              <w:jc w:val="right"/>
              <w:rPr>
                <w:sz w:val="20"/>
              </w:rPr>
            </w:pPr>
            <w:r>
              <w:rPr>
                <w:spacing w:val="-2"/>
                <w:sz w:val="20"/>
              </w:rPr>
              <w:t>198,697</w:t>
            </w:r>
          </w:p>
        </w:tc>
        <w:tc>
          <w:tcPr>
            <w:tcW w:w="2134" w:type="dxa"/>
            <w:shd w:val="clear" w:color="auto" w:fill="DDEBF6"/>
          </w:tcPr>
          <w:p>
            <w:pPr>
              <w:pStyle w:val="TableParagraph"/>
              <w:spacing w:before="31"/>
              <w:ind w:right="91"/>
              <w:jc w:val="right"/>
              <w:rPr>
                <w:b/>
                <w:sz w:val="20"/>
              </w:rPr>
            </w:pPr>
            <w:r>
              <w:rPr>
                <w:b/>
                <w:spacing w:val="-2"/>
                <w:sz w:val="20"/>
              </w:rPr>
              <w:t>200,420</w:t>
            </w:r>
          </w:p>
        </w:tc>
        <w:tc>
          <w:tcPr>
            <w:tcW w:w="1580" w:type="dxa"/>
          </w:tcPr>
          <w:p>
            <w:pPr>
              <w:pStyle w:val="TableParagraph"/>
              <w:spacing w:before="31"/>
              <w:ind w:right="312"/>
              <w:jc w:val="right"/>
              <w:rPr>
                <w:sz w:val="20"/>
              </w:rPr>
            </w:pPr>
            <w:r>
              <w:rPr>
                <w:spacing w:val="-2"/>
                <w:sz w:val="20"/>
              </w:rPr>
              <w:t>1,723</w:t>
            </w:r>
          </w:p>
        </w:tc>
        <w:tc>
          <w:tcPr>
            <w:tcW w:w="1137" w:type="dxa"/>
            <w:tcBorders>
              <w:right w:val="single" w:sz="12" w:space="0" w:color="000000"/>
            </w:tcBorders>
          </w:tcPr>
          <w:p>
            <w:pPr>
              <w:pStyle w:val="TableParagraph"/>
              <w:spacing w:before="31"/>
              <w:ind w:right="79"/>
              <w:jc w:val="right"/>
              <w:rPr>
                <w:sz w:val="20"/>
              </w:rPr>
            </w:pPr>
            <w:r>
              <w:rPr>
                <w:spacing w:val="-2"/>
                <w:sz w:val="20"/>
              </w:rPr>
              <w:t>0.86%</w:t>
            </w:r>
          </w:p>
        </w:tc>
      </w:tr>
      <w:tr>
        <w:trPr>
          <w:trHeight w:val="300" w:hRule="atLeast"/>
        </w:trPr>
        <w:tc>
          <w:tcPr>
            <w:tcW w:w="4237" w:type="dxa"/>
            <w:tcBorders>
              <w:left w:val="single" w:sz="12" w:space="0" w:color="000000"/>
            </w:tcBorders>
          </w:tcPr>
          <w:p>
            <w:pPr>
              <w:pStyle w:val="TableParagraph"/>
              <w:spacing w:before="31"/>
              <w:ind w:left="107"/>
              <w:rPr>
                <w:sz w:val="20"/>
              </w:rPr>
            </w:pPr>
            <w:r>
              <w:rPr>
                <w:w w:val="95"/>
                <w:sz w:val="20"/>
              </w:rPr>
              <w:t>Additional</w:t>
            </w:r>
            <w:r>
              <w:rPr>
                <w:spacing w:val="58"/>
                <w:sz w:val="20"/>
              </w:rPr>
              <w:t> </w:t>
            </w:r>
            <w:r>
              <w:rPr>
                <w:w w:val="95"/>
                <w:sz w:val="20"/>
              </w:rPr>
              <w:t>Recycling-Non-residential</w:t>
            </w:r>
            <w:r>
              <w:rPr>
                <w:spacing w:val="67"/>
                <w:sz w:val="20"/>
              </w:rPr>
              <w:t> </w:t>
            </w:r>
            <w:r>
              <w:rPr>
                <w:spacing w:val="-10"/>
                <w:w w:val="95"/>
                <w:sz w:val="20"/>
              </w:rPr>
              <w:t>#</w:t>
            </w:r>
          </w:p>
        </w:tc>
        <w:tc>
          <w:tcPr>
            <w:tcW w:w="1350" w:type="dxa"/>
          </w:tcPr>
          <w:p>
            <w:pPr>
              <w:pStyle w:val="TableParagraph"/>
              <w:spacing w:before="31"/>
              <w:ind w:right="94"/>
              <w:jc w:val="right"/>
              <w:rPr>
                <w:sz w:val="20"/>
              </w:rPr>
            </w:pPr>
            <w:r>
              <w:rPr>
                <w:spacing w:val="-2"/>
                <w:sz w:val="20"/>
              </w:rPr>
              <w:t>23,119</w:t>
            </w:r>
          </w:p>
        </w:tc>
        <w:tc>
          <w:tcPr>
            <w:tcW w:w="2134" w:type="dxa"/>
            <w:shd w:val="clear" w:color="auto" w:fill="DDEBF6"/>
          </w:tcPr>
          <w:p>
            <w:pPr>
              <w:pStyle w:val="TableParagraph"/>
              <w:spacing w:before="31"/>
              <w:ind w:right="91"/>
              <w:jc w:val="right"/>
              <w:rPr>
                <w:b/>
                <w:sz w:val="20"/>
              </w:rPr>
            </w:pPr>
            <w:r>
              <w:rPr>
                <w:b/>
                <w:spacing w:val="-2"/>
                <w:sz w:val="20"/>
              </w:rPr>
              <w:t>26,455</w:t>
            </w:r>
          </w:p>
        </w:tc>
        <w:tc>
          <w:tcPr>
            <w:tcW w:w="1580" w:type="dxa"/>
          </w:tcPr>
          <w:p>
            <w:pPr>
              <w:pStyle w:val="TableParagraph"/>
              <w:spacing w:before="31"/>
              <w:ind w:right="312"/>
              <w:jc w:val="right"/>
              <w:rPr>
                <w:sz w:val="20"/>
              </w:rPr>
            </w:pPr>
            <w:r>
              <w:rPr>
                <w:spacing w:val="-2"/>
                <w:sz w:val="20"/>
              </w:rPr>
              <w:t>3,336</w:t>
            </w:r>
          </w:p>
        </w:tc>
        <w:tc>
          <w:tcPr>
            <w:tcW w:w="1137" w:type="dxa"/>
            <w:tcBorders>
              <w:right w:val="single" w:sz="12" w:space="0" w:color="000000"/>
            </w:tcBorders>
          </w:tcPr>
          <w:p>
            <w:pPr>
              <w:pStyle w:val="TableParagraph"/>
              <w:spacing w:before="31"/>
              <w:ind w:right="80"/>
              <w:jc w:val="right"/>
              <w:rPr>
                <w:sz w:val="20"/>
              </w:rPr>
            </w:pPr>
            <w:r>
              <w:rPr>
                <w:spacing w:val="-2"/>
                <w:sz w:val="20"/>
              </w:rPr>
              <w:t>12.61%</w:t>
            </w:r>
          </w:p>
        </w:tc>
      </w:tr>
      <w:tr>
        <w:trPr>
          <w:trHeight w:val="300" w:hRule="atLeast"/>
        </w:trPr>
        <w:tc>
          <w:tcPr>
            <w:tcW w:w="4237" w:type="dxa"/>
            <w:tcBorders>
              <w:left w:val="single" w:sz="12" w:space="0" w:color="000000"/>
            </w:tcBorders>
          </w:tcPr>
          <w:p>
            <w:pPr>
              <w:pStyle w:val="TableParagraph"/>
              <w:spacing w:before="31"/>
              <w:ind w:left="107"/>
              <w:rPr>
                <w:sz w:val="20"/>
              </w:rPr>
            </w:pPr>
            <w:r>
              <w:rPr>
                <w:sz w:val="20"/>
              </w:rPr>
              <w:t>Commercial</w:t>
            </w:r>
            <w:r>
              <w:rPr>
                <w:spacing w:val="-9"/>
                <w:sz w:val="20"/>
              </w:rPr>
              <w:t> </w:t>
            </w:r>
            <w:r>
              <w:rPr>
                <w:sz w:val="20"/>
              </w:rPr>
              <w:t>&amp;</w:t>
            </w:r>
            <w:r>
              <w:rPr>
                <w:spacing w:val="-6"/>
                <w:sz w:val="20"/>
              </w:rPr>
              <w:t> </w:t>
            </w:r>
            <w:r>
              <w:rPr>
                <w:sz w:val="20"/>
              </w:rPr>
              <w:t>Industrial</w:t>
            </w:r>
            <w:r>
              <w:rPr>
                <w:spacing w:val="-7"/>
                <w:sz w:val="20"/>
              </w:rPr>
              <w:t> </w:t>
            </w:r>
            <w:r>
              <w:rPr>
                <w:sz w:val="20"/>
              </w:rPr>
              <w:t>Garden</w:t>
            </w:r>
            <w:r>
              <w:rPr>
                <w:spacing w:val="-7"/>
                <w:sz w:val="20"/>
              </w:rPr>
              <w:t> </w:t>
            </w:r>
            <w:r>
              <w:rPr>
                <w:spacing w:val="-2"/>
                <w:sz w:val="20"/>
              </w:rPr>
              <w:t>Organics#*</w:t>
            </w:r>
          </w:p>
        </w:tc>
        <w:tc>
          <w:tcPr>
            <w:tcW w:w="1350" w:type="dxa"/>
          </w:tcPr>
          <w:p>
            <w:pPr>
              <w:pStyle w:val="TableParagraph"/>
              <w:spacing w:before="31"/>
              <w:ind w:right="92"/>
              <w:jc w:val="right"/>
              <w:rPr>
                <w:sz w:val="20"/>
              </w:rPr>
            </w:pPr>
            <w:r>
              <w:rPr>
                <w:spacing w:val="-2"/>
                <w:sz w:val="20"/>
              </w:rPr>
              <w:t>8,740</w:t>
            </w:r>
          </w:p>
        </w:tc>
        <w:tc>
          <w:tcPr>
            <w:tcW w:w="2134" w:type="dxa"/>
            <w:shd w:val="clear" w:color="auto" w:fill="DDEBF6"/>
          </w:tcPr>
          <w:p>
            <w:pPr>
              <w:pStyle w:val="TableParagraph"/>
              <w:spacing w:before="31"/>
              <w:ind w:right="91"/>
              <w:jc w:val="right"/>
              <w:rPr>
                <w:b/>
                <w:sz w:val="20"/>
              </w:rPr>
            </w:pPr>
            <w:r>
              <w:rPr>
                <w:b/>
                <w:spacing w:val="-2"/>
                <w:sz w:val="20"/>
              </w:rPr>
              <w:t>10,146</w:t>
            </w:r>
          </w:p>
        </w:tc>
        <w:tc>
          <w:tcPr>
            <w:tcW w:w="1580" w:type="dxa"/>
          </w:tcPr>
          <w:p>
            <w:pPr>
              <w:pStyle w:val="TableParagraph"/>
              <w:spacing w:before="31"/>
              <w:ind w:right="312"/>
              <w:jc w:val="right"/>
              <w:rPr>
                <w:sz w:val="20"/>
              </w:rPr>
            </w:pPr>
            <w:r>
              <w:rPr>
                <w:spacing w:val="-2"/>
                <w:sz w:val="20"/>
              </w:rPr>
              <w:t>1,406</w:t>
            </w:r>
          </w:p>
        </w:tc>
        <w:tc>
          <w:tcPr>
            <w:tcW w:w="1137" w:type="dxa"/>
            <w:tcBorders>
              <w:right w:val="single" w:sz="12" w:space="0" w:color="000000"/>
            </w:tcBorders>
          </w:tcPr>
          <w:p>
            <w:pPr>
              <w:pStyle w:val="TableParagraph"/>
              <w:spacing w:before="31"/>
              <w:ind w:right="80"/>
              <w:jc w:val="right"/>
              <w:rPr>
                <w:sz w:val="20"/>
              </w:rPr>
            </w:pPr>
            <w:r>
              <w:rPr>
                <w:spacing w:val="-2"/>
                <w:sz w:val="20"/>
              </w:rPr>
              <w:t>13.86%</w:t>
            </w:r>
          </w:p>
        </w:tc>
      </w:tr>
      <w:tr>
        <w:trPr>
          <w:trHeight w:val="303" w:hRule="atLeast"/>
        </w:trPr>
        <w:tc>
          <w:tcPr>
            <w:tcW w:w="4237" w:type="dxa"/>
            <w:tcBorders>
              <w:left w:val="single" w:sz="12" w:space="0" w:color="000000"/>
            </w:tcBorders>
          </w:tcPr>
          <w:p>
            <w:pPr>
              <w:pStyle w:val="TableParagraph"/>
              <w:spacing w:before="31"/>
              <w:ind w:left="107"/>
              <w:rPr>
                <w:sz w:val="20"/>
              </w:rPr>
            </w:pPr>
            <w:r>
              <w:rPr>
                <w:sz w:val="20"/>
              </w:rPr>
              <w:t>Industrial</w:t>
            </w:r>
            <w:r>
              <w:rPr>
                <w:spacing w:val="-4"/>
                <w:sz w:val="20"/>
              </w:rPr>
              <w:t> </w:t>
            </w:r>
            <w:r>
              <w:rPr>
                <w:sz w:val="20"/>
              </w:rPr>
              <w:t>120</w:t>
            </w:r>
            <w:r>
              <w:rPr>
                <w:spacing w:val="-5"/>
                <w:sz w:val="20"/>
              </w:rPr>
              <w:t> </w:t>
            </w:r>
            <w:r>
              <w:rPr>
                <w:sz w:val="20"/>
              </w:rPr>
              <w:t>Litre</w:t>
            </w:r>
            <w:r>
              <w:rPr>
                <w:spacing w:val="-7"/>
                <w:sz w:val="20"/>
              </w:rPr>
              <w:t> </w:t>
            </w:r>
            <w:r>
              <w:rPr>
                <w:sz w:val="20"/>
              </w:rPr>
              <w:t>Service</w:t>
            </w:r>
            <w:r>
              <w:rPr>
                <w:spacing w:val="-6"/>
                <w:sz w:val="20"/>
              </w:rPr>
              <w:t> </w:t>
            </w:r>
            <w:r>
              <w:rPr>
                <w:spacing w:val="-10"/>
                <w:sz w:val="20"/>
              </w:rPr>
              <w:t>#</w:t>
            </w:r>
          </w:p>
        </w:tc>
        <w:tc>
          <w:tcPr>
            <w:tcW w:w="1350" w:type="dxa"/>
          </w:tcPr>
          <w:p>
            <w:pPr>
              <w:pStyle w:val="TableParagraph"/>
              <w:spacing w:before="31"/>
              <w:ind w:right="93"/>
              <w:jc w:val="right"/>
              <w:rPr>
                <w:sz w:val="20"/>
              </w:rPr>
            </w:pPr>
            <w:r>
              <w:rPr>
                <w:spacing w:val="-2"/>
                <w:sz w:val="20"/>
              </w:rPr>
              <w:t>135,164</w:t>
            </w:r>
          </w:p>
        </w:tc>
        <w:tc>
          <w:tcPr>
            <w:tcW w:w="2134" w:type="dxa"/>
            <w:shd w:val="clear" w:color="auto" w:fill="DDEBF6"/>
          </w:tcPr>
          <w:p>
            <w:pPr>
              <w:pStyle w:val="TableParagraph"/>
              <w:spacing w:before="31"/>
              <w:ind w:right="91"/>
              <w:jc w:val="right"/>
              <w:rPr>
                <w:b/>
                <w:sz w:val="20"/>
              </w:rPr>
            </w:pPr>
            <w:r>
              <w:rPr>
                <w:b/>
                <w:spacing w:val="-2"/>
                <w:sz w:val="20"/>
              </w:rPr>
              <w:t>151,533</w:t>
            </w:r>
          </w:p>
        </w:tc>
        <w:tc>
          <w:tcPr>
            <w:tcW w:w="1580" w:type="dxa"/>
          </w:tcPr>
          <w:p>
            <w:pPr>
              <w:pStyle w:val="TableParagraph"/>
              <w:spacing w:before="31"/>
              <w:ind w:right="313"/>
              <w:jc w:val="right"/>
              <w:rPr>
                <w:sz w:val="20"/>
              </w:rPr>
            </w:pPr>
            <w:r>
              <w:rPr>
                <w:spacing w:val="-2"/>
                <w:sz w:val="20"/>
              </w:rPr>
              <w:t>16,369</w:t>
            </w:r>
          </w:p>
        </w:tc>
        <w:tc>
          <w:tcPr>
            <w:tcW w:w="1137" w:type="dxa"/>
            <w:tcBorders>
              <w:right w:val="single" w:sz="12" w:space="0" w:color="000000"/>
            </w:tcBorders>
          </w:tcPr>
          <w:p>
            <w:pPr>
              <w:pStyle w:val="TableParagraph"/>
              <w:spacing w:before="31"/>
              <w:ind w:right="80"/>
              <w:jc w:val="right"/>
              <w:rPr>
                <w:sz w:val="20"/>
              </w:rPr>
            </w:pPr>
            <w:r>
              <w:rPr>
                <w:spacing w:val="-2"/>
                <w:sz w:val="20"/>
              </w:rPr>
              <w:t>10.80%</w:t>
            </w:r>
          </w:p>
        </w:tc>
      </w:tr>
      <w:tr>
        <w:trPr>
          <w:trHeight w:val="310" w:hRule="atLeast"/>
        </w:trPr>
        <w:tc>
          <w:tcPr>
            <w:tcW w:w="4237" w:type="dxa"/>
            <w:tcBorders>
              <w:left w:val="single" w:sz="12" w:space="0" w:color="000000"/>
            </w:tcBorders>
          </w:tcPr>
          <w:p>
            <w:pPr>
              <w:pStyle w:val="TableParagraph"/>
              <w:spacing w:before="35"/>
              <w:ind w:left="107"/>
              <w:rPr>
                <w:sz w:val="20"/>
              </w:rPr>
            </w:pPr>
            <w:r>
              <w:rPr>
                <w:sz w:val="20"/>
              </w:rPr>
              <w:t>Industrial</w:t>
            </w:r>
            <w:r>
              <w:rPr>
                <w:spacing w:val="-6"/>
                <w:sz w:val="20"/>
              </w:rPr>
              <w:t> </w:t>
            </w:r>
            <w:r>
              <w:rPr>
                <w:sz w:val="20"/>
              </w:rPr>
              <w:t>80</w:t>
            </w:r>
            <w:r>
              <w:rPr>
                <w:spacing w:val="-5"/>
                <w:sz w:val="20"/>
              </w:rPr>
              <w:t> </w:t>
            </w:r>
            <w:r>
              <w:rPr>
                <w:sz w:val="20"/>
              </w:rPr>
              <w:t>Litre</w:t>
            </w:r>
            <w:r>
              <w:rPr>
                <w:spacing w:val="-5"/>
                <w:sz w:val="20"/>
              </w:rPr>
              <w:t> </w:t>
            </w:r>
            <w:r>
              <w:rPr>
                <w:sz w:val="20"/>
              </w:rPr>
              <w:t>Service</w:t>
            </w:r>
            <w:r>
              <w:rPr>
                <w:spacing w:val="-5"/>
                <w:sz w:val="20"/>
              </w:rPr>
              <w:t> </w:t>
            </w:r>
            <w:r>
              <w:rPr>
                <w:spacing w:val="-10"/>
                <w:sz w:val="20"/>
              </w:rPr>
              <w:t>#</w:t>
            </w:r>
          </w:p>
        </w:tc>
        <w:tc>
          <w:tcPr>
            <w:tcW w:w="1350" w:type="dxa"/>
          </w:tcPr>
          <w:p>
            <w:pPr>
              <w:pStyle w:val="TableParagraph"/>
              <w:spacing w:before="35"/>
              <w:ind w:right="93"/>
              <w:jc w:val="right"/>
              <w:rPr>
                <w:sz w:val="20"/>
              </w:rPr>
            </w:pPr>
            <w:r>
              <w:rPr>
                <w:spacing w:val="-2"/>
                <w:sz w:val="20"/>
              </w:rPr>
              <w:t>11,873</w:t>
            </w:r>
          </w:p>
        </w:tc>
        <w:tc>
          <w:tcPr>
            <w:tcW w:w="2134" w:type="dxa"/>
            <w:shd w:val="clear" w:color="auto" w:fill="DDEBF6"/>
          </w:tcPr>
          <w:p>
            <w:pPr>
              <w:pStyle w:val="TableParagraph"/>
              <w:spacing w:before="35"/>
              <w:ind w:right="91"/>
              <w:jc w:val="right"/>
              <w:rPr>
                <w:b/>
                <w:sz w:val="20"/>
              </w:rPr>
            </w:pPr>
            <w:r>
              <w:rPr>
                <w:b/>
                <w:spacing w:val="-2"/>
                <w:sz w:val="20"/>
              </w:rPr>
              <w:t>15,040</w:t>
            </w:r>
          </w:p>
        </w:tc>
        <w:tc>
          <w:tcPr>
            <w:tcW w:w="1580" w:type="dxa"/>
          </w:tcPr>
          <w:p>
            <w:pPr>
              <w:pStyle w:val="TableParagraph"/>
              <w:spacing w:before="35"/>
              <w:ind w:right="312"/>
              <w:jc w:val="right"/>
              <w:rPr>
                <w:sz w:val="20"/>
              </w:rPr>
            </w:pPr>
            <w:r>
              <w:rPr>
                <w:spacing w:val="-2"/>
                <w:sz w:val="20"/>
              </w:rPr>
              <w:t>3,167</w:t>
            </w:r>
          </w:p>
        </w:tc>
        <w:tc>
          <w:tcPr>
            <w:tcW w:w="1137" w:type="dxa"/>
            <w:tcBorders>
              <w:right w:val="single" w:sz="12" w:space="0" w:color="000000"/>
            </w:tcBorders>
          </w:tcPr>
          <w:p>
            <w:pPr>
              <w:pStyle w:val="TableParagraph"/>
              <w:spacing w:before="35"/>
              <w:ind w:right="80"/>
              <w:jc w:val="right"/>
              <w:rPr>
                <w:sz w:val="20"/>
              </w:rPr>
            </w:pPr>
            <w:r>
              <w:rPr>
                <w:spacing w:val="-2"/>
                <w:sz w:val="20"/>
              </w:rPr>
              <w:t>21.06%</w:t>
            </w:r>
          </w:p>
        </w:tc>
      </w:tr>
      <w:tr>
        <w:trPr>
          <w:trHeight w:val="312" w:hRule="atLeast"/>
        </w:trPr>
        <w:tc>
          <w:tcPr>
            <w:tcW w:w="4237" w:type="dxa"/>
            <w:tcBorders>
              <w:left w:val="single" w:sz="12" w:space="0" w:color="000000"/>
              <w:bottom w:val="single" w:sz="12" w:space="0" w:color="000000"/>
            </w:tcBorders>
          </w:tcPr>
          <w:p>
            <w:pPr>
              <w:pStyle w:val="TableParagraph"/>
              <w:spacing w:before="38"/>
              <w:ind w:left="107"/>
              <w:rPr>
                <w:b/>
                <w:sz w:val="20"/>
              </w:rPr>
            </w:pPr>
            <w:r>
              <w:rPr>
                <w:b/>
                <w:spacing w:val="-2"/>
                <w:sz w:val="20"/>
              </w:rPr>
              <w:t>Total</w:t>
            </w:r>
          </w:p>
        </w:tc>
        <w:tc>
          <w:tcPr>
            <w:tcW w:w="1350" w:type="dxa"/>
            <w:tcBorders>
              <w:bottom w:val="single" w:sz="12" w:space="0" w:color="000000"/>
            </w:tcBorders>
          </w:tcPr>
          <w:p>
            <w:pPr>
              <w:pStyle w:val="TableParagraph"/>
              <w:spacing w:before="38"/>
              <w:ind w:right="93"/>
              <w:jc w:val="right"/>
              <w:rPr>
                <w:b/>
                <w:sz w:val="20"/>
              </w:rPr>
            </w:pPr>
            <w:r>
              <w:rPr>
                <w:b/>
                <w:spacing w:val="-2"/>
                <w:sz w:val="20"/>
              </w:rPr>
              <w:t>20,495,543</w:t>
            </w:r>
          </w:p>
        </w:tc>
        <w:tc>
          <w:tcPr>
            <w:tcW w:w="2134" w:type="dxa"/>
            <w:tcBorders>
              <w:bottom w:val="single" w:sz="12" w:space="0" w:color="000000"/>
            </w:tcBorders>
            <w:shd w:val="clear" w:color="auto" w:fill="DDEBF6"/>
          </w:tcPr>
          <w:p>
            <w:pPr>
              <w:pStyle w:val="TableParagraph"/>
              <w:spacing w:before="38"/>
              <w:ind w:right="91"/>
              <w:jc w:val="right"/>
              <w:rPr>
                <w:b/>
                <w:sz w:val="20"/>
              </w:rPr>
            </w:pPr>
            <w:r>
              <w:rPr>
                <w:b/>
                <w:spacing w:val="-2"/>
                <w:sz w:val="20"/>
              </w:rPr>
              <w:t>21,874,750</w:t>
            </w:r>
          </w:p>
        </w:tc>
        <w:tc>
          <w:tcPr>
            <w:tcW w:w="1580" w:type="dxa"/>
            <w:tcBorders>
              <w:bottom w:val="single" w:sz="12" w:space="0" w:color="000000"/>
            </w:tcBorders>
          </w:tcPr>
          <w:p>
            <w:pPr>
              <w:pStyle w:val="TableParagraph"/>
              <w:spacing w:before="38"/>
              <w:ind w:right="312"/>
              <w:jc w:val="right"/>
              <w:rPr>
                <w:b/>
                <w:sz w:val="20"/>
              </w:rPr>
            </w:pPr>
            <w:r>
              <w:rPr>
                <w:b/>
                <w:spacing w:val="-2"/>
                <w:sz w:val="20"/>
              </w:rPr>
              <w:t>1,379,207</w:t>
            </w:r>
          </w:p>
        </w:tc>
        <w:tc>
          <w:tcPr>
            <w:tcW w:w="1137" w:type="dxa"/>
            <w:tcBorders>
              <w:bottom w:val="single" w:sz="12" w:space="0" w:color="000000"/>
              <w:right w:val="single" w:sz="12" w:space="0" w:color="000000"/>
            </w:tcBorders>
          </w:tcPr>
          <w:p>
            <w:pPr>
              <w:pStyle w:val="TableParagraph"/>
              <w:spacing w:before="38"/>
              <w:ind w:right="77"/>
              <w:jc w:val="right"/>
              <w:rPr>
                <w:b/>
                <w:sz w:val="20"/>
              </w:rPr>
            </w:pPr>
            <w:r>
              <w:rPr>
                <w:b/>
                <w:spacing w:val="-2"/>
                <w:sz w:val="20"/>
              </w:rPr>
              <w:t>6.31%</w:t>
            </w:r>
          </w:p>
        </w:tc>
      </w:tr>
    </w:tbl>
    <w:p>
      <w:pPr>
        <w:pStyle w:val="BodyText"/>
        <w:spacing w:before="8"/>
        <w:rPr>
          <w:sz w:val="21"/>
        </w:rPr>
      </w:pPr>
    </w:p>
    <w:p>
      <w:pPr>
        <w:spacing w:line="207" w:lineRule="exact" w:before="1"/>
        <w:ind w:left="260" w:right="0" w:firstLine="0"/>
        <w:jc w:val="left"/>
        <w:rPr>
          <w:sz w:val="18"/>
        </w:rPr>
      </w:pPr>
      <w:r>
        <w:rPr>
          <w:sz w:val="18"/>
        </w:rPr>
        <w:t>#These figures exclude</w:t>
      </w:r>
      <w:r>
        <w:rPr>
          <w:spacing w:val="-4"/>
          <w:sz w:val="18"/>
        </w:rPr>
        <w:t> </w:t>
      </w:r>
      <w:r>
        <w:rPr>
          <w:sz w:val="18"/>
        </w:rPr>
        <w:t>GST</w:t>
      </w:r>
      <w:r>
        <w:rPr>
          <w:spacing w:val="-1"/>
          <w:sz w:val="18"/>
        </w:rPr>
        <w:t> </w:t>
      </w:r>
      <w:r>
        <w:rPr>
          <w:sz w:val="18"/>
        </w:rPr>
        <w:t>on</w:t>
      </w:r>
      <w:r>
        <w:rPr>
          <w:spacing w:val="-1"/>
          <w:sz w:val="18"/>
        </w:rPr>
        <w:t> </w:t>
      </w:r>
      <w:r>
        <w:rPr>
          <w:sz w:val="18"/>
        </w:rPr>
        <w:t>Industrial,</w:t>
      </w:r>
      <w:r>
        <w:rPr>
          <w:spacing w:val="-2"/>
          <w:sz w:val="18"/>
        </w:rPr>
        <w:t> </w:t>
      </w:r>
      <w:r>
        <w:rPr>
          <w:sz w:val="18"/>
        </w:rPr>
        <w:t>Commercial</w:t>
      </w:r>
      <w:r>
        <w:rPr>
          <w:spacing w:val="-3"/>
          <w:sz w:val="18"/>
        </w:rPr>
        <w:t> </w:t>
      </w:r>
      <w:r>
        <w:rPr>
          <w:sz w:val="18"/>
        </w:rPr>
        <w:t>and</w:t>
      </w:r>
      <w:r>
        <w:rPr>
          <w:spacing w:val="-4"/>
          <w:sz w:val="18"/>
        </w:rPr>
        <w:t> </w:t>
      </w:r>
      <w:r>
        <w:rPr>
          <w:sz w:val="18"/>
        </w:rPr>
        <w:t>second</w:t>
      </w:r>
      <w:r>
        <w:rPr>
          <w:spacing w:val="-2"/>
          <w:sz w:val="18"/>
        </w:rPr>
        <w:t> </w:t>
      </w:r>
      <w:r>
        <w:rPr>
          <w:sz w:val="18"/>
        </w:rPr>
        <w:t>bin</w:t>
      </w:r>
      <w:r>
        <w:rPr>
          <w:spacing w:val="-1"/>
          <w:sz w:val="18"/>
        </w:rPr>
        <w:t> </w:t>
      </w:r>
      <w:r>
        <w:rPr>
          <w:sz w:val="18"/>
        </w:rPr>
        <w:t>Residential </w:t>
      </w:r>
      <w:r>
        <w:rPr>
          <w:spacing w:val="-2"/>
          <w:sz w:val="18"/>
        </w:rPr>
        <w:t>Services.</w:t>
      </w:r>
    </w:p>
    <w:p>
      <w:pPr>
        <w:spacing w:line="207" w:lineRule="exact" w:before="0"/>
        <w:ind w:left="260" w:right="0" w:firstLine="0"/>
        <w:jc w:val="left"/>
        <w:rPr>
          <w:sz w:val="18"/>
        </w:rPr>
      </w:pPr>
      <w:r>
        <w:rPr>
          <w:sz w:val="18"/>
        </w:rPr>
        <w:t>*</w:t>
      </w:r>
      <w:r>
        <w:rPr>
          <w:spacing w:val="-2"/>
          <w:sz w:val="18"/>
        </w:rPr>
        <w:t> </w:t>
      </w:r>
      <w:r>
        <w:rPr>
          <w:sz w:val="18"/>
        </w:rPr>
        <w:t>Approval of</w:t>
      </w:r>
      <w:r>
        <w:rPr>
          <w:spacing w:val="-2"/>
          <w:sz w:val="18"/>
        </w:rPr>
        <w:t> </w:t>
      </w:r>
      <w:r>
        <w:rPr>
          <w:sz w:val="18"/>
        </w:rPr>
        <w:t>additional waste</w:t>
      </w:r>
      <w:r>
        <w:rPr>
          <w:spacing w:val="-3"/>
          <w:sz w:val="18"/>
        </w:rPr>
        <w:t> </w:t>
      </w:r>
      <w:r>
        <w:rPr>
          <w:sz w:val="18"/>
        </w:rPr>
        <w:t>service</w:t>
      </w:r>
      <w:r>
        <w:rPr>
          <w:spacing w:val="-3"/>
          <w:sz w:val="18"/>
        </w:rPr>
        <w:t> </w:t>
      </w:r>
      <w:r>
        <w:rPr>
          <w:sz w:val="18"/>
        </w:rPr>
        <w:t>is</w:t>
      </w:r>
      <w:r>
        <w:rPr>
          <w:spacing w:val="-3"/>
          <w:sz w:val="18"/>
        </w:rPr>
        <w:t> </w:t>
      </w:r>
      <w:r>
        <w:rPr>
          <w:sz w:val="18"/>
        </w:rPr>
        <w:t>subject</w:t>
      </w:r>
      <w:r>
        <w:rPr>
          <w:spacing w:val="-2"/>
          <w:sz w:val="18"/>
        </w:rPr>
        <w:t> </w:t>
      </w:r>
      <w:r>
        <w:rPr>
          <w:sz w:val="18"/>
        </w:rPr>
        <w:t>to</w:t>
      </w:r>
      <w:r>
        <w:rPr>
          <w:spacing w:val="1"/>
          <w:sz w:val="18"/>
        </w:rPr>
        <w:t> </w:t>
      </w:r>
      <w:r>
        <w:rPr>
          <w:sz w:val="18"/>
        </w:rPr>
        <w:t>Council </w:t>
      </w:r>
      <w:r>
        <w:rPr>
          <w:spacing w:val="-2"/>
          <w:sz w:val="18"/>
        </w:rPr>
        <w:t>assessment.</w:t>
      </w:r>
    </w:p>
    <w:p>
      <w:pPr>
        <w:spacing w:after="0" w:line="207" w:lineRule="exact"/>
        <w:jc w:val="left"/>
        <w:rPr>
          <w:sz w:val="18"/>
        </w:rPr>
        <w:sectPr>
          <w:pgSz w:w="11910" w:h="16840"/>
          <w:pgMar w:header="0" w:footer="375" w:top="620" w:bottom="560" w:left="460" w:right="160"/>
        </w:sectPr>
      </w:pPr>
    </w:p>
    <w:p>
      <w:pPr>
        <w:pStyle w:val="BodyText"/>
        <w:spacing w:before="81"/>
        <w:ind w:left="980" w:right="445" w:hanging="721"/>
      </w:pPr>
      <w:r>
        <w:rPr/>
        <w:t>4.1.1(k)</w:t>
      </w:r>
      <w:r>
        <w:rPr>
          <w:spacing w:val="-16"/>
        </w:rPr>
        <w:t> </w:t>
      </w:r>
      <w:r>
        <w:rPr/>
        <w:t>The</w:t>
      </w:r>
      <w:r>
        <w:rPr>
          <w:spacing w:val="-17"/>
        </w:rPr>
        <w:t> </w:t>
      </w:r>
      <w:r>
        <w:rPr/>
        <w:t>estimated</w:t>
      </w:r>
      <w:r>
        <w:rPr>
          <w:spacing w:val="-15"/>
        </w:rPr>
        <w:t> </w:t>
      </w:r>
      <w:r>
        <w:rPr/>
        <w:t>total</w:t>
      </w:r>
      <w:r>
        <w:rPr>
          <w:spacing w:val="-15"/>
        </w:rPr>
        <w:t> </w:t>
      </w:r>
      <w:r>
        <w:rPr/>
        <w:t>amount</w:t>
      </w:r>
      <w:r>
        <w:rPr>
          <w:spacing w:val="-16"/>
        </w:rPr>
        <w:t> </w:t>
      </w:r>
      <w:r>
        <w:rPr/>
        <w:t>to</w:t>
      </w:r>
      <w:r>
        <w:rPr>
          <w:spacing w:val="-17"/>
        </w:rPr>
        <w:t> </w:t>
      </w:r>
      <w:r>
        <w:rPr/>
        <w:t>be</w:t>
      </w:r>
      <w:r>
        <w:rPr>
          <w:spacing w:val="-15"/>
        </w:rPr>
        <w:t> </w:t>
      </w:r>
      <w:r>
        <w:rPr/>
        <w:t>raised</w:t>
      </w:r>
      <w:r>
        <w:rPr>
          <w:spacing w:val="-17"/>
        </w:rPr>
        <w:t> </w:t>
      </w:r>
      <w:r>
        <w:rPr/>
        <w:t>by</w:t>
      </w:r>
      <w:r>
        <w:rPr>
          <w:spacing w:val="-15"/>
        </w:rPr>
        <w:t> </w:t>
      </w:r>
      <w:r>
        <w:rPr/>
        <w:t>all</w:t>
      </w:r>
      <w:r>
        <w:rPr>
          <w:spacing w:val="-15"/>
        </w:rPr>
        <w:t> </w:t>
      </w:r>
      <w:r>
        <w:rPr/>
        <w:t>rates</w:t>
      </w:r>
      <w:r>
        <w:rPr>
          <w:spacing w:val="-16"/>
        </w:rPr>
        <w:t> </w:t>
      </w:r>
      <w:r>
        <w:rPr/>
        <w:t>and</w:t>
      </w:r>
      <w:r>
        <w:rPr>
          <w:spacing w:val="-15"/>
        </w:rPr>
        <w:t> </w:t>
      </w:r>
      <w:r>
        <w:rPr/>
        <w:t>charges</w:t>
      </w:r>
      <w:r>
        <w:rPr>
          <w:spacing w:val="-15"/>
        </w:rPr>
        <w:t> </w:t>
      </w:r>
      <w:r>
        <w:rPr/>
        <w:t>compared</w:t>
      </w:r>
      <w:r>
        <w:rPr>
          <w:spacing w:val="-15"/>
        </w:rPr>
        <w:t> </w:t>
      </w:r>
      <w:r>
        <w:rPr/>
        <w:t>with</w:t>
      </w:r>
      <w:r>
        <w:rPr>
          <w:spacing w:val="-17"/>
        </w:rPr>
        <w:t> </w:t>
      </w:r>
      <w:r>
        <w:rPr/>
        <w:t>the</w:t>
      </w:r>
      <w:r>
        <w:rPr>
          <w:spacing w:val="-15"/>
        </w:rPr>
        <w:t> </w:t>
      </w:r>
      <w:r>
        <w:rPr/>
        <w:t>previous</w:t>
      </w:r>
      <w:r>
        <w:rPr>
          <w:spacing w:val="-15"/>
        </w:rPr>
        <w:t> </w:t>
      </w:r>
      <w:r>
        <w:rPr/>
        <w:t>financial </w:t>
      </w:r>
      <w:r>
        <w:rPr>
          <w:spacing w:val="-4"/>
        </w:rPr>
        <w:t>year</w:t>
      </w:r>
    </w:p>
    <w:p>
      <w:pPr>
        <w:pStyle w:val="BodyText"/>
      </w:pPr>
    </w:p>
    <w:tbl>
      <w:tblPr>
        <w:tblW w:w="0" w:type="auto"/>
        <w:jc w:val="left"/>
        <w:tblInd w:w="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26"/>
        <w:gridCol w:w="1734"/>
        <w:gridCol w:w="2180"/>
        <w:gridCol w:w="2003"/>
        <w:gridCol w:w="897"/>
      </w:tblGrid>
      <w:tr>
        <w:trPr>
          <w:trHeight w:val="593" w:hRule="atLeast"/>
        </w:trPr>
        <w:tc>
          <w:tcPr>
            <w:tcW w:w="5360" w:type="dxa"/>
            <w:gridSpan w:val="2"/>
            <w:tcBorders>
              <w:top w:val="single" w:sz="18" w:space="0" w:color="000000"/>
              <w:left w:val="single" w:sz="12" w:space="0" w:color="000000"/>
            </w:tcBorders>
            <w:shd w:val="clear" w:color="auto" w:fill="5B9AD4"/>
          </w:tcPr>
          <w:p>
            <w:pPr>
              <w:pStyle w:val="TableParagraph"/>
              <w:spacing w:before="38"/>
              <w:ind w:right="733"/>
              <w:jc w:val="right"/>
              <w:rPr>
                <w:b/>
                <w:sz w:val="18"/>
              </w:rPr>
            </w:pPr>
            <w:r>
              <w:rPr>
                <w:b/>
                <w:color w:val="FFFFFF"/>
                <w:spacing w:val="-2"/>
                <w:sz w:val="18"/>
              </w:rPr>
              <w:t>2024/25</w:t>
            </w:r>
          </w:p>
          <w:p>
            <w:pPr>
              <w:pStyle w:val="TableParagraph"/>
              <w:spacing w:before="93"/>
              <w:ind w:right="831"/>
              <w:jc w:val="right"/>
              <w:rPr>
                <w:b/>
                <w:sz w:val="18"/>
              </w:rPr>
            </w:pPr>
            <w:r>
              <w:rPr>
                <w:b/>
                <w:color w:val="FFFFFF"/>
                <w:spacing w:val="-2"/>
                <w:sz w:val="18"/>
              </w:rPr>
              <w:t>$’000</w:t>
            </w:r>
          </w:p>
        </w:tc>
        <w:tc>
          <w:tcPr>
            <w:tcW w:w="2180" w:type="dxa"/>
            <w:tcBorders>
              <w:top w:val="single" w:sz="18" w:space="0" w:color="000000"/>
            </w:tcBorders>
            <w:shd w:val="clear" w:color="auto" w:fill="5B9AD4"/>
          </w:tcPr>
          <w:p>
            <w:pPr>
              <w:pStyle w:val="TableParagraph"/>
              <w:spacing w:before="38"/>
              <w:ind w:left="764" w:right="739"/>
              <w:jc w:val="center"/>
              <w:rPr>
                <w:b/>
                <w:sz w:val="18"/>
              </w:rPr>
            </w:pPr>
            <w:r>
              <w:rPr>
                <w:b/>
                <w:color w:val="FFFFFF"/>
                <w:spacing w:val="-2"/>
                <w:sz w:val="18"/>
              </w:rPr>
              <w:t>2025/26</w:t>
            </w:r>
          </w:p>
          <w:p>
            <w:pPr>
              <w:pStyle w:val="TableParagraph"/>
              <w:spacing w:before="93"/>
              <w:ind w:left="764" w:right="736"/>
              <w:jc w:val="center"/>
              <w:rPr>
                <w:b/>
                <w:sz w:val="18"/>
              </w:rPr>
            </w:pPr>
            <w:r>
              <w:rPr>
                <w:b/>
                <w:color w:val="FFFFFF"/>
                <w:spacing w:val="-2"/>
                <w:sz w:val="18"/>
              </w:rPr>
              <w:t>$’000</w:t>
            </w:r>
          </w:p>
        </w:tc>
        <w:tc>
          <w:tcPr>
            <w:tcW w:w="2003" w:type="dxa"/>
            <w:tcBorders>
              <w:top w:val="single" w:sz="18" w:space="0" w:color="000000"/>
            </w:tcBorders>
            <w:shd w:val="clear" w:color="auto" w:fill="5B9AD4"/>
          </w:tcPr>
          <w:p>
            <w:pPr>
              <w:pStyle w:val="TableParagraph"/>
              <w:spacing w:before="38"/>
              <w:ind w:left="1117" w:right="196"/>
              <w:jc w:val="center"/>
              <w:rPr>
                <w:b/>
                <w:sz w:val="18"/>
              </w:rPr>
            </w:pPr>
            <w:r>
              <w:rPr>
                <w:b/>
                <w:color w:val="FFFFFF"/>
                <w:spacing w:val="-2"/>
                <w:sz w:val="18"/>
              </w:rPr>
              <w:t>Change</w:t>
            </w:r>
          </w:p>
          <w:p>
            <w:pPr>
              <w:pStyle w:val="TableParagraph"/>
              <w:spacing w:before="93"/>
              <w:ind w:left="13" w:right="196"/>
              <w:jc w:val="center"/>
              <w:rPr>
                <w:b/>
                <w:sz w:val="18"/>
              </w:rPr>
            </w:pPr>
            <w:r>
              <w:rPr>
                <w:b/>
                <w:color w:val="FFFFFF"/>
                <w:spacing w:val="-2"/>
                <w:sz w:val="18"/>
              </w:rPr>
              <w:t>$’000</w:t>
            </w:r>
          </w:p>
        </w:tc>
        <w:tc>
          <w:tcPr>
            <w:tcW w:w="897" w:type="dxa"/>
            <w:tcBorders>
              <w:top w:val="single" w:sz="18" w:space="0" w:color="000000"/>
              <w:right w:val="single" w:sz="12" w:space="0" w:color="000000"/>
            </w:tcBorders>
            <w:shd w:val="clear" w:color="auto" w:fill="5B9AD4"/>
          </w:tcPr>
          <w:p>
            <w:pPr>
              <w:pStyle w:val="TableParagraph"/>
              <w:spacing w:before="4"/>
              <w:rPr>
                <w:sz w:val="29"/>
              </w:rPr>
            </w:pPr>
          </w:p>
          <w:p>
            <w:pPr>
              <w:pStyle w:val="TableParagraph"/>
              <w:ind w:left="258"/>
              <w:rPr>
                <w:b/>
                <w:sz w:val="18"/>
              </w:rPr>
            </w:pPr>
            <w:r>
              <w:rPr>
                <w:b/>
                <w:color w:val="FFFFFF"/>
                <w:sz w:val="18"/>
              </w:rPr>
              <w:t>%</w:t>
            </w:r>
          </w:p>
        </w:tc>
      </w:tr>
      <w:tr>
        <w:trPr>
          <w:trHeight w:val="305" w:hRule="atLeast"/>
        </w:trPr>
        <w:tc>
          <w:tcPr>
            <w:tcW w:w="3626" w:type="dxa"/>
            <w:tcBorders>
              <w:left w:val="single" w:sz="12" w:space="0" w:color="000000"/>
            </w:tcBorders>
          </w:tcPr>
          <w:p>
            <w:pPr>
              <w:pStyle w:val="TableParagraph"/>
              <w:spacing w:before="33"/>
              <w:ind w:left="107"/>
              <w:rPr>
                <w:sz w:val="20"/>
              </w:rPr>
            </w:pPr>
            <w:r>
              <w:rPr>
                <w:sz w:val="20"/>
              </w:rPr>
              <w:t>General</w:t>
            </w:r>
            <w:r>
              <w:rPr>
                <w:spacing w:val="-8"/>
                <w:sz w:val="20"/>
              </w:rPr>
              <w:t> </w:t>
            </w:r>
            <w:r>
              <w:rPr>
                <w:spacing w:val="-2"/>
                <w:sz w:val="20"/>
              </w:rPr>
              <w:t>rates</w:t>
            </w:r>
          </w:p>
        </w:tc>
        <w:tc>
          <w:tcPr>
            <w:tcW w:w="1734" w:type="dxa"/>
          </w:tcPr>
          <w:p>
            <w:pPr>
              <w:pStyle w:val="TableParagraph"/>
              <w:spacing w:before="33"/>
              <w:ind w:right="91"/>
              <w:jc w:val="right"/>
              <w:rPr>
                <w:sz w:val="20"/>
              </w:rPr>
            </w:pPr>
            <w:r>
              <w:rPr>
                <w:spacing w:val="-2"/>
                <w:sz w:val="20"/>
              </w:rPr>
              <w:t>90,190</w:t>
            </w:r>
          </w:p>
        </w:tc>
        <w:tc>
          <w:tcPr>
            <w:tcW w:w="2180" w:type="dxa"/>
            <w:shd w:val="clear" w:color="auto" w:fill="DDEBF6"/>
          </w:tcPr>
          <w:p>
            <w:pPr>
              <w:pStyle w:val="TableParagraph"/>
              <w:spacing w:before="33"/>
              <w:ind w:right="95"/>
              <w:jc w:val="right"/>
              <w:rPr>
                <w:b/>
                <w:sz w:val="20"/>
              </w:rPr>
            </w:pPr>
            <w:r>
              <w:rPr>
                <w:b/>
                <w:spacing w:val="-2"/>
                <w:sz w:val="20"/>
              </w:rPr>
              <w:t>93,344</w:t>
            </w:r>
          </w:p>
        </w:tc>
        <w:tc>
          <w:tcPr>
            <w:tcW w:w="2003" w:type="dxa"/>
          </w:tcPr>
          <w:p>
            <w:pPr>
              <w:pStyle w:val="TableParagraph"/>
              <w:spacing w:before="33"/>
              <w:ind w:right="307"/>
              <w:jc w:val="right"/>
              <w:rPr>
                <w:sz w:val="20"/>
              </w:rPr>
            </w:pPr>
            <w:r>
              <w:rPr>
                <w:spacing w:val="-2"/>
                <w:sz w:val="20"/>
              </w:rPr>
              <w:t>3,155</w:t>
            </w:r>
          </w:p>
        </w:tc>
        <w:tc>
          <w:tcPr>
            <w:tcW w:w="897" w:type="dxa"/>
            <w:tcBorders>
              <w:right w:val="single" w:sz="12" w:space="0" w:color="000000"/>
            </w:tcBorders>
          </w:tcPr>
          <w:p>
            <w:pPr>
              <w:pStyle w:val="TableParagraph"/>
              <w:spacing w:before="33"/>
              <w:ind w:left="219"/>
              <w:rPr>
                <w:sz w:val="20"/>
              </w:rPr>
            </w:pPr>
            <w:r>
              <w:rPr>
                <w:spacing w:val="-2"/>
                <w:sz w:val="20"/>
              </w:rPr>
              <w:t>3.50%</w:t>
            </w:r>
          </w:p>
        </w:tc>
      </w:tr>
      <w:tr>
        <w:trPr>
          <w:trHeight w:val="312" w:hRule="atLeast"/>
        </w:trPr>
        <w:tc>
          <w:tcPr>
            <w:tcW w:w="3626" w:type="dxa"/>
            <w:tcBorders>
              <w:left w:val="single" w:sz="12" w:space="0" w:color="000000"/>
            </w:tcBorders>
          </w:tcPr>
          <w:p>
            <w:pPr>
              <w:pStyle w:val="TableParagraph"/>
              <w:spacing w:before="35"/>
              <w:ind w:left="107"/>
              <w:rPr>
                <w:sz w:val="20"/>
              </w:rPr>
            </w:pPr>
            <w:r>
              <w:rPr>
                <w:sz w:val="20"/>
              </w:rPr>
              <w:t>Service</w:t>
            </w:r>
            <w:r>
              <w:rPr>
                <w:spacing w:val="-9"/>
                <w:sz w:val="20"/>
              </w:rPr>
              <w:t> </w:t>
            </w:r>
            <w:r>
              <w:rPr>
                <w:sz w:val="20"/>
              </w:rPr>
              <w:t>(Garbage)</w:t>
            </w:r>
            <w:r>
              <w:rPr>
                <w:spacing w:val="-7"/>
                <w:sz w:val="20"/>
              </w:rPr>
              <w:t> </w:t>
            </w:r>
            <w:r>
              <w:rPr>
                <w:sz w:val="20"/>
              </w:rPr>
              <w:t>Charges</w:t>
            </w:r>
            <w:r>
              <w:rPr>
                <w:spacing w:val="-6"/>
                <w:sz w:val="20"/>
              </w:rPr>
              <w:t> </w:t>
            </w:r>
            <w:r>
              <w:rPr>
                <w:spacing w:val="-10"/>
                <w:sz w:val="20"/>
              </w:rPr>
              <w:t>#</w:t>
            </w:r>
          </w:p>
        </w:tc>
        <w:tc>
          <w:tcPr>
            <w:tcW w:w="1734" w:type="dxa"/>
          </w:tcPr>
          <w:p>
            <w:pPr>
              <w:pStyle w:val="TableParagraph"/>
              <w:spacing w:before="35"/>
              <w:ind w:right="92"/>
              <w:jc w:val="right"/>
              <w:rPr>
                <w:sz w:val="20"/>
              </w:rPr>
            </w:pPr>
            <w:r>
              <w:rPr>
                <w:spacing w:val="-2"/>
                <w:sz w:val="20"/>
              </w:rPr>
              <w:t>20,496</w:t>
            </w:r>
          </w:p>
        </w:tc>
        <w:tc>
          <w:tcPr>
            <w:tcW w:w="2180" w:type="dxa"/>
            <w:shd w:val="clear" w:color="auto" w:fill="DDEBF6"/>
          </w:tcPr>
          <w:p>
            <w:pPr>
              <w:pStyle w:val="TableParagraph"/>
              <w:spacing w:before="35"/>
              <w:ind w:right="92"/>
              <w:jc w:val="right"/>
              <w:rPr>
                <w:b/>
                <w:sz w:val="20"/>
              </w:rPr>
            </w:pPr>
            <w:r>
              <w:rPr>
                <w:b/>
                <w:spacing w:val="-2"/>
                <w:sz w:val="20"/>
              </w:rPr>
              <w:t>21,874</w:t>
            </w:r>
          </w:p>
        </w:tc>
        <w:tc>
          <w:tcPr>
            <w:tcW w:w="2003" w:type="dxa"/>
          </w:tcPr>
          <w:p>
            <w:pPr>
              <w:pStyle w:val="TableParagraph"/>
              <w:spacing w:before="35"/>
              <w:ind w:right="307"/>
              <w:jc w:val="right"/>
              <w:rPr>
                <w:sz w:val="20"/>
              </w:rPr>
            </w:pPr>
            <w:r>
              <w:rPr>
                <w:spacing w:val="-2"/>
                <w:sz w:val="20"/>
              </w:rPr>
              <w:t>1,378</w:t>
            </w:r>
          </w:p>
        </w:tc>
        <w:tc>
          <w:tcPr>
            <w:tcW w:w="897" w:type="dxa"/>
            <w:tcBorders>
              <w:right w:val="single" w:sz="12" w:space="0" w:color="000000"/>
            </w:tcBorders>
          </w:tcPr>
          <w:p>
            <w:pPr>
              <w:pStyle w:val="TableParagraph"/>
              <w:spacing w:before="35"/>
              <w:ind w:left="219"/>
              <w:rPr>
                <w:sz w:val="20"/>
              </w:rPr>
            </w:pPr>
            <w:r>
              <w:rPr>
                <w:spacing w:val="-2"/>
                <w:sz w:val="20"/>
              </w:rPr>
              <w:t>6.72%</w:t>
            </w:r>
          </w:p>
        </w:tc>
      </w:tr>
      <w:tr>
        <w:trPr>
          <w:trHeight w:val="313" w:hRule="atLeast"/>
        </w:trPr>
        <w:tc>
          <w:tcPr>
            <w:tcW w:w="3626" w:type="dxa"/>
            <w:tcBorders>
              <w:left w:val="single" w:sz="12" w:space="0" w:color="000000"/>
              <w:bottom w:val="single" w:sz="12" w:space="0" w:color="000000"/>
            </w:tcBorders>
          </w:tcPr>
          <w:p>
            <w:pPr>
              <w:pStyle w:val="TableParagraph"/>
              <w:spacing w:before="40"/>
              <w:ind w:left="107"/>
              <w:rPr>
                <w:b/>
                <w:sz w:val="20"/>
              </w:rPr>
            </w:pPr>
            <w:r>
              <w:rPr>
                <w:b/>
                <w:sz w:val="20"/>
              </w:rPr>
              <w:t>Total</w:t>
            </w:r>
            <w:r>
              <w:rPr>
                <w:b/>
                <w:spacing w:val="-7"/>
                <w:sz w:val="20"/>
              </w:rPr>
              <w:t> </w:t>
            </w:r>
            <w:r>
              <w:rPr>
                <w:b/>
                <w:sz w:val="20"/>
              </w:rPr>
              <w:t>Rates</w:t>
            </w:r>
            <w:r>
              <w:rPr>
                <w:b/>
                <w:spacing w:val="-4"/>
                <w:sz w:val="20"/>
              </w:rPr>
              <w:t> </w:t>
            </w:r>
            <w:r>
              <w:rPr>
                <w:b/>
                <w:sz w:val="20"/>
              </w:rPr>
              <w:t>and</w:t>
            </w:r>
            <w:r>
              <w:rPr>
                <w:b/>
                <w:spacing w:val="-4"/>
                <w:sz w:val="20"/>
              </w:rPr>
              <w:t> </w:t>
            </w:r>
            <w:r>
              <w:rPr>
                <w:b/>
                <w:spacing w:val="-2"/>
                <w:sz w:val="20"/>
              </w:rPr>
              <w:t>charges</w:t>
            </w:r>
          </w:p>
        </w:tc>
        <w:tc>
          <w:tcPr>
            <w:tcW w:w="1734" w:type="dxa"/>
            <w:tcBorders>
              <w:bottom w:val="single" w:sz="12" w:space="0" w:color="000000"/>
            </w:tcBorders>
          </w:tcPr>
          <w:p>
            <w:pPr>
              <w:pStyle w:val="TableParagraph"/>
              <w:spacing w:before="40"/>
              <w:ind w:right="92"/>
              <w:jc w:val="right"/>
              <w:rPr>
                <w:b/>
                <w:sz w:val="20"/>
              </w:rPr>
            </w:pPr>
            <w:r>
              <w:rPr>
                <w:b/>
                <w:spacing w:val="-2"/>
                <w:sz w:val="20"/>
              </w:rPr>
              <w:t>110,686</w:t>
            </w:r>
          </w:p>
        </w:tc>
        <w:tc>
          <w:tcPr>
            <w:tcW w:w="2180" w:type="dxa"/>
            <w:tcBorders>
              <w:bottom w:val="single" w:sz="12" w:space="0" w:color="000000"/>
            </w:tcBorders>
            <w:shd w:val="clear" w:color="auto" w:fill="DDEBF6"/>
          </w:tcPr>
          <w:p>
            <w:pPr>
              <w:pStyle w:val="TableParagraph"/>
              <w:spacing w:before="40"/>
              <w:ind w:right="92"/>
              <w:jc w:val="right"/>
              <w:rPr>
                <w:b/>
                <w:sz w:val="20"/>
              </w:rPr>
            </w:pPr>
            <w:r>
              <w:rPr>
                <w:b/>
                <w:spacing w:val="-2"/>
                <w:sz w:val="20"/>
              </w:rPr>
              <w:t>115,219</w:t>
            </w:r>
          </w:p>
        </w:tc>
        <w:tc>
          <w:tcPr>
            <w:tcW w:w="2003" w:type="dxa"/>
            <w:tcBorders>
              <w:bottom w:val="single" w:sz="12" w:space="0" w:color="000000"/>
            </w:tcBorders>
          </w:tcPr>
          <w:p>
            <w:pPr>
              <w:pStyle w:val="TableParagraph"/>
              <w:spacing w:before="40"/>
              <w:ind w:right="307"/>
              <w:jc w:val="right"/>
              <w:rPr>
                <w:b/>
                <w:sz w:val="20"/>
              </w:rPr>
            </w:pPr>
            <w:r>
              <w:rPr>
                <w:b/>
                <w:spacing w:val="-2"/>
                <w:sz w:val="20"/>
              </w:rPr>
              <w:t>4,533</w:t>
            </w:r>
          </w:p>
        </w:tc>
        <w:tc>
          <w:tcPr>
            <w:tcW w:w="897" w:type="dxa"/>
            <w:tcBorders>
              <w:bottom w:val="single" w:sz="12" w:space="0" w:color="000000"/>
              <w:right w:val="single" w:sz="12" w:space="0" w:color="000000"/>
            </w:tcBorders>
          </w:tcPr>
          <w:p>
            <w:pPr>
              <w:pStyle w:val="TableParagraph"/>
              <w:spacing w:before="40"/>
              <w:ind w:left="219"/>
              <w:rPr>
                <w:b/>
                <w:sz w:val="20"/>
              </w:rPr>
            </w:pPr>
            <w:r>
              <w:rPr>
                <w:b/>
                <w:spacing w:val="-2"/>
                <w:sz w:val="20"/>
              </w:rPr>
              <w:t>4.10%</w:t>
            </w:r>
          </w:p>
        </w:tc>
      </w:tr>
    </w:tbl>
    <w:p>
      <w:pPr>
        <w:spacing w:before="0"/>
        <w:ind w:left="543" w:right="0" w:firstLine="0"/>
        <w:jc w:val="left"/>
        <w:rPr>
          <w:sz w:val="20"/>
        </w:rPr>
      </w:pPr>
      <w:r>
        <w:rPr>
          <w:sz w:val="18"/>
        </w:rPr>
        <w:t>#These</w:t>
      </w:r>
      <w:r>
        <w:rPr>
          <w:spacing w:val="-1"/>
          <w:sz w:val="18"/>
        </w:rPr>
        <w:t> </w:t>
      </w:r>
      <w:r>
        <w:rPr>
          <w:sz w:val="18"/>
        </w:rPr>
        <w:t>figures</w:t>
      </w:r>
      <w:r>
        <w:rPr>
          <w:spacing w:val="-1"/>
          <w:sz w:val="18"/>
        </w:rPr>
        <w:t> </w:t>
      </w:r>
      <w:r>
        <w:rPr>
          <w:sz w:val="18"/>
        </w:rPr>
        <w:t>exclude</w:t>
      </w:r>
      <w:r>
        <w:rPr>
          <w:spacing w:val="-4"/>
          <w:sz w:val="18"/>
        </w:rPr>
        <w:t> </w:t>
      </w:r>
      <w:r>
        <w:rPr>
          <w:sz w:val="18"/>
        </w:rPr>
        <w:t>GST</w:t>
      </w:r>
      <w:r>
        <w:rPr>
          <w:spacing w:val="-3"/>
          <w:sz w:val="18"/>
        </w:rPr>
        <w:t> </w:t>
      </w:r>
      <w:r>
        <w:rPr>
          <w:sz w:val="18"/>
        </w:rPr>
        <w:t>on</w:t>
      </w:r>
      <w:r>
        <w:rPr>
          <w:spacing w:val="-2"/>
          <w:sz w:val="18"/>
        </w:rPr>
        <w:t> </w:t>
      </w:r>
      <w:r>
        <w:rPr>
          <w:sz w:val="18"/>
        </w:rPr>
        <w:t>Industrial,</w:t>
      </w:r>
      <w:r>
        <w:rPr>
          <w:spacing w:val="-2"/>
          <w:sz w:val="18"/>
        </w:rPr>
        <w:t> </w:t>
      </w:r>
      <w:r>
        <w:rPr>
          <w:sz w:val="18"/>
        </w:rPr>
        <w:t>Commercial,</w:t>
      </w:r>
      <w:r>
        <w:rPr>
          <w:spacing w:val="-4"/>
          <w:sz w:val="18"/>
        </w:rPr>
        <w:t> </w:t>
      </w:r>
      <w:r>
        <w:rPr>
          <w:sz w:val="18"/>
        </w:rPr>
        <w:t>and</w:t>
      </w:r>
      <w:r>
        <w:rPr>
          <w:spacing w:val="-5"/>
          <w:sz w:val="18"/>
        </w:rPr>
        <w:t> </w:t>
      </w:r>
      <w:r>
        <w:rPr>
          <w:sz w:val="18"/>
        </w:rPr>
        <w:t>additional</w:t>
      </w:r>
      <w:r>
        <w:rPr>
          <w:spacing w:val="-1"/>
          <w:sz w:val="18"/>
        </w:rPr>
        <w:t> </w:t>
      </w:r>
      <w:r>
        <w:rPr>
          <w:sz w:val="18"/>
        </w:rPr>
        <w:t>recycling-non-residential</w:t>
      </w:r>
      <w:r>
        <w:rPr>
          <w:spacing w:val="4"/>
          <w:sz w:val="18"/>
        </w:rPr>
        <w:t> </w:t>
      </w:r>
      <w:r>
        <w:rPr>
          <w:spacing w:val="-2"/>
          <w:sz w:val="20"/>
        </w:rPr>
        <w:t>Services.</w:t>
      </w:r>
    </w:p>
    <w:p>
      <w:pPr>
        <w:pStyle w:val="BodyText"/>
        <w:spacing w:before="4"/>
        <w:rPr>
          <w:sz w:val="21"/>
        </w:rPr>
      </w:pPr>
    </w:p>
    <w:p>
      <w:pPr>
        <w:pStyle w:val="BodyText"/>
        <w:ind w:left="260"/>
        <w:jc w:val="both"/>
      </w:pPr>
      <w:r>
        <w:rPr/>
        <w:t>4.1.1(l)</w:t>
      </w:r>
      <w:r>
        <w:rPr>
          <w:spacing w:val="-1"/>
        </w:rPr>
        <w:t> </w:t>
      </w:r>
      <w:r>
        <w:rPr/>
        <w:t>Fair</w:t>
      </w:r>
      <w:r>
        <w:rPr>
          <w:spacing w:val="-7"/>
        </w:rPr>
        <w:t> </w:t>
      </w:r>
      <w:r>
        <w:rPr/>
        <w:t>Go</w:t>
      </w:r>
      <w:r>
        <w:rPr>
          <w:spacing w:val="-4"/>
        </w:rPr>
        <w:t> </w:t>
      </w:r>
      <w:r>
        <w:rPr/>
        <w:t>Rates</w:t>
      </w:r>
      <w:r>
        <w:rPr>
          <w:spacing w:val="-2"/>
        </w:rPr>
        <w:t> </w:t>
      </w:r>
      <w:r>
        <w:rPr/>
        <w:t>System</w:t>
      </w:r>
      <w:r>
        <w:rPr>
          <w:spacing w:val="-1"/>
        </w:rPr>
        <w:t> </w:t>
      </w:r>
      <w:r>
        <w:rPr>
          <w:spacing w:val="-2"/>
        </w:rPr>
        <w:t>Compliance</w:t>
      </w:r>
    </w:p>
    <w:p>
      <w:pPr>
        <w:pStyle w:val="BodyText"/>
      </w:pPr>
    </w:p>
    <w:p>
      <w:pPr>
        <w:pStyle w:val="BodyText"/>
        <w:ind w:left="260" w:right="553"/>
        <w:jc w:val="both"/>
      </w:pPr>
      <w:r>
        <w:rPr/>
        <w:t>Maroondah City Council is required to comply with the State Government’s Fair Go Rates System (FGRS). The table below details the budget assumptions consistent with the requirements of the Fair Go Rates </w:t>
      </w:r>
      <w:r>
        <w:rPr>
          <w:spacing w:val="-2"/>
        </w:rPr>
        <w:t>System.</w:t>
      </w:r>
    </w:p>
    <w:p>
      <w:pPr>
        <w:pStyle w:val="BodyText"/>
        <w:spacing w:before="10"/>
        <w:rPr>
          <w:sz w:val="21"/>
        </w:rPr>
      </w:pPr>
    </w:p>
    <w:tbl>
      <w:tblPr>
        <w:tblW w:w="0" w:type="auto"/>
        <w:jc w:val="left"/>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96"/>
        <w:gridCol w:w="1943"/>
        <w:gridCol w:w="2551"/>
      </w:tblGrid>
      <w:tr>
        <w:trPr>
          <w:trHeight w:val="290" w:hRule="atLeast"/>
        </w:trPr>
        <w:tc>
          <w:tcPr>
            <w:tcW w:w="7939" w:type="dxa"/>
            <w:gridSpan w:val="2"/>
            <w:tcBorders>
              <w:top w:val="single" w:sz="18" w:space="0" w:color="000000"/>
              <w:left w:val="single" w:sz="12" w:space="0" w:color="000000"/>
            </w:tcBorders>
            <w:shd w:val="clear" w:color="auto" w:fill="5B9AD4"/>
          </w:tcPr>
          <w:p>
            <w:pPr>
              <w:pStyle w:val="TableParagraph"/>
              <w:spacing w:before="38"/>
              <w:ind w:right="917"/>
              <w:jc w:val="right"/>
              <w:rPr>
                <w:b/>
                <w:sz w:val="18"/>
              </w:rPr>
            </w:pPr>
            <w:r>
              <w:rPr>
                <w:b/>
                <w:color w:val="FFFFFF"/>
                <w:spacing w:val="-2"/>
                <w:sz w:val="18"/>
              </w:rPr>
              <w:t>2024/25</w:t>
            </w:r>
          </w:p>
        </w:tc>
        <w:tc>
          <w:tcPr>
            <w:tcW w:w="2551" w:type="dxa"/>
            <w:tcBorders>
              <w:top w:val="single" w:sz="18" w:space="0" w:color="000000"/>
              <w:right w:val="single" w:sz="12" w:space="0" w:color="000000"/>
            </w:tcBorders>
            <w:shd w:val="clear" w:color="auto" w:fill="5B9AD4"/>
          </w:tcPr>
          <w:p>
            <w:pPr>
              <w:pStyle w:val="TableParagraph"/>
              <w:spacing w:before="38"/>
              <w:ind w:left="944" w:right="914"/>
              <w:jc w:val="center"/>
              <w:rPr>
                <w:b/>
                <w:sz w:val="18"/>
              </w:rPr>
            </w:pPr>
            <w:r>
              <w:rPr>
                <w:b/>
                <w:color w:val="FFFFFF"/>
                <w:spacing w:val="-2"/>
                <w:sz w:val="18"/>
              </w:rPr>
              <w:t>2025/26</w:t>
            </w:r>
          </w:p>
        </w:tc>
      </w:tr>
      <w:tr>
        <w:trPr>
          <w:trHeight w:val="320" w:hRule="atLeast"/>
        </w:trPr>
        <w:tc>
          <w:tcPr>
            <w:tcW w:w="5996" w:type="dxa"/>
            <w:tcBorders>
              <w:left w:val="single" w:sz="12" w:space="0" w:color="000000"/>
            </w:tcBorders>
          </w:tcPr>
          <w:p>
            <w:pPr>
              <w:pStyle w:val="TableParagraph"/>
              <w:spacing w:before="69"/>
              <w:ind w:left="107"/>
              <w:rPr>
                <w:sz w:val="20"/>
              </w:rPr>
            </w:pPr>
            <w:r>
              <w:rPr>
                <w:sz w:val="20"/>
              </w:rPr>
              <w:t>Total</w:t>
            </w:r>
            <w:r>
              <w:rPr>
                <w:spacing w:val="-6"/>
                <w:sz w:val="20"/>
              </w:rPr>
              <w:t> </w:t>
            </w:r>
            <w:r>
              <w:rPr>
                <w:spacing w:val="-2"/>
                <w:sz w:val="20"/>
              </w:rPr>
              <w:t>Rates</w:t>
            </w:r>
          </w:p>
        </w:tc>
        <w:tc>
          <w:tcPr>
            <w:tcW w:w="1943" w:type="dxa"/>
          </w:tcPr>
          <w:p>
            <w:pPr>
              <w:pStyle w:val="TableParagraph"/>
              <w:spacing w:before="35"/>
              <w:ind w:right="93"/>
              <w:jc w:val="right"/>
              <w:rPr>
                <w:sz w:val="20"/>
              </w:rPr>
            </w:pPr>
            <w:r>
              <w:rPr>
                <w:spacing w:val="-2"/>
                <w:sz w:val="20"/>
              </w:rPr>
              <w:t>$87,777,073</w:t>
            </w:r>
          </w:p>
        </w:tc>
        <w:tc>
          <w:tcPr>
            <w:tcW w:w="2551" w:type="dxa"/>
            <w:tcBorders>
              <w:right w:val="single" w:sz="12" w:space="0" w:color="000000"/>
            </w:tcBorders>
            <w:shd w:val="clear" w:color="auto" w:fill="DDEBF6"/>
          </w:tcPr>
          <w:p>
            <w:pPr>
              <w:pStyle w:val="TableParagraph"/>
              <w:spacing w:before="35"/>
              <w:ind w:right="78"/>
              <w:jc w:val="right"/>
              <w:rPr>
                <w:b/>
                <w:sz w:val="20"/>
              </w:rPr>
            </w:pPr>
            <w:r>
              <w:rPr>
                <w:b/>
                <w:spacing w:val="-2"/>
                <w:sz w:val="20"/>
              </w:rPr>
              <w:t>$90,625,541</w:t>
            </w:r>
          </w:p>
        </w:tc>
      </w:tr>
      <w:tr>
        <w:trPr>
          <w:trHeight w:val="300" w:hRule="atLeast"/>
        </w:trPr>
        <w:tc>
          <w:tcPr>
            <w:tcW w:w="5996" w:type="dxa"/>
            <w:tcBorders>
              <w:left w:val="single" w:sz="12" w:space="0" w:color="000000"/>
            </w:tcBorders>
          </w:tcPr>
          <w:p>
            <w:pPr>
              <w:pStyle w:val="TableParagraph"/>
              <w:spacing w:before="48"/>
              <w:ind w:left="107"/>
              <w:rPr>
                <w:sz w:val="20"/>
              </w:rPr>
            </w:pPr>
            <w:r>
              <w:rPr>
                <w:sz w:val="20"/>
              </w:rPr>
              <w:t>Number</w:t>
            </w:r>
            <w:r>
              <w:rPr>
                <w:spacing w:val="-7"/>
                <w:sz w:val="20"/>
              </w:rPr>
              <w:t> </w:t>
            </w:r>
            <w:r>
              <w:rPr>
                <w:sz w:val="20"/>
              </w:rPr>
              <w:t>of</w:t>
            </w:r>
            <w:r>
              <w:rPr>
                <w:spacing w:val="-7"/>
                <w:sz w:val="20"/>
              </w:rPr>
              <w:t> </w:t>
            </w:r>
            <w:r>
              <w:rPr>
                <w:sz w:val="20"/>
              </w:rPr>
              <w:t>rateable</w:t>
            </w:r>
            <w:r>
              <w:rPr>
                <w:spacing w:val="-3"/>
                <w:sz w:val="20"/>
              </w:rPr>
              <w:t> </w:t>
            </w:r>
            <w:r>
              <w:rPr>
                <w:spacing w:val="-2"/>
                <w:sz w:val="20"/>
              </w:rPr>
              <w:t>properties</w:t>
            </w:r>
          </w:p>
        </w:tc>
        <w:tc>
          <w:tcPr>
            <w:tcW w:w="1943" w:type="dxa"/>
          </w:tcPr>
          <w:p>
            <w:pPr>
              <w:pStyle w:val="TableParagraph"/>
              <w:spacing w:before="14"/>
              <w:ind w:right="93"/>
              <w:jc w:val="right"/>
              <w:rPr>
                <w:sz w:val="20"/>
              </w:rPr>
            </w:pPr>
            <w:r>
              <w:rPr>
                <w:spacing w:val="-2"/>
                <w:sz w:val="20"/>
              </w:rPr>
              <w:t>52,675</w:t>
            </w:r>
          </w:p>
        </w:tc>
        <w:tc>
          <w:tcPr>
            <w:tcW w:w="2551" w:type="dxa"/>
            <w:tcBorders>
              <w:right w:val="single" w:sz="12" w:space="0" w:color="000000"/>
            </w:tcBorders>
            <w:shd w:val="clear" w:color="auto" w:fill="DDEBF6"/>
          </w:tcPr>
          <w:p>
            <w:pPr>
              <w:pStyle w:val="TableParagraph"/>
              <w:spacing w:before="14"/>
              <w:ind w:right="78"/>
              <w:jc w:val="right"/>
              <w:rPr>
                <w:b/>
                <w:sz w:val="20"/>
              </w:rPr>
            </w:pPr>
            <w:r>
              <w:rPr>
                <w:b/>
                <w:spacing w:val="-2"/>
                <w:sz w:val="20"/>
              </w:rPr>
              <w:t>52,878</w:t>
            </w:r>
          </w:p>
        </w:tc>
      </w:tr>
      <w:tr>
        <w:trPr>
          <w:trHeight w:val="300" w:hRule="atLeast"/>
        </w:trPr>
        <w:tc>
          <w:tcPr>
            <w:tcW w:w="5996" w:type="dxa"/>
            <w:tcBorders>
              <w:left w:val="single" w:sz="12" w:space="0" w:color="000000"/>
            </w:tcBorders>
          </w:tcPr>
          <w:p>
            <w:pPr>
              <w:pStyle w:val="TableParagraph"/>
              <w:spacing w:before="48"/>
              <w:ind w:left="107"/>
              <w:rPr>
                <w:sz w:val="20"/>
              </w:rPr>
            </w:pPr>
            <w:r>
              <w:rPr>
                <w:sz w:val="20"/>
              </w:rPr>
              <w:t>Base</w:t>
            </w:r>
            <w:r>
              <w:rPr>
                <w:spacing w:val="-9"/>
                <w:sz w:val="20"/>
              </w:rPr>
              <w:t> </w:t>
            </w:r>
            <w:r>
              <w:rPr>
                <w:sz w:val="20"/>
              </w:rPr>
              <w:t>Average</w:t>
            </w:r>
            <w:r>
              <w:rPr>
                <w:spacing w:val="-8"/>
                <w:sz w:val="20"/>
              </w:rPr>
              <w:t> </w:t>
            </w:r>
            <w:r>
              <w:rPr>
                <w:spacing w:val="-4"/>
                <w:sz w:val="20"/>
              </w:rPr>
              <w:t>Rates</w:t>
            </w:r>
          </w:p>
        </w:tc>
        <w:tc>
          <w:tcPr>
            <w:tcW w:w="1943" w:type="dxa"/>
          </w:tcPr>
          <w:p>
            <w:pPr>
              <w:pStyle w:val="TableParagraph"/>
              <w:spacing w:before="14"/>
              <w:ind w:right="90"/>
              <w:jc w:val="right"/>
              <w:rPr>
                <w:sz w:val="20"/>
              </w:rPr>
            </w:pPr>
            <w:r>
              <w:rPr>
                <w:spacing w:val="-2"/>
                <w:sz w:val="20"/>
              </w:rPr>
              <w:t>$1,666.39</w:t>
            </w:r>
          </w:p>
        </w:tc>
        <w:tc>
          <w:tcPr>
            <w:tcW w:w="2551" w:type="dxa"/>
            <w:tcBorders>
              <w:right w:val="single" w:sz="12" w:space="0" w:color="000000"/>
            </w:tcBorders>
            <w:shd w:val="clear" w:color="auto" w:fill="DDEBF6"/>
          </w:tcPr>
          <w:p>
            <w:pPr>
              <w:pStyle w:val="TableParagraph"/>
              <w:spacing w:before="14"/>
              <w:ind w:right="74"/>
              <w:jc w:val="right"/>
              <w:rPr>
                <w:b/>
                <w:sz w:val="20"/>
              </w:rPr>
            </w:pPr>
            <w:r>
              <w:rPr>
                <w:b/>
                <w:spacing w:val="-2"/>
                <w:sz w:val="20"/>
              </w:rPr>
              <w:t>$1,713.86</w:t>
            </w:r>
          </w:p>
        </w:tc>
      </w:tr>
      <w:tr>
        <w:trPr>
          <w:trHeight w:val="300" w:hRule="atLeast"/>
        </w:trPr>
        <w:tc>
          <w:tcPr>
            <w:tcW w:w="5996" w:type="dxa"/>
            <w:tcBorders>
              <w:left w:val="single" w:sz="12" w:space="0" w:color="000000"/>
            </w:tcBorders>
          </w:tcPr>
          <w:p>
            <w:pPr>
              <w:pStyle w:val="TableParagraph"/>
              <w:spacing w:before="48"/>
              <w:ind w:left="107"/>
              <w:rPr>
                <w:sz w:val="20"/>
              </w:rPr>
            </w:pPr>
            <w:r>
              <w:rPr>
                <w:sz w:val="20"/>
              </w:rPr>
              <w:t>Maximum</w:t>
            </w:r>
            <w:r>
              <w:rPr>
                <w:spacing w:val="-5"/>
                <w:sz w:val="20"/>
              </w:rPr>
              <w:t> </w:t>
            </w:r>
            <w:r>
              <w:rPr>
                <w:sz w:val="20"/>
              </w:rPr>
              <w:t>Rate</w:t>
            </w:r>
            <w:r>
              <w:rPr>
                <w:spacing w:val="-4"/>
                <w:sz w:val="20"/>
              </w:rPr>
              <w:t> </w:t>
            </w:r>
            <w:r>
              <w:rPr>
                <w:sz w:val="20"/>
              </w:rPr>
              <w:t>Increase</w:t>
            </w:r>
            <w:r>
              <w:rPr>
                <w:spacing w:val="-6"/>
                <w:sz w:val="20"/>
              </w:rPr>
              <w:t> </w:t>
            </w:r>
            <w:r>
              <w:rPr>
                <w:sz w:val="20"/>
              </w:rPr>
              <w:t>(set</w:t>
            </w:r>
            <w:r>
              <w:rPr>
                <w:spacing w:val="-5"/>
                <w:sz w:val="20"/>
              </w:rPr>
              <w:t> </w:t>
            </w:r>
            <w:r>
              <w:rPr>
                <w:sz w:val="20"/>
              </w:rPr>
              <w:t>by</w:t>
            </w:r>
            <w:r>
              <w:rPr>
                <w:spacing w:val="-4"/>
                <w:sz w:val="20"/>
              </w:rPr>
              <w:t> </w:t>
            </w:r>
            <w:r>
              <w:rPr>
                <w:sz w:val="20"/>
              </w:rPr>
              <w:t>the</w:t>
            </w:r>
            <w:r>
              <w:rPr>
                <w:spacing w:val="-6"/>
                <w:sz w:val="20"/>
              </w:rPr>
              <w:t> </w:t>
            </w:r>
            <w:r>
              <w:rPr>
                <w:sz w:val="20"/>
              </w:rPr>
              <w:t>State</w:t>
            </w:r>
            <w:r>
              <w:rPr>
                <w:spacing w:val="-4"/>
                <w:sz w:val="20"/>
              </w:rPr>
              <w:t> </w:t>
            </w:r>
            <w:r>
              <w:rPr>
                <w:spacing w:val="-2"/>
                <w:sz w:val="20"/>
              </w:rPr>
              <w:t>Government)</w:t>
            </w:r>
          </w:p>
        </w:tc>
        <w:tc>
          <w:tcPr>
            <w:tcW w:w="1943" w:type="dxa"/>
          </w:tcPr>
          <w:p>
            <w:pPr>
              <w:pStyle w:val="TableParagraph"/>
              <w:spacing w:before="14"/>
              <w:ind w:right="94"/>
              <w:jc w:val="right"/>
              <w:rPr>
                <w:sz w:val="20"/>
              </w:rPr>
            </w:pPr>
            <w:r>
              <w:rPr>
                <w:spacing w:val="-2"/>
                <w:sz w:val="20"/>
              </w:rPr>
              <w:t>2.75%</w:t>
            </w:r>
          </w:p>
        </w:tc>
        <w:tc>
          <w:tcPr>
            <w:tcW w:w="2551" w:type="dxa"/>
            <w:tcBorders>
              <w:right w:val="single" w:sz="12" w:space="0" w:color="000000"/>
            </w:tcBorders>
            <w:shd w:val="clear" w:color="auto" w:fill="DDEBF6"/>
          </w:tcPr>
          <w:p>
            <w:pPr>
              <w:pStyle w:val="TableParagraph"/>
              <w:spacing w:before="14"/>
              <w:ind w:right="76"/>
              <w:jc w:val="right"/>
              <w:rPr>
                <w:b/>
                <w:sz w:val="20"/>
              </w:rPr>
            </w:pPr>
            <w:r>
              <w:rPr>
                <w:b/>
                <w:spacing w:val="-2"/>
                <w:sz w:val="20"/>
              </w:rPr>
              <w:t>3.00%</w:t>
            </w:r>
          </w:p>
        </w:tc>
      </w:tr>
      <w:tr>
        <w:trPr>
          <w:trHeight w:val="300" w:hRule="atLeast"/>
        </w:trPr>
        <w:tc>
          <w:tcPr>
            <w:tcW w:w="5996" w:type="dxa"/>
            <w:tcBorders>
              <w:left w:val="single" w:sz="12" w:space="0" w:color="000000"/>
            </w:tcBorders>
          </w:tcPr>
          <w:p>
            <w:pPr>
              <w:pStyle w:val="TableParagraph"/>
              <w:spacing w:before="48"/>
              <w:ind w:left="107"/>
              <w:rPr>
                <w:sz w:val="20"/>
              </w:rPr>
            </w:pPr>
            <w:r>
              <w:rPr>
                <w:sz w:val="20"/>
              </w:rPr>
              <w:t>Capped</w:t>
            </w:r>
            <w:r>
              <w:rPr>
                <w:spacing w:val="-8"/>
                <w:sz w:val="20"/>
              </w:rPr>
              <w:t> </w:t>
            </w:r>
            <w:r>
              <w:rPr>
                <w:sz w:val="20"/>
              </w:rPr>
              <w:t>Average</w:t>
            </w:r>
            <w:r>
              <w:rPr>
                <w:spacing w:val="-8"/>
                <w:sz w:val="20"/>
              </w:rPr>
              <w:t> </w:t>
            </w:r>
            <w:r>
              <w:rPr>
                <w:spacing w:val="-4"/>
                <w:sz w:val="20"/>
              </w:rPr>
              <w:t>Rate</w:t>
            </w:r>
          </w:p>
        </w:tc>
        <w:tc>
          <w:tcPr>
            <w:tcW w:w="1943" w:type="dxa"/>
          </w:tcPr>
          <w:p>
            <w:pPr>
              <w:pStyle w:val="TableParagraph"/>
              <w:spacing w:before="14"/>
              <w:ind w:right="90"/>
              <w:jc w:val="right"/>
              <w:rPr>
                <w:sz w:val="20"/>
              </w:rPr>
            </w:pPr>
            <w:r>
              <w:rPr>
                <w:spacing w:val="-2"/>
                <w:sz w:val="20"/>
              </w:rPr>
              <w:t>$1,712.22</w:t>
            </w:r>
          </w:p>
        </w:tc>
        <w:tc>
          <w:tcPr>
            <w:tcW w:w="2551" w:type="dxa"/>
            <w:tcBorders>
              <w:right w:val="single" w:sz="12" w:space="0" w:color="000000"/>
            </w:tcBorders>
            <w:shd w:val="clear" w:color="auto" w:fill="DDEBF6"/>
          </w:tcPr>
          <w:p>
            <w:pPr>
              <w:pStyle w:val="TableParagraph"/>
              <w:spacing w:before="14"/>
              <w:ind w:right="74"/>
              <w:jc w:val="right"/>
              <w:rPr>
                <w:b/>
                <w:sz w:val="20"/>
              </w:rPr>
            </w:pPr>
            <w:r>
              <w:rPr>
                <w:b/>
                <w:spacing w:val="-2"/>
                <w:sz w:val="20"/>
              </w:rPr>
              <w:t>$1,765.28</w:t>
            </w:r>
          </w:p>
        </w:tc>
      </w:tr>
      <w:tr>
        <w:trPr>
          <w:trHeight w:val="300" w:hRule="atLeast"/>
        </w:trPr>
        <w:tc>
          <w:tcPr>
            <w:tcW w:w="5996" w:type="dxa"/>
            <w:tcBorders>
              <w:left w:val="single" w:sz="12" w:space="0" w:color="000000"/>
            </w:tcBorders>
          </w:tcPr>
          <w:p>
            <w:pPr>
              <w:pStyle w:val="TableParagraph"/>
              <w:spacing w:before="48"/>
              <w:ind w:left="107"/>
              <w:rPr>
                <w:sz w:val="20"/>
              </w:rPr>
            </w:pPr>
            <w:r>
              <w:rPr>
                <w:sz w:val="20"/>
              </w:rPr>
              <w:t>Maximum</w:t>
            </w:r>
            <w:r>
              <w:rPr>
                <w:spacing w:val="-8"/>
                <w:sz w:val="20"/>
              </w:rPr>
              <w:t> </w:t>
            </w:r>
            <w:r>
              <w:rPr>
                <w:sz w:val="20"/>
              </w:rPr>
              <w:t>General</w:t>
            </w:r>
            <w:r>
              <w:rPr>
                <w:spacing w:val="-9"/>
                <w:sz w:val="20"/>
              </w:rPr>
              <w:t> </w:t>
            </w:r>
            <w:r>
              <w:rPr>
                <w:sz w:val="20"/>
              </w:rPr>
              <w:t>Rates</w:t>
            </w:r>
            <w:r>
              <w:rPr>
                <w:spacing w:val="-6"/>
                <w:sz w:val="20"/>
              </w:rPr>
              <w:t> </w:t>
            </w:r>
            <w:r>
              <w:rPr>
                <w:sz w:val="20"/>
              </w:rPr>
              <w:t>and</w:t>
            </w:r>
            <w:r>
              <w:rPr>
                <w:spacing w:val="-8"/>
                <w:sz w:val="20"/>
              </w:rPr>
              <w:t> </w:t>
            </w:r>
            <w:r>
              <w:rPr>
                <w:sz w:val="20"/>
              </w:rPr>
              <w:t>Municipal</w:t>
            </w:r>
            <w:r>
              <w:rPr>
                <w:spacing w:val="-8"/>
                <w:sz w:val="20"/>
              </w:rPr>
              <w:t> </w:t>
            </w:r>
            <w:r>
              <w:rPr>
                <w:sz w:val="20"/>
              </w:rPr>
              <w:t>Charges</w:t>
            </w:r>
            <w:r>
              <w:rPr>
                <w:spacing w:val="-6"/>
                <w:sz w:val="20"/>
              </w:rPr>
              <w:t> </w:t>
            </w:r>
            <w:r>
              <w:rPr>
                <w:spacing w:val="-2"/>
                <w:sz w:val="20"/>
              </w:rPr>
              <w:t>Revenue</w:t>
            </w:r>
          </w:p>
        </w:tc>
        <w:tc>
          <w:tcPr>
            <w:tcW w:w="1943" w:type="dxa"/>
          </w:tcPr>
          <w:p>
            <w:pPr>
              <w:pStyle w:val="TableParagraph"/>
              <w:spacing w:before="14"/>
              <w:ind w:right="93"/>
              <w:jc w:val="right"/>
              <w:rPr>
                <w:sz w:val="20"/>
              </w:rPr>
            </w:pPr>
            <w:r>
              <w:rPr>
                <w:spacing w:val="-2"/>
                <w:sz w:val="20"/>
              </w:rPr>
              <w:t>$90,189,668</w:t>
            </w:r>
          </w:p>
        </w:tc>
        <w:tc>
          <w:tcPr>
            <w:tcW w:w="2551" w:type="dxa"/>
            <w:tcBorders>
              <w:right w:val="single" w:sz="12" w:space="0" w:color="000000"/>
            </w:tcBorders>
            <w:shd w:val="clear" w:color="auto" w:fill="DDEBF6"/>
          </w:tcPr>
          <w:p>
            <w:pPr>
              <w:pStyle w:val="TableParagraph"/>
              <w:spacing w:before="14"/>
              <w:ind w:right="78"/>
              <w:jc w:val="right"/>
              <w:rPr>
                <w:b/>
                <w:sz w:val="20"/>
              </w:rPr>
            </w:pPr>
            <w:r>
              <w:rPr>
                <w:b/>
                <w:spacing w:val="-2"/>
                <w:sz w:val="20"/>
              </w:rPr>
              <w:t>$93,344,307</w:t>
            </w:r>
          </w:p>
        </w:tc>
      </w:tr>
      <w:tr>
        <w:trPr>
          <w:trHeight w:val="299" w:hRule="atLeast"/>
        </w:trPr>
        <w:tc>
          <w:tcPr>
            <w:tcW w:w="5996" w:type="dxa"/>
            <w:tcBorders>
              <w:left w:val="single" w:sz="12" w:space="0" w:color="000000"/>
            </w:tcBorders>
          </w:tcPr>
          <w:p>
            <w:pPr>
              <w:pStyle w:val="TableParagraph"/>
              <w:spacing w:before="48"/>
              <w:ind w:left="107"/>
              <w:rPr>
                <w:sz w:val="20"/>
              </w:rPr>
            </w:pPr>
            <w:r>
              <w:rPr>
                <w:sz w:val="20"/>
              </w:rPr>
              <w:t>Budgeted</w:t>
            </w:r>
            <w:r>
              <w:rPr>
                <w:spacing w:val="-8"/>
                <w:sz w:val="20"/>
              </w:rPr>
              <w:t> </w:t>
            </w:r>
            <w:r>
              <w:rPr>
                <w:sz w:val="20"/>
              </w:rPr>
              <w:t>General</w:t>
            </w:r>
            <w:r>
              <w:rPr>
                <w:spacing w:val="-5"/>
                <w:sz w:val="20"/>
              </w:rPr>
              <w:t> </w:t>
            </w:r>
            <w:r>
              <w:rPr>
                <w:sz w:val="20"/>
              </w:rPr>
              <w:t>Rates</w:t>
            </w:r>
            <w:r>
              <w:rPr>
                <w:spacing w:val="-7"/>
                <w:sz w:val="20"/>
              </w:rPr>
              <w:t> </w:t>
            </w:r>
            <w:r>
              <w:rPr>
                <w:sz w:val="20"/>
              </w:rPr>
              <w:t>and</w:t>
            </w:r>
            <w:r>
              <w:rPr>
                <w:spacing w:val="-7"/>
                <w:sz w:val="20"/>
              </w:rPr>
              <w:t> </w:t>
            </w:r>
            <w:r>
              <w:rPr>
                <w:sz w:val="20"/>
              </w:rPr>
              <w:t>Municipal</w:t>
            </w:r>
            <w:r>
              <w:rPr>
                <w:spacing w:val="-9"/>
                <w:sz w:val="20"/>
              </w:rPr>
              <w:t> </w:t>
            </w:r>
            <w:r>
              <w:rPr>
                <w:sz w:val="20"/>
              </w:rPr>
              <w:t>Charges</w:t>
            </w:r>
            <w:r>
              <w:rPr>
                <w:spacing w:val="-7"/>
                <w:sz w:val="20"/>
              </w:rPr>
              <w:t> </w:t>
            </w:r>
            <w:r>
              <w:rPr>
                <w:spacing w:val="-2"/>
                <w:sz w:val="20"/>
              </w:rPr>
              <w:t>Revenue</w:t>
            </w:r>
          </w:p>
        </w:tc>
        <w:tc>
          <w:tcPr>
            <w:tcW w:w="1943" w:type="dxa"/>
          </w:tcPr>
          <w:p>
            <w:pPr>
              <w:pStyle w:val="TableParagraph"/>
              <w:spacing w:before="14"/>
              <w:ind w:right="93"/>
              <w:jc w:val="right"/>
              <w:rPr>
                <w:sz w:val="20"/>
              </w:rPr>
            </w:pPr>
            <w:r>
              <w:rPr>
                <w:spacing w:val="-2"/>
                <w:sz w:val="20"/>
              </w:rPr>
              <w:t>$90,170,764</w:t>
            </w:r>
          </w:p>
        </w:tc>
        <w:tc>
          <w:tcPr>
            <w:tcW w:w="2551" w:type="dxa"/>
            <w:tcBorders>
              <w:right w:val="single" w:sz="12" w:space="0" w:color="000000"/>
            </w:tcBorders>
            <w:shd w:val="clear" w:color="auto" w:fill="DDEBF6"/>
          </w:tcPr>
          <w:p>
            <w:pPr>
              <w:pStyle w:val="TableParagraph"/>
              <w:spacing w:before="14"/>
              <w:ind w:right="78"/>
              <w:jc w:val="right"/>
              <w:rPr>
                <w:b/>
                <w:sz w:val="20"/>
              </w:rPr>
            </w:pPr>
            <w:r>
              <w:rPr>
                <w:b/>
                <w:spacing w:val="-2"/>
                <w:sz w:val="20"/>
              </w:rPr>
              <w:t>$93,325,941</w:t>
            </w:r>
          </w:p>
        </w:tc>
      </w:tr>
      <w:tr>
        <w:trPr>
          <w:trHeight w:val="303" w:hRule="atLeast"/>
        </w:trPr>
        <w:tc>
          <w:tcPr>
            <w:tcW w:w="5996" w:type="dxa"/>
            <w:tcBorders>
              <w:left w:val="single" w:sz="12" w:space="0" w:color="000000"/>
            </w:tcBorders>
          </w:tcPr>
          <w:p>
            <w:pPr>
              <w:pStyle w:val="TableParagraph"/>
              <w:spacing w:before="48"/>
              <w:ind w:left="107"/>
              <w:rPr>
                <w:sz w:val="20"/>
              </w:rPr>
            </w:pPr>
            <w:r>
              <w:rPr>
                <w:sz w:val="20"/>
              </w:rPr>
              <w:t>Budgeted</w:t>
            </w:r>
            <w:r>
              <w:rPr>
                <w:spacing w:val="-10"/>
                <w:sz w:val="20"/>
              </w:rPr>
              <w:t> </w:t>
            </w:r>
            <w:r>
              <w:rPr>
                <w:sz w:val="20"/>
              </w:rPr>
              <w:t>Supplementary</w:t>
            </w:r>
            <w:r>
              <w:rPr>
                <w:spacing w:val="-11"/>
                <w:sz w:val="20"/>
              </w:rPr>
              <w:t> </w:t>
            </w:r>
            <w:r>
              <w:rPr>
                <w:spacing w:val="-4"/>
                <w:sz w:val="20"/>
              </w:rPr>
              <w:t>Rates</w:t>
            </w:r>
          </w:p>
        </w:tc>
        <w:tc>
          <w:tcPr>
            <w:tcW w:w="1943" w:type="dxa"/>
          </w:tcPr>
          <w:p>
            <w:pPr>
              <w:pStyle w:val="TableParagraph"/>
              <w:spacing w:before="14"/>
              <w:ind w:right="93"/>
              <w:jc w:val="right"/>
              <w:rPr>
                <w:sz w:val="20"/>
              </w:rPr>
            </w:pPr>
            <w:r>
              <w:rPr>
                <w:spacing w:val="-2"/>
                <w:sz w:val="20"/>
              </w:rPr>
              <w:t>454,777</w:t>
            </w:r>
          </w:p>
        </w:tc>
        <w:tc>
          <w:tcPr>
            <w:tcW w:w="2551" w:type="dxa"/>
            <w:tcBorders>
              <w:right w:val="single" w:sz="12" w:space="0" w:color="000000"/>
            </w:tcBorders>
            <w:shd w:val="clear" w:color="auto" w:fill="DDEBF6"/>
          </w:tcPr>
          <w:p>
            <w:pPr>
              <w:pStyle w:val="TableParagraph"/>
              <w:spacing w:before="14"/>
              <w:ind w:right="75"/>
              <w:jc w:val="right"/>
              <w:rPr>
                <w:b/>
                <w:sz w:val="20"/>
              </w:rPr>
            </w:pPr>
            <w:r>
              <w:rPr>
                <w:b/>
                <w:spacing w:val="-2"/>
                <w:sz w:val="20"/>
              </w:rPr>
              <w:t>$502,794</w:t>
            </w:r>
          </w:p>
        </w:tc>
      </w:tr>
      <w:tr>
        <w:trPr>
          <w:trHeight w:val="291" w:hRule="atLeast"/>
        </w:trPr>
        <w:tc>
          <w:tcPr>
            <w:tcW w:w="5996" w:type="dxa"/>
            <w:tcBorders>
              <w:left w:val="single" w:sz="12" w:space="0" w:color="000000"/>
              <w:bottom w:val="single" w:sz="12" w:space="0" w:color="000000"/>
            </w:tcBorders>
          </w:tcPr>
          <w:p>
            <w:pPr>
              <w:pStyle w:val="TableParagraph"/>
              <w:spacing w:line="210" w:lineRule="exact" w:before="61"/>
              <w:ind w:left="107"/>
              <w:rPr>
                <w:sz w:val="20"/>
              </w:rPr>
            </w:pPr>
            <w:r>
              <w:rPr>
                <w:sz w:val="20"/>
              </w:rPr>
              <w:t>Budgeted</w:t>
            </w:r>
            <w:r>
              <w:rPr>
                <w:spacing w:val="-9"/>
                <w:sz w:val="20"/>
              </w:rPr>
              <w:t> </w:t>
            </w:r>
            <w:r>
              <w:rPr>
                <w:sz w:val="20"/>
              </w:rPr>
              <w:t>Total</w:t>
            </w:r>
            <w:r>
              <w:rPr>
                <w:spacing w:val="-5"/>
                <w:sz w:val="20"/>
              </w:rPr>
              <w:t> </w:t>
            </w:r>
            <w:r>
              <w:rPr>
                <w:sz w:val="20"/>
              </w:rPr>
              <w:t>Rates</w:t>
            </w:r>
            <w:r>
              <w:rPr>
                <w:spacing w:val="-4"/>
                <w:sz w:val="20"/>
              </w:rPr>
              <w:t> </w:t>
            </w:r>
            <w:r>
              <w:rPr>
                <w:sz w:val="20"/>
              </w:rPr>
              <w:t>and</w:t>
            </w:r>
            <w:r>
              <w:rPr>
                <w:spacing w:val="-5"/>
                <w:sz w:val="20"/>
              </w:rPr>
              <w:t> </w:t>
            </w:r>
            <w:r>
              <w:rPr>
                <w:sz w:val="20"/>
              </w:rPr>
              <w:t>Municipal</w:t>
            </w:r>
            <w:r>
              <w:rPr>
                <w:spacing w:val="-9"/>
                <w:sz w:val="20"/>
              </w:rPr>
              <w:t> </w:t>
            </w:r>
            <w:r>
              <w:rPr>
                <w:sz w:val="20"/>
              </w:rPr>
              <w:t>Charges</w:t>
            </w:r>
            <w:r>
              <w:rPr>
                <w:spacing w:val="-7"/>
                <w:sz w:val="20"/>
              </w:rPr>
              <w:t> </w:t>
            </w:r>
            <w:r>
              <w:rPr>
                <w:spacing w:val="-2"/>
                <w:sz w:val="20"/>
              </w:rPr>
              <w:t>Revenue</w:t>
            </w:r>
          </w:p>
        </w:tc>
        <w:tc>
          <w:tcPr>
            <w:tcW w:w="1943" w:type="dxa"/>
            <w:tcBorders>
              <w:bottom w:val="single" w:sz="12" w:space="0" w:color="000000"/>
            </w:tcBorders>
          </w:tcPr>
          <w:p>
            <w:pPr>
              <w:pStyle w:val="TableParagraph"/>
              <w:spacing w:before="18"/>
              <w:ind w:right="93"/>
              <w:jc w:val="right"/>
              <w:rPr>
                <w:sz w:val="20"/>
              </w:rPr>
            </w:pPr>
            <w:r>
              <w:rPr>
                <w:spacing w:val="-2"/>
                <w:sz w:val="20"/>
              </w:rPr>
              <w:t>$90,723,764</w:t>
            </w:r>
          </w:p>
        </w:tc>
        <w:tc>
          <w:tcPr>
            <w:tcW w:w="2551" w:type="dxa"/>
            <w:tcBorders>
              <w:bottom w:val="single" w:sz="12" w:space="0" w:color="000000"/>
              <w:right w:val="single" w:sz="12" w:space="0" w:color="000000"/>
            </w:tcBorders>
            <w:shd w:val="clear" w:color="auto" w:fill="DDEBF6"/>
          </w:tcPr>
          <w:p>
            <w:pPr>
              <w:pStyle w:val="TableParagraph"/>
              <w:spacing w:before="18"/>
              <w:ind w:right="78"/>
              <w:jc w:val="right"/>
              <w:rPr>
                <w:b/>
                <w:sz w:val="20"/>
              </w:rPr>
            </w:pPr>
            <w:r>
              <w:rPr>
                <w:b/>
                <w:spacing w:val="-2"/>
                <w:sz w:val="20"/>
              </w:rPr>
              <w:t>$93,828,735</w:t>
            </w:r>
          </w:p>
        </w:tc>
      </w:tr>
    </w:tbl>
    <w:p>
      <w:pPr>
        <w:pStyle w:val="BodyText"/>
        <w:rPr>
          <w:sz w:val="24"/>
        </w:rPr>
      </w:pPr>
    </w:p>
    <w:p>
      <w:pPr>
        <w:pStyle w:val="BodyText"/>
        <w:spacing w:before="8"/>
        <w:rPr>
          <w:sz w:val="19"/>
        </w:rPr>
      </w:pPr>
    </w:p>
    <w:p>
      <w:pPr>
        <w:pStyle w:val="BodyText"/>
        <w:ind w:left="260"/>
        <w:jc w:val="both"/>
      </w:pPr>
      <w:r>
        <w:rPr/>
        <w:t>4.1.1(m)</w:t>
      </w:r>
      <w:r>
        <w:rPr>
          <w:spacing w:val="-5"/>
        </w:rPr>
        <w:t> </w:t>
      </w:r>
      <w:r>
        <w:rPr/>
        <w:t>Any</w:t>
      </w:r>
      <w:r>
        <w:rPr>
          <w:spacing w:val="-3"/>
        </w:rPr>
        <w:t> </w:t>
      </w:r>
      <w:r>
        <w:rPr/>
        <w:t>significant</w:t>
      </w:r>
      <w:r>
        <w:rPr>
          <w:spacing w:val="-5"/>
        </w:rPr>
        <w:t> </w:t>
      </w:r>
      <w:r>
        <w:rPr/>
        <w:t>changes</w:t>
      </w:r>
      <w:r>
        <w:rPr>
          <w:spacing w:val="-1"/>
        </w:rPr>
        <w:t> </w:t>
      </w:r>
      <w:r>
        <w:rPr/>
        <w:t>that</w:t>
      </w:r>
      <w:r>
        <w:rPr>
          <w:spacing w:val="-5"/>
        </w:rPr>
        <w:t> </w:t>
      </w:r>
      <w:r>
        <w:rPr/>
        <w:t>may</w:t>
      </w:r>
      <w:r>
        <w:rPr>
          <w:spacing w:val="-5"/>
        </w:rPr>
        <w:t> </w:t>
      </w:r>
      <w:r>
        <w:rPr/>
        <w:t>affect</w:t>
      </w:r>
      <w:r>
        <w:rPr>
          <w:spacing w:val="-3"/>
        </w:rPr>
        <w:t> </w:t>
      </w:r>
      <w:r>
        <w:rPr/>
        <w:t>the</w:t>
      </w:r>
      <w:r>
        <w:rPr>
          <w:spacing w:val="-4"/>
        </w:rPr>
        <w:t> </w:t>
      </w:r>
      <w:r>
        <w:rPr/>
        <w:t>estimated</w:t>
      </w:r>
      <w:r>
        <w:rPr>
          <w:spacing w:val="-1"/>
        </w:rPr>
        <w:t> </w:t>
      </w:r>
      <w:r>
        <w:rPr/>
        <w:t>amounts</w:t>
      </w:r>
      <w:r>
        <w:rPr>
          <w:spacing w:val="-3"/>
        </w:rPr>
        <w:t> </w:t>
      </w:r>
      <w:r>
        <w:rPr/>
        <w:t>to</w:t>
      </w:r>
      <w:r>
        <w:rPr>
          <w:spacing w:val="-2"/>
        </w:rPr>
        <w:t> </w:t>
      </w:r>
      <w:r>
        <w:rPr/>
        <w:t>be</w:t>
      </w:r>
      <w:r>
        <w:rPr>
          <w:spacing w:val="-5"/>
        </w:rPr>
        <w:t> </w:t>
      </w:r>
      <w:r>
        <w:rPr/>
        <w:t>raised</w:t>
      </w:r>
      <w:r>
        <w:rPr>
          <w:spacing w:val="-3"/>
        </w:rPr>
        <w:t> </w:t>
      </w:r>
      <w:r>
        <w:rPr/>
        <w:t>by</w:t>
      </w:r>
      <w:r>
        <w:rPr>
          <w:spacing w:val="-5"/>
        </w:rPr>
        <w:t> </w:t>
      </w:r>
      <w:r>
        <w:rPr/>
        <w:t>rates</w:t>
      </w:r>
      <w:r>
        <w:rPr>
          <w:spacing w:val="-3"/>
        </w:rPr>
        <w:t> </w:t>
      </w:r>
      <w:r>
        <w:rPr/>
        <w:t>and</w:t>
      </w:r>
      <w:r>
        <w:rPr>
          <w:spacing w:val="-6"/>
        </w:rPr>
        <w:t> </w:t>
      </w:r>
      <w:r>
        <w:rPr>
          <w:spacing w:val="-2"/>
        </w:rPr>
        <w:t>charges.</w:t>
      </w:r>
    </w:p>
    <w:p>
      <w:pPr>
        <w:pStyle w:val="BodyText"/>
      </w:pPr>
    </w:p>
    <w:p>
      <w:pPr>
        <w:pStyle w:val="BodyText"/>
        <w:spacing w:before="1"/>
        <w:ind w:left="260" w:right="555"/>
        <w:jc w:val="both"/>
      </w:pPr>
      <w:r>
        <w:rPr/>
        <w:t>There are no known significant changes which may affect the estimated amounts to be raised by rates and charges. However, the total amount to be raised by rates and charges may be affected by:</w:t>
      </w:r>
    </w:p>
    <w:p>
      <w:pPr>
        <w:pStyle w:val="BodyText"/>
        <w:spacing w:before="1"/>
      </w:pPr>
    </w:p>
    <w:p>
      <w:pPr>
        <w:pStyle w:val="ListParagraph"/>
        <w:numPr>
          <w:ilvl w:val="0"/>
          <w:numId w:val="60"/>
        </w:numPr>
        <w:tabs>
          <w:tab w:pos="826" w:val="left" w:leader="none"/>
          <w:tab w:pos="827" w:val="left" w:leader="none"/>
        </w:tabs>
        <w:spacing w:line="268" w:lineRule="exact" w:before="0" w:after="0"/>
        <w:ind w:left="826" w:right="0" w:hanging="567"/>
        <w:jc w:val="left"/>
        <w:rPr>
          <w:sz w:val="22"/>
        </w:rPr>
      </w:pPr>
      <w:r>
        <w:rPr>
          <w:spacing w:val="-2"/>
          <w:sz w:val="22"/>
        </w:rPr>
        <w:t>The</w:t>
      </w:r>
      <w:r>
        <w:rPr>
          <w:spacing w:val="-5"/>
          <w:sz w:val="22"/>
        </w:rPr>
        <w:t> </w:t>
      </w:r>
      <w:r>
        <w:rPr>
          <w:spacing w:val="-2"/>
          <w:sz w:val="22"/>
        </w:rPr>
        <w:t>making of supplementary</w:t>
      </w:r>
      <w:r>
        <w:rPr>
          <w:spacing w:val="-3"/>
          <w:sz w:val="22"/>
        </w:rPr>
        <w:t> </w:t>
      </w:r>
      <w:r>
        <w:rPr>
          <w:spacing w:val="-2"/>
          <w:sz w:val="22"/>
        </w:rPr>
        <w:t>valuations</w:t>
      </w:r>
      <w:r>
        <w:rPr>
          <w:spacing w:val="-3"/>
          <w:sz w:val="22"/>
        </w:rPr>
        <w:t> </w:t>
      </w:r>
      <w:r>
        <w:rPr>
          <w:spacing w:val="-2"/>
          <w:sz w:val="22"/>
        </w:rPr>
        <w:t>(2025/26: estimated</w:t>
      </w:r>
      <w:r>
        <w:rPr>
          <w:spacing w:val="-1"/>
          <w:sz w:val="22"/>
        </w:rPr>
        <w:t> </w:t>
      </w:r>
      <w:r>
        <w:rPr>
          <w:spacing w:val="-2"/>
          <w:sz w:val="22"/>
        </w:rPr>
        <w:t>$0.50</w:t>
      </w:r>
      <w:r>
        <w:rPr>
          <w:spacing w:val="-5"/>
          <w:sz w:val="22"/>
        </w:rPr>
        <w:t> </w:t>
      </w:r>
      <w:r>
        <w:rPr>
          <w:spacing w:val="-2"/>
          <w:sz w:val="22"/>
        </w:rPr>
        <w:t>million and</w:t>
      </w:r>
      <w:r>
        <w:rPr>
          <w:spacing w:val="-1"/>
          <w:sz w:val="22"/>
        </w:rPr>
        <w:t> </w:t>
      </w:r>
      <w:r>
        <w:rPr>
          <w:spacing w:val="-2"/>
          <w:sz w:val="22"/>
        </w:rPr>
        <w:t>2024/25:</w:t>
      </w:r>
      <w:r>
        <w:rPr>
          <w:spacing w:val="-1"/>
          <w:sz w:val="22"/>
        </w:rPr>
        <w:t> </w:t>
      </w:r>
      <w:r>
        <w:rPr>
          <w:spacing w:val="-2"/>
          <w:sz w:val="22"/>
        </w:rPr>
        <w:t>$0.45</w:t>
      </w:r>
      <w:r>
        <w:rPr>
          <w:spacing w:val="-1"/>
          <w:sz w:val="22"/>
        </w:rPr>
        <w:t> </w:t>
      </w:r>
      <w:r>
        <w:rPr>
          <w:spacing w:val="-2"/>
          <w:sz w:val="22"/>
        </w:rPr>
        <w:t>million).</w:t>
      </w:r>
    </w:p>
    <w:p>
      <w:pPr>
        <w:pStyle w:val="ListParagraph"/>
        <w:numPr>
          <w:ilvl w:val="0"/>
          <w:numId w:val="60"/>
        </w:numPr>
        <w:tabs>
          <w:tab w:pos="826" w:val="left" w:leader="none"/>
          <w:tab w:pos="827" w:val="left" w:leader="none"/>
        </w:tabs>
        <w:spacing w:line="268" w:lineRule="exact" w:before="0" w:after="0"/>
        <w:ind w:left="826" w:right="0" w:hanging="567"/>
        <w:jc w:val="left"/>
        <w:rPr>
          <w:sz w:val="22"/>
        </w:rPr>
      </w:pPr>
      <w:r>
        <w:rPr>
          <w:sz w:val="22"/>
        </w:rPr>
        <w:t>The</w:t>
      </w:r>
      <w:r>
        <w:rPr>
          <w:spacing w:val="-3"/>
          <w:sz w:val="22"/>
        </w:rPr>
        <w:t> </w:t>
      </w:r>
      <w:r>
        <w:rPr>
          <w:sz w:val="22"/>
        </w:rPr>
        <w:t>variation</w:t>
      </w:r>
      <w:r>
        <w:rPr>
          <w:spacing w:val="-5"/>
          <w:sz w:val="22"/>
        </w:rPr>
        <w:t> </w:t>
      </w:r>
      <w:r>
        <w:rPr>
          <w:sz w:val="22"/>
        </w:rPr>
        <w:t>of</w:t>
      </w:r>
      <w:r>
        <w:rPr>
          <w:spacing w:val="-5"/>
          <w:sz w:val="22"/>
        </w:rPr>
        <w:t> </w:t>
      </w:r>
      <w:r>
        <w:rPr>
          <w:sz w:val="22"/>
        </w:rPr>
        <w:t>returned</w:t>
      </w:r>
      <w:r>
        <w:rPr>
          <w:spacing w:val="-4"/>
          <w:sz w:val="22"/>
        </w:rPr>
        <w:t> </w:t>
      </w:r>
      <w:r>
        <w:rPr>
          <w:sz w:val="22"/>
        </w:rPr>
        <w:t>levels</w:t>
      </w:r>
      <w:r>
        <w:rPr>
          <w:spacing w:val="-3"/>
          <w:sz w:val="22"/>
        </w:rPr>
        <w:t> </w:t>
      </w:r>
      <w:r>
        <w:rPr>
          <w:sz w:val="22"/>
        </w:rPr>
        <w:t>of</w:t>
      </w:r>
      <w:r>
        <w:rPr>
          <w:spacing w:val="-3"/>
          <w:sz w:val="22"/>
        </w:rPr>
        <w:t> </w:t>
      </w:r>
      <w:r>
        <w:rPr>
          <w:sz w:val="22"/>
        </w:rPr>
        <w:t>value</w:t>
      </w:r>
      <w:r>
        <w:rPr>
          <w:spacing w:val="-5"/>
          <w:sz w:val="22"/>
        </w:rPr>
        <w:t> </w:t>
      </w:r>
      <w:r>
        <w:rPr>
          <w:sz w:val="22"/>
        </w:rPr>
        <w:t>(e.g.,</w:t>
      </w:r>
      <w:r>
        <w:rPr>
          <w:spacing w:val="-3"/>
          <w:sz w:val="22"/>
        </w:rPr>
        <w:t> </w:t>
      </w:r>
      <w:r>
        <w:rPr>
          <w:sz w:val="22"/>
        </w:rPr>
        <w:t>valuation</w:t>
      </w:r>
      <w:r>
        <w:rPr>
          <w:spacing w:val="-2"/>
          <w:sz w:val="22"/>
        </w:rPr>
        <w:t> appeals).</w:t>
      </w:r>
    </w:p>
    <w:p>
      <w:pPr>
        <w:pStyle w:val="ListParagraph"/>
        <w:numPr>
          <w:ilvl w:val="0"/>
          <w:numId w:val="60"/>
        </w:numPr>
        <w:tabs>
          <w:tab w:pos="826" w:val="left" w:leader="none"/>
          <w:tab w:pos="827" w:val="left" w:leader="none"/>
        </w:tabs>
        <w:spacing w:line="268" w:lineRule="exact" w:before="0" w:after="0"/>
        <w:ind w:left="826" w:right="0" w:hanging="567"/>
        <w:jc w:val="left"/>
        <w:rPr>
          <w:sz w:val="22"/>
        </w:rPr>
      </w:pPr>
      <w:r>
        <w:rPr>
          <w:sz w:val="22"/>
        </w:rPr>
        <w:t>Changes</w:t>
      </w:r>
      <w:r>
        <w:rPr>
          <w:spacing w:val="-4"/>
          <w:sz w:val="22"/>
        </w:rPr>
        <w:t> </w:t>
      </w:r>
      <w:r>
        <w:rPr>
          <w:sz w:val="22"/>
        </w:rPr>
        <w:t>of</w:t>
      </w:r>
      <w:r>
        <w:rPr>
          <w:spacing w:val="-6"/>
          <w:sz w:val="22"/>
        </w:rPr>
        <w:t> </w:t>
      </w:r>
      <w:r>
        <w:rPr>
          <w:sz w:val="22"/>
        </w:rPr>
        <w:t>use</w:t>
      </w:r>
      <w:r>
        <w:rPr>
          <w:spacing w:val="-2"/>
          <w:sz w:val="22"/>
        </w:rPr>
        <w:t> </w:t>
      </w:r>
      <w:r>
        <w:rPr>
          <w:sz w:val="22"/>
        </w:rPr>
        <w:t>of</w:t>
      </w:r>
      <w:r>
        <w:rPr>
          <w:spacing w:val="-1"/>
          <w:sz w:val="22"/>
        </w:rPr>
        <w:t> </w:t>
      </w:r>
      <w:r>
        <w:rPr>
          <w:sz w:val="22"/>
        </w:rPr>
        <w:t>land</w:t>
      </w:r>
      <w:r>
        <w:rPr>
          <w:spacing w:val="-5"/>
          <w:sz w:val="22"/>
        </w:rPr>
        <w:t> </w:t>
      </w:r>
      <w:r>
        <w:rPr>
          <w:sz w:val="22"/>
        </w:rPr>
        <w:t>such</w:t>
      </w:r>
      <w:r>
        <w:rPr>
          <w:spacing w:val="-3"/>
          <w:sz w:val="22"/>
        </w:rPr>
        <w:t> </w:t>
      </w:r>
      <w:r>
        <w:rPr>
          <w:sz w:val="22"/>
        </w:rPr>
        <w:t>that</w:t>
      </w:r>
      <w:r>
        <w:rPr>
          <w:spacing w:val="-2"/>
          <w:sz w:val="22"/>
        </w:rPr>
        <w:t> </w:t>
      </w:r>
      <w:r>
        <w:rPr>
          <w:sz w:val="22"/>
        </w:rPr>
        <w:t>rateable</w:t>
      </w:r>
      <w:r>
        <w:rPr>
          <w:spacing w:val="-8"/>
          <w:sz w:val="22"/>
        </w:rPr>
        <w:t> </w:t>
      </w:r>
      <w:r>
        <w:rPr>
          <w:sz w:val="22"/>
        </w:rPr>
        <w:t>land</w:t>
      </w:r>
      <w:r>
        <w:rPr>
          <w:spacing w:val="-2"/>
          <w:sz w:val="22"/>
        </w:rPr>
        <w:t> </w:t>
      </w:r>
      <w:r>
        <w:rPr>
          <w:sz w:val="22"/>
        </w:rPr>
        <w:t>becomes</w:t>
      </w:r>
      <w:r>
        <w:rPr>
          <w:spacing w:val="-4"/>
          <w:sz w:val="22"/>
        </w:rPr>
        <w:t> </w:t>
      </w:r>
      <w:r>
        <w:rPr>
          <w:sz w:val="22"/>
        </w:rPr>
        <w:t>non-rateable</w:t>
      </w:r>
      <w:r>
        <w:rPr>
          <w:spacing w:val="-3"/>
          <w:sz w:val="22"/>
        </w:rPr>
        <w:t> </w:t>
      </w:r>
      <w:r>
        <w:rPr>
          <w:sz w:val="22"/>
        </w:rPr>
        <w:t>land</w:t>
      </w:r>
      <w:r>
        <w:rPr>
          <w:spacing w:val="-4"/>
          <w:sz w:val="22"/>
        </w:rPr>
        <w:t> </w:t>
      </w:r>
      <w:r>
        <w:rPr>
          <w:sz w:val="22"/>
        </w:rPr>
        <w:t>and</w:t>
      </w:r>
      <w:r>
        <w:rPr>
          <w:spacing w:val="-2"/>
          <w:sz w:val="22"/>
        </w:rPr>
        <w:t> </w:t>
      </w:r>
      <w:r>
        <w:rPr>
          <w:sz w:val="22"/>
        </w:rPr>
        <w:t>vice</w:t>
      </w:r>
      <w:r>
        <w:rPr>
          <w:spacing w:val="-5"/>
          <w:sz w:val="22"/>
        </w:rPr>
        <w:t> </w:t>
      </w:r>
      <w:r>
        <w:rPr>
          <w:spacing w:val="-2"/>
          <w:sz w:val="22"/>
        </w:rPr>
        <w:t>versa.</w:t>
      </w:r>
    </w:p>
    <w:p>
      <w:pPr>
        <w:pStyle w:val="ListParagraph"/>
        <w:numPr>
          <w:ilvl w:val="0"/>
          <w:numId w:val="60"/>
        </w:numPr>
        <w:tabs>
          <w:tab w:pos="826" w:val="left" w:leader="none"/>
          <w:tab w:pos="827" w:val="left" w:leader="none"/>
        </w:tabs>
        <w:spacing w:line="268" w:lineRule="exact" w:before="0" w:after="0"/>
        <w:ind w:left="826" w:right="0" w:hanging="567"/>
        <w:jc w:val="left"/>
        <w:rPr>
          <w:sz w:val="22"/>
        </w:rPr>
      </w:pPr>
      <w:r>
        <w:rPr>
          <w:sz w:val="22"/>
        </w:rPr>
        <w:t>Changes</w:t>
      </w:r>
      <w:r>
        <w:rPr>
          <w:spacing w:val="-4"/>
          <w:sz w:val="22"/>
        </w:rPr>
        <w:t> </w:t>
      </w:r>
      <w:r>
        <w:rPr>
          <w:sz w:val="22"/>
        </w:rPr>
        <w:t>of</w:t>
      </w:r>
      <w:r>
        <w:rPr>
          <w:spacing w:val="-4"/>
          <w:sz w:val="22"/>
        </w:rPr>
        <w:t> </w:t>
      </w:r>
      <w:r>
        <w:rPr>
          <w:sz w:val="22"/>
        </w:rPr>
        <w:t>use</w:t>
      </w:r>
      <w:r>
        <w:rPr>
          <w:spacing w:val="-2"/>
          <w:sz w:val="22"/>
        </w:rPr>
        <w:t> </w:t>
      </w:r>
      <w:r>
        <w:rPr>
          <w:sz w:val="22"/>
        </w:rPr>
        <w:t>of</w:t>
      </w:r>
      <w:r>
        <w:rPr>
          <w:spacing w:val="-1"/>
          <w:sz w:val="22"/>
        </w:rPr>
        <w:t> </w:t>
      </w:r>
      <w:r>
        <w:rPr>
          <w:sz w:val="22"/>
        </w:rPr>
        <w:t>land</w:t>
      </w:r>
      <w:r>
        <w:rPr>
          <w:spacing w:val="-4"/>
          <w:sz w:val="22"/>
        </w:rPr>
        <w:t> </w:t>
      </w:r>
      <w:r>
        <w:rPr>
          <w:sz w:val="22"/>
        </w:rPr>
        <w:t>such</w:t>
      </w:r>
      <w:r>
        <w:rPr>
          <w:spacing w:val="-2"/>
          <w:sz w:val="22"/>
        </w:rPr>
        <w:t> </w:t>
      </w:r>
      <w:r>
        <w:rPr>
          <w:sz w:val="22"/>
        </w:rPr>
        <w:t>that</w:t>
      </w:r>
      <w:r>
        <w:rPr>
          <w:spacing w:val="-2"/>
          <w:sz w:val="22"/>
        </w:rPr>
        <w:t> </w:t>
      </w:r>
      <w:r>
        <w:rPr>
          <w:sz w:val="22"/>
        </w:rPr>
        <w:t>residential</w:t>
      </w:r>
      <w:r>
        <w:rPr>
          <w:spacing w:val="-3"/>
          <w:sz w:val="22"/>
        </w:rPr>
        <w:t> </w:t>
      </w:r>
      <w:r>
        <w:rPr>
          <w:sz w:val="22"/>
        </w:rPr>
        <w:t>land</w:t>
      </w:r>
      <w:r>
        <w:rPr>
          <w:spacing w:val="-5"/>
          <w:sz w:val="22"/>
        </w:rPr>
        <w:t> </w:t>
      </w:r>
      <w:r>
        <w:rPr>
          <w:sz w:val="22"/>
        </w:rPr>
        <w:t>becomes</w:t>
      </w:r>
      <w:r>
        <w:rPr>
          <w:spacing w:val="-4"/>
          <w:sz w:val="22"/>
        </w:rPr>
        <w:t> </w:t>
      </w:r>
      <w:r>
        <w:rPr>
          <w:sz w:val="22"/>
        </w:rPr>
        <w:t>business</w:t>
      </w:r>
      <w:r>
        <w:rPr>
          <w:spacing w:val="-2"/>
          <w:sz w:val="22"/>
        </w:rPr>
        <w:t> </w:t>
      </w:r>
      <w:r>
        <w:rPr>
          <w:sz w:val="22"/>
        </w:rPr>
        <w:t>land</w:t>
      </w:r>
      <w:r>
        <w:rPr>
          <w:spacing w:val="-4"/>
          <w:sz w:val="22"/>
        </w:rPr>
        <w:t> </w:t>
      </w:r>
      <w:r>
        <w:rPr>
          <w:sz w:val="22"/>
        </w:rPr>
        <w:t>and</w:t>
      </w:r>
      <w:r>
        <w:rPr>
          <w:spacing w:val="-3"/>
          <w:sz w:val="22"/>
        </w:rPr>
        <w:t> </w:t>
      </w:r>
      <w:r>
        <w:rPr>
          <w:sz w:val="22"/>
        </w:rPr>
        <w:t>vice</w:t>
      </w:r>
      <w:r>
        <w:rPr>
          <w:spacing w:val="-2"/>
          <w:sz w:val="22"/>
        </w:rPr>
        <w:t> versa.</w:t>
      </w:r>
    </w:p>
    <w:p>
      <w:pPr>
        <w:pStyle w:val="BodyText"/>
        <w:spacing w:before="10"/>
        <w:rPr>
          <w:sz w:val="21"/>
        </w:rPr>
      </w:pPr>
    </w:p>
    <w:p>
      <w:pPr>
        <w:pStyle w:val="BodyText"/>
        <w:ind w:left="260"/>
        <w:jc w:val="both"/>
      </w:pPr>
      <w:r>
        <w:rPr/>
        <w:t>4.1.1(n)</w:t>
      </w:r>
      <w:r>
        <w:rPr>
          <w:spacing w:val="-6"/>
        </w:rPr>
        <w:t> </w:t>
      </w:r>
      <w:r>
        <w:rPr/>
        <w:t>Differential</w:t>
      </w:r>
      <w:r>
        <w:rPr>
          <w:spacing w:val="-5"/>
        </w:rPr>
        <w:t> </w:t>
      </w:r>
      <w:r>
        <w:rPr>
          <w:spacing w:val="-4"/>
        </w:rPr>
        <w:t>rates</w:t>
      </w:r>
    </w:p>
    <w:p>
      <w:pPr>
        <w:pStyle w:val="BodyText"/>
      </w:pPr>
    </w:p>
    <w:p>
      <w:pPr>
        <w:spacing w:before="1"/>
        <w:ind w:left="260" w:right="0" w:firstLine="0"/>
        <w:jc w:val="both"/>
        <w:rPr>
          <w:b/>
          <w:sz w:val="22"/>
        </w:rPr>
      </w:pPr>
      <w:r>
        <w:rPr>
          <w:b/>
          <w:sz w:val="22"/>
          <w:u w:val="single"/>
        </w:rPr>
        <w:t>Rates</w:t>
      </w:r>
      <w:r>
        <w:rPr>
          <w:b/>
          <w:spacing w:val="-1"/>
          <w:sz w:val="22"/>
          <w:u w:val="single"/>
        </w:rPr>
        <w:t> </w:t>
      </w:r>
      <w:r>
        <w:rPr>
          <w:b/>
          <w:sz w:val="22"/>
          <w:u w:val="single"/>
        </w:rPr>
        <w:t>to</w:t>
      </w:r>
      <w:r>
        <w:rPr>
          <w:b/>
          <w:spacing w:val="-4"/>
          <w:sz w:val="22"/>
          <w:u w:val="single"/>
        </w:rPr>
        <w:t> </w:t>
      </w:r>
      <w:r>
        <w:rPr>
          <w:b/>
          <w:sz w:val="22"/>
          <w:u w:val="single"/>
        </w:rPr>
        <w:t>be </w:t>
      </w:r>
      <w:r>
        <w:rPr>
          <w:b/>
          <w:spacing w:val="-2"/>
          <w:sz w:val="22"/>
          <w:u w:val="single"/>
        </w:rPr>
        <w:t>Levied</w:t>
      </w:r>
    </w:p>
    <w:p>
      <w:pPr>
        <w:pStyle w:val="BodyText"/>
        <w:spacing w:before="7"/>
        <w:rPr>
          <w:b/>
          <w:sz w:val="13"/>
        </w:rPr>
      </w:pPr>
    </w:p>
    <w:p>
      <w:pPr>
        <w:pStyle w:val="BodyText"/>
        <w:spacing w:before="94"/>
        <w:ind w:left="260"/>
        <w:jc w:val="both"/>
      </w:pPr>
      <w:r>
        <w:rPr/>
        <w:t>The</w:t>
      </w:r>
      <w:r>
        <w:rPr>
          <w:spacing w:val="-3"/>
        </w:rPr>
        <w:t> </w:t>
      </w:r>
      <w:r>
        <w:rPr/>
        <w:t>rate</w:t>
      </w:r>
      <w:r>
        <w:rPr>
          <w:spacing w:val="-2"/>
        </w:rPr>
        <w:t> </w:t>
      </w:r>
      <w:r>
        <w:rPr/>
        <w:t>and</w:t>
      </w:r>
      <w:r>
        <w:rPr>
          <w:spacing w:val="-4"/>
        </w:rPr>
        <w:t> </w:t>
      </w:r>
      <w:r>
        <w:rPr/>
        <w:t>amount</w:t>
      </w:r>
      <w:r>
        <w:rPr>
          <w:spacing w:val="-1"/>
        </w:rPr>
        <w:t> </w:t>
      </w:r>
      <w:r>
        <w:rPr/>
        <w:t>of</w:t>
      </w:r>
      <w:r>
        <w:rPr>
          <w:spacing w:val="-3"/>
        </w:rPr>
        <w:t> </w:t>
      </w:r>
      <w:r>
        <w:rPr/>
        <w:t>rates</w:t>
      </w:r>
      <w:r>
        <w:rPr>
          <w:spacing w:val="-1"/>
        </w:rPr>
        <w:t> </w:t>
      </w:r>
      <w:r>
        <w:rPr/>
        <w:t>payable</w:t>
      </w:r>
      <w:r>
        <w:rPr>
          <w:spacing w:val="-7"/>
        </w:rPr>
        <w:t> </w:t>
      </w:r>
      <w:r>
        <w:rPr/>
        <w:t>in</w:t>
      </w:r>
      <w:r>
        <w:rPr>
          <w:spacing w:val="-2"/>
        </w:rPr>
        <w:t> </w:t>
      </w:r>
      <w:r>
        <w:rPr/>
        <w:t>relation</w:t>
      </w:r>
      <w:r>
        <w:rPr>
          <w:spacing w:val="-3"/>
        </w:rPr>
        <w:t> </w:t>
      </w:r>
      <w:r>
        <w:rPr/>
        <w:t>to</w:t>
      </w:r>
      <w:r>
        <w:rPr>
          <w:spacing w:val="-2"/>
        </w:rPr>
        <w:t> </w:t>
      </w:r>
      <w:r>
        <w:rPr/>
        <w:t>land</w:t>
      </w:r>
      <w:r>
        <w:rPr>
          <w:spacing w:val="-2"/>
        </w:rPr>
        <w:t> </w:t>
      </w:r>
      <w:r>
        <w:rPr/>
        <w:t>in</w:t>
      </w:r>
      <w:r>
        <w:rPr>
          <w:spacing w:val="-3"/>
        </w:rPr>
        <w:t> </w:t>
      </w:r>
      <w:r>
        <w:rPr/>
        <w:t>each</w:t>
      </w:r>
      <w:r>
        <w:rPr>
          <w:spacing w:val="-5"/>
        </w:rPr>
        <w:t> </w:t>
      </w:r>
      <w:r>
        <w:rPr/>
        <w:t>category</w:t>
      </w:r>
      <w:r>
        <w:rPr>
          <w:spacing w:val="-7"/>
        </w:rPr>
        <w:t> </w:t>
      </w:r>
      <w:r>
        <w:rPr/>
        <w:t>of</w:t>
      </w:r>
      <w:r>
        <w:rPr>
          <w:spacing w:val="-1"/>
        </w:rPr>
        <w:t> </w:t>
      </w:r>
      <w:r>
        <w:rPr/>
        <w:t>differential</w:t>
      </w:r>
      <w:r>
        <w:rPr>
          <w:spacing w:val="-2"/>
        </w:rPr>
        <w:t> </w:t>
      </w:r>
      <w:r>
        <w:rPr>
          <w:spacing w:val="-4"/>
        </w:rPr>
        <w:t>are:</w:t>
      </w:r>
    </w:p>
    <w:p>
      <w:pPr>
        <w:pStyle w:val="BodyText"/>
        <w:spacing w:before="2"/>
      </w:pPr>
    </w:p>
    <w:p>
      <w:pPr>
        <w:pStyle w:val="ListParagraph"/>
        <w:numPr>
          <w:ilvl w:val="0"/>
          <w:numId w:val="60"/>
        </w:numPr>
        <w:tabs>
          <w:tab w:pos="826" w:val="left" w:leader="none"/>
          <w:tab w:pos="827" w:val="left" w:leader="none"/>
        </w:tabs>
        <w:spacing w:line="268" w:lineRule="exact" w:before="1" w:after="0"/>
        <w:ind w:left="826" w:right="0" w:hanging="567"/>
        <w:jc w:val="left"/>
        <w:rPr>
          <w:sz w:val="22"/>
        </w:rPr>
      </w:pPr>
      <w:r>
        <w:rPr>
          <w:sz w:val="22"/>
        </w:rPr>
        <w:t>A</w:t>
      </w:r>
      <w:r>
        <w:rPr>
          <w:spacing w:val="-4"/>
          <w:sz w:val="22"/>
        </w:rPr>
        <w:t> </w:t>
      </w:r>
      <w:r>
        <w:rPr>
          <w:sz w:val="22"/>
        </w:rPr>
        <w:t>general</w:t>
      </w:r>
      <w:r>
        <w:rPr>
          <w:spacing w:val="-4"/>
          <w:sz w:val="22"/>
        </w:rPr>
        <w:t> </w:t>
      </w:r>
      <w:r>
        <w:rPr>
          <w:sz w:val="22"/>
        </w:rPr>
        <w:t>rate</w:t>
      </w:r>
      <w:r>
        <w:rPr>
          <w:spacing w:val="-4"/>
          <w:sz w:val="22"/>
        </w:rPr>
        <w:t> </w:t>
      </w:r>
      <w:r>
        <w:rPr>
          <w:sz w:val="22"/>
        </w:rPr>
        <w:t>of</w:t>
      </w:r>
      <w:r>
        <w:rPr>
          <w:spacing w:val="-1"/>
          <w:sz w:val="22"/>
        </w:rPr>
        <w:t> </w:t>
      </w:r>
      <w:r>
        <w:rPr>
          <w:sz w:val="22"/>
        </w:rPr>
        <w:t>0.194869%</w:t>
      </w:r>
      <w:r>
        <w:rPr>
          <w:spacing w:val="-4"/>
          <w:sz w:val="22"/>
        </w:rPr>
        <w:t> </w:t>
      </w:r>
      <w:r>
        <w:rPr>
          <w:sz w:val="22"/>
        </w:rPr>
        <w:t>for</w:t>
      </w:r>
      <w:r>
        <w:rPr>
          <w:spacing w:val="-2"/>
          <w:sz w:val="22"/>
        </w:rPr>
        <w:t> </w:t>
      </w:r>
      <w:r>
        <w:rPr>
          <w:sz w:val="22"/>
        </w:rPr>
        <w:t>all</w:t>
      </w:r>
      <w:r>
        <w:rPr>
          <w:spacing w:val="-2"/>
          <w:sz w:val="22"/>
        </w:rPr>
        <w:t> </w:t>
      </w:r>
      <w:r>
        <w:rPr>
          <w:sz w:val="22"/>
        </w:rPr>
        <w:t>rateable</w:t>
      </w:r>
      <w:r>
        <w:rPr>
          <w:spacing w:val="-6"/>
          <w:sz w:val="22"/>
        </w:rPr>
        <w:t> </w:t>
      </w:r>
      <w:r>
        <w:rPr>
          <w:sz w:val="22"/>
        </w:rPr>
        <w:t>General</w:t>
      </w:r>
      <w:r>
        <w:rPr>
          <w:spacing w:val="-2"/>
          <w:sz w:val="22"/>
        </w:rPr>
        <w:t> </w:t>
      </w:r>
      <w:r>
        <w:rPr>
          <w:sz w:val="22"/>
        </w:rPr>
        <w:t>Land; </w:t>
      </w:r>
      <w:r>
        <w:rPr>
          <w:spacing w:val="-5"/>
          <w:sz w:val="22"/>
        </w:rPr>
        <w:t>and</w:t>
      </w:r>
    </w:p>
    <w:p>
      <w:pPr>
        <w:pStyle w:val="ListParagraph"/>
        <w:numPr>
          <w:ilvl w:val="0"/>
          <w:numId w:val="60"/>
        </w:numPr>
        <w:tabs>
          <w:tab w:pos="826" w:val="left" w:leader="none"/>
          <w:tab w:pos="827" w:val="left" w:leader="none"/>
        </w:tabs>
        <w:spacing w:line="268" w:lineRule="exact" w:before="0" w:after="0"/>
        <w:ind w:left="826" w:right="0" w:hanging="567"/>
        <w:jc w:val="left"/>
        <w:rPr>
          <w:sz w:val="22"/>
        </w:rPr>
      </w:pPr>
      <w:r>
        <w:rPr>
          <w:sz w:val="22"/>
        </w:rPr>
        <w:t>A</w:t>
      </w:r>
      <w:r>
        <w:rPr>
          <w:spacing w:val="-5"/>
          <w:sz w:val="22"/>
        </w:rPr>
        <w:t> </w:t>
      </w:r>
      <w:r>
        <w:rPr>
          <w:sz w:val="22"/>
        </w:rPr>
        <w:t>general</w:t>
      </w:r>
      <w:r>
        <w:rPr>
          <w:spacing w:val="-4"/>
          <w:sz w:val="22"/>
        </w:rPr>
        <w:t> </w:t>
      </w:r>
      <w:r>
        <w:rPr>
          <w:sz w:val="22"/>
        </w:rPr>
        <w:t>rate</w:t>
      </w:r>
      <w:r>
        <w:rPr>
          <w:spacing w:val="-4"/>
          <w:sz w:val="22"/>
        </w:rPr>
        <w:t> </w:t>
      </w:r>
      <w:r>
        <w:rPr>
          <w:sz w:val="22"/>
        </w:rPr>
        <w:t>of</w:t>
      </w:r>
      <w:r>
        <w:rPr>
          <w:spacing w:val="-2"/>
          <w:sz w:val="22"/>
        </w:rPr>
        <w:t> </w:t>
      </w:r>
      <w:r>
        <w:rPr>
          <w:sz w:val="22"/>
        </w:rPr>
        <w:t>0.233843%</w:t>
      </w:r>
      <w:r>
        <w:rPr>
          <w:spacing w:val="-4"/>
          <w:sz w:val="22"/>
        </w:rPr>
        <w:t> </w:t>
      </w:r>
      <w:r>
        <w:rPr>
          <w:sz w:val="22"/>
        </w:rPr>
        <w:t>for</w:t>
      </w:r>
      <w:r>
        <w:rPr>
          <w:spacing w:val="-2"/>
          <w:sz w:val="22"/>
        </w:rPr>
        <w:t> </w:t>
      </w:r>
      <w:r>
        <w:rPr>
          <w:sz w:val="22"/>
        </w:rPr>
        <w:t>all</w:t>
      </w:r>
      <w:r>
        <w:rPr>
          <w:spacing w:val="-3"/>
          <w:sz w:val="22"/>
        </w:rPr>
        <w:t> </w:t>
      </w:r>
      <w:r>
        <w:rPr>
          <w:sz w:val="22"/>
        </w:rPr>
        <w:t>rateable</w:t>
      </w:r>
      <w:r>
        <w:rPr>
          <w:spacing w:val="-6"/>
          <w:sz w:val="22"/>
        </w:rPr>
        <w:t> </w:t>
      </w:r>
      <w:r>
        <w:rPr>
          <w:sz w:val="22"/>
        </w:rPr>
        <w:t>Commercial</w:t>
      </w:r>
      <w:r>
        <w:rPr>
          <w:spacing w:val="-2"/>
          <w:sz w:val="22"/>
        </w:rPr>
        <w:t> </w:t>
      </w:r>
      <w:r>
        <w:rPr>
          <w:sz w:val="22"/>
        </w:rPr>
        <w:t>Land; </w:t>
      </w:r>
      <w:r>
        <w:rPr>
          <w:spacing w:val="-5"/>
          <w:sz w:val="22"/>
        </w:rPr>
        <w:t>and</w:t>
      </w:r>
    </w:p>
    <w:p>
      <w:pPr>
        <w:pStyle w:val="ListParagraph"/>
        <w:numPr>
          <w:ilvl w:val="0"/>
          <w:numId w:val="60"/>
        </w:numPr>
        <w:tabs>
          <w:tab w:pos="826" w:val="left" w:leader="none"/>
          <w:tab w:pos="827" w:val="left" w:leader="none"/>
        </w:tabs>
        <w:spacing w:line="269" w:lineRule="exact" w:before="0" w:after="0"/>
        <w:ind w:left="826" w:right="0" w:hanging="567"/>
        <w:jc w:val="left"/>
        <w:rPr>
          <w:sz w:val="22"/>
        </w:rPr>
      </w:pPr>
      <w:r>
        <w:rPr>
          <w:sz w:val="22"/>
        </w:rPr>
        <w:t>A</w:t>
      </w:r>
      <w:r>
        <w:rPr>
          <w:spacing w:val="-5"/>
          <w:sz w:val="22"/>
        </w:rPr>
        <w:t> </w:t>
      </w:r>
      <w:r>
        <w:rPr>
          <w:sz w:val="22"/>
        </w:rPr>
        <w:t>general</w:t>
      </w:r>
      <w:r>
        <w:rPr>
          <w:spacing w:val="-4"/>
          <w:sz w:val="22"/>
        </w:rPr>
        <w:t> </w:t>
      </w:r>
      <w:r>
        <w:rPr>
          <w:sz w:val="22"/>
        </w:rPr>
        <w:t>rate</w:t>
      </w:r>
      <w:r>
        <w:rPr>
          <w:spacing w:val="-4"/>
          <w:sz w:val="22"/>
        </w:rPr>
        <w:t> </w:t>
      </w:r>
      <w:r>
        <w:rPr>
          <w:sz w:val="22"/>
        </w:rPr>
        <w:t>of</w:t>
      </w:r>
      <w:r>
        <w:rPr>
          <w:spacing w:val="-2"/>
          <w:sz w:val="22"/>
        </w:rPr>
        <w:t> </w:t>
      </w:r>
      <w:r>
        <w:rPr>
          <w:sz w:val="22"/>
        </w:rPr>
        <w:t>0.233843%</w:t>
      </w:r>
      <w:r>
        <w:rPr>
          <w:spacing w:val="-4"/>
          <w:sz w:val="22"/>
        </w:rPr>
        <w:t> </w:t>
      </w:r>
      <w:r>
        <w:rPr>
          <w:sz w:val="22"/>
        </w:rPr>
        <w:t>for</w:t>
      </w:r>
      <w:r>
        <w:rPr>
          <w:spacing w:val="-2"/>
          <w:sz w:val="22"/>
        </w:rPr>
        <w:t> </w:t>
      </w:r>
      <w:r>
        <w:rPr>
          <w:sz w:val="22"/>
        </w:rPr>
        <w:t>all</w:t>
      </w:r>
      <w:r>
        <w:rPr>
          <w:spacing w:val="-3"/>
          <w:sz w:val="22"/>
        </w:rPr>
        <w:t> </w:t>
      </w:r>
      <w:r>
        <w:rPr>
          <w:sz w:val="22"/>
        </w:rPr>
        <w:t>rateable</w:t>
      </w:r>
      <w:r>
        <w:rPr>
          <w:spacing w:val="-6"/>
          <w:sz w:val="22"/>
        </w:rPr>
        <w:t> </w:t>
      </w:r>
      <w:r>
        <w:rPr>
          <w:sz w:val="22"/>
        </w:rPr>
        <w:t>Industrial</w:t>
      </w:r>
      <w:r>
        <w:rPr>
          <w:spacing w:val="-2"/>
          <w:sz w:val="22"/>
        </w:rPr>
        <w:t> </w:t>
      </w:r>
      <w:r>
        <w:rPr>
          <w:sz w:val="22"/>
        </w:rPr>
        <w:t>Land; </w:t>
      </w:r>
      <w:r>
        <w:rPr>
          <w:spacing w:val="-5"/>
          <w:sz w:val="22"/>
        </w:rPr>
        <w:t>and</w:t>
      </w:r>
    </w:p>
    <w:p>
      <w:pPr>
        <w:pStyle w:val="ListParagraph"/>
        <w:numPr>
          <w:ilvl w:val="0"/>
          <w:numId w:val="60"/>
        </w:numPr>
        <w:tabs>
          <w:tab w:pos="826" w:val="left" w:leader="none"/>
          <w:tab w:pos="827" w:val="left" w:leader="none"/>
        </w:tabs>
        <w:spacing w:line="268" w:lineRule="exact" w:before="0" w:after="0"/>
        <w:ind w:left="826" w:right="0" w:hanging="567"/>
        <w:jc w:val="left"/>
        <w:rPr>
          <w:sz w:val="22"/>
        </w:rPr>
      </w:pPr>
      <w:r>
        <w:rPr>
          <w:sz w:val="22"/>
        </w:rPr>
        <w:t>A</w:t>
      </w:r>
      <w:r>
        <w:rPr>
          <w:spacing w:val="-5"/>
          <w:sz w:val="22"/>
        </w:rPr>
        <w:t> </w:t>
      </w:r>
      <w:r>
        <w:rPr>
          <w:sz w:val="22"/>
        </w:rPr>
        <w:t>general</w:t>
      </w:r>
      <w:r>
        <w:rPr>
          <w:spacing w:val="-4"/>
          <w:sz w:val="22"/>
        </w:rPr>
        <w:t> </w:t>
      </w:r>
      <w:r>
        <w:rPr>
          <w:sz w:val="22"/>
        </w:rPr>
        <w:t>rate</w:t>
      </w:r>
      <w:r>
        <w:rPr>
          <w:spacing w:val="-4"/>
          <w:sz w:val="22"/>
        </w:rPr>
        <w:t> </w:t>
      </w:r>
      <w:r>
        <w:rPr>
          <w:sz w:val="22"/>
        </w:rPr>
        <w:t>of</w:t>
      </w:r>
      <w:r>
        <w:rPr>
          <w:spacing w:val="-2"/>
          <w:sz w:val="22"/>
        </w:rPr>
        <w:t> </w:t>
      </w:r>
      <w:r>
        <w:rPr>
          <w:sz w:val="22"/>
        </w:rPr>
        <w:t>0.292304%</w:t>
      </w:r>
      <w:r>
        <w:rPr>
          <w:spacing w:val="-4"/>
          <w:sz w:val="22"/>
        </w:rPr>
        <w:t> </w:t>
      </w:r>
      <w:r>
        <w:rPr>
          <w:sz w:val="22"/>
        </w:rPr>
        <w:t>for</w:t>
      </w:r>
      <w:r>
        <w:rPr>
          <w:spacing w:val="-2"/>
          <w:sz w:val="22"/>
        </w:rPr>
        <w:t> </w:t>
      </w:r>
      <w:r>
        <w:rPr>
          <w:sz w:val="22"/>
        </w:rPr>
        <w:t>all</w:t>
      </w:r>
      <w:r>
        <w:rPr>
          <w:spacing w:val="-3"/>
          <w:sz w:val="22"/>
        </w:rPr>
        <w:t> </w:t>
      </w:r>
      <w:r>
        <w:rPr>
          <w:sz w:val="22"/>
        </w:rPr>
        <w:t>rateable</w:t>
      </w:r>
      <w:r>
        <w:rPr>
          <w:spacing w:val="-6"/>
          <w:sz w:val="22"/>
        </w:rPr>
        <w:t> </w:t>
      </w:r>
      <w:r>
        <w:rPr>
          <w:sz w:val="22"/>
        </w:rPr>
        <w:t>Vacant Land;</w:t>
      </w:r>
      <w:r>
        <w:rPr>
          <w:spacing w:val="-2"/>
          <w:sz w:val="22"/>
        </w:rPr>
        <w:t> </w:t>
      </w:r>
      <w:r>
        <w:rPr>
          <w:spacing w:val="-5"/>
          <w:sz w:val="22"/>
        </w:rPr>
        <w:t>and</w:t>
      </w:r>
    </w:p>
    <w:p>
      <w:pPr>
        <w:pStyle w:val="ListParagraph"/>
        <w:numPr>
          <w:ilvl w:val="0"/>
          <w:numId w:val="60"/>
        </w:numPr>
        <w:tabs>
          <w:tab w:pos="826" w:val="left" w:leader="none"/>
          <w:tab w:pos="827" w:val="left" w:leader="none"/>
        </w:tabs>
        <w:spacing w:line="268" w:lineRule="exact" w:before="0" w:after="0"/>
        <w:ind w:left="826" w:right="0" w:hanging="567"/>
        <w:jc w:val="left"/>
        <w:rPr>
          <w:sz w:val="22"/>
        </w:rPr>
      </w:pPr>
      <w:r>
        <w:rPr>
          <w:sz w:val="22"/>
        </w:rPr>
        <w:t>A</w:t>
      </w:r>
      <w:r>
        <w:rPr>
          <w:spacing w:val="-5"/>
          <w:sz w:val="22"/>
        </w:rPr>
        <w:t> </w:t>
      </w:r>
      <w:r>
        <w:rPr>
          <w:sz w:val="22"/>
        </w:rPr>
        <w:t>general</w:t>
      </w:r>
      <w:r>
        <w:rPr>
          <w:spacing w:val="-4"/>
          <w:sz w:val="22"/>
        </w:rPr>
        <w:t> </w:t>
      </w:r>
      <w:r>
        <w:rPr>
          <w:sz w:val="22"/>
        </w:rPr>
        <w:t>rate</w:t>
      </w:r>
      <w:r>
        <w:rPr>
          <w:spacing w:val="-4"/>
          <w:sz w:val="22"/>
        </w:rPr>
        <w:t> </w:t>
      </w:r>
      <w:r>
        <w:rPr>
          <w:sz w:val="22"/>
        </w:rPr>
        <w:t>of</w:t>
      </w:r>
      <w:r>
        <w:rPr>
          <w:spacing w:val="-1"/>
          <w:sz w:val="22"/>
        </w:rPr>
        <w:t> </w:t>
      </w:r>
      <w:r>
        <w:rPr>
          <w:sz w:val="22"/>
        </w:rPr>
        <w:t>0.584608%</w:t>
      </w:r>
      <w:r>
        <w:rPr>
          <w:spacing w:val="-5"/>
          <w:sz w:val="22"/>
        </w:rPr>
        <w:t> </w:t>
      </w:r>
      <w:r>
        <w:rPr>
          <w:sz w:val="22"/>
        </w:rPr>
        <w:t>for</w:t>
      </w:r>
      <w:r>
        <w:rPr>
          <w:spacing w:val="-2"/>
          <w:sz w:val="22"/>
        </w:rPr>
        <w:t> </w:t>
      </w:r>
      <w:r>
        <w:rPr>
          <w:sz w:val="22"/>
        </w:rPr>
        <w:t>all</w:t>
      </w:r>
      <w:r>
        <w:rPr>
          <w:spacing w:val="-2"/>
          <w:sz w:val="22"/>
        </w:rPr>
        <w:t> </w:t>
      </w:r>
      <w:r>
        <w:rPr>
          <w:sz w:val="22"/>
        </w:rPr>
        <w:t>rateable</w:t>
      </w:r>
      <w:r>
        <w:rPr>
          <w:spacing w:val="-6"/>
          <w:sz w:val="22"/>
        </w:rPr>
        <w:t> </w:t>
      </w:r>
      <w:r>
        <w:rPr>
          <w:sz w:val="22"/>
        </w:rPr>
        <w:t>Derelict </w:t>
      </w:r>
      <w:r>
        <w:rPr>
          <w:spacing w:val="-2"/>
          <w:sz w:val="22"/>
        </w:rPr>
        <w:t>Land.</w:t>
      </w:r>
    </w:p>
    <w:p>
      <w:pPr>
        <w:pStyle w:val="BodyText"/>
        <w:spacing w:before="218"/>
        <w:ind w:left="260" w:right="554"/>
        <w:jc w:val="both"/>
      </w:pPr>
      <w:r>
        <w:rPr/>
        <w:t>Each differential rate will be determined by multiplying the Capital Improved Value of each rateable land (categorised by the characteristics described below) by the relevant percentages indicated above.</w:t>
      </w:r>
    </w:p>
    <w:p>
      <w:pPr>
        <w:pStyle w:val="BodyText"/>
        <w:spacing w:before="10"/>
        <w:rPr>
          <w:sz w:val="21"/>
        </w:rPr>
      </w:pPr>
    </w:p>
    <w:p>
      <w:pPr>
        <w:pStyle w:val="BodyText"/>
        <w:spacing w:before="1"/>
        <w:ind w:left="260" w:right="553"/>
        <w:jc w:val="both"/>
      </w:pPr>
      <w:r>
        <w:rPr/>
        <w:t>Council</w:t>
      </w:r>
      <w:r>
        <w:rPr>
          <w:spacing w:val="-16"/>
        </w:rPr>
        <w:t> </w:t>
      </w:r>
      <w:r>
        <w:rPr/>
        <w:t>considers</w:t>
      </w:r>
      <w:r>
        <w:rPr>
          <w:spacing w:val="-15"/>
        </w:rPr>
        <w:t> </w:t>
      </w:r>
      <w:r>
        <w:rPr/>
        <w:t>that</w:t>
      </w:r>
      <w:r>
        <w:rPr>
          <w:spacing w:val="-15"/>
        </w:rPr>
        <w:t> </w:t>
      </w:r>
      <w:r>
        <w:rPr/>
        <w:t>each</w:t>
      </w:r>
      <w:r>
        <w:rPr>
          <w:spacing w:val="-16"/>
        </w:rPr>
        <w:t> </w:t>
      </w:r>
      <w:r>
        <w:rPr/>
        <w:t>differential</w:t>
      </w:r>
      <w:r>
        <w:rPr>
          <w:spacing w:val="-15"/>
        </w:rPr>
        <w:t> </w:t>
      </w:r>
      <w:r>
        <w:rPr/>
        <w:t>rate</w:t>
      </w:r>
      <w:r>
        <w:rPr>
          <w:spacing w:val="-14"/>
        </w:rPr>
        <w:t> </w:t>
      </w:r>
      <w:r>
        <w:rPr/>
        <w:t>will</w:t>
      </w:r>
      <w:r>
        <w:rPr>
          <w:spacing w:val="-16"/>
        </w:rPr>
        <w:t> </w:t>
      </w:r>
      <w:r>
        <w:rPr/>
        <w:t>contribute</w:t>
      </w:r>
      <w:r>
        <w:rPr>
          <w:spacing w:val="-15"/>
        </w:rPr>
        <w:t> </w:t>
      </w:r>
      <w:r>
        <w:rPr/>
        <w:t>to</w:t>
      </w:r>
      <w:r>
        <w:rPr>
          <w:spacing w:val="-15"/>
        </w:rPr>
        <w:t> </w:t>
      </w:r>
      <w:r>
        <w:rPr/>
        <w:t>the</w:t>
      </w:r>
      <w:r>
        <w:rPr>
          <w:spacing w:val="-14"/>
        </w:rPr>
        <w:t> </w:t>
      </w:r>
      <w:r>
        <w:rPr/>
        <w:t>equitable</w:t>
      </w:r>
      <w:r>
        <w:rPr>
          <w:spacing w:val="-16"/>
        </w:rPr>
        <w:t> </w:t>
      </w:r>
      <w:r>
        <w:rPr/>
        <w:t>and</w:t>
      </w:r>
      <w:r>
        <w:rPr>
          <w:spacing w:val="-13"/>
        </w:rPr>
        <w:t> </w:t>
      </w:r>
      <w:r>
        <w:rPr/>
        <w:t>efficient</w:t>
      </w:r>
      <w:r>
        <w:rPr>
          <w:spacing w:val="-15"/>
        </w:rPr>
        <w:t> </w:t>
      </w:r>
      <w:r>
        <w:rPr/>
        <w:t>carrying</w:t>
      </w:r>
      <w:r>
        <w:rPr>
          <w:spacing w:val="-16"/>
        </w:rPr>
        <w:t> </w:t>
      </w:r>
      <w:r>
        <w:rPr/>
        <w:t>out</w:t>
      </w:r>
      <w:r>
        <w:rPr>
          <w:spacing w:val="-15"/>
        </w:rPr>
        <w:t> </w:t>
      </w:r>
      <w:r>
        <w:rPr/>
        <w:t>of</w:t>
      </w:r>
      <w:r>
        <w:rPr>
          <w:spacing w:val="-15"/>
        </w:rPr>
        <w:t> </w:t>
      </w:r>
      <w:r>
        <w:rPr/>
        <w:t>Council functions. Details of</w:t>
      </w:r>
      <w:r>
        <w:rPr>
          <w:spacing w:val="-1"/>
        </w:rPr>
        <w:t> </w:t>
      </w:r>
      <w:r>
        <w:rPr/>
        <w:t>the</w:t>
      </w:r>
      <w:r>
        <w:rPr>
          <w:spacing w:val="-5"/>
        </w:rPr>
        <w:t> </w:t>
      </w:r>
      <w:r>
        <w:rPr/>
        <w:t>objectives</w:t>
      </w:r>
      <w:r>
        <w:rPr>
          <w:spacing w:val="-4"/>
        </w:rPr>
        <w:t> </w:t>
      </w:r>
      <w:r>
        <w:rPr/>
        <w:t>of</w:t>
      </w:r>
      <w:r>
        <w:rPr>
          <w:spacing w:val="-2"/>
        </w:rPr>
        <w:t> </w:t>
      </w:r>
      <w:r>
        <w:rPr/>
        <w:t>each</w:t>
      </w:r>
      <w:r>
        <w:rPr>
          <w:spacing w:val="-3"/>
        </w:rPr>
        <w:t> </w:t>
      </w:r>
      <w:r>
        <w:rPr/>
        <w:t>differential</w:t>
      </w:r>
      <w:r>
        <w:rPr>
          <w:spacing w:val="-2"/>
        </w:rPr>
        <w:t> </w:t>
      </w:r>
      <w:r>
        <w:rPr/>
        <w:t>rate,</w:t>
      </w:r>
      <w:r>
        <w:rPr>
          <w:spacing w:val="-2"/>
        </w:rPr>
        <w:t> </w:t>
      </w:r>
      <w:r>
        <w:rPr/>
        <w:t>the</w:t>
      </w:r>
      <w:r>
        <w:rPr>
          <w:spacing w:val="-3"/>
        </w:rPr>
        <w:t> </w:t>
      </w:r>
      <w:r>
        <w:rPr/>
        <w:t>types</w:t>
      </w:r>
      <w:r>
        <w:rPr>
          <w:spacing w:val="-2"/>
        </w:rPr>
        <w:t> </w:t>
      </w:r>
      <w:r>
        <w:rPr/>
        <w:t>of classes</w:t>
      </w:r>
      <w:r>
        <w:rPr>
          <w:spacing w:val="-2"/>
        </w:rPr>
        <w:t> </w:t>
      </w:r>
      <w:r>
        <w:rPr/>
        <w:t>of land,</w:t>
      </w:r>
      <w:r>
        <w:rPr>
          <w:spacing w:val="-4"/>
        </w:rPr>
        <w:t> </w:t>
      </w:r>
      <w:r>
        <w:rPr/>
        <w:t>which are</w:t>
      </w:r>
      <w:r>
        <w:rPr>
          <w:spacing w:val="-4"/>
        </w:rPr>
        <w:t> </w:t>
      </w:r>
      <w:r>
        <w:rPr/>
        <w:t>subject</w:t>
      </w:r>
      <w:r>
        <w:rPr>
          <w:spacing w:val="-1"/>
        </w:rPr>
        <w:t> </w:t>
      </w:r>
      <w:r>
        <w:rPr/>
        <w:t>to each differential rate and the uses of each differential rate are set out below.</w:t>
      </w:r>
    </w:p>
    <w:p>
      <w:pPr>
        <w:spacing w:after="0"/>
        <w:jc w:val="both"/>
        <w:sectPr>
          <w:pgSz w:w="11910" w:h="16840"/>
          <w:pgMar w:header="0" w:footer="375" w:top="620" w:bottom="560" w:left="460" w:right="160"/>
        </w:sectPr>
      </w:pPr>
    </w:p>
    <w:p>
      <w:pPr>
        <w:spacing w:before="81"/>
        <w:ind w:left="260" w:right="0" w:firstLine="0"/>
        <w:jc w:val="left"/>
        <w:rPr>
          <w:b/>
          <w:sz w:val="22"/>
        </w:rPr>
      </w:pPr>
      <w:r>
        <w:rPr>
          <w:b/>
          <w:sz w:val="22"/>
          <w:u w:val="single"/>
        </w:rPr>
        <w:t>Residential</w:t>
      </w:r>
      <w:r>
        <w:rPr>
          <w:b/>
          <w:spacing w:val="-4"/>
          <w:sz w:val="22"/>
          <w:u w:val="single"/>
        </w:rPr>
        <w:t> Land</w:t>
      </w:r>
    </w:p>
    <w:p>
      <w:pPr>
        <w:pStyle w:val="BodyText"/>
        <w:spacing w:before="11"/>
        <w:rPr>
          <w:b/>
          <w:sz w:val="13"/>
        </w:rPr>
      </w:pPr>
    </w:p>
    <w:p>
      <w:pPr>
        <w:pStyle w:val="Heading5"/>
        <w:spacing w:line="252" w:lineRule="exact" w:before="93"/>
      </w:pPr>
      <w:r>
        <w:rPr>
          <w:spacing w:val="-2"/>
        </w:rPr>
        <w:t>Definitions/Characteristics:</w:t>
      </w:r>
    </w:p>
    <w:p>
      <w:pPr>
        <w:pStyle w:val="BodyText"/>
        <w:ind w:left="260" w:right="619"/>
      </w:pPr>
      <w:r>
        <w:rPr/>
        <w:t>Residential land is any land, which is used for private residential purposes or on which a habitable building is erected of which is unoccupied and which is zoned residential.</w:t>
      </w:r>
    </w:p>
    <w:p>
      <w:pPr>
        <w:pStyle w:val="BodyText"/>
        <w:spacing w:before="11"/>
        <w:rPr>
          <w:sz w:val="21"/>
        </w:rPr>
      </w:pPr>
    </w:p>
    <w:p>
      <w:pPr>
        <w:pStyle w:val="Heading5"/>
      </w:pPr>
      <w:r>
        <w:rPr>
          <w:spacing w:val="-2"/>
        </w:rPr>
        <w:t>Objective:</w:t>
      </w:r>
    </w:p>
    <w:p>
      <w:pPr>
        <w:pStyle w:val="BodyText"/>
        <w:spacing w:before="1"/>
        <w:ind w:left="260" w:right="445"/>
      </w:pPr>
      <w:r>
        <w:rPr/>
        <w:t>To</w:t>
      </w:r>
      <w:r>
        <w:rPr>
          <w:spacing w:val="28"/>
        </w:rPr>
        <w:t> </w:t>
      </w:r>
      <w:r>
        <w:rPr/>
        <w:t>ensure</w:t>
      </w:r>
      <w:r>
        <w:rPr>
          <w:spacing w:val="26"/>
        </w:rPr>
        <w:t> </w:t>
      </w:r>
      <w:r>
        <w:rPr/>
        <w:t>that</w:t>
      </w:r>
      <w:r>
        <w:rPr>
          <w:spacing w:val="27"/>
        </w:rPr>
        <w:t> </w:t>
      </w:r>
      <w:r>
        <w:rPr/>
        <w:t>all</w:t>
      </w:r>
      <w:r>
        <w:rPr>
          <w:spacing w:val="26"/>
        </w:rPr>
        <w:t> </w:t>
      </w:r>
      <w:r>
        <w:rPr/>
        <w:t>rateable</w:t>
      </w:r>
      <w:r>
        <w:rPr>
          <w:spacing w:val="26"/>
        </w:rPr>
        <w:t> </w:t>
      </w:r>
      <w:r>
        <w:rPr/>
        <w:t>land</w:t>
      </w:r>
      <w:r>
        <w:rPr>
          <w:spacing w:val="27"/>
        </w:rPr>
        <w:t> </w:t>
      </w:r>
      <w:r>
        <w:rPr/>
        <w:t>makes</w:t>
      </w:r>
      <w:r>
        <w:rPr>
          <w:spacing w:val="27"/>
        </w:rPr>
        <w:t> </w:t>
      </w:r>
      <w:r>
        <w:rPr/>
        <w:t>an</w:t>
      </w:r>
      <w:r>
        <w:rPr>
          <w:spacing w:val="27"/>
        </w:rPr>
        <w:t> </w:t>
      </w:r>
      <w:r>
        <w:rPr/>
        <w:t>equitable</w:t>
      </w:r>
      <w:r>
        <w:rPr>
          <w:spacing w:val="26"/>
        </w:rPr>
        <w:t> </w:t>
      </w:r>
      <w:r>
        <w:rPr/>
        <w:t>financial</w:t>
      </w:r>
      <w:r>
        <w:rPr>
          <w:spacing w:val="27"/>
        </w:rPr>
        <w:t> </w:t>
      </w:r>
      <w:r>
        <w:rPr/>
        <w:t>contribution</w:t>
      </w:r>
      <w:r>
        <w:rPr>
          <w:spacing w:val="26"/>
        </w:rPr>
        <w:t> </w:t>
      </w:r>
      <w:r>
        <w:rPr/>
        <w:t>to</w:t>
      </w:r>
      <w:r>
        <w:rPr>
          <w:spacing w:val="23"/>
        </w:rPr>
        <w:t> </w:t>
      </w:r>
      <w:r>
        <w:rPr/>
        <w:t>the</w:t>
      </w:r>
      <w:r>
        <w:rPr>
          <w:spacing w:val="28"/>
        </w:rPr>
        <w:t> </w:t>
      </w:r>
      <w:r>
        <w:rPr/>
        <w:t>cost</w:t>
      </w:r>
      <w:r>
        <w:rPr>
          <w:spacing w:val="29"/>
        </w:rPr>
        <w:t> </w:t>
      </w:r>
      <w:r>
        <w:rPr/>
        <w:t>of</w:t>
      </w:r>
      <w:r>
        <w:rPr>
          <w:spacing w:val="29"/>
        </w:rPr>
        <w:t> </w:t>
      </w:r>
      <w:r>
        <w:rPr/>
        <w:t>carrying</w:t>
      </w:r>
      <w:r>
        <w:rPr>
          <w:spacing w:val="26"/>
        </w:rPr>
        <w:t> </w:t>
      </w:r>
      <w:r>
        <w:rPr/>
        <w:t>out</w:t>
      </w:r>
      <w:r>
        <w:rPr>
          <w:spacing w:val="27"/>
        </w:rPr>
        <w:t> </w:t>
      </w:r>
      <w:r>
        <w:rPr/>
        <w:t>the functions of Council, including:</w:t>
      </w:r>
    </w:p>
    <w:p>
      <w:pPr>
        <w:pStyle w:val="BodyText"/>
        <w:spacing w:before="11"/>
        <w:rPr>
          <w:sz w:val="21"/>
        </w:rPr>
      </w:pPr>
    </w:p>
    <w:p>
      <w:pPr>
        <w:pStyle w:val="ListParagraph"/>
        <w:numPr>
          <w:ilvl w:val="0"/>
          <w:numId w:val="61"/>
        </w:numPr>
        <w:tabs>
          <w:tab w:pos="826" w:val="left" w:leader="none"/>
          <w:tab w:pos="827" w:val="left" w:leader="none"/>
        </w:tabs>
        <w:spacing w:line="252" w:lineRule="exact" w:before="0" w:after="0"/>
        <w:ind w:left="827" w:right="0" w:hanging="567"/>
        <w:jc w:val="left"/>
        <w:rPr>
          <w:sz w:val="22"/>
        </w:rPr>
      </w:pPr>
      <w:r>
        <w:rPr>
          <w:sz w:val="22"/>
        </w:rPr>
        <w:t>Construction</w:t>
      </w:r>
      <w:r>
        <w:rPr>
          <w:spacing w:val="-4"/>
          <w:sz w:val="22"/>
        </w:rPr>
        <w:t> </w:t>
      </w:r>
      <w:r>
        <w:rPr>
          <w:sz w:val="22"/>
        </w:rPr>
        <w:t>and</w:t>
      </w:r>
      <w:r>
        <w:rPr>
          <w:spacing w:val="-7"/>
          <w:sz w:val="22"/>
        </w:rPr>
        <w:t> </w:t>
      </w:r>
      <w:r>
        <w:rPr>
          <w:sz w:val="22"/>
        </w:rPr>
        <w:t>maintenance</w:t>
      </w:r>
      <w:r>
        <w:rPr>
          <w:spacing w:val="-5"/>
          <w:sz w:val="22"/>
        </w:rPr>
        <w:t> </w:t>
      </w:r>
      <w:r>
        <w:rPr>
          <w:sz w:val="22"/>
        </w:rPr>
        <w:t>of</w:t>
      </w:r>
      <w:r>
        <w:rPr>
          <w:spacing w:val="-5"/>
          <w:sz w:val="22"/>
        </w:rPr>
        <w:t> </w:t>
      </w:r>
      <w:r>
        <w:rPr>
          <w:sz w:val="22"/>
        </w:rPr>
        <w:t>public</w:t>
      </w:r>
      <w:r>
        <w:rPr>
          <w:spacing w:val="-5"/>
          <w:sz w:val="22"/>
        </w:rPr>
        <w:t> </w:t>
      </w:r>
      <w:r>
        <w:rPr>
          <w:sz w:val="22"/>
        </w:rPr>
        <w:t>infrastructure;</w:t>
      </w:r>
      <w:r>
        <w:rPr>
          <w:spacing w:val="-5"/>
          <w:sz w:val="22"/>
        </w:rPr>
        <w:t> and</w:t>
      </w:r>
    </w:p>
    <w:p>
      <w:pPr>
        <w:pStyle w:val="ListParagraph"/>
        <w:numPr>
          <w:ilvl w:val="0"/>
          <w:numId w:val="61"/>
        </w:numPr>
        <w:tabs>
          <w:tab w:pos="826" w:val="left" w:leader="none"/>
          <w:tab w:pos="827" w:val="left" w:leader="none"/>
        </w:tabs>
        <w:spacing w:line="252" w:lineRule="exact" w:before="0" w:after="0"/>
        <w:ind w:left="827" w:right="0" w:hanging="567"/>
        <w:jc w:val="left"/>
        <w:rPr>
          <w:sz w:val="22"/>
        </w:rPr>
      </w:pPr>
      <w:r>
        <w:rPr>
          <w:sz w:val="22"/>
        </w:rPr>
        <w:t>Development</w:t>
      </w:r>
      <w:r>
        <w:rPr>
          <w:spacing w:val="-5"/>
          <w:sz w:val="22"/>
        </w:rPr>
        <w:t> </w:t>
      </w:r>
      <w:r>
        <w:rPr>
          <w:sz w:val="22"/>
        </w:rPr>
        <w:t>and</w:t>
      </w:r>
      <w:r>
        <w:rPr>
          <w:spacing w:val="-6"/>
          <w:sz w:val="22"/>
        </w:rPr>
        <w:t> </w:t>
      </w:r>
      <w:r>
        <w:rPr>
          <w:sz w:val="22"/>
        </w:rPr>
        <w:t>provision</w:t>
      </w:r>
      <w:r>
        <w:rPr>
          <w:spacing w:val="-4"/>
          <w:sz w:val="22"/>
        </w:rPr>
        <w:t> </w:t>
      </w:r>
      <w:r>
        <w:rPr>
          <w:sz w:val="22"/>
        </w:rPr>
        <w:t>of</w:t>
      </w:r>
      <w:r>
        <w:rPr>
          <w:spacing w:val="-3"/>
          <w:sz w:val="22"/>
        </w:rPr>
        <w:t> </w:t>
      </w:r>
      <w:r>
        <w:rPr>
          <w:sz w:val="22"/>
        </w:rPr>
        <w:t>health</w:t>
      </w:r>
      <w:r>
        <w:rPr>
          <w:spacing w:val="-2"/>
          <w:sz w:val="22"/>
        </w:rPr>
        <w:t> </w:t>
      </w:r>
      <w:r>
        <w:rPr>
          <w:sz w:val="22"/>
        </w:rPr>
        <w:t>&amp;</w:t>
      </w:r>
      <w:r>
        <w:rPr>
          <w:spacing w:val="-7"/>
          <w:sz w:val="22"/>
        </w:rPr>
        <w:t> </w:t>
      </w:r>
      <w:r>
        <w:rPr>
          <w:sz w:val="22"/>
        </w:rPr>
        <w:t>community</w:t>
      </w:r>
      <w:r>
        <w:rPr>
          <w:spacing w:val="-4"/>
          <w:sz w:val="22"/>
        </w:rPr>
        <w:t> </w:t>
      </w:r>
      <w:r>
        <w:rPr>
          <w:sz w:val="22"/>
        </w:rPr>
        <w:t>services;</w:t>
      </w:r>
      <w:r>
        <w:rPr>
          <w:spacing w:val="-4"/>
          <w:sz w:val="22"/>
        </w:rPr>
        <w:t> </w:t>
      </w:r>
      <w:r>
        <w:rPr>
          <w:spacing w:val="-5"/>
          <w:sz w:val="22"/>
        </w:rPr>
        <w:t>and</w:t>
      </w:r>
    </w:p>
    <w:p>
      <w:pPr>
        <w:pStyle w:val="ListParagraph"/>
        <w:numPr>
          <w:ilvl w:val="0"/>
          <w:numId w:val="61"/>
        </w:numPr>
        <w:tabs>
          <w:tab w:pos="826" w:val="left" w:leader="none"/>
          <w:tab w:pos="827" w:val="left" w:leader="none"/>
        </w:tabs>
        <w:spacing w:line="252" w:lineRule="exact" w:before="2" w:after="0"/>
        <w:ind w:left="827" w:right="0" w:hanging="567"/>
        <w:jc w:val="left"/>
        <w:rPr>
          <w:sz w:val="22"/>
        </w:rPr>
      </w:pPr>
      <w:r>
        <w:rPr>
          <w:sz w:val="22"/>
        </w:rPr>
        <w:t>Provision</w:t>
      </w:r>
      <w:r>
        <w:rPr>
          <w:spacing w:val="-4"/>
          <w:sz w:val="22"/>
        </w:rPr>
        <w:t> </w:t>
      </w:r>
      <w:r>
        <w:rPr>
          <w:sz w:val="22"/>
        </w:rPr>
        <w:t>of</w:t>
      </w:r>
      <w:r>
        <w:rPr>
          <w:spacing w:val="-3"/>
          <w:sz w:val="22"/>
        </w:rPr>
        <w:t> </w:t>
      </w:r>
      <w:r>
        <w:rPr>
          <w:sz w:val="22"/>
        </w:rPr>
        <w:t>general</w:t>
      </w:r>
      <w:r>
        <w:rPr>
          <w:spacing w:val="-4"/>
          <w:sz w:val="22"/>
        </w:rPr>
        <w:t> </w:t>
      </w:r>
      <w:r>
        <w:rPr>
          <w:sz w:val="22"/>
        </w:rPr>
        <w:t>support</w:t>
      </w:r>
      <w:r>
        <w:rPr>
          <w:spacing w:val="-5"/>
          <w:sz w:val="22"/>
        </w:rPr>
        <w:t> </w:t>
      </w:r>
      <w:r>
        <w:rPr>
          <w:sz w:val="22"/>
        </w:rPr>
        <w:t>services;</w:t>
      </w:r>
      <w:r>
        <w:rPr>
          <w:spacing w:val="-1"/>
          <w:sz w:val="22"/>
        </w:rPr>
        <w:t> </w:t>
      </w:r>
      <w:r>
        <w:rPr>
          <w:spacing w:val="-5"/>
          <w:sz w:val="22"/>
        </w:rPr>
        <w:t>and</w:t>
      </w:r>
    </w:p>
    <w:p>
      <w:pPr>
        <w:pStyle w:val="ListParagraph"/>
        <w:numPr>
          <w:ilvl w:val="0"/>
          <w:numId w:val="61"/>
        </w:numPr>
        <w:tabs>
          <w:tab w:pos="826" w:val="left" w:leader="none"/>
          <w:tab w:pos="827" w:val="left" w:leader="none"/>
        </w:tabs>
        <w:spacing w:line="240" w:lineRule="auto" w:before="0" w:after="0"/>
        <w:ind w:left="826" w:right="560" w:hanging="567"/>
        <w:jc w:val="left"/>
        <w:rPr>
          <w:sz w:val="22"/>
        </w:rPr>
      </w:pPr>
      <w:r>
        <w:rPr>
          <w:sz w:val="22"/>
        </w:rPr>
        <w:t>Requirement</w:t>
      </w:r>
      <w:r>
        <w:rPr>
          <w:spacing w:val="24"/>
          <w:sz w:val="22"/>
        </w:rPr>
        <w:t> </w:t>
      </w:r>
      <w:r>
        <w:rPr>
          <w:sz w:val="22"/>
        </w:rPr>
        <w:t>to</w:t>
      </w:r>
      <w:r>
        <w:rPr>
          <w:spacing w:val="25"/>
          <w:sz w:val="22"/>
        </w:rPr>
        <w:t> </w:t>
      </w:r>
      <w:r>
        <w:rPr>
          <w:sz w:val="22"/>
        </w:rPr>
        <w:t>ensure</w:t>
      </w:r>
      <w:r>
        <w:rPr>
          <w:spacing w:val="22"/>
          <w:sz w:val="22"/>
        </w:rPr>
        <w:t> </w:t>
      </w:r>
      <w:r>
        <w:rPr>
          <w:sz w:val="22"/>
        </w:rPr>
        <w:t>that</w:t>
      </w:r>
      <w:r>
        <w:rPr>
          <w:spacing w:val="26"/>
          <w:sz w:val="22"/>
        </w:rPr>
        <w:t> </w:t>
      </w:r>
      <w:r>
        <w:rPr>
          <w:sz w:val="22"/>
        </w:rPr>
        <w:t>Council</w:t>
      </w:r>
      <w:r>
        <w:rPr>
          <w:spacing w:val="26"/>
          <w:sz w:val="22"/>
        </w:rPr>
        <w:t> </w:t>
      </w:r>
      <w:r>
        <w:rPr>
          <w:sz w:val="22"/>
        </w:rPr>
        <w:t>has</w:t>
      </w:r>
      <w:r>
        <w:rPr>
          <w:spacing w:val="24"/>
          <w:sz w:val="22"/>
        </w:rPr>
        <w:t> </w:t>
      </w:r>
      <w:r>
        <w:rPr>
          <w:sz w:val="22"/>
        </w:rPr>
        <w:t>adequate</w:t>
      </w:r>
      <w:r>
        <w:rPr>
          <w:spacing w:val="24"/>
          <w:sz w:val="22"/>
        </w:rPr>
        <w:t> </w:t>
      </w:r>
      <w:r>
        <w:rPr>
          <w:sz w:val="22"/>
        </w:rPr>
        <w:t>funding</w:t>
      </w:r>
      <w:r>
        <w:rPr>
          <w:spacing w:val="24"/>
          <w:sz w:val="22"/>
        </w:rPr>
        <w:t> </w:t>
      </w:r>
      <w:r>
        <w:rPr>
          <w:sz w:val="22"/>
        </w:rPr>
        <w:t>to</w:t>
      </w:r>
      <w:r>
        <w:rPr>
          <w:spacing w:val="22"/>
          <w:sz w:val="22"/>
        </w:rPr>
        <w:t> </w:t>
      </w:r>
      <w:r>
        <w:rPr>
          <w:sz w:val="22"/>
        </w:rPr>
        <w:t>undertake</w:t>
      </w:r>
      <w:r>
        <w:rPr>
          <w:spacing w:val="25"/>
          <w:sz w:val="22"/>
        </w:rPr>
        <w:t> </w:t>
      </w:r>
      <w:r>
        <w:rPr>
          <w:sz w:val="22"/>
        </w:rPr>
        <w:t>it’s</w:t>
      </w:r>
      <w:r>
        <w:rPr>
          <w:spacing w:val="26"/>
          <w:sz w:val="22"/>
        </w:rPr>
        <w:t> </w:t>
      </w:r>
      <w:r>
        <w:rPr>
          <w:sz w:val="22"/>
        </w:rPr>
        <w:t>strategic,</w:t>
      </w:r>
      <w:r>
        <w:rPr>
          <w:spacing w:val="26"/>
          <w:sz w:val="22"/>
        </w:rPr>
        <w:t> </w:t>
      </w:r>
      <w:r>
        <w:rPr>
          <w:sz w:val="22"/>
        </w:rPr>
        <w:t>statutory</w:t>
      </w:r>
      <w:r>
        <w:rPr>
          <w:spacing w:val="24"/>
          <w:sz w:val="22"/>
        </w:rPr>
        <w:t> </w:t>
      </w:r>
      <w:r>
        <w:rPr>
          <w:sz w:val="22"/>
        </w:rPr>
        <w:t>and service provision obligations.</w:t>
      </w:r>
    </w:p>
    <w:p>
      <w:pPr>
        <w:pStyle w:val="BodyText"/>
        <w:spacing w:before="1"/>
      </w:pPr>
    </w:p>
    <w:p>
      <w:pPr>
        <w:pStyle w:val="Heading5"/>
        <w:spacing w:line="252" w:lineRule="exact"/>
      </w:pPr>
      <w:r>
        <w:rPr/>
        <w:t>Types</w:t>
      </w:r>
      <w:r>
        <w:rPr>
          <w:spacing w:val="-2"/>
        </w:rPr>
        <w:t> </w:t>
      </w:r>
      <w:r>
        <w:rPr/>
        <w:t>and</w:t>
      </w:r>
      <w:r>
        <w:rPr>
          <w:spacing w:val="-1"/>
        </w:rPr>
        <w:t> </w:t>
      </w:r>
      <w:r>
        <w:rPr>
          <w:spacing w:val="-2"/>
        </w:rPr>
        <w:t>Classes:</w:t>
      </w:r>
    </w:p>
    <w:p>
      <w:pPr>
        <w:pStyle w:val="BodyText"/>
        <w:spacing w:line="252" w:lineRule="exact"/>
        <w:ind w:left="260"/>
      </w:pPr>
      <w:r>
        <w:rPr/>
        <w:t>Rateable</w:t>
      </w:r>
      <w:r>
        <w:rPr>
          <w:spacing w:val="-7"/>
        </w:rPr>
        <w:t> </w:t>
      </w:r>
      <w:r>
        <w:rPr/>
        <w:t>land</w:t>
      </w:r>
      <w:r>
        <w:rPr>
          <w:spacing w:val="-3"/>
        </w:rPr>
        <w:t> </w:t>
      </w:r>
      <w:r>
        <w:rPr/>
        <w:t>having</w:t>
      </w:r>
      <w:r>
        <w:rPr>
          <w:spacing w:val="-4"/>
        </w:rPr>
        <w:t> </w:t>
      </w:r>
      <w:r>
        <w:rPr/>
        <w:t>the</w:t>
      </w:r>
      <w:r>
        <w:rPr>
          <w:spacing w:val="-4"/>
        </w:rPr>
        <w:t> </w:t>
      </w:r>
      <w:r>
        <w:rPr/>
        <w:t>relevant</w:t>
      </w:r>
      <w:r>
        <w:rPr>
          <w:spacing w:val="-2"/>
        </w:rPr>
        <w:t> </w:t>
      </w:r>
      <w:r>
        <w:rPr/>
        <w:t>characteristics</w:t>
      </w:r>
      <w:r>
        <w:rPr>
          <w:spacing w:val="-6"/>
        </w:rPr>
        <w:t> </w:t>
      </w:r>
      <w:r>
        <w:rPr/>
        <w:t>described</w:t>
      </w:r>
      <w:r>
        <w:rPr>
          <w:spacing w:val="-3"/>
        </w:rPr>
        <w:t> </w:t>
      </w:r>
      <w:r>
        <w:rPr/>
        <w:t>in</w:t>
      </w:r>
      <w:r>
        <w:rPr>
          <w:spacing w:val="-5"/>
        </w:rPr>
        <w:t> </w:t>
      </w:r>
      <w:r>
        <w:rPr/>
        <w:t>the</w:t>
      </w:r>
      <w:r>
        <w:rPr>
          <w:spacing w:val="-1"/>
        </w:rPr>
        <w:t> </w:t>
      </w:r>
      <w:r>
        <w:rPr>
          <w:spacing w:val="-2"/>
        </w:rPr>
        <w:t>definition/characteristics.</w:t>
      </w:r>
    </w:p>
    <w:p>
      <w:pPr>
        <w:pStyle w:val="BodyText"/>
      </w:pPr>
    </w:p>
    <w:p>
      <w:pPr>
        <w:pStyle w:val="Heading5"/>
        <w:spacing w:line="252" w:lineRule="exact"/>
        <w:jc w:val="both"/>
      </w:pPr>
      <w:r>
        <w:rPr/>
        <w:t>Use</w:t>
      </w:r>
      <w:r>
        <w:rPr>
          <w:spacing w:val="-2"/>
        </w:rPr>
        <w:t> </w:t>
      </w:r>
      <w:r>
        <w:rPr/>
        <w:t>and</w:t>
      </w:r>
      <w:r>
        <w:rPr>
          <w:spacing w:val="-3"/>
        </w:rPr>
        <w:t> </w:t>
      </w:r>
      <w:r>
        <w:rPr/>
        <w:t>Level</w:t>
      </w:r>
      <w:r>
        <w:rPr>
          <w:spacing w:val="-5"/>
        </w:rPr>
        <w:t> </w:t>
      </w:r>
      <w:r>
        <w:rPr/>
        <w:t>of</w:t>
      </w:r>
      <w:r>
        <w:rPr>
          <w:spacing w:val="-6"/>
        </w:rPr>
        <w:t> </w:t>
      </w:r>
      <w:r>
        <w:rPr/>
        <w:t>Differential </w:t>
      </w:r>
      <w:r>
        <w:rPr>
          <w:spacing w:val="-4"/>
        </w:rPr>
        <w:t>Rate:</w:t>
      </w:r>
    </w:p>
    <w:p>
      <w:pPr>
        <w:pStyle w:val="BodyText"/>
        <w:ind w:left="260" w:right="554"/>
        <w:jc w:val="both"/>
      </w:pPr>
      <w:r>
        <w:rPr/>
        <w:t>The</w:t>
      </w:r>
      <w:r>
        <w:rPr>
          <w:spacing w:val="-5"/>
        </w:rPr>
        <w:t> </w:t>
      </w:r>
      <w:r>
        <w:rPr/>
        <w:t>differential</w:t>
      </w:r>
      <w:r>
        <w:rPr>
          <w:spacing w:val="-7"/>
        </w:rPr>
        <w:t> </w:t>
      </w:r>
      <w:r>
        <w:rPr/>
        <w:t>rate</w:t>
      </w:r>
      <w:r>
        <w:rPr>
          <w:spacing w:val="-7"/>
        </w:rPr>
        <w:t> </w:t>
      </w:r>
      <w:r>
        <w:rPr/>
        <w:t>will</w:t>
      </w:r>
      <w:r>
        <w:rPr>
          <w:spacing w:val="-8"/>
        </w:rPr>
        <w:t> </w:t>
      </w:r>
      <w:r>
        <w:rPr/>
        <w:t>be</w:t>
      </w:r>
      <w:r>
        <w:rPr>
          <w:spacing w:val="-5"/>
        </w:rPr>
        <w:t> </w:t>
      </w:r>
      <w:r>
        <w:rPr/>
        <w:t>used</w:t>
      </w:r>
      <w:r>
        <w:rPr>
          <w:spacing w:val="-7"/>
        </w:rPr>
        <w:t> </w:t>
      </w:r>
      <w:r>
        <w:rPr/>
        <w:t>to</w:t>
      </w:r>
      <w:r>
        <w:rPr>
          <w:spacing w:val="-9"/>
        </w:rPr>
        <w:t> </w:t>
      </w:r>
      <w:r>
        <w:rPr/>
        <w:t>fund</w:t>
      </w:r>
      <w:r>
        <w:rPr>
          <w:spacing w:val="-7"/>
        </w:rPr>
        <w:t> </w:t>
      </w:r>
      <w:r>
        <w:rPr/>
        <w:t>some</w:t>
      </w:r>
      <w:r>
        <w:rPr>
          <w:spacing w:val="-9"/>
        </w:rPr>
        <w:t> </w:t>
      </w:r>
      <w:r>
        <w:rPr/>
        <w:t>of</w:t>
      </w:r>
      <w:r>
        <w:rPr>
          <w:spacing w:val="-9"/>
        </w:rPr>
        <w:t> </w:t>
      </w:r>
      <w:r>
        <w:rPr/>
        <w:t>those</w:t>
      </w:r>
      <w:r>
        <w:rPr>
          <w:spacing w:val="-5"/>
        </w:rPr>
        <w:t> </w:t>
      </w:r>
      <w:r>
        <w:rPr/>
        <w:t>items</w:t>
      </w:r>
      <w:r>
        <w:rPr>
          <w:spacing w:val="-5"/>
        </w:rPr>
        <w:t> </w:t>
      </w:r>
      <w:r>
        <w:rPr/>
        <w:t>of</w:t>
      </w:r>
      <w:r>
        <w:rPr>
          <w:spacing w:val="-3"/>
        </w:rPr>
        <w:t> </w:t>
      </w:r>
      <w:r>
        <w:rPr/>
        <w:t>expenditure</w:t>
      </w:r>
      <w:r>
        <w:rPr>
          <w:spacing w:val="-11"/>
        </w:rPr>
        <w:t> </w:t>
      </w:r>
      <w:r>
        <w:rPr/>
        <w:t>described</w:t>
      </w:r>
      <w:r>
        <w:rPr>
          <w:spacing w:val="-5"/>
        </w:rPr>
        <w:t> </w:t>
      </w:r>
      <w:r>
        <w:rPr/>
        <w:t>in</w:t>
      </w:r>
      <w:r>
        <w:rPr>
          <w:spacing w:val="-9"/>
        </w:rPr>
        <w:t> </w:t>
      </w:r>
      <w:r>
        <w:rPr/>
        <w:t>the</w:t>
      </w:r>
      <w:r>
        <w:rPr>
          <w:spacing w:val="-5"/>
        </w:rPr>
        <w:t> </w:t>
      </w:r>
      <w:r>
        <w:rPr/>
        <w:t>Budget</w:t>
      </w:r>
      <w:r>
        <w:rPr>
          <w:spacing w:val="-5"/>
        </w:rPr>
        <w:t> </w:t>
      </w:r>
      <w:r>
        <w:rPr/>
        <w:t>adopted by Council. The level of differential rate is the level which Council considers is necessary to achieve the objectives specified above.</w:t>
      </w:r>
    </w:p>
    <w:p>
      <w:pPr>
        <w:pStyle w:val="BodyText"/>
        <w:spacing w:before="1"/>
      </w:pPr>
    </w:p>
    <w:p>
      <w:pPr>
        <w:pStyle w:val="Heading5"/>
        <w:spacing w:line="252" w:lineRule="exact"/>
        <w:jc w:val="both"/>
      </w:pPr>
      <w:r>
        <w:rPr/>
        <w:t>Geographic</w:t>
      </w:r>
      <w:r>
        <w:rPr>
          <w:spacing w:val="-5"/>
        </w:rPr>
        <w:t> </w:t>
      </w:r>
      <w:r>
        <w:rPr>
          <w:spacing w:val="-2"/>
        </w:rPr>
        <w:t>Location:</w:t>
      </w:r>
    </w:p>
    <w:p>
      <w:pPr>
        <w:pStyle w:val="BodyText"/>
        <w:spacing w:line="252" w:lineRule="exact"/>
        <w:ind w:left="260"/>
      </w:pPr>
      <w:r>
        <w:rPr/>
        <w:t>Wherever</w:t>
      </w:r>
      <w:r>
        <w:rPr>
          <w:spacing w:val="-3"/>
        </w:rPr>
        <w:t> </w:t>
      </w:r>
      <w:r>
        <w:rPr/>
        <w:t>located</w:t>
      </w:r>
      <w:r>
        <w:rPr>
          <w:spacing w:val="-2"/>
        </w:rPr>
        <w:t> </w:t>
      </w:r>
      <w:r>
        <w:rPr/>
        <w:t>within</w:t>
      </w:r>
      <w:r>
        <w:rPr>
          <w:spacing w:val="-7"/>
        </w:rPr>
        <w:t> </w:t>
      </w:r>
      <w:r>
        <w:rPr/>
        <w:t>the</w:t>
      </w:r>
      <w:r>
        <w:rPr>
          <w:spacing w:val="-5"/>
        </w:rPr>
        <w:t> </w:t>
      </w:r>
      <w:r>
        <w:rPr/>
        <w:t>municipal</w:t>
      </w:r>
      <w:r>
        <w:rPr>
          <w:spacing w:val="-3"/>
        </w:rPr>
        <w:t> </w:t>
      </w:r>
      <w:r>
        <w:rPr>
          <w:spacing w:val="-2"/>
        </w:rPr>
        <w:t>district.</w:t>
      </w:r>
    </w:p>
    <w:p>
      <w:pPr>
        <w:pStyle w:val="BodyText"/>
      </w:pPr>
    </w:p>
    <w:p>
      <w:pPr>
        <w:pStyle w:val="Heading5"/>
        <w:spacing w:line="252" w:lineRule="exact"/>
        <w:jc w:val="both"/>
      </w:pPr>
      <w:r>
        <w:rPr/>
        <w:t>Use of</w:t>
      </w:r>
      <w:r>
        <w:rPr>
          <w:spacing w:val="-1"/>
        </w:rPr>
        <w:t> </w:t>
      </w:r>
      <w:r>
        <w:rPr>
          <w:spacing w:val="-4"/>
        </w:rPr>
        <w:t>Land:</w:t>
      </w:r>
    </w:p>
    <w:p>
      <w:pPr>
        <w:pStyle w:val="BodyText"/>
        <w:spacing w:line="252" w:lineRule="exact"/>
        <w:ind w:left="260"/>
      </w:pPr>
      <w:r>
        <w:rPr/>
        <w:t>Any</w:t>
      </w:r>
      <w:r>
        <w:rPr>
          <w:spacing w:val="-3"/>
        </w:rPr>
        <w:t> </w:t>
      </w:r>
      <w:r>
        <w:rPr/>
        <w:t>use</w:t>
      </w:r>
      <w:r>
        <w:rPr>
          <w:spacing w:val="-3"/>
        </w:rPr>
        <w:t> </w:t>
      </w:r>
      <w:r>
        <w:rPr/>
        <w:t>permitted</w:t>
      </w:r>
      <w:r>
        <w:rPr>
          <w:spacing w:val="-5"/>
        </w:rPr>
        <w:t> </w:t>
      </w:r>
      <w:r>
        <w:rPr/>
        <w:t>under</w:t>
      </w:r>
      <w:r>
        <w:rPr>
          <w:spacing w:val="-2"/>
        </w:rPr>
        <w:t> </w:t>
      </w:r>
      <w:r>
        <w:rPr/>
        <w:t>the</w:t>
      </w:r>
      <w:r>
        <w:rPr>
          <w:spacing w:val="-5"/>
        </w:rPr>
        <w:t> </w:t>
      </w:r>
      <w:r>
        <w:rPr/>
        <w:t>relevant</w:t>
      </w:r>
      <w:r>
        <w:rPr>
          <w:spacing w:val="-3"/>
        </w:rPr>
        <w:t> </w:t>
      </w:r>
      <w:r>
        <w:rPr/>
        <w:t>Planning</w:t>
      </w:r>
      <w:r>
        <w:rPr>
          <w:spacing w:val="-1"/>
        </w:rPr>
        <w:t> </w:t>
      </w:r>
      <w:r>
        <w:rPr>
          <w:spacing w:val="-2"/>
        </w:rPr>
        <w:t>Scheme.</w:t>
      </w:r>
    </w:p>
    <w:p>
      <w:pPr>
        <w:pStyle w:val="BodyText"/>
      </w:pPr>
    </w:p>
    <w:p>
      <w:pPr>
        <w:pStyle w:val="Heading5"/>
        <w:spacing w:before="1"/>
        <w:jc w:val="both"/>
      </w:pPr>
      <w:r>
        <w:rPr/>
        <w:t>Planning</w:t>
      </w:r>
      <w:r>
        <w:rPr>
          <w:spacing w:val="-4"/>
        </w:rPr>
        <w:t> </w:t>
      </w:r>
      <w:r>
        <w:rPr/>
        <w:t>Scheme</w:t>
      </w:r>
      <w:r>
        <w:rPr>
          <w:spacing w:val="-2"/>
        </w:rPr>
        <w:t> Zoning:</w:t>
      </w:r>
    </w:p>
    <w:p>
      <w:pPr>
        <w:pStyle w:val="BodyText"/>
        <w:spacing w:before="1"/>
        <w:ind w:left="260" w:right="555"/>
        <w:jc w:val="both"/>
      </w:pPr>
      <w:r>
        <w:rPr/>
        <w:t>The</w:t>
      </w:r>
      <w:r>
        <w:rPr>
          <w:spacing w:val="-2"/>
        </w:rPr>
        <w:t> </w:t>
      </w:r>
      <w:r>
        <w:rPr/>
        <w:t>zoning</w:t>
      </w:r>
      <w:r>
        <w:rPr>
          <w:spacing w:val="-4"/>
        </w:rPr>
        <w:t> </w:t>
      </w:r>
      <w:r>
        <w:rPr/>
        <w:t>applicable</w:t>
      </w:r>
      <w:r>
        <w:rPr>
          <w:spacing w:val="-4"/>
        </w:rPr>
        <w:t> </w:t>
      </w:r>
      <w:r>
        <w:rPr/>
        <w:t>to</w:t>
      </w:r>
      <w:r>
        <w:rPr>
          <w:spacing w:val="-7"/>
        </w:rPr>
        <w:t> </w:t>
      </w:r>
      <w:r>
        <w:rPr/>
        <w:t>each</w:t>
      </w:r>
      <w:r>
        <w:rPr>
          <w:spacing w:val="-4"/>
        </w:rPr>
        <w:t> </w:t>
      </w:r>
      <w:r>
        <w:rPr/>
        <w:t>rateable</w:t>
      </w:r>
      <w:r>
        <w:rPr>
          <w:spacing w:val="-6"/>
        </w:rPr>
        <w:t> </w:t>
      </w:r>
      <w:r>
        <w:rPr/>
        <w:t>land</w:t>
      </w:r>
      <w:r>
        <w:rPr>
          <w:spacing w:val="-2"/>
        </w:rPr>
        <w:t> </w:t>
      </w:r>
      <w:r>
        <w:rPr/>
        <w:t>within</w:t>
      </w:r>
      <w:r>
        <w:rPr>
          <w:spacing w:val="-6"/>
        </w:rPr>
        <w:t> </w:t>
      </w:r>
      <w:r>
        <w:rPr/>
        <w:t>this</w:t>
      </w:r>
      <w:r>
        <w:rPr>
          <w:spacing w:val="-4"/>
        </w:rPr>
        <w:t> </w:t>
      </w:r>
      <w:r>
        <w:rPr/>
        <w:t>category,</w:t>
      </w:r>
      <w:r>
        <w:rPr>
          <w:spacing w:val="-2"/>
        </w:rPr>
        <w:t> </w:t>
      </w:r>
      <w:r>
        <w:rPr/>
        <w:t>as</w:t>
      </w:r>
      <w:r>
        <w:rPr>
          <w:spacing w:val="-4"/>
        </w:rPr>
        <w:t> </w:t>
      </w:r>
      <w:r>
        <w:rPr/>
        <w:t>determined</w:t>
      </w:r>
      <w:r>
        <w:rPr>
          <w:spacing w:val="-2"/>
        </w:rPr>
        <w:t> </w:t>
      </w:r>
      <w:r>
        <w:rPr/>
        <w:t>by</w:t>
      </w:r>
      <w:r>
        <w:rPr>
          <w:spacing w:val="-4"/>
        </w:rPr>
        <w:t> </w:t>
      </w:r>
      <w:r>
        <w:rPr/>
        <w:t>consulting</w:t>
      </w:r>
      <w:r>
        <w:rPr>
          <w:spacing w:val="-4"/>
        </w:rPr>
        <w:t> </w:t>
      </w:r>
      <w:r>
        <w:rPr/>
        <w:t>maps</w:t>
      </w:r>
      <w:r>
        <w:rPr>
          <w:spacing w:val="-4"/>
        </w:rPr>
        <w:t> </w:t>
      </w:r>
      <w:r>
        <w:rPr/>
        <w:t>referred to in the relevant Planning Scheme.</w:t>
      </w:r>
    </w:p>
    <w:p>
      <w:pPr>
        <w:pStyle w:val="BodyText"/>
        <w:spacing w:before="11"/>
        <w:rPr>
          <w:sz w:val="21"/>
        </w:rPr>
      </w:pPr>
    </w:p>
    <w:p>
      <w:pPr>
        <w:pStyle w:val="Heading5"/>
        <w:spacing w:line="252" w:lineRule="exact"/>
        <w:jc w:val="both"/>
      </w:pPr>
      <w:r>
        <w:rPr/>
        <w:t>Types</w:t>
      </w:r>
      <w:r>
        <w:rPr>
          <w:spacing w:val="-3"/>
        </w:rPr>
        <w:t> </w:t>
      </w:r>
      <w:r>
        <w:rPr/>
        <w:t>of</w:t>
      </w:r>
      <w:r>
        <w:rPr>
          <w:spacing w:val="-1"/>
        </w:rPr>
        <w:t> </w:t>
      </w:r>
      <w:r>
        <w:rPr>
          <w:spacing w:val="-2"/>
        </w:rPr>
        <w:t>Buildings:</w:t>
      </w:r>
    </w:p>
    <w:p>
      <w:pPr>
        <w:pStyle w:val="BodyText"/>
        <w:ind w:left="260" w:right="553"/>
        <w:jc w:val="both"/>
      </w:pPr>
      <w:r>
        <w:rPr/>
        <w:t>All</w:t>
      </w:r>
      <w:r>
        <w:rPr>
          <w:spacing w:val="-16"/>
        </w:rPr>
        <w:t> </w:t>
      </w:r>
      <w:r>
        <w:rPr/>
        <w:t>buildings</w:t>
      </w:r>
      <w:r>
        <w:rPr>
          <w:spacing w:val="-15"/>
        </w:rPr>
        <w:t> </w:t>
      </w:r>
      <w:r>
        <w:rPr/>
        <w:t>which</w:t>
      </w:r>
      <w:r>
        <w:rPr>
          <w:spacing w:val="-15"/>
        </w:rPr>
        <w:t> </w:t>
      </w:r>
      <w:r>
        <w:rPr/>
        <w:t>are</w:t>
      </w:r>
      <w:r>
        <w:rPr>
          <w:spacing w:val="-16"/>
        </w:rPr>
        <w:t> </w:t>
      </w:r>
      <w:r>
        <w:rPr/>
        <w:t>now</w:t>
      </w:r>
      <w:r>
        <w:rPr>
          <w:spacing w:val="-15"/>
        </w:rPr>
        <w:t> </w:t>
      </w:r>
      <w:r>
        <w:rPr/>
        <w:t>constructed</w:t>
      </w:r>
      <w:r>
        <w:rPr>
          <w:spacing w:val="-15"/>
        </w:rPr>
        <w:t> </w:t>
      </w:r>
      <w:r>
        <w:rPr/>
        <w:t>on</w:t>
      </w:r>
      <w:r>
        <w:rPr>
          <w:spacing w:val="-15"/>
        </w:rPr>
        <w:t> </w:t>
      </w:r>
      <w:r>
        <w:rPr/>
        <w:t>the</w:t>
      </w:r>
      <w:r>
        <w:rPr>
          <w:spacing w:val="-16"/>
        </w:rPr>
        <w:t> </w:t>
      </w:r>
      <w:r>
        <w:rPr/>
        <w:t>land,</w:t>
      </w:r>
      <w:r>
        <w:rPr>
          <w:spacing w:val="-15"/>
        </w:rPr>
        <w:t> </w:t>
      </w:r>
      <w:r>
        <w:rPr/>
        <w:t>or</w:t>
      </w:r>
      <w:r>
        <w:rPr>
          <w:spacing w:val="-15"/>
        </w:rPr>
        <w:t> </w:t>
      </w:r>
      <w:r>
        <w:rPr/>
        <w:t>which</w:t>
      </w:r>
      <w:r>
        <w:rPr>
          <w:spacing w:val="-15"/>
        </w:rPr>
        <w:t> </w:t>
      </w:r>
      <w:r>
        <w:rPr/>
        <w:t>are</w:t>
      </w:r>
      <w:r>
        <w:rPr>
          <w:spacing w:val="-15"/>
        </w:rPr>
        <w:t> </w:t>
      </w:r>
      <w:r>
        <w:rPr/>
        <w:t>constructed</w:t>
      </w:r>
      <w:r>
        <w:rPr>
          <w:spacing w:val="-16"/>
        </w:rPr>
        <w:t> </w:t>
      </w:r>
      <w:r>
        <w:rPr/>
        <w:t>prior</w:t>
      </w:r>
      <w:r>
        <w:rPr>
          <w:spacing w:val="-15"/>
        </w:rPr>
        <w:t> </w:t>
      </w:r>
      <w:r>
        <w:rPr/>
        <w:t>to</w:t>
      </w:r>
      <w:r>
        <w:rPr>
          <w:spacing w:val="-15"/>
        </w:rPr>
        <w:t> </w:t>
      </w:r>
      <w:r>
        <w:rPr/>
        <w:t>the</w:t>
      </w:r>
      <w:r>
        <w:rPr>
          <w:spacing w:val="-15"/>
        </w:rPr>
        <w:t> </w:t>
      </w:r>
      <w:r>
        <w:rPr/>
        <w:t>expiry</w:t>
      </w:r>
      <w:r>
        <w:rPr>
          <w:spacing w:val="-15"/>
        </w:rPr>
        <w:t> </w:t>
      </w:r>
      <w:r>
        <w:rPr/>
        <w:t>of</w:t>
      </w:r>
      <w:r>
        <w:rPr>
          <w:spacing w:val="-14"/>
        </w:rPr>
        <w:t> </w:t>
      </w:r>
      <w:r>
        <w:rPr/>
        <w:t>the</w:t>
      </w:r>
      <w:r>
        <w:rPr>
          <w:spacing w:val="-16"/>
        </w:rPr>
        <w:t> </w:t>
      </w:r>
      <w:r>
        <w:rPr/>
        <w:t>relevant financial year.</w:t>
      </w:r>
    </w:p>
    <w:p>
      <w:pPr>
        <w:pStyle w:val="BodyText"/>
        <w:spacing w:before="10"/>
        <w:rPr>
          <w:sz w:val="21"/>
        </w:rPr>
      </w:pPr>
    </w:p>
    <w:p>
      <w:pPr>
        <w:spacing w:before="1"/>
        <w:ind w:left="260" w:right="0" w:firstLine="0"/>
        <w:jc w:val="both"/>
        <w:rPr>
          <w:b/>
          <w:sz w:val="22"/>
        </w:rPr>
      </w:pPr>
      <w:r>
        <w:rPr>
          <w:b/>
          <w:sz w:val="22"/>
          <w:u w:val="single"/>
        </w:rPr>
        <w:t>Commercial</w:t>
      </w:r>
      <w:r>
        <w:rPr>
          <w:b/>
          <w:spacing w:val="-9"/>
          <w:sz w:val="22"/>
          <w:u w:val="single"/>
        </w:rPr>
        <w:t> </w:t>
      </w:r>
      <w:r>
        <w:rPr>
          <w:b/>
          <w:spacing w:val="-4"/>
          <w:sz w:val="22"/>
          <w:u w:val="single"/>
        </w:rPr>
        <w:t>Land</w:t>
      </w:r>
    </w:p>
    <w:p>
      <w:pPr>
        <w:pStyle w:val="BodyText"/>
        <w:spacing w:before="10"/>
        <w:rPr>
          <w:b/>
          <w:sz w:val="13"/>
        </w:rPr>
      </w:pPr>
    </w:p>
    <w:p>
      <w:pPr>
        <w:pStyle w:val="Heading5"/>
        <w:spacing w:before="93"/>
      </w:pPr>
      <w:r>
        <w:rPr>
          <w:spacing w:val="-2"/>
        </w:rPr>
        <w:t>Definitions/Characteristics:</w:t>
      </w:r>
    </w:p>
    <w:p>
      <w:pPr>
        <w:spacing w:before="2"/>
        <w:ind w:left="260" w:right="445" w:firstLine="0"/>
        <w:jc w:val="left"/>
        <w:rPr>
          <w:b/>
          <w:sz w:val="22"/>
        </w:rPr>
      </w:pPr>
      <w:r>
        <w:rPr>
          <w:sz w:val="22"/>
        </w:rPr>
        <w:t>Commercial</w:t>
      </w:r>
      <w:r>
        <w:rPr>
          <w:spacing w:val="-1"/>
          <w:sz w:val="22"/>
        </w:rPr>
        <w:t> </w:t>
      </w:r>
      <w:r>
        <w:rPr>
          <w:sz w:val="22"/>
        </w:rPr>
        <w:t>Land</w:t>
      </w:r>
      <w:r>
        <w:rPr>
          <w:spacing w:val="-1"/>
          <w:sz w:val="22"/>
        </w:rPr>
        <w:t> </w:t>
      </w:r>
      <w:r>
        <w:rPr>
          <w:sz w:val="22"/>
        </w:rPr>
        <w:t>is</w:t>
      </w:r>
      <w:r>
        <w:rPr>
          <w:spacing w:val="-1"/>
          <w:sz w:val="22"/>
        </w:rPr>
        <w:t> </w:t>
      </w:r>
      <w:r>
        <w:rPr>
          <w:sz w:val="22"/>
        </w:rPr>
        <w:t>any</w:t>
      </w:r>
      <w:r>
        <w:rPr>
          <w:spacing w:val="-1"/>
          <w:sz w:val="22"/>
        </w:rPr>
        <w:t> </w:t>
      </w:r>
      <w:r>
        <w:rPr>
          <w:sz w:val="22"/>
        </w:rPr>
        <w:t>land</w:t>
      </w:r>
      <w:r>
        <w:rPr>
          <w:spacing w:val="-1"/>
          <w:sz w:val="22"/>
        </w:rPr>
        <w:t> </w:t>
      </w:r>
      <w:r>
        <w:rPr>
          <w:sz w:val="22"/>
        </w:rPr>
        <w:t>that is</w:t>
      </w:r>
      <w:r>
        <w:rPr>
          <w:spacing w:val="-1"/>
          <w:sz w:val="22"/>
        </w:rPr>
        <w:t> </w:t>
      </w:r>
      <w:r>
        <w:rPr>
          <w:sz w:val="22"/>
        </w:rPr>
        <w:t>primarily</w:t>
      </w:r>
      <w:r>
        <w:rPr>
          <w:spacing w:val="-1"/>
          <w:sz w:val="22"/>
        </w:rPr>
        <w:t> </w:t>
      </w:r>
      <w:r>
        <w:rPr>
          <w:sz w:val="22"/>
        </w:rPr>
        <w:t>used, designed or adapted to</w:t>
      </w:r>
      <w:r>
        <w:rPr>
          <w:spacing w:val="-3"/>
          <w:sz w:val="22"/>
        </w:rPr>
        <w:t> </w:t>
      </w:r>
      <w:r>
        <w:rPr>
          <w:sz w:val="22"/>
        </w:rPr>
        <w:t>be used</w:t>
      </w:r>
      <w:r>
        <w:rPr>
          <w:spacing w:val="-1"/>
          <w:sz w:val="22"/>
        </w:rPr>
        <w:t> </w:t>
      </w:r>
      <w:r>
        <w:rPr>
          <w:sz w:val="22"/>
        </w:rPr>
        <w:t>for</w:t>
      </w:r>
      <w:r>
        <w:rPr>
          <w:spacing w:val="-1"/>
          <w:sz w:val="22"/>
        </w:rPr>
        <w:t> </w:t>
      </w:r>
      <w:r>
        <w:rPr>
          <w:sz w:val="22"/>
        </w:rPr>
        <w:t>the sale</w:t>
      </w:r>
      <w:r>
        <w:rPr>
          <w:spacing w:val="-3"/>
          <w:sz w:val="22"/>
        </w:rPr>
        <w:t> </w:t>
      </w:r>
      <w:r>
        <w:rPr>
          <w:sz w:val="22"/>
        </w:rPr>
        <w:t>of</w:t>
      </w:r>
      <w:r>
        <w:rPr>
          <w:spacing w:val="-3"/>
          <w:sz w:val="22"/>
        </w:rPr>
        <w:t> </w:t>
      </w:r>
      <w:r>
        <w:rPr>
          <w:sz w:val="22"/>
        </w:rPr>
        <w:t>goods or services, other commercial purposes </w:t>
      </w:r>
      <w:r>
        <w:rPr>
          <w:b/>
          <w:sz w:val="22"/>
        </w:rPr>
        <w:t>and/or business/ administrative purposes.</w:t>
      </w:r>
    </w:p>
    <w:p>
      <w:pPr>
        <w:pStyle w:val="BodyText"/>
        <w:spacing w:before="11"/>
        <w:rPr>
          <w:b/>
          <w:sz w:val="21"/>
        </w:rPr>
      </w:pPr>
    </w:p>
    <w:p>
      <w:pPr>
        <w:pStyle w:val="Heading5"/>
        <w:spacing w:line="252" w:lineRule="exact"/>
      </w:pPr>
      <w:r>
        <w:rPr>
          <w:spacing w:val="-2"/>
        </w:rPr>
        <w:t>Objective:</w:t>
      </w:r>
    </w:p>
    <w:p>
      <w:pPr>
        <w:pStyle w:val="BodyText"/>
        <w:ind w:left="260" w:right="445"/>
      </w:pPr>
      <w:r>
        <w:rPr/>
        <w:t>To</w:t>
      </w:r>
      <w:r>
        <w:rPr>
          <w:spacing w:val="28"/>
        </w:rPr>
        <w:t> </w:t>
      </w:r>
      <w:r>
        <w:rPr/>
        <w:t>ensure</w:t>
      </w:r>
      <w:r>
        <w:rPr>
          <w:spacing w:val="26"/>
        </w:rPr>
        <w:t> </w:t>
      </w:r>
      <w:r>
        <w:rPr/>
        <w:t>that</w:t>
      </w:r>
      <w:r>
        <w:rPr>
          <w:spacing w:val="27"/>
        </w:rPr>
        <w:t> </w:t>
      </w:r>
      <w:r>
        <w:rPr/>
        <w:t>all</w:t>
      </w:r>
      <w:r>
        <w:rPr>
          <w:spacing w:val="26"/>
        </w:rPr>
        <w:t> </w:t>
      </w:r>
      <w:r>
        <w:rPr/>
        <w:t>rateable</w:t>
      </w:r>
      <w:r>
        <w:rPr>
          <w:spacing w:val="26"/>
        </w:rPr>
        <w:t> </w:t>
      </w:r>
      <w:r>
        <w:rPr/>
        <w:t>land</w:t>
      </w:r>
      <w:r>
        <w:rPr>
          <w:spacing w:val="27"/>
        </w:rPr>
        <w:t> </w:t>
      </w:r>
      <w:r>
        <w:rPr/>
        <w:t>makes</w:t>
      </w:r>
      <w:r>
        <w:rPr>
          <w:spacing w:val="27"/>
        </w:rPr>
        <w:t> </w:t>
      </w:r>
      <w:r>
        <w:rPr/>
        <w:t>an</w:t>
      </w:r>
      <w:r>
        <w:rPr>
          <w:spacing w:val="27"/>
        </w:rPr>
        <w:t> </w:t>
      </w:r>
      <w:r>
        <w:rPr/>
        <w:t>equitable</w:t>
      </w:r>
      <w:r>
        <w:rPr>
          <w:spacing w:val="26"/>
        </w:rPr>
        <w:t> </w:t>
      </w:r>
      <w:r>
        <w:rPr/>
        <w:t>financial</w:t>
      </w:r>
      <w:r>
        <w:rPr>
          <w:spacing w:val="27"/>
        </w:rPr>
        <w:t> </w:t>
      </w:r>
      <w:r>
        <w:rPr/>
        <w:t>contribution</w:t>
      </w:r>
      <w:r>
        <w:rPr>
          <w:spacing w:val="26"/>
        </w:rPr>
        <w:t> </w:t>
      </w:r>
      <w:r>
        <w:rPr/>
        <w:t>to</w:t>
      </w:r>
      <w:r>
        <w:rPr>
          <w:spacing w:val="23"/>
        </w:rPr>
        <w:t> </w:t>
      </w:r>
      <w:r>
        <w:rPr/>
        <w:t>the</w:t>
      </w:r>
      <w:r>
        <w:rPr>
          <w:spacing w:val="28"/>
        </w:rPr>
        <w:t> </w:t>
      </w:r>
      <w:r>
        <w:rPr/>
        <w:t>cost</w:t>
      </w:r>
      <w:r>
        <w:rPr>
          <w:spacing w:val="29"/>
        </w:rPr>
        <w:t> </w:t>
      </w:r>
      <w:r>
        <w:rPr/>
        <w:t>of</w:t>
      </w:r>
      <w:r>
        <w:rPr>
          <w:spacing w:val="29"/>
        </w:rPr>
        <w:t> </w:t>
      </w:r>
      <w:r>
        <w:rPr/>
        <w:t>carrying</w:t>
      </w:r>
      <w:r>
        <w:rPr>
          <w:spacing w:val="26"/>
        </w:rPr>
        <w:t> </w:t>
      </w:r>
      <w:r>
        <w:rPr/>
        <w:t>out</w:t>
      </w:r>
      <w:r>
        <w:rPr>
          <w:spacing w:val="27"/>
        </w:rPr>
        <w:t> </w:t>
      </w:r>
      <w:r>
        <w:rPr/>
        <w:t>the functions of Council, including:</w:t>
      </w:r>
    </w:p>
    <w:p>
      <w:pPr>
        <w:pStyle w:val="BodyText"/>
        <w:spacing w:before="1"/>
      </w:pPr>
    </w:p>
    <w:p>
      <w:pPr>
        <w:pStyle w:val="ListParagraph"/>
        <w:numPr>
          <w:ilvl w:val="0"/>
          <w:numId w:val="62"/>
        </w:numPr>
        <w:tabs>
          <w:tab w:pos="826" w:val="left" w:leader="none"/>
          <w:tab w:pos="827" w:val="left" w:leader="none"/>
        </w:tabs>
        <w:spacing w:line="252" w:lineRule="exact" w:before="0" w:after="0"/>
        <w:ind w:left="827" w:right="0" w:hanging="567"/>
        <w:jc w:val="left"/>
        <w:rPr>
          <w:sz w:val="22"/>
        </w:rPr>
      </w:pPr>
      <w:r>
        <w:rPr>
          <w:sz w:val="22"/>
        </w:rPr>
        <w:t>Construction</w:t>
      </w:r>
      <w:r>
        <w:rPr>
          <w:spacing w:val="-4"/>
          <w:sz w:val="22"/>
        </w:rPr>
        <w:t> </w:t>
      </w:r>
      <w:r>
        <w:rPr>
          <w:sz w:val="22"/>
        </w:rPr>
        <w:t>and</w:t>
      </w:r>
      <w:r>
        <w:rPr>
          <w:spacing w:val="-7"/>
          <w:sz w:val="22"/>
        </w:rPr>
        <w:t> </w:t>
      </w:r>
      <w:r>
        <w:rPr>
          <w:sz w:val="22"/>
        </w:rPr>
        <w:t>maintenance</w:t>
      </w:r>
      <w:r>
        <w:rPr>
          <w:spacing w:val="-5"/>
          <w:sz w:val="22"/>
        </w:rPr>
        <w:t> </w:t>
      </w:r>
      <w:r>
        <w:rPr>
          <w:sz w:val="22"/>
        </w:rPr>
        <w:t>of</w:t>
      </w:r>
      <w:r>
        <w:rPr>
          <w:spacing w:val="-5"/>
          <w:sz w:val="22"/>
        </w:rPr>
        <w:t> </w:t>
      </w:r>
      <w:r>
        <w:rPr>
          <w:sz w:val="22"/>
        </w:rPr>
        <w:t>public</w:t>
      </w:r>
      <w:r>
        <w:rPr>
          <w:spacing w:val="-5"/>
          <w:sz w:val="22"/>
        </w:rPr>
        <w:t> </w:t>
      </w:r>
      <w:r>
        <w:rPr>
          <w:sz w:val="22"/>
        </w:rPr>
        <w:t>infrastructure:</w:t>
      </w:r>
      <w:r>
        <w:rPr>
          <w:spacing w:val="-5"/>
          <w:sz w:val="22"/>
        </w:rPr>
        <w:t> and</w:t>
      </w:r>
    </w:p>
    <w:p>
      <w:pPr>
        <w:pStyle w:val="ListParagraph"/>
        <w:numPr>
          <w:ilvl w:val="0"/>
          <w:numId w:val="62"/>
        </w:numPr>
        <w:tabs>
          <w:tab w:pos="826" w:val="left" w:leader="none"/>
          <w:tab w:pos="827" w:val="left" w:leader="none"/>
        </w:tabs>
        <w:spacing w:line="252" w:lineRule="exact" w:before="0" w:after="0"/>
        <w:ind w:left="827" w:right="0" w:hanging="567"/>
        <w:jc w:val="left"/>
        <w:rPr>
          <w:sz w:val="22"/>
        </w:rPr>
      </w:pPr>
      <w:r>
        <w:rPr>
          <w:sz w:val="22"/>
        </w:rPr>
        <w:t>Development</w:t>
      </w:r>
      <w:r>
        <w:rPr>
          <w:spacing w:val="-5"/>
          <w:sz w:val="22"/>
        </w:rPr>
        <w:t> </w:t>
      </w:r>
      <w:r>
        <w:rPr>
          <w:sz w:val="22"/>
        </w:rPr>
        <w:t>and</w:t>
      </w:r>
      <w:r>
        <w:rPr>
          <w:spacing w:val="-6"/>
          <w:sz w:val="22"/>
        </w:rPr>
        <w:t> </w:t>
      </w:r>
      <w:r>
        <w:rPr>
          <w:sz w:val="22"/>
        </w:rPr>
        <w:t>provision</w:t>
      </w:r>
      <w:r>
        <w:rPr>
          <w:spacing w:val="-4"/>
          <w:sz w:val="22"/>
        </w:rPr>
        <w:t> </w:t>
      </w:r>
      <w:r>
        <w:rPr>
          <w:sz w:val="22"/>
        </w:rPr>
        <w:t>of</w:t>
      </w:r>
      <w:r>
        <w:rPr>
          <w:spacing w:val="-3"/>
          <w:sz w:val="22"/>
        </w:rPr>
        <w:t> </w:t>
      </w:r>
      <w:r>
        <w:rPr>
          <w:sz w:val="22"/>
        </w:rPr>
        <w:t>health</w:t>
      </w:r>
      <w:r>
        <w:rPr>
          <w:spacing w:val="-2"/>
          <w:sz w:val="22"/>
        </w:rPr>
        <w:t> </w:t>
      </w:r>
      <w:r>
        <w:rPr>
          <w:sz w:val="22"/>
        </w:rPr>
        <w:t>&amp;</w:t>
      </w:r>
      <w:r>
        <w:rPr>
          <w:spacing w:val="-7"/>
          <w:sz w:val="22"/>
        </w:rPr>
        <w:t> </w:t>
      </w:r>
      <w:r>
        <w:rPr>
          <w:sz w:val="22"/>
        </w:rPr>
        <w:t>community</w:t>
      </w:r>
      <w:r>
        <w:rPr>
          <w:spacing w:val="-4"/>
          <w:sz w:val="22"/>
        </w:rPr>
        <w:t> </w:t>
      </w:r>
      <w:r>
        <w:rPr>
          <w:sz w:val="22"/>
        </w:rPr>
        <w:t>services;</w:t>
      </w:r>
      <w:r>
        <w:rPr>
          <w:spacing w:val="-4"/>
          <w:sz w:val="22"/>
        </w:rPr>
        <w:t> </w:t>
      </w:r>
      <w:r>
        <w:rPr>
          <w:spacing w:val="-5"/>
          <w:sz w:val="22"/>
        </w:rPr>
        <w:t>and</w:t>
      </w:r>
    </w:p>
    <w:p>
      <w:pPr>
        <w:pStyle w:val="ListParagraph"/>
        <w:numPr>
          <w:ilvl w:val="0"/>
          <w:numId w:val="62"/>
        </w:numPr>
        <w:tabs>
          <w:tab w:pos="826" w:val="left" w:leader="none"/>
          <w:tab w:pos="827" w:val="left" w:leader="none"/>
        </w:tabs>
        <w:spacing w:line="252" w:lineRule="exact" w:before="0" w:after="0"/>
        <w:ind w:left="827" w:right="0" w:hanging="567"/>
        <w:jc w:val="left"/>
        <w:rPr>
          <w:sz w:val="22"/>
        </w:rPr>
      </w:pPr>
      <w:r>
        <w:rPr>
          <w:sz w:val="22"/>
        </w:rPr>
        <w:t>Provision</w:t>
      </w:r>
      <w:r>
        <w:rPr>
          <w:spacing w:val="-4"/>
          <w:sz w:val="22"/>
        </w:rPr>
        <w:t> </w:t>
      </w:r>
      <w:r>
        <w:rPr>
          <w:sz w:val="22"/>
        </w:rPr>
        <w:t>of</w:t>
      </w:r>
      <w:r>
        <w:rPr>
          <w:spacing w:val="-3"/>
          <w:sz w:val="22"/>
        </w:rPr>
        <w:t> </w:t>
      </w:r>
      <w:r>
        <w:rPr>
          <w:sz w:val="22"/>
        </w:rPr>
        <w:t>general</w:t>
      </w:r>
      <w:r>
        <w:rPr>
          <w:spacing w:val="-4"/>
          <w:sz w:val="22"/>
        </w:rPr>
        <w:t> </w:t>
      </w:r>
      <w:r>
        <w:rPr>
          <w:sz w:val="22"/>
        </w:rPr>
        <w:t>support</w:t>
      </w:r>
      <w:r>
        <w:rPr>
          <w:spacing w:val="-5"/>
          <w:sz w:val="22"/>
        </w:rPr>
        <w:t> </w:t>
      </w:r>
      <w:r>
        <w:rPr>
          <w:sz w:val="22"/>
        </w:rPr>
        <w:t>services;</w:t>
      </w:r>
      <w:r>
        <w:rPr>
          <w:spacing w:val="-1"/>
          <w:sz w:val="22"/>
        </w:rPr>
        <w:t> </w:t>
      </w:r>
      <w:r>
        <w:rPr>
          <w:spacing w:val="-5"/>
          <w:sz w:val="22"/>
        </w:rPr>
        <w:t>and</w:t>
      </w:r>
    </w:p>
    <w:p>
      <w:pPr>
        <w:pStyle w:val="ListParagraph"/>
        <w:numPr>
          <w:ilvl w:val="0"/>
          <w:numId w:val="62"/>
        </w:numPr>
        <w:tabs>
          <w:tab w:pos="826" w:val="left" w:leader="none"/>
          <w:tab w:pos="827" w:val="left" w:leader="none"/>
        </w:tabs>
        <w:spacing w:line="240" w:lineRule="auto" w:before="2" w:after="0"/>
        <w:ind w:left="826" w:right="555" w:hanging="567"/>
        <w:jc w:val="left"/>
        <w:rPr>
          <w:sz w:val="22"/>
        </w:rPr>
      </w:pPr>
      <w:r>
        <w:rPr>
          <w:sz w:val="22"/>
        </w:rPr>
        <w:t>Enhancement</w:t>
      </w:r>
      <w:r>
        <w:rPr>
          <w:spacing w:val="40"/>
          <w:sz w:val="22"/>
        </w:rPr>
        <w:t> </w:t>
      </w:r>
      <w:r>
        <w:rPr>
          <w:sz w:val="22"/>
        </w:rPr>
        <w:t>of</w:t>
      </w:r>
      <w:r>
        <w:rPr>
          <w:spacing w:val="40"/>
          <w:sz w:val="22"/>
        </w:rPr>
        <w:t> </w:t>
      </w:r>
      <w:r>
        <w:rPr>
          <w:sz w:val="22"/>
        </w:rPr>
        <w:t>the</w:t>
      </w:r>
      <w:r>
        <w:rPr>
          <w:spacing w:val="40"/>
          <w:sz w:val="22"/>
        </w:rPr>
        <w:t> </w:t>
      </w:r>
      <w:r>
        <w:rPr>
          <w:sz w:val="22"/>
        </w:rPr>
        <w:t>economic</w:t>
      </w:r>
      <w:r>
        <w:rPr>
          <w:spacing w:val="40"/>
          <w:sz w:val="22"/>
        </w:rPr>
        <w:t> </w:t>
      </w:r>
      <w:r>
        <w:rPr>
          <w:sz w:val="22"/>
        </w:rPr>
        <w:t>viability</w:t>
      </w:r>
      <w:r>
        <w:rPr>
          <w:spacing w:val="40"/>
          <w:sz w:val="22"/>
        </w:rPr>
        <w:t> </w:t>
      </w:r>
      <w:r>
        <w:rPr>
          <w:sz w:val="22"/>
        </w:rPr>
        <w:t>of</w:t>
      </w:r>
      <w:r>
        <w:rPr>
          <w:spacing w:val="40"/>
          <w:sz w:val="22"/>
        </w:rPr>
        <w:t> </w:t>
      </w:r>
      <w:r>
        <w:rPr>
          <w:sz w:val="22"/>
        </w:rPr>
        <w:t>the</w:t>
      </w:r>
      <w:r>
        <w:rPr>
          <w:spacing w:val="40"/>
          <w:sz w:val="22"/>
        </w:rPr>
        <w:t> </w:t>
      </w:r>
      <w:r>
        <w:rPr>
          <w:sz w:val="22"/>
        </w:rPr>
        <w:t>commercial</w:t>
      </w:r>
      <w:r>
        <w:rPr>
          <w:spacing w:val="40"/>
          <w:sz w:val="22"/>
        </w:rPr>
        <w:t> </w:t>
      </w:r>
      <w:r>
        <w:rPr>
          <w:sz w:val="22"/>
        </w:rPr>
        <w:t>and</w:t>
      </w:r>
      <w:r>
        <w:rPr>
          <w:spacing w:val="40"/>
          <w:sz w:val="22"/>
        </w:rPr>
        <w:t> </w:t>
      </w:r>
      <w:r>
        <w:rPr>
          <w:sz w:val="22"/>
        </w:rPr>
        <w:t>industrial</w:t>
      </w:r>
      <w:r>
        <w:rPr>
          <w:spacing w:val="40"/>
          <w:sz w:val="22"/>
        </w:rPr>
        <w:t> </w:t>
      </w:r>
      <w:r>
        <w:rPr>
          <w:sz w:val="22"/>
        </w:rPr>
        <w:t>sector</w:t>
      </w:r>
      <w:r>
        <w:rPr>
          <w:spacing w:val="40"/>
          <w:sz w:val="22"/>
        </w:rPr>
        <w:t> </w:t>
      </w:r>
      <w:r>
        <w:rPr>
          <w:sz w:val="22"/>
        </w:rPr>
        <w:t>through</w:t>
      </w:r>
      <w:r>
        <w:rPr>
          <w:spacing w:val="40"/>
          <w:sz w:val="22"/>
        </w:rPr>
        <w:t> </w:t>
      </w:r>
      <w:r>
        <w:rPr>
          <w:sz w:val="22"/>
        </w:rPr>
        <w:t>targeted programs and projects; and</w:t>
      </w:r>
    </w:p>
    <w:p>
      <w:pPr>
        <w:pStyle w:val="ListParagraph"/>
        <w:numPr>
          <w:ilvl w:val="0"/>
          <w:numId w:val="62"/>
        </w:numPr>
        <w:tabs>
          <w:tab w:pos="826" w:val="left" w:leader="none"/>
          <w:tab w:pos="827" w:val="left" w:leader="none"/>
        </w:tabs>
        <w:spacing w:line="252" w:lineRule="exact" w:before="0" w:after="0"/>
        <w:ind w:left="827" w:right="0" w:hanging="567"/>
        <w:jc w:val="left"/>
        <w:rPr>
          <w:sz w:val="22"/>
        </w:rPr>
      </w:pPr>
      <w:r>
        <w:rPr>
          <w:sz w:val="22"/>
        </w:rPr>
        <w:t>Encouragement</w:t>
      </w:r>
      <w:r>
        <w:rPr>
          <w:spacing w:val="-7"/>
          <w:sz w:val="22"/>
        </w:rPr>
        <w:t> </w:t>
      </w:r>
      <w:r>
        <w:rPr>
          <w:sz w:val="22"/>
        </w:rPr>
        <w:t>of</w:t>
      </w:r>
      <w:r>
        <w:rPr>
          <w:spacing w:val="-6"/>
          <w:sz w:val="22"/>
        </w:rPr>
        <w:t> </w:t>
      </w:r>
      <w:r>
        <w:rPr>
          <w:sz w:val="22"/>
        </w:rPr>
        <w:t>employment</w:t>
      </w:r>
      <w:r>
        <w:rPr>
          <w:spacing w:val="-8"/>
          <w:sz w:val="22"/>
        </w:rPr>
        <w:t> </w:t>
      </w:r>
      <w:r>
        <w:rPr>
          <w:sz w:val="22"/>
        </w:rPr>
        <w:t>opportunities;</w:t>
      </w:r>
      <w:r>
        <w:rPr>
          <w:spacing w:val="-6"/>
          <w:sz w:val="22"/>
        </w:rPr>
        <w:t> </w:t>
      </w:r>
      <w:r>
        <w:rPr>
          <w:spacing w:val="-5"/>
          <w:sz w:val="22"/>
        </w:rPr>
        <w:t>and</w:t>
      </w:r>
    </w:p>
    <w:p>
      <w:pPr>
        <w:pStyle w:val="ListParagraph"/>
        <w:numPr>
          <w:ilvl w:val="0"/>
          <w:numId w:val="62"/>
        </w:numPr>
        <w:tabs>
          <w:tab w:pos="826" w:val="left" w:leader="none"/>
          <w:tab w:pos="827" w:val="left" w:leader="none"/>
        </w:tabs>
        <w:spacing w:line="252" w:lineRule="exact" w:before="0" w:after="0"/>
        <w:ind w:left="827" w:right="0" w:hanging="567"/>
        <w:jc w:val="left"/>
        <w:rPr>
          <w:sz w:val="22"/>
        </w:rPr>
      </w:pPr>
      <w:r>
        <w:rPr>
          <w:sz w:val="22"/>
        </w:rPr>
        <w:t>Promotion</w:t>
      </w:r>
      <w:r>
        <w:rPr>
          <w:spacing w:val="-6"/>
          <w:sz w:val="22"/>
        </w:rPr>
        <w:t> </w:t>
      </w:r>
      <w:r>
        <w:rPr>
          <w:sz w:val="22"/>
        </w:rPr>
        <w:t>of</w:t>
      </w:r>
      <w:r>
        <w:rPr>
          <w:spacing w:val="-5"/>
          <w:sz w:val="22"/>
        </w:rPr>
        <w:t> </w:t>
      </w:r>
      <w:r>
        <w:rPr>
          <w:sz w:val="22"/>
        </w:rPr>
        <w:t>economic</w:t>
      </w:r>
      <w:r>
        <w:rPr>
          <w:spacing w:val="-6"/>
          <w:sz w:val="22"/>
        </w:rPr>
        <w:t> </w:t>
      </w:r>
      <w:r>
        <w:rPr>
          <w:sz w:val="22"/>
        </w:rPr>
        <w:t>development;</w:t>
      </w:r>
      <w:r>
        <w:rPr>
          <w:spacing w:val="-4"/>
          <w:sz w:val="22"/>
        </w:rPr>
        <w:t> </w:t>
      </w:r>
      <w:r>
        <w:rPr>
          <w:spacing w:val="-5"/>
          <w:sz w:val="22"/>
        </w:rPr>
        <w:t>and</w:t>
      </w:r>
    </w:p>
    <w:p>
      <w:pPr>
        <w:pStyle w:val="ListParagraph"/>
        <w:numPr>
          <w:ilvl w:val="0"/>
          <w:numId w:val="62"/>
        </w:numPr>
        <w:tabs>
          <w:tab w:pos="826" w:val="left" w:leader="none"/>
          <w:tab w:pos="827" w:val="left" w:leader="none"/>
        </w:tabs>
        <w:spacing w:line="240" w:lineRule="auto" w:before="0" w:after="0"/>
        <w:ind w:left="826" w:right="556" w:hanging="567"/>
        <w:jc w:val="left"/>
        <w:rPr>
          <w:sz w:val="22"/>
        </w:rPr>
      </w:pPr>
      <w:r>
        <w:rPr>
          <w:sz w:val="22"/>
        </w:rPr>
        <w:t>Requirement</w:t>
      </w:r>
      <w:r>
        <w:rPr>
          <w:spacing w:val="-16"/>
          <w:sz w:val="22"/>
        </w:rPr>
        <w:t> </w:t>
      </w:r>
      <w:r>
        <w:rPr>
          <w:sz w:val="22"/>
        </w:rPr>
        <w:t>to</w:t>
      </w:r>
      <w:r>
        <w:rPr>
          <w:spacing w:val="-15"/>
          <w:sz w:val="22"/>
        </w:rPr>
        <w:t> </w:t>
      </w:r>
      <w:r>
        <w:rPr>
          <w:sz w:val="22"/>
        </w:rPr>
        <w:t>ensure</w:t>
      </w:r>
      <w:r>
        <w:rPr>
          <w:spacing w:val="-15"/>
          <w:sz w:val="22"/>
        </w:rPr>
        <w:t> </w:t>
      </w:r>
      <w:r>
        <w:rPr>
          <w:sz w:val="22"/>
        </w:rPr>
        <w:t>that</w:t>
      </w:r>
      <w:r>
        <w:rPr>
          <w:spacing w:val="-14"/>
          <w:sz w:val="22"/>
        </w:rPr>
        <w:t> </w:t>
      </w:r>
      <w:r>
        <w:rPr>
          <w:sz w:val="22"/>
        </w:rPr>
        <w:t>streetscaping</w:t>
      </w:r>
      <w:r>
        <w:rPr>
          <w:spacing w:val="-13"/>
          <w:sz w:val="22"/>
        </w:rPr>
        <w:t> </w:t>
      </w:r>
      <w:r>
        <w:rPr>
          <w:sz w:val="22"/>
        </w:rPr>
        <w:t>and</w:t>
      </w:r>
      <w:r>
        <w:rPr>
          <w:spacing w:val="-14"/>
          <w:sz w:val="22"/>
        </w:rPr>
        <w:t> </w:t>
      </w:r>
      <w:r>
        <w:rPr>
          <w:sz w:val="22"/>
        </w:rPr>
        <w:t>promotional</w:t>
      </w:r>
      <w:r>
        <w:rPr>
          <w:spacing w:val="-15"/>
          <w:sz w:val="22"/>
        </w:rPr>
        <w:t> </w:t>
      </w:r>
      <w:r>
        <w:rPr>
          <w:sz w:val="22"/>
        </w:rPr>
        <w:t>activity</w:t>
      </w:r>
      <w:r>
        <w:rPr>
          <w:spacing w:val="-14"/>
          <w:sz w:val="22"/>
        </w:rPr>
        <w:t> </w:t>
      </w:r>
      <w:r>
        <w:rPr>
          <w:sz w:val="22"/>
        </w:rPr>
        <w:t>is</w:t>
      </w:r>
      <w:r>
        <w:rPr>
          <w:spacing w:val="-15"/>
          <w:sz w:val="22"/>
        </w:rPr>
        <w:t> </w:t>
      </w:r>
      <w:r>
        <w:rPr>
          <w:sz w:val="22"/>
        </w:rPr>
        <w:t>complimentary</w:t>
      </w:r>
      <w:r>
        <w:rPr>
          <w:spacing w:val="-16"/>
          <w:sz w:val="22"/>
        </w:rPr>
        <w:t> </w:t>
      </w:r>
      <w:r>
        <w:rPr>
          <w:sz w:val="22"/>
        </w:rPr>
        <w:t>to</w:t>
      </w:r>
      <w:r>
        <w:rPr>
          <w:spacing w:val="-15"/>
          <w:sz w:val="22"/>
        </w:rPr>
        <w:t> </w:t>
      </w:r>
      <w:r>
        <w:rPr>
          <w:sz w:val="22"/>
        </w:rPr>
        <w:t>the</w:t>
      </w:r>
      <w:r>
        <w:rPr>
          <w:spacing w:val="-13"/>
          <w:sz w:val="22"/>
        </w:rPr>
        <w:t> </w:t>
      </w:r>
      <w:r>
        <w:rPr>
          <w:sz w:val="22"/>
        </w:rPr>
        <w:t>achievement of commercial and industrial objectives.</w:t>
      </w:r>
    </w:p>
    <w:p>
      <w:pPr>
        <w:spacing w:after="0" w:line="240" w:lineRule="auto"/>
        <w:jc w:val="left"/>
        <w:rPr>
          <w:sz w:val="22"/>
        </w:rPr>
        <w:sectPr>
          <w:pgSz w:w="11910" w:h="16840"/>
          <w:pgMar w:header="0" w:footer="375" w:top="620" w:bottom="560" w:left="460" w:right="160"/>
        </w:sectPr>
      </w:pPr>
    </w:p>
    <w:p>
      <w:pPr>
        <w:pStyle w:val="Heading5"/>
        <w:spacing w:line="252" w:lineRule="exact" w:before="81"/>
      </w:pPr>
      <w:r>
        <w:rPr/>
        <w:t>Types</w:t>
      </w:r>
      <w:r>
        <w:rPr>
          <w:spacing w:val="-2"/>
        </w:rPr>
        <w:t> </w:t>
      </w:r>
      <w:r>
        <w:rPr/>
        <w:t>and</w:t>
      </w:r>
      <w:r>
        <w:rPr>
          <w:spacing w:val="-1"/>
        </w:rPr>
        <w:t> </w:t>
      </w:r>
      <w:r>
        <w:rPr>
          <w:spacing w:val="-2"/>
        </w:rPr>
        <w:t>Classes:</w:t>
      </w:r>
    </w:p>
    <w:p>
      <w:pPr>
        <w:pStyle w:val="BodyText"/>
        <w:spacing w:line="252" w:lineRule="exact"/>
        <w:ind w:left="260"/>
      </w:pPr>
      <w:r>
        <w:rPr/>
        <w:t>Rateable</w:t>
      </w:r>
      <w:r>
        <w:rPr>
          <w:spacing w:val="-7"/>
        </w:rPr>
        <w:t> </w:t>
      </w:r>
      <w:r>
        <w:rPr/>
        <w:t>land</w:t>
      </w:r>
      <w:r>
        <w:rPr>
          <w:spacing w:val="-3"/>
        </w:rPr>
        <w:t> </w:t>
      </w:r>
      <w:r>
        <w:rPr/>
        <w:t>having</w:t>
      </w:r>
      <w:r>
        <w:rPr>
          <w:spacing w:val="-4"/>
        </w:rPr>
        <w:t> </w:t>
      </w:r>
      <w:r>
        <w:rPr/>
        <w:t>the</w:t>
      </w:r>
      <w:r>
        <w:rPr>
          <w:spacing w:val="-4"/>
        </w:rPr>
        <w:t> </w:t>
      </w:r>
      <w:r>
        <w:rPr/>
        <w:t>relevant</w:t>
      </w:r>
      <w:r>
        <w:rPr>
          <w:spacing w:val="-2"/>
        </w:rPr>
        <w:t> </w:t>
      </w:r>
      <w:r>
        <w:rPr/>
        <w:t>characteristics</w:t>
      </w:r>
      <w:r>
        <w:rPr>
          <w:spacing w:val="-6"/>
        </w:rPr>
        <w:t> </w:t>
      </w:r>
      <w:r>
        <w:rPr/>
        <w:t>described</w:t>
      </w:r>
      <w:r>
        <w:rPr>
          <w:spacing w:val="-3"/>
        </w:rPr>
        <w:t> </w:t>
      </w:r>
      <w:r>
        <w:rPr/>
        <w:t>in</w:t>
      </w:r>
      <w:r>
        <w:rPr>
          <w:spacing w:val="-5"/>
        </w:rPr>
        <w:t> </w:t>
      </w:r>
      <w:r>
        <w:rPr/>
        <w:t>the</w:t>
      </w:r>
      <w:r>
        <w:rPr>
          <w:spacing w:val="-1"/>
        </w:rPr>
        <w:t> </w:t>
      </w:r>
      <w:r>
        <w:rPr>
          <w:spacing w:val="-2"/>
        </w:rPr>
        <w:t>definition/characteristics.</w:t>
      </w:r>
    </w:p>
    <w:p>
      <w:pPr>
        <w:pStyle w:val="BodyText"/>
        <w:spacing w:before="1"/>
      </w:pPr>
    </w:p>
    <w:p>
      <w:pPr>
        <w:pStyle w:val="Heading5"/>
        <w:jc w:val="both"/>
      </w:pPr>
      <w:r>
        <w:rPr/>
        <w:t>Use</w:t>
      </w:r>
      <w:r>
        <w:rPr>
          <w:spacing w:val="-2"/>
        </w:rPr>
        <w:t> </w:t>
      </w:r>
      <w:r>
        <w:rPr/>
        <w:t>and</w:t>
      </w:r>
      <w:r>
        <w:rPr>
          <w:spacing w:val="-3"/>
        </w:rPr>
        <w:t> </w:t>
      </w:r>
      <w:r>
        <w:rPr/>
        <w:t>Level</w:t>
      </w:r>
      <w:r>
        <w:rPr>
          <w:spacing w:val="-5"/>
        </w:rPr>
        <w:t> </w:t>
      </w:r>
      <w:r>
        <w:rPr/>
        <w:t>of</w:t>
      </w:r>
      <w:r>
        <w:rPr>
          <w:spacing w:val="-6"/>
        </w:rPr>
        <w:t> </w:t>
      </w:r>
      <w:r>
        <w:rPr/>
        <w:t>Differential </w:t>
      </w:r>
      <w:r>
        <w:rPr>
          <w:spacing w:val="-4"/>
        </w:rPr>
        <w:t>Rate:</w:t>
      </w:r>
    </w:p>
    <w:p>
      <w:pPr>
        <w:pStyle w:val="BodyText"/>
        <w:spacing w:before="1"/>
        <w:ind w:left="260" w:right="554"/>
        <w:jc w:val="both"/>
      </w:pPr>
      <w:r>
        <w:rPr/>
        <w:t>The</w:t>
      </w:r>
      <w:r>
        <w:rPr>
          <w:spacing w:val="-5"/>
        </w:rPr>
        <w:t> </w:t>
      </w:r>
      <w:r>
        <w:rPr/>
        <w:t>differential</w:t>
      </w:r>
      <w:r>
        <w:rPr>
          <w:spacing w:val="-7"/>
        </w:rPr>
        <w:t> </w:t>
      </w:r>
      <w:r>
        <w:rPr/>
        <w:t>rate</w:t>
      </w:r>
      <w:r>
        <w:rPr>
          <w:spacing w:val="-7"/>
        </w:rPr>
        <w:t> </w:t>
      </w:r>
      <w:r>
        <w:rPr/>
        <w:t>will</w:t>
      </w:r>
      <w:r>
        <w:rPr>
          <w:spacing w:val="-8"/>
        </w:rPr>
        <w:t> </w:t>
      </w:r>
      <w:r>
        <w:rPr/>
        <w:t>be</w:t>
      </w:r>
      <w:r>
        <w:rPr>
          <w:spacing w:val="-5"/>
        </w:rPr>
        <w:t> </w:t>
      </w:r>
      <w:r>
        <w:rPr/>
        <w:t>used</w:t>
      </w:r>
      <w:r>
        <w:rPr>
          <w:spacing w:val="-7"/>
        </w:rPr>
        <w:t> </w:t>
      </w:r>
      <w:r>
        <w:rPr/>
        <w:t>to</w:t>
      </w:r>
      <w:r>
        <w:rPr>
          <w:spacing w:val="-9"/>
        </w:rPr>
        <w:t> </w:t>
      </w:r>
      <w:r>
        <w:rPr/>
        <w:t>fund</w:t>
      </w:r>
      <w:r>
        <w:rPr>
          <w:spacing w:val="-7"/>
        </w:rPr>
        <w:t> </w:t>
      </w:r>
      <w:r>
        <w:rPr/>
        <w:t>some</w:t>
      </w:r>
      <w:r>
        <w:rPr>
          <w:spacing w:val="-9"/>
        </w:rPr>
        <w:t> </w:t>
      </w:r>
      <w:r>
        <w:rPr/>
        <w:t>of</w:t>
      </w:r>
      <w:r>
        <w:rPr>
          <w:spacing w:val="-9"/>
        </w:rPr>
        <w:t> </w:t>
      </w:r>
      <w:r>
        <w:rPr/>
        <w:t>those</w:t>
      </w:r>
      <w:r>
        <w:rPr>
          <w:spacing w:val="-5"/>
        </w:rPr>
        <w:t> </w:t>
      </w:r>
      <w:r>
        <w:rPr/>
        <w:t>items</w:t>
      </w:r>
      <w:r>
        <w:rPr>
          <w:spacing w:val="-5"/>
        </w:rPr>
        <w:t> </w:t>
      </w:r>
      <w:r>
        <w:rPr/>
        <w:t>of</w:t>
      </w:r>
      <w:r>
        <w:rPr>
          <w:spacing w:val="-3"/>
        </w:rPr>
        <w:t> </w:t>
      </w:r>
      <w:r>
        <w:rPr/>
        <w:t>expenditure</w:t>
      </w:r>
      <w:r>
        <w:rPr>
          <w:spacing w:val="-11"/>
        </w:rPr>
        <w:t> </w:t>
      </w:r>
      <w:r>
        <w:rPr/>
        <w:t>described</w:t>
      </w:r>
      <w:r>
        <w:rPr>
          <w:spacing w:val="-5"/>
        </w:rPr>
        <w:t> </w:t>
      </w:r>
      <w:r>
        <w:rPr/>
        <w:t>in</w:t>
      </w:r>
      <w:r>
        <w:rPr>
          <w:spacing w:val="-9"/>
        </w:rPr>
        <w:t> </w:t>
      </w:r>
      <w:r>
        <w:rPr/>
        <w:t>the</w:t>
      </w:r>
      <w:r>
        <w:rPr>
          <w:spacing w:val="-5"/>
        </w:rPr>
        <w:t> </w:t>
      </w:r>
      <w:r>
        <w:rPr/>
        <w:t>Budget</w:t>
      </w:r>
      <w:r>
        <w:rPr>
          <w:spacing w:val="-5"/>
        </w:rPr>
        <w:t> </w:t>
      </w:r>
      <w:r>
        <w:rPr/>
        <w:t>adopted by Council. The level of differential rate is the level which Council considers is necessary to achieve the objectives specified above.</w:t>
      </w:r>
    </w:p>
    <w:p>
      <w:pPr>
        <w:pStyle w:val="BodyText"/>
        <w:spacing w:before="10"/>
        <w:rPr>
          <w:sz w:val="21"/>
        </w:rPr>
      </w:pPr>
    </w:p>
    <w:p>
      <w:pPr>
        <w:pStyle w:val="Heading5"/>
        <w:jc w:val="both"/>
      </w:pPr>
      <w:r>
        <w:rPr/>
        <w:t>Geographic</w:t>
      </w:r>
      <w:r>
        <w:rPr>
          <w:spacing w:val="-5"/>
        </w:rPr>
        <w:t> </w:t>
      </w:r>
      <w:r>
        <w:rPr>
          <w:spacing w:val="-2"/>
        </w:rPr>
        <w:t>Location:</w:t>
      </w:r>
    </w:p>
    <w:p>
      <w:pPr>
        <w:pStyle w:val="BodyText"/>
        <w:spacing w:before="2"/>
        <w:ind w:left="260"/>
        <w:jc w:val="both"/>
      </w:pPr>
      <w:r>
        <w:rPr/>
        <w:t>Wherever</w:t>
      </w:r>
      <w:r>
        <w:rPr>
          <w:spacing w:val="-3"/>
        </w:rPr>
        <w:t> </w:t>
      </w:r>
      <w:r>
        <w:rPr/>
        <w:t>located</w:t>
      </w:r>
      <w:r>
        <w:rPr>
          <w:spacing w:val="-2"/>
        </w:rPr>
        <w:t> </w:t>
      </w:r>
      <w:r>
        <w:rPr/>
        <w:t>within</w:t>
      </w:r>
      <w:r>
        <w:rPr>
          <w:spacing w:val="-7"/>
        </w:rPr>
        <w:t> </w:t>
      </w:r>
      <w:r>
        <w:rPr/>
        <w:t>the</w:t>
      </w:r>
      <w:r>
        <w:rPr>
          <w:spacing w:val="-5"/>
        </w:rPr>
        <w:t> </w:t>
      </w:r>
      <w:r>
        <w:rPr/>
        <w:t>municipal</w:t>
      </w:r>
      <w:r>
        <w:rPr>
          <w:spacing w:val="-3"/>
        </w:rPr>
        <w:t> </w:t>
      </w:r>
      <w:r>
        <w:rPr>
          <w:spacing w:val="-2"/>
        </w:rPr>
        <w:t>district.</w:t>
      </w:r>
    </w:p>
    <w:p>
      <w:pPr>
        <w:pStyle w:val="BodyText"/>
        <w:spacing w:before="9"/>
        <w:rPr>
          <w:sz w:val="21"/>
        </w:rPr>
      </w:pPr>
    </w:p>
    <w:p>
      <w:pPr>
        <w:pStyle w:val="Heading5"/>
        <w:jc w:val="both"/>
      </w:pPr>
      <w:r>
        <w:rPr/>
        <w:t>Use of</w:t>
      </w:r>
      <w:r>
        <w:rPr>
          <w:spacing w:val="-1"/>
        </w:rPr>
        <w:t> </w:t>
      </w:r>
      <w:r>
        <w:rPr>
          <w:spacing w:val="-4"/>
        </w:rPr>
        <w:t>Land:</w:t>
      </w:r>
    </w:p>
    <w:p>
      <w:pPr>
        <w:pStyle w:val="BodyText"/>
        <w:spacing w:before="2"/>
        <w:ind w:left="260"/>
        <w:jc w:val="both"/>
      </w:pPr>
      <w:r>
        <w:rPr/>
        <w:t>Any</w:t>
      </w:r>
      <w:r>
        <w:rPr>
          <w:spacing w:val="-3"/>
        </w:rPr>
        <w:t> </w:t>
      </w:r>
      <w:r>
        <w:rPr/>
        <w:t>use</w:t>
      </w:r>
      <w:r>
        <w:rPr>
          <w:spacing w:val="-3"/>
        </w:rPr>
        <w:t> </w:t>
      </w:r>
      <w:r>
        <w:rPr/>
        <w:t>permitted</w:t>
      </w:r>
      <w:r>
        <w:rPr>
          <w:spacing w:val="-5"/>
        </w:rPr>
        <w:t> </w:t>
      </w:r>
      <w:r>
        <w:rPr/>
        <w:t>under</w:t>
      </w:r>
      <w:r>
        <w:rPr>
          <w:spacing w:val="-2"/>
        </w:rPr>
        <w:t> </w:t>
      </w:r>
      <w:r>
        <w:rPr/>
        <w:t>the</w:t>
      </w:r>
      <w:r>
        <w:rPr>
          <w:spacing w:val="-5"/>
        </w:rPr>
        <w:t> </w:t>
      </w:r>
      <w:r>
        <w:rPr/>
        <w:t>relevant</w:t>
      </w:r>
      <w:r>
        <w:rPr>
          <w:spacing w:val="-3"/>
        </w:rPr>
        <w:t> </w:t>
      </w:r>
      <w:r>
        <w:rPr/>
        <w:t>Planning</w:t>
      </w:r>
      <w:r>
        <w:rPr>
          <w:spacing w:val="-1"/>
        </w:rPr>
        <w:t> </w:t>
      </w:r>
      <w:r>
        <w:rPr>
          <w:spacing w:val="-2"/>
        </w:rPr>
        <w:t>Scheme.</w:t>
      </w:r>
    </w:p>
    <w:p>
      <w:pPr>
        <w:pStyle w:val="BodyText"/>
      </w:pPr>
    </w:p>
    <w:p>
      <w:pPr>
        <w:pStyle w:val="Heading5"/>
        <w:spacing w:line="252" w:lineRule="exact"/>
      </w:pPr>
      <w:r>
        <w:rPr/>
        <w:t>Planning</w:t>
      </w:r>
      <w:r>
        <w:rPr>
          <w:spacing w:val="-4"/>
        </w:rPr>
        <w:t> </w:t>
      </w:r>
      <w:r>
        <w:rPr/>
        <w:t>Scheme</w:t>
      </w:r>
      <w:r>
        <w:rPr>
          <w:spacing w:val="-2"/>
        </w:rPr>
        <w:t> Zoning:</w:t>
      </w:r>
    </w:p>
    <w:p>
      <w:pPr>
        <w:pStyle w:val="BodyText"/>
        <w:ind w:left="260" w:right="555"/>
        <w:jc w:val="both"/>
      </w:pPr>
      <w:r>
        <w:rPr/>
        <w:t>The</w:t>
      </w:r>
      <w:r>
        <w:rPr>
          <w:spacing w:val="-2"/>
        </w:rPr>
        <w:t> </w:t>
      </w:r>
      <w:r>
        <w:rPr/>
        <w:t>zoning</w:t>
      </w:r>
      <w:r>
        <w:rPr>
          <w:spacing w:val="-4"/>
        </w:rPr>
        <w:t> </w:t>
      </w:r>
      <w:r>
        <w:rPr/>
        <w:t>applicable</w:t>
      </w:r>
      <w:r>
        <w:rPr>
          <w:spacing w:val="-4"/>
        </w:rPr>
        <w:t> </w:t>
      </w:r>
      <w:r>
        <w:rPr/>
        <w:t>to</w:t>
      </w:r>
      <w:r>
        <w:rPr>
          <w:spacing w:val="-7"/>
        </w:rPr>
        <w:t> </w:t>
      </w:r>
      <w:r>
        <w:rPr/>
        <w:t>each</w:t>
      </w:r>
      <w:r>
        <w:rPr>
          <w:spacing w:val="-4"/>
        </w:rPr>
        <w:t> </w:t>
      </w:r>
      <w:r>
        <w:rPr/>
        <w:t>rateable</w:t>
      </w:r>
      <w:r>
        <w:rPr>
          <w:spacing w:val="-6"/>
        </w:rPr>
        <w:t> </w:t>
      </w:r>
      <w:r>
        <w:rPr/>
        <w:t>land</w:t>
      </w:r>
      <w:r>
        <w:rPr>
          <w:spacing w:val="-2"/>
        </w:rPr>
        <w:t> </w:t>
      </w:r>
      <w:r>
        <w:rPr/>
        <w:t>within</w:t>
      </w:r>
      <w:r>
        <w:rPr>
          <w:spacing w:val="-6"/>
        </w:rPr>
        <w:t> </w:t>
      </w:r>
      <w:r>
        <w:rPr/>
        <w:t>this</w:t>
      </w:r>
      <w:r>
        <w:rPr>
          <w:spacing w:val="-4"/>
        </w:rPr>
        <w:t> </w:t>
      </w:r>
      <w:r>
        <w:rPr/>
        <w:t>category,</w:t>
      </w:r>
      <w:r>
        <w:rPr>
          <w:spacing w:val="-2"/>
        </w:rPr>
        <w:t> </w:t>
      </w:r>
      <w:r>
        <w:rPr/>
        <w:t>as</w:t>
      </w:r>
      <w:r>
        <w:rPr>
          <w:spacing w:val="-4"/>
        </w:rPr>
        <w:t> </w:t>
      </w:r>
      <w:r>
        <w:rPr/>
        <w:t>determined</w:t>
      </w:r>
      <w:r>
        <w:rPr>
          <w:spacing w:val="-2"/>
        </w:rPr>
        <w:t> </w:t>
      </w:r>
      <w:r>
        <w:rPr/>
        <w:t>by</w:t>
      </w:r>
      <w:r>
        <w:rPr>
          <w:spacing w:val="-4"/>
        </w:rPr>
        <w:t> </w:t>
      </w:r>
      <w:r>
        <w:rPr/>
        <w:t>consulting</w:t>
      </w:r>
      <w:r>
        <w:rPr>
          <w:spacing w:val="-4"/>
        </w:rPr>
        <w:t> </w:t>
      </w:r>
      <w:r>
        <w:rPr/>
        <w:t>maps</w:t>
      </w:r>
      <w:r>
        <w:rPr>
          <w:spacing w:val="-4"/>
        </w:rPr>
        <w:t> </w:t>
      </w:r>
      <w:r>
        <w:rPr/>
        <w:t>referred to in the relevant Planning Scheme.</w:t>
      </w:r>
    </w:p>
    <w:p>
      <w:pPr>
        <w:pStyle w:val="BodyText"/>
        <w:spacing w:before="10"/>
        <w:rPr>
          <w:sz w:val="21"/>
        </w:rPr>
      </w:pPr>
    </w:p>
    <w:p>
      <w:pPr>
        <w:pStyle w:val="Heading5"/>
        <w:jc w:val="both"/>
      </w:pPr>
      <w:r>
        <w:rPr/>
        <w:t>Types</w:t>
      </w:r>
      <w:r>
        <w:rPr>
          <w:spacing w:val="-3"/>
        </w:rPr>
        <w:t> </w:t>
      </w:r>
      <w:r>
        <w:rPr/>
        <w:t>of</w:t>
      </w:r>
      <w:r>
        <w:rPr>
          <w:spacing w:val="-1"/>
        </w:rPr>
        <w:t> </w:t>
      </w:r>
      <w:r>
        <w:rPr>
          <w:spacing w:val="-2"/>
        </w:rPr>
        <w:t>Buildings:</w:t>
      </w:r>
    </w:p>
    <w:p>
      <w:pPr>
        <w:pStyle w:val="BodyText"/>
        <w:spacing w:before="2"/>
        <w:ind w:left="260" w:right="553"/>
        <w:jc w:val="both"/>
      </w:pPr>
      <w:r>
        <w:rPr/>
        <w:t>All</w:t>
      </w:r>
      <w:r>
        <w:rPr>
          <w:spacing w:val="-16"/>
        </w:rPr>
        <w:t> </w:t>
      </w:r>
      <w:r>
        <w:rPr/>
        <w:t>buildings</w:t>
      </w:r>
      <w:r>
        <w:rPr>
          <w:spacing w:val="-15"/>
        </w:rPr>
        <w:t> </w:t>
      </w:r>
      <w:r>
        <w:rPr/>
        <w:t>which</w:t>
      </w:r>
      <w:r>
        <w:rPr>
          <w:spacing w:val="-15"/>
        </w:rPr>
        <w:t> </w:t>
      </w:r>
      <w:r>
        <w:rPr/>
        <w:t>are</w:t>
      </w:r>
      <w:r>
        <w:rPr>
          <w:spacing w:val="-16"/>
        </w:rPr>
        <w:t> </w:t>
      </w:r>
      <w:r>
        <w:rPr/>
        <w:t>now</w:t>
      </w:r>
      <w:r>
        <w:rPr>
          <w:spacing w:val="-15"/>
        </w:rPr>
        <w:t> </w:t>
      </w:r>
      <w:r>
        <w:rPr/>
        <w:t>constructed</w:t>
      </w:r>
      <w:r>
        <w:rPr>
          <w:spacing w:val="-15"/>
        </w:rPr>
        <w:t> </w:t>
      </w:r>
      <w:r>
        <w:rPr/>
        <w:t>on</w:t>
      </w:r>
      <w:r>
        <w:rPr>
          <w:spacing w:val="-15"/>
        </w:rPr>
        <w:t> </w:t>
      </w:r>
      <w:r>
        <w:rPr/>
        <w:t>the</w:t>
      </w:r>
      <w:r>
        <w:rPr>
          <w:spacing w:val="-16"/>
        </w:rPr>
        <w:t> </w:t>
      </w:r>
      <w:r>
        <w:rPr/>
        <w:t>land,</w:t>
      </w:r>
      <w:r>
        <w:rPr>
          <w:spacing w:val="-15"/>
        </w:rPr>
        <w:t> </w:t>
      </w:r>
      <w:r>
        <w:rPr/>
        <w:t>or</w:t>
      </w:r>
      <w:r>
        <w:rPr>
          <w:spacing w:val="-15"/>
        </w:rPr>
        <w:t> </w:t>
      </w:r>
      <w:r>
        <w:rPr/>
        <w:t>which</w:t>
      </w:r>
      <w:r>
        <w:rPr>
          <w:spacing w:val="-15"/>
        </w:rPr>
        <w:t> </w:t>
      </w:r>
      <w:r>
        <w:rPr/>
        <w:t>are</w:t>
      </w:r>
      <w:r>
        <w:rPr>
          <w:spacing w:val="-15"/>
        </w:rPr>
        <w:t> </w:t>
      </w:r>
      <w:r>
        <w:rPr/>
        <w:t>constructed</w:t>
      </w:r>
      <w:r>
        <w:rPr>
          <w:spacing w:val="-16"/>
        </w:rPr>
        <w:t> </w:t>
      </w:r>
      <w:r>
        <w:rPr/>
        <w:t>prior</w:t>
      </w:r>
      <w:r>
        <w:rPr>
          <w:spacing w:val="-15"/>
        </w:rPr>
        <w:t> </w:t>
      </w:r>
      <w:r>
        <w:rPr/>
        <w:t>to</w:t>
      </w:r>
      <w:r>
        <w:rPr>
          <w:spacing w:val="-15"/>
        </w:rPr>
        <w:t> </w:t>
      </w:r>
      <w:r>
        <w:rPr/>
        <w:t>the</w:t>
      </w:r>
      <w:r>
        <w:rPr>
          <w:spacing w:val="-15"/>
        </w:rPr>
        <w:t> </w:t>
      </w:r>
      <w:r>
        <w:rPr/>
        <w:t>expiry</w:t>
      </w:r>
      <w:r>
        <w:rPr>
          <w:spacing w:val="-15"/>
        </w:rPr>
        <w:t> </w:t>
      </w:r>
      <w:r>
        <w:rPr/>
        <w:t>of</w:t>
      </w:r>
      <w:r>
        <w:rPr>
          <w:spacing w:val="-14"/>
        </w:rPr>
        <w:t> </w:t>
      </w:r>
      <w:r>
        <w:rPr/>
        <w:t>the</w:t>
      </w:r>
      <w:r>
        <w:rPr>
          <w:spacing w:val="-16"/>
        </w:rPr>
        <w:t> </w:t>
      </w:r>
      <w:r>
        <w:rPr/>
        <w:t>relevant financial year.</w:t>
      </w:r>
    </w:p>
    <w:p>
      <w:pPr>
        <w:pStyle w:val="BodyText"/>
        <w:spacing w:before="11"/>
        <w:rPr>
          <w:sz w:val="21"/>
        </w:rPr>
      </w:pPr>
    </w:p>
    <w:p>
      <w:pPr>
        <w:spacing w:before="0"/>
        <w:ind w:left="260" w:right="0" w:firstLine="0"/>
        <w:jc w:val="both"/>
        <w:rPr>
          <w:b/>
          <w:sz w:val="22"/>
        </w:rPr>
      </w:pPr>
      <w:r>
        <w:rPr>
          <w:b/>
          <w:sz w:val="22"/>
          <w:u w:val="single"/>
        </w:rPr>
        <w:t>Industrial</w:t>
      </w:r>
      <w:r>
        <w:rPr>
          <w:b/>
          <w:spacing w:val="-5"/>
          <w:sz w:val="22"/>
          <w:u w:val="single"/>
        </w:rPr>
        <w:t> </w:t>
      </w:r>
      <w:r>
        <w:rPr>
          <w:b/>
          <w:spacing w:val="-4"/>
          <w:sz w:val="22"/>
          <w:u w:val="single"/>
        </w:rPr>
        <w:t>Land</w:t>
      </w:r>
    </w:p>
    <w:p>
      <w:pPr>
        <w:pStyle w:val="BodyText"/>
        <w:spacing w:before="10"/>
        <w:rPr>
          <w:b/>
          <w:sz w:val="13"/>
        </w:rPr>
      </w:pPr>
    </w:p>
    <w:p>
      <w:pPr>
        <w:pStyle w:val="Heading5"/>
        <w:spacing w:line="252" w:lineRule="exact" w:before="94"/>
      </w:pPr>
      <w:r>
        <w:rPr>
          <w:spacing w:val="-2"/>
        </w:rPr>
        <w:t>Definitions/Characteristics:</w:t>
      </w:r>
    </w:p>
    <w:p>
      <w:pPr>
        <w:pStyle w:val="BodyText"/>
        <w:spacing w:line="252" w:lineRule="exact"/>
        <w:ind w:left="260"/>
      </w:pPr>
      <w:r>
        <w:rPr/>
        <w:t>Industrial</w:t>
      </w:r>
      <w:r>
        <w:rPr>
          <w:spacing w:val="-6"/>
        </w:rPr>
        <w:t> </w:t>
      </w:r>
      <w:r>
        <w:rPr/>
        <w:t>Land</w:t>
      </w:r>
      <w:r>
        <w:rPr>
          <w:spacing w:val="-1"/>
        </w:rPr>
        <w:t> </w:t>
      </w:r>
      <w:r>
        <w:rPr/>
        <w:t>is</w:t>
      </w:r>
      <w:r>
        <w:rPr>
          <w:spacing w:val="-2"/>
        </w:rPr>
        <w:t> </w:t>
      </w:r>
      <w:r>
        <w:rPr/>
        <w:t>any</w:t>
      </w:r>
      <w:r>
        <w:rPr>
          <w:spacing w:val="-1"/>
        </w:rPr>
        <w:t> </w:t>
      </w:r>
      <w:r>
        <w:rPr/>
        <w:t>land</w:t>
      </w:r>
      <w:r>
        <w:rPr>
          <w:spacing w:val="-1"/>
        </w:rPr>
        <w:t> </w:t>
      </w:r>
      <w:r>
        <w:rPr/>
        <w:t>that</w:t>
      </w:r>
      <w:r>
        <w:rPr>
          <w:spacing w:val="-2"/>
        </w:rPr>
        <w:t> </w:t>
      </w:r>
      <w:r>
        <w:rPr/>
        <w:t>is</w:t>
      </w:r>
      <w:r>
        <w:rPr>
          <w:spacing w:val="-5"/>
        </w:rPr>
        <w:t> </w:t>
      </w:r>
      <w:r>
        <w:rPr/>
        <w:t>used,</w:t>
      </w:r>
      <w:r>
        <w:rPr>
          <w:spacing w:val="-5"/>
        </w:rPr>
        <w:t> </w:t>
      </w:r>
      <w:r>
        <w:rPr/>
        <w:t>designed</w:t>
      </w:r>
      <w:r>
        <w:rPr>
          <w:spacing w:val="-5"/>
        </w:rPr>
        <w:t> </w:t>
      </w:r>
      <w:r>
        <w:rPr/>
        <w:t>or</w:t>
      </w:r>
      <w:r>
        <w:rPr>
          <w:spacing w:val="-3"/>
        </w:rPr>
        <w:t> </w:t>
      </w:r>
      <w:r>
        <w:rPr/>
        <w:t>adapted</w:t>
      </w:r>
      <w:r>
        <w:rPr>
          <w:spacing w:val="-5"/>
        </w:rPr>
        <w:t> </w:t>
      </w:r>
      <w:r>
        <w:rPr/>
        <w:t>to</w:t>
      </w:r>
      <w:r>
        <w:rPr>
          <w:spacing w:val="-1"/>
        </w:rPr>
        <w:t> </w:t>
      </w:r>
      <w:r>
        <w:rPr/>
        <w:t>be</w:t>
      </w:r>
      <w:r>
        <w:rPr>
          <w:spacing w:val="-4"/>
        </w:rPr>
        <w:t> </w:t>
      </w:r>
      <w:r>
        <w:rPr/>
        <w:t>used</w:t>
      </w:r>
      <w:r>
        <w:rPr>
          <w:spacing w:val="-5"/>
        </w:rPr>
        <w:t> </w:t>
      </w:r>
      <w:r>
        <w:rPr/>
        <w:t>primarily</w:t>
      </w:r>
      <w:r>
        <w:rPr>
          <w:spacing w:val="-3"/>
        </w:rPr>
        <w:t> </w:t>
      </w:r>
      <w:r>
        <w:rPr/>
        <w:t>for</w:t>
      </w:r>
      <w:r>
        <w:rPr>
          <w:spacing w:val="-3"/>
        </w:rPr>
        <w:t> </w:t>
      </w:r>
      <w:r>
        <w:rPr/>
        <w:t>industrial</w:t>
      </w:r>
      <w:r>
        <w:rPr>
          <w:spacing w:val="-3"/>
        </w:rPr>
        <w:t> </w:t>
      </w:r>
      <w:r>
        <w:rPr>
          <w:spacing w:val="-2"/>
        </w:rPr>
        <w:t>purposes.</w:t>
      </w:r>
    </w:p>
    <w:p>
      <w:pPr>
        <w:pStyle w:val="BodyText"/>
      </w:pPr>
    </w:p>
    <w:p>
      <w:pPr>
        <w:pStyle w:val="Heading5"/>
        <w:spacing w:line="252" w:lineRule="exact"/>
      </w:pPr>
      <w:r>
        <w:rPr>
          <w:spacing w:val="-2"/>
        </w:rPr>
        <w:t>Objective:</w:t>
      </w:r>
    </w:p>
    <w:p>
      <w:pPr>
        <w:pStyle w:val="BodyText"/>
        <w:ind w:left="260" w:right="445"/>
      </w:pPr>
      <w:r>
        <w:rPr/>
        <w:t>To</w:t>
      </w:r>
      <w:r>
        <w:rPr>
          <w:spacing w:val="28"/>
        </w:rPr>
        <w:t> </w:t>
      </w:r>
      <w:r>
        <w:rPr/>
        <w:t>ensure</w:t>
      </w:r>
      <w:r>
        <w:rPr>
          <w:spacing w:val="26"/>
        </w:rPr>
        <w:t> </w:t>
      </w:r>
      <w:r>
        <w:rPr/>
        <w:t>that</w:t>
      </w:r>
      <w:r>
        <w:rPr>
          <w:spacing w:val="27"/>
        </w:rPr>
        <w:t> </w:t>
      </w:r>
      <w:r>
        <w:rPr/>
        <w:t>all</w:t>
      </w:r>
      <w:r>
        <w:rPr>
          <w:spacing w:val="26"/>
        </w:rPr>
        <w:t> </w:t>
      </w:r>
      <w:r>
        <w:rPr/>
        <w:t>rateable</w:t>
      </w:r>
      <w:r>
        <w:rPr>
          <w:spacing w:val="26"/>
        </w:rPr>
        <w:t> </w:t>
      </w:r>
      <w:r>
        <w:rPr/>
        <w:t>land</w:t>
      </w:r>
      <w:r>
        <w:rPr>
          <w:spacing w:val="27"/>
        </w:rPr>
        <w:t> </w:t>
      </w:r>
      <w:r>
        <w:rPr/>
        <w:t>makes</w:t>
      </w:r>
      <w:r>
        <w:rPr>
          <w:spacing w:val="27"/>
        </w:rPr>
        <w:t> </w:t>
      </w:r>
      <w:r>
        <w:rPr/>
        <w:t>an</w:t>
      </w:r>
      <w:r>
        <w:rPr>
          <w:spacing w:val="27"/>
        </w:rPr>
        <w:t> </w:t>
      </w:r>
      <w:r>
        <w:rPr/>
        <w:t>equitable</w:t>
      </w:r>
      <w:r>
        <w:rPr>
          <w:spacing w:val="26"/>
        </w:rPr>
        <w:t> </w:t>
      </w:r>
      <w:r>
        <w:rPr/>
        <w:t>financial</w:t>
      </w:r>
      <w:r>
        <w:rPr>
          <w:spacing w:val="27"/>
        </w:rPr>
        <w:t> </w:t>
      </w:r>
      <w:r>
        <w:rPr/>
        <w:t>contribution</w:t>
      </w:r>
      <w:r>
        <w:rPr>
          <w:spacing w:val="26"/>
        </w:rPr>
        <w:t> </w:t>
      </w:r>
      <w:r>
        <w:rPr/>
        <w:t>to</w:t>
      </w:r>
      <w:r>
        <w:rPr>
          <w:spacing w:val="23"/>
        </w:rPr>
        <w:t> </w:t>
      </w:r>
      <w:r>
        <w:rPr/>
        <w:t>the</w:t>
      </w:r>
      <w:r>
        <w:rPr>
          <w:spacing w:val="28"/>
        </w:rPr>
        <w:t> </w:t>
      </w:r>
      <w:r>
        <w:rPr/>
        <w:t>cost</w:t>
      </w:r>
      <w:r>
        <w:rPr>
          <w:spacing w:val="29"/>
        </w:rPr>
        <w:t> </w:t>
      </w:r>
      <w:r>
        <w:rPr/>
        <w:t>of</w:t>
      </w:r>
      <w:r>
        <w:rPr>
          <w:spacing w:val="29"/>
        </w:rPr>
        <w:t> </w:t>
      </w:r>
      <w:r>
        <w:rPr/>
        <w:t>carrying</w:t>
      </w:r>
      <w:r>
        <w:rPr>
          <w:spacing w:val="26"/>
        </w:rPr>
        <w:t> </w:t>
      </w:r>
      <w:r>
        <w:rPr/>
        <w:t>out</w:t>
      </w:r>
      <w:r>
        <w:rPr>
          <w:spacing w:val="27"/>
        </w:rPr>
        <w:t> </w:t>
      </w:r>
      <w:r>
        <w:rPr/>
        <w:t>the functions of Council, including:</w:t>
      </w:r>
    </w:p>
    <w:p>
      <w:pPr>
        <w:pStyle w:val="BodyText"/>
        <w:spacing w:before="1"/>
      </w:pPr>
    </w:p>
    <w:p>
      <w:pPr>
        <w:pStyle w:val="ListParagraph"/>
        <w:numPr>
          <w:ilvl w:val="0"/>
          <w:numId w:val="63"/>
        </w:numPr>
        <w:tabs>
          <w:tab w:pos="826" w:val="left" w:leader="none"/>
          <w:tab w:pos="827" w:val="left" w:leader="none"/>
        </w:tabs>
        <w:spacing w:line="252" w:lineRule="exact" w:before="1" w:after="0"/>
        <w:ind w:left="827" w:right="0" w:hanging="567"/>
        <w:jc w:val="left"/>
        <w:rPr>
          <w:sz w:val="22"/>
        </w:rPr>
      </w:pPr>
      <w:r>
        <w:rPr>
          <w:sz w:val="22"/>
        </w:rPr>
        <w:t>Construction</w:t>
      </w:r>
      <w:r>
        <w:rPr>
          <w:spacing w:val="-4"/>
          <w:sz w:val="22"/>
        </w:rPr>
        <w:t> </w:t>
      </w:r>
      <w:r>
        <w:rPr>
          <w:sz w:val="22"/>
        </w:rPr>
        <w:t>and</w:t>
      </w:r>
      <w:r>
        <w:rPr>
          <w:spacing w:val="-7"/>
          <w:sz w:val="22"/>
        </w:rPr>
        <w:t> </w:t>
      </w:r>
      <w:r>
        <w:rPr>
          <w:sz w:val="22"/>
        </w:rPr>
        <w:t>maintenance</w:t>
      </w:r>
      <w:r>
        <w:rPr>
          <w:spacing w:val="-5"/>
          <w:sz w:val="22"/>
        </w:rPr>
        <w:t> </w:t>
      </w:r>
      <w:r>
        <w:rPr>
          <w:sz w:val="22"/>
        </w:rPr>
        <w:t>of</w:t>
      </w:r>
      <w:r>
        <w:rPr>
          <w:spacing w:val="-5"/>
          <w:sz w:val="22"/>
        </w:rPr>
        <w:t> </w:t>
      </w:r>
      <w:r>
        <w:rPr>
          <w:sz w:val="22"/>
        </w:rPr>
        <w:t>public</w:t>
      </w:r>
      <w:r>
        <w:rPr>
          <w:spacing w:val="-5"/>
          <w:sz w:val="22"/>
        </w:rPr>
        <w:t> </w:t>
      </w:r>
      <w:r>
        <w:rPr>
          <w:sz w:val="22"/>
        </w:rPr>
        <w:t>infrastructure:</w:t>
      </w:r>
      <w:r>
        <w:rPr>
          <w:spacing w:val="-5"/>
          <w:sz w:val="22"/>
        </w:rPr>
        <w:t> and</w:t>
      </w:r>
    </w:p>
    <w:p>
      <w:pPr>
        <w:pStyle w:val="ListParagraph"/>
        <w:numPr>
          <w:ilvl w:val="0"/>
          <w:numId w:val="63"/>
        </w:numPr>
        <w:tabs>
          <w:tab w:pos="826" w:val="left" w:leader="none"/>
          <w:tab w:pos="827" w:val="left" w:leader="none"/>
        </w:tabs>
        <w:spacing w:line="252" w:lineRule="exact" w:before="0" w:after="0"/>
        <w:ind w:left="827" w:right="0" w:hanging="567"/>
        <w:jc w:val="left"/>
        <w:rPr>
          <w:sz w:val="22"/>
        </w:rPr>
      </w:pPr>
      <w:r>
        <w:rPr>
          <w:sz w:val="22"/>
        </w:rPr>
        <w:t>Development</w:t>
      </w:r>
      <w:r>
        <w:rPr>
          <w:spacing w:val="-5"/>
          <w:sz w:val="22"/>
        </w:rPr>
        <w:t> </w:t>
      </w:r>
      <w:r>
        <w:rPr>
          <w:sz w:val="22"/>
        </w:rPr>
        <w:t>and</w:t>
      </w:r>
      <w:r>
        <w:rPr>
          <w:spacing w:val="-6"/>
          <w:sz w:val="22"/>
        </w:rPr>
        <w:t> </w:t>
      </w:r>
      <w:r>
        <w:rPr>
          <w:sz w:val="22"/>
        </w:rPr>
        <w:t>provision</w:t>
      </w:r>
      <w:r>
        <w:rPr>
          <w:spacing w:val="-4"/>
          <w:sz w:val="22"/>
        </w:rPr>
        <w:t> </w:t>
      </w:r>
      <w:r>
        <w:rPr>
          <w:sz w:val="22"/>
        </w:rPr>
        <w:t>of</w:t>
      </w:r>
      <w:r>
        <w:rPr>
          <w:spacing w:val="-3"/>
          <w:sz w:val="22"/>
        </w:rPr>
        <w:t> </w:t>
      </w:r>
      <w:r>
        <w:rPr>
          <w:sz w:val="22"/>
        </w:rPr>
        <w:t>health</w:t>
      </w:r>
      <w:r>
        <w:rPr>
          <w:spacing w:val="-2"/>
          <w:sz w:val="22"/>
        </w:rPr>
        <w:t> </w:t>
      </w:r>
      <w:r>
        <w:rPr>
          <w:sz w:val="22"/>
        </w:rPr>
        <w:t>&amp;</w:t>
      </w:r>
      <w:r>
        <w:rPr>
          <w:spacing w:val="-7"/>
          <w:sz w:val="22"/>
        </w:rPr>
        <w:t> </w:t>
      </w:r>
      <w:r>
        <w:rPr>
          <w:sz w:val="22"/>
        </w:rPr>
        <w:t>community</w:t>
      </w:r>
      <w:r>
        <w:rPr>
          <w:spacing w:val="-4"/>
          <w:sz w:val="22"/>
        </w:rPr>
        <w:t> </w:t>
      </w:r>
      <w:r>
        <w:rPr>
          <w:sz w:val="22"/>
        </w:rPr>
        <w:t>services;</w:t>
      </w:r>
      <w:r>
        <w:rPr>
          <w:spacing w:val="-4"/>
          <w:sz w:val="22"/>
        </w:rPr>
        <w:t> </w:t>
      </w:r>
      <w:r>
        <w:rPr>
          <w:spacing w:val="-5"/>
          <w:sz w:val="22"/>
        </w:rPr>
        <w:t>and</w:t>
      </w:r>
    </w:p>
    <w:p>
      <w:pPr>
        <w:pStyle w:val="ListParagraph"/>
        <w:numPr>
          <w:ilvl w:val="0"/>
          <w:numId w:val="63"/>
        </w:numPr>
        <w:tabs>
          <w:tab w:pos="826" w:val="left" w:leader="none"/>
          <w:tab w:pos="827" w:val="left" w:leader="none"/>
        </w:tabs>
        <w:spacing w:line="252" w:lineRule="exact" w:before="0" w:after="0"/>
        <w:ind w:left="827" w:right="0" w:hanging="567"/>
        <w:jc w:val="left"/>
        <w:rPr>
          <w:sz w:val="22"/>
        </w:rPr>
      </w:pPr>
      <w:r>
        <w:rPr>
          <w:sz w:val="22"/>
        </w:rPr>
        <w:t>Provision</w:t>
      </w:r>
      <w:r>
        <w:rPr>
          <w:spacing w:val="-4"/>
          <w:sz w:val="22"/>
        </w:rPr>
        <w:t> </w:t>
      </w:r>
      <w:r>
        <w:rPr>
          <w:sz w:val="22"/>
        </w:rPr>
        <w:t>of</w:t>
      </w:r>
      <w:r>
        <w:rPr>
          <w:spacing w:val="-3"/>
          <w:sz w:val="22"/>
        </w:rPr>
        <w:t> </w:t>
      </w:r>
      <w:r>
        <w:rPr>
          <w:sz w:val="22"/>
        </w:rPr>
        <w:t>general</w:t>
      </w:r>
      <w:r>
        <w:rPr>
          <w:spacing w:val="-4"/>
          <w:sz w:val="22"/>
        </w:rPr>
        <w:t> </w:t>
      </w:r>
      <w:r>
        <w:rPr>
          <w:sz w:val="22"/>
        </w:rPr>
        <w:t>support</w:t>
      </w:r>
      <w:r>
        <w:rPr>
          <w:spacing w:val="-5"/>
          <w:sz w:val="22"/>
        </w:rPr>
        <w:t> </w:t>
      </w:r>
      <w:r>
        <w:rPr>
          <w:sz w:val="22"/>
        </w:rPr>
        <w:t>services;</w:t>
      </w:r>
      <w:r>
        <w:rPr>
          <w:spacing w:val="-1"/>
          <w:sz w:val="22"/>
        </w:rPr>
        <w:t> </w:t>
      </w:r>
      <w:r>
        <w:rPr>
          <w:spacing w:val="-5"/>
          <w:sz w:val="22"/>
        </w:rPr>
        <w:t>and</w:t>
      </w:r>
    </w:p>
    <w:p>
      <w:pPr>
        <w:pStyle w:val="ListParagraph"/>
        <w:numPr>
          <w:ilvl w:val="0"/>
          <w:numId w:val="63"/>
        </w:numPr>
        <w:tabs>
          <w:tab w:pos="826" w:val="left" w:leader="none"/>
          <w:tab w:pos="827" w:val="left" w:leader="none"/>
        </w:tabs>
        <w:spacing w:line="240" w:lineRule="auto" w:before="1" w:after="0"/>
        <w:ind w:left="826" w:right="555" w:hanging="567"/>
        <w:jc w:val="left"/>
        <w:rPr>
          <w:sz w:val="22"/>
        </w:rPr>
      </w:pPr>
      <w:r>
        <w:rPr>
          <w:sz w:val="22"/>
        </w:rPr>
        <w:t>Enhancement</w:t>
      </w:r>
      <w:r>
        <w:rPr>
          <w:spacing w:val="40"/>
          <w:sz w:val="22"/>
        </w:rPr>
        <w:t> </w:t>
      </w:r>
      <w:r>
        <w:rPr>
          <w:sz w:val="22"/>
        </w:rPr>
        <w:t>of</w:t>
      </w:r>
      <w:r>
        <w:rPr>
          <w:spacing w:val="40"/>
          <w:sz w:val="22"/>
        </w:rPr>
        <w:t> </w:t>
      </w:r>
      <w:r>
        <w:rPr>
          <w:sz w:val="22"/>
        </w:rPr>
        <w:t>the</w:t>
      </w:r>
      <w:r>
        <w:rPr>
          <w:spacing w:val="40"/>
          <w:sz w:val="22"/>
        </w:rPr>
        <w:t> </w:t>
      </w:r>
      <w:r>
        <w:rPr>
          <w:sz w:val="22"/>
        </w:rPr>
        <w:t>economic</w:t>
      </w:r>
      <w:r>
        <w:rPr>
          <w:spacing w:val="40"/>
          <w:sz w:val="22"/>
        </w:rPr>
        <w:t> </w:t>
      </w:r>
      <w:r>
        <w:rPr>
          <w:sz w:val="22"/>
        </w:rPr>
        <w:t>viability</w:t>
      </w:r>
      <w:r>
        <w:rPr>
          <w:spacing w:val="40"/>
          <w:sz w:val="22"/>
        </w:rPr>
        <w:t> </w:t>
      </w:r>
      <w:r>
        <w:rPr>
          <w:sz w:val="22"/>
        </w:rPr>
        <w:t>of</w:t>
      </w:r>
      <w:r>
        <w:rPr>
          <w:spacing w:val="40"/>
          <w:sz w:val="22"/>
        </w:rPr>
        <w:t> </w:t>
      </w:r>
      <w:r>
        <w:rPr>
          <w:sz w:val="22"/>
        </w:rPr>
        <w:t>the</w:t>
      </w:r>
      <w:r>
        <w:rPr>
          <w:spacing w:val="40"/>
          <w:sz w:val="22"/>
        </w:rPr>
        <w:t> </w:t>
      </w:r>
      <w:r>
        <w:rPr>
          <w:sz w:val="22"/>
        </w:rPr>
        <w:t>commercial</w:t>
      </w:r>
      <w:r>
        <w:rPr>
          <w:spacing w:val="40"/>
          <w:sz w:val="22"/>
        </w:rPr>
        <w:t> </w:t>
      </w:r>
      <w:r>
        <w:rPr>
          <w:sz w:val="22"/>
        </w:rPr>
        <w:t>and</w:t>
      </w:r>
      <w:r>
        <w:rPr>
          <w:spacing w:val="40"/>
          <w:sz w:val="22"/>
        </w:rPr>
        <w:t> </w:t>
      </w:r>
      <w:r>
        <w:rPr>
          <w:sz w:val="22"/>
        </w:rPr>
        <w:t>industrial</w:t>
      </w:r>
      <w:r>
        <w:rPr>
          <w:spacing w:val="40"/>
          <w:sz w:val="22"/>
        </w:rPr>
        <w:t> </w:t>
      </w:r>
      <w:r>
        <w:rPr>
          <w:sz w:val="22"/>
        </w:rPr>
        <w:t>sector</w:t>
      </w:r>
      <w:r>
        <w:rPr>
          <w:spacing w:val="40"/>
          <w:sz w:val="22"/>
        </w:rPr>
        <w:t> </w:t>
      </w:r>
      <w:r>
        <w:rPr>
          <w:sz w:val="22"/>
        </w:rPr>
        <w:t>through</w:t>
      </w:r>
      <w:r>
        <w:rPr>
          <w:spacing w:val="40"/>
          <w:sz w:val="22"/>
        </w:rPr>
        <w:t> </w:t>
      </w:r>
      <w:r>
        <w:rPr>
          <w:sz w:val="22"/>
        </w:rPr>
        <w:t>targeted programs and projects; and</w:t>
      </w:r>
    </w:p>
    <w:p>
      <w:pPr>
        <w:pStyle w:val="ListParagraph"/>
        <w:numPr>
          <w:ilvl w:val="0"/>
          <w:numId w:val="63"/>
        </w:numPr>
        <w:tabs>
          <w:tab w:pos="826" w:val="left" w:leader="none"/>
          <w:tab w:pos="827" w:val="left" w:leader="none"/>
        </w:tabs>
        <w:spacing w:line="252" w:lineRule="exact" w:before="0" w:after="0"/>
        <w:ind w:left="827" w:right="0" w:hanging="567"/>
        <w:jc w:val="left"/>
        <w:rPr>
          <w:sz w:val="22"/>
        </w:rPr>
      </w:pPr>
      <w:r>
        <w:rPr>
          <w:sz w:val="22"/>
        </w:rPr>
        <w:t>Encouragement</w:t>
      </w:r>
      <w:r>
        <w:rPr>
          <w:spacing w:val="-7"/>
          <w:sz w:val="22"/>
        </w:rPr>
        <w:t> </w:t>
      </w:r>
      <w:r>
        <w:rPr>
          <w:sz w:val="22"/>
        </w:rPr>
        <w:t>of</w:t>
      </w:r>
      <w:r>
        <w:rPr>
          <w:spacing w:val="-6"/>
          <w:sz w:val="22"/>
        </w:rPr>
        <w:t> </w:t>
      </w:r>
      <w:r>
        <w:rPr>
          <w:sz w:val="22"/>
        </w:rPr>
        <w:t>employment</w:t>
      </w:r>
      <w:r>
        <w:rPr>
          <w:spacing w:val="-8"/>
          <w:sz w:val="22"/>
        </w:rPr>
        <w:t> </w:t>
      </w:r>
      <w:r>
        <w:rPr>
          <w:sz w:val="22"/>
        </w:rPr>
        <w:t>opportunities;</w:t>
      </w:r>
      <w:r>
        <w:rPr>
          <w:spacing w:val="-6"/>
          <w:sz w:val="22"/>
        </w:rPr>
        <w:t> </w:t>
      </w:r>
      <w:r>
        <w:rPr>
          <w:spacing w:val="-5"/>
          <w:sz w:val="22"/>
        </w:rPr>
        <w:t>and</w:t>
      </w:r>
    </w:p>
    <w:p>
      <w:pPr>
        <w:pStyle w:val="ListParagraph"/>
        <w:numPr>
          <w:ilvl w:val="0"/>
          <w:numId w:val="63"/>
        </w:numPr>
        <w:tabs>
          <w:tab w:pos="826" w:val="left" w:leader="none"/>
          <w:tab w:pos="827" w:val="left" w:leader="none"/>
        </w:tabs>
        <w:spacing w:line="252" w:lineRule="exact" w:before="0" w:after="0"/>
        <w:ind w:left="827" w:right="0" w:hanging="567"/>
        <w:jc w:val="left"/>
        <w:rPr>
          <w:sz w:val="22"/>
        </w:rPr>
      </w:pPr>
      <w:r>
        <w:rPr>
          <w:sz w:val="22"/>
        </w:rPr>
        <w:t>Promotion</w:t>
      </w:r>
      <w:r>
        <w:rPr>
          <w:spacing w:val="-6"/>
          <w:sz w:val="22"/>
        </w:rPr>
        <w:t> </w:t>
      </w:r>
      <w:r>
        <w:rPr>
          <w:sz w:val="22"/>
        </w:rPr>
        <w:t>of</w:t>
      </w:r>
      <w:r>
        <w:rPr>
          <w:spacing w:val="-5"/>
          <w:sz w:val="22"/>
        </w:rPr>
        <w:t> </w:t>
      </w:r>
      <w:r>
        <w:rPr>
          <w:sz w:val="22"/>
        </w:rPr>
        <w:t>economic</w:t>
      </w:r>
      <w:r>
        <w:rPr>
          <w:spacing w:val="-6"/>
          <w:sz w:val="22"/>
        </w:rPr>
        <w:t> </w:t>
      </w:r>
      <w:r>
        <w:rPr>
          <w:sz w:val="22"/>
        </w:rPr>
        <w:t>development;</w:t>
      </w:r>
      <w:r>
        <w:rPr>
          <w:spacing w:val="-4"/>
          <w:sz w:val="22"/>
        </w:rPr>
        <w:t> </w:t>
      </w:r>
      <w:r>
        <w:rPr>
          <w:spacing w:val="-5"/>
          <w:sz w:val="22"/>
        </w:rPr>
        <w:t>and</w:t>
      </w:r>
    </w:p>
    <w:p>
      <w:pPr>
        <w:pStyle w:val="ListParagraph"/>
        <w:numPr>
          <w:ilvl w:val="0"/>
          <w:numId w:val="63"/>
        </w:numPr>
        <w:tabs>
          <w:tab w:pos="826" w:val="left" w:leader="none"/>
          <w:tab w:pos="827" w:val="left" w:leader="none"/>
        </w:tabs>
        <w:spacing w:line="240" w:lineRule="auto" w:before="0" w:after="0"/>
        <w:ind w:left="826" w:right="556" w:hanging="567"/>
        <w:jc w:val="left"/>
        <w:rPr>
          <w:sz w:val="22"/>
        </w:rPr>
      </w:pPr>
      <w:r>
        <w:rPr>
          <w:sz w:val="22"/>
        </w:rPr>
        <w:t>Requirement</w:t>
      </w:r>
      <w:r>
        <w:rPr>
          <w:spacing w:val="-16"/>
          <w:sz w:val="22"/>
        </w:rPr>
        <w:t> </w:t>
      </w:r>
      <w:r>
        <w:rPr>
          <w:sz w:val="22"/>
        </w:rPr>
        <w:t>to</w:t>
      </w:r>
      <w:r>
        <w:rPr>
          <w:spacing w:val="-15"/>
          <w:sz w:val="22"/>
        </w:rPr>
        <w:t> </w:t>
      </w:r>
      <w:r>
        <w:rPr>
          <w:sz w:val="22"/>
        </w:rPr>
        <w:t>ensure</w:t>
      </w:r>
      <w:r>
        <w:rPr>
          <w:spacing w:val="-15"/>
          <w:sz w:val="22"/>
        </w:rPr>
        <w:t> </w:t>
      </w:r>
      <w:r>
        <w:rPr>
          <w:sz w:val="22"/>
        </w:rPr>
        <w:t>that</w:t>
      </w:r>
      <w:r>
        <w:rPr>
          <w:spacing w:val="-14"/>
          <w:sz w:val="22"/>
        </w:rPr>
        <w:t> </w:t>
      </w:r>
      <w:r>
        <w:rPr>
          <w:sz w:val="22"/>
        </w:rPr>
        <w:t>streetscaping</w:t>
      </w:r>
      <w:r>
        <w:rPr>
          <w:spacing w:val="-13"/>
          <w:sz w:val="22"/>
        </w:rPr>
        <w:t> </w:t>
      </w:r>
      <w:r>
        <w:rPr>
          <w:sz w:val="22"/>
        </w:rPr>
        <w:t>and</w:t>
      </w:r>
      <w:r>
        <w:rPr>
          <w:spacing w:val="-14"/>
          <w:sz w:val="22"/>
        </w:rPr>
        <w:t> </w:t>
      </w:r>
      <w:r>
        <w:rPr>
          <w:sz w:val="22"/>
        </w:rPr>
        <w:t>promotional</w:t>
      </w:r>
      <w:r>
        <w:rPr>
          <w:spacing w:val="-15"/>
          <w:sz w:val="22"/>
        </w:rPr>
        <w:t> </w:t>
      </w:r>
      <w:r>
        <w:rPr>
          <w:sz w:val="22"/>
        </w:rPr>
        <w:t>activity</w:t>
      </w:r>
      <w:r>
        <w:rPr>
          <w:spacing w:val="-14"/>
          <w:sz w:val="22"/>
        </w:rPr>
        <w:t> </w:t>
      </w:r>
      <w:r>
        <w:rPr>
          <w:sz w:val="22"/>
        </w:rPr>
        <w:t>is</w:t>
      </w:r>
      <w:r>
        <w:rPr>
          <w:spacing w:val="-15"/>
          <w:sz w:val="22"/>
        </w:rPr>
        <w:t> </w:t>
      </w:r>
      <w:r>
        <w:rPr>
          <w:sz w:val="22"/>
        </w:rPr>
        <w:t>complimentary</w:t>
      </w:r>
      <w:r>
        <w:rPr>
          <w:spacing w:val="-16"/>
          <w:sz w:val="22"/>
        </w:rPr>
        <w:t> </w:t>
      </w:r>
      <w:r>
        <w:rPr>
          <w:sz w:val="22"/>
        </w:rPr>
        <w:t>to</w:t>
      </w:r>
      <w:r>
        <w:rPr>
          <w:spacing w:val="-15"/>
          <w:sz w:val="22"/>
        </w:rPr>
        <w:t> </w:t>
      </w:r>
      <w:r>
        <w:rPr>
          <w:sz w:val="22"/>
        </w:rPr>
        <w:t>the</w:t>
      </w:r>
      <w:r>
        <w:rPr>
          <w:spacing w:val="-13"/>
          <w:sz w:val="22"/>
        </w:rPr>
        <w:t> </w:t>
      </w:r>
      <w:r>
        <w:rPr>
          <w:sz w:val="22"/>
        </w:rPr>
        <w:t>achievement of commercial and industrial objectives.</w:t>
      </w:r>
    </w:p>
    <w:p>
      <w:pPr>
        <w:pStyle w:val="BodyText"/>
        <w:spacing w:before="2"/>
      </w:pPr>
    </w:p>
    <w:p>
      <w:pPr>
        <w:pStyle w:val="Heading5"/>
        <w:spacing w:line="252" w:lineRule="exact"/>
      </w:pPr>
      <w:r>
        <w:rPr/>
        <w:t>Types</w:t>
      </w:r>
      <w:r>
        <w:rPr>
          <w:spacing w:val="-2"/>
        </w:rPr>
        <w:t> </w:t>
      </w:r>
      <w:r>
        <w:rPr/>
        <w:t>and</w:t>
      </w:r>
      <w:r>
        <w:rPr>
          <w:spacing w:val="-1"/>
        </w:rPr>
        <w:t> </w:t>
      </w:r>
      <w:r>
        <w:rPr>
          <w:spacing w:val="-2"/>
        </w:rPr>
        <w:t>Classes:</w:t>
      </w:r>
    </w:p>
    <w:p>
      <w:pPr>
        <w:pStyle w:val="BodyText"/>
        <w:spacing w:line="252" w:lineRule="exact"/>
        <w:ind w:left="260"/>
      </w:pPr>
      <w:r>
        <w:rPr/>
        <w:t>Rateable</w:t>
      </w:r>
      <w:r>
        <w:rPr>
          <w:spacing w:val="-7"/>
        </w:rPr>
        <w:t> </w:t>
      </w:r>
      <w:r>
        <w:rPr/>
        <w:t>land</w:t>
      </w:r>
      <w:r>
        <w:rPr>
          <w:spacing w:val="-3"/>
        </w:rPr>
        <w:t> </w:t>
      </w:r>
      <w:r>
        <w:rPr/>
        <w:t>having</w:t>
      </w:r>
      <w:r>
        <w:rPr>
          <w:spacing w:val="-4"/>
        </w:rPr>
        <w:t> </w:t>
      </w:r>
      <w:r>
        <w:rPr/>
        <w:t>the</w:t>
      </w:r>
      <w:r>
        <w:rPr>
          <w:spacing w:val="-4"/>
        </w:rPr>
        <w:t> </w:t>
      </w:r>
      <w:r>
        <w:rPr/>
        <w:t>relevant</w:t>
      </w:r>
      <w:r>
        <w:rPr>
          <w:spacing w:val="-2"/>
        </w:rPr>
        <w:t> </w:t>
      </w:r>
      <w:r>
        <w:rPr/>
        <w:t>characteristics</w:t>
      </w:r>
      <w:r>
        <w:rPr>
          <w:spacing w:val="-6"/>
        </w:rPr>
        <w:t> </w:t>
      </w:r>
      <w:r>
        <w:rPr/>
        <w:t>described</w:t>
      </w:r>
      <w:r>
        <w:rPr>
          <w:spacing w:val="-3"/>
        </w:rPr>
        <w:t> </w:t>
      </w:r>
      <w:r>
        <w:rPr/>
        <w:t>in</w:t>
      </w:r>
      <w:r>
        <w:rPr>
          <w:spacing w:val="-5"/>
        </w:rPr>
        <w:t> </w:t>
      </w:r>
      <w:r>
        <w:rPr/>
        <w:t>the</w:t>
      </w:r>
      <w:r>
        <w:rPr>
          <w:spacing w:val="-1"/>
        </w:rPr>
        <w:t> </w:t>
      </w:r>
      <w:r>
        <w:rPr>
          <w:spacing w:val="-2"/>
        </w:rPr>
        <w:t>definition/characteristics.</w:t>
      </w:r>
    </w:p>
    <w:p>
      <w:pPr>
        <w:pStyle w:val="BodyText"/>
      </w:pPr>
    </w:p>
    <w:p>
      <w:pPr>
        <w:pStyle w:val="Heading5"/>
        <w:spacing w:line="252" w:lineRule="exact"/>
        <w:jc w:val="both"/>
      </w:pPr>
      <w:r>
        <w:rPr/>
        <w:t>Use</w:t>
      </w:r>
      <w:r>
        <w:rPr>
          <w:spacing w:val="-2"/>
        </w:rPr>
        <w:t> </w:t>
      </w:r>
      <w:r>
        <w:rPr/>
        <w:t>and</w:t>
      </w:r>
      <w:r>
        <w:rPr>
          <w:spacing w:val="-3"/>
        </w:rPr>
        <w:t> </w:t>
      </w:r>
      <w:r>
        <w:rPr/>
        <w:t>Level</w:t>
      </w:r>
      <w:r>
        <w:rPr>
          <w:spacing w:val="-5"/>
        </w:rPr>
        <w:t> </w:t>
      </w:r>
      <w:r>
        <w:rPr/>
        <w:t>of</w:t>
      </w:r>
      <w:r>
        <w:rPr>
          <w:spacing w:val="-6"/>
        </w:rPr>
        <w:t> </w:t>
      </w:r>
      <w:r>
        <w:rPr/>
        <w:t>Differential </w:t>
      </w:r>
      <w:r>
        <w:rPr>
          <w:spacing w:val="-4"/>
        </w:rPr>
        <w:t>Rate:</w:t>
      </w:r>
    </w:p>
    <w:p>
      <w:pPr>
        <w:pStyle w:val="BodyText"/>
        <w:ind w:left="260" w:right="554"/>
        <w:jc w:val="both"/>
      </w:pPr>
      <w:r>
        <w:rPr/>
        <w:t>The</w:t>
      </w:r>
      <w:r>
        <w:rPr>
          <w:spacing w:val="-5"/>
        </w:rPr>
        <w:t> </w:t>
      </w:r>
      <w:r>
        <w:rPr/>
        <w:t>differential</w:t>
      </w:r>
      <w:r>
        <w:rPr>
          <w:spacing w:val="-7"/>
        </w:rPr>
        <w:t> </w:t>
      </w:r>
      <w:r>
        <w:rPr/>
        <w:t>rate</w:t>
      </w:r>
      <w:r>
        <w:rPr>
          <w:spacing w:val="-7"/>
        </w:rPr>
        <w:t> </w:t>
      </w:r>
      <w:r>
        <w:rPr/>
        <w:t>will</w:t>
      </w:r>
      <w:r>
        <w:rPr>
          <w:spacing w:val="-8"/>
        </w:rPr>
        <w:t> </w:t>
      </w:r>
      <w:r>
        <w:rPr/>
        <w:t>be</w:t>
      </w:r>
      <w:r>
        <w:rPr>
          <w:spacing w:val="-5"/>
        </w:rPr>
        <w:t> </w:t>
      </w:r>
      <w:r>
        <w:rPr/>
        <w:t>used</w:t>
      </w:r>
      <w:r>
        <w:rPr>
          <w:spacing w:val="-7"/>
        </w:rPr>
        <w:t> </w:t>
      </w:r>
      <w:r>
        <w:rPr/>
        <w:t>to</w:t>
      </w:r>
      <w:r>
        <w:rPr>
          <w:spacing w:val="-9"/>
        </w:rPr>
        <w:t> </w:t>
      </w:r>
      <w:r>
        <w:rPr/>
        <w:t>fund</w:t>
      </w:r>
      <w:r>
        <w:rPr>
          <w:spacing w:val="-7"/>
        </w:rPr>
        <w:t> </w:t>
      </w:r>
      <w:r>
        <w:rPr/>
        <w:t>some</w:t>
      </w:r>
      <w:r>
        <w:rPr>
          <w:spacing w:val="-9"/>
        </w:rPr>
        <w:t> </w:t>
      </w:r>
      <w:r>
        <w:rPr/>
        <w:t>of</w:t>
      </w:r>
      <w:r>
        <w:rPr>
          <w:spacing w:val="-9"/>
        </w:rPr>
        <w:t> </w:t>
      </w:r>
      <w:r>
        <w:rPr/>
        <w:t>those</w:t>
      </w:r>
      <w:r>
        <w:rPr>
          <w:spacing w:val="-5"/>
        </w:rPr>
        <w:t> </w:t>
      </w:r>
      <w:r>
        <w:rPr/>
        <w:t>items</w:t>
      </w:r>
      <w:r>
        <w:rPr>
          <w:spacing w:val="-5"/>
        </w:rPr>
        <w:t> </w:t>
      </w:r>
      <w:r>
        <w:rPr/>
        <w:t>of</w:t>
      </w:r>
      <w:r>
        <w:rPr>
          <w:spacing w:val="-3"/>
        </w:rPr>
        <w:t> </w:t>
      </w:r>
      <w:r>
        <w:rPr/>
        <w:t>expenditure</w:t>
      </w:r>
      <w:r>
        <w:rPr>
          <w:spacing w:val="-11"/>
        </w:rPr>
        <w:t> </w:t>
      </w:r>
      <w:r>
        <w:rPr/>
        <w:t>described</w:t>
      </w:r>
      <w:r>
        <w:rPr>
          <w:spacing w:val="-5"/>
        </w:rPr>
        <w:t> </w:t>
      </w:r>
      <w:r>
        <w:rPr/>
        <w:t>in</w:t>
      </w:r>
      <w:r>
        <w:rPr>
          <w:spacing w:val="-9"/>
        </w:rPr>
        <w:t> </w:t>
      </w:r>
      <w:r>
        <w:rPr/>
        <w:t>the</w:t>
      </w:r>
      <w:r>
        <w:rPr>
          <w:spacing w:val="-5"/>
        </w:rPr>
        <w:t> </w:t>
      </w:r>
      <w:r>
        <w:rPr/>
        <w:t>Budget</w:t>
      </w:r>
      <w:r>
        <w:rPr>
          <w:spacing w:val="-5"/>
        </w:rPr>
        <w:t> </w:t>
      </w:r>
      <w:r>
        <w:rPr/>
        <w:t>adopted by Council. The level of differential rate is the level which Council considers is necessary to achieve the objectives specified above.</w:t>
      </w:r>
    </w:p>
    <w:p>
      <w:pPr>
        <w:pStyle w:val="BodyText"/>
        <w:spacing w:before="1"/>
      </w:pPr>
    </w:p>
    <w:p>
      <w:pPr>
        <w:pStyle w:val="Heading5"/>
        <w:spacing w:line="252" w:lineRule="exact"/>
        <w:jc w:val="both"/>
      </w:pPr>
      <w:r>
        <w:rPr/>
        <w:t>Geographic</w:t>
      </w:r>
      <w:r>
        <w:rPr>
          <w:spacing w:val="-5"/>
        </w:rPr>
        <w:t> </w:t>
      </w:r>
      <w:r>
        <w:rPr>
          <w:spacing w:val="-2"/>
        </w:rPr>
        <w:t>Location:</w:t>
      </w:r>
    </w:p>
    <w:p>
      <w:pPr>
        <w:pStyle w:val="BodyText"/>
        <w:spacing w:line="252" w:lineRule="exact"/>
        <w:ind w:left="260"/>
      </w:pPr>
      <w:r>
        <w:rPr/>
        <w:t>Wherever</w:t>
      </w:r>
      <w:r>
        <w:rPr>
          <w:spacing w:val="-3"/>
        </w:rPr>
        <w:t> </w:t>
      </w:r>
      <w:r>
        <w:rPr/>
        <w:t>located</w:t>
      </w:r>
      <w:r>
        <w:rPr>
          <w:spacing w:val="-2"/>
        </w:rPr>
        <w:t> </w:t>
      </w:r>
      <w:r>
        <w:rPr/>
        <w:t>within</w:t>
      </w:r>
      <w:r>
        <w:rPr>
          <w:spacing w:val="-7"/>
        </w:rPr>
        <w:t> </w:t>
      </w:r>
      <w:r>
        <w:rPr/>
        <w:t>the</w:t>
      </w:r>
      <w:r>
        <w:rPr>
          <w:spacing w:val="-5"/>
        </w:rPr>
        <w:t> </w:t>
      </w:r>
      <w:r>
        <w:rPr/>
        <w:t>municipal</w:t>
      </w:r>
      <w:r>
        <w:rPr>
          <w:spacing w:val="-3"/>
        </w:rPr>
        <w:t> </w:t>
      </w:r>
      <w:r>
        <w:rPr>
          <w:spacing w:val="-2"/>
        </w:rPr>
        <w:t>district.</w:t>
      </w:r>
    </w:p>
    <w:p>
      <w:pPr>
        <w:pStyle w:val="BodyText"/>
      </w:pPr>
    </w:p>
    <w:p>
      <w:pPr>
        <w:pStyle w:val="Heading5"/>
        <w:jc w:val="both"/>
      </w:pPr>
      <w:r>
        <w:rPr/>
        <w:t>Use of</w:t>
      </w:r>
      <w:r>
        <w:rPr>
          <w:spacing w:val="-1"/>
        </w:rPr>
        <w:t> </w:t>
      </w:r>
      <w:r>
        <w:rPr>
          <w:spacing w:val="-4"/>
        </w:rPr>
        <w:t>Land:</w:t>
      </w:r>
    </w:p>
    <w:p>
      <w:pPr>
        <w:pStyle w:val="BodyText"/>
        <w:spacing w:before="2"/>
        <w:ind w:left="260"/>
        <w:jc w:val="both"/>
      </w:pPr>
      <w:r>
        <w:rPr/>
        <w:t>Any</w:t>
      </w:r>
      <w:r>
        <w:rPr>
          <w:spacing w:val="-3"/>
        </w:rPr>
        <w:t> </w:t>
      </w:r>
      <w:r>
        <w:rPr/>
        <w:t>use</w:t>
      </w:r>
      <w:r>
        <w:rPr>
          <w:spacing w:val="-3"/>
        </w:rPr>
        <w:t> </w:t>
      </w:r>
      <w:r>
        <w:rPr/>
        <w:t>permitted</w:t>
      </w:r>
      <w:r>
        <w:rPr>
          <w:spacing w:val="-5"/>
        </w:rPr>
        <w:t> </w:t>
      </w:r>
      <w:r>
        <w:rPr/>
        <w:t>under</w:t>
      </w:r>
      <w:r>
        <w:rPr>
          <w:spacing w:val="-2"/>
        </w:rPr>
        <w:t> </w:t>
      </w:r>
      <w:r>
        <w:rPr/>
        <w:t>the</w:t>
      </w:r>
      <w:r>
        <w:rPr>
          <w:spacing w:val="-5"/>
        </w:rPr>
        <w:t> </w:t>
      </w:r>
      <w:r>
        <w:rPr/>
        <w:t>relevant</w:t>
      </w:r>
      <w:r>
        <w:rPr>
          <w:spacing w:val="-3"/>
        </w:rPr>
        <w:t> </w:t>
      </w:r>
      <w:r>
        <w:rPr/>
        <w:t>Planning</w:t>
      </w:r>
      <w:r>
        <w:rPr>
          <w:spacing w:val="-1"/>
        </w:rPr>
        <w:t> </w:t>
      </w:r>
      <w:r>
        <w:rPr>
          <w:spacing w:val="-2"/>
        </w:rPr>
        <w:t>Scheme.</w:t>
      </w:r>
    </w:p>
    <w:p>
      <w:pPr>
        <w:pStyle w:val="BodyText"/>
        <w:spacing w:before="9"/>
        <w:rPr>
          <w:sz w:val="21"/>
        </w:rPr>
      </w:pPr>
    </w:p>
    <w:p>
      <w:pPr>
        <w:pStyle w:val="Heading5"/>
        <w:jc w:val="both"/>
      </w:pPr>
      <w:r>
        <w:rPr/>
        <w:t>Planning</w:t>
      </w:r>
      <w:r>
        <w:rPr>
          <w:spacing w:val="-4"/>
        </w:rPr>
        <w:t> </w:t>
      </w:r>
      <w:r>
        <w:rPr/>
        <w:t>Scheme</w:t>
      </w:r>
      <w:r>
        <w:rPr>
          <w:spacing w:val="-2"/>
        </w:rPr>
        <w:t> Zoning:</w:t>
      </w:r>
    </w:p>
    <w:p>
      <w:pPr>
        <w:pStyle w:val="BodyText"/>
        <w:spacing w:before="2"/>
        <w:ind w:left="260" w:right="555"/>
        <w:jc w:val="both"/>
      </w:pPr>
      <w:r>
        <w:rPr/>
        <w:t>The</w:t>
      </w:r>
      <w:r>
        <w:rPr>
          <w:spacing w:val="-2"/>
        </w:rPr>
        <w:t> </w:t>
      </w:r>
      <w:r>
        <w:rPr/>
        <w:t>zoning</w:t>
      </w:r>
      <w:r>
        <w:rPr>
          <w:spacing w:val="-4"/>
        </w:rPr>
        <w:t> </w:t>
      </w:r>
      <w:r>
        <w:rPr/>
        <w:t>applicable</w:t>
      </w:r>
      <w:r>
        <w:rPr>
          <w:spacing w:val="-4"/>
        </w:rPr>
        <w:t> </w:t>
      </w:r>
      <w:r>
        <w:rPr/>
        <w:t>to</w:t>
      </w:r>
      <w:r>
        <w:rPr>
          <w:spacing w:val="-7"/>
        </w:rPr>
        <w:t> </w:t>
      </w:r>
      <w:r>
        <w:rPr/>
        <w:t>each</w:t>
      </w:r>
      <w:r>
        <w:rPr>
          <w:spacing w:val="-4"/>
        </w:rPr>
        <w:t> </w:t>
      </w:r>
      <w:r>
        <w:rPr/>
        <w:t>rateable</w:t>
      </w:r>
      <w:r>
        <w:rPr>
          <w:spacing w:val="-6"/>
        </w:rPr>
        <w:t> </w:t>
      </w:r>
      <w:r>
        <w:rPr/>
        <w:t>land</w:t>
      </w:r>
      <w:r>
        <w:rPr>
          <w:spacing w:val="-2"/>
        </w:rPr>
        <w:t> </w:t>
      </w:r>
      <w:r>
        <w:rPr/>
        <w:t>within</w:t>
      </w:r>
      <w:r>
        <w:rPr>
          <w:spacing w:val="-6"/>
        </w:rPr>
        <w:t> </w:t>
      </w:r>
      <w:r>
        <w:rPr/>
        <w:t>this</w:t>
      </w:r>
      <w:r>
        <w:rPr>
          <w:spacing w:val="-4"/>
        </w:rPr>
        <w:t> </w:t>
      </w:r>
      <w:r>
        <w:rPr/>
        <w:t>category,</w:t>
      </w:r>
      <w:r>
        <w:rPr>
          <w:spacing w:val="-2"/>
        </w:rPr>
        <w:t> </w:t>
      </w:r>
      <w:r>
        <w:rPr/>
        <w:t>as</w:t>
      </w:r>
      <w:r>
        <w:rPr>
          <w:spacing w:val="-4"/>
        </w:rPr>
        <w:t> </w:t>
      </w:r>
      <w:r>
        <w:rPr/>
        <w:t>determined</w:t>
      </w:r>
      <w:r>
        <w:rPr>
          <w:spacing w:val="-2"/>
        </w:rPr>
        <w:t> </w:t>
      </w:r>
      <w:r>
        <w:rPr/>
        <w:t>by</w:t>
      </w:r>
      <w:r>
        <w:rPr>
          <w:spacing w:val="-4"/>
        </w:rPr>
        <w:t> </w:t>
      </w:r>
      <w:r>
        <w:rPr/>
        <w:t>consulting</w:t>
      </w:r>
      <w:r>
        <w:rPr>
          <w:spacing w:val="-4"/>
        </w:rPr>
        <w:t> </w:t>
      </w:r>
      <w:r>
        <w:rPr/>
        <w:t>maps</w:t>
      </w:r>
      <w:r>
        <w:rPr>
          <w:spacing w:val="-4"/>
        </w:rPr>
        <w:t> </w:t>
      </w:r>
      <w:r>
        <w:rPr/>
        <w:t>referred to in the relevant Planning Scheme.</w:t>
      </w:r>
    </w:p>
    <w:p>
      <w:pPr>
        <w:spacing w:after="0"/>
        <w:jc w:val="both"/>
        <w:sectPr>
          <w:pgSz w:w="11910" w:h="16840"/>
          <w:pgMar w:header="0" w:footer="375" w:top="620" w:bottom="560" w:left="460" w:right="160"/>
        </w:sectPr>
      </w:pPr>
    </w:p>
    <w:p>
      <w:pPr>
        <w:pStyle w:val="Heading5"/>
        <w:spacing w:line="252" w:lineRule="exact" w:before="81"/>
      </w:pPr>
      <w:r>
        <w:rPr/>
        <w:t>Types</w:t>
      </w:r>
      <w:r>
        <w:rPr>
          <w:spacing w:val="-3"/>
        </w:rPr>
        <w:t> </w:t>
      </w:r>
      <w:r>
        <w:rPr/>
        <w:t>of</w:t>
      </w:r>
      <w:r>
        <w:rPr>
          <w:spacing w:val="-1"/>
        </w:rPr>
        <w:t> </w:t>
      </w:r>
      <w:r>
        <w:rPr>
          <w:spacing w:val="-2"/>
        </w:rPr>
        <w:t>Buildings:</w:t>
      </w:r>
    </w:p>
    <w:p>
      <w:pPr>
        <w:pStyle w:val="BodyText"/>
        <w:ind w:left="260" w:right="445"/>
      </w:pPr>
      <w:r>
        <w:rPr/>
        <w:t>All</w:t>
      </w:r>
      <w:r>
        <w:rPr>
          <w:spacing w:val="-16"/>
        </w:rPr>
        <w:t> </w:t>
      </w:r>
      <w:r>
        <w:rPr/>
        <w:t>buildings</w:t>
      </w:r>
      <w:r>
        <w:rPr>
          <w:spacing w:val="-15"/>
        </w:rPr>
        <w:t> </w:t>
      </w:r>
      <w:r>
        <w:rPr/>
        <w:t>which</w:t>
      </w:r>
      <w:r>
        <w:rPr>
          <w:spacing w:val="-15"/>
        </w:rPr>
        <w:t> </w:t>
      </w:r>
      <w:r>
        <w:rPr/>
        <w:t>are</w:t>
      </w:r>
      <w:r>
        <w:rPr>
          <w:spacing w:val="-16"/>
        </w:rPr>
        <w:t> </w:t>
      </w:r>
      <w:r>
        <w:rPr/>
        <w:t>now</w:t>
      </w:r>
      <w:r>
        <w:rPr>
          <w:spacing w:val="-15"/>
        </w:rPr>
        <w:t> </w:t>
      </w:r>
      <w:r>
        <w:rPr/>
        <w:t>constructed</w:t>
      </w:r>
      <w:r>
        <w:rPr>
          <w:spacing w:val="-15"/>
        </w:rPr>
        <w:t> </w:t>
      </w:r>
      <w:r>
        <w:rPr/>
        <w:t>on</w:t>
      </w:r>
      <w:r>
        <w:rPr>
          <w:spacing w:val="-15"/>
        </w:rPr>
        <w:t> </w:t>
      </w:r>
      <w:r>
        <w:rPr/>
        <w:t>the</w:t>
      </w:r>
      <w:r>
        <w:rPr>
          <w:spacing w:val="-16"/>
        </w:rPr>
        <w:t> </w:t>
      </w:r>
      <w:r>
        <w:rPr/>
        <w:t>land,</w:t>
      </w:r>
      <w:r>
        <w:rPr>
          <w:spacing w:val="-15"/>
        </w:rPr>
        <w:t> </w:t>
      </w:r>
      <w:r>
        <w:rPr/>
        <w:t>or</w:t>
      </w:r>
      <w:r>
        <w:rPr>
          <w:spacing w:val="-15"/>
        </w:rPr>
        <w:t> </w:t>
      </w:r>
      <w:r>
        <w:rPr/>
        <w:t>which</w:t>
      </w:r>
      <w:r>
        <w:rPr>
          <w:spacing w:val="-14"/>
        </w:rPr>
        <w:t> </w:t>
      </w:r>
      <w:r>
        <w:rPr/>
        <w:t>are</w:t>
      </w:r>
      <w:r>
        <w:rPr>
          <w:spacing w:val="-16"/>
        </w:rPr>
        <w:t> </w:t>
      </w:r>
      <w:r>
        <w:rPr/>
        <w:t>constructed</w:t>
      </w:r>
      <w:r>
        <w:rPr>
          <w:spacing w:val="-15"/>
        </w:rPr>
        <w:t> </w:t>
      </w:r>
      <w:r>
        <w:rPr/>
        <w:t>prior</w:t>
      </w:r>
      <w:r>
        <w:rPr>
          <w:spacing w:val="-16"/>
        </w:rPr>
        <w:t> </w:t>
      </w:r>
      <w:r>
        <w:rPr/>
        <w:t>to</w:t>
      </w:r>
      <w:r>
        <w:rPr>
          <w:spacing w:val="-15"/>
        </w:rPr>
        <w:t> </w:t>
      </w:r>
      <w:r>
        <w:rPr/>
        <w:t>the</w:t>
      </w:r>
      <w:r>
        <w:rPr>
          <w:spacing w:val="-15"/>
        </w:rPr>
        <w:t> </w:t>
      </w:r>
      <w:r>
        <w:rPr/>
        <w:t>expiry</w:t>
      </w:r>
      <w:r>
        <w:rPr>
          <w:spacing w:val="-15"/>
        </w:rPr>
        <w:t> </w:t>
      </w:r>
      <w:r>
        <w:rPr/>
        <w:t>of</w:t>
      </w:r>
      <w:r>
        <w:rPr>
          <w:spacing w:val="-14"/>
        </w:rPr>
        <w:t> </w:t>
      </w:r>
      <w:r>
        <w:rPr/>
        <w:t>the</w:t>
      </w:r>
      <w:r>
        <w:rPr>
          <w:spacing w:val="-16"/>
        </w:rPr>
        <w:t> </w:t>
      </w:r>
      <w:r>
        <w:rPr/>
        <w:t>relevant financial year.</w:t>
      </w:r>
    </w:p>
    <w:p>
      <w:pPr>
        <w:pStyle w:val="BodyText"/>
        <w:spacing w:before="2"/>
      </w:pPr>
    </w:p>
    <w:p>
      <w:pPr>
        <w:spacing w:before="0"/>
        <w:ind w:left="260" w:right="0" w:firstLine="0"/>
        <w:jc w:val="left"/>
        <w:rPr>
          <w:b/>
          <w:sz w:val="22"/>
        </w:rPr>
      </w:pPr>
      <w:r>
        <w:rPr>
          <w:b/>
          <w:sz w:val="22"/>
          <w:u w:val="single"/>
        </w:rPr>
        <w:t>Cultural</w:t>
      </w:r>
      <w:r>
        <w:rPr>
          <w:b/>
          <w:spacing w:val="-4"/>
          <w:sz w:val="22"/>
          <w:u w:val="single"/>
        </w:rPr>
        <w:t> </w:t>
      </w:r>
      <w:r>
        <w:rPr>
          <w:b/>
          <w:sz w:val="22"/>
          <w:u w:val="single"/>
        </w:rPr>
        <w:t>and</w:t>
      </w:r>
      <w:r>
        <w:rPr>
          <w:b/>
          <w:spacing w:val="-8"/>
          <w:sz w:val="22"/>
          <w:u w:val="single"/>
        </w:rPr>
        <w:t> </w:t>
      </w:r>
      <w:r>
        <w:rPr>
          <w:b/>
          <w:sz w:val="22"/>
          <w:u w:val="single"/>
        </w:rPr>
        <w:t>Recreational</w:t>
      </w:r>
      <w:r>
        <w:rPr>
          <w:b/>
          <w:spacing w:val="-3"/>
          <w:sz w:val="22"/>
          <w:u w:val="single"/>
        </w:rPr>
        <w:t> </w:t>
      </w:r>
      <w:r>
        <w:rPr>
          <w:b/>
          <w:spacing w:val="-4"/>
          <w:sz w:val="22"/>
          <w:u w:val="single"/>
        </w:rPr>
        <w:t>Land</w:t>
      </w:r>
    </w:p>
    <w:p>
      <w:pPr>
        <w:pStyle w:val="BodyText"/>
        <w:spacing w:before="8"/>
        <w:rPr>
          <w:b/>
          <w:sz w:val="13"/>
        </w:rPr>
      </w:pPr>
    </w:p>
    <w:p>
      <w:pPr>
        <w:pStyle w:val="Heading5"/>
        <w:spacing w:before="93"/>
      </w:pPr>
      <w:r>
        <w:rPr>
          <w:spacing w:val="-2"/>
        </w:rPr>
        <w:t>Definitions/Characteristics:</w:t>
      </w:r>
    </w:p>
    <w:p>
      <w:pPr>
        <w:pStyle w:val="BodyText"/>
        <w:spacing w:before="2"/>
        <w:ind w:left="260" w:right="445"/>
      </w:pPr>
      <w:r>
        <w:rPr/>
        <w:t>Any</w:t>
      </w:r>
      <w:r>
        <w:rPr>
          <w:spacing w:val="-8"/>
        </w:rPr>
        <w:t> </w:t>
      </w:r>
      <w:r>
        <w:rPr/>
        <w:t>land</w:t>
      </w:r>
      <w:r>
        <w:rPr>
          <w:spacing w:val="-10"/>
        </w:rPr>
        <w:t> </w:t>
      </w:r>
      <w:r>
        <w:rPr/>
        <w:t>upon</w:t>
      </w:r>
      <w:r>
        <w:rPr>
          <w:spacing w:val="-8"/>
        </w:rPr>
        <w:t> </w:t>
      </w:r>
      <w:r>
        <w:rPr/>
        <w:t>which</w:t>
      </w:r>
      <w:r>
        <w:rPr>
          <w:spacing w:val="-10"/>
        </w:rPr>
        <w:t> </w:t>
      </w:r>
      <w:r>
        <w:rPr/>
        <w:t>sporting,</w:t>
      </w:r>
      <w:r>
        <w:rPr>
          <w:spacing w:val="-10"/>
        </w:rPr>
        <w:t> </w:t>
      </w:r>
      <w:r>
        <w:rPr/>
        <w:t>recreational</w:t>
      </w:r>
      <w:r>
        <w:rPr>
          <w:spacing w:val="-11"/>
        </w:rPr>
        <w:t> </w:t>
      </w:r>
      <w:r>
        <w:rPr/>
        <w:t>or</w:t>
      </w:r>
      <w:r>
        <w:rPr>
          <w:spacing w:val="-7"/>
        </w:rPr>
        <w:t> </w:t>
      </w:r>
      <w:r>
        <w:rPr/>
        <w:t>cultural</w:t>
      </w:r>
      <w:r>
        <w:rPr>
          <w:spacing w:val="-8"/>
        </w:rPr>
        <w:t> </w:t>
      </w:r>
      <w:r>
        <w:rPr/>
        <w:t>activities</w:t>
      </w:r>
      <w:r>
        <w:rPr>
          <w:spacing w:val="-8"/>
        </w:rPr>
        <w:t> </w:t>
      </w:r>
      <w:r>
        <w:rPr/>
        <w:t>are</w:t>
      </w:r>
      <w:r>
        <w:rPr>
          <w:spacing w:val="-11"/>
        </w:rPr>
        <w:t> </w:t>
      </w:r>
      <w:r>
        <w:rPr/>
        <w:t>conducted,</w:t>
      </w:r>
      <w:r>
        <w:rPr>
          <w:spacing w:val="-6"/>
        </w:rPr>
        <w:t> </w:t>
      </w:r>
      <w:r>
        <w:rPr/>
        <w:t>including</w:t>
      </w:r>
      <w:r>
        <w:rPr>
          <w:spacing w:val="-10"/>
        </w:rPr>
        <w:t> </w:t>
      </w:r>
      <w:r>
        <w:rPr/>
        <w:t>buildings</w:t>
      </w:r>
      <w:r>
        <w:rPr>
          <w:spacing w:val="-8"/>
        </w:rPr>
        <w:t> </w:t>
      </w:r>
      <w:r>
        <w:rPr/>
        <w:t>which</w:t>
      </w:r>
      <w:r>
        <w:rPr>
          <w:spacing w:val="-10"/>
        </w:rPr>
        <w:t> </w:t>
      </w:r>
      <w:r>
        <w:rPr/>
        <w:t>may be ancillary to such activities, in accordance with the Cultural and Recreational Lands Act 1963.</w:t>
      </w:r>
    </w:p>
    <w:p>
      <w:pPr>
        <w:pStyle w:val="BodyText"/>
        <w:spacing w:before="10"/>
        <w:rPr>
          <w:sz w:val="21"/>
        </w:rPr>
      </w:pPr>
    </w:p>
    <w:p>
      <w:pPr>
        <w:pStyle w:val="Heading5"/>
        <w:spacing w:line="252" w:lineRule="exact" w:before="1"/>
      </w:pPr>
      <w:r>
        <w:rPr>
          <w:spacing w:val="-2"/>
        </w:rPr>
        <w:t>Objective:</w:t>
      </w:r>
    </w:p>
    <w:p>
      <w:pPr>
        <w:pStyle w:val="BodyText"/>
        <w:ind w:left="260" w:right="445"/>
      </w:pPr>
      <w:r>
        <w:rPr/>
        <w:t>To</w:t>
      </w:r>
      <w:r>
        <w:rPr>
          <w:spacing w:val="28"/>
        </w:rPr>
        <w:t> </w:t>
      </w:r>
      <w:r>
        <w:rPr/>
        <w:t>ensure</w:t>
      </w:r>
      <w:r>
        <w:rPr>
          <w:spacing w:val="26"/>
        </w:rPr>
        <w:t> </w:t>
      </w:r>
      <w:r>
        <w:rPr/>
        <w:t>that</w:t>
      </w:r>
      <w:r>
        <w:rPr>
          <w:spacing w:val="27"/>
        </w:rPr>
        <w:t> </w:t>
      </w:r>
      <w:r>
        <w:rPr/>
        <w:t>all</w:t>
      </w:r>
      <w:r>
        <w:rPr>
          <w:spacing w:val="26"/>
        </w:rPr>
        <w:t> </w:t>
      </w:r>
      <w:r>
        <w:rPr/>
        <w:t>rateable</w:t>
      </w:r>
      <w:r>
        <w:rPr>
          <w:spacing w:val="26"/>
        </w:rPr>
        <w:t> </w:t>
      </w:r>
      <w:r>
        <w:rPr/>
        <w:t>land</w:t>
      </w:r>
      <w:r>
        <w:rPr>
          <w:spacing w:val="27"/>
        </w:rPr>
        <w:t> </w:t>
      </w:r>
      <w:r>
        <w:rPr/>
        <w:t>makes</w:t>
      </w:r>
      <w:r>
        <w:rPr>
          <w:spacing w:val="27"/>
        </w:rPr>
        <w:t> </w:t>
      </w:r>
      <w:r>
        <w:rPr/>
        <w:t>an</w:t>
      </w:r>
      <w:r>
        <w:rPr>
          <w:spacing w:val="27"/>
        </w:rPr>
        <w:t> </w:t>
      </w:r>
      <w:r>
        <w:rPr/>
        <w:t>equitable</w:t>
      </w:r>
      <w:r>
        <w:rPr>
          <w:spacing w:val="26"/>
        </w:rPr>
        <w:t> </w:t>
      </w:r>
      <w:r>
        <w:rPr/>
        <w:t>financial</w:t>
      </w:r>
      <w:r>
        <w:rPr>
          <w:spacing w:val="27"/>
        </w:rPr>
        <w:t> </w:t>
      </w:r>
      <w:r>
        <w:rPr/>
        <w:t>contribution</w:t>
      </w:r>
      <w:r>
        <w:rPr>
          <w:spacing w:val="26"/>
        </w:rPr>
        <w:t> </w:t>
      </w:r>
      <w:r>
        <w:rPr/>
        <w:t>to</w:t>
      </w:r>
      <w:r>
        <w:rPr>
          <w:spacing w:val="23"/>
        </w:rPr>
        <w:t> </w:t>
      </w:r>
      <w:r>
        <w:rPr/>
        <w:t>the</w:t>
      </w:r>
      <w:r>
        <w:rPr>
          <w:spacing w:val="28"/>
        </w:rPr>
        <w:t> </w:t>
      </w:r>
      <w:r>
        <w:rPr/>
        <w:t>cost</w:t>
      </w:r>
      <w:r>
        <w:rPr>
          <w:spacing w:val="29"/>
        </w:rPr>
        <w:t> </w:t>
      </w:r>
      <w:r>
        <w:rPr/>
        <w:t>of</w:t>
      </w:r>
      <w:r>
        <w:rPr>
          <w:spacing w:val="29"/>
        </w:rPr>
        <w:t> </w:t>
      </w:r>
      <w:r>
        <w:rPr/>
        <w:t>carrying</w:t>
      </w:r>
      <w:r>
        <w:rPr>
          <w:spacing w:val="26"/>
        </w:rPr>
        <w:t> </w:t>
      </w:r>
      <w:r>
        <w:rPr/>
        <w:t>out</w:t>
      </w:r>
      <w:r>
        <w:rPr>
          <w:spacing w:val="27"/>
        </w:rPr>
        <w:t> </w:t>
      </w:r>
      <w:r>
        <w:rPr/>
        <w:t>the functions of Council, including:</w:t>
      </w:r>
    </w:p>
    <w:p>
      <w:pPr>
        <w:pStyle w:val="BodyText"/>
        <w:spacing w:before="1"/>
      </w:pPr>
    </w:p>
    <w:p>
      <w:pPr>
        <w:pStyle w:val="ListParagraph"/>
        <w:numPr>
          <w:ilvl w:val="0"/>
          <w:numId w:val="64"/>
        </w:numPr>
        <w:tabs>
          <w:tab w:pos="826" w:val="left" w:leader="none"/>
          <w:tab w:pos="827" w:val="left" w:leader="none"/>
        </w:tabs>
        <w:spacing w:line="252" w:lineRule="exact" w:before="0" w:after="0"/>
        <w:ind w:left="827" w:right="0" w:hanging="567"/>
        <w:jc w:val="left"/>
        <w:rPr>
          <w:sz w:val="22"/>
        </w:rPr>
      </w:pPr>
      <w:r>
        <w:rPr>
          <w:sz w:val="22"/>
        </w:rPr>
        <w:t>Construction</w:t>
      </w:r>
      <w:r>
        <w:rPr>
          <w:spacing w:val="-4"/>
          <w:sz w:val="22"/>
        </w:rPr>
        <w:t> </w:t>
      </w:r>
      <w:r>
        <w:rPr>
          <w:sz w:val="22"/>
        </w:rPr>
        <w:t>and</w:t>
      </w:r>
      <w:r>
        <w:rPr>
          <w:spacing w:val="-7"/>
          <w:sz w:val="22"/>
        </w:rPr>
        <w:t> </w:t>
      </w:r>
      <w:r>
        <w:rPr>
          <w:sz w:val="22"/>
        </w:rPr>
        <w:t>maintenance</w:t>
      </w:r>
      <w:r>
        <w:rPr>
          <w:spacing w:val="-5"/>
          <w:sz w:val="22"/>
        </w:rPr>
        <w:t> </w:t>
      </w:r>
      <w:r>
        <w:rPr>
          <w:sz w:val="22"/>
        </w:rPr>
        <w:t>of</w:t>
      </w:r>
      <w:r>
        <w:rPr>
          <w:spacing w:val="-5"/>
          <w:sz w:val="22"/>
        </w:rPr>
        <w:t> </w:t>
      </w:r>
      <w:r>
        <w:rPr>
          <w:sz w:val="22"/>
        </w:rPr>
        <w:t>public</w:t>
      </w:r>
      <w:r>
        <w:rPr>
          <w:spacing w:val="-5"/>
          <w:sz w:val="22"/>
        </w:rPr>
        <w:t> </w:t>
      </w:r>
      <w:r>
        <w:rPr>
          <w:sz w:val="22"/>
        </w:rPr>
        <w:t>infrastructure;</w:t>
      </w:r>
      <w:r>
        <w:rPr>
          <w:spacing w:val="-5"/>
          <w:sz w:val="22"/>
        </w:rPr>
        <w:t> and</w:t>
      </w:r>
    </w:p>
    <w:p>
      <w:pPr>
        <w:pStyle w:val="ListParagraph"/>
        <w:numPr>
          <w:ilvl w:val="0"/>
          <w:numId w:val="64"/>
        </w:numPr>
        <w:tabs>
          <w:tab w:pos="826" w:val="left" w:leader="none"/>
          <w:tab w:pos="827" w:val="left" w:leader="none"/>
        </w:tabs>
        <w:spacing w:line="252" w:lineRule="exact" w:before="0" w:after="0"/>
        <w:ind w:left="827" w:right="0" w:hanging="567"/>
        <w:jc w:val="left"/>
        <w:rPr>
          <w:sz w:val="22"/>
        </w:rPr>
      </w:pPr>
      <w:r>
        <w:rPr>
          <w:sz w:val="22"/>
        </w:rPr>
        <w:t>Development</w:t>
      </w:r>
      <w:r>
        <w:rPr>
          <w:spacing w:val="-3"/>
          <w:sz w:val="22"/>
        </w:rPr>
        <w:t> </w:t>
      </w:r>
      <w:r>
        <w:rPr>
          <w:sz w:val="22"/>
        </w:rPr>
        <w:t>and</w:t>
      </w:r>
      <w:r>
        <w:rPr>
          <w:spacing w:val="-7"/>
          <w:sz w:val="22"/>
        </w:rPr>
        <w:t> </w:t>
      </w:r>
      <w:r>
        <w:rPr>
          <w:sz w:val="22"/>
        </w:rPr>
        <w:t>provision</w:t>
      </w:r>
      <w:r>
        <w:rPr>
          <w:spacing w:val="-4"/>
          <w:sz w:val="22"/>
        </w:rPr>
        <w:t> </w:t>
      </w:r>
      <w:r>
        <w:rPr>
          <w:sz w:val="22"/>
        </w:rPr>
        <w:t>of</w:t>
      </w:r>
      <w:r>
        <w:rPr>
          <w:spacing w:val="-4"/>
          <w:sz w:val="22"/>
        </w:rPr>
        <w:t> </w:t>
      </w:r>
      <w:r>
        <w:rPr>
          <w:sz w:val="22"/>
        </w:rPr>
        <w:t>health</w:t>
      </w:r>
      <w:r>
        <w:rPr>
          <w:spacing w:val="-3"/>
          <w:sz w:val="22"/>
        </w:rPr>
        <w:t> </w:t>
      </w:r>
      <w:r>
        <w:rPr>
          <w:sz w:val="22"/>
        </w:rPr>
        <w:t>and</w:t>
      </w:r>
      <w:r>
        <w:rPr>
          <w:spacing w:val="-6"/>
          <w:sz w:val="22"/>
        </w:rPr>
        <w:t> </w:t>
      </w:r>
      <w:r>
        <w:rPr>
          <w:sz w:val="22"/>
        </w:rPr>
        <w:t>community</w:t>
      </w:r>
      <w:r>
        <w:rPr>
          <w:spacing w:val="-3"/>
          <w:sz w:val="22"/>
        </w:rPr>
        <w:t> </w:t>
      </w:r>
      <w:r>
        <w:rPr>
          <w:sz w:val="22"/>
        </w:rPr>
        <w:t>services;</w:t>
      </w:r>
      <w:r>
        <w:rPr>
          <w:spacing w:val="-3"/>
          <w:sz w:val="22"/>
        </w:rPr>
        <w:t> </w:t>
      </w:r>
      <w:r>
        <w:rPr>
          <w:spacing w:val="-5"/>
          <w:sz w:val="22"/>
        </w:rPr>
        <w:t>and</w:t>
      </w:r>
    </w:p>
    <w:p>
      <w:pPr>
        <w:pStyle w:val="ListParagraph"/>
        <w:numPr>
          <w:ilvl w:val="0"/>
          <w:numId w:val="64"/>
        </w:numPr>
        <w:tabs>
          <w:tab w:pos="826" w:val="left" w:leader="none"/>
          <w:tab w:pos="827" w:val="left" w:leader="none"/>
        </w:tabs>
        <w:spacing w:line="252" w:lineRule="exact" w:before="1" w:after="0"/>
        <w:ind w:left="827" w:right="0" w:hanging="567"/>
        <w:jc w:val="left"/>
        <w:rPr>
          <w:sz w:val="22"/>
        </w:rPr>
      </w:pPr>
      <w:r>
        <w:rPr>
          <w:sz w:val="22"/>
        </w:rPr>
        <w:t>Provision</w:t>
      </w:r>
      <w:r>
        <w:rPr>
          <w:spacing w:val="-4"/>
          <w:sz w:val="22"/>
        </w:rPr>
        <w:t> </w:t>
      </w:r>
      <w:r>
        <w:rPr>
          <w:sz w:val="22"/>
        </w:rPr>
        <w:t>of</w:t>
      </w:r>
      <w:r>
        <w:rPr>
          <w:spacing w:val="-3"/>
          <w:sz w:val="22"/>
        </w:rPr>
        <w:t> </w:t>
      </w:r>
      <w:r>
        <w:rPr>
          <w:sz w:val="22"/>
        </w:rPr>
        <w:t>general</w:t>
      </w:r>
      <w:r>
        <w:rPr>
          <w:spacing w:val="-4"/>
          <w:sz w:val="22"/>
        </w:rPr>
        <w:t> </w:t>
      </w:r>
      <w:r>
        <w:rPr>
          <w:sz w:val="22"/>
        </w:rPr>
        <w:t>support</w:t>
      </w:r>
      <w:r>
        <w:rPr>
          <w:spacing w:val="-5"/>
          <w:sz w:val="22"/>
        </w:rPr>
        <w:t> </w:t>
      </w:r>
      <w:r>
        <w:rPr>
          <w:sz w:val="22"/>
        </w:rPr>
        <w:t>services;</w:t>
      </w:r>
      <w:r>
        <w:rPr>
          <w:spacing w:val="-1"/>
          <w:sz w:val="22"/>
        </w:rPr>
        <w:t> </w:t>
      </w:r>
      <w:r>
        <w:rPr>
          <w:spacing w:val="-5"/>
          <w:sz w:val="22"/>
        </w:rPr>
        <w:t>and</w:t>
      </w:r>
    </w:p>
    <w:p>
      <w:pPr>
        <w:pStyle w:val="ListParagraph"/>
        <w:numPr>
          <w:ilvl w:val="0"/>
          <w:numId w:val="64"/>
        </w:numPr>
        <w:tabs>
          <w:tab w:pos="826" w:val="left" w:leader="none"/>
          <w:tab w:pos="827" w:val="left" w:leader="none"/>
        </w:tabs>
        <w:spacing w:line="240" w:lineRule="auto" w:before="0" w:after="0"/>
        <w:ind w:left="826" w:right="557" w:hanging="567"/>
        <w:jc w:val="left"/>
        <w:rPr>
          <w:sz w:val="22"/>
        </w:rPr>
      </w:pPr>
      <w:r>
        <w:rPr>
          <w:sz w:val="22"/>
        </w:rPr>
        <w:t>Requirement</w:t>
      </w:r>
      <w:r>
        <w:rPr>
          <w:spacing w:val="25"/>
          <w:sz w:val="22"/>
        </w:rPr>
        <w:t> </w:t>
      </w:r>
      <w:r>
        <w:rPr>
          <w:sz w:val="22"/>
        </w:rPr>
        <w:t>to</w:t>
      </w:r>
      <w:r>
        <w:rPr>
          <w:spacing w:val="25"/>
          <w:sz w:val="22"/>
        </w:rPr>
        <w:t> </w:t>
      </w:r>
      <w:r>
        <w:rPr>
          <w:sz w:val="22"/>
        </w:rPr>
        <w:t>ensure that</w:t>
      </w:r>
      <w:r>
        <w:rPr>
          <w:spacing w:val="26"/>
          <w:sz w:val="22"/>
        </w:rPr>
        <w:t> </w:t>
      </w:r>
      <w:r>
        <w:rPr>
          <w:sz w:val="22"/>
        </w:rPr>
        <w:t>Council has</w:t>
      </w:r>
      <w:r>
        <w:rPr>
          <w:spacing w:val="25"/>
          <w:sz w:val="22"/>
        </w:rPr>
        <w:t> </w:t>
      </w:r>
      <w:r>
        <w:rPr>
          <w:sz w:val="22"/>
        </w:rPr>
        <w:t>adequate</w:t>
      </w:r>
      <w:r>
        <w:rPr>
          <w:spacing w:val="25"/>
          <w:sz w:val="22"/>
        </w:rPr>
        <w:t> </w:t>
      </w:r>
      <w:r>
        <w:rPr>
          <w:sz w:val="22"/>
        </w:rPr>
        <w:t>funding</w:t>
      </w:r>
      <w:r>
        <w:rPr>
          <w:spacing w:val="25"/>
          <w:sz w:val="22"/>
        </w:rPr>
        <w:t> </w:t>
      </w:r>
      <w:r>
        <w:rPr>
          <w:sz w:val="22"/>
        </w:rPr>
        <w:t>to</w:t>
      </w:r>
      <w:r>
        <w:rPr>
          <w:spacing w:val="23"/>
          <w:sz w:val="22"/>
        </w:rPr>
        <w:t> </w:t>
      </w:r>
      <w:r>
        <w:rPr>
          <w:sz w:val="22"/>
        </w:rPr>
        <w:t>undertake</w:t>
      </w:r>
      <w:r>
        <w:rPr>
          <w:spacing w:val="25"/>
          <w:sz w:val="22"/>
        </w:rPr>
        <w:t> </w:t>
      </w:r>
      <w:r>
        <w:rPr>
          <w:sz w:val="22"/>
        </w:rPr>
        <w:t>its</w:t>
      </w:r>
      <w:r>
        <w:rPr>
          <w:spacing w:val="25"/>
          <w:sz w:val="22"/>
        </w:rPr>
        <w:t> </w:t>
      </w:r>
      <w:r>
        <w:rPr>
          <w:sz w:val="22"/>
        </w:rPr>
        <w:t>strategic,</w:t>
      </w:r>
      <w:r>
        <w:rPr>
          <w:spacing w:val="23"/>
          <w:sz w:val="22"/>
        </w:rPr>
        <w:t> </w:t>
      </w:r>
      <w:r>
        <w:rPr>
          <w:sz w:val="22"/>
        </w:rPr>
        <w:t>statutory,</w:t>
      </w:r>
      <w:r>
        <w:rPr>
          <w:spacing w:val="23"/>
          <w:sz w:val="22"/>
        </w:rPr>
        <w:t> </w:t>
      </w:r>
      <w:r>
        <w:rPr>
          <w:sz w:val="22"/>
        </w:rPr>
        <w:t>and service provision obligations; and</w:t>
      </w:r>
    </w:p>
    <w:p>
      <w:pPr>
        <w:pStyle w:val="ListParagraph"/>
        <w:numPr>
          <w:ilvl w:val="0"/>
          <w:numId w:val="64"/>
        </w:numPr>
        <w:tabs>
          <w:tab w:pos="826" w:val="left" w:leader="none"/>
          <w:tab w:pos="827" w:val="left" w:leader="none"/>
        </w:tabs>
        <w:spacing w:line="240" w:lineRule="auto" w:before="0" w:after="0"/>
        <w:ind w:left="826" w:right="555" w:hanging="567"/>
        <w:jc w:val="left"/>
        <w:rPr>
          <w:sz w:val="22"/>
        </w:rPr>
      </w:pPr>
      <w:r>
        <w:rPr>
          <w:sz w:val="22"/>
        </w:rPr>
        <w:t>Recognition</w:t>
      </w:r>
      <w:r>
        <w:rPr>
          <w:spacing w:val="40"/>
          <w:sz w:val="22"/>
        </w:rPr>
        <w:t> </w:t>
      </w:r>
      <w:r>
        <w:rPr>
          <w:sz w:val="22"/>
        </w:rPr>
        <w:t>of</w:t>
      </w:r>
      <w:r>
        <w:rPr>
          <w:spacing w:val="40"/>
          <w:sz w:val="22"/>
        </w:rPr>
        <w:t> </w:t>
      </w:r>
      <w:r>
        <w:rPr>
          <w:sz w:val="22"/>
        </w:rPr>
        <w:t>expenditures</w:t>
      </w:r>
      <w:r>
        <w:rPr>
          <w:spacing w:val="40"/>
          <w:sz w:val="22"/>
        </w:rPr>
        <w:t> </w:t>
      </w:r>
      <w:r>
        <w:rPr>
          <w:sz w:val="22"/>
        </w:rPr>
        <w:t>made</w:t>
      </w:r>
      <w:r>
        <w:rPr>
          <w:spacing w:val="40"/>
          <w:sz w:val="22"/>
        </w:rPr>
        <w:t> </w:t>
      </w:r>
      <w:r>
        <w:rPr>
          <w:sz w:val="22"/>
        </w:rPr>
        <w:t>by</w:t>
      </w:r>
      <w:r>
        <w:rPr>
          <w:spacing w:val="40"/>
          <w:sz w:val="22"/>
        </w:rPr>
        <w:t> </w:t>
      </w:r>
      <w:r>
        <w:rPr>
          <w:sz w:val="22"/>
        </w:rPr>
        <w:t>Council</w:t>
      </w:r>
      <w:r>
        <w:rPr>
          <w:spacing w:val="40"/>
          <w:sz w:val="22"/>
        </w:rPr>
        <w:t> </w:t>
      </w:r>
      <w:r>
        <w:rPr>
          <w:sz w:val="22"/>
        </w:rPr>
        <w:t>in</w:t>
      </w:r>
      <w:r>
        <w:rPr>
          <w:spacing w:val="40"/>
          <w:sz w:val="22"/>
        </w:rPr>
        <w:t> </w:t>
      </w:r>
      <w:r>
        <w:rPr>
          <w:sz w:val="22"/>
        </w:rPr>
        <w:t>cultural</w:t>
      </w:r>
      <w:r>
        <w:rPr>
          <w:spacing w:val="40"/>
          <w:sz w:val="22"/>
        </w:rPr>
        <w:t> </w:t>
      </w:r>
      <w:r>
        <w:rPr>
          <w:sz w:val="22"/>
        </w:rPr>
        <w:t>and</w:t>
      </w:r>
      <w:r>
        <w:rPr>
          <w:spacing w:val="40"/>
          <w:sz w:val="22"/>
        </w:rPr>
        <w:t> </w:t>
      </w:r>
      <w:r>
        <w:rPr>
          <w:sz w:val="22"/>
        </w:rPr>
        <w:t>recreational</w:t>
      </w:r>
      <w:r>
        <w:rPr>
          <w:spacing w:val="40"/>
          <w:sz w:val="22"/>
        </w:rPr>
        <w:t> </w:t>
      </w:r>
      <w:r>
        <w:rPr>
          <w:sz w:val="22"/>
        </w:rPr>
        <w:t>sporting</w:t>
      </w:r>
      <w:r>
        <w:rPr>
          <w:spacing w:val="40"/>
          <w:sz w:val="22"/>
        </w:rPr>
        <w:t> </w:t>
      </w:r>
      <w:r>
        <w:rPr>
          <w:sz w:val="22"/>
        </w:rPr>
        <w:t>programs</w:t>
      </w:r>
      <w:r>
        <w:rPr>
          <w:spacing w:val="40"/>
          <w:sz w:val="22"/>
        </w:rPr>
        <w:t> </w:t>
      </w:r>
      <w:r>
        <w:rPr>
          <w:sz w:val="22"/>
        </w:rPr>
        <w:t>and </w:t>
      </w:r>
      <w:r>
        <w:rPr>
          <w:spacing w:val="-2"/>
          <w:sz w:val="22"/>
        </w:rPr>
        <w:t>infrastructure.</w:t>
      </w:r>
    </w:p>
    <w:p>
      <w:pPr>
        <w:pStyle w:val="BodyText"/>
        <w:spacing w:before="3"/>
        <w:rPr>
          <w:sz w:val="23"/>
        </w:rPr>
      </w:pPr>
    </w:p>
    <w:p>
      <w:pPr>
        <w:pStyle w:val="Heading5"/>
      </w:pPr>
      <w:r>
        <w:rPr/>
        <w:t>Types</w:t>
      </w:r>
      <w:r>
        <w:rPr>
          <w:spacing w:val="-2"/>
        </w:rPr>
        <w:t> </w:t>
      </w:r>
      <w:r>
        <w:rPr/>
        <w:t>and</w:t>
      </w:r>
      <w:r>
        <w:rPr>
          <w:spacing w:val="-1"/>
        </w:rPr>
        <w:t> </w:t>
      </w:r>
      <w:r>
        <w:rPr>
          <w:spacing w:val="-2"/>
        </w:rPr>
        <w:t>Classes:</w:t>
      </w:r>
    </w:p>
    <w:p>
      <w:pPr>
        <w:pStyle w:val="BodyText"/>
        <w:spacing w:before="1"/>
        <w:ind w:left="260"/>
      </w:pPr>
      <w:r>
        <w:rPr/>
        <w:t>Rateable</w:t>
      </w:r>
      <w:r>
        <w:rPr>
          <w:spacing w:val="-7"/>
        </w:rPr>
        <w:t> </w:t>
      </w:r>
      <w:r>
        <w:rPr/>
        <w:t>land</w:t>
      </w:r>
      <w:r>
        <w:rPr>
          <w:spacing w:val="-3"/>
        </w:rPr>
        <w:t> </w:t>
      </w:r>
      <w:r>
        <w:rPr/>
        <w:t>having</w:t>
      </w:r>
      <w:r>
        <w:rPr>
          <w:spacing w:val="-4"/>
        </w:rPr>
        <w:t> </w:t>
      </w:r>
      <w:r>
        <w:rPr/>
        <w:t>the</w:t>
      </w:r>
      <w:r>
        <w:rPr>
          <w:spacing w:val="-4"/>
        </w:rPr>
        <w:t> </w:t>
      </w:r>
      <w:r>
        <w:rPr/>
        <w:t>relevant</w:t>
      </w:r>
      <w:r>
        <w:rPr>
          <w:spacing w:val="-2"/>
        </w:rPr>
        <w:t> </w:t>
      </w:r>
      <w:r>
        <w:rPr/>
        <w:t>characteristics</w:t>
      </w:r>
      <w:r>
        <w:rPr>
          <w:spacing w:val="-6"/>
        </w:rPr>
        <w:t> </w:t>
      </w:r>
      <w:r>
        <w:rPr/>
        <w:t>described</w:t>
      </w:r>
      <w:r>
        <w:rPr>
          <w:spacing w:val="-3"/>
        </w:rPr>
        <w:t> </w:t>
      </w:r>
      <w:r>
        <w:rPr/>
        <w:t>in</w:t>
      </w:r>
      <w:r>
        <w:rPr>
          <w:spacing w:val="-5"/>
        </w:rPr>
        <w:t> </w:t>
      </w:r>
      <w:r>
        <w:rPr/>
        <w:t>the</w:t>
      </w:r>
      <w:r>
        <w:rPr>
          <w:spacing w:val="-1"/>
        </w:rPr>
        <w:t> </w:t>
      </w:r>
      <w:r>
        <w:rPr>
          <w:spacing w:val="-2"/>
        </w:rPr>
        <w:t>definition/characteristics.</w:t>
      </w:r>
    </w:p>
    <w:p>
      <w:pPr>
        <w:pStyle w:val="BodyText"/>
      </w:pPr>
    </w:p>
    <w:p>
      <w:pPr>
        <w:pStyle w:val="Heading5"/>
        <w:spacing w:line="252" w:lineRule="exact" w:before="1"/>
        <w:jc w:val="both"/>
      </w:pPr>
      <w:r>
        <w:rPr/>
        <w:t>Use</w:t>
      </w:r>
      <w:r>
        <w:rPr>
          <w:spacing w:val="-2"/>
        </w:rPr>
        <w:t> </w:t>
      </w:r>
      <w:r>
        <w:rPr/>
        <w:t>and</w:t>
      </w:r>
      <w:r>
        <w:rPr>
          <w:spacing w:val="-3"/>
        </w:rPr>
        <w:t> </w:t>
      </w:r>
      <w:r>
        <w:rPr/>
        <w:t>Level</w:t>
      </w:r>
      <w:r>
        <w:rPr>
          <w:spacing w:val="-5"/>
        </w:rPr>
        <w:t> </w:t>
      </w:r>
      <w:r>
        <w:rPr/>
        <w:t>of</w:t>
      </w:r>
      <w:r>
        <w:rPr>
          <w:spacing w:val="-6"/>
        </w:rPr>
        <w:t> </w:t>
      </w:r>
      <w:r>
        <w:rPr/>
        <w:t>Differential </w:t>
      </w:r>
      <w:r>
        <w:rPr>
          <w:spacing w:val="-4"/>
        </w:rPr>
        <w:t>Rate:</w:t>
      </w:r>
    </w:p>
    <w:p>
      <w:pPr>
        <w:pStyle w:val="BodyText"/>
        <w:ind w:left="260" w:right="555"/>
        <w:jc w:val="both"/>
      </w:pPr>
      <w:r>
        <w:rPr/>
        <w:t>The</w:t>
      </w:r>
      <w:r>
        <w:rPr>
          <w:spacing w:val="-5"/>
        </w:rPr>
        <w:t> </w:t>
      </w:r>
      <w:r>
        <w:rPr/>
        <w:t>differential</w:t>
      </w:r>
      <w:r>
        <w:rPr>
          <w:spacing w:val="-7"/>
        </w:rPr>
        <w:t> </w:t>
      </w:r>
      <w:r>
        <w:rPr/>
        <w:t>rate</w:t>
      </w:r>
      <w:r>
        <w:rPr>
          <w:spacing w:val="-7"/>
        </w:rPr>
        <w:t> </w:t>
      </w:r>
      <w:r>
        <w:rPr/>
        <w:t>will</w:t>
      </w:r>
      <w:r>
        <w:rPr>
          <w:spacing w:val="-8"/>
        </w:rPr>
        <w:t> </w:t>
      </w:r>
      <w:r>
        <w:rPr/>
        <w:t>be</w:t>
      </w:r>
      <w:r>
        <w:rPr>
          <w:spacing w:val="-5"/>
        </w:rPr>
        <w:t> </w:t>
      </w:r>
      <w:r>
        <w:rPr/>
        <w:t>used</w:t>
      </w:r>
      <w:r>
        <w:rPr>
          <w:spacing w:val="-7"/>
        </w:rPr>
        <w:t> </w:t>
      </w:r>
      <w:r>
        <w:rPr/>
        <w:t>to</w:t>
      </w:r>
      <w:r>
        <w:rPr>
          <w:spacing w:val="-9"/>
        </w:rPr>
        <w:t> </w:t>
      </w:r>
      <w:r>
        <w:rPr/>
        <w:t>fund</w:t>
      </w:r>
      <w:r>
        <w:rPr>
          <w:spacing w:val="-7"/>
        </w:rPr>
        <w:t> </w:t>
      </w:r>
      <w:r>
        <w:rPr/>
        <w:t>some</w:t>
      </w:r>
      <w:r>
        <w:rPr>
          <w:spacing w:val="-9"/>
        </w:rPr>
        <w:t> </w:t>
      </w:r>
      <w:r>
        <w:rPr/>
        <w:t>of</w:t>
      </w:r>
      <w:r>
        <w:rPr>
          <w:spacing w:val="-9"/>
        </w:rPr>
        <w:t> </w:t>
      </w:r>
      <w:r>
        <w:rPr/>
        <w:t>those</w:t>
      </w:r>
      <w:r>
        <w:rPr>
          <w:spacing w:val="-5"/>
        </w:rPr>
        <w:t> </w:t>
      </w:r>
      <w:r>
        <w:rPr/>
        <w:t>items</w:t>
      </w:r>
      <w:r>
        <w:rPr>
          <w:spacing w:val="-5"/>
        </w:rPr>
        <w:t> </w:t>
      </w:r>
      <w:r>
        <w:rPr/>
        <w:t>of</w:t>
      </w:r>
      <w:r>
        <w:rPr>
          <w:spacing w:val="-3"/>
        </w:rPr>
        <w:t> </w:t>
      </w:r>
      <w:r>
        <w:rPr/>
        <w:t>expenditure</w:t>
      </w:r>
      <w:r>
        <w:rPr>
          <w:spacing w:val="-11"/>
        </w:rPr>
        <w:t> </w:t>
      </w:r>
      <w:r>
        <w:rPr/>
        <w:t>described</w:t>
      </w:r>
      <w:r>
        <w:rPr>
          <w:spacing w:val="-5"/>
        </w:rPr>
        <w:t> </w:t>
      </w:r>
      <w:r>
        <w:rPr/>
        <w:t>in</w:t>
      </w:r>
      <w:r>
        <w:rPr>
          <w:spacing w:val="-9"/>
        </w:rPr>
        <w:t> </w:t>
      </w:r>
      <w:r>
        <w:rPr/>
        <w:t>the</w:t>
      </w:r>
      <w:r>
        <w:rPr>
          <w:spacing w:val="-5"/>
        </w:rPr>
        <w:t> </w:t>
      </w:r>
      <w:r>
        <w:rPr/>
        <w:t>Budget</w:t>
      </w:r>
      <w:r>
        <w:rPr>
          <w:spacing w:val="-5"/>
        </w:rPr>
        <w:t> </w:t>
      </w:r>
      <w:r>
        <w:rPr/>
        <w:t>adopted by Council. The level of the differential rate is the</w:t>
      </w:r>
      <w:r>
        <w:rPr>
          <w:spacing w:val="-1"/>
        </w:rPr>
        <w:t> </w:t>
      </w:r>
      <w:r>
        <w:rPr/>
        <w:t>level which Council considers is necessary</w:t>
      </w:r>
      <w:r>
        <w:rPr>
          <w:spacing w:val="-2"/>
        </w:rPr>
        <w:t> </w:t>
      </w:r>
      <w:r>
        <w:rPr/>
        <w:t>to achieve the objectives specified above.</w:t>
      </w:r>
    </w:p>
    <w:p>
      <w:pPr>
        <w:pStyle w:val="BodyText"/>
      </w:pPr>
    </w:p>
    <w:p>
      <w:pPr>
        <w:pStyle w:val="Heading5"/>
        <w:spacing w:line="252" w:lineRule="exact"/>
        <w:jc w:val="both"/>
      </w:pPr>
      <w:r>
        <w:rPr/>
        <w:t>Geographic</w:t>
      </w:r>
      <w:r>
        <w:rPr>
          <w:spacing w:val="-5"/>
        </w:rPr>
        <w:t> </w:t>
      </w:r>
      <w:r>
        <w:rPr>
          <w:spacing w:val="-2"/>
        </w:rPr>
        <w:t>Location:</w:t>
      </w:r>
    </w:p>
    <w:p>
      <w:pPr>
        <w:pStyle w:val="BodyText"/>
        <w:spacing w:line="252" w:lineRule="exact"/>
        <w:ind w:left="260"/>
      </w:pPr>
      <w:r>
        <w:rPr/>
        <w:t>Wherever</w:t>
      </w:r>
      <w:r>
        <w:rPr>
          <w:spacing w:val="-3"/>
        </w:rPr>
        <w:t> </w:t>
      </w:r>
      <w:r>
        <w:rPr/>
        <w:t>located</w:t>
      </w:r>
      <w:r>
        <w:rPr>
          <w:spacing w:val="-2"/>
        </w:rPr>
        <w:t> </w:t>
      </w:r>
      <w:r>
        <w:rPr/>
        <w:t>within</w:t>
      </w:r>
      <w:r>
        <w:rPr>
          <w:spacing w:val="-7"/>
        </w:rPr>
        <w:t> </w:t>
      </w:r>
      <w:r>
        <w:rPr/>
        <w:t>the</w:t>
      </w:r>
      <w:r>
        <w:rPr>
          <w:spacing w:val="-5"/>
        </w:rPr>
        <w:t> </w:t>
      </w:r>
      <w:r>
        <w:rPr/>
        <w:t>municipal</w:t>
      </w:r>
      <w:r>
        <w:rPr>
          <w:spacing w:val="-3"/>
        </w:rPr>
        <w:t> </w:t>
      </w:r>
      <w:r>
        <w:rPr>
          <w:spacing w:val="-2"/>
        </w:rPr>
        <w:t>district.</w:t>
      </w:r>
    </w:p>
    <w:p>
      <w:pPr>
        <w:pStyle w:val="BodyText"/>
      </w:pPr>
    </w:p>
    <w:p>
      <w:pPr>
        <w:pStyle w:val="Heading5"/>
        <w:spacing w:line="252" w:lineRule="exact"/>
        <w:jc w:val="both"/>
      </w:pPr>
      <w:r>
        <w:rPr/>
        <w:t>Use of</w:t>
      </w:r>
      <w:r>
        <w:rPr>
          <w:spacing w:val="-1"/>
        </w:rPr>
        <w:t> </w:t>
      </w:r>
      <w:r>
        <w:rPr>
          <w:spacing w:val="-4"/>
        </w:rPr>
        <w:t>Land:</w:t>
      </w:r>
    </w:p>
    <w:p>
      <w:pPr>
        <w:pStyle w:val="BodyText"/>
        <w:spacing w:line="252" w:lineRule="exact"/>
        <w:ind w:left="260"/>
      </w:pPr>
      <w:r>
        <w:rPr/>
        <w:t>Any</w:t>
      </w:r>
      <w:r>
        <w:rPr>
          <w:spacing w:val="-3"/>
        </w:rPr>
        <w:t> </w:t>
      </w:r>
      <w:r>
        <w:rPr/>
        <w:t>use</w:t>
      </w:r>
      <w:r>
        <w:rPr>
          <w:spacing w:val="-3"/>
        </w:rPr>
        <w:t> </w:t>
      </w:r>
      <w:r>
        <w:rPr/>
        <w:t>permitted</w:t>
      </w:r>
      <w:r>
        <w:rPr>
          <w:spacing w:val="-5"/>
        </w:rPr>
        <w:t> </w:t>
      </w:r>
      <w:r>
        <w:rPr/>
        <w:t>under</w:t>
      </w:r>
      <w:r>
        <w:rPr>
          <w:spacing w:val="-2"/>
        </w:rPr>
        <w:t> </w:t>
      </w:r>
      <w:r>
        <w:rPr/>
        <w:t>the</w:t>
      </w:r>
      <w:r>
        <w:rPr>
          <w:spacing w:val="-5"/>
        </w:rPr>
        <w:t> </w:t>
      </w:r>
      <w:r>
        <w:rPr/>
        <w:t>relevant</w:t>
      </w:r>
      <w:r>
        <w:rPr>
          <w:spacing w:val="-3"/>
        </w:rPr>
        <w:t> </w:t>
      </w:r>
      <w:r>
        <w:rPr/>
        <w:t>Planning</w:t>
      </w:r>
      <w:r>
        <w:rPr>
          <w:spacing w:val="-1"/>
        </w:rPr>
        <w:t> </w:t>
      </w:r>
      <w:r>
        <w:rPr>
          <w:spacing w:val="-2"/>
        </w:rPr>
        <w:t>Scheme.</w:t>
      </w:r>
    </w:p>
    <w:p>
      <w:pPr>
        <w:pStyle w:val="BodyText"/>
        <w:spacing w:before="1"/>
      </w:pPr>
    </w:p>
    <w:p>
      <w:pPr>
        <w:pStyle w:val="Heading5"/>
        <w:jc w:val="both"/>
      </w:pPr>
      <w:r>
        <w:rPr/>
        <w:t>Planning</w:t>
      </w:r>
      <w:r>
        <w:rPr>
          <w:spacing w:val="-4"/>
        </w:rPr>
        <w:t> </w:t>
      </w:r>
      <w:r>
        <w:rPr/>
        <w:t>Scheme</w:t>
      </w:r>
      <w:r>
        <w:rPr>
          <w:spacing w:val="-2"/>
        </w:rPr>
        <w:t> Zoning:</w:t>
      </w:r>
    </w:p>
    <w:p>
      <w:pPr>
        <w:pStyle w:val="BodyText"/>
        <w:spacing w:before="1"/>
        <w:ind w:left="260" w:right="555"/>
        <w:jc w:val="both"/>
      </w:pPr>
      <w:r>
        <w:rPr/>
        <w:t>The</w:t>
      </w:r>
      <w:r>
        <w:rPr>
          <w:spacing w:val="-2"/>
        </w:rPr>
        <w:t> </w:t>
      </w:r>
      <w:r>
        <w:rPr/>
        <w:t>zoning</w:t>
      </w:r>
      <w:r>
        <w:rPr>
          <w:spacing w:val="-4"/>
        </w:rPr>
        <w:t> </w:t>
      </w:r>
      <w:r>
        <w:rPr/>
        <w:t>applicable</w:t>
      </w:r>
      <w:r>
        <w:rPr>
          <w:spacing w:val="-4"/>
        </w:rPr>
        <w:t> </w:t>
      </w:r>
      <w:r>
        <w:rPr/>
        <w:t>to</w:t>
      </w:r>
      <w:r>
        <w:rPr>
          <w:spacing w:val="-7"/>
        </w:rPr>
        <w:t> </w:t>
      </w:r>
      <w:r>
        <w:rPr/>
        <w:t>each</w:t>
      </w:r>
      <w:r>
        <w:rPr>
          <w:spacing w:val="-4"/>
        </w:rPr>
        <w:t> </w:t>
      </w:r>
      <w:r>
        <w:rPr/>
        <w:t>rateable</w:t>
      </w:r>
      <w:r>
        <w:rPr>
          <w:spacing w:val="-6"/>
        </w:rPr>
        <w:t> </w:t>
      </w:r>
      <w:r>
        <w:rPr/>
        <w:t>land</w:t>
      </w:r>
      <w:r>
        <w:rPr>
          <w:spacing w:val="-2"/>
        </w:rPr>
        <w:t> </w:t>
      </w:r>
      <w:r>
        <w:rPr/>
        <w:t>within</w:t>
      </w:r>
      <w:r>
        <w:rPr>
          <w:spacing w:val="-6"/>
        </w:rPr>
        <w:t> </w:t>
      </w:r>
      <w:r>
        <w:rPr/>
        <w:t>this</w:t>
      </w:r>
      <w:r>
        <w:rPr>
          <w:spacing w:val="-4"/>
        </w:rPr>
        <w:t> </w:t>
      </w:r>
      <w:r>
        <w:rPr/>
        <w:t>category,</w:t>
      </w:r>
      <w:r>
        <w:rPr>
          <w:spacing w:val="-2"/>
        </w:rPr>
        <w:t> </w:t>
      </w:r>
      <w:r>
        <w:rPr/>
        <w:t>as</w:t>
      </w:r>
      <w:r>
        <w:rPr>
          <w:spacing w:val="-4"/>
        </w:rPr>
        <w:t> </w:t>
      </w:r>
      <w:r>
        <w:rPr/>
        <w:t>determined</w:t>
      </w:r>
      <w:r>
        <w:rPr>
          <w:spacing w:val="-2"/>
        </w:rPr>
        <w:t> </w:t>
      </w:r>
      <w:r>
        <w:rPr/>
        <w:t>by</w:t>
      </w:r>
      <w:r>
        <w:rPr>
          <w:spacing w:val="-4"/>
        </w:rPr>
        <w:t> </w:t>
      </w:r>
      <w:r>
        <w:rPr/>
        <w:t>consulting</w:t>
      </w:r>
      <w:r>
        <w:rPr>
          <w:spacing w:val="-4"/>
        </w:rPr>
        <w:t> </w:t>
      </w:r>
      <w:r>
        <w:rPr/>
        <w:t>maps</w:t>
      </w:r>
      <w:r>
        <w:rPr>
          <w:spacing w:val="-4"/>
        </w:rPr>
        <w:t> </w:t>
      </w:r>
      <w:r>
        <w:rPr/>
        <w:t>referred to in the relevant Planning Scheme.</w:t>
      </w:r>
    </w:p>
    <w:p>
      <w:pPr>
        <w:pStyle w:val="BodyText"/>
      </w:pPr>
    </w:p>
    <w:p>
      <w:pPr>
        <w:spacing w:before="0"/>
        <w:ind w:left="260" w:right="0" w:firstLine="0"/>
        <w:jc w:val="both"/>
        <w:rPr>
          <w:b/>
          <w:sz w:val="22"/>
        </w:rPr>
      </w:pPr>
      <w:r>
        <w:rPr>
          <w:b/>
          <w:sz w:val="22"/>
          <w:u w:val="single"/>
        </w:rPr>
        <w:t>Vacant</w:t>
      </w:r>
      <w:r>
        <w:rPr>
          <w:b/>
          <w:spacing w:val="-3"/>
          <w:sz w:val="22"/>
          <w:u w:val="single"/>
        </w:rPr>
        <w:t> </w:t>
      </w:r>
      <w:r>
        <w:rPr>
          <w:b/>
          <w:spacing w:val="-4"/>
          <w:sz w:val="22"/>
          <w:u w:val="single"/>
        </w:rPr>
        <w:t>Land</w:t>
      </w:r>
    </w:p>
    <w:p>
      <w:pPr>
        <w:pStyle w:val="BodyText"/>
        <w:spacing w:before="10"/>
        <w:rPr>
          <w:b/>
          <w:sz w:val="13"/>
        </w:rPr>
      </w:pPr>
    </w:p>
    <w:p>
      <w:pPr>
        <w:pStyle w:val="Heading5"/>
        <w:spacing w:line="252" w:lineRule="exact" w:before="94"/>
      </w:pPr>
      <w:r>
        <w:rPr>
          <w:spacing w:val="-2"/>
        </w:rPr>
        <w:t>Definitions/Characteristics:</w:t>
      </w:r>
    </w:p>
    <w:p>
      <w:pPr>
        <w:pStyle w:val="BodyText"/>
        <w:spacing w:line="252" w:lineRule="exact"/>
        <w:ind w:left="260"/>
      </w:pPr>
      <w:r>
        <w:rPr/>
        <w:t>Any</w:t>
      </w:r>
      <w:r>
        <w:rPr>
          <w:spacing w:val="-5"/>
        </w:rPr>
        <w:t> </w:t>
      </w:r>
      <w:r>
        <w:rPr/>
        <w:t>land</w:t>
      </w:r>
      <w:r>
        <w:rPr>
          <w:spacing w:val="-3"/>
        </w:rPr>
        <w:t> </w:t>
      </w:r>
      <w:r>
        <w:rPr/>
        <w:t>on</w:t>
      </w:r>
      <w:r>
        <w:rPr>
          <w:spacing w:val="-1"/>
        </w:rPr>
        <w:t> </w:t>
      </w:r>
      <w:r>
        <w:rPr/>
        <w:t>which</w:t>
      </w:r>
      <w:r>
        <w:rPr>
          <w:spacing w:val="-5"/>
        </w:rPr>
        <w:t> </w:t>
      </w:r>
      <w:r>
        <w:rPr/>
        <w:t>there</w:t>
      </w:r>
      <w:r>
        <w:rPr>
          <w:spacing w:val="-5"/>
        </w:rPr>
        <w:t> </w:t>
      </w:r>
      <w:r>
        <w:rPr/>
        <w:t>is</w:t>
      </w:r>
      <w:r>
        <w:rPr>
          <w:spacing w:val="-2"/>
        </w:rPr>
        <w:t> </w:t>
      </w:r>
      <w:r>
        <w:rPr/>
        <w:t>no</w:t>
      </w:r>
      <w:r>
        <w:rPr>
          <w:spacing w:val="-2"/>
        </w:rPr>
        <w:t> </w:t>
      </w:r>
      <w:r>
        <w:rPr/>
        <w:t>building</w:t>
      </w:r>
      <w:r>
        <w:rPr>
          <w:spacing w:val="-2"/>
        </w:rPr>
        <w:t> </w:t>
      </w:r>
      <w:r>
        <w:rPr/>
        <w:t>which</w:t>
      </w:r>
      <w:r>
        <w:rPr>
          <w:spacing w:val="-4"/>
        </w:rPr>
        <w:t> </w:t>
      </w:r>
      <w:r>
        <w:rPr/>
        <w:t>is</w:t>
      </w:r>
      <w:r>
        <w:rPr>
          <w:spacing w:val="-3"/>
        </w:rPr>
        <w:t> </w:t>
      </w:r>
      <w:r>
        <w:rPr/>
        <w:t>occupied</w:t>
      </w:r>
      <w:r>
        <w:rPr>
          <w:spacing w:val="-2"/>
        </w:rPr>
        <w:t> </w:t>
      </w:r>
      <w:r>
        <w:rPr/>
        <w:t>or</w:t>
      </w:r>
      <w:r>
        <w:rPr>
          <w:spacing w:val="-1"/>
        </w:rPr>
        <w:t> </w:t>
      </w:r>
      <w:r>
        <w:rPr/>
        <w:t>adapted</w:t>
      </w:r>
      <w:r>
        <w:rPr>
          <w:spacing w:val="-4"/>
        </w:rPr>
        <w:t> </w:t>
      </w:r>
      <w:r>
        <w:rPr/>
        <w:t>for</w:t>
      </w:r>
      <w:r>
        <w:rPr>
          <w:spacing w:val="-1"/>
        </w:rPr>
        <w:t> </w:t>
      </w:r>
      <w:r>
        <w:rPr>
          <w:spacing w:val="-2"/>
        </w:rPr>
        <w:t>occupation.</w:t>
      </w:r>
    </w:p>
    <w:p>
      <w:pPr>
        <w:pStyle w:val="BodyText"/>
      </w:pPr>
    </w:p>
    <w:p>
      <w:pPr>
        <w:pStyle w:val="Heading5"/>
        <w:spacing w:line="252" w:lineRule="exact"/>
      </w:pPr>
      <w:r>
        <w:rPr>
          <w:spacing w:val="-2"/>
        </w:rPr>
        <w:t>Objective:</w:t>
      </w:r>
    </w:p>
    <w:p>
      <w:pPr>
        <w:pStyle w:val="BodyText"/>
        <w:ind w:left="260" w:right="445"/>
      </w:pPr>
      <w:r>
        <w:rPr/>
        <w:t>To</w:t>
      </w:r>
      <w:r>
        <w:rPr>
          <w:spacing w:val="28"/>
        </w:rPr>
        <w:t> </w:t>
      </w:r>
      <w:r>
        <w:rPr/>
        <w:t>ensure</w:t>
      </w:r>
      <w:r>
        <w:rPr>
          <w:spacing w:val="26"/>
        </w:rPr>
        <w:t> </w:t>
      </w:r>
      <w:r>
        <w:rPr/>
        <w:t>that</w:t>
      </w:r>
      <w:r>
        <w:rPr>
          <w:spacing w:val="27"/>
        </w:rPr>
        <w:t> </w:t>
      </w:r>
      <w:r>
        <w:rPr/>
        <w:t>all</w:t>
      </w:r>
      <w:r>
        <w:rPr>
          <w:spacing w:val="26"/>
        </w:rPr>
        <w:t> </w:t>
      </w:r>
      <w:r>
        <w:rPr/>
        <w:t>rateable</w:t>
      </w:r>
      <w:r>
        <w:rPr>
          <w:spacing w:val="26"/>
        </w:rPr>
        <w:t> </w:t>
      </w:r>
      <w:r>
        <w:rPr/>
        <w:t>land</w:t>
      </w:r>
      <w:r>
        <w:rPr>
          <w:spacing w:val="27"/>
        </w:rPr>
        <w:t> </w:t>
      </w:r>
      <w:r>
        <w:rPr/>
        <w:t>makes</w:t>
      </w:r>
      <w:r>
        <w:rPr>
          <w:spacing w:val="27"/>
        </w:rPr>
        <w:t> </w:t>
      </w:r>
      <w:r>
        <w:rPr/>
        <w:t>an</w:t>
      </w:r>
      <w:r>
        <w:rPr>
          <w:spacing w:val="27"/>
        </w:rPr>
        <w:t> </w:t>
      </w:r>
      <w:r>
        <w:rPr/>
        <w:t>equitable</w:t>
      </w:r>
      <w:r>
        <w:rPr>
          <w:spacing w:val="26"/>
        </w:rPr>
        <w:t> </w:t>
      </w:r>
      <w:r>
        <w:rPr/>
        <w:t>financial</w:t>
      </w:r>
      <w:r>
        <w:rPr>
          <w:spacing w:val="27"/>
        </w:rPr>
        <w:t> </w:t>
      </w:r>
      <w:r>
        <w:rPr/>
        <w:t>contribution</w:t>
      </w:r>
      <w:r>
        <w:rPr>
          <w:spacing w:val="26"/>
        </w:rPr>
        <w:t> </w:t>
      </w:r>
      <w:r>
        <w:rPr/>
        <w:t>to</w:t>
      </w:r>
      <w:r>
        <w:rPr>
          <w:spacing w:val="23"/>
        </w:rPr>
        <w:t> </w:t>
      </w:r>
      <w:r>
        <w:rPr/>
        <w:t>the</w:t>
      </w:r>
      <w:r>
        <w:rPr>
          <w:spacing w:val="28"/>
        </w:rPr>
        <w:t> </w:t>
      </w:r>
      <w:r>
        <w:rPr/>
        <w:t>cost</w:t>
      </w:r>
      <w:r>
        <w:rPr>
          <w:spacing w:val="29"/>
        </w:rPr>
        <w:t> </w:t>
      </w:r>
      <w:r>
        <w:rPr/>
        <w:t>of</w:t>
      </w:r>
      <w:r>
        <w:rPr>
          <w:spacing w:val="29"/>
        </w:rPr>
        <w:t> </w:t>
      </w:r>
      <w:r>
        <w:rPr/>
        <w:t>carrying</w:t>
      </w:r>
      <w:r>
        <w:rPr>
          <w:spacing w:val="26"/>
        </w:rPr>
        <w:t> </w:t>
      </w:r>
      <w:r>
        <w:rPr/>
        <w:t>out</w:t>
      </w:r>
      <w:r>
        <w:rPr>
          <w:spacing w:val="27"/>
        </w:rPr>
        <w:t> </w:t>
      </w:r>
      <w:r>
        <w:rPr/>
        <w:t>the functions of Council, including:</w:t>
      </w:r>
    </w:p>
    <w:p>
      <w:pPr>
        <w:pStyle w:val="BodyText"/>
        <w:spacing w:before="10"/>
        <w:rPr>
          <w:sz w:val="21"/>
        </w:rPr>
      </w:pPr>
    </w:p>
    <w:p>
      <w:pPr>
        <w:pStyle w:val="ListParagraph"/>
        <w:numPr>
          <w:ilvl w:val="0"/>
          <w:numId w:val="65"/>
        </w:numPr>
        <w:tabs>
          <w:tab w:pos="826" w:val="left" w:leader="none"/>
          <w:tab w:pos="827" w:val="left" w:leader="none"/>
        </w:tabs>
        <w:spacing w:line="240" w:lineRule="auto" w:before="1" w:after="0"/>
        <w:ind w:left="827" w:right="0" w:hanging="567"/>
        <w:jc w:val="left"/>
        <w:rPr>
          <w:sz w:val="22"/>
        </w:rPr>
      </w:pPr>
      <w:r>
        <w:rPr>
          <w:sz w:val="22"/>
        </w:rPr>
        <w:t>Construction</w:t>
      </w:r>
      <w:r>
        <w:rPr>
          <w:spacing w:val="-4"/>
          <w:sz w:val="22"/>
        </w:rPr>
        <w:t> </w:t>
      </w:r>
      <w:r>
        <w:rPr>
          <w:sz w:val="22"/>
        </w:rPr>
        <w:t>and</w:t>
      </w:r>
      <w:r>
        <w:rPr>
          <w:spacing w:val="-7"/>
          <w:sz w:val="22"/>
        </w:rPr>
        <w:t> </w:t>
      </w:r>
      <w:r>
        <w:rPr>
          <w:sz w:val="22"/>
        </w:rPr>
        <w:t>maintenance</w:t>
      </w:r>
      <w:r>
        <w:rPr>
          <w:spacing w:val="-5"/>
          <w:sz w:val="22"/>
        </w:rPr>
        <w:t> </w:t>
      </w:r>
      <w:r>
        <w:rPr>
          <w:sz w:val="22"/>
        </w:rPr>
        <w:t>of</w:t>
      </w:r>
      <w:r>
        <w:rPr>
          <w:spacing w:val="-5"/>
          <w:sz w:val="22"/>
        </w:rPr>
        <w:t> </w:t>
      </w:r>
      <w:r>
        <w:rPr>
          <w:sz w:val="22"/>
        </w:rPr>
        <w:t>public</w:t>
      </w:r>
      <w:r>
        <w:rPr>
          <w:spacing w:val="-5"/>
          <w:sz w:val="22"/>
        </w:rPr>
        <w:t> </w:t>
      </w:r>
      <w:r>
        <w:rPr>
          <w:sz w:val="22"/>
        </w:rPr>
        <w:t>infrastructure:</w:t>
      </w:r>
      <w:r>
        <w:rPr>
          <w:spacing w:val="-5"/>
          <w:sz w:val="22"/>
        </w:rPr>
        <w:t> and</w:t>
      </w:r>
    </w:p>
    <w:p>
      <w:pPr>
        <w:pStyle w:val="ListParagraph"/>
        <w:numPr>
          <w:ilvl w:val="0"/>
          <w:numId w:val="65"/>
        </w:numPr>
        <w:tabs>
          <w:tab w:pos="826" w:val="left" w:leader="none"/>
          <w:tab w:pos="827" w:val="left" w:leader="none"/>
        </w:tabs>
        <w:spacing w:line="252" w:lineRule="exact" w:before="1" w:after="0"/>
        <w:ind w:left="827" w:right="0" w:hanging="567"/>
        <w:jc w:val="left"/>
        <w:rPr>
          <w:sz w:val="22"/>
        </w:rPr>
      </w:pPr>
      <w:r>
        <w:rPr>
          <w:sz w:val="22"/>
        </w:rPr>
        <w:t>Development</w:t>
      </w:r>
      <w:r>
        <w:rPr>
          <w:spacing w:val="-5"/>
          <w:sz w:val="22"/>
        </w:rPr>
        <w:t> </w:t>
      </w:r>
      <w:r>
        <w:rPr>
          <w:sz w:val="22"/>
        </w:rPr>
        <w:t>and</w:t>
      </w:r>
      <w:r>
        <w:rPr>
          <w:spacing w:val="-6"/>
          <w:sz w:val="22"/>
        </w:rPr>
        <w:t> </w:t>
      </w:r>
      <w:r>
        <w:rPr>
          <w:sz w:val="22"/>
        </w:rPr>
        <w:t>provision</w:t>
      </w:r>
      <w:r>
        <w:rPr>
          <w:spacing w:val="-4"/>
          <w:sz w:val="22"/>
        </w:rPr>
        <w:t> </w:t>
      </w:r>
      <w:r>
        <w:rPr>
          <w:sz w:val="22"/>
        </w:rPr>
        <w:t>of</w:t>
      </w:r>
      <w:r>
        <w:rPr>
          <w:spacing w:val="-3"/>
          <w:sz w:val="22"/>
        </w:rPr>
        <w:t> </w:t>
      </w:r>
      <w:r>
        <w:rPr>
          <w:sz w:val="22"/>
        </w:rPr>
        <w:t>health</w:t>
      </w:r>
      <w:r>
        <w:rPr>
          <w:spacing w:val="-2"/>
          <w:sz w:val="22"/>
        </w:rPr>
        <w:t> </w:t>
      </w:r>
      <w:r>
        <w:rPr>
          <w:sz w:val="22"/>
        </w:rPr>
        <w:t>&amp;</w:t>
      </w:r>
      <w:r>
        <w:rPr>
          <w:spacing w:val="-7"/>
          <w:sz w:val="22"/>
        </w:rPr>
        <w:t> </w:t>
      </w:r>
      <w:r>
        <w:rPr>
          <w:sz w:val="22"/>
        </w:rPr>
        <w:t>community</w:t>
      </w:r>
      <w:r>
        <w:rPr>
          <w:spacing w:val="-4"/>
          <w:sz w:val="22"/>
        </w:rPr>
        <w:t> </w:t>
      </w:r>
      <w:r>
        <w:rPr>
          <w:sz w:val="22"/>
        </w:rPr>
        <w:t>services;</w:t>
      </w:r>
      <w:r>
        <w:rPr>
          <w:spacing w:val="-4"/>
          <w:sz w:val="22"/>
        </w:rPr>
        <w:t> </w:t>
      </w:r>
      <w:r>
        <w:rPr>
          <w:spacing w:val="-5"/>
          <w:sz w:val="22"/>
        </w:rPr>
        <w:t>and</w:t>
      </w:r>
    </w:p>
    <w:p>
      <w:pPr>
        <w:pStyle w:val="ListParagraph"/>
        <w:numPr>
          <w:ilvl w:val="0"/>
          <w:numId w:val="65"/>
        </w:numPr>
        <w:tabs>
          <w:tab w:pos="826" w:val="left" w:leader="none"/>
          <w:tab w:pos="827" w:val="left" w:leader="none"/>
        </w:tabs>
        <w:spacing w:line="252" w:lineRule="exact" w:before="0" w:after="0"/>
        <w:ind w:left="827" w:right="0" w:hanging="567"/>
        <w:jc w:val="left"/>
        <w:rPr>
          <w:sz w:val="22"/>
        </w:rPr>
      </w:pPr>
      <w:r>
        <w:rPr>
          <w:sz w:val="22"/>
        </w:rPr>
        <w:t>Provision</w:t>
      </w:r>
      <w:r>
        <w:rPr>
          <w:spacing w:val="-4"/>
          <w:sz w:val="22"/>
        </w:rPr>
        <w:t> </w:t>
      </w:r>
      <w:r>
        <w:rPr>
          <w:sz w:val="22"/>
        </w:rPr>
        <w:t>of</w:t>
      </w:r>
      <w:r>
        <w:rPr>
          <w:spacing w:val="-3"/>
          <w:sz w:val="22"/>
        </w:rPr>
        <w:t> </w:t>
      </w:r>
      <w:r>
        <w:rPr>
          <w:sz w:val="22"/>
        </w:rPr>
        <w:t>general</w:t>
      </w:r>
      <w:r>
        <w:rPr>
          <w:spacing w:val="-4"/>
          <w:sz w:val="22"/>
        </w:rPr>
        <w:t> </w:t>
      </w:r>
      <w:r>
        <w:rPr>
          <w:sz w:val="22"/>
        </w:rPr>
        <w:t>support</w:t>
      </w:r>
      <w:r>
        <w:rPr>
          <w:spacing w:val="-5"/>
          <w:sz w:val="22"/>
        </w:rPr>
        <w:t> </w:t>
      </w:r>
      <w:r>
        <w:rPr>
          <w:sz w:val="22"/>
        </w:rPr>
        <w:t>services;</w:t>
      </w:r>
      <w:r>
        <w:rPr>
          <w:spacing w:val="-1"/>
          <w:sz w:val="22"/>
        </w:rPr>
        <w:t> </w:t>
      </w:r>
      <w:r>
        <w:rPr>
          <w:spacing w:val="-5"/>
          <w:sz w:val="22"/>
        </w:rPr>
        <w:t>and</w:t>
      </w:r>
    </w:p>
    <w:p>
      <w:pPr>
        <w:pStyle w:val="ListParagraph"/>
        <w:numPr>
          <w:ilvl w:val="0"/>
          <w:numId w:val="65"/>
        </w:numPr>
        <w:tabs>
          <w:tab w:pos="826" w:val="left" w:leader="none"/>
          <w:tab w:pos="827" w:val="left" w:leader="none"/>
        </w:tabs>
        <w:spacing w:line="240" w:lineRule="auto" w:before="1" w:after="0"/>
        <w:ind w:left="826" w:right="555" w:hanging="567"/>
        <w:jc w:val="left"/>
        <w:rPr>
          <w:sz w:val="22"/>
        </w:rPr>
      </w:pPr>
      <w:r>
        <w:rPr>
          <w:sz w:val="22"/>
        </w:rPr>
        <w:t>Enhancement</w:t>
      </w:r>
      <w:r>
        <w:rPr>
          <w:spacing w:val="40"/>
          <w:sz w:val="22"/>
        </w:rPr>
        <w:t> </w:t>
      </w:r>
      <w:r>
        <w:rPr>
          <w:sz w:val="22"/>
        </w:rPr>
        <w:t>of</w:t>
      </w:r>
      <w:r>
        <w:rPr>
          <w:spacing w:val="40"/>
          <w:sz w:val="22"/>
        </w:rPr>
        <w:t> </w:t>
      </w:r>
      <w:r>
        <w:rPr>
          <w:sz w:val="22"/>
        </w:rPr>
        <w:t>the</w:t>
      </w:r>
      <w:r>
        <w:rPr>
          <w:spacing w:val="40"/>
          <w:sz w:val="22"/>
        </w:rPr>
        <w:t> </w:t>
      </w:r>
      <w:r>
        <w:rPr>
          <w:sz w:val="22"/>
        </w:rPr>
        <w:t>economic</w:t>
      </w:r>
      <w:r>
        <w:rPr>
          <w:spacing w:val="40"/>
          <w:sz w:val="22"/>
        </w:rPr>
        <w:t> </w:t>
      </w:r>
      <w:r>
        <w:rPr>
          <w:sz w:val="22"/>
        </w:rPr>
        <w:t>viability</w:t>
      </w:r>
      <w:r>
        <w:rPr>
          <w:spacing w:val="40"/>
          <w:sz w:val="22"/>
        </w:rPr>
        <w:t> </w:t>
      </w:r>
      <w:r>
        <w:rPr>
          <w:sz w:val="22"/>
        </w:rPr>
        <w:t>of</w:t>
      </w:r>
      <w:r>
        <w:rPr>
          <w:spacing w:val="40"/>
          <w:sz w:val="22"/>
        </w:rPr>
        <w:t> </w:t>
      </w:r>
      <w:r>
        <w:rPr>
          <w:sz w:val="22"/>
        </w:rPr>
        <w:t>the</w:t>
      </w:r>
      <w:r>
        <w:rPr>
          <w:spacing w:val="40"/>
          <w:sz w:val="22"/>
        </w:rPr>
        <w:t> </w:t>
      </w:r>
      <w:r>
        <w:rPr>
          <w:sz w:val="22"/>
        </w:rPr>
        <w:t>commercial</w:t>
      </w:r>
      <w:r>
        <w:rPr>
          <w:spacing w:val="40"/>
          <w:sz w:val="22"/>
        </w:rPr>
        <w:t> </w:t>
      </w:r>
      <w:r>
        <w:rPr>
          <w:sz w:val="22"/>
        </w:rPr>
        <w:t>and</w:t>
      </w:r>
      <w:r>
        <w:rPr>
          <w:spacing w:val="40"/>
          <w:sz w:val="22"/>
        </w:rPr>
        <w:t> </w:t>
      </w:r>
      <w:r>
        <w:rPr>
          <w:sz w:val="22"/>
        </w:rPr>
        <w:t>industrial</w:t>
      </w:r>
      <w:r>
        <w:rPr>
          <w:spacing w:val="40"/>
          <w:sz w:val="22"/>
        </w:rPr>
        <w:t> </w:t>
      </w:r>
      <w:r>
        <w:rPr>
          <w:sz w:val="22"/>
        </w:rPr>
        <w:t>sector</w:t>
      </w:r>
      <w:r>
        <w:rPr>
          <w:spacing w:val="40"/>
          <w:sz w:val="22"/>
        </w:rPr>
        <w:t> </w:t>
      </w:r>
      <w:r>
        <w:rPr>
          <w:sz w:val="22"/>
        </w:rPr>
        <w:t>through</w:t>
      </w:r>
      <w:r>
        <w:rPr>
          <w:spacing w:val="40"/>
          <w:sz w:val="22"/>
        </w:rPr>
        <w:t> </w:t>
      </w:r>
      <w:r>
        <w:rPr>
          <w:sz w:val="22"/>
        </w:rPr>
        <w:t>targeted programs and projects; and</w:t>
      </w:r>
    </w:p>
    <w:p>
      <w:pPr>
        <w:pStyle w:val="BodyText"/>
      </w:pPr>
    </w:p>
    <w:p>
      <w:pPr>
        <w:pStyle w:val="BodyText"/>
        <w:ind w:left="260" w:right="445"/>
      </w:pPr>
      <w:r>
        <w:rPr/>
        <w:t>Encouragement</w:t>
      </w:r>
      <w:r>
        <w:rPr>
          <w:spacing w:val="40"/>
        </w:rPr>
        <w:t> </w:t>
      </w:r>
      <w:r>
        <w:rPr/>
        <w:t>of</w:t>
      </w:r>
      <w:r>
        <w:rPr>
          <w:spacing w:val="40"/>
        </w:rPr>
        <w:t> </w:t>
      </w:r>
      <w:r>
        <w:rPr/>
        <w:t>development</w:t>
      </w:r>
      <w:r>
        <w:rPr>
          <w:spacing w:val="40"/>
        </w:rPr>
        <w:t> </w:t>
      </w:r>
      <w:r>
        <w:rPr/>
        <w:t>on</w:t>
      </w:r>
      <w:r>
        <w:rPr>
          <w:spacing w:val="40"/>
        </w:rPr>
        <w:t> </w:t>
      </w:r>
      <w:r>
        <w:rPr/>
        <w:t>land</w:t>
      </w:r>
      <w:r>
        <w:rPr>
          <w:spacing w:val="40"/>
        </w:rPr>
        <w:t> </w:t>
      </w:r>
      <w:r>
        <w:rPr/>
        <w:t>to</w:t>
      </w:r>
      <w:r>
        <w:rPr>
          <w:spacing w:val="35"/>
        </w:rPr>
        <w:t> </w:t>
      </w:r>
      <w:r>
        <w:rPr/>
        <w:t>reduce</w:t>
      </w:r>
      <w:r>
        <w:rPr>
          <w:spacing w:val="40"/>
        </w:rPr>
        <w:t> </w:t>
      </w:r>
      <w:r>
        <w:rPr/>
        <w:t>land</w:t>
      </w:r>
      <w:r>
        <w:rPr>
          <w:spacing w:val="40"/>
        </w:rPr>
        <w:t> </w:t>
      </w:r>
      <w:r>
        <w:rPr/>
        <w:t>banking</w:t>
      </w:r>
      <w:r>
        <w:rPr>
          <w:spacing w:val="40"/>
        </w:rPr>
        <w:t> </w:t>
      </w:r>
      <w:r>
        <w:rPr/>
        <w:t>and</w:t>
      </w:r>
      <w:r>
        <w:rPr>
          <w:spacing w:val="38"/>
        </w:rPr>
        <w:t> </w:t>
      </w:r>
      <w:r>
        <w:rPr/>
        <w:t>promote</w:t>
      </w:r>
      <w:r>
        <w:rPr>
          <w:spacing w:val="39"/>
        </w:rPr>
        <w:t> </w:t>
      </w:r>
      <w:r>
        <w:rPr/>
        <w:t>more</w:t>
      </w:r>
      <w:r>
        <w:rPr>
          <w:spacing w:val="40"/>
        </w:rPr>
        <w:t> </w:t>
      </w:r>
      <w:r>
        <w:rPr/>
        <w:t>housing</w:t>
      </w:r>
      <w:r>
        <w:rPr>
          <w:spacing w:val="40"/>
        </w:rPr>
        <w:t> </w:t>
      </w:r>
      <w:r>
        <w:rPr/>
        <w:t>within</w:t>
      </w:r>
      <w:r>
        <w:rPr>
          <w:spacing w:val="40"/>
        </w:rPr>
        <w:t> </w:t>
      </w:r>
      <w:r>
        <w:rPr/>
        <w:t>the </w:t>
      </w:r>
      <w:r>
        <w:rPr>
          <w:spacing w:val="-2"/>
        </w:rPr>
        <w:t>municipality.</w:t>
      </w:r>
    </w:p>
    <w:p>
      <w:pPr>
        <w:spacing w:after="0"/>
        <w:sectPr>
          <w:pgSz w:w="11910" w:h="16840"/>
          <w:pgMar w:header="0" w:footer="375" w:top="620" w:bottom="560" w:left="460" w:right="160"/>
        </w:sectPr>
      </w:pPr>
    </w:p>
    <w:p>
      <w:pPr>
        <w:pStyle w:val="Heading5"/>
        <w:spacing w:line="252" w:lineRule="exact" w:before="81"/>
      </w:pPr>
      <w:r>
        <w:rPr/>
        <w:t>Types</w:t>
      </w:r>
      <w:r>
        <w:rPr>
          <w:spacing w:val="-2"/>
        </w:rPr>
        <w:t> </w:t>
      </w:r>
      <w:r>
        <w:rPr/>
        <w:t>and</w:t>
      </w:r>
      <w:r>
        <w:rPr>
          <w:spacing w:val="-1"/>
        </w:rPr>
        <w:t> </w:t>
      </w:r>
      <w:r>
        <w:rPr>
          <w:spacing w:val="-2"/>
        </w:rPr>
        <w:t>Classes:</w:t>
      </w:r>
    </w:p>
    <w:p>
      <w:pPr>
        <w:pStyle w:val="BodyText"/>
        <w:spacing w:line="252" w:lineRule="exact"/>
        <w:ind w:left="260"/>
      </w:pPr>
      <w:r>
        <w:rPr/>
        <w:t>Rateable</w:t>
      </w:r>
      <w:r>
        <w:rPr>
          <w:spacing w:val="-7"/>
        </w:rPr>
        <w:t> </w:t>
      </w:r>
      <w:r>
        <w:rPr/>
        <w:t>land</w:t>
      </w:r>
      <w:r>
        <w:rPr>
          <w:spacing w:val="-3"/>
        </w:rPr>
        <w:t> </w:t>
      </w:r>
      <w:r>
        <w:rPr/>
        <w:t>having</w:t>
      </w:r>
      <w:r>
        <w:rPr>
          <w:spacing w:val="-4"/>
        </w:rPr>
        <w:t> </w:t>
      </w:r>
      <w:r>
        <w:rPr/>
        <w:t>the</w:t>
      </w:r>
      <w:r>
        <w:rPr>
          <w:spacing w:val="-4"/>
        </w:rPr>
        <w:t> </w:t>
      </w:r>
      <w:r>
        <w:rPr/>
        <w:t>relevant</w:t>
      </w:r>
      <w:r>
        <w:rPr>
          <w:spacing w:val="-2"/>
        </w:rPr>
        <w:t> </w:t>
      </w:r>
      <w:r>
        <w:rPr/>
        <w:t>characteristics</w:t>
      </w:r>
      <w:r>
        <w:rPr>
          <w:spacing w:val="-6"/>
        </w:rPr>
        <w:t> </w:t>
      </w:r>
      <w:r>
        <w:rPr/>
        <w:t>described</w:t>
      </w:r>
      <w:r>
        <w:rPr>
          <w:spacing w:val="-3"/>
        </w:rPr>
        <w:t> </w:t>
      </w:r>
      <w:r>
        <w:rPr/>
        <w:t>in</w:t>
      </w:r>
      <w:r>
        <w:rPr>
          <w:spacing w:val="-5"/>
        </w:rPr>
        <w:t> </w:t>
      </w:r>
      <w:r>
        <w:rPr/>
        <w:t>the</w:t>
      </w:r>
      <w:r>
        <w:rPr>
          <w:spacing w:val="-1"/>
        </w:rPr>
        <w:t> </w:t>
      </w:r>
      <w:r>
        <w:rPr>
          <w:spacing w:val="-2"/>
        </w:rPr>
        <w:t>definition/characteristics.</w:t>
      </w:r>
    </w:p>
    <w:p>
      <w:pPr>
        <w:pStyle w:val="BodyText"/>
        <w:spacing w:before="1"/>
      </w:pPr>
    </w:p>
    <w:p>
      <w:pPr>
        <w:pStyle w:val="Heading5"/>
        <w:jc w:val="both"/>
      </w:pPr>
      <w:r>
        <w:rPr/>
        <w:t>Use</w:t>
      </w:r>
      <w:r>
        <w:rPr>
          <w:spacing w:val="-2"/>
        </w:rPr>
        <w:t> </w:t>
      </w:r>
      <w:r>
        <w:rPr/>
        <w:t>and</w:t>
      </w:r>
      <w:r>
        <w:rPr>
          <w:spacing w:val="-3"/>
        </w:rPr>
        <w:t> </w:t>
      </w:r>
      <w:r>
        <w:rPr/>
        <w:t>Level</w:t>
      </w:r>
      <w:r>
        <w:rPr>
          <w:spacing w:val="-5"/>
        </w:rPr>
        <w:t> </w:t>
      </w:r>
      <w:r>
        <w:rPr/>
        <w:t>of</w:t>
      </w:r>
      <w:r>
        <w:rPr>
          <w:spacing w:val="-6"/>
        </w:rPr>
        <w:t> </w:t>
      </w:r>
      <w:r>
        <w:rPr/>
        <w:t>Differential </w:t>
      </w:r>
      <w:r>
        <w:rPr>
          <w:spacing w:val="-4"/>
        </w:rPr>
        <w:t>Rate:</w:t>
      </w:r>
    </w:p>
    <w:p>
      <w:pPr>
        <w:pStyle w:val="BodyText"/>
        <w:spacing w:before="1"/>
        <w:ind w:left="260" w:right="554"/>
        <w:jc w:val="both"/>
      </w:pPr>
      <w:r>
        <w:rPr/>
        <w:t>The</w:t>
      </w:r>
      <w:r>
        <w:rPr>
          <w:spacing w:val="-5"/>
        </w:rPr>
        <w:t> </w:t>
      </w:r>
      <w:r>
        <w:rPr/>
        <w:t>differential</w:t>
      </w:r>
      <w:r>
        <w:rPr>
          <w:spacing w:val="-7"/>
        </w:rPr>
        <w:t> </w:t>
      </w:r>
      <w:r>
        <w:rPr/>
        <w:t>rate</w:t>
      </w:r>
      <w:r>
        <w:rPr>
          <w:spacing w:val="-7"/>
        </w:rPr>
        <w:t> </w:t>
      </w:r>
      <w:r>
        <w:rPr/>
        <w:t>will</w:t>
      </w:r>
      <w:r>
        <w:rPr>
          <w:spacing w:val="-8"/>
        </w:rPr>
        <w:t> </w:t>
      </w:r>
      <w:r>
        <w:rPr/>
        <w:t>be</w:t>
      </w:r>
      <w:r>
        <w:rPr>
          <w:spacing w:val="-5"/>
        </w:rPr>
        <w:t> </w:t>
      </w:r>
      <w:r>
        <w:rPr/>
        <w:t>used</w:t>
      </w:r>
      <w:r>
        <w:rPr>
          <w:spacing w:val="-7"/>
        </w:rPr>
        <w:t> </w:t>
      </w:r>
      <w:r>
        <w:rPr/>
        <w:t>to</w:t>
      </w:r>
      <w:r>
        <w:rPr>
          <w:spacing w:val="-9"/>
        </w:rPr>
        <w:t> </w:t>
      </w:r>
      <w:r>
        <w:rPr/>
        <w:t>fund</w:t>
      </w:r>
      <w:r>
        <w:rPr>
          <w:spacing w:val="-7"/>
        </w:rPr>
        <w:t> </w:t>
      </w:r>
      <w:r>
        <w:rPr/>
        <w:t>some</w:t>
      </w:r>
      <w:r>
        <w:rPr>
          <w:spacing w:val="-9"/>
        </w:rPr>
        <w:t> </w:t>
      </w:r>
      <w:r>
        <w:rPr/>
        <w:t>of</w:t>
      </w:r>
      <w:r>
        <w:rPr>
          <w:spacing w:val="-9"/>
        </w:rPr>
        <w:t> </w:t>
      </w:r>
      <w:r>
        <w:rPr/>
        <w:t>those</w:t>
      </w:r>
      <w:r>
        <w:rPr>
          <w:spacing w:val="-5"/>
        </w:rPr>
        <w:t> </w:t>
      </w:r>
      <w:r>
        <w:rPr/>
        <w:t>items</w:t>
      </w:r>
      <w:r>
        <w:rPr>
          <w:spacing w:val="-5"/>
        </w:rPr>
        <w:t> </w:t>
      </w:r>
      <w:r>
        <w:rPr/>
        <w:t>of</w:t>
      </w:r>
      <w:r>
        <w:rPr>
          <w:spacing w:val="-3"/>
        </w:rPr>
        <w:t> </w:t>
      </w:r>
      <w:r>
        <w:rPr/>
        <w:t>expenditure</w:t>
      </w:r>
      <w:r>
        <w:rPr>
          <w:spacing w:val="-11"/>
        </w:rPr>
        <w:t> </w:t>
      </w:r>
      <w:r>
        <w:rPr/>
        <w:t>described</w:t>
      </w:r>
      <w:r>
        <w:rPr>
          <w:spacing w:val="-5"/>
        </w:rPr>
        <w:t> </w:t>
      </w:r>
      <w:r>
        <w:rPr/>
        <w:t>in</w:t>
      </w:r>
      <w:r>
        <w:rPr>
          <w:spacing w:val="-9"/>
        </w:rPr>
        <w:t> </w:t>
      </w:r>
      <w:r>
        <w:rPr/>
        <w:t>the</w:t>
      </w:r>
      <w:r>
        <w:rPr>
          <w:spacing w:val="-5"/>
        </w:rPr>
        <w:t> </w:t>
      </w:r>
      <w:r>
        <w:rPr/>
        <w:t>Budget</w:t>
      </w:r>
      <w:r>
        <w:rPr>
          <w:spacing w:val="-5"/>
        </w:rPr>
        <w:t> </w:t>
      </w:r>
      <w:r>
        <w:rPr/>
        <w:t>adopted by Council. The level of differential rate is the level which Council considers is necessary to achieve the objectives specified above.</w:t>
      </w:r>
    </w:p>
    <w:p>
      <w:pPr>
        <w:pStyle w:val="BodyText"/>
        <w:spacing w:before="10"/>
        <w:rPr>
          <w:sz w:val="21"/>
        </w:rPr>
      </w:pPr>
    </w:p>
    <w:p>
      <w:pPr>
        <w:pStyle w:val="Heading5"/>
        <w:jc w:val="both"/>
      </w:pPr>
      <w:r>
        <w:rPr/>
        <w:t>Geographic</w:t>
      </w:r>
      <w:r>
        <w:rPr>
          <w:spacing w:val="-5"/>
        </w:rPr>
        <w:t> </w:t>
      </w:r>
      <w:r>
        <w:rPr>
          <w:spacing w:val="-2"/>
        </w:rPr>
        <w:t>Location:</w:t>
      </w:r>
    </w:p>
    <w:p>
      <w:pPr>
        <w:pStyle w:val="BodyText"/>
        <w:spacing w:before="2"/>
        <w:ind w:left="260"/>
        <w:jc w:val="both"/>
      </w:pPr>
      <w:r>
        <w:rPr/>
        <w:t>Wherever</w:t>
      </w:r>
      <w:r>
        <w:rPr>
          <w:spacing w:val="-3"/>
        </w:rPr>
        <w:t> </w:t>
      </w:r>
      <w:r>
        <w:rPr/>
        <w:t>located</w:t>
      </w:r>
      <w:r>
        <w:rPr>
          <w:spacing w:val="-2"/>
        </w:rPr>
        <w:t> </w:t>
      </w:r>
      <w:r>
        <w:rPr/>
        <w:t>within</w:t>
      </w:r>
      <w:r>
        <w:rPr>
          <w:spacing w:val="-7"/>
        </w:rPr>
        <w:t> </w:t>
      </w:r>
      <w:r>
        <w:rPr/>
        <w:t>the</w:t>
      </w:r>
      <w:r>
        <w:rPr>
          <w:spacing w:val="-5"/>
        </w:rPr>
        <w:t> </w:t>
      </w:r>
      <w:r>
        <w:rPr/>
        <w:t>municipal</w:t>
      </w:r>
      <w:r>
        <w:rPr>
          <w:spacing w:val="-3"/>
        </w:rPr>
        <w:t> </w:t>
      </w:r>
      <w:r>
        <w:rPr>
          <w:spacing w:val="-2"/>
        </w:rPr>
        <w:t>district.</w:t>
      </w:r>
    </w:p>
    <w:p>
      <w:pPr>
        <w:pStyle w:val="BodyText"/>
        <w:spacing w:before="9"/>
        <w:rPr>
          <w:sz w:val="21"/>
        </w:rPr>
      </w:pPr>
    </w:p>
    <w:p>
      <w:pPr>
        <w:pStyle w:val="Heading5"/>
        <w:jc w:val="both"/>
      </w:pPr>
      <w:r>
        <w:rPr/>
        <w:t>Use of</w:t>
      </w:r>
      <w:r>
        <w:rPr>
          <w:spacing w:val="-1"/>
        </w:rPr>
        <w:t> </w:t>
      </w:r>
      <w:r>
        <w:rPr>
          <w:spacing w:val="-4"/>
        </w:rPr>
        <w:t>Land:</w:t>
      </w:r>
    </w:p>
    <w:p>
      <w:pPr>
        <w:pStyle w:val="BodyText"/>
        <w:spacing w:before="2"/>
        <w:ind w:left="260"/>
        <w:jc w:val="both"/>
      </w:pPr>
      <w:r>
        <w:rPr/>
        <w:t>Any</w:t>
      </w:r>
      <w:r>
        <w:rPr>
          <w:spacing w:val="-3"/>
        </w:rPr>
        <w:t> </w:t>
      </w:r>
      <w:r>
        <w:rPr/>
        <w:t>use</w:t>
      </w:r>
      <w:r>
        <w:rPr>
          <w:spacing w:val="-3"/>
        </w:rPr>
        <w:t> </w:t>
      </w:r>
      <w:r>
        <w:rPr/>
        <w:t>permitted</w:t>
      </w:r>
      <w:r>
        <w:rPr>
          <w:spacing w:val="-5"/>
        </w:rPr>
        <w:t> </w:t>
      </w:r>
      <w:r>
        <w:rPr/>
        <w:t>under</w:t>
      </w:r>
      <w:r>
        <w:rPr>
          <w:spacing w:val="-2"/>
        </w:rPr>
        <w:t> </w:t>
      </w:r>
      <w:r>
        <w:rPr/>
        <w:t>the</w:t>
      </w:r>
      <w:r>
        <w:rPr>
          <w:spacing w:val="-5"/>
        </w:rPr>
        <w:t> </w:t>
      </w:r>
      <w:r>
        <w:rPr/>
        <w:t>relevant</w:t>
      </w:r>
      <w:r>
        <w:rPr>
          <w:spacing w:val="-3"/>
        </w:rPr>
        <w:t> </w:t>
      </w:r>
      <w:r>
        <w:rPr/>
        <w:t>Planning</w:t>
      </w:r>
      <w:r>
        <w:rPr>
          <w:spacing w:val="-1"/>
        </w:rPr>
        <w:t> </w:t>
      </w:r>
      <w:r>
        <w:rPr>
          <w:spacing w:val="-2"/>
        </w:rPr>
        <w:t>Scheme.</w:t>
      </w:r>
    </w:p>
    <w:p>
      <w:pPr>
        <w:pStyle w:val="BodyText"/>
      </w:pPr>
    </w:p>
    <w:p>
      <w:pPr>
        <w:pStyle w:val="Heading5"/>
        <w:spacing w:line="252" w:lineRule="exact"/>
      </w:pPr>
      <w:r>
        <w:rPr/>
        <w:t>Planning</w:t>
      </w:r>
      <w:r>
        <w:rPr>
          <w:spacing w:val="-4"/>
        </w:rPr>
        <w:t> </w:t>
      </w:r>
      <w:r>
        <w:rPr/>
        <w:t>Scheme</w:t>
      </w:r>
      <w:r>
        <w:rPr>
          <w:spacing w:val="-2"/>
        </w:rPr>
        <w:t> Zoning:</w:t>
      </w:r>
    </w:p>
    <w:p>
      <w:pPr>
        <w:pStyle w:val="BodyText"/>
        <w:ind w:left="260" w:right="555"/>
        <w:jc w:val="both"/>
      </w:pPr>
      <w:r>
        <w:rPr/>
        <w:t>The</w:t>
      </w:r>
      <w:r>
        <w:rPr>
          <w:spacing w:val="-2"/>
        </w:rPr>
        <w:t> </w:t>
      </w:r>
      <w:r>
        <w:rPr/>
        <w:t>zoning</w:t>
      </w:r>
      <w:r>
        <w:rPr>
          <w:spacing w:val="-4"/>
        </w:rPr>
        <w:t> </w:t>
      </w:r>
      <w:r>
        <w:rPr/>
        <w:t>applicable</w:t>
      </w:r>
      <w:r>
        <w:rPr>
          <w:spacing w:val="-4"/>
        </w:rPr>
        <w:t> </w:t>
      </w:r>
      <w:r>
        <w:rPr/>
        <w:t>to</w:t>
      </w:r>
      <w:r>
        <w:rPr>
          <w:spacing w:val="-7"/>
        </w:rPr>
        <w:t> </w:t>
      </w:r>
      <w:r>
        <w:rPr/>
        <w:t>each</w:t>
      </w:r>
      <w:r>
        <w:rPr>
          <w:spacing w:val="-4"/>
        </w:rPr>
        <w:t> </w:t>
      </w:r>
      <w:r>
        <w:rPr/>
        <w:t>rateable</w:t>
      </w:r>
      <w:r>
        <w:rPr>
          <w:spacing w:val="-6"/>
        </w:rPr>
        <w:t> </w:t>
      </w:r>
      <w:r>
        <w:rPr/>
        <w:t>land</w:t>
      </w:r>
      <w:r>
        <w:rPr>
          <w:spacing w:val="-2"/>
        </w:rPr>
        <w:t> </w:t>
      </w:r>
      <w:r>
        <w:rPr/>
        <w:t>within</w:t>
      </w:r>
      <w:r>
        <w:rPr>
          <w:spacing w:val="-6"/>
        </w:rPr>
        <w:t> </w:t>
      </w:r>
      <w:r>
        <w:rPr/>
        <w:t>this</w:t>
      </w:r>
      <w:r>
        <w:rPr>
          <w:spacing w:val="-4"/>
        </w:rPr>
        <w:t> </w:t>
      </w:r>
      <w:r>
        <w:rPr/>
        <w:t>category,</w:t>
      </w:r>
      <w:r>
        <w:rPr>
          <w:spacing w:val="-2"/>
        </w:rPr>
        <w:t> </w:t>
      </w:r>
      <w:r>
        <w:rPr/>
        <w:t>as</w:t>
      </w:r>
      <w:r>
        <w:rPr>
          <w:spacing w:val="-4"/>
        </w:rPr>
        <w:t> </w:t>
      </w:r>
      <w:r>
        <w:rPr/>
        <w:t>determined</w:t>
      </w:r>
      <w:r>
        <w:rPr>
          <w:spacing w:val="-2"/>
        </w:rPr>
        <w:t> </w:t>
      </w:r>
      <w:r>
        <w:rPr/>
        <w:t>by</w:t>
      </w:r>
      <w:r>
        <w:rPr>
          <w:spacing w:val="-4"/>
        </w:rPr>
        <w:t> </w:t>
      </w:r>
      <w:r>
        <w:rPr/>
        <w:t>consulting</w:t>
      </w:r>
      <w:r>
        <w:rPr>
          <w:spacing w:val="-4"/>
        </w:rPr>
        <w:t> </w:t>
      </w:r>
      <w:r>
        <w:rPr/>
        <w:t>maps</w:t>
      </w:r>
      <w:r>
        <w:rPr>
          <w:spacing w:val="-4"/>
        </w:rPr>
        <w:t> </w:t>
      </w:r>
      <w:r>
        <w:rPr/>
        <w:t>referred to in the relevant Planning Scheme.</w:t>
      </w:r>
    </w:p>
    <w:p>
      <w:pPr>
        <w:pStyle w:val="BodyText"/>
        <w:spacing w:before="10"/>
        <w:rPr>
          <w:sz w:val="21"/>
        </w:rPr>
      </w:pPr>
    </w:p>
    <w:p>
      <w:pPr>
        <w:spacing w:before="0"/>
        <w:ind w:left="260" w:right="0" w:firstLine="0"/>
        <w:jc w:val="both"/>
        <w:rPr>
          <w:b/>
          <w:sz w:val="22"/>
        </w:rPr>
      </w:pPr>
      <w:r>
        <w:rPr>
          <w:b/>
          <w:sz w:val="22"/>
          <w:u w:val="single"/>
        </w:rPr>
        <w:t>Derelict</w:t>
      </w:r>
      <w:r>
        <w:rPr>
          <w:b/>
          <w:spacing w:val="-5"/>
          <w:sz w:val="22"/>
          <w:u w:val="single"/>
        </w:rPr>
        <w:t> </w:t>
      </w:r>
      <w:r>
        <w:rPr>
          <w:b/>
          <w:spacing w:val="-4"/>
          <w:sz w:val="22"/>
          <w:u w:val="single"/>
        </w:rPr>
        <w:t>Land</w:t>
      </w:r>
    </w:p>
    <w:p>
      <w:pPr>
        <w:pStyle w:val="BodyText"/>
        <w:spacing w:before="11"/>
        <w:rPr>
          <w:b/>
          <w:sz w:val="13"/>
        </w:rPr>
      </w:pPr>
    </w:p>
    <w:p>
      <w:pPr>
        <w:pStyle w:val="Heading5"/>
        <w:spacing w:before="93"/>
      </w:pPr>
      <w:r>
        <w:rPr>
          <w:spacing w:val="-2"/>
        </w:rPr>
        <w:t>Definitions/Characteristics:</w:t>
      </w:r>
    </w:p>
    <w:p>
      <w:pPr>
        <w:pStyle w:val="BodyText"/>
        <w:spacing w:before="1"/>
        <w:rPr>
          <w:b/>
        </w:rPr>
      </w:pPr>
    </w:p>
    <w:p>
      <w:pPr>
        <w:pStyle w:val="BodyText"/>
        <w:ind w:left="260" w:right="554"/>
        <w:jc w:val="both"/>
      </w:pPr>
      <w:r>
        <w:rPr/>
        <w:t>Land is “Derelict Land” where, at any point in the rating year, a notice to comply is issued to the Owner or Occupier of the land under the Local Law on the grounds that the land is unsightly, or derelict as defined in the Local Law, whereby;</w:t>
      </w:r>
    </w:p>
    <w:p>
      <w:pPr>
        <w:pStyle w:val="BodyText"/>
        <w:spacing w:before="9"/>
        <w:rPr>
          <w:sz w:val="20"/>
        </w:rPr>
      </w:pPr>
    </w:p>
    <w:p>
      <w:pPr>
        <w:pStyle w:val="ListParagraph"/>
        <w:numPr>
          <w:ilvl w:val="0"/>
          <w:numId w:val="66"/>
        </w:numPr>
        <w:tabs>
          <w:tab w:pos="826" w:val="left" w:leader="none"/>
          <w:tab w:pos="827" w:val="left" w:leader="none"/>
        </w:tabs>
        <w:spacing w:line="240" w:lineRule="auto" w:before="0" w:after="0"/>
        <w:ind w:left="826" w:right="557" w:hanging="567"/>
        <w:jc w:val="left"/>
        <w:rPr>
          <w:sz w:val="22"/>
        </w:rPr>
      </w:pPr>
      <w:r>
        <w:rPr>
          <w:sz w:val="22"/>
        </w:rPr>
        <w:t>The grounds in the notice to comply have not been addressed to an Authorised Officer’s satisfaction; </w:t>
      </w:r>
      <w:r>
        <w:rPr>
          <w:spacing w:val="-2"/>
          <w:sz w:val="22"/>
        </w:rPr>
        <w:t>and/or</w:t>
      </w:r>
    </w:p>
    <w:p>
      <w:pPr>
        <w:pStyle w:val="BodyText"/>
        <w:spacing w:before="11"/>
        <w:rPr>
          <w:sz w:val="20"/>
        </w:rPr>
      </w:pPr>
    </w:p>
    <w:p>
      <w:pPr>
        <w:pStyle w:val="ListParagraph"/>
        <w:numPr>
          <w:ilvl w:val="0"/>
          <w:numId w:val="66"/>
        </w:numPr>
        <w:tabs>
          <w:tab w:pos="826" w:val="left" w:leader="none"/>
          <w:tab w:pos="827" w:val="left" w:leader="none"/>
        </w:tabs>
        <w:spacing w:line="240" w:lineRule="auto" w:before="0" w:after="0"/>
        <w:ind w:left="826" w:right="555" w:hanging="567"/>
        <w:jc w:val="left"/>
        <w:rPr>
          <w:sz w:val="22"/>
        </w:rPr>
      </w:pPr>
      <w:r>
        <w:rPr>
          <w:sz w:val="22"/>
        </w:rPr>
        <w:t>More</w:t>
      </w:r>
      <w:r>
        <w:rPr>
          <w:spacing w:val="-7"/>
          <w:sz w:val="22"/>
        </w:rPr>
        <w:t> </w:t>
      </w:r>
      <w:r>
        <w:rPr>
          <w:sz w:val="22"/>
        </w:rPr>
        <w:t>than</w:t>
      </w:r>
      <w:r>
        <w:rPr>
          <w:spacing w:val="-3"/>
          <w:sz w:val="22"/>
        </w:rPr>
        <w:t> </w:t>
      </w:r>
      <w:r>
        <w:rPr>
          <w:sz w:val="22"/>
        </w:rPr>
        <w:t>one</w:t>
      </w:r>
      <w:r>
        <w:rPr>
          <w:spacing w:val="-1"/>
          <w:sz w:val="22"/>
        </w:rPr>
        <w:t> </w:t>
      </w:r>
      <w:r>
        <w:rPr>
          <w:sz w:val="22"/>
        </w:rPr>
        <w:t>notice</w:t>
      </w:r>
      <w:r>
        <w:rPr>
          <w:spacing w:val="-3"/>
          <w:sz w:val="22"/>
        </w:rPr>
        <w:t> </w:t>
      </w:r>
      <w:r>
        <w:rPr>
          <w:sz w:val="22"/>
        </w:rPr>
        <w:t>to</w:t>
      </w:r>
      <w:r>
        <w:rPr>
          <w:spacing w:val="-7"/>
          <w:sz w:val="22"/>
        </w:rPr>
        <w:t> </w:t>
      </w:r>
      <w:r>
        <w:rPr>
          <w:sz w:val="22"/>
        </w:rPr>
        <w:t>comply</w:t>
      </w:r>
      <w:r>
        <w:rPr>
          <w:spacing w:val="-3"/>
          <w:sz w:val="22"/>
        </w:rPr>
        <w:t> </w:t>
      </w:r>
      <w:r>
        <w:rPr>
          <w:sz w:val="22"/>
        </w:rPr>
        <w:t>is issued</w:t>
      </w:r>
      <w:r>
        <w:rPr>
          <w:spacing w:val="-5"/>
          <w:sz w:val="22"/>
        </w:rPr>
        <w:t> </w:t>
      </w:r>
      <w:r>
        <w:rPr>
          <w:sz w:val="22"/>
        </w:rPr>
        <w:t>to</w:t>
      </w:r>
      <w:r>
        <w:rPr>
          <w:spacing w:val="-3"/>
          <w:sz w:val="22"/>
        </w:rPr>
        <w:t> </w:t>
      </w:r>
      <w:r>
        <w:rPr>
          <w:sz w:val="22"/>
        </w:rPr>
        <w:t>the</w:t>
      </w:r>
      <w:r>
        <w:rPr>
          <w:spacing w:val="-4"/>
          <w:sz w:val="22"/>
        </w:rPr>
        <w:t> </w:t>
      </w:r>
      <w:r>
        <w:rPr>
          <w:sz w:val="22"/>
        </w:rPr>
        <w:t>Owner or</w:t>
      </w:r>
      <w:r>
        <w:rPr>
          <w:spacing w:val="-1"/>
          <w:sz w:val="22"/>
        </w:rPr>
        <w:t> </w:t>
      </w:r>
      <w:r>
        <w:rPr>
          <w:sz w:val="22"/>
        </w:rPr>
        <w:t>Occupier</w:t>
      </w:r>
      <w:r>
        <w:rPr>
          <w:spacing w:val="-1"/>
          <w:sz w:val="22"/>
        </w:rPr>
        <w:t> </w:t>
      </w:r>
      <w:r>
        <w:rPr>
          <w:sz w:val="22"/>
        </w:rPr>
        <w:t>of</w:t>
      </w:r>
      <w:r>
        <w:rPr>
          <w:spacing w:val="-5"/>
          <w:sz w:val="22"/>
        </w:rPr>
        <w:t> </w:t>
      </w:r>
      <w:r>
        <w:rPr>
          <w:sz w:val="22"/>
        </w:rPr>
        <w:t>the</w:t>
      </w:r>
      <w:r>
        <w:rPr>
          <w:spacing w:val="-2"/>
          <w:sz w:val="22"/>
        </w:rPr>
        <w:t> </w:t>
      </w:r>
      <w:r>
        <w:rPr>
          <w:sz w:val="22"/>
        </w:rPr>
        <w:t>land on</w:t>
      </w:r>
      <w:r>
        <w:rPr>
          <w:spacing w:val="-2"/>
          <w:sz w:val="22"/>
        </w:rPr>
        <w:t> </w:t>
      </w:r>
      <w:r>
        <w:rPr>
          <w:sz w:val="22"/>
        </w:rPr>
        <w:t>the</w:t>
      </w:r>
      <w:r>
        <w:rPr>
          <w:spacing w:val="-2"/>
          <w:sz w:val="22"/>
        </w:rPr>
        <w:t> </w:t>
      </w:r>
      <w:r>
        <w:rPr>
          <w:sz w:val="22"/>
        </w:rPr>
        <w:t>grounds</w:t>
      </w:r>
      <w:r>
        <w:rPr>
          <w:spacing w:val="-3"/>
          <w:sz w:val="22"/>
        </w:rPr>
        <w:t> </w:t>
      </w:r>
      <w:r>
        <w:rPr>
          <w:sz w:val="22"/>
        </w:rPr>
        <w:t>that the land is unsightly or derelict within a 12-month period.</w:t>
      </w:r>
    </w:p>
    <w:p>
      <w:pPr>
        <w:pStyle w:val="BodyText"/>
        <w:spacing w:before="10"/>
        <w:rPr>
          <w:sz w:val="20"/>
        </w:rPr>
      </w:pPr>
    </w:p>
    <w:p>
      <w:pPr>
        <w:pStyle w:val="BodyText"/>
        <w:ind w:left="260"/>
        <w:jc w:val="both"/>
      </w:pPr>
      <w:r>
        <w:rPr/>
        <w:t>For</w:t>
      </w:r>
      <w:r>
        <w:rPr>
          <w:spacing w:val="-2"/>
        </w:rPr>
        <w:t> </w:t>
      </w:r>
      <w:r>
        <w:rPr/>
        <w:t>the</w:t>
      </w:r>
      <w:r>
        <w:rPr>
          <w:spacing w:val="-1"/>
        </w:rPr>
        <w:t> </w:t>
      </w:r>
      <w:r>
        <w:rPr/>
        <w:t>purposes</w:t>
      </w:r>
      <w:r>
        <w:rPr>
          <w:spacing w:val="-4"/>
        </w:rPr>
        <w:t> </w:t>
      </w:r>
      <w:r>
        <w:rPr/>
        <w:t>of</w:t>
      </w:r>
      <w:r>
        <w:rPr>
          <w:spacing w:val="-1"/>
        </w:rPr>
        <w:t> </w:t>
      </w:r>
      <w:r>
        <w:rPr/>
        <w:t>this</w:t>
      </w:r>
      <w:r>
        <w:rPr>
          <w:spacing w:val="-3"/>
        </w:rPr>
        <w:t> </w:t>
      </w:r>
      <w:r>
        <w:rPr>
          <w:spacing w:val="-2"/>
        </w:rPr>
        <w:t>section:</w:t>
      </w:r>
    </w:p>
    <w:p>
      <w:pPr>
        <w:pStyle w:val="BodyText"/>
        <w:spacing w:before="9"/>
        <w:rPr>
          <w:sz w:val="20"/>
        </w:rPr>
      </w:pPr>
    </w:p>
    <w:p>
      <w:pPr>
        <w:pStyle w:val="BodyText"/>
        <w:ind w:left="826" w:right="445"/>
      </w:pPr>
      <w:r>
        <w:rPr/>
        <w:t>“Land” includes all land within Council’s municipality, including land with or (where relevant) without</w:t>
      </w:r>
      <w:r>
        <w:rPr>
          <w:spacing w:val="40"/>
        </w:rPr>
        <w:t> </w:t>
      </w:r>
      <w:r>
        <w:rPr/>
        <w:t>structures or buildings on it, in any zone.</w:t>
      </w:r>
    </w:p>
    <w:p>
      <w:pPr>
        <w:pStyle w:val="BodyText"/>
        <w:spacing w:before="11"/>
        <w:rPr>
          <w:sz w:val="20"/>
        </w:rPr>
      </w:pPr>
    </w:p>
    <w:p>
      <w:pPr>
        <w:pStyle w:val="BodyText"/>
        <w:ind w:left="826" w:right="445"/>
      </w:pPr>
      <w:r>
        <w:rPr/>
        <w:t>“Authorised</w:t>
      </w:r>
      <w:r>
        <w:rPr>
          <w:spacing w:val="-8"/>
        </w:rPr>
        <w:t> </w:t>
      </w:r>
      <w:r>
        <w:rPr/>
        <w:t>Officer”</w:t>
      </w:r>
      <w:r>
        <w:rPr>
          <w:spacing w:val="-9"/>
        </w:rPr>
        <w:t> </w:t>
      </w:r>
      <w:r>
        <w:rPr/>
        <w:t>means</w:t>
      </w:r>
      <w:r>
        <w:rPr>
          <w:spacing w:val="-4"/>
        </w:rPr>
        <w:t> </w:t>
      </w:r>
      <w:r>
        <w:rPr/>
        <w:t>an</w:t>
      </w:r>
      <w:r>
        <w:rPr>
          <w:spacing w:val="-6"/>
        </w:rPr>
        <w:t> </w:t>
      </w:r>
      <w:r>
        <w:rPr/>
        <w:t>officer</w:t>
      </w:r>
      <w:r>
        <w:rPr>
          <w:spacing w:val="-4"/>
        </w:rPr>
        <w:t> </w:t>
      </w:r>
      <w:r>
        <w:rPr/>
        <w:t>appointed</w:t>
      </w:r>
      <w:r>
        <w:rPr>
          <w:spacing w:val="-8"/>
        </w:rPr>
        <w:t> </w:t>
      </w:r>
      <w:r>
        <w:rPr/>
        <w:t>by</w:t>
      </w:r>
      <w:r>
        <w:rPr>
          <w:spacing w:val="-4"/>
        </w:rPr>
        <w:t> </w:t>
      </w:r>
      <w:r>
        <w:rPr/>
        <w:t>Council</w:t>
      </w:r>
      <w:r>
        <w:rPr>
          <w:spacing w:val="-5"/>
        </w:rPr>
        <w:t> </w:t>
      </w:r>
      <w:r>
        <w:rPr/>
        <w:t>as</w:t>
      </w:r>
      <w:r>
        <w:rPr>
          <w:spacing w:val="-6"/>
        </w:rPr>
        <w:t> </w:t>
      </w:r>
      <w:r>
        <w:rPr/>
        <w:t>an</w:t>
      </w:r>
      <w:r>
        <w:rPr>
          <w:spacing w:val="-4"/>
        </w:rPr>
        <w:t> </w:t>
      </w:r>
      <w:r>
        <w:rPr/>
        <w:t>Authorised</w:t>
      </w:r>
      <w:r>
        <w:rPr>
          <w:spacing w:val="-4"/>
        </w:rPr>
        <w:t> </w:t>
      </w:r>
      <w:r>
        <w:rPr/>
        <w:t>Officer</w:t>
      </w:r>
      <w:r>
        <w:rPr>
          <w:spacing w:val="-2"/>
        </w:rPr>
        <w:t> </w:t>
      </w:r>
      <w:r>
        <w:rPr/>
        <w:t>under</w:t>
      </w:r>
      <w:r>
        <w:rPr>
          <w:spacing w:val="-4"/>
        </w:rPr>
        <w:t> </w:t>
      </w:r>
      <w:r>
        <w:rPr/>
        <w:t>S224</w:t>
      </w:r>
      <w:r>
        <w:rPr>
          <w:spacing w:val="-4"/>
        </w:rPr>
        <w:t> </w:t>
      </w:r>
      <w:r>
        <w:rPr/>
        <w:t>of</w:t>
      </w:r>
      <w:r>
        <w:rPr>
          <w:spacing w:val="-8"/>
        </w:rPr>
        <w:t> </w:t>
      </w:r>
      <w:r>
        <w:rPr/>
        <w:t>the Local Government Act 1989.</w:t>
      </w:r>
    </w:p>
    <w:p>
      <w:pPr>
        <w:pStyle w:val="BodyText"/>
        <w:spacing w:before="10"/>
        <w:rPr>
          <w:sz w:val="20"/>
        </w:rPr>
      </w:pPr>
    </w:p>
    <w:p>
      <w:pPr>
        <w:pStyle w:val="BodyText"/>
        <w:ind w:left="260" w:right="557"/>
        <w:jc w:val="both"/>
      </w:pPr>
      <w:r>
        <w:rPr/>
        <w:t>Local Law means the Maroondah City Council Community Local Law 2023 as amended or replaced from time to time.</w:t>
      </w:r>
    </w:p>
    <w:p>
      <w:pPr>
        <w:pStyle w:val="BodyText"/>
      </w:pPr>
    </w:p>
    <w:p>
      <w:pPr>
        <w:pStyle w:val="Heading5"/>
        <w:spacing w:line="252" w:lineRule="exact"/>
      </w:pPr>
      <w:r>
        <w:rPr>
          <w:spacing w:val="-2"/>
        </w:rPr>
        <w:t>Objective:</w:t>
      </w:r>
    </w:p>
    <w:p>
      <w:pPr>
        <w:pStyle w:val="BodyText"/>
        <w:ind w:left="260" w:right="554"/>
        <w:jc w:val="both"/>
      </w:pPr>
      <w:r>
        <w:rPr/>
        <w:t>To provide a strong incentive to ratepayers to proactively maintain the appearance, safety and condition of their properties and to improve municipal streetscapes, consistent with Council’s vision in Maroondah 2040 for “A</w:t>
      </w:r>
      <w:r>
        <w:rPr>
          <w:spacing w:val="-1"/>
        </w:rPr>
        <w:t> </w:t>
      </w:r>
      <w:r>
        <w:rPr/>
        <w:t>safe community” and “An attractive, thriving and well-built community” and Key Direction 1.1</w:t>
      </w:r>
      <w:r>
        <w:rPr>
          <w:spacing w:val="40"/>
        </w:rPr>
        <w:t> </w:t>
      </w:r>
      <w:r>
        <w:rPr/>
        <w:t>Work in partnership to address community safety and implement initiatives aimed at improving the actual and perceived safety of the community and Key Direction 6.5 to</w:t>
      </w:r>
      <w:r>
        <w:rPr>
          <w:spacing w:val="-2"/>
        </w:rPr>
        <w:t> </w:t>
      </w:r>
      <w:r>
        <w:rPr/>
        <w:t>“Develop and implement an urban environment that enhances the desirable attributes of Maroondah to protect and value neighbourhood character, local history and cultural heritage”.</w:t>
      </w:r>
    </w:p>
    <w:p>
      <w:pPr>
        <w:pStyle w:val="BodyText"/>
        <w:spacing w:before="1"/>
      </w:pPr>
    </w:p>
    <w:p>
      <w:pPr>
        <w:pStyle w:val="Heading5"/>
        <w:spacing w:line="252" w:lineRule="exact"/>
      </w:pPr>
      <w:r>
        <w:rPr/>
        <w:t>Types</w:t>
      </w:r>
      <w:r>
        <w:rPr>
          <w:spacing w:val="-2"/>
        </w:rPr>
        <w:t> </w:t>
      </w:r>
      <w:r>
        <w:rPr/>
        <w:t>and</w:t>
      </w:r>
      <w:r>
        <w:rPr>
          <w:spacing w:val="-1"/>
        </w:rPr>
        <w:t> </w:t>
      </w:r>
      <w:r>
        <w:rPr>
          <w:spacing w:val="-2"/>
        </w:rPr>
        <w:t>Classes:</w:t>
      </w:r>
    </w:p>
    <w:p>
      <w:pPr>
        <w:pStyle w:val="BodyText"/>
        <w:spacing w:line="252" w:lineRule="exact"/>
        <w:ind w:left="260"/>
      </w:pPr>
      <w:r>
        <w:rPr/>
        <w:t>Rateable</w:t>
      </w:r>
      <w:r>
        <w:rPr>
          <w:spacing w:val="-7"/>
        </w:rPr>
        <w:t> </w:t>
      </w:r>
      <w:r>
        <w:rPr/>
        <w:t>land</w:t>
      </w:r>
      <w:r>
        <w:rPr>
          <w:spacing w:val="-3"/>
        </w:rPr>
        <w:t> </w:t>
      </w:r>
      <w:r>
        <w:rPr/>
        <w:t>having</w:t>
      </w:r>
      <w:r>
        <w:rPr>
          <w:spacing w:val="-4"/>
        </w:rPr>
        <w:t> </w:t>
      </w:r>
      <w:r>
        <w:rPr/>
        <w:t>the</w:t>
      </w:r>
      <w:r>
        <w:rPr>
          <w:spacing w:val="-4"/>
        </w:rPr>
        <w:t> </w:t>
      </w:r>
      <w:r>
        <w:rPr/>
        <w:t>relevant</w:t>
      </w:r>
      <w:r>
        <w:rPr>
          <w:spacing w:val="-2"/>
        </w:rPr>
        <w:t> </w:t>
      </w:r>
      <w:r>
        <w:rPr/>
        <w:t>characteristics</w:t>
      </w:r>
      <w:r>
        <w:rPr>
          <w:spacing w:val="-6"/>
        </w:rPr>
        <w:t> </w:t>
      </w:r>
      <w:r>
        <w:rPr/>
        <w:t>described</w:t>
      </w:r>
      <w:r>
        <w:rPr>
          <w:spacing w:val="-3"/>
        </w:rPr>
        <w:t> </w:t>
      </w:r>
      <w:r>
        <w:rPr/>
        <w:t>in</w:t>
      </w:r>
      <w:r>
        <w:rPr>
          <w:spacing w:val="-5"/>
        </w:rPr>
        <w:t> </w:t>
      </w:r>
      <w:r>
        <w:rPr/>
        <w:t>the</w:t>
      </w:r>
      <w:r>
        <w:rPr>
          <w:spacing w:val="-1"/>
        </w:rPr>
        <w:t> </w:t>
      </w:r>
      <w:r>
        <w:rPr>
          <w:spacing w:val="-2"/>
        </w:rPr>
        <w:t>definition/characteristics.</w:t>
      </w:r>
    </w:p>
    <w:p>
      <w:pPr>
        <w:pStyle w:val="BodyText"/>
      </w:pPr>
    </w:p>
    <w:p>
      <w:pPr>
        <w:pStyle w:val="Heading5"/>
        <w:spacing w:line="252" w:lineRule="exact"/>
        <w:jc w:val="both"/>
      </w:pPr>
      <w:r>
        <w:rPr/>
        <w:t>Use</w:t>
      </w:r>
      <w:r>
        <w:rPr>
          <w:spacing w:val="-2"/>
        </w:rPr>
        <w:t> </w:t>
      </w:r>
      <w:r>
        <w:rPr/>
        <w:t>and</w:t>
      </w:r>
      <w:r>
        <w:rPr>
          <w:spacing w:val="-3"/>
        </w:rPr>
        <w:t> </w:t>
      </w:r>
      <w:r>
        <w:rPr/>
        <w:t>Level</w:t>
      </w:r>
      <w:r>
        <w:rPr>
          <w:spacing w:val="-5"/>
        </w:rPr>
        <w:t> </w:t>
      </w:r>
      <w:r>
        <w:rPr/>
        <w:t>of</w:t>
      </w:r>
      <w:r>
        <w:rPr>
          <w:spacing w:val="-6"/>
        </w:rPr>
        <w:t> </w:t>
      </w:r>
      <w:r>
        <w:rPr/>
        <w:t>Differential </w:t>
      </w:r>
      <w:r>
        <w:rPr>
          <w:spacing w:val="-4"/>
        </w:rPr>
        <w:t>Rate:</w:t>
      </w:r>
    </w:p>
    <w:p>
      <w:pPr>
        <w:pStyle w:val="BodyText"/>
        <w:ind w:left="260" w:right="554"/>
        <w:jc w:val="both"/>
      </w:pPr>
      <w:r>
        <w:rPr/>
        <w:t>The</w:t>
      </w:r>
      <w:r>
        <w:rPr>
          <w:spacing w:val="-5"/>
        </w:rPr>
        <w:t> </w:t>
      </w:r>
      <w:r>
        <w:rPr/>
        <w:t>differential</w:t>
      </w:r>
      <w:r>
        <w:rPr>
          <w:spacing w:val="-7"/>
        </w:rPr>
        <w:t> </w:t>
      </w:r>
      <w:r>
        <w:rPr/>
        <w:t>rate</w:t>
      </w:r>
      <w:r>
        <w:rPr>
          <w:spacing w:val="-7"/>
        </w:rPr>
        <w:t> </w:t>
      </w:r>
      <w:r>
        <w:rPr/>
        <w:t>will</w:t>
      </w:r>
      <w:r>
        <w:rPr>
          <w:spacing w:val="-8"/>
        </w:rPr>
        <w:t> </w:t>
      </w:r>
      <w:r>
        <w:rPr/>
        <w:t>be</w:t>
      </w:r>
      <w:r>
        <w:rPr>
          <w:spacing w:val="-5"/>
        </w:rPr>
        <w:t> </w:t>
      </w:r>
      <w:r>
        <w:rPr/>
        <w:t>used</w:t>
      </w:r>
      <w:r>
        <w:rPr>
          <w:spacing w:val="-7"/>
        </w:rPr>
        <w:t> </w:t>
      </w:r>
      <w:r>
        <w:rPr/>
        <w:t>to</w:t>
      </w:r>
      <w:r>
        <w:rPr>
          <w:spacing w:val="-9"/>
        </w:rPr>
        <w:t> </w:t>
      </w:r>
      <w:r>
        <w:rPr/>
        <w:t>fund</w:t>
      </w:r>
      <w:r>
        <w:rPr>
          <w:spacing w:val="-7"/>
        </w:rPr>
        <w:t> </w:t>
      </w:r>
      <w:r>
        <w:rPr/>
        <w:t>some</w:t>
      </w:r>
      <w:r>
        <w:rPr>
          <w:spacing w:val="-9"/>
        </w:rPr>
        <w:t> </w:t>
      </w:r>
      <w:r>
        <w:rPr/>
        <w:t>of</w:t>
      </w:r>
      <w:r>
        <w:rPr>
          <w:spacing w:val="-9"/>
        </w:rPr>
        <w:t> </w:t>
      </w:r>
      <w:r>
        <w:rPr/>
        <w:t>those</w:t>
      </w:r>
      <w:r>
        <w:rPr>
          <w:spacing w:val="-5"/>
        </w:rPr>
        <w:t> </w:t>
      </w:r>
      <w:r>
        <w:rPr/>
        <w:t>items</w:t>
      </w:r>
      <w:r>
        <w:rPr>
          <w:spacing w:val="-5"/>
        </w:rPr>
        <w:t> </w:t>
      </w:r>
      <w:r>
        <w:rPr/>
        <w:t>of</w:t>
      </w:r>
      <w:r>
        <w:rPr>
          <w:spacing w:val="-3"/>
        </w:rPr>
        <w:t> </w:t>
      </w:r>
      <w:r>
        <w:rPr/>
        <w:t>expenditure</w:t>
      </w:r>
      <w:r>
        <w:rPr>
          <w:spacing w:val="-11"/>
        </w:rPr>
        <w:t> </w:t>
      </w:r>
      <w:r>
        <w:rPr/>
        <w:t>described</w:t>
      </w:r>
      <w:r>
        <w:rPr>
          <w:spacing w:val="-5"/>
        </w:rPr>
        <w:t> </w:t>
      </w:r>
      <w:r>
        <w:rPr/>
        <w:t>in</w:t>
      </w:r>
      <w:r>
        <w:rPr>
          <w:spacing w:val="-9"/>
        </w:rPr>
        <w:t> </w:t>
      </w:r>
      <w:r>
        <w:rPr/>
        <w:t>the</w:t>
      </w:r>
      <w:r>
        <w:rPr>
          <w:spacing w:val="-5"/>
        </w:rPr>
        <w:t> </w:t>
      </w:r>
      <w:r>
        <w:rPr/>
        <w:t>Budget</w:t>
      </w:r>
      <w:r>
        <w:rPr>
          <w:spacing w:val="-5"/>
        </w:rPr>
        <w:t> </w:t>
      </w:r>
      <w:r>
        <w:rPr/>
        <w:t>adopted by Council. The level of differential rate is the level which Council considers is necessary to achieve the objectives specified above.</w:t>
      </w:r>
    </w:p>
    <w:p>
      <w:pPr>
        <w:spacing w:after="0"/>
        <w:jc w:val="both"/>
        <w:sectPr>
          <w:pgSz w:w="11910" w:h="16840"/>
          <w:pgMar w:header="0" w:footer="375" w:top="620" w:bottom="560" w:left="460" w:right="160"/>
        </w:sectPr>
      </w:pPr>
    </w:p>
    <w:p>
      <w:pPr>
        <w:pStyle w:val="Heading5"/>
        <w:spacing w:line="252" w:lineRule="exact" w:before="81"/>
      </w:pPr>
      <w:r>
        <w:rPr/>
        <w:t>Geographic</w:t>
      </w:r>
      <w:r>
        <w:rPr>
          <w:spacing w:val="-5"/>
        </w:rPr>
        <w:t> </w:t>
      </w:r>
      <w:r>
        <w:rPr>
          <w:spacing w:val="-2"/>
        </w:rPr>
        <w:t>Location:</w:t>
      </w:r>
    </w:p>
    <w:p>
      <w:pPr>
        <w:pStyle w:val="BodyText"/>
        <w:spacing w:line="252" w:lineRule="exact"/>
        <w:ind w:left="260"/>
      </w:pPr>
      <w:r>
        <w:rPr/>
        <w:t>Wherever</w:t>
      </w:r>
      <w:r>
        <w:rPr>
          <w:spacing w:val="-3"/>
        </w:rPr>
        <w:t> </w:t>
      </w:r>
      <w:r>
        <w:rPr/>
        <w:t>located</w:t>
      </w:r>
      <w:r>
        <w:rPr>
          <w:spacing w:val="-2"/>
        </w:rPr>
        <w:t> </w:t>
      </w:r>
      <w:r>
        <w:rPr/>
        <w:t>within</w:t>
      </w:r>
      <w:r>
        <w:rPr>
          <w:spacing w:val="-7"/>
        </w:rPr>
        <w:t> </w:t>
      </w:r>
      <w:r>
        <w:rPr/>
        <w:t>the</w:t>
      </w:r>
      <w:r>
        <w:rPr>
          <w:spacing w:val="-5"/>
        </w:rPr>
        <w:t> </w:t>
      </w:r>
      <w:r>
        <w:rPr/>
        <w:t>municipal</w:t>
      </w:r>
      <w:r>
        <w:rPr>
          <w:spacing w:val="-3"/>
        </w:rPr>
        <w:t> </w:t>
      </w:r>
      <w:r>
        <w:rPr>
          <w:spacing w:val="-2"/>
        </w:rPr>
        <w:t>district.</w:t>
      </w:r>
    </w:p>
    <w:p>
      <w:pPr>
        <w:pStyle w:val="Heading5"/>
        <w:spacing w:line="252" w:lineRule="exact" w:before="2"/>
      </w:pPr>
      <w:r>
        <w:rPr/>
        <w:t>Use of</w:t>
      </w:r>
      <w:r>
        <w:rPr>
          <w:spacing w:val="-1"/>
        </w:rPr>
        <w:t> </w:t>
      </w:r>
      <w:r>
        <w:rPr>
          <w:spacing w:val="-4"/>
        </w:rPr>
        <w:t>Land:</w:t>
      </w:r>
    </w:p>
    <w:p>
      <w:pPr>
        <w:pStyle w:val="BodyText"/>
        <w:spacing w:line="252" w:lineRule="exact"/>
        <w:ind w:left="260"/>
      </w:pPr>
      <w:r>
        <w:rPr/>
        <w:t>Any</w:t>
      </w:r>
      <w:r>
        <w:rPr>
          <w:spacing w:val="-3"/>
        </w:rPr>
        <w:t> </w:t>
      </w:r>
      <w:r>
        <w:rPr/>
        <w:t>use</w:t>
      </w:r>
      <w:r>
        <w:rPr>
          <w:spacing w:val="-3"/>
        </w:rPr>
        <w:t> </w:t>
      </w:r>
      <w:r>
        <w:rPr/>
        <w:t>permitted</w:t>
      </w:r>
      <w:r>
        <w:rPr>
          <w:spacing w:val="-5"/>
        </w:rPr>
        <w:t> </w:t>
      </w:r>
      <w:r>
        <w:rPr/>
        <w:t>under</w:t>
      </w:r>
      <w:r>
        <w:rPr>
          <w:spacing w:val="-2"/>
        </w:rPr>
        <w:t> </w:t>
      </w:r>
      <w:r>
        <w:rPr/>
        <w:t>the</w:t>
      </w:r>
      <w:r>
        <w:rPr>
          <w:spacing w:val="-5"/>
        </w:rPr>
        <w:t> </w:t>
      </w:r>
      <w:r>
        <w:rPr/>
        <w:t>relevant</w:t>
      </w:r>
      <w:r>
        <w:rPr>
          <w:spacing w:val="-3"/>
        </w:rPr>
        <w:t> </w:t>
      </w:r>
      <w:r>
        <w:rPr/>
        <w:t>Planning</w:t>
      </w:r>
      <w:r>
        <w:rPr>
          <w:spacing w:val="-1"/>
        </w:rPr>
        <w:t> </w:t>
      </w:r>
      <w:r>
        <w:rPr>
          <w:spacing w:val="-2"/>
        </w:rPr>
        <w:t>Scheme.</w:t>
      </w:r>
    </w:p>
    <w:p>
      <w:pPr>
        <w:pStyle w:val="BodyText"/>
      </w:pPr>
    </w:p>
    <w:p>
      <w:pPr>
        <w:pStyle w:val="Heading5"/>
        <w:spacing w:line="252" w:lineRule="exact"/>
      </w:pPr>
      <w:r>
        <w:rPr/>
        <w:t>Planning</w:t>
      </w:r>
      <w:r>
        <w:rPr>
          <w:spacing w:val="-4"/>
        </w:rPr>
        <w:t> </w:t>
      </w:r>
      <w:r>
        <w:rPr/>
        <w:t>Scheme</w:t>
      </w:r>
      <w:r>
        <w:rPr>
          <w:spacing w:val="-2"/>
        </w:rPr>
        <w:t> Zoning:</w:t>
      </w:r>
    </w:p>
    <w:p>
      <w:pPr>
        <w:pStyle w:val="BodyText"/>
        <w:ind w:left="260" w:right="445"/>
      </w:pPr>
      <w:r>
        <w:rPr/>
        <w:t>The</w:t>
      </w:r>
      <w:r>
        <w:rPr>
          <w:spacing w:val="-2"/>
        </w:rPr>
        <w:t> </w:t>
      </w:r>
      <w:r>
        <w:rPr/>
        <w:t>zoning</w:t>
      </w:r>
      <w:r>
        <w:rPr>
          <w:spacing w:val="-4"/>
        </w:rPr>
        <w:t> </w:t>
      </w:r>
      <w:r>
        <w:rPr/>
        <w:t>applicable</w:t>
      </w:r>
      <w:r>
        <w:rPr>
          <w:spacing w:val="-4"/>
        </w:rPr>
        <w:t> </w:t>
      </w:r>
      <w:r>
        <w:rPr/>
        <w:t>to</w:t>
      </w:r>
      <w:r>
        <w:rPr>
          <w:spacing w:val="-7"/>
        </w:rPr>
        <w:t> </w:t>
      </w:r>
      <w:r>
        <w:rPr/>
        <w:t>each</w:t>
      </w:r>
      <w:r>
        <w:rPr>
          <w:spacing w:val="-4"/>
        </w:rPr>
        <w:t> </w:t>
      </w:r>
      <w:r>
        <w:rPr/>
        <w:t>rateable</w:t>
      </w:r>
      <w:r>
        <w:rPr>
          <w:spacing w:val="-6"/>
        </w:rPr>
        <w:t> </w:t>
      </w:r>
      <w:r>
        <w:rPr/>
        <w:t>land</w:t>
      </w:r>
      <w:r>
        <w:rPr>
          <w:spacing w:val="-2"/>
        </w:rPr>
        <w:t> </w:t>
      </w:r>
      <w:r>
        <w:rPr/>
        <w:t>within</w:t>
      </w:r>
      <w:r>
        <w:rPr>
          <w:spacing w:val="-6"/>
        </w:rPr>
        <w:t> </w:t>
      </w:r>
      <w:r>
        <w:rPr/>
        <w:t>this</w:t>
      </w:r>
      <w:r>
        <w:rPr>
          <w:spacing w:val="-4"/>
        </w:rPr>
        <w:t> </w:t>
      </w:r>
      <w:r>
        <w:rPr/>
        <w:t>category,</w:t>
      </w:r>
      <w:r>
        <w:rPr>
          <w:spacing w:val="-2"/>
        </w:rPr>
        <w:t> </w:t>
      </w:r>
      <w:r>
        <w:rPr/>
        <w:t>as</w:t>
      </w:r>
      <w:r>
        <w:rPr>
          <w:spacing w:val="-4"/>
        </w:rPr>
        <w:t> </w:t>
      </w:r>
      <w:r>
        <w:rPr/>
        <w:t>determined</w:t>
      </w:r>
      <w:r>
        <w:rPr>
          <w:spacing w:val="-2"/>
        </w:rPr>
        <w:t> </w:t>
      </w:r>
      <w:r>
        <w:rPr/>
        <w:t>by</w:t>
      </w:r>
      <w:r>
        <w:rPr>
          <w:spacing w:val="-4"/>
        </w:rPr>
        <w:t> </w:t>
      </w:r>
      <w:r>
        <w:rPr/>
        <w:t>consulting</w:t>
      </w:r>
      <w:r>
        <w:rPr>
          <w:spacing w:val="-4"/>
        </w:rPr>
        <w:t> </w:t>
      </w:r>
      <w:r>
        <w:rPr/>
        <w:t>maps</w:t>
      </w:r>
      <w:r>
        <w:rPr>
          <w:spacing w:val="-4"/>
        </w:rPr>
        <w:t> </w:t>
      </w:r>
      <w:r>
        <w:rPr/>
        <w:t>referred to in the relevant Planning Scheme.</w:t>
      </w:r>
    </w:p>
    <w:p>
      <w:pPr>
        <w:pStyle w:val="BodyText"/>
        <w:spacing w:before="1"/>
      </w:pPr>
    </w:p>
    <w:p>
      <w:pPr>
        <w:pStyle w:val="Heading5"/>
        <w:spacing w:line="252" w:lineRule="exact" w:before="1"/>
      </w:pPr>
      <w:r>
        <w:rPr/>
        <w:t>Types</w:t>
      </w:r>
      <w:r>
        <w:rPr>
          <w:spacing w:val="-3"/>
        </w:rPr>
        <w:t> </w:t>
      </w:r>
      <w:r>
        <w:rPr/>
        <w:t>of</w:t>
      </w:r>
      <w:r>
        <w:rPr>
          <w:spacing w:val="-1"/>
        </w:rPr>
        <w:t> </w:t>
      </w:r>
      <w:r>
        <w:rPr>
          <w:spacing w:val="-2"/>
        </w:rPr>
        <w:t>Buildings:</w:t>
      </w:r>
    </w:p>
    <w:p>
      <w:pPr>
        <w:pStyle w:val="BodyText"/>
        <w:ind w:left="260" w:right="445"/>
      </w:pPr>
      <w:r>
        <w:rPr/>
        <w:t>All</w:t>
      </w:r>
      <w:r>
        <w:rPr>
          <w:spacing w:val="-14"/>
        </w:rPr>
        <w:t> </w:t>
      </w:r>
      <w:r>
        <w:rPr/>
        <w:t>buildings</w:t>
      </w:r>
      <w:r>
        <w:rPr>
          <w:spacing w:val="-13"/>
        </w:rPr>
        <w:t> </w:t>
      </w:r>
      <w:r>
        <w:rPr/>
        <w:t>which</w:t>
      </w:r>
      <w:r>
        <w:rPr>
          <w:spacing w:val="-13"/>
        </w:rPr>
        <w:t> </w:t>
      </w:r>
      <w:r>
        <w:rPr/>
        <w:t>are</w:t>
      </w:r>
      <w:r>
        <w:rPr>
          <w:spacing w:val="-14"/>
        </w:rPr>
        <w:t> </w:t>
      </w:r>
      <w:r>
        <w:rPr/>
        <w:t>now</w:t>
      </w:r>
      <w:r>
        <w:rPr>
          <w:spacing w:val="-14"/>
        </w:rPr>
        <w:t> </w:t>
      </w:r>
      <w:r>
        <w:rPr/>
        <w:t>constructed</w:t>
      </w:r>
      <w:r>
        <w:rPr>
          <w:spacing w:val="-13"/>
        </w:rPr>
        <w:t> </w:t>
      </w:r>
      <w:r>
        <w:rPr/>
        <w:t>on</w:t>
      </w:r>
      <w:r>
        <w:rPr>
          <w:spacing w:val="-14"/>
        </w:rPr>
        <w:t> </w:t>
      </w:r>
      <w:r>
        <w:rPr/>
        <w:t>the</w:t>
      </w:r>
      <w:r>
        <w:rPr>
          <w:spacing w:val="-13"/>
        </w:rPr>
        <w:t> </w:t>
      </w:r>
      <w:r>
        <w:rPr/>
        <w:t>land</w:t>
      </w:r>
      <w:r>
        <w:rPr>
          <w:spacing w:val="-13"/>
        </w:rPr>
        <w:t> </w:t>
      </w:r>
      <w:r>
        <w:rPr/>
        <w:t>or</w:t>
      </w:r>
      <w:r>
        <w:rPr>
          <w:spacing w:val="-11"/>
        </w:rPr>
        <w:t> </w:t>
      </w:r>
      <w:r>
        <w:rPr/>
        <w:t>which</w:t>
      </w:r>
      <w:r>
        <w:rPr>
          <w:spacing w:val="-13"/>
        </w:rPr>
        <w:t> </w:t>
      </w:r>
      <w:r>
        <w:rPr/>
        <w:t>are</w:t>
      </w:r>
      <w:r>
        <w:rPr>
          <w:spacing w:val="-14"/>
        </w:rPr>
        <w:t> </w:t>
      </w:r>
      <w:r>
        <w:rPr/>
        <w:t>constructed</w:t>
      </w:r>
      <w:r>
        <w:rPr>
          <w:spacing w:val="-13"/>
        </w:rPr>
        <w:t> </w:t>
      </w:r>
      <w:r>
        <w:rPr/>
        <w:t>prior</w:t>
      </w:r>
      <w:r>
        <w:rPr>
          <w:spacing w:val="-11"/>
        </w:rPr>
        <w:t> </w:t>
      </w:r>
      <w:r>
        <w:rPr/>
        <w:t>to</w:t>
      </w:r>
      <w:r>
        <w:rPr>
          <w:spacing w:val="-15"/>
        </w:rPr>
        <w:t> </w:t>
      </w:r>
      <w:r>
        <w:rPr/>
        <w:t>the</w:t>
      </w:r>
      <w:r>
        <w:rPr>
          <w:spacing w:val="-14"/>
        </w:rPr>
        <w:t> </w:t>
      </w:r>
      <w:r>
        <w:rPr/>
        <w:t>expiry</w:t>
      </w:r>
      <w:r>
        <w:rPr>
          <w:spacing w:val="-14"/>
        </w:rPr>
        <w:t> </w:t>
      </w:r>
      <w:r>
        <w:rPr/>
        <w:t>of</w:t>
      </w:r>
      <w:r>
        <w:rPr>
          <w:spacing w:val="-14"/>
        </w:rPr>
        <w:t> </w:t>
      </w:r>
      <w:r>
        <w:rPr/>
        <w:t>the</w:t>
      </w:r>
      <w:r>
        <w:rPr>
          <w:spacing w:val="-14"/>
        </w:rPr>
        <w:t> </w:t>
      </w:r>
      <w:r>
        <w:rPr/>
        <w:t>2024/25 financial Year.</w:t>
      </w:r>
    </w:p>
    <w:p>
      <w:pPr>
        <w:pStyle w:val="BodyText"/>
        <w:spacing w:before="10"/>
        <w:rPr>
          <w:sz w:val="21"/>
        </w:rPr>
      </w:pPr>
    </w:p>
    <w:p>
      <w:pPr>
        <w:pStyle w:val="Heading5"/>
      </w:pPr>
      <w:r>
        <w:rPr/>
        <w:t>Application</w:t>
      </w:r>
      <w:r>
        <w:rPr>
          <w:spacing w:val="-3"/>
        </w:rPr>
        <w:t> </w:t>
      </w:r>
      <w:r>
        <w:rPr/>
        <w:t>and</w:t>
      </w:r>
      <w:r>
        <w:rPr>
          <w:spacing w:val="-4"/>
        </w:rPr>
        <w:t> </w:t>
      </w:r>
      <w:r>
        <w:rPr>
          <w:spacing w:val="-2"/>
        </w:rPr>
        <w:t>Removal:</w:t>
      </w:r>
    </w:p>
    <w:p>
      <w:pPr>
        <w:pStyle w:val="BodyText"/>
        <w:spacing w:before="1"/>
        <w:ind w:left="260"/>
      </w:pPr>
      <w:r>
        <w:rPr/>
        <w:t>To</w:t>
      </w:r>
      <w:r>
        <w:rPr>
          <w:spacing w:val="-6"/>
        </w:rPr>
        <w:t> </w:t>
      </w:r>
      <w:r>
        <w:rPr/>
        <w:t>be</w:t>
      </w:r>
      <w:r>
        <w:rPr>
          <w:spacing w:val="-2"/>
        </w:rPr>
        <w:t> </w:t>
      </w:r>
      <w:r>
        <w:rPr/>
        <w:t>applied</w:t>
      </w:r>
      <w:r>
        <w:rPr>
          <w:spacing w:val="-6"/>
        </w:rPr>
        <w:t> </w:t>
      </w:r>
      <w:r>
        <w:rPr/>
        <w:t>and</w:t>
      </w:r>
      <w:r>
        <w:rPr>
          <w:spacing w:val="-5"/>
        </w:rPr>
        <w:t> </w:t>
      </w:r>
      <w:r>
        <w:rPr/>
        <w:t>removed</w:t>
      </w:r>
      <w:r>
        <w:rPr>
          <w:spacing w:val="-3"/>
        </w:rPr>
        <w:t> </w:t>
      </w:r>
      <w:r>
        <w:rPr/>
        <w:t>through</w:t>
      </w:r>
      <w:r>
        <w:rPr>
          <w:spacing w:val="-6"/>
        </w:rPr>
        <w:t> </w:t>
      </w:r>
      <w:r>
        <w:rPr/>
        <w:t>the</w:t>
      </w:r>
      <w:r>
        <w:rPr>
          <w:spacing w:val="-4"/>
        </w:rPr>
        <w:t> </w:t>
      </w:r>
      <w:r>
        <w:rPr/>
        <w:t>supplementary</w:t>
      </w:r>
      <w:r>
        <w:rPr>
          <w:spacing w:val="-5"/>
        </w:rPr>
        <w:t> </w:t>
      </w:r>
      <w:r>
        <w:rPr/>
        <w:t>valuation</w:t>
      </w:r>
      <w:r>
        <w:rPr>
          <w:spacing w:val="-4"/>
        </w:rPr>
        <w:t> </w:t>
      </w:r>
      <w:r>
        <w:rPr/>
        <w:t>process</w:t>
      </w:r>
      <w:r>
        <w:rPr>
          <w:spacing w:val="-4"/>
        </w:rPr>
        <w:t> </w:t>
      </w:r>
      <w:r>
        <w:rPr/>
        <w:t>(Section</w:t>
      </w:r>
      <w:r>
        <w:rPr>
          <w:spacing w:val="-3"/>
        </w:rPr>
        <w:t> </w:t>
      </w:r>
      <w:r>
        <w:rPr>
          <w:spacing w:val="-2"/>
        </w:rPr>
        <w:t>4.3).</w:t>
      </w:r>
    </w:p>
    <w:p>
      <w:pPr>
        <w:pStyle w:val="BodyText"/>
        <w:spacing w:before="1"/>
      </w:pPr>
    </w:p>
    <w:p>
      <w:pPr>
        <w:pStyle w:val="Heading4"/>
        <w:numPr>
          <w:ilvl w:val="2"/>
          <w:numId w:val="59"/>
        </w:numPr>
        <w:tabs>
          <w:tab w:pos="862" w:val="left" w:leader="none"/>
        </w:tabs>
        <w:spacing w:line="240" w:lineRule="auto" w:before="0" w:after="0"/>
        <w:ind w:left="861" w:right="0" w:hanging="602"/>
        <w:jc w:val="left"/>
      </w:pPr>
      <w:r>
        <w:rPr>
          <w:color w:val="4966AC"/>
        </w:rPr>
        <w:t>Statutory fees</w:t>
      </w:r>
      <w:r>
        <w:rPr>
          <w:color w:val="4966AC"/>
          <w:spacing w:val="-2"/>
        </w:rPr>
        <w:t> </w:t>
      </w:r>
      <w:r>
        <w:rPr>
          <w:color w:val="4966AC"/>
        </w:rPr>
        <w:t>and</w:t>
      </w:r>
      <w:r>
        <w:rPr>
          <w:color w:val="4966AC"/>
          <w:spacing w:val="-1"/>
        </w:rPr>
        <w:t> </w:t>
      </w:r>
      <w:r>
        <w:rPr>
          <w:color w:val="4966AC"/>
          <w:spacing w:val="-4"/>
        </w:rPr>
        <w:t>fines</w:t>
      </w:r>
    </w:p>
    <w:p>
      <w:pPr>
        <w:pStyle w:val="BodyText"/>
        <w:spacing w:before="11"/>
        <w:rPr>
          <w:b/>
        </w:rPr>
      </w:pPr>
    </w:p>
    <w:tbl>
      <w:tblPr>
        <w:tblW w:w="0" w:type="auto"/>
        <w:jc w:val="left"/>
        <w:tblInd w:w="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50"/>
        <w:gridCol w:w="1335"/>
        <w:gridCol w:w="1337"/>
        <w:gridCol w:w="1596"/>
        <w:gridCol w:w="821"/>
      </w:tblGrid>
      <w:tr>
        <w:trPr>
          <w:trHeight w:val="1113" w:hRule="atLeast"/>
        </w:trPr>
        <w:tc>
          <w:tcPr>
            <w:tcW w:w="6685" w:type="dxa"/>
            <w:gridSpan w:val="2"/>
            <w:tcBorders>
              <w:top w:val="single" w:sz="18" w:space="0" w:color="000000"/>
              <w:left w:val="single" w:sz="12" w:space="0" w:color="000000"/>
            </w:tcBorders>
            <w:shd w:val="clear" w:color="auto" w:fill="5B9AD4"/>
          </w:tcPr>
          <w:p>
            <w:pPr>
              <w:pStyle w:val="TableParagraph"/>
              <w:spacing w:before="23"/>
              <w:ind w:left="5641" w:right="258"/>
              <w:jc w:val="center"/>
              <w:rPr>
                <w:b/>
                <w:sz w:val="18"/>
              </w:rPr>
            </w:pPr>
            <w:r>
              <w:rPr>
                <w:b/>
                <w:color w:val="FFFFFF"/>
                <w:spacing w:val="-2"/>
                <w:sz w:val="18"/>
              </w:rPr>
              <w:t>Forecast Actual</w:t>
            </w:r>
          </w:p>
          <w:p>
            <w:pPr>
              <w:pStyle w:val="TableParagraph"/>
              <w:spacing w:before="78"/>
              <w:ind w:left="5639" w:right="258"/>
              <w:jc w:val="center"/>
              <w:rPr>
                <w:b/>
                <w:sz w:val="18"/>
              </w:rPr>
            </w:pPr>
            <w:r>
              <w:rPr>
                <w:b/>
                <w:color w:val="FFFFFF"/>
                <w:spacing w:val="-2"/>
                <w:sz w:val="18"/>
              </w:rPr>
              <w:t>2024/25</w:t>
            </w:r>
          </w:p>
          <w:p>
            <w:pPr>
              <w:pStyle w:val="TableParagraph"/>
              <w:spacing w:before="115"/>
              <w:ind w:left="5637" w:right="258"/>
              <w:jc w:val="center"/>
              <w:rPr>
                <w:b/>
                <w:sz w:val="18"/>
              </w:rPr>
            </w:pPr>
            <w:r>
              <w:rPr>
                <w:b/>
                <w:color w:val="FFFFFF"/>
                <w:spacing w:val="-2"/>
                <w:sz w:val="18"/>
              </w:rPr>
              <w:t>$’000</w:t>
            </w:r>
          </w:p>
        </w:tc>
        <w:tc>
          <w:tcPr>
            <w:tcW w:w="1337" w:type="dxa"/>
            <w:tcBorders>
              <w:top w:val="single" w:sz="18" w:space="0" w:color="000000"/>
            </w:tcBorders>
            <w:shd w:val="clear" w:color="auto" w:fill="5B9AD4"/>
          </w:tcPr>
          <w:p>
            <w:pPr>
              <w:pStyle w:val="TableParagraph"/>
              <w:spacing w:before="126"/>
              <w:ind w:left="371"/>
              <w:rPr>
                <w:b/>
                <w:sz w:val="18"/>
              </w:rPr>
            </w:pPr>
            <w:r>
              <w:rPr>
                <w:b/>
                <w:color w:val="FFFFFF"/>
                <w:spacing w:val="-2"/>
                <w:sz w:val="18"/>
              </w:rPr>
              <w:t>Budget</w:t>
            </w:r>
          </w:p>
          <w:p>
            <w:pPr>
              <w:pStyle w:val="TableParagraph"/>
              <w:spacing w:before="10"/>
              <w:rPr>
                <w:b/>
                <w:sz w:val="15"/>
              </w:rPr>
            </w:pPr>
          </w:p>
          <w:p>
            <w:pPr>
              <w:pStyle w:val="TableParagraph"/>
              <w:ind w:left="356"/>
              <w:rPr>
                <w:b/>
                <w:sz w:val="18"/>
              </w:rPr>
            </w:pPr>
            <w:r>
              <w:rPr>
                <w:b/>
                <w:color w:val="FFFFFF"/>
                <w:spacing w:val="-2"/>
                <w:sz w:val="18"/>
              </w:rPr>
              <w:t>2025/26</w:t>
            </w:r>
          </w:p>
          <w:p>
            <w:pPr>
              <w:pStyle w:val="TableParagraph"/>
              <w:spacing w:before="114"/>
              <w:ind w:left="454"/>
              <w:rPr>
                <w:b/>
                <w:sz w:val="18"/>
              </w:rPr>
            </w:pPr>
            <w:r>
              <w:rPr>
                <w:b/>
                <w:color w:val="FFFFFF"/>
                <w:spacing w:val="-2"/>
                <w:sz w:val="18"/>
              </w:rPr>
              <w:t>$’000</w:t>
            </w:r>
          </w:p>
        </w:tc>
        <w:tc>
          <w:tcPr>
            <w:tcW w:w="1596" w:type="dxa"/>
            <w:tcBorders>
              <w:top w:val="single" w:sz="18" w:space="0" w:color="000000"/>
            </w:tcBorders>
            <w:shd w:val="clear" w:color="auto" w:fill="5B9AD4"/>
          </w:tcPr>
          <w:p>
            <w:pPr>
              <w:pStyle w:val="TableParagraph"/>
              <w:spacing w:before="10"/>
              <w:rPr>
                <w:b/>
                <w:sz w:val="23"/>
              </w:rPr>
            </w:pPr>
          </w:p>
          <w:p>
            <w:pPr>
              <w:pStyle w:val="TableParagraph"/>
              <w:spacing w:before="1"/>
              <w:ind w:left="891"/>
              <w:rPr>
                <w:b/>
                <w:sz w:val="18"/>
              </w:rPr>
            </w:pPr>
            <w:r>
              <w:rPr>
                <w:b/>
                <w:color w:val="FFFFFF"/>
                <w:spacing w:val="-2"/>
                <w:sz w:val="18"/>
              </w:rPr>
              <w:t>Change</w:t>
            </w:r>
          </w:p>
          <w:p>
            <w:pPr>
              <w:pStyle w:val="TableParagraph"/>
              <w:rPr>
                <w:b/>
                <w:sz w:val="20"/>
              </w:rPr>
            </w:pPr>
          </w:p>
          <w:p>
            <w:pPr>
              <w:pStyle w:val="TableParagraph"/>
              <w:spacing w:before="124"/>
              <w:ind w:left="454"/>
              <w:rPr>
                <w:b/>
                <w:sz w:val="18"/>
              </w:rPr>
            </w:pPr>
            <w:r>
              <w:rPr>
                <w:b/>
                <w:color w:val="FFFFFF"/>
                <w:spacing w:val="-2"/>
                <w:sz w:val="18"/>
              </w:rPr>
              <w:t>$’000</w:t>
            </w:r>
          </w:p>
        </w:tc>
        <w:tc>
          <w:tcPr>
            <w:tcW w:w="821" w:type="dxa"/>
            <w:tcBorders>
              <w:top w:val="single" w:sz="18" w:space="0" w:color="000000"/>
              <w:right w:val="single" w:sz="12" w:space="0" w:color="000000"/>
            </w:tcBorders>
            <w:shd w:val="clear" w:color="auto" w:fill="5B9AD4"/>
          </w:tcPr>
          <w:p>
            <w:pPr>
              <w:pStyle w:val="TableParagraph"/>
              <w:rPr>
                <w:b/>
                <w:sz w:val="20"/>
              </w:rPr>
            </w:pPr>
          </w:p>
          <w:p>
            <w:pPr>
              <w:pStyle w:val="TableParagraph"/>
              <w:rPr>
                <w:b/>
                <w:sz w:val="20"/>
              </w:rPr>
            </w:pPr>
          </w:p>
          <w:p>
            <w:pPr>
              <w:pStyle w:val="TableParagraph"/>
              <w:rPr>
                <w:b/>
                <w:sz w:val="20"/>
              </w:rPr>
            </w:pPr>
          </w:p>
          <w:p>
            <w:pPr>
              <w:pStyle w:val="TableParagraph"/>
              <w:spacing w:before="147"/>
              <w:ind w:left="53"/>
              <w:rPr>
                <w:b/>
                <w:sz w:val="18"/>
              </w:rPr>
            </w:pPr>
            <w:r>
              <w:rPr>
                <w:b/>
                <w:color w:val="FFFFFF"/>
                <w:spacing w:val="-2"/>
                <w:sz w:val="18"/>
              </w:rPr>
              <w:t>$’000</w:t>
            </w:r>
          </w:p>
        </w:tc>
      </w:tr>
      <w:tr>
        <w:trPr>
          <w:trHeight w:val="343" w:hRule="atLeast"/>
        </w:trPr>
        <w:tc>
          <w:tcPr>
            <w:tcW w:w="5350" w:type="dxa"/>
            <w:tcBorders>
              <w:left w:val="single" w:sz="12" w:space="0" w:color="000000"/>
            </w:tcBorders>
          </w:tcPr>
          <w:p>
            <w:pPr>
              <w:pStyle w:val="TableParagraph"/>
              <w:spacing w:before="55"/>
              <w:ind w:left="107"/>
              <w:rPr>
                <w:sz w:val="20"/>
              </w:rPr>
            </w:pPr>
            <w:r>
              <w:rPr>
                <w:sz w:val="20"/>
              </w:rPr>
              <w:t>Infringements</w:t>
            </w:r>
            <w:r>
              <w:rPr>
                <w:spacing w:val="-8"/>
                <w:sz w:val="20"/>
              </w:rPr>
              <w:t> </w:t>
            </w:r>
            <w:r>
              <w:rPr>
                <w:sz w:val="20"/>
              </w:rPr>
              <w:t>and</w:t>
            </w:r>
            <w:r>
              <w:rPr>
                <w:spacing w:val="-9"/>
                <w:sz w:val="20"/>
              </w:rPr>
              <w:t> </w:t>
            </w:r>
            <w:r>
              <w:rPr>
                <w:spacing w:val="-4"/>
                <w:sz w:val="20"/>
              </w:rPr>
              <w:t>costs</w:t>
            </w:r>
          </w:p>
        </w:tc>
        <w:tc>
          <w:tcPr>
            <w:tcW w:w="1335" w:type="dxa"/>
          </w:tcPr>
          <w:p>
            <w:pPr>
              <w:pStyle w:val="TableParagraph"/>
              <w:spacing w:before="55"/>
              <w:ind w:right="92"/>
              <w:jc w:val="right"/>
              <w:rPr>
                <w:sz w:val="20"/>
              </w:rPr>
            </w:pPr>
            <w:r>
              <w:rPr>
                <w:spacing w:val="-2"/>
                <w:sz w:val="20"/>
              </w:rPr>
              <w:t>1,899</w:t>
            </w:r>
          </w:p>
        </w:tc>
        <w:tc>
          <w:tcPr>
            <w:tcW w:w="1337" w:type="dxa"/>
            <w:shd w:val="clear" w:color="auto" w:fill="DDEBF6"/>
          </w:tcPr>
          <w:p>
            <w:pPr>
              <w:pStyle w:val="TableParagraph"/>
              <w:spacing w:before="55"/>
              <w:ind w:right="94"/>
              <w:jc w:val="right"/>
              <w:rPr>
                <w:b/>
                <w:sz w:val="20"/>
              </w:rPr>
            </w:pPr>
            <w:r>
              <w:rPr>
                <w:b/>
                <w:spacing w:val="-2"/>
                <w:sz w:val="20"/>
              </w:rPr>
              <w:t>2,009</w:t>
            </w:r>
          </w:p>
        </w:tc>
        <w:tc>
          <w:tcPr>
            <w:tcW w:w="1596" w:type="dxa"/>
          </w:tcPr>
          <w:p>
            <w:pPr>
              <w:pStyle w:val="TableParagraph"/>
              <w:spacing w:before="55"/>
              <w:ind w:right="354"/>
              <w:jc w:val="right"/>
              <w:rPr>
                <w:sz w:val="20"/>
              </w:rPr>
            </w:pPr>
            <w:r>
              <w:rPr>
                <w:spacing w:val="-5"/>
                <w:sz w:val="20"/>
              </w:rPr>
              <w:t>110</w:t>
            </w:r>
          </w:p>
        </w:tc>
        <w:tc>
          <w:tcPr>
            <w:tcW w:w="821" w:type="dxa"/>
            <w:tcBorders>
              <w:right w:val="single" w:sz="12" w:space="0" w:color="000000"/>
            </w:tcBorders>
          </w:tcPr>
          <w:p>
            <w:pPr>
              <w:pStyle w:val="TableParagraph"/>
              <w:spacing w:before="55"/>
              <w:ind w:right="81"/>
              <w:jc w:val="right"/>
              <w:rPr>
                <w:sz w:val="20"/>
              </w:rPr>
            </w:pPr>
            <w:r>
              <w:rPr>
                <w:spacing w:val="-4"/>
                <w:sz w:val="20"/>
              </w:rPr>
              <w:t>5.8%</w:t>
            </w:r>
          </w:p>
        </w:tc>
      </w:tr>
      <w:tr>
        <w:trPr>
          <w:trHeight w:val="342" w:hRule="atLeast"/>
        </w:trPr>
        <w:tc>
          <w:tcPr>
            <w:tcW w:w="5350" w:type="dxa"/>
            <w:tcBorders>
              <w:left w:val="single" w:sz="12" w:space="0" w:color="000000"/>
            </w:tcBorders>
          </w:tcPr>
          <w:p>
            <w:pPr>
              <w:pStyle w:val="TableParagraph"/>
              <w:spacing w:before="52"/>
              <w:ind w:left="107"/>
              <w:rPr>
                <w:sz w:val="20"/>
              </w:rPr>
            </w:pPr>
            <w:r>
              <w:rPr>
                <w:sz w:val="20"/>
              </w:rPr>
              <w:t>Court</w:t>
            </w:r>
            <w:r>
              <w:rPr>
                <w:spacing w:val="-7"/>
                <w:sz w:val="20"/>
              </w:rPr>
              <w:t> </w:t>
            </w:r>
            <w:r>
              <w:rPr>
                <w:spacing w:val="-2"/>
                <w:sz w:val="20"/>
              </w:rPr>
              <w:t>recoveries</w:t>
            </w:r>
          </w:p>
        </w:tc>
        <w:tc>
          <w:tcPr>
            <w:tcW w:w="1335" w:type="dxa"/>
          </w:tcPr>
          <w:p>
            <w:pPr>
              <w:pStyle w:val="TableParagraph"/>
              <w:spacing w:before="52"/>
              <w:ind w:right="93"/>
              <w:jc w:val="right"/>
              <w:rPr>
                <w:sz w:val="20"/>
              </w:rPr>
            </w:pPr>
            <w:r>
              <w:rPr>
                <w:spacing w:val="-5"/>
                <w:sz w:val="20"/>
              </w:rPr>
              <w:t>340</w:t>
            </w:r>
          </w:p>
        </w:tc>
        <w:tc>
          <w:tcPr>
            <w:tcW w:w="1337" w:type="dxa"/>
            <w:shd w:val="clear" w:color="auto" w:fill="DDEBF6"/>
          </w:tcPr>
          <w:p>
            <w:pPr>
              <w:pStyle w:val="TableParagraph"/>
              <w:spacing w:before="52"/>
              <w:ind w:right="95"/>
              <w:jc w:val="right"/>
              <w:rPr>
                <w:b/>
                <w:sz w:val="20"/>
              </w:rPr>
            </w:pPr>
            <w:r>
              <w:rPr>
                <w:b/>
                <w:spacing w:val="-5"/>
                <w:sz w:val="20"/>
              </w:rPr>
              <w:t>340</w:t>
            </w:r>
          </w:p>
        </w:tc>
        <w:tc>
          <w:tcPr>
            <w:tcW w:w="1596" w:type="dxa"/>
          </w:tcPr>
          <w:p>
            <w:pPr>
              <w:pStyle w:val="TableParagraph"/>
              <w:spacing w:before="52"/>
              <w:ind w:right="351"/>
              <w:jc w:val="right"/>
              <w:rPr>
                <w:sz w:val="20"/>
              </w:rPr>
            </w:pPr>
            <w:r>
              <w:rPr>
                <w:w w:val="99"/>
                <w:sz w:val="20"/>
              </w:rPr>
              <w:t>0</w:t>
            </w:r>
          </w:p>
        </w:tc>
        <w:tc>
          <w:tcPr>
            <w:tcW w:w="821" w:type="dxa"/>
            <w:tcBorders>
              <w:right w:val="single" w:sz="12" w:space="0" w:color="000000"/>
            </w:tcBorders>
          </w:tcPr>
          <w:p>
            <w:pPr>
              <w:pStyle w:val="TableParagraph"/>
              <w:spacing w:before="52"/>
              <w:ind w:right="81"/>
              <w:jc w:val="right"/>
              <w:rPr>
                <w:sz w:val="20"/>
              </w:rPr>
            </w:pPr>
            <w:r>
              <w:rPr>
                <w:spacing w:val="-4"/>
                <w:sz w:val="20"/>
              </w:rPr>
              <w:t>0.0%</w:t>
            </w:r>
          </w:p>
        </w:tc>
      </w:tr>
      <w:tr>
        <w:trPr>
          <w:trHeight w:val="342" w:hRule="atLeast"/>
        </w:trPr>
        <w:tc>
          <w:tcPr>
            <w:tcW w:w="5350" w:type="dxa"/>
            <w:tcBorders>
              <w:left w:val="single" w:sz="12" w:space="0" w:color="000000"/>
            </w:tcBorders>
          </w:tcPr>
          <w:p>
            <w:pPr>
              <w:pStyle w:val="TableParagraph"/>
              <w:spacing w:before="53"/>
              <w:ind w:left="107"/>
              <w:rPr>
                <w:sz w:val="20"/>
              </w:rPr>
            </w:pPr>
            <w:r>
              <w:rPr>
                <w:sz w:val="20"/>
              </w:rPr>
              <w:t>Town</w:t>
            </w:r>
            <w:r>
              <w:rPr>
                <w:spacing w:val="-9"/>
                <w:sz w:val="20"/>
              </w:rPr>
              <w:t> </w:t>
            </w:r>
            <w:r>
              <w:rPr>
                <w:sz w:val="20"/>
              </w:rPr>
              <w:t>planning</w:t>
            </w:r>
            <w:r>
              <w:rPr>
                <w:spacing w:val="-8"/>
                <w:sz w:val="20"/>
              </w:rPr>
              <w:t> </w:t>
            </w:r>
            <w:r>
              <w:rPr>
                <w:spacing w:val="-4"/>
                <w:sz w:val="20"/>
              </w:rPr>
              <w:t>fees</w:t>
            </w:r>
          </w:p>
        </w:tc>
        <w:tc>
          <w:tcPr>
            <w:tcW w:w="1335" w:type="dxa"/>
          </w:tcPr>
          <w:p>
            <w:pPr>
              <w:pStyle w:val="TableParagraph"/>
              <w:spacing w:before="53"/>
              <w:ind w:right="92"/>
              <w:jc w:val="right"/>
              <w:rPr>
                <w:sz w:val="20"/>
              </w:rPr>
            </w:pPr>
            <w:r>
              <w:rPr>
                <w:spacing w:val="-2"/>
                <w:sz w:val="20"/>
              </w:rPr>
              <w:t>1,413</w:t>
            </w:r>
          </w:p>
        </w:tc>
        <w:tc>
          <w:tcPr>
            <w:tcW w:w="1337" w:type="dxa"/>
            <w:shd w:val="clear" w:color="auto" w:fill="DDEBF6"/>
          </w:tcPr>
          <w:p>
            <w:pPr>
              <w:pStyle w:val="TableParagraph"/>
              <w:spacing w:before="53"/>
              <w:ind w:right="94"/>
              <w:jc w:val="right"/>
              <w:rPr>
                <w:b/>
                <w:sz w:val="20"/>
              </w:rPr>
            </w:pPr>
            <w:r>
              <w:rPr>
                <w:b/>
                <w:spacing w:val="-2"/>
                <w:sz w:val="20"/>
              </w:rPr>
              <w:t>1,506</w:t>
            </w:r>
          </w:p>
        </w:tc>
        <w:tc>
          <w:tcPr>
            <w:tcW w:w="1596" w:type="dxa"/>
          </w:tcPr>
          <w:p>
            <w:pPr>
              <w:pStyle w:val="TableParagraph"/>
              <w:spacing w:before="53"/>
              <w:ind w:right="354"/>
              <w:jc w:val="right"/>
              <w:rPr>
                <w:sz w:val="20"/>
              </w:rPr>
            </w:pPr>
            <w:r>
              <w:rPr>
                <w:spacing w:val="-5"/>
                <w:sz w:val="20"/>
              </w:rPr>
              <w:t>93</w:t>
            </w:r>
          </w:p>
        </w:tc>
        <w:tc>
          <w:tcPr>
            <w:tcW w:w="821" w:type="dxa"/>
            <w:tcBorders>
              <w:right w:val="single" w:sz="12" w:space="0" w:color="000000"/>
            </w:tcBorders>
          </w:tcPr>
          <w:p>
            <w:pPr>
              <w:pStyle w:val="TableParagraph"/>
              <w:spacing w:before="53"/>
              <w:ind w:right="81"/>
              <w:jc w:val="right"/>
              <w:rPr>
                <w:sz w:val="20"/>
              </w:rPr>
            </w:pPr>
            <w:r>
              <w:rPr>
                <w:spacing w:val="-4"/>
                <w:sz w:val="20"/>
              </w:rPr>
              <w:t>6.6%</w:t>
            </w:r>
          </w:p>
        </w:tc>
      </w:tr>
      <w:tr>
        <w:trPr>
          <w:trHeight w:val="342" w:hRule="atLeast"/>
        </w:trPr>
        <w:tc>
          <w:tcPr>
            <w:tcW w:w="5350" w:type="dxa"/>
            <w:tcBorders>
              <w:left w:val="single" w:sz="12" w:space="0" w:color="000000"/>
            </w:tcBorders>
          </w:tcPr>
          <w:p>
            <w:pPr>
              <w:pStyle w:val="TableParagraph"/>
              <w:spacing w:before="52"/>
              <w:ind w:left="107"/>
              <w:rPr>
                <w:sz w:val="20"/>
              </w:rPr>
            </w:pPr>
            <w:r>
              <w:rPr>
                <w:sz w:val="20"/>
              </w:rPr>
              <w:t>Land</w:t>
            </w:r>
            <w:r>
              <w:rPr>
                <w:spacing w:val="-7"/>
                <w:sz w:val="20"/>
              </w:rPr>
              <w:t> </w:t>
            </w:r>
            <w:r>
              <w:rPr>
                <w:sz w:val="20"/>
              </w:rPr>
              <w:t>information</w:t>
            </w:r>
            <w:r>
              <w:rPr>
                <w:spacing w:val="-9"/>
                <w:sz w:val="20"/>
              </w:rPr>
              <w:t> </w:t>
            </w:r>
            <w:r>
              <w:rPr>
                <w:spacing w:val="-2"/>
                <w:sz w:val="20"/>
              </w:rPr>
              <w:t>certificates</w:t>
            </w:r>
          </w:p>
        </w:tc>
        <w:tc>
          <w:tcPr>
            <w:tcW w:w="1335" w:type="dxa"/>
          </w:tcPr>
          <w:p>
            <w:pPr>
              <w:pStyle w:val="TableParagraph"/>
              <w:spacing w:before="52"/>
              <w:ind w:right="93"/>
              <w:jc w:val="right"/>
              <w:rPr>
                <w:sz w:val="20"/>
              </w:rPr>
            </w:pPr>
            <w:r>
              <w:rPr>
                <w:spacing w:val="-5"/>
                <w:sz w:val="20"/>
              </w:rPr>
              <w:t>127</w:t>
            </w:r>
          </w:p>
        </w:tc>
        <w:tc>
          <w:tcPr>
            <w:tcW w:w="1337" w:type="dxa"/>
            <w:shd w:val="clear" w:color="auto" w:fill="DDEBF6"/>
          </w:tcPr>
          <w:p>
            <w:pPr>
              <w:pStyle w:val="TableParagraph"/>
              <w:spacing w:before="52"/>
              <w:ind w:right="95"/>
              <w:jc w:val="right"/>
              <w:rPr>
                <w:b/>
                <w:sz w:val="20"/>
              </w:rPr>
            </w:pPr>
            <w:r>
              <w:rPr>
                <w:b/>
                <w:spacing w:val="-5"/>
                <w:sz w:val="20"/>
              </w:rPr>
              <w:t>130</w:t>
            </w:r>
          </w:p>
        </w:tc>
        <w:tc>
          <w:tcPr>
            <w:tcW w:w="1596" w:type="dxa"/>
          </w:tcPr>
          <w:p>
            <w:pPr>
              <w:pStyle w:val="TableParagraph"/>
              <w:spacing w:before="52"/>
              <w:ind w:right="351"/>
              <w:jc w:val="right"/>
              <w:rPr>
                <w:sz w:val="20"/>
              </w:rPr>
            </w:pPr>
            <w:r>
              <w:rPr>
                <w:w w:val="99"/>
                <w:sz w:val="20"/>
              </w:rPr>
              <w:t>3</w:t>
            </w:r>
          </w:p>
        </w:tc>
        <w:tc>
          <w:tcPr>
            <w:tcW w:w="821" w:type="dxa"/>
            <w:tcBorders>
              <w:right w:val="single" w:sz="12" w:space="0" w:color="000000"/>
            </w:tcBorders>
          </w:tcPr>
          <w:p>
            <w:pPr>
              <w:pStyle w:val="TableParagraph"/>
              <w:spacing w:before="52"/>
              <w:ind w:right="81"/>
              <w:jc w:val="right"/>
              <w:rPr>
                <w:sz w:val="20"/>
              </w:rPr>
            </w:pPr>
            <w:r>
              <w:rPr>
                <w:spacing w:val="-4"/>
                <w:sz w:val="20"/>
              </w:rPr>
              <w:t>2.4%</w:t>
            </w:r>
          </w:p>
        </w:tc>
      </w:tr>
      <w:tr>
        <w:trPr>
          <w:trHeight w:val="341" w:hRule="atLeast"/>
        </w:trPr>
        <w:tc>
          <w:tcPr>
            <w:tcW w:w="5350" w:type="dxa"/>
            <w:tcBorders>
              <w:left w:val="single" w:sz="12" w:space="0" w:color="000000"/>
            </w:tcBorders>
          </w:tcPr>
          <w:p>
            <w:pPr>
              <w:pStyle w:val="TableParagraph"/>
              <w:spacing w:before="53"/>
              <w:ind w:left="107"/>
              <w:rPr>
                <w:sz w:val="20"/>
              </w:rPr>
            </w:pPr>
            <w:r>
              <w:rPr>
                <w:spacing w:val="-2"/>
                <w:sz w:val="20"/>
              </w:rPr>
              <w:t>Other</w:t>
            </w:r>
          </w:p>
        </w:tc>
        <w:tc>
          <w:tcPr>
            <w:tcW w:w="1335" w:type="dxa"/>
          </w:tcPr>
          <w:p>
            <w:pPr>
              <w:pStyle w:val="TableParagraph"/>
              <w:spacing w:before="53"/>
              <w:ind w:right="92"/>
              <w:jc w:val="right"/>
              <w:rPr>
                <w:sz w:val="20"/>
              </w:rPr>
            </w:pPr>
            <w:r>
              <w:rPr>
                <w:spacing w:val="-5"/>
                <w:sz w:val="20"/>
              </w:rPr>
              <w:t>11</w:t>
            </w:r>
          </w:p>
        </w:tc>
        <w:tc>
          <w:tcPr>
            <w:tcW w:w="1337" w:type="dxa"/>
            <w:shd w:val="clear" w:color="auto" w:fill="DDEBF6"/>
          </w:tcPr>
          <w:p>
            <w:pPr>
              <w:pStyle w:val="TableParagraph"/>
              <w:spacing w:before="53"/>
              <w:ind w:right="95"/>
              <w:jc w:val="right"/>
              <w:rPr>
                <w:b/>
                <w:sz w:val="20"/>
              </w:rPr>
            </w:pPr>
            <w:r>
              <w:rPr>
                <w:b/>
                <w:spacing w:val="-5"/>
                <w:sz w:val="20"/>
              </w:rPr>
              <w:t>11</w:t>
            </w:r>
          </w:p>
        </w:tc>
        <w:tc>
          <w:tcPr>
            <w:tcW w:w="1596" w:type="dxa"/>
          </w:tcPr>
          <w:p>
            <w:pPr>
              <w:pStyle w:val="TableParagraph"/>
              <w:spacing w:before="53"/>
              <w:ind w:right="351"/>
              <w:jc w:val="right"/>
              <w:rPr>
                <w:sz w:val="20"/>
              </w:rPr>
            </w:pPr>
            <w:r>
              <w:rPr>
                <w:w w:val="99"/>
                <w:sz w:val="20"/>
              </w:rPr>
              <w:t>0</w:t>
            </w:r>
          </w:p>
        </w:tc>
        <w:tc>
          <w:tcPr>
            <w:tcW w:w="821" w:type="dxa"/>
            <w:tcBorders>
              <w:right w:val="single" w:sz="12" w:space="0" w:color="000000"/>
            </w:tcBorders>
          </w:tcPr>
          <w:p>
            <w:pPr>
              <w:pStyle w:val="TableParagraph"/>
              <w:spacing w:before="53"/>
              <w:ind w:right="81"/>
              <w:jc w:val="right"/>
              <w:rPr>
                <w:sz w:val="20"/>
              </w:rPr>
            </w:pPr>
            <w:r>
              <w:rPr>
                <w:spacing w:val="-4"/>
                <w:sz w:val="20"/>
              </w:rPr>
              <w:t>0.0%</w:t>
            </w:r>
          </w:p>
        </w:tc>
      </w:tr>
      <w:tr>
        <w:trPr>
          <w:trHeight w:val="333" w:hRule="atLeast"/>
        </w:trPr>
        <w:tc>
          <w:tcPr>
            <w:tcW w:w="5350" w:type="dxa"/>
            <w:tcBorders>
              <w:left w:val="single" w:sz="12" w:space="0" w:color="000000"/>
            </w:tcBorders>
          </w:tcPr>
          <w:p>
            <w:pPr>
              <w:pStyle w:val="TableParagraph"/>
              <w:spacing w:before="52"/>
              <w:ind w:left="107"/>
              <w:rPr>
                <w:sz w:val="20"/>
              </w:rPr>
            </w:pPr>
            <w:r>
              <w:rPr>
                <w:spacing w:val="-2"/>
                <w:sz w:val="20"/>
              </w:rPr>
              <w:t>Permits</w:t>
            </w:r>
          </w:p>
        </w:tc>
        <w:tc>
          <w:tcPr>
            <w:tcW w:w="1335" w:type="dxa"/>
            <w:tcBorders>
              <w:bottom w:val="single" w:sz="12" w:space="0" w:color="000000"/>
            </w:tcBorders>
          </w:tcPr>
          <w:p>
            <w:pPr>
              <w:pStyle w:val="TableParagraph"/>
              <w:spacing w:before="52"/>
              <w:ind w:right="91"/>
              <w:jc w:val="right"/>
              <w:rPr>
                <w:sz w:val="20"/>
              </w:rPr>
            </w:pPr>
            <w:r>
              <w:rPr>
                <w:spacing w:val="-2"/>
                <w:sz w:val="20"/>
              </w:rPr>
              <w:t>1,792</w:t>
            </w:r>
          </w:p>
        </w:tc>
        <w:tc>
          <w:tcPr>
            <w:tcW w:w="1337" w:type="dxa"/>
            <w:tcBorders>
              <w:bottom w:val="single" w:sz="18" w:space="0" w:color="000000"/>
            </w:tcBorders>
            <w:shd w:val="clear" w:color="auto" w:fill="DDEBF6"/>
          </w:tcPr>
          <w:p>
            <w:pPr>
              <w:pStyle w:val="TableParagraph"/>
              <w:spacing w:before="52"/>
              <w:ind w:right="94"/>
              <w:jc w:val="right"/>
              <w:rPr>
                <w:b/>
                <w:sz w:val="20"/>
              </w:rPr>
            </w:pPr>
            <w:r>
              <w:rPr>
                <w:b/>
                <w:spacing w:val="-2"/>
                <w:sz w:val="20"/>
              </w:rPr>
              <w:t>1,850</w:t>
            </w:r>
          </w:p>
        </w:tc>
        <w:tc>
          <w:tcPr>
            <w:tcW w:w="1596" w:type="dxa"/>
            <w:tcBorders>
              <w:bottom w:val="single" w:sz="12" w:space="0" w:color="000000"/>
            </w:tcBorders>
          </w:tcPr>
          <w:p>
            <w:pPr>
              <w:pStyle w:val="TableParagraph"/>
              <w:spacing w:before="52"/>
              <w:ind w:right="354"/>
              <w:jc w:val="right"/>
              <w:rPr>
                <w:sz w:val="20"/>
              </w:rPr>
            </w:pPr>
            <w:r>
              <w:rPr>
                <w:spacing w:val="-5"/>
                <w:sz w:val="20"/>
              </w:rPr>
              <w:t>58</w:t>
            </w:r>
          </w:p>
        </w:tc>
        <w:tc>
          <w:tcPr>
            <w:tcW w:w="821" w:type="dxa"/>
            <w:tcBorders>
              <w:bottom w:val="single" w:sz="12" w:space="0" w:color="000000"/>
              <w:right w:val="single" w:sz="12" w:space="0" w:color="000000"/>
            </w:tcBorders>
          </w:tcPr>
          <w:p>
            <w:pPr>
              <w:pStyle w:val="TableParagraph"/>
              <w:spacing w:before="52"/>
              <w:ind w:right="81"/>
              <w:jc w:val="right"/>
              <w:rPr>
                <w:sz w:val="20"/>
              </w:rPr>
            </w:pPr>
            <w:r>
              <w:rPr>
                <w:spacing w:val="-4"/>
                <w:sz w:val="20"/>
              </w:rPr>
              <w:t>3.2%</w:t>
            </w:r>
          </w:p>
        </w:tc>
      </w:tr>
      <w:tr>
        <w:trPr>
          <w:trHeight w:val="333" w:hRule="atLeast"/>
        </w:trPr>
        <w:tc>
          <w:tcPr>
            <w:tcW w:w="5350" w:type="dxa"/>
            <w:tcBorders>
              <w:left w:val="single" w:sz="12" w:space="0" w:color="000000"/>
              <w:bottom w:val="single" w:sz="12" w:space="0" w:color="000000"/>
            </w:tcBorders>
          </w:tcPr>
          <w:p>
            <w:pPr>
              <w:pStyle w:val="TableParagraph"/>
              <w:spacing w:before="45"/>
              <w:ind w:left="107"/>
              <w:rPr>
                <w:b/>
                <w:sz w:val="20"/>
              </w:rPr>
            </w:pPr>
            <w:r>
              <w:rPr>
                <w:b/>
                <w:sz w:val="20"/>
              </w:rPr>
              <w:t>Total</w:t>
            </w:r>
            <w:r>
              <w:rPr>
                <w:b/>
                <w:spacing w:val="-7"/>
                <w:sz w:val="20"/>
              </w:rPr>
              <w:t> </w:t>
            </w:r>
            <w:r>
              <w:rPr>
                <w:b/>
                <w:sz w:val="20"/>
              </w:rPr>
              <w:t>statutory</w:t>
            </w:r>
            <w:r>
              <w:rPr>
                <w:b/>
                <w:spacing w:val="-7"/>
                <w:sz w:val="20"/>
              </w:rPr>
              <w:t> </w:t>
            </w:r>
            <w:r>
              <w:rPr>
                <w:b/>
                <w:sz w:val="20"/>
              </w:rPr>
              <w:t>fees</w:t>
            </w:r>
            <w:r>
              <w:rPr>
                <w:b/>
                <w:spacing w:val="-7"/>
                <w:sz w:val="20"/>
              </w:rPr>
              <w:t> </w:t>
            </w:r>
            <w:r>
              <w:rPr>
                <w:b/>
                <w:sz w:val="20"/>
              </w:rPr>
              <w:t>and</w:t>
            </w:r>
            <w:r>
              <w:rPr>
                <w:b/>
                <w:spacing w:val="-6"/>
                <w:sz w:val="20"/>
              </w:rPr>
              <w:t> </w:t>
            </w:r>
            <w:r>
              <w:rPr>
                <w:b/>
                <w:spacing w:val="-4"/>
                <w:sz w:val="20"/>
              </w:rPr>
              <w:t>fines</w:t>
            </w:r>
          </w:p>
        </w:tc>
        <w:tc>
          <w:tcPr>
            <w:tcW w:w="1335" w:type="dxa"/>
            <w:tcBorders>
              <w:top w:val="single" w:sz="12" w:space="0" w:color="000000"/>
              <w:bottom w:val="single" w:sz="12" w:space="0" w:color="000000"/>
            </w:tcBorders>
          </w:tcPr>
          <w:p>
            <w:pPr>
              <w:pStyle w:val="TableParagraph"/>
              <w:spacing w:before="45"/>
              <w:ind w:right="91"/>
              <w:jc w:val="right"/>
              <w:rPr>
                <w:sz w:val="20"/>
              </w:rPr>
            </w:pPr>
            <w:r>
              <w:rPr>
                <w:spacing w:val="-2"/>
                <w:sz w:val="20"/>
              </w:rPr>
              <w:t>5,582</w:t>
            </w:r>
          </w:p>
        </w:tc>
        <w:tc>
          <w:tcPr>
            <w:tcW w:w="1337" w:type="dxa"/>
            <w:tcBorders>
              <w:top w:val="single" w:sz="18" w:space="0" w:color="000000"/>
              <w:bottom w:val="single" w:sz="12" w:space="0" w:color="000000"/>
            </w:tcBorders>
            <w:shd w:val="clear" w:color="auto" w:fill="DDEBF6"/>
          </w:tcPr>
          <w:p>
            <w:pPr>
              <w:pStyle w:val="TableParagraph"/>
              <w:spacing w:before="45"/>
              <w:ind w:right="93"/>
              <w:jc w:val="right"/>
              <w:rPr>
                <w:b/>
                <w:sz w:val="20"/>
              </w:rPr>
            </w:pPr>
            <w:r>
              <w:rPr>
                <w:b/>
                <w:spacing w:val="-2"/>
                <w:sz w:val="20"/>
              </w:rPr>
              <w:t>5,846</w:t>
            </w:r>
          </w:p>
        </w:tc>
        <w:tc>
          <w:tcPr>
            <w:tcW w:w="1596" w:type="dxa"/>
            <w:tcBorders>
              <w:top w:val="single" w:sz="12" w:space="0" w:color="000000"/>
              <w:bottom w:val="single" w:sz="12" w:space="0" w:color="000000"/>
            </w:tcBorders>
          </w:tcPr>
          <w:p>
            <w:pPr>
              <w:pStyle w:val="TableParagraph"/>
              <w:spacing w:before="45"/>
              <w:ind w:right="351"/>
              <w:jc w:val="right"/>
              <w:rPr>
                <w:sz w:val="20"/>
              </w:rPr>
            </w:pPr>
            <w:r>
              <w:rPr>
                <w:spacing w:val="-5"/>
                <w:sz w:val="20"/>
              </w:rPr>
              <w:t>264</w:t>
            </w:r>
          </w:p>
        </w:tc>
        <w:tc>
          <w:tcPr>
            <w:tcW w:w="821" w:type="dxa"/>
            <w:tcBorders>
              <w:top w:val="single" w:sz="12" w:space="0" w:color="000000"/>
              <w:bottom w:val="single" w:sz="12" w:space="0" w:color="000000"/>
              <w:right w:val="single" w:sz="12" w:space="0" w:color="000000"/>
            </w:tcBorders>
          </w:tcPr>
          <w:p>
            <w:pPr>
              <w:pStyle w:val="TableParagraph"/>
              <w:spacing w:before="45"/>
              <w:ind w:right="80"/>
              <w:jc w:val="right"/>
              <w:rPr>
                <w:sz w:val="20"/>
              </w:rPr>
            </w:pPr>
            <w:r>
              <w:rPr>
                <w:spacing w:val="-2"/>
                <w:sz w:val="20"/>
              </w:rPr>
              <w:t>4.73%</w:t>
            </w:r>
          </w:p>
        </w:tc>
      </w:tr>
    </w:tbl>
    <w:p>
      <w:pPr>
        <w:pStyle w:val="BodyText"/>
        <w:spacing w:before="4"/>
        <w:rPr>
          <w:b/>
          <w:sz w:val="23"/>
        </w:rPr>
      </w:pPr>
    </w:p>
    <w:p>
      <w:pPr>
        <w:pStyle w:val="BodyText"/>
        <w:spacing w:before="1"/>
        <w:ind w:left="260" w:right="957"/>
        <w:jc w:val="both"/>
      </w:pPr>
      <w:r>
        <w:rPr/>
        <w:t>Statutory</w:t>
      </w:r>
      <w:r>
        <w:rPr>
          <w:spacing w:val="-3"/>
        </w:rPr>
        <w:t> </w:t>
      </w:r>
      <w:r>
        <w:rPr/>
        <w:t>fees</w:t>
      </w:r>
      <w:r>
        <w:rPr>
          <w:spacing w:val="-3"/>
        </w:rPr>
        <w:t> </w:t>
      </w:r>
      <w:r>
        <w:rPr/>
        <w:t>and</w:t>
      </w:r>
      <w:r>
        <w:rPr>
          <w:spacing w:val="-3"/>
        </w:rPr>
        <w:t> </w:t>
      </w:r>
      <w:r>
        <w:rPr/>
        <w:t>fines</w:t>
      </w:r>
      <w:r>
        <w:rPr>
          <w:spacing w:val="-1"/>
        </w:rPr>
        <w:t> </w:t>
      </w:r>
      <w:r>
        <w:rPr/>
        <w:t>relate mainly</w:t>
      </w:r>
      <w:r>
        <w:rPr>
          <w:spacing w:val="-3"/>
        </w:rPr>
        <w:t> </w:t>
      </w:r>
      <w:r>
        <w:rPr/>
        <w:t>to</w:t>
      </w:r>
      <w:r>
        <w:rPr>
          <w:spacing w:val="-3"/>
        </w:rPr>
        <w:t> </w:t>
      </w:r>
      <w:r>
        <w:rPr/>
        <w:t>fees</w:t>
      </w:r>
      <w:r>
        <w:rPr>
          <w:spacing w:val="-1"/>
        </w:rPr>
        <w:t> </w:t>
      </w:r>
      <w:r>
        <w:rPr/>
        <w:t>and</w:t>
      </w:r>
      <w:r>
        <w:rPr>
          <w:spacing w:val="-3"/>
        </w:rPr>
        <w:t> </w:t>
      </w:r>
      <w:r>
        <w:rPr/>
        <w:t>fines</w:t>
      </w:r>
      <w:r>
        <w:rPr>
          <w:spacing w:val="-1"/>
        </w:rPr>
        <w:t> </w:t>
      </w:r>
      <w:r>
        <w:rPr/>
        <w:t>levied in</w:t>
      </w:r>
      <w:r>
        <w:rPr>
          <w:spacing w:val="-1"/>
        </w:rPr>
        <w:t> </w:t>
      </w:r>
      <w:r>
        <w:rPr/>
        <w:t>accordance</w:t>
      </w:r>
      <w:r>
        <w:rPr>
          <w:spacing w:val="-3"/>
        </w:rPr>
        <w:t> </w:t>
      </w:r>
      <w:r>
        <w:rPr/>
        <w:t>with legislation and include animal</w:t>
      </w:r>
      <w:r>
        <w:rPr>
          <w:spacing w:val="-3"/>
        </w:rPr>
        <w:t> </w:t>
      </w:r>
      <w:r>
        <w:rPr/>
        <w:t>registrations,</w:t>
      </w:r>
      <w:r>
        <w:rPr>
          <w:spacing w:val="-1"/>
        </w:rPr>
        <w:t> </w:t>
      </w:r>
      <w:r>
        <w:rPr/>
        <w:t>Health</w:t>
      </w:r>
      <w:r>
        <w:rPr>
          <w:spacing w:val="-3"/>
        </w:rPr>
        <w:t> </w:t>
      </w:r>
      <w:r>
        <w:rPr/>
        <w:t>Act</w:t>
      </w:r>
      <w:r>
        <w:rPr>
          <w:spacing w:val="-2"/>
        </w:rPr>
        <w:t> </w:t>
      </w:r>
      <w:r>
        <w:rPr/>
        <w:t>registrations</w:t>
      </w:r>
      <w:r>
        <w:rPr>
          <w:spacing w:val="-1"/>
        </w:rPr>
        <w:t> </w:t>
      </w:r>
      <w:r>
        <w:rPr/>
        <w:t>and</w:t>
      </w:r>
      <w:r>
        <w:rPr>
          <w:spacing w:val="-6"/>
        </w:rPr>
        <w:t> </w:t>
      </w:r>
      <w:r>
        <w:rPr/>
        <w:t>parking</w:t>
      </w:r>
      <w:r>
        <w:rPr>
          <w:spacing w:val="-2"/>
        </w:rPr>
        <w:t> </w:t>
      </w:r>
      <w:r>
        <w:rPr/>
        <w:t>fines.</w:t>
      </w:r>
      <w:r>
        <w:rPr>
          <w:spacing w:val="-2"/>
        </w:rPr>
        <w:t> </w:t>
      </w:r>
      <w:r>
        <w:rPr/>
        <w:t>Increases</w:t>
      </w:r>
      <w:r>
        <w:rPr>
          <w:spacing w:val="-3"/>
        </w:rPr>
        <w:t> </w:t>
      </w:r>
      <w:r>
        <w:rPr/>
        <w:t>in</w:t>
      </w:r>
      <w:r>
        <w:rPr>
          <w:spacing w:val="-3"/>
        </w:rPr>
        <w:t> </w:t>
      </w:r>
      <w:r>
        <w:rPr/>
        <w:t>statutory</w:t>
      </w:r>
      <w:r>
        <w:rPr>
          <w:spacing w:val="-5"/>
        </w:rPr>
        <w:t> </w:t>
      </w:r>
      <w:r>
        <w:rPr/>
        <w:t>fees</w:t>
      </w:r>
      <w:r>
        <w:rPr>
          <w:spacing w:val="-5"/>
        </w:rPr>
        <w:t> </w:t>
      </w:r>
      <w:r>
        <w:rPr/>
        <w:t>and</w:t>
      </w:r>
      <w:r>
        <w:rPr>
          <w:spacing w:val="-5"/>
        </w:rPr>
        <w:t> </w:t>
      </w:r>
      <w:r>
        <w:rPr/>
        <w:t>fines</w:t>
      </w:r>
      <w:r>
        <w:rPr>
          <w:spacing w:val="-1"/>
        </w:rPr>
        <w:t> </w:t>
      </w:r>
      <w:r>
        <w:rPr/>
        <w:t>are made in accordance with legislative requirements and are not set by Council.</w:t>
      </w:r>
    </w:p>
    <w:p>
      <w:pPr>
        <w:spacing w:after="0"/>
        <w:jc w:val="both"/>
        <w:sectPr>
          <w:pgSz w:w="11910" w:h="16840"/>
          <w:pgMar w:header="0" w:footer="375" w:top="620" w:bottom="560" w:left="460" w:right="160"/>
        </w:sectPr>
      </w:pPr>
    </w:p>
    <w:p>
      <w:pPr>
        <w:pStyle w:val="Heading4"/>
        <w:numPr>
          <w:ilvl w:val="2"/>
          <w:numId w:val="59"/>
        </w:numPr>
        <w:tabs>
          <w:tab w:pos="862" w:val="left" w:leader="none"/>
        </w:tabs>
        <w:spacing w:line="240" w:lineRule="auto" w:before="82" w:after="0"/>
        <w:ind w:left="861" w:right="0" w:hanging="602"/>
        <w:jc w:val="left"/>
      </w:pPr>
      <w:r>
        <w:rPr>
          <w:color w:val="4966AC"/>
        </w:rPr>
        <w:t>User </w:t>
      </w:r>
      <w:r>
        <w:rPr>
          <w:color w:val="4966AC"/>
          <w:spacing w:val="-4"/>
        </w:rPr>
        <w:t>fees</w:t>
      </w:r>
    </w:p>
    <w:p>
      <w:pPr>
        <w:pStyle w:val="BodyText"/>
        <w:spacing w:before="10"/>
        <w:rPr>
          <w:b/>
          <w:sz w:val="21"/>
        </w:rPr>
      </w:pPr>
    </w:p>
    <w:tbl>
      <w:tblPr>
        <w:tblW w:w="0" w:type="auto"/>
        <w:jc w:val="left"/>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14"/>
        <w:gridCol w:w="1431"/>
        <w:gridCol w:w="1429"/>
        <w:gridCol w:w="1741"/>
        <w:gridCol w:w="918"/>
      </w:tblGrid>
      <w:tr>
        <w:trPr>
          <w:trHeight w:val="1020" w:hRule="atLeast"/>
        </w:trPr>
        <w:tc>
          <w:tcPr>
            <w:tcW w:w="6445" w:type="dxa"/>
            <w:gridSpan w:val="2"/>
            <w:tcBorders>
              <w:top w:val="single" w:sz="18" w:space="0" w:color="000000"/>
              <w:left w:val="single" w:sz="12" w:space="0" w:color="000000"/>
            </w:tcBorders>
            <w:shd w:val="clear" w:color="auto" w:fill="5B9AD4"/>
          </w:tcPr>
          <w:p>
            <w:pPr>
              <w:pStyle w:val="TableParagraph"/>
              <w:spacing w:before="14"/>
              <w:ind w:left="5452" w:hanging="101"/>
              <w:rPr>
                <w:b/>
                <w:sz w:val="18"/>
              </w:rPr>
            </w:pPr>
            <w:r>
              <w:rPr>
                <w:b/>
                <w:color w:val="FFFFFF"/>
                <w:spacing w:val="-2"/>
                <w:sz w:val="18"/>
              </w:rPr>
              <w:t>Forecast Actual</w:t>
            </w:r>
          </w:p>
          <w:p>
            <w:pPr>
              <w:pStyle w:val="TableParagraph"/>
              <w:spacing w:before="61"/>
              <w:ind w:left="5401"/>
              <w:rPr>
                <w:b/>
                <w:sz w:val="18"/>
              </w:rPr>
            </w:pPr>
            <w:r>
              <w:rPr>
                <w:b/>
                <w:color w:val="FFFFFF"/>
                <w:spacing w:val="-2"/>
                <w:sz w:val="18"/>
              </w:rPr>
              <w:t>2024/25</w:t>
            </w:r>
          </w:p>
          <w:p>
            <w:pPr>
              <w:pStyle w:val="TableParagraph"/>
              <w:spacing w:before="76"/>
              <w:ind w:left="5500"/>
              <w:rPr>
                <w:b/>
                <w:sz w:val="18"/>
              </w:rPr>
            </w:pPr>
            <w:r>
              <w:rPr>
                <w:b/>
                <w:color w:val="FFFFFF"/>
                <w:spacing w:val="-2"/>
                <w:sz w:val="18"/>
              </w:rPr>
              <w:t>$’000</w:t>
            </w:r>
          </w:p>
        </w:tc>
        <w:tc>
          <w:tcPr>
            <w:tcW w:w="1429" w:type="dxa"/>
            <w:tcBorders>
              <w:top w:val="single" w:sz="18" w:space="0" w:color="000000"/>
            </w:tcBorders>
            <w:shd w:val="clear" w:color="auto" w:fill="5B9AD4"/>
          </w:tcPr>
          <w:p>
            <w:pPr>
              <w:pStyle w:val="TableParagraph"/>
              <w:spacing w:before="117"/>
              <w:ind w:left="416"/>
              <w:rPr>
                <w:b/>
                <w:sz w:val="18"/>
              </w:rPr>
            </w:pPr>
            <w:r>
              <w:rPr>
                <w:b/>
                <w:color w:val="FFFFFF"/>
                <w:spacing w:val="-2"/>
                <w:sz w:val="18"/>
              </w:rPr>
              <w:t>Budget</w:t>
            </w:r>
          </w:p>
          <w:p>
            <w:pPr>
              <w:pStyle w:val="TableParagraph"/>
              <w:spacing w:before="165"/>
              <w:ind w:left="402"/>
              <w:rPr>
                <w:b/>
                <w:sz w:val="18"/>
              </w:rPr>
            </w:pPr>
            <w:r>
              <w:rPr>
                <w:b/>
                <w:color w:val="FFFFFF"/>
                <w:spacing w:val="-2"/>
                <w:sz w:val="18"/>
              </w:rPr>
              <w:t>2025/26</w:t>
            </w:r>
          </w:p>
          <w:p>
            <w:pPr>
              <w:pStyle w:val="TableParagraph"/>
              <w:spacing w:before="76"/>
              <w:ind w:left="500"/>
              <w:rPr>
                <w:b/>
                <w:sz w:val="18"/>
              </w:rPr>
            </w:pPr>
            <w:r>
              <w:rPr>
                <w:b/>
                <w:color w:val="FFFFFF"/>
                <w:spacing w:val="-2"/>
                <w:sz w:val="18"/>
              </w:rPr>
              <w:t>$’000</w:t>
            </w:r>
          </w:p>
        </w:tc>
        <w:tc>
          <w:tcPr>
            <w:tcW w:w="1741" w:type="dxa"/>
            <w:tcBorders>
              <w:top w:val="single" w:sz="18" w:space="0" w:color="000000"/>
            </w:tcBorders>
            <w:shd w:val="clear" w:color="auto" w:fill="5B9AD4"/>
          </w:tcPr>
          <w:p>
            <w:pPr>
              <w:pStyle w:val="TableParagraph"/>
              <w:spacing w:before="5"/>
              <w:rPr>
                <w:b/>
                <w:sz w:val="22"/>
              </w:rPr>
            </w:pPr>
          </w:p>
          <w:p>
            <w:pPr>
              <w:pStyle w:val="TableParagraph"/>
              <w:ind w:left="1010"/>
              <w:rPr>
                <w:b/>
                <w:sz w:val="18"/>
              </w:rPr>
            </w:pPr>
            <w:r>
              <w:rPr>
                <w:b/>
                <w:color w:val="FFFFFF"/>
                <w:spacing w:val="-2"/>
                <w:sz w:val="18"/>
              </w:rPr>
              <w:t>Change</w:t>
            </w:r>
          </w:p>
          <w:p>
            <w:pPr>
              <w:pStyle w:val="TableParagraph"/>
              <w:spacing w:before="8"/>
              <w:rPr>
                <w:b/>
                <w:sz w:val="26"/>
              </w:rPr>
            </w:pPr>
          </w:p>
          <w:p>
            <w:pPr>
              <w:pStyle w:val="TableParagraph"/>
              <w:ind w:left="499"/>
              <w:rPr>
                <w:b/>
                <w:sz w:val="18"/>
              </w:rPr>
            </w:pPr>
            <w:r>
              <w:rPr>
                <w:b/>
                <w:color w:val="FFFFFF"/>
                <w:spacing w:val="-2"/>
                <w:sz w:val="18"/>
              </w:rPr>
              <w:t>$’000</w:t>
            </w:r>
          </w:p>
        </w:tc>
        <w:tc>
          <w:tcPr>
            <w:tcW w:w="918" w:type="dxa"/>
            <w:tcBorders>
              <w:top w:val="single" w:sz="18" w:space="0" w:color="000000"/>
              <w:right w:val="single" w:sz="12" w:space="0" w:color="000000"/>
            </w:tcBorders>
            <w:shd w:val="clear" w:color="auto" w:fill="5B9AD4"/>
          </w:tcPr>
          <w:p>
            <w:pPr>
              <w:pStyle w:val="TableParagraph"/>
              <w:rPr>
                <w:b/>
                <w:sz w:val="20"/>
              </w:rPr>
            </w:pPr>
          </w:p>
          <w:p>
            <w:pPr>
              <w:pStyle w:val="TableParagraph"/>
              <w:rPr>
                <w:b/>
                <w:sz w:val="20"/>
              </w:rPr>
            </w:pPr>
          </w:p>
          <w:p>
            <w:pPr>
              <w:pStyle w:val="TableParagraph"/>
              <w:spacing w:before="1"/>
              <w:rPr>
                <w:b/>
                <w:sz w:val="27"/>
              </w:rPr>
            </w:pPr>
          </w:p>
          <w:p>
            <w:pPr>
              <w:pStyle w:val="TableParagraph"/>
              <w:spacing w:before="1"/>
              <w:ind w:left="75"/>
              <w:rPr>
                <w:b/>
                <w:sz w:val="18"/>
              </w:rPr>
            </w:pPr>
            <w:r>
              <w:rPr>
                <w:b/>
                <w:color w:val="FFFFFF"/>
                <w:spacing w:val="-2"/>
                <w:sz w:val="18"/>
              </w:rPr>
              <w:t>$’000</w:t>
            </w:r>
          </w:p>
        </w:tc>
      </w:tr>
      <w:tr>
        <w:trPr>
          <w:trHeight w:val="301" w:hRule="atLeast"/>
        </w:trPr>
        <w:tc>
          <w:tcPr>
            <w:tcW w:w="5014" w:type="dxa"/>
            <w:tcBorders>
              <w:left w:val="single" w:sz="12" w:space="0" w:color="000000"/>
            </w:tcBorders>
          </w:tcPr>
          <w:p>
            <w:pPr>
              <w:pStyle w:val="TableParagraph"/>
              <w:spacing w:line="227" w:lineRule="exact" w:before="55"/>
              <w:ind w:left="107"/>
              <w:rPr>
                <w:sz w:val="20"/>
              </w:rPr>
            </w:pPr>
            <w:r>
              <w:rPr>
                <w:sz w:val="20"/>
              </w:rPr>
              <w:t>Active</w:t>
            </w:r>
            <w:r>
              <w:rPr>
                <w:spacing w:val="-7"/>
                <w:sz w:val="20"/>
              </w:rPr>
              <w:t> </w:t>
            </w:r>
            <w:r>
              <w:rPr>
                <w:sz w:val="20"/>
              </w:rPr>
              <w:t>leisure</w:t>
            </w:r>
            <w:r>
              <w:rPr>
                <w:spacing w:val="-8"/>
                <w:sz w:val="20"/>
              </w:rPr>
              <w:t> </w:t>
            </w:r>
            <w:r>
              <w:rPr>
                <w:spacing w:val="-2"/>
                <w:sz w:val="20"/>
              </w:rPr>
              <w:t>centres</w:t>
            </w:r>
          </w:p>
        </w:tc>
        <w:tc>
          <w:tcPr>
            <w:tcW w:w="1431" w:type="dxa"/>
          </w:tcPr>
          <w:p>
            <w:pPr>
              <w:pStyle w:val="TableParagraph"/>
              <w:spacing w:before="26"/>
              <w:ind w:right="97"/>
              <w:jc w:val="right"/>
              <w:rPr>
                <w:sz w:val="20"/>
              </w:rPr>
            </w:pPr>
            <w:r>
              <w:rPr>
                <w:spacing w:val="-2"/>
                <w:sz w:val="20"/>
              </w:rPr>
              <w:t>24,583</w:t>
            </w:r>
          </w:p>
        </w:tc>
        <w:tc>
          <w:tcPr>
            <w:tcW w:w="1429" w:type="dxa"/>
            <w:shd w:val="clear" w:color="auto" w:fill="DDEBF6"/>
          </w:tcPr>
          <w:p>
            <w:pPr>
              <w:pStyle w:val="TableParagraph"/>
              <w:spacing w:before="26"/>
              <w:ind w:right="97"/>
              <w:jc w:val="right"/>
              <w:rPr>
                <w:b/>
                <w:sz w:val="20"/>
              </w:rPr>
            </w:pPr>
            <w:r>
              <w:rPr>
                <w:b/>
                <w:spacing w:val="-2"/>
                <w:sz w:val="20"/>
              </w:rPr>
              <w:t>26,417</w:t>
            </w:r>
          </w:p>
        </w:tc>
        <w:tc>
          <w:tcPr>
            <w:tcW w:w="1741" w:type="dxa"/>
          </w:tcPr>
          <w:p>
            <w:pPr>
              <w:pStyle w:val="TableParagraph"/>
              <w:spacing w:before="26"/>
              <w:ind w:right="408"/>
              <w:jc w:val="right"/>
              <w:rPr>
                <w:sz w:val="20"/>
              </w:rPr>
            </w:pPr>
            <w:r>
              <w:rPr>
                <w:spacing w:val="-2"/>
                <w:sz w:val="20"/>
              </w:rPr>
              <w:t>1,834</w:t>
            </w:r>
          </w:p>
        </w:tc>
        <w:tc>
          <w:tcPr>
            <w:tcW w:w="918" w:type="dxa"/>
            <w:tcBorders>
              <w:right w:val="single" w:sz="12" w:space="0" w:color="000000"/>
            </w:tcBorders>
          </w:tcPr>
          <w:p>
            <w:pPr>
              <w:pStyle w:val="TableParagraph"/>
              <w:spacing w:before="26"/>
              <w:ind w:right="81"/>
              <w:jc w:val="right"/>
              <w:rPr>
                <w:sz w:val="20"/>
              </w:rPr>
            </w:pPr>
            <w:r>
              <w:rPr>
                <w:spacing w:val="-4"/>
                <w:sz w:val="20"/>
              </w:rPr>
              <w:t>7.5%</w:t>
            </w:r>
          </w:p>
        </w:tc>
      </w:tr>
      <w:tr>
        <w:trPr>
          <w:trHeight w:val="284" w:hRule="atLeast"/>
        </w:trPr>
        <w:tc>
          <w:tcPr>
            <w:tcW w:w="5014" w:type="dxa"/>
            <w:tcBorders>
              <w:left w:val="single" w:sz="12" w:space="0" w:color="000000"/>
            </w:tcBorders>
          </w:tcPr>
          <w:p>
            <w:pPr>
              <w:pStyle w:val="TableParagraph"/>
              <w:spacing w:line="228" w:lineRule="exact" w:before="36"/>
              <w:ind w:left="107"/>
              <w:rPr>
                <w:sz w:val="20"/>
              </w:rPr>
            </w:pPr>
            <w:r>
              <w:rPr>
                <w:sz w:val="20"/>
              </w:rPr>
              <w:t>Aged</w:t>
            </w:r>
            <w:r>
              <w:rPr>
                <w:spacing w:val="-7"/>
                <w:sz w:val="20"/>
              </w:rPr>
              <w:t> </w:t>
            </w:r>
            <w:r>
              <w:rPr>
                <w:sz w:val="20"/>
              </w:rPr>
              <w:t>and</w:t>
            </w:r>
            <w:r>
              <w:rPr>
                <w:spacing w:val="-5"/>
                <w:sz w:val="20"/>
              </w:rPr>
              <w:t> </w:t>
            </w:r>
            <w:r>
              <w:rPr>
                <w:sz w:val="20"/>
              </w:rPr>
              <w:t>health</w:t>
            </w:r>
            <w:r>
              <w:rPr>
                <w:spacing w:val="-3"/>
                <w:sz w:val="20"/>
              </w:rPr>
              <w:t> </w:t>
            </w:r>
            <w:r>
              <w:rPr>
                <w:spacing w:val="-2"/>
                <w:sz w:val="20"/>
              </w:rPr>
              <w:t>Services</w:t>
            </w:r>
          </w:p>
        </w:tc>
        <w:tc>
          <w:tcPr>
            <w:tcW w:w="1431" w:type="dxa"/>
          </w:tcPr>
          <w:p>
            <w:pPr>
              <w:pStyle w:val="TableParagraph"/>
              <w:spacing w:before="10"/>
              <w:ind w:right="97"/>
              <w:jc w:val="right"/>
              <w:rPr>
                <w:sz w:val="20"/>
              </w:rPr>
            </w:pPr>
            <w:r>
              <w:rPr>
                <w:spacing w:val="-5"/>
                <w:sz w:val="20"/>
              </w:rPr>
              <w:t>819</w:t>
            </w:r>
          </w:p>
        </w:tc>
        <w:tc>
          <w:tcPr>
            <w:tcW w:w="1429" w:type="dxa"/>
            <w:shd w:val="clear" w:color="auto" w:fill="DDEBF6"/>
          </w:tcPr>
          <w:p>
            <w:pPr>
              <w:pStyle w:val="TableParagraph"/>
              <w:spacing w:before="10"/>
              <w:ind w:right="96"/>
              <w:jc w:val="right"/>
              <w:rPr>
                <w:b/>
                <w:sz w:val="20"/>
              </w:rPr>
            </w:pPr>
            <w:r>
              <w:rPr>
                <w:b/>
                <w:spacing w:val="-5"/>
                <w:sz w:val="20"/>
              </w:rPr>
              <w:t>747</w:t>
            </w:r>
          </w:p>
        </w:tc>
        <w:tc>
          <w:tcPr>
            <w:tcW w:w="1741" w:type="dxa"/>
          </w:tcPr>
          <w:p>
            <w:pPr>
              <w:pStyle w:val="TableParagraph"/>
              <w:spacing w:before="10"/>
              <w:ind w:right="407"/>
              <w:jc w:val="right"/>
              <w:rPr>
                <w:sz w:val="20"/>
              </w:rPr>
            </w:pPr>
            <w:r>
              <w:rPr>
                <w:spacing w:val="-4"/>
                <w:sz w:val="20"/>
              </w:rPr>
              <w:t>(72)</w:t>
            </w:r>
          </w:p>
        </w:tc>
        <w:tc>
          <w:tcPr>
            <w:tcW w:w="918" w:type="dxa"/>
            <w:tcBorders>
              <w:right w:val="single" w:sz="12" w:space="0" w:color="000000"/>
            </w:tcBorders>
          </w:tcPr>
          <w:p>
            <w:pPr>
              <w:pStyle w:val="TableParagraph"/>
              <w:spacing w:before="10"/>
              <w:ind w:right="80"/>
              <w:jc w:val="right"/>
              <w:rPr>
                <w:sz w:val="20"/>
              </w:rPr>
            </w:pPr>
            <w:r>
              <w:rPr>
                <w:spacing w:val="-2"/>
                <w:sz w:val="20"/>
              </w:rPr>
              <w:t>(8.8%)</w:t>
            </w:r>
          </w:p>
        </w:tc>
      </w:tr>
      <w:tr>
        <w:trPr>
          <w:trHeight w:val="284" w:hRule="atLeast"/>
        </w:trPr>
        <w:tc>
          <w:tcPr>
            <w:tcW w:w="5014" w:type="dxa"/>
            <w:tcBorders>
              <w:left w:val="single" w:sz="12" w:space="0" w:color="000000"/>
            </w:tcBorders>
          </w:tcPr>
          <w:p>
            <w:pPr>
              <w:pStyle w:val="TableParagraph"/>
              <w:spacing w:line="227" w:lineRule="exact" w:before="37"/>
              <w:ind w:left="107"/>
              <w:rPr>
                <w:sz w:val="20"/>
              </w:rPr>
            </w:pPr>
            <w:r>
              <w:rPr>
                <w:sz w:val="20"/>
              </w:rPr>
              <w:t>Asset</w:t>
            </w:r>
            <w:r>
              <w:rPr>
                <w:spacing w:val="-8"/>
                <w:sz w:val="20"/>
              </w:rPr>
              <w:t> </w:t>
            </w:r>
            <w:r>
              <w:rPr>
                <w:spacing w:val="-2"/>
                <w:sz w:val="20"/>
              </w:rPr>
              <w:t>Protection</w:t>
            </w:r>
          </w:p>
        </w:tc>
        <w:tc>
          <w:tcPr>
            <w:tcW w:w="1431" w:type="dxa"/>
          </w:tcPr>
          <w:p>
            <w:pPr>
              <w:pStyle w:val="TableParagraph"/>
              <w:spacing w:before="11"/>
              <w:ind w:right="97"/>
              <w:jc w:val="right"/>
              <w:rPr>
                <w:sz w:val="20"/>
              </w:rPr>
            </w:pPr>
            <w:r>
              <w:rPr>
                <w:spacing w:val="-5"/>
                <w:sz w:val="20"/>
              </w:rPr>
              <w:t>320</w:t>
            </w:r>
          </w:p>
        </w:tc>
        <w:tc>
          <w:tcPr>
            <w:tcW w:w="1429" w:type="dxa"/>
            <w:shd w:val="clear" w:color="auto" w:fill="DDEBF6"/>
          </w:tcPr>
          <w:p>
            <w:pPr>
              <w:pStyle w:val="TableParagraph"/>
              <w:spacing w:before="11"/>
              <w:ind w:right="96"/>
              <w:jc w:val="right"/>
              <w:rPr>
                <w:b/>
                <w:sz w:val="20"/>
              </w:rPr>
            </w:pPr>
            <w:r>
              <w:rPr>
                <w:b/>
                <w:spacing w:val="-5"/>
                <w:sz w:val="20"/>
              </w:rPr>
              <w:t>366</w:t>
            </w:r>
          </w:p>
        </w:tc>
        <w:tc>
          <w:tcPr>
            <w:tcW w:w="1741" w:type="dxa"/>
          </w:tcPr>
          <w:p>
            <w:pPr>
              <w:pStyle w:val="TableParagraph"/>
              <w:spacing w:before="11"/>
              <w:ind w:right="409"/>
              <w:jc w:val="right"/>
              <w:rPr>
                <w:sz w:val="20"/>
              </w:rPr>
            </w:pPr>
            <w:r>
              <w:rPr>
                <w:spacing w:val="-5"/>
                <w:sz w:val="20"/>
              </w:rPr>
              <w:t>46</w:t>
            </w:r>
          </w:p>
        </w:tc>
        <w:tc>
          <w:tcPr>
            <w:tcW w:w="918" w:type="dxa"/>
            <w:tcBorders>
              <w:right w:val="single" w:sz="12" w:space="0" w:color="000000"/>
            </w:tcBorders>
          </w:tcPr>
          <w:p>
            <w:pPr>
              <w:pStyle w:val="TableParagraph"/>
              <w:spacing w:before="11"/>
              <w:ind w:right="81"/>
              <w:jc w:val="right"/>
              <w:rPr>
                <w:sz w:val="20"/>
              </w:rPr>
            </w:pPr>
            <w:r>
              <w:rPr>
                <w:spacing w:val="-2"/>
                <w:sz w:val="20"/>
              </w:rPr>
              <w:t>14.4%</w:t>
            </w:r>
          </w:p>
        </w:tc>
      </w:tr>
      <w:tr>
        <w:trPr>
          <w:trHeight w:val="285" w:hRule="atLeast"/>
        </w:trPr>
        <w:tc>
          <w:tcPr>
            <w:tcW w:w="5014" w:type="dxa"/>
            <w:tcBorders>
              <w:left w:val="single" w:sz="12" w:space="0" w:color="000000"/>
            </w:tcBorders>
          </w:tcPr>
          <w:p>
            <w:pPr>
              <w:pStyle w:val="TableParagraph"/>
              <w:spacing w:line="227" w:lineRule="exact" w:before="38"/>
              <w:ind w:left="107"/>
              <w:rPr>
                <w:sz w:val="20"/>
              </w:rPr>
            </w:pPr>
            <w:r>
              <w:rPr>
                <w:sz w:val="20"/>
              </w:rPr>
              <w:t>Building</w:t>
            </w:r>
            <w:r>
              <w:rPr>
                <w:spacing w:val="-9"/>
                <w:sz w:val="20"/>
              </w:rPr>
              <w:t> </w:t>
            </w:r>
            <w:r>
              <w:rPr>
                <w:spacing w:val="-2"/>
                <w:sz w:val="20"/>
              </w:rPr>
              <w:t>services</w:t>
            </w:r>
          </w:p>
        </w:tc>
        <w:tc>
          <w:tcPr>
            <w:tcW w:w="1431" w:type="dxa"/>
          </w:tcPr>
          <w:p>
            <w:pPr>
              <w:pStyle w:val="TableParagraph"/>
              <w:spacing w:before="10"/>
              <w:ind w:right="97"/>
              <w:jc w:val="right"/>
              <w:rPr>
                <w:sz w:val="20"/>
              </w:rPr>
            </w:pPr>
            <w:r>
              <w:rPr>
                <w:spacing w:val="-5"/>
                <w:sz w:val="20"/>
              </w:rPr>
              <w:t>15</w:t>
            </w:r>
          </w:p>
        </w:tc>
        <w:tc>
          <w:tcPr>
            <w:tcW w:w="1429" w:type="dxa"/>
            <w:shd w:val="clear" w:color="auto" w:fill="DDEBF6"/>
          </w:tcPr>
          <w:p>
            <w:pPr>
              <w:pStyle w:val="TableParagraph"/>
              <w:spacing w:before="10"/>
              <w:ind w:right="96"/>
              <w:jc w:val="right"/>
              <w:rPr>
                <w:b/>
                <w:sz w:val="20"/>
              </w:rPr>
            </w:pPr>
            <w:r>
              <w:rPr>
                <w:b/>
                <w:spacing w:val="-5"/>
                <w:sz w:val="20"/>
              </w:rPr>
              <w:t>30</w:t>
            </w:r>
          </w:p>
        </w:tc>
        <w:tc>
          <w:tcPr>
            <w:tcW w:w="1741" w:type="dxa"/>
          </w:tcPr>
          <w:p>
            <w:pPr>
              <w:pStyle w:val="TableParagraph"/>
              <w:spacing w:before="10"/>
              <w:ind w:right="409"/>
              <w:jc w:val="right"/>
              <w:rPr>
                <w:sz w:val="20"/>
              </w:rPr>
            </w:pPr>
            <w:r>
              <w:rPr>
                <w:spacing w:val="-5"/>
                <w:sz w:val="20"/>
              </w:rPr>
              <w:t>15</w:t>
            </w:r>
          </w:p>
        </w:tc>
        <w:tc>
          <w:tcPr>
            <w:tcW w:w="918" w:type="dxa"/>
            <w:tcBorders>
              <w:right w:val="single" w:sz="12" w:space="0" w:color="000000"/>
            </w:tcBorders>
          </w:tcPr>
          <w:p>
            <w:pPr>
              <w:pStyle w:val="TableParagraph"/>
              <w:spacing w:before="10"/>
              <w:ind w:left="128"/>
              <w:rPr>
                <w:sz w:val="20"/>
              </w:rPr>
            </w:pPr>
            <w:r>
              <w:rPr>
                <w:spacing w:val="-2"/>
                <w:sz w:val="20"/>
              </w:rPr>
              <w:t>100.0%</w:t>
            </w:r>
          </w:p>
        </w:tc>
      </w:tr>
      <w:tr>
        <w:trPr>
          <w:trHeight w:val="285" w:hRule="atLeast"/>
        </w:trPr>
        <w:tc>
          <w:tcPr>
            <w:tcW w:w="5014" w:type="dxa"/>
            <w:tcBorders>
              <w:left w:val="single" w:sz="12" w:space="0" w:color="000000"/>
            </w:tcBorders>
          </w:tcPr>
          <w:p>
            <w:pPr>
              <w:pStyle w:val="TableParagraph"/>
              <w:spacing w:line="227" w:lineRule="exact" w:before="38"/>
              <w:ind w:left="107"/>
              <w:rPr>
                <w:sz w:val="20"/>
              </w:rPr>
            </w:pPr>
            <w:r>
              <w:rPr>
                <w:sz w:val="20"/>
              </w:rPr>
              <w:t>Community</w:t>
            </w:r>
            <w:r>
              <w:rPr>
                <w:spacing w:val="-7"/>
                <w:sz w:val="20"/>
              </w:rPr>
              <w:t> </w:t>
            </w:r>
            <w:r>
              <w:rPr>
                <w:sz w:val="20"/>
              </w:rPr>
              <w:t>facilities</w:t>
            </w:r>
            <w:r>
              <w:rPr>
                <w:spacing w:val="-7"/>
                <w:sz w:val="20"/>
              </w:rPr>
              <w:t> </w:t>
            </w:r>
            <w:r>
              <w:rPr>
                <w:sz w:val="20"/>
              </w:rPr>
              <w:t>-</w:t>
            </w:r>
            <w:r>
              <w:rPr>
                <w:spacing w:val="-7"/>
                <w:sz w:val="20"/>
              </w:rPr>
              <w:t> </w:t>
            </w:r>
            <w:r>
              <w:rPr>
                <w:spacing w:val="-2"/>
                <w:sz w:val="20"/>
              </w:rPr>
              <w:t>recreation</w:t>
            </w:r>
          </w:p>
        </w:tc>
        <w:tc>
          <w:tcPr>
            <w:tcW w:w="1431" w:type="dxa"/>
          </w:tcPr>
          <w:p>
            <w:pPr>
              <w:pStyle w:val="TableParagraph"/>
              <w:spacing w:before="10"/>
              <w:ind w:right="97"/>
              <w:jc w:val="right"/>
              <w:rPr>
                <w:sz w:val="20"/>
              </w:rPr>
            </w:pPr>
            <w:r>
              <w:rPr>
                <w:spacing w:val="-5"/>
                <w:sz w:val="20"/>
              </w:rPr>
              <w:t>895</w:t>
            </w:r>
          </w:p>
        </w:tc>
        <w:tc>
          <w:tcPr>
            <w:tcW w:w="1429" w:type="dxa"/>
            <w:shd w:val="clear" w:color="auto" w:fill="DDEBF6"/>
          </w:tcPr>
          <w:p>
            <w:pPr>
              <w:pStyle w:val="TableParagraph"/>
              <w:spacing w:before="10"/>
              <w:ind w:right="96"/>
              <w:jc w:val="right"/>
              <w:rPr>
                <w:b/>
                <w:sz w:val="20"/>
              </w:rPr>
            </w:pPr>
            <w:r>
              <w:rPr>
                <w:b/>
                <w:spacing w:val="-5"/>
                <w:sz w:val="20"/>
              </w:rPr>
              <w:t>933</w:t>
            </w:r>
          </w:p>
        </w:tc>
        <w:tc>
          <w:tcPr>
            <w:tcW w:w="1741" w:type="dxa"/>
          </w:tcPr>
          <w:p>
            <w:pPr>
              <w:pStyle w:val="TableParagraph"/>
              <w:spacing w:before="10"/>
              <w:ind w:right="409"/>
              <w:jc w:val="right"/>
              <w:rPr>
                <w:sz w:val="20"/>
              </w:rPr>
            </w:pPr>
            <w:r>
              <w:rPr>
                <w:spacing w:val="-5"/>
                <w:sz w:val="20"/>
              </w:rPr>
              <w:t>38</w:t>
            </w:r>
          </w:p>
        </w:tc>
        <w:tc>
          <w:tcPr>
            <w:tcW w:w="918" w:type="dxa"/>
            <w:tcBorders>
              <w:right w:val="single" w:sz="12" w:space="0" w:color="000000"/>
            </w:tcBorders>
          </w:tcPr>
          <w:p>
            <w:pPr>
              <w:pStyle w:val="TableParagraph"/>
              <w:spacing w:before="10"/>
              <w:ind w:right="81"/>
              <w:jc w:val="right"/>
              <w:rPr>
                <w:sz w:val="20"/>
              </w:rPr>
            </w:pPr>
            <w:r>
              <w:rPr>
                <w:spacing w:val="-4"/>
                <w:sz w:val="20"/>
              </w:rPr>
              <w:t>4.2%</w:t>
            </w:r>
          </w:p>
        </w:tc>
      </w:tr>
      <w:tr>
        <w:trPr>
          <w:trHeight w:val="284" w:hRule="atLeast"/>
        </w:trPr>
        <w:tc>
          <w:tcPr>
            <w:tcW w:w="5014" w:type="dxa"/>
            <w:tcBorders>
              <w:left w:val="single" w:sz="12" w:space="0" w:color="000000"/>
            </w:tcBorders>
          </w:tcPr>
          <w:p>
            <w:pPr>
              <w:pStyle w:val="TableParagraph"/>
              <w:spacing w:line="228" w:lineRule="exact" w:before="36"/>
              <w:ind w:left="107"/>
              <w:rPr>
                <w:sz w:val="20"/>
              </w:rPr>
            </w:pPr>
            <w:r>
              <w:rPr>
                <w:sz w:val="20"/>
              </w:rPr>
              <w:t>Community</w:t>
            </w:r>
            <w:r>
              <w:rPr>
                <w:spacing w:val="-13"/>
                <w:sz w:val="20"/>
              </w:rPr>
              <w:t> </w:t>
            </w:r>
            <w:r>
              <w:rPr>
                <w:spacing w:val="-2"/>
                <w:sz w:val="20"/>
              </w:rPr>
              <w:t>health</w:t>
            </w:r>
          </w:p>
        </w:tc>
        <w:tc>
          <w:tcPr>
            <w:tcW w:w="1431" w:type="dxa"/>
          </w:tcPr>
          <w:p>
            <w:pPr>
              <w:pStyle w:val="TableParagraph"/>
              <w:spacing w:before="10"/>
              <w:ind w:right="97"/>
              <w:jc w:val="right"/>
              <w:rPr>
                <w:sz w:val="20"/>
              </w:rPr>
            </w:pPr>
            <w:r>
              <w:rPr>
                <w:spacing w:val="-5"/>
                <w:sz w:val="20"/>
              </w:rPr>
              <w:t>72</w:t>
            </w:r>
          </w:p>
        </w:tc>
        <w:tc>
          <w:tcPr>
            <w:tcW w:w="1429" w:type="dxa"/>
            <w:shd w:val="clear" w:color="auto" w:fill="DDEBF6"/>
          </w:tcPr>
          <w:p>
            <w:pPr>
              <w:pStyle w:val="TableParagraph"/>
              <w:spacing w:before="10"/>
              <w:ind w:right="96"/>
              <w:jc w:val="right"/>
              <w:rPr>
                <w:b/>
                <w:sz w:val="20"/>
              </w:rPr>
            </w:pPr>
            <w:r>
              <w:rPr>
                <w:b/>
                <w:spacing w:val="-5"/>
                <w:sz w:val="20"/>
              </w:rPr>
              <w:t>73</w:t>
            </w:r>
          </w:p>
        </w:tc>
        <w:tc>
          <w:tcPr>
            <w:tcW w:w="1741" w:type="dxa"/>
          </w:tcPr>
          <w:p>
            <w:pPr>
              <w:pStyle w:val="TableParagraph"/>
              <w:spacing w:before="10"/>
              <w:ind w:right="406"/>
              <w:jc w:val="right"/>
              <w:rPr>
                <w:sz w:val="20"/>
              </w:rPr>
            </w:pPr>
            <w:r>
              <w:rPr>
                <w:w w:val="99"/>
                <w:sz w:val="20"/>
              </w:rPr>
              <w:t>1</w:t>
            </w:r>
          </w:p>
        </w:tc>
        <w:tc>
          <w:tcPr>
            <w:tcW w:w="918" w:type="dxa"/>
            <w:tcBorders>
              <w:right w:val="single" w:sz="12" w:space="0" w:color="000000"/>
            </w:tcBorders>
          </w:tcPr>
          <w:p>
            <w:pPr>
              <w:pStyle w:val="TableParagraph"/>
              <w:spacing w:before="10"/>
              <w:ind w:right="81"/>
              <w:jc w:val="right"/>
              <w:rPr>
                <w:sz w:val="20"/>
              </w:rPr>
            </w:pPr>
            <w:r>
              <w:rPr>
                <w:spacing w:val="-4"/>
                <w:sz w:val="20"/>
              </w:rPr>
              <w:t>1.4%</w:t>
            </w:r>
          </w:p>
        </w:tc>
      </w:tr>
      <w:tr>
        <w:trPr>
          <w:trHeight w:val="284" w:hRule="atLeast"/>
        </w:trPr>
        <w:tc>
          <w:tcPr>
            <w:tcW w:w="5014" w:type="dxa"/>
            <w:tcBorders>
              <w:left w:val="single" w:sz="12" w:space="0" w:color="000000"/>
            </w:tcBorders>
          </w:tcPr>
          <w:p>
            <w:pPr>
              <w:pStyle w:val="TableParagraph"/>
              <w:spacing w:line="227" w:lineRule="exact" w:before="37"/>
              <w:ind w:left="107"/>
              <w:rPr>
                <w:sz w:val="20"/>
              </w:rPr>
            </w:pPr>
            <w:r>
              <w:rPr>
                <w:sz w:val="20"/>
              </w:rPr>
              <w:t>Local</w:t>
            </w:r>
            <w:r>
              <w:rPr>
                <w:spacing w:val="-5"/>
                <w:sz w:val="20"/>
              </w:rPr>
              <w:t> </w:t>
            </w:r>
            <w:r>
              <w:rPr>
                <w:spacing w:val="-4"/>
                <w:sz w:val="20"/>
              </w:rPr>
              <w:t>laws</w:t>
            </w:r>
          </w:p>
        </w:tc>
        <w:tc>
          <w:tcPr>
            <w:tcW w:w="1431" w:type="dxa"/>
          </w:tcPr>
          <w:p>
            <w:pPr>
              <w:pStyle w:val="TableParagraph"/>
              <w:spacing w:before="11"/>
              <w:ind w:right="97"/>
              <w:jc w:val="right"/>
              <w:rPr>
                <w:sz w:val="20"/>
              </w:rPr>
            </w:pPr>
            <w:r>
              <w:rPr>
                <w:spacing w:val="-5"/>
                <w:sz w:val="20"/>
              </w:rPr>
              <w:t>179</w:t>
            </w:r>
          </w:p>
        </w:tc>
        <w:tc>
          <w:tcPr>
            <w:tcW w:w="1429" w:type="dxa"/>
            <w:shd w:val="clear" w:color="auto" w:fill="DDEBF6"/>
          </w:tcPr>
          <w:p>
            <w:pPr>
              <w:pStyle w:val="TableParagraph"/>
              <w:spacing w:before="11"/>
              <w:ind w:right="96"/>
              <w:jc w:val="right"/>
              <w:rPr>
                <w:b/>
                <w:sz w:val="20"/>
              </w:rPr>
            </w:pPr>
            <w:r>
              <w:rPr>
                <w:b/>
                <w:spacing w:val="-5"/>
                <w:sz w:val="20"/>
              </w:rPr>
              <w:t>175</w:t>
            </w:r>
          </w:p>
        </w:tc>
        <w:tc>
          <w:tcPr>
            <w:tcW w:w="1741" w:type="dxa"/>
          </w:tcPr>
          <w:p>
            <w:pPr>
              <w:pStyle w:val="TableParagraph"/>
              <w:spacing w:before="11"/>
              <w:ind w:right="407"/>
              <w:jc w:val="right"/>
              <w:rPr>
                <w:sz w:val="20"/>
              </w:rPr>
            </w:pPr>
            <w:r>
              <w:rPr>
                <w:spacing w:val="-5"/>
                <w:sz w:val="20"/>
              </w:rPr>
              <w:t>(4)</w:t>
            </w:r>
          </w:p>
        </w:tc>
        <w:tc>
          <w:tcPr>
            <w:tcW w:w="918" w:type="dxa"/>
            <w:tcBorders>
              <w:right w:val="single" w:sz="12" w:space="0" w:color="000000"/>
            </w:tcBorders>
          </w:tcPr>
          <w:p>
            <w:pPr>
              <w:pStyle w:val="TableParagraph"/>
              <w:spacing w:before="11"/>
              <w:ind w:right="78"/>
              <w:jc w:val="right"/>
              <w:rPr>
                <w:sz w:val="20"/>
              </w:rPr>
            </w:pPr>
            <w:r>
              <w:rPr>
                <w:spacing w:val="-2"/>
                <w:sz w:val="20"/>
              </w:rPr>
              <w:t>(2.2%)</w:t>
            </w:r>
          </w:p>
        </w:tc>
      </w:tr>
      <w:tr>
        <w:trPr>
          <w:trHeight w:val="285" w:hRule="atLeast"/>
        </w:trPr>
        <w:tc>
          <w:tcPr>
            <w:tcW w:w="5014" w:type="dxa"/>
            <w:tcBorders>
              <w:left w:val="single" w:sz="12" w:space="0" w:color="000000"/>
            </w:tcBorders>
          </w:tcPr>
          <w:p>
            <w:pPr>
              <w:pStyle w:val="TableParagraph"/>
              <w:spacing w:line="227" w:lineRule="exact" w:before="38"/>
              <w:ind w:left="107"/>
              <w:rPr>
                <w:sz w:val="20"/>
              </w:rPr>
            </w:pPr>
            <w:r>
              <w:rPr>
                <w:sz w:val="20"/>
              </w:rPr>
              <w:t>Occupation</w:t>
            </w:r>
            <w:r>
              <w:rPr>
                <w:spacing w:val="-7"/>
                <w:sz w:val="20"/>
              </w:rPr>
              <w:t> </w:t>
            </w:r>
            <w:r>
              <w:rPr>
                <w:sz w:val="20"/>
              </w:rPr>
              <w:t>road</w:t>
            </w:r>
            <w:r>
              <w:rPr>
                <w:spacing w:val="-8"/>
                <w:sz w:val="20"/>
              </w:rPr>
              <w:t> </w:t>
            </w:r>
            <w:r>
              <w:rPr>
                <w:spacing w:val="-2"/>
                <w:sz w:val="20"/>
              </w:rPr>
              <w:t>reserve</w:t>
            </w:r>
          </w:p>
        </w:tc>
        <w:tc>
          <w:tcPr>
            <w:tcW w:w="1431" w:type="dxa"/>
          </w:tcPr>
          <w:p>
            <w:pPr>
              <w:pStyle w:val="TableParagraph"/>
              <w:spacing w:before="10"/>
              <w:ind w:right="97"/>
              <w:jc w:val="right"/>
              <w:rPr>
                <w:sz w:val="20"/>
              </w:rPr>
            </w:pPr>
            <w:r>
              <w:rPr>
                <w:spacing w:val="-5"/>
                <w:sz w:val="20"/>
              </w:rPr>
              <w:t>120</w:t>
            </w:r>
          </w:p>
        </w:tc>
        <w:tc>
          <w:tcPr>
            <w:tcW w:w="1429" w:type="dxa"/>
            <w:shd w:val="clear" w:color="auto" w:fill="DDEBF6"/>
          </w:tcPr>
          <w:p>
            <w:pPr>
              <w:pStyle w:val="TableParagraph"/>
              <w:spacing w:before="10"/>
              <w:ind w:right="96"/>
              <w:jc w:val="right"/>
              <w:rPr>
                <w:b/>
                <w:sz w:val="20"/>
              </w:rPr>
            </w:pPr>
            <w:r>
              <w:rPr>
                <w:b/>
                <w:spacing w:val="-5"/>
                <w:sz w:val="20"/>
              </w:rPr>
              <w:t>150</w:t>
            </w:r>
          </w:p>
        </w:tc>
        <w:tc>
          <w:tcPr>
            <w:tcW w:w="1741" w:type="dxa"/>
          </w:tcPr>
          <w:p>
            <w:pPr>
              <w:pStyle w:val="TableParagraph"/>
              <w:spacing w:before="10"/>
              <w:ind w:right="409"/>
              <w:jc w:val="right"/>
              <w:rPr>
                <w:sz w:val="20"/>
              </w:rPr>
            </w:pPr>
            <w:r>
              <w:rPr>
                <w:spacing w:val="-5"/>
                <w:sz w:val="20"/>
              </w:rPr>
              <w:t>30</w:t>
            </w:r>
          </w:p>
        </w:tc>
        <w:tc>
          <w:tcPr>
            <w:tcW w:w="918" w:type="dxa"/>
            <w:tcBorders>
              <w:right w:val="single" w:sz="12" w:space="0" w:color="000000"/>
            </w:tcBorders>
          </w:tcPr>
          <w:p>
            <w:pPr>
              <w:pStyle w:val="TableParagraph"/>
              <w:spacing w:before="10"/>
              <w:ind w:right="81"/>
              <w:jc w:val="right"/>
              <w:rPr>
                <w:sz w:val="20"/>
              </w:rPr>
            </w:pPr>
            <w:r>
              <w:rPr>
                <w:spacing w:val="-2"/>
                <w:sz w:val="20"/>
              </w:rPr>
              <w:t>25.0%</w:t>
            </w:r>
          </w:p>
        </w:tc>
      </w:tr>
      <w:tr>
        <w:trPr>
          <w:trHeight w:val="285" w:hRule="atLeast"/>
        </w:trPr>
        <w:tc>
          <w:tcPr>
            <w:tcW w:w="5014" w:type="dxa"/>
            <w:tcBorders>
              <w:left w:val="single" w:sz="12" w:space="0" w:color="000000"/>
            </w:tcBorders>
          </w:tcPr>
          <w:p>
            <w:pPr>
              <w:pStyle w:val="TableParagraph"/>
              <w:spacing w:line="227" w:lineRule="exact" w:before="38"/>
              <w:ind w:left="107"/>
              <w:rPr>
                <w:sz w:val="20"/>
              </w:rPr>
            </w:pPr>
            <w:r>
              <w:rPr>
                <w:sz w:val="20"/>
              </w:rPr>
              <w:t>Other</w:t>
            </w:r>
            <w:r>
              <w:rPr>
                <w:spacing w:val="-5"/>
                <w:sz w:val="20"/>
              </w:rPr>
              <w:t> </w:t>
            </w:r>
            <w:r>
              <w:rPr>
                <w:sz w:val="20"/>
              </w:rPr>
              <w:t>fees</w:t>
            </w:r>
            <w:r>
              <w:rPr>
                <w:spacing w:val="-3"/>
                <w:sz w:val="20"/>
              </w:rPr>
              <w:t> </w:t>
            </w:r>
            <w:r>
              <w:rPr>
                <w:sz w:val="20"/>
              </w:rPr>
              <w:t>and</w:t>
            </w:r>
            <w:r>
              <w:rPr>
                <w:spacing w:val="-7"/>
                <w:sz w:val="20"/>
              </w:rPr>
              <w:t> </w:t>
            </w:r>
            <w:r>
              <w:rPr>
                <w:spacing w:val="-2"/>
                <w:sz w:val="20"/>
              </w:rPr>
              <w:t>charges</w:t>
            </w:r>
          </w:p>
        </w:tc>
        <w:tc>
          <w:tcPr>
            <w:tcW w:w="1431" w:type="dxa"/>
          </w:tcPr>
          <w:p>
            <w:pPr>
              <w:pStyle w:val="TableParagraph"/>
              <w:spacing w:before="10"/>
              <w:ind w:right="96"/>
              <w:jc w:val="right"/>
              <w:rPr>
                <w:sz w:val="20"/>
              </w:rPr>
            </w:pPr>
            <w:r>
              <w:rPr>
                <w:spacing w:val="-2"/>
                <w:sz w:val="20"/>
              </w:rPr>
              <w:t>1,439</w:t>
            </w:r>
          </w:p>
        </w:tc>
        <w:tc>
          <w:tcPr>
            <w:tcW w:w="1429" w:type="dxa"/>
            <w:shd w:val="clear" w:color="auto" w:fill="DDEBF6"/>
          </w:tcPr>
          <w:p>
            <w:pPr>
              <w:pStyle w:val="TableParagraph"/>
              <w:spacing w:before="10"/>
              <w:ind w:right="95"/>
              <w:jc w:val="right"/>
              <w:rPr>
                <w:b/>
                <w:sz w:val="20"/>
              </w:rPr>
            </w:pPr>
            <w:r>
              <w:rPr>
                <w:b/>
                <w:spacing w:val="-2"/>
                <w:sz w:val="20"/>
              </w:rPr>
              <w:t>1,740</w:t>
            </w:r>
          </w:p>
        </w:tc>
        <w:tc>
          <w:tcPr>
            <w:tcW w:w="1741" w:type="dxa"/>
          </w:tcPr>
          <w:p>
            <w:pPr>
              <w:pStyle w:val="TableParagraph"/>
              <w:spacing w:before="10"/>
              <w:ind w:right="409"/>
              <w:jc w:val="right"/>
              <w:rPr>
                <w:sz w:val="20"/>
              </w:rPr>
            </w:pPr>
            <w:r>
              <w:rPr>
                <w:spacing w:val="-5"/>
                <w:sz w:val="20"/>
              </w:rPr>
              <w:t>301</w:t>
            </w:r>
          </w:p>
        </w:tc>
        <w:tc>
          <w:tcPr>
            <w:tcW w:w="918" w:type="dxa"/>
            <w:tcBorders>
              <w:right w:val="single" w:sz="12" w:space="0" w:color="000000"/>
            </w:tcBorders>
          </w:tcPr>
          <w:p>
            <w:pPr>
              <w:pStyle w:val="TableParagraph"/>
              <w:spacing w:before="10"/>
              <w:ind w:right="81"/>
              <w:jc w:val="right"/>
              <w:rPr>
                <w:sz w:val="20"/>
              </w:rPr>
            </w:pPr>
            <w:r>
              <w:rPr>
                <w:spacing w:val="-4"/>
                <w:sz w:val="20"/>
              </w:rPr>
              <w:t>20.9%</w:t>
            </w:r>
          </w:p>
        </w:tc>
      </w:tr>
      <w:tr>
        <w:trPr>
          <w:trHeight w:val="282" w:hRule="atLeast"/>
        </w:trPr>
        <w:tc>
          <w:tcPr>
            <w:tcW w:w="5014" w:type="dxa"/>
            <w:tcBorders>
              <w:left w:val="single" w:sz="12" w:space="0" w:color="000000"/>
            </w:tcBorders>
          </w:tcPr>
          <w:p>
            <w:pPr>
              <w:pStyle w:val="TableParagraph"/>
              <w:spacing w:line="262" w:lineRule="exact"/>
              <w:ind w:left="107"/>
              <w:rPr>
                <w:rFonts w:ascii="Calibri"/>
                <w:sz w:val="22"/>
              </w:rPr>
            </w:pPr>
            <w:r>
              <w:rPr>
                <w:rFonts w:ascii="Calibri"/>
                <w:spacing w:val="-2"/>
                <w:sz w:val="22"/>
              </w:rPr>
              <w:t>Parking</w:t>
            </w:r>
          </w:p>
        </w:tc>
        <w:tc>
          <w:tcPr>
            <w:tcW w:w="1431" w:type="dxa"/>
          </w:tcPr>
          <w:p>
            <w:pPr>
              <w:pStyle w:val="TableParagraph"/>
              <w:spacing w:before="10"/>
              <w:ind w:right="94"/>
              <w:jc w:val="right"/>
              <w:rPr>
                <w:sz w:val="20"/>
              </w:rPr>
            </w:pPr>
            <w:r>
              <w:rPr>
                <w:w w:val="99"/>
                <w:sz w:val="20"/>
              </w:rPr>
              <w:t>0</w:t>
            </w:r>
          </w:p>
        </w:tc>
        <w:tc>
          <w:tcPr>
            <w:tcW w:w="1429" w:type="dxa"/>
            <w:shd w:val="clear" w:color="auto" w:fill="DDEBF6"/>
          </w:tcPr>
          <w:p>
            <w:pPr>
              <w:pStyle w:val="TableParagraph"/>
              <w:spacing w:before="10"/>
              <w:ind w:right="96"/>
              <w:jc w:val="right"/>
              <w:rPr>
                <w:b/>
                <w:sz w:val="20"/>
              </w:rPr>
            </w:pPr>
            <w:r>
              <w:rPr>
                <w:b/>
                <w:spacing w:val="-5"/>
                <w:sz w:val="20"/>
              </w:rPr>
              <w:t>100</w:t>
            </w:r>
          </w:p>
        </w:tc>
        <w:tc>
          <w:tcPr>
            <w:tcW w:w="1741" w:type="dxa"/>
          </w:tcPr>
          <w:p>
            <w:pPr>
              <w:pStyle w:val="TableParagraph"/>
              <w:spacing w:before="10"/>
              <w:ind w:right="409"/>
              <w:jc w:val="right"/>
              <w:rPr>
                <w:sz w:val="20"/>
              </w:rPr>
            </w:pPr>
            <w:r>
              <w:rPr>
                <w:spacing w:val="-5"/>
                <w:sz w:val="20"/>
              </w:rPr>
              <w:t>100</w:t>
            </w:r>
          </w:p>
        </w:tc>
        <w:tc>
          <w:tcPr>
            <w:tcW w:w="918" w:type="dxa"/>
            <w:tcBorders>
              <w:right w:val="single" w:sz="12" w:space="0" w:color="000000"/>
            </w:tcBorders>
          </w:tcPr>
          <w:p>
            <w:pPr>
              <w:pStyle w:val="TableParagraph"/>
              <w:spacing w:before="10"/>
              <w:ind w:left="128"/>
              <w:rPr>
                <w:sz w:val="20"/>
              </w:rPr>
            </w:pPr>
            <w:r>
              <w:rPr>
                <w:spacing w:val="-2"/>
                <w:sz w:val="20"/>
              </w:rPr>
              <w:t>100.0%</w:t>
            </w:r>
          </w:p>
        </w:tc>
      </w:tr>
      <w:tr>
        <w:trPr>
          <w:trHeight w:val="286" w:hRule="atLeast"/>
        </w:trPr>
        <w:tc>
          <w:tcPr>
            <w:tcW w:w="5014" w:type="dxa"/>
            <w:tcBorders>
              <w:left w:val="single" w:sz="12" w:space="0" w:color="000000"/>
            </w:tcBorders>
          </w:tcPr>
          <w:p>
            <w:pPr>
              <w:pStyle w:val="TableParagraph"/>
              <w:spacing w:line="227" w:lineRule="exact" w:before="39"/>
              <w:ind w:left="107"/>
              <w:rPr>
                <w:sz w:val="20"/>
              </w:rPr>
            </w:pPr>
            <w:r>
              <w:rPr>
                <w:sz w:val="20"/>
              </w:rPr>
              <w:t>Performing</w:t>
            </w:r>
            <w:r>
              <w:rPr>
                <w:spacing w:val="-8"/>
                <w:sz w:val="20"/>
              </w:rPr>
              <w:t> </w:t>
            </w:r>
            <w:r>
              <w:rPr>
                <w:sz w:val="20"/>
              </w:rPr>
              <w:t>arts,</w:t>
            </w:r>
            <w:r>
              <w:rPr>
                <w:spacing w:val="-7"/>
                <w:sz w:val="20"/>
              </w:rPr>
              <w:t> </w:t>
            </w:r>
            <w:r>
              <w:rPr>
                <w:sz w:val="20"/>
              </w:rPr>
              <w:t>functions</w:t>
            </w:r>
            <w:r>
              <w:rPr>
                <w:spacing w:val="-5"/>
                <w:sz w:val="20"/>
              </w:rPr>
              <w:t> </w:t>
            </w:r>
            <w:r>
              <w:rPr>
                <w:sz w:val="20"/>
              </w:rPr>
              <w:t>&amp;</w:t>
            </w:r>
            <w:r>
              <w:rPr>
                <w:spacing w:val="-5"/>
                <w:sz w:val="20"/>
              </w:rPr>
              <w:t> </w:t>
            </w:r>
            <w:r>
              <w:rPr>
                <w:spacing w:val="-2"/>
                <w:sz w:val="20"/>
              </w:rPr>
              <w:t>conferences</w:t>
            </w:r>
          </w:p>
        </w:tc>
        <w:tc>
          <w:tcPr>
            <w:tcW w:w="1431" w:type="dxa"/>
          </w:tcPr>
          <w:p>
            <w:pPr>
              <w:pStyle w:val="TableParagraph"/>
              <w:spacing w:before="13"/>
              <w:ind w:right="96"/>
              <w:jc w:val="right"/>
              <w:rPr>
                <w:sz w:val="20"/>
              </w:rPr>
            </w:pPr>
            <w:r>
              <w:rPr>
                <w:spacing w:val="-2"/>
                <w:sz w:val="20"/>
              </w:rPr>
              <w:t>3,676</w:t>
            </w:r>
          </w:p>
        </w:tc>
        <w:tc>
          <w:tcPr>
            <w:tcW w:w="1429" w:type="dxa"/>
            <w:shd w:val="clear" w:color="auto" w:fill="DDEBF6"/>
          </w:tcPr>
          <w:p>
            <w:pPr>
              <w:pStyle w:val="TableParagraph"/>
              <w:spacing w:before="13"/>
              <w:ind w:right="95"/>
              <w:jc w:val="right"/>
              <w:rPr>
                <w:b/>
                <w:sz w:val="20"/>
              </w:rPr>
            </w:pPr>
            <w:r>
              <w:rPr>
                <w:b/>
                <w:spacing w:val="-2"/>
                <w:sz w:val="20"/>
              </w:rPr>
              <w:t>4,126</w:t>
            </w:r>
          </w:p>
        </w:tc>
        <w:tc>
          <w:tcPr>
            <w:tcW w:w="1741" w:type="dxa"/>
          </w:tcPr>
          <w:p>
            <w:pPr>
              <w:pStyle w:val="TableParagraph"/>
              <w:spacing w:before="13"/>
              <w:ind w:right="409"/>
              <w:jc w:val="right"/>
              <w:rPr>
                <w:sz w:val="20"/>
              </w:rPr>
            </w:pPr>
            <w:r>
              <w:rPr>
                <w:spacing w:val="-5"/>
                <w:sz w:val="20"/>
              </w:rPr>
              <w:t>450</w:t>
            </w:r>
          </w:p>
        </w:tc>
        <w:tc>
          <w:tcPr>
            <w:tcW w:w="918" w:type="dxa"/>
            <w:tcBorders>
              <w:right w:val="single" w:sz="12" w:space="0" w:color="000000"/>
            </w:tcBorders>
          </w:tcPr>
          <w:p>
            <w:pPr>
              <w:pStyle w:val="TableParagraph"/>
              <w:spacing w:before="13"/>
              <w:ind w:right="81"/>
              <w:jc w:val="right"/>
              <w:rPr>
                <w:sz w:val="20"/>
              </w:rPr>
            </w:pPr>
            <w:r>
              <w:rPr>
                <w:spacing w:val="-4"/>
                <w:sz w:val="20"/>
              </w:rPr>
              <w:t>12.2%</w:t>
            </w:r>
          </w:p>
        </w:tc>
      </w:tr>
      <w:tr>
        <w:trPr>
          <w:trHeight w:val="285" w:hRule="atLeast"/>
        </w:trPr>
        <w:tc>
          <w:tcPr>
            <w:tcW w:w="5014" w:type="dxa"/>
            <w:tcBorders>
              <w:left w:val="single" w:sz="12" w:space="0" w:color="000000"/>
            </w:tcBorders>
          </w:tcPr>
          <w:p>
            <w:pPr>
              <w:pStyle w:val="TableParagraph"/>
              <w:spacing w:line="227" w:lineRule="exact" w:before="38"/>
              <w:ind w:left="107"/>
              <w:rPr>
                <w:sz w:val="20"/>
              </w:rPr>
            </w:pPr>
            <w:r>
              <w:rPr>
                <w:sz w:val="20"/>
              </w:rPr>
              <w:t>Public</w:t>
            </w:r>
            <w:r>
              <w:rPr>
                <w:spacing w:val="-10"/>
                <w:sz w:val="20"/>
              </w:rPr>
              <w:t> </w:t>
            </w:r>
            <w:r>
              <w:rPr>
                <w:spacing w:val="-2"/>
                <w:sz w:val="20"/>
              </w:rPr>
              <w:t>notices</w:t>
            </w:r>
          </w:p>
        </w:tc>
        <w:tc>
          <w:tcPr>
            <w:tcW w:w="1431" w:type="dxa"/>
          </w:tcPr>
          <w:p>
            <w:pPr>
              <w:pStyle w:val="TableParagraph"/>
              <w:spacing w:before="10"/>
              <w:ind w:right="97"/>
              <w:jc w:val="right"/>
              <w:rPr>
                <w:sz w:val="20"/>
              </w:rPr>
            </w:pPr>
            <w:r>
              <w:rPr>
                <w:spacing w:val="-5"/>
                <w:sz w:val="20"/>
              </w:rPr>
              <w:t>100</w:t>
            </w:r>
          </w:p>
        </w:tc>
        <w:tc>
          <w:tcPr>
            <w:tcW w:w="1429" w:type="dxa"/>
            <w:shd w:val="clear" w:color="auto" w:fill="DDEBF6"/>
          </w:tcPr>
          <w:p>
            <w:pPr>
              <w:pStyle w:val="TableParagraph"/>
              <w:spacing w:before="10"/>
              <w:ind w:right="96"/>
              <w:jc w:val="right"/>
              <w:rPr>
                <w:b/>
                <w:sz w:val="20"/>
              </w:rPr>
            </w:pPr>
            <w:r>
              <w:rPr>
                <w:b/>
                <w:spacing w:val="-5"/>
                <w:sz w:val="20"/>
              </w:rPr>
              <w:t>150</w:t>
            </w:r>
          </w:p>
        </w:tc>
        <w:tc>
          <w:tcPr>
            <w:tcW w:w="1741" w:type="dxa"/>
          </w:tcPr>
          <w:p>
            <w:pPr>
              <w:pStyle w:val="TableParagraph"/>
              <w:spacing w:before="10"/>
              <w:ind w:right="409"/>
              <w:jc w:val="right"/>
              <w:rPr>
                <w:sz w:val="20"/>
              </w:rPr>
            </w:pPr>
            <w:r>
              <w:rPr>
                <w:spacing w:val="-5"/>
                <w:sz w:val="20"/>
              </w:rPr>
              <w:t>50</w:t>
            </w:r>
          </w:p>
        </w:tc>
        <w:tc>
          <w:tcPr>
            <w:tcW w:w="918" w:type="dxa"/>
            <w:tcBorders>
              <w:right w:val="single" w:sz="12" w:space="0" w:color="000000"/>
            </w:tcBorders>
          </w:tcPr>
          <w:p>
            <w:pPr>
              <w:pStyle w:val="TableParagraph"/>
              <w:spacing w:before="10"/>
              <w:ind w:right="81"/>
              <w:jc w:val="right"/>
              <w:rPr>
                <w:sz w:val="20"/>
              </w:rPr>
            </w:pPr>
            <w:r>
              <w:rPr>
                <w:spacing w:val="-2"/>
                <w:sz w:val="20"/>
              </w:rPr>
              <w:t>50.0%</w:t>
            </w:r>
          </w:p>
        </w:tc>
      </w:tr>
      <w:tr>
        <w:trPr>
          <w:trHeight w:val="289" w:hRule="atLeast"/>
        </w:trPr>
        <w:tc>
          <w:tcPr>
            <w:tcW w:w="5014" w:type="dxa"/>
            <w:tcBorders>
              <w:left w:val="single" w:sz="12" w:space="0" w:color="000000"/>
            </w:tcBorders>
          </w:tcPr>
          <w:p>
            <w:pPr>
              <w:pStyle w:val="TableParagraph"/>
              <w:spacing w:before="38"/>
              <w:ind w:left="107"/>
              <w:rPr>
                <w:sz w:val="20"/>
              </w:rPr>
            </w:pPr>
            <w:r>
              <w:rPr>
                <w:sz w:val="20"/>
              </w:rPr>
              <w:t>Registration</w:t>
            </w:r>
            <w:r>
              <w:rPr>
                <w:spacing w:val="-7"/>
                <w:sz w:val="20"/>
              </w:rPr>
              <w:t> </w:t>
            </w:r>
            <w:r>
              <w:rPr>
                <w:sz w:val="20"/>
              </w:rPr>
              <w:t>and</w:t>
            </w:r>
            <w:r>
              <w:rPr>
                <w:spacing w:val="-8"/>
                <w:sz w:val="20"/>
              </w:rPr>
              <w:t> </w:t>
            </w:r>
            <w:r>
              <w:rPr>
                <w:sz w:val="20"/>
              </w:rPr>
              <w:t>other</w:t>
            </w:r>
            <w:r>
              <w:rPr>
                <w:spacing w:val="-3"/>
                <w:sz w:val="20"/>
              </w:rPr>
              <w:t> </w:t>
            </w:r>
            <w:r>
              <w:rPr>
                <w:spacing w:val="-2"/>
                <w:sz w:val="20"/>
              </w:rPr>
              <w:t>permits</w:t>
            </w:r>
          </w:p>
        </w:tc>
        <w:tc>
          <w:tcPr>
            <w:tcW w:w="1431" w:type="dxa"/>
          </w:tcPr>
          <w:p>
            <w:pPr>
              <w:pStyle w:val="TableParagraph"/>
              <w:spacing w:before="10"/>
              <w:ind w:right="94"/>
              <w:jc w:val="right"/>
              <w:rPr>
                <w:sz w:val="20"/>
              </w:rPr>
            </w:pPr>
            <w:r>
              <w:rPr>
                <w:w w:val="99"/>
                <w:sz w:val="20"/>
              </w:rPr>
              <w:t>2</w:t>
            </w:r>
          </w:p>
        </w:tc>
        <w:tc>
          <w:tcPr>
            <w:tcW w:w="1429" w:type="dxa"/>
            <w:shd w:val="clear" w:color="auto" w:fill="DDEBF6"/>
          </w:tcPr>
          <w:p>
            <w:pPr>
              <w:pStyle w:val="TableParagraph"/>
              <w:spacing w:before="10"/>
              <w:ind w:right="93"/>
              <w:jc w:val="right"/>
              <w:rPr>
                <w:b/>
                <w:sz w:val="20"/>
              </w:rPr>
            </w:pPr>
            <w:r>
              <w:rPr>
                <w:b/>
                <w:w w:val="99"/>
                <w:sz w:val="20"/>
              </w:rPr>
              <w:t>9</w:t>
            </w:r>
          </w:p>
        </w:tc>
        <w:tc>
          <w:tcPr>
            <w:tcW w:w="1741" w:type="dxa"/>
          </w:tcPr>
          <w:p>
            <w:pPr>
              <w:pStyle w:val="TableParagraph"/>
              <w:spacing w:before="10"/>
              <w:ind w:right="406"/>
              <w:jc w:val="right"/>
              <w:rPr>
                <w:sz w:val="20"/>
              </w:rPr>
            </w:pPr>
            <w:r>
              <w:rPr>
                <w:w w:val="99"/>
                <w:sz w:val="20"/>
              </w:rPr>
              <w:t>7</w:t>
            </w:r>
          </w:p>
        </w:tc>
        <w:tc>
          <w:tcPr>
            <w:tcW w:w="918" w:type="dxa"/>
            <w:tcBorders>
              <w:right w:val="single" w:sz="12" w:space="0" w:color="000000"/>
            </w:tcBorders>
          </w:tcPr>
          <w:p>
            <w:pPr>
              <w:pStyle w:val="TableParagraph"/>
              <w:spacing w:before="10"/>
              <w:ind w:left="129"/>
              <w:rPr>
                <w:sz w:val="20"/>
              </w:rPr>
            </w:pPr>
            <w:r>
              <w:rPr>
                <w:spacing w:val="-2"/>
                <w:sz w:val="20"/>
              </w:rPr>
              <w:t>350.0%</w:t>
            </w:r>
          </w:p>
        </w:tc>
      </w:tr>
      <w:tr>
        <w:trPr>
          <w:trHeight w:val="270" w:hRule="atLeast"/>
        </w:trPr>
        <w:tc>
          <w:tcPr>
            <w:tcW w:w="5014" w:type="dxa"/>
            <w:tcBorders>
              <w:left w:val="single" w:sz="12" w:space="0" w:color="000000"/>
            </w:tcBorders>
          </w:tcPr>
          <w:p>
            <w:pPr>
              <w:pStyle w:val="TableParagraph"/>
              <w:spacing w:line="204" w:lineRule="exact" w:before="47"/>
              <w:ind w:left="107"/>
              <w:rPr>
                <w:sz w:val="20"/>
              </w:rPr>
            </w:pPr>
            <w:r>
              <w:rPr>
                <w:sz w:val="20"/>
              </w:rPr>
              <w:t>Youth</w:t>
            </w:r>
            <w:r>
              <w:rPr>
                <w:spacing w:val="-7"/>
                <w:sz w:val="20"/>
              </w:rPr>
              <w:t> </w:t>
            </w:r>
            <w:r>
              <w:rPr>
                <w:sz w:val="20"/>
              </w:rPr>
              <w:t>and</w:t>
            </w:r>
            <w:r>
              <w:rPr>
                <w:spacing w:val="-7"/>
                <w:sz w:val="20"/>
              </w:rPr>
              <w:t> </w:t>
            </w:r>
            <w:r>
              <w:rPr>
                <w:sz w:val="20"/>
              </w:rPr>
              <w:t>Children</w:t>
            </w:r>
            <w:r>
              <w:rPr>
                <w:spacing w:val="-7"/>
                <w:sz w:val="20"/>
              </w:rPr>
              <w:t> </w:t>
            </w:r>
            <w:r>
              <w:rPr>
                <w:spacing w:val="-2"/>
                <w:sz w:val="20"/>
              </w:rPr>
              <w:t>Services</w:t>
            </w:r>
          </w:p>
        </w:tc>
        <w:tc>
          <w:tcPr>
            <w:tcW w:w="1431" w:type="dxa"/>
            <w:tcBorders>
              <w:bottom w:val="single" w:sz="12" w:space="0" w:color="000000"/>
            </w:tcBorders>
          </w:tcPr>
          <w:p>
            <w:pPr>
              <w:pStyle w:val="TableParagraph"/>
              <w:spacing w:before="13"/>
              <w:ind w:right="97"/>
              <w:jc w:val="right"/>
              <w:rPr>
                <w:sz w:val="20"/>
              </w:rPr>
            </w:pPr>
            <w:r>
              <w:rPr>
                <w:spacing w:val="-5"/>
                <w:sz w:val="20"/>
              </w:rPr>
              <w:t>461</w:t>
            </w:r>
          </w:p>
        </w:tc>
        <w:tc>
          <w:tcPr>
            <w:tcW w:w="1429" w:type="dxa"/>
            <w:tcBorders>
              <w:bottom w:val="single" w:sz="18" w:space="0" w:color="000000"/>
            </w:tcBorders>
            <w:shd w:val="clear" w:color="auto" w:fill="DDEBF6"/>
          </w:tcPr>
          <w:p>
            <w:pPr>
              <w:pStyle w:val="TableParagraph"/>
              <w:spacing w:before="13"/>
              <w:ind w:right="96"/>
              <w:jc w:val="right"/>
              <w:rPr>
                <w:b/>
                <w:sz w:val="20"/>
              </w:rPr>
            </w:pPr>
            <w:r>
              <w:rPr>
                <w:b/>
                <w:spacing w:val="-5"/>
                <w:sz w:val="20"/>
              </w:rPr>
              <w:t>448</w:t>
            </w:r>
          </w:p>
        </w:tc>
        <w:tc>
          <w:tcPr>
            <w:tcW w:w="1741" w:type="dxa"/>
            <w:tcBorders>
              <w:bottom w:val="single" w:sz="12" w:space="0" w:color="000000"/>
            </w:tcBorders>
          </w:tcPr>
          <w:p>
            <w:pPr>
              <w:pStyle w:val="TableParagraph"/>
              <w:spacing w:before="13"/>
              <w:ind w:right="407"/>
              <w:jc w:val="right"/>
              <w:rPr>
                <w:sz w:val="20"/>
              </w:rPr>
            </w:pPr>
            <w:r>
              <w:rPr>
                <w:spacing w:val="-4"/>
                <w:sz w:val="20"/>
              </w:rPr>
              <w:t>(13)</w:t>
            </w:r>
          </w:p>
        </w:tc>
        <w:tc>
          <w:tcPr>
            <w:tcW w:w="918" w:type="dxa"/>
            <w:tcBorders>
              <w:bottom w:val="single" w:sz="12" w:space="0" w:color="000000"/>
              <w:right w:val="single" w:sz="12" w:space="0" w:color="000000"/>
            </w:tcBorders>
          </w:tcPr>
          <w:p>
            <w:pPr>
              <w:pStyle w:val="TableParagraph"/>
              <w:spacing w:before="13"/>
              <w:ind w:right="80"/>
              <w:jc w:val="right"/>
              <w:rPr>
                <w:sz w:val="20"/>
              </w:rPr>
            </w:pPr>
            <w:r>
              <w:rPr>
                <w:spacing w:val="-2"/>
                <w:sz w:val="20"/>
              </w:rPr>
              <w:t>(2.8%)</w:t>
            </w:r>
          </w:p>
        </w:tc>
      </w:tr>
      <w:tr>
        <w:trPr>
          <w:trHeight w:val="292" w:hRule="atLeast"/>
        </w:trPr>
        <w:tc>
          <w:tcPr>
            <w:tcW w:w="5014" w:type="dxa"/>
            <w:tcBorders>
              <w:left w:val="single" w:sz="12" w:space="0" w:color="000000"/>
              <w:bottom w:val="single" w:sz="12" w:space="0" w:color="000000"/>
            </w:tcBorders>
          </w:tcPr>
          <w:p>
            <w:pPr>
              <w:pStyle w:val="TableParagraph"/>
              <w:spacing w:line="213" w:lineRule="exact" w:before="60"/>
              <w:ind w:left="107"/>
              <w:rPr>
                <w:b/>
                <w:sz w:val="20"/>
              </w:rPr>
            </w:pPr>
            <w:r>
              <w:rPr>
                <w:b/>
                <w:sz w:val="20"/>
              </w:rPr>
              <w:t>Total</w:t>
            </w:r>
            <w:r>
              <w:rPr>
                <w:b/>
                <w:spacing w:val="-9"/>
                <w:sz w:val="20"/>
              </w:rPr>
              <w:t> </w:t>
            </w:r>
            <w:r>
              <w:rPr>
                <w:b/>
                <w:sz w:val="20"/>
              </w:rPr>
              <w:t>user</w:t>
            </w:r>
            <w:r>
              <w:rPr>
                <w:b/>
                <w:spacing w:val="-6"/>
                <w:sz w:val="20"/>
              </w:rPr>
              <w:t> </w:t>
            </w:r>
            <w:r>
              <w:rPr>
                <w:b/>
                <w:spacing w:val="-4"/>
                <w:sz w:val="20"/>
              </w:rPr>
              <w:t>fees</w:t>
            </w:r>
          </w:p>
        </w:tc>
        <w:tc>
          <w:tcPr>
            <w:tcW w:w="1431" w:type="dxa"/>
            <w:tcBorders>
              <w:top w:val="single" w:sz="12" w:space="0" w:color="000000"/>
              <w:bottom w:val="single" w:sz="12" w:space="0" w:color="000000"/>
            </w:tcBorders>
          </w:tcPr>
          <w:p>
            <w:pPr>
              <w:pStyle w:val="TableParagraph"/>
              <w:spacing w:before="26"/>
              <w:ind w:right="97"/>
              <w:jc w:val="right"/>
              <w:rPr>
                <w:b/>
                <w:sz w:val="20"/>
              </w:rPr>
            </w:pPr>
            <w:r>
              <w:rPr>
                <w:b/>
                <w:spacing w:val="-2"/>
                <w:sz w:val="20"/>
              </w:rPr>
              <w:t>32,681</w:t>
            </w:r>
          </w:p>
        </w:tc>
        <w:tc>
          <w:tcPr>
            <w:tcW w:w="1429" w:type="dxa"/>
            <w:tcBorders>
              <w:top w:val="single" w:sz="18" w:space="0" w:color="000000"/>
              <w:bottom w:val="single" w:sz="12" w:space="0" w:color="000000"/>
            </w:tcBorders>
            <w:shd w:val="clear" w:color="auto" w:fill="DDEBF6"/>
          </w:tcPr>
          <w:p>
            <w:pPr>
              <w:pStyle w:val="TableParagraph"/>
              <w:spacing w:before="26"/>
              <w:ind w:right="97"/>
              <w:jc w:val="right"/>
              <w:rPr>
                <w:b/>
                <w:sz w:val="20"/>
              </w:rPr>
            </w:pPr>
            <w:r>
              <w:rPr>
                <w:b/>
                <w:spacing w:val="-2"/>
                <w:sz w:val="20"/>
              </w:rPr>
              <w:t>35,464</w:t>
            </w:r>
          </w:p>
        </w:tc>
        <w:tc>
          <w:tcPr>
            <w:tcW w:w="1741" w:type="dxa"/>
            <w:tcBorders>
              <w:top w:val="single" w:sz="12" w:space="0" w:color="000000"/>
              <w:bottom w:val="single" w:sz="12" w:space="0" w:color="000000"/>
            </w:tcBorders>
          </w:tcPr>
          <w:p>
            <w:pPr>
              <w:pStyle w:val="TableParagraph"/>
              <w:spacing w:before="26"/>
              <w:ind w:right="408"/>
              <w:jc w:val="right"/>
              <w:rPr>
                <w:b/>
                <w:sz w:val="20"/>
              </w:rPr>
            </w:pPr>
            <w:r>
              <w:rPr>
                <w:b/>
                <w:spacing w:val="-2"/>
                <w:sz w:val="20"/>
              </w:rPr>
              <w:t>2,783</w:t>
            </w:r>
          </w:p>
        </w:tc>
        <w:tc>
          <w:tcPr>
            <w:tcW w:w="918" w:type="dxa"/>
            <w:tcBorders>
              <w:top w:val="single" w:sz="12" w:space="0" w:color="000000"/>
              <w:bottom w:val="single" w:sz="12" w:space="0" w:color="000000"/>
              <w:right w:val="single" w:sz="12" w:space="0" w:color="000000"/>
            </w:tcBorders>
          </w:tcPr>
          <w:p>
            <w:pPr>
              <w:pStyle w:val="TableParagraph"/>
              <w:spacing w:before="26"/>
              <w:ind w:right="78"/>
              <w:jc w:val="right"/>
              <w:rPr>
                <w:b/>
                <w:sz w:val="20"/>
              </w:rPr>
            </w:pPr>
            <w:r>
              <w:rPr>
                <w:b/>
                <w:spacing w:val="-4"/>
                <w:sz w:val="20"/>
              </w:rPr>
              <w:t>8.5%</w:t>
            </w:r>
          </w:p>
        </w:tc>
      </w:tr>
    </w:tbl>
    <w:p>
      <w:pPr>
        <w:pStyle w:val="BodyText"/>
        <w:spacing w:before="11"/>
        <w:rPr>
          <w:b/>
          <w:sz w:val="21"/>
        </w:rPr>
      </w:pPr>
    </w:p>
    <w:p>
      <w:pPr>
        <w:pStyle w:val="BodyText"/>
        <w:ind w:left="260" w:right="552"/>
        <w:jc w:val="both"/>
      </w:pPr>
      <w:r>
        <w:rPr/>
        <w:t>User fees relate mainly to the recovery of service delivery costs through the charging of fees to users of Council’s</w:t>
      </w:r>
      <w:r>
        <w:rPr>
          <w:spacing w:val="-7"/>
        </w:rPr>
        <w:t> </w:t>
      </w:r>
      <w:r>
        <w:rPr/>
        <w:t>services.</w:t>
      </w:r>
      <w:r>
        <w:rPr>
          <w:spacing w:val="-7"/>
        </w:rPr>
        <w:t> </w:t>
      </w:r>
      <w:r>
        <w:rPr/>
        <w:t>In</w:t>
      </w:r>
      <w:r>
        <w:rPr>
          <w:spacing w:val="-7"/>
        </w:rPr>
        <w:t> </w:t>
      </w:r>
      <w:r>
        <w:rPr/>
        <w:t>setting</w:t>
      </w:r>
      <w:r>
        <w:rPr>
          <w:spacing w:val="-7"/>
        </w:rPr>
        <w:t> </w:t>
      </w:r>
      <w:r>
        <w:rPr/>
        <w:t>the</w:t>
      </w:r>
      <w:r>
        <w:rPr>
          <w:spacing w:val="-7"/>
        </w:rPr>
        <w:t> </w:t>
      </w:r>
      <w:r>
        <w:rPr/>
        <w:t>budget,</w:t>
      </w:r>
      <w:r>
        <w:rPr>
          <w:spacing w:val="-5"/>
        </w:rPr>
        <w:t> </w:t>
      </w:r>
      <w:r>
        <w:rPr/>
        <w:t>the</w:t>
      </w:r>
      <w:r>
        <w:rPr>
          <w:spacing w:val="-7"/>
        </w:rPr>
        <w:t> </w:t>
      </w:r>
      <w:r>
        <w:rPr/>
        <w:t>key</w:t>
      </w:r>
      <w:r>
        <w:rPr>
          <w:spacing w:val="-9"/>
        </w:rPr>
        <w:t> </w:t>
      </w:r>
      <w:r>
        <w:rPr/>
        <w:t>principle</w:t>
      </w:r>
      <w:r>
        <w:rPr>
          <w:spacing w:val="-9"/>
        </w:rPr>
        <w:t> </w:t>
      </w:r>
      <w:r>
        <w:rPr/>
        <w:t>for</w:t>
      </w:r>
      <w:r>
        <w:rPr>
          <w:spacing w:val="-6"/>
        </w:rPr>
        <w:t> </w:t>
      </w:r>
      <w:r>
        <w:rPr/>
        <w:t>determining</w:t>
      </w:r>
      <w:r>
        <w:rPr>
          <w:spacing w:val="-7"/>
        </w:rPr>
        <w:t> </w:t>
      </w:r>
      <w:r>
        <w:rPr/>
        <w:t>the</w:t>
      </w:r>
      <w:r>
        <w:rPr>
          <w:spacing w:val="-7"/>
        </w:rPr>
        <w:t> </w:t>
      </w:r>
      <w:r>
        <w:rPr/>
        <w:t>level</w:t>
      </w:r>
      <w:r>
        <w:rPr>
          <w:spacing w:val="-7"/>
        </w:rPr>
        <w:t> </w:t>
      </w:r>
      <w:r>
        <w:rPr/>
        <w:t>of</w:t>
      </w:r>
      <w:r>
        <w:rPr>
          <w:spacing w:val="-5"/>
        </w:rPr>
        <w:t> </w:t>
      </w:r>
      <w:r>
        <w:rPr/>
        <w:t>user</w:t>
      </w:r>
      <w:r>
        <w:rPr>
          <w:spacing w:val="-7"/>
        </w:rPr>
        <w:t> </w:t>
      </w:r>
      <w:r>
        <w:rPr/>
        <w:t>charges</w:t>
      </w:r>
      <w:r>
        <w:rPr>
          <w:spacing w:val="-9"/>
        </w:rPr>
        <w:t> </w:t>
      </w:r>
      <w:r>
        <w:rPr/>
        <w:t>has</w:t>
      </w:r>
      <w:r>
        <w:rPr>
          <w:spacing w:val="-5"/>
        </w:rPr>
        <w:t> </w:t>
      </w:r>
      <w:r>
        <w:rPr/>
        <w:t>been to ensure that increases maintain parity between user charges and the costs of service delivery. These include use of Maroondah Leisure facilities: Aquahub; Aquanation; Croydon Memorial Pool; The Rings; Maroondah Nets, Maroondah Edge; and the Ringwood and Croydon Golf courses, Council Multi-purpose centres including Karralyka Centre, Realm, Federation Estate and Wyreena. In addition, the provision of services such as meals on wheels and occasional care are included in user fees.</w:t>
      </w:r>
    </w:p>
    <w:p>
      <w:pPr>
        <w:pStyle w:val="BodyText"/>
        <w:spacing w:before="11"/>
        <w:rPr>
          <w:sz w:val="21"/>
        </w:rPr>
      </w:pPr>
    </w:p>
    <w:p>
      <w:pPr>
        <w:pStyle w:val="BodyText"/>
        <w:ind w:left="260" w:right="554"/>
        <w:jc w:val="both"/>
      </w:pPr>
      <w:r>
        <w:rPr/>
        <w:t>User</w:t>
      </w:r>
      <w:r>
        <w:rPr>
          <w:spacing w:val="-5"/>
        </w:rPr>
        <w:t> </w:t>
      </w:r>
      <w:r>
        <w:rPr/>
        <w:t>fees</w:t>
      </w:r>
      <w:r>
        <w:rPr>
          <w:spacing w:val="-4"/>
        </w:rPr>
        <w:t> </w:t>
      </w:r>
      <w:r>
        <w:rPr/>
        <w:t>are</w:t>
      </w:r>
      <w:r>
        <w:rPr>
          <w:spacing w:val="-8"/>
        </w:rPr>
        <w:t> </w:t>
      </w:r>
      <w:r>
        <w:rPr/>
        <w:t>projected</w:t>
      </w:r>
      <w:r>
        <w:rPr>
          <w:spacing w:val="-6"/>
        </w:rPr>
        <w:t> </w:t>
      </w:r>
      <w:r>
        <w:rPr/>
        <w:t>to</w:t>
      </w:r>
      <w:r>
        <w:rPr>
          <w:spacing w:val="-8"/>
        </w:rPr>
        <w:t> </w:t>
      </w:r>
      <w:r>
        <w:rPr/>
        <w:t>increase</w:t>
      </w:r>
      <w:r>
        <w:rPr>
          <w:spacing w:val="-6"/>
        </w:rPr>
        <w:t> </w:t>
      </w:r>
      <w:r>
        <w:rPr/>
        <w:t>by</w:t>
      </w:r>
      <w:r>
        <w:rPr>
          <w:spacing w:val="-4"/>
        </w:rPr>
        <w:t> </w:t>
      </w:r>
      <w:r>
        <w:rPr/>
        <w:t>8.5%</w:t>
      </w:r>
      <w:r>
        <w:rPr>
          <w:spacing w:val="-6"/>
        </w:rPr>
        <w:t> </w:t>
      </w:r>
      <w:r>
        <w:rPr/>
        <w:t>or</w:t>
      </w:r>
      <w:r>
        <w:rPr>
          <w:spacing w:val="-5"/>
        </w:rPr>
        <w:t> </w:t>
      </w:r>
      <w:r>
        <w:rPr/>
        <w:t>$3.0</w:t>
      </w:r>
      <w:r>
        <w:rPr>
          <w:spacing w:val="-5"/>
        </w:rPr>
        <w:t> </w:t>
      </w:r>
      <w:r>
        <w:rPr/>
        <w:t>million</w:t>
      </w:r>
      <w:r>
        <w:rPr>
          <w:spacing w:val="-6"/>
        </w:rPr>
        <w:t> </w:t>
      </w:r>
      <w:r>
        <w:rPr/>
        <w:t>over</w:t>
      </w:r>
      <w:r>
        <w:rPr>
          <w:spacing w:val="-5"/>
        </w:rPr>
        <w:t> </w:t>
      </w:r>
      <w:r>
        <w:rPr/>
        <w:t>2024/25</w:t>
      </w:r>
      <w:r>
        <w:rPr>
          <w:spacing w:val="-6"/>
        </w:rPr>
        <w:t> </w:t>
      </w:r>
      <w:r>
        <w:rPr/>
        <w:t>levels.</w:t>
      </w:r>
      <w:r>
        <w:rPr>
          <w:spacing w:val="-4"/>
        </w:rPr>
        <w:t> </w:t>
      </w:r>
      <w:r>
        <w:rPr/>
        <w:t>The</w:t>
      </w:r>
      <w:r>
        <w:rPr>
          <w:spacing w:val="-5"/>
        </w:rPr>
        <w:t> </w:t>
      </w:r>
      <w:r>
        <w:rPr/>
        <w:t>main</w:t>
      </w:r>
      <w:r>
        <w:rPr>
          <w:spacing w:val="-8"/>
        </w:rPr>
        <w:t> </w:t>
      </w:r>
      <w:r>
        <w:rPr/>
        <w:t>areas</w:t>
      </w:r>
      <w:r>
        <w:rPr>
          <w:spacing w:val="-6"/>
        </w:rPr>
        <w:t> </w:t>
      </w:r>
      <w:r>
        <w:rPr/>
        <w:t>contributing to the increase are Aquahub ($1.36 million), Karralyka ($0.42 million), Aquanation ($0.39 million) and Federation Estate ($0.10 million).</w:t>
      </w:r>
    </w:p>
    <w:p>
      <w:pPr>
        <w:pStyle w:val="BodyText"/>
      </w:pPr>
    </w:p>
    <w:p>
      <w:pPr>
        <w:pStyle w:val="BodyText"/>
        <w:spacing w:before="1"/>
        <w:ind w:left="260"/>
        <w:jc w:val="both"/>
      </w:pPr>
      <w:r>
        <w:rPr/>
        <w:t>A</w:t>
      </w:r>
      <w:r>
        <w:rPr>
          <w:spacing w:val="-3"/>
        </w:rPr>
        <w:t> </w:t>
      </w:r>
      <w:r>
        <w:rPr/>
        <w:t>detailed</w:t>
      </w:r>
      <w:r>
        <w:rPr>
          <w:spacing w:val="-3"/>
        </w:rPr>
        <w:t> </w:t>
      </w:r>
      <w:r>
        <w:rPr/>
        <w:t>listing</w:t>
      </w:r>
      <w:r>
        <w:rPr>
          <w:spacing w:val="-2"/>
        </w:rPr>
        <w:t> </w:t>
      </w:r>
      <w:r>
        <w:rPr/>
        <w:t>of</w:t>
      </w:r>
      <w:r>
        <w:rPr>
          <w:spacing w:val="-7"/>
        </w:rPr>
        <w:t> </w:t>
      </w:r>
      <w:r>
        <w:rPr/>
        <w:t>fees</w:t>
      </w:r>
      <w:r>
        <w:rPr>
          <w:spacing w:val="-5"/>
        </w:rPr>
        <w:t> </w:t>
      </w:r>
      <w:r>
        <w:rPr/>
        <w:t>and</w:t>
      </w:r>
      <w:r>
        <w:rPr>
          <w:spacing w:val="-3"/>
        </w:rPr>
        <w:t> </w:t>
      </w:r>
      <w:r>
        <w:rPr/>
        <w:t>charges</w:t>
      </w:r>
      <w:r>
        <w:rPr>
          <w:spacing w:val="-3"/>
        </w:rPr>
        <w:t> </w:t>
      </w:r>
      <w:r>
        <w:rPr/>
        <w:t>is</w:t>
      </w:r>
      <w:r>
        <w:rPr>
          <w:spacing w:val="-1"/>
        </w:rPr>
        <w:t> </w:t>
      </w:r>
      <w:r>
        <w:rPr/>
        <w:t>included</w:t>
      </w:r>
      <w:r>
        <w:rPr>
          <w:spacing w:val="-1"/>
        </w:rPr>
        <w:t> </w:t>
      </w:r>
      <w:r>
        <w:rPr/>
        <w:t>in</w:t>
      </w:r>
      <w:r>
        <w:rPr>
          <w:spacing w:val="-3"/>
        </w:rPr>
        <w:t> </w:t>
      </w:r>
      <w:r>
        <w:rPr/>
        <w:t>Section</w:t>
      </w:r>
      <w:r>
        <w:rPr>
          <w:spacing w:val="-3"/>
        </w:rPr>
        <w:t> </w:t>
      </w:r>
      <w:r>
        <w:rPr>
          <w:spacing w:val="-5"/>
        </w:rPr>
        <w:t>6.</w:t>
      </w:r>
    </w:p>
    <w:p>
      <w:pPr>
        <w:spacing w:after="0"/>
        <w:jc w:val="both"/>
        <w:sectPr>
          <w:pgSz w:w="11910" w:h="16840"/>
          <w:pgMar w:header="0" w:footer="375" w:top="620" w:bottom="560" w:left="460" w:right="160"/>
        </w:sectPr>
      </w:pPr>
    </w:p>
    <w:p>
      <w:pPr>
        <w:pStyle w:val="Heading4"/>
        <w:numPr>
          <w:ilvl w:val="2"/>
          <w:numId w:val="59"/>
        </w:numPr>
        <w:tabs>
          <w:tab w:pos="862" w:val="left" w:leader="none"/>
        </w:tabs>
        <w:spacing w:line="240" w:lineRule="auto" w:before="82" w:after="0"/>
        <w:ind w:left="861" w:right="0" w:hanging="602"/>
        <w:jc w:val="left"/>
      </w:pPr>
      <w:r>
        <w:rPr>
          <w:color w:val="4966AC"/>
          <w:spacing w:val="-2"/>
        </w:rPr>
        <w:t>Grants</w:t>
      </w:r>
    </w:p>
    <w:p>
      <w:pPr>
        <w:pStyle w:val="BodyText"/>
        <w:spacing w:before="8"/>
        <w:rPr>
          <w:b/>
          <w:sz w:val="23"/>
        </w:rPr>
      </w:pPr>
    </w:p>
    <w:p>
      <w:pPr>
        <w:pStyle w:val="BodyText"/>
        <w:ind w:left="260"/>
      </w:pPr>
      <w:r>
        <w:rPr/>
        <w:t>Grants</w:t>
      </w:r>
      <w:r>
        <w:rPr>
          <w:spacing w:val="-5"/>
        </w:rPr>
        <w:t> </w:t>
      </w:r>
      <w:r>
        <w:rPr/>
        <w:t>are</w:t>
      </w:r>
      <w:r>
        <w:rPr>
          <w:spacing w:val="-5"/>
        </w:rPr>
        <w:t> </w:t>
      </w:r>
      <w:r>
        <w:rPr/>
        <w:t>required</w:t>
      </w:r>
      <w:r>
        <w:rPr>
          <w:spacing w:val="-3"/>
        </w:rPr>
        <w:t> </w:t>
      </w:r>
      <w:r>
        <w:rPr/>
        <w:t>by</w:t>
      </w:r>
      <w:r>
        <w:rPr>
          <w:spacing w:val="-5"/>
        </w:rPr>
        <w:t> </w:t>
      </w:r>
      <w:r>
        <w:rPr/>
        <w:t>the</w:t>
      </w:r>
      <w:r>
        <w:rPr>
          <w:spacing w:val="-2"/>
        </w:rPr>
        <w:t> </w:t>
      </w:r>
      <w:r>
        <w:rPr/>
        <w:t>Act</w:t>
      </w:r>
      <w:r>
        <w:rPr>
          <w:spacing w:val="-4"/>
        </w:rPr>
        <w:t> </w:t>
      </w:r>
      <w:r>
        <w:rPr/>
        <w:t>and</w:t>
      </w:r>
      <w:r>
        <w:rPr>
          <w:spacing w:val="-5"/>
        </w:rPr>
        <w:t> </w:t>
      </w:r>
      <w:r>
        <w:rPr/>
        <w:t>the</w:t>
      </w:r>
      <w:r>
        <w:rPr>
          <w:spacing w:val="-1"/>
        </w:rPr>
        <w:t> </w:t>
      </w:r>
      <w:r>
        <w:rPr/>
        <w:t>Regulations</w:t>
      </w:r>
      <w:r>
        <w:rPr>
          <w:spacing w:val="-2"/>
        </w:rPr>
        <w:t> </w:t>
      </w:r>
      <w:r>
        <w:rPr/>
        <w:t>to</w:t>
      </w:r>
      <w:r>
        <w:rPr>
          <w:spacing w:val="-5"/>
        </w:rPr>
        <w:t> </w:t>
      </w:r>
      <w:r>
        <w:rPr/>
        <w:t>be</w:t>
      </w:r>
      <w:r>
        <w:rPr>
          <w:spacing w:val="-3"/>
        </w:rPr>
        <w:t> </w:t>
      </w:r>
      <w:r>
        <w:rPr/>
        <w:t>disclosed</w:t>
      </w:r>
      <w:r>
        <w:rPr>
          <w:spacing w:val="-4"/>
        </w:rPr>
        <w:t> </w:t>
      </w:r>
      <w:r>
        <w:rPr/>
        <w:t>in</w:t>
      </w:r>
      <w:r>
        <w:rPr>
          <w:spacing w:val="-5"/>
        </w:rPr>
        <w:t> </w:t>
      </w:r>
      <w:r>
        <w:rPr/>
        <w:t>Council’s</w:t>
      </w:r>
      <w:r>
        <w:rPr>
          <w:spacing w:val="-2"/>
        </w:rPr>
        <w:t> budget.</w:t>
      </w:r>
    </w:p>
    <w:tbl>
      <w:tblPr>
        <w:tblW w:w="0" w:type="auto"/>
        <w:jc w:val="left"/>
        <w:tblInd w:w="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80"/>
        <w:gridCol w:w="1562"/>
        <w:gridCol w:w="1684"/>
        <w:gridCol w:w="1813"/>
        <w:gridCol w:w="996"/>
      </w:tblGrid>
      <w:tr>
        <w:trPr>
          <w:trHeight w:val="1056" w:hRule="atLeast"/>
        </w:trPr>
        <w:tc>
          <w:tcPr>
            <w:tcW w:w="5942" w:type="dxa"/>
            <w:gridSpan w:val="2"/>
            <w:tcBorders>
              <w:top w:val="single" w:sz="18" w:space="0" w:color="000000"/>
              <w:left w:val="single" w:sz="12" w:space="0" w:color="000000"/>
            </w:tcBorders>
            <w:shd w:val="clear" w:color="auto" w:fill="5B9AD4"/>
          </w:tcPr>
          <w:p>
            <w:pPr>
              <w:pStyle w:val="TableParagraph"/>
              <w:spacing w:before="40"/>
              <w:ind w:left="4885" w:hanging="101"/>
              <w:rPr>
                <w:b/>
                <w:sz w:val="18"/>
              </w:rPr>
            </w:pPr>
            <w:r>
              <w:rPr>
                <w:b/>
                <w:color w:val="FFFFFF"/>
                <w:spacing w:val="-2"/>
                <w:sz w:val="18"/>
              </w:rPr>
              <w:t>Forecast Actual</w:t>
            </w:r>
          </w:p>
          <w:p>
            <w:pPr>
              <w:pStyle w:val="TableParagraph"/>
              <w:spacing w:before="71"/>
              <w:ind w:left="4835"/>
              <w:rPr>
                <w:b/>
                <w:sz w:val="18"/>
              </w:rPr>
            </w:pPr>
            <w:r>
              <w:rPr>
                <w:b/>
                <w:color w:val="FFFFFF"/>
                <w:spacing w:val="-2"/>
                <w:sz w:val="18"/>
              </w:rPr>
              <w:t>2024/25</w:t>
            </w:r>
          </w:p>
          <w:p>
            <w:pPr>
              <w:pStyle w:val="TableParagraph"/>
              <w:spacing w:before="69"/>
              <w:ind w:left="4933"/>
              <w:rPr>
                <w:b/>
                <w:sz w:val="18"/>
              </w:rPr>
            </w:pPr>
            <w:r>
              <w:rPr>
                <w:b/>
                <w:color w:val="FFFFFF"/>
                <w:spacing w:val="-2"/>
                <w:sz w:val="18"/>
              </w:rPr>
              <w:t>$’000</w:t>
            </w:r>
          </w:p>
        </w:tc>
        <w:tc>
          <w:tcPr>
            <w:tcW w:w="1684" w:type="dxa"/>
            <w:tcBorders>
              <w:top w:val="single" w:sz="18" w:space="0" w:color="000000"/>
            </w:tcBorders>
            <w:shd w:val="clear" w:color="auto" w:fill="5B9AD4"/>
          </w:tcPr>
          <w:p>
            <w:pPr>
              <w:pStyle w:val="TableParagraph"/>
              <w:spacing w:line="382" w:lineRule="exact" w:before="6"/>
              <w:ind w:left="530" w:right="499" w:firstLine="3"/>
              <w:jc w:val="center"/>
              <w:rPr>
                <w:b/>
                <w:sz w:val="18"/>
              </w:rPr>
            </w:pPr>
            <w:r>
              <w:rPr>
                <w:b/>
                <w:color w:val="FFFFFF"/>
                <w:spacing w:val="-2"/>
                <w:sz w:val="18"/>
              </w:rPr>
              <w:t>Budget 2025/26</w:t>
            </w:r>
          </w:p>
          <w:p>
            <w:pPr>
              <w:pStyle w:val="TableParagraph"/>
              <w:spacing w:before="31"/>
              <w:ind w:left="617" w:right="585"/>
              <w:jc w:val="center"/>
              <w:rPr>
                <w:b/>
                <w:sz w:val="18"/>
              </w:rPr>
            </w:pPr>
            <w:r>
              <w:rPr>
                <w:b/>
                <w:color w:val="FFFFFF"/>
                <w:spacing w:val="-2"/>
                <w:sz w:val="18"/>
              </w:rPr>
              <w:t>$’000</w:t>
            </w:r>
          </w:p>
        </w:tc>
        <w:tc>
          <w:tcPr>
            <w:tcW w:w="1813" w:type="dxa"/>
            <w:tcBorders>
              <w:top w:val="single" w:sz="18" w:space="0" w:color="000000"/>
            </w:tcBorders>
            <w:shd w:val="clear" w:color="auto" w:fill="5B9AD4"/>
          </w:tcPr>
          <w:p>
            <w:pPr>
              <w:pStyle w:val="TableParagraph"/>
              <w:spacing w:before="3"/>
              <w:rPr>
                <w:sz w:val="23"/>
              </w:rPr>
            </w:pPr>
          </w:p>
          <w:p>
            <w:pPr>
              <w:pStyle w:val="TableParagraph"/>
              <w:ind w:left="1090"/>
              <w:rPr>
                <w:b/>
                <w:sz w:val="18"/>
              </w:rPr>
            </w:pPr>
            <w:r>
              <w:rPr>
                <w:b/>
                <w:color w:val="FFFFFF"/>
                <w:spacing w:val="-2"/>
                <w:sz w:val="18"/>
              </w:rPr>
              <w:t>Change</w:t>
            </w:r>
          </w:p>
          <w:p>
            <w:pPr>
              <w:pStyle w:val="TableParagraph"/>
              <w:spacing w:before="4"/>
              <w:rPr>
                <w:sz w:val="28"/>
              </w:rPr>
            </w:pPr>
          </w:p>
          <w:p>
            <w:pPr>
              <w:pStyle w:val="TableParagraph"/>
              <w:ind w:left="524"/>
              <w:rPr>
                <w:b/>
                <w:sz w:val="18"/>
              </w:rPr>
            </w:pPr>
            <w:r>
              <w:rPr>
                <w:b/>
                <w:color w:val="FFFFFF"/>
                <w:spacing w:val="-2"/>
                <w:sz w:val="18"/>
              </w:rPr>
              <w:t>$’000</w:t>
            </w:r>
          </w:p>
        </w:tc>
        <w:tc>
          <w:tcPr>
            <w:tcW w:w="996" w:type="dxa"/>
            <w:tcBorders>
              <w:top w:val="single" w:sz="18" w:space="0" w:color="000000"/>
              <w:right w:val="single" w:sz="12" w:space="0" w:color="000000"/>
            </w:tcBorders>
            <w:shd w:val="clear" w:color="auto" w:fill="5B9AD4"/>
          </w:tcPr>
          <w:p>
            <w:pPr>
              <w:pStyle w:val="TableParagraph"/>
              <w:rPr>
                <w:sz w:val="20"/>
              </w:rPr>
            </w:pPr>
          </w:p>
          <w:p>
            <w:pPr>
              <w:pStyle w:val="TableParagraph"/>
              <w:rPr>
                <w:sz w:val="20"/>
              </w:rPr>
            </w:pPr>
          </w:p>
          <w:p>
            <w:pPr>
              <w:pStyle w:val="TableParagraph"/>
              <w:spacing w:before="7"/>
              <w:rPr>
                <w:sz w:val="29"/>
              </w:rPr>
            </w:pPr>
          </w:p>
          <w:p>
            <w:pPr>
              <w:pStyle w:val="TableParagraph"/>
              <w:ind w:left="102"/>
              <w:rPr>
                <w:b/>
                <w:sz w:val="18"/>
              </w:rPr>
            </w:pPr>
            <w:r>
              <w:rPr>
                <w:b/>
                <w:color w:val="FFFFFF"/>
                <w:spacing w:val="-2"/>
                <w:sz w:val="18"/>
              </w:rPr>
              <w:t>$’000</w:t>
            </w:r>
          </w:p>
        </w:tc>
      </w:tr>
      <w:tr>
        <w:trPr>
          <w:trHeight w:val="230" w:hRule="atLeast"/>
        </w:trPr>
        <w:tc>
          <w:tcPr>
            <w:tcW w:w="4380" w:type="dxa"/>
            <w:tcBorders>
              <w:left w:val="single" w:sz="12" w:space="0" w:color="000000"/>
            </w:tcBorders>
          </w:tcPr>
          <w:p>
            <w:pPr>
              <w:pStyle w:val="TableParagraph"/>
              <w:spacing w:line="211" w:lineRule="exact"/>
              <w:ind w:left="162"/>
              <w:rPr>
                <w:b/>
                <w:sz w:val="20"/>
              </w:rPr>
            </w:pPr>
            <w:r>
              <w:rPr>
                <w:b/>
                <w:sz w:val="20"/>
              </w:rPr>
              <w:t>Grants</w:t>
            </w:r>
            <w:r>
              <w:rPr>
                <w:b/>
                <w:spacing w:val="-7"/>
                <w:sz w:val="20"/>
              </w:rPr>
              <w:t> </w:t>
            </w:r>
            <w:r>
              <w:rPr>
                <w:b/>
                <w:sz w:val="20"/>
              </w:rPr>
              <w:t>were</w:t>
            </w:r>
            <w:r>
              <w:rPr>
                <w:b/>
                <w:spacing w:val="-6"/>
                <w:sz w:val="20"/>
              </w:rPr>
              <w:t> </w:t>
            </w:r>
            <w:r>
              <w:rPr>
                <w:b/>
                <w:sz w:val="20"/>
              </w:rPr>
              <w:t>received</w:t>
            </w:r>
            <w:r>
              <w:rPr>
                <w:b/>
                <w:spacing w:val="-1"/>
                <w:sz w:val="20"/>
              </w:rPr>
              <w:t> </w:t>
            </w:r>
            <w:r>
              <w:rPr>
                <w:b/>
                <w:sz w:val="20"/>
              </w:rPr>
              <w:t>in</w:t>
            </w:r>
            <w:r>
              <w:rPr>
                <w:b/>
                <w:spacing w:val="-5"/>
                <w:sz w:val="20"/>
              </w:rPr>
              <w:t> </w:t>
            </w:r>
            <w:r>
              <w:rPr>
                <w:b/>
                <w:sz w:val="20"/>
              </w:rPr>
              <w:t>respect</w:t>
            </w:r>
            <w:r>
              <w:rPr>
                <w:b/>
                <w:spacing w:val="-6"/>
                <w:sz w:val="20"/>
              </w:rPr>
              <w:t> </w:t>
            </w:r>
            <w:r>
              <w:rPr>
                <w:b/>
                <w:sz w:val="20"/>
              </w:rPr>
              <w:t>of</w:t>
            </w:r>
            <w:r>
              <w:rPr>
                <w:b/>
                <w:spacing w:val="-5"/>
                <w:sz w:val="20"/>
              </w:rPr>
              <w:t> the</w:t>
            </w:r>
          </w:p>
        </w:tc>
        <w:tc>
          <w:tcPr>
            <w:tcW w:w="1562" w:type="dxa"/>
          </w:tcPr>
          <w:p>
            <w:pPr>
              <w:pStyle w:val="TableParagraph"/>
              <w:rPr>
                <w:rFonts w:ascii="Times New Roman"/>
                <w:sz w:val="16"/>
              </w:rPr>
            </w:pPr>
          </w:p>
        </w:tc>
        <w:tc>
          <w:tcPr>
            <w:tcW w:w="1684" w:type="dxa"/>
            <w:shd w:val="clear" w:color="auto" w:fill="DDEBF6"/>
          </w:tcPr>
          <w:p>
            <w:pPr>
              <w:pStyle w:val="TableParagraph"/>
              <w:rPr>
                <w:rFonts w:ascii="Times New Roman"/>
                <w:sz w:val="16"/>
              </w:rPr>
            </w:pPr>
          </w:p>
        </w:tc>
        <w:tc>
          <w:tcPr>
            <w:tcW w:w="1813" w:type="dxa"/>
          </w:tcPr>
          <w:p>
            <w:pPr>
              <w:pStyle w:val="TableParagraph"/>
              <w:rPr>
                <w:rFonts w:ascii="Times New Roman"/>
                <w:sz w:val="16"/>
              </w:rPr>
            </w:pPr>
          </w:p>
        </w:tc>
        <w:tc>
          <w:tcPr>
            <w:tcW w:w="996" w:type="dxa"/>
            <w:tcBorders>
              <w:right w:val="single" w:sz="12" w:space="0" w:color="000000"/>
            </w:tcBorders>
          </w:tcPr>
          <w:p>
            <w:pPr>
              <w:pStyle w:val="TableParagraph"/>
              <w:rPr>
                <w:rFonts w:ascii="Times New Roman"/>
                <w:sz w:val="16"/>
              </w:rPr>
            </w:pPr>
          </w:p>
        </w:tc>
      </w:tr>
      <w:tr>
        <w:trPr>
          <w:trHeight w:val="265" w:hRule="atLeast"/>
        </w:trPr>
        <w:tc>
          <w:tcPr>
            <w:tcW w:w="4380" w:type="dxa"/>
            <w:tcBorders>
              <w:left w:val="single" w:sz="12" w:space="0" w:color="000000"/>
            </w:tcBorders>
          </w:tcPr>
          <w:p>
            <w:pPr>
              <w:pStyle w:val="TableParagraph"/>
              <w:spacing w:line="227" w:lineRule="exact"/>
              <w:ind w:left="107"/>
              <w:rPr>
                <w:b/>
                <w:sz w:val="20"/>
              </w:rPr>
            </w:pPr>
            <w:r>
              <w:rPr>
                <w:b/>
                <w:spacing w:val="-2"/>
                <w:sz w:val="20"/>
              </w:rPr>
              <w:t>following:</w:t>
            </w:r>
          </w:p>
        </w:tc>
        <w:tc>
          <w:tcPr>
            <w:tcW w:w="1562" w:type="dxa"/>
          </w:tcPr>
          <w:p>
            <w:pPr>
              <w:pStyle w:val="TableParagraph"/>
              <w:rPr>
                <w:rFonts w:ascii="Times New Roman"/>
                <w:sz w:val="18"/>
              </w:rPr>
            </w:pPr>
          </w:p>
        </w:tc>
        <w:tc>
          <w:tcPr>
            <w:tcW w:w="1684" w:type="dxa"/>
            <w:shd w:val="clear" w:color="auto" w:fill="DDEBF6"/>
          </w:tcPr>
          <w:p>
            <w:pPr>
              <w:pStyle w:val="TableParagraph"/>
              <w:rPr>
                <w:rFonts w:ascii="Times New Roman"/>
                <w:sz w:val="18"/>
              </w:rPr>
            </w:pPr>
          </w:p>
        </w:tc>
        <w:tc>
          <w:tcPr>
            <w:tcW w:w="1813" w:type="dxa"/>
          </w:tcPr>
          <w:p>
            <w:pPr>
              <w:pStyle w:val="TableParagraph"/>
              <w:rPr>
                <w:rFonts w:ascii="Times New Roman"/>
                <w:sz w:val="18"/>
              </w:rPr>
            </w:pPr>
          </w:p>
        </w:tc>
        <w:tc>
          <w:tcPr>
            <w:tcW w:w="996" w:type="dxa"/>
            <w:tcBorders>
              <w:right w:val="single" w:sz="12" w:space="0" w:color="000000"/>
            </w:tcBorders>
          </w:tcPr>
          <w:p>
            <w:pPr>
              <w:pStyle w:val="TableParagraph"/>
              <w:rPr>
                <w:rFonts w:ascii="Times New Roman"/>
                <w:sz w:val="18"/>
              </w:rPr>
            </w:pPr>
          </w:p>
        </w:tc>
      </w:tr>
      <w:tr>
        <w:trPr>
          <w:trHeight w:val="283" w:hRule="atLeast"/>
        </w:trPr>
        <w:tc>
          <w:tcPr>
            <w:tcW w:w="4380" w:type="dxa"/>
            <w:tcBorders>
              <w:left w:val="single" w:sz="12" w:space="0" w:color="000000"/>
            </w:tcBorders>
          </w:tcPr>
          <w:p>
            <w:pPr>
              <w:pStyle w:val="TableParagraph"/>
              <w:spacing w:before="31"/>
              <w:ind w:left="107"/>
              <w:rPr>
                <w:sz w:val="20"/>
              </w:rPr>
            </w:pPr>
            <w:r>
              <w:rPr>
                <w:sz w:val="20"/>
              </w:rPr>
              <w:t>Summary</w:t>
            </w:r>
            <w:r>
              <w:rPr>
                <w:spacing w:val="-7"/>
                <w:sz w:val="20"/>
              </w:rPr>
              <w:t> </w:t>
            </w:r>
            <w:r>
              <w:rPr>
                <w:sz w:val="20"/>
              </w:rPr>
              <w:t>of</w:t>
            </w:r>
            <w:r>
              <w:rPr>
                <w:spacing w:val="-4"/>
                <w:sz w:val="20"/>
              </w:rPr>
              <w:t> </w:t>
            </w:r>
            <w:r>
              <w:rPr>
                <w:spacing w:val="-2"/>
                <w:sz w:val="20"/>
              </w:rPr>
              <w:t>grants</w:t>
            </w:r>
          </w:p>
        </w:tc>
        <w:tc>
          <w:tcPr>
            <w:tcW w:w="1562" w:type="dxa"/>
          </w:tcPr>
          <w:p>
            <w:pPr>
              <w:pStyle w:val="TableParagraph"/>
              <w:rPr>
                <w:rFonts w:ascii="Times New Roman"/>
                <w:sz w:val="18"/>
              </w:rPr>
            </w:pPr>
          </w:p>
        </w:tc>
        <w:tc>
          <w:tcPr>
            <w:tcW w:w="1684" w:type="dxa"/>
            <w:shd w:val="clear" w:color="auto" w:fill="DDEBF6"/>
          </w:tcPr>
          <w:p>
            <w:pPr>
              <w:pStyle w:val="TableParagraph"/>
              <w:rPr>
                <w:rFonts w:ascii="Times New Roman"/>
                <w:sz w:val="18"/>
              </w:rPr>
            </w:pPr>
          </w:p>
        </w:tc>
        <w:tc>
          <w:tcPr>
            <w:tcW w:w="1813" w:type="dxa"/>
          </w:tcPr>
          <w:p>
            <w:pPr>
              <w:pStyle w:val="TableParagraph"/>
              <w:rPr>
                <w:rFonts w:ascii="Times New Roman"/>
                <w:sz w:val="18"/>
              </w:rPr>
            </w:pPr>
          </w:p>
        </w:tc>
        <w:tc>
          <w:tcPr>
            <w:tcW w:w="996" w:type="dxa"/>
            <w:tcBorders>
              <w:right w:val="single" w:sz="12" w:space="0" w:color="000000"/>
            </w:tcBorders>
          </w:tcPr>
          <w:p>
            <w:pPr>
              <w:pStyle w:val="TableParagraph"/>
              <w:rPr>
                <w:rFonts w:ascii="Times New Roman"/>
                <w:sz w:val="18"/>
              </w:rPr>
            </w:pPr>
          </w:p>
        </w:tc>
      </w:tr>
      <w:tr>
        <w:trPr>
          <w:trHeight w:val="300" w:hRule="atLeast"/>
        </w:trPr>
        <w:tc>
          <w:tcPr>
            <w:tcW w:w="4380" w:type="dxa"/>
            <w:tcBorders>
              <w:left w:val="single" w:sz="12" w:space="0" w:color="000000"/>
            </w:tcBorders>
          </w:tcPr>
          <w:p>
            <w:pPr>
              <w:pStyle w:val="TableParagraph"/>
              <w:spacing w:before="48"/>
              <w:ind w:left="107"/>
              <w:rPr>
                <w:sz w:val="20"/>
              </w:rPr>
            </w:pPr>
            <w:r>
              <w:rPr>
                <w:sz w:val="20"/>
              </w:rPr>
              <w:t>Commonwealth</w:t>
            </w:r>
            <w:r>
              <w:rPr>
                <w:spacing w:val="-12"/>
                <w:sz w:val="20"/>
              </w:rPr>
              <w:t> </w:t>
            </w:r>
            <w:r>
              <w:rPr>
                <w:sz w:val="20"/>
              </w:rPr>
              <w:t>funded</w:t>
            </w:r>
            <w:r>
              <w:rPr>
                <w:spacing w:val="-10"/>
                <w:sz w:val="20"/>
              </w:rPr>
              <w:t> </w:t>
            </w:r>
            <w:r>
              <w:rPr>
                <w:spacing w:val="-2"/>
                <w:sz w:val="20"/>
              </w:rPr>
              <w:t>grants</w:t>
            </w:r>
          </w:p>
        </w:tc>
        <w:tc>
          <w:tcPr>
            <w:tcW w:w="1562" w:type="dxa"/>
          </w:tcPr>
          <w:p>
            <w:pPr>
              <w:pStyle w:val="TableParagraph"/>
              <w:spacing w:before="14"/>
              <w:ind w:right="93"/>
              <w:jc w:val="right"/>
              <w:rPr>
                <w:sz w:val="20"/>
              </w:rPr>
            </w:pPr>
            <w:r>
              <w:rPr>
                <w:spacing w:val="-2"/>
                <w:sz w:val="20"/>
              </w:rPr>
              <w:t>32,276</w:t>
            </w:r>
          </w:p>
        </w:tc>
        <w:tc>
          <w:tcPr>
            <w:tcW w:w="1684" w:type="dxa"/>
            <w:shd w:val="clear" w:color="auto" w:fill="DDEBF6"/>
          </w:tcPr>
          <w:p>
            <w:pPr>
              <w:pStyle w:val="TableParagraph"/>
              <w:spacing w:before="14"/>
              <w:ind w:right="89"/>
              <w:jc w:val="right"/>
              <w:rPr>
                <w:b/>
                <w:sz w:val="20"/>
              </w:rPr>
            </w:pPr>
            <w:r>
              <w:rPr>
                <w:b/>
                <w:spacing w:val="-2"/>
                <w:sz w:val="20"/>
              </w:rPr>
              <w:t>9,551</w:t>
            </w:r>
          </w:p>
        </w:tc>
        <w:tc>
          <w:tcPr>
            <w:tcW w:w="1813" w:type="dxa"/>
          </w:tcPr>
          <w:p>
            <w:pPr>
              <w:pStyle w:val="TableParagraph"/>
              <w:spacing w:before="14"/>
              <w:ind w:right="436"/>
              <w:jc w:val="right"/>
              <w:rPr>
                <w:sz w:val="20"/>
              </w:rPr>
            </w:pPr>
            <w:r>
              <w:rPr>
                <w:spacing w:val="-2"/>
                <w:sz w:val="20"/>
              </w:rPr>
              <w:t>(22,725)</w:t>
            </w:r>
          </w:p>
        </w:tc>
        <w:tc>
          <w:tcPr>
            <w:tcW w:w="996" w:type="dxa"/>
            <w:tcBorders>
              <w:right w:val="single" w:sz="12" w:space="0" w:color="000000"/>
            </w:tcBorders>
          </w:tcPr>
          <w:p>
            <w:pPr>
              <w:pStyle w:val="TableParagraph"/>
              <w:spacing w:before="14"/>
              <w:ind w:right="78"/>
              <w:jc w:val="right"/>
              <w:rPr>
                <w:sz w:val="20"/>
              </w:rPr>
            </w:pPr>
            <w:r>
              <w:rPr>
                <w:spacing w:val="-2"/>
                <w:sz w:val="20"/>
              </w:rPr>
              <w:t>(70.4%)</w:t>
            </w:r>
          </w:p>
        </w:tc>
      </w:tr>
      <w:tr>
        <w:trPr>
          <w:trHeight w:val="272" w:hRule="atLeast"/>
        </w:trPr>
        <w:tc>
          <w:tcPr>
            <w:tcW w:w="4380" w:type="dxa"/>
            <w:tcBorders>
              <w:left w:val="single" w:sz="12" w:space="0" w:color="000000"/>
            </w:tcBorders>
          </w:tcPr>
          <w:p>
            <w:pPr>
              <w:pStyle w:val="TableParagraph"/>
              <w:spacing w:line="204" w:lineRule="exact" w:before="48"/>
              <w:ind w:left="107"/>
              <w:rPr>
                <w:sz w:val="20"/>
              </w:rPr>
            </w:pPr>
            <w:r>
              <w:rPr>
                <w:sz w:val="20"/>
              </w:rPr>
              <w:t>State</w:t>
            </w:r>
            <w:r>
              <w:rPr>
                <w:spacing w:val="-7"/>
                <w:sz w:val="20"/>
              </w:rPr>
              <w:t> </w:t>
            </w:r>
            <w:r>
              <w:rPr>
                <w:sz w:val="20"/>
              </w:rPr>
              <w:t>funded</w:t>
            </w:r>
            <w:r>
              <w:rPr>
                <w:spacing w:val="-6"/>
                <w:sz w:val="20"/>
              </w:rPr>
              <w:t> </w:t>
            </w:r>
            <w:r>
              <w:rPr>
                <w:spacing w:val="-2"/>
                <w:sz w:val="20"/>
              </w:rPr>
              <w:t>grants</w:t>
            </w:r>
          </w:p>
        </w:tc>
        <w:tc>
          <w:tcPr>
            <w:tcW w:w="1562" w:type="dxa"/>
            <w:tcBorders>
              <w:bottom w:val="single" w:sz="12" w:space="0" w:color="000000"/>
            </w:tcBorders>
          </w:tcPr>
          <w:p>
            <w:pPr>
              <w:pStyle w:val="TableParagraph"/>
              <w:spacing w:before="14"/>
              <w:ind w:right="92"/>
              <w:jc w:val="right"/>
              <w:rPr>
                <w:sz w:val="20"/>
              </w:rPr>
            </w:pPr>
            <w:r>
              <w:rPr>
                <w:spacing w:val="-2"/>
                <w:sz w:val="20"/>
              </w:rPr>
              <w:t>4,022</w:t>
            </w:r>
          </w:p>
        </w:tc>
        <w:tc>
          <w:tcPr>
            <w:tcW w:w="1684" w:type="dxa"/>
            <w:tcBorders>
              <w:bottom w:val="single" w:sz="18" w:space="0" w:color="000000"/>
            </w:tcBorders>
            <w:shd w:val="clear" w:color="auto" w:fill="DDEBF6"/>
          </w:tcPr>
          <w:p>
            <w:pPr>
              <w:pStyle w:val="TableParagraph"/>
              <w:spacing w:before="14"/>
              <w:ind w:right="89"/>
              <w:jc w:val="right"/>
              <w:rPr>
                <w:b/>
                <w:sz w:val="20"/>
              </w:rPr>
            </w:pPr>
            <w:r>
              <w:rPr>
                <w:b/>
                <w:spacing w:val="-2"/>
                <w:sz w:val="20"/>
              </w:rPr>
              <w:t>5,814</w:t>
            </w:r>
          </w:p>
        </w:tc>
        <w:tc>
          <w:tcPr>
            <w:tcW w:w="1813" w:type="dxa"/>
            <w:tcBorders>
              <w:bottom w:val="single" w:sz="12" w:space="0" w:color="000000"/>
            </w:tcBorders>
          </w:tcPr>
          <w:p>
            <w:pPr>
              <w:pStyle w:val="TableParagraph"/>
              <w:spacing w:before="14"/>
              <w:ind w:right="436"/>
              <w:jc w:val="right"/>
              <w:rPr>
                <w:sz w:val="20"/>
              </w:rPr>
            </w:pPr>
            <w:r>
              <w:rPr>
                <w:spacing w:val="-2"/>
                <w:sz w:val="20"/>
              </w:rPr>
              <w:t>1,792</w:t>
            </w:r>
          </w:p>
        </w:tc>
        <w:tc>
          <w:tcPr>
            <w:tcW w:w="996" w:type="dxa"/>
            <w:tcBorders>
              <w:bottom w:val="single" w:sz="12" w:space="0" w:color="000000"/>
              <w:right w:val="single" w:sz="12" w:space="0" w:color="000000"/>
            </w:tcBorders>
          </w:tcPr>
          <w:p>
            <w:pPr>
              <w:pStyle w:val="TableParagraph"/>
              <w:spacing w:before="14"/>
              <w:ind w:right="78"/>
              <w:jc w:val="right"/>
              <w:rPr>
                <w:sz w:val="20"/>
              </w:rPr>
            </w:pPr>
            <w:r>
              <w:rPr>
                <w:spacing w:val="-2"/>
                <w:sz w:val="20"/>
              </w:rPr>
              <w:t>44.55%</w:t>
            </w:r>
          </w:p>
        </w:tc>
      </w:tr>
      <w:tr>
        <w:trPr>
          <w:trHeight w:val="286" w:hRule="atLeast"/>
        </w:trPr>
        <w:tc>
          <w:tcPr>
            <w:tcW w:w="4380" w:type="dxa"/>
            <w:tcBorders>
              <w:left w:val="single" w:sz="12" w:space="0" w:color="000000"/>
            </w:tcBorders>
          </w:tcPr>
          <w:p>
            <w:pPr>
              <w:pStyle w:val="TableParagraph"/>
              <w:spacing w:line="204" w:lineRule="exact" w:before="62"/>
              <w:ind w:left="107"/>
              <w:rPr>
                <w:b/>
                <w:sz w:val="20"/>
              </w:rPr>
            </w:pPr>
            <w:r>
              <w:rPr>
                <w:b/>
                <w:sz w:val="20"/>
              </w:rPr>
              <w:t>Total</w:t>
            </w:r>
            <w:r>
              <w:rPr>
                <w:b/>
                <w:spacing w:val="-7"/>
                <w:sz w:val="20"/>
              </w:rPr>
              <w:t> </w:t>
            </w:r>
            <w:r>
              <w:rPr>
                <w:b/>
                <w:sz w:val="20"/>
              </w:rPr>
              <w:t>grants</w:t>
            </w:r>
            <w:r>
              <w:rPr>
                <w:b/>
                <w:spacing w:val="-4"/>
                <w:sz w:val="20"/>
              </w:rPr>
              <w:t> </w:t>
            </w:r>
            <w:r>
              <w:rPr>
                <w:b/>
                <w:spacing w:val="-2"/>
                <w:sz w:val="20"/>
              </w:rPr>
              <w:t>received</w:t>
            </w:r>
          </w:p>
        </w:tc>
        <w:tc>
          <w:tcPr>
            <w:tcW w:w="1562" w:type="dxa"/>
            <w:tcBorders>
              <w:top w:val="single" w:sz="12" w:space="0" w:color="000000"/>
              <w:bottom w:val="single" w:sz="12" w:space="0" w:color="000000"/>
            </w:tcBorders>
          </w:tcPr>
          <w:p>
            <w:pPr>
              <w:pStyle w:val="TableParagraph"/>
              <w:spacing w:before="26"/>
              <w:ind w:right="93"/>
              <w:jc w:val="right"/>
              <w:rPr>
                <w:b/>
                <w:sz w:val="20"/>
              </w:rPr>
            </w:pPr>
            <w:r>
              <w:rPr>
                <w:b/>
                <w:spacing w:val="-2"/>
                <w:sz w:val="20"/>
              </w:rPr>
              <w:t>36,298</w:t>
            </w:r>
          </w:p>
        </w:tc>
        <w:tc>
          <w:tcPr>
            <w:tcW w:w="1684" w:type="dxa"/>
            <w:tcBorders>
              <w:top w:val="single" w:sz="18" w:space="0" w:color="000000"/>
              <w:bottom w:val="single" w:sz="18" w:space="0" w:color="000000"/>
            </w:tcBorders>
            <w:shd w:val="clear" w:color="auto" w:fill="DDEBF6"/>
          </w:tcPr>
          <w:p>
            <w:pPr>
              <w:pStyle w:val="TableParagraph"/>
              <w:spacing w:before="26"/>
              <w:ind w:right="92"/>
              <w:jc w:val="right"/>
              <w:rPr>
                <w:b/>
                <w:sz w:val="20"/>
              </w:rPr>
            </w:pPr>
            <w:r>
              <w:rPr>
                <w:b/>
                <w:spacing w:val="-2"/>
                <w:sz w:val="20"/>
              </w:rPr>
              <w:t>15,365</w:t>
            </w:r>
          </w:p>
        </w:tc>
        <w:tc>
          <w:tcPr>
            <w:tcW w:w="1813" w:type="dxa"/>
            <w:tcBorders>
              <w:top w:val="single" w:sz="12" w:space="0" w:color="000000"/>
              <w:bottom w:val="single" w:sz="12" w:space="0" w:color="000000"/>
            </w:tcBorders>
          </w:tcPr>
          <w:p>
            <w:pPr>
              <w:pStyle w:val="TableParagraph"/>
              <w:spacing w:before="26"/>
              <w:ind w:right="436"/>
              <w:jc w:val="right"/>
              <w:rPr>
                <w:b/>
                <w:sz w:val="20"/>
              </w:rPr>
            </w:pPr>
            <w:r>
              <w:rPr>
                <w:b/>
                <w:spacing w:val="-2"/>
                <w:sz w:val="20"/>
              </w:rPr>
              <w:t>(20,933)</w:t>
            </w:r>
          </w:p>
        </w:tc>
        <w:tc>
          <w:tcPr>
            <w:tcW w:w="996" w:type="dxa"/>
            <w:tcBorders>
              <w:top w:val="single" w:sz="12" w:space="0" w:color="000000"/>
              <w:bottom w:val="single" w:sz="12" w:space="0" w:color="000000"/>
              <w:right w:val="single" w:sz="12" w:space="0" w:color="000000"/>
            </w:tcBorders>
          </w:tcPr>
          <w:p>
            <w:pPr>
              <w:pStyle w:val="TableParagraph"/>
              <w:spacing w:before="26"/>
              <w:ind w:right="77"/>
              <w:jc w:val="right"/>
              <w:rPr>
                <w:b/>
                <w:sz w:val="20"/>
              </w:rPr>
            </w:pPr>
            <w:r>
              <w:rPr>
                <w:b/>
                <w:spacing w:val="-2"/>
                <w:sz w:val="20"/>
              </w:rPr>
              <w:t>(57.7%)</w:t>
            </w:r>
          </w:p>
        </w:tc>
      </w:tr>
      <w:tr>
        <w:trPr>
          <w:trHeight w:val="311" w:hRule="atLeast"/>
        </w:trPr>
        <w:tc>
          <w:tcPr>
            <w:tcW w:w="4380" w:type="dxa"/>
            <w:tcBorders>
              <w:left w:val="single" w:sz="12" w:space="0" w:color="000000"/>
            </w:tcBorders>
          </w:tcPr>
          <w:p>
            <w:pPr>
              <w:pStyle w:val="TableParagraph"/>
              <w:tabs>
                <w:tab w:pos="572" w:val="left" w:leader="none"/>
              </w:tabs>
              <w:spacing w:before="60"/>
              <w:ind w:left="107"/>
              <w:rPr>
                <w:b/>
                <w:sz w:val="20"/>
              </w:rPr>
            </w:pPr>
            <w:r>
              <w:rPr>
                <w:b/>
                <w:spacing w:val="-5"/>
                <w:sz w:val="20"/>
              </w:rPr>
              <w:t>(a)</w:t>
            </w:r>
            <w:r>
              <w:rPr>
                <w:b/>
                <w:sz w:val="20"/>
              </w:rPr>
              <w:tab/>
              <w:t>Operating</w:t>
            </w:r>
            <w:r>
              <w:rPr>
                <w:b/>
                <w:spacing w:val="-12"/>
                <w:sz w:val="20"/>
              </w:rPr>
              <w:t> </w:t>
            </w:r>
            <w:r>
              <w:rPr>
                <w:b/>
                <w:spacing w:val="-2"/>
                <w:sz w:val="20"/>
              </w:rPr>
              <w:t>Grants</w:t>
            </w:r>
          </w:p>
        </w:tc>
        <w:tc>
          <w:tcPr>
            <w:tcW w:w="1562" w:type="dxa"/>
            <w:tcBorders>
              <w:top w:val="single" w:sz="12" w:space="0" w:color="000000"/>
            </w:tcBorders>
          </w:tcPr>
          <w:p>
            <w:pPr>
              <w:pStyle w:val="TableParagraph"/>
              <w:rPr>
                <w:rFonts w:ascii="Times New Roman"/>
                <w:sz w:val="18"/>
              </w:rPr>
            </w:pPr>
          </w:p>
        </w:tc>
        <w:tc>
          <w:tcPr>
            <w:tcW w:w="1684" w:type="dxa"/>
            <w:tcBorders>
              <w:top w:val="single" w:sz="18" w:space="0" w:color="000000"/>
            </w:tcBorders>
            <w:shd w:val="clear" w:color="auto" w:fill="DDEBF6"/>
          </w:tcPr>
          <w:p>
            <w:pPr>
              <w:pStyle w:val="TableParagraph"/>
              <w:rPr>
                <w:rFonts w:ascii="Times New Roman"/>
                <w:sz w:val="18"/>
              </w:rPr>
            </w:pPr>
          </w:p>
        </w:tc>
        <w:tc>
          <w:tcPr>
            <w:tcW w:w="1813" w:type="dxa"/>
            <w:tcBorders>
              <w:top w:val="single" w:sz="12" w:space="0" w:color="000000"/>
            </w:tcBorders>
          </w:tcPr>
          <w:p>
            <w:pPr>
              <w:pStyle w:val="TableParagraph"/>
              <w:rPr>
                <w:rFonts w:ascii="Times New Roman"/>
                <w:sz w:val="18"/>
              </w:rPr>
            </w:pPr>
          </w:p>
        </w:tc>
        <w:tc>
          <w:tcPr>
            <w:tcW w:w="996" w:type="dxa"/>
            <w:tcBorders>
              <w:top w:val="single" w:sz="12" w:space="0" w:color="000000"/>
              <w:right w:val="single" w:sz="12" w:space="0" w:color="000000"/>
            </w:tcBorders>
          </w:tcPr>
          <w:p>
            <w:pPr>
              <w:pStyle w:val="TableParagraph"/>
              <w:rPr>
                <w:rFonts w:ascii="Times New Roman"/>
                <w:sz w:val="18"/>
              </w:rPr>
            </w:pPr>
          </w:p>
        </w:tc>
      </w:tr>
      <w:tr>
        <w:trPr>
          <w:trHeight w:val="283" w:hRule="atLeast"/>
        </w:trPr>
        <w:tc>
          <w:tcPr>
            <w:tcW w:w="4380" w:type="dxa"/>
            <w:tcBorders>
              <w:left w:val="single" w:sz="12" w:space="0" w:color="000000"/>
            </w:tcBorders>
          </w:tcPr>
          <w:p>
            <w:pPr>
              <w:pStyle w:val="TableParagraph"/>
              <w:spacing w:before="14"/>
              <w:ind w:left="107"/>
              <w:rPr>
                <w:b/>
                <w:i/>
                <w:sz w:val="20"/>
              </w:rPr>
            </w:pPr>
            <w:r>
              <w:rPr>
                <w:b/>
                <w:i/>
                <w:sz w:val="20"/>
              </w:rPr>
              <w:t>Recurrent</w:t>
            </w:r>
            <w:r>
              <w:rPr>
                <w:b/>
                <w:i/>
                <w:spacing w:val="-8"/>
                <w:sz w:val="20"/>
              </w:rPr>
              <w:t> </w:t>
            </w:r>
            <w:r>
              <w:rPr>
                <w:b/>
                <w:i/>
                <w:sz w:val="20"/>
              </w:rPr>
              <w:t>-</w:t>
            </w:r>
            <w:r>
              <w:rPr>
                <w:b/>
                <w:i/>
                <w:spacing w:val="-7"/>
                <w:sz w:val="20"/>
              </w:rPr>
              <w:t> </w:t>
            </w:r>
            <w:r>
              <w:rPr>
                <w:b/>
                <w:i/>
                <w:sz w:val="20"/>
              </w:rPr>
              <w:t>Commonwealth</w:t>
            </w:r>
            <w:r>
              <w:rPr>
                <w:b/>
                <w:i/>
                <w:spacing w:val="-7"/>
                <w:sz w:val="20"/>
              </w:rPr>
              <w:t> </w:t>
            </w:r>
            <w:r>
              <w:rPr>
                <w:b/>
                <w:i/>
                <w:spacing w:val="-2"/>
                <w:sz w:val="20"/>
              </w:rPr>
              <w:t>Government</w:t>
            </w:r>
          </w:p>
        </w:tc>
        <w:tc>
          <w:tcPr>
            <w:tcW w:w="1562" w:type="dxa"/>
          </w:tcPr>
          <w:p>
            <w:pPr>
              <w:pStyle w:val="TableParagraph"/>
              <w:rPr>
                <w:rFonts w:ascii="Times New Roman"/>
                <w:sz w:val="18"/>
              </w:rPr>
            </w:pPr>
          </w:p>
        </w:tc>
        <w:tc>
          <w:tcPr>
            <w:tcW w:w="1684" w:type="dxa"/>
            <w:shd w:val="clear" w:color="auto" w:fill="DDEBF6"/>
          </w:tcPr>
          <w:p>
            <w:pPr>
              <w:pStyle w:val="TableParagraph"/>
              <w:rPr>
                <w:rFonts w:ascii="Times New Roman"/>
                <w:sz w:val="18"/>
              </w:rPr>
            </w:pPr>
          </w:p>
        </w:tc>
        <w:tc>
          <w:tcPr>
            <w:tcW w:w="1813" w:type="dxa"/>
          </w:tcPr>
          <w:p>
            <w:pPr>
              <w:pStyle w:val="TableParagraph"/>
              <w:rPr>
                <w:rFonts w:ascii="Times New Roman"/>
                <w:sz w:val="18"/>
              </w:rPr>
            </w:pPr>
          </w:p>
        </w:tc>
        <w:tc>
          <w:tcPr>
            <w:tcW w:w="996" w:type="dxa"/>
            <w:tcBorders>
              <w:right w:val="single" w:sz="12" w:space="0" w:color="000000"/>
            </w:tcBorders>
          </w:tcPr>
          <w:p>
            <w:pPr>
              <w:pStyle w:val="TableParagraph"/>
              <w:rPr>
                <w:rFonts w:ascii="Times New Roman"/>
                <w:sz w:val="18"/>
              </w:rPr>
            </w:pPr>
          </w:p>
        </w:tc>
      </w:tr>
      <w:tr>
        <w:trPr>
          <w:trHeight w:val="300" w:hRule="atLeast"/>
        </w:trPr>
        <w:tc>
          <w:tcPr>
            <w:tcW w:w="4380" w:type="dxa"/>
            <w:tcBorders>
              <w:left w:val="single" w:sz="12" w:space="0" w:color="000000"/>
            </w:tcBorders>
          </w:tcPr>
          <w:p>
            <w:pPr>
              <w:pStyle w:val="TableParagraph"/>
              <w:spacing w:before="31"/>
              <w:ind w:left="107"/>
              <w:rPr>
                <w:sz w:val="20"/>
              </w:rPr>
            </w:pPr>
            <w:r>
              <w:rPr>
                <w:sz w:val="20"/>
              </w:rPr>
              <w:t>Aged</w:t>
            </w:r>
            <w:r>
              <w:rPr>
                <w:spacing w:val="-9"/>
                <w:sz w:val="20"/>
              </w:rPr>
              <w:t> </w:t>
            </w:r>
            <w:r>
              <w:rPr>
                <w:sz w:val="20"/>
              </w:rPr>
              <w:t>and</w:t>
            </w:r>
            <w:r>
              <w:rPr>
                <w:spacing w:val="-6"/>
                <w:sz w:val="20"/>
              </w:rPr>
              <w:t> </w:t>
            </w:r>
            <w:r>
              <w:rPr>
                <w:sz w:val="20"/>
              </w:rPr>
              <w:t>Disability</w:t>
            </w:r>
            <w:r>
              <w:rPr>
                <w:spacing w:val="-6"/>
                <w:sz w:val="20"/>
              </w:rPr>
              <w:t> </w:t>
            </w:r>
            <w:r>
              <w:rPr>
                <w:spacing w:val="-2"/>
                <w:sz w:val="20"/>
              </w:rPr>
              <w:t>Services</w:t>
            </w:r>
          </w:p>
        </w:tc>
        <w:tc>
          <w:tcPr>
            <w:tcW w:w="1562" w:type="dxa"/>
          </w:tcPr>
          <w:p>
            <w:pPr>
              <w:pStyle w:val="TableParagraph"/>
              <w:spacing w:before="31"/>
              <w:ind w:right="92"/>
              <w:jc w:val="right"/>
              <w:rPr>
                <w:sz w:val="20"/>
              </w:rPr>
            </w:pPr>
            <w:r>
              <w:rPr>
                <w:spacing w:val="-2"/>
                <w:sz w:val="20"/>
              </w:rPr>
              <w:t>1,090</w:t>
            </w:r>
          </w:p>
        </w:tc>
        <w:tc>
          <w:tcPr>
            <w:tcW w:w="1684" w:type="dxa"/>
            <w:shd w:val="clear" w:color="auto" w:fill="DDEBF6"/>
          </w:tcPr>
          <w:p>
            <w:pPr>
              <w:pStyle w:val="TableParagraph"/>
              <w:spacing w:before="31"/>
              <w:ind w:right="92"/>
              <w:jc w:val="right"/>
              <w:rPr>
                <w:b/>
                <w:sz w:val="20"/>
              </w:rPr>
            </w:pPr>
            <w:r>
              <w:rPr>
                <w:b/>
                <w:spacing w:val="-5"/>
                <w:sz w:val="20"/>
              </w:rPr>
              <w:t>359</w:t>
            </w:r>
          </w:p>
        </w:tc>
        <w:tc>
          <w:tcPr>
            <w:tcW w:w="1813" w:type="dxa"/>
          </w:tcPr>
          <w:p>
            <w:pPr>
              <w:pStyle w:val="TableParagraph"/>
              <w:spacing w:before="31"/>
              <w:ind w:right="438"/>
              <w:jc w:val="right"/>
              <w:rPr>
                <w:sz w:val="20"/>
              </w:rPr>
            </w:pPr>
            <w:r>
              <w:rPr>
                <w:spacing w:val="-2"/>
                <w:sz w:val="20"/>
              </w:rPr>
              <w:t>(731)</w:t>
            </w:r>
          </w:p>
        </w:tc>
        <w:tc>
          <w:tcPr>
            <w:tcW w:w="996" w:type="dxa"/>
            <w:tcBorders>
              <w:right w:val="single" w:sz="12" w:space="0" w:color="000000"/>
            </w:tcBorders>
          </w:tcPr>
          <w:p>
            <w:pPr>
              <w:pStyle w:val="TableParagraph"/>
              <w:spacing w:before="31"/>
              <w:ind w:right="78"/>
              <w:jc w:val="right"/>
              <w:rPr>
                <w:sz w:val="20"/>
              </w:rPr>
            </w:pPr>
            <w:r>
              <w:rPr>
                <w:spacing w:val="-2"/>
                <w:sz w:val="20"/>
              </w:rPr>
              <w:t>(67.1%)</w:t>
            </w:r>
          </w:p>
        </w:tc>
      </w:tr>
      <w:tr>
        <w:trPr>
          <w:trHeight w:val="300" w:hRule="atLeast"/>
        </w:trPr>
        <w:tc>
          <w:tcPr>
            <w:tcW w:w="4380" w:type="dxa"/>
            <w:tcBorders>
              <w:left w:val="single" w:sz="12" w:space="0" w:color="000000"/>
            </w:tcBorders>
          </w:tcPr>
          <w:p>
            <w:pPr>
              <w:pStyle w:val="TableParagraph"/>
              <w:spacing w:before="31"/>
              <w:ind w:left="107"/>
              <w:rPr>
                <w:sz w:val="20"/>
              </w:rPr>
            </w:pPr>
            <w:r>
              <w:rPr>
                <w:sz w:val="20"/>
              </w:rPr>
              <w:t>Financial</w:t>
            </w:r>
            <w:r>
              <w:rPr>
                <w:spacing w:val="-9"/>
                <w:sz w:val="20"/>
              </w:rPr>
              <w:t> </w:t>
            </w:r>
            <w:r>
              <w:rPr>
                <w:sz w:val="20"/>
              </w:rPr>
              <w:t>Assistance</w:t>
            </w:r>
            <w:r>
              <w:rPr>
                <w:spacing w:val="-9"/>
                <w:sz w:val="20"/>
              </w:rPr>
              <w:t> </w:t>
            </w:r>
            <w:r>
              <w:rPr>
                <w:spacing w:val="-2"/>
                <w:sz w:val="20"/>
              </w:rPr>
              <w:t>Grants</w:t>
            </w:r>
          </w:p>
        </w:tc>
        <w:tc>
          <w:tcPr>
            <w:tcW w:w="1562" w:type="dxa"/>
          </w:tcPr>
          <w:p>
            <w:pPr>
              <w:pStyle w:val="TableParagraph"/>
              <w:spacing w:before="31"/>
              <w:ind w:right="92"/>
              <w:jc w:val="right"/>
              <w:rPr>
                <w:sz w:val="20"/>
              </w:rPr>
            </w:pPr>
            <w:r>
              <w:rPr>
                <w:spacing w:val="-2"/>
                <w:sz w:val="20"/>
              </w:rPr>
              <w:t>5,763</w:t>
            </w:r>
          </w:p>
        </w:tc>
        <w:tc>
          <w:tcPr>
            <w:tcW w:w="1684" w:type="dxa"/>
            <w:shd w:val="clear" w:color="auto" w:fill="DDEBF6"/>
          </w:tcPr>
          <w:p>
            <w:pPr>
              <w:pStyle w:val="TableParagraph"/>
              <w:spacing w:before="31"/>
              <w:ind w:right="91"/>
              <w:jc w:val="right"/>
              <w:rPr>
                <w:b/>
                <w:sz w:val="20"/>
              </w:rPr>
            </w:pPr>
            <w:r>
              <w:rPr>
                <w:b/>
                <w:spacing w:val="-2"/>
                <w:sz w:val="20"/>
              </w:rPr>
              <w:t>5,879</w:t>
            </w:r>
          </w:p>
        </w:tc>
        <w:tc>
          <w:tcPr>
            <w:tcW w:w="1813" w:type="dxa"/>
          </w:tcPr>
          <w:p>
            <w:pPr>
              <w:pStyle w:val="TableParagraph"/>
              <w:spacing w:before="31"/>
              <w:ind w:right="437"/>
              <w:jc w:val="right"/>
              <w:rPr>
                <w:sz w:val="20"/>
              </w:rPr>
            </w:pPr>
            <w:r>
              <w:rPr>
                <w:spacing w:val="-5"/>
                <w:sz w:val="20"/>
              </w:rPr>
              <w:t>116</w:t>
            </w:r>
          </w:p>
        </w:tc>
        <w:tc>
          <w:tcPr>
            <w:tcW w:w="996" w:type="dxa"/>
            <w:tcBorders>
              <w:right w:val="single" w:sz="12" w:space="0" w:color="000000"/>
            </w:tcBorders>
          </w:tcPr>
          <w:p>
            <w:pPr>
              <w:pStyle w:val="TableParagraph"/>
              <w:spacing w:before="31"/>
              <w:ind w:right="76"/>
              <w:jc w:val="right"/>
              <w:rPr>
                <w:sz w:val="20"/>
              </w:rPr>
            </w:pPr>
            <w:r>
              <w:rPr>
                <w:spacing w:val="-4"/>
                <w:sz w:val="20"/>
              </w:rPr>
              <w:t>2.0%</w:t>
            </w:r>
          </w:p>
        </w:tc>
      </w:tr>
      <w:tr>
        <w:trPr>
          <w:trHeight w:val="300" w:hRule="atLeast"/>
        </w:trPr>
        <w:tc>
          <w:tcPr>
            <w:tcW w:w="4380" w:type="dxa"/>
            <w:tcBorders>
              <w:left w:val="single" w:sz="12" w:space="0" w:color="000000"/>
            </w:tcBorders>
          </w:tcPr>
          <w:p>
            <w:pPr>
              <w:pStyle w:val="TableParagraph"/>
              <w:spacing w:before="31"/>
              <w:ind w:left="107"/>
              <w:rPr>
                <w:b/>
                <w:i/>
                <w:sz w:val="20"/>
              </w:rPr>
            </w:pPr>
            <w:r>
              <w:rPr>
                <w:b/>
                <w:i/>
                <w:sz w:val="20"/>
              </w:rPr>
              <w:t>Recurrent</w:t>
            </w:r>
            <w:r>
              <w:rPr>
                <w:b/>
                <w:i/>
                <w:spacing w:val="-6"/>
                <w:sz w:val="20"/>
              </w:rPr>
              <w:t> </w:t>
            </w:r>
            <w:r>
              <w:rPr>
                <w:b/>
                <w:i/>
                <w:sz w:val="20"/>
              </w:rPr>
              <w:t>-</w:t>
            </w:r>
            <w:r>
              <w:rPr>
                <w:b/>
                <w:i/>
                <w:spacing w:val="-6"/>
                <w:sz w:val="20"/>
              </w:rPr>
              <w:t> </w:t>
            </w:r>
            <w:r>
              <w:rPr>
                <w:b/>
                <w:i/>
                <w:sz w:val="20"/>
              </w:rPr>
              <w:t>State</w:t>
            </w:r>
            <w:r>
              <w:rPr>
                <w:b/>
                <w:i/>
                <w:spacing w:val="-5"/>
                <w:sz w:val="20"/>
              </w:rPr>
              <w:t> </w:t>
            </w:r>
            <w:r>
              <w:rPr>
                <w:b/>
                <w:i/>
                <w:spacing w:val="-2"/>
                <w:sz w:val="20"/>
              </w:rPr>
              <w:t>Government</w:t>
            </w:r>
          </w:p>
        </w:tc>
        <w:tc>
          <w:tcPr>
            <w:tcW w:w="1562" w:type="dxa"/>
          </w:tcPr>
          <w:p>
            <w:pPr>
              <w:pStyle w:val="TableParagraph"/>
              <w:rPr>
                <w:rFonts w:ascii="Times New Roman"/>
                <w:sz w:val="18"/>
              </w:rPr>
            </w:pPr>
          </w:p>
        </w:tc>
        <w:tc>
          <w:tcPr>
            <w:tcW w:w="1684" w:type="dxa"/>
            <w:shd w:val="clear" w:color="auto" w:fill="DDEBF6"/>
          </w:tcPr>
          <w:p>
            <w:pPr>
              <w:pStyle w:val="TableParagraph"/>
              <w:rPr>
                <w:rFonts w:ascii="Times New Roman"/>
                <w:sz w:val="18"/>
              </w:rPr>
            </w:pPr>
          </w:p>
        </w:tc>
        <w:tc>
          <w:tcPr>
            <w:tcW w:w="1813" w:type="dxa"/>
          </w:tcPr>
          <w:p>
            <w:pPr>
              <w:pStyle w:val="TableParagraph"/>
              <w:rPr>
                <w:rFonts w:ascii="Times New Roman"/>
                <w:sz w:val="18"/>
              </w:rPr>
            </w:pPr>
          </w:p>
        </w:tc>
        <w:tc>
          <w:tcPr>
            <w:tcW w:w="996" w:type="dxa"/>
            <w:tcBorders>
              <w:right w:val="single" w:sz="12" w:space="0" w:color="000000"/>
            </w:tcBorders>
          </w:tcPr>
          <w:p>
            <w:pPr>
              <w:pStyle w:val="TableParagraph"/>
              <w:rPr>
                <w:rFonts w:ascii="Times New Roman"/>
                <w:sz w:val="18"/>
              </w:rPr>
            </w:pPr>
          </w:p>
        </w:tc>
      </w:tr>
      <w:tr>
        <w:trPr>
          <w:trHeight w:val="300" w:hRule="atLeast"/>
        </w:trPr>
        <w:tc>
          <w:tcPr>
            <w:tcW w:w="4380" w:type="dxa"/>
            <w:tcBorders>
              <w:left w:val="single" w:sz="12" w:space="0" w:color="000000"/>
            </w:tcBorders>
          </w:tcPr>
          <w:p>
            <w:pPr>
              <w:pStyle w:val="TableParagraph"/>
              <w:spacing w:before="31"/>
              <w:ind w:left="107"/>
              <w:rPr>
                <w:sz w:val="20"/>
              </w:rPr>
            </w:pPr>
            <w:r>
              <w:rPr>
                <w:sz w:val="20"/>
              </w:rPr>
              <w:t>Community</w:t>
            </w:r>
            <w:r>
              <w:rPr>
                <w:spacing w:val="-13"/>
                <w:sz w:val="20"/>
              </w:rPr>
              <w:t> </w:t>
            </w:r>
            <w:r>
              <w:rPr>
                <w:spacing w:val="-2"/>
                <w:sz w:val="20"/>
              </w:rPr>
              <w:t>Safety</w:t>
            </w:r>
          </w:p>
        </w:tc>
        <w:tc>
          <w:tcPr>
            <w:tcW w:w="1562" w:type="dxa"/>
          </w:tcPr>
          <w:p>
            <w:pPr>
              <w:pStyle w:val="TableParagraph"/>
              <w:spacing w:before="31"/>
              <w:ind w:right="93"/>
              <w:jc w:val="right"/>
              <w:rPr>
                <w:sz w:val="20"/>
              </w:rPr>
            </w:pPr>
            <w:r>
              <w:rPr>
                <w:spacing w:val="-5"/>
                <w:sz w:val="20"/>
              </w:rPr>
              <w:t>100</w:t>
            </w:r>
          </w:p>
        </w:tc>
        <w:tc>
          <w:tcPr>
            <w:tcW w:w="1684" w:type="dxa"/>
            <w:shd w:val="clear" w:color="auto" w:fill="DDEBF6"/>
          </w:tcPr>
          <w:p>
            <w:pPr>
              <w:pStyle w:val="TableParagraph"/>
              <w:spacing w:before="31"/>
              <w:ind w:right="92"/>
              <w:jc w:val="right"/>
              <w:rPr>
                <w:b/>
                <w:sz w:val="20"/>
              </w:rPr>
            </w:pPr>
            <w:r>
              <w:rPr>
                <w:b/>
                <w:spacing w:val="-5"/>
                <w:sz w:val="20"/>
              </w:rPr>
              <w:t>104</w:t>
            </w:r>
          </w:p>
        </w:tc>
        <w:tc>
          <w:tcPr>
            <w:tcW w:w="1813" w:type="dxa"/>
          </w:tcPr>
          <w:p>
            <w:pPr>
              <w:pStyle w:val="TableParagraph"/>
              <w:spacing w:before="31"/>
              <w:ind w:right="434"/>
              <w:jc w:val="right"/>
              <w:rPr>
                <w:sz w:val="20"/>
              </w:rPr>
            </w:pPr>
            <w:r>
              <w:rPr>
                <w:w w:val="99"/>
                <w:sz w:val="20"/>
              </w:rPr>
              <w:t>4</w:t>
            </w:r>
          </w:p>
        </w:tc>
        <w:tc>
          <w:tcPr>
            <w:tcW w:w="996" w:type="dxa"/>
            <w:tcBorders>
              <w:right w:val="single" w:sz="12" w:space="0" w:color="000000"/>
            </w:tcBorders>
          </w:tcPr>
          <w:p>
            <w:pPr>
              <w:pStyle w:val="TableParagraph"/>
              <w:spacing w:before="31"/>
              <w:ind w:right="77"/>
              <w:jc w:val="right"/>
              <w:rPr>
                <w:sz w:val="20"/>
              </w:rPr>
            </w:pPr>
            <w:r>
              <w:rPr>
                <w:spacing w:val="-4"/>
                <w:sz w:val="20"/>
              </w:rPr>
              <w:t>4.0%</w:t>
            </w:r>
          </w:p>
        </w:tc>
      </w:tr>
      <w:tr>
        <w:trPr>
          <w:trHeight w:val="300" w:hRule="atLeast"/>
        </w:trPr>
        <w:tc>
          <w:tcPr>
            <w:tcW w:w="4380" w:type="dxa"/>
            <w:tcBorders>
              <w:left w:val="single" w:sz="12" w:space="0" w:color="000000"/>
            </w:tcBorders>
          </w:tcPr>
          <w:p>
            <w:pPr>
              <w:pStyle w:val="TableParagraph"/>
              <w:spacing w:before="31"/>
              <w:ind w:left="107"/>
              <w:rPr>
                <w:sz w:val="20"/>
              </w:rPr>
            </w:pPr>
            <w:r>
              <w:rPr>
                <w:sz w:val="20"/>
              </w:rPr>
              <w:t>Maternal</w:t>
            </w:r>
            <w:r>
              <w:rPr>
                <w:spacing w:val="-6"/>
                <w:sz w:val="20"/>
              </w:rPr>
              <w:t> </w:t>
            </w:r>
            <w:r>
              <w:rPr>
                <w:sz w:val="20"/>
              </w:rPr>
              <w:t>Child</w:t>
            </w:r>
            <w:r>
              <w:rPr>
                <w:spacing w:val="-7"/>
                <w:sz w:val="20"/>
              </w:rPr>
              <w:t> </w:t>
            </w:r>
            <w:r>
              <w:rPr>
                <w:spacing w:val="-2"/>
                <w:sz w:val="20"/>
              </w:rPr>
              <w:t>Health</w:t>
            </w:r>
          </w:p>
        </w:tc>
        <w:tc>
          <w:tcPr>
            <w:tcW w:w="1562" w:type="dxa"/>
          </w:tcPr>
          <w:p>
            <w:pPr>
              <w:pStyle w:val="TableParagraph"/>
              <w:spacing w:before="31"/>
              <w:ind w:right="93"/>
              <w:jc w:val="right"/>
              <w:rPr>
                <w:sz w:val="20"/>
              </w:rPr>
            </w:pPr>
            <w:r>
              <w:rPr>
                <w:spacing w:val="-2"/>
                <w:sz w:val="20"/>
              </w:rPr>
              <w:t>1,799</w:t>
            </w:r>
          </w:p>
        </w:tc>
        <w:tc>
          <w:tcPr>
            <w:tcW w:w="1684" w:type="dxa"/>
            <w:shd w:val="clear" w:color="auto" w:fill="DDEBF6"/>
          </w:tcPr>
          <w:p>
            <w:pPr>
              <w:pStyle w:val="TableParagraph"/>
              <w:spacing w:before="31"/>
              <w:ind w:right="91"/>
              <w:jc w:val="right"/>
              <w:rPr>
                <w:b/>
                <w:sz w:val="20"/>
              </w:rPr>
            </w:pPr>
            <w:r>
              <w:rPr>
                <w:b/>
                <w:spacing w:val="-2"/>
                <w:sz w:val="20"/>
              </w:rPr>
              <w:t>1,330</w:t>
            </w:r>
          </w:p>
        </w:tc>
        <w:tc>
          <w:tcPr>
            <w:tcW w:w="1813" w:type="dxa"/>
          </w:tcPr>
          <w:p>
            <w:pPr>
              <w:pStyle w:val="TableParagraph"/>
              <w:spacing w:before="31"/>
              <w:ind w:right="438"/>
              <w:jc w:val="right"/>
              <w:rPr>
                <w:sz w:val="20"/>
              </w:rPr>
            </w:pPr>
            <w:r>
              <w:rPr>
                <w:spacing w:val="-2"/>
                <w:sz w:val="20"/>
              </w:rPr>
              <w:t>(469)</w:t>
            </w:r>
          </w:p>
        </w:tc>
        <w:tc>
          <w:tcPr>
            <w:tcW w:w="996" w:type="dxa"/>
            <w:tcBorders>
              <w:right w:val="single" w:sz="12" w:space="0" w:color="000000"/>
            </w:tcBorders>
          </w:tcPr>
          <w:p>
            <w:pPr>
              <w:pStyle w:val="TableParagraph"/>
              <w:spacing w:before="31"/>
              <w:ind w:right="78"/>
              <w:jc w:val="right"/>
              <w:rPr>
                <w:sz w:val="20"/>
              </w:rPr>
            </w:pPr>
            <w:r>
              <w:rPr>
                <w:spacing w:val="-2"/>
                <w:sz w:val="20"/>
              </w:rPr>
              <w:t>(26.1%)</w:t>
            </w:r>
          </w:p>
        </w:tc>
      </w:tr>
      <w:tr>
        <w:trPr>
          <w:trHeight w:val="288" w:hRule="atLeast"/>
        </w:trPr>
        <w:tc>
          <w:tcPr>
            <w:tcW w:w="4380" w:type="dxa"/>
            <w:tcBorders>
              <w:left w:val="single" w:sz="12" w:space="0" w:color="000000"/>
            </w:tcBorders>
          </w:tcPr>
          <w:p>
            <w:pPr>
              <w:pStyle w:val="TableParagraph"/>
              <w:spacing w:before="31"/>
              <w:ind w:left="107"/>
              <w:rPr>
                <w:sz w:val="20"/>
              </w:rPr>
            </w:pPr>
            <w:r>
              <w:rPr>
                <w:sz w:val="20"/>
              </w:rPr>
              <w:t>Youth</w:t>
            </w:r>
            <w:r>
              <w:rPr>
                <w:spacing w:val="-7"/>
                <w:sz w:val="20"/>
              </w:rPr>
              <w:t> </w:t>
            </w:r>
            <w:r>
              <w:rPr>
                <w:sz w:val="20"/>
              </w:rPr>
              <w:t>and</w:t>
            </w:r>
            <w:r>
              <w:rPr>
                <w:spacing w:val="-7"/>
                <w:sz w:val="20"/>
              </w:rPr>
              <w:t> </w:t>
            </w:r>
            <w:r>
              <w:rPr>
                <w:sz w:val="20"/>
              </w:rPr>
              <w:t>Children</w:t>
            </w:r>
            <w:r>
              <w:rPr>
                <w:spacing w:val="-7"/>
                <w:sz w:val="20"/>
              </w:rPr>
              <w:t> </w:t>
            </w:r>
            <w:r>
              <w:rPr>
                <w:spacing w:val="-2"/>
                <w:sz w:val="20"/>
              </w:rPr>
              <w:t>Services</w:t>
            </w:r>
          </w:p>
        </w:tc>
        <w:tc>
          <w:tcPr>
            <w:tcW w:w="1562" w:type="dxa"/>
            <w:tcBorders>
              <w:bottom w:val="single" w:sz="12" w:space="0" w:color="000000"/>
            </w:tcBorders>
          </w:tcPr>
          <w:p>
            <w:pPr>
              <w:pStyle w:val="TableParagraph"/>
              <w:spacing w:before="31"/>
              <w:ind w:right="93"/>
              <w:jc w:val="right"/>
              <w:rPr>
                <w:sz w:val="20"/>
              </w:rPr>
            </w:pPr>
            <w:r>
              <w:rPr>
                <w:spacing w:val="-5"/>
                <w:sz w:val="20"/>
              </w:rPr>
              <w:t>93</w:t>
            </w:r>
          </w:p>
        </w:tc>
        <w:tc>
          <w:tcPr>
            <w:tcW w:w="1684" w:type="dxa"/>
            <w:tcBorders>
              <w:bottom w:val="single" w:sz="18" w:space="0" w:color="000000"/>
            </w:tcBorders>
            <w:shd w:val="clear" w:color="auto" w:fill="DDEBF6"/>
          </w:tcPr>
          <w:p>
            <w:pPr>
              <w:pStyle w:val="TableParagraph"/>
              <w:spacing w:before="31"/>
              <w:ind w:right="90"/>
              <w:jc w:val="right"/>
              <w:rPr>
                <w:b/>
                <w:sz w:val="20"/>
              </w:rPr>
            </w:pPr>
            <w:r>
              <w:rPr>
                <w:b/>
                <w:w w:val="99"/>
                <w:sz w:val="20"/>
              </w:rPr>
              <w:t>1</w:t>
            </w:r>
          </w:p>
        </w:tc>
        <w:tc>
          <w:tcPr>
            <w:tcW w:w="1813" w:type="dxa"/>
            <w:tcBorders>
              <w:bottom w:val="single" w:sz="12" w:space="0" w:color="000000"/>
            </w:tcBorders>
          </w:tcPr>
          <w:p>
            <w:pPr>
              <w:pStyle w:val="TableParagraph"/>
              <w:spacing w:before="31"/>
              <w:ind w:right="435"/>
              <w:jc w:val="right"/>
              <w:rPr>
                <w:sz w:val="20"/>
              </w:rPr>
            </w:pPr>
            <w:r>
              <w:rPr>
                <w:spacing w:val="-4"/>
                <w:sz w:val="20"/>
              </w:rPr>
              <w:t>(92)</w:t>
            </w:r>
          </w:p>
        </w:tc>
        <w:tc>
          <w:tcPr>
            <w:tcW w:w="996" w:type="dxa"/>
            <w:tcBorders>
              <w:bottom w:val="single" w:sz="12" w:space="0" w:color="000000"/>
              <w:right w:val="single" w:sz="12" w:space="0" w:color="000000"/>
            </w:tcBorders>
          </w:tcPr>
          <w:p>
            <w:pPr>
              <w:pStyle w:val="TableParagraph"/>
              <w:spacing w:before="31"/>
              <w:ind w:right="77"/>
              <w:jc w:val="right"/>
              <w:rPr>
                <w:sz w:val="20"/>
              </w:rPr>
            </w:pPr>
            <w:r>
              <w:rPr>
                <w:spacing w:val="-2"/>
                <w:sz w:val="20"/>
              </w:rPr>
              <w:t>(98.9%)</w:t>
            </w:r>
          </w:p>
        </w:tc>
      </w:tr>
      <w:tr>
        <w:trPr>
          <w:trHeight w:val="286" w:hRule="atLeast"/>
        </w:trPr>
        <w:tc>
          <w:tcPr>
            <w:tcW w:w="4380" w:type="dxa"/>
            <w:tcBorders>
              <w:left w:val="single" w:sz="12" w:space="0" w:color="000000"/>
            </w:tcBorders>
          </w:tcPr>
          <w:p>
            <w:pPr>
              <w:pStyle w:val="TableParagraph"/>
              <w:spacing w:before="26"/>
              <w:ind w:left="107"/>
              <w:rPr>
                <w:b/>
                <w:sz w:val="20"/>
              </w:rPr>
            </w:pPr>
            <w:r>
              <w:rPr>
                <w:b/>
                <w:sz w:val="20"/>
              </w:rPr>
              <w:t>Total</w:t>
            </w:r>
            <w:r>
              <w:rPr>
                <w:b/>
                <w:spacing w:val="-9"/>
                <w:sz w:val="20"/>
              </w:rPr>
              <w:t> </w:t>
            </w:r>
            <w:r>
              <w:rPr>
                <w:b/>
                <w:sz w:val="20"/>
              </w:rPr>
              <w:t>recurrent</w:t>
            </w:r>
            <w:r>
              <w:rPr>
                <w:b/>
                <w:spacing w:val="-9"/>
                <w:sz w:val="20"/>
              </w:rPr>
              <w:t> </w:t>
            </w:r>
            <w:r>
              <w:rPr>
                <w:b/>
                <w:spacing w:val="-2"/>
                <w:sz w:val="20"/>
              </w:rPr>
              <w:t>grants</w:t>
            </w:r>
          </w:p>
        </w:tc>
        <w:tc>
          <w:tcPr>
            <w:tcW w:w="1562" w:type="dxa"/>
            <w:tcBorders>
              <w:top w:val="single" w:sz="12" w:space="0" w:color="000000"/>
              <w:bottom w:val="single" w:sz="12" w:space="0" w:color="000000"/>
            </w:tcBorders>
          </w:tcPr>
          <w:p>
            <w:pPr>
              <w:pStyle w:val="TableParagraph"/>
              <w:spacing w:before="26"/>
              <w:ind w:right="93"/>
              <w:jc w:val="right"/>
              <w:rPr>
                <w:b/>
                <w:sz w:val="20"/>
              </w:rPr>
            </w:pPr>
            <w:r>
              <w:rPr>
                <w:b/>
                <w:spacing w:val="-2"/>
                <w:sz w:val="20"/>
              </w:rPr>
              <w:t>8,845</w:t>
            </w:r>
          </w:p>
        </w:tc>
        <w:tc>
          <w:tcPr>
            <w:tcW w:w="1684" w:type="dxa"/>
            <w:tcBorders>
              <w:top w:val="single" w:sz="18" w:space="0" w:color="000000"/>
              <w:bottom w:val="single" w:sz="18" w:space="0" w:color="000000"/>
            </w:tcBorders>
            <w:shd w:val="clear" w:color="auto" w:fill="DDEBF6"/>
          </w:tcPr>
          <w:p>
            <w:pPr>
              <w:pStyle w:val="TableParagraph"/>
              <w:spacing w:before="26"/>
              <w:ind w:right="91"/>
              <w:jc w:val="right"/>
              <w:rPr>
                <w:b/>
                <w:sz w:val="20"/>
              </w:rPr>
            </w:pPr>
            <w:r>
              <w:rPr>
                <w:b/>
                <w:spacing w:val="-2"/>
                <w:sz w:val="20"/>
              </w:rPr>
              <w:t>7,673</w:t>
            </w:r>
          </w:p>
        </w:tc>
        <w:tc>
          <w:tcPr>
            <w:tcW w:w="1813" w:type="dxa"/>
            <w:tcBorders>
              <w:top w:val="single" w:sz="12" w:space="0" w:color="000000"/>
              <w:bottom w:val="single" w:sz="12" w:space="0" w:color="000000"/>
            </w:tcBorders>
          </w:tcPr>
          <w:p>
            <w:pPr>
              <w:pStyle w:val="TableParagraph"/>
              <w:spacing w:before="26"/>
              <w:ind w:right="438"/>
              <w:jc w:val="right"/>
              <w:rPr>
                <w:b/>
                <w:sz w:val="20"/>
              </w:rPr>
            </w:pPr>
            <w:r>
              <w:rPr>
                <w:b/>
                <w:spacing w:val="-2"/>
                <w:sz w:val="20"/>
              </w:rPr>
              <w:t>(1,172)</w:t>
            </w:r>
          </w:p>
        </w:tc>
        <w:tc>
          <w:tcPr>
            <w:tcW w:w="996" w:type="dxa"/>
            <w:tcBorders>
              <w:top w:val="single" w:sz="12" w:space="0" w:color="000000"/>
              <w:bottom w:val="single" w:sz="12" w:space="0" w:color="000000"/>
              <w:right w:val="single" w:sz="12" w:space="0" w:color="000000"/>
            </w:tcBorders>
          </w:tcPr>
          <w:p>
            <w:pPr>
              <w:pStyle w:val="TableParagraph"/>
              <w:spacing w:before="26"/>
              <w:ind w:right="77"/>
              <w:jc w:val="right"/>
              <w:rPr>
                <w:b/>
                <w:sz w:val="20"/>
              </w:rPr>
            </w:pPr>
            <w:r>
              <w:rPr>
                <w:b/>
                <w:spacing w:val="-2"/>
                <w:sz w:val="20"/>
              </w:rPr>
              <w:t>(13.3%)</w:t>
            </w:r>
          </w:p>
        </w:tc>
      </w:tr>
      <w:tr>
        <w:trPr>
          <w:trHeight w:val="224" w:hRule="atLeast"/>
        </w:trPr>
        <w:tc>
          <w:tcPr>
            <w:tcW w:w="4380" w:type="dxa"/>
            <w:tcBorders>
              <w:left w:val="single" w:sz="12" w:space="0" w:color="000000"/>
            </w:tcBorders>
          </w:tcPr>
          <w:p>
            <w:pPr>
              <w:pStyle w:val="TableParagraph"/>
              <w:spacing w:line="204" w:lineRule="exact"/>
              <w:ind w:left="107"/>
              <w:rPr>
                <w:b/>
                <w:i/>
                <w:sz w:val="20"/>
              </w:rPr>
            </w:pPr>
            <w:r>
              <w:rPr>
                <w:b/>
                <w:i/>
                <w:sz w:val="20"/>
              </w:rPr>
              <w:t>Non-</w:t>
            </w:r>
            <w:r>
              <w:rPr>
                <w:b/>
                <w:i/>
                <w:spacing w:val="-8"/>
                <w:sz w:val="20"/>
              </w:rPr>
              <w:t> </w:t>
            </w:r>
            <w:r>
              <w:rPr>
                <w:b/>
                <w:i/>
                <w:sz w:val="20"/>
              </w:rPr>
              <w:t>recurrent</w:t>
            </w:r>
            <w:r>
              <w:rPr>
                <w:b/>
                <w:i/>
                <w:spacing w:val="-4"/>
                <w:sz w:val="20"/>
              </w:rPr>
              <w:t> </w:t>
            </w:r>
            <w:r>
              <w:rPr>
                <w:b/>
                <w:i/>
                <w:sz w:val="20"/>
              </w:rPr>
              <w:t>-</w:t>
            </w:r>
            <w:r>
              <w:rPr>
                <w:b/>
                <w:i/>
                <w:spacing w:val="-5"/>
                <w:sz w:val="20"/>
              </w:rPr>
              <w:t> </w:t>
            </w:r>
            <w:r>
              <w:rPr>
                <w:b/>
                <w:i/>
                <w:spacing w:val="-2"/>
                <w:sz w:val="20"/>
              </w:rPr>
              <w:t>Commonwealth</w:t>
            </w:r>
          </w:p>
        </w:tc>
        <w:tc>
          <w:tcPr>
            <w:tcW w:w="1562" w:type="dxa"/>
            <w:tcBorders>
              <w:top w:val="single" w:sz="12" w:space="0" w:color="000000"/>
            </w:tcBorders>
          </w:tcPr>
          <w:p>
            <w:pPr>
              <w:pStyle w:val="TableParagraph"/>
              <w:rPr>
                <w:rFonts w:ascii="Times New Roman"/>
                <w:sz w:val="16"/>
              </w:rPr>
            </w:pPr>
          </w:p>
        </w:tc>
        <w:tc>
          <w:tcPr>
            <w:tcW w:w="1684" w:type="dxa"/>
            <w:tcBorders>
              <w:top w:val="single" w:sz="18" w:space="0" w:color="000000"/>
            </w:tcBorders>
            <w:shd w:val="clear" w:color="auto" w:fill="DDEBF6"/>
          </w:tcPr>
          <w:p>
            <w:pPr>
              <w:pStyle w:val="TableParagraph"/>
              <w:rPr>
                <w:rFonts w:ascii="Times New Roman"/>
                <w:sz w:val="16"/>
              </w:rPr>
            </w:pPr>
          </w:p>
        </w:tc>
        <w:tc>
          <w:tcPr>
            <w:tcW w:w="1813" w:type="dxa"/>
            <w:tcBorders>
              <w:top w:val="single" w:sz="12" w:space="0" w:color="000000"/>
            </w:tcBorders>
          </w:tcPr>
          <w:p>
            <w:pPr>
              <w:pStyle w:val="TableParagraph"/>
              <w:rPr>
                <w:rFonts w:ascii="Times New Roman"/>
                <w:sz w:val="16"/>
              </w:rPr>
            </w:pPr>
          </w:p>
        </w:tc>
        <w:tc>
          <w:tcPr>
            <w:tcW w:w="996" w:type="dxa"/>
            <w:tcBorders>
              <w:top w:val="single" w:sz="12" w:space="0" w:color="000000"/>
              <w:right w:val="single" w:sz="12" w:space="0" w:color="000000"/>
            </w:tcBorders>
          </w:tcPr>
          <w:p>
            <w:pPr>
              <w:pStyle w:val="TableParagraph"/>
              <w:rPr>
                <w:rFonts w:ascii="Times New Roman"/>
                <w:sz w:val="16"/>
              </w:rPr>
            </w:pPr>
          </w:p>
        </w:tc>
      </w:tr>
      <w:tr>
        <w:trPr>
          <w:trHeight w:val="237" w:hRule="atLeast"/>
        </w:trPr>
        <w:tc>
          <w:tcPr>
            <w:tcW w:w="4380" w:type="dxa"/>
            <w:tcBorders>
              <w:left w:val="single" w:sz="12" w:space="0" w:color="000000"/>
            </w:tcBorders>
          </w:tcPr>
          <w:p>
            <w:pPr>
              <w:pStyle w:val="TableParagraph"/>
              <w:spacing w:line="218" w:lineRule="exact"/>
              <w:ind w:left="107"/>
              <w:rPr>
                <w:b/>
                <w:i/>
                <w:sz w:val="20"/>
              </w:rPr>
            </w:pPr>
            <w:r>
              <w:rPr>
                <w:b/>
                <w:i/>
                <w:spacing w:val="-2"/>
                <w:sz w:val="20"/>
              </w:rPr>
              <w:t>Government</w:t>
            </w:r>
          </w:p>
        </w:tc>
        <w:tc>
          <w:tcPr>
            <w:tcW w:w="1562" w:type="dxa"/>
          </w:tcPr>
          <w:p>
            <w:pPr>
              <w:pStyle w:val="TableParagraph"/>
              <w:rPr>
                <w:rFonts w:ascii="Times New Roman"/>
                <w:sz w:val="16"/>
              </w:rPr>
            </w:pPr>
          </w:p>
        </w:tc>
        <w:tc>
          <w:tcPr>
            <w:tcW w:w="1684" w:type="dxa"/>
            <w:shd w:val="clear" w:color="auto" w:fill="DDEBF6"/>
          </w:tcPr>
          <w:p>
            <w:pPr>
              <w:pStyle w:val="TableParagraph"/>
              <w:rPr>
                <w:rFonts w:ascii="Times New Roman"/>
                <w:sz w:val="16"/>
              </w:rPr>
            </w:pPr>
          </w:p>
        </w:tc>
        <w:tc>
          <w:tcPr>
            <w:tcW w:w="1813" w:type="dxa"/>
          </w:tcPr>
          <w:p>
            <w:pPr>
              <w:pStyle w:val="TableParagraph"/>
              <w:rPr>
                <w:rFonts w:ascii="Times New Roman"/>
                <w:sz w:val="16"/>
              </w:rPr>
            </w:pPr>
          </w:p>
        </w:tc>
        <w:tc>
          <w:tcPr>
            <w:tcW w:w="996" w:type="dxa"/>
            <w:tcBorders>
              <w:right w:val="single" w:sz="12" w:space="0" w:color="000000"/>
            </w:tcBorders>
          </w:tcPr>
          <w:p>
            <w:pPr>
              <w:pStyle w:val="TableParagraph"/>
              <w:rPr>
                <w:rFonts w:ascii="Times New Roman"/>
                <w:sz w:val="16"/>
              </w:rPr>
            </w:pPr>
          </w:p>
        </w:tc>
      </w:tr>
      <w:tr>
        <w:trPr>
          <w:trHeight w:val="270" w:hRule="atLeast"/>
        </w:trPr>
        <w:tc>
          <w:tcPr>
            <w:tcW w:w="4380" w:type="dxa"/>
            <w:tcBorders>
              <w:left w:val="single" w:sz="12" w:space="0" w:color="000000"/>
            </w:tcBorders>
          </w:tcPr>
          <w:p>
            <w:pPr>
              <w:pStyle w:val="TableParagraph"/>
              <w:spacing w:before="18"/>
              <w:ind w:left="107"/>
              <w:rPr>
                <w:sz w:val="20"/>
              </w:rPr>
            </w:pPr>
            <w:r>
              <w:rPr>
                <w:sz w:val="20"/>
              </w:rPr>
              <w:t>Sport</w:t>
            </w:r>
            <w:r>
              <w:rPr>
                <w:spacing w:val="-5"/>
                <w:sz w:val="20"/>
              </w:rPr>
              <w:t> </w:t>
            </w:r>
            <w:r>
              <w:rPr>
                <w:sz w:val="20"/>
              </w:rPr>
              <w:t>and</w:t>
            </w:r>
            <w:r>
              <w:rPr>
                <w:spacing w:val="-5"/>
                <w:sz w:val="20"/>
              </w:rPr>
              <w:t> </w:t>
            </w:r>
            <w:r>
              <w:rPr>
                <w:spacing w:val="-2"/>
                <w:sz w:val="20"/>
              </w:rPr>
              <w:t>recreation</w:t>
            </w:r>
          </w:p>
        </w:tc>
        <w:tc>
          <w:tcPr>
            <w:tcW w:w="1562" w:type="dxa"/>
          </w:tcPr>
          <w:p>
            <w:pPr>
              <w:pStyle w:val="TableParagraph"/>
              <w:spacing w:before="4"/>
              <w:ind w:right="94"/>
              <w:jc w:val="right"/>
              <w:rPr>
                <w:sz w:val="20"/>
              </w:rPr>
            </w:pPr>
            <w:r>
              <w:rPr>
                <w:spacing w:val="-5"/>
                <w:sz w:val="20"/>
              </w:rPr>
              <w:t>31</w:t>
            </w:r>
          </w:p>
        </w:tc>
        <w:tc>
          <w:tcPr>
            <w:tcW w:w="1684" w:type="dxa"/>
            <w:shd w:val="clear" w:color="auto" w:fill="DDEBF6"/>
          </w:tcPr>
          <w:p>
            <w:pPr>
              <w:pStyle w:val="TableParagraph"/>
              <w:spacing w:before="4"/>
              <w:ind w:right="90"/>
              <w:jc w:val="right"/>
              <w:rPr>
                <w:b/>
                <w:sz w:val="20"/>
              </w:rPr>
            </w:pPr>
            <w:r>
              <w:rPr>
                <w:b/>
                <w:w w:val="99"/>
                <w:sz w:val="20"/>
              </w:rPr>
              <w:t>0</w:t>
            </w:r>
          </w:p>
        </w:tc>
        <w:tc>
          <w:tcPr>
            <w:tcW w:w="1813" w:type="dxa"/>
          </w:tcPr>
          <w:p>
            <w:pPr>
              <w:pStyle w:val="TableParagraph"/>
              <w:spacing w:before="4"/>
              <w:ind w:right="435"/>
              <w:jc w:val="right"/>
              <w:rPr>
                <w:sz w:val="20"/>
              </w:rPr>
            </w:pPr>
            <w:r>
              <w:rPr>
                <w:spacing w:val="-4"/>
                <w:sz w:val="20"/>
              </w:rPr>
              <w:t>(31)</w:t>
            </w:r>
          </w:p>
        </w:tc>
        <w:tc>
          <w:tcPr>
            <w:tcW w:w="996" w:type="dxa"/>
            <w:tcBorders>
              <w:right w:val="single" w:sz="12" w:space="0" w:color="000000"/>
            </w:tcBorders>
          </w:tcPr>
          <w:p>
            <w:pPr>
              <w:pStyle w:val="TableParagraph"/>
              <w:spacing w:before="4"/>
              <w:ind w:left="78"/>
              <w:rPr>
                <w:sz w:val="20"/>
              </w:rPr>
            </w:pPr>
            <w:r>
              <w:rPr>
                <w:spacing w:val="-2"/>
                <w:sz w:val="20"/>
              </w:rPr>
              <w:t>(100.0%)</w:t>
            </w:r>
          </w:p>
        </w:tc>
      </w:tr>
      <w:tr>
        <w:trPr>
          <w:trHeight w:val="283" w:hRule="atLeast"/>
        </w:trPr>
        <w:tc>
          <w:tcPr>
            <w:tcW w:w="4380" w:type="dxa"/>
            <w:tcBorders>
              <w:left w:val="single" w:sz="12" w:space="0" w:color="000000"/>
            </w:tcBorders>
          </w:tcPr>
          <w:p>
            <w:pPr>
              <w:pStyle w:val="TableParagraph"/>
              <w:spacing w:before="14"/>
              <w:ind w:left="107"/>
              <w:rPr>
                <w:b/>
                <w:i/>
                <w:sz w:val="20"/>
              </w:rPr>
            </w:pPr>
            <w:r>
              <w:rPr>
                <w:b/>
                <w:i/>
                <w:sz w:val="20"/>
              </w:rPr>
              <w:t>Non-recurrent</w:t>
            </w:r>
            <w:r>
              <w:rPr>
                <w:b/>
                <w:i/>
                <w:spacing w:val="-6"/>
                <w:sz w:val="20"/>
              </w:rPr>
              <w:t> </w:t>
            </w:r>
            <w:r>
              <w:rPr>
                <w:b/>
                <w:i/>
                <w:sz w:val="20"/>
              </w:rPr>
              <w:t>-</w:t>
            </w:r>
            <w:r>
              <w:rPr>
                <w:b/>
                <w:i/>
                <w:spacing w:val="-7"/>
                <w:sz w:val="20"/>
              </w:rPr>
              <w:t> </w:t>
            </w:r>
            <w:r>
              <w:rPr>
                <w:b/>
                <w:i/>
                <w:sz w:val="20"/>
              </w:rPr>
              <w:t>State</w:t>
            </w:r>
            <w:r>
              <w:rPr>
                <w:b/>
                <w:i/>
                <w:spacing w:val="-7"/>
                <w:sz w:val="20"/>
              </w:rPr>
              <w:t> </w:t>
            </w:r>
            <w:r>
              <w:rPr>
                <w:b/>
                <w:i/>
                <w:spacing w:val="-2"/>
                <w:sz w:val="20"/>
              </w:rPr>
              <w:t>Government</w:t>
            </w:r>
          </w:p>
        </w:tc>
        <w:tc>
          <w:tcPr>
            <w:tcW w:w="1562" w:type="dxa"/>
          </w:tcPr>
          <w:p>
            <w:pPr>
              <w:pStyle w:val="TableParagraph"/>
              <w:rPr>
                <w:rFonts w:ascii="Times New Roman"/>
                <w:sz w:val="18"/>
              </w:rPr>
            </w:pPr>
          </w:p>
        </w:tc>
        <w:tc>
          <w:tcPr>
            <w:tcW w:w="1684" w:type="dxa"/>
            <w:shd w:val="clear" w:color="auto" w:fill="DDEBF6"/>
          </w:tcPr>
          <w:p>
            <w:pPr>
              <w:pStyle w:val="TableParagraph"/>
              <w:rPr>
                <w:rFonts w:ascii="Times New Roman"/>
                <w:sz w:val="18"/>
              </w:rPr>
            </w:pPr>
          </w:p>
        </w:tc>
        <w:tc>
          <w:tcPr>
            <w:tcW w:w="1813" w:type="dxa"/>
          </w:tcPr>
          <w:p>
            <w:pPr>
              <w:pStyle w:val="TableParagraph"/>
              <w:rPr>
                <w:rFonts w:ascii="Times New Roman"/>
                <w:sz w:val="18"/>
              </w:rPr>
            </w:pPr>
          </w:p>
        </w:tc>
        <w:tc>
          <w:tcPr>
            <w:tcW w:w="996" w:type="dxa"/>
            <w:tcBorders>
              <w:right w:val="single" w:sz="12" w:space="0" w:color="000000"/>
            </w:tcBorders>
          </w:tcPr>
          <w:p>
            <w:pPr>
              <w:pStyle w:val="TableParagraph"/>
              <w:rPr>
                <w:rFonts w:ascii="Times New Roman"/>
                <w:sz w:val="18"/>
              </w:rPr>
            </w:pPr>
          </w:p>
        </w:tc>
      </w:tr>
      <w:tr>
        <w:trPr>
          <w:trHeight w:val="300" w:hRule="atLeast"/>
        </w:trPr>
        <w:tc>
          <w:tcPr>
            <w:tcW w:w="4380" w:type="dxa"/>
            <w:tcBorders>
              <w:left w:val="single" w:sz="12" w:space="0" w:color="000000"/>
            </w:tcBorders>
          </w:tcPr>
          <w:p>
            <w:pPr>
              <w:pStyle w:val="TableParagraph"/>
              <w:spacing w:before="31"/>
              <w:ind w:left="107"/>
              <w:rPr>
                <w:sz w:val="20"/>
              </w:rPr>
            </w:pPr>
            <w:r>
              <w:rPr>
                <w:sz w:val="20"/>
              </w:rPr>
              <w:t>Activity</w:t>
            </w:r>
            <w:r>
              <w:rPr>
                <w:spacing w:val="-6"/>
                <w:sz w:val="20"/>
              </w:rPr>
              <w:t> </w:t>
            </w:r>
            <w:r>
              <w:rPr>
                <w:sz w:val="20"/>
              </w:rPr>
              <w:t>Centre</w:t>
            </w:r>
            <w:r>
              <w:rPr>
                <w:spacing w:val="-7"/>
                <w:sz w:val="20"/>
              </w:rPr>
              <w:t> </w:t>
            </w:r>
            <w:r>
              <w:rPr>
                <w:spacing w:val="-2"/>
                <w:sz w:val="20"/>
              </w:rPr>
              <w:t>Development</w:t>
            </w:r>
          </w:p>
        </w:tc>
        <w:tc>
          <w:tcPr>
            <w:tcW w:w="1562" w:type="dxa"/>
          </w:tcPr>
          <w:p>
            <w:pPr>
              <w:pStyle w:val="TableParagraph"/>
              <w:spacing w:before="31"/>
              <w:ind w:right="93"/>
              <w:jc w:val="right"/>
              <w:rPr>
                <w:sz w:val="20"/>
              </w:rPr>
            </w:pPr>
            <w:r>
              <w:rPr>
                <w:spacing w:val="-5"/>
                <w:sz w:val="20"/>
              </w:rPr>
              <w:t>259</w:t>
            </w:r>
          </w:p>
        </w:tc>
        <w:tc>
          <w:tcPr>
            <w:tcW w:w="1684" w:type="dxa"/>
            <w:shd w:val="clear" w:color="auto" w:fill="DDEBF6"/>
          </w:tcPr>
          <w:p>
            <w:pPr>
              <w:pStyle w:val="TableParagraph"/>
              <w:spacing w:before="31"/>
              <w:ind w:right="90"/>
              <w:jc w:val="right"/>
              <w:rPr>
                <w:b/>
                <w:sz w:val="20"/>
              </w:rPr>
            </w:pPr>
            <w:r>
              <w:rPr>
                <w:b/>
                <w:w w:val="99"/>
                <w:sz w:val="20"/>
              </w:rPr>
              <w:t>0</w:t>
            </w:r>
          </w:p>
        </w:tc>
        <w:tc>
          <w:tcPr>
            <w:tcW w:w="1813" w:type="dxa"/>
          </w:tcPr>
          <w:p>
            <w:pPr>
              <w:pStyle w:val="TableParagraph"/>
              <w:spacing w:before="31"/>
              <w:ind w:right="438"/>
              <w:jc w:val="right"/>
              <w:rPr>
                <w:sz w:val="20"/>
              </w:rPr>
            </w:pPr>
            <w:r>
              <w:rPr>
                <w:spacing w:val="-2"/>
                <w:sz w:val="20"/>
              </w:rPr>
              <w:t>(259)</w:t>
            </w:r>
          </w:p>
        </w:tc>
        <w:tc>
          <w:tcPr>
            <w:tcW w:w="996" w:type="dxa"/>
            <w:tcBorders>
              <w:right w:val="single" w:sz="12" w:space="0" w:color="000000"/>
            </w:tcBorders>
          </w:tcPr>
          <w:p>
            <w:pPr>
              <w:pStyle w:val="TableParagraph"/>
              <w:spacing w:before="31"/>
              <w:ind w:left="79"/>
              <w:rPr>
                <w:sz w:val="20"/>
              </w:rPr>
            </w:pPr>
            <w:r>
              <w:rPr>
                <w:spacing w:val="-2"/>
                <w:sz w:val="20"/>
              </w:rPr>
              <w:t>(100.0%)</w:t>
            </w:r>
          </w:p>
        </w:tc>
      </w:tr>
      <w:tr>
        <w:trPr>
          <w:trHeight w:val="316" w:hRule="atLeast"/>
        </w:trPr>
        <w:tc>
          <w:tcPr>
            <w:tcW w:w="4380" w:type="dxa"/>
            <w:tcBorders>
              <w:left w:val="single" w:sz="12" w:space="0" w:color="000000"/>
            </w:tcBorders>
          </w:tcPr>
          <w:p>
            <w:pPr>
              <w:pStyle w:val="TableParagraph"/>
              <w:spacing w:before="65"/>
              <w:ind w:left="107"/>
              <w:rPr>
                <w:sz w:val="20"/>
              </w:rPr>
            </w:pPr>
            <w:r>
              <w:rPr>
                <w:sz w:val="20"/>
              </w:rPr>
              <w:t>Asset</w:t>
            </w:r>
            <w:r>
              <w:rPr>
                <w:spacing w:val="-8"/>
                <w:sz w:val="20"/>
              </w:rPr>
              <w:t> </w:t>
            </w:r>
            <w:r>
              <w:rPr>
                <w:spacing w:val="-2"/>
                <w:sz w:val="20"/>
              </w:rPr>
              <w:t>management</w:t>
            </w:r>
          </w:p>
        </w:tc>
        <w:tc>
          <w:tcPr>
            <w:tcW w:w="1562" w:type="dxa"/>
          </w:tcPr>
          <w:p>
            <w:pPr>
              <w:pStyle w:val="TableParagraph"/>
              <w:spacing w:before="31"/>
              <w:ind w:right="94"/>
              <w:jc w:val="right"/>
              <w:rPr>
                <w:sz w:val="20"/>
              </w:rPr>
            </w:pPr>
            <w:r>
              <w:rPr>
                <w:spacing w:val="-5"/>
                <w:sz w:val="20"/>
              </w:rPr>
              <w:t>40</w:t>
            </w:r>
          </w:p>
        </w:tc>
        <w:tc>
          <w:tcPr>
            <w:tcW w:w="1684" w:type="dxa"/>
            <w:shd w:val="clear" w:color="auto" w:fill="DDEBF6"/>
          </w:tcPr>
          <w:p>
            <w:pPr>
              <w:pStyle w:val="TableParagraph"/>
              <w:spacing w:before="31"/>
              <w:ind w:right="90"/>
              <w:jc w:val="right"/>
              <w:rPr>
                <w:b/>
                <w:sz w:val="20"/>
              </w:rPr>
            </w:pPr>
            <w:r>
              <w:rPr>
                <w:b/>
                <w:w w:val="99"/>
                <w:sz w:val="20"/>
              </w:rPr>
              <w:t>0</w:t>
            </w:r>
          </w:p>
        </w:tc>
        <w:tc>
          <w:tcPr>
            <w:tcW w:w="1813" w:type="dxa"/>
          </w:tcPr>
          <w:p>
            <w:pPr>
              <w:pStyle w:val="TableParagraph"/>
              <w:spacing w:before="31"/>
              <w:ind w:right="435"/>
              <w:jc w:val="right"/>
              <w:rPr>
                <w:sz w:val="20"/>
              </w:rPr>
            </w:pPr>
            <w:r>
              <w:rPr>
                <w:spacing w:val="-4"/>
                <w:sz w:val="20"/>
              </w:rPr>
              <w:t>(40)</w:t>
            </w:r>
          </w:p>
        </w:tc>
        <w:tc>
          <w:tcPr>
            <w:tcW w:w="996" w:type="dxa"/>
            <w:tcBorders>
              <w:right w:val="single" w:sz="12" w:space="0" w:color="000000"/>
            </w:tcBorders>
          </w:tcPr>
          <w:p>
            <w:pPr>
              <w:pStyle w:val="TableParagraph"/>
              <w:spacing w:before="31"/>
              <w:ind w:left="78"/>
              <w:rPr>
                <w:sz w:val="20"/>
              </w:rPr>
            </w:pPr>
            <w:r>
              <w:rPr>
                <w:spacing w:val="-2"/>
                <w:sz w:val="20"/>
              </w:rPr>
              <w:t>(100.0%)</w:t>
            </w:r>
          </w:p>
        </w:tc>
      </w:tr>
      <w:tr>
        <w:trPr>
          <w:trHeight w:val="283" w:hRule="atLeast"/>
        </w:trPr>
        <w:tc>
          <w:tcPr>
            <w:tcW w:w="4380" w:type="dxa"/>
            <w:tcBorders>
              <w:left w:val="single" w:sz="12" w:space="0" w:color="000000"/>
            </w:tcBorders>
          </w:tcPr>
          <w:p>
            <w:pPr>
              <w:pStyle w:val="TableParagraph"/>
              <w:spacing w:before="14"/>
              <w:ind w:left="107"/>
              <w:rPr>
                <w:sz w:val="20"/>
              </w:rPr>
            </w:pPr>
            <w:r>
              <w:rPr>
                <w:sz w:val="20"/>
              </w:rPr>
              <w:t>Community</w:t>
            </w:r>
            <w:r>
              <w:rPr>
                <w:spacing w:val="-13"/>
                <w:sz w:val="20"/>
              </w:rPr>
              <w:t> </w:t>
            </w:r>
            <w:r>
              <w:rPr>
                <w:spacing w:val="-2"/>
                <w:sz w:val="20"/>
              </w:rPr>
              <w:t>Wellbeing</w:t>
            </w:r>
          </w:p>
        </w:tc>
        <w:tc>
          <w:tcPr>
            <w:tcW w:w="1562" w:type="dxa"/>
          </w:tcPr>
          <w:p>
            <w:pPr>
              <w:pStyle w:val="TableParagraph"/>
              <w:spacing w:before="14"/>
              <w:ind w:right="93"/>
              <w:jc w:val="right"/>
              <w:rPr>
                <w:sz w:val="20"/>
              </w:rPr>
            </w:pPr>
            <w:r>
              <w:rPr>
                <w:spacing w:val="-5"/>
                <w:sz w:val="20"/>
              </w:rPr>
              <w:t>51</w:t>
            </w:r>
          </w:p>
        </w:tc>
        <w:tc>
          <w:tcPr>
            <w:tcW w:w="1684" w:type="dxa"/>
            <w:shd w:val="clear" w:color="auto" w:fill="DDEBF6"/>
          </w:tcPr>
          <w:p>
            <w:pPr>
              <w:pStyle w:val="TableParagraph"/>
              <w:spacing w:before="14"/>
              <w:ind w:right="90"/>
              <w:jc w:val="right"/>
              <w:rPr>
                <w:b/>
                <w:sz w:val="20"/>
              </w:rPr>
            </w:pPr>
            <w:r>
              <w:rPr>
                <w:b/>
                <w:w w:val="99"/>
                <w:sz w:val="20"/>
              </w:rPr>
              <w:t>0</w:t>
            </w:r>
          </w:p>
        </w:tc>
        <w:tc>
          <w:tcPr>
            <w:tcW w:w="1813" w:type="dxa"/>
          </w:tcPr>
          <w:p>
            <w:pPr>
              <w:pStyle w:val="TableParagraph"/>
              <w:spacing w:before="14"/>
              <w:ind w:right="435"/>
              <w:jc w:val="right"/>
              <w:rPr>
                <w:sz w:val="20"/>
              </w:rPr>
            </w:pPr>
            <w:r>
              <w:rPr>
                <w:spacing w:val="-4"/>
                <w:sz w:val="20"/>
              </w:rPr>
              <w:t>(51)</w:t>
            </w:r>
          </w:p>
        </w:tc>
        <w:tc>
          <w:tcPr>
            <w:tcW w:w="996" w:type="dxa"/>
            <w:tcBorders>
              <w:right w:val="single" w:sz="12" w:space="0" w:color="000000"/>
            </w:tcBorders>
          </w:tcPr>
          <w:p>
            <w:pPr>
              <w:pStyle w:val="TableParagraph"/>
              <w:spacing w:before="14"/>
              <w:ind w:left="78"/>
              <w:rPr>
                <w:sz w:val="20"/>
              </w:rPr>
            </w:pPr>
            <w:r>
              <w:rPr>
                <w:spacing w:val="-2"/>
                <w:sz w:val="20"/>
              </w:rPr>
              <w:t>(100.0%)</w:t>
            </w:r>
          </w:p>
        </w:tc>
      </w:tr>
      <w:tr>
        <w:trPr>
          <w:trHeight w:val="300" w:hRule="atLeast"/>
        </w:trPr>
        <w:tc>
          <w:tcPr>
            <w:tcW w:w="4380" w:type="dxa"/>
            <w:tcBorders>
              <w:left w:val="single" w:sz="12" w:space="0" w:color="000000"/>
            </w:tcBorders>
          </w:tcPr>
          <w:p>
            <w:pPr>
              <w:pStyle w:val="TableParagraph"/>
              <w:spacing w:before="31"/>
              <w:ind w:left="107"/>
              <w:rPr>
                <w:sz w:val="20"/>
              </w:rPr>
            </w:pPr>
            <w:r>
              <w:rPr>
                <w:sz w:val="20"/>
              </w:rPr>
              <w:t>Engineering</w:t>
            </w:r>
            <w:r>
              <w:rPr>
                <w:spacing w:val="-10"/>
                <w:sz w:val="20"/>
              </w:rPr>
              <w:t> </w:t>
            </w:r>
            <w:r>
              <w:rPr>
                <w:sz w:val="20"/>
              </w:rPr>
              <w:t>and</w:t>
            </w:r>
            <w:r>
              <w:rPr>
                <w:spacing w:val="-6"/>
                <w:sz w:val="20"/>
              </w:rPr>
              <w:t> </w:t>
            </w:r>
            <w:r>
              <w:rPr>
                <w:sz w:val="20"/>
              </w:rPr>
              <w:t>Building</w:t>
            </w:r>
            <w:r>
              <w:rPr>
                <w:spacing w:val="-11"/>
                <w:sz w:val="20"/>
              </w:rPr>
              <w:t> </w:t>
            </w:r>
            <w:r>
              <w:rPr>
                <w:spacing w:val="-2"/>
                <w:sz w:val="20"/>
              </w:rPr>
              <w:t>services</w:t>
            </w:r>
          </w:p>
        </w:tc>
        <w:tc>
          <w:tcPr>
            <w:tcW w:w="1562" w:type="dxa"/>
          </w:tcPr>
          <w:p>
            <w:pPr>
              <w:pStyle w:val="TableParagraph"/>
              <w:spacing w:before="31"/>
              <w:ind w:right="93"/>
              <w:jc w:val="right"/>
              <w:rPr>
                <w:sz w:val="20"/>
              </w:rPr>
            </w:pPr>
            <w:r>
              <w:rPr>
                <w:spacing w:val="-5"/>
                <w:sz w:val="20"/>
              </w:rPr>
              <w:t>116</w:t>
            </w:r>
          </w:p>
        </w:tc>
        <w:tc>
          <w:tcPr>
            <w:tcW w:w="1684" w:type="dxa"/>
            <w:shd w:val="clear" w:color="auto" w:fill="DDEBF6"/>
          </w:tcPr>
          <w:p>
            <w:pPr>
              <w:pStyle w:val="TableParagraph"/>
              <w:spacing w:before="31"/>
              <w:ind w:right="90"/>
              <w:jc w:val="right"/>
              <w:rPr>
                <w:b/>
                <w:sz w:val="20"/>
              </w:rPr>
            </w:pPr>
            <w:r>
              <w:rPr>
                <w:b/>
                <w:w w:val="99"/>
                <w:sz w:val="20"/>
              </w:rPr>
              <w:t>0</w:t>
            </w:r>
          </w:p>
        </w:tc>
        <w:tc>
          <w:tcPr>
            <w:tcW w:w="1813" w:type="dxa"/>
          </w:tcPr>
          <w:p>
            <w:pPr>
              <w:pStyle w:val="TableParagraph"/>
              <w:spacing w:before="31"/>
              <w:ind w:right="438"/>
              <w:jc w:val="right"/>
              <w:rPr>
                <w:sz w:val="20"/>
              </w:rPr>
            </w:pPr>
            <w:r>
              <w:rPr>
                <w:spacing w:val="-2"/>
                <w:sz w:val="20"/>
              </w:rPr>
              <w:t>(116)</w:t>
            </w:r>
          </w:p>
        </w:tc>
        <w:tc>
          <w:tcPr>
            <w:tcW w:w="996" w:type="dxa"/>
            <w:tcBorders>
              <w:right w:val="single" w:sz="12" w:space="0" w:color="000000"/>
            </w:tcBorders>
          </w:tcPr>
          <w:p>
            <w:pPr>
              <w:pStyle w:val="TableParagraph"/>
              <w:spacing w:before="31"/>
              <w:ind w:left="79"/>
              <w:rPr>
                <w:sz w:val="20"/>
              </w:rPr>
            </w:pPr>
            <w:r>
              <w:rPr>
                <w:spacing w:val="-2"/>
                <w:sz w:val="20"/>
              </w:rPr>
              <w:t>(100.0%)</w:t>
            </w:r>
          </w:p>
        </w:tc>
      </w:tr>
      <w:tr>
        <w:trPr>
          <w:trHeight w:val="300" w:hRule="atLeast"/>
        </w:trPr>
        <w:tc>
          <w:tcPr>
            <w:tcW w:w="4380" w:type="dxa"/>
            <w:tcBorders>
              <w:left w:val="single" w:sz="12" w:space="0" w:color="000000"/>
            </w:tcBorders>
          </w:tcPr>
          <w:p>
            <w:pPr>
              <w:pStyle w:val="TableParagraph"/>
              <w:spacing w:before="31"/>
              <w:ind w:left="107"/>
              <w:rPr>
                <w:sz w:val="20"/>
              </w:rPr>
            </w:pPr>
            <w:r>
              <w:rPr>
                <w:sz w:val="20"/>
              </w:rPr>
              <w:t>Maternal</w:t>
            </w:r>
            <w:r>
              <w:rPr>
                <w:spacing w:val="-6"/>
                <w:sz w:val="20"/>
              </w:rPr>
              <w:t> </w:t>
            </w:r>
            <w:r>
              <w:rPr>
                <w:sz w:val="20"/>
              </w:rPr>
              <w:t>Child</w:t>
            </w:r>
            <w:r>
              <w:rPr>
                <w:spacing w:val="-7"/>
                <w:sz w:val="20"/>
              </w:rPr>
              <w:t> </w:t>
            </w:r>
            <w:r>
              <w:rPr>
                <w:spacing w:val="-2"/>
                <w:sz w:val="20"/>
              </w:rPr>
              <w:t>Health</w:t>
            </w:r>
          </w:p>
        </w:tc>
        <w:tc>
          <w:tcPr>
            <w:tcW w:w="1562" w:type="dxa"/>
          </w:tcPr>
          <w:p>
            <w:pPr>
              <w:pStyle w:val="TableParagraph"/>
              <w:spacing w:before="31"/>
              <w:ind w:right="93"/>
              <w:jc w:val="right"/>
              <w:rPr>
                <w:sz w:val="20"/>
              </w:rPr>
            </w:pPr>
            <w:r>
              <w:rPr>
                <w:spacing w:val="-5"/>
                <w:sz w:val="20"/>
              </w:rPr>
              <w:t>189</w:t>
            </w:r>
          </w:p>
        </w:tc>
        <w:tc>
          <w:tcPr>
            <w:tcW w:w="1684" w:type="dxa"/>
            <w:shd w:val="clear" w:color="auto" w:fill="DDEBF6"/>
          </w:tcPr>
          <w:p>
            <w:pPr>
              <w:pStyle w:val="TableParagraph"/>
              <w:spacing w:before="31"/>
              <w:ind w:right="92"/>
              <w:jc w:val="right"/>
              <w:rPr>
                <w:b/>
                <w:sz w:val="20"/>
              </w:rPr>
            </w:pPr>
            <w:r>
              <w:rPr>
                <w:b/>
                <w:spacing w:val="-5"/>
                <w:sz w:val="20"/>
              </w:rPr>
              <w:t>157</w:t>
            </w:r>
          </w:p>
        </w:tc>
        <w:tc>
          <w:tcPr>
            <w:tcW w:w="1813" w:type="dxa"/>
          </w:tcPr>
          <w:p>
            <w:pPr>
              <w:pStyle w:val="TableParagraph"/>
              <w:spacing w:before="31"/>
              <w:ind w:right="435"/>
              <w:jc w:val="right"/>
              <w:rPr>
                <w:sz w:val="20"/>
              </w:rPr>
            </w:pPr>
            <w:r>
              <w:rPr>
                <w:spacing w:val="-4"/>
                <w:sz w:val="20"/>
              </w:rPr>
              <w:t>(32)</w:t>
            </w:r>
          </w:p>
        </w:tc>
        <w:tc>
          <w:tcPr>
            <w:tcW w:w="996" w:type="dxa"/>
            <w:tcBorders>
              <w:right w:val="single" w:sz="12" w:space="0" w:color="000000"/>
            </w:tcBorders>
          </w:tcPr>
          <w:p>
            <w:pPr>
              <w:pStyle w:val="TableParagraph"/>
              <w:spacing w:before="31"/>
              <w:ind w:right="77"/>
              <w:jc w:val="right"/>
              <w:rPr>
                <w:sz w:val="20"/>
              </w:rPr>
            </w:pPr>
            <w:r>
              <w:rPr>
                <w:spacing w:val="-2"/>
                <w:sz w:val="20"/>
              </w:rPr>
              <w:t>(16.9%)</w:t>
            </w:r>
          </w:p>
        </w:tc>
      </w:tr>
      <w:tr>
        <w:trPr>
          <w:trHeight w:val="300" w:hRule="atLeast"/>
        </w:trPr>
        <w:tc>
          <w:tcPr>
            <w:tcW w:w="4380" w:type="dxa"/>
            <w:tcBorders>
              <w:left w:val="single" w:sz="12" w:space="0" w:color="000000"/>
            </w:tcBorders>
          </w:tcPr>
          <w:p>
            <w:pPr>
              <w:pStyle w:val="TableParagraph"/>
              <w:spacing w:before="31"/>
              <w:ind w:left="107"/>
              <w:rPr>
                <w:sz w:val="20"/>
              </w:rPr>
            </w:pPr>
            <w:r>
              <w:rPr>
                <w:sz w:val="20"/>
              </w:rPr>
              <w:t>Sport</w:t>
            </w:r>
            <w:r>
              <w:rPr>
                <w:spacing w:val="-5"/>
                <w:sz w:val="20"/>
              </w:rPr>
              <w:t> </w:t>
            </w:r>
            <w:r>
              <w:rPr>
                <w:sz w:val="20"/>
              </w:rPr>
              <w:t>and</w:t>
            </w:r>
            <w:r>
              <w:rPr>
                <w:spacing w:val="-5"/>
                <w:sz w:val="20"/>
              </w:rPr>
              <w:t> </w:t>
            </w:r>
            <w:r>
              <w:rPr>
                <w:spacing w:val="-2"/>
                <w:sz w:val="20"/>
              </w:rPr>
              <w:t>Recreation</w:t>
            </w:r>
          </w:p>
        </w:tc>
        <w:tc>
          <w:tcPr>
            <w:tcW w:w="1562" w:type="dxa"/>
          </w:tcPr>
          <w:p>
            <w:pPr>
              <w:pStyle w:val="TableParagraph"/>
              <w:spacing w:before="31"/>
              <w:ind w:right="93"/>
              <w:jc w:val="right"/>
              <w:rPr>
                <w:sz w:val="20"/>
              </w:rPr>
            </w:pPr>
            <w:r>
              <w:rPr>
                <w:spacing w:val="-5"/>
                <w:sz w:val="20"/>
              </w:rPr>
              <w:t>65</w:t>
            </w:r>
          </w:p>
        </w:tc>
        <w:tc>
          <w:tcPr>
            <w:tcW w:w="1684" w:type="dxa"/>
            <w:shd w:val="clear" w:color="auto" w:fill="DDEBF6"/>
          </w:tcPr>
          <w:p>
            <w:pPr>
              <w:pStyle w:val="TableParagraph"/>
              <w:spacing w:before="31"/>
              <w:ind w:right="93"/>
              <w:jc w:val="right"/>
              <w:rPr>
                <w:b/>
                <w:sz w:val="20"/>
              </w:rPr>
            </w:pPr>
            <w:r>
              <w:rPr>
                <w:b/>
                <w:spacing w:val="-5"/>
                <w:sz w:val="20"/>
              </w:rPr>
              <w:t>36</w:t>
            </w:r>
          </w:p>
        </w:tc>
        <w:tc>
          <w:tcPr>
            <w:tcW w:w="1813" w:type="dxa"/>
          </w:tcPr>
          <w:p>
            <w:pPr>
              <w:pStyle w:val="TableParagraph"/>
              <w:spacing w:before="31"/>
              <w:ind w:right="435"/>
              <w:jc w:val="right"/>
              <w:rPr>
                <w:sz w:val="20"/>
              </w:rPr>
            </w:pPr>
            <w:r>
              <w:rPr>
                <w:spacing w:val="-4"/>
                <w:sz w:val="20"/>
              </w:rPr>
              <w:t>(29)</w:t>
            </w:r>
          </w:p>
        </w:tc>
        <w:tc>
          <w:tcPr>
            <w:tcW w:w="996" w:type="dxa"/>
            <w:tcBorders>
              <w:right w:val="single" w:sz="12" w:space="0" w:color="000000"/>
            </w:tcBorders>
          </w:tcPr>
          <w:p>
            <w:pPr>
              <w:pStyle w:val="TableParagraph"/>
              <w:spacing w:before="31"/>
              <w:ind w:right="77"/>
              <w:jc w:val="right"/>
              <w:rPr>
                <w:sz w:val="20"/>
              </w:rPr>
            </w:pPr>
            <w:r>
              <w:rPr>
                <w:spacing w:val="-2"/>
                <w:sz w:val="20"/>
              </w:rPr>
              <w:t>(44.6%)</w:t>
            </w:r>
          </w:p>
        </w:tc>
      </w:tr>
      <w:tr>
        <w:trPr>
          <w:trHeight w:val="299" w:hRule="atLeast"/>
        </w:trPr>
        <w:tc>
          <w:tcPr>
            <w:tcW w:w="4380" w:type="dxa"/>
            <w:tcBorders>
              <w:left w:val="single" w:sz="12" w:space="0" w:color="000000"/>
            </w:tcBorders>
          </w:tcPr>
          <w:p>
            <w:pPr>
              <w:pStyle w:val="TableParagraph"/>
              <w:spacing w:before="31"/>
              <w:ind w:left="107"/>
              <w:rPr>
                <w:sz w:val="20"/>
              </w:rPr>
            </w:pPr>
            <w:r>
              <w:rPr>
                <w:sz w:val="20"/>
              </w:rPr>
              <w:t>Strategic</w:t>
            </w:r>
            <w:r>
              <w:rPr>
                <w:spacing w:val="-6"/>
                <w:sz w:val="20"/>
              </w:rPr>
              <w:t> </w:t>
            </w:r>
            <w:r>
              <w:rPr>
                <w:sz w:val="20"/>
              </w:rPr>
              <w:t>Planning</w:t>
            </w:r>
            <w:r>
              <w:rPr>
                <w:spacing w:val="-6"/>
                <w:sz w:val="20"/>
              </w:rPr>
              <w:t> </w:t>
            </w:r>
            <w:r>
              <w:rPr>
                <w:sz w:val="20"/>
              </w:rPr>
              <w:t>and</w:t>
            </w:r>
            <w:r>
              <w:rPr>
                <w:spacing w:val="-10"/>
                <w:sz w:val="20"/>
              </w:rPr>
              <w:t> </w:t>
            </w:r>
            <w:r>
              <w:rPr>
                <w:spacing w:val="-2"/>
                <w:sz w:val="20"/>
              </w:rPr>
              <w:t>Sustainability</w:t>
            </w:r>
          </w:p>
        </w:tc>
        <w:tc>
          <w:tcPr>
            <w:tcW w:w="1562" w:type="dxa"/>
          </w:tcPr>
          <w:p>
            <w:pPr>
              <w:pStyle w:val="TableParagraph"/>
              <w:spacing w:before="31"/>
              <w:ind w:right="93"/>
              <w:jc w:val="right"/>
              <w:rPr>
                <w:sz w:val="20"/>
              </w:rPr>
            </w:pPr>
            <w:r>
              <w:rPr>
                <w:spacing w:val="-5"/>
                <w:sz w:val="20"/>
              </w:rPr>
              <w:t>99</w:t>
            </w:r>
          </w:p>
        </w:tc>
        <w:tc>
          <w:tcPr>
            <w:tcW w:w="1684" w:type="dxa"/>
            <w:shd w:val="clear" w:color="auto" w:fill="DDEBF6"/>
          </w:tcPr>
          <w:p>
            <w:pPr>
              <w:pStyle w:val="TableParagraph"/>
              <w:spacing w:before="31"/>
              <w:ind w:right="90"/>
              <w:jc w:val="right"/>
              <w:rPr>
                <w:b/>
                <w:sz w:val="20"/>
              </w:rPr>
            </w:pPr>
            <w:r>
              <w:rPr>
                <w:b/>
                <w:w w:val="99"/>
                <w:sz w:val="20"/>
              </w:rPr>
              <w:t>0</w:t>
            </w:r>
          </w:p>
        </w:tc>
        <w:tc>
          <w:tcPr>
            <w:tcW w:w="1813" w:type="dxa"/>
          </w:tcPr>
          <w:p>
            <w:pPr>
              <w:pStyle w:val="TableParagraph"/>
              <w:spacing w:before="31"/>
              <w:ind w:right="435"/>
              <w:jc w:val="right"/>
              <w:rPr>
                <w:sz w:val="20"/>
              </w:rPr>
            </w:pPr>
            <w:r>
              <w:rPr>
                <w:spacing w:val="-4"/>
                <w:sz w:val="20"/>
              </w:rPr>
              <w:t>(99)</w:t>
            </w:r>
          </w:p>
        </w:tc>
        <w:tc>
          <w:tcPr>
            <w:tcW w:w="996" w:type="dxa"/>
            <w:tcBorders>
              <w:right w:val="single" w:sz="12" w:space="0" w:color="000000"/>
            </w:tcBorders>
          </w:tcPr>
          <w:p>
            <w:pPr>
              <w:pStyle w:val="TableParagraph"/>
              <w:spacing w:before="31"/>
              <w:ind w:left="78"/>
              <w:rPr>
                <w:sz w:val="20"/>
              </w:rPr>
            </w:pPr>
            <w:r>
              <w:rPr>
                <w:spacing w:val="-2"/>
                <w:sz w:val="20"/>
              </w:rPr>
              <w:t>(100.0%)</w:t>
            </w:r>
          </w:p>
        </w:tc>
      </w:tr>
      <w:tr>
        <w:trPr>
          <w:trHeight w:val="295" w:hRule="atLeast"/>
        </w:trPr>
        <w:tc>
          <w:tcPr>
            <w:tcW w:w="4380" w:type="dxa"/>
            <w:tcBorders>
              <w:left w:val="single" w:sz="12" w:space="0" w:color="000000"/>
            </w:tcBorders>
          </w:tcPr>
          <w:p>
            <w:pPr>
              <w:pStyle w:val="TableParagraph"/>
              <w:spacing w:before="31"/>
              <w:ind w:left="107"/>
              <w:rPr>
                <w:sz w:val="20"/>
              </w:rPr>
            </w:pPr>
            <w:r>
              <w:rPr>
                <w:sz w:val="20"/>
              </w:rPr>
              <w:t>Youth</w:t>
            </w:r>
            <w:r>
              <w:rPr>
                <w:spacing w:val="-7"/>
                <w:sz w:val="20"/>
              </w:rPr>
              <w:t> </w:t>
            </w:r>
            <w:r>
              <w:rPr>
                <w:sz w:val="20"/>
              </w:rPr>
              <w:t>and</w:t>
            </w:r>
            <w:r>
              <w:rPr>
                <w:spacing w:val="-7"/>
                <w:sz w:val="20"/>
              </w:rPr>
              <w:t> </w:t>
            </w:r>
            <w:r>
              <w:rPr>
                <w:sz w:val="20"/>
              </w:rPr>
              <w:t>Children</w:t>
            </w:r>
            <w:r>
              <w:rPr>
                <w:spacing w:val="-7"/>
                <w:sz w:val="20"/>
              </w:rPr>
              <w:t> </w:t>
            </w:r>
            <w:r>
              <w:rPr>
                <w:spacing w:val="-2"/>
                <w:sz w:val="20"/>
              </w:rPr>
              <w:t>Services</w:t>
            </w:r>
          </w:p>
        </w:tc>
        <w:tc>
          <w:tcPr>
            <w:tcW w:w="1562" w:type="dxa"/>
            <w:tcBorders>
              <w:bottom w:val="single" w:sz="8" w:space="0" w:color="000000"/>
            </w:tcBorders>
          </w:tcPr>
          <w:p>
            <w:pPr>
              <w:pStyle w:val="TableParagraph"/>
              <w:spacing w:before="31"/>
              <w:ind w:right="93"/>
              <w:jc w:val="right"/>
              <w:rPr>
                <w:sz w:val="20"/>
              </w:rPr>
            </w:pPr>
            <w:r>
              <w:rPr>
                <w:spacing w:val="-5"/>
                <w:sz w:val="20"/>
              </w:rPr>
              <w:t>661</w:t>
            </w:r>
          </w:p>
        </w:tc>
        <w:tc>
          <w:tcPr>
            <w:tcW w:w="1684" w:type="dxa"/>
            <w:tcBorders>
              <w:bottom w:val="single" w:sz="8" w:space="0" w:color="000000"/>
            </w:tcBorders>
            <w:shd w:val="clear" w:color="auto" w:fill="DDEBF6"/>
          </w:tcPr>
          <w:p>
            <w:pPr>
              <w:pStyle w:val="TableParagraph"/>
              <w:spacing w:before="31"/>
              <w:ind w:right="92"/>
              <w:jc w:val="right"/>
              <w:rPr>
                <w:b/>
                <w:sz w:val="20"/>
              </w:rPr>
            </w:pPr>
            <w:r>
              <w:rPr>
                <w:b/>
                <w:spacing w:val="-5"/>
                <w:sz w:val="20"/>
              </w:rPr>
              <w:t>265</w:t>
            </w:r>
          </w:p>
        </w:tc>
        <w:tc>
          <w:tcPr>
            <w:tcW w:w="1813" w:type="dxa"/>
            <w:tcBorders>
              <w:bottom w:val="single" w:sz="8" w:space="0" w:color="000000"/>
            </w:tcBorders>
          </w:tcPr>
          <w:p>
            <w:pPr>
              <w:pStyle w:val="TableParagraph"/>
              <w:spacing w:before="31"/>
              <w:ind w:right="438"/>
              <w:jc w:val="right"/>
              <w:rPr>
                <w:sz w:val="20"/>
              </w:rPr>
            </w:pPr>
            <w:r>
              <w:rPr>
                <w:spacing w:val="-2"/>
                <w:sz w:val="20"/>
              </w:rPr>
              <w:t>(396)</w:t>
            </w:r>
          </w:p>
        </w:tc>
        <w:tc>
          <w:tcPr>
            <w:tcW w:w="996" w:type="dxa"/>
            <w:tcBorders>
              <w:bottom w:val="single" w:sz="8" w:space="0" w:color="000000"/>
              <w:right w:val="single" w:sz="12" w:space="0" w:color="000000"/>
            </w:tcBorders>
          </w:tcPr>
          <w:p>
            <w:pPr>
              <w:pStyle w:val="TableParagraph"/>
              <w:spacing w:before="31"/>
              <w:ind w:right="78"/>
              <w:jc w:val="right"/>
              <w:rPr>
                <w:sz w:val="20"/>
              </w:rPr>
            </w:pPr>
            <w:r>
              <w:rPr>
                <w:spacing w:val="-2"/>
                <w:sz w:val="20"/>
              </w:rPr>
              <w:t>(59.9%)</w:t>
            </w:r>
          </w:p>
        </w:tc>
      </w:tr>
      <w:tr>
        <w:trPr>
          <w:trHeight w:val="309" w:hRule="atLeast"/>
        </w:trPr>
        <w:tc>
          <w:tcPr>
            <w:tcW w:w="4380" w:type="dxa"/>
            <w:tcBorders>
              <w:left w:val="single" w:sz="12" w:space="0" w:color="000000"/>
            </w:tcBorders>
          </w:tcPr>
          <w:p>
            <w:pPr>
              <w:pStyle w:val="TableParagraph"/>
              <w:spacing w:line="204" w:lineRule="exact" w:before="85"/>
              <w:ind w:left="107"/>
              <w:rPr>
                <w:b/>
                <w:sz w:val="20"/>
              </w:rPr>
            </w:pPr>
            <w:r>
              <w:rPr>
                <w:b/>
                <w:sz w:val="20"/>
              </w:rPr>
              <w:t>Total</w:t>
            </w:r>
            <w:r>
              <w:rPr>
                <w:b/>
                <w:spacing w:val="-12"/>
                <w:sz w:val="20"/>
              </w:rPr>
              <w:t> </w:t>
            </w:r>
            <w:r>
              <w:rPr>
                <w:b/>
                <w:sz w:val="20"/>
              </w:rPr>
              <w:t>non-recurrent</w:t>
            </w:r>
            <w:r>
              <w:rPr>
                <w:b/>
                <w:spacing w:val="-9"/>
                <w:sz w:val="20"/>
              </w:rPr>
              <w:t> </w:t>
            </w:r>
            <w:r>
              <w:rPr>
                <w:b/>
                <w:spacing w:val="-2"/>
                <w:sz w:val="20"/>
              </w:rPr>
              <w:t>grants</w:t>
            </w:r>
          </w:p>
        </w:tc>
        <w:tc>
          <w:tcPr>
            <w:tcW w:w="1562" w:type="dxa"/>
            <w:tcBorders>
              <w:top w:val="single" w:sz="8" w:space="0" w:color="000000"/>
              <w:bottom w:val="single" w:sz="12" w:space="0" w:color="000000"/>
            </w:tcBorders>
          </w:tcPr>
          <w:p>
            <w:pPr>
              <w:pStyle w:val="TableParagraph"/>
              <w:spacing w:before="42"/>
              <w:ind w:right="92"/>
              <w:jc w:val="right"/>
              <w:rPr>
                <w:b/>
                <w:sz w:val="20"/>
              </w:rPr>
            </w:pPr>
            <w:r>
              <w:rPr>
                <w:b/>
                <w:spacing w:val="-2"/>
                <w:sz w:val="20"/>
              </w:rPr>
              <w:t>1,511</w:t>
            </w:r>
          </w:p>
        </w:tc>
        <w:tc>
          <w:tcPr>
            <w:tcW w:w="1684" w:type="dxa"/>
            <w:tcBorders>
              <w:top w:val="single" w:sz="8" w:space="0" w:color="000000"/>
              <w:bottom w:val="single" w:sz="18" w:space="0" w:color="000000"/>
            </w:tcBorders>
            <w:shd w:val="clear" w:color="auto" w:fill="DDEBF6"/>
          </w:tcPr>
          <w:p>
            <w:pPr>
              <w:pStyle w:val="TableParagraph"/>
              <w:spacing w:before="42"/>
              <w:ind w:right="92"/>
              <w:jc w:val="right"/>
              <w:rPr>
                <w:b/>
                <w:sz w:val="20"/>
              </w:rPr>
            </w:pPr>
            <w:r>
              <w:rPr>
                <w:b/>
                <w:spacing w:val="-5"/>
                <w:sz w:val="20"/>
              </w:rPr>
              <w:t>458</w:t>
            </w:r>
          </w:p>
        </w:tc>
        <w:tc>
          <w:tcPr>
            <w:tcW w:w="1813" w:type="dxa"/>
            <w:tcBorders>
              <w:top w:val="single" w:sz="8" w:space="0" w:color="000000"/>
              <w:bottom w:val="single" w:sz="12" w:space="0" w:color="000000"/>
            </w:tcBorders>
          </w:tcPr>
          <w:p>
            <w:pPr>
              <w:pStyle w:val="TableParagraph"/>
              <w:spacing w:before="42"/>
              <w:ind w:right="438"/>
              <w:jc w:val="right"/>
              <w:rPr>
                <w:b/>
                <w:sz w:val="20"/>
              </w:rPr>
            </w:pPr>
            <w:r>
              <w:rPr>
                <w:b/>
                <w:spacing w:val="-2"/>
                <w:sz w:val="20"/>
              </w:rPr>
              <w:t>(1,053)</w:t>
            </w:r>
          </w:p>
        </w:tc>
        <w:tc>
          <w:tcPr>
            <w:tcW w:w="996" w:type="dxa"/>
            <w:tcBorders>
              <w:top w:val="single" w:sz="8" w:space="0" w:color="000000"/>
              <w:bottom w:val="single" w:sz="12" w:space="0" w:color="000000"/>
              <w:right w:val="single" w:sz="12" w:space="0" w:color="000000"/>
            </w:tcBorders>
          </w:tcPr>
          <w:p>
            <w:pPr>
              <w:pStyle w:val="TableParagraph"/>
              <w:spacing w:before="42"/>
              <w:ind w:right="77"/>
              <w:jc w:val="right"/>
              <w:rPr>
                <w:b/>
                <w:sz w:val="20"/>
              </w:rPr>
            </w:pPr>
            <w:r>
              <w:rPr>
                <w:b/>
                <w:spacing w:val="-2"/>
                <w:sz w:val="20"/>
              </w:rPr>
              <w:t>(69.7%)</w:t>
            </w:r>
          </w:p>
        </w:tc>
      </w:tr>
      <w:tr>
        <w:trPr>
          <w:trHeight w:val="300" w:hRule="atLeast"/>
        </w:trPr>
        <w:tc>
          <w:tcPr>
            <w:tcW w:w="4380" w:type="dxa"/>
            <w:tcBorders>
              <w:left w:val="single" w:sz="12" w:space="0" w:color="000000"/>
            </w:tcBorders>
          </w:tcPr>
          <w:p>
            <w:pPr>
              <w:pStyle w:val="TableParagraph"/>
              <w:spacing w:line="204" w:lineRule="exact" w:before="76"/>
              <w:ind w:left="107"/>
              <w:rPr>
                <w:b/>
                <w:sz w:val="20"/>
              </w:rPr>
            </w:pPr>
            <w:r>
              <w:rPr>
                <w:b/>
                <w:sz w:val="20"/>
              </w:rPr>
              <w:t>Total</w:t>
            </w:r>
            <w:r>
              <w:rPr>
                <w:b/>
                <w:spacing w:val="-10"/>
                <w:sz w:val="20"/>
              </w:rPr>
              <w:t> </w:t>
            </w:r>
            <w:r>
              <w:rPr>
                <w:b/>
                <w:sz w:val="20"/>
              </w:rPr>
              <w:t>Operating</w:t>
            </w:r>
            <w:r>
              <w:rPr>
                <w:b/>
                <w:spacing w:val="-8"/>
                <w:sz w:val="20"/>
              </w:rPr>
              <w:t> </w:t>
            </w:r>
            <w:r>
              <w:rPr>
                <w:b/>
                <w:spacing w:val="-2"/>
                <w:sz w:val="20"/>
              </w:rPr>
              <w:t>Grants</w:t>
            </w:r>
          </w:p>
        </w:tc>
        <w:tc>
          <w:tcPr>
            <w:tcW w:w="1562" w:type="dxa"/>
            <w:tcBorders>
              <w:top w:val="single" w:sz="12" w:space="0" w:color="000000"/>
              <w:bottom w:val="single" w:sz="12" w:space="0" w:color="000000"/>
            </w:tcBorders>
          </w:tcPr>
          <w:p>
            <w:pPr>
              <w:pStyle w:val="TableParagraph"/>
              <w:spacing w:before="33"/>
              <w:ind w:right="93"/>
              <w:jc w:val="right"/>
              <w:rPr>
                <w:b/>
                <w:sz w:val="20"/>
              </w:rPr>
            </w:pPr>
            <w:r>
              <w:rPr>
                <w:b/>
                <w:spacing w:val="-2"/>
                <w:sz w:val="20"/>
              </w:rPr>
              <w:t>10,356</w:t>
            </w:r>
          </w:p>
        </w:tc>
        <w:tc>
          <w:tcPr>
            <w:tcW w:w="1684" w:type="dxa"/>
            <w:tcBorders>
              <w:top w:val="single" w:sz="18" w:space="0" w:color="000000"/>
              <w:bottom w:val="single" w:sz="18" w:space="0" w:color="000000"/>
            </w:tcBorders>
            <w:shd w:val="clear" w:color="auto" w:fill="DDEBF6"/>
          </w:tcPr>
          <w:p>
            <w:pPr>
              <w:pStyle w:val="TableParagraph"/>
              <w:spacing w:before="33"/>
              <w:ind w:right="91"/>
              <w:jc w:val="right"/>
              <w:rPr>
                <w:b/>
                <w:sz w:val="20"/>
              </w:rPr>
            </w:pPr>
            <w:r>
              <w:rPr>
                <w:b/>
                <w:spacing w:val="-2"/>
                <w:sz w:val="20"/>
              </w:rPr>
              <w:t>8,131</w:t>
            </w:r>
          </w:p>
        </w:tc>
        <w:tc>
          <w:tcPr>
            <w:tcW w:w="1813" w:type="dxa"/>
            <w:tcBorders>
              <w:top w:val="single" w:sz="12" w:space="0" w:color="000000"/>
              <w:bottom w:val="single" w:sz="12" w:space="0" w:color="000000"/>
            </w:tcBorders>
          </w:tcPr>
          <w:p>
            <w:pPr>
              <w:pStyle w:val="TableParagraph"/>
              <w:spacing w:before="33"/>
              <w:ind w:right="438"/>
              <w:jc w:val="right"/>
              <w:rPr>
                <w:b/>
                <w:sz w:val="20"/>
              </w:rPr>
            </w:pPr>
            <w:r>
              <w:rPr>
                <w:b/>
                <w:spacing w:val="-2"/>
                <w:sz w:val="20"/>
              </w:rPr>
              <w:t>(2,225)</w:t>
            </w:r>
          </w:p>
        </w:tc>
        <w:tc>
          <w:tcPr>
            <w:tcW w:w="996" w:type="dxa"/>
            <w:tcBorders>
              <w:top w:val="single" w:sz="12" w:space="0" w:color="000000"/>
              <w:bottom w:val="single" w:sz="12" w:space="0" w:color="000000"/>
              <w:right w:val="single" w:sz="12" w:space="0" w:color="000000"/>
            </w:tcBorders>
          </w:tcPr>
          <w:p>
            <w:pPr>
              <w:pStyle w:val="TableParagraph"/>
              <w:spacing w:before="33"/>
              <w:ind w:right="77"/>
              <w:jc w:val="right"/>
              <w:rPr>
                <w:b/>
                <w:sz w:val="20"/>
              </w:rPr>
            </w:pPr>
            <w:r>
              <w:rPr>
                <w:b/>
                <w:spacing w:val="-2"/>
                <w:sz w:val="20"/>
              </w:rPr>
              <w:t>(21.5%)</w:t>
            </w:r>
          </w:p>
        </w:tc>
      </w:tr>
      <w:tr>
        <w:trPr>
          <w:trHeight w:val="293" w:hRule="atLeast"/>
        </w:trPr>
        <w:tc>
          <w:tcPr>
            <w:tcW w:w="4380" w:type="dxa"/>
            <w:tcBorders>
              <w:left w:val="single" w:sz="12" w:space="0" w:color="000000"/>
            </w:tcBorders>
          </w:tcPr>
          <w:p>
            <w:pPr>
              <w:pStyle w:val="TableParagraph"/>
              <w:tabs>
                <w:tab w:pos="584" w:val="left" w:leader="none"/>
              </w:tabs>
              <w:spacing w:line="214" w:lineRule="exact" w:before="60"/>
              <w:ind w:left="107"/>
              <w:rPr>
                <w:b/>
                <w:sz w:val="20"/>
              </w:rPr>
            </w:pPr>
            <w:r>
              <w:rPr>
                <w:b/>
                <w:spacing w:val="-5"/>
                <w:sz w:val="20"/>
              </w:rPr>
              <w:t>(b)</w:t>
            </w:r>
            <w:r>
              <w:rPr>
                <w:b/>
                <w:sz w:val="20"/>
              </w:rPr>
              <w:tab/>
              <w:t>Capital</w:t>
            </w:r>
            <w:r>
              <w:rPr>
                <w:b/>
                <w:spacing w:val="-10"/>
                <w:sz w:val="20"/>
              </w:rPr>
              <w:t> </w:t>
            </w:r>
            <w:r>
              <w:rPr>
                <w:b/>
                <w:spacing w:val="-2"/>
                <w:sz w:val="20"/>
              </w:rPr>
              <w:t>Grants</w:t>
            </w:r>
          </w:p>
        </w:tc>
        <w:tc>
          <w:tcPr>
            <w:tcW w:w="1562" w:type="dxa"/>
            <w:tcBorders>
              <w:top w:val="single" w:sz="12" w:space="0" w:color="000000"/>
            </w:tcBorders>
          </w:tcPr>
          <w:p>
            <w:pPr>
              <w:pStyle w:val="TableParagraph"/>
              <w:rPr>
                <w:rFonts w:ascii="Times New Roman"/>
                <w:sz w:val="18"/>
              </w:rPr>
            </w:pPr>
          </w:p>
        </w:tc>
        <w:tc>
          <w:tcPr>
            <w:tcW w:w="1684" w:type="dxa"/>
            <w:tcBorders>
              <w:top w:val="single" w:sz="18" w:space="0" w:color="000000"/>
            </w:tcBorders>
            <w:shd w:val="clear" w:color="auto" w:fill="DDEBF6"/>
          </w:tcPr>
          <w:p>
            <w:pPr>
              <w:pStyle w:val="TableParagraph"/>
              <w:rPr>
                <w:rFonts w:ascii="Times New Roman"/>
                <w:sz w:val="18"/>
              </w:rPr>
            </w:pPr>
          </w:p>
        </w:tc>
        <w:tc>
          <w:tcPr>
            <w:tcW w:w="1813" w:type="dxa"/>
            <w:tcBorders>
              <w:top w:val="single" w:sz="12" w:space="0" w:color="000000"/>
            </w:tcBorders>
          </w:tcPr>
          <w:p>
            <w:pPr>
              <w:pStyle w:val="TableParagraph"/>
              <w:rPr>
                <w:rFonts w:ascii="Times New Roman"/>
                <w:sz w:val="18"/>
              </w:rPr>
            </w:pPr>
          </w:p>
        </w:tc>
        <w:tc>
          <w:tcPr>
            <w:tcW w:w="996" w:type="dxa"/>
            <w:tcBorders>
              <w:top w:val="single" w:sz="12" w:space="0" w:color="000000"/>
              <w:right w:val="single" w:sz="12" w:space="0" w:color="000000"/>
            </w:tcBorders>
          </w:tcPr>
          <w:p>
            <w:pPr>
              <w:pStyle w:val="TableParagraph"/>
              <w:rPr>
                <w:rFonts w:ascii="Times New Roman"/>
                <w:sz w:val="18"/>
              </w:rPr>
            </w:pPr>
          </w:p>
        </w:tc>
      </w:tr>
      <w:tr>
        <w:trPr>
          <w:trHeight w:val="230" w:hRule="atLeast"/>
        </w:trPr>
        <w:tc>
          <w:tcPr>
            <w:tcW w:w="4380" w:type="dxa"/>
            <w:tcBorders>
              <w:left w:val="single" w:sz="12" w:space="0" w:color="000000"/>
            </w:tcBorders>
          </w:tcPr>
          <w:p>
            <w:pPr>
              <w:pStyle w:val="TableParagraph"/>
              <w:spacing w:line="210" w:lineRule="exact"/>
              <w:ind w:left="107"/>
              <w:rPr>
                <w:b/>
                <w:i/>
                <w:sz w:val="20"/>
              </w:rPr>
            </w:pPr>
            <w:r>
              <w:rPr>
                <w:b/>
                <w:i/>
                <w:sz w:val="20"/>
              </w:rPr>
              <w:t>Non-recurrent</w:t>
            </w:r>
            <w:r>
              <w:rPr>
                <w:b/>
                <w:i/>
                <w:spacing w:val="-9"/>
                <w:sz w:val="20"/>
              </w:rPr>
              <w:t> </w:t>
            </w:r>
            <w:r>
              <w:rPr>
                <w:b/>
                <w:i/>
                <w:sz w:val="20"/>
              </w:rPr>
              <w:t>-</w:t>
            </w:r>
            <w:r>
              <w:rPr>
                <w:b/>
                <w:i/>
                <w:spacing w:val="-8"/>
                <w:sz w:val="20"/>
              </w:rPr>
              <w:t> </w:t>
            </w:r>
            <w:r>
              <w:rPr>
                <w:b/>
                <w:i/>
                <w:spacing w:val="-2"/>
                <w:sz w:val="20"/>
              </w:rPr>
              <w:t>Commonwealth</w:t>
            </w:r>
          </w:p>
        </w:tc>
        <w:tc>
          <w:tcPr>
            <w:tcW w:w="1562" w:type="dxa"/>
          </w:tcPr>
          <w:p>
            <w:pPr>
              <w:pStyle w:val="TableParagraph"/>
              <w:rPr>
                <w:rFonts w:ascii="Times New Roman"/>
                <w:sz w:val="16"/>
              </w:rPr>
            </w:pPr>
          </w:p>
        </w:tc>
        <w:tc>
          <w:tcPr>
            <w:tcW w:w="1684" w:type="dxa"/>
            <w:shd w:val="clear" w:color="auto" w:fill="DDEBF6"/>
          </w:tcPr>
          <w:p>
            <w:pPr>
              <w:pStyle w:val="TableParagraph"/>
              <w:rPr>
                <w:rFonts w:ascii="Times New Roman"/>
                <w:sz w:val="16"/>
              </w:rPr>
            </w:pPr>
          </w:p>
        </w:tc>
        <w:tc>
          <w:tcPr>
            <w:tcW w:w="1813" w:type="dxa"/>
          </w:tcPr>
          <w:p>
            <w:pPr>
              <w:pStyle w:val="TableParagraph"/>
              <w:rPr>
                <w:rFonts w:ascii="Times New Roman"/>
                <w:sz w:val="16"/>
              </w:rPr>
            </w:pPr>
          </w:p>
        </w:tc>
        <w:tc>
          <w:tcPr>
            <w:tcW w:w="996" w:type="dxa"/>
            <w:tcBorders>
              <w:right w:val="single" w:sz="12" w:space="0" w:color="000000"/>
            </w:tcBorders>
          </w:tcPr>
          <w:p>
            <w:pPr>
              <w:pStyle w:val="TableParagraph"/>
              <w:rPr>
                <w:rFonts w:ascii="Times New Roman"/>
                <w:sz w:val="16"/>
              </w:rPr>
            </w:pPr>
          </w:p>
        </w:tc>
      </w:tr>
      <w:tr>
        <w:trPr>
          <w:trHeight w:val="247" w:hRule="atLeast"/>
        </w:trPr>
        <w:tc>
          <w:tcPr>
            <w:tcW w:w="4380" w:type="dxa"/>
            <w:tcBorders>
              <w:left w:val="single" w:sz="12" w:space="0" w:color="000000"/>
            </w:tcBorders>
          </w:tcPr>
          <w:p>
            <w:pPr>
              <w:pStyle w:val="TableParagraph"/>
              <w:spacing w:line="227" w:lineRule="exact"/>
              <w:ind w:left="107"/>
              <w:rPr>
                <w:b/>
                <w:i/>
                <w:sz w:val="20"/>
              </w:rPr>
            </w:pPr>
            <w:r>
              <w:rPr>
                <w:b/>
                <w:i/>
                <w:spacing w:val="-2"/>
                <w:sz w:val="20"/>
              </w:rPr>
              <w:t>Government</w:t>
            </w:r>
          </w:p>
        </w:tc>
        <w:tc>
          <w:tcPr>
            <w:tcW w:w="1562" w:type="dxa"/>
          </w:tcPr>
          <w:p>
            <w:pPr>
              <w:pStyle w:val="TableParagraph"/>
              <w:rPr>
                <w:rFonts w:ascii="Times New Roman"/>
                <w:sz w:val="18"/>
              </w:rPr>
            </w:pPr>
          </w:p>
        </w:tc>
        <w:tc>
          <w:tcPr>
            <w:tcW w:w="1684" w:type="dxa"/>
            <w:shd w:val="clear" w:color="auto" w:fill="DDEBF6"/>
          </w:tcPr>
          <w:p>
            <w:pPr>
              <w:pStyle w:val="TableParagraph"/>
              <w:rPr>
                <w:rFonts w:ascii="Times New Roman"/>
                <w:sz w:val="18"/>
              </w:rPr>
            </w:pPr>
          </w:p>
        </w:tc>
        <w:tc>
          <w:tcPr>
            <w:tcW w:w="1813" w:type="dxa"/>
          </w:tcPr>
          <w:p>
            <w:pPr>
              <w:pStyle w:val="TableParagraph"/>
              <w:rPr>
                <w:rFonts w:ascii="Times New Roman"/>
                <w:sz w:val="18"/>
              </w:rPr>
            </w:pPr>
          </w:p>
        </w:tc>
        <w:tc>
          <w:tcPr>
            <w:tcW w:w="996" w:type="dxa"/>
            <w:tcBorders>
              <w:right w:val="single" w:sz="12" w:space="0" w:color="000000"/>
            </w:tcBorders>
          </w:tcPr>
          <w:p>
            <w:pPr>
              <w:pStyle w:val="TableParagraph"/>
              <w:rPr>
                <w:rFonts w:ascii="Times New Roman"/>
                <w:sz w:val="18"/>
              </w:rPr>
            </w:pPr>
          </w:p>
        </w:tc>
      </w:tr>
      <w:tr>
        <w:trPr>
          <w:trHeight w:val="300" w:hRule="atLeast"/>
        </w:trPr>
        <w:tc>
          <w:tcPr>
            <w:tcW w:w="4380" w:type="dxa"/>
            <w:tcBorders>
              <w:left w:val="single" w:sz="12" w:space="0" w:color="000000"/>
            </w:tcBorders>
          </w:tcPr>
          <w:p>
            <w:pPr>
              <w:pStyle w:val="TableParagraph"/>
              <w:spacing w:before="49"/>
              <w:ind w:left="107"/>
              <w:rPr>
                <w:sz w:val="20"/>
              </w:rPr>
            </w:pPr>
            <w:r>
              <w:rPr>
                <w:spacing w:val="-2"/>
                <w:sz w:val="20"/>
              </w:rPr>
              <w:t>Buildings</w:t>
            </w:r>
          </w:p>
        </w:tc>
        <w:tc>
          <w:tcPr>
            <w:tcW w:w="1562" w:type="dxa"/>
          </w:tcPr>
          <w:p>
            <w:pPr>
              <w:pStyle w:val="TableParagraph"/>
              <w:spacing w:before="13"/>
              <w:ind w:right="92"/>
              <w:jc w:val="right"/>
              <w:rPr>
                <w:sz w:val="20"/>
              </w:rPr>
            </w:pPr>
            <w:r>
              <w:rPr>
                <w:spacing w:val="-2"/>
                <w:sz w:val="20"/>
              </w:rPr>
              <w:t>1,000</w:t>
            </w:r>
          </w:p>
        </w:tc>
        <w:tc>
          <w:tcPr>
            <w:tcW w:w="1684" w:type="dxa"/>
            <w:shd w:val="clear" w:color="auto" w:fill="DDEBF6"/>
          </w:tcPr>
          <w:p>
            <w:pPr>
              <w:pStyle w:val="TableParagraph"/>
              <w:spacing w:before="13"/>
              <w:ind w:right="91"/>
              <w:jc w:val="right"/>
              <w:rPr>
                <w:b/>
                <w:sz w:val="20"/>
              </w:rPr>
            </w:pPr>
            <w:r>
              <w:rPr>
                <w:b/>
                <w:spacing w:val="-2"/>
                <w:sz w:val="20"/>
              </w:rPr>
              <w:t>2,500</w:t>
            </w:r>
          </w:p>
        </w:tc>
        <w:tc>
          <w:tcPr>
            <w:tcW w:w="1813" w:type="dxa"/>
          </w:tcPr>
          <w:p>
            <w:pPr>
              <w:pStyle w:val="TableParagraph"/>
              <w:spacing w:before="13"/>
              <w:ind w:right="436"/>
              <w:jc w:val="right"/>
              <w:rPr>
                <w:sz w:val="20"/>
              </w:rPr>
            </w:pPr>
            <w:r>
              <w:rPr>
                <w:spacing w:val="-2"/>
                <w:sz w:val="20"/>
              </w:rPr>
              <w:t>1,500</w:t>
            </w:r>
          </w:p>
        </w:tc>
        <w:tc>
          <w:tcPr>
            <w:tcW w:w="996" w:type="dxa"/>
            <w:tcBorders>
              <w:right w:val="single" w:sz="12" w:space="0" w:color="000000"/>
            </w:tcBorders>
          </w:tcPr>
          <w:p>
            <w:pPr>
              <w:pStyle w:val="TableParagraph"/>
              <w:spacing w:before="13"/>
              <w:ind w:right="76"/>
              <w:jc w:val="right"/>
              <w:rPr>
                <w:sz w:val="20"/>
              </w:rPr>
            </w:pPr>
            <w:r>
              <w:rPr>
                <w:spacing w:val="-2"/>
                <w:sz w:val="20"/>
              </w:rPr>
              <w:t>100.0%</w:t>
            </w:r>
          </w:p>
        </w:tc>
      </w:tr>
      <w:tr>
        <w:trPr>
          <w:trHeight w:val="300" w:hRule="atLeast"/>
        </w:trPr>
        <w:tc>
          <w:tcPr>
            <w:tcW w:w="4380" w:type="dxa"/>
            <w:tcBorders>
              <w:left w:val="single" w:sz="12" w:space="0" w:color="000000"/>
            </w:tcBorders>
          </w:tcPr>
          <w:p>
            <w:pPr>
              <w:pStyle w:val="TableParagraph"/>
              <w:spacing w:before="49"/>
              <w:ind w:left="107"/>
              <w:rPr>
                <w:sz w:val="20"/>
              </w:rPr>
            </w:pPr>
            <w:r>
              <w:rPr>
                <w:sz w:val="20"/>
              </w:rPr>
              <w:t>Car</w:t>
            </w:r>
            <w:r>
              <w:rPr>
                <w:spacing w:val="-5"/>
                <w:sz w:val="20"/>
              </w:rPr>
              <w:t> </w:t>
            </w:r>
            <w:r>
              <w:rPr>
                <w:spacing w:val="-2"/>
                <w:sz w:val="20"/>
              </w:rPr>
              <w:t>parks</w:t>
            </w:r>
          </w:p>
        </w:tc>
        <w:tc>
          <w:tcPr>
            <w:tcW w:w="1562" w:type="dxa"/>
          </w:tcPr>
          <w:p>
            <w:pPr>
              <w:pStyle w:val="TableParagraph"/>
              <w:spacing w:before="13"/>
              <w:ind w:right="93"/>
              <w:jc w:val="right"/>
              <w:rPr>
                <w:sz w:val="20"/>
              </w:rPr>
            </w:pPr>
            <w:r>
              <w:rPr>
                <w:spacing w:val="-2"/>
                <w:sz w:val="20"/>
              </w:rPr>
              <w:t>23,255</w:t>
            </w:r>
          </w:p>
        </w:tc>
        <w:tc>
          <w:tcPr>
            <w:tcW w:w="1684" w:type="dxa"/>
            <w:shd w:val="clear" w:color="auto" w:fill="DDEBF6"/>
          </w:tcPr>
          <w:p>
            <w:pPr>
              <w:pStyle w:val="TableParagraph"/>
              <w:spacing w:before="13"/>
              <w:ind w:right="90"/>
              <w:jc w:val="right"/>
              <w:rPr>
                <w:b/>
                <w:sz w:val="20"/>
              </w:rPr>
            </w:pPr>
            <w:r>
              <w:rPr>
                <w:b/>
                <w:w w:val="99"/>
                <w:sz w:val="20"/>
              </w:rPr>
              <w:t>0</w:t>
            </w:r>
          </w:p>
        </w:tc>
        <w:tc>
          <w:tcPr>
            <w:tcW w:w="1813" w:type="dxa"/>
          </w:tcPr>
          <w:p>
            <w:pPr>
              <w:pStyle w:val="TableParagraph"/>
              <w:spacing w:before="13"/>
              <w:ind w:right="436"/>
              <w:jc w:val="right"/>
              <w:rPr>
                <w:sz w:val="20"/>
              </w:rPr>
            </w:pPr>
            <w:r>
              <w:rPr>
                <w:spacing w:val="-2"/>
                <w:sz w:val="20"/>
              </w:rPr>
              <w:t>(23,255)</w:t>
            </w:r>
          </w:p>
        </w:tc>
        <w:tc>
          <w:tcPr>
            <w:tcW w:w="996" w:type="dxa"/>
            <w:tcBorders>
              <w:right w:val="single" w:sz="12" w:space="0" w:color="000000"/>
            </w:tcBorders>
          </w:tcPr>
          <w:p>
            <w:pPr>
              <w:pStyle w:val="TableParagraph"/>
              <w:spacing w:before="13"/>
              <w:ind w:left="78"/>
              <w:rPr>
                <w:sz w:val="20"/>
              </w:rPr>
            </w:pPr>
            <w:r>
              <w:rPr>
                <w:spacing w:val="-2"/>
                <w:sz w:val="20"/>
              </w:rPr>
              <w:t>(100.0%)</w:t>
            </w:r>
          </w:p>
        </w:tc>
      </w:tr>
      <w:tr>
        <w:trPr>
          <w:trHeight w:val="300" w:hRule="atLeast"/>
        </w:trPr>
        <w:tc>
          <w:tcPr>
            <w:tcW w:w="4380" w:type="dxa"/>
            <w:tcBorders>
              <w:left w:val="single" w:sz="12" w:space="0" w:color="000000"/>
            </w:tcBorders>
          </w:tcPr>
          <w:p>
            <w:pPr>
              <w:pStyle w:val="TableParagraph"/>
              <w:spacing w:before="49"/>
              <w:ind w:left="107"/>
              <w:rPr>
                <w:sz w:val="20"/>
              </w:rPr>
            </w:pPr>
            <w:r>
              <w:rPr>
                <w:spacing w:val="-2"/>
                <w:sz w:val="20"/>
              </w:rPr>
              <w:t>Roads</w:t>
            </w:r>
          </w:p>
        </w:tc>
        <w:tc>
          <w:tcPr>
            <w:tcW w:w="1562" w:type="dxa"/>
          </w:tcPr>
          <w:p>
            <w:pPr>
              <w:pStyle w:val="TableParagraph"/>
              <w:spacing w:before="13"/>
              <w:ind w:right="92"/>
              <w:jc w:val="right"/>
              <w:rPr>
                <w:sz w:val="20"/>
              </w:rPr>
            </w:pPr>
            <w:r>
              <w:rPr>
                <w:spacing w:val="-2"/>
                <w:sz w:val="20"/>
              </w:rPr>
              <w:t>1,137</w:t>
            </w:r>
          </w:p>
        </w:tc>
        <w:tc>
          <w:tcPr>
            <w:tcW w:w="1684" w:type="dxa"/>
            <w:shd w:val="clear" w:color="auto" w:fill="DDEBF6"/>
          </w:tcPr>
          <w:p>
            <w:pPr>
              <w:pStyle w:val="TableParagraph"/>
              <w:spacing w:before="13"/>
              <w:ind w:right="92"/>
              <w:jc w:val="right"/>
              <w:rPr>
                <w:b/>
                <w:sz w:val="20"/>
              </w:rPr>
            </w:pPr>
            <w:r>
              <w:rPr>
                <w:b/>
                <w:spacing w:val="-5"/>
                <w:sz w:val="20"/>
              </w:rPr>
              <w:t>813</w:t>
            </w:r>
          </w:p>
        </w:tc>
        <w:tc>
          <w:tcPr>
            <w:tcW w:w="1813" w:type="dxa"/>
          </w:tcPr>
          <w:p>
            <w:pPr>
              <w:pStyle w:val="TableParagraph"/>
              <w:spacing w:before="13"/>
              <w:ind w:right="438"/>
              <w:jc w:val="right"/>
              <w:rPr>
                <w:sz w:val="20"/>
              </w:rPr>
            </w:pPr>
            <w:r>
              <w:rPr>
                <w:spacing w:val="-2"/>
                <w:sz w:val="20"/>
              </w:rPr>
              <w:t>(324)</w:t>
            </w:r>
          </w:p>
        </w:tc>
        <w:tc>
          <w:tcPr>
            <w:tcW w:w="996" w:type="dxa"/>
            <w:tcBorders>
              <w:right w:val="single" w:sz="12" w:space="0" w:color="000000"/>
            </w:tcBorders>
          </w:tcPr>
          <w:p>
            <w:pPr>
              <w:pStyle w:val="TableParagraph"/>
              <w:spacing w:before="13"/>
              <w:ind w:right="78"/>
              <w:jc w:val="right"/>
              <w:rPr>
                <w:sz w:val="20"/>
              </w:rPr>
            </w:pPr>
            <w:r>
              <w:rPr>
                <w:spacing w:val="-2"/>
                <w:sz w:val="20"/>
              </w:rPr>
              <w:t>(28.5%)</w:t>
            </w:r>
          </w:p>
        </w:tc>
      </w:tr>
      <w:tr>
        <w:trPr>
          <w:trHeight w:val="282" w:hRule="atLeast"/>
        </w:trPr>
        <w:tc>
          <w:tcPr>
            <w:tcW w:w="4380" w:type="dxa"/>
            <w:tcBorders>
              <w:left w:val="single" w:sz="12" w:space="0" w:color="000000"/>
            </w:tcBorders>
          </w:tcPr>
          <w:p>
            <w:pPr>
              <w:pStyle w:val="TableParagraph"/>
              <w:spacing w:before="13"/>
              <w:ind w:left="107"/>
              <w:rPr>
                <w:b/>
                <w:i/>
                <w:sz w:val="20"/>
              </w:rPr>
            </w:pPr>
            <w:r>
              <w:rPr>
                <w:b/>
                <w:i/>
                <w:sz w:val="20"/>
              </w:rPr>
              <w:t>Non-recurrent</w:t>
            </w:r>
            <w:r>
              <w:rPr>
                <w:b/>
                <w:i/>
                <w:spacing w:val="-6"/>
                <w:sz w:val="20"/>
              </w:rPr>
              <w:t> </w:t>
            </w:r>
            <w:r>
              <w:rPr>
                <w:b/>
                <w:i/>
                <w:sz w:val="20"/>
              </w:rPr>
              <w:t>-</w:t>
            </w:r>
            <w:r>
              <w:rPr>
                <w:b/>
                <w:i/>
                <w:spacing w:val="-7"/>
                <w:sz w:val="20"/>
              </w:rPr>
              <w:t> </w:t>
            </w:r>
            <w:r>
              <w:rPr>
                <w:b/>
                <w:i/>
                <w:sz w:val="20"/>
              </w:rPr>
              <w:t>State</w:t>
            </w:r>
            <w:r>
              <w:rPr>
                <w:b/>
                <w:i/>
                <w:spacing w:val="-7"/>
                <w:sz w:val="20"/>
              </w:rPr>
              <w:t> </w:t>
            </w:r>
            <w:r>
              <w:rPr>
                <w:b/>
                <w:i/>
                <w:spacing w:val="-2"/>
                <w:sz w:val="20"/>
              </w:rPr>
              <w:t>Government</w:t>
            </w:r>
          </w:p>
        </w:tc>
        <w:tc>
          <w:tcPr>
            <w:tcW w:w="1562" w:type="dxa"/>
          </w:tcPr>
          <w:p>
            <w:pPr>
              <w:pStyle w:val="TableParagraph"/>
              <w:rPr>
                <w:rFonts w:ascii="Times New Roman"/>
                <w:sz w:val="18"/>
              </w:rPr>
            </w:pPr>
          </w:p>
        </w:tc>
        <w:tc>
          <w:tcPr>
            <w:tcW w:w="1684" w:type="dxa"/>
            <w:shd w:val="clear" w:color="auto" w:fill="DDEBF6"/>
          </w:tcPr>
          <w:p>
            <w:pPr>
              <w:pStyle w:val="TableParagraph"/>
              <w:rPr>
                <w:rFonts w:ascii="Times New Roman"/>
                <w:sz w:val="18"/>
              </w:rPr>
            </w:pPr>
          </w:p>
        </w:tc>
        <w:tc>
          <w:tcPr>
            <w:tcW w:w="1813" w:type="dxa"/>
          </w:tcPr>
          <w:p>
            <w:pPr>
              <w:pStyle w:val="TableParagraph"/>
              <w:rPr>
                <w:rFonts w:ascii="Times New Roman"/>
                <w:sz w:val="18"/>
              </w:rPr>
            </w:pPr>
          </w:p>
        </w:tc>
        <w:tc>
          <w:tcPr>
            <w:tcW w:w="996" w:type="dxa"/>
            <w:tcBorders>
              <w:right w:val="single" w:sz="12" w:space="0" w:color="000000"/>
            </w:tcBorders>
          </w:tcPr>
          <w:p>
            <w:pPr>
              <w:pStyle w:val="TableParagraph"/>
              <w:rPr>
                <w:rFonts w:ascii="Times New Roman"/>
                <w:sz w:val="18"/>
              </w:rPr>
            </w:pPr>
          </w:p>
        </w:tc>
      </w:tr>
      <w:tr>
        <w:trPr>
          <w:trHeight w:val="317" w:hRule="atLeast"/>
        </w:trPr>
        <w:tc>
          <w:tcPr>
            <w:tcW w:w="4380" w:type="dxa"/>
            <w:tcBorders>
              <w:left w:val="single" w:sz="12" w:space="0" w:color="000000"/>
            </w:tcBorders>
          </w:tcPr>
          <w:p>
            <w:pPr>
              <w:pStyle w:val="TableParagraph"/>
              <w:spacing w:before="67"/>
              <w:ind w:left="107"/>
              <w:rPr>
                <w:sz w:val="20"/>
              </w:rPr>
            </w:pPr>
            <w:r>
              <w:rPr>
                <w:spacing w:val="-2"/>
                <w:sz w:val="20"/>
              </w:rPr>
              <w:t>Buildings</w:t>
            </w:r>
          </w:p>
        </w:tc>
        <w:tc>
          <w:tcPr>
            <w:tcW w:w="1562" w:type="dxa"/>
          </w:tcPr>
          <w:p>
            <w:pPr>
              <w:pStyle w:val="TableParagraph"/>
              <w:spacing w:before="31"/>
              <w:ind w:right="93"/>
              <w:jc w:val="right"/>
              <w:rPr>
                <w:sz w:val="20"/>
              </w:rPr>
            </w:pPr>
            <w:r>
              <w:rPr>
                <w:spacing w:val="-5"/>
                <w:sz w:val="20"/>
              </w:rPr>
              <w:t>125</w:t>
            </w:r>
          </w:p>
        </w:tc>
        <w:tc>
          <w:tcPr>
            <w:tcW w:w="1684" w:type="dxa"/>
            <w:shd w:val="clear" w:color="auto" w:fill="DDEBF6"/>
          </w:tcPr>
          <w:p>
            <w:pPr>
              <w:pStyle w:val="TableParagraph"/>
              <w:spacing w:before="31"/>
              <w:ind w:right="91"/>
              <w:jc w:val="right"/>
              <w:rPr>
                <w:b/>
                <w:sz w:val="20"/>
              </w:rPr>
            </w:pPr>
            <w:r>
              <w:rPr>
                <w:b/>
                <w:spacing w:val="-2"/>
                <w:sz w:val="20"/>
              </w:rPr>
              <w:t>1,000</w:t>
            </w:r>
          </w:p>
        </w:tc>
        <w:tc>
          <w:tcPr>
            <w:tcW w:w="1813" w:type="dxa"/>
          </w:tcPr>
          <w:p>
            <w:pPr>
              <w:pStyle w:val="TableParagraph"/>
              <w:spacing w:before="31"/>
              <w:ind w:right="437"/>
              <w:jc w:val="right"/>
              <w:rPr>
                <w:sz w:val="20"/>
              </w:rPr>
            </w:pPr>
            <w:r>
              <w:rPr>
                <w:spacing w:val="-5"/>
                <w:sz w:val="20"/>
              </w:rPr>
              <w:t>875</w:t>
            </w:r>
          </w:p>
        </w:tc>
        <w:tc>
          <w:tcPr>
            <w:tcW w:w="996" w:type="dxa"/>
            <w:tcBorders>
              <w:right w:val="single" w:sz="12" w:space="0" w:color="000000"/>
            </w:tcBorders>
          </w:tcPr>
          <w:p>
            <w:pPr>
              <w:pStyle w:val="TableParagraph"/>
              <w:spacing w:before="31"/>
              <w:ind w:right="77"/>
              <w:jc w:val="right"/>
              <w:rPr>
                <w:sz w:val="20"/>
              </w:rPr>
            </w:pPr>
            <w:r>
              <w:rPr>
                <w:spacing w:val="-2"/>
                <w:sz w:val="20"/>
              </w:rPr>
              <w:t>100.0%</w:t>
            </w:r>
          </w:p>
        </w:tc>
      </w:tr>
      <w:tr>
        <w:trPr>
          <w:trHeight w:val="300" w:hRule="atLeast"/>
        </w:trPr>
        <w:tc>
          <w:tcPr>
            <w:tcW w:w="4380" w:type="dxa"/>
            <w:tcBorders>
              <w:left w:val="single" w:sz="12" w:space="0" w:color="000000"/>
            </w:tcBorders>
          </w:tcPr>
          <w:p>
            <w:pPr>
              <w:pStyle w:val="TableParagraph"/>
              <w:spacing w:before="49"/>
              <w:ind w:left="107"/>
              <w:rPr>
                <w:sz w:val="20"/>
              </w:rPr>
            </w:pPr>
            <w:r>
              <w:rPr>
                <w:sz w:val="20"/>
              </w:rPr>
              <w:t>Commercial</w:t>
            </w:r>
            <w:r>
              <w:rPr>
                <w:spacing w:val="-13"/>
                <w:sz w:val="20"/>
              </w:rPr>
              <w:t> </w:t>
            </w:r>
            <w:r>
              <w:rPr>
                <w:spacing w:val="-2"/>
                <w:sz w:val="20"/>
              </w:rPr>
              <w:t>centres</w:t>
            </w:r>
          </w:p>
        </w:tc>
        <w:tc>
          <w:tcPr>
            <w:tcW w:w="1562" w:type="dxa"/>
          </w:tcPr>
          <w:p>
            <w:pPr>
              <w:pStyle w:val="TableParagraph"/>
              <w:spacing w:before="13"/>
              <w:ind w:right="94"/>
              <w:jc w:val="right"/>
              <w:rPr>
                <w:sz w:val="20"/>
              </w:rPr>
            </w:pPr>
            <w:r>
              <w:rPr>
                <w:spacing w:val="-5"/>
                <w:sz w:val="20"/>
              </w:rPr>
              <w:t>85</w:t>
            </w:r>
          </w:p>
        </w:tc>
        <w:tc>
          <w:tcPr>
            <w:tcW w:w="1684" w:type="dxa"/>
            <w:shd w:val="clear" w:color="auto" w:fill="DDEBF6"/>
          </w:tcPr>
          <w:p>
            <w:pPr>
              <w:pStyle w:val="TableParagraph"/>
              <w:spacing w:before="13"/>
              <w:ind w:right="90"/>
              <w:jc w:val="right"/>
              <w:rPr>
                <w:b/>
                <w:sz w:val="20"/>
              </w:rPr>
            </w:pPr>
            <w:r>
              <w:rPr>
                <w:b/>
                <w:w w:val="99"/>
                <w:sz w:val="20"/>
              </w:rPr>
              <w:t>0</w:t>
            </w:r>
          </w:p>
        </w:tc>
        <w:tc>
          <w:tcPr>
            <w:tcW w:w="1813" w:type="dxa"/>
          </w:tcPr>
          <w:p>
            <w:pPr>
              <w:pStyle w:val="TableParagraph"/>
              <w:spacing w:before="13"/>
              <w:ind w:right="435"/>
              <w:jc w:val="right"/>
              <w:rPr>
                <w:sz w:val="20"/>
              </w:rPr>
            </w:pPr>
            <w:r>
              <w:rPr>
                <w:spacing w:val="-4"/>
                <w:sz w:val="20"/>
              </w:rPr>
              <w:t>(85)</w:t>
            </w:r>
          </w:p>
        </w:tc>
        <w:tc>
          <w:tcPr>
            <w:tcW w:w="996" w:type="dxa"/>
            <w:tcBorders>
              <w:right w:val="single" w:sz="12" w:space="0" w:color="000000"/>
            </w:tcBorders>
          </w:tcPr>
          <w:p>
            <w:pPr>
              <w:pStyle w:val="TableParagraph"/>
              <w:spacing w:before="13"/>
              <w:ind w:left="78"/>
              <w:rPr>
                <w:sz w:val="20"/>
              </w:rPr>
            </w:pPr>
            <w:r>
              <w:rPr>
                <w:spacing w:val="-2"/>
                <w:sz w:val="20"/>
              </w:rPr>
              <w:t>(100.0%)</w:t>
            </w:r>
          </w:p>
        </w:tc>
      </w:tr>
      <w:tr>
        <w:trPr>
          <w:trHeight w:val="300" w:hRule="atLeast"/>
        </w:trPr>
        <w:tc>
          <w:tcPr>
            <w:tcW w:w="4380" w:type="dxa"/>
            <w:tcBorders>
              <w:left w:val="single" w:sz="12" w:space="0" w:color="000000"/>
            </w:tcBorders>
          </w:tcPr>
          <w:p>
            <w:pPr>
              <w:pStyle w:val="TableParagraph"/>
              <w:spacing w:before="49"/>
              <w:ind w:left="107"/>
              <w:rPr>
                <w:sz w:val="20"/>
              </w:rPr>
            </w:pPr>
            <w:r>
              <w:rPr>
                <w:spacing w:val="-2"/>
                <w:sz w:val="20"/>
              </w:rPr>
              <w:t>Roads</w:t>
            </w:r>
          </w:p>
        </w:tc>
        <w:tc>
          <w:tcPr>
            <w:tcW w:w="1562" w:type="dxa"/>
          </w:tcPr>
          <w:p>
            <w:pPr>
              <w:pStyle w:val="TableParagraph"/>
              <w:spacing w:before="13"/>
              <w:ind w:right="93"/>
              <w:jc w:val="right"/>
              <w:rPr>
                <w:sz w:val="20"/>
              </w:rPr>
            </w:pPr>
            <w:r>
              <w:rPr>
                <w:spacing w:val="-5"/>
                <w:sz w:val="20"/>
              </w:rPr>
              <w:t>200</w:t>
            </w:r>
          </w:p>
        </w:tc>
        <w:tc>
          <w:tcPr>
            <w:tcW w:w="1684" w:type="dxa"/>
            <w:shd w:val="clear" w:color="auto" w:fill="DDEBF6"/>
          </w:tcPr>
          <w:p>
            <w:pPr>
              <w:pStyle w:val="TableParagraph"/>
              <w:spacing w:before="13"/>
              <w:ind w:right="91"/>
              <w:jc w:val="right"/>
              <w:rPr>
                <w:b/>
                <w:sz w:val="20"/>
              </w:rPr>
            </w:pPr>
            <w:r>
              <w:rPr>
                <w:b/>
                <w:spacing w:val="-2"/>
                <w:sz w:val="20"/>
              </w:rPr>
              <w:t>1,021</w:t>
            </w:r>
          </w:p>
        </w:tc>
        <w:tc>
          <w:tcPr>
            <w:tcW w:w="1813" w:type="dxa"/>
          </w:tcPr>
          <w:p>
            <w:pPr>
              <w:pStyle w:val="TableParagraph"/>
              <w:spacing w:before="13"/>
              <w:ind w:right="437"/>
              <w:jc w:val="right"/>
              <w:rPr>
                <w:sz w:val="20"/>
              </w:rPr>
            </w:pPr>
            <w:r>
              <w:rPr>
                <w:spacing w:val="-5"/>
                <w:sz w:val="20"/>
              </w:rPr>
              <w:t>821</w:t>
            </w:r>
          </w:p>
        </w:tc>
        <w:tc>
          <w:tcPr>
            <w:tcW w:w="996" w:type="dxa"/>
            <w:tcBorders>
              <w:right w:val="single" w:sz="12" w:space="0" w:color="000000"/>
            </w:tcBorders>
          </w:tcPr>
          <w:p>
            <w:pPr>
              <w:pStyle w:val="TableParagraph"/>
              <w:spacing w:before="13"/>
              <w:ind w:right="77"/>
              <w:jc w:val="right"/>
              <w:rPr>
                <w:sz w:val="20"/>
              </w:rPr>
            </w:pPr>
            <w:r>
              <w:rPr>
                <w:spacing w:val="-2"/>
                <w:sz w:val="20"/>
              </w:rPr>
              <w:t>100.0%</w:t>
            </w:r>
          </w:p>
        </w:tc>
      </w:tr>
      <w:tr>
        <w:trPr>
          <w:trHeight w:val="300" w:hRule="atLeast"/>
        </w:trPr>
        <w:tc>
          <w:tcPr>
            <w:tcW w:w="4380" w:type="dxa"/>
            <w:tcBorders>
              <w:left w:val="single" w:sz="12" w:space="0" w:color="000000"/>
            </w:tcBorders>
          </w:tcPr>
          <w:p>
            <w:pPr>
              <w:pStyle w:val="TableParagraph"/>
              <w:spacing w:before="49"/>
              <w:ind w:left="107"/>
              <w:rPr>
                <w:sz w:val="20"/>
              </w:rPr>
            </w:pPr>
            <w:r>
              <w:rPr>
                <w:sz w:val="20"/>
              </w:rPr>
              <w:t>Footpaths</w:t>
            </w:r>
            <w:r>
              <w:rPr>
                <w:spacing w:val="-7"/>
                <w:sz w:val="20"/>
              </w:rPr>
              <w:t> </w:t>
            </w:r>
            <w:r>
              <w:rPr>
                <w:sz w:val="20"/>
              </w:rPr>
              <w:t>and</w:t>
            </w:r>
            <w:r>
              <w:rPr>
                <w:spacing w:val="-9"/>
                <w:sz w:val="20"/>
              </w:rPr>
              <w:t> </w:t>
            </w:r>
            <w:r>
              <w:rPr>
                <w:spacing w:val="-2"/>
                <w:sz w:val="20"/>
              </w:rPr>
              <w:t>cycleways</w:t>
            </w:r>
          </w:p>
        </w:tc>
        <w:tc>
          <w:tcPr>
            <w:tcW w:w="1562" w:type="dxa"/>
          </w:tcPr>
          <w:p>
            <w:pPr>
              <w:pStyle w:val="TableParagraph"/>
              <w:spacing w:before="13"/>
              <w:ind w:right="93"/>
              <w:jc w:val="right"/>
              <w:rPr>
                <w:sz w:val="20"/>
              </w:rPr>
            </w:pPr>
            <w:r>
              <w:rPr>
                <w:spacing w:val="-5"/>
                <w:sz w:val="20"/>
              </w:rPr>
              <w:t>100</w:t>
            </w:r>
          </w:p>
        </w:tc>
        <w:tc>
          <w:tcPr>
            <w:tcW w:w="1684" w:type="dxa"/>
            <w:shd w:val="clear" w:color="auto" w:fill="DDEBF6"/>
          </w:tcPr>
          <w:p>
            <w:pPr>
              <w:pStyle w:val="TableParagraph"/>
              <w:spacing w:before="13"/>
              <w:ind w:right="91"/>
              <w:jc w:val="right"/>
              <w:rPr>
                <w:b/>
                <w:sz w:val="20"/>
              </w:rPr>
            </w:pPr>
            <w:r>
              <w:rPr>
                <w:b/>
                <w:spacing w:val="-2"/>
                <w:sz w:val="20"/>
              </w:rPr>
              <w:t>1,900</w:t>
            </w:r>
          </w:p>
        </w:tc>
        <w:tc>
          <w:tcPr>
            <w:tcW w:w="1813" w:type="dxa"/>
          </w:tcPr>
          <w:p>
            <w:pPr>
              <w:pStyle w:val="TableParagraph"/>
              <w:spacing w:before="13"/>
              <w:ind w:right="436"/>
              <w:jc w:val="right"/>
              <w:rPr>
                <w:sz w:val="20"/>
              </w:rPr>
            </w:pPr>
            <w:r>
              <w:rPr>
                <w:spacing w:val="-2"/>
                <w:sz w:val="20"/>
              </w:rPr>
              <w:t>1,800</w:t>
            </w:r>
          </w:p>
        </w:tc>
        <w:tc>
          <w:tcPr>
            <w:tcW w:w="996" w:type="dxa"/>
            <w:tcBorders>
              <w:right w:val="single" w:sz="12" w:space="0" w:color="000000"/>
            </w:tcBorders>
          </w:tcPr>
          <w:p>
            <w:pPr>
              <w:pStyle w:val="TableParagraph"/>
              <w:spacing w:before="13"/>
              <w:ind w:right="76"/>
              <w:jc w:val="right"/>
              <w:rPr>
                <w:sz w:val="20"/>
              </w:rPr>
            </w:pPr>
            <w:r>
              <w:rPr>
                <w:spacing w:val="-2"/>
                <w:sz w:val="20"/>
              </w:rPr>
              <w:t>100.0%</w:t>
            </w:r>
          </w:p>
        </w:tc>
      </w:tr>
      <w:tr>
        <w:trPr>
          <w:trHeight w:val="273" w:hRule="atLeast"/>
        </w:trPr>
        <w:tc>
          <w:tcPr>
            <w:tcW w:w="4380" w:type="dxa"/>
            <w:tcBorders>
              <w:left w:val="single" w:sz="12" w:space="0" w:color="000000"/>
            </w:tcBorders>
          </w:tcPr>
          <w:p>
            <w:pPr>
              <w:pStyle w:val="TableParagraph"/>
              <w:spacing w:line="204" w:lineRule="exact" w:before="49"/>
              <w:ind w:left="107"/>
              <w:rPr>
                <w:sz w:val="20"/>
              </w:rPr>
            </w:pPr>
            <w:r>
              <w:rPr>
                <w:sz w:val="20"/>
              </w:rPr>
              <w:t>Recreational,</w:t>
            </w:r>
            <w:r>
              <w:rPr>
                <w:spacing w:val="-6"/>
                <w:sz w:val="20"/>
              </w:rPr>
              <w:t> </w:t>
            </w:r>
            <w:r>
              <w:rPr>
                <w:sz w:val="20"/>
              </w:rPr>
              <w:t>leisure</w:t>
            </w:r>
            <w:r>
              <w:rPr>
                <w:spacing w:val="-9"/>
                <w:sz w:val="20"/>
              </w:rPr>
              <w:t> </w:t>
            </w:r>
            <w:r>
              <w:rPr>
                <w:sz w:val="20"/>
              </w:rPr>
              <w:t>and</w:t>
            </w:r>
            <w:r>
              <w:rPr>
                <w:spacing w:val="-9"/>
                <w:sz w:val="20"/>
              </w:rPr>
              <w:t> </w:t>
            </w:r>
            <w:r>
              <w:rPr>
                <w:sz w:val="20"/>
              </w:rPr>
              <w:t>community</w:t>
            </w:r>
            <w:r>
              <w:rPr>
                <w:spacing w:val="-7"/>
                <w:sz w:val="20"/>
              </w:rPr>
              <w:t> </w:t>
            </w:r>
            <w:r>
              <w:rPr>
                <w:spacing w:val="-2"/>
                <w:sz w:val="20"/>
              </w:rPr>
              <w:t>facilities</w:t>
            </w:r>
          </w:p>
        </w:tc>
        <w:tc>
          <w:tcPr>
            <w:tcW w:w="1562" w:type="dxa"/>
            <w:tcBorders>
              <w:bottom w:val="single" w:sz="12" w:space="0" w:color="000000"/>
            </w:tcBorders>
          </w:tcPr>
          <w:p>
            <w:pPr>
              <w:pStyle w:val="TableParagraph"/>
              <w:spacing w:before="13"/>
              <w:ind w:right="94"/>
              <w:jc w:val="right"/>
              <w:rPr>
                <w:sz w:val="20"/>
              </w:rPr>
            </w:pPr>
            <w:r>
              <w:rPr>
                <w:spacing w:val="-5"/>
                <w:sz w:val="20"/>
              </w:rPr>
              <w:t>40</w:t>
            </w:r>
          </w:p>
        </w:tc>
        <w:tc>
          <w:tcPr>
            <w:tcW w:w="1684" w:type="dxa"/>
            <w:tcBorders>
              <w:bottom w:val="single" w:sz="18" w:space="0" w:color="000000"/>
            </w:tcBorders>
            <w:shd w:val="clear" w:color="auto" w:fill="DDEBF6"/>
          </w:tcPr>
          <w:p>
            <w:pPr>
              <w:pStyle w:val="TableParagraph"/>
              <w:spacing w:before="13"/>
              <w:ind w:right="90"/>
              <w:jc w:val="right"/>
              <w:rPr>
                <w:b/>
                <w:sz w:val="20"/>
              </w:rPr>
            </w:pPr>
            <w:r>
              <w:rPr>
                <w:b/>
                <w:w w:val="99"/>
                <w:sz w:val="20"/>
              </w:rPr>
              <w:t>0</w:t>
            </w:r>
          </w:p>
        </w:tc>
        <w:tc>
          <w:tcPr>
            <w:tcW w:w="1813" w:type="dxa"/>
            <w:tcBorders>
              <w:bottom w:val="single" w:sz="12" w:space="0" w:color="000000"/>
            </w:tcBorders>
          </w:tcPr>
          <w:p>
            <w:pPr>
              <w:pStyle w:val="TableParagraph"/>
              <w:spacing w:before="13"/>
              <w:ind w:right="435"/>
              <w:jc w:val="right"/>
              <w:rPr>
                <w:sz w:val="20"/>
              </w:rPr>
            </w:pPr>
            <w:r>
              <w:rPr>
                <w:spacing w:val="-4"/>
                <w:sz w:val="20"/>
              </w:rPr>
              <w:t>(40)</w:t>
            </w:r>
          </w:p>
        </w:tc>
        <w:tc>
          <w:tcPr>
            <w:tcW w:w="996" w:type="dxa"/>
            <w:tcBorders>
              <w:bottom w:val="single" w:sz="12" w:space="0" w:color="000000"/>
              <w:right w:val="single" w:sz="12" w:space="0" w:color="000000"/>
            </w:tcBorders>
          </w:tcPr>
          <w:p>
            <w:pPr>
              <w:pStyle w:val="TableParagraph"/>
              <w:spacing w:before="13"/>
              <w:ind w:left="78"/>
              <w:rPr>
                <w:sz w:val="20"/>
              </w:rPr>
            </w:pPr>
            <w:r>
              <w:rPr>
                <w:spacing w:val="-2"/>
                <w:sz w:val="20"/>
              </w:rPr>
              <w:t>(100.0%)</w:t>
            </w:r>
          </w:p>
        </w:tc>
      </w:tr>
      <w:tr>
        <w:trPr>
          <w:trHeight w:val="283" w:hRule="atLeast"/>
        </w:trPr>
        <w:tc>
          <w:tcPr>
            <w:tcW w:w="4380" w:type="dxa"/>
            <w:tcBorders>
              <w:left w:val="single" w:sz="12" w:space="0" w:color="000000"/>
            </w:tcBorders>
          </w:tcPr>
          <w:p>
            <w:pPr>
              <w:pStyle w:val="TableParagraph"/>
              <w:spacing w:before="26"/>
              <w:ind w:left="107"/>
              <w:rPr>
                <w:b/>
                <w:sz w:val="20"/>
              </w:rPr>
            </w:pPr>
            <w:r>
              <w:rPr>
                <w:b/>
                <w:sz w:val="20"/>
              </w:rPr>
              <w:t>Total</w:t>
            </w:r>
            <w:r>
              <w:rPr>
                <w:b/>
                <w:spacing w:val="-11"/>
                <w:sz w:val="20"/>
              </w:rPr>
              <w:t> </w:t>
            </w:r>
            <w:r>
              <w:rPr>
                <w:b/>
                <w:sz w:val="20"/>
              </w:rPr>
              <w:t>non-recurrent</w:t>
            </w:r>
            <w:r>
              <w:rPr>
                <w:b/>
                <w:spacing w:val="-8"/>
                <w:sz w:val="20"/>
              </w:rPr>
              <w:t> </w:t>
            </w:r>
            <w:r>
              <w:rPr>
                <w:b/>
                <w:spacing w:val="-2"/>
                <w:sz w:val="20"/>
              </w:rPr>
              <w:t>grants</w:t>
            </w:r>
          </w:p>
        </w:tc>
        <w:tc>
          <w:tcPr>
            <w:tcW w:w="1562" w:type="dxa"/>
            <w:tcBorders>
              <w:top w:val="single" w:sz="12" w:space="0" w:color="000000"/>
              <w:bottom w:val="single" w:sz="12" w:space="0" w:color="000000"/>
            </w:tcBorders>
          </w:tcPr>
          <w:p>
            <w:pPr>
              <w:pStyle w:val="TableParagraph"/>
              <w:spacing w:before="26"/>
              <w:ind w:right="93"/>
              <w:jc w:val="right"/>
              <w:rPr>
                <w:b/>
                <w:sz w:val="20"/>
              </w:rPr>
            </w:pPr>
            <w:r>
              <w:rPr>
                <w:b/>
                <w:spacing w:val="-2"/>
                <w:sz w:val="20"/>
              </w:rPr>
              <w:t>25,942</w:t>
            </w:r>
          </w:p>
        </w:tc>
        <w:tc>
          <w:tcPr>
            <w:tcW w:w="1684" w:type="dxa"/>
            <w:tcBorders>
              <w:top w:val="single" w:sz="18" w:space="0" w:color="000000"/>
              <w:bottom w:val="single" w:sz="18" w:space="0" w:color="000000"/>
            </w:tcBorders>
            <w:shd w:val="clear" w:color="auto" w:fill="DDEBF6"/>
          </w:tcPr>
          <w:p>
            <w:pPr>
              <w:pStyle w:val="TableParagraph"/>
              <w:spacing w:before="26"/>
              <w:ind w:right="91"/>
              <w:jc w:val="right"/>
              <w:rPr>
                <w:b/>
                <w:sz w:val="20"/>
              </w:rPr>
            </w:pPr>
            <w:r>
              <w:rPr>
                <w:b/>
                <w:spacing w:val="-2"/>
                <w:sz w:val="20"/>
              </w:rPr>
              <w:t>7,234</w:t>
            </w:r>
          </w:p>
        </w:tc>
        <w:tc>
          <w:tcPr>
            <w:tcW w:w="1813" w:type="dxa"/>
            <w:tcBorders>
              <w:top w:val="single" w:sz="12" w:space="0" w:color="000000"/>
              <w:bottom w:val="single" w:sz="12" w:space="0" w:color="000000"/>
            </w:tcBorders>
          </w:tcPr>
          <w:p>
            <w:pPr>
              <w:pStyle w:val="TableParagraph"/>
              <w:spacing w:before="26"/>
              <w:ind w:right="436"/>
              <w:jc w:val="right"/>
              <w:rPr>
                <w:b/>
                <w:sz w:val="20"/>
              </w:rPr>
            </w:pPr>
            <w:r>
              <w:rPr>
                <w:b/>
                <w:spacing w:val="-2"/>
                <w:sz w:val="20"/>
              </w:rPr>
              <w:t>(18,708)</w:t>
            </w:r>
          </w:p>
        </w:tc>
        <w:tc>
          <w:tcPr>
            <w:tcW w:w="996" w:type="dxa"/>
            <w:tcBorders>
              <w:top w:val="single" w:sz="12" w:space="0" w:color="000000"/>
              <w:bottom w:val="single" w:sz="12" w:space="0" w:color="000000"/>
              <w:right w:val="single" w:sz="12" w:space="0" w:color="000000"/>
            </w:tcBorders>
          </w:tcPr>
          <w:p>
            <w:pPr>
              <w:pStyle w:val="TableParagraph"/>
              <w:spacing w:before="26"/>
              <w:ind w:right="77"/>
              <w:jc w:val="right"/>
              <w:rPr>
                <w:b/>
                <w:sz w:val="20"/>
              </w:rPr>
            </w:pPr>
            <w:r>
              <w:rPr>
                <w:b/>
                <w:spacing w:val="-2"/>
                <w:sz w:val="20"/>
              </w:rPr>
              <w:t>(72.1%)</w:t>
            </w:r>
          </w:p>
        </w:tc>
      </w:tr>
      <w:tr>
        <w:trPr>
          <w:trHeight w:val="286" w:hRule="atLeast"/>
        </w:trPr>
        <w:tc>
          <w:tcPr>
            <w:tcW w:w="4380" w:type="dxa"/>
            <w:tcBorders>
              <w:left w:val="single" w:sz="12" w:space="0" w:color="000000"/>
            </w:tcBorders>
          </w:tcPr>
          <w:p>
            <w:pPr>
              <w:pStyle w:val="TableParagraph"/>
              <w:spacing w:before="26"/>
              <w:ind w:left="107"/>
              <w:rPr>
                <w:b/>
                <w:sz w:val="20"/>
              </w:rPr>
            </w:pPr>
            <w:r>
              <w:rPr>
                <w:b/>
                <w:sz w:val="20"/>
              </w:rPr>
              <w:t>Total</w:t>
            </w:r>
            <w:r>
              <w:rPr>
                <w:b/>
                <w:spacing w:val="-8"/>
                <w:sz w:val="20"/>
              </w:rPr>
              <w:t> </w:t>
            </w:r>
            <w:r>
              <w:rPr>
                <w:b/>
                <w:sz w:val="20"/>
              </w:rPr>
              <w:t>Capital</w:t>
            </w:r>
            <w:r>
              <w:rPr>
                <w:b/>
                <w:spacing w:val="-8"/>
                <w:sz w:val="20"/>
              </w:rPr>
              <w:t> </w:t>
            </w:r>
            <w:r>
              <w:rPr>
                <w:b/>
                <w:spacing w:val="-2"/>
                <w:sz w:val="20"/>
              </w:rPr>
              <w:t>Grants</w:t>
            </w:r>
          </w:p>
        </w:tc>
        <w:tc>
          <w:tcPr>
            <w:tcW w:w="1562" w:type="dxa"/>
            <w:tcBorders>
              <w:top w:val="single" w:sz="12" w:space="0" w:color="000000"/>
              <w:bottom w:val="single" w:sz="12" w:space="0" w:color="000000"/>
            </w:tcBorders>
          </w:tcPr>
          <w:p>
            <w:pPr>
              <w:pStyle w:val="TableParagraph"/>
              <w:spacing w:before="26"/>
              <w:ind w:right="93"/>
              <w:jc w:val="right"/>
              <w:rPr>
                <w:b/>
                <w:sz w:val="20"/>
              </w:rPr>
            </w:pPr>
            <w:r>
              <w:rPr>
                <w:b/>
                <w:spacing w:val="-2"/>
                <w:sz w:val="20"/>
              </w:rPr>
              <w:t>25,942</w:t>
            </w:r>
          </w:p>
        </w:tc>
        <w:tc>
          <w:tcPr>
            <w:tcW w:w="1684" w:type="dxa"/>
            <w:tcBorders>
              <w:top w:val="single" w:sz="18" w:space="0" w:color="000000"/>
              <w:bottom w:val="single" w:sz="18" w:space="0" w:color="000000"/>
            </w:tcBorders>
            <w:shd w:val="clear" w:color="auto" w:fill="DDEBF6"/>
          </w:tcPr>
          <w:p>
            <w:pPr>
              <w:pStyle w:val="TableParagraph"/>
              <w:spacing w:before="26"/>
              <w:ind w:right="91"/>
              <w:jc w:val="right"/>
              <w:rPr>
                <w:b/>
                <w:sz w:val="20"/>
              </w:rPr>
            </w:pPr>
            <w:r>
              <w:rPr>
                <w:b/>
                <w:spacing w:val="-2"/>
                <w:sz w:val="20"/>
              </w:rPr>
              <w:t>7,234</w:t>
            </w:r>
          </w:p>
        </w:tc>
        <w:tc>
          <w:tcPr>
            <w:tcW w:w="1813" w:type="dxa"/>
            <w:tcBorders>
              <w:top w:val="single" w:sz="12" w:space="0" w:color="000000"/>
              <w:bottom w:val="single" w:sz="12" w:space="0" w:color="000000"/>
            </w:tcBorders>
          </w:tcPr>
          <w:p>
            <w:pPr>
              <w:pStyle w:val="TableParagraph"/>
              <w:spacing w:before="26"/>
              <w:ind w:right="436"/>
              <w:jc w:val="right"/>
              <w:rPr>
                <w:b/>
                <w:sz w:val="20"/>
              </w:rPr>
            </w:pPr>
            <w:r>
              <w:rPr>
                <w:b/>
                <w:spacing w:val="-2"/>
                <w:sz w:val="20"/>
              </w:rPr>
              <w:t>(18,708)</w:t>
            </w:r>
          </w:p>
        </w:tc>
        <w:tc>
          <w:tcPr>
            <w:tcW w:w="996" w:type="dxa"/>
            <w:tcBorders>
              <w:top w:val="single" w:sz="12" w:space="0" w:color="000000"/>
              <w:bottom w:val="single" w:sz="12" w:space="0" w:color="000000"/>
              <w:right w:val="single" w:sz="12" w:space="0" w:color="000000"/>
            </w:tcBorders>
          </w:tcPr>
          <w:p>
            <w:pPr>
              <w:pStyle w:val="TableParagraph"/>
              <w:spacing w:before="26"/>
              <w:ind w:right="77"/>
              <w:jc w:val="right"/>
              <w:rPr>
                <w:b/>
                <w:sz w:val="20"/>
              </w:rPr>
            </w:pPr>
            <w:r>
              <w:rPr>
                <w:b/>
                <w:spacing w:val="-2"/>
                <w:sz w:val="20"/>
              </w:rPr>
              <w:t>(72.1%)</w:t>
            </w:r>
          </w:p>
        </w:tc>
      </w:tr>
      <w:tr>
        <w:trPr>
          <w:trHeight w:val="292" w:hRule="atLeast"/>
        </w:trPr>
        <w:tc>
          <w:tcPr>
            <w:tcW w:w="4380" w:type="dxa"/>
            <w:tcBorders>
              <w:left w:val="single" w:sz="12" w:space="0" w:color="000000"/>
              <w:bottom w:val="single" w:sz="12" w:space="0" w:color="000000"/>
            </w:tcBorders>
          </w:tcPr>
          <w:p>
            <w:pPr>
              <w:pStyle w:val="TableParagraph"/>
              <w:spacing w:before="26"/>
              <w:ind w:left="107"/>
              <w:rPr>
                <w:b/>
                <w:sz w:val="20"/>
              </w:rPr>
            </w:pPr>
            <w:r>
              <w:rPr>
                <w:b/>
                <w:sz w:val="20"/>
              </w:rPr>
              <w:t>Total</w:t>
            </w:r>
            <w:r>
              <w:rPr>
                <w:b/>
                <w:spacing w:val="-6"/>
                <w:sz w:val="20"/>
              </w:rPr>
              <w:t> </w:t>
            </w:r>
            <w:r>
              <w:rPr>
                <w:b/>
                <w:spacing w:val="-2"/>
                <w:sz w:val="20"/>
              </w:rPr>
              <w:t>Grants</w:t>
            </w:r>
          </w:p>
        </w:tc>
        <w:tc>
          <w:tcPr>
            <w:tcW w:w="1562" w:type="dxa"/>
            <w:tcBorders>
              <w:top w:val="single" w:sz="12" w:space="0" w:color="000000"/>
              <w:bottom w:val="single" w:sz="12" w:space="0" w:color="000000"/>
            </w:tcBorders>
          </w:tcPr>
          <w:p>
            <w:pPr>
              <w:pStyle w:val="TableParagraph"/>
              <w:spacing w:before="26"/>
              <w:ind w:right="93"/>
              <w:jc w:val="right"/>
              <w:rPr>
                <w:b/>
                <w:sz w:val="20"/>
              </w:rPr>
            </w:pPr>
            <w:r>
              <w:rPr>
                <w:b/>
                <w:spacing w:val="-2"/>
                <w:sz w:val="20"/>
              </w:rPr>
              <w:t>36,298</w:t>
            </w:r>
          </w:p>
        </w:tc>
        <w:tc>
          <w:tcPr>
            <w:tcW w:w="1684" w:type="dxa"/>
            <w:tcBorders>
              <w:top w:val="single" w:sz="18" w:space="0" w:color="000000"/>
              <w:bottom w:val="single" w:sz="12" w:space="0" w:color="000000"/>
            </w:tcBorders>
            <w:shd w:val="clear" w:color="auto" w:fill="DDEBF6"/>
          </w:tcPr>
          <w:p>
            <w:pPr>
              <w:pStyle w:val="TableParagraph"/>
              <w:spacing w:before="26"/>
              <w:ind w:right="92"/>
              <w:jc w:val="right"/>
              <w:rPr>
                <w:b/>
                <w:sz w:val="20"/>
              </w:rPr>
            </w:pPr>
            <w:r>
              <w:rPr>
                <w:b/>
                <w:spacing w:val="-2"/>
                <w:sz w:val="20"/>
              </w:rPr>
              <w:t>15,365</w:t>
            </w:r>
          </w:p>
        </w:tc>
        <w:tc>
          <w:tcPr>
            <w:tcW w:w="1813" w:type="dxa"/>
            <w:tcBorders>
              <w:top w:val="single" w:sz="12" w:space="0" w:color="000000"/>
              <w:bottom w:val="single" w:sz="12" w:space="0" w:color="000000"/>
            </w:tcBorders>
          </w:tcPr>
          <w:p>
            <w:pPr>
              <w:pStyle w:val="TableParagraph"/>
              <w:spacing w:before="26"/>
              <w:ind w:right="436"/>
              <w:jc w:val="right"/>
              <w:rPr>
                <w:b/>
                <w:sz w:val="20"/>
              </w:rPr>
            </w:pPr>
            <w:r>
              <w:rPr>
                <w:b/>
                <w:spacing w:val="-2"/>
                <w:sz w:val="20"/>
              </w:rPr>
              <w:t>(20,933)</w:t>
            </w:r>
          </w:p>
        </w:tc>
        <w:tc>
          <w:tcPr>
            <w:tcW w:w="996" w:type="dxa"/>
            <w:tcBorders>
              <w:top w:val="single" w:sz="12" w:space="0" w:color="000000"/>
              <w:bottom w:val="single" w:sz="12" w:space="0" w:color="000000"/>
              <w:right w:val="single" w:sz="12" w:space="0" w:color="000000"/>
            </w:tcBorders>
          </w:tcPr>
          <w:p>
            <w:pPr>
              <w:pStyle w:val="TableParagraph"/>
              <w:spacing w:before="26"/>
              <w:ind w:right="77"/>
              <w:jc w:val="right"/>
              <w:rPr>
                <w:b/>
                <w:sz w:val="20"/>
              </w:rPr>
            </w:pPr>
            <w:r>
              <w:rPr>
                <w:b/>
                <w:spacing w:val="-2"/>
                <w:sz w:val="20"/>
              </w:rPr>
              <w:t>(57.7%)</w:t>
            </w:r>
          </w:p>
        </w:tc>
      </w:tr>
    </w:tbl>
    <w:p>
      <w:pPr>
        <w:spacing w:after="0"/>
        <w:jc w:val="right"/>
        <w:rPr>
          <w:sz w:val="20"/>
        </w:rPr>
        <w:sectPr>
          <w:pgSz w:w="11910" w:h="16840"/>
          <w:pgMar w:header="0" w:footer="375" w:top="620" w:bottom="560" w:left="460" w:right="160"/>
        </w:sectPr>
      </w:pPr>
    </w:p>
    <w:p>
      <w:pPr>
        <w:pStyle w:val="BodyText"/>
        <w:spacing w:before="81"/>
        <w:ind w:left="260" w:right="555"/>
        <w:jc w:val="both"/>
      </w:pPr>
      <w:r>
        <w:rPr/>
        <w:t>Operating</w:t>
      </w:r>
      <w:r>
        <w:rPr>
          <w:spacing w:val="-8"/>
        </w:rPr>
        <w:t> </w:t>
      </w:r>
      <w:r>
        <w:rPr/>
        <w:t>grants</w:t>
      </w:r>
      <w:r>
        <w:rPr>
          <w:spacing w:val="-6"/>
        </w:rPr>
        <w:t> </w:t>
      </w:r>
      <w:r>
        <w:rPr/>
        <w:t>include</w:t>
      </w:r>
      <w:r>
        <w:rPr>
          <w:spacing w:val="-8"/>
        </w:rPr>
        <w:t> </w:t>
      </w:r>
      <w:r>
        <w:rPr/>
        <w:t>all</w:t>
      </w:r>
      <w:r>
        <w:rPr>
          <w:spacing w:val="-8"/>
        </w:rPr>
        <w:t> </w:t>
      </w:r>
      <w:r>
        <w:rPr/>
        <w:t>monies</w:t>
      </w:r>
      <w:r>
        <w:rPr>
          <w:spacing w:val="-6"/>
        </w:rPr>
        <w:t> </w:t>
      </w:r>
      <w:r>
        <w:rPr/>
        <w:t>received</w:t>
      </w:r>
      <w:r>
        <w:rPr>
          <w:spacing w:val="-6"/>
        </w:rPr>
        <w:t> </w:t>
      </w:r>
      <w:r>
        <w:rPr/>
        <w:t>from</w:t>
      </w:r>
      <w:r>
        <w:rPr>
          <w:spacing w:val="-11"/>
        </w:rPr>
        <w:t> </w:t>
      </w:r>
      <w:r>
        <w:rPr/>
        <w:t>State</w:t>
      </w:r>
      <w:r>
        <w:rPr>
          <w:spacing w:val="-4"/>
        </w:rPr>
        <w:t> </w:t>
      </w:r>
      <w:r>
        <w:rPr/>
        <w:t>and</w:t>
      </w:r>
      <w:r>
        <w:rPr>
          <w:spacing w:val="-6"/>
        </w:rPr>
        <w:t> </w:t>
      </w:r>
      <w:r>
        <w:rPr/>
        <w:t>Federal</w:t>
      </w:r>
      <w:r>
        <w:rPr>
          <w:spacing w:val="-6"/>
        </w:rPr>
        <w:t> </w:t>
      </w:r>
      <w:r>
        <w:rPr/>
        <w:t>sources</w:t>
      </w:r>
      <w:r>
        <w:rPr>
          <w:spacing w:val="-4"/>
        </w:rPr>
        <w:t> </w:t>
      </w:r>
      <w:r>
        <w:rPr/>
        <w:t>for</w:t>
      </w:r>
      <w:r>
        <w:rPr>
          <w:spacing w:val="-7"/>
        </w:rPr>
        <w:t> </w:t>
      </w:r>
      <w:r>
        <w:rPr/>
        <w:t>the</w:t>
      </w:r>
      <w:r>
        <w:rPr>
          <w:spacing w:val="-6"/>
        </w:rPr>
        <w:t> </w:t>
      </w:r>
      <w:r>
        <w:rPr/>
        <w:t>purposes</w:t>
      </w:r>
      <w:r>
        <w:rPr>
          <w:spacing w:val="-6"/>
        </w:rPr>
        <w:t> </w:t>
      </w:r>
      <w:r>
        <w:rPr/>
        <w:t>of</w:t>
      </w:r>
      <w:r>
        <w:rPr>
          <w:spacing w:val="-6"/>
        </w:rPr>
        <w:t> </w:t>
      </w:r>
      <w:r>
        <w:rPr/>
        <w:t>funding</w:t>
      </w:r>
      <w:r>
        <w:rPr>
          <w:spacing w:val="-6"/>
        </w:rPr>
        <w:t> </w:t>
      </w:r>
      <w:r>
        <w:rPr/>
        <w:t>the delivery of Council’s services to ratepayers. Overall, the level of operating grants has decreased by $2.23 million</w:t>
      </w:r>
      <w:r>
        <w:rPr>
          <w:spacing w:val="-10"/>
        </w:rPr>
        <w:t> </w:t>
      </w:r>
      <w:r>
        <w:rPr/>
        <w:t>or</w:t>
      </w:r>
      <w:r>
        <w:rPr>
          <w:spacing w:val="-7"/>
        </w:rPr>
        <w:t> </w:t>
      </w:r>
      <w:r>
        <w:rPr/>
        <w:t>21.5%</w:t>
      </w:r>
      <w:r>
        <w:rPr>
          <w:spacing w:val="-8"/>
        </w:rPr>
        <w:t> </w:t>
      </w:r>
      <w:r>
        <w:rPr/>
        <w:t>compared</w:t>
      </w:r>
      <w:r>
        <w:rPr>
          <w:spacing w:val="-10"/>
        </w:rPr>
        <w:t> </w:t>
      </w:r>
      <w:r>
        <w:rPr/>
        <w:t>to</w:t>
      </w:r>
      <w:r>
        <w:rPr>
          <w:spacing w:val="-10"/>
        </w:rPr>
        <w:t> </w:t>
      </w:r>
      <w:r>
        <w:rPr/>
        <w:t>2024/25</w:t>
      </w:r>
      <w:r>
        <w:rPr>
          <w:spacing w:val="-8"/>
        </w:rPr>
        <w:t> </w:t>
      </w:r>
      <w:r>
        <w:rPr/>
        <w:t>levels.</w:t>
      </w:r>
      <w:r>
        <w:rPr>
          <w:spacing w:val="-8"/>
        </w:rPr>
        <w:t> </w:t>
      </w:r>
      <w:r>
        <w:rPr/>
        <w:t>The</w:t>
      </w:r>
      <w:r>
        <w:rPr>
          <w:spacing w:val="-10"/>
        </w:rPr>
        <w:t> </w:t>
      </w:r>
      <w:r>
        <w:rPr/>
        <w:t>decrease</w:t>
      </w:r>
      <w:r>
        <w:rPr>
          <w:spacing w:val="-11"/>
        </w:rPr>
        <w:t> </w:t>
      </w:r>
      <w:r>
        <w:rPr/>
        <w:t>mainly</w:t>
      </w:r>
      <w:r>
        <w:rPr>
          <w:spacing w:val="-8"/>
        </w:rPr>
        <w:t> </w:t>
      </w:r>
      <w:r>
        <w:rPr/>
        <w:t>relates</w:t>
      </w:r>
      <w:r>
        <w:rPr>
          <w:spacing w:val="-11"/>
        </w:rPr>
        <w:t> </w:t>
      </w:r>
      <w:r>
        <w:rPr/>
        <w:t>to</w:t>
      </w:r>
      <w:r>
        <w:rPr>
          <w:spacing w:val="-8"/>
        </w:rPr>
        <w:t> </w:t>
      </w:r>
      <w:r>
        <w:rPr/>
        <w:t>Non</w:t>
      </w:r>
      <w:r>
        <w:rPr>
          <w:spacing w:val="-10"/>
        </w:rPr>
        <w:t> </w:t>
      </w:r>
      <w:r>
        <w:rPr/>
        <w:t>Recurrent</w:t>
      </w:r>
      <w:r>
        <w:rPr>
          <w:spacing w:val="-10"/>
        </w:rPr>
        <w:t> </w:t>
      </w:r>
      <w:r>
        <w:rPr/>
        <w:t>Grants</w:t>
      </w:r>
      <w:r>
        <w:rPr>
          <w:spacing w:val="-11"/>
        </w:rPr>
        <w:t> </w:t>
      </w:r>
      <w:r>
        <w:rPr/>
        <w:t>received or carried forward in 2024/25.</w:t>
      </w:r>
    </w:p>
    <w:p>
      <w:pPr>
        <w:pStyle w:val="BodyText"/>
      </w:pPr>
    </w:p>
    <w:p>
      <w:pPr>
        <w:pStyle w:val="BodyText"/>
        <w:ind w:left="260" w:right="553"/>
        <w:jc w:val="both"/>
      </w:pPr>
      <w:r>
        <w:rPr/>
        <w:t>Capital grants (non-recurrent) include all monies received from State, Federal and community sources for the</w:t>
      </w:r>
      <w:r>
        <w:rPr>
          <w:spacing w:val="23"/>
        </w:rPr>
        <w:t> </w:t>
      </w:r>
      <w:r>
        <w:rPr/>
        <w:t>purposes</w:t>
      </w:r>
      <w:r>
        <w:rPr>
          <w:spacing w:val="22"/>
        </w:rPr>
        <w:t> </w:t>
      </w:r>
      <w:r>
        <w:rPr/>
        <w:t>of</w:t>
      </w:r>
      <w:r>
        <w:rPr>
          <w:spacing w:val="23"/>
        </w:rPr>
        <w:t> </w:t>
      </w:r>
      <w:r>
        <w:rPr/>
        <w:t>funding</w:t>
      </w:r>
      <w:r>
        <w:rPr>
          <w:spacing w:val="24"/>
        </w:rPr>
        <w:t> </w:t>
      </w:r>
      <w:r>
        <w:rPr/>
        <w:t>the</w:t>
      </w:r>
      <w:r>
        <w:rPr>
          <w:spacing w:val="22"/>
        </w:rPr>
        <w:t> </w:t>
      </w:r>
      <w:r>
        <w:rPr/>
        <w:t>capital</w:t>
      </w:r>
      <w:r>
        <w:rPr>
          <w:spacing w:val="22"/>
        </w:rPr>
        <w:t> </w:t>
      </w:r>
      <w:r>
        <w:rPr/>
        <w:t>works</w:t>
      </w:r>
      <w:r>
        <w:rPr>
          <w:spacing w:val="22"/>
        </w:rPr>
        <w:t> </w:t>
      </w:r>
      <w:r>
        <w:rPr/>
        <w:t>program.</w:t>
      </w:r>
      <w:r>
        <w:rPr>
          <w:spacing w:val="20"/>
        </w:rPr>
        <w:t> </w:t>
      </w:r>
      <w:r>
        <w:rPr/>
        <w:t>Overall,</w:t>
      </w:r>
      <w:r>
        <w:rPr>
          <w:spacing w:val="22"/>
        </w:rPr>
        <w:t> </w:t>
      </w:r>
      <w:r>
        <w:rPr/>
        <w:t>the</w:t>
      </w:r>
      <w:r>
        <w:rPr>
          <w:spacing w:val="22"/>
        </w:rPr>
        <w:t> </w:t>
      </w:r>
      <w:r>
        <w:rPr/>
        <w:t>level</w:t>
      </w:r>
      <w:r>
        <w:rPr>
          <w:spacing w:val="24"/>
        </w:rPr>
        <w:t> </w:t>
      </w:r>
      <w:r>
        <w:rPr/>
        <w:t>of</w:t>
      </w:r>
      <w:r>
        <w:rPr>
          <w:spacing w:val="22"/>
        </w:rPr>
        <w:t> </w:t>
      </w:r>
      <w:r>
        <w:rPr/>
        <w:t>capital</w:t>
      </w:r>
      <w:r>
        <w:rPr>
          <w:spacing w:val="24"/>
        </w:rPr>
        <w:t> </w:t>
      </w:r>
      <w:r>
        <w:rPr/>
        <w:t>grants</w:t>
      </w:r>
      <w:r>
        <w:rPr>
          <w:spacing w:val="24"/>
        </w:rPr>
        <w:t> </w:t>
      </w:r>
      <w:r>
        <w:rPr/>
        <w:t>has</w:t>
      </w:r>
      <w:r>
        <w:rPr>
          <w:spacing w:val="24"/>
        </w:rPr>
        <w:t> </w:t>
      </w:r>
      <w:r>
        <w:rPr/>
        <w:t>decreased</w:t>
      </w:r>
      <w:r>
        <w:rPr>
          <w:spacing w:val="24"/>
        </w:rPr>
        <w:t> </w:t>
      </w:r>
      <w:r>
        <w:rPr>
          <w:spacing w:val="-5"/>
        </w:rPr>
        <w:t>by</w:t>
      </w:r>
    </w:p>
    <w:p>
      <w:pPr>
        <w:pStyle w:val="BodyText"/>
        <w:spacing w:before="1"/>
        <w:ind w:left="260" w:right="553"/>
        <w:jc w:val="both"/>
      </w:pPr>
      <w:r>
        <w:rPr/>
        <w:t>$18.71</w:t>
      </w:r>
      <w:r>
        <w:rPr>
          <w:spacing w:val="-8"/>
        </w:rPr>
        <w:t> </w:t>
      </w:r>
      <w:r>
        <w:rPr/>
        <w:t>million</w:t>
      </w:r>
      <w:r>
        <w:rPr>
          <w:spacing w:val="-8"/>
        </w:rPr>
        <w:t> </w:t>
      </w:r>
      <w:r>
        <w:rPr/>
        <w:t>or</w:t>
      </w:r>
      <w:r>
        <w:rPr>
          <w:spacing w:val="-6"/>
        </w:rPr>
        <w:t> </w:t>
      </w:r>
      <w:r>
        <w:rPr/>
        <w:t>72.1%</w:t>
      </w:r>
      <w:r>
        <w:rPr>
          <w:spacing w:val="-8"/>
        </w:rPr>
        <w:t> </w:t>
      </w:r>
      <w:r>
        <w:rPr/>
        <w:t>compared</w:t>
      </w:r>
      <w:r>
        <w:rPr>
          <w:spacing w:val="-12"/>
        </w:rPr>
        <w:t> </w:t>
      </w:r>
      <w:r>
        <w:rPr/>
        <w:t>to</w:t>
      </w:r>
      <w:r>
        <w:rPr>
          <w:spacing w:val="-10"/>
        </w:rPr>
        <w:t> </w:t>
      </w:r>
      <w:r>
        <w:rPr/>
        <w:t>2024/25,</w:t>
      </w:r>
      <w:r>
        <w:rPr>
          <w:spacing w:val="-8"/>
        </w:rPr>
        <w:t> </w:t>
      </w:r>
      <w:r>
        <w:rPr/>
        <w:t>Specific</w:t>
      </w:r>
      <w:r>
        <w:rPr>
          <w:spacing w:val="-11"/>
        </w:rPr>
        <w:t> </w:t>
      </w:r>
      <w:r>
        <w:rPr/>
        <w:t>funding</w:t>
      </w:r>
      <w:r>
        <w:rPr>
          <w:spacing w:val="-6"/>
        </w:rPr>
        <w:t> </w:t>
      </w:r>
      <w:r>
        <w:rPr/>
        <w:t>in</w:t>
      </w:r>
      <w:r>
        <w:rPr>
          <w:spacing w:val="-10"/>
        </w:rPr>
        <w:t> </w:t>
      </w:r>
      <w:r>
        <w:rPr/>
        <w:t>2024/2025</w:t>
      </w:r>
      <w:r>
        <w:rPr>
          <w:spacing w:val="-6"/>
        </w:rPr>
        <w:t> </w:t>
      </w:r>
      <w:r>
        <w:rPr/>
        <w:t>is</w:t>
      </w:r>
      <w:r>
        <w:rPr>
          <w:spacing w:val="-8"/>
        </w:rPr>
        <w:t> </w:t>
      </w:r>
      <w:r>
        <w:rPr/>
        <w:t>the</w:t>
      </w:r>
      <w:r>
        <w:rPr>
          <w:spacing w:val="-8"/>
        </w:rPr>
        <w:t> </w:t>
      </w:r>
      <w:r>
        <w:rPr/>
        <w:t>Ringwood</w:t>
      </w:r>
      <w:r>
        <w:rPr>
          <w:spacing w:val="-6"/>
        </w:rPr>
        <w:t> </w:t>
      </w:r>
      <w:r>
        <w:rPr/>
        <w:t>Activity</w:t>
      </w:r>
      <w:r>
        <w:rPr>
          <w:spacing w:val="-8"/>
        </w:rPr>
        <w:t> </w:t>
      </w:r>
      <w:r>
        <w:rPr/>
        <w:t>Centre Car Park of $23.3</w:t>
      </w:r>
      <w:r>
        <w:rPr>
          <w:spacing w:val="-4"/>
        </w:rPr>
        <w:t> </w:t>
      </w:r>
      <w:r>
        <w:rPr/>
        <w:t>million which</w:t>
      </w:r>
      <w:r>
        <w:rPr>
          <w:spacing w:val="-1"/>
        </w:rPr>
        <w:t> </w:t>
      </w:r>
      <w:r>
        <w:rPr/>
        <w:t>was a carried forward project. Section 4.5</w:t>
      </w:r>
      <w:r>
        <w:rPr>
          <w:spacing w:val="-1"/>
        </w:rPr>
        <w:t> </w:t>
      </w:r>
      <w:r>
        <w:rPr/>
        <w:t>“Capital works program” includes an analysis of the grants and contributions expected to be received during the 2025/26 year.</w:t>
      </w:r>
    </w:p>
    <w:p>
      <w:pPr>
        <w:pStyle w:val="BodyText"/>
        <w:spacing w:before="10"/>
        <w:rPr>
          <w:sz w:val="21"/>
        </w:rPr>
      </w:pPr>
    </w:p>
    <w:p>
      <w:pPr>
        <w:pStyle w:val="Heading4"/>
        <w:numPr>
          <w:ilvl w:val="2"/>
          <w:numId w:val="59"/>
        </w:numPr>
        <w:tabs>
          <w:tab w:pos="862" w:val="left" w:leader="none"/>
        </w:tabs>
        <w:spacing w:line="240" w:lineRule="auto" w:before="0" w:after="0"/>
        <w:ind w:left="861" w:right="0" w:hanging="602"/>
        <w:jc w:val="left"/>
      </w:pPr>
      <w:r>
        <w:rPr>
          <w:color w:val="4966AC"/>
          <w:spacing w:val="-2"/>
        </w:rPr>
        <w:t>Contributions</w:t>
      </w:r>
    </w:p>
    <w:p>
      <w:pPr>
        <w:pStyle w:val="BodyText"/>
        <w:spacing w:before="1" w:after="1"/>
        <w:rPr>
          <w:b/>
          <w:sz w:val="23"/>
        </w:rPr>
      </w:pPr>
    </w:p>
    <w:tbl>
      <w:tblPr>
        <w:tblW w:w="0" w:type="auto"/>
        <w:jc w:val="left"/>
        <w:tblInd w:w="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05"/>
        <w:gridCol w:w="1457"/>
        <w:gridCol w:w="1476"/>
        <w:gridCol w:w="1741"/>
        <w:gridCol w:w="959"/>
      </w:tblGrid>
      <w:tr>
        <w:trPr>
          <w:trHeight w:val="1020" w:hRule="atLeast"/>
        </w:trPr>
        <w:tc>
          <w:tcPr>
            <w:tcW w:w="6262" w:type="dxa"/>
            <w:gridSpan w:val="2"/>
            <w:tcBorders>
              <w:top w:val="single" w:sz="18" w:space="0" w:color="000000"/>
              <w:left w:val="single" w:sz="12" w:space="0" w:color="000000"/>
            </w:tcBorders>
            <w:shd w:val="clear" w:color="auto" w:fill="5B9AD4"/>
          </w:tcPr>
          <w:p>
            <w:pPr>
              <w:pStyle w:val="TableParagraph"/>
              <w:ind w:left="5257" w:hanging="101"/>
              <w:rPr>
                <w:b/>
                <w:sz w:val="18"/>
              </w:rPr>
            </w:pPr>
            <w:r>
              <w:rPr>
                <w:b/>
                <w:color w:val="FFFFFF"/>
                <w:spacing w:val="-2"/>
                <w:sz w:val="18"/>
              </w:rPr>
              <w:t>Forecast Actual</w:t>
            </w:r>
          </w:p>
          <w:p>
            <w:pPr>
              <w:pStyle w:val="TableParagraph"/>
              <w:spacing w:before="44"/>
              <w:ind w:left="5207"/>
              <w:rPr>
                <w:b/>
                <w:sz w:val="18"/>
              </w:rPr>
            </w:pPr>
            <w:r>
              <w:rPr>
                <w:b/>
                <w:color w:val="FFFFFF"/>
                <w:spacing w:val="-2"/>
                <w:sz w:val="18"/>
              </w:rPr>
              <w:t>2024/25</w:t>
            </w:r>
          </w:p>
          <w:p>
            <w:pPr>
              <w:pStyle w:val="TableParagraph"/>
              <w:spacing w:before="100"/>
              <w:ind w:left="5305"/>
              <w:rPr>
                <w:b/>
                <w:sz w:val="18"/>
              </w:rPr>
            </w:pPr>
            <w:r>
              <w:rPr>
                <w:b/>
                <w:color w:val="FFFFFF"/>
                <w:spacing w:val="-2"/>
                <w:sz w:val="18"/>
              </w:rPr>
              <w:t>$’000</w:t>
            </w:r>
          </w:p>
        </w:tc>
        <w:tc>
          <w:tcPr>
            <w:tcW w:w="1476" w:type="dxa"/>
            <w:tcBorders>
              <w:top w:val="single" w:sz="18" w:space="0" w:color="000000"/>
            </w:tcBorders>
            <w:shd w:val="clear" w:color="auto" w:fill="5B9AD4"/>
          </w:tcPr>
          <w:p>
            <w:pPr>
              <w:pStyle w:val="TableParagraph"/>
              <w:spacing w:before="93"/>
              <w:ind w:left="411" w:right="384"/>
              <w:jc w:val="center"/>
              <w:rPr>
                <w:b/>
                <w:sz w:val="18"/>
              </w:rPr>
            </w:pPr>
            <w:r>
              <w:rPr>
                <w:b/>
                <w:color w:val="FFFFFF"/>
                <w:spacing w:val="-2"/>
                <w:sz w:val="18"/>
              </w:rPr>
              <w:t>Budget</w:t>
            </w:r>
          </w:p>
          <w:p>
            <w:pPr>
              <w:pStyle w:val="TableParagraph"/>
              <w:spacing w:before="158"/>
              <w:ind w:left="411" w:right="387"/>
              <w:jc w:val="center"/>
              <w:rPr>
                <w:b/>
                <w:sz w:val="18"/>
              </w:rPr>
            </w:pPr>
            <w:r>
              <w:rPr>
                <w:b/>
                <w:color w:val="FFFFFF"/>
                <w:spacing w:val="-2"/>
                <w:sz w:val="18"/>
              </w:rPr>
              <w:t>2025/26</w:t>
            </w:r>
          </w:p>
          <w:p>
            <w:pPr>
              <w:pStyle w:val="TableParagraph"/>
              <w:spacing w:before="100"/>
              <w:ind w:left="411" w:right="384"/>
              <w:jc w:val="center"/>
              <w:rPr>
                <w:b/>
                <w:sz w:val="18"/>
              </w:rPr>
            </w:pPr>
            <w:r>
              <w:rPr>
                <w:b/>
                <w:color w:val="FFFFFF"/>
                <w:spacing w:val="-2"/>
                <w:sz w:val="18"/>
              </w:rPr>
              <w:t>$’000</w:t>
            </w:r>
          </w:p>
        </w:tc>
        <w:tc>
          <w:tcPr>
            <w:tcW w:w="1741" w:type="dxa"/>
            <w:tcBorders>
              <w:top w:val="single" w:sz="18" w:space="0" w:color="000000"/>
            </w:tcBorders>
            <w:shd w:val="clear" w:color="auto" w:fill="5B9AD4"/>
          </w:tcPr>
          <w:p>
            <w:pPr>
              <w:pStyle w:val="TableParagraph"/>
              <w:spacing w:before="9"/>
              <w:rPr>
                <w:b/>
                <w:sz w:val="21"/>
              </w:rPr>
            </w:pPr>
          </w:p>
          <w:p>
            <w:pPr>
              <w:pStyle w:val="TableParagraph"/>
              <w:spacing w:before="1"/>
              <w:ind w:left="1033"/>
              <w:rPr>
                <w:b/>
                <w:sz w:val="18"/>
              </w:rPr>
            </w:pPr>
            <w:r>
              <w:rPr>
                <w:b/>
                <w:color w:val="FFFFFF"/>
                <w:spacing w:val="-2"/>
                <w:sz w:val="18"/>
              </w:rPr>
              <w:t>Change</w:t>
            </w:r>
          </w:p>
          <w:p>
            <w:pPr>
              <w:pStyle w:val="TableParagraph"/>
              <w:spacing w:before="7"/>
              <w:rPr>
                <w:b/>
                <w:sz w:val="26"/>
              </w:rPr>
            </w:pPr>
          </w:p>
          <w:p>
            <w:pPr>
              <w:pStyle w:val="TableParagraph"/>
              <w:ind w:left="465"/>
              <w:rPr>
                <w:b/>
                <w:sz w:val="18"/>
              </w:rPr>
            </w:pPr>
            <w:r>
              <w:rPr>
                <w:b/>
                <w:color w:val="FFFFFF"/>
                <w:spacing w:val="-2"/>
                <w:sz w:val="18"/>
              </w:rPr>
              <w:t>$’000</w:t>
            </w:r>
          </w:p>
        </w:tc>
        <w:tc>
          <w:tcPr>
            <w:tcW w:w="959" w:type="dxa"/>
            <w:tcBorders>
              <w:top w:val="single" w:sz="18" w:space="0" w:color="000000"/>
              <w:right w:val="single" w:sz="12" w:space="0" w:color="000000"/>
            </w:tcBorders>
            <w:shd w:val="clear" w:color="auto" w:fill="5B9AD4"/>
          </w:tcPr>
          <w:p>
            <w:pPr>
              <w:pStyle w:val="TableParagraph"/>
              <w:rPr>
                <w:b/>
                <w:sz w:val="20"/>
              </w:rPr>
            </w:pPr>
          </w:p>
          <w:p>
            <w:pPr>
              <w:pStyle w:val="TableParagraph"/>
              <w:rPr>
                <w:b/>
                <w:sz w:val="20"/>
              </w:rPr>
            </w:pPr>
          </w:p>
          <w:p>
            <w:pPr>
              <w:pStyle w:val="TableParagraph"/>
              <w:spacing w:before="6"/>
              <w:rPr>
                <w:b/>
                <w:sz w:val="26"/>
              </w:rPr>
            </w:pPr>
          </w:p>
          <w:p>
            <w:pPr>
              <w:pStyle w:val="TableParagraph"/>
              <w:ind w:left="57"/>
              <w:rPr>
                <w:b/>
                <w:sz w:val="18"/>
              </w:rPr>
            </w:pPr>
            <w:r>
              <w:rPr>
                <w:b/>
                <w:color w:val="FFFFFF"/>
                <w:spacing w:val="-2"/>
                <w:sz w:val="18"/>
              </w:rPr>
              <w:t>$’000</w:t>
            </w:r>
          </w:p>
        </w:tc>
      </w:tr>
      <w:tr>
        <w:trPr>
          <w:trHeight w:val="305" w:hRule="atLeast"/>
        </w:trPr>
        <w:tc>
          <w:tcPr>
            <w:tcW w:w="4805" w:type="dxa"/>
            <w:tcBorders>
              <w:left w:val="single" w:sz="12" w:space="0" w:color="000000"/>
            </w:tcBorders>
          </w:tcPr>
          <w:p>
            <w:pPr>
              <w:pStyle w:val="TableParagraph"/>
              <w:spacing w:before="33"/>
              <w:ind w:left="107"/>
              <w:rPr>
                <w:sz w:val="20"/>
              </w:rPr>
            </w:pPr>
            <w:r>
              <w:rPr>
                <w:spacing w:val="-2"/>
                <w:sz w:val="20"/>
              </w:rPr>
              <w:t>Monetary</w:t>
            </w:r>
          </w:p>
        </w:tc>
        <w:tc>
          <w:tcPr>
            <w:tcW w:w="1457" w:type="dxa"/>
          </w:tcPr>
          <w:p>
            <w:pPr>
              <w:pStyle w:val="TableParagraph"/>
              <w:spacing w:before="33"/>
              <w:ind w:right="93"/>
              <w:jc w:val="right"/>
              <w:rPr>
                <w:b/>
                <w:sz w:val="20"/>
              </w:rPr>
            </w:pPr>
            <w:r>
              <w:rPr>
                <w:b/>
                <w:spacing w:val="-2"/>
                <w:sz w:val="20"/>
              </w:rPr>
              <w:t>8,571</w:t>
            </w:r>
          </w:p>
        </w:tc>
        <w:tc>
          <w:tcPr>
            <w:tcW w:w="1476" w:type="dxa"/>
            <w:shd w:val="clear" w:color="auto" w:fill="DDEBF6"/>
          </w:tcPr>
          <w:p>
            <w:pPr>
              <w:pStyle w:val="TableParagraph"/>
              <w:spacing w:before="33"/>
              <w:ind w:right="95"/>
              <w:jc w:val="right"/>
              <w:rPr>
                <w:b/>
                <w:sz w:val="20"/>
              </w:rPr>
            </w:pPr>
            <w:r>
              <w:rPr>
                <w:b/>
                <w:spacing w:val="-2"/>
                <w:sz w:val="20"/>
              </w:rPr>
              <w:t>6,919</w:t>
            </w:r>
          </w:p>
        </w:tc>
        <w:tc>
          <w:tcPr>
            <w:tcW w:w="1741" w:type="dxa"/>
          </w:tcPr>
          <w:p>
            <w:pPr>
              <w:pStyle w:val="TableParagraph"/>
              <w:spacing w:before="33"/>
              <w:ind w:right="482"/>
              <w:jc w:val="right"/>
              <w:rPr>
                <w:sz w:val="20"/>
              </w:rPr>
            </w:pPr>
            <w:r>
              <w:rPr>
                <w:spacing w:val="-2"/>
                <w:sz w:val="20"/>
              </w:rPr>
              <w:t>(1,652)</w:t>
            </w:r>
          </w:p>
        </w:tc>
        <w:tc>
          <w:tcPr>
            <w:tcW w:w="959" w:type="dxa"/>
            <w:tcBorders>
              <w:right w:val="single" w:sz="12" w:space="0" w:color="000000"/>
            </w:tcBorders>
          </w:tcPr>
          <w:p>
            <w:pPr>
              <w:pStyle w:val="TableParagraph"/>
              <w:spacing w:before="33"/>
              <w:ind w:right="81"/>
              <w:jc w:val="right"/>
              <w:rPr>
                <w:sz w:val="20"/>
              </w:rPr>
            </w:pPr>
            <w:r>
              <w:rPr>
                <w:spacing w:val="-2"/>
                <w:sz w:val="20"/>
              </w:rPr>
              <w:t>(19.3%)</w:t>
            </w:r>
          </w:p>
        </w:tc>
      </w:tr>
      <w:tr>
        <w:trPr>
          <w:trHeight w:val="302" w:hRule="atLeast"/>
        </w:trPr>
        <w:tc>
          <w:tcPr>
            <w:tcW w:w="4805" w:type="dxa"/>
            <w:tcBorders>
              <w:left w:val="single" w:sz="12" w:space="0" w:color="000000"/>
            </w:tcBorders>
          </w:tcPr>
          <w:p>
            <w:pPr>
              <w:pStyle w:val="TableParagraph"/>
              <w:spacing w:before="35"/>
              <w:ind w:left="107"/>
              <w:rPr>
                <w:sz w:val="20"/>
              </w:rPr>
            </w:pPr>
            <w:r>
              <w:rPr>
                <w:w w:val="95"/>
                <w:sz w:val="20"/>
              </w:rPr>
              <w:t>Non-</w:t>
            </w:r>
            <w:r>
              <w:rPr>
                <w:spacing w:val="-2"/>
                <w:sz w:val="20"/>
              </w:rPr>
              <w:t>monetary</w:t>
            </w:r>
          </w:p>
        </w:tc>
        <w:tc>
          <w:tcPr>
            <w:tcW w:w="1457" w:type="dxa"/>
            <w:tcBorders>
              <w:bottom w:val="single" w:sz="12" w:space="0" w:color="000000"/>
            </w:tcBorders>
          </w:tcPr>
          <w:p>
            <w:pPr>
              <w:pStyle w:val="TableParagraph"/>
              <w:spacing w:before="35"/>
              <w:ind w:right="91"/>
              <w:jc w:val="right"/>
              <w:rPr>
                <w:sz w:val="20"/>
              </w:rPr>
            </w:pPr>
            <w:r>
              <w:rPr>
                <w:w w:val="99"/>
                <w:sz w:val="20"/>
              </w:rPr>
              <w:t>0</w:t>
            </w:r>
          </w:p>
        </w:tc>
        <w:tc>
          <w:tcPr>
            <w:tcW w:w="1476" w:type="dxa"/>
            <w:tcBorders>
              <w:bottom w:val="single" w:sz="18" w:space="0" w:color="000000"/>
            </w:tcBorders>
            <w:shd w:val="clear" w:color="auto" w:fill="DDEBF6"/>
          </w:tcPr>
          <w:p>
            <w:pPr>
              <w:pStyle w:val="TableParagraph"/>
              <w:spacing w:before="35"/>
              <w:ind w:right="94"/>
              <w:jc w:val="right"/>
              <w:rPr>
                <w:b/>
                <w:sz w:val="20"/>
              </w:rPr>
            </w:pPr>
            <w:r>
              <w:rPr>
                <w:b/>
                <w:w w:val="99"/>
                <w:sz w:val="20"/>
              </w:rPr>
              <w:t>0</w:t>
            </w:r>
          </w:p>
        </w:tc>
        <w:tc>
          <w:tcPr>
            <w:tcW w:w="1741" w:type="dxa"/>
            <w:tcBorders>
              <w:bottom w:val="single" w:sz="18" w:space="0" w:color="000000"/>
            </w:tcBorders>
          </w:tcPr>
          <w:p>
            <w:pPr>
              <w:pStyle w:val="TableParagraph"/>
              <w:spacing w:before="35"/>
              <w:ind w:right="479"/>
              <w:jc w:val="right"/>
              <w:rPr>
                <w:sz w:val="20"/>
              </w:rPr>
            </w:pPr>
            <w:r>
              <w:rPr>
                <w:w w:val="99"/>
                <w:sz w:val="20"/>
              </w:rPr>
              <w:t>0</w:t>
            </w:r>
          </w:p>
        </w:tc>
        <w:tc>
          <w:tcPr>
            <w:tcW w:w="959" w:type="dxa"/>
            <w:tcBorders>
              <w:bottom w:val="single" w:sz="18" w:space="0" w:color="000000"/>
              <w:right w:val="single" w:sz="12" w:space="0" w:color="000000"/>
            </w:tcBorders>
          </w:tcPr>
          <w:p>
            <w:pPr>
              <w:pStyle w:val="TableParagraph"/>
              <w:spacing w:before="35"/>
              <w:ind w:right="80"/>
              <w:jc w:val="right"/>
              <w:rPr>
                <w:sz w:val="20"/>
              </w:rPr>
            </w:pPr>
            <w:r>
              <w:rPr>
                <w:spacing w:val="-4"/>
                <w:sz w:val="20"/>
              </w:rPr>
              <w:t>0.0%</w:t>
            </w:r>
          </w:p>
        </w:tc>
      </w:tr>
      <w:tr>
        <w:trPr>
          <w:trHeight w:val="306" w:hRule="atLeast"/>
        </w:trPr>
        <w:tc>
          <w:tcPr>
            <w:tcW w:w="4805" w:type="dxa"/>
            <w:tcBorders>
              <w:left w:val="single" w:sz="12" w:space="0" w:color="000000"/>
              <w:bottom w:val="single" w:sz="12" w:space="0" w:color="000000"/>
            </w:tcBorders>
          </w:tcPr>
          <w:p>
            <w:pPr>
              <w:pStyle w:val="TableParagraph"/>
              <w:spacing w:line="210" w:lineRule="exact" w:before="76"/>
              <w:ind w:left="107"/>
              <w:rPr>
                <w:b/>
                <w:sz w:val="20"/>
              </w:rPr>
            </w:pPr>
            <w:r>
              <w:rPr>
                <w:b/>
                <w:sz w:val="20"/>
              </w:rPr>
              <w:t>Total</w:t>
            </w:r>
            <w:r>
              <w:rPr>
                <w:b/>
                <w:spacing w:val="-6"/>
                <w:sz w:val="20"/>
              </w:rPr>
              <w:t> </w:t>
            </w:r>
            <w:r>
              <w:rPr>
                <w:b/>
                <w:spacing w:val="-2"/>
                <w:sz w:val="20"/>
              </w:rPr>
              <w:t>contributions</w:t>
            </w:r>
          </w:p>
        </w:tc>
        <w:tc>
          <w:tcPr>
            <w:tcW w:w="1457" w:type="dxa"/>
            <w:tcBorders>
              <w:top w:val="single" w:sz="12" w:space="0" w:color="000000"/>
              <w:bottom w:val="single" w:sz="12" w:space="0" w:color="000000"/>
            </w:tcBorders>
          </w:tcPr>
          <w:p>
            <w:pPr>
              <w:pStyle w:val="TableParagraph"/>
              <w:spacing w:before="33"/>
              <w:ind w:right="93"/>
              <w:jc w:val="right"/>
              <w:rPr>
                <w:sz w:val="20"/>
              </w:rPr>
            </w:pPr>
            <w:r>
              <w:rPr>
                <w:spacing w:val="-2"/>
                <w:sz w:val="20"/>
              </w:rPr>
              <w:t>8,571</w:t>
            </w:r>
          </w:p>
        </w:tc>
        <w:tc>
          <w:tcPr>
            <w:tcW w:w="1476" w:type="dxa"/>
            <w:tcBorders>
              <w:top w:val="single" w:sz="18" w:space="0" w:color="000000"/>
              <w:bottom w:val="single" w:sz="12" w:space="0" w:color="000000"/>
            </w:tcBorders>
            <w:shd w:val="clear" w:color="auto" w:fill="DDEBF6"/>
          </w:tcPr>
          <w:p>
            <w:pPr>
              <w:pStyle w:val="TableParagraph"/>
              <w:spacing w:before="33"/>
              <w:ind w:right="95"/>
              <w:jc w:val="right"/>
              <w:rPr>
                <w:b/>
                <w:sz w:val="20"/>
              </w:rPr>
            </w:pPr>
            <w:r>
              <w:rPr>
                <w:b/>
                <w:spacing w:val="-2"/>
                <w:sz w:val="20"/>
              </w:rPr>
              <w:t>6,919</w:t>
            </w:r>
          </w:p>
        </w:tc>
        <w:tc>
          <w:tcPr>
            <w:tcW w:w="1741" w:type="dxa"/>
            <w:tcBorders>
              <w:top w:val="single" w:sz="18" w:space="0" w:color="000000"/>
              <w:bottom w:val="single" w:sz="12" w:space="0" w:color="000000"/>
            </w:tcBorders>
          </w:tcPr>
          <w:p>
            <w:pPr>
              <w:pStyle w:val="TableParagraph"/>
              <w:spacing w:before="33"/>
              <w:ind w:right="482"/>
              <w:jc w:val="right"/>
              <w:rPr>
                <w:sz w:val="20"/>
              </w:rPr>
            </w:pPr>
            <w:r>
              <w:rPr>
                <w:spacing w:val="-2"/>
                <w:sz w:val="20"/>
              </w:rPr>
              <w:t>(1,652)</w:t>
            </w:r>
          </w:p>
        </w:tc>
        <w:tc>
          <w:tcPr>
            <w:tcW w:w="959" w:type="dxa"/>
            <w:tcBorders>
              <w:top w:val="single" w:sz="18" w:space="0" w:color="000000"/>
              <w:bottom w:val="single" w:sz="12" w:space="0" w:color="000000"/>
              <w:right w:val="single" w:sz="12" w:space="0" w:color="000000"/>
            </w:tcBorders>
          </w:tcPr>
          <w:p>
            <w:pPr>
              <w:pStyle w:val="TableParagraph"/>
              <w:spacing w:before="33"/>
              <w:ind w:right="81"/>
              <w:jc w:val="right"/>
              <w:rPr>
                <w:sz w:val="20"/>
              </w:rPr>
            </w:pPr>
            <w:r>
              <w:rPr>
                <w:spacing w:val="-2"/>
                <w:sz w:val="20"/>
              </w:rPr>
              <w:t>(19.3%)</w:t>
            </w:r>
          </w:p>
        </w:tc>
      </w:tr>
    </w:tbl>
    <w:p>
      <w:pPr>
        <w:pStyle w:val="BodyText"/>
        <w:spacing w:before="3"/>
        <w:rPr>
          <w:b/>
          <w:sz w:val="23"/>
        </w:rPr>
      </w:pPr>
    </w:p>
    <w:p>
      <w:pPr>
        <w:pStyle w:val="BodyText"/>
        <w:ind w:left="260" w:right="555"/>
        <w:jc w:val="both"/>
      </w:pPr>
      <w:r>
        <w:rPr/>
        <w:t>Contributions Monetary are projected to decrease by $1.65 million or 19.3% compared to 2024/25 levels. This</w:t>
      </w:r>
      <w:r>
        <w:rPr>
          <w:spacing w:val="-14"/>
        </w:rPr>
        <w:t> </w:t>
      </w:r>
      <w:r>
        <w:rPr/>
        <w:t>is</w:t>
      </w:r>
      <w:r>
        <w:rPr>
          <w:spacing w:val="-13"/>
        </w:rPr>
        <w:t> </w:t>
      </w:r>
      <w:r>
        <w:rPr/>
        <w:t>primarily</w:t>
      </w:r>
      <w:r>
        <w:rPr>
          <w:spacing w:val="-13"/>
        </w:rPr>
        <w:t> </w:t>
      </w:r>
      <w:r>
        <w:rPr/>
        <w:t>due</w:t>
      </w:r>
      <w:r>
        <w:rPr>
          <w:spacing w:val="-13"/>
        </w:rPr>
        <w:t> </w:t>
      </w:r>
      <w:r>
        <w:rPr/>
        <w:t>to</w:t>
      </w:r>
      <w:r>
        <w:rPr>
          <w:spacing w:val="-14"/>
        </w:rPr>
        <w:t> </w:t>
      </w:r>
      <w:r>
        <w:rPr/>
        <w:t>capital</w:t>
      </w:r>
      <w:r>
        <w:rPr>
          <w:spacing w:val="-13"/>
        </w:rPr>
        <w:t> </w:t>
      </w:r>
      <w:r>
        <w:rPr/>
        <w:t>contributions</w:t>
      </w:r>
      <w:r>
        <w:rPr>
          <w:spacing w:val="-13"/>
        </w:rPr>
        <w:t> </w:t>
      </w:r>
      <w:r>
        <w:rPr/>
        <w:t>received</w:t>
      </w:r>
      <w:r>
        <w:rPr>
          <w:spacing w:val="-13"/>
        </w:rPr>
        <w:t> </w:t>
      </w:r>
      <w:r>
        <w:rPr/>
        <w:t>in</w:t>
      </w:r>
      <w:r>
        <w:rPr>
          <w:spacing w:val="-14"/>
        </w:rPr>
        <w:t> </w:t>
      </w:r>
      <w:r>
        <w:rPr/>
        <w:t>2024/25</w:t>
      </w:r>
      <w:r>
        <w:rPr>
          <w:spacing w:val="-15"/>
        </w:rPr>
        <w:t> </w:t>
      </w:r>
      <w:r>
        <w:rPr/>
        <w:t>for</w:t>
      </w:r>
      <w:r>
        <w:rPr>
          <w:spacing w:val="-13"/>
        </w:rPr>
        <w:t> </w:t>
      </w:r>
      <w:r>
        <w:rPr/>
        <w:t>projects</w:t>
      </w:r>
      <w:r>
        <w:rPr>
          <w:spacing w:val="-15"/>
        </w:rPr>
        <w:t> </w:t>
      </w:r>
      <w:r>
        <w:rPr/>
        <w:t>-</w:t>
      </w:r>
      <w:r>
        <w:rPr>
          <w:spacing w:val="-11"/>
        </w:rPr>
        <w:t> </w:t>
      </w:r>
      <w:r>
        <w:rPr/>
        <w:t>$1.77</w:t>
      </w:r>
      <w:r>
        <w:rPr>
          <w:spacing w:val="-16"/>
        </w:rPr>
        <w:t> </w:t>
      </w:r>
      <w:r>
        <w:rPr/>
        <w:t>million</w:t>
      </w:r>
      <w:r>
        <w:rPr>
          <w:spacing w:val="-13"/>
        </w:rPr>
        <w:t> </w:t>
      </w:r>
      <w:r>
        <w:rPr/>
        <w:t>compared</w:t>
      </w:r>
      <w:r>
        <w:rPr>
          <w:spacing w:val="-16"/>
        </w:rPr>
        <w:t> </w:t>
      </w:r>
      <w:r>
        <w:rPr/>
        <w:t>to</w:t>
      </w:r>
      <w:r>
        <w:rPr>
          <w:spacing w:val="-14"/>
        </w:rPr>
        <w:t> </w:t>
      </w:r>
      <w:r>
        <w:rPr/>
        <w:t>$0.22 million for 2025/26.</w:t>
      </w:r>
    </w:p>
    <w:p>
      <w:pPr>
        <w:pStyle w:val="BodyText"/>
        <w:spacing w:before="1"/>
      </w:pPr>
    </w:p>
    <w:p>
      <w:pPr>
        <w:pStyle w:val="Heading4"/>
        <w:numPr>
          <w:ilvl w:val="2"/>
          <w:numId w:val="59"/>
        </w:numPr>
        <w:tabs>
          <w:tab w:pos="862" w:val="left" w:leader="none"/>
        </w:tabs>
        <w:spacing w:line="240" w:lineRule="auto" w:before="0" w:after="0"/>
        <w:ind w:left="861" w:right="0" w:hanging="602"/>
        <w:jc w:val="left"/>
      </w:pPr>
      <w:r>
        <w:rPr>
          <w:color w:val="4966AC"/>
        </w:rPr>
        <w:t>Other </w:t>
      </w:r>
      <w:r>
        <w:rPr>
          <w:color w:val="4966AC"/>
          <w:spacing w:val="-2"/>
        </w:rPr>
        <w:t>income</w:t>
      </w:r>
    </w:p>
    <w:p>
      <w:pPr>
        <w:pStyle w:val="BodyText"/>
        <w:spacing w:before="11"/>
        <w:rPr>
          <w:b/>
        </w:rPr>
      </w:pPr>
    </w:p>
    <w:tbl>
      <w:tblPr>
        <w:tblW w:w="0" w:type="auto"/>
        <w:jc w:val="left"/>
        <w:tblInd w:w="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13"/>
        <w:gridCol w:w="1529"/>
        <w:gridCol w:w="1529"/>
        <w:gridCol w:w="1611"/>
        <w:gridCol w:w="856"/>
      </w:tblGrid>
      <w:tr>
        <w:trPr>
          <w:trHeight w:val="1070" w:hRule="atLeast"/>
        </w:trPr>
        <w:tc>
          <w:tcPr>
            <w:tcW w:w="6442" w:type="dxa"/>
            <w:gridSpan w:val="2"/>
            <w:tcBorders>
              <w:top w:val="single" w:sz="18" w:space="0" w:color="000000"/>
              <w:left w:val="single" w:sz="12" w:space="0" w:color="000000"/>
            </w:tcBorders>
            <w:shd w:val="clear" w:color="auto" w:fill="5B9AD4"/>
          </w:tcPr>
          <w:p>
            <w:pPr>
              <w:pStyle w:val="TableParagraph"/>
              <w:spacing w:before="23"/>
              <w:ind w:left="5300" w:right="356"/>
              <w:jc w:val="center"/>
              <w:rPr>
                <w:b/>
                <w:sz w:val="18"/>
              </w:rPr>
            </w:pPr>
            <w:r>
              <w:rPr>
                <w:b/>
                <w:color w:val="FFFFFF"/>
                <w:spacing w:val="-2"/>
                <w:sz w:val="18"/>
              </w:rPr>
              <w:t>Forecast Actual</w:t>
            </w:r>
          </w:p>
          <w:p>
            <w:pPr>
              <w:pStyle w:val="TableParagraph"/>
              <w:spacing w:before="81"/>
              <w:ind w:left="5298" w:right="356"/>
              <w:jc w:val="center"/>
              <w:rPr>
                <w:b/>
                <w:sz w:val="18"/>
              </w:rPr>
            </w:pPr>
            <w:r>
              <w:rPr>
                <w:b/>
                <w:color w:val="FFFFFF"/>
                <w:spacing w:val="-2"/>
                <w:sz w:val="18"/>
              </w:rPr>
              <w:t>2024/25</w:t>
            </w:r>
          </w:p>
          <w:p>
            <w:pPr>
              <w:pStyle w:val="TableParagraph"/>
              <w:spacing w:line="187" w:lineRule="exact" w:before="138"/>
              <w:ind w:left="5296" w:right="356"/>
              <w:jc w:val="center"/>
              <w:rPr>
                <w:b/>
                <w:sz w:val="18"/>
              </w:rPr>
            </w:pPr>
            <w:r>
              <w:rPr>
                <w:b/>
                <w:color w:val="FFFFFF"/>
                <w:spacing w:val="-2"/>
                <w:sz w:val="18"/>
              </w:rPr>
              <w:t>$’000</w:t>
            </w:r>
          </w:p>
        </w:tc>
        <w:tc>
          <w:tcPr>
            <w:tcW w:w="1529" w:type="dxa"/>
            <w:tcBorders>
              <w:top w:val="single" w:sz="18" w:space="0" w:color="000000"/>
            </w:tcBorders>
            <w:shd w:val="clear" w:color="auto" w:fill="5B9AD4"/>
          </w:tcPr>
          <w:p>
            <w:pPr>
              <w:pStyle w:val="TableParagraph"/>
              <w:spacing w:line="453" w:lineRule="auto" w:before="126"/>
              <w:ind w:left="453" w:right="422" w:hanging="2"/>
              <w:jc w:val="center"/>
              <w:rPr>
                <w:b/>
                <w:sz w:val="18"/>
              </w:rPr>
            </w:pPr>
            <w:r>
              <w:rPr>
                <w:b/>
                <w:color w:val="FFFFFF"/>
                <w:spacing w:val="-2"/>
                <w:sz w:val="18"/>
              </w:rPr>
              <w:t>Budget 2025/26</w:t>
            </w:r>
          </w:p>
          <w:p>
            <w:pPr>
              <w:pStyle w:val="TableParagraph"/>
              <w:spacing w:line="142" w:lineRule="exact"/>
              <w:ind w:left="537" w:right="510"/>
              <w:jc w:val="center"/>
              <w:rPr>
                <w:b/>
                <w:sz w:val="18"/>
              </w:rPr>
            </w:pPr>
            <w:r>
              <w:rPr>
                <w:b/>
                <w:color w:val="FFFFFF"/>
                <w:spacing w:val="-2"/>
                <w:sz w:val="18"/>
              </w:rPr>
              <w:t>$’000</w:t>
            </w:r>
          </w:p>
        </w:tc>
        <w:tc>
          <w:tcPr>
            <w:tcW w:w="1611" w:type="dxa"/>
            <w:tcBorders>
              <w:top w:val="single" w:sz="18" w:space="0" w:color="000000"/>
            </w:tcBorders>
            <w:shd w:val="clear" w:color="auto" w:fill="5B9AD4"/>
          </w:tcPr>
          <w:p>
            <w:pPr>
              <w:pStyle w:val="TableParagraph"/>
              <w:spacing w:before="1"/>
              <w:rPr>
                <w:b/>
                <w:sz w:val="24"/>
              </w:rPr>
            </w:pPr>
          </w:p>
          <w:p>
            <w:pPr>
              <w:pStyle w:val="TableParagraph"/>
              <w:spacing w:before="1"/>
              <w:ind w:left="916"/>
              <w:rPr>
                <w:b/>
                <w:sz w:val="18"/>
              </w:rPr>
            </w:pPr>
            <w:r>
              <w:rPr>
                <w:b/>
                <w:color w:val="FFFFFF"/>
                <w:spacing w:val="-2"/>
                <w:sz w:val="18"/>
              </w:rPr>
              <w:t>Change</w:t>
            </w:r>
          </w:p>
          <w:p>
            <w:pPr>
              <w:pStyle w:val="TableParagraph"/>
              <w:rPr>
                <w:b/>
                <w:sz w:val="20"/>
              </w:rPr>
            </w:pPr>
          </w:p>
          <w:p>
            <w:pPr>
              <w:pStyle w:val="TableParagraph"/>
              <w:spacing w:line="187" w:lineRule="exact" w:before="148"/>
              <w:ind w:left="388"/>
              <w:rPr>
                <w:b/>
                <w:sz w:val="18"/>
              </w:rPr>
            </w:pPr>
            <w:r>
              <w:rPr>
                <w:b/>
                <w:color w:val="FFFFFF"/>
                <w:spacing w:val="-2"/>
                <w:sz w:val="18"/>
              </w:rPr>
              <w:t>$’000</w:t>
            </w:r>
          </w:p>
        </w:tc>
        <w:tc>
          <w:tcPr>
            <w:tcW w:w="856" w:type="dxa"/>
            <w:tcBorders>
              <w:top w:val="single" w:sz="18" w:space="0" w:color="000000"/>
              <w:right w:val="single" w:sz="12" w:space="0" w:color="000000"/>
            </w:tcBorders>
            <w:shd w:val="clear" w:color="auto" w:fill="5B9AD4"/>
          </w:tcPr>
          <w:p>
            <w:pPr>
              <w:pStyle w:val="TableParagraph"/>
              <w:rPr>
                <w:b/>
                <w:sz w:val="20"/>
              </w:rPr>
            </w:pPr>
          </w:p>
          <w:p>
            <w:pPr>
              <w:pStyle w:val="TableParagraph"/>
              <w:rPr>
                <w:b/>
                <w:sz w:val="20"/>
              </w:rPr>
            </w:pPr>
          </w:p>
          <w:p>
            <w:pPr>
              <w:pStyle w:val="TableParagraph"/>
              <w:rPr>
                <w:b/>
                <w:sz w:val="20"/>
              </w:rPr>
            </w:pPr>
          </w:p>
          <w:p>
            <w:pPr>
              <w:pStyle w:val="TableParagraph"/>
              <w:spacing w:line="187" w:lineRule="exact" w:before="173"/>
              <w:ind w:left="142"/>
              <w:rPr>
                <w:b/>
                <w:sz w:val="18"/>
              </w:rPr>
            </w:pPr>
            <w:r>
              <w:rPr>
                <w:b/>
                <w:color w:val="FFFFFF"/>
                <w:sz w:val="18"/>
              </w:rPr>
              <w:t>%</w:t>
            </w:r>
          </w:p>
        </w:tc>
      </w:tr>
      <w:tr>
        <w:trPr>
          <w:trHeight w:val="320" w:hRule="atLeast"/>
        </w:trPr>
        <w:tc>
          <w:tcPr>
            <w:tcW w:w="4913" w:type="dxa"/>
            <w:tcBorders>
              <w:left w:val="single" w:sz="12" w:space="0" w:color="000000"/>
            </w:tcBorders>
          </w:tcPr>
          <w:p>
            <w:pPr>
              <w:pStyle w:val="TableParagraph"/>
              <w:spacing w:before="69"/>
              <w:ind w:left="107"/>
              <w:rPr>
                <w:sz w:val="20"/>
              </w:rPr>
            </w:pPr>
            <w:r>
              <w:rPr>
                <w:sz w:val="20"/>
              </w:rPr>
              <w:t>Interest</w:t>
            </w:r>
            <w:r>
              <w:rPr>
                <w:spacing w:val="-6"/>
                <w:sz w:val="20"/>
              </w:rPr>
              <w:t> </w:t>
            </w:r>
            <w:r>
              <w:rPr>
                <w:sz w:val="20"/>
              </w:rPr>
              <w:t>on</w:t>
            </w:r>
            <w:r>
              <w:rPr>
                <w:spacing w:val="-5"/>
                <w:sz w:val="20"/>
              </w:rPr>
              <w:t> </w:t>
            </w:r>
            <w:r>
              <w:rPr>
                <w:spacing w:val="-2"/>
                <w:sz w:val="20"/>
              </w:rPr>
              <w:t>investments</w:t>
            </w:r>
          </w:p>
        </w:tc>
        <w:tc>
          <w:tcPr>
            <w:tcW w:w="1529" w:type="dxa"/>
          </w:tcPr>
          <w:p>
            <w:pPr>
              <w:pStyle w:val="TableParagraph"/>
              <w:spacing w:before="35"/>
              <w:ind w:right="93"/>
              <w:jc w:val="right"/>
              <w:rPr>
                <w:sz w:val="20"/>
              </w:rPr>
            </w:pPr>
            <w:r>
              <w:rPr>
                <w:spacing w:val="-2"/>
                <w:sz w:val="20"/>
              </w:rPr>
              <w:t>3,404</w:t>
            </w:r>
          </w:p>
        </w:tc>
        <w:tc>
          <w:tcPr>
            <w:tcW w:w="1529" w:type="dxa"/>
            <w:shd w:val="clear" w:color="auto" w:fill="DDEBF6"/>
          </w:tcPr>
          <w:p>
            <w:pPr>
              <w:pStyle w:val="TableParagraph"/>
              <w:spacing w:before="35"/>
              <w:ind w:right="93"/>
              <w:jc w:val="right"/>
              <w:rPr>
                <w:b/>
                <w:sz w:val="20"/>
              </w:rPr>
            </w:pPr>
            <w:r>
              <w:rPr>
                <w:b/>
                <w:spacing w:val="-2"/>
                <w:sz w:val="20"/>
              </w:rPr>
              <w:t>2,251</w:t>
            </w:r>
          </w:p>
        </w:tc>
        <w:tc>
          <w:tcPr>
            <w:tcW w:w="1611" w:type="dxa"/>
          </w:tcPr>
          <w:p>
            <w:pPr>
              <w:pStyle w:val="TableParagraph"/>
              <w:spacing w:before="35"/>
              <w:ind w:right="504"/>
              <w:jc w:val="right"/>
              <w:rPr>
                <w:sz w:val="20"/>
              </w:rPr>
            </w:pPr>
            <w:r>
              <w:rPr>
                <w:spacing w:val="-2"/>
                <w:sz w:val="20"/>
              </w:rPr>
              <w:t>(1,153)</w:t>
            </w:r>
          </w:p>
        </w:tc>
        <w:tc>
          <w:tcPr>
            <w:tcW w:w="856" w:type="dxa"/>
            <w:tcBorders>
              <w:right w:val="single" w:sz="12" w:space="0" w:color="000000"/>
            </w:tcBorders>
          </w:tcPr>
          <w:p>
            <w:pPr>
              <w:pStyle w:val="TableParagraph"/>
              <w:spacing w:before="35"/>
              <w:ind w:left="46"/>
              <w:rPr>
                <w:sz w:val="20"/>
              </w:rPr>
            </w:pPr>
            <w:r>
              <w:rPr>
                <w:spacing w:val="-2"/>
                <w:sz w:val="20"/>
              </w:rPr>
              <w:t>(33.9%)</w:t>
            </w:r>
          </w:p>
        </w:tc>
      </w:tr>
      <w:tr>
        <w:trPr>
          <w:trHeight w:val="300" w:hRule="atLeast"/>
        </w:trPr>
        <w:tc>
          <w:tcPr>
            <w:tcW w:w="4913" w:type="dxa"/>
            <w:tcBorders>
              <w:left w:val="single" w:sz="12" w:space="0" w:color="000000"/>
            </w:tcBorders>
          </w:tcPr>
          <w:p>
            <w:pPr>
              <w:pStyle w:val="TableParagraph"/>
              <w:spacing w:before="48"/>
              <w:ind w:left="107"/>
              <w:rPr>
                <w:sz w:val="20"/>
              </w:rPr>
            </w:pPr>
            <w:r>
              <w:rPr>
                <w:spacing w:val="-4"/>
                <w:sz w:val="20"/>
              </w:rPr>
              <w:t>Rent</w:t>
            </w:r>
          </w:p>
        </w:tc>
        <w:tc>
          <w:tcPr>
            <w:tcW w:w="1529" w:type="dxa"/>
          </w:tcPr>
          <w:p>
            <w:pPr>
              <w:pStyle w:val="TableParagraph"/>
              <w:spacing w:before="14"/>
              <w:ind w:right="93"/>
              <w:jc w:val="right"/>
              <w:rPr>
                <w:sz w:val="20"/>
              </w:rPr>
            </w:pPr>
            <w:r>
              <w:rPr>
                <w:spacing w:val="-2"/>
                <w:sz w:val="20"/>
              </w:rPr>
              <w:t>1,015</w:t>
            </w:r>
          </w:p>
        </w:tc>
        <w:tc>
          <w:tcPr>
            <w:tcW w:w="1529" w:type="dxa"/>
            <w:shd w:val="clear" w:color="auto" w:fill="DDEBF6"/>
          </w:tcPr>
          <w:p>
            <w:pPr>
              <w:pStyle w:val="TableParagraph"/>
              <w:spacing w:before="14"/>
              <w:ind w:right="93"/>
              <w:jc w:val="right"/>
              <w:rPr>
                <w:b/>
                <w:sz w:val="20"/>
              </w:rPr>
            </w:pPr>
            <w:r>
              <w:rPr>
                <w:b/>
                <w:spacing w:val="-2"/>
                <w:sz w:val="20"/>
              </w:rPr>
              <w:t>1,362</w:t>
            </w:r>
          </w:p>
        </w:tc>
        <w:tc>
          <w:tcPr>
            <w:tcW w:w="1611" w:type="dxa"/>
          </w:tcPr>
          <w:p>
            <w:pPr>
              <w:pStyle w:val="TableParagraph"/>
              <w:spacing w:before="14"/>
              <w:ind w:right="503"/>
              <w:jc w:val="right"/>
              <w:rPr>
                <w:sz w:val="20"/>
              </w:rPr>
            </w:pPr>
            <w:r>
              <w:rPr>
                <w:spacing w:val="-5"/>
                <w:sz w:val="20"/>
              </w:rPr>
              <w:t>347</w:t>
            </w:r>
          </w:p>
        </w:tc>
        <w:tc>
          <w:tcPr>
            <w:tcW w:w="856" w:type="dxa"/>
            <w:tcBorders>
              <w:right w:val="single" w:sz="12" w:space="0" w:color="000000"/>
            </w:tcBorders>
          </w:tcPr>
          <w:p>
            <w:pPr>
              <w:pStyle w:val="TableParagraph"/>
              <w:spacing w:before="14"/>
              <w:ind w:left="67"/>
              <w:rPr>
                <w:sz w:val="20"/>
              </w:rPr>
            </w:pPr>
            <w:r>
              <w:rPr>
                <w:spacing w:val="-2"/>
                <w:sz w:val="20"/>
              </w:rPr>
              <w:t>34.19%</w:t>
            </w:r>
          </w:p>
        </w:tc>
      </w:tr>
      <w:tr>
        <w:trPr>
          <w:trHeight w:val="272" w:hRule="atLeast"/>
        </w:trPr>
        <w:tc>
          <w:tcPr>
            <w:tcW w:w="4913" w:type="dxa"/>
            <w:tcBorders>
              <w:left w:val="single" w:sz="12" w:space="0" w:color="000000"/>
            </w:tcBorders>
          </w:tcPr>
          <w:p>
            <w:pPr>
              <w:pStyle w:val="TableParagraph"/>
              <w:spacing w:line="204" w:lineRule="exact" w:before="48"/>
              <w:ind w:left="107"/>
              <w:rPr>
                <w:sz w:val="20"/>
              </w:rPr>
            </w:pPr>
            <w:r>
              <w:rPr>
                <w:spacing w:val="-2"/>
                <w:sz w:val="20"/>
              </w:rPr>
              <w:t>Other</w:t>
            </w:r>
          </w:p>
        </w:tc>
        <w:tc>
          <w:tcPr>
            <w:tcW w:w="1529" w:type="dxa"/>
            <w:tcBorders>
              <w:bottom w:val="single" w:sz="12" w:space="0" w:color="000000"/>
            </w:tcBorders>
          </w:tcPr>
          <w:p>
            <w:pPr>
              <w:pStyle w:val="TableParagraph"/>
              <w:spacing w:before="14"/>
              <w:ind w:right="94"/>
              <w:jc w:val="right"/>
              <w:rPr>
                <w:b/>
                <w:sz w:val="20"/>
              </w:rPr>
            </w:pPr>
            <w:r>
              <w:rPr>
                <w:b/>
                <w:spacing w:val="-5"/>
                <w:sz w:val="20"/>
              </w:rPr>
              <w:t>653</w:t>
            </w:r>
          </w:p>
        </w:tc>
        <w:tc>
          <w:tcPr>
            <w:tcW w:w="1529" w:type="dxa"/>
            <w:tcBorders>
              <w:bottom w:val="single" w:sz="18" w:space="0" w:color="000000"/>
            </w:tcBorders>
            <w:shd w:val="clear" w:color="auto" w:fill="DDEBF6"/>
          </w:tcPr>
          <w:p>
            <w:pPr>
              <w:pStyle w:val="TableParagraph"/>
              <w:spacing w:before="14"/>
              <w:ind w:right="94"/>
              <w:jc w:val="right"/>
              <w:rPr>
                <w:b/>
                <w:sz w:val="20"/>
              </w:rPr>
            </w:pPr>
            <w:r>
              <w:rPr>
                <w:b/>
                <w:spacing w:val="-5"/>
                <w:sz w:val="20"/>
              </w:rPr>
              <w:t>631</w:t>
            </w:r>
          </w:p>
        </w:tc>
        <w:tc>
          <w:tcPr>
            <w:tcW w:w="1611" w:type="dxa"/>
            <w:tcBorders>
              <w:bottom w:val="single" w:sz="12" w:space="0" w:color="000000"/>
            </w:tcBorders>
          </w:tcPr>
          <w:p>
            <w:pPr>
              <w:pStyle w:val="TableParagraph"/>
              <w:spacing w:before="14"/>
              <w:ind w:right="501"/>
              <w:jc w:val="right"/>
              <w:rPr>
                <w:sz w:val="20"/>
              </w:rPr>
            </w:pPr>
            <w:r>
              <w:rPr>
                <w:spacing w:val="-4"/>
                <w:sz w:val="20"/>
              </w:rPr>
              <w:t>(22)</w:t>
            </w:r>
          </w:p>
        </w:tc>
        <w:tc>
          <w:tcPr>
            <w:tcW w:w="856" w:type="dxa"/>
            <w:tcBorders>
              <w:bottom w:val="single" w:sz="12" w:space="0" w:color="000000"/>
              <w:right w:val="single" w:sz="12" w:space="0" w:color="000000"/>
            </w:tcBorders>
          </w:tcPr>
          <w:p>
            <w:pPr>
              <w:pStyle w:val="TableParagraph"/>
              <w:spacing w:before="14"/>
              <w:ind w:left="159"/>
              <w:rPr>
                <w:sz w:val="20"/>
              </w:rPr>
            </w:pPr>
            <w:r>
              <w:rPr>
                <w:spacing w:val="-2"/>
                <w:sz w:val="20"/>
              </w:rPr>
              <w:t>(3.4%)</w:t>
            </w:r>
          </w:p>
        </w:tc>
      </w:tr>
      <w:tr>
        <w:trPr>
          <w:trHeight w:val="306" w:hRule="atLeast"/>
        </w:trPr>
        <w:tc>
          <w:tcPr>
            <w:tcW w:w="4913" w:type="dxa"/>
            <w:tcBorders>
              <w:left w:val="single" w:sz="12" w:space="0" w:color="000000"/>
              <w:bottom w:val="single" w:sz="12" w:space="0" w:color="000000"/>
            </w:tcBorders>
          </w:tcPr>
          <w:p>
            <w:pPr>
              <w:pStyle w:val="TableParagraph"/>
              <w:spacing w:line="210" w:lineRule="exact" w:before="76"/>
              <w:ind w:left="107"/>
              <w:rPr>
                <w:b/>
                <w:sz w:val="20"/>
              </w:rPr>
            </w:pPr>
            <w:r>
              <w:rPr>
                <w:b/>
                <w:sz w:val="20"/>
              </w:rPr>
              <w:t>Total</w:t>
            </w:r>
            <w:r>
              <w:rPr>
                <w:b/>
                <w:spacing w:val="-6"/>
                <w:sz w:val="20"/>
              </w:rPr>
              <w:t> </w:t>
            </w:r>
            <w:r>
              <w:rPr>
                <w:b/>
                <w:sz w:val="20"/>
              </w:rPr>
              <w:t>other</w:t>
            </w:r>
            <w:r>
              <w:rPr>
                <w:b/>
                <w:spacing w:val="-6"/>
                <w:sz w:val="20"/>
              </w:rPr>
              <w:t> </w:t>
            </w:r>
            <w:r>
              <w:rPr>
                <w:b/>
                <w:spacing w:val="-2"/>
                <w:sz w:val="20"/>
              </w:rPr>
              <w:t>income</w:t>
            </w:r>
          </w:p>
        </w:tc>
        <w:tc>
          <w:tcPr>
            <w:tcW w:w="1529" w:type="dxa"/>
            <w:tcBorders>
              <w:top w:val="single" w:sz="12" w:space="0" w:color="000000"/>
              <w:bottom w:val="single" w:sz="12" w:space="0" w:color="000000"/>
            </w:tcBorders>
          </w:tcPr>
          <w:p>
            <w:pPr>
              <w:pStyle w:val="TableParagraph"/>
              <w:spacing w:before="33"/>
              <w:ind w:right="93"/>
              <w:jc w:val="right"/>
              <w:rPr>
                <w:sz w:val="20"/>
              </w:rPr>
            </w:pPr>
            <w:r>
              <w:rPr>
                <w:spacing w:val="-2"/>
                <w:sz w:val="20"/>
              </w:rPr>
              <w:t>5,072</w:t>
            </w:r>
          </w:p>
        </w:tc>
        <w:tc>
          <w:tcPr>
            <w:tcW w:w="1529" w:type="dxa"/>
            <w:tcBorders>
              <w:top w:val="single" w:sz="18" w:space="0" w:color="000000"/>
              <w:bottom w:val="single" w:sz="12" w:space="0" w:color="000000"/>
            </w:tcBorders>
            <w:shd w:val="clear" w:color="auto" w:fill="DDEBF6"/>
          </w:tcPr>
          <w:p>
            <w:pPr>
              <w:pStyle w:val="TableParagraph"/>
              <w:spacing w:before="33"/>
              <w:ind w:right="93"/>
              <w:jc w:val="right"/>
              <w:rPr>
                <w:b/>
                <w:sz w:val="20"/>
              </w:rPr>
            </w:pPr>
            <w:r>
              <w:rPr>
                <w:b/>
                <w:spacing w:val="-2"/>
                <w:sz w:val="20"/>
              </w:rPr>
              <w:t>4,244</w:t>
            </w:r>
          </w:p>
        </w:tc>
        <w:tc>
          <w:tcPr>
            <w:tcW w:w="1611" w:type="dxa"/>
            <w:tcBorders>
              <w:top w:val="single" w:sz="12" w:space="0" w:color="000000"/>
              <w:bottom w:val="single" w:sz="12" w:space="0" w:color="000000"/>
            </w:tcBorders>
          </w:tcPr>
          <w:p>
            <w:pPr>
              <w:pStyle w:val="TableParagraph"/>
              <w:spacing w:before="33"/>
              <w:ind w:right="504"/>
              <w:jc w:val="right"/>
              <w:rPr>
                <w:sz w:val="20"/>
              </w:rPr>
            </w:pPr>
            <w:r>
              <w:rPr>
                <w:spacing w:val="-2"/>
                <w:sz w:val="20"/>
              </w:rPr>
              <w:t>(828)</w:t>
            </w:r>
          </w:p>
        </w:tc>
        <w:tc>
          <w:tcPr>
            <w:tcW w:w="856" w:type="dxa"/>
            <w:tcBorders>
              <w:top w:val="single" w:sz="12" w:space="0" w:color="000000"/>
              <w:bottom w:val="single" w:sz="12" w:space="0" w:color="000000"/>
              <w:right w:val="single" w:sz="12" w:space="0" w:color="000000"/>
            </w:tcBorders>
          </w:tcPr>
          <w:p>
            <w:pPr>
              <w:pStyle w:val="TableParagraph"/>
              <w:spacing w:before="33"/>
              <w:ind w:left="46"/>
              <w:rPr>
                <w:sz w:val="20"/>
              </w:rPr>
            </w:pPr>
            <w:r>
              <w:rPr>
                <w:spacing w:val="-2"/>
                <w:sz w:val="20"/>
              </w:rPr>
              <w:t>(16.3%)</w:t>
            </w:r>
          </w:p>
        </w:tc>
      </w:tr>
    </w:tbl>
    <w:p>
      <w:pPr>
        <w:pStyle w:val="BodyText"/>
        <w:spacing w:before="4"/>
        <w:rPr>
          <w:b/>
          <w:sz w:val="23"/>
        </w:rPr>
      </w:pPr>
    </w:p>
    <w:p>
      <w:pPr>
        <w:pStyle w:val="BodyText"/>
        <w:ind w:left="260" w:right="554"/>
        <w:jc w:val="both"/>
      </w:pPr>
      <w:r>
        <w:rPr/>
        <w:t>Other income is projected to decrease by $0.83 million or 16.3% compared to 2024/25. Interest income is expected to decrease by 33.9% or $1.16 million over 2024/25, reflecting an expected decrease in the cash rate and expenditure on a large capital project (Ringwood Activity Centre Car Park).</w:t>
      </w:r>
    </w:p>
    <w:p>
      <w:pPr>
        <w:pStyle w:val="BodyText"/>
        <w:spacing w:before="1"/>
      </w:pPr>
    </w:p>
    <w:p>
      <w:pPr>
        <w:pStyle w:val="Heading4"/>
        <w:numPr>
          <w:ilvl w:val="2"/>
          <w:numId w:val="59"/>
        </w:numPr>
        <w:tabs>
          <w:tab w:pos="862" w:val="left" w:leader="none"/>
        </w:tabs>
        <w:spacing w:line="240" w:lineRule="auto" w:before="0" w:after="0"/>
        <w:ind w:left="861" w:right="0" w:hanging="602"/>
        <w:jc w:val="left"/>
      </w:pPr>
      <w:r>
        <w:rPr>
          <w:color w:val="4966AC"/>
        </w:rPr>
        <w:t>Employee</w:t>
      </w:r>
      <w:r>
        <w:rPr>
          <w:color w:val="4966AC"/>
          <w:spacing w:val="-1"/>
        </w:rPr>
        <w:t> </w:t>
      </w:r>
      <w:r>
        <w:rPr>
          <w:color w:val="4966AC"/>
          <w:spacing w:val="-4"/>
        </w:rPr>
        <w:t>costs</w:t>
      </w:r>
    </w:p>
    <w:p>
      <w:pPr>
        <w:pStyle w:val="BodyText"/>
        <w:spacing w:before="11"/>
        <w:rPr>
          <w:b/>
        </w:rPr>
      </w:pPr>
    </w:p>
    <w:tbl>
      <w:tblPr>
        <w:tblW w:w="0" w:type="auto"/>
        <w:jc w:val="left"/>
        <w:tblInd w:w="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29"/>
        <w:gridCol w:w="1831"/>
        <w:gridCol w:w="1831"/>
        <w:gridCol w:w="1653"/>
        <w:gridCol w:w="893"/>
      </w:tblGrid>
      <w:tr>
        <w:trPr>
          <w:trHeight w:val="890" w:hRule="atLeast"/>
        </w:trPr>
        <w:tc>
          <w:tcPr>
            <w:tcW w:w="6060" w:type="dxa"/>
            <w:gridSpan w:val="2"/>
            <w:tcBorders>
              <w:top w:val="single" w:sz="18" w:space="0" w:color="000000"/>
              <w:left w:val="single" w:sz="12" w:space="0" w:color="000000"/>
            </w:tcBorders>
            <w:shd w:val="clear" w:color="auto" w:fill="5B9AD4"/>
          </w:tcPr>
          <w:p>
            <w:pPr>
              <w:pStyle w:val="TableParagraph"/>
              <w:spacing w:line="348" w:lineRule="auto" w:before="38"/>
              <w:ind w:left="4468" w:right="207"/>
              <w:jc w:val="center"/>
              <w:rPr>
                <w:b/>
                <w:sz w:val="18"/>
              </w:rPr>
            </w:pPr>
            <w:r>
              <w:rPr>
                <w:b/>
                <w:color w:val="FFFFFF"/>
                <w:sz w:val="18"/>
              </w:rPr>
              <w:t>Forecast</w:t>
            </w:r>
            <w:r>
              <w:rPr>
                <w:b/>
                <w:color w:val="FFFFFF"/>
                <w:spacing w:val="-13"/>
                <w:sz w:val="18"/>
              </w:rPr>
              <w:t> </w:t>
            </w:r>
            <w:r>
              <w:rPr>
                <w:b/>
                <w:color w:val="FFFFFF"/>
                <w:sz w:val="18"/>
              </w:rPr>
              <w:t>Actual </w:t>
            </w:r>
            <w:r>
              <w:rPr>
                <w:b/>
                <w:color w:val="FFFFFF"/>
                <w:spacing w:val="-2"/>
                <w:sz w:val="18"/>
              </w:rPr>
              <w:t>2024/25</w:t>
            </w:r>
          </w:p>
          <w:p>
            <w:pPr>
              <w:pStyle w:val="TableParagraph"/>
              <w:spacing w:line="187" w:lineRule="exact" w:before="45"/>
              <w:ind w:left="4463" w:right="207"/>
              <w:jc w:val="center"/>
              <w:rPr>
                <w:b/>
                <w:sz w:val="18"/>
              </w:rPr>
            </w:pPr>
            <w:r>
              <w:rPr>
                <w:b/>
                <w:color w:val="FFFFFF"/>
                <w:spacing w:val="-2"/>
                <w:sz w:val="18"/>
              </w:rPr>
              <w:t>$’000</w:t>
            </w:r>
          </w:p>
        </w:tc>
        <w:tc>
          <w:tcPr>
            <w:tcW w:w="1831" w:type="dxa"/>
            <w:tcBorders>
              <w:top w:val="single" w:sz="18" w:space="0" w:color="000000"/>
            </w:tcBorders>
            <w:shd w:val="clear" w:color="auto" w:fill="5B9AD4"/>
          </w:tcPr>
          <w:p>
            <w:pPr>
              <w:pStyle w:val="TableParagraph"/>
              <w:spacing w:line="348" w:lineRule="auto" w:before="38"/>
              <w:ind w:left="604" w:right="572" w:hanging="2"/>
              <w:jc w:val="center"/>
              <w:rPr>
                <w:b/>
                <w:sz w:val="18"/>
              </w:rPr>
            </w:pPr>
            <w:r>
              <w:rPr>
                <w:b/>
                <w:color w:val="FFFFFF"/>
                <w:spacing w:val="-2"/>
                <w:sz w:val="18"/>
              </w:rPr>
              <w:t>Budget 2025/26</w:t>
            </w:r>
          </w:p>
          <w:p>
            <w:pPr>
              <w:pStyle w:val="TableParagraph"/>
              <w:spacing w:line="187" w:lineRule="exact" w:before="45"/>
              <w:ind w:left="689" w:right="661"/>
              <w:jc w:val="center"/>
              <w:rPr>
                <w:b/>
                <w:sz w:val="18"/>
              </w:rPr>
            </w:pPr>
            <w:r>
              <w:rPr>
                <w:b/>
                <w:color w:val="FFFFFF"/>
                <w:spacing w:val="-2"/>
                <w:sz w:val="18"/>
              </w:rPr>
              <w:t>$’000</w:t>
            </w:r>
          </w:p>
        </w:tc>
        <w:tc>
          <w:tcPr>
            <w:tcW w:w="1653" w:type="dxa"/>
            <w:tcBorders>
              <w:top w:val="single" w:sz="18" w:space="0" w:color="000000"/>
            </w:tcBorders>
            <w:shd w:val="clear" w:color="auto" w:fill="5B9AD4"/>
          </w:tcPr>
          <w:p>
            <w:pPr>
              <w:pStyle w:val="TableParagraph"/>
              <w:spacing w:before="2"/>
              <w:rPr>
                <w:b/>
                <w:sz w:val="16"/>
              </w:rPr>
            </w:pPr>
          </w:p>
          <w:p>
            <w:pPr>
              <w:pStyle w:val="TableParagraph"/>
              <w:ind w:left="957"/>
              <w:rPr>
                <w:b/>
                <w:sz w:val="18"/>
              </w:rPr>
            </w:pPr>
            <w:r>
              <w:rPr>
                <w:b/>
                <w:color w:val="FFFFFF"/>
                <w:spacing w:val="-2"/>
                <w:sz w:val="18"/>
              </w:rPr>
              <w:t>Change</w:t>
            </w:r>
          </w:p>
          <w:p>
            <w:pPr>
              <w:pStyle w:val="TableParagraph"/>
              <w:spacing w:before="3"/>
              <w:rPr>
                <w:b/>
                <w:sz w:val="25"/>
              </w:rPr>
            </w:pPr>
          </w:p>
          <w:p>
            <w:pPr>
              <w:pStyle w:val="TableParagraph"/>
              <w:spacing w:line="187" w:lineRule="exact"/>
              <w:ind w:left="444"/>
              <w:rPr>
                <w:b/>
                <w:sz w:val="18"/>
              </w:rPr>
            </w:pPr>
            <w:r>
              <w:rPr>
                <w:b/>
                <w:color w:val="FFFFFF"/>
                <w:spacing w:val="-2"/>
                <w:sz w:val="18"/>
              </w:rPr>
              <w:t>$’000</w:t>
            </w:r>
          </w:p>
        </w:tc>
        <w:tc>
          <w:tcPr>
            <w:tcW w:w="893" w:type="dxa"/>
            <w:tcBorders>
              <w:top w:val="single" w:sz="18" w:space="0" w:color="000000"/>
              <w:right w:val="single" w:sz="12" w:space="0" w:color="000000"/>
            </w:tcBorders>
            <w:shd w:val="clear" w:color="auto" w:fill="5B9AD4"/>
          </w:tcPr>
          <w:p>
            <w:pPr>
              <w:pStyle w:val="TableParagraph"/>
              <w:rPr>
                <w:b/>
                <w:sz w:val="20"/>
              </w:rPr>
            </w:pPr>
          </w:p>
          <w:p>
            <w:pPr>
              <w:pStyle w:val="TableParagraph"/>
              <w:rPr>
                <w:b/>
                <w:sz w:val="20"/>
              </w:rPr>
            </w:pPr>
          </w:p>
          <w:p>
            <w:pPr>
              <w:pStyle w:val="TableParagraph"/>
              <w:spacing w:before="5"/>
              <w:rPr>
                <w:b/>
                <w:sz w:val="19"/>
              </w:rPr>
            </w:pPr>
          </w:p>
          <w:p>
            <w:pPr>
              <w:pStyle w:val="TableParagraph"/>
              <w:spacing w:line="187" w:lineRule="exact"/>
              <w:ind w:left="48"/>
              <w:rPr>
                <w:b/>
                <w:sz w:val="18"/>
              </w:rPr>
            </w:pPr>
            <w:r>
              <w:rPr>
                <w:b/>
                <w:color w:val="FFFFFF"/>
                <w:spacing w:val="-2"/>
                <w:sz w:val="18"/>
              </w:rPr>
              <w:t>$’000</w:t>
            </w:r>
          </w:p>
        </w:tc>
      </w:tr>
      <w:tr>
        <w:trPr>
          <w:trHeight w:val="320" w:hRule="atLeast"/>
        </w:trPr>
        <w:tc>
          <w:tcPr>
            <w:tcW w:w="4229" w:type="dxa"/>
            <w:tcBorders>
              <w:left w:val="single" w:sz="12" w:space="0" w:color="000000"/>
            </w:tcBorders>
          </w:tcPr>
          <w:p>
            <w:pPr>
              <w:pStyle w:val="TableParagraph"/>
              <w:spacing w:before="69"/>
              <w:ind w:left="107"/>
              <w:rPr>
                <w:sz w:val="20"/>
              </w:rPr>
            </w:pPr>
            <w:r>
              <w:rPr>
                <w:sz w:val="20"/>
              </w:rPr>
              <w:t>Wages</w:t>
            </w:r>
            <w:r>
              <w:rPr>
                <w:spacing w:val="-5"/>
                <w:sz w:val="20"/>
              </w:rPr>
              <w:t> </w:t>
            </w:r>
            <w:r>
              <w:rPr>
                <w:sz w:val="20"/>
              </w:rPr>
              <w:t>and</w:t>
            </w:r>
            <w:r>
              <w:rPr>
                <w:spacing w:val="-7"/>
                <w:sz w:val="20"/>
              </w:rPr>
              <w:t> </w:t>
            </w:r>
            <w:r>
              <w:rPr>
                <w:spacing w:val="-2"/>
                <w:sz w:val="20"/>
              </w:rPr>
              <w:t>salaries</w:t>
            </w:r>
          </w:p>
        </w:tc>
        <w:tc>
          <w:tcPr>
            <w:tcW w:w="1831" w:type="dxa"/>
          </w:tcPr>
          <w:p>
            <w:pPr>
              <w:pStyle w:val="TableParagraph"/>
              <w:spacing w:before="35"/>
              <w:ind w:right="95"/>
              <w:jc w:val="right"/>
              <w:rPr>
                <w:sz w:val="20"/>
              </w:rPr>
            </w:pPr>
            <w:r>
              <w:rPr>
                <w:spacing w:val="-2"/>
                <w:sz w:val="20"/>
              </w:rPr>
              <w:t>53,198</w:t>
            </w:r>
          </w:p>
        </w:tc>
        <w:tc>
          <w:tcPr>
            <w:tcW w:w="1831" w:type="dxa"/>
            <w:shd w:val="clear" w:color="auto" w:fill="DDEBF6"/>
          </w:tcPr>
          <w:p>
            <w:pPr>
              <w:pStyle w:val="TableParagraph"/>
              <w:spacing w:before="35"/>
              <w:ind w:right="93"/>
              <w:jc w:val="right"/>
              <w:rPr>
                <w:b/>
                <w:sz w:val="20"/>
              </w:rPr>
            </w:pPr>
            <w:r>
              <w:rPr>
                <w:b/>
                <w:spacing w:val="-2"/>
                <w:sz w:val="20"/>
              </w:rPr>
              <w:t>53,303</w:t>
            </w:r>
          </w:p>
        </w:tc>
        <w:tc>
          <w:tcPr>
            <w:tcW w:w="1653" w:type="dxa"/>
          </w:tcPr>
          <w:p>
            <w:pPr>
              <w:pStyle w:val="TableParagraph"/>
              <w:spacing w:before="35"/>
              <w:ind w:right="436"/>
              <w:jc w:val="right"/>
              <w:rPr>
                <w:sz w:val="20"/>
              </w:rPr>
            </w:pPr>
            <w:r>
              <w:rPr>
                <w:spacing w:val="-5"/>
                <w:sz w:val="20"/>
              </w:rPr>
              <w:t>105</w:t>
            </w:r>
          </w:p>
        </w:tc>
        <w:tc>
          <w:tcPr>
            <w:tcW w:w="893" w:type="dxa"/>
            <w:tcBorders>
              <w:right w:val="single" w:sz="12" w:space="0" w:color="000000"/>
            </w:tcBorders>
          </w:tcPr>
          <w:p>
            <w:pPr>
              <w:pStyle w:val="TableParagraph"/>
              <w:spacing w:before="35"/>
              <w:ind w:right="79"/>
              <w:jc w:val="right"/>
              <w:rPr>
                <w:sz w:val="20"/>
              </w:rPr>
            </w:pPr>
            <w:r>
              <w:rPr>
                <w:spacing w:val="-4"/>
                <w:sz w:val="20"/>
              </w:rPr>
              <w:t>0.2%</w:t>
            </w:r>
          </w:p>
        </w:tc>
      </w:tr>
      <w:tr>
        <w:trPr>
          <w:trHeight w:val="300" w:hRule="atLeast"/>
        </w:trPr>
        <w:tc>
          <w:tcPr>
            <w:tcW w:w="4229" w:type="dxa"/>
            <w:tcBorders>
              <w:left w:val="single" w:sz="12" w:space="0" w:color="000000"/>
            </w:tcBorders>
          </w:tcPr>
          <w:p>
            <w:pPr>
              <w:pStyle w:val="TableParagraph"/>
              <w:spacing w:before="48"/>
              <w:ind w:left="107"/>
              <w:rPr>
                <w:sz w:val="20"/>
              </w:rPr>
            </w:pPr>
            <w:r>
              <w:rPr>
                <w:spacing w:val="-2"/>
                <w:sz w:val="20"/>
              </w:rPr>
              <w:t>Workcover</w:t>
            </w:r>
          </w:p>
        </w:tc>
        <w:tc>
          <w:tcPr>
            <w:tcW w:w="1831" w:type="dxa"/>
          </w:tcPr>
          <w:p>
            <w:pPr>
              <w:pStyle w:val="TableParagraph"/>
              <w:spacing w:before="14"/>
              <w:ind w:right="93"/>
              <w:jc w:val="right"/>
              <w:rPr>
                <w:sz w:val="20"/>
              </w:rPr>
            </w:pPr>
            <w:r>
              <w:rPr>
                <w:spacing w:val="-2"/>
                <w:sz w:val="20"/>
              </w:rPr>
              <w:t>1,087</w:t>
            </w:r>
          </w:p>
        </w:tc>
        <w:tc>
          <w:tcPr>
            <w:tcW w:w="1831" w:type="dxa"/>
            <w:shd w:val="clear" w:color="auto" w:fill="DDEBF6"/>
          </w:tcPr>
          <w:p>
            <w:pPr>
              <w:pStyle w:val="TableParagraph"/>
              <w:spacing w:before="14"/>
              <w:ind w:right="92"/>
              <w:jc w:val="right"/>
              <w:rPr>
                <w:b/>
                <w:sz w:val="20"/>
              </w:rPr>
            </w:pPr>
            <w:r>
              <w:rPr>
                <w:b/>
                <w:spacing w:val="-2"/>
                <w:sz w:val="20"/>
              </w:rPr>
              <w:t>1,123</w:t>
            </w:r>
          </w:p>
        </w:tc>
        <w:tc>
          <w:tcPr>
            <w:tcW w:w="1653" w:type="dxa"/>
          </w:tcPr>
          <w:p>
            <w:pPr>
              <w:pStyle w:val="TableParagraph"/>
              <w:spacing w:before="14"/>
              <w:ind w:right="436"/>
              <w:jc w:val="right"/>
              <w:rPr>
                <w:sz w:val="20"/>
              </w:rPr>
            </w:pPr>
            <w:r>
              <w:rPr>
                <w:spacing w:val="-5"/>
                <w:sz w:val="20"/>
              </w:rPr>
              <w:t>36</w:t>
            </w:r>
          </w:p>
        </w:tc>
        <w:tc>
          <w:tcPr>
            <w:tcW w:w="893" w:type="dxa"/>
            <w:tcBorders>
              <w:right w:val="single" w:sz="12" w:space="0" w:color="000000"/>
            </w:tcBorders>
          </w:tcPr>
          <w:p>
            <w:pPr>
              <w:pStyle w:val="TableParagraph"/>
              <w:spacing w:before="14"/>
              <w:ind w:right="79"/>
              <w:jc w:val="right"/>
              <w:rPr>
                <w:sz w:val="20"/>
              </w:rPr>
            </w:pPr>
            <w:r>
              <w:rPr>
                <w:spacing w:val="-4"/>
                <w:sz w:val="20"/>
              </w:rPr>
              <w:t>3.3%</w:t>
            </w:r>
          </w:p>
        </w:tc>
      </w:tr>
      <w:tr>
        <w:trPr>
          <w:trHeight w:val="303" w:hRule="atLeast"/>
        </w:trPr>
        <w:tc>
          <w:tcPr>
            <w:tcW w:w="4229" w:type="dxa"/>
            <w:tcBorders>
              <w:left w:val="single" w:sz="12" w:space="0" w:color="000000"/>
            </w:tcBorders>
          </w:tcPr>
          <w:p>
            <w:pPr>
              <w:pStyle w:val="TableParagraph"/>
              <w:spacing w:before="48"/>
              <w:ind w:left="107"/>
              <w:rPr>
                <w:sz w:val="20"/>
              </w:rPr>
            </w:pPr>
            <w:r>
              <w:rPr>
                <w:spacing w:val="-2"/>
                <w:sz w:val="20"/>
              </w:rPr>
              <w:t>Superannuation</w:t>
            </w:r>
          </w:p>
        </w:tc>
        <w:tc>
          <w:tcPr>
            <w:tcW w:w="1831" w:type="dxa"/>
          </w:tcPr>
          <w:p>
            <w:pPr>
              <w:pStyle w:val="TableParagraph"/>
              <w:spacing w:before="14"/>
              <w:ind w:right="95"/>
              <w:jc w:val="right"/>
              <w:rPr>
                <w:sz w:val="20"/>
              </w:rPr>
            </w:pPr>
            <w:r>
              <w:rPr>
                <w:spacing w:val="-2"/>
                <w:sz w:val="20"/>
              </w:rPr>
              <w:t>16,125</w:t>
            </w:r>
          </w:p>
        </w:tc>
        <w:tc>
          <w:tcPr>
            <w:tcW w:w="1831" w:type="dxa"/>
            <w:shd w:val="clear" w:color="auto" w:fill="DDEBF6"/>
          </w:tcPr>
          <w:p>
            <w:pPr>
              <w:pStyle w:val="TableParagraph"/>
              <w:spacing w:before="14"/>
              <w:ind w:right="93"/>
              <w:jc w:val="right"/>
              <w:rPr>
                <w:b/>
                <w:sz w:val="20"/>
              </w:rPr>
            </w:pPr>
            <w:r>
              <w:rPr>
                <w:b/>
                <w:spacing w:val="-2"/>
                <w:sz w:val="20"/>
              </w:rPr>
              <w:t>17,088</w:t>
            </w:r>
          </w:p>
        </w:tc>
        <w:tc>
          <w:tcPr>
            <w:tcW w:w="1653" w:type="dxa"/>
          </w:tcPr>
          <w:p>
            <w:pPr>
              <w:pStyle w:val="TableParagraph"/>
              <w:spacing w:before="14"/>
              <w:ind w:right="436"/>
              <w:jc w:val="right"/>
              <w:rPr>
                <w:sz w:val="20"/>
              </w:rPr>
            </w:pPr>
            <w:r>
              <w:rPr>
                <w:spacing w:val="-5"/>
                <w:sz w:val="20"/>
              </w:rPr>
              <w:t>963</w:t>
            </w:r>
          </w:p>
        </w:tc>
        <w:tc>
          <w:tcPr>
            <w:tcW w:w="893" w:type="dxa"/>
            <w:tcBorders>
              <w:right w:val="single" w:sz="12" w:space="0" w:color="000000"/>
            </w:tcBorders>
          </w:tcPr>
          <w:p>
            <w:pPr>
              <w:pStyle w:val="TableParagraph"/>
              <w:spacing w:before="14"/>
              <w:ind w:right="79"/>
              <w:jc w:val="right"/>
              <w:rPr>
                <w:sz w:val="20"/>
              </w:rPr>
            </w:pPr>
            <w:r>
              <w:rPr>
                <w:spacing w:val="-4"/>
                <w:sz w:val="20"/>
              </w:rPr>
              <w:t>6.0%</w:t>
            </w:r>
          </w:p>
        </w:tc>
      </w:tr>
      <w:tr>
        <w:trPr>
          <w:trHeight w:val="285" w:hRule="atLeast"/>
        </w:trPr>
        <w:tc>
          <w:tcPr>
            <w:tcW w:w="4229" w:type="dxa"/>
            <w:tcBorders>
              <w:left w:val="single" w:sz="12" w:space="0" w:color="000000"/>
            </w:tcBorders>
          </w:tcPr>
          <w:p>
            <w:pPr>
              <w:pStyle w:val="TableParagraph"/>
              <w:spacing w:line="204" w:lineRule="exact" w:before="61"/>
              <w:ind w:left="107"/>
              <w:rPr>
                <w:sz w:val="20"/>
              </w:rPr>
            </w:pPr>
            <w:r>
              <w:rPr>
                <w:sz w:val="20"/>
              </w:rPr>
              <w:t>Fringe</w:t>
            </w:r>
            <w:r>
              <w:rPr>
                <w:spacing w:val="-7"/>
                <w:sz w:val="20"/>
              </w:rPr>
              <w:t> </w:t>
            </w:r>
            <w:r>
              <w:rPr>
                <w:sz w:val="20"/>
              </w:rPr>
              <w:t>benefits</w:t>
            </w:r>
            <w:r>
              <w:rPr>
                <w:spacing w:val="-8"/>
                <w:sz w:val="20"/>
              </w:rPr>
              <w:t> </w:t>
            </w:r>
            <w:r>
              <w:rPr>
                <w:spacing w:val="-5"/>
                <w:sz w:val="20"/>
              </w:rPr>
              <w:t>tax</w:t>
            </w:r>
          </w:p>
        </w:tc>
        <w:tc>
          <w:tcPr>
            <w:tcW w:w="1831" w:type="dxa"/>
            <w:tcBorders>
              <w:bottom w:val="single" w:sz="12" w:space="0" w:color="000000"/>
            </w:tcBorders>
          </w:tcPr>
          <w:p>
            <w:pPr>
              <w:pStyle w:val="TableParagraph"/>
              <w:spacing w:before="18"/>
              <w:ind w:right="94"/>
              <w:jc w:val="right"/>
              <w:rPr>
                <w:sz w:val="20"/>
              </w:rPr>
            </w:pPr>
            <w:r>
              <w:rPr>
                <w:spacing w:val="-5"/>
                <w:sz w:val="20"/>
              </w:rPr>
              <w:t>486</w:t>
            </w:r>
          </w:p>
        </w:tc>
        <w:tc>
          <w:tcPr>
            <w:tcW w:w="1831" w:type="dxa"/>
            <w:tcBorders>
              <w:bottom w:val="single" w:sz="18" w:space="0" w:color="000000"/>
            </w:tcBorders>
            <w:shd w:val="clear" w:color="auto" w:fill="DDEBF6"/>
          </w:tcPr>
          <w:p>
            <w:pPr>
              <w:pStyle w:val="TableParagraph"/>
              <w:spacing w:before="18"/>
              <w:ind w:right="93"/>
              <w:jc w:val="right"/>
              <w:rPr>
                <w:b/>
                <w:sz w:val="20"/>
              </w:rPr>
            </w:pPr>
            <w:r>
              <w:rPr>
                <w:b/>
                <w:spacing w:val="-5"/>
                <w:sz w:val="20"/>
              </w:rPr>
              <w:t>492</w:t>
            </w:r>
          </w:p>
        </w:tc>
        <w:tc>
          <w:tcPr>
            <w:tcW w:w="1653" w:type="dxa"/>
            <w:tcBorders>
              <w:bottom w:val="single" w:sz="12" w:space="0" w:color="000000"/>
            </w:tcBorders>
          </w:tcPr>
          <w:p>
            <w:pPr>
              <w:pStyle w:val="TableParagraph"/>
              <w:spacing w:before="18"/>
              <w:ind w:right="433"/>
              <w:jc w:val="right"/>
              <w:rPr>
                <w:sz w:val="20"/>
              </w:rPr>
            </w:pPr>
            <w:r>
              <w:rPr>
                <w:w w:val="99"/>
                <w:sz w:val="20"/>
              </w:rPr>
              <w:t>6</w:t>
            </w:r>
          </w:p>
        </w:tc>
        <w:tc>
          <w:tcPr>
            <w:tcW w:w="893" w:type="dxa"/>
            <w:tcBorders>
              <w:bottom w:val="single" w:sz="12" w:space="0" w:color="000000"/>
              <w:right w:val="single" w:sz="12" w:space="0" w:color="000000"/>
            </w:tcBorders>
          </w:tcPr>
          <w:p>
            <w:pPr>
              <w:pStyle w:val="TableParagraph"/>
              <w:spacing w:before="18"/>
              <w:ind w:right="79"/>
              <w:jc w:val="right"/>
              <w:rPr>
                <w:sz w:val="20"/>
              </w:rPr>
            </w:pPr>
            <w:r>
              <w:rPr>
                <w:spacing w:val="-4"/>
                <w:sz w:val="20"/>
              </w:rPr>
              <w:t>1.2%</w:t>
            </w:r>
          </w:p>
        </w:tc>
      </w:tr>
      <w:tr>
        <w:trPr>
          <w:trHeight w:val="306" w:hRule="atLeast"/>
        </w:trPr>
        <w:tc>
          <w:tcPr>
            <w:tcW w:w="4229" w:type="dxa"/>
            <w:tcBorders>
              <w:left w:val="single" w:sz="12" w:space="0" w:color="000000"/>
              <w:bottom w:val="single" w:sz="12" w:space="0" w:color="000000"/>
            </w:tcBorders>
          </w:tcPr>
          <w:p>
            <w:pPr>
              <w:pStyle w:val="TableParagraph"/>
              <w:spacing w:line="213" w:lineRule="exact" w:before="74"/>
              <w:ind w:left="107"/>
              <w:rPr>
                <w:b/>
                <w:sz w:val="20"/>
              </w:rPr>
            </w:pPr>
            <w:r>
              <w:rPr>
                <w:b/>
                <w:sz w:val="20"/>
              </w:rPr>
              <w:t>Total</w:t>
            </w:r>
            <w:r>
              <w:rPr>
                <w:b/>
                <w:spacing w:val="-10"/>
                <w:sz w:val="20"/>
              </w:rPr>
              <w:t> </w:t>
            </w:r>
            <w:r>
              <w:rPr>
                <w:b/>
                <w:sz w:val="20"/>
              </w:rPr>
              <w:t>employee</w:t>
            </w:r>
            <w:r>
              <w:rPr>
                <w:b/>
                <w:spacing w:val="-8"/>
                <w:sz w:val="20"/>
              </w:rPr>
              <w:t> </w:t>
            </w:r>
            <w:r>
              <w:rPr>
                <w:b/>
                <w:spacing w:val="-4"/>
                <w:sz w:val="20"/>
              </w:rPr>
              <w:t>costs</w:t>
            </w:r>
          </w:p>
        </w:tc>
        <w:tc>
          <w:tcPr>
            <w:tcW w:w="1831" w:type="dxa"/>
            <w:tcBorders>
              <w:top w:val="single" w:sz="12" w:space="0" w:color="000000"/>
              <w:bottom w:val="single" w:sz="12" w:space="0" w:color="000000"/>
            </w:tcBorders>
          </w:tcPr>
          <w:p>
            <w:pPr>
              <w:pStyle w:val="TableParagraph"/>
              <w:spacing w:before="33"/>
              <w:ind w:right="95"/>
              <w:jc w:val="right"/>
              <w:rPr>
                <w:b/>
                <w:sz w:val="20"/>
              </w:rPr>
            </w:pPr>
            <w:r>
              <w:rPr>
                <w:b/>
                <w:spacing w:val="-2"/>
                <w:sz w:val="20"/>
              </w:rPr>
              <w:t>70,896</w:t>
            </w:r>
          </w:p>
        </w:tc>
        <w:tc>
          <w:tcPr>
            <w:tcW w:w="1831" w:type="dxa"/>
            <w:tcBorders>
              <w:top w:val="single" w:sz="18" w:space="0" w:color="000000"/>
              <w:bottom w:val="single" w:sz="12" w:space="0" w:color="000000"/>
            </w:tcBorders>
            <w:shd w:val="clear" w:color="auto" w:fill="DDEBF6"/>
          </w:tcPr>
          <w:p>
            <w:pPr>
              <w:pStyle w:val="TableParagraph"/>
              <w:spacing w:before="33"/>
              <w:ind w:right="93"/>
              <w:jc w:val="right"/>
              <w:rPr>
                <w:b/>
                <w:sz w:val="20"/>
              </w:rPr>
            </w:pPr>
            <w:r>
              <w:rPr>
                <w:b/>
                <w:spacing w:val="-2"/>
                <w:sz w:val="20"/>
              </w:rPr>
              <w:t>72,006</w:t>
            </w:r>
          </w:p>
        </w:tc>
        <w:tc>
          <w:tcPr>
            <w:tcW w:w="1653" w:type="dxa"/>
            <w:tcBorders>
              <w:top w:val="single" w:sz="12" w:space="0" w:color="000000"/>
              <w:bottom w:val="single" w:sz="12" w:space="0" w:color="000000"/>
            </w:tcBorders>
          </w:tcPr>
          <w:p>
            <w:pPr>
              <w:pStyle w:val="TableParagraph"/>
              <w:spacing w:before="33"/>
              <w:ind w:right="435"/>
              <w:jc w:val="right"/>
              <w:rPr>
                <w:b/>
                <w:sz w:val="20"/>
              </w:rPr>
            </w:pPr>
            <w:r>
              <w:rPr>
                <w:b/>
                <w:spacing w:val="-2"/>
                <w:sz w:val="20"/>
              </w:rPr>
              <w:t>1,110</w:t>
            </w:r>
          </w:p>
        </w:tc>
        <w:tc>
          <w:tcPr>
            <w:tcW w:w="893" w:type="dxa"/>
            <w:tcBorders>
              <w:top w:val="single" w:sz="12" w:space="0" w:color="000000"/>
              <w:bottom w:val="single" w:sz="12" w:space="0" w:color="000000"/>
              <w:right w:val="single" w:sz="12" w:space="0" w:color="000000"/>
            </w:tcBorders>
          </w:tcPr>
          <w:p>
            <w:pPr>
              <w:pStyle w:val="TableParagraph"/>
              <w:spacing w:before="33"/>
              <w:ind w:right="76"/>
              <w:jc w:val="right"/>
              <w:rPr>
                <w:b/>
                <w:sz w:val="20"/>
              </w:rPr>
            </w:pPr>
            <w:r>
              <w:rPr>
                <w:b/>
                <w:spacing w:val="-4"/>
                <w:sz w:val="20"/>
              </w:rPr>
              <w:t>1.6%</w:t>
            </w:r>
          </w:p>
        </w:tc>
      </w:tr>
    </w:tbl>
    <w:p>
      <w:pPr>
        <w:pStyle w:val="BodyText"/>
        <w:spacing w:before="5"/>
        <w:rPr>
          <w:b/>
          <w:sz w:val="23"/>
        </w:rPr>
      </w:pPr>
    </w:p>
    <w:p>
      <w:pPr>
        <w:pStyle w:val="BodyText"/>
        <w:ind w:left="260" w:right="445"/>
      </w:pPr>
      <w:r>
        <w:rPr/>
        <w:t>Employee</w:t>
      </w:r>
      <w:r>
        <w:rPr>
          <w:spacing w:val="-2"/>
        </w:rPr>
        <w:t> </w:t>
      </w:r>
      <w:r>
        <w:rPr/>
        <w:t>costs include</w:t>
      </w:r>
      <w:r>
        <w:rPr>
          <w:spacing w:val="-4"/>
        </w:rPr>
        <w:t> </w:t>
      </w:r>
      <w:r>
        <w:rPr/>
        <w:t>all</w:t>
      </w:r>
      <w:r>
        <w:rPr>
          <w:spacing w:val="-2"/>
        </w:rPr>
        <w:t> </w:t>
      </w:r>
      <w:r>
        <w:rPr/>
        <w:t>labour</w:t>
      </w:r>
      <w:r>
        <w:rPr>
          <w:spacing w:val="-1"/>
        </w:rPr>
        <w:t> </w:t>
      </w:r>
      <w:r>
        <w:rPr/>
        <w:t>related</w:t>
      </w:r>
      <w:r>
        <w:rPr>
          <w:spacing w:val="-4"/>
        </w:rPr>
        <w:t> </w:t>
      </w:r>
      <w:r>
        <w:rPr/>
        <w:t>expenditure</w:t>
      </w:r>
      <w:r>
        <w:rPr>
          <w:spacing w:val="-1"/>
        </w:rPr>
        <w:t> </w:t>
      </w:r>
      <w:r>
        <w:rPr/>
        <w:t>such</w:t>
      </w:r>
      <w:r>
        <w:rPr>
          <w:spacing w:val="-1"/>
        </w:rPr>
        <w:t> </w:t>
      </w:r>
      <w:r>
        <w:rPr/>
        <w:t>as</w:t>
      </w:r>
      <w:r>
        <w:rPr>
          <w:spacing w:val="-4"/>
        </w:rPr>
        <w:t> </w:t>
      </w:r>
      <w:r>
        <w:rPr/>
        <w:t>wages</w:t>
      </w:r>
      <w:r>
        <w:rPr>
          <w:spacing w:val="-2"/>
        </w:rPr>
        <w:t> </w:t>
      </w:r>
      <w:r>
        <w:rPr/>
        <w:t>and</w:t>
      </w:r>
      <w:r>
        <w:rPr>
          <w:spacing w:val="-6"/>
        </w:rPr>
        <w:t> </w:t>
      </w:r>
      <w:r>
        <w:rPr/>
        <w:t>salaries</w:t>
      </w:r>
      <w:r>
        <w:rPr>
          <w:spacing w:val="-2"/>
        </w:rPr>
        <w:t> </w:t>
      </w:r>
      <w:r>
        <w:rPr/>
        <w:t>and</w:t>
      </w:r>
      <w:r>
        <w:rPr>
          <w:spacing w:val="-1"/>
        </w:rPr>
        <w:t> </w:t>
      </w:r>
      <w:r>
        <w:rPr/>
        <w:t>on-costs such</w:t>
      </w:r>
      <w:r>
        <w:rPr>
          <w:spacing w:val="-1"/>
        </w:rPr>
        <w:t> </w:t>
      </w:r>
      <w:r>
        <w:rPr/>
        <w:t>as allowances, leave entitlements, work cover and employer superannuation.</w:t>
      </w:r>
    </w:p>
    <w:p>
      <w:pPr>
        <w:pStyle w:val="BodyText"/>
        <w:ind w:left="260" w:right="445"/>
      </w:pPr>
      <w:r>
        <w:rPr/>
        <w:t>Employee</w:t>
      </w:r>
      <w:r>
        <w:rPr>
          <w:spacing w:val="-5"/>
        </w:rPr>
        <w:t> </w:t>
      </w:r>
      <w:r>
        <w:rPr/>
        <w:t>costs</w:t>
      </w:r>
      <w:r>
        <w:rPr>
          <w:spacing w:val="-7"/>
        </w:rPr>
        <w:t> </w:t>
      </w:r>
      <w:r>
        <w:rPr/>
        <w:t>are</w:t>
      </w:r>
      <w:r>
        <w:rPr>
          <w:spacing w:val="-7"/>
        </w:rPr>
        <w:t> </w:t>
      </w:r>
      <w:r>
        <w:rPr/>
        <w:t>forecast</w:t>
      </w:r>
      <w:r>
        <w:rPr>
          <w:spacing w:val="-5"/>
        </w:rPr>
        <w:t> </w:t>
      </w:r>
      <w:r>
        <w:rPr/>
        <w:t>to</w:t>
      </w:r>
      <w:r>
        <w:rPr>
          <w:spacing w:val="-6"/>
        </w:rPr>
        <w:t> </w:t>
      </w:r>
      <w:r>
        <w:rPr/>
        <w:t>increase</w:t>
      </w:r>
      <w:r>
        <w:rPr>
          <w:spacing w:val="-5"/>
        </w:rPr>
        <w:t> </w:t>
      </w:r>
      <w:r>
        <w:rPr/>
        <w:t>by</w:t>
      </w:r>
      <w:r>
        <w:rPr>
          <w:spacing w:val="-5"/>
        </w:rPr>
        <w:t> </w:t>
      </w:r>
      <w:r>
        <w:rPr/>
        <w:t>$1.11</w:t>
      </w:r>
      <w:r>
        <w:rPr>
          <w:spacing w:val="-6"/>
        </w:rPr>
        <w:t> </w:t>
      </w:r>
      <w:r>
        <w:rPr/>
        <w:t>million</w:t>
      </w:r>
      <w:r>
        <w:rPr>
          <w:spacing w:val="-5"/>
        </w:rPr>
        <w:t> </w:t>
      </w:r>
      <w:r>
        <w:rPr/>
        <w:t>or</w:t>
      </w:r>
      <w:r>
        <w:rPr>
          <w:spacing w:val="-5"/>
        </w:rPr>
        <w:t> </w:t>
      </w:r>
      <w:r>
        <w:rPr/>
        <w:t>1.6%</w:t>
      </w:r>
      <w:r>
        <w:rPr>
          <w:spacing w:val="-5"/>
        </w:rPr>
        <w:t> </w:t>
      </w:r>
      <w:r>
        <w:rPr/>
        <w:t>compared</w:t>
      </w:r>
      <w:r>
        <w:rPr>
          <w:spacing w:val="-5"/>
        </w:rPr>
        <w:t> </w:t>
      </w:r>
      <w:r>
        <w:rPr/>
        <w:t>to</w:t>
      </w:r>
      <w:r>
        <w:rPr>
          <w:spacing w:val="-6"/>
        </w:rPr>
        <w:t> </w:t>
      </w:r>
      <w:r>
        <w:rPr/>
        <w:t>2024/25</w:t>
      </w:r>
      <w:r>
        <w:rPr>
          <w:spacing w:val="-6"/>
        </w:rPr>
        <w:t> </w:t>
      </w:r>
      <w:r>
        <w:rPr/>
        <w:t>levels.</w:t>
      </w:r>
      <w:r>
        <w:rPr>
          <w:spacing w:val="-7"/>
        </w:rPr>
        <w:t> </w:t>
      </w:r>
      <w:r>
        <w:rPr/>
        <w:t>This</w:t>
      </w:r>
      <w:r>
        <w:rPr>
          <w:spacing w:val="-7"/>
        </w:rPr>
        <w:t> </w:t>
      </w:r>
      <w:r>
        <w:rPr/>
        <w:t>increase relates mainly</w:t>
      </w:r>
      <w:r>
        <w:rPr>
          <w:spacing w:val="3"/>
        </w:rPr>
        <w:t> </w:t>
      </w:r>
      <w:r>
        <w:rPr/>
        <w:t>to</w:t>
      </w:r>
      <w:r>
        <w:rPr>
          <w:spacing w:val="4"/>
        </w:rPr>
        <w:t> </w:t>
      </w:r>
      <w:r>
        <w:rPr/>
        <w:t>employee</w:t>
      </w:r>
      <w:r>
        <w:rPr>
          <w:spacing w:val="5"/>
        </w:rPr>
        <w:t> </w:t>
      </w:r>
      <w:r>
        <w:rPr/>
        <w:t>costs</w:t>
      </w:r>
      <w:r>
        <w:rPr>
          <w:spacing w:val="3"/>
        </w:rPr>
        <w:t> </w:t>
      </w:r>
      <w:r>
        <w:rPr/>
        <w:t>being</w:t>
      </w:r>
      <w:r>
        <w:rPr>
          <w:spacing w:val="4"/>
        </w:rPr>
        <w:t> </w:t>
      </w:r>
      <w:r>
        <w:rPr/>
        <w:t>aligned</w:t>
      </w:r>
      <w:r>
        <w:rPr>
          <w:spacing w:val="6"/>
        </w:rPr>
        <w:t> </w:t>
      </w:r>
      <w:r>
        <w:rPr/>
        <w:t>with</w:t>
      </w:r>
      <w:r>
        <w:rPr>
          <w:spacing w:val="1"/>
        </w:rPr>
        <w:t> </w:t>
      </w:r>
      <w:r>
        <w:rPr/>
        <w:t>the</w:t>
      </w:r>
      <w:r>
        <w:rPr>
          <w:spacing w:val="4"/>
        </w:rPr>
        <w:t> </w:t>
      </w:r>
      <w:r>
        <w:rPr/>
        <w:t>Enterprise</w:t>
      </w:r>
      <w:r>
        <w:rPr>
          <w:spacing w:val="4"/>
        </w:rPr>
        <w:t> </w:t>
      </w:r>
      <w:r>
        <w:rPr/>
        <w:t>Bargaining</w:t>
      </w:r>
      <w:r>
        <w:rPr>
          <w:spacing w:val="6"/>
        </w:rPr>
        <w:t> </w:t>
      </w:r>
      <w:r>
        <w:rPr/>
        <w:t>Agreement</w:t>
      </w:r>
      <w:r>
        <w:rPr>
          <w:spacing w:val="3"/>
        </w:rPr>
        <w:t> </w:t>
      </w:r>
      <w:r>
        <w:rPr/>
        <w:t>(EBA)</w:t>
      </w:r>
      <w:r>
        <w:rPr>
          <w:spacing w:val="5"/>
        </w:rPr>
        <w:t> </w:t>
      </w:r>
      <w:r>
        <w:rPr>
          <w:spacing w:val="-2"/>
        </w:rPr>
        <w:t>outcomes</w:t>
      </w:r>
    </w:p>
    <w:p>
      <w:pPr>
        <w:spacing w:after="0"/>
        <w:sectPr>
          <w:pgSz w:w="11910" w:h="16840"/>
          <w:pgMar w:header="0" w:footer="375" w:top="620" w:bottom="560" w:left="460" w:right="160"/>
        </w:sectPr>
      </w:pPr>
    </w:p>
    <w:p>
      <w:pPr>
        <w:pStyle w:val="BodyText"/>
        <w:spacing w:before="81"/>
        <w:ind w:left="260" w:right="445"/>
      </w:pPr>
      <w:r>
        <w:rPr/>
        <w:t>for</w:t>
      </w:r>
      <w:r>
        <w:rPr>
          <w:spacing w:val="80"/>
        </w:rPr>
        <w:t> </w:t>
      </w:r>
      <w:r>
        <w:rPr/>
        <w:t>2025/26,</w:t>
      </w:r>
      <w:r>
        <w:rPr>
          <w:spacing w:val="80"/>
        </w:rPr>
        <w:t> </w:t>
      </w:r>
      <w:r>
        <w:rPr/>
        <w:t>projected</w:t>
      </w:r>
      <w:r>
        <w:rPr>
          <w:spacing w:val="80"/>
        </w:rPr>
        <w:t> </w:t>
      </w:r>
      <w:r>
        <w:rPr/>
        <w:t>movement</w:t>
      </w:r>
      <w:r>
        <w:rPr>
          <w:spacing w:val="80"/>
        </w:rPr>
        <w:t> </w:t>
      </w:r>
      <w:r>
        <w:rPr/>
        <w:t>of</w:t>
      </w:r>
      <w:r>
        <w:rPr>
          <w:spacing w:val="80"/>
        </w:rPr>
        <w:t> </w:t>
      </w:r>
      <w:r>
        <w:rPr/>
        <w:t>employees</w:t>
      </w:r>
      <w:r>
        <w:rPr>
          <w:spacing w:val="80"/>
        </w:rPr>
        <w:t> </w:t>
      </w:r>
      <w:r>
        <w:rPr/>
        <w:t>within</w:t>
      </w:r>
      <w:r>
        <w:rPr>
          <w:spacing w:val="80"/>
        </w:rPr>
        <w:t> </w:t>
      </w:r>
      <w:r>
        <w:rPr/>
        <w:t>employment</w:t>
      </w:r>
      <w:r>
        <w:rPr>
          <w:spacing w:val="80"/>
        </w:rPr>
        <w:t> </w:t>
      </w:r>
      <w:r>
        <w:rPr/>
        <w:t>bands</w:t>
      </w:r>
      <w:r>
        <w:rPr>
          <w:spacing w:val="80"/>
        </w:rPr>
        <w:t> </w:t>
      </w:r>
      <w:r>
        <w:rPr/>
        <w:t>and</w:t>
      </w:r>
      <w:r>
        <w:rPr>
          <w:spacing w:val="80"/>
        </w:rPr>
        <w:t> </w:t>
      </w:r>
      <w:r>
        <w:rPr/>
        <w:t>0.5%</w:t>
      </w:r>
      <w:r>
        <w:rPr>
          <w:spacing w:val="80"/>
        </w:rPr>
        <w:t> </w:t>
      </w:r>
      <w:r>
        <w:rPr/>
        <w:t>increase</w:t>
      </w:r>
      <w:r>
        <w:rPr>
          <w:spacing w:val="80"/>
        </w:rPr>
        <w:t> </w:t>
      </w:r>
      <w:r>
        <w:rPr/>
        <w:t>in</w:t>
      </w:r>
      <w:r>
        <w:rPr>
          <w:spacing w:val="40"/>
        </w:rPr>
        <w:t> </w:t>
      </w:r>
      <w:r>
        <w:rPr/>
        <w:t>Superannuation Guarantee Contribution from the current rate of 11.50 % to 12.00% from 1 July 2025.</w:t>
      </w:r>
    </w:p>
    <w:p>
      <w:pPr>
        <w:pStyle w:val="BodyText"/>
      </w:pPr>
    </w:p>
    <w:p>
      <w:pPr>
        <w:pStyle w:val="Heading4"/>
        <w:numPr>
          <w:ilvl w:val="2"/>
          <w:numId w:val="59"/>
        </w:numPr>
        <w:tabs>
          <w:tab w:pos="862" w:val="left" w:leader="none"/>
        </w:tabs>
        <w:spacing w:line="240" w:lineRule="auto" w:before="0" w:after="0"/>
        <w:ind w:left="861" w:right="0" w:hanging="602"/>
        <w:jc w:val="left"/>
      </w:pPr>
      <w:r>
        <w:rPr>
          <w:color w:val="4966AC"/>
        </w:rPr>
        <w:t>Materials</w:t>
      </w:r>
      <w:r>
        <w:rPr>
          <w:color w:val="4966AC"/>
          <w:spacing w:val="-2"/>
        </w:rPr>
        <w:t> </w:t>
      </w:r>
      <w:r>
        <w:rPr>
          <w:color w:val="4966AC"/>
        </w:rPr>
        <w:t>and</w:t>
      </w:r>
      <w:r>
        <w:rPr>
          <w:color w:val="4966AC"/>
          <w:spacing w:val="2"/>
        </w:rPr>
        <w:t> </w:t>
      </w:r>
      <w:r>
        <w:rPr>
          <w:color w:val="4966AC"/>
          <w:spacing w:val="-2"/>
        </w:rPr>
        <w:t>services</w:t>
      </w:r>
    </w:p>
    <w:p>
      <w:pPr>
        <w:pStyle w:val="BodyText"/>
        <w:spacing w:before="1"/>
        <w:rPr>
          <w:b/>
        </w:rPr>
      </w:pPr>
    </w:p>
    <w:tbl>
      <w:tblPr>
        <w:tblW w:w="0" w:type="auto"/>
        <w:jc w:val="left"/>
        <w:tblInd w:w="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42"/>
        <w:gridCol w:w="1327"/>
        <w:gridCol w:w="1325"/>
        <w:gridCol w:w="1795"/>
        <w:gridCol w:w="1028"/>
      </w:tblGrid>
      <w:tr>
        <w:trPr>
          <w:trHeight w:val="1229" w:hRule="atLeast"/>
        </w:trPr>
        <w:tc>
          <w:tcPr>
            <w:tcW w:w="6369" w:type="dxa"/>
            <w:gridSpan w:val="2"/>
            <w:tcBorders>
              <w:top w:val="single" w:sz="18" w:space="0" w:color="000000"/>
              <w:left w:val="single" w:sz="12" w:space="0" w:color="000000"/>
            </w:tcBorders>
            <w:shd w:val="clear" w:color="auto" w:fill="5B9AD4"/>
          </w:tcPr>
          <w:p>
            <w:pPr>
              <w:pStyle w:val="TableParagraph"/>
              <w:spacing w:before="18"/>
              <w:ind w:left="5329" w:right="254"/>
              <w:jc w:val="center"/>
              <w:rPr>
                <w:b/>
                <w:sz w:val="18"/>
              </w:rPr>
            </w:pPr>
            <w:r>
              <w:rPr>
                <w:b/>
                <w:color w:val="FFFFFF"/>
                <w:spacing w:val="-2"/>
                <w:sz w:val="18"/>
              </w:rPr>
              <w:t>Forecast Actual</w:t>
            </w:r>
          </w:p>
          <w:p>
            <w:pPr>
              <w:pStyle w:val="TableParagraph"/>
              <w:spacing w:before="74"/>
              <w:ind w:left="5327" w:right="254"/>
              <w:jc w:val="center"/>
              <w:rPr>
                <w:b/>
                <w:sz w:val="18"/>
              </w:rPr>
            </w:pPr>
            <w:r>
              <w:rPr>
                <w:b/>
                <w:color w:val="FFFFFF"/>
                <w:spacing w:val="-2"/>
                <w:sz w:val="18"/>
              </w:rPr>
              <w:t>2024/25</w:t>
            </w:r>
          </w:p>
          <w:p>
            <w:pPr>
              <w:pStyle w:val="TableParagraph"/>
              <w:spacing w:before="9"/>
              <w:rPr>
                <w:b/>
                <w:sz w:val="26"/>
              </w:rPr>
            </w:pPr>
          </w:p>
          <w:p>
            <w:pPr>
              <w:pStyle w:val="TableParagraph"/>
              <w:spacing w:line="187" w:lineRule="exact" w:before="1"/>
              <w:ind w:left="5325" w:right="254"/>
              <w:jc w:val="center"/>
              <w:rPr>
                <w:b/>
                <w:sz w:val="18"/>
              </w:rPr>
            </w:pPr>
            <w:r>
              <w:rPr>
                <w:b/>
                <w:color w:val="FFFFFF"/>
                <w:spacing w:val="-2"/>
                <w:sz w:val="18"/>
              </w:rPr>
              <w:t>$’000</w:t>
            </w:r>
          </w:p>
        </w:tc>
        <w:tc>
          <w:tcPr>
            <w:tcW w:w="1325" w:type="dxa"/>
            <w:tcBorders>
              <w:top w:val="single" w:sz="18" w:space="0" w:color="000000"/>
            </w:tcBorders>
            <w:shd w:val="clear" w:color="auto" w:fill="5B9AD4"/>
          </w:tcPr>
          <w:p>
            <w:pPr>
              <w:pStyle w:val="TableParagraph"/>
              <w:spacing w:line="446" w:lineRule="auto" w:before="122"/>
              <w:ind w:left="353" w:right="315" w:firstLine="14"/>
              <w:rPr>
                <w:b/>
                <w:sz w:val="18"/>
              </w:rPr>
            </w:pPr>
            <w:r>
              <w:rPr>
                <w:b/>
                <w:color w:val="FFFFFF"/>
                <w:spacing w:val="-2"/>
                <w:sz w:val="18"/>
              </w:rPr>
              <w:t>Budget 2025/26</w:t>
            </w:r>
          </w:p>
          <w:p>
            <w:pPr>
              <w:pStyle w:val="TableParagraph"/>
              <w:spacing w:line="187" w:lineRule="exact" w:before="130"/>
              <w:ind w:left="451"/>
              <w:rPr>
                <w:b/>
                <w:sz w:val="18"/>
              </w:rPr>
            </w:pPr>
            <w:r>
              <w:rPr>
                <w:b/>
                <w:color w:val="FFFFFF"/>
                <w:spacing w:val="-2"/>
                <w:sz w:val="18"/>
              </w:rPr>
              <w:t>$’000</w:t>
            </w:r>
          </w:p>
        </w:tc>
        <w:tc>
          <w:tcPr>
            <w:tcW w:w="1795" w:type="dxa"/>
            <w:tcBorders>
              <w:top w:val="single" w:sz="18" w:space="0" w:color="000000"/>
            </w:tcBorders>
            <w:shd w:val="clear" w:color="auto" w:fill="5B9AD4"/>
          </w:tcPr>
          <w:p>
            <w:pPr>
              <w:pStyle w:val="TableParagraph"/>
              <w:spacing w:before="6"/>
              <w:rPr>
                <w:b/>
                <w:sz w:val="23"/>
              </w:rPr>
            </w:pPr>
          </w:p>
          <w:p>
            <w:pPr>
              <w:pStyle w:val="TableParagraph"/>
              <w:ind w:left="1094"/>
              <w:rPr>
                <w:b/>
                <w:sz w:val="18"/>
              </w:rPr>
            </w:pPr>
            <w:r>
              <w:rPr>
                <w:b/>
                <w:color w:val="FFFFFF"/>
                <w:spacing w:val="-2"/>
                <w:sz w:val="18"/>
              </w:rPr>
              <w:t>Change</w:t>
            </w:r>
          </w:p>
          <w:p>
            <w:pPr>
              <w:pStyle w:val="TableParagraph"/>
              <w:rPr>
                <w:b/>
                <w:sz w:val="20"/>
              </w:rPr>
            </w:pPr>
          </w:p>
          <w:p>
            <w:pPr>
              <w:pStyle w:val="TableParagraph"/>
              <w:spacing w:before="3"/>
              <w:rPr>
                <w:b/>
                <w:sz w:val="27"/>
              </w:rPr>
            </w:pPr>
          </w:p>
          <w:p>
            <w:pPr>
              <w:pStyle w:val="TableParagraph"/>
              <w:spacing w:line="187" w:lineRule="exact" w:before="1"/>
              <w:ind w:left="451"/>
              <w:rPr>
                <w:b/>
                <w:sz w:val="18"/>
              </w:rPr>
            </w:pPr>
            <w:r>
              <w:rPr>
                <w:b/>
                <w:color w:val="FFFFFF"/>
                <w:spacing w:val="-2"/>
                <w:sz w:val="18"/>
              </w:rPr>
              <w:t>$’000</w:t>
            </w:r>
          </w:p>
        </w:tc>
        <w:tc>
          <w:tcPr>
            <w:tcW w:w="1028" w:type="dxa"/>
            <w:tcBorders>
              <w:top w:val="single" w:sz="18" w:space="0" w:color="000000"/>
              <w:right w:val="single" w:sz="12" w:space="0" w:color="000000"/>
            </w:tcBorders>
            <w:shd w:val="clear" w:color="auto" w:fill="5B9AD4"/>
          </w:tcPr>
          <w:p>
            <w:pPr>
              <w:pStyle w:val="TableParagraph"/>
              <w:rPr>
                <w:b/>
                <w:sz w:val="20"/>
              </w:rPr>
            </w:pPr>
          </w:p>
          <w:p>
            <w:pPr>
              <w:pStyle w:val="TableParagraph"/>
              <w:rPr>
                <w:b/>
                <w:sz w:val="20"/>
              </w:rPr>
            </w:pPr>
          </w:p>
          <w:p>
            <w:pPr>
              <w:pStyle w:val="TableParagraph"/>
              <w:rPr>
                <w:b/>
                <w:sz w:val="20"/>
              </w:rPr>
            </w:pPr>
          </w:p>
          <w:p>
            <w:pPr>
              <w:pStyle w:val="TableParagraph"/>
              <w:spacing w:before="9"/>
              <w:rPr>
                <w:b/>
                <w:sz w:val="28"/>
              </w:rPr>
            </w:pPr>
          </w:p>
          <w:p>
            <w:pPr>
              <w:pStyle w:val="TableParagraph"/>
              <w:spacing w:line="187" w:lineRule="exact" w:before="1"/>
              <w:ind w:left="52"/>
              <w:rPr>
                <w:b/>
                <w:sz w:val="18"/>
              </w:rPr>
            </w:pPr>
            <w:r>
              <w:rPr>
                <w:b/>
                <w:color w:val="FFFFFF"/>
                <w:spacing w:val="-2"/>
                <w:sz w:val="18"/>
              </w:rPr>
              <w:t>$’000</w:t>
            </w:r>
          </w:p>
        </w:tc>
      </w:tr>
      <w:tr>
        <w:trPr>
          <w:trHeight w:val="314" w:hRule="atLeast"/>
        </w:trPr>
        <w:tc>
          <w:tcPr>
            <w:tcW w:w="5042" w:type="dxa"/>
            <w:tcBorders>
              <w:left w:val="single" w:sz="12" w:space="0" w:color="000000"/>
            </w:tcBorders>
          </w:tcPr>
          <w:p>
            <w:pPr>
              <w:pStyle w:val="TableParagraph"/>
              <w:spacing w:before="64"/>
              <w:ind w:left="107"/>
              <w:rPr>
                <w:sz w:val="20"/>
              </w:rPr>
            </w:pPr>
            <w:r>
              <w:rPr>
                <w:sz w:val="20"/>
              </w:rPr>
              <w:t>Agency</w:t>
            </w:r>
            <w:r>
              <w:rPr>
                <w:spacing w:val="-8"/>
                <w:sz w:val="20"/>
              </w:rPr>
              <w:t> </w:t>
            </w:r>
            <w:r>
              <w:rPr>
                <w:spacing w:val="-2"/>
                <w:sz w:val="20"/>
              </w:rPr>
              <w:t>staff</w:t>
            </w:r>
          </w:p>
        </w:tc>
        <w:tc>
          <w:tcPr>
            <w:tcW w:w="1327" w:type="dxa"/>
          </w:tcPr>
          <w:p>
            <w:pPr>
              <w:pStyle w:val="TableParagraph"/>
              <w:spacing w:before="33"/>
              <w:ind w:right="93"/>
              <w:jc w:val="right"/>
              <w:rPr>
                <w:sz w:val="20"/>
              </w:rPr>
            </w:pPr>
            <w:r>
              <w:rPr>
                <w:spacing w:val="-5"/>
                <w:sz w:val="20"/>
              </w:rPr>
              <w:t>429</w:t>
            </w:r>
          </w:p>
        </w:tc>
        <w:tc>
          <w:tcPr>
            <w:tcW w:w="1325" w:type="dxa"/>
            <w:shd w:val="clear" w:color="auto" w:fill="DDEBF6"/>
          </w:tcPr>
          <w:p>
            <w:pPr>
              <w:pStyle w:val="TableParagraph"/>
              <w:spacing w:before="33"/>
              <w:ind w:right="91"/>
              <w:jc w:val="right"/>
              <w:rPr>
                <w:b/>
                <w:sz w:val="20"/>
              </w:rPr>
            </w:pPr>
            <w:r>
              <w:rPr>
                <w:b/>
                <w:spacing w:val="-5"/>
                <w:sz w:val="20"/>
              </w:rPr>
              <w:t>272</w:t>
            </w:r>
          </w:p>
        </w:tc>
        <w:tc>
          <w:tcPr>
            <w:tcW w:w="1795" w:type="dxa"/>
          </w:tcPr>
          <w:p>
            <w:pPr>
              <w:pStyle w:val="TableParagraph"/>
              <w:spacing w:before="33"/>
              <w:ind w:right="565"/>
              <w:jc w:val="right"/>
              <w:rPr>
                <w:sz w:val="20"/>
              </w:rPr>
            </w:pPr>
            <w:r>
              <w:rPr>
                <w:spacing w:val="-2"/>
                <w:sz w:val="20"/>
              </w:rPr>
              <w:t>(157)</w:t>
            </w:r>
          </w:p>
        </w:tc>
        <w:tc>
          <w:tcPr>
            <w:tcW w:w="1028" w:type="dxa"/>
            <w:tcBorders>
              <w:right w:val="single" w:sz="12" w:space="0" w:color="000000"/>
            </w:tcBorders>
          </w:tcPr>
          <w:p>
            <w:pPr>
              <w:pStyle w:val="TableParagraph"/>
              <w:spacing w:before="33"/>
              <w:ind w:right="81"/>
              <w:jc w:val="right"/>
              <w:rPr>
                <w:sz w:val="20"/>
              </w:rPr>
            </w:pPr>
            <w:r>
              <w:rPr>
                <w:spacing w:val="-2"/>
                <w:sz w:val="20"/>
              </w:rPr>
              <w:t>(36.6%)</w:t>
            </w:r>
          </w:p>
        </w:tc>
      </w:tr>
      <w:tr>
        <w:trPr>
          <w:trHeight w:val="295" w:hRule="atLeast"/>
        </w:trPr>
        <w:tc>
          <w:tcPr>
            <w:tcW w:w="5042" w:type="dxa"/>
            <w:tcBorders>
              <w:left w:val="single" w:sz="12" w:space="0" w:color="000000"/>
            </w:tcBorders>
          </w:tcPr>
          <w:p>
            <w:pPr>
              <w:pStyle w:val="TableParagraph"/>
              <w:spacing w:before="44"/>
              <w:ind w:left="107"/>
              <w:rPr>
                <w:sz w:val="20"/>
              </w:rPr>
            </w:pPr>
            <w:r>
              <w:rPr>
                <w:spacing w:val="-2"/>
                <w:sz w:val="20"/>
              </w:rPr>
              <w:t>Apprentices</w:t>
            </w:r>
          </w:p>
        </w:tc>
        <w:tc>
          <w:tcPr>
            <w:tcW w:w="1327" w:type="dxa"/>
          </w:tcPr>
          <w:p>
            <w:pPr>
              <w:pStyle w:val="TableParagraph"/>
              <w:spacing w:before="13"/>
              <w:ind w:right="93"/>
              <w:jc w:val="right"/>
              <w:rPr>
                <w:sz w:val="20"/>
              </w:rPr>
            </w:pPr>
            <w:r>
              <w:rPr>
                <w:spacing w:val="-5"/>
                <w:sz w:val="20"/>
              </w:rPr>
              <w:t>453</w:t>
            </w:r>
          </w:p>
        </w:tc>
        <w:tc>
          <w:tcPr>
            <w:tcW w:w="1325" w:type="dxa"/>
            <w:shd w:val="clear" w:color="auto" w:fill="DDEBF6"/>
          </w:tcPr>
          <w:p>
            <w:pPr>
              <w:pStyle w:val="TableParagraph"/>
              <w:spacing w:before="13"/>
              <w:ind w:right="91"/>
              <w:jc w:val="right"/>
              <w:rPr>
                <w:b/>
                <w:sz w:val="20"/>
              </w:rPr>
            </w:pPr>
            <w:r>
              <w:rPr>
                <w:b/>
                <w:spacing w:val="-5"/>
                <w:sz w:val="20"/>
              </w:rPr>
              <w:t>662</w:t>
            </w:r>
          </w:p>
        </w:tc>
        <w:tc>
          <w:tcPr>
            <w:tcW w:w="1795" w:type="dxa"/>
          </w:tcPr>
          <w:p>
            <w:pPr>
              <w:pStyle w:val="TableParagraph"/>
              <w:spacing w:before="13"/>
              <w:ind w:right="563"/>
              <w:jc w:val="right"/>
              <w:rPr>
                <w:sz w:val="20"/>
              </w:rPr>
            </w:pPr>
            <w:r>
              <w:rPr>
                <w:spacing w:val="-5"/>
                <w:sz w:val="20"/>
              </w:rPr>
              <w:t>209</w:t>
            </w:r>
          </w:p>
        </w:tc>
        <w:tc>
          <w:tcPr>
            <w:tcW w:w="1028" w:type="dxa"/>
            <w:tcBorders>
              <w:right w:val="single" w:sz="12" w:space="0" w:color="000000"/>
            </w:tcBorders>
          </w:tcPr>
          <w:p>
            <w:pPr>
              <w:pStyle w:val="TableParagraph"/>
              <w:spacing w:before="13"/>
              <w:ind w:right="79"/>
              <w:jc w:val="right"/>
              <w:rPr>
                <w:sz w:val="20"/>
              </w:rPr>
            </w:pPr>
            <w:r>
              <w:rPr>
                <w:spacing w:val="-2"/>
                <w:sz w:val="20"/>
              </w:rPr>
              <w:t>46.1%</w:t>
            </w:r>
          </w:p>
        </w:tc>
      </w:tr>
      <w:tr>
        <w:trPr>
          <w:trHeight w:val="293" w:hRule="atLeast"/>
        </w:trPr>
        <w:tc>
          <w:tcPr>
            <w:tcW w:w="5042" w:type="dxa"/>
            <w:tcBorders>
              <w:left w:val="single" w:sz="12" w:space="0" w:color="000000"/>
            </w:tcBorders>
          </w:tcPr>
          <w:p>
            <w:pPr>
              <w:pStyle w:val="TableParagraph"/>
              <w:spacing w:line="229" w:lineRule="exact" w:before="44"/>
              <w:ind w:left="107"/>
              <w:rPr>
                <w:sz w:val="20"/>
              </w:rPr>
            </w:pPr>
            <w:r>
              <w:rPr>
                <w:sz w:val="20"/>
              </w:rPr>
              <w:t>Bank</w:t>
            </w:r>
            <w:r>
              <w:rPr>
                <w:spacing w:val="-8"/>
                <w:sz w:val="20"/>
              </w:rPr>
              <w:t> </w:t>
            </w:r>
            <w:r>
              <w:rPr>
                <w:spacing w:val="-2"/>
                <w:sz w:val="20"/>
              </w:rPr>
              <w:t>charges</w:t>
            </w:r>
          </w:p>
        </w:tc>
        <w:tc>
          <w:tcPr>
            <w:tcW w:w="1327" w:type="dxa"/>
          </w:tcPr>
          <w:p>
            <w:pPr>
              <w:pStyle w:val="TableParagraph"/>
              <w:spacing w:before="13"/>
              <w:ind w:right="93"/>
              <w:jc w:val="right"/>
              <w:rPr>
                <w:sz w:val="20"/>
              </w:rPr>
            </w:pPr>
            <w:r>
              <w:rPr>
                <w:spacing w:val="-5"/>
                <w:sz w:val="20"/>
              </w:rPr>
              <w:t>326</w:t>
            </w:r>
          </w:p>
        </w:tc>
        <w:tc>
          <w:tcPr>
            <w:tcW w:w="1325" w:type="dxa"/>
            <w:shd w:val="clear" w:color="auto" w:fill="DDEBF6"/>
          </w:tcPr>
          <w:p>
            <w:pPr>
              <w:pStyle w:val="TableParagraph"/>
              <w:spacing w:before="13"/>
              <w:ind w:right="91"/>
              <w:jc w:val="right"/>
              <w:rPr>
                <w:b/>
                <w:sz w:val="20"/>
              </w:rPr>
            </w:pPr>
            <w:r>
              <w:rPr>
                <w:b/>
                <w:spacing w:val="-5"/>
                <w:sz w:val="20"/>
              </w:rPr>
              <w:t>370</w:t>
            </w:r>
          </w:p>
        </w:tc>
        <w:tc>
          <w:tcPr>
            <w:tcW w:w="1795" w:type="dxa"/>
          </w:tcPr>
          <w:p>
            <w:pPr>
              <w:pStyle w:val="TableParagraph"/>
              <w:spacing w:before="13"/>
              <w:ind w:right="564"/>
              <w:jc w:val="right"/>
              <w:rPr>
                <w:sz w:val="20"/>
              </w:rPr>
            </w:pPr>
            <w:r>
              <w:rPr>
                <w:spacing w:val="-5"/>
                <w:sz w:val="20"/>
              </w:rPr>
              <w:t>44</w:t>
            </w:r>
          </w:p>
        </w:tc>
        <w:tc>
          <w:tcPr>
            <w:tcW w:w="1028" w:type="dxa"/>
            <w:tcBorders>
              <w:right w:val="single" w:sz="12" w:space="0" w:color="000000"/>
            </w:tcBorders>
          </w:tcPr>
          <w:p>
            <w:pPr>
              <w:pStyle w:val="TableParagraph"/>
              <w:spacing w:before="13"/>
              <w:ind w:right="79"/>
              <w:jc w:val="right"/>
              <w:rPr>
                <w:sz w:val="20"/>
              </w:rPr>
            </w:pPr>
            <w:r>
              <w:rPr>
                <w:spacing w:val="-2"/>
                <w:sz w:val="20"/>
              </w:rPr>
              <w:t>13.5%</w:t>
            </w:r>
          </w:p>
        </w:tc>
      </w:tr>
      <w:tr>
        <w:trPr>
          <w:trHeight w:val="295" w:hRule="atLeast"/>
        </w:trPr>
        <w:tc>
          <w:tcPr>
            <w:tcW w:w="5042" w:type="dxa"/>
            <w:tcBorders>
              <w:left w:val="single" w:sz="12" w:space="0" w:color="000000"/>
            </w:tcBorders>
          </w:tcPr>
          <w:p>
            <w:pPr>
              <w:pStyle w:val="TableParagraph"/>
              <w:spacing w:line="229" w:lineRule="exact" w:before="46"/>
              <w:ind w:left="107"/>
              <w:rPr>
                <w:sz w:val="20"/>
              </w:rPr>
            </w:pPr>
            <w:r>
              <w:rPr>
                <w:spacing w:val="-2"/>
                <w:sz w:val="20"/>
              </w:rPr>
              <w:t>Cleaning</w:t>
            </w:r>
          </w:p>
        </w:tc>
        <w:tc>
          <w:tcPr>
            <w:tcW w:w="1327" w:type="dxa"/>
          </w:tcPr>
          <w:p>
            <w:pPr>
              <w:pStyle w:val="TableParagraph"/>
              <w:spacing w:before="12"/>
              <w:ind w:right="92"/>
              <w:jc w:val="right"/>
              <w:rPr>
                <w:sz w:val="20"/>
              </w:rPr>
            </w:pPr>
            <w:r>
              <w:rPr>
                <w:spacing w:val="-2"/>
                <w:sz w:val="20"/>
              </w:rPr>
              <w:t>1,261</w:t>
            </w:r>
          </w:p>
        </w:tc>
        <w:tc>
          <w:tcPr>
            <w:tcW w:w="1325" w:type="dxa"/>
            <w:shd w:val="clear" w:color="auto" w:fill="DDEBF6"/>
          </w:tcPr>
          <w:p>
            <w:pPr>
              <w:pStyle w:val="TableParagraph"/>
              <w:spacing w:before="12"/>
              <w:ind w:right="90"/>
              <w:jc w:val="right"/>
              <w:rPr>
                <w:b/>
                <w:sz w:val="20"/>
              </w:rPr>
            </w:pPr>
            <w:r>
              <w:rPr>
                <w:b/>
                <w:spacing w:val="-2"/>
                <w:sz w:val="20"/>
              </w:rPr>
              <w:t>1,415</w:t>
            </w:r>
          </w:p>
        </w:tc>
        <w:tc>
          <w:tcPr>
            <w:tcW w:w="1795" w:type="dxa"/>
          </w:tcPr>
          <w:p>
            <w:pPr>
              <w:pStyle w:val="TableParagraph"/>
              <w:spacing w:before="12"/>
              <w:ind w:right="563"/>
              <w:jc w:val="right"/>
              <w:rPr>
                <w:sz w:val="20"/>
              </w:rPr>
            </w:pPr>
            <w:r>
              <w:rPr>
                <w:spacing w:val="-5"/>
                <w:sz w:val="20"/>
              </w:rPr>
              <w:t>154</w:t>
            </w:r>
          </w:p>
        </w:tc>
        <w:tc>
          <w:tcPr>
            <w:tcW w:w="1028" w:type="dxa"/>
            <w:tcBorders>
              <w:right w:val="single" w:sz="12" w:space="0" w:color="000000"/>
            </w:tcBorders>
          </w:tcPr>
          <w:p>
            <w:pPr>
              <w:pStyle w:val="TableParagraph"/>
              <w:spacing w:before="12"/>
              <w:ind w:right="79"/>
              <w:jc w:val="right"/>
              <w:rPr>
                <w:sz w:val="20"/>
              </w:rPr>
            </w:pPr>
            <w:r>
              <w:rPr>
                <w:spacing w:val="-2"/>
                <w:sz w:val="20"/>
              </w:rPr>
              <w:t>12.2%</w:t>
            </w:r>
          </w:p>
        </w:tc>
      </w:tr>
      <w:tr>
        <w:trPr>
          <w:trHeight w:val="295" w:hRule="atLeast"/>
        </w:trPr>
        <w:tc>
          <w:tcPr>
            <w:tcW w:w="5042" w:type="dxa"/>
            <w:tcBorders>
              <w:left w:val="single" w:sz="12" w:space="0" w:color="000000"/>
            </w:tcBorders>
          </w:tcPr>
          <w:p>
            <w:pPr>
              <w:pStyle w:val="TableParagraph"/>
              <w:spacing w:line="229" w:lineRule="exact" w:before="46"/>
              <w:ind w:left="107"/>
              <w:rPr>
                <w:sz w:val="20"/>
              </w:rPr>
            </w:pPr>
            <w:r>
              <w:rPr>
                <w:sz w:val="20"/>
              </w:rPr>
              <w:t>Communication,</w:t>
            </w:r>
            <w:r>
              <w:rPr>
                <w:spacing w:val="-7"/>
                <w:sz w:val="20"/>
              </w:rPr>
              <w:t> </w:t>
            </w:r>
            <w:r>
              <w:rPr>
                <w:sz w:val="20"/>
              </w:rPr>
              <w:t>postage</w:t>
            </w:r>
            <w:r>
              <w:rPr>
                <w:spacing w:val="-7"/>
                <w:sz w:val="20"/>
              </w:rPr>
              <w:t> </w:t>
            </w:r>
            <w:r>
              <w:rPr>
                <w:sz w:val="20"/>
              </w:rPr>
              <w:t>&amp;</w:t>
            </w:r>
            <w:r>
              <w:rPr>
                <w:spacing w:val="-8"/>
                <w:sz w:val="20"/>
              </w:rPr>
              <w:t> </w:t>
            </w:r>
            <w:r>
              <w:rPr>
                <w:spacing w:val="-2"/>
                <w:sz w:val="20"/>
              </w:rPr>
              <w:t>advertising</w:t>
            </w:r>
          </w:p>
        </w:tc>
        <w:tc>
          <w:tcPr>
            <w:tcW w:w="1327" w:type="dxa"/>
          </w:tcPr>
          <w:p>
            <w:pPr>
              <w:pStyle w:val="TableParagraph"/>
              <w:spacing w:before="12"/>
              <w:ind w:right="92"/>
              <w:jc w:val="right"/>
              <w:rPr>
                <w:sz w:val="20"/>
              </w:rPr>
            </w:pPr>
            <w:r>
              <w:rPr>
                <w:spacing w:val="-2"/>
                <w:sz w:val="20"/>
              </w:rPr>
              <w:t>1,168</w:t>
            </w:r>
          </w:p>
        </w:tc>
        <w:tc>
          <w:tcPr>
            <w:tcW w:w="1325" w:type="dxa"/>
            <w:shd w:val="clear" w:color="auto" w:fill="DDEBF6"/>
          </w:tcPr>
          <w:p>
            <w:pPr>
              <w:pStyle w:val="TableParagraph"/>
              <w:spacing w:before="12"/>
              <w:ind w:right="90"/>
              <w:jc w:val="right"/>
              <w:rPr>
                <w:b/>
                <w:sz w:val="20"/>
              </w:rPr>
            </w:pPr>
            <w:r>
              <w:rPr>
                <w:b/>
                <w:spacing w:val="-2"/>
                <w:sz w:val="20"/>
              </w:rPr>
              <w:t>1,338</w:t>
            </w:r>
          </w:p>
        </w:tc>
        <w:tc>
          <w:tcPr>
            <w:tcW w:w="1795" w:type="dxa"/>
          </w:tcPr>
          <w:p>
            <w:pPr>
              <w:pStyle w:val="TableParagraph"/>
              <w:spacing w:before="12"/>
              <w:ind w:right="563"/>
              <w:jc w:val="right"/>
              <w:rPr>
                <w:sz w:val="20"/>
              </w:rPr>
            </w:pPr>
            <w:r>
              <w:rPr>
                <w:spacing w:val="-5"/>
                <w:sz w:val="20"/>
              </w:rPr>
              <w:t>170</w:t>
            </w:r>
          </w:p>
        </w:tc>
        <w:tc>
          <w:tcPr>
            <w:tcW w:w="1028" w:type="dxa"/>
            <w:tcBorders>
              <w:right w:val="single" w:sz="12" w:space="0" w:color="000000"/>
            </w:tcBorders>
          </w:tcPr>
          <w:p>
            <w:pPr>
              <w:pStyle w:val="TableParagraph"/>
              <w:spacing w:before="12"/>
              <w:ind w:right="79"/>
              <w:jc w:val="right"/>
              <w:rPr>
                <w:sz w:val="20"/>
              </w:rPr>
            </w:pPr>
            <w:r>
              <w:rPr>
                <w:spacing w:val="-2"/>
                <w:sz w:val="20"/>
              </w:rPr>
              <w:t>14.6%</w:t>
            </w:r>
          </w:p>
        </w:tc>
      </w:tr>
      <w:tr>
        <w:trPr>
          <w:trHeight w:val="295" w:hRule="atLeast"/>
        </w:trPr>
        <w:tc>
          <w:tcPr>
            <w:tcW w:w="5042" w:type="dxa"/>
            <w:tcBorders>
              <w:left w:val="single" w:sz="12" w:space="0" w:color="000000"/>
            </w:tcBorders>
          </w:tcPr>
          <w:p>
            <w:pPr>
              <w:pStyle w:val="TableParagraph"/>
              <w:spacing w:line="229" w:lineRule="exact" w:before="46"/>
              <w:ind w:left="107"/>
              <w:rPr>
                <w:sz w:val="20"/>
              </w:rPr>
            </w:pPr>
            <w:r>
              <w:rPr>
                <w:spacing w:val="-2"/>
                <w:sz w:val="20"/>
              </w:rPr>
              <w:t>Consultants</w:t>
            </w:r>
          </w:p>
        </w:tc>
        <w:tc>
          <w:tcPr>
            <w:tcW w:w="1327" w:type="dxa"/>
          </w:tcPr>
          <w:p>
            <w:pPr>
              <w:pStyle w:val="TableParagraph"/>
              <w:spacing w:before="12"/>
              <w:ind w:right="92"/>
              <w:jc w:val="right"/>
              <w:rPr>
                <w:sz w:val="20"/>
              </w:rPr>
            </w:pPr>
            <w:r>
              <w:rPr>
                <w:spacing w:val="-2"/>
                <w:sz w:val="20"/>
              </w:rPr>
              <w:t>1,690</w:t>
            </w:r>
          </w:p>
        </w:tc>
        <w:tc>
          <w:tcPr>
            <w:tcW w:w="1325" w:type="dxa"/>
            <w:shd w:val="clear" w:color="auto" w:fill="DDEBF6"/>
          </w:tcPr>
          <w:p>
            <w:pPr>
              <w:pStyle w:val="TableParagraph"/>
              <w:spacing w:before="12"/>
              <w:ind w:right="90"/>
              <w:jc w:val="right"/>
              <w:rPr>
                <w:b/>
                <w:sz w:val="20"/>
              </w:rPr>
            </w:pPr>
            <w:r>
              <w:rPr>
                <w:b/>
                <w:spacing w:val="-2"/>
                <w:sz w:val="20"/>
              </w:rPr>
              <w:t>1,076</w:t>
            </w:r>
          </w:p>
        </w:tc>
        <w:tc>
          <w:tcPr>
            <w:tcW w:w="1795" w:type="dxa"/>
          </w:tcPr>
          <w:p>
            <w:pPr>
              <w:pStyle w:val="TableParagraph"/>
              <w:spacing w:before="12"/>
              <w:ind w:right="565"/>
              <w:jc w:val="right"/>
              <w:rPr>
                <w:sz w:val="20"/>
              </w:rPr>
            </w:pPr>
            <w:r>
              <w:rPr>
                <w:spacing w:val="-2"/>
                <w:sz w:val="20"/>
              </w:rPr>
              <w:t>(614)</w:t>
            </w:r>
          </w:p>
        </w:tc>
        <w:tc>
          <w:tcPr>
            <w:tcW w:w="1028" w:type="dxa"/>
            <w:tcBorders>
              <w:right w:val="single" w:sz="12" w:space="0" w:color="000000"/>
            </w:tcBorders>
          </w:tcPr>
          <w:p>
            <w:pPr>
              <w:pStyle w:val="TableParagraph"/>
              <w:spacing w:before="12"/>
              <w:ind w:right="81"/>
              <w:jc w:val="right"/>
              <w:rPr>
                <w:sz w:val="20"/>
              </w:rPr>
            </w:pPr>
            <w:r>
              <w:rPr>
                <w:spacing w:val="-2"/>
                <w:sz w:val="20"/>
              </w:rPr>
              <w:t>(36.3%)</w:t>
            </w:r>
          </w:p>
        </w:tc>
      </w:tr>
      <w:tr>
        <w:trPr>
          <w:trHeight w:val="295" w:hRule="atLeast"/>
        </w:trPr>
        <w:tc>
          <w:tcPr>
            <w:tcW w:w="5042" w:type="dxa"/>
            <w:tcBorders>
              <w:left w:val="single" w:sz="12" w:space="0" w:color="000000"/>
            </w:tcBorders>
          </w:tcPr>
          <w:p>
            <w:pPr>
              <w:pStyle w:val="TableParagraph"/>
              <w:spacing w:line="229" w:lineRule="exact" w:before="46"/>
              <w:ind w:left="107"/>
              <w:rPr>
                <w:sz w:val="20"/>
              </w:rPr>
            </w:pPr>
            <w:r>
              <w:rPr>
                <w:sz w:val="20"/>
              </w:rPr>
              <w:t>Cost</w:t>
            </w:r>
            <w:r>
              <w:rPr>
                <w:spacing w:val="-6"/>
                <w:sz w:val="20"/>
              </w:rPr>
              <w:t> </w:t>
            </w:r>
            <w:r>
              <w:rPr>
                <w:sz w:val="20"/>
              </w:rPr>
              <w:t>of</w:t>
            </w:r>
            <w:r>
              <w:rPr>
                <w:spacing w:val="-4"/>
                <w:sz w:val="20"/>
              </w:rPr>
              <w:t> </w:t>
            </w:r>
            <w:r>
              <w:rPr>
                <w:sz w:val="20"/>
              </w:rPr>
              <w:t>goods</w:t>
            </w:r>
            <w:r>
              <w:rPr>
                <w:spacing w:val="-4"/>
                <w:sz w:val="20"/>
              </w:rPr>
              <w:t> sold</w:t>
            </w:r>
          </w:p>
        </w:tc>
        <w:tc>
          <w:tcPr>
            <w:tcW w:w="1327" w:type="dxa"/>
          </w:tcPr>
          <w:p>
            <w:pPr>
              <w:pStyle w:val="TableParagraph"/>
              <w:spacing w:before="12"/>
              <w:ind w:right="92"/>
              <w:jc w:val="right"/>
              <w:rPr>
                <w:sz w:val="20"/>
              </w:rPr>
            </w:pPr>
            <w:r>
              <w:rPr>
                <w:spacing w:val="-2"/>
                <w:sz w:val="20"/>
              </w:rPr>
              <w:t>1,287</w:t>
            </w:r>
          </w:p>
        </w:tc>
        <w:tc>
          <w:tcPr>
            <w:tcW w:w="1325" w:type="dxa"/>
            <w:shd w:val="clear" w:color="auto" w:fill="DDEBF6"/>
          </w:tcPr>
          <w:p>
            <w:pPr>
              <w:pStyle w:val="TableParagraph"/>
              <w:spacing w:before="12"/>
              <w:ind w:right="90"/>
              <w:jc w:val="right"/>
              <w:rPr>
                <w:b/>
                <w:sz w:val="20"/>
              </w:rPr>
            </w:pPr>
            <w:r>
              <w:rPr>
                <w:b/>
                <w:spacing w:val="-2"/>
                <w:sz w:val="20"/>
              </w:rPr>
              <w:t>1,303</w:t>
            </w:r>
          </w:p>
        </w:tc>
        <w:tc>
          <w:tcPr>
            <w:tcW w:w="1795" w:type="dxa"/>
          </w:tcPr>
          <w:p>
            <w:pPr>
              <w:pStyle w:val="TableParagraph"/>
              <w:spacing w:before="12"/>
              <w:ind w:right="564"/>
              <w:jc w:val="right"/>
              <w:rPr>
                <w:sz w:val="20"/>
              </w:rPr>
            </w:pPr>
            <w:r>
              <w:rPr>
                <w:spacing w:val="-5"/>
                <w:sz w:val="20"/>
              </w:rPr>
              <w:t>16</w:t>
            </w:r>
          </w:p>
        </w:tc>
        <w:tc>
          <w:tcPr>
            <w:tcW w:w="1028" w:type="dxa"/>
            <w:tcBorders>
              <w:right w:val="single" w:sz="12" w:space="0" w:color="000000"/>
            </w:tcBorders>
          </w:tcPr>
          <w:p>
            <w:pPr>
              <w:pStyle w:val="TableParagraph"/>
              <w:spacing w:before="12"/>
              <w:ind w:right="79"/>
              <w:jc w:val="right"/>
              <w:rPr>
                <w:sz w:val="20"/>
              </w:rPr>
            </w:pPr>
            <w:r>
              <w:rPr>
                <w:spacing w:val="-4"/>
                <w:sz w:val="20"/>
              </w:rPr>
              <w:t>1.2%</w:t>
            </w:r>
          </w:p>
        </w:tc>
      </w:tr>
      <w:tr>
        <w:trPr>
          <w:trHeight w:val="291" w:hRule="atLeast"/>
        </w:trPr>
        <w:tc>
          <w:tcPr>
            <w:tcW w:w="5042" w:type="dxa"/>
            <w:tcBorders>
              <w:left w:val="single" w:sz="12" w:space="0" w:color="000000"/>
            </w:tcBorders>
          </w:tcPr>
          <w:p>
            <w:pPr>
              <w:pStyle w:val="TableParagraph"/>
              <w:spacing w:line="226" w:lineRule="exact" w:before="46"/>
              <w:ind w:left="107"/>
              <w:rPr>
                <w:sz w:val="20"/>
              </w:rPr>
            </w:pPr>
            <w:r>
              <w:rPr>
                <w:sz w:val="20"/>
              </w:rPr>
              <w:t>Fire</w:t>
            </w:r>
            <w:r>
              <w:rPr>
                <w:spacing w:val="-7"/>
                <w:sz w:val="20"/>
              </w:rPr>
              <w:t> </w:t>
            </w:r>
            <w:r>
              <w:rPr>
                <w:sz w:val="20"/>
              </w:rPr>
              <w:t>services</w:t>
            </w:r>
            <w:r>
              <w:rPr>
                <w:spacing w:val="-4"/>
                <w:sz w:val="20"/>
              </w:rPr>
              <w:t> levy</w:t>
            </w:r>
          </w:p>
        </w:tc>
        <w:tc>
          <w:tcPr>
            <w:tcW w:w="1327" w:type="dxa"/>
          </w:tcPr>
          <w:p>
            <w:pPr>
              <w:pStyle w:val="TableParagraph"/>
              <w:spacing w:before="12"/>
              <w:ind w:right="93"/>
              <w:jc w:val="right"/>
              <w:rPr>
                <w:sz w:val="20"/>
              </w:rPr>
            </w:pPr>
            <w:r>
              <w:rPr>
                <w:spacing w:val="-5"/>
                <w:sz w:val="20"/>
              </w:rPr>
              <w:t>149</w:t>
            </w:r>
          </w:p>
        </w:tc>
        <w:tc>
          <w:tcPr>
            <w:tcW w:w="1325" w:type="dxa"/>
            <w:shd w:val="clear" w:color="auto" w:fill="DDEBF6"/>
          </w:tcPr>
          <w:p>
            <w:pPr>
              <w:pStyle w:val="TableParagraph"/>
              <w:spacing w:before="12"/>
              <w:ind w:right="91"/>
              <w:jc w:val="right"/>
              <w:rPr>
                <w:b/>
                <w:sz w:val="20"/>
              </w:rPr>
            </w:pPr>
            <w:r>
              <w:rPr>
                <w:b/>
                <w:spacing w:val="-5"/>
                <w:sz w:val="20"/>
              </w:rPr>
              <w:t>125</w:t>
            </w:r>
          </w:p>
        </w:tc>
        <w:tc>
          <w:tcPr>
            <w:tcW w:w="1795" w:type="dxa"/>
          </w:tcPr>
          <w:p>
            <w:pPr>
              <w:pStyle w:val="TableParagraph"/>
              <w:spacing w:before="12"/>
              <w:ind w:right="562"/>
              <w:jc w:val="right"/>
              <w:rPr>
                <w:sz w:val="20"/>
              </w:rPr>
            </w:pPr>
            <w:r>
              <w:rPr>
                <w:spacing w:val="-4"/>
                <w:sz w:val="20"/>
              </w:rPr>
              <w:t>(24)</w:t>
            </w:r>
          </w:p>
        </w:tc>
        <w:tc>
          <w:tcPr>
            <w:tcW w:w="1028" w:type="dxa"/>
            <w:tcBorders>
              <w:right w:val="single" w:sz="12" w:space="0" w:color="000000"/>
            </w:tcBorders>
          </w:tcPr>
          <w:p>
            <w:pPr>
              <w:pStyle w:val="TableParagraph"/>
              <w:spacing w:before="12"/>
              <w:ind w:right="81"/>
              <w:jc w:val="right"/>
              <w:rPr>
                <w:sz w:val="20"/>
              </w:rPr>
            </w:pPr>
            <w:r>
              <w:rPr>
                <w:spacing w:val="-2"/>
                <w:sz w:val="20"/>
              </w:rPr>
              <w:t>(16.1%)</w:t>
            </w:r>
          </w:p>
        </w:tc>
      </w:tr>
      <w:tr>
        <w:trPr>
          <w:trHeight w:val="281" w:hRule="atLeast"/>
        </w:trPr>
        <w:tc>
          <w:tcPr>
            <w:tcW w:w="5042" w:type="dxa"/>
            <w:tcBorders>
              <w:left w:val="single" w:sz="12" w:space="0" w:color="000000"/>
            </w:tcBorders>
          </w:tcPr>
          <w:p>
            <w:pPr>
              <w:pStyle w:val="TableParagraph"/>
              <w:spacing w:line="229" w:lineRule="exact" w:before="32"/>
              <w:ind w:left="107"/>
              <w:rPr>
                <w:sz w:val="20"/>
              </w:rPr>
            </w:pPr>
            <w:r>
              <w:rPr>
                <w:sz w:val="20"/>
              </w:rPr>
              <w:t>Food</w:t>
            </w:r>
            <w:r>
              <w:rPr>
                <w:spacing w:val="-5"/>
                <w:sz w:val="20"/>
              </w:rPr>
              <w:t> </w:t>
            </w:r>
            <w:r>
              <w:rPr>
                <w:sz w:val="20"/>
              </w:rPr>
              <w:t>costs</w:t>
            </w:r>
            <w:r>
              <w:rPr>
                <w:spacing w:val="-4"/>
                <w:sz w:val="20"/>
              </w:rPr>
              <w:t> </w:t>
            </w:r>
            <w:r>
              <w:rPr>
                <w:sz w:val="20"/>
              </w:rPr>
              <w:t>-</w:t>
            </w:r>
            <w:r>
              <w:rPr>
                <w:spacing w:val="-2"/>
                <w:sz w:val="20"/>
              </w:rPr>
              <w:t> </w:t>
            </w:r>
            <w:r>
              <w:rPr>
                <w:sz w:val="20"/>
              </w:rPr>
              <w:t>meals</w:t>
            </w:r>
            <w:r>
              <w:rPr>
                <w:spacing w:val="-3"/>
                <w:sz w:val="20"/>
              </w:rPr>
              <w:t> </w:t>
            </w:r>
            <w:r>
              <w:rPr>
                <w:sz w:val="20"/>
              </w:rPr>
              <w:t>on</w:t>
            </w:r>
            <w:r>
              <w:rPr>
                <w:spacing w:val="-5"/>
                <w:sz w:val="20"/>
              </w:rPr>
              <w:t> </w:t>
            </w:r>
            <w:r>
              <w:rPr>
                <w:spacing w:val="-2"/>
                <w:sz w:val="20"/>
              </w:rPr>
              <w:t>wheels</w:t>
            </w:r>
          </w:p>
        </w:tc>
        <w:tc>
          <w:tcPr>
            <w:tcW w:w="1327" w:type="dxa"/>
          </w:tcPr>
          <w:p>
            <w:pPr>
              <w:pStyle w:val="TableParagraph"/>
              <w:spacing w:before="8"/>
              <w:ind w:right="93"/>
              <w:jc w:val="right"/>
              <w:rPr>
                <w:sz w:val="20"/>
              </w:rPr>
            </w:pPr>
            <w:r>
              <w:rPr>
                <w:spacing w:val="-5"/>
                <w:sz w:val="20"/>
              </w:rPr>
              <w:t>859</w:t>
            </w:r>
          </w:p>
        </w:tc>
        <w:tc>
          <w:tcPr>
            <w:tcW w:w="1325" w:type="dxa"/>
            <w:shd w:val="clear" w:color="auto" w:fill="DDEBF6"/>
          </w:tcPr>
          <w:p>
            <w:pPr>
              <w:pStyle w:val="TableParagraph"/>
              <w:spacing w:before="8"/>
              <w:ind w:right="91"/>
              <w:jc w:val="right"/>
              <w:rPr>
                <w:b/>
                <w:sz w:val="20"/>
              </w:rPr>
            </w:pPr>
            <w:r>
              <w:rPr>
                <w:b/>
                <w:spacing w:val="-5"/>
                <w:sz w:val="20"/>
              </w:rPr>
              <w:t>859</w:t>
            </w:r>
          </w:p>
        </w:tc>
        <w:tc>
          <w:tcPr>
            <w:tcW w:w="1795" w:type="dxa"/>
          </w:tcPr>
          <w:p>
            <w:pPr>
              <w:pStyle w:val="TableParagraph"/>
              <w:spacing w:before="8"/>
              <w:ind w:right="561"/>
              <w:jc w:val="right"/>
              <w:rPr>
                <w:sz w:val="20"/>
              </w:rPr>
            </w:pPr>
            <w:r>
              <w:rPr>
                <w:w w:val="99"/>
                <w:sz w:val="20"/>
              </w:rPr>
              <w:t>0</w:t>
            </w:r>
          </w:p>
        </w:tc>
        <w:tc>
          <w:tcPr>
            <w:tcW w:w="1028" w:type="dxa"/>
            <w:tcBorders>
              <w:right w:val="single" w:sz="12" w:space="0" w:color="000000"/>
            </w:tcBorders>
          </w:tcPr>
          <w:p>
            <w:pPr>
              <w:pStyle w:val="TableParagraph"/>
              <w:spacing w:before="8"/>
              <w:ind w:right="79"/>
              <w:jc w:val="right"/>
              <w:rPr>
                <w:sz w:val="20"/>
              </w:rPr>
            </w:pPr>
            <w:r>
              <w:rPr>
                <w:spacing w:val="-4"/>
                <w:sz w:val="20"/>
              </w:rPr>
              <w:t>0.0%</w:t>
            </w:r>
          </w:p>
        </w:tc>
      </w:tr>
      <w:tr>
        <w:trPr>
          <w:trHeight w:val="294" w:hRule="atLeast"/>
        </w:trPr>
        <w:tc>
          <w:tcPr>
            <w:tcW w:w="5042" w:type="dxa"/>
            <w:tcBorders>
              <w:left w:val="single" w:sz="12" w:space="0" w:color="000000"/>
            </w:tcBorders>
          </w:tcPr>
          <w:p>
            <w:pPr>
              <w:pStyle w:val="TableParagraph"/>
              <w:spacing w:before="43"/>
              <w:ind w:left="107"/>
              <w:rPr>
                <w:sz w:val="20"/>
              </w:rPr>
            </w:pPr>
            <w:r>
              <w:rPr>
                <w:sz w:val="20"/>
              </w:rPr>
              <w:t>Fuels,</w:t>
            </w:r>
            <w:r>
              <w:rPr>
                <w:spacing w:val="-6"/>
                <w:sz w:val="20"/>
              </w:rPr>
              <w:t> </w:t>
            </w:r>
            <w:r>
              <w:rPr>
                <w:sz w:val="20"/>
              </w:rPr>
              <w:t>oil,</w:t>
            </w:r>
            <w:r>
              <w:rPr>
                <w:spacing w:val="-5"/>
                <w:sz w:val="20"/>
              </w:rPr>
              <w:t> </w:t>
            </w:r>
            <w:r>
              <w:rPr>
                <w:sz w:val="20"/>
              </w:rPr>
              <w:t>registrations</w:t>
            </w:r>
            <w:r>
              <w:rPr>
                <w:spacing w:val="-4"/>
                <w:sz w:val="20"/>
              </w:rPr>
              <w:t> </w:t>
            </w:r>
            <w:r>
              <w:rPr>
                <w:sz w:val="20"/>
              </w:rPr>
              <w:t>&amp;</w:t>
            </w:r>
            <w:r>
              <w:rPr>
                <w:spacing w:val="-2"/>
                <w:sz w:val="20"/>
              </w:rPr>
              <w:t> </w:t>
            </w:r>
            <w:r>
              <w:rPr>
                <w:sz w:val="20"/>
              </w:rPr>
              <w:t>running</w:t>
            </w:r>
            <w:r>
              <w:rPr>
                <w:spacing w:val="-6"/>
                <w:sz w:val="20"/>
              </w:rPr>
              <w:t> </w:t>
            </w:r>
            <w:r>
              <w:rPr>
                <w:sz w:val="20"/>
              </w:rPr>
              <w:t>costs</w:t>
            </w:r>
            <w:r>
              <w:rPr>
                <w:spacing w:val="-5"/>
                <w:sz w:val="20"/>
              </w:rPr>
              <w:t> </w:t>
            </w:r>
            <w:r>
              <w:rPr>
                <w:sz w:val="20"/>
              </w:rPr>
              <w:t>-</w:t>
            </w:r>
            <w:r>
              <w:rPr>
                <w:spacing w:val="-3"/>
                <w:sz w:val="20"/>
              </w:rPr>
              <w:t> </w:t>
            </w:r>
            <w:r>
              <w:rPr>
                <w:sz w:val="20"/>
              </w:rPr>
              <w:t>plant</w:t>
            </w:r>
            <w:r>
              <w:rPr>
                <w:spacing w:val="-2"/>
                <w:sz w:val="20"/>
              </w:rPr>
              <w:t> </w:t>
            </w:r>
            <w:r>
              <w:rPr>
                <w:sz w:val="20"/>
              </w:rPr>
              <w:t>&amp;</w:t>
            </w:r>
            <w:r>
              <w:rPr>
                <w:spacing w:val="-6"/>
                <w:sz w:val="20"/>
              </w:rPr>
              <w:t> </w:t>
            </w:r>
            <w:r>
              <w:rPr>
                <w:spacing w:val="-2"/>
                <w:sz w:val="20"/>
              </w:rPr>
              <w:t>fleet</w:t>
            </w:r>
          </w:p>
        </w:tc>
        <w:tc>
          <w:tcPr>
            <w:tcW w:w="1327" w:type="dxa"/>
          </w:tcPr>
          <w:p>
            <w:pPr>
              <w:pStyle w:val="TableParagraph"/>
              <w:spacing w:before="12"/>
              <w:ind w:right="92"/>
              <w:jc w:val="right"/>
              <w:rPr>
                <w:sz w:val="20"/>
              </w:rPr>
            </w:pPr>
            <w:r>
              <w:rPr>
                <w:spacing w:val="-2"/>
                <w:sz w:val="20"/>
              </w:rPr>
              <w:t>1,528</w:t>
            </w:r>
          </w:p>
        </w:tc>
        <w:tc>
          <w:tcPr>
            <w:tcW w:w="1325" w:type="dxa"/>
            <w:shd w:val="clear" w:color="auto" w:fill="DDEBF6"/>
          </w:tcPr>
          <w:p>
            <w:pPr>
              <w:pStyle w:val="TableParagraph"/>
              <w:spacing w:before="12"/>
              <w:ind w:right="90"/>
              <w:jc w:val="right"/>
              <w:rPr>
                <w:b/>
                <w:sz w:val="20"/>
              </w:rPr>
            </w:pPr>
            <w:r>
              <w:rPr>
                <w:b/>
                <w:spacing w:val="-2"/>
                <w:sz w:val="20"/>
              </w:rPr>
              <w:t>1,447</w:t>
            </w:r>
          </w:p>
        </w:tc>
        <w:tc>
          <w:tcPr>
            <w:tcW w:w="1795" w:type="dxa"/>
          </w:tcPr>
          <w:p>
            <w:pPr>
              <w:pStyle w:val="TableParagraph"/>
              <w:spacing w:before="12"/>
              <w:ind w:right="562"/>
              <w:jc w:val="right"/>
              <w:rPr>
                <w:sz w:val="20"/>
              </w:rPr>
            </w:pPr>
            <w:r>
              <w:rPr>
                <w:spacing w:val="-4"/>
                <w:sz w:val="20"/>
              </w:rPr>
              <w:t>(81)</w:t>
            </w:r>
          </w:p>
        </w:tc>
        <w:tc>
          <w:tcPr>
            <w:tcW w:w="1028" w:type="dxa"/>
            <w:tcBorders>
              <w:right w:val="single" w:sz="12" w:space="0" w:color="000000"/>
            </w:tcBorders>
          </w:tcPr>
          <w:p>
            <w:pPr>
              <w:pStyle w:val="TableParagraph"/>
              <w:spacing w:before="12"/>
              <w:ind w:right="77"/>
              <w:jc w:val="right"/>
              <w:rPr>
                <w:sz w:val="20"/>
              </w:rPr>
            </w:pPr>
            <w:r>
              <w:rPr>
                <w:spacing w:val="-2"/>
                <w:sz w:val="20"/>
              </w:rPr>
              <w:t>(5.3%)</w:t>
            </w:r>
          </w:p>
        </w:tc>
      </w:tr>
      <w:tr>
        <w:trPr>
          <w:trHeight w:val="295" w:hRule="atLeast"/>
        </w:trPr>
        <w:tc>
          <w:tcPr>
            <w:tcW w:w="5042" w:type="dxa"/>
            <w:tcBorders>
              <w:left w:val="single" w:sz="12" w:space="0" w:color="000000"/>
            </w:tcBorders>
          </w:tcPr>
          <w:p>
            <w:pPr>
              <w:pStyle w:val="TableParagraph"/>
              <w:spacing w:before="44"/>
              <w:ind w:left="107"/>
              <w:rPr>
                <w:sz w:val="20"/>
              </w:rPr>
            </w:pPr>
            <w:r>
              <w:rPr>
                <w:sz w:val="20"/>
              </w:rPr>
              <w:t>Grants</w:t>
            </w:r>
            <w:r>
              <w:rPr>
                <w:spacing w:val="-4"/>
                <w:sz w:val="20"/>
              </w:rPr>
              <w:t> </w:t>
            </w:r>
            <w:r>
              <w:rPr>
                <w:sz w:val="20"/>
              </w:rPr>
              <w:t>to</w:t>
            </w:r>
            <w:r>
              <w:rPr>
                <w:spacing w:val="-6"/>
                <w:sz w:val="20"/>
              </w:rPr>
              <w:t> </w:t>
            </w:r>
            <w:r>
              <w:rPr>
                <w:spacing w:val="-2"/>
                <w:sz w:val="20"/>
              </w:rPr>
              <w:t>community</w:t>
            </w:r>
          </w:p>
        </w:tc>
        <w:tc>
          <w:tcPr>
            <w:tcW w:w="1327" w:type="dxa"/>
          </w:tcPr>
          <w:p>
            <w:pPr>
              <w:pStyle w:val="TableParagraph"/>
              <w:spacing w:before="13"/>
              <w:ind w:right="93"/>
              <w:jc w:val="right"/>
              <w:rPr>
                <w:sz w:val="20"/>
              </w:rPr>
            </w:pPr>
            <w:r>
              <w:rPr>
                <w:spacing w:val="-5"/>
                <w:sz w:val="20"/>
              </w:rPr>
              <w:t>584</w:t>
            </w:r>
          </w:p>
        </w:tc>
        <w:tc>
          <w:tcPr>
            <w:tcW w:w="1325" w:type="dxa"/>
            <w:shd w:val="clear" w:color="auto" w:fill="DDEBF6"/>
          </w:tcPr>
          <w:p>
            <w:pPr>
              <w:pStyle w:val="TableParagraph"/>
              <w:spacing w:before="13"/>
              <w:ind w:right="91"/>
              <w:jc w:val="right"/>
              <w:rPr>
                <w:b/>
                <w:sz w:val="20"/>
              </w:rPr>
            </w:pPr>
            <w:r>
              <w:rPr>
                <w:b/>
                <w:spacing w:val="-5"/>
                <w:sz w:val="20"/>
              </w:rPr>
              <w:t>608</w:t>
            </w:r>
          </w:p>
        </w:tc>
        <w:tc>
          <w:tcPr>
            <w:tcW w:w="1795" w:type="dxa"/>
          </w:tcPr>
          <w:p>
            <w:pPr>
              <w:pStyle w:val="TableParagraph"/>
              <w:spacing w:before="13"/>
              <w:ind w:right="564"/>
              <w:jc w:val="right"/>
              <w:rPr>
                <w:sz w:val="20"/>
              </w:rPr>
            </w:pPr>
            <w:r>
              <w:rPr>
                <w:spacing w:val="-5"/>
                <w:sz w:val="20"/>
              </w:rPr>
              <w:t>24</w:t>
            </w:r>
          </w:p>
        </w:tc>
        <w:tc>
          <w:tcPr>
            <w:tcW w:w="1028" w:type="dxa"/>
            <w:tcBorders>
              <w:right w:val="single" w:sz="12" w:space="0" w:color="000000"/>
            </w:tcBorders>
          </w:tcPr>
          <w:p>
            <w:pPr>
              <w:pStyle w:val="TableParagraph"/>
              <w:spacing w:before="13"/>
              <w:ind w:right="79"/>
              <w:jc w:val="right"/>
              <w:rPr>
                <w:sz w:val="20"/>
              </w:rPr>
            </w:pPr>
            <w:r>
              <w:rPr>
                <w:spacing w:val="-4"/>
                <w:sz w:val="20"/>
              </w:rPr>
              <w:t>4.1%</w:t>
            </w:r>
          </w:p>
        </w:tc>
      </w:tr>
      <w:tr>
        <w:trPr>
          <w:trHeight w:val="295" w:hRule="atLeast"/>
        </w:trPr>
        <w:tc>
          <w:tcPr>
            <w:tcW w:w="5042" w:type="dxa"/>
            <w:tcBorders>
              <w:left w:val="single" w:sz="12" w:space="0" w:color="000000"/>
            </w:tcBorders>
          </w:tcPr>
          <w:p>
            <w:pPr>
              <w:pStyle w:val="TableParagraph"/>
              <w:spacing w:before="44"/>
              <w:ind w:left="107"/>
              <w:rPr>
                <w:sz w:val="20"/>
              </w:rPr>
            </w:pPr>
            <w:r>
              <w:rPr>
                <w:spacing w:val="-2"/>
                <w:sz w:val="20"/>
              </w:rPr>
              <w:t>Insurance</w:t>
            </w:r>
          </w:p>
        </w:tc>
        <w:tc>
          <w:tcPr>
            <w:tcW w:w="1327" w:type="dxa"/>
          </w:tcPr>
          <w:p>
            <w:pPr>
              <w:pStyle w:val="TableParagraph"/>
              <w:spacing w:before="13"/>
              <w:ind w:right="92"/>
              <w:jc w:val="right"/>
              <w:rPr>
                <w:sz w:val="20"/>
              </w:rPr>
            </w:pPr>
            <w:r>
              <w:rPr>
                <w:spacing w:val="-2"/>
                <w:sz w:val="20"/>
              </w:rPr>
              <w:t>2,174</w:t>
            </w:r>
          </w:p>
        </w:tc>
        <w:tc>
          <w:tcPr>
            <w:tcW w:w="1325" w:type="dxa"/>
            <w:shd w:val="clear" w:color="auto" w:fill="DDEBF6"/>
          </w:tcPr>
          <w:p>
            <w:pPr>
              <w:pStyle w:val="TableParagraph"/>
              <w:spacing w:before="13"/>
              <w:ind w:right="90"/>
              <w:jc w:val="right"/>
              <w:rPr>
                <w:b/>
                <w:sz w:val="20"/>
              </w:rPr>
            </w:pPr>
            <w:r>
              <w:rPr>
                <w:b/>
                <w:spacing w:val="-2"/>
                <w:sz w:val="20"/>
              </w:rPr>
              <w:t>2,583</w:t>
            </w:r>
          </w:p>
        </w:tc>
        <w:tc>
          <w:tcPr>
            <w:tcW w:w="1795" w:type="dxa"/>
          </w:tcPr>
          <w:p>
            <w:pPr>
              <w:pStyle w:val="TableParagraph"/>
              <w:spacing w:before="13"/>
              <w:ind w:right="563"/>
              <w:jc w:val="right"/>
              <w:rPr>
                <w:sz w:val="20"/>
              </w:rPr>
            </w:pPr>
            <w:r>
              <w:rPr>
                <w:spacing w:val="-5"/>
                <w:sz w:val="20"/>
              </w:rPr>
              <w:t>409</w:t>
            </w:r>
          </w:p>
        </w:tc>
        <w:tc>
          <w:tcPr>
            <w:tcW w:w="1028" w:type="dxa"/>
            <w:tcBorders>
              <w:right w:val="single" w:sz="12" w:space="0" w:color="000000"/>
            </w:tcBorders>
          </w:tcPr>
          <w:p>
            <w:pPr>
              <w:pStyle w:val="TableParagraph"/>
              <w:spacing w:before="13"/>
              <w:ind w:right="79"/>
              <w:jc w:val="right"/>
              <w:rPr>
                <w:sz w:val="20"/>
              </w:rPr>
            </w:pPr>
            <w:r>
              <w:rPr>
                <w:spacing w:val="-2"/>
                <w:sz w:val="20"/>
              </w:rPr>
              <w:t>18.8%</w:t>
            </w:r>
          </w:p>
        </w:tc>
      </w:tr>
      <w:tr>
        <w:trPr>
          <w:trHeight w:val="295" w:hRule="atLeast"/>
        </w:trPr>
        <w:tc>
          <w:tcPr>
            <w:tcW w:w="5042" w:type="dxa"/>
            <w:tcBorders>
              <w:left w:val="single" w:sz="12" w:space="0" w:color="000000"/>
            </w:tcBorders>
          </w:tcPr>
          <w:p>
            <w:pPr>
              <w:pStyle w:val="TableParagraph"/>
              <w:spacing w:before="44"/>
              <w:ind w:left="107"/>
              <w:rPr>
                <w:sz w:val="20"/>
              </w:rPr>
            </w:pPr>
            <w:r>
              <w:rPr>
                <w:sz w:val="20"/>
              </w:rPr>
              <w:t>Legal</w:t>
            </w:r>
            <w:r>
              <w:rPr>
                <w:spacing w:val="-8"/>
                <w:sz w:val="20"/>
              </w:rPr>
              <w:t> </w:t>
            </w:r>
            <w:r>
              <w:rPr>
                <w:spacing w:val="-4"/>
                <w:sz w:val="20"/>
              </w:rPr>
              <w:t>fees</w:t>
            </w:r>
          </w:p>
        </w:tc>
        <w:tc>
          <w:tcPr>
            <w:tcW w:w="1327" w:type="dxa"/>
          </w:tcPr>
          <w:p>
            <w:pPr>
              <w:pStyle w:val="TableParagraph"/>
              <w:spacing w:before="13"/>
              <w:ind w:right="93"/>
              <w:jc w:val="right"/>
              <w:rPr>
                <w:sz w:val="20"/>
              </w:rPr>
            </w:pPr>
            <w:r>
              <w:rPr>
                <w:spacing w:val="-5"/>
                <w:sz w:val="20"/>
              </w:rPr>
              <w:t>634</w:t>
            </w:r>
          </w:p>
        </w:tc>
        <w:tc>
          <w:tcPr>
            <w:tcW w:w="1325" w:type="dxa"/>
            <w:shd w:val="clear" w:color="auto" w:fill="DDEBF6"/>
          </w:tcPr>
          <w:p>
            <w:pPr>
              <w:pStyle w:val="TableParagraph"/>
              <w:spacing w:before="13"/>
              <w:ind w:right="91"/>
              <w:jc w:val="right"/>
              <w:rPr>
                <w:b/>
                <w:sz w:val="20"/>
              </w:rPr>
            </w:pPr>
            <w:r>
              <w:rPr>
                <w:b/>
                <w:spacing w:val="-5"/>
                <w:sz w:val="20"/>
              </w:rPr>
              <w:t>763</w:t>
            </w:r>
          </w:p>
        </w:tc>
        <w:tc>
          <w:tcPr>
            <w:tcW w:w="1795" w:type="dxa"/>
          </w:tcPr>
          <w:p>
            <w:pPr>
              <w:pStyle w:val="TableParagraph"/>
              <w:spacing w:before="13"/>
              <w:ind w:right="563"/>
              <w:jc w:val="right"/>
              <w:rPr>
                <w:sz w:val="20"/>
              </w:rPr>
            </w:pPr>
            <w:r>
              <w:rPr>
                <w:spacing w:val="-5"/>
                <w:sz w:val="20"/>
              </w:rPr>
              <w:t>129</w:t>
            </w:r>
          </w:p>
        </w:tc>
        <w:tc>
          <w:tcPr>
            <w:tcW w:w="1028" w:type="dxa"/>
            <w:tcBorders>
              <w:right w:val="single" w:sz="12" w:space="0" w:color="000000"/>
            </w:tcBorders>
          </w:tcPr>
          <w:p>
            <w:pPr>
              <w:pStyle w:val="TableParagraph"/>
              <w:spacing w:before="13"/>
              <w:ind w:right="79"/>
              <w:jc w:val="right"/>
              <w:rPr>
                <w:sz w:val="20"/>
              </w:rPr>
            </w:pPr>
            <w:r>
              <w:rPr>
                <w:spacing w:val="-2"/>
                <w:sz w:val="20"/>
              </w:rPr>
              <w:t>20.3%</w:t>
            </w:r>
          </w:p>
        </w:tc>
      </w:tr>
      <w:tr>
        <w:trPr>
          <w:trHeight w:val="294" w:hRule="atLeast"/>
        </w:trPr>
        <w:tc>
          <w:tcPr>
            <w:tcW w:w="5042" w:type="dxa"/>
            <w:tcBorders>
              <w:left w:val="single" w:sz="12" w:space="0" w:color="000000"/>
            </w:tcBorders>
          </w:tcPr>
          <w:p>
            <w:pPr>
              <w:pStyle w:val="TableParagraph"/>
              <w:spacing w:line="229" w:lineRule="exact" w:before="44"/>
              <w:ind w:left="107"/>
              <w:rPr>
                <w:sz w:val="20"/>
              </w:rPr>
            </w:pPr>
            <w:r>
              <w:rPr>
                <w:sz w:val="20"/>
              </w:rPr>
              <w:t>Library</w:t>
            </w:r>
            <w:r>
              <w:rPr>
                <w:spacing w:val="-10"/>
                <w:sz w:val="20"/>
              </w:rPr>
              <w:t> </w:t>
            </w:r>
            <w:r>
              <w:rPr>
                <w:spacing w:val="-2"/>
                <w:sz w:val="20"/>
              </w:rPr>
              <w:t>contribution</w:t>
            </w:r>
          </w:p>
        </w:tc>
        <w:tc>
          <w:tcPr>
            <w:tcW w:w="1327" w:type="dxa"/>
          </w:tcPr>
          <w:p>
            <w:pPr>
              <w:pStyle w:val="TableParagraph"/>
              <w:spacing w:before="13"/>
              <w:ind w:right="92"/>
              <w:jc w:val="right"/>
              <w:rPr>
                <w:sz w:val="20"/>
              </w:rPr>
            </w:pPr>
            <w:r>
              <w:rPr>
                <w:spacing w:val="-2"/>
                <w:sz w:val="20"/>
              </w:rPr>
              <w:t>3,116</w:t>
            </w:r>
          </w:p>
        </w:tc>
        <w:tc>
          <w:tcPr>
            <w:tcW w:w="1325" w:type="dxa"/>
            <w:shd w:val="clear" w:color="auto" w:fill="DDEBF6"/>
          </w:tcPr>
          <w:p>
            <w:pPr>
              <w:pStyle w:val="TableParagraph"/>
              <w:spacing w:before="13"/>
              <w:ind w:right="90"/>
              <w:jc w:val="right"/>
              <w:rPr>
                <w:b/>
                <w:sz w:val="20"/>
              </w:rPr>
            </w:pPr>
            <w:r>
              <w:rPr>
                <w:b/>
                <w:spacing w:val="-2"/>
                <w:sz w:val="20"/>
              </w:rPr>
              <w:t>3,210</w:t>
            </w:r>
          </w:p>
        </w:tc>
        <w:tc>
          <w:tcPr>
            <w:tcW w:w="1795" w:type="dxa"/>
          </w:tcPr>
          <w:p>
            <w:pPr>
              <w:pStyle w:val="TableParagraph"/>
              <w:spacing w:before="13"/>
              <w:ind w:right="564"/>
              <w:jc w:val="right"/>
              <w:rPr>
                <w:sz w:val="20"/>
              </w:rPr>
            </w:pPr>
            <w:r>
              <w:rPr>
                <w:spacing w:val="-5"/>
                <w:sz w:val="20"/>
              </w:rPr>
              <w:t>94</w:t>
            </w:r>
          </w:p>
        </w:tc>
        <w:tc>
          <w:tcPr>
            <w:tcW w:w="1028" w:type="dxa"/>
            <w:tcBorders>
              <w:right w:val="single" w:sz="12" w:space="0" w:color="000000"/>
            </w:tcBorders>
          </w:tcPr>
          <w:p>
            <w:pPr>
              <w:pStyle w:val="TableParagraph"/>
              <w:spacing w:before="13"/>
              <w:ind w:right="79"/>
              <w:jc w:val="right"/>
              <w:rPr>
                <w:sz w:val="20"/>
              </w:rPr>
            </w:pPr>
            <w:r>
              <w:rPr>
                <w:spacing w:val="-4"/>
                <w:sz w:val="20"/>
              </w:rPr>
              <w:t>3.0%</w:t>
            </w:r>
          </w:p>
        </w:tc>
      </w:tr>
      <w:tr>
        <w:trPr>
          <w:trHeight w:val="295" w:hRule="atLeast"/>
        </w:trPr>
        <w:tc>
          <w:tcPr>
            <w:tcW w:w="5042" w:type="dxa"/>
            <w:tcBorders>
              <w:left w:val="single" w:sz="12" w:space="0" w:color="000000"/>
            </w:tcBorders>
          </w:tcPr>
          <w:p>
            <w:pPr>
              <w:pStyle w:val="TableParagraph"/>
              <w:spacing w:line="229" w:lineRule="exact" w:before="46"/>
              <w:ind w:left="107"/>
              <w:rPr>
                <w:sz w:val="20"/>
              </w:rPr>
            </w:pPr>
            <w:r>
              <w:rPr>
                <w:sz w:val="20"/>
              </w:rPr>
              <w:t>Licence</w:t>
            </w:r>
            <w:r>
              <w:rPr>
                <w:spacing w:val="-7"/>
                <w:sz w:val="20"/>
              </w:rPr>
              <w:t> </w:t>
            </w:r>
            <w:r>
              <w:rPr>
                <w:spacing w:val="-4"/>
                <w:sz w:val="20"/>
              </w:rPr>
              <w:t>fees</w:t>
            </w:r>
          </w:p>
        </w:tc>
        <w:tc>
          <w:tcPr>
            <w:tcW w:w="1327" w:type="dxa"/>
          </w:tcPr>
          <w:p>
            <w:pPr>
              <w:pStyle w:val="TableParagraph"/>
              <w:spacing w:before="12"/>
              <w:ind w:right="92"/>
              <w:jc w:val="right"/>
              <w:rPr>
                <w:sz w:val="20"/>
              </w:rPr>
            </w:pPr>
            <w:r>
              <w:rPr>
                <w:spacing w:val="-2"/>
                <w:sz w:val="20"/>
              </w:rPr>
              <w:t>1,596</w:t>
            </w:r>
          </w:p>
        </w:tc>
        <w:tc>
          <w:tcPr>
            <w:tcW w:w="1325" w:type="dxa"/>
            <w:shd w:val="clear" w:color="auto" w:fill="DDEBF6"/>
          </w:tcPr>
          <w:p>
            <w:pPr>
              <w:pStyle w:val="TableParagraph"/>
              <w:spacing w:before="12"/>
              <w:ind w:right="90"/>
              <w:jc w:val="right"/>
              <w:rPr>
                <w:b/>
                <w:sz w:val="20"/>
              </w:rPr>
            </w:pPr>
            <w:r>
              <w:rPr>
                <w:b/>
                <w:spacing w:val="-2"/>
                <w:sz w:val="20"/>
              </w:rPr>
              <w:t>1,847</w:t>
            </w:r>
          </w:p>
        </w:tc>
        <w:tc>
          <w:tcPr>
            <w:tcW w:w="1795" w:type="dxa"/>
          </w:tcPr>
          <w:p>
            <w:pPr>
              <w:pStyle w:val="TableParagraph"/>
              <w:spacing w:before="12"/>
              <w:ind w:right="563"/>
              <w:jc w:val="right"/>
              <w:rPr>
                <w:sz w:val="20"/>
              </w:rPr>
            </w:pPr>
            <w:r>
              <w:rPr>
                <w:spacing w:val="-5"/>
                <w:sz w:val="20"/>
              </w:rPr>
              <w:t>251</w:t>
            </w:r>
          </w:p>
        </w:tc>
        <w:tc>
          <w:tcPr>
            <w:tcW w:w="1028" w:type="dxa"/>
            <w:tcBorders>
              <w:right w:val="single" w:sz="12" w:space="0" w:color="000000"/>
            </w:tcBorders>
          </w:tcPr>
          <w:p>
            <w:pPr>
              <w:pStyle w:val="TableParagraph"/>
              <w:spacing w:before="12"/>
              <w:ind w:right="79"/>
              <w:jc w:val="right"/>
              <w:rPr>
                <w:sz w:val="20"/>
              </w:rPr>
            </w:pPr>
            <w:r>
              <w:rPr>
                <w:spacing w:val="-2"/>
                <w:sz w:val="20"/>
              </w:rPr>
              <w:t>15.7%</w:t>
            </w:r>
          </w:p>
        </w:tc>
      </w:tr>
      <w:tr>
        <w:trPr>
          <w:trHeight w:val="295" w:hRule="atLeast"/>
        </w:trPr>
        <w:tc>
          <w:tcPr>
            <w:tcW w:w="5042" w:type="dxa"/>
            <w:tcBorders>
              <w:left w:val="single" w:sz="12" w:space="0" w:color="000000"/>
            </w:tcBorders>
          </w:tcPr>
          <w:p>
            <w:pPr>
              <w:pStyle w:val="TableParagraph"/>
              <w:spacing w:line="229" w:lineRule="exact" w:before="46"/>
              <w:ind w:left="107"/>
              <w:rPr>
                <w:sz w:val="20"/>
              </w:rPr>
            </w:pPr>
            <w:r>
              <w:rPr>
                <w:spacing w:val="-2"/>
                <w:sz w:val="20"/>
              </w:rPr>
              <w:t>Maintenance</w:t>
            </w:r>
          </w:p>
        </w:tc>
        <w:tc>
          <w:tcPr>
            <w:tcW w:w="1327" w:type="dxa"/>
          </w:tcPr>
          <w:p>
            <w:pPr>
              <w:pStyle w:val="TableParagraph"/>
              <w:spacing w:before="12"/>
              <w:ind w:right="92"/>
              <w:jc w:val="right"/>
              <w:rPr>
                <w:sz w:val="20"/>
              </w:rPr>
            </w:pPr>
            <w:r>
              <w:rPr>
                <w:spacing w:val="-2"/>
                <w:sz w:val="20"/>
              </w:rPr>
              <w:t>5,789</w:t>
            </w:r>
          </w:p>
        </w:tc>
        <w:tc>
          <w:tcPr>
            <w:tcW w:w="1325" w:type="dxa"/>
            <w:shd w:val="clear" w:color="auto" w:fill="DDEBF6"/>
          </w:tcPr>
          <w:p>
            <w:pPr>
              <w:pStyle w:val="TableParagraph"/>
              <w:spacing w:before="12"/>
              <w:ind w:right="90"/>
              <w:jc w:val="right"/>
              <w:rPr>
                <w:b/>
                <w:sz w:val="20"/>
              </w:rPr>
            </w:pPr>
            <w:r>
              <w:rPr>
                <w:b/>
                <w:spacing w:val="-2"/>
                <w:sz w:val="20"/>
              </w:rPr>
              <w:t>5,776</w:t>
            </w:r>
          </w:p>
        </w:tc>
        <w:tc>
          <w:tcPr>
            <w:tcW w:w="1795" w:type="dxa"/>
          </w:tcPr>
          <w:p>
            <w:pPr>
              <w:pStyle w:val="TableParagraph"/>
              <w:spacing w:before="12"/>
              <w:ind w:right="562"/>
              <w:jc w:val="right"/>
              <w:rPr>
                <w:sz w:val="20"/>
              </w:rPr>
            </w:pPr>
            <w:r>
              <w:rPr>
                <w:spacing w:val="-4"/>
                <w:sz w:val="20"/>
              </w:rPr>
              <w:t>(13)</w:t>
            </w:r>
          </w:p>
        </w:tc>
        <w:tc>
          <w:tcPr>
            <w:tcW w:w="1028" w:type="dxa"/>
            <w:tcBorders>
              <w:right w:val="single" w:sz="12" w:space="0" w:color="000000"/>
            </w:tcBorders>
          </w:tcPr>
          <w:p>
            <w:pPr>
              <w:pStyle w:val="TableParagraph"/>
              <w:spacing w:before="12"/>
              <w:ind w:right="77"/>
              <w:jc w:val="right"/>
              <w:rPr>
                <w:sz w:val="20"/>
              </w:rPr>
            </w:pPr>
            <w:r>
              <w:rPr>
                <w:spacing w:val="-2"/>
                <w:sz w:val="20"/>
              </w:rPr>
              <w:t>(0.2%)</w:t>
            </w:r>
          </w:p>
        </w:tc>
      </w:tr>
      <w:tr>
        <w:trPr>
          <w:trHeight w:val="295" w:hRule="atLeast"/>
        </w:trPr>
        <w:tc>
          <w:tcPr>
            <w:tcW w:w="5042" w:type="dxa"/>
            <w:tcBorders>
              <w:left w:val="single" w:sz="12" w:space="0" w:color="000000"/>
            </w:tcBorders>
          </w:tcPr>
          <w:p>
            <w:pPr>
              <w:pStyle w:val="TableParagraph"/>
              <w:spacing w:line="229" w:lineRule="exact" w:before="46"/>
              <w:ind w:left="107"/>
              <w:rPr>
                <w:sz w:val="20"/>
              </w:rPr>
            </w:pPr>
            <w:r>
              <w:rPr>
                <w:sz w:val="20"/>
              </w:rPr>
              <w:t>Marketing</w:t>
            </w:r>
            <w:r>
              <w:rPr>
                <w:spacing w:val="-8"/>
                <w:sz w:val="20"/>
              </w:rPr>
              <w:t> </w:t>
            </w:r>
            <w:r>
              <w:rPr>
                <w:sz w:val="20"/>
              </w:rPr>
              <w:t>and</w:t>
            </w:r>
            <w:r>
              <w:rPr>
                <w:spacing w:val="-8"/>
                <w:sz w:val="20"/>
              </w:rPr>
              <w:t> </w:t>
            </w:r>
            <w:r>
              <w:rPr>
                <w:spacing w:val="-2"/>
                <w:sz w:val="20"/>
              </w:rPr>
              <w:t>promotion</w:t>
            </w:r>
          </w:p>
        </w:tc>
        <w:tc>
          <w:tcPr>
            <w:tcW w:w="1327" w:type="dxa"/>
          </w:tcPr>
          <w:p>
            <w:pPr>
              <w:pStyle w:val="TableParagraph"/>
              <w:spacing w:before="12"/>
              <w:ind w:right="93"/>
              <w:jc w:val="right"/>
              <w:rPr>
                <w:sz w:val="20"/>
              </w:rPr>
            </w:pPr>
            <w:r>
              <w:rPr>
                <w:spacing w:val="-5"/>
                <w:sz w:val="20"/>
              </w:rPr>
              <w:t>168</w:t>
            </w:r>
          </w:p>
        </w:tc>
        <w:tc>
          <w:tcPr>
            <w:tcW w:w="1325" w:type="dxa"/>
            <w:shd w:val="clear" w:color="auto" w:fill="DDEBF6"/>
          </w:tcPr>
          <w:p>
            <w:pPr>
              <w:pStyle w:val="TableParagraph"/>
              <w:spacing w:before="12"/>
              <w:ind w:right="91"/>
              <w:jc w:val="right"/>
              <w:rPr>
                <w:b/>
                <w:sz w:val="20"/>
              </w:rPr>
            </w:pPr>
            <w:r>
              <w:rPr>
                <w:b/>
                <w:spacing w:val="-5"/>
                <w:sz w:val="20"/>
              </w:rPr>
              <w:t>200</w:t>
            </w:r>
          </w:p>
        </w:tc>
        <w:tc>
          <w:tcPr>
            <w:tcW w:w="1795" w:type="dxa"/>
          </w:tcPr>
          <w:p>
            <w:pPr>
              <w:pStyle w:val="TableParagraph"/>
              <w:spacing w:before="12"/>
              <w:ind w:right="564"/>
              <w:jc w:val="right"/>
              <w:rPr>
                <w:sz w:val="20"/>
              </w:rPr>
            </w:pPr>
            <w:r>
              <w:rPr>
                <w:spacing w:val="-5"/>
                <w:sz w:val="20"/>
              </w:rPr>
              <w:t>32</w:t>
            </w:r>
          </w:p>
        </w:tc>
        <w:tc>
          <w:tcPr>
            <w:tcW w:w="1028" w:type="dxa"/>
            <w:tcBorders>
              <w:right w:val="single" w:sz="12" w:space="0" w:color="000000"/>
            </w:tcBorders>
          </w:tcPr>
          <w:p>
            <w:pPr>
              <w:pStyle w:val="TableParagraph"/>
              <w:spacing w:before="12"/>
              <w:ind w:right="79"/>
              <w:jc w:val="right"/>
              <w:rPr>
                <w:sz w:val="20"/>
              </w:rPr>
            </w:pPr>
            <w:r>
              <w:rPr>
                <w:spacing w:val="-2"/>
                <w:sz w:val="20"/>
              </w:rPr>
              <w:t>19.0%</w:t>
            </w:r>
          </w:p>
        </w:tc>
      </w:tr>
      <w:tr>
        <w:trPr>
          <w:trHeight w:val="295" w:hRule="atLeast"/>
        </w:trPr>
        <w:tc>
          <w:tcPr>
            <w:tcW w:w="5042" w:type="dxa"/>
            <w:tcBorders>
              <w:left w:val="single" w:sz="12" w:space="0" w:color="000000"/>
            </w:tcBorders>
          </w:tcPr>
          <w:p>
            <w:pPr>
              <w:pStyle w:val="TableParagraph"/>
              <w:spacing w:line="229" w:lineRule="exact" w:before="46"/>
              <w:ind w:left="107"/>
              <w:rPr>
                <w:sz w:val="20"/>
              </w:rPr>
            </w:pPr>
            <w:r>
              <w:rPr>
                <w:spacing w:val="-2"/>
                <w:sz w:val="20"/>
              </w:rPr>
              <w:t>Materials</w:t>
            </w:r>
          </w:p>
        </w:tc>
        <w:tc>
          <w:tcPr>
            <w:tcW w:w="1327" w:type="dxa"/>
          </w:tcPr>
          <w:p>
            <w:pPr>
              <w:pStyle w:val="TableParagraph"/>
              <w:spacing w:before="12"/>
              <w:ind w:right="92"/>
              <w:jc w:val="right"/>
              <w:rPr>
                <w:sz w:val="20"/>
              </w:rPr>
            </w:pPr>
            <w:r>
              <w:rPr>
                <w:spacing w:val="-2"/>
                <w:sz w:val="20"/>
              </w:rPr>
              <w:t>2,080</w:t>
            </w:r>
          </w:p>
        </w:tc>
        <w:tc>
          <w:tcPr>
            <w:tcW w:w="1325" w:type="dxa"/>
            <w:shd w:val="clear" w:color="auto" w:fill="DDEBF6"/>
          </w:tcPr>
          <w:p>
            <w:pPr>
              <w:pStyle w:val="TableParagraph"/>
              <w:spacing w:before="12"/>
              <w:ind w:right="90"/>
              <w:jc w:val="right"/>
              <w:rPr>
                <w:b/>
                <w:sz w:val="20"/>
              </w:rPr>
            </w:pPr>
            <w:r>
              <w:rPr>
                <w:b/>
                <w:spacing w:val="-2"/>
                <w:sz w:val="20"/>
              </w:rPr>
              <w:t>2,206</w:t>
            </w:r>
          </w:p>
        </w:tc>
        <w:tc>
          <w:tcPr>
            <w:tcW w:w="1795" w:type="dxa"/>
          </w:tcPr>
          <w:p>
            <w:pPr>
              <w:pStyle w:val="TableParagraph"/>
              <w:spacing w:before="12"/>
              <w:ind w:right="563"/>
              <w:jc w:val="right"/>
              <w:rPr>
                <w:sz w:val="20"/>
              </w:rPr>
            </w:pPr>
            <w:r>
              <w:rPr>
                <w:spacing w:val="-5"/>
                <w:sz w:val="20"/>
              </w:rPr>
              <w:t>126</w:t>
            </w:r>
          </w:p>
        </w:tc>
        <w:tc>
          <w:tcPr>
            <w:tcW w:w="1028" w:type="dxa"/>
            <w:tcBorders>
              <w:right w:val="single" w:sz="12" w:space="0" w:color="000000"/>
            </w:tcBorders>
          </w:tcPr>
          <w:p>
            <w:pPr>
              <w:pStyle w:val="TableParagraph"/>
              <w:spacing w:before="12"/>
              <w:ind w:right="79"/>
              <w:jc w:val="right"/>
              <w:rPr>
                <w:sz w:val="20"/>
              </w:rPr>
            </w:pPr>
            <w:r>
              <w:rPr>
                <w:spacing w:val="-4"/>
                <w:sz w:val="20"/>
              </w:rPr>
              <w:t>6.1%</w:t>
            </w:r>
          </w:p>
        </w:tc>
      </w:tr>
      <w:tr>
        <w:trPr>
          <w:trHeight w:val="295" w:hRule="atLeast"/>
        </w:trPr>
        <w:tc>
          <w:tcPr>
            <w:tcW w:w="5042" w:type="dxa"/>
            <w:tcBorders>
              <w:left w:val="single" w:sz="12" w:space="0" w:color="000000"/>
            </w:tcBorders>
          </w:tcPr>
          <w:p>
            <w:pPr>
              <w:pStyle w:val="TableParagraph"/>
              <w:spacing w:line="229" w:lineRule="exact" w:before="46"/>
              <w:ind w:left="107"/>
              <w:rPr>
                <w:sz w:val="20"/>
              </w:rPr>
            </w:pPr>
            <w:r>
              <w:rPr>
                <w:sz w:val="20"/>
              </w:rPr>
              <w:t>Memberships</w:t>
            </w:r>
            <w:r>
              <w:rPr>
                <w:spacing w:val="-10"/>
                <w:sz w:val="20"/>
              </w:rPr>
              <w:t> </w:t>
            </w:r>
            <w:r>
              <w:rPr>
                <w:sz w:val="20"/>
              </w:rPr>
              <w:t>and</w:t>
            </w:r>
            <w:r>
              <w:rPr>
                <w:spacing w:val="-8"/>
                <w:sz w:val="20"/>
              </w:rPr>
              <w:t> </w:t>
            </w:r>
            <w:r>
              <w:rPr>
                <w:spacing w:val="-2"/>
                <w:sz w:val="20"/>
              </w:rPr>
              <w:t>subscriptions</w:t>
            </w:r>
          </w:p>
        </w:tc>
        <w:tc>
          <w:tcPr>
            <w:tcW w:w="1327" w:type="dxa"/>
          </w:tcPr>
          <w:p>
            <w:pPr>
              <w:pStyle w:val="TableParagraph"/>
              <w:spacing w:before="12"/>
              <w:ind w:right="93"/>
              <w:jc w:val="right"/>
              <w:rPr>
                <w:sz w:val="20"/>
              </w:rPr>
            </w:pPr>
            <w:r>
              <w:rPr>
                <w:spacing w:val="-5"/>
                <w:sz w:val="20"/>
              </w:rPr>
              <w:t>489</w:t>
            </w:r>
          </w:p>
        </w:tc>
        <w:tc>
          <w:tcPr>
            <w:tcW w:w="1325" w:type="dxa"/>
            <w:shd w:val="clear" w:color="auto" w:fill="DDEBF6"/>
          </w:tcPr>
          <w:p>
            <w:pPr>
              <w:pStyle w:val="TableParagraph"/>
              <w:spacing w:before="12"/>
              <w:ind w:right="91"/>
              <w:jc w:val="right"/>
              <w:rPr>
                <w:b/>
                <w:sz w:val="20"/>
              </w:rPr>
            </w:pPr>
            <w:r>
              <w:rPr>
                <w:b/>
                <w:spacing w:val="-5"/>
                <w:sz w:val="20"/>
              </w:rPr>
              <w:t>488</w:t>
            </w:r>
          </w:p>
        </w:tc>
        <w:tc>
          <w:tcPr>
            <w:tcW w:w="1795" w:type="dxa"/>
          </w:tcPr>
          <w:p>
            <w:pPr>
              <w:pStyle w:val="TableParagraph"/>
              <w:spacing w:before="12"/>
              <w:ind w:right="562"/>
              <w:jc w:val="right"/>
              <w:rPr>
                <w:sz w:val="20"/>
              </w:rPr>
            </w:pPr>
            <w:r>
              <w:rPr>
                <w:spacing w:val="-5"/>
                <w:sz w:val="20"/>
              </w:rPr>
              <w:t>(1)</w:t>
            </w:r>
          </w:p>
        </w:tc>
        <w:tc>
          <w:tcPr>
            <w:tcW w:w="1028" w:type="dxa"/>
            <w:tcBorders>
              <w:right w:val="single" w:sz="12" w:space="0" w:color="000000"/>
            </w:tcBorders>
          </w:tcPr>
          <w:p>
            <w:pPr>
              <w:pStyle w:val="TableParagraph"/>
              <w:spacing w:before="12"/>
              <w:ind w:right="77"/>
              <w:jc w:val="right"/>
              <w:rPr>
                <w:sz w:val="20"/>
              </w:rPr>
            </w:pPr>
            <w:r>
              <w:rPr>
                <w:spacing w:val="-2"/>
                <w:sz w:val="20"/>
              </w:rPr>
              <w:t>(0.2%)</w:t>
            </w:r>
          </w:p>
        </w:tc>
      </w:tr>
      <w:tr>
        <w:trPr>
          <w:trHeight w:val="295" w:hRule="atLeast"/>
        </w:trPr>
        <w:tc>
          <w:tcPr>
            <w:tcW w:w="5042" w:type="dxa"/>
            <w:tcBorders>
              <w:left w:val="single" w:sz="12" w:space="0" w:color="000000"/>
            </w:tcBorders>
          </w:tcPr>
          <w:p>
            <w:pPr>
              <w:pStyle w:val="TableParagraph"/>
              <w:spacing w:line="229" w:lineRule="exact" w:before="46"/>
              <w:ind w:left="107"/>
              <w:rPr>
                <w:sz w:val="20"/>
              </w:rPr>
            </w:pPr>
            <w:r>
              <w:rPr>
                <w:sz w:val="20"/>
              </w:rPr>
              <w:t>Printing</w:t>
            </w:r>
            <w:r>
              <w:rPr>
                <w:spacing w:val="-8"/>
                <w:sz w:val="20"/>
              </w:rPr>
              <w:t> </w:t>
            </w:r>
            <w:r>
              <w:rPr>
                <w:sz w:val="20"/>
              </w:rPr>
              <w:t>and</w:t>
            </w:r>
            <w:r>
              <w:rPr>
                <w:spacing w:val="-8"/>
                <w:sz w:val="20"/>
              </w:rPr>
              <w:t> </w:t>
            </w:r>
            <w:r>
              <w:rPr>
                <w:spacing w:val="-2"/>
                <w:sz w:val="20"/>
              </w:rPr>
              <w:t>stationary</w:t>
            </w:r>
          </w:p>
        </w:tc>
        <w:tc>
          <w:tcPr>
            <w:tcW w:w="1327" w:type="dxa"/>
          </w:tcPr>
          <w:p>
            <w:pPr>
              <w:pStyle w:val="TableParagraph"/>
              <w:spacing w:before="12"/>
              <w:ind w:right="93"/>
              <w:jc w:val="right"/>
              <w:rPr>
                <w:sz w:val="20"/>
              </w:rPr>
            </w:pPr>
            <w:r>
              <w:rPr>
                <w:spacing w:val="-5"/>
                <w:sz w:val="20"/>
              </w:rPr>
              <w:t>355</w:t>
            </w:r>
          </w:p>
        </w:tc>
        <w:tc>
          <w:tcPr>
            <w:tcW w:w="1325" w:type="dxa"/>
            <w:shd w:val="clear" w:color="auto" w:fill="DDEBF6"/>
          </w:tcPr>
          <w:p>
            <w:pPr>
              <w:pStyle w:val="TableParagraph"/>
              <w:spacing w:before="12"/>
              <w:ind w:right="91"/>
              <w:jc w:val="right"/>
              <w:rPr>
                <w:b/>
                <w:sz w:val="20"/>
              </w:rPr>
            </w:pPr>
            <w:r>
              <w:rPr>
                <w:b/>
                <w:spacing w:val="-5"/>
                <w:sz w:val="20"/>
              </w:rPr>
              <w:t>396</w:t>
            </w:r>
          </w:p>
        </w:tc>
        <w:tc>
          <w:tcPr>
            <w:tcW w:w="1795" w:type="dxa"/>
          </w:tcPr>
          <w:p>
            <w:pPr>
              <w:pStyle w:val="TableParagraph"/>
              <w:spacing w:before="12"/>
              <w:ind w:right="564"/>
              <w:jc w:val="right"/>
              <w:rPr>
                <w:sz w:val="20"/>
              </w:rPr>
            </w:pPr>
            <w:r>
              <w:rPr>
                <w:spacing w:val="-5"/>
                <w:sz w:val="20"/>
              </w:rPr>
              <w:t>41</w:t>
            </w:r>
          </w:p>
        </w:tc>
        <w:tc>
          <w:tcPr>
            <w:tcW w:w="1028" w:type="dxa"/>
            <w:tcBorders>
              <w:right w:val="single" w:sz="12" w:space="0" w:color="000000"/>
            </w:tcBorders>
          </w:tcPr>
          <w:p>
            <w:pPr>
              <w:pStyle w:val="TableParagraph"/>
              <w:spacing w:before="12"/>
              <w:ind w:right="79"/>
              <w:jc w:val="right"/>
              <w:rPr>
                <w:sz w:val="20"/>
              </w:rPr>
            </w:pPr>
            <w:r>
              <w:rPr>
                <w:spacing w:val="-2"/>
                <w:sz w:val="20"/>
              </w:rPr>
              <w:t>11.5%</w:t>
            </w:r>
          </w:p>
        </w:tc>
      </w:tr>
      <w:tr>
        <w:trPr>
          <w:trHeight w:val="295" w:hRule="atLeast"/>
        </w:trPr>
        <w:tc>
          <w:tcPr>
            <w:tcW w:w="5042" w:type="dxa"/>
            <w:tcBorders>
              <w:left w:val="single" w:sz="12" w:space="0" w:color="000000"/>
            </w:tcBorders>
          </w:tcPr>
          <w:p>
            <w:pPr>
              <w:pStyle w:val="TableParagraph"/>
              <w:spacing w:line="229" w:lineRule="exact" w:before="46"/>
              <w:ind w:left="107"/>
              <w:rPr>
                <w:sz w:val="20"/>
              </w:rPr>
            </w:pPr>
            <w:r>
              <w:rPr>
                <w:spacing w:val="-2"/>
                <w:sz w:val="20"/>
              </w:rPr>
              <w:t>Security</w:t>
            </w:r>
          </w:p>
        </w:tc>
        <w:tc>
          <w:tcPr>
            <w:tcW w:w="1327" w:type="dxa"/>
          </w:tcPr>
          <w:p>
            <w:pPr>
              <w:pStyle w:val="TableParagraph"/>
              <w:spacing w:before="12"/>
              <w:ind w:right="93"/>
              <w:jc w:val="right"/>
              <w:rPr>
                <w:sz w:val="20"/>
              </w:rPr>
            </w:pPr>
            <w:r>
              <w:rPr>
                <w:spacing w:val="-5"/>
                <w:sz w:val="20"/>
              </w:rPr>
              <w:t>572</w:t>
            </w:r>
          </w:p>
        </w:tc>
        <w:tc>
          <w:tcPr>
            <w:tcW w:w="1325" w:type="dxa"/>
            <w:shd w:val="clear" w:color="auto" w:fill="DDEBF6"/>
          </w:tcPr>
          <w:p>
            <w:pPr>
              <w:pStyle w:val="TableParagraph"/>
              <w:spacing w:before="12"/>
              <w:ind w:right="91"/>
              <w:jc w:val="right"/>
              <w:rPr>
                <w:b/>
                <w:sz w:val="20"/>
              </w:rPr>
            </w:pPr>
            <w:r>
              <w:rPr>
                <w:b/>
                <w:spacing w:val="-5"/>
                <w:sz w:val="20"/>
              </w:rPr>
              <w:t>500</w:t>
            </w:r>
          </w:p>
        </w:tc>
        <w:tc>
          <w:tcPr>
            <w:tcW w:w="1795" w:type="dxa"/>
          </w:tcPr>
          <w:p>
            <w:pPr>
              <w:pStyle w:val="TableParagraph"/>
              <w:spacing w:before="12"/>
              <w:ind w:right="562"/>
              <w:jc w:val="right"/>
              <w:rPr>
                <w:sz w:val="20"/>
              </w:rPr>
            </w:pPr>
            <w:r>
              <w:rPr>
                <w:spacing w:val="-4"/>
                <w:sz w:val="20"/>
              </w:rPr>
              <w:t>(72)</w:t>
            </w:r>
          </w:p>
        </w:tc>
        <w:tc>
          <w:tcPr>
            <w:tcW w:w="1028" w:type="dxa"/>
            <w:tcBorders>
              <w:right w:val="single" w:sz="12" w:space="0" w:color="000000"/>
            </w:tcBorders>
          </w:tcPr>
          <w:p>
            <w:pPr>
              <w:pStyle w:val="TableParagraph"/>
              <w:spacing w:before="12"/>
              <w:ind w:right="81"/>
              <w:jc w:val="right"/>
              <w:rPr>
                <w:sz w:val="20"/>
              </w:rPr>
            </w:pPr>
            <w:r>
              <w:rPr>
                <w:spacing w:val="-2"/>
                <w:sz w:val="20"/>
              </w:rPr>
              <w:t>(12.6%)</w:t>
            </w:r>
          </w:p>
        </w:tc>
      </w:tr>
      <w:tr>
        <w:trPr>
          <w:trHeight w:val="293" w:hRule="atLeast"/>
        </w:trPr>
        <w:tc>
          <w:tcPr>
            <w:tcW w:w="5042" w:type="dxa"/>
            <w:tcBorders>
              <w:left w:val="single" w:sz="12" w:space="0" w:color="000000"/>
            </w:tcBorders>
          </w:tcPr>
          <w:p>
            <w:pPr>
              <w:pStyle w:val="TableParagraph"/>
              <w:spacing w:before="43"/>
              <w:ind w:left="107"/>
              <w:rPr>
                <w:sz w:val="20"/>
              </w:rPr>
            </w:pPr>
            <w:r>
              <w:rPr>
                <w:spacing w:val="-2"/>
                <w:sz w:val="20"/>
              </w:rPr>
              <w:t>Training</w:t>
            </w:r>
          </w:p>
        </w:tc>
        <w:tc>
          <w:tcPr>
            <w:tcW w:w="1327" w:type="dxa"/>
          </w:tcPr>
          <w:p>
            <w:pPr>
              <w:pStyle w:val="TableParagraph"/>
              <w:spacing w:before="12"/>
              <w:ind w:right="93"/>
              <w:jc w:val="right"/>
              <w:rPr>
                <w:sz w:val="20"/>
              </w:rPr>
            </w:pPr>
            <w:r>
              <w:rPr>
                <w:spacing w:val="-5"/>
                <w:sz w:val="20"/>
              </w:rPr>
              <w:t>359</w:t>
            </w:r>
          </w:p>
        </w:tc>
        <w:tc>
          <w:tcPr>
            <w:tcW w:w="1325" w:type="dxa"/>
            <w:shd w:val="clear" w:color="auto" w:fill="DDEBF6"/>
          </w:tcPr>
          <w:p>
            <w:pPr>
              <w:pStyle w:val="TableParagraph"/>
              <w:spacing w:before="12"/>
              <w:ind w:right="91"/>
              <w:jc w:val="right"/>
              <w:rPr>
                <w:b/>
                <w:sz w:val="20"/>
              </w:rPr>
            </w:pPr>
            <w:r>
              <w:rPr>
                <w:b/>
                <w:spacing w:val="-5"/>
                <w:sz w:val="20"/>
              </w:rPr>
              <w:t>336</w:t>
            </w:r>
          </w:p>
        </w:tc>
        <w:tc>
          <w:tcPr>
            <w:tcW w:w="1795" w:type="dxa"/>
          </w:tcPr>
          <w:p>
            <w:pPr>
              <w:pStyle w:val="TableParagraph"/>
              <w:spacing w:before="12"/>
              <w:ind w:right="562"/>
              <w:jc w:val="right"/>
              <w:rPr>
                <w:sz w:val="20"/>
              </w:rPr>
            </w:pPr>
            <w:r>
              <w:rPr>
                <w:spacing w:val="-4"/>
                <w:sz w:val="20"/>
              </w:rPr>
              <w:t>(23)</w:t>
            </w:r>
          </w:p>
        </w:tc>
        <w:tc>
          <w:tcPr>
            <w:tcW w:w="1028" w:type="dxa"/>
            <w:tcBorders>
              <w:right w:val="single" w:sz="12" w:space="0" w:color="000000"/>
            </w:tcBorders>
          </w:tcPr>
          <w:p>
            <w:pPr>
              <w:pStyle w:val="TableParagraph"/>
              <w:spacing w:before="12"/>
              <w:ind w:right="77"/>
              <w:jc w:val="right"/>
              <w:rPr>
                <w:sz w:val="20"/>
              </w:rPr>
            </w:pPr>
            <w:r>
              <w:rPr>
                <w:spacing w:val="-2"/>
                <w:sz w:val="20"/>
              </w:rPr>
              <w:t>(6.4%)</w:t>
            </w:r>
          </w:p>
        </w:tc>
      </w:tr>
      <w:tr>
        <w:trPr>
          <w:trHeight w:val="295" w:hRule="atLeast"/>
        </w:trPr>
        <w:tc>
          <w:tcPr>
            <w:tcW w:w="5042" w:type="dxa"/>
            <w:tcBorders>
              <w:left w:val="single" w:sz="12" w:space="0" w:color="000000"/>
            </w:tcBorders>
          </w:tcPr>
          <w:p>
            <w:pPr>
              <w:pStyle w:val="TableParagraph"/>
              <w:spacing w:before="44"/>
              <w:ind w:left="107"/>
              <w:rPr>
                <w:sz w:val="20"/>
              </w:rPr>
            </w:pPr>
            <w:r>
              <w:rPr>
                <w:spacing w:val="-2"/>
                <w:sz w:val="20"/>
              </w:rPr>
              <w:t>Uniforms</w:t>
            </w:r>
          </w:p>
        </w:tc>
        <w:tc>
          <w:tcPr>
            <w:tcW w:w="1327" w:type="dxa"/>
          </w:tcPr>
          <w:p>
            <w:pPr>
              <w:pStyle w:val="TableParagraph"/>
              <w:spacing w:before="13"/>
              <w:ind w:right="93"/>
              <w:jc w:val="right"/>
              <w:rPr>
                <w:sz w:val="20"/>
              </w:rPr>
            </w:pPr>
            <w:r>
              <w:rPr>
                <w:spacing w:val="-5"/>
                <w:sz w:val="20"/>
              </w:rPr>
              <w:t>118</w:t>
            </w:r>
          </w:p>
        </w:tc>
        <w:tc>
          <w:tcPr>
            <w:tcW w:w="1325" w:type="dxa"/>
            <w:shd w:val="clear" w:color="auto" w:fill="DDEBF6"/>
          </w:tcPr>
          <w:p>
            <w:pPr>
              <w:pStyle w:val="TableParagraph"/>
              <w:spacing w:before="13"/>
              <w:ind w:right="91"/>
              <w:jc w:val="right"/>
              <w:rPr>
                <w:b/>
                <w:sz w:val="20"/>
              </w:rPr>
            </w:pPr>
            <w:r>
              <w:rPr>
                <w:b/>
                <w:spacing w:val="-5"/>
                <w:sz w:val="20"/>
              </w:rPr>
              <w:t>169</w:t>
            </w:r>
          </w:p>
        </w:tc>
        <w:tc>
          <w:tcPr>
            <w:tcW w:w="1795" w:type="dxa"/>
          </w:tcPr>
          <w:p>
            <w:pPr>
              <w:pStyle w:val="TableParagraph"/>
              <w:spacing w:before="13"/>
              <w:ind w:right="564"/>
              <w:jc w:val="right"/>
              <w:rPr>
                <w:sz w:val="20"/>
              </w:rPr>
            </w:pPr>
            <w:r>
              <w:rPr>
                <w:spacing w:val="-5"/>
                <w:sz w:val="20"/>
              </w:rPr>
              <w:t>51</w:t>
            </w:r>
          </w:p>
        </w:tc>
        <w:tc>
          <w:tcPr>
            <w:tcW w:w="1028" w:type="dxa"/>
            <w:tcBorders>
              <w:right w:val="single" w:sz="12" w:space="0" w:color="000000"/>
            </w:tcBorders>
          </w:tcPr>
          <w:p>
            <w:pPr>
              <w:pStyle w:val="TableParagraph"/>
              <w:spacing w:before="13"/>
              <w:ind w:right="79"/>
              <w:jc w:val="right"/>
              <w:rPr>
                <w:sz w:val="20"/>
              </w:rPr>
            </w:pPr>
            <w:r>
              <w:rPr>
                <w:spacing w:val="-2"/>
                <w:sz w:val="20"/>
              </w:rPr>
              <w:t>43.2%</w:t>
            </w:r>
          </w:p>
        </w:tc>
      </w:tr>
      <w:tr>
        <w:trPr>
          <w:trHeight w:val="295" w:hRule="atLeast"/>
        </w:trPr>
        <w:tc>
          <w:tcPr>
            <w:tcW w:w="5042" w:type="dxa"/>
            <w:tcBorders>
              <w:left w:val="single" w:sz="12" w:space="0" w:color="000000"/>
            </w:tcBorders>
          </w:tcPr>
          <w:p>
            <w:pPr>
              <w:pStyle w:val="TableParagraph"/>
              <w:spacing w:before="44"/>
              <w:ind w:left="107"/>
              <w:rPr>
                <w:sz w:val="20"/>
              </w:rPr>
            </w:pPr>
            <w:r>
              <w:rPr>
                <w:spacing w:val="-2"/>
                <w:sz w:val="20"/>
              </w:rPr>
              <w:t>Utilities</w:t>
            </w:r>
          </w:p>
        </w:tc>
        <w:tc>
          <w:tcPr>
            <w:tcW w:w="1327" w:type="dxa"/>
          </w:tcPr>
          <w:p>
            <w:pPr>
              <w:pStyle w:val="TableParagraph"/>
              <w:spacing w:before="13"/>
              <w:ind w:right="92"/>
              <w:jc w:val="right"/>
              <w:rPr>
                <w:sz w:val="20"/>
              </w:rPr>
            </w:pPr>
            <w:r>
              <w:rPr>
                <w:spacing w:val="-2"/>
                <w:sz w:val="20"/>
              </w:rPr>
              <w:t>3,812</w:t>
            </w:r>
          </w:p>
        </w:tc>
        <w:tc>
          <w:tcPr>
            <w:tcW w:w="1325" w:type="dxa"/>
            <w:shd w:val="clear" w:color="auto" w:fill="DDEBF6"/>
          </w:tcPr>
          <w:p>
            <w:pPr>
              <w:pStyle w:val="TableParagraph"/>
              <w:spacing w:before="13"/>
              <w:ind w:right="90"/>
              <w:jc w:val="right"/>
              <w:rPr>
                <w:b/>
                <w:sz w:val="20"/>
              </w:rPr>
            </w:pPr>
            <w:r>
              <w:rPr>
                <w:b/>
                <w:spacing w:val="-2"/>
                <w:sz w:val="20"/>
              </w:rPr>
              <w:t>3,952</w:t>
            </w:r>
          </w:p>
        </w:tc>
        <w:tc>
          <w:tcPr>
            <w:tcW w:w="1795" w:type="dxa"/>
          </w:tcPr>
          <w:p>
            <w:pPr>
              <w:pStyle w:val="TableParagraph"/>
              <w:spacing w:before="13"/>
              <w:ind w:right="563"/>
              <w:jc w:val="right"/>
              <w:rPr>
                <w:sz w:val="20"/>
              </w:rPr>
            </w:pPr>
            <w:r>
              <w:rPr>
                <w:spacing w:val="-5"/>
                <w:sz w:val="20"/>
              </w:rPr>
              <w:t>140</w:t>
            </w:r>
          </w:p>
        </w:tc>
        <w:tc>
          <w:tcPr>
            <w:tcW w:w="1028" w:type="dxa"/>
            <w:tcBorders>
              <w:right w:val="single" w:sz="12" w:space="0" w:color="000000"/>
            </w:tcBorders>
          </w:tcPr>
          <w:p>
            <w:pPr>
              <w:pStyle w:val="TableParagraph"/>
              <w:spacing w:before="13"/>
              <w:ind w:right="79"/>
              <w:jc w:val="right"/>
              <w:rPr>
                <w:sz w:val="20"/>
              </w:rPr>
            </w:pPr>
            <w:r>
              <w:rPr>
                <w:spacing w:val="-4"/>
                <w:sz w:val="20"/>
              </w:rPr>
              <w:t>3.7%</w:t>
            </w:r>
          </w:p>
        </w:tc>
      </w:tr>
      <w:tr>
        <w:trPr>
          <w:trHeight w:val="295" w:hRule="atLeast"/>
        </w:trPr>
        <w:tc>
          <w:tcPr>
            <w:tcW w:w="5042" w:type="dxa"/>
            <w:tcBorders>
              <w:left w:val="single" w:sz="12" w:space="0" w:color="000000"/>
            </w:tcBorders>
          </w:tcPr>
          <w:p>
            <w:pPr>
              <w:pStyle w:val="TableParagraph"/>
              <w:spacing w:before="44"/>
              <w:ind w:left="107"/>
              <w:rPr>
                <w:sz w:val="20"/>
              </w:rPr>
            </w:pPr>
            <w:r>
              <w:rPr>
                <w:spacing w:val="-2"/>
                <w:sz w:val="20"/>
              </w:rPr>
              <w:t>Other</w:t>
            </w:r>
          </w:p>
        </w:tc>
        <w:tc>
          <w:tcPr>
            <w:tcW w:w="1327" w:type="dxa"/>
          </w:tcPr>
          <w:p>
            <w:pPr>
              <w:pStyle w:val="TableParagraph"/>
              <w:spacing w:before="13"/>
              <w:ind w:right="92"/>
              <w:jc w:val="right"/>
              <w:rPr>
                <w:sz w:val="20"/>
              </w:rPr>
            </w:pPr>
            <w:r>
              <w:rPr>
                <w:spacing w:val="-2"/>
                <w:sz w:val="20"/>
              </w:rPr>
              <w:t>5,823</w:t>
            </w:r>
          </w:p>
        </w:tc>
        <w:tc>
          <w:tcPr>
            <w:tcW w:w="1325" w:type="dxa"/>
            <w:shd w:val="clear" w:color="auto" w:fill="DDEBF6"/>
          </w:tcPr>
          <w:p>
            <w:pPr>
              <w:pStyle w:val="TableParagraph"/>
              <w:spacing w:before="13"/>
              <w:ind w:right="90"/>
              <w:jc w:val="right"/>
              <w:rPr>
                <w:b/>
                <w:sz w:val="20"/>
              </w:rPr>
            </w:pPr>
            <w:r>
              <w:rPr>
                <w:b/>
                <w:spacing w:val="-2"/>
                <w:sz w:val="20"/>
              </w:rPr>
              <w:t>7,378</w:t>
            </w:r>
          </w:p>
        </w:tc>
        <w:tc>
          <w:tcPr>
            <w:tcW w:w="1795" w:type="dxa"/>
          </w:tcPr>
          <w:p>
            <w:pPr>
              <w:pStyle w:val="TableParagraph"/>
              <w:spacing w:before="13"/>
              <w:ind w:right="562"/>
              <w:jc w:val="right"/>
              <w:rPr>
                <w:sz w:val="20"/>
              </w:rPr>
            </w:pPr>
            <w:r>
              <w:rPr>
                <w:spacing w:val="-2"/>
                <w:sz w:val="20"/>
              </w:rPr>
              <w:t>1,555</w:t>
            </w:r>
          </w:p>
        </w:tc>
        <w:tc>
          <w:tcPr>
            <w:tcW w:w="1028" w:type="dxa"/>
            <w:tcBorders>
              <w:right w:val="single" w:sz="12" w:space="0" w:color="000000"/>
            </w:tcBorders>
          </w:tcPr>
          <w:p>
            <w:pPr>
              <w:pStyle w:val="TableParagraph"/>
              <w:spacing w:before="13"/>
              <w:ind w:right="79"/>
              <w:jc w:val="right"/>
              <w:rPr>
                <w:sz w:val="20"/>
              </w:rPr>
            </w:pPr>
            <w:r>
              <w:rPr>
                <w:spacing w:val="-2"/>
                <w:sz w:val="20"/>
              </w:rPr>
              <w:t>26.7%</w:t>
            </w:r>
          </w:p>
        </w:tc>
      </w:tr>
      <w:tr>
        <w:trPr>
          <w:trHeight w:val="294" w:hRule="atLeast"/>
        </w:trPr>
        <w:tc>
          <w:tcPr>
            <w:tcW w:w="5042" w:type="dxa"/>
            <w:tcBorders>
              <w:left w:val="single" w:sz="12" w:space="0" w:color="000000"/>
            </w:tcBorders>
          </w:tcPr>
          <w:p>
            <w:pPr>
              <w:pStyle w:val="TableParagraph"/>
              <w:spacing w:line="229" w:lineRule="exact" w:before="44"/>
              <w:ind w:left="107"/>
              <w:rPr>
                <w:sz w:val="20"/>
              </w:rPr>
            </w:pPr>
            <w:r>
              <w:rPr>
                <w:sz w:val="20"/>
              </w:rPr>
              <w:t>Contract</w:t>
            </w:r>
            <w:r>
              <w:rPr>
                <w:spacing w:val="-7"/>
                <w:sz w:val="20"/>
              </w:rPr>
              <w:t> </w:t>
            </w:r>
            <w:r>
              <w:rPr>
                <w:sz w:val="20"/>
              </w:rPr>
              <w:t>payments</w:t>
            </w:r>
            <w:r>
              <w:rPr>
                <w:spacing w:val="-5"/>
                <w:sz w:val="20"/>
              </w:rPr>
              <w:t> </w:t>
            </w:r>
            <w:r>
              <w:rPr>
                <w:sz w:val="20"/>
              </w:rPr>
              <w:t>-</w:t>
            </w:r>
            <w:r>
              <w:rPr>
                <w:spacing w:val="-4"/>
                <w:sz w:val="20"/>
              </w:rPr>
              <w:t> </w:t>
            </w:r>
            <w:r>
              <w:rPr>
                <w:spacing w:val="-2"/>
                <w:sz w:val="20"/>
              </w:rPr>
              <w:t>Election</w:t>
            </w:r>
          </w:p>
        </w:tc>
        <w:tc>
          <w:tcPr>
            <w:tcW w:w="1327" w:type="dxa"/>
          </w:tcPr>
          <w:p>
            <w:pPr>
              <w:pStyle w:val="TableParagraph"/>
              <w:spacing w:before="13"/>
              <w:ind w:right="93"/>
              <w:jc w:val="right"/>
              <w:rPr>
                <w:sz w:val="20"/>
              </w:rPr>
            </w:pPr>
            <w:r>
              <w:rPr>
                <w:spacing w:val="-5"/>
                <w:sz w:val="20"/>
              </w:rPr>
              <w:t>709</w:t>
            </w:r>
          </w:p>
        </w:tc>
        <w:tc>
          <w:tcPr>
            <w:tcW w:w="1325" w:type="dxa"/>
            <w:shd w:val="clear" w:color="auto" w:fill="DDEBF6"/>
          </w:tcPr>
          <w:p>
            <w:pPr>
              <w:pStyle w:val="TableParagraph"/>
              <w:spacing w:before="13"/>
              <w:ind w:right="88"/>
              <w:jc w:val="right"/>
              <w:rPr>
                <w:b/>
                <w:sz w:val="20"/>
              </w:rPr>
            </w:pPr>
            <w:r>
              <w:rPr>
                <w:b/>
                <w:w w:val="99"/>
                <w:sz w:val="20"/>
              </w:rPr>
              <w:t>0</w:t>
            </w:r>
          </w:p>
        </w:tc>
        <w:tc>
          <w:tcPr>
            <w:tcW w:w="1795" w:type="dxa"/>
          </w:tcPr>
          <w:p>
            <w:pPr>
              <w:pStyle w:val="TableParagraph"/>
              <w:spacing w:before="13"/>
              <w:ind w:right="565"/>
              <w:jc w:val="right"/>
              <w:rPr>
                <w:sz w:val="20"/>
              </w:rPr>
            </w:pPr>
            <w:r>
              <w:rPr>
                <w:spacing w:val="-2"/>
                <w:sz w:val="20"/>
              </w:rPr>
              <w:t>(709)</w:t>
            </w:r>
          </w:p>
        </w:tc>
        <w:tc>
          <w:tcPr>
            <w:tcW w:w="1028" w:type="dxa"/>
            <w:tcBorders>
              <w:right w:val="single" w:sz="12" w:space="0" w:color="000000"/>
            </w:tcBorders>
          </w:tcPr>
          <w:p>
            <w:pPr>
              <w:pStyle w:val="TableParagraph"/>
              <w:spacing w:before="13"/>
              <w:ind w:right="80"/>
              <w:jc w:val="right"/>
              <w:rPr>
                <w:sz w:val="20"/>
              </w:rPr>
            </w:pPr>
            <w:r>
              <w:rPr>
                <w:spacing w:val="-2"/>
                <w:sz w:val="20"/>
              </w:rPr>
              <w:t>(100.0%)</w:t>
            </w:r>
          </w:p>
        </w:tc>
      </w:tr>
      <w:tr>
        <w:trPr>
          <w:trHeight w:val="295" w:hRule="atLeast"/>
        </w:trPr>
        <w:tc>
          <w:tcPr>
            <w:tcW w:w="5042" w:type="dxa"/>
            <w:tcBorders>
              <w:left w:val="single" w:sz="12" w:space="0" w:color="000000"/>
            </w:tcBorders>
          </w:tcPr>
          <w:p>
            <w:pPr>
              <w:pStyle w:val="TableParagraph"/>
              <w:spacing w:line="229" w:lineRule="exact" w:before="46"/>
              <w:ind w:left="107"/>
              <w:rPr>
                <w:sz w:val="20"/>
              </w:rPr>
            </w:pPr>
            <w:r>
              <w:rPr>
                <w:sz w:val="20"/>
              </w:rPr>
              <w:t>Contract</w:t>
            </w:r>
            <w:r>
              <w:rPr>
                <w:spacing w:val="-7"/>
                <w:sz w:val="20"/>
              </w:rPr>
              <w:t> </w:t>
            </w:r>
            <w:r>
              <w:rPr>
                <w:sz w:val="20"/>
              </w:rPr>
              <w:t>payments</w:t>
            </w:r>
            <w:r>
              <w:rPr>
                <w:spacing w:val="-5"/>
                <w:sz w:val="20"/>
              </w:rPr>
              <w:t> </w:t>
            </w:r>
            <w:r>
              <w:rPr>
                <w:sz w:val="20"/>
              </w:rPr>
              <w:t>-</w:t>
            </w:r>
            <w:r>
              <w:rPr>
                <w:spacing w:val="-4"/>
                <w:sz w:val="20"/>
              </w:rPr>
              <w:t> </w:t>
            </w:r>
            <w:r>
              <w:rPr>
                <w:spacing w:val="-2"/>
                <w:sz w:val="20"/>
              </w:rPr>
              <w:t>Operations</w:t>
            </w:r>
          </w:p>
        </w:tc>
        <w:tc>
          <w:tcPr>
            <w:tcW w:w="1327" w:type="dxa"/>
          </w:tcPr>
          <w:p>
            <w:pPr>
              <w:pStyle w:val="TableParagraph"/>
              <w:spacing w:before="12"/>
              <w:ind w:right="92"/>
              <w:jc w:val="right"/>
              <w:rPr>
                <w:sz w:val="20"/>
              </w:rPr>
            </w:pPr>
            <w:r>
              <w:rPr>
                <w:spacing w:val="-2"/>
                <w:sz w:val="20"/>
              </w:rPr>
              <w:t>4,816</w:t>
            </w:r>
          </w:p>
        </w:tc>
        <w:tc>
          <w:tcPr>
            <w:tcW w:w="1325" w:type="dxa"/>
            <w:shd w:val="clear" w:color="auto" w:fill="DDEBF6"/>
          </w:tcPr>
          <w:p>
            <w:pPr>
              <w:pStyle w:val="TableParagraph"/>
              <w:spacing w:before="12"/>
              <w:ind w:right="90"/>
              <w:jc w:val="right"/>
              <w:rPr>
                <w:b/>
                <w:sz w:val="20"/>
              </w:rPr>
            </w:pPr>
            <w:r>
              <w:rPr>
                <w:b/>
                <w:spacing w:val="-2"/>
                <w:sz w:val="20"/>
              </w:rPr>
              <w:t>5,372</w:t>
            </w:r>
          </w:p>
        </w:tc>
        <w:tc>
          <w:tcPr>
            <w:tcW w:w="1795" w:type="dxa"/>
          </w:tcPr>
          <w:p>
            <w:pPr>
              <w:pStyle w:val="TableParagraph"/>
              <w:spacing w:before="12"/>
              <w:ind w:right="563"/>
              <w:jc w:val="right"/>
              <w:rPr>
                <w:sz w:val="20"/>
              </w:rPr>
            </w:pPr>
            <w:r>
              <w:rPr>
                <w:spacing w:val="-5"/>
                <w:sz w:val="20"/>
              </w:rPr>
              <w:t>556</w:t>
            </w:r>
          </w:p>
        </w:tc>
        <w:tc>
          <w:tcPr>
            <w:tcW w:w="1028" w:type="dxa"/>
            <w:tcBorders>
              <w:right w:val="single" w:sz="12" w:space="0" w:color="000000"/>
            </w:tcBorders>
          </w:tcPr>
          <w:p>
            <w:pPr>
              <w:pStyle w:val="TableParagraph"/>
              <w:spacing w:before="12"/>
              <w:ind w:right="79"/>
              <w:jc w:val="right"/>
              <w:rPr>
                <w:sz w:val="20"/>
              </w:rPr>
            </w:pPr>
            <w:r>
              <w:rPr>
                <w:spacing w:val="-2"/>
                <w:sz w:val="20"/>
              </w:rPr>
              <w:t>11.5%</w:t>
            </w:r>
          </w:p>
        </w:tc>
      </w:tr>
      <w:tr>
        <w:trPr>
          <w:trHeight w:val="295" w:hRule="atLeast"/>
        </w:trPr>
        <w:tc>
          <w:tcPr>
            <w:tcW w:w="5042" w:type="dxa"/>
            <w:tcBorders>
              <w:left w:val="single" w:sz="12" w:space="0" w:color="000000"/>
            </w:tcBorders>
          </w:tcPr>
          <w:p>
            <w:pPr>
              <w:pStyle w:val="TableParagraph"/>
              <w:spacing w:line="229" w:lineRule="exact" w:before="46"/>
              <w:ind w:left="107"/>
              <w:rPr>
                <w:sz w:val="20"/>
              </w:rPr>
            </w:pPr>
            <w:r>
              <w:rPr>
                <w:sz w:val="20"/>
              </w:rPr>
              <w:t>Contract</w:t>
            </w:r>
            <w:r>
              <w:rPr>
                <w:spacing w:val="-7"/>
                <w:sz w:val="20"/>
              </w:rPr>
              <w:t> </w:t>
            </w:r>
            <w:r>
              <w:rPr>
                <w:sz w:val="20"/>
              </w:rPr>
              <w:t>payments</w:t>
            </w:r>
            <w:r>
              <w:rPr>
                <w:spacing w:val="-5"/>
                <w:sz w:val="20"/>
              </w:rPr>
              <w:t> </w:t>
            </w:r>
            <w:r>
              <w:rPr>
                <w:sz w:val="20"/>
              </w:rPr>
              <w:t>-</w:t>
            </w:r>
            <w:r>
              <w:rPr>
                <w:spacing w:val="-4"/>
                <w:sz w:val="20"/>
              </w:rPr>
              <w:t> </w:t>
            </w:r>
            <w:r>
              <w:rPr>
                <w:spacing w:val="-2"/>
                <w:sz w:val="20"/>
              </w:rPr>
              <w:t>Valuations</w:t>
            </w:r>
          </w:p>
        </w:tc>
        <w:tc>
          <w:tcPr>
            <w:tcW w:w="1327" w:type="dxa"/>
          </w:tcPr>
          <w:p>
            <w:pPr>
              <w:pStyle w:val="TableParagraph"/>
              <w:spacing w:before="12"/>
              <w:ind w:right="93"/>
              <w:jc w:val="right"/>
              <w:rPr>
                <w:sz w:val="20"/>
              </w:rPr>
            </w:pPr>
            <w:r>
              <w:rPr>
                <w:spacing w:val="-5"/>
                <w:sz w:val="20"/>
              </w:rPr>
              <w:t>50</w:t>
            </w:r>
          </w:p>
        </w:tc>
        <w:tc>
          <w:tcPr>
            <w:tcW w:w="1325" w:type="dxa"/>
            <w:shd w:val="clear" w:color="auto" w:fill="DDEBF6"/>
          </w:tcPr>
          <w:p>
            <w:pPr>
              <w:pStyle w:val="TableParagraph"/>
              <w:spacing w:before="12"/>
              <w:ind w:right="91"/>
              <w:jc w:val="right"/>
              <w:rPr>
                <w:b/>
                <w:sz w:val="20"/>
              </w:rPr>
            </w:pPr>
            <w:r>
              <w:rPr>
                <w:b/>
                <w:spacing w:val="-5"/>
                <w:sz w:val="20"/>
              </w:rPr>
              <w:t>62</w:t>
            </w:r>
          </w:p>
        </w:tc>
        <w:tc>
          <w:tcPr>
            <w:tcW w:w="1795" w:type="dxa"/>
          </w:tcPr>
          <w:p>
            <w:pPr>
              <w:pStyle w:val="TableParagraph"/>
              <w:spacing w:before="12"/>
              <w:ind w:right="564"/>
              <w:jc w:val="right"/>
              <w:rPr>
                <w:sz w:val="20"/>
              </w:rPr>
            </w:pPr>
            <w:r>
              <w:rPr>
                <w:spacing w:val="-5"/>
                <w:sz w:val="20"/>
              </w:rPr>
              <w:t>12</w:t>
            </w:r>
          </w:p>
        </w:tc>
        <w:tc>
          <w:tcPr>
            <w:tcW w:w="1028" w:type="dxa"/>
            <w:tcBorders>
              <w:right w:val="single" w:sz="12" w:space="0" w:color="000000"/>
            </w:tcBorders>
          </w:tcPr>
          <w:p>
            <w:pPr>
              <w:pStyle w:val="TableParagraph"/>
              <w:spacing w:before="12"/>
              <w:ind w:right="79"/>
              <w:jc w:val="right"/>
              <w:rPr>
                <w:sz w:val="20"/>
              </w:rPr>
            </w:pPr>
            <w:r>
              <w:rPr>
                <w:spacing w:val="-2"/>
                <w:sz w:val="20"/>
              </w:rPr>
              <w:t>24.0%</w:t>
            </w:r>
          </w:p>
        </w:tc>
      </w:tr>
      <w:tr>
        <w:trPr>
          <w:trHeight w:val="298" w:hRule="atLeast"/>
        </w:trPr>
        <w:tc>
          <w:tcPr>
            <w:tcW w:w="5042" w:type="dxa"/>
            <w:tcBorders>
              <w:left w:val="single" w:sz="12" w:space="0" w:color="000000"/>
            </w:tcBorders>
          </w:tcPr>
          <w:p>
            <w:pPr>
              <w:pStyle w:val="TableParagraph"/>
              <w:spacing w:before="46"/>
              <w:ind w:left="107"/>
              <w:rPr>
                <w:sz w:val="20"/>
              </w:rPr>
            </w:pPr>
            <w:r>
              <w:rPr>
                <w:sz w:val="20"/>
              </w:rPr>
              <w:t>Contract</w:t>
            </w:r>
            <w:r>
              <w:rPr>
                <w:spacing w:val="-7"/>
                <w:sz w:val="20"/>
              </w:rPr>
              <w:t> </w:t>
            </w:r>
            <w:r>
              <w:rPr>
                <w:sz w:val="20"/>
              </w:rPr>
              <w:t>payments</w:t>
            </w:r>
            <w:r>
              <w:rPr>
                <w:spacing w:val="-5"/>
                <w:sz w:val="20"/>
              </w:rPr>
              <w:t> </w:t>
            </w:r>
            <w:r>
              <w:rPr>
                <w:sz w:val="20"/>
              </w:rPr>
              <w:t>-</w:t>
            </w:r>
            <w:r>
              <w:rPr>
                <w:spacing w:val="-4"/>
                <w:sz w:val="20"/>
              </w:rPr>
              <w:t> Waste</w:t>
            </w:r>
          </w:p>
        </w:tc>
        <w:tc>
          <w:tcPr>
            <w:tcW w:w="1327" w:type="dxa"/>
          </w:tcPr>
          <w:p>
            <w:pPr>
              <w:pStyle w:val="TableParagraph"/>
              <w:spacing w:before="12"/>
              <w:ind w:right="93"/>
              <w:jc w:val="right"/>
              <w:rPr>
                <w:sz w:val="20"/>
              </w:rPr>
            </w:pPr>
            <w:r>
              <w:rPr>
                <w:spacing w:val="-2"/>
                <w:sz w:val="20"/>
              </w:rPr>
              <w:t>17,253</w:t>
            </w:r>
          </w:p>
        </w:tc>
        <w:tc>
          <w:tcPr>
            <w:tcW w:w="1325" w:type="dxa"/>
            <w:shd w:val="clear" w:color="auto" w:fill="DDEBF6"/>
          </w:tcPr>
          <w:p>
            <w:pPr>
              <w:pStyle w:val="TableParagraph"/>
              <w:spacing w:before="12"/>
              <w:ind w:right="91"/>
              <w:jc w:val="right"/>
              <w:rPr>
                <w:b/>
                <w:sz w:val="20"/>
              </w:rPr>
            </w:pPr>
            <w:r>
              <w:rPr>
                <w:b/>
                <w:spacing w:val="-2"/>
                <w:sz w:val="20"/>
              </w:rPr>
              <w:t>18,860</w:t>
            </w:r>
          </w:p>
        </w:tc>
        <w:tc>
          <w:tcPr>
            <w:tcW w:w="1795" w:type="dxa"/>
          </w:tcPr>
          <w:p>
            <w:pPr>
              <w:pStyle w:val="TableParagraph"/>
              <w:spacing w:before="12"/>
              <w:ind w:right="562"/>
              <w:jc w:val="right"/>
              <w:rPr>
                <w:sz w:val="20"/>
              </w:rPr>
            </w:pPr>
            <w:r>
              <w:rPr>
                <w:spacing w:val="-2"/>
                <w:sz w:val="20"/>
              </w:rPr>
              <w:t>1,607</w:t>
            </w:r>
          </w:p>
        </w:tc>
        <w:tc>
          <w:tcPr>
            <w:tcW w:w="1028" w:type="dxa"/>
            <w:tcBorders>
              <w:right w:val="single" w:sz="12" w:space="0" w:color="000000"/>
            </w:tcBorders>
          </w:tcPr>
          <w:p>
            <w:pPr>
              <w:pStyle w:val="TableParagraph"/>
              <w:spacing w:before="12"/>
              <w:ind w:right="79"/>
              <w:jc w:val="right"/>
              <w:rPr>
                <w:sz w:val="20"/>
              </w:rPr>
            </w:pPr>
            <w:r>
              <w:rPr>
                <w:spacing w:val="-4"/>
                <w:sz w:val="20"/>
              </w:rPr>
              <w:t>9.3%</w:t>
            </w:r>
          </w:p>
        </w:tc>
      </w:tr>
      <w:tr>
        <w:trPr>
          <w:trHeight w:val="280" w:hRule="atLeast"/>
        </w:trPr>
        <w:tc>
          <w:tcPr>
            <w:tcW w:w="5042" w:type="dxa"/>
            <w:tcBorders>
              <w:left w:val="single" w:sz="12" w:space="0" w:color="000000"/>
            </w:tcBorders>
          </w:tcPr>
          <w:p>
            <w:pPr>
              <w:pStyle w:val="TableParagraph"/>
              <w:spacing w:line="204" w:lineRule="exact" w:before="56"/>
              <w:ind w:left="107"/>
              <w:rPr>
                <w:sz w:val="20"/>
              </w:rPr>
            </w:pPr>
            <w:r>
              <w:rPr>
                <w:sz w:val="20"/>
              </w:rPr>
              <w:t>Contractors</w:t>
            </w:r>
            <w:r>
              <w:rPr>
                <w:spacing w:val="-9"/>
                <w:sz w:val="20"/>
              </w:rPr>
              <w:t> </w:t>
            </w:r>
            <w:r>
              <w:rPr>
                <w:sz w:val="20"/>
              </w:rPr>
              <w:t>-</w:t>
            </w:r>
            <w:r>
              <w:rPr>
                <w:spacing w:val="-5"/>
                <w:sz w:val="20"/>
              </w:rPr>
              <w:t> </w:t>
            </w:r>
            <w:r>
              <w:rPr>
                <w:spacing w:val="-2"/>
                <w:sz w:val="20"/>
              </w:rPr>
              <w:t>other</w:t>
            </w:r>
          </w:p>
        </w:tc>
        <w:tc>
          <w:tcPr>
            <w:tcW w:w="1327" w:type="dxa"/>
            <w:tcBorders>
              <w:bottom w:val="single" w:sz="12" w:space="0" w:color="000000"/>
            </w:tcBorders>
          </w:tcPr>
          <w:p>
            <w:pPr>
              <w:pStyle w:val="TableParagraph"/>
              <w:spacing w:before="16"/>
              <w:ind w:right="92"/>
              <w:jc w:val="right"/>
              <w:rPr>
                <w:sz w:val="20"/>
              </w:rPr>
            </w:pPr>
            <w:r>
              <w:rPr>
                <w:spacing w:val="-2"/>
                <w:sz w:val="20"/>
              </w:rPr>
              <w:t>6,585</w:t>
            </w:r>
          </w:p>
        </w:tc>
        <w:tc>
          <w:tcPr>
            <w:tcW w:w="1325" w:type="dxa"/>
            <w:tcBorders>
              <w:bottom w:val="single" w:sz="18" w:space="0" w:color="000000"/>
            </w:tcBorders>
            <w:shd w:val="clear" w:color="auto" w:fill="DDEBF6"/>
          </w:tcPr>
          <w:p>
            <w:pPr>
              <w:pStyle w:val="TableParagraph"/>
              <w:spacing w:before="16"/>
              <w:ind w:right="90"/>
              <w:jc w:val="right"/>
              <w:rPr>
                <w:b/>
                <w:sz w:val="20"/>
              </w:rPr>
            </w:pPr>
            <w:r>
              <w:rPr>
                <w:b/>
                <w:spacing w:val="-2"/>
                <w:sz w:val="20"/>
              </w:rPr>
              <w:t>6,662</w:t>
            </w:r>
          </w:p>
        </w:tc>
        <w:tc>
          <w:tcPr>
            <w:tcW w:w="1795" w:type="dxa"/>
            <w:tcBorders>
              <w:bottom w:val="single" w:sz="12" w:space="0" w:color="000000"/>
            </w:tcBorders>
          </w:tcPr>
          <w:p>
            <w:pPr>
              <w:pStyle w:val="TableParagraph"/>
              <w:spacing w:before="16"/>
              <w:ind w:right="564"/>
              <w:jc w:val="right"/>
              <w:rPr>
                <w:sz w:val="20"/>
              </w:rPr>
            </w:pPr>
            <w:r>
              <w:rPr>
                <w:spacing w:val="-5"/>
                <w:sz w:val="20"/>
              </w:rPr>
              <w:t>77</w:t>
            </w:r>
          </w:p>
        </w:tc>
        <w:tc>
          <w:tcPr>
            <w:tcW w:w="1028" w:type="dxa"/>
            <w:tcBorders>
              <w:bottom w:val="single" w:sz="12" w:space="0" w:color="000000"/>
              <w:right w:val="single" w:sz="12" w:space="0" w:color="000000"/>
            </w:tcBorders>
          </w:tcPr>
          <w:p>
            <w:pPr>
              <w:pStyle w:val="TableParagraph"/>
              <w:spacing w:before="16"/>
              <w:ind w:right="79"/>
              <w:jc w:val="right"/>
              <w:rPr>
                <w:sz w:val="20"/>
              </w:rPr>
            </w:pPr>
            <w:r>
              <w:rPr>
                <w:spacing w:val="-4"/>
                <w:sz w:val="20"/>
              </w:rPr>
              <w:t>1.2%</w:t>
            </w:r>
          </w:p>
        </w:tc>
      </w:tr>
      <w:tr>
        <w:trPr>
          <w:trHeight w:val="302" w:hRule="atLeast"/>
        </w:trPr>
        <w:tc>
          <w:tcPr>
            <w:tcW w:w="5042" w:type="dxa"/>
            <w:tcBorders>
              <w:left w:val="single" w:sz="12" w:space="0" w:color="000000"/>
              <w:bottom w:val="single" w:sz="12" w:space="0" w:color="000000"/>
            </w:tcBorders>
          </w:tcPr>
          <w:p>
            <w:pPr>
              <w:pStyle w:val="TableParagraph"/>
              <w:spacing w:line="210" w:lineRule="exact" w:before="72"/>
              <w:ind w:left="107"/>
              <w:rPr>
                <w:b/>
                <w:sz w:val="20"/>
              </w:rPr>
            </w:pPr>
            <w:r>
              <w:rPr>
                <w:b/>
                <w:sz w:val="20"/>
              </w:rPr>
              <w:t>Total</w:t>
            </w:r>
            <w:r>
              <w:rPr>
                <w:b/>
                <w:spacing w:val="-8"/>
                <w:sz w:val="20"/>
              </w:rPr>
              <w:t> </w:t>
            </w:r>
            <w:r>
              <w:rPr>
                <w:b/>
                <w:sz w:val="20"/>
              </w:rPr>
              <w:t>materials</w:t>
            </w:r>
            <w:r>
              <w:rPr>
                <w:b/>
                <w:spacing w:val="-4"/>
                <w:sz w:val="20"/>
              </w:rPr>
              <w:t> </w:t>
            </w:r>
            <w:r>
              <w:rPr>
                <w:b/>
                <w:sz w:val="20"/>
              </w:rPr>
              <w:t>and</w:t>
            </w:r>
            <w:r>
              <w:rPr>
                <w:b/>
                <w:spacing w:val="-8"/>
                <w:sz w:val="20"/>
              </w:rPr>
              <w:t> </w:t>
            </w:r>
            <w:r>
              <w:rPr>
                <w:b/>
                <w:spacing w:val="-2"/>
                <w:sz w:val="20"/>
              </w:rPr>
              <w:t>services</w:t>
            </w:r>
          </w:p>
        </w:tc>
        <w:tc>
          <w:tcPr>
            <w:tcW w:w="1327" w:type="dxa"/>
            <w:tcBorders>
              <w:top w:val="single" w:sz="12" w:space="0" w:color="000000"/>
              <w:bottom w:val="single" w:sz="12" w:space="0" w:color="000000"/>
            </w:tcBorders>
          </w:tcPr>
          <w:p>
            <w:pPr>
              <w:pStyle w:val="TableParagraph"/>
              <w:spacing w:before="31"/>
              <w:ind w:right="93"/>
              <w:jc w:val="right"/>
              <w:rPr>
                <w:b/>
                <w:sz w:val="20"/>
              </w:rPr>
            </w:pPr>
            <w:r>
              <w:rPr>
                <w:b/>
                <w:spacing w:val="-2"/>
                <w:sz w:val="20"/>
              </w:rPr>
              <w:t>66,232</w:t>
            </w:r>
          </w:p>
        </w:tc>
        <w:tc>
          <w:tcPr>
            <w:tcW w:w="1325" w:type="dxa"/>
            <w:tcBorders>
              <w:top w:val="single" w:sz="18" w:space="0" w:color="000000"/>
              <w:bottom w:val="single" w:sz="12" w:space="0" w:color="000000"/>
            </w:tcBorders>
            <w:shd w:val="clear" w:color="auto" w:fill="DDEBF6"/>
          </w:tcPr>
          <w:p>
            <w:pPr>
              <w:pStyle w:val="TableParagraph"/>
              <w:spacing w:before="31"/>
              <w:ind w:right="91"/>
              <w:jc w:val="right"/>
              <w:rPr>
                <w:b/>
                <w:sz w:val="20"/>
              </w:rPr>
            </w:pPr>
            <w:r>
              <w:rPr>
                <w:b/>
                <w:spacing w:val="-2"/>
                <w:sz w:val="20"/>
              </w:rPr>
              <w:t>70,235</w:t>
            </w:r>
          </w:p>
        </w:tc>
        <w:tc>
          <w:tcPr>
            <w:tcW w:w="1795" w:type="dxa"/>
            <w:tcBorders>
              <w:top w:val="single" w:sz="12" w:space="0" w:color="000000"/>
              <w:bottom w:val="single" w:sz="12" w:space="0" w:color="000000"/>
            </w:tcBorders>
          </w:tcPr>
          <w:p>
            <w:pPr>
              <w:pStyle w:val="TableParagraph"/>
              <w:spacing w:before="31"/>
              <w:ind w:right="562"/>
              <w:jc w:val="right"/>
              <w:rPr>
                <w:b/>
                <w:sz w:val="20"/>
              </w:rPr>
            </w:pPr>
            <w:r>
              <w:rPr>
                <w:b/>
                <w:spacing w:val="-2"/>
                <w:sz w:val="20"/>
              </w:rPr>
              <w:t>4,003</w:t>
            </w:r>
          </w:p>
        </w:tc>
        <w:tc>
          <w:tcPr>
            <w:tcW w:w="1028" w:type="dxa"/>
            <w:tcBorders>
              <w:top w:val="single" w:sz="12" w:space="0" w:color="000000"/>
              <w:bottom w:val="single" w:sz="12" w:space="0" w:color="000000"/>
              <w:right w:val="single" w:sz="12" w:space="0" w:color="000000"/>
            </w:tcBorders>
          </w:tcPr>
          <w:p>
            <w:pPr>
              <w:pStyle w:val="TableParagraph"/>
              <w:spacing w:before="31"/>
              <w:ind w:right="77"/>
              <w:jc w:val="right"/>
              <w:rPr>
                <w:b/>
                <w:sz w:val="20"/>
              </w:rPr>
            </w:pPr>
            <w:r>
              <w:rPr>
                <w:b/>
                <w:spacing w:val="-4"/>
                <w:sz w:val="20"/>
              </w:rPr>
              <w:t>6.0%</w:t>
            </w:r>
          </w:p>
        </w:tc>
      </w:tr>
    </w:tbl>
    <w:p>
      <w:pPr>
        <w:spacing w:after="0"/>
        <w:jc w:val="right"/>
        <w:rPr>
          <w:sz w:val="20"/>
        </w:rPr>
        <w:sectPr>
          <w:pgSz w:w="11910" w:h="16840"/>
          <w:pgMar w:header="0" w:footer="375" w:top="620" w:bottom="560" w:left="460" w:right="160"/>
        </w:sectPr>
      </w:pPr>
    </w:p>
    <w:p>
      <w:pPr>
        <w:pStyle w:val="BodyText"/>
        <w:spacing w:before="81"/>
        <w:ind w:left="260" w:right="552"/>
        <w:jc w:val="both"/>
      </w:pPr>
      <w:r>
        <w:rPr/>
        <w:t>Materials and services are forecast to increase by $4.00 million or 6.0% compared to 2024/25 levels. Materials and services include the purchases of consumables, payments to contractors for the provision of services, utility costs, annual contribution for the provision of library services to Your Library Ltd (this has increased</w:t>
      </w:r>
      <w:r>
        <w:rPr>
          <w:spacing w:val="-16"/>
        </w:rPr>
        <w:t> </w:t>
      </w:r>
      <w:r>
        <w:rPr/>
        <w:t>3.0%</w:t>
      </w:r>
      <w:r>
        <w:rPr>
          <w:spacing w:val="-15"/>
        </w:rPr>
        <w:t> </w:t>
      </w:r>
      <w:r>
        <w:rPr/>
        <w:t>for</w:t>
      </w:r>
      <w:r>
        <w:rPr>
          <w:spacing w:val="-15"/>
        </w:rPr>
        <w:t> </w:t>
      </w:r>
      <w:r>
        <w:rPr/>
        <w:t>the</w:t>
      </w:r>
      <w:r>
        <w:rPr>
          <w:spacing w:val="-16"/>
        </w:rPr>
        <w:t> </w:t>
      </w:r>
      <w:r>
        <w:rPr/>
        <w:t>2025/26</w:t>
      </w:r>
      <w:r>
        <w:rPr>
          <w:spacing w:val="-13"/>
        </w:rPr>
        <w:t> </w:t>
      </w:r>
      <w:r>
        <w:rPr/>
        <w:t>year),</w:t>
      </w:r>
      <w:r>
        <w:rPr>
          <w:spacing w:val="-16"/>
        </w:rPr>
        <w:t> </w:t>
      </w:r>
      <w:r>
        <w:rPr/>
        <w:t>contributions</w:t>
      </w:r>
      <w:r>
        <w:rPr>
          <w:spacing w:val="-13"/>
        </w:rPr>
        <w:t> </w:t>
      </w:r>
      <w:r>
        <w:rPr/>
        <w:t>to</w:t>
      </w:r>
      <w:r>
        <w:rPr>
          <w:spacing w:val="-15"/>
        </w:rPr>
        <w:t> </w:t>
      </w:r>
      <w:r>
        <w:rPr/>
        <w:t>community</w:t>
      </w:r>
      <w:r>
        <w:rPr>
          <w:spacing w:val="-16"/>
        </w:rPr>
        <w:t> </w:t>
      </w:r>
      <w:r>
        <w:rPr/>
        <w:t>groups,</w:t>
      </w:r>
      <w:r>
        <w:rPr>
          <w:spacing w:val="-15"/>
        </w:rPr>
        <w:t> </w:t>
      </w:r>
      <w:r>
        <w:rPr/>
        <w:t>software</w:t>
      </w:r>
      <w:r>
        <w:rPr>
          <w:spacing w:val="-15"/>
        </w:rPr>
        <w:t> </w:t>
      </w:r>
      <w:r>
        <w:rPr/>
        <w:t>maintenance,</w:t>
      </w:r>
      <w:r>
        <w:rPr>
          <w:spacing w:val="-14"/>
        </w:rPr>
        <w:t> </w:t>
      </w:r>
      <w:r>
        <w:rPr/>
        <w:t>insurances, advertising, motor vehicle running costs, fuel and registrations and other miscellaneous expenditure items. Utility</w:t>
      </w:r>
      <w:r>
        <w:rPr>
          <w:spacing w:val="-6"/>
        </w:rPr>
        <w:t> </w:t>
      </w:r>
      <w:r>
        <w:rPr/>
        <w:t>costs</w:t>
      </w:r>
      <w:r>
        <w:rPr>
          <w:spacing w:val="-8"/>
        </w:rPr>
        <w:t> </w:t>
      </w:r>
      <w:r>
        <w:rPr/>
        <w:t>relating</w:t>
      </w:r>
      <w:r>
        <w:rPr>
          <w:spacing w:val="-8"/>
        </w:rPr>
        <w:t> </w:t>
      </w:r>
      <w:r>
        <w:rPr/>
        <w:t>to</w:t>
      </w:r>
      <w:r>
        <w:rPr>
          <w:spacing w:val="-6"/>
        </w:rPr>
        <w:t> </w:t>
      </w:r>
      <w:r>
        <w:rPr/>
        <w:t>water,</w:t>
      </w:r>
      <w:r>
        <w:rPr>
          <w:spacing w:val="-6"/>
        </w:rPr>
        <w:t> </w:t>
      </w:r>
      <w:r>
        <w:rPr/>
        <w:t>gas</w:t>
      </w:r>
      <w:r>
        <w:rPr>
          <w:spacing w:val="-8"/>
        </w:rPr>
        <w:t> </w:t>
      </w:r>
      <w:r>
        <w:rPr/>
        <w:t>and</w:t>
      </w:r>
      <w:r>
        <w:rPr>
          <w:spacing w:val="-10"/>
        </w:rPr>
        <w:t> </w:t>
      </w:r>
      <w:r>
        <w:rPr/>
        <w:t>electricity</w:t>
      </w:r>
      <w:r>
        <w:rPr>
          <w:spacing w:val="-6"/>
        </w:rPr>
        <w:t> </w:t>
      </w:r>
      <w:r>
        <w:rPr/>
        <w:t>are</w:t>
      </w:r>
      <w:r>
        <w:rPr>
          <w:spacing w:val="-10"/>
        </w:rPr>
        <w:t> </w:t>
      </w:r>
      <w:r>
        <w:rPr/>
        <w:t>forecast</w:t>
      </w:r>
      <w:r>
        <w:rPr>
          <w:spacing w:val="-6"/>
        </w:rPr>
        <w:t> </w:t>
      </w:r>
      <w:r>
        <w:rPr/>
        <w:t>to</w:t>
      </w:r>
      <w:r>
        <w:rPr>
          <w:spacing w:val="-10"/>
        </w:rPr>
        <w:t> </w:t>
      </w:r>
      <w:r>
        <w:rPr/>
        <w:t>increase</w:t>
      </w:r>
      <w:r>
        <w:rPr>
          <w:spacing w:val="-8"/>
        </w:rPr>
        <w:t> </w:t>
      </w:r>
      <w:r>
        <w:rPr/>
        <w:t>by</w:t>
      </w:r>
      <w:r>
        <w:rPr>
          <w:spacing w:val="-8"/>
        </w:rPr>
        <w:t> </w:t>
      </w:r>
      <w:r>
        <w:rPr/>
        <w:t>$0.14</w:t>
      </w:r>
      <w:r>
        <w:rPr>
          <w:spacing w:val="-8"/>
        </w:rPr>
        <w:t> </w:t>
      </w:r>
      <w:r>
        <w:rPr/>
        <w:t>million</w:t>
      </w:r>
      <w:r>
        <w:rPr>
          <w:spacing w:val="-6"/>
        </w:rPr>
        <w:t> </w:t>
      </w:r>
      <w:r>
        <w:rPr/>
        <w:t>or</w:t>
      </w:r>
      <w:r>
        <w:rPr>
          <w:spacing w:val="-8"/>
        </w:rPr>
        <w:t> </w:t>
      </w:r>
      <w:r>
        <w:rPr/>
        <w:t>3.97%</w:t>
      </w:r>
      <w:r>
        <w:rPr>
          <w:spacing w:val="-6"/>
        </w:rPr>
        <w:t> </w:t>
      </w:r>
      <w:r>
        <w:rPr/>
        <w:t>compared to 2024/25 levels resulting mainly from increased prices from suppliers. Contract payments are included as part</w:t>
      </w:r>
      <w:r>
        <w:rPr>
          <w:spacing w:val="-1"/>
        </w:rPr>
        <w:t> </w:t>
      </w:r>
      <w:r>
        <w:rPr/>
        <w:t>of materials</w:t>
      </w:r>
      <w:r>
        <w:rPr>
          <w:spacing w:val="-2"/>
        </w:rPr>
        <w:t> </w:t>
      </w:r>
      <w:r>
        <w:rPr/>
        <w:t>and</w:t>
      </w:r>
      <w:r>
        <w:rPr>
          <w:spacing w:val="-1"/>
        </w:rPr>
        <w:t> </w:t>
      </w:r>
      <w:r>
        <w:rPr/>
        <w:t>services and</w:t>
      </w:r>
      <w:r>
        <w:rPr>
          <w:spacing w:val="-1"/>
        </w:rPr>
        <w:t> </w:t>
      </w:r>
      <w:r>
        <w:rPr/>
        <w:t>are</w:t>
      </w:r>
      <w:r>
        <w:rPr>
          <w:spacing w:val="-1"/>
        </w:rPr>
        <w:t> </w:t>
      </w:r>
      <w:r>
        <w:rPr/>
        <w:t>for the</w:t>
      </w:r>
      <w:r>
        <w:rPr>
          <w:spacing w:val="-1"/>
        </w:rPr>
        <w:t> </w:t>
      </w:r>
      <w:r>
        <w:rPr/>
        <w:t>provision of services which</w:t>
      </w:r>
      <w:r>
        <w:rPr>
          <w:spacing w:val="-4"/>
        </w:rPr>
        <w:t> </w:t>
      </w:r>
      <w:r>
        <w:rPr/>
        <w:t>have been</w:t>
      </w:r>
      <w:r>
        <w:rPr>
          <w:spacing w:val="-4"/>
        </w:rPr>
        <w:t> </w:t>
      </w:r>
      <w:r>
        <w:rPr/>
        <w:t>tendered</w:t>
      </w:r>
      <w:r>
        <w:rPr>
          <w:spacing w:val="-1"/>
        </w:rPr>
        <w:t> </w:t>
      </w:r>
      <w:r>
        <w:rPr/>
        <w:t>under</w:t>
      </w:r>
      <w:r>
        <w:rPr>
          <w:spacing w:val="-1"/>
        </w:rPr>
        <w:t> </w:t>
      </w:r>
      <w:r>
        <w:rPr/>
        <w:t>section 108 of the </w:t>
      </w:r>
      <w:r>
        <w:rPr>
          <w:i/>
        </w:rPr>
        <w:t>Local Government Act 2020 </w:t>
      </w:r>
      <w:r>
        <w:rPr/>
        <w:t>including external contracts for services such as waste collection, road maintenance and street tree pruning.</w:t>
      </w:r>
    </w:p>
    <w:p>
      <w:pPr>
        <w:pStyle w:val="BodyText"/>
        <w:spacing w:before="11"/>
        <w:rPr>
          <w:sz w:val="21"/>
        </w:rPr>
      </w:pPr>
    </w:p>
    <w:p>
      <w:pPr>
        <w:pStyle w:val="Heading4"/>
        <w:numPr>
          <w:ilvl w:val="2"/>
          <w:numId w:val="59"/>
        </w:numPr>
        <w:tabs>
          <w:tab w:pos="862" w:val="left" w:leader="none"/>
        </w:tabs>
        <w:spacing w:line="240" w:lineRule="auto" w:before="0" w:after="0"/>
        <w:ind w:left="861" w:right="0" w:hanging="602"/>
        <w:jc w:val="left"/>
      </w:pPr>
      <w:r>
        <w:rPr>
          <w:color w:val="4966AC"/>
          <w:spacing w:val="-2"/>
        </w:rPr>
        <w:t>Depreciation</w:t>
      </w:r>
    </w:p>
    <w:p>
      <w:pPr>
        <w:pStyle w:val="BodyText"/>
        <w:spacing w:before="1" w:after="1"/>
        <w:rPr>
          <w:b/>
          <w:sz w:val="23"/>
        </w:rPr>
      </w:pPr>
    </w:p>
    <w:tbl>
      <w:tblPr>
        <w:tblW w:w="0" w:type="auto"/>
        <w:jc w:val="left"/>
        <w:tblInd w:w="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49"/>
        <w:gridCol w:w="1416"/>
        <w:gridCol w:w="1418"/>
        <w:gridCol w:w="1697"/>
        <w:gridCol w:w="956"/>
      </w:tblGrid>
      <w:tr>
        <w:trPr>
          <w:trHeight w:val="1070" w:hRule="atLeast"/>
        </w:trPr>
        <w:tc>
          <w:tcPr>
            <w:tcW w:w="6365" w:type="dxa"/>
            <w:gridSpan w:val="2"/>
            <w:tcBorders>
              <w:top w:val="single" w:sz="18" w:space="0" w:color="000000"/>
              <w:left w:val="single" w:sz="12" w:space="0" w:color="000000"/>
            </w:tcBorders>
            <w:shd w:val="clear" w:color="auto" w:fill="5B9AD4"/>
          </w:tcPr>
          <w:p>
            <w:pPr>
              <w:pStyle w:val="TableParagraph"/>
              <w:spacing w:before="23"/>
              <w:ind w:left="5279" w:right="300"/>
              <w:jc w:val="center"/>
              <w:rPr>
                <w:b/>
                <w:sz w:val="18"/>
              </w:rPr>
            </w:pPr>
            <w:r>
              <w:rPr>
                <w:b/>
                <w:color w:val="FFFFFF"/>
                <w:spacing w:val="-2"/>
                <w:sz w:val="18"/>
              </w:rPr>
              <w:t>Forecast Actual</w:t>
            </w:r>
          </w:p>
          <w:p>
            <w:pPr>
              <w:pStyle w:val="TableParagraph"/>
              <w:spacing w:before="78"/>
              <w:ind w:left="5276" w:right="300"/>
              <w:jc w:val="center"/>
              <w:rPr>
                <w:b/>
                <w:sz w:val="18"/>
              </w:rPr>
            </w:pPr>
            <w:r>
              <w:rPr>
                <w:b/>
                <w:color w:val="FFFFFF"/>
                <w:spacing w:val="-2"/>
                <w:sz w:val="18"/>
              </w:rPr>
              <w:t>2024/25</w:t>
            </w:r>
          </w:p>
          <w:p>
            <w:pPr>
              <w:pStyle w:val="TableParagraph"/>
              <w:spacing w:line="187" w:lineRule="exact" w:before="141"/>
              <w:ind w:left="5279" w:right="300"/>
              <w:jc w:val="center"/>
              <w:rPr>
                <w:b/>
                <w:sz w:val="18"/>
              </w:rPr>
            </w:pPr>
            <w:r>
              <w:rPr>
                <w:b/>
                <w:color w:val="FFFFFF"/>
                <w:spacing w:val="-2"/>
                <w:sz w:val="18"/>
              </w:rPr>
              <w:t>$’000</w:t>
            </w:r>
          </w:p>
        </w:tc>
        <w:tc>
          <w:tcPr>
            <w:tcW w:w="1418" w:type="dxa"/>
            <w:tcBorders>
              <w:top w:val="single" w:sz="18" w:space="0" w:color="000000"/>
            </w:tcBorders>
            <w:shd w:val="clear" w:color="auto" w:fill="5B9AD4"/>
          </w:tcPr>
          <w:p>
            <w:pPr>
              <w:pStyle w:val="TableParagraph"/>
              <w:spacing w:line="451" w:lineRule="auto" w:before="126"/>
              <w:ind w:left="395" w:right="368" w:firstLine="3"/>
              <w:jc w:val="center"/>
              <w:rPr>
                <w:b/>
                <w:sz w:val="18"/>
              </w:rPr>
            </w:pPr>
            <w:r>
              <w:rPr>
                <w:b/>
                <w:color w:val="FFFFFF"/>
                <w:spacing w:val="-2"/>
                <w:sz w:val="18"/>
              </w:rPr>
              <w:t>Budget 2025/26</w:t>
            </w:r>
          </w:p>
          <w:p>
            <w:pPr>
              <w:pStyle w:val="TableParagraph"/>
              <w:spacing w:line="146" w:lineRule="exact"/>
              <w:ind w:left="482" w:right="454"/>
              <w:jc w:val="center"/>
              <w:rPr>
                <w:b/>
                <w:sz w:val="18"/>
              </w:rPr>
            </w:pPr>
            <w:r>
              <w:rPr>
                <w:b/>
                <w:color w:val="FFFFFF"/>
                <w:spacing w:val="-2"/>
                <w:sz w:val="18"/>
              </w:rPr>
              <w:t>$’000</w:t>
            </w:r>
          </w:p>
        </w:tc>
        <w:tc>
          <w:tcPr>
            <w:tcW w:w="1697" w:type="dxa"/>
            <w:tcBorders>
              <w:top w:val="single" w:sz="18" w:space="0" w:color="000000"/>
            </w:tcBorders>
            <w:shd w:val="clear" w:color="auto" w:fill="5B9AD4"/>
          </w:tcPr>
          <w:p>
            <w:pPr>
              <w:pStyle w:val="TableParagraph"/>
              <w:spacing w:before="10"/>
              <w:rPr>
                <w:b/>
                <w:sz w:val="23"/>
              </w:rPr>
            </w:pPr>
          </w:p>
          <w:p>
            <w:pPr>
              <w:pStyle w:val="TableParagraph"/>
              <w:spacing w:before="1"/>
              <w:ind w:left="1010"/>
              <w:rPr>
                <w:b/>
                <w:sz w:val="18"/>
              </w:rPr>
            </w:pPr>
            <w:r>
              <w:rPr>
                <w:b/>
                <w:color w:val="FFFFFF"/>
                <w:spacing w:val="-2"/>
                <w:sz w:val="18"/>
              </w:rPr>
              <w:t>Change</w:t>
            </w:r>
          </w:p>
          <w:p>
            <w:pPr>
              <w:pStyle w:val="TableParagraph"/>
              <w:rPr>
                <w:b/>
                <w:sz w:val="20"/>
              </w:rPr>
            </w:pPr>
          </w:p>
          <w:p>
            <w:pPr>
              <w:pStyle w:val="TableParagraph"/>
              <w:spacing w:line="187" w:lineRule="exact" w:before="151"/>
              <w:ind w:left="425"/>
              <w:rPr>
                <w:b/>
                <w:sz w:val="18"/>
              </w:rPr>
            </w:pPr>
            <w:r>
              <w:rPr>
                <w:b/>
                <w:color w:val="FFFFFF"/>
                <w:spacing w:val="-2"/>
                <w:sz w:val="18"/>
              </w:rPr>
              <w:t>$’000</w:t>
            </w:r>
          </w:p>
        </w:tc>
        <w:tc>
          <w:tcPr>
            <w:tcW w:w="956" w:type="dxa"/>
            <w:tcBorders>
              <w:top w:val="single" w:sz="18" w:space="0" w:color="000000"/>
              <w:right w:val="single" w:sz="12" w:space="0" w:color="000000"/>
            </w:tcBorders>
            <w:shd w:val="clear" w:color="auto" w:fill="5B9AD4"/>
          </w:tcPr>
          <w:p>
            <w:pPr>
              <w:pStyle w:val="TableParagraph"/>
              <w:rPr>
                <w:b/>
                <w:sz w:val="20"/>
              </w:rPr>
            </w:pPr>
          </w:p>
          <w:p>
            <w:pPr>
              <w:pStyle w:val="TableParagraph"/>
              <w:rPr>
                <w:b/>
                <w:sz w:val="20"/>
              </w:rPr>
            </w:pPr>
          </w:p>
          <w:p>
            <w:pPr>
              <w:pStyle w:val="TableParagraph"/>
              <w:rPr>
                <w:b/>
                <w:sz w:val="20"/>
              </w:rPr>
            </w:pPr>
          </w:p>
          <w:p>
            <w:pPr>
              <w:pStyle w:val="TableParagraph"/>
              <w:spacing w:line="187" w:lineRule="exact" w:before="173"/>
              <w:ind w:left="40"/>
              <w:rPr>
                <w:b/>
                <w:sz w:val="18"/>
              </w:rPr>
            </w:pPr>
            <w:r>
              <w:rPr>
                <w:b/>
                <w:color w:val="FFFFFF"/>
                <w:spacing w:val="-2"/>
                <w:sz w:val="18"/>
              </w:rPr>
              <w:t>$’000</w:t>
            </w:r>
          </w:p>
        </w:tc>
      </w:tr>
      <w:tr>
        <w:trPr>
          <w:trHeight w:val="301" w:hRule="atLeast"/>
        </w:trPr>
        <w:tc>
          <w:tcPr>
            <w:tcW w:w="4949" w:type="dxa"/>
            <w:tcBorders>
              <w:left w:val="single" w:sz="12" w:space="0" w:color="000000"/>
            </w:tcBorders>
          </w:tcPr>
          <w:p>
            <w:pPr>
              <w:pStyle w:val="TableParagraph"/>
              <w:spacing w:before="33"/>
              <w:ind w:left="107"/>
              <w:rPr>
                <w:sz w:val="20"/>
              </w:rPr>
            </w:pPr>
            <w:r>
              <w:rPr>
                <w:spacing w:val="-2"/>
                <w:sz w:val="20"/>
              </w:rPr>
              <w:t>Property</w:t>
            </w:r>
          </w:p>
        </w:tc>
        <w:tc>
          <w:tcPr>
            <w:tcW w:w="1416" w:type="dxa"/>
          </w:tcPr>
          <w:p>
            <w:pPr>
              <w:pStyle w:val="TableParagraph"/>
              <w:spacing w:before="33"/>
              <w:ind w:right="93"/>
              <w:jc w:val="right"/>
              <w:rPr>
                <w:sz w:val="20"/>
              </w:rPr>
            </w:pPr>
            <w:r>
              <w:rPr>
                <w:spacing w:val="-2"/>
                <w:sz w:val="20"/>
              </w:rPr>
              <w:t>6,103</w:t>
            </w:r>
          </w:p>
        </w:tc>
        <w:tc>
          <w:tcPr>
            <w:tcW w:w="1418" w:type="dxa"/>
            <w:shd w:val="clear" w:color="auto" w:fill="DDEBF6"/>
          </w:tcPr>
          <w:p>
            <w:pPr>
              <w:pStyle w:val="TableParagraph"/>
              <w:spacing w:before="33"/>
              <w:ind w:right="95"/>
              <w:jc w:val="right"/>
              <w:rPr>
                <w:b/>
                <w:sz w:val="20"/>
              </w:rPr>
            </w:pPr>
            <w:r>
              <w:rPr>
                <w:b/>
                <w:spacing w:val="-2"/>
                <w:sz w:val="20"/>
              </w:rPr>
              <w:t>6,427</w:t>
            </w:r>
          </w:p>
        </w:tc>
        <w:tc>
          <w:tcPr>
            <w:tcW w:w="1697" w:type="dxa"/>
          </w:tcPr>
          <w:p>
            <w:pPr>
              <w:pStyle w:val="TableParagraph"/>
              <w:spacing w:before="33"/>
              <w:ind w:right="516"/>
              <w:jc w:val="right"/>
              <w:rPr>
                <w:sz w:val="20"/>
              </w:rPr>
            </w:pPr>
            <w:r>
              <w:rPr>
                <w:spacing w:val="-5"/>
                <w:sz w:val="20"/>
              </w:rPr>
              <w:t>324</w:t>
            </w:r>
          </w:p>
        </w:tc>
        <w:tc>
          <w:tcPr>
            <w:tcW w:w="956" w:type="dxa"/>
            <w:tcBorders>
              <w:right w:val="single" w:sz="12" w:space="0" w:color="000000"/>
            </w:tcBorders>
          </w:tcPr>
          <w:p>
            <w:pPr>
              <w:pStyle w:val="TableParagraph"/>
              <w:spacing w:before="33"/>
              <w:ind w:right="78"/>
              <w:jc w:val="right"/>
              <w:rPr>
                <w:sz w:val="20"/>
              </w:rPr>
            </w:pPr>
            <w:r>
              <w:rPr>
                <w:spacing w:val="-4"/>
                <w:sz w:val="20"/>
              </w:rPr>
              <w:t>5.3%</w:t>
            </w:r>
          </w:p>
        </w:tc>
      </w:tr>
      <w:tr>
        <w:trPr>
          <w:trHeight w:val="304" w:hRule="atLeast"/>
        </w:trPr>
        <w:tc>
          <w:tcPr>
            <w:tcW w:w="4949" w:type="dxa"/>
            <w:tcBorders>
              <w:left w:val="single" w:sz="12" w:space="0" w:color="000000"/>
            </w:tcBorders>
          </w:tcPr>
          <w:p>
            <w:pPr>
              <w:pStyle w:val="TableParagraph"/>
              <w:spacing w:before="31"/>
              <w:ind w:left="107"/>
              <w:rPr>
                <w:sz w:val="20"/>
              </w:rPr>
            </w:pPr>
            <w:r>
              <w:rPr>
                <w:sz w:val="20"/>
              </w:rPr>
              <w:t>Plant</w:t>
            </w:r>
            <w:r>
              <w:rPr>
                <w:spacing w:val="-3"/>
                <w:sz w:val="20"/>
              </w:rPr>
              <w:t> </w:t>
            </w:r>
            <w:r>
              <w:rPr>
                <w:sz w:val="20"/>
              </w:rPr>
              <w:t>&amp;</w:t>
            </w:r>
            <w:r>
              <w:rPr>
                <w:spacing w:val="-4"/>
                <w:sz w:val="20"/>
              </w:rPr>
              <w:t> </w:t>
            </w:r>
            <w:r>
              <w:rPr>
                <w:spacing w:val="-2"/>
                <w:sz w:val="20"/>
              </w:rPr>
              <w:t>equipment</w:t>
            </w:r>
          </w:p>
        </w:tc>
        <w:tc>
          <w:tcPr>
            <w:tcW w:w="1416" w:type="dxa"/>
          </w:tcPr>
          <w:p>
            <w:pPr>
              <w:pStyle w:val="TableParagraph"/>
              <w:spacing w:before="31"/>
              <w:ind w:right="93"/>
              <w:jc w:val="right"/>
              <w:rPr>
                <w:sz w:val="20"/>
              </w:rPr>
            </w:pPr>
            <w:r>
              <w:rPr>
                <w:spacing w:val="-2"/>
                <w:sz w:val="20"/>
              </w:rPr>
              <w:t>2,320</w:t>
            </w:r>
          </w:p>
        </w:tc>
        <w:tc>
          <w:tcPr>
            <w:tcW w:w="1418" w:type="dxa"/>
            <w:shd w:val="clear" w:color="auto" w:fill="DDEBF6"/>
          </w:tcPr>
          <w:p>
            <w:pPr>
              <w:pStyle w:val="TableParagraph"/>
              <w:spacing w:before="31"/>
              <w:ind w:right="95"/>
              <w:jc w:val="right"/>
              <w:rPr>
                <w:b/>
                <w:sz w:val="20"/>
              </w:rPr>
            </w:pPr>
            <w:r>
              <w:rPr>
                <w:b/>
                <w:spacing w:val="-2"/>
                <w:sz w:val="20"/>
              </w:rPr>
              <w:t>2,551</w:t>
            </w:r>
          </w:p>
        </w:tc>
        <w:tc>
          <w:tcPr>
            <w:tcW w:w="1697" w:type="dxa"/>
          </w:tcPr>
          <w:p>
            <w:pPr>
              <w:pStyle w:val="TableParagraph"/>
              <w:spacing w:before="31"/>
              <w:ind w:right="516"/>
              <w:jc w:val="right"/>
              <w:rPr>
                <w:sz w:val="20"/>
              </w:rPr>
            </w:pPr>
            <w:r>
              <w:rPr>
                <w:spacing w:val="-5"/>
                <w:sz w:val="20"/>
              </w:rPr>
              <w:t>230</w:t>
            </w:r>
          </w:p>
        </w:tc>
        <w:tc>
          <w:tcPr>
            <w:tcW w:w="956" w:type="dxa"/>
            <w:tcBorders>
              <w:right w:val="single" w:sz="12" w:space="0" w:color="000000"/>
            </w:tcBorders>
          </w:tcPr>
          <w:p>
            <w:pPr>
              <w:pStyle w:val="TableParagraph"/>
              <w:spacing w:before="31"/>
              <w:ind w:right="78"/>
              <w:jc w:val="right"/>
              <w:rPr>
                <w:sz w:val="20"/>
              </w:rPr>
            </w:pPr>
            <w:r>
              <w:rPr>
                <w:spacing w:val="-4"/>
                <w:sz w:val="20"/>
              </w:rPr>
              <w:t>9.9%</w:t>
            </w:r>
          </w:p>
        </w:tc>
      </w:tr>
      <w:tr>
        <w:trPr>
          <w:trHeight w:val="300" w:hRule="atLeast"/>
        </w:trPr>
        <w:tc>
          <w:tcPr>
            <w:tcW w:w="4949" w:type="dxa"/>
            <w:tcBorders>
              <w:left w:val="single" w:sz="12" w:space="0" w:color="000000"/>
            </w:tcBorders>
          </w:tcPr>
          <w:p>
            <w:pPr>
              <w:pStyle w:val="TableParagraph"/>
              <w:spacing w:before="36"/>
              <w:ind w:left="107"/>
              <w:rPr>
                <w:sz w:val="20"/>
              </w:rPr>
            </w:pPr>
            <w:r>
              <w:rPr>
                <w:spacing w:val="-2"/>
                <w:sz w:val="20"/>
              </w:rPr>
              <w:t>Infrastructure</w:t>
            </w:r>
          </w:p>
        </w:tc>
        <w:tc>
          <w:tcPr>
            <w:tcW w:w="1416" w:type="dxa"/>
            <w:tcBorders>
              <w:bottom w:val="single" w:sz="12" w:space="0" w:color="000000"/>
            </w:tcBorders>
          </w:tcPr>
          <w:p>
            <w:pPr>
              <w:pStyle w:val="TableParagraph"/>
              <w:spacing w:before="36"/>
              <w:ind w:right="93"/>
              <w:jc w:val="right"/>
              <w:rPr>
                <w:sz w:val="20"/>
              </w:rPr>
            </w:pPr>
            <w:r>
              <w:rPr>
                <w:spacing w:val="-2"/>
                <w:sz w:val="20"/>
              </w:rPr>
              <w:t>18,730</w:t>
            </w:r>
          </w:p>
        </w:tc>
        <w:tc>
          <w:tcPr>
            <w:tcW w:w="1418" w:type="dxa"/>
            <w:tcBorders>
              <w:bottom w:val="single" w:sz="18" w:space="0" w:color="000000"/>
            </w:tcBorders>
            <w:shd w:val="clear" w:color="auto" w:fill="DDEBF6"/>
          </w:tcPr>
          <w:p>
            <w:pPr>
              <w:pStyle w:val="TableParagraph"/>
              <w:spacing w:before="36"/>
              <w:ind w:right="96"/>
              <w:jc w:val="right"/>
              <w:rPr>
                <w:b/>
                <w:sz w:val="20"/>
              </w:rPr>
            </w:pPr>
            <w:r>
              <w:rPr>
                <w:b/>
                <w:spacing w:val="-2"/>
                <w:sz w:val="20"/>
              </w:rPr>
              <w:t>19,148</w:t>
            </w:r>
          </w:p>
        </w:tc>
        <w:tc>
          <w:tcPr>
            <w:tcW w:w="1697" w:type="dxa"/>
            <w:tcBorders>
              <w:bottom w:val="single" w:sz="12" w:space="0" w:color="000000"/>
            </w:tcBorders>
          </w:tcPr>
          <w:p>
            <w:pPr>
              <w:pStyle w:val="TableParagraph"/>
              <w:spacing w:before="36"/>
              <w:ind w:right="516"/>
              <w:jc w:val="right"/>
              <w:rPr>
                <w:sz w:val="20"/>
              </w:rPr>
            </w:pPr>
            <w:r>
              <w:rPr>
                <w:spacing w:val="-5"/>
                <w:sz w:val="20"/>
              </w:rPr>
              <w:t>418</w:t>
            </w:r>
          </w:p>
        </w:tc>
        <w:tc>
          <w:tcPr>
            <w:tcW w:w="956" w:type="dxa"/>
            <w:tcBorders>
              <w:bottom w:val="single" w:sz="12" w:space="0" w:color="000000"/>
              <w:right w:val="single" w:sz="12" w:space="0" w:color="000000"/>
            </w:tcBorders>
          </w:tcPr>
          <w:p>
            <w:pPr>
              <w:pStyle w:val="TableParagraph"/>
              <w:spacing w:before="36"/>
              <w:ind w:right="78"/>
              <w:jc w:val="right"/>
              <w:rPr>
                <w:sz w:val="20"/>
              </w:rPr>
            </w:pPr>
            <w:r>
              <w:rPr>
                <w:spacing w:val="-4"/>
                <w:sz w:val="20"/>
              </w:rPr>
              <w:t>2.2%</w:t>
            </w:r>
          </w:p>
        </w:tc>
      </w:tr>
      <w:tr>
        <w:trPr>
          <w:trHeight w:val="309" w:hRule="atLeast"/>
        </w:trPr>
        <w:tc>
          <w:tcPr>
            <w:tcW w:w="4949" w:type="dxa"/>
            <w:tcBorders>
              <w:left w:val="single" w:sz="12" w:space="0" w:color="000000"/>
              <w:bottom w:val="single" w:sz="12" w:space="0" w:color="000000"/>
            </w:tcBorders>
          </w:tcPr>
          <w:p>
            <w:pPr>
              <w:pStyle w:val="TableParagraph"/>
              <w:spacing w:before="33"/>
              <w:ind w:left="107"/>
              <w:rPr>
                <w:b/>
                <w:sz w:val="20"/>
              </w:rPr>
            </w:pPr>
            <w:r>
              <w:rPr>
                <w:b/>
                <w:sz w:val="20"/>
              </w:rPr>
              <w:t>Total</w:t>
            </w:r>
            <w:r>
              <w:rPr>
                <w:b/>
                <w:spacing w:val="-6"/>
                <w:sz w:val="20"/>
              </w:rPr>
              <w:t> </w:t>
            </w:r>
            <w:r>
              <w:rPr>
                <w:b/>
                <w:spacing w:val="-2"/>
                <w:sz w:val="20"/>
              </w:rPr>
              <w:t>depreciation</w:t>
            </w:r>
          </w:p>
        </w:tc>
        <w:tc>
          <w:tcPr>
            <w:tcW w:w="1416" w:type="dxa"/>
            <w:tcBorders>
              <w:top w:val="single" w:sz="12" w:space="0" w:color="000000"/>
              <w:bottom w:val="single" w:sz="12" w:space="0" w:color="000000"/>
            </w:tcBorders>
          </w:tcPr>
          <w:p>
            <w:pPr>
              <w:pStyle w:val="TableParagraph"/>
              <w:spacing w:before="33"/>
              <w:ind w:right="93"/>
              <w:jc w:val="right"/>
              <w:rPr>
                <w:b/>
                <w:sz w:val="20"/>
              </w:rPr>
            </w:pPr>
            <w:r>
              <w:rPr>
                <w:b/>
                <w:spacing w:val="-2"/>
                <w:sz w:val="20"/>
              </w:rPr>
              <w:t>27,153</w:t>
            </w:r>
          </w:p>
        </w:tc>
        <w:tc>
          <w:tcPr>
            <w:tcW w:w="1418" w:type="dxa"/>
            <w:tcBorders>
              <w:top w:val="single" w:sz="18" w:space="0" w:color="000000"/>
              <w:bottom w:val="single" w:sz="12" w:space="0" w:color="000000"/>
            </w:tcBorders>
            <w:shd w:val="clear" w:color="auto" w:fill="DDEBF6"/>
          </w:tcPr>
          <w:p>
            <w:pPr>
              <w:pStyle w:val="TableParagraph"/>
              <w:spacing w:before="33"/>
              <w:ind w:right="96"/>
              <w:jc w:val="right"/>
              <w:rPr>
                <w:b/>
                <w:sz w:val="20"/>
              </w:rPr>
            </w:pPr>
            <w:r>
              <w:rPr>
                <w:b/>
                <w:spacing w:val="-2"/>
                <w:sz w:val="20"/>
              </w:rPr>
              <w:t>28,125</w:t>
            </w:r>
          </w:p>
        </w:tc>
        <w:tc>
          <w:tcPr>
            <w:tcW w:w="1697" w:type="dxa"/>
            <w:tcBorders>
              <w:top w:val="single" w:sz="12" w:space="0" w:color="000000"/>
              <w:bottom w:val="single" w:sz="12" w:space="0" w:color="000000"/>
            </w:tcBorders>
          </w:tcPr>
          <w:p>
            <w:pPr>
              <w:pStyle w:val="TableParagraph"/>
              <w:spacing w:before="33"/>
              <w:ind w:right="515"/>
              <w:jc w:val="right"/>
              <w:rPr>
                <w:b/>
                <w:sz w:val="20"/>
              </w:rPr>
            </w:pPr>
            <w:r>
              <w:rPr>
                <w:b/>
                <w:spacing w:val="-5"/>
                <w:sz w:val="20"/>
              </w:rPr>
              <w:t>972</w:t>
            </w:r>
          </w:p>
        </w:tc>
        <w:tc>
          <w:tcPr>
            <w:tcW w:w="956" w:type="dxa"/>
            <w:tcBorders>
              <w:top w:val="single" w:sz="12" w:space="0" w:color="000000"/>
              <w:bottom w:val="single" w:sz="12" w:space="0" w:color="000000"/>
              <w:right w:val="single" w:sz="12" w:space="0" w:color="000000"/>
            </w:tcBorders>
          </w:tcPr>
          <w:p>
            <w:pPr>
              <w:pStyle w:val="TableParagraph"/>
              <w:spacing w:before="33"/>
              <w:ind w:right="75"/>
              <w:jc w:val="right"/>
              <w:rPr>
                <w:b/>
                <w:sz w:val="20"/>
              </w:rPr>
            </w:pPr>
            <w:r>
              <w:rPr>
                <w:b/>
                <w:spacing w:val="-4"/>
                <w:sz w:val="20"/>
              </w:rPr>
              <w:t>3.6%</w:t>
            </w:r>
          </w:p>
        </w:tc>
      </w:tr>
    </w:tbl>
    <w:p>
      <w:pPr>
        <w:pStyle w:val="BodyText"/>
        <w:spacing w:before="2"/>
        <w:rPr>
          <w:b/>
          <w:sz w:val="23"/>
        </w:rPr>
      </w:pPr>
    </w:p>
    <w:p>
      <w:pPr>
        <w:pStyle w:val="BodyText"/>
        <w:ind w:left="260" w:right="554"/>
        <w:jc w:val="both"/>
      </w:pPr>
      <w:r>
        <w:rPr/>
        <w:t>Depreciation</w:t>
      </w:r>
      <w:r>
        <w:rPr>
          <w:spacing w:val="-6"/>
        </w:rPr>
        <w:t> </w:t>
      </w:r>
      <w:r>
        <w:rPr/>
        <w:t>is</w:t>
      </w:r>
      <w:r>
        <w:rPr>
          <w:spacing w:val="-8"/>
        </w:rPr>
        <w:t> </w:t>
      </w:r>
      <w:r>
        <w:rPr/>
        <w:t>an</w:t>
      </w:r>
      <w:r>
        <w:rPr>
          <w:spacing w:val="-8"/>
        </w:rPr>
        <w:t> </w:t>
      </w:r>
      <w:r>
        <w:rPr/>
        <w:t>accounting</w:t>
      </w:r>
      <w:r>
        <w:rPr>
          <w:spacing w:val="-10"/>
        </w:rPr>
        <w:t> </w:t>
      </w:r>
      <w:r>
        <w:rPr/>
        <w:t>measure</w:t>
      </w:r>
      <w:r>
        <w:rPr>
          <w:spacing w:val="-10"/>
        </w:rPr>
        <w:t> </w:t>
      </w:r>
      <w:r>
        <w:rPr/>
        <w:t>which</w:t>
      </w:r>
      <w:r>
        <w:rPr>
          <w:spacing w:val="-10"/>
        </w:rPr>
        <w:t> </w:t>
      </w:r>
      <w:r>
        <w:rPr/>
        <w:t>attempts</w:t>
      </w:r>
      <w:r>
        <w:rPr>
          <w:spacing w:val="-10"/>
        </w:rPr>
        <w:t> </w:t>
      </w:r>
      <w:r>
        <w:rPr/>
        <w:t>to</w:t>
      </w:r>
      <w:r>
        <w:rPr>
          <w:spacing w:val="-10"/>
        </w:rPr>
        <w:t> </w:t>
      </w:r>
      <w:r>
        <w:rPr/>
        <w:t>allocate</w:t>
      </w:r>
      <w:r>
        <w:rPr>
          <w:spacing w:val="-10"/>
        </w:rPr>
        <w:t> </w:t>
      </w:r>
      <w:r>
        <w:rPr/>
        <w:t>the</w:t>
      </w:r>
      <w:r>
        <w:rPr>
          <w:spacing w:val="-8"/>
        </w:rPr>
        <w:t> </w:t>
      </w:r>
      <w:r>
        <w:rPr/>
        <w:t>value</w:t>
      </w:r>
      <w:r>
        <w:rPr>
          <w:spacing w:val="-6"/>
        </w:rPr>
        <w:t> </w:t>
      </w:r>
      <w:r>
        <w:rPr/>
        <w:t>of</w:t>
      </w:r>
      <w:r>
        <w:rPr>
          <w:spacing w:val="-6"/>
        </w:rPr>
        <w:t> </w:t>
      </w:r>
      <w:r>
        <w:rPr/>
        <w:t>an</w:t>
      </w:r>
      <w:r>
        <w:rPr>
          <w:spacing w:val="-8"/>
        </w:rPr>
        <w:t> </w:t>
      </w:r>
      <w:r>
        <w:rPr/>
        <w:t>asset</w:t>
      </w:r>
      <w:r>
        <w:rPr>
          <w:spacing w:val="-8"/>
        </w:rPr>
        <w:t> </w:t>
      </w:r>
      <w:r>
        <w:rPr/>
        <w:t>over</w:t>
      </w:r>
      <w:r>
        <w:rPr>
          <w:spacing w:val="-8"/>
        </w:rPr>
        <w:t> </w:t>
      </w:r>
      <w:r>
        <w:rPr/>
        <w:t>its</w:t>
      </w:r>
      <w:r>
        <w:rPr>
          <w:spacing w:val="-6"/>
        </w:rPr>
        <w:t> </w:t>
      </w:r>
      <w:r>
        <w:rPr/>
        <w:t>useful</w:t>
      </w:r>
      <w:r>
        <w:rPr>
          <w:spacing w:val="-6"/>
        </w:rPr>
        <w:t> </w:t>
      </w:r>
      <w:r>
        <w:rPr/>
        <w:t>life</w:t>
      </w:r>
      <w:r>
        <w:rPr>
          <w:spacing w:val="-8"/>
        </w:rPr>
        <w:t> </w:t>
      </w:r>
      <w:r>
        <w:rPr/>
        <w:t>for Council’s</w:t>
      </w:r>
      <w:r>
        <w:rPr>
          <w:spacing w:val="-2"/>
        </w:rPr>
        <w:t> </w:t>
      </w:r>
      <w:r>
        <w:rPr/>
        <w:t>property,</w:t>
      </w:r>
      <w:r>
        <w:rPr>
          <w:spacing w:val="-1"/>
        </w:rPr>
        <w:t> </w:t>
      </w:r>
      <w:r>
        <w:rPr/>
        <w:t>plant</w:t>
      </w:r>
      <w:r>
        <w:rPr>
          <w:spacing w:val="-1"/>
        </w:rPr>
        <w:t> </w:t>
      </w:r>
      <w:r>
        <w:rPr/>
        <w:t>and</w:t>
      </w:r>
      <w:r>
        <w:rPr>
          <w:spacing w:val="-2"/>
        </w:rPr>
        <w:t> </w:t>
      </w:r>
      <w:r>
        <w:rPr/>
        <w:t>equipment including</w:t>
      </w:r>
      <w:r>
        <w:rPr>
          <w:spacing w:val="-5"/>
        </w:rPr>
        <w:t> </w:t>
      </w:r>
      <w:r>
        <w:rPr/>
        <w:t>infrastructure</w:t>
      </w:r>
      <w:r>
        <w:rPr>
          <w:spacing w:val="-2"/>
        </w:rPr>
        <w:t> </w:t>
      </w:r>
      <w:r>
        <w:rPr/>
        <w:t>assets</w:t>
      </w:r>
      <w:r>
        <w:rPr>
          <w:spacing w:val="-2"/>
        </w:rPr>
        <w:t> </w:t>
      </w:r>
      <w:r>
        <w:rPr/>
        <w:t>such</w:t>
      </w:r>
      <w:r>
        <w:rPr>
          <w:spacing w:val="-2"/>
        </w:rPr>
        <w:t> </w:t>
      </w:r>
      <w:r>
        <w:rPr/>
        <w:t>as roads, footpaths</w:t>
      </w:r>
      <w:r>
        <w:rPr>
          <w:spacing w:val="-2"/>
        </w:rPr>
        <w:t> </w:t>
      </w:r>
      <w:r>
        <w:rPr/>
        <w:t>and</w:t>
      </w:r>
      <w:r>
        <w:rPr>
          <w:spacing w:val="-4"/>
        </w:rPr>
        <w:t> </w:t>
      </w:r>
      <w:r>
        <w:rPr/>
        <w:t>drains. The increase of $0.97 million or 3.6% for 2025/26 reflects the depreciation from the 2025/26 capital works program, the</w:t>
      </w:r>
      <w:r>
        <w:rPr>
          <w:spacing w:val="-1"/>
        </w:rPr>
        <w:t> </w:t>
      </w:r>
      <w:r>
        <w:rPr/>
        <w:t>full year effect of depreciation on the 2024/25 capital works program, as well as the increased depreciation due to indexed replacement costs from Infrastructure revaluations.</w:t>
      </w:r>
    </w:p>
    <w:p>
      <w:pPr>
        <w:pStyle w:val="BodyText"/>
        <w:spacing w:before="10"/>
        <w:rPr>
          <w:sz w:val="23"/>
        </w:rPr>
      </w:pPr>
    </w:p>
    <w:p>
      <w:pPr>
        <w:pStyle w:val="ListParagraph"/>
        <w:numPr>
          <w:ilvl w:val="2"/>
          <w:numId w:val="59"/>
        </w:numPr>
        <w:tabs>
          <w:tab w:pos="996" w:val="left" w:leader="none"/>
        </w:tabs>
        <w:spacing w:line="240" w:lineRule="auto" w:before="0" w:after="0"/>
        <w:ind w:left="995" w:right="0" w:hanging="736"/>
        <w:jc w:val="left"/>
        <w:rPr>
          <w:b/>
          <w:sz w:val="24"/>
        </w:rPr>
      </w:pPr>
      <w:r>
        <w:rPr>
          <w:b/>
          <w:color w:val="4966AC"/>
          <w:sz w:val="24"/>
        </w:rPr>
        <w:t>Amortisation</w:t>
      </w:r>
      <w:r>
        <w:rPr>
          <w:b/>
          <w:color w:val="4966AC"/>
          <w:spacing w:val="-1"/>
          <w:sz w:val="24"/>
        </w:rPr>
        <w:t> </w:t>
      </w:r>
      <w:r>
        <w:rPr>
          <w:b/>
          <w:color w:val="4966AC"/>
          <w:sz w:val="24"/>
        </w:rPr>
        <w:t>-</w:t>
      </w:r>
      <w:r>
        <w:rPr>
          <w:b/>
          <w:color w:val="4966AC"/>
          <w:spacing w:val="-3"/>
          <w:sz w:val="24"/>
        </w:rPr>
        <w:t> </w:t>
      </w:r>
      <w:r>
        <w:rPr>
          <w:b/>
          <w:color w:val="4966AC"/>
          <w:sz w:val="24"/>
        </w:rPr>
        <w:t>Intangible </w:t>
      </w:r>
      <w:r>
        <w:rPr>
          <w:b/>
          <w:color w:val="4966AC"/>
          <w:spacing w:val="-2"/>
          <w:sz w:val="24"/>
        </w:rPr>
        <w:t>assets</w:t>
      </w:r>
    </w:p>
    <w:p>
      <w:pPr>
        <w:pStyle w:val="BodyText"/>
        <w:spacing w:before="10"/>
        <w:rPr>
          <w:b/>
        </w:rPr>
      </w:pPr>
    </w:p>
    <w:tbl>
      <w:tblPr>
        <w:tblW w:w="0" w:type="auto"/>
        <w:jc w:val="left"/>
        <w:tblInd w:w="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82"/>
        <w:gridCol w:w="1551"/>
        <w:gridCol w:w="1370"/>
        <w:gridCol w:w="974"/>
        <w:gridCol w:w="787"/>
        <w:gridCol w:w="972"/>
      </w:tblGrid>
      <w:tr>
        <w:trPr>
          <w:trHeight w:val="1073" w:hRule="atLeast"/>
        </w:trPr>
        <w:tc>
          <w:tcPr>
            <w:tcW w:w="6333" w:type="dxa"/>
            <w:gridSpan w:val="2"/>
            <w:tcBorders>
              <w:top w:val="single" w:sz="18" w:space="0" w:color="000000"/>
              <w:left w:val="single" w:sz="12" w:space="0" w:color="000000"/>
            </w:tcBorders>
            <w:shd w:val="clear" w:color="auto" w:fill="5B9AD4"/>
          </w:tcPr>
          <w:p>
            <w:pPr>
              <w:pStyle w:val="TableParagraph"/>
              <w:spacing w:before="23"/>
              <w:ind w:left="5272" w:right="275"/>
              <w:jc w:val="center"/>
              <w:rPr>
                <w:b/>
                <w:sz w:val="18"/>
              </w:rPr>
            </w:pPr>
            <w:r>
              <w:rPr>
                <w:b/>
                <w:color w:val="FFFFFF"/>
                <w:spacing w:val="-2"/>
                <w:sz w:val="18"/>
              </w:rPr>
              <w:t>Forecast Actual</w:t>
            </w:r>
          </w:p>
          <w:p>
            <w:pPr>
              <w:pStyle w:val="TableParagraph"/>
              <w:spacing w:before="81"/>
              <w:ind w:left="5268" w:right="275"/>
              <w:jc w:val="center"/>
              <w:rPr>
                <w:b/>
                <w:sz w:val="18"/>
              </w:rPr>
            </w:pPr>
            <w:r>
              <w:rPr>
                <w:b/>
                <w:color w:val="FFFFFF"/>
                <w:spacing w:val="-2"/>
                <w:sz w:val="18"/>
              </w:rPr>
              <w:t>2024/25</w:t>
            </w:r>
          </w:p>
          <w:p>
            <w:pPr>
              <w:pStyle w:val="TableParagraph"/>
              <w:spacing w:line="190" w:lineRule="exact" w:before="138"/>
              <w:ind w:left="5271" w:right="275"/>
              <w:jc w:val="center"/>
              <w:rPr>
                <w:b/>
                <w:sz w:val="18"/>
              </w:rPr>
            </w:pPr>
            <w:r>
              <w:rPr>
                <w:b/>
                <w:color w:val="FFFFFF"/>
                <w:spacing w:val="-2"/>
                <w:sz w:val="18"/>
              </w:rPr>
              <w:t>$’000</w:t>
            </w:r>
          </w:p>
        </w:tc>
        <w:tc>
          <w:tcPr>
            <w:tcW w:w="1370" w:type="dxa"/>
            <w:tcBorders>
              <w:top w:val="single" w:sz="18" w:space="0" w:color="000000"/>
            </w:tcBorders>
            <w:shd w:val="clear" w:color="auto" w:fill="5B9AD4"/>
          </w:tcPr>
          <w:p>
            <w:pPr>
              <w:pStyle w:val="TableParagraph"/>
              <w:spacing w:line="453" w:lineRule="auto" w:before="126"/>
              <w:ind w:left="372" w:right="343" w:firstLine="3"/>
              <w:jc w:val="center"/>
              <w:rPr>
                <w:b/>
                <w:sz w:val="18"/>
              </w:rPr>
            </w:pPr>
            <w:r>
              <w:rPr>
                <w:b/>
                <w:color w:val="FFFFFF"/>
                <w:spacing w:val="-2"/>
                <w:sz w:val="18"/>
              </w:rPr>
              <w:t>Budget 2025/26</w:t>
            </w:r>
          </w:p>
          <w:p>
            <w:pPr>
              <w:pStyle w:val="TableParagraph"/>
              <w:spacing w:line="144" w:lineRule="exact"/>
              <w:ind w:left="458" w:right="429"/>
              <w:jc w:val="center"/>
              <w:rPr>
                <w:b/>
                <w:sz w:val="18"/>
              </w:rPr>
            </w:pPr>
            <w:r>
              <w:rPr>
                <w:b/>
                <w:color w:val="FFFFFF"/>
                <w:spacing w:val="-2"/>
                <w:sz w:val="18"/>
              </w:rPr>
              <w:t>$’000</w:t>
            </w:r>
          </w:p>
        </w:tc>
        <w:tc>
          <w:tcPr>
            <w:tcW w:w="974" w:type="dxa"/>
            <w:tcBorders>
              <w:top w:val="single" w:sz="18" w:space="0" w:color="000000"/>
            </w:tcBorders>
            <w:shd w:val="clear" w:color="auto" w:fill="5B9AD4"/>
          </w:tcPr>
          <w:p>
            <w:pPr>
              <w:pStyle w:val="TableParagraph"/>
              <w:rPr>
                <w:b/>
                <w:sz w:val="20"/>
              </w:rPr>
            </w:pPr>
          </w:p>
          <w:p>
            <w:pPr>
              <w:pStyle w:val="TableParagraph"/>
              <w:rPr>
                <w:b/>
                <w:sz w:val="20"/>
              </w:rPr>
            </w:pPr>
          </w:p>
          <w:p>
            <w:pPr>
              <w:pStyle w:val="TableParagraph"/>
              <w:rPr>
                <w:b/>
                <w:sz w:val="20"/>
              </w:rPr>
            </w:pPr>
          </w:p>
          <w:p>
            <w:pPr>
              <w:pStyle w:val="TableParagraph"/>
              <w:spacing w:line="190" w:lineRule="exact" w:before="173"/>
              <w:ind w:left="473"/>
              <w:rPr>
                <w:b/>
                <w:sz w:val="18"/>
              </w:rPr>
            </w:pPr>
            <w:r>
              <w:rPr>
                <w:b/>
                <w:color w:val="FFFFFF"/>
                <w:spacing w:val="-2"/>
                <w:sz w:val="18"/>
              </w:rPr>
              <w:t>$’000</w:t>
            </w:r>
          </w:p>
        </w:tc>
        <w:tc>
          <w:tcPr>
            <w:tcW w:w="787" w:type="dxa"/>
            <w:tcBorders>
              <w:top w:val="single" w:sz="18" w:space="0" w:color="000000"/>
            </w:tcBorders>
            <w:shd w:val="clear" w:color="auto" w:fill="5B9AD4"/>
          </w:tcPr>
          <w:p>
            <w:pPr>
              <w:pStyle w:val="TableParagraph"/>
              <w:spacing w:before="1"/>
              <w:rPr>
                <w:b/>
                <w:sz w:val="24"/>
              </w:rPr>
            </w:pPr>
          </w:p>
          <w:p>
            <w:pPr>
              <w:pStyle w:val="TableParagraph"/>
              <w:spacing w:before="1"/>
              <w:ind w:left="78"/>
              <w:rPr>
                <w:b/>
                <w:sz w:val="18"/>
              </w:rPr>
            </w:pPr>
            <w:r>
              <w:rPr>
                <w:b/>
                <w:color w:val="FFFFFF"/>
                <w:spacing w:val="-2"/>
                <w:sz w:val="18"/>
              </w:rPr>
              <w:t>Change</w:t>
            </w:r>
          </w:p>
        </w:tc>
        <w:tc>
          <w:tcPr>
            <w:tcW w:w="972" w:type="dxa"/>
            <w:tcBorders>
              <w:top w:val="single" w:sz="18" w:space="0" w:color="000000"/>
              <w:right w:val="single" w:sz="12" w:space="0" w:color="000000"/>
            </w:tcBorders>
            <w:shd w:val="clear" w:color="auto" w:fill="5B9AD4"/>
          </w:tcPr>
          <w:p>
            <w:pPr>
              <w:pStyle w:val="TableParagraph"/>
              <w:rPr>
                <w:b/>
                <w:sz w:val="20"/>
              </w:rPr>
            </w:pPr>
          </w:p>
          <w:p>
            <w:pPr>
              <w:pStyle w:val="TableParagraph"/>
              <w:rPr>
                <w:b/>
                <w:sz w:val="20"/>
              </w:rPr>
            </w:pPr>
          </w:p>
          <w:p>
            <w:pPr>
              <w:pStyle w:val="TableParagraph"/>
              <w:rPr>
                <w:b/>
                <w:sz w:val="20"/>
              </w:rPr>
            </w:pPr>
          </w:p>
          <w:p>
            <w:pPr>
              <w:pStyle w:val="TableParagraph"/>
              <w:spacing w:line="190" w:lineRule="exact" w:before="173"/>
              <w:ind w:left="63"/>
              <w:rPr>
                <w:b/>
                <w:sz w:val="18"/>
              </w:rPr>
            </w:pPr>
            <w:r>
              <w:rPr>
                <w:b/>
                <w:color w:val="FFFFFF"/>
                <w:spacing w:val="-2"/>
                <w:sz w:val="18"/>
              </w:rPr>
              <w:t>$’000</w:t>
            </w:r>
          </w:p>
        </w:tc>
      </w:tr>
      <w:tr>
        <w:trPr>
          <w:trHeight w:val="316" w:hRule="atLeast"/>
        </w:trPr>
        <w:tc>
          <w:tcPr>
            <w:tcW w:w="4782" w:type="dxa"/>
            <w:tcBorders>
              <w:left w:val="single" w:sz="12" w:space="0" w:color="000000"/>
            </w:tcBorders>
          </w:tcPr>
          <w:p>
            <w:pPr>
              <w:pStyle w:val="TableParagraph"/>
              <w:spacing w:before="40"/>
              <w:ind w:left="107"/>
              <w:rPr>
                <w:sz w:val="20"/>
              </w:rPr>
            </w:pPr>
            <w:r>
              <w:rPr>
                <w:spacing w:val="-2"/>
                <w:sz w:val="20"/>
              </w:rPr>
              <w:t>Software</w:t>
            </w:r>
          </w:p>
        </w:tc>
        <w:tc>
          <w:tcPr>
            <w:tcW w:w="1551" w:type="dxa"/>
          </w:tcPr>
          <w:p>
            <w:pPr>
              <w:pStyle w:val="TableParagraph"/>
              <w:spacing w:before="40"/>
              <w:ind w:right="92"/>
              <w:jc w:val="right"/>
              <w:rPr>
                <w:sz w:val="20"/>
              </w:rPr>
            </w:pPr>
            <w:r>
              <w:rPr>
                <w:spacing w:val="-5"/>
                <w:sz w:val="20"/>
              </w:rPr>
              <w:t>332</w:t>
            </w:r>
          </w:p>
        </w:tc>
        <w:tc>
          <w:tcPr>
            <w:tcW w:w="1370" w:type="dxa"/>
            <w:shd w:val="clear" w:color="auto" w:fill="DDEBF6"/>
          </w:tcPr>
          <w:p>
            <w:pPr>
              <w:pStyle w:val="TableParagraph"/>
              <w:spacing w:before="40"/>
              <w:ind w:right="95"/>
              <w:jc w:val="right"/>
              <w:rPr>
                <w:b/>
                <w:sz w:val="20"/>
              </w:rPr>
            </w:pPr>
            <w:r>
              <w:rPr>
                <w:b/>
                <w:spacing w:val="-5"/>
                <w:sz w:val="20"/>
              </w:rPr>
              <w:t>425</w:t>
            </w:r>
          </w:p>
        </w:tc>
        <w:tc>
          <w:tcPr>
            <w:tcW w:w="1761" w:type="dxa"/>
            <w:gridSpan w:val="2"/>
          </w:tcPr>
          <w:p>
            <w:pPr>
              <w:pStyle w:val="TableParagraph"/>
              <w:spacing w:before="40"/>
              <w:ind w:left="1052"/>
              <w:rPr>
                <w:sz w:val="20"/>
              </w:rPr>
            </w:pPr>
            <w:r>
              <w:rPr>
                <w:spacing w:val="-5"/>
                <w:sz w:val="20"/>
              </w:rPr>
              <w:t>93</w:t>
            </w:r>
          </w:p>
        </w:tc>
        <w:tc>
          <w:tcPr>
            <w:tcW w:w="972" w:type="dxa"/>
            <w:tcBorders>
              <w:right w:val="single" w:sz="12" w:space="0" w:color="000000"/>
            </w:tcBorders>
          </w:tcPr>
          <w:p>
            <w:pPr>
              <w:pStyle w:val="TableParagraph"/>
              <w:spacing w:before="40"/>
              <w:ind w:right="77"/>
              <w:jc w:val="right"/>
              <w:rPr>
                <w:sz w:val="20"/>
              </w:rPr>
            </w:pPr>
            <w:r>
              <w:rPr>
                <w:spacing w:val="-2"/>
                <w:sz w:val="20"/>
              </w:rPr>
              <w:t>28.0%</w:t>
            </w:r>
          </w:p>
        </w:tc>
      </w:tr>
      <w:tr>
        <w:trPr>
          <w:trHeight w:val="314" w:hRule="atLeast"/>
        </w:trPr>
        <w:tc>
          <w:tcPr>
            <w:tcW w:w="4782" w:type="dxa"/>
            <w:tcBorders>
              <w:left w:val="single" w:sz="12" w:space="0" w:color="000000"/>
              <w:bottom w:val="single" w:sz="12" w:space="0" w:color="000000"/>
            </w:tcBorders>
          </w:tcPr>
          <w:p>
            <w:pPr>
              <w:pStyle w:val="TableParagraph"/>
              <w:spacing w:before="38"/>
              <w:ind w:left="107"/>
              <w:rPr>
                <w:b/>
                <w:sz w:val="20"/>
              </w:rPr>
            </w:pPr>
            <w:r>
              <w:rPr>
                <w:b/>
                <w:sz w:val="20"/>
              </w:rPr>
              <w:t>Total</w:t>
            </w:r>
            <w:r>
              <w:rPr>
                <w:b/>
                <w:spacing w:val="-8"/>
                <w:sz w:val="20"/>
              </w:rPr>
              <w:t> </w:t>
            </w:r>
            <w:r>
              <w:rPr>
                <w:b/>
                <w:sz w:val="20"/>
              </w:rPr>
              <w:t>Amortisation</w:t>
            </w:r>
            <w:r>
              <w:rPr>
                <w:b/>
                <w:spacing w:val="-8"/>
                <w:sz w:val="20"/>
              </w:rPr>
              <w:t> </w:t>
            </w:r>
            <w:r>
              <w:rPr>
                <w:b/>
                <w:sz w:val="20"/>
              </w:rPr>
              <w:t>-</w:t>
            </w:r>
            <w:r>
              <w:rPr>
                <w:b/>
                <w:spacing w:val="-7"/>
                <w:sz w:val="20"/>
              </w:rPr>
              <w:t> </w:t>
            </w:r>
            <w:r>
              <w:rPr>
                <w:b/>
                <w:sz w:val="20"/>
              </w:rPr>
              <w:t>Intangible</w:t>
            </w:r>
            <w:r>
              <w:rPr>
                <w:b/>
                <w:spacing w:val="-8"/>
                <w:sz w:val="20"/>
              </w:rPr>
              <w:t> </w:t>
            </w:r>
            <w:r>
              <w:rPr>
                <w:b/>
                <w:spacing w:val="-2"/>
                <w:sz w:val="20"/>
              </w:rPr>
              <w:t>assets</w:t>
            </w:r>
          </w:p>
        </w:tc>
        <w:tc>
          <w:tcPr>
            <w:tcW w:w="1551" w:type="dxa"/>
            <w:tcBorders>
              <w:bottom w:val="single" w:sz="12" w:space="0" w:color="000000"/>
            </w:tcBorders>
          </w:tcPr>
          <w:p>
            <w:pPr>
              <w:pStyle w:val="TableParagraph"/>
              <w:spacing w:before="38"/>
              <w:ind w:right="93"/>
              <w:jc w:val="right"/>
              <w:rPr>
                <w:b/>
                <w:sz w:val="20"/>
              </w:rPr>
            </w:pPr>
            <w:r>
              <w:rPr>
                <w:b/>
                <w:spacing w:val="-5"/>
                <w:sz w:val="20"/>
              </w:rPr>
              <w:t>332</w:t>
            </w:r>
          </w:p>
        </w:tc>
        <w:tc>
          <w:tcPr>
            <w:tcW w:w="1370" w:type="dxa"/>
            <w:tcBorders>
              <w:bottom w:val="single" w:sz="12" w:space="0" w:color="000000"/>
            </w:tcBorders>
            <w:shd w:val="clear" w:color="auto" w:fill="DDEBF6"/>
          </w:tcPr>
          <w:p>
            <w:pPr>
              <w:pStyle w:val="TableParagraph"/>
              <w:spacing w:before="38"/>
              <w:ind w:right="95"/>
              <w:jc w:val="right"/>
              <w:rPr>
                <w:b/>
                <w:sz w:val="20"/>
              </w:rPr>
            </w:pPr>
            <w:r>
              <w:rPr>
                <w:b/>
                <w:spacing w:val="-5"/>
                <w:sz w:val="20"/>
              </w:rPr>
              <w:t>425</w:t>
            </w:r>
          </w:p>
        </w:tc>
        <w:tc>
          <w:tcPr>
            <w:tcW w:w="1761" w:type="dxa"/>
            <w:gridSpan w:val="2"/>
            <w:tcBorders>
              <w:bottom w:val="single" w:sz="12" w:space="0" w:color="000000"/>
            </w:tcBorders>
          </w:tcPr>
          <w:p>
            <w:pPr>
              <w:pStyle w:val="TableParagraph"/>
              <w:spacing w:before="38"/>
              <w:ind w:left="1052"/>
              <w:rPr>
                <w:b/>
                <w:sz w:val="20"/>
              </w:rPr>
            </w:pPr>
            <w:r>
              <w:rPr>
                <w:b/>
                <w:spacing w:val="-5"/>
                <w:sz w:val="20"/>
              </w:rPr>
              <w:t>93</w:t>
            </w:r>
          </w:p>
        </w:tc>
        <w:tc>
          <w:tcPr>
            <w:tcW w:w="972" w:type="dxa"/>
            <w:tcBorders>
              <w:bottom w:val="single" w:sz="12" w:space="0" w:color="000000"/>
              <w:right w:val="single" w:sz="12" w:space="0" w:color="000000"/>
            </w:tcBorders>
          </w:tcPr>
          <w:p>
            <w:pPr>
              <w:pStyle w:val="TableParagraph"/>
              <w:spacing w:before="38"/>
              <w:ind w:right="75"/>
              <w:jc w:val="right"/>
              <w:rPr>
                <w:b/>
                <w:sz w:val="20"/>
              </w:rPr>
            </w:pPr>
            <w:r>
              <w:rPr>
                <w:b/>
                <w:spacing w:val="-2"/>
                <w:sz w:val="20"/>
              </w:rPr>
              <w:t>28.0%</w:t>
            </w:r>
          </w:p>
        </w:tc>
      </w:tr>
    </w:tbl>
    <w:p>
      <w:pPr>
        <w:pStyle w:val="BodyText"/>
        <w:rPr>
          <w:b/>
          <w:sz w:val="23"/>
        </w:rPr>
      </w:pPr>
    </w:p>
    <w:p>
      <w:pPr>
        <w:pStyle w:val="ListParagraph"/>
        <w:numPr>
          <w:ilvl w:val="2"/>
          <w:numId w:val="59"/>
        </w:numPr>
        <w:tabs>
          <w:tab w:pos="996" w:val="left" w:leader="none"/>
        </w:tabs>
        <w:spacing w:line="240" w:lineRule="auto" w:before="0" w:after="0"/>
        <w:ind w:left="995" w:right="0" w:hanging="736"/>
        <w:jc w:val="left"/>
        <w:rPr>
          <w:b/>
          <w:sz w:val="24"/>
        </w:rPr>
      </w:pPr>
      <w:r>
        <w:rPr>
          <w:b/>
          <w:color w:val="4966AC"/>
          <w:sz w:val="24"/>
        </w:rPr>
        <w:t>Depreciation</w:t>
      </w:r>
      <w:r>
        <w:rPr>
          <w:b/>
          <w:color w:val="4966AC"/>
          <w:spacing w:val="-1"/>
          <w:sz w:val="24"/>
        </w:rPr>
        <w:t> </w:t>
      </w:r>
      <w:r>
        <w:rPr>
          <w:b/>
          <w:color w:val="4966AC"/>
          <w:sz w:val="24"/>
        </w:rPr>
        <w:t>-</w:t>
      </w:r>
      <w:r>
        <w:rPr>
          <w:b/>
          <w:color w:val="4966AC"/>
          <w:spacing w:val="-2"/>
          <w:sz w:val="24"/>
        </w:rPr>
        <w:t> </w:t>
      </w:r>
      <w:r>
        <w:rPr>
          <w:b/>
          <w:color w:val="4966AC"/>
          <w:sz w:val="24"/>
        </w:rPr>
        <w:t>right</w:t>
      </w:r>
      <w:r>
        <w:rPr>
          <w:b/>
          <w:color w:val="4966AC"/>
          <w:spacing w:val="-1"/>
          <w:sz w:val="24"/>
        </w:rPr>
        <w:t> </w:t>
      </w:r>
      <w:r>
        <w:rPr>
          <w:b/>
          <w:color w:val="4966AC"/>
          <w:sz w:val="24"/>
        </w:rPr>
        <w:t>of use </w:t>
      </w:r>
      <w:r>
        <w:rPr>
          <w:b/>
          <w:color w:val="4966AC"/>
          <w:spacing w:val="-2"/>
          <w:sz w:val="24"/>
        </w:rPr>
        <w:t>assets</w:t>
      </w:r>
    </w:p>
    <w:p>
      <w:pPr>
        <w:pStyle w:val="BodyText"/>
        <w:spacing w:before="10" w:after="1"/>
        <w:rPr>
          <w:b/>
        </w:rPr>
      </w:pPr>
    </w:p>
    <w:tbl>
      <w:tblPr>
        <w:tblW w:w="0" w:type="auto"/>
        <w:jc w:val="left"/>
        <w:tblInd w:w="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66"/>
        <w:gridCol w:w="1368"/>
        <w:gridCol w:w="1370"/>
        <w:gridCol w:w="974"/>
        <w:gridCol w:w="787"/>
        <w:gridCol w:w="972"/>
      </w:tblGrid>
      <w:tr>
        <w:trPr>
          <w:trHeight w:val="1073" w:hRule="atLeast"/>
        </w:trPr>
        <w:tc>
          <w:tcPr>
            <w:tcW w:w="6334" w:type="dxa"/>
            <w:gridSpan w:val="2"/>
            <w:tcBorders>
              <w:top w:val="single" w:sz="18" w:space="0" w:color="000000"/>
              <w:left w:val="single" w:sz="12" w:space="0" w:color="000000"/>
            </w:tcBorders>
            <w:shd w:val="clear" w:color="auto" w:fill="5B9AD4"/>
          </w:tcPr>
          <w:p>
            <w:pPr>
              <w:pStyle w:val="TableParagraph"/>
              <w:spacing w:before="26"/>
              <w:ind w:left="5272" w:right="276"/>
              <w:jc w:val="center"/>
              <w:rPr>
                <w:b/>
                <w:sz w:val="18"/>
              </w:rPr>
            </w:pPr>
            <w:r>
              <w:rPr>
                <w:b/>
                <w:color w:val="FFFFFF"/>
                <w:spacing w:val="-2"/>
                <w:sz w:val="18"/>
              </w:rPr>
              <w:t>Forecast Actual</w:t>
            </w:r>
          </w:p>
          <w:p>
            <w:pPr>
              <w:pStyle w:val="TableParagraph"/>
              <w:spacing w:before="78"/>
              <w:ind w:left="5268" w:right="276"/>
              <w:jc w:val="center"/>
              <w:rPr>
                <w:b/>
                <w:sz w:val="18"/>
              </w:rPr>
            </w:pPr>
            <w:r>
              <w:rPr>
                <w:b/>
                <w:color w:val="FFFFFF"/>
                <w:spacing w:val="-2"/>
                <w:sz w:val="18"/>
              </w:rPr>
              <w:t>2024/25</w:t>
            </w:r>
          </w:p>
          <w:p>
            <w:pPr>
              <w:pStyle w:val="TableParagraph"/>
              <w:spacing w:line="187" w:lineRule="exact" w:before="141"/>
              <w:ind w:left="5271" w:right="276"/>
              <w:jc w:val="center"/>
              <w:rPr>
                <w:b/>
                <w:sz w:val="18"/>
              </w:rPr>
            </w:pPr>
            <w:r>
              <w:rPr>
                <w:b/>
                <w:color w:val="FFFFFF"/>
                <w:spacing w:val="-2"/>
                <w:sz w:val="18"/>
              </w:rPr>
              <w:t>$’000</w:t>
            </w:r>
          </w:p>
        </w:tc>
        <w:tc>
          <w:tcPr>
            <w:tcW w:w="1370" w:type="dxa"/>
            <w:tcBorders>
              <w:top w:val="single" w:sz="18" w:space="0" w:color="000000"/>
            </w:tcBorders>
            <w:shd w:val="clear" w:color="auto" w:fill="5B9AD4"/>
          </w:tcPr>
          <w:p>
            <w:pPr>
              <w:pStyle w:val="TableParagraph"/>
              <w:spacing w:line="451" w:lineRule="auto" w:before="129"/>
              <w:ind w:left="371" w:right="344" w:firstLine="3"/>
              <w:jc w:val="center"/>
              <w:rPr>
                <w:b/>
                <w:sz w:val="18"/>
              </w:rPr>
            </w:pPr>
            <w:r>
              <w:rPr>
                <w:b/>
                <w:color w:val="FFFFFF"/>
                <w:spacing w:val="-2"/>
                <w:sz w:val="18"/>
              </w:rPr>
              <w:t>Budget 2025/26</w:t>
            </w:r>
          </w:p>
          <w:p>
            <w:pPr>
              <w:pStyle w:val="TableParagraph"/>
              <w:spacing w:line="146" w:lineRule="exact"/>
              <w:ind w:left="457" w:right="430"/>
              <w:jc w:val="center"/>
              <w:rPr>
                <w:b/>
                <w:sz w:val="18"/>
              </w:rPr>
            </w:pPr>
            <w:r>
              <w:rPr>
                <w:b/>
                <w:color w:val="FFFFFF"/>
                <w:spacing w:val="-2"/>
                <w:sz w:val="18"/>
              </w:rPr>
              <w:t>$’000</w:t>
            </w:r>
          </w:p>
        </w:tc>
        <w:tc>
          <w:tcPr>
            <w:tcW w:w="974" w:type="dxa"/>
            <w:tcBorders>
              <w:top w:val="single" w:sz="18" w:space="0" w:color="000000"/>
            </w:tcBorders>
            <w:shd w:val="clear" w:color="auto" w:fill="5B9AD4"/>
          </w:tcPr>
          <w:p>
            <w:pPr>
              <w:pStyle w:val="TableParagraph"/>
              <w:rPr>
                <w:b/>
                <w:sz w:val="20"/>
              </w:rPr>
            </w:pPr>
          </w:p>
          <w:p>
            <w:pPr>
              <w:pStyle w:val="TableParagraph"/>
              <w:rPr>
                <w:b/>
                <w:sz w:val="20"/>
              </w:rPr>
            </w:pPr>
          </w:p>
          <w:p>
            <w:pPr>
              <w:pStyle w:val="TableParagraph"/>
              <w:rPr>
                <w:b/>
                <w:sz w:val="20"/>
              </w:rPr>
            </w:pPr>
          </w:p>
          <w:p>
            <w:pPr>
              <w:pStyle w:val="TableParagraph"/>
              <w:spacing w:line="187" w:lineRule="exact" w:before="176"/>
              <w:ind w:left="472"/>
              <w:rPr>
                <w:b/>
                <w:sz w:val="18"/>
              </w:rPr>
            </w:pPr>
            <w:r>
              <w:rPr>
                <w:b/>
                <w:color w:val="FFFFFF"/>
                <w:spacing w:val="-2"/>
                <w:sz w:val="18"/>
              </w:rPr>
              <w:t>$’000</w:t>
            </w:r>
          </w:p>
        </w:tc>
        <w:tc>
          <w:tcPr>
            <w:tcW w:w="787" w:type="dxa"/>
            <w:tcBorders>
              <w:top w:val="single" w:sz="18" w:space="0" w:color="000000"/>
            </w:tcBorders>
            <w:shd w:val="clear" w:color="auto" w:fill="5B9AD4"/>
          </w:tcPr>
          <w:p>
            <w:pPr>
              <w:pStyle w:val="TableParagraph"/>
              <w:spacing w:before="1"/>
              <w:rPr>
                <w:b/>
                <w:sz w:val="24"/>
              </w:rPr>
            </w:pPr>
          </w:p>
          <w:p>
            <w:pPr>
              <w:pStyle w:val="TableParagraph"/>
              <w:spacing w:before="1"/>
              <w:ind w:left="77"/>
              <w:rPr>
                <w:b/>
                <w:sz w:val="18"/>
              </w:rPr>
            </w:pPr>
            <w:r>
              <w:rPr>
                <w:b/>
                <w:color w:val="FFFFFF"/>
                <w:spacing w:val="-2"/>
                <w:sz w:val="18"/>
              </w:rPr>
              <w:t>Change</w:t>
            </w:r>
          </w:p>
        </w:tc>
        <w:tc>
          <w:tcPr>
            <w:tcW w:w="972" w:type="dxa"/>
            <w:tcBorders>
              <w:top w:val="single" w:sz="18" w:space="0" w:color="000000"/>
              <w:right w:val="single" w:sz="12" w:space="0" w:color="000000"/>
            </w:tcBorders>
            <w:shd w:val="clear" w:color="auto" w:fill="5B9AD4"/>
          </w:tcPr>
          <w:p>
            <w:pPr>
              <w:pStyle w:val="TableParagraph"/>
              <w:rPr>
                <w:b/>
                <w:sz w:val="20"/>
              </w:rPr>
            </w:pPr>
          </w:p>
          <w:p>
            <w:pPr>
              <w:pStyle w:val="TableParagraph"/>
              <w:rPr>
                <w:b/>
                <w:sz w:val="20"/>
              </w:rPr>
            </w:pPr>
          </w:p>
          <w:p>
            <w:pPr>
              <w:pStyle w:val="TableParagraph"/>
              <w:rPr>
                <w:b/>
                <w:sz w:val="20"/>
              </w:rPr>
            </w:pPr>
          </w:p>
          <w:p>
            <w:pPr>
              <w:pStyle w:val="TableParagraph"/>
              <w:spacing w:line="187" w:lineRule="exact" w:before="176"/>
              <w:ind w:left="62"/>
              <w:rPr>
                <w:b/>
                <w:sz w:val="18"/>
              </w:rPr>
            </w:pPr>
            <w:r>
              <w:rPr>
                <w:b/>
                <w:color w:val="FFFFFF"/>
                <w:spacing w:val="-2"/>
                <w:sz w:val="18"/>
              </w:rPr>
              <w:t>$’000</w:t>
            </w:r>
          </w:p>
        </w:tc>
      </w:tr>
      <w:tr>
        <w:trPr>
          <w:trHeight w:val="317" w:hRule="atLeast"/>
        </w:trPr>
        <w:tc>
          <w:tcPr>
            <w:tcW w:w="4966" w:type="dxa"/>
            <w:tcBorders>
              <w:left w:val="single" w:sz="12" w:space="0" w:color="000000"/>
            </w:tcBorders>
          </w:tcPr>
          <w:p>
            <w:pPr>
              <w:pStyle w:val="TableParagraph"/>
              <w:spacing w:before="40"/>
              <w:ind w:left="107"/>
              <w:rPr>
                <w:sz w:val="20"/>
              </w:rPr>
            </w:pPr>
            <w:r>
              <w:rPr>
                <w:sz w:val="20"/>
              </w:rPr>
              <w:t>IT</w:t>
            </w:r>
            <w:r>
              <w:rPr>
                <w:spacing w:val="-3"/>
                <w:sz w:val="20"/>
              </w:rPr>
              <w:t> </w:t>
            </w:r>
            <w:r>
              <w:rPr>
                <w:spacing w:val="-2"/>
                <w:sz w:val="20"/>
              </w:rPr>
              <w:t>Equipment</w:t>
            </w:r>
          </w:p>
        </w:tc>
        <w:tc>
          <w:tcPr>
            <w:tcW w:w="1368" w:type="dxa"/>
          </w:tcPr>
          <w:p>
            <w:pPr>
              <w:pStyle w:val="TableParagraph"/>
              <w:spacing w:before="40"/>
              <w:ind w:right="94"/>
              <w:jc w:val="right"/>
              <w:rPr>
                <w:sz w:val="20"/>
              </w:rPr>
            </w:pPr>
            <w:r>
              <w:rPr>
                <w:spacing w:val="-5"/>
                <w:sz w:val="20"/>
              </w:rPr>
              <w:t>747</w:t>
            </w:r>
          </w:p>
        </w:tc>
        <w:tc>
          <w:tcPr>
            <w:tcW w:w="1370" w:type="dxa"/>
            <w:shd w:val="clear" w:color="auto" w:fill="DDEBF6"/>
          </w:tcPr>
          <w:p>
            <w:pPr>
              <w:pStyle w:val="TableParagraph"/>
              <w:spacing w:before="40"/>
              <w:ind w:right="96"/>
              <w:jc w:val="right"/>
              <w:rPr>
                <w:sz w:val="20"/>
              </w:rPr>
            </w:pPr>
            <w:r>
              <w:rPr>
                <w:spacing w:val="-5"/>
                <w:sz w:val="20"/>
              </w:rPr>
              <w:t>771</w:t>
            </w:r>
          </w:p>
        </w:tc>
        <w:tc>
          <w:tcPr>
            <w:tcW w:w="1761" w:type="dxa"/>
            <w:gridSpan w:val="2"/>
          </w:tcPr>
          <w:p>
            <w:pPr>
              <w:pStyle w:val="TableParagraph"/>
              <w:spacing w:before="40"/>
              <w:ind w:left="1051"/>
              <w:rPr>
                <w:sz w:val="20"/>
              </w:rPr>
            </w:pPr>
            <w:r>
              <w:rPr>
                <w:spacing w:val="-5"/>
                <w:sz w:val="20"/>
              </w:rPr>
              <w:t>24</w:t>
            </w:r>
          </w:p>
        </w:tc>
        <w:tc>
          <w:tcPr>
            <w:tcW w:w="972" w:type="dxa"/>
            <w:tcBorders>
              <w:right w:val="single" w:sz="12" w:space="0" w:color="000000"/>
            </w:tcBorders>
          </w:tcPr>
          <w:p>
            <w:pPr>
              <w:pStyle w:val="TableParagraph"/>
              <w:spacing w:before="40"/>
              <w:ind w:right="79"/>
              <w:jc w:val="right"/>
              <w:rPr>
                <w:sz w:val="20"/>
              </w:rPr>
            </w:pPr>
            <w:r>
              <w:rPr>
                <w:spacing w:val="-4"/>
                <w:sz w:val="20"/>
              </w:rPr>
              <w:t>3.2%</w:t>
            </w:r>
          </w:p>
        </w:tc>
      </w:tr>
      <w:tr>
        <w:trPr>
          <w:trHeight w:val="315" w:hRule="atLeast"/>
        </w:trPr>
        <w:tc>
          <w:tcPr>
            <w:tcW w:w="4966" w:type="dxa"/>
            <w:tcBorders>
              <w:left w:val="single" w:sz="12" w:space="0" w:color="000000"/>
            </w:tcBorders>
          </w:tcPr>
          <w:p>
            <w:pPr>
              <w:pStyle w:val="TableParagraph"/>
              <w:spacing w:before="40"/>
              <w:ind w:left="107"/>
              <w:rPr>
                <w:sz w:val="20"/>
              </w:rPr>
            </w:pPr>
            <w:r>
              <w:rPr>
                <w:spacing w:val="-4"/>
                <w:sz w:val="20"/>
              </w:rPr>
              <w:t>Land</w:t>
            </w:r>
          </w:p>
        </w:tc>
        <w:tc>
          <w:tcPr>
            <w:tcW w:w="1368" w:type="dxa"/>
          </w:tcPr>
          <w:p>
            <w:pPr>
              <w:pStyle w:val="TableParagraph"/>
              <w:spacing w:before="40"/>
              <w:ind w:right="92"/>
              <w:jc w:val="right"/>
              <w:rPr>
                <w:sz w:val="20"/>
              </w:rPr>
            </w:pPr>
            <w:r>
              <w:rPr>
                <w:w w:val="99"/>
                <w:sz w:val="20"/>
              </w:rPr>
              <w:t>5</w:t>
            </w:r>
          </w:p>
        </w:tc>
        <w:tc>
          <w:tcPr>
            <w:tcW w:w="1370" w:type="dxa"/>
            <w:shd w:val="clear" w:color="auto" w:fill="DDEBF6"/>
          </w:tcPr>
          <w:p>
            <w:pPr>
              <w:pStyle w:val="TableParagraph"/>
              <w:spacing w:before="40"/>
              <w:ind w:right="93"/>
              <w:jc w:val="right"/>
              <w:rPr>
                <w:sz w:val="20"/>
              </w:rPr>
            </w:pPr>
            <w:r>
              <w:rPr>
                <w:w w:val="99"/>
                <w:sz w:val="20"/>
              </w:rPr>
              <w:t>5</w:t>
            </w:r>
          </w:p>
        </w:tc>
        <w:tc>
          <w:tcPr>
            <w:tcW w:w="1761" w:type="dxa"/>
            <w:gridSpan w:val="2"/>
          </w:tcPr>
          <w:p>
            <w:pPr>
              <w:pStyle w:val="TableParagraph"/>
              <w:spacing w:before="40"/>
              <w:ind w:left="1164"/>
              <w:rPr>
                <w:sz w:val="20"/>
              </w:rPr>
            </w:pPr>
            <w:r>
              <w:rPr>
                <w:w w:val="99"/>
                <w:sz w:val="20"/>
              </w:rPr>
              <w:t>0</w:t>
            </w:r>
          </w:p>
        </w:tc>
        <w:tc>
          <w:tcPr>
            <w:tcW w:w="972" w:type="dxa"/>
            <w:tcBorders>
              <w:right w:val="single" w:sz="12" w:space="0" w:color="000000"/>
            </w:tcBorders>
          </w:tcPr>
          <w:p>
            <w:pPr>
              <w:pStyle w:val="TableParagraph"/>
              <w:spacing w:before="40"/>
              <w:ind w:right="79"/>
              <w:jc w:val="right"/>
              <w:rPr>
                <w:sz w:val="20"/>
              </w:rPr>
            </w:pPr>
            <w:r>
              <w:rPr>
                <w:spacing w:val="-4"/>
                <w:sz w:val="20"/>
              </w:rPr>
              <w:t>0.0%</w:t>
            </w:r>
          </w:p>
        </w:tc>
      </w:tr>
      <w:tr>
        <w:trPr>
          <w:trHeight w:val="314" w:hRule="atLeast"/>
        </w:trPr>
        <w:tc>
          <w:tcPr>
            <w:tcW w:w="4966" w:type="dxa"/>
            <w:tcBorders>
              <w:left w:val="single" w:sz="12" w:space="0" w:color="000000"/>
            </w:tcBorders>
          </w:tcPr>
          <w:p>
            <w:pPr>
              <w:pStyle w:val="TableParagraph"/>
              <w:spacing w:before="38"/>
              <w:ind w:left="107"/>
              <w:rPr>
                <w:sz w:val="20"/>
              </w:rPr>
            </w:pPr>
            <w:r>
              <w:rPr>
                <w:spacing w:val="-2"/>
                <w:sz w:val="20"/>
              </w:rPr>
              <w:t>Photocopiers</w:t>
            </w:r>
          </w:p>
        </w:tc>
        <w:tc>
          <w:tcPr>
            <w:tcW w:w="1368" w:type="dxa"/>
          </w:tcPr>
          <w:p>
            <w:pPr>
              <w:pStyle w:val="TableParagraph"/>
              <w:spacing w:before="38"/>
              <w:ind w:right="93"/>
              <w:jc w:val="right"/>
              <w:rPr>
                <w:sz w:val="20"/>
              </w:rPr>
            </w:pPr>
            <w:r>
              <w:rPr>
                <w:spacing w:val="-5"/>
                <w:sz w:val="20"/>
              </w:rPr>
              <w:t>50</w:t>
            </w:r>
          </w:p>
        </w:tc>
        <w:tc>
          <w:tcPr>
            <w:tcW w:w="1370" w:type="dxa"/>
            <w:shd w:val="clear" w:color="auto" w:fill="DDEBF6"/>
          </w:tcPr>
          <w:p>
            <w:pPr>
              <w:pStyle w:val="TableParagraph"/>
              <w:spacing w:before="38"/>
              <w:ind w:right="96"/>
              <w:jc w:val="right"/>
              <w:rPr>
                <w:sz w:val="20"/>
              </w:rPr>
            </w:pPr>
            <w:r>
              <w:rPr>
                <w:spacing w:val="-5"/>
                <w:sz w:val="20"/>
              </w:rPr>
              <w:t>52</w:t>
            </w:r>
          </w:p>
        </w:tc>
        <w:tc>
          <w:tcPr>
            <w:tcW w:w="1761" w:type="dxa"/>
            <w:gridSpan w:val="2"/>
          </w:tcPr>
          <w:p>
            <w:pPr>
              <w:pStyle w:val="TableParagraph"/>
              <w:spacing w:before="38"/>
              <w:ind w:left="1164"/>
              <w:rPr>
                <w:sz w:val="20"/>
              </w:rPr>
            </w:pPr>
            <w:r>
              <w:rPr>
                <w:w w:val="99"/>
                <w:sz w:val="20"/>
              </w:rPr>
              <w:t>2</w:t>
            </w:r>
          </w:p>
        </w:tc>
        <w:tc>
          <w:tcPr>
            <w:tcW w:w="972" w:type="dxa"/>
            <w:tcBorders>
              <w:right w:val="single" w:sz="12" w:space="0" w:color="000000"/>
            </w:tcBorders>
          </w:tcPr>
          <w:p>
            <w:pPr>
              <w:pStyle w:val="TableParagraph"/>
              <w:spacing w:before="38"/>
              <w:ind w:right="79"/>
              <w:jc w:val="right"/>
              <w:rPr>
                <w:sz w:val="20"/>
              </w:rPr>
            </w:pPr>
            <w:r>
              <w:rPr>
                <w:spacing w:val="-4"/>
                <w:sz w:val="20"/>
              </w:rPr>
              <w:t>4.0%</w:t>
            </w:r>
          </w:p>
        </w:tc>
      </w:tr>
      <w:tr>
        <w:trPr>
          <w:trHeight w:val="314" w:hRule="atLeast"/>
        </w:trPr>
        <w:tc>
          <w:tcPr>
            <w:tcW w:w="4966" w:type="dxa"/>
            <w:tcBorders>
              <w:left w:val="single" w:sz="12" w:space="0" w:color="000000"/>
            </w:tcBorders>
          </w:tcPr>
          <w:p>
            <w:pPr>
              <w:pStyle w:val="TableParagraph"/>
              <w:spacing w:before="38"/>
              <w:ind w:left="107"/>
              <w:rPr>
                <w:sz w:val="20"/>
              </w:rPr>
            </w:pPr>
            <w:r>
              <w:rPr>
                <w:spacing w:val="-2"/>
                <w:sz w:val="20"/>
              </w:rPr>
              <w:t>Trucks</w:t>
            </w:r>
          </w:p>
        </w:tc>
        <w:tc>
          <w:tcPr>
            <w:tcW w:w="1368" w:type="dxa"/>
          </w:tcPr>
          <w:p>
            <w:pPr>
              <w:pStyle w:val="TableParagraph"/>
              <w:spacing w:before="38"/>
              <w:ind w:right="94"/>
              <w:jc w:val="right"/>
              <w:rPr>
                <w:sz w:val="20"/>
              </w:rPr>
            </w:pPr>
            <w:r>
              <w:rPr>
                <w:spacing w:val="-5"/>
                <w:sz w:val="20"/>
              </w:rPr>
              <w:t>600</w:t>
            </w:r>
          </w:p>
        </w:tc>
        <w:tc>
          <w:tcPr>
            <w:tcW w:w="1370" w:type="dxa"/>
            <w:shd w:val="clear" w:color="auto" w:fill="DDEBF6"/>
          </w:tcPr>
          <w:p>
            <w:pPr>
              <w:pStyle w:val="TableParagraph"/>
              <w:spacing w:before="38"/>
              <w:ind w:right="96"/>
              <w:jc w:val="right"/>
              <w:rPr>
                <w:sz w:val="20"/>
              </w:rPr>
            </w:pPr>
            <w:r>
              <w:rPr>
                <w:spacing w:val="-5"/>
                <w:sz w:val="20"/>
              </w:rPr>
              <w:t>619</w:t>
            </w:r>
          </w:p>
        </w:tc>
        <w:tc>
          <w:tcPr>
            <w:tcW w:w="1761" w:type="dxa"/>
            <w:gridSpan w:val="2"/>
          </w:tcPr>
          <w:p>
            <w:pPr>
              <w:pStyle w:val="TableParagraph"/>
              <w:spacing w:before="38"/>
              <w:ind w:left="1051"/>
              <w:rPr>
                <w:sz w:val="20"/>
              </w:rPr>
            </w:pPr>
            <w:r>
              <w:rPr>
                <w:spacing w:val="-5"/>
                <w:sz w:val="20"/>
              </w:rPr>
              <w:t>19</w:t>
            </w:r>
          </w:p>
        </w:tc>
        <w:tc>
          <w:tcPr>
            <w:tcW w:w="972" w:type="dxa"/>
            <w:tcBorders>
              <w:right w:val="single" w:sz="12" w:space="0" w:color="000000"/>
            </w:tcBorders>
          </w:tcPr>
          <w:p>
            <w:pPr>
              <w:pStyle w:val="TableParagraph"/>
              <w:spacing w:before="38"/>
              <w:ind w:right="79"/>
              <w:jc w:val="right"/>
              <w:rPr>
                <w:sz w:val="20"/>
              </w:rPr>
            </w:pPr>
            <w:r>
              <w:rPr>
                <w:spacing w:val="-4"/>
                <w:sz w:val="20"/>
              </w:rPr>
              <w:t>3.2%</w:t>
            </w:r>
          </w:p>
        </w:tc>
      </w:tr>
      <w:tr>
        <w:trPr>
          <w:trHeight w:val="305" w:hRule="atLeast"/>
        </w:trPr>
        <w:tc>
          <w:tcPr>
            <w:tcW w:w="4966" w:type="dxa"/>
            <w:tcBorders>
              <w:left w:val="single" w:sz="12" w:space="0" w:color="000000"/>
            </w:tcBorders>
          </w:tcPr>
          <w:p>
            <w:pPr>
              <w:pStyle w:val="TableParagraph"/>
              <w:spacing w:before="38"/>
              <w:ind w:left="107"/>
              <w:rPr>
                <w:sz w:val="20"/>
              </w:rPr>
            </w:pPr>
            <w:r>
              <w:rPr>
                <w:spacing w:val="-2"/>
                <w:sz w:val="20"/>
              </w:rPr>
              <w:t>Other</w:t>
            </w:r>
          </w:p>
        </w:tc>
        <w:tc>
          <w:tcPr>
            <w:tcW w:w="1368" w:type="dxa"/>
            <w:tcBorders>
              <w:bottom w:val="single" w:sz="12" w:space="0" w:color="000000"/>
            </w:tcBorders>
          </w:tcPr>
          <w:p>
            <w:pPr>
              <w:pStyle w:val="TableParagraph"/>
              <w:spacing w:before="38"/>
              <w:ind w:right="93"/>
              <w:jc w:val="right"/>
              <w:rPr>
                <w:sz w:val="20"/>
              </w:rPr>
            </w:pPr>
            <w:r>
              <w:rPr>
                <w:spacing w:val="-5"/>
                <w:sz w:val="20"/>
              </w:rPr>
              <w:t>234</w:t>
            </w:r>
          </w:p>
        </w:tc>
        <w:tc>
          <w:tcPr>
            <w:tcW w:w="1370" w:type="dxa"/>
            <w:tcBorders>
              <w:bottom w:val="single" w:sz="18" w:space="0" w:color="000000"/>
            </w:tcBorders>
            <w:shd w:val="clear" w:color="auto" w:fill="DDEBF6"/>
          </w:tcPr>
          <w:p>
            <w:pPr>
              <w:pStyle w:val="TableParagraph"/>
              <w:spacing w:before="38"/>
              <w:ind w:right="96"/>
              <w:jc w:val="right"/>
              <w:rPr>
                <w:sz w:val="20"/>
              </w:rPr>
            </w:pPr>
            <w:r>
              <w:rPr>
                <w:spacing w:val="-5"/>
                <w:sz w:val="20"/>
              </w:rPr>
              <w:t>241</w:t>
            </w:r>
          </w:p>
        </w:tc>
        <w:tc>
          <w:tcPr>
            <w:tcW w:w="1761" w:type="dxa"/>
            <w:gridSpan w:val="2"/>
            <w:tcBorders>
              <w:bottom w:val="single" w:sz="12" w:space="0" w:color="000000"/>
            </w:tcBorders>
          </w:tcPr>
          <w:p>
            <w:pPr>
              <w:pStyle w:val="TableParagraph"/>
              <w:spacing w:before="38"/>
              <w:ind w:left="1163"/>
              <w:rPr>
                <w:sz w:val="20"/>
              </w:rPr>
            </w:pPr>
            <w:r>
              <w:rPr>
                <w:w w:val="99"/>
                <w:sz w:val="20"/>
              </w:rPr>
              <w:t>7</w:t>
            </w:r>
          </w:p>
        </w:tc>
        <w:tc>
          <w:tcPr>
            <w:tcW w:w="972" w:type="dxa"/>
            <w:tcBorders>
              <w:bottom w:val="single" w:sz="12" w:space="0" w:color="000000"/>
              <w:right w:val="single" w:sz="12" w:space="0" w:color="000000"/>
            </w:tcBorders>
          </w:tcPr>
          <w:p>
            <w:pPr>
              <w:pStyle w:val="TableParagraph"/>
              <w:spacing w:before="38"/>
              <w:ind w:right="79"/>
              <w:jc w:val="right"/>
              <w:rPr>
                <w:sz w:val="20"/>
              </w:rPr>
            </w:pPr>
            <w:r>
              <w:rPr>
                <w:spacing w:val="-4"/>
                <w:sz w:val="20"/>
              </w:rPr>
              <w:t>3.0%</w:t>
            </w:r>
          </w:p>
        </w:tc>
      </w:tr>
      <w:tr>
        <w:trPr>
          <w:trHeight w:val="306" w:hRule="atLeast"/>
        </w:trPr>
        <w:tc>
          <w:tcPr>
            <w:tcW w:w="4966" w:type="dxa"/>
            <w:tcBorders>
              <w:left w:val="single" w:sz="12" w:space="0" w:color="000000"/>
              <w:bottom w:val="single" w:sz="12" w:space="0" w:color="000000"/>
            </w:tcBorders>
          </w:tcPr>
          <w:p>
            <w:pPr>
              <w:pStyle w:val="TableParagraph"/>
              <w:spacing w:before="33"/>
              <w:ind w:left="107"/>
              <w:rPr>
                <w:b/>
                <w:sz w:val="20"/>
              </w:rPr>
            </w:pPr>
            <w:r>
              <w:rPr>
                <w:b/>
                <w:sz w:val="20"/>
              </w:rPr>
              <w:t>Total</w:t>
            </w:r>
            <w:r>
              <w:rPr>
                <w:b/>
                <w:spacing w:val="-6"/>
                <w:sz w:val="20"/>
              </w:rPr>
              <w:t> </w:t>
            </w:r>
            <w:r>
              <w:rPr>
                <w:b/>
                <w:sz w:val="20"/>
              </w:rPr>
              <w:t>Depreciation</w:t>
            </w:r>
            <w:r>
              <w:rPr>
                <w:b/>
                <w:spacing w:val="-5"/>
                <w:sz w:val="20"/>
              </w:rPr>
              <w:t> </w:t>
            </w:r>
            <w:r>
              <w:rPr>
                <w:b/>
                <w:sz w:val="20"/>
              </w:rPr>
              <w:t>-</w:t>
            </w:r>
            <w:r>
              <w:rPr>
                <w:b/>
                <w:spacing w:val="-3"/>
                <w:sz w:val="20"/>
              </w:rPr>
              <w:t> </w:t>
            </w:r>
            <w:r>
              <w:rPr>
                <w:b/>
                <w:sz w:val="20"/>
              </w:rPr>
              <w:t>right</w:t>
            </w:r>
            <w:r>
              <w:rPr>
                <w:b/>
                <w:spacing w:val="-4"/>
                <w:sz w:val="20"/>
              </w:rPr>
              <w:t> </w:t>
            </w:r>
            <w:r>
              <w:rPr>
                <w:b/>
                <w:sz w:val="20"/>
              </w:rPr>
              <w:t>of</w:t>
            </w:r>
            <w:r>
              <w:rPr>
                <w:b/>
                <w:spacing w:val="-4"/>
                <w:sz w:val="20"/>
              </w:rPr>
              <w:t> </w:t>
            </w:r>
            <w:r>
              <w:rPr>
                <w:b/>
                <w:sz w:val="20"/>
              </w:rPr>
              <w:t>use</w:t>
            </w:r>
            <w:r>
              <w:rPr>
                <w:b/>
                <w:spacing w:val="-7"/>
                <w:sz w:val="20"/>
              </w:rPr>
              <w:t> </w:t>
            </w:r>
            <w:r>
              <w:rPr>
                <w:b/>
                <w:spacing w:val="-2"/>
                <w:sz w:val="20"/>
              </w:rPr>
              <w:t>assets</w:t>
            </w:r>
          </w:p>
        </w:tc>
        <w:tc>
          <w:tcPr>
            <w:tcW w:w="1368" w:type="dxa"/>
            <w:tcBorders>
              <w:top w:val="single" w:sz="12" w:space="0" w:color="000000"/>
              <w:bottom w:val="single" w:sz="12" w:space="0" w:color="000000"/>
            </w:tcBorders>
          </w:tcPr>
          <w:p>
            <w:pPr>
              <w:pStyle w:val="TableParagraph"/>
              <w:spacing w:before="33"/>
              <w:ind w:right="93"/>
              <w:jc w:val="right"/>
              <w:rPr>
                <w:b/>
                <w:sz w:val="20"/>
              </w:rPr>
            </w:pPr>
            <w:r>
              <w:rPr>
                <w:b/>
                <w:spacing w:val="-2"/>
                <w:sz w:val="20"/>
              </w:rPr>
              <w:t>1,636</w:t>
            </w:r>
          </w:p>
        </w:tc>
        <w:tc>
          <w:tcPr>
            <w:tcW w:w="1370" w:type="dxa"/>
            <w:tcBorders>
              <w:top w:val="single" w:sz="18" w:space="0" w:color="000000"/>
              <w:bottom w:val="single" w:sz="12" w:space="0" w:color="000000"/>
            </w:tcBorders>
            <w:shd w:val="clear" w:color="auto" w:fill="DDEBF6"/>
          </w:tcPr>
          <w:p>
            <w:pPr>
              <w:pStyle w:val="TableParagraph"/>
              <w:spacing w:before="33"/>
              <w:ind w:right="95"/>
              <w:jc w:val="right"/>
              <w:rPr>
                <w:b/>
                <w:sz w:val="20"/>
              </w:rPr>
            </w:pPr>
            <w:r>
              <w:rPr>
                <w:b/>
                <w:spacing w:val="-2"/>
                <w:sz w:val="20"/>
              </w:rPr>
              <w:t>1,688</w:t>
            </w:r>
          </w:p>
        </w:tc>
        <w:tc>
          <w:tcPr>
            <w:tcW w:w="1761" w:type="dxa"/>
            <w:gridSpan w:val="2"/>
            <w:tcBorders>
              <w:top w:val="single" w:sz="12" w:space="0" w:color="000000"/>
              <w:bottom w:val="single" w:sz="12" w:space="0" w:color="000000"/>
            </w:tcBorders>
          </w:tcPr>
          <w:p>
            <w:pPr>
              <w:pStyle w:val="TableParagraph"/>
              <w:spacing w:before="33"/>
              <w:ind w:left="1051"/>
              <w:rPr>
                <w:b/>
                <w:sz w:val="20"/>
              </w:rPr>
            </w:pPr>
            <w:r>
              <w:rPr>
                <w:b/>
                <w:spacing w:val="-5"/>
                <w:sz w:val="20"/>
              </w:rPr>
              <w:t>52</w:t>
            </w:r>
          </w:p>
        </w:tc>
        <w:tc>
          <w:tcPr>
            <w:tcW w:w="972" w:type="dxa"/>
            <w:tcBorders>
              <w:top w:val="single" w:sz="12" w:space="0" w:color="000000"/>
              <w:bottom w:val="single" w:sz="12" w:space="0" w:color="000000"/>
              <w:right w:val="single" w:sz="12" w:space="0" w:color="000000"/>
            </w:tcBorders>
          </w:tcPr>
          <w:p>
            <w:pPr>
              <w:pStyle w:val="TableParagraph"/>
              <w:spacing w:before="33"/>
              <w:ind w:right="76"/>
              <w:jc w:val="right"/>
              <w:rPr>
                <w:b/>
                <w:sz w:val="20"/>
              </w:rPr>
            </w:pPr>
            <w:r>
              <w:rPr>
                <w:b/>
                <w:spacing w:val="-4"/>
                <w:sz w:val="20"/>
              </w:rPr>
              <w:t>3.2%</w:t>
            </w:r>
          </w:p>
        </w:tc>
      </w:tr>
    </w:tbl>
    <w:p>
      <w:pPr>
        <w:spacing w:after="0"/>
        <w:jc w:val="right"/>
        <w:rPr>
          <w:sz w:val="20"/>
        </w:rPr>
        <w:sectPr>
          <w:pgSz w:w="11910" w:h="16840"/>
          <w:pgMar w:header="0" w:footer="375" w:top="620" w:bottom="560" w:left="460" w:right="160"/>
        </w:sectPr>
      </w:pPr>
    </w:p>
    <w:p>
      <w:pPr>
        <w:pStyle w:val="ListParagraph"/>
        <w:numPr>
          <w:ilvl w:val="2"/>
          <w:numId w:val="59"/>
        </w:numPr>
        <w:tabs>
          <w:tab w:pos="996" w:val="left" w:leader="none"/>
        </w:tabs>
        <w:spacing w:line="240" w:lineRule="auto" w:before="82" w:after="0"/>
        <w:ind w:left="995" w:right="0" w:hanging="736"/>
        <w:jc w:val="left"/>
        <w:rPr>
          <w:b/>
          <w:sz w:val="24"/>
        </w:rPr>
      </w:pPr>
      <w:r>
        <w:rPr>
          <w:b/>
          <w:color w:val="4966AC"/>
          <w:sz w:val="24"/>
        </w:rPr>
        <w:t>Other</w:t>
      </w:r>
      <w:r>
        <w:rPr>
          <w:b/>
          <w:color w:val="4966AC"/>
          <w:spacing w:val="-1"/>
          <w:sz w:val="24"/>
        </w:rPr>
        <w:t> </w:t>
      </w:r>
      <w:r>
        <w:rPr>
          <w:b/>
          <w:color w:val="4966AC"/>
          <w:spacing w:val="-2"/>
          <w:sz w:val="24"/>
        </w:rPr>
        <w:t>expenses</w:t>
      </w:r>
    </w:p>
    <w:p>
      <w:pPr>
        <w:pStyle w:val="BodyText"/>
        <w:spacing w:before="8"/>
        <w:rPr>
          <w:b/>
          <w:sz w:val="23"/>
        </w:rPr>
      </w:pPr>
    </w:p>
    <w:tbl>
      <w:tblPr>
        <w:tblW w:w="0" w:type="auto"/>
        <w:jc w:val="left"/>
        <w:tblInd w:w="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49"/>
        <w:gridCol w:w="1275"/>
        <w:gridCol w:w="1561"/>
        <w:gridCol w:w="935"/>
        <w:gridCol w:w="775"/>
        <w:gridCol w:w="947"/>
      </w:tblGrid>
      <w:tr>
        <w:trPr>
          <w:trHeight w:val="1070" w:hRule="atLeast"/>
        </w:trPr>
        <w:tc>
          <w:tcPr>
            <w:tcW w:w="6224" w:type="dxa"/>
            <w:gridSpan w:val="2"/>
            <w:tcBorders>
              <w:top w:val="single" w:sz="18" w:space="0" w:color="000000"/>
              <w:left w:val="single" w:sz="12" w:space="0" w:color="000000"/>
            </w:tcBorders>
            <w:shd w:val="clear" w:color="auto" w:fill="5B9AD4"/>
          </w:tcPr>
          <w:p>
            <w:pPr>
              <w:pStyle w:val="TableParagraph"/>
              <w:spacing w:before="23"/>
              <w:ind w:left="5209" w:right="229"/>
              <w:jc w:val="center"/>
              <w:rPr>
                <w:b/>
                <w:sz w:val="18"/>
              </w:rPr>
            </w:pPr>
            <w:r>
              <w:rPr>
                <w:b/>
                <w:color w:val="FFFFFF"/>
                <w:spacing w:val="-2"/>
                <w:sz w:val="18"/>
              </w:rPr>
              <w:t>Forecast Actual</w:t>
            </w:r>
          </w:p>
          <w:p>
            <w:pPr>
              <w:pStyle w:val="TableParagraph"/>
              <w:spacing w:before="81"/>
              <w:ind w:left="5207" w:right="229"/>
              <w:jc w:val="center"/>
              <w:rPr>
                <w:b/>
                <w:sz w:val="18"/>
              </w:rPr>
            </w:pPr>
            <w:r>
              <w:rPr>
                <w:b/>
                <w:color w:val="FFFFFF"/>
                <w:spacing w:val="-2"/>
                <w:sz w:val="18"/>
              </w:rPr>
              <w:t>2024/25</w:t>
            </w:r>
          </w:p>
          <w:p>
            <w:pPr>
              <w:pStyle w:val="TableParagraph"/>
              <w:spacing w:line="187" w:lineRule="exact" w:before="138"/>
              <w:ind w:left="5205" w:right="229"/>
              <w:jc w:val="center"/>
              <w:rPr>
                <w:b/>
                <w:sz w:val="18"/>
              </w:rPr>
            </w:pPr>
            <w:r>
              <w:rPr>
                <w:b/>
                <w:color w:val="FFFFFF"/>
                <w:spacing w:val="-2"/>
                <w:sz w:val="18"/>
              </w:rPr>
              <w:t>$’000</w:t>
            </w:r>
          </w:p>
        </w:tc>
        <w:tc>
          <w:tcPr>
            <w:tcW w:w="1561" w:type="dxa"/>
            <w:tcBorders>
              <w:top w:val="single" w:sz="18" w:space="0" w:color="000000"/>
            </w:tcBorders>
            <w:shd w:val="clear" w:color="auto" w:fill="5B9AD4"/>
          </w:tcPr>
          <w:p>
            <w:pPr>
              <w:pStyle w:val="TableParagraph"/>
              <w:spacing w:line="453" w:lineRule="auto" w:before="126"/>
              <w:ind w:left="467" w:right="440" w:firstLine="3"/>
              <w:jc w:val="center"/>
              <w:rPr>
                <w:b/>
                <w:sz w:val="18"/>
              </w:rPr>
            </w:pPr>
            <w:r>
              <w:rPr>
                <w:b/>
                <w:color w:val="FFFFFF"/>
                <w:spacing w:val="-2"/>
                <w:sz w:val="18"/>
              </w:rPr>
              <w:t>Budget 2025/26</w:t>
            </w:r>
          </w:p>
          <w:p>
            <w:pPr>
              <w:pStyle w:val="TableParagraph"/>
              <w:spacing w:line="142" w:lineRule="exact"/>
              <w:ind w:left="267" w:right="240"/>
              <w:jc w:val="center"/>
              <w:rPr>
                <w:b/>
                <w:sz w:val="18"/>
              </w:rPr>
            </w:pPr>
            <w:r>
              <w:rPr>
                <w:b/>
                <w:color w:val="FFFFFF"/>
                <w:spacing w:val="-2"/>
                <w:sz w:val="18"/>
              </w:rPr>
              <w:t>$’000</w:t>
            </w:r>
          </w:p>
        </w:tc>
        <w:tc>
          <w:tcPr>
            <w:tcW w:w="935" w:type="dxa"/>
            <w:tcBorders>
              <w:top w:val="single" w:sz="18" w:space="0" w:color="000000"/>
            </w:tcBorders>
            <w:shd w:val="clear" w:color="auto" w:fill="5B9AD4"/>
          </w:tcPr>
          <w:p>
            <w:pPr>
              <w:pStyle w:val="TableParagraph"/>
              <w:rPr>
                <w:b/>
                <w:sz w:val="20"/>
              </w:rPr>
            </w:pPr>
          </w:p>
          <w:p>
            <w:pPr>
              <w:pStyle w:val="TableParagraph"/>
              <w:rPr>
                <w:b/>
                <w:sz w:val="20"/>
              </w:rPr>
            </w:pPr>
          </w:p>
          <w:p>
            <w:pPr>
              <w:pStyle w:val="TableParagraph"/>
              <w:rPr>
                <w:b/>
                <w:sz w:val="20"/>
              </w:rPr>
            </w:pPr>
          </w:p>
          <w:p>
            <w:pPr>
              <w:pStyle w:val="TableParagraph"/>
              <w:spacing w:line="187" w:lineRule="exact" w:before="173"/>
              <w:ind w:left="444"/>
              <w:rPr>
                <w:b/>
                <w:sz w:val="18"/>
              </w:rPr>
            </w:pPr>
            <w:r>
              <w:rPr>
                <w:b/>
                <w:color w:val="FFFFFF"/>
                <w:spacing w:val="-2"/>
                <w:sz w:val="18"/>
              </w:rPr>
              <w:t>$’000</w:t>
            </w:r>
          </w:p>
        </w:tc>
        <w:tc>
          <w:tcPr>
            <w:tcW w:w="775" w:type="dxa"/>
            <w:tcBorders>
              <w:top w:val="single" w:sz="18" w:space="0" w:color="000000"/>
            </w:tcBorders>
            <w:shd w:val="clear" w:color="auto" w:fill="5B9AD4"/>
          </w:tcPr>
          <w:p>
            <w:pPr>
              <w:pStyle w:val="TableParagraph"/>
              <w:spacing w:before="1"/>
              <w:rPr>
                <w:b/>
                <w:sz w:val="24"/>
              </w:rPr>
            </w:pPr>
          </w:p>
          <w:p>
            <w:pPr>
              <w:pStyle w:val="TableParagraph"/>
              <w:spacing w:before="1"/>
              <w:ind w:left="73"/>
              <w:rPr>
                <w:b/>
                <w:sz w:val="18"/>
              </w:rPr>
            </w:pPr>
            <w:r>
              <w:rPr>
                <w:b/>
                <w:color w:val="FFFFFF"/>
                <w:spacing w:val="-2"/>
                <w:sz w:val="18"/>
              </w:rPr>
              <w:t>Change</w:t>
            </w:r>
          </w:p>
        </w:tc>
        <w:tc>
          <w:tcPr>
            <w:tcW w:w="947" w:type="dxa"/>
            <w:tcBorders>
              <w:top w:val="single" w:sz="18" w:space="0" w:color="000000"/>
              <w:right w:val="single" w:sz="12" w:space="0" w:color="000000"/>
            </w:tcBorders>
            <w:shd w:val="clear" w:color="auto" w:fill="5B9AD4"/>
          </w:tcPr>
          <w:p>
            <w:pPr>
              <w:pStyle w:val="TableParagraph"/>
              <w:rPr>
                <w:b/>
                <w:sz w:val="20"/>
              </w:rPr>
            </w:pPr>
          </w:p>
          <w:p>
            <w:pPr>
              <w:pStyle w:val="TableParagraph"/>
              <w:rPr>
                <w:b/>
                <w:sz w:val="20"/>
              </w:rPr>
            </w:pPr>
          </w:p>
          <w:p>
            <w:pPr>
              <w:pStyle w:val="TableParagraph"/>
              <w:rPr>
                <w:b/>
                <w:sz w:val="20"/>
              </w:rPr>
            </w:pPr>
          </w:p>
          <w:p>
            <w:pPr>
              <w:pStyle w:val="TableParagraph"/>
              <w:spacing w:line="187" w:lineRule="exact" w:before="173"/>
              <w:ind w:left="46"/>
              <w:rPr>
                <w:b/>
                <w:sz w:val="18"/>
              </w:rPr>
            </w:pPr>
            <w:r>
              <w:rPr>
                <w:b/>
                <w:color w:val="FFFFFF"/>
                <w:spacing w:val="-2"/>
                <w:sz w:val="18"/>
              </w:rPr>
              <w:t>$’000</w:t>
            </w:r>
          </w:p>
        </w:tc>
      </w:tr>
      <w:tr>
        <w:trPr>
          <w:trHeight w:val="233" w:hRule="atLeast"/>
        </w:trPr>
        <w:tc>
          <w:tcPr>
            <w:tcW w:w="4949" w:type="dxa"/>
            <w:tcBorders>
              <w:left w:val="single" w:sz="12" w:space="0" w:color="000000"/>
            </w:tcBorders>
          </w:tcPr>
          <w:p>
            <w:pPr>
              <w:pStyle w:val="TableParagraph"/>
              <w:spacing w:line="213" w:lineRule="exact"/>
              <w:ind w:left="107"/>
              <w:rPr>
                <w:sz w:val="20"/>
              </w:rPr>
            </w:pPr>
            <w:r>
              <w:rPr>
                <w:sz w:val="20"/>
              </w:rPr>
              <w:t>Auditor's</w:t>
            </w:r>
            <w:r>
              <w:rPr>
                <w:spacing w:val="-2"/>
                <w:sz w:val="20"/>
              </w:rPr>
              <w:t> </w:t>
            </w:r>
            <w:r>
              <w:rPr>
                <w:sz w:val="20"/>
              </w:rPr>
              <w:t>remuneration</w:t>
            </w:r>
            <w:r>
              <w:rPr>
                <w:spacing w:val="-2"/>
                <w:sz w:val="20"/>
              </w:rPr>
              <w:t> </w:t>
            </w:r>
            <w:r>
              <w:rPr>
                <w:sz w:val="20"/>
              </w:rPr>
              <w:t>-</w:t>
            </w:r>
            <w:r>
              <w:rPr>
                <w:spacing w:val="-2"/>
                <w:sz w:val="20"/>
              </w:rPr>
              <w:t> </w:t>
            </w:r>
            <w:r>
              <w:rPr>
                <w:sz w:val="20"/>
              </w:rPr>
              <w:t>VAGO</w:t>
            </w:r>
            <w:r>
              <w:rPr>
                <w:spacing w:val="-2"/>
                <w:sz w:val="20"/>
              </w:rPr>
              <w:t> </w:t>
            </w:r>
            <w:r>
              <w:rPr>
                <w:sz w:val="20"/>
              </w:rPr>
              <w:t>-</w:t>
            </w:r>
            <w:r>
              <w:rPr>
                <w:spacing w:val="-2"/>
                <w:sz w:val="20"/>
              </w:rPr>
              <w:t> </w:t>
            </w:r>
            <w:r>
              <w:rPr>
                <w:sz w:val="20"/>
              </w:rPr>
              <w:t>audit</w:t>
            </w:r>
            <w:r>
              <w:rPr>
                <w:spacing w:val="-5"/>
                <w:sz w:val="20"/>
              </w:rPr>
              <w:t> </w:t>
            </w:r>
            <w:r>
              <w:rPr>
                <w:sz w:val="20"/>
              </w:rPr>
              <w:t>of</w:t>
            </w:r>
            <w:r>
              <w:rPr>
                <w:spacing w:val="-3"/>
                <w:sz w:val="20"/>
              </w:rPr>
              <w:t> </w:t>
            </w:r>
            <w:r>
              <w:rPr>
                <w:sz w:val="20"/>
              </w:rPr>
              <w:t>the</w:t>
            </w:r>
            <w:r>
              <w:rPr>
                <w:spacing w:val="-5"/>
                <w:sz w:val="20"/>
              </w:rPr>
              <w:t> </w:t>
            </w:r>
            <w:r>
              <w:rPr>
                <w:spacing w:val="-2"/>
                <w:sz w:val="20"/>
              </w:rPr>
              <w:t>financial</w:t>
            </w:r>
          </w:p>
        </w:tc>
        <w:tc>
          <w:tcPr>
            <w:tcW w:w="1275" w:type="dxa"/>
          </w:tcPr>
          <w:p>
            <w:pPr>
              <w:pStyle w:val="TableParagraph"/>
              <w:rPr>
                <w:rFonts w:ascii="Times New Roman"/>
                <w:sz w:val="16"/>
              </w:rPr>
            </w:pPr>
          </w:p>
        </w:tc>
        <w:tc>
          <w:tcPr>
            <w:tcW w:w="1561" w:type="dxa"/>
            <w:shd w:val="clear" w:color="auto" w:fill="DDEBF6"/>
          </w:tcPr>
          <w:p>
            <w:pPr>
              <w:pStyle w:val="TableParagraph"/>
              <w:rPr>
                <w:rFonts w:ascii="Times New Roman"/>
                <w:sz w:val="16"/>
              </w:rPr>
            </w:pPr>
          </w:p>
        </w:tc>
        <w:tc>
          <w:tcPr>
            <w:tcW w:w="1710" w:type="dxa"/>
            <w:gridSpan w:val="2"/>
          </w:tcPr>
          <w:p>
            <w:pPr>
              <w:pStyle w:val="TableParagraph"/>
              <w:rPr>
                <w:rFonts w:ascii="Times New Roman"/>
                <w:sz w:val="16"/>
              </w:rPr>
            </w:pPr>
          </w:p>
        </w:tc>
        <w:tc>
          <w:tcPr>
            <w:tcW w:w="947" w:type="dxa"/>
            <w:tcBorders>
              <w:right w:val="single" w:sz="12" w:space="0" w:color="000000"/>
            </w:tcBorders>
          </w:tcPr>
          <w:p>
            <w:pPr>
              <w:pStyle w:val="TableParagraph"/>
              <w:rPr>
                <w:rFonts w:ascii="Times New Roman"/>
                <w:sz w:val="16"/>
              </w:rPr>
            </w:pPr>
          </w:p>
        </w:tc>
      </w:tr>
      <w:tr>
        <w:trPr>
          <w:trHeight w:val="230" w:hRule="atLeast"/>
        </w:trPr>
        <w:tc>
          <w:tcPr>
            <w:tcW w:w="4949" w:type="dxa"/>
            <w:tcBorders>
              <w:left w:val="single" w:sz="12" w:space="0" w:color="000000"/>
            </w:tcBorders>
          </w:tcPr>
          <w:p>
            <w:pPr>
              <w:pStyle w:val="TableParagraph"/>
              <w:tabs>
                <w:tab w:pos="1366" w:val="left" w:leader="none"/>
                <w:tab w:pos="2716" w:val="left" w:leader="none"/>
                <w:tab w:pos="3820" w:val="left" w:leader="none"/>
                <w:tab w:pos="4382" w:val="left" w:leader="none"/>
              </w:tabs>
              <w:spacing w:line="210" w:lineRule="exact"/>
              <w:ind w:left="107"/>
              <w:rPr>
                <w:sz w:val="20"/>
              </w:rPr>
            </w:pPr>
            <w:r>
              <w:rPr>
                <w:spacing w:val="-2"/>
                <w:sz w:val="20"/>
              </w:rPr>
              <w:t>statements,</w:t>
            </w:r>
            <w:r>
              <w:rPr>
                <w:sz w:val="20"/>
              </w:rPr>
              <w:tab/>
            </w:r>
            <w:r>
              <w:rPr>
                <w:spacing w:val="-2"/>
                <w:sz w:val="20"/>
              </w:rPr>
              <w:t>performance</w:t>
            </w:r>
            <w:r>
              <w:rPr>
                <w:sz w:val="20"/>
              </w:rPr>
              <w:tab/>
            </w:r>
            <w:r>
              <w:rPr>
                <w:spacing w:val="-2"/>
                <w:sz w:val="20"/>
              </w:rPr>
              <w:t>statement</w:t>
            </w:r>
            <w:r>
              <w:rPr>
                <w:sz w:val="20"/>
              </w:rPr>
              <w:tab/>
            </w:r>
            <w:r>
              <w:rPr>
                <w:spacing w:val="-5"/>
                <w:sz w:val="20"/>
              </w:rPr>
              <w:t>and</w:t>
            </w:r>
            <w:r>
              <w:rPr>
                <w:sz w:val="20"/>
              </w:rPr>
              <w:tab/>
            </w:r>
            <w:r>
              <w:rPr>
                <w:spacing w:val="-4"/>
                <w:sz w:val="20"/>
              </w:rPr>
              <w:t>grant</w:t>
            </w:r>
          </w:p>
        </w:tc>
        <w:tc>
          <w:tcPr>
            <w:tcW w:w="1275" w:type="dxa"/>
          </w:tcPr>
          <w:p>
            <w:pPr>
              <w:pStyle w:val="TableParagraph"/>
              <w:spacing w:line="210" w:lineRule="exact"/>
              <w:ind w:right="92"/>
              <w:jc w:val="right"/>
              <w:rPr>
                <w:sz w:val="20"/>
              </w:rPr>
            </w:pPr>
            <w:r>
              <w:rPr>
                <w:spacing w:val="-5"/>
                <w:sz w:val="20"/>
              </w:rPr>
              <w:t>90</w:t>
            </w:r>
          </w:p>
        </w:tc>
        <w:tc>
          <w:tcPr>
            <w:tcW w:w="1561" w:type="dxa"/>
            <w:shd w:val="clear" w:color="auto" w:fill="DDEBF6"/>
          </w:tcPr>
          <w:p>
            <w:pPr>
              <w:pStyle w:val="TableParagraph"/>
              <w:spacing w:line="210" w:lineRule="exact"/>
              <w:ind w:right="93"/>
              <w:jc w:val="right"/>
              <w:rPr>
                <w:b/>
                <w:sz w:val="20"/>
              </w:rPr>
            </w:pPr>
            <w:r>
              <w:rPr>
                <w:b/>
                <w:spacing w:val="-5"/>
                <w:sz w:val="20"/>
              </w:rPr>
              <w:t>95</w:t>
            </w:r>
          </w:p>
        </w:tc>
        <w:tc>
          <w:tcPr>
            <w:tcW w:w="1710" w:type="dxa"/>
            <w:gridSpan w:val="2"/>
          </w:tcPr>
          <w:p>
            <w:pPr>
              <w:pStyle w:val="TableParagraph"/>
              <w:spacing w:line="210" w:lineRule="exact"/>
              <w:ind w:left="1108"/>
              <w:rPr>
                <w:sz w:val="20"/>
              </w:rPr>
            </w:pPr>
            <w:r>
              <w:rPr>
                <w:w w:val="99"/>
                <w:sz w:val="20"/>
              </w:rPr>
              <w:t>5</w:t>
            </w:r>
          </w:p>
        </w:tc>
        <w:tc>
          <w:tcPr>
            <w:tcW w:w="947" w:type="dxa"/>
            <w:tcBorders>
              <w:right w:val="single" w:sz="12" w:space="0" w:color="000000"/>
            </w:tcBorders>
          </w:tcPr>
          <w:p>
            <w:pPr>
              <w:pStyle w:val="TableParagraph"/>
              <w:spacing w:line="210" w:lineRule="exact"/>
              <w:ind w:right="84"/>
              <w:jc w:val="right"/>
              <w:rPr>
                <w:sz w:val="20"/>
              </w:rPr>
            </w:pPr>
            <w:r>
              <w:rPr>
                <w:spacing w:val="-4"/>
                <w:sz w:val="20"/>
              </w:rPr>
              <w:t>5.6%</w:t>
            </w:r>
          </w:p>
        </w:tc>
      </w:tr>
      <w:tr>
        <w:trPr>
          <w:trHeight w:val="280" w:hRule="atLeast"/>
        </w:trPr>
        <w:tc>
          <w:tcPr>
            <w:tcW w:w="4949" w:type="dxa"/>
            <w:tcBorders>
              <w:left w:val="single" w:sz="12" w:space="0" w:color="000000"/>
            </w:tcBorders>
          </w:tcPr>
          <w:p>
            <w:pPr>
              <w:pStyle w:val="TableParagraph"/>
              <w:spacing w:line="227" w:lineRule="exact"/>
              <w:ind w:left="107"/>
              <w:rPr>
                <w:sz w:val="20"/>
              </w:rPr>
            </w:pPr>
            <w:r>
              <w:rPr>
                <w:spacing w:val="-2"/>
                <w:sz w:val="20"/>
              </w:rPr>
              <w:t>acquittals</w:t>
            </w:r>
          </w:p>
        </w:tc>
        <w:tc>
          <w:tcPr>
            <w:tcW w:w="1275" w:type="dxa"/>
          </w:tcPr>
          <w:p>
            <w:pPr>
              <w:pStyle w:val="TableParagraph"/>
              <w:rPr>
                <w:rFonts w:ascii="Times New Roman"/>
                <w:sz w:val="18"/>
              </w:rPr>
            </w:pPr>
          </w:p>
        </w:tc>
        <w:tc>
          <w:tcPr>
            <w:tcW w:w="1561" w:type="dxa"/>
            <w:shd w:val="clear" w:color="auto" w:fill="DDEBF6"/>
          </w:tcPr>
          <w:p>
            <w:pPr>
              <w:pStyle w:val="TableParagraph"/>
              <w:rPr>
                <w:rFonts w:ascii="Times New Roman"/>
                <w:sz w:val="18"/>
              </w:rPr>
            </w:pPr>
          </w:p>
        </w:tc>
        <w:tc>
          <w:tcPr>
            <w:tcW w:w="1710" w:type="dxa"/>
            <w:gridSpan w:val="2"/>
          </w:tcPr>
          <w:p>
            <w:pPr>
              <w:pStyle w:val="TableParagraph"/>
              <w:rPr>
                <w:rFonts w:ascii="Times New Roman"/>
                <w:sz w:val="18"/>
              </w:rPr>
            </w:pPr>
          </w:p>
        </w:tc>
        <w:tc>
          <w:tcPr>
            <w:tcW w:w="947" w:type="dxa"/>
            <w:tcBorders>
              <w:right w:val="single" w:sz="12" w:space="0" w:color="000000"/>
            </w:tcBorders>
          </w:tcPr>
          <w:p>
            <w:pPr>
              <w:pStyle w:val="TableParagraph"/>
              <w:rPr>
                <w:rFonts w:ascii="Times New Roman"/>
                <w:sz w:val="18"/>
              </w:rPr>
            </w:pPr>
          </w:p>
        </w:tc>
      </w:tr>
      <w:tr>
        <w:trPr>
          <w:trHeight w:val="384" w:hRule="atLeast"/>
        </w:trPr>
        <w:tc>
          <w:tcPr>
            <w:tcW w:w="4949" w:type="dxa"/>
            <w:tcBorders>
              <w:left w:val="single" w:sz="12" w:space="0" w:color="000000"/>
            </w:tcBorders>
          </w:tcPr>
          <w:p>
            <w:pPr>
              <w:pStyle w:val="TableParagraph"/>
              <w:spacing w:before="47"/>
              <w:ind w:left="107"/>
              <w:rPr>
                <w:sz w:val="20"/>
              </w:rPr>
            </w:pPr>
            <w:r>
              <w:rPr>
                <w:sz w:val="20"/>
              </w:rPr>
              <w:t>Auditor's</w:t>
            </w:r>
            <w:r>
              <w:rPr>
                <w:spacing w:val="-8"/>
                <w:sz w:val="20"/>
              </w:rPr>
              <w:t> </w:t>
            </w:r>
            <w:r>
              <w:rPr>
                <w:sz w:val="20"/>
              </w:rPr>
              <w:t>remuneration</w:t>
            </w:r>
            <w:r>
              <w:rPr>
                <w:spacing w:val="-9"/>
                <w:sz w:val="20"/>
              </w:rPr>
              <w:t> </w:t>
            </w:r>
            <w:r>
              <w:rPr>
                <w:sz w:val="20"/>
              </w:rPr>
              <w:t>-</w:t>
            </w:r>
            <w:r>
              <w:rPr>
                <w:spacing w:val="-7"/>
                <w:sz w:val="20"/>
              </w:rPr>
              <w:t> </w:t>
            </w:r>
            <w:r>
              <w:rPr>
                <w:spacing w:val="-4"/>
                <w:sz w:val="20"/>
              </w:rPr>
              <w:t>Other</w:t>
            </w:r>
          </w:p>
        </w:tc>
        <w:tc>
          <w:tcPr>
            <w:tcW w:w="1275" w:type="dxa"/>
          </w:tcPr>
          <w:p>
            <w:pPr>
              <w:pStyle w:val="TableParagraph"/>
              <w:spacing w:before="47"/>
              <w:ind w:right="94"/>
              <w:jc w:val="right"/>
              <w:rPr>
                <w:sz w:val="20"/>
              </w:rPr>
            </w:pPr>
            <w:r>
              <w:rPr>
                <w:spacing w:val="-5"/>
                <w:sz w:val="20"/>
              </w:rPr>
              <w:t>147</w:t>
            </w:r>
          </w:p>
        </w:tc>
        <w:tc>
          <w:tcPr>
            <w:tcW w:w="1561" w:type="dxa"/>
            <w:shd w:val="clear" w:color="auto" w:fill="DDEBF6"/>
          </w:tcPr>
          <w:p>
            <w:pPr>
              <w:pStyle w:val="TableParagraph"/>
              <w:spacing w:before="47"/>
              <w:ind w:right="96"/>
              <w:jc w:val="right"/>
              <w:rPr>
                <w:b/>
                <w:sz w:val="20"/>
              </w:rPr>
            </w:pPr>
            <w:r>
              <w:rPr>
                <w:b/>
                <w:spacing w:val="-5"/>
                <w:sz w:val="20"/>
              </w:rPr>
              <w:t>148</w:t>
            </w:r>
          </w:p>
        </w:tc>
        <w:tc>
          <w:tcPr>
            <w:tcW w:w="1710" w:type="dxa"/>
            <w:gridSpan w:val="2"/>
          </w:tcPr>
          <w:p>
            <w:pPr>
              <w:pStyle w:val="TableParagraph"/>
              <w:spacing w:before="47"/>
              <w:ind w:left="1108"/>
              <w:rPr>
                <w:sz w:val="20"/>
              </w:rPr>
            </w:pPr>
            <w:r>
              <w:rPr>
                <w:w w:val="99"/>
                <w:sz w:val="20"/>
              </w:rPr>
              <w:t>1</w:t>
            </w:r>
          </w:p>
        </w:tc>
        <w:tc>
          <w:tcPr>
            <w:tcW w:w="947" w:type="dxa"/>
            <w:tcBorders>
              <w:right w:val="single" w:sz="12" w:space="0" w:color="000000"/>
            </w:tcBorders>
          </w:tcPr>
          <w:p>
            <w:pPr>
              <w:pStyle w:val="TableParagraph"/>
              <w:spacing w:before="47"/>
              <w:ind w:right="84"/>
              <w:jc w:val="right"/>
              <w:rPr>
                <w:sz w:val="20"/>
              </w:rPr>
            </w:pPr>
            <w:r>
              <w:rPr>
                <w:spacing w:val="-4"/>
                <w:sz w:val="20"/>
              </w:rPr>
              <w:t>0.7%</w:t>
            </w:r>
          </w:p>
        </w:tc>
      </w:tr>
      <w:tr>
        <w:trPr>
          <w:trHeight w:val="406" w:hRule="atLeast"/>
        </w:trPr>
        <w:tc>
          <w:tcPr>
            <w:tcW w:w="4949" w:type="dxa"/>
            <w:tcBorders>
              <w:left w:val="single" w:sz="12" w:space="0" w:color="000000"/>
            </w:tcBorders>
          </w:tcPr>
          <w:p>
            <w:pPr>
              <w:pStyle w:val="TableParagraph"/>
              <w:spacing w:before="100"/>
              <w:ind w:left="107"/>
              <w:rPr>
                <w:sz w:val="20"/>
              </w:rPr>
            </w:pPr>
            <w:r>
              <w:rPr>
                <w:sz w:val="20"/>
              </w:rPr>
              <w:t>Councillors'</w:t>
            </w:r>
            <w:r>
              <w:rPr>
                <w:spacing w:val="-11"/>
                <w:sz w:val="20"/>
              </w:rPr>
              <w:t> </w:t>
            </w:r>
            <w:r>
              <w:rPr>
                <w:spacing w:val="-2"/>
                <w:sz w:val="20"/>
              </w:rPr>
              <w:t>allowances</w:t>
            </w:r>
          </w:p>
        </w:tc>
        <w:tc>
          <w:tcPr>
            <w:tcW w:w="1275" w:type="dxa"/>
          </w:tcPr>
          <w:p>
            <w:pPr>
              <w:pStyle w:val="TableParagraph"/>
              <w:spacing w:before="100"/>
              <w:ind w:right="94"/>
              <w:jc w:val="right"/>
              <w:rPr>
                <w:sz w:val="20"/>
              </w:rPr>
            </w:pPr>
            <w:r>
              <w:rPr>
                <w:spacing w:val="-5"/>
                <w:sz w:val="20"/>
              </w:rPr>
              <w:t>385</w:t>
            </w:r>
          </w:p>
        </w:tc>
        <w:tc>
          <w:tcPr>
            <w:tcW w:w="1561" w:type="dxa"/>
            <w:shd w:val="clear" w:color="auto" w:fill="DDEBF6"/>
          </w:tcPr>
          <w:p>
            <w:pPr>
              <w:pStyle w:val="TableParagraph"/>
              <w:spacing w:before="100"/>
              <w:ind w:right="96"/>
              <w:jc w:val="right"/>
              <w:rPr>
                <w:b/>
                <w:sz w:val="20"/>
              </w:rPr>
            </w:pPr>
            <w:r>
              <w:rPr>
                <w:b/>
                <w:spacing w:val="-5"/>
                <w:sz w:val="20"/>
              </w:rPr>
              <w:t>417</w:t>
            </w:r>
          </w:p>
        </w:tc>
        <w:tc>
          <w:tcPr>
            <w:tcW w:w="1710" w:type="dxa"/>
            <w:gridSpan w:val="2"/>
          </w:tcPr>
          <w:p>
            <w:pPr>
              <w:pStyle w:val="TableParagraph"/>
              <w:spacing w:before="100"/>
              <w:ind w:left="999"/>
              <w:rPr>
                <w:sz w:val="20"/>
              </w:rPr>
            </w:pPr>
            <w:r>
              <w:rPr>
                <w:spacing w:val="-5"/>
                <w:sz w:val="20"/>
              </w:rPr>
              <w:t>32</w:t>
            </w:r>
          </w:p>
        </w:tc>
        <w:tc>
          <w:tcPr>
            <w:tcW w:w="947" w:type="dxa"/>
            <w:tcBorders>
              <w:right w:val="single" w:sz="12" w:space="0" w:color="000000"/>
            </w:tcBorders>
          </w:tcPr>
          <w:p>
            <w:pPr>
              <w:pStyle w:val="TableParagraph"/>
              <w:spacing w:before="100"/>
              <w:ind w:right="84"/>
              <w:jc w:val="right"/>
              <w:rPr>
                <w:sz w:val="20"/>
              </w:rPr>
            </w:pPr>
            <w:r>
              <w:rPr>
                <w:spacing w:val="-4"/>
                <w:sz w:val="20"/>
              </w:rPr>
              <w:t>8.3%</w:t>
            </w:r>
          </w:p>
        </w:tc>
      </w:tr>
      <w:tr>
        <w:trPr>
          <w:trHeight w:val="336" w:hRule="atLeast"/>
        </w:trPr>
        <w:tc>
          <w:tcPr>
            <w:tcW w:w="4949" w:type="dxa"/>
            <w:tcBorders>
              <w:left w:val="single" w:sz="12" w:space="0" w:color="000000"/>
            </w:tcBorders>
          </w:tcPr>
          <w:p>
            <w:pPr>
              <w:pStyle w:val="TableParagraph"/>
              <w:spacing w:before="70"/>
              <w:ind w:left="107"/>
              <w:rPr>
                <w:sz w:val="20"/>
              </w:rPr>
            </w:pPr>
            <w:r>
              <w:rPr>
                <w:sz w:val="20"/>
              </w:rPr>
              <w:t>Operating</w:t>
            </w:r>
            <w:r>
              <w:rPr>
                <w:spacing w:val="-7"/>
                <w:sz w:val="20"/>
              </w:rPr>
              <w:t> </w:t>
            </w:r>
            <w:r>
              <w:rPr>
                <w:sz w:val="20"/>
              </w:rPr>
              <w:t>lease</w:t>
            </w:r>
            <w:r>
              <w:rPr>
                <w:spacing w:val="-8"/>
                <w:sz w:val="20"/>
              </w:rPr>
              <w:t> </w:t>
            </w:r>
            <w:r>
              <w:rPr>
                <w:spacing w:val="-2"/>
                <w:sz w:val="20"/>
              </w:rPr>
              <w:t>rentals</w:t>
            </w:r>
          </w:p>
        </w:tc>
        <w:tc>
          <w:tcPr>
            <w:tcW w:w="1275" w:type="dxa"/>
            <w:tcBorders>
              <w:bottom w:val="single" w:sz="12" w:space="0" w:color="000000"/>
            </w:tcBorders>
          </w:tcPr>
          <w:p>
            <w:pPr>
              <w:pStyle w:val="TableParagraph"/>
              <w:spacing w:before="70"/>
              <w:ind w:right="93"/>
              <w:jc w:val="right"/>
              <w:rPr>
                <w:sz w:val="20"/>
              </w:rPr>
            </w:pPr>
            <w:r>
              <w:rPr>
                <w:spacing w:val="-5"/>
                <w:sz w:val="20"/>
              </w:rPr>
              <w:t>27</w:t>
            </w:r>
          </w:p>
        </w:tc>
        <w:tc>
          <w:tcPr>
            <w:tcW w:w="1561" w:type="dxa"/>
            <w:tcBorders>
              <w:bottom w:val="single" w:sz="18" w:space="0" w:color="000000"/>
            </w:tcBorders>
            <w:shd w:val="clear" w:color="auto" w:fill="DDEBF6"/>
          </w:tcPr>
          <w:p>
            <w:pPr>
              <w:pStyle w:val="TableParagraph"/>
              <w:spacing w:before="70"/>
              <w:ind w:right="96"/>
              <w:jc w:val="right"/>
              <w:rPr>
                <w:b/>
                <w:sz w:val="20"/>
              </w:rPr>
            </w:pPr>
            <w:r>
              <w:rPr>
                <w:b/>
                <w:spacing w:val="-5"/>
                <w:sz w:val="20"/>
              </w:rPr>
              <w:t>53</w:t>
            </w:r>
          </w:p>
        </w:tc>
        <w:tc>
          <w:tcPr>
            <w:tcW w:w="1710" w:type="dxa"/>
            <w:gridSpan w:val="2"/>
            <w:tcBorders>
              <w:bottom w:val="single" w:sz="12" w:space="0" w:color="000000"/>
            </w:tcBorders>
          </w:tcPr>
          <w:p>
            <w:pPr>
              <w:pStyle w:val="TableParagraph"/>
              <w:spacing w:before="70"/>
              <w:ind w:left="996"/>
              <w:rPr>
                <w:sz w:val="20"/>
              </w:rPr>
            </w:pPr>
            <w:r>
              <w:rPr>
                <w:spacing w:val="-5"/>
                <w:sz w:val="20"/>
              </w:rPr>
              <w:t>26</w:t>
            </w:r>
          </w:p>
        </w:tc>
        <w:tc>
          <w:tcPr>
            <w:tcW w:w="947" w:type="dxa"/>
            <w:tcBorders>
              <w:bottom w:val="single" w:sz="12" w:space="0" w:color="000000"/>
              <w:right w:val="single" w:sz="12" w:space="0" w:color="000000"/>
            </w:tcBorders>
          </w:tcPr>
          <w:p>
            <w:pPr>
              <w:pStyle w:val="TableParagraph"/>
              <w:spacing w:before="70"/>
              <w:ind w:right="83"/>
              <w:jc w:val="right"/>
              <w:rPr>
                <w:sz w:val="20"/>
              </w:rPr>
            </w:pPr>
            <w:r>
              <w:rPr>
                <w:spacing w:val="-2"/>
                <w:sz w:val="20"/>
              </w:rPr>
              <w:t>96.3%</w:t>
            </w:r>
          </w:p>
        </w:tc>
      </w:tr>
      <w:tr>
        <w:trPr>
          <w:trHeight w:val="306" w:hRule="atLeast"/>
        </w:trPr>
        <w:tc>
          <w:tcPr>
            <w:tcW w:w="4949" w:type="dxa"/>
            <w:tcBorders>
              <w:left w:val="single" w:sz="12" w:space="0" w:color="000000"/>
              <w:bottom w:val="single" w:sz="12" w:space="0" w:color="000000"/>
            </w:tcBorders>
          </w:tcPr>
          <w:p>
            <w:pPr>
              <w:pStyle w:val="TableParagraph"/>
              <w:spacing w:before="33"/>
              <w:ind w:left="107"/>
              <w:rPr>
                <w:b/>
                <w:sz w:val="20"/>
              </w:rPr>
            </w:pPr>
            <w:r>
              <w:rPr>
                <w:b/>
                <w:sz w:val="20"/>
              </w:rPr>
              <w:t>Total</w:t>
            </w:r>
            <w:r>
              <w:rPr>
                <w:b/>
                <w:spacing w:val="-6"/>
                <w:sz w:val="20"/>
              </w:rPr>
              <w:t> </w:t>
            </w:r>
            <w:r>
              <w:rPr>
                <w:b/>
                <w:sz w:val="20"/>
              </w:rPr>
              <w:t>other</w:t>
            </w:r>
            <w:r>
              <w:rPr>
                <w:b/>
                <w:spacing w:val="-6"/>
                <w:sz w:val="20"/>
              </w:rPr>
              <w:t> </w:t>
            </w:r>
            <w:r>
              <w:rPr>
                <w:b/>
                <w:spacing w:val="-2"/>
                <w:sz w:val="20"/>
              </w:rPr>
              <w:t>expenses</w:t>
            </w:r>
          </w:p>
        </w:tc>
        <w:tc>
          <w:tcPr>
            <w:tcW w:w="1275" w:type="dxa"/>
            <w:tcBorders>
              <w:top w:val="single" w:sz="12" w:space="0" w:color="000000"/>
              <w:bottom w:val="single" w:sz="12" w:space="0" w:color="000000"/>
            </w:tcBorders>
          </w:tcPr>
          <w:p>
            <w:pPr>
              <w:pStyle w:val="TableParagraph"/>
              <w:spacing w:before="33"/>
              <w:ind w:right="95"/>
              <w:jc w:val="right"/>
              <w:rPr>
                <w:b/>
                <w:sz w:val="20"/>
              </w:rPr>
            </w:pPr>
            <w:r>
              <w:rPr>
                <w:b/>
                <w:spacing w:val="-5"/>
                <w:sz w:val="20"/>
              </w:rPr>
              <w:t>649</w:t>
            </w:r>
          </w:p>
        </w:tc>
        <w:tc>
          <w:tcPr>
            <w:tcW w:w="1561" w:type="dxa"/>
            <w:tcBorders>
              <w:top w:val="single" w:sz="18" w:space="0" w:color="000000"/>
              <w:bottom w:val="single" w:sz="12" w:space="0" w:color="000000"/>
            </w:tcBorders>
            <w:shd w:val="clear" w:color="auto" w:fill="DDEBF6"/>
          </w:tcPr>
          <w:p>
            <w:pPr>
              <w:pStyle w:val="TableParagraph"/>
              <w:spacing w:before="33"/>
              <w:ind w:right="96"/>
              <w:jc w:val="right"/>
              <w:rPr>
                <w:b/>
                <w:sz w:val="20"/>
              </w:rPr>
            </w:pPr>
            <w:r>
              <w:rPr>
                <w:b/>
                <w:spacing w:val="-5"/>
                <w:sz w:val="20"/>
              </w:rPr>
              <w:t>713</w:t>
            </w:r>
          </w:p>
        </w:tc>
        <w:tc>
          <w:tcPr>
            <w:tcW w:w="1710" w:type="dxa"/>
            <w:gridSpan w:val="2"/>
            <w:tcBorders>
              <w:top w:val="single" w:sz="12" w:space="0" w:color="000000"/>
              <w:bottom w:val="single" w:sz="12" w:space="0" w:color="000000"/>
            </w:tcBorders>
          </w:tcPr>
          <w:p>
            <w:pPr>
              <w:pStyle w:val="TableParagraph"/>
              <w:spacing w:before="33"/>
              <w:ind w:left="996"/>
              <w:rPr>
                <w:b/>
                <w:sz w:val="20"/>
              </w:rPr>
            </w:pPr>
            <w:r>
              <w:rPr>
                <w:b/>
                <w:spacing w:val="-5"/>
                <w:sz w:val="20"/>
              </w:rPr>
              <w:t>64</w:t>
            </w:r>
          </w:p>
        </w:tc>
        <w:tc>
          <w:tcPr>
            <w:tcW w:w="947" w:type="dxa"/>
            <w:tcBorders>
              <w:top w:val="single" w:sz="12" w:space="0" w:color="000000"/>
              <w:bottom w:val="single" w:sz="12" w:space="0" w:color="000000"/>
              <w:right w:val="single" w:sz="12" w:space="0" w:color="000000"/>
            </w:tcBorders>
          </w:tcPr>
          <w:p>
            <w:pPr>
              <w:pStyle w:val="TableParagraph"/>
              <w:spacing w:before="33"/>
              <w:ind w:right="81"/>
              <w:jc w:val="right"/>
              <w:rPr>
                <w:b/>
                <w:sz w:val="20"/>
              </w:rPr>
            </w:pPr>
            <w:r>
              <w:rPr>
                <w:b/>
                <w:spacing w:val="-4"/>
                <w:sz w:val="20"/>
              </w:rPr>
              <w:t>9.9%</w:t>
            </w:r>
          </w:p>
        </w:tc>
      </w:tr>
    </w:tbl>
    <w:p>
      <w:pPr>
        <w:spacing w:after="0"/>
        <w:jc w:val="right"/>
        <w:rPr>
          <w:sz w:val="20"/>
        </w:rPr>
        <w:sectPr>
          <w:pgSz w:w="11910" w:h="16840"/>
          <w:pgMar w:header="0" w:footer="375" w:top="620" w:bottom="560" w:left="460" w:right="160"/>
        </w:sectPr>
      </w:pPr>
    </w:p>
    <w:p>
      <w:pPr>
        <w:pStyle w:val="Heading2"/>
        <w:numPr>
          <w:ilvl w:val="2"/>
          <w:numId w:val="12"/>
        </w:numPr>
        <w:tabs>
          <w:tab w:pos="729" w:val="left" w:leader="none"/>
        </w:tabs>
        <w:spacing w:line="240" w:lineRule="auto" w:before="63" w:after="0"/>
        <w:ind w:left="728" w:right="0" w:hanging="469"/>
        <w:jc w:val="left"/>
      </w:pPr>
      <w:bookmarkStart w:name="_TOC_250005" w:id="27"/>
      <w:r>
        <w:rPr>
          <w:color w:val="4966AC"/>
        </w:rPr>
        <w:t>Balance</w:t>
      </w:r>
      <w:r>
        <w:rPr>
          <w:color w:val="4966AC"/>
          <w:spacing w:val="-5"/>
        </w:rPr>
        <w:t> </w:t>
      </w:r>
      <w:bookmarkEnd w:id="27"/>
      <w:r>
        <w:rPr>
          <w:color w:val="4966AC"/>
          <w:spacing w:val="-2"/>
        </w:rPr>
        <w:t>Sheet</w:t>
      </w:r>
    </w:p>
    <w:p>
      <w:pPr>
        <w:pStyle w:val="BodyText"/>
        <w:spacing w:before="7"/>
        <w:rPr>
          <w:b/>
          <w:sz w:val="23"/>
        </w:rPr>
      </w:pPr>
    </w:p>
    <w:p>
      <w:pPr>
        <w:pStyle w:val="BodyText"/>
        <w:ind w:left="260" w:right="445"/>
      </w:pPr>
      <w:r>
        <w:rPr/>
        <w:t>This</w:t>
      </w:r>
      <w:r>
        <w:rPr>
          <w:spacing w:val="-3"/>
        </w:rPr>
        <w:t> </w:t>
      </w:r>
      <w:r>
        <w:rPr/>
        <w:t>section</w:t>
      </w:r>
      <w:r>
        <w:rPr>
          <w:spacing w:val="-1"/>
        </w:rPr>
        <w:t> </w:t>
      </w:r>
      <w:r>
        <w:rPr/>
        <w:t>analyses</w:t>
      </w:r>
      <w:r>
        <w:rPr>
          <w:spacing w:val="-5"/>
        </w:rPr>
        <w:t> </w:t>
      </w:r>
      <w:r>
        <w:rPr/>
        <w:t>the</w:t>
      </w:r>
      <w:r>
        <w:rPr>
          <w:spacing w:val="-2"/>
        </w:rPr>
        <w:t> </w:t>
      </w:r>
      <w:r>
        <w:rPr/>
        <w:t>movements</w:t>
      </w:r>
      <w:r>
        <w:rPr>
          <w:spacing w:val="-3"/>
        </w:rPr>
        <w:t> </w:t>
      </w:r>
      <w:r>
        <w:rPr/>
        <w:t>in</w:t>
      </w:r>
      <w:r>
        <w:rPr>
          <w:spacing w:val="-5"/>
        </w:rPr>
        <w:t> </w:t>
      </w:r>
      <w:r>
        <w:rPr/>
        <w:t>assets,</w:t>
      </w:r>
      <w:r>
        <w:rPr>
          <w:spacing w:val="-3"/>
        </w:rPr>
        <w:t> </w:t>
      </w:r>
      <w:r>
        <w:rPr/>
        <w:t>liabilities,</w:t>
      </w:r>
      <w:r>
        <w:rPr>
          <w:spacing w:val="-1"/>
        </w:rPr>
        <w:t> </w:t>
      </w:r>
      <w:r>
        <w:rPr/>
        <w:t>and</w:t>
      </w:r>
      <w:r>
        <w:rPr>
          <w:spacing w:val="-3"/>
        </w:rPr>
        <w:t> </w:t>
      </w:r>
      <w:r>
        <w:rPr/>
        <w:t>equity</w:t>
      </w:r>
      <w:r>
        <w:rPr>
          <w:spacing w:val="-3"/>
        </w:rPr>
        <w:t> </w:t>
      </w:r>
      <w:r>
        <w:rPr/>
        <w:t>between</w:t>
      </w:r>
      <w:r>
        <w:rPr>
          <w:spacing w:val="-3"/>
        </w:rPr>
        <w:t> </w:t>
      </w:r>
      <w:r>
        <w:rPr/>
        <w:t>2024/25</w:t>
      </w:r>
      <w:r>
        <w:rPr>
          <w:spacing w:val="-4"/>
        </w:rPr>
        <w:t> </w:t>
      </w:r>
      <w:r>
        <w:rPr/>
        <w:t>and</w:t>
      </w:r>
      <w:r>
        <w:rPr>
          <w:spacing w:val="-2"/>
        </w:rPr>
        <w:t> </w:t>
      </w:r>
      <w:r>
        <w:rPr/>
        <w:t>2025/26.</w:t>
      </w:r>
      <w:r>
        <w:rPr>
          <w:spacing w:val="-2"/>
        </w:rPr>
        <w:t> </w:t>
      </w:r>
      <w:r>
        <w:rPr/>
        <w:t>It</w:t>
      </w:r>
      <w:r>
        <w:rPr>
          <w:spacing w:val="-2"/>
        </w:rPr>
        <w:t> </w:t>
      </w:r>
      <w:r>
        <w:rPr/>
        <w:t>also considers a number of key performance indicators.</w:t>
      </w:r>
    </w:p>
    <w:p>
      <w:pPr>
        <w:pStyle w:val="BodyText"/>
        <w:spacing w:before="6"/>
        <w:rPr>
          <w:sz w:val="25"/>
        </w:rPr>
      </w:pPr>
    </w:p>
    <w:p>
      <w:pPr>
        <w:pStyle w:val="Heading4"/>
        <w:numPr>
          <w:ilvl w:val="2"/>
          <w:numId w:val="67"/>
        </w:numPr>
        <w:tabs>
          <w:tab w:pos="862" w:val="left" w:leader="none"/>
        </w:tabs>
        <w:spacing w:line="240" w:lineRule="auto" w:before="0" w:after="0"/>
        <w:ind w:left="861" w:right="0" w:hanging="602"/>
        <w:jc w:val="left"/>
      </w:pPr>
      <w:r>
        <w:rPr>
          <w:color w:val="4966AC"/>
          <w:spacing w:val="-2"/>
        </w:rPr>
        <w:t>Assets</w:t>
      </w:r>
    </w:p>
    <w:p>
      <w:pPr>
        <w:pStyle w:val="BodyText"/>
        <w:spacing w:before="9"/>
        <w:rPr>
          <w:b/>
          <w:sz w:val="23"/>
        </w:rPr>
      </w:pPr>
    </w:p>
    <w:p>
      <w:pPr>
        <w:pStyle w:val="BodyText"/>
        <w:ind w:left="260" w:right="619"/>
      </w:pPr>
      <w:r>
        <w:rPr/>
        <w:t>Cash</w:t>
      </w:r>
      <w:r>
        <w:rPr>
          <w:spacing w:val="-1"/>
        </w:rPr>
        <w:t> </w:t>
      </w:r>
      <w:r>
        <w:rPr/>
        <w:t>and</w:t>
      </w:r>
      <w:r>
        <w:rPr>
          <w:spacing w:val="-1"/>
        </w:rPr>
        <w:t> </w:t>
      </w:r>
      <w:r>
        <w:rPr/>
        <w:t>Cash</w:t>
      </w:r>
      <w:r>
        <w:rPr>
          <w:spacing w:val="-3"/>
        </w:rPr>
        <w:t> </w:t>
      </w:r>
      <w:r>
        <w:rPr/>
        <w:t>Equivalents includes</w:t>
      </w:r>
      <w:r>
        <w:rPr>
          <w:spacing w:val="-2"/>
        </w:rPr>
        <w:t> </w:t>
      </w:r>
      <w:r>
        <w:rPr/>
        <w:t>items</w:t>
      </w:r>
      <w:r>
        <w:rPr>
          <w:spacing w:val="-4"/>
        </w:rPr>
        <w:t> </w:t>
      </w:r>
      <w:r>
        <w:rPr/>
        <w:t>such</w:t>
      </w:r>
      <w:r>
        <w:rPr>
          <w:spacing w:val="-5"/>
        </w:rPr>
        <w:t> </w:t>
      </w:r>
      <w:r>
        <w:rPr/>
        <w:t>as short-term</w:t>
      </w:r>
      <w:r>
        <w:rPr>
          <w:spacing w:val="-5"/>
        </w:rPr>
        <w:t> </w:t>
      </w:r>
      <w:r>
        <w:rPr/>
        <w:t>deposits</w:t>
      </w:r>
      <w:r>
        <w:rPr>
          <w:spacing w:val="-4"/>
        </w:rPr>
        <w:t> </w:t>
      </w:r>
      <w:r>
        <w:rPr/>
        <w:t>of</w:t>
      </w:r>
      <w:r>
        <w:rPr>
          <w:spacing w:val="-2"/>
        </w:rPr>
        <w:t> </w:t>
      </w:r>
      <w:r>
        <w:rPr/>
        <w:t>three</w:t>
      </w:r>
      <w:r>
        <w:rPr>
          <w:spacing w:val="-4"/>
        </w:rPr>
        <w:t> </w:t>
      </w:r>
      <w:r>
        <w:rPr/>
        <w:t>months</w:t>
      </w:r>
      <w:r>
        <w:rPr>
          <w:spacing w:val="-2"/>
        </w:rPr>
        <w:t> </w:t>
      </w:r>
      <w:r>
        <w:rPr/>
        <w:t>or</w:t>
      </w:r>
      <w:r>
        <w:rPr>
          <w:spacing w:val="-2"/>
        </w:rPr>
        <w:t> </w:t>
      </w:r>
      <w:r>
        <w:rPr/>
        <w:t>less, cash</w:t>
      </w:r>
      <w:r>
        <w:rPr>
          <w:spacing w:val="-2"/>
        </w:rPr>
        <w:t> </w:t>
      </w:r>
      <w:r>
        <w:rPr/>
        <w:t>held in the bank, and petty cash.</w:t>
      </w:r>
    </w:p>
    <w:p>
      <w:pPr>
        <w:pStyle w:val="BodyText"/>
        <w:spacing w:before="11"/>
        <w:rPr>
          <w:sz w:val="21"/>
        </w:rPr>
      </w:pPr>
    </w:p>
    <w:p>
      <w:pPr>
        <w:pStyle w:val="BodyText"/>
        <w:ind w:left="260" w:right="445"/>
      </w:pPr>
      <w:r>
        <w:rPr/>
        <w:t>Other financial assets include the value of investments held in deposits with a maturity greater than three</w:t>
      </w:r>
      <w:r>
        <w:rPr>
          <w:spacing w:val="40"/>
        </w:rPr>
        <w:t> </w:t>
      </w:r>
      <w:r>
        <w:rPr/>
        <w:t>months at the time of initial investment.</w:t>
      </w:r>
    </w:p>
    <w:p>
      <w:pPr>
        <w:pStyle w:val="BodyText"/>
        <w:spacing w:before="11"/>
        <w:rPr>
          <w:sz w:val="21"/>
        </w:rPr>
      </w:pPr>
    </w:p>
    <w:p>
      <w:pPr>
        <w:pStyle w:val="BodyText"/>
        <w:ind w:left="260" w:right="445"/>
      </w:pPr>
      <w:r>
        <w:rPr/>
        <w:t>Trade</w:t>
      </w:r>
      <w:r>
        <w:rPr>
          <w:spacing w:val="37"/>
        </w:rPr>
        <w:t> </w:t>
      </w:r>
      <w:r>
        <w:rPr/>
        <w:t>and</w:t>
      </w:r>
      <w:r>
        <w:rPr>
          <w:spacing w:val="33"/>
        </w:rPr>
        <w:t> </w:t>
      </w:r>
      <w:r>
        <w:rPr/>
        <w:t>other</w:t>
      </w:r>
      <w:r>
        <w:rPr>
          <w:spacing w:val="35"/>
        </w:rPr>
        <w:t> </w:t>
      </w:r>
      <w:r>
        <w:rPr/>
        <w:t>receivables</w:t>
      </w:r>
      <w:r>
        <w:rPr>
          <w:spacing w:val="37"/>
        </w:rPr>
        <w:t> </w:t>
      </w:r>
      <w:r>
        <w:rPr/>
        <w:t>are</w:t>
      </w:r>
      <w:r>
        <w:rPr>
          <w:spacing w:val="33"/>
        </w:rPr>
        <w:t> </w:t>
      </w:r>
      <w:r>
        <w:rPr/>
        <w:t>monies</w:t>
      </w:r>
      <w:r>
        <w:rPr>
          <w:spacing w:val="35"/>
        </w:rPr>
        <w:t> </w:t>
      </w:r>
      <w:r>
        <w:rPr/>
        <w:t>owed</w:t>
      </w:r>
      <w:r>
        <w:rPr>
          <w:spacing w:val="35"/>
        </w:rPr>
        <w:t> </w:t>
      </w:r>
      <w:r>
        <w:rPr/>
        <w:t>to</w:t>
      </w:r>
      <w:r>
        <w:rPr>
          <w:spacing w:val="35"/>
        </w:rPr>
        <w:t> </w:t>
      </w:r>
      <w:r>
        <w:rPr/>
        <w:t>Council</w:t>
      </w:r>
      <w:r>
        <w:rPr>
          <w:spacing w:val="34"/>
        </w:rPr>
        <w:t> </w:t>
      </w:r>
      <w:r>
        <w:rPr/>
        <w:t>by</w:t>
      </w:r>
      <w:r>
        <w:rPr>
          <w:spacing w:val="35"/>
        </w:rPr>
        <w:t> </w:t>
      </w:r>
      <w:r>
        <w:rPr/>
        <w:t>ratepayers</w:t>
      </w:r>
      <w:r>
        <w:rPr>
          <w:spacing w:val="35"/>
        </w:rPr>
        <w:t> </w:t>
      </w:r>
      <w:r>
        <w:rPr/>
        <w:t>and</w:t>
      </w:r>
      <w:r>
        <w:rPr>
          <w:spacing w:val="37"/>
        </w:rPr>
        <w:t> </w:t>
      </w:r>
      <w:r>
        <w:rPr/>
        <w:t>others.</w:t>
      </w:r>
      <w:r>
        <w:rPr>
          <w:spacing w:val="35"/>
        </w:rPr>
        <w:t> </w:t>
      </w:r>
      <w:r>
        <w:rPr/>
        <w:t>Minimal</w:t>
      </w:r>
      <w:r>
        <w:rPr>
          <w:spacing w:val="37"/>
        </w:rPr>
        <w:t> </w:t>
      </w:r>
      <w:r>
        <w:rPr/>
        <w:t>change</w:t>
      </w:r>
      <w:r>
        <w:rPr>
          <w:spacing w:val="35"/>
        </w:rPr>
        <w:t> </w:t>
      </w:r>
      <w:r>
        <w:rPr/>
        <w:t>is expected in the level of debtors in the budget.</w:t>
      </w:r>
    </w:p>
    <w:p>
      <w:pPr>
        <w:pStyle w:val="BodyText"/>
        <w:spacing w:before="11"/>
        <w:rPr>
          <w:sz w:val="21"/>
        </w:rPr>
      </w:pPr>
    </w:p>
    <w:p>
      <w:pPr>
        <w:pStyle w:val="BodyText"/>
        <w:ind w:left="260" w:right="551"/>
        <w:jc w:val="both"/>
      </w:pPr>
      <w:r>
        <w:rPr/>
        <w:t>Other assets include items such as prepayments for expenses that Council has paid in advance of service delivery</w:t>
      </w:r>
      <w:r>
        <w:rPr>
          <w:spacing w:val="-5"/>
        </w:rPr>
        <w:t> </w:t>
      </w:r>
      <w:r>
        <w:rPr/>
        <w:t>and</w:t>
      </w:r>
      <w:r>
        <w:rPr>
          <w:spacing w:val="-5"/>
        </w:rPr>
        <w:t> </w:t>
      </w:r>
      <w:r>
        <w:rPr/>
        <w:t>inventories</w:t>
      </w:r>
      <w:r>
        <w:rPr>
          <w:spacing w:val="-6"/>
        </w:rPr>
        <w:t> </w:t>
      </w:r>
      <w:r>
        <w:rPr/>
        <w:t>or</w:t>
      </w:r>
      <w:r>
        <w:rPr>
          <w:spacing w:val="-3"/>
        </w:rPr>
        <w:t> </w:t>
      </w:r>
      <w:r>
        <w:rPr/>
        <w:t>stocks</w:t>
      </w:r>
      <w:r>
        <w:rPr>
          <w:spacing w:val="-5"/>
        </w:rPr>
        <w:t> </w:t>
      </w:r>
      <w:r>
        <w:rPr/>
        <w:t>held</w:t>
      </w:r>
      <w:r>
        <w:rPr>
          <w:spacing w:val="-8"/>
        </w:rPr>
        <w:t> </w:t>
      </w:r>
      <w:r>
        <w:rPr/>
        <w:t>for</w:t>
      </w:r>
      <w:r>
        <w:rPr>
          <w:spacing w:val="-5"/>
        </w:rPr>
        <w:t> </w:t>
      </w:r>
      <w:r>
        <w:rPr/>
        <w:t>sale</w:t>
      </w:r>
      <w:r>
        <w:rPr>
          <w:spacing w:val="-5"/>
        </w:rPr>
        <w:t> </w:t>
      </w:r>
      <w:r>
        <w:rPr/>
        <w:t>or</w:t>
      </w:r>
      <w:r>
        <w:rPr>
          <w:spacing w:val="-6"/>
        </w:rPr>
        <w:t> </w:t>
      </w:r>
      <w:r>
        <w:rPr/>
        <w:t>consumption</w:t>
      </w:r>
      <w:r>
        <w:rPr>
          <w:spacing w:val="-5"/>
        </w:rPr>
        <w:t> </w:t>
      </w:r>
      <w:r>
        <w:rPr/>
        <w:t>in</w:t>
      </w:r>
      <w:r>
        <w:rPr>
          <w:spacing w:val="-8"/>
        </w:rPr>
        <w:t> </w:t>
      </w:r>
      <w:r>
        <w:rPr/>
        <w:t>Council’s</w:t>
      </w:r>
      <w:r>
        <w:rPr>
          <w:spacing w:val="-5"/>
        </w:rPr>
        <w:t> </w:t>
      </w:r>
      <w:r>
        <w:rPr/>
        <w:t>services</w:t>
      </w:r>
      <w:r>
        <w:rPr>
          <w:spacing w:val="-5"/>
        </w:rPr>
        <w:t> </w:t>
      </w:r>
      <w:r>
        <w:rPr/>
        <w:t>and</w:t>
      </w:r>
      <w:r>
        <w:rPr>
          <w:spacing w:val="-6"/>
        </w:rPr>
        <w:t> </w:t>
      </w:r>
      <w:r>
        <w:rPr/>
        <w:t>other</w:t>
      </w:r>
      <w:r>
        <w:rPr>
          <w:spacing w:val="-6"/>
        </w:rPr>
        <w:t> </w:t>
      </w:r>
      <w:r>
        <w:rPr/>
        <w:t>revenues</w:t>
      </w:r>
      <w:r>
        <w:rPr>
          <w:spacing w:val="-3"/>
        </w:rPr>
        <w:t> </w:t>
      </w:r>
      <w:r>
        <w:rPr/>
        <w:t>due to be received in the next 12 months.</w:t>
      </w:r>
    </w:p>
    <w:p>
      <w:pPr>
        <w:pStyle w:val="BodyText"/>
        <w:spacing w:before="1"/>
      </w:pPr>
    </w:p>
    <w:p>
      <w:pPr>
        <w:pStyle w:val="BodyText"/>
        <w:ind w:left="260" w:right="589"/>
        <w:jc w:val="both"/>
      </w:pPr>
      <w:r>
        <w:rPr/>
        <w:t>Current</w:t>
      </w:r>
      <w:r>
        <w:rPr>
          <w:spacing w:val="-1"/>
        </w:rPr>
        <w:t> </w:t>
      </w:r>
      <w:r>
        <w:rPr/>
        <w:t>assets</w:t>
      </w:r>
      <w:r>
        <w:rPr>
          <w:spacing w:val="-2"/>
        </w:rPr>
        <w:t> </w:t>
      </w:r>
      <w:r>
        <w:rPr/>
        <w:t>are</w:t>
      </w:r>
      <w:r>
        <w:rPr>
          <w:spacing w:val="-4"/>
        </w:rPr>
        <w:t> </w:t>
      </w:r>
      <w:r>
        <w:rPr/>
        <w:t>projected</w:t>
      </w:r>
      <w:r>
        <w:rPr>
          <w:spacing w:val="-4"/>
        </w:rPr>
        <w:t> </w:t>
      </w:r>
      <w:r>
        <w:rPr/>
        <w:t>to</w:t>
      </w:r>
      <w:r>
        <w:rPr>
          <w:spacing w:val="-2"/>
        </w:rPr>
        <w:t> </w:t>
      </w:r>
      <w:r>
        <w:rPr/>
        <w:t>increase</w:t>
      </w:r>
      <w:r>
        <w:rPr>
          <w:spacing w:val="-2"/>
        </w:rPr>
        <w:t> </w:t>
      </w:r>
      <w:r>
        <w:rPr/>
        <w:t>by</w:t>
      </w:r>
      <w:r>
        <w:rPr>
          <w:spacing w:val="-2"/>
        </w:rPr>
        <w:t> </w:t>
      </w:r>
      <w:r>
        <w:rPr/>
        <w:t>$15.16m</w:t>
      </w:r>
      <w:r>
        <w:rPr>
          <w:spacing w:val="-1"/>
        </w:rPr>
        <w:t> </w:t>
      </w:r>
      <w:r>
        <w:rPr/>
        <w:t>during</w:t>
      </w:r>
      <w:r>
        <w:rPr>
          <w:spacing w:val="-2"/>
        </w:rPr>
        <w:t> </w:t>
      </w:r>
      <w:r>
        <w:rPr/>
        <w:t>the</w:t>
      </w:r>
      <w:r>
        <w:rPr>
          <w:spacing w:val="-3"/>
        </w:rPr>
        <w:t> </w:t>
      </w:r>
      <w:r>
        <w:rPr/>
        <w:t>year</w:t>
      </w:r>
      <w:r>
        <w:rPr>
          <w:spacing w:val="-2"/>
        </w:rPr>
        <w:t> </w:t>
      </w:r>
      <w:r>
        <w:rPr/>
        <w:t>mainly</w:t>
      </w:r>
      <w:r>
        <w:rPr>
          <w:spacing w:val="-2"/>
        </w:rPr>
        <w:t> </w:t>
      </w:r>
      <w:r>
        <w:rPr/>
        <w:t>due</w:t>
      </w:r>
      <w:r>
        <w:rPr>
          <w:spacing w:val="-2"/>
        </w:rPr>
        <w:t> </w:t>
      </w:r>
      <w:r>
        <w:rPr/>
        <w:t>to</w:t>
      </w:r>
      <w:r>
        <w:rPr>
          <w:spacing w:val="-6"/>
        </w:rPr>
        <w:t> </w:t>
      </w:r>
      <w:r>
        <w:rPr/>
        <w:t>borrowings</w:t>
      </w:r>
      <w:r>
        <w:rPr>
          <w:spacing w:val="-2"/>
        </w:rPr>
        <w:t> </w:t>
      </w:r>
      <w:r>
        <w:rPr/>
        <w:t>of</w:t>
      </w:r>
      <w:r>
        <w:rPr>
          <w:spacing w:val="-2"/>
        </w:rPr>
        <w:t> </w:t>
      </w:r>
      <w:r>
        <w:rPr/>
        <w:t>$10.0m</w:t>
      </w:r>
      <w:r>
        <w:rPr>
          <w:spacing w:val="-2"/>
        </w:rPr>
        <w:t> </w:t>
      </w:r>
      <w:r>
        <w:rPr/>
        <w:t>in </w:t>
      </w:r>
      <w:r>
        <w:rPr>
          <w:spacing w:val="-2"/>
        </w:rPr>
        <w:t>2025/26.</w:t>
      </w:r>
    </w:p>
    <w:p>
      <w:pPr>
        <w:pStyle w:val="BodyText"/>
        <w:spacing w:before="11"/>
        <w:rPr>
          <w:sz w:val="21"/>
        </w:rPr>
      </w:pPr>
    </w:p>
    <w:p>
      <w:pPr>
        <w:pStyle w:val="BodyText"/>
        <w:ind w:left="260" w:right="554"/>
        <w:jc w:val="both"/>
      </w:pPr>
      <w:r>
        <w:rPr/>
        <w:t>Property, infrastructure, plant &amp; equipment and intangible assets represents the largest component of Council's</w:t>
      </w:r>
      <w:r>
        <w:rPr>
          <w:spacing w:val="-1"/>
        </w:rPr>
        <w:t> </w:t>
      </w:r>
      <w:r>
        <w:rPr/>
        <w:t>non-current</w:t>
      </w:r>
      <w:r>
        <w:rPr>
          <w:spacing w:val="-2"/>
        </w:rPr>
        <w:t> </w:t>
      </w:r>
      <w:r>
        <w:rPr/>
        <w:t>assets composing</w:t>
      </w:r>
      <w:r>
        <w:rPr>
          <w:spacing w:val="-2"/>
        </w:rPr>
        <w:t> </w:t>
      </w:r>
      <w:r>
        <w:rPr/>
        <w:t>the value</w:t>
      </w:r>
      <w:r>
        <w:rPr>
          <w:spacing w:val="-1"/>
        </w:rPr>
        <w:t> </w:t>
      </w:r>
      <w:r>
        <w:rPr/>
        <w:t>of all</w:t>
      </w:r>
      <w:r>
        <w:rPr>
          <w:spacing w:val="-1"/>
        </w:rPr>
        <w:t> </w:t>
      </w:r>
      <w:r>
        <w:rPr/>
        <w:t>the land,</w:t>
      </w:r>
      <w:r>
        <w:rPr>
          <w:spacing w:val="-1"/>
        </w:rPr>
        <w:t> </w:t>
      </w:r>
      <w:r>
        <w:rPr/>
        <w:t>buildings, roads,</w:t>
      </w:r>
      <w:r>
        <w:rPr>
          <w:spacing w:val="-3"/>
        </w:rPr>
        <w:t> </w:t>
      </w:r>
      <w:r>
        <w:rPr/>
        <w:t>vehicles, equipment, etc. which has been built up by Council over many years. The net increase of $9.59 million is attributable to the net result of the capital works program $46.03 million, new assets ($6.60 million), depreciation of assets ($28.12 million) and the net gain of property, plant and equipment ($7.83 million).</w:t>
      </w:r>
    </w:p>
    <w:p>
      <w:pPr>
        <w:pStyle w:val="BodyText"/>
        <w:spacing w:before="10"/>
        <w:rPr>
          <w:sz w:val="21"/>
        </w:rPr>
      </w:pPr>
    </w:p>
    <w:p>
      <w:pPr>
        <w:pStyle w:val="Heading4"/>
        <w:numPr>
          <w:ilvl w:val="2"/>
          <w:numId w:val="67"/>
        </w:numPr>
        <w:tabs>
          <w:tab w:pos="862" w:val="left" w:leader="none"/>
        </w:tabs>
        <w:spacing w:line="240" w:lineRule="auto" w:before="1" w:after="0"/>
        <w:ind w:left="861" w:right="0" w:hanging="602"/>
        <w:jc w:val="left"/>
      </w:pPr>
      <w:r>
        <w:rPr>
          <w:color w:val="4966AC"/>
          <w:spacing w:val="-2"/>
        </w:rPr>
        <w:t>Liabilities</w:t>
      </w:r>
    </w:p>
    <w:p>
      <w:pPr>
        <w:pStyle w:val="BodyText"/>
        <w:rPr>
          <w:b/>
        </w:rPr>
      </w:pPr>
    </w:p>
    <w:p>
      <w:pPr>
        <w:pStyle w:val="BodyText"/>
        <w:spacing w:before="1"/>
        <w:ind w:left="260" w:right="554"/>
        <w:jc w:val="both"/>
      </w:pPr>
      <w:r>
        <w:rPr/>
        <w:t>Trade and other payables are those to whom Council owes money as of 30 June. Current Liabilities are budgeted to remain consistent with 2024/25 levels.</w:t>
      </w:r>
    </w:p>
    <w:p>
      <w:pPr>
        <w:pStyle w:val="BodyText"/>
        <w:spacing w:before="11"/>
        <w:rPr>
          <w:sz w:val="21"/>
        </w:rPr>
      </w:pPr>
    </w:p>
    <w:p>
      <w:pPr>
        <w:spacing w:before="0"/>
        <w:ind w:left="260" w:right="0" w:firstLine="0"/>
        <w:jc w:val="both"/>
        <w:rPr>
          <w:sz w:val="23"/>
        </w:rPr>
      </w:pPr>
      <w:r>
        <w:rPr>
          <w:sz w:val="22"/>
        </w:rPr>
        <w:t>Liabilities</w:t>
      </w:r>
      <w:r>
        <w:rPr>
          <w:spacing w:val="-3"/>
          <w:sz w:val="22"/>
        </w:rPr>
        <w:t> </w:t>
      </w:r>
      <w:r>
        <w:rPr>
          <w:sz w:val="23"/>
        </w:rPr>
        <w:t>are</w:t>
      </w:r>
      <w:r>
        <w:rPr>
          <w:spacing w:val="-4"/>
          <w:sz w:val="23"/>
        </w:rPr>
        <w:t> </w:t>
      </w:r>
      <w:r>
        <w:rPr>
          <w:sz w:val="23"/>
        </w:rPr>
        <w:t>projected</w:t>
      </w:r>
      <w:r>
        <w:rPr>
          <w:spacing w:val="-4"/>
          <w:sz w:val="23"/>
        </w:rPr>
        <w:t> </w:t>
      </w:r>
      <w:r>
        <w:rPr>
          <w:sz w:val="23"/>
        </w:rPr>
        <w:t>to</w:t>
      </w:r>
      <w:r>
        <w:rPr>
          <w:spacing w:val="-4"/>
          <w:sz w:val="23"/>
        </w:rPr>
        <w:t> </w:t>
      </w:r>
      <w:r>
        <w:rPr>
          <w:sz w:val="23"/>
        </w:rPr>
        <w:t>increase</w:t>
      </w:r>
      <w:r>
        <w:rPr>
          <w:spacing w:val="-2"/>
          <w:sz w:val="23"/>
        </w:rPr>
        <w:t> </w:t>
      </w:r>
      <w:r>
        <w:rPr>
          <w:sz w:val="23"/>
        </w:rPr>
        <w:t>by</w:t>
      </w:r>
      <w:r>
        <w:rPr>
          <w:spacing w:val="-3"/>
          <w:sz w:val="23"/>
        </w:rPr>
        <w:t> </w:t>
      </w:r>
      <w:r>
        <w:rPr>
          <w:sz w:val="23"/>
        </w:rPr>
        <w:t>$7.15</w:t>
      </w:r>
      <w:r>
        <w:rPr>
          <w:spacing w:val="-4"/>
          <w:sz w:val="23"/>
        </w:rPr>
        <w:t> </w:t>
      </w:r>
      <w:r>
        <w:rPr>
          <w:sz w:val="23"/>
        </w:rPr>
        <w:t>million</w:t>
      </w:r>
      <w:r>
        <w:rPr>
          <w:spacing w:val="-4"/>
          <w:sz w:val="23"/>
        </w:rPr>
        <w:t> </w:t>
      </w:r>
      <w:r>
        <w:rPr>
          <w:sz w:val="23"/>
        </w:rPr>
        <w:t>mainly</w:t>
      </w:r>
      <w:r>
        <w:rPr>
          <w:spacing w:val="-2"/>
          <w:sz w:val="23"/>
        </w:rPr>
        <w:t> </w:t>
      </w:r>
      <w:r>
        <w:rPr>
          <w:sz w:val="23"/>
        </w:rPr>
        <w:t>due</w:t>
      </w:r>
      <w:r>
        <w:rPr>
          <w:spacing w:val="-4"/>
          <w:sz w:val="23"/>
        </w:rPr>
        <w:t> </w:t>
      </w:r>
      <w:r>
        <w:rPr>
          <w:sz w:val="23"/>
        </w:rPr>
        <w:t>to</w:t>
      </w:r>
      <w:r>
        <w:rPr>
          <w:spacing w:val="-4"/>
          <w:sz w:val="23"/>
        </w:rPr>
        <w:t> </w:t>
      </w:r>
      <w:r>
        <w:rPr>
          <w:sz w:val="23"/>
        </w:rPr>
        <w:t>the</w:t>
      </w:r>
      <w:r>
        <w:rPr>
          <w:spacing w:val="-2"/>
          <w:sz w:val="23"/>
        </w:rPr>
        <w:t> </w:t>
      </w:r>
      <w:r>
        <w:rPr>
          <w:sz w:val="23"/>
        </w:rPr>
        <w:t>borrowings</w:t>
      </w:r>
      <w:r>
        <w:rPr>
          <w:spacing w:val="-2"/>
          <w:sz w:val="23"/>
        </w:rPr>
        <w:t> </w:t>
      </w:r>
      <w:r>
        <w:rPr>
          <w:sz w:val="23"/>
        </w:rPr>
        <w:t>of $10.0m</w:t>
      </w:r>
      <w:r>
        <w:rPr>
          <w:spacing w:val="-1"/>
          <w:sz w:val="23"/>
        </w:rPr>
        <w:t> </w:t>
      </w:r>
      <w:r>
        <w:rPr>
          <w:sz w:val="23"/>
        </w:rPr>
        <w:t>in</w:t>
      </w:r>
      <w:r>
        <w:rPr>
          <w:spacing w:val="-4"/>
          <w:sz w:val="23"/>
        </w:rPr>
        <w:t> </w:t>
      </w:r>
      <w:r>
        <w:rPr>
          <w:spacing w:val="-2"/>
          <w:sz w:val="23"/>
        </w:rPr>
        <w:t>2025/26.</w:t>
      </w:r>
    </w:p>
    <w:p>
      <w:pPr>
        <w:pStyle w:val="BodyText"/>
        <w:spacing w:before="230"/>
        <w:ind w:left="260" w:right="553"/>
        <w:jc w:val="both"/>
      </w:pPr>
      <w:r>
        <w:rPr/>
        <w:t>Provisions include accrued long service leave, annual leave, annual leave loading and time in lieu to employees. These employee entitlements are only expected to increase marginally in line with EBA </w:t>
      </w:r>
      <w:r>
        <w:rPr>
          <w:spacing w:val="-2"/>
        </w:rPr>
        <w:t>outcomes.</w:t>
      </w:r>
    </w:p>
    <w:p>
      <w:pPr>
        <w:spacing w:after="0"/>
        <w:jc w:val="both"/>
        <w:sectPr>
          <w:pgSz w:w="11910" w:h="16840"/>
          <w:pgMar w:header="0" w:footer="375" w:top="640" w:bottom="560" w:left="460" w:right="160"/>
        </w:sectPr>
      </w:pPr>
    </w:p>
    <w:p>
      <w:pPr>
        <w:pStyle w:val="Heading4"/>
        <w:numPr>
          <w:ilvl w:val="2"/>
          <w:numId w:val="67"/>
        </w:numPr>
        <w:tabs>
          <w:tab w:pos="862" w:val="left" w:leader="none"/>
        </w:tabs>
        <w:spacing w:line="240" w:lineRule="auto" w:before="82" w:after="0"/>
        <w:ind w:left="861" w:right="0" w:hanging="602"/>
        <w:jc w:val="left"/>
      </w:pPr>
      <w:r>
        <w:rPr>
          <w:color w:val="4966AC"/>
          <w:spacing w:val="-2"/>
        </w:rPr>
        <w:t>Borrowings</w:t>
      </w:r>
    </w:p>
    <w:p>
      <w:pPr>
        <w:pStyle w:val="BodyText"/>
        <w:spacing w:before="8"/>
        <w:rPr>
          <w:b/>
          <w:sz w:val="23"/>
        </w:rPr>
      </w:pPr>
    </w:p>
    <w:p>
      <w:pPr>
        <w:pStyle w:val="BodyText"/>
        <w:spacing w:line="252" w:lineRule="exact"/>
        <w:ind w:left="260"/>
        <w:jc w:val="both"/>
      </w:pPr>
      <w:r>
        <w:rPr/>
        <w:t>Interest-bearing</w:t>
      </w:r>
      <w:r>
        <w:rPr>
          <w:spacing w:val="-6"/>
        </w:rPr>
        <w:t> </w:t>
      </w:r>
      <w:r>
        <w:rPr/>
        <w:t>liabilities are</w:t>
      </w:r>
      <w:r>
        <w:rPr>
          <w:spacing w:val="-7"/>
        </w:rPr>
        <w:t> </w:t>
      </w:r>
      <w:r>
        <w:rPr/>
        <w:t>loans</w:t>
      </w:r>
      <w:r>
        <w:rPr>
          <w:spacing w:val="-6"/>
        </w:rPr>
        <w:t> </w:t>
      </w:r>
      <w:r>
        <w:rPr/>
        <w:t>or</w:t>
      </w:r>
      <w:r>
        <w:rPr>
          <w:spacing w:val="-4"/>
        </w:rPr>
        <w:t> </w:t>
      </w:r>
      <w:r>
        <w:rPr/>
        <w:t>borrowings</w:t>
      </w:r>
      <w:r>
        <w:rPr>
          <w:spacing w:val="-6"/>
        </w:rPr>
        <w:t> </w:t>
      </w:r>
      <w:r>
        <w:rPr/>
        <w:t>of</w:t>
      </w:r>
      <w:r>
        <w:rPr>
          <w:spacing w:val="-2"/>
        </w:rPr>
        <w:t> </w:t>
      </w:r>
      <w:r>
        <w:rPr/>
        <w:t>Council.</w:t>
      </w:r>
      <w:r>
        <w:rPr>
          <w:spacing w:val="-6"/>
        </w:rPr>
        <w:t> </w:t>
      </w:r>
      <w:r>
        <w:rPr/>
        <w:t>Council</w:t>
      </w:r>
      <w:r>
        <w:rPr>
          <w:spacing w:val="-4"/>
        </w:rPr>
        <w:t> </w:t>
      </w:r>
      <w:r>
        <w:rPr/>
        <w:t>borrowed</w:t>
      </w:r>
      <w:r>
        <w:rPr>
          <w:spacing w:val="-4"/>
        </w:rPr>
        <w:t> </w:t>
      </w:r>
      <w:r>
        <w:rPr/>
        <w:t>$24.2</w:t>
      </w:r>
      <w:r>
        <w:rPr>
          <w:spacing w:val="-10"/>
        </w:rPr>
        <w:t> </w:t>
      </w:r>
      <w:r>
        <w:rPr/>
        <w:t>million</w:t>
      </w:r>
      <w:r>
        <w:rPr>
          <w:spacing w:val="-4"/>
        </w:rPr>
        <w:t> </w:t>
      </w:r>
      <w:r>
        <w:rPr/>
        <w:t>in</w:t>
      </w:r>
      <w:r>
        <w:rPr>
          <w:spacing w:val="-4"/>
        </w:rPr>
        <w:t> </w:t>
      </w:r>
      <w:r>
        <w:rPr/>
        <w:t>2014/15</w:t>
      </w:r>
      <w:r>
        <w:rPr>
          <w:spacing w:val="-5"/>
        </w:rPr>
        <w:t> and</w:t>
      </w:r>
    </w:p>
    <w:p>
      <w:pPr>
        <w:pStyle w:val="BodyText"/>
        <w:spacing w:line="252" w:lineRule="exact"/>
        <w:ind w:left="260"/>
        <w:jc w:val="both"/>
      </w:pPr>
      <w:r>
        <w:rPr/>
        <w:t>$10.0</w:t>
      </w:r>
      <w:r>
        <w:rPr>
          <w:spacing w:val="-4"/>
        </w:rPr>
        <w:t> </w:t>
      </w:r>
      <w:r>
        <w:rPr/>
        <w:t>million</w:t>
      </w:r>
      <w:r>
        <w:rPr>
          <w:spacing w:val="-2"/>
        </w:rPr>
        <w:t> </w:t>
      </w:r>
      <w:r>
        <w:rPr/>
        <w:t>in</w:t>
      </w:r>
      <w:r>
        <w:rPr>
          <w:spacing w:val="-3"/>
        </w:rPr>
        <w:t> </w:t>
      </w:r>
      <w:r>
        <w:rPr>
          <w:spacing w:val="-2"/>
        </w:rPr>
        <w:t>2021/2022</w:t>
      </w:r>
      <w:r>
        <w:rPr>
          <w:color w:val="FF0000"/>
          <w:spacing w:val="-2"/>
        </w:rPr>
        <w:t>.</w:t>
      </w:r>
    </w:p>
    <w:p>
      <w:pPr>
        <w:pStyle w:val="BodyText"/>
        <w:spacing w:before="1"/>
      </w:pPr>
    </w:p>
    <w:p>
      <w:pPr>
        <w:pStyle w:val="BodyText"/>
        <w:ind w:left="260" w:right="555"/>
        <w:jc w:val="both"/>
      </w:pPr>
      <w:r>
        <w:rPr/>
        <w:t>In</w:t>
      </w:r>
      <w:r>
        <w:rPr>
          <w:spacing w:val="-11"/>
        </w:rPr>
        <w:t> </w:t>
      </w:r>
      <w:r>
        <w:rPr/>
        <w:t>2014/15</w:t>
      </w:r>
      <w:r>
        <w:rPr>
          <w:spacing w:val="-12"/>
        </w:rPr>
        <w:t> </w:t>
      </w:r>
      <w:r>
        <w:rPr/>
        <w:t>Council</w:t>
      </w:r>
      <w:r>
        <w:rPr>
          <w:spacing w:val="-13"/>
        </w:rPr>
        <w:t> </w:t>
      </w:r>
      <w:r>
        <w:rPr/>
        <w:t>constructed</w:t>
      </w:r>
      <w:r>
        <w:rPr>
          <w:spacing w:val="-14"/>
        </w:rPr>
        <w:t> </w:t>
      </w:r>
      <w:r>
        <w:rPr/>
        <w:t>a</w:t>
      </w:r>
      <w:r>
        <w:rPr>
          <w:spacing w:val="-11"/>
        </w:rPr>
        <w:t> </w:t>
      </w:r>
      <w:r>
        <w:rPr/>
        <w:t>new</w:t>
      </w:r>
      <w:r>
        <w:rPr>
          <w:spacing w:val="-11"/>
        </w:rPr>
        <w:t> </w:t>
      </w:r>
      <w:r>
        <w:rPr/>
        <w:t>regional</w:t>
      </w:r>
      <w:r>
        <w:rPr>
          <w:spacing w:val="-11"/>
        </w:rPr>
        <w:t> </w:t>
      </w:r>
      <w:r>
        <w:rPr/>
        <w:t>aquatic</w:t>
      </w:r>
      <w:r>
        <w:rPr>
          <w:spacing w:val="-11"/>
        </w:rPr>
        <w:t> </w:t>
      </w:r>
      <w:r>
        <w:rPr/>
        <w:t>and</w:t>
      </w:r>
      <w:r>
        <w:rPr>
          <w:spacing w:val="-11"/>
        </w:rPr>
        <w:t> </w:t>
      </w:r>
      <w:r>
        <w:rPr/>
        <w:t>leisure</w:t>
      </w:r>
      <w:r>
        <w:rPr>
          <w:spacing w:val="-12"/>
        </w:rPr>
        <w:t> </w:t>
      </w:r>
      <w:r>
        <w:rPr/>
        <w:t>centre</w:t>
      </w:r>
      <w:r>
        <w:rPr>
          <w:spacing w:val="-12"/>
        </w:rPr>
        <w:t> </w:t>
      </w:r>
      <w:r>
        <w:rPr/>
        <w:t>in</w:t>
      </w:r>
      <w:r>
        <w:rPr>
          <w:spacing w:val="-12"/>
        </w:rPr>
        <w:t> </w:t>
      </w:r>
      <w:r>
        <w:rPr/>
        <w:t>Ringwood</w:t>
      </w:r>
      <w:r>
        <w:rPr>
          <w:spacing w:val="-11"/>
        </w:rPr>
        <w:t> </w:t>
      </w:r>
      <w:r>
        <w:rPr/>
        <w:t>known</w:t>
      </w:r>
      <w:r>
        <w:rPr>
          <w:spacing w:val="-12"/>
        </w:rPr>
        <w:t> </w:t>
      </w:r>
      <w:r>
        <w:rPr/>
        <w:t>as</w:t>
      </w:r>
      <w:r>
        <w:rPr>
          <w:spacing w:val="-11"/>
        </w:rPr>
        <w:t> </w:t>
      </w:r>
      <w:r>
        <w:rPr/>
        <w:t>Aquanation. The</w:t>
      </w:r>
      <w:r>
        <w:rPr>
          <w:spacing w:val="-1"/>
        </w:rPr>
        <w:t> </w:t>
      </w:r>
      <w:r>
        <w:rPr/>
        <w:t>facility</w:t>
      </w:r>
      <w:r>
        <w:rPr>
          <w:spacing w:val="4"/>
        </w:rPr>
        <w:t> </w:t>
      </w:r>
      <w:r>
        <w:rPr/>
        <w:t>was</w:t>
      </w:r>
      <w:r>
        <w:rPr>
          <w:spacing w:val="-1"/>
        </w:rPr>
        <w:t> </w:t>
      </w:r>
      <w:r>
        <w:rPr/>
        <w:t>opened in</w:t>
      </w:r>
      <w:r>
        <w:rPr>
          <w:spacing w:val="3"/>
        </w:rPr>
        <w:t> </w:t>
      </w:r>
      <w:r>
        <w:rPr/>
        <w:t>August</w:t>
      </w:r>
      <w:r>
        <w:rPr>
          <w:spacing w:val="2"/>
        </w:rPr>
        <w:t> </w:t>
      </w:r>
      <w:r>
        <w:rPr/>
        <w:t>2015,</w:t>
      </w:r>
      <w:r>
        <w:rPr>
          <w:spacing w:val="2"/>
        </w:rPr>
        <w:t> </w:t>
      </w:r>
      <w:r>
        <w:rPr/>
        <w:t>with borrowings</w:t>
      </w:r>
      <w:r>
        <w:rPr>
          <w:spacing w:val="4"/>
        </w:rPr>
        <w:t> </w:t>
      </w:r>
      <w:r>
        <w:rPr/>
        <w:t>to</w:t>
      </w:r>
      <w:r>
        <w:rPr>
          <w:spacing w:val="-2"/>
        </w:rPr>
        <w:t> </w:t>
      </w:r>
      <w:r>
        <w:rPr/>
        <w:t>fund</w:t>
      </w:r>
      <w:r>
        <w:rPr>
          <w:spacing w:val="1"/>
        </w:rPr>
        <w:t> </w:t>
      </w:r>
      <w:r>
        <w:rPr/>
        <w:t>a portion</w:t>
      </w:r>
      <w:r>
        <w:rPr>
          <w:spacing w:val="-1"/>
        </w:rPr>
        <w:t> </w:t>
      </w:r>
      <w:r>
        <w:rPr/>
        <w:t>of</w:t>
      </w:r>
      <w:r>
        <w:rPr>
          <w:spacing w:val="2"/>
        </w:rPr>
        <w:t> </w:t>
      </w:r>
      <w:r>
        <w:rPr/>
        <w:t>this project.</w:t>
      </w:r>
      <w:r>
        <w:rPr>
          <w:spacing w:val="4"/>
        </w:rPr>
        <w:t> </w:t>
      </w:r>
      <w:r>
        <w:rPr/>
        <w:t>The</w:t>
      </w:r>
      <w:r>
        <w:rPr>
          <w:spacing w:val="-2"/>
        </w:rPr>
        <w:t> </w:t>
      </w:r>
      <w:r>
        <w:rPr/>
        <w:t>total</w:t>
      </w:r>
      <w:r>
        <w:rPr>
          <w:spacing w:val="-3"/>
        </w:rPr>
        <w:t> </w:t>
      </w:r>
      <w:r>
        <w:rPr/>
        <w:t>cost</w:t>
      </w:r>
      <w:r>
        <w:rPr>
          <w:spacing w:val="3"/>
        </w:rPr>
        <w:t> </w:t>
      </w:r>
      <w:r>
        <w:rPr>
          <w:spacing w:val="-5"/>
        </w:rPr>
        <w:t>was</w:t>
      </w:r>
    </w:p>
    <w:p>
      <w:pPr>
        <w:pStyle w:val="BodyText"/>
        <w:ind w:left="260" w:right="555"/>
        <w:jc w:val="both"/>
      </w:pPr>
      <w:r>
        <w:rPr/>
        <w:t>$52.2 million and has been funded by Federal and State Government grants to a total of $13.0 million. The remaining funding came</w:t>
      </w:r>
      <w:r>
        <w:rPr>
          <w:spacing w:val="-3"/>
        </w:rPr>
        <w:t> </w:t>
      </w:r>
      <w:r>
        <w:rPr/>
        <w:t>from a</w:t>
      </w:r>
      <w:r>
        <w:rPr>
          <w:spacing w:val="-1"/>
        </w:rPr>
        <w:t> </w:t>
      </w:r>
      <w:r>
        <w:rPr/>
        <w:t>combination of loan borrowings by Council ($24.2</w:t>
      </w:r>
      <w:r>
        <w:rPr>
          <w:spacing w:val="-3"/>
        </w:rPr>
        <w:t> </w:t>
      </w:r>
      <w:r>
        <w:rPr/>
        <w:t>million), budgeted capital expenditure, public open space contributions and cash reserves.</w:t>
      </w:r>
    </w:p>
    <w:p>
      <w:pPr>
        <w:pStyle w:val="BodyText"/>
        <w:spacing w:before="10"/>
        <w:rPr>
          <w:sz w:val="21"/>
        </w:rPr>
      </w:pPr>
    </w:p>
    <w:p>
      <w:pPr>
        <w:pStyle w:val="BodyText"/>
        <w:ind w:left="260" w:right="553"/>
        <w:jc w:val="both"/>
      </w:pPr>
      <w:r>
        <w:rPr/>
        <w:t>Council market tendered for the provision of the loan in August 2014 and the loan was drawn down in November</w:t>
      </w:r>
      <w:r>
        <w:rPr>
          <w:spacing w:val="-1"/>
        </w:rPr>
        <w:t> </w:t>
      </w:r>
      <w:r>
        <w:rPr/>
        <w:t>2014</w:t>
      </w:r>
      <w:r>
        <w:rPr>
          <w:spacing w:val="-1"/>
        </w:rPr>
        <w:t> </w:t>
      </w:r>
      <w:r>
        <w:rPr/>
        <w:t>with</w:t>
      </w:r>
      <w:r>
        <w:rPr>
          <w:spacing w:val="-2"/>
        </w:rPr>
        <w:t> </w:t>
      </w:r>
      <w:r>
        <w:rPr/>
        <w:t>repayment of</w:t>
      </w:r>
      <w:r>
        <w:rPr>
          <w:spacing w:val="-3"/>
        </w:rPr>
        <w:t> </w:t>
      </w:r>
      <w:r>
        <w:rPr/>
        <w:t>principal</w:t>
      </w:r>
      <w:r>
        <w:rPr>
          <w:spacing w:val="-1"/>
        </w:rPr>
        <w:t> </w:t>
      </w:r>
      <w:r>
        <w:rPr/>
        <w:t>and</w:t>
      </w:r>
      <w:r>
        <w:rPr>
          <w:spacing w:val="-1"/>
        </w:rPr>
        <w:t> </w:t>
      </w:r>
      <w:r>
        <w:rPr/>
        <w:t>interest over</w:t>
      </w:r>
      <w:r>
        <w:rPr>
          <w:spacing w:val="-1"/>
        </w:rPr>
        <w:t> </w:t>
      </w:r>
      <w:r>
        <w:rPr/>
        <w:t>15</w:t>
      </w:r>
      <w:r>
        <w:rPr>
          <w:spacing w:val="-1"/>
        </w:rPr>
        <w:t> </w:t>
      </w:r>
      <w:r>
        <w:rPr/>
        <w:t>years</w:t>
      </w:r>
      <w:r>
        <w:rPr>
          <w:spacing w:val="-1"/>
        </w:rPr>
        <w:t> </w:t>
      </w:r>
      <w:r>
        <w:rPr/>
        <w:t>and</w:t>
      </w:r>
      <w:r>
        <w:rPr>
          <w:spacing w:val="-3"/>
        </w:rPr>
        <w:t> </w:t>
      </w:r>
      <w:r>
        <w:rPr/>
        <w:t>at a</w:t>
      </w:r>
      <w:r>
        <w:rPr>
          <w:spacing w:val="-4"/>
        </w:rPr>
        <w:t> </w:t>
      </w:r>
      <w:r>
        <w:rPr/>
        <w:t>fixed</w:t>
      </w:r>
      <w:r>
        <w:rPr>
          <w:spacing w:val="-3"/>
        </w:rPr>
        <w:t> </w:t>
      </w:r>
      <w:r>
        <w:rPr/>
        <w:t>rate</w:t>
      </w:r>
      <w:r>
        <w:rPr>
          <w:spacing w:val="-5"/>
        </w:rPr>
        <w:t> </w:t>
      </w:r>
      <w:r>
        <w:rPr/>
        <w:t>for</w:t>
      </w:r>
      <w:r>
        <w:rPr>
          <w:spacing w:val="-1"/>
        </w:rPr>
        <w:t> </w:t>
      </w:r>
      <w:r>
        <w:rPr/>
        <w:t>the</w:t>
      </w:r>
      <w:r>
        <w:rPr>
          <w:spacing w:val="-3"/>
        </w:rPr>
        <w:t> </w:t>
      </w:r>
      <w:r>
        <w:rPr/>
        <w:t>term</w:t>
      </w:r>
      <w:r>
        <w:rPr>
          <w:spacing w:val="-1"/>
        </w:rPr>
        <w:t> </w:t>
      </w:r>
      <w:r>
        <w:rPr/>
        <w:t>of</w:t>
      </w:r>
      <w:r>
        <w:rPr>
          <w:spacing w:val="-3"/>
        </w:rPr>
        <w:t> </w:t>
      </w:r>
      <w:r>
        <w:rPr/>
        <w:t>the loan of 4.91% interest per annum.</w:t>
      </w:r>
    </w:p>
    <w:p>
      <w:pPr>
        <w:pStyle w:val="BodyText"/>
        <w:spacing w:before="1"/>
      </w:pPr>
    </w:p>
    <w:p>
      <w:pPr>
        <w:pStyle w:val="BodyText"/>
        <w:ind w:left="260" w:right="552"/>
        <w:jc w:val="both"/>
      </w:pPr>
      <w:r>
        <w:rPr/>
        <w:t>In 2021/22 Council borrowed $10 million with a fixed rate of 3.635% to partly fund capital projects that generate income from commercial activities. In 2025/26 Council propose to borrow $10.0 million to partly fund capital projects that will generate income from commercial activities.</w:t>
      </w:r>
    </w:p>
    <w:p>
      <w:pPr>
        <w:pStyle w:val="BodyText"/>
        <w:spacing w:before="1"/>
      </w:pPr>
    </w:p>
    <w:p>
      <w:pPr>
        <w:pStyle w:val="BodyText"/>
        <w:ind w:left="260" w:right="445"/>
      </w:pPr>
      <w:r>
        <w:rPr/>
        <w:t>Borrowings are</w:t>
      </w:r>
      <w:r>
        <w:rPr>
          <w:spacing w:val="-6"/>
        </w:rPr>
        <w:t> </w:t>
      </w:r>
      <w:r>
        <w:rPr/>
        <w:t>generally utilised</w:t>
      </w:r>
      <w:r>
        <w:rPr>
          <w:spacing w:val="-1"/>
        </w:rPr>
        <w:t> </w:t>
      </w:r>
      <w:r>
        <w:rPr/>
        <w:t>for</w:t>
      </w:r>
      <w:r>
        <w:rPr>
          <w:spacing w:val="-4"/>
        </w:rPr>
        <w:t> </w:t>
      </w:r>
      <w:r>
        <w:rPr/>
        <w:t>the</w:t>
      </w:r>
      <w:r>
        <w:rPr>
          <w:spacing w:val="-2"/>
        </w:rPr>
        <w:t> </w:t>
      </w:r>
      <w:r>
        <w:rPr/>
        <w:t>provision</w:t>
      </w:r>
      <w:r>
        <w:rPr>
          <w:spacing w:val="-4"/>
        </w:rPr>
        <w:t> </w:t>
      </w:r>
      <w:r>
        <w:rPr/>
        <w:t>of</w:t>
      </w:r>
      <w:r>
        <w:rPr>
          <w:spacing w:val="-2"/>
        </w:rPr>
        <w:t> </w:t>
      </w:r>
      <w:r>
        <w:rPr/>
        <w:t>major</w:t>
      </w:r>
      <w:r>
        <w:rPr>
          <w:spacing w:val="-2"/>
        </w:rPr>
        <w:t> </w:t>
      </w:r>
      <w:r>
        <w:rPr/>
        <w:t>community</w:t>
      </w:r>
      <w:r>
        <w:rPr>
          <w:spacing w:val="-2"/>
        </w:rPr>
        <w:t> </w:t>
      </w:r>
      <w:r>
        <w:rPr/>
        <w:t>assets</w:t>
      </w:r>
      <w:r>
        <w:rPr>
          <w:spacing w:val="-4"/>
        </w:rPr>
        <w:t> </w:t>
      </w:r>
      <w:r>
        <w:rPr/>
        <w:t>that</w:t>
      </w:r>
      <w:r>
        <w:rPr>
          <w:spacing w:val="-4"/>
        </w:rPr>
        <w:t> </w:t>
      </w:r>
      <w:r>
        <w:rPr/>
        <w:t>will</w:t>
      </w:r>
      <w:r>
        <w:rPr>
          <w:spacing w:val="-2"/>
        </w:rPr>
        <w:t> </w:t>
      </w:r>
      <w:r>
        <w:rPr/>
        <w:t>provide</w:t>
      </w:r>
      <w:r>
        <w:rPr>
          <w:spacing w:val="-2"/>
        </w:rPr>
        <w:t> </w:t>
      </w:r>
      <w:r>
        <w:rPr/>
        <w:t>community benefit over several years.</w:t>
      </w:r>
    </w:p>
    <w:p>
      <w:pPr>
        <w:pStyle w:val="BodyText"/>
        <w:spacing w:before="11"/>
        <w:rPr>
          <w:sz w:val="21"/>
        </w:rPr>
      </w:pPr>
    </w:p>
    <w:p>
      <w:pPr>
        <w:pStyle w:val="BodyText"/>
        <w:ind w:left="260"/>
      </w:pPr>
      <w:r>
        <w:rPr/>
        <w:t>The</w:t>
      </w:r>
      <w:r>
        <w:rPr>
          <w:spacing w:val="-6"/>
        </w:rPr>
        <w:t> </w:t>
      </w:r>
      <w:r>
        <w:rPr/>
        <w:t>table</w:t>
      </w:r>
      <w:r>
        <w:rPr>
          <w:spacing w:val="-5"/>
        </w:rPr>
        <w:t> </w:t>
      </w:r>
      <w:r>
        <w:rPr/>
        <w:t>below</w:t>
      </w:r>
      <w:r>
        <w:rPr>
          <w:spacing w:val="-4"/>
        </w:rPr>
        <w:t> </w:t>
      </w:r>
      <w:r>
        <w:rPr/>
        <w:t>shows</w:t>
      </w:r>
      <w:r>
        <w:rPr>
          <w:spacing w:val="-3"/>
        </w:rPr>
        <w:t> </w:t>
      </w:r>
      <w:r>
        <w:rPr/>
        <w:t>information</w:t>
      </w:r>
      <w:r>
        <w:rPr>
          <w:spacing w:val="-2"/>
        </w:rPr>
        <w:t> </w:t>
      </w:r>
      <w:r>
        <w:rPr/>
        <w:t>on</w:t>
      </w:r>
      <w:r>
        <w:rPr>
          <w:spacing w:val="-5"/>
        </w:rPr>
        <w:t> </w:t>
      </w:r>
      <w:r>
        <w:rPr/>
        <w:t>borrowings</w:t>
      </w:r>
      <w:r>
        <w:rPr>
          <w:spacing w:val="-3"/>
        </w:rPr>
        <w:t> </w:t>
      </w:r>
      <w:r>
        <w:rPr/>
        <w:t>specifically</w:t>
      </w:r>
      <w:r>
        <w:rPr>
          <w:spacing w:val="-1"/>
        </w:rPr>
        <w:t> </w:t>
      </w:r>
      <w:r>
        <w:rPr/>
        <w:t>required</w:t>
      </w:r>
      <w:r>
        <w:rPr>
          <w:spacing w:val="-3"/>
        </w:rPr>
        <w:t> </w:t>
      </w:r>
      <w:r>
        <w:rPr/>
        <w:t>by</w:t>
      </w:r>
      <w:r>
        <w:rPr>
          <w:spacing w:val="-5"/>
        </w:rPr>
        <w:t> </w:t>
      </w:r>
      <w:r>
        <w:rPr/>
        <w:t>the</w:t>
      </w:r>
      <w:r>
        <w:rPr>
          <w:spacing w:val="-4"/>
        </w:rPr>
        <w:t> </w:t>
      </w:r>
      <w:r>
        <w:rPr>
          <w:spacing w:val="-2"/>
        </w:rPr>
        <w:t>Regulations.</w:t>
      </w:r>
    </w:p>
    <w:p>
      <w:pPr>
        <w:pStyle w:val="BodyText"/>
      </w:pPr>
    </w:p>
    <w:tbl>
      <w:tblPr>
        <w:tblW w:w="0" w:type="auto"/>
        <w:jc w:val="left"/>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76"/>
        <w:gridCol w:w="1996"/>
        <w:gridCol w:w="1451"/>
        <w:gridCol w:w="1359"/>
        <w:gridCol w:w="1358"/>
        <w:gridCol w:w="1103"/>
      </w:tblGrid>
      <w:tr>
        <w:trPr>
          <w:trHeight w:val="1049" w:hRule="atLeast"/>
        </w:trPr>
        <w:tc>
          <w:tcPr>
            <w:tcW w:w="10543" w:type="dxa"/>
            <w:gridSpan w:val="6"/>
            <w:tcBorders>
              <w:top w:val="single" w:sz="18" w:space="0" w:color="000000"/>
              <w:left w:val="single" w:sz="12" w:space="0" w:color="000000"/>
              <w:right w:val="single" w:sz="12" w:space="0" w:color="000000"/>
            </w:tcBorders>
            <w:shd w:val="clear" w:color="auto" w:fill="629CD1"/>
          </w:tcPr>
          <w:p>
            <w:pPr>
              <w:pStyle w:val="TableParagraph"/>
              <w:tabs>
                <w:tab w:pos="5387" w:val="left" w:leader="none"/>
                <w:tab w:pos="8015" w:val="left" w:leader="none"/>
              </w:tabs>
              <w:spacing w:line="120" w:lineRule="auto" w:before="113"/>
              <w:ind w:left="3848" w:right="1514" w:hanging="125"/>
              <w:rPr>
                <w:b/>
                <w:sz w:val="18"/>
              </w:rPr>
            </w:pPr>
            <w:r>
              <w:rPr>
                <w:b/>
                <w:color w:val="FFFFFF"/>
                <w:spacing w:val="-2"/>
                <w:position w:val="10"/>
                <w:sz w:val="18"/>
              </w:rPr>
              <w:t>Forecast</w:t>
            </w:r>
            <w:r>
              <w:rPr>
                <w:b/>
                <w:color w:val="FFFFFF"/>
                <w:position w:val="10"/>
                <w:sz w:val="18"/>
              </w:rPr>
              <w:tab/>
            </w:r>
            <w:r>
              <w:rPr>
                <w:b/>
                <w:color w:val="FFFFFF"/>
                <w:spacing w:val="-2"/>
                <w:sz w:val="18"/>
              </w:rPr>
              <w:t>Budget</w:t>
            </w:r>
            <w:r>
              <w:rPr>
                <w:b/>
                <w:color w:val="FFFFFF"/>
                <w:sz w:val="18"/>
              </w:rPr>
              <w:tab/>
            </w:r>
            <w:r>
              <w:rPr>
                <w:b/>
                <w:color w:val="FFFFFF"/>
                <w:spacing w:val="-2"/>
                <w:sz w:val="18"/>
              </w:rPr>
              <w:t>Projections Actual</w:t>
            </w:r>
          </w:p>
          <w:p>
            <w:pPr>
              <w:pStyle w:val="TableParagraph"/>
              <w:tabs>
                <w:tab w:pos="5048" w:val="left" w:leader="none"/>
                <w:tab w:pos="6500" w:val="left" w:leader="none"/>
                <w:tab w:pos="7859" w:val="left" w:leader="none"/>
                <w:tab w:pos="9217" w:val="left" w:leader="none"/>
              </w:tabs>
              <w:spacing w:before="54"/>
              <w:ind w:left="3452"/>
              <w:jc w:val="center"/>
              <w:rPr>
                <w:b/>
                <w:sz w:val="18"/>
              </w:rPr>
            </w:pPr>
            <w:r>
              <w:rPr>
                <w:b/>
                <w:color w:val="FFFFFF"/>
                <w:spacing w:val="-2"/>
                <w:sz w:val="18"/>
              </w:rPr>
              <w:t>2024/25</w:t>
            </w:r>
            <w:r>
              <w:rPr>
                <w:b/>
                <w:color w:val="FFFFFF"/>
                <w:sz w:val="18"/>
              </w:rPr>
              <w:tab/>
            </w:r>
            <w:r>
              <w:rPr>
                <w:b/>
                <w:color w:val="FFFFFF"/>
                <w:spacing w:val="-2"/>
                <w:sz w:val="18"/>
              </w:rPr>
              <w:t>2025/26</w:t>
            </w:r>
            <w:r>
              <w:rPr>
                <w:b/>
                <w:color w:val="FFFFFF"/>
                <w:sz w:val="18"/>
              </w:rPr>
              <w:tab/>
            </w:r>
            <w:r>
              <w:rPr>
                <w:b/>
                <w:color w:val="FFFFFF"/>
                <w:spacing w:val="-2"/>
                <w:sz w:val="18"/>
              </w:rPr>
              <w:t>2026/27</w:t>
            </w:r>
            <w:r>
              <w:rPr>
                <w:b/>
                <w:color w:val="FFFFFF"/>
                <w:sz w:val="18"/>
              </w:rPr>
              <w:tab/>
            </w:r>
            <w:r>
              <w:rPr>
                <w:b/>
                <w:color w:val="FFFFFF"/>
                <w:spacing w:val="-2"/>
                <w:sz w:val="18"/>
              </w:rPr>
              <w:t>2027/28</w:t>
            </w:r>
            <w:r>
              <w:rPr>
                <w:b/>
                <w:color w:val="FFFFFF"/>
                <w:sz w:val="18"/>
              </w:rPr>
              <w:tab/>
            </w:r>
            <w:r>
              <w:rPr>
                <w:b/>
                <w:color w:val="FFFFFF"/>
                <w:spacing w:val="-2"/>
                <w:sz w:val="18"/>
              </w:rPr>
              <w:t>2028/29</w:t>
            </w:r>
          </w:p>
          <w:p>
            <w:pPr>
              <w:pStyle w:val="TableParagraph"/>
              <w:tabs>
                <w:tab w:pos="5049" w:val="left" w:leader="none"/>
                <w:tab w:pos="6501" w:val="left" w:leader="none"/>
                <w:tab w:pos="7859" w:val="left" w:leader="none"/>
                <w:tab w:pos="9217" w:val="left" w:leader="none"/>
              </w:tabs>
              <w:spacing w:before="79"/>
              <w:ind w:left="3450"/>
              <w:jc w:val="center"/>
              <w:rPr>
                <w:b/>
                <w:sz w:val="18"/>
              </w:rPr>
            </w:pPr>
            <w:r>
              <w:rPr>
                <w:b/>
                <w:color w:val="FFFFFF"/>
                <w:spacing w:val="-10"/>
                <w:sz w:val="18"/>
              </w:rPr>
              <w:t>$</w:t>
            </w:r>
            <w:r>
              <w:rPr>
                <w:b/>
                <w:color w:val="FFFFFF"/>
                <w:sz w:val="18"/>
              </w:rPr>
              <w:tab/>
            </w:r>
            <w:r>
              <w:rPr>
                <w:b/>
                <w:color w:val="FFFFFF"/>
                <w:spacing w:val="-10"/>
                <w:sz w:val="18"/>
              </w:rPr>
              <w:t>$</w:t>
            </w:r>
            <w:r>
              <w:rPr>
                <w:b/>
                <w:color w:val="FFFFFF"/>
                <w:sz w:val="18"/>
              </w:rPr>
              <w:tab/>
            </w:r>
            <w:r>
              <w:rPr>
                <w:b/>
                <w:color w:val="FFFFFF"/>
                <w:spacing w:val="-10"/>
                <w:sz w:val="18"/>
              </w:rPr>
              <w:t>$</w:t>
            </w:r>
            <w:r>
              <w:rPr>
                <w:b/>
                <w:color w:val="FFFFFF"/>
                <w:sz w:val="18"/>
              </w:rPr>
              <w:tab/>
            </w:r>
            <w:r>
              <w:rPr>
                <w:b/>
                <w:color w:val="FFFFFF"/>
                <w:spacing w:val="-10"/>
                <w:sz w:val="18"/>
              </w:rPr>
              <w:t>$</w:t>
            </w:r>
            <w:r>
              <w:rPr>
                <w:b/>
                <w:color w:val="FFFFFF"/>
                <w:sz w:val="18"/>
              </w:rPr>
              <w:tab/>
            </w:r>
            <w:r>
              <w:rPr>
                <w:b/>
                <w:color w:val="FFFFFF"/>
                <w:spacing w:val="-10"/>
                <w:sz w:val="18"/>
              </w:rPr>
              <w:t>$</w:t>
            </w:r>
          </w:p>
        </w:tc>
      </w:tr>
      <w:tr>
        <w:trPr>
          <w:trHeight w:val="463" w:hRule="atLeast"/>
        </w:trPr>
        <w:tc>
          <w:tcPr>
            <w:tcW w:w="3276" w:type="dxa"/>
            <w:tcBorders>
              <w:left w:val="single" w:sz="12" w:space="0" w:color="000000"/>
            </w:tcBorders>
          </w:tcPr>
          <w:p>
            <w:pPr>
              <w:pStyle w:val="TableParagraph"/>
              <w:spacing w:line="230" w:lineRule="exact"/>
              <w:ind w:left="107"/>
              <w:rPr>
                <w:sz w:val="20"/>
              </w:rPr>
            </w:pPr>
            <w:r>
              <w:rPr>
                <w:sz w:val="20"/>
              </w:rPr>
              <w:t>Amount</w:t>
            </w:r>
            <w:r>
              <w:rPr>
                <w:spacing w:val="-3"/>
                <w:sz w:val="20"/>
              </w:rPr>
              <w:t> </w:t>
            </w:r>
            <w:r>
              <w:rPr>
                <w:sz w:val="20"/>
              </w:rPr>
              <w:t>borrowed</w:t>
            </w:r>
            <w:r>
              <w:rPr>
                <w:spacing w:val="-7"/>
                <w:sz w:val="20"/>
              </w:rPr>
              <w:t> </w:t>
            </w:r>
            <w:r>
              <w:rPr>
                <w:sz w:val="20"/>
              </w:rPr>
              <w:t>as</w:t>
            </w:r>
            <w:r>
              <w:rPr>
                <w:spacing w:val="-4"/>
                <w:sz w:val="20"/>
              </w:rPr>
              <w:t> </w:t>
            </w:r>
            <w:r>
              <w:rPr>
                <w:sz w:val="20"/>
              </w:rPr>
              <w:t>at</w:t>
            </w:r>
            <w:r>
              <w:rPr>
                <w:spacing w:val="-7"/>
                <w:sz w:val="20"/>
              </w:rPr>
              <w:t> </w:t>
            </w:r>
            <w:r>
              <w:rPr>
                <w:sz w:val="20"/>
              </w:rPr>
              <w:t>30</w:t>
            </w:r>
            <w:r>
              <w:rPr>
                <w:spacing w:val="-1"/>
                <w:sz w:val="20"/>
              </w:rPr>
              <w:t> </w:t>
            </w:r>
            <w:r>
              <w:rPr>
                <w:sz w:val="20"/>
              </w:rPr>
              <w:t>June</w:t>
            </w:r>
            <w:r>
              <w:rPr>
                <w:spacing w:val="-6"/>
                <w:sz w:val="20"/>
              </w:rPr>
              <w:t> </w:t>
            </w:r>
            <w:r>
              <w:rPr>
                <w:sz w:val="20"/>
              </w:rPr>
              <w:t>of the prior year</w:t>
            </w:r>
          </w:p>
        </w:tc>
        <w:tc>
          <w:tcPr>
            <w:tcW w:w="1996" w:type="dxa"/>
          </w:tcPr>
          <w:p>
            <w:pPr>
              <w:pStyle w:val="TableParagraph"/>
              <w:spacing w:before="115"/>
              <w:ind w:right="441"/>
              <w:jc w:val="right"/>
              <w:rPr>
                <w:sz w:val="20"/>
              </w:rPr>
            </w:pPr>
            <w:r>
              <w:rPr>
                <w:spacing w:val="-2"/>
                <w:sz w:val="20"/>
              </w:rPr>
              <w:t>18,725</w:t>
            </w:r>
          </w:p>
        </w:tc>
        <w:tc>
          <w:tcPr>
            <w:tcW w:w="1451" w:type="dxa"/>
          </w:tcPr>
          <w:p>
            <w:pPr>
              <w:pStyle w:val="TableParagraph"/>
              <w:spacing w:before="115"/>
              <w:ind w:right="346"/>
              <w:jc w:val="right"/>
              <w:rPr>
                <w:b/>
                <w:sz w:val="20"/>
              </w:rPr>
            </w:pPr>
            <w:r>
              <w:rPr>
                <w:b/>
                <w:spacing w:val="-2"/>
                <w:sz w:val="20"/>
              </w:rPr>
              <w:t>15,763</w:t>
            </w:r>
          </w:p>
        </w:tc>
        <w:tc>
          <w:tcPr>
            <w:tcW w:w="1359" w:type="dxa"/>
          </w:tcPr>
          <w:p>
            <w:pPr>
              <w:pStyle w:val="TableParagraph"/>
              <w:spacing w:before="115"/>
              <w:ind w:right="344"/>
              <w:jc w:val="right"/>
              <w:rPr>
                <w:sz w:val="20"/>
              </w:rPr>
            </w:pPr>
            <w:r>
              <w:rPr>
                <w:spacing w:val="-2"/>
                <w:sz w:val="20"/>
              </w:rPr>
              <w:t>22,669</w:t>
            </w:r>
          </w:p>
        </w:tc>
        <w:tc>
          <w:tcPr>
            <w:tcW w:w="1358" w:type="dxa"/>
          </w:tcPr>
          <w:p>
            <w:pPr>
              <w:pStyle w:val="TableParagraph"/>
              <w:spacing w:before="115"/>
              <w:ind w:right="344"/>
              <w:jc w:val="right"/>
              <w:rPr>
                <w:sz w:val="20"/>
              </w:rPr>
            </w:pPr>
            <w:r>
              <w:rPr>
                <w:spacing w:val="-2"/>
                <w:sz w:val="20"/>
              </w:rPr>
              <w:t>28,938</w:t>
            </w:r>
          </w:p>
        </w:tc>
        <w:tc>
          <w:tcPr>
            <w:tcW w:w="1103" w:type="dxa"/>
            <w:tcBorders>
              <w:right w:val="single" w:sz="12" w:space="0" w:color="000000"/>
            </w:tcBorders>
          </w:tcPr>
          <w:p>
            <w:pPr>
              <w:pStyle w:val="TableParagraph"/>
              <w:spacing w:before="115"/>
              <w:ind w:right="73"/>
              <w:jc w:val="right"/>
              <w:rPr>
                <w:sz w:val="20"/>
              </w:rPr>
            </w:pPr>
            <w:r>
              <w:rPr>
                <w:spacing w:val="-2"/>
                <w:sz w:val="20"/>
              </w:rPr>
              <w:t>29,543</w:t>
            </w:r>
          </w:p>
        </w:tc>
      </w:tr>
      <w:tr>
        <w:trPr>
          <w:trHeight w:val="271" w:hRule="atLeast"/>
        </w:trPr>
        <w:tc>
          <w:tcPr>
            <w:tcW w:w="3276" w:type="dxa"/>
            <w:tcBorders>
              <w:left w:val="single" w:sz="12" w:space="0" w:color="000000"/>
            </w:tcBorders>
          </w:tcPr>
          <w:p>
            <w:pPr>
              <w:pStyle w:val="TableParagraph"/>
              <w:spacing w:line="227" w:lineRule="exact"/>
              <w:ind w:left="107"/>
              <w:rPr>
                <w:sz w:val="20"/>
              </w:rPr>
            </w:pPr>
            <w:r>
              <w:rPr>
                <w:sz w:val="20"/>
              </w:rPr>
              <w:t>Amount</w:t>
            </w:r>
            <w:r>
              <w:rPr>
                <w:spacing w:val="-4"/>
                <w:sz w:val="20"/>
              </w:rPr>
              <w:t> </w:t>
            </w:r>
            <w:r>
              <w:rPr>
                <w:sz w:val="20"/>
              </w:rPr>
              <w:t>proposed</w:t>
            </w:r>
            <w:r>
              <w:rPr>
                <w:spacing w:val="-7"/>
                <w:sz w:val="20"/>
              </w:rPr>
              <w:t> </w:t>
            </w:r>
            <w:r>
              <w:rPr>
                <w:sz w:val="20"/>
              </w:rPr>
              <w:t>to</w:t>
            </w:r>
            <w:r>
              <w:rPr>
                <w:spacing w:val="-7"/>
                <w:sz w:val="20"/>
              </w:rPr>
              <w:t> </w:t>
            </w:r>
            <w:r>
              <w:rPr>
                <w:sz w:val="20"/>
              </w:rPr>
              <w:t>be</w:t>
            </w:r>
            <w:r>
              <w:rPr>
                <w:spacing w:val="-4"/>
                <w:sz w:val="20"/>
              </w:rPr>
              <w:t> </w:t>
            </w:r>
            <w:r>
              <w:rPr>
                <w:spacing w:val="-2"/>
                <w:sz w:val="20"/>
              </w:rPr>
              <w:t>borrowed</w:t>
            </w:r>
          </w:p>
        </w:tc>
        <w:tc>
          <w:tcPr>
            <w:tcW w:w="1996" w:type="dxa"/>
          </w:tcPr>
          <w:p>
            <w:pPr>
              <w:pStyle w:val="TableParagraph"/>
              <w:spacing w:line="228" w:lineRule="exact" w:before="23"/>
              <w:ind w:right="440"/>
              <w:jc w:val="right"/>
              <w:rPr>
                <w:sz w:val="20"/>
              </w:rPr>
            </w:pPr>
            <w:r>
              <w:rPr>
                <w:w w:val="99"/>
                <w:sz w:val="20"/>
              </w:rPr>
              <w:t>-</w:t>
            </w:r>
          </w:p>
        </w:tc>
        <w:tc>
          <w:tcPr>
            <w:tcW w:w="1451" w:type="dxa"/>
          </w:tcPr>
          <w:p>
            <w:pPr>
              <w:pStyle w:val="TableParagraph"/>
              <w:spacing w:line="228" w:lineRule="exact" w:before="23"/>
              <w:ind w:right="346"/>
              <w:jc w:val="right"/>
              <w:rPr>
                <w:b/>
                <w:sz w:val="20"/>
              </w:rPr>
            </w:pPr>
            <w:r>
              <w:rPr>
                <w:b/>
                <w:spacing w:val="-2"/>
                <w:sz w:val="20"/>
              </w:rPr>
              <w:t>10,000</w:t>
            </w:r>
          </w:p>
        </w:tc>
        <w:tc>
          <w:tcPr>
            <w:tcW w:w="1359" w:type="dxa"/>
          </w:tcPr>
          <w:p>
            <w:pPr>
              <w:pStyle w:val="TableParagraph"/>
              <w:spacing w:line="228" w:lineRule="exact" w:before="23"/>
              <w:ind w:right="344"/>
              <w:jc w:val="right"/>
              <w:rPr>
                <w:sz w:val="20"/>
              </w:rPr>
            </w:pPr>
            <w:r>
              <w:rPr>
                <w:spacing w:val="-2"/>
                <w:sz w:val="20"/>
              </w:rPr>
              <w:t>10,000</w:t>
            </w:r>
          </w:p>
        </w:tc>
        <w:tc>
          <w:tcPr>
            <w:tcW w:w="1358" w:type="dxa"/>
          </w:tcPr>
          <w:p>
            <w:pPr>
              <w:pStyle w:val="TableParagraph"/>
              <w:spacing w:line="228" w:lineRule="exact" w:before="23"/>
              <w:ind w:right="344"/>
              <w:jc w:val="right"/>
              <w:rPr>
                <w:sz w:val="20"/>
              </w:rPr>
            </w:pPr>
            <w:r>
              <w:rPr>
                <w:spacing w:val="-2"/>
                <w:sz w:val="20"/>
              </w:rPr>
              <w:t>5,000</w:t>
            </w:r>
          </w:p>
        </w:tc>
        <w:tc>
          <w:tcPr>
            <w:tcW w:w="1103" w:type="dxa"/>
            <w:tcBorders>
              <w:right w:val="single" w:sz="12" w:space="0" w:color="000000"/>
            </w:tcBorders>
          </w:tcPr>
          <w:p>
            <w:pPr>
              <w:pStyle w:val="TableParagraph"/>
              <w:spacing w:line="228" w:lineRule="exact" w:before="23"/>
              <w:ind w:right="74"/>
              <w:jc w:val="right"/>
              <w:rPr>
                <w:sz w:val="20"/>
              </w:rPr>
            </w:pPr>
            <w:r>
              <w:rPr>
                <w:w w:val="99"/>
                <w:sz w:val="20"/>
              </w:rPr>
              <w:t>-</w:t>
            </w:r>
          </w:p>
        </w:tc>
      </w:tr>
      <w:tr>
        <w:trPr>
          <w:trHeight w:val="313" w:hRule="atLeast"/>
        </w:trPr>
        <w:tc>
          <w:tcPr>
            <w:tcW w:w="3276" w:type="dxa"/>
            <w:tcBorders>
              <w:left w:val="single" w:sz="12" w:space="0" w:color="000000"/>
            </w:tcBorders>
          </w:tcPr>
          <w:p>
            <w:pPr>
              <w:pStyle w:val="TableParagraph"/>
              <w:spacing w:before="11"/>
              <w:ind w:left="107"/>
              <w:rPr>
                <w:sz w:val="20"/>
              </w:rPr>
            </w:pPr>
            <w:r>
              <w:rPr>
                <w:sz w:val="20"/>
              </w:rPr>
              <w:t>Amount</w:t>
            </w:r>
            <w:r>
              <w:rPr>
                <w:spacing w:val="-4"/>
                <w:sz w:val="20"/>
              </w:rPr>
              <w:t> </w:t>
            </w:r>
            <w:r>
              <w:rPr>
                <w:sz w:val="20"/>
              </w:rPr>
              <w:t>projected</w:t>
            </w:r>
            <w:r>
              <w:rPr>
                <w:spacing w:val="-3"/>
                <w:sz w:val="20"/>
              </w:rPr>
              <w:t> </w:t>
            </w:r>
            <w:r>
              <w:rPr>
                <w:sz w:val="20"/>
              </w:rPr>
              <w:t>to</w:t>
            </w:r>
            <w:r>
              <w:rPr>
                <w:spacing w:val="-7"/>
                <w:sz w:val="20"/>
              </w:rPr>
              <w:t> </w:t>
            </w:r>
            <w:r>
              <w:rPr>
                <w:sz w:val="20"/>
              </w:rPr>
              <w:t>be</w:t>
            </w:r>
            <w:r>
              <w:rPr>
                <w:spacing w:val="-8"/>
                <w:sz w:val="20"/>
              </w:rPr>
              <w:t> </w:t>
            </w:r>
            <w:r>
              <w:rPr>
                <w:spacing w:val="-2"/>
                <w:sz w:val="20"/>
              </w:rPr>
              <w:t>redeemed</w:t>
            </w:r>
          </w:p>
        </w:tc>
        <w:tc>
          <w:tcPr>
            <w:tcW w:w="1996" w:type="dxa"/>
            <w:tcBorders>
              <w:bottom w:val="single" w:sz="12" w:space="0" w:color="000000"/>
            </w:tcBorders>
          </w:tcPr>
          <w:p>
            <w:pPr>
              <w:pStyle w:val="TableParagraph"/>
              <w:spacing w:before="47"/>
              <w:ind w:right="442"/>
              <w:jc w:val="right"/>
              <w:rPr>
                <w:sz w:val="20"/>
              </w:rPr>
            </w:pPr>
            <w:r>
              <w:rPr>
                <w:spacing w:val="-2"/>
                <w:sz w:val="20"/>
              </w:rPr>
              <w:t>(2,962)</w:t>
            </w:r>
          </w:p>
        </w:tc>
        <w:tc>
          <w:tcPr>
            <w:tcW w:w="1451" w:type="dxa"/>
            <w:tcBorders>
              <w:bottom w:val="single" w:sz="12" w:space="0" w:color="000000"/>
            </w:tcBorders>
          </w:tcPr>
          <w:p>
            <w:pPr>
              <w:pStyle w:val="TableParagraph"/>
              <w:spacing w:before="47"/>
              <w:ind w:right="347"/>
              <w:jc w:val="right"/>
              <w:rPr>
                <w:b/>
                <w:sz w:val="20"/>
              </w:rPr>
            </w:pPr>
            <w:r>
              <w:rPr>
                <w:b/>
                <w:spacing w:val="-2"/>
                <w:sz w:val="20"/>
              </w:rPr>
              <w:t>(3,094)</w:t>
            </w:r>
          </w:p>
        </w:tc>
        <w:tc>
          <w:tcPr>
            <w:tcW w:w="1359" w:type="dxa"/>
            <w:tcBorders>
              <w:bottom w:val="single" w:sz="12" w:space="0" w:color="000000"/>
            </w:tcBorders>
          </w:tcPr>
          <w:p>
            <w:pPr>
              <w:pStyle w:val="TableParagraph"/>
              <w:spacing w:before="47"/>
              <w:ind w:right="348"/>
              <w:jc w:val="right"/>
              <w:rPr>
                <w:sz w:val="20"/>
              </w:rPr>
            </w:pPr>
            <w:r>
              <w:rPr>
                <w:spacing w:val="-2"/>
                <w:sz w:val="20"/>
              </w:rPr>
              <w:t>(3,731)</w:t>
            </w:r>
          </w:p>
        </w:tc>
        <w:tc>
          <w:tcPr>
            <w:tcW w:w="1358" w:type="dxa"/>
            <w:tcBorders>
              <w:bottom w:val="single" w:sz="12" w:space="0" w:color="000000"/>
            </w:tcBorders>
          </w:tcPr>
          <w:p>
            <w:pPr>
              <w:pStyle w:val="TableParagraph"/>
              <w:spacing w:before="47"/>
              <w:ind w:right="347"/>
              <w:jc w:val="right"/>
              <w:rPr>
                <w:sz w:val="20"/>
              </w:rPr>
            </w:pPr>
            <w:r>
              <w:rPr>
                <w:spacing w:val="-2"/>
                <w:sz w:val="20"/>
              </w:rPr>
              <w:t>(4,395)</w:t>
            </w:r>
          </w:p>
        </w:tc>
        <w:tc>
          <w:tcPr>
            <w:tcW w:w="1103" w:type="dxa"/>
            <w:tcBorders>
              <w:bottom w:val="single" w:sz="12" w:space="0" w:color="000000"/>
              <w:right w:val="single" w:sz="12" w:space="0" w:color="000000"/>
            </w:tcBorders>
          </w:tcPr>
          <w:p>
            <w:pPr>
              <w:pStyle w:val="TableParagraph"/>
              <w:spacing w:before="47"/>
              <w:ind w:right="77"/>
              <w:jc w:val="right"/>
              <w:rPr>
                <w:sz w:val="20"/>
              </w:rPr>
            </w:pPr>
            <w:r>
              <w:rPr>
                <w:spacing w:val="-2"/>
                <w:sz w:val="20"/>
              </w:rPr>
              <w:t>(5,003)</w:t>
            </w:r>
          </w:p>
        </w:tc>
      </w:tr>
      <w:tr>
        <w:trPr>
          <w:trHeight w:val="217" w:hRule="atLeast"/>
        </w:trPr>
        <w:tc>
          <w:tcPr>
            <w:tcW w:w="3276" w:type="dxa"/>
            <w:tcBorders>
              <w:left w:val="single" w:sz="12" w:space="0" w:color="000000"/>
            </w:tcBorders>
          </w:tcPr>
          <w:p>
            <w:pPr>
              <w:pStyle w:val="TableParagraph"/>
              <w:spacing w:line="198" w:lineRule="exact"/>
              <w:ind w:left="107"/>
              <w:rPr>
                <w:b/>
                <w:sz w:val="20"/>
              </w:rPr>
            </w:pPr>
            <w:r>
              <w:rPr>
                <w:b/>
                <w:sz w:val="20"/>
              </w:rPr>
              <w:t>Amount</w:t>
            </w:r>
            <w:r>
              <w:rPr>
                <w:b/>
                <w:spacing w:val="-7"/>
                <w:sz w:val="20"/>
              </w:rPr>
              <w:t> </w:t>
            </w:r>
            <w:r>
              <w:rPr>
                <w:b/>
                <w:sz w:val="20"/>
              </w:rPr>
              <w:t>of</w:t>
            </w:r>
            <w:r>
              <w:rPr>
                <w:b/>
                <w:spacing w:val="-4"/>
                <w:sz w:val="20"/>
              </w:rPr>
              <w:t> </w:t>
            </w:r>
            <w:r>
              <w:rPr>
                <w:b/>
                <w:sz w:val="20"/>
              </w:rPr>
              <w:t>borrowings</w:t>
            </w:r>
            <w:r>
              <w:rPr>
                <w:b/>
                <w:spacing w:val="-6"/>
                <w:sz w:val="20"/>
              </w:rPr>
              <w:t> </w:t>
            </w:r>
            <w:r>
              <w:rPr>
                <w:b/>
                <w:sz w:val="20"/>
              </w:rPr>
              <w:t>as</w:t>
            </w:r>
            <w:r>
              <w:rPr>
                <w:b/>
                <w:spacing w:val="-3"/>
                <w:sz w:val="20"/>
              </w:rPr>
              <w:t> </w:t>
            </w:r>
            <w:r>
              <w:rPr>
                <w:b/>
                <w:sz w:val="20"/>
              </w:rPr>
              <w:t>at</w:t>
            </w:r>
            <w:r>
              <w:rPr>
                <w:b/>
                <w:spacing w:val="-5"/>
                <w:sz w:val="20"/>
              </w:rPr>
              <w:t> 30</w:t>
            </w:r>
          </w:p>
        </w:tc>
        <w:tc>
          <w:tcPr>
            <w:tcW w:w="1996" w:type="dxa"/>
            <w:vMerge w:val="restart"/>
            <w:tcBorders>
              <w:top w:val="single" w:sz="12" w:space="0" w:color="000000"/>
              <w:bottom w:val="single" w:sz="12" w:space="0" w:color="000000"/>
            </w:tcBorders>
          </w:tcPr>
          <w:p>
            <w:pPr>
              <w:pStyle w:val="TableParagraph"/>
              <w:spacing w:before="114"/>
              <w:ind w:left="943"/>
              <w:rPr>
                <w:b/>
                <w:sz w:val="20"/>
              </w:rPr>
            </w:pPr>
            <w:r>
              <w:rPr>
                <w:b/>
                <w:spacing w:val="-2"/>
                <w:sz w:val="20"/>
              </w:rPr>
              <w:t>15,763</w:t>
            </w:r>
          </w:p>
        </w:tc>
        <w:tc>
          <w:tcPr>
            <w:tcW w:w="1451" w:type="dxa"/>
            <w:vMerge w:val="restart"/>
            <w:tcBorders>
              <w:top w:val="single" w:sz="12" w:space="0" w:color="000000"/>
              <w:bottom w:val="single" w:sz="12" w:space="0" w:color="000000"/>
            </w:tcBorders>
          </w:tcPr>
          <w:p>
            <w:pPr>
              <w:pStyle w:val="TableParagraph"/>
              <w:spacing w:before="114"/>
              <w:ind w:left="492"/>
              <w:rPr>
                <w:b/>
                <w:sz w:val="20"/>
              </w:rPr>
            </w:pPr>
            <w:r>
              <w:rPr>
                <w:b/>
                <w:spacing w:val="-2"/>
                <w:sz w:val="20"/>
              </w:rPr>
              <w:t>22,669</w:t>
            </w:r>
          </w:p>
        </w:tc>
        <w:tc>
          <w:tcPr>
            <w:tcW w:w="1359" w:type="dxa"/>
            <w:vMerge w:val="restart"/>
            <w:tcBorders>
              <w:top w:val="single" w:sz="12" w:space="0" w:color="000000"/>
              <w:bottom w:val="single" w:sz="12" w:space="0" w:color="000000"/>
            </w:tcBorders>
          </w:tcPr>
          <w:p>
            <w:pPr>
              <w:pStyle w:val="TableParagraph"/>
              <w:spacing w:before="114"/>
              <w:ind w:left="399"/>
              <w:rPr>
                <w:b/>
                <w:sz w:val="20"/>
              </w:rPr>
            </w:pPr>
            <w:r>
              <w:rPr>
                <w:b/>
                <w:spacing w:val="-2"/>
                <w:sz w:val="20"/>
              </w:rPr>
              <w:t>28,938</w:t>
            </w:r>
          </w:p>
        </w:tc>
        <w:tc>
          <w:tcPr>
            <w:tcW w:w="1358" w:type="dxa"/>
            <w:vMerge w:val="restart"/>
            <w:tcBorders>
              <w:top w:val="single" w:sz="12" w:space="0" w:color="000000"/>
              <w:bottom w:val="single" w:sz="12" w:space="0" w:color="000000"/>
            </w:tcBorders>
          </w:tcPr>
          <w:p>
            <w:pPr>
              <w:pStyle w:val="TableParagraph"/>
              <w:spacing w:before="114"/>
              <w:ind w:left="398"/>
              <w:rPr>
                <w:b/>
                <w:sz w:val="20"/>
              </w:rPr>
            </w:pPr>
            <w:r>
              <w:rPr>
                <w:b/>
                <w:spacing w:val="-2"/>
                <w:sz w:val="20"/>
              </w:rPr>
              <w:t>29,543</w:t>
            </w:r>
          </w:p>
        </w:tc>
        <w:tc>
          <w:tcPr>
            <w:tcW w:w="1103" w:type="dxa"/>
            <w:vMerge w:val="restart"/>
            <w:tcBorders>
              <w:top w:val="single" w:sz="12" w:space="0" w:color="000000"/>
              <w:bottom w:val="single" w:sz="12" w:space="0" w:color="000000"/>
              <w:right w:val="single" w:sz="12" w:space="0" w:color="000000"/>
            </w:tcBorders>
          </w:tcPr>
          <w:p>
            <w:pPr>
              <w:pStyle w:val="TableParagraph"/>
              <w:spacing w:before="114"/>
              <w:ind w:left="384"/>
              <w:rPr>
                <w:b/>
                <w:sz w:val="20"/>
              </w:rPr>
            </w:pPr>
            <w:r>
              <w:rPr>
                <w:b/>
                <w:spacing w:val="-2"/>
                <w:sz w:val="20"/>
              </w:rPr>
              <w:t>24,540</w:t>
            </w:r>
          </w:p>
        </w:tc>
      </w:tr>
      <w:tr>
        <w:trPr>
          <w:trHeight w:val="214" w:hRule="atLeast"/>
        </w:trPr>
        <w:tc>
          <w:tcPr>
            <w:tcW w:w="3276" w:type="dxa"/>
            <w:tcBorders>
              <w:left w:val="single" w:sz="12" w:space="0" w:color="000000"/>
              <w:bottom w:val="single" w:sz="12" w:space="0" w:color="000000"/>
            </w:tcBorders>
          </w:tcPr>
          <w:p>
            <w:pPr>
              <w:pStyle w:val="TableParagraph"/>
              <w:spacing w:line="194" w:lineRule="exact"/>
              <w:ind w:left="107"/>
              <w:rPr>
                <w:b/>
                <w:sz w:val="20"/>
              </w:rPr>
            </w:pPr>
            <w:r>
              <w:rPr>
                <w:b/>
                <w:spacing w:val="-4"/>
                <w:sz w:val="20"/>
              </w:rPr>
              <w:t>June</w:t>
            </w:r>
          </w:p>
        </w:tc>
        <w:tc>
          <w:tcPr>
            <w:tcW w:w="1996" w:type="dxa"/>
            <w:vMerge/>
            <w:tcBorders>
              <w:top w:val="nil"/>
              <w:bottom w:val="single" w:sz="12" w:space="0" w:color="000000"/>
            </w:tcBorders>
          </w:tcPr>
          <w:p>
            <w:pPr>
              <w:rPr>
                <w:sz w:val="2"/>
                <w:szCs w:val="2"/>
              </w:rPr>
            </w:pPr>
          </w:p>
        </w:tc>
        <w:tc>
          <w:tcPr>
            <w:tcW w:w="1451" w:type="dxa"/>
            <w:vMerge/>
            <w:tcBorders>
              <w:top w:val="nil"/>
              <w:bottom w:val="single" w:sz="12" w:space="0" w:color="000000"/>
            </w:tcBorders>
          </w:tcPr>
          <w:p>
            <w:pPr>
              <w:rPr>
                <w:sz w:val="2"/>
                <w:szCs w:val="2"/>
              </w:rPr>
            </w:pPr>
          </w:p>
        </w:tc>
        <w:tc>
          <w:tcPr>
            <w:tcW w:w="1359" w:type="dxa"/>
            <w:vMerge/>
            <w:tcBorders>
              <w:top w:val="nil"/>
              <w:bottom w:val="single" w:sz="12" w:space="0" w:color="000000"/>
            </w:tcBorders>
          </w:tcPr>
          <w:p>
            <w:pPr>
              <w:rPr>
                <w:sz w:val="2"/>
                <w:szCs w:val="2"/>
              </w:rPr>
            </w:pPr>
          </w:p>
        </w:tc>
        <w:tc>
          <w:tcPr>
            <w:tcW w:w="1358" w:type="dxa"/>
            <w:vMerge/>
            <w:tcBorders>
              <w:top w:val="nil"/>
              <w:bottom w:val="single" w:sz="12" w:space="0" w:color="000000"/>
            </w:tcBorders>
          </w:tcPr>
          <w:p>
            <w:pPr>
              <w:rPr>
                <w:sz w:val="2"/>
                <w:szCs w:val="2"/>
              </w:rPr>
            </w:pPr>
          </w:p>
        </w:tc>
        <w:tc>
          <w:tcPr>
            <w:tcW w:w="1103" w:type="dxa"/>
            <w:vMerge/>
            <w:tcBorders>
              <w:top w:val="nil"/>
              <w:bottom w:val="single" w:sz="12" w:space="0" w:color="000000"/>
              <w:right w:val="single" w:sz="12" w:space="0" w:color="000000"/>
            </w:tcBorders>
          </w:tcPr>
          <w:p>
            <w:pPr>
              <w:rPr>
                <w:sz w:val="2"/>
                <w:szCs w:val="2"/>
              </w:rPr>
            </w:pPr>
          </w:p>
        </w:tc>
      </w:tr>
    </w:tbl>
    <w:p>
      <w:pPr>
        <w:spacing w:after="0"/>
        <w:rPr>
          <w:sz w:val="2"/>
          <w:szCs w:val="2"/>
        </w:rPr>
        <w:sectPr>
          <w:pgSz w:w="11910" w:h="16840"/>
          <w:pgMar w:header="0" w:footer="375" w:top="620" w:bottom="560" w:left="460" w:right="160"/>
        </w:sectPr>
      </w:pPr>
    </w:p>
    <w:p>
      <w:pPr>
        <w:pStyle w:val="Heading4"/>
        <w:numPr>
          <w:ilvl w:val="2"/>
          <w:numId w:val="67"/>
        </w:numPr>
        <w:tabs>
          <w:tab w:pos="862" w:val="left" w:leader="none"/>
        </w:tabs>
        <w:spacing w:line="240" w:lineRule="auto" w:before="82" w:after="0"/>
        <w:ind w:left="861" w:right="0" w:hanging="602"/>
        <w:jc w:val="left"/>
      </w:pPr>
      <w:r>
        <w:rPr>
          <w:color w:val="4966AC"/>
        </w:rPr>
        <w:t>Leases by</w:t>
      </w:r>
      <w:r>
        <w:rPr>
          <w:color w:val="4966AC"/>
          <w:spacing w:val="-2"/>
        </w:rPr>
        <w:t> category</w:t>
      </w:r>
    </w:p>
    <w:p>
      <w:pPr>
        <w:pStyle w:val="BodyText"/>
        <w:spacing w:before="8"/>
        <w:rPr>
          <w:b/>
          <w:sz w:val="23"/>
        </w:rPr>
      </w:pPr>
    </w:p>
    <w:p>
      <w:pPr>
        <w:pStyle w:val="BodyText"/>
        <w:ind w:left="260" w:right="557"/>
        <w:jc w:val="both"/>
      </w:pPr>
      <w:r>
        <w:rPr/>
        <w:t>As a result of the introduction of AASB 16 Leases, right-of-use assets and lease liabilities have been recognised as outlined in the table below.</w:t>
      </w:r>
    </w:p>
    <w:p>
      <w:pPr>
        <w:pStyle w:val="BodyText"/>
        <w:spacing w:before="2"/>
        <w:rPr>
          <w:sz w:val="21"/>
        </w:rPr>
      </w:pPr>
    </w:p>
    <w:tbl>
      <w:tblPr>
        <w:tblW w:w="0" w:type="auto"/>
        <w:jc w:val="left"/>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88"/>
        <w:gridCol w:w="1925"/>
        <w:gridCol w:w="1925"/>
      </w:tblGrid>
      <w:tr>
        <w:trPr>
          <w:trHeight w:val="893" w:hRule="atLeast"/>
        </w:trPr>
        <w:tc>
          <w:tcPr>
            <w:tcW w:w="10438" w:type="dxa"/>
            <w:gridSpan w:val="3"/>
            <w:tcBorders>
              <w:top w:val="single" w:sz="18" w:space="0" w:color="000000"/>
              <w:left w:val="single" w:sz="12" w:space="0" w:color="000000"/>
              <w:right w:val="single" w:sz="12" w:space="0" w:color="000000"/>
            </w:tcBorders>
            <w:shd w:val="clear" w:color="auto" w:fill="5B9AD4"/>
          </w:tcPr>
          <w:p>
            <w:pPr>
              <w:pStyle w:val="TableParagraph"/>
              <w:tabs>
                <w:tab w:pos="9148" w:val="left" w:leader="none"/>
              </w:tabs>
              <w:spacing w:line="348" w:lineRule="auto" w:before="86"/>
              <w:ind w:left="7223" w:right="605" w:hanging="351"/>
              <w:rPr>
                <w:b/>
                <w:sz w:val="18"/>
              </w:rPr>
            </w:pPr>
            <w:r>
              <w:rPr>
                <w:b/>
                <w:color w:val="FFFFFF"/>
                <w:sz w:val="18"/>
              </w:rPr>
              <w:t>Forecast Actual</w:t>
              <w:tab/>
            </w:r>
            <w:r>
              <w:rPr>
                <w:b/>
                <w:color w:val="FFFFFF"/>
                <w:spacing w:val="-35"/>
                <w:sz w:val="18"/>
              </w:rPr>
              <w:t> </w:t>
            </w:r>
            <w:r>
              <w:rPr>
                <w:b/>
                <w:color w:val="FFFFFF"/>
                <w:sz w:val="18"/>
              </w:rPr>
              <w:t>Budget </w:t>
            </w:r>
            <w:r>
              <w:rPr>
                <w:b/>
                <w:color w:val="FFFFFF"/>
                <w:spacing w:val="-2"/>
                <w:sz w:val="18"/>
              </w:rPr>
              <w:t>2024/25</w:t>
            </w:r>
            <w:r>
              <w:rPr>
                <w:b/>
                <w:color w:val="FFFFFF"/>
                <w:sz w:val="18"/>
              </w:rPr>
              <w:tab/>
            </w:r>
            <w:r>
              <w:rPr>
                <w:b/>
                <w:color w:val="FFFFFF"/>
                <w:spacing w:val="-2"/>
                <w:sz w:val="18"/>
              </w:rPr>
              <w:t>2025/26</w:t>
            </w:r>
          </w:p>
          <w:p>
            <w:pPr>
              <w:pStyle w:val="TableParagraph"/>
              <w:tabs>
                <w:tab w:pos="9424" w:val="left" w:leader="none"/>
              </w:tabs>
              <w:spacing w:line="187" w:lineRule="exact"/>
              <w:ind w:left="7499"/>
              <w:rPr>
                <w:b/>
                <w:sz w:val="18"/>
              </w:rPr>
            </w:pPr>
            <w:r>
              <w:rPr>
                <w:b/>
                <w:color w:val="FFFFFF"/>
                <w:spacing w:val="-10"/>
                <w:sz w:val="18"/>
              </w:rPr>
              <w:t>$</w:t>
            </w:r>
            <w:r>
              <w:rPr>
                <w:b/>
                <w:color w:val="FFFFFF"/>
                <w:sz w:val="18"/>
              </w:rPr>
              <w:tab/>
            </w:r>
            <w:r>
              <w:rPr>
                <w:b/>
                <w:color w:val="FFFFFF"/>
                <w:spacing w:val="-10"/>
                <w:sz w:val="18"/>
              </w:rPr>
              <w:t>$</w:t>
            </w:r>
          </w:p>
        </w:tc>
      </w:tr>
      <w:tr>
        <w:trPr>
          <w:trHeight w:val="301" w:hRule="atLeast"/>
        </w:trPr>
        <w:tc>
          <w:tcPr>
            <w:tcW w:w="6588" w:type="dxa"/>
            <w:tcBorders>
              <w:left w:val="single" w:sz="12" w:space="0" w:color="000000"/>
            </w:tcBorders>
          </w:tcPr>
          <w:p>
            <w:pPr>
              <w:pStyle w:val="TableParagraph"/>
              <w:spacing w:before="33"/>
              <w:ind w:left="107"/>
              <w:rPr>
                <w:b/>
                <w:sz w:val="20"/>
              </w:rPr>
            </w:pPr>
            <w:r>
              <w:rPr>
                <w:b/>
                <w:sz w:val="20"/>
              </w:rPr>
              <w:t>Right-of-use</w:t>
            </w:r>
            <w:r>
              <w:rPr>
                <w:b/>
                <w:spacing w:val="-10"/>
                <w:sz w:val="20"/>
              </w:rPr>
              <w:t> </w:t>
            </w:r>
            <w:r>
              <w:rPr>
                <w:b/>
                <w:spacing w:val="-2"/>
                <w:sz w:val="20"/>
              </w:rPr>
              <w:t>assets</w:t>
            </w:r>
          </w:p>
        </w:tc>
        <w:tc>
          <w:tcPr>
            <w:tcW w:w="1925" w:type="dxa"/>
          </w:tcPr>
          <w:p>
            <w:pPr>
              <w:pStyle w:val="TableParagraph"/>
              <w:rPr>
                <w:rFonts w:ascii="Times New Roman"/>
                <w:sz w:val="20"/>
              </w:rPr>
            </w:pPr>
          </w:p>
        </w:tc>
        <w:tc>
          <w:tcPr>
            <w:tcW w:w="1925" w:type="dxa"/>
            <w:tcBorders>
              <w:right w:val="single" w:sz="12" w:space="0" w:color="000000"/>
            </w:tcBorders>
            <w:shd w:val="clear" w:color="auto" w:fill="DDEBF6"/>
          </w:tcPr>
          <w:p>
            <w:pPr>
              <w:pStyle w:val="TableParagraph"/>
              <w:rPr>
                <w:rFonts w:ascii="Times New Roman"/>
                <w:sz w:val="20"/>
              </w:rPr>
            </w:pPr>
          </w:p>
        </w:tc>
      </w:tr>
      <w:tr>
        <w:trPr>
          <w:trHeight w:val="300" w:hRule="atLeast"/>
        </w:trPr>
        <w:tc>
          <w:tcPr>
            <w:tcW w:w="6588" w:type="dxa"/>
            <w:tcBorders>
              <w:left w:val="single" w:sz="12" w:space="0" w:color="000000"/>
            </w:tcBorders>
          </w:tcPr>
          <w:p>
            <w:pPr>
              <w:pStyle w:val="TableParagraph"/>
              <w:spacing w:before="31"/>
              <w:ind w:left="273"/>
              <w:rPr>
                <w:sz w:val="20"/>
              </w:rPr>
            </w:pPr>
            <w:r>
              <w:rPr>
                <w:sz w:val="20"/>
              </w:rPr>
              <w:t>Office</w:t>
            </w:r>
            <w:r>
              <w:rPr>
                <w:spacing w:val="-4"/>
                <w:sz w:val="20"/>
              </w:rPr>
              <w:t> </w:t>
            </w:r>
            <w:r>
              <w:rPr>
                <w:spacing w:val="-2"/>
                <w:sz w:val="20"/>
              </w:rPr>
              <w:t>Equipment</w:t>
            </w:r>
          </w:p>
        </w:tc>
        <w:tc>
          <w:tcPr>
            <w:tcW w:w="1925" w:type="dxa"/>
          </w:tcPr>
          <w:p>
            <w:pPr>
              <w:pStyle w:val="TableParagraph"/>
              <w:spacing w:before="31"/>
              <w:ind w:right="92"/>
              <w:jc w:val="right"/>
              <w:rPr>
                <w:sz w:val="20"/>
              </w:rPr>
            </w:pPr>
            <w:r>
              <w:rPr>
                <w:spacing w:val="-5"/>
                <w:sz w:val="20"/>
              </w:rPr>
              <w:t>139</w:t>
            </w:r>
          </w:p>
        </w:tc>
        <w:tc>
          <w:tcPr>
            <w:tcW w:w="1925" w:type="dxa"/>
            <w:tcBorders>
              <w:right w:val="single" w:sz="12" w:space="0" w:color="000000"/>
            </w:tcBorders>
            <w:shd w:val="clear" w:color="auto" w:fill="DDEBF6"/>
          </w:tcPr>
          <w:p>
            <w:pPr>
              <w:pStyle w:val="TableParagraph"/>
              <w:spacing w:before="31"/>
              <w:ind w:right="76"/>
              <w:jc w:val="right"/>
              <w:rPr>
                <w:b/>
                <w:sz w:val="20"/>
              </w:rPr>
            </w:pPr>
            <w:r>
              <w:rPr>
                <w:b/>
                <w:spacing w:val="-5"/>
                <w:sz w:val="20"/>
              </w:rPr>
              <w:t>177</w:t>
            </w:r>
          </w:p>
        </w:tc>
      </w:tr>
      <w:tr>
        <w:trPr>
          <w:trHeight w:val="303" w:hRule="atLeast"/>
        </w:trPr>
        <w:tc>
          <w:tcPr>
            <w:tcW w:w="6588" w:type="dxa"/>
            <w:tcBorders>
              <w:left w:val="single" w:sz="12" w:space="0" w:color="000000"/>
            </w:tcBorders>
          </w:tcPr>
          <w:p>
            <w:pPr>
              <w:pStyle w:val="TableParagraph"/>
              <w:spacing w:before="31"/>
              <w:ind w:left="306"/>
              <w:rPr>
                <w:sz w:val="20"/>
              </w:rPr>
            </w:pPr>
            <w:r>
              <w:rPr>
                <w:sz w:val="20"/>
              </w:rPr>
              <w:t>Plant</w:t>
            </w:r>
            <w:r>
              <w:rPr>
                <w:spacing w:val="-6"/>
                <w:sz w:val="20"/>
              </w:rPr>
              <w:t> </w:t>
            </w:r>
            <w:r>
              <w:rPr>
                <w:sz w:val="20"/>
              </w:rPr>
              <w:t>and</w:t>
            </w:r>
            <w:r>
              <w:rPr>
                <w:spacing w:val="-3"/>
                <w:sz w:val="20"/>
              </w:rPr>
              <w:t> </w:t>
            </w:r>
            <w:r>
              <w:rPr>
                <w:spacing w:val="-2"/>
                <w:sz w:val="20"/>
              </w:rPr>
              <w:t>equipment</w:t>
            </w:r>
          </w:p>
        </w:tc>
        <w:tc>
          <w:tcPr>
            <w:tcW w:w="1925" w:type="dxa"/>
          </w:tcPr>
          <w:p>
            <w:pPr>
              <w:pStyle w:val="TableParagraph"/>
              <w:spacing w:before="31"/>
              <w:ind w:right="92"/>
              <w:jc w:val="right"/>
              <w:rPr>
                <w:sz w:val="20"/>
              </w:rPr>
            </w:pPr>
            <w:r>
              <w:rPr>
                <w:spacing w:val="-2"/>
                <w:sz w:val="20"/>
              </w:rPr>
              <w:t>5,713</w:t>
            </w:r>
          </w:p>
        </w:tc>
        <w:tc>
          <w:tcPr>
            <w:tcW w:w="1925" w:type="dxa"/>
            <w:tcBorders>
              <w:right w:val="single" w:sz="12" w:space="0" w:color="000000"/>
            </w:tcBorders>
            <w:shd w:val="clear" w:color="auto" w:fill="DDEBF6"/>
          </w:tcPr>
          <w:p>
            <w:pPr>
              <w:pStyle w:val="TableParagraph"/>
              <w:spacing w:before="31"/>
              <w:ind w:right="76"/>
              <w:jc w:val="right"/>
              <w:rPr>
                <w:b/>
                <w:sz w:val="20"/>
              </w:rPr>
            </w:pPr>
            <w:r>
              <w:rPr>
                <w:b/>
                <w:spacing w:val="-2"/>
                <w:sz w:val="20"/>
              </w:rPr>
              <w:t>7,439</w:t>
            </w:r>
          </w:p>
        </w:tc>
      </w:tr>
      <w:tr>
        <w:trPr>
          <w:trHeight w:val="302" w:hRule="atLeast"/>
        </w:trPr>
        <w:tc>
          <w:tcPr>
            <w:tcW w:w="6588" w:type="dxa"/>
            <w:tcBorders>
              <w:left w:val="single" w:sz="12" w:space="0" w:color="000000"/>
            </w:tcBorders>
          </w:tcPr>
          <w:p>
            <w:pPr>
              <w:pStyle w:val="TableParagraph"/>
              <w:spacing w:before="35"/>
              <w:ind w:left="273"/>
              <w:rPr>
                <w:sz w:val="20"/>
              </w:rPr>
            </w:pPr>
            <w:r>
              <w:rPr>
                <w:spacing w:val="-2"/>
                <w:sz w:val="20"/>
              </w:rPr>
              <w:t>Other</w:t>
            </w:r>
          </w:p>
        </w:tc>
        <w:tc>
          <w:tcPr>
            <w:tcW w:w="1925" w:type="dxa"/>
            <w:tcBorders>
              <w:bottom w:val="single" w:sz="12" w:space="0" w:color="000000"/>
            </w:tcBorders>
          </w:tcPr>
          <w:p>
            <w:pPr>
              <w:pStyle w:val="TableParagraph"/>
              <w:spacing w:before="35"/>
              <w:ind w:right="92"/>
              <w:jc w:val="right"/>
              <w:rPr>
                <w:sz w:val="20"/>
              </w:rPr>
            </w:pPr>
            <w:r>
              <w:rPr>
                <w:spacing w:val="-5"/>
                <w:sz w:val="20"/>
              </w:rPr>
              <w:t>13</w:t>
            </w:r>
          </w:p>
        </w:tc>
        <w:tc>
          <w:tcPr>
            <w:tcW w:w="1925" w:type="dxa"/>
            <w:tcBorders>
              <w:bottom w:val="single" w:sz="18" w:space="0" w:color="000000"/>
              <w:right w:val="single" w:sz="12" w:space="0" w:color="000000"/>
            </w:tcBorders>
            <w:shd w:val="clear" w:color="auto" w:fill="DDEBF6"/>
          </w:tcPr>
          <w:p>
            <w:pPr>
              <w:pStyle w:val="TableParagraph"/>
              <w:spacing w:before="35"/>
              <w:ind w:right="76"/>
              <w:jc w:val="right"/>
              <w:rPr>
                <w:b/>
                <w:sz w:val="20"/>
              </w:rPr>
            </w:pPr>
            <w:r>
              <w:rPr>
                <w:b/>
                <w:w w:val="99"/>
                <w:sz w:val="20"/>
              </w:rPr>
              <w:t>8</w:t>
            </w:r>
          </w:p>
        </w:tc>
      </w:tr>
      <w:tr>
        <w:trPr>
          <w:trHeight w:val="286" w:hRule="atLeast"/>
        </w:trPr>
        <w:tc>
          <w:tcPr>
            <w:tcW w:w="6588" w:type="dxa"/>
            <w:tcBorders>
              <w:left w:val="single" w:sz="12" w:space="0" w:color="000000"/>
            </w:tcBorders>
          </w:tcPr>
          <w:p>
            <w:pPr>
              <w:pStyle w:val="TableParagraph"/>
              <w:spacing w:before="26"/>
              <w:ind w:left="107"/>
              <w:rPr>
                <w:b/>
                <w:sz w:val="20"/>
              </w:rPr>
            </w:pPr>
            <w:r>
              <w:rPr>
                <w:b/>
                <w:sz w:val="20"/>
              </w:rPr>
              <w:t>Total</w:t>
            </w:r>
            <w:r>
              <w:rPr>
                <w:b/>
                <w:spacing w:val="-9"/>
                <w:sz w:val="20"/>
              </w:rPr>
              <w:t> </w:t>
            </w:r>
            <w:r>
              <w:rPr>
                <w:b/>
                <w:sz w:val="20"/>
              </w:rPr>
              <w:t>right-of-use</w:t>
            </w:r>
            <w:r>
              <w:rPr>
                <w:b/>
                <w:spacing w:val="-9"/>
                <w:sz w:val="20"/>
              </w:rPr>
              <w:t> </w:t>
            </w:r>
            <w:r>
              <w:rPr>
                <w:b/>
                <w:spacing w:val="-2"/>
                <w:sz w:val="20"/>
              </w:rPr>
              <w:t>assets</w:t>
            </w:r>
          </w:p>
        </w:tc>
        <w:tc>
          <w:tcPr>
            <w:tcW w:w="1925" w:type="dxa"/>
            <w:tcBorders>
              <w:top w:val="single" w:sz="12" w:space="0" w:color="000000"/>
              <w:bottom w:val="single" w:sz="12" w:space="0" w:color="000000"/>
            </w:tcBorders>
          </w:tcPr>
          <w:p>
            <w:pPr>
              <w:pStyle w:val="TableParagraph"/>
              <w:spacing w:before="26"/>
              <w:ind w:right="91"/>
              <w:jc w:val="right"/>
              <w:rPr>
                <w:b/>
                <w:sz w:val="20"/>
              </w:rPr>
            </w:pPr>
            <w:r>
              <w:rPr>
                <w:b/>
                <w:spacing w:val="-2"/>
                <w:sz w:val="20"/>
              </w:rPr>
              <w:t>5,865</w:t>
            </w:r>
          </w:p>
        </w:tc>
        <w:tc>
          <w:tcPr>
            <w:tcW w:w="1925" w:type="dxa"/>
            <w:tcBorders>
              <w:top w:val="single" w:sz="18" w:space="0" w:color="000000"/>
              <w:bottom w:val="single" w:sz="18" w:space="0" w:color="000000"/>
              <w:right w:val="single" w:sz="12" w:space="0" w:color="000000"/>
            </w:tcBorders>
            <w:shd w:val="clear" w:color="auto" w:fill="DDEBF6"/>
          </w:tcPr>
          <w:p>
            <w:pPr>
              <w:pStyle w:val="TableParagraph"/>
              <w:spacing w:before="26"/>
              <w:ind w:right="76"/>
              <w:jc w:val="right"/>
              <w:rPr>
                <w:b/>
                <w:sz w:val="20"/>
              </w:rPr>
            </w:pPr>
            <w:r>
              <w:rPr>
                <w:b/>
                <w:spacing w:val="-2"/>
                <w:sz w:val="20"/>
              </w:rPr>
              <w:t>7,625</w:t>
            </w:r>
          </w:p>
        </w:tc>
      </w:tr>
      <w:tr>
        <w:trPr>
          <w:trHeight w:val="592" w:hRule="atLeast"/>
        </w:trPr>
        <w:tc>
          <w:tcPr>
            <w:tcW w:w="6588" w:type="dxa"/>
            <w:tcBorders>
              <w:left w:val="single" w:sz="12" w:space="0" w:color="000000"/>
            </w:tcBorders>
          </w:tcPr>
          <w:p>
            <w:pPr>
              <w:pStyle w:val="TableParagraph"/>
              <w:spacing w:before="1"/>
              <w:rPr>
                <w:sz w:val="28"/>
              </w:rPr>
            </w:pPr>
          </w:p>
          <w:p>
            <w:pPr>
              <w:pStyle w:val="TableParagraph"/>
              <w:spacing w:before="1"/>
              <w:ind w:left="107"/>
              <w:rPr>
                <w:b/>
                <w:sz w:val="20"/>
              </w:rPr>
            </w:pPr>
            <w:r>
              <w:rPr>
                <w:b/>
                <w:sz w:val="20"/>
              </w:rPr>
              <w:t>Lease</w:t>
            </w:r>
            <w:r>
              <w:rPr>
                <w:b/>
                <w:spacing w:val="-6"/>
                <w:sz w:val="20"/>
              </w:rPr>
              <w:t> </w:t>
            </w:r>
            <w:r>
              <w:rPr>
                <w:b/>
                <w:spacing w:val="-2"/>
                <w:sz w:val="20"/>
              </w:rPr>
              <w:t>liabilities</w:t>
            </w:r>
          </w:p>
        </w:tc>
        <w:tc>
          <w:tcPr>
            <w:tcW w:w="1925" w:type="dxa"/>
            <w:tcBorders>
              <w:top w:val="single" w:sz="12" w:space="0" w:color="000000"/>
            </w:tcBorders>
          </w:tcPr>
          <w:p>
            <w:pPr>
              <w:pStyle w:val="TableParagraph"/>
              <w:rPr>
                <w:rFonts w:ascii="Times New Roman"/>
                <w:sz w:val="20"/>
              </w:rPr>
            </w:pPr>
          </w:p>
        </w:tc>
        <w:tc>
          <w:tcPr>
            <w:tcW w:w="1925" w:type="dxa"/>
            <w:tcBorders>
              <w:top w:val="single" w:sz="18" w:space="0" w:color="000000"/>
              <w:right w:val="single" w:sz="12" w:space="0" w:color="000000"/>
            </w:tcBorders>
            <w:shd w:val="clear" w:color="auto" w:fill="DDEBF6"/>
          </w:tcPr>
          <w:p>
            <w:pPr>
              <w:pStyle w:val="TableParagraph"/>
              <w:rPr>
                <w:rFonts w:ascii="Times New Roman"/>
                <w:sz w:val="20"/>
              </w:rPr>
            </w:pPr>
          </w:p>
        </w:tc>
      </w:tr>
      <w:tr>
        <w:trPr>
          <w:trHeight w:val="300" w:hRule="atLeast"/>
        </w:trPr>
        <w:tc>
          <w:tcPr>
            <w:tcW w:w="6588" w:type="dxa"/>
            <w:tcBorders>
              <w:left w:val="single" w:sz="12" w:space="0" w:color="000000"/>
            </w:tcBorders>
          </w:tcPr>
          <w:p>
            <w:pPr>
              <w:pStyle w:val="TableParagraph"/>
              <w:spacing w:before="31"/>
              <w:ind w:left="107"/>
              <w:rPr>
                <w:b/>
                <w:sz w:val="20"/>
              </w:rPr>
            </w:pPr>
            <w:r>
              <w:rPr>
                <w:b/>
                <w:sz w:val="20"/>
              </w:rPr>
              <w:t>Current</w:t>
            </w:r>
            <w:r>
              <w:rPr>
                <w:b/>
                <w:spacing w:val="-8"/>
                <w:sz w:val="20"/>
              </w:rPr>
              <w:t> </w:t>
            </w:r>
            <w:r>
              <w:rPr>
                <w:b/>
                <w:sz w:val="20"/>
              </w:rPr>
              <w:t>lease</w:t>
            </w:r>
            <w:r>
              <w:rPr>
                <w:b/>
                <w:spacing w:val="-8"/>
                <w:sz w:val="20"/>
              </w:rPr>
              <w:t> </w:t>
            </w:r>
            <w:r>
              <w:rPr>
                <w:b/>
                <w:spacing w:val="-2"/>
                <w:sz w:val="20"/>
              </w:rPr>
              <w:t>Liabilities</w:t>
            </w:r>
          </w:p>
        </w:tc>
        <w:tc>
          <w:tcPr>
            <w:tcW w:w="1925" w:type="dxa"/>
          </w:tcPr>
          <w:p>
            <w:pPr>
              <w:pStyle w:val="TableParagraph"/>
              <w:rPr>
                <w:rFonts w:ascii="Times New Roman"/>
                <w:sz w:val="20"/>
              </w:rPr>
            </w:pPr>
          </w:p>
        </w:tc>
        <w:tc>
          <w:tcPr>
            <w:tcW w:w="1925" w:type="dxa"/>
            <w:tcBorders>
              <w:right w:val="single" w:sz="12" w:space="0" w:color="000000"/>
            </w:tcBorders>
            <w:shd w:val="clear" w:color="auto" w:fill="DDEBF6"/>
          </w:tcPr>
          <w:p>
            <w:pPr>
              <w:pStyle w:val="TableParagraph"/>
              <w:rPr>
                <w:rFonts w:ascii="Times New Roman"/>
                <w:sz w:val="20"/>
              </w:rPr>
            </w:pPr>
          </w:p>
        </w:tc>
      </w:tr>
      <w:tr>
        <w:trPr>
          <w:trHeight w:val="300" w:hRule="atLeast"/>
        </w:trPr>
        <w:tc>
          <w:tcPr>
            <w:tcW w:w="6588" w:type="dxa"/>
            <w:tcBorders>
              <w:left w:val="single" w:sz="12" w:space="0" w:color="000000"/>
            </w:tcBorders>
          </w:tcPr>
          <w:p>
            <w:pPr>
              <w:pStyle w:val="TableParagraph"/>
              <w:spacing w:before="31"/>
              <w:ind w:left="273"/>
              <w:rPr>
                <w:sz w:val="20"/>
              </w:rPr>
            </w:pPr>
            <w:r>
              <w:rPr>
                <w:sz w:val="20"/>
              </w:rPr>
              <w:t>Land</w:t>
            </w:r>
            <w:r>
              <w:rPr>
                <w:spacing w:val="-6"/>
                <w:sz w:val="20"/>
              </w:rPr>
              <w:t> </w:t>
            </w:r>
            <w:r>
              <w:rPr>
                <w:sz w:val="20"/>
              </w:rPr>
              <w:t>and</w:t>
            </w:r>
            <w:r>
              <w:rPr>
                <w:spacing w:val="-5"/>
                <w:sz w:val="20"/>
              </w:rPr>
              <w:t> </w:t>
            </w:r>
            <w:r>
              <w:rPr>
                <w:spacing w:val="-2"/>
                <w:sz w:val="20"/>
              </w:rPr>
              <w:t>Buildings</w:t>
            </w:r>
          </w:p>
        </w:tc>
        <w:tc>
          <w:tcPr>
            <w:tcW w:w="1925" w:type="dxa"/>
          </w:tcPr>
          <w:p>
            <w:pPr>
              <w:pStyle w:val="TableParagraph"/>
              <w:rPr>
                <w:rFonts w:ascii="Times New Roman"/>
                <w:sz w:val="20"/>
              </w:rPr>
            </w:pPr>
          </w:p>
        </w:tc>
        <w:tc>
          <w:tcPr>
            <w:tcW w:w="1925" w:type="dxa"/>
            <w:tcBorders>
              <w:right w:val="single" w:sz="12" w:space="0" w:color="000000"/>
            </w:tcBorders>
            <w:shd w:val="clear" w:color="auto" w:fill="DDEBF6"/>
          </w:tcPr>
          <w:p>
            <w:pPr>
              <w:pStyle w:val="TableParagraph"/>
              <w:rPr>
                <w:rFonts w:ascii="Times New Roman"/>
                <w:sz w:val="20"/>
              </w:rPr>
            </w:pPr>
          </w:p>
        </w:tc>
      </w:tr>
      <w:tr>
        <w:trPr>
          <w:trHeight w:val="300" w:hRule="atLeast"/>
        </w:trPr>
        <w:tc>
          <w:tcPr>
            <w:tcW w:w="6588" w:type="dxa"/>
            <w:tcBorders>
              <w:left w:val="single" w:sz="12" w:space="0" w:color="000000"/>
            </w:tcBorders>
          </w:tcPr>
          <w:p>
            <w:pPr>
              <w:pStyle w:val="TableParagraph"/>
              <w:spacing w:before="31"/>
              <w:ind w:left="273"/>
              <w:rPr>
                <w:sz w:val="20"/>
              </w:rPr>
            </w:pPr>
            <w:r>
              <w:rPr>
                <w:sz w:val="20"/>
              </w:rPr>
              <w:t>Plant</w:t>
            </w:r>
            <w:r>
              <w:rPr>
                <w:spacing w:val="-3"/>
                <w:sz w:val="20"/>
              </w:rPr>
              <w:t> </w:t>
            </w:r>
            <w:r>
              <w:rPr>
                <w:sz w:val="20"/>
              </w:rPr>
              <w:t>and</w:t>
            </w:r>
            <w:r>
              <w:rPr>
                <w:spacing w:val="-5"/>
                <w:sz w:val="20"/>
              </w:rPr>
              <w:t> </w:t>
            </w:r>
            <w:r>
              <w:rPr>
                <w:spacing w:val="-2"/>
                <w:sz w:val="20"/>
              </w:rPr>
              <w:t>equipment</w:t>
            </w:r>
          </w:p>
        </w:tc>
        <w:tc>
          <w:tcPr>
            <w:tcW w:w="1925" w:type="dxa"/>
          </w:tcPr>
          <w:p>
            <w:pPr>
              <w:pStyle w:val="TableParagraph"/>
              <w:spacing w:before="31"/>
              <w:ind w:right="91"/>
              <w:jc w:val="right"/>
              <w:rPr>
                <w:sz w:val="20"/>
              </w:rPr>
            </w:pPr>
            <w:r>
              <w:rPr>
                <w:spacing w:val="-2"/>
                <w:sz w:val="20"/>
              </w:rPr>
              <w:t>1,111</w:t>
            </w:r>
          </w:p>
        </w:tc>
        <w:tc>
          <w:tcPr>
            <w:tcW w:w="1925" w:type="dxa"/>
            <w:tcBorders>
              <w:right w:val="single" w:sz="12" w:space="0" w:color="000000"/>
            </w:tcBorders>
            <w:shd w:val="clear" w:color="auto" w:fill="DDEBF6"/>
          </w:tcPr>
          <w:p>
            <w:pPr>
              <w:pStyle w:val="TableParagraph"/>
              <w:spacing w:before="31"/>
              <w:ind w:right="76"/>
              <w:jc w:val="right"/>
              <w:rPr>
                <w:b/>
                <w:sz w:val="20"/>
              </w:rPr>
            </w:pPr>
            <w:r>
              <w:rPr>
                <w:b/>
                <w:spacing w:val="-2"/>
                <w:sz w:val="20"/>
              </w:rPr>
              <w:t>1,696</w:t>
            </w:r>
          </w:p>
        </w:tc>
      </w:tr>
      <w:tr>
        <w:trPr>
          <w:trHeight w:val="291" w:hRule="atLeast"/>
        </w:trPr>
        <w:tc>
          <w:tcPr>
            <w:tcW w:w="6588" w:type="dxa"/>
            <w:tcBorders>
              <w:left w:val="single" w:sz="12" w:space="0" w:color="000000"/>
            </w:tcBorders>
          </w:tcPr>
          <w:p>
            <w:pPr>
              <w:pStyle w:val="TableParagraph"/>
              <w:spacing w:before="31"/>
              <w:ind w:left="306"/>
              <w:rPr>
                <w:sz w:val="20"/>
              </w:rPr>
            </w:pPr>
            <w:r>
              <w:rPr>
                <w:spacing w:val="-2"/>
                <w:sz w:val="20"/>
              </w:rPr>
              <w:t>Other</w:t>
            </w:r>
          </w:p>
        </w:tc>
        <w:tc>
          <w:tcPr>
            <w:tcW w:w="1925" w:type="dxa"/>
            <w:tcBorders>
              <w:bottom w:val="single" w:sz="12" w:space="0" w:color="000000"/>
            </w:tcBorders>
          </w:tcPr>
          <w:p>
            <w:pPr>
              <w:pStyle w:val="TableParagraph"/>
              <w:rPr>
                <w:rFonts w:ascii="Times New Roman"/>
                <w:sz w:val="20"/>
              </w:rPr>
            </w:pPr>
          </w:p>
        </w:tc>
        <w:tc>
          <w:tcPr>
            <w:tcW w:w="1925" w:type="dxa"/>
            <w:tcBorders>
              <w:bottom w:val="single" w:sz="18" w:space="0" w:color="000000"/>
              <w:right w:val="single" w:sz="12" w:space="0" w:color="000000"/>
            </w:tcBorders>
            <w:shd w:val="clear" w:color="auto" w:fill="DDEBF6"/>
          </w:tcPr>
          <w:p>
            <w:pPr>
              <w:pStyle w:val="TableParagraph"/>
              <w:rPr>
                <w:rFonts w:ascii="Times New Roman"/>
                <w:sz w:val="20"/>
              </w:rPr>
            </w:pPr>
          </w:p>
        </w:tc>
      </w:tr>
      <w:tr>
        <w:trPr>
          <w:trHeight w:val="300" w:hRule="atLeast"/>
        </w:trPr>
        <w:tc>
          <w:tcPr>
            <w:tcW w:w="6588" w:type="dxa"/>
            <w:tcBorders>
              <w:left w:val="single" w:sz="12" w:space="0" w:color="000000"/>
            </w:tcBorders>
          </w:tcPr>
          <w:p>
            <w:pPr>
              <w:pStyle w:val="TableParagraph"/>
              <w:spacing w:before="33"/>
              <w:ind w:left="107"/>
              <w:rPr>
                <w:b/>
                <w:sz w:val="20"/>
              </w:rPr>
            </w:pPr>
            <w:r>
              <w:rPr>
                <w:b/>
                <w:sz w:val="20"/>
              </w:rPr>
              <w:t>Total</w:t>
            </w:r>
            <w:r>
              <w:rPr>
                <w:b/>
                <w:spacing w:val="-8"/>
                <w:sz w:val="20"/>
              </w:rPr>
              <w:t> </w:t>
            </w:r>
            <w:r>
              <w:rPr>
                <w:b/>
                <w:sz w:val="20"/>
              </w:rPr>
              <w:t>current</w:t>
            </w:r>
            <w:r>
              <w:rPr>
                <w:b/>
                <w:spacing w:val="-7"/>
                <w:sz w:val="20"/>
              </w:rPr>
              <w:t> </w:t>
            </w:r>
            <w:r>
              <w:rPr>
                <w:b/>
                <w:sz w:val="20"/>
              </w:rPr>
              <w:t>lease</w:t>
            </w:r>
            <w:r>
              <w:rPr>
                <w:b/>
                <w:spacing w:val="-8"/>
                <w:sz w:val="20"/>
              </w:rPr>
              <w:t> </w:t>
            </w:r>
            <w:r>
              <w:rPr>
                <w:b/>
                <w:spacing w:val="-2"/>
                <w:sz w:val="20"/>
              </w:rPr>
              <w:t>liabilities</w:t>
            </w:r>
          </w:p>
        </w:tc>
        <w:tc>
          <w:tcPr>
            <w:tcW w:w="1925" w:type="dxa"/>
            <w:tcBorders>
              <w:top w:val="single" w:sz="12" w:space="0" w:color="000000"/>
              <w:bottom w:val="single" w:sz="12" w:space="0" w:color="000000"/>
            </w:tcBorders>
          </w:tcPr>
          <w:p>
            <w:pPr>
              <w:pStyle w:val="TableParagraph"/>
              <w:spacing w:before="33"/>
              <w:ind w:right="91"/>
              <w:jc w:val="right"/>
              <w:rPr>
                <w:sz w:val="20"/>
              </w:rPr>
            </w:pPr>
            <w:r>
              <w:rPr>
                <w:spacing w:val="-2"/>
                <w:sz w:val="20"/>
              </w:rPr>
              <w:t>1,111</w:t>
            </w:r>
          </w:p>
        </w:tc>
        <w:tc>
          <w:tcPr>
            <w:tcW w:w="1925" w:type="dxa"/>
            <w:tcBorders>
              <w:top w:val="single" w:sz="18" w:space="0" w:color="000000"/>
              <w:bottom w:val="single" w:sz="18" w:space="0" w:color="000000"/>
              <w:right w:val="single" w:sz="12" w:space="0" w:color="000000"/>
            </w:tcBorders>
            <w:shd w:val="clear" w:color="auto" w:fill="DDEBF6"/>
          </w:tcPr>
          <w:p>
            <w:pPr>
              <w:pStyle w:val="TableParagraph"/>
              <w:spacing w:before="33"/>
              <w:ind w:right="76"/>
              <w:jc w:val="right"/>
              <w:rPr>
                <w:b/>
                <w:sz w:val="20"/>
              </w:rPr>
            </w:pPr>
            <w:r>
              <w:rPr>
                <w:b/>
                <w:spacing w:val="-2"/>
                <w:sz w:val="20"/>
              </w:rPr>
              <w:t>1,696</w:t>
            </w:r>
          </w:p>
        </w:tc>
      </w:tr>
      <w:tr>
        <w:trPr>
          <w:trHeight w:val="309" w:hRule="atLeast"/>
        </w:trPr>
        <w:tc>
          <w:tcPr>
            <w:tcW w:w="6588" w:type="dxa"/>
            <w:tcBorders>
              <w:left w:val="single" w:sz="12" w:space="0" w:color="000000"/>
            </w:tcBorders>
          </w:tcPr>
          <w:p>
            <w:pPr>
              <w:pStyle w:val="TableParagraph"/>
              <w:spacing w:before="33"/>
              <w:ind w:left="107"/>
              <w:rPr>
                <w:b/>
                <w:sz w:val="20"/>
              </w:rPr>
            </w:pPr>
            <w:r>
              <w:rPr>
                <w:b/>
                <w:sz w:val="20"/>
              </w:rPr>
              <w:t>Non-current</w:t>
            </w:r>
            <w:r>
              <w:rPr>
                <w:b/>
                <w:spacing w:val="-9"/>
                <w:sz w:val="20"/>
              </w:rPr>
              <w:t> </w:t>
            </w:r>
            <w:r>
              <w:rPr>
                <w:b/>
                <w:sz w:val="20"/>
              </w:rPr>
              <w:t>lease</w:t>
            </w:r>
            <w:r>
              <w:rPr>
                <w:b/>
                <w:spacing w:val="-10"/>
                <w:sz w:val="20"/>
              </w:rPr>
              <w:t> </w:t>
            </w:r>
            <w:r>
              <w:rPr>
                <w:b/>
                <w:spacing w:val="-2"/>
                <w:sz w:val="20"/>
              </w:rPr>
              <w:t>liabilities</w:t>
            </w:r>
          </w:p>
        </w:tc>
        <w:tc>
          <w:tcPr>
            <w:tcW w:w="1925" w:type="dxa"/>
            <w:tcBorders>
              <w:top w:val="single" w:sz="12" w:space="0" w:color="000000"/>
            </w:tcBorders>
          </w:tcPr>
          <w:p>
            <w:pPr>
              <w:pStyle w:val="TableParagraph"/>
              <w:rPr>
                <w:rFonts w:ascii="Times New Roman"/>
                <w:sz w:val="20"/>
              </w:rPr>
            </w:pPr>
          </w:p>
        </w:tc>
        <w:tc>
          <w:tcPr>
            <w:tcW w:w="1925" w:type="dxa"/>
            <w:tcBorders>
              <w:top w:val="single" w:sz="18" w:space="0" w:color="000000"/>
              <w:right w:val="single" w:sz="12" w:space="0" w:color="000000"/>
            </w:tcBorders>
            <w:shd w:val="clear" w:color="auto" w:fill="DDEBF6"/>
          </w:tcPr>
          <w:p>
            <w:pPr>
              <w:pStyle w:val="TableParagraph"/>
              <w:rPr>
                <w:rFonts w:ascii="Times New Roman"/>
                <w:sz w:val="20"/>
              </w:rPr>
            </w:pPr>
          </w:p>
        </w:tc>
      </w:tr>
      <w:tr>
        <w:trPr>
          <w:trHeight w:val="310" w:hRule="atLeast"/>
        </w:trPr>
        <w:tc>
          <w:tcPr>
            <w:tcW w:w="6588" w:type="dxa"/>
            <w:tcBorders>
              <w:left w:val="single" w:sz="12" w:space="0" w:color="000000"/>
            </w:tcBorders>
          </w:tcPr>
          <w:p>
            <w:pPr>
              <w:pStyle w:val="TableParagraph"/>
              <w:spacing w:before="38"/>
              <w:ind w:left="306"/>
              <w:rPr>
                <w:sz w:val="20"/>
              </w:rPr>
            </w:pPr>
            <w:r>
              <w:rPr>
                <w:sz w:val="20"/>
              </w:rPr>
              <w:t>Land</w:t>
            </w:r>
            <w:r>
              <w:rPr>
                <w:spacing w:val="-4"/>
                <w:sz w:val="20"/>
              </w:rPr>
              <w:t> </w:t>
            </w:r>
            <w:r>
              <w:rPr>
                <w:sz w:val="20"/>
              </w:rPr>
              <w:t>and</w:t>
            </w:r>
            <w:r>
              <w:rPr>
                <w:spacing w:val="-6"/>
                <w:sz w:val="20"/>
              </w:rPr>
              <w:t> </w:t>
            </w:r>
            <w:r>
              <w:rPr>
                <w:spacing w:val="-2"/>
                <w:sz w:val="20"/>
              </w:rPr>
              <w:t>Buildings</w:t>
            </w:r>
          </w:p>
        </w:tc>
        <w:tc>
          <w:tcPr>
            <w:tcW w:w="1925" w:type="dxa"/>
          </w:tcPr>
          <w:p>
            <w:pPr>
              <w:pStyle w:val="TableParagraph"/>
              <w:rPr>
                <w:rFonts w:ascii="Times New Roman"/>
                <w:sz w:val="20"/>
              </w:rPr>
            </w:pPr>
          </w:p>
        </w:tc>
        <w:tc>
          <w:tcPr>
            <w:tcW w:w="1925" w:type="dxa"/>
            <w:tcBorders>
              <w:right w:val="single" w:sz="12" w:space="0" w:color="000000"/>
            </w:tcBorders>
            <w:shd w:val="clear" w:color="auto" w:fill="DDEBF6"/>
          </w:tcPr>
          <w:p>
            <w:pPr>
              <w:pStyle w:val="TableParagraph"/>
              <w:rPr>
                <w:rFonts w:ascii="Times New Roman"/>
                <w:sz w:val="20"/>
              </w:rPr>
            </w:pPr>
          </w:p>
        </w:tc>
      </w:tr>
      <w:tr>
        <w:trPr>
          <w:trHeight w:val="303" w:hRule="atLeast"/>
        </w:trPr>
        <w:tc>
          <w:tcPr>
            <w:tcW w:w="6588" w:type="dxa"/>
            <w:tcBorders>
              <w:left w:val="single" w:sz="12" w:space="0" w:color="000000"/>
            </w:tcBorders>
          </w:tcPr>
          <w:p>
            <w:pPr>
              <w:pStyle w:val="TableParagraph"/>
              <w:spacing w:before="35"/>
              <w:ind w:left="273"/>
              <w:rPr>
                <w:sz w:val="20"/>
              </w:rPr>
            </w:pPr>
            <w:r>
              <w:rPr>
                <w:sz w:val="20"/>
              </w:rPr>
              <w:t>Plant</w:t>
            </w:r>
            <w:r>
              <w:rPr>
                <w:spacing w:val="-3"/>
                <w:sz w:val="20"/>
              </w:rPr>
              <w:t> </w:t>
            </w:r>
            <w:r>
              <w:rPr>
                <w:sz w:val="20"/>
              </w:rPr>
              <w:t>and</w:t>
            </w:r>
            <w:r>
              <w:rPr>
                <w:spacing w:val="-5"/>
                <w:sz w:val="20"/>
              </w:rPr>
              <w:t> </w:t>
            </w:r>
            <w:r>
              <w:rPr>
                <w:spacing w:val="-2"/>
                <w:sz w:val="20"/>
              </w:rPr>
              <w:t>equipment</w:t>
            </w:r>
          </w:p>
        </w:tc>
        <w:tc>
          <w:tcPr>
            <w:tcW w:w="1925" w:type="dxa"/>
          </w:tcPr>
          <w:p>
            <w:pPr>
              <w:pStyle w:val="TableParagraph"/>
              <w:spacing w:before="35"/>
              <w:ind w:right="91"/>
              <w:jc w:val="right"/>
              <w:rPr>
                <w:sz w:val="20"/>
              </w:rPr>
            </w:pPr>
            <w:r>
              <w:rPr>
                <w:spacing w:val="-2"/>
                <w:sz w:val="20"/>
              </w:rPr>
              <w:t>5,339</w:t>
            </w:r>
          </w:p>
        </w:tc>
        <w:tc>
          <w:tcPr>
            <w:tcW w:w="1925" w:type="dxa"/>
            <w:tcBorders>
              <w:right w:val="single" w:sz="12" w:space="0" w:color="000000"/>
            </w:tcBorders>
            <w:shd w:val="clear" w:color="auto" w:fill="DDEBF6"/>
          </w:tcPr>
          <w:p>
            <w:pPr>
              <w:pStyle w:val="TableParagraph"/>
              <w:spacing w:before="35"/>
              <w:ind w:right="76"/>
              <w:jc w:val="right"/>
              <w:rPr>
                <w:b/>
                <w:sz w:val="20"/>
              </w:rPr>
            </w:pPr>
            <w:r>
              <w:rPr>
                <w:b/>
                <w:spacing w:val="-2"/>
                <w:sz w:val="20"/>
              </w:rPr>
              <w:t>6,585</w:t>
            </w:r>
          </w:p>
        </w:tc>
      </w:tr>
      <w:tr>
        <w:trPr>
          <w:trHeight w:val="291" w:hRule="atLeast"/>
        </w:trPr>
        <w:tc>
          <w:tcPr>
            <w:tcW w:w="6588" w:type="dxa"/>
            <w:tcBorders>
              <w:left w:val="single" w:sz="12" w:space="0" w:color="000000"/>
            </w:tcBorders>
          </w:tcPr>
          <w:p>
            <w:pPr>
              <w:pStyle w:val="TableParagraph"/>
              <w:spacing w:before="31"/>
              <w:ind w:left="306"/>
              <w:rPr>
                <w:sz w:val="20"/>
              </w:rPr>
            </w:pPr>
            <w:r>
              <w:rPr>
                <w:spacing w:val="-2"/>
                <w:sz w:val="20"/>
              </w:rPr>
              <w:t>Other</w:t>
            </w:r>
          </w:p>
        </w:tc>
        <w:tc>
          <w:tcPr>
            <w:tcW w:w="1925" w:type="dxa"/>
            <w:tcBorders>
              <w:bottom w:val="single" w:sz="12" w:space="0" w:color="000000"/>
            </w:tcBorders>
          </w:tcPr>
          <w:p>
            <w:pPr>
              <w:pStyle w:val="TableParagraph"/>
              <w:rPr>
                <w:rFonts w:ascii="Times New Roman"/>
                <w:sz w:val="20"/>
              </w:rPr>
            </w:pPr>
          </w:p>
        </w:tc>
        <w:tc>
          <w:tcPr>
            <w:tcW w:w="1925" w:type="dxa"/>
            <w:tcBorders>
              <w:bottom w:val="single" w:sz="18" w:space="0" w:color="000000"/>
              <w:right w:val="single" w:sz="12" w:space="0" w:color="000000"/>
            </w:tcBorders>
            <w:shd w:val="clear" w:color="auto" w:fill="DDEBF6"/>
          </w:tcPr>
          <w:p>
            <w:pPr>
              <w:pStyle w:val="TableParagraph"/>
              <w:rPr>
                <w:rFonts w:ascii="Times New Roman"/>
                <w:sz w:val="20"/>
              </w:rPr>
            </w:pPr>
          </w:p>
        </w:tc>
      </w:tr>
      <w:tr>
        <w:trPr>
          <w:trHeight w:val="300" w:hRule="atLeast"/>
        </w:trPr>
        <w:tc>
          <w:tcPr>
            <w:tcW w:w="6588" w:type="dxa"/>
            <w:tcBorders>
              <w:left w:val="single" w:sz="12" w:space="0" w:color="000000"/>
            </w:tcBorders>
          </w:tcPr>
          <w:p>
            <w:pPr>
              <w:pStyle w:val="TableParagraph"/>
              <w:spacing w:before="33"/>
              <w:ind w:left="107"/>
              <w:rPr>
                <w:b/>
                <w:sz w:val="20"/>
              </w:rPr>
            </w:pPr>
            <w:r>
              <w:rPr>
                <w:b/>
                <w:sz w:val="20"/>
              </w:rPr>
              <w:t>Total</w:t>
            </w:r>
            <w:r>
              <w:rPr>
                <w:b/>
                <w:spacing w:val="-11"/>
                <w:sz w:val="20"/>
              </w:rPr>
              <w:t> </w:t>
            </w:r>
            <w:r>
              <w:rPr>
                <w:b/>
                <w:sz w:val="20"/>
              </w:rPr>
              <w:t>non-current</w:t>
            </w:r>
            <w:r>
              <w:rPr>
                <w:b/>
                <w:spacing w:val="-8"/>
                <w:sz w:val="20"/>
              </w:rPr>
              <w:t> </w:t>
            </w:r>
            <w:r>
              <w:rPr>
                <w:b/>
                <w:sz w:val="20"/>
              </w:rPr>
              <w:t>lease</w:t>
            </w:r>
            <w:r>
              <w:rPr>
                <w:b/>
                <w:spacing w:val="-8"/>
                <w:sz w:val="20"/>
              </w:rPr>
              <w:t> </w:t>
            </w:r>
            <w:r>
              <w:rPr>
                <w:b/>
                <w:spacing w:val="-2"/>
                <w:sz w:val="20"/>
              </w:rPr>
              <w:t>liabilities</w:t>
            </w:r>
          </w:p>
        </w:tc>
        <w:tc>
          <w:tcPr>
            <w:tcW w:w="1925" w:type="dxa"/>
            <w:tcBorders>
              <w:top w:val="single" w:sz="12" w:space="0" w:color="000000"/>
              <w:bottom w:val="single" w:sz="12" w:space="0" w:color="000000"/>
            </w:tcBorders>
          </w:tcPr>
          <w:p>
            <w:pPr>
              <w:pStyle w:val="TableParagraph"/>
              <w:spacing w:before="33"/>
              <w:ind w:right="91"/>
              <w:jc w:val="right"/>
              <w:rPr>
                <w:sz w:val="20"/>
              </w:rPr>
            </w:pPr>
            <w:r>
              <w:rPr>
                <w:spacing w:val="-2"/>
                <w:sz w:val="20"/>
              </w:rPr>
              <w:t>5,339</w:t>
            </w:r>
          </w:p>
        </w:tc>
        <w:tc>
          <w:tcPr>
            <w:tcW w:w="1925" w:type="dxa"/>
            <w:tcBorders>
              <w:top w:val="single" w:sz="18" w:space="0" w:color="000000"/>
              <w:bottom w:val="single" w:sz="18" w:space="0" w:color="000000"/>
              <w:right w:val="single" w:sz="12" w:space="0" w:color="000000"/>
            </w:tcBorders>
            <w:shd w:val="clear" w:color="auto" w:fill="DDEBF6"/>
          </w:tcPr>
          <w:p>
            <w:pPr>
              <w:pStyle w:val="TableParagraph"/>
              <w:spacing w:before="33"/>
              <w:ind w:right="76"/>
              <w:jc w:val="right"/>
              <w:rPr>
                <w:b/>
                <w:sz w:val="20"/>
              </w:rPr>
            </w:pPr>
            <w:r>
              <w:rPr>
                <w:b/>
                <w:spacing w:val="-2"/>
                <w:sz w:val="20"/>
              </w:rPr>
              <w:t>6,585</w:t>
            </w:r>
          </w:p>
        </w:tc>
      </w:tr>
      <w:tr>
        <w:trPr>
          <w:trHeight w:val="306" w:hRule="atLeast"/>
        </w:trPr>
        <w:tc>
          <w:tcPr>
            <w:tcW w:w="6588" w:type="dxa"/>
            <w:tcBorders>
              <w:left w:val="single" w:sz="12" w:space="0" w:color="000000"/>
              <w:bottom w:val="single" w:sz="12" w:space="0" w:color="000000"/>
            </w:tcBorders>
          </w:tcPr>
          <w:p>
            <w:pPr>
              <w:pStyle w:val="TableParagraph"/>
              <w:spacing w:before="33"/>
              <w:ind w:left="107"/>
              <w:rPr>
                <w:b/>
                <w:sz w:val="20"/>
              </w:rPr>
            </w:pPr>
            <w:r>
              <w:rPr>
                <w:b/>
                <w:sz w:val="20"/>
              </w:rPr>
              <w:t>Total</w:t>
            </w:r>
            <w:r>
              <w:rPr>
                <w:b/>
                <w:spacing w:val="-6"/>
                <w:sz w:val="20"/>
              </w:rPr>
              <w:t> </w:t>
            </w:r>
            <w:r>
              <w:rPr>
                <w:b/>
                <w:sz w:val="20"/>
              </w:rPr>
              <w:t>lease</w:t>
            </w:r>
            <w:r>
              <w:rPr>
                <w:b/>
                <w:spacing w:val="-7"/>
                <w:sz w:val="20"/>
              </w:rPr>
              <w:t> </w:t>
            </w:r>
            <w:r>
              <w:rPr>
                <w:b/>
                <w:spacing w:val="-2"/>
                <w:sz w:val="20"/>
              </w:rPr>
              <w:t>liabilities</w:t>
            </w:r>
          </w:p>
        </w:tc>
        <w:tc>
          <w:tcPr>
            <w:tcW w:w="1925" w:type="dxa"/>
            <w:tcBorders>
              <w:top w:val="single" w:sz="12" w:space="0" w:color="000000"/>
              <w:bottom w:val="single" w:sz="12" w:space="0" w:color="000000"/>
            </w:tcBorders>
          </w:tcPr>
          <w:p>
            <w:pPr>
              <w:pStyle w:val="TableParagraph"/>
              <w:spacing w:before="33"/>
              <w:ind w:right="91"/>
              <w:jc w:val="right"/>
              <w:rPr>
                <w:b/>
                <w:sz w:val="20"/>
              </w:rPr>
            </w:pPr>
            <w:r>
              <w:rPr>
                <w:b/>
                <w:spacing w:val="-2"/>
                <w:sz w:val="20"/>
              </w:rPr>
              <w:t>6,450</w:t>
            </w:r>
          </w:p>
        </w:tc>
        <w:tc>
          <w:tcPr>
            <w:tcW w:w="1925" w:type="dxa"/>
            <w:tcBorders>
              <w:top w:val="single" w:sz="18" w:space="0" w:color="000000"/>
              <w:bottom w:val="single" w:sz="12" w:space="0" w:color="000000"/>
              <w:right w:val="single" w:sz="12" w:space="0" w:color="000000"/>
            </w:tcBorders>
            <w:shd w:val="clear" w:color="auto" w:fill="DDEBF6"/>
          </w:tcPr>
          <w:p>
            <w:pPr>
              <w:pStyle w:val="TableParagraph"/>
              <w:spacing w:before="33"/>
              <w:ind w:right="76"/>
              <w:jc w:val="right"/>
              <w:rPr>
                <w:b/>
                <w:sz w:val="20"/>
              </w:rPr>
            </w:pPr>
            <w:r>
              <w:rPr>
                <w:b/>
                <w:spacing w:val="-2"/>
                <w:sz w:val="20"/>
              </w:rPr>
              <w:t>8,281</w:t>
            </w:r>
          </w:p>
        </w:tc>
      </w:tr>
    </w:tbl>
    <w:p>
      <w:pPr>
        <w:pStyle w:val="BodyText"/>
        <w:spacing w:before="9"/>
        <w:rPr>
          <w:sz w:val="21"/>
        </w:rPr>
      </w:pPr>
    </w:p>
    <w:p>
      <w:pPr>
        <w:pStyle w:val="BodyText"/>
        <w:ind w:left="260" w:right="554"/>
        <w:jc w:val="both"/>
      </w:pPr>
      <w:r>
        <w:rPr/>
        <w:t>Where the interest rate applicable to a lease is not expressed in the lease agreement, Council applies the average incremental borrowing rate in the calculation of lease liabilities. The current incremental borrowing rate is 4.91%.</w:t>
      </w:r>
    </w:p>
    <w:p>
      <w:pPr>
        <w:spacing w:after="0"/>
        <w:jc w:val="both"/>
        <w:sectPr>
          <w:pgSz w:w="11910" w:h="16840"/>
          <w:pgMar w:header="0" w:footer="375" w:top="620" w:bottom="560" w:left="460" w:right="160"/>
        </w:sectPr>
      </w:pPr>
    </w:p>
    <w:p>
      <w:pPr>
        <w:pStyle w:val="Heading2"/>
        <w:numPr>
          <w:ilvl w:val="2"/>
          <w:numId w:val="12"/>
        </w:numPr>
        <w:tabs>
          <w:tab w:pos="729" w:val="left" w:leader="none"/>
        </w:tabs>
        <w:spacing w:line="240" w:lineRule="auto" w:before="63" w:after="0"/>
        <w:ind w:left="728" w:right="0" w:hanging="469"/>
        <w:jc w:val="left"/>
      </w:pPr>
      <w:bookmarkStart w:name="_TOC_250004" w:id="28"/>
      <w:r>
        <w:rPr>
          <w:color w:val="4966AC"/>
        </w:rPr>
        <w:t>Statement</w:t>
      </w:r>
      <w:r>
        <w:rPr>
          <w:color w:val="4966AC"/>
          <w:spacing w:val="-7"/>
        </w:rPr>
        <w:t> </w:t>
      </w:r>
      <w:r>
        <w:rPr>
          <w:color w:val="4966AC"/>
        </w:rPr>
        <w:t>of</w:t>
      </w:r>
      <w:r>
        <w:rPr>
          <w:color w:val="4966AC"/>
          <w:spacing w:val="-3"/>
        </w:rPr>
        <w:t> </w:t>
      </w:r>
      <w:r>
        <w:rPr>
          <w:color w:val="4966AC"/>
        </w:rPr>
        <w:t>Changes</w:t>
      </w:r>
      <w:r>
        <w:rPr>
          <w:color w:val="4966AC"/>
          <w:spacing w:val="-3"/>
        </w:rPr>
        <w:t> </w:t>
      </w:r>
      <w:r>
        <w:rPr>
          <w:color w:val="4966AC"/>
        </w:rPr>
        <w:t>in </w:t>
      </w:r>
      <w:bookmarkEnd w:id="28"/>
      <w:r>
        <w:rPr>
          <w:color w:val="4966AC"/>
          <w:spacing w:val="-2"/>
        </w:rPr>
        <w:t>Equity</w:t>
      </w:r>
    </w:p>
    <w:p>
      <w:pPr>
        <w:pStyle w:val="Heading4"/>
        <w:numPr>
          <w:ilvl w:val="2"/>
          <w:numId w:val="68"/>
        </w:numPr>
        <w:tabs>
          <w:tab w:pos="862" w:val="left" w:leader="none"/>
        </w:tabs>
        <w:spacing w:line="240" w:lineRule="auto" w:before="253" w:after="0"/>
        <w:ind w:left="861" w:right="0" w:hanging="602"/>
        <w:jc w:val="left"/>
      </w:pPr>
      <w:r>
        <w:rPr>
          <w:color w:val="4966AC"/>
          <w:spacing w:val="-2"/>
        </w:rPr>
        <w:t>Reserves</w:t>
      </w:r>
    </w:p>
    <w:p>
      <w:pPr>
        <w:pStyle w:val="BodyText"/>
        <w:spacing w:before="10"/>
        <w:rPr>
          <w:b/>
          <w:sz w:val="21"/>
        </w:rPr>
      </w:pPr>
    </w:p>
    <w:p>
      <w:pPr>
        <w:pStyle w:val="BodyText"/>
        <w:spacing w:line="276" w:lineRule="auto"/>
        <w:ind w:left="260" w:right="555"/>
        <w:jc w:val="both"/>
      </w:pPr>
      <w:r>
        <w:rPr/>
        <w:t>Council</w:t>
      </w:r>
      <w:r>
        <w:rPr>
          <w:spacing w:val="-7"/>
        </w:rPr>
        <w:t> </w:t>
      </w:r>
      <w:r>
        <w:rPr/>
        <w:t>maintains</w:t>
      </w:r>
      <w:r>
        <w:rPr>
          <w:spacing w:val="-6"/>
        </w:rPr>
        <w:t> </w:t>
      </w:r>
      <w:r>
        <w:rPr/>
        <w:t>general</w:t>
      </w:r>
      <w:r>
        <w:rPr>
          <w:spacing w:val="-7"/>
        </w:rPr>
        <w:t> </w:t>
      </w:r>
      <w:r>
        <w:rPr/>
        <w:t>reserves</w:t>
      </w:r>
      <w:r>
        <w:rPr>
          <w:spacing w:val="-6"/>
        </w:rPr>
        <w:t> </w:t>
      </w:r>
      <w:r>
        <w:rPr/>
        <w:t>to</w:t>
      </w:r>
      <w:r>
        <w:rPr>
          <w:spacing w:val="-10"/>
        </w:rPr>
        <w:t> </w:t>
      </w:r>
      <w:r>
        <w:rPr/>
        <w:t>record</w:t>
      </w:r>
      <w:r>
        <w:rPr>
          <w:spacing w:val="-8"/>
        </w:rPr>
        <w:t> </w:t>
      </w:r>
      <w:r>
        <w:rPr/>
        <w:t>funds</w:t>
      </w:r>
      <w:r>
        <w:rPr>
          <w:spacing w:val="-6"/>
        </w:rPr>
        <w:t> </w:t>
      </w:r>
      <w:r>
        <w:rPr/>
        <w:t>set</w:t>
      </w:r>
      <w:r>
        <w:rPr>
          <w:spacing w:val="-8"/>
        </w:rPr>
        <w:t> </w:t>
      </w:r>
      <w:r>
        <w:rPr/>
        <w:t>aside</w:t>
      </w:r>
      <w:r>
        <w:rPr>
          <w:spacing w:val="-5"/>
        </w:rPr>
        <w:t> </w:t>
      </w:r>
      <w:r>
        <w:rPr/>
        <w:t>for</w:t>
      </w:r>
      <w:r>
        <w:rPr>
          <w:spacing w:val="-7"/>
        </w:rPr>
        <w:t> </w:t>
      </w:r>
      <w:r>
        <w:rPr/>
        <w:t>future</w:t>
      </w:r>
      <w:r>
        <w:rPr>
          <w:spacing w:val="-8"/>
        </w:rPr>
        <w:t> </w:t>
      </w:r>
      <w:r>
        <w:rPr/>
        <w:t>possible</w:t>
      </w:r>
      <w:r>
        <w:rPr>
          <w:spacing w:val="-8"/>
        </w:rPr>
        <w:t> </w:t>
      </w:r>
      <w:r>
        <w:rPr/>
        <w:t>contingencies</w:t>
      </w:r>
      <w:r>
        <w:rPr>
          <w:spacing w:val="-6"/>
        </w:rPr>
        <w:t> </w:t>
      </w:r>
      <w:r>
        <w:rPr/>
        <w:t>e.g.</w:t>
      </w:r>
      <w:r>
        <w:rPr>
          <w:spacing w:val="-8"/>
        </w:rPr>
        <w:t> </w:t>
      </w:r>
      <w:r>
        <w:rPr/>
        <w:t>unfunded superannuation call, unplanned capital expenditure transferred to and from the accumulated surplus.</w:t>
      </w:r>
    </w:p>
    <w:p>
      <w:pPr>
        <w:pStyle w:val="BodyText"/>
        <w:spacing w:before="4"/>
        <w:rPr>
          <w:sz w:val="25"/>
        </w:rPr>
      </w:pPr>
    </w:p>
    <w:p>
      <w:pPr>
        <w:pStyle w:val="Heading4"/>
        <w:numPr>
          <w:ilvl w:val="2"/>
          <w:numId w:val="68"/>
        </w:numPr>
        <w:tabs>
          <w:tab w:pos="862" w:val="left" w:leader="none"/>
        </w:tabs>
        <w:spacing w:line="240" w:lineRule="auto" w:before="1" w:after="0"/>
        <w:ind w:left="861" w:right="0" w:hanging="602"/>
        <w:jc w:val="left"/>
      </w:pPr>
      <w:r>
        <w:rPr>
          <w:color w:val="4966AC"/>
          <w:spacing w:val="-2"/>
        </w:rPr>
        <w:t>Equity</w:t>
      </w:r>
    </w:p>
    <w:p>
      <w:pPr>
        <w:pStyle w:val="BodyText"/>
        <w:spacing w:before="10"/>
        <w:rPr>
          <w:b/>
          <w:sz w:val="21"/>
        </w:rPr>
      </w:pPr>
    </w:p>
    <w:p>
      <w:pPr>
        <w:pStyle w:val="BodyText"/>
        <w:spacing w:line="252" w:lineRule="exact"/>
        <w:ind w:left="260"/>
        <w:jc w:val="both"/>
      </w:pPr>
      <w:r>
        <w:rPr/>
        <w:t>Total</w:t>
      </w:r>
      <w:r>
        <w:rPr>
          <w:spacing w:val="-5"/>
        </w:rPr>
        <w:t> </w:t>
      </w:r>
      <w:r>
        <w:rPr/>
        <w:t>equity</w:t>
      </w:r>
      <w:r>
        <w:rPr>
          <w:spacing w:val="-5"/>
        </w:rPr>
        <w:t> </w:t>
      </w:r>
      <w:r>
        <w:rPr/>
        <w:t>always</w:t>
      </w:r>
      <w:r>
        <w:rPr>
          <w:spacing w:val="-1"/>
        </w:rPr>
        <w:t> </w:t>
      </w:r>
      <w:r>
        <w:rPr/>
        <w:t>equals</w:t>
      </w:r>
      <w:r>
        <w:rPr>
          <w:spacing w:val="-1"/>
        </w:rPr>
        <w:t> </w:t>
      </w:r>
      <w:r>
        <w:rPr/>
        <w:t>net</w:t>
      </w:r>
      <w:r>
        <w:rPr>
          <w:spacing w:val="-1"/>
        </w:rPr>
        <w:t> </w:t>
      </w:r>
      <w:r>
        <w:rPr/>
        <w:t>assets</w:t>
      </w:r>
      <w:r>
        <w:rPr>
          <w:spacing w:val="-4"/>
        </w:rPr>
        <w:t> </w:t>
      </w:r>
      <w:r>
        <w:rPr/>
        <w:t>and</w:t>
      </w:r>
      <w:r>
        <w:rPr>
          <w:spacing w:val="-4"/>
        </w:rPr>
        <w:t> </w:t>
      </w:r>
      <w:r>
        <w:rPr/>
        <w:t>is</w:t>
      </w:r>
      <w:r>
        <w:rPr>
          <w:spacing w:val="-3"/>
        </w:rPr>
        <w:t> </w:t>
      </w:r>
      <w:r>
        <w:rPr/>
        <w:t>made</w:t>
      </w:r>
      <w:r>
        <w:rPr>
          <w:spacing w:val="-2"/>
        </w:rPr>
        <w:t> </w:t>
      </w:r>
      <w:r>
        <w:rPr/>
        <w:t>up</w:t>
      </w:r>
      <w:r>
        <w:rPr>
          <w:spacing w:val="-3"/>
        </w:rPr>
        <w:t> </w:t>
      </w:r>
      <w:r>
        <w:rPr/>
        <w:t>of</w:t>
      </w:r>
      <w:r>
        <w:rPr>
          <w:spacing w:val="-3"/>
        </w:rPr>
        <w:t> </w:t>
      </w:r>
      <w:r>
        <w:rPr/>
        <w:t>the</w:t>
      </w:r>
      <w:r>
        <w:rPr>
          <w:spacing w:val="-5"/>
        </w:rPr>
        <w:t> </w:t>
      </w:r>
      <w:r>
        <w:rPr/>
        <w:t>following</w:t>
      </w:r>
      <w:r>
        <w:rPr>
          <w:spacing w:val="-1"/>
        </w:rPr>
        <w:t> </w:t>
      </w:r>
      <w:r>
        <w:rPr>
          <w:spacing w:val="-2"/>
        </w:rPr>
        <w:t>components:</w:t>
      </w:r>
    </w:p>
    <w:p>
      <w:pPr>
        <w:pStyle w:val="ListParagraph"/>
        <w:numPr>
          <w:ilvl w:val="0"/>
          <w:numId w:val="60"/>
        </w:numPr>
        <w:tabs>
          <w:tab w:pos="827" w:val="left" w:leader="none"/>
        </w:tabs>
        <w:spacing w:line="273" w:lineRule="auto" w:before="0" w:after="0"/>
        <w:ind w:left="826" w:right="556" w:hanging="567"/>
        <w:jc w:val="both"/>
        <w:rPr>
          <w:sz w:val="22"/>
        </w:rPr>
      </w:pPr>
      <w:r>
        <w:rPr>
          <w:sz w:val="22"/>
        </w:rPr>
        <w:t>Asset revaluation reserve which represents the difference between the previously recorded value of assets and their current valuations.</w:t>
      </w:r>
    </w:p>
    <w:p>
      <w:pPr>
        <w:pStyle w:val="ListParagraph"/>
        <w:numPr>
          <w:ilvl w:val="0"/>
          <w:numId w:val="60"/>
        </w:numPr>
        <w:tabs>
          <w:tab w:pos="827" w:val="left" w:leader="none"/>
        </w:tabs>
        <w:spacing w:line="273" w:lineRule="auto" w:before="1" w:after="0"/>
        <w:ind w:left="826" w:right="555" w:hanging="567"/>
        <w:jc w:val="both"/>
        <w:rPr>
          <w:sz w:val="22"/>
        </w:rPr>
      </w:pPr>
      <w:r>
        <w:rPr>
          <w:sz w:val="22"/>
        </w:rPr>
        <w:t>Other reserves, which are funds that Council wishes to separately identify as being set aside to a specific purpose in</w:t>
      </w:r>
      <w:r>
        <w:rPr>
          <w:spacing w:val="-1"/>
          <w:sz w:val="22"/>
        </w:rPr>
        <w:t> </w:t>
      </w:r>
      <w:r>
        <w:rPr>
          <w:sz w:val="22"/>
        </w:rPr>
        <w:t>the</w:t>
      </w:r>
      <w:r>
        <w:rPr>
          <w:spacing w:val="-3"/>
          <w:sz w:val="22"/>
        </w:rPr>
        <w:t> </w:t>
      </w:r>
      <w:r>
        <w:rPr>
          <w:sz w:val="22"/>
        </w:rPr>
        <w:t>future</w:t>
      </w:r>
      <w:r>
        <w:rPr>
          <w:spacing w:val="-3"/>
          <w:sz w:val="22"/>
        </w:rPr>
        <w:t> </w:t>
      </w:r>
      <w:r>
        <w:rPr>
          <w:sz w:val="22"/>
        </w:rPr>
        <w:t>and</w:t>
      </w:r>
      <w:r>
        <w:rPr>
          <w:spacing w:val="-1"/>
          <w:sz w:val="22"/>
        </w:rPr>
        <w:t> </w:t>
      </w:r>
      <w:r>
        <w:rPr>
          <w:sz w:val="22"/>
        </w:rPr>
        <w:t>to</w:t>
      </w:r>
      <w:r>
        <w:rPr>
          <w:spacing w:val="-1"/>
          <w:sz w:val="22"/>
        </w:rPr>
        <w:t> </w:t>
      </w:r>
      <w:r>
        <w:rPr>
          <w:sz w:val="22"/>
        </w:rPr>
        <w:t>which</w:t>
      </w:r>
      <w:r>
        <w:rPr>
          <w:spacing w:val="-2"/>
          <w:sz w:val="22"/>
        </w:rPr>
        <w:t> </w:t>
      </w:r>
      <w:r>
        <w:rPr>
          <w:sz w:val="22"/>
        </w:rPr>
        <w:t>there</w:t>
      </w:r>
      <w:r>
        <w:rPr>
          <w:spacing w:val="-1"/>
          <w:sz w:val="22"/>
        </w:rPr>
        <w:t> </w:t>
      </w:r>
      <w:r>
        <w:rPr>
          <w:sz w:val="22"/>
        </w:rPr>
        <w:t>is no</w:t>
      </w:r>
      <w:r>
        <w:rPr>
          <w:spacing w:val="-1"/>
          <w:sz w:val="22"/>
        </w:rPr>
        <w:t> </w:t>
      </w:r>
      <w:r>
        <w:rPr>
          <w:sz w:val="22"/>
        </w:rPr>
        <w:t>existing liability.</w:t>
      </w:r>
      <w:r>
        <w:rPr>
          <w:spacing w:val="-1"/>
          <w:sz w:val="22"/>
        </w:rPr>
        <w:t> </w:t>
      </w:r>
      <w:r>
        <w:rPr>
          <w:sz w:val="22"/>
        </w:rPr>
        <w:t>These</w:t>
      </w:r>
      <w:r>
        <w:rPr>
          <w:spacing w:val="-1"/>
          <w:sz w:val="22"/>
        </w:rPr>
        <w:t> </w:t>
      </w:r>
      <w:r>
        <w:rPr>
          <w:sz w:val="22"/>
        </w:rPr>
        <w:t>amounts are</w:t>
      </w:r>
      <w:r>
        <w:rPr>
          <w:spacing w:val="-3"/>
          <w:sz w:val="22"/>
        </w:rPr>
        <w:t> </w:t>
      </w:r>
      <w:r>
        <w:rPr>
          <w:sz w:val="22"/>
        </w:rPr>
        <w:t>transferred from the Accumulated Surplus of the Council to be separately disclosed.</w:t>
      </w:r>
    </w:p>
    <w:p>
      <w:pPr>
        <w:pStyle w:val="ListParagraph"/>
        <w:numPr>
          <w:ilvl w:val="0"/>
          <w:numId w:val="60"/>
        </w:numPr>
        <w:tabs>
          <w:tab w:pos="827" w:val="left" w:leader="none"/>
        </w:tabs>
        <w:spacing w:line="271" w:lineRule="auto" w:before="4" w:after="0"/>
        <w:ind w:left="826" w:right="559" w:hanging="567"/>
        <w:jc w:val="both"/>
        <w:rPr>
          <w:sz w:val="22"/>
        </w:rPr>
      </w:pPr>
      <w:r>
        <w:rPr>
          <w:sz w:val="22"/>
        </w:rPr>
        <w:t>Accumulated surplus which is the value of all net assets less Reserves that have accumulated over </w:t>
      </w:r>
      <w:r>
        <w:rPr>
          <w:spacing w:val="-2"/>
          <w:sz w:val="22"/>
        </w:rPr>
        <w:t>time.</w:t>
      </w:r>
    </w:p>
    <w:p>
      <w:pPr>
        <w:pStyle w:val="BodyText"/>
        <w:rPr>
          <w:sz w:val="26"/>
        </w:rPr>
      </w:pPr>
    </w:p>
    <w:p>
      <w:pPr>
        <w:pStyle w:val="Heading2"/>
        <w:numPr>
          <w:ilvl w:val="2"/>
          <w:numId w:val="12"/>
        </w:numPr>
        <w:tabs>
          <w:tab w:pos="729" w:val="left" w:leader="none"/>
        </w:tabs>
        <w:spacing w:line="240" w:lineRule="auto" w:before="0" w:after="0"/>
        <w:ind w:left="728" w:right="0" w:hanging="469"/>
        <w:jc w:val="left"/>
      </w:pPr>
      <w:bookmarkStart w:name="_TOC_250003" w:id="29"/>
      <w:r>
        <w:rPr>
          <w:color w:val="4966AC"/>
        </w:rPr>
        <w:t>Statement</w:t>
      </w:r>
      <w:r>
        <w:rPr>
          <w:color w:val="4966AC"/>
          <w:spacing w:val="-7"/>
        </w:rPr>
        <w:t> </w:t>
      </w:r>
      <w:r>
        <w:rPr>
          <w:color w:val="4966AC"/>
        </w:rPr>
        <w:t>of</w:t>
      </w:r>
      <w:r>
        <w:rPr>
          <w:color w:val="4966AC"/>
          <w:spacing w:val="-3"/>
        </w:rPr>
        <w:t> </w:t>
      </w:r>
      <w:r>
        <w:rPr>
          <w:color w:val="4966AC"/>
        </w:rPr>
        <w:t>Cash</w:t>
      </w:r>
      <w:r>
        <w:rPr>
          <w:color w:val="4966AC"/>
          <w:spacing w:val="-1"/>
        </w:rPr>
        <w:t> </w:t>
      </w:r>
      <w:bookmarkEnd w:id="29"/>
      <w:r>
        <w:rPr>
          <w:color w:val="4966AC"/>
          <w:spacing w:val="-4"/>
        </w:rPr>
        <w:t>Flows</w:t>
      </w:r>
    </w:p>
    <w:p>
      <w:pPr>
        <w:pStyle w:val="BodyText"/>
        <w:spacing w:before="8"/>
        <w:rPr>
          <w:b/>
          <w:sz w:val="23"/>
        </w:rPr>
      </w:pPr>
    </w:p>
    <w:p>
      <w:pPr>
        <w:pStyle w:val="BodyText"/>
        <w:ind w:left="260" w:right="553"/>
        <w:jc w:val="both"/>
      </w:pPr>
      <w:r>
        <w:rPr/>
        <w:t>This</w:t>
      </w:r>
      <w:r>
        <w:rPr>
          <w:spacing w:val="-16"/>
        </w:rPr>
        <w:t> </w:t>
      </w:r>
      <w:r>
        <w:rPr/>
        <w:t>section</w:t>
      </w:r>
      <w:r>
        <w:rPr>
          <w:spacing w:val="-15"/>
        </w:rPr>
        <w:t> </w:t>
      </w:r>
      <w:r>
        <w:rPr/>
        <w:t>analyses</w:t>
      </w:r>
      <w:r>
        <w:rPr>
          <w:spacing w:val="-15"/>
        </w:rPr>
        <w:t> </w:t>
      </w:r>
      <w:r>
        <w:rPr/>
        <w:t>the</w:t>
      </w:r>
      <w:r>
        <w:rPr>
          <w:spacing w:val="-16"/>
        </w:rPr>
        <w:t> </w:t>
      </w:r>
      <w:r>
        <w:rPr/>
        <w:t>expected</w:t>
      </w:r>
      <w:r>
        <w:rPr>
          <w:spacing w:val="-15"/>
        </w:rPr>
        <w:t> </w:t>
      </w:r>
      <w:r>
        <w:rPr/>
        <w:t>cashflows</w:t>
      </w:r>
      <w:r>
        <w:rPr>
          <w:spacing w:val="-15"/>
        </w:rPr>
        <w:t> </w:t>
      </w:r>
      <w:r>
        <w:rPr/>
        <w:t>from</w:t>
      </w:r>
      <w:r>
        <w:rPr>
          <w:spacing w:val="-15"/>
        </w:rPr>
        <w:t> </w:t>
      </w:r>
      <w:r>
        <w:rPr/>
        <w:t>the</w:t>
      </w:r>
      <w:r>
        <w:rPr>
          <w:spacing w:val="-16"/>
        </w:rPr>
        <w:t> </w:t>
      </w:r>
      <w:r>
        <w:rPr/>
        <w:t>operating,</w:t>
      </w:r>
      <w:r>
        <w:rPr>
          <w:spacing w:val="-15"/>
        </w:rPr>
        <w:t> </w:t>
      </w:r>
      <w:r>
        <w:rPr/>
        <w:t>investing,</w:t>
      </w:r>
      <w:r>
        <w:rPr>
          <w:spacing w:val="-15"/>
        </w:rPr>
        <w:t> </w:t>
      </w:r>
      <w:r>
        <w:rPr/>
        <w:t>and</w:t>
      </w:r>
      <w:r>
        <w:rPr>
          <w:spacing w:val="-16"/>
        </w:rPr>
        <w:t> </w:t>
      </w:r>
      <w:r>
        <w:rPr/>
        <w:t>financing</w:t>
      </w:r>
      <w:r>
        <w:rPr>
          <w:spacing w:val="-15"/>
        </w:rPr>
        <w:t> </w:t>
      </w:r>
      <w:r>
        <w:rPr/>
        <w:t>activities</w:t>
      </w:r>
      <w:r>
        <w:rPr>
          <w:spacing w:val="-15"/>
        </w:rPr>
        <w:t> </w:t>
      </w:r>
      <w:r>
        <w:rPr/>
        <w:t>of</w:t>
      </w:r>
      <w:r>
        <w:rPr>
          <w:spacing w:val="-15"/>
        </w:rPr>
        <w:t> </w:t>
      </w:r>
      <w:r>
        <w:rPr/>
        <w:t>Council for</w:t>
      </w:r>
      <w:r>
        <w:rPr>
          <w:spacing w:val="-13"/>
        </w:rPr>
        <w:t> </w:t>
      </w:r>
      <w:r>
        <w:rPr/>
        <w:t>the</w:t>
      </w:r>
      <w:r>
        <w:rPr>
          <w:spacing w:val="-14"/>
        </w:rPr>
        <w:t> </w:t>
      </w:r>
      <w:r>
        <w:rPr/>
        <w:t>2025/26</w:t>
      </w:r>
      <w:r>
        <w:rPr>
          <w:spacing w:val="-16"/>
        </w:rPr>
        <w:t> </w:t>
      </w:r>
      <w:r>
        <w:rPr/>
        <w:t>year.</w:t>
      </w:r>
      <w:r>
        <w:rPr>
          <w:spacing w:val="-12"/>
        </w:rPr>
        <w:t> </w:t>
      </w:r>
      <w:r>
        <w:rPr/>
        <w:t>Budgeting</w:t>
      </w:r>
      <w:r>
        <w:rPr>
          <w:spacing w:val="-13"/>
        </w:rPr>
        <w:t> </w:t>
      </w:r>
      <w:r>
        <w:rPr/>
        <w:t>cash</w:t>
      </w:r>
      <w:r>
        <w:rPr>
          <w:spacing w:val="-15"/>
        </w:rPr>
        <w:t> </w:t>
      </w:r>
      <w:r>
        <w:rPr/>
        <w:t>flows</w:t>
      </w:r>
      <w:r>
        <w:rPr>
          <w:spacing w:val="-13"/>
        </w:rPr>
        <w:t> </w:t>
      </w:r>
      <w:r>
        <w:rPr/>
        <w:t>for</w:t>
      </w:r>
      <w:r>
        <w:rPr>
          <w:spacing w:val="-11"/>
        </w:rPr>
        <w:t> </w:t>
      </w:r>
      <w:r>
        <w:rPr/>
        <w:t>Council</w:t>
      </w:r>
      <w:r>
        <w:rPr>
          <w:spacing w:val="-16"/>
        </w:rPr>
        <w:t> </w:t>
      </w:r>
      <w:r>
        <w:rPr/>
        <w:t>is</w:t>
      </w:r>
      <w:r>
        <w:rPr>
          <w:spacing w:val="-14"/>
        </w:rPr>
        <w:t> </w:t>
      </w:r>
      <w:r>
        <w:rPr/>
        <w:t>a</w:t>
      </w:r>
      <w:r>
        <w:rPr>
          <w:spacing w:val="-13"/>
        </w:rPr>
        <w:t> </w:t>
      </w:r>
      <w:r>
        <w:rPr/>
        <w:t>key</w:t>
      </w:r>
      <w:r>
        <w:rPr>
          <w:spacing w:val="-15"/>
        </w:rPr>
        <w:t> </w:t>
      </w:r>
      <w:r>
        <w:rPr/>
        <w:t>factor</w:t>
      </w:r>
      <w:r>
        <w:rPr>
          <w:spacing w:val="-13"/>
        </w:rPr>
        <w:t> </w:t>
      </w:r>
      <w:r>
        <w:rPr/>
        <w:t>in</w:t>
      </w:r>
      <w:r>
        <w:rPr>
          <w:spacing w:val="-16"/>
        </w:rPr>
        <w:t> </w:t>
      </w:r>
      <w:r>
        <w:rPr/>
        <w:t>setting</w:t>
      </w:r>
      <w:r>
        <w:rPr>
          <w:spacing w:val="-12"/>
        </w:rPr>
        <w:t> </w:t>
      </w:r>
      <w:r>
        <w:rPr/>
        <w:t>the</w:t>
      </w:r>
      <w:r>
        <w:rPr>
          <w:spacing w:val="-13"/>
        </w:rPr>
        <w:t> </w:t>
      </w:r>
      <w:r>
        <w:rPr/>
        <w:t>level</w:t>
      </w:r>
      <w:r>
        <w:rPr>
          <w:spacing w:val="-13"/>
        </w:rPr>
        <w:t> </w:t>
      </w:r>
      <w:r>
        <w:rPr/>
        <w:t>of</w:t>
      </w:r>
      <w:r>
        <w:rPr>
          <w:spacing w:val="-15"/>
        </w:rPr>
        <w:t> </w:t>
      </w:r>
      <w:r>
        <w:rPr/>
        <w:t>rates</w:t>
      </w:r>
      <w:r>
        <w:rPr>
          <w:spacing w:val="-15"/>
        </w:rPr>
        <w:t> </w:t>
      </w:r>
      <w:r>
        <w:rPr/>
        <w:t>and</w:t>
      </w:r>
      <w:r>
        <w:rPr>
          <w:spacing w:val="-16"/>
        </w:rPr>
        <w:t> </w:t>
      </w:r>
      <w:r>
        <w:rPr/>
        <w:t>providing a</w:t>
      </w:r>
      <w:r>
        <w:rPr>
          <w:spacing w:val="-7"/>
        </w:rPr>
        <w:t> </w:t>
      </w:r>
      <w:r>
        <w:rPr/>
        <w:t>guide</w:t>
      </w:r>
      <w:r>
        <w:rPr>
          <w:spacing w:val="-5"/>
        </w:rPr>
        <w:t> </w:t>
      </w:r>
      <w:r>
        <w:rPr/>
        <w:t>to</w:t>
      </w:r>
      <w:r>
        <w:rPr>
          <w:spacing w:val="-7"/>
        </w:rPr>
        <w:t> </w:t>
      </w:r>
      <w:r>
        <w:rPr/>
        <w:t>the</w:t>
      </w:r>
      <w:r>
        <w:rPr>
          <w:spacing w:val="-3"/>
        </w:rPr>
        <w:t> </w:t>
      </w:r>
      <w:r>
        <w:rPr/>
        <w:t>level</w:t>
      </w:r>
      <w:r>
        <w:rPr>
          <w:spacing w:val="-5"/>
        </w:rPr>
        <w:t> </w:t>
      </w:r>
      <w:r>
        <w:rPr/>
        <w:t>of</w:t>
      </w:r>
      <w:r>
        <w:rPr>
          <w:spacing w:val="-3"/>
        </w:rPr>
        <w:t> </w:t>
      </w:r>
      <w:r>
        <w:rPr/>
        <w:t>capital</w:t>
      </w:r>
      <w:r>
        <w:rPr>
          <w:spacing w:val="-5"/>
        </w:rPr>
        <w:t> </w:t>
      </w:r>
      <w:r>
        <w:rPr/>
        <w:t>expenditure</w:t>
      </w:r>
      <w:r>
        <w:rPr>
          <w:spacing w:val="-6"/>
        </w:rPr>
        <w:t> </w:t>
      </w:r>
      <w:r>
        <w:rPr/>
        <w:t>that</w:t>
      </w:r>
      <w:r>
        <w:rPr>
          <w:spacing w:val="-2"/>
        </w:rPr>
        <w:t> </w:t>
      </w:r>
      <w:r>
        <w:rPr/>
        <w:t>can</w:t>
      </w:r>
      <w:r>
        <w:rPr>
          <w:spacing w:val="-6"/>
        </w:rPr>
        <w:t> </w:t>
      </w:r>
      <w:r>
        <w:rPr/>
        <w:t>be</w:t>
      </w:r>
      <w:r>
        <w:rPr>
          <w:spacing w:val="-4"/>
        </w:rPr>
        <w:t> </w:t>
      </w:r>
      <w:r>
        <w:rPr/>
        <w:t>sustained</w:t>
      </w:r>
      <w:r>
        <w:rPr>
          <w:spacing w:val="-5"/>
        </w:rPr>
        <w:t> </w:t>
      </w:r>
      <w:r>
        <w:rPr/>
        <w:t>with</w:t>
      </w:r>
      <w:r>
        <w:rPr>
          <w:spacing w:val="-5"/>
        </w:rPr>
        <w:t> </w:t>
      </w:r>
      <w:r>
        <w:rPr/>
        <w:t>or</w:t>
      </w:r>
      <w:r>
        <w:rPr>
          <w:spacing w:val="-3"/>
        </w:rPr>
        <w:t> </w:t>
      </w:r>
      <w:r>
        <w:rPr/>
        <w:t>without</w:t>
      </w:r>
      <w:r>
        <w:rPr>
          <w:spacing w:val="-3"/>
        </w:rPr>
        <w:t> </w:t>
      </w:r>
      <w:r>
        <w:rPr/>
        <w:t>using</w:t>
      </w:r>
      <w:r>
        <w:rPr>
          <w:spacing w:val="-6"/>
        </w:rPr>
        <w:t> </w:t>
      </w:r>
      <w:r>
        <w:rPr/>
        <w:t>existing</w:t>
      </w:r>
      <w:r>
        <w:rPr>
          <w:spacing w:val="-5"/>
        </w:rPr>
        <w:t> </w:t>
      </w:r>
      <w:r>
        <w:rPr/>
        <w:t>cash</w:t>
      </w:r>
      <w:r>
        <w:rPr>
          <w:spacing w:val="-10"/>
        </w:rPr>
        <w:t> </w:t>
      </w:r>
      <w:r>
        <w:rPr>
          <w:spacing w:val="-2"/>
        </w:rPr>
        <w:t>reserves.</w:t>
      </w:r>
    </w:p>
    <w:p>
      <w:pPr>
        <w:pStyle w:val="BodyText"/>
        <w:spacing w:before="10"/>
        <w:rPr>
          <w:sz w:val="21"/>
        </w:rPr>
      </w:pPr>
    </w:p>
    <w:p>
      <w:pPr>
        <w:pStyle w:val="Heading4"/>
        <w:numPr>
          <w:ilvl w:val="2"/>
          <w:numId w:val="69"/>
        </w:numPr>
        <w:tabs>
          <w:tab w:pos="862" w:val="left" w:leader="none"/>
        </w:tabs>
        <w:spacing w:line="240" w:lineRule="auto" w:before="0" w:after="0"/>
        <w:ind w:left="861" w:right="0" w:hanging="602"/>
        <w:jc w:val="left"/>
      </w:pPr>
      <w:r>
        <w:rPr>
          <w:color w:val="4966AC"/>
        </w:rPr>
        <w:t>Net</w:t>
      </w:r>
      <w:r>
        <w:rPr>
          <w:color w:val="4966AC"/>
          <w:spacing w:val="-3"/>
        </w:rPr>
        <w:t> </w:t>
      </w:r>
      <w:r>
        <w:rPr>
          <w:color w:val="4966AC"/>
        </w:rPr>
        <w:t>cash flows</w:t>
      </w:r>
      <w:r>
        <w:rPr>
          <w:color w:val="4966AC"/>
          <w:spacing w:val="-1"/>
        </w:rPr>
        <w:t> </w:t>
      </w:r>
      <w:r>
        <w:rPr>
          <w:color w:val="4966AC"/>
        </w:rPr>
        <w:t>provided by/used</w:t>
      </w:r>
      <w:r>
        <w:rPr>
          <w:color w:val="4966AC"/>
          <w:spacing w:val="1"/>
        </w:rPr>
        <w:t> </w:t>
      </w:r>
      <w:r>
        <w:rPr>
          <w:color w:val="4966AC"/>
        </w:rPr>
        <w:t>in</w:t>
      </w:r>
      <w:r>
        <w:rPr>
          <w:color w:val="4966AC"/>
          <w:spacing w:val="-5"/>
        </w:rPr>
        <w:t> </w:t>
      </w:r>
      <w:r>
        <w:rPr>
          <w:color w:val="4966AC"/>
        </w:rPr>
        <w:t>operating </w:t>
      </w:r>
      <w:r>
        <w:rPr>
          <w:color w:val="4966AC"/>
          <w:spacing w:val="-2"/>
        </w:rPr>
        <w:t>activities.</w:t>
      </w:r>
    </w:p>
    <w:p>
      <w:pPr>
        <w:pStyle w:val="BodyText"/>
        <w:spacing w:before="1"/>
        <w:rPr>
          <w:b/>
        </w:rPr>
      </w:pPr>
    </w:p>
    <w:p>
      <w:pPr>
        <w:pStyle w:val="BodyText"/>
        <w:ind w:left="260" w:right="445"/>
      </w:pPr>
      <w:r>
        <w:rPr/>
        <w:t>Operating activities refer to the cash generated or used in the normal service delivery functions of Council. The net increase in cash inflows from operating activities of $10.96 million is mainly due to $12.15 million</w:t>
      </w:r>
      <w:r>
        <w:rPr>
          <w:spacing w:val="40"/>
        </w:rPr>
        <w:t> </w:t>
      </w:r>
      <w:r>
        <w:rPr/>
        <w:t>decrease in material and services.</w:t>
      </w:r>
    </w:p>
    <w:p>
      <w:pPr>
        <w:pStyle w:val="BodyText"/>
        <w:spacing w:before="10"/>
        <w:rPr>
          <w:sz w:val="21"/>
        </w:rPr>
      </w:pPr>
    </w:p>
    <w:p>
      <w:pPr>
        <w:pStyle w:val="Heading4"/>
        <w:numPr>
          <w:ilvl w:val="2"/>
          <w:numId w:val="69"/>
        </w:numPr>
        <w:tabs>
          <w:tab w:pos="862" w:val="left" w:leader="none"/>
        </w:tabs>
        <w:spacing w:line="240" w:lineRule="auto" w:before="1" w:after="0"/>
        <w:ind w:left="861" w:right="0" w:hanging="602"/>
        <w:jc w:val="left"/>
      </w:pPr>
      <w:r>
        <w:rPr>
          <w:color w:val="4966AC"/>
        </w:rPr>
        <w:t>Net</w:t>
      </w:r>
      <w:r>
        <w:rPr>
          <w:color w:val="4966AC"/>
          <w:spacing w:val="-3"/>
        </w:rPr>
        <w:t> </w:t>
      </w:r>
      <w:r>
        <w:rPr>
          <w:color w:val="4966AC"/>
        </w:rPr>
        <w:t>cash flows provided</w:t>
      </w:r>
      <w:r>
        <w:rPr>
          <w:color w:val="4966AC"/>
          <w:spacing w:val="-1"/>
        </w:rPr>
        <w:t> </w:t>
      </w:r>
      <w:r>
        <w:rPr>
          <w:color w:val="4966AC"/>
        </w:rPr>
        <w:t>by/used</w:t>
      </w:r>
      <w:r>
        <w:rPr>
          <w:color w:val="4966AC"/>
          <w:spacing w:val="2"/>
        </w:rPr>
        <w:t> </w:t>
      </w:r>
      <w:r>
        <w:rPr>
          <w:color w:val="4966AC"/>
        </w:rPr>
        <w:t>in</w:t>
      </w:r>
      <w:r>
        <w:rPr>
          <w:color w:val="4966AC"/>
          <w:spacing w:val="-3"/>
        </w:rPr>
        <w:t> </w:t>
      </w:r>
      <w:r>
        <w:rPr>
          <w:color w:val="4966AC"/>
        </w:rPr>
        <w:t>investing </w:t>
      </w:r>
      <w:r>
        <w:rPr>
          <w:color w:val="4966AC"/>
          <w:spacing w:val="-2"/>
        </w:rPr>
        <w:t>activities.</w:t>
      </w:r>
    </w:p>
    <w:p>
      <w:pPr>
        <w:pStyle w:val="BodyText"/>
        <w:rPr>
          <w:b/>
        </w:rPr>
      </w:pPr>
    </w:p>
    <w:p>
      <w:pPr>
        <w:pStyle w:val="BodyText"/>
        <w:spacing w:before="1"/>
        <w:ind w:left="260" w:right="553"/>
        <w:jc w:val="both"/>
      </w:pPr>
      <w:r>
        <w:rPr/>
        <w:t>Investing activities refer to activities that are generated or used in the enhancement or creation of infrastructure</w:t>
      </w:r>
      <w:r>
        <w:rPr>
          <w:spacing w:val="-6"/>
        </w:rPr>
        <w:t> </w:t>
      </w:r>
      <w:r>
        <w:rPr/>
        <w:t>and</w:t>
      </w:r>
      <w:r>
        <w:rPr>
          <w:spacing w:val="-6"/>
        </w:rPr>
        <w:t> </w:t>
      </w:r>
      <w:r>
        <w:rPr/>
        <w:t>other</w:t>
      </w:r>
      <w:r>
        <w:rPr>
          <w:spacing w:val="-4"/>
        </w:rPr>
        <w:t> </w:t>
      </w:r>
      <w:r>
        <w:rPr/>
        <w:t>assets.</w:t>
      </w:r>
      <w:r>
        <w:rPr>
          <w:spacing w:val="-1"/>
        </w:rPr>
        <w:t> </w:t>
      </w:r>
      <w:r>
        <w:rPr/>
        <w:t>These</w:t>
      </w:r>
      <w:r>
        <w:rPr>
          <w:spacing w:val="-4"/>
        </w:rPr>
        <w:t> </w:t>
      </w:r>
      <w:r>
        <w:rPr/>
        <w:t>activities</w:t>
      </w:r>
      <w:r>
        <w:rPr>
          <w:spacing w:val="-6"/>
        </w:rPr>
        <w:t> </w:t>
      </w:r>
      <w:r>
        <w:rPr/>
        <w:t>also</w:t>
      </w:r>
      <w:r>
        <w:rPr>
          <w:spacing w:val="-5"/>
        </w:rPr>
        <w:t> </w:t>
      </w:r>
      <w:r>
        <w:rPr/>
        <w:t>include</w:t>
      </w:r>
      <w:r>
        <w:rPr>
          <w:spacing w:val="-5"/>
        </w:rPr>
        <w:t> </w:t>
      </w:r>
      <w:r>
        <w:rPr/>
        <w:t>the</w:t>
      </w:r>
      <w:r>
        <w:rPr>
          <w:spacing w:val="-5"/>
        </w:rPr>
        <w:t> </w:t>
      </w:r>
      <w:r>
        <w:rPr/>
        <w:t>acquisition</w:t>
      </w:r>
      <w:r>
        <w:rPr>
          <w:spacing w:val="-6"/>
        </w:rPr>
        <w:t> </w:t>
      </w:r>
      <w:r>
        <w:rPr/>
        <w:t>and</w:t>
      </w:r>
      <w:r>
        <w:rPr>
          <w:spacing w:val="-6"/>
        </w:rPr>
        <w:t> </w:t>
      </w:r>
      <w:r>
        <w:rPr/>
        <w:t>sale</w:t>
      </w:r>
      <w:r>
        <w:rPr>
          <w:spacing w:val="-5"/>
        </w:rPr>
        <w:t> </w:t>
      </w:r>
      <w:r>
        <w:rPr/>
        <w:t>of</w:t>
      </w:r>
      <w:r>
        <w:rPr>
          <w:spacing w:val="-6"/>
        </w:rPr>
        <w:t> </w:t>
      </w:r>
      <w:r>
        <w:rPr/>
        <w:t>other</w:t>
      </w:r>
      <w:r>
        <w:rPr>
          <w:spacing w:val="-7"/>
        </w:rPr>
        <w:t> </w:t>
      </w:r>
      <w:r>
        <w:rPr/>
        <w:t>assets</w:t>
      </w:r>
      <w:r>
        <w:rPr>
          <w:spacing w:val="-6"/>
        </w:rPr>
        <w:t> </w:t>
      </w:r>
      <w:r>
        <w:rPr/>
        <w:t>such</w:t>
      </w:r>
      <w:r>
        <w:rPr>
          <w:spacing w:val="-4"/>
        </w:rPr>
        <w:t> </w:t>
      </w:r>
      <w:r>
        <w:rPr/>
        <w:t>as vehicles, property, equipment, etc.</w:t>
      </w:r>
    </w:p>
    <w:p>
      <w:pPr>
        <w:pStyle w:val="BodyText"/>
        <w:spacing w:before="9"/>
        <w:rPr>
          <w:sz w:val="21"/>
        </w:rPr>
      </w:pPr>
    </w:p>
    <w:p>
      <w:pPr>
        <w:pStyle w:val="BodyText"/>
        <w:spacing w:before="1"/>
        <w:ind w:left="260" w:right="445"/>
      </w:pPr>
      <w:r>
        <w:rPr/>
        <w:t>Net</w:t>
      </w:r>
      <w:r>
        <w:rPr>
          <w:spacing w:val="36"/>
        </w:rPr>
        <w:t> </w:t>
      </w:r>
      <w:r>
        <w:rPr/>
        <w:t>cash</w:t>
      </w:r>
      <w:r>
        <w:rPr>
          <w:spacing w:val="36"/>
        </w:rPr>
        <w:t> </w:t>
      </w:r>
      <w:r>
        <w:rPr/>
        <w:t>outflow</w:t>
      </w:r>
      <w:r>
        <w:rPr>
          <w:spacing w:val="33"/>
        </w:rPr>
        <w:t> </w:t>
      </w:r>
      <w:r>
        <w:rPr/>
        <w:t>of</w:t>
      </w:r>
      <w:r>
        <w:rPr>
          <w:spacing w:val="36"/>
        </w:rPr>
        <w:t> </w:t>
      </w:r>
      <w:r>
        <w:rPr/>
        <w:t>investing</w:t>
      </w:r>
      <w:r>
        <w:rPr>
          <w:spacing w:val="36"/>
        </w:rPr>
        <w:t> </w:t>
      </w:r>
      <w:r>
        <w:rPr/>
        <w:t>activities</w:t>
      </w:r>
      <w:r>
        <w:rPr>
          <w:spacing w:val="36"/>
        </w:rPr>
        <w:t> </w:t>
      </w:r>
      <w:r>
        <w:rPr/>
        <w:t>is</w:t>
      </w:r>
      <w:r>
        <w:rPr>
          <w:spacing w:val="36"/>
        </w:rPr>
        <w:t> </w:t>
      </w:r>
      <w:r>
        <w:rPr/>
        <w:t>expected</w:t>
      </w:r>
      <w:r>
        <w:rPr>
          <w:spacing w:val="31"/>
        </w:rPr>
        <w:t> </w:t>
      </w:r>
      <w:r>
        <w:rPr/>
        <w:t>to</w:t>
      </w:r>
      <w:r>
        <w:rPr>
          <w:spacing w:val="34"/>
        </w:rPr>
        <w:t> </w:t>
      </w:r>
      <w:r>
        <w:rPr/>
        <w:t>decrease</w:t>
      </w:r>
      <w:r>
        <w:rPr>
          <w:spacing w:val="36"/>
        </w:rPr>
        <w:t> </w:t>
      </w:r>
      <w:r>
        <w:rPr/>
        <w:t>by</w:t>
      </w:r>
      <w:r>
        <w:rPr>
          <w:spacing w:val="36"/>
        </w:rPr>
        <w:t> </w:t>
      </w:r>
      <w:r>
        <w:rPr/>
        <w:t>$17.76</w:t>
      </w:r>
      <w:r>
        <w:rPr>
          <w:spacing w:val="36"/>
        </w:rPr>
        <w:t> </w:t>
      </w:r>
      <w:r>
        <w:rPr/>
        <w:t>million</w:t>
      </w:r>
      <w:r>
        <w:rPr>
          <w:spacing w:val="34"/>
        </w:rPr>
        <w:t> </w:t>
      </w:r>
      <w:r>
        <w:rPr/>
        <w:t>mainly</w:t>
      </w:r>
      <w:r>
        <w:rPr>
          <w:spacing w:val="33"/>
        </w:rPr>
        <w:t> </w:t>
      </w:r>
      <w:r>
        <w:rPr/>
        <w:t>due</w:t>
      </w:r>
      <w:r>
        <w:rPr>
          <w:spacing w:val="33"/>
        </w:rPr>
        <w:t> </w:t>
      </w:r>
      <w:r>
        <w:rPr/>
        <w:t>to</w:t>
      </w:r>
      <w:r>
        <w:rPr>
          <w:spacing w:val="34"/>
        </w:rPr>
        <w:t> </w:t>
      </w:r>
      <w:r>
        <w:rPr/>
        <w:t>due</w:t>
      </w:r>
      <w:r>
        <w:rPr>
          <w:spacing w:val="33"/>
        </w:rPr>
        <w:t> </w:t>
      </w:r>
      <w:r>
        <w:rPr/>
        <w:t>to decreases Proceeds from sale of property, infrastructure, plant and equipment.</w:t>
      </w:r>
    </w:p>
    <w:p>
      <w:pPr>
        <w:pStyle w:val="BodyText"/>
        <w:spacing w:before="2"/>
      </w:pPr>
    </w:p>
    <w:p>
      <w:pPr>
        <w:pStyle w:val="Heading4"/>
        <w:numPr>
          <w:ilvl w:val="2"/>
          <w:numId w:val="69"/>
        </w:numPr>
        <w:tabs>
          <w:tab w:pos="862" w:val="left" w:leader="none"/>
        </w:tabs>
        <w:spacing w:line="240" w:lineRule="auto" w:before="0" w:after="0"/>
        <w:ind w:left="861" w:right="0" w:hanging="602"/>
        <w:jc w:val="left"/>
      </w:pPr>
      <w:r>
        <w:rPr>
          <w:color w:val="4966AC"/>
        </w:rPr>
        <w:t>Net</w:t>
      </w:r>
      <w:r>
        <w:rPr>
          <w:color w:val="4966AC"/>
          <w:spacing w:val="-2"/>
        </w:rPr>
        <w:t> </w:t>
      </w:r>
      <w:r>
        <w:rPr>
          <w:color w:val="4966AC"/>
        </w:rPr>
        <w:t>cash flows provided by/used</w:t>
      </w:r>
      <w:r>
        <w:rPr>
          <w:color w:val="4966AC"/>
          <w:spacing w:val="2"/>
        </w:rPr>
        <w:t> </w:t>
      </w:r>
      <w:r>
        <w:rPr>
          <w:color w:val="4966AC"/>
        </w:rPr>
        <w:t>in</w:t>
      </w:r>
      <w:r>
        <w:rPr>
          <w:color w:val="4966AC"/>
          <w:spacing w:val="-3"/>
        </w:rPr>
        <w:t> </w:t>
      </w:r>
      <w:r>
        <w:rPr>
          <w:color w:val="4966AC"/>
        </w:rPr>
        <w:t>financing</w:t>
      </w:r>
      <w:r>
        <w:rPr>
          <w:color w:val="4966AC"/>
          <w:spacing w:val="-2"/>
        </w:rPr>
        <w:t> activities.</w:t>
      </w:r>
    </w:p>
    <w:p>
      <w:pPr>
        <w:pStyle w:val="BodyText"/>
        <w:spacing w:before="10"/>
        <w:rPr>
          <w:b/>
          <w:sz w:val="21"/>
        </w:rPr>
      </w:pPr>
    </w:p>
    <w:p>
      <w:pPr>
        <w:pStyle w:val="BodyText"/>
        <w:ind w:left="260" w:right="445"/>
      </w:pPr>
      <w:r>
        <w:rPr/>
        <w:t>Financing</w:t>
      </w:r>
      <w:r>
        <w:rPr>
          <w:spacing w:val="-1"/>
        </w:rPr>
        <w:t> </w:t>
      </w:r>
      <w:r>
        <w:rPr/>
        <w:t>activities</w:t>
      </w:r>
      <w:r>
        <w:rPr>
          <w:spacing w:val="-4"/>
        </w:rPr>
        <w:t> </w:t>
      </w:r>
      <w:r>
        <w:rPr/>
        <w:t>refers</w:t>
      </w:r>
      <w:r>
        <w:rPr>
          <w:spacing w:val="-4"/>
        </w:rPr>
        <w:t> </w:t>
      </w:r>
      <w:r>
        <w:rPr/>
        <w:t>to</w:t>
      </w:r>
      <w:r>
        <w:rPr>
          <w:spacing w:val="-3"/>
        </w:rPr>
        <w:t> </w:t>
      </w:r>
      <w:r>
        <w:rPr/>
        <w:t>the</w:t>
      </w:r>
      <w:r>
        <w:rPr>
          <w:spacing w:val="-4"/>
        </w:rPr>
        <w:t> </w:t>
      </w:r>
      <w:r>
        <w:rPr/>
        <w:t>cash</w:t>
      </w:r>
      <w:r>
        <w:rPr>
          <w:spacing w:val="-3"/>
        </w:rPr>
        <w:t> </w:t>
      </w:r>
      <w:r>
        <w:rPr/>
        <w:t>generated</w:t>
      </w:r>
      <w:r>
        <w:rPr>
          <w:spacing w:val="-4"/>
        </w:rPr>
        <w:t> </w:t>
      </w:r>
      <w:r>
        <w:rPr/>
        <w:t>or</w:t>
      </w:r>
      <w:r>
        <w:rPr>
          <w:spacing w:val="-1"/>
        </w:rPr>
        <w:t> </w:t>
      </w:r>
      <w:r>
        <w:rPr/>
        <w:t>used</w:t>
      </w:r>
      <w:r>
        <w:rPr>
          <w:spacing w:val="-3"/>
        </w:rPr>
        <w:t> </w:t>
      </w:r>
      <w:r>
        <w:rPr/>
        <w:t>in</w:t>
      </w:r>
      <w:r>
        <w:rPr>
          <w:spacing w:val="-2"/>
        </w:rPr>
        <w:t> </w:t>
      </w:r>
      <w:r>
        <w:rPr/>
        <w:t>the</w:t>
      </w:r>
      <w:r>
        <w:rPr>
          <w:spacing w:val="-5"/>
        </w:rPr>
        <w:t> </w:t>
      </w:r>
      <w:r>
        <w:rPr/>
        <w:t>financing</w:t>
      </w:r>
      <w:r>
        <w:rPr>
          <w:spacing w:val="-4"/>
        </w:rPr>
        <w:t> </w:t>
      </w:r>
      <w:r>
        <w:rPr/>
        <w:t>of Council</w:t>
      </w:r>
      <w:r>
        <w:rPr>
          <w:spacing w:val="-2"/>
        </w:rPr>
        <w:t> </w:t>
      </w:r>
      <w:r>
        <w:rPr/>
        <w:t>functions</w:t>
      </w:r>
      <w:r>
        <w:rPr>
          <w:spacing w:val="-4"/>
        </w:rPr>
        <w:t> </w:t>
      </w:r>
      <w:r>
        <w:rPr/>
        <w:t>and</w:t>
      </w:r>
      <w:r>
        <w:rPr>
          <w:spacing w:val="-4"/>
        </w:rPr>
        <w:t> </w:t>
      </w:r>
      <w:r>
        <w:rPr/>
        <w:t>include proceeds from and repayment of borrowings from financial institutions.</w:t>
      </w:r>
    </w:p>
    <w:p>
      <w:pPr>
        <w:pStyle w:val="BodyText"/>
        <w:spacing w:before="11"/>
        <w:rPr>
          <w:sz w:val="21"/>
        </w:rPr>
      </w:pPr>
    </w:p>
    <w:p>
      <w:pPr>
        <w:pStyle w:val="BodyText"/>
        <w:ind w:left="260" w:right="619"/>
      </w:pPr>
      <w:r>
        <w:rPr/>
        <w:t>The</w:t>
      </w:r>
      <w:r>
        <w:rPr>
          <w:spacing w:val="-2"/>
        </w:rPr>
        <w:t> </w:t>
      </w:r>
      <w:r>
        <w:rPr/>
        <w:t>2025/26</w:t>
      </w:r>
      <w:r>
        <w:rPr>
          <w:spacing w:val="-3"/>
        </w:rPr>
        <w:t> </w:t>
      </w:r>
      <w:r>
        <w:rPr/>
        <w:t>budget</w:t>
      </w:r>
      <w:r>
        <w:rPr>
          <w:spacing w:val="-4"/>
        </w:rPr>
        <w:t> </w:t>
      </w:r>
      <w:r>
        <w:rPr/>
        <w:t>includes</w:t>
      </w:r>
      <w:r>
        <w:rPr>
          <w:spacing w:val="-2"/>
        </w:rPr>
        <w:t> </w:t>
      </w:r>
      <w:r>
        <w:rPr/>
        <w:t>new</w:t>
      </w:r>
      <w:r>
        <w:rPr>
          <w:spacing w:val="-2"/>
        </w:rPr>
        <w:t> </w:t>
      </w:r>
      <w:r>
        <w:rPr/>
        <w:t>borrowings</w:t>
      </w:r>
      <w:r>
        <w:rPr>
          <w:spacing w:val="-2"/>
        </w:rPr>
        <w:t> </w:t>
      </w:r>
      <w:r>
        <w:rPr/>
        <w:t>of</w:t>
      </w:r>
      <w:r>
        <w:rPr>
          <w:spacing w:val="-4"/>
        </w:rPr>
        <w:t> </w:t>
      </w:r>
      <w:r>
        <w:rPr/>
        <w:t>$10.00</w:t>
      </w:r>
      <w:r>
        <w:rPr>
          <w:spacing w:val="-4"/>
        </w:rPr>
        <w:t> </w:t>
      </w:r>
      <w:r>
        <w:rPr/>
        <w:t>million. Refer</w:t>
      </w:r>
      <w:r>
        <w:rPr>
          <w:spacing w:val="-2"/>
        </w:rPr>
        <w:t> </w:t>
      </w:r>
      <w:r>
        <w:rPr/>
        <w:t>to</w:t>
      </w:r>
      <w:r>
        <w:rPr>
          <w:spacing w:val="-4"/>
        </w:rPr>
        <w:t> </w:t>
      </w:r>
      <w:r>
        <w:rPr/>
        <w:t>section</w:t>
      </w:r>
      <w:r>
        <w:rPr>
          <w:spacing w:val="-2"/>
        </w:rPr>
        <w:t> </w:t>
      </w:r>
      <w:r>
        <w:rPr/>
        <w:t>4.2.3</w:t>
      </w:r>
      <w:r>
        <w:rPr>
          <w:spacing w:val="-4"/>
        </w:rPr>
        <w:t> </w:t>
      </w:r>
      <w:r>
        <w:rPr/>
        <w:t>‘Borrowings’</w:t>
      </w:r>
      <w:r>
        <w:rPr>
          <w:spacing w:val="-2"/>
        </w:rPr>
        <w:t> </w:t>
      </w:r>
      <w:r>
        <w:rPr/>
        <w:t>for further information on Council borrowings.</w:t>
      </w:r>
    </w:p>
    <w:p>
      <w:pPr>
        <w:spacing w:after="0"/>
        <w:sectPr>
          <w:pgSz w:w="11910" w:h="16840"/>
          <w:pgMar w:header="0" w:footer="375" w:top="640" w:bottom="560" w:left="460" w:right="160"/>
        </w:sectPr>
      </w:pPr>
    </w:p>
    <w:p>
      <w:pPr>
        <w:pStyle w:val="Heading2"/>
        <w:numPr>
          <w:ilvl w:val="2"/>
          <w:numId w:val="12"/>
        </w:numPr>
        <w:tabs>
          <w:tab w:pos="589" w:val="left" w:leader="none"/>
        </w:tabs>
        <w:spacing w:line="240" w:lineRule="auto" w:before="81" w:after="0"/>
        <w:ind w:left="588" w:right="0" w:hanging="469"/>
        <w:jc w:val="left"/>
      </w:pPr>
      <w:bookmarkStart w:name="_TOC_250002" w:id="30"/>
      <w:r>
        <w:rPr>
          <w:color w:val="4966AC"/>
        </w:rPr>
        <w:t>Capital</w:t>
      </w:r>
      <w:r>
        <w:rPr>
          <w:color w:val="4966AC"/>
          <w:spacing w:val="-5"/>
        </w:rPr>
        <w:t> </w:t>
      </w:r>
      <w:r>
        <w:rPr>
          <w:color w:val="4966AC"/>
        </w:rPr>
        <w:t>works</w:t>
      </w:r>
      <w:r>
        <w:rPr>
          <w:color w:val="4966AC"/>
          <w:spacing w:val="-6"/>
        </w:rPr>
        <w:t> </w:t>
      </w:r>
      <w:bookmarkEnd w:id="30"/>
      <w:r>
        <w:rPr>
          <w:color w:val="4966AC"/>
          <w:spacing w:val="-2"/>
        </w:rPr>
        <w:t>program</w:t>
      </w:r>
    </w:p>
    <w:p>
      <w:pPr>
        <w:pStyle w:val="Heading4"/>
        <w:numPr>
          <w:ilvl w:val="2"/>
          <w:numId w:val="70"/>
        </w:numPr>
        <w:tabs>
          <w:tab w:pos="722" w:val="left" w:leader="none"/>
        </w:tabs>
        <w:spacing w:line="240" w:lineRule="auto" w:before="253" w:after="0"/>
        <w:ind w:left="721" w:right="0" w:hanging="602"/>
        <w:jc w:val="left"/>
      </w:pPr>
      <w:r>
        <w:rPr>
          <w:color w:val="4966AC"/>
          <w:spacing w:val="-2"/>
        </w:rPr>
        <w:t>Summary</w:t>
      </w:r>
    </w:p>
    <w:p>
      <w:pPr>
        <w:pStyle w:val="BodyText"/>
        <w:spacing w:before="10"/>
        <w:rPr>
          <w:b/>
          <w:sz w:val="21"/>
        </w:rPr>
      </w:pPr>
    </w:p>
    <w:p>
      <w:pPr>
        <w:pStyle w:val="BodyText"/>
        <w:ind w:left="120"/>
      </w:pPr>
      <w:r>
        <w:rPr/>
        <w:t>This</w:t>
      </w:r>
      <w:r>
        <w:rPr>
          <w:spacing w:val="-5"/>
        </w:rPr>
        <w:t> </w:t>
      </w:r>
      <w:r>
        <w:rPr/>
        <w:t>section</w:t>
      </w:r>
      <w:r>
        <w:rPr>
          <w:spacing w:val="-1"/>
        </w:rPr>
        <w:t> </w:t>
      </w:r>
      <w:r>
        <w:rPr/>
        <w:t>presents</w:t>
      </w:r>
      <w:r>
        <w:rPr>
          <w:spacing w:val="-1"/>
        </w:rPr>
        <w:t> </w:t>
      </w:r>
      <w:r>
        <w:rPr/>
        <w:t>a</w:t>
      </w:r>
      <w:r>
        <w:rPr>
          <w:spacing w:val="-6"/>
        </w:rPr>
        <w:t> </w:t>
      </w:r>
      <w:r>
        <w:rPr/>
        <w:t>listing</w:t>
      </w:r>
      <w:r>
        <w:rPr>
          <w:spacing w:val="-3"/>
        </w:rPr>
        <w:t> </w:t>
      </w:r>
      <w:r>
        <w:rPr/>
        <w:t>of</w:t>
      </w:r>
      <w:r>
        <w:rPr>
          <w:spacing w:val="-2"/>
        </w:rPr>
        <w:t> </w:t>
      </w:r>
      <w:r>
        <w:rPr/>
        <w:t>the</w:t>
      </w:r>
      <w:r>
        <w:rPr>
          <w:spacing w:val="-3"/>
        </w:rPr>
        <w:t> </w:t>
      </w:r>
      <w:r>
        <w:rPr/>
        <w:t>capital</w:t>
      </w:r>
      <w:r>
        <w:rPr>
          <w:spacing w:val="-5"/>
        </w:rPr>
        <w:t> </w:t>
      </w:r>
      <w:r>
        <w:rPr/>
        <w:t>works</w:t>
      </w:r>
      <w:r>
        <w:rPr>
          <w:spacing w:val="-5"/>
        </w:rPr>
        <w:t> </w:t>
      </w:r>
      <w:r>
        <w:rPr/>
        <w:t>projects</w:t>
      </w:r>
      <w:r>
        <w:rPr>
          <w:spacing w:val="-4"/>
        </w:rPr>
        <w:t> </w:t>
      </w:r>
      <w:r>
        <w:rPr/>
        <w:t>that</w:t>
      </w:r>
      <w:r>
        <w:rPr>
          <w:spacing w:val="-3"/>
        </w:rPr>
        <w:t> </w:t>
      </w:r>
      <w:r>
        <w:rPr/>
        <w:t>will</w:t>
      </w:r>
      <w:r>
        <w:rPr>
          <w:spacing w:val="-3"/>
        </w:rPr>
        <w:t> </w:t>
      </w:r>
      <w:r>
        <w:rPr/>
        <w:t>be</w:t>
      </w:r>
      <w:r>
        <w:rPr>
          <w:spacing w:val="-1"/>
        </w:rPr>
        <w:t> </w:t>
      </w:r>
      <w:r>
        <w:rPr/>
        <w:t>undertaken</w:t>
      </w:r>
      <w:r>
        <w:rPr>
          <w:spacing w:val="-4"/>
        </w:rPr>
        <w:t> </w:t>
      </w:r>
      <w:r>
        <w:rPr/>
        <w:t>for</w:t>
      </w:r>
      <w:r>
        <w:rPr>
          <w:spacing w:val="-4"/>
        </w:rPr>
        <w:t> </w:t>
      </w:r>
      <w:r>
        <w:rPr/>
        <w:t>the</w:t>
      </w:r>
      <w:r>
        <w:rPr>
          <w:spacing w:val="-3"/>
        </w:rPr>
        <w:t> </w:t>
      </w:r>
      <w:r>
        <w:rPr/>
        <w:t>2025/26</w:t>
      </w:r>
      <w:r>
        <w:rPr>
          <w:spacing w:val="-5"/>
        </w:rPr>
        <w:t> </w:t>
      </w:r>
      <w:r>
        <w:rPr/>
        <w:t>year,</w:t>
      </w:r>
      <w:r>
        <w:rPr>
          <w:spacing w:val="-4"/>
        </w:rPr>
        <w:t> </w:t>
      </w:r>
      <w:r>
        <w:rPr/>
        <w:t>classified</w:t>
      </w:r>
      <w:r>
        <w:rPr>
          <w:spacing w:val="-2"/>
        </w:rPr>
        <w:t> </w:t>
      </w:r>
      <w:r>
        <w:rPr/>
        <w:t>by</w:t>
      </w:r>
      <w:r>
        <w:rPr>
          <w:spacing w:val="-4"/>
        </w:rPr>
        <w:t> </w:t>
      </w:r>
      <w:r>
        <w:rPr/>
        <w:t>expenditure</w:t>
      </w:r>
      <w:r>
        <w:rPr>
          <w:spacing w:val="-5"/>
        </w:rPr>
        <w:t> </w:t>
      </w:r>
      <w:r>
        <w:rPr/>
        <w:t>type</w:t>
      </w:r>
      <w:r>
        <w:rPr>
          <w:spacing w:val="-2"/>
        </w:rPr>
        <w:t> </w:t>
      </w:r>
      <w:r>
        <w:rPr/>
        <w:t>and</w:t>
      </w:r>
      <w:r>
        <w:rPr>
          <w:spacing w:val="-7"/>
        </w:rPr>
        <w:t> </w:t>
      </w:r>
      <w:r>
        <w:rPr/>
        <w:t>funding</w:t>
      </w:r>
      <w:r>
        <w:rPr>
          <w:spacing w:val="-2"/>
        </w:rPr>
        <w:t> source.</w:t>
      </w:r>
    </w:p>
    <w:p>
      <w:pPr>
        <w:pStyle w:val="BodyText"/>
        <w:spacing w:before="1"/>
      </w:pPr>
    </w:p>
    <w:tbl>
      <w:tblPr>
        <w:tblW w:w="0" w:type="auto"/>
        <w:jc w:val="left"/>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38"/>
        <w:gridCol w:w="1858"/>
        <w:gridCol w:w="1480"/>
        <w:gridCol w:w="1352"/>
        <w:gridCol w:w="1095"/>
      </w:tblGrid>
      <w:tr>
        <w:trPr>
          <w:trHeight w:val="1073" w:hRule="atLeast"/>
        </w:trPr>
        <w:tc>
          <w:tcPr>
            <w:tcW w:w="5396" w:type="dxa"/>
            <w:gridSpan w:val="2"/>
            <w:tcBorders>
              <w:top w:val="single" w:sz="18" w:space="0" w:color="000000"/>
              <w:left w:val="single" w:sz="12" w:space="0" w:color="000000"/>
            </w:tcBorders>
            <w:shd w:val="clear" w:color="auto" w:fill="5B9AD4"/>
          </w:tcPr>
          <w:p>
            <w:pPr>
              <w:pStyle w:val="TableParagraph"/>
              <w:spacing w:before="126"/>
              <w:ind w:left="3699" w:right="304"/>
              <w:jc w:val="center"/>
              <w:rPr>
                <w:b/>
                <w:sz w:val="18"/>
              </w:rPr>
            </w:pPr>
            <w:r>
              <w:rPr>
                <w:b/>
                <w:color w:val="FFFFFF"/>
                <w:sz w:val="18"/>
              </w:rPr>
              <w:t>Forecast</w:t>
            </w:r>
            <w:r>
              <w:rPr>
                <w:b/>
                <w:color w:val="FFFFFF"/>
                <w:spacing w:val="-2"/>
                <w:sz w:val="18"/>
              </w:rPr>
              <w:t> Actual</w:t>
            </w:r>
          </w:p>
          <w:p>
            <w:pPr>
              <w:pStyle w:val="TableParagraph"/>
              <w:rPr>
                <w:sz w:val="16"/>
              </w:rPr>
            </w:pPr>
          </w:p>
          <w:p>
            <w:pPr>
              <w:pStyle w:val="TableParagraph"/>
              <w:spacing w:before="1"/>
              <w:ind w:left="3699" w:right="303"/>
              <w:jc w:val="center"/>
              <w:rPr>
                <w:b/>
                <w:sz w:val="18"/>
              </w:rPr>
            </w:pPr>
            <w:r>
              <w:rPr>
                <w:b/>
                <w:color w:val="FFFFFF"/>
                <w:spacing w:val="-2"/>
                <w:sz w:val="18"/>
              </w:rPr>
              <w:t>2024/25</w:t>
            </w:r>
          </w:p>
          <w:p>
            <w:pPr>
              <w:pStyle w:val="TableParagraph"/>
              <w:spacing w:before="93"/>
              <w:ind w:left="3698" w:right="304"/>
              <w:jc w:val="center"/>
              <w:rPr>
                <w:b/>
                <w:sz w:val="18"/>
              </w:rPr>
            </w:pPr>
            <w:r>
              <w:rPr>
                <w:b/>
                <w:color w:val="FFFFFF"/>
                <w:spacing w:val="-2"/>
                <w:sz w:val="18"/>
              </w:rPr>
              <w:t>$’000</w:t>
            </w:r>
          </w:p>
        </w:tc>
        <w:tc>
          <w:tcPr>
            <w:tcW w:w="1480" w:type="dxa"/>
            <w:tcBorders>
              <w:top w:val="single" w:sz="18" w:space="0" w:color="000000"/>
            </w:tcBorders>
            <w:shd w:val="clear" w:color="auto" w:fill="5B9AD4"/>
          </w:tcPr>
          <w:p>
            <w:pPr>
              <w:pStyle w:val="TableParagraph"/>
              <w:spacing w:before="126"/>
              <w:ind w:left="308"/>
              <w:rPr>
                <w:b/>
                <w:sz w:val="18"/>
              </w:rPr>
            </w:pPr>
            <w:r>
              <w:rPr>
                <w:b/>
                <w:color w:val="FFFFFF"/>
                <w:spacing w:val="-2"/>
                <w:sz w:val="18"/>
              </w:rPr>
              <w:t>Budget</w:t>
            </w:r>
          </w:p>
          <w:p>
            <w:pPr>
              <w:pStyle w:val="TableParagraph"/>
              <w:rPr>
                <w:sz w:val="16"/>
              </w:rPr>
            </w:pPr>
          </w:p>
          <w:p>
            <w:pPr>
              <w:pStyle w:val="TableParagraph"/>
              <w:spacing w:before="1"/>
              <w:ind w:left="294"/>
              <w:rPr>
                <w:b/>
                <w:sz w:val="18"/>
              </w:rPr>
            </w:pPr>
            <w:r>
              <w:rPr>
                <w:b/>
                <w:color w:val="FFFFFF"/>
                <w:spacing w:val="-2"/>
                <w:sz w:val="18"/>
              </w:rPr>
              <w:t>2025/26</w:t>
            </w:r>
          </w:p>
          <w:p>
            <w:pPr>
              <w:pStyle w:val="TableParagraph"/>
              <w:spacing w:before="93"/>
              <w:ind w:left="392"/>
              <w:rPr>
                <w:b/>
                <w:sz w:val="18"/>
              </w:rPr>
            </w:pPr>
            <w:r>
              <w:rPr>
                <w:b/>
                <w:color w:val="FFFFFF"/>
                <w:spacing w:val="-2"/>
                <w:sz w:val="18"/>
              </w:rPr>
              <w:t>$’000</w:t>
            </w:r>
          </w:p>
        </w:tc>
        <w:tc>
          <w:tcPr>
            <w:tcW w:w="1352" w:type="dxa"/>
            <w:tcBorders>
              <w:top w:val="single" w:sz="18" w:space="0" w:color="000000"/>
            </w:tcBorders>
            <w:shd w:val="clear" w:color="auto" w:fill="5B9AD4"/>
          </w:tcPr>
          <w:p>
            <w:pPr>
              <w:pStyle w:val="TableParagraph"/>
              <w:spacing w:before="1"/>
              <w:rPr>
                <w:sz w:val="24"/>
              </w:rPr>
            </w:pPr>
          </w:p>
          <w:p>
            <w:pPr>
              <w:pStyle w:val="TableParagraph"/>
              <w:spacing w:before="1"/>
              <w:ind w:left="113" w:right="359"/>
              <w:jc w:val="center"/>
              <w:rPr>
                <w:b/>
                <w:sz w:val="18"/>
              </w:rPr>
            </w:pPr>
            <w:r>
              <w:rPr>
                <w:b/>
                <w:color w:val="FFFFFF"/>
                <w:spacing w:val="-2"/>
                <w:sz w:val="18"/>
              </w:rPr>
              <w:t>Change</w:t>
            </w:r>
          </w:p>
          <w:p>
            <w:pPr>
              <w:pStyle w:val="TableParagraph"/>
              <w:spacing w:before="10"/>
              <w:rPr>
                <w:sz w:val="28"/>
              </w:rPr>
            </w:pPr>
          </w:p>
          <w:p>
            <w:pPr>
              <w:pStyle w:val="TableParagraph"/>
              <w:spacing w:before="1"/>
              <w:ind w:left="115" w:right="359"/>
              <w:jc w:val="center"/>
              <w:rPr>
                <w:b/>
                <w:sz w:val="18"/>
              </w:rPr>
            </w:pPr>
            <w:r>
              <w:rPr>
                <w:b/>
                <w:color w:val="FFFFFF"/>
                <w:spacing w:val="-2"/>
                <w:sz w:val="18"/>
              </w:rPr>
              <w:t>$’000</w:t>
            </w:r>
          </w:p>
        </w:tc>
        <w:tc>
          <w:tcPr>
            <w:tcW w:w="1095" w:type="dxa"/>
            <w:tcBorders>
              <w:top w:val="single" w:sz="18" w:space="0" w:color="000000"/>
              <w:right w:val="single" w:sz="12" w:space="0" w:color="000000"/>
            </w:tcBorders>
            <w:shd w:val="clear" w:color="auto" w:fill="5B9AD4"/>
          </w:tcPr>
          <w:p>
            <w:pPr>
              <w:pStyle w:val="TableParagraph"/>
              <w:rPr>
                <w:sz w:val="20"/>
              </w:rPr>
            </w:pPr>
          </w:p>
          <w:p>
            <w:pPr>
              <w:pStyle w:val="TableParagraph"/>
              <w:spacing w:before="1"/>
              <w:rPr>
                <w:sz w:val="17"/>
              </w:rPr>
            </w:pPr>
          </w:p>
          <w:p>
            <w:pPr>
              <w:pStyle w:val="TableParagraph"/>
              <w:ind w:right="152"/>
              <w:jc w:val="center"/>
              <w:rPr>
                <w:b/>
                <w:sz w:val="18"/>
              </w:rPr>
            </w:pPr>
            <w:r>
              <w:rPr>
                <w:b/>
                <w:color w:val="FFFFFF"/>
                <w:sz w:val="18"/>
              </w:rPr>
              <w:t>%</w:t>
            </w:r>
          </w:p>
        </w:tc>
      </w:tr>
      <w:tr>
        <w:trPr>
          <w:trHeight w:val="301" w:hRule="atLeast"/>
        </w:trPr>
        <w:tc>
          <w:tcPr>
            <w:tcW w:w="3538" w:type="dxa"/>
            <w:tcBorders>
              <w:left w:val="single" w:sz="12" w:space="0" w:color="000000"/>
            </w:tcBorders>
          </w:tcPr>
          <w:p>
            <w:pPr>
              <w:pStyle w:val="TableParagraph"/>
              <w:spacing w:before="33"/>
              <w:ind w:left="107"/>
              <w:rPr>
                <w:sz w:val="20"/>
              </w:rPr>
            </w:pPr>
            <w:r>
              <w:rPr>
                <w:spacing w:val="-2"/>
                <w:sz w:val="20"/>
              </w:rPr>
              <w:t>Property</w:t>
            </w:r>
          </w:p>
        </w:tc>
        <w:tc>
          <w:tcPr>
            <w:tcW w:w="1858" w:type="dxa"/>
          </w:tcPr>
          <w:p>
            <w:pPr>
              <w:pStyle w:val="TableParagraph"/>
              <w:spacing w:before="33"/>
              <w:ind w:right="265"/>
              <w:jc w:val="right"/>
              <w:rPr>
                <w:sz w:val="20"/>
              </w:rPr>
            </w:pPr>
            <w:r>
              <w:rPr>
                <w:spacing w:val="-2"/>
                <w:sz w:val="20"/>
              </w:rPr>
              <w:t>46,183</w:t>
            </w:r>
          </w:p>
        </w:tc>
        <w:tc>
          <w:tcPr>
            <w:tcW w:w="1480" w:type="dxa"/>
          </w:tcPr>
          <w:p>
            <w:pPr>
              <w:pStyle w:val="TableParagraph"/>
              <w:spacing w:before="33"/>
              <w:ind w:right="192"/>
              <w:jc w:val="right"/>
              <w:rPr>
                <w:b/>
                <w:sz w:val="20"/>
              </w:rPr>
            </w:pPr>
            <w:r>
              <w:rPr>
                <w:b/>
                <w:spacing w:val="-2"/>
                <w:sz w:val="20"/>
              </w:rPr>
              <w:t>22,276</w:t>
            </w:r>
          </w:p>
        </w:tc>
        <w:tc>
          <w:tcPr>
            <w:tcW w:w="1352" w:type="dxa"/>
          </w:tcPr>
          <w:p>
            <w:pPr>
              <w:pStyle w:val="TableParagraph"/>
              <w:spacing w:before="33"/>
              <w:ind w:right="271"/>
              <w:jc w:val="right"/>
              <w:rPr>
                <w:sz w:val="20"/>
              </w:rPr>
            </w:pPr>
            <w:r>
              <w:rPr>
                <w:spacing w:val="-2"/>
                <w:sz w:val="20"/>
              </w:rPr>
              <w:t>(23,906)</w:t>
            </w:r>
          </w:p>
        </w:tc>
        <w:tc>
          <w:tcPr>
            <w:tcW w:w="1095" w:type="dxa"/>
            <w:tcBorders>
              <w:right w:val="single" w:sz="12" w:space="0" w:color="000000"/>
            </w:tcBorders>
          </w:tcPr>
          <w:p>
            <w:pPr>
              <w:pStyle w:val="TableParagraph"/>
              <w:spacing w:before="33"/>
              <w:ind w:right="82"/>
              <w:jc w:val="right"/>
              <w:rPr>
                <w:b/>
                <w:sz w:val="20"/>
              </w:rPr>
            </w:pPr>
            <w:r>
              <w:rPr>
                <w:b/>
                <w:spacing w:val="-2"/>
                <w:sz w:val="20"/>
              </w:rPr>
              <w:t>(51.8%)</w:t>
            </w:r>
          </w:p>
        </w:tc>
      </w:tr>
      <w:tr>
        <w:trPr>
          <w:trHeight w:val="303" w:hRule="atLeast"/>
        </w:trPr>
        <w:tc>
          <w:tcPr>
            <w:tcW w:w="3538" w:type="dxa"/>
            <w:tcBorders>
              <w:left w:val="single" w:sz="12" w:space="0" w:color="000000"/>
            </w:tcBorders>
          </w:tcPr>
          <w:p>
            <w:pPr>
              <w:pStyle w:val="TableParagraph"/>
              <w:spacing w:before="31"/>
              <w:ind w:left="107"/>
              <w:rPr>
                <w:sz w:val="20"/>
              </w:rPr>
            </w:pPr>
            <w:r>
              <w:rPr>
                <w:sz w:val="20"/>
              </w:rPr>
              <w:t>Plant</w:t>
            </w:r>
            <w:r>
              <w:rPr>
                <w:spacing w:val="-6"/>
                <w:sz w:val="20"/>
              </w:rPr>
              <w:t> </w:t>
            </w:r>
            <w:r>
              <w:rPr>
                <w:sz w:val="20"/>
              </w:rPr>
              <w:t>and</w:t>
            </w:r>
            <w:r>
              <w:rPr>
                <w:spacing w:val="-3"/>
                <w:sz w:val="20"/>
              </w:rPr>
              <w:t> </w:t>
            </w:r>
            <w:r>
              <w:rPr>
                <w:spacing w:val="-2"/>
                <w:sz w:val="20"/>
              </w:rPr>
              <w:t>equipment</w:t>
            </w:r>
          </w:p>
        </w:tc>
        <w:tc>
          <w:tcPr>
            <w:tcW w:w="1858" w:type="dxa"/>
          </w:tcPr>
          <w:p>
            <w:pPr>
              <w:pStyle w:val="TableParagraph"/>
              <w:spacing w:before="31"/>
              <w:ind w:right="265"/>
              <w:jc w:val="right"/>
              <w:rPr>
                <w:sz w:val="20"/>
              </w:rPr>
            </w:pPr>
            <w:r>
              <w:rPr>
                <w:spacing w:val="-2"/>
                <w:sz w:val="20"/>
              </w:rPr>
              <w:t>4,416</w:t>
            </w:r>
          </w:p>
        </w:tc>
        <w:tc>
          <w:tcPr>
            <w:tcW w:w="1480" w:type="dxa"/>
          </w:tcPr>
          <w:p>
            <w:pPr>
              <w:pStyle w:val="TableParagraph"/>
              <w:spacing w:before="31"/>
              <w:ind w:right="194"/>
              <w:jc w:val="right"/>
              <w:rPr>
                <w:b/>
                <w:sz w:val="20"/>
              </w:rPr>
            </w:pPr>
            <w:r>
              <w:rPr>
                <w:b/>
                <w:spacing w:val="-2"/>
                <w:sz w:val="20"/>
              </w:rPr>
              <w:t>2,392</w:t>
            </w:r>
          </w:p>
        </w:tc>
        <w:tc>
          <w:tcPr>
            <w:tcW w:w="1352" w:type="dxa"/>
          </w:tcPr>
          <w:p>
            <w:pPr>
              <w:pStyle w:val="TableParagraph"/>
              <w:spacing w:before="31"/>
              <w:ind w:right="273"/>
              <w:jc w:val="right"/>
              <w:rPr>
                <w:sz w:val="20"/>
              </w:rPr>
            </w:pPr>
            <w:r>
              <w:rPr>
                <w:spacing w:val="-2"/>
                <w:sz w:val="20"/>
              </w:rPr>
              <w:t>(2,024)</w:t>
            </w:r>
          </w:p>
        </w:tc>
        <w:tc>
          <w:tcPr>
            <w:tcW w:w="1095" w:type="dxa"/>
            <w:tcBorders>
              <w:right w:val="single" w:sz="12" w:space="0" w:color="000000"/>
            </w:tcBorders>
          </w:tcPr>
          <w:p>
            <w:pPr>
              <w:pStyle w:val="TableParagraph"/>
              <w:spacing w:before="31"/>
              <w:ind w:right="82"/>
              <w:jc w:val="right"/>
              <w:rPr>
                <w:b/>
                <w:sz w:val="20"/>
              </w:rPr>
            </w:pPr>
            <w:r>
              <w:rPr>
                <w:b/>
                <w:spacing w:val="-2"/>
                <w:sz w:val="20"/>
              </w:rPr>
              <w:t>(45.8%)</w:t>
            </w:r>
          </w:p>
        </w:tc>
      </w:tr>
      <w:tr>
        <w:trPr>
          <w:trHeight w:val="308" w:hRule="atLeast"/>
        </w:trPr>
        <w:tc>
          <w:tcPr>
            <w:tcW w:w="3538" w:type="dxa"/>
            <w:tcBorders>
              <w:left w:val="single" w:sz="12" w:space="0" w:color="000000"/>
            </w:tcBorders>
          </w:tcPr>
          <w:p>
            <w:pPr>
              <w:pStyle w:val="TableParagraph"/>
              <w:spacing w:before="35"/>
              <w:ind w:left="107"/>
              <w:rPr>
                <w:sz w:val="20"/>
              </w:rPr>
            </w:pPr>
            <w:r>
              <w:rPr>
                <w:spacing w:val="-2"/>
                <w:sz w:val="20"/>
              </w:rPr>
              <w:t>Infrastructure</w:t>
            </w:r>
          </w:p>
        </w:tc>
        <w:tc>
          <w:tcPr>
            <w:tcW w:w="1858" w:type="dxa"/>
            <w:tcBorders>
              <w:bottom w:val="single" w:sz="8" w:space="0" w:color="000000"/>
            </w:tcBorders>
          </w:tcPr>
          <w:p>
            <w:pPr>
              <w:pStyle w:val="TableParagraph"/>
              <w:spacing w:before="35"/>
              <w:ind w:right="265"/>
              <w:jc w:val="right"/>
              <w:rPr>
                <w:sz w:val="20"/>
              </w:rPr>
            </w:pPr>
            <w:r>
              <w:rPr>
                <w:spacing w:val="-2"/>
                <w:sz w:val="20"/>
              </w:rPr>
              <w:t>20,884</w:t>
            </w:r>
          </w:p>
        </w:tc>
        <w:tc>
          <w:tcPr>
            <w:tcW w:w="1480" w:type="dxa"/>
            <w:tcBorders>
              <w:bottom w:val="single" w:sz="8" w:space="0" w:color="000000"/>
            </w:tcBorders>
          </w:tcPr>
          <w:p>
            <w:pPr>
              <w:pStyle w:val="TableParagraph"/>
              <w:spacing w:before="35"/>
              <w:ind w:right="192"/>
              <w:jc w:val="right"/>
              <w:rPr>
                <w:b/>
                <w:sz w:val="20"/>
              </w:rPr>
            </w:pPr>
            <w:r>
              <w:rPr>
                <w:b/>
                <w:spacing w:val="-2"/>
                <w:sz w:val="20"/>
              </w:rPr>
              <w:t>21,357</w:t>
            </w:r>
          </w:p>
        </w:tc>
        <w:tc>
          <w:tcPr>
            <w:tcW w:w="1352" w:type="dxa"/>
            <w:tcBorders>
              <w:bottom w:val="single" w:sz="8" w:space="0" w:color="000000"/>
            </w:tcBorders>
          </w:tcPr>
          <w:p>
            <w:pPr>
              <w:pStyle w:val="TableParagraph"/>
              <w:spacing w:before="35"/>
              <w:ind w:right="272"/>
              <w:jc w:val="right"/>
              <w:rPr>
                <w:sz w:val="20"/>
              </w:rPr>
            </w:pPr>
            <w:r>
              <w:rPr>
                <w:spacing w:val="-5"/>
                <w:sz w:val="20"/>
              </w:rPr>
              <w:t>473</w:t>
            </w:r>
          </w:p>
        </w:tc>
        <w:tc>
          <w:tcPr>
            <w:tcW w:w="1095" w:type="dxa"/>
            <w:tcBorders>
              <w:bottom w:val="single" w:sz="8" w:space="0" w:color="000000"/>
              <w:right w:val="single" w:sz="12" w:space="0" w:color="000000"/>
            </w:tcBorders>
          </w:tcPr>
          <w:p>
            <w:pPr>
              <w:pStyle w:val="TableParagraph"/>
              <w:spacing w:before="35"/>
              <w:ind w:right="78"/>
              <w:jc w:val="right"/>
              <w:rPr>
                <w:b/>
                <w:sz w:val="20"/>
              </w:rPr>
            </w:pPr>
            <w:r>
              <w:rPr>
                <w:b/>
                <w:spacing w:val="-2"/>
                <w:sz w:val="20"/>
              </w:rPr>
              <w:t>2.26%</w:t>
            </w:r>
          </w:p>
        </w:tc>
      </w:tr>
      <w:tr>
        <w:trPr>
          <w:trHeight w:val="315" w:hRule="atLeast"/>
        </w:trPr>
        <w:tc>
          <w:tcPr>
            <w:tcW w:w="3538" w:type="dxa"/>
            <w:tcBorders>
              <w:left w:val="single" w:sz="12" w:space="0" w:color="000000"/>
              <w:bottom w:val="single" w:sz="12" w:space="0" w:color="000000"/>
            </w:tcBorders>
          </w:tcPr>
          <w:p>
            <w:pPr>
              <w:pStyle w:val="TableParagraph"/>
              <w:spacing w:before="42"/>
              <w:ind w:left="107"/>
              <w:rPr>
                <w:b/>
                <w:sz w:val="20"/>
              </w:rPr>
            </w:pPr>
            <w:r>
              <w:rPr>
                <w:b/>
                <w:spacing w:val="-2"/>
                <w:sz w:val="20"/>
              </w:rPr>
              <w:t>Total</w:t>
            </w:r>
          </w:p>
        </w:tc>
        <w:tc>
          <w:tcPr>
            <w:tcW w:w="1858" w:type="dxa"/>
            <w:tcBorders>
              <w:top w:val="single" w:sz="8" w:space="0" w:color="000000"/>
              <w:bottom w:val="single" w:sz="12" w:space="0" w:color="000000"/>
            </w:tcBorders>
          </w:tcPr>
          <w:p>
            <w:pPr>
              <w:pStyle w:val="TableParagraph"/>
              <w:spacing w:before="42"/>
              <w:ind w:right="265"/>
              <w:jc w:val="right"/>
              <w:rPr>
                <w:sz w:val="20"/>
              </w:rPr>
            </w:pPr>
            <w:r>
              <w:rPr>
                <w:spacing w:val="-2"/>
                <w:sz w:val="20"/>
              </w:rPr>
              <w:t>71,482</w:t>
            </w:r>
          </w:p>
        </w:tc>
        <w:tc>
          <w:tcPr>
            <w:tcW w:w="1480" w:type="dxa"/>
            <w:tcBorders>
              <w:top w:val="single" w:sz="8" w:space="0" w:color="000000"/>
              <w:bottom w:val="single" w:sz="12" w:space="0" w:color="000000"/>
            </w:tcBorders>
          </w:tcPr>
          <w:p>
            <w:pPr>
              <w:pStyle w:val="TableParagraph"/>
              <w:spacing w:before="42"/>
              <w:ind w:right="192"/>
              <w:jc w:val="right"/>
              <w:rPr>
                <w:b/>
                <w:sz w:val="20"/>
              </w:rPr>
            </w:pPr>
            <w:r>
              <w:rPr>
                <w:b/>
                <w:spacing w:val="-2"/>
                <w:sz w:val="20"/>
              </w:rPr>
              <w:t>46,025</w:t>
            </w:r>
          </w:p>
        </w:tc>
        <w:tc>
          <w:tcPr>
            <w:tcW w:w="1352" w:type="dxa"/>
            <w:tcBorders>
              <w:top w:val="single" w:sz="8" w:space="0" w:color="000000"/>
              <w:bottom w:val="single" w:sz="12" w:space="0" w:color="000000"/>
            </w:tcBorders>
          </w:tcPr>
          <w:p>
            <w:pPr>
              <w:pStyle w:val="TableParagraph"/>
              <w:spacing w:before="42"/>
              <w:ind w:right="271"/>
              <w:jc w:val="right"/>
              <w:rPr>
                <w:sz w:val="20"/>
              </w:rPr>
            </w:pPr>
            <w:r>
              <w:rPr>
                <w:spacing w:val="-2"/>
                <w:sz w:val="20"/>
              </w:rPr>
              <w:t>(25,457)</w:t>
            </w:r>
          </w:p>
        </w:tc>
        <w:tc>
          <w:tcPr>
            <w:tcW w:w="1095" w:type="dxa"/>
            <w:tcBorders>
              <w:top w:val="single" w:sz="8" w:space="0" w:color="000000"/>
              <w:bottom w:val="single" w:sz="12" w:space="0" w:color="000000"/>
              <w:right w:val="single" w:sz="12" w:space="0" w:color="000000"/>
            </w:tcBorders>
          </w:tcPr>
          <w:p>
            <w:pPr>
              <w:pStyle w:val="TableParagraph"/>
              <w:spacing w:before="42"/>
              <w:ind w:right="82"/>
              <w:jc w:val="right"/>
              <w:rPr>
                <w:b/>
                <w:sz w:val="20"/>
              </w:rPr>
            </w:pPr>
            <w:r>
              <w:rPr>
                <w:b/>
                <w:spacing w:val="-2"/>
                <w:sz w:val="20"/>
              </w:rPr>
              <w:t>(35.6%)</w:t>
            </w:r>
          </w:p>
        </w:tc>
      </w:tr>
    </w:tbl>
    <w:p>
      <w:pPr>
        <w:pStyle w:val="BodyText"/>
        <w:spacing w:before="5" w:after="1"/>
        <w:rPr>
          <w:sz w:val="21"/>
        </w:rPr>
      </w:pPr>
    </w:p>
    <w:tbl>
      <w:tblPr>
        <w:tblW w:w="0" w:type="auto"/>
        <w:jc w:val="left"/>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27"/>
        <w:gridCol w:w="1802"/>
        <w:gridCol w:w="1391"/>
        <w:gridCol w:w="1583"/>
        <w:gridCol w:w="1067"/>
        <w:gridCol w:w="1148"/>
        <w:gridCol w:w="1897"/>
        <w:gridCol w:w="1276"/>
        <w:gridCol w:w="1123"/>
      </w:tblGrid>
      <w:tr>
        <w:trPr>
          <w:trHeight w:val="1041" w:hRule="atLeast"/>
        </w:trPr>
        <w:tc>
          <w:tcPr>
            <w:tcW w:w="4829" w:type="dxa"/>
            <w:gridSpan w:val="2"/>
            <w:tcBorders>
              <w:top w:val="single" w:sz="18" w:space="0" w:color="000000"/>
              <w:left w:val="single" w:sz="12" w:space="0" w:color="000000"/>
              <w:right w:val="single" w:sz="8" w:space="0" w:color="000000"/>
            </w:tcBorders>
            <w:shd w:val="clear" w:color="auto" w:fill="5B9AD4"/>
          </w:tcPr>
          <w:p>
            <w:pPr>
              <w:pStyle w:val="TableParagraph"/>
              <w:rPr>
                <w:sz w:val="20"/>
              </w:rPr>
            </w:pPr>
          </w:p>
          <w:p>
            <w:pPr>
              <w:pStyle w:val="TableParagraph"/>
              <w:spacing w:before="5"/>
              <w:rPr>
                <w:sz w:val="26"/>
              </w:rPr>
            </w:pPr>
          </w:p>
          <w:p>
            <w:pPr>
              <w:pStyle w:val="TableParagraph"/>
              <w:ind w:left="3620" w:right="96"/>
              <w:jc w:val="center"/>
              <w:rPr>
                <w:b/>
                <w:sz w:val="18"/>
              </w:rPr>
            </w:pPr>
            <w:r>
              <w:rPr>
                <w:b/>
                <w:color w:val="FFFFFF"/>
                <w:sz w:val="18"/>
              </w:rPr>
              <w:t>Project</w:t>
            </w:r>
            <w:r>
              <w:rPr>
                <w:b/>
                <w:color w:val="FFFFFF"/>
                <w:spacing w:val="2"/>
                <w:sz w:val="18"/>
              </w:rPr>
              <w:t> </w:t>
            </w:r>
            <w:r>
              <w:rPr>
                <w:b/>
                <w:color w:val="FFFFFF"/>
                <w:spacing w:val="-4"/>
                <w:sz w:val="18"/>
              </w:rPr>
              <w:t>Cost</w:t>
            </w:r>
          </w:p>
          <w:p>
            <w:pPr>
              <w:pStyle w:val="TableParagraph"/>
              <w:spacing w:line="164" w:lineRule="exact" w:before="117"/>
              <w:ind w:left="3617" w:right="96"/>
              <w:jc w:val="center"/>
              <w:rPr>
                <w:b/>
                <w:sz w:val="16"/>
              </w:rPr>
            </w:pPr>
            <w:r>
              <w:rPr>
                <w:b/>
                <w:color w:val="FFFFFF"/>
                <w:spacing w:val="-2"/>
                <w:sz w:val="16"/>
              </w:rPr>
              <w:t>$’000</w:t>
            </w:r>
          </w:p>
        </w:tc>
        <w:tc>
          <w:tcPr>
            <w:tcW w:w="1391" w:type="dxa"/>
            <w:tcBorders>
              <w:top w:val="single" w:sz="18" w:space="0" w:color="000000"/>
              <w:left w:val="single" w:sz="8" w:space="0" w:color="000000"/>
            </w:tcBorders>
            <w:shd w:val="clear" w:color="auto" w:fill="5B9AD4"/>
          </w:tcPr>
          <w:p>
            <w:pPr>
              <w:pStyle w:val="TableParagraph"/>
              <w:rPr>
                <w:sz w:val="18"/>
              </w:rPr>
            </w:pPr>
          </w:p>
          <w:p>
            <w:pPr>
              <w:pStyle w:val="TableParagraph"/>
              <w:rPr>
                <w:sz w:val="18"/>
              </w:rPr>
            </w:pPr>
          </w:p>
          <w:p>
            <w:pPr>
              <w:pStyle w:val="TableParagraph"/>
              <w:spacing w:before="144"/>
              <w:ind w:left="461" w:right="488"/>
              <w:jc w:val="center"/>
              <w:rPr>
                <w:b/>
                <w:sz w:val="16"/>
              </w:rPr>
            </w:pPr>
            <w:r>
              <w:rPr>
                <w:b/>
                <w:color w:val="FFFFFF"/>
                <w:spacing w:val="-5"/>
                <w:sz w:val="16"/>
              </w:rPr>
              <w:t>New</w:t>
            </w:r>
          </w:p>
          <w:p>
            <w:pPr>
              <w:pStyle w:val="TableParagraph"/>
              <w:spacing w:line="164" w:lineRule="exact" w:before="116"/>
              <w:ind w:left="461" w:right="489"/>
              <w:jc w:val="center"/>
              <w:rPr>
                <w:b/>
                <w:sz w:val="16"/>
              </w:rPr>
            </w:pPr>
            <w:r>
              <w:rPr>
                <w:b/>
                <w:color w:val="FFFFFF"/>
                <w:spacing w:val="-2"/>
                <w:sz w:val="16"/>
              </w:rPr>
              <w:t>$’000</w:t>
            </w:r>
          </w:p>
        </w:tc>
        <w:tc>
          <w:tcPr>
            <w:tcW w:w="2650" w:type="dxa"/>
            <w:gridSpan w:val="2"/>
            <w:tcBorders>
              <w:top w:val="single" w:sz="18" w:space="0" w:color="000000"/>
            </w:tcBorders>
            <w:shd w:val="clear" w:color="auto" w:fill="5B9AD4"/>
          </w:tcPr>
          <w:p>
            <w:pPr>
              <w:pStyle w:val="TableParagraph"/>
              <w:spacing w:before="86"/>
              <w:ind w:right="388"/>
              <w:jc w:val="right"/>
              <w:rPr>
                <w:b/>
                <w:sz w:val="18"/>
              </w:rPr>
            </w:pPr>
            <w:r>
              <w:rPr>
                <w:b/>
                <w:color w:val="FFFFFF"/>
                <w:sz w:val="18"/>
              </w:rPr>
              <w:t>Asset</w:t>
            </w:r>
            <w:r>
              <w:rPr>
                <w:b/>
                <w:color w:val="FFFFFF"/>
                <w:spacing w:val="-2"/>
                <w:sz w:val="18"/>
              </w:rPr>
              <w:t> </w:t>
            </w:r>
            <w:r>
              <w:rPr>
                <w:b/>
                <w:color w:val="FFFFFF"/>
                <w:sz w:val="18"/>
              </w:rPr>
              <w:t>expenditure</w:t>
            </w:r>
            <w:r>
              <w:rPr>
                <w:b/>
                <w:color w:val="FFFFFF"/>
                <w:spacing w:val="1"/>
                <w:sz w:val="18"/>
              </w:rPr>
              <w:t> </w:t>
            </w:r>
            <w:r>
              <w:rPr>
                <w:b/>
                <w:color w:val="FFFFFF"/>
                <w:spacing w:val="-2"/>
                <w:sz w:val="18"/>
              </w:rPr>
              <w:t>types</w:t>
            </w:r>
          </w:p>
          <w:p>
            <w:pPr>
              <w:pStyle w:val="TableParagraph"/>
              <w:rPr>
                <w:sz w:val="23"/>
              </w:rPr>
            </w:pPr>
          </w:p>
          <w:p>
            <w:pPr>
              <w:pStyle w:val="TableParagraph"/>
              <w:tabs>
                <w:tab w:pos="1334" w:val="left" w:leader="none"/>
              </w:tabs>
              <w:ind w:right="364"/>
              <w:jc w:val="right"/>
              <w:rPr>
                <w:b/>
                <w:sz w:val="16"/>
              </w:rPr>
            </w:pPr>
            <w:r>
              <w:rPr>
                <w:b/>
                <w:color w:val="FFFFFF"/>
                <w:spacing w:val="-2"/>
                <w:sz w:val="16"/>
              </w:rPr>
              <w:t>Renewal</w:t>
            </w:r>
            <w:r>
              <w:rPr>
                <w:b/>
                <w:color w:val="FFFFFF"/>
                <w:sz w:val="16"/>
              </w:rPr>
              <w:tab/>
            </w:r>
            <w:r>
              <w:rPr>
                <w:b/>
                <w:color w:val="FFFFFF"/>
                <w:spacing w:val="-2"/>
                <w:sz w:val="16"/>
              </w:rPr>
              <w:t>Upgrade</w:t>
            </w:r>
          </w:p>
          <w:p>
            <w:pPr>
              <w:pStyle w:val="TableParagraph"/>
              <w:tabs>
                <w:tab w:pos="1755" w:val="left" w:leader="none"/>
              </w:tabs>
              <w:spacing w:line="164" w:lineRule="exact" w:before="116"/>
              <w:ind w:left="420"/>
              <w:rPr>
                <w:b/>
                <w:sz w:val="16"/>
              </w:rPr>
            </w:pPr>
            <w:r>
              <w:rPr>
                <w:b/>
                <w:color w:val="FFFFFF"/>
                <w:spacing w:val="-2"/>
                <w:sz w:val="16"/>
              </w:rPr>
              <w:t>$’000</w:t>
            </w:r>
            <w:r>
              <w:rPr>
                <w:b/>
                <w:color w:val="FFFFFF"/>
                <w:sz w:val="16"/>
              </w:rPr>
              <w:tab/>
            </w:r>
            <w:r>
              <w:rPr>
                <w:b/>
                <w:color w:val="FFFFFF"/>
                <w:spacing w:val="-4"/>
                <w:sz w:val="16"/>
              </w:rPr>
              <w:t>$’000</w:t>
            </w:r>
          </w:p>
        </w:tc>
        <w:tc>
          <w:tcPr>
            <w:tcW w:w="1148" w:type="dxa"/>
            <w:tcBorders>
              <w:top w:val="single" w:sz="18" w:space="0" w:color="000000"/>
              <w:right w:val="single" w:sz="8" w:space="0" w:color="000000"/>
            </w:tcBorders>
            <w:shd w:val="clear" w:color="auto" w:fill="5B9AD4"/>
          </w:tcPr>
          <w:p>
            <w:pPr>
              <w:pStyle w:val="TableParagraph"/>
              <w:rPr>
                <w:sz w:val="18"/>
              </w:rPr>
            </w:pPr>
          </w:p>
          <w:p>
            <w:pPr>
              <w:pStyle w:val="TableParagraph"/>
              <w:rPr>
                <w:sz w:val="18"/>
              </w:rPr>
            </w:pPr>
          </w:p>
          <w:p>
            <w:pPr>
              <w:pStyle w:val="TableParagraph"/>
              <w:spacing w:before="144"/>
              <w:ind w:left="149" w:right="156"/>
              <w:jc w:val="center"/>
              <w:rPr>
                <w:b/>
                <w:sz w:val="16"/>
              </w:rPr>
            </w:pPr>
            <w:r>
              <w:rPr>
                <w:b/>
                <w:color w:val="FFFFFF"/>
                <w:spacing w:val="-2"/>
                <w:sz w:val="16"/>
              </w:rPr>
              <w:t>Expansion</w:t>
            </w:r>
          </w:p>
          <w:p>
            <w:pPr>
              <w:pStyle w:val="TableParagraph"/>
              <w:spacing w:line="164" w:lineRule="exact" w:before="116"/>
              <w:ind w:left="147" w:right="156"/>
              <w:jc w:val="center"/>
              <w:rPr>
                <w:b/>
                <w:sz w:val="16"/>
              </w:rPr>
            </w:pPr>
            <w:r>
              <w:rPr>
                <w:b/>
                <w:color w:val="FFFFFF"/>
                <w:spacing w:val="-2"/>
                <w:sz w:val="16"/>
              </w:rPr>
              <w:t>$’000</w:t>
            </w:r>
          </w:p>
        </w:tc>
        <w:tc>
          <w:tcPr>
            <w:tcW w:w="4296" w:type="dxa"/>
            <w:gridSpan w:val="3"/>
            <w:tcBorders>
              <w:top w:val="single" w:sz="18" w:space="0" w:color="000000"/>
              <w:left w:val="single" w:sz="8" w:space="0" w:color="000000"/>
              <w:right w:val="single" w:sz="12" w:space="0" w:color="000000"/>
            </w:tcBorders>
            <w:shd w:val="clear" w:color="auto" w:fill="5B9AD4"/>
          </w:tcPr>
          <w:p>
            <w:pPr>
              <w:pStyle w:val="TableParagraph"/>
              <w:spacing w:before="86"/>
              <w:ind w:left="865"/>
              <w:rPr>
                <w:b/>
                <w:sz w:val="18"/>
              </w:rPr>
            </w:pPr>
            <w:r>
              <w:rPr>
                <w:b/>
                <w:color w:val="FFFFFF"/>
                <w:sz w:val="18"/>
              </w:rPr>
              <w:t>Summary of Funding</w:t>
            </w:r>
            <w:r>
              <w:rPr>
                <w:b/>
                <w:color w:val="FFFFFF"/>
                <w:spacing w:val="1"/>
                <w:sz w:val="18"/>
              </w:rPr>
              <w:t> </w:t>
            </w:r>
            <w:r>
              <w:rPr>
                <w:b/>
                <w:color w:val="FFFFFF"/>
                <w:spacing w:val="-2"/>
                <w:sz w:val="18"/>
              </w:rPr>
              <w:t>Sources</w:t>
            </w:r>
          </w:p>
          <w:p>
            <w:pPr>
              <w:pStyle w:val="TableParagraph"/>
              <w:rPr>
                <w:sz w:val="23"/>
              </w:rPr>
            </w:pPr>
          </w:p>
          <w:p>
            <w:pPr>
              <w:pStyle w:val="TableParagraph"/>
              <w:tabs>
                <w:tab w:pos="1861" w:val="left" w:leader="none"/>
                <w:tab w:pos="3085" w:val="left" w:leader="none"/>
              </w:tabs>
              <w:ind w:left="471"/>
              <w:rPr>
                <w:b/>
                <w:sz w:val="16"/>
              </w:rPr>
            </w:pPr>
            <w:r>
              <w:rPr>
                <w:b/>
                <w:color w:val="FFFFFF"/>
                <w:spacing w:val="-2"/>
                <w:sz w:val="16"/>
              </w:rPr>
              <w:t>Grants</w:t>
            </w:r>
            <w:r>
              <w:rPr>
                <w:b/>
                <w:color w:val="FFFFFF"/>
                <w:sz w:val="16"/>
              </w:rPr>
              <w:tab/>
            </w:r>
            <w:r>
              <w:rPr>
                <w:b/>
                <w:color w:val="FFFFFF"/>
                <w:spacing w:val="-2"/>
                <w:sz w:val="16"/>
              </w:rPr>
              <w:t>Contrib.</w:t>
            </w:r>
            <w:r>
              <w:rPr>
                <w:b/>
                <w:color w:val="FFFFFF"/>
                <w:sz w:val="16"/>
              </w:rPr>
              <w:tab/>
              <w:t>Council</w:t>
            </w:r>
            <w:r>
              <w:rPr>
                <w:b/>
                <w:color w:val="FFFFFF"/>
                <w:spacing w:val="-1"/>
                <w:sz w:val="16"/>
              </w:rPr>
              <w:t> </w:t>
            </w:r>
            <w:r>
              <w:rPr>
                <w:b/>
                <w:color w:val="FFFFFF"/>
                <w:spacing w:val="-4"/>
                <w:sz w:val="16"/>
              </w:rPr>
              <w:t>cash</w:t>
            </w:r>
          </w:p>
          <w:p>
            <w:pPr>
              <w:pStyle w:val="TableParagraph"/>
              <w:tabs>
                <w:tab w:pos="1969" w:val="left" w:leader="none"/>
                <w:tab w:pos="3387" w:val="left" w:leader="none"/>
              </w:tabs>
              <w:spacing w:line="164" w:lineRule="exact" w:before="116"/>
              <w:ind w:left="529"/>
              <w:rPr>
                <w:b/>
                <w:sz w:val="16"/>
              </w:rPr>
            </w:pPr>
            <w:r>
              <w:rPr>
                <w:b/>
                <w:color w:val="FFFFFF"/>
                <w:spacing w:val="-2"/>
                <w:sz w:val="16"/>
              </w:rPr>
              <w:t>$’000</w:t>
            </w:r>
            <w:r>
              <w:rPr>
                <w:b/>
                <w:color w:val="FFFFFF"/>
                <w:sz w:val="16"/>
              </w:rPr>
              <w:tab/>
            </w:r>
            <w:r>
              <w:rPr>
                <w:b/>
                <w:color w:val="FFFFFF"/>
                <w:spacing w:val="-4"/>
                <w:sz w:val="16"/>
              </w:rPr>
              <w:t>$’000</w:t>
            </w:r>
            <w:r>
              <w:rPr>
                <w:b/>
                <w:color w:val="FFFFFF"/>
                <w:sz w:val="16"/>
              </w:rPr>
              <w:tab/>
            </w:r>
            <w:r>
              <w:rPr>
                <w:b/>
                <w:color w:val="FFFFFF"/>
                <w:spacing w:val="-4"/>
                <w:sz w:val="16"/>
              </w:rPr>
              <w:t>$'000</w:t>
            </w:r>
          </w:p>
        </w:tc>
      </w:tr>
      <w:tr>
        <w:trPr>
          <w:trHeight w:val="878" w:hRule="atLeast"/>
        </w:trPr>
        <w:tc>
          <w:tcPr>
            <w:tcW w:w="3027" w:type="dxa"/>
            <w:tcBorders>
              <w:left w:val="single" w:sz="12" w:space="0" w:color="000000"/>
            </w:tcBorders>
          </w:tcPr>
          <w:p>
            <w:pPr>
              <w:pStyle w:val="TableParagraph"/>
              <w:rPr>
                <w:sz w:val="22"/>
              </w:rPr>
            </w:pPr>
          </w:p>
          <w:p>
            <w:pPr>
              <w:pStyle w:val="TableParagraph"/>
              <w:spacing w:before="1"/>
              <w:rPr>
                <w:sz w:val="24"/>
              </w:rPr>
            </w:pPr>
          </w:p>
          <w:p>
            <w:pPr>
              <w:pStyle w:val="TableParagraph"/>
              <w:ind w:left="107"/>
              <w:rPr>
                <w:sz w:val="20"/>
              </w:rPr>
            </w:pPr>
            <w:r>
              <w:rPr>
                <w:spacing w:val="-2"/>
                <w:sz w:val="20"/>
              </w:rPr>
              <w:t>Property</w:t>
            </w:r>
          </w:p>
        </w:tc>
        <w:tc>
          <w:tcPr>
            <w:tcW w:w="1802" w:type="dxa"/>
            <w:tcBorders>
              <w:right w:val="single" w:sz="8" w:space="0" w:color="000000"/>
            </w:tcBorders>
          </w:tcPr>
          <w:p>
            <w:pPr>
              <w:pStyle w:val="TableParagraph"/>
              <w:rPr>
                <w:sz w:val="22"/>
              </w:rPr>
            </w:pPr>
          </w:p>
          <w:p>
            <w:pPr>
              <w:pStyle w:val="TableParagraph"/>
              <w:spacing w:before="1"/>
              <w:rPr>
                <w:sz w:val="24"/>
              </w:rPr>
            </w:pPr>
          </w:p>
          <w:p>
            <w:pPr>
              <w:pStyle w:val="TableParagraph"/>
              <w:ind w:right="81"/>
              <w:jc w:val="right"/>
              <w:rPr>
                <w:b/>
                <w:sz w:val="20"/>
              </w:rPr>
            </w:pPr>
            <w:r>
              <w:rPr>
                <w:b/>
                <w:spacing w:val="-2"/>
                <w:sz w:val="20"/>
              </w:rPr>
              <w:t>22,276</w:t>
            </w:r>
          </w:p>
        </w:tc>
        <w:tc>
          <w:tcPr>
            <w:tcW w:w="1391" w:type="dxa"/>
            <w:tcBorders>
              <w:left w:val="single" w:sz="8" w:space="0" w:color="000000"/>
            </w:tcBorders>
          </w:tcPr>
          <w:p>
            <w:pPr>
              <w:pStyle w:val="TableParagraph"/>
              <w:rPr>
                <w:sz w:val="22"/>
              </w:rPr>
            </w:pPr>
          </w:p>
          <w:p>
            <w:pPr>
              <w:pStyle w:val="TableParagraph"/>
              <w:spacing w:before="1"/>
              <w:rPr>
                <w:sz w:val="24"/>
              </w:rPr>
            </w:pPr>
          </w:p>
          <w:p>
            <w:pPr>
              <w:pStyle w:val="TableParagraph"/>
              <w:ind w:right="139"/>
              <w:jc w:val="right"/>
              <w:rPr>
                <w:sz w:val="20"/>
              </w:rPr>
            </w:pPr>
            <w:r>
              <w:rPr>
                <w:spacing w:val="-2"/>
                <w:sz w:val="20"/>
              </w:rPr>
              <w:t>1,000</w:t>
            </w:r>
          </w:p>
        </w:tc>
        <w:tc>
          <w:tcPr>
            <w:tcW w:w="1583" w:type="dxa"/>
          </w:tcPr>
          <w:p>
            <w:pPr>
              <w:pStyle w:val="TableParagraph"/>
              <w:rPr>
                <w:sz w:val="22"/>
              </w:rPr>
            </w:pPr>
          </w:p>
          <w:p>
            <w:pPr>
              <w:pStyle w:val="TableParagraph"/>
              <w:spacing w:before="1"/>
              <w:rPr>
                <w:sz w:val="24"/>
              </w:rPr>
            </w:pPr>
          </w:p>
          <w:p>
            <w:pPr>
              <w:pStyle w:val="TableParagraph"/>
              <w:ind w:right="401"/>
              <w:jc w:val="right"/>
              <w:rPr>
                <w:sz w:val="20"/>
              </w:rPr>
            </w:pPr>
            <w:r>
              <w:rPr>
                <w:spacing w:val="-2"/>
                <w:sz w:val="20"/>
              </w:rPr>
              <w:t>16,629</w:t>
            </w:r>
          </w:p>
        </w:tc>
        <w:tc>
          <w:tcPr>
            <w:tcW w:w="1067" w:type="dxa"/>
          </w:tcPr>
          <w:p>
            <w:pPr>
              <w:pStyle w:val="TableParagraph"/>
              <w:rPr>
                <w:sz w:val="22"/>
              </w:rPr>
            </w:pPr>
          </w:p>
          <w:p>
            <w:pPr>
              <w:pStyle w:val="TableParagraph"/>
              <w:spacing w:before="7"/>
              <w:rPr>
                <w:sz w:val="22"/>
              </w:rPr>
            </w:pPr>
          </w:p>
          <w:p>
            <w:pPr>
              <w:pStyle w:val="TableParagraph"/>
              <w:ind w:right="133"/>
              <w:jc w:val="right"/>
              <w:rPr>
                <w:sz w:val="20"/>
              </w:rPr>
            </w:pPr>
            <w:r>
              <w:rPr>
                <w:spacing w:val="-2"/>
                <w:sz w:val="20"/>
              </w:rPr>
              <w:t>4,647</w:t>
            </w:r>
          </w:p>
        </w:tc>
        <w:tc>
          <w:tcPr>
            <w:tcW w:w="1148" w:type="dxa"/>
            <w:tcBorders>
              <w:right w:val="single" w:sz="8" w:space="0" w:color="000000"/>
            </w:tcBorders>
          </w:tcPr>
          <w:p>
            <w:pPr>
              <w:pStyle w:val="TableParagraph"/>
              <w:rPr>
                <w:sz w:val="22"/>
              </w:rPr>
            </w:pPr>
          </w:p>
          <w:p>
            <w:pPr>
              <w:pStyle w:val="TableParagraph"/>
              <w:spacing w:before="1"/>
              <w:rPr>
                <w:sz w:val="24"/>
              </w:rPr>
            </w:pPr>
          </w:p>
          <w:p>
            <w:pPr>
              <w:pStyle w:val="TableParagraph"/>
              <w:ind w:right="83"/>
              <w:jc w:val="right"/>
              <w:rPr>
                <w:sz w:val="20"/>
              </w:rPr>
            </w:pPr>
            <w:r>
              <w:rPr>
                <w:w w:val="99"/>
                <w:sz w:val="20"/>
              </w:rPr>
              <w:t>-</w:t>
            </w:r>
          </w:p>
        </w:tc>
        <w:tc>
          <w:tcPr>
            <w:tcW w:w="1897" w:type="dxa"/>
            <w:tcBorders>
              <w:left w:val="single" w:sz="8" w:space="0" w:color="000000"/>
            </w:tcBorders>
          </w:tcPr>
          <w:p>
            <w:pPr>
              <w:pStyle w:val="TableParagraph"/>
              <w:rPr>
                <w:sz w:val="22"/>
              </w:rPr>
            </w:pPr>
          </w:p>
          <w:p>
            <w:pPr>
              <w:pStyle w:val="TableParagraph"/>
              <w:spacing w:before="1"/>
              <w:rPr>
                <w:sz w:val="24"/>
              </w:rPr>
            </w:pPr>
          </w:p>
          <w:p>
            <w:pPr>
              <w:pStyle w:val="TableParagraph"/>
              <w:ind w:right="516"/>
              <w:jc w:val="right"/>
              <w:rPr>
                <w:sz w:val="20"/>
              </w:rPr>
            </w:pPr>
            <w:r>
              <w:rPr>
                <w:spacing w:val="-2"/>
                <w:sz w:val="20"/>
              </w:rPr>
              <w:t>3,500</w:t>
            </w:r>
          </w:p>
        </w:tc>
        <w:tc>
          <w:tcPr>
            <w:tcW w:w="1276" w:type="dxa"/>
          </w:tcPr>
          <w:p>
            <w:pPr>
              <w:pStyle w:val="TableParagraph"/>
              <w:rPr>
                <w:sz w:val="22"/>
              </w:rPr>
            </w:pPr>
          </w:p>
          <w:p>
            <w:pPr>
              <w:pStyle w:val="TableParagraph"/>
              <w:spacing w:before="1"/>
              <w:rPr>
                <w:sz w:val="24"/>
              </w:rPr>
            </w:pPr>
          </w:p>
          <w:p>
            <w:pPr>
              <w:pStyle w:val="TableParagraph"/>
              <w:ind w:right="387"/>
              <w:jc w:val="right"/>
              <w:rPr>
                <w:sz w:val="20"/>
              </w:rPr>
            </w:pPr>
            <w:r>
              <w:rPr>
                <w:spacing w:val="-5"/>
                <w:sz w:val="20"/>
              </w:rPr>
              <w:t>190</w:t>
            </w:r>
          </w:p>
        </w:tc>
        <w:tc>
          <w:tcPr>
            <w:tcW w:w="1123" w:type="dxa"/>
            <w:tcBorders>
              <w:right w:val="single" w:sz="12" w:space="0" w:color="000000"/>
            </w:tcBorders>
          </w:tcPr>
          <w:p>
            <w:pPr>
              <w:pStyle w:val="TableParagraph"/>
              <w:rPr>
                <w:sz w:val="22"/>
              </w:rPr>
            </w:pPr>
          </w:p>
          <w:p>
            <w:pPr>
              <w:pStyle w:val="TableParagraph"/>
              <w:spacing w:before="1"/>
              <w:rPr>
                <w:sz w:val="24"/>
              </w:rPr>
            </w:pPr>
          </w:p>
          <w:p>
            <w:pPr>
              <w:pStyle w:val="TableParagraph"/>
              <w:ind w:right="79"/>
              <w:jc w:val="right"/>
              <w:rPr>
                <w:sz w:val="20"/>
              </w:rPr>
            </w:pPr>
            <w:r>
              <w:rPr>
                <w:spacing w:val="-2"/>
                <w:sz w:val="20"/>
              </w:rPr>
              <w:t>18,586</w:t>
            </w:r>
          </w:p>
        </w:tc>
      </w:tr>
      <w:tr>
        <w:trPr>
          <w:trHeight w:val="451" w:hRule="atLeast"/>
        </w:trPr>
        <w:tc>
          <w:tcPr>
            <w:tcW w:w="3027" w:type="dxa"/>
            <w:tcBorders>
              <w:left w:val="single" w:sz="12" w:space="0" w:color="000000"/>
            </w:tcBorders>
          </w:tcPr>
          <w:p>
            <w:pPr>
              <w:pStyle w:val="TableParagraph"/>
              <w:spacing w:before="112"/>
              <w:ind w:left="107"/>
              <w:rPr>
                <w:sz w:val="20"/>
              </w:rPr>
            </w:pPr>
            <w:r>
              <w:rPr>
                <w:sz w:val="20"/>
              </w:rPr>
              <w:t>Plant</w:t>
            </w:r>
            <w:r>
              <w:rPr>
                <w:spacing w:val="-6"/>
                <w:sz w:val="20"/>
              </w:rPr>
              <w:t> </w:t>
            </w:r>
            <w:r>
              <w:rPr>
                <w:sz w:val="20"/>
              </w:rPr>
              <w:t>and</w:t>
            </w:r>
            <w:r>
              <w:rPr>
                <w:spacing w:val="-3"/>
                <w:sz w:val="20"/>
              </w:rPr>
              <w:t> </w:t>
            </w:r>
            <w:r>
              <w:rPr>
                <w:spacing w:val="-2"/>
                <w:sz w:val="20"/>
              </w:rPr>
              <w:t>equipment</w:t>
            </w:r>
          </w:p>
        </w:tc>
        <w:tc>
          <w:tcPr>
            <w:tcW w:w="1802" w:type="dxa"/>
            <w:tcBorders>
              <w:right w:val="single" w:sz="8" w:space="0" w:color="000000"/>
            </w:tcBorders>
          </w:tcPr>
          <w:p>
            <w:pPr>
              <w:pStyle w:val="TableParagraph"/>
              <w:spacing w:before="112"/>
              <w:ind w:right="81"/>
              <w:jc w:val="right"/>
              <w:rPr>
                <w:b/>
                <w:sz w:val="20"/>
              </w:rPr>
            </w:pPr>
            <w:r>
              <w:rPr>
                <w:b/>
                <w:spacing w:val="-4"/>
                <w:sz w:val="20"/>
              </w:rPr>
              <w:t>2,392</w:t>
            </w:r>
          </w:p>
        </w:tc>
        <w:tc>
          <w:tcPr>
            <w:tcW w:w="1391" w:type="dxa"/>
            <w:tcBorders>
              <w:left w:val="single" w:sz="8" w:space="0" w:color="000000"/>
            </w:tcBorders>
          </w:tcPr>
          <w:p>
            <w:pPr>
              <w:pStyle w:val="TableParagraph"/>
              <w:spacing w:before="112"/>
              <w:ind w:right="140"/>
              <w:jc w:val="right"/>
              <w:rPr>
                <w:sz w:val="20"/>
              </w:rPr>
            </w:pPr>
            <w:r>
              <w:rPr>
                <w:spacing w:val="-5"/>
                <w:sz w:val="20"/>
              </w:rPr>
              <w:t>171</w:t>
            </w:r>
          </w:p>
        </w:tc>
        <w:tc>
          <w:tcPr>
            <w:tcW w:w="1583" w:type="dxa"/>
          </w:tcPr>
          <w:p>
            <w:pPr>
              <w:pStyle w:val="TableParagraph"/>
              <w:spacing w:before="112"/>
              <w:ind w:right="402"/>
              <w:jc w:val="right"/>
              <w:rPr>
                <w:sz w:val="20"/>
              </w:rPr>
            </w:pPr>
            <w:r>
              <w:rPr>
                <w:spacing w:val="-2"/>
                <w:sz w:val="20"/>
              </w:rPr>
              <w:t>2,113</w:t>
            </w:r>
          </w:p>
        </w:tc>
        <w:tc>
          <w:tcPr>
            <w:tcW w:w="1067" w:type="dxa"/>
          </w:tcPr>
          <w:p>
            <w:pPr>
              <w:pStyle w:val="TableParagraph"/>
              <w:spacing w:before="112"/>
              <w:ind w:right="134"/>
              <w:jc w:val="right"/>
              <w:rPr>
                <w:sz w:val="20"/>
              </w:rPr>
            </w:pPr>
            <w:r>
              <w:rPr>
                <w:spacing w:val="-5"/>
                <w:sz w:val="20"/>
              </w:rPr>
              <w:t>108</w:t>
            </w:r>
          </w:p>
        </w:tc>
        <w:tc>
          <w:tcPr>
            <w:tcW w:w="1148" w:type="dxa"/>
            <w:tcBorders>
              <w:right w:val="single" w:sz="8" w:space="0" w:color="000000"/>
            </w:tcBorders>
          </w:tcPr>
          <w:p>
            <w:pPr>
              <w:pStyle w:val="TableParagraph"/>
              <w:spacing w:before="112"/>
              <w:ind w:right="83"/>
              <w:jc w:val="right"/>
              <w:rPr>
                <w:sz w:val="20"/>
              </w:rPr>
            </w:pPr>
            <w:r>
              <w:rPr>
                <w:w w:val="99"/>
                <w:sz w:val="20"/>
              </w:rPr>
              <w:t>-</w:t>
            </w:r>
          </w:p>
        </w:tc>
        <w:tc>
          <w:tcPr>
            <w:tcW w:w="1897" w:type="dxa"/>
            <w:tcBorders>
              <w:left w:val="single" w:sz="8" w:space="0" w:color="000000"/>
            </w:tcBorders>
          </w:tcPr>
          <w:p>
            <w:pPr>
              <w:pStyle w:val="TableParagraph"/>
              <w:spacing w:before="112"/>
              <w:ind w:right="515"/>
              <w:jc w:val="right"/>
              <w:rPr>
                <w:sz w:val="20"/>
              </w:rPr>
            </w:pPr>
            <w:r>
              <w:rPr>
                <w:w w:val="99"/>
                <w:sz w:val="20"/>
              </w:rPr>
              <w:t>-</w:t>
            </w:r>
          </w:p>
        </w:tc>
        <w:tc>
          <w:tcPr>
            <w:tcW w:w="1276" w:type="dxa"/>
          </w:tcPr>
          <w:p>
            <w:pPr>
              <w:pStyle w:val="TableParagraph"/>
              <w:spacing w:before="112"/>
              <w:ind w:right="388"/>
              <w:jc w:val="right"/>
              <w:rPr>
                <w:sz w:val="20"/>
              </w:rPr>
            </w:pPr>
            <w:r>
              <w:rPr>
                <w:w w:val="99"/>
                <w:sz w:val="20"/>
              </w:rPr>
              <w:t>-</w:t>
            </w:r>
          </w:p>
        </w:tc>
        <w:tc>
          <w:tcPr>
            <w:tcW w:w="1123" w:type="dxa"/>
            <w:tcBorders>
              <w:right w:val="single" w:sz="12" w:space="0" w:color="000000"/>
            </w:tcBorders>
          </w:tcPr>
          <w:p>
            <w:pPr>
              <w:pStyle w:val="TableParagraph"/>
              <w:spacing w:before="112"/>
              <w:ind w:right="78"/>
              <w:jc w:val="right"/>
              <w:rPr>
                <w:sz w:val="20"/>
              </w:rPr>
            </w:pPr>
            <w:r>
              <w:rPr>
                <w:spacing w:val="-2"/>
                <w:sz w:val="20"/>
              </w:rPr>
              <w:t>2,392</w:t>
            </w:r>
          </w:p>
        </w:tc>
      </w:tr>
      <w:tr>
        <w:trPr>
          <w:trHeight w:val="349" w:hRule="atLeast"/>
        </w:trPr>
        <w:tc>
          <w:tcPr>
            <w:tcW w:w="3027" w:type="dxa"/>
            <w:tcBorders>
              <w:left w:val="single" w:sz="12" w:space="0" w:color="000000"/>
              <w:bottom w:val="single" w:sz="8" w:space="0" w:color="000000"/>
            </w:tcBorders>
          </w:tcPr>
          <w:p>
            <w:pPr>
              <w:pStyle w:val="TableParagraph"/>
              <w:spacing w:line="210" w:lineRule="exact" w:before="119"/>
              <w:ind w:left="107"/>
              <w:rPr>
                <w:sz w:val="20"/>
              </w:rPr>
            </w:pPr>
            <w:r>
              <w:rPr>
                <w:spacing w:val="-2"/>
                <w:sz w:val="20"/>
              </w:rPr>
              <w:t>Infrastructure</w:t>
            </w:r>
          </w:p>
        </w:tc>
        <w:tc>
          <w:tcPr>
            <w:tcW w:w="1802" w:type="dxa"/>
            <w:tcBorders>
              <w:bottom w:val="single" w:sz="8" w:space="0" w:color="000000"/>
              <w:right w:val="single" w:sz="8" w:space="0" w:color="000000"/>
            </w:tcBorders>
          </w:tcPr>
          <w:p>
            <w:pPr>
              <w:pStyle w:val="TableParagraph"/>
              <w:spacing w:line="210" w:lineRule="exact" w:before="119"/>
              <w:ind w:right="82"/>
              <w:jc w:val="right"/>
              <w:rPr>
                <w:b/>
                <w:sz w:val="20"/>
              </w:rPr>
            </w:pPr>
            <w:r>
              <w:rPr>
                <w:b/>
                <w:spacing w:val="-2"/>
                <w:sz w:val="20"/>
              </w:rPr>
              <w:t>21,358</w:t>
            </w:r>
          </w:p>
        </w:tc>
        <w:tc>
          <w:tcPr>
            <w:tcW w:w="1391" w:type="dxa"/>
            <w:tcBorders>
              <w:left w:val="single" w:sz="8" w:space="0" w:color="000000"/>
              <w:bottom w:val="single" w:sz="8" w:space="0" w:color="000000"/>
            </w:tcBorders>
          </w:tcPr>
          <w:p>
            <w:pPr>
              <w:pStyle w:val="TableParagraph"/>
              <w:spacing w:line="227" w:lineRule="exact" w:before="102"/>
              <w:ind w:right="141"/>
              <w:jc w:val="right"/>
              <w:rPr>
                <w:sz w:val="20"/>
              </w:rPr>
            </w:pPr>
            <w:r>
              <w:rPr>
                <w:spacing w:val="-2"/>
                <w:sz w:val="20"/>
              </w:rPr>
              <w:t>5,426</w:t>
            </w:r>
          </w:p>
        </w:tc>
        <w:tc>
          <w:tcPr>
            <w:tcW w:w="1583" w:type="dxa"/>
            <w:tcBorders>
              <w:bottom w:val="single" w:sz="8" w:space="0" w:color="000000"/>
            </w:tcBorders>
          </w:tcPr>
          <w:p>
            <w:pPr>
              <w:pStyle w:val="TableParagraph"/>
              <w:spacing w:line="210" w:lineRule="exact" w:before="119"/>
              <w:ind w:right="401"/>
              <w:jc w:val="right"/>
              <w:rPr>
                <w:sz w:val="20"/>
              </w:rPr>
            </w:pPr>
            <w:r>
              <w:rPr>
                <w:spacing w:val="-2"/>
                <w:sz w:val="20"/>
              </w:rPr>
              <w:t>12,481</w:t>
            </w:r>
          </w:p>
        </w:tc>
        <w:tc>
          <w:tcPr>
            <w:tcW w:w="1067" w:type="dxa"/>
            <w:tcBorders>
              <w:bottom w:val="single" w:sz="8" w:space="0" w:color="000000"/>
            </w:tcBorders>
          </w:tcPr>
          <w:p>
            <w:pPr>
              <w:pStyle w:val="TableParagraph"/>
              <w:spacing w:line="227" w:lineRule="exact" w:before="102"/>
              <w:ind w:right="133"/>
              <w:jc w:val="right"/>
              <w:rPr>
                <w:sz w:val="20"/>
              </w:rPr>
            </w:pPr>
            <w:r>
              <w:rPr>
                <w:spacing w:val="-2"/>
                <w:sz w:val="20"/>
              </w:rPr>
              <w:t>3,451</w:t>
            </w:r>
          </w:p>
        </w:tc>
        <w:tc>
          <w:tcPr>
            <w:tcW w:w="1148" w:type="dxa"/>
            <w:tcBorders>
              <w:bottom w:val="single" w:sz="8" w:space="0" w:color="000000"/>
              <w:right w:val="single" w:sz="8" w:space="0" w:color="000000"/>
            </w:tcBorders>
          </w:tcPr>
          <w:p>
            <w:pPr>
              <w:pStyle w:val="TableParagraph"/>
              <w:spacing w:line="210" w:lineRule="exact" w:before="119"/>
              <w:ind w:right="83"/>
              <w:jc w:val="right"/>
              <w:rPr>
                <w:sz w:val="20"/>
              </w:rPr>
            </w:pPr>
            <w:r>
              <w:rPr>
                <w:w w:val="99"/>
                <w:sz w:val="20"/>
              </w:rPr>
              <w:t>-</w:t>
            </w:r>
          </w:p>
        </w:tc>
        <w:tc>
          <w:tcPr>
            <w:tcW w:w="1897" w:type="dxa"/>
            <w:tcBorders>
              <w:left w:val="single" w:sz="8" w:space="0" w:color="000000"/>
              <w:bottom w:val="single" w:sz="8" w:space="0" w:color="000000"/>
            </w:tcBorders>
          </w:tcPr>
          <w:p>
            <w:pPr>
              <w:pStyle w:val="TableParagraph"/>
              <w:spacing w:line="210" w:lineRule="exact" w:before="119"/>
              <w:ind w:right="516"/>
              <w:jc w:val="right"/>
              <w:rPr>
                <w:sz w:val="20"/>
              </w:rPr>
            </w:pPr>
            <w:r>
              <w:rPr>
                <w:spacing w:val="-2"/>
                <w:sz w:val="20"/>
              </w:rPr>
              <w:t>3,734</w:t>
            </w:r>
          </w:p>
        </w:tc>
        <w:tc>
          <w:tcPr>
            <w:tcW w:w="1276" w:type="dxa"/>
            <w:tcBorders>
              <w:bottom w:val="single" w:sz="8" w:space="0" w:color="000000"/>
            </w:tcBorders>
          </w:tcPr>
          <w:p>
            <w:pPr>
              <w:pStyle w:val="TableParagraph"/>
              <w:spacing w:line="210" w:lineRule="exact" w:before="119"/>
              <w:ind w:right="387"/>
              <w:jc w:val="right"/>
              <w:rPr>
                <w:sz w:val="20"/>
              </w:rPr>
            </w:pPr>
            <w:r>
              <w:rPr>
                <w:spacing w:val="-5"/>
                <w:sz w:val="20"/>
              </w:rPr>
              <w:t>33</w:t>
            </w:r>
          </w:p>
        </w:tc>
        <w:tc>
          <w:tcPr>
            <w:tcW w:w="1123" w:type="dxa"/>
            <w:tcBorders>
              <w:bottom w:val="single" w:sz="8" w:space="0" w:color="000000"/>
              <w:right w:val="single" w:sz="12" w:space="0" w:color="000000"/>
            </w:tcBorders>
          </w:tcPr>
          <w:p>
            <w:pPr>
              <w:pStyle w:val="TableParagraph"/>
              <w:spacing w:line="210" w:lineRule="exact" w:before="119"/>
              <w:ind w:right="79"/>
              <w:jc w:val="right"/>
              <w:rPr>
                <w:sz w:val="20"/>
              </w:rPr>
            </w:pPr>
            <w:r>
              <w:rPr>
                <w:spacing w:val="-2"/>
                <w:sz w:val="20"/>
              </w:rPr>
              <w:t>17,591</w:t>
            </w:r>
          </w:p>
        </w:tc>
      </w:tr>
      <w:tr>
        <w:trPr>
          <w:trHeight w:val="462" w:hRule="atLeast"/>
        </w:trPr>
        <w:tc>
          <w:tcPr>
            <w:tcW w:w="3027" w:type="dxa"/>
            <w:tcBorders>
              <w:top w:val="single" w:sz="8" w:space="0" w:color="000000"/>
              <w:left w:val="single" w:sz="12" w:space="0" w:color="000000"/>
              <w:bottom w:val="single" w:sz="12" w:space="0" w:color="000000"/>
            </w:tcBorders>
          </w:tcPr>
          <w:p>
            <w:pPr>
              <w:pStyle w:val="TableParagraph"/>
              <w:spacing w:before="11"/>
              <w:rPr>
                <w:sz w:val="19"/>
              </w:rPr>
            </w:pPr>
          </w:p>
          <w:p>
            <w:pPr>
              <w:pStyle w:val="TableParagraph"/>
              <w:spacing w:line="213" w:lineRule="exact"/>
              <w:ind w:left="107"/>
              <w:rPr>
                <w:b/>
                <w:sz w:val="20"/>
              </w:rPr>
            </w:pPr>
            <w:r>
              <w:rPr>
                <w:b/>
                <w:spacing w:val="-2"/>
                <w:sz w:val="20"/>
              </w:rPr>
              <w:t>Total</w:t>
            </w:r>
          </w:p>
        </w:tc>
        <w:tc>
          <w:tcPr>
            <w:tcW w:w="1802" w:type="dxa"/>
            <w:tcBorders>
              <w:top w:val="single" w:sz="8" w:space="0" w:color="000000"/>
              <w:bottom w:val="single" w:sz="12" w:space="0" w:color="000000"/>
              <w:right w:val="single" w:sz="8" w:space="0" w:color="000000"/>
            </w:tcBorders>
          </w:tcPr>
          <w:p>
            <w:pPr>
              <w:pStyle w:val="TableParagraph"/>
              <w:spacing w:before="11"/>
              <w:rPr>
                <w:sz w:val="19"/>
              </w:rPr>
            </w:pPr>
          </w:p>
          <w:p>
            <w:pPr>
              <w:pStyle w:val="TableParagraph"/>
              <w:spacing w:line="213" w:lineRule="exact"/>
              <w:ind w:right="82"/>
              <w:jc w:val="right"/>
              <w:rPr>
                <w:b/>
                <w:sz w:val="20"/>
              </w:rPr>
            </w:pPr>
            <w:r>
              <w:rPr>
                <w:b/>
                <w:spacing w:val="-2"/>
                <w:sz w:val="20"/>
              </w:rPr>
              <w:t>46,025</w:t>
            </w:r>
          </w:p>
        </w:tc>
        <w:tc>
          <w:tcPr>
            <w:tcW w:w="1391" w:type="dxa"/>
            <w:tcBorders>
              <w:top w:val="single" w:sz="8" w:space="0" w:color="000000"/>
              <w:left w:val="single" w:sz="8" w:space="0" w:color="000000"/>
              <w:bottom w:val="single" w:sz="12" w:space="0" w:color="000000"/>
            </w:tcBorders>
          </w:tcPr>
          <w:p>
            <w:pPr>
              <w:pStyle w:val="TableParagraph"/>
              <w:spacing w:before="11"/>
              <w:rPr>
                <w:sz w:val="19"/>
              </w:rPr>
            </w:pPr>
          </w:p>
          <w:p>
            <w:pPr>
              <w:pStyle w:val="TableParagraph"/>
              <w:spacing w:line="213" w:lineRule="exact"/>
              <w:ind w:right="141"/>
              <w:jc w:val="right"/>
              <w:rPr>
                <w:sz w:val="20"/>
              </w:rPr>
            </w:pPr>
            <w:r>
              <w:rPr>
                <w:spacing w:val="-2"/>
                <w:sz w:val="20"/>
              </w:rPr>
              <w:t>6,597</w:t>
            </w:r>
          </w:p>
        </w:tc>
        <w:tc>
          <w:tcPr>
            <w:tcW w:w="1583" w:type="dxa"/>
            <w:tcBorders>
              <w:top w:val="single" w:sz="8" w:space="0" w:color="000000"/>
              <w:bottom w:val="single" w:sz="12" w:space="0" w:color="000000"/>
            </w:tcBorders>
          </w:tcPr>
          <w:p>
            <w:pPr>
              <w:pStyle w:val="TableParagraph"/>
              <w:spacing w:before="11"/>
              <w:rPr>
                <w:sz w:val="19"/>
              </w:rPr>
            </w:pPr>
          </w:p>
          <w:p>
            <w:pPr>
              <w:pStyle w:val="TableParagraph"/>
              <w:spacing w:line="213" w:lineRule="exact"/>
              <w:ind w:right="401"/>
              <w:jc w:val="right"/>
              <w:rPr>
                <w:sz w:val="20"/>
              </w:rPr>
            </w:pPr>
            <w:r>
              <w:rPr>
                <w:spacing w:val="-2"/>
                <w:sz w:val="20"/>
              </w:rPr>
              <w:t>31,223</w:t>
            </w:r>
          </w:p>
        </w:tc>
        <w:tc>
          <w:tcPr>
            <w:tcW w:w="1067" w:type="dxa"/>
            <w:tcBorders>
              <w:top w:val="single" w:sz="8" w:space="0" w:color="000000"/>
              <w:bottom w:val="single" w:sz="12" w:space="0" w:color="000000"/>
            </w:tcBorders>
          </w:tcPr>
          <w:p>
            <w:pPr>
              <w:pStyle w:val="TableParagraph"/>
              <w:spacing w:before="11"/>
              <w:rPr>
                <w:sz w:val="19"/>
              </w:rPr>
            </w:pPr>
          </w:p>
          <w:p>
            <w:pPr>
              <w:pStyle w:val="TableParagraph"/>
              <w:spacing w:line="213" w:lineRule="exact"/>
              <w:ind w:right="133"/>
              <w:jc w:val="right"/>
              <w:rPr>
                <w:sz w:val="20"/>
              </w:rPr>
            </w:pPr>
            <w:r>
              <w:rPr>
                <w:spacing w:val="-2"/>
                <w:sz w:val="20"/>
              </w:rPr>
              <w:t>8,206</w:t>
            </w:r>
          </w:p>
        </w:tc>
        <w:tc>
          <w:tcPr>
            <w:tcW w:w="1148" w:type="dxa"/>
            <w:tcBorders>
              <w:top w:val="single" w:sz="8" w:space="0" w:color="000000"/>
              <w:bottom w:val="single" w:sz="12" w:space="0" w:color="000000"/>
              <w:right w:val="single" w:sz="8" w:space="0" w:color="000000"/>
            </w:tcBorders>
          </w:tcPr>
          <w:p>
            <w:pPr>
              <w:pStyle w:val="TableParagraph"/>
              <w:spacing w:before="11"/>
              <w:rPr>
                <w:sz w:val="19"/>
              </w:rPr>
            </w:pPr>
          </w:p>
          <w:p>
            <w:pPr>
              <w:pStyle w:val="TableParagraph"/>
              <w:spacing w:line="213" w:lineRule="exact"/>
              <w:ind w:right="83"/>
              <w:jc w:val="right"/>
              <w:rPr>
                <w:sz w:val="20"/>
              </w:rPr>
            </w:pPr>
            <w:r>
              <w:rPr>
                <w:w w:val="99"/>
                <w:sz w:val="20"/>
              </w:rPr>
              <w:t>-</w:t>
            </w:r>
          </w:p>
        </w:tc>
        <w:tc>
          <w:tcPr>
            <w:tcW w:w="1897" w:type="dxa"/>
            <w:tcBorders>
              <w:top w:val="single" w:sz="8" w:space="0" w:color="000000"/>
              <w:left w:val="single" w:sz="8" w:space="0" w:color="000000"/>
              <w:bottom w:val="single" w:sz="12" w:space="0" w:color="000000"/>
            </w:tcBorders>
          </w:tcPr>
          <w:p>
            <w:pPr>
              <w:pStyle w:val="TableParagraph"/>
              <w:spacing w:before="11"/>
              <w:rPr>
                <w:sz w:val="19"/>
              </w:rPr>
            </w:pPr>
          </w:p>
          <w:p>
            <w:pPr>
              <w:pStyle w:val="TableParagraph"/>
              <w:spacing w:line="213" w:lineRule="exact"/>
              <w:ind w:right="516"/>
              <w:jc w:val="right"/>
              <w:rPr>
                <w:sz w:val="20"/>
              </w:rPr>
            </w:pPr>
            <w:r>
              <w:rPr>
                <w:spacing w:val="-2"/>
                <w:sz w:val="20"/>
              </w:rPr>
              <w:t>7,234</w:t>
            </w:r>
          </w:p>
        </w:tc>
        <w:tc>
          <w:tcPr>
            <w:tcW w:w="1276" w:type="dxa"/>
            <w:tcBorders>
              <w:top w:val="single" w:sz="8" w:space="0" w:color="000000"/>
              <w:bottom w:val="single" w:sz="12" w:space="0" w:color="000000"/>
            </w:tcBorders>
          </w:tcPr>
          <w:p>
            <w:pPr>
              <w:pStyle w:val="TableParagraph"/>
              <w:spacing w:before="11"/>
              <w:rPr>
                <w:sz w:val="19"/>
              </w:rPr>
            </w:pPr>
          </w:p>
          <w:p>
            <w:pPr>
              <w:pStyle w:val="TableParagraph"/>
              <w:spacing w:line="213" w:lineRule="exact"/>
              <w:ind w:right="387"/>
              <w:jc w:val="right"/>
              <w:rPr>
                <w:sz w:val="20"/>
              </w:rPr>
            </w:pPr>
            <w:r>
              <w:rPr>
                <w:spacing w:val="-5"/>
                <w:sz w:val="20"/>
              </w:rPr>
              <w:t>223</w:t>
            </w:r>
          </w:p>
        </w:tc>
        <w:tc>
          <w:tcPr>
            <w:tcW w:w="1123" w:type="dxa"/>
            <w:tcBorders>
              <w:top w:val="single" w:sz="8" w:space="0" w:color="000000"/>
              <w:bottom w:val="single" w:sz="12" w:space="0" w:color="000000"/>
              <w:right w:val="single" w:sz="12" w:space="0" w:color="000000"/>
            </w:tcBorders>
          </w:tcPr>
          <w:p>
            <w:pPr>
              <w:pStyle w:val="TableParagraph"/>
              <w:spacing w:before="11"/>
              <w:rPr>
                <w:sz w:val="19"/>
              </w:rPr>
            </w:pPr>
          </w:p>
          <w:p>
            <w:pPr>
              <w:pStyle w:val="TableParagraph"/>
              <w:spacing w:line="213" w:lineRule="exact"/>
              <w:ind w:right="79"/>
              <w:jc w:val="right"/>
              <w:rPr>
                <w:sz w:val="20"/>
              </w:rPr>
            </w:pPr>
            <w:r>
              <w:rPr>
                <w:spacing w:val="-2"/>
                <w:sz w:val="20"/>
              </w:rPr>
              <w:t>38,569</w:t>
            </w:r>
          </w:p>
        </w:tc>
      </w:tr>
    </w:tbl>
    <w:p>
      <w:pPr>
        <w:pStyle w:val="BodyText"/>
        <w:spacing w:before="5"/>
        <w:rPr>
          <w:sz w:val="21"/>
        </w:rPr>
      </w:pPr>
    </w:p>
    <w:p>
      <w:pPr>
        <w:pStyle w:val="BodyText"/>
        <w:ind w:left="120"/>
      </w:pPr>
      <w:r>
        <w:rPr/>
        <w:t>These</w:t>
      </w:r>
      <w:r>
        <w:rPr>
          <w:spacing w:val="30"/>
        </w:rPr>
        <w:t> </w:t>
      </w:r>
      <w:r>
        <w:rPr/>
        <w:t>following</w:t>
      </w:r>
      <w:r>
        <w:rPr>
          <w:spacing w:val="32"/>
        </w:rPr>
        <w:t> </w:t>
      </w:r>
      <w:r>
        <w:rPr/>
        <w:t>sections</w:t>
      </w:r>
      <w:r>
        <w:rPr>
          <w:spacing w:val="33"/>
        </w:rPr>
        <w:t> </w:t>
      </w:r>
      <w:r>
        <w:rPr/>
        <w:t>present</w:t>
      </w:r>
      <w:r>
        <w:rPr>
          <w:spacing w:val="29"/>
        </w:rPr>
        <w:t> </w:t>
      </w:r>
      <w:r>
        <w:rPr/>
        <w:t>the</w:t>
      </w:r>
      <w:r>
        <w:rPr>
          <w:spacing w:val="30"/>
        </w:rPr>
        <w:t> </w:t>
      </w:r>
      <w:r>
        <w:rPr/>
        <w:t>four-year</w:t>
      </w:r>
      <w:r>
        <w:rPr>
          <w:spacing w:val="29"/>
        </w:rPr>
        <w:t> </w:t>
      </w:r>
      <w:r>
        <w:rPr/>
        <w:t>capital</w:t>
      </w:r>
      <w:r>
        <w:rPr>
          <w:spacing w:val="31"/>
        </w:rPr>
        <w:t> </w:t>
      </w:r>
      <w:r>
        <w:rPr/>
        <w:t>expenditure</w:t>
      </w:r>
      <w:r>
        <w:rPr>
          <w:spacing w:val="30"/>
        </w:rPr>
        <w:t> </w:t>
      </w:r>
      <w:r>
        <w:rPr/>
        <w:t>program</w:t>
      </w:r>
      <w:r>
        <w:rPr>
          <w:spacing w:val="29"/>
        </w:rPr>
        <w:t> </w:t>
      </w:r>
      <w:r>
        <w:rPr/>
        <w:t>for</w:t>
      </w:r>
      <w:r>
        <w:rPr>
          <w:spacing w:val="29"/>
        </w:rPr>
        <w:t> </w:t>
      </w:r>
      <w:r>
        <w:rPr/>
        <w:t>the</w:t>
      </w:r>
      <w:r>
        <w:rPr>
          <w:spacing w:val="30"/>
        </w:rPr>
        <w:t> </w:t>
      </w:r>
      <w:r>
        <w:rPr/>
        <w:t>period</w:t>
      </w:r>
      <w:r>
        <w:rPr>
          <w:spacing w:val="30"/>
        </w:rPr>
        <w:t> </w:t>
      </w:r>
      <w:r>
        <w:rPr/>
        <w:t>2025/2026</w:t>
      </w:r>
      <w:r>
        <w:rPr>
          <w:spacing w:val="30"/>
        </w:rPr>
        <w:t> </w:t>
      </w:r>
      <w:r>
        <w:rPr/>
        <w:t>to</w:t>
      </w:r>
      <w:r>
        <w:rPr>
          <w:spacing w:val="28"/>
        </w:rPr>
        <w:t> </w:t>
      </w:r>
      <w:r>
        <w:rPr/>
        <w:t>2028/29.</w:t>
      </w:r>
      <w:r>
        <w:rPr>
          <w:spacing w:val="32"/>
        </w:rPr>
        <w:t> </w:t>
      </w:r>
      <w:r>
        <w:rPr/>
        <w:t>Council</w:t>
      </w:r>
      <w:r>
        <w:rPr>
          <w:spacing w:val="31"/>
        </w:rPr>
        <w:t> </w:t>
      </w:r>
      <w:r>
        <w:rPr/>
        <w:t>has</w:t>
      </w:r>
      <w:r>
        <w:rPr>
          <w:spacing w:val="29"/>
        </w:rPr>
        <w:t> </w:t>
      </w:r>
      <w:r>
        <w:rPr/>
        <w:t>already</w:t>
      </w:r>
      <w:r>
        <w:rPr>
          <w:spacing w:val="31"/>
        </w:rPr>
        <w:t> </w:t>
      </w:r>
      <w:r>
        <w:rPr/>
        <w:t>made</w:t>
      </w:r>
      <w:r>
        <w:rPr>
          <w:spacing w:val="30"/>
        </w:rPr>
        <w:t> </w:t>
      </w:r>
      <w:r>
        <w:rPr/>
        <w:t>prior</w:t>
      </w:r>
      <w:r>
        <w:rPr>
          <w:spacing w:val="33"/>
        </w:rPr>
        <w:t> </w:t>
      </w:r>
      <w:r>
        <w:rPr/>
        <w:t>budget commitments to a number of projects to ensure timely completion consistent with expectations.</w:t>
      </w:r>
    </w:p>
    <w:p>
      <w:pPr>
        <w:pStyle w:val="BodyText"/>
      </w:pPr>
    </w:p>
    <w:p>
      <w:pPr>
        <w:pStyle w:val="BodyText"/>
        <w:ind w:left="120" w:right="242"/>
      </w:pPr>
      <w:r>
        <w:rPr/>
        <w:t>The</w:t>
      </w:r>
      <w:r>
        <w:rPr>
          <w:spacing w:val="15"/>
        </w:rPr>
        <w:t> </w:t>
      </w:r>
      <w:r>
        <w:rPr/>
        <w:t>capital projects are grouped</w:t>
      </w:r>
      <w:r>
        <w:rPr>
          <w:spacing w:val="15"/>
        </w:rPr>
        <w:t> </w:t>
      </w:r>
      <w:r>
        <w:rPr/>
        <w:t>by</w:t>
      </w:r>
      <w:r>
        <w:rPr>
          <w:spacing w:val="15"/>
        </w:rPr>
        <w:t> </w:t>
      </w:r>
      <w:r>
        <w:rPr/>
        <w:t>class</w:t>
      </w:r>
      <w:r>
        <w:rPr>
          <w:spacing w:val="15"/>
        </w:rPr>
        <w:t> </w:t>
      </w:r>
      <w:r>
        <w:rPr/>
        <w:t>and</w:t>
      </w:r>
      <w:r>
        <w:rPr>
          <w:spacing w:val="15"/>
        </w:rPr>
        <w:t> </w:t>
      </w:r>
      <w:r>
        <w:rPr/>
        <w:t>include</w:t>
      </w:r>
      <w:r>
        <w:rPr>
          <w:spacing w:val="15"/>
        </w:rPr>
        <w:t> </w:t>
      </w:r>
      <w:r>
        <w:rPr/>
        <w:t>detail of</w:t>
      </w:r>
      <w:r>
        <w:rPr>
          <w:spacing w:val="15"/>
        </w:rPr>
        <w:t> </w:t>
      </w:r>
      <w:r>
        <w:rPr/>
        <w:t>both</w:t>
      </w:r>
      <w:r>
        <w:rPr>
          <w:spacing w:val="15"/>
        </w:rPr>
        <w:t> </w:t>
      </w:r>
      <w:r>
        <w:rPr/>
        <w:t>Council and</w:t>
      </w:r>
      <w:r>
        <w:rPr>
          <w:spacing w:val="15"/>
        </w:rPr>
        <w:t> </w:t>
      </w:r>
      <w:r>
        <w:rPr/>
        <w:t>Other contributions</w:t>
      </w:r>
      <w:r>
        <w:rPr>
          <w:spacing w:val="15"/>
        </w:rPr>
        <w:t> </w:t>
      </w:r>
      <w:r>
        <w:rPr/>
        <w:t>to</w:t>
      </w:r>
      <w:r>
        <w:rPr>
          <w:spacing w:val="15"/>
        </w:rPr>
        <w:t> </w:t>
      </w:r>
      <w:r>
        <w:rPr/>
        <w:t>individual projects.</w:t>
      </w:r>
      <w:r>
        <w:rPr>
          <w:spacing w:val="15"/>
        </w:rPr>
        <w:t> </w:t>
      </w:r>
      <w:r>
        <w:rPr/>
        <w:t>Further</w:t>
      </w:r>
      <w:r>
        <w:rPr>
          <w:spacing w:val="14"/>
        </w:rPr>
        <w:t> </w:t>
      </w:r>
      <w:r>
        <w:rPr/>
        <w:t>detail is also</w:t>
      </w:r>
      <w:r>
        <w:rPr>
          <w:spacing w:val="13"/>
        </w:rPr>
        <w:t> </w:t>
      </w:r>
      <w:r>
        <w:rPr/>
        <w:t>provided</w:t>
      </w:r>
      <w:r>
        <w:rPr>
          <w:spacing w:val="15"/>
        </w:rPr>
        <w:t> </w:t>
      </w:r>
      <w:r>
        <w:rPr/>
        <w:t>on asset renewal, new assets, asset upgrade and asset expansion projects.</w:t>
      </w:r>
    </w:p>
    <w:p>
      <w:pPr>
        <w:spacing w:after="0"/>
        <w:sectPr>
          <w:footerReference w:type="default" r:id="rId24"/>
          <w:pgSz w:w="16840" w:h="11910" w:orient="landscape"/>
          <w:pgMar w:footer="375" w:header="0" w:top="480" w:bottom="560" w:left="600" w:right="120"/>
        </w:sectPr>
      </w:pPr>
    </w:p>
    <w:p>
      <w:pPr>
        <w:pStyle w:val="Heading4"/>
        <w:numPr>
          <w:ilvl w:val="2"/>
          <w:numId w:val="70"/>
        </w:numPr>
        <w:tabs>
          <w:tab w:pos="722" w:val="left" w:leader="none"/>
        </w:tabs>
        <w:spacing w:line="240" w:lineRule="auto" w:before="80" w:after="0"/>
        <w:ind w:left="721" w:right="0" w:hanging="602"/>
        <w:jc w:val="left"/>
      </w:pPr>
      <w:r>
        <w:rPr>
          <w:color w:val="4966AC"/>
        </w:rPr>
        <w:t>Summary of</w:t>
      </w:r>
      <w:r>
        <w:rPr>
          <w:color w:val="4966AC"/>
          <w:spacing w:val="-2"/>
        </w:rPr>
        <w:t> </w:t>
      </w:r>
      <w:r>
        <w:rPr>
          <w:color w:val="4966AC"/>
        </w:rPr>
        <w:t>Planned Capital Works</w:t>
      </w:r>
      <w:r>
        <w:rPr>
          <w:color w:val="4966AC"/>
          <w:spacing w:val="-4"/>
        </w:rPr>
        <w:t> </w:t>
      </w:r>
      <w:r>
        <w:rPr>
          <w:color w:val="4966AC"/>
          <w:spacing w:val="-2"/>
        </w:rPr>
        <w:t>Expenditure</w:t>
      </w:r>
    </w:p>
    <w:p>
      <w:pPr>
        <w:pStyle w:val="BodyText"/>
        <w:rPr>
          <w:b/>
        </w:r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88"/>
        <w:gridCol w:w="1504"/>
        <w:gridCol w:w="1143"/>
        <w:gridCol w:w="1112"/>
        <w:gridCol w:w="1118"/>
        <w:gridCol w:w="1420"/>
        <w:gridCol w:w="1290"/>
        <w:gridCol w:w="1696"/>
        <w:gridCol w:w="1929"/>
      </w:tblGrid>
      <w:tr>
        <w:trPr>
          <w:trHeight w:val="1098" w:hRule="atLeast"/>
        </w:trPr>
        <w:tc>
          <w:tcPr>
            <w:tcW w:w="15400" w:type="dxa"/>
            <w:gridSpan w:val="9"/>
            <w:tcBorders>
              <w:top w:val="single" w:sz="18" w:space="0" w:color="000000"/>
              <w:left w:val="single" w:sz="12" w:space="0" w:color="000000"/>
              <w:right w:val="single" w:sz="12" w:space="0" w:color="000000"/>
            </w:tcBorders>
          </w:tcPr>
          <w:p>
            <w:pPr>
              <w:pStyle w:val="TableParagraph"/>
              <w:ind w:left="107" w:right="9900"/>
              <w:rPr>
                <w:b/>
                <w:sz w:val="24"/>
              </w:rPr>
            </w:pPr>
            <w:r>
              <w:rPr>
                <w:b/>
                <w:sz w:val="24"/>
              </w:rPr>
              <w:t>Summary</w:t>
            </w:r>
            <w:r>
              <w:rPr>
                <w:b/>
                <w:spacing w:val="-9"/>
                <w:sz w:val="24"/>
              </w:rPr>
              <w:t> </w:t>
            </w:r>
            <w:r>
              <w:rPr>
                <w:b/>
                <w:sz w:val="24"/>
              </w:rPr>
              <w:t>of</w:t>
            </w:r>
            <w:r>
              <w:rPr>
                <w:b/>
                <w:spacing w:val="-10"/>
                <w:sz w:val="24"/>
              </w:rPr>
              <w:t> </w:t>
            </w:r>
            <w:r>
              <w:rPr>
                <w:b/>
                <w:sz w:val="24"/>
              </w:rPr>
              <w:t>Planned</w:t>
            </w:r>
            <w:r>
              <w:rPr>
                <w:b/>
                <w:spacing w:val="-9"/>
                <w:sz w:val="24"/>
              </w:rPr>
              <w:t> </w:t>
            </w:r>
            <w:r>
              <w:rPr>
                <w:b/>
                <w:sz w:val="24"/>
              </w:rPr>
              <w:t>Capital</w:t>
            </w:r>
            <w:r>
              <w:rPr>
                <w:b/>
                <w:spacing w:val="-9"/>
                <w:sz w:val="24"/>
              </w:rPr>
              <w:t> </w:t>
            </w:r>
            <w:r>
              <w:rPr>
                <w:b/>
                <w:sz w:val="24"/>
              </w:rPr>
              <w:t>Works </w:t>
            </w:r>
            <w:r>
              <w:rPr>
                <w:b/>
                <w:spacing w:val="-2"/>
                <w:sz w:val="24"/>
              </w:rPr>
              <w:t>Expenditure</w:t>
            </w:r>
          </w:p>
          <w:p>
            <w:pPr>
              <w:pStyle w:val="TableParagraph"/>
              <w:spacing w:line="253" w:lineRule="exact"/>
              <w:ind w:left="107"/>
              <w:rPr>
                <w:sz w:val="22"/>
              </w:rPr>
            </w:pPr>
            <w:r>
              <w:rPr>
                <w:sz w:val="22"/>
              </w:rPr>
              <w:t>For</w:t>
            </w:r>
            <w:r>
              <w:rPr>
                <w:spacing w:val="-2"/>
                <w:sz w:val="22"/>
              </w:rPr>
              <w:t> </w:t>
            </w:r>
            <w:r>
              <w:rPr>
                <w:sz w:val="22"/>
              </w:rPr>
              <w:t>the</w:t>
            </w:r>
            <w:r>
              <w:rPr>
                <w:spacing w:val="-4"/>
                <w:sz w:val="22"/>
              </w:rPr>
              <w:t> </w:t>
            </w:r>
            <w:r>
              <w:rPr>
                <w:sz w:val="22"/>
              </w:rPr>
              <w:t>four</w:t>
            </w:r>
            <w:r>
              <w:rPr>
                <w:spacing w:val="-4"/>
                <w:sz w:val="22"/>
              </w:rPr>
              <w:t> </w:t>
            </w:r>
            <w:r>
              <w:rPr>
                <w:sz w:val="22"/>
              </w:rPr>
              <w:t>years</w:t>
            </w:r>
            <w:r>
              <w:rPr>
                <w:spacing w:val="-1"/>
                <w:sz w:val="22"/>
              </w:rPr>
              <w:t> </w:t>
            </w:r>
            <w:r>
              <w:rPr>
                <w:sz w:val="22"/>
              </w:rPr>
              <w:t>ended</w:t>
            </w:r>
            <w:r>
              <w:rPr>
                <w:spacing w:val="-4"/>
                <w:sz w:val="22"/>
              </w:rPr>
              <w:t> </w:t>
            </w:r>
            <w:r>
              <w:rPr>
                <w:sz w:val="22"/>
              </w:rPr>
              <w:t>30 June</w:t>
            </w:r>
            <w:r>
              <w:rPr>
                <w:spacing w:val="-3"/>
                <w:sz w:val="22"/>
              </w:rPr>
              <w:t> </w:t>
            </w:r>
            <w:r>
              <w:rPr>
                <w:spacing w:val="-4"/>
                <w:sz w:val="22"/>
              </w:rPr>
              <w:t>2029</w:t>
            </w:r>
          </w:p>
        </w:tc>
      </w:tr>
      <w:tr>
        <w:trPr>
          <w:trHeight w:val="256" w:hRule="atLeast"/>
        </w:trPr>
        <w:tc>
          <w:tcPr>
            <w:tcW w:w="15400" w:type="dxa"/>
            <w:gridSpan w:val="9"/>
            <w:tcBorders>
              <w:left w:val="single" w:sz="12" w:space="0" w:color="000000"/>
              <w:right w:val="single" w:sz="12" w:space="0" w:color="000000"/>
            </w:tcBorders>
            <w:shd w:val="clear" w:color="auto" w:fill="629CD1"/>
          </w:tcPr>
          <w:p>
            <w:pPr>
              <w:pStyle w:val="TableParagraph"/>
              <w:tabs>
                <w:tab w:pos="11408" w:val="left" w:leader="none"/>
              </w:tabs>
              <w:spacing w:line="225" w:lineRule="exact" w:before="11"/>
              <w:ind w:left="5428"/>
              <w:rPr>
                <w:b/>
                <w:sz w:val="20"/>
              </w:rPr>
            </w:pPr>
            <w:r>
              <w:rPr>
                <w:b/>
                <w:color w:val="FFFFFF"/>
                <w:sz w:val="20"/>
              </w:rPr>
              <w:t>Asset</w:t>
            </w:r>
            <w:r>
              <w:rPr>
                <w:b/>
                <w:color w:val="FFFFFF"/>
                <w:spacing w:val="-10"/>
                <w:sz w:val="20"/>
              </w:rPr>
              <w:t> </w:t>
            </w:r>
            <w:r>
              <w:rPr>
                <w:b/>
                <w:color w:val="FFFFFF"/>
                <w:sz w:val="20"/>
              </w:rPr>
              <w:t>Expenditure</w:t>
            </w:r>
            <w:r>
              <w:rPr>
                <w:b/>
                <w:color w:val="FFFFFF"/>
                <w:spacing w:val="-11"/>
                <w:sz w:val="20"/>
              </w:rPr>
              <w:t> </w:t>
            </w:r>
            <w:r>
              <w:rPr>
                <w:b/>
                <w:color w:val="FFFFFF"/>
                <w:spacing w:val="-4"/>
                <w:sz w:val="20"/>
              </w:rPr>
              <w:t>Types</w:t>
            </w:r>
            <w:r>
              <w:rPr>
                <w:b/>
                <w:color w:val="FFFFFF"/>
                <w:sz w:val="20"/>
              </w:rPr>
              <w:tab/>
              <w:t>Funding</w:t>
            </w:r>
            <w:r>
              <w:rPr>
                <w:b/>
                <w:color w:val="FFFFFF"/>
                <w:spacing w:val="-8"/>
                <w:sz w:val="20"/>
              </w:rPr>
              <w:t> </w:t>
            </w:r>
            <w:r>
              <w:rPr>
                <w:b/>
                <w:color w:val="FFFFFF"/>
                <w:spacing w:val="-2"/>
                <w:sz w:val="20"/>
              </w:rPr>
              <w:t>Sources</w:t>
            </w:r>
          </w:p>
        </w:tc>
      </w:tr>
      <w:tr>
        <w:trPr>
          <w:trHeight w:val="257" w:hRule="atLeast"/>
        </w:trPr>
        <w:tc>
          <w:tcPr>
            <w:tcW w:w="4188" w:type="dxa"/>
            <w:tcBorders>
              <w:left w:val="single" w:sz="12" w:space="0" w:color="000000"/>
            </w:tcBorders>
            <w:shd w:val="clear" w:color="auto" w:fill="629CD1"/>
          </w:tcPr>
          <w:p>
            <w:pPr>
              <w:pStyle w:val="TableParagraph"/>
              <w:spacing w:line="226" w:lineRule="exact" w:before="11"/>
              <w:ind w:left="107"/>
              <w:rPr>
                <w:b/>
                <w:sz w:val="20"/>
              </w:rPr>
            </w:pPr>
            <w:r>
              <w:rPr>
                <w:b/>
                <w:color w:val="FFFFFF"/>
                <w:spacing w:val="-2"/>
                <w:sz w:val="20"/>
              </w:rPr>
              <w:t>2025/26</w:t>
            </w:r>
          </w:p>
        </w:tc>
        <w:tc>
          <w:tcPr>
            <w:tcW w:w="1504" w:type="dxa"/>
            <w:shd w:val="clear" w:color="auto" w:fill="629CD1"/>
          </w:tcPr>
          <w:p>
            <w:pPr>
              <w:pStyle w:val="TableParagraph"/>
              <w:spacing w:line="226" w:lineRule="exact" w:before="11"/>
              <w:ind w:left="458"/>
              <w:rPr>
                <w:b/>
                <w:sz w:val="20"/>
              </w:rPr>
            </w:pPr>
            <w:r>
              <w:rPr>
                <w:b/>
                <w:color w:val="FFFFFF"/>
                <w:spacing w:val="-2"/>
                <w:sz w:val="20"/>
              </w:rPr>
              <w:t>Total</w:t>
            </w:r>
          </w:p>
        </w:tc>
        <w:tc>
          <w:tcPr>
            <w:tcW w:w="1143" w:type="dxa"/>
            <w:shd w:val="clear" w:color="auto" w:fill="629CD1"/>
          </w:tcPr>
          <w:p>
            <w:pPr>
              <w:pStyle w:val="TableParagraph"/>
              <w:spacing w:line="226" w:lineRule="exact" w:before="11"/>
              <w:ind w:left="300"/>
              <w:rPr>
                <w:b/>
                <w:sz w:val="20"/>
              </w:rPr>
            </w:pPr>
            <w:r>
              <w:rPr>
                <w:b/>
                <w:color w:val="FFFFFF"/>
                <w:spacing w:val="-5"/>
                <w:sz w:val="20"/>
              </w:rPr>
              <w:t>New</w:t>
            </w:r>
          </w:p>
        </w:tc>
        <w:tc>
          <w:tcPr>
            <w:tcW w:w="1112" w:type="dxa"/>
            <w:shd w:val="clear" w:color="auto" w:fill="629CD1"/>
          </w:tcPr>
          <w:p>
            <w:pPr>
              <w:pStyle w:val="TableParagraph"/>
              <w:spacing w:line="226" w:lineRule="exact" w:before="11"/>
              <w:ind w:right="161"/>
              <w:jc w:val="right"/>
              <w:rPr>
                <w:b/>
                <w:sz w:val="20"/>
              </w:rPr>
            </w:pPr>
            <w:r>
              <w:rPr>
                <w:b/>
                <w:color w:val="FFFFFF"/>
                <w:spacing w:val="-2"/>
                <w:sz w:val="20"/>
              </w:rPr>
              <w:t>Renewal</w:t>
            </w:r>
          </w:p>
        </w:tc>
        <w:tc>
          <w:tcPr>
            <w:tcW w:w="1118" w:type="dxa"/>
            <w:tcBorders>
              <w:right w:val="single" w:sz="4" w:space="0" w:color="000000"/>
            </w:tcBorders>
            <w:shd w:val="clear" w:color="auto" w:fill="629CD1"/>
          </w:tcPr>
          <w:p>
            <w:pPr>
              <w:pStyle w:val="TableParagraph"/>
              <w:spacing w:line="226" w:lineRule="exact" w:before="11"/>
              <w:ind w:left="145"/>
              <w:rPr>
                <w:b/>
                <w:sz w:val="20"/>
              </w:rPr>
            </w:pPr>
            <w:r>
              <w:rPr>
                <w:b/>
                <w:color w:val="FFFFFF"/>
                <w:spacing w:val="-2"/>
                <w:sz w:val="20"/>
              </w:rPr>
              <w:t>Upgrade</w:t>
            </w:r>
          </w:p>
        </w:tc>
        <w:tc>
          <w:tcPr>
            <w:tcW w:w="1420" w:type="dxa"/>
            <w:tcBorders>
              <w:left w:val="single" w:sz="4" w:space="0" w:color="000000"/>
            </w:tcBorders>
            <w:shd w:val="clear" w:color="auto" w:fill="629CD1"/>
          </w:tcPr>
          <w:p>
            <w:pPr>
              <w:pStyle w:val="TableParagraph"/>
              <w:spacing w:line="226" w:lineRule="exact" w:before="11"/>
              <w:ind w:left="407"/>
              <w:rPr>
                <w:b/>
                <w:sz w:val="20"/>
              </w:rPr>
            </w:pPr>
            <w:r>
              <w:rPr>
                <w:b/>
                <w:color w:val="FFFFFF"/>
                <w:spacing w:val="-2"/>
                <w:sz w:val="20"/>
              </w:rPr>
              <w:t>Total</w:t>
            </w:r>
          </w:p>
        </w:tc>
        <w:tc>
          <w:tcPr>
            <w:tcW w:w="1290" w:type="dxa"/>
            <w:shd w:val="clear" w:color="auto" w:fill="629CD1"/>
          </w:tcPr>
          <w:p>
            <w:pPr>
              <w:pStyle w:val="TableParagraph"/>
              <w:spacing w:line="226" w:lineRule="exact" w:before="11"/>
              <w:ind w:left="257"/>
              <w:rPr>
                <w:b/>
                <w:sz w:val="20"/>
              </w:rPr>
            </w:pPr>
            <w:r>
              <w:rPr>
                <w:b/>
                <w:color w:val="FFFFFF"/>
                <w:spacing w:val="-2"/>
                <w:sz w:val="20"/>
              </w:rPr>
              <w:t>Grants</w:t>
            </w:r>
          </w:p>
        </w:tc>
        <w:tc>
          <w:tcPr>
            <w:tcW w:w="1696" w:type="dxa"/>
            <w:shd w:val="clear" w:color="auto" w:fill="629CD1"/>
          </w:tcPr>
          <w:p>
            <w:pPr>
              <w:pStyle w:val="TableParagraph"/>
              <w:spacing w:line="226" w:lineRule="exact" w:before="11"/>
              <w:ind w:right="256"/>
              <w:jc w:val="right"/>
              <w:rPr>
                <w:b/>
                <w:sz w:val="20"/>
              </w:rPr>
            </w:pPr>
            <w:r>
              <w:rPr>
                <w:b/>
                <w:color w:val="FFFFFF"/>
                <w:spacing w:val="-2"/>
                <w:sz w:val="20"/>
              </w:rPr>
              <w:t>Contributions</w:t>
            </w:r>
          </w:p>
        </w:tc>
        <w:tc>
          <w:tcPr>
            <w:tcW w:w="1929" w:type="dxa"/>
            <w:tcBorders>
              <w:right w:val="single" w:sz="12" w:space="0" w:color="000000"/>
            </w:tcBorders>
            <w:shd w:val="clear" w:color="auto" w:fill="629CD1"/>
          </w:tcPr>
          <w:p>
            <w:pPr>
              <w:pStyle w:val="TableParagraph"/>
              <w:spacing w:line="226" w:lineRule="exact" w:before="11"/>
              <w:ind w:left="242"/>
              <w:rPr>
                <w:b/>
                <w:sz w:val="20"/>
              </w:rPr>
            </w:pPr>
            <w:r>
              <w:rPr>
                <w:b/>
                <w:color w:val="FFFFFF"/>
                <w:sz w:val="20"/>
              </w:rPr>
              <w:t>Council</w:t>
            </w:r>
            <w:r>
              <w:rPr>
                <w:b/>
                <w:color w:val="FFFFFF"/>
                <w:spacing w:val="-8"/>
                <w:sz w:val="20"/>
              </w:rPr>
              <w:t> </w:t>
            </w:r>
            <w:r>
              <w:rPr>
                <w:b/>
                <w:color w:val="FFFFFF"/>
                <w:spacing w:val="-4"/>
                <w:sz w:val="20"/>
              </w:rPr>
              <w:t>Cash</w:t>
            </w:r>
          </w:p>
        </w:tc>
      </w:tr>
      <w:tr>
        <w:trPr>
          <w:trHeight w:val="251" w:hRule="atLeast"/>
        </w:trPr>
        <w:tc>
          <w:tcPr>
            <w:tcW w:w="4188" w:type="dxa"/>
            <w:tcBorders>
              <w:left w:val="single" w:sz="12" w:space="0" w:color="000000"/>
            </w:tcBorders>
            <w:shd w:val="clear" w:color="auto" w:fill="629CD1"/>
          </w:tcPr>
          <w:p>
            <w:pPr>
              <w:pStyle w:val="TableParagraph"/>
              <w:rPr>
                <w:rFonts w:ascii="Times New Roman"/>
                <w:sz w:val="18"/>
              </w:rPr>
            </w:pPr>
          </w:p>
        </w:tc>
        <w:tc>
          <w:tcPr>
            <w:tcW w:w="1504" w:type="dxa"/>
            <w:shd w:val="clear" w:color="auto" w:fill="629CD1"/>
          </w:tcPr>
          <w:p>
            <w:pPr>
              <w:pStyle w:val="TableParagraph"/>
              <w:spacing w:line="223" w:lineRule="exact" w:before="8"/>
              <w:ind w:left="451"/>
              <w:rPr>
                <w:b/>
                <w:sz w:val="20"/>
              </w:rPr>
            </w:pPr>
            <w:r>
              <w:rPr>
                <w:b/>
                <w:color w:val="FFFFFF"/>
                <w:spacing w:val="-2"/>
                <w:sz w:val="20"/>
              </w:rPr>
              <w:t>$'000</w:t>
            </w:r>
          </w:p>
        </w:tc>
        <w:tc>
          <w:tcPr>
            <w:tcW w:w="1143" w:type="dxa"/>
            <w:shd w:val="clear" w:color="auto" w:fill="629CD1"/>
          </w:tcPr>
          <w:p>
            <w:pPr>
              <w:pStyle w:val="TableParagraph"/>
              <w:spacing w:line="223" w:lineRule="exact" w:before="8"/>
              <w:ind w:left="260"/>
              <w:rPr>
                <w:b/>
                <w:sz w:val="20"/>
              </w:rPr>
            </w:pPr>
            <w:r>
              <w:rPr>
                <w:b/>
                <w:color w:val="FFFFFF"/>
                <w:spacing w:val="-2"/>
                <w:sz w:val="20"/>
              </w:rPr>
              <w:t>$'000</w:t>
            </w:r>
          </w:p>
        </w:tc>
        <w:tc>
          <w:tcPr>
            <w:tcW w:w="1112" w:type="dxa"/>
            <w:shd w:val="clear" w:color="auto" w:fill="629CD1"/>
          </w:tcPr>
          <w:p>
            <w:pPr>
              <w:pStyle w:val="TableParagraph"/>
              <w:spacing w:line="223" w:lineRule="exact" w:before="8"/>
              <w:ind w:left="297"/>
              <w:rPr>
                <w:b/>
                <w:sz w:val="20"/>
              </w:rPr>
            </w:pPr>
            <w:r>
              <w:rPr>
                <w:b/>
                <w:color w:val="FFFFFF"/>
                <w:spacing w:val="-2"/>
                <w:sz w:val="20"/>
              </w:rPr>
              <w:t>$'000</w:t>
            </w:r>
          </w:p>
        </w:tc>
        <w:tc>
          <w:tcPr>
            <w:tcW w:w="1118" w:type="dxa"/>
            <w:tcBorders>
              <w:right w:val="single" w:sz="4" w:space="0" w:color="000000"/>
            </w:tcBorders>
            <w:shd w:val="clear" w:color="auto" w:fill="629CD1"/>
          </w:tcPr>
          <w:p>
            <w:pPr>
              <w:pStyle w:val="TableParagraph"/>
              <w:spacing w:line="223" w:lineRule="exact" w:before="8"/>
              <w:ind w:left="304"/>
              <w:rPr>
                <w:b/>
                <w:sz w:val="20"/>
              </w:rPr>
            </w:pPr>
            <w:r>
              <w:rPr>
                <w:b/>
                <w:color w:val="FFFFFF"/>
                <w:spacing w:val="-2"/>
                <w:sz w:val="20"/>
              </w:rPr>
              <w:t>$'000</w:t>
            </w:r>
          </w:p>
        </w:tc>
        <w:tc>
          <w:tcPr>
            <w:tcW w:w="1420" w:type="dxa"/>
            <w:tcBorders>
              <w:left w:val="single" w:sz="4" w:space="0" w:color="000000"/>
            </w:tcBorders>
            <w:shd w:val="clear" w:color="auto" w:fill="629CD1"/>
          </w:tcPr>
          <w:p>
            <w:pPr>
              <w:pStyle w:val="TableParagraph"/>
              <w:spacing w:line="223" w:lineRule="exact" w:before="8"/>
              <w:ind w:left="400"/>
              <w:rPr>
                <w:b/>
                <w:sz w:val="20"/>
              </w:rPr>
            </w:pPr>
            <w:r>
              <w:rPr>
                <w:b/>
                <w:color w:val="FFFFFF"/>
                <w:spacing w:val="-2"/>
                <w:sz w:val="20"/>
              </w:rPr>
              <w:t>$'000</w:t>
            </w:r>
          </w:p>
        </w:tc>
        <w:tc>
          <w:tcPr>
            <w:tcW w:w="1290" w:type="dxa"/>
            <w:shd w:val="clear" w:color="auto" w:fill="629CD1"/>
          </w:tcPr>
          <w:p>
            <w:pPr>
              <w:pStyle w:val="TableParagraph"/>
              <w:spacing w:line="223" w:lineRule="exact" w:before="8"/>
              <w:ind w:left="334"/>
              <w:rPr>
                <w:b/>
                <w:sz w:val="20"/>
              </w:rPr>
            </w:pPr>
            <w:r>
              <w:rPr>
                <w:b/>
                <w:color w:val="FFFFFF"/>
                <w:spacing w:val="-2"/>
                <w:sz w:val="20"/>
              </w:rPr>
              <w:t>$'000</w:t>
            </w:r>
          </w:p>
        </w:tc>
        <w:tc>
          <w:tcPr>
            <w:tcW w:w="1696" w:type="dxa"/>
            <w:shd w:val="clear" w:color="auto" w:fill="629CD1"/>
          </w:tcPr>
          <w:p>
            <w:pPr>
              <w:pStyle w:val="TableParagraph"/>
              <w:spacing w:line="223" w:lineRule="exact" w:before="8"/>
              <w:ind w:left="534"/>
              <w:rPr>
                <w:b/>
                <w:sz w:val="20"/>
              </w:rPr>
            </w:pPr>
            <w:r>
              <w:rPr>
                <w:b/>
                <w:color w:val="FFFFFF"/>
                <w:spacing w:val="-2"/>
                <w:sz w:val="20"/>
              </w:rPr>
              <w:t>$'000</w:t>
            </w:r>
          </w:p>
        </w:tc>
        <w:tc>
          <w:tcPr>
            <w:tcW w:w="1929" w:type="dxa"/>
            <w:tcBorders>
              <w:right w:val="single" w:sz="12" w:space="0" w:color="000000"/>
            </w:tcBorders>
            <w:shd w:val="clear" w:color="auto" w:fill="629CD1"/>
          </w:tcPr>
          <w:p>
            <w:pPr>
              <w:pStyle w:val="TableParagraph"/>
              <w:spacing w:line="223" w:lineRule="exact" w:before="8"/>
              <w:ind w:left="627" w:right="763"/>
              <w:jc w:val="center"/>
              <w:rPr>
                <w:b/>
                <w:sz w:val="20"/>
              </w:rPr>
            </w:pPr>
            <w:r>
              <w:rPr>
                <w:b/>
                <w:color w:val="FFFFFF"/>
                <w:spacing w:val="-2"/>
                <w:sz w:val="20"/>
              </w:rPr>
              <w:t>$'000</w:t>
            </w:r>
          </w:p>
        </w:tc>
      </w:tr>
      <w:tr>
        <w:trPr>
          <w:trHeight w:val="526" w:hRule="atLeast"/>
        </w:trPr>
        <w:tc>
          <w:tcPr>
            <w:tcW w:w="4188" w:type="dxa"/>
            <w:tcBorders>
              <w:left w:val="single" w:sz="12" w:space="0" w:color="000000"/>
            </w:tcBorders>
          </w:tcPr>
          <w:p>
            <w:pPr>
              <w:pStyle w:val="TableParagraph"/>
              <w:spacing w:before="4"/>
              <w:rPr>
                <w:b/>
                <w:sz w:val="24"/>
              </w:rPr>
            </w:pPr>
          </w:p>
          <w:p>
            <w:pPr>
              <w:pStyle w:val="TableParagraph"/>
              <w:spacing w:line="226" w:lineRule="exact"/>
              <w:ind w:left="107"/>
              <w:rPr>
                <w:b/>
                <w:sz w:val="20"/>
              </w:rPr>
            </w:pPr>
            <w:r>
              <w:rPr>
                <w:b/>
                <w:spacing w:val="-2"/>
                <w:sz w:val="20"/>
              </w:rPr>
              <w:t>Property</w:t>
            </w:r>
          </w:p>
        </w:tc>
        <w:tc>
          <w:tcPr>
            <w:tcW w:w="1504" w:type="dxa"/>
          </w:tcPr>
          <w:p>
            <w:pPr>
              <w:pStyle w:val="TableParagraph"/>
              <w:rPr>
                <w:rFonts w:ascii="Times New Roman"/>
                <w:sz w:val="20"/>
              </w:rPr>
            </w:pPr>
          </w:p>
        </w:tc>
        <w:tc>
          <w:tcPr>
            <w:tcW w:w="1143" w:type="dxa"/>
          </w:tcPr>
          <w:p>
            <w:pPr>
              <w:pStyle w:val="TableParagraph"/>
              <w:rPr>
                <w:rFonts w:ascii="Times New Roman"/>
                <w:sz w:val="20"/>
              </w:rPr>
            </w:pPr>
          </w:p>
        </w:tc>
        <w:tc>
          <w:tcPr>
            <w:tcW w:w="1112" w:type="dxa"/>
          </w:tcPr>
          <w:p>
            <w:pPr>
              <w:pStyle w:val="TableParagraph"/>
              <w:rPr>
                <w:rFonts w:ascii="Times New Roman"/>
                <w:sz w:val="20"/>
              </w:rPr>
            </w:pPr>
          </w:p>
        </w:tc>
        <w:tc>
          <w:tcPr>
            <w:tcW w:w="1118" w:type="dxa"/>
            <w:tcBorders>
              <w:right w:val="single" w:sz="4" w:space="0" w:color="000000"/>
            </w:tcBorders>
          </w:tcPr>
          <w:p>
            <w:pPr>
              <w:pStyle w:val="TableParagraph"/>
              <w:rPr>
                <w:rFonts w:ascii="Times New Roman"/>
                <w:sz w:val="20"/>
              </w:rPr>
            </w:pPr>
          </w:p>
        </w:tc>
        <w:tc>
          <w:tcPr>
            <w:tcW w:w="1420" w:type="dxa"/>
            <w:tcBorders>
              <w:left w:val="single" w:sz="4" w:space="0" w:color="000000"/>
            </w:tcBorders>
          </w:tcPr>
          <w:p>
            <w:pPr>
              <w:pStyle w:val="TableParagraph"/>
              <w:rPr>
                <w:rFonts w:ascii="Times New Roman"/>
                <w:sz w:val="20"/>
              </w:rPr>
            </w:pPr>
          </w:p>
        </w:tc>
        <w:tc>
          <w:tcPr>
            <w:tcW w:w="1290" w:type="dxa"/>
          </w:tcPr>
          <w:p>
            <w:pPr>
              <w:pStyle w:val="TableParagraph"/>
              <w:rPr>
                <w:rFonts w:ascii="Times New Roman"/>
                <w:sz w:val="20"/>
              </w:rPr>
            </w:pPr>
          </w:p>
        </w:tc>
        <w:tc>
          <w:tcPr>
            <w:tcW w:w="1696" w:type="dxa"/>
          </w:tcPr>
          <w:p>
            <w:pPr>
              <w:pStyle w:val="TableParagraph"/>
              <w:rPr>
                <w:rFonts w:ascii="Times New Roman"/>
                <w:sz w:val="20"/>
              </w:rPr>
            </w:pPr>
          </w:p>
        </w:tc>
        <w:tc>
          <w:tcPr>
            <w:tcW w:w="1929" w:type="dxa"/>
            <w:tcBorders>
              <w:right w:val="single" w:sz="12" w:space="0" w:color="000000"/>
            </w:tcBorders>
          </w:tcPr>
          <w:p>
            <w:pPr>
              <w:pStyle w:val="TableParagraph"/>
              <w:rPr>
                <w:rFonts w:ascii="Times New Roman"/>
                <w:sz w:val="20"/>
              </w:rPr>
            </w:pPr>
          </w:p>
        </w:tc>
      </w:tr>
      <w:tr>
        <w:trPr>
          <w:trHeight w:val="254" w:hRule="atLeast"/>
        </w:trPr>
        <w:tc>
          <w:tcPr>
            <w:tcW w:w="4188" w:type="dxa"/>
            <w:tcBorders>
              <w:left w:val="single" w:sz="12" w:space="0" w:color="000000"/>
            </w:tcBorders>
          </w:tcPr>
          <w:p>
            <w:pPr>
              <w:pStyle w:val="TableParagraph"/>
              <w:spacing w:line="226" w:lineRule="exact" w:before="8"/>
              <w:ind w:left="107"/>
              <w:rPr>
                <w:sz w:val="20"/>
              </w:rPr>
            </w:pPr>
            <w:r>
              <w:rPr>
                <w:spacing w:val="-4"/>
                <w:sz w:val="20"/>
              </w:rPr>
              <w:t>Land</w:t>
            </w:r>
          </w:p>
        </w:tc>
        <w:tc>
          <w:tcPr>
            <w:tcW w:w="1504" w:type="dxa"/>
          </w:tcPr>
          <w:p>
            <w:pPr>
              <w:pStyle w:val="TableParagraph"/>
              <w:spacing w:line="226" w:lineRule="exact" w:before="8"/>
              <w:ind w:right="229"/>
              <w:jc w:val="right"/>
              <w:rPr>
                <w:sz w:val="20"/>
              </w:rPr>
            </w:pPr>
            <w:r>
              <w:rPr>
                <w:w w:val="99"/>
                <w:sz w:val="20"/>
              </w:rPr>
              <w:t>0</w:t>
            </w:r>
          </w:p>
        </w:tc>
        <w:tc>
          <w:tcPr>
            <w:tcW w:w="1143" w:type="dxa"/>
          </w:tcPr>
          <w:p>
            <w:pPr>
              <w:pStyle w:val="TableParagraph"/>
              <w:spacing w:line="226" w:lineRule="exact" w:before="8"/>
              <w:ind w:right="110"/>
              <w:jc w:val="right"/>
              <w:rPr>
                <w:sz w:val="20"/>
              </w:rPr>
            </w:pPr>
            <w:r>
              <w:rPr>
                <w:w w:val="99"/>
                <w:sz w:val="20"/>
              </w:rPr>
              <w:t>0</w:t>
            </w:r>
          </w:p>
        </w:tc>
        <w:tc>
          <w:tcPr>
            <w:tcW w:w="1112" w:type="dxa"/>
          </w:tcPr>
          <w:p>
            <w:pPr>
              <w:pStyle w:val="TableParagraph"/>
              <w:spacing w:line="226" w:lineRule="exact" w:before="8"/>
              <w:ind w:right="123"/>
              <w:jc w:val="right"/>
              <w:rPr>
                <w:sz w:val="20"/>
              </w:rPr>
            </w:pPr>
            <w:r>
              <w:rPr>
                <w:w w:val="99"/>
                <w:sz w:val="20"/>
              </w:rPr>
              <w:t>0</w:t>
            </w:r>
          </w:p>
        </w:tc>
        <w:tc>
          <w:tcPr>
            <w:tcW w:w="1118" w:type="dxa"/>
            <w:tcBorders>
              <w:right w:val="single" w:sz="4" w:space="0" w:color="000000"/>
            </w:tcBorders>
          </w:tcPr>
          <w:p>
            <w:pPr>
              <w:pStyle w:val="TableParagraph"/>
              <w:spacing w:line="226" w:lineRule="exact" w:before="8"/>
              <w:ind w:right="88"/>
              <w:jc w:val="right"/>
              <w:rPr>
                <w:sz w:val="20"/>
              </w:rPr>
            </w:pPr>
            <w:r>
              <w:rPr>
                <w:w w:val="99"/>
                <w:sz w:val="20"/>
              </w:rPr>
              <w:t>0</w:t>
            </w:r>
          </w:p>
        </w:tc>
        <w:tc>
          <w:tcPr>
            <w:tcW w:w="1420" w:type="dxa"/>
            <w:tcBorders>
              <w:left w:val="single" w:sz="4" w:space="0" w:color="000000"/>
            </w:tcBorders>
          </w:tcPr>
          <w:p>
            <w:pPr>
              <w:pStyle w:val="TableParagraph"/>
              <w:spacing w:line="226" w:lineRule="exact" w:before="8"/>
              <w:ind w:right="229"/>
              <w:jc w:val="right"/>
              <w:rPr>
                <w:sz w:val="20"/>
              </w:rPr>
            </w:pPr>
            <w:r>
              <w:rPr>
                <w:w w:val="99"/>
                <w:sz w:val="20"/>
              </w:rPr>
              <w:t>0</w:t>
            </w:r>
          </w:p>
        </w:tc>
        <w:tc>
          <w:tcPr>
            <w:tcW w:w="1290" w:type="dxa"/>
          </w:tcPr>
          <w:p>
            <w:pPr>
              <w:pStyle w:val="TableParagraph"/>
              <w:spacing w:line="226" w:lineRule="exact" w:before="8"/>
              <w:ind w:right="106"/>
              <w:jc w:val="right"/>
              <w:rPr>
                <w:sz w:val="20"/>
              </w:rPr>
            </w:pPr>
            <w:r>
              <w:rPr>
                <w:w w:val="99"/>
                <w:sz w:val="20"/>
              </w:rPr>
              <w:t>0</w:t>
            </w:r>
          </w:p>
        </w:tc>
        <w:tc>
          <w:tcPr>
            <w:tcW w:w="1696" w:type="dxa"/>
          </w:tcPr>
          <w:p>
            <w:pPr>
              <w:pStyle w:val="TableParagraph"/>
              <w:spacing w:line="226" w:lineRule="exact" w:before="8"/>
              <w:ind w:right="240"/>
              <w:jc w:val="right"/>
              <w:rPr>
                <w:sz w:val="20"/>
              </w:rPr>
            </w:pPr>
            <w:r>
              <w:rPr>
                <w:w w:val="99"/>
                <w:sz w:val="20"/>
              </w:rPr>
              <w:t>0</w:t>
            </w:r>
          </w:p>
        </w:tc>
        <w:tc>
          <w:tcPr>
            <w:tcW w:w="1929" w:type="dxa"/>
            <w:tcBorders>
              <w:right w:val="single" w:sz="12" w:space="0" w:color="000000"/>
            </w:tcBorders>
          </w:tcPr>
          <w:p>
            <w:pPr>
              <w:pStyle w:val="TableParagraph"/>
              <w:spacing w:line="226" w:lineRule="exact" w:before="8"/>
              <w:ind w:right="87"/>
              <w:jc w:val="right"/>
              <w:rPr>
                <w:sz w:val="20"/>
              </w:rPr>
            </w:pPr>
            <w:r>
              <w:rPr>
                <w:w w:val="99"/>
                <w:sz w:val="20"/>
              </w:rPr>
              <w:t>0</w:t>
            </w:r>
          </w:p>
        </w:tc>
      </w:tr>
      <w:tr>
        <w:trPr>
          <w:trHeight w:val="239" w:hRule="atLeast"/>
        </w:trPr>
        <w:tc>
          <w:tcPr>
            <w:tcW w:w="4188" w:type="dxa"/>
            <w:tcBorders>
              <w:left w:val="single" w:sz="12" w:space="0" w:color="000000"/>
            </w:tcBorders>
          </w:tcPr>
          <w:p>
            <w:pPr>
              <w:pStyle w:val="TableParagraph"/>
              <w:spacing w:line="211" w:lineRule="exact" w:before="8"/>
              <w:ind w:left="107"/>
              <w:rPr>
                <w:sz w:val="20"/>
              </w:rPr>
            </w:pPr>
            <w:r>
              <w:rPr>
                <w:sz w:val="20"/>
              </w:rPr>
              <w:t>Land</w:t>
            </w:r>
            <w:r>
              <w:rPr>
                <w:spacing w:val="-7"/>
                <w:sz w:val="20"/>
              </w:rPr>
              <w:t> </w:t>
            </w:r>
            <w:r>
              <w:rPr>
                <w:spacing w:val="-2"/>
                <w:sz w:val="20"/>
              </w:rPr>
              <w:t>improvements</w:t>
            </w:r>
          </w:p>
        </w:tc>
        <w:tc>
          <w:tcPr>
            <w:tcW w:w="1504" w:type="dxa"/>
            <w:tcBorders>
              <w:bottom w:val="single" w:sz="4" w:space="0" w:color="000000"/>
            </w:tcBorders>
          </w:tcPr>
          <w:p>
            <w:pPr>
              <w:pStyle w:val="TableParagraph"/>
              <w:spacing w:line="211" w:lineRule="exact" w:before="8"/>
              <w:ind w:right="230"/>
              <w:jc w:val="right"/>
              <w:rPr>
                <w:sz w:val="20"/>
              </w:rPr>
            </w:pPr>
            <w:r>
              <w:rPr>
                <w:w w:val="99"/>
                <w:sz w:val="20"/>
              </w:rPr>
              <w:t>0</w:t>
            </w:r>
          </w:p>
        </w:tc>
        <w:tc>
          <w:tcPr>
            <w:tcW w:w="1143" w:type="dxa"/>
            <w:tcBorders>
              <w:bottom w:val="single" w:sz="4" w:space="0" w:color="000000"/>
            </w:tcBorders>
          </w:tcPr>
          <w:p>
            <w:pPr>
              <w:pStyle w:val="TableParagraph"/>
              <w:spacing w:line="211" w:lineRule="exact" w:before="8"/>
              <w:ind w:right="110"/>
              <w:jc w:val="right"/>
              <w:rPr>
                <w:sz w:val="20"/>
              </w:rPr>
            </w:pPr>
            <w:r>
              <w:rPr>
                <w:w w:val="99"/>
                <w:sz w:val="20"/>
              </w:rPr>
              <w:t>0</w:t>
            </w:r>
          </w:p>
        </w:tc>
        <w:tc>
          <w:tcPr>
            <w:tcW w:w="1112" w:type="dxa"/>
            <w:tcBorders>
              <w:bottom w:val="single" w:sz="4" w:space="0" w:color="000000"/>
            </w:tcBorders>
          </w:tcPr>
          <w:p>
            <w:pPr>
              <w:pStyle w:val="TableParagraph"/>
              <w:spacing w:line="211" w:lineRule="exact" w:before="8"/>
              <w:ind w:right="123"/>
              <w:jc w:val="right"/>
              <w:rPr>
                <w:sz w:val="20"/>
              </w:rPr>
            </w:pPr>
            <w:r>
              <w:rPr>
                <w:w w:val="99"/>
                <w:sz w:val="20"/>
              </w:rPr>
              <w:t>0</w:t>
            </w:r>
          </w:p>
        </w:tc>
        <w:tc>
          <w:tcPr>
            <w:tcW w:w="1118" w:type="dxa"/>
            <w:tcBorders>
              <w:bottom w:val="single" w:sz="4" w:space="0" w:color="000000"/>
              <w:right w:val="single" w:sz="4" w:space="0" w:color="000000"/>
            </w:tcBorders>
          </w:tcPr>
          <w:p>
            <w:pPr>
              <w:pStyle w:val="TableParagraph"/>
              <w:spacing w:line="211" w:lineRule="exact" w:before="8"/>
              <w:ind w:right="88"/>
              <w:jc w:val="right"/>
              <w:rPr>
                <w:sz w:val="20"/>
              </w:rPr>
            </w:pPr>
            <w:r>
              <w:rPr>
                <w:w w:val="99"/>
                <w:sz w:val="20"/>
              </w:rPr>
              <w:t>0</w:t>
            </w:r>
          </w:p>
        </w:tc>
        <w:tc>
          <w:tcPr>
            <w:tcW w:w="1420" w:type="dxa"/>
            <w:tcBorders>
              <w:left w:val="single" w:sz="4" w:space="0" w:color="000000"/>
              <w:bottom w:val="single" w:sz="4" w:space="0" w:color="000000"/>
            </w:tcBorders>
          </w:tcPr>
          <w:p>
            <w:pPr>
              <w:pStyle w:val="TableParagraph"/>
              <w:spacing w:line="211" w:lineRule="exact" w:before="8"/>
              <w:ind w:right="229"/>
              <w:jc w:val="right"/>
              <w:rPr>
                <w:sz w:val="20"/>
              </w:rPr>
            </w:pPr>
            <w:r>
              <w:rPr>
                <w:w w:val="99"/>
                <w:sz w:val="20"/>
              </w:rPr>
              <w:t>0</w:t>
            </w:r>
          </w:p>
        </w:tc>
        <w:tc>
          <w:tcPr>
            <w:tcW w:w="1290" w:type="dxa"/>
            <w:tcBorders>
              <w:bottom w:val="single" w:sz="4" w:space="0" w:color="000000"/>
            </w:tcBorders>
          </w:tcPr>
          <w:p>
            <w:pPr>
              <w:pStyle w:val="TableParagraph"/>
              <w:spacing w:line="211" w:lineRule="exact" w:before="8"/>
              <w:ind w:right="106"/>
              <w:jc w:val="right"/>
              <w:rPr>
                <w:sz w:val="20"/>
              </w:rPr>
            </w:pPr>
            <w:r>
              <w:rPr>
                <w:w w:val="99"/>
                <w:sz w:val="20"/>
              </w:rPr>
              <w:t>0</w:t>
            </w:r>
          </w:p>
        </w:tc>
        <w:tc>
          <w:tcPr>
            <w:tcW w:w="1696" w:type="dxa"/>
            <w:tcBorders>
              <w:bottom w:val="single" w:sz="4" w:space="0" w:color="000000"/>
            </w:tcBorders>
          </w:tcPr>
          <w:p>
            <w:pPr>
              <w:pStyle w:val="TableParagraph"/>
              <w:spacing w:line="211" w:lineRule="exact" w:before="8"/>
              <w:ind w:right="240"/>
              <w:jc w:val="right"/>
              <w:rPr>
                <w:sz w:val="20"/>
              </w:rPr>
            </w:pPr>
            <w:r>
              <w:rPr>
                <w:w w:val="99"/>
                <w:sz w:val="20"/>
              </w:rPr>
              <w:t>0</w:t>
            </w:r>
          </w:p>
        </w:tc>
        <w:tc>
          <w:tcPr>
            <w:tcW w:w="1929" w:type="dxa"/>
            <w:tcBorders>
              <w:bottom w:val="single" w:sz="4" w:space="0" w:color="000000"/>
              <w:right w:val="single" w:sz="12" w:space="0" w:color="000000"/>
            </w:tcBorders>
          </w:tcPr>
          <w:p>
            <w:pPr>
              <w:pStyle w:val="TableParagraph"/>
              <w:spacing w:line="211" w:lineRule="exact" w:before="8"/>
              <w:ind w:right="87"/>
              <w:jc w:val="right"/>
              <w:rPr>
                <w:sz w:val="20"/>
              </w:rPr>
            </w:pPr>
            <w:r>
              <w:rPr>
                <w:w w:val="99"/>
                <w:sz w:val="20"/>
              </w:rPr>
              <w:t>0</w:t>
            </w:r>
          </w:p>
        </w:tc>
      </w:tr>
      <w:tr>
        <w:trPr>
          <w:trHeight w:val="251" w:hRule="atLeast"/>
        </w:trPr>
        <w:tc>
          <w:tcPr>
            <w:tcW w:w="4188" w:type="dxa"/>
            <w:tcBorders>
              <w:left w:val="single" w:sz="12" w:space="0" w:color="000000"/>
            </w:tcBorders>
          </w:tcPr>
          <w:p>
            <w:pPr>
              <w:pStyle w:val="TableParagraph"/>
              <w:spacing w:line="206" w:lineRule="exact" w:before="26"/>
              <w:ind w:left="107"/>
              <w:rPr>
                <w:b/>
                <w:sz w:val="20"/>
              </w:rPr>
            </w:pPr>
            <w:r>
              <w:rPr>
                <w:b/>
                <w:sz w:val="20"/>
              </w:rPr>
              <w:t>Total</w:t>
            </w:r>
            <w:r>
              <w:rPr>
                <w:b/>
                <w:spacing w:val="-6"/>
                <w:sz w:val="20"/>
              </w:rPr>
              <w:t> </w:t>
            </w:r>
            <w:r>
              <w:rPr>
                <w:b/>
                <w:spacing w:val="-4"/>
                <w:sz w:val="20"/>
              </w:rPr>
              <w:t>Land</w:t>
            </w:r>
          </w:p>
        </w:tc>
        <w:tc>
          <w:tcPr>
            <w:tcW w:w="1504" w:type="dxa"/>
            <w:tcBorders>
              <w:top w:val="single" w:sz="4" w:space="0" w:color="000000"/>
              <w:bottom w:val="single" w:sz="4" w:space="0" w:color="000000"/>
            </w:tcBorders>
          </w:tcPr>
          <w:p>
            <w:pPr>
              <w:pStyle w:val="TableParagraph"/>
              <w:spacing w:line="206" w:lineRule="exact" w:before="26"/>
              <w:ind w:right="229"/>
              <w:jc w:val="right"/>
              <w:rPr>
                <w:sz w:val="20"/>
              </w:rPr>
            </w:pPr>
            <w:r>
              <w:rPr>
                <w:w w:val="99"/>
                <w:sz w:val="20"/>
              </w:rPr>
              <w:t>0</w:t>
            </w:r>
          </w:p>
        </w:tc>
        <w:tc>
          <w:tcPr>
            <w:tcW w:w="1143" w:type="dxa"/>
            <w:tcBorders>
              <w:top w:val="single" w:sz="4" w:space="0" w:color="000000"/>
              <w:bottom w:val="single" w:sz="4" w:space="0" w:color="000000"/>
            </w:tcBorders>
          </w:tcPr>
          <w:p>
            <w:pPr>
              <w:pStyle w:val="TableParagraph"/>
              <w:spacing w:line="206" w:lineRule="exact" w:before="26"/>
              <w:ind w:right="110"/>
              <w:jc w:val="right"/>
              <w:rPr>
                <w:sz w:val="20"/>
              </w:rPr>
            </w:pPr>
            <w:r>
              <w:rPr>
                <w:w w:val="99"/>
                <w:sz w:val="20"/>
              </w:rPr>
              <w:t>0</w:t>
            </w:r>
          </w:p>
        </w:tc>
        <w:tc>
          <w:tcPr>
            <w:tcW w:w="1112" w:type="dxa"/>
            <w:tcBorders>
              <w:top w:val="single" w:sz="4" w:space="0" w:color="000000"/>
              <w:bottom w:val="single" w:sz="4" w:space="0" w:color="000000"/>
            </w:tcBorders>
          </w:tcPr>
          <w:p>
            <w:pPr>
              <w:pStyle w:val="TableParagraph"/>
              <w:spacing w:line="206" w:lineRule="exact" w:before="26"/>
              <w:ind w:right="123"/>
              <w:jc w:val="right"/>
              <w:rPr>
                <w:sz w:val="20"/>
              </w:rPr>
            </w:pPr>
            <w:r>
              <w:rPr>
                <w:w w:val="99"/>
                <w:sz w:val="20"/>
              </w:rPr>
              <w:t>0</w:t>
            </w:r>
          </w:p>
        </w:tc>
        <w:tc>
          <w:tcPr>
            <w:tcW w:w="1118" w:type="dxa"/>
            <w:tcBorders>
              <w:top w:val="single" w:sz="4" w:space="0" w:color="000000"/>
              <w:bottom w:val="single" w:sz="8" w:space="0" w:color="000000"/>
              <w:right w:val="single" w:sz="4" w:space="0" w:color="000000"/>
            </w:tcBorders>
          </w:tcPr>
          <w:p>
            <w:pPr>
              <w:pStyle w:val="TableParagraph"/>
              <w:spacing w:line="206" w:lineRule="exact" w:before="26"/>
              <w:ind w:right="88"/>
              <w:jc w:val="right"/>
              <w:rPr>
                <w:sz w:val="20"/>
              </w:rPr>
            </w:pPr>
            <w:r>
              <w:rPr>
                <w:w w:val="99"/>
                <w:sz w:val="20"/>
              </w:rPr>
              <w:t>0</w:t>
            </w:r>
          </w:p>
        </w:tc>
        <w:tc>
          <w:tcPr>
            <w:tcW w:w="1420" w:type="dxa"/>
            <w:tcBorders>
              <w:top w:val="single" w:sz="4" w:space="0" w:color="000000"/>
              <w:left w:val="single" w:sz="4" w:space="0" w:color="000000"/>
              <w:bottom w:val="single" w:sz="4" w:space="0" w:color="000000"/>
            </w:tcBorders>
          </w:tcPr>
          <w:p>
            <w:pPr>
              <w:pStyle w:val="TableParagraph"/>
              <w:spacing w:line="206" w:lineRule="exact" w:before="26"/>
              <w:ind w:right="229"/>
              <w:jc w:val="right"/>
              <w:rPr>
                <w:sz w:val="20"/>
              </w:rPr>
            </w:pPr>
            <w:r>
              <w:rPr>
                <w:w w:val="99"/>
                <w:sz w:val="20"/>
              </w:rPr>
              <w:t>0</w:t>
            </w:r>
          </w:p>
        </w:tc>
        <w:tc>
          <w:tcPr>
            <w:tcW w:w="1290" w:type="dxa"/>
            <w:tcBorders>
              <w:top w:val="single" w:sz="4" w:space="0" w:color="000000"/>
              <w:bottom w:val="single" w:sz="4" w:space="0" w:color="000000"/>
            </w:tcBorders>
          </w:tcPr>
          <w:p>
            <w:pPr>
              <w:pStyle w:val="TableParagraph"/>
              <w:spacing w:line="206" w:lineRule="exact" w:before="26"/>
              <w:ind w:right="106"/>
              <w:jc w:val="right"/>
              <w:rPr>
                <w:sz w:val="20"/>
              </w:rPr>
            </w:pPr>
            <w:r>
              <w:rPr>
                <w:w w:val="99"/>
                <w:sz w:val="20"/>
              </w:rPr>
              <w:t>0</w:t>
            </w:r>
          </w:p>
        </w:tc>
        <w:tc>
          <w:tcPr>
            <w:tcW w:w="1696" w:type="dxa"/>
            <w:tcBorders>
              <w:top w:val="single" w:sz="4" w:space="0" w:color="000000"/>
              <w:bottom w:val="single" w:sz="4" w:space="0" w:color="000000"/>
            </w:tcBorders>
          </w:tcPr>
          <w:p>
            <w:pPr>
              <w:pStyle w:val="TableParagraph"/>
              <w:spacing w:line="206" w:lineRule="exact" w:before="26"/>
              <w:ind w:right="240"/>
              <w:jc w:val="right"/>
              <w:rPr>
                <w:sz w:val="20"/>
              </w:rPr>
            </w:pPr>
            <w:r>
              <w:rPr>
                <w:w w:val="99"/>
                <w:sz w:val="20"/>
              </w:rPr>
              <w:t>0</w:t>
            </w:r>
          </w:p>
        </w:tc>
        <w:tc>
          <w:tcPr>
            <w:tcW w:w="1929" w:type="dxa"/>
            <w:tcBorders>
              <w:top w:val="single" w:sz="4" w:space="0" w:color="000000"/>
              <w:bottom w:val="single" w:sz="4" w:space="0" w:color="000000"/>
              <w:right w:val="single" w:sz="12" w:space="0" w:color="000000"/>
            </w:tcBorders>
          </w:tcPr>
          <w:p>
            <w:pPr>
              <w:pStyle w:val="TableParagraph"/>
              <w:spacing w:line="206" w:lineRule="exact" w:before="26"/>
              <w:ind w:right="87"/>
              <w:jc w:val="right"/>
              <w:rPr>
                <w:sz w:val="20"/>
              </w:rPr>
            </w:pPr>
            <w:r>
              <w:rPr>
                <w:w w:val="99"/>
                <w:sz w:val="20"/>
              </w:rPr>
              <w:t>0</w:t>
            </w:r>
          </w:p>
        </w:tc>
      </w:tr>
      <w:tr>
        <w:trPr>
          <w:trHeight w:val="253" w:hRule="atLeast"/>
        </w:trPr>
        <w:tc>
          <w:tcPr>
            <w:tcW w:w="4188" w:type="dxa"/>
            <w:tcBorders>
              <w:left w:val="single" w:sz="12" w:space="0" w:color="000000"/>
            </w:tcBorders>
          </w:tcPr>
          <w:p>
            <w:pPr>
              <w:pStyle w:val="TableParagraph"/>
              <w:spacing w:line="206" w:lineRule="exact" w:before="28"/>
              <w:ind w:left="107"/>
              <w:rPr>
                <w:sz w:val="20"/>
              </w:rPr>
            </w:pPr>
            <w:r>
              <w:rPr>
                <w:spacing w:val="-2"/>
                <w:sz w:val="20"/>
              </w:rPr>
              <w:t>Buildings</w:t>
            </w:r>
          </w:p>
        </w:tc>
        <w:tc>
          <w:tcPr>
            <w:tcW w:w="1504" w:type="dxa"/>
            <w:tcBorders>
              <w:top w:val="single" w:sz="4" w:space="0" w:color="000000"/>
              <w:bottom w:val="single" w:sz="4" w:space="0" w:color="000000"/>
            </w:tcBorders>
          </w:tcPr>
          <w:p>
            <w:pPr>
              <w:pStyle w:val="TableParagraph"/>
              <w:spacing w:line="206" w:lineRule="exact" w:before="28"/>
              <w:ind w:right="232"/>
              <w:jc w:val="right"/>
              <w:rPr>
                <w:sz w:val="20"/>
              </w:rPr>
            </w:pPr>
            <w:r>
              <w:rPr>
                <w:spacing w:val="-2"/>
                <w:sz w:val="20"/>
              </w:rPr>
              <w:t>22,276</w:t>
            </w:r>
          </w:p>
        </w:tc>
        <w:tc>
          <w:tcPr>
            <w:tcW w:w="1143" w:type="dxa"/>
            <w:tcBorders>
              <w:top w:val="single" w:sz="4" w:space="0" w:color="000000"/>
              <w:bottom w:val="single" w:sz="4" w:space="0" w:color="000000"/>
            </w:tcBorders>
          </w:tcPr>
          <w:p>
            <w:pPr>
              <w:pStyle w:val="TableParagraph"/>
              <w:spacing w:line="206" w:lineRule="exact" w:before="28"/>
              <w:ind w:right="112"/>
              <w:jc w:val="right"/>
              <w:rPr>
                <w:sz w:val="20"/>
              </w:rPr>
            </w:pPr>
            <w:r>
              <w:rPr>
                <w:spacing w:val="-2"/>
                <w:sz w:val="20"/>
              </w:rPr>
              <w:t>1,000</w:t>
            </w:r>
          </w:p>
        </w:tc>
        <w:tc>
          <w:tcPr>
            <w:tcW w:w="1112" w:type="dxa"/>
            <w:tcBorders>
              <w:top w:val="single" w:sz="4" w:space="0" w:color="000000"/>
              <w:bottom w:val="single" w:sz="4" w:space="0" w:color="000000"/>
            </w:tcBorders>
          </w:tcPr>
          <w:p>
            <w:pPr>
              <w:pStyle w:val="TableParagraph"/>
              <w:spacing w:line="206" w:lineRule="exact" w:before="28"/>
              <w:ind w:right="125"/>
              <w:jc w:val="right"/>
              <w:rPr>
                <w:sz w:val="20"/>
              </w:rPr>
            </w:pPr>
            <w:r>
              <w:rPr>
                <w:spacing w:val="-2"/>
                <w:sz w:val="20"/>
              </w:rPr>
              <w:t>16,629</w:t>
            </w:r>
          </w:p>
        </w:tc>
        <w:tc>
          <w:tcPr>
            <w:tcW w:w="1118" w:type="dxa"/>
            <w:tcBorders>
              <w:top w:val="single" w:sz="8" w:space="0" w:color="000000"/>
              <w:bottom w:val="single" w:sz="8" w:space="0" w:color="000000"/>
              <w:right w:val="single" w:sz="8" w:space="0" w:color="000000"/>
            </w:tcBorders>
          </w:tcPr>
          <w:p>
            <w:pPr>
              <w:pStyle w:val="TableParagraph"/>
              <w:spacing w:line="206" w:lineRule="exact" w:before="28"/>
              <w:ind w:right="85"/>
              <w:jc w:val="right"/>
              <w:rPr>
                <w:sz w:val="20"/>
              </w:rPr>
            </w:pPr>
            <w:r>
              <w:rPr>
                <w:spacing w:val="-2"/>
                <w:sz w:val="20"/>
              </w:rPr>
              <w:t>4,647</w:t>
            </w:r>
          </w:p>
        </w:tc>
        <w:tc>
          <w:tcPr>
            <w:tcW w:w="1420" w:type="dxa"/>
            <w:tcBorders>
              <w:top w:val="single" w:sz="4" w:space="0" w:color="000000"/>
              <w:left w:val="single" w:sz="8" w:space="0" w:color="000000"/>
              <w:bottom w:val="single" w:sz="4" w:space="0" w:color="000000"/>
            </w:tcBorders>
          </w:tcPr>
          <w:p>
            <w:pPr>
              <w:pStyle w:val="TableParagraph"/>
              <w:spacing w:line="206" w:lineRule="exact" w:before="28"/>
              <w:ind w:right="227"/>
              <w:jc w:val="right"/>
              <w:rPr>
                <w:sz w:val="20"/>
              </w:rPr>
            </w:pPr>
            <w:r>
              <w:rPr>
                <w:spacing w:val="-2"/>
                <w:sz w:val="20"/>
              </w:rPr>
              <w:t>22,276</w:t>
            </w:r>
          </w:p>
        </w:tc>
        <w:tc>
          <w:tcPr>
            <w:tcW w:w="1290" w:type="dxa"/>
            <w:tcBorders>
              <w:top w:val="single" w:sz="4" w:space="0" w:color="000000"/>
              <w:bottom w:val="single" w:sz="4" w:space="0" w:color="000000"/>
            </w:tcBorders>
          </w:tcPr>
          <w:p>
            <w:pPr>
              <w:pStyle w:val="TableParagraph"/>
              <w:spacing w:line="206" w:lineRule="exact" w:before="28"/>
              <w:ind w:right="108"/>
              <w:jc w:val="right"/>
              <w:rPr>
                <w:sz w:val="20"/>
              </w:rPr>
            </w:pPr>
            <w:r>
              <w:rPr>
                <w:spacing w:val="-2"/>
                <w:sz w:val="20"/>
              </w:rPr>
              <w:t>3,500</w:t>
            </w:r>
          </w:p>
        </w:tc>
        <w:tc>
          <w:tcPr>
            <w:tcW w:w="1696" w:type="dxa"/>
            <w:tcBorders>
              <w:top w:val="single" w:sz="4" w:space="0" w:color="000000"/>
              <w:bottom w:val="single" w:sz="4" w:space="0" w:color="000000"/>
            </w:tcBorders>
          </w:tcPr>
          <w:p>
            <w:pPr>
              <w:pStyle w:val="TableParagraph"/>
              <w:spacing w:line="206" w:lineRule="exact" w:before="28"/>
              <w:ind w:right="242"/>
              <w:jc w:val="right"/>
              <w:rPr>
                <w:sz w:val="20"/>
              </w:rPr>
            </w:pPr>
            <w:r>
              <w:rPr>
                <w:spacing w:val="-5"/>
                <w:sz w:val="20"/>
              </w:rPr>
              <w:t>190</w:t>
            </w:r>
          </w:p>
        </w:tc>
        <w:tc>
          <w:tcPr>
            <w:tcW w:w="1929" w:type="dxa"/>
            <w:tcBorders>
              <w:top w:val="single" w:sz="4" w:space="0" w:color="000000"/>
              <w:bottom w:val="single" w:sz="4" w:space="0" w:color="000000"/>
              <w:right w:val="single" w:sz="12" w:space="0" w:color="000000"/>
            </w:tcBorders>
          </w:tcPr>
          <w:p>
            <w:pPr>
              <w:pStyle w:val="TableParagraph"/>
              <w:spacing w:line="206" w:lineRule="exact" w:before="28"/>
              <w:ind w:right="90"/>
              <w:jc w:val="right"/>
              <w:rPr>
                <w:sz w:val="20"/>
              </w:rPr>
            </w:pPr>
            <w:r>
              <w:rPr>
                <w:spacing w:val="-2"/>
                <w:sz w:val="20"/>
              </w:rPr>
              <w:t>18,586</w:t>
            </w:r>
          </w:p>
        </w:tc>
      </w:tr>
      <w:tr>
        <w:trPr>
          <w:trHeight w:val="260" w:hRule="atLeast"/>
        </w:trPr>
        <w:tc>
          <w:tcPr>
            <w:tcW w:w="4188" w:type="dxa"/>
            <w:tcBorders>
              <w:left w:val="single" w:sz="12" w:space="0" w:color="000000"/>
            </w:tcBorders>
          </w:tcPr>
          <w:p>
            <w:pPr>
              <w:pStyle w:val="TableParagraph"/>
              <w:spacing w:line="211" w:lineRule="exact" w:before="30"/>
              <w:ind w:left="107"/>
              <w:rPr>
                <w:b/>
                <w:sz w:val="20"/>
              </w:rPr>
            </w:pPr>
            <w:r>
              <w:rPr>
                <w:b/>
                <w:sz w:val="20"/>
              </w:rPr>
              <w:t>Total</w:t>
            </w:r>
            <w:r>
              <w:rPr>
                <w:b/>
                <w:spacing w:val="-6"/>
                <w:sz w:val="20"/>
              </w:rPr>
              <w:t> </w:t>
            </w:r>
            <w:r>
              <w:rPr>
                <w:b/>
                <w:spacing w:val="-2"/>
                <w:sz w:val="20"/>
              </w:rPr>
              <w:t>Buildings</w:t>
            </w:r>
          </w:p>
        </w:tc>
        <w:tc>
          <w:tcPr>
            <w:tcW w:w="1504" w:type="dxa"/>
            <w:tcBorders>
              <w:top w:val="single" w:sz="4" w:space="0" w:color="000000"/>
              <w:bottom w:val="single" w:sz="4" w:space="0" w:color="000000"/>
            </w:tcBorders>
          </w:tcPr>
          <w:p>
            <w:pPr>
              <w:pStyle w:val="TableParagraph"/>
              <w:spacing w:line="211" w:lineRule="exact" w:before="30"/>
              <w:ind w:right="232"/>
              <w:jc w:val="right"/>
              <w:rPr>
                <w:sz w:val="20"/>
              </w:rPr>
            </w:pPr>
            <w:r>
              <w:rPr>
                <w:spacing w:val="-2"/>
                <w:sz w:val="20"/>
              </w:rPr>
              <w:t>22,276</w:t>
            </w:r>
          </w:p>
        </w:tc>
        <w:tc>
          <w:tcPr>
            <w:tcW w:w="1143" w:type="dxa"/>
            <w:tcBorders>
              <w:top w:val="single" w:sz="4" w:space="0" w:color="000000"/>
              <w:bottom w:val="single" w:sz="4" w:space="0" w:color="000000"/>
            </w:tcBorders>
          </w:tcPr>
          <w:p>
            <w:pPr>
              <w:pStyle w:val="TableParagraph"/>
              <w:spacing w:line="211" w:lineRule="exact" w:before="30"/>
              <w:ind w:right="112"/>
              <w:jc w:val="right"/>
              <w:rPr>
                <w:sz w:val="20"/>
              </w:rPr>
            </w:pPr>
            <w:r>
              <w:rPr>
                <w:spacing w:val="-2"/>
                <w:sz w:val="20"/>
              </w:rPr>
              <w:t>1,000</w:t>
            </w:r>
          </w:p>
        </w:tc>
        <w:tc>
          <w:tcPr>
            <w:tcW w:w="1112" w:type="dxa"/>
            <w:tcBorders>
              <w:top w:val="single" w:sz="4" w:space="0" w:color="000000"/>
              <w:bottom w:val="single" w:sz="4" w:space="0" w:color="000000"/>
            </w:tcBorders>
          </w:tcPr>
          <w:p>
            <w:pPr>
              <w:pStyle w:val="TableParagraph"/>
              <w:spacing w:line="211" w:lineRule="exact" w:before="30"/>
              <w:ind w:right="125"/>
              <w:jc w:val="right"/>
              <w:rPr>
                <w:sz w:val="20"/>
              </w:rPr>
            </w:pPr>
            <w:r>
              <w:rPr>
                <w:spacing w:val="-2"/>
                <w:sz w:val="20"/>
              </w:rPr>
              <w:t>16,629</w:t>
            </w:r>
          </w:p>
        </w:tc>
        <w:tc>
          <w:tcPr>
            <w:tcW w:w="1118" w:type="dxa"/>
            <w:tcBorders>
              <w:top w:val="single" w:sz="8" w:space="0" w:color="000000"/>
              <w:bottom w:val="single" w:sz="4" w:space="0" w:color="000000"/>
              <w:right w:val="single" w:sz="4" w:space="0" w:color="000000"/>
            </w:tcBorders>
          </w:tcPr>
          <w:p>
            <w:pPr>
              <w:pStyle w:val="TableParagraph"/>
              <w:spacing w:line="211" w:lineRule="exact" w:before="30"/>
              <w:ind w:right="90"/>
              <w:jc w:val="right"/>
              <w:rPr>
                <w:sz w:val="20"/>
              </w:rPr>
            </w:pPr>
            <w:r>
              <w:rPr>
                <w:spacing w:val="-2"/>
                <w:sz w:val="20"/>
              </w:rPr>
              <w:t>4,647</w:t>
            </w:r>
          </w:p>
        </w:tc>
        <w:tc>
          <w:tcPr>
            <w:tcW w:w="1420" w:type="dxa"/>
            <w:tcBorders>
              <w:top w:val="single" w:sz="4" w:space="0" w:color="000000"/>
              <w:left w:val="single" w:sz="4" w:space="0" w:color="000000"/>
              <w:bottom w:val="single" w:sz="4" w:space="0" w:color="000000"/>
            </w:tcBorders>
          </w:tcPr>
          <w:p>
            <w:pPr>
              <w:pStyle w:val="TableParagraph"/>
              <w:spacing w:line="211" w:lineRule="exact" w:before="30"/>
              <w:ind w:right="232"/>
              <w:jc w:val="right"/>
              <w:rPr>
                <w:sz w:val="20"/>
              </w:rPr>
            </w:pPr>
            <w:r>
              <w:rPr>
                <w:spacing w:val="-2"/>
                <w:sz w:val="20"/>
              </w:rPr>
              <w:t>22,276</w:t>
            </w:r>
          </w:p>
        </w:tc>
        <w:tc>
          <w:tcPr>
            <w:tcW w:w="1290" w:type="dxa"/>
            <w:tcBorders>
              <w:top w:val="single" w:sz="4" w:space="0" w:color="000000"/>
              <w:bottom w:val="single" w:sz="4" w:space="0" w:color="000000"/>
            </w:tcBorders>
          </w:tcPr>
          <w:p>
            <w:pPr>
              <w:pStyle w:val="TableParagraph"/>
              <w:spacing w:line="211" w:lineRule="exact" w:before="30"/>
              <w:ind w:right="108"/>
              <w:jc w:val="right"/>
              <w:rPr>
                <w:sz w:val="20"/>
              </w:rPr>
            </w:pPr>
            <w:r>
              <w:rPr>
                <w:spacing w:val="-2"/>
                <w:sz w:val="20"/>
              </w:rPr>
              <w:t>3,500</w:t>
            </w:r>
          </w:p>
        </w:tc>
        <w:tc>
          <w:tcPr>
            <w:tcW w:w="1696" w:type="dxa"/>
            <w:tcBorders>
              <w:top w:val="single" w:sz="4" w:space="0" w:color="000000"/>
              <w:bottom w:val="single" w:sz="4" w:space="0" w:color="000000"/>
            </w:tcBorders>
          </w:tcPr>
          <w:p>
            <w:pPr>
              <w:pStyle w:val="TableParagraph"/>
              <w:spacing w:line="211" w:lineRule="exact" w:before="30"/>
              <w:ind w:right="242"/>
              <w:jc w:val="right"/>
              <w:rPr>
                <w:sz w:val="20"/>
              </w:rPr>
            </w:pPr>
            <w:r>
              <w:rPr>
                <w:spacing w:val="-5"/>
                <w:sz w:val="20"/>
              </w:rPr>
              <w:t>190</w:t>
            </w:r>
          </w:p>
        </w:tc>
        <w:tc>
          <w:tcPr>
            <w:tcW w:w="1929" w:type="dxa"/>
            <w:tcBorders>
              <w:top w:val="single" w:sz="4" w:space="0" w:color="000000"/>
              <w:bottom w:val="single" w:sz="4" w:space="0" w:color="000000"/>
              <w:right w:val="single" w:sz="12" w:space="0" w:color="000000"/>
            </w:tcBorders>
          </w:tcPr>
          <w:p>
            <w:pPr>
              <w:pStyle w:val="TableParagraph"/>
              <w:spacing w:line="211" w:lineRule="exact" w:before="30"/>
              <w:ind w:right="90"/>
              <w:jc w:val="right"/>
              <w:rPr>
                <w:sz w:val="20"/>
              </w:rPr>
            </w:pPr>
            <w:r>
              <w:rPr>
                <w:spacing w:val="-2"/>
                <w:sz w:val="20"/>
              </w:rPr>
              <w:t>18,586</w:t>
            </w:r>
          </w:p>
        </w:tc>
      </w:tr>
      <w:tr>
        <w:trPr>
          <w:trHeight w:val="254" w:hRule="atLeast"/>
        </w:trPr>
        <w:tc>
          <w:tcPr>
            <w:tcW w:w="4188" w:type="dxa"/>
            <w:tcBorders>
              <w:left w:val="single" w:sz="12" w:space="0" w:color="000000"/>
            </w:tcBorders>
          </w:tcPr>
          <w:p>
            <w:pPr>
              <w:pStyle w:val="TableParagraph"/>
              <w:spacing w:line="211" w:lineRule="exact" w:before="23"/>
              <w:ind w:left="107"/>
              <w:rPr>
                <w:b/>
                <w:sz w:val="20"/>
              </w:rPr>
            </w:pPr>
            <w:r>
              <w:rPr>
                <w:b/>
                <w:sz w:val="20"/>
              </w:rPr>
              <w:t>Total</w:t>
            </w:r>
            <w:r>
              <w:rPr>
                <w:b/>
                <w:spacing w:val="-6"/>
                <w:sz w:val="20"/>
              </w:rPr>
              <w:t> </w:t>
            </w:r>
            <w:r>
              <w:rPr>
                <w:b/>
                <w:spacing w:val="-2"/>
                <w:sz w:val="20"/>
              </w:rPr>
              <w:t>Property</w:t>
            </w:r>
          </w:p>
        </w:tc>
        <w:tc>
          <w:tcPr>
            <w:tcW w:w="1504" w:type="dxa"/>
            <w:tcBorders>
              <w:top w:val="single" w:sz="4" w:space="0" w:color="000000"/>
              <w:bottom w:val="single" w:sz="4" w:space="0" w:color="000000"/>
            </w:tcBorders>
          </w:tcPr>
          <w:p>
            <w:pPr>
              <w:pStyle w:val="TableParagraph"/>
              <w:spacing w:line="211" w:lineRule="exact" w:before="23"/>
              <w:ind w:right="232"/>
              <w:jc w:val="right"/>
              <w:rPr>
                <w:b/>
                <w:sz w:val="20"/>
              </w:rPr>
            </w:pPr>
            <w:r>
              <w:rPr>
                <w:b/>
                <w:spacing w:val="-2"/>
                <w:sz w:val="20"/>
              </w:rPr>
              <w:t>22,276</w:t>
            </w:r>
          </w:p>
        </w:tc>
        <w:tc>
          <w:tcPr>
            <w:tcW w:w="1143" w:type="dxa"/>
            <w:tcBorders>
              <w:top w:val="single" w:sz="4" w:space="0" w:color="000000"/>
              <w:bottom w:val="single" w:sz="4" w:space="0" w:color="000000"/>
            </w:tcBorders>
          </w:tcPr>
          <w:p>
            <w:pPr>
              <w:pStyle w:val="TableParagraph"/>
              <w:spacing w:line="211" w:lineRule="exact" w:before="23"/>
              <w:ind w:right="112"/>
              <w:jc w:val="right"/>
              <w:rPr>
                <w:b/>
                <w:sz w:val="20"/>
              </w:rPr>
            </w:pPr>
            <w:r>
              <w:rPr>
                <w:b/>
                <w:spacing w:val="-2"/>
                <w:sz w:val="20"/>
              </w:rPr>
              <w:t>1,000</w:t>
            </w:r>
          </w:p>
        </w:tc>
        <w:tc>
          <w:tcPr>
            <w:tcW w:w="1112" w:type="dxa"/>
            <w:tcBorders>
              <w:top w:val="single" w:sz="4" w:space="0" w:color="000000"/>
              <w:bottom w:val="single" w:sz="4" w:space="0" w:color="000000"/>
            </w:tcBorders>
          </w:tcPr>
          <w:p>
            <w:pPr>
              <w:pStyle w:val="TableParagraph"/>
              <w:spacing w:line="211" w:lineRule="exact" w:before="23"/>
              <w:ind w:right="125"/>
              <w:jc w:val="right"/>
              <w:rPr>
                <w:b/>
                <w:sz w:val="20"/>
              </w:rPr>
            </w:pPr>
            <w:r>
              <w:rPr>
                <w:b/>
                <w:spacing w:val="-2"/>
                <w:sz w:val="20"/>
              </w:rPr>
              <w:t>16,629</w:t>
            </w:r>
          </w:p>
        </w:tc>
        <w:tc>
          <w:tcPr>
            <w:tcW w:w="1118" w:type="dxa"/>
            <w:tcBorders>
              <w:top w:val="single" w:sz="4" w:space="0" w:color="000000"/>
              <w:bottom w:val="single" w:sz="4" w:space="0" w:color="000000"/>
              <w:right w:val="single" w:sz="4" w:space="0" w:color="000000"/>
            </w:tcBorders>
          </w:tcPr>
          <w:p>
            <w:pPr>
              <w:pStyle w:val="TableParagraph"/>
              <w:spacing w:line="211" w:lineRule="exact" w:before="23"/>
              <w:ind w:right="90"/>
              <w:jc w:val="right"/>
              <w:rPr>
                <w:b/>
                <w:sz w:val="20"/>
              </w:rPr>
            </w:pPr>
            <w:r>
              <w:rPr>
                <w:b/>
                <w:spacing w:val="-2"/>
                <w:sz w:val="20"/>
              </w:rPr>
              <w:t>4,647</w:t>
            </w:r>
          </w:p>
        </w:tc>
        <w:tc>
          <w:tcPr>
            <w:tcW w:w="1420" w:type="dxa"/>
            <w:tcBorders>
              <w:top w:val="single" w:sz="4" w:space="0" w:color="000000"/>
              <w:left w:val="single" w:sz="4" w:space="0" w:color="000000"/>
              <w:bottom w:val="single" w:sz="4" w:space="0" w:color="000000"/>
            </w:tcBorders>
          </w:tcPr>
          <w:p>
            <w:pPr>
              <w:pStyle w:val="TableParagraph"/>
              <w:spacing w:line="211" w:lineRule="exact" w:before="23"/>
              <w:ind w:right="232"/>
              <w:jc w:val="right"/>
              <w:rPr>
                <w:b/>
                <w:sz w:val="20"/>
              </w:rPr>
            </w:pPr>
            <w:r>
              <w:rPr>
                <w:b/>
                <w:spacing w:val="-2"/>
                <w:sz w:val="20"/>
              </w:rPr>
              <w:t>22,276</w:t>
            </w:r>
          </w:p>
        </w:tc>
        <w:tc>
          <w:tcPr>
            <w:tcW w:w="1290" w:type="dxa"/>
            <w:tcBorders>
              <w:top w:val="single" w:sz="4" w:space="0" w:color="000000"/>
              <w:bottom w:val="single" w:sz="4" w:space="0" w:color="000000"/>
            </w:tcBorders>
          </w:tcPr>
          <w:p>
            <w:pPr>
              <w:pStyle w:val="TableParagraph"/>
              <w:spacing w:line="211" w:lineRule="exact" w:before="23"/>
              <w:ind w:right="108"/>
              <w:jc w:val="right"/>
              <w:rPr>
                <w:b/>
                <w:sz w:val="20"/>
              </w:rPr>
            </w:pPr>
            <w:r>
              <w:rPr>
                <w:b/>
                <w:spacing w:val="-2"/>
                <w:sz w:val="20"/>
              </w:rPr>
              <w:t>3,500</w:t>
            </w:r>
          </w:p>
        </w:tc>
        <w:tc>
          <w:tcPr>
            <w:tcW w:w="1696" w:type="dxa"/>
            <w:tcBorders>
              <w:top w:val="single" w:sz="4" w:space="0" w:color="000000"/>
              <w:bottom w:val="single" w:sz="4" w:space="0" w:color="000000"/>
            </w:tcBorders>
          </w:tcPr>
          <w:p>
            <w:pPr>
              <w:pStyle w:val="TableParagraph"/>
              <w:spacing w:line="211" w:lineRule="exact" w:before="23"/>
              <w:ind w:right="242"/>
              <w:jc w:val="right"/>
              <w:rPr>
                <w:b/>
                <w:sz w:val="20"/>
              </w:rPr>
            </w:pPr>
            <w:r>
              <w:rPr>
                <w:b/>
                <w:spacing w:val="-5"/>
                <w:sz w:val="20"/>
              </w:rPr>
              <w:t>190</w:t>
            </w:r>
          </w:p>
        </w:tc>
        <w:tc>
          <w:tcPr>
            <w:tcW w:w="1929" w:type="dxa"/>
            <w:tcBorders>
              <w:top w:val="single" w:sz="4" w:space="0" w:color="000000"/>
              <w:bottom w:val="single" w:sz="4" w:space="0" w:color="000000"/>
              <w:right w:val="single" w:sz="12" w:space="0" w:color="000000"/>
            </w:tcBorders>
          </w:tcPr>
          <w:p>
            <w:pPr>
              <w:pStyle w:val="TableParagraph"/>
              <w:spacing w:line="211" w:lineRule="exact" w:before="23"/>
              <w:ind w:right="90"/>
              <w:jc w:val="right"/>
              <w:rPr>
                <w:b/>
                <w:sz w:val="20"/>
              </w:rPr>
            </w:pPr>
            <w:r>
              <w:rPr>
                <w:b/>
                <w:spacing w:val="-2"/>
                <w:sz w:val="20"/>
              </w:rPr>
              <w:t>18,586</w:t>
            </w:r>
          </w:p>
        </w:tc>
      </w:tr>
      <w:tr>
        <w:trPr>
          <w:trHeight w:val="525" w:hRule="atLeast"/>
        </w:trPr>
        <w:tc>
          <w:tcPr>
            <w:tcW w:w="4188" w:type="dxa"/>
            <w:tcBorders>
              <w:left w:val="single" w:sz="12" w:space="0" w:color="000000"/>
            </w:tcBorders>
          </w:tcPr>
          <w:p>
            <w:pPr>
              <w:pStyle w:val="TableParagraph"/>
              <w:spacing w:before="4"/>
              <w:rPr>
                <w:b/>
                <w:sz w:val="24"/>
              </w:rPr>
            </w:pPr>
          </w:p>
          <w:p>
            <w:pPr>
              <w:pStyle w:val="TableParagraph"/>
              <w:spacing w:line="226" w:lineRule="exact"/>
              <w:ind w:left="107"/>
              <w:rPr>
                <w:b/>
                <w:sz w:val="20"/>
              </w:rPr>
            </w:pPr>
            <w:r>
              <w:rPr>
                <w:b/>
                <w:sz w:val="20"/>
              </w:rPr>
              <w:t>Plant</w:t>
            </w:r>
            <w:r>
              <w:rPr>
                <w:b/>
                <w:spacing w:val="-5"/>
                <w:sz w:val="20"/>
              </w:rPr>
              <w:t> </w:t>
            </w:r>
            <w:r>
              <w:rPr>
                <w:b/>
                <w:sz w:val="20"/>
              </w:rPr>
              <w:t>and</w:t>
            </w:r>
            <w:r>
              <w:rPr>
                <w:b/>
                <w:spacing w:val="-4"/>
                <w:sz w:val="20"/>
              </w:rPr>
              <w:t> </w:t>
            </w:r>
            <w:r>
              <w:rPr>
                <w:b/>
                <w:spacing w:val="-2"/>
                <w:sz w:val="20"/>
              </w:rPr>
              <w:t>Equipment</w:t>
            </w:r>
          </w:p>
        </w:tc>
        <w:tc>
          <w:tcPr>
            <w:tcW w:w="1504" w:type="dxa"/>
            <w:tcBorders>
              <w:top w:val="single" w:sz="4" w:space="0" w:color="000000"/>
            </w:tcBorders>
          </w:tcPr>
          <w:p>
            <w:pPr>
              <w:pStyle w:val="TableParagraph"/>
              <w:rPr>
                <w:rFonts w:ascii="Times New Roman"/>
                <w:sz w:val="20"/>
              </w:rPr>
            </w:pPr>
          </w:p>
        </w:tc>
        <w:tc>
          <w:tcPr>
            <w:tcW w:w="1143" w:type="dxa"/>
            <w:tcBorders>
              <w:top w:val="single" w:sz="4" w:space="0" w:color="000000"/>
            </w:tcBorders>
          </w:tcPr>
          <w:p>
            <w:pPr>
              <w:pStyle w:val="TableParagraph"/>
              <w:rPr>
                <w:rFonts w:ascii="Times New Roman"/>
                <w:sz w:val="20"/>
              </w:rPr>
            </w:pPr>
          </w:p>
        </w:tc>
        <w:tc>
          <w:tcPr>
            <w:tcW w:w="1112" w:type="dxa"/>
            <w:tcBorders>
              <w:top w:val="single" w:sz="4" w:space="0" w:color="000000"/>
            </w:tcBorders>
          </w:tcPr>
          <w:p>
            <w:pPr>
              <w:pStyle w:val="TableParagraph"/>
              <w:rPr>
                <w:rFonts w:ascii="Times New Roman"/>
                <w:sz w:val="20"/>
              </w:rPr>
            </w:pPr>
          </w:p>
        </w:tc>
        <w:tc>
          <w:tcPr>
            <w:tcW w:w="1118" w:type="dxa"/>
            <w:tcBorders>
              <w:top w:val="single" w:sz="4" w:space="0" w:color="000000"/>
              <w:right w:val="single" w:sz="4" w:space="0" w:color="000000"/>
            </w:tcBorders>
          </w:tcPr>
          <w:p>
            <w:pPr>
              <w:pStyle w:val="TableParagraph"/>
              <w:rPr>
                <w:rFonts w:ascii="Times New Roman"/>
                <w:sz w:val="20"/>
              </w:rPr>
            </w:pPr>
          </w:p>
        </w:tc>
        <w:tc>
          <w:tcPr>
            <w:tcW w:w="1420" w:type="dxa"/>
            <w:tcBorders>
              <w:top w:val="single" w:sz="4" w:space="0" w:color="000000"/>
              <w:left w:val="single" w:sz="4" w:space="0" w:color="000000"/>
            </w:tcBorders>
          </w:tcPr>
          <w:p>
            <w:pPr>
              <w:pStyle w:val="TableParagraph"/>
              <w:rPr>
                <w:rFonts w:ascii="Times New Roman"/>
                <w:sz w:val="20"/>
              </w:rPr>
            </w:pPr>
          </w:p>
        </w:tc>
        <w:tc>
          <w:tcPr>
            <w:tcW w:w="1290" w:type="dxa"/>
            <w:tcBorders>
              <w:top w:val="single" w:sz="4" w:space="0" w:color="000000"/>
            </w:tcBorders>
          </w:tcPr>
          <w:p>
            <w:pPr>
              <w:pStyle w:val="TableParagraph"/>
              <w:rPr>
                <w:rFonts w:ascii="Times New Roman"/>
                <w:sz w:val="20"/>
              </w:rPr>
            </w:pPr>
          </w:p>
        </w:tc>
        <w:tc>
          <w:tcPr>
            <w:tcW w:w="1696" w:type="dxa"/>
            <w:tcBorders>
              <w:top w:val="single" w:sz="4" w:space="0" w:color="000000"/>
            </w:tcBorders>
          </w:tcPr>
          <w:p>
            <w:pPr>
              <w:pStyle w:val="TableParagraph"/>
              <w:rPr>
                <w:rFonts w:ascii="Times New Roman"/>
                <w:sz w:val="20"/>
              </w:rPr>
            </w:pPr>
          </w:p>
        </w:tc>
        <w:tc>
          <w:tcPr>
            <w:tcW w:w="1929" w:type="dxa"/>
            <w:tcBorders>
              <w:top w:val="single" w:sz="4" w:space="0" w:color="000000"/>
              <w:right w:val="single" w:sz="12" w:space="0" w:color="000000"/>
            </w:tcBorders>
          </w:tcPr>
          <w:p>
            <w:pPr>
              <w:pStyle w:val="TableParagraph"/>
              <w:rPr>
                <w:rFonts w:ascii="Times New Roman"/>
                <w:sz w:val="20"/>
              </w:rPr>
            </w:pPr>
          </w:p>
        </w:tc>
      </w:tr>
      <w:tr>
        <w:trPr>
          <w:trHeight w:val="254" w:hRule="atLeast"/>
        </w:trPr>
        <w:tc>
          <w:tcPr>
            <w:tcW w:w="4188" w:type="dxa"/>
            <w:tcBorders>
              <w:left w:val="single" w:sz="12" w:space="0" w:color="000000"/>
            </w:tcBorders>
          </w:tcPr>
          <w:p>
            <w:pPr>
              <w:pStyle w:val="TableParagraph"/>
              <w:spacing w:line="226" w:lineRule="exact" w:before="8"/>
              <w:ind w:left="107"/>
              <w:rPr>
                <w:sz w:val="20"/>
              </w:rPr>
            </w:pPr>
            <w:r>
              <w:rPr>
                <w:sz w:val="20"/>
              </w:rPr>
              <w:t>Plant,</w:t>
            </w:r>
            <w:r>
              <w:rPr>
                <w:spacing w:val="-4"/>
                <w:sz w:val="20"/>
              </w:rPr>
              <w:t> </w:t>
            </w:r>
            <w:r>
              <w:rPr>
                <w:sz w:val="20"/>
              </w:rPr>
              <w:t>machinery,</w:t>
            </w:r>
            <w:r>
              <w:rPr>
                <w:spacing w:val="-8"/>
                <w:sz w:val="20"/>
              </w:rPr>
              <w:t> </w:t>
            </w:r>
            <w:r>
              <w:rPr>
                <w:sz w:val="20"/>
              </w:rPr>
              <w:t>and</w:t>
            </w:r>
            <w:r>
              <w:rPr>
                <w:spacing w:val="-4"/>
                <w:sz w:val="20"/>
              </w:rPr>
              <w:t> </w:t>
            </w:r>
            <w:r>
              <w:rPr>
                <w:spacing w:val="-2"/>
                <w:sz w:val="20"/>
              </w:rPr>
              <w:t>equipment</w:t>
            </w:r>
          </w:p>
        </w:tc>
        <w:tc>
          <w:tcPr>
            <w:tcW w:w="1504" w:type="dxa"/>
          </w:tcPr>
          <w:p>
            <w:pPr>
              <w:pStyle w:val="TableParagraph"/>
              <w:spacing w:line="226" w:lineRule="exact" w:before="8"/>
              <w:ind w:right="231"/>
              <w:jc w:val="right"/>
              <w:rPr>
                <w:sz w:val="20"/>
              </w:rPr>
            </w:pPr>
            <w:r>
              <w:rPr>
                <w:spacing w:val="-2"/>
                <w:sz w:val="20"/>
              </w:rPr>
              <w:t>1,257</w:t>
            </w:r>
          </w:p>
        </w:tc>
        <w:tc>
          <w:tcPr>
            <w:tcW w:w="1143" w:type="dxa"/>
          </w:tcPr>
          <w:p>
            <w:pPr>
              <w:pStyle w:val="TableParagraph"/>
              <w:spacing w:line="226" w:lineRule="exact" w:before="8"/>
              <w:ind w:right="110"/>
              <w:jc w:val="right"/>
              <w:rPr>
                <w:sz w:val="20"/>
              </w:rPr>
            </w:pPr>
            <w:r>
              <w:rPr>
                <w:w w:val="99"/>
                <w:sz w:val="20"/>
              </w:rPr>
              <w:t>0</w:t>
            </w:r>
          </w:p>
        </w:tc>
        <w:tc>
          <w:tcPr>
            <w:tcW w:w="1112" w:type="dxa"/>
          </w:tcPr>
          <w:p>
            <w:pPr>
              <w:pStyle w:val="TableParagraph"/>
              <w:spacing w:line="226" w:lineRule="exact" w:before="8"/>
              <w:ind w:right="126"/>
              <w:jc w:val="right"/>
              <w:rPr>
                <w:sz w:val="20"/>
              </w:rPr>
            </w:pPr>
            <w:r>
              <w:rPr>
                <w:spacing w:val="-2"/>
                <w:sz w:val="20"/>
              </w:rPr>
              <w:t>1,257</w:t>
            </w:r>
          </w:p>
        </w:tc>
        <w:tc>
          <w:tcPr>
            <w:tcW w:w="1118" w:type="dxa"/>
            <w:tcBorders>
              <w:right w:val="single" w:sz="4" w:space="0" w:color="000000"/>
            </w:tcBorders>
          </w:tcPr>
          <w:p>
            <w:pPr>
              <w:pStyle w:val="TableParagraph"/>
              <w:spacing w:line="226" w:lineRule="exact" w:before="8"/>
              <w:ind w:right="88"/>
              <w:jc w:val="right"/>
              <w:rPr>
                <w:sz w:val="20"/>
              </w:rPr>
            </w:pPr>
            <w:r>
              <w:rPr>
                <w:w w:val="99"/>
                <w:sz w:val="20"/>
              </w:rPr>
              <w:t>0</w:t>
            </w:r>
          </w:p>
        </w:tc>
        <w:tc>
          <w:tcPr>
            <w:tcW w:w="1420" w:type="dxa"/>
            <w:tcBorders>
              <w:left w:val="single" w:sz="4" w:space="0" w:color="000000"/>
            </w:tcBorders>
          </w:tcPr>
          <w:p>
            <w:pPr>
              <w:pStyle w:val="TableParagraph"/>
              <w:spacing w:line="226" w:lineRule="exact" w:before="8"/>
              <w:ind w:right="231"/>
              <w:jc w:val="right"/>
              <w:rPr>
                <w:sz w:val="20"/>
              </w:rPr>
            </w:pPr>
            <w:r>
              <w:rPr>
                <w:spacing w:val="-2"/>
                <w:sz w:val="20"/>
              </w:rPr>
              <w:t>1,257</w:t>
            </w:r>
          </w:p>
        </w:tc>
        <w:tc>
          <w:tcPr>
            <w:tcW w:w="1290" w:type="dxa"/>
          </w:tcPr>
          <w:p>
            <w:pPr>
              <w:pStyle w:val="TableParagraph"/>
              <w:spacing w:line="226" w:lineRule="exact" w:before="8"/>
              <w:ind w:right="106"/>
              <w:jc w:val="right"/>
              <w:rPr>
                <w:sz w:val="20"/>
              </w:rPr>
            </w:pPr>
            <w:r>
              <w:rPr>
                <w:w w:val="99"/>
                <w:sz w:val="20"/>
              </w:rPr>
              <w:t>0</w:t>
            </w:r>
          </w:p>
        </w:tc>
        <w:tc>
          <w:tcPr>
            <w:tcW w:w="1696" w:type="dxa"/>
          </w:tcPr>
          <w:p>
            <w:pPr>
              <w:pStyle w:val="TableParagraph"/>
              <w:spacing w:line="226" w:lineRule="exact" w:before="8"/>
              <w:ind w:right="239"/>
              <w:jc w:val="right"/>
              <w:rPr>
                <w:sz w:val="20"/>
              </w:rPr>
            </w:pPr>
            <w:r>
              <w:rPr>
                <w:w w:val="99"/>
                <w:sz w:val="20"/>
              </w:rPr>
              <w:t>0</w:t>
            </w:r>
          </w:p>
        </w:tc>
        <w:tc>
          <w:tcPr>
            <w:tcW w:w="1929" w:type="dxa"/>
            <w:tcBorders>
              <w:right w:val="single" w:sz="12" w:space="0" w:color="000000"/>
            </w:tcBorders>
          </w:tcPr>
          <w:p>
            <w:pPr>
              <w:pStyle w:val="TableParagraph"/>
              <w:spacing w:line="226" w:lineRule="exact" w:before="8"/>
              <w:ind w:right="89"/>
              <w:jc w:val="right"/>
              <w:rPr>
                <w:sz w:val="20"/>
              </w:rPr>
            </w:pPr>
            <w:r>
              <w:rPr>
                <w:spacing w:val="-2"/>
                <w:sz w:val="20"/>
              </w:rPr>
              <w:t>1,257</w:t>
            </w:r>
          </w:p>
        </w:tc>
      </w:tr>
      <w:tr>
        <w:trPr>
          <w:trHeight w:val="255" w:hRule="atLeast"/>
        </w:trPr>
        <w:tc>
          <w:tcPr>
            <w:tcW w:w="4188" w:type="dxa"/>
            <w:tcBorders>
              <w:left w:val="single" w:sz="12" w:space="0" w:color="000000"/>
            </w:tcBorders>
          </w:tcPr>
          <w:p>
            <w:pPr>
              <w:pStyle w:val="TableParagraph"/>
              <w:spacing w:line="227" w:lineRule="exact" w:before="8"/>
              <w:ind w:left="107"/>
              <w:rPr>
                <w:sz w:val="20"/>
              </w:rPr>
            </w:pPr>
            <w:r>
              <w:rPr>
                <w:sz w:val="20"/>
              </w:rPr>
              <w:t>Fixtures,</w:t>
            </w:r>
            <w:r>
              <w:rPr>
                <w:spacing w:val="-7"/>
                <w:sz w:val="20"/>
              </w:rPr>
              <w:t> </w:t>
            </w:r>
            <w:r>
              <w:rPr>
                <w:sz w:val="20"/>
              </w:rPr>
              <w:t>fittings,</w:t>
            </w:r>
            <w:r>
              <w:rPr>
                <w:spacing w:val="-6"/>
                <w:sz w:val="20"/>
              </w:rPr>
              <w:t> </w:t>
            </w:r>
            <w:r>
              <w:rPr>
                <w:sz w:val="20"/>
              </w:rPr>
              <w:t>and</w:t>
            </w:r>
            <w:r>
              <w:rPr>
                <w:spacing w:val="-7"/>
                <w:sz w:val="20"/>
              </w:rPr>
              <w:t> </w:t>
            </w:r>
            <w:r>
              <w:rPr>
                <w:spacing w:val="-2"/>
                <w:sz w:val="20"/>
              </w:rPr>
              <w:t>furniture</w:t>
            </w:r>
          </w:p>
        </w:tc>
        <w:tc>
          <w:tcPr>
            <w:tcW w:w="1504" w:type="dxa"/>
          </w:tcPr>
          <w:p>
            <w:pPr>
              <w:pStyle w:val="TableParagraph"/>
              <w:spacing w:line="227" w:lineRule="exact" w:before="8"/>
              <w:ind w:right="232"/>
              <w:jc w:val="right"/>
              <w:rPr>
                <w:sz w:val="20"/>
              </w:rPr>
            </w:pPr>
            <w:r>
              <w:rPr>
                <w:spacing w:val="-5"/>
                <w:sz w:val="20"/>
              </w:rPr>
              <w:t>809</w:t>
            </w:r>
          </w:p>
        </w:tc>
        <w:tc>
          <w:tcPr>
            <w:tcW w:w="1143" w:type="dxa"/>
          </w:tcPr>
          <w:p>
            <w:pPr>
              <w:pStyle w:val="TableParagraph"/>
              <w:spacing w:line="227" w:lineRule="exact" w:before="8"/>
              <w:ind w:right="113"/>
              <w:jc w:val="right"/>
              <w:rPr>
                <w:sz w:val="20"/>
              </w:rPr>
            </w:pPr>
            <w:r>
              <w:rPr>
                <w:spacing w:val="-5"/>
                <w:sz w:val="20"/>
              </w:rPr>
              <w:t>74</w:t>
            </w:r>
          </w:p>
        </w:tc>
        <w:tc>
          <w:tcPr>
            <w:tcW w:w="1112" w:type="dxa"/>
          </w:tcPr>
          <w:p>
            <w:pPr>
              <w:pStyle w:val="TableParagraph"/>
              <w:spacing w:line="227" w:lineRule="exact" w:before="8"/>
              <w:ind w:right="125"/>
              <w:jc w:val="right"/>
              <w:rPr>
                <w:sz w:val="20"/>
              </w:rPr>
            </w:pPr>
            <w:r>
              <w:rPr>
                <w:spacing w:val="-5"/>
                <w:sz w:val="20"/>
              </w:rPr>
              <w:t>693</w:t>
            </w:r>
          </w:p>
        </w:tc>
        <w:tc>
          <w:tcPr>
            <w:tcW w:w="1118" w:type="dxa"/>
            <w:tcBorders>
              <w:right w:val="single" w:sz="4" w:space="0" w:color="000000"/>
            </w:tcBorders>
          </w:tcPr>
          <w:p>
            <w:pPr>
              <w:pStyle w:val="TableParagraph"/>
              <w:spacing w:line="227" w:lineRule="exact" w:before="8"/>
              <w:ind w:right="92"/>
              <w:jc w:val="right"/>
              <w:rPr>
                <w:sz w:val="20"/>
              </w:rPr>
            </w:pPr>
            <w:r>
              <w:rPr>
                <w:spacing w:val="-5"/>
                <w:sz w:val="20"/>
              </w:rPr>
              <w:t>43</w:t>
            </w:r>
          </w:p>
        </w:tc>
        <w:tc>
          <w:tcPr>
            <w:tcW w:w="1420" w:type="dxa"/>
            <w:tcBorders>
              <w:left w:val="single" w:sz="4" w:space="0" w:color="000000"/>
            </w:tcBorders>
          </w:tcPr>
          <w:p>
            <w:pPr>
              <w:pStyle w:val="TableParagraph"/>
              <w:spacing w:line="227" w:lineRule="exact" w:before="8"/>
              <w:ind w:right="232"/>
              <w:jc w:val="right"/>
              <w:rPr>
                <w:sz w:val="20"/>
              </w:rPr>
            </w:pPr>
            <w:r>
              <w:rPr>
                <w:spacing w:val="-5"/>
                <w:sz w:val="20"/>
              </w:rPr>
              <w:t>809</w:t>
            </w:r>
          </w:p>
        </w:tc>
        <w:tc>
          <w:tcPr>
            <w:tcW w:w="1290" w:type="dxa"/>
          </w:tcPr>
          <w:p>
            <w:pPr>
              <w:pStyle w:val="TableParagraph"/>
              <w:spacing w:line="227" w:lineRule="exact" w:before="8"/>
              <w:ind w:right="106"/>
              <w:jc w:val="right"/>
              <w:rPr>
                <w:sz w:val="20"/>
              </w:rPr>
            </w:pPr>
            <w:r>
              <w:rPr>
                <w:w w:val="99"/>
                <w:sz w:val="20"/>
              </w:rPr>
              <w:t>0</w:t>
            </w:r>
          </w:p>
        </w:tc>
        <w:tc>
          <w:tcPr>
            <w:tcW w:w="1696" w:type="dxa"/>
          </w:tcPr>
          <w:p>
            <w:pPr>
              <w:pStyle w:val="TableParagraph"/>
              <w:spacing w:line="227" w:lineRule="exact" w:before="8"/>
              <w:ind w:right="239"/>
              <w:jc w:val="right"/>
              <w:rPr>
                <w:sz w:val="20"/>
              </w:rPr>
            </w:pPr>
            <w:r>
              <w:rPr>
                <w:w w:val="99"/>
                <w:sz w:val="20"/>
              </w:rPr>
              <w:t>0</w:t>
            </w:r>
          </w:p>
        </w:tc>
        <w:tc>
          <w:tcPr>
            <w:tcW w:w="1929" w:type="dxa"/>
            <w:tcBorders>
              <w:right w:val="single" w:sz="12" w:space="0" w:color="000000"/>
            </w:tcBorders>
          </w:tcPr>
          <w:p>
            <w:pPr>
              <w:pStyle w:val="TableParagraph"/>
              <w:spacing w:line="227" w:lineRule="exact" w:before="8"/>
              <w:ind w:right="90"/>
              <w:jc w:val="right"/>
              <w:rPr>
                <w:sz w:val="20"/>
              </w:rPr>
            </w:pPr>
            <w:r>
              <w:rPr>
                <w:spacing w:val="-5"/>
                <w:sz w:val="20"/>
              </w:rPr>
              <w:t>809</w:t>
            </w:r>
          </w:p>
        </w:tc>
      </w:tr>
      <w:tr>
        <w:trPr>
          <w:trHeight w:val="240" w:hRule="atLeast"/>
        </w:trPr>
        <w:tc>
          <w:tcPr>
            <w:tcW w:w="4188" w:type="dxa"/>
            <w:tcBorders>
              <w:left w:val="single" w:sz="12" w:space="0" w:color="000000"/>
            </w:tcBorders>
          </w:tcPr>
          <w:p>
            <w:pPr>
              <w:pStyle w:val="TableParagraph"/>
              <w:spacing w:line="211" w:lineRule="exact" w:before="10"/>
              <w:ind w:left="107"/>
              <w:rPr>
                <w:sz w:val="20"/>
              </w:rPr>
            </w:pPr>
            <w:r>
              <w:rPr>
                <w:sz w:val="20"/>
              </w:rPr>
              <w:t>Computers</w:t>
            </w:r>
            <w:r>
              <w:rPr>
                <w:spacing w:val="-6"/>
                <w:sz w:val="20"/>
              </w:rPr>
              <w:t> </w:t>
            </w:r>
            <w:r>
              <w:rPr>
                <w:sz w:val="20"/>
              </w:rPr>
              <w:t>and</w:t>
            </w:r>
            <w:r>
              <w:rPr>
                <w:spacing w:val="-8"/>
                <w:sz w:val="20"/>
              </w:rPr>
              <w:t> </w:t>
            </w:r>
            <w:r>
              <w:rPr>
                <w:spacing w:val="-2"/>
                <w:sz w:val="20"/>
              </w:rPr>
              <w:t>telecommunications</w:t>
            </w:r>
          </w:p>
        </w:tc>
        <w:tc>
          <w:tcPr>
            <w:tcW w:w="1504" w:type="dxa"/>
            <w:tcBorders>
              <w:bottom w:val="single" w:sz="4" w:space="0" w:color="000000"/>
            </w:tcBorders>
          </w:tcPr>
          <w:p>
            <w:pPr>
              <w:pStyle w:val="TableParagraph"/>
              <w:spacing w:line="211" w:lineRule="exact" w:before="10"/>
              <w:ind w:right="232"/>
              <w:jc w:val="right"/>
              <w:rPr>
                <w:sz w:val="20"/>
              </w:rPr>
            </w:pPr>
            <w:r>
              <w:rPr>
                <w:spacing w:val="-5"/>
                <w:sz w:val="20"/>
              </w:rPr>
              <w:t>326</w:t>
            </w:r>
          </w:p>
        </w:tc>
        <w:tc>
          <w:tcPr>
            <w:tcW w:w="1143" w:type="dxa"/>
            <w:tcBorders>
              <w:bottom w:val="single" w:sz="4" w:space="0" w:color="000000"/>
            </w:tcBorders>
          </w:tcPr>
          <w:p>
            <w:pPr>
              <w:pStyle w:val="TableParagraph"/>
              <w:spacing w:line="211" w:lineRule="exact" w:before="10"/>
              <w:ind w:right="113"/>
              <w:jc w:val="right"/>
              <w:rPr>
                <w:sz w:val="20"/>
              </w:rPr>
            </w:pPr>
            <w:r>
              <w:rPr>
                <w:spacing w:val="-5"/>
                <w:sz w:val="20"/>
              </w:rPr>
              <w:t>98</w:t>
            </w:r>
          </w:p>
        </w:tc>
        <w:tc>
          <w:tcPr>
            <w:tcW w:w="1112" w:type="dxa"/>
            <w:tcBorders>
              <w:bottom w:val="single" w:sz="4" w:space="0" w:color="000000"/>
            </w:tcBorders>
          </w:tcPr>
          <w:p>
            <w:pPr>
              <w:pStyle w:val="TableParagraph"/>
              <w:spacing w:line="211" w:lineRule="exact" w:before="10"/>
              <w:ind w:right="125"/>
              <w:jc w:val="right"/>
              <w:rPr>
                <w:sz w:val="20"/>
              </w:rPr>
            </w:pPr>
            <w:r>
              <w:rPr>
                <w:spacing w:val="-5"/>
                <w:sz w:val="20"/>
              </w:rPr>
              <w:t>163</w:t>
            </w:r>
          </w:p>
        </w:tc>
        <w:tc>
          <w:tcPr>
            <w:tcW w:w="1118" w:type="dxa"/>
            <w:tcBorders>
              <w:bottom w:val="single" w:sz="4" w:space="0" w:color="000000"/>
              <w:right w:val="single" w:sz="4" w:space="0" w:color="000000"/>
            </w:tcBorders>
          </w:tcPr>
          <w:p>
            <w:pPr>
              <w:pStyle w:val="TableParagraph"/>
              <w:spacing w:line="211" w:lineRule="exact" w:before="10"/>
              <w:ind w:right="92"/>
              <w:jc w:val="right"/>
              <w:rPr>
                <w:sz w:val="20"/>
              </w:rPr>
            </w:pPr>
            <w:r>
              <w:rPr>
                <w:spacing w:val="-5"/>
                <w:sz w:val="20"/>
              </w:rPr>
              <w:t>65</w:t>
            </w:r>
          </w:p>
        </w:tc>
        <w:tc>
          <w:tcPr>
            <w:tcW w:w="1420" w:type="dxa"/>
            <w:tcBorders>
              <w:left w:val="single" w:sz="4" w:space="0" w:color="000000"/>
              <w:bottom w:val="single" w:sz="4" w:space="0" w:color="000000"/>
            </w:tcBorders>
          </w:tcPr>
          <w:p>
            <w:pPr>
              <w:pStyle w:val="TableParagraph"/>
              <w:spacing w:line="211" w:lineRule="exact" w:before="10"/>
              <w:ind w:right="232"/>
              <w:jc w:val="right"/>
              <w:rPr>
                <w:sz w:val="20"/>
              </w:rPr>
            </w:pPr>
            <w:r>
              <w:rPr>
                <w:spacing w:val="-5"/>
                <w:sz w:val="20"/>
              </w:rPr>
              <w:t>326</w:t>
            </w:r>
          </w:p>
        </w:tc>
        <w:tc>
          <w:tcPr>
            <w:tcW w:w="1290" w:type="dxa"/>
            <w:tcBorders>
              <w:bottom w:val="single" w:sz="4" w:space="0" w:color="000000"/>
            </w:tcBorders>
          </w:tcPr>
          <w:p>
            <w:pPr>
              <w:pStyle w:val="TableParagraph"/>
              <w:spacing w:line="211" w:lineRule="exact" w:before="10"/>
              <w:ind w:right="106"/>
              <w:jc w:val="right"/>
              <w:rPr>
                <w:sz w:val="20"/>
              </w:rPr>
            </w:pPr>
            <w:r>
              <w:rPr>
                <w:w w:val="99"/>
                <w:sz w:val="20"/>
              </w:rPr>
              <w:t>0</w:t>
            </w:r>
          </w:p>
        </w:tc>
        <w:tc>
          <w:tcPr>
            <w:tcW w:w="1696" w:type="dxa"/>
            <w:tcBorders>
              <w:bottom w:val="single" w:sz="4" w:space="0" w:color="000000"/>
            </w:tcBorders>
          </w:tcPr>
          <w:p>
            <w:pPr>
              <w:pStyle w:val="TableParagraph"/>
              <w:spacing w:line="211" w:lineRule="exact" w:before="10"/>
              <w:ind w:right="239"/>
              <w:jc w:val="right"/>
              <w:rPr>
                <w:sz w:val="20"/>
              </w:rPr>
            </w:pPr>
            <w:r>
              <w:rPr>
                <w:w w:val="99"/>
                <w:sz w:val="20"/>
              </w:rPr>
              <w:t>0</w:t>
            </w:r>
          </w:p>
        </w:tc>
        <w:tc>
          <w:tcPr>
            <w:tcW w:w="1929" w:type="dxa"/>
            <w:tcBorders>
              <w:bottom w:val="single" w:sz="4" w:space="0" w:color="000000"/>
              <w:right w:val="single" w:sz="12" w:space="0" w:color="000000"/>
            </w:tcBorders>
          </w:tcPr>
          <w:p>
            <w:pPr>
              <w:pStyle w:val="TableParagraph"/>
              <w:spacing w:line="211" w:lineRule="exact" w:before="10"/>
              <w:ind w:right="90"/>
              <w:jc w:val="right"/>
              <w:rPr>
                <w:sz w:val="20"/>
              </w:rPr>
            </w:pPr>
            <w:r>
              <w:rPr>
                <w:spacing w:val="-5"/>
                <w:sz w:val="20"/>
              </w:rPr>
              <w:t>326</w:t>
            </w:r>
          </w:p>
        </w:tc>
      </w:tr>
      <w:tr>
        <w:trPr>
          <w:trHeight w:val="254" w:hRule="atLeast"/>
        </w:trPr>
        <w:tc>
          <w:tcPr>
            <w:tcW w:w="4188" w:type="dxa"/>
            <w:tcBorders>
              <w:left w:val="single" w:sz="12" w:space="0" w:color="000000"/>
            </w:tcBorders>
          </w:tcPr>
          <w:p>
            <w:pPr>
              <w:pStyle w:val="TableParagraph"/>
              <w:spacing w:line="211" w:lineRule="exact" w:before="23"/>
              <w:ind w:left="107"/>
              <w:rPr>
                <w:b/>
                <w:sz w:val="20"/>
              </w:rPr>
            </w:pPr>
            <w:r>
              <w:rPr>
                <w:b/>
                <w:sz w:val="20"/>
              </w:rPr>
              <w:t>Total</w:t>
            </w:r>
            <w:r>
              <w:rPr>
                <w:b/>
                <w:spacing w:val="-6"/>
                <w:sz w:val="20"/>
              </w:rPr>
              <w:t> </w:t>
            </w:r>
            <w:r>
              <w:rPr>
                <w:b/>
                <w:sz w:val="20"/>
              </w:rPr>
              <w:t>Plant</w:t>
            </w:r>
            <w:r>
              <w:rPr>
                <w:b/>
                <w:spacing w:val="-6"/>
                <w:sz w:val="20"/>
              </w:rPr>
              <w:t> </w:t>
            </w:r>
            <w:r>
              <w:rPr>
                <w:b/>
                <w:sz w:val="20"/>
              </w:rPr>
              <w:t>and</w:t>
            </w:r>
            <w:r>
              <w:rPr>
                <w:b/>
                <w:spacing w:val="-4"/>
                <w:sz w:val="20"/>
              </w:rPr>
              <w:t> </w:t>
            </w:r>
            <w:r>
              <w:rPr>
                <w:b/>
                <w:spacing w:val="-2"/>
                <w:sz w:val="20"/>
              </w:rPr>
              <w:t>Equipment</w:t>
            </w:r>
          </w:p>
        </w:tc>
        <w:tc>
          <w:tcPr>
            <w:tcW w:w="1504" w:type="dxa"/>
            <w:tcBorders>
              <w:top w:val="single" w:sz="4" w:space="0" w:color="000000"/>
              <w:bottom w:val="single" w:sz="4" w:space="0" w:color="000000"/>
            </w:tcBorders>
          </w:tcPr>
          <w:p>
            <w:pPr>
              <w:pStyle w:val="TableParagraph"/>
              <w:spacing w:line="211" w:lineRule="exact" w:before="23"/>
              <w:ind w:right="231"/>
              <w:jc w:val="right"/>
              <w:rPr>
                <w:b/>
                <w:sz w:val="20"/>
              </w:rPr>
            </w:pPr>
            <w:r>
              <w:rPr>
                <w:b/>
                <w:spacing w:val="-2"/>
                <w:sz w:val="20"/>
              </w:rPr>
              <w:t>2,392</w:t>
            </w:r>
          </w:p>
        </w:tc>
        <w:tc>
          <w:tcPr>
            <w:tcW w:w="1143" w:type="dxa"/>
            <w:tcBorders>
              <w:top w:val="single" w:sz="4" w:space="0" w:color="000000"/>
              <w:bottom w:val="single" w:sz="4" w:space="0" w:color="000000"/>
            </w:tcBorders>
          </w:tcPr>
          <w:p>
            <w:pPr>
              <w:pStyle w:val="TableParagraph"/>
              <w:spacing w:line="211" w:lineRule="exact" w:before="23"/>
              <w:ind w:right="113"/>
              <w:jc w:val="right"/>
              <w:rPr>
                <w:b/>
                <w:sz w:val="20"/>
              </w:rPr>
            </w:pPr>
            <w:r>
              <w:rPr>
                <w:b/>
                <w:spacing w:val="-5"/>
                <w:sz w:val="20"/>
              </w:rPr>
              <w:t>171</w:t>
            </w:r>
          </w:p>
        </w:tc>
        <w:tc>
          <w:tcPr>
            <w:tcW w:w="1112" w:type="dxa"/>
            <w:tcBorders>
              <w:top w:val="single" w:sz="4" w:space="0" w:color="000000"/>
              <w:bottom w:val="single" w:sz="4" w:space="0" w:color="000000"/>
            </w:tcBorders>
          </w:tcPr>
          <w:p>
            <w:pPr>
              <w:pStyle w:val="TableParagraph"/>
              <w:spacing w:line="211" w:lineRule="exact" w:before="23"/>
              <w:ind w:right="126"/>
              <w:jc w:val="right"/>
              <w:rPr>
                <w:b/>
                <w:sz w:val="20"/>
              </w:rPr>
            </w:pPr>
            <w:r>
              <w:rPr>
                <w:b/>
                <w:spacing w:val="-2"/>
                <w:sz w:val="20"/>
              </w:rPr>
              <w:t>2,113</w:t>
            </w:r>
          </w:p>
        </w:tc>
        <w:tc>
          <w:tcPr>
            <w:tcW w:w="1118" w:type="dxa"/>
            <w:tcBorders>
              <w:top w:val="single" w:sz="4" w:space="0" w:color="000000"/>
              <w:bottom w:val="single" w:sz="4" w:space="0" w:color="000000"/>
              <w:right w:val="single" w:sz="4" w:space="0" w:color="000000"/>
            </w:tcBorders>
          </w:tcPr>
          <w:p>
            <w:pPr>
              <w:pStyle w:val="TableParagraph"/>
              <w:spacing w:line="211" w:lineRule="exact" w:before="23"/>
              <w:ind w:right="91"/>
              <w:jc w:val="right"/>
              <w:rPr>
                <w:b/>
                <w:sz w:val="20"/>
              </w:rPr>
            </w:pPr>
            <w:r>
              <w:rPr>
                <w:b/>
                <w:spacing w:val="-5"/>
                <w:sz w:val="20"/>
              </w:rPr>
              <w:t>108</w:t>
            </w:r>
          </w:p>
        </w:tc>
        <w:tc>
          <w:tcPr>
            <w:tcW w:w="1420" w:type="dxa"/>
            <w:tcBorders>
              <w:top w:val="single" w:sz="4" w:space="0" w:color="000000"/>
              <w:left w:val="single" w:sz="4" w:space="0" w:color="000000"/>
              <w:bottom w:val="single" w:sz="4" w:space="0" w:color="000000"/>
            </w:tcBorders>
          </w:tcPr>
          <w:p>
            <w:pPr>
              <w:pStyle w:val="TableParagraph"/>
              <w:spacing w:line="211" w:lineRule="exact" w:before="23"/>
              <w:ind w:right="231"/>
              <w:jc w:val="right"/>
              <w:rPr>
                <w:b/>
                <w:sz w:val="20"/>
              </w:rPr>
            </w:pPr>
            <w:r>
              <w:rPr>
                <w:b/>
                <w:spacing w:val="-2"/>
                <w:sz w:val="20"/>
              </w:rPr>
              <w:t>2,392</w:t>
            </w:r>
          </w:p>
        </w:tc>
        <w:tc>
          <w:tcPr>
            <w:tcW w:w="1290" w:type="dxa"/>
            <w:tcBorders>
              <w:top w:val="single" w:sz="4" w:space="0" w:color="000000"/>
              <w:bottom w:val="single" w:sz="4" w:space="0" w:color="000000"/>
            </w:tcBorders>
          </w:tcPr>
          <w:p>
            <w:pPr>
              <w:pStyle w:val="TableParagraph"/>
              <w:spacing w:line="211" w:lineRule="exact" w:before="23"/>
              <w:ind w:right="106"/>
              <w:jc w:val="right"/>
              <w:rPr>
                <w:b/>
                <w:sz w:val="20"/>
              </w:rPr>
            </w:pPr>
            <w:r>
              <w:rPr>
                <w:b/>
                <w:w w:val="99"/>
                <w:sz w:val="20"/>
              </w:rPr>
              <w:t>0</w:t>
            </w:r>
          </w:p>
        </w:tc>
        <w:tc>
          <w:tcPr>
            <w:tcW w:w="1696" w:type="dxa"/>
            <w:tcBorders>
              <w:top w:val="single" w:sz="4" w:space="0" w:color="000000"/>
              <w:bottom w:val="single" w:sz="4" w:space="0" w:color="000000"/>
            </w:tcBorders>
          </w:tcPr>
          <w:p>
            <w:pPr>
              <w:pStyle w:val="TableParagraph"/>
              <w:spacing w:line="211" w:lineRule="exact" w:before="23"/>
              <w:ind w:right="239"/>
              <w:jc w:val="right"/>
              <w:rPr>
                <w:b/>
                <w:sz w:val="20"/>
              </w:rPr>
            </w:pPr>
            <w:r>
              <w:rPr>
                <w:b/>
                <w:w w:val="99"/>
                <w:sz w:val="20"/>
              </w:rPr>
              <w:t>0</w:t>
            </w:r>
          </w:p>
        </w:tc>
        <w:tc>
          <w:tcPr>
            <w:tcW w:w="1929" w:type="dxa"/>
            <w:tcBorders>
              <w:top w:val="single" w:sz="4" w:space="0" w:color="000000"/>
              <w:bottom w:val="single" w:sz="4" w:space="0" w:color="000000"/>
              <w:right w:val="single" w:sz="12" w:space="0" w:color="000000"/>
            </w:tcBorders>
          </w:tcPr>
          <w:p>
            <w:pPr>
              <w:pStyle w:val="TableParagraph"/>
              <w:spacing w:line="211" w:lineRule="exact" w:before="23"/>
              <w:ind w:right="89"/>
              <w:jc w:val="right"/>
              <w:rPr>
                <w:b/>
                <w:sz w:val="20"/>
              </w:rPr>
            </w:pPr>
            <w:r>
              <w:rPr>
                <w:b/>
                <w:spacing w:val="-2"/>
                <w:sz w:val="20"/>
              </w:rPr>
              <w:t>2,392</w:t>
            </w:r>
          </w:p>
        </w:tc>
      </w:tr>
      <w:tr>
        <w:trPr>
          <w:trHeight w:val="525" w:hRule="atLeast"/>
        </w:trPr>
        <w:tc>
          <w:tcPr>
            <w:tcW w:w="4188" w:type="dxa"/>
            <w:tcBorders>
              <w:left w:val="single" w:sz="12" w:space="0" w:color="000000"/>
            </w:tcBorders>
          </w:tcPr>
          <w:p>
            <w:pPr>
              <w:pStyle w:val="TableParagraph"/>
              <w:spacing w:before="4"/>
              <w:rPr>
                <w:b/>
                <w:sz w:val="24"/>
              </w:rPr>
            </w:pPr>
          </w:p>
          <w:p>
            <w:pPr>
              <w:pStyle w:val="TableParagraph"/>
              <w:spacing w:line="226" w:lineRule="exact"/>
              <w:ind w:left="107"/>
              <w:rPr>
                <w:b/>
                <w:sz w:val="20"/>
              </w:rPr>
            </w:pPr>
            <w:r>
              <w:rPr>
                <w:b/>
                <w:spacing w:val="-2"/>
                <w:sz w:val="20"/>
              </w:rPr>
              <w:t>Infrastructure</w:t>
            </w:r>
          </w:p>
        </w:tc>
        <w:tc>
          <w:tcPr>
            <w:tcW w:w="1504" w:type="dxa"/>
            <w:tcBorders>
              <w:top w:val="single" w:sz="4" w:space="0" w:color="000000"/>
            </w:tcBorders>
          </w:tcPr>
          <w:p>
            <w:pPr>
              <w:pStyle w:val="TableParagraph"/>
              <w:rPr>
                <w:rFonts w:ascii="Times New Roman"/>
                <w:sz w:val="20"/>
              </w:rPr>
            </w:pPr>
          </w:p>
        </w:tc>
        <w:tc>
          <w:tcPr>
            <w:tcW w:w="1143" w:type="dxa"/>
            <w:tcBorders>
              <w:top w:val="single" w:sz="4" w:space="0" w:color="000000"/>
            </w:tcBorders>
          </w:tcPr>
          <w:p>
            <w:pPr>
              <w:pStyle w:val="TableParagraph"/>
              <w:rPr>
                <w:rFonts w:ascii="Times New Roman"/>
                <w:sz w:val="20"/>
              </w:rPr>
            </w:pPr>
          </w:p>
        </w:tc>
        <w:tc>
          <w:tcPr>
            <w:tcW w:w="1112" w:type="dxa"/>
            <w:tcBorders>
              <w:top w:val="single" w:sz="4" w:space="0" w:color="000000"/>
            </w:tcBorders>
          </w:tcPr>
          <w:p>
            <w:pPr>
              <w:pStyle w:val="TableParagraph"/>
              <w:rPr>
                <w:rFonts w:ascii="Times New Roman"/>
                <w:sz w:val="20"/>
              </w:rPr>
            </w:pPr>
          </w:p>
        </w:tc>
        <w:tc>
          <w:tcPr>
            <w:tcW w:w="1118" w:type="dxa"/>
            <w:tcBorders>
              <w:top w:val="single" w:sz="4" w:space="0" w:color="000000"/>
              <w:right w:val="single" w:sz="4" w:space="0" w:color="000000"/>
            </w:tcBorders>
          </w:tcPr>
          <w:p>
            <w:pPr>
              <w:pStyle w:val="TableParagraph"/>
              <w:rPr>
                <w:rFonts w:ascii="Times New Roman"/>
                <w:sz w:val="20"/>
              </w:rPr>
            </w:pPr>
          </w:p>
        </w:tc>
        <w:tc>
          <w:tcPr>
            <w:tcW w:w="1420" w:type="dxa"/>
            <w:tcBorders>
              <w:top w:val="single" w:sz="4" w:space="0" w:color="000000"/>
              <w:left w:val="single" w:sz="4" w:space="0" w:color="000000"/>
            </w:tcBorders>
          </w:tcPr>
          <w:p>
            <w:pPr>
              <w:pStyle w:val="TableParagraph"/>
              <w:rPr>
                <w:rFonts w:ascii="Times New Roman"/>
                <w:sz w:val="20"/>
              </w:rPr>
            </w:pPr>
          </w:p>
        </w:tc>
        <w:tc>
          <w:tcPr>
            <w:tcW w:w="1290" w:type="dxa"/>
            <w:tcBorders>
              <w:top w:val="single" w:sz="4" w:space="0" w:color="000000"/>
            </w:tcBorders>
          </w:tcPr>
          <w:p>
            <w:pPr>
              <w:pStyle w:val="TableParagraph"/>
              <w:rPr>
                <w:rFonts w:ascii="Times New Roman"/>
                <w:sz w:val="20"/>
              </w:rPr>
            </w:pPr>
          </w:p>
        </w:tc>
        <w:tc>
          <w:tcPr>
            <w:tcW w:w="1696" w:type="dxa"/>
            <w:tcBorders>
              <w:top w:val="single" w:sz="4" w:space="0" w:color="000000"/>
            </w:tcBorders>
          </w:tcPr>
          <w:p>
            <w:pPr>
              <w:pStyle w:val="TableParagraph"/>
              <w:rPr>
                <w:rFonts w:ascii="Times New Roman"/>
                <w:sz w:val="20"/>
              </w:rPr>
            </w:pPr>
          </w:p>
        </w:tc>
        <w:tc>
          <w:tcPr>
            <w:tcW w:w="1929" w:type="dxa"/>
            <w:tcBorders>
              <w:top w:val="single" w:sz="4" w:space="0" w:color="000000"/>
              <w:right w:val="single" w:sz="12" w:space="0" w:color="000000"/>
            </w:tcBorders>
          </w:tcPr>
          <w:p>
            <w:pPr>
              <w:pStyle w:val="TableParagraph"/>
              <w:rPr>
                <w:rFonts w:ascii="Times New Roman"/>
                <w:sz w:val="20"/>
              </w:rPr>
            </w:pPr>
          </w:p>
        </w:tc>
      </w:tr>
      <w:tr>
        <w:trPr>
          <w:trHeight w:val="254" w:hRule="atLeast"/>
        </w:trPr>
        <w:tc>
          <w:tcPr>
            <w:tcW w:w="4188" w:type="dxa"/>
            <w:tcBorders>
              <w:left w:val="single" w:sz="12" w:space="0" w:color="000000"/>
            </w:tcBorders>
          </w:tcPr>
          <w:p>
            <w:pPr>
              <w:pStyle w:val="TableParagraph"/>
              <w:spacing w:line="226" w:lineRule="exact" w:before="8"/>
              <w:ind w:left="107"/>
              <w:rPr>
                <w:sz w:val="20"/>
              </w:rPr>
            </w:pPr>
            <w:r>
              <w:rPr>
                <w:spacing w:val="-2"/>
                <w:sz w:val="20"/>
              </w:rPr>
              <w:t>Roads</w:t>
            </w:r>
          </w:p>
        </w:tc>
        <w:tc>
          <w:tcPr>
            <w:tcW w:w="1504" w:type="dxa"/>
          </w:tcPr>
          <w:p>
            <w:pPr>
              <w:pStyle w:val="TableParagraph"/>
              <w:spacing w:line="226" w:lineRule="exact" w:before="8"/>
              <w:ind w:right="231"/>
              <w:jc w:val="right"/>
              <w:rPr>
                <w:sz w:val="20"/>
              </w:rPr>
            </w:pPr>
            <w:r>
              <w:rPr>
                <w:spacing w:val="-2"/>
                <w:sz w:val="20"/>
              </w:rPr>
              <w:t>5,752</w:t>
            </w:r>
          </w:p>
        </w:tc>
        <w:tc>
          <w:tcPr>
            <w:tcW w:w="1143" w:type="dxa"/>
          </w:tcPr>
          <w:p>
            <w:pPr>
              <w:pStyle w:val="TableParagraph"/>
              <w:spacing w:line="226" w:lineRule="exact" w:before="8"/>
              <w:ind w:right="113"/>
              <w:jc w:val="right"/>
              <w:rPr>
                <w:sz w:val="20"/>
              </w:rPr>
            </w:pPr>
            <w:r>
              <w:rPr>
                <w:spacing w:val="-5"/>
                <w:sz w:val="20"/>
              </w:rPr>
              <w:t>817</w:t>
            </w:r>
          </w:p>
        </w:tc>
        <w:tc>
          <w:tcPr>
            <w:tcW w:w="1112" w:type="dxa"/>
          </w:tcPr>
          <w:p>
            <w:pPr>
              <w:pStyle w:val="TableParagraph"/>
              <w:spacing w:line="226" w:lineRule="exact" w:before="8"/>
              <w:ind w:right="126"/>
              <w:jc w:val="right"/>
              <w:rPr>
                <w:sz w:val="20"/>
              </w:rPr>
            </w:pPr>
            <w:r>
              <w:rPr>
                <w:spacing w:val="-2"/>
                <w:sz w:val="20"/>
              </w:rPr>
              <w:t>4,443</w:t>
            </w:r>
          </w:p>
        </w:tc>
        <w:tc>
          <w:tcPr>
            <w:tcW w:w="1118" w:type="dxa"/>
            <w:tcBorders>
              <w:right w:val="single" w:sz="4" w:space="0" w:color="000000"/>
            </w:tcBorders>
          </w:tcPr>
          <w:p>
            <w:pPr>
              <w:pStyle w:val="TableParagraph"/>
              <w:spacing w:line="226" w:lineRule="exact" w:before="8"/>
              <w:ind w:right="91"/>
              <w:jc w:val="right"/>
              <w:rPr>
                <w:sz w:val="20"/>
              </w:rPr>
            </w:pPr>
            <w:r>
              <w:rPr>
                <w:spacing w:val="-5"/>
                <w:sz w:val="20"/>
              </w:rPr>
              <w:t>492</w:t>
            </w:r>
          </w:p>
        </w:tc>
        <w:tc>
          <w:tcPr>
            <w:tcW w:w="1420" w:type="dxa"/>
            <w:tcBorders>
              <w:left w:val="single" w:sz="4" w:space="0" w:color="000000"/>
            </w:tcBorders>
          </w:tcPr>
          <w:p>
            <w:pPr>
              <w:pStyle w:val="TableParagraph"/>
              <w:spacing w:line="226" w:lineRule="exact" w:before="8"/>
              <w:ind w:right="231"/>
              <w:jc w:val="right"/>
              <w:rPr>
                <w:sz w:val="20"/>
              </w:rPr>
            </w:pPr>
            <w:r>
              <w:rPr>
                <w:spacing w:val="-2"/>
                <w:sz w:val="20"/>
              </w:rPr>
              <w:t>5,752</w:t>
            </w:r>
          </w:p>
        </w:tc>
        <w:tc>
          <w:tcPr>
            <w:tcW w:w="1290" w:type="dxa"/>
          </w:tcPr>
          <w:p>
            <w:pPr>
              <w:pStyle w:val="TableParagraph"/>
              <w:spacing w:line="226" w:lineRule="exact" w:before="8"/>
              <w:ind w:right="108"/>
              <w:jc w:val="right"/>
              <w:rPr>
                <w:sz w:val="20"/>
              </w:rPr>
            </w:pPr>
            <w:r>
              <w:rPr>
                <w:spacing w:val="-2"/>
                <w:sz w:val="20"/>
              </w:rPr>
              <w:t>1,834</w:t>
            </w:r>
          </w:p>
        </w:tc>
        <w:tc>
          <w:tcPr>
            <w:tcW w:w="1696" w:type="dxa"/>
          </w:tcPr>
          <w:p>
            <w:pPr>
              <w:pStyle w:val="TableParagraph"/>
              <w:spacing w:line="226" w:lineRule="exact" w:before="8"/>
              <w:ind w:right="239"/>
              <w:jc w:val="right"/>
              <w:rPr>
                <w:sz w:val="20"/>
              </w:rPr>
            </w:pPr>
            <w:r>
              <w:rPr>
                <w:w w:val="99"/>
                <w:sz w:val="20"/>
              </w:rPr>
              <w:t>0</w:t>
            </w:r>
          </w:p>
        </w:tc>
        <w:tc>
          <w:tcPr>
            <w:tcW w:w="1929" w:type="dxa"/>
            <w:tcBorders>
              <w:right w:val="single" w:sz="12" w:space="0" w:color="000000"/>
            </w:tcBorders>
          </w:tcPr>
          <w:p>
            <w:pPr>
              <w:pStyle w:val="TableParagraph"/>
              <w:spacing w:line="226" w:lineRule="exact" w:before="8"/>
              <w:ind w:right="89"/>
              <w:jc w:val="right"/>
              <w:rPr>
                <w:sz w:val="20"/>
              </w:rPr>
            </w:pPr>
            <w:r>
              <w:rPr>
                <w:spacing w:val="-2"/>
                <w:sz w:val="20"/>
              </w:rPr>
              <w:t>3,918</w:t>
            </w:r>
          </w:p>
        </w:tc>
      </w:tr>
      <w:tr>
        <w:trPr>
          <w:trHeight w:val="254" w:hRule="atLeast"/>
        </w:trPr>
        <w:tc>
          <w:tcPr>
            <w:tcW w:w="4188" w:type="dxa"/>
            <w:tcBorders>
              <w:left w:val="single" w:sz="12" w:space="0" w:color="000000"/>
            </w:tcBorders>
          </w:tcPr>
          <w:p>
            <w:pPr>
              <w:pStyle w:val="TableParagraph"/>
              <w:spacing w:line="226" w:lineRule="exact" w:before="8"/>
              <w:ind w:left="107"/>
              <w:rPr>
                <w:sz w:val="20"/>
              </w:rPr>
            </w:pPr>
            <w:r>
              <w:rPr>
                <w:sz w:val="20"/>
              </w:rPr>
              <w:t>Footpaths</w:t>
            </w:r>
            <w:r>
              <w:rPr>
                <w:spacing w:val="-7"/>
                <w:sz w:val="20"/>
              </w:rPr>
              <w:t> </w:t>
            </w:r>
            <w:r>
              <w:rPr>
                <w:sz w:val="20"/>
              </w:rPr>
              <w:t>and</w:t>
            </w:r>
            <w:r>
              <w:rPr>
                <w:spacing w:val="-9"/>
                <w:sz w:val="20"/>
              </w:rPr>
              <w:t> </w:t>
            </w:r>
            <w:r>
              <w:rPr>
                <w:spacing w:val="-2"/>
                <w:sz w:val="20"/>
              </w:rPr>
              <w:t>cycleways</w:t>
            </w:r>
          </w:p>
        </w:tc>
        <w:tc>
          <w:tcPr>
            <w:tcW w:w="1504" w:type="dxa"/>
          </w:tcPr>
          <w:p>
            <w:pPr>
              <w:pStyle w:val="TableParagraph"/>
              <w:spacing w:line="226" w:lineRule="exact" w:before="8"/>
              <w:ind w:right="231"/>
              <w:jc w:val="right"/>
              <w:rPr>
                <w:sz w:val="20"/>
              </w:rPr>
            </w:pPr>
            <w:r>
              <w:rPr>
                <w:spacing w:val="-2"/>
                <w:sz w:val="20"/>
              </w:rPr>
              <w:t>4,487</w:t>
            </w:r>
          </w:p>
        </w:tc>
        <w:tc>
          <w:tcPr>
            <w:tcW w:w="1143" w:type="dxa"/>
          </w:tcPr>
          <w:p>
            <w:pPr>
              <w:pStyle w:val="TableParagraph"/>
              <w:spacing w:line="226" w:lineRule="exact" w:before="8"/>
              <w:ind w:right="112"/>
              <w:jc w:val="right"/>
              <w:rPr>
                <w:sz w:val="20"/>
              </w:rPr>
            </w:pPr>
            <w:r>
              <w:rPr>
                <w:spacing w:val="-2"/>
                <w:sz w:val="20"/>
              </w:rPr>
              <w:t>3,402</w:t>
            </w:r>
          </w:p>
        </w:tc>
        <w:tc>
          <w:tcPr>
            <w:tcW w:w="1112" w:type="dxa"/>
          </w:tcPr>
          <w:p>
            <w:pPr>
              <w:pStyle w:val="TableParagraph"/>
              <w:spacing w:line="226" w:lineRule="exact" w:before="8"/>
              <w:ind w:right="125"/>
              <w:jc w:val="right"/>
              <w:rPr>
                <w:sz w:val="20"/>
              </w:rPr>
            </w:pPr>
            <w:r>
              <w:rPr>
                <w:spacing w:val="-5"/>
                <w:sz w:val="20"/>
              </w:rPr>
              <w:t>875</w:t>
            </w:r>
          </w:p>
        </w:tc>
        <w:tc>
          <w:tcPr>
            <w:tcW w:w="1118" w:type="dxa"/>
            <w:tcBorders>
              <w:right w:val="single" w:sz="4" w:space="0" w:color="000000"/>
            </w:tcBorders>
          </w:tcPr>
          <w:p>
            <w:pPr>
              <w:pStyle w:val="TableParagraph"/>
              <w:spacing w:line="226" w:lineRule="exact" w:before="8"/>
              <w:ind w:right="91"/>
              <w:jc w:val="right"/>
              <w:rPr>
                <w:sz w:val="20"/>
              </w:rPr>
            </w:pPr>
            <w:r>
              <w:rPr>
                <w:spacing w:val="-5"/>
                <w:sz w:val="20"/>
              </w:rPr>
              <w:t>210</w:t>
            </w:r>
          </w:p>
        </w:tc>
        <w:tc>
          <w:tcPr>
            <w:tcW w:w="1420" w:type="dxa"/>
            <w:tcBorders>
              <w:left w:val="single" w:sz="4" w:space="0" w:color="000000"/>
            </w:tcBorders>
          </w:tcPr>
          <w:p>
            <w:pPr>
              <w:pStyle w:val="TableParagraph"/>
              <w:spacing w:line="226" w:lineRule="exact" w:before="8"/>
              <w:ind w:right="231"/>
              <w:jc w:val="right"/>
              <w:rPr>
                <w:sz w:val="20"/>
              </w:rPr>
            </w:pPr>
            <w:r>
              <w:rPr>
                <w:spacing w:val="-2"/>
                <w:sz w:val="20"/>
              </w:rPr>
              <w:t>4,487</w:t>
            </w:r>
          </w:p>
        </w:tc>
        <w:tc>
          <w:tcPr>
            <w:tcW w:w="1290" w:type="dxa"/>
          </w:tcPr>
          <w:p>
            <w:pPr>
              <w:pStyle w:val="TableParagraph"/>
              <w:spacing w:line="226" w:lineRule="exact" w:before="8"/>
              <w:ind w:right="108"/>
              <w:jc w:val="right"/>
              <w:rPr>
                <w:sz w:val="20"/>
              </w:rPr>
            </w:pPr>
            <w:r>
              <w:rPr>
                <w:spacing w:val="-2"/>
                <w:sz w:val="20"/>
              </w:rPr>
              <w:t>1,900</w:t>
            </w:r>
          </w:p>
        </w:tc>
        <w:tc>
          <w:tcPr>
            <w:tcW w:w="1696" w:type="dxa"/>
          </w:tcPr>
          <w:p>
            <w:pPr>
              <w:pStyle w:val="TableParagraph"/>
              <w:spacing w:line="226" w:lineRule="exact" w:before="8"/>
              <w:ind w:right="239"/>
              <w:jc w:val="right"/>
              <w:rPr>
                <w:sz w:val="20"/>
              </w:rPr>
            </w:pPr>
            <w:r>
              <w:rPr>
                <w:w w:val="99"/>
                <w:sz w:val="20"/>
              </w:rPr>
              <w:t>0</w:t>
            </w:r>
          </w:p>
        </w:tc>
        <w:tc>
          <w:tcPr>
            <w:tcW w:w="1929" w:type="dxa"/>
            <w:tcBorders>
              <w:right w:val="single" w:sz="12" w:space="0" w:color="000000"/>
            </w:tcBorders>
          </w:tcPr>
          <w:p>
            <w:pPr>
              <w:pStyle w:val="TableParagraph"/>
              <w:spacing w:line="226" w:lineRule="exact" w:before="8"/>
              <w:ind w:right="89"/>
              <w:jc w:val="right"/>
              <w:rPr>
                <w:sz w:val="20"/>
              </w:rPr>
            </w:pPr>
            <w:r>
              <w:rPr>
                <w:spacing w:val="-2"/>
                <w:sz w:val="20"/>
              </w:rPr>
              <w:t>2,587</w:t>
            </w:r>
          </w:p>
        </w:tc>
      </w:tr>
      <w:tr>
        <w:trPr>
          <w:trHeight w:val="242" w:hRule="atLeast"/>
        </w:trPr>
        <w:tc>
          <w:tcPr>
            <w:tcW w:w="4188" w:type="dxa"/>
            <w:tcBorders>
              <w:left w:val="single" w:sz="12" w:space="0" w:color="000000"/>
            </w:tcBorders>
          </w:tcPr>
          <w:p>
            <w:pPr>
              <w:pStyle w:val="TableParagraph"/>
              <w:spacing w:line="214" w:lineRule="exact" w:before="8"/>
              <w:ind w:left="107"/>
              <w:rPr>
                <w:sz w:val="20"/>
              </w:rPr>
            </w:pPr>
            <w:r>
              <w:rPr>
                <w:spacing w:val="-2"/>
                <w:sz w:val="20"/>
              </w:rPr>
              <w:t>Drainage</w:t>
            </w:r>
          </w:p>
        </w:tc>
        <w:tc>
          <w:tcPr>
            <w:tcW w:w="1504" w:type="dxa"/>
          </w:tcPr>
          <w:p>
            <w:pPr>
              <w:pStyle w:val="TableParagraph"/>
              <w:spacing w:line="214" w:lineRule="exact" w:before="8"/>
              <w:ind w:right="231"/>
              <w:jc w:val="right"/>
              <w:rPr>
                <w:sz w:val="20"/>
              </w:rPr>
            </w:pPr>
            <w:r>
              <w:rPr>
                <w:spacing w:val="-2"/>
                <w:sz w:val="20"/>
              </w:rPr>
              <w:t>3,130</w:t>
            </w:r>
          </w:p>
        </w:tc>
        <w:tc>
          <w:tcPr>
            <w:tcW w:w="1143" w:type="dxa"/>
          </w:tcPr>
          <w:p>
            <w:pPr>
              <w:pStyle w:val="TableParagraph"/>
              <w:spacing w:line="214" w:lineRule="exact" w:before="8"/>
              <w:ind w:right="110"/>
              <w:jc w:val="right"/>
              <w:rPr>
                <w:sz w:val="20"/>
              </w:rPr>
            </w:pPr>
            <w:r>
              <w:rPr>
                <w:w w:val="99"/>
                <w:sz w:val="20"/>
              </w:rPr>
              <w:t>0</w:t>
            </w:r>
          </w:p>
        </w:tc>
        <w:tc>
          <w:tcPr>
            <w:tcW w:w="1112" w:type="dxa"/>
          </w:tcPr>
          <w:p>
            <w:pPr>
              <w:pStyle w:val="TableParagraph"/>
              <w:spacing w:line="214" w:lineRule="exact" w:before="8"/>
              <w:ind w:right="126"/>
              <w:jc w:val="right"/>
              <w:rPr>
                <w:sz w:val="20"/>
              </w:rPr>
            </w:pPr>
            <w:r>
              <w:rPr>
                <w:spacing w:val="-2"/>
                <w:sz w:val="20"/>
              </w:rPr>
              <w:t>2,534</w:t>
            </w:r>
          </w:p>
        </w:tc>
        <w:tc>
          <w:tcPr>
            <w:tcW w:w="1118" w:type="dxa"/>
            <w:tcBorders>
              <w:right w:val="single" w:sz="4" w:space="0" w:color="000000"/>
            </w:tcBorders>
          </w:tcPr>
          <w:p>
            <w:pPr>
              <w:pStyle w:val="TableParagraph"/>
              <w:spacing w:line="214" w:lineRule="exact" w:before="8"/>
              <w:ind w:right="91"/>
              <w:jc w:val="right"/>
              <w:rPr>
                <w:sz w:val="20"/>
              </w:rPr>
            </w:pPr>
            <w:r>
              <w:rPr>
                <w:spacing w:val="-5"/>
                <w:sz w:val="20"/>
              </w:rPr>
              <w:t>596</w:t>
            </w:r>
          </w:p>
        </w:tc>
        <w:tc>
          <w:tcPr>
            <w:tcW w:w="1420" w:type="dxa"/>
            <w:tcBorders>
              <w:left w:val="single" w:sz="4" w:space="0" w:color="000000"/>
            </w:tcBorders>
          </w:tcPr>
          <w:p>
            <w:pPr>
              <w:pStyle w:val="TableParagraph"/>
              <w:spacing w:line="214" w:lineRule="exact" w:before="8"/>
              <w:ind w:right="231"/>
              <w:jc w:val="right"/>
              <w:rPr>
                <w:sz w:val="20"/>
              </w:rPr>
            </w:pPr>
            <w:r>
              <w:rPr>
                <w:spacing w:val="-2"/>
                <w:sz w:val="20"/>
              </w:rPr>
              <w:t>3,130</w:t>
            </w:r>
          </w:p>
        </w:tc>
        <w:tc>
          <w:tcPr>
            <w:tcW w:w="1290" w:type="dxa"/>
          </w:tcPr>
          <w:p>
            <w:pPr>
              <w:pStyle w:val="TableParagraph"/>
              <w:spacing w:line="214" w:lineRule="exact" w:before="8"/>
              <w:ind w:right="106"/>
              <w:jc w:val="right"/>
              <w:rPr>
                <w:sz w:val="20"/>
              </w:rPr>
            </w:pPr>
            <w:r>
              <w:rPr>
                <w:w w:val="99"/>
                <w:sz w:val="20"/>
              </w:rPr>
              <w:t>0</w:t>
            </w:r>
          </w:p>
        </w:tc>
        <w:tc>
          <w:tcPr>
            <w:tcW w:w="1696" w:type="dxa"/>
          </w:tcPr>
          <w:p>
            <w:pPr>
              <w:pStyle w:val="TableParagraph"/>
              <w:spacing w:line="214" w:lineRule="exact" w:before="8"/>
              <w:ind w:right="239"/>
              <w:jc w:val="right"/>
              <w:rPr>
                <w:sz w:val="20"/>
              </w:rPr>
            </w:pPr>
            <w:r>
              <w:rPr>
                <w:w w:val="99"/>
                <w:sz w:val="20"/>
              </w:rPr>
              <w:t>0</w:t>
            </w:r>
          </w:p>
        </w:tc>
        <w:tc>
          <w:tcPr>
            <w:tcW w:w="1929" w:type="dxa"/>
            <w:tcBorders>
              <w:right w:val="single" w:sz="12" w:space="0" w:color="000000"/>
            </w:tcBorders>
          </w:tcPr>
          <w:p>
            <w:pPr>
              <w:pStyle w:val="TableParagraph"/>
              <w:spacing w:line="214" w:lineRule="exact" w:before="8"/>
              <w:ind w:right="89"/>
              <w:jc w:val="right"/>
              <w:rPr>
                <w:sz w:val="20"/>
              </w:rPr>
            </w:pPr>
            <w:r>
              <w:rPr>
                <w:spacing w:val="-2"/>
                <w:sz w:val="20"/>
              </w:rPr>
              <w:t>3,130</w:t>
            </w:r>
          </w:p>
        </w:tc>
      </w:tr>
      <w:tr>
        <w:trPr>
          <w:trHeight w:val="230" w:hRule="atLeast"/>
        </w:trPr>
        <w:tc>
          <w:tcPr>
            <w:tcW w:w="4188" w:type="dxa"/>
            <w:tcBorders>
              <w:left w:val="single" w:sz="12" w:space="0" w:color="000000"/>
            </w:tcBorders>
          </w:tcPr>
          <w:p>
            <w:pPr>
              <w:pStyle w:val="TableParagraph"/>
              <w:spacing w:line="210" w:lineRule="exact"/>
              <w:ind w:left="107"/>
              <w:rPr>
                <w:sz w:val="20"/>
              </w:rPr>
            </w:pPr>
            <w:r>
              <w:rPr>
                <w:sz w:val="20"/>
              </w:rPr>
              <w:t>Recreational,</w:t>
            </w:r>
            <w:r>
              <w:rPr>
                <w:spacing w:val="-6"/>
                <w:sz w:val="20"/>
              </w:rPr>
              <w:t> </w:t>
            </w:r>
            <w:r>
              <w:rPr>
                <w:sz w:val="20"/>
              </w:rPr>
              <w:t>leisure</w:t>
            </w:r>
            <w:r>
              <w:rPr>
                <w:spacing w:val="-10"/>
                <w:sz w:val="20"/>
              </w:rPr>
              <w:t> </w:t>
            </w:r>
            <w:r>
              <w:rPr>
                <w:sz w:val="20"/>
              </w:rPr>
              <w:t>and</w:t>
            </w:r>
            <w:r>
              <w:rPr>
                <w:spacing w:val="-9"/>
                <w:sz w:val="20"/>
              </w:rPr>
              <w:t> </w:t>
            </w:r>
            <w:r>
              <w:rPr>
                <w:spacing w:val="-2"/>
                <w:sz w:val="20"/>
              </w:rPr>
              <w:t>community</w:t>
            </w:r>
          </w:p>
        </w:tc>
        <w:tc>
          <w:tcPr>
            <w:tcW w:w="1504" w:type="dxa"/>
          </w:tcPr>
          <w:p>
            <w:pPr>
              <w:pStyle w:val="TableParagraph"/>
              <w:rPr>
                <w:rFonts w:ascii="Times New Roman"/>
                <w:sz w:val="16"/>
              </w:rPr>
            </w:pPr>
          </w:p>
        </w:tc>
        <w:tc>
          <w:tcPr>
            <w:tcW w:w="1143" w:type="dxa"/>
          </w:tcPr>
          <w:p>
            <w:pPr>
              <w:pStyle w:val="TableParagraph"/>
              <w:rPr>
                <w:rFonts w:ascii="Times New Roman"/>
                <w:sz w:val="16"/>
              </w:rPr>
            </w:pPr>
          </w:p>
        </w:tc>
        <w:tc>
          <w:tcPr>
            <w:tcW w:w="1112" w:type="dxa"/>
          </w:tcPr>
          <w:p>
            <w:pPr>
              <w:pStyle w:val="TableParagraph"/>
              <w:rPr>
                <w:rFonts w:ascii="Times New Roman"/>
                <w:sz w:val="16"/>
              </w:rPr>
            </w:pPr>
          </w:p>
        </w:tc>
        <w:tc>
          <w:tcPr>
            <w:tcW w:w="1118" w:type="dxa"/>
            <w:tcBorders>
              <w:right w:val="single" w:sz="4" w:space="0" w:color="000000"/>
            </w:tcBorders>
          </w:tcPr>
          <w:p>
            <w:pPr>
              <w:pStyle w:val="TableParagraph"/>
              <w:rPr>
                <w:rFonts w:ascii="Times New Roman"/>
                <w:sz w:val="16"/>
              </w:rPr>
            </w:pPr>
          </w:p>
        </w:tc>
        <w:tc>
          <w:tcPr>
            <w:tcW w:w="1420" w:type="dxa"/>
            <w:tcBorders>
              <w:left w:val="single" w:sz="4" w:space="0" w:color="000000"/>
            </w:tcBorders>
          </w:tcPr>
          <w:p>
            <w:pPr>
              <w:pStyle w:val="TableParagraph"/>
              <w:rPr>
                <w:rFonts w:ascii="Times New Roman"/>
                <w:sz w:val="16"/>
              </w:rPr>
            </w:pPr>
          </w:p>
        </w:tc>
        <w:tc>
          <w:tcPr>
            <w:tcW w:w="1290" w:type="dxa"/>
          </w:tcPr>
          <w:p>
            <w:pPr>
              <w:pStyle w:val="TableParagraph"/>
              <w:rPr>
                <w:rFonts w:ascii="Times New Roman"/>
                <w:sz w:val="16"/>
              </w:rPr>
            </w:pPr>
          </w:p>
        </w:tc>
        <w:tc>
          <w:tcPr>
            <w:tcW w:w="1696" w:type="dxa"/>
          </w:tcPr>
          <w:p>
            <w:pPr>
              <w:pStyle w:val="TableParagraph"/>
              <w:rPr>
                <w:rFonts w:ascii="Times New Roman"/>
                <w:sz w:val="16"/>
              </w:rPr>
            </w:pPr>
          </w:p>
        </w:tc>
        <w:tc>
          <w:tcPr>
            <w:tcW w:w="1929" w:type="dxa"/>
            <w:tcBorders>
              <w:right w:val="single" w:sz="12" w:space="0" w:color="000000"/>
            </w:tcBorders>
          </w:tcPr>
          <w:p>
            <w:pPr>
              <w:pStyle w:val="TableParagraph"/>
              <w:rPr>
                <w:rFonts w:ascii="Times New Roman"/>
                <w:sz w:val="16"/>
              </w:rPr>
            </w:pPr>
          </w:p>
        </w:tc>
      </w:tr>
      <w:tr>
        <w:trPr>
          <w:trHeight w:val="242" w:hRule="atLeast"/>
        </w:trPr>
        <w:tc>
          <w:tcPr>
            <w:tcW w:w="4188" w:type="dxa"/>
            <w:tcBorders>
              <w:left w:val="single" w:sz="12" w:space="0" w:color="000000"/>
            </w:tcBorders>
          </w:tcPr>
          <w:p>
            <w:pPr>
              <w:pStyle w:val="TableParagraph"/>
              <w:spacing w:line="222" w:lineRule="exact"/>
              <w:ind w:left="107"/>
              <w:rPr>
                <w:sz w:val="20"/>
              </w:rPr>
            </w:pPr>
            <w:r>
              <w:rPr>
                <w:spacing w:val="-2"/>
                <w:sz w:val="20"/>
              </w:rPr>
              <w:t>facilities</w:t>
            </w:r>
          </w:p>
        </w:tc>
        <w:tc>
          <w:tcPr>
            <w:tcW w:w="1504" w:type="dxa"/>
          </w:tcPr>
          <w:p>
            <w:pPr>
              <w:pStyle w:val="TableParagraph"/>
              <w:spacing w:line="222" w:lineRule="exact"/>
              <w:ind w:right="231"/>
              <w:jc w:val="right"/>
              <w:rPr>
                <w:sz w:val="20"/>
              </w:rPr>
            </w:pPr>
            <w:r>
              <w:rPr>
                <w:spacing w:val="-2"/>
                <w:sz w:val="20"/>
              </w:rPr>
              <w:t>1,968</w:t>
            </w:r>
          </w:p>
        </w:tc>
        <w:tc>
          <w:tcPr>
            <w:tcW w:w="1143" w:type="dxa"/>
          </w:tcPr>
          <w:p>
            <w:pPr>
              <w:pStyle w:val="TableParagraph"/>
              <w:spacing w:line="222" w:lineRule="exact"/>
              <w:ind w:right="110"/>
              <w:jc w:val="right"/>
              <w:rPr>
                <w:sz w:val="20"/>
              </w:rPr>
            </w:pPr>
            <w:r>
              <w:rPr>
                <w:w w:val="99"/>
                <w:sz w:val="20"/>
              </w:rPr>
              <w:t>0</w:t>
            </w:r>
          </w:p>
        </w:tc>
        <w:tc>
          <w:tcPr>
            <w:tcW w:w="1112" w:type="dxa"/>
          </w:tcPr>
          <w:p>
            <w:pPr>
              <w:pStyle w:val="TableParagraph"/>
              <w:spacing w:line="222" w:lineRule="exact"/>
              <w:ind w:right="126"/>
              <w:jc w:val="right"/>
              <w:rPr>
                <w:sz w:val="20"/>
              </w:rPr>
            </w:pPr>
            <w:r>
              <w:rPr>
                <w:spacing w:val="-2"/>
                <w:sz w:val="20"/>
              </w:rPr>
              <w:t>1,694</w:t>
            </w:r>
          </w:p>
        </w:tc>
        <w:tc>
          <w:tcPr>
            <w:tcW w:w="1118" w:type="dxa"/>
            <w:tcBorders>
              <w:right w:val="single" w:sz="4" w:space="0" w:color="000000"/>
            </w:tcBorders>
          </w:tcPr>
          <w:p>
            <w:pPr>
              <w:pStyle w:val="TableParagraph"/>
              <w:spacing w:line="222" w:lineRule="exact"/>
              <w:ind w:right="91"/>
              <w:jc w:val="right"/>
              <w:rPr>
                <w:sz w:val="20"/>
              </w:rPr>
            </w:pPr>
            <w:r>
              <w:rPr>
                <w:spacing w:val="-5"/>
                <w:sz w:val="20"/>
              </w:rPr>
              <w:t>274</w:t>
            </w:r>
          </w:p>
        </w:tc>
        <w:tc>
          <w:tcPr>
            <w:tcW w:w="1420" w:type="dxa"/>
            <w:tcBorders>
              <w:left w:val="single" w:sz="4" w:space="0" w:color="000000"/>
            </w:tcBorders>
          </w:tcPr>
          <w:p>
            <w:pPr>
              <w:pStyle w:val="TableParagraph"/>
              <w:spacing w:line="222" w:lineRule="exact"/>
              <w:ind w:right="231"/>
              <w:jc w:val="right"/>
              <w:rPr>
                <w:sz w:val="20"/>
              </w:rPr>
            </w:pPr>
            <w:r>
              <w:rPr>
                <w:spacing w:val="-2"/>
                <w:sz w:val="20"/>
              </w:rPr>
              <w:t>1,968</w:t>
            </w:r>
          </w:p>
        </w:tc>
        <w:tc>
          <w:tcPr>
            <w:tcW w:w="1290" w:type="dxa"/>
          </w:tcPr>
          <w:p>
            <w:pPr>
              <w:pStyle w:val="TableParagraph"/>
              <w:spacing w:line="222" w:lineRule="exact"/>
              <w:ind w:right="106"/>
              <w:jc w:val="right"/>
              <w:rPr>
                <w:sz w:val="20"/>
              </w:rPr>
            </w:pPr>
            <w:r>
              <w:rPr>
                <w:w w:val="99"/>
                <w:sz w:val="20"/>
              </w:rPr>
              <w:t>0</w:t>
            </w:r>
          </w:p>
        </w:tc>
        <w:tc>
          <w:tcPr>
            <w:tcW w:w="1696" w:type="dxa"/>
          </w:tcPr>
          <w:p>
            <w:pPr>
              <w:pStyle w:val="TableParagraph"/>
              <w:spacing w:line="222" w:lineRule="exact"/>
              <w:ind w:right="243"/>
              <w:jc w:val="right"/>
              <w:rPr>
                <w:sz w:val="20"/>
              </w:rPr>
            </w:pPr>
            <w:r>
              <w:rPr>
                <w:spacing w:val="-5"/>
                <w:sz w:val="20"/>
              </w:rPr>
              <w:t>33</w:t>
            </w:r>
          </w:p>
        </w:tc>
        <w:tc>
          <w:tcPr>
            <w:tcW w:w="1929" w:type="dxa"/>
            <w:tcBorders>
              <w:right w:val="single" w:sz="12" w:space="0" w:color="000000"/>
            </w:tcBorders>
          </w:tcPr>
          <w:p>
            <w:pPr>
              <w:pStyle w:val="TableParagraph"/>
              <w:spacing w:line="222" w:lineRule="exact"/>
              <w:ind w:right="89"/>
              <w:jc w:val="right"/>
              <w:rPr>
                <w:sz w:val="20"/>
              </w:rPr>
            </w:pPr>
            <w:r>
              <w:rPr>
                <w:spacing w:val="-2"/>
                <w:sz w:val="20"/>
              </w:rPr>
              <w:t>1,935</w:t>
            </w:r>
          </w:p>
        </w:tc>
      </w:tr>
      <w:tr>
        <w:trPr>
          <w:trHeight w:val="255" w:hRule="atLeast"/>
        </w:trPr>
        <w:tc>
          <w:tcPr>
            <w:tcW w:w="4188" w:type="dxa"/>
            <w:tcBorders>
              <w:left w:val="single" w:sz="12" w:space="0" w:color="000000"/>
            </w:tcBorders>
          </w:tcPr>
          <w:p>
            <w:pPr>
              <w:pStyle w:val="TableParagraph"/>
              <w:spacing w:line="227" w:lineRule="exact" w:before="8"/>
              <w:ind w:left="107"/>
              <w:rPr>
                <w:sz w:val="20"/>
              </w:rPr>
            </w:pPr>
            <w:r>
              <w:rPr>
                <w:sz w:val="20"/>
              </w:rPr>
              <w:t>Waste</w:t>
            </w:r>
            <w:r>
              <w:rPr>
                <w:spacing w:val="-6"/>
                <w:sz w:val="20"/>
              </w:rPr>
              <w:t> </w:t>
            </w:r>
            <w:r>
              <w:rPr>
                <w:spacing w:val="-2"/>
                <w:sz w:val="20"/>
              </w:rPr>
              <w:t>management</w:t>
            </w:r>
          </w:p>
        </w:tc>
        <w:tc>
          <w:tcPr>
            <w:tcW w:w="1504" w:type="dxa"/>
          </w:tcPr>
          <w:p>
            <w:pPr>
              <w:pStyle w:val="TableParagraph"/>
              <w:spacing w:line="227" w:lineRule="exact" w:before="8"/>
              <w:ind w:right="232"/>
              <w:jc w:val="right"/>
              <w:rPr>
                <w:sz w:val="20"/>
              </w:rPr>
            </w:pPr>
            <w:r>
              <w:rPr>
                <w:spacing w:val="-5"/>
                <w:sz w:val="20"/>
              </w:rPr>
              <w:t>50</w:t>
            </w:r>
          </w:p>
        </w:tc>
        <w:tc>
          <w:tcPr>
            <w:tcW w:w="1143" w:type="dxa"/>
          </w:tcPr>
          <w:p>
            <w:pPr>
              <w:pStyle w:val="TableParagraph"/>
              <w:spacing w:line="227" w:lineRule="exact" w:before="8"/>
              <w:ind w:right="110"/>
              <w:jc w:val="right"/>
              <w:rPr>
                <w:sz w:val="20"/>
              </w:rPr>
            </w:pPr>
            <w:r>
              <w:rPr>
                <w:w w:val="99"/>
                <w:sz w:val="20"/>
              </w:rPr>
              <w:t>0</w:t>
            </w:r>
          </w:p>
        </w:tc>
        <w:tc>
          <w:tcPr>
            <w:tcW w:w="1112" w:type="dxa"/>
          </w:tcPr>
          <w:p>
            <w:pPr>
              <w:pStyle w:val="TableParagraph"/>
              <w:spacing w:line="227" w:lineRule="exact" w:before="8"/>
              <w:ind w:right="123"/>
              <w:jc w:val="right"/>
              <w:rPr>
                <w:sz w:val="20"/>
              </w:rPr>
            </w:pPr>
            <w:r>
              <w:rPr>
                <w:w w:val="99"/>
                <w:sz w:val="20"/>
              </w:rPr>
              <w:t>0</w:t>
            </w:r>
          </w:p>
        </w:tc>
        <w:tc>
          <w:tcPr>
            <w:tcW w:w="1118" w:type="dxa"/>
            <w:tcBorders>
              <w:right w:val="single" w:sz="4" w:space="0" w:color="000000"/>
            </w:tcBorders>
          </w:tcPr>
          <w:p>
            <w:pPr>
              <w:pStyle w:val="TableParagraph"/>
              <w:spacing w:line="227" w:lineRule="exact" w:before="8"/>
              <w:ind w:right="92"/>
              <w:jc w:val="right"/>
              <w:rPr>
                <w:sz w:val="20"/>
              </w:rPr>
            </w:pPr>
            <w:r>
              <w:rPr>
                <w:spacing w:val="-5"/>
                <w:sz w:val="20"/>
              </w:rPr>
              <w:t>50</w:t>
            </w:r>
          </w:p>
        </w:tc>
        <w:tc>
          <w:tcPr>
            <w:tcW w:w="1420" w:type="dxa"/>
            <w:tcBorders>
              <w:left w:val="single" w:sz="4" w:space="0" w:color="000000"/>
            </w:tcBorders>
          </w:tcPr>
          <w:p>
            <w:pPr>
              <w:pStyle w:val="TableParagraph"/>
              <w:spacing w:line="227" w:lineRule="exact" w:before="8"/>
              <w:ind w:right="232"/>
              <w:jc w:val="right"/>
              <w:rPr>
                <w:sz w:val="20"/>
              </w:rPr>
            </w:pPr>
            <w:r>
              <w:rPr>
                <w:spacing w:val="-5"/>
                <w:sz w:val="20"/>
              </w:rPr>
              <w:t>50</w:t>
            </w:r>
          </w:p>
        </w:tc>
        <w:tc>
          <w:tcPr>
            <w:tcW w:w="1290" w:type="dxa"/>
          </w:tcPr>
          <w:p>
            <w:pPr>
              <w:pStyle w:val="TableParagraph"/>
              <w:spacing w:line="227" w:lineRule="exact" w:before="8"/>
              <w:ind w:right="106"/>
              <w:jc w:val="right"/>
              <w:rPr>
                <w:sz w:val="20"/>
              </w:rPr>
            </w:pPr>
            <w:r>
              <w:rPr>
                <w:w w:val="99"/>
                <w:sz w:val="20"/>
              </w:rPr>
              <w:t>0</w:t>
            </w:r>
          </w:p>
        </w:tc>
        <w:tc>
          <w:tcPr>
            <w:tcW w:w="1696" w:type="dxa"/>
          </w:tcPr>
          <w:p>
            <w:pPr>
              <w:pStyle w:val="TableParagraph"/>
              <w:spacing w:line="227" w:lineRule="exact" w:before="8"/>
              <w:ind w:right="239"/>
              <w:jc w:val="right"/>
              <w:rPr>
                <w:sz w:val="20"/>
              </w:rPr>
            </w:pPr>
            <w:r>
              <w:rPr>
                <w:w w:val="99"/>
                <w:sz w:val="20"/>
              </w:rPr>
              <w:t>0</w:t>
            </w:r>
          </w:p>
        </w:tc>
        <w:tc>
          <w:tcPr>
            <w:tcW w:w="1929" w:type="dxa"/>
            <w:tcBorders>
              <w:right w:val="single" w:sz="12" w:space="0" w:color="000000"/>
            </w:tcBorders>
          </w:tcPr>
          <w:p>
            <w:pPr>
              <w:pStyle w:val="TableParagraph"/>
              <w:spacing w:line="227" w:lineRule="exact" w:before="8"/>
              <w:ind w:right="90"/>
              <w:jc w:val="right"/>
              <w:rPr>
                <w:sz w:val="20"/>
              </w:rPr>
            </w:pPr>
            <w:r>
              <w:rPr>
                <w:spacing w:val="-5"/>
                <w:sz w:val="20"/>
              </w:rPr>
              <w:t>50</w:t>
            </w:r>
          </w:p>
        </w:tc>
      </w:tr>
      <w:tr>
        <w:trPr>
          <w:trHeight w:val="255" w:hRule="atLeast"/>
        </w:trPr>
        <w:tc>
          <w:tcPr>
            <w:tcW w:w="4188" w:type="dxa"/>
            <w:tcBorders>
              <w:left w:val="single" w:sz="12" w:space="0" w:color="000000"/>
            </w:tcBorders>
          </w:tcPr>
          <w:p>
            <w:pPr>
              <w:pStyle w:val="TableParagraph"/>
              <w:spacing w:line="226" w:lineRule="exact" w:before="10"/>
              <w:ind w:left="107"/>
              <w:rPr>
                <w:sz w:val="20"/>
              </w:rPr>
            </w:pPr>
            <w:r>
              <w:rPr>
                <w:sz w:val="20"/>
              </w:rPr>
              <w:t>Parks,</w:t>
            </w:r>
            <w:r>
              <w:rPr>
                <w:spacing w:val="-6"/>
                <w:sz w:val="20"/>
              </w:rPr>
              <w:t> </w:t>
            </w:r>
            <w:r>
              <w:rPr>
                <w:sz w:val="20"/>
              </w:rPr>
              <w:t>open</w:t>
            </w:r>
            <w:r>
              <w:rPr>
                <w:spacing w:val="-7"/>
                <w:sz w:val="20"/>
              </w:rPr>
              <w:t> </w:t>
            </w:r>
            <w:r>
              <w:rPr>
                <w:sz w:val="20"/>
              </w:rPr>
              <w:t>space,</w:t>
            </w:r>
            <w:r>
              <w:rPr>
                <w:spacing w:val="-2"/>
                <w:sz w:val="20"/>
              </w:rPr>
              <w:t> </w:t>
            </w:r>
            <w:r>
              <w:rPr>
                <w:sz w:val="20"/>
              </w:rPr>
              <w:t>and</w:t>
            </w:r>
            <w:r>
              <w:rPr>
                <w:spacing w:val="-7"/>
                <w:sz w:val="20"/>
              </w:rPr>
              <w:t> </w:t>
            </w:r>
            <w:r>
              <w:rPr>
                <w:spacing w:val="-2"/>
                <w:sz w:val="20"/>
              </w:rPr>
              <w:t>streetscapes</w:t>
            </w:r>
          </w:p>
        </w:tc>
        <w:tc>
          <w:tcPr>
            <w:tcW w:w="1504" w:type="dxa"/>
          </w:tcPr>
          <w:p>
            <w:pPr>
              <w:pStyle w:val="TableParagraph"/>
              <w:spacing w:line="226" w:lineRule="exact" w:before="10"/>
              <w:ind w:right="231"/>
              <w:jc w:val="right"/>
              <w:rPr>
                <w:sz w:val="20"/>
              </w:rPr>
            </w:pPr>
            <w:r>
              <w:rPr>
                <w:spacing w:val="-2"/>
                <w:sz w:val="20"/>
              </w:rPr>
              <w:t>2,486</w:t>
            </w:r>
          </w:p>
        </w:tc>
        <w:tc>
          <w:tcPr>
            <w:tcW w:w="1143" w:type="dxa"/>
          </w:tcPr>
          <w:p>
            <w:pPr>
              <w:pStyle w:val="TableParagraph"/>
              <w:spacing w:line="226" w:lineRule="exact" w:before="10"/>
              <w:ind w:right="112"/>
              <w:jc w:val="right"/>
              <w:rPr>
                <w:sz w:val="20"/>
              </w:rPr>
            </w:pPr>
            <w:r>
              <w:rPr>
                <w:spacing w:val="-2"/>
                <w:sz w:val="20"/>
              </w:rPr>
              <w:t>1,037</w:t>
            </w:r>
          </w:p>
        </w:tc>
        <w:tc>
          <w:tcPr>
            <w:tcW w:w="1112" w:type="dxa"/>
          </w:tcPr>
          <w:p>
            <w:pPr>
              <w:pStyle w:val="TableParagraph"/>
              <w:spacing w:line="226" w:lineRule="exact" w:before="10"/>
              <w:ind w:right="125"/>
              <w:jc w:val="right"/>
              <w:rPr>
                <w:sz w:val="20"/>
              </w:rPr>
            </w:pPr>
            <w:r>
              <w:rPr>
                <w:spacing w:val="-5"/>
                <w:sz w:val="20"/>
              </w:rPr>
              <w:t>965</w:t>
            </w:r>
          </w:p>
        </w:tc>
        <w:tc>
          <w:tcPr>
            <w:tcW w:w="1118" w:type="dxa"/>
            <w:tcBorders>
              <w:right w:val="single" w:sz="4" w:space="0" w:color="000000"/>
            </w:tcBorders>
          </w:tcPr>
          <w:p>
            <w:pPr>
              <w:pStyle w:val="TableParagraph"/>
              <w:spacing w:line="226" w:lineRule="exact" w:before="10"/>
              <w:ind w:right="91"/>
              <w:jc w:val="right"/>
              <w:rPr>
                <w:sz w:val="20"/>
              </w:rPr>
            </w:pPr>
            <w:r>
              <w:rPr>
                <w:spacing w:val="-5"/>
                <w:sz w:val="20"/>
              </w:rPr>
              <w:t>484</w:t>
            </w:r>
          </w:p>
        </w:tc>
        <w:tc>
          <w:tcPr>
            <w:tcW w:w="1420" w:type="dxa"/>
            <w:tcBorders>
              <w:left w:val="single" w:sz="4" w:space="0" w:color="000000"/>
            </w:tcBorders>
          </w:tcPr>
          <w:p>
            <w:pPr>
              <w:pStyle w:val="TableParagraph"/>
              <w:spacing w:line="226" w:lineRule="exact" w:before="10"/>
              <w:ind w:right="231"/>
              <w:jc w:val="right"/>
              <w:rPr>
                <w:sz w:val="20"/>
              </w:rPr>
            </w:pPr>
            <w:r>
              <w:rPr>
                <w:spacing w:val="-2"/>
                <w:sz w:val="20"/>
              </w:rPr>
              <w:t>2,486</w:t>
            </w:r>
          </w:p>
        </w:tc>
        <w:tc>
          <w:tcPr>
            <w:tcW w:w="1290" w:type="dxa"/>
          </w:tcPr>
          <w:p>
            <w:pPr>
              <w:pStyle w:val="TableParagraph"/>
              <w:spacing w:line="226" w:lineRule="exact" w:before="10"/>
              <w:ind w:right="106"/>
              <w:jc w:val="right"/>
              <w:rPr>
                <w:sz w:val="20"/>
              </w:rPr>
            </w:pPr>
            <w:r>
              <w:rPr>
                <w:w w:val="99"/>
                <w:sz w:val="20"/>
              </w:rPr>
              <w:t>0</w:t>
            </w:r>
          </w:p>
        </w:tc>
        <w:tc>
          <w:tcPr>
            <w:tcW w:w="1696" w:type="dxa"/>
          </w:tcPr>
          <w:p>
            <w:pPr>
              <w:pStyle w:val="TableParagraph"/>
              <w:spacing w:line="226" w:lineRule="exact" w:before="10"/>
              <w:ind w:right="239"/>
              <w:jc w:val="right"/>
              <w:rPr>
                <w:sz w:val="20"/>
              </w:rPr>
            </w:pPr>
            <w:r>
              <w:rPr>
                <w:w w:val="99"/>
                <w:sz w:val="20"/>
              </w:rPr>
              <w:t>0</w:t>
            </w:r>
          </w:p>
        </w:tc>
        <w:tc>
          <w:tcPr>
            <w:tcW w:w="1929" w:type="dxa"/>
            <w:tcBorders>
              <w:right w:val="single" w:sz="12" w:space="0" w:color="000000"/>
            </w:tcBorders>
          </w:tcPr>
          <w:p>
            <w:pPr>
              <w:pStyle w:val="TableParagraph"/>
              <w:spacing w:line="226" w:lineRule="exact" w:before="10"/>
              <w:ind w:right="89"/>
              <w:jc w:val="right"/>
              <w:rPr>
                <w:sz w:val="20"/>
              </w:rPr>
            </w:pPr>
            <w:r>
              <w:rPr>
                <w:spacing w:val="-2"/>
                <w:sz w:val="20"/>
              </w:rPr>
              <w:t>2,486</w:t>
            </w:r>
          </w:p>
        </w:tc>
      </w:tr>
      <w:tr>
        <w:trPr>
          <w:trHeight w:val="254" w:hRule="atLeast"/>
        </w:trPr>
        <w:tc>
          <w:tcPr>
            <w:tcW w:w="4188" w:type="dxa"/>
            <w:tcBorders>
              <w:left w:val="single" w:sz="12" w:space="0" w:color="000000"/>
            </w:tcBorders>
          </w:tcPr>
          <w:p>
            <w:pPr>
              <w:pStyle w:val="TableParagraph"/>
              <w:spacing w:line="226" w:lineRule="exact" w:before="8"/>
              <w:ind w:left="107"/>
              <w:rPr>
                <w:sz w:val="20"/>
              </w:rPr>
            </w:pPr>
            <w:r>
              <w:rPr>
                <w:sz w:val="20"/>
              </w:rPr>
              <w:t>Off</w:t>
            </w:r>
            <w:r>
              <w:rPr>
                <w:spacing w:val="-5"/>
                <w:sz w:val="20"/>
              </w:rPr>
              <w:t> </w:t>
            </w:r>
            <w:r>
              <w:rPr>
                <w:sz w:val="20"/>
              </w:rPr>
              <w:t>street</w:t>
            </w:r>
            <w:r>
              <w:rPr>
                <w:spacing w:val="-5"/>
                <w:sz w:val="20"/>
              </w:rPr>
              <w:t> </w:t>
            </w:r>
            <w:r>
              <w:rPr>
                <w:sz w:val="20"/>
              </w:rPr>
              <w:t>car</w:t>
            </w:r>
            <w:r>
              <w:rPr>
                <w:spacing w:val="-3"/>
                <w:sz w:val="20"/>
              </w:rPr>
              <w:t> </w:t>
            </w:r>
            <w:r>
              <w:rPr>
                <w:spacing w:val="-2"/>
                <w:sz w:val="20"/>
              </w:rPr>
              <w:t>parks</w:t>
            </w:r>
          </w:p>
        </w:tc>
        <w:tc>
          <w:tcPr>
            <w:tcW w:w="1504" w:type="dxa"/>
          </w:tcPr>
          <w:p>
            <w:pPr>
              <w:pStyle w:val="TableParagraph"/>
              <w:spacing w:line="226" w:lineRule="exact" w:before="8"/>
              <w:ind w:right="232"/>
              <w:jc w:val="right"/>
              <w:rPr>
                <w:sz w:val="20"/>
              </w:rPr>
            </w:pPr>
            <w:r>
              <w:rPr>
                <w:spacing w:val="-5"/>
                <w:sz w:val="20"/>
              </w:rPr>
              <w:t>440</w:t>
            </w:r>
          </w:p>
        </w:tc>
        <w:tc>
          <w:tcPr>
            <w:tcW w:w="1143" w:type="dxa"/>
          </w:tcPr>
          <w:p>
            <w:pPr>
              <w:pStyle w:val="TableParagraph"/>
              <w:spacing w:line="226" w:lineRule="exact" w:before="8"/>
              <w:ind w:right="110"/>
              <w:jc w:val="right"/>
              <w:rPr>
                <w:sz w:val="20"/>
              </w:rPr>
            </w:pPr>
            <w:r>
              <w:rPr>
                <w:w w:val="99"/>
                <w:sz w:val="20"/>
              </w:rPr>
              <w:t>0</w:t>
            </w:r>
          </w:p>
        </w:tc>
        <w:tc>
          <w:tcPr>
            <w:tcW w:w="1112" w:type="dxa"/>
          </w:tcPr>
          <w:p>
            <w:pPr>
              <w:pStyle w:val="TableParagraph"/>
              <w:spacing w:line="226" w:lineRule="exact" w:before="8"/>
              <w:ind w:right="125"/>
              <w:jc w:val="right"/>
              <w:rPr>
                <w:sz w:val="20"/>
              </w:rPr>
            </w:pPr>
            <w:r>
              <w:rPr>
                <w:spacing w:val="-5"/>
                <w:sz w:val="20"/>
              </w:rPr>
              <w:t>220</w:t>
            </w:r>
          </w:p>
        </w:tc>
        <w:tc>
          <w:tcPr>
            <w:tcW w:w="1118" w:type="dxa"/>
            <w:tcBorders>
              <w:right w:val="single" w:sz="4" w:space="0" w:color="000000"/>
            </w:tcBorders>
          </w:tcPr>
          <w:p>
            <w:pPr>
              <w:pStyle w:val="TableParagraph"/>
              <w:spacing w:line="226" w:lineRule="exact" w:before="8"/>
              <w:ind w:right="91"/>
              <w:jc w:val="right"/>
              <w:rPr>
                <w:sz w:val="20"/>
              </w:rPr>
            </w:pPr>
            <w:r>
              <w:rPr>
                <w:spacing w:val="-5"/>
                <w:sz w:val="20"/>
              </w:rPr>
              <w:t>220</w:t>
            </w:r>
          </w:p>
        </w:tc>
        <w:tc>
          <w:tcPr>
            <w:tcW w:w="1420" w:type="dxa"/>
            <w:tcBorders>
              <w:left w:val="single" w:sz="4" w:space="0" w:color="000000"/>
            </w:tcBorders>
          </w:tcPr>
          <w:p>
            <w:pPr>
              <w:pStyle w:val="TableParagraph"/>
              <w:spacing w:line="226" w:lineRule="exact" w:before="8"/>
              <w:ind w:right="232"/>
              <w:jc w:val="right"/>
              <w:rPr>
                <w:sz w:val="20"/>
              </w:rPr>
            </w:pPr>
            <w:r>
              <w:rPr>
                <w:spacing w:val="-5"/>
                <w:sz w:val="20"/>
              </w:rPr>
              <w:t>440</w:t>
            </w:r>
          </w:p>
        </w:tc>
        <w:tc>
          <w:tcPr>
            <w:tcW w:w="1290" w:type="dxa"/>
          </w:tcPr>
          <w:p>
            <w:pPr>
              <w:pStyle w:val="TableParagraph"/>
              <w:spacing w:line="226" w:lineRule="exact" w:before="8"/>
              <w:ind w:right="106"/>
              <w:jc w:val="right"/>
              <w:rPr>
                <w:sz w:val="20"/>
              </w:rPr>
            </w:pPr>
            <w:r>
              <w:rPr>
                <w:w w:val="99"/>
                <w:sz w:val="20"/>
              </w:rPr>
              <w:t>0</w:t>
            </w:r>
          </w:p>
        </w:tc>
        <w:tc>
          <w:tcPr>
            <w:tcW w:w="1696" w:type="dxa"/>
          </w:tcPr>
          <w:p>
            <w:pPr>
              <w:pStyle w:val="TableParagraph"/>
              <w:spacing w:line="226" w:lineRule="exact" w:before="8"/>
              <w:ind w:right="239"/>
              <w:jc w:val="right"/>
              <w:rPr>
                <w:sz w:val="20"/>
              </w:rPr>
            </w:pPr>
            <w:r>
              <w:rPr>
                <w:w w:val="99"/>
                <w:sz w:val="20"/>
              </w:rPr>
              <w:t>0</w:t>
            </w:r>
          </w:p>
        </w:tc>
        <w:tc>
          <w:tcPr>
            <w:tcW w:w="1929" w:type="dxa"/>
            <w:tcBorders>
              <w:right w:val="single" w:sz="12" w:space="0" w:color="000000"/>
            </w:tcBorders>
          </w:tcPr>
          <w:p>
            <w:pPr>
              <w:pStyle w:val="TableParagraph"/>
              <w:spacing w:line="226" w:lineRule="exact" w:before="8"/>
              <w:ind w:right="90"/>
              <w:jc w:val="right"/>
              <w:rPr>
                <w:sz w:val="20"/>
              </w:rPr>
            </w:pPr>
            <w:r>
              <w:rPr>
                <w:spacing w:val="-5"/>
                <w:sz w:val="20"/>
              </w:rPr>
              <w:t>440</w:t>
            </w:r>
          </w:p>
        </w:tc>
      </w:tr>
      <w:tr>
        <w:trPr>
          <w:trHeight w:val="239" w:hRule="atLeast"/>
        </w:trPr>
        <w:tc>
          <w:tcPr>
            <w:tcW w:w="4188" w:type="dxa"/>
            <w:tcBorders>
              <w:left w:val="single" w:sz="12" w:space="0" w:color="000000"/>
            </w:tcBorders>
          </w:tcPr>
          <w:p>
            <w:pPr>
              <w:pStyle w:val="TableParagraph"/>
              <w:spacing w:line="211" w:lineRule="exact" w:before="8"/>
              <w:ind w:left="107"/>
              <w:rPr>
                <w:sz w:val="20"/>
              </w:rPr>
            </w:pPr>
            <w:r>
              <w:rPr>
                <w:sz w:val="20"/>
              </w:rPr>
              <w:t>Other</w:t>
            </w:r>
            <w:r>
              <w:rPr>
                <w:spacing w:val="-6"/>
                <w:sz w:val="20"/>
              </w:rPr>
              <w:t> </w:t>
            </w:r>
            <w:r>
              <w:rPr>
                <w:spacing w:val="-2"/>
                <w:sz w:val="20"/>
              </w:rPr>
              <w:t>infrastructure</w:t>
            </w:r>
          </w:p>
        </w:tc>
        <w:tc>
          <w:tcPr>
            <w:tcW w:w="1504" w:type="dxa"/>
            <w:tcBorders>
              <w:bottom w:val="single" w:sz="4" w:space="0" w:color="000000"/>
            </w:tcBorders>
          </w:tcPr>
          <w:p>
            <w:pPr>
              <w:pStyle w:val="TableParagraph"/>
              <w:spacing w:line="211" w:lineRule="exact" w:before="8"/>
              <w:ind w:right="231"/>
              <w:jc w:val="right"/>
              <w:rPr>
                <w:sz w:val="20"/>
              </w:rPr>
            </w:pPr>
            <w:r>
              <w:rPr>
                <w:spacing w:val="-2"/>
                <w:sz w:val="20"/>
              </w:rPr>
              <w:t>3,045</w:t>
            </w:r>
          </w:p>
        </w:tc>
        <w:tc>
          <w:tcPr>
            <w:tcW w:w="1143" w:type="dxa"/>
            <w:tcBorders>
              <w:bottom w:val="single" w:sz="4" w:space="0" w:color="000000"/>
            </w:tcBorders>
          </w:tcPr>
          <w:p>
            <w:pPr>
              <w:pStyle w:val="TableParagraph"/>
              <w:spacing w:line="211" w:lineRule="exact" w:before="8"/>
              <w:ind w:right="113"/>
              <w:jc w:val="right"/>
              <w:rPr>
                <w:sz w:val="20"/>
              </w:rPr>
            </w:pPr>
            <w:r>
              <w:rPr>
                <w:spacing w:val="-5"/>
                <w:sz w:val="20"/>
              </w:rPr>
              <w:t>170</w:t>
            </w:r>
          </w:p>
        </w:tc>
        <w:tc>
          <w:tcPr>
            <w:tcW w:w="1112" w:type="dxa"/>
            <w:tcBorders>
              <w:bottom w:val="single" w:sz="4" w:space="0" w:color="000000"/>
            </w:tcBorders>
          </w:tcPr>
          <w:p>
            <w:pPr>
              <w:pStyle w:val="TableParagraph"/>
              <w:spacing w:line="211" w:lineRule="exact" w:before="8"/>
              <w:ind w:right="126"/>
              <w:jc w:val="right"/>
              <w:rPr>
                <w:sz w:val="20"/>
              </w:rPr>
            </w:pPr>
            <w:r>
              <w:rPr>
                <w:spacing w:val="-2"/>
                <w:sz w:val="20"/>
              </w:rPr>
              <w:t>1,750</w:t>
            </w:r>
          </w:p>
        </w:tc>
        <w:tc>
          <w:tcPr>
            <w:tcW w:w="1118" w:type="dxa"/>
            <w:tcBorders>
              <w:bottom w:val="single" w:sz="4" w:space="0" w:color="000000"/>
              <w:right w:val="single" w:sz="4" w:space="0" w:color="000000"/>
            </w:tcBorders>
          </w:tcPr>
          <w:p>
            <w:pPr>
              <w:pStyle w:val="TableParagraph"/>
              <w:spacing w:line="211" w:lineRule="exact" w:before="8"/>
              <w:ind w:right="90"/>
              <w:jc w:val="right"/>
              <w:rPr>
                <w:sz w:val="20"/>
              </w:rPr>
            </w:pPr>
            <w:r>
              <w:rPr>
                <w:spacing w:val="-2"/>
                <w:sz w:val="20"/>
              </w:rPr>
              <w:t>1,125</w:t>
            </w:r>
          </w:p>
        </w:tc>
        <w:tc>
          <w:tcPr>
            <w:tcW w:w="1420" w:type="dxa"/>
            <w:tcBorders>
              <w:left w:val="single" w:sz="4" w:space="0" w:color="000000"/>
              <w:bottom w:val="single" w:sz="4" w:space="0" w:color="000000"/>
            </w:tcBorders>
          </w:tcPr>
          <w:p>
            <w:pPr>
              <w:pStyle w:val="TableParagraph"/>
              <w:spacing w:line="211" w:lineRule="exact" w:before="8"/>
              <w:ind w:right="231"/>
              <w:jc w:val="right"/>
              <w:rPr>
                <w:sz w:val="20"/>
              </w:rPr>
            </w:pPr>
            <w:r>
              <w:rPr>
                <w:spacing w:val="-2"/>
                <w:sz w:val="20"/>
              </w:rPr>
              <w:t>3,045</w:t>
            </w:r>
          </w:p>
        </w:tc>
        <w:tc>
          <w:tcPr>
            <w:tcW w:w="1290" w:type="dxa"/>
            <w:tcBorders>
              <w:bottom w:val="single" w:sz="4" w:space="0" w:color="000000"/>
            </w:tcBorders>
          </w:tcPr>
          <w:p>
            <w:pPr>
              <w:pStyle w:val="TableParagraph"/>
              <w:spacing w:line="211" w:lineRule="exact" w:before="8"/>
              <w:ind w:right="106"/>
              <w:jc w:val="right"/>
              <w:rPr>
                <w:sz w:val="20"/>
              </w:rPr>
            </w:pPr>
            <w:r>
              <w:rPr>
                <w:w w:val="99"/>
                <w:sz w:val="20"/>
              </w:rPr>
              <w:t>0</w:t>
            </w:r>
          </w:p>
        </w:tc>
        <w:tc>
          <w:tcPr>
            <w:tcW w:w="1696" w:type="dxa"/>
            <w:tcBorders>
              <w:bottom w:val="single" w:sz="4" w:space="0" w:color="000000"/>
            </w:tcBorders>
          </w:tcPr>
          <w:p>
            <w:pPr>
              <w:pStyle w:val="TableParagraph"/>
              <w:spacing w:line="211" w:lineRule="exact" w:before="8"/>
              <w:ind w:right="239"/>
              <w:jc w:val="right"/>
              <w:rPr>
                <w:sz w:val="20"/>
              </w:rPr>
            </w:pPr>
            <w:r>
              <w:rPr>
                <w:w w:val="99"/>
                <w:sz w:val="20"/>
              </w:rPr>
              <w:t>0</w:t>
            </w:r>
          </w:p>
        </w:tc>
        <w:tc>
          <w:tcPr>
            <w:tcW w:w="1929" w:type="dxa"/>
            <w:tcBorders>
              <w:bottom w:val="single" w:sz="4" w:space="0" w:color="000000"/>
              <w:right w:val="single" w:sz="12" w:space="0" w:color="000000"/>
            </w:tcBorders>
          </w:tcPr>
          <w:p>
            <w:pPr>
              <w:pStyle w:val="TableParagraph"/>
              <w:spacing w:line="211" w:lineRule="exact" w:before="8"/>
              <w:ind w:right="89"/>
              <w:jc w:val="right"/>
              <w:rPr>
                <w:sz w:val="20"/>
              </w:rPr>
            </w:pPr>
            <w:r>
              <w:rPr>
                <w:spacing w:val="-2"/>
                <w:sz w:val="20"/>
              </w:rPr>
              <w:t>3,045</w:t>
            </w:r>
          </w:p>
        </w:tc>
      </w:tr>
      <w:tr>
        <w:trPr>
          <w:trHeight w:val="254" w:hRule="atLeast"/>
        </w:trPr>
        <w:tc>
          <w:tcPr>
            <w:tcW w:w="4188" w:type="dxa"/>
            <w:tcBorders>
              <w:left w:val="single" w:sz="12" w:space="0" w:color="000000"/>
            </w:tcBorders>
          </w:tcPr>
          <w:p>
            <w:pPr>
              <w:pStyle w:val="TableParagraph"/>
              <w:spacing w:line="211" w:lineRule="exact" w:before="23"/>
              <w:ind w:left="107"/>
              <w:rPr>
                <w:b/>
                <w:sz w:val="20"/>
              </w:rPr>
            </w:pPr>
            <w:r>
              <w:rPr>
                <w:b/>
                <w:sz w:val="20"/>
              </w:rPr>
              <w:t>Total</w:t>
            </w:r>
            <w:r>
              <w:rPr>
                <w:b/>
                <w:spacing w:val="-6"/>
                <w:sz w:val="20"/>
              </w:rPr>
              <w:t> </w:t>
            </w:r>
            <w:r>
              <w:rPr>
                <w:b/>
                <w:spacing w:val="-2"/>
                <w:sz w:val="20"/>
              </w:rPr>
              <w:t>Infrastructure</w:t>
            </w:r>
          </w:p>
        </w:tc>
        <w:tc>
          <w:tcPr>
            <w:tcW w:w="1504" w:type="dxa"/>
            <w:tcBorders>
              <w:top w:val="single" w:sz="4" w:space="0" w:color="000000"/>
              <w:bottom w:val="single" w:sz="4" w:space="0" w:color="000000"/>
            </w:tcBorders>
          </w:tcPr>
          <w:p>
            <w:pPr>
              <w:pStyle w:val="TableParagraph"/>
              <w:spacing w:line="211" w:lineRule="exact" w:before="23"/>
              <w:ind w:right="232"/>
              <w:jc w:val="right"/>
              <w:rPr>
                <w:b/>
                <w:sz w:val="20"/>
              </w:rPr>
            </w:pPr>
            <w:r>
              <w:rPr>
                <w:b/>
                <w:spacing w:val="-2"/>
                <w:sz w:val="20"/>
              </w:rPr>
              <w:t>21,358</w:t>
            </w:r>
          </w:p>
        </w:tc>
        <w:tc>
          <w:tcPr>
            <w:tcW w:w="1143" w:type="dxa"/>
            <w:tcBorders>
              <w:top w:val="single" w:sz="4" w:space="0" w:color="000000"/>
              <w:bottom w:val="single" w:sz="4" w:space="0" w:color="000000"/>
            </w:tcBorders>
          </w:tcPr>
          <w:p>
            <w:pPr>
              <w:pStyle w:val="TableParagraph"/>
              <w:spacing w:line="211" w:lineRule="exact" w:before="23"/>
              <w:ind w:right="112"/>
              <w:jc w:val="right"/>
              <w:rPr>
                <w:b/>
                <w:sz w:val="20"/>
              </w:rPr>
            </w:pPr>
            <w:r>
              <w:rPr>
                <w:b/>
                <w:spacing w:val="-2"/>
                <w:sz w:val="20"/>
              </w:rPr>
              <w:t>5,426</w:t>
            </w:r>
          </w:p>
        </w:tc>
        <w:tc>
          <w:tcPr>
            <w:tcW w:w="1112" w:type="dxa"/>
            <w:tcBorders>
              <w:top w:val="single" w:sz="4" w:space="0" w:color="000000"/>
              <w:bottom w:val="single" w:sz="4" w:space="0" w:color="000000"/>
            </w:tcBorders>
          </w:tcPr>
          <w:p>
            <w:pPr>
              <w:pStyle w:val="TableParagraph"/>
              <w:spacing w:line="211" w:lineRule="exact" w:before="23"/>
              <w:ind w:right="125"/>
              <w:jc w:val="right"/>
              <w:rPr>
                <w:b/>
                <w:sz w:val="20"/>
              </w:rPr>
            </w:pPr>
            <w:r>
              <w:rPr>
                <w:b/>
                <w:spacing w:val="-2"/>
                <w:sz w:val="20"/>
              </w:rPr>
              <w:t>12,481</w:t>
            </w:r>
          </w:p>
        </w:tc>
        <w:tc>
          <w:tcPr>
            <w:tcW w:w="1118" w:type="dxa"/>
            <w:tcBorders>
              <w:top w:val="single" w:sz="4" w:space="0" w:color="000000"/>
              <w:bottom w:val="single" w:sz="4" w:space="0" w:color="000000"/>
              <w:right w:val="single" w:sz="4" w:space="0" w:color="000000"/>
            </w:tcBorders>
          </w:tcPr>
          <w:p>
            <w:pPr>
              <w:pStyle w:val="TableParagraph"/>
              <w:spacing w:line="211" w:lineRule="exact" w:before="23"/>
              <w:ind w:right="90"/>
              <w:jc w:val="right"/>
              <w:rPr>
                <w:b/>
                <w:sz w:val="20"/>
              </w:rPr>
            </w:pPr>
            <w:r>
              <w:rPr>
                <w:b/>
                <w:spacing w:val="-2"/>
                <w:sz w:val="20"/>
              </w:rPr>
              <w:t>3,451</w:t>
            </w:r>
          </w:p>
        </w:tc>
        <w:tc>
          <w:tcPr>
            <w:tcW w:w="1420" w:type="dxa"/>
            <w:tcBorders>
              <w:top w:val="single" w:sz="4" w:space="0" w:color="000000"/>
              <w:left w:val="single" w:sz="4" w:space="0" w:color="000000"/>
              <w:bottom w:val="single" w:sz="4" w:space="0" w:color="000000"/>
            </w:tcBorders>
          </w:tcPr>
          <w:p>
            <w:pPr>
              <w:pStyle w:val="TableParagraph"/>
              <w:spacing w:line="211" w:lineRule="exact" w:before="23"/>
              <w:ind w:right="232"/>
              <w:jc w:val="right"/>
              <w:rPr>
                <w:b/>
                <w:sz w:val="20"/>
              </w:rPr>
            </w:pPr>
            <w:r>
              <w:rPr>
                <w:b/>
                <w:spacing w:val="-2"/>
                <w:sz w:val="20"/>
              </w:rPr>
              <w:t>21,358</w:t>
            </w:r>
          </w:p>
        </w:tc>
        <w:tc>
          <w:tcPr>
            <w:tcW w:w="1290" w:type="dxa"/>
            <w:tcBorders>
              <w:top w:val="single" w:sz="4" w:space="0" w:color="000000"/>
              <w:bottom w:val="single" w:sz="4" w:space="0" w:color="000000"/>
            </w:tcBorders>
          </w:tcPr>
          <w:p>
            <w:pPr>
              <w:pStyle w:val="TableParagraph"/>
              <w:spacing w:line="211" w:lineRule="exact" w:before="23"/>
              <w:ind w:right="108"/>
              <w:jc w:val="right"/>
              <w:rPr>
                <w:b/>
                <w:sz w:val="20"/>
              </w:rPr>
            </w:pPr>
            <w:r>
              <w:rPr>
                <w:b/>
                <w:spacing w:val="-2"/>
                <w:sz w:val="20"/>
              </w:rPr>
              <w:t>3,734</w:t>
            </w:r>
          </w:p>
        </w:tc>
        <w:tc>
          <w:tcPr>
            <w:tcW w:w="1696" w:type="dxa"/>
            <w:tcBorders>
              <w:top w:val="single" w:sz="4" w:space="0" w:color="000000"/>
              <w:bottom w:val="single" w:sz="4" w:space="0" w:color="000000"/>
            </w:tcBorders>
          </w:tcPr>
          <w:p>
            <w:pPr>
              <w:pStyle w:val="TableParagraph"/>
              <w:spacing w:line="211" w:lineRule="exact" w:before="23"/>
              <w:ind w:right="243"/>
              <w:jc w:val="right"/>
              <w:rPr>
                <w:b/>
                <w:sz w:val="20"/>
              </w:rPr>
            </w:pPr>
            <w:r>
              <w:rPr>
                <w:b/>
                <w:spacing w:val="-5"/>
                <w:sz w:val="20"/>
              </w:rPr>
              <w:t>33</w:t>
            </w:r>
          </w:p>
        </w:tc>
        <w:tc>
          <w:tcPr>
            <w:tcW w:w="1929" w:type="dxa"/>
            <w:tcBorders>
              <w:top w:val="single" w:sz="4" w:space="0" w:color="000000"/>
              <w:bottom w:val="single" w:sz="4" w:space="0" w:color="000000"/>
              <w:right w:val="single" w:sz="12" w:space="0" w:color="000000"/>
            </w:tcBorders>
          </w:tcPr>
          <w:p>
            <w:pPr>
              <w:pStyle w:val="TableParagraph"/>
              <w:spacing w:line="211" w:lineRule="exact" w:before="23"/>
              <w:ind w:right="90"/>
              <w:jc w:val="right"/>
              <w:rPr>
                <w:b/>
                <w:sz w:val="20"/>
              </w:rPr>
            </w:pPr>
            <w:r>
              <w:rPr>
                <w:b/>
                <w:spacing w:val="-2"/>
                <w:sz w:val="20"/>
              </w:rPr>
              <w:t>17,591</w:t>
            </w:r>
          </w:p>
        </w:tc>
      </w:tr>
      <w:tr>
        <w:trPr>
          <w:trHeight w:val="255" w:hRule="atLeast"/>
        </w:trPr>
        <w:tc>
          <w:tcPr>
            <w:tcW w:w="4188" w:type="dxa"/>
            <w:tcBorders>
              <w:left w:val="single" w:sz="12" w:space="0" w:color="000000"/>
              <w:bottom w:val="single" w:sz="12" w:space="0" w:color="000000"/>
            </w:tcBorders>
          </w:tcPr>
          <w:p>
            <w:pPr>
              <w:pStyle w:val="TableParagraph"/>
              <w:spacing w:line="210" w:lineRule="exact" w:before="26"/>
              <w:ind w:left="107"/>
              <w:rPr>
                <w:b/>
                <w:sz w:val="20"/>
              </w:rPr>
            </w:pPr>
            <w:r>
              <w:rPr>
                <w:b/>
                <w:sz w:val="20"/>
              </w:rPr>
              <w:t>Total</w:t>
            </w:r>
            <w:r>
              <w:rPr>
                <w:b/>
                <w:spacing w:val="-8"/>
                <w:sz w:val="20"/>
              </w:rPr>
              <w:t> </w:t>
            </w:r>
            <w:r>
              <w:rPr>
                <w:b/>
                <w:sz w:val="20"/>
              </w:rPr>
              <w:t>Capital</w:t>
            </w:r>
            <w:r>
              <w:rPr>
                <w:b/>
                <w:spacing w:val="-5"/>
                <w:sz w:val="20"/>
              </w:rPr>
              <w:t> </w:t>
            </w:r>
            <w:r>
              <w:rPr>
                <w:b/>
                <w:sz w:val="20"/>
              </w:rPr>
              <w:t>Works</w:t>
            </w:r>
            <w:r>
              <w:rPr>
                <w:b/>
                <w:spacing w:val="-6"/>
                <w:sz w:val="20"/>
              </w:rPr>
              <w:t> </w:t>
            </w:r>
            <w:r>
              <w:rPr>
                <w:b/>
                <w:spacing w:val="-2"/>
                <w:sz w:val="20"/>
              </w:rPr>
              <w:t>Expenditure</w:t>
            </w:r>
          </w:p>
        </w:tc>
        <w:tc>
          <w:tcPr>
            <w:tcW w:w="1504" w:type="dxa"/>
            <w:tcBorders>
              <w:top w:val="single" w:sz="4" w:space="0" w:color="000000"/>
              <w:bottom w:val="single" w:sz="12" w:space="0" w:color="000000"/>
            </w:tcBorders>
          </w:tcPr>
          <w:p>
            <w:pPr>
              <w:pStyle w:val="TableParagraph"/>
              <w:spacing w:line="210" w:lineRule="exact" w:before="26"/>
              <w:ind w:right="232"/>
              <w:jc w:val="right"/>
              <w:rPr>
                <w:b/>
                <w:sz w:val="20"/>
              </w:rPr>
            </w:pPr>
            <w:r>
              <w:rPr>
                <w:b/>
                <w:spacing w:val="-2"/>
                <w:sz w:val="20"/>
              </w:rPr>
              <w:t>46,025</w:t>
            </w:r>
          </w:p>
        </w:tc>
        <w:tc>
          <w:tcPr>
            <w:tcW w:w="1143" w:type="dxa"/>
            <w:tcBorders>
              <w:top w:val="single" w:sz="4" w:space="0" w:color="000000"/>
              <w:bottom w:val="single" w:sz="12" w:space="0" w:color="000000"/>
            </w:tcBorders>
          </w:tcPr>
          <w:p>
            <w:pPr>
              <w:pStyle w:val="TableParagraph"/>
              <w:spacing w:line="210" w:lineRule="exact" w:before="26"/>
              <w:ind w:right="112"/>
              <w:jc w:val="right"/>
              <w:rPr>
                <w:b/>
                <w:sz w:val="20"/>
              </w:rPr>
            </w:pPr>
            <w:r>
              <w:rPr>
                <w:b/>
                <w:spacing w:val="-2"/>
                <w:sz w:val="20"/>
              </w:rPr>
              <w:t>6,597</w:t>
            </w:r>
          </w:p>
        </w:tc>
        <w:tc>
          <w:tcPr>
            <w:tcW w:w="1112" w:type="dxa"/>
            <w:tcBorders>
              <w:top w:val="single" w:sz="4" w:space="0" w:color="000000"/>
              <w:bottom w:val="single" w:sz="12" w:space="0" w:color="000000"/>
            </w:tcBorders>
          </w:tcPr>
          <w:p>
            <w:pPr>
              <w:pStyle w:val="TableParagraph"/>
              <w:spacing w:line="210" w:lineRule="exact" w:before="26"/>
              <w:ind w:right="125"/>
              <w:jc w:val="right"/>
              <w:rPr>
                <w:b/>
                <w:sz w:val="20"/>
              </w:rPr>
            </w:pPr>
            <w:r>
              <w:rPr>
                <w:b/>
                <w:spacing w:val="-2"/>
                <w:sz w:val="20"/>
              </w:rPr>
              <w:t>31,223</w:t>
            </w:r>
          </w:p>
        </w:tc>
        <w:tc>
          <w:tcPr>
            <w:tcW w:w="1118" w:type="dxa"/>
            <w:tcBorders>
              <w:top w:val="single" w:sz="4" w:space="0" w:color="000000"/>
              <w:bottom w:val="single" w:sz="12" w:space="0" w:color="000000"/>
              <w:right w:val="single" w:sz="4" w:space="0" w:color="000000"/>
            </w:tcBorders>
          </w:tcPr>
          <w:p>
            <w:pPr>
              <w:pStyle w:val="TableParagraph"/>
              <w:spacing w:line="210" w:lineRule="exact" w:before="26"/>
              <w:ind w:right="90"/>
              <w:jc w:val="right"/>
              <w:rPr>
                <w:b/>
                <w:sz w:val="20"/>
              </w:rPr>
            </w:pPr>
            <w:r>
              <w:rPr>
                <w:b/>
                <w:spacing w:val="-2"/>
                <w:sz w:val="20"/>
              </w:rPr>
              <w:t>8,206</w:t>
            </w:r>
          </w:p>
        </w:tc>
        <w:tc>
          <w:tcPr>
            <w:tcW w:w="1420" w:type="dxa"/>
            <w:tcBorders>
              <w:top w:val="single" w:sz="4" w:space="0" w:color="000000"/>
              <w:left w:val="single" w:sz="4" w:space="0" w:color="000000"/>
              <w:bottom w:val="single" w:sz="12" w:space="0" w:color="000000"/>
            </w:tcBorders>
          </w:tcPr>
          <w:p>
            <w:pPr>
              <w:pStyle w:val="TableParagraph"/>
              <w:spacing w:line="210" w:lineRule="exact" w:before="26"/>
              <w:ind w:right="232"/>
              <w:jc w:val="right"/>
              <w:rPr>
                <w:b/>
                <w:sz w:val="20"/>
              </w:rPr>
            </w:pPr>
            <w:r>
              <w:rPr>
                <w:b/>
                <w:spacing w:val="-2"/>
                <w:sz w:val="20"/>
              </w:rPr>
              <w:t>46,025</w:t>
            </w:r>
          </w:p>
        </w:tc>
        <w:tc>
          <w:tcPr>
            <w:tcW w:w="1290" w:type="dxa"/>
            <w:tcBorders>
              <w:top w:val="single" w:sz="4" w:space="0" w:color="000000"/>
              <w:bottom w:val="single" w:sz="12" w:space="0" w:color="000000"/>
            </w:tcBorders>
          </w:tcPr>
          <w:p>
            <w:pPr>
              <w:pStyle w:val="TableParagraph"/>
              <w:spacing w:line="210" w:lineRule="exact" w:before="26"/>
              <w:ind w:right="108"/>
              <w:jc w:val="right"/>
              <w:rPr>
                <w:b/>
                <w:sz w:val="20"/>
              </w:rPr>
            </w:pPr>
            <w:r>
              <w:rPr>
                <w:b/>
                <w:spacing w:val="-2"/>
                <w:sz w:val="20"/>
              </w:rPr>
              <w:t>7,234</w:t>
            </w:r>
          </w:p>
        </w:tc>
        <w:tc>
          <w:tcPr>
            <w:tcW w:w="1696" w:type="dxa"/>
            <w:tcBorders>
              <w:top w:val="single" w:sz="4" w:space="0" w:color="000000"/>
              <w:bottom w:val="single" w:sz="12" w:space="0" w:color="000000"/>
            </w:tcBorders>
          </w:tcPr>
          <w:p>
            <w:pPr>
              <w:pStyle w:val="TableParagraph"/>
              <w:spacing w:line="210" w:lineRule="exact" w:before="26"/>
              <w:ind w:right="242"/>
              <w:jc w:val="right"/>
              <w:rPr>
                <w:b/>
                <w:sz w:val="20"/>
              </w:rPr>
            </w:pPr>
            <w:r>
              <w:rPr>
                <w:b/>
                <w:spacing w:val="-5"/>
                <w:sz w:val="20"/>
              </w:rPr>
              <w:t>223</w:t>
            </w:r>
          </w:p>
        </w:tc>
        <w:tc>
          <w:tcPr>
            <w:tcW w:w="1929" w:type="dxa"/>
            <w:tcBorders>
              <w:top w:val="single" w:sz="4" w:space="0" w:color="000000"/>
              <w:bottom w:val="single" w:sz="12" w:space="0" w:color="000000"/>
              <w:right w:val="single" w:sz="12" w:space="0" w:color="000000"/>
            </w:tcBorders>
          </w:tcPr>
          <w:p>
            <w:pPr>
              <w:pStyle w:val="TableParagraph"/>
              <w:spacing w:line="210" w:lineRule="exact" w:before="26"/>
              <w:ind w:right="90"/>
              <w:jc w:val="right"/>
              <w:rPr>
                <w:b/>
                <w:sz w:val="20"/>
              </w:rPr>
            </w:pPr>
            <w:r>
              <w:rPr>
                <w:b/>
                <w:spacing w:val="-2"/>
                <w:sz w:val="20"/>
              </w:rPr>
              <w:t>38,569</w:t>
            </w:r>
          </w:p>
        </w:tc>
      </w:tr>
    </w:tbl>
    <w:p>
      <w:pPr>
        <w:spacing w:after="0" w:line="210" w:lineRule="exact"/>
        <w:jc w:val="right"/>
        <w:rPr>
          <w:sz w:val="20"/>
        </w:rPr>
        <w:sectPr>
          <w:pgSz w:w="16840" w:h="11910" w:orient="landscape"/>
          <w:pgMar w:header="0" w:footer="375" w:top="480" w:bottom="1399" w:left="600" w:right="120"/>
        </w:sect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88"/>
        <w:gridCol w:w="1504"/>
        <w:gridCol w:w="1143"/>
        <w:gridCol w:w="1112"/>
        <w:gridCol w:w="1118"/>
        <w:gridCol w:w="1420"/>
        <w:gridCol w:w="1290"/>
        <w:gridCol w:w="1696"/>
        <w:gridCol w:w="1929"/>
      </w:tblGrid>
      <w:tr>
        <w:trPr>
          <w:trHeight w:val="1100" w:hRule="atLeast"/>
        </w:trPr>
        <w:tc>
          <w:tcPr>
            <w:tcW w:w="15400" w:type="dxa"/>
            <w:gridSpan w:val="9"/>
            <w:tcBorders>
              <w:top w:val="single" w:sz="18" w:space="0" w:color="000000"/>
              <w:left w:val="single" w:sz="12" w:space="0" w:color="000000"/>
              <w:right w:val="single" w:sz="12" w:space="0" w:color="000000"/>
            </w:tcBorders>
          </w:tcPr>
          <w:p>
            <w:pPr>
              <w:pStyle w:val="TableParagraph"/>
              <w:ind w:left="107" w:right="9900"/>
              <w:rPr>
                <w:b/>
                <w:sz w:val="24"/>
              </w:rPr>
            </w:pPr>
            <w:r>
              <w:rPr>
                <w:b/>
                <w:sz w:val="24"/>
              </w:rPr>
              <w:t>Summary</w:t>
            </w:r>
            <w:r>
              <w:rPr>
                <w:b/>
                <w:spacing w:val="-9"/>
                <w:sz w:val="24"/>
              </w:rPr>
              <w:t> </w:t>
            </w:r>
            <w:r>
              <w:rPr>
                <w:b/>
                <w:sz w:val="24"/>
              </w:rPr>
              <w:t>of</w:t>
            </w:r>
            <w:r>
              <w:rPr>
                <w:b/>
                <w:spacing w:val="-10"/>
                <w:sz w:val="24"/>
              </w:rPr>
              <w:t> </w:t>
            </w:r>
            <w:r>
              <w:rPr>
                <w:b/>
                <w:sz w:val="24"/>
              </w:rPr>
              <w:t>Planned</w:t>
            </w:r>
            <w:r>
              <w:rPr>
                <w:b/>
                <w:spacing w:val="-9"/>
                <w:sz w:val="24"/>
              </w:rPr>
              <w:t> </w:t>
            </w:r>
            <w:r>
              <w:rPr>
                <w:b/>
                <w:sz w:val="24"/>
              </w:rPr>
              <w:t>Capital</w:t>
            </w:r>
            <w:r>
              <w:rPr>
                <w:b/>
                <w:spacing w:val="-9"/>
                <w:sz w:val="24"/>
              </w:rPr>
              <w:t> </w:t>
            </w:r>
            <w:r>
              <w:rPr>
                <w:b/>
                <w:sz w:val="24"/>
              </w:rPr>
              <w:t>Works </w:t>
            </w:r>
            <w:r>
              <w:rPr>
                <w:b/>
                <w:spacing w:val="-2"/>
                <w:sz w:val="24"/>
              </w:rPr>
              <w:t>Expenditure</w:t>
            </w:r>
          </w:p>
          <w:p>
            <w:pPr>
              <w:pStyle w:val="TableParagraph"/>
              <w:spacing w:line="253" w:lineRule="exact"/>
              <w:ind w:left="107"/>
              <w:rPr>
                <w:sz w:val="22"/>
              </w:rPr>
            </w:pPr>
            <w:r>
              <w:rPr>
                <w:sz w:val="22"/>
              </w:rPr>
              <w:t>For</w:t>
            </w:r>
            <w:r>
              <w:rPr>
                <w:spacing w:val="-2"/>
                <w:sz w:val="22"/>
              </w:rPr>
              <w:t> </w:t>
            </w:r>
            <w:r>
              <w:rPr>
                <w:sz w:val="22"/>
              </w:rPr>
              <w:t>the</w:t>
            </w:r>
            <w:r>
              <w:rPr>
                <w:spacing w:val="-4"/>
                <w:sz w:val="22"/>
              </w:rPr>
              <w:t> </w:t>
            </w:r>
            <w:r>
              <w:rPr>
                <w:sz w:val="22"/>
              </w:rPr>
              <w:t>four</w:t>
            </w:r>
            <w:r>
              <w:rPr>
                <w:spacing w:val="-4"/>
                <w:sz w:val="22"/>
              </w:rPr>
              <w:t> </w:t>
            </w:r>
            <w:r>
              <w:rPr>
                <w:sz w:val="22"/>
              </w:rPr>
              <w:t>years</w:t>
            </w:r>
            <w:r>
              <w:rPr>
                <w:spacing w:val="-1"/>
                <w:sz w:val="22"/>
              </w:rPr>
              <w:t> </w:t>
            </w:r>
            <w:r>
              <w:rPr>
                <w:sz w:val="22"/>
              </w:rPr>
              <w:t>ended</w:t>
            </w:r>
            <w:r>
              <w:rPr>
                <w:spacing w:val="-4"/>
                <w:sz w:val="22"/>
              </w:rPr>
              <w:t> </w:t>
            </w:r>
            <w:r>
              <w:rPr>
                <w:sz w:val="22"/>
              </w:rPr>
              <w:t>30 June</w:t>
            </w:r>
            <w:r>
              <w:rPr>
                <w:spacing w:val="-3"/>
                <w:sz w:val="22"/>
              </w:rPr>
              <w:t> </w:t>
            </w:r>
            <w:r>
              <w:rPr>
                <w:spacing w:val="-4"/>
                <w:sz w:val="22"/>
              </w:rPr>
              <w:t>2029</w:t>
            </w:r>
          </w:p>
        </w:tc>
      </w:tr>
      <w:tr>
        <w:trPr>
          <w:trHeight w:val="254" w:hRule="atLeast"/>
        </w:trPr>
        <w:tc>
          <w:tcPr>
            <w:tcW w:w="15400" w:type="dxa"/>
            <w:gridSpan w:val="9"/>
            <w:tcBorders>
              <w:left w:val="single" w:sz="12" w:space="0" w:color="000000"/>
              <w:right w:val="single" w:sz="12" w:space="0" w:color="000000"/>
            </w:tcBorders>
            <w:shd w:val="clear" w:color="auto" w:fill="629CD1"/>
          </w:tcPr>
          <w:p>
            <w:pPr>
              <w:pStyle w:val="TableParagraph"/>
              <w:tabs>
                <w:tab w:pos="11408" w:val="left" w:leader="none"/>
              </w:tabs>
              <w:spacing w:line="223" w:lineRule="exact" w:before="11"/>
              <w:ind w:left="5428"/>
              <w:rPr>
                <w:b/>
                <w:sz w:val="20"/>
              </w:rPr>
            </w:pPr>
            <w:r>
              <w:rPr>
                <w:b/>
                <w:color w:val="FFFFFF"/>
                <w:sz w:val="20"/>
              </w:rPr>
              <w:t>Asset</w:t>
            </w:r>
            <w:r>
              <w:rPr>
                <w:b/>
                <w:color w:val="FFFFFF"/>
                <w:spacing w:val="-10"/>
                <w:sz w:val="20"/>
              </w:rPr>
              <w:t> </w:t>
            </w:r>
            <w:r>
              <w:rPr>
                <w:b/>
                <w:color w:val="FFFFFF"/>
                <w:sz w:val="20"/>
              </w:rPr>
              <w:t>Expenditure</w:t>
            </w:r>
            <w:r>
              <w:rPr>
                <w:b/>
                <w:color w:val="FFFFFF"/>
                <w:spacing w:val="-11"/>
                <w:sz w:val="20"/>
              </w:rPr>
              <w:t> </w:t>
            </w:r>
            <w:r>
              <w:rPr>
                <w:b/>
                <w:color w:val="FFFFFF"/>
                <w:spacing w:val="-4"/>
                <w:sz w:val="20"/>
              </w:rPr>
              <w:t>Types</w:t>
            </w:r>
            <w:r>
              <w:rPr>
                <w:b/>
                <w:color w:val="FFFFFF"/>
                <w:sz w:val="20"/>
              </w:rPr>
              <w:tab/>
              <w:t>Funding</w:t>
            </w:r>
            <w:r>
              <w:rPr>
                <w:b/>
                <w:color w:val="FFFFFF"/>
                <w:spacing w:val="-8"/>
                <w:sz w:val="20"/>
              </w:rPr>
              <w:t> </w:t>
            </w:r>
            <w:r>
              <w:rPr>
                <w:b/>
                <w:color w:val="FFFFFF"/>
                <w:spacing w:val="-2"/>
                <w:sz w:val="20"/>
              </w:rPr>
              <w:t>Sources</w:t>
            </w:r>
          </w:p>
        </w:tc>
      </w:tr>
      <w:tr>
        <w:trPr>
          <w:trHeight w:val="258" w:hRule="atLeast"/>
        </w:trPr>
        <w:tc>
          <w:tcPr>
            <w:tcW w:w="4188" w:type="dxa"/>
            <w:tcBorders>
              <w:left w:val="single" w:sz="12" w:space="0" w:color="000000"/>
            </w:tcBorders>
            <w:shd w:val="clear" w:color="auto" w:fill="629CD1"/>
          </w:tcPr>
          <w:p>
            <w:pPr>
              <w:pStyle w:val="TableParagraph"/>
              <w:spacing w:line="227" w:lineRule="exact" w:before="11"/>
              <w:ind w:left="107"/>
              <w:rPr>
                <w:b/>
                <w:sz w:val="20"/>
              </w:rPr>
            </w:pPr>
            <w:r>
              <w:rPr>
                <w:b/>
                <w:color w:val="FFFFFF"/>
                <w:spacing w:val="-2"/>
                <w:sz w:val="20"/>
              </w:rPr>
              <w:t>2026/27</w:t>
            </w:r>
          </w:p>
        </w:tc>
        <w:tc>
          <w:tcPr>
            <w:tcW w:w="1504" w:type="dxa"/>
            <w:shd w:val="clear" w:color="auto" w:fill="629CD1"/>
          </w:tcPr>
          <w:p>
            <w:pPr>
              <w:pStyle w:val="TableParagraph"/>
              <w:spacing w:line="227" w:lineRule="exact" w:before="11"/>
              <w:ind w:left="458"/>
              <w:rPr>
                <w:b/>
                <w:sz w:val="20"/>
              </w:rPr>
            </w:pPr>
            <w:r>
              <w:rPr>
                <w:b/>
                <w:color w:val="FFFFFF"/>
                <w:spacing w:val="-2"/>
                <w:sz w:val="20"/>
              </w:rPr>
              <w:t>Total</w:t>
            </w:r>
          </w:p>
        </w:tc>
        <w:tc>
          <w:tcPr>
            <w:tcW w:w="1143" w:type="dxa"/>
            <w:shd w:val="clear" w:color="auto" w:fill="629CD1"/>
          </w:tcPr>
          <w:p>
            <w:pPr>
              <w:pStyle w:val="TableParagraph"/>
              <w:spacing w:line="227" w:lineRule="exact" w:before="11"/>
              <w:ind w:left="300"/>
              <w:rPr>
                <w:b/>
                <w:sz w:val="20"/>
              </w:rPr>
            </w:pPr>
            <w:r>
              <w:rPr>
                <w:b/>
                <w:color w:val="FFFFFF"/>
                <w:spacing w:val="-5"/>
                <w:sz w:val="20"/>
              </w:rPr>
              <w:t>New</w:t>
            </w:r>
          </w:p>
        </w:tc>
        <w:tc>
          <w:tcPr>
            <w:tcW w:w="1112" w:type="dxa"/>
            <w:shd w:val="clear" w:color="auto" w:fill="629CD1"/>
          </w:tcPr>
          <w:p>
            <w:pPr>
              <w:pStyle w:val="TableParagraph"/>
              <w:spacing w:line="227" w:lineRule="exact" w:before="11"/>
              <w:ind w:right="161"/>
              <w:jc w:val="right"/>
              <w:rPr>
                <w:b/>
                <w:sz w:val="20"/>
              </w:rPr>
            </w:pPr>
            <w:r>
              <w:rPr>
                <w:b/>
                <w:color w:val="FFFFFF"/>
                <w:spacing w:val="-2"/>
                <w:sz w:val="20"/>
              </w:rPr>
              <w:t>Renewal</w:t>
            </w:r>
          </w:p>
        </w:tc>
        <w:tc>
          <w:tcPr>
            <w:tcW w:w="1118" w:type="dxa"/>
            <w:tcBorders>
              <w:right w:val="single" w:sz="4" w:space="0" w:color="000000"/>
            </w:tcBorders>
            <w:shd w:val="clear" w:color="auto" w:fill="629CD1"/>
          </w:tcPr>
          <w:p>
            <w:pPr>
              <w:pStyle w:val="TableParagraph"/>
              <w:spacing w:line="227" w:lineRule="exact" w:before="11"/>
              <w:ind w:left="145"/>
              <w:rPr>
                <w:b/>
                <w:sz w:val="20"/>
              </w:rPr>
            </w:pPr>
            <w:r>
              <w:rPr>
                <w:b/>
                <w:color w:val="FFFFFF"/>
                <w:spacing w:val="-2"/>
                <w:sz w:val="20"/>
              </w:rPr>
              <w:t>Upgrade</w:t>
            </w:r>
          </w:p>
        </w:tc>
        <w:tc>
          <w:tcPr>
            <w:tcW w:w="1420" w:type="dxa"/>
            <w:tcBorders>
              <w:left w:val="single" w:sz="4" w:space="0" w:color="000000"/>
            </w:tcBorders>
            <w:shd w:val="clear" w:color="auto" w:fill="629CD1"/>
          </w:tcPr>
          <w:p>
            <w:pPr>
              <w:pStyle w:val="TableParagraph"/>
              <w:spacing w:line="227" w:lineRule="exact" w:before="11"/>
              <w:ind w:left="407"/>
              <w:rPr>
                <w:b/>
                <w:sz w:val="20"/>
              </w:rPr>
            </w:pPr>
            <w:r>
              <w:rPr>
                <w:b/>
                <w:color w:val="FFFFFF"/>
                <w:spacing w:val="-2"/>
                <w:sz w:val="20"/>
              </w:rPr>
              <w:t>Total</w:t>
            </w:r>
          </w:p>
        </w:tc>
        <w:tc>
          <w:tcPr>
            <w:tcW w:w="1290" w:type="dxa"/>
            <w:shd w:val="clear" w:color="auto" w:fill="629CD1"/>
          </w:tcPr>
          <w:p>
            <w:pPr>
              <w:pStyle w:val="TableParagraph"/>
              <w:spacing w:line="227" w:lineRule="exact" w:before="11"/>
              <w:ind w:left="257"/>
              <w:rPr>
                <w:b/>
                <w:sz w:val="20"/>
              </w:rPr>
            </w:pPr>
            <w:r>
              <w:rPr>
                <w:b/>
                <w:color w:val="FFFFFF"/>
                <w:spacing w:val="-2"/>
                <w:sz w:val="20"/>
              </w:rPr>
              <w:t>Grants</w:t>
            </w:r>
          </w:p>
        </w:tc>
        <w:tc>
          <w:tcPr>
            <w:tcW w:w="1696" w:type="dxa"/>
            <w:shd w:val="clear" w:color="auto" w:fill="629CD1"/>
          </w:tcPr>
          <w:p>
            <w:pPr>
              <w:pStyle w:val="TableParagraph"/>
              <w:spacing w:line="227" w:lineRule="exact" w:before="11"/>
              <w:ind w:right="256"/>
              <w:jc w:val="right"/>
              <w:rPr>
                <w:b/>
                <w:sz w:val="20"/>
              </w:rPr>
            </w:pPr>
            <w:r>
              <w:rPr>
                <w:b/>
                <w:color w:val="FFFFFF"/>
                <w:spacing w:val="-2"/>
                <w:sz w:val="20"/>
              </w:rPr>
              <w:t>Contributions</w:t>
            </w:r>
          </w:p>
        </w:tc>
        <w:tc>
          <w:tcPr>
            <w:tcW w:w="1929" w:type="dxa"/>
            <w:tcBorders>
              <w:right w:val="single" w:sz="12" w:space="0" w:color="000000"/>
            </w:tcBorders>
            <w:shd w:val="clear" w:color="auto" w:fill="629CD1"/>
          </w:tcPr>
          <w:p>
            <w:pPr>
              <w:pStyle w:val="TableParagraph"/>
              <w:spacing w:line="227" w:lineRule="exact" w:before="11"/>
              <w:ind w:left="242"/>
              <w:rPr>
                <w:b/>
                <w:sz w:val="20"/>
              </w:rPr>
            </w:pPr>
            <w:r>
              <w:rPr>
                <w:b/>
                <w:color w:val="FFFFFF"/>
                <w:sz w:val="20"/>
              </w:rPr>
              <w:t>Council</w:t>
            </w:r>
            <w:r>
              <w:rPr>
                <w:b/>
                <w:color w:val="FFFFFF"/>
                <w:spacing w:val="-8"/>
                <w:sz w:val="20"/>
              </w:rPr>
              <w:t> </w:t>
            </w:r>
            <w:r>
              <w:rPr>
                <w:b/>
                <w:color w:val="FFFFFF"/>
                <w:spacing w:val="-4"/>
                <w:sz w:val="20"/>
              </w:rPr>
              <w:t>Cash</w:t>
            </w:r>
          </w:p>
        </w:tc>
      </w:tr>
      <w:tr>
        <w:trPr>
          <w:trHeight w:val="252" w:hRule="atLeast"/>
        </w:trPr>
        <w:tc>
          <w:tcPr>
            <w:tcW w:w="4188" w:type="dxa"/>
            <w:tcBorders>
              <w:left w:val="single" w:sz="12" w:space="0" w:color="000000"/>
            </w:tcBorders>
            <w:shd w:val="clear" w:color="auto" w:fill="629CD1"/>
          </w:tcPr>
          <w:p>
            <w:pPr>
              <w:pStyle w:val="TableParagraph"/>
              <w:rPr>
                <w:rFonts w:ascii="Times New Roman"/>
                <w:sz w:val="18"/>
              </w:rPr>
            </w:pPr>
          </w:p>
        </w:tc>
        <w:tc>
          <w:tcPr>
            <w:tcW w:w="1504" w:type="dxa"/>
            <w:shd w:val="clear" w:color="auto" w:fill="629CD1"/>
          </w:tcPr>
          <w:p>
            <w:pPr>
              <w:pStyle w:val="TableParagraph"/>
              <w:spacing w:line="223" w:lineRule="exact" w:before="10"/>
              <w:ind w:left="451"/>
              <w:rPr>
                <w:b/>
                <w:sz w:val="20"/>
              </w:rPr>
            </w:pPr>
            <w:r>
              <w:rPr>
                <w:b/>
                <w:color w:val="FFFFFF"/>
                <w:spacing w:val="-2"/>
                <w:sz w:val="20"/>
              </w:rPr>
              <w:t>$'000</w:t>
            </w:r>
          </w:p>
        </w:tc>
        <w:tc>
          <w:tcPr>
            <w:tcW w:w="1143" w:type="dxa"/>
            <w:shd w:val="clear" w:color="auto" w:fill="629CD1"/>
          </w:tcPr>
          <w:p>
            <w:pPr>
              <w:pStyle w:val="TableParagraph"/>
              <w:spacing w:line="223" w:lineRule="exact" w:before="10"/>
              <w:ind w:left="260"/>
              <w:rPr>
                <w:b/>
                <w:sz w:val="20"/>
              </w:rPr>
            </w:pPr>
            <w:r>
              <w:rPr>
                <w:b/>
                <w:color w:val="FFFFFF"/>
                <w:spacing w:val="-2"/>
                <w:sz w:val="20"/>
              </w:rPr>
              <w:t>$'000</w:t>
            </w:r>
          </w:p>
        </w:tc>
        <w:tc>
          <w:tcPr>
            <w:tcW w:w="1112" w:type="dxa"/>
            <w:shd w:val="clear" w:color="auto" w:fill="629CD1"/>
          </w:tcPr>
          <w:p>
            <w:pPr>
              <w:pStyle w:val="TableParagraph"/>
              <w:spacing w:line="223" w:lineRule="exact" w:before="10"/>
              <w:ind w:left="297"/>
              <w:rPr>
                <w:b/>
                <w:sz w:val="20"/>
              </w:rPr>
            </w:pPr>
            <w:r>
              <w:rPr>
                <w:b/>
                <w:color w:val="FFFFFF"/>
                <w:spacing w:val="-2"/>
                <w:sz w:val="20"/>
              </w:rPr>
              <w:t>$'000</w:t>
            </w:r>
          </w:p>
        </w:tc>
        <w:tc>
          <w:tcPr>
            <w:tcW w:w="1118" w:type="dxa"/>
            <w:tcBorders>
              <w:right w:val="single" w:sz="4" w:space="0" w:color="000000"/>
            </w:tcBorders>
            <w:shd w:val="clear" w:color="auto" w:fill="629CD1"/>
          </w:tcPr>
          <w:p>
            <w:pPr>
              <w:pStyle w:val="TableParagraph"/>
              <w:spacing w:line="223" w:lineRule="exact" w:before="10"/>
              <w:ind w:left="304"/>
              <w:rPr>
                <w:b/>
                <w:sz w:val="20"/>
              </w:rPr>
            </w:pPr>
            <w:r>
              <w:rPr>
                <w:b/>
                <w:color w:val="FFFFFF"/>
                <w:spacing w:val="-2"/>
                <w:sz w:val="20"/>
              </w:rPr>
              <w:t>$'000</w:t>
            </w:r>
          </w:p>
        </w:tc>
        <w:tc>
          <w:tcPr>
            <w:tcW w:w="1420" w:type="dxa"/>
            <w:tcBorders>
              <w:left w:val="single" w:sz="4" w:space="0" w:color="000000"/>
            </w:tcBorders>
            <w:shd w:val="clear" w:color="auto" w:fill="629CD1"/>
          </w:tcPr>
          <w:p>
            <w:pPr>
              <w:pStyle w:val="TableParagraph"/>
              <w:spacing w:line="223" w:lineRule="exact" w:before="10"/>
              <w:ind w:left="400"/>
              <w:rPr>
                <w:b/>
                <w:sz w:val="20"/>
              </w:rPr>
            </w:pPr>
            <w:r>
              <w:rPr>
                <w:b/>
                <w:color w:val="FFFFFF"/>
                <w:spacing w:val="-2"/>
                <w:sz w:val="20"/>
              </w:rPr>
              <w:t>$'000</w:t>
            </w:r>
          </w:p>
        </w:tc>
        <w:tc>
          <w:tcPr>
            <w:tcW w:w="1290" w:type="dxa"/>
            <w:shd w:val="clear" w:color="auto" w:fill="629CD1"/>
          </w:tcPr>
          <w:p>
            <w:pPr>
              <w:pStyle w:val="TableParagraph"/>
              <w:spacing w:line="223" w:lineRule="exact" w:before="10"/>
              <w:ind w:left="334"/>
              <w:rPr>
                <w:b/>
                <w:sz w:val="20"/>
              </w:rPr>
            </w:pPr>
            <w:r>
              <w:rPr>
                <w:b/>
                <w:color w:val="FFFFFF"/>
                <w:spacing w:val="-2"/>
                <w:sz w:val="20"/>
              </w:rPr>
              <w:t>$'000</w:t>
            </w:r>
          </w:p>
        </w:tc>
        <w:tc>
          <w:tcPr>
            <w:tcW w:w="1696" w:type="dxa"/>
            <w:shd w:val="clear" w:color="auto" w:fill="629CD1"/>
          </w:tcPr>
          <w:p>
            <w:pPr>
              <w:pStyle w:val="TableParagraph"/>
              <w:spacing w:line="223" w:lineRule="exact" w:before="10"/>
              <w:ind w:left="534"/>
              <w:rPr>
                <w:b/>
                <w:sz w:val="20"/>
              </w:rPr>
            </w:pPr>
            <w:r>
              <w:rPr>
                <w:b/>
                <w:color w:val="FFFFFF"/>
                <w:spacing w:val="-2"/>
                <w:sz w:val="20"/>
              </w:rPr>
              <w:t>$'000</w:t>
            </w:r>
          </w:p>
        </w:tc>
        <w:tc>
          <w:tcPr>
            <w:tcW w:w="1929" w:type="dxa"/>
            <w:tcBorders>
              <w:right w:val="single" w:sz="12" w:space="0" w:color="000000"/>
            </w:tcBorders>
            <w:shd w:val="clear" w:color="auto" w:fill="629CD1"/>
          </w:tcPr>
          <w:p>
            <w:pPr>
              <w:pStyle w:val="TableParagraph"/>
              <w:spacing w:line="223" w:lineRule="exact" w:before="10"/>
              <w:ind w:left="627" w:right="763"/>
              <w:jc w:val="center"/>
              <w:rPr>
                <w:b/>
                <w:sz w:val="20"/>
              </w:rPr>
            </w:pPr>
            <w:r>
              <w:rPr>
                <w:b/>
                <w:color w:val="FFFFFF"/>
                <w:spacing w:val="-2"/>
                <w:sz w:val="20"/>
              </w:rPr>
              <w:t>$'000</w:t>
            </w:r>
          </w:p>
        </w:tc>
      </w:tr>
      <w:tr>
        <w:trPr>
          <w:trHeight w:val="523" w:hRule="atLeast"/>
        </w:trPr>
        <w:tc>
          <w:tcPr>
            <w:tcW w:w="4188" w:type="dxa"/>
            <w:tcBorders>
              <w:left w:val="single" w:sz="12" w:space="0" w:color="000000"/>
            </w:tcBorders>
          </w:tcPr>
          <w:p>
            <w:pPr>
              <w:pStyle w:val="TableParagraph"/>
              <w:spacing w:before="2"/>
              <w:rPr>
                <w:b/>
                <w:sz w:val="24"/>
              </w:rPr>
            </w:pPr>
          </w:p>
          <w:p>
            <w:pPr>
              <w:pStyle w:val="TableParagraph"/>
              <w:spacing w:line="226" w:lineRule="exact"/>
              <w:ind w:left="107"/>
              <w:rPr>
                <w:b/>
                <w:sz w:val="20"/>
              </w:rPr>
            </w:pPr>
            <w:r>
              <w:rPr>
                <w:b/>
                <w:spacing w:val="-2"/>
                <w:sz w:val="20"/>
              </w:rPr>
              <w:t>Property</w:t>
            </w:r>
          </w:p>
        </w:tc>
        <w:tc>
          <w:tcPr>
            <w:tcW w:w="1504" w:type="dxa"/>
          </w:tcPr>
          <w:p>
            <w:pPr>
              <w:pStyle w:val="TableParagraph"/>
              <w:rPr>
                <w:rFonts w:ascii="Times New Roman"/>
                <w:sz w:val="18"/>
              </w:rPr>
            </w:pPr>
          </w:p>
        </w:tc>
        <w:tc>
          <w:tcPr>
            <w:tcW w:w="1143" w:type="dxa"/>
          </w:tcPr>
          <w:p>
            <w:pPr>
              <w:pStyle w:val="TableParagraph"/>
              <w:rPr>
                <w:rFonts w:ascii="Times New Roman"/>
                <w:sz w:val="18"/>
              </w:rPr>
            </w:pPr>
          </w:p>
        </w:tc>
        <w:tc>
          <w:tcPr>
            <w:tcW w:w="1112" w:type="dxa"/>
          </w:tcPr>
          <w:p>
            <w:pPr>
              <w:pStyle w:val="TableParagraph"/>
              <w:rPr>
                <w:rFonts w:ascii="Times New Roman"/>
                <w:sz w:val="18"/>
              </w:rPr>
            </w:pPr>
          </w:p>
        </w:tc>
        <w:tc>
          <w:tcPr>
            <w:tcW w:w="1118" w:type="dxa"/>
            <w:tcBorders>
              <w:right w:val="single" w:sz="4" w:space="0" w:color="000000"/>
            </w:tcBorders>
          </w:tcPr>
          <w:p>
            <w:pPr>
              <w:pStyle w:val="TableParagraph"/>
              <w:rPr>
                <w:rFonts w:ascii="Times New Roman"/>
                <w:sz w:val="18"/>
              </w:rPr>
            </w:pPr>
          </w:p>
        </w:tc>
        <w:tc>
          <w:tcPr>
            <w:tcW w:w="1420" w:type="dxa"/>
            <w:tcBorders>
              <w:left w:val="single" w:sz="4" w:space="0" w:color="000000"/>
            </w:tcBorders>
          </w:tcPr>
          <w:p>
            <w:pPr>
              <w:pStyle w:val="TableParagraph"/>
              <w:rPr>
                <w:rFonts w:ascii="Times New Roman"/>
                <w:sz w:val="18"/>
              </w:rPr>
            </w:pPr>
          </w:p>
        </w:tc>
        <w:tc>
          <w:tcPr>
            <w:tcW w:w="1290" w:type="dxa"/>
          </w:tcPr>
          <w:p>
            <w:pPr>
              <w:pStyle w:val="TableParagraph"/>
              <w:rPr>
                <w:rFonts w:ascii="Times New Roman"/>
                <w:sz w:val="18"/>
              </w:rPr>
            </w:pPr>
          </w:p>
        </w:tc>
        <w:tc>
          <w:tcPr>
            <w:tcW w:w="1696" w:type="dxa"/>
          </w:tcPr>
          <w:p>
            <w:pPr>
              <w:pStyle w:val="TableParagraph"/>
              <w:rPr>
                <w:rFonts w:ascii="Times New Roman"/>
                <w:sz w:val="18"/>
              </w:rPr>
            </w:pPr>
          </w:p>
        </w:tc>
        <w:tc>
          <w:tcPr>
            <w:tcW w:w="1929" w:type="dxa"/>
            <w:tcBorders>
              <w:right w:val="single" w:sz="12" w:space="0" w:color="000000"/>
            </w:tcBorders>
          </w:tcPr>
          <w:p>
            <w:pPr>
              <w:pStyle w:val="TableParagraph"/>
              <w:rPr>
                <w:rFonts w:ascii="Times New Roman"/>
                <w:sz w:val="18"/>
              </w:rPr>
            </w:pPr>
          </w:p>
        </w:tc>
      </w:tr>
      <w:tr>
        <w:trPr>
          <w:trHeight w:val="255" w:hRule="atLeast"/>
        </w:trPr>
        <w:tc>
          <w:tcPr>
            <w:tcW w:w="4188" w:type="dxa"/>
            <w:tcBorders>
              <w:left w:val="single" w:sz="12" w:space="0" w:color="000000"/>
            </w:tcBorders>
          </w:tcPr>
          <w:p>
            <w:pPr>
              <w:pStyle w:val="TableParagraph"/>
              <w:spacing w:line="227" w:lineRule="exact" w:before="8"/>
              <w:ind w:left="107"/>
              <w:rPr>
                <w:sz w:val="20"/>
              </w:rPr>
            </w:pPr>
            <w:r>
              <w:rPr>
                <w:spacing w:val="-4"/>
                <w:sz w:val="20"/>
              </w:rPr>
              <w:t>Land</w:t>
            </w:r>
          </w:p>
        </w:tc>
        <w:tc>
          <w:tcPr>
            <w:tcW w:w="1504" w:type="dxa"/>
          </w:tcPr>
          <w:p>
            <w:pPr>
              <w:pStyle w:val="TableParagraph"/>
              <w:spacing w:line="227" w:lineRule="exact" w:before="8"/>
              <w:ind w:right="229"/>
              <w:jc w:val="right"/>
              <w:rPr>
                <w:sz w:val="20"/>
              </w:rPr>
            </w:pPr>
            <w:r>
              <w:rPr>
                <w:w w:val="99"/>
                <w:sz w:val="20"/>
              </w:rPr>
              <w:t>0</w:t>
            </w:r>
          </w:p>
        </w:tc>
        <w:tc>
          <w:tcPr>
            <w:tcW w:w="1143" w:type="dxa"/>
          </w:tcPr>
          <w:p>
            <w:pPr>
              <w:pStyle w:val="TableParagraph"/>
              <w:spacing w:line="227" w:lineRule="exact" w:before="8"/>
              <w:ind w:right="110"/>
              <w:jc w:val="right"/>
              <w:rPr>
                <w:sz w:val="20"/>
              </w:rPr>
            </w:pPr>
            <w:r>
              <w:rPr>
                <w:w w:val="99"/>
                <w:sz w:val="20"/>
              </w:rPr>
              <w:t>0</w:t>
            </w:r>
          </w:p>
        </w:tc>
        <w:tc>
          <w:tcPr>
            <w:tcW w:w="1112" w:type="dxa"/>
          </w:tcPr>
          <w:p>
            <w:pPr>
              <w:pStyle w:val="TableParagraph"/>
              <w:spacing w:line="227" w:lineRule="exact" w:before="8"/>
              <w:ind w:right="123"/>
              <w:jc w:val="right"/>
              <w:rPr>
                <w:sz w:val="20"/>
              </w:rPr>
            </w:pPr>
            <w:r>
              <w:rPr>
                <w:w w:val="99"/>
                <w:sz w:val="20"/>
              </w:rPr>
              <w:t>0</w:t>
            </w:r>
          </w:p>
        </w:tc>
        <w:tc>
          <w:tcPr>
            <w:tcW w:w="1118" w:type="dxa"/>
            <w:tcBorders>
              <w:right w:val="single" w:sz="4" w:space="0" w:color="000000"/>
            </w:tcBorders>
          </w:tcPr>
          <w:p>
            <w:pPr>
              <w:pStyle w:val="TableParagraph"/>
              <w:spacing w:line="227" w:lineRule="exact" w:before="8"/>
              <w:ind w:right="88"/>
              <w:jc w:val="right"/>
              <w:rPr>
                <w:sz w:val="20"/>
              </w:rPr>
            </w:pPr>
            <w:r>
              <w:rPr>
                <w:w w:val="99"/>
                <w:sz w:val="20"/>
              </w:rPr>
              <w:t>0</w:t>
            </w:r>
          </w:p>
        </w:tc>
        <w:tc>
          <w:tcPr>
            <w:tcW w:w="1420" w:type="dxa"/>
            <w:tcBorders>
              <w:left w:val="single" w:sz="4" w:space="0" w:color="000000"/>
            </w:tcBorders>
          </w:tcPr>
          <w:p>
            <w:pPr>
              <w:pStyle w:val="TableParagraph"/>
              <w:spacing w:line="227" w:lineRule="exact" w:before="8"/>
              <w:ind w:right="229"/>
              <w:jc w:val="right"/>
              <w:rPr>
                <w:sz w:val="20"/>
              </w:rPr>
            </w:pPr>
            <w:r>
              <w:rPr>
                <w:w w:val="99"/>
                <w:sz w:val="20"/>
              </w:rPr>
              <w:t>0</w:t>
            </w:r>
          </w:p>
        </w:tc>
        <w:tc>
          <w:tcPr>
            <w:tcW w:w="1290" w:type="dxa"/>
          </w:tcPr>
          <w:p>
            <w:pPr>
              <w:pStyle w:val="TableParagraph"/>
              <w:spacing w:line="227" w:lineRule="exact" w:before="8"/>
              <w:ind w:right="106"/>
              <w:jc w:val="right"/>
              <w:rPr>
                <w:sz w:val="20"/>
              </w:rPr>
            </w:pPr>
            <w:r>
              <w:rPr>
                <w:w w:val="99"/>
                <w:sz w:val="20"/>
              </w:rPr>
              <w:t>0</w:t>
            </w:r>
          </w:p>
        </w:tc>
        <w:tc>
          <w:tcPr>
            <w:tcW w:w="1696" w:type="dxa"/>
          </w:tcPr>
          <w:p>
            <w:pPr>
              <w:pStyle w:val="TableParagraph"/>
              <w:spacing w:line="227" w:lineRule="exact" w:before="8"/>
              <w:ind w:right="240"/>
              <w:jc w:val="right"/>
              <w:rPr>
                <w:sz w:val="20"/>
              </w:rPr>
            </w:pPr>
            <w:r>
              <w:rPr>
                <w:w w:val="99"/>
                <w:sz w:val="20"/>
              </w:rPr>
              <w:t>0</w:t>
            </w:r>
          </w:p>
        </w:tc>
        <w:tc>
          <w:tcPr>
            <w:tcW w:w="1929" w:type="dxa"/>
            <w:tcBorders>
              <w:right w:val="single" w:sz="12" w:space="0" w:color="000000"/>
            </w:tcBorders>
          </w:tcPr>
          <w:p>
            <w:pPr>
              <w:pStyle w:val="TableParagraph"/>
              <w:spacing w:line="227" w:lineRule="exact" w:before="8"/>
              <w:ind w:right="87"/>
              <w:jc w:val="right"/>
              <w:rPr>
                <w:sz w:val="20"/>
              </w:rPr>
            </w:pPr>
            <w:r>
              <w:rPr>
                <w:w w:val="99"/>
                <w:sz w:val="20"/>
              </w:rPr>
              <w:t>0</w:t>
            </w:r>
          </w:p>
        </w:tc>
      </w:tr>
      <w:tr>
        <w:trPr>
          <w:trHeight w:val="240" w:hRule="atLeast"/>
        </w:trPr>
        <w:tc>
          <w:tcPr>
            <w:tcW w:w="4188" w:type="dxa"/>
            <w:tcBorders>
              <w:left w:val="single" w:sz="12" w:space="0" w:color="000000"/>
            </w:tcBorders>
          </w:tcPr>
          <w:p>
            <w:pPr>
              <w:pStyle w:val="TableParagraph"/>
              <w:spacing w:line="211" w:lineRule="exact" w:before="10"/>
              <w:ind w:left="107"/>
              <w:rPr>
                <w:sz w:val="20"/>
              </w:rPr>
            </w:pPr>
            <w:r>
              <w:rPr>
                <w:sz w:val="20"/>
              </w:rPr>
              <w:t>Land</w:t>
            </w:r>
            <w:r>
              <w:rPr>
                <w:spacing w:val="-7"/>
                <w:sz w:val="20"/>
              </w:rPr>
              <w:t> </w:t>
            </w:r>
            <w:r>
              <w:rPr>
                <w:spacing w:val="-2"/>
                <w:sz w:val="20"/>
              </w:rPr>
              <w:t>improvements</w:t>
            </w:r>
          </w:p>
        </w:tc>
        <w:tc>
          <w:tcPr>
            <w:tcW w:w="1504" w:type="dxa"/>
            <w:tcBorders>
              <w:bottom w:val="single" w:sz="4" w:space="0" w:color="000000"/>
            </w:tcBorders>
          </w:tcPr>
          <w:p>
            <w:pPr>
              <w:pStyle w:val="TableParagraph"/>
              <w:spacing w:line="211" w:lineRule="exact" w:before="10"/>
              <w:ind w:right="230"/>
              <w:jc w:val="right"/>
              <w:rPr>
                <w:sz w:val="20"/>
              </w:rPr>
            </w:pPr>
            <w:r>
              <w:rPr>
                <w:w w:val="99"/>
                <w:sz w:val="20"/>
              </w:rPr>
              <w:t>0</w:t>
            </w:r>
          </w:p>
        </w:tc>
        <w:tc>
          <w:tcPr>
            <w:tcW w:w="1143" w:type="dxa"/>
            <w:tcBorders>
              <w:bottom w:val="single" w:sz="4" w:space="0" w:color="000000"/>
            </w:tcBorders>
          </w:tcPr>
          <w:p>
            <w:pPr>
              <w:pStyle w:val="TableParagraph"/>
              <w:spacing w:line="211" w:lineRule="exact" w:before="10"/>
              <w:ind w:right="110"/>
              <w:jc w:val="right"/>
              <w:rPr>
                <w:sz w:val="20"/>
              </w:rPr>
            </w:pPr>
            <w:r>
              <w:rPr>
                <w:w w:val="99"/>
                <w:sz w:val="20"/>
              </w:rPr>
              <w:t>0</w:t>
            </w:r>
          </w:p>
        </w:tc>
        <w:tc>
          <w:tcPr>
            <w:tcW w:w="1112" w:type="dxa"/>
            <w:tcBorders>
              <w:bottom w:val="single" w:sz="4" w:space="0" w:color="000000"/>
            </w:tcBorders>
          </w:tcPr>
          <w:p>
            <w:pPr>
              <w:pStyle w:val="TableParagraph"/>
              <w:spacing w:line="211" w:lineRule="exact" w:before="10"/>
              <w:ind w:right="123"/>
              <w:jc w:val="right"/>
              <w:rPr>
                <w:sz w:val="20"/>
              </w:rPr>
            </w:pPr>
            <w:r>
              <w:rPr>
                <w:w w:val="99"/>
                <w:sz w:val="20"/>
              </w:rPr>
              <w:t>0</w:t>
            </w:r>
          </w:p>
        </w:tc>
        <w:tc>
          <w:tcPr>
            <w:tcW w:w="1118" w:type="dxa"/>
            <w:tcBorders>
              <w:bottom w:val="single" w:sz="4" w:space="0" w:color="000000"/>
              <w:right w:val="single" w:sz="4" w:space="0" w:color="000000"/>
            </w:tcBorders>
          </w:tcPr>
          <w:p>
            <w:pPr>
              <w:pStyle w:val="TableParagraph"/>
              <w:spacing w:line="211" w:lineRule="exact" w:before="10"/>
              <w:ind w:right="88"/>
              <w:jc w:val="right"/>
              <w:rPr>
                <w:sz w:val="20"/>
              </w:rPr>
            </w:pPr>
            <w:r>
              <w:rPr>
                <w:w w:val="99"/>
                <w:sz w:val="20"/>
              </w:rPr>
              <w:t>0</w:t>
            </w:r>
          </w:p>
        </w:tc>
        <w:tc>
          <w:tcPr>
            <w:tcW w:w="1420" w:type="dxa"/>
            <w:tcBorders>
              <w:left w:val="single" w:sz="4" w:space="0" w:color="000000"/>
              <w:bottom w:val="single" w:sz="4" w:space="0" w:color="000000"/>
            </w:tcBorders>
          </w:tcPr>
          <w:p>
            <w:pPr>
              <w:pStyle w:val="TableParagraph"/>
              <w:spacing w:line="211" w:lineRule="exact" w:before="10"/>
              <w:ind w:right="229"/>
              <w:jc w:val="right"/>
              <w:rPr>
                <w:sz w:val="20"/>
              </w:rPr>
            </w:pPr>
            <w:r>
              <w:rPr>
                <w:w w:val="99"/>
                <w:sz w:val="20"/>
              </w:rPr>
              <w:t>0</w:t>
            </w:r>
          </w:p>
        </w:tc>
        <w:tc>
          <w:tcPr>
            <w:tcW w:w="1290" w:type="dxa"/>
            <w:tcBorders>
              <w:bottom w:val="single" w:sz="4" w:space="0" w:color="000000"/>
            </w:tcBorders>
          </w:tcPr>
          <w:p>
            <w:pPr>
              <w:pStyle w:val="TableParagraph"/>
              <w:spacing w:line="211" w:lineRule="exact" w:before="10"/>
              <w:ind w:right="106"/>
              <w:jc w:val="right"/>
              <w:rPr>
                <w:sz w:val="20"/>
              </w:rPr>
            </w:pPr>
            <w:r>
              <w:rPr>
                <w:w w:val="99"/>
                <w:sz w:val="20"/>
              </w:rPr>
              <w:t>0</w:t>
            </w:r>
          </w:p>
        </w:tc>
        <w:tc>
          <w:tcPr>
            <w:tcW w:w="1696" w:type="dxa"/>
            <w:tcBorders>
              <w:bottom w:val="single" w:sz="4" w:space="0" w:color="000000"/>
            </w:tcBorders>
          </w:tcPr>
          <w:p>
            <w:pPr>
              <w:pStyle w:val="TableParagraph"/>
              <w:spacing w:line="211" w:lineRule="exact" w:before="10"/>
              <w:ind w:right="240"/>
              <w:jc w:val="right"/>
              <w:rPr>
                <w:sz w:val="20"/>
              </w:rPr>
            </w:pPr>
            <w:r>
              <w:rPr>
                <w:w w:val="99"/>
                <w:sz w:val="20"/>
              </w:rPr>
              <w:t>0</w:t>
            </w:r>
          </w:p>
        </w:tc>
        <w:tc>
          <w:tcPr>
            <w:tcW w:w="1929" w:type="dxa"/>
            <w:tcBorders>
              <w:bottom w:val="single" w:sz="4" w:space="0" w:color="000000"/>
              <w:right w:val="single" w:sz="12" w:space="0" w:color="000000"/>
            </w:tcBorders>
          </w:tcPr>
          <w:p>
            <w:pPr>
              <w:pStyle w:val="TableParagraph"/>
              <w:spacing w:line="211" w:lineRule="exact" w:before="10"/>
              <w:ind w:right="87"/>
              <w:jc w:val="right"/>
              <w:rPr>
                <w:sz w:val="20"/>
              </w:rPr>
            </w:pPr>
            <w:r>
              <w:rPr>
                <w:w w:val="99"/>
                <w:sz w:val="20"/>
              </w:rPr>
              <w:t>0</w:t>
            </w:r>
          </w:p>
        </w:tc>
      </w:tr>
      <w:tr>
        <w:trPr>
          <w:trHeight w:val="249" w:hRule="atLeast"/>
        </w:trPr>
        <w:tc>
          <w:tcPr>
            <w:tcW w:w="4188" w:type="dxa"/>
            <w:tcBorders>
              <w:left w:val="single" w:sz="12" w:space="0" w:color="000000"/>
            </w:tcBorders>
          </w:tcPr>
          <w:p>
            <w:pPr>
              <w:pStyle w:val="TableParagraph"/>
              <w:spacing w:line="206" w:lineRule="exact" w:before="23"/>
              <w:ind w:left="107"/>
              <w:rPr>
                <w:b/>
                <w:sz w:val="20"/>
              </w:rPr>
            </w:pPr>
            <w:r>
              <w:rPr>
                <w:b/>
                <w:sz w:val="20"/>
              </w:rPr>
              <w:t>Total</w:t>
            </w:r>
            <w:r>
              <w:rPr>
                <w:b/>
                <w:spacing w:val="-6"/>
                <w:sz w:val="20"/>
              </w:rPr>
              <w:t> </w:t>
            </w:r>
            <w:r>
              <w:rPr>
                <w:b/>
                <w:spacing w:val="-4"/>
                <w:sz w:val="20"/>
              </w:rPr>
              <w:t>Land</w:t>
            </w:r>
          </w:p>
        </w:tc>
        <w:tc>
          <w:tcPr>
            <w:tcW w:w="1504" w:type="dxa"/>
            <w:tcBorders>
              <w:top w:val="single" w:sz="4" w:space="0" w:color="000000"/>
              <w:bottom w:val="single" w:sz="4" w:space="0" w:color="000000"/>
            </w:tcBorders>
          </w:tcPr>
          <w:p>
            <w:pPr>
              <w:pStyle w:val="TableParagraph"/>
              <w:spacing w:line="206" w:lineRule="exact" w:before="23"/>
              <w:ind w:right="229"/>
              <w:jc w:val="right"/>
              <w:rPr>
                <w:sz w:val="20"/>
              </w:rPr>
            </w:pPr>
            <w:r>
              <w:rPr>
                <w:w w:val="99"/>
                <w:sz w:val="20"/>
              </w:rPr>
              <w:t>0</w:t>
            </w:r>
          </w:p>
        </w:tc>
        <w:tc>
          <w:tcPr>
            <w:tcW w:w="1143" w:type="dxa"/>
            <w:tcBorders>
              <w:top w:val="single" w:sz="4" w:space="0" w:color="000000"/>
              <w:bottom w:val="single" w:sz="4" w:space="0" w:color="000000"/>
            </w:tcBorders>
          </w:tcPr>
          <w:p>
            <w:pPr>
              <w:pStyle w:val="TableParagraph"/>
              <w:spacing w:line="206" w:lineRule="exact" w:before="23"/>
              <w:ind w:right="110"/>
              <w:jc w:val="right"/>
              <w:rPr>
                <w:sz w:val="20"/>
              </w:rPr>
            </w:pPr>
            <w:r>
              <w:rPr>
                <w:w w:val="99"/>
                <w:sz w:val="20"/>
              </w:rPr>
              <w:t>0</w:t>
            </w:r>
          </w:p>
        </w:tc>
        <w:tc>
          <w:tcPr>
            <w:tcW w:w="1112" w:type="dxa"/>
            <w:tcBorders>
              <w:top w:val="single" w:sz="4" w:space="0" w:color="000000"/>
              <w:bottom w:val="single" w:sz="4" w:space="0" w:color="000000"/>
            </w:tcBorders>
          </w:tcPr>
          <w:p>
            <w:pPr>
              <w:pStyle w:val="TableParagraph"/>
              <w:spacing w:line="206" w:lineRule="exact" w:before="23"/>
              <w:ind w:right="123"/>
              <w:jc w:val="right"/>
              <w:rPr>
                <w:sz w:val="20"/>
              </w:rPr>
            </w:pPr>
            <w:r>
              <w:rPr>
                <w:w w:val="99"/>
                <w:sz w:val="20"/>
              </w:rPr>
              <w:t>0</w:t>
            </w:r>
          </w:p>
        </w:tc>
        <w:tc>
          <w:tcPr>
            <w:tcW w:w="1118" w:type="dxa"/>
            <w:tcBorders>
              <w:top w:val="single" w:sz="4" w:space="0" w:color="000000"/>
              <w:bottom w:val="single" w:sz="8" w:space="0" w:color="000000"/>
              <w:right w:val="single" w:sz="4" w:space="0" w:color="000000"/>
            </w:tcBorders>
          </w:tcPr>
          <w:p>
            <w:pPr>
              <w:pStyle w:val="TableParagraph"/>
              <w:spacing w:line="206" w:lineRule="exact" w:before="23"/>
              <w:ind w:right="88"/>
              <w:jc w:val="right"/>
              <w:rPr>
                <w:sz w:val="20"/>
              </w:rPr>
            </w:pPr>
            <w:r>
              <w:rPr>
                <w:w w:val="99"/>
                <w:sz w:val="20"/>
              </w:rPr>
              <w:t>0</w:t>
            </w:r>
          </w:p>
        </w:tc>
        <w:tc>
          <w:tcPr>
            <w:tcW w:w="1420" w:type="dxa"/>
            <w:tcBorders>
              <w:top w:val="single" w:sz="4" w:space="0" w:color="000000"/>
              <w:left w:val="single" w:sz="4" w:space="0" w:color="000000"/>
              <w:bottom w:val="single" w:sz="4" w:space="0" w:color="000000"/>
            </w:tcBorders>
          </w:tcPr>
          <w:p>
            <w:pPr>
              <w:pStyle w:val="TableParagraph"/>
              <w:spacing w:line="206" w:lineRule="exact" w:before="23"/>
              <w:ind w:right="229"/>
              <w:jc w:val="right"/>
              <w:rPr>
                <w:sz w:val="20"/>
              </w:rPr>
            </w:pPr>
            <w:r>
              <w:rPr>
                <w:w w:val="99"/>
                <w:sz w:val="20"/>
              </w:rPr>
              <w:t>0</w:t>
            </w:r>
          </w:p>
        </w:tc>
        <w:tc>
          <w:tcPr>
            <w:tcW w:w="1290" w:type="dxa"/>
            <w:tcBorders>
              <w:top w:val="single" w:sz="4" w:space="0" w:color="000000"/>
              <w:bottom w:val="single" w:sz="4" w:space="0" w:color="000000"/>
            </w:tcBorders>
          </w:tcPr>
          <w:p>
            <w:pPr>
              <w:pStyle w:val="TableParagraph"/>
              <w:spacing w:line="206" w:lineRule="exact" w:before="23"/>
              <w:ind w:right="106"/>
              <w:jc w:val="right"/>
              <w:rPr>
                <w:sz w:val="20"/>
              </w:rPr>
            </w:pPr>
            <w:r>
              <w:rPr>
                <w:w w:val="99"/>
                <w:sz w:val="20"/>
              </w:rPr>
              <w:t>0</w:t>
            </w:r>
          </w:p>
        </w:tc>
        <w:tc>
          <w:tcPr>
            <w:tcW w:w="1696" w:type="dxa"/>
            <w:tcBorders>
              <w:top w:val="single" w:sz="4" w:space="0" w:color="000000"/>
              <w:bottom w:val="single" w:sz="4" w:space="0" w:color="000000"/>
            </w:tcBorders>
          </w:tcPr>
          <w:p>
            <w:pPr>
              <w:pStyle w:val="TableParagraph"/>
              <w:spacing w:line="206" w:lineRule="exact" w:before="23"/>
              <w:ind w:right="240"/>
              <w:jc w:val="right"/>
              <w:rPr>
                <w:sz w:val="20"/>
              </w:rPr>
            </w:pPr>
            <w:r>
              <w:rPr>
                <w:w w:val="99"/>
                <w:sz w:val="20"/>
              </w:rPr>
              <w:t>0</w:t>
            </w:r>
          </w:p>
        </w:tc>
        <w:tc>
          <w:tcPr>
            <w:tcW w:w="1929" w:type="dxa"/>
            <w:tcBorders>
              <w:top w:val="single" w:sz="4" w:space="0" w:color="000000"/>
              <w:bottom w:val="single" w:sz="4" w:space="0" w:color="000000"/>
              <w:right w:val="single" w:sz="12" w:space="0" w:color="000000"/>
            </w:tcBorders>
          </w:tcPr>
          <w:p>
            <w:pPr>
              <w:pStyle w:val="TableParagraph"/>
              <w:spacing w:line="206" w:lineRule="exact" w:before="23"/>
              <w:ind w:right="87"/>
              <w:jc w:val="right"/>
              <w:rPr>
                <w:sz w:val="20"/>
              </w:rPr>
            </w:pPr>
            <w:r>
              <w:rPr>
                <w:w w:val="99"/>
                <w:sz w:val="20"/>
              </w:rPr>
              <w:t>0</w:t>
            </w:r>
          </w:p>
        </w:tc>
      </w:tr>
      <w:tr>
        <w:trPr>
          <w:trHeight w:val="261" w:hRule="atLeast"/>
        </w:trPr>
        <w:tc>
          <w:tcPr>
            <w:tcW w:w="4188" w:type="dxa"/>
            <w:tcBorders>
              <w:left w:val="single" w:sz="12" w:space="0" w:color="000000"/>
            </w:tcBorders>
          </w:tcPr>
          <w:p>
            <w:pPr>
              <w:pStyle w:val="TableParagraph"/>
              <w:spacing w:line="211" w:lineRule="exact" w:before="30"/>
              <w:ind w:left="107"/>
              <w:rPr>
                <w:sz w:val="20"/>
              </w:rPr>
            </w:pPr>
            <w:r>
              <w:rPr>
                <w:spacing w:val="-2"/>
                <w:sz w:val="20"/>
              </w:rPr>
              <w:t>Buildings</w:t>
            </w:r>
          </w:p>
        </w:tc>
        <w:tc>
          <w:tcPr>
            <w:tcW w:w="1504" w:type="dxa"/>
            <w:tcBorders>
              <w:top w:val="single" w:sz="4" w:space="0" w:color="000000"/>
              <w:bottom w:val="single" w:sz="4" w:space="0" w:color="000000"/>
            </w:tcBorders>
          </w:tcPr>
          <w:p>
            <w:pPr>
              <w:pStyle w:val="TableParagraph"/>
              <w:spacing w:line="211" w:lineRule="exact" w:before="30"/>
              <w:ind w:right="232"/>
              <w:jc w:val="right"/>
              <w:rPr>
                <w:sz w:val="20"/>
              </w:rPr>
            </w:pPr>
            <w:r>
              <w:rPr>
                <w:spacing w:val="-2"/>
                <w:sz w:val="20"/>
              </w:rPr>
              <w:t>40,109</w:t>
            </w:r>
          </w:p>
        </w:tc>
        <w:tc>
          <w:tcPr>
            <w:tcW w:w="1143" w:type="dxa"/>
            <w:tcBorders>
              <w:top w:val="single" w:sz="4" w:space="0" w:color="000000"/>
              <w:bottom w:val="single" w:sz="4" w:space="0" w:color="000000"/>
            </w:tcBorders>
          </w:tcPr>
          <w:p>
            <w:pPr>
              <w:pStyle w:val="TableParagraph"/>
              <w:spacing w:line="211" w:lineRule="exact" w:before="30"/>
              <w:ind w:right="112"/>
              <w:jc w:val="right"/>
              <w:rPr>
                <w:sz w:val="20"/>
              </w:rPr>
            </w:pPr>
            <w:r>
              <w:rPr>
                <w:spacing w:val="-2"/>
                <w:sz w:val="20"/>
              </w:rPr>
              <w:t>1,000</w:t>
            </w:r>
          </w:p>
        </w:tc>
        <w:tc>
          <w:tcPr>
            <w:tcW w:w="1112" w:type="dxa"/>
            <w:tcBorders>
              <w:top w:val="single" w:sz="4" w:space="0" w:color="000000"/>
              <w:bottom w:val="single" w:sz="4" w:space="0" w:color="000000"/>
            </w:tcBorders>
          </w:tcPr>
          <w:p>
            <w:pPr>
              <w:pStyle w:val="TableParagraph"/>
              <w:spacing w:line="211" w:lineRule="exact" w:before="30"/>
              <w:ind w:right="125"/>
              <w:jc w:val="right"/>
              <w:rPr>
                <w:sz w:val="20"/>
              </w:rPr>
            </w:pPr>
            <w:r>
              <w:rPr>
                <w:spacing w:val="-2"/>
                <w:sz w:val="20"/>
              </w:rPr>
              <w:t>30,859</w:t>
            </w:r>
          </w:p>
        </w:tc>
        <w:tc>
          <w:tcPr>
            <w:tcW w:w="1118" w:type="dxa"/>
            <w:tcBorders>
              <w:top w:val="single" w:sz="8" w:space="0" w:color="000000"/>
              <w:bottom w:val="single" w:sz="4" w:space="0" w:color="000000"/>
              <w:right w:val="single" w:sz="4" w:space="0" w:color="000000"/>
            </w:tcBorders>
          </w:tcPr>
          <w:p>
            <w:pPr>
              <w:pStyle w:val="TableParagraph"/>
              <w:spacing w:line="211" w:lineRule="exact" w:before="30"/>
              <w:ind w:right="90"/>
              <w:jc w:val="right"/>
              <w:rPr>
                <w:sz w:val="20"/>
              </w:rPr>
            </w:pPr>
            <w:r>
              <w:rPr>
                <w:spacing w:val="-2"/>
                <w:sz w:val="20"/>
              </w:rPr>
              <w:t>8,250</w:t>
            </w:r>
          </w:p>
        </w:tc>
        <w:tc>
          <w:tcPr>
            <w:tcW w:w="1420" w:type="dxa"/>
            <w:tcBorders>
              <w:top w:val="single" w:sz="4" w:space="0" w:color="000000"/>
              <w:left w:val="single" w:sz="4" w:space="0" w:color="000000"/>
              <w:bottom w:val="single" w:sz="4" w:space="0" w:color="000000"/>
            </w:tcBorders>
          </w:tcPr>
          <w:p>
            <w:pPr>
              <w:pStyle w:val="TableParagraph"/>
              <w:spacing w:line="211" w:lineRule="exact" w:before="30"/>
              <w:ind w:right="232"/>
              <w:jc w:val="right"/>
              <w:rPr>
                <w:sz w:val="20"/>
              </w:rPr>
            </w:pPr>
            <w:r>
              <w:rPr>
                <w:spacing w:val="-2"/>
                <w:sz w:val="20"/>
              </w:rPr>
              <w:t>40,109</w:t>
            </w:r>
          </w:p>
        </w:tc>
        <w:tc>
          <w:tcPr>
            <w:tcW w:w="1290" w:type="dxa"/>
            <w:tcBorders>
              <w:top w:val="single" w:sz="4" w:space="0" w:color="000000"/>
              <w:bottom w:val="single" w:sz="4" w:space="0" w:color="000000"/>
            </w:tcBorders>
          </w:tcPr>
          <w:p>
            <w:pPr>
              <w:pStyle w:val="TableParagraph"/>
              <w:spacing w:line="211" w:lineRule="exact" w:before="30"/>
              <w:ind w:right="108"/>
              <w:jc w:val="right"/>
              <w:rPr>
                <w:sz w:val="20"/>
              </w:rPr>
            </w:pPr>
            <w:r>
              <w:rPr>
                <w:spacing w:val="-2"/>
                <w:sz w:val="20"/>
              </w:rPr>
              <w:t>9,000</w:t>
            </w:r>
          </w:p>
        </w:tc>
        <w:tc>
          <w:tcPr>
            <w:tcW w:w="1696" w:type="dxa"/>
            <w:tcBorders>
              <w:top w:val="single" w:sz="4" w:space="0" w:color="000000"/>
              <w:bottom w:val="single" w:sz="4" w:space="0" w:color="000000"/>
            </w:tcBorders>
          </w:tcPr>
          <w:p>
            <w:pPr>
              <w:pStyle w:val="TableParagraph"/>
              <w:spacing w:line="211" w:lineRule="exact" w:before="30"/>
              <w:ind w:right="242"/>
              <w:jc w:val="right"/>
              <w:rPr>
                <w:sz w:val="20"/>
              </w:rPr>
            </w:pPr>
            <w:r>
              <w:rPr>
                <w:spacing w:val="-5"/>
                <w:sz w:val="20"/>
              </w:rPr>
              <w:t>200</w:t>
            </w:r>
          </w:p>
        </w:tc>
        <w:tc>
          <w:tcPr>
            <w:tcW w:w="1929" w:type="dxa"/>
            <w:tcBorders>
              <w:top w:val="single" w:sz="4" w:space="0" w:color="000000"/>
              <w:bottom w:val="single" w:sz="4" w:space="0" w:color="000000"/>
              <w:right w:val="single" w:sz="12" w:space="0" w:color="000000"/>
            </w:tcBorders>
          </w:tcPr>
          <w:p>
            <w:pPr>
              <w:pStyle w:val="TableParagraph"/>
              <w:spacing w:line="211" w:lineRule="exact" w:before="30"/>
              <w:ind w:right="90"/>
              <w:jc w:val="right"/>
              <w:rPr>
                <w:sz w:val="20"/>
              </w:rPr>
            </w:pPr>
            <w:r>
              <w:rPr>
                <w:spacing w:val="-2"/>
                <w:sz w:val="20"/>
              </w:rPr>
              <w:t>30,909</w:t>
            </w:r>
          </w:p>
        </w:tc>
      </w:tr>
      <w:tr>
        <w:trPr>
          <w:trHeight w:val="253" w:hRule="atLeast"/>
        </w:trPr>
        <w:tc>
          <w:tcPr>
            <w:tcW w:w="4188" w:type="dxa"/>
            <w:tcBorders>
              <w:left w:val="single" w:sz="12" w:space="0" w:color="000000"/>
            </w:tcBorders>
          </w:tcPr>
          <w:p>
            <w:pPr>
              <w:pStyle w:val="TableParagraph"/>
              <w:spacing w:line="211" w:lineRule="exact" w:before="23"/>
              <w:ind w:left="107"/>
              <w:rPr>
                <w:b/>
                <w:sz w:val="20"/>
              </w:rPr>
            </w:pPr>
            <w:r>
              <w:rPr>
                <w:b/>
                <w:sz w:val="20"/>
              </w:rPr>
              <w:t>Total</w:t>
            </w:r>
            <w:r>
              <w:rPr>
                <w:b/>
                <w:spacing w:val="-6"/>
                <w:sz w:val="20"/>
              </w:rPr>
              <w:t> </w:t>
            </w:r>
            <w:r>
              <w:rPr>
                <w:b/>
                <w:spacing w:val="-2"/>
                <w:sz w:val="20"/>
              </w:rPr>
              <w:t>Buildings</w:t>
            </w:r>
          </w:p>
        </w:tc>
        <w:tc>
          <w:tcPr>
            <w:tcW w:w="1504" w:type="dxa"/>
            <w:tcBorders>
              <w:top w:val="single" w:sz="4" w:space="0" w:color="000000"/>
              <w:bottom w:val="single" w:sz="4" w:space="0" w:color="000000"/>
            </w:tcBorders>
          </w:tcPr>
          <w:p>
            <w:pPr>
              <w:pStyle w:val="TableParagraph"/>
              <w:spacing w:line="211" w:lineRule="exact" w:before="23"/>
              <w:ind w:right="232"/>
              <w:jc w:val="right"/>
              <w:rPr>
                <w:sz w:val="20"/>
              </w:rPr>
            </w:pPr>
            <w:r>
              <w:rPr>
                <w:spacing w:val="-2"/>
                <w:sz w:val="20"/>
              </w:rPr>
              <w:t>40,109</w:t>
            </w:r>
          </w:p>
        </w:tc>
        <w:tc>
          <w:tcPr>
            <w:tcW w:w="1143" w:type="dxa"/>
            <w:tcBorders>
              <w:top w:val="single" w:sz="4" w:space="0" w:color="000000"/>
              <w:bottom w:val="single" w:sz="4" w:space="0" w:color="000000"/>
            </w:tcBorders>
          </w:tcPr>
          <w:p>
            <w:pPr>
              <w:pStyle w:val="TableParagraph"/>
              <w:spacing w:line="211" w:lineRule="exact" w:before="23"/>
              <w:ind w:right="112"/>
              <w:jc w:val="right"/>
              <w:rPr>
                <w:sz w:val="20"/>
              </w:rPr>
            </w:pPr>
            <w:r>
              <w:rPr>
                <w:spacing w:val="-2"/>
                <w:sz w:val="20"/>
              </w:rPr>
              <w:t>1,000</w:t>
            </w:r>
          </w:p>
        </w:tc>
        <w:tc>
          <w:tcPr>
            <w:tcW w:w="1112" w:type="dxa"/>
            <w:tcBorders>
              <w:top w:val="single" w:sz="4" w:space="0" w:color="000000"/>
              <w:bottom w:val="single" w:sz="4" w:space="0" w:color="000000"/>
            </w:tcBorders>
          </w:tcPr>
          <w:p>
            <w:pPr>
              <w:pStyle w:val="TableParagraph"/>
              <w:spacing w:line="211" w:lineRule="exact" w:before="23"/>
              <w:ind w:right="125"/>
              <w:jc w:val="right"/>
              <w:rPr>
                <w:sz w:val="20"/>
              </w:rPr>
            </w:pPr>
            <w:r>
              <w:rPr>
                <w:spacing w:val="-2"/>
                <w:sz w:val="20"/>
              </w:rPr>
              <w:t>30,859</w:t>
            </w:r>
          </w:p>
        </w:tc>
        <w:tc>
          <w:tcPr>
            <w:tcW w:w="1118" w:type="dxa"/>
            <w:tcBorders>
              <w:top w:val="single" w:sz="4" w:space="0" w:color="000000"/>
              <w:bottom w:val="single" w:sz="4" w:space="0" w:color="000000"/>
              <w:right w:val="single" w:sz="4" w:space="0" w:color="000000"/>
            </w:tcBorders>
          </w:tcPr>
          <w:p>
            <w:pPr>
              <w:pStyle w:val="TableParagraph"/>
              <w:spacing w:line="211" w:lineRule="exact" w:before="23"/>
              <w:ind w:right="90"/>
              <w:jc w:val="right"/>
              <w:rPr>
                <w:sz w:val="20"/>
              </w:rPr>
            </w:pPr>
            <w:r>
              <w:rPr>
                <w:spacing w:val="-2"/>
                <w:sz w:val="20"/>
              </w:rPr>
              <w:t>8,250</w:t>
            </w:r>
          </w:p>
        </w:tc>
        <w:tc>
          <w:tcPr>
            <w:tcW w:w="1420" w:type="dxa"/>
            <w:tcBorders>
              <w:top w:val="single" w:sz="4" w:space="0" w:color="000000"/>
              <w:left w:val="single" w:sz="4" w:space="0" w:color="000000"/>
              <w:bottom w:val="single" w:sz="4" w:space="0" w:color="000000"/>
            </w:tcBorders>
          </w:tcPr>
          <w:p>
            <w:pPr>
              <w:pStyle w:val="TableParagraph"/>
              <w:spacing w:line="211" w:lineRule="exact" w:before="23"/>
              <w:ind w:right="232"/>
              <w:jc w:val="right"/>
              <w:rPr>
                <w:sz w:val="20"/>
              </w:rPr>
            </w:pPr>
            <w:r>
              <w:rPr>
                <w:spacing w:val="-2"/>
                <w:sz w:val="20"/>
              </w:rPr>
              <w:t>40,109</w:t>
            </w:r>
          </w:p>
        </w:tc>
        <w:tc>
          <w:tcPr>
            <w:tcW w:w="1290" w:type="dxa"/>
            <w:tcBorders>
              <w:top w:val="single" w:sz="4" w:space="0" w:color="000000"/>
              <w:bottom w:val="single" w:sz="4" w:space="0" w:color="000000"/>
            </w:tcBorders>
          </w:tcPr>
          <w:p>
            <w:pPr>
              <w:pStyle w:val="TableParagraph"/>
              <w:spacing w:line="211" w:lineRule="exact" w:before="23"/>
              <w:ind w:right="108"/>
              <w:jc w:val="right"/>
              <w:rPr>
                <w:sz w:val="20"/>
              </w:rPr>
            </w:pPr>
            <w:r>
              <w:rPr>
                <w:spacing w:val="-2"/>
                <w:sz w:val="20"/>
              </w:rPr>
              <w:t>9,000</w:t>
            </w:r>
          </w:p>
        </w:tc>
        <w:tc>
          <w:tcPr>
            <w:tcW w:w="1696" w:type="dxa"/>
            <w:tcBorders>
              <w:top w:val="single" w:sz="4" w:space="0" w:color="000000"/>
              <w:bottom w:val="single" w:sz="4" w:space="0" w:color="000000"/>
            </w:tcBorders>
          </w:tcPr>
          <w:p>
            <w:pPr>
              <w:pStyle w:val="TableParagraph"/>
              <w:spacing w:line="211" w:lineRule="exact" w:before="23"/>
              <w:ind w:right="242"/>
              <w:jc w:val="right"/>
              <w:rPr>
                <w:sz w:val="20"/>
              </w:rPr>
            </w:pPr>
            <w:r>
              <w:rPr>
                <w:spacing w:val="-5"/>
                <w:sz w:val="20"/>
              </w:rPr>
              <w:t>200</w:t>
            </w:r>
          </w:p>
        </w:tc>
        <w:tc>
          <w:tcPr>
            <w:tcW w:w="1929" w:type="dxa"/>
            <w:tcBorders>
              <w:top w:val="single" w:sz="4" w:space="0" w:color="000000"/>
              <w:bottom w:val="single" w:sz="4" w:space="0" w:color="000000"/>
              <w:right w:val="single" w:sz="12" w:space="0" w:color="000000"/>
            </w:tcBorders>
          </w:tcPr>
          <w:p>
            <w:pPr>
              <w:pStyle w:val="TableParagraph"/>
              <w:spacing w:line="211" w:lineRule="exact" w:before="23"/>
              <w:ind w:right="90"/>
              <w:jc w:val="right"/>
              <w:rPr>
                <w:sz w:val="20"/>
              </w:rPr>
            </w:pPr>
            <w:r>
              <w:rPr>
                <w:spacing w:val="-2"/>
                <w:sz w:val="20"/>
              </w:rPr>
              <w:t>30,909</w:t>
            </w:r>
          </w:p>
        </w:tc>
      </w:tr>
      <w:tr>
        <w:trPr>
          <w:trHeight w:val="256" w:hRule="atLeast"/>
        </w:trPr>
        <w:tc>
          <w:tcPr>
            <w:tcW w:w="4188" w:type="dxa"/>
            <w:tcBorders>
              <w:left w:val="single" w:sz="12" w:space="0" w:color="000000"/>
            </w:tcBorders>
          </w:tcPr>
          <w:p>
            <w:pPr>
              <w:pStyle w:val="TableParagraph"/>
              <w:spacing w:line="211" w:lineRule="exact" w:before="26"/>
              <w:ind w:left="107"/>
              <w:rPr>
                <w:b/>
                <w:sz w:val="20"/>
              </w:rPr>
            </w:pPr>
            <w:r>
              <w:rPr>
                <w:b/>
                <w:sz w:val="20"/>
              </w:rPr>
              <w:t>Total</w:t>
            </w:r>
            <w:r>
              <w:rPr>
                <w:b/>
                <w:spacing w:val="-6"/>
                <w:sz w:val="20"/>
              </w:rPr>
              <w:t> </w:t>
            </w:r>
            <w:r>
              <w:rPr>
                <w:b/>
                <w:spacing w:val="-2"/>
                <w:sz w:val="20"/>
              </w:rPr>
              <w:t>Property</w:t>
            </w:r>
          </w:p>
        </w:tc>
        <w:tc>
          <w:tcPr>
            <w:tcW w:w="1504" w:type="dxa"/>
            <w:tcBorders>
              <w:top w:val="single" w:sz="4" w:space="0" w:color="000000"/>
              <w:bottom w:val="single" w:sz="4" w:space="0" w:color="000000"/>
            </w:tcBorders>
          </w:tcPr>
          <w:p>
            <w:pPr>
              <w:pStyle w:val="TableParagraph"/>
              <w:spacing w:line="211" w:lineRule="exact" w:before="26"/>
              <w:ind w:right="232"/>
              <w:jc w:val="right"/>
              <w:rPr>
                <w:b/>
                <w:sz w:val="20"/>
              </w:rPr>
            </w:pPr>
            <w:r>
              <w:rPr>
                <w:b/>
                <w:spacing w:val="-2"/>
                <w:sz w:val="20"/>
              </w:rPr>
              <w:t>40,109</w:t>
            </w:r>
          </w:p>
        </w:tc>
        <w:tc>
          <w:tcPr>
            <w:tcW w:w="1143" w:type="dxa"/>
            <w:tcBorders>
              <w:top w:val="single" w:sz="4" w:space="0" w:color="000000"/>
              <w:bottom w:val="single" w:sz="4" w:space="0" w:color="000000"/>
            </w:tcBorders>
          </w:tcPr>
          <w:p>
            <w:pPr>
              <w:pStyle w:val="TableParagraph"/>
              <w:spacing w:line="211" w:lineRule="exact" w:before="26"/>
              <w:ind w:right="112"/>
              <w:jc w:val="right"/>
              <w:rPr>
                <w:b/>
                <w:sz w:val="20"/>
              </w:rPr>
            </w:pPr>
            <w:r>
              <w:rPr>
                <w:b/>
                <w:spacing w:val="-2"/>
                <w:sz w:val="20"/>
              </w:rPr>
              <w:t>1,000</w:t>
            </w:r>
          </w:p>
        </w:tc>
        <w:tc>
          <w:tcPr>
            <w:tcW w:w="1112" w:type="dxa"/>
            <w:tcBorders>
              <w:top w:val="single" w:sz="4" w:space="0" w:color="000000"/>
              <w:bottom w:val="single" w:sz="4" w:space="0" w:color="000000"/>
            </w:tcBorders>
          </w:tcPr>
          <w:p>
            <w:pPr>
              <w:pStyle w:val="TableParagraph"/>
              <w:spacing w:line="211" w:lineRule="exact" w:before="26"/>
              <w:ind w:right="125"/>
              <w:jc w:val="right"/>
              <w:rPr>
                <w:b/>
                <w:sz w:val="20"/>
              </w:rPr>
            </w:pPr>
            <w:r>
              <w:rPr>
                <w:b/>
                <w:spacing w:val="-2"/>
                <w:sz w:val="20"/>
              </w:rPr>
              <w:t>30,859</w:t>
            </w:r>
          </w:p>
        </w:tc>
        <w:tc>
          <w:tcPr>
            <w:tcW w:w="1118" w:type="dxa"/>
            <w:tcBorders>
              <w:top w:val="single" w:sz="4" w:space="0" w:color="000000"/>
              <w:bottom w:val="single" w:sz="4" w:space="0" w:color="000000"/>
              <w:right w:val="single" w:sz="4" w:space="0" w:color="000000"/>
            </w:tcBorders>
          </w:tcPr>
          <w:p>
            <w:pPr>
              <w:pStyle w:val="TableParagraph"/>
              <w:spacing w:line="211" w:lineRule="exact" w:before="26"/>
              <w:ind w:right="90"/>
              <w:jc w:val="right"/>
              <w:rPr>
                <w:b/>
                <w:sz w:val="20"/>
              </w:rPr>
            </w:pPr>
            <w:r>
              <w:rPr>
                <w:b/>
                <w:spacing w:val="-2"/>
                <w:sz w:val="20"/>
              </w:rPr>
              <w:t>8,250</w:t>
            </w:r>
          </w:p>
        </w:tc>
        <w:tc>
          <w:tcPr>
            <w:tcW w:w="1420" w:type="dxa"/>
            <w:tcBorders>
              <w:top w:val="single" w:sz="4" w:space="0" w:color="000000"/>
              <w:left w:val="single" w:sz="4" w:space="0" w:color="000000"/>
              <w:bottom w:val="single" w:sz="4" w:space="0" w:color="000000"/>
            </w:tcBorders>
          </w:tcPr>
          <w:p>
            <w:pPr>
              <w:pStyle w:val="TableParagraph"/>
              <w:spacing w:line="211" w:lineRule="exact" w:before="26"/>
              <w:ind w:right="232"/>
              <w:jc w:val="right"/>
              <w:rPr>
                <w:b/>
                <w:sz w:val="20"/>
              </w:rPr>
            </w:pPr>
            <w:r>
              <w:rPr>
                <w:b/>
                <w:spacing w:val="-2"/>
                <w:sz w:val="20"/>
              </w:rPr>
              <w:t>40,109</w:t>
            </w:r>
          </w:p>
        </w:tc>
        <w:tc>
          <w:tcPr>
            <w:tcW w:w="1290" w:type="dxa"/>
            <w:tcBorders>
              <w:top w:val="single" w:sz="4" w:space="0" w:color="000000"/>
              <w:bottom w:val="single" w:sz="4" w:space="0" w:color="000000"/>
            </w:tcBorders>
          </w:tcPr>
          <w:p>
            <w:pPr>
              <w:pStyle w:val="TableParagraph"/>
              <w:spacing w:line="211" w:lineRule="exact" w:before="26"/>
              <w:ind w:right="108"/>
              <w:jc w:val="right"/>
              <w:rPr>
                <w:b/>
                <w:sz w:val="20"/>
              </w:rPr>
            </w:pPr>
            <w:r>
              <w:rPr>
                <w:b/>
                <w:spacing w:val="-2"/>
                <w:sz w:val="20"/>
              </w:rPr>
              <w:t>9,000</w:t>
            </w:r>
          </w:p>
        </w:tc>
        <w:tc>
          <w:tcPr>
            <w:tcW w:w="1696" w:type="dxa"/>
            <w:tcBorders>
              <w:top w:val="single" w:sz="4" w:space="0" w:color="000000"/>
              <w:bottom w:val="single" w:sz="4" w:space="0" w:color="000000"/>
            </w:tcBorders>
          </w:tcPr>
          <w:p>
            <w:pPr>
              <w:pStyle w:val="TableParagraph"/>
              <w:spacing w:line="211" w:lineRule="exact" w:before="26"/>
              <w:ind w:right="242"/>
              <w:jc w:val="right"/>
              <w:rPr>
                <w:b/>
                <w:sz w:val="20"/>
              </w:rPr>
            </w:pPr>
            <w:r>
              <w:rPr>
                <w:b/>
                <w:spacing w:val="-5"/>
                <w:sz w:val="20"/>
              </w:rPr>
              <w:t>200</w:t>
            </w:r>
          </w:p>
        </w:tc>
        <w:tc>
          <w:tcPr>
            <w:tcW w:w="1929" w:type="dxa"/>
            <w:tcBorders>
              <w:top w:val="single" w:sz="4" w:space="0" w:color="000000"/>
              <w:bottom w:val="single" w:sz="4" w:space="0" w:color="000000"/>
              <w:right w:val="single" w:sz="12" w:space="0" w:color="000000"/>
            </w:tcBorders>
          </w:tcPr>
          <w:p>
            <w:pPr>
              <w:pStyle w:val="TableParagraph"/>
              <w:spacing w:line="211" w:lineRule="exact" w:before="26"/>
              <w:ind w:right="90"/>
              <w:jc w:val="right"/>
              <w:rPr>
                <w:b/>
                <w:sz w:val="20"/>
              </w:rPr>
            </w:pPr>
            <w:r>
              <w:rPr>
                <w:b/>
                <w:spacing w:val="-2"/>
                <w:sz w:val="20"/>
              </w:rPr>
              <w:t>30,909</w:t>
            </w:r>
          </w:p>
        </w:tc>
      </w:tr>
      <w:tr>
        <w:trPr>
          <w:trHeight w:val="523" w:hRule="atLeast"/>
        </w:trPr>
        <w:tc>
          <w:tcPr>
            <w:tcW w:w="4188" w:type="dxa"/>
            <w:tcBorders>
              <w:left w:val="single" w:sz="12" w:space="0" w:color="000000"/>
            </w:tcBorders>
          </w:tcPr>
          <w:p>
            <w:pPr>
              <w:pStyle w:val="TableParagraph"/>
              <w:spacing w:before="1"/>
              <w:rPr>
                <w:b/>
                <w:sz w:val="24"/>
              </w:rPr>
            </w:pPr>
          </w:p>
          <w:p>
            <w:pPr>
              <w:pStyle w:val="TableParagraph"/>
              <w:spacing w:line="226" w:lineRule="exact" w:before="1"/>
              <w:ind w:left="107"/>
              <w:rPr>
                <w:b/>
                <w:sz w:val="20"/>
              </w:rPr>
            </w:pPr>
            <w:r>
              <w:rPr>
                <w:b/>
                <w:sz w:val="20"/>
              </w:rPr>
              <w:t>Plant</w:t>
            </w:r>
            <w:r>
              <w:rPr>
                <w:b/>
                <w:spacing w:val="-5"/>
                <w:sz w:val="20"/>
              </w:rPr>
              <w:t> </w:t>
            </w:r>
            <w:r>
              <w:rPr>
                <w:b/>
                <w:sz w:val="20"/>
              </w:rPr>
              <w:t>and</w:t>
            </w:r>
            <w:r>
              <w:rPr>
                <w:b/>
                <w:spacing w:val="-4"/>
                <w:sz w:val="20"/>
              </w:rPr>
              <w:t> </w:t>
            </w:r>
            <w:r>
              <w:rPr>
                <w:b/>
                <w:spacing w:val="-2"/>
                <w:sz w:val="20"/>
              </w:rPr>
              <w:t>Equipment</w:t>
            </w:r>
          </w:p>
        </w:tc>
        <w:tc>
          <w:tcPr>
            <w:tcW w:w="1504" w:type="dxa"/>
            <w:tcBorders>
              <w:top w:val="single" w:sz="4" w:space="0" w:color="000000"/>
            </w:tcBorders>
          </w:tcPr>
          <w:p>
            <w:pPr>
              <w:pStyle w:val="TableParagraph"/>
              <w:rPr>
                <w:rFonts w:ascii="Times New Roman"/>
                <w:sz w:val="18"/>
              </w:rPr>
            </w:pPr>
          </w:p>
        </w:tc>
        <w:tc>
          <w:tcPr>
            <w:tcW w:w="1143" w:type="dxa"/>
            <w:tcBorders>
              <w:top w:val="single" w:sz="4" w:space="0" w:color="000000"/>
            </w:tcBorders>
          </w:tcPr>
          <w:p>
            <w:pPr>
              <w:pStyle w:val="TableParagraph"/>
              <w:rPr>
                <w:rFonts w:ascii="Times New Roman"/>
                <w:sz w:val="18"/>
              </w:rPr>
            </w:pPr>
          </w:p>
        </w:tc>
        <w:tc>
          <w:tcPr>
            <w:tcW w:w="1112" w:type="dxa"/>
            <w:tcBorders>
              <w:top w:val="single" w:sz="4" w:space="0" w:color="000000"/>
            </w:tcBorders>
          </w:tcPr>
          <w:p>
            <w:pPr>
              <w:pStyle w:val="TableParagraph"/>
              <w:rPr>
                <w:rFonts w:ascii="Times New Roman"/>
                <w:sz w:val="18"/>
              </w:rPr>
            </w:pPr>
          </w:p>
        </w:tc>
        <w:tc>
          <w:tcPr>
            <w:tcW w:w="1118" w:type="dxa"/>
            <w:tcBorders>
              <w:top w:val="single" w:sz="4" w:space="0" w:color="000000"/>
              <w:right w:val="single" w:sz="4" w:space="0" w:color="000000"/>
            </w:tcBorders>
          </w:tcPr>
          <w:p>
            <w:pPr>
              <w:pStyle w:val="TableParagraph"/>
              <w:rPr>
                <w:rFonts w:ascii="Times New Roman"/>
                <w:sz w:val="18"/>
              </w:rPr>
            </w:pPr>
          </w:p>
        </w:tc>
        <w:tc>
          <w:tcPr>
            <w:tcW w:w="1420" w:type="dxa"/>
            <w:tcBorders>
              <w:top w:val="single" w:sz="4" w:space="0" w:color="000000"/>
              <w:left w:val="single" w:sz="4" w:space="0" w:color="000000"/>
            </w:tcBorders>
          </w:tcPr>
          <w:p>
            <w:pPr>
              <w:pStyle w:val="TableParagraph"/>
              <w:rPr>
                <w:rFonts w:ascii="Times New Roman"/>
                <w:sz w:val="18"/>
              </w:rPr>
            </w:pPr>
          </w:p>
        </w:tc>
        <w:tc>
          <w:tcPr>
            <w:tcW w:w="1290" w:type="dxa"/>
            <w:tcBorders>
              <w:top w:val="single" w:sz="4" w:space="0" w:color="000000"/>
            </w:tcBorders>
          </w:tcPr>
          <w:p>
            <w:pPr>
              <w:pStyle w:val="TableParagraph"/>
              <w:rPr>
                <w:rFonts w:ascii="Times New Roman"/>
                <w:sz w:val="18"/>
              </w:rPr>
            </w:pPr>
          </w:p>
        </w:tc>
        <w:tc>
          <w:tcPr>
            <w:tcW w:w="1696" w:type="dxa"/>
            <w:tcBorders>
              <w:top w:val="single" w:sz="4" w:space="0" w:color="000000"/>
            </w:tcBorders>
          </w:tcPr>
          <w:p>
            <w:pPr>
              <w:pStyle w:val="TableParagraph"/>
              <w:rPr>
                <w:rFonts w:ascii="Times New Roman"/>
                <w:sz w:val="18"/>
              </w:rPr>
            </w:pPr>
          </w:p>
        </w:tc>
        <w:tc>
          <w:tcPr>
            <w:tcW w:w="1929" w:type="dxa"/>
            <w:tcBorders>
              <w:top w:val="single" w:sz="4" w:space="0" w:color="000000"/>
              <w:right w:val="single" w:sz="12" w:space="0" w:color="000000"/>
            </w:tcBorders>
          </w:tcPr>
          <w:p>
            <w:pPr>
              <w:pStyle w:val="TableParagraph"/>
              <w:rPr>
                <w:rFonts w:ascii="Times New Roman"/>
                <w:sz w:val="18"/>
              </w:rPr>
            </w:pPr>
          </w:p>
        </w:tc>
      </w:tr>
      <w:tr>
        <w:trPr>
          <w:trHeight w:val="255" w:hRule="atLeast"/>
        </w:trPr>
        <w:tc>
          <w:tcPr>
            <w:tcW w:w="4188" w:type="dxa"/>
            <w:tcBorders>
              <w:left w:val="single" w:sz="12" w:space="0" w:color="000000"/>
            </w:tcBorders>
          </w:tcPr>
          <w:p>
            <w:pPr>
              <w:pStyle w:val="TableParagraph"/>
              <w:spacing w:line="227" w:lineRule="exact" w:before="8"/>
              <w:ind w:left="107"/>
              <w:rPr>
                <w:sz w:val="20"/>
              </w:rPr>
            </w:pPr>
            <w:r>
              <w:rPr>
                <w:sz w:val="20"/>
              </w:rPr>
              <w:t>Plant,</w:t>
            </w:r>
            <w:r>
              <w:rPr>
                <w:spacing w:val="-4"/>
                <w:sz w:val="20"/>
              </w:rPr>
              <w:t> </w:t>
            </w:r>
            <w:r>
              <w:rPr>
                <w:sz w:val="20"/>
              </w:rPr>
              <w:t>machinery,</w:t>
            </w:r>
            <w:r>
              <w:rPr>
                <w:spacing w:val="-8"/>
                <w:sz w:val="20"/>
              </w:rPr>
              <w:t> </w:t>
            </w:r>
            <w:r>
              <w:rPr>
                <w:sz w:val="20"/>
              </w:rPr>
              <w:t>and</w:t>
            </w:r>
            <w:r>
              <w:rPr>
                <w:spacing w:val="-4"/>
                <w:sz w:val="20"/>
              </w:rPr>
              <w:t> </w:t>
            </w:r>
            <w:r>
              <w:rPr>
                <w:spacing w:val="-2"/>
                <w:sz w:val="20"/>
              </w:rPr>
              <w:t>equipment</w:t>
            </w:r>
          </w:p>
        </w:tc>
        <w:tc>
          <w:tcPr>
            <w:tcW w:w="1504" w:type="dxa"/>
          </w:tcPr>
          <w:p>
            <w:pPr>
              <w:pStyle w:val="TableParagraph"/>
              <w:spacing w:line="227" w:lineRule="exact" w:before="8"/>
              <w:ind w:right="231"/>
              <w:jc w:val="right"/>
              <w:rPr>
                <w:sz w:val="20"/>
              </w:rPr>
            </w:pPr>
            <w:r>
              <w:rPr>
                <w:spacing w:val="-2"/>
                <w:sz w:val="20"/>
              </w:rPr>
              <w:t>1,104</w:t>
            </w:r>
          </w:p>
        </w:tc>
        <w:tc>
          <w:tcPr>
            <w:tcW w:w="1143" w:type="dxa"/>
          </w:tcPr>
          <w:p>
            <w:pPr>
              <w:pStyle w:val="TableParagraph"/>
              <w:spacing w:line="227" w:lineRule="exact" w:before="8"/>
              <w:ind w:right="110"/>
              <w:jc w:val="right"/>
              <w:rPr>
                <w:sz w:val="20"/>
              </w:rPr>
            </w:pPr>
            <w:r>
              <w:rPr>
                <w:w w:val="99"/>
                <w:sz w:val="20"/>
              </w:rPr>
              <w:t>0</w:t>
            </w:r>
          </w:p>
        </w:tc>
        <w:tc>
          <w:tcPr>
            <w:tcW w:w="1112" w:type="dxa"/>
          </w:tcPr>
          <w:p>
            <w:pPr>
              <w:pStyle w:val="TableParagraph"/>
              <w:spacing w:line="227" w:lineRule="exact" w:before="8"/>
              <w:ind w:right="126"/>
              <w:jc w:val="right"/>
              <w:rPr>
                <w:sz w:val="20"/>
              </w:rPr>
            </w:pPr>
            <w:r>
              <w:rPr>
                <w:spacing w:val="-2"/>
                <w:sz w:val="20"/>
              </w:rPr>
              <w:t>1,104</w:t>
            </w:r>
          </w:p>
        </w:tc>
        <w:tc>
          <w:tcPr>
            <w:tcW w:w="1118" w:type="dxa"/>
            <w:tcBorders>
              <w:right w:val="single" w:sz="4" w:space="0" w:color="000000"/>
            </w:tcBorders>
          </w:tcPr>
          <w:p>
            <w:pPr>
              <w:pStyle w:val="TableParagraph"/>
              <w:spacing w:line="227" w:lineRule="exact" w:before="8"/>
              <w:ind w:right="88"/>
              <w:jc w:val="right"/>
              <w:rPr>
                <w:sz w:val="20"/>
              </w:rPr>
            </w:pPr>
            <w:r>
              <w:rPr>
                <w:w w:val="99"/>
                <w:sz w:val="20"/>
              </w:rPr>
              <w:t>0</w:t>
            </w:r>
          </w:p>
        </w:tc>
        <w:tc>
          <w:tcPr>
            <w:tcW w:w="1420" w:type="dxa"/>
            <w:tcBorders>
              <w:left w:val="single" w:sz="4" w:space="0" w:color="000000"/>
            </w:tcBorders>
          </w:tcPr>
          <w:p>
            <w:pPr>
              <w:pStyle w:val="TableParagraph"/>
              <w:spacing w:line="227" w:lineRule="exact" w:before="8"/>
              <w:ind w:right="231"/>
              <w:jc w:val="right"/>
              <w:rPr>
                <w:sz w:val="20"/>
              </w:rPr>
            </w:pPr>
            <w:r>
              <w:rPr>
                <w:spacing w:val="-2"/>
                <w:sz w:val="20"/>
              </w:rPr>
              <w:t>1,104</w:t>
            </w:r>
          </w:p>
        </w:tc>
        <w:tc>
          <w:tcPr>
            <w:tcW w:w="1290" w:type="dxa"/>
          </w:tcPr>
          <w:p>
            <w:pPr>
              <w:pStyle w:val="TableParagraph"/>
              <w:spacing w:line="227" w:lineRule="exact" w:before="8"/>
              <w:ind w:right="106"/>
              <w:jc w:val="right"/>
              <w:rPr>
                <w:sz w:val="20"/>
              </w:rPr>
            </w:pPr>
            <w:r>
              <w:rPr>
                <w:w w:val="99"/>
                <w:sz w:val="20"/>
              </w:rPr>
              <w:t>0</w:t>
            </w:r>
          </w:p>
        </w:tc>
        <w:tc>
          <w:tcPr>
            <w:tcW w:w="1696" w:type="dxa"/>
          </w:tcPr>
          <w:p>
            <w:pPr>
              <w:pStyle w:val="TableParagraph"/>
              <w:spacing w:line="227" w:lineRule="exact" w:before="8"/>
              <w:ind w:right="239"/>
              <w:jc w:val="right"/>
              <w:rPr>
                <w:sz w:val="20"/>
              </w:rPr>
            </w:pPr>
            <w:r>
              <w:rPr>
                <w:w w:val="99"/>
                <w:sz w:val="20"/>
              </w:rPr>
              <w:t>0</w:t>
            </w:r>
          </w:p>
        </w:tc>
        <w:tc>
          <w:tcPr>
            <w:tcW w:w="1929" w:type="dxa"/>
            <w:tcBorders>
              <w:right w:val="single" w:sz="12" w:space="0" w:color="000000"/>
            </w:tcBorders>
          </w:tcPr>
          <w:p>
            <w:pPr>
              <w:pStyle w:val="TableParagraph"/>
              <w:spacing w:line="227" w:lineRule="exact" w:before="8"/>
              <w:ind w:right="89"/>
              <w:jc w:val="right"/>
              <w:rPr>
                <w:sz w:val="20"/>
              </w:rPr>
            </w:pPr>
            <w:r>
              <w:rPr>
                <w:spacing w:val="-2"/>
                <w:sz w:val="20"/>
              </w:rPr>
              <w:t>1,104</w:t>
            </w:r>
          </w:p>
        </w:tc>
      </w:tr>
      <w:tr>
        <w:trPr>
          <w:trHeight w:val="255" w:hRule="atLeast"/>
        </w:trPr>
        <w:tc>
          <w:tcPr>
            <w:tcW w:w="4188" w:type="dxa"/>
            <w:tcBorders>
              <w:left w:val="single" w:sz="12" w:space="0" w:color="000000"/>
            </w:tcBorders>
          </w:tcPr>
          <w:p>
            <w:pPr>
              <w:pStyle w:val="TableParagraph"/>
              <w:spacing w:line="226" w:lineRule="exact" w:before="10"/>
              <w:ind w:left="107"/>
              <w:rPr>
                <w:sz w:val="20"/>
              </w:rPr>
            </w:pPr>
            <w:r>
              <w:rPr>
                <w:sz w:val="20"/>
              </w:rPr>
              <w:t>Fixtures,</w:t>
            </w:r>
            <w:r>
              <w:rPr>
                <w:spacing w:val="-7"/>
                <w:sz w:val="20"/>
              </w:rPr>
              <w:t> </w:t>
            </w:r>
            <w:r>
              <w:rPr>
                <w:sz w:val="20"/>
              </w:rPr>
              <w:t>fittings,</w:t>
            </w:r>
            <w:r>
              <w:rPr>
                <w:spacing w:val="-6"/>
                <w:sz w:val="20"/>
              </w:rPr>
              <w:t> </w:t>
            </w:r>
            <w:r>
              <w:rPr>
                <w:sz w:val="20"/>
              </w:rPr>
              <w:t>and</w:t>
            </w:r>
            <w:r>
              <w:rPr>
                <w:spacing w:val="-7"/>
                <w:sz w:val="20"/>
              </w:rPr>
              <w:t> </w:t>
            </w:r>
            <w:r>
              <w:rPr>
                <w:spacing w:val="-2"/>
                <w:sz w:val="20"/>
              </w:rPr>
              <w:t>furniture</w:t>
            </w:r>
          </w:p>
        </w:tc>
        <w:tc>
          <w:tcPr>
            <w:tcW w:w="1504" w:type="dxa"/>
          </w:tcPr>
          <w:p>
            <w:pPr>
              <w:pStyle w:val="TableParagraph"/>
              <w:spacing w:line="226" w:lineRule="exact" w:before="10"/>
              <w:ind w:right="232"/>
              <w:jc w:val="right"/>
              <w:rPr>
                <w:sz w:val="20"/>
              </w:rPr>
            </w:pPr>
            <w:r>
              <w:rPr>
                <w:spacing w:val="-5"/>
                <w:sz w:val="20"/>
              </w:rPr>
              <w:t>835</w:t>
            </w:r>
          </w:p>
        </w:tc>
        <w:tc>
          <w:tcPr>
            <w:tcW w:w="1143" w:type="dxa"/>
          </w:tcPr>
          <w:p>
            <w:pPr>
              <w:pStyle w:val="TableParagraph"/>
              <w:spacing w:line="226" w:lineRule="exact" w:before="10"/>
              <w:ind w:right="113"/>
              <w:jc w:val="right"/>
              <w:rPr>
                <w:sz w:val="20"/>
              </w:rPr>
            </w:pPr>
            <w:r>
              <w:rPr>
                <w:spacing w:val="-5"/>
                <w:sz w:val="20"/>
              </w:rPr>
              <w:t>75</w:t>
            </w:r>
          </w:p>
        </w:tc>
        <w:tc>
          <w:tcPr>
            <w:tcW w:w="1112" w:type="dxa"/>
          </w:tcPr>
          <w:p>
            <w:pPr>
              <w:pStyle w:val="TableParagraph"/>
              <w:spacing w:line="226" w:lineRule="exact" w:before="10"/>
              <w:ind w:right="125"/>
              <w:jc w:val="right"/>
              <w:rPr>
                <w:sz w:val="20"/>
              </w:rPr>
            </w:pPr>
            <w:r>
              <w:rPr>
                <w:spacing w:val="-5"/>
                <w:sz w:val="20"/>
              </w:rPr>
              <w:t>715</w:t>
            </w:r>
          </w:p>
        </w:tc>
        <w:tc>
          <w:tcPr>
            <w:tcW w:w="1118" w:type="dxa"/>
            <w:tcBorders>
              <w:right w:val="single" w:sz="4" w:space="0" w:color="000000"/>
            </w:tcBorders>
          </w:tcPr>
          <w:p>
            <w:pPr>
              <w:pStyle w:val="TableParagraph"/>
              <w:spacing w:line="226" w:lineRule="exact" w:before="10"/>
              <w:ind w:right="92"/>
              <w:jc w:val="right"/>
              <w:rPr>
                <w:sz w:val="20"/>
              </w:rPr>
            </w:pPr>
            <w:r>
              <w:rPr>
                <w:spacing w:val="-5"/>
                <w:sz w:val="20"/>
              </w:rPr>
              <w:t>45</w:t>
            </w:r>
          </w:p>
        </w:tc>
        <w:tc>
          <w:tcPr>
            <w:tcW w:w="1420" w:type="dxa"/>
            <w:tcBorders>
              <w:left w:val="single" w:sz="4" w:space="0" w:color="000000"/>
            </w:tcBorders>
          </w:tcPr>
          <w:p>
            <w:pPr>
              <w:pStyle w:val="TableParagraph"/>
              <w:spacing w:line="226" w:lineRule="exact" w:before="10"/>
              <w:ind w:right="232"/>
              <w:jc w:val="right"/>
              <w:rPr>
                <w:sz w:val="20"/>
              </w:rPr>
            </w:pPr>
            <w:r>
              <w:rPr>
                <w:spacing w:val="-5"/>
                <w:sz w:val="20"/>
              </w:rPr>
              <w:t>835</w:t>
            </w:r>
          </w:p>
        </w:tc>
        <w:tc>
          <w:tcPr>
            <w:tcW w:w="1290" w:type="dxa"/>
          </w:tcPr>
          <w:p>
            <w:pPr>
              <w:pStyle w:val="TableParagraph"/>
              <w:spacing w:line="226" w:lineRule="exact" w:before="10"/>
              <w:ind w:right="106"/>
              <w:jc w:val="right"/>
              <w:rPr>
                <w:sz w:val="20"/>
              </w:rPr>
            </w:pPr>
            <w:r>
              <w:rPr>
                <w:w w:val="99"/>
                <w:sz w:val="20"/>
              </w:rPr>
              <w:t>0</w:t>
            </w:r>
          </w:p>
        </w:tc>
        <w:tc>
          <w:tcPr>
            <w:tcW w:w="1696" w:type="dxa"/>
          </w:tcPr>
          <w:p>
            <w:pPr>
              <w:pStyle w:val="TableParagraph"/>
              <w:spacing w:line="226" w:lineRule="exact" w:before="10"/>
              <w:ind w:right="239"/>
              <w:jc w:val="right"/>
              <w:rPr>
                <w:sz w:val="20"/>
              </w:rPr>
            </w:pPr>
            <w:r>
              <w:rPr>
                <w:w w:val="99"/>
                <w:sz w:val="20"/>
              </w:rPr>
              <w:t>0</w:t>
            </w:r>
          </w:p>
        </w:tc>
        <w:tc>
          <w:tcPr>
            <w:tcW w:w="1929" w:type="dxa"/>
            <w:tcBorders>
              <w:right w:val="single" w:sz="12" w:space="0" w:color="000000"/>
            </w:tcBorders>
          </w:tcPr>
          <w:p>
            <w:pPr>
              <w:pStyle w:val="TableParagraph"/>
              <w:spacing w:line="226" w:lineRule="exact" w:before="10"/>
              <w:ind w:right="90"/>
              <w:jc w:val="right"/>
              <w:rPr>
                <w:sz w:val="20"/>
              </w:rPr>
            </w:pPr>
            <w:r>
              <w:rPr>
                <w:spacing w:val="-5"/>
                <w:sz w:val="20"/>
              </w:rPr>
              <w:t>835</w:t>
            </w:r>
          </w:p>
        </w:tc>
      </w:tr>
      <w:tr>
        <w:trPr>
          <w:trHeight w:val="239" w:hRule="atLeast"/>
        </w:trPr>
        <w:tc>
          <w:tcPr>
            <w:tcW w:w="4188" w:type="dxa"/>
            <w:tcBorders>
              <w:left w:val="single" w:sz="12" w:space="0" w:color="000000"/>
            </w:tcBorders>
          </w:tcPr>
          <w:p>
            <w:pPr>
              <w:pStyle w:val="TableParagraph"/>
              <w:spacing w:line="211" w:lineRule="exact" w:before="8"/>
              <w:ind w:left="107"/>
              <w:rPr>
                <w:sz w:val="20"/>
              </w:rPr>
            </w:pPr>
            <w:r>
              <w:rPr>
                <w:sz w:val="20"/>
              </w:rPr>
              <w:t>Computers</w:t>
            </w:r>
            <w:r>
              <w:rPr>
                <w:spacing w:val="-6"/>
                <w:sz w:val="20"/>
              </w:rPr>
              <w:t> </w:t>
            </w:r>
            <w:r>
              <w:rPr>
                <w:sz w:val="20"/>
              </w:rPr>
              <w:t>and</w:t>
            </w:r>
            <w:r>
              <w:rPr>
                <w:spacing w:val="-8"/>
                <w:sz w:val="20"/>
              </w:rPr>
              <w:t> </w:t>
            </w:r>
            <w:r>
              <w:rPr>
                <w:spacing w:val="-2"/>
                <w:sz w:val="20"/>
              </w:rPr>
              <w:t>telecommunications</w:t>
            </w:r>
          </w:p>
        </w:tc>
        <w:tc>
          <w:tcPr>
            <w:tcW w:w="1504" w:type="dxa"/>
            <w:tcBorders>
              <w:bottom w:val="single" w:sz="4" w:space="0" w:color="000000"/>
            </w:tcBorders>
          </w:tcPr>
          <w:p>
            <w:pPr>
              <w:pStyle w:val="TableParagraph"/>
              <w:spacing w:line="211" w:lineRule="exact" w:before="8"/>
              <w:ind w:right="232"/>
              <w:jc w:val="right"/>
              <w:rPr>
                <w:sz w:val="20"/>
              </w:rPr>
            </w:pPr>
            <w:r>
              <w:rPr>
                <w:spacing w:val="-5"/>
                <w:sz w:val="20"/>
              </w:rPr>
              <w:t>601</w:t>
            </w:r>
          </w:p>
        </w:tc>
        <w:tc>
          <w:tcPr>
            <w:tcW w:w="1143" w:type="dxa"/>
            <w:tcBorders>
              <w:bottom w:val="single" w:sz="4" w:space="0" w:color="000000"/>
            </w:tcBorders>
          </w:tcPr>
          <w:p>
            <w:pPr>
              <w:pStyle w:val="TableParagraph"/>
              <w:spacing w:line="211" w:lineRule="exact" w:before="8"/>
              <w:ind w:right="113"/>
              <w:jc w:val="right"/>
              <w:rPr>
                <w:sz w:val="20"/>
              </w:rPr>
            </w:pPr>
            <w:r>
              <w:rPr>
                <w:spacing w:val="-5"/>
                <w:sz w:val="20"/>
              </w:rPr>
              <w:t>219</w:t>
            </w:r>
          </w:p>
        </w:tc>
        <w:tc>
          <w:tcPr>
            <w:tcW w:w="1112" w:type="dxa"/>
            <w:tcBorders>
              <w:bottom w:val="single" w:sz="4" w:space="0" w:color="000000"/>
            </w:tcBorders>
          </w:tcPr>
          <w:p>
            <w:pPr>
              <w:pStyle w:val="TableParagraph"/>
              <w:spacing w:line="211" w:lineRule="exact" w:before="8"/>
              <w:ind w:right="125"/>
              <w:jc w:val="right"/>
              <w:rPr>
                <w:sz w:val="20"/>
              </w:rPr>
            </w:pPr>
            <w:r>
              <w:rPr>
                <w:spacing w:val="-5"/>
                <w:sz w:val="20"/>
              </w:rPr>
              <w:t>273</w:t>
            </w:r>
          </w:p>
        </w:tc>
        <w:tc>
          <w:tcPr>
            <w:tcW w:w="1118" w:type="dxa"/>
            <w:tcBorders>
              <w:bottom w:val="single" w:sz="4" w:space="0" w:color="000000"/>
              <w:right w:val="single" w:sz="4" w:space="0" w:color="000000"/>
            </w:tcBorders>
          </w:tcPr>
          <w:p>
            <w:pPr>
              <w:pStyle w:val="TableParagraph"/>
              <w:spacing w:line="211" w:lineRule="exact" w:before="8"/>
              <w:ind w:right="91"/>
              <w:jc w:val="right"/>
              <w:rPr>
                <w:sz w:val="20"/>
              </w:rPr>
            </w:pPr>
            <w:r>
              <w:rPr>
                <w:spacing w:val="-5"/>
                <w:sz w:val="20"/>
              </w:rPr>
              <w:t>109</w:t>
            </w:r>
          </w:p>
        </w:tc>
        <w:tc>
          <w:tcPr>
            <w:tcW w:w="1420" w:type="dxa"/>
            <w:tcBorders>
              <w:left w:val="single" w:sz="4" w:space="0" w:color="000000"/>
              <w:bottom w:val="single" w:sz="4" w:space="0" w:color="000000"/>
            </w:tcBorders>
          </w:tcPr>
          <w:p>
            <w:pPr>
              <w:pStyle w:val="TableParagraph"/>
              <w:spacing w:line="211" w:lineRule="exact" w:before="8"/>
              <w:ind w:right="232"/>
              <w:jc w:val="right"/>
              <w:rPr>
                <w:sz w:val="20"/>
              </w:rPr>
            </w:pPr>
            <w:r>
              <w:rPr>
                <w:spacing w:val="-5"/>
                <w:sz w:val="20"/>
              </w:rPr>
              <w:t>601</w:t>
            </w:r>
          </w:p>
        </w:tc>
        <w:tc>
          <w:tcPr>
            <w:tcW w:w="1290" w:type="dxa"/>
            <w:tcBorders>
              <w:bottom w:val="single" w:sz="4" w:space="0" w:color="000000"/>
            </w:tcBorders>
          </w:tcPr>
          <w:p>
            <w:pPr>
              <w:pStyle w:val="TableParagraph"/>
              <w:spacing w:line="211" w:lineRule="exact" w:before="8"/>
              <w:ind w:right="106"/>
              <w:jc w:val="right"/>
              <w:rPr>
                <w:sz w:val="20"/>
              </w:rPr>
            </w:pPr>
            <w:r>
              <w:rPr>
                <w:w w:val="99"/>
                <w:sz w:val="20"/>
              </w:rPr>
              <w:t>0</w:t>
            </w:r>
          </w:p>
        </w:tc>
        <w:tc>
          <w:tcPr>
            <w:tcW w:w="1696" w:type="dxa"/>
            <w:tcBorders>
              <w:bottom w:val="single" w:sz="4" w:space="0" w:color="000000"/>
            </w:tcBorders>
          </w:tcPr>
          <w:p>
            <w:pPr>
              <w:pStyle w:val="TableParagraph"/>
              <w:spacing w:line="211" w:lineRule="exact" w:before="8"/>
              <w:ind w:right="239"/>
              <w:jc w:val="right"/>
              <w:rPr>
                <w:sz w:val="20"/>
              </w:rPr>
            </w:pPr>
            <w:r>
              <w:rPr>
                <w:w w:val="99"/>
                <w:sz w:val="20"/>
              </w:rPr>
              <w:t>0</w:t>
            </w:r>
          </w:p>
        </w:tc>
        <w:tc>
          <w:tcPr>
            <w:tcW w:w="1929" w:type="dxa"/>
            <w:tcBorders>
              <w:bottom w:val="single" w:sz="4" w:space="0" w:color="000000"/>
              <w:right w:val="single" w:sz="12" w:space="0" w:color="000000"/>
            </w:tcBorders>
          </w:tcPr>
          <w:p>
            <w:pPr>
              <w:pStyle w:val="TableParagraph"/>
              <w:spacing w:line="211" w:lineRule="exact" w:before="8"/>
              <w:ind w:right="90"/>
              <w:jc w:val="right"/>
              <w:rPr>
                <w:sz w:val="20"/>
              </w:rPr>
            </w:pPr>
            <w:r>
              <w:rPr>
                <w:spacing w:val="-5"/>
                <w:sz w:val="20"/>
              </w:rPr>
              <w:t>601</w:t>
            </w:r>
          </w:p>
        </w:tc>
      </w:tr>
      <w:tr>
        <w:trPr>
          <w:trHeight w:val="254" w:hRule="atLeast"/>
        </w:trPr>
        <w:tc>
          <w:tcPr>
            <w:tcW w:w="4188" w:type="dxa"/>
            <w:tcBorders>
              <w:left w:val="single" w:sz="12" w:space="0" w:color="000000"/>
            </w:tcBorders>
          </w:tcPr>
          <w:p>
            <w:pPr>
              <w:pStyle w:val="TableParagraph"/>
              <w:spacing w:line="211" w:lineRule="exact" w:before="23"/>
              <w:ind w:left="107"/>
              <w:rPr>
                <w:b/>
                <w:sz w:val="20"/>
              </w:rPr>
            </w:pPr>
            <w:r>
              <w:rPr>
                <w:b/>
                <w:sz w:val="20"/>
              </w:rPr>
              <w:t>Total</w:t>
            </w:r>
            <w:r>
              <w:rPr>
                <w:b/>
                <w:spacing w:val="-6"/>
                <w:sz w:val="20"/>
              </w:rPr>
              <w:t> </w:t>
            </w:r>
            <w:r>
              <w:rPr>
                <w:b/>
                <w:sz w:val="20"/>
              </w:rPr>
              <w:t>Plant</w:t>
            </w:r>
            <w:r>
              <w:rPr>
                <w:b/>
                <w:spacing w:val="-6"/>
                <w:sz w:val="20"/>
              </w:rPr>
              <w:t> </w:t>
            </w:r>
            <w:r>
              <w:rPr>
                <w:b/>
                <w:sz w:val="20"/>
              </w:rPr>
              <w:t>and</w:t>
            </w:r>
            <w:r>
              <w:rPr>
                <w:b/>
                <w:spacing w:val="-4"/>
                <w:sz w:val="20"/>
              </w:rPr>
              <w:t> </w:t>
            </w:r>
            <w:r>
              <w:rPr>
                <w:b/>
                <w:spacing w:val="-2"/>
                <w:sz w:val="20"/>
              </w:rPr>
              <w:t>Equipment</w:t>
            </w:r>
          </w:p>
        </w:tc>
        <w:tc>
          <w:tcPr>
            <w:tcW w:w="1504" w:type="dxa"/>
            <w:tcBorders>
              <w:top w:val="single" w:sz="4" w:space="0" w:color="000000"/>
              <w:bottom w:val="single" w:sz="4" w:space="0" w:color="000000"/>
            </w:tcBorders>
          </w:tcPr>
          <w:p>
            <w:pPr>
              <w:pStyle w:val="TableParagraph"/>
              <w:spacing w:line="211" w:lineRule="exact" w:before="23"/>
              <w:ind w:right="231"/>
              <w:jc w:val="right"/>
              <w:rPr>
                <w:b/>
                <w:sz w:val="20"/>
              </w:rPr>
            </w:pPr>
            <w:r>
              <w:rPr>
                <w:b/>
                <w:spacing w:val="-2"/>
                <w:sz w:val="20"/>
              </w:rPr>
              <w:t>2,540</w:t>
            </w:r>
          </w:p>
        </w:tc>
        <w:tc>
          <w:tcPr>
            <w:tcW w:w="1143" w:type="dxa"/>
            <w:tcBorders>
              <w:top w:val="single" w:sz="4" w:space="0" w:color="000000"/>
              <w:bottom w:val="single" w:sz="4" w:space="0" w:color="000000"/>
            </w:tcBorders>
          </w:tcPr>
          <w:p>
            <w:pPr>
              <w:pStyle w:val="TableParagraph"/>
              <w:spacing w:line="211" w:lineRule="exact" w:before="23"/>
              <w:ind w:right="113"/>
              <w:jc w:val="right"/>
              <w:rPr>
                <w:b/>
                <w:sz w:val="20"/>
              </w:rPr>
            </w:pPr>
            <w:r>
              <w:rPr>
                <w:b/>
                <w:spacing w:val="-5"/>
                <w:sz w:val="20"/>
              </w:rPr>
              <w:t>294</w:t>
            </w:r>
          </w:p>
        </w:tc>
        <w:tc>
          <w:tcPr>
            <w:tcW w:w="1112" w:type="dxa"/>
            <w:tcBorders>
              <w:top w:val="single" w:sz="4" w:space="0" w:color="000000"/>
              <w:bottom w:val="single" w:sz="4" w:space="0" w:color="000000"/>
            </w:tcBorders>
          </w:tcPr>
          <w:p>
            <w:pPr>
              <w:pStyle w:val="TableParagraph"/>
              <w:spacing w:line="211" w:lineRule="exact" w:before="23"/>
              <w:ind w:right="126"/>
              <w:jc w:val="right"/>
              <w:rPr>
                <w:b/>
                <w:sz w:val="20"/>
              </w:rPr>
            </w:pPr>
            <w:r>
              <w:rPr>
                <w:b/>
                <w:spacing w:val="-2"/>
                <w:sz w:val="20"/>
              </w:rPr>
              <w:t>2,092</w:t>
            </w:r>
          </w:p>
        </w:tc>
        <w:tc>
          <w:tcPr>
            <w:tcW w:w="1118" w:type="dxa"/>
            <w:tcBorders>
              <w:top w:val="single" w:sz="4" w:space="0" w:color="000000"/>
              <w:bottom w:val="single" w:sz="4" w:space="0" w:color="000000"/>
              <w:right w:val="single" w:sz="4" w:space="0" w:color="000000"/>
            </w:tcBorders>
          </w:tcPr>
          <w:p>
            <w:pPr>
              <w:pStyle w:val="TableParagraph"/>
              <w:spacing w:line="211" w:lineRule="exact" w:before="23"/>
              <w:ind w:right="91"/>
              <w:jc w:val="right"/>
              <w:rPr>
                <w:b/>
                <w:sz w:val="20"/>
              </w:rPr>
            </w:pPr>
            <w:r>
              <w:rPr>
                <w:b/>
                <w:spacing w:val="-5"/>
                <w:sz w:val="20"/>
              </w:rPr>
              <w:t>154</w:t>
            </w:r>
          </w:p>
        </w:tc>
        <w:tc>
          <w:tcPr>
            <w:tcW w:w="1420" w:type="dxa"/>
            <w:tcBorders>
              <w:top w:val="single" w:sz="4" w:space="0" w:color="000000"/>
              <w:left w:val="single" w:sz="4" w:space="0" w:color="000000"/>
              <w:bottom w:val="single" w:sz="4" w:space="0" w:color="000000"/>
            </w:tcBorders>
          </w:tcPr>
          <w:p>
            <w:pPr>
              <w:pStyle w:val="TableParagraph"/>
              <w:spacing w:line="211" w:lineRule="exact" w:before="23"/>
              <w:ind w:right="231"/>
              <w:jc w:val="right"/>
              <w:rPr>
                <w:b/>
                <w:sz w:val="20"/>
              </w:rPr>
            </w:pPr>
            <w:r>
              <w:rPr>
                <w:b/>
                <w:spacing w:val="-2"/>
                <w:sz w:val="20"/>
              </w:rPr>
              <w:t>2,540</w:t>
            </w:r>
          </w:p>
        </w:tc>
        <w:tc>
          <w:tcPr>
            <w:tcW w:w="1290" w:type="dxa"/>
            <w:tcBorders>
              <w:top w:val="single" w:sz="4" w:space="0" w:color="000000"/>
              <w:bottom w:val="single" w:sz="4" w:space="0" w:color="000000"/>
            </w:tcBorders>
          </w:tcPr>
          <w:p>
            <w:pPr>
              <w:pStyle w:val="TableParagraph"/>
              <w:spacing w:line="211" w:lineRule="exact" w:before="23"/>
              <w:ind w:right="106"/>
              <w:jc w:val="right"/>
              <w:rPr>
                <w:b/>
                <w:sz w:val="20"/>
              </w:rPr>
            </w:pPr>
            <w:r>
              <w:rPr>
                <w:b/>
                <w:w w:val="99"/>
                <w:sz w:val="20"/>
              </w:rPr>
              <w:t>0</w:t>
            </w:r>
          </w:p>
        </w:tc>
        <w:tc>
          <w:tcPr>
            <w:tcW w:w="1696" w:type="dxa"/>
            <w:tcBorders>
              <w:top w:val="single" w:sz="4" w:space="0" w:color="000000"/>
              <w:bottom w:val="single" w:sz="4" w:space="0" w:color="000000"/>
            </w:tcBorders>
          </w:tcPr>
          <w:p>
            <w:pPr>
              <w:pStyle w:val="TableParagraph"/>
              <w:spacing w:line="211" w:lineRule="exact" w:before="23"/>
              <w:ind w:right="239"/>
              <w:jc w:val="right"/>
              <w:rPr>
                <w:b/>
                <w:sz w:val="20"/>
              </w:rPr>
            </w:pPr>
            <w:r>
              <w:rPr>
                <w:b/>
                <w:w w:val="99"/>
                <w:sz w:val="20"/>
              </w:rPr>
              <w:t>0</w:t>
            </w:r>
          </w:p>
        </w:tc>
        <w:tc>
          <w:tcPr>
            <w:tcW w:w="1929" w:type="dxa"/>
            <w:tcBorders>
              <w:top w:val="single" w:sz="4" w:space="0" w:color="000000"/>
              <w:bottom w:val="single" w:sz="4" w:space="0" w:color="000000"/>
              <w:right w:val="single" w:sz="12" w:space="0" w:color="000000"/>
            </w:tcBorders>
          </w:tcPr>
          <w:p>
            <w:pPr>
              <w:pStyle w:val="TableParagraph"/>
              <w:spacing w:line="211" w:lineRule="exact" w:before="23"/>
              <w:ind w:right="89"/>
              <w:jc w:val="right"/>
              <w:rPr>
                <w:b/>
                <w:sz w:val="20"/>
              </w:rPr>
            </w:pPr>
            <w:r>
              <w:rPr>
                <w:b/>
                <w:spacing w:val="-2"/>
                <w:sz w:val="20"/>
              </w:rPr>
              <w:t>2,540</w:t>
            </w:r>
          </w:p>
        </w:tc>
      </w:tr>
      <w:tr>
        <w:trPr>
          <w:trHeight w:val="525" w:hRule="atLeast"/>
        </w:trPr>
        <w:tc>
          <w:tcPr>
            <w:tcW w:w="4188" w:type="dxa"/>
            <w:tcBorders>
              <w:left w:val="single" w:sz="12" w:space="0" w:color="000000"/>
            </w:tcBorders>
          </w:tcPr>
          <w:p>
            <w:pPr>
              <w:pStyle w:val="TableParagraph"/>
              <w:spacing w:before="4"/>
              <w:rPr>
                <w:b/>
                <w:sz w:val="24"/>
              </w:rPr>
            </w:pPr>
          </w:p>
          <w:p>
            <w:pPr>
              <w:pStyle w:val="TableParagraph"/>
              <w:spacing w:line="226" w:lineRule="exact"/>
              <w:ind w:left="107"/>
              <w:rPr>
                <w:b/>
                <w:sz w:val="20"/>
              </w:rPr>
            </w:pPr>
            <w:r>
              <w:rPr>
                <w:b/>
                <w:spacing w:val="-2"/>
                <w:sz w:val="20"/>
              </w:rPr>
              <w:t>Infrastructure</w:t>
            </w:r>
          </w:p>
        </w:tc>
        <w:tc>
          <w:tcPr>
            <w:tcW w:w="1504" w:type="dxa"/>
            <w:tcBorders>
              <w:top w:val="single" w:sz="4" w:space="0" w:color="000000"/>
            </w:tcBorders>
          </w:tcPr>
          <w:p>
            <w:pPr>
              <w:pStyle w:val="TableParagraph"/>
              <w:rPr>
                <w:rFonts w:ascii="Times New Roman"/>
                <w:sz w:val="18"/>
              </w:rPr>
            </w:pPr>
          </w:p>
        </w:tc>
        <w:tc>
          <w:tcPr>
            <w:tcW w:w="1143" w:type="dxa"/>
            <w:tcBorders>
              <w:top w:val="single" w:sz="4" w:space="0" w:color="000000"/>
            </w:tcBorders>
          </w:tcPr>
          <w:p>
            <w:pPr>
              <w:pStyle w:val="TableParagraph"/>
              <w:rPr>
                <w:rFonts w:ascii="Times New Roman"/>
                <w:sz w:val="18"/>
              </w:rPr>
            </w:pPr>
          </w:p>
        </w:tc>
        <w:tc>
          <w:tcPr>
            <w:tcW w:w="1112" w:type="dxa"/>
            <w:tcBorders>
              <w:top w:val="single" w:sz="4" w:space="0" w:color="000000"/>
            </w:tcBorders>
          </w:tcPr>
          <w:p>
            <w:pPr>
              <w:pStyle w:val="TableParagraph"/>
              <w:rPr>
                <w:rFonts w:ascii="Times New Roman"/>
                <w:sz w:val="18"/>
              </w:rPr>
            </w:pPr>
          </w:p>
        </w:tc>
        <w:tc>
          <w:tcPr>
            <w:tcW w:w="1118" w:type="dxa"/>
            <w:tcBorders>
              <w:top w:val="single" w:sz="4" w:space="0" w:color="000000"/>
              <w:right w:val="single" w:sz="4" w:space="0" w:color="000000"/>
            </w:tcBorders>
          </w:tcPr>
          <w:p>
            <w:pPr>
              <w:pStyle w:val="TableParagraph"/>
              <w:rPr>
                <w:rFonts w:ascii="Times New Roman"/>
                <w:sz w:val="18"/>
              </w:rPr>
            </w:pPr>
          </w:p>
        </w:tc>
        <w:tc>
          <w:tcPr>
            <w:tcW w:w="1420" w:type="dxa"/>
            <w:tcBorders>
              <w:top w:val="single" w:sz="4" w:space="0" w:color="000000"/>
              <w:left w:val="single" w:sz="4" w:space="0" w:color="000000"/>
            </w:tcBorders>
          </w:tcPr>
          <w:p>
            <w:pPr>
              <w:pStyle w:val="TableParagraph"/>
              <w:rPr>
                <w:rFonts w:ascii="Times New Roman"/>
                <w:sz w:val="18"/>
              </w:rPr>
            </w:pPr>
          </w:p>
        </w:tc>
        <w:tc>
          <w:tcPr>
            <w:tcW w:w="1290" w:type="dxa"/>
            <w:tcBorders>
              <w:top w:val="single" w:sz="4" w:space="0" w:color="000000"/>
            </w:tcBorders>
          </w:tcPr>
          <w:p>
            <w:pPr>
              <w:pStyle w:val="TableParagraph"/>
              <w:rPr>
                <w:rFonts w:ascii="Times New Roman"/>
                <w:sz w:val="18"/>
              </w:rPr>
            </w:pPr>
          </w:p>
        </w:tc>
        <w:tc>
          <w:tcPr>
            <w:tcW w:w="1696" w:type="dxa"/>
            <w:tcBorders>
              <w:top w:val="single" w:sz="4" w:space="0" w:color="000000"/>
            </w:tcBorders>
          </w:tcPr>
          <w:p>
            <w:pPr>
              <w:pStyle w:val="TableParagraph"/>
              <w:rPr>
                <w:rFonts w:ascii="Times New Roman"/>
                <w:sz w:val="18"/>
              </w:rPr>
            </w:pPr>
          </w:p>
        </w:tc>
        <w:tc>
          <w:tcPr>
            <w:tcW w:w="1929" w:type="dxa"/>
            <w:tcBorders>
              <w:top w:val="single" w:sz="4" w:space="0" w:color="000000"/>
              <w:right w:val="single" w:sz="12" w:space="0" w:color="000000"/>
            </w:tcBorders>
          </w:tcPr>
          <w:p>
            <w:pPr>
              <w:pStyle w:val="TableParagraph"/>
              <w:rPr>
                <w:rFonts w:ascii="Times New Roman"/>
                <w:sz w:val="18"/>
              </w:rPr>
            </w:pPr>
          </w:p>
        </w:tc>
      </w:tr>
      <w:tr>
        <w:trPr>
          <w:trHeight w:val="255" w:hRule="atLeast"/>
        </w:trPr>
        <w:tc>
          <w:tcPr>
            <w:tcW w:w="4188" w:type="dxa"/>
            <w:tcBorders>
              <w:left w:val="single" w:sz="12" w:space="0" w:color="000000"/>
            </w:tcBorders>
          </w:tcPr>
          <w:p>
            <w:pPr>
              <w:pStyle w:val="TableParagraph"/>
              <w:spacing w:line="227" w:lineRule="exact" w:before="8"/>
              <w:ind w:left="107"/>
              <w:rPr>
                <w:sz w:val="20"/>
              </w:rPr>
            </w:pPr>
            <w:r>
              <w:rPr>
                <w:spacing w:val="-2"/>
                <w:sz w:val="20"/>
              </w:rPr>
              <w:t>Roads</w:t>
            </w:r>
          </w:p>
        </w:tc>
        <w:tc>
          <w:tcPr>
            <w:tcW w:w="1504" w:type="dxa"/>
          </w:tcPr>
          <w:p>
            <w:pPr>
              <w:pStyle w:val="TableParagraph"/>
              <w:spacing w:line="227" w:lineRule="exact" w:before="8"/>
              <w:ind w:right="231"/>
              <w:jc w:val="right"/>
              <w:rPr>
                <w:sz w:val="20"/>
              </w:rPr>
            </w:pPr>
            <w:r>
              <w:rPr>
                <w:spacing w:val="-2"/>
                <w:sz w:val="20"/>
              </w:rPr>
              <w:t>5,054</w:t>
            </w:r>
          </w:p>
        </w:tc>
        <w:tc>
          <w:tcPr>
            <w:tcW w:w="1143" w:type="dxa"/>
          </w:tcPr>
          <w:p>
            <w:pPr>
              <w:pStyle w:val="TableParagraph"/>
              <w:spacing w:line="227" w:lineRule="exact" w:before="8"/>
              <w:ind w:right="110"/>
              <w:jc w:val="right"/>
              <w:rPr>
                <w:sz w:val="20"/>
              </w:rPr>
            </w:pPr>
            <w:r>
              <w:rPr>
                <w:w w:val="99"/>
                <w:sz w:val="20"/>
              </w:rPr>
              <w:t>0</w:t>
            </w:r>
          </w:p>
        </w:tc>
        <w:tc>
          <w:tcPr>
            <w:tcW w:w="1112" w:type="dxa"/>
          </w:tcPr>
          <w:p>
            <w:pPr>
              <w:pStyle w:val="TableParagraph"/>
              <w:spacing w:line="227" w:lineRule="exact" w:before="8"/>
              <w:ind w:right="126"/>
              <w:jc w:val="right"/>
              <w:rPr>
                <w:sz w:val="20"/>
              </w:rPr>
            </w:pPr>
            <w:r>
              <w:rPr>
                <w:spacing w:val="-2"/>
                <w:sz w:val="20"/>
              </w:rPr>
              <w:t>4,736</w:t>
            </w:r>
          </w:p>
        </w:tc>
        <w:tc>
          <w:tcPr>
            <w:tcW w:w="1118" w:type="dxa"/>
            <w:tcBorders>
              <w:right w:val="single" w:sz="4" w:space="0" w:color="000000"/>
            </w:tcBorders>
          </w:tcPr>
          <w:p>
            <w:pPr>
              <w:pStyle w:val="TableParagraph"/>
              <w:spacing w:line="227" w:lineRule="exact" w:before="8"/>
              <w:ind w:right="91"/>
              <w:jc w:val="right"/>
              <w:rPr>
                <w:sz w:val="20"/>
              </w:rPr>
            </w:pPr>
            <w:r>
              <w:rPr>
                <w:spacing w:val="-5"/>
                <w:sz w:val="20"/>
              </w:rPr>
              <w:t>318</w:t>
            </w:r>
          </w:p>
        </w:tc>
        <w:tc>
          <w:tcPr>
            <w:tcW w:w="1420" w:type="dxa"/>
            <w:tcBorders>
              <w:left w:val="single" w:sz="4" w:space="0" w:color="000000"/>
            </w:tcBorders>
          </w:tcPr>
          <w:p>
            <w:pPr>
              <w:pStyle w:val="TableParagraph"/>
              <w:spacing w:line="227" w:lineRule="exact" w:before="8"/>
              <w:ind w:right="231"/>
              <w:jc w:val="right"/>
              <w:rPr>
                <w:sz w:val="20"/>
              </w:rPr>
            </w:pPr>
            <w:r>
              <w:rPr>
                <w:spacing w:val="-2"/>
                <w:sz w:val="20"/>
              </w:rPr>
              <w:t>5,054</w:t>
            </w:r>
          </w:p>
        </w:tc>
        <w:tc>
          <w:tcPr>
            <w:tcW w:w="1290" w:type="dxa"/>
          </w:tcPr>
          <w:p>
            <w:pPr>
              <w:pStyle w:val="TableParagraph"/>
              <w:spacing w:line="227" w:lineRule="exact" w:before="8"/>
              <w:ind w:right="109"/>
              <w:jc w:val="right"/>
              <w:rPr>
                <w:sz w:val="20"/>
              </w:rPr>
            </w:pPr>
            <w:r>
              <w:rPr>
                <w:spacing w:val="-5"/>
                <w:sz w:val="20"/>
              </w:rPr>
              <w:t>966</w:t>
            </w:r>
          </w:p>
        </w:tc>
        <w:tc>
          <w:tcPr>
            <w:tcW w:w="1696" w:type="dxa"/>
          </w:tcPr>
          <w:p>
            <w:pPr>
              <w:pStyle w:val="TableParagraph"/>
              <w:spacing w:line="227" w:lineRule="exact" w:before="8"/>
              <w:ind w:right="239"/>
              <w:jc w:val="right"/>
              <w:rPr>
                <w:sz w:val="20"/>
              </w:rPr>
            </w:pPr>
            <w:r>
              <w:rPr>
                <w:w w:val="99"/>
                <w:sz w:val="20"/>
              </w:rPr>
              <w:t>0</w:t>
            </w:r>
          </w:p>
        </w:tc>
        <w:tc>
          <w:tcPr>
            <w:tcW w:w="1929" w:type="dxa"/>
            <w:tcBorders>
              <w:right w:val="single" w:sz="12" w:space="0" w:color="000000"/>
            </w:tcBorders>
          </w:tcPr>
          <w:p>
            <w:pPr>
              <w:pStyle w:val="TableParagraph"/>
              <w:spacing w:line="227" w:lineRule="exact" w:before="8"/>
              <w:ind w:right="89"/>
              <w:jc w:val="right"/>
              <w:rPr>
                <w:sz w:val="20"/>
              </w:rPr>
            </w:pPr>
            <w:r>
              <w:rPr>
                <w:spacing w:val="-2"/>
                <w:sz w:val="20"/>
              </w:rPr>
              <w:t>4,088</w:t>
            </w:r>
          </w:p>
        </w:tc>
      </w:tr>
      <w:tr>
        <w:trPr>
          <w:trHeight w:val="255" w:hRule="atLeast"/>
        </w:trPr>
        <w:tc>
          <w:tcPr>
            <w:tcW w:w="4188" w:type="dxa"/>
            <w:tcBorders>
              <w:left w:val="single" w:sz="12" w:space="0" w:color="000000"/>
            </w:tcBorders>
          </w:tcPr>
          <w:p>
            <w:pPr>
              <w:pStyle w:val="TableParagraph"/>
              <w:spacing w:line="226" w:lineRule="exact" w:before="10"/>
              <w:ind w:left="107"/>
              <w:rPr>
                <w:sz w:val="20"/>
              </w:rPr>
            </w:pPr>
            <w:r>
              <w:rPr>
                <w:sz w:val="20"/>
              </w:rPr>
              <w:t>Footpaths</w:t>
            </w:r>
            <w:r>
              <w:rPr>
                <w:spacing w:val="-7"/>
                <w:sz w:val="20"/>
              </w:rPr>
              <w:t> </w:t>
            </w:r>
            <w:r>
              <w:rPr>
                <w:sz w:val="20"/>
              </w:rPr>
              <w:t>and</w:t>
            </w:r>
            <w:r>
              <w:rPr>
                <w:spacing w:val="-9"/>
                <w:sz w:val="20"/>
              </w:rPr>
              <w:t> </w:t>
            </w:r>
            <w:r>
              <w:rPr>
                <w:spacing w:val="-2"/>
                <w:sz w:val="20"/>
              </w:rPr>
              <w:t>cycleways</w:t>
            </w:r>
          </w:p>
        </w:tc>
        <w:tc>
          <w:tcPr>
            <w:tcW w:w="1504" w:type="dxa"/>
          </w:tcPr>
          <w:p>
            <w:pPr>
              <w:pStyle w:val="TableParagraph"/>
              <w:spacing w:line="226" w:lineRule="exact" w:before="10"/>
              <w:ind w:right="231"/>
              <w:jc w:val="right"/>
              <w:rPr>
                <w:sz w:val="20"/>
              </w:rPr>
            </w:pPr>
            <w:r>
              <w:rPr>
                <w:spacing w:val="-2"/>
                <w:sz w:val="20"/>
              </w:rPr>
              <w:t>2,728</w:t>
            </w:r>
          </w:p>
        </w:tc>
        <w:tc>
          <w:tcPr>
            <w:tcW w:w="1143" w:type="dxa"/>
          </w:tcPr>
          <w:p>
            <w:pPr>
              <w:pStyle w:val="TableParagraph"/>
              <w:spacing w:line="226" w:lineRule="exact" w:before="10"/>
              <w:ind w:right="112"/>
              <w:jc w:val="right"/>
              <w:rPr>
                <w:sz w:val="20"/>
              </w:rPr>
            </w:pPr>
            <w:r>
              <w:rPr>
                <w:spacing w:val="-2"/>
                <w:sz w:val="20"/>
              </w:rPr>
              <w:t>1,535</w:t>
            </w:r>
          </w:p>
        </w:tc>
        <w:tc>
          <w:tcPr>
            <w:tcW w:w="1112" w:type="dxa"/>
          </w:tcPr>
          <w:p>
            <w:pPr>
              <w:pStyle w:val="TableParagraph"/>
              <w:spacing w:line="226" w:lineRule="exact" w:before="10"/>
              <w:ind w:right="125"/>
              <w:jc w:val="right"/>
              <w:rPr>
                <w:sz w:val="20"/>
              </w:rPr>
            </w:pPr>
            <w:r>
              <w:rPr>
                <w:spacing w:val="-5"/>
                <w:sz w:val="20"/>
              </w:rPr>
              <w:t>948</w:t>
            </w:r>
          </w:p>
        </w:tc>
        <w:tc>
          <w:tcPr>
            <w:tcW w:w="1118" w:type="dxa"/>
            <w:tcBorders>
              <w:right w:val="single" w:sz="4" w:space="0" w:color="000000"/>
            </w:tcBorders>
          </w:tcPr>
          <w:p>
            <w:pPr>
              <w:pStyle w:val="TableParagraph"/>
              <w:spacing w:line="226" w:lineRule="exact" w:before="10"/>
              <w:ind w:right="91"/>
              <w:jc w:val="right"/>
              <w:rPr>
                <w:sz w:val="20"/>
              </w:rPr>
            </w:pPr>
            <w:r>
              <w:rPr>
                <w:spacing w:val="-5"/>
                <w:sz w:val="20"/>
              </w:rPr>
              <w:t>245</w:t>
            </w:r>
          </w:p>
        </w:tc>
        <w:tc>
          <w:tcPr>
            <w:tcW w:w="1420" w:type="dxa"/>
            <w:tcBorders>
              <w:left w:val="single" w:sz="4" w:space="0" w:color="000000"/>
            </w:tcBorders>
          </w:tcPr>
          <w:p>
            <w:pPr>
              <w:pStyle w:val="TableParagraph"/>
              <w:spacing w:line="226" w:lineRule="exact" w:before="10"/>
              <w:ind w:right="231"/>
              <w:jc w:val="right"/>
              <w:rPr>
                <w:sz w:val="20"/>
              </w:rPr>
            </w:pPr>
            <w:r>
              <w:rPr>
                <w:spacing w:val="-2"/>
                <w:sz w:val="20"/>
              </w:rPr>
              <w:t>2,728</w:t>
            </w:r>
          </w:p>
        </w:tc>
        <w:tc>
          <w:tcPr>
            <w:tcW w:w="1290" w:type="dxa"/>
          </w:tcPr>
          <w:p>
            <w:pPr>
              <w:pStyle w:val="TableParagraph"/>
              <w:spacing w:line="226" w:lineRule="exact" w:before="10"/>
              <w:ind w:right="106"/>
              <w:jc w:val="right"/>
              <w:rPr>
                <w:sz w:val="20"/>
              </w:rPr>
            </w:pPr>
            <w:r>
              <w:rPr>
                <w:w w:val="99"/>
                <w:sz w:val="20"/>
              </w:rPr>
              <w:t>0</w:t>
            </w:r>
          </w:p>
        </w:tc>
        <w:tc>
          <w:tcPr>
            <w:tcW w:w="1696" w:type="dxa"/>
          </w:tcPr>
          <w:p>
            <w:pPr>
              <w:pStyle w:val="TableParagraph"/>
              <w:spacing w:line="226" w:lineRule="exact" w:before="10"/>
              <w:ind w:right="239"/>
              <w:jc w:val="right"/>
              <w:rPr>
                <w:sz w:val="20"/>
              </w:rPr>
            </w:pPr>
            <w:r>
              <w:rPr>
                <w:w w:val="99"/>
                <w:sz w:val="20"/>
              </w:rPr>
              <w:t>0</w:t>
            </w:r>
          </w:p>
        </w:tc>
        <w:tc>
          <w:tcPr>
            <w:tcW w:w="1929" w:type="dxa"/>
            <w:tcBorders>
              <w:right w:val="single" w:sz="12" w:space="0" w:color="000000"/>
            </w:tcBorders>
          </w:tcPr>
          <w:p>
            <w:pPr>
              <w:pStyle w:val="TableParagraph"/>
              <w:spacing w:line="226" w:lineRule="exact" w:before="10"/>
              <w:ind w:right="89"/>
              <w:jc w:val="right"/>
              <w:rPr>
                <w:sz w:val="20"/>
              </w:rPr>
            </w:pPr>
            <w:r>
              <w:rPr>
                <w:spacing w:val="-2"/>
                <w:sz w:val="20"/>
              </w:rPr>
              <w:t>2,728</w:t>
            </w:r>
          </w:p>
        </w:tc>
      </w:tr>
      <w:tr>
        <w:trPr>
          <w:trHeight w:val="242" w:hRule="atLeast"/>
        </w:trPr>
        <w:tc>
          <w:tcPr>
            <w:tcW w:w="4188" w:type="dxa"/>
            <w:tcBorders>
              <w:left w:val="single" w:sz="12" w:space="0" w:color="000000"/>
            </w:tcBorders>
          </w:tcPr>
          <w:p>
            <w:pPr>
              <w:pStyle w:val="TableParagraph"/>
              <w:spacing w:line="214" w:lineRule="exact" w:before="8"/>
              <w:ind w:left="107"/>
              <w:rPr>
                <w:sz w:val="20"/>
              </w:rPr>
            </w:pPr>
            <w:r>
              <w:rPr>
                <w:spacing w:val="-2"/>
                <w:sz w:val="20"/>
              </w:rPr>
              <w:t>Drainage</w:t>
            </w:r>
          </w:p>
        </w:tc>
        <w:tc>
          <w:tcPr>
            <w:tcW w:w="1504" w:type="dxa"/>
          </w:tcPr>
          <w:p>
            <w:pPr>
              <w:pStyle w:val="TableParagraph"/>
              <w:spacing w:line="214" w:lineRule="exact" w:before="8"/>
              <w:ind w:right="231"/>
              <w:jc w:val="right"/>
              <w:rPr>
                <w:sz w:val="20"/>
              </w:rPr>
            </w:pPr>
            <w:r>
              <w:rPr>
                <w:spacing w:val="-2"/>
                <w:sz w:val="20"/>
              </w:rPr>
              <w:t>3,170</w:t>
            </w:r>
          </w:p>
        </w:tc>
        <w:tc>
          <w:tcPr>
            <w:tcW w:w="1143" w:type="dxa"/>
          </w:tcPr>
          <w:p>
            <w:pPr>
              <w:pStyle w:val="TableParagraph"/>
              <w:spacing w:line="214" w:lineRule="exact" w:before="8"/>
              <w:ind w:right="110"/>
              <w:jc w:val="right"/>
              <w:rPr>
                <w:sz w:val="20"/>
              </w:rPr>
            </w:pPr>
            <w:r>
              <w:rPr>
                <w:w w:val="99"/>
                <w:sz w:val="20"/>
              </w:rPr>
              <w:t>0</w:t>
            </w:r>
          </w:p>
        </w:tc>
        <w:tc>
          <w:tcPr>
            <w:tcW w:w="1112" w:type="dxa"/>
          </w:tcPr>
          <w:p>
            <w:pPr>
              <w:pStyle w:val="TableParagraph"/>
              <w:spacing w:line="214" w:lineRule="exact" w:before="8"/>
              <w:ind w:right="126"/>
              <w:jc w:val="right"/>
              <w:rPr>
                <w:sz w:val="20"/>
              </w:rPr>
            </w:pPr>
            <w:r>
              <w:rPr>
                <w:spacing w:val="-2"/>
                <w:sz w:val="20"/>
              </w:rPr>
              <w:t>2,568</w:t>
            </w:r>
          </w:p>
        </w:tc>
        <w:tc>
          <w:tcPr>
            <w:tcW w:w="1118" w:type="dxa"/>
            <w:tcBorders>
              <w:right w:val="single" w:sz="4" w:space="0" w:color="000000"/>
            </w:tcBorders>
          </w:tcPr>
          <w:p>
            <w:pPr>
              <w:pStyle w:val="TableParagraph"/>
              <w:spacing w:line="214" w:lineRule="exact" w:before="8"/>
              <w:ind w:right="91"/>
              <w:jc w:val="right"/>
              <w:rPr>
                <w:sz w:val="20"/>
              </w:rPr>
            </w:pPr>
            <w:r>
              <w:rPr>
                <w:spacing w:val="-5"/>
                <w:sz w:val="20"/>
              </w:rPr>
              <w:t>602</w:t>
            </w:r>
          </w:p>
        </w:tc>
        <w:tc>
          <w:tcPr>
            <w:tcW w:w="1420" w:type="dxa"/>
            <w:tcBorders>
              <w:left w:val="single" w:sz="4" w:space="0" w:color="000000"/>
            </w:tcBorders>
          </w:tcPr>
          <w:p>
            <w:pPr>
              <w:pStyle w:val="TableParagraph"/>
              <w:spacing w:line="214" w:lineRule="exact" w:before="8"/>
              <w:ind w:right="231"/>
              <w:jc w:val="right"/>
              <w:rPr>
                <w:sz w:val="20"/>
              </w:rPr>
            </w:pPr>
            <w:r>
              <w:rPr>
                <w:spacing w:val="-2"/>
                <w:sz w:val="20"/>
              </w:rPr>
              <w:t>3,170</w:t>
            </w:r>
          </w:p>
        </w:tc>
        <w:tc>
          <w:tcPr>
            <w:tcW w:w="1290" w:type="dxa"/>
          </w:tcPr>
          <w:p>
            <w:pPr>
              <w:pStyle w:val="TableParagraph"/>
              <w:spacing w:line="214" w:lineRule="exact" w:before="8"/>
              <w:ind w:right="106"/>
              <w:jc w:val="right"/>
              <w:rPr>
                <w:sz w:val="20"/>
              </w:rPr>
            </w:pPr>
            <w:r>
              <w:rPr>
                <w:w w:val="99"/>
                <w:sz w:val="20"/>
              </w:rPr>
              <w:t>0</w:t>
            </w:r>
          </w:p>
        </w:tc>
        <w:tc>
          <w:tcPr>
            <w:tcW w:w="1696" w:type="dxa"/>
          </w:tcPr>
          <w:p>
            <w:pPr>
              <w:pStyle w:val="TableParagraph"/>
              <w:spacing w:line="214" w:lineRule="exact" w:before="8"/>
              <w:ind w:right="239"/>
              <w:jc w:val="right"/>
              <w:rPr>
                <w:sz w:val="20"/>
              </w:rPr>
            </w:pPr>
            <w:r>
              <w:rPr>
                <w:w w:val="99"/>
                <w:sz w:val="20"/>
              </w:rPr>
              <w:t>0</w:t>
            </w:r>
          </w:p>
        </w:tc>
        <w:tc>
          <w:tcPr>
            <w:tcW w:w="1929" w:type="dxa"/>
            <w:tcBorders>
              <w:right w:val="single" w:sz="12" w:space="0" w:color="000000"/>
            </w:tcBorders>
          </w:tcPr>
          <w:p>
            <w:pPr>
              <w:pStyle w:val="TableParagraph"/>
              <w:spacing w:line="214" w:lineRule="exact" w:before="8"/>
              <w:ind w:right="89"/>
              <w:jc w:val="right"/>
              <w:rPr>
                <w:sz w:val="20"/>
              </w:rPr>
            </w:pPr>
            <w:r>
              <w:rPr>
                <w:spacing w:val="-2"/>
                <w:sz w:val="20"/>
              </w:rPr>
              <w:t>3,170</w:t>
            </w:r>
          </w:p>
        </w:tc>
      </w:tr>
      <w:tr>
        <w:trPr>
          <w:trHeight w:val="229" w:hRule="atLeast"/>
        </w:trPr>
        <w:tc>
          <w:tcPr>
            <w:tcW w:w="4188" w:type="dxa"/>
            <w:tcBorders>
              <w:left w:val="single" w:sz="12" w:space="0" w:color="000000"/>
            </w:tcBorders>
          </w:tcPr>
          <w:p>
            <w:pPr>
              <w:pStyle w:val="TableParagraph"/>
              <w:spacing w:line="209" w:lineRule="exact"/>
              <w:ind w:left="107"/>
              <w:rPr>
                <w:sz w:val="20"/>
              </w:rPr>
            </w:pPr>
            <w:r>
              <w:rPr>
                <w:sz w:val="20"/>
              </w:rPr>
              <w:t>Recreational,</w:t>
            </w:r>
            <w:r>
              <w:rPr>
                <w:spacing w:val="-6"/>
                <w:sz w:val="20"/>
              </w:rPr>
              <w:t> </w:t>
            </w:r>
            <w:r>
              <w:rPr>
                <w:sz w:val="20"/>
              </w:rPr>
              <w:t>leisure</w:t>
            </w:r>
            <w:r>
              <w:rPr>
                <w:spacing w:val="-10"/>
                <w:sz w:val="20"/>
              </w:rPr>
              <w:t> </w:t>
            </w:r>
            <w:r>
              <w:rPr>
                <w:sz w:val="20"/>
              </w:rPr>
              <w:t>and</w:t>
            </w:r>
            <w:r>
              <w:rPr>
                <w:spacing w:val="-9"/>
                <w:sz w:val="20"/>
              </w:rPr>
              <w:t> </w:t>
            </w:r>
            <w:r>
              <w:rPr>
                <w:spacing w:val="-2"/>
                <w:sz w:val="20"/>
              </w:rPr>
              <w:t>community</w:t>
            </w:r>
          </w:p>
        </w:tc>
        <w:tc>
          <w:tcPr>
            <w:tcW w:w="1504" w:type="dxa"/>
          </w:tcPr>
          <w:p>
            <w:pPr>
              <w:pStyle w:val="TableParagraph"/>
              <w:rPr>
                <w:rFonts w:ascii="Times New Roman"/>
                <w:sz w:val="16"/>
              </w:rPr>
            </w:pPr>
          </w:p>
        </w:tc>
        <w:tc>
          <w:tcPr>
            <w:tcW w:w="1143" w:type="dxa"/>
          </w:tcPr>
          <w:p>
            <w:pPr>
              <w:pStyle w:val="TableParagraph"/>
              <w:rPr>
                <w:rFonts w:ascii="Times New Roman"/>
                <w:sz w:val="16"/>
              </w:rPr>
            </w:pPr>
          </w:p>
        </w:tc>
        <w:tc>
          <w:tcPr>
            <w:tcW w:w="1112" w:type="dxa"/>
          </w:tcPr>
          <w:p>
            <w:pPr>
              <w:pStyle w:val="TableParagraph"/>
              <w:rPr>
                <w:rFonts w:ascii="Times New Roman"/>
                <w:sz w:val="16"/>
              </w:rPr>
            </w:pPr>
          </w:p>
        </w:tc>
        <w:tc>
          <w:tcPr>
            <w:tcW w:w="1118" w:type="dxa"/>
            <w:tcBorders>
              <w:right w:val="single" w:sz="4" w:space="0" w:color="000000"/>
            </w:tcBorders>
          </w:tcPr>
          <w:p>
            <w:pPr>
              <w:pStyle w:val="TableParagraph"/>
              <w:rPr>
                <w:rFonts w:ascii="Times New Roman"/>
                <w:sz w:val="16"/>
              </w:rPr>
            </w:pPr>
          </w:p>
        </w:tc>
        <w:tc>
          <w:tcPr>
            <w:tcW w:w="1420" w:type="dxa"/>
            <w:tcBorders>
              <w:left w:val="single" w:sz="4" w:space="0" w:color="000000"/>
            </w:tcBorders>
          </w:tcPr>
          <w:p>
            <w:pPr>
              <w:pStyle w:val="TableParagraph"/>
              <w:rPr>
                <w:rFonts w:ascii="Times New Roman"/>
                <w:sz w:val="16"/>
              </w:rPr>
            </w:pPr>
          </w:p>
        </w:tc>
        <w:tc>
          <w:tcPr>
            <w:tcW w:w="1290" w:type="dxa"/>
          </w:tcPr>
          <w:p>
            <w:pPr>
              <w:pStyle w:val="TableParagraph"/>
              <w:rPr>
                <w:rFonts w:ascii="Times New Roman"/>
                <w:sz w:val="16"/>
              </w:rPr>
            </w:pPr>
          </w:p>
        </w:tc>
        <w:tc>
          <w:tcPr>
            <w:tcW w:w="1696" w:type="dxa"/>
          </w:tcPr>
          <w:p>
            <w:pPr>
              <w:pStyle w:val="TableParagraph"/>
              <w:rPr>
                <w:rFonts w:ascii="Times New Roman"/>
                <w:sz w:val="16"/>
              </w:rPr>
            </w:pPr>
          </w:p>
        </w:tc>
        <w:tc>
          <w:tcPr>
            <w:tcW w:w="1929" w:type="dxa"/>
            <w:tcBorders>
              <w:right w:val="single" w:sz="12" w:space="0" w:color="000000"/>
            </w:tcBorders>
          </w:tcPr>
          <w:p>
            <w:pPr>
              <w:pStyle w:val="TableParagraph"/>
              <w:rPr>
                <w:rFonts w:ascii="Times New Roman"/>
                <w:sz w:val="16"/>
              </w:rPr>
            </w:pPr>
          </w:p>
        </w:tc>
      </w:tr>
      <w:tr>
        <w:trPr>
          <w:trHeight w:val="242" w:hRule="atLeast"/>
        </w:trPr>
        <w:tc>
          <w:tcPr>
            <w:tcW w:w="4188" w:type="dxa"/>
            <w:tcBorders>
              <w:left w:val="single" w:sz="12" w:space="0" w:color="000000"/>
            </w:tcBorders>
          </w:tcPr>
          <w:p>
            <w:pPr>
              <w:pStyle w:val="TableParagraph"/>
              <w:spacing w:line="222" w:lineRule="exact"/>
              <w:ind w:left="107"/>
              <w:rPr>
                <w:sz w:val="20"/>
              </w:rPr>
            </w:pPr>
            <w:r>
              <w:rPr>
                <w:spacing w:val="-2"/>
                <w:sz w:val="20"/>
              </w:rPr>
              <w:t>facilities</w:t>
            </w:r>
          </w:p>
        </w:tc>
        <w:tc>
          <w:tcPr>
            <w:tcW w:w="1504" w:type="dxa"/>
          </w:tcPr>
          <w:p>
            <w:pPr>
              <w:pStyle w:val="TableParagraph"/>
              <w:spacing w:line="222" w:lineRule="exact"/>
              <w:ind w:right="231"/>
              <w:jc w:val="right"/>
              <w:rPr>
                <w:sz w:val="20"/>
              </w:rPr>
            </w:pPr>
            <w:r>
              <w:rPr>
                <w:spacing w:val="-2"/>
                <w:sz w:val="20"/>
              </w:rPr>
              <w:t>2,004</w:t>
            </w:r>
          </w:p>
        </w:tc>
        <w:tc>
          <w:tcPr>
            <w:tcW w:w="1143" w:type="dxa"/>
          </w:tcPr>
          <w:p>
            <w:pPr>
              <w:pStyle w:val="TableParagraph"/>
              <w:spacing w:line="222" w:lineRule="exact"/>
              <w:ind w:right="110"/>
              <w:jc w:val="right"/>
              <w:rPr>
                <w:sz w:val="20"/>
              </w:rPr>
            </w:pPr>
            <w:r>
              <w:rPr>
                <w:w w:val="99"/>
                <w:sz w:val="20"/>
              </w:rPr>
              <w:t>0</w:t>
            </w:r>
          </w:p>
        </w:tc>
        <w:tc>
          <w:tcPr>
            <w:tcW w:w="1112" w:type="dxa"/>
          </w:tcPr>
          <w:p>
            <w:pPr>
              <w:pStyle w:val="TableParagraph"/>
              <w:spacing w:line="222" w:lineRule="exact"/>
              <w:ind w:right="126"/>
              <w:jc w:val="right"/>
              <w:rPr>
                <w:sz w:val="20"/>
              </w:rPr>
            </w:pPr>
            <w:r>
              <w:rPr>
                <w:spacing w:val="-2"/>
                <w:sz w:val="20"/>
              </w:rPr>
              <w:t>1,744</w:t>
            </w:r>
          </w:p>
        </w:tc>
        <w:tc>
          <w:tcPr>
            <w:tcW w:w="1118" w:type="dxa"/>
            <w:tcBorders>
              <w:right w:val="single" w:sz="4" w:space="0" w:color="000000"/>
            </w:tcBorders>
          </w:tcPr>
          <w:p>
            <w:pPr>
              <w:pStyle w:val="TableParagraph"/>
              <w:spacing w:line="222" w:lineRule="exact"/>
              <w:ind w:right="91"/>
              <w:jc w:val="right"/>
              <w:rPr>
                <w:sz w:val="20"/>
              </w:rPr>
            </w:pPr>
            <w:r>
              <w:rPr>
                <w:spacing w:val="-5"/>
                <w:sz w:val="20"/>
              </w:rPr>
              <w:t>260</w:t>
            </w:r>
          </w:p>
        </w:tc>
        <w:tc>
          <w:tcPr>
            <w:tcW w:w="1420" w:type="dxa"/>
            <w:tcBorders>
              <w:left w:val="single" w:sz="4" w:space="0" w:color="000000"/>
            </w:tcBorders>
          </w:tcPr>
          <w:p>
            <w:pPr>
              <w:pStyle w:val="TableParagraph"/>
              <w:spacing w:line="222" w:lineRule="exact"/>
              <w:ind w:right="231"/>
              <w:jc w:val="right"/>
              <w:rPr>
                <w:sz w:val="20"/>
              </w:rPr>
            </w:pPr>
            <w:r>
              <w:rPr>
                <w:spacing w:val="-2"/>
                <w:sz w:val="20"/>
              </w:rPr>
              <w:t>2,004</w:t>
            </w:r>
          </w:p>
        </w:tc>
        <w:tc>
          <w:tcPr>
            <w:tcW w:w="1290" w:type="dxa"/>
          </w:tcPr>
          <w:p>
            <w:pPr>
              <w:pStyle w:val="TableParagraph"/>
              <w:spacing w:line="222" w:lineRule="exact"/>
              <w:ind w:right="106"/>
              <w:jc w:val="right"/>
              <w:rPr>
                <w:sz w:val="20"/>
              </w:rPr>
            </w:pPr>
            <w:r>
              <w:rPr>
                <w:w w:val="99"/>
                <w:sz w:val="20"/>
              </w:rPr>
              <w:t>0</w:t>
            </w:r>
          </w:p>
        </w:tc>
        <w:tc>
          <w:tcPr>
            <w:tcW w:w="1696" w:type="dxa"/>
          </w:tcPr>
          <w:p>
            <w:pPr>
              <w:pStyle w:val="TableParagraph"/>
              <w:spacing w:line="222" w:lineRule="exact"/>
              <w:ind w:right="243"/>
              <w:jc w:val="right"/>
              <w:rPr>
                <w:sz w:val="20"/>
              </w:rPr>
            </w:pPr>
            <w:r>
              <w:rPr>
                <w:spacing w:val="-5"/>
                <w:sz w:val="20"/>
              </w:rPr>
              <w:t>34</w:t>
            </w:r>
          </w:p>
        </w:tc>
        <w:tc>
          <w:tcPr>
            <w:tcW w:w="1929" w:type="dxa"/>
            <w:tcBorders>
              <w:right w:val="single" w:sz="12" w:space="0" w:color="000000"/>
            </w:tcBorders>
          </w:tcPr>
          <w:p>
            <w:pPr>
              <w:pStyle w:val="TableParagraph"/>
              <w:spacing w:line="222" w:lineRule="exact"/>
              <w:ind w:right="89"/>
              <w:jc w:val="right"/>
              <w:rPr>
                <w:sz w:val="20"/>
              </w:rPr>
            </w:pPr>
            <w:r>
              <w:rPr>
                <w:spacing w:val="-2"/>
                <w:sz w:val="20"/>
              </w:rPr>
              <w:t>1,970</w:t>
            </w:r>
          </w:p>
        </w:tc>
      </w:tr>
      <w:tr>
        <w:trPr>
          <w:trHeight w:val="255" w:hRule="atLeast"/>
        </w:trPr>
        <w:tc>
          <w:tcPr>
            <w:tcW w:w="4188" w:type="dxa"/>
            <w:tcBorders>
              <w:left w:val="single" w:sz="12" w:space="0" w:color="000000"/>
            </w:tcBorders>
          </w:tcPr>
          <w:p>
            <w:pPr>
              <w:pStyle w:val="TableParagraph"/>
              <w:spacing w:line="226" w:lineRule="exact" w:before="10"/>
              <w:ind w:left="107"/>
              <w:rPr>
                <w:sz w:val="20"/>
              </w:rPr>
            </w:pPr>
            <w:r>
              <w:rPr>
                <w:sz w:val="20"/>
              </w:rPr>
              <w:t>Waste</w:t>
            </w:r>
            <w:r>
              <w:rPr>
                <w:spacing w:val="-6"/>
                <w:sz w:val="20"/>
              </w:rPr>
              <w:t> </w:t>
            </w:r>
            <w:r>
              <w:rPr>
                <w:spacing w:val="-2"/>
                <w:sz w:val="20"/>
              </w:rPr>
              <w:t>management</w:t>
            </w:r>
          </w:p>
        </w:tc>
        <w:tc>
          <w:tcPr>
            <w:tcW w:w="1504" w:type="dxa"/>
          </w:tcPr>
          <w:p>
            <w:pPr>
              <w:pStyle w:val="TableParagraph"/>
              <w:spacing w:line="226" w:lineRule="exact" w:before="10"/>
              <w:ind w:right="231"/>
              <w:jc w:val="right"/>
              <w:rPr>
                <w:sz w:val="20"/>
              </w:rPr>
            </w:pPr>
            <w:r>
              <w:rPr>
                <w:spacing w:val="-2"/>
                <w:sz w:val="20"/>
              </w:rPr>
              <w:t>3,550</w:t>
            </w:r>
          </w:p>
        </w:tc>
        <w:tc>
          <w:tcPr>
            <w:tcW w:w="1143" w:type="dxa"/>
          </w:tcPr>
          <w:p>
            <w:pPr>
              <w:pStyle w:val="TableParagraph"/>
              <w:spacing w:line="226" w:lineRule="exact" w:before="10"/>
              <w:ind w:right="112"/>
              <w:jc w:val="right"/>
              <w:rPr>
                <w:sz w:val="20"/>
              </w:rPr>
            </w:pPr>
            <w:r>
              <w:rPr>
                <w:spacing w:val="-2"/>
                <w:sz w:val="20"/>
              </w:rPr>
              <w:t>3,500</w:t>
            </w:r>
          </w:p>
        </w:tc>
        <w:tc>
          <w:tcPr>
            <w:tcW w:w="1112" w:type="dxa"/>
          </w:tcPr>
          <w:p>
            <w:pPr>
              <w:pStyle w:val="TableParagraph"/>
              <w:spacing w:line="226" w:lineRule="exact" w:before="10"/>
              <w:ind w:right="123"/>
              <w:jc w:val="right"/>
              <w:rPr>
                <w:sz w:val="20"/>
              </w:rPr>
            </w:pPr>
            <w:r>
              <w:rPr>
                <w:w w:val="99"/>
                <w:sz w:val="20"/>
              </w:rPr>
              <w:t>0</w:t>
            </w:r>
          </w:p>
        </w:tc>
        <w:tc>
          <w:tcPr>
            <w:tcW w:w="1118" w:type="dxa"/>
            <w:tcBorders>
              <w:right w:val="single" w:sz="4" w:space="0" w:color="000000"/>
            </w:tcBorders>
          </w:tcPr>
          <w:p>
            <w:pPr>
              <w:pStyle w:val="TableParagraph"/>
              <w:spacing w:line="226" w:lineRule="exact" w:before="10"/>
              <w:ind w:right="92"/>
              <w:jc w:val="right"/>
              <w:rPr>
                <w:sz w:val="20"/>
              </w:rPr>
            </w:pPr>
            <w:r>
              <w:rPr>
                <w:spacing w:val="-5"/>
                <w:sz w:val="20"/>
              </w:rPr>
              <w:t>50</w:t>
            </w:r>
          </w:p>
        </w:tc>
        <w:tc>
          <w:tcPr>
            <w:tcW w:w="1420" w:type="dxa"/>
            <w:tcBorders>
              <w:left w:val="single" w:sz="4" w:space="0" w:color="000000"/>
            </w:tcBorders>
          </w:tcPr>
          <w:p>
            <w:pPr>
              <w:pStyle w:val="TableParagraph"/>
              <w:spacing w:line="226" w:lineRule="exact" w:before="10"/>
              <w:ind w:right="231"/>
              <w:jc w:val="right"/>
              <w:rPr>
                <w:sz w:val="20"/>
              </w:rPr>
            </w:pPr>
            <w:r>
              <w:rPr>
                <w:spacing w:val="-2"/>
                <w:sz w:val="20"/>
              </w:rPr>
              <w:t>3,550</w:t>
            </w:r>
          </w:p>
        </w:tc>
        <w:tc>
          <w:tcPr>
            <w:tcW w:w="1290" w:type="dxa"/>
          </w:tcPr>
          <w:p>
            <w:pPr>
              <w:pStyle w:val="TableParagraph"/>
              <w:spacing w:line="226" w:lineRule="exact" w:before="10"/>
              <w:ind w:right="106"/>
              <w:jc w:val="right"/>
              <w:rPr>
                <w:sz w:val="20"/>
              </w:rPr>
            </w:pPr>
            <w:r>
              <w:rPr>
                <w:w w:val="99"/>
                <w:sz w:val="20"/>
              </w:rPr>
              <w:t>0</w:t>
            </w:r>
          </w:p>
        </w:tc>
        <w:tc>
          <w:tcPr>
            <w:tcW w:w="1696" w:type="dxa"/>
          </w:tcPr>
          <w:p>
            <w:pPr>
              <w:pStyle w:val="TableParagraph"/>
              <w:spacing w:line="226" w:lineRule="exact" w:before="10"/>
              <w:ind w:right="239"/>
              <w:jc w:val="right"/>
              <w:rPr>
                <w:sz w:val="20"/>
              </w:rPr>
            </w:pPr>
            <w:r>
              <w:rPr>
                <w:w w:val="99"/>
                <w:sz w:val="20"/>
              </w:rPr>
              <w:t>0</w:t>
            </w:r>
          </w:p>
        </w:tc>
        <w:tc>
          <w:tcPr>
            <w:tcW w:w="1929" w:type="dxa"/>
            <w:tcBorders>
              <w:right w:val="single" w:sz="12" w:space="0" w:color="000000"/>
            </w:tcBorders>
          </w:tcPr>
          <w:p>
            <w:pPr>
              <w:pStyle w:val="TableParagraph"/>
              <w:spacing w:line="226" w:lineRule="exact" w:before="10"/>
              <w:ind w:right="89"/>
              <w:jc w:val="right"/>
              <w:rPr>
                <w:sz w:val="20"/>
              </w:rPr>
            </w:pPr>
            <w:r>
              <w:rPr>
                <w:spacing w:val="-2"/>
                <w:sz w:val="20"/>
              </w:rPr>
              <w:t>3,550</w:t>
            </w:r>
          </w:p>
        </w:tc>
      </w:tr>
      <w:tr>
        <w:trPr>
          <w:trHeight w:val="254" w:hRule="atLeast"/>
        </w:trPr>
        <w:tc>
          <w:tcPr>
            <w:tcW w:w="4188" w:type="dxa"/>
            <w:tcBorders>
              <w:left w:val="single" w:sz="12" w:space="0" w:color="000000"/>
            </w:tcBorders>
          </w:tcPr>
          <w:p>
            <w:pPr>
              <w:pStyle w:val="TableParagraph"/>
              <w:spacing w:line="226" w:lineRule="exact" w:before="8"/>
              <w:ind w:left="107"/>
              <w:rPr>
                <w:sz w:val="20"/>
              </w:rPr>
            </w:pPr>
            <w:r>
              <w:rPr>
                <w:sz w:val="20"/>
              </w:rPr>
              <w:t>Parks,</w:t>
            </w:r>
            <w:r>
              <w:rPr>
                <w:spacing w:val="-6"/>
                <w:sz w:val="20"/>
              </w:rPr>
              <w:t> </w:t>
            </w:r>
            <w:r>
              <w:rPr>
                <w:sz w:val="20"/>
              </w:rPr>
              <w:t>open</w:t>
            </w:r>
            <w:r>
              <w:rPr>
                <w:spacing w:val="-7"/>
                <w:sz w:val="20"/>
              </w:rPr>
              <w:t> </w:t>
            </w:r>
            <w:r>
              <w:rPr>
                <w:sz w:val="20"/>
              </w:rPr>
              <w:t>space,</w:t>
            </w:r>
            <w:r>
              <w:rPr>
                <w:spacing w:val="-2"/>
                <w:sz w:val="20"/>
              </w:rPr>
              <w:t> </w:t>
            </w:r>
            <w:r>
              <w:rPr>
                <w:sz w:val="20"/>
              </w:rPr>
              <w:t>and</w:t>
            </w:r>
            <w:r>
              <w:rPr>
                <w:spacing w:val="-7"/>
                <w:sz w:val="20"/>
              </w:rPr>
              <w:t> </w:t>
            </w:r>
            <w:r>
              <w:rPr>
                <w:spacing w:val="-2"/>
                <w:sz w:val="20"/>
              </w:rPr>
              <w:t>streetscapes</w:t>
            </w:r>
          </w:p>
        </w:tc>
        <w:tc>
          <w:tcPr>
            <w:tcW w:w="1504" w:type="dxa"/>
          </w:tcPr>
          <w:p>
            <w:pPr>
              <w:pStyle w:val="TableParagraph"/>
              <w:spacing w:line="226" w:lineRule="exact" w:before="8"/>
              <w:ind w:right="231"/>
              <w:jc w:val="right"/>
              <w:rPr>
                <w:sz w:val="20"/>
              </w:rPr>
            </w:pPr>
            <w:r>
              <w:rPr>
                <w:spacing w:val="-2"/>
                <w:sz w:val="20"/>
              </w:rPr>
              <w:t>3,176</w:t>
            </w:r>
          </w:p>
        </w:tc>
        <w:tc>
          <w:tcPr>
            <w:tcW w:w="1143" w:type="dxa"/>
          </w:tcPr>
          <w:p>
            <w:pPr>
              <w:pStyle w:val="TableParagraph"/>
              <w:spacing w:line="226" w:lineRule="exact" w:before="8"/>
              <w:ind w:right="112"/>
              <w:jc w:val="right"/>
              <w:rPr>
                <w:sz w:val="20"/>
              </w:rPr>
            </w:pPr>
            <w:r>
              <w:rPr>
                <w:spacing w:val="-2"/>
                <w:sz w:val="20"/>
              </w:rPr>
              <w:t>1,060</w:t>
            </w:r>
          </w:p>
        </w:tc>
        <w:tc>
          <w:tcPr>
            <w:tcW w:w="1112" w:type="dxa"/>
          </w:tcPr>
          <w:p>
            <w:pPr>
              <w:pStyle w:val="TableParagraph"/>
              <w:spacing w:line="226" w:lineRule="exact" w:before="8"/>
              <w:ind w:right="126"/>
              <w:jc w:val="right"/>
              <w:rPr>
                <w:sz w:val="20"/>
              </w:rPr>
            </w:pPr>
            <w:r>
              <w:rPr>
                <w:spacing w:val="-2"/>
                <w:sz w:val="20"/>
              </w:rPr>
              <w:t>1,536</w:t>
            </w:r>
          </w:p>
        </w:tc>
        <w:tc>
          <w:tcPr>
            <w:tcW w:w="1118" w:type="dxa"/>
            <w:tcBorders>
              <w:right w:val="single" w:sz="4" w:space="0" w:color="000000"/>
            </w:tcBorders>
          </w:tcPr>
          <w:p>
            <w:pPr>
              <w:pStyle w:val="TableParagraph"/>
              <w:spacing w:line="226" w:lineRule="exact" w:before="8"/>
              <w:ind w:right="91"/>
              <w:jc w:val="right"/>
              <w:rPr>
                <w:sz w:val="20"/>
              </w:rPr>
            </w:pPr>
            <w:r>
              <w:rPr>
                <w:spacing w:val="-5"/>
                <w:sz w:val="20"/>
              </w:rPr>
              <w:t>580</w:t>
            </w:r>
          </w:p>
        </w:tc>
        <w:tc>
          <w:tcPr>
            <w:tcW w:w="1420" w:type="dxa"/>
            <w:tcBorders>
              <w:left w:val="single" w:sz="4" w:space="0" w:color="000000"/>
            </w:tcBorders>
          </w:tcPr>
          <w:p>
            <w:pPr>
              <w:pStyle w:val="TableParagraph"/>
              <w:spacing w:line="226" w:lineRule="exact" w:before="8"/>
              <w:ind w:right="231"/>
              <w:jc w:val="right"/>
              <w:rPr>
                <w:sz w:val="20"/>
              </w:rPr>
            </w:pPr>
            <w:r>
              <w:rPr>
                <w:spacing w:val="-2"/>
                <w:sz w:val="20"/>
              </w:rPr>
              <w:t>3,176</w:t>
            </w:r>
          </w:p>
        </w:tc>
        <w:tc>
          <w:tcPr>
            <w:tcW w:w="1290" w:type="dxa"/>
          </w:tcPr>
          <w:p>
            <w:pPr>
              <w:pStyle w:val="TableParagraph"/>
              <w:spacing w:line="226" w:lineRule="exact" w:before="8"/>
              <w:ind w:right="106"/>
              <w:jc w:val="right"/>
              <w:rPr>
                <w:sz w:val="20"/>
              </w:rPr>
            </w:pPr>
            <w:r>
              <w:rPr>
                <w:w w:val="99"/>
                <w:sz w:val="20"/>
              </w:rPr>
              <w:t>0</w:t>
            </w:r>
          </w:p>
        </w:tc>
        <w:tc>
          <w:tcPr>
            <w:tcW w:w="1696" w:type="dxa"/>
          </w:tcPr>
          <w:p>
            <w:pPr>
              <w:pStyle w:val="TableParagraph"/>
              <w:spacing w:line="226" w:lineRule="exact" w:before="8"/>
              <w:ind w:right="239"/>
              <w:jc w:val="right"/>
              <w:rPr>
                <w:sz w:val="20"/>
              </w:rPr>
            </w:pPr>
            <w:r>
              <w:rPr>
                <w:w w:val="99"/>
                <w:sz w:val="20"/>
              </w:rPr>
              <w:t>0</w:t>
            </w:r>
          </w:p>
        </w:tc>
        <w:tc>
          <w:tcPr>
            <w:tcW w:w="1929" w:type="dxa"/>
            <w:tcBorders>
              <w:right w:val="single" w:sz="12" w:space="0" w:color="000000"/>
            </w:tcBorders>
          </w:tcPr>
          <w:p>
            <w:pPr>
              <w:pStyle w:val="TableParagraph"/>
              <w:spacing w:line="226" w:lineRule="exact" w:before="8"/>
              <w:ind w:right="89"/>
              <w:jc w:val="right"/>
              <w:rPr>
                <w:sz w:val="20"/>
              </w:rPr>
            </w:pPr>
            <w:r>
              <w:rPr>
                <w:spacing w:val="-2"/>
                <w:sz w:val="20"/>
              </w:rPr>
              <w:t>3,176</w:t>
            </w:r>
          </w:p>
        </w:tc>
      </w:tr>
      <w:tr>
        <w:trPr>
          <w:trHeight w:val="254" w:hRule="atLeast"/>
        </w:trPr>
        <w:tc>
          <w:tcPr>
            <w:tcW w:w="4188" w:type="dxa"/>
            <w:tcBorders>
              <w:left w:val="single" w:sz="12" w:space="0" w:color="000000"/>
            </w:tcBorders>
          </w:tcPr>
          <w:p>
            <w:pPr>
              <w:pStyle w:val="TableParagraph"/>
              <w:spacing w:line="226" w:lineRule="exact" w:before="8"/>
              <w:ind w:left="107"/>
              <w:rPr>
                <w:sz w:val="20"/>
              </w:rPr>
            </w:pPr>
            <w:r>
              <w:rPr>
                <w:sz w:val="20"/>
              </w:rPr>
              <w:t>Off</w:t>
            </w:r>
            <w:r>
              <w:rPr>
                <w:spacing w:val="-5"/>
                <w:sz w:val="20"/>
              </w:rPr>
              <w:t> </w:t>
            </w:r>
            <w:r>
              <w:rPr>
                <w:sz w:val="20"/>
              </w:rPr>
              <w:t>street</w:t>
            </w:r>
            <w:r>
              <w:rPr>
                <w:spacing w:val="-5"/>
                <w:sz w:val="20"/>
              </w:rPr>
              <w:t> </w:t>
            </w:r>
            <w:r>
              <w:rPr>
                <w:sz w:val="20"/>
              </w:rPr>
              <w:t>car</w:t>
            </w:r>
            <w:r>
              <w:rPr>
                <w:spacing w:val="-3"/>
                <w:sz w:val="20"/>
              </w:rPr>
              <w:t> </w:t>
            </w:r>
            <w:r>
              <w:rPr>
                <w:spacing w:val="-2"/>
                <w:sz w:val="20"/>
              </w:rPr>
              <w:t>parks</w:t>
            </w:r>
          </w:p>
        </w:tc>
        <w:tc>
          <w:tcPr>
            <w:tcW w:w="1504" w:type="dxa"/>
          </w:tcPr>
          <w:p>
            <w:pPr>
              <w:pStyle w:val="TableParagraph"/>
              <w:spacing w:line="226" w:lineRule="exact" w:before="8"/>
              <w:ind w:right="232"/>
              <w:jc w:val="right"/>
              <w:rPr>
                <w:sz w:val="20"/>
              </w:rPr>
            </w:pPr>
            <w:r>
              <w:rPr>
                <w:spacing w:val="-5"/>
                <w:sz w:val="20"/>
              </w:rPr>
              <w:t>470</w:t>
            </w:r>
          </w:p>
        </w:tc>
        <w:tc>
          <w:tcPr>
            <w:tcW w:w="1143" w:type="dxa"/>
          </w:tcPr>
          <w:p>
            <w:pPr>
              <w:pStyle w:val="TableParagraph"/>
              <w:spacing w:line="226" w:lineRule="exact" w:before="8"/>
              <w:ind w:right="110"/>
              <w:jc w:val="right"/>
              <w:rPr>
                <w:sz w:val="20"/>
              </w:rPr>
            </w:pPr>
            <w:r>
              <w:rPr>
                <w:w w:val="99"/>
                <w:sz w:val="20"/>
              </w:rPr>
              <w:t>0</w:t>
            </w:r>
          </w:p>
        </w:tc>
        <w:tc>
          <w:tcPr>
            <w:tcW w:w="1112" w:type="dxa"/>
          </w:tcPr>
          <w:p>
            <w:pPr>
              <w:pStyle w:val="TableParagraph"/>
              <w:spacing w:line="226" w:lineRule="exact" w:before="8"/>
              <w:ind w:right="125"/>
              <w:jc w:val="right"/>
              <w:rPr>
                <w:sz w:val="20"/>
              </w:rPr>
            </w:pPr>
            <w:r>
              <w:rPr>
                <w:spacing w:val="-5"/>
                <w:sz w:val="20"/>
              </w:rPr>
              <w:t>235</w:t>
            </w:r>
          </w:p>
        </w:tc>
        <w:tc>
          <w:tcPr>
            <w:tcW w:w="1118" w:type="dxa"/>
            <w:tcBorders>
              <w:right w:val="single" w:sz="4" w:space="0" w:color="000000"/>
            </w:tcBorders>
          </w:tcPr>
          <w:p>
            <w:pPr>
              <w:pStyle w:val="TableParagraph"/>
              <w:spacing w:line="226" w:lineRule="exact" w:before="8"/>
              <w:ind w:right="91"/>
              <w:jc w:val="right"/>
              <w:rPr>
                <w:sz w:val="20"/>
              </w:rPr>
            </w:pPr>
            <w:r>
              <w:rPr>
                <w:spacing w:val="-5"/>
                <w:sz w:val="20"/>
              </w:rPr>
              <w:t>235</w:t>
            </w:r>
          </w:p>
        </w:tc>
        <w:tc>
          <w:tcPr>
            <w:tcW w:w="1420" w:type="dxa"/>
            <w:tcBorders>
              <w:left w:val="single" w:sz="4" w:space="0" w:color="000000"/>
            </w:tcBorders>
          </w:tcPr>
          <w:p>
            <w:pPr>
              <w:pStyle w:val="TableParagraph"/>
              <w:spacing w:line="226" w:lineRule="exact" w:before="8"/>
              <w:ind w:right="232"/>
              <w:jc w:val="right"/>
              <w:rPr>
                <w:sz w:val="20"/>
              </w:rPr>
            </w:pPr>
            <w:r>
              <w:rPr>
                <w:spacing w:val="-5"/>
                <w:sz w:val="20"/>
              </w:rPr>
              <w:t>470</w:t>
            </w:r>
          </w:p>
        </w:tc>
        <w:tc>
          <w:tcPr>
            <w:tcW w:w="1290" w:type="dxa"/>
          </w:tcPr>
          <w:p>
            <w:pPr>
              <w:pStyle w:val="TableParagraph"/>
              <w:spacing w:line="226" w:lineRule="exact" w:before="8"/>
              <w:ind w:right="106"/>
              <w:jc w:val="right"/>
              <w:rPr>
                <w:sz w:val="20"/>
              </w:rPr>
            </w:pPr>
            <w:r>
              <w:rPr>
                <w:w w:val="99"/>
                <w:sz w:val="20"/>
              </w:rPr>
              <w:t>0</w:t>
            </w:r>
          </w:p>
        </w:tc>
        <w:tc>
          <w:tcPr>
            <w:tcW w:w="1696" w:type="dxa"/>
          </w:tcPr>
          <w:p>
            <w:pPr>
              <w:pStyle w:val="TableParagraph"/>
              <w:spacing w:line="226" w:lineRule="exact" w:before="8"/>
              <w:ind w:right="239"/>
              <w:jc w:val="right"/>
              <w:rPr>
                <w:sz w:val="20"/>
              </w:rPr>
            </w:pPr>
            <w:r>
              <w:rPr>
                <w:w w:val="99"/>
                <w:sz w:val="20"/>
              </w:rPr>
              <w:t>0</w:t>
            </w:r>
          </w:p>
        </w:tc>
        <w:tc>
          <w:tcPr>
            <w:tcW w:w="1929" w:type="dxa"/>
            <w:tcBorders>
              <w:right w:val="single" w:sz="12" w:space="0" w:color="000000"/>
            </w:tcBorders>
          </w:tcPr>
          <w:p>
            <w:pPr>
              <w:pStyle w:val="TableParagraph"/>
              <w:spacing w:line="226" w:lineRule="exact" w:before="8"/>
              <w:ind w:right="90"/>
              <w:jc w:val="right"/>
              <w:rPr>
                <w:sz w:val="20"/>
              </w:rPr>
            </w:pPr>
            <w:r>
              <w:rPr>
                <w:spacing w:val="-5"/>
                <w:sz w:val="20"/>
              </w:rPr>
              <w:t>470</w:t>
            </w:r>
          </w:p>
        </w:tc>
      </w:tr>
      <w:tr>
        <w:trPr>
          <w:trHeight w:val="239" w:hRule="atLeast"/>
        </w:trPr>
        <w:tc>
          <w:tcPr>
            <w:tcW w:w="4188" w:type="dxa"/>
            <w:tcBorders>
              <w:left w:val="single" w:sz="12" w:space="0" w:color="000000"/>
            </w:tcBorders>
          </w:tcPr>
          <w:p>
            <w:pPr>
              <w:pStyle w:val="TableParagraph"/>
              <w:spacing w:line="211" w:lineRule="exact" w:before="8"/>
              <w:ind w:left="107"/>
              <w:rPr>
                <w:sz w:val="20"/>
              </w:rPr>
            </w:pPr>
            <w:r>
              <w:rPr>
                <w:sz w:val="20"/>
              </w:rPr>
              <w:t>Other</w:t>
            </w:r>
            <w:r>
              <w:rPr>
                <w:spacing w:val="-6"/>
                <w:sz w:val="20"/>
              </w:rPr>
              <w:t> </w:t>
            </w:r>
            <w:r>
              <w:rPr>
                <w:spacing w:val="-2"/>
                <w:sz w:val="20"/>
              </w:rPr>
              <w:t>infrastructure</w:t>
            </w:r>
          </w:p>
        </w:tc>
        <w:tc>
          <w:tcPr>
            <w:tcW w:w="1504" w:type="dxa"/>
            <w:tcBorders>
              <w:bottom w:val="single" w:sz="4" w:space="0" w:color="000000"/>
            </w:tcBorders>
          </w:tcPr>
          <w:p>
            <w:pPr>
              <w:pStyle w:val="TableParagraph"/>
              <w:spacing w:line="211" w:lineRule="exact" w:before="8"/>
              <w:ind w:right="232"/>
              <w:jc w:val="right"/>
              <w:rPr>
                <w:sz w:val="20"/>
              </w:rPr>
            </w:pPr>
            <w:r>
              <w:rPr>
                <w:spacing w:val="-2"/>
                <w:sz w:val="20"/>
              </w:rPr>
              <w:t>14,045</w:t>
            </w:r>
          </w:p>
        </w:tc>
        <w:tc>
          <w:tcPr>
            <w:tcW w:w="1143" w:type="dxa"/>
            <w:tcBorders>
              <w:bottom w:val="single" w:sz="4" w:space="0" w:color="000000"/>
            </w:tcBorders>
          </w:tcPr>
          <w:p>
            <w:pPr>
              <w:pStyle w:val="TableParagraph"/>
              <w:spacing w:line="211" w:lineRule="exact" w:before="8"/>
              <w:ind w:right="113"/>
              <w:jc w:val="right"/>
              <w:rPr>
                <w:sz w:val="20"/>
              </w:rPr>
            </w:pPr>
            <w:r>
              <w:rPr>
                <w:spacing w:val="-5"/>
                <w:sz w:val="20"/>
              </w:rPr>
              <w:t>170</w:t>
            </w:r>
          </w:p>
        </w:tc>
        <w:tc>
          <w:tcPr>
            <w:tcW w:w="1112" w:type="dxa"/>
            <w:tcBorders>
              <w:bottom w:val="single" w:sz="4" w:space="0" w:color="000000"/>
            </w:tcBorders>
          </w:tcPr>
          <w:p>
            <w:pPr>
              <w:pStyle w:val="TableParagraph"/>
              <w:spacing w:line="211" w:lineRule="exact" w:before="8"/>
              <w:ind w:right="125"/>
              <w:jc w:val="right"/>
              <w:rPr>
                <w:sz w:val="20"/>
              </w:rPr>
            </w:pPr>
            <w:r>
              <w:rPr>
                <w:spacing w:val="-2"/>
                <w:sz w:val="20"/>
              </w:rPr>
              <w:t>10,550</w:t>
            </w:r>
          </w:p>
        </w:tc>
        <w:tc>
          <w:tcPr>
            <w:tcW w:w="1118" w:type="dxa"/>
            <w:tcBorders>
              <w:bottom w:val="single" w:sz="4" w:space="0" w:color="000000"/>
              <w:right w:val="single" w:sz="4" w:space="0" w:color="000000"/>
            </w:tcBorders>
          </w:tcPr>
          <w:p>
            <w:pPr>
              <w:pStyle w:val="TableParagraph"/>
              <w:spacing w:line="211" w:lineRule="exact" w:before="8"/>
              <w:ind w:right="90"/>
              <w:jc w:val="right"/>
              <w:rPr>
                <w:sz w:val="20"/>
              </w:rPr>
            </w:pPr>
            <w:r>
              <w:rPr>
                <w:spacing w:val="-2"/>
                <w:sz w:val="20"/>
              </w:rPr>
              <w:t>3,325</w:t>
            </w:r>
          </w:p>
        </w:tc>
        <w:tc>
          <w:tcPr>
            <w:tcW w:w="1420" w:type="dxa"/>
            <w:tcBorders>
              <w:left w:val="single" w:sz="4" w:space="0" w:color="000000"/>
              <w:bottom w:val="single" w:sz="4" w:space="0" w:color="000000"/>
            </w:tcBorders>
          </w:tcPr>
          <w:p>
            <w:pPr>
              <w:pStyle w:val="TableParagraph"/>
              <w:spacing w:line="211" w:lineRule="exact" w:before="8"/>
              <w:ind w:right="232"/>
              <w:jc w:val="right"/>
              <w:rPr>
                <w:sz w:val="20"/>
              </w:rPr>
            </w:pPr>
            <w:r>
              <w:rPr>
                <w:spacing w:val="-2"/>
                <w:sz w:val="20"/>
              </w:rPr>
              <w:t>14,045</w:t>
            </w:r>
          </w:p>
        </w:tc>
        <w:tc>
          <w:tcPr>
            <w:tcW w:w="1290" w:type="dxa"/>
            <w:tcBorders>
              <w:bottom w:val="single" w:sz="4" w:space="0" w:color="000000"/>
            </w:tcBorders>
          </w:tcPr>
          <w:p>
            <w:pPr>
              <w:pStyle w:val="TableParagraph"/>
              <w:spacing w:line="211" w:lineRule="exact" w:before="8"/>
              <w:ind w:right="108"/>
              <w:jc w:val="right"/>
              <w:rPr>
                <w:sz w:val="20"/>
              </w:rPr>
            </w:pPr>
            <w:r>
              <w:rPr>
                <w:spacing w:val="-2"/>
                <w:sz w:val="20"/>
              </w:rPr>
              <w:t>7,500</w:t>
            </w:r>
          </w:p>
        </w:tc>
        <w:tc>
          <w:tcPr>
            <w:tcW w:w="1696" w:type="dxa"/>
            <w:tcBorders>
              <w:bottom w:val="single" w:sz="4" w:space="0" w:color="000000"/>
            </w:tcBorders>
          </w:tcPr>
          <w:p>
            <w:pPr>
              <w:pStyle w:val="TableParagraph"/>
              <w:spacing w:line="211" w:lineRule="exact" w:before="8"/>
              <w:ind w:right="239"/>
              <w:jc w:val="right"/>
              <w:rPr>
                <w:sz w:val="20"/>
              </w:rPr>
            </w:pPr>
            <w:r>
              <w:rPr>
                <w:w w:val="99"/>
                <w:sz w:val="20"/>
              </w:rPr>
              <w:t>0</w:t>
            </w:r>
          </w:p>
        </w:tc>
        <w:tc>
          <w:tcPr>
            <w:tcW w:w="1929" w:type="dxa"/>
            <w:tcBorders>
              <w:bottom w:val="single" w:sz="4" w:space="0" w:color="000000"/>
              <w:right w:val="single" w:sz="12" w:space="0" w:color="000000"/>
            </w:tcBorders>
          </w:tcPr>
          <w:p>
            <w:pPr>
              <w:pStyle w:val="TableParagraph"/>
              <w:spacing w:line="211" w:lineRule="exact" w:before="8"/>
              <w:ind w:right="89"/>
              <w:jc w:val="right"/>
              <w:rPr>
                <w:sz w:val="20"/>
              </w:rPr>
            </w:pPr>
            <w:r>
              <w:rPr>
                <w:spacing w:val="-2"/>
                <w:sz w:val="20"/>
              </w:rPr>
              <w:t>6,545</w:t>
            </w:r>
          </w:p>
        </w:tc>
      </w:tr>
      <w:tr>
        <w:trPr>
          <w:trHeight w:val="256" w:hRule="atLeast"/>
        </w:trPr>
        <w:tc>
          <w:tcPr>
            <w:tcW w:w="4188" w:type="dxa"/>
            <w:tcBorders>
              <w:left w:val="single" w:sz="12" w:space="0" w:color="000000"/>
            </w:tcBorders>
          </w:tcPr>
          <w:p>
            <w:pPr>
              <w:pStyle w:val="TableParagraph"/>
              <w:spacing w:line="211" w:lineRule="exact" w:before="26"/>
              <w:ind w:left="107"/>
              <w:rPr>
                <w:b/>
                <w:sz w:val="20"/>
              </w:rPr>
            </w:pPr>
            <w:r>
              <w:rPr>
                <w:b/>
                <w:sz w:val="20"/>
              </w:rPr>
              <w:t>Total</w:t>
            </w:r>
            <w:r>
              <w:rPr>
                <w:b/>
                <w:spacing w:val="-6"/>
                <w:sz w:val="20"/>
              </w:rPr>
              <w:t> </w:t>
            </w:r>
            <w:r>
              <w:rPr>
                <w:b/>
                <w:spacing w:val="-2"/>
                <w:sz w:val="20"/>
              </w:rPr>
              <w:t>Infrastructure</w:t>
            </w:r>
          </w:p>
        </w:tc>
        <w:tc>
          <w:tcPr>
            <w:tcW w:w="1504" w:type="dxa"/>
            <w:tcBorders>
              <w:top w:val="single" w:sz="4" w:space="0" w:color="000000"/>
              <w:bottom w:val="single" w:sz="4" w:space="0" w:color="000000"/>
            </w:tcBorders>
          </w:tcPr>
          <w:p>
            <w:pPr>
              <w:pStyle w:val="TableParagraph"/>
              <w:spacing w:line="211" w:lineRule="exact" w:before="26"/>
              <w:ind w:right="232"/>
              <w:jc w:val="right"/>
              <w:rPr>
                <w:b/>
                <w:sz w:val="20"/>
              </w:rPr>
            </w:pPr>
            <w:r>
              <w:rPr>
                <w:b/>
                <w:spacing w:val="-2"/>
                <w:sz w:val="20"/>
              </w:rPr>
              <w:t>34,197</w:t>
            </w:r>
          </w:p>
        </w:tc>
        <w:tc>
          <w:tcPr>
            <w:tcW w:w="1143" w:type="dxa"/>
            <w:tcBorders>
              <w:top w:val="single" w:sz="4" w:space="0" w:color="000000"/>
              <w:bottom w:val="single" w:sz="4" w:space="0" w:color="000000"/>
            </w:tcBorders>
          </w:tcPr>
          <w:p>
            <w:pPr>
              <w:pStyle w:val="TableParagraph"/>
              <w:spacing w:line="211" w:lineRule="exact" w:before="26"/>
              <w:ind w:right="112"/>
              <w:jc w:val="right"/>
              <w:rPr>
                <w:b/>
                <w:sz w:val="20"/>
              </w:rPr>
            </w:pPr>
            <w:r>
              <w:rPr>
                <w:b/>
                <w:spacing w:val="-2"/>
                <w:sz w:val="20"/>
              </w:rPr>
              <w:t>6,265</w:t>
            </w:r>
          </w:p>
        </w:tc>
        <w:tc>
          <w:tcPr>
            <w:tcW w:w="1112" w:type="dxa"/>
            <w:tcBorders>
              <w:top w:val="single" w:sz="4" w:space="0" w:color="000000"/>
              <w:bottom w:val="single" w:sz="4" w:space="0" w:color="000000"/>
            </w:tcBorders>
          </w:tcPr>
          <w:p>
            <w:pPr>
              <w:pStyle w:val="TableParagraph"/>
              <w:spacing w:line="211" w:lineRule="exact" w:before="26"/>
              <w:ind w:right="125"/>
              <w:jc w:val="right"/>
              <w:rPr>
                <w:b/>
                <w:sz w:val="20"/>
              </w:rPr>
            </w:pPr>
            <w:r>
              <w:rPr>
                <w:b/>
                <w:spacing w:val="-2"/>
                <w:sz w:val="20"/>
              </w:rPr>
              <w:t>22,317</w:t>
            </w:r>
          </w:p>
        </w:tc>
        <w:tc>
          <w:tcPr>
            <w:tcW w:w="1118" w:type="dxa"/>
            <w:tcBorders>
              <w:top w:val="single" w:sz="4" w:space="0" w:color="000000"/>
              <w:bottom w:val="single" w:sz="4" w:space="0" w:color="000000"/>
              <w:right w:val="single" w:sz="4" w:space="0" w:color="000000"/>
            </w:tcBorders>
          </w:tcPr>
          <w:p>
            <w:pPr>
              <w:pStyle w:val="TableParagraph"/>
              <w:spacing w:line="211" w:lineRule="exact" w:before="26"/>
              <w:ind w:right="90"/>
              <w:jc w:val="right"/>
              <w:rPr>
                <w:b/>
                <w:sz w:val="20"/>
              </w:rPr>
            </w:pPr>
            <w:r>
              <w:rPr>
                <w:b/>
                <w:spacing w:val="-2"/>
                <w:sz w:val="20"/>
              </w:rPr>
              <w:t>5,615</w:t>
            </w:r>
          </w:p>
        </w:tc>
        <w:tc>
          <w:tcPr>
            <w:tcW w:w="1420" w:type="dxa"/>
            <w:tcBorders>
              <w:top w:val="single" w:sz="4" w:space="0" w:color="000000"/>
              <w:left w:val="single" w:sz="4" w:space="0" w:color="000000"/>
              <w:bottom w:val="single" w:sz="4" w:space="0" w:color="000000"/>
            </w:tcBorders>
          </w:tcPr>
          <w:p>
            <w:pPr>
              <w:pStyle w:val="TableParagraph"/>
              <w:spacing w:line="211" w:lineRule="exact" w:before="26"/>
              <w:ind w:right="232"/>
              <w:jc w:val="right"/>
              <w:rPr>
                <w:b/>
                <w:sz w:val="20"/>
              </w:rPr>
            </w:pPr>
            <w:r>
              <w:rPr>
                <w:b/>
                <w:spacing w:val="-2"/>
                <w:sz w:val="20"/>
              </w:rPr>
              <w:t>34,197</w:t>
            </w:r>
          </w:p>
        </w:tc>
        <w:tc>
          <w:tcPr>
            <w:tcW w:w="1290" w:type="dxa"/>
            <w:tcBorders>
              <w:top w:val="single" w:sz="4" w:space="0" w:color="000000"/>
              <w:bottom w:val="single" w:sz="4" w:space="0" w:color="000000"/>
            </w:tcBorders>
          </w:tcPr>
          <w:p>
            <w:pPr>
              <w:pStyle w:val="TableParagraph"/>
              <w:spacing w:line="211" w:lineRule="exact" w:before="26"/>
              <w:ind w:right="108"/>
              <w:jc w:val="right"/>
              <w:rPr>
                <w:b/>
                <w:sz w:val="20"/>
              </w:rPr>
            </w:pPr>
            <w:r>
              <w:rPr>
                <w:b/>
                <w:spacing w:val="-2"/>
                <w:sz w:val="20"/>
              </w:rPr>
              <w:t>8,466</w:t>
            </w:r>
          </w:p>
        </w:tc>
        <w:tc>
          <w:tcPr>
            <w:tcW w:w="1696" w:type="dxa"/>
            <w:tcBorders>
              <w:top w:val="single" w:sz="4" w:space="0" w:color="000000"/>
              <w:bottom w:val="single" w:sz="4" w:space="0" w:color="000000"/>
            </w:tcBorders>
          </w:tcPr>
          <w:p>
            <w:pPr>
              <w:pStyle w:val="TableParagraph"/>
              <w:spacing w:line="211" w:lineRule="exact" w:before="26"/>
              <w:ind w:right="243"/>
              <w:jc w:val="right"/>
              <w:rPr>
                <w:b/>
                <w:sz w:val="20"/>
              </w:rPr>
            </w:pPr>
            <w:r>
              <w:rPr>
                <w:b/>
                <w:spacing w:val="-5"/>
                <w:sz w:val="20"/>
              </w:rPr>
              <w:t>34</w:t>
            </w:r>
          </w:p>
        </w:tc>
        <w:tc>
          <w:tcPr>
            <w:tcW w:w="1929" w:type="dxa"/>
            <w:tcBorders>
              <w:top w:val="single" w:sz="4" w:space="0" w:color="000000"/>
              <w:bottom w:val="single" w:sz="4" w:space="0" w:color="000000"/>
              <w:right w:val="single" w:sz="12" w:space="0" w:color="000000"/>
            </w:tcBorders>
          </w:tcPr>
          <w:p>
            <w:pPr>
              <w:pStyle w:val="TableParagraph"/>
              <w:spacing w:line="211" w:lineRule="exact" w:before="26"/>
              <w:ind w:right="90"/>
              <w:jc w:val="right"/>
              <w:rPr>
                <w:b/>
                <w:sz w:val="20"/>
              </w:rPr>
            </w:pPr>
            <w:r>
              <w:rPr>
                <w:b/>
                <w:spacing w:val="-2"/>
                <w:sz w:val="20"/>
              </w:rPr>
              <w:t>25,697</w:t>
            </w:r>
          </w:p>
        </w:tc>
      </w:tr>
      <w:tr>
        <w:trPr>
          <w:trHeight w:val="255" w:hRule="atLeast"/>
        </w:trPr>
        <w:tc>
          <w:tcPr>
            <w:tcW w:w="4188" w:type="dxa"/>
            <w:tcBorders>
              <w:left w:val="single" w:sz="12" w:space="0" w:color="000000"/>
              <w:bottom w:val="single" w:sz="12" w:space="0" w:color="000000"/>
            </w:tcBorders>
          </w:tcPr>
          <w:p>
            <w:pPr>
              <w:pStyle w:val="TableParagraph"/>
              <w:spacing w:line="213" w:lineRule="exact" w:before="23"/>
              <w:ind w:left="107"/>
              <w:rPr>
                <w:b/>
                <w:sz w:val="20"/>
              </w:rPr>
            </w:pPr>
            <w:r>
              <w:rPr>
                <w:b/>
                <w:sz w:val="20"/>
              </w:rPr>
              <w:t>Total</w:t>
            </w:r>
            <w:r>
              <w:rPr>
                <w:b/>
                <w:spacing w:val="-8"/>
                <w:sz w:val="20"/>
              </w:rPr>
              <w:t> </w:t>
            </w:r>
            <w:r>
              <w:rPr>
                <w:b/>
                <w:sz w:val="20"/>
              </w:rPr>
              <w:t>Capital</w:t>
            </w:r>
            <w:r>
              <w:rPr>
                <w:b/>
                <w:spacing w:val="-5"/>
                <w:sz w:val="20"/>
              </w:rPr>
              <w:t> </w:t>
            </w:r>
            <w:r>
              <w:rPr>
                <w:b/>
                <w:sz w:val="20"/>
              </w:rPr>
              <w:t>Works</w:t>
            </w:r>
            <w:r>
              <w:rPr>
                <w:b/>
                <w:spacing w:val="-6"/>
                <w:sz w:val="20"/>
              </w:rPr>
              <w:t> </w:t>
            </w:r>
            <w:r>
              <w:rPr>
                <w:b/>
                <w:spacing w:val="-2"/>
                <w:sz w:val="20"/>
              </w:rPr>
              <w:t>Expenditure</w:t>
            </w:r>
          </w:p>
        </w:tc>
        <w:tc>
          <w:tcPr>
            <w:tcW w:w="1504" w:type="dxa"/>
            <w:tcBorders>
              <w:top w:val="single" w:sz="4" w:space="0" w:color="000000"/>
              <w:bottom w:val="single" w:sz="12" w:space="0" w:color="000000"/>
            </w:tcBorders>
          </w:tcPr>
          <w:p>
            <w:pPr>
              <w:pStyle w:val="TableParagraph"/>
              <w:spacing w:line="213" w:lineRule="exact" w:before="23"/>
              <w:ind w:right="232"/>
              <w:jc w:val="right"/>
              <w:rPr>
                <w:b/>
                <w:sz w:val="20"/>
              </w:rPr>
            </w:pPr>
            <w:r>
              <w:rPr>
                <w:b/>
                <w:spacing w:val="-2"/>
                <w:sz w:val="20"/>
              </w:rPr>
              <w:t>76,846</w:t>
            </w:r>
          </w:p>
        </w:tc>
        <w:tc>
          <w:tcPr>
            <w:tcW w:w="1143" w:type="dxa"/>
            <w:tcBorders>
              <w:top w:val="single" w:sz="4" w:space="0" w:color="000000"/>
              <w:bottom w:val="single" w:sz="12" w:space="0" w:color="000000"/>
            </w:tcBorders>
          </w:tcPr>
          <w:p>
            <w:pPr>
              <w:pStyle w:val="TableParagraph"/>
              <w:spacing w:line="213" w:lineRule="exact" w:before="23"/>
              <w:ind w:right="112"/>
              <w:jc w:val="right"/>
              <w:rPr>
                <w:b/>
                <w:sz w:val="20"/>
              </w:rPr>
            </w:pPr>
            <w:r>
              <w:rPr>
                <w:b/>
                <w:spacing w:val="-2"/>
                <w:sz w:val="20"/>
              </w:rPr>
              <w:t>7,559</w:t>
            </w:r>
          </w:p>
        </w:tc>
        <w:tc>
          <w:tcPr>
            <w:tcW w:w="1112" w:type="dxa"/>
            <w:tcBorders>
              <w:top w:val="single" w:sz="4" w:space="0" w:color="000000"/>
              <w:bottom w:val="single" w:sz="12" w:space="0" w:color="000000"/>
            </w:tcBorders>
          </w:tcPr>
          <w:p>
            <w:pPr>
              <w:pStyle w:val="TableParagraph"/>
              <w:spacing w:line="213" w:lineRule="exact" w:before="23"/>
              <w:ind w:right="125"/>
              <w:jc w:val="right"/>
              <w:rPr>
                <w:b/>
                <w:sz w:val="20"/>
              </w:rPr>
            </w:pPr>
            <w:r>
              <w:rPr>
                <w:b/>
                <w:spacing w:val="-2"/>
                <w:sz w:val="20"/>
              </w:rPr>
              <w:t>55,268</w:t>
            </w:r>
          </w:p>
        </w:tc>
        <w:tc>
          <w:tcPr>
            <w:tcW w:w="1118" w:type="dxa"/>
            <w:tcBorders>
              <w:top w:val="single" w:sz="4" w:space="0" w:color="000000"/>
              <w:bottom w:val="single" w:sz="12" w:space="0" w:color="000000"/>
              <w:right w:val="single" w:sz="4" w:space="0" w:color="000000"/>
            </w:tcBorders>
          </w:tcPr>
          <w:p>
            <w:pPr>
              <w:pStyle w:val="TableParagraph"/>
              <w:spacing w:line="213" w:lineRule="exact" w:before="23"/>
              <w:ind w:right="91"/>
              <w:jc w:val="right"/>
              <w:rPr>
                <w:b/>
                <w:sz w:val="20"/>
              </w:rPr>
            </w:pPr>
            <w:r>
              <w:rPr>
                <w:b/>
                <w:spacing w:val="-2"/>
                <w:sz w:val="20"/>
              </w:rPr>
              <w:t>14,019</w:t>
            </w:r>
          </w:p>
        </w:tc>
        <w:tc>
          <w:tcPr>
            <w:tcW w:w="1420" w:type="dxa"/>
            <w:tcBorders>
              <w:top w:val="single" w:sz="4" w:space="0" w:color="000000"/>
              <w:left w:val="single" w:sz="4" w:space="0" w:color="000000"/>
              <w:bottom w:val="single" w:sz="12" w:space="0" w:color="000000"/>
            </w:tcBorders>
          </w:tcPr>
          <w:p>
            <w:pPr>
              <w:pStyle w:val="TableParagraph"/>
              <w:spacing w:line="213" w:lineRule="exact" w:before="23"/>
              <w:ind w:right="232"/>
              <w:jc w:val="right"/>
              <w:rPr>
                <w:b/>
                <w:sz w:val="20"/>
              </w:rPr>
            </w:pPr>
            <w:r>
              <w:rPr>
                <w:b/>
                <w:spacing w:val="-2"/>
                <w:sz w:val="20"/>
              </w:rPr>
              <w:t>76,846</w:t>
            </w:r>
          </w:p>
        </w:tc>
        <w:tc>
          <w:tcPr>
            <w:tcW w:w="1290" w:type="dxa"/>
            <w:tcBorders>
              <w:top w:val="single" w:sz="4" w:space="0" w:color="000000"/>
              <w:bottom w:val="single" w:sz="12" w:space="0" w:color="000000"/>
            </w:tcBorders>
          </w:tcPr>
          <w:p>
            <w:pPr>
              <w:pStyle w:val="TableParagraph"/>
              <w:spacing w:line="213" w:lineRule="exact" w:before="23"/>
              <w:ind w:right="109"/>
              <w:jc w:val="right"/>
              <w:rPr>
                <w:b/>
                <w:sz w:val="20"/>
              </w:rPr>
            </w:pPr>
            <w:r>
              <w:rPr>
                <w:b/>
                <w:spacing w:val="-2"/>
                <w:sz w:val="20"/>
              </w:rPr>
              <w:t>17,466</w:t>
            </w:r>
          </w:p>
        </w:tc>
        <w:tc>
          <w:tcPr>
            <w:tcW w:w="1696" w:type="dxa"/>
            <w:tcBorders>
              <w:top w:val="single" w:sz="4" w:space="0" w:color="000000"/>
              <w:bottom w:val="single" w:sz="12" w:space="0" w:color="000000"/>
            </w:tcBorders>
          </w:tcPr>
          <w:p>
            <w:pPr>
              <w:pStyle w:val="TableParagraph"/>
              <w:spacing w:line="213" w:lineRule="exact" w:before="23"/>
              <w:ind w:right="242"/>
              <w:jc w:val="right"/>
              <w:rPr>
                <w:b/>
                <w:sz w:val="20"/>
              </w:rPr>
            </w:pPr>
            <w:r>
              <w:rPr>
                <w:b/>
                <w:spacing w:val="-5"/>
                <w:sz w:val="20"/>
              </w:rPr>
              <w:t>234</w:t>
            </w:r>
          </w:p>
        </w:tc>
        <w:tc>
          <w:tcPr>
            <w:tcW w:w="1929" w:type="dxa"/>
            <w:tcBorders>
              <w:top w:val="single" w:sz="4" w:space="0" w:color="000000"/>
              <w:bottom w:val="single" w:sz="12" w:space="0" w:color="000000"/>
              <w:right w:val="single" w:sz="12" w:space="0" w:color="000000"/>
            </w:tcBorders>
          </w:tcPr>
          <w:p>
            <w:pPr>
              <w:pStyle w:val="TableParagraph"/>
              <w:spacing w:line="213" w:lineRule="exact" w:before="23"/>
              <w:ind w:right="90"/>
              <w:jc w:val="right"/>
              <w:rPr>
                <w:b/>
                <w:sz w:val="20"/>
              </w:rPr>
            </w:pPr>
            <w:r>
              <w:rPr>
                <w:b/>
                <w:spacing w:val="-2"/>
                <w:sz w:val="20"/>
              </w:rPr>
              <w:t>59,146</w:t>
            </w:r>
          </w:p>
        </w:tc>
      </w:tr>
    </w:tbl>
    <w:p>
      <w:pPr>
        <w:spacing w:after="0" w:line="213" w:lineRule="exact"/>
        <w:jc w:val="right"/>
        <w:rPr>
          <w:sz w:val="20"/>
        </w:rPr>
        <w:sectPr>
          <w:type w:val="continuous"/>
          <w:pgSz w:w="16840" w:h="11910" w:orient="landscape"/>
          <w:pgMar w:header="0" w:footer="375" w:top="540" w:bottom="560" w:left="600" w:right="120"/>
        </w:sect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88"/>
        <w:gridCol w:w="1504"/>
        <w:gridCol w:w="1143"/>
        <w:gridCol w:w="1112"/>
        <w:gridCol w:w="1118"/>
        <w:gridCol w:w="1420"/>
        <w:gridCol w:w="1290"/>
        <w:gridCol w:w="1696"/>
        <w:gridCol w:w="1929"/>
      </w:tblGrid>
      <w:tr>
        <w:trPr>
          <w:trHeight w:val="1100" w:hRule="atLeast"/>
        </w:trPr>
        <w:tc>
          <w:tcPr>
            <w:tcW w:w="15400" w:type="dxa"/>
            <w:gridSpan w:val="9"/>
            <w:tcBorders>
              <w:top w:val="single" w:sz="18" w:space="0" w:color="000000"/>
              <w:left w:val="single" w:sz="12" w:space="0" w:color="000000"/>
              <w:right w:val="single" w:sz="12" w:space="0" w:color="000000"/>
            </w:tcBorders>
          </w:tcPr>
          <w:p>
            <w:pPr>
              <w:pStyle w:val="TableParagraph"/>
              <w:ind w:left="107" w:right="9900"/>
              <w:rPr>
                <w:b/>
                <w:sz w:val="24"/>
              </w:rPr>
            </w:pPr>
            <w:r>
              <w:rPr>
                <w:b/>
                <w:sz w:val="24"/>
              </w:rPr>
              <w:t>Summary</w:t>
            </w:r>
            <w:r>
              <w:rPr>
                <w:b/>
                <w:spacing w:val="-9"/>
                <w:sz w:val="24"/>
              </w:rPr>
              <w:t> </w:t>
            </w:r>
            <w:r>
              <w:rPr>
                <w:b/>
                <w:sz w:val="24"/>
              </w:rPr>
              <w:t>of</w:t>
            </w:r>
            <w:r>
              <w:rPr>
                <w:b/>
                <w:spacing w:val="-10"/>
                <w:sz w:val="24"/>
              </w:rPr>
              <w:t> </w:t>
            </w:r>
            <w:r>
              <w:rPr>
                <w:b/>
                <w:sz w:val="24"/>
              </w:rPr>
              <w:t>Planned</w:t>
            </w:r>
            <w:r>
              <w:rPr>
                <w:b/>
                <w:spacing w:val="-9"/>
                <w:sz w:val="24"/>
              </w:rPr>
              <w:t> </w:t>
            </w:r>
            <w:r>
              <w:rPr>
                <w:b/>
                <w:sz w:val="24"/>
              </w:rPr>
              <w:t>Capital</w:t>
            </w:r>
            <w:r>
              <w:rPr>
                <w:b/>
                <w:spacing w:val="-9"/>
                <w:sz w:val="24"/>
              </w:rPr>
              <w:t> </w:t>
            </w:r>
            <w:r>
              <w:rPr>
                <w:b/>
                <w:sz w:val="24"/>
              </w:rPr>
              <w:t>Works </w:t>
            </w:r>
            <w:r>
              <w:rPr>
                <w:b/>
                <w:spacing w:val="-2"/>
                <w:sz w:val="24"/>
              </w:rPr>
              <w:t>Expenditure</w:t>
            </w:r>
          </w:p>
          <w:p>
            <w:pPr>
              <w:pStyle w:val="TableParagraph"/>
              <w:spacing w:line="253" w:lineRule="exact"/>
              <w:ind w:left="107"/>
              <w:rPr>
                <w:sz w:val="22"/>
              </w:rPr>
            </w:pPr>
            <w:r>
              <w:rPr>
                <w:sz w:val="22"/>
              </w:rPr>
              <w:t>For</w:t>
            </w:r>
            <w:r>
              <w:rPr>
                <w:spacing w:val="-2"/>
                <w:sz w:val="22"/>
              </w:rPr>
              <w:t> </w:t>
            </w:r>
            <w:r>
              <w:rPr>
                <w:sz w:val="22"/>
              </w:rPr>
              <w:t>the</w:t>
            </w:r>
            <w:r>
              <w:rPr>
                <w:spacing w:val="-4"/>
                <w:sz w:val="22"/>
              </w:rPr>
              <w:t> </w:t>
            </w:r>
            <w:r>
              <w:rPr>
                <w:sz w:val="22"/>
              </w:rPr>
              <w:t>four</w:t>
            </w:r>
            <w:r>
              <w:rPr>
                <w:spacing w:val="-4"/>
                <w:sz w:val="22"/>
              </w:rPr>
              <w:t> </w:t>
            </w:r>
            <w:r>
              <w:rPr>
                <w:sz w:val="22"/>
              </w:rPr>
              <w:t>years</w:t>
            </w:r>
            <w:r>
              <w:rPr>
                <w:spacing w:val="-1"/>
                <w:sz w:val="22"/>
              </w:rPr>
              <w:t> </w:t>
            </w:r>
            <w:r>
              <w:rPr>
                <w:sz w:val="22"/>
              </w:rPr>
              <w:t>ended</w:t>
            </w:r>
            <w:r>
              <w:rPr>
                <w:spacing w:val="-4"/>
                <w:sz w:val="22"/>
              </w:rPr>
              <w:t> </w:t>
            </w:r>
            <w:r>
              <w:rPr>
                <w:sz w:val="22"/>
              </w:rPr>
              <w:t>30 June</w:t>
            </w:r>
            <w:r>
              <w:rPr>
                <w:spacing w:val="-3"/>
                <w:sz w:val="22"/>
              </w:rPr>
              <w:t> </w:t>
            </w:r>
            <w:r>
              <w:rPr>
                <w:spacing w:val="-4"/>
                <w:sz w:val="22"/>
              </w:rPr>
              <w:t>2029</w:t>
            </w:r>
          </w:p>
        </w:tc>
      </w:tr>
      <w:tr>
        <w:trPr>
          <w:trHeight w:val="254" w:hRule="atLeast"/>
        </w:trPr>
        <w:tc>
          <w:tcPr>
            <w:tcW w:w="15400" w:type="dxa"/>
            <w:gridSpan w:val="9"/>
            <w:tcBorders>
              <w:left w:val="single" w:sz="12" w:space="0" w:color="000000"/>
              <w:right w:val="single" w:sz="12" w:space="0" w:color="000000"/>
            </w:tcBorders>
            <w:shd w:val="clear" w:color="auto" w:fill="629CD1"/>
          </w:tcPr>
          <w:p>
            <w:pPr>
              <w:pStyle w:val="TableParagraph"/>
              <w:tabs>
                <w:tab w:pos="11408" w:val="left" w:leader="none"/>
              </w:tabs>
              <w:spacing w:line="223" w:lineRule="exact" w:before="11"/>
              <w:ind w:left="5428"/>
              <w:rPr>
                <w:b/>
                <w:sz w:val="20"/>
              </w:rPr>
            </w:pPr>
            <w:r>
              <w:rPr>
                <w:b/>
                <w:color w:val="FFFFFF"/>
                <w:sz w:val="20"/>
              </w:rPr>
              <w:t>Asset</w:t>
            </w:r>
            <w:r>
              <w:rPr>
                <w:b/>
                <w:color w:val="FFFFFF"/>
                <w:spacing w:val="-10"/>
                <w:sz w:val="20"/>
              </w:rPr>
              <w:t> </w:t>
            </w:r>
            <w:r>
              <w:rPr>
                <w:b/>
                <w:color w:val="FFFFFF"/>
                <w:sz w:val="20"/>
              </w:rPr>
              <w:t>Expenditure</w:t>
            </w:r>
            <w:r>
              <w:rPr>
                <w:b/>
                <w:color w:val="FFFFFF"/>
                <w:spacing w:val="-11"/>
                <w:sz w:val="20"/>
              </w:rPr>
              <w:t> </w:t>
            </w:r>
            <w:r>
              <w:rPr>
                <w:b/>
                <w:color w:val="FFFFFF"/>
                <w:spacing w:val="-4"/>
                <w:sz w:val="20"/>
              </w:rPr>
              <w:t>Types</w:t>
            </w:r>
            <w:r>
              <w:rPr>
                <w:b/>
                <w:color w:val="FFFFFF"/>
                <w:sz w:val="20"/>
              </w:rPr>
              <w:tab/>
              <w:t>Funding</w:t>
            </w:r>
            <w:r>
              <w:rPr>
                <w:b/>
                <w:color w:val="FFFFFF"/>
                <w:spacing w:val="-8"/>
                <w:sz w:val="20"/>
              </w:rPr>
              <w:t> </w:t>
            </w:r>
            <w:r>
              <w:rPr>
                <w:b/>
                <w:color w:val="FFFFFF"/>
                <w:spacing w:val="-2"/>
                <w:sz w:val="20"/>
              </w:rPr>
              <w:t>Sources</w:t>
            </w:r>
          </w:p>
        </w:tc>
      </w:tr>
      <w:tr>
        <w:trPr>
          <w:trHeight w:val="258" w:hRule="atLeast"/>
        </w:trPr>
        <w:tc>
          <w:tcPr>
            <w:tcW w:w="4188" w:type="dxa"/>
            <w:tcBorders>
              <w:left w:val="single" w:sz="12" w:space="0" w:color="000000"/>
            </w:tcBorders>
            <w:shd w:val="clear" w:color="auto" w:fill="629CD1"/>
          </w:tcPr>
          <w:p>
            <w:pPr>
              <w:pStyle w:val="TableParagraph"/>
              <w:spacing w:line="227" w:lineRule="exact" w:before="11"/>
              <w:ind w:left="107"/>
              <w:rPr>
                <w:b/>
                <w:sz w:val="20"/>
              </w:rPr>
            </w:pPr>
            <w:r>
              <w:rPr>
                <w:b/>
                <w:color w:val="FFFFFF"/>
                <w:spacing w:val="-2"/>
                <w:sz w:val="20"/>
              </w:rPr>
              <w:t>2027/28</w:t>
            </w:r>
          </w:p>
        </w:tc>
        <w:tc>
          <w:tcPr>
            <w:tcW w:w="1504" w:type="dxa"/>
            <w:shd w:val="clear" w:color="auto" w:fill="629CD1"/>
          </w:tcPr>
          <w:p>
            <w:pPr>
              <w:pStyle w:val="TableParagraph"/>
              <w:spacing w:line="227" w:lineRule="exact" w:before="11"/>
              <w:ind w:left="458"/>
              <w:rPr>
                <w:b/>
                <w:sz w:val="20"/>
              </w:rPr>
            </w:pPr>
            <w:r>
              <w:rPr>
                <w:b/>
                <w:color w:val="FFFFFF"/>
                <w:spacing w:val="-2"/>
                <w:sz w:val="20"/>
              </w:rPr>
              <w:t>Total</w:t>
            </w:r>
          </w:p>
        </w:tc>
        <w:tc>
          <w:tcPr>
            <w:tcW w:w="1143" w:type="dxa"/>
            <w:shd w:val="clear" w:color="auto" w:fill="629CD1"/>
          </w:tcPr>
          <w:p>
            <w:pPr>
              <w:pStyle w:val="TableParagraph"/>
              <w:spacing w:line="227" w:lineRule="exact" w:before="11"/>
              <w:ind w:left="300"/>
              <w:rPr>
                <w:b/>
                <w:sz w:val="20"/>
              </w:rPr>
            </w:pPr>
            <w:r>
              <w:rPr>
                <w:b/>
                <w:color w:val="FFFFFF"/>
                <w:spacing w:val="-5"/>
                <w:sz w:val="20"/>
              </w:rPr>
              <w:t>New</w:t>
            </w:r>
          </w:p>
        </w:tc>
        <w:tc>
          <w:tcPr>
            <w:tcW w:w="1112" w:type="dxa"/>
            <w:shd w:val="clear" w:color="auto" w:fill="629CD1"/>
          </w:tcPr>
          <w:p>
            <w:pPr>
              <w:pStyle w:val="TableParagraph"/>
              <w:spacing w:line="227" w:lineRule="exact" w:before="11"/>
              <w:ind w:right="161"/>
              <w:jc w:val="right"/>
              <w:rPr>
                <w:b/>
                <w:sz w:val="20"/>
              </w:rPr>
            </w:pPr>
            <w:r>
              <w:rPr>
                <w:b/>
                <w:color w:val="FFFFFF"/>
                <w:spacing w:val="-2"/>
                <w:sz w:val="20"/>
              </w:rPr>
              <w:t>Renewal</w:t>
            </w:r>
          </w:p>
        </w:tc>
        <w:tc>
          <w:tcPr>
            <w:tcW w:w="1118" w:type="dxa"/>
            <w:tcBorders>
              <w:right w:val="single" w:sz="4" w:space="0" w:color="000000"/>
            </w:tcBorders>
            <w:shd w:val="clear" w:color="auto" w:fill="629CD1"/>
          </w:tcPr>
          <w:p>
            <w:pPr>
              <w:pStyle w:val="TableParagraph"/>
              <w:spacing w:line="227" w:lineRule="exact" w:before="11"/>
              <w:ind w:left="145"/>
              <w:rPr>
                <w:b/>
                <w:sz w:val="20"/>
              </w:rPr>
            </w:pPr>
            <w:r>
              <w:rPr>
                <w:b/>
                <w:color w:val="FFFFFF"/>
                <w:spacing w:val="-2"/>
                <w:sz w:val="20"/>
              </w:rPr>
              <w:t>Upgrade</w:t>
            </w:r>
          </w:p>
        </w:tc>
        <w:tc>
          <w:tcPr>
            <w:tcW w:w="1420" w:type="dxa"/>
            <w:tcBorders>
              <w:left w:val="single" w:sz="4" w:space="0" w:color="000000"/>
            </w:tcBorders>
            <w:shd w:val="clear" w:color="auto" w:fill="629CD1"/>
          </w:tcPr>
          <w:p>
            <w:pPr>
              <w:pStyle w:val="TableParagraph"/>
              <w:spacing w:line="227" w:lineRule="exact" w:before="11"/>
              <w:ind w:left="407"/>
              <w:rPr>
                <w:b/>
                <w:sz w:val="20"/>
              </w:rPr>
            </w:pPr>
            <w:r>
              <w:rPr>
                <w:b/>
                <w:color w:val="FFFFFF"/>
                <w:spacing w:val="-2"/>
                <w:sz w:val="20"/>
              </w:rPr>
              <w:t>Total</w:t>
            </w:r>
          </w:p>
        </w:tc>
        <w:tc>
          <w:tcPr>
            <w:tcW w:w="1290" w:type="dxa"/>
            <w:shd w:val="clear" w:color="auto" w:fill="629CD1"/>
          </w:tcPr>
          <w:p>
            <w:pPr>
              <w:pStyle w:val="TableParagraph"/>
              <w:spacing w:line="227" w:lineRule="exact" w:before="11"/>
              <w:ind w:left="257"/>
              <w:rPr>
                <w:b/>
                <w:sz w:val="20"/>
              </w:rPr>
            </w:pPr>
            <w:r>
              <w:rPr>
                <w:b/>
                <w:color w:val="FFFFFF"/>
                <w:spacing w:val="-2"/>
                <w:sz w:val="20"/>
              </w:rPr>
              <w:t>Grants</w:t>
            </w:r>
          </w:p>
        </w:tc>
        <w:tc>
          <w:tcPr>
            <w:tcW w:w="1696" w:type="dxa"/>
            <w:shd w:val="clear" w:color="auto" w:fill="629CD1"/>
          </w:tcPr>
          <w:p>
            <w:pPr>
              <w:pStyle w:val="TableParagraph"/>
              <w:spacing w:line="227" w:lineRule="exact" w:before="11"/>
              <w:ind w:right="256"/>
              <w:jc w:val="right"/>
              <w:rPr>
                <w:b/>
                <w:sz w:val="20"/>
              </w:rPr>
            </w:pPr>
            <w:r>
              <w:rPr>
                <w:b/>
                <w:color w:val="FFFFFF"/>
                <w:spacing w:val="-2"/>
                <w:sz w:val="20"/>
              </w:rPr>
              <w:t>Contributions</w:t>
            </w:r>
          </w:p>
        </w:tc>
        <w:tc>
          <w:tcPr>
            <w:tcW w:w="1929" w:type="dxa"/>
            <w:tcBorders>
              <w:right w:val="single" w:sz="12" w:space="0" w:color="000000"/>
            </w:tcBorders>
            <w:shd w:val="clear" w:color="auto" w:fill="629CD1"/>
          </w:tcPr>
          <w:p>
            <w:pPr>
              <w:pStyle w:val="TableParagraph"/>
              <w:spacing w:line="227" w:lineRule="exact" w:before="11"/>
              <w:ind w:left="242"/>
              <w:rPr>
                <w:b/>
                <w:sz w:val="20"/>
              </w:rPr>
            </w:pPr>
            <w:r>
              <w:rPr>
                <w:b/>
                <w:color w:val="FFFFFF"/>
                <w:sz w:val="20"/>
              </w:rPr>
              <w:t>Council</w:t>
            </w:r>
            <w:r>
              <w:rPr>
                <w:b/>
                <w:color w:val="FFFFFF"/>
                <w:spacing w:val="-8"/>
                <w:sz w:val="20"/>
              </w:rPr>
              <w:t> </w:t>
            </w:r>
            <w:r>
              <w:rPr>
                <w:b/>
                <w:color w:val="FFFFFF"/>
                <w:spacing w:val="-4"/>
                <w:sz w:val="20"/>
              </w:rPr>
              <w:t>Cash</w:t>
            </w:r>
          </w:p>
        </w:tc>
      </w:tr>
      <w:tr>
        <w:trPr>
          <w:trHeight w:val="252" w:hRule="atLeast"/>
        </w:trPr>
        <w:tc>
          <w:tcPr>
            <w:tcW w:w="4188" w:type="dxa"/>
            <w:tcBorders>
              <w:left w:val="single" w:sz="12" w:space="0" w:color="000000"/>
            </w:tcBorders>
            <w:shd w:val="clear" w:color="auto" w:fill="629CD1"/>
          </w:tcPr>
          <w:p>
            <w:pPr>
              <w:pStyle w:val="TableParagraph"/>
              <w:rPr>
                <w:rFonts w:ascii="Times New Roman"/>
                <w:sz w:val="18"/>
              </w:rPr>
            </w:pPr>
          </w:p>
        </w:tc>
        <w:tc>
          <w:tcPr>
            <w:tcW w:w="1504" w:type="dxa"/>
            <w:shd w:val="clear" w:color="auto" w:fill="629CD1"/>
          </w:tcPr>
          <w:p>
            <w:pPr>
              <w:pStyle w:val="TableParagraph"/>
              <w:spacing w:line="223" w:lineRule="exact" w:before="10"/>
              <w:ind w:left="451"/>
              <w:rPr>
                <w:b/>
                <w:sz w:val="20"/>
              </w:rPr>
            </w:pPr>
            <w:r>
              <w:rPr>
                <w:b/>
                <w:color w:val="FFFFFF"/>
                <w:spacing w:val="-2"/>
                <w:sz w:val="20"/>
              </w:rPr>
              <w:t>$'000</w:t>
            </w:r>
          </w:p>
        </w:tc>
        <w:tc>
          <w:tcPr>
            <w:tcW w:w="1143" w:type="dxa"/>
            <w:shd w:val="clear" w:color="auto" w:fill="629CD1"/>
          </w:tcPr>
          <w:p>
            <w:pPr>
              <w:pStyle w:val="TableParagraph"/>
              <w:spacing w:line="223" w:lineRule="exact" w:before="10"/>
              <w:ind w:left="260"/>
              <w:rPr>
                <w:b/>
                <w:sz w:val="20"/>
              </w:rPr>
            </w:pPr>
            <w:r>
              <w:rPr>
                <w:b/>
                <w:color w:val="FFFFFF"/>
                <w:spacing w:val="-2"/>
                <w:sz w:val="20"/>
              </w:rPr>
              <w:t>$'000</w:t>
            </w:r>
          </w:p>
        </w:tc>
        <w:tc>
          <w:tcPr>
            <w:tcW w:w="1112" w:type="dxa"/>
            <w:shd w:val="clear" w:color="auto" w:fill="629CD1"/>
          </w:tcPr>
          <w:p>
            <w:pPr>
              <w:pStyle w:val="TableParagraph"/>
              <w:spacing w:line="223" w:lineRule="exact" w:before="10"/>
              <w:ind w:left="297"/>
              <w:rPr>
                <w:b/>
                <w:sz w:val="20"/>
              </w:rPr>
            </w:pPr>
            <w:r>
              <w:rPr>
                <w:b/>
                <w:color w:val="FFFFFF"/>
                <w:spacing w:val="-2"/>
                <w:sz w:val="20"/>
              </w:rPr>
              <w:t>$'000</w:t>
            </w:r>
          </w:p>
        </w:tc>
        <w:tc>
          <w:tcPr>
            <w:tcW w:w="1118" w:type="dxa"/>
            <w:tcBorders>
              <w:right w:val="single" w:sz="4" w:space="0" w:color="000000"/>
            </w:tcBorders>
            <w:shd w:val="clear" w:color="auto" w:fill="629CD1"/>
          </w:tcPr>
          <w:p>
            <w:pPr>
              <w:pStyle w:val="TableParagraph"/>
              <w:spacing w:line="223" w:lineRule="exact" w:before="10"/>
              <w:ind w:left="304"/>
              <w:rPr>
                <w:b/>
                <w:sz w:val="20"/>
              </w:rPr>
            </w:pPr>
            <w:r>
              <w:rPr>
                <w:b/>
                <w:color w:val="FFFFFF"/>
                <w:spacing w:val="-2"/>
                <w:sz w:val="20"/>
              </w:rPr>
              <w:t>$'000</w:t>
            </w:r>
          </w:p>
        </w:tc>
        <w:tc>
          <w:tcPr>
            <w:tcW w:w="1420" w:type="dxa"/>
            <w:tcBorders>
              <w:left w:val="single" w:sz="4" w:space="0" w:color="000000"/>
            </w:tcBorders>
            <w:shd w:val="clear" w:color="auto" w:fill="629CD1"/>
          </w:tcPr>
          <w:p>
            <w:pPr>
              <w:pStyle w:val="TableParagraph"/>
              <w:spacing w:line="223" w:lineRule="exact" w:before="10"/>
              <w:ind w:left="400"/>
              <w:rPr>
                <w:b/>
                <w:sz w:val="20"/>
              </w:rPr>
            </w:pPr>
            <w:r>
              <w:rPr>
                <w:b/>
                <w:color w:val="FFFFFF"/>
                <w:spacing w:val="-2"/>
                <w:sz w:val="20"/>
              </w:rPr>
              <w:t>$'000</w:t>
            </w:r>
          </w:p>
        </w:tc>
        <w:tc>
          <w:tcPr>
            <w:tcW w:w="1290" w:type="dxa"/>
            <w:shd w:val="clear" w:color="auto" w:fill="629CD1"/>
          </w:tcPr>
          <w:p>
            <w:pPr>
              <w:pStyle w:val="TableParagraph"/>
              <w:spacing w:line="223" w:lineRule="exact" w:before="10"/>
              <w:ind w:left="334"/>
              <w:rPr>
                <w:b/>
                <w:sz w:val="20"/>
              </w:rPr>
            </w:pPr>
            <w:r>
              <w:rPr>
                <w:b/>
                <w:color w:val="FFFFFF"/>
                <w:spacing w:val="-2"/>
                <w:sz w:val="20"/>
              </w:rPr>
              <w:t>$'000</w:t>
            </w:r>
          </w:p>
        </w:tc>
        <w:tc>
          <w:tcPr>
            <w:tcW w:w="1696" w:type="dxa"/>
            <w:shd w:val="clear" w:color="auto" w:fill="629CD1"/>
          </w:tcPr>
          <w:p>
            <w:pPr>
              <w:pStyle w:val="TableParagraph"/>
              <w:spacing w:line="223" w:lineRule="exact" w:before="10"/>
              <w:ind w:left="534"/>
              <w:rPr>
                <w:b/>
                <w:sz w:val="20"/>
              </w:rPr>
            </w:pPr>
            <w:r>
              <w:rPr>
                <w:b/>
                <w:color w:val="FFFFFF"/>
                <w:spacing w:val="-2"/>
                <w:sz w:val="20"/>
              </w:rPr>
              <w:t>$'000</w:t>
            </w:r>
          </w:p>
        </w:tc>
        <w:tc>
          <w:tcPr>
            <w:tcW w:w="1929" w:type="dxa"/>
            <w:tcBorders>
              <w:right w:val="single" w:sz="12" w:space="0" w:color="000000"/>
            </w:tcBorders>
            <w:shd w:val="clear" w:color="auto" w:fill="629CD1"/>
          </w:tcPr>
          <w:p>
            <w:pPr>
              <w:pStyle w:val="TableParagraph"/>
              <w:spacing w:line="223" w:lineRule="exact" w:before="10"/>
              <w:ind w:left="627" w:right="763"/>
              <w:jc w:val="center"/>
              <w:rPr>
                <w:b/>
                <w:sz w:val="20"/>
              </w:rPr>
            </w:pPr>
            <w:r>
              <w:rPr>
                <w:b/>
                <w:color w:val="FFFFFF"/>
                <w:spacing w:val="-2"/>
                <w:sz w:val="20"/>
              </w:rPr>
              <w:t>$'000</w:t>
            </w:r>
          </w:p>
        </w:tc>
      </w:tr>
      <w:tr>
        <w:trPr>
          <w:trHeight w:val="523" w:hRule="atLeast"/>
        </w:trPr>
        <w:tc>
          <w:tcPr>
            <w:tcW w:w="4188" w:type="dxa"/>
            <w:tcBorders>
              <w:left w:val="single" w:sz="12" w:space="0" w:color="000000"/>
            </w:tcBorders>
          </w:tcPr>
          <w:p>
            <w:pPr>
              <w:pStyle w:val="TableParagraph"/>
              <w:spacing w:before="2"/>
              <w:rPr>
                <w:b/>
                <w:sz w:val="24"/>
              </w:rPr>
            </w:pPr>
          </w:p>
          <w:p>
            <w:pPr>
              <w:pStyle w:val="TableParagraph"/>
              <w:spacing w:line="226" w:lineRule="exact"/>
              <w:ind w:left="107"/>
              <w:rPr>
                <w:b/>
                <w:sz w:val="20"/>
              </w:rPr>
            </w:pPr>
            <w:r>
              <w:rPr>
                <w:b/>
                <w:spacing w:val="-2"/>
                <w:sz w:val="20"/>
              </w:rPr>
              <w:t>Property</w:t>
            </w:r>
          </w:p>
        </w:tc>
        <w:tc>
          <w:tcPr>
            <w:tcW w:w="1504" w:type="dxa"/>
          </w:tcPr>
          <w:p>
            <w:pPr>
              <w:pStyle w:val="TableParagraph"/>
              <w:rPr>
                <w:rFonts w:ascii="Times New Roman"/>
                <w:sz w:val="18"/>
              </w:rPr>
            </w:pPr>
          </w:p>
        </w:tc>
        <w:tc>
          <w:tcPr>
            <w:tcW w:w="1143" w:type="dxa"/>
          </w:tcPr>
          <w:p>
            <w:pPr>
              <w:pStyle w:val="TableParagraph"/>
              <w:rPr>
                <w:rFonts w:ascii="Times New Roman"/>
                <w:sz w:val="18"/>
              </w:rPr>
            </w:pPr>
          </w:p>
        </w:tc>
        <w:tc>
          <w:tcPr>
            <w:tcW w:w="1112" w:type="dxa"/>
          </w:tcPr>
          <w:p>
            <w:pPr>
              <w:pStyle w:val="TableParagraph"/>
              <w:rPr>
                <w:rFonts w:ascii="Times New Roman"/>
                <w:sz w:val="18"/>
              </w:rPr>
            </w:pPr>
          </w:p>
        </w:tc>
        <w:tc>
          <w:tcPr>
            <w:tcW w:w="1118" w:type="dxa"/>
            <w:tcBorders>
              <w:right w:val="single" w:sz="4" w:space="0" w:color="000000"/>
            </w:tcBorders>
          </w:tcPr>
          <w:p>
            <w:pPr>
              <w:pStyle w:val="TableParagraph"/>
              <w:rPr>
                <w:rFonts w:ascii="Times New Roman"/>
                <w:sz w:val="18"/>
              </w:rPr>
            </w:pPr>
          </w:p>
        </w:tc>
        <w:tc>
          <w:tcPr>
            <w:tcW w:w="1420" w:type="dxa"/>
            <w:tcBorders>
              <w:left w:val="single" w:sz="4" w:space="0" w:color="000000"/>
            </w:tcBorders>
          </w:tcPr>
          <w:p>
            <w:pPr>
              <w:pStyle w:val="TableParagraph"/>
              <w:rPr>
                <w:rFonts w:ascii="Times New Roman"/>
                <w:sz w:val="18"/>
              </w:rPr>
            </w:pPr>
          </w:p>
        </w:tc>
        <w:tc>
          <w:tcPr>
            <w:tcW w:w="1290" w:type="dxa"/>
          </w:tcPr>
          <w:p>
            <w:pPr>
              <w:pStyle w:val="TableParagraph"/>
              <w:rPr>
                <w:rFonts w:ascii="Times New Roman"/>
                <w:sz w:val="18"/>
              </w:rPr>
            </w:pPr>
          </w:p>
        </w:tc>
        <w:tc>
          <w:tcPr>
            <w:tcW w:w="1696" w:type="dxa"/>
          </w:tcPr>
          <w:p>
            <w:pPr>
              <w:pStyle w:val="TableParagraph"/>
              <w:rPr>
                <w:rFonts w:ascii="Times New Roman"/>
                <w:sz w:val="18"/>
              </w:rPr>
            </w:pPr>
          </w:p>
        </w:tc>
        <w:tc>
          <w:tcPr>
            <w:tcW w:w="1929" w:type="dxa"/>
            <w:tcBorders>
              <w:right w:val="single" w:sz="12" w:space="0" w:color="000000"/>
            </w:tcBorders>
          </w:tcPr>
          <w:p>
            <w:pPr>
              <w:pStyle w:val="TableParagraph"/>
              <w:rPr>
                <w:rFonts w:ascii="Times New Roman"/>
                <w:sz w:val="18"/>
              </w:rPr>
            </w:pPr>
          </w:p>
        </w:tc>
      </w:tr>
      <w:tr>
        <w:trPr>
          <w:trHeight w:val="255" w:hRule="atLeast"/>
        </w:trPr>
        <w:tc>
          <w:tcPr>
            <w:tcW w:w="4188" w:type="dxa"/>
            <w:tcBorders>
              <w:left w:val="single" w:sz="12" w:space="0" w:color="000000"/>
            </w:tcBorders>
          </w:tcPr>
          <w:p>
            <w:pPr>
              <w:pStyle w:val="TableParagraph"/>
              <w:spacing w:line="227" w:lineRule="exact" w:before="8"/>
              <w:ind w:left="107"/>
              <w:rPr>
                <w:sz w:val="20"/>
              </w:rPr>
            </w:pPr>
            <w:r>
              <w:rPr>
                <w:spacing w:val="-4"/>
                <w:sz w:val="20"/>
              </w:rPr>
              <w:t>Land</w:t>
            </w:r>
          </w:p>
        </w:tc>
        <w:tc>
          <w:tcPr>
            <w:tcW w:w="1504" w:type="dxa"/>
          </w:tcPr>
          <w:p>
            <w:pPr>
              <w:pStyle w:val="TableParagraph"/>
              <w:spacing w:line="227" w:lineRule="exact" w:before="8"/>
              <w:ind w:right="229"/>
              <w:jc w:val="right"/>
              <w:rPr>
                <w:sz w:val="20"/>
              </w:rPr>
            </w:pPr>
            <w:r>
              <w:rPr>
                <w:w w:val="99"/>
                <w:sz w:val="20"/>
              </w:rPr>
              <w:t>0</w:t>
            </w:r>
          </w:p>
        </w:tc>
        <w:tc>
          <w:tcPr>
            <w:tcW w:w="1143" w:type="dxa"/>
          </w:tcPr>
          <w:p>
            <w:pPr>
              <w:pStyle w:val="TableParagraph"/>
              <w:spacing w:line="227" w:lineRule="exact" w:before="8"/>
              <w:ind w:right="110"/>
              <w:jc w:val="right"/>
              <w:rPr>
                <w:sz w:val="20"/>
              </w:rPr>
            </w:pPr>
            <w:r>
              <w:rPr>
                <w:w w:val="99"/>
                <w:sz w:val="20"/>
              </w:rPr>
              <w:t>0</w:t>
            </w:r>
          </w:p>
        </w:tc>
        <w:tc>
          <w:tcPr>
            <w:tcW w:w="1112" w:type="dxa"/>
          </w:tcPr>
          <w:p>
            <w:pPr>
              <w:pStyle w:val="TableParagraph"/>
              <w:spacing w:line="227" w:lineRule="exact" w:before="8"/>
              <w:ind w:right="123"/>
              <w:jc w:val="right"/>
              <w:rPr>
                <w:sz w:val="20"/>
              </w:rPr>
            </w:pPr>
            <w:r>
              <w:rPr>
                <w:w w:val="99"/>
                <w:sz w:val="20"/>
              </w:rPr>
              <w:t>0</w:t>
            </w:r>
          </w:p>
        </w:tc>
        <w:tc>
          <w:tcPr>
            <w:tcW w:w="1118" w:type="dxa"/>
            <w:tcBorders>
              <w:right w:val="single" w:sz="4" w:space="0" w:color="000000"/>
            </w:tcBorders>
          </w:tcPr>
          <w:p>
            <w:pPr>
              <w:pStyle w:val="TableParagraph"/>
              <w:spacing w:line="227" w:lineRule="exact" w:before="8"/>
              <w:ind w:right="88"/>
              <w:jc w:val="right"/>
              <w:rPr>
                <w:sz w:val="20"/>
              </w:rPr>
            </w:pPr>
            <w:r>
              <w:rPr>
                <w:w w:val="99"/>
                <w:sz w:val="20"/>
              </w:rPr>
              <w:t>0</w:t>
            </w:r>
          </w:p>
        </w:tc>
        <w:tc>
          <w:tcPr>
            <w:tcW w:w="1420" w:type="dxa"/>
            <w:tcBorders>
              <w:left w:val="single" w:sz="4" w:space="0" w:color="000000"/>
            </w:tcBorders>
          </w:tcPr>
          <w:p>
            <w:pPr>
              <w:pStyle w:val="TableParagraph"/>
              <w:spacing w:line="227" w:lineRule="exact" w:before="8"/>
              <w:ind w:right="229"/>
              <w:jc w:val="right"/>
              <w:rPr>
                <w:sz w:val="20"/>
              </w:rPr>
            </w:pPr>
            <w:r>
              <w:rPr>
                <w:w w:val="99"/>
                <w:sz w:val="20"/>
              </w:rPr>
              <w:t>0</w:t>
            </w:r>
          </w:p>
        </w:tc>
        <w:tc>
          <w:tcPr>
            <w:tcW w:w="1290" w:type="dxa"/>
          </w:tcPr>
          <w:p>
            <w:pPr>
              <w:pStyle w:val="TableParagraph"/>
              <w:spacing w:line="227" w:lineRule="exact" w:before="8"/>
              <w:ind w:right="106"/>
              <w:jc w:val="right"/>
              <w:rPr>
                <w:sz w:val="20"/>
              </w:rPr>
            </w:pPr>
            <w:r>
              <w:rPr>
                <w:w w:val="99"/>
                <w:sz w:val="20"/>
              </w:rPr>
              <w:t>0</w:t>
            </w:r>
          </w:p>
        </w:tc>
        <w:tc>
          <w:tcPr>
            <w:tcW w:w="1696" w:type="dxa"/>
          </w:tcPr>
          <w:p>
            <w:pPr>
              <w:pStyle w:val="TableParagraph"/>
              <w:spacing w:line="227" w:lineRule="exact" w:before="8"/>
              <w:ind w:right="240"/>
              <w:jc w:val="right"/>
              <w:rPr>
                <w:sz w:val="20"/>
              </w:rPr>
            </w:pPr>
            <w:r>
              <w:rPr>
                <w:w w:val="99"/>
                <w:sz w:val="20"/>
              </w:rPr>
              <w:t>0</w:t>
            </w:r>
          </w:p>
        </w:tc>
        <w:tc>
          <w:tcPr>
            <w:tcW w:w="1929" w:type="dxa"/>
            <w:tcBorders>
              <w:right w:val="single" w:sz="12" w:space="0" w:color="000000"/>
            </w:tcBorders>
          </w:tcPr>
          <w:p>
            <w:pPr>
              <w:pStyle w:val="TableParagraph"/>
              <w:spacing w:line="227" w:lineRule="exact" w:before="8"/>
              <w:ind w:right="87"/>
              <w:jc w:val="right"/>
              <w:rPr>
                <w:sz w:val="20"/>
              </w:rPr>
            </w:pPr>
            <w:r>
              <w:rPr>
                <w:w w:val="99"/>
                <w:sz w:val="20"/>
              </w:rPr>
              <w:t>0</w:t>
            </w:r>
          </w:p>
        </w:tc>
      </w:tr>
      <w:tr>
        <w:trPr>
          <w:trHeight w:val="240" w:hRule="atLeast"/>
        </w:trPr>
        <w:tc>
          <w:tcPr>
            <w:tcW w:w="4188" w:type="dxa"/>
            <w:tcBorders>
              <w:left w:val="single" w:sz="12" w:space="0" w:color="000000"/>
            </w:tcBorders>
          </w:tcPr>
          <w:p>
            <w:pPr>
              <w:pStyle w:val="TableParagraph"/>
              <w:spacing w:line="211" w:lineRule="exact" w:before="10"/>
              <w:ind w:left="107"/>
              <w:rPr>
                <w:sz w:val="20"/>
              </w:rPr>
            </w:pPr>
            <w:r>
              <w:rPr>
                <w:sz w:val="20"/>
              </w:rPr>
              <w:t>Land</w:t>
            </w:r>
            <w:r>
              <w:rPr>
                <w:spacing w:val="-7"/>
                <w:sz w:val="20"/>
              </w:rPr>
              <w:t> </w:t>
            </w:r>
            <w:r>
              <w:rPr>
                <w:spacing w:val="-2"/>
                <w:sz w:val="20"/>
              </w:rPr>
              <w:t>improvements</w:t>
            </w:r>
          </w:p>
        </w:tc>
        <w:tc>
          <w:tcPr>
            <w:tcW w:w="1504" w:type="dxa"/>
            <w:tcBorders>
              <w:bottom w:val="single" w:sz="4" w:space="0" w:color="000000"/>
            </w:tcBorders>
          </w:tcPr>
          <w:p>
            <w:pPr>
              <w:pStyle w:val="TableParagraph"/>
              <w:spacing w:line="211" w:lineRule="exact" w:before="10"/>
              <w:ind w:right="230"/>
              <w:jc w:val="right"/>
              <w:rPr>
                <w:sz w:val="20"/>
              </w:rPr>
            </w:pPr>
            <w:r>
              <w:rPr>
                <w:w w:val="99"/>
                <w:sz w:val="20"/>
              </w:rPr>
              <w:t>0</w:t>
            </w:r>
          </w:p>
        </w:tc>
        <w:tc>
          <w:tcPr>
            <w:tcW w:w="1143" w:type="dxa"/>
            <w:tcBorders>
              <w:bottom w:val="single" w:sz="4" w:space="0" w:color="000000"/>
            </w:tcBorders>
          </w:tcPr>
          <w:p>
            <w:pPr>
              <w:pStyle w:val="TableParagraph"/>
              <w:spacing w:line="211" w:lineRule="exact" w:before="10"/>
              <w:ind w:right="110"/>
              <w:jc w:val="right"/>
              <w:rPr>
                <w:sz w:val="20"/>
              </w:rPr>
            </w:pPr>
            <w:r>
              <w:rPr>
                <w:w w:val="99"/>
                <w:sz w:val="20"/>
              </w:rPr>
              <w:t>0</w:t>
            </w:r>
          </w:p>
        </w:tc>
        <w:tc>
          <w:tcPr>
            <w:tcW w:w="1112" w:type="dxa"/>
            <w:tcBorders>
              <w:bottom w:val="single" w:sz="4" w:space="0" w:color="000000"/>
            </w:tcBorders>
          </w:tcPr>
          <w:p>
            <w:pPr>
              <w:pStyle w:val="TableParagraph"/>
              <w:spacing w:line="211" w:lineRule="exact" w:before="10"/>
              <w:ind w:right="123"/>
              <w:jc w:val="right"/>
              <w:rPr>
                <w:sz w:val="20"/>
              </w:rPr>
            </w:pPr>
            <w:r>
              <w:rPr>
                <w:w w:val="99"/>
                <w:sz w:val="20"/>
              </w:rPr>
              <w:t>0</w:t>
            </w:r>
          </w:p>
        </w:tc>
        <w:tc>
          <w:tcPr>
            <w:tcW w:w="1118" w:type="dxa"/>
            <w:tcBorders>
              <w:bottom w:val="single" w:sz="4" w:space="0" w:color="000000"/>
              <w:right w:val="single" w:sz="4" w:space="0" w:color="000000"/>
            </w:tcBorders>
          </w:tcPr>
          <w:p>
            <w:pPr>
              <w:pStyle w:val="TableParagraph"/>
              <w:spacing w:line="211" w:lineRule="exact" w:before="10"/>
              <w:ind w:right="88"/>
              <w:jc w:val="right"/>
              <w:rPr>
                <w:sz w:val="20"/>
              </w:rPr>
            </w:pPr>
            <w:r>
              <w:rPr>
                <w:w w:val="99"/>
                <w:sz w:val="20"/>
              </w:rPr>
              <w:t>0</w:t>
            </w:r>
          </w:p>
        </w:tc>
        <w:tc>
          <w:tcPr>
            <w:tcW w:w="1420" w:type="dxa"/>
            <w:tcBorders>
              <w:left w:val="single" w:sz="4" w:space="0" w:color="000000"/>
              <w:bottom w:val="single" w:sz="4" w:space="0" w:color="000000"/>
            </w:tcBorders>
          </w:tcPr>
          <w:p>
            <w:pPr>
              <w:pStyle w:val="TableParagraph"/>
              <w:spacing w:line="211" w:lineRule="exact" w:before="10"/>
              <w:ind w:right="229"/>
              <w:jc w:val="right"/>
              <w:rPr>
                <w:sz w:val="20"/>
              </w:rPr>
            </w:pPr>
            <w:r>
              <w:rPr>
                <w:w w:val="99"/>
                <w:sz w:val="20"/>
              </w:rPr>
              <w:t>0</w:t>
            </w:r>
          </w:p>
        </w:tc>
        <w:tc>
          <w:tcPr>
            <w:tcW w:w="1290" w:type="dxa"/>
            <w:tcBorders>
              <w:bottom w:val="single" w:sz="4" w:space="0" w:color="000000"/>
            </w:tcBorders>
          </w:tcPr>
          <w:p>
            <w:pPr>
              <w:pStyle w:val="TableParagraph"/>
              <w:spacing w:line="211" w:lineRule="exact" w:before="10"/>
              <w:ind w:right="106"/>
              <w:jc w:val="right"/>
              <w:rPr>
                <w:sz w:val="20"/>
              </w:rPr>
            </w:pPr>
            <w:r>
              <w:rPr>
                <w:w w:val="99"/>
                <w:sz w:val="20"/>
              </w:rPr>
              <w:t>0</w:t>
            </w:r>
          </w:p>
        </w:tc>
        <w:tc>
          <w:tcPr>
            <w:tcW w:w="1696" w:type="dxa"/>
            <w:tcBorders>
              <w:bottom w:val="single" w:sz="4" w:space="0" w:color="000000"/>
            </w:tcBorders>
          </w:tcPr>
          <w:p>
            <w:pPr>
              <w:pStyle w:val="TableParagraph"/>
              <w:spacing w:line="211" w:lineRule="exact" w:before="10"/>
              <w:ind w:right="240"/>
              <w:jc w:val="right"/>
              <w:rPr>
                <w:sz w:val="20"/>
              </w:rPr>
            </w:pPr>
            <w:r>
              <w:rPr>
                <w:w w:val="99"/>
                <w:sz w:val="20"/>
              </w:rPr>
              <w:t>0</w:t>
            </w:r>
          </w:p>
        </w:tc>
        <w:tc>
          <w:tcPr>
            <w:tcW w:w="1929" w:type="dxa"/>
            <w:tcBorders>
              <w:bottom w:val="single" w:sz="4" w:space="0" w:color="000000"/>
              <w:right w:val="single" w:sz="12" w:space="0" w:color="000000"/>
            </w:tcBorders>
          </w:tcPr>
          <w:p>
            <w:pPr>
              <w:pStyle w:val="TableParagraph"/>
              <w:spacing w:line="211" w:lineRule="exact" w:before="10"/>
              <w:ind w:right="87"/>
              <w:jc w:val="right"/>
              <w:rPr>
                <w:sz w:val="20"/>
              </w:rPr>
            </w:pPr>
            <w:r>
              <w:rPr>
                <w:w w:val="99"/>
                <w:sz w:val="20"/>
              </w:rPr>
              <w:t>0</w:t>
            </w:r>
          </w:p>
        </w:tc>
      </w:tr>
      <w:tr>
        <w:trPr>
          <w:trHeight w:val="249" w:hRule="atLeast"/>
        </w:trPr>
        <w:tc>
          <w:tcPr>
            <w:tcW w:w="4188" w:type="dxa"/>
            <w:tcBorders>
              <w:left w:val="single" w:sz="12" w:space="0" w:color="000000"/>
            </w:tcBorders>
          </w:tcPr>
          <w:p>
            <w:pPr>
              <w:pStyle w:val="TableParagraph"/>
              <w:spacing w:line="206" w:lineRule="exact" w:before="23"/>
              <w:ind w:left="107"/>
              <w:rPr>
                <w:b/>
                <w:sz w:val="20"/>
              </w:rPr>
            </w:pPr>
            <w:r>
              <w:rPr>
                <w:b/>
                <w:sz w:val="20"/>
              </w:rPr>
              <w:t>Total</w:t>
            </w:r>
            <w:r>
              <w:rPr>
                <w:b/>
                <w:spacing w:val="-6"/>
                <w:sz w:val="20"/>
              </w:rPr>
              <w:t> </w:t>
            </w:r>
            <w:r>
              <w:rPr>
                <w:b/>
                <w:spacing w:val="-4"/>
                <w:sz w:val="20"/>
              </w:rPr>
              <w:t>Land</w:t>
            </w:r>
          </w:p>
        </w:tc>
        <w:tc>
          <w:tcPr>
            <w:tcW w:w="1504" w:type="dxa"/>
            <w:tcBorders>
              <w:top w:val="single" w:sz="4" w:space="0" w:color="000000"/>
              <w:bottom w:val="single" w:sz="4" w:space="0" w:color="000000"/>
            </w:tcBorders>
          </w:tcPr>
          <w:p>
            <w:pPr>
              <w:pStyle w:val="TableParagraph"/>
              <w:spacing w:line="206" w:lineRule="exact" w:before="23"/>
              <w:ind w:right="229"/>
              <w:jc w:val="right"/>
              <w:rPr>
                <w:sz w:val="20"/>
              </w:rPr>
            </w:pPr>
            <w:r>
              <w:rPr>
                <w:w w:val="99"/>
                <w:sz w:val="20"/>
              </w:rPr>
              <w:t>0</w:t>
            </w:r>
          </w:p>
        </w:tc>
        <w:tc>
          <w:tcPr>
            <w:tcW w:w="1143" w:type="dxa"/>
            <w:tcBorders>
              <w:top w:val="single" w:sz="4" w:space="0" w:color="000000"/>
              <w:bottom w:val="single" w:sz="4" w:space="0" w:color="000000"/>
            </w:tcBorders>
          </w:tcPr>
          <w:p>
            <w:pPr>
              <w:pStyle w:val="TableParagraph"/>
              <w:spacing w:line="206" w:lineRule="exact" w:before="23"/>
              <w:ind w:right="110"/>
              <w:jc w:val="right"/>
              <w:rPr>
                <w:sz w:val="20"/>
              </w:rPr>
            </w:pPr>
            <w:r>
              <w:rPr>
                <w:w w:val="99"/>
                <w:sz w:val="20"/>
              </w:rPr>
              <w:t>0</w:t>
            </w:r>
          </w:p>
        </w:tc>
        <w:tc>
          <w:tcPr>
            <w:tcW w:w="1112" w:type="dxa"/>
            <w:tcBorders>
              <w:top w:val="single" w:sz="4" w:space="0" w:color="000000"/>
              <w:bottom w:val="single" w:sz="4" w:space="0" w:color="000000"/>
            </w:tcBorders>
          </w:tcPr>
          <w:p>
            <w:pPr>
              <w:pStyle w:val="TableParagraph"/>
              <w:spacing w:line="206" w:lineRule="exact" w:before="23"/>
              <w:ind w:right="123"/>
              <w:jc w:val="right"/>
              <w:rPr>
                <w:sz w:val="20"/>
              </w:rPr>
            </w:pPr>
            <w:r>
              <w:rPr>
                <w:w w:val="99"/>
                <w:sz w:val="20"/>
              </w:rPr>
              <w:t>0</w:t>
            </w:r>
          </w:p>
        </w:tc>
        <w:tc>
          <w:tcPr>
            <w:tcW w:w="1118" w:type="dxa"/>
            <w:tcBorders>
              <w:top w:val="single" w:sz="4" w:space="0" w:color="000000"/>
              <w:bottom w:val="single" w:sz="8" w:space="0" w:color="000000"/>
              <w:right w:val="single" w:sz="4" w:space="0" w:color="000000"/>
            </w:tcBorders>
          </w:tcPr>
          <w:p>
            <w:pPr>
              <w:pStyle w:val="TableParagraph"/>
              <w:spacing w:line="206" w:lineRule="exact" w:before="23"/>
              <w:ind w:right="88"/>
              <w:jc w:val="right"/>
              <w:rPr>
                <w:sz w:val="20"/>
              </w:rPr>
            </w:pPr>
            <w:r>
              <w:rPr>
                <w:w w:val="99"/>
                <w:sz w:val="20"/>
              </w:rPr>
              <w:t>0</w:t>
            </w:r>
          </w:p>
        </w:tc>
        <w:tc>
          <w:tcPr>
            <w:tcW w:w="1420" w:type="dxa"/>
            <w:tcBorders>
              <w:top w:val="single" w:sz="4" w:space="0" w:color="000000"/>
              <w:left w:val="single" w:sz="4" w:space="0" w:color="000000"/>
              <w:bottom w:val="single" w:sz="4" w:space="0" w:color="000000"/>
            </w:tcBorders>
          </w:tcPr>
          <w:p>
            <w:pPr>
              <w:pStyle w:val="TableParagraph"/>
              <w:spacing w:line="206" w:lineRule="exact" w:before="23"/>
              <w:ind w:right="229"/>
              <w:jc w:val="right"/>
              <w:rPr>
                <w:sz w:val="20"/>
              </w:rPr>
            </w:pPr>
            <w:r>
              <w:rPr>
                <w:w w:val="99"/>
                <w:sz w:val="20"/>
              </w:rPr>
              <w:t>0</w:t>
            </w:r>
          </w:p>
        </w:tc>
        <w:tc>
          <w:tcPr>
            <w:tcW w:w="1290" w:type="dxa"/>
            <w:tcBorders>
              <w:top w:val="single" w:sz="4" w:space="0" w:color="000000"/>
              <w:bottom w:val="single" w:sz="4" w:space="0" w:color="000000"/>
            </w:tcBorders>
          </w:tcPr>
          <w:p>
            <w:pPr>
              <w:pStyle w:val="TableParagraph"/>
              <w:spacing w:line="206" w:lineRule="exact" w:before="23"/>
              <w:ind w:right="106"/>
              <w:jc w:val="right"/>
              <w:rPr>
                <w:sz w:val="20"/>
              </w:rPr>
            </w:pPr>
            <w:r>
              <w:rPr>
                <w:w w:val="99"/>
                <w:sz w:val="20"/>
              </w:rPr>
              <w:t>0</w:t>
            </w:r>
          </w:p>
        </w:tc>
        <w:tc>
          <w:tcPr>
            <w:tcW w:w="1696" w:type="dxa"/>
            <w:tcBorders>
              <w:top w:val="single" w:sz="4" w:space="0" w:color="000000"/>
              <w:bottom w:val="single" w:sz="4" w:space="0" w:color="000000"/>
            </w:tcBorders>
          </w:tcPr>
          <w:p>
            <w:pPr>
              <w:pStyle w:val="TableParagraph"/>
              <w:spacing w:line="206" w:lineRule="exact" w:before="23"/>
              <w:ind w:right="240"/>
              <w:jc w:val="right"/>
              <w:rPr>
                <w:sz w:val="20"/>
              </w:rPr>
            </w:pPr>
            <w:r>
              <w:rPr>
                <w:w w:val="99"/>
                <w:sz w:val="20"/>
              </w:rPr>
              <w:t>0</w:t>
            </w:r>
          </w:p>
        </w:tc>
        <w:tc>
          <w:tcPr>
            <w:tcW w:w="1929" w:type="dxa"/>
            <w:tcBorders>
              <w:top w:val="single" w:sz="4" w:space="0" w:color="000000"/>
              <w:bottom w:val="single" w:sz="4" w:space="0" w:color="000000"/>
              <w:right w:val="single" w:sz="12" w:space="0" w:color="000000"/>
            </w:tcBorders>
          </w:tcPr>
          <w:p>
            <w:pPr>
              <w:pStyle w:val="TableParagraph"/>
              <w:spacing w:line="206" w:lineRule="exact" w:before="23"/>
              <w:ind w:right="87"/>
              <w:jc w:val="right"/>
              <w:rPr>
                <w:sz w:val="20"/>
              </w:rPr>
            </w:pPr>
            <w:r>
              <w:rPr>
                <w:w w:val="99"/>
                <w:sz w:val="20"/>
              </w:rPr>
              <w:t>0</w:t>
            </w:r>
          </w:p>
        </w:tc>
      </w:tr>
      <w:tr>
        <w:trPr>
          <w:trHeight w:val="261" w:hRule="atLeast"/>
        </w:trPr>
        <w:tc>
          <w:tcPr>
            <w:tcW w:w="4188" w:type="dxa"/>
            <w:tcBorders>
              <w:left w:val="single" w:sz="12" w:space="0" w:color="000000"/>
            </w:tcBorders>
          </w:tcPr>
          <w:p>
            <w:pPr>
              <w:pStyle w:val="TableParagraph"/>
              <w:spacing w:line="211" w:lineRule="exact" w:before="30"/>
              <w:ind w:left="107"/>
              <w:rPr>
                <w:sz w:val="20"/>
              </w:rPr>
            </w:pPr>
            <w:r>
              <w:rPr>
                <w:spacing w:val="-2"/>
                <w:sz w:val="20"/>
              </w:rPr>
              <w:t>Buildings</w:t>
            </w:r>
          </w:p>
        </w:tc>
        <w:tc>
          <w:tcPr>
            <w:tcW w:w="1504" w:type="dxa"/>
            <w:tcBorders>
              <w:top w:val="single" w:sz="4" w:space="0" w:color="000000"/>
              <w:bottom w:val="single" w:sz="4" w:space="0" w:color="000000"/>
            </w:tcBorders>
          </w:tcPr>
          <w:p>
            <w:pPr>
              <w:pStyle w:val="TableParagraph"/>
              <w:spacing w:line="211" w:lineRule="exact" w:before="30"/>
              <w:ind w:right="232"/>
              <w:jc w:val="right"/>
              <w:rPr>
                <w:sz w:val="20"/>
              </w:rPr>
            </w:pPr>
            <w:r>
              <w:rPr>
                <w:spacing w:val="-2"/>
                <w:sz w:val="20"/>
              </w:rPr>
              <w:t>25,393</w:t>
            </w:r>
          </w:p>
        </w:tc>
        <w:tc>
          <w:tcPr>
            <w:tcW w:w="1143" w:type="dxa"/>
            <w:tcBorders>
              <w:top w:val="single" w:sz="4" w:space="0" w:color="000000"/>
              <w:bottom w:val="single" w:sz="4" w:space="0" w:color="000000"/>
            </w:tcBorders>
          </w:tcPr>
          <w:p>
            <w:pPr>
              <w:pStyle w:val="TableParagraph"/>
              <w:spacing w:line="211" w:lineRule="exact" w:before="30"/>
              <w:ind w:right="112"/>
              <w:jc w:val="right"/>
              <w:rPr>
                <w:sz w:val="20"/>
              </w:rPr>
            </w:pPr>
            <w:r>
              <w:rPr>
                <w:spacing w:val="-2"/>
                <w:sz w:val="20"/>
              </w:rPr>
              <w:t>1,000</w:t>
            </w:r>
          </w:p>
        </w:tc>
        <w:tc>
          <w:tcPr>
            <w:tcW w:w="1112" w:type="dxa"/>
            <w:tcBorders>
              <w:top w:val="single" w:sz="4" w:space="0" w:color="000000"/>
              <w:bottom w:val="single" w:sz="4" w:space="0" w:color="000000"/>
            </w:tcBorders>
          </w:tcPr>
          <w:p>
            <w:pPr>
              <w:pStyle w:val="TableParagraph"/>
              <w:spacing w:line="211" w:lineRule="exact" w:before="30"/>
              <w:ind w:right="125"/>
              <w:jc w:val="right"/>
              <w:rPr>
                <w:sz w:val="20"/>
              </w:rPr>
            </w:pPr>
            <w:r>
              <w:rPr>
                <w:spacing w:val="-2"/>
                <w:sz w:val="20"/>
              </w:rPr>
              <w:t>19,100</w:t>
            </w:r>
          </w:p>
        </w:tc>
        <w:tc>
          <w:tcPr>
            <w:tcW w:w="1118" w:type="dxa"/>
            <w:tcBorders>
              <w:top w:val="single" w:sz="8" w:space="0" w:color="000000"/>
              <w:bottom w:val="single" w:sz="4" w:space="0" w:color="000000"/>
              <w:right w:val="single" w:sz="4" w:space="0" w:color="000000"/>
            </w:tcBorders>
          </w:tcPr>
          <w:p>
            <w:pPr>
              <w:pStyle w:val="TableParagraph"/>
              <w:spacing w:line="211" w:lineRule="exact" w:before="30"/>
              <w:ind w:right="90"/>
              <w:jc w:val="right"/>
              <w:rPr>
                <w:sz w:val="20"/>
              </w:rPr>
            </w:pPr>
            <w:r>
              <w:rPr>
                <w:spacing w:val="-2"/>
                <w:sz w:val="20"/>
              </w:rPr>
              <w:t>5,293</w:t>
            </w:r>
          </w:p>
        </w:tc>
        <w:tc>
          <w:tcPr>
            <w:tcW w:w="1420" w:type="dxa"/>
            <w:tcBorders>
              <w:top w:val="single" w:sz="4" w:space="0" w:color="000000"/>
              <w:left w:val="single" w:sz="4" w:space="0" w:color="000000"/>
              <w:bottom w:val="single" w:sz="4" w:space="0" w:color="000000"/>
            </w:tcBorders>
          </w:tcPr>
          <w:p>
            <w:pPr>
              <w:pStyle w:val="TableParagraph"/>
              <w:spacing w:line="211" w:lineRule="exact" w:before="30"/>
              <w:ind w:right="232"/>
              <w:jc w:val="right"/>
              <w:rPr>
                <w:sz w:val="20"/>
              </w:rPr>
            </w:pPr>
            <w:r>
              <w:rPr>
                <w:spacing w:val="-2"/>
                <w:sz w:val="20"/>
              </w:rPr>
              <w:t>25,393</w:t>
            </w:r>
          </w:p>
        </w:tc>
        <w:tc>
          <w:tcPr>
            <w:tcW w:w="1290" w:type="dxa"/>
            <w:tcBorders>
              <w:top w:val="single" w:sz="4" w:space="0" w:color="000000"/>
              <w:bottom w:val="single" w:sz="4" w:space="0" w:color="000000"/>
            </w:tcBorders>
          </w:tcPr>
          <w:p>
            <w:pPr>
              <w:pStyle w:val="TableParagraph"/>
              <w:spacing w:line="211" w:lineRule="exact" w:before="30"/>
              <w:ind w:right="109"/>
              <w:jc w:val="right"/>
              <w:rPr>
                <w:sz w:val="20"/>
              </w:rPr>
            </w:pPr>
            <w:r>
              <w:rPr>
                <w:spacing w:val="-2"/>
                <w:sz w:val="20"/>
              </w:rPr>
              <w:t>10,000</w:t>
            </w:r>
          </w:p>
        </w:tc>
        <w:tc>
          <w:tcPr>
            <w:tcW w:w="1696" w:type="dxa"/>
            <w:tcBorders>
              <w:top w:val="single" w:sz="4" w:space="0" w:color="000000"/>
              <w:bottom w:val="single" w:sz="4" w:space="0" w:color="000000"/>
            </w:tcBorders>
          </w:tcPr>
          <w:p>
            <w:pPr>
              <w:pStyle w:val="TableParagraph"/>
              <w:spacing w:line="211" w:lineRule="exact" w:before="30"/>
              <w:ind w:right="242"/>
              <w:jc w:val="right"/>
              <w:rPr>
                <w:sz w:val="20"/>
              </w:rPr>
            </w:pPr>
            <w:r>
              <w:rPr>
                <w:spacing w:val="-5"/>
                <w:sz w:val="20"/>
              </w:rPr>
              <w:t>200</w:t>
            </w:r>
          </w:p>
        </w:tc>
        <w:tc>
          <w:tcPr>
            <w:tcW w:w="1929" w:type="dxa"/>
            <w:tcBorders>
              <w:top w:val="single" w:sz="4" w:space="0" w:color="000000"/>
              <w:bottom w:val="single" w:sz="4" w:space="0" w:color="000000"/>
              <w:right w:val="single" w:sz="12" w:space="0" w:color="000000"/>
            </w:tcBorders>
          </w:tcPr>
          <w:p>
            <w:pPr>
              <w:pStyle w:val="TableParagraph"/>
              <w:spacing w:line="211" w:lineRule="exact" w:before="30"/>
              <w:ind w:right="90"/>
              <w:jc w:val="right"/>
              <w:rPr>
                <w:sz w:val="20"/>
              </w:rPr>
            </w:pPr>
            <w:r>
              <w:rPr>
                <w:spacing w:val="-2"/>
                <w:sz w:val="20"/>
              </w:rPr>
              <w:t>15,193</w:t>
            </w:r>
          </w:p>
        </w:tc>
      </w:tr>
      <w:tr>
        <w:trPr>
          <w:trHeight w:val="253" w:hRule="atLeast"/>
        </w:trPr>
        <w:tc>
          <w:tcPr>
            <w:tcW w:w="4188" w:type="dxa"/>
            <w:tcBorders>
              <w:left w:val="single" w:sz="12" w:space="0" w:color="000000"/>
            </w:tcBorders>
          </w:tcPr>
          <w:p>
            <w:pPr>
              <w:pStyle w:val="TableParagraph"/>
              <w:spacing w:line="211" w:lineRule="exact" w:before="23"/>
              <w:ind w:left="107"/>
              <w:rPr>
                <w:b/>
                <w:sz w:val="20"/>
              </w:rPr>
            </w:pPr>
            <w:r>
              <w:rPr>
                <w:b/>
                <w:sz w:val="20"/>
              </w:rPr>
              <w:t>Total</w:t>
            </w:r>
            <w:r>
              <w:rPr>
                <w:b/>
                <w:spacing w:val="-6"/>
                <w:sz w:val="20"/>
              </w:rPr>
              <w:t> </w:t>
            </w:r>
            <w:r>
              <w:rPr>
                <w:b/>
                <w:spacing w:val="-2"/>
                <w:sz w:val="20"/>
              </w:rPr>
              <w:t>Buildings</w:t>
            </w:r>
          </w:p>
        </w:tc>
        <w:tc>
          <w:tcPr>
            <w:tcW w:w="1504" w:type="dxa"/>
            <w:tcBorders>
              <w:top w:val="single" w:sz="4" w:space="0" w:color="000000"/>
              <w:bottom w:val="single" w:sz="4" w:space="0" w:color="000000"/>
            </w:tcBorders>
          </w:tcPr>
          <w:p>
            <w:pPr>
              <w:pStyle w:val="TableParagraph"/>
              <w:spacing w:line="211" w:lineRule="exact" w:before="23"/>
              <w:ind w:right="232"/>
              <w:jc w:val="right"/>
              <w:rPr>
                <w:sz w:val="20"/>
              </w:rPr>
            </w:pPr>
            <w:r>
              <w:rPr>
                <w:spacing w:val="-2"/>
                <w:sz w:val="20"/>
              </w:rPr>
              <w:t>25,393</w:t>
            </w:r>
          </w:p>
        </w:tc>
        <w:tc>
          <w:tcPr>
            <w:tcW w:w="1143" w:type="dxa"/>
            <w:tcBorders>
              <w:top w:val="single" w:sz="4" w:space="0" w:color="000000"/>
              <w:bottom w:val="single" w:sz="4" w:space="0" w:color="000000"/>
            </w:tcBorders>
          </w:tcPr>
          <w:p>
            <w:pPr>
              <w:pStyle w:val="TableParagraph"/>
              <w:spacing w:line="211" w:lineRule="exact" w:before="23"/>
              <w:ind w:right="112"/>
              <w:jc w:val="right"/>
              <w:rPr>
                <w:sz w:val="20"/>
              </w:rPr>
            </w:pPr>
            <w:r>
              <w:rPr>
                <w:spacing w:val="-2"/>
                <w:sz w:val="20"/>
              </w:rPr>
              <w:t>1,000</w:t>
            </w:r>
          </w:p>
        </w:tc>
        <w:tc>
          <w:tcPr>
            <w:tcW w:w="1112" w:type="dxa"/>
            <w:tcBorders>
              <w:top w:val="single" w:sz="4" w:space="0" w:color="000000"/>
              <w:bottom w:val="single" w:sz="4" w:space="0" w:color="000000"/>
            </w:tcBorders>
          </w:tcPr>
          <w:p>
            <w:pPr>
              <w:pStyle w:val="TableParagraph"/>
              <w:spacing w:line="211" w:lineRule="exact" w:before="23"/>
              <w:ind w:right="125"/>
              <w:jc w:val="right"/>
              <w:rPr>
                <w:sz w:val="20"/>
              </w:rPr>
            </w:pPr>
            <w:r>
              <w:rPr>
                <w:spacing w:val="-2"/>
                <w:sz w:val="20"/>
              </w:rPr>
              <w:t>19,100</w:t>
            </w:r>
          </w:p>
        </w:tc>
        <w:tc>
          <w:tcPr>
            <w:tcW w:w="1118" w:type="dxa"/>
            <w:tcBorders>
              <w:top w:val="single" w:sz="4" w:space="0" w:color="000000"/>
              <w:bottom w:val="single" w:sz="4" w:space="0" w:color="000000"/>
              <w:right w:val="single" w:sz="4" w:space="0" w:color="000000"/>
            </w:tcBorders>
          </w:tcPr>
          <w:p>
            <w:pPr>
              <w:pStyle w:val="TableParagraph"/>
              <w:spacing w:line="211" w:lineRule="exact" w:before="23"/>
              <w:ind w:right="90"/>
              <w:jc w:val="right"/>
              <w:rPr>
                <w:sz w:val="20"/>
              </w:rPr>
            </w:pPr>
            <w:r>
              <w:rPr>
                <w:spacing w:val="-2"/>
                <w:sz w:val="20"/>
              </w:rPr>
              <w:t>5,293</w:t>
            </w:r>
          </w:p>
        </w:tc>
        <w:tc>
          <w:tcPr>
            <w:tcW w:w="1420" w:type="dxa"/>
            <w:tcBorders>
              <w:top w:val="single" w:sz="4" w:space="0" w:color="000000"/>
              <w:left w:val="single" w:sz="4" w:space="0" w:color="000000"/>
              <w:bottom w:val="single" w:sz="4" w:space="0" w:color="000000"/>
            </w:tcBorders>
          </w:tcPr>
          <w:p>
            <w:pPr>
              <w:pStyle w:val="TableParagraph"/>
              <w:spacing w:line="211" w:lineRule="exact" w:before="23"/>
              <w:ind w:right="232"/>
              <w:jc w:val="right"/>
              <w:rPr>
                <w:sz w:val="20"/>
              </w:rPr>
            </w:pPr>
            <w:r>
              <w:rPr>
                <w:spacing w:val="-2"/>
                <w:sz w:val="20"/>
              </w:rPr>
              <w:t>25,393</w:t>
            </w:r>
          </w:p>
        </w:tc>
        <w:tc>
          <w:tcPr>
            <w:tcW w:w="1290" w:type="dxa"/>
            <w:tcBorders>
              <w:top w:val="single" w:sz="4" w:space="0" w:color="000000"/>
              <w:bottom w:val="single" w:sz="4" w:space="0" w:color="000000"/>
            </w:tcBorders>
          </w:tcPr>
          <w:p>
            <w:pPr>
              <w:pStyle w:val="TableParagraph"/>
              <w:spacing w:line="211" w:lineRule="exact" w:before="23"/>
              <w:ind w:right="109"/>
              <w:jc w:val="right"/>
              <w:rPr>
                <w:sz w:val="20"/>
              </w:rPr>
            </w:pPr>
            <w:r>
              <w:rPr>
                <w:spacing w:val="-2"/>
                <w:sz w:val="20"/>
              </w:rPr>
              <w:t>10,000</w:t>
            </w:r>
          </w:p>
        </w:tc>
        <w:tc>
          <w:tcPr>
            <w:tcW w:w="1696" w:type="dxa"/>
            <w:tcBorders>
              <w:top w:val="single" w:sz="4" w:space="0" w:color="000000"/>
              <w:bottom w:val="single" w:sz="4" w:space="0" w:color="000000"/>
            </w:tcBorders>
          </w:tcPr>
          <w:p>
            <w:pPr>
              <w:pStyle w:val="TableParagraph"/>
              <w:spacing w:line="211" w:lineRule="exact" w:before="23"/>
              <w:ind w:right="242"/>
              <w:jc w:val="right"/>
              <w:rPr>
                <w:sz w:val="20"/>
              </w:rPr>
            </w:pPr>
            <w:r>
              <w:rPr>
                <w:spacing w:val="-5"/>
                <w:sz w:val="20"/>
              </w:rPr>
              <w:t>200</w:t>
            </w:r>
          </w:p>
        </w:tc>
        <w:tc>
          <w:tcPr>
            <w:tcW w:w="1929" w:type="dxa"/>
            <w:tcBorders>
              <w:top w:val="single" w:sz="4" w:space="0" w:color="000000"/>
              <w:bottom w:val="single" w:sz="4" w:space="0" w:color="000000"/>
              <w:right w:val="single" w:sz="12" w:space="0" w:color="000000"/>
            </w:tcBorders>
          </w:tcPr>
          <w:p>
            <w:pPr>
              <w:pStyle w:val="TableParagraph"/>
              <w:spacing w:line="211" w:lineRule="exact" w:before="23"/>
              <w:ind w:right="90"/>
              <w:jc w:val="right"/>
              <w:rPr>
                <w:sz w:val="20"/>
              </w:rPr>
            </w:pPr>
            <w:r>
              <w:rPr>
                <w:spacing w:val="-2"/>
                <w:sz w:val="20"/>
              </w:rPr>
              <w:t>15,193</w:t>
            </w:r>
          </w:p>
        </w:tc>
      </w:tr>
      <w:tr>
        <w:trPr>
          <w:trHeight w:val="256" w:hRule="atLeast"/>
        </w:trPr>
        <w:tc>
          <w:tcPr>
            <w:tcW w:w="4188" w:type="dxa"/>
            <w:tcBorders>
              <w:left w:val="single" w:sz="12" w:space="0" w:color="000000"/>
            </w:tcBorders>
          </w:tcPr>
          <w:p>
            <w:pPr>
              <w:pStyle w:val="TableParagraph"/>
              <w:spacing w:line="211" w:lineRule="exact" w:before="26"/>
              <w:ind w:left="107"/>
              <w:rPr>
                <w:b/>
                <w:sz w:val="20"/>
              </w:rPr>
            </w:pPr>
            <w:r>
              <w:rPr>
                <w:b/>
                <w:sz w:val="20"/>
              </w:rPr>
              <w:t>Total</w:t>
            </w:r>
            <w:r>
              <w:rPr>
                <w:b/>
                <w:spacing w:val="-6"/>
                <w:sz w:val="20"/>
              </w:rPr>
              <w:t> </w:t>
            </w:r>
            <w:r>
              <w:rPr>
                <w:b/>
                <w:spacing w:val="-2"/>
                <w:sz w:val="20"/>
              </w:rPr>
              <w:t>Property</w:t>
            </w:r>
          </w:p>
        </w:tc>
        <w:tc>
          <w:tcPr>
            <w:tcW w:w="1504" w:type="dxa"/>
            <w:tcBorders>
              <w:top w:val="single" w:sz="4" w:space="0" w:color="000000"/>
              <w:bottom w:val="single" w:sz="4" w:space="0" w:color="000000"/>
            </w:tcBorders>
          </w:tcPr>
          <w:p>
            <w:pPr>
              <w:pStyle w:val="TableParagraph"/>
              <w:spacing w:line="211" w:lineRule="exact" w:before="26"/>
              <w:ind w:right="232"/>
              <w:jc w:val="right"/>
              <w:rPr>
                <w:b/>
                <w:sz w:val="20"/>
              </w:rPr>
            </w:pPr>
            <w:r>
              <w:rPr>
                <w:b/>
                <w:spacing w:val="-2"/>
                <w:sz w:val="20"/>
              </w:rPr>
              <w:t>25,393</w:t>
            </w:r>
          </w:p>
        </w:tc>
        <w:tc>
          <w:tcPr>
            <w:tcW w:w="1143" w:type="dxa"/>
            <w:tcBorders>
              <w:top w:val="single" w:sz="4" w:space="0" w:color="000000"/>
              <w:bottom w:val="single" w:sz="4" w:space="0" w:color="000000"/>
            </w:tcBorders>
          </w:tcPr>
          <w:p>
            <w:pPr>
              <w:pStyle w:val="TableParagraph"/>
              <w:spacing w:line="211" w:lineRule="exact" w:before="26"/>
              <w:ind w:right="112"/>
              <w:jc w:val="right"/>
              <w:rPr>
                <w:b/>
                <w:sz w:val="20"/>
              </w:rPr>
            </w:pPr>
            <w:r>
              <w:rPr>
                <w:b/>
                <w:spacing w:val="-2"/>
                <w:sz w:val="20"/>
              </w:rPr>
              <w:t>1,000</w:t>
            </w:r>
          </w:p>
        </w:tc>
        <w:tc>
          <w:tcPr>
            <w:tcW w:w="1112" w:type="dxa"/>
            <w:tcBorders>
              <w:top w:val="single" w:sz="4" w:space="0" w:color="000000"/>
              <w:bottom w:val="single" w:sz="4" w:space="0" w:color="000000"/>
            </w:tcBorders>
          </w:tcPr>
          <w:p>
            <w:pPr>
              <w:pStyle w:val="TableParagraph"/>
              <w:spacing w:line="211" w:lineRule="exact" w:before="26"/>
              <w:ind w:right="125"/>
              <w:jc w:val="right"/>
              <w:rPr>
                <w:b/>
                <w:sz w:val="20"/>
              </w:rPr>
            </w:pPr>
            <w:r>
              <w:rPr>
                <w:b/>
                <w:spacing w:val="-2"/>
                <w:sz w:val="20"/>
              </w:rPr>
              <w:t>19,100</w:t>
            </w:r>
          </w:p>
        </w:tc>
        <w:tc>
          <w:tcPr>
            <w:tcW w:w="1118" w:type="dxa"/>
            <w:tcBorders>
              <w:top w:val="single" w:sz="4" w:space="0" w:color="000000"/>
              <w:bottom w:val="single" w:sz="4" w:space="0" w:color="000000"/>
              <w:right w:val="single" w:sz="4" w:space="0" w:color="000000"/>
            </w:tcBorders>
          </w:tcPr>
          <w:p>
            <w:pPr>
              <w:pStyle w:val="TableParagraph"/>
              <w:spacing w:line="211" w:lineRule="exact" w:before="26"/>
              <w:ind w:right="90"/>
              <w:jc w:val="right"/>
              <w:rPr>
                <w:sz w:val="20"/>
              </w:rPr>
            </w:pPr>
            <w:r>
              <w:rPr>
                <w:spacing w:val="-2"/>
                <w:sz w:val="20"/>
              </w:rPr>
              <w:t>5,293</w:t>
            </w:r>
          </w:p>
        </w:tc>
        <w:tc>
          <w:tcPr>
            <w:tcW w:w="1420" w:type="dxa"/>
            <w:tcBorders>
              <w:top w:val="single" w:sz="4" w:space="0" w:color="000000"/>
              <w:left w:val="single" w:sz="4" w:space="0" w:color="000000"/>
              <w:bottom w:val="single" w:sz="4" w:space="0" w:color="000000"/>
            </w:tcBorders>
          </w:tcPr>
          <w:p>
            <w:pPr>
              <w:pStyle w:val="TableParagraph"/>
              <w:spacing w:line="211" w:lineRule="exact" w:before="26"/>
              <w:ind w:right="232"/>
              <w:jc w:val="right"/>
              <w:rPr>
                <w:b/>
                <w:sz w:val="20"/>
              </w:rPr>
            </w:pPr>
            <w:r>
              <w:rPr>
                <w:b/>
                <w:spacing w:val="-2"/>
                <w:sz w:val="20"/>
              </w:rPr>
              <w:t>25,393</w:t>
            </w:r>
          </w:p>
        </w:tc>
        <w:tc>
          <w:tcPr>
            <w:tcW w:w="1290" w:type="dxa"/>
            <w:tcBorders>
              <w:top w:val="single" w:sz="4" w:space="0" w:color="000000"/>
              <w:bottom w:val="single" w:sz="4" w:space="0" w:color="000000"/>
            </w:tcBorders>
          </w:tcPr>
          <w:p>
            <w:pPr>
              <w:pStyle w:val="TableParagraph"/>
              <w:spacing w:line="211" w:lineRule="exact" w:before="26"/>
              <w:ind w:right="109"/>
              <w:jc w:val="right"/>
              <w:rPr>
                <w:b/>
                <w:sz w:val="20"/>
              </w:rPr>
            </w:pPr>
            <w:r>
              <w:rPr>
                <w:b/>
                <w:spacing w:val="-2"/>
                <w:sz w:val="20"/>
              </w:rPr>
              <w:t>10,000</w:t>
            </w:r>
          </w:p>
        </w:tc>
        <w:tc>
          <w:tcPr>
            <w:tcW w:w="1696" w:type="dxa"/>
            <w:tcBorders>
              <w:top w:val="single" w:sz="4" w:space="0" w:color="000000"/>
              <w:bottom w:val="single" w:sz="4" w:space="0" w:color="000000"/>
            </w:tcBorders>
          </w:tcPr>
          <w:p>
            <w:pPr>
              <w:pStyle w:val="TableParagraph"/>
              <w:spacing w:line="211" w:lineRule="exact" w:before="26"/>
              <w:ind w:right="242"/>
              <w:jc w:val="right"/>
              <w:rPr>
                <w:b/>
                <w:sz w:val="20"/>
              </w:rPr>
            </w:pPr>
            <w:r>
              <w:rPr>
                <w:b/>
                <w:spacing w:val="-5"/>
                <w:sz w:val="20"/>
              </w:rPr>
              <w:t>200</w:t>
            </w:r>
          </w:p>
        </w:tc>
        <w:tc>
          <w:tcPr>
            <w:tcW w:w="1929" w:type="dxa"/>
            <w:tcBorders>
              <w:top w:val="single" w:sz="4" w:space="0" w:color="000000"/>
              <w:bottom w:val="single" w:sz="4" w:space="0" w:color="000000"/>
              <w:right w:val="single" w:sz="12" w:space="0" w:color="000000"/>
            </w:tcBorders>
          </w:tcPr>
          <w:p>
            <w:pPr>
              <w:pStyle w:val="TableParagraph"/>
              <w:spacing w:line="211" w:lineRule="exact" w:before="26"/>
              <w:ind w:right="90"/>
              <w:jc w:val="right"/>
              <w:rPr>
                <w:b/>
                <w:sz w:val="20"/>
              </w:rPr>
            </w:pPr>
            <w:r>
              <w:rPr>
                <w:b/>
                <w:spacing w:val="-2"/>
                <w:sz w:val="20"/>
              </w:rPr>
              <w:t>15,193</w:t>
            </w:r>
          </w:p>
        </w:tc>
      </w:tr>
      <w:tr>
        <w:trPr>
          <w:trHeight w:val="523" w:hRule="atLeast"/>
        </w:trPr>
        <w:tc>
          <w:tcPr>
            <w:tcW w:w="4188" w:type="dxa"/>
            <w:tcBorders>
              <w:left w:val="single" w:sz="12" w:space="0" w:color="000000"/>
            </w:tcBorders>
          </w:tcPr>
          <w:p>
            <w:pPr>
              <w:pStyle w:val="TableParagraph"/>
              <w:spacing w:before="1"/>
              <w:rPr>
                <w:b/>
                <w:sz w:val="24"/>
              </w:rPr>
            </w:pPr>
          </w:p>
          <w:p>
            <w:pPr>
              <w:pStyle w:val="TableParagraph"/>
              <w:spacing w:line="226" w:lineRule="exact" w:before="1"/>
              <w:ind w:left="107"/>
              <w:rPr>
                <w:b/>
                <w:sz w:val="20"/>
              </w:rPr>
            </w:pPr>
            <w:r>
              <w:rPr>
                <w:b/>
                <w:sz w:val="20"/>
              </w:rPr>
              <w:t>Plant</w:t>
            </w:r>
            <w:r>
              <w:rPr>
                <w:b/>
                <w:spacing w:val="-5"/>
                <w:sz w:val="20"/>
              </w:rPr>
              <w:t> </w:t>
            </w:r>
            <w:r>
              <w:rPr>
                <w:b/>
                <w:sz w:val="20"/>
              </w:rPr>
              <w:t>and</w:t>
            </w:r>
            <w:r>
              <w:rPr>
                <w:b/>
                <w:spacing w:val="-4"/>
                <w:sz w:val="20"/>
              </w:rPr>
              <w:t> </w:t>
            </w:r>
            <w:r>
              <w:rPr>
                <w:b/>
                <w:spacing w:val="-2"/>
                <w:sz w:val="20"/>
              </w:rPr>
              <w:t>Equipment</w:t>
            </w:r>
          </w:p>
        </w:tc>
        <w:tc>
          <w:tcPr>
            <w:tcW w:w="1504" w:type="dxa"/>
            <w:tcBorders>
              <w:top w:val="single" w:sz="4" w:space="0" w:color="000000"/>
            </w:tcBorders>
          </w:tcPr>
          <w:p>
            <w:pPr>
              <w:pStyle w:val="TableParagraph"/>
              <w:rPr>
                <w:rFonts w:ascii="Times New Roman"/>
                <w:sz w:val="18"/>
              </w:rPr>
            </w:pPr>
          </w:p>
        </w:tc>
        <w:tc>
          <w:tcPr>
            <w:tcW w:w="1143" w:type="dxa"/>
            <w:tcBorders>
              <w:top w:val="single" w:sz="4" w:space="0" w:color="000000"/>
            </w:tcBorders>
          </w:tcPr>
          <w:p>
            <w:pPr>
              <w:pStyle w:val="TableParagraph"/>
              <w:rPr>
                <w:rFonts w:ascii="Times New Roman"/>
                <w:sz w:val="18"/>
              </w:rPr>
            </w:pPr>
          </w:p>
        </w:tc>
        <w:tc>
          <w:tcPr>
            <w:tcW w:w="1112" w:type="dxa"/>
            <w:tcBorders>
              <w:top w:val="single" w:sz="4" w:space="0" w:color="000000"/>
            </w:tcBorders>
          </w:tcPr>
          <w:p>
            <w:pPr>
              <w:pStyle w:val="TableParagraph"/>
              <w:rPr>
                <w:rFonts w:ascii="Times New Roman"/>
                <w:sz w:val="18"/>
              </w:rPr>
            </w:pPr>
          </w:p>
        </w:tc>
        <w:tc>
          <w:tcPr>
            <w:tcW w:w="1118" w:type="dxa"/>
            <w:tcBorders>
              <w:top w:val="single" w:sz="4" w:space="0" w:color="000000"/>
              <w:right w:val="single" w:sz="4" w:space="0" w:color="000000"/>
            </w:tcBorders>
          </w:tcPr>
          <w:p>
            <w:pPr>
              <w:pStyle w:val="TableParagraph"/>
              <w:rPr>
                <w:rFonts w:ascii="Times New Roman"/>
                <w:sz w:val="18"/>
              </w:rPr>
            </w:pPr>
          </w:p>
        </w:tc>
        <w:tc>
          <w:tcPr>
            <w:tcW w:w="1420" w:type="dxa"/>
            <w:tcBorders>
              <w:top w:val="single" w:sz="4" w:space="0" w:color="000000"/>
              <w:left w:val="single" w:sz="4" w:space="0" w:color="000000"/>
            </w:tcBorders>
          </w:tcPr>
          <w:p>
            <w:pPr>
              <w:pStyle w:val="TableParagraph"/>
              <w:rPr>
                <w:rFonts w:ascii="Times New Roman"/>
                <w:sz w:val="18"/>
              </w:rPr>
            </w:pPr>
          </w:p>
        </w:tc>
        <w:tc>
          <w:tcPr>
            <w:tcW w:w="1290" w:type="dxa"/>
            <w:tcBorders>
              <w:top w:val="single" w:sz="4" w:space="0" w:color="000000"/>
            </w:tcBorders>
          </w:tcPr>
          <w:p>
            <w:pPr>
              <w:pStyle w:val="TableParagraph"/>
              <w:rPr>
                <w:rFonts w:ascii="Times New Roman"/>
                <w:sz w:val="18"/>
              </w:rPr>
            </w:pPr>
          </w:p>
        </w:tc>
        <w:tc>
          <w:tcPr>
            <w:tcW w:w="1696" w:type="dxa"/>
            <w:tcBorders>
              <w:top w:val="single" w:sz="4" w:space="0" w:color="000000"/>
            </w:tcBorders>
          </w:tcPr>
          <w:p>
            <w:pPr>
              <w:pStyle w:val="TableParagraph"/>
              <w:rPr>
                <w:rFonts w:ascii="Times New Roman"/>
                <w:sz w:val="18"/>
              </w:rPr>
            </w:pPr>
          </w:p>
        </w:tc>
        <w:tc>
          <w:tcPr>
            <w:tcW w:w="1929" w:type="dxa"/>
            <w:tcBorders>
              <w:top w:val="single" w:sz="4" w:space="0" w:color="000000"/>
              <w:right w:val="single" w:sz="12" w:space="0" w:color="000000"/>
            </w:tcBorders>
          </w:tcPr>
          <w:p>
            <w:pPr>
              <w:pStyle w:val="TableParagraph"/>
              <w:rPr>
                <w:rFonts w:ascii="Times New Roman"/>
                <w:sz w:val="18"/>
              </w:rPr>
            </w:pPr>
          </w:p>
        </w:tc>
      </w:tr>
      <w:tr>
        <w:trPr>
          <w:trHeight w:val="255" w:hRule="atLeast"/>
        </w:trPr>
        <w:tc>
          <w:tcPr>
            <w:tcW w:w="4188" w:type="dxa"/>
            <w:tcBorders>
              <w:left w:val="single" w:sz="12" w:space="0" w:color="000000"/>
            </w:tcBorders>
          </w:tcPr>
          <w:p>
            <w:pPr>
              <w:pStyle w:val="TableParagraph"/>
              <w:spacing w:line="227" w:lineRule="exact" w:before="8"/>
              <w:ind w:left="107"/>
              <w:rPr>
                <w:sz w:val="20"/>
              </w:rPr>
            </w:pPr>
            <w:r>
              <w:rPr>
                <w:sz w:val="20"/>
              </w:rPr>
              <w:t>Plant,</w:t>
            </w:r>
            <w:r>
              <w:rPr>
                <w:spacing w:val="-4"/>
                <w:sz w:val="20"/>
              </w:rPr>
              <w:t> </w:t>
            </w:r>
            <w:r>
              <w:rPr>
                <w:sz w:val="20"/>
              </w:rPr>
              <w:t>machinery,</w:t>
            </w:r>
            <w:r>
              <w:rPr>
                <w:spacing w:val="-8"/>
                <w:sz w:val="20"/>
              </w:rPr>
              <w:t> </w:t>
            </w:r>
            <w:r>
              <w:rPr>
                <w:sz w:val="20"/>
              </w:rPr>
              <w:t>and</w:t>
            </w:r>
            <w:r>
              <w:rPr>
                <w:spacing w:val="-4"/>
                <w:sz w:val="20"/>
              </w:rPr>
              <w:t> </w:t>
            </w:r>
            <w:r>
              <w:rPr>
                <w:spacing w:val="-2"/>
                <w:sz w:val="20"/>
              </w:rPr>
              <w:t>equipment</w:t>
            </w:r>
          </w:p>
        </w:tc>
        <w:tc>
          <w:tcPr>
            <w:tcW w:w="1504" w:type="dxa"/>
          </w:tcPr>
          <w:p>
            <w:pPr>
              <w:pStyle w:val="TableParagraph"/>
              <w:spacing w:line="227" w:lineRule="exact" w:before="8"/>
              <w:ind w:right="231"/>
              <w:jc w:val="right"/>
              <w:rPr>
                <w:sz w:val="20"/>
              </w:rPr>
            </w:pPr>
            <w:r>
              <w:rPr>
                <w:spacing w:val="-2"/>
                <w:sz w:val="20"/>
              </w:rPr>
              <w:t>3,350</w:t>
            </w:r>
          </w:p>
        </w:tc>
        <w:tc>
          <w:tcPr>
            <w:tcW w:w="1143" w:type="dxa"/>
          </w:tcPr>
          <w:p>
            <w:pPr>
              <w:pStyle w:val="TableParagraph"/>
              <w:spacing w:line="227" w:lineRule="exact" w:before="8"/>
              <w:ind w:right="110"/>
              <w:jc w:val="right"/>
              <w:rPr>
                <w:sz w:val="20"/>
              </w:rPr>
            </w:pPr>
            <w:r>
              <w:rPr>
                <w:w w:val="99"/>
                <w:sz w:val="20"/>
              </w:rPr>
              <w:t>0</w:t>
            </w:r>
          </w:p>
        </w:tc>
        <w:tc>
          <w:tcPr>
            <w:tcW w:w="1112" w:type="dxa"/>
          </w:tcPr>
          <w:p>
            <w:pPr>
              <w:pStyle w:val="TableParagraph"/>
              <w:spacing w:line="227" w:lineRule="exact" w:before="8"/>
              <w:ind w:right="126"/>
              <w:jc w:val="right"/>
              <w:rPr>
                <w:sz w:val="20"/>
              </w:rPr>
            </w:pPr>
            <w:r>
              <w:rPr>
                <w:spacing w:val="-2"/>
                <w:sz w:val="20"/>
              </w:rPr>
              <w:t>3,350</w:t>
            </w:r>
          </w:p>
        </w:tc>
        <w:tc>
          <w:tcPr>
            <w:tcW w:w="1118" w:type="dxa"/>
            <w:tcBorders>
              <w:right w:val="single" w:sz="4" w:space="0" w:color="000000"/>
            </w:tcBorders>
          </w:tcPr>
          <w:p>
            <w:pPr>
              <w:pStyle w:val="TableParagraph"/>
              <w:spacing w:line="227" w:lineRule="exact" w:before="8"/>
              <w:ind w:right="88"/>
              <w:jc w:val="right"/>
              <w:rPr>
                <w:sz w:val="20"/>
              </w:rPr>
            </w:pPr>
            <w:r>
              <w:rPr>
                <w:w w:val="99"/>
                <w:sz w:val="20"/>
              </w:rPr>
              <w:t>0</w:t>
            </w:r>
          </w:p>
        </w:tc>
        <w:tc>
          <w:tcPr>
            <w:tcW w:w="1420" w:type="dxa"/>
            <w:tcBorders>
              <w:left w:val="single" w:sz="4" w:space="0" w:color="000000"/>
            </w:tcBorders>
          </w:tcPr>
          <w:p>
            <w:pPr>
              <w:pStyle w:val="TableParagraph"/>
              <w:spacing w:line="227" w:lineRule="exact" w:before="8"/>
              <w:ind w:right="231"/>
              <w:jc w:val="right"/>
              <w:rPr>
                <w:sz w:val="20"/>
              </w:rPr>
            </w:pPr>
            <w:r>
              <w:rPr>
                <w:spacing w:val="-2"/>
                <w:sz w:val="20"/>
              </w:rPr>
              <w:t>3,350</w:t>
            </w:r>
          </w:p>
        </w:tc>
        <w:tc>
          <w:tcPr>
            <w:tcW w:w="1290" w:type="dxa"/>
          </w:tcPr>
          <w:p>
            <w:pPr>
              <w:pStyle w:val="TableParagraph"/>
              <w:spacing w:line="227" w:lineRule="exact" w:before="8"/>
              <w:ind w:right="106"/>
              <w:jc w:val="right"/>
              <w:rPr>
                <w:sz w:val="20"/>
              </w:rPr>
            </w:pPr>
            <w:r>
              <w:rPr>
                <w:w w:val="99"/>
                <w:sz w:val="20"/>
              </w:rPr>
              <w:t>0</w:t>
            </w:r>
          </w:p>
        </w:tc>
        <w:tc>
          <w:tcPr>
            <w:tcW w:w="1696" w:type="dxa"/>
          </w:tcPr>
          <w:p>
            <w:pPr>
              <w:pStyle w:val="TableParagraph"/>
              <w:spacing w:line="227" w:lineRule="exact" w:before="8"/>
              <w:ind w:right="239"/>
              <w:jc w:val="right"/>
              <w:rPr>
                <w:sz w:val="20"/>
              </w:rPr>
            </w:pPr>
            <w:r>
              <w:rPr>
                <w:w w:val="99"/>
                <w:sz w:val="20"/>
              </w:rPr>
              <w:t>0</w:t>
            </w:r>
          </w:p>
        </w:tc>
        <w:tc>
          <w:tcPr>
            <w:tcW w:w="1929" w:type="dxa"/>
            <w:tcBorders>
              <w:right w:val="single" w:sz="12" w:space="0" w:color="000000"/>
            </w:tcBorders>
          </w:tcPr>
          <w:p>
            <w:pPr>
              <w:pStyle w:val="TableParagraph"/>
              <w:spacing w:line="227" w:lineRule="exact" w:before="8"/>
              <w:ind w:right="89"/>
              <w:jc w:val="right"/>
              <w:rPr>
                <w:sz w:val="20"/>
              </w:rPr>
            </w:pPr>
            <w:r>
              <w:rPr>
                <w:spacing w:val="-2"/>
                <w:sz w:val="20"/>
              </w:rPr>
              <w:t>3,350</w:t>
            </w:r>
          </w:p>
        </w:tc>
      </w:tr>
      <w:tr>
        <w:trPr>
          <w:trHeight w:val="255" w:hRule="atLeast"/>
        </w:trPr>
        <w:tc>
          <w:tcPr>
            <w:tcW w:w="4188" w:type="dxa"/>
            <w:tcBorders>
              <w:left w:val="single" w:sz="12" w:space="0" w:color="000000"/>
            </w:tcBorders>
          </w:tcPr>
          <w:p>
            <w:pPr>
              <w:pStyle w:val="TableParagraph"/>
              <w:spacing w:line="226" w:lineRule="exact" w:before="10"/>
              <w:ind w:left="107"/>
              <w:rPr>
                <w:sz w:val="20"/>
              </w:rPr>
            </w:pPr>
            <w:r>
              <w:rPr>
                <w:sz w:val="20"/>
              </w:rPr>
              <w:t>Fixtures,</w:t>
            </w:r>
            <w:r>
              <w:rPr>
                <w:spacing w:val="-7"/>
                <w:sz w:val="20"/>
              </w:rPr>
              <w:t> </w:t>
            </w:r>
            <w:r>
              <w:rPr>
                <w:sz w:val="20"/>
              </w:rPr>
              <w:t>fittings,</w:t>
            </w:r>
            <w:r>
              <w:rPr>
                <w:spacing w:val="-6"/>
                <w:sz w:val="20"/>
              </w:rPr>
              <w:t> </w:t>
            </w:r>
            <w:r>
              <w:rPr>
                <w:sz w:val="20"/>
              </w:rPr>
              <w:t>and</w:t>
            </w:r>
            <w:r>
              <w:rPr>
                <w:spacing w:val="-7"/>
                <w:sz w:val="20"/>
              </w:rPr>
              <w:t> </w:t>
            </w:r>
            <w:r>
              <w:rPr>
                <w:spacing w:val="-2"/>
                <w:sz w:val="20"/>
              </w:rPr>
              <w:t>furniture</w:t>
            </w:r>
          </w:p>
        </w:tc>
        <w:tc>
          <w:tcPr>
            <w:tcW w:w="1504" w:type="dxa"/>
          </w:tcPr>
          <w:p>
            <w:pPr>
              <w:pStyle w:val="TableParagraph"/>
              <w:spacing w:line="226" w:lineRule="exact" w:before="10"/>
              <w:ind w:right="232"/>
              <w:jc w:val="right"/>
              <w:rPr>
                <w:sz w:val="20"/>
              </w:rPr>
            </w:pPr>
            <w:r>
              <w:rPr>
                <w:spacing w:val="-5"/>
                <w:sz w:val="20"/>
              </w:rPr>
              <w:t>837</w:t>
            </w:r>
          </w:p>
        </w:tc>
        <w:tc>
          <w:tcPr>
            <w:tcW w:w="1143" w:type="dxa"/>
          </w:tcPr>
          <w:p>
            <w:pPr>
              <w:pStyle w:val="TableParagraph"/>
              <w:spacing w:line="226" w:lineRule="exact" w:before="10"/>
              <w:ind w:right="113"/>
              <w:jc w:val="right"/>
              <w:rPr>
                <w:sz w:val="20"/>
              </w:rPr>
            </w:pPr>
            <w:r>
              <w:rPr>
                <w:spacing w:val="-5"/>
                <w:sz w:val="20"/>
              </w:rPr>
              <w:t>77</w:t>
            </w:r>
          </w:p>
        </w:tc>
        <w:tc>
          <w:tcPr>
            <w:tcW w:w="1112" w:type="dxa"/>
          </w:tcPr>
          <w:p>
            <w:pPr>
              <w:pStyle w:val="TableParagraph"/>
              <w:spacing w:line="226" w:lineRule="exact" w:before="10"/>
              <w:ind w:right="125"/>
              <w:jc w:val="right"/>
              <w:rPr>
                <w:sz w:val="20"/>
              </w:rPr>
            </w:pPr>
            <w:r>
              <w:rPr>
                <w:spacing w:val="-5"/>
                <w:sz w:val="20"/>
              </w:rPr>
              <w:t>715</w:t>
            </w:r>
          </w:p>
        </w:tc>
        <w:tc>
          <w:tcPr>
            <w:tcW w:w="1118" w:type="dxa"/>
            <w:tcBorders>
              <w:right w:val="single" w:sz="4" w:space="0" w:color="000000"/>
            </w:tcBorders>
          </w:tcPr>
          <w:p>
            <w:pPr>
              <w:pStyle w:val="TableParagraph"/>
              <w:spacing w:line="226" w:lineRule="exact" w:before="10"/>
              <w:ind w:right="92"/>
              <w:jc w:val="right"/>
              <w:rPr>
                <w:sz w:val="20"/>
              </w:rPr>
            </w:pPr>
            <w:r>
              <w:rPr>
                <w:spacing w:val="-5"/>
                <w:sz w:val="20"/>
              </w:rPr>
              <w:t>45</w:t>
            </w:r>
          </w:p>
        </w:tc>
        <w:tc>
          <w:tcPr>
            <w:tcW w:w="1420" w:type="dxa"/>
            <w:tcBorders>
              <w:left w:val="single" w:sz="4" w:space="0" w:color="000000"/>
            </w:tcBorders>
          </w:tcPr>
          <w:p>
            <w:pPr>
              <w:pStyle w:val="TableParagraph"/>
              <w:spacing w:line="226" w:lineRule="exact" w:before="10"/>
              <w:ind w:right="232"/>
              <w:jc w:val="right"/>
              <w:rPr>
                <w:sz w:val="20"/>
              </w:rPr>
            </w:pPr>
            <w:r>
              <w:rPr>
                <w:spacing w:val="-5"/>
                <w:sz w:val="20"/>
              </w:rPr>
              <w:t>837</w:t>
            </w:r>
          </w:p>
        </w:tc>
        <w:tc>
          <w:tcPr>
            <w:tcW w:w="1290" w:type="dxa"/>
          </w:tcPr>
          <w:p>
            <w:pPr>
              <w:pStyle w:val="TableParagraph"/>
              <w:spacing w:line="226" w:lineRule="exact" w:before="10"/>
              <w:ind w:right="106"/>
              <w:jc w:val="right"/>
              <w:rPr>
                <w:sz w:val="20"/>
              </w:rPr>
            </w:pPr>
            <w:r>
              <w:rPr>
                <w:w w:val="99"/>
                <w:sz w:val="20"/>
              </w:rPr>
              <w:t>0</w:t>
            </w:r>
          </w:p>
        </w:tc>
        <w:tc>
          <w:tcPr>
            <w:tcW w:w="1696" w:type="dxa"/>
          </w:tcPr>
          <w:p>
            <w:pPr>
              <w:pStyle w:val="TableParagraph"/>
              <w:spacing w:line="226" w:lineRule="exact" w:before="10"/>
              <w:ind w:right="239"/>
              <w:jc w:val="right"/>
              <w:rPr>
                <w:sz w:val="20"/>
              </w:rPr>
            </w:pPr>
            <w:r>
              <w:rPr>
                <w:w w:val="99"/>
                <w:sz w:val="20"/>
              </w:rPr>
              <w:t>0</w:t>
            </w:r>
          </w:p>
        </w:tc>
        <w:tc>
          <w:tcPr>
            <w:tcW w:w="1929" w:type="dxa"/>
            <w:tcBorders>
              <w:right w:val="single" w:sz="12" w:space="0" w:color="000000"/>
            </w:tcBorders>
          </w:tcPr>
          <w:p>
            <w:pPr>
              <w:pStyle w:val="TableParagraph"/>
              <w:spacing w:line="226" w:lineRule="exact" w:before="10"/>
              <w:ind w:right="90"/>
              <w:jc w:val="right"/>
              <w:rPr>
                <w:sz w:val="20"/>
              </w:rPr>
            </w:pPr>
            <w:r>
              <w:rPr>
                <w:spacing w:val="-5"/>
                <w:sz w:val="20"/>
              </w:rPr>
              <w:t>837</w:t>
            </w:r>
          </w:p>
        </w:tc>
      </w:tr>
      <w:tr>
        <w:trPr>
          <w:trHeight w:val="239" w:hRule="atLeast"/>
        </w:trPr>
        <w:tc>
          <w:tcPr>
            <w:tcW w:w="4188" w:type="dxa"/>
            <w:tcBorders>
              <w:left w:val="single" w:sz="12" w:space="0" w:color="000000"/>
            </w:tcBorders>
          </w:tcPr>
          <w:p>
            <w:pPr>
              <w:pStyle w:val="TableParagraph"/>
              <w:spacing w:line="211" w:lineRule="exact" w:before="8"/>
              <w:ind w:left="107"/>
              <w:rPr>
                <w:sz w:val="20"/>
              </w:rPr>
            </w:pPr>
            <w:r>
              <w:rPr>
                <w:sz w:val="20"/>
              </w:rPr>
              <w:t>Computers</w:t>
            </w:r>
            <w:r>
              <w:rPr>
                <w:spacing w:val="-6"/>
                <w:sz w:val="20"/>
              </w:rPr>
              <w:t> </w:t>
            </w:r>
            <w:r>
              <w:rPr>
                <w:sz w:val="20"/>
              </w:rPr>
              <w:t>and</w:t>
            </w:r>
            <w:r>
              <w:rPr>
                <w:spacing w:val="-8"/>
                <w:sz w:val="20"/>
              </w:rPr>
              <w:t> </w:t>
            </w:r>
            <w:r>
              <w:rPr>
                <w:spacing w:val="-2"/>
                <w:sz w:val="20"/>
              </w:rPr>
              <w:t>telecommunications</w:t>
            </w:r>
          </w:p>
        </w:tc>
        <w:tc>
          <w:tcPr>
            <w:tcW w:w="1504" w:type="dxa"/>
            <w:tcBorders>
              <w:bottom w:val="single" w:sz="4" w:space="0" w:color="000000"/>
            </w:tcBorders>
          </w:tcPr>
          <w:p>
            <w:pPr>
              <w:pStyle w:val="TableParagraph"/>
              <w:spacing w:line="211" w:lineRule="exact" w:before="8"/>
              <w:ind w:right="232"/>
              <w:jc w:val="right"/>
              <w:rPr>
                <w:sz w:val="20"/>
              </w:rPr>
            </w:pPr>
            <w:r>
              <w:rPr>
                <w:spacing w:val="-5"/>
                <w:sz w:val="20"/>
              </w:rPr>
              <w:t>366</w:t>
            </w:r>
          </w:p>
        </w:tc>
        <w:tc>
          <w:tcPr>
            <w:tcW w:w="1143" w:type="dxa"/>
            <w:tcBorders>
              <w:bottom w:val="single" w:sz="4" w:space="0" w:color="000000"/>
            </w:tcBorders>
          </w:tcPr>
          <w:p>
            <w:pPr>
              <w:pStyle w:val="TableParagraph"/>
              <w:spacing w:line="211" w:lineRule="exact" w:before="8"/>
              <w:ind w:right="113"/>
              <w:jc w:val="right"/>
              <w:rPr>
                <w:sz w:val="20"/>
              </w:rPr>
            </w:pPr>
            <w:r>
              <w:rPr>
                <w:spacing w:val="-5"/>
                <w:sz w:val="20"/>
              </w:rPr>
              <w:t>110</w:t>
            </w:r>
          </w:p>
        </w:tc>
        <w:tc>
          <w:tcPr>
            <w:tcW w:w="1112" w:type="dxa"/>
            <w:tcBorders>
              <w:bottom w:val="single" w:sz="4" w:space="0" w:color="000000"/>
            </w:tcBorders>
          </w:tcPr>
          <w:p>
            <w:pPr>
              <w:pStyle w:val="TableParagraph"/>
              <w:spacing w:line="211" w:lineRule="exact" w:before="8"/>
              <w:ind w:right="125"/>
              <w:jc w:val="right"/>
              <w:rPr>
                <w:sz w:val="20"/>
              </w:rPr>
            </w:pPr>
            <w:r>
              <w:rPr>
                <w:spacing w:val="-5"/>
                <w:sz w:val="20"/>
              </w:rPr>
              <w:t>183</w:t>
            </w:r>
          </w:p>
        </w:tc>
        <w:tc>
          <w:tcPr>
            <w:tcW w:w="1118" w:type="dxa"/>
            <w:tcBorders>
              <w:bottom w:val="single" w:sz="4" w:space="0" w:color="000000"/>
              <w:right w:val="single" w:sz="4" w:space="0" w:color="000000"/>
            </w:tcBorders>
          </w:tcPr>
          <w:p>
            <w:pPr>
              <w:pStyle w:val="TableParagraph"/>
              <w:spacing w:line="211" w:lineRule="exact" w:before="8"/>
              <w:ind w:right="92"/>
              <w:jc w:val="right"/>
              <w:rPr>
                <w:sz w:val="20"/>
              </w:rPr>
            </w:pPr>
            <w:r>
              <w:rPr>
                <w:spacing w:val="-5"/>
                <w:sz w:val="20"/>
              </w:rPr>
              <w:t>73</w:t>
            </w:r>
          </w:p>
        </w:tc>
        <w:tc>
          <w:tcPr>
            <w:tcW w:w="1420" w:type="dxa"/>
            <w:tcBorders>
              <w:left w:val="single" w:sz="4" w:space="0" w:color="000000"/>
              <w:bottom w:val="single" w:sz="4" w:space="0" w:color="000000"/>
            </w:tcBorders>
          </w:tcPr>
          <w:p>
            <w:pPr>
              <w:pStyle w:val="TableParagraph"/>
              <w:spacing w:line="211" w:lineRule="exact" w:before="8"/>
              <w:ind w:right="232"/>
              <w:jc w:val="right"/>
              <w:rPr>
                <w:sz w:val="20"/>
              </w:rPr>
            </w:pPr>
            <w:r>
              <w:rPr>
                <w:spacing w:val="-5"/>
                <w:sz w:val="20"/>
              </w:rPr>
              <w:t>366</w:t>
            </w:r>
          </w:p>
        </w:tc>
        <w:tc>
          <w:tcPr>
            <w:tcW w:w="1290" w:type="dxa"/>
            <w:tcBorders>
              <w:bottom w:val="single" w:sz="4" w:space="0" w:color="000000"/>
            </w:tcBorders>
          </w:tcPr>
          <w:p>
            <w:pPr>
              <w:pStyle w:val="TableParagraph"/>
              <w:spacing w:line="211" w:lineRule="exact" w:before="8"/>
              <w:ind w:right="106"/>
              <w:jc w:val="right"/>
              <w:rPr>
                <w:sz w:val="20"/>
              </w:rPr>
            </w:pPr>
            <w:r>
              <w:rPr>
                <w:w w:val="99"/>
                <w:sz w:val="20"/>
              </w:rPr>
              <w:t>0</w:t>
            </w:r>
          </w:p>
        </w:tc>
        <w:tc>
          <w:tcPr>
            <w:tcW w:w="1696" w:type="dxa"/>
            <w:tcBorders>
              <w:bottom w:val="single" w:sz="4" w:space="0" w:color="000000"/>
            </w:tcBorders>
          </w:tcPr>
          <w:p>
            <w:pPr>
              <w:pStyle w:val="TableParagraph"/>
              <w:spacing w:line="211" w:lineRule="exact" w:before="8"/>
              <w:ind w:right="239"/>
              <w:jc w:val="right"/>
              <w:rPr>
                <w:sz w:val="20"/>
              </w:rPr>
            </w:pPr>
            <w:r>
              <w:rPr>
                <w:w w:val="99"/>
                <w:sz w:val="20"/>
              </w:rPr>
              <w:t>0</w:t>
            </w:r>
          </w:p>
        </w:tc>
        <w:tc>
          <w:tcPr>
            <w:tcW w:w="1929" w:type="dxa"/>
            <w:tcBorders>
              <w:bottom w:val="single" w:sz="4" w:space="0" w:color="000000"/>
              <w:right w:val="single" w:sz="12" w:space="0" w:color="000000"/>
            </w:tcBorders>
          </w:tcPr>
          <w:p>
            <w:pPr>
              <w:pStyle w:val="TableParagraph"/>
              <w:spacing w:line="211" w:lineRule="exact" w:before="8"/>
              <w:ind w:right="90"/>
              <w:jc w:val="right"/>
              <w:rPr>
                <w:sz w:val="20"/>
              </w:rPr>
            </w:pPr>
            <w:r>
              <w:rPr>
                <w:spacing w:val="-5"/>
                <w:sz w:val="20"/>
              </w:rPr>
              <w:t>366</w:t>
            </w:r>
          </w:p>
        </w:tc>
      </w:tr>
      <w:tr>
        <w:trPr>
          <w:trHeight w:val="254" w:hRule="atLeast"/>
        </w:trPr>
        <w:tc>
          <w:tcPr>
            <w:tcW w:w="4188" w:type="dxa"/>
            <w:tcBorders>
              <w:left w:val="single" w:sz="12" w:space="0" w:color="000000"/>
            </w:tcBorders>
          </w:tcPr>
          <w:p>
            <w:pPr>
              <w:pStyle w:val="TableParagraph"/>
              <w:spacing w:line="211" w:lineRule="exact" w:before="23"/>
              <w:ind w:left="107"/>
              <w:rPr>
                <w:b/>
                <w:sz w:val="20"/>
              </w:rPr>
            </w:pPr>
            <w:r>
              <w:rPr>
                <w:b/>
                <w:sz w:val="20"/>
              </w:rPr>
              <w:t>Total</w:t>
            </w:r>
            <w:r>
              <w:rPr>
                <w:b/>
                <w:spacing w:val="-6"/>
                <w:sz w:val="20"/>
              </w:rPr>
              <w:t> </w:t>
            </w:r>
            <w:r>
              <w:rPr>
                <w:b/>
                <w:sz w:val="20"/>
              </w:rPr>
              <w:t>Plant</w:t>
            </w:r>
            <w:r>
              <w:rPr>
                <w:b/>
                <w:spacing w:val="-6"/>
                <w:sz w:val="20"/>
              </w:rPr>
              <w:t> </w:t>
            </w:r>
            <w:r>
              <w:rPr>
                <w:b/>
                <w:sz w:val="20"/>
              </w:rPr>
              <w:t>and</w:t>
            </w:r>
            <w:r>
              <w:rPr>
                <w:b/>
                <w:spacing w:val="-4"/>
                <w:sz w:val="20"/>
              </w:rPr>
              <w:t> </w:t>
            </w:r>
            <w:r>
              <w:rPr>
                <w:b/>
                <w:spacing w:val="-2"/>
                <w:sz w:val="20"/>
              </w:rPr>
              <w:t>Equipment</w:t>
            </w:r>
          </w:p>
        </w:tc>
        <w:tc>
          <w:tcPr>
            <w:tcW w:w="1504" w:type="dxa"/>
            <w:tcBorders>
              <w:top w:val="single" w:sz="4" w:space="0" w:color="000000"/>
              <w:bottom w:val="single" w:sz="4" w:space="0" w:color="000000"/>
            </w:tcBorders>
          </w:tcPr>
          <w:p>
            <w:pPr>
              <w:pStyle w:val="TableParagraph"/>
              <w:spacing w:line="211" w:lineRule="exact" w:before="23"/>
              <w:ind w:right="231"/>
              <w:jc w:val="right"/>
              <w:rPr>
                <w:b/>
                <w:sz w:val="20"/>
              </w:rPr>
            </w:pPr>
            <w:r>
              <w:rPr>
                <w:b/>
                <w:spacing w:val="-2"/>
                <w:sz w:val="20"/>
              </w:rPr>
              <w:t>4,553</w:t>
            </w:r>
          </w:p>
        </w:tc>
        <w:tc>
          <w:tcPr>
            <w:tcW w:w="1143" w:type="dxa"/>
            <w:tcBorders>
              <w:top w:val="single" w:sz="4" w:space="0" w:color="000000"/>
              <w:bottom w:val="single" w:sz="4" w:space="0" w:color="000000"/>
            </w:tcBorders>
          </w:tcPr>
          <w:p>
            <w:pPr>
              <w:pStyle w:val="TableParagraph"/>
              <w:spacing w:line="211" w:lineRule="exact" w:before="23"/>
              <w:ind w:right="113"/>
              <w:jc w:val="right"/>
              <w:rPr>
                <w:b/>
                <w:sz w:val="20"/>
              </w:rPr>
            </w:pPr>
            <w:r>
              <w:rPr>
                <w:b/>
                <w:spacing w:val="-5"/>
                <w:sz w:val="20"/>
              </w:rPr>
              <w:t>187</w:t>
            </w:r>
          </w:p>
        </w:tc>
        <w:tc>
          <w:tcPr>
            <w:tcW w:w="1112" w:type="dxa"/>
            <w:tcBorders>
              <w:top w:val="single" w:sz="4" w:space="0" w:color="000000"/>
              <w:bottom w:val="single" w:sz="4" w:space="0" w:color="000000"/>
            </w:tcBorders>
          </w:tcPr>
          <w:p>
            <w:pPr>
              <w:pStyle w:val="TableParagraph"/>
              <w:spacing w:line="211" w:lineRule="exact" w:before="23"/>
              <w:ind w:right="126"/>
              <w:jc w:val="right"/>
              <w:rPr>
                <w:b/>
                <w:sz w:val="20"/>
              </w:rPr>
            </w:pPr>
            <w:r>
              <w:rPr>
                <w:b/>
                <w:spacing w:val="-2"/>
                <w:sz w:val="20"/>
              </w:rPr>
              <w:t>4,248</w:t>
            </w:r>
          </w:p>
        </w:tc>
        <w:tc>
          <w:tcPr>
            <w:tcW w:w="1118" w:type="dxa"/>
            <w:tcBorders>
              <w:top w:val="single" w:sz="4" w:space="0" w:color="000000"/>
              <w:bottom w:val="single" w:sz="4" w:space="0" w:color="000000"/>
              <w:right w:val="single" w:sz="4" w:space="0" w:color="000000"/>
            </w:tcBorders>
          </w:tcPr>
          <w:p>
            <w:pPr>
              <w:pStyle w:val="TableParagraph"/>
              <w:spacing w:line="211" w:lineRule="exact" w:before="23"/>
              <w:ind w:right="91"/>
              <w:jc w:val="right"/>
              <w:rPr>
                <w:b/>
                <w:sz w:val="20"/>
              </w:rPr>
            </w:pPr>
            <w:r>
              <w:rPr>
                <w:b/>
                <w:spacing w:val="-5"/>
                <w:sz w:val="20"/>
              </w:rPr>
              <w:t>118</w:t>
            </w:r>
          </w:p>
        </w:tc>
        <w:tc>
          <w:tcPr>
            <w:tcW w:w="1420" w:type="dxa"/>
            <w:tcBorders>
              <w:top w:val="single" w:sz="4" w:space="0" w:color="000000"/>
              <w:left w:val="single" w:sz="4" w:space="0" w:color="000000"/>
              <w:bottom w:val="single" w:sz="4" w:space="0" w:color="000000"/>
            </w:tcBorders>
          </w:tcPr>
          <w:p>
            <w:pPr>
              <w:pStyle w:val="TableParagraph"/>
              <w:spacing w:line="211" w:lineRule="exact" w:before="23"/>
              <w:ind w:right="231"/>
              <w:jc w:val="right"/>
              <w:rPr>
                <w:b/>
                <w:sz w:val="20"/>
              </w:rPr>
            </w:pPr>
            <w:r>
              <w:rPr>
                <w:b/>
                <w:spacing w:val="-2"/>
                <w:sz w:val="20"/>
              </w:rPr>
              <w:t>4,553</w:t>
            </w:r>
          </w:p>
        </w:tc>
        <w:tc>
          <w:tcPr>
            <w:tcW w:w="1290" w:type="dxa"/>
            <w:tcBorders>
              <w:top w:val="single" w:sz="4" w:space="0" w:color="000000"/>
              <w:bottom w:val="single" w:sz="4" w:space="0" w:color="000000"/>
            </w:tcBorders>
          </w:tcPr>
          <w:p>
            <w:pPr>
              <w:pStyle w:val="TableParagraph"/>
              <w:spacing w:line="211" w:lineRule="exact" w:before="23"/>
              <w:ind w:right="106"/>
              <w:jc w:val="right"/>
              <w:rPr>
                <w:b/>
                <w:sz w:val="20"/>
              </w:rPr>
            </w:pPr>
            <w:r>
              <w:rPr>
                <w:b/>
                <w:w w:val="99"/>
                <w:sz w:val="20"/>
              </w:rPr>
              <w:t>0</w:t>
            </w:r>
          </w:p>
        </w:tc>
        <w:tc>
          <w:tcPr>
            <w:tcW w:w="1696" w:type="dxa"/>
            <w:tcBorders>
              <w:top w:val="single" w:sz="4" w:space="0" w:color="000000"/>
              <w:bottom w:val="single" w:sz="4" w:space="0" w:color="000000"/>
            </w:tcBorders>
          </w:tcPr>
          <w:p>
            <w:pPr>
              <w:pStyle w:val="TableParagraph"/>
              <w:spacing w:line="211" w:lineRule="exact" w:before="23"/>
              <w:ind w:right="239"/>
              <w:jc w:val="right"/>
              <w:rPr>
                <w:b/>
                <w:sz w:val="20"/>
              </w:rPr>
            </w:pPr>
            <w:r>
              <w:rPr>
                <w:b/>
                <w:w w:val="99"/>
                <w:sz w:val="20"/>
              </w:rPr>
              <w:t>0</w:t>
            </w:r>
          </w:p>
        </w:tc>
        <w:tc>
          <w:tcPr>
            <w:tcW w:w="1929" w:type="dxa"/>
            <w:tcBorders>
              <w:top w:val="single" w:sz="4" w:space="0" w:color="000000"/>
              <w:bottom w:val="single" w:sz="4" w:space="0" w:color="000000"/>
              <w:right w:val="single" w:sz="12" w:space="0" w:color="000000"/>
            </w:tcBorders>
          </w:tcPr>
          <w:p>
            <w:pPr>
              <w:pStyle w:val="TableParagraph"/>
              <w:spacing w:line="211" w:lineRule="exact" w:before="23"/>
              <w:ind w:right="89"/>
              <w:jc w:val="right"/>
              <w:rPr>
                <w:b/>
                <w:sz w:val="20"/>
              </w:rPr>
            </w:pPr>
            <w:r>
              <w:rPr>
                <w:b/>
                <w:spacing w:val="-2"/>
                <w:sz w:val="20"/>
              </w:rPr>
              <w:t>4,553</w:t>
            </w:r>
          </w:p>
        </w:tc>
      </w:tr>
      <w:tr>
        <w:trPr>
          <w:trHeight w:val="525" w:hRule="atLeast"/>
        </w:trPr>
        <w:tc>
          <w:tcPr>
            <w:tcW w:w="4188" w:type="dxa"/>
            <w:tcBorders>
              <w:left w:val="single" w:sz="12" w:space="0" w:color="000000"/>
            </w:tcBorders>
          </w:tcPr>
          <w:p>
            <w:pPr>
              <w:pStyle w:val="TableParagraph"/>
              <w:spacing w:before="4"/>
              <w:rPr>
                <w:b/>
                <w:sz w:val="24"/>
              </w:rPr>
            </w:pPr>
          </w:p>
          <w:p>
            <w:pPr>
              <w:pStyle w:val="TableParagraph"/>
              <w:spacing w:line="226" w:lineRule="exact"/>
              <w:ind w:left="107"/>
              <w:rPr>
                <w:b/>
                <w:sz w:val="20"/>
              </w:rPr>
            </w:pPr>
            <w:r>
              <w:rPr>
                <w:b/>
                <w:spacing w:val="-2"/>
                <w:sz w:val="20"/>
              </w:rPr>
              <w:t>Infrastructure</w:t>
            </w:r>
          </w:p>
        </w:tc>
        <w:tc>
          <w:tcPr>
            <w:tcW w:w="1504" w:type="dxa"/>
            <w:tcBorders>
              <w:top w:val="single" w:sz="4" w:space="0" w:color="000000"/>
            </w:tcBorders>
          </w:tcPr>
          <w:p>
            <w:pPr>
              <w:pStyle w:val="TableParagraph"/>
              <w:rPr>
                <w:rFonts w:ascii="Times New Roman"/>
                <w:sz w:val="18"/>
              </w:rPr>
            </w:pPr>
          </w:p>
        </w:tc>
        <w:tc>
          <w:tcPr>
            <w:tcW w:w="1143" w:type="dxa"/>
            <w:tcBorders>
              <w:top w:val="single" w:sz="4" w:space="0" w:color="000000"/>
            </w:tcBorders>
          </w:tcPr>
          <w:p>
            <w:pPr>
              <w:pStyle w:val="TableParagraph"/>
              <w:rPr>
                <w:rFonts w:ascii="Times New Roman"/>
                <w:sz w:val="18"/>
              </w:rPr>
            </w:pPr>
          </w:p>
        </w:tc>
        <w:tc>
          <w:tcPr>
            <w:tcW w:w="1112" w:type="dxa"/>
            <w:tcBorders>
              <w:top w:val="single" w:sz="4" w:space="0" w:color="000000"/>
            </w:tcBorders>
          </w:tcPr>
          <w:p>
            <w:pPr>
              <w:pStyle w:val="TableParagraph"/>
              <w:rPr>
                <w:rFonts w:ascii="Times New Roman"/>
                <w:sz w:val="18"/>
              </w:rPr>
            </w:pPr>
          </w:p>
        </w:tc>
        <w:tc>
          <w:tcPr>
            <w:tcW w:w="1118" w:type="dxa"/>
            <w:tcBorders>
              <w:top w:val="single" w:sz="4" w:space="0" w:color="000000"/>
              <w:right w:val="single" w:sz="4" w:space="0" w:color="000000"/>
            </w:tcBorders>
          </w:tcPr>
          <w:p>
            <w:pPr>
              <w:pStyle w:val="TableParagraph"/>
              <w:rPr>
                <w:rFonts w:ascii="Times New Roman"/>
                <w:sz w:val="18"/>
              </w:rPr>
            </w:pPr>
          </w:p>
        </w:tc>
        <w:tc>
          <w:tcPr>
            <w:tcW w:w="1420" w:type="dxa"/>
            <w:tcBorders>
              <w:top w:val="single" w:sz="4" w:space="0" w:color="000000"/>
              <w:left w:val="single" w:sz="4" w:space="0" w:color="000000"/>
            </w:tcBorders>
          </w:tcPr>
          <w:p>
            <w:pPr>
              <w:pStyle w:val="TableParagraph"/>
              <w:rPr>
                <w:rFonts w:ascii="Times New Roman"/>
                <w:sz w:val="18"/>
              </w:rPr>
            </w:pPr>
          </w:p>
        </w:tc>
        <w:tc>
          <w:tcPr>
            <w:tcW w:w="1290" w:type="dxa"/>
            <w:tcBorders>
              <w:top w:val="single" w:sz="4" w:space="0" w:color="000000"/>
            </w:tcBorders>
          </w:tcPr>
          <w:p>
            <w:pPr>
              <w:pStyle w:val="TableParagraph"/>
              <w:rPr>
                <w:rFonts w:ascii="Times New Roman"/>
                <w:sz w:val="18"/>
              </w:rPr>
            </w:pPr>
          </w:p>
        </w:tc>
        <w:tc>
          <w:tcPr>
            <w:tcW w:w="1696" w:type="dxa"/>
            <w:tcBorders>
              <w:top w:val="single" w:sz="4" w:space="0" w:color="000000"/>
            </w:tcBorders>
          </w:tcPr>
          <w:p>
            <w:pPr>
              <w:pStyle w:val="TableParagraph"/>
              <w:rPr>
                <w:rFonts w:ascii="Times New Roman"/>
                <w:sz w:val="18"/>
              </w:rPr>
            </w:pPr>
          </w:p>
        </w:tc>
        <w:tc>
          <w:tcPr>
            <w:tcW w:w="1929" w:type="dxa"/>
            <w:tcBorders>
              <w:top w:val="single" w:sz="4" w:space="0" w:color="000000"/>
              <w:right w:val="single" w:sz="12" w:space="0" w:color="000000"/>
            </w:tcBorders>
          </w:tcPr>
          <w:p>
            <w:pPr>
              <w:pStyle w:val="TableParagraph"/>
              <w:rPr>
                <w:rFonts w:ascii="Times New Roman"/>
                <w:sz w:val="18"/>
              </w:rPr>
            </w:pPr>
          </w:p>
        </w:tc>
      </w:tr>
      <w:tr>
        <w:trPr>
          <w:trHeight w:val="255" w:hRule="atLeast"/>
        </w:trPr>
        <w:tc>
          <w:tcPr>
            <w:tcW w:w="4188" w:type="dxa"/>
            <w:tcBorders>
              <w:left w:val="single" w:sz="12" w:space="0" w:color="000000"/>
            </w:tcBorders>
          </w:tcPr>
          <w:p>
            <w:pPr>
              <w:pStyle w:val="TableParagraph"/>
              <w:spacing w:line="227" w:lineRule="exact" w:before="8"/>
              <w:ind w:left="107"/>
              <w:rPr>
                <w:sz w:val="20"/>
              </w:rPr>
            </w:pPr>
            <w:r>
              <w:rPr>
                <w:spacing w:val="-2"/>
                <w:sz w:val="20"/>
              </w:rPr>
              <w:t>Roads</w:t>
            </w:r>
          </w:p>
        </w:tc>
        <w:tc>
          <w:tcPr>
            <w:tcW w:w="1504" w:type="dxa"/>
          </w:tcPr>
          <w:p>
            <w:pPr>
              <w:pStyle w:val="TableParagraph"/>
              <w:spacing w:line="227" w:lineRule="exact" w:before="8"/>
              <w:ind w:right="231"/>
              <w:jc w:val="right"/>
              <w:rPr>
                <w:sz w:val="20"/>
              </w:rPr>
            </w:pPr>
            <w:r>
              <w:rPr>
                <w:spacing w:val="-2"/>
                <w:sz w:val="20"/>
              </w:rPr>
              <w:t>5,204</w:t>
            </w:r>
          </w:p>
        </w:tc>
        <w:tc>
          <w:tcPr>
            <w:tcW w:w="1143" w:type="dxa"/>
          </w:tcPr>
          <w:p>
            <w:pPr>
              <w:pStyle w:val="TableParagraph"/>
              <w:spacing w:line="227" w:lineRule="exact" w:before="8"/>
              <w:ind w:right="110"/>
              <w:jc w:val="right"/>
              <w:rPr>
                <w:sz w:val="20"/>
              </w:rPr>
            </w:pPr>
            <w:r>
              <w:rPr>
                <w:w w:val="99"/>
                <w:sz w:val="20"/>
              </w:rPr>
              <w:t>0</w:t>
            </w:r>
          </w:p>
        </w:tc>
        <w:tc>
          <w:tcPr>
            <w:tcW w:w="1112" w:type="dxa"/>
          </w:tcPr>
          <w:p>
            <w:pPr>
              <w:pStyle w:val="TableParagraph"/>
              <w:spacing w:line="227" w:lineRule="exact" w:before="8"/>
              <w:ind w:right="126"/>
              <w:jc w:val="right"/>
              <w:rPr>
                <w:sz w:val="20"/>
              </w:rPr>
            </w:pPr>
            <w:r>
              <w:rPr>
                <w:spacing w:val="-2"/>
                <w:sz w:val="20"/>
              </w:rPr>
              <w:t>4,876</w:t>
            </w:r>
          </w:p>
        </w:tc>
        <w:tc>
          <w:tcPr>
            <w:tcW w:w="1118" w:type="dxa"/>
            <w:tcBorders>
              <w:right w:val="single" w:sz="4" w:space="0" w:color="000000"/>
            </w:tcBorders>
          </w:tcPr>
          <w:p>
            <w:pPr>
              <w:pStyle w:val="TableParagraph"/>
              <w:spacing w:line="227" w:lineRule="exact" w:before="8"/>
              <w:ind w:right="91"/>
              <w:jc w:val="right"/>
              <w:rPr>
                <w:sz w:val="20"/>
              </w:rPr>
            </w:pPr>
            <w:r>
              <w:rPr>
                <w:spacing w:val="-5"/>
                <w:sz w:val="20"/>
              </w:rPr>
              <w:t>328</w:t>
            </w:r>
          </w:p>
        </w:tc>
        <w:tc>
          <w:tcPr>
            <w:tcW w:w="1420" w:type="dxa"/>
            <w:tcBorders>
              <w:left w:val="single" w:sz="4" w:space="0" w:color="000000"/>
            </w:tcBorders>
          </w:tcPr>
          <w:p>
            <w:pPr>
              <w:pStyle w:val="TableParagraph"/>
              <w:spacing w:line="227" w:lineRule="exact" w:before="8"/>
              <w:ind w:right="231"/>
              <w:jc w:val="right"/>
              <w:rPr>
                <w:sz w:val="20"/>
              </w:rPr>
            </w:pPr>
            <w:r>
              <w:rPr>
                <w:spacing w:val="-2"/>
                <w:sz w:val="20"/>
              </w:rPr>
              <w:t>5,204</w:t>
            </w:r>
          </w:p>
        </w:tc>
        <w:tc>
          <w:tcPr>
            <w:tcW w:w="1290" w:type="dxa"/>
          </w:tcPr>
          <w:p>
            <w:pPr>
              <w:pStyle w:val="TableParagraph"/>
              <w:spacing w:line="227" w:lineRule="exact" w:before="8"/>
              <w:ind w:right="108"/>
              <w:jc w:val="right"/>
              <w:rPr>
                <w:sz w:val="20"/>
              </w:rPr>
            </w:pPr>
            <w:r>
              <w:rPr>
                <w:spacing w:val="-2"/>
                <w:sz w:val="20"/>
              </w:rPr>
              <w:t>1,016</w:t>
            </w:r>
          </w:p>
        </w:tc>
        <w:tc>
          <w:tcPr>
            <w:tcW w:w="1696" w:type="dxa"/>
          </w:tcPr>
          <w:p>
            <w:pPr>
              <w:pStyle w:val="TableParagraph"/>
              <w:spacing w:line="227" w:lineRule="exact" w:before="8"/>
              <w:ind w:right="239"/>
              <w:jc w:val="right"/>
              <w:rPr>
                <w:sz w:val="20"/>
              </w:rPr>
            </w:pPr>
            <w:r>
              <w:rPr>
                <w:w w:val="99"/>
                <w:sz w:val="20"/>
              </w:rPr>
              <w:t>0</w:t>
            </w:r>
          </w:p>
        </w:tc>
        <w:tc>
          <w:tcPr>
            <w:tcW w:w="1929" w:type="dxa"/>
            <w:tcBorders>
              <w:right w:val="single" w:sz="12" w:space="0" w:color="000000"/>
            </w:tcBorders>
          </w:tcPr>
          <w:p>
            <w:pPr>
              <w:pStyle w:val="TableParagraph"/>
              <w:spacing w:line="227" w:lineRule="exact" w:before="8"/>
              <w:ind w:right="89"/>
              <w:jc w:val="right"/>
              <w:rPr>
                <w:sz w:val="20"/>
              </w:rPr>
            </w:pPr>
            <w:r>
              <w:rPr>
                <w:spacing w:val="-2"/>
                <w:sz w:val="20"/>
              </w:rPr>
              <w:t>4,188</w:t>
            </w:r>
          </w:p>
        </w:tc>
      </w:tr>
      <w:tr>
        <w:trPr>
          <w:trHeight w:val="255" w:hRule="atLeast"/>
        </w:trPr>
        <w:tc>
          <w:tcPr>
            <w:tcW w:w="4188" w:type="dxa"/>
            <w:tcBorders>
              <w:left w:val="single" w:sz="12" w:space="0" w:color="000000"/>
            </w:tcBorders>
          </w:tcPr>
          <w:p>
            <w:pPr>
              <w:pStyle w:val="TableParagraph"/>
              <w:spacing w:line="226" w:lineRule="exact" w:before="10"/>
              <w:ind w:left="107"/>
              <w:rPr>
                <w:sz w:val="20"/>
              </w:rPr>
            </w:pPr>
            <w:r>
              <w:rPr>
                <w:sz w:val="20"/>
              </w:rPr>
              <w:t>Footpaths</w:t>
            </w:r>
            <w:r>
              <w:rPr>
                <w:spacing w:val="-7"/>
                <w:sz w:val="20"/>
              </w:rPr>
              <w:t> </w:t>
            </w:r>
            <w:r>
              <w:rPr>
                <w:sz w:val="20"/>
              </w:rPr>
              <w:t>and</w:t>
            </w:r>
            <w:r>
              <w:rPr>
                <w:spacing w:val="-9"/>
                <w:sz w:val="20"/>
              </w:rPr>
              <w:t> </w:t>
            </w:r>
            <w:r>
              <w:rPr>
                <w:spacing w:val="-2"/>
                <w:sz w:val="20"/>
              </w:rPr>
              <w:t>cycleways</w:t>
            </w:r>
          </w:p>
        </w:tc>
        <w:tc>
          <w:tcPr>
            <w:tcW w:w="1504" w:type="dxa"/>
          </w:tcPr>
          <w:p>
            <w:pPr>
              <w:pStyle w:val="TableParagraph"/>
              <w:spacing w:line="226" w:lineRule="exact" w:before="10"/>
              <w:ind w:right="231"/>
              <w:jc w:val="right"/>
              <w:rPr>
                <w:sz w:val="20"/>
              </w:rPr>
            </w:pPr>
            <w:r>
              <w:rPr>
                <w:spacing w:val="-2"/>
                <w:sz w:val="20"/>
              </w:rPr>
              <w:t>3,685</w:t>
            </w:r>
          </w:p>
        </w:tc>
        <w:tc>
          <w:tcPr>
            <w:tcW w:w="1143" w:type="dxa"/>
          </w:tcPr>
          <w:p>
            <w:pPr>
              <w:pStyle w:val="TableParagraph"/>
              <w:spacing w:line="226" w:lineRule="exact" w:before="10"/>
              <w:ind w:right="112"/>
              <w:jc w:val="right"/>
              <w:rPr>
                <w:sz w:val="20"/>
              </w:rPr>
            </w:pPr>
            <w:r>
              <w:rPr>
                <w:spacing w:val="-2"/>
                <w:sz w:val="20"/>
              </w:rPr>
              <w:t>1,573</w:t>
            </w:r>
          </w:p>
        </w:tc>
        <w:tc>
          <w:tcPr>
            <w:tcW w:w="1112" w:type="dxa"/>
          </w:tcPr>
          <w:p>
            <w:pPr>
              <w:pStyle w:val="TableParagraph"/>
              <w:spacing w:line="226" w:lineRule="exact" w:before="10"/>
              <w:ind w:right="126"/>
              <w:jc w:val="right"/>
              <w:rPr>
                <w:sz w:val="20"/>
              </w:rPr>
            </w:pPr>
            <w:r>
              <w:rPr>
                <w:spacing w:val="-2"/>
                <w:sz w:val="20"/>
              </w:rPr>
              <w:t>1,838</w:t>
            </w:r>
          </w:p>
        </w:tc>
        <w:tc>
          <w:tcPr>
            <w:tcW w:w="1118" w:type="dxa"/>
            <w:tcBorders>
              <w:right w:val="single" w:sz="4" w:space="0" w:color="000000"/>
            </w:tcBorders>
          </w:tcPr>
          <w:p>
            <w:pPr>
              <w:pStyle w:val="TableParagraph"/>
              <w:spacing w:line="226" w:lineRule="exact" w:before="10"/>
              <w:ind w:right="91"/>
              <w:jc w:val="right"/>
              <w:rPr>
                <w:sz w:val="20"/>
              </w:rPr>
            </w:pPr>
            <w:r>
              <w:rPr>
                <w:spacing w:val="-5"/>
                <w:sz w:val="20"/>
              </w:rPr>
              <w:t>274</w:t>
            </w:r>
          </w:p>
        </w:tc>
        <w:tc>
          <w:tcPr>
            <w:tcW w:w="1420" w:type="dxa"/>
            <w:tcBorders>
              <w:left w:val="single" w:sz="4" w:space="0" w:color="000000"/>
            </w:tcBorders>
          </w:tcPr>
          <w:p>
            <w:pPr>
              <w:pStyle w:val="TableParagraph"/>
              <w:spacing w:line="226" w:lineRule="exact" w:before="10"/>
              <w:ind w:right="231"/>
              <w:jc w:val="right"/>
              <w:rPr>
                <w:sz w:val="20"/>
              </w:rPr>
            </w:pPr>
            <w:r>
              <w:rPr>
                <w:spacing w:val="-2"/>
                <w:sz w:val="20"/>
              </w:rPr>
              <w:t>3,685</w:t>
            </w:r>
          </w:p>
        </w:tc>
        <w:tc>
          <w:tcPr>
            <w:tcW w:w="1290" w:type="dxa"/>
          </w:tcPr>
          <w:p>
            <w:pPr>
              <w:pStyle w:val="TableParagraph"/>
              <w:spacing w:line="226" w:lineRule="exact" w:before="10"/>
              <w:ind w:right="106"/>
              <w:jc w:val="right"/>
              <w:rPr>
                <w:sz w:val="20"/>
              </w:rPr>
            </w:pPr>
            <w:r>
              <w:rPr>
                <w:w w:val="99"/>
                <w:sz w:val="20"/>
              </w:rPr>
              <w:t>0</w:t>
            </w:r>
          </w:p>
        </w:tc>
        <w:tc>
          <w:tcPr>
            <w:tcW w:w="1696" w:type="dxa"/>
          </w:tcPr>
          <w:p>
            <w:pPr>
              <w:pStyle w:val="TableParagraph"/>
              <w:spacing w:line="226" w:lineRule="exact" w:before="10"/>
              <w:ind w:right="239"/>
              <w:jc w:val="right"/>
              <w:rPr>
                <w:sz w:val="20"/>
              </w:rPr>
            </w:pPr>
            <w:r>
              <w:rPr>
                <w:w w:val="99"/>
                <w:sz w:val="20"/>
              </w:rPr>
              <w:t>0</w:t>
            </w:r>
          </w:p>
        </w:tc>
        <w:tc>
          <w:tcPr>
            <w:tcW w:w="1929" w:type="dxa"/>
            <w:tcBorders>
              <w:right w:val="single" w:sz="12" w:space="0" w:color="000000"/>
            </w:tcBorders>
          </w:tcPr>
          <w:p>
            <w:pPr>
              <w:pStyle w:val="TableParagraph"/>
              <w:spacing w:line="226" w:lineRule="exact" w:before="10"/>
              <w:ind w:right="89"/>
              <w:jc w:val="right"/>
              <w:rPr>
                <w:sz w:val="20"/>
              </w:rPr>
            </w:pPr>
            <w:r>
              <w:rPr>
                <w:spacing w:val="-2"/>
                <w:sz w:val="20"/>
              </w:rPr>
              <w:t>3,685</w:t>
            </w:r>
          </w:p>
        </w:tc>
      </w:tr>
      <w:tr>
        <w:trPr>
          <w:trHeight w:val="242" w:hRule="atLeast"/>
        </w:trPr>
        <w:tc>
          <w:tcPr>
            <w:tcW w:w="4188" w:type="dxa"/>
            <w:tcBorders>
              <w:left w:val="single" w:sz="12" w:space="0" w:color="000000"/>
            </w:tcBorders>
          </w:tcPr>
          <w:p>
            <w:pPr>
              <w:pStyle w:val="TableParagraph"/>
              <w:spacing w:line="214" w:lineRule="exact" w:before="8"/>
              <w:ind w:left="107"/>
              <w:rPr>
                <w:sz w:val="20"/>
              </w:rPr>
            </w:pPr>
            <w:r>
              <w:rPr>
                <w:spacing w:val="-2"/>
                <w:sz w:val="20"/>
              </w:rPr>
              <w:t>Drainage</w:t>
            </w:r>
          </w:p>
        </w:tc>
        <w:tc>
          <w:tcPr>
            <w:tcW w:w="1504" w:type="dxa"/>
          </w:tcPr>
          <w:p>
            <w:pPr>
              <w:pStyle w:val="TableParagraph"/>
              <w:spacing w:line="214" w:lineRule="exact" w:before="8"/>
              <w:ind w:right="231"/>
              <w:jc w:val="right"/>
              <w:rPr>
                <w:sz w:val="20"/>
              </w:rPr>
            </w:pPr>
            <w:r>
              <w:rPr>
                <w:spacing w:val="-2"/>
                <w:sz w:val="20"/>
              </w:rPr>
              <w:t>3,200</w:t>
            </w:r>
          </w:p>
        </w:tc>
        <w:tc>
          <w:tcPr>
            <w:tcW w:w="1143" w:type="dxa"/>
          </w:tcPr>
          <w:p>
            <w:pPr>
              <w:pStyle w:val="TableParagraph"/>
              <w:spacing w:line="214" w:lineRule="exact" w:before="8"/>
              <w:ind w:right="110"/>
              <w:jc w:val="right"/>
              <w:rPr>
                <w:sz w:val="20"/>
              </w:rPr>
            </w:pPr>
            <w:r>
              <w:rPr>
                <w:w w:val="99"/>
                <w:sz w:val="20"/>
              </w:rPr>
              <w:t>0</w:t>
            </w:r>
          </w:p>
        </w:tc>
        <w:tc>
          <w:tcPr>
            <w:tcW w:w="1112" w:type="dxa"/>
          </w:tcPr>
          <w:p>
            <w:pPr>
              <w:pStyle w:val="TableParagraph"/>
              <w:spacing w:line="214" w:lineRule="exact" w:before="8"/>
              <w:ind w:right="126"/>
              <w:jc w:val="right"/>
              <w:rPr>
                <w:sz w:val="20"/>
              </w:rPr>
            </w:pPr>
            <w:r>
              <w:rPr>
                <w:spacing w:val="-2"/>
                <w:sz w:val="20"/>
              </w:rPr>
              <w:t>2,596</w:t>
            </w:r>
          </w:p>
        </w:tc>
        <w:tc>
          <w:tcPr>
            <w:tcW w:w="1118" w:type="dxa"/>
            <w:tcBorders>
              <w:right w:val="single" w:sz="4" w:space="0" w:color="000000"/>
            </w:tcBorders>
          </w:tcPr>
          <w:p>
            <w:pPr>
              <w:pStyle w:val="TableParagraph"/>
              <w:spacing w:line="214" w:lineRule="exact" w:before="8"/>
              <w:ind w:right="91"/>
              <w:jc w:val="right"/>
              <w:rPr>
                <w:sz w:val="20"/>
              </w:rPr>
            </w:pPr>
            <w:r>
              <w:rPr>
                <w:spacing w:val="-5"/>
                <w:sz w:val="20"/>
              </w:rPr>
              <w:t>604</w:t>
            </w:r>
          </w:p>
        </w:tc>
        <w:tc>
          <w:tcPr>
            <w:tcW w:w="1420" w:type="dxa"/>
            <w:tcBorders>
              <w:left w:val="single" w:sz="4" w:space="0" w:color="000000"/>
            </w:tcBorders>
          </w:tcPr>
          <w:p>
            <w:pPr>
              <w:pStyle w:val="TableParagraph"/>
              <w:spacing w:line="214" w:lineRule="exact" w:before="8"/>
              <w:ind w:right="231"/>
              <w:jc w:val="right"/>
              <w:rPr>
                <w:sz w:val="20"/>
              </w:rPr>
            </w:pPr>
            <w:r>
              <w:rPr>
                <w:spacing w:val="-2"/>
                <w:sz w:val="20"/>
              </w:rPr>
              <w:t>3,200</w:t>
            </w:r>
          </w:p>
        </w:tc>
        <w:tc>
          <w:tcPr>
            <w:tcW w:w="1290" w:type="dxa"/>
          </w:tcPr>
          <w:p>
            <w:pPr>
              <w:pStyle w:val="TableParagraph"/>
              <w:spacing w:line="214" w:lineRule="exact" w:before="8"/>
              <w:ind w:right="106"/>
              <w:jc w:val="right"/>
              <w:rPr>
                <w:sz w:val="20"/>
              </w:rPr>
            </w:pPr>
            <w:r>
              <w:rPr>
                <w:w w:val="99"/>
                <w:sz w:val="20"/>
              </w:rPr>
              <w:t>0</w:t>
            </w:r>
          </w:p>
        </w:tc>
        <w:tc>
          <w:tcPr>
            <w:tcW w:w="1696" w:type="dxa"/>
          </w:tcPr>
          <w:p>
            <w:pPr>
              <w:pStyle w:val="TableParagraph"/>
              <w:spacing w:line="214" w:lineRule="exact" w:before="8"/>
              <w:ind w:right="239"/>
              <w:jc w:val="right"/>
              <w:rPr>
                <w:sz w:val="20"/>
              </w:rPr>
            </w:pPr>
            <w:r>
              <w:rPr>
                <w:w w:val="99"/>
                <w:sz w:val="20"/>
              </w:rPr>
              <w:t>0</w:t>
            </w:r>
          </w:p>
        </w:tc>
        <w:tc>
          <w:tcPr>
            <w:tcW w:w="1929" w:type="dxa"/>
            <w:tcBorders>
              <w:right w:val="single" w:sz="12" w:space="0" w:color="000000"/>
            </w:tcBorders>
          </w:tcPr>
          <w:p>
            <w:pPr>
              <w:pStyle w:val="TableParagraph"/>
              <w:spacing w:line="214" w:lineRule="exact" w:before="8"/>
              <w:ind w:right="89"/>
              <w:jc w:val="right"/>
              <w:rPr>
                <w:sz w:val="20"/>
              </w:rPr>
            </w:pPr>
            <w:r>
              <w:rPr>
                <w:spacing w:val="-2"/>
                <w:sz w:val="20"/>
              </w:rPr>
              <w:t>3,200</w:t>
            </w:r>
          </w:p>
        </w:tc>
      </w:tr>
      <w:tr>
        <w:trPr>
          <w:trHeight w:val="229" w:hRule="atLeast"/>
        </w:trPr>
        <w:tc>
          <w:tcPr>
            <w:tcW w:w="4188" w:type="dxa"/>
            <w:tcBorders>
              <w:left w:val="single" w:sz="12" w:space="0" w:color="000000"/>
            </w:tcBorders>
          </w:tcPr>
          <w:p>
            <w:pPr>
              <w:pStyle w:val="TableParagraph"/>
              <w:spacing w:line="209" w:lineRule="exact"/>
              <w:ind w:left="107"/>
              <w:rPr>
                <w:sz w:val="20"/>
              </w:rPr>
            </w:pPr>
            <w:r>
              <w:rPr>
                <w:sz w:val="20"/>
              </w:rPr>
              <w:t>Recreational,</w:t>
            </w:r>
            <w:r>
              <w:rPr>
                <w:spacing w:val="-6"/>
                <w:sz w:val="20"/>
              </w:rPr>
              <w:t> </w:t>
            </w:r>
            <w:r>
              <w:rPr>
                <w:sz w:val="20"/>
              </w:rPr>
              <w:t>leisure</w:t>
            </w:r>
            <w:r>
              <w:rPr>
                <w:spacing w:val="-10"/>
                <w:sz w:val="20"/>
              </w:rPr>
              <w:t> </w:t>
            </w:r>
            <w:r>
              <w:rPr>
                <w:sz w:val="20"/>
              </w:rPr>
              <w:t>and</w:t>
            </w:r>
            <w:r>
              <w:rPr>
                <w:spacing w:val="-9"/>
                <w:sz w:val="20"/>
              </w:rPr>
              <w:t> </w:t>
            </w:r>
            <w:r>
              <w:rPr>
                <w:spacing w:val="-2"/>
                <w:sz w:val="20"/>
              </w:rPr>
              <w:t>community</w:t>
            </w:r>
          </w:p>
        </w:tc>
        <w:tc>
          <w:tcPr>
            <w:tcW w:w="1504" w:type="dxa"/>
          </w:tcPr>
          <w:p>
            <w:pPr>
              <w:pStyle w:val="TableParagraph"/>
              <w:rPr>
                <w:rFonts w:ascii="Times New Roman"/>
                <w:sz w:val="16"/>
              </w:rPr>
            </w:pPr>
          </w:p>
        </w:tc>
        <w:tc>
          <w:tcPr>
            <w:tcW w:w="1143" w:type="dxa"/>
          </w:tcPr>
          <w:p>
            <w:pPr>
              <w:pStyle w:val="TableParagraph"/>
              <w:rPr>
                <w:rFonts w:ascii="Times New Roman"/>
                <w:sz w:val="16"/>
              </w:rPr>
            </w:pPr>
          </w:p>
        </w:tc>
        <w:tc>
          <w:tcPr>
            <w:tcW w:w="1112" w:type="dxa"/>
          </w:tcPr>
          <w:p>
            <w:pPr>
              <w:pStyle w:val="TableParagraph"/>
              <w:rPr>
                <w:rFonts w:ascii="Times New Roman"/>
                <w:sz w:val="16"/>
              </w:rPr>
            </w:pPr>
          </w:p>
        </w:tc>
        <w:tc>
          <w:tcPr>
            <w:tcW w:w="1118" w:type="dxa"/>
            <w:tcBorders>
              <w:right w:val="single" w:sz="4" w:space="0" w:color="000000"/>
            </w:tcBorders>
          </w:tcPr>
          <w:p>
            <w:pPr>
              <w:pStyle w:val="TableParagraph"/>
              <w:rPr>
                <w:rFonts w:ascii="Times New Roman"/>
                <w:sz w:val="16"/>
              </w:rPr>
            </w:pPr>
          </w:p>
        </w:tc>
        <w:tc>
          <w:tcPr>
            <w:tcW w:w="1420" w:type="dxa"/>
            <w:tcBorders>
              <w:left w:val="single" w:sz="4" w:space="0" w:color="000000"/>
            </w:tcBorders>
          </w:tcPr>
          <w:p>
            <w:pPr>
              <w:pStyle w:val="TableParagraph"/>
              <w:rPr>
                <w:rFonts w:ascii="Times New Roman"/>
                <w:sz w:val="16"/>
              </w:rPr>
            </w:pPr>
          </w:p>
        </w:tc>
        <w:tc>
          <w:tcPr>
            <w:tcW w:w="1290" w:type="dxa"/>
          </w:tcPr>
          <w:p>
            <w:pPr>
              <w:pStyle w:val="TableParagraph"/>
              <w:rPr>
                <w:rFonts w:ascii="Times New Roman"/>
                <w:sz w:val="16"/>
              </w:rPr>
            </w:pPr>
          </w:p>
        </w:tc>
        <w:tc>
          <w:tcPr>
            <w:tcW w:w="1696" w:type="dxa"/>
          </w:tcPr>
          <w:p>
            <w:pPr>
              <w:pStyle w:val="TableParagraph"/>
              <w:rPr>
                <w:rFonts w:ascii="Times New Roman"/>
                <w:sz w:val="16"/>
              </w:rPr>
            </w:pPr>
          </w:p>
        </w:tc>
        <w:tc>
          <w:tcPr>
            <w:tcW w:w="1929" w:type="dxa"/>
            <w:tcBorders>
              <w:right w:val="single" w:sz="12" w:space="0" w:color="000000"/>
            </w:tcBorders>
          </w:tcPr>
          <w:p>
            <w:pPr>
              <w:pStyle w:val="TableParagraph"/>
              <w:rPr>
                <w:rFonts w:ascii="Times New Roman"/>
                <w:sz w:val="16"/>
              </w:rPr>
            </w:pPr>
          </w:p>
        </w:tc>
      </w:tr>
      <w:tr>
        <w:trPr>
          <w:trHeight w:val="242" w:hRule="atLeast"/>
        </w:trPr>
        <w:tc>
          <w:tcPr>
            <w:tcW w:w="4188" w:type="dxa"/>
            <w:tcBorders>
              <w:left w:val="single" w:sz="12" w:space="0" w:color="000000"/>
            </w:tcBorders>
          </w:tcPr>
          <w:p>
            <w:pPr>
              <w:pStyle w:val="TableParagraph"/>
              <w:spacing w:line="222" w:lineRule="exact"/>
              <w:ind w:left="107"/>
              <w:rPr>
                <w:sz w:val="20"/>
              </w:rPr>
            </w:pPr>
            <w:r>
              <w:rPr>
                <w:spacing w:val="-2"/>
                <w:sz w:val="20"/>
              </w:rPr>
              <w:t>facilities</w:t>
            </w:r>
          </w:p>
        </w:tc>
        <w:tc>
          <w:tcPr>
            <w:tcW w:w="1504" w:type="dxa"/>
          </w:tcPr>
          <w:p>
            <w:pPr>
              <w:pStyle w:val="TableParagraph"/>
              <w:spacing w:line="222" w:lineRule="exact"/>
              <w:ind w:right="231"/>
              <w:jc w:val="right"/>
              <w:rPr>
                <w:sz w:val="20"/>
              </w:rPr>
            </w:pPr>
            <w:r>
              <w:rPr>
                <w:spacing w:val="-2"/>
                <w:sz w:val="20"/>
              </w:rPr>
              <w:t>2,065</w:t>
            </w:r>
          </w:p>
        </w:tc>
        <w:tc>
          <w:tcPr>
            <w:tcW w:w="1143" w:type="dxa"/>
          </w:tcPr>
          <w:p>
            <w:pPr>
              <w:pStyle w:val="TableParagraph"/>
              <w:spacing w:line="222" w:lineRule="exact"/>
              <w:ind w:right="110"/>
              <w:jc w:val="right"/>
              <w:rPr>
                <w:sz w:val="20"/>
              </w:rPr>
            </w:pPr>
            <w:r>
              <w:rPr>
                <w:w w:val="99"/>
                <w:sz w:val="20"/>
              </w:rPr>
              <w:t>0</w:t>
            </w:r>
          </w:p>
        </w:tc>
        <w:tc>
          <w:tcPr>
            <w:tcW w:w="1112" w:type="dxa"/>
          </w:tcPr>
          <w:p>
            <w:pPr>
              <w:pStyle w:val="TableParagraph"/>
              <w:spacing w:line="222" w:lineRule="exact"/>
              <w:ind w:right="126"/>
              <w:jc w:val="right"/>
              <w:rPr>
                <w:sz w:val="20"/>
              </w:rPr>
            </w:pPr>
            <w:r>
              <w:rPr>
                <w:spacing w:val="-2"/>
                <w:sz w:val="20"/>
              </w:rPr>
              <w:t>1,798</w:t>
            </w:r>
          </w:p>
        </w:tc>
        <w:tc>
          <w:tcPr>
            <w:tcW w:w="1118" w:type="dxa"/>
            <w:tcBorders>
              <w:right w:val="single" w:sz="4" w:space="0" w:color="000000"/>
            </w:tcBorders>
          </w:tcPr>
          <w:p>
            <w:pPr>
              <w:pStyle w:val="TableParagraph"/>
              <w:spacing w:line="222" w:lineRule="exact"/>
              <w:ind w:right="91"/>
              <w:jc w:val="right"/>
              <w:rPr>
                <w:sz w:val="20"/>
              </w:rPr>
            </w:pPr>
            <w:r>
              <w:rPr>
                <w:spacing w:val="-5"/>
                <w:sz w:val="20"/>
              </w:rPr>
              <w:t>267</w:t>
            </w:r>
          </w:p>
        </w:tc>
        <w:tc>
          <w:tcPr>
            <w:tcW w:w="1420" w:type="dxa"/>
            <w:tcBorders>
              <w:left w:val="single" w:sz="4" w:space="0" w:color="000000"/>
            </w:tcBorders>
          </w:tcPr>
          <w:p>
            <w:pPr>
              <w:pStyle w:val="TableParagraph"/>
              <w:spacing w:line="222" w:lineRule="exact"/>
              <w:ind w:right="231"/>
              <w:jc w:val="right"/>
              <w:rPr>
                <w:sz w:val="20"/>
              </w:rPr>
            </w:pPr>
            <w:r>
              <w:rPr>
                <w:spacing w:val="-2"/>
                <w:sz w:val="20"/>
              </w:rPr>
              <w:t>2,065</w:t>
            </w:r>
          </w:p>
        </w:tc>
        <w:tc>
          <w:tcPr>
            <w:tcW w:w="1290" w:type="dxa"/>
          </w:tcPr>
          <w:p>
            <w:pPr>
              <w:pStyle w:val="TableParagraph"/>
              <w:spacing w:line="222" w:lineRule="exact"/>
              <w:ind w:right="106"/>
              <w:jc w:val="right"/>
              <w:rPr>
                <w:sz w:val="20"/>
              </w:rPr>
            </w:pPr>
            <w:r>
              <w:rPr>
                <w:w w:val="99"/>
                <w:sz w:val="20"/>
              </w:rPr>
              <w:t>0</w:t>
            </w:r>
          </w:p>
        </w:tc>
        <w:tc>
          <w:tcPr>
            <w:tcW w:w="1696" w:type="dxa"/>
          </w:tcPr>
          <w:p>
            <w:pPr>
              <w:pStyle w:val="TableParagraph"/>
              <w:spacing w:line="222" w:lineRule="exact"/>
              <w:ind w:right="243"/>
              <w:jc w:val="right"/>
              <w:rPr>
                <w:sz w:val="20"/>
              </w:rPr>
            </w:pPr>
            <w:r>
              <w:rPr>
                <w:spacing w:val="-5"/>
                <w:sz w:val="20"/>
              </w:rPr>
              <w:t>35</w:t>
            </w:r>
          </w:p>
        </w:tc>
        <w:tc>
          <w:tcPr>
            <w:tcW w:w="1929" w:type="dxa"/>
            <w:tcBorders>
              <w:right w:val="single" w:sz="12" w:space="0" w:color="000000"/>
            </w:tcBorders>
          </w:tcPr>
          <w:p>
            <w:pPr>
              <w:pStyle w:val="TableParagraph"/>
              <w:spacing w:line="222" w:lineRule="exact"/>
              <w:ind w:right="89"/>
              <w:jc w:val="right"/>
              <w:rPr>
                <w:sz w:val="20"/>
              </w:rPr>
            </w:pPr>
            <w:r>
              <w:rPr>
                <w:spacing w:val="-2"/>
                <w:sz w:val="20"/>
              </w:rPr>
              <w:t>2,030</w:t>
            </w:r>
          </w:p>
        </w:tc>
      </w:tr>
      <w:tr>
        <w:trPr>
          <w:trHeight w:val="255" w:hRule="atLeast"/>
        </w:trPr>
        <w:tc>
          <w:tcPr>
            <w:tcW w:w="4188" w:type="dxa"/>
            <w:tcBorders>
              <w:left w:val="single" w:sz="12" w:space="0" w:color="000000"/>
            </w:tcBorders>
          </w:tcPr>
          <w:p>
            <w:pPr>
              <w:pStyle w:val="TableParagraph"/>
              <w:spacing w:line="226" w:lineRule="exact" w:before="10"/>
              <w:ind w:left="107"/>
              <w:rPr>
                <w:sz w:val="20"/>
              </w:rPr>
            </w:pPr>
            <w:r>
              <w:rPr>
                <w:sz w:val="20"/>
              </w:rPr>
              <w:t>Waste</w:t>
            </w:r>
            <w:r>
              <w:rPr>
                <w:spacing w:val="-6"/>
                <w:sz w:val="20"/>
              </w:rPr>
              <w:t> </w:t>
            </w:r>
            <w:r>
              <w:rPr>
                <w:spacing w:val="-2"/>
                <w:sz w:val="20"/>
              </w:rPr>
              <w:t>management</w:t>
            </w:r>
          </w:p>
        </w:tc>
        <w:tc>
          <w:tcPr>
            <w:tcW w:w="1504" w:type="dxa"/>
          </w:tcPr>
          <w:p>
            <w:pPr>
              <w:pStyle w:val="TableParagraph"/>
              <w:spacing w:line="226" w:lineRule="exact" w:before="10"/>
              <w:ind w:right="232"/>
              <w:jc w:val="right"/>
              <w:rPr>
                <w:sz w:val="20"/>
              </w:rPr>
            </w:pPr>
            <w:r>
              <w:rPr>
                <w:spacing w:val="-5"/>
                <w:sz w:val="20"/>
              </w:rPr>
              <w:t>550</w:t>
            </w:r>
          </w:p>
        </w:tc>
        <w:tc>
          <w:tcPr>
            <w:tcW w:w="1143" w:type="dxa"/>
          </w:tcPr>
          <w:p>
            <w:pPr>
              <w:pStyle w:val="TableParagraph"/>
              <w:spacing w:line="226" w:lineRule="exact" w:before="10"/>
              <w:ind w:right="113"/>
              <w:jc w:val="right"/>
              <w:rPr>
                <w:sz w:val="20"/>
              </w:rPr>
            </w:pPr>
            <w:r>
              <w:rPr>
                <w:spacing w:val="-5"/>
                <w:sz w:val="20"/>
              </w:rPr>
              <w:t>500</w:t>
            </w:r>
          </w:p>
        </w:tc>
        <w:tc>
          <w:tcPr>
            <w:tcW w:w="1112" w:type="dxa"/>
          </w:tcPr>
          <w:p>
            <w:pPr>
              <w:pStyle w:val="TableParagraph"/>
              <w:spacing w:line="226" w:lineRule="exact" w:before="10"/>
              <w:ind w:right="123"/>
              <w:jc w:val="right"/>
              <w:rPr>
                <w:sz w:val="20"/>
              </w:rPr>
            </w:pPr>
            <w:r>
              <w:rPr>
                <w:w w:val="99"/>
                <w:sz w:val="20"/>
              </w:rPr>
              <w:t>0</w:t>
            </w:r>
          </w:p>
        </w:tc>
        <w:tc>
          <w:tcPr>
            <w:tcW w:w="1118" w:type="dxa"/>
            <w:tcBorders>
              <w:right w:val="single" w:sz="4" w:space="0" w:color="000000"/>
            </w:tcBorders>
          </w:tcPr>
          <w:p>
            <w:pPr>
              <w:pStyle w:val="TableParagraph"/>
              <w:spacing w:line="226" w:lineRule="exact" w:before="10"/>
              <w:ind w:right="92"/>
              <w:jc w:val="right"/>
              <w:rPr>
                <w:sz w:val="20"/>
              </w:rPr>
            </w:pPr>
            <w:r>
              <w:rPr>
                <w:spacing w:val="-5"/>
                <w:sz w:val="20"/>
              </w:rPr>
              <w:t>50</w:t>
            </w:r>
          </w:p>
        </w:tc>
        <w:tc>
          <w:tcPr>
            <w:tcW w:w="1420" w:type="dxa"/>
            <w:tcBorders>
              <w:left w:val="single" w:sz="4" w:space="0" w:color="000000"/>
            </w:tcBorders>
          </w:tcPr>
          <w:p>
            <w:pPr>
              <w:pStyle w:val="TableParagraph"/>
              <w:spacing w:line="226" w:lineRule="exact" w:before="10"/>
              <w:ind w:right="232"/>
              <w:jc w:val="right"/>
              <w:rPr>
                <w:sz w:val="20"/>
              </w:rPr>
            </w:pPr>
            <w:r>
              <w:rPr>
                <w:spacing w:val="-5"/>
                <w:sz w:val="20"/>
              </w:rPr>
              <w:t>550</w:t>
            </w:r>
          </w:p>
        </w:tc>
        <w:tc>
          <w:tcPr>
            <w:tcW w:w="1290" w:type="dxa"/>
          </w:tcPr>
          <w:p>
            <w:pPr>
              <w:pStyle w:val="TableParagraph"/>
              <w:spacing w:line="226" w:lineRule="exact" w:before="10"/>
              <w:ind w:right="109"/>
              <w:jc w:val="right"/>
              <w:rPr>
                <w:sz w:val="20"/>
              </w:rPr>
            </w:pPr>
            <w:r>
              <w:rPr>
                <w:spacing w:val="-5"/>
                <w:sz w:val="20"/>
              </w:rPr>
              <w:t>463</w:t>
            </w:r>
          </w:p>
        </w:tc>
        <w:tc>
          <w:tcPr>
            <w:tcW w:w="1696" w:type="dxa"/>
          </w:tcPr>
          <w:p>
            <w:pPr>
              <w:pStyle w:val="TableParagraph"/>
              <w:spacing w:line="226" w:lineRule="exact" w:before="10"/>
              <w:ind w:right="239"/>
              <w:jc w:val="right"/>
              <w:rPr>
                <w:sz w:val="20"/>
              </w:rPr>
            </w:pPr>
            <w:r>
              <w:rPr>
                <w:w w:val="99"/>
                <w:sz w:val="20"/>
              </w:rPr>
              <w:t>0</w:t>
            </w:r>
          </w:p>
        </w:tc>
        <w:tc>
          <w:tcPr>
            <w:tcW w:w="1929" w:type="dxa"/>
            <w:tcBorders>
              <w:right w:val="single" w:sz="12" w:space="0" w:color="000000"/>
            </w:tcBorders>
          </w:tcPr>
          <w:p>
            <w:pPr>
              <w:pStyle w:val="TableParagraph"/>
              <w:spacing w:line="226" w:lineRule="exact" w:before="10"/>
              <w:ind w:right="90"/>
              <w:jc w:val="right"/>
              <w:rPr>
                <w:sz w:val="20"/>
              </w:rPr>
            </w:pPr>
            <w:r>
              <w:rPr>
                <w:spacing w:val="-5"/>
                <w:sz w:val="20"/>
              </w:rPr>
              <w:t>87</w:t>
            </w:r>
          </w:p>
        </w:tc>
      </w:tr>
      <w:tr>
        <w:trPr>
          <w:trHeight w:val="254" w:hRule="atLeast"/>
        </w:trPr>
        <w:tc>
          <w:tcPr>
            <w:tcW w:w="4188" w:type="dxa"/>
            <w:tcBorders>
              <w:left w:val="single" w:sz="12" w:space="0" w:color="000000"/>
            </w:tcBorders>
          </w:tcPr>
          <w:p>
            <w:pPr>
              <w:pStyle w:val="TableParagraph"/>
              <w:spacing w:line="226" w:lineRule="exact" w:before="8"/>
              <w:ind w:left="107"/>
              <w:rPr>
                <w:sz w:val="20"/>
              </w:rPr>
            </w:pPr>
            <w:r>
              <w:rPr>
                <w:sz w:val="20"/>
              </w:rPr>
              <w:t>Parks,</w:t>
            </w:r>
            <w:r>
              <w:rPr>
                <w:spacing w:val="-6"/>
                <w:sz w:val="20"/>
              </w:rPr>
              <w:t> </w:t>
            </w:r>
            <w:r>
              <w:rPr>
                <w:sz w:val="20"/>
              </w:rPr>
              <w:t>open</w:t>
            </w:r>
            <w:r>
              <w:rPr>
                <w:spacing w:val="-7"/>
                <w:sz w:val="20"/>
              </w:rPr>
              <w:t> </w:t>
            </w:r>
            <w:r>
              <w:rPr>
                <w:sz w:val="20"/>
              </w:rPr>
              <w:t>space,</w:t>
            </w:r>
            <w:r>
              <w:rPr>
                <w:spacing w:val="-2"/>
                <w:sz w:val="20"/>
              </w:rPr>
              <w:t> </w:t>
            </w:r>
            <w:r>
              <w:rPr>
                <w:sz w:val="20"/>
              </w:rPr>
              <w:t>and</w:t>
            </w:r>
            <w:r>
              <w:rPr>
                <w:spacing w:val="-7"/>
                <w:sz w:val="20"/>
              </w:rPr>
              <w:t> </w:t>
            </w:r>
            <w:r>
              <w:rPr>
                <w:spacing w:val="-2"/>
                <w:sz w:val="20"/>
              </w:rPr>
              <w:t>streetscapes</w:t>
            </w:r>
          </w:p>
        </w:tc>
        <w:tc>
          <w:tcPr>
            <w:tcW w:w="1504" w:type="dxa"/>
          </w:tcPr>
          <w:p>
            <w:pPr>
              <w:pStyle w:val="TableParagraph"/>
              <w:spacing w:line="226" w:lineRule="exact" w:before="8"/>
              <w:ind w:right="231"/>
              <w:jc w:val="right"/>
              <w:rPr>
                <w:sz w:val="20"/>
              </w:rPr>
            </w:pPr>
            <w:r>
              <w:rPr>
                <w:spacing w:val="-2"/>
                <w:sz w:val="20"/>
              </w:rPr>
              <w:t>2,991</w:t>
            </w:r>
          </w:p>
        </w:tc>
        <w:tc>
          <w:tcPr>
            <w:tcW w:w="1143" w:type="dxa"/>
          </w:tcPr>
          <w:p>
            <w:pPr>
              <w:pStyle w:val="TableParagraph"/>
              <w:spacing w:line="226" w:lineRule="exact" w:before="8"/>
              <w:ind w:right="112"/>
              <w:jc w:val="right"/>
              <w:rPr>
                <w:sz w:val="20"/>
              </w:rPr>
            </w:pPr>
            <w:r>
              <w:rPr>
                <w:spacing w:val="-2"/>
                <w:sz w:val="20"/>
              </w:rPr>
              <w:t>1,070</w:t>
            </w:r>
          </w:p>
        </w:tc>
        <w:tc>
          <w:tcPr>
            <w:tcW w:w="1112" w:type="dxa"/>
          </w:tcPr>
          <w:p>
            <w:pPr>
              <w:pStyle w:val="TableParagraph"/>
              <w:spacing w:line="226" w:lineRule="exact" w:before="8"/>
              <w:ind w:right="126"/>
              <w:jc w:val="right"/>
              <w:rPr>
                <w:sz w:val="20"/>
              </w:rPr>
            </w:pPr>
            <w:r>
              <w:rPr>
                <w:spacing w:val="-2"/>
                <w:sz w:val="20"/>
              </w:rPr>
              <w:t>1,331</w:t>
            </w:r>
          </w:p>
        </w:tc>
        <w:tc>
          <w:tcPr>
            <w:tcW w:w="1118" w:type="dxa"/>
            <w:tcBorders>
              <w:right w:val="single" w:sz="4" w:space="0" w:color="000000"/>
            </w:tcBorders>
          </w:tcPr>
          <w:p>
            <w:pPr>
              <w:pStyle w:val="TableParagraph"/>
              <w:spacing w:line="226" w:lineRule="exact" w:before="8"/>
              <w:ind w:right="91"/>
              <w:jc w:val="right"/>
              <w:rPr>
                <w:sz w:val="20"/>
              </w:rPr>
            </w:pPr>
            <w:r>
              <w:rPr>
                <w:spacing w:val="-5"/>
                <w:sz w:val="20"/>
              </w:rPr>
              <w:t>590</w:t>
            </w:r>
          </w:p>
        </w:tc>
        <w:tc>
          <w:tcPr>
            <w:tcW w:w="1420" w:type="dxa"/>
            <w:tcBorders>
              <w:left w:val="single" w:sz="4" w:space="0" w:color="000000"/>
            </w:tcBorders>
          </w:tcPr>
          <w:p>
            <w:pPr>
              <w:pStyle w:val="TableParagraph"/>
              <w:spacing w:line="226" w:lineRule="exact" w:before="8"/>
              <w:ind w:right="231"/>
              <w:jc w:val="right"/>
              <w:rPr>
                <w:sz w:val="20"/>
              </w:rPr>
            </w:pPr>
            <w:r>
              <w:rPr>
                <w:spacing w:val="-2"/>
                <w:sz w:val="20"/>
              </w:rPr>
              <w:t>2,991</w:t>
            </w:r>
          </w:p>
        </w:tc>
        <w:tc>
          <w:tcPr>
            <w:tcW w:w="1290" w:type="dxa"/>
          </w:tcPr>
          <w:p>
            <w:pPr>
              <w:pStyle w:val="TableParagraph"/>
              <w:spacing w:line="226" w:lineRule="exact" w:before="8"/>
              <w:ind w:right="106"/>
              <w:jc w:val="right"/>
              <w:rPr>
                <w:sz w:val="20"/>
              </w:rPr>
            </w:pPr>
            <w:r>
              <w:rPr>
                <w:w w:val="99"/>
                <w:sz w:val="20"/>
              </w:rPr>
              <w:t>0</w:t>
            </w:r>
          </w:p>
        </w:tc>
        <w:tc>
          <w:tcPr>
            <w:tcW w:w="1696" w:type="dxa"/>
          </w:tcPr>
          <w:p>
            <w:pPr>
              <w:pStyle w:val="TableParagraph"/>
              <w:spacing w:line="226" w:lineRule="exact" w:before="8"/>
              <w:ind w:right="239"/>
              <w:jc w:val="right"/>
              <w:rPr>
                <w:sz w:val="20"/>
              </w:rPr>
            </w:pPr>
            <w:r>
              <w:rPr>
                <w:w w:val="99"/>
                <w:sz w:val="20"/>
              </w:rPr>
              <w:t>0</w:t>
            </w:r>
          </w:p>
        </w:tc>
        <w:tc>
          <w:tcPr>
            <w:tcW w:w="1929" w:type="dxa"/>
            <w:tcBorders>
              <w:right w:val="single" w:sz="12" w:space="0" w:color="000000"/>
            </w:tcBorders>
          </w:tcPr>
          <w:p>
            <w:pPr>
              <w:pStyle w:val="TableParagraph"/>
              <w:spacing w:line="226" w:lineRule="exact" w:before="8"/>
              <w:ind w:right="89"/>
              <w:jc w:val="right"/>
              <w:rPr>
                <w:sz w:val="20"/>
              </w:rPr>
            </w:pPr>
            <w:r>
              <w:rPr>
                <w:spacing w:val="-2"/>
                <w:sz w:val="20"/>
              </w:rPr>
              <w:t>2,991</w:t>
            </w:r>
          </w:p>
        </w:tc>
      </w:tr>
      <w:tr>
        <w:trPr>
          <w:trHeight w:val="254" w:hRule="atLeast"/>
        </w:trPr>
        <w:tc>
          <w:tcPr>
            <w:tcW w:w="4188" w:type="dxa"/>
            <w:tcBorders>
              <w:left w:val="single" w:sz="12" w:space="0" w:color="000000"/>
            </w:tcBorders>
          </w:tcPr>
          <w:p>
            <w:pPr>
              <w:pStyle w:val="TableParagraph"/>
              <w:spacing w:line="226" w:lineRule="exact" w:before="8"/>
              <w:ind w:left="107"/>
              <w:rPr>
                <w:sz w:val="20"/>
              </w:rPr>
            </w:pPr>
            <w:r>
              <w:rPr>
                <w:sz w:val="20"/>
              </w:rPr>
              <w:t>Off</w:t>
            </w:r>
            <w:r>
              <w:rPr>
                <w:spacing w:val="-5"/>
                <w:sz w:val="20"/>
              </w:rPr>
              <w:t> </w:t>
            </w:r>
            <w:r>
              <w:rPr>
                <w:sz w:val="20"/>
              </w:rPr>
              <w:t>street</w:t>
            </w:r>
            <w:r>
              <w:rPr>
                <w:spacing w:val="-5"/>
                <w:sz w:val="20"/>
              </w:rPr>
              <w:t> </w:t>
            </w:r>
            <w:r>
              <w:rPr>
                <w:sz w:val="20"/>
              </w:rPr>
              <w:t>car</w:t>
            </w:r>
            <w:r>
              <w:rPr>
                <w:spacing w:val="-3"/>
                <w:sz w:val="20"/>
              </w:rPr>
              <w:t> </w:t>
            </w:r>
            <w:r>
              <w:rPr>
                <w:spacing w:val="-2"/>
                <w:sz w:val="20"/>
              </w:rPr>
              <w:t>parks</w:t>
            </w:r>
          </w:p>
        </w:tc>
        <w:tc>
          <w:tcPr>
            <w:tcW w:w="1504" w:type="dxa"/>
          </w:tcPr>
          <w:p>
            <w:pPr>
              <w:pStyle w:val="TableParagraph"/>
              <w:spacing w:line="226" w:lineRule="exact" w:before="8"/>
              <w:ind w:right="232"/>
              <w:jc w:val="right"/>
              <w:rPr>
                <w:sz w:val="20"/>
              </w:rPr>
            </w:pPr>
            <w:r>
              <w:rPr>
                <w:spacing w:val="-5"/>
                <w:sz w:val="20"/>
              </w:rPr>
              <w:t>530</w:t>
            </w:r>
          </w:p>
        </w:tc>
        <w:tc>
          <w:tcPr>
            <w:tcW w:w="1143" w:type="dxa"/>
          </w:tcPr>
          <w:p>
            <w:pPr>
              <w:pStyle w:val="TableParagraph"/>
              <w:spacing w:line="226" w:lineRule="exact" w:before="8"/>
              <w:ind w:right="110"/>
              <w:jc w:val="right"/>
              <w:rPr>
                <w:sz w:val="20"/>
              </w:rPr>
            </w:pPr>
            <w:r>
              <w:rPr>
                <w:w w:val="99"/>
                <w:sz w:val="20"/>
              </w:rPr>
              <w:t>0</w:t>
            </w:r>
          </w:p>
        </w:tc>
        <w:tc>
          <w:tcPr>
            <w:tcW w:w="1112" w:type="dxa"/>
          </w:tcPr>
          <w:p>
            <w:pPr>
              <w:pStyle w:val="TableParagraph"/>
              <w:spacing w:line="226" w:lineRule="exact" w:before="8"/>
              <w:ind w:right="125"/>
              <w:jc w:val="right"/>
              <w:rPr>
                <w:sz w:val="20"/>
              </w:rPr>
            </w:pPr>
            <w:r>
              <w:rPr>
                <w:spacing w:val="-5"/>
                <w:sz w:val="20"/>
              </w:rPr>
              <w:t>265</w:t>
            </w:r>
          </w:p>
        </w:tc>
        <w:tc>
          <w:tcPr>
            <w:tcW w:w="1118" w:type="dxa"/>
            <w:tcBorders>
              <w:right w:val="single" w:sz="4" w:space="0" w:color="000000"/>
            </w:tcBorders>
          </w:tcPr>
          <w:p>
            <w:pPr>
              <w:pStyle w:val="TableParagraph"/>
              <w:spacing w:line="226" w:lineRule="exact" w:before="8"/>
              <w:ind w:right="91"/>
              <w:jc w:val="right"/>
              <w:rPr>
                <w:sz w:val="20"/>
              </w:rPr>
            </w:pPr>
            <w:r>
              <w:rPr>
                <w:spacing w:val="-5"/>
                <w:sz w:val="20"/>
              </w:rPr>
              <w:t>265</w:t>
            </w:r>
          </w:p>
        </w:tc>
        <w:tc>
          <w:tcPr>
            <w:tcW w:w="1420" w:type="dxa"/>
            <w:tcBorders>
              <w:left w:val="single" w:sz="4" w:space="0" w:color="000000"/>
            </w:tcBorders>
          </w:tcPr>
          <w:p>
            <w:pPr>
              <w:pStyle w:val="TableParagraph"/>
              <w:spacing w:line="226" w:lineRule="exact" w:before="8"/>
              <w:ind w:right="232"/>
              <w:jc w:val="right"/>
              <w:rPr>
                <w:sz w:val="20"/>
              </w:rPr>
            </w:pPr>
            <w:r>
              <w:rPr>
                <w:spacing w:val="-5"/>
                <w:sz w:val="20"/>
              </w:rPr>
              <w:t>530</w:t>
            </w:r>
          </w:p>
        </w:tc>
        <w:tc>
          <w:tcPr>
            <w:tcW w:w="1290" w:type="dxa"/>
          </w:tcPr>
          <w:p>
            <w:pPr>
              <w:pStyle w:val="TableParagraph"/>
              <w:spacing w:line="226" w:lineRule="exact" w:before="8"/>
              <w:ind w:right="106"/>
              <w:jc w:val="right"/>
              <w:rPr>
                <w:sz w:val="20"/>
              </w:rPr>
            </w:pPr>
            <w:r>
              <w:rPr>
                <w:w w:val="99"/>
                <w:sz w:val="20"/>
              </w:rPr>
              <w:t>0</w:t>
            </w:r>
          </w:p>
        </w:tc>
        <w:tc>
          <w:tcPr>
            <w:tcW w:w="1696" w:type="dxa"/>
          </w:tcPr>
          <w:p>
            <w:pPr>
              <w:pStyle w:val="TableParagraph"/>
              <w:spacing w:line="226" w:lineRule="exact" w:before="8"/>
              <w:ind w:right="239"/>
              <w:jc w:val="right"/>
              <w:rPr>
                <w:sz w:val="20"/>
              </w:rPr>
            </w:pPr>
            <w:r>
              <w:rPr>
                <w:w w:val="99"/>
                <w:sz w:val="20"/>
              </w:rPr>
              <w:t>0</w:t>
            </w:r>
          </w:p>
        </w:tc>
        <w:tc>
          <w:tcPr>
            <w:tcW w:w="1929" w:type="dxa"/>
            <w:tcBorders>
              <w:right w:val="single" w:sz="12" w:space="0" w:color="000000"/>
            </w:tcBorders>
          </w:tcPr>
          <w:p>
            <w:pPr>
              <w:pStyle w:val="TableParagraph"/>
              <w:spacing w:line="226" w:lineRule="exact" w:before="8"/>
              <w:ind w:right="90"/>
              <w:jc w:val="right"/>
              <w:rPr>
                <w:sz w:val="20"/>
              </w:rPr>
            </w:pPr>
            <w:r>
              <w:rPr>
                <w:spacing w:val="-5"/>
                <w:sz w:val="20"/>
              </w:rPr>
              <w:t>530</w:t>
            </w:r>
          </w:p>
        </w:tc>
      </w:tr>
      <w:tr>
        <w:trPr>
          <w:trHeight w:val="239" w:hRule="atLeast"/>
        </w:trPr>
        <w:tc>
          <w:tcPr>
            <w:tcW w:w="4188" w:type="dxa"/>
            <w:tcBorders>
              <w:left w:val="single" w:sz="12" w:space="0" w:color="000000"/>
            </w:tcBorders>
          </w:tcPr>
          <w:p>
            <w:pPr>
              <w:pStyle w:val="TableParagraph"/>
              <w:spacing w:line="211" w:lineRule="exact" w:before="8"/>
              <w:ind w:left="107"/>
              <w:rPr>
                <w:sz w:val="20"/>
              </w:rPr>
            </w:pPr>
            <w:r>
              <w:rPr>
                <w:sz w:val="20"/>
              </w:rPr>
              <w:t>Other</w:t>
            </w:r>
            <w:r>
              <w:rPr>
                <w:spacing w:val="-6"/>
                <w:sz w:val="20"/>
              </w:rPr>
              <w:t> </w:t>
            </w:r>
            <w:r>
              <w:rPr>
                <w:spacing w:val="-2"/>
                <w:sz w:val="20"/>
              </w:rPr>
              <w:t>infrastructure</w:t>
            </w:r>
          </w:p>
        </w:tc>
        <w:tc>
          <w:tcPr>
            <w:tcW w:w="1504" w:type="dxa"/>
            <w:tcBorders>
              <w:bottom w:val="single" w:sz="4" w:space="0" w:color="000000"/>
            </w:tcBorders>
          </w:tcPr>
          <w:p>
            <w:pPr>
              <w:pStyle w:val="TableParagraph"/>
              <w:spacing w:line="211" w:lineRule="exact" w:before="8"/>
              <w:ind w:right="231"/>
              <w:jc w:val="right"/>
              <w:rPr>
                <w:sz w:val="20"/>
              </w:rPr>
            </w:pPr>
            <w:r>
              <w:rPr>
                <w:spacing w:val="-2"/>
                <w:sz w:val="20"/>
              </w:rPr>
              <w:t>1,245</w:t>
            </w:r>
          </w:p>
        </w:tc>
        <w:tc>
          <w:tcPr>
            <w:tcW w:w="1143" w:type="dxa"/>
            <w:tcBorders>
              <w:bottom w:val="single" w:sz="4" w:space="0" w:color="000000"/>
            </w:tcBorders>
          </w:tcPr>
          <w:p>
            <w:pPr>
              <w:pStyle w:val="TableParagraph"/>
              <w:spacing w:line="211" w:lineRule="exact" w:before="8"/>
              <w:ind w:right="113"/>
              <w:jc w:val="right"/>
              <w:rPr>
                <w:sz w:val="20"/>
              </w:rPr>
            </w:pPr>
            <w:r>
              <w:rPr>
                <w:spacing w:val="-5"/>
                <w:sz w:val="20"/>
              </w:rPr>
              <w:t>170</w:t>
            </w:r>
          </w:p>
        </w:tc>
        <w:tc>
          <w:tcPr>
            <w:tcW w:w="1112" w:type="dxa"/>
            <w:tcBorders>
              <w:bottom w:val="single" w:sz="4" w:space="0" w:color="000000"/>
            </w:tcBorders>
          </w:tcPr>
          <w:p>
            <w:pPr>
              <w:pStyle w:val="TableParagraph"/>
              <w:spacing w:line="211" w:lineRule="exact" w:before="8"/>
              <w:ind w:right="125"/>
              <w:jc w:val="right"/>
              <w:rPr>
                <w:sz w:val="20"/>
              </w:rPr>
            </w:pPr>
            <w:r>
              <w:rPr>
                <w:spacing w:val="-5"/>
                <w:sz w:val="20"/>
              </w:rPr>
              <w:t>275</w:t>
            </w:r>
          </w:p>
        </w:tc>
        <w:tc>
          <w:tcPr>
            <w:tcW w:w="1118" w:type="dxa"/>
            <w:tcBorders>
              <w:bottom w:val="single" w:sz="4" w:space="0" w:color="000000"/>
              <w:right w:val="single" w:sz="4" w:space="0" w:color="000000"/>
            </w:tcBorders>
          </w:tcPr>
          <w:p>
            <w:pPr>
              <w:pStyle w:val="TableParagraph"/>
              <w:spacing w:line="211" w:lineRule="exact" w:before="8"/>
              <w:ind w:right="91"/>
              <w:jc w:val="right"/>
              <w:rPr>
                <w:sz w:val="20"/>
              </w:rPr>
            </w:pPr>
            <w:r>
              <w:rPr>
                <w:spacing w:val="-5"/>
                <w:sz w:val="20"/>
              </w:rPr>
              <w:t>800</w:t>
            </w:r>
          </w:p>
        </w:tc>
        <w:tc>
          <w:tcPr>
            <w:tcW w:w="1420" w:type="dxa"/>
            <w:tcBorders>
              <w:left w:val="single" w:sz="4" w:space="0" w:color="000000"/>
              <w:bottom w:val="single" w:sz="4" w:space="0" w:color="000000"/>
            </w:tcBorders>
          </w:tcPr>
          <w:p>
            <w:pPr>
              <w:pStyle w:val="TableParagraph"/>
              <w:spacing w:line="211" w:lineRule="exact" w:before="8"/>
              <w:ind w:right="231"/>
              <w:jc w:val="right"/>
              <w:rPr>
                <w:sz w:val="20"/>
              </w:rPr>
            </w:pPr>
            <w:r>
              <w:rPr>
                <w:spacing w:val="-2"/>
                <w:sz w:val="20"/>
              </w:rPr>
              <w:t>1,245</w:t>
            </w:r>
          </w:p>
        </w:tc>
        <w:tc>
          <w:tcPr>
            <w:tcW w:w="1290" w:type="dxa"/>
            <w:tcBorders>
              <w:bottom w:val="single" w:sz="4" w:space="0" w:color="000000"/>
            </w:tcBorders>
          </w:tcPr>
          <w:p>
            <w:pPr>
              <w:pStyle w:val="TableParagraph"/>
              <w:spacing w:line="211" w:lineRule="exact" w:before="8"/>
              <w:ind w:right="106"/>
              <w:jc w:val="right"/>
              <w:rPr>
                <w:sz w:val="20"/>
              </w:rPr>
            </w:pPr>
            <w:r>
              <w:rPr>
                <w:w w:val="99"/>
                <w:sz w:val="20"/>
              </w:rPr>
              <w:t>0</w:t>
            </w:r>
          </w:p>
        </w:tc>
        <w:tc>
          <w:tcPr>
            <w:tcW w:w="1696" w:type="dxa"/>
            <w:tcBorders>
              <w:bottom w:val="single" w:sz="4" w:space="0" w:color="000000"/>
            </w:tcBorders>
          </w:tcPr>
          <w:p>
            <w:pPr>
              <w:pStyle w:val="TableParagraph"/>
              <w:spacing w:line="211" w:lineRule="exact" w:before="8"/>
              <w:ind w:right="239"/>
              <w:jc w:val="right"/>
              <w:rPr>
                <w:sz w:val="20"/>
              </w:rPr>
            </w:pPr>
            <w:r>
              <w:rPr>
                <w:w w:val="99"/>
                <w:sz w:val="20"/>
              </w:rPr>
              <w:t>0</w:t>
            </w:r>
          </w:p>
        </w:tc>
        <w:tc>
          <w:tcPr>
            <w:tcW w:w="1929" w:type="dxa"/>
            <w:tcBorders>
              <w:bottom w:val="single" w:sz="4" w:space="0" w:color="000000"/>
              <w:right w:val="single" w:sz="12" w:space="0" w:color="000000"/>
            </w:tcBorders>
          </w:tcPr>
          <w:p>
            <w:pPr>
              <w:pStyle w:val="TableParagraph"/>
              <w:spacing w:line="211" w:lineRule="exact" w:before="8"/>
              <w:ind w:right="89"/>
              <w:jc w:val="right"/>
              <w:rPr>
                <w:sz w:val="20"/>
              </w:rPr>
            </w:pPr>
            <w:r>
              <w:rPr>
                <w:spacing w:val="-2"/>
                <w:sz w:val="20"/>
              </w:rPr>
              <w:t>1,245</w:t>
            </w:r>
          </w:p>
        </w:tc>
      </w:tr>
      <w:tr>
        <w:trPr>
          <w:trHeight w:val="256" w:hRule="atLeast"/>
        </w:trPr>
        <w:tc>
          <w:tcPr>
            <w:tcW w:w="4188" w:type="dxa"/>
            <w:tcBorders>
              <w:left w:val="single" w:sz="12" w:space="0" w:color="000000"/>
            </w:tcBorders>
          </w:tcPr>
          <w:p>
            <w:pPr>
              <w:pStyle w:val="TableParagraph"/>
              <w:spacing w:line="211" w:lineRule="exact" w:before="26"/>
              <w:ind w:left="107"/>
              <w:rPr>
                <w:b/>
                <w:sz w:val="20"/>
              </w:rPr>
            </w:pPr>
            <w:r>
              <w:rPr>
                <w:b/>
                <w:sz w:val="20"/>
              </w:rPr>
              <w:t>Total</w:t>
            </w:r>
            <w:r>
              <w:rPr>
                <w:b/>
                <w:spacing w:val="-6"/>
                <w:sz w:val="20"/>
              </w:rPr>
              <w:t> </w:t>
            </w:r>
            <w:r>
              <w:rPr>
                <w:b/>
                <w:spacing w:val="-2"/>
                <w:sz w:val="20"/>
              </w:rPr>
              <w:t>Infrastructure</w:t>
            </w:r>
          </w:p>
        </w:tc>
        <w:tc>
          <w:tcPr>
            <w:tcW w:w="1504" w:type="dxa"/>
            <w:tcBorders>
              <w:top w:val="single" w:sz="4" w:space="0" w:color="000000"/>
              <w:bottom w:val="single" w:sz="4" w:space="0" w:color="000000"/>
            </w:tcBorders>
          </w:tcPr>
          <w:p>
            <w:pPr>
              <w:pStyle w:val="TableParagraph"/>
              <w:spacing w:line="211" w:lineRule="exact" w:before="26"/>
              <w:ind w:right="232"/>
              <w:jc w:val="right"/>
              <w:rPr>
                <w:b/>
                <w:sz w:val="20"/>
              </w:rPr>
            </w:pPr>
            <w:r>
              <w:rPr>
                <w:b/>
                <w:spacing w:val="-2"/>
                <w:sz w:val="20"/>
              </w:rPr>
              <w:t>19,470</w:t>
            </w:r>
          </w:p>
        </w:tc>
        <w:tc>
          <w:tcPr>
            <w:tcW w:w="1143" w:type="dxa"/>
            <w:tcBorders>
              <w:top w:val="single" w:sz="4" w:space="0" w:color="000000"/>
              <w:bottom w:val="single" w:sz="4" w:space="0" w:color="000000"/>
            </w:tcBorders>
          </w:tcPr>
          <w:p>
            <w:pPr>
              <w:pStyle w:val="TableParagraph"/>
              <w:spacing w:line="211" w:lineRule="exact" w:before="26"/>
              <w:ind w:right="112"/>
              <w:jc w:val="right"/>
              <w:rPr>
                <w:b/>
                <w:sz w:val="20"/>
              </w:rPr>
            </w:pPr>
            <w:r>
              <w:rPr>
                <w:b/>
                <w:spacing w:val="-2"/>
                <w:sz w:val="20"/>
              </w:rPr>
              <w:t>3,313</w:t>
            </w:r>
          </w:p>
        </w:tc>
        <w:tc>
          <w:tcPr>
            <w:tcW w:w="1112" w:type="dxa"/>
            <w:tcBorders>
              <w:top w:val="single" w:sz="4" w:space="0" w:color="000000"/>
              <w:bottom w:val="single" w:sz="4" w:space="0" w:color="000000"/>
            </w:tcBorders>
          </w:tcPr>
          <w:p>
            <w:pPr>
              <w:pStyle w:val="TableParagraph"/>
              <w:spacing w:line="211" w:lineRule="exact" w:before="26"/>
              <w:ind w:right="125"/>
              <w:jc w:val="right"/>
              <w:rPr>
                <w:b/>
                <w:sz w:val="20"/>
              </w:rPr>
            </w:pPr>
            <w:r>
              <w:rPr>
                <w:b/>
                <w:spacing w:val="-2"/>
                <w:sz w:val="20"/>
              </w:rPr>
              <w:t>12,979</w:t>
            </w:r>
          </w:p>
        </w:tc>
        <w:tc>
          <w:tcPr>
            <w:tcW w:w="1118" w:type="dxa"/>
            <w:tcBorders>
              <w:top w:val="single" w:sz="4" w:space="0" w:color="000000"/>
              <w:bottom w:val="single" w:sz="4" w:space="0" w:color="000000"/>
              <w:right w:val="single" w:sz="4" w:space="0" w:color="000000"/>
            </w:tcBorders>
          </w:tcPr>
          <w:p>
            <w:pPr>
              <w:pStyle w:val="TableParagraph"/>
              <w:spacing w:line="211" w:lineRule="exact" w:before="26"/>
              <w:ind w:right="90"/>
              <w:jc w:val="right"/>
              <w:rPr>
                <w:b/>
                <w:sz w:val="20"/>
              </w:rPr>
            </w:pPr>
            <w:r>
              <w:rPr>
                <w:b/>
                <w:spacing w:val="-2"/>
                <w:sz w:val="20"/>
              </w:rPr>
              <w:t>3,178</w:t>
            </w:r>
          </w:p>
        </w:tc>
        <w:tc>
          <w:tcPr>
            <w:tcW w:w="1420" w:type="dxa"/>
            <w:tcBorders>
              <w:top w:val="single" w:sz="4" w:space="0" w:color="000000"/>
              <w:left w:val="single" w:sz="4" w:space="0" w:color="000000"/>
              <w:bottom w:val="single" w:sz="4" w:space="0" w:color="000000"/>
            </w:tcBorders>
          </w:tcPr>
          <w:p>
            <w:pPr>
              <w:pStyle w:val="TableParagraph"/>
              <w:spacing w:line="211" w:lineRule="exact" w:before="26"/>
              <w:ind w:right="232"/>
              <w:jc w:val="right"/>
              <w:rPr>
                <w:b/>
                <w:sz w:val="20"/>
              </w:rPr>
            </w:pPr>
            <w:r>
              <w:rPr>
                <w:b/>
                <w:spacing w:val="-2"/>
                <w:sz w:val="20"/>
              </w:rPr>
              <w:t>19,470</w:t>
            </w:r>
          </w:p>
        </w:tc>
        <w:tc>
          <w:tcPr>
            <w:tcW w:w="1290" w:type="dxa"/>
            <w:tcBorders>
              <w:top w:val="single" w:sz="4" w:space="0" w:color="000000"/>
              <w:bottom w:val="single" w:sz="4" w:space="0" w:color="000000"/>
            </w:tcBorders>
          </w:tcPr>
          <w:p>
            <w:pPr>
              <w:pStyle w:val="TableParagraph"/>
              <w:spacing w:line="211" w:lineRule="exact" w:before="26"/>
              <w:ind w:right="108"/>
              <w:jc w:val="right"/>
              <w:rPr>
                <w:b/>
                <w:sz w:val="20"/>
              </w:rPr>
            </w:pPr>
            <w:r>
              <w:rPr>
                <w:b/>
                <w:spacing w:val="-2"/>
                <w:sz w:val="20"/>
              </w:rPr>
              <w:t>1,479</w:t>
            </w:r>
          </w:p>
        </w:tc>
        <w:tc>
          <w:tcPr>
            <w:tcW w:w="1696" w:type="dxa"/>
            <w:tcBorders>
              <w:top w:val="single" w:sz="4" w:space="0" w:color="000000"/>
              <w:bottom w:val="single" w:sz="4" w:space="0" w:color="000000"/>
            </w:tcBorders>
          </w:tcPr>
          <w:p>
            <w:pPr>
              <w:pStyle w:val="TableParagraph"/>
              <w:spacing w:line="211" w:lineRule="exact" w:before="26"/>
              <w:ind w:right="243"/>
              <w:jc w:val="right"/>
              <w:rPr>
                <w:b/>
                <w:sz w:val="20"/>
              </w:rPr>
            </w:pPr>
            <w:r>
              <w:rPr>
                <w:b/>
                <w:spacing w:val="-5"/>
                <w:sz w:val="20"/>
              </w:rPr>
              <w:t>35</w:t>
            </w:r>
          </w:p>
        </w:tc>
        <w:tc>
          <w:tcPr>
            <w:tcW w:w="1929" w:type="dxa"/>
            <w:tcBorders>
              <w:top w:val="single" w:sz="4" w:space="0" w:color="000000"/>
              <w:bottom w:val="single" w:sz="4" w:space="0" w:color="000000"/>
              <w:right w:val="single" w:sz="12" w:space="0" w:color="000000"/>
            </w:tcBorders>
          </w:tcPr>
          <w:p>
            <w:pPr>
              <w:pStyle w:val="TableParagraph"/>
              <w:spacing w:line="211" w:lineRule="exact" w:before="26"/>
              <w:ind w:right="90"/>
              <w:jc w:val="right"/>
              <w:rPr>
                <w:b/>
                <w:sz w:val="20"/>
              </w:rPr>
            </w:pPr>
            <w:r>
              <w:rPr>
                <w:b/>
                <w:spacing w:val="-2"/>
                <w:sz w:val="20"/>
              </w:rPr>
              <w:t>17,956</w:t>
            </w:r>
          </w:p>
        </w:tc>
      </w:tr>
      <w:tr>
        <w:trPr>
          <w:trHeight w:val="255" w:hRule="atLeast"/>
        </w:trPr>
        <w:tc>
          <w:tcPr>
            <w:tcW w:w="4188" w:type="dxa"/>
            <w:tcBorders>
              <w:left w:val="single" w:sz="12" w:space="0" w:color="000000"/>
              <w:bottom w:val="single" w:sz="12" w:space="0" w:color="000000"/>
            </w:tcBorders>
          </w:tcPr>
          <w:p>
            <w:pPr>
              <w:pStyle w:val="TableParagraph"/>
              <w:spacing w:line="213" w:lineRule="exact" w:before="23"/>
              <w:ind w:left="107"/>
              <w:rPr>
                <w:b/>
                <w:sz w:val="20"/>
              </w:rPr>
            </w:pPr>
            <w:r>
              <w:rPr>
                <w:b/>
                <w:sz w:val="20"/>
              </w:rPr>
              <w:t>Total</w:t>
            </w:r>
            <w:r>
              <w:rPr>
                <w:b/>
                <w:spacing w:val="-8"/>
                <w:sz w:val="20"/>
              </w:rPr>
              <w:t> </w:t>
            </w:r>
            <w:r>
              <w:rPr>
                <w:b/>
                <w:sz w:val="20"/>
              </w:rPr>
              <w:t>Capital</w:t>
            </w:r>
            <w:r>
              <w:rPr>
                <w:b/>
                <w:spacing w:val="-5"/>
                <w:sz w:val="20"/>
              </w:rPr>
              <w:t> </w:t>
            </w:r>
            <w:r>
              <w:rPr>
                <w:b/>
                <w:sz w:val="20"/>
              </w:rPr>
              <w:t>Works</w:t>
            </w:r>
            <w:r>
              <w:rPr>
                <w:b/>
                <w:spacing w:val="-6"/>
                <w:sz w:val="20"/>
              </w:rPr>
              <w:t> </w:t>
            </w:r>
            <w:r>
              <w:rPr>
                <w:b/>
                <w:spacing w:val="-2"/>
                <w:sz w:val="20"/>
              </w:rPr>
              <w:t>Expenditure</w:t>
            </w:r>
          </w:p>
        </w:tc>
        <w:tc>
          <w:tcPr>
            <w:tcW w:w="1504" w:type="dxa"/>
            <w:tcBorders>
              <w:top w:val="single" w:sz="4" w:space="0" w:color="000000"/>
              <w:bottom w:val="single" w:sz="12" w:space="0" w:color="000000"/>
            </w:tcBorders>
          </w:tcPr>
          <w:p>
            <w:pPr>
              <w:pStyle w:val="TableParagraph"/>
              <w:spacing w:line="213" w:lineRule="exact" w:before="23"/>
              <w:ind w:right="232"/>
              <w:jc w:val="right"/>
              <w:rPr>
                <w:b/>
                <w:sz w:val="20"/>
              </w:rPr>
            </w:pPr>
            <w:r>
              <w:rPr>
                <w:b/>
                <w:spacing w:val="-2"/>
                <w:sz w:val="20"/>
              </w:rPr>
              <w:t>49,416</w:t>
            </w:r>
          </w:p>
        </w:tc>
        <w:tc>
          <w:tcPr>
            <w:tcW w:w="1143" w:type="dxa"/>
            <w:tcBorders>
              <w:top w:val="single" w:sz="4" w:space="0" w:color="000000"/>
              <w:bottom w:val="single" w:sz="12" w:space="0" w:color="000000"/>
            </w:tcBorders>
          </w:tcPr>
          <w:p>
            <w:pPr>
              <w:pStyle w:val="TableParagraph"/>
              <w:spacing w:line="213" w:lineRule="exact" w:before="23"/>
              <w:ind w:right="112"/>
              <w:jc w:val="right"/>
              <w:rPr>
                <w:b/>
                <w:sz w:val="20"/>
              </w:rPr>
            </w:pPr>
            <w:r>
              <w:rPr>
                <w:b/>
                <w:spacing w:val="-2"/>
                <w:sz w:val="20"/>
              </w:rPr>
              <w:t>4,500</w:t>
            </w:r>
          </w:p>
        </w:tc>
        <w:tc>
          <w:tcPr>
            <w:tcW w:w="1112" w:type="dxa"/>
            <w:tcBorders>
              <w:top w:val="single" w:sz="4" w:space="0" w:color="000000"/>
              <w:bottom w:val="single" w:sz="12" w:space="0" w:color="000000"/>
            </w:tcBorders>
          </w:tcPr>
          <w:p>
            <w:pPr>
              <w:pStyle w:val="TableParagraph"/>
              <w:spacing w:line="213" w:lineRule="exact" w:before="23"/>
              <w:ind w:right="125"/>
              <w:jc w:val="right"/>
              <w:rPr>
                <w:b/>
                <w:sz w:val="20"/>
              </w:rPr>
            </w:pPr>
            <w:r>
              <w:rPr>
                <w:b/>
                <w:spacing w:val="-2"/>
                <w:sz w:val="20"/>
              </w:rPr>
              <w:t>36,328</w:t>
            </w:r>
          </w:p>
        </w:tc>
        <w:tc>
          <w:tcPr>
            <w:tcW w:w="1118" w:type="dxa"/>
            <w:tcBorders>
              <w:top w:val="single" w:sz="4" w:space="0" w:color="000000"/>
              <w:bottom w:val="single" w:sz="12" w:space="0" w:color="000000"/>
              <w:right w:val="single" w:sz="4" w:space="0" w:color="000000"/>
            </w:tcBorders>
          </w:tcPr>
          <w:p>
            <w:pPr>
              <w:pStyle w:val="TableParagraph"/>
              <w:spacing w:line="213" w:lineRule="exact" w:before="23"/>
              <w:ind w:right="90"/>
              <w:jc w:val="right"/>
              <w:rPr>
                <w:b/>
                <w:sz w:val="20"/>
              </w:rPr>
            </w:pPr>
            <w:r>
              <w:rPr>
                <w:b/>
                <w:spacing w:val="-2"/>
                <w:sz w:val="20"/>
              </w:rPr>
              <w:t>8,589</w:t>
            </w:r>
          </w:p>
        </w:tc>
        <w:tc>
          <w:tcPr>
            <w:tcW w:w="1420" w:type="dxa"/>
            <w:tcBorders>
              <w:top w:val="single" w:sz="4" w:space="0" w:color="000000"/>
              <w:left w:val="single" w:sz="4" w:space="0" w:color="000000"/>
              <w:bottom w:val="single" w:sz="12" w:space="0" w:color="000000"/>
            </w:tcBorders>
          </w:tcPr>
          <w:p>
            <w:pPr>
              <w:pStyle w:val="TableParagraph"/>
              <w:spacing w:line="213" w:lineRule="exact" w:before="23"/>
              <w:ind w:right="232"/>
              <w:jc w:val="right"/>
              <w:rPr>
                <w:b/>
                <w:sz w:val="20"/>
              </w:rPr>
            </w:pPr>
            <w:r>
              <w:rPr>
                <w:b/>
                <w:spacing w:val="-2"/>
                <w:sz w:val="20"/>
              </w:rPr>
              <w:t>49,416</w:t>
            </w:r>
          </w:p>
        </w:tc>
        <w:tc>
          <w:tcPr>
            <w:tcW w:w="1290" w:type="dxa"/>
            <w:tcBorders>
              <w:top w:val="single" w:sz="4" w:space="0" w:color="000000"/>
              <w:bottom w:val="single" w:sz="12" w:space="0" w:color="000000"/>
            </w:tcBorders>
          </w:tcPr>
          <w:p>
            <w:pPr>
              <w:pStyle w:val="TableParagraph"/>
              <w:spacing w:line="213" w:lineRule="exact" w:before="23"/>
              <w:ind w:right="109"/>
              <w:jc w:val="right"/>
              <w:rPr>
                <w:b/>
                <w:sz w:val="20"/>
              </w:rPr>
            </w:pPr>
            <w:r>
              <w:rPr>
                <w:b/>
                <w:spacing w:val="-2"/>
                <w:sz w:val="20"/>
              </w:rPr>
              <w:t>11,479</w:t>
            </w:r>
          </w:p>
        </w:tc>
        <w:tc>
          <w:tcPr>
            <w:tcW w:w="1696" w:type="dxa"/>
            <w:tcBorders>
              <w:top w:val="single" w:sz="4" w:space="0" w:color="000000"/>
              <w:bottom w:val="single" w:sz="12" w:space="0" w:color="000000"/>
            </w:tcBorders>
          </w:tcPr>
          <w:p>
            <w:pPr>
              <w:pStyle w:val="TableParagraph"/>
              <w:spacing w:line="213" w:lineRule="exact" w:before="23"/>
              <w:ind w:right="242"/>
              <w:jc w:val="right"/>
              <w:rPr>
                <w:b/>
                <w:sz w:val="20"/>
              </w:rPr>
            </w:pPr>
            <w:r>
              <w:rPr>
                <w:b/>
                <w:spacing w:val="-5"/>
                <w:sz w:val="20"/>
              </w:rPr>
              <w:t>235</w:t>
            </w:r>
          </w:p>
        </w:tc>
        <w:tc>
          <w:tcPr>
            <w:tcW w:w="1929" w:type="dxa"/>
            <w:tcBorders>
              <w:top w:val="single" w:sz="4" w:space="0" w:color="000000"/>
              <w:bottom w:val="single" w:sz="12" w:space="0" w:color="000000"/>
              <w:right w:val="single" w:sz="12" w:space="0" w:color="000000"/>
            </w:tcBorders>
          </w:tcPr>
          <w:p>
            <w:pPr>
              <w:pStyle w:val="TableParagraph"/>
              <w:spacing w:line="213" w:lineRule="exact" w:before="23"/>
              <w:ind w:right="90"/>
              <w:jc w:val="right"/>
              <w:rPr>
                <w:b/>
                <w:sz w:val="20"/>
              </w:rPr>
            </w:pPr>
            <w:r>
              <w:rPr>
                <w:b/>
                <w:spacing w:val="-2"/>
                <w:sz w:val="20"/>
              </w:rPr>
              <w:t>37,702</w:t>
            </w:r>
          </w:p>
        </w:tc>
      </w:tr>
    </w:tbl>
    <w:p>
      <w:pPr>
        <w:spacing w:after="0" w:line="213" w:lineRule="exact"/>
        <w:jc w:val="right"/>
        <w:rPr>
          <w:sz w:val="20"/>
        </w:rPr>
        <w:sectPr>
          <w:pgSz w:w="16840" w:h="11910" w:orient="landscape"/>
          <w:pgMar w:header="0" w:footer="375" w:top="540" w:bottom="560" w:left="600" w:right="120"/>
        </w:sect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88"/>
        <w:gridCol w:w="1504"/>
        <w:gridCol w:w="1143"/>
        <w:gridCol w:w="1112"/>
        <w:gridCol w:w="1118"/>
        <w:gridCol w:w="1420"/>
        <w:gridCol w:w="1290"/>
        <w:gridCol w:w="1696"/>
        <w:gridCol w:w="1929"/>
      </w:tblGrid>
      <w:tr>
        <w:trPr>
          <w:trHeight w:val="1100" w:hRule="atLeast"/>
        </w:trPr>
        <w:tc>
          <w:tcPr>
            <w:tcW w:w="15400" w:type="dxa"/>
            <w:gridSpan w:val="9"/>
            <w:tcBorders>
              <w:top w:val="single" w:sz="18" w:space="0" w:color="000000"/>
              <w:left w:val="single" w:sz="12" w:space="0" w:color="000000"/>
              <w:right w:val="single" w:sz="12" w:space="0" w:color="000000"/>
            </w:tcBorders>
          </w:tcPr>
          <w:p>
            <w:pPr>
              <w:pStyle w:val="TableParagraph"/>
              <w:ind w:left="107" w:right="9900"/>
              <w:rPr>
                <w:b/>
                <w:sz w:val="24"/>
              </w:rPr>
            </w:pPr>
            <w:r>
              <w:rPr>
                <w:b/>
                <w:sz w:val="24"/>
              </w:rPr>
              <w:t>Summary</w:t>
            </w:r>
            <w:r>
              <w:rPr>
                <w:b/>
                <w:spacing w:val="-9"/>
                <w:sz w:val="24"/>
              </w:rPr>
              <w:t> </w:t>
            </w:r>
            <w:r>
              <w:rPr>
                <w:b/>
                <w:sz w:val="24"/>
              </w:rPr>
              <w:t>of</w:t>
            </w:r>
            <w:r>
              <w:rPr>
                <w:b/>
                <w:spacing w:val="-10"/>
                <w:sz w:val="24"/>
              </w:rPr>
              <w:t> </w:t>
            </w:r>
            <w:r>
              <w:rPr>
                <w:b/>
                <w:sz w:val="24"/>
              </w:rPr>
              <w:t>Planned</w:t>
            </w:r>
            <w:r>
              <w:rPr>
                <w:b/>
                <w:spacing w:val="-9"/>
                <w:sz w:val="24"/>
              </w:rPr>
              <w:t> </w:t>
            </w:r>
            <w:r>
              <w:rPr>
                <w:b/>
                <w:sz w:val="24"/>
              </w:rPr>
              <w:t>Capital</w:t>
            </w:r>
            <w:r>
              <w:rPr>
                <w:b/>
                <w:spacing w:val="-9"/>
                <w:sz w:val="24"/>
              </w:rPr>
              <w:t> </w:t>
            </w:r>
            <w:r>
              <w:rPr>
                <w:b/>
                <w:sz w:val="24"/>
              </w:rPr>
              <w:t>Works </w:t>
            </w:r>
            <w:r>
              <w:rPr>
                <w:b/>
                <w:spacing w:val="-2"/>
                <w:sz w:val="24"/>
              </w:rPr>
              <w:t>Expenditure</w:t>
            </w:r>
          </w:p>
          <w:p>
            <w:pPr>
              <w:pStyle w:val="TableParagraph"/>
              <w:spacing w:line="253" w:lineRule="exact"/>
              <w:ind w:left="107"/>
              <w:rPr>
                <w:sz w:val="22"/>
              </w:rPr>
            </w:pPr>
            <w:r>
              <w:rPr>
                <w:sz w:val="22"/>
              </w:rPr>
              <w:t>For</w:t>
            </w:r>
            <w:r>
              <w:rPr>
                <w:spacing w:val="-2"/>
                <w:sz w:val="22"/>
              </w:rPr>
              <w:t> </w:t>
            </w:r>
            <w:r>
              <w:rPr>
                <w:sz w:val="22"/>
              </w:rPr>
              <w:t>the</w:t>
            </w:r>
            <w:r>
              <w:rPr>
                <w:spacing w:val="-4"/>
                <w:sz w:val="22"/>
              </w:rPr>
              <w:t> </w:t>
            </w:r>
            <w:r>
              <w:rPr>
                <w:sz w:val="22"/>
              </w:rPr>
              <w:t>four</w:t>
            </w:r>
            <w:r>
              <w:rPr>
                <w:spacing w:val="-4"/>
                <w:sz w:val="22"/>
              </w:rPr>
              <w:t> </w:t>
            </w:r>
            <w:r>
              <w:rPr>
                <w:sz w:val="22"/>
              </w:rPr>
              <w:t>years</w:t>
            </w:r>
            <w:r>
              <w:rPr>
                <w:spacing w:val="-1"/>
                <w:sz w:val="22"/>
              </w:rPr>
              <w:t> </w:t>
            </w:r>
            <w:r>
              <w:rPr>
                <w:sz w:val="22"/>
              </w:rPr>
              <w:t>ended</w:t>
            </w:r>
            <w:r>
              <w:rPr>
                <w:spacing w:val="-4"/>
                <w:sz w:val="22"/>
              </w:rPr>
              <w:t> </w:t>
            </w:r>
            <w:r>
              <w:rPr>
                <w:sz w:val="22"/>
              </w:rPr>
              <w:t>30 June</w:t>
            </w:r>
            <w:r>
              <w:rPr>
                <w:spacing w:val="-3"/>
                <w:sz w:val="22"/>
              </w:rPr>
              <w:t> </w:t>
            </w:r>
            <w:r>
              <w:rPr>
                <w:spacing w:val="-4"/>
                <w:sz w:val="22"/>
              </w:rPr>
              <w:t>2029</w:t>
            </w:r>
          </w:p>
        </w:tc>
      </w:tr>
      <w:tr>
        <w:trPr>
          <w:trHeight w:val="254" w:hRule="atLeast"/>
        </w:trPr>
        <w:tc>
          <w:tcPr>
            <w:tcW w:w="15400" w:type="dxa"/>
            <w:gridSpan w:val="9"/>
            <w:tcBorders>
              <w:left w:val="single" w:sz="12" w:space="0" w:color="000000"/>
              <w:right w:val="single" w:sz="12" w:space="0" w:color="000000"/>
            </w:tcBorders>
            <w:shd w:val="clear" w:color="auto" w:fill="629CD1"/>
          </w:tcPr>
          <w:p>
            <w:pPr>
              <w:pStyle w:val="TableParagraph"/>
              <w:tabs>
                <w:tab w:pos="11408" w:val="left" w:leader="none"/>
              </w:tabs>
              <w:spacing w:line="223" w:lineRule="exact" w:before="11"/>
              <w:ind w:left="5428"/>
              <w:rPr>
                <w:b/>
                <w:sz w:val="20"/>
              </w:rPr>
            </w:pPr>
            <w:r>
              <w:rPr>
                <w:b/>
                <w:color w:val="FFFFFF"/>
                <w:sz w:val="20"/>
              </w:rPr>
              <w:t>Asset</w:t>
            </w:r>
            <w:r>
              <w:rPr>
                <w:b/>
                <w:color w:val="FFFFFF"/>
                <w:spacing w:val="-10"/>
                <w:sz w:val="20"/>
              </w:rPr>
              <w:t> </w:t>
            </w:r>
            <w:r>
              <w:rPr>
                <w:b/>
                <w:color w:val="FFFFFF"/>
                <w:sz w:val="20"/>
              </w:rPr>
              <w:t>Expenditure</w:t>
            </w:r>
            <w:r>
              <w:rPr>
                <w:b/>
                <w:color w:val="FFFFFF"/>
                <w:spacing w:val="-11"/>
                <w:sz w:val="20"/>
              </w:rPr>
              <w:t> </w:t>
            </w:r>
            <w:r>
              <w:rPr>
                <w:b/>
                <w:color w:val="FFFFFF"/>
                <w:spacing w:val="-4"/>
                <w:sz w:val="20"/>
              </w:rPr>
              <w:t>Types</w:t>
            </w:r>
            <w:r>
              <w:rPr>
                <w:b/>
                <w:color w:val="FFFFFF"/>
                <w:sz w:val="20"/>
              </w:rPr>
              <w:tab/>
              <w:t>Funding</w:t>
            </w:r>
            <w:r>
              <w:rPr>
                <w:b/>
                <w:color w:val="FFFFFF"/>
                <w:spacing w:val="-8"/>
                <w:sz w:val="20"/>
              </w:rPr>
              <w:t> </w:t>
            </w:r>
            <w:r>
              <w:rPr>
                <w:b/>
                <w:color w:val="FFFFFF"/>
                <w:spacing w:val="-2"/>
                <w:sz w:val="20"/>
              </w:rPr>
              <w:t>Sources</w:t>
            </w:r>
          </w:p>
        </w:tc>
      </w:tr>
      <w:tr>
        <w:trPr>
          <w:trHeight w:val="258" w:hRule="atLeast"/>
        </w:trPr>
        <w:tc>
          <w:tcPr>
            <w:tcW w:w="4188" w:type="dxa"/>
            <w:tcBorders>
              <w:left w:val="single" w:sz="12" w:space="0" w:color="000000"/>
            </w:tcBorders>
            <w:shd w:val="clear" w:color="auto" w:fill="629CD1"/>
          </w:tcPr>
          <w:p>
            <w:pPr>
              <w:pStyle w:val="TableParagraph"/>
              <w:spacing w:line="227" w:lineRule="exact" w:before="11"/>
              <w:ind w:left="107"/>
              <w:rPr>
                <w:b/>
                <w:sz w:val="20"/>
              </w:rPr>
            </w:pPr>
            <w:r>
              <w:rPr>
                <w:b/>
                <w:color w:val="FFFFFF"/>
                <w:spacing w:val="-2"/>
                <w:sz w:val="20"/>
              </w:rPr>
              <w:t>2028/29</w:t>
            </w:r>
          </w:p>
        </w:tc>
        <w:tc>
          <w:tcPr>
            <w:tcW w:w="1504" w:type="dxa"/>
            <w:shd w:val="clear" w:color="auto" w:fill="629CD1"/>
          </w:tcPr>
          <w:p>
            <w:pPr>
              <w:pStyle w:val="TableParagraph"/>
              <w:spacing w:line="227" w:lineRule="exact" w:before="11"/>
              <w:ind w:left="458"/>
              <w:rPr>
                <w:b/>
                <w:sz w:val="20"/>
              </w:rPr>
            </w:pPr>
            <w:r>
              <w:rPr>
                <w:b/>
                <w:color w:val="FFFFFF"/>
                <w:spacing w:val="-2"/>
                <w:sz w:val="20"/>
              </w:rPr>
              <w:t>Total</w:t>
            </w:r>
          </w:p>
        </w:tc>
        <w:tc>
          <w:tcPr>
            <w:tcW w:w="1143" w:type="dxa"/>
            <w:shd w:val="clear" w:color="auto" w:fill="629CD1"/>
          </w:tcPr>
          <w:p>
            <w:pPr>
              <w:pStyle w:val="TableParagraph"/>
              <w:spacing w:line="227" w:lineRule="exact" w:before="11"/>
              <w:ind w:left="300"/>
              <w:rPr>
                <w:b/>
                <w:sz w:val="20"/>
              </w:rPr>
            </w:pPr>
            <w:r>
              <w:rPr>
                <w:b/>
                <w:color w:val="FFFFFF"/>
                <w:spacing w:val="-5"/>
                <w:sz w:val="20"/>
              </w:rPr>
              <w:t>New</w:t>
            </w:r>
          </w:p>
        </w:tc>
        <w:tc>
          <w:tcPr>
            <w:tcW w:w="1112" w:type="dxa"/>
            <w:shd w:val="clear" w:color="auto" w:fill="629CD1"/>
          </w:tcPr>
          <w:p>
            <w:pPr>
              <w:pStyle w:val="TableParagraph"/>
              <w:spacing w:line="227" w:lineRule="exact" w:before="11"/>
              <w:ind w:right="161"/>
              <w:jc w:val="right"/>
              <w:rPr>
                <w:b/>
                <w:sz w:val="20"/>
              </w:rPr>
            </w:pPr>
            <w:r>
              <w:rPr>
                <w:b/>
                <w:color w:val="FFFFFF"/>
                <w:spacing w:val="-2"/>
                <w:sz w:val="20"/>
              </w:rPr>
              <w:t>Renewal</w:t>
            </w:r>
          </w:p>
        </w:tc>
        <w:tc>
          <w:tcPr>
            <w:tcW w:w="1118" w:type="dxa"/>
            <w:tcBorders>
              <w:right w:val="single" w:sz="4" w:space="0" w:color="000000"/>
            </w:tcBorders>
            <w:shd w:val="clear" w:color="auto" w:fill="629CD1"/>
          </w:tcPr>
          <w:p>
            <w:pPr>
              <w:pStyle w:val="TableParagraph"/>
              <w:spacing w:line="227" w:lineRule="exact" w:before="11"/>
              <w:ind w:left="145"/>
              <w:rPr>
                <w:b/>
                <w:sz w:val="20"/>
              </w:rPr>
            </w:pPr>
            <w:r>
              <w:rPr>
                <w:b/>
                <w:color w:val="FFFFFF"/>
                <w:spacing w:val="-2"/>
                <w:sz w:val="20"/>
              </w:rPr>
              <w:t>Upgrade</w:t>
            </w:r>
          </w:p>
        </w:tc>
        <w:tc>
          <w:tcPr>
            <w:tcW w:w="1420" w:type="dxa"/>
            <w:tcBorders>
              <w:left w:val="single" w:sz="4" w:space="0" w:color="000000"/>
            </w:tcBorders>
            <w:shd w:val="clear" w:color="auto" w:fill="629CD1"/>
          </w:tcPr>
          <w:p>
            <w:pPr>
              <w:pStyle w:val="TableParagraph"/>
              <w:spacing w:line="227" w:lineRule="exact" w:before="11"/>
              <w:ind w:left="407"/>
              <w:rPr>
                <w:b/>
                <w:sz w:val="20"/>
              </w:rPr>
            </w:pPr>
            <w:r>
              <w:rPr>
                <w:b/>
                <w:color w:val="FFFFFF"/>
                <w:spacing w:val="-2"/>
                <w:sz w:val="20"/>
              </w:rPr>
              <w:t>Total</w:t>
            </w:r>
          </w:p>
        </w:tc>
        <w:tc>
          <w:tcPr>
            <w:tcW w:w="1290" w:type="dxa"/>
            <w:shd w:val="clear" w:color="auto" w:fill="629CD1"/>
          </w:tcPr>
          <w:p>
            <w:pPr>
              <w:pStyle w:val="TableParagraph"/>
              <w:spacing w:line="227" w:lineRule="exact" w:before="11"/>
              <w:ind w:left="257"/>
              <w:rPr>
                <w:b/>
                <w:sz w:val="20"/>
              </w:rPr>
            </w:pPr>
            <w:r>
              <w:rPr>
                <w:b/>
                <w:color w:val="FFFFFF"/>
                <w:spacing w:val="-2"/>
                <w:sz w:val="20"/>
              </w:rPr>
              <w:t>Grants</w:t>
            </w:r>
          </w:p>
        </w:tc>
        <w:tc>
          <w:tcPr>
            <w:tcW w:w="1696" w:type="dxa"/>
            <w:shd w:val="clear" w:color="auto" w:fill="629CD1"/>
          </w:tcPr>
          <w:p>
            <w:pPr>
              <w:pStyle w:val="TableParagraph"/>
              <w:spacing w:line="227" w:lineRule="exact" w:before="11"/>
              <w:ind w:right="256"/>
              <w:jc w:val="right"/>
              <w:rPr>
                <w:b/>
                <w:sz w:val="20"/>
              </w:rPr>
            </w:pPr>
            <w:r>
              <w:rPr>
                <w:b/>
                <w:color w:val="FFFFFF"/>
                <w:spacing w:val="-2"/>
                <w:sz w:val="20"/>
              </w:rPr>
              <w:t>Contributions</w:t>
            </w:r>
          </w:p>
        </w:tc>
        <w:tc>
          <w:tcPr>
            <w:tcW w:w="1929" w:type="dxa"/>
            <w:tcBorders>
              <w:right w:val="single" w:sz="12" w:space="0" w:color="000000"/>
            </w:tcBorders>
            <w:shd w:val="clear" w:color="auto" w:fill="629CD1"/>
          </w:tcPr>
          <w:p>
            <w:pPr>
              <w:pStyle w:val="TableParagraph"/>
              <w:spacing w:line="227" w:lineRule="exact" w:before="11"/>
              <w:ind w:left="242"/>
              <w:rPr>
                <w:b/>
                <w:sz w:val="20"/>
              </w:rPr>
            </w:pPr>
            <w:r>
              <w:rPr>
                <w:b/>
                <w:color w:val="FFFFFF"/>
                <w:sz w:val="20"/>
              </w:rPr>
              <w:t>Council</w:t>
            </w:r>
            <w:r>
              <w:rPr>
                <w:b/>
                <w:color w:val="FFFFFF"/>
                <w:spacing w:val="-8"/>
                <w:sz w:val="20"/>
              </w:rPr>
              <w:t> </w:t>
            </w:r>
            <w:r>
              <w:rPr>
                <w:b/>
                <w:color w:val="FFFFFF"/>
                <w:spacing w:val="-4"/>
                <w:sz w:val="20"/>
              </w:rPr>
              <w:t>Cash</w:t>
            </w:r>
          </w:p>
        </w:tc>
      </w:tr>
      <w:tr>
        <w:trPr>
          <w:trHeight w:val="252" w:hRule="atLeast"/>
        </w:trPr>
        <w:tc>
          <w:tcPr>
            <w:tcW w:w="4188" w:type="dxa"/>
            <w:tcBorders>
              <w:left w:val="single" w:sz="12" w:space="0" w:color="000000"/>
            </w:tcBorders>
            <w:shd w:val="clear" w:color="auto" w:fill="629CD1"/>
          </w:tcPr>
          <w:p>
            <w:pPr>
              <w:pStyle w:val="TableParagraph"/>
              <w:rPr>
                <w:rFonts w:ascii="Times New Roman"/>
                <w:sz w:val="18"/>
              </w:rPr>
            </w:pPr>
          </w:p>
        </w:tc>
        <w:tc>
          <w:tcPr>
            <w:tcW w:w="1504" w:type="dxa"/>
            <w:shd w:val="clear" w:color="auto" w:fill="629CD1"/>
          </w:tcPr>
          <w:p>
            <w:pPr>
              <w:pStyle w:val="TableParagraph"/>
              <w:spacing w:line="223" w:lineRule="exact" w:before="10"/>
              <w:ind w:left="451"/>
              <w:rPr>
                <w:b/>
                <w:sz w:val="20"/>
              </w:rPr>
            </w:pPr>
            <w:r>
              <w:rPr>
                <w:b/>
                <w:color w:val="FFFFFF"/>
                <w:spacing w:val="-2"/>
                <w:sz w:val="20"/>
              </w:rPr>
              <w:t>$'000</w:t>
            </w:r>
          </w:p>
        </w:tc>
        <w:tc>
          <w:tcPr>
            <w:tcW w:w="1143" w:type="dxa"/>
            <w:shd w:val="clear" w:color="auto" w:fill="629CD1"/>
          </w:tcPr>
          <w:p>
            <w:pPr>
              <w:pStyle w:val="TableParagraph"/>
              <w:spacing w:line="223" w:lineRule="exact" w:before="10"/>
              <w:ind w:left="260"/>
              <w:rPr>
                <w:b/>
                <w:sz w:val="20"/>
              </w:rPr>
            </w:pPr>
            <w:r>
              <w:rPr>
                <w:b/>
                <w:color w:val="FFFFFF"/>
                <w:spacing w:val="-2"/>
                <w:sz w:val="20"/>
              </w:rPr>
              <w:t>$'000</w:t>
            </w:r>
          </w:p>
        </w:tc>
        <w:tc>
          <w:tcPr>
            <w:tcW w:w="1112" w:type="dxa"/>
            <w:shd w:val="clear" w:color="auto" w:fill="629CD1"/>
          </w:tcPr>
          <w:p>
            <w:pPr>
              <w:pStyle w:val="TableParagraph"/>
              <w:spacing w:line="223" w:lineRule="exact" w:before="10"/>
              <w:ind w:left="297"/>
              <w:rPr>
                <w:b/>
                <w:sz w:val="20"/>
              </w:rPr>
            </w:pPr>
            <w:r>
              <w:rPr>
                <w:b/>
                <w:color w:val="FFFFFF"/>
                <w:spacing w:val="-2"/>
                <w:sz w:val="20"/>
              </w:rPr>
              <w:t>$'000</w:t>
            </w:r>
          </w:p>
        </w:tc>
        <w:tc>
          <w:tcPr>
            <w:tcW w:w="1118" w:type="dxa"/>
            <w:tcBorders>
              <w:right w:val="single" w:sz="4" w:space="0" w:color="000000"/>
            </w:tcBorders>
            <w:shd w:val="clear" w:color="auto" w:fill="629CD1"/>
          </w:tcPr>
          <w:p>
            <w:pPr>
              <w:pStyle w:val="TableParagraph"/>
              <w:spacing w:line="223" w:lineRule="exact" w:before="10"/>
              <w:ind w:left="304"/>
              <w:rPr>
                <w:b/>
                <w:sz w:val="20"/>
              </w:rPr>
            </w:pPr>
            <w:r>
              <w:rPr>
                <w:b/>
                <w:color w:val="FFFFFF"/>
                <w:spacing w:val="-2"/>
                <w:sz w:val="20"/>
              </w:rPr>
              <w:t>$'000</w:t>
            </w:r>
          </w:p>
        </w:tc>
        <w:tc>
          <w:tcPr>
            <w:tcW w:w="1420" w:type="dxa"/>
            <w:tcBorders>
              <w:left w:val="single" w:sz="4" w:space="0" w:color="000000"/>
            </w:tcBorders>
            <w:shd w:val="clear" w:color="auto" w:fill="629CD1"/>
          </w:tcPr>
          <w:p>
            <w:pPr>
              <w:pStyle w:val="TableParagraph"/>
              <w:spacing w:line="223" w:lineRule="exact" w:before="10"/>
              <w:ind w:left="400"/>
              <w:rPr>
                <w:b/>
                <w:sz w:val="20"/>
              </w:rPr>
            </w:pPr>
            <w:r>
              <w:rPr>
                <w:b/>
                <w:color w:val="FFFFFF"/>
                <w:spacing w:val="-2"/>
                <w:sz w:val="20"/>
              </w:rPr>
              <w:t>$'000</w:t>
            </w:r>
          </w:p>
        </w:tc>
        <w:tc>
          <w:tcPr>
            <w:tcW w:w="1290" w:type="dxa"/>
            <w:shd w:val="clear" w:color="auto" w:fill="629CD1"/>
          </w:tcPr>
          <w:p>
            <w:pPr>
              <w:pStyle w:val="TableParagraph"/>
              <w:spacing w:line="223" w:lineRule="exact" w:before="10"/>
              <w:ind w:left="334"/>
              <w:rPr>
                <w:b/>
                <w:sz w:val="20"/>
              </w:rPr>
            </w:pPr>
            <w:r>
              <w:rPr>
                <w:b/>
                <w:color w:val="FFFFFF"/>
                <w:spacing w:val="-2"/>
                <w:sz w:val="20"/>
              </w:rPr>
              <w:t>$'000</w:t>
            </w:r>
          </w:p>
        </w:tc>
        <w:tc>
          <w:tcPr>
            <w:tcW w:w="1696" w:type="dxa"/>
            <w:shd w:val="clear" w:color="auto" w:fill="629CD1"/>
          </w:tcPr>
          <w:p>
            <w:pPr>
              <w:pStyle w:val="TableParagraph"/>
              <w:spacing w:line="223" w:lineRule="exact" w:before="10"/>
              <w:ind w:left="534"/>
              <w:rPr>
                <w:b/>
                <w:sz w:val="20"/>
              </w:rPr>
            </w:pPr>
            <w:r>
              <w:rPr>
                <w:b/>
                <w:color w:val="FFFFFF"/>
                <w:spacing w:val="-2"/>
                <w:sz w:val="20"/>
              </w:rPr>
              <w:t>$'000</w:t>
            </w:r>
          </w:p>
        </w:tc>
        <w:tc>
          <w:tcPr>
            <w:tcW w:w="1929" w:type="dxa"/>
            <w:tcBorders>
              <w:right w:val="single" w:sz="12" w:space="0" w:color="000000"/>
            </w:tcBorders>
            <w:shd w:val="clear" w:color="auto" w:fill="629CD1"/>
          </w:tcPr>
          <w:p>
            <w:pPr>
              <w:pStyle w:val="TableParagraph"/>
              <w:spacing w:line="223" w:lineRule="exact" w:before="10"/>
              <w:ind w:left="627" w:right="763"/>
              <w:jc w:val="center"/>
              <w:rPr>
                <w:b/>
                <w:sz w:val="20"/>
              </w:rPr>
            </w:pPr>
            <w:r>
              <w:rPr>
                <w:b/>
                <w:color w:val="FFFFFF"/>
                <w:spacing w:val="-2"/>
                <w:sz w:val="20"/>
              </w:rPr>
              <w:t>$'000</w:t>
            </w:r>
          </w:p>
        </w:tc>
      </w:tr>
      <w:tr>
        <w:trPr>
          <w:trHeight w:val="523" w:hRule="atLeast"/>
        </w:trPr>
        <w:tc>
          <w:tcPr>
            <w:tcW w:w="4188" w:type="dxa"/>
            <w:tcBorders>
              <w:left w:val="single" w:sz="12" w:space="0" w:color="000000"/>
            </w:tcBorders>
          </w:tcPr>
          <w:p>
            <w:pPr>
              <w:pStyle w:val="TableParagraph"/>
              <w:spacing w:before="2"/>
              <w:rPr>
                <w:b/>
                <w:sz w:val="24"/>
              </w:rPr>
            </w:pPr>
          </w:p>
          <w:p>
            <w:pPr>
              <w:pStyle w:val="TableParagraph"/>
              <w:spacing w:line="226" w:lineRule="exact"/>
              <w:ind w:left="107"/>
              <w:rPr>
                <w:b/>
                <w:sz w:val="20"/>
              </w:rPr>
            </w:pPr>
            <w:r>
              <w:rPr>
                <w:b/>
                <w:spacing w:val="-2"/>
                <w:sz w:val="20"/>
              </w:rPr>
              <w:t>Property</w:t>
            </w:r>
          </w:p>
        </w:tc>
        <w:tc>
          <w:tcPr>
            <w:tcW w:w="1504" w:type="dxa"/>
          </w:tcPr>
          <w:p>
            <w:pPr>
              <w:pStyle w:val="TableParagraph"/>
              <w:rPr>
                <w:rFonts w:ascii="Times New Roman"/>
                <w:sz w:val="18"/>
              </w:rPr>
            </w:pPr>
          </w:p>
        </w:tc>
        <w:tc>
          <w:tcPr>
            <w:tcW w:w="1143" w:type="dxa"/>
          </w:tcPr>
          <w:p>
            <w:pPr>
              <w:pStyle w:val="TableParagraph"/>
              <w:rPr>
                <w:rFonts w:ascii="Times New Roman"/>
                <w:sz w:val="18"/>
              </w:rPr>
            </w:pPr>
          </w:p>
        </w:tc>
        <w:tc>
          <w:tcPr>
            <w:tcW w:w="1112" w:type="dxa"/>
          </w:tcPr>
          <w:p>
            <w:pPr>
              <w:pStyle w:val="TableParagraph"/>
              <w:rPr>
                <w:rFonts w:ascii="Times New Roman"/>
                <w:sz w:val="18"/>
              </w:rPr>
            </w:pPr>
          </w:p>
        </w:tc>
        <w:tc>
          <w:tcPr>
            <w:tcW w:w="1118" w:type="dxa"/>
            <w:tcBorders>
              <w:right w:val="single" w:sz="4" w:space="0" w:color="000000"/>
            </w:tcBorders>
          </w:tcPr>
          <w:p>
            <w:pPr>
              <w:pStyle w:val="TableParagraph"/>
              <w:rPr>
                <w:rFonts w:ascii="Times New Roman"/>
                <w:sz w:val="18"/>
              </w:rPr>
            </w:pPr>
          </w:p>
        </w:tc>
        <w:tc>
          <w:tcPr>
            <w:tcW w:w="1420" w:type="dxa"/>
            <w:tcBorders>
              <w:left w:val="single" w:sz="4" w:space="0" w:color="000000"/>
            </w:tcBorders>
          </w:tcPr>
          <w:p>
            <w:pPr>
              <w:pStyle w:val="TableParagraph"/>
              <w:rPr>
                <w:rFonts w:ascii="Times New Roman"/>
                <w:sz w:val="18"/>
              </w:rPr>
            </w:pPr>
          </w:p>
        </w:tc>
        <w:tc>
          <w:tcPr>
            <w:tcW w:w="1290" w:type="dxa"/>
          </w:tcPr>
          <w:p>
            <w:pPr>
              <w:pStyle w:val="TableParagraph"/>
              <w:rPr>
                <w:rFonts w:ascii="Times New Roman"/>
                <w:sz w:val="18"/>
              </w:rPr>
            </w:pPr>
          </w:p>
        </w:tc>
        <w:tc>
          <w:tcPr>
            <w:tcW w:w="1696" w:type="dxa"/>
          </w:tcPr>
          <w:p>
            <w:pPr>
              <w:pStyle w:val="TableParagraph"/>
              <w:rPr>
                <w:rFonts w:ascii="Times New Roman"/>
                <w:sz w:val="18"/>
              </w:rPr>
            </w:pPr>
          </w:p>
        </w:tc>
        <w:tc>
          <w:tcPr>
            <w:tcW w:w="1929" w:type="dxa"/>
            <w:tcBorders>
              <w:right w:val="single" w:sz="12" w:space="0" w:color="000000"/>
            </w:tcBorders>
          </w:tcPr>
          <w:p>
            <w:pPr>
              <w:pStyle w:val="TableParagraph"/>
              <w:rPr>
                <w:rFonts w:ascii="Times New Roman"/>
                <w:sz w:val="18"/>
              </w:rPr>
            </w:pPr>
          </w:p>
        </w:tc>
      </w:tr>
      <w:tr>
        <w:trPr>
          <w:trHeight w:val="255" w:hRule="atLeast"/>
        </w:trPr>
        <w:tc>
          <w:tcPr>
            <w:tcW w:w="4188" w:type="dxa"/>
            <w:tcBorders>
              <w:left w:val="single" w:sz="12" w:space="0" w:color="000000"/>
            </w:tcBorders>
          </w:tcPr>
          <w:p>
            <w:pPr>
              <w:pStyle w:val="TableParagraph"/>
              <w:spacing w:line="227" w:lineRule="exact" w:before="8"/>
              <w:ind w:left="107"/>
              <w:rPr>
                <w:sz w:val="20"/>
              </w:rPr>
            </w:pPr>
            <w:r>
              <w:rPr>
                <w:spacing w:val="-4"/>
                <w:sz w:val="20"/>
              </w:rPr>
              <w:t>Land</w:t>
            </w:r>
          </w:p>
        </w:tc>
        <w:tc>
          <w:tcPr>
            <w:tcW w:w="1504" w:type="dxa"/>
          </w:tcPr>
          <w:p>
            <w:pPr>
              <w:pStyle w:val="TableParagraph"/>
              <w:spacing w:line="227" w:lineRule="exact" w:before="8"/>
              <w:ind w:right="229"/>
              <w:jc w:val="right"/>
              <w:rPr>
                <w:sz w:val="20"/>
              </w:rPr>
            </w:pPr>
            <w:r>
              <w:rPr>
                <w:w w:val="99"/>
                <w:sz w:val="20"/>
              </w:rPr>
              <w:t>0</w:t>
            </w:r>
          </w:p>
        </w:tc>
        <w:tc>
          <w:tcPr>
            <w:tcW w:w="1143" w:type="dxa"/>
          </w:tcPr>
          <w:p>
            <w:pPr>
              <w:pStyle w:val="TableParagraph"/>
              <w:spacing w:line="227" w:lineRule="exact" w:before="8"/>
              <w:ind w:right="110"/>
              <w:jc w:val="right"/>
              <w:rPr>
                <w:sz w:val="20"/>
              </w:rPr>
            </w:pPr>
            <w:r>
              <w:rPr>
                <w:w w:val="99"/>
                <w:sz w:val="20"/>
              </w:rPr>
              <w:t>0</w:t>
            </w:r>
          </w:p>
        </w:tc>
        <w:tc>
          <w:tcPr>
            <w:tcW w:w="1112" w:type="dxa"/>
          </w:tcPr>
          <w:p>
            <w:pPr>
              <w:pStyle w:val="TableParagraph"/>
              <w:spacing w:line="227" w:lineRule="exact" w:before="8"/>
              <w:ind w:right="123"/>
              <w:jc w:val="right"/>
              <w:rPr>
                <w:sz w:val="20"/>
              </w:rPr>
            </w:pPr>
            <w:r>
              <w:rPr>
                <w:w w:val="99"/>
                <w:sz w:val="20"/>
              </w:rPr>
              <w:t>0</w:t>
            </w:r>
          </w:p>
        </w:tc>
        <w:tc>
          <w:tcPr>
            <w:tcW w:w="1118" w:type="dxa"/>
            <w:tcBorders>
              <w:right w:val="single" w:sz="4" w:space="0" w:color="000000"/>
            </w:tcBorders>
          </w:tcPr>
          <w:p>
            <w:pPr>
              <w:pStyle w:val="TableParagraph"/>
              <w:spacing w:line="227" w:lineRule="exact" w:before="8"/>
              <w:ind w:right="88"/>
              <w:jc w:val="right"/>
              <w:rPr>
                <w:sz w:val="20"/>
              </w:rPr>
            </w:pPr>
            <w:r>
              <w:rPr>
                <w:w w:val="99"/>
                <w:sz w:val="20"/>
              </w:rPr>
              <w:t>0</w:t>
            </w:r>
          </w:p>
        </w:tc>
        <w:tc>
          <w:tcPr>
            <w:tcW w:w="1420" w:type="dxa"/>
            <w:tcBorders>
              <w:left w:val="single" w:sz="4" w:space="0" w:color="000000"/>
            </w:tcBorders>
          </w:tcPr>
          <w:p>
            <w:pPr>
              <w:pStyle w:val="TableParagraph"/>
              <w:spacing w:line="227" w:lineRule="exact" w:before="8"/>
              <w:ind w:right="229"/>
              <w:jc w:val="right"/>
              <w:rPr>
                <w:sz w:val="20"/>
              </w:rPr>
            </w:pPr>
            <w:r>
              <w:rPr>
                <w:w w:val="99"/>
                <w:sz w:val="20"/>
              </w:rPr>
              <w:t>0</w:t>
            </w:r>
          </w:p>
        </w:tc>
        <w:tc>
          <w:tcPr>
            <w:tcW w:w="1290" w:type="dxa"/>
          </w:tcPr>
          <w:p>
            <w:pPr>
              <w:pStyle w:val="TableParagraph"/>
              <w:spacing w:line="227" w:lineRule="exact" w:before="8"/>
              <w:ind w:right="106"/>
              <w:jc w:val="right"/>
              <w:rPr>
                <w:sz w:val="20"/>
              </w:rPr>
            </w:pPr>
            <w:r>
              <w:rPr>
                <w:w w:val="99"/>
                <w:sz w:val="20"/>
              </w:rPr>
              <w:t>0</w:t>
            </w:r>
          </w:p>
        </w:tc>
        <w:tc>
          <w:tcPr>
            <w:tcW w:w="1696" w:type="dxa"/>
          </w:tcPr>
          <w:p>
            <w:pPr>
              <w:pStyle w:val="TableParagraph"/>
              <w:spacing w:line="227" w:lineRule="exact" w:before="8"/>
              <w:ind w:right="240"/>
              <w:jc w:val="right"/>
              <w:rPr>
                <w:sz w:val="20"/>
              </w:rPr>
            </w:pPr>
            <w:r>
              <w:rPr>
                <w:w w:val="99"/>
                <w:sz w:val="20"/>
              </w:rPr>
              <w:t>0</w:t>
            </w:r>
          </w:p>
        </w:tc>
        <w:tc>
          <w:tcPr>
            <w:tcW w:w="1929" w:type="dxa"/>
            <w:tcBorders>
              <w:right w:val="single" w:sz="12" w:space="0" w:color="000000"/>
            </w:tcBorders>
          </w:tcPr>
          <w:p>
            <w:pPr>
              <w:pStyle w:val="TableParagraph"/>
              <w:spacing w:line="227" w:lineRule="exact" w:before="8"/>
              <w:ind w:right="87"/>
              <w:jc w:val="right"/>
              <w:rPr>
                <w:sz w:val="20"/>
              </w:rPr>
            </w:pPr>
            <w:r>
              <w:rPr>
                <w:w w:val="99"/>
                <w:sz w:val="20"/>
              </w:rPr>
              <w:t>0</w:t>
            </w:r>
          </w:p>
        </w:tc>
      </w:tr>
      <w:tr>
        <w:trPr>
          <w:trHeight w:val="240" w:hRule="atLeast"/>
        </w:trPr>
        <w:tc>
          <w:tcPr>
            <w:tcW w:w="4188" w:type="dxa"/>
            <w:tcBorders>
              <w:left w:val="single" w:sz="12" w:space="0" w:color="000000"/>
            </w:tcBorders>
          </w:tcPr>
          <w:p>
            <w:pPr>
              <w:pStyle w:val="TableParagraph"/>
              <w:spacing w:line="211" w:lineRule="exact" w:before="10"/>
              <w:ind w:left="107"/>
              <w:rPr>
                <w:sz w:val="20"/>
              </w:rPr>
            </w:pPr>
            <w:r>
              <w:rPr>
                <w:sz w:val="20"/>
              </w:rPr>
              <w:t>Land</w:t>
            </w:r>
            <w:r>
              <w:rPr>
                <w:spacing w:val="-7"/>
                <w:sz w:val="20"/>
              </w:rPr>
              <w:t> </w:t>
            </w:r>
            <w:r>
              <w:rPr>
                <w:spacing w:val="-2"/>
                <w:sz w:val="20"/>
              </w:rPr>
              <w:t>improvements</w:t>
            </w:r>
          </w:p>
        </w:tc>
        <w:tc>
          <w:tcPr>
            <w:tcW w:w="1504" w:type="dxa"/>
            <w:tcBorders>
              <w:bottom w:val="single" w:sz="4" w:space="0" w:color="000000"/>
            </w:tcBorders>
          </w:tcPr>
          <w:p>
            <w:pPr>
              <w:pStyle w:val="TableParagraph"/>
              <w:spacing w:line="211" w:lineRule="exact" w:before="10"/>
              <w:ind w:right="230"/>
              <w:jc w:val="right"/>
              <w:rPr>
                <w:sz w:val="20"/>
              </w:rPr>
            </w:pPr>
            <w:r>
              <w:rPr>
                <w:w w:val="99"/>
                <w:sz w:val="20"/>
              </w:rPr>
              <w:t>0</w:t>
            </w:r>
          </w:p>
        </w:tc>
        <w:tc>
          <w:tcPr>
            <w:tcW w:w="1143" w:type="dxa"/>
            <w:tcBorders>
              <w:bottom w:val="single" w:sz="4" w:space="0" w:color="000000"/>
            </w:tcBorders>
          </w:tcPr>
          <w:p>
            <w:pPr>
              <w:pStyle w:val="TableParagraph"/>
              <w:spacing w:line="211" w:lineRule="exact" w:before="10"/>
              <w:ind w:right="110"/>
              <w:jc w:val="right"/>
              <w:rPr>
                <w:sz w:val="20"/>
              </w:rPr>
            </w:pPr>
            <w:r>
              <w:rPr>
                <w:w w:val="99"/>
                <w:sz w:val="20"/>
              </w:rPr>
              <w:t>0</w:t>
            </w:r>
          </w:p>
        </w:tc>
        <w:tc>
          <w:tcPr>
            <w:tcW w:w="1112" w:type="dxa"/>
            <w:tcBorders>
              <w:bottom w:val="single" w:sz="4" w:space="0" w:color="000000"/>
            </w:tcBorders>
          </w:tcPr>
          <w:p>
            <w:pPr>
              <w:pStyle w:val="TableParagraph"/>
              <w:spacing w:line="211" w:lineRule="exact" w:before="10"/>
              <w:ind w:right="123"/>
              <w:jc w:val="right"/>
              <w:rPr>
                <w:sz w:val="20"/>
              </w:rPr>
            </w:pPr>
            <w:r>
              <w:rPr>
                <w:w w:val="99"/>
                <w:sz w:val="20"/>
              </w:rPr>
              <w:t>0</w:t>
            </w:r>
          </w:p>
        </w:tc>
        <w:tc>
          <w:tcPr>
            <w:tcW w:w="1118" w:type="dxa"/>
            <w:tcBorders>
              <w:bottom w:val="single" w:sz="4" w:space="0" w:color="000000"/>
              <w:right w:val="single" w:sz="4" w:space="0" w:color="000000"/>
            </w:tcBorders>
          </w:tcPr>
          <w:p>
            <w:pPr>
              <w:pStyle w:val="TableParagraph"/>
              <w:spacing w:line="211" w:lineRule="exact" w:before="10"/>
              <w:ind w:right="88"/>
              <w:jc w:val="right"/>
              <w:rPr>
                <w:sz w:val="20"/>
              </w:rPr>
            </w:pPr>
            <w:r>
              <w:rPr>
                <w:w w:val="99"/>
                <w:sz w:val="20"/>
              </w:rPr>
              <w:t>0</w:t>
            </w:r>
          </w:p>
        </w:tc>
        <w:tc>
          <w:tcPr>
            <w:tcW w:w="1420" w:type="dxa"/>
            <w:tcBorders>
              <w:left w:val="single" w:sz="4" w:space="0" w:color="000000"/>
              <w:bottom w:val="single" w:sz="4" w:space="0" w:color="000000"/>
            </w:tcBorders>
          </w:tcPr>
          <w:p>
            <w:pPr>
              <w:pStyle w:val="TableParagraph"/>
              <w:spacing w:line="211" w:lineRule="exact" w:before="10"/>
              <w:ind w:right="229"/>
              <w:jc w:val="right"/>
              <w:rPr>
                <w:sz w:val="20"/>
              </w:rPr>
            </w:pPr>
            <w:r>
              <w:rPr>
                <w:w w:val="99"/>
                <w:sz w:val="20"/>
              </w:rPr>
              <w:t>0</w:t>
            </w:r>
          </w:p>
        </w:tc>
        <w:tc>
          <w:tcPr>
            <w:tcW w:w="1290" w:type="dxa"/>
            <w:tcBorders>
              <w:bottom w:val="single" w:sz="4" w:space="0" w:color="000000"/>
            </w:tcBorders>
          </w:tcPr>
          <w:p>
            <w:pPr>
              <w:pStyle w:val="TableParagraph"/>
              <w:spacing w:line="211" w:lineRule="exact" w:before="10"/>
              <w:ind w:right="106"/>
              <w:jc w:val="right"/>
              <w:rPr>
                <w:sz w:val="20"/>
              </w:rPr>
            </w:pPr>
            <w:r>
              <w:rPr>
                <w:w w:val="99"/>
                <w:sz w:val="20"/>
              </w:rPr>
              <w:t>0</w:t>
            </w:r>
          </w:p>
        </w:tc>
        <w:tc>
          <w:tcPr>
            <w:tcW w:w="1696" w:type="dxa"/>
            <w:tcBorders>
              <w:bottom w:val="single" w:sz="4" w:space="0" w:color="000000"/>
            </w:tcBorders>
          </w:tcPr>
          <w:p>
            <w:pPr>
              <w:pStyle w:val="TableParagraph"/>
              <w:spacing w:line="211" w:lineRule="exact" w:before="10"/>
              <w:ind w:right="240"/>
              <w:jc w:val="right"/>
              <w:rPr>
                <w:sz w:val="20"/>
              </w:rPr>
            </w:pPr>
            <w:r>
              <w:rPr>
                <w:w w:val="99"/>
                <w:sz w:val="20"/>
              </w:rPr>
              <w:t>0</w:t>
            </w:r>
          </w:p>
        </w:tc>
        <w:tc>
          <w:tcPr>
            <w:tcW w:w="1929" w:type="dxa"/>
            <w:tcBorders>
              <w:bottom w:val="single" w:sz="4" w:space="0" w:color="000000"/>
              <w:right w:val="single" w:sz="12" w:space="0" w:color="000000"/>
            </w:tcBorders>
          </w:tcPr>
          <w:p>
            <w:pPr>
              <w:pStyle w:val="TableParagraph"/>
              <w:spacing w:line="211" w:lineRule="exact" w:before="10"/>
              <w:ind w:right="87"/>
              <w:jc w:val="right"/>
              <w:rPr>
                <w:sz w:val="20"/>
              </w:rPr>
            </w:pPr>
            <w:r>
              <w:rPr>
                <w:w w:val="99"/>
                <w:sz w:val="20"/>
              </w:rPr>
              <w:t>0</w:t>
            </w:r>
          </w:p>
        </w:tc>
      </w:tr>
      <w:tr>
        <w:trPr>
          <w:trHeight w:val="249" w:hRule="atLeast"/>
        </w:trPr>
        <w:tc>
          <w:tcPr>
            <w:tcW w:w="4188" w:type="dxa"/>
            <w:tcBorders>
              <w:left w:val="single" w:sz="12" w:space="0" w:color="000000"/>
            </w:tcBorders>
          </w:tcPr>
          <w:p>
            <w:pPr>
              <w:pStyle w:val="TableParagraph"/>
              <w:spacing w:line="206" w:lineRule="exact" w:before="23"/>
              <w:ind w:left="107"/>
              <w:rPr>
                <w:b/>
                <w:sz w:val="20"/>
              </w:rPr>
            </w:pPr>
            <w:r>
              <w:rPr>
                <w:b/>
                <w:sz w:val="20"/>
              </w:rPr>
              <w:t>Total</w:t>
            </w:r>
            <w:r>
              <w:rPr>
                <w:b/>
                <w:spacing w:val="-6"/>
                <w:sz w:val="20"/>
              </w:rPr>
              <w:t> </w:t>
            </w:r>
            <w:r>
              <w:rPr>
                <w:b/>
                <w:spacing w:val="-4"/>
                <w:sz w:val="20"/>
              </w:rPr>
              <w:t>Land</w:t>
            </w:r>
          </w:p>
        </w:tc>
        <w:tc>
          <w:tcPr>
            <w:tcW w:w="1504" w:type="dxa"/>
            <w:tcBorders>
              <w:top w:val="single" w:sz="4" w:space="0" w:color="000000"/>
              <w:bottom w:val="single" w:sz="4" w:space="0" w:color="000000"/>
            </w:tcBorders>
          </w:tcPr>
          <w:p>
            <w:pPr>
              <w:pStyle w:val="TableParagraph"/>
              <w:spacing w:line="206" w:lineRule="exact" w:before="23"/>
              <w:ind w:right="229"/>
              <w:jc w:val="right"/>
              <w:rPr>
                <w:sz w:val="20"/>
              </w:rPr>
            </w:pPr>
            <w:r>
              <w:rPr>
                <w:w w:val="99"/>
                <w:sz w:val="20"/>
              </w:rPr>
              <w:t>0</w:t>
            </w:r>
          </w:p>
        </w:tc>
        <w:tc>
          <w:tcPr>
            <w:tcW w:w="1143" w:type="dxa"/>
            <w:tcBorders>
              <w:top w:val="single" w:sz="4" w:space="0" w:color="000000"/>
              <w:bottom w:val="single" w:sz="4" w:space="0" w:color="000000"/>
            </w:tcBorders>
          </w:tcPr>
          <w:p>
            <w:pPr>
              <w:pStyle w:val="TableParagraph"/>
              <w:spacing w:line="206" w:lineRule="exact" w:before="23"/>
              <w:ind w:right="110"/>
              <w:jc w:val="right"/>
              <w:rPr>
                <w:sz w:val="20"/>
              </w:rPr>
            </w:pPr>
            <w:r>
              <w:rPr>
                <w:w w:val="99"/>
                <w:sz w:val="20"/>
              </w:rPr>
              <w:t>0</w:t>
            </w:r>
          </w:p>
        </w:tc>
        <w:tc>
          <w:tcPr>
            <w:tcW w:w="1112" w:type="dxa"/>
            <w:tcBorders>
              <w:top w:val="single" w:sz="4" w:space="0" w:color="000000"/>
              <w:bottom w:val="single" w:sz="4" w:space="0" w:color="000000"/>
            </w:tcBorders>
          </w:tcPr>
          <w:p>
            <w:pPr>
              <w:pStyle w:val="TableParagraph"/>
              <w:spacing w:line="206" w:lineRule="exact" w:before="23"/>
              <w:ind w:right="123"/>
              <w:jc w:val="right"/>
              <w:rPr>
                <w:sz w:val="20"/>
              </w:rPr>
            </w:pPr>
            <w:r>
              <w:rPr>
                <w:w w:val="99"/>
                <w:sz w:val="20"/>
              </w:rPr>
              <w:t>0</w:t>
            </w:r>
          </w:p>
        </w:tc>
        <w:tc>
          <w:tcPr>
            <w:tcW w:w="1118" w:type="dxa"/>
            <w:tcBorders>
              <w:top w:val="single" w:sz="4" w:space="0" w:color="000000"/>
              <w:bottom w:val="single" w:sz="8" w:space="0" w:color="000000"/>
              <w:right w:val="single" w:sz="4" w:space="0" w:color="000000"/>
            </w:tcBorders>
          </w:tcPr>
          <w:p>
            <w:pPr>
              <w:pStyle w:val="TableParagraph"/>
              <w:spacing w:line="206" w:lineRule="exact" w:before="23"/>
              <w:ind w:right="88"/>
              <w:jc w:val="right"/>
              <w:rPr>
                <w:sz w:val="20"/>
              </w:rPr>
            </w:pPr>
            <w:r>
              <w:rPr>
                <w:w w:val="99"/>
                <w:sz w:val="20"/>
              </w:rPr>
              <w:t>0</w:t>
            </w:r>
          </w:p>
        </w:tc>
        <w:tc>
          <w:tcPr>
            <w:tcW w:w="1420" w:type="dxa"/>
            <w:tcBorders>
              <w:top w:val="single" w:sz="4" w:space="0" w:color="000000"/>
              <w:left w:val="single" w:sz="4" w:space="0" w:color="000000"/>
              <w:bottom w:val="single" w:sz="4" w:space="0" w:color="000000"/>
            </w:tcBorders>
          </w:tcPr>
          <w:p>
            <w:pPr>
              <w:pStyle w:val="TableParagraph"/>
              <w:spacing w:line="206" w:lineRule="exact" w:before="23"/>
              <w:ind w:right="229"/>
              <w:jc w:val="right"/>
              <w:rPr>
                <w:sz w:val="20"/>
              </w:rPr>
            </w:pPr>
            <w:r>
              <w:rPr>
                <w:w w:val="99"/>
                <w:sz w:val="20"/>
              </w:rPr>
              <w:t>0</w:t>
            </w:r>
          </w:p>
        </w:tc>
        <w:tc>
          <w:tcPr>
            <w:tcW w:w="1290" w:type="dxa"/>
            <w:tcBorders>
              <w:top w:val="single" w:sz="4" w:space="0" w:color="000000"/>
              <w:bottom w:val="single" w:sz="4" w:space="0" w:color="000000"/>
            </w:tcBorders>
          </w:tcPr>
          <w:p>
            <w:pPr>
              <w:pStyle w:val="TableParagraph"/>
              <w:spacing w:line="206" w:lineRule="exact" w:before="23"/>
              <w:ind w:right="106"/>
              <w:jc w:val="right"/>
              <w:rPr>
                <w:sz w:val="20"/>
              </w:rPr>
            </w:pPr>
            <w:r>
              <w:rPr>
                <w:w w:val="99"/>
                <w:sz w:val="20"/>
              </w:rPr>
              <w:t>0</w:t>
            </w:r>
          </w:p>
        </w:tc>
        <w:tc>
          <w:tcPr>
            <w:tcW w:w="1696" w:type="dxa"/>
            <w:tcBorders>
              <w:top w:val="single" w:sz="4" w:space="0" w:color="000000"/>
              <w:bottom w:val="single" w:sz="4" w:space="0" w:color="000000"/>
            </w:tcBorders>
          </w:tcPr>
          <w:p>
            <w:pPr>
              <w:pStyle w:val="TableParagraph"/>
              <w:spacing w:line="206" w:lineRule="exact" w:before="23"/>
              <w:ind w:right="240"/>
              <w:jc w:val="right"/>
              <w:rPr>
                <w:sz w:val="20"/>
              </w:rPr>
            </w:pPr>
            <w:r>
              <w:rPr>
                <w:w w:val="99"/>
                <w:sz w:val="20"/>
              </w:rPr>
              <w:t>0</w:t>
            </w:r>
          </w:p>
        </w:tc>
        <w:tc>
          <w:tcPr>
            <w:tcW w:w="1929" w:type="dxa"/>
            <w:tcBorders>
              <w:top w:val="single" w:sz="4" w:space="0" w:color="000000"/>
              <w:bottom w:val="single" w:sz="4" w:space="0" w:color="000000"/>
              <w:right w:val="single" w:sz="12" w:space="0" w:color="000000"/>
            </w:tcBorders>
          </w:tcPr>
          <w:p>
            <w:pPr>
              <w:pStyle w:val="TableParagraph"/>
              <w:spacing w:line="206" w:lineRule="exact" w:before="23"/>
              <w:ind w:right="87"/>
              <w:jc w:val="right"/>
              <w:rPr>
                <w:sz w:val="20"/>
              </w:rPr>
            </w:pPr>
            <w:r>
              <w:rPr>
                <w:w w:val="99"/>
                <w:sz w:val="20"/>
              </w:rPr>
              <w:t>0</w:t>
            </w:r>
          </w:p>
        </w:tc>
      </w:tr>
      <w:tr>
        <w:trPr>
          <w:trHeight w:val="261" w:hRule="atLeast"/>
        </w:trPr>
        <w:tc>
          <w:tcPr>
            <w:tcW w:w="4188" w:type="dxa"/>
            <w:tcBorders>
              <w:left w:val="single" w:sz="12" w:space="0" w:color="000000"/>
            </w:tcBorders>
          </w:tcPr>
          <w:p>
            <w:pPr>
              <w:pStyle w:val="TableParagraph"/>
              <w:spacing w:line="211" w:lineRule="exact" w:before="30"/>
              <w:ind w:left="107"/>
              <w:rPr>
                <w:sz w:val="20"/>
              </w:rPr>
            </w:pPr>
            <w:r>
              <w:rPr>
                <w:spacing w:val="-2"/>
                <w:sz w:val="20"/>
              </w:rPr>
              <w:t>Buildings</w:t>
            </w:r>
          </w:p>
        </w:tc>
        <w:tc>
          <w:tcPr>
            <w:tcW w:w="1504" w:type="dxa"/>
            <w:tcBorders>
              <w:top w:val="single" w:sz="4" w:space="0" w:color="000000"/>
              <w:bottom w:val="single" w:sz="4" w:space="0" w:color="000000"/>
            </w:tcBorders>
          </w:tcPr>
          <w:p>
            <w:pPr>
              <w:pStyle w:val="TableParagraph"/>
              <w:spacing w:line="211" w:lineRule="exact" w:before="30"/>
              <w:ind w:right="232"/>
              <w:jc w:val="right"/>
              <w:rPr>
                <w:sz w:val="20"/>
              </w:rPr>
            </w:pPr>
            <w:r>
              <w:rPr>
                <w:spacing w:val="-2"/>
                <w:sz w:val="20"/>
              </w:rPr>
              <w:t>25,687</w:t>
            </w:r>
          </w:p>
        </w:tc>
        <w:tc>
          <w:tcPr>
            <w:tcW w:w="1143" w:type="dxa"/>
            <w:tcBorders>
              <w:top w:val="single" w:sz="4" w:space="0" w:color="000000"/>
              <w:bottom w:val="single" w:sz="4" w:space="0" w:color="000000"/>
            </w:tcBorders>
          </w:tcPr>
          <w:p>
            <w:pPr>
              <w:pStyle w:val="TableParagraph"/>
              <w:spacing w:line="211" w:lineRule="exact" w:before="30"/>
              <w:ind w:right="112"/>
              <w:jc w:val="right"/>
              <w:rPr>
                <w:sz w:val="20"/>
              </w:rPr>
            </w:pPr>
            <w:r>
              <w:rPr>
                <w:spacing w:val="-2"/>
                <w:sz w:val="20"/>
              </w:rPr>
              <w:t>1,000</w:t>
            </w:r>
          </w:p>
        </w:tc>
        <w:tc>
          <w:tcPr>
            <w:tcW w:w="1112" w:type="dxa"/>
            <w:tcBorders>
              <w:top w:val="single" w:sz="4" w:space="0" w:color="000000"/>
              <w:bottom w:val="single" w:sz="4" w:space="0" w:color="000000"/>
            </w:tcBorders>
          </w:tcPr>
          <w:p>
            <w:pPr>
              <w:pStyle w:val="TableParagraph"/>
              <w:spacing w:line="211" w:lineRule="exact" w:before="30"/>
              <w:ind w:right="125"/>
              <w:jc w:val="right"/>
              <w:rPr>
                <w:sz w:val="20"/>
              </w:rPr>
            </w:pPr>
            <w:r>
              <w:rPr>
                <w:spacing w:val="-2"/>
                <w:sz w:val="20"/>
              </w:rPr>
              <w:t>19,336</w:t>
            </w:r>
          </w:p>
        </w:tc>
        <w:tc>
          <w:tcPr>
            <w:tcW w:w="1118" w:type="dxa"/>
            <w:tcBorders>
              <w:top w:val="single" w:sz="8" w:space="0" w:color="000000"/>
              <w:bottom w:val="single" w:sz="4" w:space="0" w:color="000000"/>
              <w:right w:val="single" w:sz="4" w:space="0" w:color="000000"/>
            </w:tcBorders>
          </w:tcPr>
          <w:p>
            <w:pPr>
              <w:pStyle w:val="TableParagraph"/>
              <w:spacing w:line="211" w:lineRule="exact" w:before="30"/>
              <w:ind w:right="90"/>
              <w:jc w:val="right"/>
              <w:rPr>
                <w:sz w:val="20"/>
              </w:rPr>
            </w:pPr>
            <w:r>
              <w:rPr>
                <w:spacing w:val="-2"/>
                <w:sz w:val="20"/>
              </w:rPr>
              <w:t>5,351</w:t>
            </w:r>
          </w:p>
        </w:tc>
        <w:tc>
          <w:tcPr>
            <w:tcW w:w="1420" w:type="dxa"/>
            <w:tcBorders>
              <w:top w:val="single" w:sz="4" w:space="0" w:color="000000"/>
              <w:left w:val="single" w:sz="4" w:space="0" w:color="000000"/>
              <w:bottom w:val="single" w:sz="4" w:space="0" w:color="000000"/>
            </w:tcBorders>
          </w:tcPr>
          <w:p>
            <w:pPr>
              <w:pStyle w:val="TableParagraph"/>
              <w:spacing w:line="211" w:lineRule="exact" w:before="30"/>
              <w:ind w:right="232"/>
              <w:jc w:val="right"/>
              <w:rPr>
                <w:sz w:val="20"/>
              </w:rPr>
            </w:pPr>
            <w:r>
              <w:rPr>
                <w:spacing w:val="-2"/>
                <w:sz w:val="20"/>
              </w:rPr>
              <w:t>25,687</w:t>
            </w:r>
          </w:p>
        </w:tc>
        <w:tc>
          <w:tcPr>
            <w:tcW w:w="1290" w:type="dxa"/>
            <w:tcBorders>
              <w:top w:val="single" w:sz="4" w:space="0" w:color="000000"/>
              <w:bottom w:val="single" w:sz="4" w:space="0" w:color="000000"/>
            </w:tcBorders>
          </w:tcPr>
          <w:p>
            <w:pPr>
              <w:pStyle w:val="TableParagraph"/>
              <w:spacing w:line="211" w:lineRule="exact" w:before="30"/>
              <w:ind w:right="109"/>
              <w:jc w:val="right"/>
              <w:rPr>
                <w:sz w:val="20"/>
              </w:rPr>
            </w:pPr>
            <w:r>
              <w:rPr>
                <w:spacing w:val="-2"/>
                <w:sz w:val="20"/>
              </w:rPr>
              <w:t>10,000</w:t>
            </w:r>
          </w:p>
        </w:tc>
        <w:tc>
          <w:tcPr>
            <w:tcW w:w="1696" w:type="dxa"/>
            <w:tcBorders>
              <w:top w:val="single" w:sz="4" w:space="0" w:color="000000"/>
              <w:bottom w:val="single" w:sz="4" w:space="0" w:color="000000"/>
            </w:tcBorders>
          </w:tcPr>
          <w:p>
            <w:pPr>
              <w:pStyle w:val="TableParagraph"/>
              <w:spacing w:line="211" w:lineRule="exact" w:before="30"/>
              <w:ind w:right="242"/>
              <w:jc w:val="right"/>
              <w:rPr>
                <w:sz w:val="20"/>
              </w:rPr>
            </w:pPr>
            <w:r>
              <w:rPr>
                <w:spacing w:val="-5"/>
                <w:sz w:val="20"/>
              </w:rPr>
              <w:t>200</w:t>
            </w:r>
          </w:p>
        </w:tc>
        <w:tc>
          <w:tcPr>
            <w:tcW w:w="1929" w:type="dxa"/>
            <w:tcBorders>
              <w:top w:val="single" w:sz="4" w:space="0" w:color="000000"/>
              <w:bottom w:val="single" w:sz="4" w:space="0" w:color="000000"/>
              <w:right w:val="single" w:sz="12" w:space="0" w:color="000000"/>
            </w:tcBorders>
          </w:tcPr>
          <w:p>
            <w:pPr>
              <w:pStyle w:val="TableParagraph"/>
              <w:spacing w:line="211" w:lineRule="exact" w:before="30"/>
              <w:ind w:right="90"/>
              <w:jc w:val="right"/>
              <w:rPr>
                <w:sz w:val="20"/>
              </w:rPr>
            </w:pPr>
            <w:r>
              <w:rPr>
                <w:spacing w:val="-2"/>
                <w:sz w:val="20"/>
              </w:rPr>
              <w:t>15,487</w:t>
            </w:r>
          </w:p>
        </w:tc>
      </w:tr>
      <w:tr>
        <w:trPr>
          <w:trHeight w:val="253" w:hRule="atLeast"/>
        </w:trPr>
        <w:tc>
          <w:tcPr>
            <w:tcW w:w="4188" w:type="dxa"/>
            <w:tcBorders>
              <w:left w:val="single" w:sz="12" w:space="0" w:color="000000"/>
            </w:tcBorders>
          </w:tcPr>
          <w:p>
            <w:pPr>
              <w:pStyle w:val="TableParagraph"/>
              <w:spacing w:line="211" w:lineRule="exact" w:before="23"/>
              <w:ind w:left="107"/>
              <w:rPr>
                <w:b/>
                <w:sz w:val="20"/>
              </w:rPr>
            </w:pPr>
            <w:r>
              <w:rPr>
                <w:b/>
                <w:sz w:val="20"/>
              </w:rPr>
              <w:t>Total</w:t>
            </w:r>
            <w:r>
              <w:rPr>
                <w:b/>
                <w:spacing w:val="-6"/>
                <w:sz w:val="20"/>
              </w:rPr>
              <w:t> </w:t>
            </w:r>
            <w:r>
              <w:rPr>
                <w:b/>
                <w:spacing w:val="-2"/>
                <w:sz w:val="20"/>
              </w:rPr>
              <w:t>Buildings</w:t>
            </w:r>
          </w:p>
        </w:tc>
        <w:tc>
          <w:tcPr>
            <w:tcW w:w="1504" w:type="dxa"/>
            <w:tcBorders>
              <w:top w:val="single" w:sz="4" w:space="0" w:color="000000"/>
              <w:bottom w:val="single" w:sz="4" w:space="0" w:color="000000"/>
            </w:tcBorders>
          </w:tcPr>
          <w:p>
            <w:pPr>
              <w:pStyle w:val="TableParagraph"/>
              <w:spacing w:line="211" w:lineRule="exact" w:before="23"/>
              <w:ind w:right="232"/>
              <w:jc w:val="right"/>
              <w:rPr>
                <w:sz w:val="20"/>
              </w:rPr>
            </w:pPr>
            <w:r>
              <w:rPr>
                <w:spacing w:val="-2"/>
                <w:sz w:val="20"/>
              </w:rPr>
              <w:t>25,687</w:t>
            </w:r>
          </w:p>
        </w:tc>
        <w:tc>
          <w:tcPr>
            <w:tcW w:w="1143" w:type="dxa"/>
            <w:tcBorders>
              <w:top w:val="single" w:sz="4" w:space="0" w:color="000000"/>
              <w:bottom w:val="single" w:sz="4" w:space="0" w:color="000000"/>
            </w:tcBorders>
          </w:tcPr>
          <w:p>
            <w:pPr>
              <w:pStyle w:val="TableParagraph"/>
              <w:spacing w:line="211" w:lineRule="exact" w:before="23"/>
              <w:ind w:right="112"/>
              <w:jc w:val="right"/>
              <w:rPr>
                <w:sz w:val="20"/>
              </w:rPr>
            </w:pPr>
            <w:r>
              <w:rPr>
                <w:spacing w:val="-2"/>
                <w:sz w:val="20"/>
              </w:rPr>
              <w:t>1,000</w:t>
            </w:r>
          </w:p>
        </w:tc>
        <w:tc>
          <w:tcPr>
            <w:tcW w:w="1112" w:type="dxa"/>
            <w:tcBorders>
              <w:top w:val="single" w:sz="4" w:space="0" w:color="000000"/>
              <w:bottom w:val="single" w:sz="4" w:space="0" w:color="000000"/>
            </w:tcBorders>
          </w:tcPr>
          <w:p>
            <w:pPr>
              <w:pStyle w:val="TableParagraph"/>
              <w:spacing w:line="211" w:lineRule="exact" w:before="23"/>
              <w:ind w:right="125"/>
              <w:jc w:val="right"/>
              <w:rPr>
                <w:sz w:val="20"/>
              </w:rPr>
            </w:pPr>
            <w:r>
              <w:rPr>
                <w:spacing w:val="-2"/>
                <w:sz w:val="20"/>
              </w:rPr>
              <w:t>19,336</w:t>
            </w:r>
          </w:p>
        </w:tc>
        <w:tc>
          <w:tcPr>
            <w:tcW w:w="1118" w:type="dxa"/>
            <w:tcBorders>
              <w:top w:val="single" w:sz="4" w:space="0" w:color="000000"/>
              <w:bottom w:val="single" w:sz="4" w:space="0" w:color="000000"/>
              <w:right w:val="single" w:sz="4" w:space="0" w:color="000000"/>
            </w:tcBorders>
          </w:tcPr>
          <w:p>
            <w:pPr>
              <w:pStyle w:val="TableParagraph"/>
              <w:spacing w:line="211" w:lineRule="exact" w:before="23"/>
              <w:ind w:right="90"/>
              <w:jc w:val="right"/>
              <w:rPr>
                <w:sz w:val="20"/>
              </w:rPr>
            </w:pPr>
            <w:r>
              <w:rPr>
                <w:spacing w:val="-2"/>
                <w:sz w:val="20"/>
              </w:rPr>
              <w:t>5,351</w:t>
            </w:r>
          </w:p>
        </w:tc>
        <w:tc>
          <w:tcPr>
            <w:tcW w:w="1420" w:type="dxa"/>
            <w:tcBorders>
              <w:top w:val="single" w:sz="4" w:space="0" w:color="000000"/>
              <w:left w:val="single" w:sz="4" w:space="0" w:color="000000"/>
              <w:bottom w:val="single" w:sz="4" w:space="0" w:color="000000"/>
            </w:tcBorders>
          </w:tcPr>
          <w:p>
            <w:pPr>
              <w:pStyle w:val="TableParagraph"/>
              <w:spacing w:line="211" w:lineRule="exact" w:before="23"/>
              <w:ind w:right="232"/>
              <w:jc w:val="right"/>
              <w:rPr>
                <w:sz w:val="20"/>
              </w:rPr>
            </w:pPr>
            <w:r>
              <w:rPr>
                <w:spacing w:val="-2"/>
                <w:sz w:val="20"/>
              </w:rPr>
              <w:t>25,687</w:t>
            </w:r>
          </w:p>
        </w:tc>
        <w:tc>
          <w:tcPr>
            <w:tcW w:w="1290" w:type="dxa"/>
            <w:tcBorders>
              <w:top w:val="single" w:sz="4" w:space="0" w:color="000000"/>
              <w:bottom w:val="single" w:sz="4" w:space="0" w:color="000000"/>
            </w:tcBorders>
          </w:tcPr>
          <w:p>
            <w:pPr>
              <w:pStyle w:val="TableParagraph"/>
              <w:spacing w:line="211" w:lineRule="exact" w:before="23"/>
              <w:ind w:right="109"/>
              <w:jc w:val="right"/>
              <w:rPr>
                <w:sz w:val="20"/>
              </w:rPr>
            </w:pPr>
            <w:r>
              <w:rPr>
                <w:spacing w:val="-2"/>
                <w:sz w:val="20"/>
              </w:rPr>
              <w:t>10,000</w:t>
            </w:r>
          </w:p>
        </w:tc>
        <w:tc>
          <w:tcPr>
            <w:tcW w:w="1696" w:type="dxa"/>
            <w:tcBorders>
              <w:top w:val="single" w:sz="4" w:space="0" w:color="000000"/>
              <w:bottom w:val="single" w:sz="4" w:space="0" w:color="000000"/>
            </w:tcBorders>
          </w:tcPr>
          <w:p>
            <w:pPr>
              <w:pStyle w:val="TableParagraph"/>
              <w:spacing w:line="211" w:lineRule="exact" w:before="23"/>
              <w:ind w:right="242"/>
              <w:jc w:val="right"/>
              <w:rPr>
                <w:sz w:val="20"/>
              </w:rPr>
            </w:pPr>
            <w:r>
              <w:rPr>
                <w:spacing w:val="-5"/>
                <w:sz w:val="20"/>
              </w:rPr>
              <w:t>200</w:t>
            </w:r>
          </w:p>
        </w:tc>
        <w:tc>
          <w:tcPr>
            <w:tcW w:w="1929" w:type="dxa"/>
            <w:tcBorders>
              <w:top w:val="single" w:sz="4" w:space="0" w:color="000000"/>
              <w:bottom w:val="single" w:sz="4" w:space="0" w:color="000000"/>
              <w:right w:val="single" w:sz="12" w:space="0" w:color="000000"/>
            </w:tcBorders>
          </w:tcPr>
          <w:p>
            <w:pPr>
              <w:pStyle w:val="TableParagraph"/>
              <w:spacing w:line="211" w:lineRule="exact" w:before="23"/>
              <w:ind w:right="90"/>
              <w:jc w:val="right"/>
              <w:rPr>
                <w:sz w:val="20"/>
              </w:rPr>
            </w:pPr>
            <w:r>
              <w:rPr>
                <w:spacing w:val="-2"/>
                <w:sz w:val="20"/>
              </w:rPr>
              <w:t>15,487</w:t>
            </w:r>
          </w:p>
        </w:tc>
      </w:tr>
      <w:tr>
        <w:trPr>
          <w:trHeight w:val="256" w:hRule="atLeast"/>
        </w:trPr>
        <w:tc>
          <w:tcPr>
            <w:tcW w:w="4188" w:type="dxa"/>
            <w:tcBorders>
              <w:left w:val="single" w:sz="12" w:space="0" w:color="000000"/>
            </w:tcBorders>
          </w:tcPr>
          <w:p>
            <w:pPr>
              <w:pStyle w:val="TableParagraph"/>
              <w:spacing w:line="211" w:lineRule="exact" w:before="26"/>
              <w:ind w:left="107"/>
              <w:rPr>
                <w:b/>
                <w:sz w:val="20"/>
              </w:rPr>
            </w:pPr>
            <w:r>
              <w:rPr>
                <w:b/>
                <w:sz w:val="20"/>
              </w:rPr>
              <w:t>Total</w:t>
            </w:r>
            <w:r>
              <w:rPr>
                <w:b/>
                <w:spacing w:val="-6"/>
                <w:sz w:val="20"/>
              </w:rPr>
              <w:t> </w:t>
            </w:r>
            <w:r>
              <w:rPr>
                <w:b/>
                <w:spacing w:val="-2"/>
                <w:sz w:val="20"/>
              </w:rPr>
              <w:t>Property</w:t>
            </w:r>
          </w:p>
        </w:tc>
        <w:tc>
          <w:tcPr>
            <w:tcW w:w="1504" w:type="dxa"/>
            <w:tcBorders>
              <w:top w:val="single" w:sz="4" w:space="0" w:color="000000"/>
              <w:bottom w:val="single" w:sz="4" w:space="0" w:color="000000"/>
            </w:tcBorders>
          </w:tcPr>
          <w:p>
            <w:pPr>
              <w:pStyle w:val="TableParagraph"/>
              <w:spacing w:line="211" w:lineRule="exact" w:before="26"/>
              <w:ind w:right="232"/>
              <w:jc w:val="right"/>
              <w:rPr>
                <w:b/>
                <w:sz w:val="20"/>
              </w:rPr>
            </w:pPr>
            <w:r>
              <w:rPr>
                <w:b/>
                <w:spacing w:val="-2"/>
                <w:sz w:val="20"/>
              </w:rPr>
              <w:t>25,687</w:t>
            </w:r>
          </w:p>
        </w:tc>
        <w:tc>
          <w:tcPr>
            <w:tcW w:w="1143" w:type="dxa"/>
            <w:tcBorders>
              <w:top w:val="single" w:sz="4" w:space="0" w:color="000000"/>
              <w:bottom w:val="single" w:sz="4" w:space="0" w:color="000000"/>
            </w:tcBorders>
          </w:tcPr>
          <w:p>
            <w:pPr>
              <w:pStyle w:val="TableParagraph"/>
              <w:spacing w:line="211" w:lineRule="exact" w:before="26"/>
              <w:ind w:right="112"/>
              <w:jc w:val="right"/>
              <w:rPr>
                <w:b/>
                <w:sz w:val="20"/>
              </w:rPr>
            </w:pPr>
            <w:r>
              <w:rPr>
                <w:b/>
                <w:spacing w:val="-2"/>
                <w:sz w:val="20"/>
              </w:rPr>
              <w:t>1,000</w:t>
            </w:r>
          </w:p>
        </w:tc>
        <w:tc>
          <w:tcPr>
            <w:tcW w:w="1112" w:type="dxa"/>
            <w:tcBorders>
              <w:top w:val="single" w:sz="4" w:space="0" w:color="000000"/>
              <w:bottom w:val="single" w:sz="4" w:space="0" w:color="000000"/>
            </w:tcBorders>
          </w:tcPr>
          <w:p>
            <w:pPr>
              <w:pStyle w:val="TableParagraph"/>
              <w:spacing w:line="211" w:lineRule="exact" w:before="26"/>
              <w:ind w:right="125"/>
              <w:jc w:val="right"/>
              <w:rPr>
                <w:b/>
                <w:sz w:val="20"/>
              </w:rPr>
            </w:pPr>
            <w:r>
              <w:rPr>
                <w:b/>
                <w:spacing w:val="-2"/>
                <w:sz w:val="20"/>
              </w:rPr>
              <w:t>19,336</w:t>
            </w:r>
          </w:p>
        </w:tc>
        <w:tc>
          <w:tcPr>
            <w:tcW w:w="1118" w:type="dxa"/>
            <w:tcBorders>
              <w:top w:val="single" w:sz="4" w:space="0" w:color="000000"/>
              <w:bottom w:val="single" w:sz="4" w:space="0" w:color="000000"/>
              <w:right w:val="single" w:sz="4" w:space="0" w:color="000000"/>
            </w:tcBorders>
          </w:tcPr>
          <w:p>
            <w:pPr>
              <w:pStyle w:val="TableParagraph"/>
              <w:spacing w:line="211" w:lineRule="exact" w:before="26"/>
              <w:ind w:right="90"/>
              <w:jc w:val="right"/>
              <w:rPr>
                <w:b/>
                <w:sz w:val="20"/>
              </w:rPr>
            </w:pPr>
            <w:r>
              <w:rPr>
                <w:b/>
                <w:spacing w:val="-2"/>
                <w:sz w:val="20"/>
              </w:rPr>
              <w:t>5,351</w:t>
            </w:r>
          </w:p>
        </w:tc>
        <w:tc>
          <w:tcPr>
            <w:tcW w:w="1420" w:type="dxa"/>
            <w:tcBorders>
              <w:top w:val="single" w:sz="4" w:space="0" w:color="000000"/>
              <w:left w:val="single" w:sz="4" w:space="0" w:color="000000"/>
              <w:bottom w:val="single" w:sz="4" w:space="0" w:color="000000"/>
            </w:tcBorders>
          </w:tcPr>
          <w:p>
            <w:pPr>
              <w:pStyle w:val="TableParagraph"/>
              <w:spacing w:line="211" w:lineRule="exact" w:before="26"/>
              <w:ind w:right="232"/>
              <w:jc w:val="right"/>
              <w:rPr>
                <w:b/>
                <w:sz w:val="20"/>
              </w:rPr>
            </w:pPr>
            <w:r>
              <w:rPr>
                <w:b/>
                <w:spacing w:val="-2"/>
                <w:sz w:val="20"/>
              </w:rPr>
              <w:t>25,687</w:t>
            </w:r>
          </w:p>
        </w:tc>
        <w:tc>
          <w:tcPr>
            <w:tcW w:w="1290" w:type="dxa"/>
            <w:tcBorders>
              <w:top w:val="single" w:sz="4" w:space="0" w:color="000000"/>
              <w:bottom w:val="single" w:sz="4" w:space="0" w:color="000000"/>
            </w:tcBorders>
          </w:tcPr>
          <w:p>
            <w:pPr>
              <w:pStyle w:val="TableParagraph"/>
              <w:spacing w:line="211" w:lineRule="exact" w:before="26"/>
              <w:ind w:right="109"/>
              <w:jc w:val="right"/>
              <w:rPr>
                <w:b/>
                <w:sz w:val="20"/>
              </w:rPr>
            </w:pPr>
            <w:r>
              <w:rPr>
                <w:b/>
                <w:spacing w:val="-2"/>
                <w:sz w:val="20"/>
              </w:rPr>
              <w:t>10,000</w:t>
            </w:r>
          </w:p>
        </w:tc>
        <w:tc>
          <w:tcPr>
            <w:tcW w:w="1696" w:type="dxa"/>
            <w:tcBorders>
              <w:top w:val="single" w:sz="4" w:space="0" w:color="000000"/>
              <w:bottom w:val="single" w:sz="4" w:space="0" w:color="000000"/>
            </w:tcBorders>
          </w:tcPr>
          <w:p>
            <w:pPr>
              <w:pStyle w:val="TableParagraph"/>
              <w:spacing w:line="211" w:lineRule="exact" w:before="26"/>
              <w:ind w:right="242"/>
              <w:jc w:val="right"/>
              <w:rPr>
                <w:b/>
                <w:sz w:val="20"/>
              </w:rPr>
            </w:pPr>
            <w:r>
              <w:rPr>
                <w:b/>
                <w:spacing w:val="-5"/>
                <w:sz w:val="20"/>
              </w:rPr>
              <w:t>200</w:t>
            </w:r>
          </w:p>
        </w:tc>
        <w:tc>
          <w:tcPr>
            <w:tcW w:w="1929" w:type="dxa"/>
            <w:tcBorders>
              <w:top w:val="single" w:sz="4" w:space="0" w:color="000000"/>
              <w:bottom w:val="single" w:sz="4" w:space="0" w:color="000000"/>
              <w:right w:val="single" w:sz="12" w:space="0" w:color="000000"/>
            </w:tcBorders>
          </w:tcPr>
          <w:p>
            <w:pPr>
              <w:pStyle w:val="TableParagraph"/>
              <w:spacing w:line="211" w:lineRule="exact" w:before="26"/>
              <w:ind w:right="90"/>
              <w:jc w:val="right"/>
              <w:rPr>
                <w:b/>
                <w:sz w:val="20"/>
              </w:rPr>
            </w:pPr>
            <w:r>
              <w:rPr>
                <w:b/>
                <w:spacing w:val="-2"/>
                <w:sz w:val="20"/>
              </w:rPr>
              <w:t>15,487</w:t>
            </w:r>
          </w:p>
        </w:tc>
      </w:tr>
      <w:tr>
        <w:trPr>
          <w:trHeight w:val="523" w:hRule="atLeast"/>
        </w:trPr>
        <w:tc>
          <w:tcPr>
            <w:tcW w:w="4188" w:type="dxa"/>
            <w:tcBorders>
              <w:left w:val="single" w:sz="12" w:space="0" w:color="000000"/>
            </w:tcBorders>
          </w:tcPr>
          <w:p>
            <w:pPr>
              <w:pStyle w:val="TableParagraph"/>
              <w:spacing w:before="1"/>
              <w:rPr>
                <w:b/>
                <w:sz w:val="24"/>
              </w:rPr>
            </w:pPr>
          </w:p>
          <w:p>
            <w:pPr>
              <w:pStyle w:val="TableParagraph"/>
              <w:spacing w:line="226" w:lineRule="exact" w:before="1"/>
              <w:ind w:left="107"/>
              <w:rPr>
                <w:b/>
                <w:sz w:val="20"/>
              </w:rPr>
            </w:pPr>
            <w:r>
              <w:rPr>
                <w:b/>
                <w:sz w:val="20"/>
              </w:rPr>
              <w:t>Plant</w:t>
            </w:r>
            <w:r>
              <w:rPr>
                <w:b/>
                <w:spacing w:val="-5"/>
                <w:sz w:val="20"/>
              </w:rPr>
              <w:t> </w:t>
            </w:r>
            <w:r>
              <w:rPr>
                <w:b/>
                <w:sz w:val="20"/>
              </w:rPr>
              <w:t>and</w:t>
            </w:r>
            <w:r>
              <w:rPr>
                <w:b/>
                <w:spacing w:val="-4"/>
                <w:sz w:val="20"/>
              </w:rPr>
              <w:t> </w:t>
            </w:r>
            <w:r>
              <w:rPr>
                <w:b/>
                <w:spacing w:val="-2"/>
                <w:sz w:val="20"/>
              </w:rPr>
              <w:t>Equipment</w:t>
            </w:r>
          </w:p>
        </w:tc>
        <w:tc>
          <w:tcPr>
            <w:tcW w:w="1504" w:type="dxa"/>
            <w:tcBorders>
              <w:top w:val="single" w:sz="4" w:space="0" w:color="000000"/>
            </w:tcBorders>
          </w:tcPr>
          <w:p>
            <w:pPr>
              <w:pStyle w:val="TableParagraph"/>
              <w:rPr>
                <w:rFonts w:ascii="Times New Roman"/>
                <w:sz w:val="18"/>
              </w:rPr>
            </w:pPr>
          </w:p>
        </w:tc>
        <w:tc>
          <w:tcPr>
            <w:tcW w:w="1143" w:type="dxa"/>
            <w:tcBorders>
              <w:top w:val="single" w:sz="4" w:space="0" w:color="000000"/>
            </w:tcBorders>
          </w:tcPr>
          <w:p>
            <w:pPr>
              <w:pStyle w:val="TableParagraph"/>
              <w:rPr>
                <w:rFonts w:ascii="Times New Roman"/>
                <w:sz w:val="18"/>
              </w:rPr>
            </w:pPr>
          </w:p>
        </w:tc>
        <w:tc>
          <w:tcPr>
            <w:tcW w:w="1112" w:type="dxa"/>
            <w:tcBorders>
              <w:top w:val="single" w:sz="4" w:space="0" w:color="000000"/>
            </w:tcBorders>
          </w:tcPr>
          <w:p>
            <w:pPr>
              <w:pStyle w:val="TableParagraph"/>
              <w:rPr>
                <w:rFonts w:ascii="Times New Roman"/>
                <w:sz w:val="18"/>
              </w:rPr>
            </w:pPr>
          </w:p>
        </w:tc>
        <w:tc>
          <w:tcPr>
            <w:tcW w:w="1118" w:type="dxa"/>
            <w:tcBorders>
              <w:top w:val="single" w:sz="4" w:space="0" w:color="000000"/>
              <w:right w:val="single" w:sz="4" w:space="0" w:color="000000"/>
            </w:tcBorders>
          </w:tcPr>
          <w:p>
            <w:pPr>
              <w:pStyle w:val="TableParagraph"/>
              <w:rPr>
                <w:rFonts w:ascii="Times New Roman"/>
                <w:sz w:val="18"/>
              </w:rPr>
            </w:pPr>
          </w:p>
        </w:tc>
        <w:tc>
          <w:tcPr>
            <w:tcW w:w="1420" w:type="dxa"/>
            <w:tcBorders>
              <w:top w:val="single" w:sz="4" w:space="0" w:color="000000"/>
              <w:left w:val="single" w:sz="4" w:space="0" w:color="000000"/>
            </w:tcBorders>
          </w:tcPr>
          <w:p>
            <w:pPr>
              <w:pStyle w:val="TableParagraph"/>
              <w:rPr>
                <w:rFonts w:ascii="Times New Roman"/>
                <w:sz w:val="18"/>
              </w:rPr>
            </w:pPr>
          </w:p>
        </w:tc>
        <w:tc>
          <w:tcPr>
            <w:tcW w:w="1290" w:type="dxa"/>
            <w:tcBorders>
              <w:top w:val="single" w:sz="4" w:space="0" w:color="000000"/>
            </w:tcBorders>
          </w:tcPr>
          <w:p>
            <w:pPr>
              <w:pStyle w:val="TableParagraph"/>
              <w:rPr>
                <w:rFonts w:ascii="Times New Roman"/>
                <w:sz w:val="18"/>
              </w:rPr>
            </w:pPr>
          </w:p>
        </w:tc>
        <w:tc>
          <w:tcPr>
            <w:tcW w:w="1696" w:type="dxa"/>
            <w:tcBorders>
              <w:top w:val="single" w:sz="4" w:space="0" w:color="000000"/>
            </w:tcBorders>
          </w:tcPr>
          <w:p>
            <w:pPr>
              <w:pStyle w:val="TableParagraph"/>
              <w:rPr>
                <w:rFonts w:ascii="Times New Roman"/>
                <w:sz w:val="18"/>
              </w:rPr>
            </w:pPr>
          </w:p>
        </w:tc>
        <w:tc>
          <w:tcPr>
            <w:tcW w:w="1929" w:type="dxa"/>
            <w:tcBorders>
              <w:top w:val="single" w:sz="4" w:space="0" w:color="000000"/>
              <w:right w:val="single" w:sz="12" w:space="0" w:color="000000"/>
            </w:tcBorders>
          </w:tcPr>
          <w:p>
            <w:pPr>
              <w:pStyle w:val="TableParagraph"/>
              <w:rPr>
                <w:rFonts w:ascii="Times New Roman"/>
                <w:sz w:val="18"/>
              </w:rPr>
            </w:pPr>
          </w:p>
        </w:tc>
      </w:tr>
      <w:tr>
        <w:trPr>
          <w:trHeight w:val="255" w:hRule="atLeast"/>
        </w:trPr>
        <w:tc>
          <w:tcPr>
            <w:tcW w:w="4188" w:type="dxa"/>
            <w:tcBorders>
              <w:left w:val="single" w:sz="12" w:space="0" w:color="000000"/>
            </w:tcBorders>
          </w:tcPr>
          <w:p>
            <w:pPr>
              <w:pStyle w:val="TableParagraph"/>
              <w:spacing w:line="227" w:lineRule="exact" w:before="8"/>
              <w:ind w:left="107"/>
              <w:rPr>
                <w:sz w:val="20"/>
              </w:rPr>
            </w:pPr>
            <w:r>
              <w:rPr>
                <w:sz w:val="20"/>
              </w:rPr>
              <w:t>Plant,</w:t>
            </w:r>
            <w:r>
              <w:rPr>
                <w:spacing w:val="-4"/>
                <w:sz w:val="20"/>
              </w:rPr>
              <w:t> </w:t>
            </w:r>
            <w:r>
              <w:rPr>
                <w:sz w:val="20"/>
              </w:rPr>
              <w:t>machinery,</w:t>
            </w:r>
            <w:r>
              <w:rPr>
                <w:spacing w:val="-8"/>
                <w:sz w:val="20"/>
              </w:rPr>
              <w:t> </w:t>
            </w:r>
            <w:r>
              <w:rPr>
                <w:sz w:val="20"/>
              </w:rPr>
              <w:t>and</w:t>
            </w:r>
            <w:r>
              <w:rPr>
                <w:spacing w:val="-4"/>
                <w:sz w:val="20"/>
              </w:rPr>
              <w:t> </w:t>
            </w:r>
            <w:r>
              <w:rPr>
                <w:spacing w:val="-2"/>
                <w:sz w:val="20"/>
              </w:rPr>
              <w:t>equipment</w:t>
            </w:r>
          </w:p>
        </w:tc>
        <w:tc>
          <w:tcPr>
            <w:tcW w:w="1504" w:type="dxa"/>
          </w:tcPr>
          <w:p>
            <w:pPr>
              <w:pStyle w:val="TableParagraph"/>
              <w:spacing w:line="227" w:lineRule="exact" w:before="8"/>
              <w:ind w:right="231"/>
              <w:jc w:val="right"/>
              <w:rPr>
                <w:sz w:val="20"/>
              </w:rPr>
            </w:pPr>
            <w:r>
              <w:rPr>
                <w:spacing w:val="-2"/>
                <w:sz w:val="20"/>
              </w:rPr>
              <w:t>2,231</w:t>
            </w:r>
          </w:p>
        </w:tc>
        <w:tc>
          <w:tcPr>
            <w:tcW w:w="1143" w:type="dxa"/>
          </w:tcPr>
          <w:p>
            <w:pPr>
              <w:pStyle w:val="TableParagraph"/>
              <w:spacing w:line="227" w:lineRule="exact" w:before="8"/>
              <w:ind w:right="110"/>
              <w:jc w:val="right"/>
              <w:rPr>
                <w:sz w:val="20"/>
              </w:rPr>
            </w:pPr>
            <w:r>
              <w:rPr>
                <w:w w:val="99"/>
                <w:sz w:val="20"/>
              </w:rPr>
              <w:t>0</w:t>
            </w:r>
          </w:p>
        </w:tc>
        <w:tc>
          <w:tcPr>
            <w:tcW w:w="1112" w:type="dxa"/>
          </w:tcPr>
          <w:p>
            <w:pPr>
              <w:pStyle w:val="TableParagraph"/>
              <w:spacing w:line="227" w:lineRule="exact" w:before="8"/>
              <w:ind w:right="126"/>
              <w:jc w:val="right"/>
              <w:rPr>
                <w:sz w:val="20"/>
              </w:rPr>
            </w:pPr>
            <w:r>
              <w:rPr>
                <w:spacing w:val="-2"/>
                <w:sz w:val="20"/>
              </w:rPr>
              <w:t>2,231</w:t>
            </w:r>
          </w:p>
        </w:tc>
        <w:tc>
          <w:tcPr>
            <w:tcW w:w="1118" w:type="dxa"/>
            <w:tcBorders>
              <w:right w:val="single" w:sz="4" w:space="0" w:color="000000"/>
            </w:tcBorders>
          </w:tcPr>
          <w:p>
            <w:pPr>
              <w:pStyle w:val="TableParagraph"/>
              <w:spacing w:line="227" w:lineRule="exact" w:before="8"/>
              <w:ind w:right="88"/>
              <w:jc w:val="right"/>
              <w:rPr>
                <w:sz w:val="20"/>
              </w:rPr>
            </w:pPr>
            <w:r>
              <w:rPr>
                <w:w w:val="99"/>
                <w:sz w:val="20"/>
              </w:rPr>
              <w:t>0</w:t>
            </w:r>
          </w:p>
        </w:tc>
        <w:tc>
          <w:tcPr>
            <w:tcW w:w="1420" w:type="dxa"/>
            <w:tcBorders>
              <w:left w:val="single" w:sz="4" w:space="0" w:color="000000"/>
            </w:tcBorders>
          </w:tcPr>
          <w:p>
            <w:pPr>
              <w:pStyle w:val="TableParagraph"/>
              <w:spacing w:line="227" w:lineRule="exact" w:before="8"/>
              <w:ind w:right="231"/>
              <w:jc w:val="right"/>
              <w:rPr>
                <w:sz w:val="20"/>
              </w:rPr>
            </w:pPr>
            <w:r>
              <w:rPr>
                <w:spacing w:val="-2"/>
                <w:sz w:val="20"/>
              </w:rPr>
              <w:t>1,557</w:t>
            </w:r>
          </w:p>
        </w:tc>
        <w:tc>
          <w:tcPr>
            <w:tcW w:w="1290" w:type="dxa"/>
          </w:tcPr>
          <w:p>
            <w:pPr>
              <w:pStyle w:val="TableParagraph"/>
              <w:spacing w:line="227" w:lineRule="exact" w:before="8"/>
              <w:ind w:right="106"/>
              <w:jc w:val="right"/>
              <w:rPr>
                <w:sz w:val="20"/>
              </w:rPr>
            </w:pPr>
            <w:r>
              <w:rPr>
                <w:w w:val="99"/>
                <w:sz w:val="20"/>
              </w:rPr>
              <w:t>0</w:t>
            </w:r>
          </w:p>
        </w:tc>
        <w:tc>
          <w:tcPr>
            <w:tcW w:w="1696" w:type="dxa"/>
          </w:tcPr>
          <w:p>
            <w:pPr>
              <w:pStyle w:val="TableParagraph"/>
              <w:spacing w:line="227" w:lineRule="exact" w:before="8"/>
              <w:ind w:right="239"/>
              <w:jc w:val="right"/>
              <w:rPr>
                <w:sz w:val="20"/>
              </w:rPr>
            </w:pPr>
            <w:r>
              <w:rPr>
                <w:w w:val="99"/>
                <w:sz w:val="20"/>
              </w:rPr>
              <w:t>0</w:t>
            </w:r>
          </w:p>
        </w:tc>
        <w:tc>
          <w:tcPr>
            <w:tcW w:w="1929" w:type="dxa"/>
            <w:tcBorders>
              <w:right w:val="single" w:sz="12" w:space="0" w:color="000000"/>
            </w:tcBorders>
          </w:tcPr>
          <w:p>
            <w:pPr>
              <w:pStyle w:val="TableParagraph"/>
              <w:spacing w:line="227" w:lineRule="exact" w:before="8"/>
              <w:ind w:right="89"/>
              <w:jc w:val="right"/>
              <w:rPr>
                <w:sz w:val="20"/>
              </w:rPr>
            </w:pPr>
            <w:r>
              <w:rPr>
                <w:spacing w:val="-2"/>
                <w:sz w:val="20"/>
              </w:rPr>
              <w:t>1,557</w:t>
            </w:r>
          </w:p>
        </w:tc>
      </w:tr>
      <w:tr>
        <w:trPr>
          <w:trHeight w:val="255" w:hRule="atLeast"/>
        </w:trPr>
        <w:tc>
          <w:tcPr>
            <w:tcW w:w="4188" w:type="dxa"/>
            <w:tcBorders>
              <w:left w:val="single" w:sz="12" w:space="0" w:color="000000"/>
            </w:tcBorders>
          </w:tcPr>
          <w:p>
            <w:pPr>
              <w:pStyle w:val="TableParagraph"/>
              <w:spacing w:line="226" w:lineRule="exact" w:before="10"/>
              <w:ind w:left="107"/>
              <w:rPr>
                <w:sz w:val="20"/>
              </w:rPr>
            </w:pPr>
            <w:r>
              <w:rPr>
                <w:sz w:val="20"/>
              </w:rPr>
              <w:t>Fixtures,</w:t>
            </w:r>
            <w:r>
              <w:rPr>
                <w:spacing w:val="-7"/>
                <w:sz w:val="20"/>
              </w:rPr>
              <w:t> </w:t>
            </w:r>
            <w:r>
              <w:rPr>
                <w:sz w:val="20"/>
              </w:rPr>
              <w:t>fittings,</w:t>
            </w:r>
            <w:r>
              <w:rPr>
                <w:spacing w:val="-6"/>
                <w:sz w:val="20"/>
              </w:rPr>
              <w:t> </w:t>
            </w:r>
            <w:r>
              <w:rPr>
                <w:sz w:val="20"/>
              </w:rPr>
              <w:t>and</w:t>
            </w:r>
            <w:r>
              <w:rPr>
                <w:spacing w:val="-7"/>
                <w:sz w:val="20"/>
              </w:rPr>
              <w:t> </w:t>
            </w:r>
            <w:r>
              <w:rPr>
                <w:spacing w:val="-2"/>
                <w:sz w:val="20"/>
              </w:rPr>
              <w:t>furniture</w:t>
            </w:r>
          </w:p>
        </w:tc>
        <w:tc>
          <w:tcPr>
            <w:tcW w:w="1504" w:type="dxa"/>
          </w:tcPr>
          <w:p>
            <w:pPr>
              <w:pStyle w:val="TableParagraph"/>
              <w:spacing w:line="226" w:lineRule="exact" w:before="10"/>
              <w:ind w:right="232"/>
              <w:jc w:val="right"/>
              <w:rPr>
                <w:sz w:val="20"/>
              </w:rPr>
            </w:pPr>
            <w:r>
              <w:rPr>
                <w:spacing w:val="-5"/>
                <w:sz w:val="20"/>
              </w:rPr>
              <w:t>839</w:t>
            </w:r>
          </w:p>
        </w:tc>
        <w:tc>
          <w:tcPr>
            <w:tcW w:w="1143" w:type="dxa"/>
          </w:tcPr>
          <w:p>
            <w:pPr>
              <w:pStyle w:val="TableParagraph"/>
              <w:spacing w:line="226" w:lineRule="exact" w:before="10"/>
              <w:ind w:right="113"/>
              <w:jc w:val="right"/>
              <w:rPr>
                <w:sz w:val="20"/>
              </w:rPr>
            </w:pPr>
            <w:r>
              <w:rPr>
                <w:spacing w:val="-5"/>
                <w:sz w:val="20"/>
              </w:rPr>
              <w:t>79</w:t>
            </w:r>
          </w:p>
        </w:tc>
        <w:tc>
          <w:tcPr>
            <w:tcW w:w="1112" w:type="dxa"/>
          </w:tcPr>
          <w:p>
            <w:pPr>
              <w:pStyle w:val="TableParagraph"/>
              <w:spacing w:line="226" w:lineRule="exact" w:before="10"/>
              <w:ind w:right="125"/>
              <w:jc w:val="right"/>
              <w:rPr>
                <w:sz w:val="20"/>
              </w:rPr>
            </w:pPr>
            <w:r>
              <w:rPr>
                <w:spacing w:val="-5"/>
                <w:sz w:val="20"/>
              </w:rPr>
              <w:t>715</w:t>
            </w:r>
          </w:p>
        </w:tc>
        <w:tc>
          <w:tcPr>
            <w:tcW w:w="1118" w:type="dxa"/>
            <w:tcBorders>
              <w:right w:val="single" w:sz="4" w:space="0" w:color="000000"/>
            </w:tcBorders>
          </w:tcPr>
          <w:p>
            <w:pPr>
              <w:pStyle w:val="TableParagraph"/>
              <w:spacing w:line="226" w:lineRule="exact" w:before="10"/>
              <w:ind w:right="92"/>
              <w:jc w:val="right"/>
              <w:rPr>
                <w:sz w:val="20"/>
              </w:rPr>
            </w:pPr>
            <w:r>
              <w:rPr>
                <w:spacing w:val="-5"/>
                <w:sz w:val="20"/>
              </w:rPr>
              <w:t>45</w:t>
            </w:r>
          </w:p>
        </w:tc>
        <w:tc>
          <w:tcPr>
            <w:tcW w:w="1420" w:type="dxa"/>
            <w:tcBorders>
              <w:left w:val="single" w:sz="4" w:space="0" w:color="000000"/>
            </w:tcBorders>
          </w:tcPr>
          <w:p>
            <w:pPr>
              <w:pStyle w:val="TableParagraph"/>
              <w:spacing w:line="226" w:lineRule="exact" w:before="10"/>
              <w:ind w:right="232"/>
              <w:jc w:val="right"/>
              <w:rPr>
                <w:sz w:val="20"/>
              </w:rPr>
            </w:pPr>
            <w:r>
              <w:rPr>
                <w:spacing w:val="-5"/>
                <w:sz w:val="20"/>
              </w:rPr>
              <w:t>839</w:t>
            </w:r>
          </w:p>
        </w:tc>
        <w:tc>
          <w:tcPr>
            <w:tcW w:w="1290" w:type="dxa"/>
          </w:tcPr>
          <w:p>
            <w:pPr>
              <w:pStyle w:val="TableParagraph"/>
              <w:spacing w:line="226" w:lineRule="exact" w:before="10"/>
              <w:ind w:right="106"/>
              <w:jc w:val="right"/>
              <w:rPr>
                <w:sz w:val="20"/>
              </w:rPr>
            </w:pPr>
            <w:r>
              <w:rPr>
                <w:w w:val="99"/>
                <w:sz w:val="20"/>
              </w:rPr>
              <w:t>0</w:t>
            </w:r>
          </w:p>
        </w:tc>
        <w:tc>
          <w:tcPr>
            <w:tcW w:w="1696" w:type="dxa"/>
          </w:tcPr>
          <w:p>
            <w:pPr>
              <w:pStyle w:val="TableParagraph"/>
              <w:spacing w:line="226" w:lineRule="exact" w:before="10"/>
              <w:ind w:right="239"/>
              <w:jc w:val="right"/>
              <w:rPr>
                <w:sz w:val="20"/>
              </w:rPr>
            </w:pPr>
            <w:r>
              <w:rPr>
                <w:w w:val="99"/>
                <w:sz w:val="20"/>
              </w:rPr>
              <w:t>0</w:t>
            </w:r>
          </w:p>
        </w:tc>
        <w:tc>
          <w:tcPr>
            <w:tcW w:w="1929" w:type="dxa"/>
            <w:tcBorders>
              <w:right w:val="single" w:sz="12" w:space="0" w:color="000000"/>
            </w:tcBorders>
          </w:tcPr>
          <w:p>
            <w:pPr>
              <w:pStyle w:val="TableParagraph"/>
              <w:spacing w:line="226" w:lineRule="exact" w:before="10"/>
              <w:ind w:right="90"/>
              <w:jc w:val="right"/>
              <w:rPr>
                <w:sz w:val="20"/>
              </w:rPr>
            </w:pPr>
            <w:r>
              <w:rPr>
                <w:spacing w:val="-5"/>
                <w:sz w:val="20"/>
              </w:rPr>
              <w:t>839</w:t>
            </w:r>
          </w:p>
        </w:tc>
      </w:tr>
      <w:tr>
        <w:trPr>
          <w:trHeight w:val="239" w:hRule="atLeast"/>
        </w:trPr>
        <w:tc>
          <w:tcPr>
            <w:tcW w:w="4188" w:type="dxa"/>
            <w:tcBorders>
              <w:left w:val="single" w:sz="12" w:space="0" w:color="000000"/>
            </w:tcBorders>
          </w:tcPr>
          <w:p>
            <w:pPr>
              <w:pStyle w:val="TableParagraph"/>
              <w:spacing w:line="211" w:lineRule="exact" w:before="8"/>
              <w:ind w:left="107"/>
              <w:rPr>
                <w:sz w:val="20"/>
              </w:rPr>
            </w:pPr>
            <w:r>
              <w:rPr>
                <w:sz w:val="20"/>
              </w:rPr>
              <w:t>Computers</w:t>
            </w:r>
            <w:r>
              <w:rPr>
                <w:spacing w:val="-6"/>
                <w:sz w:val="20"/>
              </w:rPr>
              <w:t> </w:t>
            </w:r>
            <w:r>
              <w:rPr>
                <w:sz w:val="20"/>
              </w:rPr>
              <w:t>and</w:t>
            </w:r>
            <w:r>
              <w:rPr>
                <w:spacing w:val="-8"/>
                <w:sz w:val="20"/>
              </w:rPr>
              <w:t> </w:t>
            </w:r>
            <w:r>
              <w:rPr>
                <w:spacing w:val="-2"/>
                <w:sz w:val="20"/>
              </w:rPr>
              <w:t>telecommunications</w:t>
            </w:r>
          </w:p>
        </w:tc>
        <w:tc>
          <w:tcPr>
            <w:tcW w:w="1504" w:type="dxa"/>
            <w:tcBorders>
              <w:bottom w:val="single" w:sz="4" w:space="0" w:color="000000"/>
            </w:tcBorders>
          </w:tcPr>
          <w:p>
            <w:pPr>
              <w:pStyle w:val="TableParagraph"/>
              <w:spacing w:line="211" w:lineRule="exact" w:before="8"/>
              <w:ind w:right="232"/>
              <w:jc w:val="right"/>
              <w:rPr>
                <w:sz w:val="20"/>
              </w:rPr>
            </w:pPr>
            <w:r>
              <w:rPr>
                <w:spacing w:val="-5"/>
                <w:sz w:val="20"/>
              </w:rPr>
              <w:t>566</w:t>
            </w:r>
          </w:p>
        </w:tc>
        <w:tc>
          <w:tcPr>
            <w:tcW w:w="1143" w:type="dxa"/>
            <w:tcBorders>
              <w:bottom w:val="single" w:sz="4" w:space="0" w:color="000000"/>
            </w:tcBorders>
          </w:tcPr>
          <w:p>
            <w:pPr>
              <w:pStyle w:val="TableParagraph"/>
              <w:spacing w:line="211" w:lineRule="exact" w:before="8"/>
              <w:ind w:right="113"/>
              <w:jc w:val="right"/>
              <w:rPr>
                <w:sz w:val="20"/>
              </w:rPr>
            </w:pPr>
            <w:r>
              <w:rPr>
                <w:spacing w:val="-5"/>
                <w:sz w:val="20"/>
              </w:rPr>
              <w:t>170</w:t>
            </w:r>
          </w:p>
        </w:tc>
        <w:tc>
          <w:tcPr>
            <w:tcW w:w="1112" w:type="dxa"/>
            <w:tcBorders>
              <w:bottom w:val="single" w:sz="4" w:space="0" w:color="000000"/>
            </w:tcBorders>
          </w:tcPr>
          <w:p>
            <w:pPr>
              <w:pStyle w:val="TableParagraph"/>
              <w:spacing w:line="211" w:lineRule="exact" w:before="8"/>
              <w:ind w:right="125"/>
              <w:jc w:val="right"/>
              <w:rPr>
                <w:sz w:val="20"/>
              </w:rPr>
            </w:pPr>
            <w:r>
              <w:rPr>
                <w:spacing w:val="-5"/>
                <w:sz w:val="20"/>
              </w:rPr>
              <w:t>283</w:t>
            </w:r>
          </w:p>
        </w:tc>
        <w:tc>
          <w:tcPr>
            <w:tcW w:w="1118" w:type="dxa"/>
            <w:tcBorders>
              <w:bottom w:val="single" w:sz="4" w:space="0" w:color="000000"/>
              <w:right w:val="single" w:sz="4" w:space="0" w:color="000000"/>
            </w:tcBorders>
          </w:tcPr>
          <w:p>
            <w:pPr>
              <w:pStyle w:val="TableParagraph"/>
              <w:spacing w:line="211" w:lineRule="exact" w:before="8"/>
              <w:ind w:right="91"/>
              <w:jc w:val="right"/>
              <w:rPr>
                <w:sz w:val="20"/>
              </w:rPr>
            </w:pPr>
            <w:r>
              <w:rPr>
                <w:spacing w:val="-5"/>
                <w:sz w:val="20"/>
              </w:rPr>
              <w:t>113</w:t>
            </w:r>
          </w:p>
        </w:tc>
        <w:tc>
          <w:tcPr>
            <w:tcW w:w="1420" w:type="dxa"/>
            <w:tcBorders>
              <w:left w:val="single" w:sz="4" w:space="0" w:color="000000"/>
              <w:bottom w:val="single" w:sz="4" w:space="0" w:color="000000"/>
            </w:tcBorders>
          </w:tcPr>
          <w:p>
            <w:pPr>
              <w:pStyle w:val="TableParagraph"/>
              <w:spacing w:line="211" w:lineRule="exact" w:before="8"/>
              <w:ind w:right="232"/>
              <w:jc w:val="right"/>
              <w:rPr>
                <w:sz w:val="20"/>
              </w:rPr>
            </w:pPr>
            <w:r>
              <w:rPr>
                <w:spacing w:val="-5"/>
                <w:sz w:val="20"/>
              </w:rPr>
              <w:t>566</w:t>
            </w:r>
          </w:p>
        </w:tc>
        <w:tc>
          <w:tcPr>
            <w:tcW w:w="1290" w:type="dxa"/>
            <w:tcBorders>
              <w:bottom w:val="single" w:sz="4" w:space="0" w:color="000000"/>
            </w:tcBorders>
          </w:tcPr>
          <w:p>
            <w:pPr>
              <w:pStyle w:val="TableParagraph"/>
              <w:spacing w:line="211" w:lineRule="exact" w:before="8"/>
              <w:ind w:right="106"/>
              <w:jc w:val="right"/>
              <w:rPr>
                <w:sz w:val="20"/>
              </w:rPr>
            </w:pPr>
            <w:r>
              <w:rPr>
                <w:w w:val="99"/>
                <w:sz w:val="20"/>
              </w:rPr>
              <w:t>0</w:t>
            </w:r>
          </w:p>
        </w:tc>
        <w:tc>
          <w:tcPr>
            <w:tcW w:w="1696" w:type="dxa"/>
            <w:tcBorders>
              <w:bottom w:val="single" w:sz="4" w:space="0" w:color="000000"/>
            </w:tcBorders>
          </w:tcPr>
          <w:p>
            <w:pPr>
              <w:pStyle w:val="TableParagraph"/>
              <w:spacing w:line="211" w:lineRule="exact" w:before="8"/>
              <w:ind w:right="239"/>
              <w:jc w:val="right"/>
              <w:rPr>
                <w:sz w:val="20"/>
              </w:rPr>
            </w:pPr>
            <w:r>
              <w:rPr>
                <w:w w:val="99"/>
                <w:sz w:val="20"/>
              </w:rPr>
              <w:t>0</w:t>
            </w:r>
          </w:p>
        </w:tc>
        <w:tc>
          <w:tcPr>
            <w:tcW w:w="1929" w:type="dxa"/>
            <w:tcBorders>
              <w:bottom w:val="single" w:sz="4" w:space="0" w:color="000000"/>
              <w:right w:val="single" w:sz="12" w:space="0" w:color="000000"/>
            </w:tcBorders>
          </w:tcPr>
          <w:p>
            <w:pPr>
              <w:pStyle w:val="TableParagraph"/>
              <w:spacing w:line="211" w:lineRule="exact" w:before="8"/>
              <w:ind w:right="90"/>
              <w:jc w:val="right"/>
              <w:rPr>
                <w:sz w:val="20"/>
              </w:rPr>
            </w:pPr>
            <w:r>
              <w:rPr>
                <w:spacing w:val="-5"/>
                <w:sz w:val="20"/>
              </w:rPr>
              <w:t>566</w:t>
            </w:r>
          </w:p>
        </w:tc>
      </w:tr>
      <w:tr>
        <w:trPr>
          <w:trHeight w:val="254" w:hRule="atLeast"/>
        </w:trPr>
        <w:tc>
          <w:tcPr>
            <w:tcW w:w="4188" w:type="dxa"/>
            <w:tcBorders>
              <w:left w:val="single" w:sz="12" w:space="0" w:color="000000"/>
            </w:tcBorders>
          </w:tcPr>
          <w:p>
            <w:pPr>
              <w:pStyle w:val="TableParagraph"/>
              <w:spacing w:line="211" w:lineRule="exact" w:before="23"/>
              <w:ind w:left="107"/>
              <w:rPr>
                <w:b/>
                <w:sz w:val="20"/>
              </w:rPr>
            </w:pPr>
            <w:r>
              <w:rPr>
                <w:b/>
                <w:sz w:val="20"/>
              </w:rPr>
              <w:t>Total</w:t>
            </w:r>
            <w:r>
              <w:rPr>
                <w:b/>
                <w:spacing w:val="-6"/>
                <w:sz w:val="20"/>
              </w:rPr>
              <w:t> </w:t>
            </w:r>
            <w:r>
              <w:rPr>
                <w:b/>
                <w:sz w:val="20"/>
              </w:rPr>
              <w:t>Plant</w:t>
            </w:r>
            <w:r>
              <w:rPr>
                <w:b/>
                <w:spacing w:val="-6"/>
                <w:sz w:val="20"/>
              </w:rPr>
              <w:t> </w:t>
            </w:r>
            <w:r>
              <w:rPr>
                <w:b/>
                <w:sz w:val="20"/>
              </w:rPr>
              <w:t>and</w:t>
            </w:r>
            <w:r>
              <w:rPr>
                <w:b/>
                <w:spacing w:val="-4"/>
                <w:sz w:val="20"/>
              </w:rPr>
              <w:t> </w:t>
            </w:r>
            <w:r>
              <w:rPr>
                <w:b/>
                <w:spacing w:val="-2"/>
                <w:sz w:val="20"/>
              </w:rPr>
              <w:t>Equipment</w:t>
            </w:r>
          </w:p>
        </w:tc>
        <w:tc>
          <w:tcPr>
            <w:tcW w:w="1504" w:type="dxa"/>
            <w:tcBorders>
              <w:top w:val="single" w:sz="4" w:space="0" w:color="000000"/>
              <w:bottom w:val="single" w:sz="4" w:space="0" w:color="000000"/>
            </w:tcBorders>
          </w:tcPr>
          <w:p>
            <w:pPr>
              <w:pStyle w:val="TableParagraph"/>
              <w:spacing w:line="211" w:lineRule="exact" w:before="23"/>
              <w:ind w:right="231"/>
              <w:jc w:val="right"/>
              <w:rPr>
                <w:b/>
                <w:sz w:val="20"/>
              </w:rPr>
            </w:pPr>
            <w:r>
              <w:rPr>
                <w:b/>
                <w:spacing w:val="-2"/>
                <w:sz w:val="20"/>
              </w:rPr>
              <w:t>3,636</w:t>
            </w:r>
          </w:p>
        </w:tc>
        <w:tc>
          <w:tcPr>
            <w:tcW w:w="1143" w:type="dxa"/>
            <w:tcBorders>
              <w:top w:val="single" w:sz="4" w:space="0" w:color="000000"/>
              <w:bottom w:val="single" w:sz="4" w:space="0" w:color="000000"/>
            </w:tcBorders>
          </w:tcPr>
          <w:p>
            <w:pPr>
              <w:pStyle w:val="TableParagraph"/>
              <w:spacing w:line="211" w:lineRule="exact" w:before="23"/>
              <w:ind w:right="113"/>
              <w:jc w:val="right"/>
              <w:rPr>
                <w:b/>
                <w:sz w:val="20"/>
              </w:rPr>
            </w:pPr>
            <w:r>
              <w:rPr>
                <w:b/>
                <w:spacing w:val="-5"/>
                <w:sz w:val="20"/>
              </w:rPr>
              <w:t>249</w:t>
            </w:r>
          </w:p>
        </w:tc>
        <w:tc>
          <w:tcPr>
            <w:tcW w:w="1112" w:type="dxa"/>
            <w:tcBorders>
              <w:top w:val="single" w:sz="4" w:space="0" w:color="000000"/>
              <w:bottom w:val="single" w:sz="4" w:space="0" w:color="000000"/>
            </w:tcBorders>
          </w:tcPr>
          <w:p>
            <w:pPr>
              <w:pStyle w:val="TableParagraph"/>
              <w:spacing w:line="211" w:lineRule="exact" w:before="23"/>
              <w:ind w:right="126"/>
              <w:jc w:val="right"/>
              <w:rPr>
                <w:b/>
                <w:sz w:val="20"/>
              </w:rPr>
            </w:pPr>
            <w:r>
              <w:rPr>
                <w:b/>
                <w:spacing w:val="-2"/>
                <w:sz w:val="20"/>
              </w:rPr>
              <w:t>3,229</w:t>
            </w:r>
          </w:p>
        </w:tc>
        <w:tc>
          <w:tcPr>
            <w:tcW w:w="1118" w:type="dxa"/>
            <w:tcBorders>
              <w:top w:val="single" w:sz="4" w:space="0" w:color="000000"/>
              <w:bottom w:val="single" w:sz="4" w:space="0" w:color="000000"/>
              <w:right w:val="single" w:sz="4" w:space="0" w:color="000000"/>
            </w:tcBorders>
          </w:tcPr>
          <w:p>
            <w:pPr>
              <w:pStyle w:val="TableParagraph"/>
              <w:spacing w:line="211" w:lineRule="exact" w:before="23"/>
              <w:ind w:right="91"/>
              <w:jc w:val="right"/>
              <w:rPr>
                <w:b/>
                <w:sz w:val="20"/>
              </w:rPr>
            </w:pPr>
            <w:r>
              <w:rPr>
                <w:b/>
                <w:spacing w:val="-5"/>
                <w:sz w:val="20"/>
              </w:rPr>
              <w:t>158</w:t>
            </w:r>
          </w:p>
        </w:tc>
        <w:tc>
          <w:tcPr>
            <w:tcW w:w="1420" w:type="dxa"/>
            <w:tcBorders>
              <w:top w:val="single" w:sz="4" w:space="0" w:color="000000"/>
              <w:left w:val="single" w:sz="4" w:space="0" w:color="000000"/>
              <w:bottom w:val="single" w:sz="4" w:space="0" w:color="000000"/>
            </w:tcBorders>
          </w:tcPr>
          <w:p>
            <w:pPr>
              <w:pStyle w:val="TableParagraph"/>
              <w:spacing w:line="211" w:lineRule="exact" w:before="23"/>
              <w:ind w:right="231"/>
              <w:jc w:val="right"/>
              <w:rPr>
                <w:b/>
                <w:sz w:val="20"/>
              </w:rPr>
            </w:pPr>
            <w:r>
              <w:rPr>
                <w:b/>
                <w:spacing w:val="-2"/>
                <w:sz w:val="20"/>
              </w:rPr>
              <w:t>2,962</w:t>
            </w:r>
          </w:p>
        </w:tc>
        <w:tc>
          <w:tcPr>
            <w:tcW w:w="1290" w:type="dxa"/>
            <w:tcBorders>
              <w:top w:val="single" w:sz="4" w:space="0" w:color="000000"/>
              <w:bottom w:val="single" w:sz="4" w:space="0" w:color="000000"/>
            </w:tcBorders>
          </w:tcPr>
          <w:p>
            <w:pPr>
              <w:pStyle w:val="TableParagraph"/>
              <w:spacing w:line="211" w:lineRule="exact" w:before="23"/>
              <w:ind w:right="106"/>
              <w:jc w:val="right"/>
              <w:rPr>
                <w:b/>
                <w:sz w:val="20"/>
              </w:rPr>
            </w:pPr>
            <w:r>
              <w:rPr>
                <w:b/>
                <w:w w:val="99"/>
                <w:sz w:val="20"/>
              </w:rPr>
              <w:t>0</w:t>
            </w:r>
          </w:p>
        </w:tc>
        <w:tc>
          <w:tcPr>
            <w:tcW w:w="1696" w:type="dxa"/>
            <w:tcBorders>
              <w:top w:val="single" w:sz="4" w:space="0" w:color="000000"/>
              <w:bottom w:val="single" w:sz="4" w:space="0" w:color="000000"/>
            </w:tcBorders>
          </w:tcPr>
          <w:p>
            <w:pPr>
              <w:pStyle w:val="TableParagraph"/>
              <w:spacing w:line="211" w:lineRule="exact" w:before="23"/>
              <w:ind w:right="239"/>
              <w:jc w:val="right"/>
              <w:rPr>
                <w:b/>
                <w:sz w:val="20"/>
              </w:rPr>
            </w:pPr>
            <w:r>
              <w:rPr>
                <w:b/>
                <w:w w:val="99"/>
                <w:sz w:val="20"/>
              </w:rPr>
              <w:t>0</w:t>
            </w:r>
          </w:p>
        </w:tc>
        <w:tc>
          <w:tcPr>
            <w:tcW w:w="1929" w:type="dxa"/>
            <w:tcBorders>
              <w:top w:val="single" w:sz="4" w:space="0" w:color="000000"/>
              <w:bottom w:val="single" w:sz="4" w:space="0" w:color="000000"/>
              <w:right w:val="single" w:sz="12" w:space="0" w:color="000000"/>
            </w:tcBorders>
          </w:tcPr>
          <w:p>
            <w:pPr>
              <w:pStyle w:val="TableParagraph"/>
              <w:spacing w:line="211" w:lineRule="exact" w:before="23"/>
              <w:ind w:right="89"/>
              <w:jc w:val="right"/>
              <w:rPr>
                <w:b/>
                <w:sz w:val="20"/>
              </w:rPr>
            </w:pPr>
            <w:r>
              <w:rPr>
                <w:b/>
                <w:spacing w:val="-2"/>
                <w:sz w:val="20"/>
              </w:rPr>
              <w:t>2,962</w:t>
            </w:r>
          </w:p>
        </w:tc>
      </w:tr>
      <w:tr>
        <w:trPr>
          <w:trHeight w:val="525" w:hRule="atLeast"/>
        </w:trPr>
        <w:tc>
          <w:tcPr>
            <w:tcW w:w="4188" w:type="dxa"/>
            <w:tcBorders>
              <w:left w:val="single" w:sz="12" w:space="0" w:color="000000"/>
            </w:tcBorders>
          </w:tcPr>
          <w:p>
            <w:pPr>
              <w:pStyle w:val="TableParagraph"/>
              <w:spacing w:before="4"/>
              <w:rPr>
                <w:b/>
                <w:sz w:val="24"/>
              </w:rPr>
            </w:pPr>
          </w:p>
          <w:p>
            <w:pPr>
              <w:pStyle w:val="TableParagraph"/>
              <w:spacing w:line="226" w:lineRule="exact"/>
              <w:ind w:left="107"/>
              <w:rPr>
                <w:b/>
                <w:sz w:val="20"/>
              </w:rPr>
            </w:pPr>
            <w:r>
              <w:rPr>
                <w:b/>
                <w:spacing w:val="-2"/>
                <w:sz w:val="20"/>
              </w:rPr>
              <w:t>Infrastructure</w:t>
            </w:r>
          </w:p>
        </w:tc>
        <w:tc>
          <w:tcPr>
            <w:tcW w:w="1504" w:type="dxa"/>
            <w:tcBorders>
              <w:top w:val="single" w:sz="4" w:space="0" w:color="000000"/>
            </w:tcBorders>
          </w:tcPr>
          <w:p>
            <w:pPr>
              <w:pStyle w:val="TableParagraph"/>
              <w:rPr>
                <w:rFonts w:ascii="Times New Roman"/>
                <w:sz w:val="18"/>
              </w:rPr>
            </w:pPr>
          </w:p>
        </w:tc>
        <w:tc>
          <w:tcPr>
            <w:tcW w:w="1143" w:type="dxa"/>
            <w:tcBorders>
              <w:top w:val="single" w:sz="4" w:space="0" w:color="000000"/>
            </w:tcBorders>
          </w:tcPr>
          <w:p>
            <w:pPr>
              <w:pStyle w:val="TableParagraph"/>
              <w:rPr>
                <w:rFonts w:ascii="Times New Roman"/>
                <w:sz w:val="18"/>
              </w:rPr>
            </w:pPr>
          </w:p>
        </w:tc>
        <w:tc>
          <w:tcPr>
            <w:tcW w:w="1112" w:type="dxa"/>
            <w:tcBorders>
              <w:top w:val="single" w:sz="4" w:space="0" w:color="000000"/>
            </w:tcBorders>
          </w:tcPr>
          <w:p>
            <w:pPr>
              <w:pStyle w:val="TableParagraph"/>
              <w:rPr>
                <w:rFonts w:ascii="Times New Roman"/>
                <w:sz w:val="18"/>
              </w:rPr>
            </w:pPr>
          </w:p>
        </w:tc>
        <w:tc>
          <w:tcPr>
            <w:tcW w:w="1118" w:type="dxa"/>
            <w:tcBorders>
              <w:top w:val="single" w:sz="4" w:space="0" w:color="000000"/>
              <w:right w:val="single" w:sz="4" w:space="0" w:color="000000"/>
            </w:tcBorders>
          </w:tcPr>
          <w:p>
            <w:pPr>
              <w:pStyle w:val="TableParagraph"/>
              <w:rPr>
                <w:rFonts w:ascii="Times New Roman"/>
                <w:sz w:val="18"/>
              </w:rPr>
            </w:pPr>
          </w:p>
        </w:tc>
        <w:tc>
          <w:tcPr>
            <w:tcW w:w="1420" w:type="dxa"/>
            <w:tcBorders>
              <w:top w:val="single" w:sz="4" w:space="0" w:color="000000"/>
              <w:left w:val="single" w:sz="4" w:space="0" w:color="000000"/>
            </w:tcBorders>
          </w:tcPr>
          <w:p>
            <w:pPr>
              <w:pStyle w:val="TableParagraph"/>
              <w:rPr>
                <w:rFonts w:ascii="Times New Roman"/>
                <w:sz w:val="18"/>
              </w:rPr>
            </w:pPr>
          </w:p>
        </w:tc>
        <w:tc>
          <w:tcPr>
            <w:tcW w:w="1290" w:type="dxa"/>
            <w:tcBorders>
              <w:top w:val="single" w:sz="4" w:space="0" w:color="000000"/>
            </w:tcBorders>
          </w:tcPr>
          <w:p>
            <w:pPr>
              <w:pStyle w:val="TableParagraph"/>
              <w:rPr>
                <w:rFonts w:ascii="Times New Roman"/>
                <w:sz w:val="18"/>
              </w:rPr>
            </w:pPr>
          </w:p>
        </w:tc>
        <w:tc>
          <w:tcPr>
            <w:tcW w:w="1696" w:type="dxa"/>
            <w:tcBorders>
              <w:top w:val="single" w:sz="4" w:space="0" w:color="000000"/>
            </w:tcBorders>
          </w:tcPr>
          <w:p>
            <w:pPr>
              <w:pStyle w:val="TableParagraph"/>
              <w:rPr>
                <w:rFonts w:ascii="Times New Roman"/>
                <w:sz w:val="18"/>
              </w:rPr>
            </w:pPr>
          </w:p>
        </w:tc>
        <w:tc>
          <w:tcPr>
            <w:tcW w:w="1929" w:type="dxa"/>
            <w:tcBorders>
              <w:top w:val="single" w:sz="4" w:space="0" w:color="000000"/>
              <w:right w:val="single" w:sz="12" w:space="0" w:color="000000"/>
            </w:tcBorders>
          </w:tcPr>
          <w:p>
            <w:pPr>
              <w:pStyle w:val="TableParagraph"/>
              <w:rPr>
                <w:rFonts w:ascii="Times New Roman"/>
                <w:sz w:val="18"/>
              </w:rPr>
            </w:pPr>
          </w:p>
        </w:tc>
      </w:tr>
      <w:tr>
        <w:trPr>
          <w:trHeight w:val="255" w:hRule="atLeast"/>
        </w:trPr>
        <w:tc>
          <w:tcPr>
            <w:tcW w:w="4188" w:type="dxa"/>
            <w:tcBorders>
              <w:left w:val="single" w:sz="12" w:space="0" w:color="000000"/>
            </w:tcBorders>
          </w:tcPr>
          <w:p>
            <w:pPr>
              <w:pStyle w:val="TableParagraph"/>
              <w:spacing w:line="227" w:lineRule="exact" w:before="8"/>
              <w:ind w:left="107"/>
              <w:rPr>
                <w:sz w:val="20"/>
              </w:rPr>
            </w:pPr>
            <w:r>
              <w:rPr>
                <w:spacing w:val="-2"/>
                <w:sz w:val="20"/>
              </w:rPr>
              <w:t>Roads</w:t>
            </w:r>
          </w:p>
        </w:tc>
        <w:tc>
          <w:tcPr>
            <w:tcW w:w="1504" w:type="dxa"/>
          </w:tcPr>
          <w:p>
            <w:pPr>
              <w:pStyle w:val="TableParagraph"/>
              <w:spacing w:line="227" w:lineRule="exact" w:before="8"/>
              <w:ind w:right="231"/>
              <w:jc w:val="right"/>
              <w:rPr>
                <w:sz w:val="20"/>
              </w:rPr>
            </w:pPr>
            <w:r>
              <w:rPr>
                <w:spacing w:val="-2"/>
                <w:sz w:val="20"/>
              </w:rPr>
              <w:t>5,204</w:t>
            </w:r>
          </w:p>
        </w:tc>
        <w:tc>
          <w:tcPr>
            <w:tcW w:w="1143" w:type="dxa"/>
          </w:tcPr>
          <w:p>
            <w:pPr>
              <w:pStyle w:val="TableParagraph"/>
              <w:spacing w:line="227" w:lineRule="exact" w:before="8"/>
              <w:ind w:right="110"/>
              <w:jc w:val="right"/>
              <w:rPr>
                <w:sz w:val="20"/>
              </w:rPr>
            </w:pPr>
            <w:r>
              <w:rPr>
                <w:w w:val="99"/>
                <w:sz w:val="20"/>
              </w:rPr>
              <w:t>0</w:t>
            </w:r>
          </w:p>
        </w:tc>
        <w:tc>
          <w:tcPr>
            <w:tcW w:w="1112" w:type="dxa"/>
          </w:tcPr>
          <w:p>
            <w:pPr>
              <w:pStyle w:val="TableParagraph"/>
              <w:spacing w:line="227" w:lineRule="exact" w:before="8"/>
              <w:ind w:right="126"/>
              <w:jc w:val="right"/>
              <w:rPr>
                <w:sz w:val="20"/>
              </w:rPr>
            </w:pPr>
            <w:r>
              <w:rPr>
                <w:spacing w:val="-2"/>
                <w:sz w:val="20"/>
              </w:rPr>
              <w:t>4,876</w:t>
            </w:r>
          </w:p>
        </w:tc>
        <w:tc>
          <w:tcPr>
            <w:tcW w:w="1118" w:type="dxa"/>
            <w:tcBorders>
              <w:right w:val="single" w:sz="4" w:space="0" w:color="000000"/>
            </w:tcBorders>
          </w:tcPr>
          <w:p>
            <w:pPr>
              <w:pStyle w:val="TableParagraph"/>
              <w:spacing w:line="227" w:lineRule="exact" w:before="8"/>
              <w:ind w:right="91"/>
              <w:jc w:val="right"/>
              <w:rPr>
                <w:sz w:val="20"/>
              </w:rPr>
            </w:pPr>
            <w:r>
              <w:rPr>
                <w:spacing w:val="-5"/>
                <w:sz w:val="20"/>
              </w:rPr>
              <w:t>328</w:t>
            </w:r>
          </w:p>
        </w:tc>
        <w:tc>
          <w:tcPr>
            <w:tcW w:w="1420" w:type="dxa"/>
            <w:tcBorders>
              <w:left w:val="single" w:sz="4" w:space="0" w:color="000000"/>
            </w:tcBorders>
          </w:tcPr>
          <w:p>
            <w:pPr>
              <w:pStyle w:val="TableParagraph"/>
              <w:spacing w:line="227" w:lineRule="exact" w:before="8"/>
              <w:ind w:right="231"/>
              <w:jc w:val="right"/>
              <w:rPr>
                <w:sz w:val="20"/>
              </w:rPr>
            </w:pPr>
            <w:r>
              <w:rPr>
                <w:spacing w:val="-2"/>
                <w:sz w:val="20"/>
              </w:rPr>
              <w:t>5,204</w:t>
            </w:r>
          </w:p>
        </w:tc>
        <w:tc>
          <w:tcPr>
            <w:tcW w:w="1290" w:type="dxa"/>
          </w:tcPr>
          <w:p>
            <w:pPr>
              <w:pStyle w:val="TableParagraph"/>
              <w:spacing w:line="227" w:lineRule="exact" w:before="8"/>
              <w:ind w:right="108"/>
              <w:jc w:val="right"/>
              <w:rPr>
                <w:sz w:val="20"/>
              </w:rPr>
            </w:pPr>
            <w:r>
              <w:rPr>
                <w:spacing w:val="-2"/>
                <w:sz w:val="20"/>
              </w:rPr>
              <w:t>1,016</w:t>
            </w:r>
          </w:p>
        </w:tc>
        <w:tc>
          <w:tcPr>
            <w:tcW w:w="1696" w:type="dxa"/>
          </w:tcPr>
          <w:p>
            <w:pPr>
              <w:pStyle w:val="TableParagraph"/>
              <w:spacing w:line="227" w:lineRule="exact" w:before="8"/>
              <w:ind w:right="239"/>
              <w:jc w:val="right"/>
              <w:rPr>
                <w:sz w:val="20"/>
              </w:rPr>
            </w:pPr>
            <w:r>
              <w:rPr>
                <w:w w:val="99"/>
                <w:sz w:val="20"/>
              </w:rPr>
              <w:t>0</w:t>
            </w:r>
          </w:p>
        </w:tc>
        <w:tc>
          <w:tcPr>
            <w:tcW w:w="1929" w:type="dxa"/>
            <w:tcBorders>
              <w:right w:val="single" w:sz="12" w:space="0" w:color="000000"/>
            </w:tcBorders>
          </w:tcPr>
          <w:p>
            <w:pPr>
              <w:pStyle w:val="TableParagraph"/>
              <w:spacing w:line="227" w:lineRule="exact" w:before="8"/>
              <w:ind w:right="89"/>
              <w:jc w:val="right"/>
              <w:rPr>
                <w:sz w:val="20"/>
              </w:rPr>
            </w:pPr>
            <w:r>
              <w:rPr>
                <w:spacing w:val="-2"/>
                <w:sz w:val="20"/>
              </w:rPr>
              <w:t>4,188</w:t>
            </w:r>
          </w:p>
        </w:tc>
      </w:tr>
      <w:tr>
        <w:trPr>
          <w:trHeight w:val="255" w:hRule="atLeast"/>
        </w:trPr>
        <w:tc>
          <w:tcPr>
            <w:tcW w:w="4188" w:type="dxa"/>
            <w:tcBorders>
              <w:left w:val="single" w:sz="12" w:space="0" w:color="000000"/>
            </w:tcBorders>
          </w:tcPr>
          <w:p>
            <w:pPr>
              <w:pStyle w:val="TableParagraph"/>
              <w:spacing w:line="226" w:lineRule="exact" w:before="10"/>
              <w:ind w:left="107"/>
              <w:rPr>
                <w:sz w:val="20"/>
              </w:rPr>
            </w:pPr>
            <w:r>
              <w:rPr>
                <w:sz w:val="20"/>
              </w:rPr>
              <w:t>Footpaths</w:t>
            </w:r>
            <w:r>
              <w:rPr>
                <w:spacing w:val="-7"/>
                <w:sz w:val="20"/>
              </w:rPr>
              <w:t> </w:t>
            </w:r>
            <w:r>
              <w:rPr>
                <w:sz w:val="20"/>
              </w:rPr>
              <w:t>and</w:t>
            </w:r>
            <w:r>
              <w:rPr>
                <w:spacing w:val="-9"/>
                <w:sz w:val="20"/>
              </w:rPr>
              <w:t> </w:t>
            </w:r>
            <w:r>
              <w:rPr>
                <w:spacing w:val="-2"/>
                <w:sz w:val="20"/>
              </w:rPr>
              <w:t>cycleways</w:t>
            </w:r>
          </w:p>
        </w:tc>
        <w:tc>
          <w:tcPr>
            <w:tcW w:w="1504" w:type="dxa"/>
          </w:tcPr>
          <w:p>
            <w:pPr>
              <w:pStyle w:val="TableParagraph"/>
              <w:spacing w:line="226" w:lineRule="exact" w:before="10"/>
              <w:ind w:right="231"/>
              <w:jc w:val="right"/>
              <w:rPr>
                <w:sz w:val="20"/>
              </w:rPr>
            </w:pPr>
            <w:r>
              <w:rPr>
                <w:spacing w:val="-2"/>
                <w:sz w:val="20"/>
              </w:rPr>
              <w:t>3,734</w:t>
            </w:r>
          </w:p>
        </w:tc>
        <w:tc>
          <w:tcPr>
            <w:tcW w:w="1143" w:type="dxa"/>
          </w:tcPr>
          <w:p>
            <w:pPr>
              <w:pStyle w:val="TableParagraph"/>
              <w:spacing w:line="226" w:lineRule="exact" w:before="10"/>
              <w:ind w:right="112"/>
              <w:jc w:val="right"/>
              <w:rPr>
                <w:sz w:val="20"/>
              </w:rPr>
            </w:pPr>
            <w:r>
              <w:rPr>
                <w:spacing w:val="-2"/>
                <w:sz w:val="20"/>
              </w:rPr>
              <w:t>1,613</w:t>
            </w:r>
          </w:p>
        </w:tc>
        <w:tc>
          <w:tcPr>
            <w:tcW w:w="1112" w:type="dxa"/>
          </w:tcPr>
          <w:p>
            <w:pPr>
              <w:pStyle w:val="TableParagraph"/>
              <w:spacing w:line="226" w:lineRule="exact" w:before="10"/>
              <w:ind w:right="126"/>
              <w:jc w:val="right"/>
              <w:rPr>
                <w:sz w:val="20"/>
              </w:rPr>
            </w:pPr>
            <w:r>
              <w:rPr>
                <w:spacing w:val="-2"/>
                <w:sz w:val="20"/>
              </w:rPr>
              <w:t>1,845</w:t>
            </w:r>
          </w:p>
        </w:tc>
        <w:tc>
          <w:tcPr>
            <w:tcW w:w="1118" w:type="dxa"/>
            <w:tcBorders>
              <w:right w:val="single" w:sz="4" w:space="0" w:color="000000"/>
            </w:tcBorders>
          </w:tcPr>
          <w:p>
            <w:pPr>
              <w:pStyle w:val="TableParagraph"/>
              <w:spacing w:line="226" w:lineRule="exact" w:before="10"/>
              <w:ind w:right="91"/>
              <w:jc w:val="right"/>
              <w:rPr>
                <w:sz w:val="20"/>
              </w:rPr>
            </w:pPr>
            <w:r>
              <w:rPr>
                <w:spacing w:val="-5"/>
                <w:sz w:val="20"/>
              </w:rPr>
              <w:t>276</w:t>
            </w:r>
          </w:p>
        </w:tc>
        <w:tc>
          <w:tcPr>
            <w:tcW w:w="1420" w:type="dxa"/>
            <w:tcBorders>
              <w:left w:val="single" w:sz="4" w:space="0" w:color="000000"/>
            </w:tcBorders>
          </w:tcPr>
          <w:p>
            <w:pPr>
              <w:pStyle w:val="TableParagraph"/>
              <w:spacing w:line="226" w:lineRule="exact" w:before="10"/>
              <w:ind w:right="231"/>
              <w:jc w:val="right"/>
              <w:rPr>
                <w:sz w:val="20"/>
              </w:rPr>
            </w:pPr>
            <w:r>
              <w:rPr>
                <w:spacing w:val="-2"/>
                <w:sz w:val="20"/>
              </w:rPr>
              <w:t>3,734</w:t>
            </w:r>
          </w:p>
        </w:tc>
        <w:tc>
          <w:tcPr>
            <w:tcW w:w="1290" w:type="dxa"/>
          </w:tcPr>
          <w:p>
            <w:pPr>
              <w:pStyle w:val="TableParagraph"/>
              <w:spacing w:line="226" w:lineRule="exact" w:before="10"/>
              <w:ind w:right="106"/>
              <w:jc w:val="right"/>
              <w:rPr>
                <w:sz w:val="20"/>
              </w:rPr>
            </w:pPr>
            <w:r>
              <w:rPr>
                <w:w w:val="99"/>
                <w:sz w:val="20"/>
              </w:rPr>
              <w:t>0</w:t>
            </w:r>
          </w:p>
        </w:tc>
        <w:tc>
          <w:tcPr>
            <w:tcW w:w="1696" w:type="dxa"/>
          </w:tcPr>
          <w:p>
            <w:pPr>
              <w:pStyle w:val="TableParagraph"/>
              <w:spacing w:line="226" w:lineRule="exact" w:before="10"/>
              <w:ind w:right="239"/>
              <w:jc w:val="right"/>
              <w:rPr>
                <w:sz w:val="20"/>
              </w:rPr>
            </w:pPr>
            <w:r>
              <w:rPr>
                <w:w w:val="99"/>
                <w:sz w:val="20"/>
              </w:rPr>
              <w:t>0</w:t>
            </w:r>
          </w:p>
        </w:tc>
        <w:tc>
          <w:tcPr>
            <w:tcW w:w="1929" w:type="dxa"/>
            <w:tcBorders>
              <w:right w:val="single" w:sz="12" w:space="0" w:color="000000"/>
            </w:tcBorders>
          </w:tcPr>
          <w:p>
            <w:pPr>
              <w:pStyle w:val="TableParagraph"/>
              <w:spacing w:line="226" w:lineRule="exact" w:before="10"/>
              <w:ind w:right="89"/>
              <w:jc w:val="right"/>
              <w:rPr>
                <w:sz w:val="20"/>
              </w:rPr>
            </w:pPr>
            <w:r>
              <w:rPr>
                <w:spacing w:val="-2"/>
                <w:sz w:val="20"/>
              </w:rPr>
              <w:t>3,734</w:t>
            </w:r>
          </w:p>
        </w:tc>
      </w:tr>
      <w:tr>
        <w:trPr>
          <w:trHeight w:val="242" w:hRule="atLeast"/>
        </w:trPr>
        <w:tc>
          <w:tcPr>
            <w:tcW w:w="4188" w:type="dxa"/>
            <w:tcBorders>
              <w:left w:val="single" w:sz="12" w:space="0" w:color="000000"/>
            </w:tcBorders>
          </w:tcPr>
          <w:p>
            <w:pPr>
              <w:pStyle w:val="TableParagraph"/>
              <w:spacing w:line="214" w:lineRule="exact" w:before="8"/>
              <w:ind w:left="107"/>
              <w:rPr>
                <w:sz w:val="20"/>
              </w:rPr>
            </w:pPr>
            <w:r>
              <w:rPr>
                <w:spacing w:val="-2"/>
                <w:sz w:val="20"/>
              </w:rPr>
              <w:t>Drainage</w:t>
            </w:r>
          </w:p>
        </w:tc>
        <w:tc>
          <w:tcPr>
            <w:tcW w:w="1504" w:type="dxa"/>
          </w:tcPr>
          <w:p>
            <w:pPr>
              <w:pStyle w:val="TableParagraph"/>
              <w:spacing w:line="214" w:lineRule="exact" w:before="8"/>
              <w:ind w:right="231"/>
              <w:jc w:val="right"/>
              <w:rPr>
                <w:sz w:val="20"/>
              </w:rPr>
            </w:pPr>
            <w:r>
              <w:rPr>
                <w:spacing w:val="-2"/>
                <w:sz w:val="20"/>
              </w:rPr>
              <w:t>4,500</w:t>
            </w:r>
          </w:p>
        </w:tc>
        <w:tc>
          <w:tcPr>
            <w:tcW w:w="1143" w:type="dxa"/>
          </w:tcPr>
          <w:p>
            <w:pPr>
              <w:pStyle w:val="TableParagraph"/>
              <w:spacing w:line="214" w:lineRule="exact" w:before="8"/>
              <w:ind w:right="110"/>
              <w:jc w:val="right"/>
              <w:rPr>
                <w:sz w:val="20"/>
              </w:rPr>
            </w:pPr>
            <w:r>
              <w:rPr>
                <w:w w:val="99"/>
                <w:sz w:val="20"/>
              </w:rPr>
              <w:t>0</w:t>
            </w:r>
          </w:p>
        </w:tc>
        <w:tc>
          <w:tcPr>
            <w:tcW w:w="1112" w:type="dxa"/>
          </w:tcPr>
          <w:p>
            <w:pPr>
              <w:pStyle w:val="TableParagraph"/>
              <w:spacing w:line="214" w:lineRule="exact" w:before="8"/>
              <w:ind w:right="126"/>
              <w:jc w:val="right"/>
              <w:rPr>
                <w:sz w:val="20"/>
              </w:rPr>
            </w:pPr>
            <w:r>
              <w:rPr>
                <w:spacing w:val="-2"/>
                <w:sz w:val="20"/>
              </w:rPr>
              <w:t>3,776</w:t>
            </w:r>
          </w:p>
        </w:tc>
        <w:tc>
          <w:tcPr>
            <w:tcW w:w="1118" w:type="dxa"/>
            <w:tcBorders>
              <w:right w:val="single" w:sz="4" w:space="0" w:color="000000"/>
            </w:tcBorders>
          </w:tcPr>
          <w:p>
            <w:pPr>
              <w:pStyle w:val="TableParagraph"/>
              <w:spacing w:line="214" w:lineRule="exact" w:before="8"/>
              <w:ind w:right="91"/>
              <w:jc w:val="right"/>
              <w:rPr>
                <w:sz w:val="20"/>
              </w:rPr>
            </w:pPr>
            <w:r>
              <w:rPr>
                <w:spacing w:val="-5"/>
                <w:sz w:val="20"/>
              </w:rPr>
              <w:t>724</w:t>
            </w:r>
          </w:p>
        </w:tc>
        <w:tc>
          <w:tcPr>
            <w:tcW w:w="1420" w:type="dxa"/>
            <w:tcBorders>
              <w:left w:val="single" w:sz="4" w:space="0" w:color="000000"/>
            </w:tcBorders>
          </w:tcPr>
          <w:p>
            <w:pPr>
              <w:pStyle w:val="TableParagraph"/>
              <w:spacing w:line="214" w:lineRule="exact" w:before="8"/>
              <w:ind w:right="231"/>
              <w:jc w:val="right"/>
              <w:rPr>
                <w:sz w:val="20"/>
              </w:rPr>
            </w:pPr>
            <w:r>
              <w:rPr>
                <w:spacing w:val="-2"/>
                <w:sz w:val="20"/>
              </w:rPr>
              <w:t>4,500</w:t>
            </w:r>
          </w:p>
        </w:tc>
        <w:tc>
          <w:tcPr>
            <w:tcW w:w="1290" w:type="dxa"/>
          </w:tcPr>
          <w:p>
            <w:pPr>
              <w:pStyle w:val="TableParagraph"/>
              <w:spacing w:line="214" w:lineRule="exact" w:before="8"/>
              <w:ind w:right="106"/>
              <w:jc w:val="right"/>
              <w:rPr>
                <w:sz w:val="20"/>
              </w:rPr>
            </w:pPr>
            <w:r>
              <w:rPr>
                <w:w w:val="99"/>
                <w:sz w:val="20"/>
              </w:rPr>
              <w:t>0</w:t>
            </w:r>
          </w:p>
        </w:tc>
        <w:tc>
          <w:tcPr>
            <w:tcW w:w="1696" w:type="dxa"/>
          </w:tcPr>
          <w:p>
            <w:pPr>
              <w:pStyle w:val="TableParagraph"/>
              <w:spacing w:line="214" w:lineRule="exact" w:before="8"/>
              <w:ind w:right="239"/>
              <w:jc w:val="right"/>
              <w:rPr>
                <w:sz w:val="20"/>
              </w:rPr>
            </w:pPr>
            <w:r>
              <w:rPr>
                <w:w w:val="99"/>
                <w:sz w:val="20"/>
              </w:rPr>
              <w:t>0</w:t>
            </w:r>
          </w:p>
        </w:tc>
        <w:tc>
          <w:tcPr>
            <w:tcW w:w="1929" w:type="dxa"/>
            <w:tcBorders>
              <w:right w:val="single" w:sz="12" w:space="0" w:color="000000"/>
            </w:tcBorders>
          </w:tcPr>
          <w:p>
            <w:pPr>
              <w:pStyle w:val="TableParagraph"/>
              <w:spacing w:line="214" w:lineRule="exact" w:before="8"/>
              <w:ind w:right="89"/>
              <w:jc w:val="right"/>
              <w:rPr>
                <w:sz w:val="20"/>
              </w:rPr>
            </w:pPr>
            <w:r>
              <w:rPr>
                <w:spacing w:val="-2"/>
                <w:sz w:val="20"/>
              </w:rPr>
              <w:t>4,500</w:t>
            </w:r>
          </w:p>
        </w:tc>
      </w:tr>
      <w:tr>
        <w:trPr>
          <w:trHeight w:val="229" w:hRule="atLeast"/>
        </w:trPr>
        <w:tc>
          <w:tcPr>
            <w:tcW w:w="4188" w:type="dxa"/>
            <w:tcBorders>
              <w:left w:val="single" w:sz="12" w:space="0" w:color="000000"/>
            </w:tcBorders>
          </w:tcPr>
          <w:p>
            <w:pPr>
              <w:pStyle w:val="TableParagraph"/>
              <w:spacing w:line="209" w:lineRule="exact"/>
              <w:ind w:left="107"/>
              <w:rPr>
                <w:sz w:val="20"/>
              </w:rPr>
            </w:pPr>
            <w:r>
              <w:rPr>
                <w:sz w:val="20"/>
              </w:rPr>
              <w:t>Recreational,</w:t>
            </w:r>
            <w:r>
              <w:rPr>
                <w:spacing w:val="-6"/>
                <w:sz w:val="20"/>
              </w:rPr>
              <w:t> </w:t>
            </w:r>
            <w:r>
              <w:rPr>
                <w:sz w:val="20"/>
              </w:rPr>
              <w:t>leisure</w:t>
            </w:r>
            <w:r>
              <w:rPr>
                <w:spacing w:val="-10"/>
                <w:sz w:val="20"/>
              </w:rPr>
              <w:t> </w:t>
            </w:r>
            <w:r>
              <w:rPr>
                <w:sz w:val="20"/>
              </w:rPr>
              <w:t>and</w:t>
            </w:r>
            <w:r>
              <w:rPr>
                <w:spacing w:val="-9"/>
                <w:sz w:val="20"/>
              </w:rPr>
              <w:t> </w:t>
            </w:r>
            <w:r>
              <w:rPr>
                <w:spacing w:val="-2"/>
                <w:sz w:val="20"/>
              </w:rPr>
              <w:t>community</w:t>
            </w:r>
          </w:p>
        </w:tc>
        <w:tc>
          <w:tcPr>
            <w:tcW w:w="1504" w:type="dxa"/>
          </w:tcPr>
          <w:p>
            <w:pPr>
              <w:pStyle w:val="TableParagraph"/>
              <w:rPr>
                <w:rFonts w:ascii="Times New Roman"/>
                <w:sz w:val="16"/>
              </w:rPr>
            </w:pPr>
          </w:p>
        </w:tc>
        <w:tc>
          <w:tcPr>
            <w:tcW w:w="1143" w:type="dxa"/>
          </w:tcPr>
          <w:p>
            <w:pPr>
              <w:pStyle w:val="TableParagraph"/>
              <w:rPr>
                <w:rFonts w:ascii="Times New Roman"/>
                <w:sz w:val="16"/>
              </w:rPr>
            </w:pPr>
          </w:p>
        </w:tc>
        <w:tc>
          <w:tcPr>
            <w:tcW w:w="1112" w:type="dxa"/>
          </w:tcPr>
          <w:p>
            <w:pPr>
              <w:pStyle w:val="TableParagraph"/>
              <w:rPr>
                <w:rFonts w:ascii="Times New Roman"/>
                <w:sz w:val="16"/>
              </w:rPr>
            </w:pPr>
          </w:p>
        </w:tc>
        <w:tc>
          <w:tcPr>
            <w:tcW w:w="1118" w:type="dxa"/>
            <w:tcBorders>
              <w:right w:val="single" w:sz="4" w:space="0" w:color="000000"/>
            </w:tcBorders>
          </w:tcPr>
          <w:p>
            <w:pPr>
              <w:pStyle w:val="TableParagraph"/>
              <w:rPr>
                <w:rFonts w:ascii="Times New Roman"/>
                <w:sz w:val="16"/>
              </w:rPr>
            </w:pPr>
          </w:p>
        </w:tc>
        <w:tc>
          <w:tcPr>
            <w:tcW w:w="1420" w:type="dxa"/>
            <w:tcBorders>
              <w:left w:val="single" w:sz="4" w:space="0" w:color="000000"/>
            </w:tcBorders>
          </w:tcPr>
          <w:p>
            <w:pPr>
              <w:pStyle w:val="TableParagraph"/>
              <w:rPr>
                <w:rFonts w:ascii="Times New Roman"/>
                <w:sz w:val="16"/>
              </w:rPr>
            </w:pPr>
          </w:p>
        </w:tc>
        <w:tc>
          <w:tcPr>
            <w:tcW w:w="1290" w:type="dxa"/>
          </w:tcPr>
          <w:p>
            <w:pPr>
              <w:pStyle w:val="TableParagraph"/>
              <w:rPr>
                <w:rFonts w:ascii="Times New Roman"/>
                <w:sz w:val="16"/>
              </w:rPr>
            </w:pPr>
          </w:p>
        </w:tc>
        <w:tc>
          <w:tcPr>
            <w:tcW w:w="1696" w:type="dxa"/>
          </w:tcPr>
          <w:p>
            <w:pPr>
              <w:pStyle w:val="TableParagraph"/>
              <w:rPr>
                <w:rFonts w:ascii="Times New Roman"/>
                <w:sz w:val="16"/>
              </w:rPr>
            </w:pPr>
          </w:p>
        </w:tc>
        <w:tc>
          <w:tcPr>
            <w:tcW w:w="1929" w:type="dxa"/>
            <w:tcBorders>
              <w:right w:val="single" w:sz="12" w:space="0" w:color="000000"/>
            </w:tcBorders>
          </w:tcPr>
          <w:p>
            <w:pPr>
              <w:pStyle w:val="TableParagraph"/>
              <w:rPr>
                <w:rFonts w:ascii="Times New Roman"/>
                <w:sz w:val="16"/>
              </w:rPr>
            </w:pPr>
          </w:p>
        </w:tc>
      </w:tr>
      <w:tr>
        <w:trPr>
          <w:trHeight w:val="242" w:hRule="atLeast"/>
        </w:trPr>
        <w:tc>
          <w:tcPr>
            <w:tcW w:w="4188" w:type="dxa"/>
            <w:tcBorders>
              <w:left w:val="single" w:sz="12" w:space="0" w:color="000000"/>
            </w:tcBorders>
          </w:tcPr>
          <w:p>
            <w:pPr>
              <w:pStyle w:val="TableParagraph"/>
              <w:spacing w:line="222" w:lineRule="exact"/>
              <w:ind w:left="107"/>
              <w:rPr>
                <w:sz w:val="20"/>
              </w:rPr>
            </w:pPr>
            <w:r>
              <w:rPr>
                <w:spacing w:val="-2"/>
                <w:sz w:val="20"/>
              </w:rPr>
              <w:t>facilities</w:t>
            </w:r>
          </w:p>
        </w:tc>
        <w:tc>
          <w:tcPr>
            <w:tcW w:w="1504" w:type="dxa"/>
          </w:tcPr>
          <w:p>
            <w:pPr>
              <w:pStyle w:val="TableParagraph"/>
              <w:spacing w:line="222" w:lineRule="exact"/>
              <w:ind w:right="231"/>
              <w:jc w:val="right"/>
              <w:rPr>
                <w:sz w:val="20"/>
              </w:rPr>
            </w:pPr>
            <w:r>
              <w:rPr>
                <w:spacing w:val="-2"/>
                <w:sz w:val="20"/>
              </w:rPr>
              <w:t>2,066</w:t>
            </w:r>
          </w:p>
        </w:tc>
        <w:tc>
          <w:tcPr>
            <w:tcW w:w="1143" w:type="dxa"/>
          </w:tcPr>
          <w:p>
            <w:pPr>
              <w:pStyle w:val="TableParagraph"/>
              <w:spacing w:line="222" w:lineRule="exact"/>
              <w:ind w:right="110"/>
              <w:jc w:val="right"/>
              <w:rPr>
                <w:sz w:val="20"/>
              </w:rPr>
            </w:pPr>
            <w:r>
              <w:rPr>
                <w:w w:val="99"/>
                <w:sz w:val="20"/>
              </w:rPr>
              <w:t>0</w:t>
            </w:r>
          </w:p>
        </w:tc>
        <w:tc>
          <w:tcPr>
            <w:tcW w:w="1112" w:type="dxa"/>
          </w:tcPr>
          <w:p>
            <w:pPr>
              <w:pStyle w:val="TableParagraph"/>
              <w:spacing w:line="222" w:lineRule="exact"/>
              <w:ind w:right="126"/>
              <w:jc w:val="right"/>
              <w:rPr>
                <w:sz w:val="20"/>
              </w:rPr>
            </w:pPr>
            <w:r>
              <w:rPr>
                <w:spacing w:val="-2"/>
                <w:sz w:val="20"/>
              </w:rPr>
              <w:t>1,799</w:t>
            </w:r>
          </w:p>
        </w:tc>
        <w:tc>
          <w:tcPr>
            <w:tcW w:w="1118" w:type="dxa"/>
            <w:tcBorders>
              <w:right w:val="single" w:sz="4" w:space="0" w:color="000000"/>
            </w:tcBorders>
          </w:tcPr>
          <w:p>
            <w:pPr>
              <w:pStyle w:val="TableParagraph"/>
              <w:spacing w:line="222" w:lineRule="exact"/>
              <w:ind w:right="91"/>
              <w:jc w:val="right"/>
              <w:rPr>
                <w:sz w:val="20"/>
              </w:rPr>
            </w:pPr>
            <w:r>
              <w:rPr>
                <w:spacing w:val="-5"/>
                <w:sz w:val="20"/>
              </w:rPr>
              <w:t>267</w:t>
            </w:r>
          </w:p>
        </w:tc>
        <w:tc>
          <w:tcPr>
            <w:tcW w:w="1420" w:type="dxa"/>
            <w:tcBorders>
              <w:left w:val="single" w:sz="4" w:space="0" w:color="000000"/>
            </w:tcBorders>
          </w:tcPr>
          <w:p>
            <w:pPr>
              <w:pStyle w:val="TableParagraph"/>
              <w:spacing w:line="222" w:lineRule="exact"/>
              <w:ind w:right="231"/>
              <w:jc w:val="right"/>
              <w:rPr>
                <w:sz w:val="20"/>
              </w:rPr>
            </w:pPr>
            <w:r>
              <w:rPr>
                <w:spacing w:val="-2"/>
                <w:sz w:val="20"/>
              </w:rPr>
              <w:t>2,066</w:t>
            </w:r>
          </w:p>
        </w:tc>
        <w:tc>
          <w:tcPr>
            <w:tcW w:w="1290" w:type="dxa"/>
          </w:tcPr>
          <w:p>
            <w:pPr>
              <w:pStyle w:val="TableParagraph"/>
              <w:spacing w:line="222" w:lineRule="exact"/>
              <w:ind w:right="106"/>
              <w:jc w:val="right"/>
              <w:rPr>
                <w:sz w:val="20"/>
              </w:rPr>
            </w:pPr>
            <w:r>
              <w:rPr>
                <w:w w:val="99"/>
                <w:sz w:val="20"/>
              </w:rPr>
              <w:t>0</w:t>
            </w:r>
          </w:p>
        </w:tc>
        <w:tc>
          <w:tcPr>
            <w:tcW w:w="1696" w:type="dxa"/>
          </w:tcPr>
          <w:p>
            <w:pPr>
              <w:pStyle w:val="TableParagraph"/>
              <w:spacing w:line="222" w:lineRule="exact"/>
              <w:ind w:right="243"/>
              <w:jc w:val="right"/>
              <w:rPr>
                <w:sz w:val="20"/>
              </w:rPr>
            </w:pPr>
            <w:r>
              <w:rPr>
                <w:spacing w:val="-5"/>
                <w:sz w:val="20"/>
              </w:rPr>
              <w:t>36</w:t>
            </w:r>
          </w:p>
        </w:tc>
        <w:tc>
          <w:tcPr>
            <w:tcW w:w="1929" w:type="dxa"/>
            <w:tcBorders>
              <w:right w:val="single" w:sz="12" w:space="0" w:color="000000"/>
            </w:tcBorders>
          </w:tcPr>
          <w:p>
            <w:pPr>
              <w:pStyle w:val="TableParagraph"/>
              <w:spacing w:line="222" w:lineRule="exact"/>
              <w:ind w:right="89"/>
              <w:jc w:val="right"/>
              <w:rPr>
                <w:sz w:val="20"/>
              </w:rPr>
            </w:pPr>
            <w:r>
              <w:rPr>
                <w:spacing w:val="-2"/>
                <w:sz w:val="20"/>
              </w:rPr>
              <w:t>2,030</w:t>
            </w:r>
          </w:p>
        </w:tc>
      </w:tr>
      <w:tr>
        <w:trPr>
          <w:trHeight w:val="255" w:hRule="atLeast"/>
        </w:trPr>
        <w:tc>
          <w:tcPr>
            <w:tcW w:w="4188" w:type="dxa"/>
            <w:tcBorders>
              <w:left w:val="single" w:sz="12" w:space="0" w:color="000000"/>
            </w:tcBorders>
          </w:tcPr>
          <w:p>
            <w:pPr>
              <w:pStyle w:val="TableParagraph"/>
              <w:spacing w:line="226" w:lineRule="exact" w:before="10"/>
              <w:ind w:left="107"/>
              <w:rPr>
                <w:sz w:val="20"/>
              </w:rPr>
            </w:pPr>
            <w:r>
              <w:rPr>
                <w:sz w:val="20"/>
              </w:rPr>
              <w:t>Waste</w:t>
            </w:r>
            <w:r>
              <w:rPr>
                <w:spacing w:val="-6"/>
                <w:sz w:val="20"/>
              </w:rPr>
              <w:t> </w:t>
            </w:r>
            <w:r>
              <w:rPr>
                <w:spacing w:val="-2"/>
                <w:sz w:val="20"/>
              </w:rPr>
              <w:t>management</w:t>
            </w:r>
          </w:p>
        </w:tc>
        <w:tc>
          <w:tcPr>
            <w:tcW w:w="1504" w:type="dxa"/>
          </w:tcPr>
          <w:p>
            <w:pPr>
              <w:pStyle w:val="TableParagraph"/>
              <w:spacing w:line="226" w:lineRule="exact" w:before="10"/>
              <w:ind w:right="232"/>
              <w:jc w:val="right"/>
              <w:rPr>
                <w:sz w:val="20"/>
              </w:rPr>
            </w:pPr>
            <w:r>
              <w:rPr>
                <w:spacing w:val="-5"/>
                <w:sz w:val="20"/>
              </w:rPr>
              <w:t>50</w:t>
            </w:r>
          </w:p>
        </w:tc>
        <w:tc>
          <w:tcPr>
            <w:tcW w:w="1143" w:type="dxa"/>
          </w:tcPr>
          <w:p>
            <w:pPr>
              <w:pStyle w:val="TableParagraph"/>
              <w:spacing w:line="226" w:lineRule="exact" w:before="10"/>
              <w:ind w:right="110"/>
              <w:jc w:val="right"/>
              <w:rPr>
                <w:sz w:val="20"/>
              </w:rPr>
            </w:pPr>
            <w:r>
              <w:rPr>
                <w:w w:val="99"/>
                <w:sz w:val="20"/>
              </w:rPr>
              <w:t>0</w:t>
            </w:r>
          </w:p>
        </w:tc>
        <w:tc>
          <w:tcPr>
            <w:tcW w:w="1112" w:type="dxa"/>
          </w:tcPr>
          <w:p>
            <w:pPr>
              <w:pStyle w:val="TableParagraph"/>
              <w:spacing w:line="226" w:lineRule="exact" w:before="10"/>
              <w:ind w:right="123"/>
              <w:jc w:val="right"/>
              <w:rPr>
                <w:sz w:val="20"/>
              </w:rPr>
            </w:pPr>
            <w:r>
              <w:rPr>
                <w:w w:val="99"/>
                <w:sz w:val="20"/>
              </w:rPr>
              <w:t>0</w:t>
            </w:r>
          </w:p>
        </w:tc>
        <w:tc>
          <w:tcPr>
            <w:tcW w:w="1118" w:type="dxa"/>
            <w:tcBorders>
              <w:right w:val="single" w:sz="4" w:space="0" w:color="000000"/>
            </w:tcBorders>
          </w:tcPr>
          <w:p>
            <w:pPr>
              <w:pStyle w:val="TableParagraph"/>
              <w:spacing w:line="226" w:lineRule="exact" w:before="10"/>
              <w:ind w:right="92"/>
              <w:jc w:val="right"/>
              <w:rPr>
                <w:sz w:val="20"/>
              </w:rPr>
            </w:pPr>
            <w:r>
              <w:rPr>
                <w:spacing w:val="-5"/>
                <w:sz w:val="20"/>
              </w:rPr>
              <w:t>50</w:t>
            </w:r>
          </w:p>
        </w:tc>
        <w:tc>
          <w:tcPr>
            <w:tcW w:w="1420" w:type="dxa"/>
            <w:tcBorders>
              <w:left w:val="single" w:sz="4" w:space="0" w:color="000000"/>
            </w:tcBorders>
          </w:tcPr>
          <w:p>
            <w:pPr>
              <w:pStyle w:val="TableParagraph"/>
              <w:spacing w:line="226" w:lineRule="exact" w:before="10"/>
              <w:ind w:right="232"/>
              <w:jc w:val="right"/>
              <w:rPr>
                <w:sz w:val="20"/>
              </w:rPr>
            </w:pPr>
            <w:r>
              <w:rPr>
                <w:spacing w:val="-5"/>
                <w:sz w:val="20"/>
              </w:rPr>
              <w:t>50</w:t>
            </w:r>
          </w:p>
        </w:tc>
        <w:tc>
          <w:tcPr>
            <w:tcW w:w="1290" w:type="dxa"/>
          </w:tcPr>
          <w:p>
            <w:pPr>
              <w:pStyle w:val="TableParagraph"/>
              <w:spacing w:line="226" w:lineRule="exact" w:before="10"/>
              <w:ind w:right="106"/>
              <w:jc w:val="right"/>
              <w:rPr>
                <w:sz w:val="20"/>
              </w:rPr>
            </w:pPr>
            <w:r>
              <w:rPr>
                <w:w w:val="99"/>
                <w:sz w:val="20"/>
              </w:rPr>
              <w:t>0</w:t>
            </w:r>
          </w:p>
        </w:tc>
        <w:tc>
          <w:tcPr>
            <w:tcW w:w="1696" w:type="dxa"/>
          </w:tcPr>
          <w:p>
            <w:pPr>
              <w:pStyle w:val="TableParagraph"/>
              <w:spacing w:line="226" w:lineRule="exact" w:before="10"/>
              <w:ind w:right="239"/>
              <w:jc w:val="right"/>
              <w:rPr>
                <w:sz w:val="20"/>
              </w:rPr>
            </w:pPr>
            <w:r>
              <w:rPr>
                <w:w w:val="99"/>
                <w:sz w:val="20"/>
              </w:rPr>
              <w:t>0</w:t>
            </w:r>
          </w:p>
        </w:tc>
        <w:tc>
          <w:tcPr>
            <w:tcW w:w="1929" w:type="dxa"/>
            <w:tcBorders>
              <w:right w:val="single" w:sz="12" w:space="0" w:color="000000"/>
            </w:tcBorders>
          </w:tcPr>
          <w:p>
            <w:pPr>
              <w:pStyle w:val="TableParagraph"/>
              <w:spacing w:line="226" w:lineRule="exact" w:before="10"/>
              <w:ind w:right="90"/>
              <w:jc w:val="right"/>
              <w:rPr>
                <w:sz w:val="20"/>
              </w:rPr>
            </w:pPr>
            <w:r>
              <w:rPr>
                <w:spacing w:val="-5"/>
                <w:sz w:val="20"/>
              </w:rPr>
              <w:t>50</w:t>
            </w:r>
          </w:p>
        </w:tc>
      </w:tr>
      <w:tr>
        <w:trPr>
          <w:trHeight w:val="254" w:hRule="atLeast"/>
        </w:trPr>
        <w:tc>
          <w:tcPr>
            <w:tcW w:w="4188" w:type="dxa"/>
            <w:tcBorders>
              <w:left w:val="single" w:sz="12" w:space="0" w:color="000000"/>
            </w:tcBorders>
          </w:tcPr>
          <w:p>
            <w:pPr>
              <w:pStyle w:val="TableParagraph"/>
              <w:spacing w:line="226" w:lineRule="exact" w:before="8"/>
              <w:ind w:left="107"/>
              <w:rPr>
                <w:sz w:val="20"/>
              </w:rPr>
            </w:pPr>
            <w:r>
              <w:rPr>
                <w:sz w:val="20"/>
              </w:rPr>
              <w:t>Parks,</w:t>
            </w:r>
            <w:r>
              <w:rPr>
                <w:spacing w:val="-6"/>
                <w:sz w:val="20"/>
              </w:rPr>
              <w:t> </w:t>
            </w:r>
            <w:r>
              <w:rPr>
                <w:sz w:val="20"/>
              </w:rPr>
              <w:t>open</w:t>
            </w:r>
            <w:r>
              <w:rPr>
                <w:spacing w:val="-7"/>
                <w:sz w:val="20"/>
              </w:rPr>
              <w:t> </w:t>
            </w:r>
            <w:r>
              <w:rPr>
                <w:sz w:val="20"/>
              </w:rPr>
              <w:t>space,</w:t>
            </w:r>
            <w:r>
              <w:rPr>
                <w:spacing w:val="-2"/>
                <w:sz w:val="20"/>
              </w:rPr>
              <w:t> </w:t>
            </w:r>
            <w:r>
              <w:rPr>
                <w:sz w:val="20"/>
              </w:rPr>
              <w:t>and</w:t>
            </w:r>
            <w:r>
              <w:rPr>
                <w:spacing w:val="-7"/>
                <w:sz w:val="20"/>
              </w:rPr>
              <w:t> </w:t>
            </w:r>
            <w:r>
              <w:rPr>
                <w:spacing w:val="-2"/>
                <w:sz w:val="20"/>
              </w:rPr>
              <w:t>streetscapes</w:t>
            </w:r>
          </w:p>
        </w:tc>
        <w:tc>
          <w:tcPr>
            <w:tcW w:w="1504" w:type="dxa"/>
          </w:tcPr>
          <w:p>
            <w:pPr>
              <w:pStyle w:val="TableParagraph"/>
              <w:spacing w:line="226" w:lineRule="exact" w:before="8"/>
              <w:ind w:right="231"/>
              <w:jc w:val="right"/>
              <w:rPr>
                <w:sz w:val="20"/>
              </w:rPr>
            </w:pPr>
            <w:r>
              <w:rPr>
                <w:spacing w:val="-2"/>
                <w:sz w:val="20"/>
              </w:rPr>
              <w:t>3,231</w:t>
            </w:r>
          </w:p>
        </w:tc>
        <w:tc>
          <w:tcPr>
            <w:tcW w:w="1143" w:type="dxa"/>
          </w:tcPr>
          <w:p>
            <w:pPr>
              <w:pStyle w:val="TableParagraph"/>
              <w:spacing w:line="226" w:lineRule="exact" w:before="8"/>
              <w:ind w:right="112"/>
              <w:jc w:val="right"/>
              <w:rPr>
                <w:sz w:val="20"/>
              </w:rPr>
            </w:pPr>
            <w:r>
              <w:rPr>
                <w:spacing w:val="-2"/>
                <w:sz w:val="20"/>
              </w:rPr>
              <w:t>1,070</w:t>
            </w:r>
          </w:p>
        </w:tc>
        <w:tc>
          <w:tcPr>
            <w:tcW w:w="1112" w:type="dxa"/>
          </w:tcPr>
          <w:p>
            <w:pPr>
              <w:pStyle w:val="TableParagraph"/>
              <w:spacing w:line="226" w:lineRule="exact" w:before="8"/>
              <w:ind w:right="126"/>
              <w:jc w:val="right"/>
              <w:rPr>
                <w:sz w:val="20"/>
              </w:rPr>
            </w:pPr>
            <w:r>
              <w:rPr>
                <w:spacing w:val="-2"/>
                <w:sz w:val="20"/>
              </w:rPr>
              <w:t>1,571</w:t>
            </w:r>
          </w:p>
        </w:tc>
        <w:tc>
          <w:tcPr>
            <w:tcW w:w="1118" w:type="dxa"/>
            <w:tcBorders>
              <w:right w:val="single" w:sz="4" w:space="0" w:color="000000"/>
            </w:tcBorders>
          </w:tcPr>
          <w:p>
            <w:pPr>
              <w:pStyle w:val="TableParagraph"/>
              <w:spacing w:line="226" w:lineRule="exact" w:before="8"/>
              <w:ind w:right="91"/>
              <w:jc w:val="right"/>
              <w:rPr>
                <w:sz w:val="20"/>
              </w:rPr>
            </w:pPr>
            <w:r>
              <w:rPr>
                <w:spacing w:val="-5"/>
                <w:sz w:val="20"/>
              </w:rPr>
              <w:t>590</w:t>
            </w:r>
          </w:p>
        </w:tc>
        <w:tc>
          <w:tcPr>
            <w:tcW w:w="1420" w:type="dxa"/>
            <w:tcBorders>
              <w:left w:val="single" w:sz="4" w:space="0" w:color="000000"/>
            </w:tcBorders>
          </w:tcPr>
          <w:p>
            <w:pPr>
              <w:pStyle w:val="TableParagraph"/>
              <w:spacing w:line="226" w:lineRule="exact" w:before="8"/>
              <w:ind w:right="231"/>
              <w:jc w:val="right"/>
              <w:rPr>
                <w:sz w:val="20"/>
              </w:rPr>
            </w:pPr>
            <w:r>
              <w:rPr>
                <w:spacing w:val="-2"/>
                <w:sz w:val="20"/>
              </w:rPr>
              <w:t>3,231</w:t>
            </w:r>
          </w:p>
        </w:tc>
        <w:tc>
          <w:tcPr>
            <w:tcW w:w="1290" w:type="dxa"/>
          </w:tcPr>
          <w:p>
            <w:pPr>
              <w:pStyle w:val="TableParagraph"/>
              <w:spacing w:line="226" w:lineRule="exact" w:before="8"/>
              <w:ind w:right="106"/>
              <w:jc w:val="right"/>
              <w:rPr>
                <w:sz w:val="20"/>
              </w:rPr>
            </w:pPr>
            <w:r>
              <w:rPr>
                <w:w w:val="99"/>
                <w:sz w:val="20"/>
              </w:rPr>
              <w:t>0</w:t>
            </w:r>
          </w:p>
        </w:tc>
        <w:tc>
          <w:tcPr>
            <w:tcW w:w="1696" w:type="dxa"/>
          </w:tcPr>
          <w:p>
            <w:pPr>
              <w:pStyle w:val="TableParagraph"/>
              <w:spacing w:line="226" w:lineRule="exact" w:before="8"/>
              <w:ind w:right="239"/>
              <w:jc w:val="right"/>
              <w:rPr>
                <w:sz w:val="20"/>
              </w:rPr>
            </w:pPr>
            <w:r>
              <w:rPr>
                <w:w w:val="99"/>
                <w:sz w:val="20"/>
              </w:rPr>
              <w:t>0</w:t>
            </w:r>
          </w:p>
        </w:tc>
        <w:tc>
          <w:tcPr>
            <w:tcW w:w="1929" w:type="dxa"/>
            <w:tcBorders>
              <w:right w:val="single" w:sz="12" w:space="0" w:color="000000"/>
            </w:tcBorders>
          </w:tcPr>
          <w:p>
            <w:pPr>
              <w:pStyle w:val="TableParagraph"/>
              <w:spacing w:line="226" w:lineRule="exact" w:before="8"/>
              <w:ind w:right="89"/>
              <w:jc w:val="right"/>
              <w:rPr>
                <w:sz w:val="20"/>
              </w:rPr>
            </w:pPr>
            <w:r>
              <w:rPr>
                <w:spacing w:val="-2"/>
                <w:sz w:val="20"/>
              </w:rPr>
              <w:t>3,231</w:t>
            </w:r>
          </w:p>
        </w:tc>
      </w:tr>
      <w:tr>
        <w:trPr>
          <w:trHeight w:val="254" w:hRule="atLeast"/>
        </w:trPr>
        <w:tc>
          <w:tcPr>
            <w:tcW w:w="4188" w:type="dxa"/>
            <w:tcBorders>
              <w:left w:val="single" w:sz="12" w:space="0" w:color="000000"/>
            </w:tcBorders>
          </w:tcPr>
          <w:p>
            <w:pPr>
              <w:pStyle w:val="TableParagraph"/>
              <w:spacing w:line="226" w:lineRule="exact" w:before="8"/>
              <w:ind w:left="107"/>
              <w:rPr>
                <w:sz w:val="20"/>
              </w:rPr>
            </w:pPr>
            <w:r>
              <w:rPr>
                <w:sz w:val="20"/>
              </w:rPr>
              <w:t>Off</w:t>
            </w:r>
            <w:r>
              <w:rPr>
                <w:spacing w:val="-5"/>
                <w:sz w:val="20"/>
              </w:rPr>
              <w:t> </w:t>
            </w:r>
            <w:r>
              <w:rPr>
                <w:sz w:val="20"/>
              </w:rPr>
              <w:t>street</w:t>
            </w:r>
            <w:r>
              <w:rPr>
                <w:spacing w:val="-5"/>
                <w:sz w:val="20"/>
              </w:rPr>
              <w:t> </w:t>
            </w:r>
            <w:r>
              <w:rPr>
                <w:sz w:val="20"/>
              </w:rPr>
              <w:t>car</w:t>
            </w:r>
            <w:r>
              <w:rPr>
                <w:spacing w:val="-3"/>
                <w:sz w:val="20"/>
              </w:rPr>
              <w:t> </w:t>
            </w:r>
            <w:r>
              <w:rPr>
                <w:spacing w:val="-2"/>
                <w:sz w:val="20"/>
              </w:rPr>
              <w:t>parks</w:t>
            </w:r>
          </w:p>
        </w:tc>
        <w:tc>
          <w:tcPr>
            <w:tcW w:w="1504" w:type="dxa"/>
          </w:tcPr>
          <w:p>
            <w:pPr>
              <w:pStyle w:val="TableParagraph"/>
              <w:spacing w:line="226" w:lineRule="exact" w:before="8"/>
              <w:ind w:right="232"/>
              <w:jc w:val="right"/>
              <w:rPr>
                <w:sz w:val="20"/>
              </w:rPr>
            </w:pPr>
            <w:r>
              <w:rPr>
                <w:spacing w:val="-5"/>
                <w:sz w:val="20"/>
              </w:rPr>
              <w:t>530</w:t>
            </w:r>
          </w:p>
        </w:tc>
        <w:tc>
          <w:tcPr>
            <w:tcW w:w="1143" w:type="dxa"/>
          </w:tcPr>
          <w:p>
            <w:pPr>
              <w:pStyle w:val="TableParagraph"/>
              <w:spacing w:line="226" w:lineRule="exact" w:before="8"/>
              <w:ind w:right="110"/>
              <w:jc w:val="right"/>
              <w:rPr>
                <w:sz w:val="20"/>
              </w:rPr>
            </w:pPr>
            <w:r>
              <w:rPr>
                <w:w w:val="99"/>
                <w:sz w:val="20"/>
              </w:rPr>
              <w:t>0</w:t>
            </w:r>
          </w:p>
        </w:tc>
        <w:tc>
          <w:tcPr>
            <w:tcW w:w="1112" w:type="dxa"/>
          </w:tcPr>
          <w:p>
            <w:pPr>
              <w:pStyle w:val="TableParagraph"/>
              <w:spacing w:line="226" w:lineRule="exact" w:before="8"/>
              <w:ind w:right="125"/>
              <w:jc w:val="right"/>
              <w:rPr>
                <w:sz w:val="20"/>
              </w:rPr>
            </w:pPr>
            <w:r>
              <w:rPr>
                <w:spacing w:val="-5"/>
                <w:sz w:val="20"/>
              </w:rPr>
              <w:t>265</w:t>
            </w:r>
          </w:p>
        </w:tc>
        <w:tc>
          <w:tcPr>
            <w:tcW w:w="1118" w:type="dxa"/>
            <w:tcBorders>
              <w:right w:val="single" w:sz="4" w:space="0" w:color="000000"/>
            </w:tcBorders>
          </w:tcPr>
          <w:p>
            <w:pPr>
              <w:pStyle w:val="TableParagraph"/>
              <w:spacing w:line="226" w:lineRule="exact" w:before="8"/>
              <w:ind w:right="91"/>
              <w:jc w:val="right"/>
              <w:rPr>
                <w:sz w:val="20"/>
              </w:rPr>
            </w:pPr>
            <w:r>
              <w:rPr>
                <w:spacing w:val="-5"/>
                <w:sz w:val="20"/>
              </w:rPr>
              <w:t>265</w:t>
            </w:r>
          </w:p>
        </w:tc>
        <w:tc>
          <w:tcPr>
            <w:tcW w:w="1420" w:type="dxa"/>
            <w:tcBorders>
              <w:left w:val="single" w:sz="4" w:space="0" w:color="000000"/>
            </w:tcBorders>
          </w:tcPr>
          <w:p>
            <w:pPr>
              <w:pStyle w:val="TableParagraph"/>
              <w:spacing w:line="226" w:lineRule="exact" w:before="8"/>
              <w:ind w:right="232"/>
              <w:jc w:val="right"/>
              <w:rPr>
                <w:sz w:val="20"/>
              </w:rPr>
            </w:pPr>
            <w:r>
              <w:rPr>
                <w:spacing w:val="-5"/>
                <w:sz w:val="20"/>
              </w:rPr>
              <w:t>530</w:t>
            </w:r>
          </w:p>
        </w:tc>
        <w:tc>
          <w:tcPr>
            <w:tcW w:w="1290" w:type="dxa"/>
          </w:tcPr>
          <w:p>
            <w:pPr>
              <w:pStyle w:val="TableParagraph"/>
              <w:spacing w:line="226" w:lineRule="exact" w:before="8"/>
              <w:ind w:right="106"/>
              <w:jc w:val="right"/>
              <w:rPr>
                <w:sz w:val="20"/>
              </w:rPr>
            </w:pPr>
            <w:r>
              <w:rPr>
                <w:w w:val="99"/>
                <w:sz w:val="20"/>
              </w:rPr>
              <w:t>0</w:t>
            </w:r>
          </w:p>
        </w:tc>
        <w:tc>
          <w:tcPr>
            <w:tcW w:w="1696" w:type="dxa"/>
          </w:tcPr>
          <w:p>
            <w:pPr>
              <w:pStyle w:val="TableParagraph"/>
              <w:spacing w:line="226" w:lineRule="exact" w:before="8"/>
              <w:ind w:right="239"/>
              <w:jc w:val="right"/>
              <w:rPr>
                <w:sz w:val="20"/>
              </w:rPr>
            </w:pPr>
            <w:r>
              <w:rPr>
                <w:w w:val="99"/>
                <w:sz w:val="20"/>
              </w:rPr>
              <w:t>0</w:t>
            </w:r>
          </w:p>
        </w:tc>
        <w:tc>
          <w:tcPr>
            <w:tcW w:w="1929" w:type="dxa"/>
            <w:tcBorders>
              <w:right w:val="single" w:sz="12" w:space="0" w:color="000000"/>
            </w:tcBorders>
          </w:tcPr>
          <w:p>
            <w:pPr>
              <w:pStyle w:val="TableParagraph"/>
              <w:spacing w:line="226" w:lineRule="exact" w:before="8"/>
              <w:ind w:right="90"/>
              <w:jc w:val="right"/>
              <w:rPr>
                <w:sz w:val="20"/>
              </w:rPr>
            </w:pPr>
            <w:r>
              <w:rPr>
                <w:spacing w:val="-5"/>
                <w:sz w:val="20"/>
              </w:rPr>
              <w:t>530</w:t>
            </w:r>
          </w:p>
        </w:tc>
      </w:tr>
      <w:tr>
        <w:trPr>
          <w:trHeight w:val="239" w:hRule="atLeast"/>
        </w:trPr>
        <w:tc>
          <w:tcPr>
            <w:tcW w:w="4188" w:type="dxa"/>
            <w:tcBorders>
              <w:left w:val="single" w:sz="12" w:space="0" w:color="000000"/>
            </w:tcBorders>
          </w:tcPr>
          <w:p>
            <w:pPr>
              <w:pStyle w:val="TableParagraph"/>
              <w:spacing w:line="211" w:lineRule="exact" w:before="8"/>
              <w:ind w:left="107"/>
              <w:rPr>
                <w:sz w:val="20"/>
              </w:rPr>
            </w:pPr>
            <w:r>
              <w:rPr>
                <w:sz w:val="20"/>
              </w:rPr>
              <w:t>Other</w:t>
            </w:r>
            <w:r>
              <w:rPr>
                <w:spacing w:val="-6"/>
                <w:sz w:val="20"/>
              </w:rPr>
              <w:t> </w:t>
            </w:r>
            <w:r>
              <w:rPr>
                <w:spacing w:val="-2"/>
                <w:sz w:val="20"/>
              </w:rPr>
              <w:t>infrastructure</w:t>
            </w:r>
          </w:p>
        </w:tc>
        <w:tc>
          <w:tcPr>
            <w:tcW w:w="1504" w:type="dxa"/>
            <w:tcBorders>
              <w:bottom w:val="single" w:sz="4" w:space="0" w:color="000000"/>
            </w:tcBorders>
          </w:tcPr>
          <w:p>
            <w:pPr>
              <w:pStyle w:val="TableParagraph"/>
              <w:spacing w:line="211" w:lineRule="exact" w:before="8"/>
              <w:ind w:right="231"/>
              <w:jc w:val="right"/>
              <w:rPr>
                <w:sz w:val="20"/>
              </w:rPr>
            </w:pPr>
            <w:r>
              <w:rPr>
                <w:spacing w:val="-2"/>
                <w:sz w:val="20"/>
              </w:rPr>
              <w:t>1,245</w:t>
            </w:r>
          </w:p>
        </w:tc>
        <w:tc>
          <w:tcPr>
            <w:tcW w:w="1143" w:type="dxa"/>
            <w:tcBorders>
              <w:bottom w:val="single" w:sz="4" w:space="0" w:color="000000"/>
            </w:tcBorders>
          </w:tcPr>
          <w:p>
            <w:pPr>
              <w:pStyle w:val="TableParagraph"/>
              <w:spacing w:line="211" w:lineRule="exact" w:before="8"/>
              <w:ind w:right="113"/>
              <w:jc w:val="right"/>
              <w:rPr>
                <w:sz w:val="20"/>
              </w:rPr>
            </w:pPr>
            <w:r>
              <w:rPr>
                <w:spacing w:val="-5"/>
                <w:sz w:val="20"/>
              </w:rPr>
              <w:t>170</w:t>
            </w:r>
          </w:p>
        </w:tc>
        <w:tc>
          <w:tcPr>
            <w:tcW w:w="1112" w:type="dxa"/>
            <w:tcBorders>
              <w:bottom w:val="single" w:sz="4" w:space="0" w:color="000000"/>
            </w:tcBorders>
          </w:tcPr>
          <w:p>
            <w:pPr>
              <w:pStyle w:val="TableParagraph"/>
              <w:spacing w:line="211" w:lineRule="exact" w:before="8"/>
              <w:ind w:right="125"/>
              <w:jc w:val="right"/>
              <w:rPr>
                <w:sz w:val="20"/>
              </w:rPr>
            </w:pPr>
            <w:r>
              <w:rPr>
                <w:spacing w:val="-5"/>
                <w:sz w:val="20"/>
              </w:rPr>
              <w:t>275</w:t>
            </w:r>
          </w:p>
        </w:tc>
        <w:tc>
          <w:tcPr>
            <w:tcW w:w="1118" w:type="dxa"/>
            <w:tcBorders>
              <w:bottom w:val="single" w:sz="4" w:space="0" w:color="000000"/>
              <w:right w:val="single" w:sz="4" w:space="0" w:color="000000"/>
            </w:tcBorders>
          </w:tcPr>
          <w:p>
            <w:pPr>
              <w:pStyle w:val="TableParagraph"/>
              <w:spacing w:line="211" w:lineRule="exact" w:before="8"/>
              <w:ind w:right="91"/>
              <w:jc w:val="right"/>
              <w:rPr>
                <w:sz w:val="20"/>
              </w:rPr>
            </w:pPr>
            <w:r>
              <w:rPr>
                <w:spacing w:val="-5"/>
                <w:sz w:val="20"/>
              </w:rPr>
              <w:t>800</w:t>
            </w:r>
          </w:p>
        </w:tc>
        <w:tc>
          <w:tcPr>
            <w:tcW w:w="1420" w:type="dxa"/>
            <w:tcBorders>
              <w:left w:val="single" w:sz="4" w:space="0" w:color="000000"/>
              <w:bottom w:val="single" w:sz="4" w:space="0" w:color="000000"/>
            </w:tcBorders>
          </w:tcPr>
          <w:p>
            <w:pPr>
              <w:pStyle w:val="TableParagraph"/>
              <w:spacing w:line="211" w:lineRule="exact" w:before="8"/>
              <w:ind w:right="231"/>
              <w:jc w:val="right"/>
              <w:rPr>
                <w:sz w:val="20"/>
              </w:rPr>
            </w:pPr>
            <w:r>
              <w:rPr>
                <w:spacing w:val="-2"/>
                <w:sz w:val="20"/>
              </w:rPr>
              <w:t>1,245</w:t>
            </w:r>
          </w:p>
        </w:tc>
        <w:tc>
          <w:tcPr>
            <w:tcW w:w="1290" w:type="dxa"/>
            <w:tcBorders>
              <w:bottom w:val="single" w:sz="4" w:space="0" w:color="000000"/>
            </w:tcBorders>
          </w:tcPr>
          <w:p>
            <w:pPr>
              <w:pStyle w:val="TableParagraph"/>
              <w:spacing w:line="211" w:lineRule="exact" w:before="8"/>
              <w:ind w:right="106"/>
              <w:jc w:val="right"/>
              <w:rPr>
                <w:sz w:val="20"/>
              </w:rPr>
            </w:pPr>
            <w:r>
              <w:rPr>
                <w:w w:val="99"/>
                <w:sz w:val="20"/>
              </w:rPr>
              <w:t>0</w:t>
            </w:r>
          </w:p>
        </w:tc>
        <w:tc>
          <w:tcPr>
            <w:tcW w:w="1696" w:type="dxa"/>
            <w:tcBorders>
              <w:bottom w:val="single" w:sz="4" w:space="0" w:color="000000"/>
            </w:tcBorders>
          </w:tcPr>
          <w:p>
            <w:pPr>
              <w:pStyle w:val="TableParagraph"/>
              <w:spacing w:line="211" w:lineRule="exact" w:before="8"/>
              <w:ind w:right="239"/>
              <w:jc w:val="right"/>
              <w:rPr>
                <w:sz w:val="20"/>
              </w:rPr>
            </w:pPr>
            <w:r>
              <w:rPr>
                <w:w w:val="99"/>
                <w:sz w:val="20"/>
              </w:rPr>
              <w:t>0</w:t>
            </w:r>
          </w:p>
        </w:tc>
        <w:tc>
          <w:tcPr>
            <w:tcW w:w="1929" w:type="dxa"/>
            <w:tcBorders>
              <w:bottom w:val="single" w:sz="4" w:space="0" w:color="000000"/>
              <w:right w:val="single" w:sz="12" w:space="0" w:color="000000"/>
            </w:tcBorders>
          </w:tcPr>
          <w:p>
            <w:pPr>
              <w:pStyle w:val="TableParagraph"/>
              <w:spacing w:line="211" w:lineRule="exact" w:before="8"/>
              <w:ind w:right="89"/>
              <w:jc w:val="right"/>
              <w:rPr>
                <w:sz w:val="20"/>
              </w:rPr>
            </w:pPr>
            <w:r>
              <w:rPr>
                <w:spacing w:val="-2"/>
                <w:sz w:val="20"/>
              </w:rPr>
              <w:t>1,245</w:t>
            </w:r>
          </w:p>
        </w:tc>
      </w:tr>
      <w:tr>
        <w:trPr>
          <w:trHeight w:val="256" w:hRule="atLeast"/>
        </w:trPr>
        <w:tc>
          <w:tcPr>
            <w:tcW w:w="4188" w:type="dxa"/>
            <w:tcBorders>
              <w:left w:val="single" w:sz="12" w:space="0" w:color="000000"/>
            </w:tcBorders>
          </w:tcPr>
          <w:p>
            <w:pPr>
              <w:pStyle w:val="TableParagraph"/>
              <w:spacing w:line="211" w:lineRule="exact" w:before="26"/>
              <w:ind w:left="107"/>
              <w:rPr>
                <w:b/>
                <w:sz w:val="20"/>
              </w:rPr>
            </w:pPr>
            <w:r>
              <w:rPr>
                <w:b/>
                <w:sz w:val="20"/>
              </w:rPr>
              <w:t>Total</w:t>
            </w:r>
            <w:r>
              <w:rPr>
                <w:b/>
                <w:spacing w:val="-6"/>
                <w:sz w:val="20"/>
              </w:rPr>
              <w:t> </w:t>
            </w:r>
            <w:r>
              <w:rPr>
                <w:b/>
                <w:spacing w:val="-2"/>
                <w:sz w:val="20"/>
              </w:rPr>
              <w:t>Infrastructure</w:t>
            </w:r>
          </w:p>
        </w:tc>
        <w:tc>
          <w:tcPr>
            <w:tcW w:w="1504" w:type="dxa"/>
            <w:tcBorders>
              <w:top w:val="single" w:sz="4" w:space="0" w:color="000000"/>
              <w:bottom w:val="single" w:sz="4" w:space="0" w:color="000000"/>
            </w:tcBorders>
          </w:tcPr>
          <w:p>
            <w:pPr>
              <w:pStyle w:val="TableParagraph"/>
              <w:spacing w:line="211" w:lineRule="exact" w:before="26"/>
              <w:ind w:right="232"/>
              <w:jc w:val="right"/>
              <w:rPr>
                <w:b/>
                <w:sz w:val="20"/>
              </w:rPr>
            </w:pPr>
            <w:r>
              <w:rPr>
                <w:b/>
                <w:spacing w:val="-2"/>
                <w:sz w:val="20"/>
              </w:rPr>
              <w:t>20,560</w:t>
            </w:r>
          </w:p>
        </w:tc>
        <w:tc>
          <w:tcPr>
            <w:tcW w:w="1143" w:type="dxa"/>
            <w:tcBorders>
              <w:top w:val="single" w:sz="4" w:space="0" w:color="000000"/>
              <w:bottom w:val="single" w:sz="4" w:space="0" w:color="000000"/>
            </w:tcBorders>
          </w:tcPr>
          <w:p>
            <w:pPr>
              <w:pStyle w:val="TableParagraph"/>
              <w:spacing w:line="211" w:lineRule="exact" w:before="26"/>
              <w:ind w:right="112"/>
              <w:jc w:val="right"/>
              <w:rPr>
                <w:b/>
                <w:sz w:val="20"/>
              </w:rPr>
            </w:pPr>
            <w:r>
              <w:rPr>
                <w:b/>
                <w:spacing w:val="-2"/>
                <w:sz w:val="20"/>
              </w:rPr>
              <w:t>2,853</w:t>
            </w:r>
          </w:p>
        </w:tc>
        <w:tc>
          <w:tcPr>
            <w:tcW w:w="1112" w:type="dxa"/>
            <w:tcBorders>
              <w:top w:val="single" w:sz="4" w:space="0" w:color="000000"/>
              <w:bottom w:val="single" w:sz="4" w:space="0" w:color="000000"/>
            </w:tcBorders>
          </w:tcPr>
          <w:p>
            <w:pPr>
              <w:pStyle w:val="TableParagraph"/>
              <w:spacing w:line="211" w:lineRule="exact" w:before="26"/>
              <w:ind w:right="125"/>
              <w:jc w:val="right"/>
              <w:rPr>
                <w:b/>
                <w:sz w:val="20"/>
              </w:rPr>
            </w:pPr>
            <w:r>
              <w:rPr>
                <w:b/>
                <w:spacing w:val="-2"/>
                <w:sz w:val="20"/>
              </w:rPr>
              <w:t>14,407</w:t>
            </w:r>
          </w:p>
        </w:tc>
        <w:tc>
          <w:tcPr>
            <w:tcW w:w="1118" w:type="dxa"/>
            <w:tcBorders>
              <w:top w:val="single" w:sz="4" w:space="0" w:color="000000"/>
              <w:bottom w:val="single" w:sz="4" w:space="0" w:color="000000"/>
              <w:right w:val="single" w:sz="4" w:space="0" w:color="000000"/>
            </w:tcBorders>
          </w:tcPr>
          <w:p>
            <w:pPr>
              <w:pStyle w:val="TableParagraph"/>
              <w:spacing w:line="211" w:lineRule="exact" w:before="26"/>
              <w:ind w:right="90"/>
              <w:jc w:val="right"/>
              <w:rPr>
                <w:b/>
                <w:sz w:val="20"/>
              </w:rPr>
            </w:pPr>
            <w:r>
              <w:rPr>
                <w:b/>
                <w:spacing w:val="-2"/>
                <w:sz w:val="20"/>
              </w:rPr>
              <w:t>3,300</w:t>
            </w:r>
          </w:p>
        </w:tc>
        <w:tc>
          <w:tcPr>
            <w:tcW w:w="1420" w:type="dxa"/>
            <w:tcBorders>
              <w:top w:val="single" w:sz="4" w:space="0" w:color="000000"/>
              <w:left w:val="single" w:sz="4" w:space="0" w:color="000000"/>
              <w:bottom w:val="single" w:sz="4" w:space="0" w:color="000000"/>
            </w:tcBorders>
          </w:tcPr>
          <w:p>
            <w:pPr>
              <w:pStyle w:val="TableParagraph"/>
              <w:spacing w:line="211" w:lineRule="exact" w:before="26"/>
              <w:ind w:right="232"/>
              <w:jc w:val="right"/>
              <w:rPr>
                <w:b/>
                <w:sz w:val="20"/>
              </w:rPr>
            </w:pPr>
            <w:r>
              <w:rPr>
                <w:b/>
                <w:spacing w:val="-2"/>
                <w:sz w:val="20"/>
              </w:rPr>
              <w:t>20,560</w:t>
            </w:r>
          </w:p>
        </w:tc>
        <w:tc>
          <w:tcPr>
            <w:tcW w:w="1290" w:type="dxa"/>
            <w:tcBorders>
              <w:top w:val="single" w:sz="4" w:space="0" w:color="000000"/>
              <w:bottom w:val="single" w:sz="4" w:space="0" w:color="000000"/>
            </w:tcBorders>
          </w:tcPr>
          <w:p>
            <w:pPr>
              <w:pStyle w:val="TableParagraph"/>
              <w:spacing w:line="211" w:lineRule="exact" w:before="26"/>
              <w:ind w:right="108"/>
              <w:jc w:val="right"/>
              <w:rPr>
                <w:b/>
                <w:sz w:val="20"/>
              </w:rPr>
            </w:pPr>
            <w:r>
              <w:rPr>
                <w:b/>
                <w:spacing w:val="-2"/>
                <w:sz w:val="20"/>
              </w:rPr>
              <w:t>1,016</w:t>
            </w:r>
          </w:p>
        </w:tc>
        <w:tc>
          <w:tcPr>
            <w:tcW w:w="1696" w:type="dxa"/>
            <w:tcBorders>
              <w:top w:val="single" w:sz="4" w:space="0" w:color="000000"/>
              <w:bottom w:val="single" w:sz="4" w:space="0" w:color="000000"/>
            </w:tcBorders>
          </w:tcPr>
          <w:p>
            <w:pPr>
              <w:pStyle w:val="TableParagraph"/>
              <w:spacing w:line="211" w:lineRule="exact" w:before="26"/>
              <w:ind w:right="243"/>
              <w:jc w:val="right"/>
              <w:rPr>
                <w:b/>
                <w:sz w:val="20"/>
              </w:rPr>
            </w:pPr>
            <w:r>
              <w:rPr>
                <w:b/>
                <w:spacing w:val="-5"/>
                <w:sz w:val="20"/>
              </w:rPr>
              <w:t>36</w:t>
            </w:r>
          </w:p>
        </w:tc>
        <w:tc>
          <w:tcPr>
            <w:tcW w:w="1929" w:type="dxa"/>
            <w:tcBorders>
              <w:top w:val="single" w:sz="4" w:space="0" w:color="000000"/>
              <w:bottom w:val="single" w:sz="4" w:space="0" w:color="000000"/>
              <w:right w:val="single" w:sz="12" w:space="0" w:color="000000"/>
            </w:tcBorders>
          </w:tcPr>
          <w:p>
            <w:pPr>
              <w:pStyle w:val="TableParagraph"/>
              <w:spacing w:line="211" w:lineRule="exact" w:before="26"/>
              <w:ind w:right="90"/>
              <w:jc w:val="right"/>
              <w:rPr>
                <w:b/>
                <w:sz w:val="20"/>
              </w:rPr>
            </w:pPr>
            <w:r>
              <w:rPr>
                <w:b/>
                <w:spacing w:val="-2"/>
                <w:sz w:val="20"/>
              </w:rPr>
              <w:t>19,508</w:t>
            </w:r>
          </w:p>
        </w:tc>
      </w:tr>
      <w:tr>
        <w:trPr>
          <w:trHeight w:val="255" w:hRule="atLeast"/>
        </w:trPr>
        <w:tc>
          <w:tcPr>
            <w:tcW w:w="4188" w:type="dxa"/>
            <w:tcBorders>
              <w:left w:val="single" w:sz="12" w:space="0" w:color="000000"/>
              <w:bottom w:val="single" w:sz="12" w:space="0" w:color="000000"/>
            </w:tcBorders>
          </w:tcPr>
          <w:p>
            <w:pPr>
              <w:pStyle w:val="TableParagraph"/>
              <w:spacing w:line="213" w:lineRule="exact" w:before="23"/>
              <w:ind w:left="107"/>
              <w:rPr>
                <w:b/>
                <w:sz w:val="20"/>
              </w:rPr>
            </w:pPr>
            <w:r>
              <w:rPr>
                <w:b/>
                <w:sz w:val="20"/>
              </w:rPr>
              <w:t>Total</w:t>
            </w:r>
            <w:r>
              <w:rPr>
                <w:b/>
                <w:spacing w:val="-8"/>
                <w:sz w:val="20"/>
              </w:rPr>
              <w:t> </w:t>
            </w:r>
            <w:r>
              <w:rPr>
                <w:b/>
                <w:sz w:val="20"/>
              </w:rPr>
              <w:t>Capital</w:t>
            </w:r>
            <w:r>
              <w:rPr>
                <w:b/>
                <w:spacing w:val="-5"/>
                <w:sz w:val="20"/>
              </w:rPr>
              <w:t> </w:t>
            </w:r>
            <w:r>
              <w:rPr>
                <w:b/>
                <w:sz w:val="20"/>
              </w:rPr>
              <w:t>Works</w:t>
            </w:r>
            <w:r>
              <w:rPr>
                <w:b/>
                <w:spacing w:val="-6"/>
                <w:sz w:val="20"/>
              </w:rPr>
              <w:t> </w:t>
            </w:r>
            <w:r>
              <w:rPr>
                <w:b/>
                <w:spacing w:val="-2"/>
                <w:sz w:val="20"/>
              </w:rPr>
              <w:t>Expenditure</w:t>
            </w:r>
          </w:p>
        </w:tc>
        <w:tc>
          <w:tcPr>
            <w:tcW w:w="1504" w:type="dxa"/>
            <w:tcBorders>
              <w:top w:val="single" w:sz="4" w:space="0" w:color="000000"/>
              <w:bottom w:val="single" w:sz="12" w:space="0" w:color="000000"/>
            </w:tcBorders>
          </w:tcPr>
          <w:p>
            <w:pPr>
              <w:pStyle w:val="TableParagraph"/>
              <w:spacing w:line="213" w:lineRule="exact" w:before="23"/>
              <w:ind w:right="232"/>
              <w:jc w:val="right"/>
              <w:rPr>
                <w:b/>
                <w:sz w:val="20"/>
              </w:rPr>
            </w:pPr>
            <w:r>
              <w:rPr>
                <w:b/>
                <w:spacing w:val="-2"/>
                <w:sz w:val="20"/>
              </w:rPr>
              <w:t>49,883</w:t>
            </w:r>
          </w:p>
        </w:tc>
        <w:tc>
          <w:tcPr>
            <w:tcW w:w="1143" w:type="dxa"/>
            <w:tcBorders>
              <w:top w:val="single" w:sz="4" w:space="0" w:color="000000"/>
              <w:bottom w:val="single" w:sz="12" w:space="0" w:color="000000"/>
            </w:tcBorders>
          </w:tcPr>
          <w:p>
            <w:pPr>
              <w:pStyle w:val="TableParagraph"/>
              <w:spacing w:line="213" w:lineRule="exact" w:before="23"/>
              <w:ind w:right="112"/>
              <w:jc w:val="right"/>
              <w:rPr>
                <w:b/>
                <w:sz w:val="20"/>
              </w:rPr>
            </w:pPr>
            <w:r>
              <w:rPr>
                <w:b/>
                <w:spacing w:val="-2"/>
                <w:sz w:val="20"/>
              </w:rPr>
              <w:t>4,101</w:t>
            </w:r>
          </w:p>
        </w:tc>
        <w:tc>
          <w:tcPr>
            <w:tcW w:w="1112" w:type="dxa"/>
            <w:tcBorders>
              <w:top w:val="single" w:sz="4" w:space="0" w:color="000000"/>
              <w:bottom w:val="single" w:sz="12" w:space="0" w:color="000000"/>
            </w:tcBorders>
          </w:tcPr>
          <w:p>
            <w:pPr>
              <w:pStyle w:val="TableParagraph"/>
              <w:spacing w:line="213" w:lineRule="exact" w:before="23"/>
              <w:ind w:right="125"/>
              <w:jc w:val="right"/>
              <w:rPr>
                <w:b/>
                <w:sz w:val="20"/>
              </w:rPr>
            </w:pPr>
            <w:r>
              <w:rPr>
                <w:b/>
                <w:spacing w:val="-2"/>
                <w:sz w:val="20"/>
              </w:rPr>
              <w:t>36,972</w:t>
            </w:r>
          </w:p>
        </w:tc>
        <w:tc>
          <w:tcPr>
            <w:tcW w:w="1118" w:type="dxa"/>
            <w:tcBorders>
              <w:top w:val="single" w:sz="4" w:space="0" w:color="000000"/>
              <w:bottom w:val="single" w:sz="12" w:space="0" w:color="000000"/>
              <w:right w:val="single" w:sz="4" w:space="0" w:color="000000"/>
            </w:tcBorders>
          </w:tcPr>
          <w:p>
            <w:pPr>
              <w:pStyle w:val="TableParagraph"/>
              <w:spacing w:line="213" w:lineRule="exact" w:before="23"/>
              <w:ind w:right="90"/>
              <w:jc w:val="right"/>
              <w:rPr>
                <w:b/>
                <w:sz w:val="20"/>
              </w:rPr>
            </w:pPr>
            <w:r>
              <w:rPr>
                <w:b/>
                <w:spacing w:val="-2"/>
                <w:sz w:val="20"/>
              </w:rPr>
              <w:t>8,809</w:t>
            </w:r>
          </w:p>
        </w:tc>
        <w:tc>
          <w:tcPr>
            <w:tcW w:w="1420" w:type="dxa"/>
            <w:tcBorders>
              <w:top w:val="single" w:sz="4" w:space="0" w:color="000000"/>
              <w:left w:val="single" w:sz="4" w:space="0" w:color="000000"/>
              <w:bottom w:val="single" w:sz="12" w:space="0" w:color="000000"/>
            </w:tcBorders>
          </w:tcPr>
          <w:p>
            <w:pPr>
              <w:pStyle w:val="TableParagraph"/>
              <w:spacing w:line="213" w:lineRule="exact" w:before="23"/>
              <w:ind w:right="232"/>
              <w:jc w:val="right"/>
              <w:rPr>
                <w:b/>
                <w:sz w:val="20"/>
              </w:rPr>
            </w:pPr>
            <w:r>
              <w:rPr>
                <w:b/>
                <w:spacing w:val="-2"/>
                <w:sz w:val="20"/>
              </w:rPr>
              <w:t>49,209</w:t>
            </w:r>
          </w:p>
        </w:tc>
        <w:tc>
          <w:tcPr>
            <w:tcW w:w="1290" w:type="dxa"/>
            <w:tcBorders>
              <w:top w:val="single" w:sz="4" w:space="0" w:color="000000"/>
              <w:bottom w:val="single" w:sz="12" w:space="0" w:color="000000"/>
            </w:tcBorders>
          </w:tcPr>
          <w:p>
            <w:pPr>
              <w:pStyle w:val="TableParagraph"/>
              <w:spacing w:line="213" w:lineRule="exact" w:before="23"/>
              <w:ind w:right="109"/>
              <w:jc w:val="right"/>
              <w:rPr>
                <w:b/>
                <w:sz w:val="20"/>
              </w:rPr>
            </w:pPr>
            <w:r>
              <w:rPr>
                <w:b/>
                <w:spacing w:val="-2"/>
                <w:sz w:val="20"/>
              </w:rPr>
              <w:t>11,016</w:t>
            </w:r>
          </w:p>
        </w:tc>
        <w:tc>
          <w:tcPr>
            <w:tcW w:w="1696" w:type="dxa"/>
            <w:tcBorders>
              <w:top w:val="single" w:sz="4" w:space="0" w:color="000000"/>
              <w:bottom w:val="single" w:sz="12" w:space="0" w:color="000000"/>
            </w:tcBorders>
          </w:tcPr>
          <w:p>
            <w:pPr>
              <w:pStyle w:val="TableParagraph"/>
              <w:spacing w:line="213" w:lineRule="exact" w:before="23"/>
              <w:ind w:right="242"/>
              <w:jc w:val="right"/>
              <w:rPr>
                <w:b/>
                <w:sz w:val="20"/>
              </w:rPr>
            </w:pPr>
            <w:r>
              <w:rPr>
                <w:b/>
                <w:spacing w:val="-5"/>
                <w:sz w:val="20"/>
              </w:rPr>
              <w:t>236</w:t>
            </w:r>
          </w:p>
        </w:tc>
        <w:tc>
          <w:tcPr>
            <w:tcW w:w="1929" w:type="dxa"/>
            <w:tcBorders>
              <w:top w:val="single" w:sz="4" w:space="0" w:color="000000"/>
              <w:bottom w:val="single" w:sz="12" w:space="0" w:color="000000"/>
              <w:right w:val="single" w:sz="12" w:space="0" w:color="000000"/>
            </w:tcBorders>
          </w:tcPr>
          <w:p>
            <w:pPr>
              <w:pStyle w:val="TableParagraph"/>
              <w:spacing w:line="213" w:lineRule="exact" w:before="23"/>
              <w:ind w:right="90"/>
              <w:jc w:val="right"/>
              <w:rPr>
                <w:b/>
                <w:sz w:val="20"/>
              </w:rPr>
            </w:pPr>
            <w:r>
              <w:rPr>
                <w:b/>
                <w:spacing w:val="-2"/>
                <w:sz w:val="20"/>
              </w:rPr>
              <w:t>37,957</w:t>
            </w:r>
          </w:p>
        </w:tc>
      </w:tr>
    </w:tbl>
    <w:p>
      <w:pPr>
        <w:spacing w:after="0" w:line="213" w:lineRule="exact"/>
        <w:jc w:val="right"/>
        <w:rPr>
          <w:sz w:val="20"/>
        </w:rPr>
        <w:sectPr>
          <w:pgSz w:w="16840" w:h="11910" w:orient="landscape"/>
          <w:pgMar w:header="0" w:footer="375" w:top="540" w:bottom="560" w:left="600" w:right="120"/>
        </w:sectPr>
      </w:pPr>
    </w:p>
    <w:p>
      <w:pPr>
        <w:pStyle w:val="ListParagraph"/>
        <w:numPr>
          <w:ilvl w:val="2"/>
          <w:numId w:val="70"/>
        </w:numPr>
        <w:tabs>
          <w:tab w:pos="722" w:val="left" w:leader="none"/>
        </w:tabs>
        <w:spacing w:line="240" w:lineRule="auto" w:before="80" w:after="0"/>
        <w:ind w:left="721" w:right="0" w:hanging="602"/>
        <w:jc w:val="left"/>
        <w:rPr>
          <w:b/>
          <w:sz w:val="24"/>
        </w:rPr>
      </w:pPr>
      <w:r>
        <w:rPr/>
        <w:pict>
          <v:shape style="position:absolute;margin-left:332.160004pt;margin-top:184.319992pt;width:.5pt;height:5.8pt;mso-position-horizontal-relative:page;mso-position-vertical-relative:page;z-index:-38007296" id="docshape27" coordorigin="6643,3686" coordsize="10,116" path="m6653,3763l6643,3763,6643,3802,6653,3802,6653,3763xm6653,3686l6643,3686,6643,3725,6653,3725,6653,3686xe" filled="true" fillcolor="#000000" stroked="false">
            <v:path arrowok="t"/>
            <v:fill type="solid"/>
            <w10:wrap type="none"/>
          </v:shape>
        </w:pict>
      </w:r>
      <w:r>
        <w:rPr/>
        <w:pict>
          <v:shape style="position:absolute;margin-left:484.199036pt;margin-top:184.319992pt;width:.5pt;height:5.8pt;mso-position-horizontal-relative:page;mso-position-vertical-relative:page;z-index:-38006784" id="docshape28" coordorigin="9684,3686" coordsize="10,116" path="m9694,3763l9684,3763,9684,3802,9694,3802,9694,3763xm9694,3686l9684,3686,9684,3725,9694,3725,9694,3686xe" filled="true" fillcolor="#000000" stroked="false">
            <v:path arrowok="t"/>
            <v:fill type="solid"/>
            <w10:wrap type="none"/>
          </v:shape>
        </w:pict>
      </w:r>
      <w:r>
        <w:rPr/>
        <w:pict>
          <v:shape style="position:absolute;margin-left:534.720032pt;margin-top:184.319992pt;width:.5pt;height:5.8pt;mso-position-horizontal-relative:page;mso-position-vertical-relative:page;z-index:-38006272" id="docshape29" coordorigin="10694,3686" coordsize="10,116" path="m10704,3763l10694,3763,10694,3802,10704,3802,10704,3763xm10704,3686l10694,3686,10694,3725,10704,3725,10704,3686xe" filled="true" fillcolor="#000000" stroked="false">
            <v:path arrowok="t"/>
            <v:fill type="solid"/>
            <w10:wrap type="none"/>
          </v:shape>
        </w:pict>
      </w:r>
      <w:r>
        <w:rPr/>
        <w:pict>
          <v:shape style="position:absolute;margin-left:332.160004pt;margin-top:199.679993pt;width:.5pt;height:5.8pt;mso-position-horizontal-relative:page;mso-position-vertical-relative:page;z-index:-38005760" id="docshape30" coordorigin="6643,3994" coordsize="10,116" path="m6653,4070l6643,4070,6643,4109,6653,4109,6653,4070xm6653,3994l6643,3994,6643,4032,6653,4032,6653,3994xe" filled="true" fillcolor="#000000" stroked="false">
            <v:path arrowok="t"/>
            <v:fill type="solid"/>
            <w10:wrap type="none"/>
          </v:shape>
        </w:pict>
      </w:r>
      <w:r>
        <w:rPr/>
        <w:pict>
          <v:shape style="position:absolute;margin-left:534.720032pt;margin-top:199.679993pt;width:.5pt;height:5.8pt;mso-position-horizontal-relative:page;mso-position-vertical-relative:page;z-index:-38005248" id="docshape31" coordorigin="10694,3994" coordsize="10,116" path="m10704,4070l10694,4070,10694,4109,10704,4109,10704,4070xm10704,3994l10694,3994,10694,4032,10704,4032,10704,3994xe" filled="true" fillcolor="#000000" stroked="false">
            <v:path arrowok="t"/>
            <v:fill type="solid"/>
            <w10:wrap type="none"/>
          </v:shape>
        </w:pict>
      </w:r>
      <w:r>
        <w:rPr/>
        <w:pict>
          <v:shape style="position:absolute;margin-left:332.160004pt;margin-top:215.040985pt;width:.5pt;height:5.8pt;mso-position-horizontal-relative:page;mso-position-vertical-relative:page;z-index:-38004736" id="docshape32" coordorigin="6643,4301" coordsize="10,116" path="m6653,4378l6643,4378,6643,4416,6653,4416,6653,4378xm6653,4301l6643,4301,6643,4339,6653,4339,6653,4301xe" filled="true" fillcolor="#000000" stroked="false">
            <v:path arrowok="t"/>
            <v:fill type="solid"/>
            <w10:wrap type="none"/>
          </v:shape>
        </w:pict>
      </w:r>
      <w:r>
        <w:rPr/>
        <w:pict>
          <v:shape style="position:absolute;margin-left:332.160004pt;margin-top:230.400986pt;width:.5pt;height:9.6pt;mso-position-horizontal-relative:page;mso-position-vertical-relative:page;z-index:-38004224" id="docshape33" coordorigin="6643,4608" coordsize="10,192" path="m6653,4762l6643,4762,6643,4800,6653,4800,6653,4762xm6653,4685l6643,4685,6643,4723,6653,4723,6653,4685xm6653,4608l6643,4608,6643,4646,6653,4646,6653,4608xe" filled="true" fillcolor="#000000" stroked="false">
            <v:path arrowok="t"/>
            <v:fill type="solid"/>
            <w10:wrap type="none"/>
          </v:shape>
        </w:pict>
      </w:r>
      <w:r>
        <w:rPr/>
        <w:pict>
          <v:shape style="position:absolute;margin-left:332.160004pt;margin-top:245.759995pt;width:.5pt;height:9.65pt;mso-position-horizontal-relative:page;mso-position-vertical-relative:page;z-index:-38003712" id="docshape34" coordorigin="6643,4915" coordsize="10,193" path="m6653,5069l6643,5069,6643,5107,6653,5107,6653,5069xm6653,4992l6643,4992,6643,5030,6653,5030,6653,4992xm6653,4915l6643,4915,6643,4954,6653,4954,6653,4915xe" filled="true" fillcolor="#000000" stroked="false">
            <v:path arrowok="t"/>
            <v:fill type="solid"/>
            <w10:wrap type="none"/>
          </v:shape>
        </w:pict>
      </w:r>
      <w:r>
        <w:rPr/>
        <w:pict>
          <v:shape style="position:absolute;margin-left:534.720032pt;margin-top:245.759995pt;width:.5pt;height:9.65pt;mso-position-horizontal-relative:page;mso-position-vertical-relative:page;z-index:-38003200" id="docshape35" coordorigin="10694,4915" coordsize="10,193" path="m10704,5069l10694,5069,10694,5107,10704,5107,10704,5069xm10704,4992l10694,4992,10694,5030,10704,5030,10704,4992xm10704,4915l10694,4915,10694,4954,10704,4954,10704,4915xe" filled="true" fillcolor="#000000" stroked="false">
            <v:path arrowok="t"/>
            <v:fill type="solid"/>
            <w10:wrap type="none"/>
          </v:shape>
        </w:pict>
      </w:r>
      <w:r>
        <w:rPr/>
        <w:pict>
          <v:shape style="position:absolute;margin-left:332.160004pt;margin-top:261.121002pt;width:.5pt;height:9.6pt;mso-position-horizontal-relative:page;mso-position-vertical-relative:page;z-index:-38002688" id="docshape36" coordorigin="6643,5222" coordsize="10,192" path="m6653,5376l6643,5376,6643,5414,6653,5414,6653,5376xm6653,5299l6643,5299,6643,5338,6653,5338,6653,5299xm6653,5222l6643,5222,6643,5261,6653,5261,6653,5222xe" filled="true" fillcolor="#000000" stroked="false">
            <v:path arrowok="t"/>
            <v:fill type="solid"/>
            <w10:wrap type="none"/>
          </v:shape>
        </w:pict>
      </w:r>
      <w:r>
        <w:rPr/>
        <w:pict>
          <v:shape style="position:absolute;margin-left:332.160004pt;margin-top:276.480988pt;width:.5pt;height:9.6pt;mso-position-horizontal-relative:page;mso-position-vertical-relative:page;z-index:-38002176" id="docshape37" coordorigin="6643,5530" coordsize="10,192" path="m6653,5683l6643,5683,6643,5722,6653,5722,6653,5683xm6653,5606l6643,5606,6643,5645,6653,5645,6653,5606xm6653,5530l6643,5530,6643,5568,6653,5568,6653,5530xe" filled="true" fillcolor="#000000" stroked="false">
            <v:path arrowok="t"/>
            <v:fill type="solid"/>
            <w10:wrap type="none"/>
          </v:shape>
        </w:pict>
      </w:r>
      <w:r>
        <w:rPr/>
        <w:pict>
          <v:shape style="position:absolute;margin-left:534.720032pt;margin-top:276.480988pt;width:.5pt;height:9.6pt;mso-position-horizontal-relative:page;mso-position-vertical-relative:page;z-index:-38001664" id="docshape38" coordorigin="10694,5530" coordsize="10,192" path="m10704,5683l10694,5683,10694,5722,10704,5722,10704,5683xm10704,5606l10694,5606,10694,5645,10704,5645,10704,5606xm10704,5530l10694,5530,10694,5568,10704,5568,10704,5530xe" filled="true" fillcolor="#000000" stroked="false">
            <v:path arrowok="t"/>
            <v:fill type="solid"/>
            <w10:wrap type="none"/>
          </v:shape>
        </w:pict>
      </w:r>
      <w:r>
        <w:rPr/>
        <w:pict>
          <v:shape style="position:absolute;margin-left:585.360046pt;margin-top:276.480988pt;width:.5pt;height:9.6pt;mso-position-horizontal-relative:page;mso-position-vertical-relative:page;z-index:-38001152" id="docshape39" coordorigin="11707,5530" coordsize="10,192" path="m11717,5683l11707,5683,11707,5722,11717,5722,11717,5683xm11717,5606l11707,5606,11707,5645,11717,5645,11717,5606xm11717,5530l11707,5530,11707,5568,11717,5568,11717,5530xe" filled="true" fillcolor="#000000" stroked="false">
            <v:path arrowok="t"/>
            <v:fill type="solid"/>
            <w10:wrap type="none"/>
          </v:shape>
        </w:pict>
      </w:r>
      <w:r>
        <w:rPr/>
        <w:pict>
          <v:shape style="position:absolute;margin-left:332.160004pt;margin-top:291.839996pt;width:.5pt;height:17.3pt;mso-position-horizontal-relative:page;mso-position-vertical-relative:page;z-index:-38000640" id="docshape40" coordorigin="6643,5837" coordsize="10,346" path="m6653,6144l6643,6144,6643,6182,6653,6182,6653,6144xm6653,6067l6643,6067,6643,6106,6653,6106,6653,6067xm6653,5990l6643,5990,6643,6029,6653,6029,6653,5990xm6653,5914l6643,5914,6643,5952,6653,5952,6653,5914xm6653,5837l6643,5837,6643,5875,6653,5875,6653,5837xe" filled="true" fillcolor="#000000" stroked="false">
            <v:path arrowok="t"/>
            <v:fill type="solid"/>
            <w10:wrap type="none"/>
          </v:shape>
        </w:pict>
      </w:r>
      <w:r>
        <w:rPr/>
        <w:pict>
          <v:shape style="position:absolute;margin-left:382.800018pt;margin-top:291.839996pt;width:.5pt;height:17.3pt;mso-position-horizontal-relative:page;mso-position-vertical-relative:page;z-index:-38000128" id="docshape41" coordorigin="7656,5837" coordsize="10,346" path="m7666,6144l7656,6144,7656,6182,7666,6182,7666,6144xm7666,6067l7656,6067,7656,6106,7666,6106,7666,6067xm7666,5990l7656,5990,7656,6029,7666,6029,7666,5990xm7666,5914l7656,5914,7656,5952,7666,5952,7666,5914xm7666,5837l7656,5837,7656,5875,7666,5875,7666,5837xe" filled="true" fillcolor="#000000" stroked="false">
            <v:path arrowok="t"/>
            <v:fill type="solid"/>
            <w10:wrap type="none"/>
          </v:shape>
        </w:pict>
      </w:r>
      <w:r>
        <w:rPr/>
        <w:pict>
          <v:shape style="position:absolute;margin-left:534.720032pt;margin-top:291.839996pt;width:.5pt;height:17.3pt;mso-position-horizontal-relative:page;mso-position-vertical-relative:page;z-index:-37999616" id="docshape42" coordorigin="10694,5837" coordsize="10,346" path="m10704,6144l10694,6144,10694,6182,10704,6182,10704,6144xm10704,6067l10694,6067,10694,6106,10704,6106,10704,6067xm10704,5990l10694,5990,10694,6029,10704,6029,10704,5990xm10704,5914l10694,5914,10694,5952,10704,5952,10704,5914xm10704,5837l10694,5837,10694,5875,10704,5875,10704,5837xe" filled="true" fillcolor="#000000" stroked="false">
            <v:path arrowok="t"/>
            <v:fill type="solid"/>
            <w10:wrap type="none"/>
          </v:shape>
        </w:pict>
      </w:r>
      <w:r>
        <w:rPr/>
        <w:pict>
          <v:shape style="position:absolute;margin-left:332.160004pt;margin-top:318.720001pt;width:.5pt;height:28.8pt;mso-position-horizontal-relative:page;mso-position-vertical-relative:page;z-index:-37999104" id="docshape43" coordorigin="6643,6374" coordsize="10,576" path="m6653,6912l6643,6912,6643,6950,6653,6950,6653,6912xm6653,6835l6643,6835,6643,6874,6653,6874,6653,6835xm6653,6758l6643,6758,6643,6797,6653,6797,6653,6758xm6653,6682l6643,6682,6643,6720,6653,6720,6653,6682xm6653,6605l6643,6605,6643,6643,6653,6643,6653,6605xm6653,6528l6643,6528,6643,6566,6653,6566,6653,6528xm6653,6451l6643,6451,6643,6490,6653,6490,6653,6451xm6653,6374l6643,6374,6643,6413,6653,6413,6653,6374xe" filled="true" fillcolor="#000000" stroked="false">
            <v:path arrowok="t"/>
            <v:fill type="solid"/>
            <w10:wrap type="none"/>
          </v:shape>
        </w:pict>
      </w:r>
      <w:r>
        <w:rPr/>
        <w:pict>
          <v:shape style="position:absolute;margin-left:382.800018pt;margin-top:318.720001pt;width:.5pt;height:28.8pt;mso-position-horizontal-relative:page;mso-position-vertical-relative:page;z-index:-37998592" id="docshape44" coordorigin="7656,6374" coordsize="10,576" path="m7666,6912l7656,6912,7656,6950,7666,6950,7666,6912xm7666,6835l7656,6835,7656,6874,7666,6874,7666,6835xm7666,6758l7656,6758,7656,6797,7666,6797,7666,6758xm7666,6682l7656,6682,7656,6720,7666,6720,7666,6682xm7666,6605l7656,6605,7656,6643,7666,6643,7666,6605xm7666,6528l7656,6528,7656,6566,7666,6566,7666,6528xm7666,6451l7656,6451,7656,6490,7666,6490,7666,6451xm7666,6374l7656,6374,7656,6413,7666,6413,7666,6374xe" filled="true" fillcolor="#000000" stroked="false">
            <v:path arrowok="t"/>
            <v:fill type="solid"/>
            <w10:wrap type="none"/>
          </v:shape>
        </w:pict>
      </w:r>
      <w:r>
        <w:rPr/>
        <w:pict>
          <v:shape style="position:absolute;margin-left:433.440033pt;margin-top:318.720001pt;width:.5pt;height:28.8pt;mso-position-horizontal-relative:page;mso-position-vertical-relative:page;z-index:-37998080" id="docshape45" coordorigin="8669,6374" coordsize="10,576" path="m8678,6912l8669,6912,8669,6950,8678,6950,8678,6912xm8678,6835l8669,6835,8669,6874,8678,6874,8678,6835xm8678,6758l8669,6758,8669,6797,8678,6797,8678,6758xm8678,6682l8669,6682,8669,6720,8678,6720,8678,6682xm8678,6605l8669,6605,8669,6643,8678,6643,8678,6605xm8678,6528l8669,6528,8669,6566,8678,6566,8678,6528xm8678,6451l8669,6451,8669,6490,8678,6490,8678,6451xm8678,6374l8669,6374,8669,6413,8678,6413,8678,6374xe" filled="true" fillcolor="#000000" stroked="false">
            <v:path arrowok="t"/>
            <v:fill type="solid"/>
            <w10:wrap type="none"/>
          </v:shape>
        </w:pict>
      </w:r>
      <w:r>
        <w:rPr/>
        <w:pict>
          <v:shape style="position:absolute;margin-left:484.199036pt;margin-top:318.720001pt;width:.5pt;height:28.8pt;mso-position-horizontal-relative:page;mso-position-vertical-relative:page;z-index:-37997568" id="docshape46" coordorigin="9684,6374" coordsize="10,576" path="m9694,6912l9684,6912,9684,6950,9694,6950,9694,6912xm9694,6835l9684,6835,9684,6874,9694,6874,9694,6835xm9694,6758l9684,6758,9684,6797,9694,6797,9694,6758xm9694,6682l9684,6682,9684,6720,9694,6720,9694,6682xm9694,6605l9684,6605,9684,6643,9694,6643,9694,6605xm9694,6528l9684,6528,9684,6566,9694,6566,9694,6528xm9694,6451l9684,6451,9684,6490,9694,6490,9694,6451xm9694,6374l9684,6374,9684,6413,9694,6413,9694,6374xe" filled="true" fillcolor="#000000" stroked="false">
            <v:path arrowok="t"/>
            <v:fill type="solid"/>
            <w10:wrap type="none"/>
          </v:shape>
        </w:pict>
      </w:r>
      <w:r>
        <w:rPr/>
        <w:pict>
          <v:shape style="position:absolute;margin-left:534.720032pt;margin-top:318.720001pt;width:.5pt;height:28.8pt;mso-position-horizontal-relative:page;mso-position-vertical-relative:page;z-index:-37997056" id="docshape47" coordorigin="10694,6374" coordsize="10,576" path="m10704,6912l10694,6912,10694,6950,10704,6950,10704,6912xm10704,6835l10694,6835,10694,6874,10704,6874,10704,6835xm10704,6758l10694,6758,10694,6797,10704,6797,10704,6758xm10704,6682l10694,6682,10694,6720,10704,6720,10704,6682xm10704,6605l10694,6605,10694,6643,10704,6643,10704,6605xm10704,6528l10694,6528,10694,6566,10704,6566,10704,6528xm10704,6451l10694,6451,10694,6490,10704,6490,10704,6451xm10704,6374l10694,6374,10694,6413,10704,6413,10704,6374xe" filled="true" fillcolor="#000000" stroked="false">
            <v:path arrowok="t"/>
            <v:fill type="solid"/>
            <w10:wrap type="none"/>
          </v:shape>
        </w:pict>
      </w:r>
      <w:r>
        <w:rPr/>
        <w:pict>
          <v:shape style="position:absolute;margin-left:585.360046pt;margin-top:318.720001pt;width:.5pt;height:28.8pt;mso-position-horizontal-relative:page;mso-position-vertical-relative:page;z-index:-37996544" id="docshape48" coordorigin="11707,6374" coordsize="10,576" path="m11717,6912l11707,6912,11707,6950,11717,6950,11717,6912xm11717,6835l11707,6835,11707,6874,11717,6874,11717,6835xm11717,6758l11707,6758,11707,6797,11717,6797,11717,6758xm11717,6682l11707,6682,11707,6720,11717,6720,11717,6682xm11717,6605l11707,6605,11707,6643,11717,6643,11717,6605xm11717,6528l11707,6528,11707,6566,11717,6566,11717,6528xm11717,6451l11707,6451,11707,6490,11717,6490,11717,6451xm11717,6374l11707,6374,11707,6413,11717,6413,11717,6374xe" filled="true" fillcolor="#000000" stroked="false">
            <v:path arrowok="t"/>
            <v:fill type="solid"/>
            <w10:wrap type="none"/>
          </v:shape>
        </w:pict>
      </w:r>
      <w:r>
        <w:rPr/>
        <w:pict>
          <v:shape style="position:absolute;margin-left:332.160004pt;margin-top:407.040009pt;width:.5pt;height:5.8pt;mso-position-horizontal-relative:page;mso-position-vertical-relative:page;z-index:-37996032" id="docshape49" coordorigin="6643,8141" coordsize="10,116" path="m6653,8218l6643,8218,6643,8256,6653,8256,6653,8218xm6653,8141l6643,8141,6643,8179,6653,8179,6653,8141xe" filled="true" fillcolor="#000000" stroked="false">
            <v:path arrowok="t"/>
            <v:fill type="solid"/>
            <w10:wrap type="none"/>
          </v:shape>
        </w:pict>
      </w:r>
      <w:r>
        <w:rPr/>
        <w:pict>
          <v:shape style="position:absolute;margin-left:382.800018pt;margin-top:407.040009pt;width:.5pt;height:5.8pt;mso-position-horizontal-relative:page;mso-position-vertical-relative:page;z-index:-37995520" id="docshape50" coordorigin="7656,8141" coordsize="10,116" path="m7666,8218l7656,8218,7656,8256,7666,8256,7666,8218xm7666,8141l7656,8141,7656,8179,7666,8179,7666,8141xe" filled="true" fillcolor="#000000" stroked="false">
            <v:path arrowok="t"/>
            <v:fill type="solid"/>
            <w10:wrap type="none"/>
          </v:shape>
        </w:pict>
      </w:r>
      <w:r>
        <w:rPr/>
        <w:pict>
          <v:shape style="position:absolute;margin-left:433.440033pt;margin-top:407.040009pt;width:.5pt;height:5.8pt;mso-position-horizontal-relative:page;mso-position-vertical-relative:page;z-index:-37995008" id="docshape51" coordorigin="8669,8141" coordsize="10,116" path="m8678,8218l8669,8218,8669,8256,8678,8256,8678,8218xm8678,8141l8669,8141,8669,8179,8678,8179,8678,8141xe" filled="true" fillcolor="#000000" stroked="false">
            <v:path arrowok="t"/>
            <v:fill type="solid"/>
            <w10:wrap type="none"/>
          </v:shape>
        </w:pict>
      </w:r>
      <w:r>
        <w:rPr/>
        <w:pict>
          <v:shape style="position:absolute;margin-left:484.199036pt;margin-top:407.040009pt;width:.5pt;height:5.8pt;mso-position-horizontal-relative:page;mso-position-vertical-relative:page;z-index:-37994496" id="docshape52" coordorigin="9684,8141" coordsize="10,116" path="m9694,8218l9684,8218,9684,8256,9694,8256,9694,8218xm9694,8141l9684,8141,9684,8179,9694,8179,9694,8141xe" filled="true" fillcolor="#000000" stroked="false">
            <v:path arrowok="t"/>
            <v:fill type="solid"/>
            <w10:wrap type="none"/>
          </v:shape>
        </w:pict>
      </w:r>
      <w:r>
        <w:rPr/>
        <w:pict>
          <v:shape style="position:absolute;margin-left:534.720032pt;margin-top:407.040009pt;width:.5pt;height:5.8pt;mso-position-horizontal-relative:page;mso-position-vertical-relative:page;z-index:-37993984" id="docshape53" coordorigin="10694,8141" coordsize="10,116" path="m10704,8218l10694,8218,10694,8256,10704,8256,10704,8218xm10704,8141l10694,8141,10694,8179,10704,8179,10704,8141xe" filled="true" fillcolor="#000000" stroked="false">
            <v:path arrowok="t"/>
            <v:fill type="solid"/>
            <w10:wrap type="none"/>
          </v:shape>
        </w:pict>
      </w:r>
      <w:r>
        <w:rPr/>
        <w:pict>
          <v:shape style="position:absolute;margin-left:585.360046pt;margin-top:407.040009pt;width:.5pt;height:5.8pt;mso-position-horizontal-relative:page;mso-position-vertical-relative:page;z-index:-37993472" id="docshape54" coordorigin="11707,8141" coordsize="10,116" path="m11717,8218l11707,8218,11707,8256,11717,8256,11717,8218xm11717,8141l11707,8141,11707,8179,11717,8179,11717,8141xe" filled="true" fillcolor="#000000" stroked="false">
            <v:path arrowok="t"/>
            <v:fill type="solid"/>
            <w10:wrap type="none"/>
          </v:shape>
        </w:pict>
      </w:r>
      <w:r>
        <w:rPr/>
        <w:pict>
          <v:shape style="position:absolute;margin-left:332.160004pt;margin-top:422.401001pt;width:.5pt;height:13.45pt;mso-position-horizontal-relative:page;mso-position-vertical-relative:page;z-index:-37992960" id="docshape55" coordorigin="6643,8448" coordsize="10,269" path="m6653,8678l6643,8678,6643,8717,6653,8717,6653,8678xm6653,8602l6643,8602,6643,8640,6653,8640,6653,8602xm6653,8525l6643,8525,6643,8563,6653,8563,6653,8525xm6653,8448l6643,8448,6643,8486,6653,8486,6653,8448xe" filled="true" fillcolor="#000000" stroked="false">
            <v:path arrowok="t"/>
            <v:fill type="solid"/>
            <w10:wrap type="none"/>
          </v:shape>
        </w:pict>
      </w:r>
      <w:r>
        <w:rPr/>
        <w:pict>
          <v:shape style="position:absolute;margin-left:382.800018pt;margin-top:422.401001pt;width:.5pt;height:13.45pt;mso-position-horizontal-relative:page;mso-position-vertical-relative:page;z-index:-37992448" id="docshape56" coordorigin="7656,8448" coordsize="10,269" path="m7666,8678l7656,8678,7656,8717,7666,8717,7666,8678xm7666,8602l7656,8602,7656,8640,7666,8640,7666,8602xm7666,8525l7656,8525,7656,8563,7666,8563,7666,8525xm7666,8448l7656,8448,7656,8486,7666,8486,7666,8448xe" filled="true" fillcolor="#000000" stroked="false">
            <v:path arrowok="t"/>
            <v:fill type="solid"/>
            <w10:wrap type="none"/>
          </v:shape>
        </w:pict>
      </w:r>
      <w:r>
        <w:rPr/>
        <w:pict>
          <v:shape style="position:absolute;margin-left:433.440033pt;margin-top:422.401001pt;width:.5pt;height:13.45pt;mso-position-horizontal-relative:page;mso-position-vertical-relative:page;z-index:-37991936" id="docshape57" coordorigin="8669,8448" coordsize="10,269" path="m8678,8678l8669,8678,8669,8717,8678,8717,8678,8678xm8678,8602l8669,8602,8669,8640,8678,8640,8678,8602xm8678,8525l8669,8525,8669,8563,8678,8563,8678,8525xm8678,8448l8669,8448,8669,8486,8678,8486,8678,8448xe" filled="true" fillcolor="#000000" stroked="false">
            <v:path arrowok="t"/>
            <v:fill type="solid"/>
            <w10:wrap type="none"/>
          </v:shape>
        </w:pict>
      </w:r>
      <w:r>
        <w:rPr/>
        <w:pict>
          <v:shape style="position:absolute;margin-left:484.199036pt;margin-top:422.401001pt;width:.5pt;height:13.45pt;mso-position-horizontal-relative:page;mso-position-vertical-relative:page;z-index:-37991424" id="docshape58" coordorigin="9684,8448" coordsize="10,269" path="m9694,8678l9684,8678,9684,8717,9694,8717,9694,8678xm9694,8602l9684,8602,9684,8640,9694,8640,9694,8602xm9694,8525l9684,8525,9684,8563,9694,8563,9694,8525xm9694,8448l9684,8448,9684,8486,9694,8486,9694,8448xe" filled="true" fillcolor="#000000" stroked="false">
            <v:path arrowok="t"/>
            <v:fill type="solid"/>
            <w10:wrap type="none"/>
          </v:shape>
        </w:pict>
      </w:r>
      <w:r>
        <w:rPr/>
        <w:pict>
          <v:shape style="position:absolute;margin-left:534.720032pt;margin-top:422.401001pt;width:.5pt;height:13.45pt;mso-position-horizontal-relative:page;mso-position-vertical-relative:page;z-index:-37990912" id="docshape59" coordorigin="10694,8448" coordsize="10,269" path="m10704,8678l10694,8678,10694,8717,10704,8717,10704,8678xm10704,8602l10694,8602,10694,8640,10704,8640,10704,8602xm10704,8525l10694,8525,10694,8563,10704,8563,10704,8525xm10704,8448l10694,8448,10694,8486,10704,8486,10704,8448xe" filled="true" fillcolor="#000000" stroked="false">
            <v:path arrowok="t"/>
            <v:fill type="solid"/>
            <w10:wrap type="none"/>
          </v:shape>
        </w:pict>
      </w:r>
      <w:r>
        <w:rPr/>
        <w:pict>
          <v:shape style="position:absolute;margin-left:585.360046pt;margin-top:422.401001pt;width:.5pt;height:13.45pt;mso-position-horizontal-relative:page;mso-position-vertical-relative:page;z-index:-37990400" id="docshape60" coordorigin="11707,8448" coordsize="10,269" path="m11717,8678l11707,8678,11707,8717,11717,8717,11717,8678xm11717,8602l11707,8602,11707,8640,11717,8640,11717,8602xm11717,8525l11707,8525,11707,8563,11717,8563,11717,8525xm11717,8448l11707,8448,11707,8486,11717,8486,11717,8448xe" filled="true" fillcolor="#000000" stroked="false">
            <v:path arrowok="t"/>
            <v:fill type="solid"/>
            <w10:wrap type="none"/>
          </v:shape>
        </w:pict>
      </w:r>
      <w:r>
        <w:rPr>
          <w:b/>
          <w:color w:val="4966AC"/>
          <w:sz w:val="24"/>
        </w:rPr>
        <w:t>Capital</w:t>
      </w:r>
      <w:r>
        <w:rPr>
          <w:b/>
          <w:color w:val="4966AC"/>
          <w:spacing w:val="-2"/>
          <w:sz w:val="24"/>
        </w:rPr>
        <w:t> </w:t>
      </w:r>
      <w:r>
        <w:rPr>
          <w:b/>
          <w:color w:val="4966AC"/>
          <w:sz w:val="24"/>
        </w:rPr>
        <w:t>Works</w:t>
      </w:r>
      <w:r>
        <w:rPr>
          <w:b/>
          <w:color w:val="4966AC"/>
          <w:spacing w:val="1"/>
          <w:sz w:val="24"/>
        </w:rPr>
        <w:t> </w:t>
      </w:r>
      <w:r>
        <w:rPr>
          <w:b/>
          <w:color w:val="4966AC"/>
          <w:spacing w:val="-2"/>
          <w:sz w:val="24"/>
        </w:rPr>
        <w:t>Program</w:t>
      </w:r>
    </w:p>
    <w:p>
      <w:pPr>
        <w:pStyle w:val="BodyText"/>
        <w:spacing w:before="1"/>
        <w:rPr>
          <w:b/>
        </w:rPr>
      </w:pPr>
    </w:p>
    <w:tbl>
      <w:tblPr>
        <w:tblW w:w="0" w:type="auto"/>
        <w:jc w:val="left"/>
        <w:tblInd w:w="14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661"/>
        <w:gridCol w:w="1253"/>
        <w:gridCol w:w="1013"/>
        <w:gridCol w:w="1013"/>
        <w:gridCol w:w="1015"/>
        <w:gridCol w:w="1010"/>
        <w:gridCol w:w="1012"/>
        <w:gridCol w:w="1012"/>
        <w:gridCol w:w="1252"/>
        <w:gridCol w:w="1252"/>
        <w:gridCol w:w="1365"/>
      </w:tblGrid>
      <w:tr>
        <w:trPr>
          <w:trHeight w:val="315" w:hRule="atLeast"/>
        </w:trPr>
        <w:tc>
          <w:tcPr>
            <w:tcW w:w="15858" w:type="dxa"/>
            <w:gridSpan w:val="11"/>
            <w:tcBorders>
              <w:left w:val="single" w:sz="12" w:space="0" w:color="000000"/>
              <w:right w:val="single" w:sz="12" w:space="0" w:color="000000"/>
            </w:tcBorders>
            <w:shd w:val="clear" w:color="auto" w:fill="629CD1"/>
          </w:tcPr>
          <w:p>
            <w:pPr>
              <w:pStyle w:val="TableParagraph"/>
              <w:spacing w:line="295" w:lineRule="exact"/>
              <w:ind w:left="4194" w:right="4163"/>
              <w:jc w:val="center"/>
              <w:rPr>
                <w:b/>
                <w:sz w:val="28"/>
              </w:rPr>
            </w:pPr>
            <w:r>
              <w:rPr>
                <w:b/>
                <w:color w:val="FFFFFF"/>
                <w:sz w:val="28"/>
              </w:rPr>
              <w:t>CAPITAL</w:t>
            </w:r>
            <w:r>
              <w:rPr>
                <w:b/>
                <w:color w:val="FFFFFF"/>
                <w:spacing w:val="-6"/>
                <w:sz w:val="28"/>
              </w:rPr>
              <w:t> </w:t>
            </w:r>
            <w:r>
              <w:rPr>
                <w:b/>
                <w:color w:val="FFFFFF"/>
                <w:sz w:val="28"/>
              </w:rPr>
              <w:t>EXPENDITURE</w:t>
            </w:r>
            <w:r>
              <w:rPr>
                <w:b/>
                <w:color w:val="FFFFFF"/>
                <w:spacing w:val="-6"/>
                <w:sz w:val="28"/>
              </w:rPr>
              <w:t> </w:t>
            </w:r>
            <w:r>
              <w:rPr>
                <w:b/>
                <w:color w:val="FFFFFF"/>
                <w:sz w:val="28"/>
              </w:rPr>
              <w:t>PROGRAM</w:t>
            </w:r>
            <w:r>
              <w:rPr>
                <w:b/>
                <w:color w:val="FFFFFF"/>
                <w:spacing w:val="-3"/>
                <w:sz w:val="28"/>
              </w:rPr>
              <w:t> </w:t>
            </w:r>
            <w:r>
              <w:rPr>
                <w:b/>
                <w:color w:val="FFFFFF"/>
                <w:sz w:val="28"/>
              </w:rPr>
              <w:t>2025/26</w:t>
            </w:r>
            <w:r>
              <w:rPr>
                <w:b/>
                <w:color w:val="FFFFFF"/>
                <w:spacing w:val="-4"/>
                <w:sz w:val="28"/>
              </w:rPr>
              <w:t> </w:t>
            </w:r>
            <w:r>
              <w:rPr>
                <w:b/>
                <w:color w:val="FFFFFF"/>
                <w:sz w:val="28"/>
              </w:rPr>
              <w:t>TO</w:t>
            </w:r>
            <w:r>
              <w:rPr>
                <w:b/>
                <w:color w:val="FFFFFF"/>
                <w:spacing w:val="-5"/>
                <w:sz w:val="28"/>
              </w:rPr>
              <w:t> </w:t>
            </w:r>
            <w:r>
              <w:rPr>
                <w:b/>
                <w:color w:val="FFFFFF"/>
                <w:spacing w:val="-2"/>
                <w:sz w:val="28"/>
              </w:rPr>
              <w:t>2028/29</w:t>
            </w:r>
          </w:p>
        </w:tc>
      </w:tr>
      <w:tr>
        <w:trPr>
          <w:trHeight w:val="571" w:hRule="atLeast"/>
        </w:trPr>
        <w:tc>
          <w:tcPr>
            <w:tcW w:w="4661" w:type="dxa"/>
            <w:tcBorders>
              <w:left w:val="single" w:sz="12" w:space="0" w:color="000000"/>
              <w:right w:val="single" w:sz="12" w:space="0" w:color="000000"/>
            </w:tcBorders>
            <w:shd w:val="clear" w:color="auto" w:fill="629CD1"/>
          </w:tcPr>
          <w:p>
            <w:pPr>
              <w:pStyle w:val="TableParagraph"/>
              <w:rPr>
                <w:rFonts w:ascii="Times New Roman"/>
                <w:sz w:val="18"/>
              </w:rPr>
            </w:pPr>
          </w:p>
        </w:tc>
        <w:tc>
          <w:tcPr>
            <w:tcW w:w="7328" w:type="dxa"/>
            <w:gridSpan w:val="7"/>
            <w:tcBorders>
              <w:left w:val="single" w:sz="12" w:space="0" w:color="000000"/>
              <w:right w:val="single" w:sz="12" w:space="0" w:color="000000"/>
            </w:tcBorders>
            <w:shd w:val="clear" w:color="auto" w:fill="629CD1"/>
          </w:tcPr>
          <w:p>
            <w:pPr>
              <w:pStyle w:val="TableParagraph"/>
              <w:spacing w:before="170"/>
              <w:ind w:left="2918" w:right="2893"/>
              <w:jc w:val="center"/>
              <w:rPr>
                <w:b/>
                <w:sz w:val="20"/>
              </w:rPr>
            </w:pPr>
            <w:r>
              <w:rPr>
                <w:b/>
                <w:color w:val="FFFFFF"/>
                <w:sz w:val="20"/>
              </w:rPr>
              <w:t>Budget</w:t>
            </w:r>
            <w:r>
              <w:rPr>
                <w:b/>
                <w:color w:val="FFFFFF"/>
                <w:spacing w:val="-7"/>
                <w:sz w:val="20"/>
              </w:rPr>
              <w:t> </w:t>
            </w:r>
            <w:r>
              <w:rPr>
                <w:b/>
                <w:color w:val="FFFFFF"/>
                <w:spacing w:val="-2"/>
                <w:sz w:val="20"/>
              </w:rPr>
              <w:t>2025/26</w:t>
            </w:r>
          </w:p>
        </w:tc>
        <w:tc>
          <w:tcPr>
            <w:tcW w:w="1252" w:type="dxa"/>
            <w:tcBorders>
              <w:left w:val="single" w:sz="12" w:space="0" w:color="000000"/>
              <w:right w:val="single" w:sz="12" w:space="0" w:color="000000"/>
            </w:tcBorders>
            <w:shd w:val="clear" w:color="auto" w:fill="629CD1"/>
          </w:tcPr>
          <w:p>
            <w:pPr>
              <w:pStyle w:val="TableParagraph"/>
              <w:spacing w:before="55"/>
              <w:ind w:left="264" w:right="229" w:firstLine="16"/>
              <w:rPr>
                <w:b/>
                <w:sz w:val="20"/>
              </w:rPr>
            </w:pPr>
            <w:r>
              <w:rPr>
                <w:b/>
                <w:color w:val="FFFFFF"/>
                <w:spacing w:val="-2"/>
                <w:sz w:val="20"/>
              </w:rPr>
              <w:t>Budget 2026/27</w:t>
            </w:r>
          </w:p>
        </w:tc>
        <w:tc>
          <w:tcPr>
            <w:tcW w:w="1252" w:type="dxa"/>
            <w:tcBorders>
              <w:left w:val="single" w:sz="12" w:space="0" w:color="000000"/>
              <w:right w:val="single" w:sz="12" w:space="0" w:color="000000"/>
            </w:tcBorders>
            <w:shd w:val="clear" w:color="auto" w:fill="629CD1"/>
          </w:tcPr>
          <w:p>
            <w:pPr>
              <w:pStyle w:val="TableParagraph"/>
              <w:spacing w:before="55"/>
              <w:ind w:left="265" w:right="228" w:firstLine="16"/>
              <w:rPr>
                <w:b/>
                <w:sz w:val="20"/>
              </w:rPr>
            </w:pPr>
            <w:r>
              <w:rPr>
                <w:b/>
                <w:color w:val="FFFFFF"/>
                <w:spacing w:val="-2"/>
                <w:sz w:val="20"/>
              </w:rPr>
              <w:t>Budget 2027/28</w:t>
            </w:r>
          </w:p>
        </w:tc>
        <w:tc>
          <w:tcPr>
            <w:tcW w:w="1365" w:type="dxa"/>
            <w:tcBorders>
              <w:left w:val="single" w:sz="12" w:space="0" w:color="000000"/>
              <w:right w:val="single" w:sz="12" w:space="0" w:color="000000"/>
            </w:tcBorders>
            <w:shd w:val="clear" w:color="auto" w:fill="629CD1"/>
          </w:tcPr>
          <w:p>
            <w:pPr>
              <w:pStyle w:val="TableParagraph"/>
              <w:spacing w:before="55"/>
              <w:ind w:left="324" w:right="282" w:firstLine="16"/>
              <w:rPr>
                <w:b/>
                <w:sz w:val="20"/>
              </w:rPr>
            </w:pPr>
            <w:r>
              <w:rPr>
                <w:b/>
                <w:color w:val="FFFFFF"/>
                <w:spacing w:val="-2"/>
                <w:sz w:val="20"/>
              </w:rPr>
              <w:t>Budget 2028/29</w:t>
            </w:r>
          </w:p>
        </w:tc>
      </w:tr>
      <w:tr>
        <w:trPr>
          <w:trHeight w:val="747" w:hRule="atLeast"/>
        </w:trPr>
        <w:tc>
          <w:tcPr>
            <w:tcW w:w="4661" w:type="dxa"/>
            <w:tcBorders>
              <w:left w:val="single" w:sz="12" w:space="0" w:color="000000"/>
              <w:bottom w:val="single" w:sz="12" w:space="0" w:color="000000"/>
              <w:right w:val="single" w:sz="12" w:space="0" w:color="000000"/>
            </w:tcBorders>
            <w:shd w:val="clear" w:color="auto" w:fill="629CD1"/>
          </w:tcPr>
          <w:p>
            <w:pPr>
              <w:pStyle w:val="TableParagraph"/>
              <w:rPr>
                <w:rFonts w:ascii="Times New Roman"/>
                <w:sz w:val="18"/>
              </w:rPr>
            </w:pPr>
          </w:p>
        </w:tc>
        <w:tc>
          <w:tcPr>
            <w:tcW w:w="1253" w:type="dxa"/>
            <w:tcBorders>
              <w:left w:val="single" w:sz="12" w:space="0" w:color="000000"/>
              <w:bottom w:val="single" w:sz="12" w:space="0" w:color="000000"/>
              <w:right w:val="single" w:sz="12" w:space="0" w:color="000000"/>
            </w:tcBorders>
            <w:shd w:val="clear" w:color="auto" w:fill="629CD1"/>
          </w:tcPr>
          <w:p>
            <w:pPr>
              <w:pStyle w:val="TableParagraph"/>
              <w:spacing w:before="40"/>
              <w:ind w:left="162" w:right="132" w:hanging="2"/>
              <w:jc w:val="center"/>
              <w:rPr>
                <w:b/>
                <w:sz w:val="16"/>
              </w:rPr>
            </w:pPr>
            <w:r>
              <w:rPr>
                <w:b/>
                <w:color w:val="FFFFFF"/>
                <w:spacing w:val="-2"/>
                <w:sz w:val="16"/>
              </w:rPr>
              <w:t>Total Expenditure</w:t>
            </w:r>
          </w:p>
          <w:p>
            <w:pPr>
              <w:pStyle w:val="TableParagraph"/>
              <w:spacing w:before="114"/>
              <w:ind w:left="435" w:right="407"/>
              <w:jc w:val="center"/>
              <w:rPr>
                <w:b/>
                <w:sz w:val="16"/>
              </w:rPr>
            </w:pPr>
            <w:r>
              <w:rPr>
                <w:b/>
                <w:color w:val="FFFFFF"/>
                <w:spacing w:val="-4"/>
                <w:sz w:val="16"/>
              </w:rPr>
              <w:t>$000</w:t>
            </w:r>
          </w:p>
        </w:tc>
        <w:tc>
          <w:tcPr>
            <w:tcW w:w="1013" w:type="dxa"/>
            <w:tcBorders>
              <w:left w:val="single" w:sz="12" w:space="0" w:color="000000"/>
              <w:bottom w:val="single" w:sz="12" w:space="0" w:color="000000"/>
              <w:right w:val="single" w:sz="12" w:space="0" w:color="000000"/>
            </w:tcBorders>
            <w:shd w:val="clear" w:color="auto" w:fill="629CD1"/>
          </w:tcPr>
          <w:p>
            <w:pPr>
              <w:pStyle w:val="TableParagraph"/>
              <w:spacing w:before="40"/>
              <w:ind w:left="210" w:right="183"/>
              <w:jc w:val="center"/>
              <w:rPr>
                <w:b/>
                <w:sz w:val="16"/>
              </w:rPr>
            </w:pPr>
            <w:r>
              <w:rPr>
                <w:b/>
                <w:color w:val="FFFFFF"/>
                <w:spacing w:val="-2"/>
                <w:sz w:val="16"/>
              </w:rPr>
              <w:t>Council </w:t>
            </w:r>
            <w:r>
              <w:rPr>
                <w:b/>
                <w:color w:val="FFFFFF"/>
                <w:spacing w:val="-4"/>
                <w:sz w:val="16"/>
              </w:rPr>
              <w:t>Cash</w:t>
            </w:r>
          </w:p>
          <w:p>
            <w:pPr>
              <w:pStyle w:val="TableParagraph"/>
              <w:spacing w:before="114"/>
              <w:ind w:left="210" w:right="182"/>
              <w:jc w:val="center"/>
              <w:rPr>
                <w:b/>
                <w:sz w:val="16"/>
              </w:rPr>
            </w:pPr>
            <w:r>
              <w:rPr>
                <w:b/>
                <w:color w:val="FFFFFF"/>
                <w:spacing w:val="-4"/>
                <w:sz w:val="16"/>
              </w:rPr>
              <w:t>$000</w:t>
            </w:r>
          </w:p>
        </w:tc>
        <w:tc>
          <w:tcPr>
            <w:tcW w:w="1013" w:type="dxa"/>
            <w:tcBorders>
              <w:left w:val="single" w:sz="12" w:space="0" w:color="000000"/>
              <w:bottom w:val="single" w:sz="12" w:space="0" w:color="000000"/>
              <w:right w:val="single" w:sz="12" w:space="0" w:color="000000"/>
            </w:tcBorders>
            <w:shd w:val="clear" w:color="auto" w:fill="629CD1"/>
          </w:tcPr>
          <w:p>
            <w:pPr>
              <w:pStyle w:val="TableParagraph"/>
              <w:spacing w:before="131"/>
              <w:ind w:left="246"/>
              <w:rPr>
                <w:b/>
                <w:sz w:val="16"/>
              </w:rPr>
            </w:pPr>
            <w:r>
              <w:rPr>
                <w:b/>
                <w:color w:val="FFFFFF"/>
                <w:spacing w:val="-2"/>
                <w:sz w:val="16"/>
              </w:rPr>
              <w:t>Grants</w:t>
            </w:r>
          </w:p>
          <w:p>
            <w:pPr>
              <w:pStyle w:val="TableParagraph"/>
              <w:rPr>
                <w:b/>
                <w:sz w:val="18"/>
              </w:rPr>
            </w:pPr>
          </w:p>
          <w:p>
            <w:pPr>
              <w:pStyle w:val="TableParagraph"/>
              <w:ind w:left="327"/>
              <w:rPr>
                <w:b/>
                <w:sz w:val="16"/>
              </w:rPr>
            </w:pPr>
            <w:r>
              <w:rPr>
                <w:b/>
                <w:color w:val="FFFFFF"/>
                <w:spacing w:val="-4"/>
                <w:sz w:val="16"/>
              </w:rPr>
              <w:t>$000</w:t>
            </w:r>
          </w:p>
        </w:tc>
        <w:tc>
          <w:tcPr>
            <w:tcW w:w="1015" w:type="dxa"/>
            <w:tcBorders>
              <w:left w:val="single" w:sz="12" w:space="0" w:color="000000"/>
              <w:bottom w:val="single" w:sz="12" w:space="0" w:color="000000"/>
              <w:right w:val="single" w:sz="12" w:space="0" w:color="000000"/>
            </w:tcBorders>
            <w:shd w:val="clear" w:color="auto" w:fill="629CD1"/>
          </w:tcPr>
          <w:p>
            <w:pPr>
              <w:pStyle w:val="TableParagraph"/>
              <w:spacing w:before="40"/>
              <w:ind w:left="128" w:right="97" w:hanging="1"/>
              <w:jc w:val="center"/>
              <w:rPr>
                <w:b/>
                <w:sz w:val="16"/>
              </w:rPr>
            </w:pPr>
            <w:r>
              <w:rPr>
                <w:b/>
                <w:color w:val="FFFFFF"/>
                <w:spacing w:val="-2"/>
                <w:sz w:val="16"/>
              </w:rPr>
              <w:t>Others </w:t>
            </w:r>
            <w:r>
              <w:rPr>
                <w:b/>
                <w:color w:val="FFFFFF"/>
                <w:sz w:val="16"/>
              </w:rPr>
              <w:t>Contrib</w:t>
            </w:r>
            <w:r>
              <w:rPr>
                <w:b/>
                <w:color w:val="FFFFFF"/>
                <w:spacing w:val="-12"/>
                <w:sz w:val="16"/>
              </w:rPr>
              <w:t> </w:t>
            </w:r>
            <w:r>
              <w:rPr>
                <w:b/>
                <w:color w:val="FFFFFF"/>
                <w:sz w:val="16"/>
              </w:rPr>
              <w:t>‘n</w:t>
            </w:r>
          </w:p>
          <w:p>
            <w:pPr>
              <w:pStyle w:val="TableParagraph"/>
              <w:spacing w:before="114"/>
              <w:ind w:left="315" w:right="290"/>
              <w:jc w:val="center"/>
              <w:rPr>
                <w:b/>
                <w:sz w:val="16"/>
              </w:rPr>
            </w:pPr>
            <w:r>
              <w:rPr>
                <w:b/>
                <w:color w:val="FFFFFF"/>
                <w:spacing w:val="-4"/>
                <w:sz w:val="16"/>
              </w:rPr>
              <w:t>$000</w:t>
            </w:r>
          </w:p>
        </w:tc>
        <w:tc>
          <w:tcPr>
            <w:tcW w:w="1010" w:type="dxa"/>
            <w:tcBorders>
              <w:left w:val="single" w:sz="12" w:space="0" w:color="000000"/>
              <w:bottom w:val="single" w:sz="12" w:space="0" w:color="000000"/>
              <w:right w:val="single" w:sz="12" w:space="0" w:color="000000"/>
            </w:tcBorders>
            <w:shd w:val="clear" w:color="auto" w:fill="629CD1"/>
          </w:tcPr>
          <w:p>
            <w:pPr>
              <w:pStyle w:val="TableParagraph"/>
              <w:spacing w:before="40"/>
              <w:ind w:left="181" w:right="147" w:hanging="4"/>
              <w:jc w:val="center"/>
              <w:rPr>
                <w:b/>
                <w:sz w:val="16"/>
              </w:rPr>
            </w:pPr>
            <w:r>
              <w:rPr>
                <w:b/>
                <w:color w:val="FFFFFF"/>
                <w:spacing w:val="-2"/>
                <w:sz w:val="16"/>
              </w:rPr>
              <w:t>Asset Renewal</w:t>
            </w:r>
          </w:p>
          <w:p>
            <w:pPr>
              <w:pStyle w:val="TableParagraph"/>
              <w:spacing w:before="114"/>
              <w:ind w:left="315" w:right="285"/>
              <w:jc w:val="center"/>
              <w:rPr>
                <w:b/>
                <w:sz w:val="16"/>
              </w:rPr>
            </w:pPr>
            <w:r>
              <w:rPr>
                <w:b/>
                <w:color w:val="FFFFFF"/>
                <w:spacing w:val="-4"/>
                <w:sz w:val="16"/>
              </w:rPr>
              <w:t>$000</w:t>
            </w:r>
          </w:p>
        </w:tc>
        <w:tc>
          <w:tcPr>
            <w:tcW w:w="1012" w:type="dxa"/>
            <w:tcBorders>
              <w:left w:val="single" w:sz="12" w:space="0" w:color="000000"/>
              <w:bottom w:val="single" w:sz="12" w:space="0" w:color="000000"/>
              <w:right w:val="single" w:sz="12" w:space="0" w:color="000000"/>
            </w:tcBorders>
            <w:shd w:val="clear" w:color="auto" w:fill="629CD1"/>
          </w:tcPr>
          <w:p>
            <w:pPr>
              <w:pStyle w:val="TableParagraph"/>
              <w:spacing w:before="131"/>
              <w:ind w:left="107" w:right="76"/>
              <w:jc w:val="center"/>
              <w:rPr>
                <w:b/>
                <w:sz w:val="16"/>
              </w:rPr>
            </w:pPr>
            <w:r>
              <w:rPr>
                <w:b/>
                <w:color w:val="FFFFFF"/>
                <w:spacing w:val="-2"/>
                <w:sz w:val="16"/>
              </w:rPr>
              <w:t>Upgrade</w:t>
            </w:r>
          </w:p>
          <w:p>
            <w:pPr>
              <w:pStyle w:val="TableParagraph"/>
              <w:rPr>
                <w:b/>
                <w:sz w:val="18"/>
              </w:rPr>
            </w:pPr>
          </w:p>
          <w:p>
            <w:pPr>
              <w:pStyle w:val="TableParagraph"/>
              <w:ind w:left="105" w:right="76"/>
              <w:jc w:val="center"/>
              <w:rPr>
                <w:b/>
                <w:sz w:val="16"/>
              </w:rPr>
            </w:pPr>
            <w:r>
              <w:rPr>
                <w:b/>
                <w:color w:val="FFFFFF"/>
                <w:spacing w:val="-4"/>
                <w:sz w:val="16"/>
              </w:rPr>
              <w:t>$000</w:t>
            </w:r>
          </w:p>
        </w:tc>
        <w:tc>
          <w:tcPr>
            <w:tcW w:w="1012" w:type="dxa"/>
            <w:tcBorders>
              <w:left w:val="single" w:sz="12" w:space="0" w:color="000000"/>
              <w:bottom w:val="single" w:sz="12" w:space="0" w:color="000000"/>
              <w:right w:val="single" w:sz="12" w:space="0" w:color="000000"/>
            </w:tcBorders>
            <w:shd w:val="clear" w:color="auto" w:fill="629CD1"/>
          </w:tcPr>
          <w:p>
            <w:pPr>
              <w:pStyle w:val="TableParagraph"/>
              <w:spacing w:before="131"/>
              <w:ind w:left="109" w:right="76"/>
              <w:jc w:val="center"/>
              <w:rPr>
                <w:b/>
                <w:sz w:val="16"/>
              </w:rPr>
            </w:pPr>
            <w:r>
              <w:rPr>
                <w:b/>
                <w:color w:val="FFFFFF"/>
                <w:sz w:val="16"/>
              </w:rPr>
              <w:t>New</w:t>
            </w:r>
            <w:r>
              <w:rPr>
                <w:b/>
                <w:color w:val="FFFFFF"/>
                <w:spacing w:val="-1"/>
                <w:sz w:val="16"/>
              </w:rPr>
              <w:t> </w:t>
            </w:r>
            <w:r>
              <w:rPr>
                <w:b/>
                <w:color w:val="FFFFFF"/>
                <w:spacing w:val="-4"/>
                <w:sz w:val="16"/>
              </w:rPr>
              <w:t>Work</w:t>
            </w:r>
          </w:p>
          <w:p>
            <w:pPr>
              <w:pStyle w:val="TableParagraph"/>
              <w:rPr>
                <w:b/>
                <w:sz w:val="18"/>
              </w:rPr>
            </w:pPr>
          </w:p>
          <w:p>
            <w:pPr>
              <w:pStyle w:val="TableParagraph"/>
              <w:ind w:left="107" w:right="76"/>
              <w:jc w:val="center"/>
              <w:rPr>
                <w:b/>
                <w:sz w:val="16"/>
              </w:rPr>
            </w:pPr>
            <w:r>
              <w:rPr>
                <w:b/>
                <w:color w:val="FFFFFF"/>
                <w:spacing w:val="-4"/>
                <w:sz w:val="16"/>
              </w:rPr>
              <w:t>$000</w:t>
            </w:r>
          </w:p>
        </w:tc>
        <w:tc>
          <w:tcPr>
            <w:tcW w:w="1252" w:type="dxa"/>
            <w:tcBorders>
              <w:left w:val="single" w:sz="12" w:space="0" w:color="000000"/>
              <w:bottom w:val="single" w:sz="12" w:space="0" w:color="000000"/>
              <w:right w:val="single" w:sz="12" w:space="0" w:color="000000"/>
            </w:tcBorders>
            <w:shd w:val="clear" w:color="auto" w:fill="629CD1"/>
          </w:tcPr>
          <w:p>
            <w:pPr>
              <w:pStyle w:val="TableParagraph"/>
              <w:spacing w:before="40"/>
              <w:ind w:left="164" w:right="129" w:hanging="2"/>
              <w:jc w:val="center"/>
              <w:rPr>
                <w:b/>
                <w:sz w:val="16"/>
              </w:rPr>
            </w:pPr>
            <w:r>
              <w:rPr>
                <w:b/>
                <w:color w:val="FFFFFF"/>
                <w:spacing w:val="-2"/>
                <w:sz w:val="16"/>
              </w:rPr>
              <w:t>Total Expenditure</w:t>
            </w:r>
          </w:p>
          <w:p>
            <w:pPr>
              <w:pStyle w:val="TableParagraph"/>
              <w:spacing w:before="114"/>
              <w:ind w:left="358" w:right="326"/>
              <w:jc w:val="center"/>
              <w:rPr>
                <w:b/>
                <w:sz w:val="16"/>
              </w:rPr>
            </w:pPr>
            <w:r>
              <w:rPr>
                <w:b/>
                <w:color w:val="FFFFFF"/>
                <w:spacing w:val="-4"/>
                <w:sz w:val="16"/>
              </w:rPr>
              <w:t>$000</w:t>
            </w:r>
          </w:p>
        </w:tc>
        <w:tc>
          <w:tcPr>
            <w:tcW w:w="1252" w:type="dxa"/>
            <w:tcBorders>
              <w:left w:val="single" w:sz="12" w:space="0" w:color="000000"/>
              <w:bottom w:val="single" w:sz="12" w:space="0" w:color="000000"/>
              <w:right w:val="single" w:sz="12" w:space="0" w:color="000000"/>
            </w:tcBorders>
            <w:shd w:val="clear" w:color="auto" w:fill="629CD1"/>
          </w:tcPr>
          <w:p>
            <w:pPr>
              <w:pStyle w:val="TableParagraph"/>
              <w:spacing w:before="40"/>
              <w:ind w:left="164" w:right="128" w:hanging="2"/>
              <w:jc w:val="center"/>
              <w:rPr>
                <w:b/>
                <w:sz w:val="16"/>
              </w:rPr>
            </w:pPr>
            <w:r>
              <w:rPr>
                <w:b/>
                <w:color w:val="FFFFFF"/>
                <w:spacing w:val="-2"/>
                <w:sz w:val="16"/>
              </w:rPr>
              <w:t>Total Expenditure</w:t>
            </w:r>
          </w:p>
          <w:p>
            <w:pPr>
              <w:pStyle w:val="TableParagraph"/>
              <w:spacing w:before="114"/>
              <w:ind w:left="360" w:right="326"/>
              <w:jc w:val="center"/>
              <w:rPr>
                <w:b/>
                <w:sz w:val="16"/>
              </w:rPr>
            </w:pPr>
            <w:r>
              <w:rPr>
                <w:b/>
                <w:color w:val="FFFFFF"/>
                <w:spacing w:val="-4"/>
                <w:sz w:val="16"/>
              </w:rPr>
              <w:t>$000</w:t>
            </w:r>
          </w:p>
        </w:tc>
        <w:tc>
          <w:tcPr>
            <w:tcW w:w="1365" w:type="dxa"/>
            <w:tcBorders>
              <w:left w:val="single" w:sz="12" w:space="0" w:color="000000"/>
              <w:bottom w:val="single" w:sz="12" w:space="0" w:color="000000"/>
              <w:right w:val="single" w:sz="12" w:space="0" w:color="000000"/>
            </w:tcBorders>
            <w:shd w:val="clear" w:color="auto" w:fill="629CD1"/>
          </w:tcPr>
          <w:p>
            <w:pPr>
              <w:pStyle w:val="TableParagraph"/>
              <w:spacing w:before="40"/>
              <w:ind w:left="223" w:right="183" w:hanging="2"/>
              <w:jc w:val="center"/>
              <w:rPr>
                <w:b/>
                <w:sz w:val="16"/>
              </w:rPr>
            </w:pPr>
            <w:r>
              <w:rPr>
                <w:b/>
                <w:color w:val="FFFFFF"/>
                <w:spacing w:val="-2"/>
                <w:sz w:val="16"/>
              </w:rPr>
              <w:t>Total Expenditure</w:t>
            </w:r>
          </w:p>
          <w:p>
            <w:pPr>
              <w:pStyle w:val="TableParagraph"/>
              <w:spacing w:before="114"/>
              <w:ind w:left="496" w:right="458"/>
              <w:jc w:val="center"/>
              <w:rPr>
                <w:b/>
                <w:sz w:val="16"/>
              </w:rPr>
            </w:pPr>
            <w:r>
              <w:rPr>
                <w:b/>
                <w:color w:val="FFFFFF"/>
                <w:spacing w:val="-4"/>
                <w:sz w:val="16"/>
              </w:rPr>
              <w:t>$000</w:t>
            </w:r>
          </w:p>
        </w:tc>
      </w:tr>
      <w:tr>
        <w:trPr>
          <w:trHeight w:val="320" w:hRule="atLeast"/>
        </w:trPr>
        <w:tc>
          <w:tcPr>
            <w:tcW w:w="4661" w:type="dxa"/>
            <w:tcBorders>
              <w:top w:val="single" w:sz="12" w:space="0" w:color="000000"/>
              <w:left w:val="single" w:sz="12" w:space="0" w:color="000000"/>
              <w:bottom w:val="dashed" w:sz="4" w:space="0" w:color="000000"/>
              <w:right w:val="single" w:sz="12" w:space="0" w:color="000000"/>
            </w:tcBorders>
          </w:tcPr>
          <w:p>
            <w:pPr>
              <w:pStyle w:val="TableParagraph"/>
              <w:spacing w:line="296" w:lineRule="exact" w:before="4"/>
              <w:ind w:left="107"/>
              <w:rPr>
                <w:b/>
                <w:sz w:val="28"/>
              </w:rPr>
            </w:pPr>
            <w:r>
              <w:rPr>
                <w:b/>
                <w:spacing w:val="-2"/>
                <w:sz w:val="28"/>
              </w:rPr>
              <w:t>BUILDINGS</w:t>
            </w:r>
          </w:p>
        </w:tc>
        <w:tc>
          <w:tcPr>
            <w:tcW w:w="7328" w:type="dxa"/>
            <w:gridSpan w:val="7"/>
            <w:tcBorders>
              <w:top w:val="thinThickMediumGap" w:sz="9" w:space="0" w:color="000000"/>
              <w:left w:val="single" w:sz="12" w:space="0" w:color="000000"/>
              <w:bottom w:val="thickThinMediumGap" w:sz="9" w:space="0" w:color="000000"/>
              <w:right w:val="single" w:sz="12" w:space="0" w:color="000000"/>
            </w:tcBorders>
          </w:tcPr>
          <w:p>
            <w:pPr>
              <w:pStyle w:val="TableParagraph"/>
              <w:spacing w:before="3"/>
              <w:rPr>
                <w:b/>
                <w:sz w:val="5"/>
              </w:rPr>
            </w:pPr>
          </w:p>
          <w:p>
            <w:pPr>
              <w:pStyle w:val="TableParagraph"/>
              <w:tabs>
                <w:tab w:pos="2260" w:val="left" w:leader="none"/>
                <w:tab w:pos="3272" w:val="left" w:leader="none"/>
                <w:tab w:pos="4288" w:val="left" w:leader="none"/>
                <w:tab w:pos="5298" w:val="left" w:leader="none"/>
                <w:tab w:pos="6311" w:val="left" w:leader="none"/>
              </w:tabs>
              <w:spacing w:line="192" w:lineRule="exact"/>
              <w:ind w:left="1247"/>
              <w:rPr>
                <w:sz w:val="19"/>
              </w:rPr>
            </w:pPr>
            <w:r>
              <w:rPr>
                <w:position w:val="-3"/>
                <w:sz w:val="19"/>
              </w:rPr>
              <w:pict>
                <v:group style="width:.5pt;height:9.6pt;mso-position-horizontal-relative:char;mso-position-vertical-relative:line" id="docshapegroup61" coordorigin="0,0" coordsize="10,192">
                  <v:shape style="position:absolute;left:0;top:0;width:10;height:192" id="docshape62" coordorigin="0,0" coordsize="10,192"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63" coordorigin="0,0" coordsize="10,192">
                  <v:shape style="position:absolute;left:0;top:0;width:10;height:192" id="docshape64" coordorigin="0,0" coordsize="10,192"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65" coordorigin="0,0" coordsize="10,192">
                  <v:shape style="position:absolute;left:0;top:0;width:10;height:192" id="docshape66" coordorigin="0,0" coordsize="10,192"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67" coordorigin="0,0" coordsize="10,192">
                  <v:shape style="position:absolute;left:-1;top:0;width:10;height:192" id="docshape68" coordorigin="0,0" coordsize="10,192"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69" coordorigin="0,0" coordsize="10,192">
                  <v:shape style="position:absolute;left:0;top:0;width:10;height:192" id="docshape70" coordorigin="0,0" coordsize="10,192"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71" coordorigin="0,0" coordsize="10,192">
                  <v:shape style="position:absolute;left:0;top:0;width:10;height:192" id="docshape72" coordorigin="0,0" coordsize="10,192" path="m10,154l0,154,0,192,10,192,10,154xm10,77l0,77,0,115,10,115,10,77xm10,0l0,0,0,38,10,38,10,0xe" filled="true" fillcolor="#000000" stroked="false">
                    <v:path arrowok="t"/>
                    <v:fill type="solid"/>
                  </v:shape>
                </v:group>
              </w:pict>
            </w:r>
            <w:r>
              <w:rPr>
                <w:position w:val="-3"/>
                <w:sz w:val="19"/>
              </w:rPr>
            </w:r>
          </w:p>
        </w:tc>
        <w:tc>
          <w:tcPr>
            <w:tcW w:w="1252" w:type="dxa"/>
            <w:tcBorders>
              <w:top w:val="single" w:sz="12" w:space="0" w:color="000000"/>
              <w:left w:val="single" w:sz="12" w:space="0" w:color="000000"/>
              <w:bottom w:val="dashSmallGap" w:sz="4" w:space="0" w:color="000000"/>
              <w:right w:val="single" w:sz="12" w:space="0" w:color="000000"/>
            </w:tcBorders>
          </w:tcPr>
          <w:p>
            <w:pPr>
              <w:pStyle w:val="TableParagraph"/>
              <w:rPr>
                <w:rFonts w:ascii="Times New Roman"/>
                <w:sz w:val="18"/>
              </w:rPr>
            </w:pPr>
          </w:p>
        </w:tc>
        <w:tc>
          <w:tcPr>
            <w:tcW w:w="1252" w:type="dxa"/>
            <w:tcBorders>
              <w:top w:val="single" w:sz="12" w:space="0" w:color="000000"/>
              <w:left w:val="single" w:sz="12" w:space="0" w:color="000000"/>
              <w:bottom w:val="dashSmallGap" w:sz="4" w:space="0" w:color="000000"/>
              <w:right w:val="single" w:sz="12" w:space="0" w:color="000000"/>
            </w:tcBorders>
          </w:tcPr>
          <w:p>
            <w:pPr>
              <w:pStyle w:val="TableParagraph"/>
              <w:rPr>
                <w:rFonts w:ascii="Times New Roman"/>
                <w:sz w:val="18"/>
              </w:rPr>
            </w:pPr>
          </w:p>
        </w:tc>
        <w:tc>
          <w:tcPr>
            <w:tcW w:w="1365" w:type="dxa"/>
            <w:tcBorders>
              <w:top w:val="single" w:sz="12" w:space="0" w:color="000000"/>
              <w:left w:val="single" w:sz="12" w:space="0" w:color="000000"/>
              <w:bottom w:val="dashSmallGap" w:sz="4" w:space="0" w:color="000000"/>
              <w:right w:val="dashed" w:sz="12" w:space="0" w:color="000000"/>
            </w:tcBorders>
          </w:tcPr>
          <w:p>
            <w:pPr>
              <w:pStyle w:val="TableParagraph"/>
              <w:rPr>
                <w:rFonts w:ascii="Times New Roman"/>
                <w:sz w:val="18"/>
              </w:rPr>
            </w:pPr>
          </w:p>
        </w:tc>
      </w:tr>
      <w:tr>
        <w:trPr>
          <w:trHeight w:val="234" w:hRule="atLeast"/>
        </w:trPr>
        <w:tc>
          <w:tcPr>
            <w:tcW w:w="4661" w:type="dxa"/>
            <w:tcBorders>
              <w:top w:val="dashed" w:sz="4" w:space="0" w:color="000000"/>
              <w:left w:val="single" w:sz="12" w:space="0" w:color="000000"/>
              <w:bottom w:val="dashed" w:sz="4" w:space="0" w:color="000000"/>
              <w:right w:val="single" w:sz="12" w:space="0" w:color="000000"/>
            </w:tcBorders>
          </w:tcPr>
          <w:p>
            <w:pPr>
              <w:pStyle w:val="TableParagraph"/>
              <w:spacing w:line="215" w:lineRule="exact"/>
              <w:ind w:left="107"/>
              <w:rPr>
                <w:b/>
                <w:sz w:val="22"/>
              </w:rPr>
            </w:pPr>
            <w:r>
              <w:rPr>
                <w:b/>
                <w:spacing w:val="-2"/>
                <w:sz w:val="22"/>
              </w:rPr>
              <w:t>BUILDINGS</w:t>
            </w:r>
          </w:p>
        </w:tc>
        <w:tc>
          <w:tcPr>
            <w:tcW w:w="7328" w:type="dxa"/>
            <w:gridSpan w:val="7"/>
            <w:tcBorders>
              <w:top w:val="thinThickMediumGap" w:sz="9" w:space="0" w:color="000000"/>
              <w:left w:val="single" w:sz="12" w:space="0" w:color="000000"/>
              <w:bottom w:val="thickThinMediumGap" w:sz="9" w:space="0" w:color="000000"/>
              <w:right w:val="single" w:sz="12" w:space="0" w:color="000000"/>
            </w:tcBorders>
          </w:tcPr>
          <w:p>
            <w:pPr>
              <w:pStyle w:val="TableParagraph"/>
              <w:spacing w:before="2"/>
              <w:rPr>
                <w:b/>
                <w:sz w:val="4"/>
              </w:rPr>
            </w:pPr>
          </w:p>
          <w:p>
            <w:pPr>
              <w:pStyle w:val="TableParagraph"/>
              <w:tabs>
                <w:tab w:pos="2260" w:val="left" w:leader="none"/>
                <w:tab w:pos="3272" w:val="left" w:leader="none"/>
                <w:tab w:pos="4288" w:val="left" w:leader="none"/>
                <w:tab w:pos="5298" w:val="left" w:leader="none"/>
                <w:tab w:pos="6311" w:val="left" w:leader="none"/>
              </w:tabs>
              <w:spacing w:line="115" w:lineRule="exact"/>
              <w:ind w:left="1247"/>
              <w:rPr>
                <w:sz w:val="11"/>
              </w:rPr>
            </w:pPr>
            <w:r>
              <w:rPr>
                <w:position w:val="-1"/>
                <w:sz w:val="11"/>
              </w:rPr>
              <w:pict>
                <v:group style="width:.5pt;height:5.8pt;mso-position-horizontal-relative:char;mso-position-vertical-relative:line" id="docshapegroup73" coordorigin="0,0" coordsize="10,116">
                  <v:shape style="position:absolute;left:0;top:0;width:10;height:116" id="docshape74"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75" coordorigin="0,0" coordsize="10,116">
                  <v:shape style="position:absolute;left:0;top:0;width:10;height:116" id="docshape76"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77" coordorigin="0,0" coordsize="10,116">
                  <v:shape style="position:absolute;left:0;top:0;width:10;height:116" id="docshape78"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79" coordorigin="0,0" coordsize="10,116">
                  <v:shape style="position:absolute;left:-1;top:0;width:10;height:116" id="docshape80"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81" coordorigin="0,0" coordsize="10,116">
                  <v:shape style="position:absolute;left:0;top:0;width:10;height:116" id="docshape82"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83" coordorigin="0,0" coordsize="10,116">
                  <v:shape style="position:absolute;left:0;top:0;width:10;height:116" id="docshape84" coordorigin="0,0" coordsize="10,116" path="m10,77l0,77,0,115,10,115,10,77xm10,0l0,0,0,38,10,38,10,0xe" filled="true" fillcolor="#000000" stroked="false">
                    <v:path arrowok="t"/>
                    <v:fill type="solid"/>
                  </v:shape>
                </v:group>
              </w:pict>
            </w:r>
            <w:r>
              <w:rPr>
                <w:position w:val="-1"/>
                <w:sz w:val="11"/>
              </w:rPr>
            </w:r>
          </w:p>
        </w:tc>
        <w:tc>
          <w:tcPr>
            <w:tcW w:w="1252" w:type="dxa"/>
            <w:tcBorders>
              <w:top w:val="dashSmallGap" w:sz="4" w:space="0" w:color="000000"/>
              <w:left w:val="single" w:sz="12" w:space="0" w:color="000000"/>
              <w:bottom w:val="dashSmallGap" w:sz="4" w:space="0" w:color="000000"/>
              <w:right w:val="single" w:sz="12" w:space="0" w:color="000000"/>
            </w:tcBorders>
          </w:tcPr>
          <w:p>
            <w:pPr>
              <w:pStyle w:val="TableParagraph"/>
              <w:rPr>
                <w:rFonts w:ascii="Times New Roman"/>
                <w:sz w:val="16"/>
              </w:rPr>
            </w:pPr>
          </w:p>
        </w:tc>
        <w:tc>
          <w:tcPr>
            <w:tcW w:w="1252" w:type="dxa"/>
            <w:tcBorders>
              <w:top w:val="dashSmallGap" w:sz="4" w:space="0" w:color="000000"/>
              <w:left w:val="single" w:sz="12" w:space="0" w:color="000000"/>
              <w:bottom w:val="dashSmallGap" w:sz="4" w:space="0" w:color="000000"/>
              <w:right w:val="single" w:sz="12" w:space="0" w:color="000000"/>
            </w:tcBorders>
          </w:tcPr>
          <w:p>
            <w:pPr>
              <w:pStyle w:val="TableParagraph"/>
              <w:rPr>
                <w:rFonts w:ascii="Times New Roman"/>
                <w:sz w:val="16"/>
              </w:rPr>
            </w:pPr>
          </w:p>
        </w:tc>
        <w:tc>
          <w:tcPr>
            <w:tcW w:w="1365" w:type="dxa"/>
            <w:tcBorders>
              <w:top w:val="dashSmallGap" w:sz="4" w:space="0" w:color="000000"/>
              <w:left w:val="single" w:sz="12" w:space="0" w:color="000000"/>
              <w:bottom w:val="dashSmallGap" w:sz="4" w:space="0" w:color="000000"/>
              <w:right w:val="dashed" w:sz="12" w:space="0" w:color="000000"/>
            </w:tcBorders>
          </w:tcPr>
          <w:p>
            <w:pPr>
              <w:pStyle w:val="TableParagraph"/>
              <w:rPr>
                <w:rFonts w:ascii="Times New Roman"/>
                <w:sz w:val="16"/>
              </w:rPr>
            </w:pPr>
          </w:p>
        </w:tc>
      </w:tr>
      <w:tr>
        <w:trPr>
          <w:trHeight w:val="267" w:hRule="atLeast"/>
        </w:trPr>
        <w:tc>
          <w:tcPr>
            <w:tcW w:w="4661" w:type="dxa"/>
            <w:tcBorders>
              <w:top w:val="dashed" w:sz="4" w:space="0" w:color="000000"/>
              <w:left w:val="single" w:sz="12" w:space="0" w:color="000000"/>
              <w:bottom w:val="dashed" w:sz="4" w:space="0" w:color="000000"/>
              <w:right w:val="single" w:sz="12" w:space="0" w:color="000000"/>
            </w:tcBorders>
          </w:tcPr>
          <w:p>
            <w:pPr>
              <w:pStyle w:val="TableParagraph"/>
              <w:spacing w:before="14"/>
              <w:ind w:left="107"/>
              <w:rPr>
                <w:sz w:val="18"/>
              </w:rPr>
            </w:pPr>
            <w:r>
              <w:rPr>
                <w:sz w:val="18"/>
              </w:rPr>
              <w:t>Capital</w:t>
            </w:r>
            <w:r>
              <w:rPr>
                <w:spacing w:val="-2"/>
                <w:sz w:val="18"/>
              </w:rPr>
              <w:t> </w:t>
            </w:r>
            <w:r>
              <w:rPr>
                <w:sz w:val="18"/>
              </w:rPr>
              <w:t>Funding</w:t>
            </w:r>
            <w:r>
              <w:rPr>
                <w:spacing w:val="-1"/>
                <w:sz w:val="18"/>
              </w:rPr>
              <w:t> </w:t>
            </w:r>
            <w:r>
              <w:rPr>
                <w:sz w:val="18"/>
              </w:rPr>
              <w:t>for</w:t>
            </w:r>
            <w:r>
              <w:rPr>
                <w:spacing w:val="-2"/>
                <w:sz w:val="18"/>
              </w:rPr>
              <w:t> </w:t>
            </w:r>
            <w:r>
              <w:rPr>
                <w:sz w:val="18"/>
              </w:rPr>
              <w:t>Community</w:t>
            </w:r>
            <w:r>
              <w:rPr>
                <w:spacing w:val="-1"/>
                <w:sz w:val="18"/>
              </w:rPr>
              <w:t> </w:t>
            </w:r>
            <w:r>
              <w:rPr>
                <w:spacing w:val="-2"/>
                <w:sz w:val="18"/>
              </w:rPr>
              <w:t>Groups</w:t>
            </w:r>
          </w:p>
        </w:tc>
        <w:tc>
          <w:tcPr>
            <w:tcW w:w="1253" w:type="dxa"/>
            <w:tcBorders>
              <w:top w:val="dashed" w:sz="4" w:space="0" w:color="000000"/>
              <w:left w:val="single" w:sz="12" w:space="0" w:color="000000"/>
              <w:bottom w:val="dashed" w:sz="4" w:space="0" w:color="000000"/>
              <w:right w:val="nil"/>
            </w:tcBorders>
          </w:tcPr>
          <w:p>
            <w:pPr>
              <w:pStyle w:val="TableParagraph"/>
              <w:spacing w:before="14"/>
              <w:ind w:right="76"/>
              <w:jc w:val="right"/>
              <w:rPr>
                <w:sz w:val="18"/>
              </w:rPr>
            </w:pPr>
            <w:r>
              <w:rPr>
                <w:spacing w:val="-5"/>
                <w:sz w:val="18"/>
              </w:rPr>
              <w:t>380</w:t>
            </w:r>
          </w:p>
        </w:tc>
        <w:tc>
          <w:tcPr>
            <w:tcW w:w="1013" w:type="dxa"/>
            <w:tcBorders>
              <w:top w:val="dashed" w:sz="4" w:space="0" w:color="000000"/>
              <w:left w:val="nil"/>
              <w:bottom w:val="dashed" w:sz="4" w:space="0" w:color="000000"/>
              <w:right w:val="nil"/>
            </w:tcBorders>
          </w:tcPr>
          <w:p>
            <w:pPr>
              <w:pStyle w:val="TableParagraph"/>
              <w:spacing w:before="14"/>
              <w:ind w:right="90"/>
              <w:jc w:val="right"/>
              <w:rPr>
                <w:sz w:val="18"/>
              </w:rPr>
            </w:pPr>
            <w:r>
              <w:rPr>
                <w:spacing w:val="-5"/>
                <w:sz w:val="18"/>
              </w:rPr>
              <w:t>190</w:t>
            </w:r>
          </w:p>
        </w:tc>
        <w:tc>
          <w:tcPr>
            <w:tcW w:w="1013" w:type="dxa"/>
            <w:tcBorders>
              <w:top w:val="dashed" w:sz="4" w:space="0" w:color="000000"/>
              <w:left w:val="nil"/>
              <w:bottom w:val="dashed" w:sz="4" w:space="0" w:color="000000"/>
              <w:right w:val="nil"/>
            </w:tcBorders>
          </w:tcPr>
          <w:p>
            <w:pPr>
              <w:pStyle w:val="TableParagraph"/>
              <w:rPr>
                <w:b/>
                <w:sz w:val="4"/>
              </w:rPr>
            </w:pPr>
          </w:p>
          <w:p>
            <w:pPr>
              <w:pStyle w:val="TableParagraph"/>
              <w:tabs>
                <w:tab w:pos="1021" w:val="left" w:leader="none"/>
              </w:tabs>
              <w:spacing w:line="115" w:lineRule="exact"/>
              <w:ind w:left="9" w:right="-87"/>
              <w:rPr>
                <w:sz w:val="11"/>
              </w:rPr>
            </w:pPr>
            <w:r>
              <w:rPr>
                <w:position w:val="-1"/>
                <w:sz w:val="11"/>
              </w:rPr>
              <w:pict>
                <v:group style="width:.5pt;height:5.8pt;mso-position-horizontal-relative:char;mso-position-vertical-relative:line" id="docshapegroup85" coordorigin="0,0" coordsize="10,116">
                  <v:shape style="position:absolute;left:0;top:0;width:10;height:116" id="docshape86"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87" coordorigin="0,0" coordsize="10,116">
                  <v:shape style="position:absolute;left:0;top:0;width:10;height:116" id="docshape88" coordorigin="0,0" coordsize="10,116" path="m10,77l0,77,0,115,10,115,10,77xm10,0l0,0,0,38,10,38,10,0xe" filled="true" fillcolor="#000000" stroked="false">
                    <v:path arrowok="t"/>
                    <v:fill type="solid"/>
                  </v:shape>
                </v:group>
              </w:pict>
            </w:r>
            <w:r>
              <w:rPr>
                <w:position w:val="-1"/>
                <w:sz w:val="11"/>
              </w:rPr>
            </w:r>
          </w:p>
        </w:tc>
        <w:tc>
          <w:tcPr>
            <w:tcW w:w="1015" w:type="dxa"/>
            <w:tcBorders>
              <w:top w:val="dashed" w:sz="4" w:space="0" w:color="000000"/>
              <w:left w:val="nil"/>
              <w:bottom w:val="dashed" w:sz="4" w:space="0" w:color="000000"/>
              <w:right w:val="nil"/>
            </w:tcBorders>
          </w:tcPr>
          <w:p>
            <w:pPr>
              <w:pStyle w:val="TableParagraph"/>
              <w:spacing w:before="14"/>
              <w:ind w:right="91"/>
              <w:jc w:val="right"/>
              <w:rPr>
                <w:sz w:val="18"/>
              </w:rPr>
            </w:pPr>
            <w:r>
              <w:rPr>
                <w:spacing w:val="-5"/>
                <w:sz w:val="18"/>
              </w:rPr>
              <w:t>190</w:t>
            </w:r>
          </w:p>
        </w:tc>
        <w:tc>
          <w:tcPr>
            <w:tcW w:w="1010" w:type="dxa"/>
            <w:tcBorders>
              <w:top w:val="dashSmallGap" w:sz="4" w:space="0" w:color="000000"/>
              <w:left w:val="nil"/>
              <w:bottom w:val="dashSmallGap" w:sz="4" w:space="0" w:color="000000"/>
              <w:right w:val="nil"/>
            </w:tcBorders>
          </w:tcPr>
          <w:p>
            <w:pPr>
              <w:pStyle w:val="TableParagraph"/>
              <w:spacing w:before="14"/>
              <w:ind w:right="87"/>
              <w:jc w:val="right"/>
              <w:rPr>
                <w:sz w:val="18"/>
              </w:rPr>
            </w:pPr>
            <w:r>
              <w:rPr>
                <w:spacing w:val="-5"/>
                <w:sz w:val="18"/>
              </w:rPr>
              <w:t>190</w:t>
            </w:r>
          </w:p>
        </w:tc>
        <w:tc>
          <w:tcPr>
            <w:tcW w:w="1012" w:type="dxa"/>
            <w:tcBorders>
              <w:top w:val="dashSmallGap" w:sz="4" w:space="0" w:color="000000"/>
              <w:left w:val="nil"/>
              <w:bottom w:val="dashSmallGap" w:sz="4" w:space="0" w:color="000000"/>
              <w:right w:val="nil"/>
            </w:tcBorders>
          </w:tcPr>
          <w:p>
            <w:pPr>
              <w:pStyle w:val="TableParagraph"/>
              <w:spacing w:before="14"/>
              <w:ind w:right="88"/>
              <w:jc w:val="right"/>
              <w:rPr>
                <w:sz w:val="18"/>
              </w:rPr>
            </w:pPr>
            <w:r>
              <w:rPr>
                <w:spacing w:val="-5"/>
                <w:sz w:val="18"/>
              </w:rPr>
              <w:t>190</w:t>
            </w:r>
          </w:p>
        </w:tc>
        <w:tc>
          <w:tcPr>
            <w:tcW w:w="1012" w:type="dxa"/>
            <w:tcBorders>
              <w:top w:val="dashSmallGap" w:sz="4" w:space="0" w:color="000000"/>
              <w:left w:val="nil"/>
              <w:bottom w:val="dashSmallGap" w:sz="4" w:space="0" w:color="000000"/>
              <w:right w:val="single" w:sz="12" w:space="0" w:color="000000"/>
            </w:tcBorders>
          </w:tcPr>
          <w:p>
            <w:pPr>
              <w:pStyle w:val="TableParagraph"/>
              <w:rPr>
                <w:b/>
                <w:sz w:val="4"/>
              </w:rPr>
            </w:pPr>
          </w:p>
          <w:p>
            <w:pPr>
              <w:pStyle w:val="TableParagraph"/>
              <w:spacing w:line="115" w:lineRule="exact"/>
              <w:ind w:left="-5"/>
              <w:rPr>
                <w:sz w:val="11"/>
              </w:rPr>
            </w:pPr>
            <w:r>
              <w:rPr>
                <w:position w:val="-1"/>
                <w:sz w:val="11"/>
              </w:rPr>
              <w:pict>
                <v:group style="width:.5pt;height:5.8pt;mso-position-horizontal-relative:char;mso-position-vertical-relative:line" id="docshapegroup89" coordorigin="0,0" coordsize="10,116">
                  <v:shape style="position:absolute;left:0;top:0;width:10;height:116" id="docshape90" coordorigin="0,0" coordsize="10,116" path="m10,77l0,77,0,115,10,115,10,77xm10,0l0,0,0,38,10,38,10,0xe" filled="true" fillcolor="#000000" stroked="false">
                    <v:path arrowok="t"/>
                    <v:fill type="solid"/>
                  </v:shape>
                </v:group>
              </w:pict>
            </w:r>
            <w:r>
              <w:rPr>
                <w:position w:val="-1"/>
                <w:sz w:val="11"/>
              </w:rPr>
            </w:r>
          </w:p>
        </w:tc>
        <w:tc>
          <w:tcPr>
            <w:tcW w:w="1252" w:type="dxa"/>
            <w:tcBorders>
              <w:top w:val="dashSmallGap" w:sz="4" w:space="0" w:color="000000"/>
              <w:left w:val="single" w:sz="12" w:space="0" w:color="000000"/>
              <w:bottom w:val="dashSmallGap" w:sz="4" w:space="0" w:color="000000"/>
              <w:right w:val="single" w:sz="12" w:space="0" w:color="000000"/>
            </w:tcBorders>
          </w:tcPr>
          <w:p>
            <w:pPr>
              <w:pStyle w:val="TableParagraph"/>
              <w:spacing w:before="14"/>
              <w:ind w:right="74"/>
              <w:jc w:val="right"/>
              <w:rPr>
                <w:sz w:val="18"/>
              </w:rPr>
            </w:pPr>
            <w:r>
              <w:rPr>
                <w:spacing w:val="-5"/>
                <w:sz w:val="18"/>
              </w:rPr>
              <w:t>400</w:t>
            </w:r>
          </w:p>
        </w:tc>
        <w:tc>
          <w:tcPr>
            <w:tcW w:w="1252" w:type="dxa"/>
            <w:tcBorders>
              <w:top w:val="dashSmallGap" w:sz="4" w:space="0" w:color="000000"/>
              <w:left w:val="single" w:sz="12" w:space="0" w:color="000000"/>
              <w:bottom w:val="dashSmallGap" w:sz="4" w:space="0" w:color="000000"/>
              <w:right w:val="single" w:sz="12" w:space="0" w:color="000000"/>
            </w:tcBorders>
          </w:tcPr>
          <w:p>
            <w:pPr>
              <w:pStyle w:val="TableParagraph"/>
              <w:spacing w:before="14"/>
              <w:ind w:right="73"/>
              <w:jc w:val="right"/>
              <w:rPr>
                <w:sz w:val="18"/>
              </w:rPr>
            </w:pPr>
            <w:r>
              <w:rPr>
                <w:spacing w:val="-5"/>
                <w:sz w:val="18"/>
              </w:rPr>
              <w:t>400</w:t>
            </w:r>
          </w:p>
        </w:tc>
        <w:tc>
          <w:tcPr>
            <w:tcW w:w="1365" w:type="dxa"/>
            <w:tcBorders>
              <w:top w:val="dashSmallGap" w:sz="4" w:space="0" w:color="000000"/>
              <w:left w:val="single" w:sz="12" w:space="0" w:color="000000"/>
              <w:bottom w:val="dashSmallGap" w:sz="4" w:space="0" w:color="000000"/>
              <w:right w:val="dashed" w:sz="12" w:space="0" w:color="000000"/>
            </w:tcBorders>
          </w:tcPr>
          <w:p>
            <w:pPr>
              <w:pStyle w:val="TableParagraph"/>
              <w:spacing w:before="14"/>
              <w:ind w:right="70"/>
              <w:jc w:val="right"/>
              <w:rPr>
                <w:sz w:val="18"/>
              </w:rPr>
            </w:pPr>
            <w:r>
              <w:rPr>
                <w:spacing w:val="-5"/>
                <w:sz w:val="18"/>
              </w:rPr>
              <w:t>400</w:t>
            </w:r>
          </w:p>
        </w:tc>
      </w:tr>
      <w:tr>
        <w:trPr>
          <w:trHeight w:val="299" w:hRule="atLeast"/>
        </w:trPr>
        <w:tc>
          <w:tcPr>
            <w:tcW w:w="4661" w:type="dxa"/>
            <w:tcBorders>
              <w:top w:val="dashed" w:sz="4" w:space="0" w:color="000000"/>
              <w:left w:val="single" w:sz="12" w:space="0" w:color="000000"/>
              <w:bottom w:val="dashed" w:sz="4" w:space="0" w:color="000000"/>
              <w:right w:val="single" w:sz="12" w:space="0" w:color="000000"/>
            </w:tcBorders>
          </w:tcPr>
          <w:p>
            <w:pPr>
              <w:pStyle w:val="TableParagraph"/>
              <w:spacing w:before="47"/>
              <w:ind w:left="107"/>
              <w:rPr>
                <w:sz w:val="18"/>
              </w:rPr>
            </w:pPr>
            <w:r>
              <w:rPr>
                <w:sz w:val="18"/>
              </w:rPr>
              <w:t>Community</w:t>
            </w:r>
            <w:r>
              <w:rPr>
                <w:spacing w:val="-5"/>
                <w:sz w:val="18"/>
              </w:rPr>
              <w:t> </w:t>
            </w:r>
            <w:r>
              <w:rPr>
                <w:sz w:val="18"/>
              </w:rPr>
              <w:t>Facilities</w:t>
            </w:r>
            <w:r>
              <w:rPr>
                <w:spacing w:val="-1"/>
                <w:sz w:val="18"/>
              </w:rPr>
              <w:t> </w:t>
            </w:r>
            <w:r>
              <w:rPr>
                <w:sz w:val="18"/>
              </w:rPr>
              <w:t>-</w:t>
            </w:r>
            <w:r>
              <w:rPr>
                <w:spacing w:val="-1"/>
                <w:sz w:val="18"/>
              </w:rPr>
              <w:t> </w:t>
            </w:r>
            <w:r>
              <w:rPr>
                <w:sz w:val="18"/>
              </w:rPr>
              <w:t>Access</w:t>
            </w:r>
            <w:r>
              <w:rPr>
                <w:spacing w:val="-2"/>
                <w:sz w:val="18"/>
              </w:rPr>
              <w:t> </w:t>
            </w:r>
            <w:r>
              <w:rPr>
                <w:sz w:val="18"/>
              </w:rPr>
              <w:t>&amp;</w:t>
            </w:r>
            <w:r>
              <w:rPr>
                <w:spacing w:val="-4"/>
                <w:sz w:val="18"/>
              </w:rPr>
              <w:t> </w:t>
            </w:r>
            <w:r>
              <w:rPr>
                <w:spacing w:val="-2"/>
                <w:sz w:val="18"/>
              </w:rPr>
              <w:t>Inclusion</w:t>
            </w:r>
          </w:p>
        </w:tc>
        <w:tc>
          <w:tcPr>
            <w:tcW w:w="1253" w:type="dxa"/>
            <w:tcBorders>
              <w:top w:val="dashed" w:sz="4" w:space="0" w:color="000000"/>
              <w:left w:val="single" w:sz="12" w:space="0" w:color="000000"/>
              <w:bottom w:val="dashed" w:sz="4" w:space="0" w:color="000000"/>
              <w:right w:val="nil"/>
            </w:tcBorders>
          </w:tcPr>
          <w:p>
            <w:pPr>
              <w:pStyle w:val="TableParagraph"/>
              <w:spacing w:before="47"/>
              <w:ind w:right="74"/>
              <w:jc w:val="right"/>
              <w:rPr>
                <w:sz w:val="18"/>
              </w:rPr>
            </w:pPr>
            <w:r>
              <w:rPr>
                <w:spacing w:val="-5"/>
                <w:sz w:val="18"/>
              </w:rPr>
              <w:t>240</w:t>
            </w:r>
          </w:p>
        </w:tc>
        <w:tc>
          <w:tcPr>
            <w:tcW w:w="1013" w:type="dxa"/>
            <w:tcBorders>
              <w:top w:val="dashed" w:sz="4" w:space="0" w:color="000000"/>
              <w:left w:val="nil"/>
              <w:bottom w:val="dashed" w:sz="4" w:space="0" w:color="000000"/>
              <w:right w:val="nil"/>
            </w:tcBorders>
          </w:tcPr>
          <w:p>
            <w:pPr>
              <w:pStyle w:val="TableParagraph"/>
              <w:spacing w:before="47"/>
              <w:ind w:right="90"/>
              <w:jc w:val="right"/>
              <w:rPr>
                <w:sz w:val="18"/>
              </w:rPr>
            </w:pPr>
            <w:r>
              <w:rPr>
                <w:spacing w:val="-5"/>
                <w:sz w:val="18"/>
              </w:rPr>
              <w:t>240</w:t>
            </w:r>
          </w:p>
        </w:tc>
        <w:tc>
          <w:tcPr>
            <w:tcW w:w="1013" w:type="dxa"/>
            <w:tcBorders>
              <w:top w:val="dashed" w:sz="4" w:space="0" w:color="000000"/>
              <w:left w:val="nil"/>
              <w:bottom w:val="dashed" w:sz="4" w:space="0" w:color="000000"/>
              <w:right w:val="nil"/>
            </w:tcBorders>
          </w:tcPr>
          <w:p>
            <w:pPr>
              <w:pStyle w:val="TableParagraph"/>
              <w:spacing w:before="7"/>
              <w:rPr>
                <w:b/>
                <w:sz w:val="6"/>
              </w:rPr>
            </w:pPr>
          </w:p>
          <w:p>
            <w:pPr>
              <w:pStyle w:val="TableParagraph"/>
              <w:tabs>
                <w:tab w:pos="1021" w:val="left" w:leader="none"/>
              </w:tabs>
              <w:spacing w:line="115" w:lineRule="exact"/>
              <w:ind w:left="9" w:right="-87"/>
              <w:rPr>
                <w:sz w:val="11"/>
              </w:rPr>
            </w:pPr>
            <w:r>
              <w:rPr>
                <w:position w:val="-1"/>
                <w:sz w:val="11"/>
              </w:rPr>
              <w:pict>
                <v:group style="width:.5pt;height:5.8pt;mso-position-horizontal-relative:char;mso-position-vertical-relative:line" id="docshapegroup91" coordorigin="0,0" coordsize="10,116">
                  <v:shape style="position:absolute;left:0;top:0;width:10;height:116" id="docshape92"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93" coordorigin="0,0" coordsize="10,116">
                  <v:shape style="position:absolute;left:0;top:0;width:10;height:116" id="docshape94" coordorigin="0,0" coordsize="10,116" path="m10,77l0,77,0,115,10,115,10,77xm10,0l0,0,0,38,10,38,10,0xe" filled="true" fillcolor="#000000" stroked="false">
                    <v:path arrowok="t"/>
                    <v:fill type="solid"/>
                  </v:shape>
                </v:group>
              </w:pict>
            </w:r>
            <w:r>
              <w:rPr>
                <w:position w:val="-1"/>
                <w:sz w:val="11"/>
              </w:rPr>
            </w:r>
          </w:p>
        </w:tc>
        <w:tc>
          <w:tcPr>
            <w:tcW w:w="1015" w:type="dxa"/>
            <w:tcBorders>
              <w:top w:val="dashed" w:sz="4" w:space="0" w:color="000000"/>
              <w:left w:val="nil"/>
              <w:bottom w:val="dashed" w:sz="4" w:space="0" w:color="000000"/>
              <w:right w:val="nil"/>
            </w:tcBorders>
          </w:tcPr>
          <w:p>
            <w:pPr>
              <w:pStyle w:val="TableParagraph"/>
              <w:spacing w:before="7"/>
              <w:rPr>
                <w:b/>
                <w:sz w:val="6"/>
              </w:rPr>
            </w:pPr>
          </w:p>
          <w:p>
            <w:pPr>
              <w:pStyle w:val="TableParagraph"/>
              <w:spacing w:line="115" w:lineRule="exact"/>
              <w:ind w:left="1024" w:right="-87"/>
              <w:rPr>
                <w:sz w:val="11"/>
              </w:rPr>
            </w:pPr>
            <w:r>
              <w:rPr>
                <w:position w:val="-1"/>
                <w:sz w:val="11"/>
              </w:rPr>
              <w:pict>
                <v:group style="width:.5pt;height:5.8pt;mso-position-horizontal-relative:char;mso-position-vertical-relative:line" id="docshapegroup95" coordorigin="0,0" coordsize="10,116">
                  <v:shape style="position:absolute;left:-1;top:0;width:10;height:116" id="docshape96" coordorigin="0,0" coordsize="10,116" path="m10,77l0,77,0,115,10,115,10,77xm10,0l0,0,0,38,10,38,10,0xe" filled="true" fillcolor="#000000" stroked="false">
                    <v:path arrowok="t"/>
                    <v:fill type="solid"/>
                  </v:shape>
                </v:group>
              </w:pict>
            </w:r>
            <w:r>
              <w:rPr>
                <w:position w:val="-1"/>
                <w:sz w:val="11"/>
              </w:rPr>
            </w:r>
          </w:p>
        </w:tc>
        <w:tc>
          <w:tcPr>
            <w:tcW w:w="1010" w:type="dxa"/>
            <w:tcBorders>
              <w:top w:val="dashSmallGap" w:sz="4" w:space="0" w:color="000000"/>
              <w:left w:val="nil"/>
              <w:bottom w:val="dashSmallGap" w:sz="4" w:space="0" w:color="000000"/>
              <w:right w:val="nil"/>
            </w:tcBorders>
          </w:tcPr>
          <w:p>
            <w:pPr>
              <w:pStyle w:val="TableParagraph"/>
              <w:spacing w:before="47"/>
              <w:ind w:right="89"/>
              <w:jc w:val="right"/>
              <w:rPr>
                <w:sz w:val="18"/>
              </w:rPr>
            </w:pPr>
            <w:r>
              <w:rPr>
                <w:spacing w:val="-5"/>
                <w:sz w:val="18"/>
              </w:rPr>
              <w:t>192</w:t>
            </w:r>
          </w:p>
        </w:tc>
        <w:tc>
          <w:tcPr>
            <w:tcW w:w="1012" w:type="dxa"/>
            <w:tcBorders>
              <w:top w:val="dashSmallGap" w:sz="4" w:space="0" w:color="000000"/>
              <w:left w:val="nil"/>
              <w:bottom w:val="dashed" w:sz="4" w:space="0" w:color="000000"/>
              <w:right w:val="nil"/>
            </w:tcBorders>
          </w:tcPr>
          <w:p>
            <w:pPr>
              <w:pStyle w:val="TableParagraph"/>
              <w:spacing w:before="47"/>
              <w:ind w:right="90"/>
              <w:jc w:val="right"/>
              <w:rPr>
                <w:sz w:val="18"/>
              </w:rPr>
            </w:pPr>
            <w:r>
              <w:rPr>
                <w:spacing w:val="-5"/>
                <w:sz w:val="18"/>
              </w:rPr>
              <w:t>48</w:t>
            </w:r>
          </w:p>
        </w:tc>
        <w:tc>
          <w:tcPr>
            <w:tcW w:w="1012" w:type="dxa"/>
            <w:tcBorders>
              <w:top w:val="dashSmallGap" w:sz="4" w:space="0" w:color="000000"/>
              <w:left w:val="nil"/>
              <w:bottom w:val="dashSmallGap" w:sz="4" w:space="0" w:color="000000"/>
              <w:right w:val="single" w:sz="12" w:space="0" w:color="000000"/>
            </w:tcBorders>
          </w:tcPr>
          <w:p>
            <w:pPr>
              <w:pStyle w:val="TableParagraph"/>
              <w:spacing w:before="7"/>
              <w:rPr>
                <w:b/>
                <w:sz w:val="6"/>
              </w:rPr>
            </w:pPr>
          </w:p>
          <w:p>
            <w:pPr>
              <w:pStyle w:val="TableParagraph"/>
              <w:spacing w:line="115" w:lineRule="exact"/>
              <w:ind w:left="-5"/>
              <w:rPr>
                <w:sz w:val="11"/>
              </w:rPr>
            </w:pPr>
            <w:r>
              <w:rPr>
                <w:position w:val="-1"/>
                <w:sz w:val="11"/>
              </w:rPr>
              <w:pict>
                <v:group style="width:.5pt;height:5.8pt;mso-position-horizontal-relative:char;mso-position-vertical-relative:line" id="docshapegroup97" coordorigin="0,0" coordsize="10,116">
                  <v:shape style="position:absolute;left:0;top:0;width:10;height:116" id="docshape98" coordorigin="0,0" coordsize="10,116" path="m10,77l0,77,0,115,10,115,10,77xm10,0l0,0,0,38,10,38,10,0xe" filled="true" fillcolor="#000000" stroked="false">
                    <v:path arrowok="t"/>
                    <v:fill type="solid"/>
                  </v:shape>
                </v:group>
              </w:pict>
            </w:r>
            <w:r>
              <w:rPr>
                <w:position w:val="-1"/>
                <w:sz w:val="11"/>
              </w:rPr>
            </w:r>
          </w:p>
        </w:tc>
        <w:tc>
          <w:tcPr>
            <w:tcW w:w="1252" w:type="dxa"/>
            <w:tcBorders>
              <w:top w:val="dashSmallGap" w:sz="4" w:space="0" w:color="000000"/>
              <w:left w:val="single" w:sz="12" w:space="0" w:color="000000"/>
              <w:bottom w:val="dashSmallGap" w:sz="4" w:space="0" w:color="000000"/>
              <w:right w:val="single" w:sz="12" w:space="0" w:color="000000"/>
            </w:tcBorders>
          </w:tcPr>
          <w:p>
            <w:pPr>
              <w:pStyle w:val="TableParagraph"/>
              <w:spacing w:before="47"/>
              <w:ind w:right="74"/>
              <w:jc w:val="right"/>
              <w:rPr>
                <w:sz w:val="18"/>
              </w:rPr>
            </w:pPr>
            <w:r>
              <w:rPr>
                <w:spacing w:val="-5"/>
                <w:sz w:val="18"/>
              </w:rPr>
              <w:t>250</w:t>
            </w:r>
          </w:p>
        </w:tc>
        <w:tc>
          <w:tcPr>
            <w:tcW w:w="1252" w:type="dxa"/>
            <w:tcBorders>
              <w:top w:val="dashSmallGap" w:sz="4" w:space="0" w:color="000000"/>
              <w:left w:val="single" w:sz="12" w:space="0" w:color="000000"/>
              <w:bottom w:val="dashSmallGap" w:sz="4" w:space="0" w:color="000000"/>
              <w:right w:val="single" w:sz="12" w:space="0" w:color="000000"/>
            </w:tcBorders>
          </w:tcPr>
          <w:p>
            <w:pPr>
              <w:pStyle w:val="TableParagraph"/>
              <w:spacing w:before="47"/>
              <w:ind w:right="73"/>
              <w:jc w:val="right"/>
              <w:rPr>
                <w:sz w:val="18"/>
              </w:rPr>
            </w:pPr>
            <w:r>
              <w:rPr>
                <w:spacing w:val="-5"/>
                <w:sz w:val="18"/>
              </w:rPr>
              <w:t>270</w:t>
            </w:r>
          </w:p>
        </w:tc>
        <w:tc>
          <w:tcPr>
            <w:tcW w:w="1365" w:type="dxa"/>
            <w:tcBorders>
              <w:top w:val="dashSmallGap" w:sz="4" w:space="0" w:color="000000"/>
              <w:left w:val="single" w:sz="12" w:space="0" w:color="000000"/>
              <w:bottom w:val="dashSmallGap" w:sz="4" w:space="0" w:color="000000"/>
              <w:right w:val="dashed" w:sz="12" w:space="0" w:color="000000"/>
            </w:tcBorders>
          </w:tcPr>
          <w:p>
            <w:pPr>
              <w:pStyle w:val="TableParagraph"/>
              <w:spacing w:before="47"/>
              <w:ind w:right="70"/>
              <w:jc w:val="right"/>
              <w:rPr>
                <w:sz w:val="18"/>
              </w:rPr>
            </w:pPr>
            <w:r>
              <w:rPr>
                <w:spacing w:val="-5"/>
                <w:sz w:val="18"/>
              </w:rPr>
              <w:t>270</w:t>
            </w:r>
          </w:p>
        </w:tc>
      </w:tr>
      <w:tr>
        <w:trPr>
          <w:trHeight w:val="302" w:hRule="atLeast"/>
        </w:trPr>
        <w:tc>
          <w:tcPr>
            <w:tcW w:w="4661" w:type="dxa"/>
            <w:tcBorders>
              <w:top w:val="dashed" w:sz="4" w:space="0" w:color="000000"/>
              <w:left w:val="single" w:sz="12" w:space="0" w:color="000000"/>
              <w:bottom w:val="dashSmallGap" w:sz="4" w:space="0" w:color="000000"/>
              <w:right w:val="single" w:sz="12" w:space="0" w:color="000000"/>
            </w:tcBorders>
          </w:tcPr>
          <w:p>
            <w:pPr>
              <w:pStyle w:val="TableParagraph"/>
              <w:spacing w:before="47"/>
              <w:ind w:left="107"/>
              <w:rPr>
                <w:sz w:val="18"/>
              </w:rPr>
            </w:pPr>
            <w:r>
              <w:rPr>
                <w:sz w:val="18"/>
              </w:rPr>
              <w:t>Public Toilet</w:t>
            </w:r>
            <w:r>
              <w:rPr>
                <w:spacing w:val="-2"/>
                <w:sz w:val="18"/>
              </w:rPr>
              <w:t> </w:t>
            </w:r>
            <w:r>
              <w:rPr>
                <w:sz w:val="18"/>
              </w:rPr>
              <w:t>Improvement </w:t>
            </w:r>
            <w:r>
              <w:rPr>
                <w:spacing w:val="-2"/>
                <w:sz w:val="18"/>
              </w:rPr>
              <w:t>Program</w:t>
            </w:r>
          </w:p>
        </w:tc>
        <w:tc>
          <w:tcPr>
            <w:tcW w:w="1253" w:type="dxa"/>
            <w:tcBorders>
              <w:top w:val="dashed" w:sz="4" w:space="0" w:color="000000"/>
              <w:left w:val="single" w:sz="12" w:space="0" w:color="000000"/>
              <w:bottom w:val="dashSmallGap" w:sz="4" w:space="0" w:color="000000"/>
              <w:right w:val="nil"/>
            </w:tcBorders>
          </w:tcPr>
          <w:p>
            <w:pPr>
              <w:pStyle w:val="TableParagraph"/>
              <w:spacing w:before="47"/>
              <w:ind w:right="75"/>
              <w:jc w:val="right"/>
              <w:rPr>
                <w:sz w:val="18"/>
              </w:rPr>
            </w:pPr>
            <w:r>
              <w:rPr>
                <w:spacing w:val="-5"/>
                <w:sz w:val="18"/>
              </w:rPr>
              <w:t>310</w:t>
            </w:r>
          </w:p>
        </w:tc>
        <w:tc>
          <w:tcPr>
            <w:tcW w:w="1013" w:type="dxa"/>
            <w:tcBorders>
              <w:top w:val="dashed" w:sz="4" w:space="0" w:color="000000"/>
              <w:left w:val="nil"/>
              <w:bottom w:val="dashed" w:sz="4" w:space="0" w:color="000000"/>
              <w:right w:val="nil"/>
            </w:tcBorders>
          </w:tcPr>
          <w:p>
            <w:pPr>
              <w:pStyle w:val="TableParagraph"/>
              <w:spacing w:before="47"/>
              <w:ind w:right="91"/>
              <w:jc w:val="right"/>
              <w:rPr>
                <w:sz w:val="18"/>
              </w:rPr>
            </w:pPr>
            <w:r>
              <w:rPr>
                <w:spacing w:val="-5"/>
                <w:sz w:val="18"/>
              </w:rPr>
              <w:t>310</w:t>
            </w:r>
          </w:p>
        </w:tc>
        <w:tc>
          <w:tcPr>
            <w:tcW w:w="1013" w:type="dxa"/>
            <w:tcBorders>
              <w:top w:val="dashed" w:sz="4" w:space="0" w:color="000000"/>
              <w:left w:val="nil"/>
              <w:bottom w:val="dashSmallGap" w:sz="4" w:space="0" w:color="000000"/>
              <w:right w:val="nil"/>
            </w:tcBorders>
          </w:tcPr>
          <w:p>
            <w:pPr>
              <w:pStyle w:val="TableParagraph"/>
              <w:spacing w:before="5"/>
              <w:rPr>
                <w:b/>
                <w:sz w:val="6"/>
              </w:rPr>
            </w:pPr>
          </w:p>
          <w:p>
            <w:pPr>
              <w:pStyle w:val="TableParagraph"/>
              <w:tabs>
                <w:tab w:pos="1021" w:val="left" w:leader="none"/>
              </w:tabs>
              <w:spacing w:line="115" w:lineRule="exact"/>
              <w:ind w:left="9" w:right="-87"/>
              <w:rPr>
                <w:sz w:val="11"/>
              </w:rPr>
            </w:pPr>
            <w:r>
              <w:rPr>
                <w:position w:val="-1"/>
                <w:sz w:val="11"/>
              </w:rPr>
              <w:pict>
                <v:group style="width:.5pt;height:5.8pt;mso-position-horizontal-relative:char;mso-position-vertical-relative:line" id="docshapegroup99" coordorigin="0,0" coordsize="10,116">
                  <v:shape style="position:absolute;left:0;top:0;width:10;height:116" id="docshape100"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101" coordorigin="0,0" coordsize="10,116">
                  <v:shape style="position:absolute;left:0;top:0;width:10;height:116" id="docshape102" coordorigin="0,0" coordsize="10,116" path="m10,77l0,77,0,115,10,115,10,77xm10,0l0,0,0,38,10,38,10,0xe" filled="true" fillcolor="#000000" stroked="false">
                    <v:path arrowok="t"/>
                    <v:fill type="solid"/>
                  </v:shape>
                </v:group>
              </w:pict>
            </w:r>
            <w:r>
              <w:rPr>
                <w:position w:val="-1"/>
                <w:sz w:val="11"/>
              </w:rPr>
            </w:r>
          </w:p>
        </w:tc>
        <w:tc>
          <w:tcPr>
            <w:tcW w:w="1015" w:type="dxa"/>
            <w:tcBorders>
              <w:top w:val="dashed" w:sz="4" w:space="0" w:color="000000"/>
              <w:left w:val="nil"/>
              <w:bottom w:val="dashSmallGap" w:sz="4" w:space="0" w:color="000000"/>
              <w:right w:val="nil"/>
            </w:tcBorders>
          </w:tcPr>
          <w:p>
            <w:pPr>
              <w:pStyle w:val="TableParagraph"/>
              <w:spacing w:before="5"/>
              <w:rPr>
                <w:b/>
                <w:sz w:val="6"/>
              </w:rPr>
            </w:pPr>
          </w:p>
          <w:p>
            <w:pPr>
              <w:pStyle w:val="TableParagraph"/>
              <w:spacing w:line="115" w:lineRule="exact"/>
              <w:ind w:left="1024" w:right="-87"/>
              <w:rPr>
                <w:sz w:val="11"/>
              </w:rPr>
            </w:pPr>
            <w:r>
              <w:rPr>
                <w:position w:val="-1"/>
                <w:sz w:val="11"/>
              </w:rPr>
              <w:pict>
                <v:group style="width:.5pt;height:5.8pt;mso-position-horizontal-relative:char;mso-position-vertical-relative:line" id="docshapegroup103" coordorigin="0,0" coordsize="10,116">
                  <v:shape style="position:absolute;left:-1;top:0;width:10;height:116" id="docshape104" coordorigin="0,0" coordsize="10,116" path="m10,77l0,77,0,115,10,115,10,77xm10,0l0,0,0,38,10,38,10,0xe" filled="true" fillcolor="#000000" stroked="false">
                    <v:path arrowok="t"/>
                    <v:fill type="solid"/>
                  </v:shape>
                </v:group>
              </w:pict>
            </w:r>
            <w:r>
              <w:rPr>
                <w:position w:val="-1"/>
                <w:sz w:val="11"/>
              </w:rPr>
            </w:r>
          </w:p>
        </w:tc>
        <w:tc>
          <w:tcPr>
            <w:tcW w:w="1010" w:type="dxa"/>
            <w:tcBorders>
              <w:top w:val="dashSmallGap" w:sz="4" w:space="0" w:color="000000"/>
              <w:left w:val="nil"/>
              <w:bottom w:val="dashSmallGap" w:sz="4" w:space="0" w:color="000000"/>
              <w:right w:val="nil"/>
            </w:tcBorders>
          </w:tcPr>
          <w:p>
            <w:pPr>
              <w:pStyle w:val="TableParagraph"/>
              <w:spacing w:before="47"/>
              <w:ind w:right="89"/>
              <w:jc w:val="right"/>
              <w:rPr>
                <w:sz w:val="18"/>
              </w:rPr>
            </w:pPr>
            <w:r>
              <w:rPr>
                <w:spacing w:val="-5"/>
                <w:sz w:val="18"/>
              </w:rPr>
              <w:t>310</w:t>
            </w:r>
          </w:p>
        </w:tc>
        <w:tc>
          <w:tcPr>
            <w:tcW w:w="1012" w:type="dxa"/>
            <w:tcBorders>
              <w:top w:val="dashed" w:sz="4" w:space="0" w:color="000000"/>
              <w:left w:val="nil"/>
              <w:bottom w:val="dashed" w:sz="4" w:space="0" w:color="000000"/>
              <w:right w:val="nil"/>
            </w:tcBorders>
          </w:tcPr>
          <w:p>
            <w:pPr>
              <w:pStyle w:val="TableParagraph"/>
              <w:spacing w:before="5"/>
              <w:rPr>
                <w:b/>
                <w:sz w:val="6"/>
              </w:rPr>
            </w:pPr>
          </w:p>
          <w:p>
            <w:pPr>
              <w:pStyle w:val="TableParagraph"/>
              <w:tabs>
                <w:tab w:pos="1022" w:val="left" w:leader="none"/>
              </w:tabs>
              <w:spacing w:line="115" w:lineRule="exact"/>
              <w:ind w:left="9" w:right="-87"/>
              <w:rPr>
                <w:sz w:val="11"/>
              </w:rPr>
            </w:pPr>
            <w:r>
              <w:rPr>
                <w:position w:val="-1"/>
                <w:sz w:val="11"/>
              </w:rPr>
              <w:pict>
                <v:group style="width:.5pt;height:5.8pt;mso-position-horizontal-relative:char;mso-position-vertical-relative:line" id="docshapegroup105" coordorigin="0,0" coordsize="10,116">
                  <v:shape style="position:absolute;left:0;top:0;width:10;height:116" id="docshape106"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107" coordorigin="0,0" coordsize="10,116">
                  <v:shape style="position:absolute;left:0;top:0;width:10;height:116" id="docshape108" coordorigin="0,0" coordsize="10,116" path="m10,77l0,77,0,115,10,115,10,77xm10,0l0,0,0,38,10,38,10,0xe" filled="true" fillcolor="#000000" stroked="false">
                    <v:path arrowok="t"/>
                    <v:fill type="solid"/>
                  </v:shape>
                </v:group>
              </w:pict>
            </w:r>
            <w:r>
              <w:rPr>
                <w:position w:val="-1"/>
                <w:sz w:val="11"/>
              </w:rPr>
            </w:r>
          </w:p>
        </w:tc>
        <w:tc>
          <w:tcPr>
            <w:tcW w:w="1012" w:type="dxa"/>
            <w:tcBorders>
              <w:top w:val="dashSmallGap" w:sz="4" w:space="0" w:color="000000"/>
              <w:left w:val="nil"/>
              <w:bottom w:val="dashSmallGap" w:sz="4" w:space="0" w:color="000000"/>
              <w:right w:val="single" w:sz="12" w:space="0" w:color="000000"/>
            </w:tcBorders>
          </w:tcPr>
          <w:p>
            <w:pPr>
              <w:pStyle w:val="TableParagraph"/>
              <w:rPr>
                <w:rFonts w:ascii="Times New Roman"/>
                <w:sz w:val="18"/>
              </w:rPr>
            </w:pPr>
          </w:p>
        </w:tc>
        <w:tc>
          <w:tcPr>
            <w:tcW w:w="1252" w:type="dxa"/>
            <w:tcBorders>
              <w:top w:val="dashSmallGap" w:sz="4" w:space="0" w:color="000000"/>
              <w:left w:val="single" w:sz="12" w:space="0" w:color="000000"/>
              <w:bottom w:val="dashSmallGap" w:sz="4" w:space="0" w:color="000000"/>
              <w:right w:val="single" w:sz="12" w:space="0" w:color="000000"/>
            </w:tcBorders>
          </w:tcPr>
          <w:p>
            <w:pPr>
              <w:pStyle w:val="TableParagraph"/>
              <w:spacing w:before="47"/>
              <w:ind w:right="74"/>
              <w:jc w:val="right"/>
              <w:rPr>
                <w:sz w:val="18"/>
              </w:rPr>
            </w:pPr>
            <w:r>
              <w:rPr>
                <w:spacing w:val="-5"/>
                <w:sz w:val="18"/>
              </w:rPr>
              <w:t>320</w:t>
            </w:r>
          </w:p>
        </w:tc>
        <w:tc>
          <w:tcPr>
            <w:tcW w:w="1252" w:type="dxa"/>
            <w:tcBorders>
              <w:top w:val="dashSmallGap" w:sz="4" w:space="0" w:color="000000"/>
              <w:left w:val="single" w:sz="12" w:space="0" w:color="000000"/>
              <w:bottom w:val="dashSmallGap" w:sz="4" w:space="0" w:color="000000"/>
              <w:right w:val="single" w:sz="12" w:space="0" w:color="000000"/>
            </w:tcBorders>
          </w:tcPr>
          <w:p>
            <w:pPr>
              <w:pStyle w:val="TableParagraph"/>
              <w:spacing w:before="47"/>
              <w:ind w:right="73"/>
              <w:jc w:val="right"/>
              <w:rPr>
                <w:sz w:val="18"/>
              </w:rPr>
            </w:pPr>
            <w:r>
              <w:rPr>
                <w:spacing w:val="-5"/>
                <w:sz w:val="18"/>
              </w:rPr>
              <w:t>330</w:t>
            </w:r>
          </w:p>
        </w:tc>
        <w:tc>
          <w:tcPr>
            <w:tcW w:w="1365" w:type="dxa"/>
            <w:tcBorders>
              <w:top w:val="dashSmallGap" w:sz="4" w:space="0" w:color="000000"/>
              <w:left w:val="single" w:sz="12" w:space="0" w:color="000000"/>
              <w:bottom w:val="dashSmallGap" w:sz="4" w:space="0" w:color="000000"/>
              <w:right w:val="dashed" w:sz="12" w:space="0" w:color="000000"/>
            </w:tcBorders>
          </w:tcPr>
          <w:p>
            <w:pPr>
              <w:pStyle w:val="TableParagraph"/>
              <w:spacing w:before="47"/>
              <w:ind w:right="70"/>
              <w:jc w:val="right"/>
              <w:rPr>
                <w:sz w:val="18"/>
              </w:rPr>
            </w:pPr>
            <w:r>
              <w:rPr>
                <w:spacing w:val="-5"/>
                <w:sz w:val="18"/>
              </w:rPr>
              <w:t>330</w:t>
            </w:r>
          </w:p>
        </w:tc>
      </w:tr>
      <w:tr>
        <w:trPr>
          <w:trHeight w:val="299" w:hRule="atLeast"/>
        </w:trPr>
        <w:tc>
          <w:tcPr>
            <w:tcW w:w="4661" w:type="dxa"/>
            <w:tcBorders>
              <w:top w:val="dashSmallGap" w:sz="4" w:space="0" w:color="000000"/>
              <w:left w:val="single" w:sz="12" w:space="0" w:color="000000"/>
              <w:bottom w:val="dashSmallGap" w:sz="4" w:space="0" w:color="000000"/>
              <w:right w:val="single" w:sz="12" w:space="0" w:color="000000"/>
            </w:tcBorders>
          </w:tcPr>
          <w:p>
            <w:pPr>
              <w:pStyle w:val="TableParagraph"/>
              <w:spacing w:before="44"/>
              <w:ind w:left="107"/>
              <w:rPr>
                <w:sz w:val="18"/>
              </w:rPr>
            </w:pPr>
            <w:r>
              <w:rPr>
                <w:sz w:val="18"/>
              </w:rPr>
              <w:t>Community</w:t>
            </w:r>
            <w:r>
              <w:rPr>
                <w:spacing w:val="-4"/>
                <w:sz w:val="18"/>
              </w:rPr>
              <w:t> </w:t>
            </w:r>
            <w:r>
              <w:rPr>
                <w:sz w:val="18"/>
              </w:rPr>
              <w:t>Facilities</w:t>
            </w:r>
            <w:r>
              <w:rPr>
                <w:spacing w:val="-2"/>
                <w:sz w:val="18"/>
              </w:rPr>
              <w:t> </w:t>
            </w:r>
            <w:r>
              <w:rPr>
                <w:sz w:val="18"/>
              </w:rPr>
              <w:t>Major</w:t>
            </w:r>
            <w:r>
              <w:rPr>
                <w:spacing w:val="-2"/>
                <w:sz w:val="18"/>
              </w:rPr>
              <w:t> </w:t>
            </w:r>
            <w:r>
              <w:rPr>
                <w:sz w:val="18"/>
              </w:rPr>
              <w:t>Plant</w:t>
            </w:r>
            <w:r>
              <w:rPr>
                <w:spacing w:val="1"/>
                <w:sz w:val="18"/>
              </w:rPr>
              <w:t> </w:t>
            </w:r>
            <w:r>
              <w:rPr>
                <w:spacing w:val="-2"/>
                <w:sz w:val="18"/>
              </w:rPr>
              <w:t>Renewal</w:t>
            </w:r>
          </w:p>
        </w:tc>
        <w:tc>
          <w:tcPr>
            <w:tcW w:w="1253" w:type="dxa"/>
            <w:tcBorders>
              <w:top w:val="dashSmallGap" w:sz="4" w:space="0" w:color="000000"/>
              <w:left w:val="single" w:sz="12" w:space="0" w:color="000000"/>
              <w:bottom w:val="dashSmallGap" w:sz="4" w:space="0" w:color="000000"/>
              <w:right w:val="nil"/>
            </w:tcBorders>
          </w:tcPr>
          <w:p>
            <w:pPr>
              <w:pStyle w:val="TableParagraph"/>
              <w:spacing w:before="44"/>
              <w:ind w:right="76"/>
              <w:jc w:val="right"/>
              <w:rPr>
                <w:sz w:val="18"/>
              </w:rPr>
            </w:pPr>
            <w:r>
              <w:rPr>
                <w:spacing w:val="-5"/>
                <w:sz w:val="18"/>
              </w:rPr>
              <w:t>300</w:t>
            </w:r>
          </w:p>
        </w:tc>
        <w:tc>
          <w:tcPr>
            <w:tcW w:w="1013" w:type="dxa"/>
            <w:tcBorders>
              <w:top w:val="dashed" w:sz="4" w:space="0" w:color="000000"/>
              <w:left w:val="nil"/>
              <w:bottom w:val="dashSmallGap" w:sz="4" w:space="0" w:color="000000"/>
              <w:right w:val="nil"/>
            </w:tcBorders>
          </w:tcPr>
          <w:p>
            <w:pPr>
              <w:pStyle w:val="TableParagraph"/>
              <w:spacing w:before="44"/>
              <w:ind w:right="89"/>
              <w:jc w:val="right"/>
              <w:rPr>
                <w:sz w:val="18"/>
              </w:rPr>
            </w:pPr>
            <w:r>
              <w:rPr>
                <w:spacing w:val="-5"/>
                <w:sz w:val="18"/>
              </w:rPr>
              <w:t>300</w:t>
            </w:r>
          </w:p>
        </w:tc>
        <w:tc>
          <w:tcPr>
            <w:tcW w:w="1013" w:type="dxa"/>
            <w:tcBorders>
              <w:top w:val="dashSmallGap" w:sz="4" w:space="0" w:color="000000"/>
              <w:left w:val="nil"/>
              <w:bottom w:val="dashSmallGap" w:sz="4" w:space="0" w:color="000000"/>
              <w:right w:val="nil"/>
            </w:tcBorders>
          </w:tcPr>
          <w:p>
            <w:pPr>
              <w:pStyle w:val="TableParagraph"/>
              <w:rPr>
                <w:b/>
                <w:sz w:val="6"/>
              </w:rPr>
            </w:pPr>
          </w:p>
          <w:p>
            <w:pPr>
              <w:pStyle w:val="TableParagraph"/>
              <w:tabs>
                <w:tab w:pos="1021" w:val="left" w:leader="none"/>
              </w:tabs>
              <w:spacing w:line="192" w:lineRule="exact"/>
              <w:ind w:left="9" w:right="-87"/>
              <w:rPr>
                <w:sz w:val="19"/>
              </w:rPr>
            </w:pPr>
            <w:r>
              <w:rPr>
                <w:position w:val="-3"/>
                <w:sz w:val="19"/>
              </w:rPr>
              <w:pict>
                <v:group style="width:.5pt;height:9.6pt;mso-position-horizontal-relative:char;mso-position-vertical-relative:line" id="docshapegroup109" coordorigin="0,0" coordsize="10,192">
                  <v:shape style="position:absolute;left:0;top:0;width:10;height:192" id="docshape110" coordorigin="0,0" coordsize="10,192"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111" coordorigin="0,0" coordsize="10,192">
                  <v:shape style="position:absolute;left:0;top:0;width:10;height:192" id="docshape112" coordorigin="0,0" coordsize="10,192" path="m10,154l0,154,0,192,10,192,10,154xm10,77l0,77,0,115,10,115,10,77xm10,0l0,0,0,38,10,38,10,0xe" filled="true" fillcolor="#000000" stroked="false">
                    <v:path arrowok="t"/>
                    <v:fill type="solid"/>
                  </v:shape>
                </v:group>
              </w:pict>
            </w:r>
            <w:r>
              <w:rPr>
                <w:position w:val="-3"/>
                <w:sz w:val="19"/>
              </w:rPr>
            </w:r>
          </w:p>
        </w:tc>
        <w:tc>
          <w:tcPr>
            <w:tcW w:w="1015" w:type="dxa"/>
            <w:tcBorders>
              <w:top w:val="dashSmallGap" w:sz="4" w:space="0" w:color="000000"/>
              <w:left w:val="nil"/>
              <w:bottom w:val="dashSmallGap" w:sz="4" w:space="0" w:color="000000"/>
              <w:right w:val="nil"/>
            </w:tcBorders>
          </w:tcPr>
          <w:p>
            <w:pPr>
              <w:pStyle w:val="TableParagraph"/>
              <w:rPr>
                <w:b/>
                <w:sz w:val="6"/>
              </w:rPr>
            </w:pPr>
          </w:p>
          <w:p>
            <w:pPr>
              <w:pStyle w:val="TableParagraph"/>
              <w:spacing w:line="192" w:lineRule="exact"/>
              <w:ind w:left="1024" w:right="-87"/>
              <w:rPr>
                <w:sz w:val="19"/>
              </w:rPr>
            </w:pPr>
            <w:r>
              <w:rPr>
                <w:position w:val="-3"/>
                <w:sz w:val="19"/>
              </w:rPr>
              <w:pict>
                <v:group style="width:.5pt;height:9.6pt;mso-position-horizontal-relative:char;mso-position-vertical-relative:line" id="docshapegroup113" coordorigin="0,0" coordsize="10,192">
                  <v:shape style="position:absolute;left:-1;top:0;width:10;height:192" id="docshape114" coordorigin="0,0" coordsize="10,192" path="m10,154l0,154,0,192,10,192,10,154xm10,77l0,77,0,115,10,115,10,77xm10,0l0,0,0,38,10,38,10,0xe" filled="true" fillcolor="#000000" stroked="false">
                    <v:path arrowok="t"/>
                    <v:fill type="solid"/>
                  </v:shape>
                </v:group>
              </w:pict>
            </w:r>
            <w:r>
              <w:rPr>
                <w:position w:val="-3"/>
                <w:sz w:val="19"/>
              </w:rPr>
            </w:r>
          </w:p>
        </w:tc>
        <w:tc>
          <w:tcPr>
            <w:tcW w:w="1010" w:type="dxa"/>
            <w:tcBorders>
              <w:top w:val="dashSmallGap" w:sz="4" w:space="0" w:color="000000"/>
              <w:left w:val="nil"/>
              <w:bottom w:val="dashed" w:sz="4" w:space="0" w:color="000000"/>
              <w:right w:val="nil"/>
            </w:tcBorders>
          </w:tcPr>
          <w:p>
            <w:pPr>
              <w:pStyle w:val="TableParagraph"/>
              <w:spacing w:before="44"/>
              <w:ind w:right="89"/>
              <w:jc w:val="right"/>
              <w:rPr>
                <w:sz w:val="18"/>
              </w:rPr>
            </w:pPr>
            <w:r>
              <w:rPr>
                <w:spacing w:val="-5"/>
                <w:sz w:val="18"/>
              </w:rPr>
              <w:t>300</w:t>
            </w:r>
          </w:p>
        </w:tc>
        <w:tc>
          <w:tcPr>
            <w:tcW w:w="1012" w:type="dxa"/>
            <w:tcBorders>
              <w:top w:val="dashed" w:sz="4" w:space="0" w:color="000000"/>
              <w:left w:val="nil"/>
              <w:bottom w:val="dashed" w:sz="4" w:space="0" w:color="000000"/>
              <w:right w:val="nil"/>
            </w:tcBorders>
          </w:tcPr>
          <w:p>
            <w:pPr>
              <w:pStyle w:val="TableParagraph"/>
              <w:rPr>
                <w:b/>
                <w:sz w:val="6"/>
              </w:rPr>
            </w:pPr>
          </w:p>
          <w:p>
            <w:pPr>
              <w:pStyle w:val="TableParagraph"/>
              <w:tabs>
                <w:tab w:pos="1022" w:val="left" w:leader="none"/>
              </w:tabs>
              <w:spacing w:line="192" w:lineRule="exact"/>
              <w:ind w:left="9" w:right="-87"/>
              <w:rPr>
                <w:sz w:val="19"/>
              </w:rPr>
            </w:pPr>
            <w:r>
              <w:rPr>
                <w:position w:val="-3"/>
                <w:sz w:val="19"/>
              </w:rPr>
              <w:pict>
                <v:group style="width:.5pt;height:9.6pt;mso-position-horizontal-relative:char;mso-position-vertical-relative:line" id="docshapegroup115" coordorigin="0,0" coordsize="10,192">
                  <v:shape style="position:absolute;left:0;top:0;width:10;height:192" id="docshape116" coordorigin="0,0" coordsize="10,192"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117" coordorigin="0,0" coordsize="10,192">
                  <v:shape style="position:absolute;left:0;top:0;width:10;height:192" id="docshape118" coordorigin="0,0" coordsize="10,192" path="m10,154l0,154,0,192,10,192,10,154xm10,77l0,77,0,115,10,115,10,77xm10,0l0,0,0,38,10,38,10,0xe" filled="true" fillcolor="#000000" stroked="false">
                    <v:path arrowok="t"/>
                    <v:fill type="solid"/>
                  </v:shape>
                </v:group>
              </w:pict>
            </w:r>
            <w:r>
              <w:rPr>
                <w:position w:val="-3"/>
                <w:sz w:val="19"/>
              </w:rPr>
            </w:r>
          </w:p>
        </w:tc>
        <w:tc>
          <w:tcPr>
            <w:tcW w:w="1012" w:type="dxa"/>
            <w:tcBorders>
              <w:top w:val="dashSmallGap" w:sz="4" w:space="0" w:color="000000"/>
              <w:left w:val="nil"/>
              <w:bottom w:val="dashed" w:sz="4" w:space="0" w:color="000000"/>
              <w:right w:val="single" w:sz="12" w:space="0" w:color="000000"/>
            </w:tcBorders>
          </w:tcPr>
          <w:p>
            <w:pPr>
              <w:pStyle w:val="TableParagraph"/>
              <w:rPr>
                <w:rFonts w:ascii="Times New Roman"/>
                <w:sz w:val="18"/>
              </w:rPr>
            </w:pPr>
          </w:p>
        </w:tc>
        <w:tc>
          <w:tcPr>
            <w:tcW w:w="1252" w:type="dxa"/>
            <w:tcBorders>
              <w:top w:val="dashSmallGap" w:sz="4" w:space="0" w:color="000000"/>
              <w:left w:val="single" w:sz="12" w:space="0" w:color="000000"/>
              <w:bottom w:val="dashed" w:sz="4" w:space="0" w:color="000000"/>
              <w:right w:val="single" w:sz="12" w:space="0" w:color="000000"/>
            </w:tcBorders>
          </w:tcPr>
          <w:p>
            <w:pPr>
              <w:pStyle w:val="TableParagraph"/>
              <w:spacing w:before="44"/>
              <w:ind w:right="74"/>
              <w:jc w:val="right"/>
              <w:rPr>
                <w:sz w:val="18"/>
              </w:rPr>
            </w:pPr>
            <w:r>
              <w:rPr>
                <w:spacing w:val="-5"/>
                <w:sz w:val="18"/>
              </w:rPr>
              <w:t>340</w:t>
            </w:r>
          </w:p>
        </w:tc>
        <w:tc>
          <w:tcPr>
            <w:tcW w:w="1252" w:type="dxa"/>
            <w:tcBorders>
              <w:top w:val="dashSmallGap" w:sz="4" w:space="0" w:color="000000"/>
              <w:left w:val="single" w:sz="12" w:space="0" w:color="000000"/>
              <w:bottom w:val="dashed" w:sz="4" w:space="0" w:color="000000"/>
              <w:right w:val="single" w:sz="12" w:space="0" w:color="000000"/>
            </w:tcBorders>
          </w:tcPr>
          <w:p>
            <w:pPr>
              <w:pStyle w:val="TableParagraph"/>
              <w:spacing w:before="44"/>
              <w:ind w:right="73"/>
              <w:jc w:val="right"/>
              <w:rPr>
                <w:sz w:val="18"/>
              </w:rPr>
            </w:pPr>
            <w:r>
              <w:rPr>
                <w:spacing w:val="-5"/>
                <w:sz w:val="18"/>
              </w:rPr>
              <w:t>400</w:t>
            </w:r>
          </w:p>
        </w:tc>
        <w:tc>
          <w:tcPr>
            <w:tcW w:w="1365" w:type="dxa"/>
            <w:tcBorders>
              <w:top w:val="dashSmallGap" w:sz="4" w:space="0" w:color="000000"/>
              <w:left w:val="single" w:sz="12" w:space="0" w:color="000000"/>
              <w:bottom w:val="dashed" w:sz="4" w:space="0" w:color="000000"/>
              <w:right w:val="dashed" w:sz="12" w:space="0" w:color="000000"/>
            </w:tcBorders>
          </w:tcPr>
          <w:p>
            <w:pPr>
              <w:pStyle w:val="TableParagraph"/>
              <w:spacing w:before="44"/>
              <w:ind w:right="70"/>
              <w:jc w:val="right"/>
              <w:rPr>
                <w:sz w:val="18"/>
              </w:rPr>
            </w:pPr>
            <w:r>
              <w:rPr>
                <w:spacing w:val="-5"/>
                <w:sz w:val="18"/>
              </w:rPr>
              <w:t>400</w:t>
            </w:r>
          </w:p>
        </w:tc>
      </w:tr>
      <w:tr>
        <w:trPr>
          <w:trHeight w:val="299" w:hRule="atLeast"/>
        </w:trPr>
        <w:tc>
          <w:tcPr>
            <w:tcW w:w="4661" w:type="dxa"/>
            <w:tcBorders>
              <w:top w:val="dashSmallGap" w:sz="4" w:space="0" w:color="000000"/>
              <w:left w:val="single" w:sz="12" w:space="0" w:color="000000"/>
              <w:bottom w:val="dashSmallGap" w:sz="4" w:space="0" w:color="000000"/>
              <w:right w:val="single" w:sz="12" w:space="0" w:color="000000"/>
            </w:tcBorders>
          </w:tcPr>
          <w:p>
            <w:pPr>
              <w:pStyle w:val="TableParagraph"/>
              <w:spacing w:before="44"/>
              <w:ind w:left="107"/>
              <w:rPr>
                <w:sz w:val="18"/>
              </w:rPr>
            </w:pPr>
            <w:r>
              <w:rPr>
                <w:sz w:val="18"/>
              </w:rPr>
              <w:t>Community</w:t>
            </w:r>
            <w:r>
              <w:rPr>
                <w:spacing w:val="-3"/>
                <w:sz w:val="18"/>
              </w:rPr>
              <w:t> </w:t>
            </w:r>
            <w:r>
              <w:rPr>
                <w:sz w:val="18"/>
              </w:rPr>
              <w:t>Facilities</w:t>
            </w:r>
            <w:r>
              <w:rPr>
                <w:spacing w:val="-2"/>
                <w:sz w:val="18"/>
              </w:rPr>
              <w:t> </w:t>
            </w:r>
            <w:r>
              <w:rPr>
                <w:sz w:val="18"/>
              </w:rPr>
              <w:t>Replacement</w:t>
            </w:r>
            <w:r>
              <w:rPr>
                <w:spacing w:val="-2"/>
                <w:sz w:val="18"/>
              </w:rPr>
              <w:t> Program</w:t>
            </w:r>
          </w:p>
        </w:tc>
        <w:tc>
          <w:tcPr>
            <w:tcW w:w="1253" w:type="dxa"/>
            <w:tcBorders>
              <w:top w:val="dashSmallGap" w:sz="4" w:space="0" w:color="000000"/>
              <w:left w:val="single" w:sz="12" w:space="0" w:color="000000"/>
              <w:bottom w:val="dashSmallGap" w:sz="4" w:space="0" w:color="000000"/>
              <w:right w:val="nil"/>
            </w:tcBorders>
          </w:tcPr>
          <w:p>
            <w:pPr>
              <w:pStyle w:val="TableParagraph"/>
              <w:spacing w:before="44"/>
              <w:ind w:right="78"/>
              <w:jc w:val="right"/>
              <w:rPr>
                <w:sz w:val="18"/>
              </w:rPr>
            </w:pPr>
            <w:r>
              <w:rPr>
                <w:sz w:val="18"/>
              </w:rPr>
              <w:t>0</w:t>
            </w:r>
          </w:p>
        </w:tc>
        <w:tc>
          <w:tcPr>
            <w:tcW w:w="1013" w:type="dxa"/>
            <w:tcBorders>
              <w:top w:val="dashSmallGap" w:sz="4" w:space="0" w:color="000000"/>
              <w:left w:val="nil"/>
              <w:bottom w:val="dashSmallGap" w:sz="4" w:space="0" w:color="000000"/>
              <w:right w:val="nil"/>
            </w:tcBorders>
          </w:tcPr>
          <w:p>
            <w:pPr>
              <w:pStyle w:val="TableParagraph"/>
              <w:spacing w:before="44"/>
              <w:ind w:right="93"/>
              <w:jc w:val="right"/>
              <w:rPr>
                <w:sz w:val="18"/>
              </w:rPr>
            </w:pPr>
            <w:r>
              <w:rPr>
                <w:sz w:val="18"/>
              </w:rPr>
              <w:t>0</w:t>
            </w:r>
          </w:p>
        </w:tc>
        <w:tc>
          <w:tcPr>
            <w:tcW w:w="1013" w:type="dxa"/>
            <w:tcBorders>
              <w:top w:val="dashSmallGap" w:sz="4" w:space="0" w:color="000000"/>
              <w:left w:val="nil"/>
              <w:bottom w:val="dashSmallGap" w:sz="4" w:space="0" w:color="000000"/>
              <w:right w:val="nil"/>
            </w:tcBorders>
          </w:tcPr>
          <w:p>
            <w:pPr>
              <w:pStyle w:val="TableParagraph"/>
              <w:spacing w:before="9"/>
              <w:rPr>
                <w:b/>
                <w:sz w:val="5"/>
              </w:rPr>
            </w:pPr>
          </w:p>
          <w:p>
            <w:pPr>
              <w:pStyle w:val="TableParagraph"/>
              <w:tabs>
                <w:tab w:pos="1021" w:val="left" w:leader="none"/>
              </w:tabs>
              <w:spacing w:line="192" w:lineRule="exact"/>
              <w:ind w:left="9" w:right="-87"/>
              <w:rPr>
                <w:sz w:val="19"/>
              </w:rPr>
            </w:pPr>
            <w:r>
              <w:rPr>
                <w:position w:val="-3"/>
                <w:sz w:val="19"/>
              </w:rPr>
              <w:pict>
                <v:group style="width:.5pt;height:9.6pt;mso-position-horizontal-relative:char;mso-position-vertical-relative:line" id="docshapegroup119" coordorigin="0,0" coordsize="10,192">
                  <v:shape style="position:absolute;left:0;top:0;width:10;height:193" id="docshape120" coordorigin="0,0" coordsize="10,193"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121" coordorigin="0,0" coordsize="10,192">
                  <v:shape style="position:absolute;left:0;top:0;width:10;height:193" id="docshape122" coordorigin="0,0" coordsize="10,193" path="m10,154l0,154,0,192,10,192,10,154xm10,77l0,77,0,115,10,115,10,77xm10,0l0,0,0,38,10,38,10,0xe" filled="true" fillcolor="#000000" stroked="false">
                    <v:path arrowok="t"/>
                    <v:fill type="solid"/>
                  </v:shape>
                </v:group>
              </w:pict>
            </w:r>
            <w:r>
              <w:rPr>
                <w:position w:val="-3"/>
                <w:sz w:val="19"/>
              </w:rPr>
            </w:r>
          </w:p>
        </w:tc>
        <w:tc>
          <w:tcPr>
            <w:tcW w:w="1015" w:type="dxa"/>
            <w:tcBorders>
              <w:top w:val="dashSmallGap" w:sz="4" w:space="0" w:color="000000"/>
              <w:left w:val="nil"/>
              <w:bottom w:val="dashSmallGap" w:sz="4" w:space="0" w:color="000000"/>
              <w:right w:val="nil"/>
            </w:tcBorders>
          </w:tcPr>
          <w:p>
            <w:pPr>
              <w:pStyle w:val="TableParagraph"/>
              <w:spacing w:before="9"/>
              <w:rPr>
                <w:b/>
                <w:sz w:val="5"/>
              </w:rPr>
            </w:pPr>
          </w:p>
          <w:p>
            <w:pPr>
              <w:pStyle w:val="TableParagraph"/>
              <w:spacing w:line="192" w:lineRule="exact"/>
              <w:ind w:left="1024" w:right="-87"/>
              <w:rPr>
                <w:sz w:val="19"/>
              </w:rPr>
            </w:pPr>
            <w:r>
              <w:rPr>
                <w:position w:val="-3"/>
                <w:sz w:val="19"/>
              </w:rPr>
              <w:pict>
                <v:group style="width:.5pt;height:9.6pt;mso-position-horizontal-relative:char;mso-position-vertical-relative:line" id="docshapegroup123" coordorigin="0,0" coordsize="10,192">
                  <v:shape style="position:absolute;left:-1;top:0;width:10;height:193" id="docshape124" coordorigin="0,0" coordsize="10,193" path="m10,154l0,154,0,192,10,192,10,154xm10,77l0,77,0,115,10,115,10,77xm10,0l0,0,0,38,10,38,10,0xe" filled="true" fillcolor="#000000" stroked="false">
                    <v:path arrowok="t"/>
                    <v:fill type="solid"/>
                  </v:shape>
                </v:group>
              </w:pict>
            </w:r>
            <w:r>
              <w:rPr>
                <w:position w:val="-3"/>
                <w:sz w:val="19"/>
              </w:rPr>
            </w:r>
          </w:p>
        </w:tc>
        <w:tc>
          <w:tcPr>
            <w:tcW w:w="1010" w:type="dxa"/>
            <w:tcBorders>
              <w:top w:val="dashed" w:sz="4" w:space="0" w:color="000000"/>
              <w:left w:val="nil"/>
              <w:bottom w:val="dashed" w:sz="4" w:space="0" w:color="000000"/>
              <w:right w:val="nil"/>
            </w:tcBorders>
          </w:tcPr>
          <w:p>
            <w:pPr>
              <w:pStyle w:val="TableParagraph"/>
              <w:spacing w:before="44"/>
              <w:ind w:right="90"/>
              <w:jc w:val="right"/>
              <w:rPr>
                <w:sz w:val="18"/>
              </w:rPr>
            </w:pPr>
            <w:r>
              <w:rPr>
                <w:sz w:val="18"/>
              </w:rPr>
              <w:t>0</w:t>
            </w:r>
          </w:p>
        </w:tc>
        <w:tc>
          <w:tcPr>
            <w:tcW w:w="1012" w:type="dxa"/>
            <w:tcBorders>
              <w:top w:val="dashed" w:sz="4" w:space="0" w:color="000000"/>
              <w:left w:val="nil"/>
              <w:bottom w:val="dashed" w:sz="4" w:space="0" w:color="000000"/>
              <w:right w:val="nil"/>
            </w:tcBorders>
          </w:tcPr>
          <w:p>
            <w:pPr>
              <w:pStyle w:val="TableParagraph"/>
              <w:spacing w:before="44"/>
              <w:ind w:right="91"/>
              <w:jc w:val="right"/>
              <w:rPr>
                <w:sz w:val="18"/>
              </w:rPr>
            </w:pPr>
            <w:r>
              <w:rPr>
                <w:sz w:val="18"/>
              </w:rPr>
              <w:t>0</w:t>
            </w:r>
          </w:p>
        </w:tc>
        <w:tc>
          <w:tcPr>
            <w:tcW w:w="1012" w:type="dxa"/>
            <w:tcBorders>
              <w:top w:val="dashed" w:sz="4" w:space="0" w:color="000000"/>
              <w:left w:val="nil"/>
              <w:bottom w:val="dashed" w:sz="4" w:space="0" w:color="000000"/>
              <w:right w:val="single" w:sz="12" w:space="0" w:color="000000"/>
            </w:tcBorders>
          </w:tcPr>
          <w:p>
            <w:pPr>
              <w:pStyle w:val="TableParagraph"/>
              <w:spacing w:before="9"/>
              <w:rPr>
                <w:b/>
                <w:sz w:val="5"/>
              </w:rPr>
            </w:pPr>
          </w:p>
          <w:p>
            <w:pPr>
              <w:pStyle w:val="TableParagraph"/>
              <w:spacing w:line="192" w:lineRule="exact"/>
              <w:ind w:left="-5"/>
              <w:rPr>
                <w:sz w:val="19"/>
              </w:rPr>
            </w:pPr>
            <w:r>
              <w:rPr>
                <w:position w:val="-3"/>
                <w:sz w:val="19"/>
              </w:rPr>
              <w:pict>
                <v:group style="width:.5pt;height:9.6pt;mso-position-horizontal-relative:char;mso-position-vertical-relative:line" id="docshapegroup125" coordorigin="0,0" coordsize="10,192">
                  <v:shape style="position:absolute;left:0;top:0;width:10;height:193" id="docshape126" coordorigin="0,0" coordsize="10,193" path="m10,154l0,154,0,192,10,192,10,154xm10,77l0,77,0,115,10,115,10,77xm10,0l0,0,0,38,10,38,10,0xe" filled="true" fillcolor="#000000" stroked="false">
                    <v:path arrowok="t"/>
                    <v:fill type="solid"/>
                  </v:shape>
                </v:group>
              </w:pict>
            </w:r>
            <w:r>
              <w:rPr>
                <w:position w:val="-3"/>
                <w:sz w:val="19"/>
              </w:rPr>
            </w:r>
          </w:p>
        </w:tc>
        <w:tc>
          <w:tcPr>
            <w:tcW w:w="1252" w:type="dxa"/>
            <w:tcBorders>
              <w:top w:val="dashed" w:sz="4" w:space="0" w:color="000000"/>
              <w:left w:val="single" w:sz="12" w:space="0" w:color="000000"/>
              <w:bottom w:val="dashed" w:sz="4" w:space="0" w:color="000000"/>
              <w:right w:val="single" w:sz="12" w:space="0" w:color="000000"/>
            </w:tcBorders>
          </w:tcPr>
          <w:p>
            <w:pPr>
              <w:pStyle w:val="TableParagraph"/>
              <w:spacing w:before="44"/>
              <w:ind w:right="75"/>
              <w:jc w:val="right"/>
              <w:rPr>
                <w:sz w:val="18"/>
              </w:rPr>
            </w:pPr>
            <w:r>
              <w:rPr>
                <w:sz w:val="18"/>
              </w:rPr>
              <w:t>0</w:t>
            </w:r>
          </w:p>
        </w:tc>
        <w:tc>
          <w:tcPr>
            <w:tcW w:w="1252" w:type="dxa"/>
            <w:tcBorders>
              <w:top w:val="dashed" w:sz="4" w:space="0" w:color="000000"/>
              <w:left w:val="single" w:sz="12" w:space="0" w:color="000000"/>
              <w:bottom w:val="dashed" w:sz="4" w:space="0" w:color="000000"/>
              <w:right w:val="single" w:sz="12" w:space="0" w:color="000000"/>
            </w:tcBorders>
          </w:tcPr>
          <w:p>
            <w:pPr>
              <w:pStyle w:val="TableParagraph"/>
              <w:spacing w:before="44"/>
              <w:ind w:right="71"/>
              <w:jc w:val="right"/>
              <w:rPr>
                <w:sz w:val="18"/>
              </w:rPr>
            </w:pPr>
            <w:r>
              <w:rPr>
                <w:spacing w:val="-2"/>
                <w:sz w:val="18"/>
              </w:rPr>
              <w:t>1,200</w:t>
            </w:r>
          </w:p>
        </w:tc>
        <w:tc>
          <w:tcPr>
            <w:tcW w:w="1365" w:type="dxa"/>
            <w:tcBorders>
              <w:top w:val="dashed" w:sz="4" w:space="0" w:color="000000"/>
              <w:left w:val="single" w:sz="12" w:space="0" w:color="000000"/>
              <w:bottom w:val="dashed" w:sz="4" w:space="0" w:color="000000"/>
              <w:right w:val="dashed" w:sz="12" w:space="0" w:color="000000"/>
            </w:tcBorders>
          </w:tcPr>
          <w:p>
            <w:pPr>
              <w:pStyle w:val="TableParagraph"/>
              <w:spacing w:before="44"/>
              <w:ind w:right="71"/>
              <w:jc w:val="right"/>
              <w:rPr>
                <w:sz w:val="18"/>
              </w:rPr>
            </w:pPr>
            <w:r>
              <w:rPr>
                <w:sz w:val="18"/>
              </w:rPr>
              <w:t>0</w:t>
            </w:r>
          </w:p>
        </w:tc>
      </w:tr>
      <w:tr>
        <w:trPr>
          <w:trHeight w:val="299" w:hRule="atLeast"/>
        </w:trPr>
        <w:tc>
          <w:tcPr>
            <w:tcW w:w="4661" w:type="dxa"/>
            <w:tcBorders>
              <w:top w:val="dashSmallGap" w:sz="4" w:space="0" w:color="000000"/>
              <w:left w:val="single" w:sz="12" w:space="0" w:color="000000"/>
              <w:bottom w:val="dashSmallGap" w:sz="4" w:space="0" w:color="000000"/>
              <w:right w:val="single" w:sz="12" w:space="0" w:color="000000"/>
            </w:tcBorders>
          </w:tcPr>
          <w:p>
            <w:pPr>
              <w:pStyle w:val="TableParagraph"/>
              <w:spacing w:before="47"/>
              <w:ind w:left="107"/>
              <w:rPr>
                <w:sz w:val="18"/>
              </w:rPr>
            </w:pPr>
            <w:r>
              <w:rPr>
                <w:sz w:val="18"/>
              </w:rPr>
              <w:t>Carbon</w:t>
            </w:r>
            <w:r>
              <w:rPr>
                <w:spacing w:val="-1"/>
                <w:sz w:val="18"/>
              </w:rPr>
              <w:t> </w:t>
            </w:r>
            <w:r>
              <w:rPr>
                <w:sz w:val="18"/>
              </w:rPr>
              <w:t>Neutral-Energy</w:t>
            </w:r>
            <w:r>
              <w:rPr>
                <w:spacing w:val="-3"/>
                <w:sz w:val="18"/>
              </w:rPr>
              <w:t> </w:t>
            </w:r>
            <w:r>
              <w:rPr>
                <w:sz w:val="18"/>
              </w:rPr>
              <w:t>Revolving </w:t>
            </w:r>
            <w:r>
              <w:rPr>
                <w:spacing w:val="-4"/>
                <w:sz w:val="18"/>
              </w:rPr>
              <w:t>Fund</w:t>
            </w:r>
          </w:p>
        </w:tc>
        <w:tc>
          <w:tcPr>
            <w:tcW w:w="1253" w:type="dxa"/>
            <w:tcBorders>
              <w:top w:val="dashSmallGap" w:sz="4" w:space="0" w:color="000000"/>
              <w:left w:val="single" w:sz="12" w:space="0" w:color="000000"/>
              <w:bottom w:val="dashSmallGap" w:sz="4" w:space="0" w:color="000000"/>
              <w:right w:val="nil"/>
            </w:tcBorders>
          </w:tcPr>
          <w:p>
            <w:pPr>
              <w:pStyle w:val="TableParagraph"/>
              <w:spacing w:before="47"/>
              <w:ind w:right="74"/>
              <w:jc w:val="right"/>
              <w:rPr>
                <w:sz w:val="18"/>
              </w:rPr>
            </w:pPr>
            <w:r>
              <w:rPr>
                <w:spacing w:val="-5"/>
                <w:sz w:val="18"/>
              </w:rPr>
              <w:t>500</w:t>
            </w:r>
          </w:p>
        </w:tc>
        <w:tc>
          <w:tcPr>
            <w:tcW w:w="1013" w:type="dxa"/>
            <w:tcBorders>
              <w:top w:val="dashSmallGap" w:sz="4" w:space="0" w:color="000000"/>
              <w:left w:val="nil"/>
              <w:bottom w:val="dashSmallGap" w:sz="4" w:space="0" w:color="000000"/>
              <w:right w:val="nil"/>
            </w:tcBorders>
          </w:tcPr>
          <w:p>
            <w:pPr>
              <w:pStyle w:val="TableParagraph"/>
              <w:spacing w:before="47"/>
              <w:ind w:right="90"/>
              <w:jc w:val="right"/>
              <w:rPr>
                <w:sz w:val="18"/>
              </w:rPr>
            </w:pPr>
            <w:r>
              <w:rPr>
                <w:spacing w:val="-5"/>
                <w:sz w:val="18"/>
              </w:rPr>
              <w:t>500</w:t>
            </w:r>
          </w:p>
        </w:tc>
        <w:tc>
          <w:tcPr>
            <w:tcW w:w="1013" w:type="dxa"/>
            <w:tcBorders>
              <w:top w:val="dashSmallGap" w:sz="4" w:space="0" w:color="000000"/>
              <w:left w:val="nil"/>
              <w:bottom w:val="dashSmallGap" w:sz="4" w:space="0" w:color="000000"/>
              <w:right w:val="nil"/>
            </w:tcBorders>
          </w:tcPr>
          <w:p>
            <w:pPr>
              <w:pStyle w:val="TableParagraph"/>
              <w:spacing w:before="7"/>
              <w:rPr>
                <w:b/>
                <w:sz w:val="5"/>
              </w:rPr>
            </w:pPr>
          </w:p>
          <w:p>
            <w:pPr>
              <w:pStyle w:val="TableParagraph"/>
              <w:tabs>
                <w:tab w:pos="1021" w:val="left" w:leader="none"/>
              </w:tabs>
              <w:spacing w:line="192" w:lineRule="exact"/>
              <w:ind w:left="9" w:right="-87"/>
              <w:rPr>
                <w:sz w:val="19"/>
              </w:rPr>
            </w:pPr>
            <w:r>
              <w:rPr>
                <w:position w:val="-3"/>
                <w:sz w:val="19"/>
              </w:rPr>
              <w:pict>
                <v:group style="width:.5pt;height:9.6pt;mso-position-horizontal-relative:char;mso-position-vertical-relative:line" id="docshapegroup127" coordorigin="0,0" coordsize="10,192">
                  <v:shape style="position:absolute;left:0;top:0;width:10;height:192" id="docshape128" coordorigin="0,0" coordsize="10,192"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129" coordorigin="0,0" coordsize="10,192">
                  <v:shape style="position:absolute;left:0;top:0;width:10;height:192" id="docshape130" coordorigin="0,0" coordsize="10,192" path="m10,154l0,154,0,192,10,192,10,154xm10,77l0,77,0,115,10,115,10,77xm10,0l0,0,0,38,10,38,10,0xe" filled="true" fillcolor="#000000" stroked="false">
                    <v:path arrowok="t"/>
                    <v:fill type="solid"/>
                  </v:shape>
                </v:group>
              </w:pict>
            </w:r>
            <w:r>
              <w:rPr>
                <w:position w:val="-3"/>
                <w:sz w:val="19"/>
              </w:rPr>
            </w:r>
          </w:p>
        </w:tc>
        <w:tc>
          <w:tcPr>
            <w:tcW w:w="1015" w:type="dxa"/>
            <w:tcBorders>
              <w:top w:val="dashSmallGap" w:sz="4" w:space="0" w:color="000000"/>
              <w:left w:val="nil"/>
              <w:bottom w:val="dashSmallGap" w:sz="4" w:space="0" w:color="000000"/>
              <w:right w:val="nil"/>
            </w:tcBorders>
          </w:tcPr>
          <w:p>
            <w:pPr>
              <w:pStyle w:val="TableParagraph"/>
              <w:spacing w:before="7"/>
              <w:rPr>
                <w:b/>
                <w:sz w:val="5"/>
              </w:rPr>
            </w:pPr>
          </w:p>
          <w:p>
            <w:pPr>
              <w:pStyle w:val="TableParagraph"/>
              <w:spacing w:line="192" w:lineRule="exact"/>
              <w:ind w:left="1024" w:right="-87"/>
              <w:rPr>
                <w:sz w:val="19"/>
              </w:rPr>
            </w:pPr>
            <w:r>
              <w:rPr>
                <w:position w:val="-3"/>
                <w:sz w:val="19"/>
              </w:rPr>
              <w:pict>
                <v:group style="width:.5pt;height:9.6pt;mso-position-horizontal-relative:char;mso-position-vertical-relative:line" id="docshapegroup131" coordorigin="0,0" coordsize="10,192">
                  <v:shape style="position:absolute;left:-1;top:0;width:10;height:192" id="docshape132" coordorigin="0,0" coordsize="10,192" path="m10,154l0,154,0,192,10,192,10,154xm10,77l0,77,0,115,10,115,10,77xm10,0l0,0,0,38,10,38,10,0xe" filled="true" fillcolor="#000000" stroked="false">
                    <v:path arrowok="t"/>
                    <v:fill type="solid"/>
                  </v:shape>
                </v:group>
              </w:pict>
            </w:r>
            <w:r>
              <w:rPr>
                <w:position w:val="-3"/>
                <w:sz w:val="19"/>
              </w:rPr>
            </w:r>
          </w:p>
        </w:tc>
        <w:tc>
          <w:tcPr>
            <w:tcW w:w="1010" w:type="dxa"/>
            <w:tcBorders>
              <w:top w:val="dashed" w:sz="4" w:space="0" w:color="000000"/>
              <w:left w:val="nil"/>
              <w:bottom w:val="dashed" w:sz="4" w:space="0" w:color="000000"/>
              <w:right w:val="nil"/>
            </w:tcBorders>
          </w:tcPr>
          <w:p>
            <w:pPr>
              <w:pStyle w:val="TableParagraph"/>
              <w:spacing w:before="7"/>
              <w:rPr>
                <w:b/>
                <w:sz w:val="5"/>
              </w:rPr>
            </w:pPr>
          </w:p>
          <w:p>
            <w:pPr>
              <w:pStyle w:val="TableParagraph"/>
              <w:spacing w:line="192" w:lineRule="exact"/>
              <w:ind w:left="1019" w:right="-87"/>
              <w:rPr>
                <w:sz w:val="19"/>
              </w:rPr>
            </w:pPr>
            <w:r>
              <w:rPr>
                <w:position w:val="-3"/>
                <w:sz w:val="19"/>
              </w:rPr>
              <w:pict>
                <v:group style="width:.5pt;height:9.6pt;mso-position-horizontal-relative:char;mso-position-vertical-relative:line" id="docshapegroup133" coordorigin="0,0" coordsize="10,192">
                  <v:shape style="position:absolute;left:0;top:0;width:10;height:192" id="docshape134" coordorigin="0,0" coordsize="10,192" path="m10,154l0,154,0,192,10,192,10,154xm10,77l0,77,0,115,10,115,10,77xm10,0l0,0,0,38,10,38,10,0xe" filled="true" fillcolor="#000000" stroked="false">
                    <v:path arrowok="t"/>
                    <v:fill type="solid"/>
                  </v:shape>
                </v:group>
              </w:pict>
            </w:r>
            <w:r>
              <w:rPr>
                <w:position w:val="-3"/>
                <w:sz w:val="19"/>
              </w:rPr>
            </w:r>
          </w:p>
        </w:tc>
        <w:tc>
          <w:tcPr>
            <w:tcW w:w="1012" w:type="dxa"/>
            <w:tcBorders>
              <w:top w:val="dashed" w:sz="4" w:space="0" w:color="000000"/>
              <w:left w:val="nil"/>
              <w:bottom w:val="dashed" w:sz="4" w:space="0" w:color="000000"/>
              <w:right w:val="nil"/>
            </w:tcBorders>
          </w:tcPr>
          <w:p>
            <w:pPr>
              <w:pStyle w:val="TableParagraph"/>
              <w:spacing w:before="47"/>
              <w:ind w:right="90"/>
              <w:jc w:val="right"/>
              <w:rPr>
                <w:sz w:val="18"/>
              </w:rPr>
            </w:pPr>
            <w:r>
              <w:rPr>
                <w:spacing w:val="-5"/>
                <w:sz w:val="18"/>
              </w:rPr>
              <w:t>500</w:t>
            </w:r>
          </w:p>
        </w:tc>
        <w:tc>
          <w:tcPr>
            <w:tcW w:w="1012" w:type="dxa"/>
            <w:tcBorders>
              <w:top w:val="dashed" w:sz="4" w:space="0" w:color="000000"/>
              <w:left w:val="nil"/>
              <w:bottom w:val="dashed" w:sz="4" w:space="0" w:color="000000"/>
              <w:right w:val="single" w:sz="12" w:space="0" w:color="000000"/>
            </w:tcBorders>
          </w:tcPr>
          <w:p>
            <w:pPr>
              <w:pStyle w:val="TableParagraph"/>
              <w:spacing w:before="7"/>
              <w:rPr>
                <w:b/>
                <w:sz w:val="5"/>
              </w:rPr>
            </w:pPr>
          </w:p>
          <w:p>
            <w:pPr>
              <w:pStyle w:val="TableParagraph"/>
              <w:spacing w:line="192" w:lineRule="exact"/>
              <w:ind w:left="-5"/>
              <w:rPr>
                <w:sz w:val="19"/>
              </w:rPr>
            </w:pPr>
            <w:r>
              <w:rPr>
                <w:position w:val="-3"/>
                <w:sz w:val="19"/>
              </w:rPr>
              <w:pict>
                <v:group style="width:.5pt;height:9.6pt;mso-position-horizontal-relative:char;mso-position-vertical-relative:line" id="docshapegroup135" coordorigin="0,0" coordsize="10,192">
                  <v:shape style="position:absolute;left:0;top:0;width:10;height:192" id="docshape136" coordorigin="0,0" coordsize="10,192" path="m10,154l0,154,0,192,10,192,10,154xm10,77l0,77,0,115,10,115,10,77xm10,0l0,0,0,38,10,38,10,0xe" filled="true" fillcolor="#000000" stroked="false">
                    <v:path arrowok="t"/>
                    <v:fill type="solid"/>
                  </v:shape>
                </v:group>
              </w:pict>
            </w:r>
            <w:r>
              <w:rPr>
                <w:position w:val="-3"/>
                <w:sz w:val="19"/>
              </w:rPr>
            </w:r>
          </w:p>
        </w:tc>
        <w:tc>
          <w:tcPr>
            <w:tcW w:w="1252"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4"/>
              <w:jc w:val="right"/>
              <w:rPr>
                <w:sz w:val="18"/>
              </w:rPr>
            </w:pPr>
            <w:r>
              <w:rPr>
                <w:spacing w:val="-5"/>
                <w:sz w:val="18"/>
              </w:rPr>
              <w:t>550</w:t>
            </w:r>
          </w:p>
        </w:tc>
        <w:tc>
          <w:tcPr>
            <w:tcW w:w="1252"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3"/>
              <w:jc w:val="right"/>
              <w:rPr>
                <w:sz w:val="18"/>
              </w:rPr>
            </w:pPr>
            <w:r>
              <w:rPr>
                <w:spacing w:val="-5"/>
                <w:sz w:val="18"/>
              </w:rPr>
              <w:t>550</w:t>
            </w:r>
          </w:p>
        </w:tc>
        <w:tc>
          <w:tcPr>
            <w:tcW w:w="1365" w:type="dxa"/>
            <w:tcBorders>
              <w:top w:val="dashed" w:sz="4" w:space="0" w:color="000000"/>
              <w:left w:val="single" w:sz="12" w:space="0" w:color="000000"/>
              <w:bottom w:val="dashed" w:sz="4" w:space="0" w:color="000000"/>
              <w:right w:val="dashed" w:sz="12" w:space="0" w:color="000000"/>
            </w:tcBorders>
          </w:tcPr>
          <w:p>
            <w:pPr>
              <w:pStyle w:val="TableParagraph"/>
              <w:spacing w:before="47"/>
              <w:ind w:right="70"/>
              <w:jc w:val="right"/>
              <w:rPr>
                <w:sz w:val="18"/>
              </w:rPr>
            </w:pPr>
            <w:r>
              <w:rPr>
                <w:spacing w:val="-5"/>
                <w:sz w:val="18"/>
              </w:rPr>
              <w:t>550</w:t>
            </w:r>
          </w:p>
        </w:tc>
      </w:tr>
      <w:tr>
        <w:trPr>
          <w:trHeight w:val="299" w:hRule="atLeast"/>
        </w:trPr>
        <w:tc>
          <w:tcPr>
            <w:tcW w:w="4661" w:type="dxa"/>
            <w:tcBorders>
              <w:top w:val="dashSmallGap" w:sz="4" w:space="0" w:color="000000"/>
              <w:left w:val="single" w:sz="12" w:space="0" w:color="000000"/>
              <w:bottom w:val="dashSmallGap" w:sz="4" w:space="0" w:color="000000"/>
              <w:right w:val="single" w:sz="12" w:space="0" w:color="000000"/>
            </w:tcBorders>
          </w:tcPr>
          <w:p>
            <w:pPr>
              <w:pStyle w:val="TableParagraph"/>
              <w:spacing w:before="47"/>
              <w:ind w:left="107"/>
              <w:rPr>
                <w:sz w:val="18"/>
              </w:rPr>
            </w:pPr>
            <w:r>
              <w:rPr>
                <w:sz w:val="18"/>
              </w:rPr>
              <w:t>Community</w:t>
            </w:r>
            <w:r>
              <w:rPr>
                <w:spacing w:val="-3"/>
                <w:sz w:val="18"/>
              </w:rPr>
              <w:t> </w:t>
            </w:r>
            <w:r>
              <w:rPr>
                <w:sz w:val="18"/>
              </w:rPr>
              <w:t>Facilities</w:t>
            </w:r>
            <w:r>
              <w:rPr>
                <w:spacing w:val="-2"/>
                <w:sz w:val="18"/>
              </w:rPr>
              <w:t> </w:t>
            </w:r>
            <w:r>
              <w:rPr>
                <w:sz w:val="18"/>
              </w:rPr>
              <w:t>Improvement</w:t>
            </w:r>
            <w:r>
              <w:rPr>
                <w:spacing w:val="-1"/>
                <w:sz w:val="18"/>
              </w:rPr>
              <w:t> </w:t>
            </w:r>
            <w:r>
              <w:rPr>
                <w:spacing w:val="-2"/>
                <w:sz w:val="18"/>
              </w:rPr>
              <w:t>Program</w:t>
            </w:r>
          </w:p>
        </w:tc>
        <w:tc>
          <w:tcPr>
            <w:tcW w:w="1253" w:type="dxa"/>
            <w:tcBorders>
              <w:top w:val="dashSmallGap" w:sz="4" w:space="0" w:color="000000"/>
              <w:left w:val="single" w:sz="12" w:space="0" w:color="000000"/>
              <w:bottom w:val="dashSmallGap" w:sz="4" w:space="0" w:color="000000"/>
              <w:right w:val="nil"/>
            </w:tcBorders>
          </w:tcPr>
          <w:p>
            <w:pPr>
              <w:pStyle w:val="TableParagraph"/>
              <w:spacing w:before="47"/>
              <w:ind w:right="76"/>
              <w:jc w:val="right"/>
              <w:rPr>
                <w:sz w:val="18"/>
              </w:rPr>
            </w:pPr>
            <w:r>
              <w:rPr>
                <w:spacing w:val="-2"/>
                <w:sz w:val="18"/>
              </w:rPr>
              <w:t>4,407</w:t>
            </w:r>
          </w:p>
        </w:tc>
        <w:tc>
          <w:tcPr>
            <w:tcW w:w="1013" w:type="dxa"/>
            <w:tcBorders>
              <w:top w:val="dashSmallGap" w:sz="4" w:space="0" w:color="000000"/>
              <w:left w:val="nil"/>
              <w:bottom w:val="dashSmallGap" w:sz="4" w:space="0" w:color="000000"/>
              <w:right w:val="nil"/>
            </w:tcBorders>
          </w:tcPr>
          <w:p>
            <w:pPr>
              <w:pStyle w:val="TableParagraph"/>
              <w:spacing w:before="47"/>
              <w:ind w:right="90"/>
              <w:jc w:val="right"/>
              <w:rPr>
                <w:sz w:val="18"/>
              </w:rPr>
            </w:pPr>
            <w:r>
              <w:rPr>
                <w:spacing w:val="-2"/>
                <w:sz w:val="18"/>
              </w:rPr>
              <w:t>4,407</w:t>
            </w:r>
          </w:p>
        </w:tc>
        <w:tc>
          <w:tcPr>
            <w:tcW w:w="1013" w:type="dxa"/>
            <w:tcBorders>
              <w:top w:val="dashSmallGap" w:sz="4" w:space="0" w:color="000000"/>
              <w:left w:val="nil"/>
              <w:bottom w:val="dashSmallGap" w:sz="4" w:space="0" w:color="000000"/>
              <w:right w:val="nil"/>
            </w:tcBorders>
          </w:tcPr>
          <w:p>
            <w:pPr>
              <w:pStyle w:val="TableParagraph"/>
              <w:spacing w:before="4"/>
              <w:rPr>
                <w:b/>
                <w:sz w:val="5"/>
              </w:rPr>
            </w:pPr>
          </w:p>
          <w:p>
            <w:pPr>
              <w:pStyle w:val="TableParagraph"/>
              <w:tabs>
                <w:tab w:pos="1021" w:val="left" w:leader="none"/>
              </w:tabs>
              <w:spacing w:line="192" w:lineRule="exact"/>
              <w:ind w:left="9" w:right="-87"/>
              <w:rPr>
                <w:sz w:val="19"/>
              </w:rPr>
            </w:pPr>
            <w:r>
              <w:rPr>
                <w:position w:val="-3"/>
                <w:sz w:val="19"/>
              </w:rPr>
              <w:pict>
                <v:group style="width:.5pt;height:9.6pt;mso-position-horizontal-relative:char;mso-position-vertical-relative:line" id="docshapegroup137" coordorigin="0,0" coordsize="10,192">
                  <v:shape style="position:absolute;left:0;top:0;width:10;height:192" id="docshape138" coordorigin="0,0" coordsize="10,192"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139" coordorigin="0,0" coordsize="10,192">
                  <v:shape style="position:absolute;left:0;top:0;width:10;height:192" id="docshape140" coordorigin="0,0" coordsize="10,192" path="m10,154l0,154,0,192,10,192,10,154xm10,77l0,77,0,115,10,115,10,77xm10,0l0,0,0,38,10,38,10,0xe" filled="true" fillcolor="#000000" stroked="false">
                    <v:path arrowok="t"/>
                    <v:fill type="solid"/>
                  </v:shape>
                </v:group>
              </w:pict>
            </w:r>
            <w:r>
              <w:rPr>
                <w:position w:val="-3"/>
                <w:sz w:val="19"/>
              </w:rPr>
            </w:r>
          </w:p>
        </w:tc>
        <w:tc>
          <w:tcPr>
            <w:tcW w:w="1015" w:type="dxa"/>
            <w:tcBorders>
              <w:top w:val="dashSmallGap" w:sz="4" w:space="0" w:color="000000"/>
              <w:left w:val="nil"/>
              <w:bottom w:val="dashSmallGap" w:sz="4" w:space="0" w:color="000000"/>
              <w:right w:val="nil"/>
            </w:tcBorders>
          </w:tcPr>
          <w:p>
            <w:pPr>
              <w:pStyle w:val="TableParagraph"/>
              <w:spacing w:before="4"/>
              <w:rPr>
                <w:b/>
                <w:sz w:val="5"/>
              </w:rPr>
            </w:pPr>
          </w:p>
          <w:p>
            <w:pPr>
              <w:pStyle w:val="TableParagraph"/>
              <w:spacing w:line="192" w:lineRule="exact"/>
              <w:ind w:left="1024" w:right="-87"/>
              <w:rPr>
                <w:sz w:val="19"/>
              </w:rPr>
            </w:pPr>
            <w:r>
              <w:rPr>
                <w:position w:val="-3"/>
                <w:sz w:val="19"/>
              </w:rPr>
              <w:pict>
                <v:group style="width:.5pt;height:9.6pt;mso-position-horizontal-relative:char;mso-position-vertical-relative:line" id="docshapegroup141" coordorigin="0,0" coordsize="10,192">
                  <v:shape style="position:absolute;left:-1;top:0;width:10;height:192" id="docshape142" coordorigin="0,0" coordsize="10,192" path="m10,154l0,154,0,192,10,192,10,154xm10,77l0,77,0,115,10,115,10,77xm10,0l0,0,0,38,10,38,10,0xe" filled="true" fillcolor="#000000" stroked="false">
                    <v:path arrowok="t"/>
                    <v:fill type="solid"/>
                  </v:shape>
                </v:group>
              </w:pict>
            </w:r>
            <w:r>
              <w:rPr>
                <w:position w:val="-3"/>
                <w:sz w:val="19"/>
              </w:rPr>
            </w:r>
          </w:p>
        </w:tc>
        <w:tc>
          <w:tcPr>
            <w:tcW w:w="1010" w:type="dxa"/>
            <w:tcBorders>
              <w:top w:val="dashed" w:sz="4" w:space="0" w:color="000000"/>
              <w:left w:val="nil"/>
              <w:bottom w:val="dashed" w:sz="4" w:space="0" w:color="000000"/>
              <w:right w:val="nil"/>
            </w:tcBorders>
          </w:tcPr>
          <w:p>
            <w:pPr>
              <w:pStyle w:val="TableParagraph"/>
              <w:spacing w:before="47"/>
              <w:ind w:right="87"/>
              <w:jc w:val="right"/>
              <w:rPr>
                <w:sz w:val="18"/>
              </w:rPr>
            </w:pPr>
            <w:r>
              <w:rPr>
                <w:spacing w:val="-2"/>
                <w:sz w:val="18"/>
              </w:rPr>
              <w:t>2,726</w:t>
            </w:r>
          </w:p>
        </w:tc>
        <w:tc>
          <w:tcPr>
            <w:tcW w:w="1012" w:type="dxa"/>
            <w:tcBorders>
              <w:top w:val="dashed" w:sz="4" w:space="0" w:color="000000"/>
              <w:left w:val="nil"/>
              <w:bottom w:val="dashed" w:sz="4" w:space="0" w:color="000000"/>
              <w:right w:val="nil"/>
            </w:tcBorders>
          </w:tcPr>
          <w:p>
            <w:pPr>
              <w:pStyle w:val="TableParagraph"/>
              <w:spacing w:before="47"/>
              <w:ind w:right="88"/>
              <w:jc w:val="right"/>
              <w:rPr>
                <w:sz w:val="18"/>
              </w:rPr>
            </w:pPr>
            <w:r>
              <w:rPr>
                <w:spacing w:val="-5"/>
                <w:sz w:val="18"/>
              </w:rPr>
              <w:t>681</w:t>
            </w:r>
          </w:p>
        </w:tc>
        <w:tc>
          <w:tcPr>
            <w:tcW w:w="1012" w:type="dxa"/>
            <w:tcBorders>
              <w:top w:val="dashed" w:sz="4" w:space="0" w:color="000000"/>
              <w:left w:val="nil"/>
              <w:bottom w:val="dashed" w:sz="4" w:space="0" w:color="000000"/>
              <w:right w:val="single" w:sz="12" w:space="0" w:color="000000"/>
            </w:tcBorders>
          </w:tcPr>
          <w:p>
            <w:pPr>
              <w:pStyle w:val="TableParagraph"/>
              <w:spacing w:before="47"/>
              <w:ind w:right="74"/>
              <w:jc w:val="right"/>
              <w:rPr>
                <w:sz w:val="18"/>
              </w:rPr>
            </w:pPr>
            <w:r>
              <w:rPr>
                <w:spacing w:val="-2"/>
                <w:sz w:val="18"/>
              </w:rPr>
              <w:t>1,000</w:t>
            </w:r>
          </w:p>
        </w:tc>
        <w:tc>
          <w:tcPr>
            <w:tcW w:w="1252"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2"/>
              <w:jc w:val="right"/>
              <w:rPr>
                <w:sz w:val="18"/>
              </w:rPr>
            </w:pPr>
            <w:r>
              <w:rPr>
                <w:spacing w:val="-2"/>
                <w:sz w:val="18"/>
              </w:rPr>
              <w:t>4,099</w:t>
            </w:r>
          </w:p>
        </w:tc>
        <w:tc>
          <w:tcPr>
            <w:tcW w:w="1252"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1"/>
              <w:jc w:val="right"/>
              <w:rPr>
                <w:sz w:val="18"/>
              </w:rPr>
            </w:pPr>
            <w:r>
              <w:rPr>
                <w:spacing w:val="-2"/>
                <w:sz w:val="18"/>
              </w:rPr>
              <w:t>4,743</w:t>
            </w:r>
          </w:p>
        </w:tc>
        <w:tc>
          <w:tcPr>
            <w:tcW w:w="1365" w:type="dxa"/>
            <w:tcBorders>
              <w:top w:val="dashed" w:sz="4" w:space="0" w:color="000000"/>
              <w:left w:val="single" w:sz="12" w:space="0" w:color="000000"/>
              <w:bottom w:val="dashed" w:sz="4" w:space="0" w:color="000000"/>
              <w:right w:val="dashed" w:sz="12" w:space="0" w:color="000000"/>
            </w:tcBorders>
          </w:tcPr>
          <w:p>
            <w:pPr>
              <w:pStyle w:val="TableParagraph"/>
              <w:spacing w:before="47"/>
              <w:ind w:right="68"/>
              <w:jc w:val="right"/>
              <w:rPr>
                <w:sz w:val="18"/>
              </w:rPr>
            </w:pPr>
            <w:r>
              <w:rPr>
                <w:spacing w:val="-2"/>
                <w:sz w:val="18"/>
              </w:rPr>
              <w:t>6,737</w:t>
            </w:r>
          </w:p>
        </w:tc>
      </w:tr>
      <w:tr>
        <w:trPr>
          <w:trHeight w:val="454" w:hRule="atLeast"/>
        </w:trPr>
        <w:tc>
          <w:tcPr>
            <w:tcW w:w="4661" w:type="dxa"/>
            <w:tcBorders>
              <w:top w:val="dashSmallGap" w:sz="4" w:space="0" w:color="000000"/>
              <w:left w:val="single" w:sz="12" w:space="0" w:color="000000"/>
              <w:bottom w:val="dashed" w:sz="4" w:space="0" w:color="000000"/>
              <w:right w:val="single" w:sz="12" w:space="0" w:color="000000"/>
            </w:tcBorders>
          </w:tcPr>
          <w:p>
            <w:pPr>
              <w:pStyle w:val="TableParagraph"/>
              <w:spacing w:before="135"/>
              <w:ind w:left="107"/>
              <w:rPr>
                <w:sz w:val="18"/>
              </w:rPr>
            </w:pPr>
            <w:r>
              <w:rPr>
                <w:sz w:val="18"/>
              </w:rPr>
              <w:t>Croydon</w:t>
            </w:r>
            <w:r>
              <w:rPr>
                <w:spacing w:val="-3"/>
                <w:sz w:val="18"/>
              </w:rPr>
              <w:t> </w:t>
            </w:r>
            <w:r>
              <w:rPr>
                <w:sz w:val="18"/>
              </w:rPr>
              <w:t>Community</w:t>
            </w:r>
            <w:r>
              <w:rPr>
                <w:spacing w:val="-3"/>
                <w:sz w:val="18"/>
              </w:rPr>
              <w:t> </w:t>
            </w:r>
            <w:r>
              <w:rPr>
                <w:sz w:val="18"/>
              </w:rPr>
              <w:t>Wellbeing</w:t>
            </w:r>
            <w:r>
              <w:rPr>
                <w:spacing w:val="2"/>
                <w:sz w:val="18"/>
              </w:rPr>
              <w:t> </w:t>
            </w:r>
            <w:r>
              <w:rPr>
                <w:sz w:val="18"/>
              </w:rPr>
              <w:t>Precinct</w:t>
            </w:r>
            <w:r>
              <w:rPr>
                <w:spacing w:val="-1"/>
                <w:sz w:val="18"/>
              </w:rPr>
              <w:t> </w:t>
            </w:r>
            <w:r>
              <w:rPr>
                <w:sz w:val="18"/>
              </w:rPr>
              <w:t>Cultural</w:t>
            </w:r>
            <w:r>
              <w:rPr>
                <w:spacing w:val="1"/>
                <w:sz w:val="18"/>
              </w:rPr>
              <w:t> </w:t>
            </w:r>
            <w:r>
              <w:rPr>
                <w:spacing w:val="-5"/>
                <w:sz w:val="18"/>
              </w:rPr>
              <w:t>Hub</w:t>
            </w:r>
          </w:p>
        </w:tc>
        <w:tc>
          <w:tcPr>
            <w:tcW w:w="1253" w:type="dxa"/>
            <w:tcBorders>
              <w:top w:val="dashSmallGap" w:sz="4" w:space="0" w:color="000000"/>
              <w:left w:val="single" w:sz="12" w:space="0" w:color="000000"/>
              <w:bottom w:val="dashed" w:sz="4" w:space="0" w:color="000000"/>
              <w:right w:val="nil"/>
            </w:tcBorders>
          </w:tcPr>
          <w:p>
            <w:pPr>
              <w:pStyle w:val="TableParagraph"/>
              <w:spacing w:before="135"/>
              <w:ind w:right="75"/>
              <w:jc w:val="right"/>
              <w:rPr>
                <w:sz w:val="18"/>
              </w:rPr>
            </w:pPr>
            <w:r>
              <w:rPr>
                <w:spacing w:val="-2"/>
                <w:sz w:val="18"/>
              </w:rPr>
              <w:t>16,139</w:t>
            </w:r>
          </w:p>
        </w:tc>
        <w:tc>
          <w:tcPr>
            <w:tcW w:w="1013" w:type="dxa"/>
            <w:tcBorders>
              <w:top w:val="dashSmallGap" w:sz="4" w:space="0" w:color="000000"/>
              <w:left w:val="nil"/>
              <w:bottom w:val="dashed" w:sz="4" w:space="0" w:color="000000"/>
              <w:right w:val="nil"/>
            </w:tcBorders>
          </w:tcPr>
          <w:p>
            <w:pPr>
              <w:pStyle w:val="TableParagraph"/>
              <w:spacing w:before="135"/>
              <w:ind w:right="90"/>
              <w:jc w:val="right"/>
              <w:rPr>
                <w:sz w:val="18"/>
              </w:rPr>
            </w:pPr>
            <w:r>
              <w:rPr>
                <w:spacing w:val="-2"/>
                <w:sz w:val="18"/>
              </w:rPr>
              <w:t>12,639</w:t>
            </w:r>
          </w:p>
        </w:tc>
        <w:tc>
          <w:tcPr>
            <w:tcW w:w="1013" w:type="dxa"/>
            <w:tcBorders>
              <w:top w:val="dashSmallGap" w:sz="4" w:space="0" w:color="000000"/>
              <w:left w:val="nil"/>
              <w:bottom w:val="dashed" w:sz="4" w:space="0" w:color="000000"/>
              <w:right w:val="nil"/>
            </w:tcBorders>
          </w:tcPr>
          <w:p>
            <w:pPr>
              <w:pStyle w:val="TableParagraph"/>
              <w:spacing w:before="135"/>
              <w:ind w:right="91"/>
              <w:jc w:val="right"/>
              <w:rPr>
                <w:sz w:val="18"/>
              </w:rPr>
            </w:pPr>
            <w:r>
              <w:rPr>
                <w:spacing w:val="-2"/>
                <w:sz w:val="18"/>
              </w:rPr>
              <w:t>3,500</w:t>
            </w:r>
          </w:p>
        </w:tc>
        <w:tc>
          <w:tcPr>
            <w:tcW w:w="1015" w:type="dxa"/>
            <w:tcBorders>
              <w:top w:val="dashSmallGap" w:sz="4" w:space="0" w:color="000000"/>
              <w:left w:val="nil"/>
              <w:bottom w:val="dashSmallGap" w:sz="4" w:space="0" w:color="000000"/>
              <w:right w:val="nil"/>
            </w:tcBorders>
          </w:tcPr>
          <w:p>
            <w:pPr>
              <w:pStyle w:val="TableParagraph"/>
              <w:spacing w:before="2"/>
              <w:rPr>
                <w:b/>
                <w:sz w:val="5"/>
              </w:rPr>
            </w:pPr>
          </w:p>
          <w:p>
            <w:pPr>
              <w:pStyle w:val="TableParagraph"/>
              <w:tabs>
                <w:tab w:pos="1024" w:val="left" w:leader="none"/>
              </w:tabs>
              <w:ind w:left="8" w:right="-87"/>
              <w:rPr>
                <w:sz w:val="20"/>
              </w:rPr>
            </w:pPr>
            <w:r>
              <w:rPr>
                <w:sz w:val="20"/>
              </w:rPr>
              <w:pict>
                <v:group style="width:.5pt;height:17.3pt;mso-position-horizontal-relative:char;mso-position-vertical-relative:line" id="docshapegroup143" coordorigin="0,0" coordsize="10,346">
                  <v:shape style="position:absolute;left:0;top:0;width:10;height:346" id="docshape144" coordorigin="0,0" coordsize="10,346" path="m10,307l0,307,0,346,10,346,10,307xm10,230l0,230,0,269,10,269,10,230xm10,154l0,154,0,192,10,192,10,154xm10,77l0,77,0,115,10,115,10,77xm10,0l0,0,0,38,10,38,10,0xe" filled="true" fillcolor="#000000" stroked="false">
                    <v:path arrowok="t"/>
                    <v:fill type="solid"/>
                  </v:shape>
                </v:group>
              </w:pict>
            </w:r>
            <w:r>
              <w:rPr>
                <w:sz w:val="20"/>
              </w:rPr>
            </w:r>
            <w:r>
              <w:rPr>
                <w:sz w:val="20"/>
              </w:rPr>
              <w:tab/>
            </w:r>
            <w:r>
              <w:rPr>
                <w:sz w:val="20"/>
              </w:rPr>
              <w:pict>
                <v:group style="width:.5pt;height:17.3pt;mso-position-horizontal-relative:char;mso-position-vertical-relative:line" id="docshapegroup145" coordorigin="0,0" coordsize="10,346">
                  <v:shape style="position:absolute;left:-1;top:0;width:10;height:346" id="docshape146" coordorigin="0,0" coordsize="10,346" path="m10,307l0,307,0,346,10,346,10,307xm10,230l0,230,0,269,10,269,10,230xm10,154l0,154,0,192,10,192,10,154xm10,77l0,77,0,115,10,115,10,77xm10,0l0,0,0,38,10,38,10,0xe" filled="true" fillcolor="#000000" stroked="false">
                    <v:path arrowok="t"/>
                    <v:fill type="solid"/>
                  </v:shape>
                </v:group>
              </w:pict>
            </w:r>
            <w:r>
              <w:rPr>
                <w:sz w:val="20"/>
              </w:rPr>
            </w:r>
          </w:p>
        </w:tc>
        <w:tc>
          <w:tcPr>
            <w:tcW w:w="1010" w:type="dxa"/>
            <w:tcBorders>
              <w:top w:val="dashed" w:sz="4" w:space="0" w:color="000000"/>
              <w:left w:val="nil"/>
              <w:bottom w:val="dashSmallGap" w:sz="4" w:space="0" w:color="000000"/>
              <w:right w:val="nil"/>
            </w:tcBorders>
          </w:tcPr>
          <w:p>
            <w:pPr>
              <w:pStyle w:val="TableParagraph"/>
              <w:spacing w:before="135"/>
              <w:ind w:right="87"/>
              <w:jc w:val="right"/>
              <w:rPr>
                <w:sz w:val="18"/>
              </w:rPr>
            </w:pPr>
            <w:r>
              <w:rPr>
                <w:spacing w:val="-2"/>
                <w:sz w:val="18"/>
              </w:rPr>
              <w:t>12,911</w:t>
            </w:r>
          </w:p>
        </w:tc>
        <w:tc>
          <w:tcPr>
            <w:tcW w:w="1012" w:type="dxa"/>
            <w:tcBorders>
              <w:top w:val="dashed" w:sz="4" w:space="0" w:color="000000"/>
              <w:left w:val="nil"/>
              <w:bottom w:val="dashSmallGap" w:sz="4" w:space="0" w:color="000000"/>
              <w:right w:val="nil"/>
            </w:tcBorders>
          </w:tcPr>
          <w:p>
            <w:pPr>
              <w:pStyle w:val="TableParagraph"/>
              <w:spacing w:before="135"/>
              <w:ind w:right="89"/>
              <w:jc w:val="right"/>
              <w:rPr>
                <w:sz w:val="18"/>
              </w:rPr>
            </w:pPr>
            <w:r>
              <w:rPr>
                <w:spacing w:val="-2"/>
                <w:sz w:val="18"/>
              </w:rPr>
              <w:t>3,228</w:t>
            </w:r>
          </w:p>
        </w:tc>
        <w:tc>
          <w:tcPr>
            <w:tcW w:w="1012" w:type="dxa"/>
            <w:tcBorders>
              <w:top w:val="dashed" w:sz="4" w:space="0" w:color="000000"/>
              <w:left w:val="nil"/>
              <w:bottom w:val="dashSmallGap" w:sz="4" w:space="0" w:color="000000"/>
              <w:right w:val="single" w:sz="12" w:space="0" w:color="000000"/>
            </w:tcBorders>
          </w:tcPr>
          <w:p>
            <w:pPr>
              <w:pStyle w:val="TableParagraph"/>
              <w:spacing w:before="2"/>
              <w:rPr>
                <w:b/>
                <w:sz w:val="5"/>
              </w:rPr>
            </w:pPr>
          </w:p>
          <w:p>
            <w:pPr>
              <w:pStyle w:val="TableParagraph"/>
              <w:ind w:left="-5"/>
              <w:rPr>
                <w:sz w:val="20"/>
              </w:rPr>
            </w:pPr>
            <w:r>
              <w:rPr>
                <w:sz w:val="20"/>
              </w:rPr>
              <w:pict>
                <v:group style="width:.5pt;height:17.3pt;mso-position-horizontal-relative:char;mso-position-vertical-relative:line" id="docshapegroup147" coordorigin="0,0" coordsize="10,346">
                  <v:shape style="position:absolute;left:0;top:0;width:10;height:346" id="docshape148" coordorigin="0,0" coordsize="10,346" path="m10,307l0,307,0,346,10,346,10,307xm10,230l0,230,0,269,10,269,10,230xm10,154l0,154,0,192,10,192,10,154xm10,77l0,77,0,115,10,115,10,77xm10,0l0,0,0,38,10,38,10,0xe" filled="true" fillcolor="#000000" stroked="false">
                    <v:path arrowok="t"/>
                    <v:fill type="solid"/>
                  </v:shape>
                </v:group>
              </w:pict>
            </w:r>
            <w:r>
              <w:rPr>
                <w:sz w:val="20"/>
              </w:rPr>
            </w:r>
          </w:p>
        </w:tc>
        <w:tc>
          <w:tcPr>
            <w:tcW w:w="1252" w:type="dxa"/>
            <w:tcBorders>
              <w:top w:val="dashed" w:sz="4" w:space="0" w:color="000000"/>
              <w:left w:val="single" w:sz="12" w:space="0" w:color="000000"/>
              <w:bottom w:val="dashSmallGap" w:sz="4" w:space="0" w:color="000000"/>
              <w:right w:val="single" w:sz="12" w:space="0" w:color="000000"/>
            </w:tcBorders>
          </w:tcPr>
          <w:p>
            <w:pPr>
              <w:pStyle w:val="TableParagraph"/>
              <w:spacing w:before="135"/>
              <w:ind w:right="72"/>
              <w:jc w:val="right"/>
              <w:rPr>
                <w:sz w:val="18"/>
              </w:rPr>
            </w:pPr>
            <w:r>
              <w:rPr>
                <w:spacing w:val="-2"/>
                <w:sz w:val="18"/>
              </w:rPr>
              <w:t>16,650</w:t>
            </w:r>
          </w:p>
        </w:tc>
        <w:tc>
          <w:tcPr>
            <w:tcW w:w="1252" w:type="dxa"/>
            <w:tcBorders>
              <w:top w:val="dashed" w:sz="4" w:space="0" w:color="000000"/>
              <w:left w:val="single" w:sz="12" w:space="0" w:color="000000"/>
              <w:bottom w:val="dashSmallGap" w:sz="4" w:space="0" w:color="000000"/>
              <w:right w:val="single" w:sz="12" w:space="0" w:color="000000"/>
            </w:tcBorders>
          </w:tcPr>
          <w:p>
            <w:pPr>
              <w:pStyle w:val="TableParagraph"/>
              <w:rPr>
                <w:rFonts w:ascii="Times New Roman"/>
                <w:sz w:val="18"/>
              </w:rPr>
            </w:pPr>
          </w:p>
        </w:tc>
        <w:tc>
          <w:tcPr>
            <w:tcW w:w="1365" w:type="dxa"/>
            <w:tcBorders>
              <w:top w:val="dashed" w:sz="4" w:space="0" w:color="000000"/>
              <w:left w:val="single" w:sz="12" w:space="0" w:color="000000"/>
              <w:bottom w:val="dashSmallGap" w:sz="4" w:space="0" w:color="000000"/>
              <w:right w:val="single" w:sz="12" w:space="0" w:color="000000"/>
            </w:tcBorders>
          </w:tcPr>
          <w:p>
            <w:pPr>
              <w:pStyle w:val="TableParagraph"/>
              <w:rPr>
                <w:rFonts w:ascii="Times New Roman"/>
                <w:sz w:val="18"/>
              </w:rPr>
            </w:pPr>
          </w:p>
        </w:tc>
      </w:tr>
      <w:tr>
        <w:trPr>
          <w:trHeight w:val="697" w:hRule="atLeast"/>
        </w:trPr>
        <w:tc>
          <w:tcPr>
            <w:tcW w:w="4661" w:type="dxa"/>
            <w:tcBorders>
              <w:top w:val="dashed" w:sz="4" w:space="0" w:color="000000"/>
              <w:left w:val="single" w:sz="12" w:space="0" w:color="000000"/>
              <w:bottom w:val="dashSmallGap" w:sz="4" w:space="0" w:color="000000"/>
              <w:right w:val="single" w:sz="12" w:space="0" w:color="000000"/>
            </w:tcBorders>
          </w:tcPr>
          <w:p>
            <w:pPr>
              <w:pStyle w:val="TableParagraph"/>
              <w:spacing w:before="24"/>
              <w:ind w:left="107" w:right="102"/>
              <w:rPr>
                <w:sz w:val="18"/>
              </w:rPr>
            </w:pPr>
            <w:r>
              <w:rPr>
                <w:sz w:val="18"/>
              </w:rPr>
              <w:t>Croydon Community Wellbeing Precinct Redevelopment</w:t>
            </w:r>
            <w:r>
              <w:rPr>
                <w:spacing w:val="-7"/>
                <w:sz w:val="18"/>
              </w:rPr>
              <w:t> </w:t>
            </w:r>
            <w:r>
              <w:rPr>
                <w:sz w:val="18"/>
              </w:rPr>
              <w:t>-</w:t>
            </w:r>
            <w:r>
              <w:rPr>
                <w:spacing w:val="-7"/>
                <w:sz w:val="18"/>
              </w:rPr>
              <w:t> </w:t>
            </w:r>
            <w:r>
              <w:rPr>
                <w:sz w:val="18"/>
              </w:rPr>
              <w:t>Multipurpose</w:t>
            </w:r>
            <w:r>
              <w:rPr>
                <w:spacing w:val="-10"/>
                <w:sz w:val="18"/>
              </w:rPr>
              <w:t> </w:t>
            </w:r>
            <w:r>
              <w:rPr>
                <w:sz w:val="18"/>
              </w:rPr>
              <w:t>Pavilion</w:t>
            </w:r>
            <w:r>
              <w:rPr>
                <w:spacing w:val="-9"/>
                <w:sz w:val="18"/>
              </w:rPr>
              <w:t> </w:t>
            </w:r>
            <w:r>
              <w:rPr>
                <w:sz w:val="18"/>
              </w:rPr>
              <w:t>and</w:t>
            </w:r>
            <w:r>
              <w:rPr>
                <w:spacing w:val="-6"/>
                <w:sz w:val="18"/>
              </w:rPr>
              <w:t> </w:t>
            </w:r>
            <w:r>
              <w:rPr>
                <w:sz w:val="18"/>
              </w:rPr>
              <w:t>Bowling </w:t>
            </w:r>
            <w:r>
              <w:rPr>
                <w:spacing w:val="-2"/>
                <w:sz w:val="18"/>
              </w:rPr>
              <w:t>Greens</w:t>
            </w:r>
          </w:p>
        </w:tc>
        <w:tc>
          <w:tcPr>
            <w:tcW w:w="7328" w:type="dxa"/>
            <w:gridSpan w:val="7"/>
            <w:tcBorders>
              <w:top w:val="single" w:sz="2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52" w:type="dxa"/>
            <w:tcBorders>
              <w:top w:val="dashSmallGap" w:sz="4" w:space="0" w:color="000000"/>
              <w:left w:val="single" w:sz="12" w:space="0" w:color="000000"/>
              <w:bottom w:val="dashed" w:sz="4" w:space="0" w:color="000000"/>
              <w:right w:val="single" w:sz="12" w:space="0" w:color="000000"/>
            </w:tcBorders>
          </w:tcPr>
          <w:p>
            <w:pPr>
              <w:pStyle w:val="TableParagraph"/>
              <w:spacing w:before="3"/>
              <w:rPr>
                <w:b/>
                <w:sz w:val="20"/>
              </w:rPr>
            </w:pPr>
          </w:p>
          <w:p>
            <w:pPr>
              <w:pStyle w:val="TableParagraph"/>
              <w:ind w:right="72"/>
              <w:jc w:val="right"/>
              <w:rPr>
                <w:sz w:val="18"/>
              </w:rPr>
            </w:pPr>
            <w:r>
              <w:rPr>
                <w:spacing w:val="-2"/>
                <w:sz w:val="18"/>
              </w:rPr>
              <w:t>15,000</w:t>
            </w:r>
          </w:p>
        </w:tc>
        <w:tc>
          <w:tcPr>
            <w:tcW w:w="1252" w:type="dxa"/>
            <w:tcBorders>
              <w:top w:val="dashSmallGap"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365" w:type="dxa"/>
            <w:tcBorders>
              <w:top w:val="dashSmallGap" w:sz="4" w:space="0" w:color="000000"/>
              <w:left w:val="single" w:sz="12" w:space="0" w:color="000000"/>
              <w:bottom w:val="dashed" w:sz="4" w:space="0" w:color="000000"/>
              <w:right w:val="single" w:sz="12" w:space="0" w:color="000000"/>
            </w:tcBorders>
          </w:tcPr>
          <w:p>
            <w:pPr>
              <w:pStyle w:val="TableParagraph"/>
              <w:rPr>
                <w:rFonts w:ascii="Times New Roman"/>
                <w:sz w:val="18"/>
              </w:rPr>
            </w:pPr>
          </w:p>
        </w:tc>
      </w:tr>
      <w:tr>
        <w:trPr>
          <w:trHeight w:val="719" w:hRule="atLeast"/>
        </w:trPr>
        <w:tc>
          <w:tcPr>
            <w:tcW w:w="4661" w:type="dxa"/>
            <w:tcBorders>
              <w:top w:val="dashSmallGap" w:sz="4" w:space="0" w:color="000000"/>
              <w:left w:val="single" w:sz="12" w:space="0" w:color="000000"/>
              <w:bottom w:val="dashed" w:sz="4" w:space="0" w:color="000000"/>
              <w:right w:val="single" w:sz="12" w:space="0" w:color="000000"/>
            </w:tcBorders>
          </w:tcPr>
          <w:p>
            <w:pPr>
              <w:pStyle w:val="TableParagraph"/>
              <w:spacing w:before="152"/>
              <w:ind w:left="107" w:right="102"/>
              <w:rPr>
                <w:sz w:val="18"/>
              </w:rPr>
            </w:pPr>
            <w:r>
              <w:rPr>
                <w:sz w:val="18"/>
              </w:rPr>
              <w:t>Croydon Community Wellbeing Precinct Redevelopment</w:t>
            </w:r>
            <w:r>
              <w:rPr>
                <w:spacing w:val="-9"/>
                <w:sz w:val="18"/>
              </w:rPr>
              <w:t> </w:t>
            </w:r>
            <w:r>
              <w:rPr>
                <w:sz w:val="18"/>
              </w:rPr>
              <w:t>-</w:t>
            </w:r>
            <w:r>
              <w:rPr>
                <w:spacing w:val="-9"/>
                <w:sz w:val="18"/>
              </w:rPr>
              <w:t> </w:t>
            </w:r>
            <w:r>
              <w:rPr>
                <w:sz w:val="18"/>
              </w:rPr>
              <w:t>Play</w:t>
            </w:r>
            <w:r>
              <w:rPr>
                <w:spacing w:val="-9"/>
                <w:sz w:val="18"/>
              </w:rPr>
              <w:t> </w:t>
            </w:r>
            <w:r>
              <w:rPr>
                <w:sz w:val="18"/>
              </w:rPr>
              <w:t>and</w:t>
            </w:r>
            <w:r>
              <w:rPr>
                <w:spacing w:val="-7"/>
                <w:sz w:val="18"/>
              </w:rPr>
              <w:t> </w:t>
            </w:r>
            <w:r>
              <w:rPr>
                <w:sz w:val="18"/>
              </w:rPr>
              <w:t>Gathering</w:t>
            </w:r>
            <w:r>
              <w:rPr>
                <w:spacing w:val="-7"/>
                <w:sz w:val="18"/>
              </w:rPr>
              <w:t> </w:t>
            </w:r>
            <w:r>
              <w:rPr>
                <w:sz w:val="18"/>
              </w:rPr>
              <w:t>Improvements</w:t>
            </w:r>
          </w:p>
        </w:tc>
        <w:tc>
          <w:tcPr>
            <w:tcW w:w="1253" w:type="dxa"/>
            <w:tcBorders>
              <w:top w:val="dashSmallGap" w:sz="4" w:space="0" w:color="000000"/>
              <w:left w:val="single" w:sz="12" w:space="0" w:color="000000"/>
              <w:bottom w:val="dashed" w:sz="4" w:space="0" w:color="000000"/>
              <w:right w:val="dashed" w:sz="4" w:space="0" w:color="000000"/>
            </w:tcBorders>
          </w:tcPr>
          <w:p>
            <w:pPr>
              <w:pStyle w:val="TableParagraph"/>
              <w:spacing w:before="2"/>
              <w:rPr>
                <w:b/>
                <w:sz w:val="22"/>
              </w:rPr>
            </w:pPr>
          </w:p>
          <w:p>
            <w:pPr>
              <w:pStyle w:val="TableParagraph"/>
              <w:ind w:right="77"/>
              <w:jc w:val="right"/>
              <w:rPr>
                <w:sz w:val="18"/>
              </w:rPr>
            </w:pPr>
            <w:r>
              <w:rPr>
                <w:sz w:val="18"/>
              </w:rPr>
              <w:t>0</w:t>
            </w:r>
          </w:p>
        </w:tc>
        <w:tc>
          <w:tcPr>
            <w:tcW w:w="1013" w:type="dxa"/>
            <w:tcBorders>
              <w:top w:val="dashSmallGap" w:sz="4" w:space="0" w:color="000000"/>
              <w:left w:val="dashed" w:sz="4" w:space="0" w:color="000000"/>
              <w:bottom w:val="dashed" w:sz="4" w:space="0" w:color="000000"/>
              <w:right w:val="dashed" w:sz="4" w:space="0" w:color="000000"/>
            </w:tcBorders>
          </w:tcPr>
          <w:p>
            <w:pPr>
              <w:pStyle w:val="TableParagraph"/>
              <w:spacing w:before="2"/>
              <w:rPr>
                <w:b/>
                <w:sz w:val="22"/>
              </w:rPr>
            </w:pPr>
          </w:p>
          <w:p>
            <w:pPr>
              <w:pStyle w:val="TableParagraph"/>
              <w:ind w:right="88"/>
              <w:jc w:val="right"/>
              <w:rPr>
                <w:sz w:val="18"/>
              </w:rPr>
            </w:pPr>
            <w:r>
              <w:rPr>
                <w:sz w:val="18"/>
              </w:rPr>
              <w:t>0</w:t>
            </w:r>
          </w:p>
        </w:tc>
        <w:tc>
          <w:tcPr>
            <w:tcW w:w="1013" w:type="dxa"/>
            <w:tcBorders>
              <w:top w:val="dashSmallGap" w:sz="4" w:space="0" w:color="000000"/>
              <w:left w:val="dashed" w:sz="4" w:space="0" w:color="000000"/>
              <w:bottom w:val="dashed" w:sz="4" w:space="0" w:color="000000"/>
              <w:right w:val="dashed" w:sz="4" w:space="0" w:color="000000"/>
            </w:tcBorders>
          </w:tcPr>
          <w:p>
            <w:pPr>
              <w:pStyle w:val="TableParagraph"/>
              <w:rPr>
                <w:rFonts w:ascii="Times New Roman"/>
                <w:sz w:val="18"/>
              </w:rPr>
            </w:pPr>
          </w:p>
        </w:tc>
        <w:tc>
          <w:tcPr>
            <w:tcW w:w="1015" w:type="dxa"/>
            <w:tcBorders>
              <w:top w:val="dashSmallGap" w:sz="4" w:space="0" w:color="000000"/>
              <w:left w:val="dashed" w:sz="4" w:space="0" w:color="000000"/>
              <w:bottom w:val="dashed" w:sz="4" w:space="0" w:color="000000"/>
              <w:right w:val="dashed" w:sz="4" w:space="0" w:color="000000"/>
            </w:tcBorders>
          </w:tcPr>
          <w:p>
            <w:pPr>
              <w:pStyle w:val="TableParagraph"/>
              <w:rPr>
                <w:rFonts w:ascii="Times New Roman"/>
                <w:sz w:val="18"/>
              </w:rPr>
            </w:pPr>
          </w:p>
        </w:tc>
        <w:tc>
          <w:tcPr>
            <w:tcW w:w="1010" w:type="dxa"/>
            <w:tcBorders>
              <w:top w:val="dashed" w:sz="4" w:space="0" w:color="000000"/>
              <w:left w:val="dashed" w:sz="4" w:space="0" w:color="000000"/>
              <w:bottom w:val="dashSmallGap" w:sz="4" w:space="0" w:color="000000"/>
              <w:right w:val="dashed" w:sz="4" w:space="0" w:color="000000"/>
            </w:tcBorders>
          </w:tcPr>
          <w:p>
            <w:pPr>
              <w:pStyle w:val="TableParagraph"/>
              <w:spacing w:before="2"/>
              <w:rPr>
                <w:b/>
                <w:sz w:val="22"/>
              </w:rPr>
            </w:pPr>
          </w:p>
          <w:p>
            <w:pPr>
              <w:pStyle w:val="TableParagraph"/>
              <w:ind w:right="85"/>
              <w:jc w:val="right"/>
              <w:rPr>
                <w:sz w:val="18"/>
              </w:rPr>
            </w:pPr>
            <w:r>
              <w:rPr>
                <w:sz w:val="18"/>
              </w:rPr>
              <w:t>0</w:t>
            </w:r>
          </w:p>
        </w:tc>
        <w:tc>
          <w:tcPr>
            <w:tcW w:w="1012" w:type="dxa"/>
            <w:tcBorders>
              <w:top w:val="dashed" w:sz="4" w:space="0" w:color="000000"/>
              <w:left w:val="dashed" w:sz="4" w:space="0" w:color="000000"/>
              <w:bottom w:val="dashSmallGap" w:sz="4" w:space="0" w:color="000000"/>
              <w:right w:val="dashed" w:sz="4" w:space="0" w:color="000000"/>
            </w:tcBorders>
          </w:tcPr>
          <w:p>
            <w:pPr>
              <w:pStyle w:val="TableParagraph"/>
              <w:spacing w:before="2"/>
              <w:rPr>
                <w:b/>
                <w:sz w:val="22"/>
              </w:rPr>
            </w:pPr>
          </w:p>
          <w:p>
            <w:pPr>
              <w:pStyle w:val="TableParagraph"/>
              <w:ind w:right="86"/>
              <w:jc w:val="right"/>
              <w:rPr>
                <w:sz w:val="18"/>
              </w:rPr>
            </w:pPr>
            <w:r>
              <w:rPr>
                <w:sz w:val="18"/>
              </w:rPr>
              <w:t>0</w:t>
            </w:r>
          </w:p>
        </w:tc>
        <w:tc>
          <w:tcPr>
            <w:tcW w:w="1012" w:type="dxa"/>
            <w:tcBorders>
              <w:top w:val="dashed" w:sz="4" w:space="0" w:color="000000"/>
              <w:left w:val="dashed" w:sz="4" w:space="0" w:color="000000"/>
              <w:bottom w:val="dashSmallGap" w:sz="4" w:space="0" w:color="000000"/>
              <w:right w:val="single" w:sz="12" w:space="0" w:color="000000"/>
            </w:tcBorders>
          </w:tcPr>
          <w:p>
            <w:pPr>
              <w:pStyle w:val="TableParagraph"/>
              <w:rPr>
                <w:rFonts w:ascii="Times New Roman"/>
                <w:sz w:val="18"/>
              </w:rPr>
            </w:pPr>
          </w:p>
        </w:tc>
        <w:tc>
          <w:tcPr>
            <w:tcW w:w="1252" w:type="dxa"/>
            <w:tcBorders>
              <w:top w:val="dashed" w:sz="4" w:space="0" w:color="000000"/>
              <w:left w:val="single" w:sz="12" w:space="0" w:color="000000"/>
              <w:bottom w:val="dashSmallGap" w:sz="4" w:space="0" w:color="000000"/>
              <w:right w:val="single" w:sz="12" w:space="0" w:color="000000"/>
            </w:tcBorders>
          </w:tcPr>
          <w:p>
            <w:pPr>
              <w:pStyle w:val="TableParagraph"/>
              <w:spacing w:before="2"/>
              <w:rPr>
                <w:b/>
                <w:sz w:val="22"/>
              </w:rPr>
            </w:pPr>
          </w:p>
          <w:p>
            <w:pPr>
              <w:pStyle w:val="TableParagraph"/>
              <w:ind w:right="75"/>
              <w:jc w:val="right"/>
              <w:rPr>
                <w:sz w:val="18"/>
              </w:rPr>
            </w:pPr>
            <w:r>
              <w:rPr>
                <w:sz w:val="18"/>
              </w:rPr>
              <w:t>0</w:t>
            </w:r>
          </w:p>
        </w:tc>
        <w:tc>
          <w:tcPr>
            <w:tcW w:w="1252" w:type="dxa"/>
            <w:tcBorders>
              <w:top w:val="dashed" w:sz="4" w:space="0" w:color="000000"/>
              <w:left w:val="single" w:sz="12" w:space="0" w:color="000000"/>
              <w:bottom w:val="dashSmallGap" w:sz="4" w:space="0" w:color="000000"/>
              <w:right w:val="single" w:sz="12" w:space="0" w:color="000000"/>
            </w:tcBorders>
          </w:tcPr>
          <w:p>
            <w:pPr>
              <w:pStyle w:val="TableParagraph"/>
              <w:rPr>
                <w:rFonts w:ascii="Times New Roman"/>
                <w:sz w:val="18"/>
              </w:rPr>
            </w:pPr>
          </w:p>
        </w:tc>
        <w:tc>
          <w:tcPr>
            <w:tcW w:w="1365" w:type="dxa"/>
            <w:tcBorders>
              <w:top w:val="dashed" w:sz="4" w:space="0" w:color="000000"/>
              <w:left w:val="single" w:sz="12" w:space="0" w:color="000000"/>
              <w:bottom w:val="dashSmallGap" w:sz="4" w:space="0" w:color="000000"/>
              <w:right w:val="single" w:sz="12" w:space="0" w:color="000000"/>
            </w:tcBorders>
          </w:tcPr>
          <w:p>
            <w:pPr>
              <w:pStyle w:val="TableParagraph"/>
              <w:spacing w:before="2"/>
              <w:rPr>
                <w:b/>
                <w:sz w:val="22"/>
              </w:rPr>
            </w:pPr>
          </w:p>
          <w:p>
            <w:pPr>
              <w:pStyle w:val="TableParagraph"/>
              <w:ind w:right="68"/>
              <w:jc w:val="right"/>
              <w:rPr>
                <w:sz w:val="18"/>
              </w:rPr>
            </w:pPr>
            <w:r>
              <w:rPr>
                <w:spacing w:val="-2"/>
                <w:sz w:val="18"/>
              </w:rPr>
              <w:t>2,000</w:t>
            </w:r>
          </w:p>
        </w:tc>
      </w:tr>
      <w:tr>
        <w:trPr>
          <w:trHeight w:val="299" w:hRule="atLeast"/>
        </w:trPr>
        <w:tc>
          <w:tcPr>
            <w:tcW w:w="4661" w:type="dxa"/>
            <w:tcBorders>
              <w:top w:val="dashed" w:sz="4" w:space="0" w:color="000000"/>
              <w:left w:val="single" w:sz="12" w:space="0" w:color="000000"/>
              <w:bottom w:val="dashed" w:sz="4" w:space="0" w:color="000000"/>
              <w:right w:val="single" w:sz="12" w:space="0" w:color="000000"/>
            </w:tcBorders>
          </w:tcPr>
          <w:p>
            <w:pPr>
              <w:pStyle w:val="TableParagraph"/>
              <w:spacing w:before="44"/>
              <w:ind w:left="107"/>
              <w:rPr>
                <w:sz w:val="18"/>
              </w:rPr>
            </w:pPr>
            <w:r>
              <w:rPr>
                <w:sz w:val="18"/>
              </w:rPr>
              <w:t>Rings</w:t>
            </w:r>
            <w:r>
              <w:rPr>
                <w:spacing w:val="-4"/>
                <w:sz w:val="18"/>
              </w:rPr>
              <w:t> </w:t>
            </w:r>
            <w:r>
              <w:rPr>
                <w:sz w:val="18"/>
              </w:rPr>
              <w:t>and</w:t>
            </w:r>
            <w:r>
              <w:rPr>
                <w:spacing w:val="1"/>
                <w:sz w:val="18"/>
              </w:rPr>
              <w:t> </w:t>
            </w:r>
            <w:r>
              <w:rPr>
                <w:sz w:val="18"/>
              </w:rPr>
              <w:t>Golf</w:t>
            </w:r>
            <w:r>
              <w:rPr>
                <w:spacing w:val="-1"/>
                <w:sz w:val="18"/>
              </w:rPr>
              <w:t> </w:t>
            </w:r>
            <w:r>
              <w:rPr>
                <w:sz w:val="18"/>
              </w:rPr>
              <w:t>Redevelopment</w:t>
            </w:r>
            <w:r>
              <w:rPr>
                <w:spacing w:val="-1"/>
                <w:sz w:val="18"/>
              </w:rPr>
              <w:t> </w:t>
            </w:r>
            <w:r>
              <w:rPr>
                <w:sz w:val="18"/>
              </w:rPr>
              <w:t>(Subject</w:t>
            </w:r>
            <w:r>
              <w:rPr>
                <w:spacing w:val="-1"/>
                <w:sz w:val="18"/>
              </w:rPr>
              <w:t> </w:t>
            </w:r>
            <w:r>
              <w:rPr>
                <w:sz w:val="18"/>
              </w:rPr>
              <w:t>to</w:t>
            </w:r>
            <w:r>
              <w:rPr>
                <w:spacing w:val="-1"/>
                <w:sz w:val="18"/>
              </w:rPr>
              <w:t> </w:t>
            </w:r>
            <w:r>
              <w:rPr>
                <w:spacing w:val="-2"/>
                <w:sz w:val="18"/>
              </w:rPr>
              <w:t>Funding)</w:t>
            </w:r>
          </w:p>
        </w:tc>
        <w:tc>
          <w:tcPr>
            <w:tcW w:w="7328" w:type="dxa"/>
            <w:gridSpan w:val="7"/>
            <w:tcBorders>
              <w:top w:val="single" w:sz="4" w:space="0" w:color="000000"/>
              <w:left w:val="single" w:sz="12" w:space="0" w:color="000000"/>
              <w:bottom w:val="nil"/>
              <w:right w:val="single" w:sz="12" w:space="0" w:color="000000"/>
            </w:tcBorders>
          </w:tcPr>
          <w:p>
            <w:pPr>
              <w:pStyle w:val="TableParagraph"/>
              <w:spacing w:before="1" w:after="1"/>
              <w:rPr>
                <w:b/>
                <w:sz w:val="9"/>
              </w:rPr>
            </w:pPr>
          </w:p>
          <w:p>
            <w:pPr>
              <w:pStyle w:val="TableParagraph"/>
              <w:tabs>
                <w:tab w:pos="2260" w:val="left" w:leader="none"/>
                <w:tab w:pos="3272" w:val="left" w:leader="none"/>
                <w:tab w:pos="4288" w:val="left" w:leader="none"/>
                <w:tab w:pos="5298" w:val="left" w:leader="none"/>
                <w:tab w:pos="6311" w:val="left" w:leader="none"/>
              </w:tabs>
              <w:spacing w:line="115" w:lineRule="exact"/>
              <w:ind w:left="1247"/>
              <w:rPr>
                <w:sz w:val="11"/>
              </w:rPr>
            </w:pPr>
            <w:r>
              <w:rPr>
                <w:position w:val="-1"/>
                <w:sz w:val="11"/>
              </w:rPr>
              <w:pict>
                <v:group style="width:.5pt;height:5.8pt;mso-position-horizontal-relative:char;mso-position-vertical-relative:line" id="docshapegroup149" coordorigin="0,0" coordsize="10,116">
                  <v:shape style="position:absolute;left:0;top:0;width:10;height:116" id="docshape150"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151" coordorigin="0,0" coordsize="10,116">
                  <v:shape style="position:absolute;left:0;top:0;width:10;height:116" id="docshape152"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153" coordorigin="0,0" coordsize="10,116">
                  <v:shape style="position:absolute;left:0;top:0;width:10;height:116" id="docshape154"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155" coordorigin="0,0" coordsize="10,116">
                  <v:shape style="position:absolute;left:-1;top:0;width:10;height:116" id="docshape156"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157" coordorigin="0,0" coordsize="10,116">
                  <v:shape style="position:absolute;left:0;top:0;width:10;height:116" id="docshape158"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159" coordorigin="0,0" coordsize="10,116">
                  <v:shape style="position:absolute;left:0;top:0;width:10;height:116" id="docshape160" coordorigin="0,0" coordsize="10,116" path="m10,77l0,77,0,115,10,115,10,77xm10,0l0,0,0,38,10,38,10,0xe" filled="true" fillcolor="#000000" stroked="false">
                    <v:path arrowok="t"/>
                    <v:fill type="solid"/>
                  </v:shape>
                </v:group>
              </w:pict>
            </w:r>
            <w:r>
              <w:rPr>
                <w:position w:val="-1"/>
                <w:sz w:val="11"/>
              </w:rPr>
            </w:r>
          </w:p>
        </w:tc>
        <w:tc>
          <w:tcPr>
            <w:tcW w:w="1252" w:type="dxa"/>
            <w:tcBorders>
              <w:top w:val="dashSmallGap" w:sz="4" w:space="0" w:color="000000"/>
              <w:left w:val="single" w:sz="12" w:space="0" w:color="000000"/>
              <w:bottom w:val="dashSmallGap" w:sz="4" w:space="0" w:color="000000"/>
              <w:right w:val="single" w:sz="12" w:space="0" w:color="000000"/>
            </w:tcBorders>
          </w:tcPr>
          <w:p>
            <w:pPr>
              <w:pStyle w:val="TableParagraph"/>
              <w:rPr>
                <w:rFonts w:ascii="Times New Roman"/>
                <w:sz w:val="18"/>
              </w:rPr>
            </w:pPr>
          </w:p>
        </w:tc>
        <w:tc>
          <w:tcPr>
            <w:tcW w:w="1252" w:type="dxa"/>
            <w:tcBorders>
              <w:top w:val="dashSmallGap" w:sz="4" w:space="0" w:color="000000"/>
              <w:left w:val="single" w:sz="12" w:space="0" w:color="000000"/>
              <w:bottom w:val="dashSmallGap" w:sz="4" w:space="0" w:color="000000"/>
              <w:right w:val="single" w:sz="12" w:space="0" w:color="000000"/>
            </w:tcBorders>
          </w:tcPr>
          <w:p>
            <w:pPr>
              <w:pStyle w:val="TableParagraph"/>
              <w:spacing w:before="44"/>
              <w:ind w:right="71"/>
              <w:jc w:val="right"/>
              <w:rPr>
                <w:sz w:val="18"/>
              </w:rPr>
            </w:pPr>
            <w:r>
              <w:rPr>
                <w:spacing w:val="-2"/>
                <w:sz w:val="18"/>
              </w:rPr>
              <w:t>15,000</w:t>
            </w:r>
          </w:p>
        </w:tc>
        <w:tc>
          <w:tcPr>
            <w:tcW w:w="1365" w:type="dxa"/>
            <w:tcBorders>
              <w:top w:val="dashSmallGap" w:sz="4" w:space="0" w:color="000000"/>
              <w:left w:val="single" w:sz="12" w:space="0" w:color="000000"/>
              <w:bottom w:val="dashSmallGap" w:sz="4" w:space="0" w:color="000000"/>
              <w:right w:val="single" w:sz="12" w:space="0" w:color="000000"/>
            </w:tcBorders>
          </w:tcPr>
          <w:p>
            <w:pPr>
              <w:pStyle w:val="TableParagraph"/>
              <w:spacing w:before="44"/>
              <w:ind w:right="68"/>
              <w:jc w:val="right"/>
              <w:rPr>
                <w:sz w:val="18"/>
              </w:rPr>
            </w:pPr>
            <w:r>
              <w:rPr>
                <w:spacing w:val="-2"/>
                <w:sz w:val="18"/>
              </w:rPr>
              <w:t>15,000</w:t>
            </w:r>
          </w:p>
        </w:tc>
      </w:tr>
      <w:tr>
        <w:trPr>
          <w:trHeight w:val="313" w:hRule="atLeast"/>
        </w:trPr>
        <w:tc>
          <w:tcPr>
            <w:tcW w:w="4661" w:type="dxa"/>
            <w:tcBorders>
              <w:top w:val="dashed" w:sz="4" w:space="0" w:color="000000"/>
              <w:left w:val="single" w:sz="12" w:space="0" w:color="000000"/>
              <w:bottom w:val="single" w:sz="12" w:space="0" w:color="000000"/>
              <w:right w:val="single" w:sz="12" w:space="0" w:color="000000"/>
            </w:tcBorders>
          </w:tcPr>
          <w:p>
            <w:pPr>
              <w:pStyle w:val="TableParagraph"/>
              <w:spacing w:before="31"/>
              <w:ind w:left="107"/>
              <w:rPr>
                <w:b/>
                <w:sz w:val="22"/>
              </w:rPr>
            </w:pPr>
            <w:r>
              <w:rPr>
                <w:b/>
                <w:sz w:val="22"/>
              </w:rPr>
              <w:t>TOTAL</w:t>
            </w:r>
            <w:r>
              <w:rPr>
                <w:b/>
                <w:spacing w:val="-2"/>
                <w:sz w:val="22"/>
              </w:rPr>
              <w:t> BUILDINGS</w:t>
            </w:r>
          </w:p>
        </w:tc>
        <w:tc>
          <w:tcPr>
            <w:tcW w:w="1253" w:type="dxa"/>
            <w:tcBorders>
              <w:top w:val="dashed" w:sz="4" w:space="0" w:color="000000"/>
              <w:left w:val="single" w:sz="12" w:space="0" w:color="000000"/>
              <w:bottom w:val="single" w:sz="12" w:space="0" w:color="000000"/>
              <w:right w:val="nil"/>
            </w:tcBorders>
          </w:tcPr>
          <w:p>
            <w:pPr>
              <w:pStyle w:val="TableParagraph"/>
              <w:spacing w:before="54"/>
              <w:ind w:right="76"/>
              <w:jc w:val="right"/>
              <w:rPr>
                <w:b/>
                <w:sz w:val="18"/>
              </w:rPr>
            </w:pPr>
            <w:r>
              <w:rPr>
                <w:b/>
                <w:spacing w:val="-2"/>
                <w:sz w:val="18"/>
              </w:rPr>
              <w:t>22,276</w:t>
            </w:r>
          </w:p>
        </w:tc>
        <w:tc>
          <w:tcPr>
            <w:tcW w:w="1013" w:type="dxa"/>
            <w:tcBorders>
              <w:top w:val="dashed" w:sz="4" w:space="0" w:color="000000"/>
              <w:left w:val="nil"/>
              <w:bottom w:val="single" w:sz="12" w:space="0" w:color="000000"/>
              <w:right w:val="nil"/>
            </w:tcBorders>
          </w:tcPr>
          <w:p>
            <w:pPr>
              <w:pStyle w:val="TableParagraph"/>
              <w:spacing w:before="54"/>
              <w:ind w:right="89"/>
              <w:jc w:val="right"/>
              <w:rPr>
                <w:b/>
                <w:sz w:val="18"/>
              </w:rPr>
            </w:pPr>
            <w:r>
              <w:rPr>
                <w:b/>
                <w:spacing w:val="-2"/>
                <w:sz w:val="18"/>
              </w:rPr>
              <w:t>18,586</w:t>
            </w:r>
          </w:p>
        </w:tc>
        <w:tc>
          <w:tcPr>
            <w:tcW w:w="1013" w:type="dxa"/>
            <w:tcBorders>
              <w:top w:val="dashed" w:sz="4" w:space="0" w:color="000000"/>
              <w:left w:val="nil"/>
              <w:bottom w:val="single" w:sz="12" w:space="0" w:color="000000"/>
              <w:right w:val="nil"/>
            </w:tcBorders>
          </w:tcPr>
          <w:p>
            <w:pPr>
              <w:pStyle w:val="TableParagraph"/>
              <w:spacing w:before="54"/>
              <w:ind w:right="91"/>
              <w:jc w:val="right"/>
              <w:rPr>
                <w:b/>
                <w:sz w:val="18"/>
              </w:rPr>
            </w:pPr>
            <w:r>
              <w:rPr>
                <w:b/>
                <w:spacing w:val="-2"/>
                <w:sz w:val="18"/>
              </w:rPr>
              <w:t>3,500</w:t>
            </w:r>
          </w:p>
        </w:tc>
        <w:tc>
          <w:tcPr>
            <w:tcW w:w="1015" w:type="dxa"/>
            <w:tcBorders>
              <w:top w:val="dashed" w:sz="4" w:space="0" w:color="000000"/>
              <w:left w:val="nil"/>
              <w:bottom w:val="single" w:sz="12" w:space="0" w:color="000000"/>
              <w:right w:val="nil"/>
            </w:tcBorders>
          </w:tcPr>
          <w:p>
            <w:pPr>
              <w:pStyle w:val="TableParagraph"/>
              <w:spacing w:before="54"/>
              <w:ind w:right="91"/>
              <w:jc w:val="right"/>
              <w:rPr>
                <w:b/>
                <w:sz w:val="18"/>
              </w:rPr>
            </w:pPr>
            <w:r>
              <w:rPr>
                <w:b/>
                <w:spacing w:val="-5"/>
                <w:sz w:val="18"/>
              </w:rPr>
              <w:t>190</w:t>
            </w:r>
          </w:p>
        </w:tc>
        <w:tc>
          <w:tcPr>
            <w:tcW w:w="1010" w:type="dxa"/>
            <w:tcBorders>
              <w:top w:val="dashSmallGap" w:sz="4" w:space="0" w:color="000000"/>
              <w:left w:val="nil"/>
              <w:bottom w:val="single" w:sz="12" w:space="0" w:color="000000"/>
              <w:right w:val="nil"/>
            </w:tcBorders>
          </w:tcPr>
          <w:p>
            <w:pPr>
              <w:pStyle w:val="TableParagraph"/>
              <w:spacing w:before="54"/>
              <w:ind w:right="87"/>
              <w:jc w:val="right"/>
              <w:rPr>
                <w:b/>
                <w:sz w:val="18"/>
              </w:rPr>
            </w:pPr>
            <w:r>
              <w:rPr>
                <w:b/>
                <w:spacing w:val="-2"/>
                <w:sz w:val="18"/>
              </w:rPr>
              <w:t>16,629</w:t>
            </w:r>
          </w:p>
        </w:tc>
        <w:tc>
          <w:tcPr>
            <w:tcW w:w="1012" w:type="dxa"/>
            <w:tcBorders>
              <w:top w:val="dashSmallGap" w:sz="4" w:space="0" w:color="000000"/>
              <w:left w:val="nil"/>
              <w:bottom w:val="single" w:sz="12" w:space="0" w:color="000000"/>
              <w:right w:val="nil"/>
            </w:tcBorders>
          </w:tcPr>
          <w:p>
            <w:pPr>
              <w:pStyle w:val="TableParagraph"/>
              <w:spacing w:before="54"/>
              <w:ind w:right="90"/>
              <w:jc w:val="right"/>
              <w:rPr>
                <w:b/>
                <w:sz w:val="18"/>
              </w:rPr>
            </w:pPr>
            <w:r>
              <w:rPr>
                <w:b/>
                <w:spacing w:val="-2"/>
                <w:sz w:val="18"/>
              </w:rPr>
              <w:t>4,647</w:t>
            </w:r>
          </w:p>
        </w:tc>
        <w:tc>
          <w:tcPr>
            <w:tcW w:w="1012" w:type="dxa"/>
            <w:tcBorders>
              <w:top w:val="dashSmallGap" w:sz="4" w:space="0" w:color="000000"/>
              <w:left w:val="nil"/>
              <w:bottom w:val="single" w:sz="12" w:space="0" w:color="000000"/>
              <w:right w:val="single" w:sz="12" w:space="0" w:color="000000"/>
            </w:tcBorders>
          </w:tcPr>
          <w:p>
            <w:pPr>
              <w:pStyle w:val="TableParagraph"/>
              <w:spacing w:before="54"/>
              <w:ind w:right="74"/>
              <w:jc w:val="right"/>
              <w:rPr>
                <w:b/>
                <w:sz w:val="18"/>
              </w:rPr>
            </w:pPr>
            <w:r>
              <w:rPr>
                <w:b/>
                <w:spacing w:val="-2"/>
                <w:sz w:val="18"/>
              </w:rPr>
              <w:t>1,000</w:t>
            </w:r>
          </w:p>
        </w:tc>
        <w:tc>
          <w:tcPr>
            <w:tcW w:w="1252" w:type="dxa"/>
            <w:tcBorders>
              <w:top w:val="dashSmallGap" w:sz="4" w:space="0" w:color="000000"/>
              <w:left w:val="single" w:sz="12" w:space="0" w:color="000000"/>
              <w:bottom w:val="single" w:sz="12" w:space="0" w:color="000000"/>
              <w:right w:val="single" w:sz="12" w:space="0" w:color="000000"/>
            </w:tcBorders>
          </w:tcPr>
          <w:p>
            <w:pPr>
              <w:pStyle w:val="TableParagraph"/>
              <w:spacing w:before="54"/>
              <w:ind w:right="73"/>
              <w:jc w:val="right"/>
              <w:rPr>
                <w:b/>
                <w:sz w:val="18"/>
              </w:rPr>
            </w:pPr>
            <w:r>
              <w:rPr>
                <w:b/>
                <w:spacing w:val="-2"/>
                <w:sz w:val="18"/>
              </w:rPr>
              <w:t>37,609</w:t>
            </w:r>
          </w:p>
        </w:tc>
        <w:tc>
          <w:tcPr>
            <w:tcW w:w="1252" w:type="dxa"/>
            <w:tcBorders>
              <w:top w:val="dashSmallGap" w:sz="4" w:space="0" w:color="000000"/>
              <w:left w:val="single" w:sz="12" w:space="0" w:color="000000"/>
              <w:bottom w:val="single" w:sz="12" w:space="0" w:color="000000"/>
              <w:right w:val="single" w:sz="12" w:space="0" w:color="000000"/>
            </w:tcBorders>
          </w:tcPr>
          <w:p>
            <w:pPr>
              <w:pStyle w:val="TableParagraph"/>
              <w:spacing w:before="54"/>
              <w:ind w:right="72"/>
              <w:jc w:val="right"/>
              <w:rPr>
                <w:b/>
                <w:sz w:val="18"/>
              </w:rPr>
            </w:pPr>
            <w:r>
              <w:rPr>
                <w:b/>
                <w:spacing w:val="-2"/>
                <w:sz w:val="18"/>
              </w:rPr>
              <w:t>22,893</w:t>
            </w:r>
          </w:p>
        </w:tc>
        <w:tc>
          <w:tcPr>
            <w:tcW w:w="1365" w:type="dxa"/>
            <w:tcBorders>
              <w:top w:val="dashSmallGap" w:sz="4" w:space="0" w:color="000000"/>
              <w:left w:val="single" w:sz="12" w:space="0" w:color="000000"/>
              <w:bottom w:val="single" w:sz="12" w:space="0" w:color="000000"/>
              <w:right w:val="single" w:sz="12" w:space="0" w:color="000000"/>
            </w:tcBorders>
          </w:tcPr>
          <w:p>
            <w:pPr>
              <w:pStyle w:val="TableParagraph"/>
              <w:spacing w:before="54"/>
              <w:ind w:right="69"/>
              <w:jc w:val="right"/>
              <w:rPr>
                <w:b/>
                <w:sz w:val="18"/>
              </w:rPr>
            </w:pPr>
            <w:r>
              <w:rPr>
                <w:b/>
                <w:spacing w:val="-2"/>
                <w:sz w:val="18"/>
              </w:rPr>
              <w:t>25,687</w:t>
            </w:r>
          </w:p>
        </w:tc>
      </w:tr>
      <w:tr>
        <w:trPr>
          <w:trHeight w:val="392" w:hRule="atLeast"/>
        </w:trPr>
        <w:tc>
          <w:tcPr>
            <w:tcW w:w="4661" w:type="dxa"/>
            <w:tcBorders>
              <w:top w:val="single" w:sz="12" w:space="0" w:color="000000"/>
              <w:left w:val="single" w:sz="12" w:space="0" w:color="000000"/>
              <w:bottom w:val="single" w:sz="12" w:space="0" w:color="000000"/>
              <w:right w:val="single" w:sz="12" w:space="0" w:color="000000"/>
            </w:tcBorders>
          </w:tcPr>
          <w:p>
            <w:pPr>
              <w:pStyle w:val="TableParagraph"/>
              <w:spacing w:before="34"/>
              <w:ind w:left="107"/>
              <w:rPr>
                <w:b/>
                <w:sz w:val="28"/>
              </w:rPr>
            </w:pPr>
            <w:r>
              <w:rPr>
                <w:b/>
                <w:sz w:val="28"/>
              </w:rPr>
              <w:t>TOTAL</w:t>
            </w:r>
            <w:r>
              <w:rPr>
                <w:b/>
                <w:spacing w:val="-4"/>
                <w:sz w:val="28"/>
              </w:rPr>
              <w:t> </w:t>
            </w:r>
            <w:r>
              <w:rPr>
                <w:b/>
                <w:spacing w:val="-2"/>
                <w:sz w:val="28"/>
              </w:rPr>
              <w:t>BUILDINGS</w:t>
            </w:r>
          </w:p>
        </w:tc>
        <w:tc>
          <w:tcPr>
            <w:tcW w:w="1253" w:type="dxa"/>
            <w:tcBorders>
              <w:top w:val="single" w:sz="12" w:space="0" w:color="000000"/>
              <w:left w:val="single" w:sz="12" w:space="0" w:color="000000"/>
              <w:bottom w:val="single" w:sz="12" w:space="0" w:color="000000"/>
              <w:right w:val="nil"/>
            </w:tcBorders>
          </w:tcPr>
          <w:p>
            <w:pPr>
              <w:pStyle w:val="TableParagraph"/>
              <w:spacing w:before="92"/>
              <w:ind w:right="76"/>
              <w:jc w:val="right"/>
              <w:rPr>
                <w:b/>
                <w:sz w:val="18"/>
              </w:rPr>
            </w:pPr>
            <w:r>
              <w:rPr>
                <w:b/>
                <w:spacing w:val="-2"/>
                <w:sz w:val="18"/>
              </w:rPr>
              <w:t>22,276</w:t>
            </w:r>
          </w:p>
        </w:tc>
        <w:tc>
          <w:tcPr>
            <w:tcW w:w="1013" w:type="dxa"/>
            <w:tcBorders>
              <w:top w:val="single" w:sz="12" w:space="0" w:color="000000"/>
              <w:left w:val="nil"/>
              <w:bottom w:val="single" w:sz="12" w:space="0" w:color="000000"/>
              <w:right w:val="nil"/>
            </w:tcBorders>
          </w:tcPr>
          <w:p>
            <w:pPr>
              <w:pStyle w:val="TableParagraph"/>
              <w:spacing w:before="92"/>
              <w:ind w:right="89"/>
              <w:jc w:val="right"/>
              <w:rPr>
                <w:b/>
                <w:sz w:val="18"/>
              </w:rPr>
            </w:pPr>
            <w:r>
              <w:rPr>
                <w:b/>
                <w:spacing w:val="-2"/>
                <w:sz w:val="18"/>
              </w:rPr>
              <w:t>18,586</w:t>
            </w:r>
          </w:p>
        </w:tc>
        <w:tc>
          <w:tcPr>
            <w:tcW w:w="1013" w:type="dxa"/>
            <w:tcBorders>
              <w:top w:val="single" w:sz="12" w:space="0" w:color="000000"/>
              <w:left w:val="nil"/>
              <w:bottom w:val="single" w:sz="12" w:space="0" w:color="000000"/>
              <w:right w:val="nil"/>
            </w:tcBorders>
          </w:tcPr>
          <w:p>
            <w:pPr>
              <w:pStyle w:val="TableParagraph"/>
              <w:spacing w:before="92"/>
              <w:ind w:right="91"/>
              <w:jc w:val="right"/>
              <w:rPr>
                <w:b/>
                <w:sz w:val="18"/>
              </w:rPr>
            </w:pPr>
            <w:r>
              <w:rPr>
                <w:b/>
                <w:spacing w:val="-2"/>
                <w:sz w:val="18"/>
              </w:rPr>
              <w:t>3,500</w:t>
            </w:r>
          </w:p>
        </w:tc>
        <w:tc>
          <w:tcPr>
            <w:tcW w:w="1015" w:type="dxa"/>
            <w:tcBorders>
              <w:top w:val="single" w:sz="12" w:space="0" w:color="000000"/>
              <w:left w:val="nil"/>
              <w:bottom w:val="single" w:sz="12" w:space="0" w:color="000000"/>
              <w:right w:val="nil"/>
            </w:tcBorders>
          </w:tcPr>
          <w:p>
            <w:pPr>
              <w:pStyle w:val="TableParagraph"/>
              <w:spacing w:before="92"/>
              <w:ind w:right="91"/>
              <w:jc w:val="right"/>
              <w:rPr>
                <w:b/>
                <w:sz w:val="18"/>
              </w:rPr>
            </w:pPr>
            <w:r>
              <w:rPr>
                <w:b/>
                <w:spacing w:val="-5"/>
                <w:sz w:val="18"/>
              </w:rPr>
              <w:t>190</w:t>
            </w:r>
          </w:p>
        </w:tc>
        <w:tc>
          <w:tcPr>
            <w:tcW w:w="1010" w:type="dxa"/>
            <w:tcBorders>
              <w:top w:val="single" w:sz="12" w:space="0" w:color="000000"/>
              <w:left w:val="nil"/>
              <w:bottom w:val="single" w:sz="12" w:space="0" w:color="000000"/>
              <w:right w:val="nil"/>
            </w:tcBorders>
          </w:tcPr>
          <w:p>
            <w:pPr>
              <w:pStyle w:val="TableParagraph"/>
              <w:spacing w:before="92"/>
              <w:ind w:right="87"/>
              <w:jc w:val="right"/>
              <w:rPr>
                <w:b/>
                <w:sz w:val="18"/>
              </w:rPr>
            </w:pPr>
            <w:r>
              <w:rPr>
                <w:b/>
                <w:spacing w:val="-2"/>
                <w:sz w:val="18"/>
              </w:rPr>
              <w:t>16,629</w:t>
            </w:r>
          </w:p>
        </w:tc>
        <w:tc>
          <w:tcPr>
            <w:tcW w:w="1012" w:type="dxa"/>
            <w:tcBorders>
              <w:top w:val="single" w:sz="12" w:space="0" w:color="000000"/>
              <w:left w:val="nil"/>
              <w:bottom w:val="single" w:sz="12" w:space="0" w:color="000000"/>
              <w:right w:val="nil"/>
            </w:tcBorders>
          </w:tcPr>
          <w:p>
            <w:pPr>
              <w:pStyle w:val="TableParagraph"/>
              <w:spacing w:before="92"/>
              <w:ind w:right="90"/>
              <w:jc w:val="right"/>
              <w:rPr>
                <w:b/>
                <w:sz w:val="18"/>
              </w:rPr>
            </w:pPr>
            <w:r>
              <w:rPr>
                <w:b/>
                <w:spacing w:val="-2"/>
                <w:sz w:val="18"/>
              </w:rPr>
              <w:t>4,647</w:t>
            </w:r>
          </w:p>
        </w:tc>
        <w:tc>
          <w:tcPr>
            <w:tcW w:w="1012" w:type="dxa"/>
            <w:tcBorders>
              <w:top w:val="single" w:sz="12" w:space="0" w:color="000000"/>
              <w:left w:val="nil"/>
              <w:bottom w:val="single" w:sz="12" w:space="0" w:color="000000"/>
              <w:right w:val="single" w:sz="12" w:space="0" w:color="000000"/>
            </w:tcBorders>
          </w:tcPr>
          <w:p>
            <w:pPr>
              <w:pStyle w:val="TableParagraph"/>
              <w:spacing w:before="92"/>
              <w:ind w:right="74"/>
              <w:jc w:val="right"/>
              <w:rPr>
                <w:b/>
                <w:sz w:val="18"/>
              </w:rPr>
            </w:pPr>
            <w:r>
              <w:rPr>
                <w:b/>
                <w:spacing w:val="-2"/>
                <w:sz w:val="18"/>
              </w:rPr>
              <w:t>1,000</w:t>
            </w:r>
          </w:p>
        </w:tc>
        <w:tc>
          <w:tcPr>
            <w:tcW w:w="1252" w:type="dxa"/>
            <w:tcBorders>
              <w:top w:val="single" w:sz="12" w:space="0" w:color="000000"/>
              <w:left w:val="single" w:sz="12" w:space="0" w:color="000000"/>
              <w:bottom w:val="single" w:sz="12" w:space="0" w:color="000000"/>
              <w:right w:val="single" w:sz="12" w:space="0" w:color="000000"/>
            </w:tcBorders>
          </w:tcPr>
          <w:p>
            <w:pPr>
              <w:pStyle w:val="TableParagraph"/>
              <w:spacing w:before="92"/>
              <w:ind w:right="72"/>
              <w:jc w:val="right"/>
              <w:rPr>
                <w:b/>
                <w:sz w:val="18"/>
              </w:rPr>
            </w:pPr>
            <w:r>
              <w:rPr>
                <w:b/>
                <w:spacing w:val="-2"/>
                <w:sz w:val="18"/>
              </w:rPr>
              <w:t>37,609</w:t>
            </w:r>
          </w:p>
        </w:tc>
        <w:tc>
          <w:tcPr>
            <w:tcW w:w="1252" w:type="dxa"/>
            <w:tcBorders>
              <w:top w:val="single" w:sz="12" w:space="0" w:color="000000"/>
              <w:left w:val="single" w:sz="12" w:space="0" w:color="000000"/>
              <w:bottom w:val="single" w:sz="12" w:space="0" w:color="000000"/>
              <w:right w:val="single" w:sz="12" w:space="0" w:color="000000"/>
            </w:tcBorders>
          </w:tcPr>
          <w:p>
            <w:pPr>
              <w:pStyle w:val="TableParagraph"/>
              <w:spacing w:before="92"/>
              <w:ind w:right="71"/>
              <w:jc w:val="right"/>
              <w:rPr>
                <w:b/>
                <w:sz w:val="18"/>
              </w:rPr>
            </w:pPr>
            <w:r>
              <w:rPr>
                <w:b/>
                <w:spacing w:val="-2"/>
                <w:sz w:val="18"/>
              </w:rPr>
              <w:t>22,893</w:t>
            </w:r>
          </w:p>
        </w:tc>
        <w:tc>
          <w:tcPr>
            <w:tcW w:w="1365" w:type="dxa"/>
            <w:tcBorders>
              <w:top w:val="single" w:sz="12" w:space="0" w:color="000000"/>
              <w:left w:val="single" w:sz="12" w:space="0" w:color="000000"/>
              <w:bottom w:val="single" w:sz="12" w:space="0" w:color="000000"/>
              <w:right w:val="single" w:sz="12" w:space="0" w:color="000000"/>
            </w:tcBorders>
          </w:tcPr>
          <w:p>
            <w:pPr>
              <w:pStyle w:val="TableParagraph"/>
              <w:spacing w:before="92"/>
              <w:ind w:right="68"/>
              <w:jc w:val="right"/>
              <w:rPr>
                <w:b/>
                <w:sz w:val="18"/>
              </w:rPr>
            </w:pPr>
            <w:r>
              <w:rPr>
                <w:b/>
                <w:spacing w:val="-2"/>
                <w:sz w:val="18"/>
              </w:rPr>
              <w:t>25,687</w:t>
            </w:r>
          </w:p>
        </w:tc>
      </w:tr>
    </w:tbl>
    <w:p>
      <w:pPr>
        <w:spacing w:after="0"/>
        <w:jc w:val="right"/>
        <w:rPr>
          <w:sz w:val="18"/>
        </w:rPr>
        <w:sectPr>
          <w:pgSz w:w="16840" w:h="11910" w:orient="landscape"/>
          <w:pgMar w:header="0" w:footer="375" w:top="480" w:bottom="560" w:left="600" w:right="120"/>
        </w:sectPr>
      </w:pPr>
    </w:p>
    <w:p>
      <w:pPr>
        <w:spacing w:before="143"/>
        <w:ind w:left="4207" w:right="0" w:firstLine="0"/>
        <w:jc w:val="left"/>
        <w:rPr>
          <w:b/>
          <w:sz w:val="28"/>
        </w:rPr>
      </w:pPr>
      <w:r>
        <w:rPr>
          <w:b/>
          <w:color w:val="FFFFFF"/>
          <w:sz w:val="28"/>
        </w:rPr>
        <w:t>CAPITAL</w:t>
      </w:r>
      <w:r>
        <w:rPr>
          <w:b/>
          <w:color w:val="FFFFFF"/>
          <w:spacing w:val="-6"/>
          <w:sz w:val="28"/>
        </w:rPr>
        <w:t> </w:t>
      </w:r>
      <w:r>
        <w:rPr>
          <w:b/>
          <w:color w:val="FFFFFF"/>
          <w:sz w:val="28"/>
        </w:rPr>
        <w:t>EXPENDITURE</w:t>
      </w:r>
      <w:r>
        <w:rPr>
          <w:b/>
          <w:color w:val="FFFFFF"/>
          <w:spacing w:val="-6"/>
          <w:sz w:val="28"/>
        </w:rPr>
        <w:t> </w:t>
      </w:r>
      <w:r>
        <w:rPr>
          <w:b/>
          <w:color w:val="FFFFFF"/>
          <w:sz w:val="28"/>
        </w:rPr>
        <w:t>PROGRAM</w:t>
      </w:r>
      <w:r>
        <w:rPr>
          <w:b/>
          <w:color w:val="FFFFFF"/>
          <w:spacing w:val="-3"/>
          <w:sz w:val="28"/>
        </w:rPr>
        <w:t> </w:t>
      </w:r>
      <w:r>
        <w:rPr>
          <w:b/>
          <w:color w:val="FFFFFF"/>
          <w:sz w:val="28"/>
        </w:rPr>
        <w:t>2025/26</w:t>
      </w:r>
      <w:r>
        <w:rPr>
          <w:b/>
          <w:color w:val="FFFFFF"/>
          <w:spacing w:val="-4"/>
          <w:sz w:val="28"/>
        </w:rPr>
        <w:t> </w:t>
      </w:r>
      <w:r>
        <w:rPr>
          <w:b/>
          <w:color w:val="FFFFFF"/>
          <w:sz w:val="28"/>
        </w:rPr>
        <w:t>TO</w:t>
      </w:r>
      <w:r>
        <w:rPr>
          <w:b/>
          <w:color w:val="FFFFFF"/>
          <w:spacing w:val="-5"/>
          <w:sz w:val="28"/>
        </w:rPr>
        <w:t> </w:t>
      </w:r>
      <w:r>
        <w:rPr>
          <w:b/>
          <w:color w:val="FFFFFF"/>
          <w:spacing w:val="-2"/>
          <w:sz w:val="28"/>
        </w:rPr>
        <w:t>2028/29</w:t>
      </w:r>
    </w:p>
    <w:p>
      <w:pPr>
        <w:tabs>
          <w:tab w:pos="12295" w:val="left" w:leader="none"/>
        </w:tabs>
        <w:spacing w:line="293" w:lineRule="exact" w:before="204"/>
        <w:ind w:left="7653" w:right="0" w:firstLine="0"/>
        <w:jc w:val="left"/>
        <w:rPr>
          <w:b/>
          <w:sz w:val="20"/>
        </w:rPr>
      </w:pPr>
      <w:r>
        <w:rPr>
          <w:b/>
          <w:color w:val="FFFFFF"/>
          <w:sz w:val="20"/>
        </w:rPr>
        <w:t>Budget</w:t>
      </w:r>
      <w:r>
        <w:rPr>
          <w:b/>
          <w:color w:val="FFFFFF"/>
          <w:spacing w:val="-7"/>
          <w:sz w:val="20"/>
        </w:rPr>
        <w:t> </w:t>
      </w:r>
      <w:r>
        <w:rPr>
          <w:b/>
          <w:color w:val="FFFFFF"/>
          <w:spacing w:val="-2"/>
          <w:sz w:val="20"/>
        </w:rPr>
        <w:t>2025/26</w:t>
      </w:r>
      <w:r>
        <w:rPr>
          <w:b/>
          <w:color w:val="FFFFFF"/>
          <w:sz w:val="20"/>
        </w:rPr>
        <w:tab/>
      </w:r>
      <w:r>
        <w:rPr>
          <w:b/>
          <w:color w:val="FFFFFF"/>
          <w:spacing w:val="-2"/>
          <w:position w:val="12"/>
          <w:sz w:val="20"/>
        </w:rPr>
        <w:t>Budget</w:t>
      </w:r>
    </w:p>
    <w:p>
      <w:pPr>
        <w:spacing w:line="173" w:lineRule="exact" w:before="0"/>
        <w:ind w:left="0" w:right="0" w:firstLine="0"/>
        <w:jc w:val="right"/>
        <w:rPr>
          <w:b/>
          <w:sz w:val="20"/>
        </w:rPr>
      </w:pPr>
      <w:r>
        <w:rPr>
          <w:b/>
          <w:color w:val="FFFFFF"/>
          <w:spacing w:val="-2"/>
          <w:sz w:val="20"/>
        </w:rPr>
        <w:t>2026/27</w:t>
      </w:r>
    </w:p>
    <w:p>
      <w:pPr>
        <w:spacing w:line="240" w:lineRule="auto" w:before="0"/>
        <w:rPr>
          <w:b/>
          <w:sz w:val="22"/>
        </w:rPr>
      </w:pPr>
      <w:r>
        <w:rPr/>
        <w:br w:type="column"/>
      </w:r>
      <w:r>
        <w:rPr>
          <w:b/>
          <w:sz w:val="22"/>
        </w:rPr>
      </w:r>
    </w:p>
    <w:p>
      <w:pPr>
        <w:pStyle w:val="BodyText"/>
        <w:rPr>
          <w:b/>
        </w:rPr>
      </w:pPr>
    </w:p>
    <w:p>
      <w:pPr>
        <w:spacing w:before="168"/>
        <w:ind w:left="483" w:right="-8" w:firstLine="16"/>
        <w:jc w:val="left"/>
        <w:rPr>
          <w:b/>
          <w:sz w:val="20"/>
        </w:rPr>
      </w:pPr>
      <w:r>
        <w:rPr>
          <w:b/>
          <w:color w:val="FFFFFF"/>
          <w:spacing w:val="-2"/>
          <w:sz w:val="20"/>
        </w:rPr>
        <w:t>Budget 2027/28</w:t>
      </w:r>
    </w:p>
    <w:p>
      <w:pPr>
        <w:spacing w:line="240" w:lineRule="auto" w:before="0"/>
        <w:rPr>
          <w:b/>
          <w:sz w:val="22"/>
        </w:rPr>
      </w:pPr>
      <w:r>
        <w:rPr/>
        <w:br w:type="column"/>
      </w:r>
      <w:r>
        <w:rPr>
          <w:b/>
          <w:sz w:val="22"/>
        </w:rPr>
      </w:r>
    </w:p>
    <w:p>
      <w:pPr>
        <w:pStyle w:val="BodyText"/>
        <w:rPr>
          <w:b/>
        </w:rPr>
      </w:pPr>
    </w:p>
    <w:p>
      <w:pPr>
        <w:spacing w:before="168"/>
        <w:ind w:left="485" w:right="624" w:firstLine="16"/>
        <w:jc w:val="left"/>
        <w:rPr>
          <w:b/>
          <w:sz w:val="20"/>
        </w:rPr>
      </w:pPr>
      <w:r>
        <w:rPr>
          <w:b/>
          <w:color w:val="FFFFFF"/>
          <w:spacing w:val="-2"/>
          <w:sz w:val="20"/>
        </w:rPr>
        <w:t>Budget 2028/29</w:t>
      </w:r>
    </w:p>
    <w:p>
      <w:pPr>
        <w:spacing w:after="0"/>
        <w:jc w:val="left"/>
        <w:rPr>
          <w:sz w:val="20"/>
        </w:rPr>
        <w:sectPr>
          <w:pgSz w:w="16840" w:h="11910" w:orient="landscape"/>
          <w:pgMar w:header="0" w:footer="375" w:top="560" w:bottom="560" w:left="600" w:right="120"/>
          <w:cols w:num="3" w:equalWidth="0">
            <w:col w:w="12999" w:space="40"/>
            <w:col w:w="1204" w:space="39"/>
            <w:col w:w="1838"/>
          </w:cols>
        </w:sectPr>
      </w:pPr>
    </w:p>
    <w:p>
      <w:pPr>
        <w:pStyle w:val="BodyText"/>
        <w:rPr>
          <w:b/>
          <w:sz w:val="30"/>
        </w:rPr>
      </w:pPr>
      <w:r>
        <w:rPr/>
        <w:drawing>
          <wp:anchor distT="0" distB="0" distL="0" distR="0" allowOverlap="1" layoutInCell="1" locked="0" behindDoc="1" simplePos="0" relativeHeight="465326592">
            <wp:simplePos x="0" y="0"/>
            <wp:positionH relativeFrom="page">
              <wp:posOffset>457200</wp:posOffset>
            </wp:positionH>
            <wp:positionV relativeFrom="page">
              <wp:posOffset>359663</wp:posOffset>
            </wp:positionV>
            <wp:extent cx="9934956" cy="5469636"/>
            <wp:effectExtent l="0" t="0" r="0" b="0"/>
            <wp:wrapNone/>
            <wp:docPr id="25" name="image14.png"/>
            <wp:cNvGraphicFramePr>
              <a:graphicFrameLocks noChangeAspect="1"/>
            </wp:cNvGraphicFramePr>
            <a:graphic>
              <a:graphicData uri="http://schemas.openxmlformats.org/drawingml/2006/picture">
                <pic:pic>
                  <pic:nvPicPr>
                    <pic:cNvPr id="26" name="image14.png"/>
                    <pic:cNvPicPr/>
                  </pic:nvPicPr>
                  <pic:blipFill>
                    <a:blip r:embed="rId25" cstate="print"/>
                    <a:stretch>
                      <a:fillRect/>
                    </a:stretch>
                  </pic:blipFill>
                  <pic:spPr>
                    <a:xfrm>
                      <a:off x="0" y="0"/>
                      <a:ext cx="9934956" cy="5469636"/>
                    </a:xfrm>
                    <a:prstGeom prst="rect">
                      <a:avLst/>
                    </a:prstGeom>
                  </pic:spPr>
                </pic:pic>
              </a:graphicData>
            </a:graphic>
          </wp:anchor>
        </w:drawing>
      </w:r>
    </w:p>
    <w:p>
      <w:pPr>
        <w:pStyle w:val="BodyText"/>
        <w:rPr>
          <w:b/>
          <w:sz w:val="30"/>
        </w:rPr>
      </w:pPr>
    </w:p>
    <w:p>
      <w:pPr>
        <w:spacing w:before="255"/>
        <w:ind w:left="242" w:right="0" w:firstLine="0"/>
        <w:jc w:val="left"/>
        <w:rPr>
          <w:b/>
          <w:sz w:val="28"/>
        </w:rPr>
      </w:pPr>
      <w:r>
        <w:rPr>
          <w:b/>
          <w:sz w:val="28"/>
        </w:rPr>
        <w:t>ROADS</w:t>
      </w:r>
      <w:r>
        <w:rPr>
          <w:b/>
          <w:spacing w:val="-3"/>
          <w:sz w:val="28"/>
        </w:rPr>
        <w:t> </w:t>
      </w:r>
      <w:r>
        <w:rPr>
          <w:b/>
          <w:sz w:val="28"/>
        </w:rPr>
        <w:t>AND</w:t>
      </w:r>
      <w:r>
        <w:rPr>
          <w:b/>
          <w:spacing w:val="-2"/>
          <w:sz w:val="28"/>
        </w:rPr>
        <w:t> DRAINAGE</w:t>
      </w:r>
    </w:p>
    <w:p>
      <w:pPr>
        <w:pStyle w:val="Heading5"/>
        <w:spacing w:before="66"/>
        <w:ind w:left="242"/>
      </w:pPr>
      <w:r>
        <w:rPr>
          <w:spacing w:val="-2"/>
        </w:rPr>
        <w:t>ROADS</w:t>
      </w:r>
    </w:p>
    <w:p>
      <w:pPr>
        <w:spacing w:before="70"/>
        <w:ind w:left="242" w:right="0" w:firstLine="0"/>
        <w:jc w:val="left"/>
        <w:rPr>
          <w:sz w:val="18"/>
        </w:rPr>
      </w:pPr>
      <w:r>
        <w:rPr>
          <w:sz w:val="18"/>
        </w:rPr>
        <w:t>Roads</w:t>
      </w:r>
      <w:r>
        <w:rPr>
          <w:spacing w:val="-7"/>
          <w:sz w:val="18"/>
        </w:rPr>
        <w:t> </w:t>
      </w:r>
      <w:r>
        <w:rPr>
          <w:sz w:val="18"/>
        </w:rPr>
        <w:t>to</w:t>
      </w:r>
      <w:r>
        <w:rPr>
          <w:spacing w:val="-6"/>
          <w:sz w:val="18"/>
        </w:rPr>
        <w:t> </w:t>
      </w:r>
      <w:r>
        <w:rPr>
          <w:sz w:val="18"/>
        </w:rPr>
        <w:t>Recovery</w:t>
      </w:r>
      <w:r>
        <w:rPr>
          <w:spacing w:val="-6"/>
          <w:sz w:val="18"/>
        </w:rPr>
        <w:t> </w:t>
      </w:r>
      <w:r>
        <w:rPr>
          <w:sz w:val="18"/>
        </w:rPr>
        <w:t>Funding</w:t>
      </w:r>
      <w:r>
        <w:rPr>
          <w:spacing w:val="-7"/>
          <w:sz w:val="18"/>
        </w:rPr>
        <w:t> </w:t>
      </w:r>
      <w:r>
        <w:rPr>
          <w:sz w:val="18"/>
        </w:rPr>
        <w:t>of</w:t>
      </w:r>
      <w:r>
        <w:rPr>
          <w:spacing w:val="-7"/>
          <w:sz w:val="18"/>
        </w:rPr>
        <w:t> </w:t>
      </w:r>
      <w:r>
        <w:rPr>
          <w:sz w:val="18"/>
        </w:rPr>
        <w:t>Local</w:t>
      </w:r>
      <w:r>
        <w:rPr>
          <w:spacing w:val="-5"/>
          <w:sz w:val="18"/>
        </w:rPr>
        <w:t> </w:t>
      </w:r>
      <w:r>
        <w:rPr>
          <w:sz w:val="18"/>
        </w:rPr>
        <w:t>Road Improvements</w:t>
      </w:r>
      <w:r>
        <w:rPr>
          <w:spacing w:val="-1"/>
          <w:sz w:val="18"/>
        </w:rPr>
        <w:t> </w:t>
      </w:r>
      <w:r>
        <w:rPr>
          <w:sz w:val="18"/>
        </w:rPr>
        <w:t>by</w:t>
      </w:r>
      <w:r>
        <w:rPr>
          <w:spacing w:val="-1"/>
          <w:sz w:val="18"/>
        </w:rPr>
        <w:t> </w:t>
      </w:r>
      <w:r>
        <w:rPr>
          <w:sz w:val="18"/>
        </w:rPr>
        <w:t>the</w:t>
      </w:r>
      <w:r>
        <w:rPr>
          <w:spacing w:val="-2"/>
          <w:sz w:val="18"/>
        </w:rPr>
        <w:t> </w:t>
      </w:r>
      <w:r>
        <w:rPr>
          <w:sz w:val="18"/>
        </w:rPr>
        <w:t>Federal</w:t>
      </w:r>
      <w:r>
        <w:rPr>
          <w:spacing w:val="-5"/>
          <w:sz w:val="18"/>
        </w:rPr>
        <w:t> </w:t>
      </w:r>
      <w:r>
        <w:rPr>
          <w:spacing w:val="-2"/>
          <w:sz w:val="18"/>
        </w:rPr>
        <w:t>Government</w:t>
      </w:r>
    </w:p>
    <w:p>
      <w:pPr>
        <w:spacing w:line="362" w:lineRule="auto" w:before="95"/>
        <w:ind w:left="242" w:right="924" w:firstLine="0"/>
        <w:jc w:val="left"/>
        <w:rPr>
          <w:sz w:val="18"/>
        </w:rPr>
      </w:pPr>
      <w:r>
        <w:rPr>
          <w:sz w:val="18"/>
        </w:rPr>
        <w:t>Local</w:t>
      </w:r>
      <w:r>
        <w:rPr>
          <w:spacing w:val="-12"/>
          <w:sz w:val="18"/>
        </w:rPr>
        <w:t> </w:t>
      </w:r>
      <w:r>
        <w:rPr>
          <w:sz w:val="18"/>
        </w:rPr>
        <w:t>Road</w:t>
      </w:r>
      <w:r>
        <w:rPr>
          <w:spacing w:val="-12"/>
          <w:sz w:val="18"/>
        </w:rPr>
        <w:t> </w:t>
      </w:r>
      <w:r>
        <w:rPr>
          <w:sz w:val="18"/>
        </w:rPr>
        <w:t>Reconstruction</w:t>
      </w:r>
      <w:r>
        <w:rPr>
          <w:spacing w:val="-13"/>
          <w:sz w:val="18"/>
        </w:rPr>
        <w:t> </w:t>
      </w:r>
      <w:r>
        <w:rPr>
          <w:sz w:val="18"/>
        </w:rPr>
        <w:t>Program Local Area Traffic Management</w:t>
      </w:r>
    </w:p>
    <w:p>
      <w:pPr>
        <w:spacing w:line="364" w:lineRule="auto" w:before="1"/>
        <w:ind w:left="242" w:right="647" w:firstLine="0"/>
        <w:jc w:val="left"/>
        <w:rPr>
          <w:sz w:val="18"/>
        </w:rPr>
      </w:pPr>
      <w:r>
        <w:rPr>
          <w:sz w:val="18"/>
        </w:rPr>
        <w:t>Local</w:t>
      </w:r>
      <w:r>
        <w:rPr>
          <w:spacing w:val="-7"/>
          <w:sz w:val="18"/>
        </w:rPr>
        <w:t> </w:t>
      </w:r>
      <w:r>
        <w:rPr>
          <w:sz w:val="18"/>
        </w:rPr>
        <w:t>Area</w:t>
      </w:r>
      <w:r>
        <w:rPr>
          <w:spacing w:val="-9"/>
          <w:sz w:val="18"/>
        </w:rPr>
        <w:t> </w:t>
      </w:r>
      <w:r>
        <w:rPr>
          <w:sz w:val="18"/>
        </w:rPr>
        <w:t>Traffic</w:t>
      </w:r>
      <w:r>
        <w:rPr>
          <w:spacing w:val="-9"/>
          <w:sz w:val="18"/>
        </w:rPr>
        <w:t> </w:t>
      </w:r>
      <w:r>
        <w:rPr>
          <w:sz w:val="18"/>
        </w:rPr>
        <w:t>Management</w:t>
      </w:r>
      <w:r>
        <w:rPr>
          <w:spacing w:val="-6"/>
          <w:sz w:val="18"/>
        </w:rPr>
        <w:t> </w:t>
      </w:r>
      <w:r>
        <w:rPr>
          <w:sz w:val="18"/>
        </w:rPr>
        <w:t>-</w:t>
      </w:r>
      <w:r>
        <w:rPr>
          <w:spacing w:val="-7"/>
          <w:sz w:val="18"/>
        </w:rPr>
        <w:t> </w:t>
      </w:r>
      <w:r>
        <w:rPr>
          <w:sz w:val="18"/>
        </w:rPr>
        <w:t>Renewal Traffic Lights and Pedestrian Crossings Local Road Renewal Program</w:t>
      </w:r>
    </w:p>
    <w:p>
      <w:pPr>
        <w:spacing w:line="206" w:lineRule="exact" w:before="0"/>
        <w:ind w:left="242" w:right="0" w:firstLine="0"/>
        <w:jc w:val="left"/>
        <w:rPr>
          <w:sz w:val="18"/>
        </w:rPr>
      </w:pPr>
      <w:r>
        <w:rPr>
          <w:sz w:val="18"/>
        </w:rPr>
        <w:t>Kerb</w:t>
      </w:r>
      <w:r>
        <w:rPr>
          <w:spacing w:val="-3"/>
          <w:sz w:val="18"/>
        </w:rPr>
        <w:t> </w:t>
      </w:r>
      <w:r>
        <w:rPr>
          <w:sz w:val="18"/>
        </w:rPr>
        <w:t>and Channel</w:t>
      </w:r>
      <w:r>
        <w:rPr>
          <w:spacing w:val="-2"/>
          <w:sz w:val="18"/>
        </w:rPr>
        <w:t> </w:t>
      </w:r>
      <w:r>
        <w:rPr>
          <w:sz w:val="18"/>
        </w:rPr>
        <w:t>Replacement </w:t>
      </w:r>
      <w:r>
        <w:rPr>
          <w:spacing w:val="-4"/>
          <w:sz w:val="18"/>
        </w:rPr>
        <w:t>Works</w:t>
      </w:r>
    </w:p>
    <w:p>
      <w:pPr>
        <w:pStyle w:val="Heading5"/>
        <w:spacing w:before="84"/>
        <w:ind w:left="242"/>
      </w:pPr>
      <w:r>
        <w:rPr/>
        <w:t>TOTAL</w:t>
      </w:r>
      <w:r>
        <w:rPr>
          <w:spacing w:val="-2"/>
        </w:rPr>
        <w:t> ROADS</w:t>
      </w:r>
    </w:p>
    <w:p>
      <w:pPr>
        <w:spacing w:before="62"/>
        <w:ind w:left="242" w:right="0" w:firstLine="0"/>
        <w:jc w:val="left"/>
        <w:rPr>
          <w:b/>
          <w:sz w:val="22"/>
        </w:rPr>
      </w:pPr>
      <w:r>
        <w:rPr>
          <w:b/>
          <w:sz w:val="22"/>
        </w:rPr>
        <w:t>FOOTPATHS</w:t>
      </w:r>
      <w:r>
        <w:rPr>
          <w:b/>
          <w:spacing w:val="-5"/>
          <w:sz w:val="22"/>
        </w:rPr>
        <w:t> </w:t>
      </w:r>
      <w:r>
        <w:rPr>
          <w:b/>
          <w:sz w:val="22"/>
        </w:rPr>
        <w:t>AND</w:t>
      </w:r>
      <w:r>
        <w:rPr>
          <w:b/>
          <w:spacing w:val="-1"/>
          <w:sz w:val="22"/>
        </w:rPr>
        <w:t> </w:t>
      </w:r>
      <w:r>
        <w:rPr>
          <w:b/>
          <w:spacing w:val="-2"/>
          <w:sz w:val="22"/>
        </w:rPr>
        <w:t>CYCLEWAYS</w:t>
      </w:r>
    </w:p>
    <w:p>
      <w:pPr>
        <w:spacing w:line="364" w:lineRule="auto" w:before="82"/>
        <w:ind w:left="242" w:right="647" w:firstLine="0"/>
        <w:jc w:val="left"/>
        <w:rPr>
          <w:sz w:val="18"/>
        </w:rPr>
      </w:pPr>
      <w:r>
        <w:rPr>
          <w:sz w:val="18"/>
        </w:rPr>
        <w:t>Shared</w:t>
      </w:r>
      <w:r>
        <w:rPr>
          <w:spacing w:val="-8"/>
          <w:sz w:val="18"/>
        </w:rPr>
        <w:t> </w:t>
      </w:r>
      <w:r>
        <w:rPr>
          <w:sz w:val="18"/>
        </w:rPr>
        <w:t>(Bike)</w:t>
      </w:r>
      <w:r>
        <w:rPr>
          <w:spacing w:val="-12"/>
          <w:sz w:val="18"/>
        </w:rPr>
        <w:t> </w:t>
      </w:r>
      <w:r>
        <w:rPr>
          <w:sz w:val="18"/>
        </w:rPr>
        <w:t>Path</w:t>
      </w:r>
      <w:r>
        <w:rPr>
          <w:spacing w:val="-11"/>
          <w:sz w:val="18"/>
        </w:rPr>
        <w:t> </w:t>
      </w:r>
      <w:r>
        <w:rPr>
          <w:sz w:val="18"/>
        </w:rPr>
        <w:t>Improvement</w:t>
      </w:r>
      <w:r>
        <w:rPr>
          <w:spacing w:val="-8"/>
          <w:sz w:val="18"/>
        </w:rPr>
        <w:t> </w:t>
      </w:r>
      <w:r>
        <w:rPr>
          <w:sz w:val="18"/>
        </w:rPr>
        <w:t>Program Footpath Replacement Works</w:t>
      </w:r>
    </w:p>
    <w:p>
      <w:pPr>
        <w:spacing w:line="364" w:lineRule="auto" w:before="0"/>
        <w:ind w:left="242" w:right="924" w:firstLine="0"/>
        <w:jc w:val="left"/>
        <w:rPr>
          <w:sz w:val="18"/>
        </w:rPr>
      </w:pPr>
      <w:r>
        <w:rPr>
          <w:sz w:val="18"/>
        </w:rPr>
        <w:t>Footpath Construction Program Accessibility</w:t>
      </w:r>
      <w:r>
        <w:rPr>
          <w:spacing w:val="-15"/>
          <w:sz w:val="18"/>
        </w:rPr>
        <w:t> </w:t>
      </w:r>
      <w:r>
        <w:rPr>
          <w:sz w:val="18"/>
        </w:rPr>
        <w:t>Improvement</w:t>
      </w:r>
      <w:r>
        <w:rPr>
          <w:spacing w:val="-12"/>
          <w:sz w:val="18"/>
        </w:rPr>
        <w:t> </w:t>
      </w:r>
      <w:r>
        <w:rPr>
          <w:sz w:val="18"/>
        </w:rPr>
        <w:t>Program</w:t>
      </w:r>
    </w:p>
    <w:p>
      <w:pPr>
        <w:pStyle w:val="Heading5"/>
        <w:spacing w:before="127"/>
        <w:ind w:left="242"/>
      </w:pPr>
      <w:r>
        <w:rPr/>
        <w:t>TOTAL</w:t>
      </w:r>
      <w:r>
        <w:rPr>
          <w:spacing w:val="-5"/>
        </w:rPr>
        <w:t> </w:t>
      </w:r>
      <w:r>
        <w:rPr/>
        <w:t>FOOTPATHS</w:t>
      </w:r>
      <w:r>
        <w:rPr>
          <w:spacing w:val="-6"/>
        </w:rPr>
        <w:t> </w:t>
      </w:r>
      <w:r>
        <w:rPr/>
        <w:t>AND</w:t>
      </w:r>
      <w:r>
        <w:rPr>
          <w:spacing w:val="-4"/>
        </w:rPr>
        <w:t> </w:t>
      </w:r>
      <w:r>
        <w:rPr>
          <w:spacing w:val="-2"/>
        </w:rPr>
        <w:t>CYCLEWAYS</w:t>
      </w:r>
    </w:p>
    <w:p>
      <w:pPr>
        <w:spacing w:before="215"/>
        <w:ind w:left="242" w:right="0" w:firstLine="0"/>
        <w:jc w:val="left"/>
        <w:rPr>
          <w:b/>
          <w:sz w:val="22"/>
        </w:rPr>
      </w:pPr>
      <w:r>
        <w:rPr>
          <w:b/>
          <w:spacing w:val="-2"/>
          <w:sz w:val="22"/>
        </w:rPr>
        <w:t>CARPARKS</w:t>
      </w:r>
    </w:p>
    <w:p>
      <w:pPr>
        <w:spacing w:before="82"/>
        <w:ind w:left="242" w:right="0" w:firstLine="0"/>
        <w:jc w:val="left"/>
        <w:rPr>
          <w:sz w:val="18"/>
        </w:rPr>
      </w:pPr>
      <w:r>
        <w:rPr>
          <w:sz w:val="18"/>
        </w:rPr>
        <w:t>Car</w:t>
      </w:r>
      <w:r>
        <w:rPr>
          <w:spacing w:val="-2"/>
          <w:sz w:val="18"/>
        </w:rPr>
        <w:t> </w:t>
      </w:r>
      <w:r>
        <w:rPr>
          <w:sz w:val="18"/>
        </w:rPr>
        <w:t>Park</w:t>
      </w:r>
      <w:r>
        <w:rPr>
          <w:spacing w:val="-1"/>
          <w:sz w:val="18"/>
        </w:rPr>
        <w:t> </w:t>
      </w:r>
      <w:r>
        <w:rPr>
          <w:sz w:val="18"/>
        </w:rPr>
        <w:t>Improvement</w:t>
      </w:r>
      <w:r>
        <w:rPr>
          <w:spacing w:val="-2"/>
          <w:sz w:val="18"/>
        </w:rPr>
        <w:t> Program</w:t>
      </w:r>
    </w:p>
    <w:p>
      <w:pPr>
        <w:pStyle w:val="Heading5"/>
        <w:spacing w:before="126"/>
        <w:ind w:left="242"/>
      </w:pPr>
      <w:r>
        <w:rPr/>
        <w:t>TOTAL</w:t>
      </w:r>
      <w:r>
        <w:rPr>
          <w:spacing w:val="-2"/>
        </w:rPr>
        <w:t> CARPARKS</w:t>
      </w:r>
    </w:p>
    <w:p>
      <w:pPr>
        <w:spacing w:before="148"/>
        <w:ind w:left="242" w:right="50" w:hanging="2"/>
        <w:jc w:val="center"/>
        <w:rPr>
          <w:b/>
          <w:sz w:val="16"/>
        </w:rPr>
      </w:pPr>
      <w:r>
        <w:rPr/>
        <w:br w:type="column"/>
      </w:r>
      <w:r>
        <w:rPr>
          <w:b/>
          <w:color w:val="FFFFFF"/>
          <w:spacing w:val="-2"/>
          <w:sz w:val="16"/>
        </w:rPr>
        <w:t>Total Expenditure</w:t>
      </w:r>
    </w:p>
    <w:p>
      <w:pPr>
        <w:spacing w:before="119"/>
        <w:ind w:left="437" w:right="247" w:firstLine="0"/>
        <w:jc w:val="center"/>
        <w:rPr>
          <w:b/>
          <w:sz w:val="16"/>
        </w:rPr>
      </w:pPr>
      <w:r>
        <w:rPr>
          <w:b/>
          <w:color w:val="FFFFFF"/>
          <w:spacing w:val="-4"/>
          <w:sz w:val="16"/>
        </w:rPr>
        <w:t>$000</w:t>
      </w:r>
    </w:p>
    <w:p>
      <w:pPr>
        <w:pStyle w:val="BodyText"/>
        <w:rPr>
          <w:b/>
          <w:sz w:val="18"/>
        </w:rPr>
      </w:pPr>
    </w:p>
    <w:p>
      <w:pPr>
        <w:pStyle w:val="BodyText"/>
        <w:rPr>
          <w:b/>
          <w:sz w:val="18"/>
        </w:rPr>
      </w:pPr>
    </w:p>
    <w:p>
      <w:pPr>
        <w:pStyle w:val="BodyText"/>
        <w:rPr>
          <w:b/>
          <w:sz w:val="18"/>
        </w:rPr>
      </w:pPr>
    </w:p>
    <w:p>
      <w:pPr>
        <w:pStyle w:val="BodyText"/>
        <w:rPr>
          <w:b/>
          <w:sz w:val="18"/>
        </w:rPr>
      </w:pPr>
    </w:p>
    <w:p>
      <w:pPr>
        <w:spacing w:before="112"/>
        <w:ind w:left="0" w:right="0" w:firstLine="0"/>
        <w:jc w:val="right"/>
        <w:rPr>
          <w:sz w:val="18"/>
        </w:rPr>
      </w:pPr>
      <w:r>
        <w:rPr>
          <w:spacing w:val="-5"/>
          <w:sz w:val="18"/>
        </w:rPr>
        <w:t>813</w:t>
      </w:r>
    </w:p>
    <w:p>
      <w:pPr>
        <w:pStyle w:val="BodyText"/>
        <w:spacing w:before="3"/>
        <w:rPr>
          <w:sz w:val="17"/>
        </w:rPr>
      </w:pPr>
    </w:p>
    <w:p>
      <w:pPr>
        <w:spacing w:before="0"/>
        <w:ind w:left="0" w:right="1" w:firstLine="0"/>
        <w:jc w:val="right"/>
        <w:rPr>
          <w:sz w:val="18"/>
        </w:rPr>
      </w:pPr>
      <w:r>
        <w:rPr>
          <w:spacing w:val="-5"/>
          <w:sz w:val="18"/>
        </w:rPr>
        <w:t>550</w:t>
      </w:r>
    </w:p>
    <w:p>
      <w:pPr>
        <w:spacing w:before="105"/>
        <w:ind w:left="0" w:right="0" w:firstLine="0"/>
        <w:jc w:val="right"/>
        <w:rPr>
          <w:sz w:val="18"/>
        </w:rPr>
      </w:pPr>
      <w:r>
        <w:rPr>
          <w:spacing w:val="-2"/>
          <w:sz w:val="18"/>
        </w:rPr>
        <w:t>1,271</w:t>
      </w:r>
    </w:p>
    <w:p>
      <w:pPr>
        <w:spacing w:before="108"/>
        <w:ind w:left="0" w:right="1" w:firstLine="0"/>
        <w:jc w:val="right"/>
        <w:rPr>
          <w:sz w:val="18"/>
        </w:rPr>
      </w:pPr>
      <w:r>
        <w:rPr>
          <w:spacing w:val="-5"/>
          <w:sz w:val="18"/>
        </w:rPr>
        <w:t>95</w:t>
      </w:r>
    </w:p>
    <w:p>
      <w:pPr>
        <w:spacing w:before="107"/>
        <w:ind w:left="0" w:right="1" w:firstLine="0"/>
        <w:jc w:val="right"/>
        <w:rPr>
          <w:sz w:val="18"/>
        </w:rPr>
      </w:pPr>
      <w:r>
        <w:rPr>
          <w:spacing w:val="-5"/>
          <w:sz w:val="18"/>
        </w:rPr>
        <w:t>90</w:t>
      </w:r>
    </w:p>
    <w:p>
      <w:pPr>
        <w:spacing w:before="108"/>
        <w:ind w:left="0" w:right="1" w:firstLine="0"/>
        <w:jc w:val="right"/>
        <w:rPr>
          <w:sz w:val="18"/>
        </w:rPr>
      </w:pPr>
      <w:r>
        <w:rPr>
          <w:spacing w:val="-2"/>
          <w:sz w:val="18"/>
        </w:rPr>
        <w:t>2,298</w:t>
      </w:r>
    </w:p>
    <w:p>
      <w:pPr>
        <w:spacing w:before="107"/>
        <w:ind w:left="0" w:right="0" w:firstLine="0"/>
        <w:jc w:val="right"/>
        <w:rPr>
          <w:sz w:val="18"/>
        </w:rPr>
      </w:pPr>
      <w:r>
        <w:rPr>
          <w:spacing w:val="-5"/>
          <w:sz w:val="18"/>
        </w:rPr>
        <w:t>635</w:t>
      </w:r>
    </w:p>
    <w:p>
      <w:pPr>
        <w:spacing w:before="107"/>
        <w:ind w:left="0" w:right="0" w:firstLine="0"/>
        <w:jc w:val="right"/>
        <w:rPr>
          <w:b/>
          <w:sz w:val="18"/>
        </w:rPr>
      </w:pPr>
      <w:r>
        <w:rPr>
          <w:b/>
          <w:spacing w:val="-2"/>
          <w:sz w:val="18"/>
        </w:rPr>
        <w:t>5,752</w:t>
      </w:r>
    </w:p>
    <w:p>
      <w:pPr>
        <w:pStyle w:val="BodyText"/>
        <w:rPr>
          <w:b/>
          <w:sz w:val="20"/>
        </w:rPr>
      </w:pPr>
    </w:p>
    <w:p>
      <w:pPr>
        <w:pStyle w:val="BodyText"/>
        <w:spacing w:before="6"/>
        <w:rPr>
          <w:b/>
          <w:sz w:val="16"/>
        </w:rPr>
      </w:pPr>
    </w:p>
    <w:p>
      <w:pPr>
        <w:spacing w:before="0"/>
        <w:ind w:left="0" w:right="0" w:firstLine="0"/>
        <w:jc w:val="right"/>
        <w:rPr>
          <w:sz w:val="18"/>
        </w:rPr>
      </w:pPr>
      <w:r>
        <w:rPr>
          <w:spacing w:val="-5"/>
          <w:sz w:val="18"/>
        </w:rPr>
        <w:t>430</w:t>
      </w:r>
    </w:p>
    <w:p>
      <w:pPr>
        <w:spacing w:before="107"/>
        <w:ind w:left="0" w:right="1" w:firstLine="0"/>
        <w:jc w:val="right"/>
        <w:rPr>
          <w:sz w:val="18"/>
        </w:rPr>
      </w:pPr>
      <w:r>
        <w:rPr>
          <w:spacing w:val="-5"/>
          <w:sz w:val="18"/>
        </w:rPr>
        <w:t>320</w:t>
      </w:r>
    </w:p>
    <w:p>
      <w:pPr>
        <w:spacing w:before="108"/>
        <w:ind w:left="0" w:right="0" w:firstLine="0"/>
        <w:jc w:val="right"/>
        <w:rPr>
          <w:sz w:val="18"/>
        </w:rPr>
      </w:pPr>
      <w:r>
        <w:rPr>
          <w:spacing w:val="-2"/>
          <w:sz w:val="18"/>
        </w:rPr>
        <w:t>3,402</w:t>
      </w:r>
    </w:p>
    <w:p>
      <w:pPr>
        <w:spacing w:before="107"/>
        <w:ind w:left="0" w:right="1" w:firstLine="0"/>
        <w:jc w:val="right"/>
        <w:rPr>
          <w:sz w:val="18"/>
        </w:rPr>
      </w:pPr>
      <w:r>
        <w:rPr>
          <w:spacing w:val="-5"/>
          <w:sz w:val="18"/>
        </w:rPr>
        <w:t>335</w:t>
      </w:r>
    </w:p>
    <w:p>
      <w:pPr>
        <w:pStyle w:val="BodyText"/>
        <w:spacing w:before="6"/>
      </w:pPr>
    </w:p>
    <w:p>
      <w:pPr>
        <w:spacing w:before="0"/>
        <w:ind w:left="0" w:right="0" w:firstLine="0"/>
        <w:jc w:val="right"/>
        <w:rPr>
          <w:b/>
          <w:sz w:val="18"/>
        </w:rPr>
      </w:pPr>
      <w:r>
        <w:rPr>
          <w:b/>
          <w:spacing w:val="-2"/>
          <w:sz w:val="18"/>
        </w:rPr>
        <w:t>4,487</w:t>
      </w:r>
    </w:p>
    <w:p>
      <w:pPr>
        <w:pStyle w:val="BodyText"/>
        <w:rPr>
          <w:b/>
          <w:sz w:val="20"/>
        </w:rPr>
      </w:pPr>
    </w:p>
    <w:p>
      <w:pPr>
        <w:pStyle w:val="BodyText"/>
        <w:spacing w:before="9"/>
        <w:rPr>
          <w:b/>
          <w:sz w:val="29"/>
        </w:rPr>
      </w:pPr>
    </w:p>
    <w:p>
      <w:pPr>
        <w:spacing w:before="0"/>
        <w:ind w:left="0" w:right="0" w:firstLine="0"/>
        <w:jc w:val="right"/>
        <w:rPr>
          <w:sz w:val="18"/>
        </w:rPr>
      </w:pPr>
      <w:r>
        <w:rPr>
          <w:spacing w:val="-5"/>
          <w:sz w:val="18"/>
        </w:rPr>
        <w:t>440</w:t>
      </w:r>
    </w:p>
    <w:p>
      <w:pPr>
        <w:spacing w:before="115"/>
        <w:ind w:left="0" w:right="0" w:firstLine="0"/>
        <w:jc w:val="right"/>
        <w:rPr>
          <w:b/>
          <w:sz w:val="18"/>
        </w:rPr>
      </w:pPr>
      <w:r>
        <w:rPr>
          <w:b/>
          <w:spacing w:val="-5"/>
          <w:sz w:val="18"/>
        </w:rPr>
        <w:t>440</w:t>
      </w:r>
    </w:p>
    <w:p>
      <w:pPr>
        <w:spacing w:before="148"/>
        <w:ind w:left="242" w:right="141" w:firstLine="0"/>
        <w:jc w:val="center"/>
        <w:rPr>
          <w:b/>
          <w:sz w:val="16"/>
        </w:rPr>
      </w:pPr>
      <w:r>
        <w:rPr/>
        <w:br w:type="column"/>
      </w:r>
      <w:r>
        <w:rPr>
          <w:b/>
          <w:color w:val="FFFFFF"/>
          <w:spacing w:val="-2"/>
          <w:sz w:val="16"/>
        </w:rPr>
        <w:t>Council </w:t>
      </w:r>
      <w:r>
        <w:rPr>
          <w:b/>
          <w:color w:val="FFFFFF"/>
          <w:spacing w:val="-4"/>
          <w:sz w:val="16"/>
        </w:rPr>
        <w:t>Cash</w:t>
      </w:r>
    </w:p>
    <w:p>
      <w:pPr>
        <w:spacing w:before="119"/>
        <w:ind w:left="242" w:right="140" w:firstLine="0"/>
        <w:jc w:val="center"/>
        <w:rPr>
          <w:b/>
          <w:sz w:val="16"/>
        </w:rPr>
      </w:pPr>
      <w:r>
        <w:rPr>
          <w:b/>
          <w:color w:val="FFFFFF"/>
          <w:spacing w:val="-4"/>
          <w:sz w:val="16"/>
        </w:rPr>
        <w:t>$000</w:t>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spacing w:before="104"/>
        <w:ind w:left="0" w:right="38" w:firstLine="0"/>
        <w:jc w:val="right"/>
        <w:rPr>
          <w:sz w:val="18"/>
        </w:rPr>
      </w:pPr>
      <w:r>
        <w:rPr>
          <w:spacing w:val="-5"/>
          <w:sz w:val="18"/>
        </w:rPr>
        <w:t>550</w:t>
      </w:r>
    </w:p>
    <w:p>
      <w:pPr>
        <w:spacing w:before="105"/>
        <w:ind w:left="0" w:right="39" w:firstLine="0"/>
        <w:jc w:val="right"/>
        <w:rPr>
          <w:sz w:val="18"/>
        </w:rPr>
      </w:pPr>
      <w:r>
        <w:rPr>
          <w:spacing w:val="-5"/>
          <w:sz w:val="18"/>
        </w:rPr>
        <w:t>250</w:t>
      </w:r>
    </w:p>
    <w:p>
      <w:pPr>
        <w:spacing w:before="107"/>
        <w:ind w:left="0" w:right="38" w:firstLine="0"/>
        <w:jc w:val="right"/>
        <w:rPr>
          <w:sz w:val="18"/>
        </w:rPr>
      </w:pPr>
      <w:r>
        <w:rPr>
          <w:spacing w:val="-5"/>
          <w:sz w:val="18"/>
        </w:rPr>
        <w:t>95</w:t>
      </w:r>
    </w:p>
    <w:p>
      <w:pPr>
        <w:spacing w:before="108"/>
        <w:ind w:left="0" w:right="38" w:firstLine="0"/>
        <w:jc w:val="right"/>
        <w:rPr>
          <w:sz w:val="18"/>
        </w:rPr>
      </w:pPr>
      <w:r>
        <w:rPr>
          <w:spacing w:val="-5"/>
          <w:sz w:val="18"/>
        </w:rPr>
        <w:t>90</w:t>
      </w:r>
    </w:p>
    <w:p>
      <w:pPr>
        <w:spacing w:before="107"/>
        <w:ind w:left="0" w:right="39" w:firstLine="0"/>
        <w:jc w:val="right"/>
        <w:rPr>
          <w:sz w:val="18"/>
        </w:rPr>
      </w:pPr>
      <w:r>
        <w:rPr>
          <w:spacing w:val="-2"/>
          <w:sz w:val="18"/>
        </w:rPr>
        <w:t>2,298</w:t>
      </w:r>
    </w:p>
    <w:p>
      <w:pPr>
        <w:spacing w:before="108"/>
        <w:ind w:left="0" w:right="39" w:firstLine="0"/>
        <w:jc w:val="right"/>
        <w:rPr>
          <w:sz w:val="18"/>
        </w:rPr>
      </w:pPr>
      <w:r>
        <w:rPr>
          <w:spacing w:val="-5"/>
          <w:sz w:val="18"/>
        </w:rPr>
        <w:t>635</w:t>
      </w:r>
    </w:p>
    <w:p>
      <w:pPr>
        <w:spacing w:before="107"/>
        <w:ind w:left="0" w:right="38" w:firstLine="0"/>
        <w:jc w:val="right"/>
        <w:rPr>
          <w:b/>
          <w:sz w:val="18"/>
        </w:rPr>
      </w:pPr>
      <w:r>
        <w:rPr>
          <w:b/>
          <w:spacing w:val="-2"/>
          <w:sz w:val="18"/>
        </w:rPr>
        <w:t>3,918</w:t>
      </w:r>
    </w:p>
    <w:p>
      <w:pPr>
        <w:pStyle w:val="BodyText"/>
        <w:rPr>
          <w:b/>
          <w:sz w:val="20"/>
        </w:rPr>
      </w:pPr>
    </w:p>
    <w:p>
      <w:pPr>
        <w:pStyle w:val="BodyText"/>
        <w:spacing w:before="5"/>
        <w:rPr>
          <w:b/>
          <w:sz w:val="16"/>
        </w:rPr>
      </w:pPr>
    </w:p>
    <w:p>
      <w:pPr>
        <w:spacing w:before="0"/>
        <w:ind w:left="0" w:right="39" w:firstLine="0"/>
        <w:jc w:val="right"/>
        <w:rPr>
          <w:sz w:val="18"/>
        </w:rPr>
      </w:pPr>
      <w:r>
        <w:rPr>
          <w:spacing w:val="-5"/>
          <w:sz w:val="18"/>
        </w:rPr>
        <w:t>430</w:t>
      </w:r>
    </w:p>
    <w:p>
      <w:pPr>
        <w:spacing w:before="108"/>
        <w:ind w:left="0" w:right="39" w:firstLine="0"/>
        <w:jc w:val="right"/>
        <w:rPr>
          <w:sz w:val="18"/>
        </w:rPr>
      </w:pPr>
      <w:r>
        <w:rPr>
          <w:spacing w:val="-5"/>
          <w:sz w:val="18"/>
        </w:rPr>
        <w:t>320</w:t>
      </w:r>
    </w:p>
    <w:p>
      <w:pPr>
        <w:spacing w:before="107"/>
        <w:ind w:left="0" w:right="38" w:firstLine="0"/>
        <w:jc w:val="right"/>
        <w:rPr>
          <w:sz w:val="18"/>
        </w:rPr>
      </w:pPr>
      <w:r>
        <w:rPr>
          <w:spacing w:val="-2"/>
          <w:sz w:val="18"/>
        </w:rPr>
        <w:t>1,502</w:t>
      </w:r>
    </w:p>
    <w:p>
      <w:pPr>
        <w:spacing w:before="108"/>
        <w:ind w:left="0" w:right="39" w:firstLine="0"/>
        <w:jc w:val="right"/>
        <w:rPr>
          <w:sz w:val="18"/>
        </w:rPr>
      </w:pPr>
      <w:r>
        <w:rPr>
          <w:spacing w:val="-5"/>
          <w:sz w:val="18"/>
        </w:rPr>
        <w:t>335</w:t>
      </w:r>
    </w:p>
    <w:p>
      <w:pPr>
        <w:pStyle w:val="BodyText"/>
        <w:spacing w:before="5"/>
      </w:pPr>
    </w:p>
    <w:p>
      <w:pPr>
        <w:spacing w:before="0"/>
        <w:ind w:left="0" w:right="38" w:firstLine="0"/>
        <w:jc w:val="right"/>
        <w:rPr>
          <w:b/>
          <w:sz w:val="18"/>
        </w:rPr>
      </w:pPr>
      <w:r>
        <w:rPr>
          <w:b/>
          <w:spacing w:val="-2"/>
          <w:sz w:val="18"/>
        </w:rPr>
        <w:t>2,587</w:t>
      </w:r>
    </w:p>
    <w:p>
      <w:pPr>
        <w:pStyle w:val="BodyText"/>
        <w:rPr>
          <w:b/>
          <w:sz w:val="20"/>
        </w:rPr>
      </w:pPr>
    </w:p>
    <w:p>
      <w:pPr>
        <w:pStyle w:val="BodyText"/>
        <w:spacing w:before="10"/>
        <w:rPr>
          <w:b/>
          <w:sz w:val="29"/>
        </w:rPr>
      </w:pPr>
    </w:p>
    <w:p>
      <w:pPr>
        <w:spacing w:before="0"/>
        <w:ind w:left="0" w:right="39" w:firstLine="0"/>
        <w:jc w:val="right"/>
        <w:rPr>
          <w:sz w:val="18"/>
        </w:rPr>
      </w:pPr>
      <w:r>
        <w:rPr>
          <w:spacing w:val="-5"/>
          <w:sz w:val="18"/>
        </w:rPr>
        <w:t>440</w:t>
      </w:r>
    </w:p>
    <w:p>
      <w:pPr>
        <w:spacing w:before="114"/>
        <w:ind w:left="0" w:right="39" w:firstLine="0"/>
        <w:jc w:val="right"/>
        <w:rPr>
          <w:b/>
          <w:sz w:val="18"/>
        </w:rPr>
      </w:pPr>
      <w:r>
        <w:rPr>
          <w:b/>
          <w:spacing w:val="-5"/>
          <w:sz w:val="18"/>
        </w:rPr>
        <w:t>440</w:t>
      </w:r>
    </w:p>
    <w:p>
      <w:pPr>
        <w:spacing w:line="240" w:lineRule="auto" w:before="9"/>
        <w:rPr>
          <w:b/>
          <w:sz w:val="20"/>
        </w:rPr>
      </w:pPr>
      <w:r>
        <w:rPr/>
        <w:br w:type="column"/>
      </w:r>
      <w:r>
        <w:rPr>
          <w:b/>
          <w:sz w:val="20"/>
        </w:rPr>
      </w:r>
    </w:p>
    <w:p>
      <w:pPr>
        <w:spacing w:before="0"/>
        <w:ind w:left="242" w:right="0" w:firstLine="0"/>
        <w:jc w:val="left"/>
        <w:rPr>
          <w:b/>
          <w:sz w:val="16"/>
        </w:rPr>
      </w:pPr>
      <w:r>
        <w:rPr>
          <w:b/>
          <w:color w:val="FFFFFF"/>
          <w:spacing w:val="-2"/>
          <w:sz w:val="16"/>
        </w:rPr>
        <w:t>Grants</w:t>
      </w:r>
    </w:p>
    <w:p>
      <w:pPr>
        <w:pStyle w:val="BodyText"/>
        <w:spacing w:before="5"/>
        <w:rPr>
          <w:b/>
          <w:sz w:val="18"/>
        </w:rPr>
      </w:pPr>
    </w:p>
    <w:p>
      <w:pPr>
        <w:spacing w:before="1"/>
        <w:ind w:left="324" w:right="0" w:firstLine="0"/>
        <w:jc w:val="left"/>
        <w:rPr>
          <w:b/>
          <w:sz w:val="16"/>
        </w:rPr>
      </w:pPr>
      <w:r>
        <w:rPr>
          <w:b/>
          <w:color w:val="FFFFFF"/>
          <w:spacing w:val="-4"/>
          <w:sz w:val="16"/>
        </w:rPr>
        <w:t>$000</w:t>
      </w:r>
    </w:p>
    <w:p>
      <w:pPr>
        <w:pStyle w:val="BodyText"/>
        <w:rPr>
          <w:b/>
          <w:sz w:val="18"/>
        </w:rPr>
      </w:pPr>
    </w:p>
    <w:p>
      <w:pPr>
        <w:pStyle w:val="BodyText"/>
        <w:rPr>
          <w:b/>
          <w:sz w:val="18"/>
        </w:rPr>
      </w:pPr>
    </w:p>
    <w:p>
      <w:pPr>
        <w:pStyle w:val="BodyText"/>
        <w:rPr>
          <w:b/>
          <w:sz w:val="18"/>
        </w:rPr>
      </w:pPr>
    </w:p>
    <w:p>
      <w:pPr>
        <w:pStyle w:val="BodyText"/>
        <w:rPr>
          <w:b/>
          <w:sz w:val="18"/>
        </w:rPr>
      </w:pPr>
    </w:p>
    <w:p>
      <w:pPr>
        <w:spacing w:before="111"/>
        <w:ind w:left="0" w:right="1" w:firstLine="0"/>
        <w:jc w:val="right"/>
        <w:rPr>
          <w:sz w:val="18"/>
        </w:rPr>
      </w:pPr>
      <w:r>
        <w:rPr>
          <w:spacing w:val="-5"/>
          <w:sz w:val="18"/>
        </w:rPr>
        <w:t>813</w:t>
      </w:r>
    </w:p>
    <w:p>
      <w:pPr>
        <w:pStyle w:val="BodyText"/>
        <w:rPr>
          <w:sz w:val="20"/>
        </w:rPr>
      </w:pPr>
    </w:p>
    <w:p>
      <w:pPr>
        <w:pStyle w:val="BodyText"/>
        <w:spacing w:before="5"/>
        <w:rPr>
          <w:sz w:val="24"/>
        </w:rPr>
      </w:pPr>
    </w:p>
    <w:p>
      <w:pPr>
        <w:spacing w:before="0"/>
        <w:ind w:left="0" w:right="0" w:firstLine="0"/>
        <w:jc w:val="right"/>
        <w:rPr>
          <w:sz w:val="18"/>
        </w:rPr>
      </w:pPr>
      <w:r>
        <w:rPr>
          <w:spacing w:val="-2"/>
          <w:sz w:val="18"/>
        </w:rPr>
        <w:t>1,021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spacing w:before="0"/>
        <w:ind w:left="0" w:right="1" w:firstLine="0"/>
        <w:jc w:val="right"/>
        <w:rPr>
          <w:b/>
          <w:sz w:val="18"/>
        </w:rPr>
      </w:pPr>
      <w:r>
        <w:rPr>
          <w:b/>
          <w:spacing w:val="-2"/>
          <w:sz w:val="18"/>
        </w:rPr>
        <w:t>1,834</w:t>
      </w:r>
    </w:p>
    <w:p>
      <w:pPr>
        <w:pStyle w:val="BodyText"/>
        <w:rPr>
          <w:b/>
          <w:sz w:val="20"/>
        </w:rPr>
      </w:pPr>
    </w:p>
    <w:p>
      <w:pPr>
        <w:pStyle w:val="BodyText"/>
        <w:rPr>
          <w:b/>
          <w:sz w:val="20"/>
        </w:rPr>
      </w:pPr>
    </w:p>
    <w:p>
      <w:pPr>
        <w:pStyle w:val="BodyText"/>
        <w:rPr>
          <w:b/>
          <w:sz w:val="20"/>
        </w:rPr>
      </w:pPr>
    </w:p>
    <w:p>
      <w:pPr>
        <w:pStyle w:val="BodyText"/>
        <w:rPr>
          <w:b/>
          <w:sz w:val="20"/>
        </w:rPr>
      </w:pPr>
    </w:p>
    <w:p>
      <w:pPr>
        <w:spacing w:before="128"/>
        <w:ind w:left="0" w:right="0" w:firstLine="0"/>
        <w:jc w:val="right"/>
        <w:rPr>
          <w:sz w:val="18"/>
        </w:rPr>
      </w:pPr>
      <w:r>
        <w:rPr>
          <w:spacing w:val="-2"/>
          <w:sz w:val="18"/>
        </w:rPr>
        <w:t>1,900</w:t>
      </w:r>
    </w:p>
    <w:p>
      <w:pPr>
        <w:pStyle w:val="BodyText"/>
        <w:rPr>
          <w:sz w:val="20"/>
        </w:rPr>
      </w:pPr>
    </w:p>
    <w:p>
      <w:pPr>
        <w:pStyle w:val="BodyText"/>
        <w:spacing w:before="10"/>
        <w:rPr>
          <w:sz w:val="29"/>
        </w:rPr>
      </w:pPr>
    </w:p>
    <w:p>
      <w:pPr>
        <w:spacing w:before="0"/>
        <w:ind w:left="0" w:right="1" w:firstLine="0"/>
        <w:jc w:val="right"/>
        <w:rPr>
          <w:b/>
          <w:sz w:val="18"/>
        </w:rPr>
      </w:pPr>
      <w:r>
        <w:rPr>
          <w:b/>
          <w:spacing w:val="-2"/>
          <w:sz w:val="18"/>
        </w:rPr>
        <w:t>1,900</w:t>
      </w:r>
    </w:p>
    <w:p>
      <w:pPr>
        <w:pStyle w:val="BodyText"/>
        <w:rPr>
          <w:b/>
          <w:sz w:val="20"/>
        </w:rPr>
      </w:pPr>
    </w:p>
    <w:p>
      <w:pPr>
        <w:pStyle w:val="BodyText"/>
        <w:rPr>
          <w:b/>
          <w:sz w:val="20"/>
        </w:rPr>
      </w:pPr>
    </w:p>
    <w:p>
      <w:pPr>
        <w:pStyle w:val="BodyText"/>
        <w:rPr>
          <w:b/>
          <w:sz w:val="20"/>
        </w:rPr>
      </w:pPr>
    </w:p>
    <w:p>
      <w:pPr>
        <w:pStyle w:val="BodyText"/>
        <w:spacing w:before="9"/>
        <w:rPr>
          <w:b/>
          <w:sz w:val="17"/>
        </w:rPr>
      </w:pPr>
    </w:p>
    <w:p>
      <w:pPr>
        <w:spacing w:before="0"/>
        <w:ind w:left="0" w:right="1" w:firstLine="0"/>
        <w:jc w:val="right"/>
        <w:rPr>
          <w:b/>
          <w:sz w:val="18"/>
        </w:rPr>
      </w:pPr>
      <w:r>
        <w:rPr>
          <w:b/>
          <w:sz w:val="18"/>
        </w:rPr>
        <w:t>0</w:t>
      </w:r>
    </w:p>
    <w:p>
      <w:pPr>
        <w:spacing w:before="148"/>
        <w:ind w:left="190" w:right="12" w:hanging="1"/>
        <w:jc w:val="center"/>
        <w:rPr>
          <w:b/>
          <w:sz w:val="16"/>
        </w:rPr>
      </w:pPr>
      <w:r>
        <w:rPr/>
        <w:br w:type="column"/>
      </w:r>
      <w:r>
        <w:rPr>
          <w:b/>
          <w:color w:val="FFFFFF"/>
          <w:spacing w:val="-2"/>
          <w:sz w:val="16"/>
        </w:rPr>
        <w:t>Others </w:t>
      </w:r>
      <w:r>
        <w:rPr>
          <w:b/>
          <w:color w:val="FFFFFF"/>
          <w:sz w:val="16"/>
        </w:rPr>
        <w:t>Contrib</w:t>
      </w:r>
      <w:r>
        <w:rPr>
          <w:b/>
          <w:color w:val="FFFFFF"/>
          <w:spacing w:val="-12"/>
          <w:sz w:val="16"/>
        </w:rPr>
        <w:t> </w:t>
      </w:r>
      <w:r>
        <w:rPr>
          <w:b/>
          <w:color w:val="FFFFFF"/>
          <w:sz w:val="16"/>
        </w:rPr>
        <w:t>‘n</w:t>
      </w:r>
    </w:p>
    <w:p>
      <w:pPr>
        <w:spacing w:before="119"/>
        <w:ind w:left="378" w:right="206" w:firstLine="0"/>
        <w:jc w:val="center"/>
        <w:rPr>
          <w:b/>
          <w:sz w:val="16"/>
        </w:rPr>
      </w:pPr>
      <w:r>
        <w:rPr>
          <w:b/>
          <w:color w:val="FFFFFF"/>
          <w:spacing w:val="-4"/>
          <w:sz w:val="16"/>
        </w:rPr>
        <w:t>$000</w:t>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spacing w:before="125"/>
        <w:ind w:left="0" w:right="0" w:firstLine="0"/>
        <w:jc w:val="right"/>
        <w:rPr>
          <w:b/>
          <w:sz w:val="18"/>
        </w:rPr>
      </w:pPr>
      <w:r>
        <w:rPr>
          <w:b/>
          <w:sz w:val="18"/>
        </w:rPr>
        <w:t>0</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9"/>
        </w:rPr>
      </w:pPr>
    </w:p>
    <w:p>
      <w:pPr>
        <w:spacing w:before="0"/>
        <w:ind w:left="0" w:right="0" w:firstLine="0"/>
        <w:jc w:val="right"/>
        <w:rPr>
          <w:b/>
          <w:sz w:val="18"/>
        </w:rPr>
      </w:pPr>
      <w:r>
        <w:rPr>
          <w:b/>
          <w:sz w:val="18"/>
        </w:rPr>
        <w:t>0</w:t>
      </w:r>
    </w:p>
    <w:p>
      <w:pPr>
        <w:pStyle w:val="BodyText"/>
        <w:rPr>
          <w:b/>
          <w:sz w:val="20"/>
        </w:rPr>
      </w:pPr>
    </w:p>
    <w:p>
      <w:pPr>
        <w:pStyle w:val="BodyText"/>
        <w:rPr>
          <w:b/>
          <w:sz w:val="20"/>
        </w:rPr>
      </w:pPr>
    </w:p>
    <w:p>
      <w:pPr>
        <w:pStyle w:val="BodyText"/>
        <w:rPr>
          <w:b/>
          <w:sz w:val="20"/>
        </w:rPr>
      </w:pPr>
    </w:p>
    <w:p>
      <w:pPr>
        <w:pStyle w:val="BodyText"/>
        <w:spacing w:before="9"/>
        <w:rPr>
          <w:b/>
          <w:sz w:val="17"/>
        </w:rPr>
      </w:pPr>
    </w:p>
    <w:p>
      <w:pPr>
        <w:spacing w:before="0"/>
        <w:ind w:left="0" w:right="0" w:firstLine="0"/>
        <w:jc w:val="right"/>
        <w:rPr>
          <w:b/>
          <w:sz w:val="18"/>
        </w:rPr>
      </w:pPr>
      <w:r>
        <w:rPr>
          <w:b/>
          <w:sz w:val="18"/>
        </w:rPr>
        <w:t>0</w:t>
      </w:r>
    </w:p>
    <w:p>
      <w:pPr>
        <w:spacing w:before="148"/>
        <w:ind w:left="242" w:right="68" w:hanging="4"/>
        <w:jc w:val="center"/>
        <w:rPr>
          <w:b/>
          <w:sz w:val="16"/>
        </w:rPr>
      </w:pPr>
      <w:r>
        <w:rPr/>
        <w:br w:type="column"/>
      </w:r>
      <w:r>
        <w:rPr>
          <w:b/>
          <w:color w:val="FFFFFF"/>
          <w:spacing w:val="-2"/>
          <w:sz w:val="16"/>
        </w:rPr>
        <w:t>Asset Renewal</w:t>
      </w:r>
    </w:p>
    <w:p>
      <w:pPr>
        <w:spacing w:before="119"/>
        <w:ind w:left="376" w:right="205" w:firstLine="0"/>
        <w:jc w:val="center"/>
        <w:rPr>
          <w:b/>
          <w:sz w:val="16"/>
        </w:rPr>
      </w:pPr>
      <w:r>
        <w:rPr>
          <w:b/>
          <w:color w:val="FFFFFF"/>
          <w:spacing w:val="-4"/>
          <w:sz w:val="16"/>
        </w:rPr>
        <w:t>$000</w:t>
      </w:r>
    </w:p>
    <w:p>
      <w:pPr>
        <w:pStyle w:val="BodyText"/>
        <w:rPr>
          <w:b/>
          <w:sz w:val="18"/>
        </w:rPr>
      </w:pPr>
    </w:p>
    <w:p>
      <w:pPr>
        <w:pStyle w:val="BodyText"/>
        <w:rPr>
          <w:b/>
          <w:sz w:val="18"/>
        </w:rPr>
      </w:pPr>
    </w:p>
    <w:p>
      <w:pPr>
        <w:pStyle w:val="BodyText"/>
        <w:rPr>
          <w:b/>
          <w:sz w:val="18"/>
        </w:rPr>
      </w:pPr>
    </w:p>
    <w:p>
      <w:pPr>
        <w:pStyle w:val="BodyText"/>
        <w:rPr>
          <w:b/>
          <w:sz w:val="18"/>
        </w:rPr>
      </w:pPr>
    </w:p>
    <w:p>
      <w:pPr>
        <w:spacing w:before="112"/>
        <w:ind w:left="0" w:right="1" w:firstLine="0"/>
        <w:jc w:val="right"/>
        <w:rPr>
          <w:sz w:val="18"/>
        </w:rPr>
      </w:pPr>
      <w:r>
        <w:rPr>
          <w:spacing w:val="-5"/>
          <w:sz w:val="18"/>
        </w:rPr>
        <w:t>650</w:t>
      </w:r>
    </w:p>
    <w:p>
      <w:pPr>
        <w:pStyle w:val="BodyText"/>
        <w:spacing w:before="3"/>
        <w:rPr>
          <w:sz w:val="17"/>
        </w:rPr>
      </w:pPr>
    </w:p>
    <w:p>
      <w:pPr>
        <w:spacing w:before="0"/>
        <w:ind w:left="0" w:right="1" w:firstLine="0"/>
        <w:jc w:val="right"/>
        <w:rPr>
          <w:sz w:val="18"/>
        </w:rPr>
      </w:pPr>
      <w:r>
        <w:rPr>
          <w:spacing w:val="-5"/>
          <w:sz w:val="18"/>
        </w:rPr>
        <w:t>550</w:t>
      </w:r>
    </w:p>
    <w:p>
      <w:pPr>
        <w:spacing w:before="105"/>
        <w:ind w:left="0" w:right="1" w:firstLine="0"/>
        <w:jc w:val="right"/>
        <w:rPr>
          <w:sz w:val="18"/>
        </w:rPr>
      </w:pPr>
      <w:r>
        <w:rPr>
          <w:spacing w:val="-5"/>
          <w:sz w:val="18"/>
        </w:rPr>
        <w:t>125</w:t>
      </w:r>
    </w:p>
    <w:p>
      <w:pPr>
        <w:spacing w:before="108"/>
        <w:ind w:left="0" w:right="0" w:firstLine="0"/>
        <w:jc w:val="right"/>
        <w:rPr>
          <w:sz w:val="18"/>
        </w:rPr>
      </w:pPr>
      <w:r>
        <w:rPr>
          <w:spacing w:val="-5"/>
          <w:sz w:val="18"/>
        </w:rPr>
        <w:t>95</w:t>
      </w:r>
    </w:p>
    <w:p>
      <w:pPr>
        <w:spacing w:before="107"/>
        <w:ind w:left="0" w:right="0" w:firstLine="0"/>
        <w:jc w:val="right"/>
        <w:rPr>
          <w:sz w:val="18"/>
        </w:rPr>
      </w:pPr>
      <w:r>
        <w:rPr>
          <w:spacing w:val="-5"/>
          <w:sz w:val="18"/>
        </w:rPr>
        <w:t>90</w:t>
      </w:r>
    </w:p>
    <w:p>
      <w:pPr>
        <w:spacing w:before="108"/>
        <w:ind w:left="0" w:right="0" w:firstLine="0"/>
        <w:jc w:val="right"/>
        <w:rPr>
          <w:sz w:val="18"/>
        </w:rPr>
      </w:pPr>
      <w:r>
        <w:rPr>
          <w:spacing w:val="-2"/>
          <w:sz w:val="18"/>
        </w:rPr>
        <w:t>2,298</w:t>
      </w:r>
    </w:p>
    <w:p>
      <w:pPr>
        <w:spacing w:before="107"/>
        <w:ind w:left="0" w:right="1" w:firstLine="0"/>
        <w:jc w:val="right"/>
        <w:rPr>
          <w:sz w:val="18"/>
        </w:rPr>
      </w:pPr>
      <w:r>
        <w:rPr>
          <w:spacing w:val="-5"/>
          <w:sz w:val="18"/>
        </w:rPr>
        <w:t>635</w:t>
      </w:r>
    </w:p>
    <w:p>
      <w:pPr>
        <w:spacing w:before="107"/>
        <w:ind w:left="0" w:right="0" w:firstLine="0"/>
        <w:jc w:val="right"/>
        <w:rPr>
          <w:b/>
          <w:sz w:val="18"/>
        </w:rPr>
      </w:pPr>
      <w:r>
        <w:rPr>
          <w:b/>
          <w:spacing w:val="-2"/>
          <w:sz w:val="18"/>
        </w:rPr>
        <w:t>4,443</w:t>
      </w:r>
    </w:p>
    <w:p>
      <w:pPr>
        <w:pStyle w:val="BodyText"/>
        <w:rPr>
          <w:b/>
          <w:sz w:val="20"/>
        </w:rPr>
      </w:pPr>
    </w:p>
    <w:p>
      <w:pPr>
        <w:pStyle w:val="BodyText"/>
        <w:spacing w:before="6"/>
        <w:rPr>
          <w:b/>
          <w:sz w:val="16"/>
        </w:rPr>
      </w:pPr>
    </w:p>
    <w:p>
      <w:pPr>
        <w:spacing w:before="0"/>
        <w:ind w:left="0" w:right="1" w:firstLine="0"/>
        <w:jc w:val="right"/>
        <w:rPr>
          <w:sz w:val="18"/>
        </w:rPr>
      </w:pPr>
      <w:r>
        <w:rPr>
          <w:spacing w:val="-5"/>
          <w:sz w:val="18"/>
        </w:rPr>
        <w:t>287</w:t>
      </w:r>
    </w:p>
    <w:p>
      <w:pPr>
        <w:spacing w:before="107"/>
        <w:ind w:left="0" w:right="1" w:firstLine="0"/>
        <w:jc w:val="right"/>
        <w:rPr>
          <w:sz w:val="18"/>
        </w:rPr>
      </w:pPr>
      <w:r>
        <w:rPr>
          <w:spacing w:val="-5"/>
          <w:sz w:val="18"/>
        </w:rPr>
        <w:t>320</w:t>
      </w:r>
    </w:p>
    <w:p>
      <w:pPr>
        <w:pStyle w:val="BodyText"/>
        <w:rPr>
          <w:sz w:val="20"/>
        </w:rPr>
      </w:pPr>
    </w:p>
    <w:p>
      <w:pPr>
        <w:pStyle w:val="BodyText"/>
        <w:spacing w:before="8"/>
        <w:rPr>
          <w:sz w:val="16"/>
        </w:rPr>
      </w:pPr>
    </w:p>
    <w:p>
      <w:pPr>
        <w:spacing w:before="0"/>
        <w:ind w:left="0" w:right="1" w:firstLine="0"/>
        <w:jc w:val="right"/>
        <w:rPr>
          <w:sz w:val="18"/>
        </w:rPr>
      </w:pPr>
      <w:r>
        <w:rPr>
          <w:spacing w:val="-5"/>
          <w:sz w:val="18"/>
        </w:rPr>
        <w:t>268</w:t>
      </w:r>
    </w:p>
    <w:p>
      <w:pPr>
        <w:pStyle w:val="BodyText"/>
        <w:spacing w:before="6"/>
      </w:pPr>
    </w:p>
    <w:p>
      <w:pPr>
        <w:spacing w:before="0"/>
        <w:ind w:left="0" w:right="1" w:firstLine="0"/>
        <w:jc w:val="right"/>
        <w:rPr>
          <w:b/>
          <w:sz w:val="18"/>
        </w:rPr>
      </w:pPr>
      <w:r>
        <w:rPr>
          <w:b/>
          <w:spacing w:val="-5"/>
          <w:sz w:val="18"/>
        </w:rPr>
        <w:t>875</w:t>
      </w:r>
    </w:p>
    <w:p>
      <w:pPr>
        <w:pStyle w:val="BodyText"/>
        <w:rPr>
          <w:b/>
          <w:sz w:val="20"/>
        </w:rPr>
      </w:pPr>
    </w:p>
    <w:p>
      <w:pPr>
        <w:pStyle w:val="BodyText"/>
        <w:spacing w:before="9"/>
        <w:rPr>
          <w:b/>
          <w:sz w:val="29"/>
        </w:rPr>
      </w:pPr>
    </w:p>
    <w:p>
      <w:pPr>
        <w:spacing w:before="0"/>
        <w:ind w:left="0" w:right="1" w:firstLine="0"/>
        <w:jc w:val="right"/>
        <w:rPr>
          <w:sz w:val="18"/>
        </w:rPr>
      </w:pPr>
      <w:r>
        <w:rPr>
          <w:spacing w:val="-5"/>
          <w:sz w:val="18"/>
        </w:rPr>
        <w:t>220</w:t>
      </w:r>
    </w:p>
    <w:p>
      <w:pPr>
        <w:spacing w:before="115"/>
        <w:ind w:left="0" w:right="1" w:firstLine="0"/>
        <w:jc w:val="right"/>
        <w:rPr>
          <w:b/>
          <w:sz w:val="18"/>
        </w:rPr>
      </w:pPr>
      <w:r>
        <w:rPr>
          <w:b/>
          <w:spacing w:val="-5"/>
          <w:sz w:val="18"/>
        </w:rPr>
        <w:t>220</w:t>
      </w:r>
    </w:p>
    <w:p>
      <w:pPr>
        <w:spacing w:line="240" w:lineRule="auto" w:before="9"/>
        <w:rPr>
          <w:b/>
          <w:sz w:val="20"/>
        </w:rPr>
      </w:pPr>
      <w:r>
        <w:rPr/>
        <w:br w:type="column"/>
      </w:r>
      <w:r>
        <w:rPr>
          <w:b/>
          <w:sz w:val="20"/>
        </w:rPr>
      </w:r>
    </w:p>
    <w:p>
      <w:pPr>
        <w:spacing w:before="0"/>
        <w:ind w:left="172" w:right="0" w:firstLine="0"/>
        <w:jc w:val="center"/>
        <w:rPr>
          <w:b/>
          <w:sz w:val="16"/>
        </w:rPr>
      </w:pPr>
      <w:r>
        <w:rPr>
          <w:b/>
          <w:color w:val="FFFFFF"/>
          <w:spacing w:val="-2"/>
          <w:sz w:val="16"/>
        </w:rPr>
        <w:t>Upgrade</w:t>
      </w:r>
    </w:p>
    <w:p>
      <w:pPr>
        <w:pStyle w:val="BodyText"/>
        <w:spacing w:before="5"/>
        <w:rPr>
          <w:b/>
          <w:sz w:val="18"/>
        </w:rPr>
      </w:pPr>
    </w:p>
    <w:p>
      <w:pPr>
        <w:spacing w:before="1"/>
        <w:ind w:left="170" w:right="0" w:firstLine="0"/>
        <w:jc w:val="center"/>
        <w:rPr>
          <w:b/>
          <w:sz w:val="16"/>
        </w:rPr>
      </w:pPr>
      <w:r>
        <w:rPr>
          <w:b/>
          <w:color w:val="FFFFFF"/>
          <w:spacing w:val="-4"/>
          <w:sz w:val="16"/>
        </w:rPr>
        <w:t>$000</w:t>
      </w:r>
    </w:p>
    <w:p>
      <w:pPr>
        <w:pStyle w:val="BodyText"/>
        <w:rPr>
          <w:b/>
          <w:sz w:val="18"/>
        </w:rPr>
      </w:pPr>
    </w:p>
    <w:p>
      <w:pPr>
        <w:pStyle w:val="BodyText"/>
        <w:rPr>
          <w:b/>
          <w:sz w:val="18"/>
        </w:rPr>
      </w:pPr>
    </w:p>
    <w:p>
      <w:pPr>
        <w:pStyle w:val="BodyText"/>
        <w:rPr>
          <w:b/>
          <w:sz w:val="18"/>
        </w:rPr>
      </w:pPr>
    </w:p>
    <w:p>
      <w:pPr>
        <w:pStyle w:val="BodyText"/>
        <w:rPr>
          <w:b/>
          <w:sz w:val="18"/>
        </w:rPr>
      </w:pPr>
    </w:p>
    <w:p>
      <w:pPr>
        <w:spacing w:before="111"/>
        <w:ind w:left="0" w:right="0" w:firstLine="0"/>
        <w:jc w:val="right"/>
        <w:rPr>
          <w:sz w:val="18"/>
        </w:rPr>
      </w:pPr>
      <w:r>
        <w:rPr>
          <w:spacing w:val="-5"/>
          <w:sz w:val="18"/>
        </w:rPr>
        <w:t>163</w:t>
      </w:r>
    </w:p>
    <w:p>
      <w:pPr>
        <w:pStyle w:val="BodyText"/>
        <w:rPr>
          <w:sz w:val="20"/>
        </w:rPr>
      </w:pPr>
    </w:p>
    <w:p>
      <w:pPr>
        <w:pStyle w:val="BodyText"/>
        <w:spacing w:before="5"/>
        <w:rPr>
          <w:sz w:val="24"/>
        </w:rPr>
      </w:pPr>
    </w:p>
    <w:p>
      <w:pPr>
        <w:spacing w:before="0"/>
        <w:ind w:left="0" w:right="0" w:firstLine="0"/>
        <w:jc w:val="right"/>
        <w:rPr>
          <w:sz w:val="18"/>
        </w:rPr>
      </w:pPr>
      <w:r>
        <w:rPr>
          <w:spacing w:val="-5"/>
          <w:sz w:val="18"/>
        </w:rPr>
        <w:t>329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spacing w:before="0"/>
        <w:ind w:left="0" w:right="0" w:firstLine="0"/>
        <w:jc w:val="right"/>
        <w:rPr>
          <w:b/>
          <w:sz w:val="18"/>
        </w:rPr>
      </w:pPr>
      <w:r>
        <w:rPr>
          <w:b/>
          <w:spacing w:val="-5"/>
          <w:sz w:val="18"/>
        </w:rPr>
        <w:t>492</w:t>
      </w:r>
    </w:p>
    <w:p>
      <w:pPr>
        <w:pStyle w:val="BodyText"/>
        <w:rPr>
          <w:b/>
          <w:sz w:val="20"/>
        </w:rPr>
      </w:pPr>
    </w:p>
    <w:p>
      <w:pPr>
        <w:pStyle w:val="BodyText"/>
        <w:spacing w:before="5"/>
        <w:rPr>
          <w:b/>
          <w:sz w:val="16"/>
        </w:rPr>
      </w:pPr>
    </w:p>
    <w:p>
      <w:pPr>
        <w:spacing w:before="0"/>
        <w:ind w:left="0" w:right="0" w:firstLine="0"/>
        <w:jc w:val="right"/>
        <w:rPr>
          <w:sz w:val="18"/>
        </w:rPr>
      </w:pPr>
      <w:r>
        <w:rPr>
          <w:spacing w:val="-5"/>
          <w:sz w:val="18"/>
        </w:rPr>
        <w:t>143</w:t>
      </w:r>
    </w:p>
    <w:p>
      <w:pPr>
        <w:pStyle w:val="BodyText"/>
        <w:rPr>
          <w:sz w:val="20"/>
        </w:rPr>
      </w:pPr>
    </w:p>
    <w:p>
      <w:pPr>
        <w:pStyle w:val="BodyText"/>
        <w:rPr>
          <w:sz w:val="20"/>
        </w:rPr>
      </w:pPr>
    </w:p>
    <w:p>
      <w:pPr>
        <w:pStyle w:val="BodyText"/>
        <w:spacing w:before="1"/>
        <w:rPr>
          <w:sz w:val="24"/>
        </w:rPr>
      </w:pPr>
    </w:p>
    <w:p>
      <w:pPr>
        <w:spacing w:before="0"/>
        <w:ind w:left="0" w:right="1" w:firstLine="0"/>
        <w:jc w:val="right"/>
        <w:rPr>
          <w:sz w:val="18"/>
        </w:rPr>
      </w:pPr>
      <w:r>
        <w:rPr>
          <w:spacing w:val="-5"/>
          <w:sz w:val="18"/>
        </w:rPr>
        <w:t>67</w:t>
      </w:r>
    </w:p>
    <w:p>
      <w:pPr>
        <w:pStyle w:val="BodyText"/>
        <w:spacing w:before="5"/>
      </w:pPr>
    </w:p>
    <w:p>
      <w:pPr>
        <w:spacing w:before="0"/>
        <w:ind w:left="0" w:right="0" w:firstLine="0"/>
        <w:jc w:val="right"/>
        <w:rPr>
          <w:b/>
          <w:sz w:val="18"/>
        </w:rPr>
      </w:pPr>
      <w:r>
        <w:rPr>
          <w:b/>
          <w:spacing w:val="-5"/>
          <w:sz w:val="18"/>
        </w:rPr>
        <w:t>210</w:t>
      </w:r>
    </w:p>
    <w:p>
      <w:pPr>
        <w:pStyle w:val="BodyText"/>
        <w:rPr>
          <w:b/>
          <w:sz w:val="20"/>
        </w:rPr>
      </w:pPr>
    </w:p>
    <w:p>
      <w:pPr>
        <w:pStyle w:val="BodyText"/>
        <w:spacing w:before="10"/>
        <w:rPr>
          <w:b/>
          <w:sz w:val="29"/>
        </w:rPr>
      </w:pPr>
    </w:p>
    <w:p>
      <w:pPr>
        <w:spacing w:before="0"/>
        <w:ind w:left="0" w:right="0" w:firstLine="0"/>
        <w:jc w:val="right"/>
        <w:rPr>
          <w:sz w:val="18"/>
        </w:rPr>
      </w:pPr>
      <w:r>
        <w:rPr>
          <w:spacing w:val="-5"/>
          <w:sz w:val="18"/>
        </w:rPr>
        <w:t>220</w:t>
      </w:r>
    </w:p>
    <w:p>
      <w:pPr>
        <w:spacing w:before="115"/>
        <w:ind w:left="0" w:right="0" w:firstLine="0"/>
        <w:jc w:val="right"/>
        <w:rPr>
          <w:b/>
          <w:sz w:val="18"/>
        </w:rPr>
      </w:pPr>
      <w:r>
        <w:rPr>
          <w:b/>
          <w:spacing w:val="-5"/>
          <w:sz w:val="18"/>
        </w:rPr>
        <w:t>220</w:t>
      </w:r>
    </w:p>
    <w:p>
      <w:pPr>
        <w:spacing w:line="240" w:lineRule="auto" w:before="9"/>
        <w:rPr>
          <w:b/>
          <w:sz w:val="20"/>
        </w:rPr>
      </w:pPr>
      <w:r>
        <w:rPr/>
        <w:br w:type="column"/>
      </w:r>
      <w:r>
        <w:rPr>
          <w:b/>
          <w:sz w:val="20"/>
        </w:rPr>
      </w:r>
    </w:p>
    <w:p>
      <w:pPr>
        <w:spacing w:before="0"/>
        <w:ind w:left="174" w:right="0" w:firstLine="0"/>
        <w:jc w:val="center"/>
        <w:rPr>
          <w:b/>
          <w:sz w:val="16"/>
        </w:rPr>
      </w:pPr>
      <w:r>
        <w:rPr>
          <w:b/>
          <w:color w:val="FFFFFF"/>
          <w:sz w:val="16"/>
        </w:rPr>
        <w:t>New</w:t>
      </w:r>
      <w:r>
        <w:rPr>
          <w:b/>
          <w:color w:val="FFFFFF"/>
          <w:spacing w:val="-1"/>
          <w:sz w:val="16"/>
        </w:rPr>
        <w:t> </w:t>
      </w:r>
      <w:r>
        <w:rPr>
          <w:b/>
          <w:color w:val="FFFFFF"/>
          <w:spacing w:val="-4"/>
          <w:sz w:val="16"/>
        </w:rPr>
        <w:t>Work</w:t>
      </w:r>
    </w:p>
    <w:p>
      <w:pPr>
        <w:pStyle w:val="BodyText"/>
        <w:spacing w:before="5"/>
        <w:rPr>
          <w:b/>
          <w:sz w:val="18"/>
        </w:rPr>
      </w:pPr>
    </w:p>
    <w:p>
      <w:pPr>
        <w:spacing w:before="1"/>
        <w:ind w:left="172" w:right="0" w:firstLine="0"/>
        <w:jc w:val="center"/>
        <w:rPr>
          <w:b/>
          <w:sz w:val="16"/>
        </w:rPr>
      </w:pPr>
      <w:r>
        <w:rPr>
          <w:b/>
          <w:color w:val="FFFFFF"/>
          <w:spacing w:val="-4"/>
          <w:sz w:val="16"/>
        </w:rPr>
        <w:t>$000</w:t>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1"/>
        <w:rPr>
          <w:b/>
          <w:sz w:val="18"/>
        </w:rPr>
      </w:pPr>
    </w:p>
    <w:p>
      <w:pPr>
        <w:spacing w:before="0"/>
        <w:ind w:left="0" w:right="1" w:firstLine="0"/>
        <w:jc w:val="right"/>
        <w:rPr>
          <w:sz w:val="18"/>
        </w:rPr>
      </w:pPr>
      <w:r>
        <w:rPr>
          <w:spacing w:val="-5"/>
          <w:sz w:val="18"/>
        </w:rPr>
        <w:t>817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spacing w:before="0"/>
        <w:ind w:left="0" w:right="1" w:firstLine="0"/>
        <w:jc w:val="right"/>
        <w:rPr>
          <w:b/>
          <w:sz w:val="18"/>
        </w:rPr>
      </w:pPr>
      <w:r>
        <w:rPr>
          <w:b/>
          <w:spacing w:val="-5"/>
          <w:sz w:val="18"/>
        </w:rPr>
        <w:t>817</w:t>
      </w:r>
    </w:p>
    <w:p>
      <w:pPr>
        <w:pStyle w:val="BodyText"/>
        <w:rPr>
          <w:b/>
          <w:sz w:val="20"/>
        </w:rPr>
      </w:pPr>
    </w:p>
    <w:p>
      <w:pPr>
        <w:pStyle w:val="BodyText"/>
        <w:rPr>
          <w:b/>
          <w:sz w:val="20"/>
        </w:rPr>
      </w:pPr>
    </w:p>
    <w:p>
      <w:pPr>
        <w:pStyle w:val="BodyText"/>
        <w:rPr>
          <w:b/>
          <w:sz w:val="20"/>
        </w:rPr>
      </w:pPr>
    </w:p>
    <w:p>
      <w:pPr>
        <w:pStyle w:val="BodyText"/>
        <w:rPr>
          <w:b/>
          <w:sz w:val="20"/>
        </w:rPr>
      </w:pPr>
    </w:p>
    <w:p>
      <w:pPr>
        <w:spacing w:before="128"/>
        <w:ind w:left="0" w:right="0" w:firstLine="0"/>
        <w:jc w:val="right"/>
        <w:rPr>
          <w:sz w:val="18"/>
        </w:rPr>
      </w:pPr>
      <w:r>
        <w:rPr>
          <w:spacing w:val="-2"/>
          <w:sz w:val="18"/>
        </w:rPr>
        <w:t>3,402</w:t>
      </w:r>
    </w:p>
    <w:p>
      <w:pPr>
        <w:pStyle w:val="BodyText"/>
        <w:rPr>
          <w:sz w:val="20"/>
        </w:rPr>
      </w:pPr>
    </w:p>
    <w:p>
      <w:pPr>
        <w:pStyle w:val="BodyText"/>
        <w:spacing w:before="10"/>
        <w:rPr>
          <w:sz w:val="29"/>
        </w:rPr>
      </w:pPr>
    </w:p>
    <w:p>
      <w:pPr>
        <w:spacing w:before="0"/>
        <w:ind w:left="0" w:right="0" w:firstLine="0"/>
        <w:jc w:val="right"/>
        <w:rPr>
          <w:b/>
          <w:sz w:val="18"/>
        </w:rPr>
      </w:pPr>
      <w:r>
        <w:rPr>
          <w:b/>
          <w:spacing w:val="-2"/>
          <w:sz w:val="18"/>
        </w:rPr>
        <w:t>3,402</w:t>
      </w:r>
    </w:p>
    <w:p>
      <w:pPr>
        <w:pStyle w:val="BodyText"/>
        <w:rPr>
          <w:b/>
          <w:sz w:val="20"/>
        </w:rPr>
      </w:pPr>
    </w:p>
    <w:p>
      <w:pPr>
        <w:pStyle w:val="BodyText"/>
        <w:rPr>
          <w:b/>
          <w:sz w:val="20"/>
        </w:rPr>
      </w:pPr>
    </w:p>
    <w:p>
      <w:pPr>
        <w:pStyle w:val="BodyText"/>
        <w:rPr>
          <w:b/>
          <w:sz w:val="20"/>
        </w:rPr>
      </w:pPr>
    </w:p>
    <w:p>
      <w:pPr>
        <w:pStyle w:val="BodyText"/>
        <w:spacing w:before="9"/>
        <w:rPr>
          <w:b/>
          <w:sz w:val="17"/>
        </w:rPr>
      </w:pPr>
    </w:p>
    <w:p>
      <w:pPr>
        <w:spacing w:before="0"/>
        <w:ind w:left="0" w:right="1" w:firstLine="0"/>
        <w:jc w:val="right"/>
        <w:rPr>
          <w:b/>
          <w:sz w:val="18"/>
        </w:rPr>
      </w:pPr>
      <w:r>
        <w:rPr>
          <w:b/>
          <w:sz w:val="18"/>
        </w:rPr>
        <w:t>0</w:t>
      </w:r>
    </w:p>
    <w:p>
      <w:pPr>
        <w:spacing w:before="148"/>
        <w:ind w:left="224" w:right="50" w:hanging="2"/>
        <w:jc w:val="center"/>
        <w:rPr>
          <w:b/>
          <w:sz w:val="16"/>
        </w:rPr>
      </w:pPr>
      <w:r>
        <w:rPr/>
        <w:br w:type="column"/>
      </w:r>
      <w:r>
        <w:rPr>
          <w:b/>
          <w:color w:val="FFFFFF"/>
          <w:spacing w:val="-2"/>
          <w:sz w:val="16"/>
        </w:rPr>
        <w:t>Total Expenditure</w:t>
      </w:r>
    </w:p>
    <w:p>
      <w:pPr>
        <w:spacing w:before="119"/>
        <w:ind w:left="498" w:right="326" w:firstLine="0"/>
        <w:jc w:val="center"/>
        <w:rPr>
          <w:b/>
          <w:sz w:val="16"/>
        </w:rPr>
      </w:pPr>
      <w:r>
        <w:rPr>
          <w:b/>
          <w:color w:val="FFFFFF"/>
          <w:spacing w:val="-4"/>
          <w:sz w:val="16"/>
        </w:rPr>
        <w:t>$000</w:t>
      </w:r>
    </w:p>
    <w:p>
      <w:pPr>
        <w:pStyle w:val="BodyText"/>
        <w:rPr>
          <w:b/>
          <w:sz w:val="18"/>
        </w:rPr>
      </w:pPr>
    </w:p>
    <w:p>
      <w:pPr>
        <w:pStyle w:val="BodyText"/>
        <w:rPr>
          <w:b/>
          <w:sz w:val="18"/>
        </w:rPr>
      </w:pPr>
    </w:p>
    <w:p>
      <w:pPr>
        <w:pStyle w:val="BodyText"/>
        <w:rPr>
          <w:b/>
          <w:sz w:val="18"/>
        </w:rPr>
      </w:pPr>
    </w:p>
    <w:p>
      <w:pPr>
        <w:pStyle w:val="BodyText"/>
        <w:rPr>
          <w:b/>
          <w:sz w:val="18"/>
        </w:rPr>
      </w:pPr>
    </w:p>
    <w:p>
      <w:pPr>
        <w:spacing w:before="112"/>
        <w:ind w:left="0" w:right="1" w:firstLine="0"/>
        <w:jc w:val="right"/>
        <w:rPr>
          <w:sz w:val="18"/>
        </w:rPr>
      </w:pPr>
      <w:r>
        <w:rPr>
          <w:spacing w:val="-5"/>
          <w:sz w:val="18"/>
        </w:rPr>
        <w:t>966</w:t>
      </w:r>
    </w:p>
    <w:p>
      <w:pPr>
        <w:pStyle w:val="BodyText"/>
        <w:spacing w:before="3"/>
        <w:rPr>
          <w:sz w:val="17"/>
        </w:rPr>
      </w:pPr>
    </w:p>
    <w:p>
      <w:pPr>
        <w:spacing w:before="0"/>
        <w:ind w:left="0" w:right="1" w:firstLine="0"/>
        <w:jc w:val="right"/>
        <w:rPr>
          <w:sz w:val="18"/>
        </w:rPr>
      </w:pPr>
      <w:r>
        <w:rPr>
          <w:spacing w:val="-5"/>
          <w:sz w:val="18"/>
        </w:rPr>
        <w:t>600</w:t>
      </w:r>
    </w:p>
    <w:p>
      <w:pPr>
        <w:spacing w:before="105"/>
        <w:ind w:left="0" w:right="0" w:firstLine="0"/>
        <w:jc w:val="right"/>
        <w:rPr>
          <w:sz w:val="18"/>
        </w:rPr>
      </w:pPr>
      <w:r>
        <w:rPr>
          <w:spacing w:val="-5"/>
          <w:sz w:val="18"/>
        </w:rPr>
        <w:t>250</w:t>
      </w:r>
    </w:p>
    <w:p>
      <w:pPr>
        <w:spacing w:before="108"/>
        <w:ind w:left="0" w:right="1" w:firstLine="0"/>
        <w:jc w:val="right"/>
        <w:rPr>
          <w:sz w:val="18"/>
        </w:rPr>
      </w:pPr>
      <w:r>
        <w:rPr>
          <w:spacing w:val="-5"/>
          <w:sz w:val="18"/>
        </w:rPr>
        <w:t>105</w:t>
      </w:r>
    </w:p>
    <w:p>
      <w:pPr>
        <w:spacing w:before="107"/>
        <w:ind w:left="0" w:right="1" w:firstLine="0"/>
        <w:jc w:val="right"/>
        <w:rPr>
          <w:sz w:val="18"/>
        </w:rPr>
      </w:pPr>
      <w:r>
        <w:rPr>
          <w:spacing w:val="-5"/>
          <w:sz w:val="18"/>
        </w:rPr>
        <w:t>100</w:t>
      </w:r>
    </w:p>
    <w:p>
      <w:pPr>
        <w:spacing w:before="108"/>
        <w:ind w:left="0" w:right="0" w:firstLine="0"/>
        <w:jc w:val="right"/>
        <w:rPr>
          <w:sz w:val="18"/>
        </w:rPr>
      </w:pPr>
      <w:r>
        <w:rPr>
          <w:spacing w:val="-2"/>
          <w:sz w:val="18"/>
        </w:rPr>
        <w:t>2,348</w:t>
      </w:r>
    </w:p>
    <w:p>
      <w:pPr>
        <w:spacing w:before="107"/>
        <w:ind w:left="0" w:right="1" w:firstLine="0"/>
        <w:jc w:val="right"/>
        <w:rPr>
          <w:sz w:val="18"/>
        </w:rPr>
      </w:pPr>
      <w:r>
        <w:rPr>
          <w:spacing w:val="-5"/>
          <w:sz w:val="18"/>
        </w:rPr>
        <w:t>685</w:t>
      </w:r>
    </w:p>
    <w:p>
      <w:pPr>
        <w:spacing w:before="107"/>
        <w:ind w:left="0" w:right="1" w:firstLine="0"/>
        <w:jc w:val="right"/>
        <w:rPr>
          <w:b/>
          <w:sz w:val="18"/>
        </w:rPr>
      </w:pPr>
      <w:r>
        <w:rPr>
          <w:b/>
          <w:spacing w:val="-2"/>
          <w:sz w:val="18"/>
        </w:rPr>
        <w:t>5,054</w:t>
      </w:r>
    </w:p>
    <w:p>
      <w:pPr>
        <w:pStyle w:val="BodyText"/>
        <w:rPr>
          <w:b/>
          <w:sz w:val="20"/>
        </w:rPr>
      </w:pPr>
    </w:p>
    <w:p>
      <w:pPr>
        <w:pStyle w:val="BodyText"/>
        <w:spacing w:before="6"/>
        <w:rPr>
          <w:b/>
          <w:sz w:val="16"/>
        </w:rPr>
      </w:pPr>
    </w:p>
    <w:p>
      <w:pPr>
        <w:spacing w:before="0"/>
        <w:ind w:left="0" w:right="1" w:firstLine="0"/>
        <w:jc w:val="right"/>
        <w:rPr>
          <w:sz w:val="18"/>
        </w:rPr>
      </w:pPr>
      <w:r>
        <w:rPr>
          <w:spacing w:val="-5"/>
          <w:sz w:val="18"/>
        </w:rPr>
        <w:t>530</w:t>
      </w:r>
    </w:p>
    <w:p>
      <w:pPr>
        <w:spacing w:before="107"/>
        <w:ind w:left="0" w:right="1" w:firstLine="0"/>
        <w:jc w:val="right"/>
        <w:rPr>
          <w:sz w:val="18"/>
        </w:rPr>
      </w:pPr>
      <w:r>
        <w:rPr>
          <w:spacing w:val="-5"/>
          <w:sz w:val="18"/>
        </w:rPr>
        <w:t>320</w:t>
      </w:r>
    </w:p>
    <w:p>
      <w:pPr>
        <w:spacing w:before="108"/>
        <w:ind w:left="0" w:right="0" w:firstLine="0"/>
        <w:jc w:val="right"/>
        <w:rPr>
          <w:sz w:val="18"/>
        </w:rPr>
      </w:pPr>
      <w:r>
        <w:rPr>
          <w:spacing w:val="-2"/>
          <w:sz w:val="18"/>
        </w:rPr>
        <w:t>1,535</w:t>
      </w:r>
    </w:p>
    <w:p>
      <w:pPr>
        <w:spacing w:before="107"/>
        <w:ind w:left="0" w:right="1" w:firstLine="0"/>
        <w:jc w:val="right"/>
        <w:rPr>
          <w:sz w:val="18"/>
        </w:rPr>
      </w:pPr>
      <w:r>
        <w:rPr>
          <w:spacing w:val="-5"/>
          <w:sz w:val="18"/>
        </w:rPr>
        <w:t>343</w:t>
      </w:r>
    </w:p>
    <w:p>
      <w:pPr>
        <w:pStyle w:val="BodyText"/>
        <w:spacing w:before="6"/>
      </w:pPr>
    </w:p>
    <w:p>
      <w:pPr>
        <w:spacing w:before="0"/>
        <w:ind w:left="0" w:right="0" w:firstLine="0"/>
        <w:jc w:val="right"/>
        <w:rPr>
          <w:b/>
          <w:sz w:val="18"/>
        </w:rPr>
      </w:pPr>
      <w:r>
        <w:rPr>
          <w:b/>
          <w:spacing w:val="-2"/>
          <w:sz w:val="18"/>
        </w:rPr>
        <w:t>2,728</w:t>
      </w:r>
    </w:p>
    <w:p>
      <w:pPr>
        <w:pStyle w:val="BodyText"/>
        <w:rPr>
          <w:b/>
          <w:sz w:val="20"/>
        </w:rPr>
      </w:pPr>
    </w:p>
    <w:p>
      <w:pPr>
        <w:pStyle w:val="BodyText"/>
        <w:spacing w:before="9"/>
        <w:rPr>
          <w:b/>
          <w:sz w:val="29"/>
        </w:rPr>
      </w:pPr>
    </w:p>
    <w:p>
      <w:pPr>
        <w:spacing w:before="0"/>
        <w:ind w:left="0" w:right="1" w:firstLine="0"/>
        <w:jc w:val="right"/>
        <w:rPr>
          <w:sz w:val="18"/>
        </w:rPr>
      </w:pPr>
      <w:r>
        <w:rPr>
          <w:spacing w:val="-5"/>
          <w:sz w:val="18"/>
        </w:rPr>
        <w:t>470</w:t>
      </w:r>
    </w:p>
    <w:p>
      <w:pPr>
        <w:spacing w:before="115"/>
        <w:ind w:left="0" w:right="0" w:firstLine="0"/>
        <w:jc w:val="right"/>
        <w:rPr>
          <w:b/>
          <w:sz w:val="18"/>
        </w:rPr>
      </w:pPr>
      <w:r>
        <w:rPr>
          <w:b/>
          <w:spacing w:val="-5"/>
          <w:sz w:val="18"/>
        </w:rPr>
        <w:t>470</w:t>
      </w:r>
    </w:p>
    <w:p>
      <w:pPr>
        <w:spacing w:before="148"/>
        <w:ind w:left="224" w:right="49" w:hanging="2"/>
        <w:jc w:val="center"/>
        <w:rPr>
          <w:b/>
          <w:sz w:val="16"/>
        </w:rPr>
      </w:pPr>
      <w:r>
        <w:rPr/>
        <w:br w:type="column"/>
      </w:r>
      <w:r>
        <w:rPr>
          <w:b/>
          <w:color w:val="FFFFFF"/>
          <w:spacing w:val="-2"/>
          <w:sz w:val="16"/>
        </w:rPr>
        <w:t>Total Expenditure</w:t>
      </w:r>
    </w:p>
    <w:p>
      <w:pPr>
        <w:spacing w:before="119"/>
        <w:ind w:left="497" w:right="325" w:firstLine="0"/>
        <w:jc w:val="center"/>
        <w:rPr>
          <w:b/>
          <w:sz w:val="16"/>
        </w:rPr>
      </w:pPr>
      <w:r>
        <w:rPr>
          <w:b/>
          <w:color w:val="FFFFFF"/>
          <w:spacing w:val="-4"/>
          <w:sz w:val="16"/>
        </w:rPr>
        <w:t>$000</w:t>
      </w:r>
    </w:p>
    <w:p>
      <w:pPr>
        <w:pStyle w:val="BodyText"/>
        <w:rPr>
          <w:b/>
          <w:sz w:val="18"/>
        </w:rPr>
      </w:pPr>
    </w:p>
    <w:p>
      <w:pPr>
        <w:pStyle w:val="BodyText"/>
        <w:rPr>
          <w:b/>
          <w:sz w:val="18"/>
        </w:rPr>
      </w:pPr>
    </w:p>
    <w:p>
      <w:pPr>
        <w:pStyle w:val="BodyText"/>
        <w:rPr>
          <w:b/>
          <w:sz w:val="18"/>
        </w:rPr>
      </w:pPr>
    </w:p>
    <w:p>
      <w:pPr>
        <w:pStyle w:val="BodyText"/>
        <w:rPr>
          <w:b/>
          <w:sz w:val="18"/>
        </w:rPr>
      </w:pPr>
    </w:p>
    <w:p>
      <w:pPr>
        <w:spacing w:before="112"/>
        <w:ind w:left="0" w:right="0" w:firstLine="0"/>
        <w:jc w:val="right"/>
        <w:rPr>
          <w:sz w:val="18"/>
        </w:rPr>
      </w:pPr>
      <w:r>
        <w:rPr>
          <w:spacing w:val="-2"/>
          <w:sz w:val="18"/>
        </w:rPr>
        <w:t>1,016</w:t>
      </w:r>
    </w:p>
    <w:p>
      <w:pPr>
        <w:pStyle w:val="BodyText"/>
        <w:spacing w:before="3"/>
        <w:rPr>
          <w:sz w:val="17"/>
        </w:rPr>
      </w:pPr>
    </w:p>
    <w:p>
      <w:pPr>
        <w:spacing w:before="0"/>
        <w:ind w:left="0" w:right="1" w:firstLine="0"/>
        <w:jc w:val="right"/>
        <w:rPr>
          <w:sz w:val="18"/>
        </w:rPr>
      </w:pPr>
      <w:r>
        <w:rPr>
          <w:spacing w:val="-5"/>
          <w:sz w:val="18"/>
        </w:rPr>
        <w:t>620</w:t>
      </w:r>
    </w:p>
    <w:p>
      <w:pPr>
        <w:spacing w:before="105"/>
        <w:ind w:left="0" w:right="1" w:firstLine="0"/>
        <w:jc w:val="right"/>
        <w:rPr>
          <w:sz w:val="18"/>
        </w:rPr>
      </w:pPr>
      <w:r>
        <w:rPr>
          <w:spacing w:val="-5"/>
          <w:sz w:val="18"/>
        </w:rPr>
        <w:t>250</w:t>
      </w:r>
    </w:p>
    <w:p>
      <w:pPr>
        <w:spacing w:before="108"/>
        <w:ind w:left="0" w:right="1" w:firstLine="0"/>
        <w:jc w:val="right"/>
        <w:rPr>
          <w:sz w:val="18"/>
        </w:rPr>
      </w:pPr>
      <w:r>
        <w:rPr>
          <w:spacing w:val="-5"/>
          <w:sz w:val="18"/>
        </w:rPr>
        <w:t>125</w:t>
      </w:r>
    </w:p>
    <w:p>
      <w:pPr>
        <w:spacing w:before="107"/>
        <w:ind w:left="0" w:right="1" w:firstLine="0"/>
        <w:jc w:val="right"/>
        <w:rPr>
          <w:sz w:val="18"/>
        </w:rPr>
      </w:pPr>
      <w:r>
        <w:rPr>
          <w:spacing w:val="-5"/>
          <w:sz w:val="18"/>
        </w:rPr>
        <w:t>100</w:t>
      </w:r>
    </w:p>
    <w:p>
      <w:pPr>
        <w:spacing w:before="108"/>
        <w:ind w:left="0" w:right="0" w:firstLine="0"/>
        <w:jc w:val="right"/>
        <w:rPr>
          <w:sz w:val="18"/>
        </w:rPr>
      </w:pPr>
      <w:r>
        <w:rPr>
          <w:spacing w:val="-2"/>
          <w:sz w:val="18"/>
        </w:rPr>
        <w:t>2,398</w:t>
      </w:r>
    </w:p>
    <w:p>
      <w:pPr>
        <w:spacing w:before="107"/>
        <w:ind w:left="0" w:right="1" w:firstLine="0"/>
        <w:jc w:val="right"/>
        <w:rPr>
          <w:sz w:val="18"/>
        </w:rPr>
      </w:pPr>
      <w:r>
        <w:rPr>
          <w:spacing w:val="-5"/>
          <w:sz w:val="18"/>
        </w:rPr>
        <w:t>695</w:t>
      </w:r>
    </w:p>
    <w:p>
      <w:pPr>
        <w:spacing w:before="107"/>
        <w:ind w:left="0" w:right="0" w:firstLine="0"/>
        <w:jc w:val="right"/>
        <w:rPr>
          <w:b/>
          <w:sz w:val="18"/>
        </w:rPr>
      </w:pPr>
      <w:r>
        <w:rPr>
          <w:b/>
          <w:spacing w:val="-2"/>
          <w:sz w:val="18"/>
        </w:rPr>
        <w:t>5,204</w:t>
      </w:r>
    </w:p>
    <w:p>
      <w:pPr>
        <w:pStyle w:val="BodyText"/>
        <w:rPr>
          <w:b/>
          <w:sz w:val="20"/>
        </w:rPr>
      </w:pPr>
    </w:p>
    <w:p>
      <w:pPr>
        <w:pStyle w:val="BodyText"/>
        <w:spacing w:before="6"/>
        <w:rPr>
          <w:b/>
          <w:sz w:val="16"/>
        </w:rPr>
      </w:pPr>
    </w:p>
    <w:p>
      <w:pPr>
        <w:spacing w:before="0"/>
        <w:ind w:left="0" w:right="1" w:firstLine="0"/>
        <w:jc w:val="right"/>
        <w:rPr>
          <w:sz w:val="18"/>
        </w:rPr>
      </w:pPr>
      <w:r>
        <w:rPr>
          <w:spacing w:val="-5"/>
          <w:sz w:val="18"/>
        </w:rPr>
        <w:t>610</w:t>
      </w:r>
    </w:p>
    <w:p>
      <w:pPr>
        <w:spacing w:before="107"/>
        <w:ind w:left="0" w:right="0" w:firstLine="0"/>
        <w:jc w:val="right"/>
        <w:rPr>
          <w:sz w:val="18"/>
        </w:rPr>
      </w:pPr>
      <w:r>
        <w:rPr>
          <w:spacing w:val="-2"/>
          <w:sz w:val="18"/>
        </w:rPr>
        <w:t>1,150</w:t>
      </w:r>
    </w:p>
    <w:p>
      <w:pPr>
        <w:spacing w:before="108"/>
        <w:ind w:left="0" w:right="0" w:firstLine="0"/>
        <w:jc w:val="right"/>
        <w:rPr>
          <w:sz w:val="18"/>
        </w:rPr>
      </w:pPr>
      <w:r>
        <w:rPr>
          <w:spacing w:val="-2"/>
          <w:sz w:val="18"/>
        </w:rPr>
        <w:t>1,573</w:t>
      </w:r>
    </w:p>
    <w:p>
      <w:pPr>
        <w:spacing w:before="107"/>
        <w:ind w:left="0" w:right="1" w:firstLine="0"/>
        <w:jc w:val="right"/>
        <w:rPr>
          <w:sz w:val="18"/>
        </w:rPr>
      </w:pPr>
      <w:r>
        <w:rPr>
          <w:spacing w:val="-5"/>
          <w:sz w:val="18"/>
        </w:rPr>
        <w:t>352</w:t>
      </w:r>
    </w:p>
    <w:p>
      <w:pPr>
        <w:pStyle w:val="BodyText"/>
        <w:spacing w:before="6"/>
      </w:pPr>
    </w:p>
    <w:p>
      <w:pPr>
        <w:spacing w:before="0"/>
        <w:ind w:left="0" w:right="0" w:firstLine="0"/>
        <w:jc w:val="right"/>
        <w:rPr>
          <w:b/>
          <w:sz w:val="18"/>
        </w:rPr>
      </w:pPr>
      <w:r>
        <w:rPr>
          <w:b/>
          <w:spacing w:val="-2"/>
          <w:sz w:val="18"/>
        </w:rPr>
        <w:t>3,685</w:t>
      </w:r>
    </w:p>
    <w:p>
      <w:pPr>
        <w:pStyle w:val="BodyText"/>
        <w:rPr>
          <w:b/>
          <w:sz w:val="20"/>
        </w:rPr>
      </w:pPr>
    </w:p>
    <w:p>
      <w:pPr>
        <w:pStyle w:val="BodyText"/>
        <w:spacing w:before="9"/>
        <w:rPr>
          <w:b/>
          <w:sz w:val="29"/>
        </w:rPr>
      </w:pPr>
    </w:p>
    <w:p>
      <w:pPr>
        <w:spacing w:before="0"/>
        <w:ind w:left="0" w:right="1" w:firstLine="0"/>
        <w:jc w:val="right"/>
        <w:rPr>
          <w:sz w:val="18"/>
        </w:rPr>
      </w:pPr>
      <w:r>
        <w:rPr>
          <w:spacing w:val="-5"/>
          <w:sz w:val="18"/>
        </w:rPr>
        <w:t>530</w:t>
      </w:r>
    </w:p>
    <w:p>
      <w:pPr>
        <w:spacing w:before="115"/>
        <w:ind w:left="0" w:right="1" w:firstLine="0"/>
        <w:jc w:val="right"/>
        <w:rPr>
          <w:b/>
          <w:sz w:val="18"/>
        </w:rPr>
      </w:pPr>
      <w:r>
        <w:rPr>
          <w:b/>
          <w:spacing w:val="-5"/>
          <w:sz w:val="18"/>
        </w:rPr>
        <w:t>530</w:t>
      </w:r>
    </w:p>
    <w:p>
      <w:pPr>
        <w:spacing w:before="148"/>
        <w:ind w:left="227" w:right="523" w:hanging="6"/>
        <w:jc w:val="center"/>
        <w:rPr>
          <w:b/>
          <w:sz w:val="16"/>
        </w:rPr>
      </w:pPr>
      <w:r>
        <w:rPr/>
        <w:br w:type="column"/>
      </w:r>
      <w:r>
        <w:rPr>
          <w:b/>
          <w:color w:val="FFFFFF"/>
          <w:spacing w:val="-2"/>
          <w:sz w:val="16"/>
        </w:rPr>
        <w:t>Total Expenditure</w:t>
      </w:r>
    </w:p>
    <w:p>
      <w:pPr>
        <w:spacing w:before="119"/>
        <w:ind w:left="500" w:right="800" w:firstLine="0"/>
        <w:jc w:val="center"/>
        <w:rPr>
          <w:b/>
          <w:sz w:val="16"/>
        </w:rPr>
      </w:pPr>
      <w:r>
        <w:rPr>
          <w:b/>
          <w:color w:val="FFFFFF"/>
          <w:spacing w:val="-4"/>
          <w:sz w:val="16"/>
        </w:rPr>
        <w:t>$000</w:t>
      </w:r>
    </w:p>
    <w:p>
      <w:pPr>
        <w:pStyle w:val="BodyText"/>
        <w:rPr>
          <w:b/>
          <w:sz w:val="18"/>
        </w:rPr>
      </w:pPr>
    </w:p>
    <w:p>
      <w:pPr>
        <w:pStyle w:val="BodyText"/>
        <w:rPr>
          <w:b/>
          <w:sz w:val="18"/>
        </w:rPr>
      </w:pPr>
    </w:p>
    <w:p>
      <w:pPr>
        <w:pStyle w:val="BodyText"/>
        <w:rPr>
          <w:b/>
          <w:sz w:val="18"/>
        </w:rPr>
      </w:pPr>
    </w:p>
    <w:p>
      <w:pPr>
        <w:pStyle w:val="BodyText"/>
        <w:rPr>
          <w:b/>
          <w:sz w:val="18"/>
        </w:rPr>
      </w:pPr>
    </w:p>
    <w:p>
      <w:pPr>
        <w:spacing w:before="112"/>
        <w:ind w:left="0" w:right="471" w:firstLine="0"/>
        <w:jc w:val="right"/>
        <w:rPr>
          <w:sz w:val="18"/>
        </w:rPr>
      </w:pPr>
      <w:r>
        <w:rPr>
          <w:spacing w:val="-2"/>
          <w:sz w:val="18"/>
        </w:rPr>
        <w:t>1,016</w:t>
      </w:r>
    </w:p>
    <w:p>
      <w:pPr>
        <w:pStyle w:val="BodyText"/>
        <w:spacing w:before="3"/>
        <w:rPr>
          <w:sz w:val="17"/>
        </w:rPr>
      </w:pPr>
    </w:p>
    <w:p>
      <w:pPr>
        <w:spacing w:before="0"/>
        <w:ind w:left="0" w:right="472" w:firstLine="0"/>
        <w:jc w:val="right"/>
        <w:rPr>
          <w:sz w:val="18"/>
        </w:rPr>
      </w:pPr>
      <w:r>
        <w:rPr>
          <w:spacing w:val="-5"/>
          <w:sz w:val="18"/>
        </w:rPr>
        <w:t>620</w:t>
      </w:r>
    </w:p>
    <w:p>
      <w:pPr>
        <w:spacing w:before="105"/>
        <w:ind w:left="0" w:right="472" w:firstLine="0"/>
        <w:jc w:val="right"/>
        <w:rPr>
          <w:sz w:val="18"/>
        </w:rPr>
      </w:pPr>
      <w:r>
        <w:rPr>
          <w:spacing w:val="-5"/>
          <w:sz w:val="18"/>
        </w:rPr>
        <w:t>250</w:t>
      </w:r>
    </w:p>
    <w:p>
      <w:pPr>
        <w:spacing w:before="108"/>
        <w:ind w:left="0" w:right="472" w:firstLine="0"/>
        <w:jc w:val="right"/>
        <w:rPr>
          <w:sz w:val="18"/>
        </w:rPr>
      </w:pPr>
      <w:r>
        <w:rPr>
          <w:spacing w:val="-5"/>
          <w:sz w:val="18"/>
        </w:rPr>
        <w:t>125</w:t>
      </w:r>
    </w:p>
    <w:p>
      <w:pPr>
        <w:spacing w:before="107"/>
        <w:ind w:left="0" w:right="472" w:firstLine="0"/>
        <w:jc w:val="right"/>
        <w:rPr>
          <w:sz w:val="18"/>
        </w:rPr>
      </w:pPr>
      <w:r>
        <w:rPr>
          <w:spacing w:val="-5"/>
          <w:sz w:val="18"/>
        </w:rPr>
        <w:t>100</w:t>
      </w:r>
    </w:p>
    <w:p>
      <w:pPr>
        <w:spacing w:before="108"/>
        <w:ind w:left="0" w:right="471" w:firstLine="0"/>
        <w:jc w:val="right"/>
        <w:rPr>
          <w:sz w:val="18"/>
        </w:rPr>
      </w:pPr>
      <w:r>
        <w:rPr>
          <w:spacing w:val="-2"/>
          <w:sz w:val="18"/>
        </w:rPr>
        <w:t>2,398</w:t>
      </w:r>
    </w:p>
    <w:p>
      <w:pPr>
        <w:spacing w:before="107"/>
        <w:ind w:left="0" w:right="472" w:firstLine="0"/>
        <w:jc w:val="right"/>
        <w:rPr>
          <w:sz w:val="18"/>
        </w:rPr>
      </w:pPr>
      <w:r>
        <w:rPr>
          <w:spacing w:val="-5"/>
          <w:sz w:val="18"/>
        </w:rPr>
        <w:t>695</w:t>
      </w:r>
    </w:p>
    <w:p>
      <w:pPr>
        <w:spacing w:before="107"/>
        <w:ind w:left="0" w:right="471" w:firstLine="0"/>
        <w:jc w:val="right"/>
        <w:rPr>
          <w:b/>
          <w:sz w:val="18"/>
        </w:rPr>
      </w:pPr>
      <w:r>
        <w:rPr>
          <w:b/>
          <w:spacing w:val="-2"/>
          <w:sz w:val="18"/>
        </w:rPr>
        <w:t>5,204</w:t>
      </w:r>
    </w:p>
    <w:p>
      <w:pPr>
        <w:pStyle w:val="BodyText"/>
        <w:rPr>
          <w:b/>
          <w:sz w:val="20"/>
        </w:rPr>
      </w:pPr>
    </w:p>
    <w:p>
      <w:pPr>
        <w:pStyle w:val="BodyText"/>
        <w:spacing w:before="6"/>
        <w:rPr>
          <w:b/>
          <w:sz w:val="16"/>
        </w:rPr>
      </w:pPr>
    </w:p>
    <w:p>
      <w:pPr>
        <w:spacing w:before="0"/>
        <w:ind w:left="0" w:right="472" w:firstLine="0"/>
        <w:jc w:val="right"/>
        <w:rPr>
          <w:sz w:val="18"/>
        </w:rPr>
      </w:pPr>
      <w:r>
        <w:rPr>
          <w:spacing w:val="-5"/>
          <w:sz w:val="18"/>
        </w:rPr>
        <w:t>610</w:t>
      </w:r>
    </w:p>
    <w:p>
      <w:pPr>
        <w:spacing w:before="107"/>
        <w:ind w:left="0" w:right="471" w:firstLine="0"/>
        <w:jc w:val="right"/>
        <w:rPr>
          <w:sz w:val="18"/>
        </w:rPr>
      </w:pPr>
      <w:r>
        <w:rPr>
          <w:spacing w:val="-2"/>
          <w:sz w:val="18"/>
        </w:rPr>
        <w:t>1,150</w:t>
      </w:r>
    </w:p>
    <w:p>
      <w:pPr>
        <w:spacing w:before="108"/>
        <w:ind w:left="0" w:right="471" w:firstLine="0"/>
        <w:jc w:val="right"/>
        <w:rPr>
          <w:sz w:val="18"/>
        </w:rPr>
      </w:pPr>
      <w:r>
        <w:rPr>
          <w:spacing w:val="-2"/>
          <w:sz w:val="18"/>
        </w:rPr>
        <w:t>1,613</w:t>
      </w:r>
    </w:p>
    <w:p>
      <w:pPr>
        <w:spacing w:before="107"/>
        <w:ind w:left="0" w:right="472" w:firstLine="0"/>
        <w:jc w:val="right"/>
        <w:rPr>
          <w:sz w:val="18"/>
        </w:rPr>
      </w:pPr>
      <w:r>
        <w:rPr>
          <w:spacing w:val="-5"/>
          <w:sz w:val="18"/>
        </w:rPr>
        <w:t>361</w:t>
      </w:r>
    </w:p>
    <w:p>
      <w:pPr>
        <w:pStyle w:val="BodyText"/>
        <w:spacing w:before="6"/>
      </w:pPr>
    </w:p>
    <w:p>
      <w:pPr>
        <w:spacing w:before="0"/>
        <w:ind w:left="0" w:right="471" w:firstLine="0"/>
        <w:jc w:val="right"/>
        <w:rPr>
          <w:b/>
          <w:sz w:val="18"/>
        </w:rPr>
      </w:pPr>
      <w:r>
        <w:rPr>
          <w:b/>
          <w:spacing w:val="-2"/>
          <w:sz w:val="18"/>
        </w:rPr>
        <w:t>3,734</w:t>
      </w:r>
    </w:p>
    <w:p>
      <w:pPr>
        <w:pStyle w:val="BodyText"/>
        <w:rPr>
          <w:b/>
          <w:sz w:val="20"/>
        </w:rPr>
      </w:pPr>
    </w:p>
    <w:p>
      <w:pPr>
        <w:pStyle w:val="BodyText"/>
        <w:spacing w:before="9"/>
        <w:rPr>
          <w:b/>
          <w:sz w:val="29"/>
        </w:rPr>
      </w:pPr>
    </w:p>
    <w:p>
      <w:pPr>
        <w:spacing w:before="0"/>
        <w:ind w:left="0" w:right="472" w:firstLine="0"/>
        <w:jc w:val="right"/>
        <w:rPr>
          <w:sz w:val="18"/>
        </w:rPr>
      </w:pPr>
      <w:r>
        <w:rPr>
          <w:spacing w:val="-5"/>
          <w:sz w:val="18"/>
        </w:rPr>
        <w:t>530</w:t>
      </w:r>
    </w:p>
    <w:p>
      <w:pPr>
        <w:spacing w:before="115"/>
        <w:ind w:left="0" w:right="472" w:firstLine="0"/>
        <w:jc w:val="right"/>
        <w:rPr>
          <w:b/>
          <w:sz w:val="18"/>
        </w:rPr>
      </w:pPr>
      <w:r>
        <w:rPr>
          <w:b/>
          <w:spacing w:val="-5"/>
          <w:sz w:val="18"/>
        </w:rPr>
        <w:t>530</w:t>
      </w:r>
    </w:p>
    <w:p>
      <w:pPr>
        <w:spacing w:after="0"/>
        <w:jc w:val="right"/>
        <w:rPr>
          <w:sz w:val="18"/>
        </w:rPr>
        <w:sectPr>
          <w:type w:val="continuous"/>
          <w:pgSz w:w="16840" w:h="11910" w:orient="landscape"/>
          <w:pgMar w:header="0" w:footer="375" w:top="1920" w:bottom="280" w:left="600" w:right="120"/>
          <w:cols w:num="11" w:equalWidth="0">
            <w:col w:w="4441" w:space="232"/>
            <w:col w:w="1222" w:space="67"/>
            <w:col w:w="974" w:space="65"/>
            <w:col w:w="898" w:space="39"/>
            <w:col w:w="964" w:space="43"/>
            <w:col w:w="962" w:space="41"/>
            <w:col w:w="963" w:space="39"/>
            <w:col w:w="963" w:space="40"/>
            <w:col w:w="1204" w:space="39"/>
            <w:col w:w="1203" w:space="40"/>
            <w:col w:w="1681"/>
          </w:cols>
        </w:sectPr>
      </w:pPr>
    </w:p>
    <w:tbl>
      <w:tblPr>
        <w:tblW w:w="0" w:type="auto"/>
        <w:jc w:val="left"/>
        <w:tblInd w:w="14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296"/>
        <w:gridCol w:w="1210"/>
        <w:gridCol w:w="1020"/>
        <w:gridCol w:w="1020"/>
        <w:gridCol w:w="1022"/>
        <w:gridCol w:w="1020"/>
        <w:gridCol w:w="1022"/>
        <w:gridCol w:w="1024"/>
        <w:gridCol w:w="1250"/>
        <w:gridCol w:w="1248"/>
        <w:gridCol w:w="1250"/>
      </w:tblGrid>
      <w:tr>
        <w:trPr>
          <w:trHeight w:val="348" w:hRule="atLeast"/>
        </w:trPr>
        <w:tc>
          <w:tcPr>
            <w:tcW w:w="15382" w:type="dxa"/>
            <w:gridSpan w:val="11"/>
            <w:tcBorders>
              <w:left w:val="single" w:sz="12" w:space="0" w:color="000000"/>
              <w:right w:val="single" w:sz="12" w:space="0" w:color="000000"/>
            </w:tcBorders>
            <w:shd w:val="clear" w:color="auto" w:fill="629CD1"/>
          </w:tcPr>
          <w:p>
            <w:pPr>
              <w:pStyle w:val="TableParagraph"/>
              <w:spacing w:line="317" w:lineRule="exact" w:before="11"/>
              <w:ind w:left="3956" w:right="3924"/>
              <w:jc w:val="center"/>
              <w:rPr>
                <w:b/>
                <w:sz w:val="28"/>
              </w:rPr>
            </w:pPr>
            <w:r>
              <w:rPr>
                <w:b/>
                <w:color w:val="FFFFFF"/>
                <w:sz w:val="28"/>
              </w:rPr>
              <w:t>CAPITAL</w:t>
            </w:r>
            <w:r>
              <w:rPr>
                <w:b/>
                <w:color w:val="FFFFFF"/>
                <w:spacing w:val="-6"/>
                <w:sz w:val="28"/>
              </w:rPr>
              <w:t> </w:t>
            </w:r>
            <w:r>
              <w:rPr>
                <w:b/>
                <w:color w:val="FFFFFF"/>
                <w:sz w:val="28"/>
              </w:rPr>
              <w:t>EXPENDITURE</w:t>
            </w:r>
            <w:r>
              <w:rPr>
                <w:b/>
                <w:color w:val="FFFFFF"/>
                <w:spacing w:val="-6"/>
                <w:sz w:val="28"/>
              </w:rPr>
              <w:t> </w:t>
            </w:r>
            <w:r>
              <w:rPr>
                <w:b/>
                <w:color w:val="FFFFFF"/>
                <w:sz w:val="28"/>
              </w:rPr>
              <w:t>PROGRAM</w:t>
            </w:r>
            <w:r>
              <w:rPr>
                <w:b/>
                <w:color w:val="FFFFFF"/>
                <w:spacing w:val="-3"/>
                <w:sz w:val="28"/>
              </w:rPr>
              <w:t> </w:t>
            </w:r>
            <w:r>
              <w:rPr>
                <w:b/>
                <w:color w:val="FFFFFF"/>
                <w:sz w:val="28"/>
              </w:rPr>
              <w:t>2025/26</w:t>
            </w:r>
            <w:r>
              <w:rPr>
                <w:b/>
                <w:color w:val="FFFFFF"/>
                <w:spacing w:val="-4"/>
                <w:sz w:val="28"/>
              </w:rPr>
              <w:t> </w:t>
            </w:r>
            <w:r>
              <w:rPr>
                <w:b/>
                <w:color w:val="FFFFFF"/>
                <w:sz w:val="28"/>
              </w:rPr>
              <w:t>TO</w:t>
            </w:r>
            <w:r>
              <w:rPr>
                <w:b/>
                <w:color w:val="FFFFFF"/>
                <w:spacing w:val="-5"/>
                <w:sz w:val="28"/>
              </w:rPr>
              <w:t> </w:t>
            </w:r>
            <w:r>
              <w:rPr>
                <w:b/>
                <w:color w:val="FFFFFF"/>
                <w:spacing w:val="-2"/>
                <w:sz w:val="28"/>
              </w:rPr>
              <w:t>2028/29</w:t>
            </w:r>
          </w:p>
        </w:tc>
      </w:tr>
      <w:tr>
        <w:trPr>
          <w:trHeight w:val="499" w:hRule="atLeast"/>
        </w:trPr>
        <w:tc>
          <w:tcPr>
            <w:tcW w:w="4296" w:type="dxa"/>
            <w:tcBorders>
              <w:left w:val="single" w:sz="12" w:space="0" w:color="000000"/>
              <w:right w:val="single" w:sz="12" w:space="0" w:color="000000"/>
            </w:tcBorders>
            <w:shd w:val="clear" w:color="auto" w:fill="629CD1"/>
          </w:tcPr>
          <w:p>
            <w:pPr>
              <w:pStyle w:val="TableParagraph"/>
              <w:rPr>
                <w:rFonts w:ascii="Times New Roman"/>
                <w:sz w:val="18"/>
              </w:rPr>
            </w:pPr>
          </w:p>
        </w:tc>
        <w:tc>
          <w:tcPr>
            <w:tcW w:w="7338" w:type="dxa"/>
            <w:gridSpan w:val="7"/>
            <w:tcBorders>
              <w:left w:val="single" w:sz="12" w:space="0" w:color="000000"/>
              <w:right w:val="single" w:sz="12" w:space="0" w:color="000000"/>
            </w:tcBorders>
            <w:shd w:val="clear" w:color="auto" w:fill="629CD1"/>
          </w:tcPr>
          <w:p>
            <w:pPr>
              <w:pStyle w:val="TableParagraph"/>
              <w:spacing w:before="132"/>
              <w:ind w:left="2812" w:right="2787"/>
              <w:jc w:val="center"/>
              <w:rPr>
                <w:b/>
                <w:sz w:val="20"/>
              </w:rPr>
            </w:pPr>
            <w:r>
              <w:rPr>
                <w:b/>
                <w:color w:val="FFFFFF"/>
                <w:sz w:val="20"/>
              </w:rPr>
              <w:t>Budget</w:t>
            </w:r>
            <w:r>
              <w:rPr>
                <w:b/>
                <w:color w:val="FFFFFF"/>
                <w:spacing w:val="-7"/>
                <w:sz w:val="20"/>
              </w:rPr>
              <w:t> </w:t>
            </w:r>
            <w:r>
              <w:rPr>
                <w:b/>
                <w:color w:val="FFFFFF"/>
                <w:spacing w:val="-2"/>
                <w:sz w:val="20"/>
              </w:rPr>
              <w:t>2025/26</w:t>
            </w:r>
          </w:p>
        </w:tc>
        <w:tc>
          <w:tcPr>
            <w:tcW w:w="1250" w:type="dxa"/>
            <w:tcBorders>
              <w:left w:val="single" w:sz="12" w:space="0" w:color="000000"/>
              <w:right w:val="single" w:sz="12" w:space="0" w:color="000000"/>
            </w:tcBorders>
            <w:shd w:val="clear" w:color="auto" w:fill="629CD1"/>
          </w:tcPr>
          <w:p>
            <w:pPr>
              <w:pStyle w:val="TableParagraph"/>
              <w:spacing w:before="19"/>
              <w:ind w:left="264" w:right="227" w:firstLine="16"/>
              <w:rPr>
                <w:b/>
                <w:sz w:val="20"/>
              </w:rPr>
            </w:pPr>
            <w:r>
              <w:rPr>
                <w:b/>
                <w:color w:val="FFFFFF"/>
                <w:spacing w:val="-2"/>
                <w:sz w:val="20"/>
              </w:rPr>
              <w:t>Budget 2026/27</w:t>
            </w:r>
          </w:p>
        </w:tc>
        <w:tc>
          <w:tcPr>
            <w:tcW w:w="1248" w:type="dxa"/>
            <w:tcBorders>
              <w:left w:val="single" w:sz="12" w:space="0" w:color="000000"/>
              <w:right w:val="single" w:sz="12" w:space="0" w:color="000000"/>
            </w:tcBorders>
            <w:shd w:val="clear" w:color="auto" w:fill="629CD1"/>
          </w:tcPr>
          <w:p>
            <w:pPr>
              <w:pStyle w:val="TableParagraph"/>
              <w:spacing w:before="19"/>
              <w:ind w:left="264" w:right="225" w:firstLine="16"/>
              <w:rPr>
                <w:b/>
                <w:sz w:val="20"/>
              </w:rPr>
            </w:pPr>
            <w:r>
              <w:rPr>
                <w:b/>
                <w:color w:val="FFFFFF"/>
                <w:spacing w:val="-2"/>
                <w:sz w:val="20"/>
              </w:rPr>
              <w:t>Budget 2027/28</w:t>
            </w:r>
          </w:p>
        </w:tc>
        <w:tc>
          <w:tcPr>
            <w:tcW w:w="1250" w:type="dxa"/>
            <w:tcBorders>
              <w:left w:val="single" w:sz="12" w:space="0" w:color="000000"/>
              <w:right w:val="single" w:sz="12" w:space="0" w:color="000000"/>
            </w:tcBorders>
            <w:shd w:val="clear" w:color="auto" w:fill="629CD1"/>
          </w:tcPr>
          <w:p>
            <w:pPr>
              <w:pStyle w:val="TableParagraph"/>
              <w:spacing w:before="19"/>
              <w:ind w:left="267" w:right="224" w:firstLine="16"/>
              <w:rPr>
                <w:b/>
                <w:sz w:val="20"/>
              </w:rPr>
            </w:pPr>
            <w:r>
              <w:rPr>
                <w:b/>
                <w:color w:val="FFFFFF"/>
                <w:spacing w:val="-2"/>
                <w:sz w:val="20"/>
              </w:rPr>
              <w:t>Budget 2028/29</w:t>
            </w:r>
          </w:p>
        </w:tc>
      </w:tr>
      <w:tr>
        <w:trPr>
          <w:trHeight w:val="717" w:hRule="atLeast"/>
        </w:trPr>
        <w:tc>
          <w:tcPr>
            <w:tcW w:w="4296" w:type="dxa"/>
            <w:tcBorders>
              <w:left w:val="single" w:sz="12" w:space="0" w:color="000000"/>
              <w:bottom w:val="single" w:sz="12" w:space="0" w:color="000000"/>
              <w:right w:val="single" w:sz="12" w:space="0" w:color="000000"/>
            </w:tcBorders>
            <w:shd w:val="clear" w:color="auto" w:fill="629CD1"/>
          </w:tcPr>
          <w:p>
            <w:pPr>
              <w:pStyle w:val="TableParagraph"/>
              <w:rPr>
                <w:rFonts w:ascii="Times New Roman"/>
                <w:sz w:val="18"/>
              </w:rPr>
            </w:pPr>
          </w:p>
        </w:tc>
        <w:tc>
          <w:tcPr>
            <w:tcW w:w="1210" w:type="dxa"/>
            <w:tcBorders>
              <w:left w:val="single" w:sz="12" w:space="0" w:color="000000"/>
              <w:bottom w:val="single" w:sz="12" w:space="0" w:color="000000"/>
              <w:right w:val="single" w:sz="12" w:space="0" w:color="000000"/>
            </w:tcBorders>
            <w:shd w:val="clear" w:color="auto" w:fill="629CD1"/>
          </w:tcPr>
          <w:p>
            <w:pPr>
              <w:pStyle w:val="TableParagraph"/>
              <w:spacing w:before="49"/>
              <w:ind w:left="141" w:right="110" w:hanging="2"/>
              <w:jc w:val="center"/>
              <w:rPr>
                <w:b/>
                <w:sz w:val="16"/>
              </w:rPr>
            </w:pPr>
            <w:r>
              <w:rPr>
                <w:b/>
                <w:color w:val="FFFFFF"/>
                <w:spacing w:val="-2"/>
                <w:sz w:val="16"/>
              </w:rPr>
              <w:t>Total Expenditure</w:t>
            </w:r>
          </w:p>
          <w:p>
            <w:pPr>
              <w:pStyle w:val="TableParagraph"/>
              <w:spacing w:before="88"/>
              <w:ind w:left="414" w:right="386"/>
              <w:jc w:val="center"/>
              <w:rPr>
                <w:b/>
                <w:sz w:val="16"/>
              </w:rPr>
            </w:pPr>
            <w:r>
              <w:rPr>
                <w:b/>
                <w:color w:val="FFFFFF"/>
                <w:spacing w:val="-4"/>
                <w:sz w:val="16"/>
              </w:rPr>
              <w:t>$000</w:t>
            </w:r>
          </w:p>
        </w:tc>
        <w:tc>
          <w:tcPr>
            <w:tcW w:w="1020" w:type="dxa"/>
            <w:tcBorders>
              <w:left w:val="single" w:sz="12" w:space="0" w:color="000000"/>
              <w:bottom w:val="single" w:sz="12" w:space="0" w:color="000000"/>
              <w:right w:val="single" w:sz="12" w:space="0" w:color="000000"/>
            </w:tcBorders>
            <w:shd w:val="clear" w:color="auto" w:fill="629CD1"/>
          </w:tcPr>
          <w:p>
            <w:pPr>
              <w:pStyle w:val="TableParagraph"/>
              <w:spacing w:before="49"/>
              <w:ind w:left="313" w:right="183" w:hanging="99"/>
              <w:rPr>
                <w:b/>
                <w:sz w:val="16"/>
              </w:rPr>
            </w:pPr>
            <w:r>
              <w:rPr>
                <w:b/>
                <w:color w:val="FFFFFF"/>
                <w:spacing w:val="-2"/>
                <w:sz w:val="16"/>
              </w:rPr>
              <w:t>Council </w:t>
            </w:r>
            <w:r>
              <w:rPr>
                <w:b/>
                <w:color w:val="FFFFFF"/>
                <w:spacing w:val="-4"/>
                <w:sz w:val="16"/>
              </w:rPr>
              <w:t>Cash</w:t>
            </w:r>
          </w:p>
          <w:p>
            <w:pPr>
              <w:pStyle w:val="TableParagraph"/>
              <w:spacing w:before="88"/>
              <w:ind w:left="330"/>
              <w:rPr>
                <w:b/>
                <w:sz w:val="16"/>
              </w:rPr>
            </w:pPr>
            <w:r>
              <w:rPr>
                <w:b/>
                <w:color w:val="FFFFFF"/>
                <w:spacing w:val="-4"/>
                <w:sz w:val="16"/>
              </w:rPr>
              <w:t>$000</w:t>
            </w:r>
          </w:p>
        </w:tc>
        <w:tc>
          <w:tcPr>
            <w:tcW w:w="1020" w:type="dxa"/>
            <w:tcBorders>
              <w:left w:val="single" w:sz="12" w:space="0" w:color="000000"/>
              <w:bottom w:val="single" w:sz="12" w:space="0" w:color="000000"/>
              <w:right w:val="single" w:sz="12" w:space="0" w:color="000000"/>
            </w:tcBorders>
            <w:shd w:val="clear" w:color="auto" w:fill="629CD1"/>
          </w:tcPr>
          <w:p>
            <w:pPr>
              <w:pStyle w:val="TableParagraph"/>
              <w:spacing w:before="140"/>
              <w:ind w:left="251"/>
              <w:rPr>
                <w:b/>
                <w:sz w:val="16"/>
              </w:rPr>
            </w:pPr>
            <w:r>
              <w:rPr>
                <w:b/>
                <w:color w:val="FFFFFF"/>
                <w:spacing w:val="-2"/>
                <w:sz w:val="16"/>
              </w:rPr>
              <w:t>Grants</w:t>
            </w:r>
          </w:p>
          <w:p>
            <w:pPr>
              <w:pStyle w:val="TableParagraph"/>
              <w:spacing w:before="8"/>
              <w:rPr>
                <w:b/>
                <w:sz w:val="15"/>
              </w:rPr>
            </w:pPr>
          </w:p>
          <w:p>
            <w:pPr>
              <w:pStyle w:val="TableParagraph"/>
              <w:spacing w:before="1"/>
              <w:ind w:left="330"/>
              <w:rPr>
                <w:b/>
                <w:sz w:val="16"/>
              </w:rPr>
            </w:pPr>
            <w:r>
              <w:rPr>
                <w:b/>
                <w:color w:val="FFFFFF"/>
                <w:spacing w:val="-4"/>
                <w:sz w:val="16"/>
              </w:rPr>
              <w:t>$000</w:t>
            </w:r>
          </w:p>
        </w:tc>
        <w:tc>
          <w:tcPr>
            <w:tcW w:w="1022" w:type="dxa"/>
            <w:tcBorders>
              <w:left w:val="single" w:sz="12" w:space="0" w:color="000000"/>
              <w:bottom w:val="single" w:sz="12" w:space="0" w:color="000000"/>
              <w:right w:val="single" w:sz="12" w:space="0" w:color="000000"/>
            </w:tcBorders>
            <w:shd w:val="clear" w:color="auto" w:fill="629CD1"/>
          </w:tcPr>
          <w:p>
            <w:pPr>
              <w:pStyle w:val="TableParagraph"/>
              <w:spacing w:before="49"/>
              <w:ind w:left="131" w:right="97" w:firstLine="120"/>
              <w:rPr>
                <w:b/>
                <w:sz w:val="16"/>
              </w:rPr>
            </w:pPr>
            <w:r>
              <w:rPr>
                <w:b/>
                <w:color w:val="FFFFFF"/>
                <w:spacing w:val="-2"/>
                <w:sz w:val="16"/>
              </w:rPr>
              <w:t>Others </w:t>
            </w:r>
            <w:r>
              <w:rPr>
                <w:b/>
                <w:color w:val="FFFFFF"/>
                <w:sz w:val="16"/>
              </w:rPr>
              <w:t>Contrib</w:t>
            </w:r>
            <w:r>
              <w:rPr>
                <w:b/>
                <w:color w:val="FFFFFF"/>
                <w:spacing w:val="-12"/>
                <w:sz w:val="16"/>
              </w:rPr>
              <w:t> </w:t>
            </w:r>
            <w:r>
              <w:rPr>
                <w:b/>
                <w:color w:val="FFFFFF"/>
                <w:sz w:val="16"/>
              </w:rPr>
              <w:t>‘n</w:t>
            </w:r>
          </w:p>
          <w:p>
            <w:pPr>
              <w:pStyle w:val="TableParagraph"/>
              <w:spacing w:before="88"/>
              <w:ind w:left="330"/>
              <w:rPr>
                <w:b/>
                <w:sz w:val="16"/>
              </w:rPr>
            </w:pPr>
            <w:r>
              <w:rPr>
                <w:b/>
                <w:color w:val="FFFFFF"/>
                <w:spacing w:val="-4"/>
                <w:sz w:val="16"/>
              </w:rPr>
              <w:t>$000</w:t>
            </w:r>
          </w:p>
        </w:tc>
        <w:tc>
          <w:tcPr>
            <w:tcW w:w="1020" w:type="dxa"/>
            <w:tcBorders>
              <w:left w:val="single" w:sz="12" w:space="0" w:color="000000"/>
              <w:bottom w:val="single" w:sz="12" w:space="0" w:color="000000"/>
              <w:right w:val="single" w:sz="12" w:space="0" w:color="000000"/>
            </w:tcBorders>
            <w:shd w:val="clear" w:color="auto" w:fill="629CD1"/>
          </w:tcPr>
          <w:p>
            <w:pPr>
              <w:pStyle w:val="TableParagraph"/>
              <w:spacing w:before="49"/>
              <w:ind w:left="184" w:right="150" w:firstLine="108"/>
              <w:rPr>
                <w:b/>
                <w:sz w:val="16"/>
              </w:rPr>
            </w:pPr>
            <w:r>
              <w:rPr>
                <w:b/>
                <w:color w:val="FFFFFF"/>
                <w:spacing w:val="-2"/>
                <w:sz w:val="16"/>
              </w:rPr>
              <w:t>Asset Renewal</w:t>
            </w:r>
          </w:p>
          <w:p>
            <w:pPr>
              <w:pStyle w:val="TableParagraph"/>
              <w:spacing w:before="88"/>
              <w:ind w:left="330"/>
              <w:rPr>
                <w:b/>
                <w:sz w:val="16"/>
              </w:rPr>
            </w:pPr>
            <w:r>
              <w:rPr>
                <w:b/>
                <w:color w:val="FFFFFF"/>
                <w:spacing w:val="-4"/>
                <w:sz w:val="16"/>
              </w:rPr>
              <w:t>$000</w:t>
            </w:r>
          </w:p>
        </w:tc>
        <w:tc>
          <w:tcPr>
            <w:tcW w:w="1022" w:type="dxa"/>
            <w:tcBorders>
              <w:left w:val="single" w:sz="12" w:space="0" w:color="000000"/>
              <w:bottom w:val="single" w:sz="12" w:space="0" w:color="000000"/>
              <w:right w:val="single" w:sz="12" w:space="0" w:color="000000"/>
            </w:tcBorders>
            <w:shd w:val="clear" w:color="auto" w:fill="629CD1"/>
          </w:tcPr>
          <w:p>
            <w:pPr>
              <w:pStyle w:val="TableParagraph"/>
              <w:spacing w:before="140"/>
              <w:ind w:left="171" w:right="144"/>
              <w:jc w:val="center"/>
              <w:rPr>
                <w:b/>
                <w:sz w:val="16"/>
              </w:rPr>
            </w:pPr>
            <w:r>
              <w:rPr>
                <w:b/>
                <w:color w:val="FFFFFF"/>
                <w:spacing w:val="-2"/>
                <w:sz w:val="16"/>
              </w:rPr>
              <w:t>Upgrade</w:t>
            </w:r>
          </w:p>
          <w:p>
            <w:pPr>
              <w:pStyle w:val="TableParagraph"/>
              <w:spacing w:before="8"/>
              <w:rPr>
                <w:b/>
                <w:sz w:val="15"/>
              </w:rPr>
            </w:pPr>
          </w:p>
          <w:p>
            <w:pPr>
              <w:pStyle w:val="TableParagraph"/>
              <w:spacing w:before="1"/>
              <w:ind w:left="168" w:right="144"/>
              <w:jc w:val="center"/>
              <w:rPr>
                <w:b/>
                <w:sz w:val="16"/>
              </w:rPr>
            </w:pPr>
            <w:r>
              <w:rPr>
                <w:b/>
                <w:color w:val="FFFFFF"/>
                <w:spacing w:val="-4"/>
                <w:sz w:val="16"/>
              </w:rPr>
              <w:t>$000</w:t>
            </w:r>
          </w:p>
        </w:tc>
        <w:tc>
          <w:tcPr>
            <w:tcW w:w="1024" w:type="dxa"/>
            <w:tcBorders>
              <w:left w:val="single" w:sz="12" w:space="0" w:color="000000"/>
              <w:bottom w:val="single" w:sz="12" w:space="0" w:color="000000"/>
              <w:right w:val="single" w:sz="12" w:space="0" w:color="000000"/>
            </w:tcBorders>
            <w:shd w:val="clear" w:color="auto" w:fill="629CD1"/>
          </w:tcPr>
          <w:p>
            <w:pPr>
              <w:pStyle w:val="TableParagraph"/>
              <w:spacing w:before="140"/>
              <w:ind w:left="113" w:right="83"/>
              <w:jc w:val="center"/>
              <w:rPr>
                <w:b/>
                <w:sz w:val="16"/>
              </w:rPr>
            </w:pPr>
            <w:r>
              <w:rPr>
                <w:b/>
                <w:color w:val="FFFFFF"/>
                <w:sz w:val="16"/>
              </w:rPr>
              <w:t>New</w:t>
            </w:r>
            <w:r>
              <w:rPr>
                <w:b/>
                <w:color w:val="FFFFFF"/>
                <w:spacing w:val="-1"/>
                <w:sz w:val="16"/>
              </w:rPr>
              <w:t> </w:t>
            </w:r>
            <w:r>
              <w:rPr>
                <w:b/>
                <w:color w:val="FFFFFF"/>
                <w:spacing w:val="-4"/>
                <w:sz w:val="16"/>
              </w:rPr>
              <w:t>Work</w:t>
            </w:r>
          </w:p>
          <w:p>
            <w:pPr>
              <w:pStyle w:val="TableParagraph"/>
              <w:spacing w:before="8"/>
              <w:rPr>
                <w:b/>
                <w:sz w:val="15"/>
              </w:rPr>
            </w:pPr>
          </w:p>
          <w:p>
            <w:pPr>
              <w:pStyle w:val="TableParagraph"/>
              <w:spacing w:before="1"/>
              <w:ind w:left="111" w:right="83"/>
              <w:jc w:val="center"/>
              <w:rPr>
                <w:b/>
                <w:sz w:val="16"/>
              </w:rPr>
            </w:pPr>
            <w:r>
              <w:rPr>
                <w:b/>
                <w:color w:val="FFFFFF"/>
                <w:spacing w:val="-4"/>
                <w:sz w:val="16"/>
              </w:rPr>
              <w:t>$000</w:t>
            </w:r>
          </w:p>
        </w:tc>
        <w:tc>
          <w:tcPr>
            <w:tcW w:w="1250" w:type="dxa"/>
            <w:tcBorders>
              <w:left w:val="single" w:sz="12" w:space="0" w:color="000000"/>
              <w:bottom w:val="single" w:sz="12" w:space="0" w:color="000000"/>
              <w:right w:val="single" w:sz="12" w:space="0" w:color="000000"/>
            </w:tcBorders>
            <w:shd w:val="clear" w:color="auto" w:fill="629CD1"/>
          </w:tcPr>
          <w:p>
            <w:pPr>
              <w:pStyle w:val="TableParagraph"/>
              <w:spacing w:before="49"/>
              <w:ind w:left="163" w:right="127" w:hanging="6"/>
              <w:jc w:val="center"/>
              <w:rPr>
                <w:b/>
                <w:sz w:val="16"/>
              </w:rPr>
            </w:pPr>
            <w:r>
              <w:rPr>
                <w:b/>
                <w:color w:val="FFFFFF"/>
                <w:spacing w:val="-2"/>
                <w:sz w:val="16"/>
              </w:rPr>
              <w:t>Total Expenditure</w:t>
            </w:r>
          </w:p>
          <w:p>
            <w:pPr>
              <w:pStyle w:val="TableParagraph"/>
              <w:spacing w:before="88"/>
              <w:ind w:left="434" w:right="405"/>
              <w:jc w:val="center"/>
              <w:rPr>
                <w:b/>
                <w:sz w:val="16"/>
              </w:rPr>
            </w:pPr>
            <w:r>
              <w:rPr>
                <w:b/>
                <w:color w:val="FFFFFF"/>
                <w:spacing w:val="-4"/>
                <w:sz w:val="16"/>
              </w:rPr>
              <w:t>$000</w:t>
            </w:r>
          </w:p>
        </w:tc>
        <w:tc>
          <w:tcPr>
            <w:tcW w:w="1248" w:type="dxa"/>
            <w:tcBorders>
              <w:left w:val="single" w:sz="12" w:space="0" w:color="000000"/>
              <w:bottom w:val="single" w:sz="12" w:space="0" w:color="000000"/>
              <w:right w:val="single" w:sz="12" w:space="0" w:color="000000"/>
            </w:tcBorders>
            <w:shd w:val="clear" w:color="auto" w:fill="629CD1"/>
          </w:tcPr>
          <w:p>
            <w:pPr>
              <w:pStyle w:val="TableParagraph"/>
              <w:spacing w:before="49"/>
              <w:ind w:left="164" w:right="125" w:hanging="6"/>
              <w:jc w:val="center"/>
              <w:rPr>
                <w:b/>
                <w:sz w:val="16"/>
              </w:rPr>
            </w:pPr>
            <w:r>
              <w:rPr>
                <w:b/>
                <w:color w:val="FFFFFF"/>
                <w:spacing w:val="-2"/>
                <w:sz w:val="16"/>
              </w:rPr>
              <w:t>Total Expenditure</w:t>
            </w:r>
          </w:p>
          <w:p>
            <w:pPr>
              <w:pStyle w:val="TableParagraph"/>
              <w:spacing w:before="88"/>
              <w:ind w:left="202" w:right="170"/>
              <w:jc w:val="center"/>
              <w:rPr>
                <w:b/>
                <w:sz w:val="16"/>
              </w:rPr>
            </w:pPr>
            <w:r>
              <w:rPr>
                <w:b/>
                <w:color w:val="FFFFFF"/>
                <w:spacing w:val="-4"/>
                <w:sz w:val="16"/>
              </w:rPr>
              <w:t>$000</w:t>
            </w:r>
          </w:p>
        </w:tc>
        <w:tc>
          <w:tcPr>
            <w:tcW w:w="1250" w:type="dxa"/>
            <w:tcBorders>
              <w:left w:val="single" w:sz="12" w:space="0" w:color="000000"/>
              <w:bottom w:val="single" w:sz="12" w:space="0" w:color="000000"/>
              <w:right w:val="single" w:sz="12" w:space="0" w:color="000000"/>
            </w:tcBorders>
            <w:shd w:val="clear" w:color="auto" w:fill="629CD1"/>
          </w:tcPr>
          <w:p>
            <w:pPr>
              <w:pStyle w:val="TableParagraph"/>
              <w:spacing w:before="49"/>
              <w:ind w:left="164" w:right="127" w:hanging="6"/>
              <w:jc w:val="center"/>
              <w:rPr>
                <w:b/>
                <w:sz w:val="16"/>
              </w:rPr>
            </w:pPr>
            <w:r>
              <w:rPr>
                <w:b/>
                <w:color w:val="FFFFFF"/>
                <w:spacing w:val="-2"/>
                <w:sz w:val="16"/>
              </w:rPr>
              <w:t>Total Expenditure</w:t>
            </w:r>
          </w:p>
          <w:p>
            <w:pPr>
              <w:pStyle w:val="TableParagraph"/>
              <w:spacing w:before="88"/>
              <w:ind w:left="434" w:right="404"/>
              <w:jc w:val="center"/>
              <w:rPr>
                <w:b/>
                <w:sz w:val="16"/>
              </w:rPr>
            </w:pPr>
            <w:r>
              <w:rPr>
                <w:b/>
                <w:color w:val="FFFFFF"/>
                <w:spacing w:val="-4"/>
                <w:sz w:val="16"/>
              </w:rPr>
              <w:t>$000</w:t>
            </w:r>
          </w:p>
        </w:tc>
      </w:tr>
      <w:tr>
        <w:trPr>
          <w:trHeight w:val="632" w:hRule="atLeast"/>
        </w:trPr>
        <w:tc>
          <w:tcPr>
            <w:tcW w:w="4296" w:type="dxa"/>
            <w:tcBorders>
              <w:top w:val="single" w:sz="12" w:space="0" w:color="000000"/>
              <w:left w:val="single" w:sz="12" w:space="0" w:color="000000"/>
              <w:bottom w:val="dashSmallGap" w:sz="4" w:space="0" w:color="000000"/>
              <w:right w:val="single" w:sz="8" w:space="0" w:color="000000"/>
            </w:tcBorders>
          </w:tcPr>
          <w:p>
            <w:pPr>
              <w:pStyle w:val="TableParagraph"/>
              <w:spacing w:line="322" w:lineRule="exact" w:before="3"/>
              <w:ind w:left="107"/>
              <w:rPr>
                <w:b/>
                <w:sz w:val="28"/>
              </w:rPr>
            </w:pPr>
            <w:r>
              <w:rPr>
                <w:b/>
                <w:sz w:val="28"/>
              </w:rPr>
              <w:t>ROADS</w:t>
            </w:r>
            <w:r>
              <w:rPr>
                <w:b/>
                <w:spacing w:val="-3"/>
                <w:sz w:val="28"/>
              </w:rPr>
              <w:t> </w:t>
            </w:r>
            <w:r>
              <w:rPr>
                <w:b/>
                <w:sz w:val="28"/>
              </w:rPr>
              <w:t>AND</w:t>
            </w:r>
            <w:r>
              <w:rPr>
                <w:b/>
                <w:spacing w:val="-2"/>
                <w:sz w:val="28"/>
              </w:rPr>
              <w:t> DRAINAGE</w:t>
            </w:r>
          </w:p>
          <w:p>
            <w:pPr>
              <w:pStyle w:val="TableParagraph"/>
              <w:spacing w:line="287" w:lineRule="exact"/>
              <w:ind w:left="107"/>
              <w:rPr>
                <w:b/>
                <w:sz w:val="28"/>
              </w:rPr>
            </w:pPr>
            <w:r>
              <w:rPr>
                <w:b/>
                <w:spacing w:val="-2"/>
                <w:sz w:val="28"/>
              </w:rPr>
              <w:t>Continuation…</w:t>
            </w:r>
          </w:p>
        </w:tc>
        <w:tc>
          <w:tcPr>
            <w:tcW w:w="7338" w:type="dxa"/>
            <w:gridSpan w:val="7"/>
            <w:tcBorders>
              <w:top w:val="single" w:sz="12" w:space="0" w:color="000000"/>
              <w:left w:val="single" w:sz="8" w:space="0" w:color="000000"/>
              <w:right w:val="single" w:sz="12" w:space="0" w:color="000000"/>
            </w:tcBorders>
          </w:tcPr>
          <w:p>
            <w:pPr>
              <w:pStyle w:val="TableParagraph"/>
              <w:rPr>
                <w:rFonts w:ascii="Times New Roman"/>
                <w:sz w:val="18"/>
              </w:rPr>
            </w:pPr>
          </w:p>
        </w:tc>
        <w:tc>
          <w:tcPr>
            <w:tcW w:w="1250" w:type="dxa"/>
            <w:tcBorders>
              <w:top w:val="single" w:sz="12"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48" w:type="dxa"/>
            <w:tcBorders>
              <w:top w:val="single" w:sz="12"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50" w:type="dxa"/>
            <w:tcBorders>
              <w:top w:val="single" w:sz="12" w:space="0" w:color="000000"/>
              <w:left w:val="single" w:sz="12" w:space="0" w:color="000000"/>
              <w:bottom w:val="dashed" w:sz="4" w:space="0" w:color="000000"/>
              <w:right w:val="single" w:sz="12" w:space="0" w:color="000000"/>
            </w:tcBorders>
          </w:tcPr>
          <w:p>
            <w:pPr>
              <w:pStyle w:val="TableParagraph"/>
              <w:rPr>
                <w:rFonts w:ascii="Times New Roman"/>
                <w:sz w:val="18"/>
              </w:rPr>
            </w:pPr>
          </w:p>
        </w:tc>
      </w:tr>
      <w:tr>
        <w:trPr>
          <w:trHeight w:val="267" w:hRule="atLeast"/>
        </w:trPr>
        <w:tc>
          <w:tcPr>
            <w:tcW w:w="4296" w:type="dxa"/>
            <w:tcBorders>
              <w:top w:val="dashSmallGap" w:sz="4" w:space="0" w:color="000000"/>
              <w:left w:val="single" w:sz="12" w:space="0" w:color="000000"/>
              <w:bottom w:val="dashSmallGap" w:sz="4" w:space="0" w:color="000000"/>
              <w:right w:val="single" w:sz="8" w:space="0" w:color="000000"/>
            </w:tcBorders>
          </w:tcPr>
          <w:p>
            <w:pPr>
              <w:pStyle w:val="TableParagraph"/>
              <w:spacing w:line="238" w:lineRule="exact" w:before="8"/>
              <w:ind w:left="107"/>
              <w:rPr>
                <w:b/>
                <w:sz w:val="22"/>
              </w:rPr>
            </w:pPr>
            <w:r>
              <w:rPr>
                <w:b/>
                <w:spacing w:val="-2"/>
                <w:sz w:val="22"/>
              </w:rPr>
              <w:t>DRAINAGE</w:t>
            </w:r>
          </w:p>
        </w:tc>
        <w:tc>
          <w:tcPr>
            <w:tcW w:w="7338" w:type="dxa"/>
            <w:gridSpan w:val="7"/>
            <w:tcBorders>
              <w:left w:val="single" w:sz="8" w:space="0" w:color="000000"/>
              <w:right w:val="single" w:sz="12" w:space="0" w:color="000000"/>
            </w:tcBorders>
          </w:tcPr>
          <w:p>
            <w:pPr>
              <w:pStyle w:val="TableParagraph"/>
              <w:spacing w:before="4"/>
              <w:rPr>
                <w:b/>
                <w:sz w:val="2"/>
              </w:rPr>
            </w:pPr>
          </w:p>
          <w:p>
            <w:pPr>
              <w:pStyle w:val="TableParagraph"/>
              <w:tabs>
                <w:tab w:pos="2224" w:val="left" w:leader="none"/>
                <w:tab w:pos="3244" w:val="left" w:leader="none"/>
                <w:tab w:pos="4266" w:val="left" w:leader="none"/>
                <w:tab w:pos="5286" w:val="left" w:leader="none"/>
                <w:tab w:pos="6309" w:val="left" w:leader="none"/>
              </w:tabs>
              <w:spacing w:line="192" w:lineRule="exact"/>
              <w:ind w:left="1204"/>
              <w:rPr>
                <w:sz w:val="19"/>
              </w:rPr>
            </w:pPr>
            <w:r>
              <w:rPr>
                <w:position w:val="-3"/>
                <w:sz w:val="19"/>
              </w:rPr>
              <w:pict>
                <v:group style="width:.5pt;height:9.6pt;mso-position-horizontal-relative:char;mso-position-vertical-relative:line" id="docshapegroup161" coordorigin="0,0" coordsize="10,192">
                  <v:shape style="position:absolute;left:0;top:0;width:10;height:192" id="docshape162" coordorigin="0,0" coordsize="10,192"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163" coordorigin="0,0" coordsize="10,192">
                  <v:shape style="position:absolute;left:0;top:0;width:10;height:192" id="docshape164" coordorigin="0,0" coordsize="10,192"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165" coordorigin="0,0" coordsize="10,192">
                  <v:shape style="position:absolute;left:0;top:0;width:10;height:192" id="docshape166" coordorigin="0,0" coordsize="10,192"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167" coordorigin="0,0" coordsize="10,192">
                  <v:shape style="position:absolute;left:0;top:0;width:10;height:192" id="docshape168" coordorigin="0,0" coordsize="10,192"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169" coordorigin="0,0" coordsize="10,192">
                  <v:shape style="position:absolute;left:0;top:0;width:10;height:192" id="docshape170" coordorigin="0,0" coordsize="10,192"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171" coordorigin="0,0" coordsize="10,192">
                  <v:shape style="position:absolute;left:0;top:0;width:10;height:192" id="docshape172" coordorigin="0,0" coordsize="10,192" path="m10,154l0,154,0,192,10,192,10,154xm10,77l0,77,0,115,10,115,10,77xm10,0l0,0,0,38,10,38,10,0xe" filled="true" fillcolor="#000000" stroked="false">
                    <v:path arrowok="t"/>
                    <v:fill type="solid"/>
                  </v:shape>
                </v:group>
              </w:pict>
            </w:r>
            <w:r>
              <w:rPr>
                <w:position w:val="-3"/>
                <w:sz w:val="19"/>
              </w:rPr>
            </w:r>
          </w:p>
        </w:tc>
        <w:tc>
          <w:tcPr>
            <w:tcW w:w="1250"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50"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r>
      <w:tr>
        <w:trPr>
          <w:trHeight w:val="466" w:hRule="atLeast"/>
        </w:trPr>
        <w:tc>
          <w:tcPr>
            <w:tcW w:w="4296" w:type="dxa"/>
            <w:tcBorders>
              <w:top w:val="dashSmallGap" w:sz="4" w:space="0" w:color="000000"/>
              <w:left w:val="single" w:sz="12" w:space="0" w:color="000000"/>
              <w:bottom w:val="dashSmallGap" w:sz="4" w:space="0" w:color="000000"/>
              <w:right w:val="single" w:sz="8" w:space="0" w:color="000000"/>
            </w:tcBorders>
          </w:tcPr>
          <w:p>
            <w:pPr>
              <w:pStyle w:val="TableParagraph"/>
              <w:spacing w:before="17"/>
              <w:ind w:left="107"/>
              <w:rPr>
                <w:sz w:val="18"/>
              </w:rPr>
            </w:pPr>
            <w:r>
              <w:rPr>
                <w:sz w:val="18"/>
              </w:rPr>
              <w:t>Ringwood</w:t>
            </w:r>
            <w:r>
              <w:rPr>
                <w:spacing w:val="-10"/>
                <w:sz w:val="18"/>
              </w:rPr>
              <w:t> </w:t>
            </w:r>
            <w:r>
              <w:rPr>
                <w:sz w:val="18"/>
              </w:rPr>
              <w:t>Metropolitan</w:t>
            </w:r>
            <w:r>
              <w:rPr>
                <w:spacing w:val="-7"/>
                <w:sz w:val="18"/>
              </w:rPr>
              <w:t> </w:t>
            </w:r>
            <w:r>
              <w:rPr>
                <w:sz w:val="18"/>
              </w:rPr>
              <w:t>Activities</w:t>
            </w:r>
            <w:r>
              <w:rPr>
                <w:spacing w:val="-8"/>
                <w:sz w:val="18"/>
              </w:rPr>
              <w:t> </w:t>
            </w:r>
            <w:r>
              <w:rPr>
                <w:sz w:val="18"/>
              </w:rPr>
              <w:t>Centre</w:t>
            </w:r>
            <w:r>
              <w:rPr>
                <w:spacing w:val="-8"/>
                <w:sz w:val="18"/>
              </w:rPr>
              <w:t> </w:t>
            </w:r>
            <w:r>
              <w:rPr>
                <w:sz w:val="18"/>
              </w:rPr>
              <w:t>-Drainage </w:t>
            </w:r>
            <w:r>
              <w:rPr>
                <w:spacing w:val="-2"/>
                <w:sz w:val="18"/>
              </w:rPr>
              <w:t>Infrastructure</w:t>
            </w:r>
          </w:p>
        </w:tc>
        <w:tc>
          <w:tcPr>
            <w:tcW w:w="1210" w:type="dxa"/>
            <w:tcBorders>
              <w:top w:val="dashSmallGap" w:sz="4" w:space="0" w:color="000000"/>
              <w:left w:val="single" w:sz="8" w:space="0" w:color="000000"/>
              <w:bottom w:val="dashSmallGap" w:sz="4" w:space="0" w:color="000000"/>
              <w:right w:val="nil"/>
            </w:tcBorders>
          </w:tcPr>
          <w:p>
            <w:pPr>
              <w:pStyle w:val="TableParagraph"/>
              <w:spacing w:before="120"/>
              <w:ind w:right="82"/>
              <w:jc w:val="right"/>
              <w:rPr>
                <w:sz w:val="18"/>
              </w:rPr>
            </w:pPr>
            <w:r>
              <w:rPr>
                <w:sz w:val="18"/>
              </w:rPr>
              <w:t>0</w:t>
            </w:r>
          </w:p>
        </w:tc>
        <w:tc>
          <w:tcPr>
            <w:tcW w:w="1020" w:type="dxa"/>
            <w:tcBorders>
              <w:top w:val="dotted" w:sz="4" w:space="0" w:color="000000"/>
              <w:left w:val="nil"/>
              <w:bottom w:val="dashSmallGap" w:sz="4" w:space="0" w:color="000000"/>
              <w:right w:val="nil"/>
            </w:tcBorders>
          </w:tcPr>
          <w:p>
            <w:pPr>
              <w:pStyle w:val="TableParagraph"/>
              <w:spacing w:before="120"/>
              <w:ind w:right="92"/>
              <w:jc w:val="right"/>
              <w:rPr>
                <w:sz w:val="18"/>
              </w:rPr>
            </w:pPr>
            <w:r>
              <w:rPr>
                <w:sz w:val="18"/>
              </w:rPr>
              <w:t>0</w:t>
            </w:r>
          </w:p>
        </w:tc>
        <w:tc>
          <w:tcPr>
            <w:tcW w:w="1020" w:type="dxa"/>
            <w:tcBorders>
              <w:top w:val="dotted" w:sz="4" w:space="0" w:color="000000"/>
              <w:left w:val="nil"/>
              <w:bottom w:val="dashSmallGap" w:sz="4" w:space="0" w:color="000000"/>
              <w:right w:val="nil"/>
            </w:tcBorders>
          </w:tcPr>
          <w:p>
            <w:pPr>
              <w:pStyle w:val="TableParagraph"/>
              <w:tabs>
                <w:tab w:pos="1029" w:val="left" w:leader="none"/>
              </w:tabs>
              <w:ind w:left="9" w:right="-87"/>
              <w:rPr>
                <w:sz w:val="20"/>
              </w:rPr>
            </w:pPr>
            <w:r>
              <w:rPr>
                <w:sz w:val="20"/>
              </w:rPr>
              <w:pict>
                <v:group style="width:.5pt;height:17.3pt;mso-position-horizontal-relative:char;mso-position-vertical-relative:line" id="docshapegroup173" coordorigin="0,0" coordsize="10,346">
                  <v:shape style="position:absolute;left:0;top:0;width:10;height:346" id="docshape174" coordorigin="0,0" coordsize="10,346" path="m10,307l0,307,0,346,10,346,10,307xm10,230l0,230,0,269,10,269,10,230xm10,154l0,154,0,192,10,192,10,154xm10,77l0,77,0,115,10,115,10,77xm10,0l0,0,0,38,10,38,10,0xe" filled="true" fillcolor="#000000" stroked="false">
                    <v:path arrowok="t"/>
                    <v:fill type="solid"/>
                  </v:shape>
                </v:group>
              </w:pict>
            </w:r>
            <w:r>
              <w:rPr>
                <w:sz w:val="20"/>
              </w:rPr>
            </w:r>
            <w:r>
              <w:rPr>
                <w:sz w:val="20"/>
              </w:rPr>
              <w:tab/>
            </w:r>
            <w:r>
              <w:rPr>
                <w:sz w:val="20"/>
              </w:rPr>
              <w:pict>
                <v:group style="width:.5pt;height:17.3pt;mso-position-horizontal-relative:char;mso-position-vertical-relative:line" id="docshapegroup175" coordorigin="0,0" coordsize="10,346">
                  <v:shape style="position:absolute;left:0;top:0;width:10;height:346" id="docshape176" coordorigin="0,0" coordsize="10,346" path="m10,307l0,307,0,346,10,346,10,307xm10,230l0,230,0,269,10,269,10,230xm10,154l0,154,0,192,10,192,10,154xm10,77l0,77,0,115,10,115,10,77xm10,0l0,0,0,38,10,38,10,0xe" filled="true" fillcolor="#000000" stroked="false">
                    <v:path arrowok="t"/>
                    <v:fill type="solid"/>
                  </v:shape>
                </v:group>
              </w:pict>
            </w:r>
            <w:r>
              <w:rPr>
                <w:sz w:val="20"/>
              </w:rPr>
            </w:r>
          </w:p>
        </w:tc>
        <w:tc>
          <w:tcPr>
            <w:tcW w:w="1022" w:type="dxa"/>
            <w:tcBorders>
              <w:top w:val="dashed" w:sz="4" w:space="0" w:color="000000"/>
              <w:left w:val="nil"/>
              <w:bottom w:val="dashSmallGap" w:sz="4" w:space="0" w:color="000000"/>
              <w:right w:val="nil"/>
            </w:tcBorders>
          </w:tcPr>
          <w:p>
            <w:pPr>
              <w:pStyle w:val="TableParagraph"/>
              <w:ind w:left="1031" w:right="-87"/>
              <w:rPr>
                <w:sz w:val="20"/>
              </w:rPr>
            </w:pPr>
            <w:r>
              <w:rPr>
                <w:sz w:val="20"/>
              </w:rPr>
              <w:pict>
                <v:group style="width:.5pt;height:17.3pt;mso-position-horizontal-relative:char;mso-position-vertical-relative:line" id="docshapegroup177" coordorigin="0,0" coordsize="10,346">
                  <v:shape style="position:absolute;left:0;top:0;width:10;height:346" id="docshape178" coordorigin="0,0" coordsize="10,346" path="m10,307l0,307,0,346,10,346,10,307xm10,230l0,230,0,269,10,269,10,230xm10,154l0,154,0,192,10,192,10,154xm10,77l0,77,0,115,10,115,10,77xm10,0l0,0,0,38,10,38,10,0xe" filled="true" fillcolor="#000000" stroked="false">
                    <v:path arrowok="t"/>
                    <v:fill type="solid"/>
                  </v:shape>
                </v:group>
              </w:pict>
            </w:r>
            <w:r>
              <w:rPr>
                <w:sz w:val="20"/>
              </w:rPr>
            </w:r>
          </w:p>
        </w:tc>
        <w:tc>
          <w:tcPr>
            <w:tcW w:w="1020" w:type="dxa"/>
            <w:tcBorders>
              <w:top w:val="dashed" w:sz="4" w:space="0" w:color="000000"/>
              <w:left w:val="nil"/>
              <w:bottom w:val="dashSmallGap" w:sz="4" w:space="0" w:color="000000"/>
              <w:right w:val="nil"/>
            </w:tcBorders>
          </w:tcPr>
          <w:p>
            <w:pPr>
              <w:pStyle w:val="TableParagraph"/>
              <w:spacing w:before="120"/>
              <w:ind w:right="92"/>
              <w:jc w:val="right"/>
              <w:rPr>
                <w:sz w:val="18"/>
              </w:rPr>
            </w:pPr>
            <w:r>
              <w:rPr>
                <w:sz w:val="18"/>
              </w:rPr>
              <w:t>0</w:t>
            </w:r>
          </w:p>
        </w:tc>
        <w:tc>
          <w:tcPr>
            <w:tcW w:w="1022" w:type="dxa"/>
            <w:tcBorders>
              <w:top w:val="dashed" w:sz="4" w:space="0" w:color="000000"/>
              <w:left w:val="nil"/>
              <w:bottom w:val="dashed" w:sz="4" w:space="0" w:color="000000"/>
              <w:right w:val="nil"/>
            </w:tcBorders>
          </w:tcPr>
          <w:p>
            <w:pPr>
              <w:pStyle w:val="TableParagraph"/>
              <w:tabs>
                <w:tab w:pos="1032" w:val="left" w:leader="none"/>
              </w:tabs>
              <w:ind w:left="9" w:right="-87"/>
              <w:rPr>
                <w:sz w:val="20"/>
              </w:rPr>
            </w:pPr>
            <w:r>
              <w:rPr>
                <w:sz w:val="20"/>
              </w:rPr>
              <w:pict>
                <v:group style="width:.5pt;height:17.3pt;mso-position-horizontal-relative:char;mso-position-vertical-relative:line" id="docshapegroup179" coordorigin="0,0" coordsize="10,346">
                  <v:shape style="position:absolute;left:0;top:0;width:10;height:346" id="docshape180" coordorigin="0,0" coordsize="10,346" path="m10,307l0,307,0,346,10,346,10,307xm10,230l0,230,0,269,10,269,10,230xm10,154l0,154,0,192,10,192,10,154xm10,77l0,77,0,115,10,115,10,77xm10,0l0,0,0,38,10,38,10,0xe" filled="true" fillcolor="#000000" stroked="false">
                    <v:path arrowok="t"/>
                    <v:fill type="solid"/>
                  </v:shape>
                </v:group>
              </w:pict>
            </w:r>
            <w:r>
              <w:rPr>
                <w:sz w:val="20"/>
              </w:rPr>
            </w:r>
            <w:r>
              <w:rPr>
                <w:sz w:val="20"/>
              </w:rPr>
              <w:tab/>
            </w:r>
            <w:r>
              <w:rPr>
                <w:sz w:val="20"/>
              </w:rPr>
              <w:pict>
                <v:group style="width:.5pt;height:17.3pt;mso-position-horizontal-relative:char;mso-position-vertical-relative:line" id="docshapegroup181" coordorigin="0,0" coordsize="10,346">
                  <v:shape style="position:absolute;left:0;top:0;width:10;height:346" id="docshape182" coordorigin="0,0" coordsize="10,346" path="m10,307l0,307,0,346,10,346,10,307xm10,230l0,230,0,269,10,269,10,230xm10,154l0,154,0,192,10,192,10,154xm10,77l0,77,0,115,10,115,10,77xm10,0l0,0,0,38,10,38,10,0xe" filled="true" fillcolor="#000000" stroked="false">
                    <v:path arrowok="t"/>
                    <v:fill type="solid"/>
                  </v:shape>
                </v:group>
              </w:pict>
            </w:r>
            <w:r>
              <w:rPr>
                <w:sz w:val="20"/>
              </w:rPr>
            </w:r>
          </w:p>
        </w:tc>
        <w:tc>
          <w:tcPr>
            <w:tcW w:w="1024" w:type="dxa"/>
            <w:tcBorders>
              <w:top w:val="dashed" w:sz="4" w:space="0" w:color="000000"/>
              <w:left w:val="nil"/>
              <w:bottom w:val="dashed" w:sz="4" w:space="0" w:color="000000"/>
              <w:right w:val="single" w:sz="12" w:space="0" w:color="000000"/>
            </w:tcBorders>
          </w:tcPr>
          <w:p>
            <w:pPr>
              <w:pStyle w:val="TableParagraph"/>
              <w:rPr>
                <w:rFonts w:ascii="Times New Roman"/>
                <w:sz w:val="18"/>
              </w:rPr>
            </w:pPr>
          </w:p>
        </w:tc>
        <w:tc>
          <w:tcPr>
            <w:tcW w:w="1250" w:type="dxa"/>
            <w:tcBorders>
              <w:top w:val="dashed" w:sz="4" w:space="0" w:color="000000"/>
              <w:left w:val="single" w:sz="12" w:space="0" w:color="000000"/>
              <w:bottom w:val="dashed" w:sz="4" w:space="0" w:color="000000"/>
              <w:right w:val="single" w:sz="12" w:space="0" w:color="000000"/>
            </w:tcBorders>
          </w:tcPr>
          <w:p>
            <w:pPr>
              <w:pStyle w:val="TableParagraph"/>
              <w:spacing w:before="120"/>
              <w:ind w:right="75"/>
              <w:jc w:val="right"/>
              <w:rPr>
                <w:sz w:val="18"/>
              </w:rPr>
            </w:pPr>
            <w:r>
              <w:rPr>
                <w:sz w:val="18"/>
              </w:rPr>
              <w:t>0</w:t>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120"/>
              <w:ind w:right="73"/>
              <w:jc w:val="right"/>
              <w:rPr>
                <w:sz w:val="18"/>
              </w:rPr>
            </w:pPr>
            <w:r>
              <w:rPr>
                <w:sz w:val="18"/>
              </w:rPr>
              <w:t>0</w:t>
            </w:r>
          </w:p>
        </w:tc>
        <w:tc>
          <w:tcPr>
            <w:tcW w:w="1250" w:type="dxa"/>
            <w:tcBorders>
              <w:top w:val="dashed" w:sz="4" w:space="0" w:color="000000"/>
              <w:left w:val="single" w:sz="12" w:space="0" w:color="000000"/>
              <w:bottom w:val="dashed" w:sz="4" w:space="0" w:color="000000"/>
              <w:right w:val="single" w:sz="12" w:space="0" w:color="000000"/>
            </w:tcBorders>
          </w:tcPr>
          <w:p>
            <w:pPr>
              <w:pStyle w:val="TableParagraph"/>
              <w:spacing w:before="120"/>
              <w:ind w:right="74"/>
              <w:jc w:val="right"/>
              <w:rPr>
                <w:sz w:val="18"/>
              </w:rPr>
            </w:pPr>
            <w:r>
              <w:rPr>
                <w:spacing w:val="-5"/>
                <w:sz w:val="18"/>
              </w:rPr>
              <w:t>700</w:t>
            </w:r>
          </w:p>
        </w:tc>
      </w:tr>
      <w:tr>
        <w:trPr>
          <w:trHeight w:val="302" w:hRule="atLeast"/>
        </w:trPr>
        <w:tc>
          <w:tcPr>
            <w:tcW w:w="4296" w:type="dxa"/>
            <w:tcBorders>
              <w:top w:val="dashSmallGap" w:sz="4" w:space="0" w:color="000000"/>
              <w:left w:val="single" w:sz="12" w:space="0" w:color="000000"/>
              <w:bottom w:val="dashSmallGap" w:sz="4" w:space="0" w:color="000000"/>
              <w:right w:val="single" w:sz="8" w:space="0" w:color="000000"/>
            </w:tcBorders>
          </w:tcPr>
          <w:p>
            <w:pPr>
              <w:pStyle w:val="TableParagraph"/>
              <w:spacing w:before="47"/>
              <w:ind w:left="107"/>
              <w:rPr>
                <w:sz w:val="18"/>
              </w:rPr>
            </w:pPr>
            <w:r>
              <w:rPr>
                <w:sz w:val="18"/>
              </w:rPr>
              <w:t>Waterway Improvement</w:t>
            </w:r>
            <w:r>
              <w:rPr>
                <w:spacing w:val="1"/>
                <w:sz w:val="18"/>
              </w:rPr>
              <w:t> </w:t>
            </w:r>
            <w:r>
              <w:rPr>
                <w:spacing w:val="-2"/>
                <w:sz w:val="18"/>
              </w:rPr>
              <w:t>Program</w:t>
            </w:r>
          </w:p>
        </w:tc>
        <w:tc>
          <w:tcPr>
            <w:tcW w:w="1210" w:type="dxa"/>
            <w:tcBorders>
              <w:top w:val="dashSmallGap" w:sz="4" w:space="0" w:color="000000"/>
              <w:left w:val="single" w:sz="8" w:space="0" w:color="000000"/>
              <w:bottom w:val="dashSmallGap" w:sz="4" w:space="0" w:color="000000"/>
              <w:right w:val="nil"/>
            </w:tcBorders>
          </w:tcPr>
          <w:p>
            <w:pPr>
              <w:pStyle w:val="TableParagraph"/>
              <w:spacing w:before="47"/>
              <w:ind w:right="79"/>
              <w:jc w:val="right"/>
              <w:rPr>
                <w:sz w:val="18"/>
              </w:rPr>
            </w:pPr>
            <w:r>
              <w:rPr>
                <w:spacing w:val="-5"/>
                <w:sz w:val="18"/>
              </w:rPr>
              <w:t>150</w:t>
            </w:r>
          </w:p>
        </w:tc>
        <w:tc>
          <w:tcPr>
            <w:tcW w:w="1020" w:type="dxa"/>
            <w:tcBorders>
              <w:top w:val="dashSmallGap" w:sz="4" w:space="0" w:color="000000"/>
              <w:left w:val="nil"/>
              <w:bottom w:val="dashSmallGap" w:sz="4" w:space="0" w:color="000000"/>
              <w:right w:val="nil"/>
            </w:tcBorders>
          </w:tcPr>
          <w:p>
            <w:pPr>
              <w:pStyle w:val="TableParagraph"/>
              <w:spacing w:before="47"/>
              <w:ind w:right="89"/>
              <w:jc w:val="right"/>
              <w:rPr>
                <w:sz w:val="18"/>
              </w:rPr>
            </w:pPr>
            <w:r>
              <w:rPr>
                <w:spacing w:val="-5"/>
                <w:sz w:val="18"/>
              </w:rPr>
              <w:t>150</w:t>
            </w:r>
          </w:p>
        </w:tc>
        <w:tc>
          <w:tcPr>
            <w:tcW w:w="1020" w:type="dxa"/>
            <w:tcBorders>
              <w:top w:val="dashSmallGap" w:sz="4" w:space="0" w:color="000000"/>
              <w:left w:val="nil"/>
              <w:bottom w:val="dashSmallGap" w:sz="4" w:space="0" w:color="000000"/>
              <w:right w:val="nil"/>
            </w:tcBorders>
          </w:tcPr>
          <w:p>
            <w:pPr>
              <w:pStyle w:val="TableParagraph"/>
              <w:spacing w:before="3"/>
              <w:rPr>
                <w:b/>
                <w:sz w:val="7"/>
              </w:rPr>
            </w:pPr>
          </w:p>
          <w:p>
            <w:pPr>
              <w:pStyle w:val="TableParagraph"/>
              <w:tabs>
                <w:tab w:pos="1029" w:val="left" w:leader="none"/>
              </w:tabs>
              <w:spacing w:line="115" w:lineRule="exact"/>
              <w:ind w:left="9" w:right="-87"/>
              <w:rPr>
                <w:sz w:val="11"/>
              </w:rPr>
            </w:pPr>
            <w:r>
              <w:rPr>
                <w:position w:val="-1"/>
                <w:sz w:val="11"/>
              </w:rPr>
              <w:pict>
                <v:group style="width:.5pt;height:5.8pt;mso-position-horizontal-relative:char;mso-position-vertical-relative:line" id="docshapegroup183" coordorigin="0,0" coordsize="10,116">
                  <v:shape style="position:absolute;left:0;top:0;width:10;height:116" id="docshape184"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185" coordorigin="0,0" coordsize="10,116">
                  <v:shape style="position:absolute;left:0;top:0;width:10;height:116" id="docshape186" coordorigin="0,0" coordsize="10,116" path="m10,77l0,77,0,115,10,115,10,77xm10,0l0,0,0,38,10,38,10,0xe" filled="true" fillcolor="#000000" stroked="false">
                    <v:path arrowok="t"/>
                    <v:fill type="solid"/>
                  </v:shape>
                </v:group>
              </w:pict>
            </w:r>
            <w:r>
              <w:rPr>
                <w:position w:val="-1"/>
                <w:sz w:val="11"/>
              </w:rPr>
            </w:r>
          </w:p>
        </w:tc>
        <w:tc>
          <w:tcPr>
            <w:tcW w:w="1022" w:type="dxa"/>
            <w:tcBorders>
              <w:top w:val="dashSmallGap" w:sz="4" w:space="0" w:color="000000"/>
              <w:left w:val="nil"/>
              <w:bottom w:val="dashSmallGap" w:sz="4" w:space="0" w:color="000000"/>
              <w:right w:val="nil"/>
            </w:tcBorders>
          </w:tcPr>
          <w:p>
            <w:pPr>
              <w:pStyle w:val="TableParagraph"/>
              <w:spacing w:before="3"/>
              <w:rPr>
                <w:b/>
                <w:sz w:val="7"/>
              </w:rPr>
            </w:pPr>
          </w:p>
          <w:p>
            <w:pPr>
              <w:pStyle w:val="TableParagraph"/>
              <w:spacing w:line="115" w:lineRule="exact"/>
              <w:ind w:left="1031" w:right="-87"/>
              <w:rPr>
                <w:sz w:val="11"/>
              </w:rPr>
            </w:pPr>
            <w:r>
              <w:rPr>
                <w:position w:val="-1"/>
                <w:sz w:val="11"/>
              </w:rPr>
              <w:pict>
                <v:group style="width:.5pt;height:5.8pt;mso-position-horizontal-relative:char;mso-position-vertical-relative:line" id="docshapegroup187" coordorigin="0,0" coordsize="10,116">
                  <v:shape style="position:absolute;left:0;top:0;width:10;height:116" id="docshape188" coordorigin="0,0" coordsize="10,116" path="m10,77l0,77,0,115,10,115,10,77xm10,0l0,0,0,38,10,38,10,0xe" filled="true" fillcolor="#000000" stroked="false">
                    <v:path arrowok="t"/>
                    <v:fill type="solid"/>
                  </v:shape>
                </v:group>
              </w:pict>
            </w:r>
            <w:r>
              <w:rPr>
                <w:position w:val="-1"/>
                <w:sz w:val="11"/>
              </w:rPr>
            </w:r>
          </w:p>
        </w:tc>
        <w:tc>
          <w:tcPr>
            <w:tcW w:w="1020" w:type="dxa"/>
            <w:tcBorders>
              <w:top w:val="dashSmallGap" w:sz="4" w:space="0" w:color="000000"/>
              <w:left w:val="nil"/>
              <w:bottom w:val="dashSmallGap" w:sz="4" w:space="0" w:color="000000"/>
              <w:right w:val="nil"/>
            </w:tcBorders>
          </w:tcPr>
          <w:p>
            <w:pPr>
              <w:pStyle w:val="TableParagraph"/>
              <w:spacing w:before="47"/>
              <w:ind w:right="91"/>
              <w:jc w:val="right"/>
              <w:rPr>
                <w:sz w:val="18"/>
              </w:rPr>
            </w:pPr>
            <w:r>
              <w:rPr>
                <w:spacing w:val="-5"/>
                <w:sz w:val="18"/>
              </w:rPr>
              <w:t>150</w:t>
            </w:r>
          </w:p>
        </w:tc>
        <w:tc>
          <w:tcPr>
            <w:tcW w:w="1022" w:type="dxa"/>
            <w:tcBorders>
              <w:top w:val="dashed" w:sz="4" w:space="0" w:color="000000"/>
              <w:left w:val="nil"/>
              <w:bottom w:val="dashed" w:sz="4" w:space="0" w:color="000000"/>
              <w:right w:val="nil"/>
            </w:tcBorders>
          </w:tcPr>
          <w:p>
            <w:pPr>
              <w:pStyle w:val="TableParagraph"/>
              <w:spacing w:before="3"/>
              <w:rPr>
                <w:b/>
                <w:sz w:val="7"/>
              </w:rPr>
            </w:pPr>
          </w:p>
          <w:p>
            <w:pPr>
              <w:pStyle w:val="TableParagraph"/>
              <w:tabs>
                <w:tab w:pos="1032" w:val="left" w:leader="none"/>
              </w:tabs>
              <w:spacing w:line="115" w:lineRule="exact"/>
              <w:ind w:left="9" w:right="-87"/>
              <w:rPr>
                <w:sz w:val="11"/>
              </w:rPr>
            </w:pPr>
            <w:r>
              <w:rPr>
                <w:position w:val="-1"/>
                <w:sz w:val="11"/>
              </w:rPr>
              <w:pict>
                <v:group style="width:.5pt;height:5.8pt;mso-position-horizontal-relative:char;mso-position-vertical-relative:line" id="docshapegroup189" coordorigin="0,0" coordsize="10,116">
                  <v:shape style="position:absolute;left:0;top:0;width:10;height:116" id="docshape190"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191" coordorigin="0,0" coordsize="10,116">
                  <v:shape style="position:absolute;left:0;top:0;width:10;height:116" id="docshape192" coordorigin="0,0" coordsize="10,116" path="m10,77l0,77,0,115,10,115,10,77xm10,0l0,0,0,38,10,38,10,0xe" filled="true" fillcolor="#000000" stroked="false">
                    <v:path arrowok="t"/>
                    <v:fill type="solid"/>
                  </v:shape>
                </v:group>
              </w:pict>
            </w:r>
            <w:r>
              <w:rPr>
                <w:position w:val="-1"/>
                <w:sz w:val="11"/>
              </w:rPr>
            </w:r>
          </w:p>
        </w:tc>
        <w:tc>
          <w:tcPr>
            <w:tcW w:w="1024" w:type="dxa"/>
            <w:tcBorders>
              <w:top w:val="dashed" w:sz="4" w:space="0" w:color="000000"/>
              <w:left w:val="nil"/>
              <w:bottom w:val="dashed" w:sz="4" w:space="0" w:color="000000"/>
              <w:right w:val="single" w:sz="12" w:space="0" w:color="000000"/>
            </w:tcBorders>
          </w:tcPr>
          <w:p>
            <w:pPr>
              <w:pStyle w:val="TableParagraph"/>
              <w:rPr>
                <w:rFonts w:ascii="Times New Roman"/>
                <w:sz w:val="18"/>
              </w:rPr>
            </w:pPr>
          </w:p>
        </w:tc>
        <w:tc>
          <w:tcPr>
            <w:tcW w:w="1250"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4"/>
              <w:jc w:val="right"/>
              <w:rPr>
                <w:sz w:val="18"/>
              </w:rPr>
            </w:pPr>
            <w:r>
              <w:rPr>
                <w:spacing w:val="-5"/>
                <w:sz w:val="18"/>
              </w:rPr>
              <w:t>160</w:t>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2"/>
              <w:jc w:val="right"/>
              <w:rPr>
                <w:sz w:val="18"/>
              </w:rPr>
            </w:pPr>
            <w:r>
              <w:rPr>
                <w:spacing w:val="-5"/>
                <w:sz w:val="18"/>
              </w:rPr>
              <w:t>180</w:t>
            </w:r>
          </w:p>
        </w:tc>
        <w:tc>
          <w:tcPr>
            <w:tcW w:w="1250"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4"/>
              <w:jc w:val="right"/>
              <w:rPr>
                <w:sz w:val="18"/>
              </w:rPr>
            </w:pPr>
            <w:r>
              <w:rPr>
                <w:spacing w:val="-5"/>
                <w:sz w:val="18"/>
              </w:rPr>
              <w:t>180</w:t>
            </w:r>
          </w:p>
        </w:tc>
      </w:tr>
      <w:tr>
        <w:trPr>
          <w:trHeight w:val="301" w:hRule="atLeast"/>
        </w:trPr>
        <w:tc>
          <w:tcPr>
            <w:tcW w:w="4296" w:type="dxa"/>
            <w:tcBorders>
              <w:top w:val="dashSmallGap" w:sz="4" w:space="0" w:color="000000"/>
              <w:left w:val="single" w:sz="12" w:space="0" w:color="000000"/>
              <w:bottom w:val="dashSmallGap" w:sz="4" w:space="0" w:color="000000"/>
              <w:right w:val="single" w:sz="8" w:space="0" w:color="000000"/>
            </w:tcBorders>
          </w:tcPr>
          <w:p>
            <w:pPr>
              <w:pStyle w:val="TableParagraph"/>
              <w:spacing w:before="47"/>
              <w:ind w:left="107"/>
              <w:rPr>
                <w:sz w:val="18"/>
              </w:rPr>
            </w:pPr>
            <w:r>
              <w:rPr>
                <w:sz w:val="18"/>
              </w:rPr>
              <w:t>Stormwater</w:t>
            </w:r>
            <w:r>
              <w:rPr>
                <w:spacing w:val="-1"/>
                <w:sz w:val="18"/>
              </w:rPr>
              <w:t> </w:t>
            </w:r>
            <w:r>
              <w:rPr>
                <w:sz w:val="18"/>
              </w:rPr>
              <w:t>drainage renewal</w:t>
            </w:r>
            <w:r>
              <w:rPr>
                <w:spacing w:val="-2"/>
                <w:sz w:val="18"/>
              </w:rPr>
              <w:t> program</w:t>
            </w:r>
          </w:p>
        </w:tc>
        <w:tc>
          <w:tcPr>
            <w:tcW w:w="1210" w:type="dxa"/>
            <w:tcBorders>
              <w:top w:val="dashSmallGap" w:sz="4" w:space="0" w:color="000000"/>
              <w:left w:val="single" w:sz="8" w:space="0" w:color="000000"/>
              <w:bottom w:val="dashSmallGap" w:sz="4" w:space="0" w:color="000000"/>
              <w:right w:val="nil"/>
            </w:tcBorders>
          </w:tcPr>
          <w:p>
            <w:pPr>
              <w:pStyle w:val="TableParagraph"/>
              <w:spacing w:before="47"/>
              <w:ind w:right="79"/>
              <w:jc w:val="right"/>
              <w:rPr>
                <w:sz w:val="18"/>
              </w:rPr>
            </w:pPr>
            <w:r>
              <w:rPr>
                <w:spacing w:val="-2"/>
                <w:sz w:val="18"/>
              </w:rPr>
              <w:t>2,980</w:t>
            </w:r>
          </w:p>
        </w:tc>
        <w:tc>
          <w:tcPr>
            <w:tcW w:w="1020" w:type="dxa"/>
            <w:tcBorders>
              <w:top w:val="dashSmallGap" w:sz="4" w:space="0" w:color="000000"/>
              <w:left w:val="nil"/>
              <w:bottom w:val="dashed" w:sz="4" w:space="0" w:color="000000"/>
              <w:right w:val="nil"/>
            </w:tcBorders>
          </w:tcPr>
          <w:p>
            <w:pPr>
              <w:pStyle w:val="TableParagraph"/>
              <w:spacing w:before="47"/>
              <w:ind w:right="91"/>
              <w:jc w:val="right"/>
              <w:rPr>
                <w:sz w:val="18"/>
              </w:rPr>
            </w:pPr>
            <w:r>
              <w:rPr>
                <w:spacing w:val="-2"/>
                <w:sz w:val="18"/>
              </w:rPr>
              <w:t>2,980</w:t>
            </w:r>
          </w:p>
        </w:tc>
        <w:tc>
          <w:tcPr>
            <w:tcW w:w="1020" w:type="dxa"/>
            <w:tcBorders>
              <w:top w:val="dashSmallGap" w:sz="4" w:space="0" w:color="000000"/>
              <w:left w:val="nil"/>
              <w:bottom w:val="dashSmallGap" w:sz="4" w:space="0" w:color="000000"/>
              <w:right w:val="nil"/>
            </w:tcBorders>
          </w:tcPr>
          <w:p>
            <w:pPr>
              <w:pStyle w:val="TableParagraph"/>
              <w:spacing w:before="10"/>
              <w:rPr>
                <w:b/>
                <w:sz w:val="6"/>
              </w:rPr>
            </w:pPr>
          </w:p>
          <w:p>
            <w:pPr>
              <w:pStyle w:val="TableParagraph"/>
              <w:tabs>
                <w:tab w:pos="1029" w:val="left" w:leader="none"/>
              </w:tabs>
              <w:spacing w:line="115" w:lineRule="exact"/>
              <w:ind w:left="9" w:right="-87"/>
              <w:rPr>
                <w:sz w:val="11"/>
              </w:rPr>
            </w:pPr>
            <w:r>
              <w:rPr>
                <w:position w:val="-1"/>
                <w:sz w:val="11"/>
              </w:rPr>
              <w:pict>
                <v:group style="width:.5pt;height:5.8pt;mso-position-horizontal-relative:char;mso-position-vertical-relative:line" id="docshapegroup193" coordorigin="0,0" coordsize="10,116">
                  <v:shape style="position:absolute;left:0;top:0;width:10;height:116" id="docshape194"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195" coordorigin="0,0" coordsize="10,116">
                  <v:shape style="position:absolute;left:0;top:0;width:10;height:116" id="docshape196" coordorigin="0,0" coordsize="10,116" path="m10,77l0,77,0,115,10,115,10,77xm10,0l0,0,0,38,10,38,10,0xe" filled="true" fillcolor="#000000" stroked="false">
                    <v:path arrowok="t"/>
                    <v:fill type="solid"/>
                  </v:shape>
                </v:group>
              </w:pict>
            </w:r>
            <w:r>
              <w:rPr>
                <w:position w:val="-1"/>
                <w:sz w:val="11"/>
              </w:rPr>
            </w:r>
          </w:p>
        </w:tc>
        <w:tc>
          <w:tcPr>
            <w:tcW w:w="1022" w:type="dxa"/>
            <w:tcBorders>
              <w:top w:val="dashSmallGap" w:sz="4" w:space="0" w:color="000000"/>
              <w:left w:val="nil"/>
              <w:bottom w:val="dashed" w:sz="4" w:space="0" w:color="000000"/>
              <w:right w:val="nil"/>
            </w:tcBorders>
          </w:tcPr>
          <w:p>
            <w:pPr>
              <w:pStyle w:val="TableParagraph"/>
              <w:spacing w:before="10"/>
              <w:rPr>
                <w:b/>
                <w:sz w:val="6"/>
              </w:rPr>
            </w:pPr>
          </w:p>
          <w:p>
            <w:pPr>
              <w:pStyle w:val="TableParagraph"/>
              <w:spacing w:line="115" w:lineRule="exact"/>
              <w:ind w:left="1031" w:right="-87"/>
              <w:rPr>
                <w:sz w:val="11"/>
              </w:rPr>
            </w:pPr>
            <w:r>
              <w:rPr>
                <w:position w:val="-1"/>
                <w:sz w:val="11"/>
              </w:rPr>
              <w:pict>
                <v:group style="width:.5pt;height:5.8pt;mso-position-horizontal-relative:char;mso-position-vertical-relative:line" id="docshapegroup197" coordorigin="0,0" coordsize="10,116">
                  <v:shape style="position:absolute;left:0;top:0;width:10;height:116" id="docshape198" coordorigin="0,0" coordsize="10,116" path="m10,77l0,77,0,115,10,115,10,77xm10,0l0,0,0,38,10,38,10,0xe" filled="true" fillcolor="#000000" stroked="false">
                    <v:path arrowok="t"/>
                    <v:fill type="solid"/>
                  </v:shape>
                </v:group>
              </w:pict>
            </w:r>
            <w:r>
              <w:rPr>
                <w:position w:val="-1"/>
                <w:sz w:val="11"/>
              </w:rPr>
            </w:r>
          </w:p>
        </w:tc>
        <w:tc>
          <w:tcPr>
            <w:tcW w:w="1020" w:type="dxa"/>
            <w:tcBorders>
              <w:top w:val="dashSmallGap" w:sz="4" w:space="0" w:color="000000"/>
              <w:left w:val="nil"/>
              <w:bottom w:val="dashSmallGap" w:sz="4" w:space="0" w:color="000000"/>
              <w:right w:val="nil"/>
            </w:tcBorders>
          </w:tcPr>
          <w:p>
            <w:pPr>
              <w:pStyle w:val="TableParagraph"/>
              <w:spacing w:before="47"/>
              <w:ind w:right="89"/>
              <w:jc w:val="right"/>
              <w:rPr>
                <w:sz w:val="18"/>
              </w:rPr>
            </w:pPr>
            <w:r>
              <w:rPr>
                <w:spacing w:val="-2"/>
                <w:sz w:val="18"/>
              </w:rPr>
              <w:t>2,384</w:t>
            </w:r>
          </w:p>
        </w:tc>
        <w:tc>
          <w:tcPr>
            <w:tcW w:w="1022" w:type="dxa"/>
            <w:tcBorders>
              <w:top w:val="dashed" w:sz="4" w:space="0" w:color="000000"/>
              <w:left w:val="nil"/>
              <w:bottom w:val="dashed" w:sz="4" w:space="0" w:color="000000"/>
              <w:right w:val="nil"/>
            </w:tcBorders>
          </w:tcPr>
          <w:p>
            <w:pPr>
              <w:pStyle w:val="TableParagraph"/>
              <w:spacing w:before="47"/>
              <w:ind w:right="92"/>
              <w:jc w:val="right"/>
              <w:rPr>
                <w:sz w:val="18"/>
              </w:rPr>
            </w:pPr>
            <w:r>
              <w:rPr>
                <w:spacing w:val="-5"/>
                <w:sz w:val="18"/>
              </w:rPr>
              <w:t>596</w:t>
            </w:r>
          </w:p>
        </w:tc>
        <w:tc>
          <w:tcPr>
            <w:tcW w:w="1024" w:type="dxa"/>
            <w:tcBorders>
              <w:top w:val="dashed" w:sz="4" w:space="0" w:color="000000"/>
              <w:left w:val="nil"/>
              <w:bottom w:val="dashed" w:sz="4" w:space="0" w:color="000000"/>
              <w:right w:val="single" w:sz="12" w:space="0" w:color="000000"/>
            </w:tcBorders>
          </w:tcPr>
          <w:p>
            <w:pPr>
              <w:pStyle w:val="TableParagraph"/>
              <w:spacing w:before="10"/>
              <w:rPr>
                <w:b/>
                <w:sz w:val="6"/>
              </w:rPr>
            </w:pPr>
          </w:p>
          <w:p>
            <w:pPr>
              <w:pStyle w:val="TableParagraph"/>
              <w:spacing w:line="115" w:lineRule="exact"/>
              <w:ind w:left="-5"/>
              <w:rPr>
                <w:sz w:val="11"/>
              </w:rPr>
            </w:pPr>
            <w:r>
              <w:rPr>
                <w:position w:val="-1"/>
                <w:sz w:val="11"/>
              </w:rPr>
              <w:pict>
                <v:group style="width:.5pt;height:5.8pt;mso-position-horizontal-relative:char;mso-position-vertical-relative:line" id="docshapegroup199" coordorigin="0,0" coordsize="10,116">
                  <v:shape style="position:absolute;left:0;top:0;width:10;height:116" id="docshape200" coordorigin="0,0" coordsize="10,116" path="m10,77l0,77,0,115,10,115,10,77xm10,0l0,0,0,38,10,38,10,0xe" filled="true" fillcolor="#000000" stroked="false">
                    <v:path arrowok="t"/>
                    <v:fill type="solid"/>
                  </v:shape>
                </v:group>
              </w:pict>
            </w:r>
            <w:r>
              <w:rPr>
                <w:position w:val="-1"/>
                <w:sz w:val="11"/>
              </w:rPr>
            </w:r>
          </w:p>
        </w:tc>
        <w:tc>
          <w:tcPr>
            <w:tcW w:w="1250"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3"/>
              <w:jc w:val="right"/>
              <w:rPr>
                <w:sz w:val="18"/>
              </w:rPr>
            </w:pPr>
            <w:r>
              <w:rPr>
                <w:spacing w:val="-2"/>
                <w:sz w:val="18"/>
              </w:rPr>
              <w:t>3,010</w:t>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0"/>
              <w:jc w:val="right"/>
              <w:rPr>
                <w:sz w:val="18"/>
              </w:rPr>
            </w:pPr>
            <w:r>
              <w:rPr>
                <w:spacing w:val="-2"/>
                <w:sz w:val="18"/>
              </w:rPr>
              <w:t>3,020</w:t>
            </w:r>
          </w:p>
        </w:tc>
        <w:tc>
          <w:tcPr>
            <w:tcW w:w="1250"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2"/>
              <w:jc w:val="right"/>
              <w:rPr>
                <w:sz w:val="18"/>
              </w:rPr>
            </w:pPr>
            <w:r>
              <w:rPr>
                <w:spacing w:val="-2"/>
                <w:sz w:val="18"/>
              </w:rPr>
              <w:t>3,620</w:t>
            </w:r>
          </w:p>
        </w:tc>
      </w:tr>
      <w:tr>
        <w:trPr>
          <w:trHeight w:val="289" w:hRule="atLeast"/>
        </w:trPr>
        <w:tc>
          <w:tcPr>
            <w:tcW w:w="4296" w:type="dxa"/>
            <w:tcBorders>
              <w:top w:val="dashSmallGap" w:sz="4" w:space="0" w:color="000000"/>
              <w:left w:val="single" w:sz="12" w:space="0" w:color="000000"/>
              <w:bottom w:val="single" w:sz="8" w:space="0" w:color="000000"/>
              <w:right w:val="single" w:sz="8" w:space="0" w:color="000000"/>
            </w:tcBorders>
          </w:tcPr>
          <w:p>
            <w:pPr>
              <w:pStyle w:val="TableParagraph"/>
              <w:spacing w:line="219" w:lineRule="exact" w:before="50"/>
              <w:ind w:left="107"/>
              <w:rPr>
                <w:b/>
                <w:sz w:val="22"/>
              </w:rPr>
            </w:pPr>
            <w:r>
              <w:rPr>
                <w:b/>
                <w:sz w:val="22"/>
              </w:rPr>
              <w:t>TOTAL</w:t>
            </w:r>
            <w:r>
              <w:rPr>
                <w:b/>
                <w:spacing w:val="-2"/>
                <w:sz w:val="22"/>
              </w:rPr>
              <w:t> DRAINAGE</w:t>
            </w:r>
          </w:p>
        </w:tc>
        <w:tc>
          <w:tcPr>
            <w:tcW w:w="1210" w:type="dxa"/>
            <w:tcBorders>
              <w:top w:val="dashSmallGap" w:sz="4" w:space="0" w:color="000000"/>
              <w:left w:val="single" w:sz="8" w:space="0" w:color="000000"/>
              <w:bottom w:val="single" w:sz="8" w:space="0" w:color="000000"/>
              <w:right w:val="nil"/>
            </w:tcBorders>
          </w:tcPr>
          <w:p>
            <w:pPr>
              <w:pStyle w:val="TableParagraph"/>
              <w:spacing w:before="47"/>
              <w:ind w:right="80"/>
              <w:jc w:val="right"/>
              <w:rPr>
                <w:b/>
                <w:sz w:val="18"/>
              </w:rPr>
            </w:pPr>
            <w:r>
              <w:rPr>
                <w:b/>
                <w:spacing w:val="-2"/>
                <w:sz w:val="18"/>
              </w:rPr>
              <w:t>3,130</w:t>
            </w:r>
          </w:p>
        </w:tc>
        <w:tc>
          <w:tcPr>
            <w:tcW w:w="1020" w:type="dxa"/>
            <w:tcBorders>
              <w:top w:val="dashed" w:sz="4" w:space="0" w:color="000000"/>
              <w:left w:val="nil"/>
              <w:bottom w:val="single" w:sz="8" w:space="0" w:color="000000"/>
              <w:right w:val="nil"/>
            </w:tcBorders>
          </w:tcPr>
          <w:p>
            <w:pPr>
              <w:pStyle w:val="TableParagraph"/>
              <w:spacing w:before="47"/>
              <w:ind w:right="89"/>
              <w:jc w:val="right"/>
              <w:rPr>
                <w:b/>
                <w:sz w:val="18"/>
              </w:rPr>
            </w:pPr>
            <w:r>
              <w:rPr>
                <w:b/>
                <w:spacing w:val="-2"/>
                <w:sz w:val="18"/>
              </w:rPr>
              <w:t>3,130</w:t>
            </w:r>
          </w:p>
        </w:tc>
        <w:tc>
          <w:tcPr>
            <w:tcW w:w="1020" w:type="dxa"/>
            <w:tcBorders>
              <w:top w:val="dashSmallGap" w:sz="4" w:space="0" w:color="000000"/>
              <w:left w:val="nil"/>
              <w:bottom w:val="single" w:sz="8" w:space="0" w:color="000000"/>
              <w:right w:val="nil"/>
            </w:tcBorders>
          </w:tcPr>
          <w:p>
            <w:pPr>
              <w:pStyle w:val="TableParagraph"/>
              <w:spacing w:before="47"/>
              <w:ind w:right="92"/>
              <w:jc w:val="right"/>
              <w:rPr>
                <w:b/>
                <w:sz w:val="18"/>
              </w:rPr>
            </w:pPr>
            <w:r>
              <w:rPr>
                <w:b/>
                <w:sz w:val="18"/>
              </w:rPr>
              <w:t>0</w:t>
            </w:r>
          </w:p>
        </w:tc>
        <w:tc>
          <w:tcPr>
            <w:tcW w:w="1022" w:type="dxa"/>
            <w:tcBorders>
              <w:top w:val="dashed" w:sz="4" w:space="0" w:color="000000"/>
              <w:left w:val="nil"/>
              <w:bottom w:val="single" w:sz="8" w:space="0" w:color="000000"/>
              <w:right w:val="nil"/>
            </w:tcBorders>
          </w:tcPr>
          <w:p>
            <w:pPr>
              <w:pStyle w:val="TableParagraph"/>
              <w:spacing w:before="47"/>
              <w:ind w:right="94"/>
              <w:jc w:val="right"/>
              <w:rPr>
                <w:b/>
                <w:sz w:val="18"/>
              </w:rPr>
            </w:pPr>
            <w:r>
              <w:rPr>
                <w:b/>
                <w:sz w:val="18"/>
              </w:rPr>
              <w:t>0</w:t>
            </w:r>
          </w:p>
        </w:tc>
        <w:tc>
          <w:tcPr>
            <w:tcW w:w="1020" w:type="dxa"/>
            <w:tcBorders>
              <w:top w:val="dashSmallGap" w:sz="4" w:space="0" w:color="000000"/>
              <w:left w:val="nil"/>
              <w:bottom w:val="single" w:sz="8" w:space="0" w:color="000000"/>
              <w:right w:val="nil"/>
            </w:tcBorders>
          </w:tcPr>
          <w:p>
            <w:pPr>
              <w:pStyle w:val="TableParagraph"/>
              <w:spacing w:before="47"/>
              <w:ind w:right="89"/>
              <w:jc w:val="right"/>
              <w:rPr>
                <w:b/>
                <w:sz w:val="18"/>
              </w:rPr>
            </w:pPr>
            <w:r>
              <w:rPr>
                <w:b/>
                <w:spacing w:val="-2"/>
                <w:sz w:val="18"/>
              </w:rPr>
              <w:t>2,534</w:t>
            </w:r>
          </w:p>
        </w:tc>
        <w:tc>
          <w:tcPr>
            <w:tcW w:w="1022" w:type="dxa"/>
            <w:tcBorders>
              <w:top w:val="dashed" w:sz="4" w:space="0" w:color="000000"/>
              <w:left w:val="nil"/>
              <w:bottom w:val="single" w:sz="8" w:space="0" w:color="000000"/>
              <w:right w:val="nil"/>
            </w:tcBorders>
          </w:tcPr>
          <w:p>
            <w:pPr>
              <w:pStyle w:val="TableParagraph"/>
              <w:spacing w:before="47"/>
              <w:ind w:right="91"/>
              <w:jc w:val="right"/>
              <w:rPr>
                <w:b/>
                <w:sz w:val="18"/>
              </w:rPr>
            </w:pPr>
            <w:r>
              <w:rPr>
                <w:b/>
                <w:spacing w:val="-5"/>
                <w:sz w:val="18"/>
              </w:rPr>
              <w:t>596</w:t>
            </w:r>
          </w:p>
        </w:tc>
        <w:tc>
          <w:tcPr>
            <w:tcW w:w="1024" w:type="dxa"/>
            <w:tcBorders>
              <w:top w:val="dashed" w:sz="4" w:space="0" w:color="000000"/>
              <w:left w:val="nil"/>
              <w:bottom w:val="single" w:sz="8" w:space="0" w:color="000000"/>
              <w:right w:val="single" w:sz="12" w:space="0" w:color="000000"/>
            </w:tcBorders>
          </w:tcPr>
          <w:p>
            <w:pPr>
              <w:pStyle w:val="TableParagraph"/>
              <w:spacing w:before="47"/>
              <w:ind w:right="76"/>
              <w:jc w:val="right"/>
              <w:rPr>
                <w:b/>
                <w:sz w:val="18"/>
              </w:rPr>
            </w:pPr>
            <w:r>
              <w:rPr>
                <w:b/>
                <w:sz w:val="18"/>
              </w:rPr>
              <w:t>0</w:t>
            </w:r>
          </w:p>
        </w:tc>
        <w:tc>
          <w:tcPr>
            <w:tcW w:w="1250" w:type="dxa"/>
            <w:tcBorders>
              <w:top w:val="dashed" w:sz="4" w:space="0" w:color="000000"/>
              <w:left w:val="single" w:sz="12" w:space="0" w:color="000000"/>
              <w:bottom w:val="single" w:sz="8" w:space="0" w:color="000000"/>
              <w:right w:val="single" w:sz="12" w:space="0" w:color="000000"/>
            </w:tcBorders>
          </w:tcPr>
          <w:p>
            <w:pPr>
              <w:pStyle w:val="TableParagraph"/>
              <w:spacing w:before="47"/>
              <w:ind w:right="72"/>
              <w:jc w:val="right"/>
              <w:rPr>
                <w:b/>
                <w:sz w:val="18"/>
              </w:rPr>
            </w:pPr>
            <w:r>
              <w:rPr>
                <w:b/>
                <w:spacing w:val="-2"/>
                <w:sz w:val="18"/>
              </w:rPr>
              <w:t>3,170</w:t>
            </w:r>
          </w:p>
        </w:tc>
        <w:tc>
          <w:tcPr>
            <w:tcW w:w="1248" w:type="dxa"/>
            <w:tcBorders>
              <w:top w:val="dashed" w:sz="4" w:space="0" w:color="000000"/>
              <w:left w:val="single" w:sz="12" w:space="0" w:color="000000"/>
              <w:bottom w:val="single" w:sz="8" w:space="0" w:color="000000"/>
              <w:right w:val="single" w:sz="12" w:space="0" w:color="000000"/>
            </w:tcBorders>
          </w:tcPr>
          <w:p>
            <w:pPr>
              <w:pStyle w:val="TableParagraph"/>
              <w:spacing w:before="47"/>
              <w:ind w:right="70"/>
              <w:jc w:val="right"/>
              <w:rPr>
                <w:b/>
                <w:sz w:val="18"/>
              </w:rPr>
            </w:pPr>
            <w:r>
              <w:rPr>
                <w:b/>
                <w:spacing w:val="-2"/>
                <w:sz w:val="18"/>
              </w:rPr>
              <w:t>3,200</w:t>
            </w:r>
          </w:p>
        </w:tc>
        <w:tc>
          <w:tcPr>
            <w:tcW w:w="1250" w:type="dxa"/>
            <w:tcBorders>
              <w:top w:val="dashed" w:sz="4" w:space="0" w:color="000000"/>
              <w:left w:val="single" w:sz="12" w:space="0" w:color="000000"/>
              <w:bottom w:val="single" w:sz="8" w:space="0" w:color="000000"/>
              <w:right w:val="single" w:sz="12" w:space="0" w:color="000000"/>
            </w:tcBorders>
          </w:tcPr>
          <w:p>
            <w:pPr>
              <w:pStyle w:val="TableParagraph"/>
              <w:spacing w:before="47"/>
              <w:ind w:right="72"/>
              <w:jc w:val="right"/>
              <w:rPr>
                <w:b/>
                <w:sz w:val="18"/>
              </w:rPr>
            </w:pPr>
            <w:r>
              <w:rPr>
                <w:b/>
                <w:spacing w:val="-2"/>
                <w:sz w:val="18"/>
              </w:rPr>
              <w:t>4,500</w:t>
            </w:r>
          </w:p>
        </w:tc>
      </w:tr>
      <w:tr>
        <w:trPr>
          <w:trHeight w:val="271" w:hRule="atLeast"/>
        </w:trPr>
        <w:tc>
          <w:tcPr>
            <w:tcW w:w="4296" w:type="dxa"/>
            <w:tcBorders>
              <w:top w:val="single" w:sz="8" w:space="0" w:color="000000"/>
              <w:left w:val="single" w:sz="12" w:space="0" w:color="000000"/>
              <w:bottom w:val="dashSmallGap" w:sz="4" w:space="0" w:color="000000"/>
              <w:right w:val="dashed" w:sz="8" w:space="0" w:color="000000"/>
            </w:tcBorders>
          </w:tcPr>
          <w:p>
            <w:pPr>
              <w:pStyle w:val="TableParagraph"/>
              <w:spacing w:line="238" w:lineRule="exact" w:before="13"/>
              <w:ind w:left="107"/>
              <w:rPr>
                <w:b/>
                <w:sz w:val="22"/>
              </w:rPr>
            </w:pPr>
            <w:r>
              <w:rPr>
                <w:b/>
                <w:sz w:val="22"/>
              </w:rPr>
              <w:t>WASTE</w:t>
            </w:r>
            <w:r>
              <w:rPr>
                <w:b/>
                <w:spacing w:val="-3"/>
                <w:sz w:val="22"/>
              </w:rPr>
              <w:t> </w:t>
            </w:r>
            <w:r>
              <w:rPr>
                <w:b/>
                <w:spacing w:val="-2"/>
                <w:sz w:val="22"/>
              </w:rPr>
              <w:t>MANAGEMENT</w:t>
            </w:r>
          </w:p>
        </w:tc>
        <w:tc>
          <w:tcPr>
            <w:tcW w:w="7338" w:type="dxa"/>
            <w:gridSpan w:val="7"/>
            <w:tcBorders>
              <w:left w:val="dashed" w:sz="8" w:space="0" w:color="000000"/>
              <w:right w:val="dashed" w:sz="12" w:space="0" w:color="000000"/>
            </w:tcBorders>
          </w:tcPr>
          <w:p>
            <w:pPr>
              <w:pStyle w:val="TableParagraph"/>
              <w:spacing w:before="1"/>
              <w:rPr>
                <w:b/>
                <w:sz w:val="4"/>
              </w:rPr>
            </w:pPr>
          </w:p>
          <w:p>
            <w:pPr>
              <w:pStyle w:val="TableParagraph"/>
              <w:tabs>
                <w:tab w:pos="2224" w:val="left" w:leader="none"/>
                <w:tab w:pos="3244" w:val="left" w:leader="none"/>
                <w:tab w:pos="4266" w:val="left" w:leader="none"/>
                <w:tab w:pos="5286" w:val="left" w:leader="none"/>
                <w:tab w:pos="6309" w:val="left" w:leader="none"/>
              </w:tabs>
              <w:spacing w:line="192" w:lineRule="exact"/>
              <w:ind w:left="1204"/>
              <w:rPr>
                <w:sz w:val="19"/>
              </w:rPr>
            </w:pPr>
            <w:r>
              <w:rPr>
                <w:position w:val="-3"/>
                <w:sz w:val="19"/>
              </w:rPr>
              <w:pict>
                <v:group style="width:.5pt;height:9.6pt;mso-position-horizontal-relative:char;mso-position-vertical-relative:line" id="docshapegroup201" coordorigin="0,0" coordsize="10,192">
                  <v:shape style="position:absolute;left:0;top:0;width:10;height:192" id="docshape202" coordorigin="0,0" coordsize="10,192"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203" coordorigin="0,0" coordsize="10,192">
                  <v:shape style="position:absolute;left:0;top:0;width:10;height:192" id="docshape204" coordorigin="0,0" coordsize="10,192"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205" coordorigin="0,0" coordsize="10,192">
                  <v:shape style="position:absolute;left:0;top:0;width:10;height:192" id="docshape206" coordorigin="0,0" coordsize="10,192"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207" coordorigin="0,0" coordsize="10,192">
                  <v:shape style="position:absolute;left:0;top:0;width:10;height:192" id="docshape208" coordorigin="0,0" coordsize="10,192"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209" coordorigin="0,0" coordsize="10,192">
                  <v:shape style="position:absolute;left:0;top:0;width:10;height:192" id="docshape210" coordorigin="0,0" coordsize="10,192"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211" coordorigin="0,0" coordsize="10,192">
                  <v:shape style="position:absolute;left:0;top:0;width:10;height:192" id="docshape212" coordorigin="0,0" coordsize="10,192" path="m10,154l0,154,0,192,10,192,10,154xm10,77l0,77,0,115,10,115,10,77xm10,0l0,0,0,38,10,38,10,0xe" filled="true" fillcolor="#000000" stroked="false">
                    <v:path arrowok="t"/>
                    <v:fill type="solid"/>
                  </v:shape>
                </v:group>
              </w:pict>
            </w:r>
            <w:r>
              <w:rPr>
                <w:position w:val="-3"/>
                <w:sz w:val="19"/>
              </w:rPr>
            </w:r>
          </w:p>
        </w:tc>
        <w:tc>
          <w:tcPr>
            <w:tcW w:w="1250" w:type="dxa"/>
            <w:tcBorders>
              <w:top w:val="single" w:sz="8" w:space="0" w:color="000000"/>
              <w:left w:val="dashed" w:sz="12" w:space="0" w:color="000000"/>
              <w:bottom w:val="dashed" w:sz="4" w:space="0" w:color="000000"/>
              <w:right w:val="dashed" w:sz="12" w:space="0" w:color="000000"/>
            </w:tcBorders>
          </w:tcPr>
          <w:p>
            <w:pPr>
              <w:pStyle w:val="TableParagraph"/>
              <w:rPr>
                <w:rFonts w:ascii="Times New Roman"/>
                <w:sz w:val="18"/>
              </w:rPr>
            </w:pPr>
          </w:p>
        </w:tc>
        <w:tc>
          <w:tcPr>
            <w:tcW w:w="1248" w:type="dxa"/>
            <w:tcBorders>
              <w:top w:val="single" w:sz="8" w:space="0" w:color="000000"/>
              <w:left w:val="dashed" w:sz="12" w:space="0" w:color="000000"/>
              <w:bottom w:val="dashed" w:sz="4" w:space="0" w:color="000000"/>
              <w:right w:val="dashed" w:sz="12" w:space="0" w:color="000000"/>
            </w:tcBorders>
          </w:tcPr>
          <w:p>
            <w:pPr>
              <w:pStyle w:val="TableParagraph"/>
              <w:rPr>
                <w:rFonts w:ascii="Times New Roman"/>
                <w:sz w:val="18"/>
              </w:rPr>
            </w:pPr>
          </w:p>
        </w:tc>
        <w:tc>
          <w:tcPr>
            <w:tcW w:w="1250" w:type="dxa"/>
            <w:tcBorders>
              <w:top w:val="single" w:sz="8" w:space="0" w:color="000000"/>
              <w:left w:val="dashed" w:sz="12" w:space="0" w:color="000000"/>
              <w:bottom w:val="dashed" w:sz="4" w:space="0" w:color="000000"/>
              <w:right w:val="dashed" w:sz="12" w:space="0" w:color="000000"/>
            </w:tcBorders>
          </w:tcPr>
          <w:p>
            <w:pPr>
              <w:pStyle w:val="TableParagraph"/>
              <w:rPr>
                <w:rFonts w:ascii="Times New Roman"/>
                <w:sz w:val="18"/>
              </w:rPr>
            </w:pPr>
          </w:p>
        </w:tc>
      </w:tr>
      <w:tr>
        <w:trPr>
          <w:trHeight w:val="267" w:hRule="atLeast"/>
        </w:trPr>
        <w:tc>
          <w:tcPr>
            <w:tcW w:w="4296" w:type="dxa"/>
            <w:tcBorders>
              <w:top w:val="dashSmallGap" w:sz="4" w:space="0" w:color="000000"/>
              <w:left w:val="single" w:sz="12" w:space="0" w:color="000000"/>
              <w:bottom w:val="dashSmallGap" w:sz="4" w:space="0" w:color="000000"/>
              <w:right w:val="dashed" w:sz="8" w:space="0" w:color="000000"/>
            </w:tcBorders>
          </w:tcPr>
          <w:p>
            <w:pPr>
              <w:pStyle w:val="TableParagraph"/>
              <w:spacing w:before="29"/>
              <w:ind w:left="107"/>
              <w:rPr>
                <w:sz w:val="18"/>
              </w:rPr>
            </w:pPr>
            <w:r>
              <w:rPr>
                <w:sz w:val="18"/>
              </w:rPr>
              <w:t>Waste</w:t>
            </w:r>
            <w:r>
              <w:rPr>
                <w:spacing w:val="-4"/>
                <w:sz w:val="18"/>
              </w:rPr>
              <w:t> </w:t>
            </w:r>
            <w:r>
              <w:rPr>
                <w:sz w:val="18"/>
              </w:rPr>
              <w:t>Vehicles Turning</w:t>
            </w:r>
            <w:r>
              <w:rPr>
                <w:spacing w:val="-1"/>
                <w:sz w:val="18"/>
              </w:rPr>
              <w:t> </w:t>
            </w:r>
            <w:r>
              <w:rPr>
                <w:spacing w:val="-2"/>
                <w:sz w:val="18"/>
              </w:rPr>
              <w:t>Points</w:t>
            </w:r>
          </w:p>
        </w:tc>
        <w:tc>
          <w:tcPr>
            <w:tcW w:w="1210" w:type="dxa"/>
            <w:tcBorders>
              <w:top w:val="dashSmallGap" w:sz="4" w:space="0" w:color="000000"/>
              <w:left w:val="dashed" w:sz="8" w:space="0" w:color="000000"/>
              <w:bottom w:val="dashSmallGap" w:sz="4" w:space="0" w:color="000000"/>
              <w:right w:val="nil"/>
            </w:tcBorders>
          </w:tcPr>
          <w:p>
            <w:pPr>
              <w:pStyle w:val="TableParagraph"/>
              <w:spacing w:before="29"/>
              <w:ind w:right="81"/>
              <w:jc w:val="right"/>
              <w:rPr>
                <w:sz w:val="18"/>
              </w:rPr>
            </w:pPr>
            <w:r>
              <w:rPr>
                <w:spacing w:val="-5"/>
                <w:sz w:val="18"/>
              </w:rPr>
              <w:t>50</w:t>
            </w:r>
          </w:p>
        </w:tc>
        <w:tc>
          <w:tcPr>
            <w:tcW w:w="1020" w:type="dxa"/>
            <w:tcBorders>
              <w:top w:val="dotted" w:sz="4" w:space="0" w:color="000000"/>
              <w:left w:val="nil"/>
              <w:bottom w:val="dotted" w:sz="4" w:space="0" w:color="000000"/>
              <w:right w:val="nil"/>
            </w:tcBorders>
          </w:tcPr>
          <w:p>
            <w:pPr>
              <w:pStyle w:val="TableParagraph"/>
              <w:spacing w:before="29"/>
              <w:ind w:right="91"/>
              <w:jc w:val="right"/>
              <w:rPr>
                <w:sz w:val="18"/>
              </w:rPr>
            </w:pPr>
            <w:r>
              <w:rPr>
                <w:spacing w:val="-5"/>
                <w:sz w:val="18"/>
              </w:rPr>
              <w:t>50</w:t>
            </w:r>
          </w:p>
        </w:tc>
        <w:tc>
          <w:tcPr>
            <w:tcW w:w="1020" w:type="dxa"/>
            <w:tcBorders>
              <w:top w:val="dotted" w:sz="4" w:space="0" w:color="000000"/>
              <w:left w:val="nil"/>
              <w:bottom w:val="dotted" w:sz="4" w:space="0" w:color="000000"/>
              <w:right w:val="nil"/>
            </w:tcBorders>
          </w:tcPr>
          <w:p>
            <w:pPr>
              <w:pStyle w:val="TableParagraph"/>
              <w:spacing w:before="3"/>
              <w:rPr>
                <w:b/>
                <w:sz w:val="3"/>
              </w:rPr>
            </w:pPr>
          </w:p>
          <w:p>
            <w:pPr>
              <w:pStyle w:val="TableParagraph"/>
              <w:tabs>
                <w:tab w:pos="1029" w:val="left" w:leader="none"/>
              </w:tabs>
              <w:spacing w:line="192" w:lineRule="exact"/>
              <w:ind w:left="9" w:right="-87"/>
              <w:rPr>
                <w:sz w:val="19"/>
              </w:rPr>
            </w:pPr>
            <w:r>
              <w:rPr>
                <w:position w:val="-3"/>
                <w:sz w:val="19"/>
              </w:rPr>
              <w:pict>
                <v:group style="width:.5pt;height:9.6pt;mso-position-horizontal-relative:char;mso-position-vertical-relative:line" id="docshapegroup213" coordorigin="0,0" coordsize="10,192">
                  <v:shape style="position:absolute;left:0;top:0;width:10;height:192" id="docshape214" coordorigin="0,0" coordsize="10,192"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215" coordorigin="0,0" coordsize="10,192">
                  <v:shape style="position:absolute;left:0;top:0;width:10;height:192" id="docshape216" coordorigin="0,0" coordsize="10,192" path="m10,154l0,154,0,192,10,192,10,154xm10,77l0,77,0,115,10,115,10,77xm10,0l0,0,0,38,10,38,10,0xe" filled="true" fillcolor="#000000" stroked="false">
                    <v:path arrowok="t"/>
                    <v:fill type="solid"/>
                  </v:shape>
                </v:group>
              </w:pict>
            </w:r>
            <w:r>
              <w:rPr>
                <w:position w:val="-3"/>
                <w:sz w:val="19"/>
              </w:rPr>
            </w:r>
          </w:p>
        </w:tc>
        <w:tc>
          <w:tcPr>
            <w:tcW w:w="1022" w:type="dxa"/>
            <w:tcBorders>
              <w:top w:val="dashed" w:sz="4" w:space="0" w:color="000000"/>
              <w:left w:val="nil"/>
              <w:bottom w:val="dashed" w:sz="4" w:space="0" w:color="000000"/>
              <w:right w:val="nil"/>
            </w:tcBorders>
          </w:tcPr>
          <w:p>
            <w:pPr>
              <w:pStyle w:val="TableParagraph"/>
              <w:spacing w:before="3"/>
              <w:rPr>
                <w:b/>
                <w:sz w:val="3"/>
              </w:rPr>
            </w:pPr>
          </w:p>
          <w:p>
            <w:pPr>
              <w:pStyle w:val="TableParagraph"/>
              <w:spacing w:line="192" w:lineRule="exact"/>
              <w:ind w:left="1031" w:right="-87"/>
              <w:rPr>
                <w:sz w:val="19"/>
              </w:rPr>
            </w:pPr>
            <w:r>
              <w:rPr>
                <w:position w:val="-3"/>
                <w:sz w:val="19"/>
              </w:rPr>
              <w:pict>
                <v:group style="width:.5pt;height:9.6pt;mso-position-horizontal-relative:char;mso-position-vertical-relative:line" id="docshapegroup217" coordorigin="0,0" coordsize="10,192">
                  <v:shape style="position:absolute;left:0;top:0;width:10;height:192" id="docshape218" coordorigin="0,0" coordsize="10,192" path="m10,154l0,154,0,192,10,192,10,154xm10,77l0,77,0,115,10,115,10,77xm10,0l0,0,0,38,10,38,10,0xe" filled="true" fillcolor="#000000" stroked="false">
                    <v:path arrowok="t"/>
                    <v:fill type="solid"/>
                  </v:shape>
                </v:group>
              </w:pict>
            </w:r>
            <w:r>
              <w:rPr>
                <w:position w:val="-3"/>
                <w:sz w:val="19"/>
              </w:rPr>
            </w:r>
          </w:p>
        </w:tc>
        <w:tc>
          <w:tcPr>
            <w:tcW w:w="1020" w:type="dxa"/>
            <w:tcBorders>
              <w:top w:val="dashed" w:sz="4" w:space="0" w:color="000000"/>
              <w:left w:val="nil"/>
              <w:bottom w:val="dashed" w:sz="4" w:space="0" w:color="000000"/>
              <w:right w:val="nil"/>
            </w:tcBorders>
          </w:tcPr>
          <w:p>
            <w:pPr>
              <w:pStyle w:val="TableParagraph"/>
              <w:spacing w:before="3"/>
              <w:rPr>
                <w:b/>
                <w:sz w:val="3"/>
              </w:rPr>
            </w:pPr>
          </w:p>
          <w:p>
            <w:pPr>
              <w:pStyle w:val="TableParagraph"/>
              <w:spacing w:line="192" w:lineRule="exact"/>
              <w:ind w:left="1029" w:right="-87"/>
              <w:rPr>
                <w:sz w:val="19"/>
              </w:rPr>
            </w:pPr>
            <w:r>
              <w:rPr>
                <w:position w:val="-3"/>
                <w:sz w:val="19"/>
              </w:rPr>
              <w:pict>
                <v:group style="width:.5pt;height:9.6pt;mso-position-horizontal-relative:char;mso-position-vertical-relative:line" id="docshapegroup219" coordorigin="0,0" coordsize="10,192">
                  <v:shape style="position:absolute;left:0;top:0;width:10;height:192" id="docshape220" coordorigin="0,0" coordsize="10,192" path="m10,154l0,154,0,192,10,192,10,154xm10,77l0,77,0,115,10,115,10,77xm10,0l0,0,0,38,10,38,10,0xe" filled="true" fillcolor="#000000" stroked="false">
                    <v:path arrowok="t"/>
                    <v:fill type="solid"/>
                  </v:shape>
                </v:group>
              </w:pict>
            </w:r>
            <w:r>
              <w:rPr>
                <w:position w:val="-3"/>
                <w:sz w:val="19"/>
              </w:rPr>
            </w:r>
          </w:p>
        </w:tc>
        <w:tc>
          <w:tcPr>
            <w:tcW w:w="1022" w:type="dxa"/>
            <w:tcBorders>
              <w:top w:val="dashed" w:sz="4" w:space="0" w:color="000000"/>
              <w:left w:val="nil"/>
              <w:bottom w:val="dashed" w:sz="4" w:space="0" w:color="000000"/>
              <w:right w:val="nil"/>
            </w:tcBorders>
          </w:tcPr>
          <w:p>
            <w:pPr>
              <w:pStyle w:val="TableParagraph"/>
              <w:spacing w:before="29"/>
              <w:ind w:right="92"/>
              <w:jc w:val="right"/>
              <w:rPr>
                <w:sz w:val="18"/>
              </w:rPr>
            </w:pPr>
            <w:r>
              <w:rPr>
                <w:spacing w:val="-5"/>
                <w:sz w:val="18"/>
              </w:rPr>
              <w:t>50</w:t>
            </w:r>
          </w:p>
        </w:tc>
        <w:tc>
          <w:tcPr>
            <w:tcW w:w="1024" w:type="dxa"/>
            <w:tcBorders>
              <w:top w:val="dashed" w:sz="4" w:space="0" w:color="000000"/>
              <w:left w:val="nil"/>
              <w:bottom w:val="dashed" w:sz="4" w:space="0" w:color="000000"/>
              <w:right w:val="dashed" w:sz="12" w:space="0" w:color="000000"/>
            </w:tcBorders>
          </w:tcPr>
          <w:p>
            <w:pPr>
              <w:pStyle w:val="TableParagraph"/>
              <w:spacing w:before="3"/>
              <w:rPr>
                <w:b/>
                <w:sz w:val="3"/>
              </w:rPr>
            </w:pPr>
          </w:p>
          <w:p>
            <w:pPr>
              <w:pStyle w:val="TableParagraph"/>
              <w:spacing w:line="192" w:lineRule="exact"/>
              <w:ind w:left="-5"/>
              <w:rPr>
                <w:sz w:val="19"/>
              </w:rPr>
            </w:pPr>
            <w:r>
              <w:rPr>
                <w:position w:val="-3"/>
                <w:sz w:val="19"/>
              </w:rPr>
              <w:pict>
                <v:group style="width:.5pt;height:9.6pt;mso-position-horizontal-relative:char;mso-position-vertical-relative:line" id="docshapegroup221" coordorigin="0,0" coordsize="10,192">
                  <v:shape style="position:absolute;left:0;top:0;width:10;height:192" id="docshape222" coordorigin="0,0" coordsize="10,192" path="m10,154l0,154,0,192,10,192,10,154xm10,77l0,77,0,115,10,115,10,77xm10,0l0,0,0,38,10,38,10,0xe" filled="true" fillcolor="#000000" stroked="false">
                    <v:path arrowok="t"/>
                    <v:fill type="solid"/>
                  </v:shape>
                </v:group>
              </w:pict>
            </w:r>
            <w:r>
              <w:rPr>
                <w:position w:val="-3"/>
                <w:sz w:val="19"/>
              </w:rPr>
            </w:r>
          </w:p>
        </w:tc>
        <w:tc>
          <w:tcPr>
            <w:tcW w:w="1250" w:type="dxa"/>
            <w:tcBorders>
              <w:top w:val="dashed" w:sz="4" w:space="0" w:color="000000"/>
              <w:left w:val="dashed" w:sz="12" w:space="0" w:color="000000"/>
              <w:bottom w:val="dashed" w:sz="4" w:space="0" w:color="000000"/>
              <w:right w:val="dashed" w:sz="12" w:space="0" w:color="000000"/>
            </w:tcBorders>
          </w:tcPr>
          <w:p>
            <w:pPr>
              <w:pStyle w:val="TableParagraph"/>
              <w:spacing w:before="29"/>
              <w:ind w:right="75"/>
              <w:jc w:val="right"/>
              <w:rPr>
                <w:sz w:val="18"/>
              </w:rPr>
            </w:pPr>
            <w:r>
              <w:rPr>
                <w:spacing w:val="-5"/>
                <w:sz w:val="18"/>
              </w:rPr>
              <w:t>50</w:t>
            </w:r>
          </w:p>
        </w:tc>
        <w:tc>
          <w:tcPr>
            <w:tcW w:w="1248" w:type="dxa"/>
            <w:tcBorders>
              <w:top w:val="dashed" w:sz="4" w:space="0" w:color="000000"/>
              <w:left w:val="dashed" w:sz="12" w:space="0" w:color="000000"/>
              <w:bottom w:val="dashed" w:sz="4" w:space="0" w:color="000000"/>
              <w:right w:val="dashed" w:sz="12" w:space="0" w:color="000000"/>
            </w:tcBorders>
          </w:tcPr>
          <w:p>
            <w:pPr>
              <w:pStyle w:val="TableParagraph"/>
              <w:spacing w:before="29"/>
              <w:ind w:right="71"/>
              <w:jc w:val="right"/>
              <w:rPr>
                <w:sz w:val="18"/>
              </w:rPr>
            </w:pPr>
            <w:r>
              <w:rPr>
                <w:spacing w:val="-5"/>
                <w:sz w:val="18"/>
              </w:rPr>
              <w:t>50</w:t>
            </w:r>
          </w:p>
        </w:tc>
        <w:tc>
          <w:tcPr>
            <w:tcW w:w="1250" w:type="dxa"/>
            <w:tcBorders>
              <w:top w:val="dashed" w:sz="4" w:space="0" w:color="000000"/>
              <w:left w:val="dashed" w:sz="12" w:space="0" w:color="000000"/>
              <w:bottom w:val="dashed" w:sz="4" w:space="0" w:color="000000"/>
              <w:right w:val="dashed" w:sz="12" w:space="0" w:color="000000"/>
            </w:tcBorders>
          </w:tcPr>
          <w:p>
            <w:pPr>
              <w:pStyle w:val="TableParagraph"/>
              <w:spacing w:before="29"/>
              <w:ind w:right="73"/>
              <w:jc w:val="right"/>
              <w:rPr>
                <w:sz w:val="18"/>
              </w:rPr>
            </w:pPr>
            <w:r>
              <w:rPr>
                <w:spacing w:val="-5"/>
                <w:sz w:val="18"/>
              </w:rPr>
              <w:t>50</w:t>
            </w:r>
          </w:p>
        </w:tc>
      </w:tr>
      <w:tr>
        <w:trPr>
          <w:trHeight w:val="267" w:hRule="atLeast"/>
        </w:trPr>
        <w:tc>
          <w:tcPr>
            <w:tcW w:w="4296" w:type="dxa"/>
            <w:tcBorders>
              <w:top w:val="dashSmallGap" w:sz="4" w:space="0" w:color="000000"/>
              <w:left w:val="single" w:sz="12" w:space="0" w:color="000000"/>
              <w:bottom w:val="dashSmallGap" w:sz="4" w:space="0" w:color="000000"/>
              <w:right w:val="dashed" w:sz="8" w:space="0" w:color="000000"/>
            </w:tcBorders>
          </w:tcPr>
          <w:p>
            <w:pPr>
              <w:pStyle w:val="TableParagraph"/>
              <w:spacing w:before="29"/>
              <w:ind w:left="107"/>
              <w:rPr>
                <w:sz w:val="18"/>
              </w:rPr>
            </w:pPr>
            <w:r>
              <w:rPr>
                <w:sz w:val="18"/>
              </w:rPr>
              <w:t>Glass</w:t>
            </w:r>
            <w:r>
              <w:rPr>
                <w:spacing w:val="-4"/>
                <w:sz w:val="18"/>
              </w:rPr>
              <w:t> </w:t>
            </w:r>
            <w:r>
              <w:rPr>
                <w:sz w:val="18"/>
              </w:rPr>
              <w:t>Bin</w:t>
            </w:r>
            <w:r>
              <w:rPr>
                <w:spacing w:val="-3"/>
                <w:sz w:val="18"/>
              </w:rPr>
              <w:t> </w:t>
            </w:r>
            <w:r>
              <w:rPr>
                <w:sz w:val="18"/>
              </w:rPr>
              <w:t>and Recycling</w:t>
            </w:r>
            <w:r>
              <w:rPr>
                <w:spacing w:val="-1"/>
                <w:sz w:val="18"/>
              </w:rPr>
              <w:t> </w:t>
            </w:r>
            <w:r>
              <w:rPr>
                <w:sz w:val="18"/>
              </w:rPr>
              <w:t>Bin</w:t>
            </w:r>
            <w:r>
              <w:rPr>
                <w:spacing w:val="-2"/>
                <w:sz w:val="18"/>
              </w:rPr>
              <w:t> Upgrade</w:t>
            </w:r>
          </w:p>
        </w:tc>
        <w:tc>
          <w:tcPr>
            <w:tcW w:w="7338" w:type="dxa"/>
            <w:gridSpan w:val="7"/>
            <w:tcBorders>
              <w:left w:val="dashed" w:sz="8" w:space="0" w:color="000000"/>
              <w:right w:val="dashed" w:sz="12" w:space="0" w:color="000000"/>
            </w:tcBorders>
          </w:tcPr>
          <w:p>
            <w:pPr>
              <w:pStyle w:val="TableParagraph"/>
              <w:spacing w:before="9"/>
              <w:rPr>
                <w:b/>
                <w:sz w:val="2"/>
              </w:rPr>
            </w:pPr>
          </w:p>
          <w:p>
            <w:pPr>
              <w:pStyle w:val="TableParagraph"/>
              <w:tabs>
                <w:tab w:pos="2224" w:val="left" w:leader="none"/>
                <w:tab w:pos="3244" w:val="left" w:leader="none"/>
                <w:tab w:pos="4266" w:val="left" w:leader="none"/>
                <w:tab w:pos="5286" w:val="left" w:leader="none"/>
                <w:tab w:pos="6309" w:val="left" w:leader="none"/>
              </w:tabs>
              <w:spacing w:line="192" w:lineRule="exact"/>
              <w:ind w:left="1204"/>
              <w:rPr>
                <w:sz w:val="19"/>
              </w:rPr>
            </w:pPr>
            <w:r>
              <w:rPr>
                <w:position w:val="-3"/>
                <w:sz w:val="19"/>
              </w:rPr>
              <w:pict>
                <v:group style="width:.5pt;height:9.6pt;mso-position-horizontal-relative:char;mso-position-vertical-relative:line" id="docshapegroup223" coordorigin="0,0" coordsize="10,192">
                  <v:shape style="position:absolute;left:0;top:0;width:10;height:193" id="docshape224" coordorigin="0,0" coordsize="10,193"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225" coordorigin="0,0" coordsize="10,192">
                  <v:shape style="position:absolute;left:0;top:0;width:10;height:193" id="docshape226" coordorigin="0,0" coordsize="10,193"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227" coordorigin="0,0" coordsize="10,192">
                  <v:shape style="position:absolute;left:0;top:0;width:10;height:193" id="docshape228" coordorigin="0,0" coordsize="10,193"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229" coordorigin="0,0" coordsize="10,192">
                  <v:shape style="position:absolute;left:0;top:0;width:10;height:193" id="docshape230" coordorigin="0,0" coordsize="10,193"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231" coordorigin="0,0" coordsize="10,192">
                  <v:shape style="position:absolute;left:0;top:0;width:10;height:193" id="docshape232" coordorigin="0,0" coordsize="10,193"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233" coordorigin="0,0" coordsize="10,192">
                  <v:shape style="position:absolute;left:0;top:0;width:10;height:193" id="docshape234" coordorigin="0,0" coordsize="10,193" path="m10,154l0,154,0,192,10,192,10,154xm10,77l0,77,0,115,10,115,10,77xm10,0l0,0,0,38,10,38,10,0xe" filled="true" fillcolor="#000000" stroked="false">
                    <v:path arrowok="t"/>
                    <v:fill type="solid"/>
                  </v:shape>
                </v:group>
              </w:pict>
            </w:r>
            <w:r>
              <w:rPr>
                <w:position w:val="-3"/>
                <w:sz w:val="19"/>
              </w:rPr>
            </w:r>
          </w:p>
        </w:tc>
        <w:tc>
          <w:tcPr>
            <w:tcW w:w="1250" w:type="dxa"/>
            <w:tcBorders>
              <w:top w:val="dashed" w:sz="4" w:space="0" w:color="000000"/>
              <w:left w:val="dashed" w:sz="12" w:space="0" w:color="000000"/>
              <w:bottom w:val="dashed" w:sz="4" w:space="0" w:color="000000"/>
              <w:right w:val="dashed" w:sz="12" w:space="0" w:color="000000"/>
            </w:tcBorders>
          </w:tcPr>
          <w:p>
            <w:pPr>
              <w:pStyle w:val="TableParagraph"/>
              <w:spacing w:before="29"/>
              <w:ind w:right="73"/>
              <w:jc w:val="right"/>
              <w:rPr>
                <w:sz w:val="18"/>
              </w:rPr>
            </w:pPr>
            <w:r>
              <w:rPr>
                <w:spacing w:val="-2"/>
                <w:sz w:val="18"/>
              </w:rPr>
              <w:t>3,500</w:t>
            </w:r>
          </w:p>
        </w:tc>
        <w:tc>
          <w:tcPr>
            <w:tcW w:w="1248" w:type="dxa"/>
            <w:tcBorders>
              <w:top w:val="dashed" w:sz="4" w:space="0" w:color="000000"/>
              <w:left w:val="dashed" w:sz="12" w:space="0" w:color="000000"/>
              <w:bottom w:val="dashed" w:sz="4" w:space="0" w:color="000000"/>
              <w:right w:val="dashed" w:sz="12" w:space="0" w:color="000000"/>
            </w:tcBorders>
          </w:tcPr>
          <w:p>
            <w:pPr>
              <w:pStyle w:val="TableParagraph"/>
              <w:spacing w:before="29"/>
              <w:ind w:right="72"/>
              <w:jc w:val="right"/>
              <w:rPr>
                <w:sz w:val="18"/>
              </w:rPr>
            </w:pPr>
            <w:r>
              <w:rPr>
                <w:spacing w:val="-5"/>
                <w:sz w:val="18"/>
              </w:rPr>
              <w:t>500</w:t>
            </w:r>
          </w:p>
        </w:tc>
        <w:tc>
          <w:tcPr>
            <w:tcW w:w="1250" w:type="dxa"/>
            <w:tcBorders>
              <w:top w:val="dashed" w:sz="4" w:space="0" w:color="000000"/>
              <w:left w:val="dashed" w:sz="12" w:space="0" w:color="000000"/>
              <w:bottom w:val="dashed" w:sz="4" w:space="0" w:color="000000"/>
              <w:right w:val="dashed" w:sz="12" w:space="0" w:color="000000"/>
            </w:tcBorders>
          </w:tcPr>
          <w:p>
            <w:pPr>
              <w:pStyle w:val="TableParagraph"/>
              <w:rPr>
                <w:rFonts w:ascii="Times New Roman"/>
                <w:sz w:val="18"/>
              </w:rPr>
            </w:pPr>
          </w:p>
        </w:tc>
      </w:tr>
      <w:tr>
        <w:trPr>
          <w:trHeight w:val="267" w:hRule="atLeast"/>
        </w:trPr>
        <w:tc>
          <w:tcPr>
            <w:tcW w:w="4296" w:type="dxa"/>
            <w:tcBorders>
              <w:top w:val="dashSmallGap" w:sz="4" w:space="0" w:color="000000"/>
              <w:left w:val="single" w:sz="12" w:space="0" w:color="000000"/>
              <w:bottom w:val="dashSmallGap" w:sz="4" w:space="0" w:color="000000"/>
              <w:right w:val="dashed" w:sz="8" w:space="0" w:color="000000"/>
            </w:tcBorders>
          </w:tcPr>
          <w:p>
            <w:pPr>
              <w:pStyle w:val="TableParagraph"/>
              <w:spacing w:line="214" w:lineRule="exact" w:before="32"/>
              <w:ind w:left="107"/>
              <w:rPr>
                <w:b/>
                <w:sz w:val="22"/>
              </w:rPr>
            </w:pPr>
            <w:r>
              <w:rPr>
                <w:b/>
                <w:sz w:val="22"/>
              </w:rPr>
              <w:t>TOTAL</w:t>
            </w:r>
            <w:r>
              <w:rPr>
                <w:b/>
                <w:spacing w:val="-4"/>
                <w:sz w:val="22"/>
              </w:rPr>
              <w:t> </w:t>
            </w:r>
            <w:r>
              <w:rPr>
                <w:b/>
                <w:sz w:val="22"/>
              </w:rPr>
              <w:t>WASTE</w:t>
            </w:r>
            <w:r>
              <w:rPr>
                <w:b/>
                <w:spacing w:val="-5"/>
                <w:sz w:val="22"/>
              </w:rPr>
              <w:t> </w:t>
            </w:r>
            <w:r>
              <w:rPr>
                <w:b/>
                <w:spacing w:val="-2"/>
                <w:sz w:val="22"/>
              </w:rPr>
              <w:t>MANAGEMENT</w:t>
            </w:r>
          </w:p>
        </w:tc>
        <w:tc>
          <w:tcPr>
            <w:tcW w:w="1210" w:type="dxa"/>
            <w:tcBorders>
              <w:top w:val="dashSmallGap" w:sz="4" w:space="0" w:color="000000"/>
              <w:left w:val="dashed" w:sz="8" w:space="0" w:color="000000"/>
              <w:bottom w:val="dashSmallGap" w:sz="4" w:space="0" w:color="000000"/>
              <w:right w:val="nil"/>
            </w:tcBorders>
          </w:tcPr>
          <w:p>
            <w:pPr>
              <w:pStyle w:val="TableParagraph"/>
              <w:spacing w:before="29"/>
              <w:ind w:right="82"/>
              <w:jc w:val="right"/>
              <w:rPr>
                <w:b/>
                <w:sz w:val="18"/>
              </w:rPr>
            </w:pPr>
            <w:r>
              <w:rPr>
                <w:b/>
                <w:spacing w:val="-5"/>
                <w:sz w:val="18"/>
              </w:rPr>
              <w:t>50</w:t>
            </w:r>
          </w:p>
        </w:tc>
        <w:tc>
          <w:tcPr>
            <w:tcW w:w="1020" w:type="dxa"/>
            <w:tcBorders>
              <w:top w:val="dotted" w:sz="4" w:space="0" w:color="000000"/>
              <w:left w:val="nil"/>
              <w:bottom w:val="dotted" w:sz="4" w:space="0" w:color="000000"/>
              <w:right w:val="nil"/>
            </w:tcBorders>
          </w:tcPr>
          <w:p>
            <w:pPr>
              <w:pStyle w:val="TableParagraph"/>
              <w:spacing w:before="29"/>
              <w:ind w:right="91"/>
              <w:jc w:val="right"/>
              <w:rPr>
                <w:b/>
                <w:sz w:val="18"/>
              </w:rPr>
            </w:pPr>
            <w:r>
              <w:rPr>
                <w:b/>
                <w:spacing w:val="-5"/>
                <w:sz w:val="18"/>
              </w:rPr>
              <w:t>50</w:t>
            </w:r>
          </w:p>
        </w:tc>
        <w:tc>
          <w:tcPr>
            <w:tcW w:w="1020" w:type="dxa"/>
            <w:tcBorders>
              <w:top w:val="dotted" w:sz="4" w:space="0" w:color="000000"/>
              <w:left w:val="nil"/>
              <w:bottom w:val="dotted" w:sz="4" w:space="0" w:color="000000"/>
              <w:right w:val="nil"/>
            </w:tcBorders>
          </w:tcPr>
          <w:p>
            <w:pPr>
              <w:pStyle w:val="TableParagraph"/>
              <w:spacing w:before="29"/>
              <w:ind w:right="92"/>
              <w:jc w:val="right"/>
              <w:rPr>
                <w:b/>
                <w:sz w:val="18"/>
              </w:rPr>
            </w:pPr>
            <w:r>
              <w:rPr>
                <w:b/>
                <w:sz w:val="18"/>
              </w:rPr>
              <w:t>0</w:t>
            </w:r>
          </w:p>
        </w:tc>
        <w:tc>
          <w:tcPr>
            <w:tcW w:w="1022" w:type="dxa"/>
            <w:tcBorders>
              <w:top w:val="dashed" w:sz="4" w:space="0" w:color="000000"/>
              <w:left w:val="nil"/>
              <w:bottom w:val="dashed" w:sz="4" w:space="0" w:color="000000"/>
              <w:right w:val="nil"/>
            </w:tcBorders>
          </w:tcPr>
          <w:p>
            <w:pPr>
              <w:pStyle w:val="TableParagraph"/>
              <w:spacing w:before="29"/>
              <w:ind w:right="94"/>
              <w:jc w:val="right"/>
              <w:rPr>
                <w:b/>
                <w:sz w:val="18"/>
              </w:rPr>
            </w:pPr>
            <w:r>
              <w:rPr>
                <w:b/>
                <w:sz w:val="18"/>
              </w:rPr>
              <w:t>0</w:t>
            </w:r>
          </w:p>
        </w:tc>
        <w:tc>
          <w:tcPr>
            <w:tcW w:w="1020" w:type="dxa"/>
            <w:tcBorders>
              <w:top w:val="dashed" w:sz="4" w:space="0" w:color="000000"/>
              <w:left w:val="nil"/>
              <w:bottom w:val="dashed" w:sz="4" w:space="0" w:color="000000"/>
              <w:right w:val="nil"/>
            </w:tcBorders>
          </w:tcPr>
          <w:p>
            <w:pPr>
              <w:pStyle w:val="TableParagraph"/>
              <w:spacing w:before="29"/>
              <w:ind w:right="92"/>
              <w:jc w:val="right"/>
              <w:rPr>
                <w:b/>
                <w:sz w:val="18"/>
              </w:rPr>
            </w:pPr>
            <w:r>
              <w:rPr>
                <w:b/>
                <w:sz w:val="18"/>
              </w:rPr>
              <w:t>0</w:t>
            </w:r>
          </w:p>
        </w:tc>
        <w:tc>
          <w:tcPr>
            <w:tcW w:w="1022" w:type="dxa"/>
            <w:tcBorders>
              <w:top w:val="dashed" w:sz="4" w:space="0" w:color="000000"/>
              <w:left w:val="nil"/>
              <w:bottom w:val="dashed" w:sz="4" w:space="0" w:color="000000"/>
              <w:right w:val="nil"/>
            </w:tcBorders>
          </w:tcPr>
          <w:p>
            <w:pPr>
              <w:pStyle w:val="TableParagraph"/>
              <w:spacing w:before="29"/>
              <w:ind w:right="92"/>
              <w:jc w:val="right"/>
              <w:rPr>
                <w:b/>
                <w:sz w:val="18"/>
              </w:rPr>
            </w:pPr>
            <w:r>
              <w:rPr>
                <w:b/>
                <w:spacing w:val="-5"/>
                <w:sz w:val="18"/>
              </w:rPr>
              <w:t>50</w:t>
            </w:r>
          </w:p>
        </w:tc>
        <w:tc>
          <w:tcPr>
            <w:tcW w:w="1024" w:type="dxa"/>
            <w:tcBorders>
              <w:top w:val="dashed" w:sz="4" w:space="0" w:color="000000"/>
              <w:left w:val="nil"/>
              <w:bottom w:val="dashed" w:sz="4" w:space="0" w:color="000000"/>
              <w:right w:val="dashed" w:sz="12" w:space="0" w:color="000000"/>
            </w:tcBorders>
          </w:tcPr>
          <w:p>
            <w:pPr>
              <w:pStyle w:val="TableParagraph"/>
              <w:spacing w:before="29"/>
              <w:ind w:right="76"/>
              <w:jc w:val="right"/>
              <w:rPr>
                <w:b/>
                <w:sz w:val="18"/>
              </w:rPr>
            </w:pPr>
            <w:r>
              <w:rPr>
                <w:b/>
                <w:sz w:val="18"/>
              </w:rPr>
              <w:t>0</w:t>
            </w:r>
          </w:p>
        </w:tc>
        <w:tc>
          <w:tcPr>
            <w:tcW w:w="1250" w:type="dxa"/>
            <w:tcBorders>
              <w:top w:val="dashed" w:sz="4" w:space="0" w:color="000000"/>
              <w:left w:val="dashed" w:sz="12" w:space="0" w:color="000000"/>
              <w:bottom w:val="dashed" w:sz="4" w:space="0" w:color="000000"/>
              <w:right w:val="dashed" w:sz="12" w:space="0" w:color="000000"/>
            </w:tcBorders>
          </w:tcPr>
          <w:p>
            <w:pPr>
              <w:pStyle w:val="TableParagraph"/>
              <w:spacing w:before="29"/>
              <w:ind w:right="73"/>
              <w:jc w:val="right"/>
              <w:rPr>
                <w:b/>
                <w:sz w:val="18"/>
              </w:rPr>
            </w:pPr>
            <w:r>
              <w:rPr>
                <w:b/>
                <w:spacing w:val="-2"/>
                <w:sz w:val="18"/>
              </w:rPr>
              <w:t>3,550</w:t>
            </w:r>
          </w:p>
        </w:tc>
        <w:tc>
          <w:tcPr>
            <w:tcW w:w="1248" w:type="dxa"/>
            <w:tcBorders>
              <w:top w:val="dashed" w:sz="4" w:space="0" w:color="000000"/>
              <w:left w:val="dashed" w:sz="12" w:space="0" w:color="000000"/>
              <w:bottom w:val="dashed" w:sz="4" w:space="0" w:color="000000"/>
              <w:right w:val="dashed" w:sz="12" w:space="0" w:color="000000"/>
            </w:tcBorders>
          </w:tcPr>
          <w:p>
            <w:pPr>
              <w:pStyle w:val="TableParagraph"/>
              <w:spacing w:before="29"/>
              <w:ind w:right="72"/>
              <w:jc w:val="right"/>
              <w:rPr>
                <w:b/>
                <w:sz w:val="18"/>
              </w:rPr>
            </w:pPr>
            <w:r>
              <w:rPr>
                <w:b/>
                <w:spacing w:val="-5"/>
                <w:sz w:val="18"/>
              </w:rPr>
              <w:t>550</w:t>
            </w:r>
          </w:p>
        </w:tc>
        <w:tc>
          <w:tcPr>
            <w:tcW w:w="1250" w:type="dxa"/>
            <w:tcBorders>
              <w:top w:val="dashed" w:sz="4" w:space="0" w:color="000000"/>
              <w:left w:val="dashed" w:sz="12" w:space="0" w:color="000000"/>
              <w:bottom w:val="dashed" w:sz="4" w:space="0" w:color="000000"/>
              <w:right w:val="dashed" w:sz="12" w:space="0" w:color="000000"/>
            </w:tcBorders>
          </w:tcPr>
          <w:p>
            <w:pPr>
              <w:pStyle w:val="TableParagraph"/>
              <w:spacing w:before="29"/>
              <w:ind w:right="73"/>
              <w:jc w:val="right"/>
              <w:rPr>
                <w:b/>
                <w:sz w:val="18"/>
              </w:rPr>
            </w:pPr>
            <w:r>
              <w:rPr>
                <w:b/>
                <w:spacing w:val="-5"/>
                <w:sz w:val="18"/>
              </w:rPr>
              <w:t>50</w:t>
            </w:r>
          </w:p>
        </w:tc>
      </w:tr>
      <w:tr>
        <w:trPr>
          <w:trHeight w:val="266" w:hRule="atLeast"/>
        </w:trPr>
        <w:tc>
          <w:tcPr>
            <w:tcW w:w="4296" w:type="dxa"/>
            <w:tcBorders>
              <w:top w:val="dashSmallGap" w:sz="4" w:space="0" w:color="000000"/>
              <w:left w:val="single" w:sz="12" w:space="0" w:color="000000"/>
              <w:bottom w:val="dashSmallGap" w:sz="4" w:space="0" w:color="000000"/>
              <w:right w:val="dashed" w:sz="8" w:space="0" w:color="000000"/>
            </w:tcBorders>
          </w:tcPr>
          <w:p>
            <w:pPr>
              <w:pStyle w:val="TableParagraph"/>
              <w:spacing w:line="238" w:lineRule="exact" w:before="8"/>
              <w:ind w:left="107"/>
              <w:rPr>
                <w:b/>
                <w:sz w:val="22"/>
              </w:rPr>
            </w:pPr>
            <w:r>
              <w:rPr>
                <w:b/>
                <w:spacing w:val="-2"/>
                <w:sz w:val="22"/>
              </w:rPr>
              <w:t>OTHER</w:t>
            </w:r>
          </w:p>
        </w:tc>
        <w:tc>
          <w:tcPr>
            <w:tcW w:w="7338" w:type="dxa"/>
            <w:gridSpan w:val="7"/>
            <w:tcBorders>
              <w:left w:val="dashed" w:sz="8" w:space="0" w:color="000000"/>
              <w:right w:val="dashed" w:sz="12" w:space="0" w:color="000000"/>
            </w:tcBorders>
          </w:tcPr>
          <w:p>
            <w:pPr>
              <w:pStyle w:val="TableParagraph"/>
              <w:tabs>
                <w:tab w:pos="2224" w:val="left" w:leader="none"/>
                <w:tab w:pos="3244" w:val="left" w:leader="none"/>
                <w:tab w:pos="4266" w:val="left" w:leader="none"/>
                <w:tab w:pos="5286" w:val="left" w:leader="none"/>
                <w:tab w:pos="6309" w:val="left" w:leader="none"/>
              </w:tabs>
              <w:spacing w:line="192" w:lineRule="exact"/>
              <w:ind w:left="1204"/>
              <w:rPr>
                <w:sz w:val="19"/>
              </w:rPr>
            </w:pPr>
            <w:r>
              <w:rPr>
                <w:position w:val="-3"/>
                <w:sz w:val="19"/>
              </w:rPr>
              <w:pict>
                <v:group style="width:.5pt;height:9.6pt;mso-position-horizontal-relative:char;mso-position-vertical-relative:line" id="docshapegroup235" coordorigin="0,0" coordsize="10,192">
                  <v:shape style="position:absolute;left:0;top:0;width:10;height:193" id="docshape236" coordorigin="0,0" coordsize="10,193"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237" coordorigin="0,0" coordsize="10,192">
                  <v:shape style="position:absolute;left:0;top:0;width:10;height:193" id="docshape238" coordorigin="0,0" coordsize="10,193"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239" coordorigin="0,0" coordsize="10,192">
                  <v:shape style="position:absolute;left:0;top:0;width:10;height:193" id="docshape240" coordorigin="0,0" coordsize="10,193"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241" coordorigin="0,0" coordsize="10,192">
                  <v:shape style="position:absolute;left:0;top:0;width:10;height:193" id="docshape242" coordorigin="0,0" coordsize="10,193"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243" coordorigin="0,0" coordsize="10,192">
                  <v:shape style="position:absolute;left:0;top:0;width:10;height:193" id="docshape244" coordorigin="0,0" coordsize="10,193"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245" coordorigin="0,0" coordsize="10,192">
                  <v:shape style="position:absolute;left:0;top:0;width:10;height:193" id="docshape246" coordorigin="0,0" coordsize="10,193" path="m10,154l0,154,0,192,10,192,10,154xm10,77l0,77,0,115,10,115,10,77xm10,0l0,0,0,38,10,38,10,0xe" filled="true" fillcolor="#000000" stroked="false">
                    <v:path arrowok="t"/>
                    <v:fill type="solid"/>
                  </v:shape>
                </v:group>
              </w:pict>
            </w:r>
            <w:r>
              <w:rPr>
                <w:position w:val="-3"/>
                <w:sz w:val="19"/>
              </w:rPr>
            </w:r>
          </w:p>
        </w:tc>
        <w:tc>
          <w:tcPr>
            <w:tcW w:w="1250" w:type="dxa"/>
            <w:tcBorders>
              <w:top w:val="dashed" w:sz="4" w:space="0" w:color="000000"/>
              <w:left w:val="dashed" w:sz="12" w:space="0" w:color="000000"/>
              <w:bottom w:val="dashed" w:sz="4" w:space="0" w:color="000000"/>
              <w:right w:val="dashed" w:sz="12" w:space="0" w:color="000000"/>
            </w:tcBorders>
          </w:tcPr>
          <w:p>
            <w:pPr>
              <w:pStyle w:val="TableParagraph"/>
              <w:rPr>
                <w:rFonts w:ascii="Times New Roman"/>
                <w:sz w:val="18"/>
              </w:rPr>
            </w:pPr>
          </w:p>
        </w:tc>
        <w:tc>
          <w:tcPr>
            <w:tcW w:w="1248" w:type="dxa"/>
            <w:tcBorders>
              <w:top w:val="dashed" w:sz="4" w:space="0" w:color="000000"/>
              <w:left w:val="dashed" w:sz="12" w:space="0" w:color="000000"/>
              <w:bottom w:val="dashed" w:sz="4" w:space="0" w:color="000000"/>
              <w:right w:val="dashed" w:sz="12" w:space="0" w:color="000000"/>
            </w:tcBorders>
          </w:tcPr>
          <w:p>
            <w:pPr>
              <w:pStyle w:val="TableParagraph"/>
              <w:rPr>
                <w:rFonts w:ascii="Times New Roman"/>
                <w:sz w:val="18"/>
              </w:rPr>
            </w:pPr>
          </w:p>
        </w:tc>
        <w:tc>
          <w:tcPr>
            <w:tcW w:w="1250" w:type="dxa"/>
            <w:tcBorders>
              <w:top w:val="dashed" w:sz="4" w:space="0" w:color="000000"/>
              <w:left w:val="dashed" w:sz="12" w:space="0" w:color="000000"/>
              <w:bottom w:val="dashed" w:sz="4" w:space="0" w:color="000000"/>
              <w:right w:val="dashed" w:sz="12" w:space="0" w:color="000000"/>
            </w:tcBorders>
          </w:tcPr>
          <w:p>
            <w:pPr>
              <w:pStyle w:val="TableParagraph"/>
              <w:rPr>
                <w:rFonts w:ascii="Times New Roman"/>
                <w:sz w:val="18"/>
              </w:rPr>
            </w:pPr>
          </w:p>
        </w:tc>
      </w:tr>
      <w:tr>
        <w:trPr>
          <w:trHeight w:val="284" w:hRule="atLeast"/>
        </w:trPr>
        <w:tc>
          <w:tcPr>
            <w:tcW w:w="4296" w:type="dxa"/>
            <w:tcBorders>
              <w:top w:val="dashSmallGap" w:sz="4" w:space="0" w:color="000000"/>
              <w:left w:val="single" w:sz="12" w:space="0" w:color="000000"/>
              <w:bottom w:val="dashSmallGap" w:sz="4" w:space="0" w:color="000000"/>
              <w:right w:val="dashed" w:sz="8" w:space="0" w:color="000000"/>
            </w:tcBorders>
          </w:tcPr>
          <w:p>
            <w:pPr>
              <w:pStyle w:val="TableParagraph"/>
              <w:spacing w:before="29"/>
              <w:ind w:left="107"/>
              <w:rPr>
                <w:sz w:val="18"/>
              </w:rPr>
            </w:pPr>
            <w:r>
              <w:rPr>
                <w:sz w:val="18"/>
              </w:rPr>
              <w:t>Commercial</w:t>
            </w:r>
            <w:r>
              <w:rPr>
                <w:spacing w:val="-1"/>
                <w:sz w:val="18"/>
              </w:rPr>
              <w:t> </w:t>
            </w:r>
            <w:r>
              <w:rPr>
                <w:sz w:val="18"/>
              </w:rPr>
              <w:t>Centres</w:t>
            </w:r>
            <w:r>
              <w:rPr>
                <w:spacing w:val="-2"/>
                <w:sz w:val="18"/>
              </w:rPr>
              <w:t> </w:t>
            </w:r>
            <w:r>
              <w:rPr>
                <w:sz w:val="18"/>
              </w:rPr>
              <w:t>Improvement </w:t>
            </w:r>
            <w:r>
              <w:rPr>
                <w:spacing w:val="-2"/>
                <w:sz w:val="18"/>
              </w:rPr>
              <w:t>Program</w:t>
            </w:r>
          </w:p>
        </w:tc>
        <w:tc>
          <w:tcPr>
            <w:tcW w:w="1210" w:type="dxa"/>
            <w:tcBorders>
              <w:top w:val="dashSmallGap" w:sz="4" w:space="0" w:color="000000"/>
              <w:left w:val="dashed" w:sz="8" w:space="0" w:color="000000"/>
              <w:bottom w:val="dashSmallGap" w:sz="4" w:space="0" w:color="000000"/>
              <w:right w:val="nil"/>
            </w:tcBorders>
          </w:tcPr>
          <w:p>
            <w:pPr>
              <w:pStyle w:val="TableParagraph"/>
              <w:spacing w:before="29"/>
              <w:ind w:right="79"/>
              <w:jc w:val="right"/>
              <w:rPr>
                <w:sz w:val="18"/>
              </w:rPr>
            </w:pPr>
            <w:r>
              <w:rPr>
                <w:spacing w:val="-5"/>
                <w:sz w:val="18"/>
              </w:rPr>
              <w:t>100</w:t>
            </w:r>
          </w:p>
        </w:tc>
        <w:tc>
          <w:tcPr>
            <w:tcW w:w="1020" w:type="dxa"/>
            <w:tcBorders>
              <w:top w:val="dotted" w:sz="4" w:space="0" w:color="000000"/>
              <w:left w:val="nil"/>
              <w:bottom w:val="dotted" w:sz="4" w:space="0" w:color="000000"/>
              <w:right w:val="nil"/>
            </w:tcBorders>
          </w:tcPr>
          <w:p>
            <w:pPr>
              <w:pStyle w:val="TableParagraph"/>
              <w:spacing w:before="29"/>
              <w:ind w:right="89"/>
              <w:jc w:val="right"/>
              <w:rPr>
                <w:sz w:val="18"/>
              </w:rPr>
            </w:pPr>
            <w:r>
              <w:rPr>
                <w:spacing w:val="-5"/>
                <w:sz w:val="18"/>
              </w:rPr>
              <w:t>100</w:t>
            </w:r>
          </w:p>
        </w:tc>
        <w:tc>
          <w:tcPr>
            <w:tcW w:w="1020" w:type="dxa"/>
            <w:tcBorders>
              <w:top w:val="dotted" w:sz="4" w:space="0" w:color="000000"/>
              <w:left w:val="nil"/>
              <w:bottom w:val="dotted" w:sz="4" w:space="0" w:color="000000"/>
              <w:right w:val="nil"/>
            </w:tcBorders>
          </w:tcPr>
          <w:p>
            <w:pPr>
              <w:pStyle w:val="TableParagraph"/>
              <w:spacing w:before="3"/>
              <w:rPr>
                <w:b/>
                <w:sz w:val="8"/>
              </w:rPr>
            </w:pPr>
          </w:p>
          <w:p>
            <w:pPr>
              <w:pStyle w:val="TableParagraph"/>
              <w:tabs>
                <w:tab w:pos="1029" w:val="left" w:leader="none"/>
              </w:tabs>
              <w:spacing w:line="115" w:lineRule="exact"/>
              <w:ind w:left="9" w:right="-87"/>
              <w:rPr>
                <w:sz w:val="11"/>
              </w:rPr>
            </w:pPr>
            <w:r>
              <w:rPr>
                <w:position w:val="-1"/>
                <w:sz w:val="11"/>
              </w:rPr>
              <w:pict>
                <v:group style="width:.5pt;height:5.8pt;mso-position-horizontal-relative:char;mso-position-vertical-relative:line" id="docshapegroup247" coordorigin="0,0" coordsize="10,116">
                  <v:shape style="position:absolute;left:0;top:0;width:10;height:116" id="docshape248"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249" coordorigin="0,0" coordsize="10,116">
                  <v:shape style="position:absolute;left:0;top:0;width:10;height:116" id="docshape250" coordorigin="0,0" coordsize="10,116" path="m10,77l0,77,0,115,10,115,10,77xm10,0l0,0,0,38,10,38,10,0xe" filled="true" fillcolor="#000000" stroked="false">
                    <v:path arrowok="t"/>
                    <v:fill type="solid"/>
                  </v:shape>
                </v:group>
              </w:pict>
            </w:r>
            <w:r>
              <w:rPr>
                <w:position w:val="-1"/>
                <w:sz w:val="11"/>
              </w:rPr>
            </w:r>
          </w:p>
        </w:tc>
        <w:tc>
          <w:tcPr>
            <w:tcW w:w="1022" w:type="dxa"/>
            <w:tcBorders>
              <w:top w:val="dashed" w:sz="4" w:space="0" w:color="000000"/>
              <w:left w:val="nil"/>
              <w:bottom w:val="dashed" w:sz="4" w:space="0" w:color="000000"/>
              <w:right w:val="nil"/>
            </w:tcBorders>
          </w:tcPr>
          <w:p>
            <w:pPr>
              <w:pStyle w:val="TableParagraph"/>
              <w:spacing w:before="3"/>
              <w:rPr>
                <w:b/>
                <w:sz w:val="8"/>
              </w:rPr>
            </w:pPr>
          </w:p>
          <w:p>
            <w:pPr>
              <w:pStyle w:val="TableParagraph"/>
              <w:spacing w:line="115" w:lineRule="exact"/>
              <w:ind w:left="1031" w:right="-87"/>
              <w:rPr>
                <w:sz w:val="11"/>
              </w:rPr>
            </w:pPr>
            <w:r>
              <w:rPr>
                <w:position w:val="-1"/>
                <w:sz w:val="11"/>
              </w:rPr>
              <w:pict>
                <v:group style="width:.5pt;height:5.8pt;mso-position-horizontal-relative:char;mso-position-vertical-relative:line" id="docshapegroup251" coordorigin="0,0" coordsize="10,116">
                  <v:shape style="position:absolute;left:0;top:0;width:10;height:116" id="docshape252" coordorigin="0,0" coordsize="10,116" path="m10,77l0,77,0,115,10,115,10,77xm10,0l0,0,0,38,10,38,10,0xe" filled="true" fillcolor="#000000" stroked="false">
                    <v:path arrowok="t"/>
                    <v:fill type="solid"/>
                  </v:shape>
                </v:group>
              </w:pict>
            </w:r>
            <w:r>
              <w:rPr>
                <w:position w:val="-1"/>
                <w:sz w:val="11"/>
              </w:rPr>
            </w:r>
          </w:p>
        </w:tc>
        <w:tc>
          <w:tcPr>
            <w:tcW w:w="1020" w:type="dxa"/>
            <w:tcBorders>
              <w:top w:val="dashed" w:sz="4" w:space="0" w:color="000000"/>
              <w:left w:val="nil"/>
              <w:bottom w:val="dashed" w:sz="4" w:space="0" w:color="000000"/>
              <w:right w:val="nil"/>
            </w:tcBorders>
          </w:tcPr>
          <w:p>
            <w:pPr>
              <w:pStyle w:val="TableParagraph"/>
              <w:spacing w:before="29"/>
              <w:ind w:right="90"/>
              <w:jc w:val="right"/>
              <w:rPr>
                <w:sz w:val="18"/>
              </w:rPr>
            </w:pPr>
            <w:r>
              <w:rPr>
                <w:spacing w:val="-5"/>
                <w:sz w:val="18"/>
              </w:rPr>
              <w:t>50</w:t>
            </w:r>
          </w:p>
        </w:tc>
        <w:tc>
          <w:tcPr>
            <w:tcW w:w="1022" w:type="dxa"/>
            <w:tcBorders>
              <w:top w:val="dashed" w:sz="4" w:space="0" w:color="000000"/>
              <w:left w:val="nil"/>
              <w:bottom w:val="dashed" w:sz="4" w:space="0" w:color="000000"/>
              <w:right w:val="nil"/>
            </w:tcBorders>
          </w:tcPr>
          <w:p>
            <w:pPr>
              <w:pStyle w:val="TableParagraph"/>
              <w:spacing w:before="29"/>
              <w:ind w:right="92"/>
              <w:jc w:val="right"/>
              <w:rPr>
                <w:sz w:val="18"/>
              </w:rPr>
            </w:pPr>
            <w:r>
              <w:rPr>
                <w:spacing w:val="-5"/>
                <w:sz w:val="18"/>
              </w:rPr>
              <w:t>50</w:t>
            </w:r>
          </w:p>
        </w:tc>
        <w:tc>
          <w:tcPr>
            <w:tcW w:w="1024" w:type="dxa"/>
            <w:tcBorders>
              <w:top w:val="dashed" w:sz="4" w:space="0" w:color="000000"/>
              <w:left w:val="nil"/>
              <w:bottom w:val="dashed" w:sz="4" w:space="0" w:color="000000"/>
              <w:right w:val="dashed" w:sz="12" w:space="0" w:color="000000"/>
            </w:tcBorders>
          </w:tcPr>
          <w:p>
            <w:pPr>
              <w:pStyle w:val="TableParagraph"/>
              <w:spacing w:before="3"/>
              <w:rPr>
                <w:b/>
                <w:sz w:val="8"/>
              </w:rPr>
            </w:pPr>
          </w:p>
          <w:p>
            <w:pPr>
              <w:pStyle w:val="TableParagraph"/>
              <w:spacing w:line="115" w:lineRule="exact"/>
              <w:ind w:left="-5"/>
              <w:rPr>
                <w:sz w:val="11"/>
              </w:rPr>
            </w:pPr>
            <w:r>
              <w:rPr>
                <w:position w:val="-1"/>
                <w:sz w:val="11"/>
              </w:rPr>
              <w:pict>
                <v:group style="width:.5pt;height:5.8pt;mso-position-horizontal-relative:char;mso-position-vertical-relative:line" id="docshapegroup253" coordorigin="0,0" coordsize="10,116">
                  <v:shape style="position:absolute;left:0;top:0;width:10;height:116" id="docshape254" coordorigin="0,0" coordsize="10,116" path="m10,77l0,77,0,115,10,115,10,77xm10,0l0,0,0,38,10,38,10,0xe" filled="true" fillcolor="#000000" stroked="false">
                    <v:path arrowok="t"/>
                    <v:fill type="solid"/>
                  </v:shape>
                </v:group>
              </w:pict>
            </w:r>
            <w:r>
              <w:rPr>
                <w:position w:val="-1"/>
                <w:sz w:val="11"/>
              </w:rPr>
            </w:r>
          </w:p>
        </w:tc>
        <w:tc>
          <w:tcPr>
            <w:tcW w:w="1250" w:type="dxa"/>
            <w:tcBorders>
              <w:top w:val="dashed" w:sz="4" w:space="0" w:color="000000"/>
              <w:left w:val="dashed" w:sz="12" w:space="0" w:color="000000"/>
              <w:bottom w:val="dashed" w:sz="4" w:space="0" w:color="000000"/>
              <w:right w:val="dashed" w:sz="12" w:space="0" w:color="000000"/>
            </w:tcBorders>
          </w:tcPr>
          <w:p>
            <w:pPr>
              <w:pStyle w:val="TableParagraph"/>
              <w:spacing w:before="29"/>
              <w:ind w:right="74"/>
              <w:jc w:val="right"/>
              <w:rPr>
                <w:sz w:val="18"/>
              </w:rPr>
            </w:pPr>
            <w:r>
              <w:rPr>
                <w:spacing w:val="-5"/>
                <w:sz w:val="18"/>
              </w:rPr>
              <w:t>100</w:t>
            </w:r>
          </w:p>
        </w:tc>
        <w:tc>
          <w:tcPr>
            <w:tcW w:w="1248" w:type="dxa"/>
            <w:tcBorders>
              <w:top w:val="dashed" w:sz="4" w:space="0" w:color="000000"/>
              <w:left w:val="dashed" w:sz="12" w:space="0" w:color="000000"/>
              <w:bottom w:val="dashed" w:sz="4" w:space="0" w:color="000000"/>
              <w:right w:val="dashed" w:sz="12" w:space="0" w:color="000000"/>
            </w:tcBorders>
          </w:tcPr>
          <w:p>
            <w:pPr>
              <w:pStyle w:val="TableParagraph"/>
              <w:spacing w:before="29"/>
              <w:ind w:right="72"/>
              <w:jc w:val="right"/>
              <w:rPr>
                <w:sz w:val="18"/>
              </w:rPr>
            </w:pPr>
            <w:r>
              <w:rPr>
                <w:spacing w:val="-5"/>
                <w:sz w:val="18"/>
              </w:rPr>
              <w:t>250</w:t>
            </w:r>
          </w:p>
        </w:tc>
        <w:tc>
          <w:tcPr>
            <w:tcW w:w="1250" w:type="dxa"/>
            <w:tcBorders>
              <w:top w:val="dashed" w:sz="4" w:space="0" w:color="000000"/>
              <w:left w:val="dashed" w:sz="12" w:space="0" w:color="000000"/>
              <w:bottom w:val="dashed" w:sz="4" w:space="0" w:color="000000"/>
              <w:right w:val="dashed" w:sz="12" w:space="0" w:color="000000"/>
            </w:tcBorders>
          </w:tcPr>
          <w:p>
            <w:pPr>
              <w:pStyle w:val="TableParagraph"/>
              <w:spacing w:before="29"/>
              <w:ind w:right="74"/>
              <w:jc w:val="right"/>
              <w:rPr>
                <w:sz w:val="18"/>
              </w:rPr>
            </w:pPr>
            <w:r>
              <w:rPr>
                <w:spacing w:val="-5"/>
                <w:sz w:val="18"/>
              </w:rPr>
              <w:t>250</w:t>
            </w:r>
          </w:p>
        </w:tc>
      </w:tr>
      <w:tr>
        <w:trPr>
          <w:trHeight w:val="302" w:hRule="atLeast"/>
        </w:trPr>
        <w:tc>
          <w:tcPr>
            <w:tcW w:w="4296" w:type="dxa"/>
            <w:tcBorders>
              <w:top w:val="dashSmallGap" w:sz="4" w:space="0" w:color="000000"/>
              <w:left w:val="single" w:sz="12" w:space="0" w:color="000000"/>
              <w:bottom w:val="dashSmallGap" w:sz="4" w:space="0" w:color="000000"/>
              <w:right w:val="dashed" w:sz="8" w:space="0" w:color="000000"/>
            </w:tcBorders>
          </w:tcPr>
          <w:p>
            <w:pPr>
              <w:pStyle w:val="TableParagraph"/>
              <w:spacing w:before="47"/>
              <w:ind w:left="107"/>
              <w:rPr>
                <w:sz w:val="18"/>
              </w:rPr>
            </w:pPr>
            <w:r>
              <w:rPr>
                <w:sz w:val="18"/>
              </w:rPr>
              <w:t>Christmas</w:t>
            </w:r>
            <w:r>
              <w:rPr>
                <w:spacing w:val="-3"/>
                <w:sz w:val="18"/>
              </w:rPr>
              <w:t> </w:t>
            </w:r>
            <w:r>
              <w:rPr>
                <w:spacing w:val="-2"/>
                <w:sz w:val="18"/>
              </w:rPr>
              <w:t>Decorations</w:t>
            </w:r>
          </w:p>
        </w:tc>
        <w:tc>
          <w:tcPr>
            <w:tcW w:w="1210" w:type="dxa"/>
            <w:tcBorders>
              <w:top w:val="dashSmallGap" w:sz="4" w:space="0" w:color="000000"/>
              <w:left w:val="dashed" w:sz="8" w:space="0" w:color="000000"/>
              <w:bottom w:val="dashSmallGap" w:sz="4" w:space="0" w:color="000000"/>
              <w:right w:val="nil"/>
            </w:tcBorders>
          </w:tcPr>
          <w:p>
            <w:pPr>
              <w:pStyle w:val="TableParagraph"/>
              <w:spacing w:before="47"/>
              <w:ind w:right="81"/>
              <w:jc w:val="right"/>
              <w:rPr>
                <w:sz w:val="18"/>
              </w:rPr>
            </w:pPr>
            <w:r>
              <w:rPr>
                <w:spacing w:val="-5"/>
                <w:sz w:val="18"/>
              </w:rPr>
              <w:t>50</w:t>
            </w:r>
          </w:p>
        </w:tc>
        <w:tc>
          <w:tcPr>
            <w:tcW w:w="1020" w:type="dxa"/>
            <w:tcBorders>
              <w:top w:val="dotted" w:sz="4" w:space="0" w:color="000000"/>
              <w:left w:val="nil"/>
              <w:bottom w:val="dashSmallGap" w:sz="4" w:space="0" w:color="000000"/>
              <w:right w:val="nil"/>
            </w:tcBorders>
          </w:tcPr>
          <w:p>
            <w:pPr>
              <w:pStyle w:val="TableParagraph"/>
              <w:spacing w:before="47"/>
              <w:ind w:right="91"/>
              <w:jc w:val="right"/>
              <w:rPr>
                <w:sz w:val="18"/>
              </w:rPr>
            </w:pPr>
            <w:r>
              <w:rPr>
                <w:spacing w:val="-5"/>
                <w:sz w:val="18"/>
              </w:rPr>
              <w:t>50</w:t>
            </w:r>
          </w:p>
        </w:tc>
        <w:tc>
          <w:tcPr>
            <w:tcW w:w="1020" w:type="dxa"/>
            <w:tcBorders>
              <w:top w:val="dotted" w:sz="4" w:space="0" w:color="000000"/>
              <w:left w:val="nil"/>
              <w:bottom w:val="dashSmallGap" w:sz="4" w:space="0" w:color="000000"/>
              <w:right w:val="nil"/>
            </w:tcBorders>
          </w:tcPr>
          <w:p>
            <w:pPr>
              <w:pStyle w:val="TableParagraph"/>
              <w:spacing w:before="4"/>
              <w:rPr>
                <w:b/>
                <w:sz w:val="9"/>
              </w:rPr>
            </w:pPr>
          </w:p>
          <w:p>
            <w:pPr>
              <w:pStyle w:val="TableParagraph"/>
              <w:tabs>
                <w:tab w:pos="1029" w:val="left" w:leader="none"/>
              </w:tabs>
              <w:spacing w:line="115" w:lineRule="exact"/>
              <w:ind w:left="9" w:right="-87"/>
              <w:rPr>
                <w:sz w:val="11"/>
              </w:rPr>
            </w:pPr>
            <w:r>
              <w:rPr>
                <w:position w:val="-1"/>
                <w:sz w:val="11"/>
              </w:rPr>
              <w:pict>
                <v:group style="width:.5pt;height:5.8pt;mso-position-horizontal-relative:char;mso-position-vertical-relative:line" id="docshapegroup255" coordorigin="0,0" coordsize="10,116">
                  <v:shape style="position:absolute;left:0;top:0;width:10;height:116" id="docshape256"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257" coordorigin="0,0" coordsize="10,116">
                  <v:shape style="position:absolute;left:0;top:0;width:10;height:116" id="docshape258" coordorigin="0,0" coordsize="10,116" path="m10,77l0,77,0,115,10,115,10,77xm10,0l0,0,0,38,10,38,10,0xe" filled="true" fillcolor="#000000" stroked="false">
                    <v:path arrowok="t"/>
                    <v:fill type="solid"/>
                  </v:shape>
                </v:group>
              </w:pict>
            </w:r>
            <w:r>
              <w:rPr>
                <w:position w:val="-1"/>
                <w:sz w:val="11"/>
              </w:rPr>
            </w:r>
          </w:p>
        </w:tc>
        <w:tc>
          <w:tcPr>
            <w:tcW w:w="1022" w:type="dxa"/>
            <w:tcBorders>
              <w:top w:val="dashed" w:sz="4" w:space="0" w:color="000000"/>
              <w:left w:val="nil"/>
              <w:bottom w:val="dashSmallGap" w:sz="4" w:space="0" w:color="000000"/>
              <w:right w:val="nil"/>
            </w:tcBorders>
          </w:tcPr>
          <w:p>
            <w:pPr>
              <w:pStyle w:val="TableParagraph"/>
              <w:spacing w:before="4"/>
              <w:rPr>
                <w:b/>
                <w:sz w:val="9"/>
              </w:rPr>
            </w:pPr>
          </w:p>
          <w:p>
            <w:pPr>
              <w:pStyle w:val="TableParagraph"/>
              <w:spacing w:line="115" w:lineRule="exact"/>
              <w:ind w:left="1031" w:right="-87"/>
              <w:rPr>
                <w:sz w:val="11"/>
              </w:rPr>
            </w:pPr>
            <w:r>
              <w:rPr>
                <w:position w:val="-1"/>
                <w:sz w:val="11"/>
              </w:rPr>
              <w:pict>
                <v:group style="width:.5pt;height:5.8pt;mso-position-horizontal-relative:char;mso-position-vertical-relative:line" id="docshapegroup259" coordorigin="0,0" coordsize="10,116">
                  <v:shape style="position:absolute;left:0;top:0;width:10;height:116" id="docshape260" coordorigin="0,0" coordsize="10,116" path="m10,77l0,77,0,115,10,115,10,77xm10,0l0,0,0,38,10,38,10,0xe" filled="true" fillcolor="#000000" stroked="false">
                    <v:path arrowok="t"/>
                    <v:fill type="solid"/>
                  </v:shape>
                </v:group>
              </w:pict>
            </w:r>
            <w:r>
              <w:rPr>
                <w:position w:val="-1"/>
                <w:sz w:val="11"/>
              </w:rPr>
            </w:r>
          </w:p>
        </w:tc>
        <w:tc>
          <w:tcPr>
            <w:tcW w:w="1020" w:type="dxa"/>
            <w:tcBorders>
              <w:top w:val="dashed" w:sz="4" w:space="0" w:color="000000"/>
              <w:left w:val="nil"/>
              <w:bottom w:val="dashSmallGap" w:sz="4" w:space="0" w:color="000000"/>
              <w:right w:val="nil"/>
            </w:tcBorders>
          </w:tcPr>
          <w:p>
            <w:pPr>
              <w:pStyle w:val="TableParagraph"/>
              <w:spacing w:before="4"/>
              <w:rPr>
                <w:b/>
                <w:sz w:val="9"/>
              </w:rPr>
            </w:pPr>
          </w:p>
          <w:p>
            <w:pPr>
              <w:pStyle w:val="TableParagraph"/>
              <w:spacing w:line="115" w:lineRule="exact"/>
              <w:ind w:left="1029" w:right="-87"/>
              <w:rPr>
                <w:sz w:val="11"/>
              </w:rPr>
            </w:pPr>
            <w:r>
              <w:rPr>
                <w:position w:val="-1"/>
                <w:sz w:val="11"/>
              </w:rPr>
              <w:pict>
                <v:group style="width:.5pt;height:5.8pt;mso-position-horizontal-relative:char;mso-position-vertical-relative:line" id="docshapegroup261" coordorigin="0,0" coordsize="10,116">
                  <v:shape style="position:absolute;left:0;top:0;width:10;height:116" id="docshape262" coordorigin="0,0" coordsize="10,116" path="m10,77l0,77,0,115,10,115,10,77xm10,0l0,0,0,38,10,38,10,0xe" filled="true" fillcolor="#000000" stroked="false">
                    <v:path arrowok="t"/>
                    <v:fill type="solid"/>
                  </v:shape>
                </v:group>
              </w:pict>
            </w:r>
            <w:r>
              <w:rPr>
                <w:position w:val="-1"/>
                <w:sz w:val="11"/>
              </w:rPr>
            </w:r>
          </w:p>
        </w:tc>
        <w:tc>
          <w:tcPr>
            <w:tcW w:w="1022" w:type="dxa"/>
            <w:tcBorders>
              <w:top w:val="dashed" w:sz="4" w:space="0" w:color="000000"/>
              <w:left w:val="nil"/>
              <w:bottom w:val="dashed" w:sz="4" w:space="0" w:color="000000"/>
              <w:right w:val="nil"/>
            </w:tcBorders>
          </w:tcPr>
          <w:p>
            <w:pPr>
              <w:pStyle w:val="TableParagraph"/>
              <w:spacing w:before="4"/>
              <w:rPr>
                <w:b/>
                <w:sz w:val="9"/>
              </w:rPr>
            </w:pPr>
          </w:p>
          <w:p>
            <w:pPr>
              <w:pStyle w:val="TableParagraph"/>
              <w:spacing w:line="115" w:lineRule="exact"/>
              <w:ind w:left="1032" w:right="-87"/>
              <w:rPr>
                <w:sz w:val="11"/>
              </w:rPr>
            </w:pPr>
            <w:r>
              <w:rPr>
                <w:position w:val="-1"/>
                <w:sz w:val="11"/>
              </w:rPr>
              <w:pict>
                <v:group style="width:.5pt;height:5.8pt;mso-position-horizontal-relative:char;mso-position-vertical-relative:line" id="docshapegroup263" coordorigin="0,0" coordsize="10,116">
                  <v:shape style="position:absolute;left:0;top:0;width:10;height:116" id="docshape264" coordorigin="0,0" coordsize="10,116" path="m10,77l0,77,0,115,10,115,10,77xm10,0l0,0,0,38,10,38,10,0xe" filled="true" fillcolor="#000000" stroked="false">
                    <v:path arrowok="t"/>
                    <v:fill type="solid"/>
                  </v:shape>
                </v:group>
              </w:pict>
            </w:r>
            <w:r>
              <w:rPr>
                <w:position w:val="-1"/>
                <w:sz w:val="11"/>
              </w:rPr>
            </w:r>
          </w:p>
        </w:tc>
        <w:tc>
          <w:tcPr>
            <w:tcW w:w="1024" w:type="dxa"/>
            <w:tcBorders>
              <w:top w:val="dashed" w:sz="4" w:space="0" w:color="000000"/>
              <w:left w:val="nil"/>
              <w:bottom w:val="dashed" w:sz="4" w:space="0" w:color="000000"/>
              <w:right w:val="dashed" w:sz="12" w:space="0" w:color="000000"/>
            </w:tcBorders>
          </w:tcPr>
          <w:p>
            <w:pPr>
              <w:pStyle w:val="TableParagraph"/>
              <w:spacing w:before="47"/>
              <w:ind w:right="74"/>
              <w:jc w:val="right"/>
              <w:rPr>
                <w:sz w:val="18"/>
              </w:rPr>
            </w:pPr>
            <w:r>
              <w:rPr>
                <w:spacing w:val="-5"/>
                <w:sz w:val="18"/>
              </w:rPr>
              <w:t>50</w:t>
            </w:r>
          </w:p>
        </w:tc>
        <w:tc>
          <w:tcPr>
            <w:tcW w:w="1250" w:type="dxa"/>
            <w:tcBorders>
              <w:top w:val="dashed" w:sz="4" w:space="0" w:color="000000"/>
              <w:left w:val="dashed" w:sz="12" w:space="0" w:color="000000"/>
              <w:bottom w:val="dashed" w:sz="4" w:space="0" w:color="000000"/>
              <w:right w:val="dashed" w:sz="12" w:space="0" w:color="000000"/>
            </w:tcBorders>
          </w:tcPr>
          <w:p>
            <w:pPr>
              <w:pStyle w:val="TableParagraph"/>
              <w:spacing w:before="47"/>
              <w:ind w:right="74"/>
              <w:jc w:val="right"/>
              <w:rPr>
                <w:sz w:val="18"/>
              </w:rPr>
            </w:pPr>
            <w:r>
              <w:rPr>
                <w:spacing w:val="-5"/>
                <w:sz w:val="18"/>
              </w:rPr>
              <w:t>50</w:t>
            </w:r>
          </w:p>
        </w:tc>
        <w:tc>
          <w:tcPr>
            <w:tcW w:w="1248" w:type="dxa"/>
            <w:tcBorders>
              <w:top w:val="dashed" w:sz="4" w:space="0" w:color="000000"/>
              <w:left w:val="dashed" w:sz="12" w:space="0" w:color="000000"/>
              <w:bottom w:val="dashed" w:sz="4" w:space="0" w:color="000000"/>
              <w:right w:val="dashed" w:sz="12" w:space="0" w:color="000000"/>
            </w:tcBorders>
          </w:tcPr>
          <w:p>
            <w:pPr>
              <w:pStyle w:val="TableParagraph"/>
              <w:spacing w:before="47"/>
              <w:ind w:right="71"/>
              <w:jc w:val="right"/>
              <w:rPr>
                <w:sz w:val="18"/>
              </w:rPr>
            </w:pPr>
            <w:r>
              <w:rPr>
                <w:spacing w:val="-5"/>
                <w:sz w:val="18"/>
              </w:rPr>
              <w:t>50</w:t>
            </w:r>
          </w:p>
        </w:tc>
        <w:tc>
          <w:tcPr>
            <w:tcW w:w="1250" w:type="dxa"/>
            <w:tcBorders>
              <w:top w:val="dashed" w:sz="4" w:space="0" w:color="000000"/>
              <w:left w:val="dashed" w:sz="12" w:space="0" w:color="000000"/>
              <w:bottom w:val="dashed" w:sz="4" w:space="0" w:color="000000"/>
              <w:right w:val="dashed" w:sz="12" w:space="0" w:color="000000"/>
            </w:tcBorders>
          </w:tcPr>
          <w:p>
            <w:pPr>
              <w:pStyle w:val="TableParagraph"/>
              <w:spacing w:before="47"/>
              <w:ind w:right="73"/>
              <w:jc w:val="right"/>
              <w:rPr>
                <w:sz w:val="18"/>
              </w:rPr>
            </w:pPr>
            <w:r>
              <w:rPr>
                <w:spacing w:val="-5"/>
                <w:sz w:val="18"/>
              </w:rPr>
              <w:t>50</w:t>
            </w:r>
          </w:p>
        </w:tc>
      </w:tr>
      <w:tr>
        <w:trPr>
          <w:trHeight w:val="302" w:hRule="atLeast"/>
        </w:trPr>
        <w:tc>
          <w:tcPr>
            <w:tcW w:w="4296" w:type="dxa"/>
            <w:tcBorders>
              <w:top w:val="dashSmallGap" w:sz="4" w:space="0" w:color="000000"/>
              <w:left w:val="single" w:sz="12" w:space="0" w:color="000000"/>
              <w:bottom w:val="dashSmallGap" w:sz="4" w:space="0" w:color="000000"/>
              <w:right w:val="dashed" w:sz="8" w:space="0" w:color="000000"/>
            </w:tcBorders>
          </w:tcPr>
          <w:p>
            <w:pPr>
              <w:pStyle w:val="TableParagraph"/>
              <w:spacing w:before="47"/>
              <w:ind w:left="107"/>
              <w:rPr>
                <w:sz w:val="18"/>
              </w:rPr>
            </w:pPr>
            <w:r>
              <w:rPr>
                <w:sz w:val="18"/>
              </w:rPr>
              <w:t>Ringwood</w:t>
            </w:r>
            <w:r>
              <w:rPr>
                <w:spacing w:val="-5"/>
                <w:sz w:val="18"/>
              </w:rPr>
              <w:t> </w:t>
            </w:r>
            <w:r>
              <w:rPr>
                <w:sz w:val="18"/>
              </w:rPr>
              <w:t>Metropolitan Activity</w:t>
            </w:r>
            <w:r>
              <w:rPr>
                <w:spacing w:val="-2"/>
                <w:sz w:val="18"/>
              </w:rPr>
              <w:t> Centre</w:t>
            </w:r>
          </w:p>
        </w:tc>
        <w:tc>
          <w:tcPr>
            <w:tcW w:w="1210" w:type="dxa"/>
            <w:tcBorders>
              <w:top w:val="dashSmallGap" w:sz="4" w:space="0" w:color="000000"/>
              <w:left w:val="dashed" w:sz="8" w:space="0" w:color="000000"/>
              <w:bottom w:val="dashSmallGap" w:sz="4" w:space="0" w:color="000000"/>
              <w:right w:val="nil"/>
            </w:tcBorders>
          </w:tcPr>
          <w:p>
            <w:pPr>
              <w:pStyle w:val="TableParagraph"/>
              <w:spacing w:before="47"/>
              <w:ind w:right="80"/>
              <w:jc w:val="right"/>
              <w:rPr>
                <w:sz w:val="18"/>
              </w:rPr>
            </w:pPr>
            <w:r>
              <w:rPr>
                <w:spacing w:val="-5"/>
                <w:sz w:val="18"/>
              </w:rPr>
              <w:t>600</w:t>
            </w:r>
          </w:p>
        </w:tc>
        <w:tc>
          <w:tcPr>
            <w:tcW w:w="1020" w:type="dxa"/>
            <w:tcBorders>
              <w:top w:val="dashSmallGap" w:sz="4" w:space="0" w:color="000000"/>
              <w:left w:val="nil"/>
              <w:bottom w:val="dashSmallGap" w:sz="4" w:space="0" w:color="000000"/>
              <w:right w:val="nil"/>
            </w:tcBorders>
          </w:tcPr>
          <w:p>
            <w:pPr>
              <w:pStyle w:val="TableParagraph"/>
              <w:spacing w:before="47"/>
              <w:ind w:right="90"/>
              <w:jc w:val="right"/>
              <w:rPr>
                <w:sz w:val="18"/>
              </w:rPr>
            </w:pPr>
            <w:r>
              <w:rPr>
                <w:spacing w:val="-5"/>
                <w:sz w:val="18"/>
              </w:rPr>
              <w:t>600</w:t>
            </w:r>
          </w:p>
        </w:tc>
        <w:tc>
          <w:tcPr>
            <w:tcW w:w="1020" w:type="dxa"/>
            <w:tcBorders>
              <w:top w:val="dashSmallGap" w:sz="4" w:space="0" w:color="000000"/>
              <w:left w:val="nil"/>
              <w:bottom w:val="dashSmallGap" w:sz="4" w:space="0" w:color="000000"/>
              <w:right w:val="nil"/>
            </w:tcBorders>
          </w:tcPr>
          <w:p>
            <w:pPr>
              <w:pStyle w:val="TableParagraph"/>
              <w:spacing w:before="11"/>
              <w:rPr>
                <w:b/>
                <w:sz w:val="8"/>
              </w:rPr>
            </w:pPr>
          </w:p>
          <w:p>
            <w:pPr>
              <w:pStyle w:val="TableParagraph"/>
              <w:tabs>
                <w:tab w:pos="1029" w:val="left" w:leader="none"/>
              </w:tabs>
              <w:spacing w:line="115" w:lineRule="exact"/>
              <w:ind w:left="9" w:right="-87"/>
              <w:rPr>
                <w:sz w:val="11"/>
              </w:rPr>
            </w:pPr>
            <w:r>
              <w:rPr>
                <w:position w:val="-1"/>
                <w:sz w:val="11"/>
              </w:rPr>
              <w:pict>
                <v:group style="width:.5pt;height:5.8pt;mso-position-horizontal-relative:char;mso-position-vertical-relative:line" id="docshapegroup265" coordorigin="0,0" coordsize="10,116">
                  <v:shape style="position:absolute;left:0;top:0;width:10;height:116" id="docshape266"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267" coordorigin="0,0" coordsize="10,116">
                  <v:shape style="position:absolute;left:0;top:0;width:10;height:116" id="docshape268" coordorigin="0,0" coordsize="10,116" path="m10,77l0,77,0,115,10,115,10,77xm10,0l0,0,0,38,10,38,10,0xe" filled="true" fillcolor="#000000" stroked="false">
                    <v:path arrowok="t"/>
                    <v:fill type="solid"/>
                  </v:shape>
                </v:group>
              </w:pict>
            </w:r>
            <w:r>
              <w:rPr>
                <w:position w:val="-1"/>
                <w:sz w:val="11"/>
              </w:rPr>
            </w:r>
          </w:p>
        </w:tc>
        <w:tc>
          <w:tcPr>
            <w:tcW w:w="1022" w:type="dxa"/>
            <w:tcBorders>
              <w:top w:val="dashSmallGap" w:sz="4" w:space="0" w:color="000000"/>
              <w:left w:val="nil"/>
              <w:bottom w:val="dashSmallGap" w:sz="4" w:space="0" w:color="000000"/>
              <w:right w:val="nil"/>
            </w:tcBorders>
          </w:tcPr>
          <w:p>
            <w:pPr>
              <w:pStyle w:val="TableParagraph"/>
              <w:spacing w:before="11"/>
              <w:rPr>
                <w:b/>
                <w:sz w:val="8"/>
              </w:rPr>
            </w:pPr>
          </w:p>
          <w:p>
            <w:pPr>
              <w:pStyle w:val="TableParagraph"/>
              <w:spacing w:line="115" w:lineRule="exact"/>
              <w:ind w:left="1031" w:right="-87"/>
              <w:rPr>
                <w:sz w:val="11"/>
              </w:rPr>
            </w:pPr>
            <w:r>
              <w:rPr>
                <w:position w:val="-1"/>
                <w:sz w:val="11"/>
              </w:rPr>
              <w:pict>
                <v:group style="width:.5pt;height:5.8pt;mso-position-horizontal-relative:char;mso-position-vertical-relative:line" id="docshapegroup269" coordorigin="0,0" coordsize="10,116">
                  <v:shape style="position:absolute;left:0;top:0;width:10;height:116" id="docshape270" coordorigin="0,0" coordsize="10,116" path="m10,77l0,77,0,115,10,115,10,77xm10,0l0,0,0,38,10,38,10,0xe" filled="true" fillcolor="#000000" stroked="false">
                    <v:path arrowok="t"/>
                    <v:fill type="solid"/>
                  </v:shape>
                </v:group>
              </w:pict>
            </w:r>
            <w:r>
              <w:rPr>
                <w:position w:val="-1"/>
                <w:sz w:val="11"/>
              </w:rPr>
            </w:r>
          </w:p>
        </w:tc>
        <w:tc>
          <w:tcPr>
            <w:tcW w:w="1020" w:type="dxa"/>
            <w:tcBorders>
              <w:top w:val="dashSmallGap" w:sz="4" w:space="0" w:color="000000"/>
              <w:left w:val="nil"/>
              <w:bottom w:val="dashSmallGap" w:sz="4" w:space="0" w:color="000000"/>
              <w:right w:val="nil"/>
            </w:tcBorders>
          </w:tcPr>
          <w:p>
            <w:pPr>
              <w:pStyle w:val="TableParagraph"/>
              <w:spacing w:before="11"/>
              <w:rPr>
                <w:b/>
                <w:sz w:val="8"/>
              </w:rPr>
            </w:pPr>
          </w:p>
          <w:p>
            <w:pPr>
              <w:pStyle w:val="TableParagraph"/>
              <w:spacing w:line="115" w:lineRule="exact"/>
              <w:ind w:left="1029" w:right="-87"/>
              <w:rPr>
                <w:sz w:val="11"/>
              </w:rPr>
            </w:pPr>
            <w:r>
              <w:rPr>
                <w:position w:val="-1"/>
                <w:sz w:val="11"/>
              </w:rPr>
              <w:pict>
                <v:group style="width:.5pt;height:5.8pt;mso-position-horizontal-relative:char;mso-position-vertical-relative:line" id="docshapegroup271" coordorigin="0,0" coordsize="10,116">
                  <v:shape style="position:absolute;left:0;top:0;width:10;height:116" id="docshape272" coordorigin="0,0" coordsize="10,116" path="m10,77l0,77,0,115,10,115,10,77xm10,0l0,0,0,38,10,38,10,0xe" filled="true" fillcolor="#000000" stroked="false">
                    <v:path arrowok="t"/>
                    <v:fill type="solid"/>
                  </v:shape>
                </v:group>
              </w:pict>
            </w:r>
            <w:r>
              <w:rPr>
                <w:position w:val="-1"/>
                <w:sz w:val="11"/>
              </w:rPr>
            </w:r>
          </w:p>
        </w:tc>
        <w:tc>
          <w:tcPr>
            <w:tcW w:w="1022" w:type="dxa"/>
            <w:tcBorders>
              <w:top w:val="dashed" w:sz="4" w:space="0" w:color="000000"/>
              <w:left w:val="nil"/>
              <w:bottom w:val="dashed" w:sz="4" w:space="0" w:color="000000"/>
              <w:right w:val="nil"/>
            </w:tcBorders>
          </w:tcPr>
          <w:p>
            <w:pPr>
              <w:pStyle w:val="TableParagraph"/>
              <w:spacing w:before="47"/>
              <w:ind w:right="93"/>
              <w:jc w:val="right"/>
              <w:rPr>
                <w:sz w:val="18"/>
              </w:rPr>
            </w:pPr>
            <w:r>
              <w:rPr>
                <w:spacing w:val="-5"/>
                <w:sz w:val="18"/>
              </w:rPr>
              <w:t>600</w:t>
            </w:r>
          </w:p>
        </w:tc>
        <w:tc>
          <w:tcPr>
            <w:tcW w:w="1024" w:type="dxa"/>
            <w:tcBorders>
              <w:top w:val="dashed" w:sz="4" w:space="0" w:color="000000"/>
              <w:left w:val="nil"/>
              <w:bottom w:val="dashed" w:sz="4" w:space="0" w:color="000000"/>
              <w:right w:val="dashed" w:sz="12" w:space="0" w:color="000000"/>
            </w:tcBorders>
          </w:tcPr>
          <w:p>
            <w:pPr>
              <w:pStyle w:val="TableParagraph"/>
              <w:spacing w:before="11"/>
              <w:rPr>
                <w:b/>
                <w:sz w:val="8"/>
              </w:rPr>
            </w:pPr>
          </w:p>
          <w:p>
            <w:pPr>
              <w:pStyle w:val="TableParagraph"/>
              <w:spacing w:line="115" w:lineRule="exact"/>
              <w:ind w:left="-5"/>
              <w:rPr>
                <w:sz w:val="11"/>
              </w:rPr>
            </w:pPr>
            <w:r>
              <w:rPr>
                <w:position w:val="-1"/>
                <w:sz w:val="11"/>
              </w:rPr>
              <w:pict>
                <v:group style="width:.5pt;height:5.8pt;mso-position-horizontal-relative:char;mso-position-vertical-relative:line" id="docshapegroup273" coordorigin="0,0" coordsize="10,116">
                  <v:shape style="position:absolute;left:0;top:0;width:10;height:116" id="docshape274" coordorigin="0,0" coordsize="10,116" path="m10,77l0,77,0,115,10,115,10,77xm10,0l0,0,0,38,10,38,10,0xe" filled="true" fillcolor="#000000" stroked="false">
                    <v:path arrowok="t"/>
                    <v:fill type="solid"/>
                  </v:shape>
                </v:group>
              </w:pict>
            </w:r>
            <w:r>
              <w:rPr>
                <w:position w:val="-1"/>
                <w:sz w:val="11"/>
              </w:rPr>
            </w:r>
          </w:p>
        </w:tc>
        <w:tc>
          <w:tcPr>
            <w:tcW w:w="1250" w:type="dxa"/>
            <w:tcBorders>
              <w:top w:val="dashed" w:sz="4" w:space="0" w:color="000000"/>
              <w:left w:val="dashed" w:sz="12" w:space="0" w:color="000000"/>
              <w:bottom w:val="dashed" w:sz="4" w:space="0" w:color="000000"/>
              <w:right w:val="dashed" w:sz="12" w:space="0" w:color="000000"/>
            </w:tcBorders>
          </w:tcPr>
          <w:p>
            <w:pPr>
              <w:pStyle w:val="TableParagraph"/>
              <w:spacing w:before="47"/>
              <w:ind w:right="74"/>
              <w:jc w:val="right"/>
              <w:rPr>
                <w:sz w:val="18"/>
              </w:rPr>
            </w:pPr>
            <w:r>
              <w:rPr>
                <w:spacing w:val="-5"/>
                <w:sz w:val="18"/>
              </w:rPr>
              <w:t>600</w:t>
            </w:r>
          </w:p>
        </w:tc>
        <w:tc>
          <w:tcPr>
            <w:tcW w:w="1248" w:type="dxa"/>
            <w:tcBorders>
              <w:top w:val="dashed" w:sz="4" w:space="0" w:color="000000"/>
              <w:left w:val="dashed" w:sz="12" w:space="0" w:color="000000"/>
              <w:bottom w:val="dashed" w:sz="4" w:space="0" w:color="000000"/>
              <w:right w:val="dashed" w:sz="12" w:space="0" w:color="000000"/>
            </w:tcBorders>
          </w:tcPr>
          <w:p>
            <w:pPr>
              <w:pStyle w:val="TableParagraph"/>
              <w:spacing w:before="47"/>
              <w:ind w:right="72"/>
              <w:jc w:val="right"/>
              <w:rPr>
                <w:sz w:val="18"/>
              </w:rPr>
            </w:pPr>
            <w:r>
              <w:rPr>
                <w:spacing w:val="-5"/>
                <w:sz w:val="18"/>
              </w:rPr>
              <w:t>600</w:t>
            </w:r>
          </w:p>
        </w:tc>
        <w:tc>
          <w:tcPr>
            <w:tcW w:w="1250" w:type="dxa"/>
            <w:tcBorders>
              <w:top w:val="dashed" w:sz="4" w:space="0" w:color="000000"/>
              <w:left w:val="dashed" w:sz="12" w:space="0" w:color="000000"/>
              <w:bottom w:val="dashed" w:sz="4" w:space="0" w:color="000000"/>
              <w:right w:val="dashed" w:sz="12" w:space="0" w:color="000000"/>
            </w:tcBorders>
          </w:tcPr>
          <w:p>
            <w:pPr>
              <w:pStyle w:val="TableParagraph"/>
              <w:spacing w:before="47"/>
              <w:ind w:right="74"/>
              <w:jc w:val="right"/>
              <w:rPr>
                <w:sz w:val="18"/>
              </w:rPr>
            </w:pPr>
            <w:r>
              <w:rPr>
                <w:spacing w:val="-5"/>
                <w:sz w:val="18"/>
              </w:rPr>
              <w:t>600</w:t>
            </w:r>
          </w:p>
        </w:tc>
      </w:tr>
      <w:tr>
        <w:trPr>
          <w:trHeight w:val="302" w:hRule="atLeast"/>
        </w:trPr>
        <w:tc>
          <w:tcPr>
            <w:tcW w:w="4296" w:type="dxa"/>
            <w:tcBorders>
              <w:top w:val="dashSmallGap" w:sz="4" w:space="0" w:color="000000"/>
              <w:left w:val="single" w:sz="12" w:space="0" w:color="000000"/>
              <w:bottom w:val="dashSmallGap" w:sz="4" w:space="0" w:color="000000"/>
              <w:right w:val="dashed" w:sz="8" w:space="0" w:color="000000"/>
            </w:tcBorders>
          </w:tcPr>
          <w:p>
            <w:pPr>
              <w:pStyle w:val="TableParagraph"/>
              <w:spacing w:before="47"/>
              <w:ind w:left="107"/>
              <w:rPr>
                <w:sz w:val="18"/>
              </w:rPr>
            </w:pPr>
            <w:r>
              <w:rPr>
                <w:sz w:val="18"/>
              </w:rPr>
              <w:t>Bus</w:t>
            </w:r>
            <w:r>
              <w:rPr>
                <w:spacing w:val="1"/>
                <w:sz w:val="18"/>
              </w:rPr>
              <w:t> </w:t>
            </w:r>
            <w:r>
              <w:rPr>
                <w:spacing w:val="-2"/>
                <w:sz w:val="18"/>
              </w:rPr>
              <w:t>Shelters</w:t>
            </w:r>
          </w:p>
        </w:tc>
        <w:tc>
          <w:tcPr>
            <w:tcW w:w="1210" w:type="dxa"/>
            <w:tcBorders>
              <w:top w:val="dashSmallGap" w:sz="4" w:space="0" w:color="000000"/>
              <w:left w:val="dashed" w:sz="8" w:space="0" w:color="000000"/>
              <w:bottom w:val="dashSmallGap" w:sz="4" w:space="0" w:color="000000"/>
              <w:right w:val="nil"/>
            </w:tcBorders>
          </w:tcPr>
          <w:p>
            <w:pPr>
              <w:pStyle w:val="TableParagraph"/>
              <w:spacing w:before="47"/>
              <w:ind w:right="81"/>
              <w:jc w:val="right"/>
              <w:rPr>
                <w:sz w:val="18"/>
              </w:rPr>
            </w:pPr>
            <w:r>
              <w:rPr>
                <w:spacing w:val="-5"/>
                <w:sz w:val="18"/>
              </w:rPr>
              <w:t>40</w:t>
            </w:r>
          </w:p>
        </w:tc>
        <w:tc>
          <w:tcPr>
            <w:tcW w:w="1020" w:type="dxa"/>
            <w:tcBorders>
              <w:top w:val="dashSmallGap" w:sz="4" w:space="0" w:color="000000"/>
              <w:left w:val="nil"/>
              <w:bottom w:val="dashSmallGap" w:sz="4" w:space="0" w:color="000000"/>
              <w:right w:val="nil"/>
            </w:tcBorders>
          </w:tcPr>
          <w:p>
            <w:pPr>
              <w:pStyle w:val="TableParagraph"/>
              <w:spacing w:before="47"/>
              <w:ind w:right="91"/>
              <w:jc w:val="right"/>
              <w:rPr>
                <w:sz w:val="18"/>
              </w:rPr>
            </w:pPr>
            <w:r>
              <w:rPr>
                <w:spacing w:val="-5"/>
                <w:sz w:val="18"/>
              </w:rPr>
              <w:t>40</w:t>
            </w:r>
          </w:p>
        </w:tc>
        <w:tc>
          <w:tcPr>
            <w:tcW w:w="1020" w:type="dxa"/>
            <w:tcBorders>
              <w:top w:val="dashSmallGap" w:sz="4" w:space="0" w:color="000000"/>
              <w:left w:val="nil"/>
              <w:bottom w:val="dashSmallGap" w:sz="4" w:space="0" w:color="000000"/>
              <w:right w:val="nil"/>
            </w:tcBorders>
          </w:tcPr>
          <w:p>
            <w:pPr>
              <w:pStyle w:val="TableParagraph"/>
              <w:spacing w:before="6"/>
              <w:rPr>
                <w:b/>
                <w:sz w:val="8"/>
              </w:rPr>
            </w:pPr>
          </w:p>
          <w:p>
            <w:pPr>
              <w:pStyle w:val="TableParagraph"/>
              <w:tabs>
                <w:tab w:pos="1029" w:val="left" w:leader="none"/>
              </w:tabs>
              <w:spacing w:line="115" w:lineRule="exact"/>
              <w:ind w:left="9" w:right="-87"/>
              <w:rPr>
                <w:sz w:val="11"/>
              </w:rPr>
            </w:pPr>
            <w:r>
              <w:rPr>
                <w:position w:val="-1"/>
                <w:sz w:val="11"/>
              </w:rPr>
              <w:pict>
                <v:group style="width:.5pt;height:5.8pt;mso-position-horizontal-relative:char;mso-position-vertical-relative:line" id="docshapegroup275" coordorigin="0,0" coordsize="10,116">
                  <v:shape style="position:absolute;left:0;top:0;width:10;height:116" id="docshape276"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277" coordorigin="0,0" coordsize="10,116">
                  <v:shape style="position:absolute;left:0;top:0;width:10;height:116" id="docshape278" coordorigin="0,0" coordsize="10,116" path="m10,77l0,77,0,115,10,115,10,77xm10,0l0,0,0,38,10,38,10,0xe" filled="true" fillcolor="#000000" stroked="false">
                    <v:path arrowok="t"/>
                    <v:fill type="solid"/>
                  </v:shape>
                </v:group>
              </w:pict>
            </w:r>
            <w:r>
              <w:rPr>
                <w:position w:val="-1"/>
                <w:sz w:val="11"/>
              </w:rPr>
            </w:r>
          </w:p>
        </w:tc>
        <w:tc>
          <w:tcPr>
            <w:tcW w:w="1022" w:type="dxa"/>
            <w:tcBorders>
              <w:top w:val="dashSmallGap" w:sz="4" w:space="0" w:color="000000"/>
              <w:left w:val="nil"/>
              <w:bottom w:val="dashSmallGap" w:sz="4" w:space="0" w:color="000000"/>
              <w:right w:val="nil"/>
            </w:tcBorders>
          </w:tcPr>
          <w:p>
            <w:pPr>
              <w:pStyle w:val="TableParagraph"/>
              <w:spacing w:before="6"/>
              <w:rPr>
                <w:b/>
                <w:sz w:val="8"/>
              </w:rPr>
            </w:pPr>
          </w:p>
          <w:p>
            <w:pPr>
              <w:pStyle w:val="TableParagraph"/>
              <w:spacing w:line="115" w:lineRule="exact"/>
              <w:ind w:left="1031" w:right="-87"/>
              <w:rPr>
                <w:sz w:val="11"/>
              </w:rPr>
            </w:pPr>
            <w:r>
              <w:rPr>
                <w:position w:val="-1"/>
                <w:sz w:val="11"/>
              </w:rPr>
              <w:pict>
                <v:group style="width:.5pt;height:5.8pt;mso-position-horizontal-relative:char;mso-position-vertical-relative:line" id="docshapegroup279" coordorigin="0,0" coordsize="10,116">
                  <v:shape style="position:absolute;left:0;top:0;width:10;height:116" id="docshape280" coordorigin="0,0" coordsize="10,116" path="m10,77l0,77,0,115,10,115,10,77xm10,0l0,0,0,38,10,38,10,0xe" filled="true" fillcolor="#000000" stroked="false">
                    <v:path arrowok="t"/>
                    <v:fill type="solid"/>
                  </v:shape>
                </v:group>
              </w:pict>
            </w:r>
            <w:r>
              <w:rPr>
                <w:position w:val="-1"/>
                <w:sz w:val="11"/>
              </w:rPr>
            </w:r>
          </w:p>
        </w:tc>
        <w:tc>
          <w:tcPr>
            <w:tcW w:w="1020" w:type="dxa"/>
            <w:tcBorders>
              <w:top w:val="dashSmallGap" w:sz="4" w:space="0" w:color="000000"/>
              <w:left w:val="nil"/>
              <w:bottom w:val="dashSmallGap" w:sz="4" w:space="0" w:color="000000"/>
              <w:right w:val="nil"/>
            </w:tcBorders>
          </w:tcPr>
          <w:p>
            <w:pPr>
              <w:pStyle w:val="TableParagraph"/>
              <w:spacing w:before="6"/>
              <w:rPr>
                <w:b/>
                <w:sz w:val="8"/>
              </w:rPr>
            </w:pPr>
          </w:p>
          <w:p>
            <w:pPr>
              <w:pStyle w:val="TableParagraph"/>
              <w:spacing w:line="115" w:lineRule="exact"/>
              <w:ind w:left="1029" w:right="-87"/>
              <w:rPr>
                <w:sz w:val="11"/>
              </w:rPr>
            </w:pPr>
            <w:r>
              <w:rPr>
                <w:position w:val="-1"/>
                <w:sz w:val="11"/>
              </w:rPr>
              <w:pict>
                <v:group style="width:.5pt;height:5.8pt;mso-position-horizontal-relative:char;mso-position-vertical-relative:line" id="docshapegroup281" coordorigin="0,0" coordsize="10,116">
                  <v:shape style="position:absolute;left:0;top:0;width:10;height:116" id="docshape282" coordorigin="0,0" coordsize="10,116" path="m10,77l0,77,0,115,10,115,10,77xm10,0l0,0,0,38,10,38,10,0xe" filled="true" fillcolor="#000000" stroked="false">
                    <v:path arrowok="t"/>
                    <v:fill type="solid"/>
                  </v:shape>
                </v:group>
              </w:pict>
            </w:r>
            <w:r>
              <w:rPr>
                <w:position w:val="-1"/>
                <w:sz w:val="11"/>
              </w:rPr>
            </w:r>
          </w:p>
        </w:tc>
        <w:tc>
          <w:tcPr>
            <w:tcW w:w="1022" w:type="dxa"/>
            <w:tcBorders>
              <w:top w:val="dashed" w:sz="4" w:space="0" w:color="000000"/>
              <w:left w:val="nil"/>
              <w:bottom w:val="dashed" w:sz="4" w:space="0" w:color="000000"/>
              <w:right w:val="nil"/>
            </w:tcBorders>
          </w:tcPr>
          <w:p>
            <w:pPr>
              <w:pStyle w:val="TableParagraph"/>
              <w:spacing w:before="6"/>
              <w:rPr>
                <w:b/>
                <w:sz w:val="8"/>
              </w:rPr>
            </w:pPr>
          </w:p>
          <w:p>
            <w:pPr>
              <w:pStyle w:val="TableParagraph"/>
              <w:spacing w:line="115" w:lineRule="exact"/>
              <w:ind w:left="1032" w:right="-87"/>
              <w:rPr>
                <w:sz w:val="11"/>
              </w:rPr>
            </w:pPr>
            <w:r>
              <w:rPr>
                <w:position w:val="-1"/>
                <w:sz w:val="11"/>
              </w:rPr>
              <w:pict>
                <v:group style="width:.5pt;height:5.8pt;mso-position-horizontal-relative:char;mso-position-vertical-relative:line" id="docshapegroup283" coordorigin="0,0" coordsize="10,116">
                  <v:shape style="position:absolute;left:0;top:0;width:10;height:116" id="docshape284" coordorigin="0,0" coordsize="10,116" path="m10,77l0,77,0,115,10,115,10,77xm10,0l0,0,0,38,10,38,10,0xe" filled="true" fillcolor="#000000" stroked="false">
                    <v:path arrowok="t"/>
                    <v:fill type="solid"/>
                  </v:shape>
                </v:group>
              </w:pict>
            </w:r>
            <w:r>
              <w:rPr>
                <w:position w:val="-1"/>
                <w:sz w:val="11"/>
              </w:rPr>
            </w:r>
          </w:p>
        </w:tc>
        <w:tc>
          <w:tcPr>
            <w:tcW w:w="1024" w:type="dxa"/>
            <w:tcBorders>
              <w:top w:val="dashed" w:sz="4" w:space="0" w:color="000000"/>
              <w:left w:val="nil"/>
              <w:bottom w:val="dashed" w:sz="4" w:space="0" w:color="000000"/>
              <w:right w:val="dashed" w:sz="12" w:space="0" w:color="000000"/>
            </w:tcBorders>
          </w:tcPr>
          <w:p>
            <w:pPr>
              <w:pStyle w:val="TableParagraph"/>
              <w:spacing w:before="47"/>
              <w:ind w:right="74"/>
              <w:jc w:val="right"/>
              <w:rPr>
                <w:sz w:val="18"/>
              </w:rPr>
            </w:pPr>
            <w:r>
              <w:rPr>
                <w:spacing w:val="-5"/>
                <w:sz w:val="18"/>
              </w:rPr>
              <w:t>40</w:t>
            </w:r>
          </w:p>
        </w:tc>
        <w:tc>
          <w:tcPr>
            <w:tcW w:w="1250" w:type="dxa"/>
            <w:tcBorders>
              <w:top w:val="dashed" w:sz="4" w:space="0" w:color="000000"/>
              <w:left w:val="dashed" w:sz="12" w:space="0" w:color="000000"/>
              <w:bottom w:val="dashed" w:sz="4" w:space="0" w:color="000000"/>
              <w:right w:val="dashed" w:sz="12" w:space="0" w:color="000000"/>
            </w:tcBorders>
          </w:tcPr>
          <w:p>
            <w:pPr>
              <w:pStyle w:val="TableParagraph"/>
              <w:spacing w:before="47"/>
              <w:ind w:right="74"/>
              <w:jc w:val="right"/>
              <w:rPr>
                <w:sz w:val="18"/>
              </w:rPr>
            </w:pPr>
            <w:r>
              <w:rPr>
                <w:spacing w:val="-5"/>
                <w:sz w:val="18"/>
              </w:rPr>
              <w:t>40</w:t>
            </w:r>
          </w:p>
        </w:tc>
        <w:tc>
          <w:tcPr>
            <w:tcW w:w="1248" w:type="dxa"/>
            <w:tcBorders>
              <w:top w:val="dashed" w:sz="4" w:space="0" w:color="000000"/>
              <w:left w:val="dashed" w:sz="12" w:space="0" w:color="000000"/>
              <w:bottom w:val="dashed" w:sz="4" w:space="0" w:color="000000"/>
              <w:right w:val="dashed" w:sz="12" w:space="0" w:color="000000"/>
            </w:tcBorders>
          </w:tcPr>
          <w:p>
            <w:pPr>
              <w:pStyle w:val="TableParagraph"/>
              <w:spacing w:before="47"/>
              <w:ind w:right="71"/>
              <w:jc w:val="right"/>
              <w:rPr>
                <w:sz w:val="18"/>
              </w:rPr>
            </w:pPr>
            <w:r>
              <w:rPr>
                <w:spacing w:val="-5"/>
                <w:sz w:val="18"/>
              </w:rPr>
              <w:t>40</w:t>
            </w:r>
          </w:p>
        </w:tc>
        <w:tc>
          <w:tcPr>
            <w:tcW w:w="1250" w:type="dxa"/>
            <w:tcBorders>
              <w:top w:val="dashed" w:sz="4" w:space="0" w:color="000000"/>
              <w:left w:val="dashed" w:sz="12" w:space="0" w:color="000000"/>
              <w:bottom w:val="dashed" w:sz="4" w:space="0" w:color="000000"/>
              <w:right w:val="dashed" w:sz="12" w:space="0" w:color="000000"/>
            </w:tcBorders>
          </w:tcPr>
          <w:p>
            <w:pPr>
              <w:pStyle w:val="TableParagraph"/>
              <w:spacing w:before="47"/>
              <w:ind w:right="73"/>
              <w:jc w:val="right"/>
              <w:rPr>
                <w:sz w:val="18"/>
              </w:rPr>
            </w:pPr>
            <w:r>
              <w:rPr>
                <w:spacing w:val="-5"/>
                <w:sz w:val="18"/>
              </w:rPr>
              <w:t>40</w:t>
            </w:r>
          </w:p>
        </w:tc>
      </w:tr>
      <w:tr>
        <w:trPr>
          <w:trHeight w:val="301" w:hRule="atLeast"/>
        </w:trPr>
        <w:tc>
          <w:tcPr>
            <w:tcW w:w="4296" w:type="dxa"/>
            <w:tcBorders>
              <w:top w:val="dashSmallGap" w:sz="4" w:space="0" w:color="000000"/>
              <w:left w:val="single" w:sz="12" w:space="0" w:color="000000"/>
              <w:bottom w:val="dashSmallGap" w:sz="4" w:space="0" w:color="000000"/>
              <w:right w:val="dashed" w:sz="8" w:space="0" w:color="000000"/>
            </w:tcBorders>
          </w:tcPr>
          <w:p>
            <w:pPr>
              <w:pStyle w:val="TableParagraph"/>
              <w:spacing w:before="47"/>
              <w:ind w:left="107"/>
              <w:rPr>
                <w:sz w:val="18"/>
              </w:rPr>
            </w:pPr>
            <w:r>
              <w:rPr>
                <w:sz w:val="18"/>
              </w:rPr>
              <w:t>Carbon</w:t>
            </w:r>
            <w:r>
              <w:rPr>
                <w:spacing w:val="1"/>
                <w:sz w:val="18"/>
              </w:rPr>
              <w:t> </w:t>
            </w:r>
            <w:r>
              <w:rPr>
                <w:sz w:val="18"/>
              </w:rPr>
              <w:t>Neutral - </w:t>
            </w:r>
            <w:r>
              <w:rPr>
                <w:spacing w:val="-2"/>
                <w:sz w:val="18"/>
              </w:rPr>
              <w:t>Greenpower</w:t>
            </w:r>
          </w:p>
        </w:tc>
        <w:tc>
          <w:tcPr>
            <w:tcW w:w="1210" w:type="dxa"/>
            <w:tcBorders>
              <w:top w:val="dashSmallGap" w:sz="4" w:space="0" w:color="000000"/>
              <w:left w:val="dashed" w:sz="8" w:space="0" w:color="000000"/>
              <w:bottom w:val="dashSmallGap" w:sz="4" w:space="0" w:color="000000"/>
              <w:right w:val="nil"/>
            </w:tcBorders>
          </w:tcPr>
          <w:p>
            <w:pPr>
              <w:pStyle w:val="TableParagraph"/>
              <w:spacing w:before="47"/>
              <w:ind w:right="81"/>
              <w:jc w:val="right"/>
              <w:rPr>
                <w:sz w:val="18"/>
              </w:rPr>
            </w:pPr>
            <w:r>
              <w:rPr>
                <w:spacing w:val="-5"/>
                <w:sz w:val="18"/>
              </w:rPr>
              <w:t>75</w:t>
            </w:r>
          </w:p>
        </w:tc>
        <w:tc>
          <w:tcPr>
            <w:tcW w:w="1020" w:type="dxa"/>
            <w:tcBorders>
              <w:top w:val="dashSmallGap" w:sz="4" w:space="0" w:color="000000"/>
              <w:left w:val="nil"/>
              <w:bottom w:val="dashSmallGap" w:sz="4" w:space="0" w:color="000000"/>
              <w:right w:val="nil"/>
            </w:tcBorders>
          </w:tcPr>
          <w:p>
            <w:pPr>
              <w:pStyle w:val="TableParagraph"/>
              <w:spacing w:before="47"/>
              <w:ind w:right="91"/>
              <w:jc w:val="right"/>
              <w:rPr>
                <w:sz w:val="18"/>
              </w:rPr>
            </w:pPr>
            <w:r>
              <w:rPr>
                <w:spacing w:val="-5"/>
                <w:sz w:val="18"/>
              </w:rPr>
              <w:t>75</w:t>
            </w:r>
          </w:p>
        </w:tc>
        <w:tc>
          <w:tcPr>
            <w:tcW w:w="1020" w:type="dxa"/>
            <w:tcBorders>
              <w:top w:val="dashSmallGap" w:sz="4" w:space="0" w:color="000000"/>
              <w:left w:val="nil"/>
              <w:bottom w:val="dashSmallGap" w:sz="4" w:space="0" w:color="000000"/>
              <w:right w:val="nil"/>
            </w:tcBorders>
          </w:tcPr>
          <w:p>
            <w:pPr>
              <w:pStyle w:val="TableParagraph"/>
              <w:spacing w:before="1"/>
              <w:rPr>
                <w:b/>
                <w:sz w:val="8"/>
              </w:rPr>
            </w:pPr>
          </w:p>
          <w:p>
            <w:pPr>
              <w:pStyle w:val="TableParagraph"/>
              <w:tabs>
                <w:tab w:pos="1029" w:val="left" w:leader="none"/>
              </w:tabs>
              <w:spacing w:line="115" w:lineRule="exact"/>
              <w:ind w:left="9" w:right="-87"/>
              <w:rPr>
                <w:sz w:val="11"/>
              </w:rPr>
            </w:pPr>
            <w:r>
              <w:rPr>
                <w:position w:val="-1"/>
                <w:sz w:val="11"/>
              </w:rPr>
              <w:pict>
                <v:group style="width:.5pt;height:5.8pt;mso-position-horizontal-relative:char;mso-position-vertical-relative:line" id="docshapegroup285" coordorigin="0,0" coordsize="10,116">
                  <v:shape style="position:absolute;left:0;top:0;width:10;height:116" id="docshape286"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287" coordorigin="0,0" coordsize="10,116">
                  <v:shape style="position:absolute;left:0;top:0;width:10;height:116" id="docshape288" coordorigin="0,0" coordsize="10,116" path="m10,77l0,77,0,115,10,115,10,77xm10,0l0,0,0,38,10,38,10,0xe" filled="true" fillcolor="#000000" stroked="false">
                    <v:path arrowok="t"/>
                    <v:fill type="solid"/>
                  </v:shape>
                </v:group>
              </w:pict>
            </w:r>
            <w:r>
              <w:rPr>
                <w:position w:val="-1"/>
                <w:sz w:val="11"/>
              </w:rPr>
            </w:r>
          </w:p>
        </w:tc>
        <w:tc>
          <w:tcPr>
            <w:tcW w:w="1022" w:type="dxa"/>
            <w:tcBorders>
              <w:top w:val="dashSmallGap" w:sz="4" w:space="0" w:color="000000"/>
              <w:left w:val="nil"/>
              <w:bottom w:val="dashSmallGap" w:sz="4" w:space="0" w:color="000000"/>
              <w:right w:val="nil"/>
            </w:tcBorders>
          </w:tcPr>
          <w:p>
            <w:pPr>
              <w:pStyle w:val="TableParagraph"/>
              <w:spacing w:before="1"/>
              <w:rPr>
                <w:b/>
                <w:sz w:val="8"/>
              </w:rPr>
            </w:pPr>
          </w:p>
          <w:p>
            <w:pPr>
              <w:pStyle w:val="TableParagraph"/>
              <w:spacing w:line="115" w:lineRule="exact"/>
              <w:ind w:left="1031" w:right="-87"/>
              <w:rPr>
                <w:sz w:val="11"/>
              </w:rPr>
            </w:pPr>
            <w:r>
              <w:rPr>
                <w:position w:val="-1"/>
                <w:sz w:val="11"/>
              </w:rPr>
              <w:pict>
                <v:group style="width:.5pt;height:5.8pt;mso-position-horizontal-relative:char;mso-position-vertical-relative:line" id="docshapegroup289" coordorigin="0,0" coordsize="10,116">
                  <v:shape style="position:absolute;left:0;top:0;width:10;height:116" id="docshape290" coordorigin="0,0" coordsize="10,116" path="m10,77l0,77,0,115,10,115,10,77xm10,0l0,0,0,38,10,38,10,0xe" filled="true" fillcolor="#000000" stroked="false">
                    <v:path arrowok="t"/>
                    <v:fill type="solid"/>
                  </v:shape>
                </v:group>
              </w:pict>
            </w:r>
            <w:r>
              <w:rPr>
                <w:position w:val="-1"/>
                <w:sz w:val="11"/>
              </w:rPr>
            </w:r>
          </w:p>
        </w:tc>
        <w:tc>
          <w:tcPr>
            <w:tcW w:w="1020" w:type="dxa"/>
            <w:tcBorders>
              <w:top w:val="dashSmallGap" w:sz="4" w:space="0" w:color="000000"/>
              <w:left w:val="nil"/>
              <w:bottom w:val="dashSmallGap" w:sz="4" w:space="0" w:color="000000"/>
              <w:right w:val="nil"/>
            </w:tcBorders>
          </w:tcPr>
          <w:p>
            <w:pPr>
              <w:pStyle w:val="TableParagraph"/>
              <w:spacing w:before="1"/>
              <w:rPr>
                <w:b/>
                <w:sz w:val="8"/>
              </w:rPr>
            </w:pPr>
          </w:p>
          <w:p>
            <w:pPr>
              <w:pStyle w:val="TableParagraph"/>
              <w:spacing w:line="115" w:lineRule="exact"/>
              <w:ind w:left="1029" w:right="-87"/>
              <w:rPr>
                <w:sz w:val="11"/>
              </w:rPr>
            </w:pPr>
            <w:r>
              <w:rPr>
                <w:position w:val="-1"/>
                <w:sz w:val="11"/>
              </w:rPr>
              <w:pict>
                <v:group style="width:.5pt;height:5.8pt;mso-position-horizontal-relative:char;mso-position-vertical-relative:line" id="docshapegroup291" coordorigin="0,0" coordsize="10,116">
                  <v:shape style="position:absolute;left:0;top:0;width:10;height:116" id="docshape292" coordorigin="0,0" coordsize="10,116" path="m10,77l0,77,0,115,10,115,10,77xm10,0l0,0,0,38,10,38,10,0xe" filled="true" fillcolor="#000000" stroked="false">
                    <v:path arrowok="t"/>
                    <v:fill type="solid"/>
                  </v:shape>
                </v:group>
              </w:pict>
            </w:r>
            <w:r>
              <w:rPr>
                <w:position w:val="-1"/>
                <w:sz w:val="11"/>
              </w:rPr>
            </w:r>
          </w:p>
        </w:tc>
        <w:tc>
          <w:tcPr>
            <w:tcW w:w="1022" w:type="dxa"/>
            <w:tcBorders>
              <w:top w:val="dashed" w:sz="4" w:space="0" w:color="000000"/>
              <w:left w:val="nil"/>
              <w:bottom w:val="dashed" w:sz="4" w:space="0" w:color="000000"/>
              <w:right w:val="nil"/>
            </w:tcBorders>
          </w:tcPr>
          <w:p>
            <w:pPr>
              <w:pStyle w:val="TableParagraph"/>
              <w:spacing w:before="47"/>
              <w:ind w:right="92"/>
              <w:jc w:val="right"/>
              <w:rPr>
                <w:sz w:val="18"/>
              </w:rPr>
            </w:pPr>
            <w:r>
              <w:rPr>
                <w:spacing w:val="-5"/>
                <w:sz w:val="18"/>
              </w:rPr>
              <w:t>75</w:t>
            </w:r>
          </w:p>
        </w:tc>
        <w:tc>
          <w:tcPr>
            <w:tcW w:w="1024" w:type="dxa"/>
            <w:tcBorders>
              <w:top w:val="dashed" w:sz="4" w:space="0" w:color="000000"/>
              <w:left w:val="nil"/>
              <w:bottom w:val="dashed" w:sz="4" w:space="0" w:color="000000"/>
              <w:right w:val="dashed" w:sz="12" w:space="0" w:color="000000"/>
            </w:tcBorders>
          </w:tcPr>
          <w:p>
            <w:pPr>
              <w:pStyle w:val="TableParagraph"/>
              <w:spacing w:before="1"/>
              <w:rPr>
                <w:b/>
                <w:sz w:val="8"/>
              </w:rPr>
            </w:pPr>
          </w:p>
          <w:p>
            <w:pPr>
              <w:pStyle w:val="TableParagraph"/>
              <w:spacing w:line="115" w:lineRule="exact"/>
              <w:ind w:left="-5"/>
              <w:rPr>
                <w:sz w:val="11"/>
              </w:rPr>
            </w:pPr>
            <w:r>
              <w:rPr>
                <w:position w:val="-1"/>
                <w:sz w:val="11"/>
              </w:rPr>
              <w:pict>
                <v:group style="width:.5pt;height:5.8pt;mso-position-horizontal-relative:char;mso-position-vertical-relative:line" id="docshapegroup293" coordorigin="0,0" coordsize="10,116">
                  <v:shape style="position:absolute;left:0;top:0;width:10;height:116" id="docshape294" coordorigin="0,0" coordsize="10,116" path="m10,77l0,77,0,115,10,115,10,77xm10,0l0,0,0,38,10,38,10,0xe" filled="true" fillcolor="#000000" stroked="false">
                    <v:path arrowok="t"/>
                    <v:fill type="solid"/>
                  </v:shape>
                </v:group>
              </w:pict>
            </w:r>
            <w:r>
              <w:rPr>
                <w:position w:val="-1"/>
                <w:sz w:val="11"/>
              </w:rPr>
            </w:r>
          </w:p>
        </w:tc>
        <w:tc>
          <w:tcPr>
            <w:tcW w:w="1250" w:type="dxa"/>
            <w:tcBorders>
              <w:top w:val="dashed" w:sz="4" w:space="0" w:color="000000"/>
              <w:left w:val="dashed" w:sz="12" w:space="0" w:color="000000"/>
              <w:bottom w:val="dashed" w:sz="4" w:space="0" w:color="000000"/>
              <w:right w:val="dashed" w:sz="12" w:space="0" w:color="000000"/>
            </w:tcBorders>
          </w:tcPr>
          <w:p>
            <w:pPr>
              <w:pStyle w:val="TableParagraph"/>
              <w:spacing w:before="47"/>
              <w:ind w:right="75"/>
              <w:jc w:val="right"/>
              <w:rPr>
                <w:sz w:val="18"/>
              </w:rPr>
            </w:pPr>
            <w:r>
              <w:rPr>
                <w:spacing w:val="-5"/>
                <w:sz w:val="18"/>
              </w:rPr>
              <w:t>75</w:t>
            </w:r>
          </w:p>
        </w:tc>
        <w:tc>
          <w:tcPr>
            <w:tcW w:w="1248" w:type="dxa"/>
            <w:tcBorders>
              <w:top w:val="dashed" w:sz="4" w:space="0" w:color="000000"/>
              <w:left w:val="dashed" w:sz="12" w:space="0" w:color="000000"/>
              <w:bottom w:val="dashed" w:sz="4" w:space="0" w:color="000000"/>
              <w:right w:val="dashed" w:sz="12" w:space="0" w:color="000000"/>
            </w:tcBorders>
          </w:tcPr>
          <w:p>
            <w:pPr>
              <w:pStyle w:val="TableParagraph"/>
              <w:spacing w:before="47"/>
              <w:ind w:right="71"/>
              <w:jc w:val="right"/>
              <w:rPr>
                <w:sz w:val="18"/>
              </w:rPr>
            </w:pPr>
            <w:r>
              <w:rPr>
                <w:spacing w:val="-5"/>
                <w:sz w:val="18"/>
              </w:rPr>
              <w:t>75</w:t>
            </w:r>
          </w:p>
        </w:tc>
        <w:tc>
          <w:tcPr>
            <w:tcW w:w="1250" w:type="dxa"/>
            <w:tcBorders>
              <w:top w:val="dashed" w:sz="4" w:space="0" w:color="000000"/>
              <w:left w:val="dashed" w:sz="12" w:space="0" w:color="000000"/>
              <w:bottom w:val="dashed" w:sz="4" w:space="0" w:color="000000"/>
              <w:right w:val="dashed" w:sz="12" w:space="0" w:color="000000"/>
            </w:tcBorders>
          </w:tcPr>
          <w:p>
            <w:pPr>
              <w:pStyle w:val="TableParagraph"/>
              <w:spacing w:before="47"/>
              <w:ind w:right="73"/>
              <w:jc w:val="right"/>
              <w:rPr>
                <w:sz w:val="18"/>
              </w:rPr>
            </w:pPr>
            <w:r>
              <w:rPr>
                <w:spacing w:val="-5"/>
                <w:sz w:val="18"/>
              </w:rPr>
              <w:t>75</w:t>
            </w:r>
          </w:p>
        </w:tc>
      </w:tr>
      <w:tr>
        <w:trPr>
          <w:trHeight w:val="301" w:hRule="atLeast"/>
        </w:trPr>
        <w:tc>
          <w:tcPr>
            <w:tcW w:w="4296" w:type="dxa"/>
            <w:tcBorders>
              <w:top w:val="dashSmallGap" w:sz="4" w:space="0" w:color="000000"/>
              <w:left w:val="single" w:sz="12" w:space="0" w:color="000000"/>
              <w:bottom w:val="dashSmallGap" w:sz="4" w:space="0" w:color="000000"/>
              <w:right w:val="dashed" w:sz="8" w:space="0" w:color="000000"/>
            </w:tcBorders>
          </w:tcPr>
          <w:p>
            <w:pPr>
              <w:pStyle w:val="TableParagraph"/>
              <w:spacing w:before="47"/>
              <w:ind w:left="107"/>
              <w:rPr>
                <w:sz w:val="18"/>
              </w:rPr>
            </w:pPr>
            <w:r>
              <w:rPr>
                <w:sz w:val="18"/>
              </w:rPr>
              <w:t>Sustainable</w:t>
            </w:r>
            <w:r>
              <w:rPr>
                <w:spacing w:val="-6"/>
                <w:sz w:val="18"/>
              </w:rPr>
              <w:t> </w:t>
            </w:r>
            <w:r>
              <w:rPr>
                <w:sz w:val="18"/>
              </w:rPr>
              <w:t>Maroondah</w:t>
            </w:r>
            <w:r>
              <w:rPr>
                <w:spacing w:val="1"/>
                <w:sz w:val="18"/>
              </w:rPr>
              <w:t> </w:t>
            </w:r>
            <w:r>
              <w:rPr>
                <w:spacing w:val="-4"/>
                <w:sz w:val="18"/>
              </w:rPr>
              <w:t>Fund</w:t>
            </w:r>
          </w:p>
        </w:tc>
        <w:tc>
          <w:tcPr>
            <w:tcW w:w="1210" w:type="dxa"/>
            <w:tcBorders>
              <w:top w:val="dashSmallGap" w:sz="4" w:space="0" w:color="000000"/>
              <w:left w:val="dashed" w:sz="8" w:space="0" w:color="000000"/>
              <w:bottom w:val="dashSmallGap" w:sz="4" w:space="0" w:color="000000"/>
              <w:right w:val="nil"/>
            </w:tcBorders>
          </w:tcPr>
          <w:p>
            <w:pPr>
              <w:pStyle w:val="TableParagraph"/>
              <w:spacing w:before="47"/>
              <w:ind w:right="80"/>
              <w:jc w:val="right"/>
              <w:rPr>
                <w:sz w:val="18"/>
              </w:rPr>
            </w:pPr>
            <w:r>
              <w:rPr>
                <w:spacing w:val="-5"/>
                <w:sz w:val="18"/>
              </w:rPr>
              <w:t>80</w:t>
            </w:r>
          </w:p>
        </w:tc>
        <w:tc>
          <w:tcPr>
            <w:tcW w:w="1020" w:type="dxa"/>
            <w:tcBorders>
              <w:top w:val="dashSmallGap" w:sz="4" w:space="0" w:color="000000"/>
              <w:left w:val="nil"/>
              <w:bottom w:val="dashSmallGap" w:sz="4" w:space="0" w:color="000000"/>
              <w:right w:val="nil"/>
            </w:tcBorders>
          </w:tcPr>
          <w:p>
            <w:pPr>
              <w:pStyle w:val="TableParagraph"/>
              <w:spacing w:before="47"/>
              <w:ind w:right="90"/>
              <w:jc w:val="right"/>
              <w:rPr>
                <w:sz w:val="18"/>
              </w:rPr>
            </w:pPr>
            <w:r>
              <w:rPr>
                <w:spacing w:val="-5"/>
                <w:sz w:val="18"/>
              </w:rPr>
              <w:t>80</w:t>
            </w:r>
          </w:p>
        </w:tc>
        <w:tc>
          <w:tcPr>
            <w:tcW w:w="1020" w:type="dxa"/>
            <w:tcBorders>
              <w:top w:val="dashSmallGap" w:sz="4" w:space="0" w:color="000000"/>
              <w:left w:val="nil"/>
              <w:bottom w:val="dashSmallGap" w:sz="4" w:space="0" w:color="000000"/>
              <w:right w:val="nil"/>
            </w:tcBorders>
          </w:tcPr>
          <w:p>
            <w:pPr>
              <w:pStyle w:val="TableParagraph"/>
              <w:spacing w:before="8"/>
              <w:rPr>
                <w:b/>
                <w:sz w:val="7"/>
              </w:rPr>
            </w:pPr>
          </w:p>
          <w:p>
            <w:pPr>
              <w:pStyle w:val="TableParagraph"/>
              <w:tabs>
                <w:tab w:pos="1029" w:val="left" w:leader="none"/>
              </w:tabs>
              <w:spacing w:line="115" w:lineRule="exact"/>
              <w:ind w:left="9" w:right="-87"/>
              <w:rPr>
                <w:sz w:val="11"/>
              </w:rPr>
            </w:pPr>
            <w:r>
              <w:rPr>
                <w:position w:val="-1"/>
                <w:sz w:val="11"/>
              </w:rPr>
              <w:pict>
                <v:group style="width:.5pt;height:5.8pt;mso-position-horizontal-relative:char;mso-position-vertical-relative:line" id="docshapegroup295" coordorigin="0,0" coordsize="10,116">
                  <v:shape style="position:absolute;left:0;top:0;width:10;height:116" id="docshape296"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297" coordorigin="0,0" coordsize="10,116">
                  <v:shape style="position:absolute;left:0;top:0;width:10;height:116" id="docshape298" coordorigin="0,0" coordsize="10,116" path="m10,77l0,77,0,115,10,115,10,77xm10,0l0,0,0,38,10,38,10,0xe" filled="true" fillcolor="#000000" stroked="false">
                    <v:path arrowok="t"/>
                    <v:fill type="solid"/>
                  </v:shape>
                </v:group>
              </w:pict>
            </w:r>
            <w:r>
              <w:rPr>
                <w:position w:val="-1"/>
                <w:sz w:val="11"/>
              </w:rPr>
            </w:r>
          </w:p>
        </w:tc>
        <w:tc>
          <w:tcPr>
            <w:tcW w:w="1022" w:type="dxa"/>
            <w:tcBorders>
              <w:top w:val="dashSmallGap" w:sz="4" w:space="0" w:color="000000"/>
              <w:left w:val="nil"/>
              <w:bottom w:val="dashSmallGap" w:sz="4" w:space="0" w:color="000000"/>
              <w:right w:val="nil"/>
            </w:tcBorders>
          </w:tcPr>
          <w:p>
            <w:pPr>
              <w:pStyle w:val="TableParagraph"/>
              <w:spacing w:before="8"/>
              <w:rPr>
                <w:b/>
                <w:sz w:val="7"/>
              </w:rPr>
            </w:pPr>
          </w:p>
          <w:p>
            <w:pPr>
              <w:pStyle w:val="TableParagraph"/>
              <w:spacing w:line="115" w:lineRule="exact"/>
              <w:ind w:left="1031" w:right="-87"/>
              <w:rPr>
                <w:sz w:val="11"/>
              </w:rPr>
            </w:pPr>
            <w:r>
              <w:rPr>
                <w:position w:val="-1"/>
                <w:sz w:val="11"/>
              </w:rPr>
              <w:pict>
                <v:group style="width:.5pt;height:5.8pt;mso-position-horizontal-relative:char;mso-position-vertical-relative:line" id="docshapegroup299" coordorigin="0,0" coordsize="10,116">
                  <v:shape style="position:absolute;left:0;top:0;width:10;height:116" id="docshape300" coordorigin="0,0" coordsize="10,116" path="m10,77l0,77,0,115,10,115,10,77xm10,0l0,0,0,38,10,38,10,0xe" filled="true" fillcolor="#000000" stroked="false">
                    <v:path arrowok="t"/>
                    <v:fill type="solid"/>
                  </v:shape>
                </v:group>
              </w:pict>
            </w:r>
            <w:r>
              <w:rPr>
                <w:position w:val="-1"/>
                <w:sz w:val="11"/>
              </w:rPr>
            </w:r>
          </w:p>
        </w:tc>
        <w:tc>
          <w:tcPr>
            <w:tcW w:w="1020" w:type="dxa"/>
            <w:tcBorders>
              <w:top w:val="dashSmallGap" w:sz="4" w:space="0" w:color="000000"/>
              <w:left w:val="nil"/>
              <w:bottom w:val="dashSmallGap" w:sz="4" w:space="0" w:color="000000"/>
              <w:right w:val="nil"/>
            </w:tcBorders>
          </w:tcPr>
          <w:p>
            <w:pPr>
              <w:pStyle w:val="TableParagraph"/>
              <w:spacing w:before="8"/>
              <w:rPr>
                <w:b/>
                <w:sz w:val="7"/>
              </w:rPr>
            </w:pPr>
          </w:p>
          <w:p>
            <w:pPr>
              <w:pStyle w:val="TableParagraph"/>
              <w:spacing w:line="115" w:lineRule="exact"/>
              <w:ind w:left="1029" w:right="-87"/>
              <w:rPr>
                <w:sz w:val="11"/>
              </w:rPr>
            </w:pPr>
            <w:r>
              <w:rPr>
                <w:position w:val="-1"/>
                <w:sz w:val="11"/>
              </w:rPr>
              <w:pict>
                <v:group style="width:.5pt;height:5.8pt;mso-position-horizontal-relative:char;mso-position-vertical-relative:line" id="docshapegroup301" coordorigin="0,0" coordsize="10,116">
                  <v:shape style="position:absolute;left:0;top:0;width:10;height:116" id="docshape302" coordorigin="0,0" coordsize="10,116" path="m10,77l0,77,0,115,10,115,10,77xm10,0l0,0,0,38,10,38,10,0xe" filled="true" fillcolor="#000000" stroked="false">
                    <v:path arrowok="t"/>
                    <v:fill type="solid"/>
                  </v:shape>
                </v:group>
              </w:pict>
            </w:r>
            <w:r>
              <w:rPr>
                <w:position w:val="-1"/>
                <w:sz w:val="11"/>
              </w:rPr>
            </w:r>
          </w:p>
        </w:tc>
        <w:tc>
          <w:tcPr>
            <w:tcW w:w="1022" w:type="dxa"/>
            <w:tcBorders>
              <w:top w:val="dashed" w:sz="4" w:space="0" w:color="000000"/>
              <w:left w:val="nil"/>
              <w:bottom w:val="dashed" w:sz="4" w:space="0" w:color="000000"/>
              <w:right w:val="nil"/>
            </w:tcBorders>
          </w:tcPr>
          <w:p>
            <w:pPr>
              <w:pStyle w:val="TableParagraph"/>
              <w:spacing w:before="8"/>
              <w:rPr>
                <w:b/>
                <w:sz w:val="7"/>
              </w:rPr>
            </w:pPr>
          </w:p>
          <w:p>
            <w:pPr>
              <w:pStyle w:val="TableParagraph"/>
              <w:spacing w:line="115" w:lineRule="exact"/>
              <w:ind w:left="1032" w:right="-87"/>
              <w:rPr>
                <w:sz w:val="11"/>
              </w:rPr>
            </w:pPr>
            <w:r>
              <w:rPr>
                <w:position w:val="-1"/>
                <w:sz w:val="11"/>
              </w:rPr>
              <w:pict>
                <v:group style="width:.5pt;height:5.8pt;mso-position-horizontal-relative:char;mso-position-vertical-relative:line" id="docshapegroup303" coordorigin="0,0" coordsize="10,116">
                  <v:shape style="position:absolute;left:0;top:0;width:10;height:116" id="docshape304" coordorigin="0,0" coordsize="10,116" path="m10,77l0,77,0,115,10,115,10,77xm10,0l0,0,0,38,10,38,10,0xe" filled="true" fillcolor="#000000" stroked="false">
                    <v:path arrowok="t"/>
                    <v:fill type="solid"/>
                  </v:shape>
                </v:group>
              </w:pict>
            </w:r>
            <w:r>
              <w:rPr>
                <w:position w:val="-1"/>
                <w:sz w:val="11"/>
              </w:rPr>
            </w:r>
          </w:p>
        </w:tc>
        <w:tc>
          <w:tcPr>
            <w:tcW w:w="1024" w:type="dxa"/>
            <w:tcBorders>
              <w:top w:val="dashed" w:sz="4" w:space="0" w:color="000000"/>
              <w:left w:val="nil"/>
              <w:bottom w:val="dashed" w:sz="4" w:space="0" w:color="000000"/>
              <w:right w:val="dashed" w:sz="12" w:space="0" w:color="000000"/>
            </w:tcBorders>
          </w:tcPr>
          <w:p>
            <w:pPr>
              <w:pStyle w:val="TableParagraph"/>
              <w:spacing w:before="47"/>
              <w:ind w:right="74"/>
              <w:jc w:val="right"/>
              <w:rPr>
                <w:sz w:val="18"/>
              </w:rPr>
            </w:pPr>
            <w:r>
              <w:rPr>
                <w:spacing w:val="-5"/>
                <w:sz w:val="18"/>
              </w:rPr>
              <w:t>80</w:t>
            </w:r>
          </w:p>
        </w:tc>
        <w:tc>
          <w:tcPr>
            <w:tcW w:w="1250" w:type="dxa"/>
            <w:tcBorders>
              <w:top w:val="dashed" w:sz="4" w:space="0" w:color="000000"/>
              <w:left w:val="dashed" w:sz="12" w:space="0" w:color="000000"/>
              <w:bottom w:val="dashed" w:sz="4" w:space="0" w:color="000000"/>
              <w:right w:val="dashed" w:sz="12" w:space="0" w:color="000000"/>
            </w:tcBorders>
          </w:tcPr>
          <w:p>
            <w:pPr>
              <w:pStyle w:val="TableParagraph"/>
              <w:spacing w:before="47"/>
              <w:ind w:right="74"/>
              <w:jc w:val="right"/>
              <w:rPr>
                <w:sz w:val="18"/>
              </w:rPr>
            </w:pPr>
            <w:r>
              <w:rPr>
                <w:spacing w:val="-5"/>
                <w:sz w:val="18"/>
              </w:rPr>
              <w:t>80</w:t>
            </w:r>
          </w:p>
        </w:tc>
        <w:tc>
          <w:tcPr>
            <w:tcW w:w="1248" w:type="dxa"/>
            <w:tcBorders>
              <w:top w:val="dashed" w:sz="4" w:space="0" w:color="000000"/>
              <w:left w:val="dashed" w:sz="12" w:space="0" w:color="000000"/>
              <w:bottom w:val="dashed" w:sz="4" w:space="0" w:color="000000"/>
              <w:right w:val="dashed" w:sz="12" w:space="0" w:color="000000"/>
            </w:tcBorders>
          </w:tcPr>
          <w:p>
            <w:pPr>
              <w:pStyle w:val="TableParagraph"/>
              <w:spacing w:before="47"/>
              <w:ind w:right="71"/>
              <w:jc w:val="right"/>
              <w:rPr>
                <w:sz w:val="18"/>
              </w:rPr>
            </w:pPr>
            <w:r>
              <w:rPr>
                <w:spacing w:val="-5"/>
                <w:sz w:val="18"/>
              </w:rPr>
              <w:t>80</w:t>
            </w:r>
          </w:p>
        </w:tc>
        <w:tc>
          <w:tcPr>
            <w:tcW w:w="1250" w:type="dxa"/>
            <w:tcBorders>
              <w:top w:val="dashed" w:sz="4" w:space="0" w:color="000000"/>
              <w:left w:val="dashed" w:sz="12" w:space="0" w:color="000000"/>
              <w:bottom w:val="dashed" w:sz="4" w:space="0" w:color="000000"/>
              <w:right w:val="dashed" w:sz="12" w:space="0" w:color="000000"/>
            </w:tcBorders>
          </w:tcPr>
          <w:p>
            <w:pPr>
              <w:pStyle w:val="TableParagraph"/>
              <w:spacing w:before="47"/>
              <w:ind w:right="73"/>
              <w:jc w:val="right"/>
              <w:rPr>
                <w:sz w:val="18"/>
              </w:rPr>
            </w:pPr>
            <w:r>
              <w:rPr>
                <w:spacing w:val="-5"/>
                <w:sz w:val="18"/>
              </w:rPr>
              <w:t>80</w:t>
            </w:r>
          </w:p>
        </w:tc>
      </w:tr>
      <w:tr>
        <w:trPr>
          <w:trHeight w:val="302" w:hRule="atLeast"/>
        </w:trPr>
        <w:tc>
          <w:tcPr>
            <w:tcW w:w="4296" w:type="dxa"/>
            <w:tcBorders>
              <w:top w:val="dashSmallGap" w:sz="4" w:space="0" w:color="000000"/>
              <w:left w:val="single" w:sz="12" w:space="0" w:color="000000"/>
              <w:bottom w:val="dashSmallGap" w:sz="4" w:space="0" w:color="000000"/>
              <w:right w:val="dashed" w:sz="8" w:space="0" w:color="000000"/>
            </w:tcBorders>
          </w:tcPr>
          <w:p>
            <w:pPr>
              <w:pStyle w:val="TableParagraph"/>
              <w:spacing w:before="47"/>
              <w:ind w:left="107"/>
              <w:rPr>
                <w:sz w:val="18"/>
              </w:rPr>
            </w:pPr>
            <w:r>
              <w:rPr>
                <w:sz w:val="18"/>
              </w:rPr>
              <w:t>Street</w:t>
            </w:r>
            <w:r>
              <w:rPr>
                <w:spacing w:val="3"/>
                <w:sz w:val="18"/>
              </w:rPr>
              <w:t> </w:t>
            </w:r>
            <w:r>
              <w:rPr>
                <w:spacing w:val="-2"/>
                <w:sz w:val="18"/>
              </w:rPr>
              <w:t>Appurtenance</w:t>
            </w:r>
          </w:p>
        </w:tc>
        <w:tc>
          <w:tcPr>
            <w:tcW w:w="1210" w:type="dxa"/>
            <w:tcBorders>
              <w:top w:val="dashSmallGap" w:sz="4" w:space="0" w:color="000000"/>
              <w:left w:val="dashed" w:sz="8" w:space="0" w:color="000000"/>
              <w:bottom w:val="dashSmallGap" w:sz="4" w:space="0" w:color="000000"/>
              <w:right w:val="nil"/>
            </w:tcBorders>
          </w:tcPr>
          <w:p>
            <w:pPr>
              <w:pStyle w:val="TableParagraph"/>
              <w:spacing w:before="47"/>
              <w:ind w:right="79"/>
              <w:jc w:val="right"/>
              <w:rPr>
                <w:sz w:val="18"/>
              </w:rPr>
            </w:pPr>
            <w:r>
              <w:rPr>
                <w:spacing w:val="-5"/>
                <w:sz w:val="18"/>
              </w:rPr>
              <w:t>100</w:t>
            </w:r>
          </w:p>
        </w:tc>
        <w:tc>
          <w:tcPr>
            <w:tcW w:w="1020" w:type="dxa"/>
            <w:tcBorders>
              <w:top w:val="dashSmallGap" w:sz="4" w:space="0" w:color="000000"/>
              <w:left w:val="nil"/>
              <w:bottom w:val="dashSmallGap" w:sz="4" w:space="0" w:color="000000"/>
              <w:right w:val="nil"/>
            </w:tcBorders>
          </w:tcPr>
          <w:p>
            <w:pPr>
              <w:pStyle w:val="TableParagraph"/>
              <w:spacing w:before="47"/>
              <w:ind w:right="90"/>
              <w:jc w:val="right"/>
              <w:rPr>
                <w:sz w:val="18"/>
              </w:rPr>
            </w:pPr>
            <w:r>
              <w:rPr>
                <w:spacing w:val="-5"/>
                <w:sz w:val="18"/>
              </w:rPr>
              <w:t>100</w:t>
            </w:r>
          </w:p>
        </w:tc>
        <w:tc>
          <w:tcPr>
            <w:tcW w:w="1020" w:type="dxa"/>
            <w:tcBorders>
              <w:top w:val="dashSmallGap" w:sz="4" w:space="0" w:color="000000"/>
              <w:left w:val="nil"/>
              <w:bottom w:val="dashSmallGap" w:sz="4" w:space="0" w:color="000000"/>
              <w:right w:val="nil"/>
            </w:tcBorders>
          </w:tcPr>
          <w:p>
            <w:pPr>
              <w:pStyle w:val="TableParagraph"/>
              <w:spacing w:before="3"/>
              <w:rPr>
                <w:b/>
                <w:sz w:val="7"/>
              </w:rPr>
            </w:pPr>
          </w:p>
          <w:p>
            <w:pPr>
              <w:pStyle w:val="TableParagraph"/>
              <w:tabs>
                <w:tab w:pos="1029" w:val="left" w:leader="none"/>
              </w:tabs>
              <w:spacing w:line="115" w:lineRule="exact"/>
              <w:ind w:left="9" w:right="-87"/>
              <w:rPr>
                <w:sz w:val="11"/>
              </w:rPr>
            </w:pPr>
            <w:r>
              <w:rPr>
                <w:position w:val="-1"/>
                <w:sz w:val="11"/>
              </w:rPr>
              <w:pict>
                <v:group style="width:.5pt;height:5.8pt;mso-position-horizontal-relative:char;mso-position-vertical-relative:line" id="docshapegroup305" coordorigin="0,0" coordsize="10,116">
                  <v:shape style="position:absolute;left:0;top:0;width:10;height:116" id="docshape306"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307" coordorigin="0,0" coordsize="10,116">
                  <v:shape style="position:absolute;left:0;top:0;width:10;height:116" id="docshape308" coordorigin="0,0" coordsize="10,116" path="m10,77l0,77,0,115,10,115,10,77xm10,0l0,0,0,38,10,38,10,0xe" filled="true" fillcolor="#000000" stroked="false">
                    <v:path arrowok="t"/>
                    <v:fill type="solid"/>
                  </v:shape>
                </v:group>
              </w:pict>
            </w:r>
            <w:r>
              <w:rPr>
                <w:position w:val="-1"/>
                <w:sz w:val="11"/>
              </w:rPr>
            </w:r>
          </w:p>
        </w:tc>
        <w:tc>
          <w:tcPr>
            <w:tcW w:w="1022" w:type="dxa"/>
            <w:tcBorders>
              <w:top w:val="dashSmallGap" w:sz="4" w:space="0" w:color="000000"/>
              <w:left w:val="nil"/>
              <w:bottom w:val="dashSmallGap" w:sz="4" w:space="0" w:color="000000"/>
              <w:right w:val="nil"/>
            </w:tcBorders>
          </w:tcPr>
          <w:p>
            <w:pPr>
              <w:pStyle w:val="TableParagraph"/>
              <w:spacing w:before="3"/>
              <w:rPr>
                <w:b/>
                <w:sz w:val="7"/>
              </w:rPr>
            </w:pPr>
          </w:p>
          <w:p>
            <w:pPr>
              <w:pStyle w:val="TableParagraph"/>
              <w:spacing w:line="115" w:lineRule="exact"/>
              <w:ind w:left="1031" w:right="-87"/>
              <w:rPr>
                <w:sz w:val="11"/>
              </w:rPr>
            </w:pPr>
            <w:r>
              <w:rPr>
                <w:position w:val="-1"/>
                <w:sz w:val="11"/>
              </w:rPr>
              <w:pict>
                <v:group style="width:.5pt;height:5.8pt;mso-position-horizontal-relative:char;mso-position-vertical-relative:line" id="docshapegroup309" coordorigin="0,0" coordsize="10,116">
                  <v:shape style="position:absolute;left:0;top:0;width:10;height:116" id="docshape310" coordorigin="0,0" coordsize="10,116" path="m10,77l0,77,0,115,10,115,10,77xm10,0l0,0,0,38,10,38,10,0xe" filled="true" fillcolor="#000000" stroked="false">
                    <v:path arrowok="t"/>
                    <v:fill type="solid"/>
                  </v:shape>
                </v:group>
              </w:pict>
            </w:r>
            <w:r>
              <w:rPr>
                <w:position w:val="-1"/>
                <w:sz w:val="11"/>
              </w:rPr>
            </w:r>
          </w:p>
        </w:tc>
        <w:tc>
          <w:tcPr>
            <w:tcW w:w="1020" w:type="dxa"/>
            <w:tcBorders>
              <w:top w:val="dashSmallGap" w:sz="4" w:space="0" w:color="000000"/>
              <w:left w:val="nil"/>
              <w:bottom w:val="dashSmallGap" w:sz="4" w:space="0" w:color="000000"/>
              <w:right w:val="nil"/>
            </w:tcBorders>
          </w:tcPr>
          <w:p>
            <w:pPr>
              <w:pStyle w:val="TableParagraph"/>
              <w:spacing w:before="47"/>
              <w:ind w:right="91"/>
              <w:jc w:val="right"/>
              <w:rPr>
                <w:sz w:val="18"/>
              </w:rPr>
            </w:pPr>
            <w:r>
              <w:rPr>
                <w:spacing w:val="-5"/>
                <w:sz w:val="18"/>
              </w:rPr>
              <w:t>100</w:t>
            </w:r>
          </w:p>
        </w:tc>
        <w:tc>
          <w:tcPr>
            <w:tcW w:w="1022" w:type="dxa"/>
            <w:tcBorders>
              <w:top w:val="dashed" w:sz="4" w:space="0" w:color="000000"/>
              <w:left w:val="nil"/>
              <w:bottom w:val="dashed" w:sz="4" w:space="0" w:color="000000"/>
              <w:right w:val="nil"/>
            </w:tcBorders>
          </w:tcPr>
          <w:p>
            <w:pPr>
              <w:pStyle w:val="TableParagraph"/>
              <w:spacing w:before="3"/>
              <w:rPr>
                <w:b/>
                <w:sz w:val="7"/>
              </w:rPr>
            </w:pPr>
          </w:p>
          <w:p>
            <w:pPr>
              <w:pStyle w:val="TableParagraph"/>
              <w:tabs>
                <w:tab w:pos="1032" w:val="left" w:leader="none"/>
              </w:tabs>
              <w:spacing w:line="115" w:lineRule="exact"/>
              <w:ind w:left="9" w:right="-87"/>
              <w:rPr>
                <w:sz w:val="11"/>
              </w:rPr>
            </w:pPr>
            <w:r>
              <w:rPr>
                <w:position w:val="-1"/>
                <w:sz w:val="11"/>
              </w:rPr>
              <w:pict>
                <v:group style="width:.5pt;height:5.8pt;mso-position-horizontal-relative:char;mso-position-vertical-relative:line" id="docshapegroup311" coordorigin="0,0" coordsize="10,116">
                  <v:shape style="position:absolute;left:0;top:0;width:10;height:116" id="docshape312"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313" coordorigin="0,0" coordsize="10,116">
                  <v:shape style="position:absolute;left:0;top:0;width:10;height:116" id="docshape314" coordorigin="0,0" coordsize="10,116" path="m10,77l0,77,0,115,10,115,10,77xm10,0l0,0,0,38,10,38,10,0xe" filled="true" fillcolor="#000000" stroked="false">
                    <v:path arrowok="t"/>
                    <v:fill type="solid"/>
                  </v:shape>
                </v:group>
              </w:pict>
            </w:r>
            <w:r>
              <w:rPr>
                <w:position w:val="-1"/>
                <w:sz w:val="11"/>
              </w:rPr>
            </w:r>
          </w:p>
        </w:tc>
        <w:tc>
          <w:tcPr>
            <w:tcW w:w="1024" w:type="dxa"/>
            <w:tcBorders>
              <w:top w:val="dashed" w:sz="4" w:space="0" w:color="000000"/>
              <w:left w:val="nil"/>
              <w:bottom w:val="dashed" w:sz="4" w:space="0" w:color="000000"/>
              <w:right w:val="dashed" w:sz="12" w:space="0" w:color="000000"/>
            </w:tcBorders>
          </w:tcPr>
          <w:p>
            <w:pPr>
              <w:pStyle w:val="TableParagraph"/>
              <w:rPr>
                <w:rFonts w:ascii="Times New Roman"/>
                <w:sz w:val="18"/>
              </w:rPr>
            </w:pPr>
          </w:p>
        </w:tc>
        <w:tc>
          <w:tcPr>
            <w:tcW w:w="1250" w:type="dxa"/>
            <w:tcBorders>
              <w:top w:val="dashed" w:sz="4" w:space="0" w:color="000000"/>
              <w:left w:val="dashed" w:sz="12" w:space="0" w:color="000000"/>
              <w:bottom w:val="dashed" w:sz="4" w:space="0" w:color="000000"/>
              <w:right w:val="dashed" w:sz="12" w:space="0" w:color="000000"/>
            </w:tcBorders>
          </w:tcPr>
          <w:p>
            <w:pPr>
              <w:pStyle w:val="TableParagraph"/>
              <w:spacing w:before="47"/>
              <w:ind w:right="74"/>
              <w:jc w:val="right"/>
              <w:rPr>
                <w:sz w:val="18"/>
              </w:rPr>
            </w:pPr>
            <w:r>
              <w:rPr>
                <w:spacing w:val="-5"/>
                <w:sz w:val="18"/>
              </w:rPr>
              <w:t>100</w:t>
            </w:r>
          </w:p>
        </w:tc>
        <w:tc>
          <w:tcPr>
            <w:tcW w:w="1248" w:type="dxa"/>
            <w:tcBorders>
              <w:top w:val="dashed" w:sz="4" w:space="0" w:color="000000"/>
              <w:left w:val="dashed" w:sz="12" w:space="0" w:color="000000"/>
              <w:bottom w:val="dashed" w:sz="4" w:space="0" w:color="000000"/>
              <w:right w:val="dashed" w:sz="12" w:space="0" w:color="000000"/>
            </w:tcBorders>
          </w:tcPr>
          <w:p>
            <w:pPr>
              <w:pStyle w:val="TableParagraph"/>
              <w:spacing w:before="47"/>
              <w:ind w:right="72"/>
              <w:jc w:val="right"/>
              <w:rPr>
                <w:sz w:val="18"/>
              </w:rPr>
            </w:pPr>
            <w:r>
              <w:rPr>
                <w:spacing w:val="-5"/>
                <w:sz w:val="18"/>
              </w:rPr>
              <w:t>150</w:t>
            </w:r>
          </w:p>
        </w:tc>
        <w:tc>
          <w:tcPr>
            <w:tcW w:w="1250" w:type="dxa"/>
            <w:tcBorders>
              <w:top w:val="dashed" w:sz="4" w:space="0" w:color="000000"/>
              <w:left w:val="dashed" w:sz="12" w:space="0" w:color="000000"/>
              <w:bottom w:val="dashed" w:sz="4" w:space="0" w:color="000000"/>
              <w:right w:val="dashed" w:sz="12" w:space="0" w:color="000000"/>
            </w:tcBorders>
          </w:tcPr>
          <w:p>
            <w:pPr>
              <w:pStyle w:val="TableParagraph"/>
              <w:spacing w:before="47"/>
              <w:ind w:right="74"/>
              <w:jc w:val="right"/>
              <w:rPr>
                <w:sz w:val="18"/>
              </w:rPr>
            </w:pPr>
            <w:r>
              <w:rPr>
                <w:spacing w:val="-5"/>
                <w:sz w:val="18"/>
              </w:rPr>
              <w:t>150</w:t>
            </w:r>
          </w:p>
        </w:tc>
      </w:tr>
      <w:tr>
        <w:trPr>
          <w:trHeight w:val="301" w:hRule="atLeast"/>
        </w:trPr>
        <w:tc>
          <w:tcPr>
            <w:tcW w:w="4296" w:type="dxa"/>
            <w:tcBorders>
              <w:top w:val="dashSmallGap" w:sz="4" w:space="0" w:color="000000"/>
              <w:left w:val="single" w:sz="12" w:space="0" w:color="000000"/>
              <w:bottom w:val="dashed" w:sz="4" w:space="0" w:color="000000"/>
              <w:right w:val="dashed" w:sz="8" w:space="0" w:color="000000"/>
            </w:tcBorders>
          </w:tcPr>
          <w:p>
            <w:pPr>
              <w:pStyle w:val="TableParagraph"/>
              <w:spacing w:before="47"/>
              <w:ind w:left="107"/>
              <w:rPr>
                <w:sz w:val="18"/>
              </w:rPr>
            </w:pPr>
            <w:r>
              <w:rPr>
                <w:sz w:val="18"/>
              </w:rPr>
              <w:t>Croydon</w:t>
            </w:r>
            <w:r>
              <w:rPr>
                <w:spacing w:val="-2"/>
                <w:sz w:val="18"/>
              </w:rPr>
              <w:t> </w:t>
            </w:r>
            <w:r>
              <w:rPr>
                <w:sz w:val="18"/>
              </w:rPr>
              <w:t>Main Street</w:t>
            </w:r>
            <w:r>
              <w:rPr>
                <w:spacing w:val="2"/>
                <w:sz w:val="18"/>
              </w:rPr>
              <w:t> </w:t>
            </w:r>
            <w:r>
              <w:rPr>
                <w:spacing w:val="-2"/>
                <w:sz w:val="18"/>
              </w:rPr>
              <w:t>Revitalisation</w:t>
            </w:r>
          </w:p>
        </w:tc>
        <w:tc>
          <w:tcPr>
            <w:tcW w:w="1210" w:type="dxa"/>
            <w:tcBorders>
              <w:top w:val="dashSmallGap" w:sz="4" w:space="0" w:color="000000"/>
              <w:left w:val="dashed" w:sz="8" w:space="0" w:color="000000"/>
              <w:bottom w:val="single" w:sz="8" w:space="0" w:color="000000"/>
              <w:right w:val="nil"/>
            </w:tcBorders>
          </w:tcPr>
          <w:p>
            <w:pPr>
              <w:pStyle w:val="TableParagraph"/>
              <w:spacing w:before="47"/>
              <w:ind w:right="81"/>
              <w:jc w:val="right"/>
              <w:rPr>
                <w:sz w:val="18"/>
              </w:rPr>
            </w:pPr>
            <w:r>
              <w:rPr>
                <w:spacing w:val="-2"/>
                <w:sz w:val="18"/>
              </w:rPr>
              <w:t>2,000</w:t>
            </w:r>
          </w:p>
        </w:tc>
        <w:tc>
          <w:tcPr>
            <w:tcW w:w="1020" w:type="dxa"/>
            <w:tcBorders>
              <w:top w:val="dashSmallGap" w:sz="4" w:space="0" w:color="000000"/>
              <w:left w:val="nil"/>
              <w:bottom w:val="single" w:sz="8" w:space="0" w:color="000000"/>
              <w:right w:val="nil"/>
            </w:tcBorders>
          </w:tcPr>
          <w:p>
            <w:pPr>
              <w:pStyle w:val="TableParagraph"/>
              <w:spacing w:before="47"/>
              <w:ind w:right="90"/>
              <w:jc w:val="right"/>
              <w:rPr>
                <w:sz w:val="18"/>
              </w:rPr>
            </w:pPr>
            <w:r>
              <w:rPr>
                <w:spacing w:val="-2"/>
                <w:sz w:val="18"/>
              </w:rPr>
              <w:t>2,000</w:t>
            </w:r>
          </w:p>
        </w:tc>
        <w:tc>
          <w:tcPr>
            <w:tcW w:w="1020" w:type="dxa"/>
            <w:tcBorders>
              <w:top w:val="dashSmallGap" w:sz="4" w:space="0" w:color="000000"/>
              <w:left w:val="nil"/>
              <w:bottom w:val="single" w:sz="8" w:space="0" w:color="000000"/>
              <w:right w:val="nil"/>
            </w:tcBorders>
          </w:tcPr>
          <w:p>
            <w:pPr>
              <w:pStyle w:val="TableParagraph"/>
              <w:spacing w:before="10"/>
              <w:rPr>
                <w:b/>
                <w:sz w:val="6"/>
              </w:rPr>
            </w:pPr>
          </w:p>
          <w:p>
            <w:pPr>
              <w:pStyle w:val="TableParagraph"/>
              <w:tabs>
                <w:tab w:pos="1029" w:val="left" w:leader="none"/>
              </w:tabs>
              <w:spacing w:line="115" w:lineRule="exact"/>
              <w:ind w:left="9" w:right="-87"/>
              <w:rPr>
                <w:sz w:val="11"/>
              </w:rPr>
            </w:pPr>
            <w:r>
              <w:rPr>
                <w:position w:val="-1"/>
                <w:sz w:val="11"/>
              </w:rPr>
              <w:pict>
                <v:group style="width:.5pt;height:5.8pt;mso-position-horizontal-relative:char;mso-position-vertical-relative:line" id="docshapegroup315" coordorigin="0,0" coordsize="10,116">
                  <v:shape style="position:absolute;left:0;top:0;width:10;height:116" id="docshape316"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317" coordorigin="0,0" coordsize="10,116">
                  <v:shape style="position:absolute;left:0;top:0;width:10;height:116" id="docshape318" coordorigin="0,0" coordsize="10,116" path="m10,77l0,77,0,115,10,115,10,77xm10,0l0,0,0,38,10,38,10,0xe" filled="true" fillcolor="#000000" stroked="false">
                    <v:path arrowok="t"/>
                    <v:fill type="solid"/>
                  </v:shape>
                </v:group>
              </w:pict>
            </w:r>
            <w:r>
              <w:rPr>
                <w:position w:val="-1"/>
                <w:sz w:val="11"/>
              </w:rPr>
            </w:r>
          </w:p>
        </w:tc>
        <w:tc>
          <w:tcPr>
            <w:tcW w:w="1022" w:type="dxa"/>
            <w:tcBorders>
              <w:top w:val="dashSmallGap" w:sz="4" w:space="0" w:color="000000"/>
              <w:left w:val="nil"/>
              <w:bottom w:val="single" w:sz="8" w:space="0" w:color="000000"/>
              <w:right w:val="nil"/>
            </w:tcBorders>
          </w:tcPr>
          <w:p>
            <w:pPr>
              <w:pStyle w:val="TableParagraph"/>
              <w:spacing w:before="10"/>
              <w:rPr>
                <w:b/>
                <w:sz w:val="6"/>
              </w:rPr>
            </w:pPr>
          </w:p>
          <w:p>
            <w:pPr>
              <w:pStyle w:val="TableParagraph"/>
              <w:spacing w:line="115" w:lineRule="exact"/>
              <w:ind w:left="1031" w:right="-87"/>
              <w:rPr>
                <w:sz w:val="11"/>
              </w:rPr>
            </w:pPr>
            <w:r>
              <w:rPr>
                <w:position w:val="-1"/>
                <w:sz w:val="11"/>
              </w:rPr>
              <w:pict>
                <v:group style="width:.5pt;height:5.8pt;mso-position-horizontal-relative:char;mso-position-vertical-relative:line" id="docshapegroup319" coordorigin="0,0" coordsize="10,116">
                  <v:shape style="position:absolute;left:0;top:0;width:10;height:116" id="docshape320" coordorigin="0,0" coordsize="10,116" path="m10,77l0,77,0,115,10,115,10,77xm10,0l0,0,0,38,10,38,10,0xe" filled="true" fillcolor="#000000" stroked="false">
                    <v:path arrowok="t"/>
                    <v:fill type="solid"/>
                  </v:shape>
                </v:group>
              </w:pict>
            </w:r>
            <w:r>
              <w:rPr>
                <w:position w:val="-1"/>
                <w:sz w:val="11"/>
              </w:rPr>
            </w:r>
          </w:p>
        </w:tc>
        <w:tc>
          <w:tcPr>
            <w:tcW w:w="1020" w:type="dxa"/>
            <w:tcBorders>
              <w:top w:val="dashSmallGap" w:sz="4" w:space="0" w:color="000000"/>
              <w:left w:val="nil"/>
              <w:bottom w:val="single" w:sz="8" w:space="0" w:color="000000"/>
              <w:right w:val="nil"/>
            </w:tcBorders>
          </w:tcPr>
          <w:p>
            <w:pPr>
              <w:pStyle w:val="TableParagraph"/>
              <w:spacing w:before="47"/>
              <w:ind w:right="89"/>
              <w:jc w:val="right"/>
              <w:rPr>
                <w:sz w:val="18"/>
              </w:rPr>
            </w:pPr>
            <w:r>
              <w:rPr>
                <w:spacing w:val="-2"/>
                <w:sz w:val="18"/>
              </w:rPr>
              <w:t>1,600</w:t>
            </w:r>
          </w:p>
        </w:tc>
        <w:tc>
          <w:tcPr>
            <w:tcW w:w="1022" w:type="dxa"/>
            <w:tcBorders>
              <w:top w:val="dashed" w:sz="4" w:space="0" w:color="000000"/>
              <w:left w:val="nil"/>
              <w:bottom w:val="single" w:sz="8" w:space="0" w:color="000000"/>
              <w:right w:val="nil"/>
            </w:tcBorders>
          </w:tcPr>
          <w:p>
            <w:pPr>
              <w:pStyle w:val="TableParagraph"/>
              <w:spacing w:before="47"/>
              <w:ind w:right="92"/>
              <w:jc w:val="right"/>
              <w:rPr>
                <w:sz w:val="18"/>
              </w:rPr>
            </w:pPr>
            <w:r>
              <w:rPr>
                <w:spacing w:val="-5"/>
                <w:sz w:val="18"/>
              </w:rPr>
              <w:t>400</w:t>
            </w:r>
          </w:p>
        </w:tc>
        <w:tc>
          <w:tcPr>
            <w:tcW w:w="1024" w:type="dxa"/>
            <w:tcBorders>
              <w:top w:val="dashed" w:sz="4" w:space="0" w:color="000000"/>
              <w:left w:val="nil"/>
              <w:bottom w:val="single" w:sz="8" w:space="0" w:color="000000"/>
              <w:right w:val="dashed" w:sz="12" w:space="0" w:color="000000"/>
            </w:tcBorders>
          </w:tcPr>
          <w:p>
            <w:pPr>
              <w:pStyle w:val="TableParagraph"/>
              <w:spacing w:before="10"/>
              <w:rPr>
                <w:b/>
                <w:sz w:val="6"/>
              </w:rPr>
            </w:pPr>
          </w:p>
          <w:p>
            <w:pPr>
              <w:pStyle w:val="TableParagraph"/>
              <w:spacing w:line="115" w:lineRule="exact"/>
              <w:ind w:left="-5"/>
              <w:rPr>
                <w:sz w:val="11"/>
              </w:rPr>
            </w:pPr>
            <w:r>
              <w:rPr>
                <w:position w:val="-1"/>
                <w:sz w:val="11"/>
              </w:rPr>
              <w:pict>
                <v:group style="width:.5pt;height:5.8pt;mso-position-horizontal-relative:char;mso-position-vertical-relative:line" id="docshapegroup321" coordorigin="0,0" coordsize="10,116">
                  <v:shape style="position:absolute;left:0;top:0;width:10;height:116" id="docshape322" coordorigin="0,0" coordsize="10,116" path="m10,77l0,77,0,115,10,115,10,77xm10,0l0,0,0,38,10,38,10,0xe" filled="true" fillcolor="#000000" stroked="false">
                    <v:path arrowok="t"/>
                    <v:fill type="solid"/>
                  </v:shape>
                </v:group>
              </w:pict>
            </w:r>
            <w:r>
              <w:rPr>
                <w:position w:val="-1"/>
                <w:sz w:val="11"/>
              </w:rPr>
            </w:r>
          </w:p>
        </w:tc>
        <w:tc>
          <w:tcPr>
            <w:tcW w:w="1250" w:type="dxa"/>
            <w:tcBorders>
              <w:top w:val="dashed" w:sz="4" w:space="0" w:color="000000"/>
              <w:left w:val="dashed" w:sz="12" w:space="0" w:color="000000"/>
              <w:bottom w:val="single" w:sz="8" w:space="0" w:color="000000"/>
              <w:right w:val="dashed" w:sz="12" w:space="0" w:color="000000"/>
            </w:tcBorders>
          </w:tcPr>
          <w:p>
            <w:pPr>
              <w:pStyle w:val="TableParagraph"/>
              <w:spacing w:before="47"/>
              <w:ind w:right="74"/>
              <w:jc w:val="right"/>
              <w:rPr>
                <w:sz w:val="18"/>
              </w:rPr>
            </w:pPr>
            <w:r>
              <w:rPr>
                <w:spacing w:val="-2"/>
                <w:sz w:val="18"/>
              </w:rPr>
              <w:t>13,000</w:t>
            </w:r>
          </w:p>
        </w:tc>
        <w:tc>
          <w:tcPr>
            <w:tcW w:w="1248" w:type="dxa"/>
            <w:tcBorders>
              <w:top w:val="dashed" w:sz="4" w:space="0" w:color="000000"/>
              <w:left w:val="dashed" w:sz="12" w:space="0" w:color="000000"/>
              <w:bottom w:val="single" w:sz="8" w:space="0" w:color="000000"/>
              <w:right w:val="dashed" w:sz="12" w:space="0" w:color="000000"/>
            </w:tcBorders>
          </w:tcPr>
          <w:p>
            <w:pPr>
              <w:pStyle w:val="TableParagraph"/>
              <w:rPr>
                <w:rFonts w:ascii="Times New Roman"/>
                <w:sz w:val="18"/>
              </w:rPr>
            </w:pPr>
          </w:p>
        </w:tc>
        <w:tc>
          <w:tcPr>
            <w:tcW w:w="1250" w:type="dxa"/>
            <w:tcBorders>
              <w:top w:val="dashed" w:sz="4" w:space="0" w:color="000000"/>
              <w:left w:val="dashed" w:sz="12" w:space="0" w:color="000000"/>
              <w:bottom w:val="single" w:sz="8" w:space="0" w:color="000000"/>
              <w:right w:val="dashed" w:sz="12" w:space="0" w:color="000000"/>
            </w:tcBorders>
          </w:tcPr>
          <w:p>
            <w:pPr>
              <w:pStyle w:val="TableParagraph"/>
              <w:rPr>
                <w:rFonts w:ascii="Times New Roman"/>
                <w:sz w:val="18"/>
              </w:rPr>
            </w:pPr>
          </w:p>
        </w:tc>
      </w:tr>
      <w:tr>
        <w:trPr>
          <w:trHeight w:val="318" w:hRule="atLeast"/>
        </w:trPr>
        <w:tc>
          <w:tcPr>
            <w:tcW w:w="4296" w:type="dxa"/>
            <w:tcBorders>
              <w:top w:val="dashed" w:sz="4" w:space="0" w:color="000000"/>
              <w:left w:val="single" w:sz="12" w:space="0" w:color="000000"/>
              <w:bottom w:val="single" w:sz="12" w:space="0" w:color="000000"/>
              <w:right w:val="single" w:sz="8" w:space="0" w:color="000000"/>
            </w:tcBorders>
          </w:tcPr>
          <w:p>
            <w:pPr>
              <w:pStyle w:val="TableParagraph"/>
              <w:spacing w:line="234" w:lineRule="exact" w:before="64"/>
              <w:ind w:left="107"/>
              <w:rPr>
                <w:b/>
                <w:sz w:val="22"/>
              </w:rPr>
            </w:pPr>
            <w:r>
              <w:rPr>
                <w:b/>
                <w:sz w:val="22"/>
              </w:rPr>
              <w:t>TOTAL</w:t>
            </w:r>
            <w:r>
              <w:rPr>
                <w:b/>
                <w:spacing w:val="-3"/>
                <w:sz w:val="22"/>
              </w:rPr>
              <w:t> </w:t>
            </w:r>
            <w:r>
              <w:rPr>
                <w:b/>
                <w:spacing w:val="-2"/>
                <w:sz w:val="22"/>
              </w:rPr>
              <w:t>OTHER</w:t>
            </w:r>
          </w:p>
        </w:tc>
        <w:tc>
          <w:tcPr>
            <w:tcW w:w="1210" w:type="dxa"/>
            <w:tcBorders>
              <w:top w:val="single" w:sz="8" w:space="0" w:color="000000"/>
              <w:left w:val="single" w:sz="8" w:space="0" w:color="000000"/>
              <w:bottom w:val="single" w:sz="12" w:space="0" w:color="000000"/>
              <w:right w:val="nil"/>
            </w:tcBorders>
          </w:tcPr>
          <w:p>
            <w:pPr>
              <w:pStyle w:val="TableParagraph"/>
              <w:spacing w:before="56"/>
              <w:ind w:right="80"/>
              <w:jc w:val="right"/>
              <w:rPr>
                <w:b/>
                <w:sz w:val="18"/>
              </w:rPr>
            </w:pPr>
            <w:r>
              <w:rPr>
                <w:b/>
                <w:spacing w:val="-2"/>
                <w:sz w:val="18"/>
              </w:rPr>
              <w:t>3,045</w:t>
            </w:r>
          </w:p>
        </w:tc>
        <w:tc>
          <w:tcPr>
            <w:tcW w:w="1020" w:type="dxa"/>
            <w:tcBorders>
              <w:top w:val="single" w:sz="8" w:space="0" w:color="000000"/>
              <w:left w:val="nil"/>
              <w:bottom w:val="single" w:sz="12" w:space="0" w:color="000000"/>
              <w:right w:val="nil"/>
            </w:tcBorders>
          </w:tcPr>
          <w:p>
            <w:pPr>
              <w:pStyle w:val="TableParagraph"/>
              <w:spacing w:before="56"/>
              <w:ind w:right="89"/>
              <w:jc w:val="right"/>
              <w:rPr>
                <w:b/>
                <w:sz w:val="18"/>
              </w:rPr>
            </w:pPr>
            <w:r>
              <w:rPr>
                <w:b/>
                <w:spacing w:val="-2"/>
                <w:sz w:val="18"/>
              </w:rPr>
              <w:t>3,045</w:t>
            </w:r>
          </w:p>
        </w:tc>
        <w:tc>
          <w:tcPr>
            <w:tcW w:w="1020" w:type="dxa"/>
            <w:tcBorders>
              <w:top w:val="single" w:sz="8" w:space="0" w:color="000000"/>
              <w:left w:val="nil"/>
              <w:bottom w:val="single" w:sz="12" w:space="0" w:color="000000"/>
              <w:right w:val="nil"/>
            </w:tcBorders>
          </w:tcPr>
          <w:p>
            <w:pPr>
              <w:pStyle w:val="TableParagraph"/>
              <w:spacing w:before="56"/>
              <w:ind w:right="92"/>
              <w:jc w:val="right"/>
              <w:rPr>
                <w:b/>
                <w:sz w:val="18"/>
              </w:rPr>
            </w:pPr>
            <w:r>
              <w:rPr>
                <w:b/>
                <w:sz w:val="18"/>
              </w:rPr>
              <w:t>0</w:t>
            </w:r>
          </w:p>
        </w:tc>
        <w:tc>
          <w:tcPr>
            <w:tcW w:w="1022" w:type="dxa"/>
            <w:tcBorders>
              <w:top w:val="single" w:sz="8" w:space="0" w:color="000000"/>
              <w:left w:val="nil"/>
              <w:bottom w:val="single" w:sz="12" w:space="0" w:color="000000"/>
              <w:right w:val="nil"/>
            </w:tcBorders>
          </w:tcPr>
          <w:p>
            <w:pPr>
              <w:pStyle w:val="TableParagraph"/>
              <w:spacing w:before="56"/>
              <w:ind w:right="94"/>
              <w:jc w:val="right"/>
              <w:rPr>
                <w:b/>
                <w:sz w:val="18"/>
              </w:rPr>
            </w:pPr>
            <w:r>
              <w:rPr>
                <w:b/>
                <w:sz w:val="18"/>
              </w:rPr>
              <w:t>0</w:t>
            </w:r>
          </w:p>
        </w:tc>
        <w:tc>
          <w:tcPr>
            <w:tcW w:w="1020" w:type="dxa"/>
            <w:tcBorders>
              <w:top w:val="single" w:sz="8" w:space="0" w:color="000000"/>
              <w:left w:val="nil"/>
              <w:bottom w:val="single" w:sz="12" w:space="0" w:color="000000"/>
              <w:right w:val="nil"/>
            </w:tcBorders>
          </w:tcPr>
          <w:p>
            <w:pPr>
              <w:pStyle w:val="TableParagraph"/>
              <w:spacing w:before="56"/>
              <w:ind w:right="89"/>
              <w:jc w:val="right"/>
              <w:rPr>
                <w:b/>
                <w:sz w:val="18"/>
              </w:rPr>
            </w:pPr>
            <w:r>
              <w:rPr>
                <w:b/>
                <w:spacing w:val="-2"/>
                <w:sz w:val="18"/>
              </w:rPr>
              <w:t>1,750</w:t>
            </w:r>
          </w:p>
        </w:tc>
        <w:tc>
          <w:tcPr>
            <w:tcW w:w="1022" w:type="dxa"/>
            <w:tcBorders>
              <w:top w:val="single" w:sz="8" w:space="0" w:color="000000"/>
              <w:left w:val="nil"/>
              <w:bottom w:val="single" w:sz="12" w:space="0" w:color="000000"/>
              <w:right w:val="nil"/>
            </w:tcBorders>
          </w:tcPr>
          <w:p>
            <w:pPr>
              <w:pStyle w:val="TableParagraph"/>
              <w:spacing w:before="56"/>
              <w:ind w:right="93"/>
              <w:jc w:val="right"/>
              <w:rPr>
                <w:b/>
                <w:sz w:val="18"/>
              </w:rPr>
            </w:pPr>
            <w:r>
              <w:rPr>
                <w:b/>
                <w:spacing w:val="-2"/>
                <w:sz w:val="18"/>
              </w:rPr>
              <w:t>1,125</w:t>
            </w:r>
          </w:p>
        </w:tc>
        <w:tc>
          <w:tcPr>
            <w:tcW w:w="1024" w:type="dxa"/>
            <w:tcBorders>
              <w:top w:val="single" w:sz="8" w:space="0" w:color="000000"/>
              <w:left w:val="nil"/>
              <w:bottom w:val="single" w:sz="12" w:space="0" w:color="000000"/>
              <w:right w:val="single" w:sz="12" w:space="0" w:color="000000"/>
            </w:tcBorders>
          </w:tcPr>
          <w:p>
            <w:pPr>
              <w:pStyle w:val="TableParagraph"/>
              <w:spacing w:before="56"/>
              <w:ind w:right="73"/>
              <w:jc w:val="right"/>
              <w:rPr>
                <w:b/>
                <w:sz w:val="18"/>
              </w:rPr>
            </w:pPr>
            <w:r>
              <w:rPr>
                <w:b/>
                <w:spacing w:val="-5"/>
                <w:sz w:val="18"/>
              </w:rPr>
              <w:t>170</w:t>
            </w:r>
          </w:p>
        </w:tc>
        <w:tc>
          <w:tcPr>
            <w:tcW w:w="1250" w:type="dxa"/>
            <w:tcBorders>
              <w:top w:val="single" w:sz="8" w:space="0" w:color="000000"/>
              <w:left w:val="single" w:sz="12" w:space="0" w:color="000000"/>
              <w:bottom w:val="single" w:sz="12" w:space="0" w:color="000000"/>
              <w:right w:val="single" w:sz="12" w:space="0" w:color="000000"/>
            </w:tcBorders>
          </w:tcPr>
          <w:p>
            <w:pPr>
              <w:pStyle w:val="TableParagraph"/>
              <w:spacing w:before="56"/>
              <w:ind w:right="74"/>
              <w:jc w:val="right"/>
              <w:rPr>
                <w:b/>
                <w:sz w:val="18"/>
              </w:rPr>
            </w:pPr>
            <w:r>
              <w:rPr>
                <w:b/>
                <w:spacing w:val="-2"/>
                <w:sz w:val="18"/>
              </w:rPr>
              <w:t>14,045</w:t>
            </w:r>
          </w:p>
        </w:tc>
        <w:tc>
          <w:tcPr>
            <w:tcW w:w="1248" w:type="dxa"/>
            <w:tcBorders>
              <w:top w:val="single" w:sz="8" w:space="0" w:color="000000"/>
              <w:left w:val="single" w:sz="12" w:space="0" w:color="000000"/>
              <w:bottom w:val="single" w:sz="12" w:space="0" w:color="000000"/>
              <w:right w:val="single" w:sz="12" w:space="0" w:color="000000"/>
            </w:tcBorders>
          </w:tcPr>
          <w:p>
            <w:pPr>
              <w:pStyle w:val="TableParagraph"/>
              <w:spacing w:before="56"/>
              <w:ind w:right="70"/>
              <w:jc w:val="right"/>
              <w:rPr>
                <w:b/>
                <w:sz w:val="18"/>
              </w:rPr>
            </w:pPr>
            <w:r>
              <w:rPr>
                <w:b/>
                <w:spacing w:val="-2"/>
                <w:sz w:val="18"/>
              </w:rPr>
              <w:t>1,245</w:t>
            </w:r>
          </w:p>
        </w:tc>
        <w:tc>
          <w:tcPr>
            <w:tcW w:w="1250" w:type="dxa"/>
            <w:tcBorders>
              <w:top w:val="single" w:sz="8" w:space="0" w:color="000000"/>
              <w:left w:val="single" w:sz="12" w:space="0" w:color="000000"/>
              <w:bottom w:val="single" w:sz="12" w:space="0" w:color="000000"/>
              <w:right w:val="single" w:sz="12" w:space="0" w:color="000000"/>
            </w:tcBorders>
          </w:tcPr>
          <w:p>
            <w:pPr>
              <w:pStyle w:val="TableParagraph"/>
              <w:spacing w:before="56"/>
              <w:ind w:right="72"/>
              <w:jc w:val="right"/>
              <w:rPr>
                <w:b/>
                <w:sz w:val="18"/>
              </w:rPr>
            </w:pPr>
            <w:r>
              <w:rPr>
                <w:b/>
                <w:spacing w:val="-2"/>
                <w:sz w:val="18"/>
              </w:rPr>
              <w:t>1,245</w:t>
            </w:r>
          </w:p>
        </w:tc>
      </w:tr>
      <w:tr>
        <w:trPr>
          <w:trHeight w:val="742" w:hRule="atLeast"/>
        </w:trPr>
        <w:tc>
          <w:tcPr>
            <w:tcW w:w="4296" w:type="dxa"/>
            <w:tcBorders>
              <w:top w:val="single" w:sz="12" w:space="0" w:color="000000"/>
              <w:left w:val="single" w:sz="12" w:space="0" w:color="000000"/>
              <w:bottom w:val="single" w:sz="12" w:space="0" w:color="000000"/>
              <w:right w:val="single" w:sz="8" w:space="0" w:color="000000"/>
            </w:tcBorders>
          </w:tcPr>
          <w:p>
            <w:pPr>
              <w:pStyle w:val="TableParagraph"/>
              <w:spacing w:before="48"/>
              <w:ind w:left="107" w:right="31"/>
              <w:rPr>
                <w:b/>
                <w:sz w:val="28"/>
              </w:rPr>
            </w:pPr>
            <w:r>
              <w:rPr>
                <w:b/>
                <w:sz w:val="28"/>
              </w:rPr>
              <w:t>TOTAL</w:t>
            </w:r>
            <w:r>
              <w:rPr>
                <w:b/>
                <w:spacing w:val="-16"/>
                <w:sz w:val="28"/>
              </w:rPr>
              <w:t> </w:t>
            </w:r>
            <w:r>
              <w:rPr>
                <w:b/>
                <w:sz w:val="28"/>
              </w:rPr>
              <w:t>ROADS</w:t>
            </w:r>
            <w:r>
              <w:rPr>
                <w:b/>
                <w:spacing w:val="-15"/>
                <w:sz w:val="28"/>
              </w:rPr>
              <w:t> </w:t>
            </w:r>
            <w:r>
              <w:rPr>
                <w:b/>
                <w:sz w:val="28"/>
              </w:rPr>
              <w:t>AND </w:t>
            </w:r>
            <w:r>
              <w:rPr>
                <w:b/>
                <w:spacing w:val="-2"/>
                <w:sz w:val="28"/>
              </w:rPr>
              <w:t>DRAINAGE</w:t>
            </w:r>
          </w:p>
        </w:tc>
        <w:tc>
          <w:tcPr>
            <w:tcW w:w="1210" w:type="dxa"/>
            <w:tcBorders>
              <w:top w:val="single" w:sz="12" w:space="0" w:color="000000"/>
              <w:left w:val="single" w:sz="8" w:space="0" w:color="000000"/>
              <w:bottom w:val="single" w:sz="12" w:space="0" w:color="000000"/>
              <w:right w:val="dashed" w:sz="4" w:space="0" w:color="000000"/>
            </w:tcBorders>
          </w:tcPr>
          <w:p>
            <w:pPr>
              <w:pStyle w:val="TableParagraph"/>
              <w:spacing w:before="2"/>
              <w:rPr>
                <w:b/>
                <w:sz w:val="23"/>
              </w:rPr>
            </w:pPr>
          </w:p>
          <w:p>
            <w:pPr>
              <w:pStyle w:val="TableParagraph"/>
              <w:spacing w:before="1"/>
              <w:ind w:right="81"/>
              <w:jc w:val="right"/>
              <w:rPr>
                <w:b/>
                <w:sz w:val="18"/>
              </w:rPr>
            </w:pPr>
            <w:r>
              <w:rPr>
                <w:b/>
                <w:spacing w:val="-2"/>
                <w:sz w:val="18"/>
              </w:rPr>
              <w:t>16,904</w:t>
            </w:r>
          </w:p>
        </w:tc>
        <w:tc>
          <w:tcPr>
            <w:tcW w:w="1020" w:type="dxa"/>
            <w:tcBorders>
              <w:top w:val="single" w:sz="12" w:space="0" w:color="000000"/>
              <w:left w:val="dashed" w:sz="4" w:space="0" w:color="000000"/>
              <w:bottom w:val="single" w:sz="12" w:space="0" w:color="000000"/>
              <w:right w:val="dashed" w:sz="4" w:space="0" w:color="000000"/>
            </w:tcBorders>
          </w:tcPr>
          <w:p>
            <w:pPr>
              <w:pStyle w:val="TableParagraph"/>
              <w:spacing w:before="2"/>
              <w:rPr>
                <w:b/>
                <w:sz w:val="23"/>
              </w:rPr>
            </w:pPr>
          </w:p>
          <w:p>
            <w:pPr>
              <w:pStyle w:val="TableParagraph"/>
              <w:spacing w:before="1"/>
              <w:ind w:right="84"/>
              <w:jc w:val="right"/>
              <w:rPr>
                <w:b/>
                <w:sz w:val="18"/>
              </w:rPr>
            </w:pPr>
            <w:r>
              <w:rPr>
                <w:b/>
                <w:spacing w:val="-2"/>
                <w:sz w:val="18"/>
              </w:rPr>
              <w:t>13,170</w:t>
            </w:r>
          </w:p>
        </w:tc>
        <w:tc>
          <w:tcPr>
            <w:tcW w:w="1020" w:type="dxa"/>
            <w:tcBorders>
              <w:top w:val="single" w:sz="12" w:space="0" w:color="000000"/>
              <w:left w:val="dashed" w:sz="4" w:space="0" w:color="000000"/>
              <w:bottom w:val="single" w:sz="12" w:space="0" w:color="000000"/>
              <w:right w:val="dashed" w:sz="4" w:space="0" w:color="000000"/>
            </w:tcBorders>
          </w:tcPr>
          <w:p>
            <w:pPr>
              <w:pStyle w:val="TableParagraph"/>
              <w:spacing w:before="2"/>
              <w:rPr>
                <w:b/>
                <w:sz w:val="23"/>
              </w:rPr>
            </w:pPr>
          </w:p>
          <w:p>
            <w:pPr>
              <w:pStyle w:val="TableParagraph"/>
              <w:spacing w:before="1"/>
              <w:ind w:right="86"/>
              <w:jc w:val="right"/>
              <w:rPr>
                <w:b/>
                <w:sz w:val="18"/>
              </w:rPr>
            </w:pPr>
            <w:r>
              <w:rPr>
                <w:b/>
                <w:spacing w:val="-2"/>
                <w:sz w:val="18"/>
              </w:rPr>
              <w:t>3,734</w:t>
            </w:r>
          </w:p>
        </w:tc>
        <w:tc>
          <w:tcPr>
            <w:tcW w:w="1022" w:type="dxa"/>
            <w:tcBorders>
              <w:top w:val="single" w:sz="12" w:space="0" w:color="000000"/>
              <w:left w:val="dashed" w:sz="4" w:space="0" w:color="000000"/>
              <w:bottom w:val="single" w:sz="12" w:space="0" w:color="000000"/>
              <w:right w:val="dashed" w:sz="4" w:space="0" w:color="000000"/>
            </w:tcBorders>
          </w:tcPr>
          <w:p>
            <w:pPr>
              <w:pStyle w:val="TableParagraph"/>
              <w:spacing w:before="2"/>
              <w:rPr>
                <w:b/>
                <w:sz w:val="23"/>
              </w:rPr>
            </w:pPr>
          </w:p>
          <w:p>
            <w:pPr>
              <w:pStyle w:val="TableParagraph"/>
              <w:spacing w:before="1"/>
              <w:ind w:right="89"/>
              <w:jc w:val="right"/>
              <w:rPr>
                <w:b/>
                <w:sz w:val="18"/>
              </w:rPr>
            </w:pPr>
            <w:r>
              <w:rPr>
                <w:b/>
                <w:sz w:val="18"/>
              </w:rPr>
              <w:t>0</w:t>
            </w:r>
          </w:p>
        </w:tc>
        <w:tc>
          <w:tcPr>
            <w:tcW w:w="1020" w:type="dxa"/>
            <w:tcBorders>
              <w:top w:val="single" w:sz="12" w:space="0" w:color="000000"/>
              <w:left w:val="dashed" w:sz="4" w:space="0" w:color="000000"/>
              <w:bottom w:val="single" w:sz="12" w:space="0" w:color="000000"/>
              <w:right w:val="dashed" w:sz="4" w:space="0" w:color="000000"/>
            </w:tcBorders>
          </w:tcPr>
          <w:p>
            <w:pPr>
              <w:pStyle w:val="TableParagraph"/>
              <w:spacing w:before="2"/>
              <w:rPr>
                <w:b/>
                <w:sz w:val="23"/>
              </w:rPr>
            </w:pPr>
          </w:p>
          <w:p>
            <w:pPr>
              <w:pStyle w:val="TableParagraph"/>
              <w:spacing w:before="1"/>
              <w:ind w:right="84"/>
              <w:jc w:val="right"/>
              <w:rPr>
                <w:b/>
                <w:sz w:val="18"/>
              </w:rPr>
            </w:pPr>
            <w:r>
              <w:rPr>
                <w:b/>
                <w:spacing w:val="-2"/>
                <w:sz w:val="18"/>
              </w:rPr>
              <w:t>9,822</w:t>
            </w:r>
          </w:p>
        </w:tc>
        <w:tc>
          <w:tcPr>
            <w:tcW w:w="1022" w:type="dxa"/>
            <w:tcBorders>
              <w:top w:val="single" w:sz="12" w:space="0" w:color="000000"/>
              <w:left w:val="dashed" w:sz="4" w:space="0" w:color="000000"/>
              <w:bottom w:val="single" w:sz="12" w:space="0" w:color="000000"/>
              <w:right w:val="dashed" w:sz="4" w:space="0" w:color="000000"/>
            </w:tcBorders>
          </w:tcPr>
          <w:p>
            <w:pPr>
              <w:pStyle w:val="TableParagraph"/>
              <w:spacing w:before="2"/>
              <w:rPr>
                <w:b/>
                <w:sz w:val="23"/>
              </w:rPr>
            </w:pPr>
          </w:p>
          <w:p>
            <w:pPr>
              <w:pStyle w:val="TableParagraph"/>
              <w:spacing w:before="1"/>
              <w:ind w:right="87"/>
              <w:jc w:val="right"/>
              <w:rPr>
                <w:b/>
                <w:sz w:val="18"/>
              </w:rPr>
            </w:pPr>
            <w:r>
              <w:rPr>
                <w:b/>
                <w:spacing w:val="-2"/>
                <w:sz w:val="18"/>
              </w:rPr>
              <w:t>2,693</w:t>
            </w:r>
          </w:p>
        </w:tc>
        <w:tc>
          <w:tcPr>
            <w:tcW w:w="1024" w:type="dxa"/>
            <w:tcBorders>
              <w:top w:val="single" w:sz="12" w:space="0" w:color="000000"/>
              <w:left w:val="dashed" w:sz="4" w:space="0" w:color="000000"/>
              <w:bottom w:val="single" w:sz="12" w:space="0" w:color="000000"/>
              <w:right w:val="single" w:sz="12" w:space="0" w:color="000000"/>
            </w:tcBorders>
          </w:tcPr>
          <w:p>
            <w:pPr>
              <w:pStyle w:val="TableParagraph"/>
              <w:spacing w:before="2"/>
              <w:rPr>
                <w:b/>
                <w:sz w:val="23"/>
              </w:rPr>
            </w:pPr>
          </w:p>
          <w:p>
            <w:pPr>
              <w:pStyle w:val="TableParagraph"/>
              <w:spacing w:before="1"/>
              <w:ind w:right="73"/>
              <w:jc w:val="right"/>
              <w:rPr>
                <w:b/>
                <w:sz w:val="18"/>
              </w:rPr>
            </w:pPr>
            <w:r>
              <w:rPr>
                <w:b/>
                <w:spacing w:val="-2"/>
                <w:sz w:val="18"/>
              </w:rPr>
              <w:t>4,389</w:t>
            </w:r>
          </w:p>
        </w:tc>
        <w:tc>
          <w:tcPr>
            <w:tcW w:w="1250" w:type="dxa"/>
            <w:tcBorders>
              <w:top w:val="single" w:sz="12" w:space="0" w:color="000000"/>
              <w:left w:val="single" w:sz="12" w:space="0" w:color="000000"/>
              <w:bottom w:val="single" w:sz="12" w:space="0" w:color="000000"/>
              <w:right w:val="single" w:sz="12" w:space="0" w:color="000000"/>
            </w:tcBorders>
          </w:tcPr>
          <w:p>
            <w:pPr>
              <w:pStyle w:val="TableParagraph"/>
              <w:spacing w:before="2"/>
              <w:rPr>
                <w:b/>
                <w:sz w:val="23"/>
              </w:rPr>
            </w:pPr>
          </w:p>
          <w:p>
            <w:pPr>
              <w:pStyle w:val="TableParagraph"/>
              <w:spacing w:before="1"/>
              <w:ind w:right="73"/>
              <w:jc w:val="right"/>
              <w:rPr>
                <w:b/>
                <w:sz w:val="18"/>
              </w:rPr>
            </w:pPr>
            <w:r>
              <w:rPr>
                <w:b/>
                <w:spacing w:val="-2"/>
                <w:sz w:val="18"/>
              </w:rPr>
              <w:t>29,017</w:t>
            </w:r>
          </w:p>
        </w:tc>
        <w:tc>
          <w:tcPr>
            <w:tcW w:w="1248" w:type="dxa"/>
            <w:tcBorders>
              <w:top w:val="single" w:sz="12" w:space="0" w:color="000000"/>
              <w:left w:val="single" w:sz="12" w:space="0" w:color="000000"/>
              <w:bottom w:val="single" w:sz="12" w:space="0" w:color="000000"/>
              <w:right w:val="single" w:sz="12" w:space="0" w:color="000000"/>
            </w:tcBorders>
          </w:tcPr>
          <w:p>
            <w:pPr>
              <w:pStyle w:val="TableParagraph"/>
              <w:spacing w:before="2"/>
              <w:rPr>
                <w:b/>
                <w:sz w:val="23"/>
              </w:rPr>
            </w:pPr>
          </w:p>
          <w:p>
            <w:pPr>
              <w:pStyle w:val="TableParagraph"/>
              <w:spacing w:before="1"/>
              <w:ind w:right="70"/>
              <w:jc w:val="right"/>
              <w:rPr>
                <w:b/>
                <w:sz w:val="18"/>
              </w:rPr>
            </w:pPr>
            <w:r>
              <w:rPr>
                <w:b/>
                <w:spacing w:val="-2"/>
                <w:sz w:val="18"/>
              </w:rPr>
              <w:t>14,414</w:t>
            </w:r>
          </w:p>
        </w:tc>
        <w:tc>
          <w:tcPr>
            <w:tcW w:w="1250" w:type="dxa"/>
            <w:tcBorders>
              <w:top w:val="single" w:sz="12" w:space="0" w:color="000000"/>
              <w:left w:val="single" w:sz="12" w:space="0" w:color="000000"/>
              <w:bottom w:val="single" w:sz="12" w:space="0" w:color="000000"/>
              <w:right w:val="single" w:sz="12" w:space="0" w:color="000000"/>
            </w:tcBorders>
          </w:tcPr>
          <w:p>
            <w:pPr>
              <w:pStyle w:val="TableParagraph"/>
              <w:spacing w:before="2"/>
              <w:rPr>
                <w:b/>
                <w:sz w:val="23"/>
              </w:rPr>
            </w:pPr>
          </w:p>
          <w:p>
            <w:pPr>
              <w:pStyle w:val="TableParagraph"/>
              <w:spacing w:before="1"/>
              <w:ind w:right="72"/>
              <w:jc w:val="right"/>
              <w:rPr>
                <w:b/>
                <w:sz w:val="18"/>
              </w:rPr>
            </w:pPr>
            <w:r>
              <w:rPr>
                <w:b/>
                <w:spacing w:val="-2"/>
                <w:sz w:val="18"/>
              </w:rPr>
              <w:t>15,263</w:t>
            </w:r>
          </w:p>
        </w:tc>
      </w:tr>
    </w:tbl>
    <w:p>
      <w:pPr>
        <w:rPr>
          <w:sz w:val="2"/>
          <w:szCs w:val="2"/>
        </w:rPr>
      </w:pPr>
      <w:r>
        <w:rPr/>
        <w:pict>
          <v:shape style="position:absolute;margin-left:311.760010pt;margin-top:119.039986pt;width:.5pt;height:25pt;mso-position-horizontal-relative:page;mso-position-vertical-relative:page;z-index:-37947904" id="docshape323" coordorigin="6235,2381" coordsize="10,500" path="m6245,2842l6235,2842,6235,2880,6245,2880,6245,2842xm6245,2765l6235,2765,6235,2803,6245,2803,6245,2765xm6245,2688l6235,2688,6235,2726,6245,2726,6245,2688xm6245,2611l6235,2611,6235,2650,6245,2650,6245,2611xm6245,2534l6235,2534,6235,2573,6245,2573,6245,2534xm6245,2458l6235,2458,6235,2496,6245,2496,6245,2458xm6245,2381l6235,2381,6235,2419,6245,2419,6245,2381xe" filled="true" fillcolor="#000000" stroked="false">
            <v:path arrowok="t"/>
            <v:fill type="solid"/>
            <w10:wrap type="none"/>
          </v:shape>
        </w:pict>
      </w:r>
      <w:r>
        <w:rPr/>
        <w:pict>
          <v:shape style="position:absolute;margin-left:362.76001pt;margin-top:119.039986pt;width:.5pt;height:25pt;mso-position-horizontal-relative:page;mso-position-vertical-relative:page;z-index:-37947392" id="docshape324" coordorigin="7255,2381" coordsize="10,500" path="m7265,2842l7255,2842,7255,2880,7265,2880,7265,2842xm7265,2765l7255,2765,7255,2803,7265,2803,7265,2765xm7265,2688l7255,2688,7255,2726,7265,2726,7265,2688xm7265,2611l7255,2611,7255,2650,7265,2650,7265,2611xm7265,2534l7255,2534,7255,2573,7265,2573,7265,2534xm7265,2458l7255,2458,7255,2496,7265,2496,7265,2458xm7265,2381l7255,2381,7255,2419,7265,2419,7265,2381xe" filled="true" fillcolor="#000000" stroked="false">
            <v:path arrowok="t"/>
            <v:fill type="solid"/>
            <w10:wrap type="none"/>
          </v:shape>
        </w:pict>
      </w:r>
      <w:r>
        <w:rPr/>
        <w:pict>
          <v:shape style="position:absolute;margin-left:413.76001pt;margin-top:119.039986pt;width:.5pt;height:25pt;mso-position-horizontal-relative:page;mso-position-vertical-relative:page;z-index:-37946880" id="docshape325" coordorigin="8275,2381" coordsize="10,500" path="m8285,2842l8275,2842,8275,2880,8285,2880,8285,2842xm8285,2765l8275,2765,8275,2803,8285,2803,8285,2765xm8285,2688l8275,2688,8275,2726,8285,2726,8285,2688xm8285,2611l8275,2611,8275,2650,8285,2650,8285,2611xm8285,2534l8275,2534,8275,2573,8285,2573,8285,2534xm8285,2458l8275,2458,8275,2496,8285,2496,8285,2458xm8285,2381l8275,2381,8275,2419,8285,2419,8285,2381xe" filled="true" fillcolor="#000000" stroked="false">
            <v:path arrowok="t"/>
            <v:fill type="solid"/>
            <w10:wrap type="none"/>
          </v:shape>
        </w:pict>
      </w:r>
      <w:r>
        <w:rPr/>
        <w:pict>
          <v:shape style="position:absolute;margin-left:464.880035pt;margin-top:119.039986pt;width:.5pt;height:25pt;mso-position-horizontal-relative:page;mso-position-vertical-relative:page;z-index:-37946368" id="docshape326" coordorigin="9298,2381" coordsize="10,500" path="m9307,2842l9298,2842,9298,2880,9307,2880,9307,2842xm9307,2765l9298,2765,9298,2803,9307,2803,9307,2765xm9307,2688l9298,2688,9298,2726,9307,2726,9307,2688xm9307,2611l9298,2611,9298,2650,9307,2650,9307,2611xm9307,2534l9298,2534,9298,2573,9307,2573,9307,2534xm9307,2458l9298,2458,9298,2496,9307,2496,9307,2458xm9307,2381l9298,2381,9298,2419,9307,2419,9307,2381xe" filled="true" fillcolor="#000000" stroked="false">
            <v:path arrowok="t"/>
            <v:fill type="solid"/>
            <w10:wrap type="none"/>
          </v:shape>
        </w:pict>
      </w:r>
      <w:r>
        <w:rPr/>
        <w:pict>
          <v:shape style="position:absolute;margin-left:515.880005pt;margin-top:119.039986pt;width:.5pt;height:25pt;mso-position-horizontal-relative:page;mso-position-vertical-relative:page;z-index:-37945856" id="docshape327" coordorigin="10318,2381" coordsize="10,500" path="m10327,2842l10318,2842,10318,2880,10327,2880,10327,2842xm10327,2765l10318,2765,10318,2803,10327,2803,10327,2765xm10327,2688l10318,2688,10318,2726,10327,2726,10327,2688xm10327,2611l10318,2611,10318,2650,10327,2650,10327,2611xm10327,2534l10318,2534,10318,2573,10327,2573,10327,2534xm10327,2458l10318,2458,10318,2496,10327,2496,10327,2458xm10327,2381l10318,2381,10318,2419,10327,2419,10327,2381xe" filled="true" fillcolor="#000000" stroked="false">
            <v:path arrowok="t"/>
            <v:fill type="solid"/>
            <w10:wrap type="none"/>
          </v:shape>
        </w:pict>
      </w:r>
      <w:r>
        <w:rPr/>
        <w:pict>
          <v:shape style="position:absolute;margin-left:567pt;margin-top:119.039986pt;width:.5pt;height:25pt;mso-position-horizontal-relative:page;mso-position-vertical-relative:page;z-index:-37945344" id="docshape328" coordorigin="11340,2381" coordsize="10,500" path="m11350,2842l11340,2842,11340,2880,11350,2880,11350,2842xm11350,2765l11340,2765,11340,2803,11350,2803,11350,2765xm11350,2688l11340,2688,11340,2726,11350,2726,11350,2688xm11350,2611l11340,2611,11340,2650,11350,2650,11350,2611xm11350,2534l11340,2534,11340,2573,11350,2573,11350,2534xm11350,2458l11340,2458,11340,2496,11350,2496,11350,2458xm11350,2381l11340,2381,11340,2419,11350,2419,11350,2381xe" filled="true" fillcolor="#000000" stroked="false">
            <v:path arrowok="t"/>
            <v:fill type="solid"/>
            <w10:wrap type="none"/>
          </v:shape>
        </w:pict>
      </w:r>
      <w:r>
        <w:rPr/>
        <w:pict>
          <v:shape style="position:absolute;margin-left:311.760010pt;margin-top:165.120987pt;width:.5pt;height:17.3pt;mso-position-horizontal-relative:page;mso-position-vertical-relative:page;z-index:-37944832" id="docshape329" coordorigin="6235,3302" coordsize="10,346" path="m6245,3610l6235,3610,6235,3648,6245,3648,6245,3610xm6245,3533l6235,3533,6235,3571,6245,3571,6245,3533xm6245,3456l6235,3456,6235,3494,6245,3494,6245,3456xm6245,3379l6235,3379,6235,3418,6245,3418,6245,3379xm6245,3302l6235,3302,6235,3341,6245,3341,6245,3302xe" filled="true" fillcolor="#000000" stroked="false">
            <v:path arrowok="t"/>
            <v:fill type="solid"/>
            <w10:wrap type="none"/>
          </v:shape>
        </w:pict>
      </w:r>
      <w:r>
        <w:rPr/>
        <w:pict>
          <v:shape style="position:absolute;margin-left:311.760010pt;margin-top:191.999985pt;width:.5pt;height:5.8pt;mso-position-horizontal-relative:page;mso-position-vertical-relative:page;z-index:-37944320" id="docshape330" coordorigin="6235,3840" coordsize="10,116" path="m6245,3917l6235,3917,6235,3955,6245,3955,6245,3917xm6245,3840l6235,3840,6235,3878,6245,3878,6245,3840xe" filled="true" fillcolor="#000000" stroked="false">
            <v:path arrowok="t"/>
            <v:fill type="solid"/>
            <w10:wrap type="none"/>
          </v:shape>
        </w:pict>
      </w:r>
      <w:r>
        <w:rPr/>
        <w:pict>
          <v:shape style="position:absolute;margin-left:311.760010pt;margin-top:207.360992pt;width:.5pt;height:5.8pt;mso-position-horizontal-relative:page;mso-position-vertical-relative:page;z-index:-37943808" id="docshape331" coordorigin="6235,4147" coordsize="10,116" path="m6245,4224l6235,4224,6235,4262,6245,4262,6245,4224xm6245,4147l6235,4147,6235,4186,6245,4186,6245,4147xe" filled="true" fillcolor="#000000" stroked="false">
            <v:path arrowok="t"/>
            <v:fill type="solid"/>
            <w10:wrap type="none"/>
          </v:shape>
        </w:pict>
      </w:r>
      <w:r>
        <w:rPr/>
        <w:pict>
          <v:shape style="position:absolute;margin-left:515.880005pt;margin-top:207.360992pt;width:.5pt;height:5.8pt;mso-position-horizontal-relative:page;mso-position-vertical-relative:page;z-index:-37943296" id="docshape332" coordorigin="10318,4147" coordsize="10,116" path="m10327,4224l10318,4224,10318,4262,10327,4262,10327,4224xm10327,4147l10318,4147,10318,4186,10327,4186,10327,4147xe" filled="true" fillcolor="#000000" stroked="false">
            <v:path arrowok="t"/>
            <v:fill type="solid"/>
            <w10:wrap type="none"/>
          </v:shape>
        </w:pict>
      </w:r>
      <w:r>
        <w:rPr/>
        <w:pict>
          <v:shape style="position:absolute;margin-left:311.760010pt;margin-top:222.719986pt;width:.5pt;height:9.65pt;mso-position-horizontal-relative:page;mso-position-vertical-relative:page;z-index:-37942784" id="docshape333" coordorigin="6235,4454" coordsize="10,193" path="m6245,4608l6235,4608,6235,4646,6245,4646,6245,4608xm6245,4531l6235,4531,6235,4570,6245,4570,6245,4531xm6245,4454l6235,4454,6235,4493,6245,4493,6245,4454xe" filled="true" fillcolor="#000000" stroked="false">
            <v:path arrowok="t"/>
            <v:fill type="solid"/>
            <w10:wrap type="none"/>
          </v:shape>
        </w:pict>
      </w:r>
      <w:r>
        <w:rPr/>
        <w:pict>
          <v:shape style="position:absolute;margin-left:362.76001pt;margin-top:222.719986pt;width:.5pt;height:9.65pt;mso-position-horizontal-relative:page;mso-position-vertical-relative:page;z-index:-37942272" id="docshape334" coordorigin="7255,4454" coordsize="10,193" path="m7265,4608l7255,4608,7255,4646,7265,4646,7265,4608xm7265,4531l7255,4531,7255,4570,7265,4570,7265,4531xm7265,4454l7255,4454,7255,4493,7265,4493,7265,4454xe" filled="true" fillcolor="#000000" stroked="false">
            <v:path arrowok="t"/>
            <v:fill type="solid"/>
            <w10:wrap type="none"/>
          </v:shape>
        </w:pict>
      </w:r>
      <w:r>
        <w:rPr/>
        <w:pict>
          <v:shape style="position:absolute;margin-left:413.76001pt;margin-top:222.719986pt;width:.5pt;height:9.65pt;mso-position-horizontal-relative:page;mso-position-vertical-relative:page;z-index:-37941760" id="docshape335" coordorigin="8275,4454" coordsize="10,193" path="m8285,4608l8275,4608,8275,4646,8285,4646,8285,4608xm8285,4531l8275,4531,8275,4570,8285,4570,8285,4531xm8285,4454l8275,4454,8275,4493,8285,4493,8285,4454xe" filled="true" fillcolor="#000000" stroked="false">
            <v:path arrowok="t"/>
            <v:fill type="solid"/>
            <w10:wrap type="none"/>
          </v:shape>
        </w:pict>
      </w:r>
      <w:r>
        <w:rPr/>
        <w:pict>
          <v:shape style="position:absolute;margin-left:464.880035pt;margin-top:222.719986pt;width:.5pt;height:9.65pt;mso-position-horizontal-relative:page;mso-position-vertical-relative:page;z-index:-37941248" id="docshape336" coordorigin="9298,4454" coordsize="10,193" path="m9307,4608l9298,4608,9298,4646,9307,4646,9307,4608xm9307,4531l9298,4531,9298,4570,9307,4570,9307,4531xm9307,4454l9298,4454,9298,4493,9307,4493,9307,4454xe" filled="true" fillcolor="#000000" stroked="false">
            <v:path arrowok="t"/>
            <v:fill type="solid"/>
            <w10:wrap type="none"/>
          </v:shape>
        </w:pict>
      </w:r>
      <w:r>
        <w:rPr/>
        <w:pict>
          <v:shape style="position:absolute;margin-left:515.880005pt;margin-top:222.719986pt;width:.5pt;height:9.65pt;mso-position-horizontal-relative:page;mso-position-vertical-relative:page;z-index:-37940736" id="docshape337" coordorigin="10318,4454" coordsize="10,193" path="m10327,4608l10318,4608,10318,4646,10327,4646,10327,4608xm10327,4531l10318,4531,10318,4570,10327,4570,10327,4531xm10327,4454l10318,4454,10318,4493,10327,4493,10327,4454xe" filled="true" fillcolor="#000000" stroked="false">
            <v:path arrowok="t"/>
            <v:fill type="solid"/>
            <w10:wrap type="none"/>
          </v:shape>
        </w:pict>
      </w:r>
      <w:r>
        <w:rPr/>
        <w:pict>
          <v:shape style="position:absolute;margin-left:567pt;margin-top:222.719986pt;width:.5pt;height:9.65pt;mso-position-horizontal-relative:page;mso-position-vertical-relative:page;z-index:-37940224" id="docshape338" coordorigin="11340,4454" coordsize="10,193" path="m11350,4608l11340,4608,11340,4646,11350,4646,11350,4608xm11350,4531l11340,4531,11340,4570,11350,4570,11350,4531xm11350,4454l11340,4454,11340,4493,11350,4493,11350,4454xe" filled="true" fillcolor="#000000" stroked="false">
            <v:path arrowok="t"/>
            <v:fill type="solid"/>
            <w10:wrap type="none"/>
          </v:shape>
        </w:pict>
      </w:r>
      <w:r>
        <w:rPr/>
        <w:pict>
          <v:shape style="position:absolute;margin-left:311.760010pt;margin-top:253.440994pt;width:.5pt;height:9.6pt;mso-position-horizontal-relative:page;mso-position-vertical-relative:page;z-index:-37939712" id="docshape339" coordorigin="6235,5069" coordsize="10,192" path="m6245,5222l6235,5222,6235,5261,6245,5261,6245,5222xm6245,5146l6235,5146,6235,5184,6245,5184,6245,5146xm6245,5069l6235,5069,6235,5107,6245,5107,6245,5069xe" filled="true" fillcolor="#000000" stroked="false">
            <v:path arrowok="t"/>
            <v:fill type="solid"/>
            <w10:wrap type="none"/>
          </v:shape>
        </w:pict>
      </w:r>
      <w:r>
        <w:rPr/>
        <w:pict>
          <v:shape style="position:absolute;margin-left:311.760010pt;margin-top:284.16098pt;width:.5pt;height:9.6pt;mso-position-horizontal-relative:page;mso-position-vertical-relative:page;z-index:-37939200" id="docshape340" coordorigin="6235,5683" coordsize="10,192" path="m6245,5837l6235,5837,6235,5875,6245,5875,6245,5837xm6245,5760l6235,5760,6235,5798,6245,5798,6245,5760xm6245,5683l6235,5683,6235,5722,6245,5722,6245,5683xe" filled="true" fillcolor="#000000" stroked="false">
            <v:path arrowok="t"/>
            <v:fill type="solid"/>
            <w10:wrap type="none"/>
          </v:shape>
        </w:pict>
      </w:r>
      <w:r>
        <w:rPr/>
        <w:pict>
          <v:shape style="position:absolute;margin-left:362.76001pt;margin-top:284.16098pt;width:.5pt;height:9.6pt;mso-position-horizontal-relative:page;mso-position-vertical-relative:page;z-index:-37938688" id="docshape341" coordorigin="7255,5683" coordsize="10,192" path="m7265,5837l7255,5837,7255,5875,7265,5875,7265,5837xm7265,5760l7255,5760,7255,5798,7265,5798,7265,5760xm7265,5683l7255,5683,7255,5722,7265,5722,7265,5683xe" filled="true" fillcolor="#000000" stroked="false">
            <v:path arrowok="t"/>
            <v:fill type="solid"/>
            <w10:wrap type="none"/>
          </v:shape>
        </w:pict>
      </w:r>
      <w:r>
        <w:rPr/>
        <w:pict>
          <v:shape style="position:absolute;margin-left:413.76001pt;margin-top:284.16098pt;width:.5pt;height:9.6pt;mso-position-horizontal-relative:page;mso-position-vertical-relative:page;z-index:-37938176" id="docshape342" coordorigin="8275,5683" coordsize="10,192" path="m8285,5837l8275,5837,8275,5875,8285,5875,8285,5837xm8285,5760l8275,5760,8275,5798,8285,5798,8285,5760xm8285,5683l8275,5683,8275,5722,8285,5722,8285,5683xe" filled="true" fillcolor="#000000" stroked="false">
            <v:path arrowok="t"/>
            <v:fill type="solid"/>
            <w10:wrap type="none"/>
          </v:shape>
        </w:pict>
      </w:r>
      <w:r>
        <w:rPr/>
        <w:pict>
          <v:shape style="position:absolute;margin-left:464.880035pt;margin-top:284.16098pt;width:.5pt;height:9.6pt;mso-position-horizontal-relative:page;mso-position-vertical-relative:page;z-index:-37937664" id="docshape343" coordorigin="9298,5683" coordsize="10,192" path="m9307,5837l9298,5837,9298,5875,9307,5875,9307,5837xm9307,5760l9298,5760,9298,5798,9307,5798,9307,5760xm9307,5683l9298,5683,9298,5722,9307,5722,9307,5683xe" filled="true" fillcolor="#000000" stroked="false">
            <v:path arrowok="t"/>
            <v:fill type="solid"/>
            <w10:wrap type="none"/>
          </v:shape>
        </w:pict>
      </w:r>
      <w:r>
        <w:rPr/>
        <w:pict>
          <v:shape style="position:absolute;margin-left:515.880005pt;margin-top:284.16098pt;width:.5pt;height:9.6pt;mso-position-horizontal-relative:page;mso-position-vertical-relative:page;z-index:-37937152" id="docshape344" coordorigin="10318,5683" coordsize="10,192" path="m10327,5837l10318,5837,10318,5875,10327,5875,10327,5837xm10327,5760l10318,5760,10318,5798,10327,5798,10327,5760xm10327,5683l10318,5683,10318,5722,10327,5722,10327,5683xe" filled="true" fillcolor="#000000" stroked="false">
            <v:path arrowok="t"/>
            <v:fill type="solid"/>
            <w10:wrap type="none"/>
          </v:shape>
        </w:pict>
      </w:r>
      <w:r>
        <w:rPr/>
        <w:pict>
          <v:shape style="position:absolute;margin-left:567pt;margin-top:284.16098pt;width:.5pt;height:9.6pt;mso-position-horizontal-relative:page;mso-position-vertical-relative:page;z-index:-37936640" id="docshape345" coordorigin="11340,5683" coordsize="10,192" path="m11350,5837l11340,5837,11340,5875,11350,5875,11350,5837xm11350,5760l11340,5760,11340,5798,11350,5798,11350,5760xm11350,5683l11340,5683,11340,5722,11350,5722,11350,5683xe" filled="true" fillcolor="#000000" stroked="false">
            <v:path arrowok="t"/>
            <v:fill type="solid"/>
            <w10:wrap type="none"/>
          </v:shape>
        </w:pict>
      </w:r>
      <w:r>
        <w:rPr/>
        <w:pict>
          <v:shape style="position:absolute;margin-left:311.760010pt;margin-top:318.720001pt;width:.5pt;height:5.8pt;mso-position-horizontal-relative:page;mso-position-vertical-relative:page;z-index:-37936128" id="docshape346" coordorigin="6235,6374" coordsize="10,116" path="m6245,6451l6235,6451,6235,6490,6245,6490,6245,6451xm6245,6374l6235,6374,6235,6413,6245,6413,6245,6374xe" filled="true" fillcolor="#000000" stroked="false">
            <v:path arrowok="t"/>
            <v:fill type="solid"/>
            <w10:wrap type="none"/>
          </v:shape>
        </w:pict>
      </w:r>
      <w:r>
        <w:rPr/>
        <w:pict>
          <v:shape style="position:absolute;margin-left:515.880005pt;margin-top:318.720001pt;width:.5pt;height:5.8pt;mso-position-horizontal-relative:page;mso-position-vertical-relative:page;z-index:-37935616" id="docshape347" coordorigin="10318,6374" coordsize="10,116" path="m10327,6451l10318,6451,10318,6490,10327,6490,10327,6451xm10327,6374l10318,6374,10318,6413,10327,6413,10327,6374xe" filled="true" fillcolor="#000000" stroked="false">
            <v:path arrowok="t"/>
            <v:fill type="solid"/>
            <w10:wrap type="none"/>
          </v:shape>
        </w:pict>
      </w:r>
      <w:r>
        <w:rPr/>
        <w:pict>
          <v:shape style="position:absolute;margin-left:311.760010pt;margin-top:334.080994pt;width:.5pt;height:5.8pt;mso-position-horizontal-relative:page;mso-position-vertical-relative:page;z-index:-37935104" id="docshape348" coordorigin="6235,6682" coordsize="10,116" path="m6245,6758l6235,6758,6235,6797,6245,6797,6245,6758xm6245,6682l6235,6682,6235,6720,6245,6720,6245,6682xe" filled="true" fillcolor="#000000" stroked="false">
            <v:path arrowok="t"/>
            <v:fill type="solid"/>
            <w10:wrap type="none"/>
          </v:shape>
        </w:pict>
      </w:r>
      <w:r>
        <w:rPr/>
        <w:pict>
          <v:shape style="position:absolute;margin-left:311.760010pt;margin-top:349.44101pt;width:.5pt;height:5.8pt;mso-position-horizontal-relative:page;mso-position-vertical-relative:page;z-index:-37934592" id="docshape349" coordorigin="6235,6989" coordsize="10,116" path="m6245,7066l6235,7066,6235,7104,6245,7104,6245,7066xm6245,6989l6235,6989,6235,7027,6245,7027,6245,6989xe" filled="true" fillcolor="#000000" stroked="false">
            <v:path arrowok="t"/>
            <v:fill type="solid"/>
            <w10:wrap type="none"/>
          </v:shape>
        </w:pict>
      </w:r>
      <w:r>
        <w:rPr/>
        <w:pict>
          <v:shape style="position:absolute;margin-left:311.760010pt;margin-top:364.799988pt;width:.5pt;height:5.8pt;mso-position-horizontal-relative:page;mso-position-vertical-relative:page;z-index:-37934080" id="docshape350" coordorigin="6235,7296" coordsize="10,116" path="m6245,7373l6235,7373,6235,7411,6245,7411,6245,7373xm6245,7296l6235,7296,6235,7334,6245,7334,6245,7296xe" filled="true" fillcolor="#000000" stroked="false">
            <v:path arrowok="t"/>
            <v:fill type="solid"/>
            <w10:wrap type="none"/>
          </v:shape>
        </w:pict>
      </w:r>
      <w:r>
        <w:rPr/>
        <w:pict>
          <v:shape style="position:absolute;margin-left:311.760010pt;margin-top:380.161011pt;width:.5pt;height:5.8pt;mso-position-horizontal-relative:page;mso-position-vertical-relative:page;z-index:-37933568" id="docshape351" coordorigin="6235,7603" coordsize="10,116" path="m6245,7680l6235,7680,6235,7718,6245,7718,6245,7680xm6245,7603l6235,7603,6235,7642,6245,7642,6245,7603xe" filled="true" fillcolor="#000000" stroked="false">
            <v:path arrowok="t"/>
            <v:fill type="solid"/>
            <w10:wrap type="none"/>
          </v:shape>
        </w:pict>
      </w:r>
      <w:r>
        <w:rPr/>
        <w:pict>
          <v:shape style="position:absolute;margin-left:311.760010pt;margin-top:395.519989pt;width:.5pt;height:5.8pt;mso-position-horizontal-relative:page;mso-position-vertical-relative:page;z-index:-37933056" id="docshape352" coordorigin="6235,7910" coordsize="10,116" path="m6245,7987l6235,7987,6235,8026,6245,8026,6245,7987xm6245,7910l6235,7910,6235,7949,6245,7949,6245,7910xe" filled="true" fillcolor="#000000" stroked="false">
            <v:path arrowok="t"/>
            <v:fill type="solid"/>
            <w10:wrap type="none"/>
          </v:shape>
        </w:pict>
      </w:r>
      <w:r>
        <w:rPr/>
        <w:pict>
          <v:shape style="position:absolute;margin-left:311.760010pt;margin-top:410.881012pt;width:.5pt;height:5.8pt;mso-position-horizontal-relative:page;mso-position-vertical-relative:page;z-index:-37932544" id="docshape353" coordorigin="6235,8218" coordsize="10,116" path="m6245,8294l6235,8294,6235,8333,6245,8333,6245,8294xm6245,8218l6235,8218,6235,8256,6245,8256,6245,8218xe" filled="true" fillcolor="#000000" stroked="false">
            <v:path arrowok="t"/>
            <v:fill type="solid"/>
            <w10:wrap type="none"/>
          </v:shape>
        </w:pict>
      </w:r>
      <w:r>
        <w:rPr/>
        <w:pict>
          <v:shape style="position:absolute;margin-left:311.760010pt;margin-top:426.240997pt;width:.5pt;height:5.8pt;mso-position-horizontal-relative:page;mso-position-vertical-relative:page;z-index:-37932032" id="docshape354" coordorigin="6235,8525" coordsize="10,116" path="m6245,8602l6235,8602,6235,8640,6245,8640,6245,8602xm6245,8525l6235,8525,6235,8563,6245,8563,6245,8525xe" filled="true" fillcolor="#000000" stroked="false">
            <v:path arrowok="t"/>
            <v:fill type="solid"/>
            <w10:wrap type="none"/>
          </v:shape>
        </w:pict>
      </w:r>
      <w:r>
        <w:rPr/>
        <w:pict>
          <v:shape style="position:absolute;margin-left:515.880005pt;margin-top:426.240997pt;width:.5pt;height:5.8pt;mso-position-horizontal-relative:page;mso-position-vertical-relative:page;z-index:-37931520" id="docshape355" coordorigin="10318,8525" coordsize="10,116" path="m10327,8602l10318,8602,10318,8640,10327,8640,10327,8602xm10327,8525l10318,8525,10318,8563,10327,8563,10327,8525xe" filled="true" fillcolor="#000000" stroked="false">
            <v:path arrowok="t"/>
            <v:fill type="solid"/>
            <w10:wrap type="none"/>
          </v:shape>
        </w:pict>
      </w:r>
      <w:r>
        <w:rPr/>
        <w:pict>
          <v:shape style="position:absolute;margin-left:311.760010pt;margin-top:441.600006pt;width:.5pt;height:9.6pt;mso-position-horizontal-relative:page;mso-position-vertical-relative:page;z-index:-37931008" id="docshape356" coordorigin="6235,8832" coordsize="10,192" path="m6245,8986l6235,8986,6235,9024,6245,9024,6245,8986xm6245,8909l6235,8909,6235,8947,6245,8947,6245,8909xm6245,8832l6235,8832,6235,8870,6245,8870,6245,8832xe" filled="true" fillcolor="#000000" stroked="false">
            <v:path arrowok="t"/>
            <v:fill type="solid"/>
            <w10:wrap type="none"/>
          </v:shape>
        </w:pict>
      </w:r>
      <w:r>
        <w:rPr/>
        <w:pict>
          <v:shape style="position:absolute;margin-left:362.76001pt;margin-top:441.600006pt;width:.5pt;height:9.6pt;mso-position-horizontal-relative:page;mso-position-vertical-relative:page;z-index:-37930496" id="docshape357" coordorigin="7255,8832" coordsize="10,192" path="m7265,8986l7255,8986,7255,9024,7265,9024,7265,8986xm7265,8909l7255,8909,7255,8947,7265,8947,7265,8909xm7265,8832l7255,8832,7255,8870,7265,8870,7265,8832xe" filled="true" fillcolor="#000000" stroked="false">
            <v:path arrowok="t"/>
            <v:fill type="solid"/>
            <w10:wrap type="none"/>
          </v:shape>
        </w:pict>
      </w:r>
      <w:r>
        <w:rPr/>
        <w:pict>
          <v:shape style="position:absolute;margin-left:413.76001pt;margin-top:441.600006pt;width:.5pt;height:9.6pt;mso-position-horizontal-relative:page;mso-position-vertical-relative:page;z-index:-37929984" id="docshape358" coordorigin="8275,8832" coordsize="10,192" path="m8285,8986l8275,8986,8275,9024,8285,9024,8285,8986xm8285,8909l8275,8909,8275,8947,8285,8947,8285,8909xm8285,8832l8275,8832,8275,8870,8285,8870,8285,8832xe" filled="true" fillcolor="#000000" stroked="false">
            <v:path arrowok="t"/>
            <v:fill type="solid"/>
            <w10:wrap type="none"/>
          </v:shape>
        </w:pict>
      </w:r>
      <w:r>
        <w:rPr/>
        <w:pict>
          <v:shape style="position:absolute;margin-left:464.880035pt;margin-top:441.600006pt;width:.5pt;height:9.6pt;mso-position-horizontal-relative:page;mso-position-vertical-relative:page;z-index:-37929472" id="docshape359" coordorigin="9298,8832" coordsize="10,192" path="m9307,8986l9298,8986,9298,9024,9307,9024,9307,8986xm9307,8909l9298,8909,9298,8947,9307,8947,9307,8909xm9307,8832l9298,8832,9298,8870,9307,8870,9307,8832xe" filled="true" fillcolor="#000000" stroked="false">
            <v:path arrowok="t"/>
            <v:fill type="solid"/>
            <w10:wrap type="none"/>
          </v:shape>
        </w:pict>
      </w:r>
      <w:r>
        <w:rPr/>
        <w:pict>
          <v:shape style="position:absolute;margin-left:515.880005pt;margin-top:441.600006pt;width:.5pt;height:9.6pt;mso-position-horizontal-relative:page;mso-position-vertical-relative:page;z-index:-37928960" id="docshape360" coordorigin="10318,8832" coordsize="10,192" path="m10327,8986l10318,8986,10318,9024,10327,9024,10327,8986xm10327,8909l10318,8909,10318,8947,10327,8947,10327,8909xm10327,8832l10318,8832,10318,8870,10327,8870,10327,8832xe" filled="true" fillcolor="#000000" stroked="false">
            <v:path arrowok="t"/>
            <v:fill type="solid"/>
            <w10:wrap type="none"/>
          </v:shape>
        </w:pict>
      </w:r>
      <w:r>
        <w:rPr/>
        <w:pict>
          <v:shape style="position:absolute;margin-left:567pt;margin-top:441.600006pt;width:.5pt;height:9.6pt;mso-position-horizontal-relative:page;mso-position-vertical-relative:page;z-index:-37928448" id="docshape361" coordorigin="11340,8832" coordsize="10,192" path="m11350,8986l11340,8986,11340,9024,11350,9024,11350,8986xm11350,8909l11340,8909,11340,8947,11350,8947,11350,8909xm11350,8832l11340,8832,11340,8870,11350,8870,11350,8832xe" filled="true" fillcolor="#000000" stroked="false">
            <v:path arrowok="t"/>
            <v:fill type="solid"/>
            <w10:wrap type="none"/>
          </v:shape>
        </w:pict>
      </w:r>
    </w:p>
    <w:p>
      <w:pPr>
        <w:spacing w:after="0"/>
        <w:rPr>
          <w:sz w:val="2"/>
          <w:szCs w:val="2"/>
        </w:rPr>
        <w:sectPr>
          <w:pgSz w:w="16840" w:h="11910" w:orient="landscape"/>
          <w:pgMar w:header="0" w:footer="375" w:top="540" w:bottom="1786" w:left="600" w:right="120"/>
        </w:sectPr>
      </w:pPr>
    </w:p>
    <w:tbl>
      <w:tblPr>
        <w:tblW w:w="0" w:type="auto"/>
        <w:jc w:val="left"/>
        <w:tblInd w:w="14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291"/>
        <w:gridCol w:w="1207"/>
        <w:gridCol w:w="1020"/>
        <w:gridCol w:w="1022"/>
        <w:gridCol w:w="1020"/>
        <w:gridCol w:w="1020"/>
        <w:gridCol w:w="1022"/>
        <w:gridCol w:w="1027"/>
        <w:gridCol w:w="1248"/>
        <w:gridCol w:w="1248"/>
        <w:gridCol w:w="1243"/>
      </w:tblGrid>
      <w:tr>
        <w:trPr>
          <w:trHeight w:val="528" w:hRule="atLeast"/>
        </w:trPr>
        <w:tc>
          <w:tcPr>
            <w:tcW w:w="15368" w:type="dxa"/>
            <w:gridSpan w:val="11"/>
            <w:tcBorders>
              <w:left w:val="single" w:sz="12" w:space="0" w:color="000000"/>
              <w:right w:val="single" w:sz="12" w:space="0" w:color="000000"/>
            </w:tcBorders>
            <w:shd w:val="clear" w:color="auto" w:fill="629CD1"/>
          </w:tcPr>
          <w:p>
            <w:pPr>
              <w:pStyle w:val="TableParagraph"/>
              <w:spacing w:before="102"/>
              <w:ind w:left="3639" w:right="3608"/>
              <w:jc w:val="center"/>
              <w:rPr>
                <w:b/>
                <w:sz w:val="28"/>
              </w:rPr>
            </w:pPr>
            <w:r>
              <w:rPr>
                <w:b/>
                <w:color w:val="FFFFFF"/>
                <w:sz w:val="28"/>
              </w:rPr>
              <w:t>CAPITAL</w:t>
            </w:r>
            <w:r>
              <w:rPr>
                <w:b/>
                <w:color w:val="FFFFFF"/>
                <w:spacing w:val="-6"/>
                <w:sz w:val="28"/>
              </w:rPr>
              <w:t> </w:t>
            </w:r>
            <w:r>
              <w:rPr>
                <w:b/>
                <w:color w:val="FFFFFF"/>
                <w:sz w:val="28"/>
              </w:rPr>
              <w:t>EXPENDITURE</w:t>
            </w:r>
            <w:r>
              <w:rPr>
                <w:b/>
                <w:color w:val="FFFFFF"/>
                <w:spacing w:val="-6"/>
                <w:sz w:val="28"/>
              </w:rPr>
              <w:t> </w:t>
            </w:r>
            <w:r>
              <w:rPr>
                <w:b/>
                <w:color w:val="FFFFFF"/>
                <w:sz w:val="28"/>
              </w:rPr>
              <w:t>PROGRAM</w:t>
            </w:r>
            <w:r>
              <w:rPr>
                <w:b/>
                <w:color w:val="FFFFFF"/>
                <w:spacing w:val="-3"/>
                <w:sz w:val="28"/>
              </w:rPr>
              <w:t> </w:t>
            </w:r>
            <w:r>
              <w:rPr>
                <w:b/>
                <w:color w:val="FFFFFF"/>
                <w:sz w:val="28"/>
              </w:rPr>
              <w:t>2025/2026</w:t>
            </w:r>
            <w:r>
              <w:rPr>
                <w:b/>
                <w:color w:val="FFFFFF"/>
                <w:spacing w:val="-6"/>
                <w:sz w:val="28"/>
              </w:rPr>
              <w:t> </w:t>
            </w:r>
            <w:r>
              <w:rPr>
                <w:b/>
                <w:color w:val="FFFFFF"/>
                <w:sz w:val="28"/>
              </w:rPr>
              <w:t>TO</w:t>
            </w:r>
            <w:r>
              <w:rPr>
                <w:b/>
                <w:color w:val="FFFFFF"/>
                <w:spacing w:val="-3"/>
                <w:sz w:val="28"/>
              </w:rPr>
              <w:t> </w:t>
            </w:r>
            <w:r>
              <w:rPr>
                <w:b/>
                <w:color w:val="FFFFFF"/>
                <w:spacing w:val="-2"/>
                <w:sz w:val="28"/>
              </w:rPr>
              <w:t>2028/2029</w:t>
            </w:r>
          </w:p>
        </w:tc>
      </w:tr>
      <w:tr>
        <w:trPr>
          <w:trHeight w:val="571" w:hRule="atLeast"/>
        </w:trPr>
        <w:tc>
          <w:tcPr>
            <w:tcW w:w="4291" w:type="dxa"/>
            <w:tcBorders>
              <w:left w:val="single" w:sz="12" w:space="0" w:color="000000"/>
              <w:right w:val="single" w:sz="12" w:space="0" w:color="000000"/>
            </w:tcBorders>
            <w:shd w:val="clear" w:color="auto" w:fill="629CD1"/>
          </w:tcPr>
          <w:p>
            <w:pPr>
              <w:pStyle w:val="TableParagraph"/>
              <w:rPr>
                <w:rFonts w:ascii="Times New Roman"/>
                <w:sz w:val="18"/>
              </w:rPr>
            </w:pPr>
          </w:p>
        </w:tc>
        <w:tc>
          <w:tcPr>
            <w:tcW w:w="7338" w:type="dxa"/>
            <w:gridSpan w:val="7"/>
            <w:tcBorders>
              <w:left w:val="single" w:sz="12" w:space="0" w:color="000000"/>
              <w:right w:val="single" w:sz="12" w:space="0" w:color="000000"/>
            </w:tcBorders>
            <w:shd w:val="clear" w:color="auto" w:fill="629CD1"/>
          </w:tcPr>
          <w:p>
            <w:pPr>
              <w:pStyle w:val="TableParagraph"/>
              <w:spacing w:before="168"/>
              <w:ind w:left="2815" w:right="2787"/>
              <w:jc w:val="center"/>
              <w:rPr>
                <w:b/>
                <w:sz w:val="20"/>
              </w:rPr>
            </w:pPr>
            <w:r>
              <w:rPr>
                <w:b/>
                <w:color w:val="FFFFFF"/>
                <w:sz w:val="20"/>
              </w:rPr>
              <w:t>Budget</w:t>
            </w:r>
            <w:r>
              <w:rPr>
                <w:b/>
                <w:color w:val="FFFFFF"/>
                <w:spacing w:val="-7"/>
                <w:sz w:val="20"/>
              </w:rPr>
              <w:t> </w:t>
            </w:r>
            <w:r>
              <w:rPr>
                <w:b/>
                <w:color w:val="FFFFFF"/>
                <w:spacing w:val="-2"/>
                <w:sz w:val="20"/>
              </w:rPr>
              <w:t>2025/2026</w:t>
            </w:r>
          </w:p>
        </w:tc>
        <w:tc>
          <w:tcPr>
            <w:tcW w:w="1248" w:type="dxa"/>
            <w:tcBorders>
              <w:left w:val="single" w:sz="12" w:space="0" w:color="000000"/>
              <w:right w:val="single" w:sz="12" w:space="0" w:color="000000"/>
            </w:tcBorders>
            <w:shd w:val="clear" w:color="auto" w:fill="629CD1"/>
          </w:tcPr>
          <w:p>
            <w:pPr>
              <w:pStyle w:val="TableParagraph"/>
              <w:spacing w:before="55"/>
              <w:ind w:left="152" w:right="118" w:firstLine="127"/>
              <w:rPr>
                <w:b/>
                <w:sz w:val="20"/>
              </w:rPr>
            </w:pPr>
            <w:r>
              <w:rPr>
                <w:b/>
                <w:color w:val="FFFFFF"/>
                <w:spacing w:val="-2"/>
                <w:sz w:val="20"/>
              </w:rPr>
              <w:t>Budget 2026/2027</w:t>
            </w:r>
          </w:p>
        </w:tc>
        <w:tc>
          <w:tcPr>
            <w:tcW w:w="1248" w:type="dxa"/>
            <w:tcBorders>
              <w:left w:val="single" w:sz="12" w:space="0" w:color="000000"/>
              <w:right w:val="single" w:sz="12" w:space="0" w:color="000000"/>
            </w:tcBorders>
            <w:shd w:val="clear" w:color="auto" w:fill="629CD1"/>
          </w:tcPr>
          <w:p>
            <w:pPr>
              <w:pStyle w:val="TableParagraph"/>
              <w:spacing w:before="55"/>
              <w:ind w:left="152" w:right="118" w:firstLine="127"/>
              <w:rPr>
                <w:b/>
                <w:sz w:val="20"/>
              </w:rPr>
            </w:pPr>
            <w:r>
              <w:rPr>
                <w:b/>
                <w:color w:val="FFFFFF"/>
                <w:spacing w:val="-2"/>
                <w:sz w:val="20"/>
              </w:rPr>
              <w:t>Budget 2027/2028</w:t>
            </w:r>
          </w:p>
        </w:tc>
        <w:tc>
          <w:tcPr>
            <w:tcW w:w="1243" w:type="dxa"/>
            <w:tcBorders>
              <w:left w:val="single" w:sz="12" w:space="0" w:color="000000"/>
              <w:right w:val="single" w:sz="12" w:space="0" w:color="000000"/>
            </w:tcBorders>
            <w:shd w:val="clear" w:color="auto" w:fill="629CD1"/>
          </w:tcPr>
          <w:p>
            <w:pPr>
              <w:pStyle w:val="TableParagraph"/>
              <w:spacing w:before="55"/>
              <w:ind w:left="149" w:right="116" w:firstLine="129"/>
              <w:rPr>
                <w:b/>
                <w:sz w:val="20"/>
              </w:rPr>
            </w:pPr>
            <w:r>
              <w:rPr>
                <w:b/>
                <w:color w:val="FFFFFF"/>
                <w:spacing w:val="-2"/>
                <w:sz w:val="20"/>
              </w:rPr>
              <w:t>Budget 2028/2029</w:t>
            </w:r>
          </w:p>
        </w:tc>
      </w:tr>
      <w:tr>
        <w:trPr>
          <w:trHeight w:val="774" w:hRule="atLeast"/>
        </w:trPr>
        <w:tc>
          <w:tcPr>
            <w:tcW w:w="4291" w:type="dxa"/>
            <w:tcBorders>
              <w:left w:val="single" w:sz="12" w:space="0" w:color="000000"/>
              <w:bottom w:val="single" w:sz="12" w:space="0" w:color="000000"/>
              <w:right w:val="single" w:sz="12" w:space="0" w:color="000000"/>
            </w:tcBorders>
            <w:shd w:val="clear" w:color="auto" w:fill="629CD1"/>
          </w:tcPr>
          <w:p>
            <w:pPr>
              <w:pStyle w:val="TableParagraph"/>
              <w:rPr>
                <w:rFonts w:ascii="Times New Roman"/>
                <w:sz w:val="18"/>
              </w:rPr>
            </w:pPr>
          </w:p>
        </w:tc>
        <w:tc>
          <w:tcPr>
            <w:tcW w:w="1207" w:type="dxa"/>
            <w:tcBorders>
              <w:left w:val="single" w:sz="12" w:space="0" w:color="000000"/>
              <w:bottom w:val="single" w:sz="12" w:space="0" w:color="000000"/>
              <w:right w:val="single" w:sz="12" w:space="0" w:color="000000"/>
            </w:tcBorders>
            <w:shd w:val="clear" w:color="auto" w:fill="629CD1"/>
          </w:tcPr>
          <w:p>
            <w:pPr>
              <w:pStyle w:val="TableParagraph"/>
              <w:spacing w:before="42"/>
              <w:ind w:left="141" w:right="107" w:hanging="6"/>
              <w:jc w:val="center"/>
              <w:rPr>
                <w:b/>
                <w:sz w:val="16"/>
              </w:rPr>
            </w:pPr>
            <w:r>
              <w:rPr>
                <w:b/>
                <w:color w:val="FFFFFF"/>
                <w:spacing w:val="-2"/>
                <w:sz w:val="16"/>
              </w:rPr>
              <w:t>Total Expenditure</w:t>
            </w:r>
          </w:p>
          <w:p>
            <w:pPr>
              <w:pStyle w:val="TableParagraph"/>
              <w:spacing w:before="114"/>
              <w:ind w:left="412" w:right="385"/>
              <w:jc w:val="center"/>
              <w:rPr>
                <w:b/>
                <w:sz w:val="16"/>
              </w:rPr>
            </w:pPr>
            <w:r>
              <w:rPr>
                <w:b/>
                <w:color w:val="FFFFFF"/>
                <w:spacing w:val="-4"/>
                <w:sz w:val="16"/>
              </w:rPr>
              <w:t>$000</w:t>
            </w:r>
          </w:p>
        </w:tc>
        <w:tc>
          <w:tcPr>
            <w:tcW w:w="1020" w:type="dxa"/>
            <w:tcBorders>
              <w:left w:val="single" w:sz="12" w:space="0" w:color="000000"/>
              <w:bottom w:val="single" w:sz="12" w:space="0" w:color="000000"/>
              <w:right w:val="single" w:sz="12" w:space="0" w:color="000000"/>
            </w:tcBorders>
            <w:shd w:val="clear" w:color="auto" w:fill="629CD1"/>
          </w:tcPr>
          <w:p>
            <w:pPr>
              <w:pStyle w:val="TableParagraph"/>
              <w:spacing w:before="42"/>
              <w:ind w:left="112" w:right="81"/>
              <w:jc w:val="center"/>
              <w:rPr>
                <w:b/>
                <w:sz w:val="16"/>
              </w:rPr>
            </w:pPr>
            <w:r>
              <w:rPr>
                <w:b/>
                <w:color w:val="FFFFFF"/>
                <w:spacing w:val="-2"/>
                <w:sz w:val="16"/>
              </w:rPr>
              <w:t>Council </w:t>
            </w:r>
            <w:r>
              <w:rPr>
                <w:b/>
                <w:color w:val="FFFFFF"/>
                <w:spacing w:val="-4"/>
                <w:sz w:val="16"/>
              </w:rPr>
              <w:t>Cash</w:t>
            </w:r>
          </w:p>
          <w:p>
            <w:pPr>
              <w:pStyle w:val="TableParagraph"/>
              <w:spacing w:before="114"/>
              <w:ind w:left="108" w:right="81"/>
              <w:jc w:val="center"/>
              <w:rPr>
                <w:b/>
                <w:sz w:val="16"/>
              </w:rPr>
            </w:pPr>
            <w:r>
              <w:rPr>
                <w:b/>
                <w:color w:val="FFFFFF"/>
                <w:spacing w:val="-4"/>
                <w:sz w:val="16"/>
              </w:rPr>
              <w:t>$000</w:t>
            </w:r>
          </w:p>
        </w:tc>
        <w:tc>
          <w:tcPr>
            <w:tcW w:w="1022" w:type="dxa"/>
            <w:tcBorders>
              <w:left w:val="single" w:sz="12" w:space="0" w:color="000000"/>
              <w:bottom w:val="single" w:sz="12" w:space="0" w:color="000000"/>
              <w:right w:val="single" w:sz="12" w:space="0" w:color="000000"/>
            </w:tcBorders>
            <w:shd w:val="clear" w:color="auto" w:fill="629CD1"/>
          </w:tcPr>
          <w:p>
            <w:pPr>
              <w:pStyle w:val="TableParagraph"/>
              <w:spacing w:before="133"/>
              <w:ind w:left="251"/>
              <w:rPr>
                <w:b/>
                <w:sz w:val="16"/>
              </w:rPr>
            </w:pPr>
            <w:r>
              <w:rPr>
                <w:b/>
                <w:color w:val="FFFFFF"/>
                <w:spacing w:val="-2"/>
                <w:sz w:val="16"/>
              </w:rPr>
              <w:t>Grants</w:t>
            </w:r>
          </w:p>
          <w:p>
            <w:pPr>
              <w:pStyle w:val="TableParagraph"/>
              <w:rPr>
                <w:b/>
                <w:sz w:val="18"/>
              </w:rPr>
            </w:pPr>
          </w:p>
          <w:p>
            <w:pPr>
              <w:pStyle w:val="TableParagraph"/>
              <w:ind w:left="331"/>
              <w:rPr>
                <w:b/>
                <w:sz w:val="16"/>
              </w:rPr>
            </w:pPr>
            <w:r>
              <w:rPr>
                <w:b/>
                <w:color w:val="FFFFFF"/>
                <w:spacing w:val="-4"/>
                <w:sz w:val="16"/>
              </w:rPr>
              <w:t>$000</w:t>
            </w:r>
          </w:p>
        </w:tc>
        <w:tc>
          <w:tcPr>
            <w:tcW w:w="1020" w:type="dxa"/>
            <w:tcBorders>
              <w:left w:val="single" w:sz="12" w:space="0" w:color="000000"/>
              <w:bottom w:val="single" w:sz="12" w:space="0" w:color="000000"/>
              <w:right w:val="single" w:sz="12" w:space="0" w:color="000000"/>
            </w:tcBorders>
            <w:shd w:val="clear" w:color="auto" w:fill="629CD1"/>
          </w:tcPr>
          <w:p>
            <w:pPr>
              <w:pStyle w:val="TableParagraph"/>
              <w:spacing w:before="42"/>
              <w:ind w:left="129" w:right="100" w:hanging="1"/>
              <w:jc w:val="center"/>
              <w:rPr>
                <w:b/>
                <w:sz w:val="16"/>
              </w:rPr>
            </w:pPr>
            <w:r>
              <w:rPr>
                <w:b/>
                <w:color w:val="FFFFFF"/>
                <w:spacing w:val="-2"/>
                <w:sz w:val="16"/>
              </w:rPr>
              <w:t>Others </w:t>
            </w:r>
            <w:r>
              <w:rPr>
                <w:b/>
                <w:color w:val="FFFFFF"/>
                <w:sz w:val="16"/>
              </w:rPr>
              <w:t>Contrib</w:t>
            </w:r>
            <w:r>
              <w:rPr>
                <w:b/>
                <w:color w:val="FFFFFF"/>
                <w:spacing w:val="-12"/>
                <w:sz w:val="16"/>
              </w:rPr>
              <w:t> </w:t>
            </w:r>
            <w:r>
              <w:rPr>
                <w:b/>
                <w:color w:val="FFFFFF"/>
                <w:sz w:val="16"/>
              </w:rPr>
              <w:t>‘n</w:t>
            </w:r>
          </w:p>
          <w:p>
            <w:pPr>
              <w:pStyle w:val="TableParagraph"/>
              <w:spacing w:before="114"/>
              <w:ind w:left="104" w:right="81"/>
              <w:jc w:val="center"/>
              <w:rPr>
                <w:b/>
                <w:sz w:val="16"/>
              </w:rPr>
            </w:pPr>
            <w:r>
              <w:rPr>
                <w:b/>
                <w:color w:val="FFFFFF"/>
                <w:spacing w:val="-4"/>
                <w:sz w:val="16"/>
              </w:rPr>
              <w:t>$000</w:t>
            </w:r>
          </w:p>
        </w:tc>
        <w:tc>
          <w:tcPr>
            <w:tcW w:w="1020" w:type="dxa"/>
            <w:tcBorders>
              <w:left w:val="single" w:sz="12" w:space="0" w:color="000000"/>
              <w:bottom w:val="single" w:sz="12" w:space="0" w:color="000000"/>
              <w:right w:val="single" w:sz="12" w:space="0" w:color="000000"/>
            </w:tcBorders>
            <w:shd w:val="clear" w:color="auto" w:fill="629CD1"/>
          </w:tcPr>
          <w:p>
            <w:pPr>
              <w:pStyle w:val="TableParagraph"/>
              <w:spacing w:before="42"/>
              <w:ind w:left="185" w:right="153" w:firstLine="1"/>
              <w:jc w:val="center"/>
              <w:rPr>
                <w:b/>
                <w:sz w:val="16"/>
              </w:rPr>
            </w:pPr>
            <w:r>
              <w:rPr>
                <w:b/>
                <w:color w:val="FFFFFF"/>
                <w:spacing w:val="-2"/>
                <w:sz w:val="16"/>
              </w:rPr>
              <w:t>Asset Renewal</w:t>
            </w:r>
          </w:p>
          <w:p>
            <w:pPr>
              <w:pStyle w:val="TableParagraph"/>
              <w:spacing w:before="114"/>
              <w:ind w:left="109" w:right="81"/>
              <w:jc w:val="center"/>
              <w:rPr>
                <w:b/>
                <w:sz w:val="16"/>
              </w:rPr>
            </w:pPr>
            <w:r>
              <w:rPr>
                <w:b/>
                <w:color w:val="FFFFFF"/>
                <w:spacing w:val="-4"/>
                <w:sz w:val="16"/>
              </w:rPr>
              <w:t>$000</w:t>
            </w:r>
          </w:p>
        </w:tc>
        <w:tc>
          <w:tcPr>
            <w:tcW w:w="1022" w:type="dxa"/>
            <w:tcBorders>
              <w:left w:val="single" w:sz="12" w:space="0" w:color="000000"/>
              <w:bottom w:val="single" w:sz="12" w:space="0" w:color="000000"/>
              <w:right w:val="single" w:sz="12" w:space="0" w:color="000000"/>
            </w:tcBorders>
            <w:shd w:val="clear" w:color="auto" w:fill="629CD1"/>
          </w:tcPr>
          <w:p>
            <w:pPr>
              <w:pStyle w:val="TableParagraph"/>
              <w:spacing w:before="133"/>
              <w:ind w:left="172" w:right="144"/>
              <w:jc w:val="center"/>
              <w:rPr>
                <w:b/>
                <w:sz w:val="16"/>
              </w:rPr>
            </w:pPr>
            <w:r>
              <w:rPr>
                <w:b/>
                <w:color w:val="FFFFFF"/>
                <w:spacing w:val="-2"/>
                <w:sz w:val="16"/>
              </w:rPr>
              <w:t>Upgrade</w:t>
            </w:r>
          </w:p>
          <w:p>
            <w:pPr>
              <w:pStyle w:val="TableParagraph"/>
              <w:rPr>
                <w:b/>
                <w:sz w:val="18"/>
              </w:rPr>
            </w:pPr>
          </w:p>
          <w:p>
            <w:pPr>
              <w:pStyle w:val="TableParagraph"/>
              <w:ind w:left="170" w:right="144"/>
              <w:jc w:val="center"/>
              <w:rPr>
                <w:b/>
                <w:sz w:val="16"/>
              </w:rPr>
            </w:pPr>
            <w:r>
              <w:rPr>
                <w:b/>
                <w:color w:val="FFFFFF"/>
                <w:spacing w:val="-4"/>
                <w:sz w:val="16"/>
              </w:rPr>
              <w:t>$000</w:t>
            </w:r>
          </w:p>
        </w:tc>
        <w:tc>
          <w:tcPr>
            <w:tcW w:w="1027" w:type="dxa"/>
            <w:tcBorders>
              <w:left w:val="single" w:sz="12" w:space="0" w:color="000000"/>
              <w:bottom w:val="single" w:sz="12" w:space="0" w:color="000000"/>
              <w:right w:val="single" w:sz="12" w:space="0" w:color="000000"/>
            </w:tcBorders>
            <w:shd w:val="clear" w:color="auto" w:fill="629CD1"/>
          </w:tcPr>
          <w:p>
            <w:pPr>
              <w:pStyle w:val="TableParagraph"/>
              <w:spacing w:before="133"/>
              <w:ind w:left="116" w:right="83"/>
              <w:jc w:val="center"/>
              <w:rPr>
                <w:b/>
                <w:sz w:val="16"/>
              </w:rPr>
            </w:pPr>
            <w:r>
              <w:rPr>
                <w:b/>
                <w:color w:val="FFFFFF"/>
                <w:sz w:val="16"/>
              </w:rPr>
              <w:t>New</w:t>
            </w:r>
            <w:r>
              <w:rPr>
                <w:b/>
                <w:color w:val="FFFFFF"/>
                <w:spacing w:val="-1"/>
                <w:sz w:val="16"/>
              </w:rPr>
              <w:t> </w:t>
            </w:r>
            <w:r>
              <w:rPr>
                <w:b/>
                <w:color w:val="FFFFFF"/>
                <w:spacing w:val="-4"/>
                <w:sz w:val="16"/>
              </w:rPr>
              <w:t>Work</w:t>
            </w:r>
          </w:p>
          <w:p>
            <w:pPr>
              <w:pStyle w:val="TableParagraph"/>
              <w:rPr>
                <w:b/>
                <w:sz w:val="18"/>
              </w:rPr>
            </w:pPr>
          </w:p>
          <w:p>
            <w:pPr>
              <w:pStyle w:val="TableParagraph"/>
              <w:ind w:left="114" w:right="83"/>
              <w:jc w:val="center"/>
              <w:rPr>
                <w:b/>
                <w:sz w:val="16"/>
              </w:rPr>
            </w:pPr>
            <w:r>
              <w:rPr>
                <w:b/>
                <w:color w:val="FFFFFF"/>
                <w:spacing w:val="-4"/>
                <w:sz w:val="16"/>
              </w:rPr>
              <w:t>$000</w:t>
            </w:r>
          </w:p>
        </w:tc>
        <w:tc>
          <w:tcPr>
            <w:tcW w:w="1248" w:type="dxa"/>
            <w:tcBorders>
              <w:left w:val="single" w:sz="12" w:space="0" w:color="000000"/>
              <w:bottom w:val="single" w:sz="12" w:space="0" w:color="000000"/>
              <w:right w:val="single" w:sz="12" w:space="0" w:color="000000"/>
            </w:tcBorders>
            <w:shd w:val="clear" w:color="auto" w:fill="629CD1"/>
          </w:tcPr>
          <w:p>
            <w:pPr>
              <w:pStyle w:val="TableParagraph"/>
              <w:spacing w:before="42"/>
              <w:ind w:left="161" w:right="127" w:hanging="2"/>
              <w:jc w:val="center"/>
              <w:rPr>
                <w:b/>
                <w:sz w:val="16"/>
              </w:rPr>
            </w:pPr>
            <w:r>
              <w:rPr>
                <w:b/>
                <w:color w:val="FFFFFF"/>
                <w:spacing w:val="-2"/>
                <w:sz w:val="16"/>
              </w:rPr>
              <w:t>Total Expenditure</w:t>
            </w:r>
          </w:p>
          <w:p>
            <w:pPr>
              <w:pStyle w:val="TableParagraph"/>
              <w:spacing w:before="114"/>
              <w:ind w:left="202" w:right="170"/>
              <w:jc w:val="center"/>
              <w:rPr>
                <w:b/>
                <w:sz w:val="16"/>
              </w:rPr>
            </w:pPr>
            <w:r>
              <w:rPr>
                <w:b/>
                <w:color w:val="FFFFFF"/>
                <w:spacing w:val="-4"/>
                <w:sz w:val="16"/>
              </w:rPr>
              <w:t>$000</w:t>
            </w:r>
          </w:p>
        </w:tc>
        <w:tc>
          <w:tcPr>
            <w:tcW w:w="1248" w:type="dxa"/>
            <w:tcBorders>
              <w:left w:val="single" w:sz="12" w:space="0" w:color="000000"/>
              <w:bottom w:val="single" w:sz="12" w:space="0" w:color="000000"/>
              <w:right w:val="single" w:sz="12" w:space="0" w:color="000000"/>
            </w:tcBorders>
            <w:shd w:val="clear" w:color="auto" w:fill="629CD1"/>
          </w:tcPr>
          <w:p>
            <w:pPr>
              <w:pStyle w:val="TableParagraph"/>
              <w:spacing w:before="42"/>
              <w:ind w:left="161" w:right="127" w:hanging="2"/>
              <w:jc w:val="center"/>
              <w:rPr>
                <w:b/>
                <w:sz w:val="16"/>
              </w:rPr>
            </w:pPr>
            <w:r>
              <w:rPr>
                <w:b/>
                <w:color w:val="FFFFFF"/>
                <w:spacing w:val="-2"/>
                <w:sz w:val="16"/>
              </w:rPr>
              <w:t>Total Expenditure</w:t>
            </w:r>
          </w:p>
          <w:p>
            <w:pPr>
              <w:pStyle w:val="TableParagraph"/>
              <w:spacing w:before="114"/>
              <w:ind w:left="202" w:right="170"/>
              <w:jc w:val="center"/>
              <w:rPr>
                <w:b/>
                <w:sz w:val="16"/>
              </w:rPr>
            </w:pPr>
            <w:r>
              <w:rPr>
                <w:b/>
                <w:color w:val="FFFFFF"/>
                <w:spacing w:val="-4"/>
                <w:sz w:val="16"/>
              </w:rPr>
              <w:t>$000</w:t>
            </w:r>
          </w:p>
        </w:tc>
        <w:tc>
          <w:tcPr>
            <w:tcW w:w="1243" w:type="dxa"/>
            <w:tcBorders>
              <w:left w:val="single" w:sz="12" w:space="0" w:color="000000"/>
              <w:bottom w:val="single" w:sz="12" w:space="0" w:color="000000"/>
              <w:right w:val="single" w:sz="12" w:space="0" w:color="000000"/>
            </w:tcBorders>
            <w:shd w:val="clear" w:color="auto" w:fill="629CD1"/>
          </w:tcPr>
          <w:p>
            <w:pPr>
              <w:pStyle w:val="TableParagraph"/>
              <w:spacing w:before="42"/>
              <w:ind w:left="161" w:right="122" w:hanging="6"/>
              <w:jc w:val="center"/>
              <w:rPr>
                <w:b/>
                <w:sz w:val="16"/>
              </w:rPr>
            </w:pPr>
            <w:r>
              <w:rPr>
                <w:b/>
                <w:color w:val="FFFFFF"/>
                <w:spacing w:val="-2"/>
                <w:sz w:val="16"/>
              </w:rPr>
              <w:t>Total Expenditure</w:t>
            </w:r>
          </w:p>
          <w:p>
            <w:pPr>
              <w:pStyle w:val="TableParagraph"/>
              <w:spacing w:before="114"/>
              <w:ind w:left="432" w:right="400"/>
              <w:jc w:val="center"/>
              <w:rPr>
                <w:b/>
                <w:sz w:val="16"/>
              </w:rPr>
            </w:pPr>
            <w:r>
              <w:rPr>
                <w:b/>
                <w:color w:val="FFFFFF"/>
                <w:spacing w:val="-4"/>
                <w:sz w:val="16"/>
              </w:rPr>
              <w:t>$000</w:t>
            </w:r>
          </w:p>
        </w:tc>
      </w:tr>
      <w:tr>
        <w:trPr>
          <w:trHeight w:val="738" w:hRule="atLeast"/>
        </w:trPr>
        <w:tc>
          <w:tcPr>
            <w:tcW w:w="4291" w:type="dxa"/>
            <w:tcBorders>
              <w:top w:val="single" w:sz="12" w:space="0" w:color="000000"/>
              <w:left w:val="single" w:sz="12" w:space="0" w:color="000000"/>
              <w:bottom w:val="dashSmallGap" w:sz="4" w:space="0" w:color="000000"/>
              <w:right w:val="single" w:sz="12" w:space="0" w:color="000000"/>
            </w:tcBorders>
          </w:tcPr>
          <w:p>
            <w:pPr>
              <w:pStyle w:val="TableParagraph"/>
              <w:spacing w:before="46"/>
              <w:ind w:left="107"/>
              <w:rPr>
                <w:b/>
                <w:sz w:val="28"/>
              </w:rPr>
            </w:pPr>
            <w:r>
              <w:rPr>
                <w:b/>
                <w:spacing w:val="-2"/>
                <w:sz w:val="28"/>
              </w:rPr>
              <w:t>RECREATIONAL IMPROVEMENTS</w:t>
            </w:r>
          </w:p>
        </w:tc>
        <w:tc>
          <w:tcPr>
            <w:tcW w:w="1207" w:type="dxa"/>
            <w:tcBorders>
              <w:top w:val="single" w:sz="12" w:space="0" w:color="000000"/>
              <w:left w:val="single" w:sz="12" w:space="0" w:color="000000"/>
              <w:bottom w:val="dashSmallGap" w:sz="4" w:space="0" w:color="000000"/>
              <w:right w:val="dashSmallGap" w:sz="4" w:space="0" w:color="000000"/>
            </w:tcBorders>
          </w:tcPr>
          <w:p>
            <w:pPr>
              <w:pStyle w:val="TableParagraph"/>
              <w:rPr>
                <w:rFonts w:ascii="Times New Roman"/>
                <w:sz w:val="18"/>
              </w:rPr>
            </w:pPr>
          </w:p>
        </w:tc>
        <w:tc>
          <w:tcPr>
            <w:tcW w:w="1020" w:type="dxa"/>
            <w:tcBorders>
              <w:top w:val="single" w:sz="12" w:space="0" w:color="000000"/>
              <w:left w:val="dashSmallGap" w:sz="4" w:space="0" w:color="000000"/>
              <w:bottom w:val="dashSmallGap" w:sz="4" w:space="0" w:color="000000"/>
              <w:right w:val="dashSmallGap" w:sz="4" w:space="0" w:color="000000"/>
            </w:tcBorders>
          </w:tcPr>
          <w:p>
            <w:pPr>
              <w:pStyle w:val="TableParagraph"/>
              <w:rPr>
                <w:rFonts w:ascii="Times New Roman"/>
                <w:sz w:val="18"/>
              </w:rPr>
            </w:pPr>
          </w:p>
        </w:tc>
        <w:tc>
          <w:tcPr>
            <w:tcW w:w="1022" w:type="dxa"/>
            <w:tcBorders>
              <w:top w:val="single" w:sz="12" w:space="0" w:color="000000"/>
              <w:left w:val="dashSmallGap" w:sz="4" w:space="0" w:color="000000"/>
              <w:bottom w:val="dashSmallGap" w:sz="4" w:space="0" w:color="000000"/>
              <w:right w:val="dashSmallGap" w:sz="4" w:space="0" w:color="000000"/>
            </w:tcBorders>
          </w:tcPr>
          <w:p>
            <w:pPr>
              <w:pStyle w:val="TableParagraph"/>
              <w:rPr>
                <w:rFonts w:ascii="Times New Roman"/>
                <w:sz w:val="18"/>
              </w:rPr>
            </w:pPr>
          </w:p>
        </w:tc>
        <w:tc>
          <w:tcPr>
            <w:tcW w:w="1020" w:type="dxa"/>
            <w:tcBorders>
              <w:top w:val="single" w:sz="12" w:space="0" w:color="000000"/>
              <w:left w:val="dashSmallGap" w:sz="4" w:space="0" w:color="000000"/>
              <w:bottom w:val="dashSmallGap" w:sz="4" w:space="0" w:color="000000"/>
              <w:right w:val="dashSmallGap" w:sz="4" w:space="0" w:color="000000"/>
            </w:tcBorders>
          </w:tcPr>
          <w:p>
            <w:pPr>
              <w:pStyle w:val="TableParagraph"/>
              <w:rPr>
                <w:rFonts w:ascii="Times New Roman"/>
                <w:sz w:val="18"/>
              </w:rPr>
            </w:pPr>
          </w:p>
        </w:tc>
        <w:tc>
          <w:tcPr>
            <w:tcW w:w="1020" w:type="dxa"/>
            <w:tcBorders>
              <w:top w:val="single" w:sz="12" w:space="0" w:color="000000"/>
              <w:left w:val="dashSmallGap" w:sz="4" w:space="0" w:color="000000"/>
              <w:bottom w:val="dashSmallGap" w:sz="4" w:space="0" w:color="000000"/>
              <w:right w:val="dashSmallGap" w:sz="4" w:space="0" w:color="000000"/>
            </w:tcBorders>
          </w:tcPr>
          <w:p>
            <w:pPr>
              <w:pStyle w:val="TableParagraph"/>
              <w:rPr>
                <w:rFonts w:ascii="Times New Roman"/>
                <w:sz w:val="18"/>
              </w:rPr>
            </w:pPr>
          </w:p>
        </w:tc>
        <w:tc>
          <w:tcPr>
            <w:tcW w:w="1022" w:type="dxa"/>
            <w:tcBorders>
              <w:top w:val="single" w:sz="12" w:space="0" w:color="000000"/>
              <w:left w:val="dashSmallGap" w:sz="4" w:space="0" w:color="000000"/>
              <w:bottom w:val="dashed" w:sz="4" w:space="0" w:color="000000"/>
              <w:right w:val="dashSmallGap" w:sz="4" w:space="0" w:color="000000"/>
            </w:tcBorders>
          </w:tcPr>
          <w:p>
            <w:pPr>
              <w:pStyle w:val="TableParagraph"/>
              <w:rPr>
                <w:rFonts w:ascii="Times New Roman"/>
                <w:sz w:val="18"/>
              </w:rPr>
            </w:pPr>
          </w:p>
        </w:tc>
        <w:tc>
          <w:tcPr>
            <w:tcW w:w="1027" w:type="dxa"/>
            <w:tcBorders>
              <w:top w:val="single" w:sz="12" w:space="0" w:color="000000"/>
              <w:left w:val="dashSmallGap" w:sz="4" w:space="0" w:color="000000"/>
              <w:bottom w:val="dashed" w:sz="4" w:space="0" w:color="000000"/>
              <w:right w:val="single" w:sz="12" w:space="0" w:color="000000"/>
            </w:tcBorders>
          </w:tcPr>
          <w:p>
            <w:pPr>
              <w:pStyle w:val="TableParagraph"/>
              <w:rPr>
                <w:rFonts w:ascii="Times New Roman"/>
                <w:sz w:val="18"/>
              </w:rPr>
            </w:pPr>
          </w:p>
        </w:tc>
        <w:tc>
          <w:tcPr>
            <w:tcW w:w="1248" w:type="dxa"/>
            <w:tcBorders>
              <w:top w:val="single" w:sz="12"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48" w:type="dxa"/>
            <w:tcBorders>
              <w:top w:val="single" w:sz="12"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43" w:type="dxa"/>
            <w:tcBorders>
              <w:top w:val="single" w:sz="12" w:space="0" w:color="000000"/>
              <w:left w:val="single" w:sz="12" w:space="0" w:color="000000"/>
              <w:bottom w:val="dashed" w:sz="4" w:space="0" w:color="000000"/>
              <w:right w:val="single" w:sz="12" w:space="0" w:color="000000"/>
            </w:tcBorders>
          </w:tcPr>
          <w:p>
            <w:pPr>
              <w:pStyle w:val="TableParagraph"/>
              <w:rPr>
                <w:rFonts w:ascii="Times New Roman"/>
                <w:sz w:val="18"/>
              </w:rPr>
            </w:pPr>
          </w:p>
        </w:tc>
      </w:tr>
      <w:tr>
        <w:trPr>
          <w:trHeight w:val="584" w:hRule="atLeast"/>
        </w:trPr>
        <w:tc>
          <w:tcPr>
            <w:tcW w:w="4291" w:type="dxa"/>
            <w:tcBorders>
              <w:top w:val="dashSmallGap" w:sz="4" w:space="0" w:color="000000"/>
              <w:left w:val="single" w:sz="12" w:space="0" w:color="000000"/>
              <w:bottom w:val="dashSmallGap" w:sz="4" w:space="0" w:color="000000"/>
              <w:right w:val="single" w:sz="12" w:space="0" w:color="000000"/>
            </w:tcBorders>
          </w:tcPr>
          <w:p>
            <w:pPr>
              <w:pStyle w:val="TableParagraph"/>
              <w:spacing w:before="48"/>
              <w:ind w:left="107"/>
              <w:rPr>
                <w:b/>
                <w:sz w:val="22"/>
              </w:rPr>
            </w:pPr>
            <w:r>
              <w:rPr>
                <w:b/>
                <w:sz w:val="22"/>
              </w:rPr>
              <w:t>RECREATIONAL,</w:t>
            </w:r>
            <w:r>
              <w:rPr>
                <w:b/>
                <w:spacing w:val="-16"/>
                <w:sz w:val="22"/>
              </w:rPr>
              <w:t> </w:t>
            </w:r>
            <w:r>
              <w:rPr>
                <w:b/>
                <w:sz w:val="22"/>
              </w:rPr>
              <w:t>LEISURE</w:t>
            </w:r>
            <w:r>
              <w:rPr>
                <w:b/>
                <w:spacing w:val="-15"/>
                <w:sz w:val="22"/>
              </w:rPr>
              <w:t> </w:t>
            </w:r>
            <w:r>
              <w:rPr>
                <w:b/>
                <w:sz w:val="22"/>
              </w:rPr>
              <w:t>AND COMMUNITY FACILITIES</w:t>
            </w:r>
          </w:p>
        </w:tc>
        <w:tc>
          <w:tcPr>
            <w:tcW w:w="7338" w:type="dxa"/>
            <w:gridSpan w:val="7"/>
            <w:tcBorders>
              <w:top w:val="single" w:sz="4" w:space="0" w:color="000000"/>
              <w:left w:val="single" w:sz="12" w:space="0" w:color="000000"/>
              <w:right w:val="single" w:sz="12" w:space="0" w:color="000000"/>
            </w:tcBorders>
          </w:tcPr>
          <w:p>
            <w:pPr>
              <w:pStyle w:val="TableParagraph"/>
              <w:spacing w:before="4"/>
              <w:rPr>
                <w:b/>
                <w:sz w:val="9"/>
              </w:rPr>
            </w:pPr>
          </w:p>
          <w:p>
            <w:pPr>
              <w:pStyle w:val="TableParagraph"/>
              <w:tabs>
                <w:tab w:pos="2222" w:val="left" w:leader="none"/>
                <w:tab w:pos="3244" w:val="left" w:leader="none"/>
                <w:tab w:pos="4264" w:val="left" w:leader="none"/>
                <w:tab w:pos="5284" w:val="left" w:leader="none"/>
                <w:tab w:pos="6306" w:val="left" w:leader="none"/>
              </w:tabs>
              <w:ind w:left="1202"/>
              <w:rPr>
                <w:sz w:val="20"/>
              </w:rPr>
            </w:pPr>
            <w:r>
              <w:rPr>
                <w:sz w:val="20"/>
              </w:rPr>
              <w:pict>
                <v:group style="width:.5pt;height:21.15pt;mso-position-horizontal-relative:char;mso-position-vertical-relative:line" id="docshapegroup362" coordorigin="0,0" coordsize="10,423">
                  <v:shape style="position:absolute;left:0;top:0;width:10;height:423" id="docshape363" coordorigin="0,0" coordsize="10,423" path="m10,384l0,384,0,422,10,422,10,384xm10,307l0,307,0,346,10,346,10,307xm10,230l0,230,0,269,10,269,10,230xm10,154l0,154,0,192,10,192,10,154xm10,77l0,77,0,115,10,115,10,77xm10,0l0,0,0,38,10,38,10,0xe" filled="true" fillcolor="#000000" stroked="false">
                    <v:path arrowok="t"/>
                    <v:fill type="solid"/>
                  </v:shape>
                </v:group>
              </w:pict>
            </w:r>
            <w:r>
              <w:rPr>
                <w:sz w:val="20"/>
              </w:rPr>
            </w:r>
            <w:r>
              <w:rPr>
                <w:sz w:val="20"/>
              </w:rPr>
              <w:tab/>
            </w:r>
            <w:r>
              <w:rPr>
                <w:sz w:val="20"/>
              </w:rPr>
              <w:pict>
                <v:group style="width:.5pt;height:21.15pt;mso-position-horizontal-relative:char;mso-position-vertical-relative:line" id="docshapegroup364" coordorigin="0,0" coordsize="10,423">
                  <v:shape style="position:absolute;left:0;top:0;width:10;height:423" id="docshape365" coordorigin="0,0" coordsize="10,423" path="m10,384l0,384,0,422,10,422,10,384xm10,307l0,307,0,346,10,346,10,307xm10,230l0,230,0,269,10,269,10,230xm10,154l0,154,0,192,10,192,10,154xm10,77l0,77,0,115,10,115,10,77xm10,0l0,0,0,38,10,38,10,0xe" filled="true" fillcolor="#000000" stroked="false">
                    <v:path arrowok="t"/>
                    <v:fill type="solid"/>
                  </v:shape>
                </v:group>
              </w:pict>
            </w:r>
            <w:r>
              <w:rPr>
                <w:sz w:val="20"/>
              </w:rPr>
            </w:r>
            <w:r>
              <w:rPr>
                <w:sz w:val="20"/>
              </w:rPr>
              <w:tab/>
            </w:r>
            <w:r>
              <w:rPr>
                <w:sz w:val="20"/>
              </w:rPr>
              <w:pict>
                <v:group style="width:.5pt;height:21.15pt;mso-position-horizontal-relative:char;mso-position-vertical-relative:line" id="docshapegroup366" coordorigin="0,0" coordsize="10,423">
                  <v:shape style="position:absolute;left:0;top:0;width:10;height:423" id="docshape367" coordorigin="0,0" coordsize="10,423" path="m10,384l0,384,0,422,10,422,10,384xm10,307l0,307,0,346,10,346,10,307xm10,230l0,230,0,269,10,269,10,230xm10,154l0,154,0,192,10,192,10,154xm10,77l0,77,0,115,10,115,10,77xm10,0l0,0,0,38,10,38,10,0xe" filled="true" fillcolor="#000000" stroked="false">
                    <v:path arrowok="t"/>
                    <v:fill type="solid"/>
                  </v:shape>
                </v:group>
              </w:pict>
            </w:r>
            <w:r>
              <w:rPr>
                <w:sz w:val="20"/>
              </w:rPr>
            </w:r>
            <w:r>
              <w:rPr>
                <w:sz w:val="20"/>
              </w:rPr>
              <w:tab/>
            </w:r>
            <w:r>
              <w:rPr>
                <w:sz w:val="20"/>
              </w:rPr>
              <w:pict>
                <v:group style="width:.5pt;height:21.15pt;mso-position-horizontal-relative:char;mso-position-vertical-relative:line" id="docshapegroup368" coordorigin="0,0" coordsize="10,423">
                  <v:shape style="position:absolute;left:0;top:0;width:10;height:423" id="docshape369" coordorigin="0,0" coordsize="10,423" path="m10,384l0,384,0,422,10,422,10,384xm10,307l0,307,0,346,10,346,10,307xm10,230l0,230,0,269,10,269,10,230xm10,154l0,154,0,192,10,192,10,154xm10,77l0,77,0,115,10,115,10,77xm10,0l0,0,0,38,10,38,10,0xe" filled="true" fillcolor="#000000" stroked="false">
                    <v:path arrowok="t"/>
                    <v:fill type="solid"/>
                  </v:shape>
                </v:group>
              </w:pict>
            </w:r>
            <w:r>
              <w:rPr>
                <w:sz w:val="20"/>
              </w:rPr>
            </w:r>
            <w:r>
              <w:rPr>
                <w:sz w:val="20"/>
              </w:rPr>
              <w:tab/>
            </w:r>
            <w:r>
              <w:rPr>
                <w:sz w:val="20"/>
              </w:rPr>
              <w:pict>
                <v:group style="width:.5pt;height:21.15pt;mso-position-horizontal-relative:char;mso-position-vertical-relative:line" id="docshapegroup370" coordorigin="0,0" coordsize="10,423">
                  <v:shape style="position:absolute;left:0;top:0;width:10;height:423" id="docshape371" coordorigin="0,0" coordsize="10,423" path="m10,384l0,384,0,422,10,422,10,384xm10,307l0,307,0,346,10,346,10,307xm10,230l0,230,0,269,10,269,10,230xm10,154l0,154,0,192,10,192,10,154xm10,77l0,77,0,115,10,115,10,77xm10,0l0,0,0,38,10,38,10,0xe" filled="true" fillcolor="#000000" stroked="false">
                    <v:path arrowok="t"/>
                    <v:fill type="solid"/>
                  </v:shape>
                </v:group>
              </w:pict>
            </w:r>
            <w:r>
              <w:rPr>
                <w:sz w:val="20"/>
              </w:rPr>
            </w:r>
            <w:r>
              <w:rPr>
                <w:sz w:val="20"/>
              </w:rPr>
              <w:tab/>
            </w:r>
            <w:r>
              <w:rPr>
                <w:sz w:val="20"/>
              </w:rPr>
              <w:pict>
                <v:group style="width:.5pt;height:21.15pt;mso-position-horizontal-relative:char;mso-position-vertical-relative:line" id="docshapegroup372" coordorigin="0,0" coordsize="10,423">
                  <v:shape style="position:absolute;left:0;top:0;width:10;height:423" id="docshape373" coordorigin="0,0" coordsize="10,423" path="m10,384l0,384,0,422,10,422,10,384xm10,307l0,307,0,346,10,346,10,307xm10,230l0,230,0,269,10,269,10,230xm10,154l0,154,0,192,10,192,10,154xm10,77l0,77,0,115,10,115,10,77xm10,0l0,0,0,38,10,38,10,0xe" filled="true" fillcolor="#000000" stroked="false">
                    <v:path arrowok="t"/>
                    <v:fill type="solid"/>
                  </v:shape>
                </v:group>
              </w:pict>
            </w:r>
            <w:r>
              <w:rPr>
                <w:sz w:val="20"/>
              </w:rPr>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43"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r>
      <w:tr>
        <w:trPr>
          <w:trHeight w:val="284" w:hRule="atLeast"/>
        </w:trPr>
        <w:tc>
          <w:tcPr>
            <w:tcW w:w="4291" w:type="dxa"/>
            <w:tcBorders>
              <w:top w:val="dashSmallGap" w:sz="4" w:space="0" w:color="000000"/>
              <w:left w:val="single" w:sz="12" w:space="0" w:color="000000"/>
              <w:bottom w:val="dashSmallGap" w:sz="4" w:space="0" w:color="000000"/>
              <w:right w:val="single" w:sz="12" w:space="0" w:color="000000"/>
            </w:tcBorders>
          </w:tcPr>
          <w:p>
            <w:pPr>
              <w:pStyle w:val="TableParagraph"/>
              <w:spacing w:before="29"/>
              <w:ind w:left="107"/>
              <w:rPr>
                <w:sz w:val="18"/>
              </w:rPr>
            </w:pPr>
            <w:r>
              <w:rPr>
                <w:sz w:val="18"/>
              </w:rPr>
              <w:t>Sportsfield</w:t>
            </w:r>
            <w:r>
              <w:rPr>
                <w:spacing w:val="-2"/>
                <w:sz w:val="18"/>
              </w:rPr>
              <w:t> </w:t>
            </w:r>
            <w:r>
              <w:rPr>
                <w:sz w:val="18"/>
              </w:rPr>
              <w:t>Improvement</w:t>
            </w:r>
            <w:r>
              <w:rPr>
                <w:spacing w:val="1"/>
                <w:sz w:val="18"/>
              </w:rPr>
              <w:t> </w:t>
            </w:r>
            <w:r>
              <w:rPr>
                <w:spacing w:val="-2"/>
                <w:sz w:val="18"/>
              </w:rPr>
              <w:t>Program</w:t>
            </w:r>
          </w:p>
        </w:tc>
        <w:tc>
          <w:tcPr>
            <w:tcW w:w="1207" w:type="dxa"/>
            <w:tcBorders>
              <w:top w:val="dashSmallGap" w:sz="4" w:space="0" w:color="000000"/>
              <w:left w:val="single" w:sz="12" w:space="0" w:color="000000"/>
              <w:bottom w:val="dashSmallGap" w:sz="4" w:space="0" w:color="000000"/>
              <w:right w:val="nil"/>
            </w:tcBorders>
          </w:tcPr>
          <w:p>
            <w:pPr>
              <w:pStyle w:val="TableParagraph"/>
              <w:spacing w:line="188" w:lineRule="exact"/>
              <w:ind w:right="75"/>
              <w:jc w:val="right"/>
              <w:rPr>
                <w:sz w:val="18"/>
              </w:rPr>
            </w:pPr>
            <w:r>
              <w:rPr>
                <w:spacing w:val="-5"/>
                <w:sz w:val="18"/>
              </w:rPr>
              <w:t>900</w:t>
            </w:r>
          </w:p>
        </w:tc>
        <w:tc>
          <w:tcPr>
            <w:tcW w:w="1020" w:type="dxa"/>
            <w:tcBorders>
              <w:top w:val="dashSmallGap" w:sz="4" w:space="0" w:color="000000"/>
              <w:left w:val="nil"/>
              <w:bottom w:val="dashSmallGap" w:sz="4" w:space="0" w:color="000000"/>
              <w:right w:val="nil"/>
            </w:tcBorders>
          </w:tcPr>
          <w:p>
            <w:pPr>
              <w:pStyle w:val="TableParagraph"/>
              <w:spacing w:line="188" w:lineRule="exact"/>
              <w:ind w:right="89"/>
              <w:jc w:val="right"/>
              <w:rPr>
                <w:sz w:val="18"/>
              </w:rPr>
            </w:pPr>
            <w:r>
              <w:rPr>
                <w:spacing w:val="-5"/>
                <w:sz w:val="18"/>
              </w:rPr>
              <w:t>900</w:t>
            </w:r>
          </w:p>
        </w:tc>
        <w:tc>
          <w:tcPr>
            <w:tcW w:w="1022" w:type="dxa"/>
            <w:tcBorders>
              <w:top w:val="dashSmallGap" w:sz="4" w:space="0" w:color="000000"/>
              <w:left w:val="nil"/>
              <w:bottom w:val="dashSmallGap" w:sz="4" w:space="0" w:color="000000"/>
              <w:right w:val="nil"/>
            </w:tcBorders>
          </w:tcPr>
          <w:p>
            <w:pPr>
              <w:pStyle w:val="TableParagraph"/>
              <w:rPr>
                <w:b/>
                <w:sz w:val="8"/>
              </w:rPr>
            </w:pPr>
          </w:p>
          <w:p>
            <w:pPr>
              <w:pStyle w:val="TableParagraph"/>
              <w:tabs>
                <w:tab w:pos="1032" w:val="left" w:leader="none"/>
              </w:tabs>
              <w:spacing w:line="115" w:lineRule="exact"/>
              <w:ind w:left="10" w:right="-87"/>
              <w:rPr>
                <w:sz w:val="11"/>
              </w:rPr>
            </w:pPr>
            <w:r>
              <w:rPr>
                <w:position w:val="-1"/>
                <w:sz w:val="11"/>
              </w:rPr>
              <w:pict>
                <v:group style="width:.5pt;height:5.8pt;mso-position-horizontal-relative:char;mso-position-vertical-relative:line" id="docshapegroup374" coordorigin="0,0" coordsize="10,116">
                  <v:shape style="position:absolute;left:0;top:0;width:10;height:116" id="docshape375"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376" coordorigin="0,0" coordsize="10,116">
                  <v:shape style="position:absolute;left:0;top:0;width:10;height:116" id="docshape377" coordorigin="0,0" coordsize="10,116" path="m10,77l0,77,0,115,10,115,10,77xm10,0l0,0,0,38,10,38,10,0xe" filled="true" fillcolor="#000000" stroked="false">
                    <v:path arrowok="t"/>
                    <v:fill type="solid"/>
                  </v:shape>
                </v:group>
              </w:pict>
            </w:r>
            <w:r>
              <w:rPr>
                <w:position w:val="-1"/>
                <w:sz w:val="11"/>
              </w:rPr>
            </w:r>
          </w:p>
        </w:tc>
        <w:tc>
          <w:tcPr>
            <w:tcW w:w="1020" w:type="dxa"/>
            <w:tcBorders>
              <w:top w:val="dashSmallGap" w:sz="4" w:space="0" w:color="000000"/>
              <w:left w:val="nil"/>
              <w:bottom w:val="dashSmallGap" w:sz="4" w:space="0" w:color="000000"/>
              <w:right w:val="nil"/>
            </w:tcBorders>
          </w:tcPr>
          <w:p>
            <w:pPr>
              <w:pStyle w:val="TableParagraph"/>
              <w:rPr>
                <w:b/>
                <w:sz w:val="8"/>
              </w:rPr>
            </w:pPr>
          </w:p>
          <w:p>
            <w:pPr>
              <w:pStyle w:val="TableParagraph"/>
              <w:spacing w:line="115" w:lineRule="exact"/>
              <w:ind w:left="1030" w:right="-87"/>
              <w:rPr>
                <w:sz w:val="11"/>
              </w:rPr>
            </w:pPr>
            <w:r>
              <w:rPr>
                <w:position w:val="-1"/>
                <w:sz w:val="11"/>
              </w:rPr>
              <w:pict>
                <v:group style="width:.5pt;height:5.8pt;mso-position-horizontal-relative:char;mso-position-vertical-relative:line" id="docshapegroup378" coordorigin="0,0" coordsize="10,116">
                  <v:shape style="position:absolute;left:0;top:0;width:10;height:116" id="docshape379" coordorigin="0,0" coordsize="10,116" path="m10,77l0,77,0,115,10,115,10,77xm10,0l0,0,0,38,10,38,10,0xe" filled="true" fillcolor="#000000" stroked="false">
                    <v:path arrowok="t"/>
                    <v:fill type="solid"/>
                  </v:shape>
                </v:group>
              </w:pict>
            </w:r>
            <w:r>
              <w:rPr>
                <w:position w:val="-1"/>
                <w:sz w:val="11"/>
              </w:rPr>
            </w:r>
          </w:p>
        </w:tc>
        <w:tc>
          <w:tcPr>
            <w:tcW w:w="1020" w:type="dxa"/>
            <w:tcBorders>
              <w:top w:val="dashSmallGap" w:sz="4" w:space="0" w:color="000000"/>
              <w:left w:val="nil"/>
              <w:bottom w:val="dashSmallGap" w:sz="4" w:space="0" w:color="000000"/>
              <w:right w:val="nil"/>
            </w:tcBorders>
          </w:tcPr>
          <w:p>
            <w:pPr>
              <w:pStyle w:val="TableParagraph"/>
              <w:spacing w:line="188" w:lineRule="exact"/>
              <w:ind w:right="89"/>
              <w:jc w:val="right"/>
              <w:rPr>
                <w:sz w:val="18"/>
              </w:rPr>
            </w:pPr>
            <w:r>
              <w:rPr>
                <w:spacing w:val="-5"/>
                <w:sz w:val="18"/>
              </w:rPr>
              <w:t>900</w:t>
            </w:r>
          </w:p>
        </w:tc>
        <w:tc>
          <w:tcPr>
            <w:tcW w:w="1022" w:type="dxa"/>
            <w:tcBorders>
              <w:top w:val="dashed" w:sz="4" w:space="0" w:color="000000"/>
              <w:left w:val="nil"/>
              <w:bottom w:val="dashed" w:sz="4" w:space="0" w:color="000000"/>
              <w:right w:val="nil"/>
            </w:tcBorders>
          </w:tcPr>
          <w:p>
            <w:pPr>
              <w:pStyle w:val="TableParagraph"/>
              <w:rPr>
                <w:b/>
                <w:sz w:val="8"/>
              </w:rPr>
            </w:pPr>
          </w:p>
          <w:p>
            <w:pPr>
              <w:pStyle w:val="TableParagraph"/>
              <w:tabs>
                <w:tab w:pos="1032" w:val="left" w:leader="none"/>
              </w:tabs>
              <w:spacing w:line="115" w:lineRule="exact"/>
              <w:ind w:left="10" w:right="-87"/>
              <w:rPr>
                <w:sz w:val="11"/>
              </w:rPr>
            </w:pPr>
            <w:r>
              <w:rPr>
                <w:position w:val="-1"/>
                <w:sz w:val="11"/>
              </w:rPr>
              <w:pict>
                <v:group style="width:.5pt;height:5.8pt;mso-position-horizontal-relative:char;mso-position-vertical-relative:line" id="docshapegroup380" coordorigin="0,0" coordsize="10,116">
                  <v:shape style="position:absolute;left:0;top:0;width:10;height:116" id="docshape381"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382" coordorigin="0,0" coordsize="10,116">
                  <v:shape style="position:absolute;left:0;top:0;width:10;height:116" id="docshape383" coordorigin="0,0" coordsize="10,116" path="m10,77l0,77,0,115,10,115,10,77xm10,0l0,0,0,38,10,38,10,0xe" filled="true" fillcolor="#000000" stroked="false">
                    <v:path arrowok="t"/>
                    <v:fill type="solid"/>
                  </v:shape>
                </v:group>
              </w:pict>
            </w:r>
            <w:r>
              <w:rPr>
                <w:position w:val="-1"/>
                <w:sz w:val="11"/>
              </w:rPr>
            </w:r>
          </w:p>
        </w:tc>
        <w:tc>
          <w:tcPr>
            <w:tcW w:w="1027" w:type="dxa"/>
            <w:tcBorders>
              <w:top w:val="dashed" w:sz="4" w:space="0" w:color="000000"/>
              <w:left w:val="nil"/>
              <w:bottom w:val="dashed" w:sz="4" w:space="0" w:color="000000"/>
              <w:right w:val="single" w:sz="12" w:space="0" w:color="000000"/>
            </w:tcBorders>
          </w:tcPr>
          <w:p>
            <w:pPr>
              <w:pStyle w:val="TableParagraph"/>
              <w:rPr>
                <w:rFonts w:ascii="Times New Roman"/>
                <w:sz w:val="18"/>
              </w:rPr>
            </w:pP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29"/>
              <w:ind w:right="74"/>
              <w:jc w:val="right"/>
              <w:rPr>
                <w:sz w:val="18"/>
              </w:rPr>
            </w:pPr>
            <w:r>
              <w:rPr>
                <w:spacing w:val="-5"/>
                <w:sz w:val="18"/>
              </w:rPr>
              <w:t>930</w:t>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line="188" w:lineRule="exact"/>
              <w:ind w:right="74"/>
              <w:jc w:val="right"/>
              <w:rPr>
                <w:sz w:val="18"/>
              </w:rPr>
            </w:pPr>
            <w:r>
              <w:rPr>
                <w:spacing w:val="-5"/>
                <w:sz w:val="18"/>
              </w:rPr>
              <w:t>950</w:t>
            </w:r>
          </w:p>
        </w:tc>
        <w:tc>
          <w:tcPr>
            <w:tcW w:w="1243" w:type="dxa"/>
            <w:tcBorders>
              <w:top w:val="dashed" w:sz="4" w:space="0" w:color="000000"/>
              <w:left w:val="single" w:sz="12" w:space="0" w:color="000000"/>
              <w:bottom w:val="dashed" w:sz="4" w:space="0" w:color="000000"/>
              <w:right w:val="single" w:sz="12" w:space="0" w:color="000000"/>
            </w:tcBorders>
          </w:tcPr>
          <w:p>
            <w:pPr>
              <w:pStyle w:val="TableParagraph"/>
              <w:spacing w:line="188" w:lineRule="exact"/>
              <w:ind w:right="72"/>
              <w:jc w:val="right"/>
              <w:rPr>
                <w:sz w:val="18"/>
              </w:rPr>
            </w:pPr>
            <w:r>
              <w:rPr>
                <w:spacing w:val="-5"/>
                <w:sz w:val="18"/>
              </w:rPr>
              <w:t>950</w:t>
            </w:r>
          </w:p>
        </w:tc>
      </w:tr>
      <w:tr>
        <w:trPr>
          <w:trHeight w:val="299" w:hRule="atLeast"/>
        </w:trPr>
        <w:tc>
          <w:tcPr>
            <w:tcW w:w="4291" w:type="dxa"/>
            <w:tcBorders>
              <w:top w:val="dashSmallGap" w:sz="4" w:space="0" w:color="000000"/>
              <w:left w:val="single" w:sz="12" w:space="0" w:color="000000"/>
              <w:bottom w:val="dashSmallGap" w:sz="4" w:space="0" w:color="000000"/>
              <w:right w:val="single" w:sz="12" w:space="0" w:color="000000"/>
            </w:tcBorders>
          </w:tcPr>
          <w:p>
            <w:pPr>
              <w:pStyle w:val="TableParagraph"/>
              <w:spacing w:before="47"/>
              <w:ind w:left="107"/>
              <w:rPr>
                <w:sz w:val="18"/>
              </w:rPr>
            </w:pPr>
            <w:r>
              <w:rPr>
                <w:sz w:val="18"/>
              </w:rPr>
              <w:t>Sportsfield</w:t>
            </w:r>
            <w:r>
              <w:rPr>
                <w:spacing w:val="-5"/>
                <w:sz w:val="18"/>
              </w:rPr>
              <w:t> </w:t>
            </w:r>
            <w:r>
              <w:rPr>
                <w:sz w:val="18"/>
              </w:rPr>
              <w:t>Lighting</w:t>
            </w:r>
            <w:r>
              <w:rPr>
                <w:spacing w:val="-1"/>
                <w:sz w:val="18"/>
              </w:rPr>
              <w:t> </w:t>
            </w:r>
            <w:r>
              <w:rPr>
                <w:sz w:val="18"/>
              </w:rPr>
              <w:t>Improvement </w:t>
            </w:r>
            <w:r>
              <w:rPr>
                <w:spacing w:val="-2"/>
                <w:sz w:val="18"/>
              </w:rPr>
              <w:t>Program</w:t>
            </w:r>
          </w:p>
        </w:tc>
        <w:tc>
          <w:tcPr>
            <w:tcW w:w="1207" w:type="dxa"/>
            <w:tcBorders>
              <w:top w:val="dashSmallGap" w:sz="4" w:space="0" w:color="000000"/>
              <w:left w:val="single" w:sz="12" w:space="0" w:color="000000"/>
              <w:bottom w:val="dashSmallGap" w:sz="4" w:space="0" w:color="000000"/>
              <w:right w:val="nil"/>
            </w:tcBorders>
          </w:tcPr>
          <w:p>
            <w:pPr>
              <w:pStyle w:val="TableParagraph"/>
              <w:spacing w:before="47"/>
              <w:ind w:right="74"/>
              <w:jc w:val="right"/>
              <w:rPr>
                <w:sz w:val="18"/>
              </w:rPr>
            </w:pPr>
            <w:r>
              <w:rPr>
                <w:spacing w:val="-5"/>
                <w:sz w:val="18"/>
              </w:rPr>
              <w:t>180</w:t>
            </w:r>
          </w:p>
        </w:tc>
        <w:tc>
          <w:tcPr>
            <w:tcW w:w="1020" w:type="dxa"/>
            <w:tcBorders>
              <w:top w:val="dashSmallGap" w:sz="4" w:space="0" w:color="000000"/>
              <w:left w:val="nil"/>
              <w:bottom w:val="dashSmallGap" w:sz="4" w:space="0" w:color="000000"/>
              <w:right w:val="nil"/>
            </w:tcBorders>
          </w:tcPr>
          <w:p>
            <w:pPr>
              <w:pStyle w:val="TableParagraph"/>
              <w:spacing w:before="47"/>
              <w:ind w:right="90"/>
              <w:jc w:val="right"/>
              <w:rPr>
                <w:sz w:val="18"/>
              </w:rPr>
            </w:pPr>
            <w:r>
              <w:rPr>
                <w:spacing w:val="-5"/>
                <w:sz w:val="18"/>
              </w:rPr>
              <w:t>180</w:t>
            </w:r>
          </w:p>
        </w:tc>
        <w:tc>
          <w:tcPr>
            <w:tcW w:w="1022" w:type="dxa"/>
            <w:tcBorders>
              <w:top w:val="dashSmallGap" w:sz="4" w:space="0" w:color="000000"/>
              <w:left w:val="nil"/>
              <w:bottom w:val="dashSmallGap" w:sz="4" w:space="0" w:color="000000"/>
              <w:right w:val="nil"/>
            </w:tcBorders>
          </w:tcPr>
          <w:p>
            <w:pPr>
              <w:pStyle w:val="TableParagraph"/>
              <w:spacing w:before="1" w:after="1"/>
              <w:rPr>
                <w:b/>
                <w:sz w:val="9"/>
              </w:rPr>
            </w:pPr>
          </w:p>
          <w:p>
            <w:pPr>
              <w:pStyle w:val="TableParagraph"/>
              <w:tabs>
                <w:tab w:pos="1032" w:val="left" w:leader="none"/>
              </w:tabs>
              <w:spacing w:line="115" w:lineRule="exact"/>
              <w:ind w:left="10" w:right="-87"/>
              <w:rPr>
                <w:sz w:val="11"/>
              </w:rPr>
            </w:pPr>
            <w:r>
              <w:rPr>
                <w:position w:val="-1"/>
                <w:sz w:val="11"/>
              </w:rPr>
              <w:pict>
                <v:group style="width:.5pt;height:5.8pt;mso-position-horizontal-relative:char;mso-position-vertical-relative:line" id="docshapegroup384" coordorigin="0,0" coordsize="10,116">
                  <v:shape style="position:absolute;left:0;top:0;width:10;height:116" id="docshape385"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386" coordorigin="0,0" coordsize="10,116">
                  <v:shape style="position:absolute;left:0;top:0;width:10;height:116" id="docshape387" coordorigin="0,0" coordsize="10,116" path="m10,77l0,77,0,115,10,115,10,77xm10,0l0,0,0,38,10,38,10,0xe" filled="true" fillcolor="#000000" stroked="false">
                    <v:path arrowok="t"/>
                    <v:fill type="solid"/>
                  </v:shape>
                </v:group>
              </w:pict>
            </w:r>
            <w:r>
              <w:rPr>
                <w:position w:val="-1"/>
                <w:sz w:val="11"/>
              </w:rPr>
            </w:r>
          </w:p>
        </w:tc>
        <w:tc>
          <w:tcPr>
            <w:tcW w:w="1020" w:type="dxa"/>
            <w:tcBorders>
              <w:top w:val="dashSmallGap" w:sz="4" w:space="0" w:color="000000"/>
              <w:left w:val="nil"/>
              <w:bottom w:val="dashSmallGap" w:sz="4" w:space="0" w:color="000000"/>
              <w:right w:val="nil"/>
            </w:tcBorders>
          </w:tcPr>
          <w:p>
            <w:pPr>
              <w:pStyle w:val="TableParagraph"/>
              <w:spacing w:before="1" w:after="1"/>
              <w:rPr>
                <w:b/>
                <w:sz w:val="9"/>
              </w:rPr>
            </w:pPr>
          </w:p>
          <w:p>
            <w:pPr>
              <w:pStyle w:val="TableParagraph"/>
              <w:spacing w:line="115" w:lineRule="exact"/>
              <w:ind w:left="1030" w:right="-87"/>
              <w:rPr>
                <w:sz w:val="11"/>
              </w:rPr>
            </w:pPr>
            <w:r>
              <w:rPr>
                <w:position w:val="-1"/>
                <w:sz w:val="11"/>
              </w:rPr>
              <w:pict>
                <v:group style="width:.5pt;height:5.8pt;mso-position-horizontal-relative:char;mso-position-vertical-relative:line" id="docshapegroup388" coordorigin="0,0" coordsize="10,116">
                  <v:shape style="position:absolute;left:0;top:0;width:10;height:116" id="docshape389" coordorigin="0,0" coordsize="10,116" path="m10,77l0,77,0,115,10,115,10,77xm10,0l0,0,0,38,10,38,10,0xe" filled="true" fillcolor="#000000" stroked="false">
                    <v:path arrowok="t"/>
                    <v:fill type="solid"/>
                  </v:shape>
                </v:group>
              </w:pict>
            </w:r>
            <w:r>
              <w:rPr>
                <w:position w:val="-1"/>
                <w:sz w:val="11"/>
              </w:rPr>
            </w:r>
          </w:p>
        </w:tc>
        <w:tc>
          <w:tcPr>
            <w:tcW w:w="1020" w:type="dxa"/>
            <w:tcBorders>
              <w:top w:val="dashSmallGap" w:sz="4" w:space="0" w:color="000000"/>
              <w:left w:val="nil"/>
              <w:bottom w:val="dashSmallGap" w:sz="4" w:space="0" w:color="000000"/>
              <w:right w:val="nil"/>
            </w:tcBorders>
          </w:tcPr>
          <w:p>
            <w:pPr>
              <w:pStyle w:val="TableParagraph"/>
              <w:spacing w:before="47"/>
              <w:ind w:right="88"/>
              <w:jc w:val="right"/>
              <w:rPr>
                <w:sz w:val="18"/>
              </w:rPr>
            </w:pPr>
            <w:r>
              <w:rPr>
                <w:spacing w:val="-5"/>
                <w:sz w:val="18"/>
              </w:rPr>
              <w:t>144</w:t>
            </w:r>
          </w:p>
        </w:tc>
        <w:tc>
          <w:tcPr>
            <w:tcW w:w="1022" w:type="dxa"/>
            <w:tcBorders>
              <w:top w:val="dashed" w:sz="4" w:space="0" w:color="000000"/>
              <w:left w:val="nil"/>
              <w:bottom w:val="dashed" w:sz="4" w:space="0" w:color="000000"/>
              <w:right w:val="nil"/>
            </w:tcBorders>
          </w:tcPr>
          <w:p>
            <w:pPr>
              <w:pStyle w:val="TableParagraph"/>
              <w:spacing w:before="47"/>
              <w:ind w:right="92"/>
              <w:jc w:val="right"/>
              <w:rPr>
                <w:sz w:val="18"/>
              </w:rPr>
            </w:pPr>
            <w:r>
              <w:rPr>
                <w:spacing w:val="-5"/>
                <w:sz w:val="18"/>
              </w:rPr>
              <w:t>36</w:t>
            </w:r>
          </w:p>
        </w:tc>
        <w:tc>
          <w:tcPr>
            <w:tcW w:w="1027" w:type="dxa"/>
            <w:tcBorders>
              <w:top w:val="dashed" w:sz="4" w:space="0" w:color="000000"/>
              <w:left w:val="nil"/>
              <w:bottom w:val="dashed" w:sz="4" w:space="0" w:color="000000"/>
              <w:right w:val="single" w:sz="12" w:space="0" w:color="000000"/>
            </w:tcBorders>
          </w:tcPr>
          <w:p>
            <w:pPr>
              <w:pStyle w:val="TableParagraph"/>
              <w:spacing w:before="1" w:after="1"/>
              <w:rPr>
                <w:b/>
                <w:sz w:val="9"/>
              </w:rPr>
            </w:pPr>
          </w:p>
          <w:p>
            <w:pPr>
              <w:pStyle w:val="TableParagraph"/>
              <w:spacing w:line="115" w:lineRule="exact"/>
              <w:ind w:left="-5"/>
              <w:rPr>
                <w:sz w:val="11"/>
              </w:rPr>
            </w:pPr>
            <w:r>
              <w:rPr>
                <w:position w:val="-1"/>
                <w:sz w:val="11"/>
              </w:rPr>
              <w:pict>
                <v:group style="width:.5pt;height:5.8pt;mso-position-horizontal-relative:char;mso-position-vertical-relative:line" id="docshapegroup390" coordorigin="0,0" coordsize="10,116">
                  <v:shape style="position:absolute;left:0;top:0;width:10;height:116" id="docshape391" coordorigin="0,0" coordsize="10,116" path="m10,77l0,77,0,115,10,115,10,77xm10,0l0,0,0,38,10,38,10,0xe" filled="true" fillcolor="#000000" stroked="false">
                    <v:path arrowok="t"/>
                    <v:fill type="solid"/>
                  </v:shape>
                </v:group>
              </w:pict>
            </w:r>
            <w:r>
              <w:rPr>
                <w:position w:val="-1"/>
                <w:sz w:val="11"/>
              </w:rPr>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4"/>
              <w:jc w:val="right"/>
              <w:rPr>
                <w:sz w:val="18"/>
              </w:rPr>
            </w:pPr>
            <w:r>
              <w:rPr>
                <w:spacing w:val="-5"/>
                <w:sz w:val="18"/>
              </w:rPr>
              <w:t>180</w:t>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2"/>
              <w:jc w:val="right"/>
              <w:rPr>
                <w:sz w:val="18"/>
              </w:rPr>
            </w:pPr>
            <w:r>
              <w:rPr>
                <w:spacing w:val="-5"/>
                <w:sz w:val="18"/>
              </w:rPr>
              <w:t>200</w:t>
            </w:r>
          </w:p>
        </w:tc>
        <w:tc>
          <w:tcPr>
            <w:tcW w:w="1243"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2"/>
              <w:jc w:val="right"/>
              <w:rPr>
                <w:sz w:val="18"/>
              </w:rPr>
            </w:pPr>
            <w:r>
              <w:rPr>
                <w:spacing w:val="-5"/>
                <w:sz w:val="18"/>
              </w:rPr>
              <w:t>200</w:t>
            </w:r>
          </w:p>
        </w:tc>
      </w:tr>
      <w:tr>
        <w:trPr>
          <w:trHeight w:val="302" w:hRule="atLeast"/>
        </w:trPr>
        <w:tc>
          <w:tcPr>
            <w:tcW w:w="4291" w:type="dxa"/>
            <w:tcBorders>
              <w:top w:val="dashSmallGap" w:sz="4" w:space="0" w:color="000000"/>
              <w:left w:val="single" w:sz="12" w:space="0" w:color="000000"/>
              <w:bottom w:val="dashSmallGap" w:sz="4" w:space="0" w:color="000000"/>
              <w:right w:val="single" w:sz="12" w:space="0" w:color="000000"/>
            </w:tcBorders>
          </w:tcPr>
          <w:p>
            <w:pPr>
              <w:pStyle w:val="TableParagraph"/>
              <w:spacing w:before="47"/>
              <w:ind w:left="107"/>
              <w:rPr>
                <w:sz w:val="18"/>
              </w:rPr>
            </w:pPr>
            <w:r>
              <w:rPr>
                <w:sz w:val="18"/>
              </w:rPr>
              <w:t>Sportsfield</w:t>
            </w:r>
            <w:r>
              <w:rPr>
                <w:spacing w:val="-3"/>
                <w:sz w:val="18"/>
              </w:rPr>
              <w:t> </w:t>
            </w:r>
            <w:r>
              <w:rPr>
                <w:sz w:val="18"/>
              </w:rPr>
              <w:t>Irrigation</w:t>
            </w:r>
            <w:r>
              <w:rPr>
                <w:spacing w:val="-1"/>
                <w:sz w:val="18"/>
              </w:rPr>
              <w:t> </w:t>
            </w:r>
            <w:r>
              <w:rPr>
                <w:sz w:val="18"/>
              </w:rPr>
              <w:t>Improvement</w:t>
            </w:r>
            <w:r>
              <w:rPr>
                <w:spacing w:val="-1"/>
                <w:sz w:val="18"/>
              </w:rPr>
              <w:t> </w:t>
            </w:r>
            <w:r>
              <w:rPr>
                <w:spacing w:val="-2"/>
                <w:sz w:val="18"/>
              </w:rPr>
              <w:t>Program</w:t>
            </w:r>
          </w:p>
        </w:tc>
        <w:tc>
          <w:tcPr>
            <w:tcW w:w="1207" w:type="dxa"/>
            <w:tcBorders>
              <w:top w:val="dashSmallGap" w:sz="4" w:space="0" w:color="000000"/>
              <w:left w:val="single" w:sz="12" w:space="0" w:color="000000"/>
              <w:bottom w:val="dashSmallGap" w:sz="4" w:space="0" w:color="000000"/>
              <w:right w:val="nil"/>
            </w:tcBorders>
          </w:tcPr>
          <w:p>
            <w:pPr>
              <w:pStyle w:val="TableParagraph"/>
              <w:spacing w:before="47"/>
              <w:ind w:right="76"/>
              <w:jc w:val="right"/>
              <w:rPr>
                <w:sz w:val="18"/>
              </w:rPr>
            </w:pPr>
            <w:r>
              <w:rPr>
                <w:spacing w:val="-5"/>
                <w:sz w:val="18"/>
              </w:rPr>
              <w:t>100</w:t>
            </w:r>
          </w:p>
        </w:tc>
        <w:tc>
          <w:tcPr>
            <w:tcW w:w="1020" w:type="dxa"/>
            <w:tcBorders>
              <w:top w:val="dashSmallGap" w:sz="4" w:space="0" w:color="000000"/>
              <w:left w:val="nil"/>
              <w:bottom w:val="dashSmallGap" w:sz="4" w:space="0" w:color="000000"/>
              <w:right w:val="nil"/>
            </w:tcBorders>
          </w:tcPr>
          <w:p>
            <w:pPr>
              <w:pStyle w:val="TableParagraph"/>
              <w:spacing w:before="47"/>
              <w:ind w:right="90"/>
              <w:jc w:val="right"/>
              <w:rPr>
                <w:sz w:val="18"/>
              </w:rPr>
            </w:pPr>
            <w:r>
              <w:rPr>
                <w:spacing w:val="-5"/>
                <w:sz w:val="18"/>
              </w:rPr>
              <w:t>100</w:t>
            </w:r>
          </w:p>
        </w:tc>
        <w:tc>
          <w:tcPr>
            <w:tcW w:w="1022" w:type="dxa"/>
            <w:tcBorders>
              <w:top w:val="dashSmallGap" w:sz="4" w:space="0" w:color="000000"/>
              <w:left w:val="nil"/>
              <w:bottom w:val="dashSmallGap" w:sz="4" w:space="0" w:color="000000"/>
              <w:right w:val="nil"/>
            </w:tcBorders>
          </w:tcPr>
          <w:p>
            <w:pPr>
              <w:pStyle w:val="TableParagraph"/>
              <w:spacing w:before="11"/>
              <w:rPr>
                <w:b/>
                <w:sz w:val="8"/>
              </w:rPr>
            </w:pPr>
          </w:p>
          <w:p>
            <w:pPr>
              <w:pStyle w:val="TableParagraph"/>
              <w:tabs>
                <w:tab w:pos="1032" w:val="left" w:leader="none"/>
              </w:tabs>
              <w:spacing w:line="115" w:lineRule="exact"/>
              <w:ind w:left="10" w:right="-87"/>
              <w:rPr>
                <w:sz w:val="11"/>
              </w:rPr>
            </w:pPr>
            <w:r>
              <w:rPr>
                <w:position w:val="-1"/>
                <w:sz w:val="11"/>
              </w:rPr>
              <w:pict>
                <v:group style="width:.5pt;height:5.8pt;mso-position-horizontal-relative:char;mso-position-vertical-relative:line" id="docshapegroup392" coordorigin="0,0" coordsize="10,116">
                  <v:shape style="position:absolute;left:0;top:0;width:10;height:116" id="docshape393"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394" coordorigin="0,0" coordsize="10,116">
                  <v:shape style="position:absolute;left:0;top:0;width:10;height:116" id="docshape395" coordorigin="0,0" coordsize="10,116" path="m10,77l0,77,0,115,10,115,10,77xm10,0l0,0,0,38,10,38,10,0xe" filled="true" fillcolor="#000000" stroked="false">
                    <v:path arrowok="t"/>
                    <v:fill type="solid"/>
                  </v:shape>
                </v:group>
              </w:pict>
            </w:r>
            <w:r>
              <w:rPr>
                <w:position w:val="-1"/>
                <w:sz w:val="11"/>
              </w:rPr>
            </w:r>
          </w:p>
        </w:tc>
        <w:tc>
          <w:tcPr>
            <w:tcW w:w="1020" w:type="dxa"/>
            <w:tcBorders>
              <w:top w:val="dashSmallGap" w:sz="4" w:space="0" w:color="000000"/>
              <w:left w:val="nil"/>
              <w:bottom w:val="dashSmallGap" w:sz="4" w:space="0" w:color="000000"/>
              <w:right w:val="nil"/>
            </w:tcBorders>
          </w:tcPr>
          <w:p>
            <w:pPr>
              <w:pStyle w:val="TableParagraph"/>
              <w:spacing w:before="11"/>
              <w:rPr>
                <w:b/>
                <w:sz w:val="8"/>
              </w:rPr>
            </w:pPr>
          </w:p>
          <w:p>
            <w:pPr>
              <w:pStyle w:val="TableParagraph"/>
              <w:spacing w:line="115" w:lineRule="exact"/>
              <w:ind w:left="1030" w:right="-87"/>
              <w:rPr>
                <w:sz w:val="11"/>
              </w:rPr>
            </w:pPr>
            <w:r>
              <w:rPr>
                <w:position w:val="-1"/>
                <w:sz w:val="11"/>
              </w:rPr>
              <w:pict>
                <v:group style="width:.5pt;height:5.8pt;mso-position-horizontal-relative:char;mso-position-vertical-relative:line" id="docshapegroup396" coordorigin="0,0" coordsize="10,116">
                  <v:shape style="position:absolute;left:0;top:0;width:10;height:116" id="docshape397" coordorigin="0,0" coordsize="10,116" path="m10,77l0,77,0,115,10,115,10,77xm10,0l0,0,0,38,10,38,10,0xe" filled="true" fillcolor="#000000" stroked="false">
                    <v:path arrowok="t"/>
                    <v:fill type="solid"/>
                  </v:shape>
                </v:group>
              </w:pict>
            </w:r>
            <w:r>
              <w:rPr>
                <w:position w:val="-1"/>
                <w:sz w:val="11"/>
              </w:rPr>
            </w:r>
          </w:p>
        </w:tc>
        <w:tc>
          <w:tcPr>
            <w:tcW w:w="1020" w:type="dxa"/>
            <w:tcBorders>
              <w:top w:val="dashSmallGap" w:sz="4" w:space="0" w:color="000000"/>
              <w:left w:val="nil"/>
              <w:bottom w:val="dashSmallGap" w:sz="4" w:space="0" w:color="000000"/>
              <w:right w:val="nil"/>
            </w:tcBorders>
          </w:tcPr>
          <w:p>
            <w:pPr>
              <w:pStyle w:val="TableParagraph"/>
              <w:spacing w:before="47"/>
              <w:ind w:right="89"/>
              <w:jc w:val="right"/>
              <w:rPr>
                <w:sz w:val="18"/>
              </w:rPr>
            </w:pPr>
            <w:r>
              <w:rPr>
                <w:spacing w:val="-5"/>
                <w:sz w:val="18"/>
              </w:rPr>
              <w:t>100</w:t>
            </w:r>
          </w:p>
        </w:tc>
        <w:tc>
          <w:tcPr>
            <w:tcW w:w="1022" w:type="dxa"/>
            <w:tcBorders>
              <w:top w:val="dashed" w:sz="4" w:space="0" w:color="000000"/>
              <w:left w:val="nil"/>
              <w:bottom w:val="dashed" w:sz="4" w:space="0" w:color="000000"/>
              <w:right w:val="nil"/>
            </w:tcBorders>
          </w:tcPr>
          <w:p>
            <w:pPr>
              <w:pStyle w:val="TableParagraph"/>
              <w:spacing w:before="11"/>
              <w:rPr>
                <w:b/>
                <w:sz w:val="8"/>
              </w:rPr>
            </w:pPr>
          </w:p>
          <w:p>
            <w:pPr>
              <w:pStyle w:val="TableParagraph"/>
              <w:tabs>
                <w:tab w:pos="1032" w:val="left" w:leader="none"/>
              </w:tabs>
              <w:spacing w:line="115" w:lineRule="exact"/>
              <w:ind w:left="10" w:right="-87"/>
              <w:rPr>
                <w:sz w:val="11"/>
              </w:rPr>
            </w:pPr>
            <w:r>
              <w:rPr>
                <w:position w:val="-1"/>
                <w:sz w:val="11"/>
              </w:rPr>
              <w:pict>
                <v:group style="width:.5pt;height:5.8pt;mso-position-horizontal-relative:char;mso-position-vertical-relative:line" id="docshapegroup398" coordorigin="0,0" coordsize="10,116">
                  <v:shape style="position:absolute;left:0;top:0;width:10;height:116" id="docshape399"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400" coordorigin="0,0" coordsize="10,116">
                  <v:shape style="position:absolute;left:0;top:0;width:10;height:116" id="docshape401" coordorigin="0,0" coordsize="10,116" path="m10,77l0,77,0,115,10,115,10,77xm10,0l0,0,0,38,10,38,10,0xe" filled="true" fillcolor="#000000" stroked="false">
                    <v:path arrowok="t"/>
                    <v:fill type="solid"/>
                  </v:shape>
                </v:group>
              </w:pict>
            </w:r>
            <w:r>
              <w:rPr>
                <w:position w:val="-1"/>
                <w:sz w:val="11"/>
              </w:rPr>
            </w:r>
          </w:p>
        </w:tc>
        <w:tc>
          <w:tcPr>
            <w:tcW w:w="1027" w:type="dxa"/>
            <w:tcBorders>
              <w:top w:val="dashed" w:sz="4" w:space="0" w:color="000000"/>
              <w:left w:val="nil"/>
              <w:bottom w:val="dashed" w:sz="4" w:space="0" w:color="000000"/>
              <w:right w:val="single" w:sz="12" w:space="0" w:color="000000"/>
            </w:tcBorders>
          </w:tcPr>
          <w:p>
            <w:pPr>
              <w:pStyle w:val="TableParagraph"/>
              <w:rPr>
                <w:rFonts w:ascii="Times New Roman"/>
                <w:sz w:val="18"/>
              </w:rPr>
            </w:pP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4"/>
              <w:jc w:val="right"/>
              <w:rPr>
                <w:sz w:val="18"/>
              </w:rPr>
            </w:pPr>
            <w:r>
              <w:rPr>
                <w:spacing w:val="-5"/>
                <w:sz w:val="18"/>
              </w:rPr>
              <w:t>100</w:t>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2"/>
              <w:jc w:val="right"/>
              <w:rPr>
                <w:sz w:val="18"/>
              </w:rPr>
            </w:pPr>
            <w:r>
              <w:rPr>
                <w:spacing w:val="-5"/>
                <w:sz w:val="18"/>
              </w:rPr>
              <w:t>100</w:t>
            </w:r>
          </w:p>
        </w:tc>
        <w:tc>
          <w:tcPr>
            <w:tcW w:w="1243"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2"/>
              <w:jc w:val="right"/>
              <w:rPr>
                <w:sz w:val="18"/>
              </w:rPr>
            </w:pPr>
            <w:r>
              <w:rPr>
                <w:spacing w:val="-5"/>
                <w:sz w:val="18"/>
              </w:rPr>
              <w:t>100</w:t>
            </w:r>
          </w:p>
        </w:tc>
      </w:tr>
      <w:tr>
        <w:trPr>
          <w:trHeight w:val="302" w:hRule="atLeast"/>
        </w:trPr>
        <w:tc>
          <w:tcPr>
            <w:tcW w:w="4291" w:type="dxa"/>
            <w:tcBorders>
              <w:top w:val="dashSmallGap" w:sz="4" w:space="0" w:color="000000"/>
              <w:left w:val="single" w:sz="12" w:space="0" w:color="000000"/>
              <w:bottom w:val="dashSmallGap" w:sz="4" w:space="0" w:color="000000"/>
              <w:right w:val="single" w:sz="12" w:space="0" w:color="000000"/>
            </w:tcBorders>
          </w:tcPr>
          <w:p>
            <w:pPr>
              <w:pStyle w:val="TableParagraph"/>
              <w:spacing w:before="47"/>
              <w:ind w:left="107"/>
              <w:rPr>
                <w:sz w:val="18"/>
              </w:rPr>
            </w:pPr>
            <w:r>
              <w:rPr>
                <w:sz w:val="18"/>
              </w:rPr>
              <w:t>Golf</w:t>
            </w:r>
            <w:r>
              <w:rPr>
                <w:spacing w:val="-1"/>
                <w:sz w:val="18"/>
              </w:rPr>
              <w:t> </w:t>
            </w:r>
            <w:r>
              <w:rPr>
                <w:sz w:val="18"/>
              </w:rPr>
              <w:t>Course</w:t>
            </w:r>
            <w:r>
              <w:rPr>
                <w:spacing w:val="-1"/>
                <w:sz w:val="18"/>
              </w:rPr>
              <w:t> </w:t>
            </w:r>
            <w:r>
              <w:rPr>
                <w:sz w:val="18"/>
              </w:rPr>
              <w:t>Improvement </w:t>
            </w:r>
            <w:r>
              <w:rPr>
                <w:spacing w:val="-2"/>
                <w:sz w:val="18"/>
              </w:rPr>
              <w:t>Program</w:t>
            </w:r>
          </w:p>
        </w:tc>
        <w:tc>
          <w:tcPr>
            <w:tcW w:w="1207" w:type="dxa"/>
            <w:tcBorders>
              <w:top w:val="dashSmallGap" w:sz="4" w:space="0" w:color="000000"/>
              <w:left w:val="single" w:sz="12" w:space="0" w:color="000000"/>
              <w:bottom w:val="dashSmallGap" w:sz="4" w:space="0" w:color="000000"/>
              <w:right w:val="nil"/>
            </w:tcBorders>
          </w:tcPr>
          <w:p>
            <w:pPr>
              <w:pStyle w:val="TableParagraph"/>
              <w:spacing w:before="47"/>
              <w:ind w:right="75"/>
              <w:jc w:val="right"/>
              <w:rPr>
                <w:sz w:val="18"/>
              </w:rPr>
            </w:pPr>
            <w:r>
              <w:rPr>
                <w:spacing w:val="-5"/>
                <w:sz w:val="18"/>
              </w:rPr>
              <w:t>450</w:t>
            </w:r>
          </w:p>
        </w:tc>
        <w:tc>
          <w:tcPr>
            <w:tcW w:w="1020" w:type="dxa"/>
            <w:tcBorders>
              <w:top w:val="dashSmallGap" w:sz="4" w:space="0" w:color="000000"/>
              <w:left w:val="nil"/>
              <w:bottom w:val="dashSmallGap" w:sz="4" w:space="0" w:color="000000"/>
              <w:right w:val="nil"/>
            </w:tcBorders>
          </w:tcPr>
          <w:p>
            <w:pPr>
              <w:pStyle w:val="TableParagraph"/>
              <w:spacing w:before="47"/>
              <w:ind w:right="88"/>
              <w:jc w:val="right"/>
              <w:rPr>
                <w:sz w:val="18"/>
              </w:rPr>
            </w:pPr>
            <w:r>
              <w:rPr>
                <w:spacing w:val="-5"/>
                <w:sz w:val="18"/>
              </w:rPr>
              <w:t>450</w:t>
            </w:r>
          </w:p>
        </w:tc>
        <w:tc>
          <w:tcPr>
            <w:tcW w:w="1022" w:type="dxa"/>
            <w:tcBorders>
              <w:top w:val="dashSmallGap" w:sz="4" w:space="0" w:color="000000"/>
              <w:left w:val="nil"/>
              <w:bottom w:val="dashSmallGap" w:sz="4" w:space="0" w:color="000000"/>
              <w:right w:val="nil"/>
            </w:tcBorders>
          </w:tcPr>
          <w:p>
            <w:pPr>
              <w:pStyle w:val="TableParagraph"/>
              <w:spacing w:before="6"/>
              <w:rPr>
                <w:b/>
                <w:sz w:val="8"/>
              </w:rPr>
            </w:pPr>
          </w:p>
          <w:p>
            <w:pPr>
              <w:pStyle w:val="TableParagraph"/>
              <w:tabs>
                <w:tab w:pos="1032" w:val="left" w:leader="none"/>
              </w:tabs>
              <w:spacing w:line="115" w:lineRule="exact"/>
              <w:ind w:left="10" w:right="-87"/>
              <w:rPr>
                <w:sz w:val="11"/>
              </w:rPr>
            </w:pPr>
            <w:r>
              <w:rPr>
                <w:position w:val="-1"/>
                <w:sz w:val="11"/>
              </w:rPr>
              <w:pict>
                <v:group style="width:.5pt;height:5.8pt;mso-position-horizontal-relative:char;mso-position-vertical-relative:line" id="docshapegroup402" coordorigin="0,0" coordsize="10,116">
                  <v:shape style="position:absolute;left:0;top:0;width:10;height:116" id="docshape403"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404" coordorigin="0,0" coordsize="10,116">
                  <v:shape style="position:absolute;left:0;top:0;width:10;height:116" id="docshape405" coordorigin="0,0" coordsize="10,116" path="m10,77l0,77,0,115,10,115,10,77xm10,0l0,0,0,38,10,38,10,0xe" filled="true" fillcolor="#000000" stroked="false">
                    <v:path arrowok="t"/>
                    <v:fill type="solid"/>
                  </v:shape>
                </v:group>
              </w:pict>
            </w:r>
            <w:r>
              <w:rPr>
                <w:position w:val="-1"/>
                <w:sz w:val="11"/>
              </w:rPr>
            </w:r>
          </w:p>
        </w:tc>
        <w:tc>
          <w:tcPr>
            <w:tcW w:w="1020" w:type="dxa"/>
            <w:tcBorders>
              <w:top w:val="dashSmallGap" w:sz="4" w:space="0" w:color="000000"/>
              <w:left w:val="nil"/>
              <w:bottom w:val="dashSmallGap" w:sz="4" w:space="0" w:color="000000"/>
              <w:right w:val="nil"/>
            </w:tcBorders>
          </w:tcPr>
          <w:p>
            <w:pPr>
              <w:pStyle w:val="TableParagraph"/>
              <w:spacing w:before="6"/>
              <w:rPr>
                <w:b/>
                <w:sz w:val="8"/>
              </w:rPr>
            </w:pPr>
          </w:p>
          <w:p>
            <w:pPr>
              <w:pStyle w:val="TableParagraph"/>
              <w:spacing w:line="115" w:lineRule="exact"/>
              <w:ind w:left="1030" w:right="-87"/>
              <w:rPr>
                <w:sz w:val="11"/>
              </w:rPr>
            </w:pPr>
            <w:r>
              <w:rPr>
                <w:position w:val="-1"/>
                <w:sz w:val="11"/>
              </w:rPr>
              <w:pict>
                <v:group style="width:.5pt;height:5.8pt;mso-position-horizontal-relative:char;mso-position-vertical-relative:line" id="docshapegroup406" coordorigin="0,0" coordsize="10,116">
                  <v:shape style="position:absolute;left:0;top:0;width:10;height:116" id="docshape407" coordorigin="0,0" coordsize="10,116" path="m10,77l0,77,0,115,10,115,10,77xm10,0l0,0,0,38,10,38,10,0xe" filled="true" fillcolor="#000000" stroked="false">
                    <v:path arrowok="t"/>
                    <v:fill type="solid"/>
                  </v:shape>
                </v:group>
              </w:pict>
            </w:r>
            <w:r>
              <w:rPr>
                <w:position w:val="-1"/>
                <w:sz w:val="11"/>
              </w:rPr>
            </w:r>
          </w:p>
        </w:tc>
        <w:tc>
          <w:tcPr>
            <w:tcW w:w="1020" w:type="dxa"/>
            <w:tcBorders>
              <w:top w:val="dashSmallGap" w:sz="4" w:space="0" w:color="000000"/>
              <w:left w:val="nil"/>
              <w:bottom w:val="dashSmallGap" w:sz="4" w:space="0" w:color="000000"/>
              <w:right w:val="nil"/>
            </w:tcBorders>
          </w:tcPr>
          <w:p>
            <w:pPr>
              <w:pStyle w:val="TableParagraph"/>
              <w:spacing w:before="47"/>
              <w:ind w:right="88"/>
              <w:jc w:val="right"/>
              <w:rPr>
                <w:sz w:val="18"/>
              </w:rPr>
            </w:pPr>
            <w:r>
              <w:rPr>
                <w:spacing w:val="-5"/>
                <w:sz w:val="18"/>
              </w:rPr>
              <w:t>212</w:t>
            </w:r>
          </w:p>
        </w:tc>
        <w:tc>
          <w:tcPr>
            <w:tcW w:w="1022" w:type="dxa"/>
            <w:tcBorders>
              <w:top w:val="dashed" w:sz="4" w:space="0" w:color="000000"/>
              <w:left w:val="nil"/>
              <w:bottom w:val="dashed" w:sz="4" w:space="0" w:color="000000"/>
              <w:right w:val="nil"/>
            </w:tcBorders>
          </w:tcPr>
          <w:p>
            <w:pPr>
              <w:pStyle w:val="TableParagraph"/>
              <w:spacing w:before="47"/>
              <w:ind w:right="91"/>
              <w:jc w:val="right"/>
              <w:rPr>
                <w:sz w:val="18"/>
              </w:rPr>
            </w:pPr>
            <w:r>
              <w:rPr>
                <w:spacing w:val="-5"/>
                <w:sz w:val="18"/>
              </w:rPr>
              <w:t>238</w:t>
            </w:r>
          </w:p>
        </w:tc>
        <w:tc>
          <w:tcPr>
            <w:tcW w:w="1027" w:type="dxa"/>
            <w:tcBorders>
              <w:top w:val="dashed" w:sz="4" w:space="0" w:color="000000"/>
              <w:left w:val="nil"/>
              <w:bottom w:val="dashed" w:sz="4" w:space="0" w:color="000000"/>
              <w:right w:val="single" w:sz="12" w:space="0" w:color="000000"/>
            </w:tcBorders>
          </w:tcPr>
          <w:p>
            <w:pPr>
              <w:pStyle w:val="TableParagraph"/>
              <w:spacing w:before="6"/>
              <w:rPr>
                <w:b/>
                <w:sz w:val="8"/>
              </w:rPr>
            </w:pPr>
          </w:p>
          <w:p>
            <w:pPr>
              <w:pStyle w:val="TableParagraph"/>
              <w:spacing w:line="115" w:lineRule="exact"/>
              <w:ind w:left="-5"/>
              <w:rPr>
                <w:sz w:val="11"/>
              </w:rPr>
            </w:pPr>
            <w:r>
              <w:rPr>
                <w:position w:val="-1"/>
                <w:sz w:val="11"/>
              </w:rPr>
              <w:pict>
                <v:group style="width:.5pt;height:5.8pt;mso-position-horizontal-relative:char;mso-position-vertical-relative:line" id="docshapegroup408" coordorigin="0,0" coordsize="10,116">
                  <v:shape style="position:absolute;left:0;top:0;width:10;height:116" id="docshape409" coordorigin="0,0" coordsize="10,116" path="m10,77l0,77,0,115,10,115,10,77xm10,0l0,0,0,38,10,38,10,0xe" filled="true" fillcolor="#000000" stroked="false">
                    <v:path arrowok="t"/>
                    <v:fill type="solid"/>
                  </v:shape>
                </v:group>
              </w:pict>
            </w:r>
            <w:r>
              <w:rPr>
                <w:position w:val="-1"/>
                <w:sz w:val="11"/>
              </w:rPr>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4"/>
              <w:jc w:val="right"/>
              <w:rPr>
                <w:sz w:val="18"/>
              </w:rPr>
            </w:pPr>
            <w:r>
              <w:rPr>
                <w:spacing w:val="-5"/>
                <w:sz w:val="18"/>
              </w:rPr>
              <w:t>450</w:t>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2"/>
              <w:jc w:val="right"/>
              <w:rPr>
                <w:sz w:val="18"/>
              </w:rPr>
            </w:pPr>
            <w:r>
              <w:rPr>
                <w:spacing w:val="-5"/>
                <w:sz w:val="18"/>
              </w:rPr>
              <w:t>450</w:t>
            </w:r>
          </w:p>
        </w:tc>
        <w:tc>
          <w:tcPr>
            <w:tcW w:w="1243"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2"/>
              <w:jc w:val="right"/>
              <w:rPr>
                <w:sz w:val="18"/>
              </w:rPr>
            </w:pPr>
            <w:r>
              <w:rPr>
                <w:spacing w:val="-5"/>
                <w:sz w:val="18"/>
              </w:rPr>
              <w:t>450</w:t>
            </w:r>
          </w:p>
        </w:tc>
      </w:tr>
      <w:tr>
        <w:trPr>
          <w:trHeight w:val="482" w:hRule="atLeast"/>
        </w:trPr>
        <w:tc>
          <w:tcPr>
            <w:tcW w:w="4291" w:type="dxa"/>
            <w:tcBorders>
              <w:top w:val="dashSmallGap" w:sz="4" w:space="0" w:color="000000"/>
              <w:left w:val="single" w:sz="12" w:space="0" w:color="000000"/>
              <w:bottom w:val="dashSmallGap" w:sz="4" w:space="0" w:color="000000"/>
              <w:right w:val="single" w:sz="12" w:space="0" w:color="000000"/>
            </w:tcBorders>
          </w:tcPr>
          <w:p>
            <w:pPr>
              <w:pStyle w:val="TableParagraph"/>
              <w:spacing w:before="32"/>
              <w:ind w:left="107"/>
              <w:rPr>
                <w:sz w:val="18"/>
              </w:rPr>
            </w:pPr>
            <w:r>
              <w:rPr>
                <w:sz w:val="18"/>
              </w:rPr>
              <w:t>Sport</w:t>
            </w:r>
            <w:r>
              <w:rPr>
                <w:spacing w:val="-9"/>
                <w:sz w:val="18"/>
              </w:rPr>
              <w:t> </w:t>
            </w:r>
            <w:r>
              <w:rPr>
                <w:sz w:val="18"/>
              </w:rPr>
              <w:t>and</w:t>
            </w:r>
            <w:r>
              <w:rPr>
                <w:spacing w:val="-8"/>
                <w:sz w:val="18"/>
              </w:rPr>
              <w:t> </w:t>
            </w:r>
            <w:r>
              <w:rPr>
                <w:sz w:val="18"/>
              </w:rPr>
              <w:t>Recreation</w:t>
            </w:r>
            <w:r>
              <w:rPr>
                <w:spacing w:val="-11"/>
                <w:sz w:val="18"/>
              </w:rPr>
              <w:t> </w:t>
            </w:r>
            <w:r>
              <w:rPr>
                <w:sz w:val="18"/>
              </w:rPr>
              <w:t>Infrastructure</w:t>
            </w:r>
            <w:r>
              <w:rPr>
                <w:spacing w:val="-11"/>
                <w:sz w:val="18"/>
              </w:rPr>
              <w:t> </w:t>
            </w:r>
            <w:r>
              <w:rPr>
                <w:sz w:val="18"/>
              </w:rPr>
              <w:t>Improvement </w:t>
            </w:r>
            <w:r>
              <w:rPr>
                <w:spacing w:val="-2"/>
                <w:sz w:val="18"/>
              </w:rPr>
              <w:t>Program</w:t>
            </w:r>
          </w:p>
        </w:tc>
        <w:tc>
          <w:tcPr>
            <w:tcW w:w="1207" w:type="dxa"/>
            <w:tcBorders>
              <w:top w:val="dashSmallGap" w:sz="4" w:space="0" w:color="000000"/>
              <w:left w:val="single" w:sz="12" w:space="0" w:color="000000"/>
              <w:bottom w:val="dashSmallGap" w:sz="4" w:space="0" w:color="000000"/>
              <w:right w:val="nil"/>
            </w:tcBorders>
          </w:tcPr>
          <w:p>
            <w:pPr>
              <w:pStyle w:val="TableParagraph"/>
              <w:spacing w:before="135"/>
              <w:ind w:right="75"/>
              <w:jc w:val="right"/>
              <w:rPr>
                <w:sz w:val="18"/>
              </w:rPr>
            </w:pPr>
            <w:r>
              <w:rPr>
                <w:spacing w:val="-5"/>
                <w:sz w:val="18"/>
              </w:rPr>
              <w:t>220</w:t>
            </w:r>
          </w:p>
        </w:tc>
        <w:tc>
          <w:tcPr>
            <w:tcW w:w="1020" w:type="dxa"/>
            <w:tcBorders>
              <w:top w:val="dashSmallGap" w:sz="4" w:space="0" w:color="000000"/>
              <w:left w:val="nil"/>
              <w:bottom w:val="dashed" w:sz="4" w:space="0" w:color="000000"/>
              <w:right w:val="nil"/>
            </w:tcBorders>
          </w:tcPr>
          <w:p>
            <w:pPr>
              <w:pStyle w:val="TableParagraph"/>
              <w:spacing w:before="135"/>
              <w:ind w:right="89"/>
              <w:jc w:val="right"/>
              <w:rPr>
                <w:sz w:val="18"/>
              </w:rPr>
            </w:pPr>
            <w:r>
              <w:rPr>
                <w:spacing w:val="-5"/>
                <w:sz w:val="18"/>
              </w:rPr>
              <w:t>220</w:t>
            </w:r>
          </w:p>
        </w:tc>
        <w:tc>
          <w:tcPr>
            <w:tcW w:w="1022" w:type="dxa"/>
            <w:tcBorders>
              <w:top w:val="dashSmallGap" w:sz="4" w:space="0" w:color="000000"/>
              <w:left w:val="nil"/>
              <w:bottom w:val="dashed" w:sz="4" w:space="0" w:color="000000"/>
              <w:right w:val="nil"/>
            </w:tcBorders>
          </w:tcPr>
          <w:p>
            <w:pPr>
              <w:pStyle w:val="TableParagraph"/>
              <w:spacing w:before="1"/>
              <w:rPr>
                <w:b/>
                <w:sz w:val="8"/>
              </w:rPr>
            </w:pPr>
          </w:p>
          <w:p>
            <w:pPr>
              <w:pStyle w:val="TableParagraph"/>
              <w:tabs>
                <w:tab w:pos="1032" w:val="left" w:leader="none"/>
              </w:tabs>
              <w:ind w:left="10" w:right="-87"/>
              <w:rPr>
                <w:sz w:val="20"/>
              </w:rPr>
            </w:pPr>
            <w:r>
              <w:rPr>
                <w:sz w:val="20"/>
              </w:rPr>
              <w:pict>
                <v:group style="width:.5pt;height:17.3pt;mso-position-horizontal-relative:char;mso-position-vertical-relative:line" id="docshapegroup410" coordorigin="0,0" coordsize="10,346">
                  <v:shape style="position:absolute;left:0;top:0;width:10;height:346" id="docshape411" coordorigin="0,0" coordsize="10,346" path="m10,307l0,307,0,346,10,346,10,307xm10,230l0,230,0,269,10,269,10,230xm10,154l0,154,0,192,10,192,10,154xm10,77l0,77,0,115,10,115,10,77xm10,0l0,0,0,38,10,38,10,0xe" filled="true" fillcolor="#000000" stroked="false">
                    <v:path arrowok="t"/>
                    <v:fill type="solid"/>
                  </v:shape>
                </v:group>
              </w:pict>
            </w:r>
            <w:r>
              <w:rPr>
                <w:sz w:val="20"/>
              </w:rPr>
            </w:r>
            <w:r>
              <w:rPr>
                <w:sz w:val="20"/>
              </w:rPr>
              <w:tab/>
            </w:r>
            <w:r>
              <w:rPr>
                <w:sz w:val="20"/>
              </w:rPr>
              <w:pict>
                <v:group style="width:.5pt;height:17.3pt;mso-position-horizontal-relative:char;mso-position-vertical-relative:line" id="docshapegroup412" coordorigin="0,0" coordsize="10,346">
                  <v:shape style="position:absolute;left:0;top:0;width:10;height:346" id="docshape413" coordorigin="0,0" coordsize="10,346" path="m10,307l0,307,0,346,10,346,10,307xm10,230l0,230,0,269,10,269,10,230xm10,154l0,154,0,192,10,192,10,154xm10,77l0,77,0,115,10,115,10,77xm10,0l0,0,0,38,10,38,10,0xe" filled="true" fillcolor="#000000" stroked="false">
                    <v:path arrowok="t"/>
                    <v:fill type="solid"/>
                  </v:shape>
                </v:group>
              </w:pict>
            </w:r>
            <w:r>
              <w:rPr>
                <w:sz w:val="20"/>
              </w:rPr>
            </w:r>
          </w:p>
        </w:tc>
        <w:tc>
          <w:tcPr>
            <w:tcW w:w="1020" w:type="dxa"/>
            <w:tcBorders>
              <w:top w:val="dashSmallGap" w:sz="4" w:space="0" w:color="000000"/>
              <w:left w:val="nil"/>
              <w:bottom w:val="dashed" w:sz="4" w:space="0" w:color="000000"/>
              <w:right w:val="nil"/>
            </w:tcBorders>
          </w:tcPr>
          <w:p>
            <w:pPr>
              <w:pStyle w:val="TableParagraph"/>
              <w:spacing w:before="1"/>
              <w:rPr>
                <w:b/>
                <w:sz w:val="8"/>
              </w:rPr>
            </w:pPr>
          </w:p>
          <w:p>
            <w:pPr>
              <w:pStyle w:val="TableParagraph"/>
              <w:ind w:left="1030" w:right="-87"/>
              <w:rPr>
                <w:sz w:val="20"/>
              </w:rPr>
            </w:pPr>
            <w:r>
              <w:rPr>
                <w:sz w:val="20"/>
              </w:rPr>
              <w:pict>
                <v:group style="width:.5pt;height:17.3pt;mso-position-horizontal-relative:char;mso-position-vertical-relative:line" id="docshapegroup414" coordorigin="0,0" coordsize="10,346">
                  <v:shape style="position:absolute;left:0;top:0;width:10;height:346" id="docshape415" coordorigin="0,0" coordsize="10,346" path="m10,307l0,307,0,346,10,346,10,307xm10,230l0,230,0,269,10,269,10,230xm10,154l0,154,0,192,10,192,10,154xm10,77l0,77,0,115,10,115,10,77xm10,0l0,0,0,38,10,38,10,0xe" filled="true" fillcolor="#000000" stroked="false">
                    <v:path arrowok="t"/>
                    <v:fill type="solid"/>
                  </v:shape>
                </v:group>
              </w:pict>
            </w:r>
            <w:r>
              <w:rPr>
                <w:sz w:val="20"/>
              </w:rPr>
            </w:r>
          </w:p>
        </w:tc>
        <w:tc>
          <w:tcPr>
            <w:tcW w:w="1020" w:type="dxa"/>
            <w:tcBorders>
              <w:top w:val="dashSmallGap" w:sz="4" w:space="0" w:color="000000"/>
              <w:left w:val="nil"/>
              <w:bottom w:val="dashed" w:sz="4" w:space="0" w:color="000000"/>
              <w:right w:val="nil"/>
            </w:tcBorders>
          </w:tcPr>
          <w:p>
            <w:pPr>
              <w:pStyle w:val="TableParagraph"/>
              <w:spacing w:before="135"/>
              <w:ind w:right="89"/>
              <w:jc w:val="right"/>
              <w:rPr>
                <w:sz w:val="18"/>
              </w:rPr>
            </w:pPr>
            <w:r>
              <w:rPr>
                <w:spacing w:val="-5"/>
                <w:sz w:val="18"/>
              </w:rPr>
              <w:t>220</w:t>
            </w:r>
          </w:p>
        </w:tc>
        <w:tc>
          <w:tcPr>
            <w:tcW w:w="1022" w:type="dxa"/>
            <w:tcBorders>
              <w:top w:val="dashed" w:sz="4" w:space="0" w:color="000000"/>
              <w:left w:val="nil"/>
              <w:bottom w:val="dashed" w:sz="4" w:space="0" w:color="000000"/>
              <w:right w:val="nil"/>
            </w:tcBorders>
          </w:tcPr>
          <w:p>
            <w:pPr>
              <w:pStyle w:val="TableParagraph"/>
              <w:spacing w:before="1"/>
              <w:rPr>
                <w:b/>
                <w:sz w:val="8"/>
              </w:rPr>
            </w:pPr>
          </w:p>
          <w:p>
            <w:pPr>
              <w:pStyle w:val="TableParagraph"/>
              <w:tabs>
                <w:tab w:pos="1032" w:val="left" w:leader="none"/>
              </w:tabs>
              <w:ind w:left="10" w:right="-87"/>
              <w:rPr>
                <w:sz w:val="20"/>
              </w:rPr>
            </w:pPr>
            <w:r>
              <w:rPr>
                <w:sz w:val="20"/>
              </w:rPr>
              <w:pict>
                <v:group style="width:.5pt;height:17.3pt;mso-position-horizontal-relative:char;mso-position-vertical-relative:line" id="docshapegroup416" coordorigin="0,0" coordsize="10,346">
                  <v:shape style="position:absolute;left:0;top:0;width:10;height:346" id="docshape417" coordorigin="0,0" coordsize="10,346" path="m10,307l0,307,0,346,10,346,10,307xm10,230l0,230,0,269,10,269,10,230xm10,154l0,154,0,192,10,192,10,154xm10,77l0,77,0,115,10,115,10,77xm10,0l0,0,0,38,10,38,10,0xe" filled="true" fillcolor="#000000" stroked="false">
                    <v:path arrowok="t"/>
                    <v:fill type="solid"/>
                  </v:shape>
                </v:group>
              </w:pict>
            </w:r>
            <w:r>
              <w:rPr>
                <w:sz w:val="20"/>
              </w:rPr>
            </w:r>
            <w:r>
              <w:rPr>
                <w:sz w:val="20"/>
              </w:rPr>
              <w:tab/>
            </w:r>
            <w:r>
              <w:rPr>
                <w:sz w:val="20"/>
              </w:rPr>
              <w:pict>
                <v:group style="width:.5pt;height:17.3pt;mso-position-horizontal-relative:char;mso-position-vertical-relative:line" id="docshapegroup418" coordorigin="0,0" coordsize="10,346">
                  <v:shape style="position:absolute;left:0;top:0;width:10;height:346" id="docshape419" coordorigin="0,0" coordsize="10,346" path="m10,307l0,307,0,346,10,346,10,307xm10,230l0,230,0,269,10,269,10,230xm10,154l0,154,0,192,10,192,10,154xm10,77l0,77,0,115,10,115,10,77xm10,0l0,0,0,38,10,38,10,0xe" filled="true" fillcolor="#000000" stroked="false">
                    <v:path arrowok="t"/>
                    <v:fill type="solid"/>
                  </v:shape>
                </v:group>
              </w:pict>
            </w:r>
            <w:r>
              <w:rPr>
                <w:sz w:val="20"/>
              </w:rPr>
            </w:r>
          </w:p>
        </w:tc>
        <w:tc>
          <w:tcPr>
            <w:tcW w:w="1027" w:type="dxa"/>
            <w:tcBorders>
              <w:top w:val="dashed" w:sz="4" w:space="0" w:color="000000"/>
              <w:left w:val="nil"/>
              <w:bottom w:val="dashed" w:sz="4" w:space="0" w:color="000000"/>
              <w:right w:val="single" w:sz="12" w:space="0" w:color="000000"/>
            </w:tcBorders>
          </w:tcPr>
          <w:p>
            <w:pPr>
              <w:pStyle w:val="TableParagraph"/>
              <w:rPr>
                <w:rFonts w:ascii="Times New Roman"/>
                <w:sz w:val="18"/>
              </w:rPr>
            </w:pP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135"/>
              <w:ind w:right="74"/>
              <w:jc w:val="right"/>
              <w:rPr>
                <w:sz w:val="18"/>
              </w:rPr>
            </w:pPr>
            <w:r>
              <w:rPr>
                <w:spacing w:val="-5"/>
                <w:sz w:val="18"/>
              </w:rPr>
              <w:t>220</w:t>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135"/>
              <w:ind w:right="72"/>
              <w:jc w:val="right"/>
              <w:rPr>
                <w:sz w:val="18"/>
              </w:rPr>
            </w:pPr>
            <w:r>
              <w:rPr>
                <w:spacing w:val="-5"/>
                <w:sz w:val="18"/>
              </w:rPr>
              <w:t>230</w:t>
            </w:r>
          </w:p>
        </w:tc>
        <w:tc>
          <w:tcPr>
            <w:tcW w:w="1243" w:type="dxa"/>
            <w:tcBorders>
              <w:top w:val="dashed" w:sz="4" w:space="0" w:color="000000"/>
              <w:left w:val="single" w:sz="12" w:space="0" w:color="000000"/>
              <w:bottom w:val="dashed" w:sz="4" w:space="0" w:color="000000"/>
              <w:right w:val="single" w:sz="12" w:space="0" w:color="000000"/>
            </w:tcBorders>
          </w:tcPr>
          <w:p>
            <w:pPr>
              <w:pStyle w:val="TableParagraph"/>
              <w:spacing w:before="135"/>
              <w:ind w:right="72"/>
              <w:jc w:val="right"/>
              <w:rPr>
                <w:sz w:val="18"/>
              </w:rPr>
            </w:pPr>
            <w:r>
              <w:rPr>
                <w:spacing w:val="-5"/>
                <w:sz w:val="18"/>
              </w:rPr>
              <w:t>230</w:t>
            </w:r>
          </w:p>
        </w:tc>
      </w:tr>
      <w:tr>
        <w:trPr>
          <w:trHeight w:val="299" w:hRule="atLeast"/>
        </w:trPr>
        <w:tc>
          <w:tcPr>
            <w:tcW w:w="4291" w:type="dxa"/>
            <w:tcBorders>
              <w:top w:val="dashSmallGap" w:sz="4" w:space="0" w:color="000000"/>
              <w:left w:val="single" w:sz="12" w:space="0" w:color="000000"/>
              <w:bottom w:val="dashSmallGap" w:sz="4" w:space="0" w:color="000000"/>
              <w:right w:val="single" w:sz="12" w:space="0" w:color="000000"/>
            </w:tcBorders>
          </w:tcPr>
          <w:p>
            <w:pPr>
              <w:pStyle w:val="TableParagraph"/>
              <w:spacing w:before="44"/>
              <w:ind w:left="107"/>
              <w:rPr>
                <w:sz w:val="18"/>
              </w:rPr>
            </w:pPr>
            <w:r>
              <w:rPr>
                <w:sz w:val="18"/>
              </w:rPr>
              <w:t>Sports</w:t>
            </w:r>
            <w:r>
              <w:rPr>
                <w:spacing w:val="-2"/>
                <w:sz w:val="18"/>
              </w:rPr>
              <w:t> </w:t>
            </w:r>
            <w:r>
              <w:rPr>
                <w:sz w:val="18"/>
              </w:rPr>
              <w:t>Oval</w:t>
            </w:r>
            <w:r>
              <w:rPr>
                <w:spacing w:val="-2"/>
                <w:sz w:val="18"/>
              </w:rPr>
              <w:t> </w:t>
            </w:r>
            <w:r>
              <w:rPr>
                <w:sz w:val="18"/>
              </w:rPr>
              <w:t>Fence</w:t>
            </w:r>
            <w:r>
              <w:rPr>
                <w:spacing w:val="-2"/>
                <w:sz w:val="18"/>
              </w:rPr>
              <w:t> </w:t>
            </w:r>
            <w:r>
              <w:rPr>
                <w:sz w:val="18"/>
              </w:rPr>
              <w:t>Replacement </w:t>
            </w:r>
            <w:r>
              <w:rPr>
                <w:spacing w:val="-2"/>
                <w:sz w:val="18"/>
              </w:rPr>
              <w:t>(ongoing)</w:t>
            </w:r>
          </w:p>
        </w:tc>
        <w:tc>
          <w:tcPr>
            <w:tcW w:w="1207" w:type="dxa"/>
            <w:tcBorders>
              <w:top w:val="dashSmallGap" w:sz="4" w:space="0" w:color="000000"/>
              <w:left w:val="single" w:sz="12" w:space="0" w:color="000000"/>
              <w:bottom w:val="dashSmallGap" w:sz="4" w:space="0" w:color="000000"/>
              <w:right w:val="nil"/>
            </w:tcBorders>
          </w:tcPr>
          <w:p>
            <w:pPr>
              <w:pStyle w:val="TableParagraph"/>
              <w:spacing w:before="44"/>
              <w:ind w:right="75"/>
              <w:jc w:val="right"/>
              <w:rPr>
                <w:sz w:val="18"/>
              </w:rPr>
            </w:pPr>
            <w:r>
              <w:rPr>
                <w:spacing w:val="-5"/>
                <w:sz w:val="18"/>
              </w:rPr>
              <w:t>85</w:t>
            </w:r>
          </w:p>
        </w:tc>
        <w:tc>
          <w:tcPr>
            <w:tcW w:w="1020" w:type="dxa"/>
            <w:tcBorders>
              <w:top w:val="dashed" w:sz="4" w:space="0" w:color="000000"/>
              <w:left w:val="nil"/>
              <w:bottom w:val="dashed" w:sz="4" w:space="0" w:color="000000"/>
              <w:right w:val="nil"/>
            </w:tcBorders>
          </w:tcPr>
          <w:p>
            <w:pPr>
              <w:pStyle w:val="TableParagraph"/>
              <w:spacing w:before="44"/>
              <w:ind w:right="90"/>
              <w:jc w:val="right"/>
              <w:rPr>
                <w:sz w:val="18"/>
              </w:rPr>
            </w:pPr>
            <w:r>
              <w:rPr>
                <w:spacing w:val="-5"/>
                <w:sz w:val="18"/>
              </w:rPr>
              <w:t>85</w:t>
            </w:r>
          </w:p>
        </w:tc>
        <w:tc>
          <w:tcPr>
            <w:tcW w:w="1022" w:type="dxa"/>
            <w:tcBorders>
              <w:top w:val="dashed" w:sz="4" w:space="0" w:color="000000"/>
              <w:left w:val="nil"/>
              <w:bottom w:val="dashed" w:sz="4" w:space="0" w:color="000000"/>
              <w:right w:val="nil"/>
            </w:tcBorders>
          </w:tcPr>
          <w:p>
            <w:pPr>
              <w:pStyle w:val="TableParagraph"/>
              <w:spacing w:before="4"/>
              <w:rPr>
                <w:b/>
                <w:sz w:val="5"/>
              </w:rPr>
            </w:pPr>
          </w:p>
          <w:p>
            <w:pPr>
              <w:pStyle w:val="TableParagraph"/>
              <w:tabs>
                <w:tab w:pos="1032" w:val="left" w:leader="none"/>
              </w:tabs>
              <w:spacing w:line="192" w:lineRule="exact"/>
              <w:ind w:left="10" w:right="-87"/>
              <w:rPr>
                <w:sz w:val="19"/>
              </w:rPr>
            </w:pPr>
            <w:r>
              <w:rPr>
                <w:position w:val="-3"/>
                <w:sz w:val="19"/>
              </w:rPr>
              <w:pict>
                <v:group style="width:.5pt;height:9.6pt;mso-position-horizontal-relative:char;mso-position-vertical-relative:line" id="docshapegroup420" coordorigin="0,0" coordsize="10,192">
                  <v:shape style="position:absolute;left:0;top:0;width:10;height:192" id="docshape421" coordorigin="0,0" coordsize="10,192"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422" coordorigin="0,0" coordsize="10,192">
                  <v:shape style="position:absolute;left:0;top:0;width:10;height:192" id="docshape423" coordorigin="0,0" coordsize="10,192" path="m10,154l0,154,0,192,10,192,10,154xm10,77l0,77,0,115,10,115,10,77xm10,0l0,0,0,38,10,38,10,0xe" filled="true" fillcolor="#000000" stroked="false">
                    <v:path arrowok="t"/>
                    <v:fill type="solid"/>
                  </v:shape>
                </v:group>
              </w:pict>
            </w:r>
            <w:r>
              <w:rPr>
                <w:position w:val="-3"/>
                <w:sz w:val="19"/>
              </w:rPr>
            </w:r>
          </w:p>
        </w:tc>
        <w:tc>
          <w:tcPr>
            <w:tcW w:w="1020" w:type="dxa"/>
            <w:tcBorders>
              <w:top w:val="dashed" w:sz="4" w:space="0" w:color="000000"/>
              <w:left w:val="nil"/>
              <w:bottom w:val="dashed" w:sz="4" w:space="0" w:color="000000"/>
              <w:right w:val="nil"/>
            </w:tcBorders>
          </w:tcPr>
          <w:p>
            <w:pPr>
              <w:pStyle w:val="TableParagraph"/>
              <w:spacing w:before="4"/>
              <w:rPr>
                <w:b/>
                <w:sz w:val="5"/>
              </w:rPr>
            </w:pPr>
          </w:p>
          <w:p>
            <w:pPr>
              <w:pStyle w:val="TableParagraph"/>
              <w:spacing w:line="192" w:lineRule="exact"/>
              <w:ind w:left="1030" w:right="-87"/>
              <w:rPr>
                <w:sz w:val="19"/>
              </w:rPr>
            </w:pPr>
            <w:r>
              <w:rPr>
                <w:position w:val="-3"/>
                <w:sz w:val="19"/>
              </w:rPr>
              <w:pict>
                <v:group style="width:.5pt;height:9.6pt;mso-position-horizontal-relative:char;mso-position-vertical-relative:line" id="docshapegroup424" coordorigin="0,0" coordsize="10,192">
                  <v:shape style="position:absolute;left:0;top:0;width:10;height:192" id="docshape425" coordorigin="0,0" coordsize="10,192" path="m10,154l0,154,0,192,10,192,10,154xm10,77l0,77,0,115,10,115,10,77xm10,0l0,0,0,38,10,38,10,0xe" filled="true" fillcolor="#000000" stroked="false">
                    <v:path arrowok="t"/>
                    <v:fill type="solid"/>
                  </v:shape>
                </v:group>
              </w:pict>
            </w:r>
            <w:r>
              <w:rPr>
                <w:position w:val="-3"/>
                <w:sz w:val="19"/>
              </w:rPr>
            </w:r>
          </w:p>
        </w:tc>
        <w:tc>
          <w:tcPr>
            <w:tcW w:w="1020" w:type="dxa"/>
            <w:tcBorders>
              <w:top w:val="dashed" w:sz="4" w:space="0" w:color="000000"/>
              <w:left w:val="nil"/>
              <w:bottom w:val="dashed" w:sz="4" w:space="0" w:color="000000"/>
              <w:right w:val="nil"/>
            </w:tcBorders>
          </w:tcPr>
          <w:p>
            <w:pPr>
              <w:pStyle w:val="TableParagraph"/>
              <w:spacing w:before="44"/>
              <w:ind w:right="90"/>
              <w:jc w:val="right"/>
              <w:rPr>
                <w:sz w:val="18"/>
              </w:rPr>
            </w:pPr>
            <w:r>
              <w:rPr>
                <w:spacing w:val="-5"/>
                <w:sz w:val="18"/>
              </w:rPr>
              <w:t>85</w:t>
            </w:r>
          </w:p>
        </w:tc>
        <w:tc>
          <w:tcPr>
            <w:tcW w:w="1022" w:type="dxa"/>
            <w:tcBorders>
              <w:top w:val="dashed" w:sz="4" w:space="0" w:color="000000"/>
              <w:left w:val="nil"/>
              <w:bottom w:val="dashed" w:sz="4" w:space="0" w:color="000000"/>
              <w:right w:val="nil"/>
            </w:tcBorders>
          </w:tcPr>
          <w:p>
            <w:pPr>
              <w:pStyle w:val="TableParagraph"/>
              <w:spacing w:before="4"/>
              <w:rPr>
                <w:b/>
                <w:sz w:val="5"/>
              </w:rPr>
            </w:pPr>
          </w:p>
          <w:p>
            <w:pPr>
              <w:pStyle w:val="TableParagraph"/>
              <w:tabs>
                <w:tab w:pos="1032" w:val="left" w:leader="none"/>
              </w:tabs>
              <w:spacing w:line="192" w:lineRule="exact"/>
              <w:ind w:left="10" w:right="-87"/>
              <w:rPr>
                <w:sz w:val="19"/>
              </w:rPr>
            </w:pPr>
            <w:r>
              <w:rPr>
                <w:position w:val="-3"/>
                <w:sz w:val="19"/>
              </w:rPr>
              <w:pict>
                <v:group style="width:.5pt;height:9.6pt;mso-position-horizontal-relative:char;mso-position-vertical-relative:line" id="docshapegroup426" coordorigin="0,0" coordsize="10,192">
                  <v:shape style="position:absolute;left:0;top:0;width:10;height:192" id="docshape427" coordorigin="0,0" coordsize="10,192"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428" coordorigin="0,0" coordsize="10,192">
                  <v:shape style="position:absolute;left:0;top:0;width:10;height:192" id="docshape429" coordorigin="0,0" coordsize="10,192" path="m10,154l0,154,0,192,10,192,10,154xm10,77l0,77,0,115,10,115,10,77xm10,0l0,0,0,38,10,38,10,0xe" filled="true" fillcolor="#000000" stroked="false">
                    <v:path arrowok="t"/>
                    <v:fill type="solid"/>
                  </v:shape>
                </v:group>
              </w:pict>
            </w:r>
            <w:r>
              <w:rPr>
                <w:position w:val="-3"/>
                <w:sz w:val="19"/>
              </w:rPr>
            </w:r>
          </w:p>
        </w:tc>
        <w:tc>
          <w:tcPr>
            <w:tcW w:w="1027" w:type="dxa"/>
            <w:tcBorders>
              <w:top w:val="dashed" w:sz="4" w:space="0" w:color="000000"/>
              <w:left w:val="nil"/>
              <w:bottom w:val="dashed" w:sz="4" w:space="0" w:color="000000"/>
              <w:right w:val="single" w:sz="12" w:space="0" w:color="000000"/>
            </w:tcBorders>
          </w:tcPr>
          <w:p>
            <w:pPr>
              <w:pStyle w:val="TableParagraph"/>
              <w:rPr>
                <w:rFonts w:ascii="Times New Roman"/>
                <w:sz w:val="18"/>
              </w:rPr>
            </w:pP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44"/>
              <w:ind w:right="74"/>
              <w:jc w:val="right"/>
              <w:rPr>
                <w:sz w:val="18"/>
              </w:rPr>
            </w:pPr>
            <w:r>
              <w:rPr>
                <w:spacing w:val="-5"/>
                <w:sz w:val="18"/>
              </w:rPr>
              <w:t>90</w:t>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44"/>
              <w:ind w:right="74"/>
              <w:jc w:val="right"/>
              <w:rPr>
                <w:sz w:val="18"/>
              </w:rPr>
            </w:pPr>
            <w:r>
              <w:rPr>
                <w:spacing w:val="-5"/>
                <w:sz w:val="18"/>
              </w:rPr>
              <w:t>100</w:t>
            </w:r>
          </w:p>
        </w:tc>
        <w:tc>
          <w:tcPr>
            <w:tcW w:w="1243" w:type="dxa"/>
            <w:tcBorders>
              <w:top w:val="dashed" w:sz="4" w:space="0" w:color="000000"/>
              <w:left w:val="single" w:sz="12" w:space="0" w:color="000000"/>
              <w:bottom w:val="dashed" w:sz="4" w:space="0" w:color="000000"/>
              <w:right w:val="single" w:sz="12" w:space="0" w:color="000000"/>
            </w:tcBorders>
          </w:tcPr>
          <w:p>
            <w:pPr>
              <w:pStyle w:val="TableParagraph"/>
              <w:spacing w:before="44"/>
              <w:ind w:right="72"/>
              <w:jc w:val="right"/>
              <w:rPr>
                <w:sz w:val="18"/>
              </w:rPr>
            </w:pPr>
            <w:r>
              <w:rPr>
                <w:spacing w:val="-5"/>
                <w:sz w:val="18"/>
              </w:rPr>
              <w:t>100</w:t>
            </w:r>
          </w:p>
        </w:tc>
      </w:tr>
      <w:tr>
        <w:trPr>
          <w:trHeight w:val="302" w:hRule="atLeast"/>
        </w:trPr>
        <w:tc>
          <w:tcPr>
            <w:tcW w:w="4291" w:type="dxa"/>
            <w:tcBorders>
              <w:top w:val="dashSmallGap" w:sz="4" w:space="0" w:color="000000"/>
              <w:left w:val="single" w:sz="12" w:space="0" w:color="000000"/>
              <w:bottom w:val="dashSmallGap" w:sz="4" w:space="0" w:color="000000"/>
              <w:right w:val="single" w:sz="12" w:space="0" w:color="000000"/>
            </w:tcBorders>
          </w:tcPr>
          <w:p>
            <w:pPr>
              <w:pStyle w:val="TableParagraph"/>
              <w:spacing w:before="47"/>
              <w:ind w:left="107"/>
              <w:rPr>
                <w:sz w:val="18"/>
              </w:rPr>
            </w:pPr>
            <w:r>
              <w:rPr>
                <w:sz w:val="18"/>
              </w:rPr>
              <w:t>Bedford</w:t>
            </w:r>
            <w:r>
              <w:rPr>
                <w:spacing w:val="-3"/>
                <w:sz w:val="18"/>
              </w:rPr>
              <w:t> </w:t>
            </w:r>
            <w:r>
              <w:rPr>
                <w:sz w:val="18"/>
              </w:rPr>
              <w:t>Park</w:t>
            </w:r>
            <w:r>
              <w:rPr>
                <w:spacing w:val="-2"/>
                <w:sz w:val="18"/>
              </w:rPr>
              <w:t> </w:t>
            </w:r>
            <w:r>
              <w:rPr>
                <w:sz w:val="18"/>
              </w:rPr>
              <w:t>Advisory</w:t>
            </w:r>
            <w:r>
              <w:rPr>
                <w:spacing w:val="-1"/>
                <w:sz w:val="18"/>
              </w:rPr>
              <w:t> </w:t>
            </w:r>
            <w:r>
              <w:rPr>
                <w:sz w:val="18"/>
              </w:rPr>
              <w:t>Group</w:t>
            </w:r>
            <w:r>
              <w:rPr>
                <w:spacing w:val="-4"/>
                <w:sz w:val="18"/>
              </w:rPr>
              <w:t> </w:t>
            </w:r>
            <w:r>
              <w:rPr>
                <w:spacing w:val="-2"/>
                <w:sz w:val="18"/>
              </w:rPr>
              <w:t>Project</w:t>
            </w:r>
          </w:p>
        </w:tc>
        <w:tc>
          <w:tcPr>
            <w:tcW w:w="1207" w:type="dxa"/>
            <w:tcBorders>
              <w:top w:val="dashSmallGap" w:sz="4" w:space="0" w:color="000000"/>
              <w:left w:val="single" w:sz="12" w:space="0" w:color="000000"/>
              <w:bottom w:val="dashSmallGap" w:sz="4" w:space="0" w:color="000000"/>
              <w:right w:val="nil"/>
            </w:tcBorders>
          </w:tcPr>
          <w:p>
            <w:pPr>
              <w:pStyle w:val="TableParagraph"/>
              <w:spacing w:before="47"/>
              <w:ind w:right="74"/>
              <w:jc w:val="right"/>
              <w:rPr>
                <w:sz w:val="18"/>
              </w:rPr>
            </w:pPr>
            <w:r>
              <w:rPr>
                <w:spacing w:val="-5"/>
                <w:sz w:val="18"/>
              </w:rPr>
              <w:t>33</w:t>
            </w:r>
          </w:p>
        </w:tc>
        <w:tc>
          <w:tcPr>
            <w:tcW w:w="1020" w:type="dxa"/>
            <w:tcBorders>
              <w:top w:val="dashed" w:sz="4" w:space="0" w:color="000000"/>
              <w:left w:val="nil"/>
              <w:bottom w:val="dashed" w:sz="4" w:space="0" w:color="000000"/>
              <w:right w:val="nil"/>
            </w:tcBorders>
          </w:tcPr>
          <w:p>
            <w:pPr>
              <w:pStyle w:val="TableParagraph"/>
              <w:spacing w:before="2"/>
              <w:rPr>
                <w:b/>
                <w:sz w:val="5"/>
              </w:rPr>
            </w:pPr>
          </w:p>
          <w:p>
            <w:pPr>
              <w:pStyle w:val="TableParagraph"/>
              <w:tabs>
                <w:tab w:pos="1030" w:val="left" w:leader="none"/>
              </w:tabs>
              <w:spacing w:line="192" w:lineRule="exact"/>
              <w:ind w:left="10" w:right="-87"/>
              <w:rPr>
                <w:sz w:val="19"/>
              </w:rPr>
            </w:pPr>
            <w:r>
              <w:rPr>
                <w:position w:val="-3"/>
                <w:sz w:val="19"/>
              </w:rPr>
              <w:pict>
                <v:group style="width:.5pt;height:9.6pt;mso-position-horizontal-relative:char;mso-position-vertical-relative:line" id="docshapegroup430" coordorigin="0,0" coordsize="10,192">
                  <v:shape style="position:absolute;left:0;top:0;width:10;height:192" id="docshape431" coordorigin="0,0" coordsize="10,192"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432" coordorigin="0,0" coordsize="10,192">
                  <v:shape style="position:absolute;left:0;top:0;width:10;height:192" id="docshape433" coordorigin="0,0" coordsize="10,192" path="m10,154l0,154,0,192,10,192,10,154xm10,77l0,77,0,115,10,115,10,77xm10,0l0,0,0,38,10,38,10,0xe" filled="true" fillcolor="#000000" stroked="false">
                    <v:path arrowok="t"/>
                    <v:fill type="solid"/>
                  </v:shape>
                </v:group>
              </w:pict>
            </w:r>
            <w:r>
              <w:rPr>
                <w:position w:val="-3"/>
                <w:sz w:val="19"/>
              </w:rPr>
            </w:r>
          </w:p>
        </w:tc>
        <w:tc>
          <w:tcPr>
            <w:tcW w:w="1022" w:type="dxa"/>
            <w:tcBorders>
              <w:top w:val="dashed" w:sz="4" w:space="0" w:color="000000"/>
              <w:left w:val="nil"/>
              <w:bottom w:val="dashed" w:sz="4" w:space="0" w:color="000000"/>
              <w:right w:val="nil"/>
            </w:tcBorders>
          </w:tcPr>
          <w:p>
            <w:pPr>
              <w:pStyle w:val="TableParagraph"/>
              <w:spacing w:before="2"/>
              <w:rPr>
                <w:b/>
                <w:sz w:val="5"/>
              </w:rPr>
            </w:pPr>
          </w:p>
          <w:p>
            <w:pPr>
              <w:pStyle w:val="TableParagraph"/>
              <w:spacing w:line="192" w:lineRule="exact"/>
              <w:ind w:left="1032" w:right="-87"/>
              <w:rPr>
                <w:sz w:val="19"/>
              </w:rPr>
            </w:pPr>
            <w:r>
              <w:rPr>
                <w:position w:val="-3"/>
                <w:sz w:val="19"/>
              </w:rPr>
              <w:pict>
                <v:group style="width:.5pt;height:9.6pt;mso-position-horizontal-relative:char;mso-position-vertical-relative:line" id="docshapegroup434" coordorigin="0,0" coordsize="10,192">
                  <v:shape style="position:absolute;left:0;top:0;width:10;height:192" id="docshape435" coordorigin="0,0" coordsize="10,192" path="m10,154l0,154,0,192,10,192,10,154xm10,77l0,77,0,115,10,115,10,77xm10,0l0,0,0,38,10,38,10,0xe" filled="true" fillcolor="#000000" stroked="false">
                    <v:path arrowok="t"/>
                    <v:fill type="solid"/>
                  </v:shape>
                </v:group>
              </w:pict>
            </w:r>
            <w:r>
              <w:rPr>
                <w:position w:val="-3"/>
                <w:sz w:val="19"/>
              </w:rPr>
            </w:r>
          </w:p>
        </w:tc>
        <w:tc>
          <w:tcPr>
            <w:tcW w:w="1020" w:type="dxa"/>
            <w:tcBorders>
              <w:top w:val="dashed" w:sz="4" w:space="0" w:color="000000"/>
              <w:left w:val="nil"/>
              <w:bottom w:val="dashed" w:sz="4" w:space="0" w:color="000000"/>
              <w:right w:val="nil"/>
            </w:tcBorders>
          </w:tcPr>
          <w:p>
            <w:pPr>
              <w:pStyle w:val="TableParagraph"/>
              <w:spacing w:before="47"/>
              <w:ind w:right="91"/>
              <w:jc w:val="right"/>
              <w:rPr>
                <w:sz w:val="18"/>
              </w:rPr>
            </w:pPr>
            <w:r>
              <w:rPr>
                <w:spacing w:val="-5"/>
                <w:sz w:val="18"/>
              </w:rPr>
              <w:t>33</w:t>
            </w:r>
          </w:p>
        </w:tc>
        <w:tc>
          <w:tcPr>
            <w:tcW w:w="1020" w:type="dxa"/>
            <w:tcBorders>
              <w:top w:val="dashed" w:sz="4" w:space="0" w:color="000000"/>
              <w:left w:val="nil"/>
              <w:bottom w:val="dashed" w:sz="4" w:space="0" w:color="000000"/>
              <w:right w:val="nil"/>
            </w:tcBorders>
          </w:tcPr>
          <w:p>
            <w:pPr>
              <w:pStyle w:val="TableParagraph"/>
              <w:spacing w:before="47"/>
              <w:ind w:right="89"/>
              <w:jc w:val="right"/>
              <w:rPr>
                <w:sz w:val="18"/>
              </w:rPr>
            </w:pPr>
            <w:r>
              <w:rPr>
                <w:spacing w:val="-5"/>
                <w:sz w:val="18"/>
              </w:rPr>
              <w:t>33</w:t>
            </w:r>
          </w:p>
        </w:tc>
        <w:tc>
          <w:tcPr>
            <w:tcW w:w="1022" w:type="dxa"/>
            <w:tcBorders>
              <w:top w:val="dashed" w:sz="4" w:space="0" w:color="000000"/>
              <w:left w:val="nil"/>
              <w:bottom w:val="dashed" w:sz="4" w:space="0" w:color="000000"/>
              <w:right w:val="nil"/>
            </w:tcBorders>
          </w:tcPr>
          <w:p>
            <w:pPr>
              <w:pStyle w:val="TableParagraph"/>
              <w:spacing w:before="2"/>
              <w:rPr>
                <w:b/>
                <w:sz w:val="5"/>
              </w:rPr>
            </w:pPr>
          </w:p>
          <w:p>
            <w:pPr>
              <w:pStyle w:val="TableParagraph"/>
              <w:tabs>
                <w:tab w:pos="1032" w:val="left" w:leader="none"/>
              </w:tabs>
              <w:spacing w:line="192" w:lineRule="exact"/>
              <w:ind w:left="10" w:right="-87"/>
              <w:rPr>
                <w:sz w:val="19"/>
              </w:rPr>
            </w:pPr>
            <w:r>
              <w:rPr>
                <w:position w:val="-3"/>
                <w:sz w:val="19"/>
              </w:rPr>
              <w:pict>
                <v:group style="width:.5pt;height:9.6pt;mso-position-horizontal-relative:char;mso-position-vertical-relative:line" id="docshapegroup436" coordorigin="0,0" coordsize="10,192">
                  <v:shape style="position:absolute;left:0;top:0;width:10;height:192" id="docshape437" coordorigin="0,0" coordsize="10,192"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438" coordorigin="0,0" coordsize="10,192">
                  <v:shape style="position:absolute;left:0;top:0;width:10;height:192" id="docshape439" coordorigin="0,0" coordsize="10,192" path="m10,154l0,154,0,192,10,192,10,154xm10,77l0,77,0,115,10,115,10,77xm10,0l0,0,0,38,10,38,10,0xe" filled="true" fillcolor="#000000" stroked="false">
                    <v:path arrowok="t"/>
                    <v:fill type="solid"/>
                  </v:shape>
                </v:group>
              </w:pict>
            </w:r>
            <w:r>
              <w:rPr>
                <w:position w:val="-3"/>
                <w:sz w:val="19"/>
              </w:rPr>
            </w:r>
          </w:p>
        </w:tc>
        <w:tc>
          <w:tcPr>
            <w:tcW w:w="1027" w:type="dxa"/>
            <w:tcBorders>
              <w:top w:val="dashed" w:sz="4" w:space="0" w:color="000000"/>
              <w:left w:val="nil"/>
              <w:bottom w:val="dashed" w:sz="4" w:space="0" w:color="000000"/>
              <w:right w:val="single" w:sz="12" w:space="0" w:color="000000"/>
            </w:tcBorders>
          </w:tcPr>
          <w:p>
            <w:pPr>
              <w:pStyle w:val="TableParagraph"/>
              <w:rPr>
                <w:rFonts w:ascii="Times New Roman"/>
                <w:sz w:val="18"/>
              </w:rPr>
            </w:pP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4"/>
              <w:jc w:val="right"/>
              <w:rPr>
                <w:sz w:val="18"/>
              </w:rPr>
            </w:pPr>
            <w:r>
              <w:rPr>
                <w:spacing w:val="-5"/>
                <w:sz w:val="18"/>
              </w:rPr>
              <w:t>34</w:t>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3"/>
              <w:jc w:val="right"/>
              <w:rPr>
                <w:sz w:val="18"/>
              </w:rPr>
            </w:pPr>
            <w:r>
              <w:rPr>
                <w:spacing w:val="-5"/>
                <w:sz w:val="18"/>
              </w:rPr>
              <w:t>35</w:t>
            </w:r>
          </w:p>
        </w:tc>
        <w:tc>
          <w:tcPr>
            <w:tcW w:w="1243"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1"/>
              <w:jc w:val="right"/>
              <w:rPr>
                <w:sz w:val="18"/>
              </w:rPr>
            </w:pPr>
            <w:r>
              <w:rPr>
                <w:spacing w:val="-5"/>
                <w:sz w:val="18"/>
              </w:rPr>
              <w:t>36</w:t>
            </w:r>
          </w:p>
        </w:tc>
      </w:tr>
      <w:tr>
        <w:trPr>
          <w:trHeight w:val="723" w:hRule="atLeast"/>
        </w:trPr>
        <w:tc>
          <w:tcPr>
            <w:tcW w:w="4291" w:type="dxa"/>
            <w:tcBorders>
              <w:top w:val="dashSmallGap" w:sz="4" w:space="0" w:color="000000"/>
              <w:left w:val="single" w:sz="12" w:space="0" w:color="000000"/>
              <w:bottom w:val="single" w:sz="12" w:space="0" w:color="000000"/>
              <w:right w:val="single" w:sz="12" w:space="0" w:color="000000"/>
            </w:tcBorders>
          </w:tcPr>
          <w:p>
            <w:pPr>
              <w:pStyle w:val="TableParagraph"/>
              <w:spacing w:line="250" w:lineRule="atLeast" w:before="198"/>
              <w:ind w:left="107" w:right="110"/>
              <w:rPr>
                <w:b/>
                <w:sz w:val="22"/>
              </w:rPr>
            </w:pPr>
            <w:r>
              <w:rPr>
                <w:b/>
                <w:sz w:val="22"/>
              </w:rPr>
              <w:t>TOTAL</w:t>
            </w:r>
            <w:r>
              <w:rPr>
                <w:b/>
                <w:spacing w:val="-16"/>
                <w:sz w:val="22"/>
              </w:rPr>
              <w:t> </w:t>
            </w:r>
            <w:r>
              <w:rPr>
                <w:b/>
                <w:sz w:val="22"/>
              </w:rPr>
              <w:t>RECREATIONAL,</w:t>
            </w:r>
            <w:r>
              <w:rPr>
                <w:b/>
                <w:spacing w:val="-15"/>
                <w:sz w:val="22"/>
              </w:rPr>
              <w:t> </w:t>
            </w:r>
            <w:r>
              <w:rPr>
                <w:b/>
                <w:sz w:val="22"/>
              </w:rPr>
              <w:t>LEISURE AND COMMUNITY FACILITIES</w:t>
            </w:r>
          </w:p>
        </w:tc>
        <w:tc>
          <w:tcPr>
            <w:tcW w:w="1207" w:type="dxa"/>
            <w:tcBorders>
              <w:top w:val="dashSmallGap" w:sz="4" w:space="0" w:color="000000"/>
              <w:left w:val="single" w:sz="12" w:space="0" w:color="000000"/>
              <w:bottom w:val="single" w:sz="12" w:space="0" w:color="000000"/>
              <w:right w:val="nil"/>
            </w:tcBorders>
          </w:tcPr>
          <w:p>
            <w:pPr>
              <w:pStyle w:val="TableParagraph"/>
              <w:spacing w:before="2"/>
              <w:rPr>
                <w:b/>
                <w:sz w:val="22"/>
              </w:rPr>
            </w:pPr>
          </w:p>
          <w:p>
            <w:pPr>
              <w:pStyle w:val="TableParagraph"/>
              <w:ind w:right="74"/>
              <w:jc w:val="right"/>
              <w:rPr>
                <w:b/>
                <w:sz w:val="18"/>
              </w:rPr>
            </w:pPr>
            <w:r>
              <w:rPr>
                <w:b/>
                <w:spacing w:val="-2"/>
                <w:sz w:val="18"/>
              </w:rPr>
              <w:t>1,968</w:t>
            </w:r>
          </w:p>
        </w:tc>
        <w:tc>
          <w:tcPr>
            <w:tcW w:w="1020" w:type="dxa"/>
            <w:tcBorders>
              <w:top w:val="dashed" w:sz="4" w:space="0" w:color="000000"/>
              <w:left w:val="nil"/>
              <w:bottom w:val="single" w:sz="12" w:space="0" w:color="000000"/>
              <w:right w:val="nil"/>
            </w:tcBorders>
          </w:tcPr>
          <w:p>
            <w:pPr>
              <w:pStyle w:val="TableParagraph"/>
              <w:spacing w:before="2"/>
              <w:rPr>
                <w:b/>
                <w:sz w:val="22"/>
              </w:rPr>
            </w:pPr>
          </w:p>
          <w:p>
            <w:pPr>
              <w:pStyle w:val="TableParagraph"/>
              <w:ind w:right="88"/>
              <w:jc w:val="right"/>
              <w:rPr>
                <w:b/>
                <w:sz w:val="18"/>
              </w:rPr>
            </w:pPr>
            <w:r>
              <w:rPr>
                <w:b/>
                <w:spacing w:val="-2"/>
                <w:sz w:val="18"/>
              </w:rPr>
              <w:t>1,935</w:t>
            </w:r>
          </w:p>
        </w:tc>
        <w:tc>
          <w:tcPr>
            <w:tcW w:w="1022" w:type="dxa"/>
            <w:tcBorders>
              <w:top w:val="dashed" w:sz="4" w:space="0" w:color="000000"/>
              <w:left w:val="nil"/>
              <w:bottom w:val="single" w:sz="12" w:space="0" w:color="000000"/>
              <w:right w:val="nil"/>
            </w:tcBorders>
          </w:tcPr>
          <w:p>
            <w:pPr>
              <w:pStyle w:val="TableParagraph"/>
              <w:spacing w:before="2"/>
              <w:rPr>
                <w:b/>
                <w:sz w:val="22"/>
              </w:rPr>
            </w:pPr>
          </w:p>
          <w:p>
            <w:pPr>
              <w:pStyle w:val="TableParagraph"/>
              <w:ind w:right="93"/>
              <w:jc w:val="right"/>
              <w:rPr>
                <w:b/>
                <w:sz w:val="18"/>
              </w:rPr>
            </w:pPr>
            <w:r>
              <w:rPr>
                <w:b/>
                <w:sz w:val="18"/>
              </w:rPr>
              <w:t>0</w:t>
            </w:r>
          </w:p>
        </w:tc>
        <w:tc>
          <w:tcPr>
            <w:tcW w:w="1020" w:type="dxa"/>
            <w:tcBorders>
              <w:top w:val="dashed" w:sz="4" w:space="0" w:color="000000"/>
              <w:left w:val="nil"/>
              <w:bottom w:val="single" w:sz="12" w:space="0" w:color="000000"/>
              <w:right w:val="nil"/>
            </w:tcBorders>
          </w:tcPr>
          <w:p>
            <w:pPr>
              <w:pStyle w:val="TableParagraph"/>
              <w:spacing w:before="2"/>
              <w:rPr>
                <w:b/>
                <w:sz w:val="22"/>
              </w:rPr>
            </w:pPr>
          </w:p>
          <w:p>
            <w:pPr>
              <w:pStyle w:val="TableParagraph"/>
              <w:ind w:right="92"/>
              <w:jc w:val="right"/>
              <w:rPr>
                <w:b/>
                <w:sz w:val="18"/>
              </w:rPr>
            </w:pPr>
            <w:r>
              <w:rPr>
                <w:b/>
                <w:spacing w:val="-5"/>
                <w:sz w:val="18"/>
              </w:rPr>
              <w:t>33</w:t>
            </w:r>
          </w:p>
        </w:tc>
        <w:tc>
          <w:tcPr>
            <w:tcW w:w="1020" w:type="dxa"/>
            <w:tcBorders>
              <w:top w:val="dashed" w:sz="4" w:space="0" w:color="000000"/>
              <w:left w:val="nil"/>
              <w:bottom w:val="single" w:sz="12" w:space="0" w:color="000000"/>
              <w:right w:val="nil"/>
            </w:tcBorders>
          </w:tcPr>
          <w:p>
            <w:pPr>
              <w:pStyle w:val="TableParagraph"/>
              <w:spacing w:before="2"/>
              <w:rPr>
                <w:b/>
                <w:sz w:val="22"/>
              </w:rPr>
            </w:pPr>
          </w:p>
          <w:p>
            <w:pPr>
              <w:pStyle w:val="TableParagraph"/>
              <w:ind w:right="88"/>
              <w:jc w:val="right"/>
              <w:rPr>
                <w:b/>
                <w:sz w:val="18"/>
              </w:rPr>
            </w:pPr>
            <w:r>
              <w:rPr>
                <w:b/>
                <w:spacing w:val="-2"/>
                <w:sz w:val="18"/>
              </w:rPr>
              <w:t>1,694</w:t>
            </w:r>
          </w:p>
        </w:tc>
        <w:tc>
          <w:tcPr>
            <w:tcW w:w="1022" w:type="dxa"/>
            <w:tcBorders>
              <w:top w:val="dashed" w:sz="4" w:space="0" w:color="000000"/>
              <w:left w:val="nil"/>
              <w:bottom w:val="single" w:sz="12" w:space="0" w:color="000000"/>
              <w:right w:val="nil"/>
            </w:tcBorders>
          </w:tcPr>
          <w:p>
            <w:pPr>
              <w:pStyle w:val="TableParagraph"/>
              <w:spacing w:before="2"/>
              <w:rPr>
                <w:b/>
                <w:sz w:val="22"/>
              </w:rPr>
            </w:pPr>
          </w:p>
          <w:p>
            <w:pPr>
              <w:pStyle w:val="TableParagraph"/>
              <w:ind w:right="90"/>
              <w:jc w:val="right"/>
              <w:rPr>
                <w:b/>
                <w:sz w:val="18"/>
              </w:rPr>
            </w:pPr>
            <w:r>
              <w:rPr>
                <w:b/>
                <w:spacing w:val="-5"/>
                <w:sz w:val="18"/>
              </w:rPr>
              <w:t>274</w:t>
            </w:r>
          </w:p>
        </w:tc>
        <w:tc>
          <w:tcPr>
            <w:tcW w:w="1027" w:type="dxa"/>
            <w:tcBorders>
              <w:top w:val="dashed" w:sz="4" w:space="0" w:color="000000"/>
              <w:left w:val="nil"/>
              <w:bottom w:val="single" w:sz="12" w:space="0" w:color="000000"/>
              <w:right w:val="single" w:sz="12" w:space="0" w:color="000000"/>
            </w:tcBorders>
          </w:tcPr>
          <w:p>
            <w:pPr>
              <w:pStyle w:val="TableParagraph"/>
              <w:spacing w:before="2"/>
              <w:rPr>
                <w:b/>
                <w:sz w:val="22"/>
              </w:rPr>
            </w:pPr>
          </w:p>
          <w:p>
            <w:pPr>
              <w:pStyle w:val="TableParagraph"/>
              <w:ind w:right="75"/>
              <w:jc w:val="right"/>
              <w:rPr>
                <w:b/>
                <w:sz w:val="18"/>
              </w:rPr>
            </w:pPr>
            <w:r>
              <w:rPr>
                <w:b/>
                <w:sz w:val="18"/>
              </w:rPr>
              <w:t>0</w:t>
            </w:r>
          </w:p>
        </w:tc>
        <w:tc>
          <w:tcPr>
            <w:tcW w:w="1248" w:type="dxa"/>
            <w:tcBorders>
              <w:top w:val="dashed" w:sz="4" w:space="0" w:color="000000"/>
              <w:left w:val="single" w:sz="12" w:space="0" w:color="000000"/>
              <w:bottom w:val="single" w:sz="12" w:space="0" w:color="000000"/>
              <w:right w:val="single" w:sz="12" w:space="0" w:color="000000"/>
            </w:tcBorders>
          </w:tcPr>
          <w:p>
            <w:pPr>
              <w:pStyle w:val="TableParagraph"/>
              <w:spacing w:before="2"/>
              <w:rPr>
                <w:b/>
                <w:sz w:val="22"/>
              </w:rPr>
            </w:pPr>
          </w:p>
          <w:p>
            <w:pPr>
              <w:pStyle w:val="TableParagraph"/>
              <w:ind w:right="73"/>
              <w:jc w:val="right"/>
              <w:rPr>
                <w:b/>
                <w:sz w:val="18"/>
              </w:rPr>
            </w:pPr>
            <w:r>
              <w:rPr>
                <w:b/>
                <w:spacing w:val="-2"/>
                <w:sz w:val="18"/>
              </w:rPr>
              <w:t>2,004</w:t>
            </w:r>
          </w:p>
        </w:tc>
        <w:tc>
          <w:tcPr>
            <w:tcW w:w="1248" w:type="dxa"/>
            <w:tcBorders>
              <w:top w:val="dashed" w:sz="4" w:space="0" w:color="000000"/>
              <w:left w:val="single" w:sz="12" w:space="0" w:color="000000"/>
              <w:bottom w:val="single" w:sz="12" w:space="0" w:color="000000"/>
              <w:right w:val="single" w:sz="12" w:space="0" w:color="000000"/>
            </w:tcBorders>
          </w:tcPr>
          <w:p>
            <w:pPr>
              <w:pStyle w:val="TableParagraph"/>
              <w:spacing w:before="2"/>
              <w:rPr>
                <w:b/>
                <w:sz w:val="22"/>
              </w:rPr>
            </w:pPr>
          </w:p>
          <w:p>
            <w:pPr>
              <w:pStyle w:val="TableParagraph"/>
              <w:ind w:right="74"/>
              <w:jc w:val="right"/>
              <w:rPr>
                <w:b/>
                <w:sz w:val="18"/>
              </w:rPr>
            </w:pPr>
            <w:r>
              <w:rPr>
                <w:b/>
                <w:spacing w:val="-2"/>
                <w:sz w:val="18"/>
              </w:rPr>
              <w:t>2,065</w:t>
            </w:r>
          </w:p>
        </w:tc>
        <w:tc>
          <w:tcPr>
            <w:tcW w:w="1243" w:type="dxa"/>
            <w:tcBorders>
              <w:top w:val="dashed" w:sz="4" w:space="0" w:color="000000"/>
              <w:left w:val="single" w:sz="12" w:space="0" w:color="000000"/>
              <w:bottom w:val="single" w:sz="12" w:space="0" w:color="000000"/>
              <w:right w:val="single" w:sz="12" w:space="0" w:color="000000"/>
            </w:tcBorders>
          </w:tcPr>
          <w:p>
            <w:pPr>
              <w:pStyle w:val="TableParagraph"/>
              <w:spacing w:before="2"/>
              <w:rPr>
                <w:b/>
                <w:sz w:val="22"/>
              </w:rPr>
            </w:pPr>
          </w:p>
          <w:p>
            <w:pPr>
              <w:pStyle w:val="TableParagraph"/>
              <w:ind w:right="70"/>
              <w:jc w:val="right"/>
              <w:rPr>
                <w:b/>
                <w:sz w:val="18"/>
              </w:rPr>
            </w:pPr>
            <w:r>
              <w:rPr>
                <w:b/>
                <w:spacing w:val="-2"/>
                <w:sz w:val="18"/>
              </w:rPr>
              <w:t>2,066</w:t>
            </w:r>
          </w:p>
        </w:tc>
      </w:tr>
    </w:tbl>
    <w:p>
      <w:pPr>
        <w:rPr>
          <w:sz w:val="2"/>
          <w:szCs w:val="2"/>
        </w:rPr>
      </w:pPr>
      <w:r>
        <w:rPr/>
        <w:pict>
          <v:shape style="position:absolute;margin-left:311.400024pt;margin-top:203.519989pt;width:.5pt;height:5.8pt;mso-position-horizontal-relative:page;mso-position-vertical-relative:page;z-index:-37907968" id="docshape440" coordorigin="6228,4070" coordsize="10,116" path="m6238,4147l6228,4147,6228,4186,6238,4186,6238,4147xm6238,4070l6228,4070,6228,4109,6238,4109,6238,4070xe" filled="true" fillcolor="#000000" stroked="false">
            <v:path arrowok="t"/>
            <v:fill type="solid"/>
            <w10:wrap type="none"/>
          </v:shape>
        </w:pict>
      </w:r>
      <w:r>
        <w:rPr/>
        <w:pict>
          <v:shape style="position:absolute;margin-left:311.400024pt;margin-top:218.87999pt;width:.5pt;height:5.8pt;mso-position-horizontal-relative:page;mso-position-vertical-relative:page;z-index:-37907456" id="docshape441" coordorigin="6228,4378" coordsize="10,116" path="m6238,4454l6228,4454,6228,4493,6238,4493,6238,4454xm6238,4378l6228,4378,6228,4416,6238,4416,6238,4378xe" filled="true" fillcolor="#000000" stroked="false">
            <v:path arrowok="t"/>
            <v:fill type="solid"/>
            <w10:wrap type="none"/>
          </v:shape>
        </w:pict>
      </w:r>
      <w:r>
        <w:rPr/>
        <w:pict>
          <v:shape style="position:absolute;margin-left:515.520020pt;margin-top:218.87999pt;width:.5pt;height:5.8pt;mso-position-horizontal-relative:page;mso-position-vertical-relative:page;z-index:-37906944" id="docshape442" coordorigin="10310,4378" coordsize="10,116" path="m10320,4454l10310,4454,10310,4493,10320,4493,10320,4454xm10320,4378l10310,4378,10310,4416,10320,4416,10320,4378xe" filled="true" fillcolor="#000000" stroked="false">
            <v:path arrowok="t"/>
            <v:fill type="solid"/>
            <w10:wrap type="none"/>
          </v:shape>
        </w:pict>
      </w:r>
      <w:r>
        <w:rPr/>
        <w:pict>
          <v:shape style="position:absolute;margin-left:311.400024pt;margin-top:234.240997pt;width:.5pt;height:5.8pt;mso-position-horizontal-relative:page;mso-position-vertical-relative:page;z-index:-37906432" id="docshape443" coordorigin="6228,4685" coordsize="10,116" path="m6238,4762l6228,4762,6228,4800,6238,4800,6238,4762xm6238,4685l6228,4685,6228,4723,6238,4723,6238,4685xe" filled="true" fillcolor="#000000" stroked="false">
            <v:path arrowok="t"/>
            <v:fill type="solid"/>
            <w10:wrap type="none"/>
          </v:shape>
        </w:pict>
      </w:r>
      <w:r>
        <w:rPr/>
        <w:pict>
          <v:shape style="position:absolute;margin-left:311.400024pt;margin-top:249.599991pt;width:.5pt;height:5.8pt;mso-position-horizontal-relative:page;mso-position-vertical-relative:page;z-index:-37905920" id="docshape444" coordorigin="6228,4992" coordsize="10,116" path="m6238,5069l6228,5069,6228,5107,6238,5107,6238,5069xm6238,4992l6228,4992,6228,5030,6238,5030,6238,4992xe" filled="true" fillcolor="#000000" stroked="false">
            <v:path arrowok="t"/>
            <v:fill type="solid"/>
            <w10:wrap type="none"/>
          </v:shape>
        </w:pict>
      </w:r>
      <w:r>
        <w:rPr/>
        <w:pict>
          <v:shape style="position:absolute;margin-left:515.520020pt;margin-top:249.599991pt;width:.5pt;height:5.8pt;mso-position-horizontal-relative:page;mso-position-vertical-relative:page;z-index:-37905408" id="docshape445" coordorigin="10310,4992" coordsize="10,116" path="m10320,5069l10310,5069,10310,5107,10320,5107,10320,5069xm10320,4992l10310,4992,10310,5030,10320,5030,10320,4992xe" filled="true" fillcolor="#000000" stroked="false">
            <v:path arrowok="t"/>
            <v:fill type="solid"/>
            <w10:wrap type="none"/>
          </v:shape>
        </w:pict>
      </w:r>
      <w:r>
        <w:rPr/>
        <w:pict>
          <v:shape style="position:absolute;margin-left:311.400024pt;margin-top:264.960999pt;width:.5pt;height:17.3pt;mso-position-horizontal-relative:page;mso-position-vertical-relative:page;z-index:-37904896" id="docshape446" coordorigin="6228,5299" coordsize="10,346" path="m6238,5606l6228,5606,6228,5645,6238,5645,6238,5606xm6238,5530l6228,5530,6228,5568,6238,5568,6238,5530xm6238,5453l6228,5453,6228,5491,6238,5491,6238,5453xm6238,5376l6228,5376,6228,5414,6238,5414,6238,5376xm6238,5299l6228,5299,6228,5338,6238,5338,6238,5299xe" filled="true" fillcolor="#000000" stroked="false">
            <v:path arrowok="t"/>
            <v:fill type="solid"/>
            <w10:wrap type="none"/>
          </v:shape>
        </w:pict>
      </w:r>
      <w:r>
        <w:rPr/>
        <w:pict>
          <v:shape style="position:absolute;margin-left:311.400024pt;margin-top:288.001007pt;width:.5pt;height:9.6pt;mso-position-horizontal-relative:page;mso-position-vertical-relative:page;z-index:-37904384" id="docshape447" coordorigin="6228,5760" coordsize="10,192" path="m6238,5914l6228,5914,6228,5952,6238,5952,6238,5914xm6238,5837l6228,5837,6228,5875,6238,5875,6238,5837xm6238,5760l6228,5760,6228,5798,6238,5798,6238,5760xe" filled="true" fillcolor="#000000" stroked="false">
            <v:path arrowok="t"/>
            <v:fill type="solid"/>
            <w10:wrap type="none"/>
          </v:shape>
        </w:pict>
      </w:r>
      <w:r>
        <w:rPr/>
        <w:pict>
          <v:shape style="position:absolute;margin-left:464.52002pt;margin-top:303.360992pt;width:.5pt;height:9.6pt;mso-position-horizontal-relative:page;mso-position-vertical-relative:page;z-index:-37903872" id="docshape448" coordorigin="9290,6067" coordsize="10,192" path="m9300,6221l9290,6221,9290,6259,9300,6259,9300,6221xm9300,6144l9290,6144,9290,6182,9300,6182,9300,6144xm9300,6067l9290,6067,9290,6106,9300,6106,9300,6067xe" filled="true" fillcolor="#000000" stroked="false">
            <v:path arrowok="t"/>
            <v:fill type="solid"/>
            <w10:wrap type="none"/>
          </v:shape>
        </w:pict>
      </w:r>
      <w:r>
        <w:rPr/>
        <w:pict>
          <v:shape style="position:absolute;margin-left:311.400024pt;margin-top:318.720001pt;width:.5pt;height:28.8pt;mso-position-horizontal-relative:page;mso-position-vertical-relative:page;z-index:-37903360" id="docshape449" coordorigin="6228,6374" coordsize="10,576" path="m6238,6912l6228,6912,6228,6950,6238,6950,6238,6912xm6238,6835l6228,6835,6228,6874,6238,6874,6238,6835xm6238,6758l6228,6758,6228,6797,6238,6797,6238,6758xm6238,6682l6228,6682,6228,6720,6238,6720,6238,6682xm6238,6605l6228,6605,6228,6643,6238,6643,6238,6605xm6238,6528l6228,6528,6228,6566,6238,6566,6238,6528xm6238,6451l6228,6451,6228,6490,6238,6490,6238,6451xm6238,6374l6228,6374,6228,6413,6238,6413,6238,6374xe" filled="true" fillcolor="#000000" stroked="false">
            <v:path arrowok="t"/>
            <v:fill type="solid"/>
            <w10:wrap type="none"/>
          </v:shape>
        </w:pict>
      </w:r>
      <w:r>
        <w:rPr/>
        <w:pict>
          <v:shape style="position:absolute;margin-left:362.400024pt;margin-top:318.720001pt;width:.5pt;height:28.8pt;mso-position-horizontal-relative:page;mso-position-vertical-relative:page;z-index:-37902848" id="docshape450" coordorigin="7248,6374" coordsize="10,576" path="m7258,6912l7248,6912,7248,6950,7258,6950,7258,6912xm7258,6835l7248,6835,7248,6874,7258,6874,7258,6835xm7258,6758l7248,6758,7248,6797,7258,6797,7258,6758xm7258,6682l7248,6682,7248,6720,7258,6720,7258,6682xm7258,6605l7248,6605,7248,6643,7258,6643,7258,6605xm7258,6528l7248,6528,7248,6566,7258,6566,7258,6528xm7258,6451l7248,6451,7248,6490,7258,6490,7258,6451xm7258,6374l7248,6374,7248,6413,7258,6413,7258,6374xe" filled="true" fillcolor="#000000" stroked="false">
            <v:path arrowok="t"/>
            <v:fill type="solid"/>
            <w10:wrap type="none"/>
          </v:shape>
        </w:pict>
      </w:r>
      <w:r>
        <w:rPr/>
        <w:pict>
          <v:shape style="position:absolute;margin-left:413.52002pt;margin-top:318.720001pt;width:.5pt;height:28.8pt;mso-position-horizontal-relative:page;mso-position-vertical-relative:page;z-index:-37902336" id="docshape451" coordorigin="8270,6374" coordsize="10,576" path="m8280,6912l8270,6912,8270,6950,8280,6950,8280,6912xm8280,6835l8270,6835,8270,6874,8280,6874,8280,6835xm8280,6758l8270,6758,8270,6797,8280,6797,8280,6758xm8280,6682l8270,6682,8270,6720,8280,6720,8280,6682xm8280,6605l8270,6605,8270,6643,8280,6643,8280,6605xm8280,6528l8270,6528,8270,6566,8280,6566,8280,6528xm8280,6451l8270,6451,8270,6490,8280,6490,8280,6451xm8280,6374l8270,6374,8270,6413,8280,6413,8280,6374xe" filled="true" fillcolor="#000000" stroked="false">
            <v:path arrowok="t"/>
            <v:fill type="solid"/>
            <w10:wrap type="none"/>
          </v:shape>
        </w:pict>
      </w:r>
      <w:r>
        <w:rPr/>
        <w:pict>
          <v:shape style="position:absolute;margin-left:464.52002pt;margin-top:318.720001pt;width:.5pt;height:28.8pt;mso-position-horizontal-relative:page;mso-position-vertical-relative:page;z-index:-37901824" id="docshape452" coordorigin="9290,6374" coordsize="10,576" path="m9300,6912l9290,6912,9290,6950,9300,6950,9300,6912xm9300,6835l9290,6835,9290,6874,9300,6874,9300,6835xm9300,6758l9290,6758,9290,6797,9300,6797,9300,6758xm9300,6682l9290,6682,9290,6720,9300,6720,9300,6682xm9300,6605l9290,6605,9290,6643,9300,6643,9300,6605xm9300,6528l9290,6528,9290,6566,9300,6566,9300,6528xm9300,6451l9290,6451,9290,6490,9300,6490,9300,6451xm9300,6374l9290,6374,9290,6413,9300,6413,9300,6374xe" filled="true" fillcolor="#000000" stroked="false">
            <v:path arrowok="t"/>
            <v:fill type="solid"/>
            <w10:wrap type="none"/>
          </v:shape>
        </w:pict>
      </w:r>
      <w:r>
        <w:rPr/>
        <w:pict>
          <v:shape style="position:absolute;margin-left:515.520020pt;margin-top:318.720001pt;width:.5pt;height:28.8pt;mso-position-horizontal-relative:page;mso-position-vertical-relative:page;z-index:-37901312" id="docshape453" coordorigin="10310,6374" coordsize="10,576" path="m10320,6912l10310,6912,10310,6950,10320,6950,10320,6912xm10320,6835l10310,6835,10310,6874,10320,6874,10320,6835xm10320,6758l10310,6758,10310,6797,10320,6797,10320,6758xm10320,6682l10310,6682,10310,6720,10320,6720,10320,6682xm10320,6605l10310,6605,10310,6643,10320,6643,10320,6605xm10320,6528l10310,6528,10310,6566,10320,6566,10320,6528xm10320,6451l10310,6451,10310,6490,10320,6490,10320,6451xm10320,6374l10310,6374,10310,6413,10320,6413,10320,6374xe" filled="true" fillcolor="#000000" stroked="false">
            <v:path arrowok="t"/>
            <v:fill type="solid"/>
            <w10:wrap type="none"/>
          </v:shape>
        </w:pict>
      </w:r>
      <w:r>
        <w:rPr/>
        <w:pict>
          <v:shape style="position:absolute;margin-left:566.640015pt;margin-top:318.720001pt;width:.5pt;height:28.8pt;mso-position-horizontal-relative:page;mso-position-vertical-relative:page;z-index:-37900800" id="docshape454" coordorigin="11333,6374" coordsize="10,576" path="m11342,6912l11333,6912,11333,6950,11342,6950,11342,6912xm11342,6835l11333,6835,11333,6874,11342,6874,11342,6835xm11342,6758l11333,6758,11333,6797,11342,6797,11342,6758xm11342,6682l11333,6682,11333,6720,11342,6720,11342,6682xm11342,6605l11333,6605,11333,6643,11342,6643,11342,6605xm11342,6528l11333,6528,11333,6566,11342,6566,11342,6528xm11342,6451l11333,6451,11333,6490,11342,6490,11342,6451xm11342,6374l11333,6374,11333,6413,11342,6413,11342,6374xe" filled="true" fillcolor="#000000" stroked="false">
            <v:path arrowok="t"/>
            <v:fill type="solid"/>
            <w10:wrap type="none"/>
          </v:shape>
        </w:pict>
      </w:r>
    </w:p>
    <w:p>
      <w:pPr>
        <w:spacing w:after="0"/>
        <w:rPr>
          <w:sz w:val="2"/>
          <w:szCs w:val="2"/>
        </w:rPr>
        <w:sectPr>
          <w:type w:val="continuous"/>
          <w:pgSz w:w="16840" w:h="11910" w:orient="landscape"/>
          <w:pgMar w:header="0" w:footer="375" w:top="540" w:bottom="560" w:left="600" w:right="120"/>
        </w:sectPr>
      </w:pPr>
    </w:p>
    <w:tbl>
      <w:tblPr>
        <w:tblW w:w="0" w:type="auto"/>
        <w:jc w:val="left"/>
        <w:tblInd w:w="14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291"/>
        <w:gridCol w:w="1207"/>
        <w:gridCol w:w="1020"/>
        <w:gridCol w:w="1022"/>
        <w:gridCol w:w="1020"/>
        <w:gridCol w:w="1020"/>
        <w:gridCol w:w="1022"/>
        <w:gridCol w:w="1020"/>
        <w:gridCol w:w="1248"/>
        <w:gridCol w:w="1248"/>
        <w:gridCol w:w="1250"/>
      </w:tblGrid>
      <w:tr>
        <w:trPr>
          <w:trHeight w:val="533" w:hRule="atLeast"/>
        </w:trPr>
        <w:tc>
          <w:tcPr>
            <w:tcW w:w="15368" w:type="dxa"/>
            <w:gridSpan w:val="11"/>
            <w:tcBorders>
              <w:left w:val="single" w:sz="12" w:space="0" w:color="000000"/>
              <w:right w:val="single" w:sz="12" w:space="0" w:color="000000"/>
            </w:tcBorders>
            <w:shd w:val="clear" w:color="auto" w:fill="629CD1"/>
          </w:tcPr>
          <w:p>
            <w:pPr>
              <w:pStyle w:val="TableParagraph"/>
              <w:spacing w:before="105"/>
              <w:ind w:left="3639" w:right="3608"/>
              <w:jc w:val="center"/>
              <w:rPr>
                <w:b/>
                <w:sz w:val="28"/>
              </w:rPr>
            </w:pPr>
            <w:r>
              <w:rPr>
                <w:b/>
                <w:color w:val="FFFFFF"/>
                <w:sz w:val="28"/>
              </w:rPr>
              <w:t>CAPITAL</w:t>
            </w:r>
            <w:r>
              <w:rPr>
                <w:b/>
                <w:color w:val="FFFFFF"/>
                <w:spacing w:val="-6"/>
                <w:sz w:val="28"/>
              </w:rPr>
              <w:t> </w:t>
            </w:r>
            <w:r>
              <w:rPr>
                <w:b/>
                <w:color w:val="FFFFFF"/>
                <w:sz w:val="28"/>
              </w:rPr>
              <w:t>EXPENDITURE</w:t>
            </w:r>
            <w:r>
              <w:rPr>
                <w:b/>
                <w:color w:val="FFFFFF"/>
                <w:spacing w:val="-6"/>
                <w:sz w:val="28"/>
              </w:rPr>
              <w:t> </w:t>
            </w:r>
            <w:r>
              <w:rPr>
                <w:b/>
                <w:color w:val="FFFFFF"/>
                <w:sz w:val="28"/>
              </w:rPr>
              <w:t>PROGRAM</w:t>
            </w:r>
            <w:r>
              <w:rPr>
                <w:b/>
                <w:color w:val="FFFFFF"/>
                <w:spacing w:val="-3"/>
                <w:sz w:val="28"/>
              </w:rPr>
              <w:t> </w:t>
            </w:r>
            <w:r>
              <w:rPr>
                <w:b/>
                <w:color w:val="FFFFFF"/>
                <w:sz w:val="28"/>
              </w:rPr>
              <w:t>2025/2026</w:t>
            </w:r>
            <w:r>
              <w:rPr>
                <w:b/>
                <w:color w:val="FFFFFF"/>
                <w:spacing w:val="-6"/>
                <w:sz w:val="28"/>
              </w:rPr>
              <w:t> </w:t>
            </w:r>
            <w:r>
              <w:rPr>
                <w:b/>
                <w:color w:val="FFFFFF"/>
                <w:sz w:val="28"/>
              </w:rPr>
              <w:t>TO</w:t>
            </w:r>
            <w:r>
              <w:rPr>
                <w:b/>
                <w:color w:val="FFFFFF"/>
                <w:spacing w:val="-3"/>
                <w:sz w:val="28"/>
              </w:rPr>
              <w:t> </w:t>
            </w:r>
            <w:r>
              <w:rPr>
                <w:b/>
                <w:color w:val="FFFFFF"/>
                <w:spacing w:val="-2"/>
                <w:sz w:val="28"/>
              </w:rPr>
              <w:t>2028/2029</w:t>
            </w:r>
          </w:p>
        </w:tc>
      </w:tr>
      <w:tr>
        <w:trPr>
          <w:trHeight w:val="576" w:hRule="atLeast"/>
        </w:trPr>
        <w:tc>
          <w:tcPr>
            <w:tcW w:w="4291" w:type="dxa"/>
            <w:tcBorders>
              <w:left w:val="single" w:sz="12" w:space="0" w:color="000000"/>
              <w:right w:val="single" w:sz="12" w:space="0" w:color="000000"/>
            </w:tcBorders>
            <w:shd w:val="clear" w:color="auto" w:fill="629CD1"/>
          </w:tcPr>
          <w:p>
            <w:pPr>
              <w:pStyle w:val="TableParagraph"/>
              <w:rPr>
                <w:rFonts w:ascii="Times New Roman"/>
                <w:sz w:val="18"/>
              </w:rPr>
            </w:pPr>
          </w:p>
        </w:tc>
        <w:tc>
          <w:tcPr>
            <w:tcW w:w="7331" w:type="dxa"/>
            <w:gridSpan w:val="7"/>
            <w:tcBorders>
              <w:left w:val="single" w:sz="12" w:space="0" w:color="000000"/>
              <w:right w:val="single" w:sz="12" w:space="0" w:color="000000"/>
            </w:tcBorders>
            <w:shd w:val="clear" w:color="auto" w:fill="629CD1"/>
          </w:tcPr>
          <w:p>
            <w:pPr>
              <w:pStyle w:val="TableParagraph"/>
              <w:spacing w:before="172"/>
              <w:ind w:left="2810" w:right="2785"/>
              <w:jc w:val="center"/>
              <w:rPr>
                <w:b/>
                <w:sz w:val="20"/>
              </w:rPr>
            </w:pPr>
            <w:r>
              <w:rPr>
                <w:b/>
                <w:color w:val="FFFFFF"/>
                <w:sz w:val="20"/>
              </w:rPr>
              <w:t>Budget</w:t>
            </w:r>
            <w:r>
              <w:rPr>
                <w:b/>
                <w:color w:val="FFFFFF"/>
                <w:spacing w:val="-7"/>
                <w:sz w:val="20"/>
              </w:rPr>
              <w:t> </w:t>
            </w:r>
            <w:r>
              <w:rPr>
                <w:b/>
                <w:color w:val="FFFFFF"/>
                <w:spacing w:val="-2"/>
                <w:sz w:val="20"/>
              </w:rPr>
              <w:t>2025/2026</w:t>
            </w:r>
          </w:p>
        </w:tc>
        <w:tc>
          <w:tcPr>
            <w:tcW w:w="1248" w:type="dxa"/>
            <w:tcBorders>
              <w:left w:val="single" w:sz="12" w:space="0" w:color="000000"/>
              <w:right w:val="single" w:sz="12" w:space="0" w:color="000000"/>
            </w:tcBorders>
            <w:shd w:val="clear" w:color="auto" w:fill="629CD1"/>
          </w:tcPr>
          <w:p>
            <w:pPr>
              <w:pStyle w:val="TableParagraph"/>
              <w:spacing w:before="57"/>
              <w:ind w:left="151" w:right="119" w:firstLine="127"/>
              <w:rPr>
                <w:b/>
                <w:sz w:val="20"/>
              </w:rPr>
            </w:pPr>
            <w:r>
              <w:rPr>
                <w:b/>
                <w:color w:val="FFFFFF"/>
                <w:spacing w:val="-2"/>
                <w:sz w:val="20"/>
              </w:rPr>
              <w:t>Budget 2026/2027</w:t>
            </w:r>
          </w:p>
        </w:tc>
        <w:tc>
          <w:tcPr>
            <w:tcW w:w="1248" w:type="dxa"/>
            <w:tcBorders>
              <w:left w:val="single" w:sz="12" w:space="0" w:color="000000"/>
              <w:right w:val="single" w:sz="12" w:space="0" w:color="000000"/>
            </w:tcBorders>
            <w:shd w:val="clear" w:color="auto" w:fill="629CD1"/>
          </w:tcPr>
          <w:p>
            <w:pPr>
              <w:pStyle w:val="TableParagraph"/>
              <w:spacing w:before="57"/>
              <w:ind w:left="262" w:right="227" w:firstLine="16"/>
              <w:rPr>
                <w:b/>
                <w:sz w:val="20"/>
              </w:rPr>
            </w:pPr>
            <w:r>
              <w:rPr>
                <w:b/>
                <w:color w:val="FFFFFF"/>
                <w:spacing w:val="-2"/>
                <w:sz w:val="20"/>
              </w:rPr>
              <w:t>Budget 2027/28</w:t>
            </w:r>
          </w:p>
        </w:tc>
        <w:tc>
          <w:tcPr>
            <w:tcW w:w="1250" w:type="dxa"/>
            <w:tcBorders>
              <w:left w:val="single" w:sz="12" w:space="0" w:color="000000"/>
              <w:right w:val="single" w:sz="12" w:space="0" w:color="000000"/>
            </w:tcBorders>
            <w:shd w:val="clear" w:color="auto" w:fill="629CD1"/>
          </w:tcPr>
          <w:p>
            <w:pPr>
              <w:pStyle w:val="TableParagraph"/>
              <w:spacing w:before="57"/>
              <w:ind w:left="264" w:right="227" w:firstLine="16"/>
              <w:rPr>
                <w:b/>
                <w:sz w:val="20"/>
              </w:rPr>
            </w:pPr>
            <w:r>
              <w:rPr>
                <w:b/>
                <w:color w:val="FFFFFF"/>
                <w:spacing w:val="-2"/>
                <w:sz w:val="20"/>
              </w:rPr>
              <w:t>Budget 2028/29</w:t>
            </w:r>
          </w:p>
        </w:tc>
      </w:tr>
      <w:tr>
        <w:trPr>
          <w:trHeight w:val="782" w:hRule="atLeast"/>
        </w:trPr>
        <w:tc>
          <w:tcPr>
            <w:tcW w:w="4291" w:type="dxa"/>
            <w:tcBorders>
              <w:left w:val="single" w:sz="12" w:space="0" w:color="000000"/>
              <w:bottom w:val="single" w:sz="12" w:space="0" w:color="000000"/>
              <w:right w:val="single" w:sz="12" w:space="0" w:color="000000"/>
            </w:tcBorders>
            <w:shd w:val="clear" w:color="auto" w:fill="629CD1"/>
          </w:tcPr>
          <w:p>
            <w:pPr>
              <w:pStyle w:val="TableParagraph"/>
              <w:rPr>
                <w:rFonts w:ascii="Times New Roman"/>
                <w:sz w:val="18"/>
              </w:rPr>
            </w:pPr>
          </w:p>
        </w:tc>
        <w:tc>
          <w:tcPr>
            <w:tcW w:w="1207" w:type="dxa"/>
            <w:tcBorders>
              <w:left w:val="single" w:sz="12" w:space="0" w:color="000000"/>
              <w:bottom w:val="single" w:sz="12" w:space="0" w:color="000000"/>
              <w:right w:val="single" w:sz="12" w:space="0" w:color="000000"/>
            </w:tcBorders>
            <w:shd w:val="clear" w:color="auto" w:fill="629CD1"/>
          </w:tcPr>
          <w:p>
            <w:pPr>
              <w:pStyle w:val="TableParagraph"/>
              <w:spacing w:before="44"/>
              <w:ind w:left="141" w:right="107" w:hanging="6"/>
              <w:jc w:val="center"/>
              <w:rPr>
                <w:b/>
                <w:sz w:val="16"/>
              </w:rPr>
            </w:pPr>
            <w:r>
              <w:rPr>
                <w:b/>
                <w:color w:val="FFFFFF"/>
                <w:spacing w:val="-2"/>
                <w:sz w:val="16"/>
              </w:rPr>
              <w:t>Total Expenditure</w:t>
            </w:r>
          </w:p>
          <w:p>
            <w:pPr>
              <w:pStyle w:val="TableParagraph"/>
              <w:spacing w:before="120"/>
              <w:ind w:left="412" w:right="385"/>
              <w:jc w:val="center"/>
              <w:rPr>
                <w:b/>
                <w:sz w:val="16"/>
              </w:rPr>
            </w:pPr>
            <w:r>
              <w:rPr>
                <w:b/>
                <w:color w:val="FFFFFF"/>
                <w:spacing w:val="-4"/>
                <w:sz w:val="16"/>
              </w:rPr>
              <w:t>$000</w:t>
            </w:r>
          </w:p>
        </w:tc>
        <w:tc>
          <w:tcPr>
            <w:tcW w:w="1020" w:type="dxa"/>
            <w:tcBorders>
              <w:left w:val="single" w:sz="12" w:space="0" w:color="000000"/>
              <w:bottom w:val="single" w:sz="12" w:space="0" w:color="000000"/>
              <w:right w:val="single" w:sz="12" w:space="0" w:color="000000"/>
            </w:tcBorders>
            <w:shd w:val="clear" w:color="auto" w:fill="629CD1"/>
          </w:tcPr>
          <w:p>
            <w:pPr>
              <w:pStyle w:val="TableParagraph"/>
              <w:spacing w:before="44"/>
              <w:ind w:left="112" w:right="81"/>
              <w:jc w:val="center"/>
              <w:rPr>
                <w:b/>
                <w:sz w:val="16"/>
              </w:rPr>
            </w:pPr>
            <w:r>
              <w:rPr>
                <w:b/>
                <w:color w:val="FFFFFF"/>
                <w:spacing w:val="-2"/>
                <w:sz w:val="16"/>
              </w:rPr>
              <w:t>Council </w:t>
            </w:r>
            <w:r>
              <w:rPr>
                <w:b/>
                <w:color w:val="FFFFFF"/>
                <w:spacing w:val="-4"/>
                <w:sz w:val="16"/>
              </w:rPr>
              <w:t>Cash</w:t>
            </w:r>
          </w:p>
          <w:p>
            <w:pPr>
              <w:pStyle w:val="TableParagraph"/>
              <w:spacing w:before="120"/>
              <w:ind w:left="108" w:right="81"/>
              <w:jc w:val="center"/>
              <w:rPr>
                <w:b/>
                <w:sz w:val="16"/>
              </w:rPr>
            </w:pPr>
            <w:r>
              <w:rPr>
                <w:b/>
                <w:color w:val="FFFFFF"/>
                <w:spacing w:val="-4"/>
                <w:sz w:val="16"/>
              </w:rPr>
              <w:t>$000</w:t>
            </w:r>
          </w:p>
        </w:tc>
        <w:tc>
          <w:tcPr>
            <w:tcW w:w="1022" w:type="dxa"/>
            <w:tcBorders>
              <w:left w:val="single" w:sz="12" w:space="0" w:color="000000"/>
              <w:bottom w:val="single" w:sz="12" w:space="0" w:color="000000"/>
              <w:right w:val="single" w:sz="12" w:space="0" w:color="000000"/>
            </w:tcBorders>
            <w:shd w:val="clear" w:color="auto" w:fill="629CD1"/>
          </w:tcPr>
          <w:p>
            <w:pPr>
              <w:pStyle w:val="TableParagraph"/>
              <w:spacing w:before="136"/>
              <w:ind w:left="251"/>
              <w:rPr>
                <w:b/>
                <w:sz w:val="16"/>
              </w:rPr>
            </w:pPr>
            <w:r>
              <w:rPr>
                <w:b/>
                <w:color w:val="FFFFFF"/>
                <w:spacing w:val="-2"/>
                <w:sz w:val="16"/>
              </w:rPr>
              <w:t>Grants</w:t>
            </w:r>
          </w:p>
          <w:p>
            <w:pPr>
              <w:pStyle w:val="TableParagraph"/>
              <w:spacing w:before="4"/>
              <w:rPr>
                <w:b/>
                <w:sz w:val="18"/>
              </w:rPr>
            </w:pPr>
          </w:p>
          <w:p>
            <w:pPr>
              <w:pStyle w:val="TableParagraph"/>
              <w:spacing w:before="1"/>
              <w:ind w:left="331"/>
              <w:rPr>
                <w:b/>
                <w:sz w:val="16"/>
              </w:rPr>
            </w:pPr>
            <w:r>
              <w:rPr>
                <w:b/>
                <w:color w:val="FFFFFF"/>
                <w:spacing w:val="-4"/>
                <w:sz w:val="16"/>
              </w:rPr>
              <w:t>$000</w:t>
            </w:r>
          </w:p>
        </w:tc>
        <w:tc>
          <w:tcPr>
            <w:tcW w:w="1020" w:type="dxa"/>
            <w:tcBorders>
              <w:left w:val="single" w:sz="12" w:space="0" w:color="000000"/>
              <w:bottom w:val="single" w:sz="12" w:space="0" w:color="000000"/>
              <w:right w:val="single" w:sz="12" w:space="0" w:color="000000"/>
            </w:tcBorders>
            <w:shd w:val="clear" w:color="auto" w:fill="629CD1"/>
          </w:tcPr>
          <w:p>
            <w:pPr>
              <w:pStyle w:val="TableParagraph"/>
              <w:spacing w:before="44"/>
              <w:ind w:left="129" w:right="100" w:hanging="1"/>
              <w:jc w:val="center"/>
              <w:rPr>
                <w:b/>
                <w:sz w:val="16"/>
              </w:rPr>
            </w:pPr>
            <w:r>
              <w:rPr>
                <w:b/>
                <w:color w:val="FFFFFF"/>
                <w:spacing w:val="-2"/>
                <w:sz w:val="16"/>
              </w:rPr>
              <w:t>Others </w:t>
            </w:r>
            <w:r>
              <w:rPr>
                <w:b/>
                <w:color w:val="FFFFFF"/>
                <w:sz w:val="16"/>
              </w:rPr>
              <w:t>Contrib</w:t>
            </w:r>
            <w:r>
              <w:rPr>
                <w:b/>
                <w:color w:val="FFFFFF"/>
                <w:spacing w:val="-12"/>
                <w:sz w:val="16"/>
              </w:rPr>
              <w:t> </w:t>
            </w:r>
            <w:r>
              <w:rPr>
                <w:b/>
                <w:color w:val="FFFFFF"/>
                <w:sz w:val="16"/>
              </w:rPr>
              <w:t>‘n</w:t>
            </w:r>
          </w:p>
          <w:p>
            <w:pPr>
              <w:pStyle w:val="TableParagraph"/>
              <w:spacing w:before="120"/>
              <w:ind w:left="104" w:right="81"/>
              <w:jc w:val="center"/>
              <w:rPr>
                <w:b/>
                <w:sz w:val="16"/>
              </w:rPr>
            </w:pPr>
            <w:r>
              <w:rPr>
                <w:b/>
                <w:color w:val="FFFFFF"/>
                <w:spacing w:val="-4"/>
                <w:sz w:val="16"/>
              </w:rPr>
              <w:t>$000</w:t>
            </w:r>
          </w:p>
        </w:tc>
        <w:tc>
          <w:tcPr>
            <w:tcW w:w="1020" w:type="dxa"/>
            <w:tcBorders>
              <w:left w:val="single" w:sz="12" w:space="0" w:color="000000"/>
              <w:bottom w:val="single" w:sz="12" w:space="0" w:color="000000"/>
              <w:right w:val="single" w:sz="12" w:space="0" w:color="000000"/>
            </w:tcBorders>
            <w:shd w:val="clear" w:color="auto" w:fill="629CD1"/>
          </w:tcPr>
          <w:p>
            <w:pPr>
              <w:pStyle w:val="TableParagraph"/>
              <w:spacing w:before="44"/>
              <w:ind w:left="185" w:right="153" w:firstLine="1"/>
              <w:jc w:val="center"/>
              <w:rPr>
                <w:b/>
                <w:sz w:val="16"/>
              </w:rPr>
            </w:pPr>
            <w:r>
              <w:rPr>
                <w:b/>
                <w:color w:val="FFFFFF"/>
                <w:spacing w:val="-2"/>
                <w:sz w:val="16"/>
              </w:rPr>
              <w:t>Asset Renewal</w:t>
            </w:r>
          </w:p>
          <w:p>
            <w:pPr>
              <w:pStyle w:val="TableParagraph"/>
              <w:spacing w:before="120"/>
              <w:ind w:left="109" w:right="81"/>
              <w:jc w:val="center"/>
              <w:rPr>
                <w:b/>
                <w:sz w:val="16"/>
              </w:rPr>
            </w:pPr>
            <w:r>
              <w:rPr>
                <w:b/>
                <w:color w:val="FFFFFF"/>
                <w:spacing w:val="-4"/>
                <w:sz w:val="16"/>
              </w:rPr>
              <w:t>$000</w:t>
            </w:r>
          </w:p>
        </w:tc>
        <w:tc>
          <w:tcPr>
            <w:tcW w:w="1022" w:type="dxa"/>
            <w:tcBorders>
              <w:left w:val="single" w:sz="12" w:space="0" w:color="000000"/>
              <w:bottom w:val="single" w:sz="12" w:space="0" w:color="000000"/>
              <w:right w:val="single" w:sz="12" w:space="0" w:color="000000"/>
            </w:tcBorders>
            <w:shd w:val="clear" w:color="auto" w:fill="629CD1"/>
          </w:tcPr>
          <w:p>
            <w:pPr>
              <w:pStyle w:val="TableParagraph"/>
              <w:spacing w:before="136"/>
              <w:ind w:left="172" w:right="144"/>
              <w:jc w:val="center"/>
              <w:rPr>
                <w:b/>
                <w:sz w:val="16"/>
              </w:rPr>
            </w:pPr>
            <w:r>
              <w:rPr>
                <w:b/>
                <w:color w:val="FFFFFF"/>
                <w:spacing w:val="-2"/>
                <w:sz w:val="16"/>
              </w:rPr>
              <w:t>Upgrade</w:t>
            </w:r>
          </w:p>
          <w:p>
            <w:pPr>
              <w:pStyle w:val="TableParagraph"/>
              <w:spacing w:before="4"/>
              <w:rPr>
                <w:b/>
                <w:sz w:val="18"/>
              </w:rPr>
            </w:pPr>
          </w:p>
          <w:p>
            <w:pPr>
              <w:pStyle w:val="TableParagraph"/>
              <w:spacing w:before="1"/>
              <w:ind w:left="170" w:right="144"/>
              <w:jc w:val="center"/>
              <w:rPr>
                <w:b/>
                <w:sz w:val="16"/>
              </w:rPr>
            </w:pPr>
            <w:r>
              <w:rPr>
                <w:b/>
                <w:color w:val="FFFFFF"/>
                <w:spacing w:val="-4"/>
                <w:sz w:val="16"/>
              </w:rPr>
              <w:t>$000</w:t>
            </w:r>
          </w:p>
        </w:tc>
        <w:tc>
          <w:tcPr>
            <w:tcW w:w="1020" w:type="dxa"/>
            <w:tcBorders>
              <w:left w:val="single" w:sz="12" w:space="0" w:color="000000"/>
              <w:bottom w:val="single" w:sz="12" w:space="0" w:color="000000"/>
              <w:right w:val="single" w:sz="12" w:space="0" w:color="000000"/>
            </w:tcBorders>
            <w:shd w:val="clear" w:color="auto" w:fill="629CD1"/>
          </w:tcPr>
          <w:p>
            <w:pPr>
              <w:pStyle w:val="TableParagraph"/>
              <w:spacing w:before="136"/>
              <w:ind w:left="112" w:right="81"/>
              <w:jc w:val="center"/>
              <w:rPr>
                <w:b/>
                <w:sz w:val="16"/>
              </w:rPr>
            </w:pPr>
            <w:r>
              <w:rPr>
                <w:b/>
                <w:color w:val="FFFFFF"/>
                <w:sz w:val="16"/>
              </w:rPr>
              <w:t>New</w:t>
            </w:r>
            <w:r>
              <w:rPr>
                <w:b/>
                <w:color w:val="FFFFFF"/>
                <w:spacing w:val="-1"/>
                <w:sz w:val="16"/>
              </w:rPr>
              <w:t> </w:t>
            </w:r>
            <w:r>
              <w:rPr>
                <w:b/>
                <w:color w:val="FFFFFF"/>
                <w:spacing w:val="-4"/>
                <w:sz w:val="16"/>
              </w:rPr>
              <w:t>Work</w:t>
            </w:r>
          </w:p>
          <w:p>
            <w:pPr>
              <w:pStyle w:val="TableParagraph"/>
              <w:spacing w:before="4"/>
              <w:rPr>
                <w:b/>
                <w:sz w:val="18"/>
              </w:rPr>
            </w:pPr>
          </w:p>
          <w:p>
            <w:pPr>
              <w:pStyle w:val="TableParagraph"/>
              <w:spacing w:before="1"/>
              <w:ind w:left="110" w:right="81"/>
              <w:jc w:val="center"/>
              <w:rPr>
                <w:b/>
                <w:sz w:val="16"/>
              </w:rPr>
            </w:pPr>
            <w:r>
              <w:rPr>
                <w:b/>
                <w:color w:val="FFFFFF"/>
                <w:spacing w:val="-4"/>
                <w:sz w:val="16"/>
              </w:rPr>
              <w:t>$000</w:t>
            </w:r>
          </w:p>
        </w:tc>
        <w:tc>
          <w:tcPr>
            <w:tcW w:w="1248" w:type="dxa"/>
            <w:tcBorders>
              <w:left w:val="single" w:sz="12" w:space="0" w:color="000000"/>
              <w:bottom w:val="single" w:sz="12" w:space="0" w:color="000000"/>
              <w:right w:val="single" w:sz="12" w:space="0" w:color="000000"/>
            </w:tcBorders>
            <w:shd w:val="clear" w:color="auto" w:fill="629CD1"/>
          </w:tcPr>
          <w:p>
            <w:pPr>
              <w:pStyle w:val="TableParagraph"/>
              <w:spacing w:before="44"/>
              <w:ind w:left="161" w:right="128" w:hanging="2"/>
              <w:jc w:val="center"/>
              <w:rPr>
                <w:b/>
                <w:sz w:val="16"/>
              </w:rPr>
            </w:pPr>
            <w:r>
              <w:rPr>
                <w:b/>
                <w:color w:val="FFFFFF"/>
                <w:spacing w:val="-2"/>
                <w:sz w:val="16"/>
              </w:rPr>
              <w:t>Total Expenditure</w:t>
            </w:r>
          </w:p>
          <w:p>
            <w:pPr>
              <w:pStyle w:val="TableParagraph"/>
              <w:spacing w:before="120"/>
              <w:ind w:left="202" w:right="171"/>
              <w:jc w:val="center"/>
              <w:rPr>
                <w:b/>
                <w:sz w:val="16"/>
              </w:rPr>
            </w:pPr>
            <w:r>
              <w:rPr>
                <w:b/>
                <w:color w:val="FFFFFF"/>
                <w:spacing w:val="-4"/>
                <w:sz w:val="16"/>
              </w:rPr>
              <w:t>$000</w:t>
            </w:r>
          </w:p>
        </w:tc>
        <w:tc>
          <w:tcPr>
            <w:tcW w:w="1248" w:type="dxa"/>
            <w:tcBorders>
              <w:left w:val="single" w:sz="12" w:space="0" w:color="000000"/>
              <w:bottom w:val="single" w:sz="12" w:space="0" w:color="000000"/>
              <w:right w:val="single" w:sz="12" w:space="0" w:color="000000"/>
            </w:tcBorders>
            <w:shd w:val="clear" w:color="auto" w:fill="629CD1"/>
          </w:tcPr>
          <w:p>
            <w:pPr>
              <w:pStyle w:val="TableParagraph"/>
              <w:spacing w:before="44"/>
              <w:ind w:left="161" w:right="128" w:hanging="2"/>
              <w:jc w:val="center"/>
              <w:rPr>
                <w:b/>
                <w:sz w:val="16"/>
              </w:rPr>
            </w:pPr>
            <w:r>
              <w:rPr>
                <w:b/>
                <w:color w:val="FFFFFF"/>
                <w:spacing w:val="-2"/>
                <w:sz w:val="16"/>
              </w:rPr>
              <w:t>Total Expenditure</w:t>
            </w:r>
          </w:p>
          <w:p>
            <w:pPr>
              <w:pStyle w:val="TableParagraph"/>
              <w:spacing w:before="120"/>
              <w:ind w:left="202" w:right="171"/>
              <w:jc w:val="center"/>
              <w:rPr>
                <w:b/>
                <w:sz w:val="16"/>
              </w:rPr>
            </w:pPr>
            <w:r>
              <w:rPr>
                <w:b/>
                <w:color w:val="FFFFFF"/>
                <w:spacing w:val="-4"/>
                <w:sz w:val="16"/>
              </w:rPr>
              <w:t>$000</w:t>
            </w:r>
          </w:p>
        </w:tc>
        <w:tc>
          <w:tcPr>
            <w:tcW w:w="1250" w:type="dxa"/>
            <w:tcBorders>
              <w:left w:val="single" w:sz="12" w:space="0" w:color="000000"/>
              <w:bottom w:val="single" w:sz="12" w:space="0" w:color="000000"/>
              <w:right w:val="single" w:sz="12" w:space="0" w:color="000000"/>
            </w:tcBorders>
            <w:shd w:val="clear" w:color="auto" w:fill="629CD1"/>
          </w:tcPr>
          <w:p>
            <w:pPr>
              <w:pStyle w:val="TableParagraph"/>
              <w:spacing w:before="44"/>
              <w:ind w:left="163" w:right="127" w:hanging="6"/>
              <w:jc w:val="center"/>
              <w:rPr>
                <w:b/>
                <w:sz w:val="16"/>
              </w:rPr>
            </w:pPr>
            <w:r>
              <w:rPr>
                <w:b/>
                <w:color w:val="FFFFFF"/>
                <w:spacing w:val="-2"/>
                <w:sz w:val="16"/>
              </w:rPr>
              <w:t>Total Expenditure</w:t>
            </w:r>
          </w:p>
          <w:p>
            <w:pPr>
              <w:pStyle w:val="TableParagraph"/>
              <w:spacing w:before="120"/>
              <w:ind w:left="434" w:right="405"/>
              <w:jc w:val="center"/>
              <w:rPr>
                <w:b/>
                <w:sz w:val="16"/>
              </w:rPr>
            </w:pPr>
            <w:r>
              <w:rPr>
                <w:b/>
                <w:color w:val="FFFFFF"/>
                <w:spacing w:val="-4"/>
                <w:sz w:val="16"/>
              </w:rPr>
              <w:t>$000</w:t>
            </w:r>
          </w:p>
        </w:tc>
      </w:tr>
      <w:tr>
        <w:trPr>
          <w:trHeight w:val="1097" w:hRule="atLeast"/>
        </w:trPr>
        <w:tc>
          <w:tcPr>
            <w:tcW w:w="4291" w:type="dxa"/>
            <w:tcBorders>
              <w:top w:val="single" w:sz="12" w:space="0" w:color="000000"/>
              <w:left w:val="single" w:sz="12" w:space="0" w:color="000000"/>
              <w:bottom w:val="single" w:sz="8" w:space="0" w:color="000000"/>
              <w:right w:val="single" w:sz="12" w:space="0" w:color="000000"/>
            </w:tcBorders>
          </w:tcPr>
          <w:p>
            <w:pPr>
              <w:pStyle w:val="TableParagraph"/>
              <w:spacing w:before="80"/>
              <w:ind w:left="107"/>
              <w:rPr>
                <w:b/>
                <w:sz w:val="28"/>
              </w:rPr>
            </w:pPr>
            <w:r>
              <w:rPr>
                <w:b/>
                <w:spacing w:val="-2"/>
                <w:sz w:val="28"/>
              </w:rPr>
              <w:t>RECREATIONAL IMPROVEMENTS</w:t>
            </w:r>
          </w:p>
          <w:p>
            <w:pPr>
              <w:pStyle w:val="TableParagraph"/>
              <w:spacing w:line="321" w:lineRule="exact"/>
              <w:ind w:left="107"/>
              <w:rPr>
                <w:b/>
                <w:sz w:val="28"/>
              </w:rPr>
            </w:pPr>
            <w:r>
              <w:rPr>
                <w:b/>
                <w:spacing w:val="-2"/>
                <w:sz w:val="28"/>
              </w:rPr>
              <w:t>Continuation…</w:t>
            </w:r>
          </w:p>
        </w:tc>
        <w:tc>
          <w:tcPr>
            <w:tcW w:w="1207" w:type="dxa"/>
            <w:tcBorders>
              <w:top w:val="single" w:sz="12" w:space="0" w:color="000000"/>
              <w:left w:val="single" w:sz="12" w:space="0" w:color="000000"/>
              <w:bottom w:val="single" w:sz="8" w:space="0" w:color="000000"/>
              <w:right w:val="dashSmallGap" w:sz="4" w:space="0" w:color="000000"/>
            </w:tcBorders>
          </w:tcPr>
          <w:p>
            <w:pPr>
              <w:pStyle w:val="TableParagraph"/>
              <w:rPr>
                <w:rFonts w:ascii="Times New Roman"/>
                <w:sz w:val="18"/>
              </w:rPr>
            </w:pPr>
          </w:p>
        </w:tc>
        <w:tc>
          <w:tcPr>
            <w:tcW w:w="1020" w:type="dxa"/>
            <w:tcBorders>
              <w:top w:val="single" w:sz="12" w:space="0" w:color="000000"/>
              <w:left w:val="dashSmallGap" w:sz="4" w:space="0" w:color="000000"/>
              <w:bottom w:val="single" w:sz="8" w:space="0" w:color="000000"/>
              <w:right w:val="dashSmallGap" w:sz="4" w:space="0" w:color="000000"/>
            </w:tcBorders>
          </w:tcPr>
          <w:p>
            <w:pPr>
              <w:pStyle w:val="TableParagraph"/>
              <w:rPr>
                <w:rFonts w:ascii="Times New Roman"/>
                <w:sz w:val="18"/>
              </w:rPr>
            </w:pPr>
          </w:p>
        </w:tc>
        <w:tc>
          <w:tcPr>
            <w:tcW w:w="1022" w:type="dxa"/>
            <w:tcBorders>
              <w:top w:val="single" w:sz="12" w:space="0" w:color="000000"/>
              <w:left w:val="dashSmallGap" w:sz="4" w:space="0" w:color="000000"/>
              <w:bottom w:val="single" w:sz="8" w:space="0" w:color="000000"/>
              <w:right w:val="dashSmallGap" w:sz="4" w:space="0" w:color="000000"/>
            </w:tcBorders>
          </w:tcPr>
          <w:p>
            <w:pPr>
              <w:pStyle w:val="TableParagraph"/>
              <w:rPr>
                <w:rFonts w:ascii="Times New Roman"/>
                <w:sz w:val="18"/>
              </w:rPr>
            </w:pPr>
          </w:p>
        </w:tc>
        <w:tc>
          <w:tcPr>
            <w:tcW w:w="1020" w:type="dxa"/>
            <w:tcBorders>
              <w:top w:val="single" w:sz="12" w:space="0" w:color="000000"/>
              <w:left w:val="dashSmallGap" w:sz="4" w:space="0" w:color="000000"/>
              <w:bottom w:val="single" w:sz="8" w:space="0" w:color="000000"/>
              <w:right w:val="dashSmallGap" w:sz="4" w:space="0" w:color="000000"/>
            </w:tcBorders>
          </w:tcPr>
          <w:p>
            <w:pPr>
              <w:pStyle w:val="TableParagraph"/>
              <w:rPr>
                <w:rFonts w:ascii="Times New Roman"/>
                <w:sz w:val="18"/>
              </w:rPr>
            </w:pPr>
          </w:p>
        </w:tc>
        <w:tc>
          <w:tcPr>
            <w:tcW w:w="1020" w:type="dxa"/>
            <w:tcBorders>
              <w:top w:val="single" w:sz="12" w:space="0" w:color="000000"/>
              <w:left w:val="dashSmallGap" w:sz="4" w:space="0" w:color="000000"/>
              <w:bottom w:val="single" w:sz="8" w:space="0" w:color="000000"/>
              <w:right w:val="dashSmallGap" w:sz="4" w:space="0" w:color="000000"/>
            </w:tcBorders>
          </w:tcPr>
          <w:p>
            <w:pPr>
              <w:pStyle w:val="TableParagraph"/>
              <w:rPr>
                <w:rFonts w:ascii="Times New Roman"/>
                <w:sz w:val="18"/>
              </w:rPr>
            </w:pPr>
          </w:p>
        </w:tc>
        <w:tc>
          <w:tcPr>
            <w:tcW w:w="1022" w:type="dxa"/>
            <w:tcBorders>
              <w:top w:val="single" w:sz="12" w:space="0" w:color="000000"/>
              <w:left w:val="dashSmallGap" w:sz="4" w:space="0" w:color="000000"/>
              <w:bottom w:val="single" w:sz="8" w:space="0" w:color="000000"/>
              <w:right w:val="dashSmallGap" w:sz="4" w:space="0" w:color="000000"/>
            </w:tcBorders>
          </w:tcPr>
          <w:p>
            <w:pPr>
              <w:pStyle w:val="TableParagraph"/>
              <w:rPr>
                <w:rFonts w:ascii="Times New Roman"/>
                <w:sz w:val="18"/>
              </w:rPr>
            </w:pPr>
          </w:p>
        </w:tc>
        <w:tc>
          <w:tcPr>
            <w:tcW w:w="1020" w:type="dxa"/>
            <w:tcBorders>
              <w:top w:val="single" w:sz="12" w:space="0" w:color="000000"/>
              <w:left w:val="dashSmallGap" w:sz="4" w:space="0" w:color="000000"/>
              <w:bottom w:val="single" w:sz="8" w:space="0" w:color="000000"/>
              <w:right w:val="single" w:sz="12" w:space="0" w:color="000000"/>
            </w:tcBorders>
          </w:tcPr>
          <w:p>
            <w:pPr>
              <w:pStyle w:val="TableParagraph"/>
              <w:rPr>
                <w:rFonts w:ascii="Times New Roman"/>
                <w:sz w:val="18"/>
              </w:rPr>
            </w:pPr>
          </w:p>
        </w:tc>
        <w:tc>
          <w:tcPr>
            <w:tcW w:w="1248" w:type="dxa"/>
            <w:tcBorders>
              <w:top w:val="single" w:sz="12" w:space="0" w:color="000000"/>
              <w:left w:val="single" w:sz="12" w:space="0" w:color="000000"/>
              <w:bottom w:val="single" w:sz="8" w:space="0" w:color="000000"/>
              <w:right w:val="single" w:sz="12" w:space="0" w:color="000000"/>
            </w:tcBorders>
          </w:tcPr>
          <w:p>
            <w:pPr>
              <w:pStyle w:val="TableParagraph"/>
              <w:rPr>
                <w:rFonts w:ascii="Times New Roman"/>
                <w:sz w:val="18"/>
              </w:rPr>
            </w:pPr>
          </w:p>
        </w:tc>
        <w:tc>
          <w:tcPr>
            <w:tcW w:w="1248" w:type="dxa"/>
            <w:tcBorders>
              <w:top w:val="single" w:sz="12" w:space="0" w:color="000000"/>
              <w:left w:val="single" w:sz="12" w:space="0" w:color="000000"/>
              <w:bottom w:val="single" w:sz="8" w:space="0" w:color="000000"/>
              <w:right w:val="single" w:sz="12" w:space="0" w:color="000000"/>
            </w:tcBorders>
          </w:tcPr>
          <w:p>
            <w:pPr>
              <w:pStyle w:val="TableParagraph"/>
              <w:rPr>
                <w:rFonts w:ascii="Times New Roman"/>
                <w:sz w:val="18"/>
              </w:rPr>
            </w:pPr>
          </w:p>
        </w:tc>
        <w:tc>
          <w:tcPr>
            <w:tcW w:w="1250" w:type="dxa"/>
            <w:tcBorders>
              <w:top w:val="single" w:sz="12" w:space="0" w:color="000000"/>
              <w:left w:val="single" w:sz="12" w:space="0" w:color="000000"/>
              <w:bottom w:val="single" w:sz="8" w:space="0" w:color="000000"/>
              <w:right w:val="single" w:sz="12" w:space="0" w:color="000000"/>
            </w:tcBorders>
          </w:tcPr>
          <w:p>
            <w:pPr>
              <w:pStyle w:val="TableParagraph"/>
              <w:rPr>
                <w:rFonts w:ascii="Times New Roman"/>
                <w:sz w:val="18"/>
              </w:rPr>
            </w:pPr>
          </w:p>
        </w:tc>
      </w:tr>
      <w:tr>
        <w:trPr>
          <w:trHeight w:val="259" w:hRule="atLeast"/>
        </w:trPr>
        <w:tc>
          <w:tcPr>
            <w:tcW w:w="4291" w:type="dxa"/>
            <w:tcBorders>
              <w:top w:val="single" w:sz="8" w:space="0" w:color="000000"/>
              <w:left w:val="single" w:sz="12" w:space="0" w:color="000000"/>
              <w:bottom w:val="dashSmallGap" w:sz="4" w:space="0" w:color="000000"/>
              <w:right w:val="single" w:sz="12" w:space="0" w:color="000000"/>
            </w:tcBorders>
          </w:tcPr>
          <w:p>
            <w:pPr>
              <w:pStyle w:val="TableParagraph"/>
              <w:spacing w:line="239" w:lineRule="exact"/>
              <w:ind w:left="107"/>
              <w:rPr>
                <w:b/>
                <w:sz w:val="22"/>
              </w:rPr>
            </w:pPr>
            <w:r>
              <w:rPr>
                <w:b/>
                <w:sz w:val="22"/>
              </w:rPr>
              <w:t>PARKS</w:t>
            </w:r>
            <w:r>
              <w:rPr>
                <w:b/>
                <w:spacing w:val="-2"/>
                <w:sz w:val="22"/>
              </w:rPr>
              <w:t> </w:t>
            </w:r>
            <w:r>
              <w:rPr>
                <w:b/>
                <w:sz w:val="22"/>
              </w:rPr>
              <w:t>AND</w:t>
            </w:r>
            <w:r>
              <w:rPr>
                <w:b/>
                <w:spacing w:val="-4"/>
                <w:sz w:val="22"/>
              </w:rPr>
              <w:t> </w:t>
            </w:r>
            <w:r>
              <w:rPr>
                <w:b/>
                <w:sz w:val="22"/>
              </w:rPr>
              <w:t>OPEN</w:t>
            </w:r>
            <w:r>
              <w:rPr>
                <w:b/>
                <w:spacing w:val="-1"/>
                <w:sz w:val="22"/>
              </w:rPr>
              <w:t> </w:t>
            </w:r>
            <w:r>
              <w:rPr>
                <w:b/>
                <w:spacing w:val="-2"/>
                <w:sz w:val="22"/>
              </w:rPr>
              <w:t>SPACE</w:t>
            </w:r>
          </w:p>
        </w:tc>
        <w:tc>
          <w:tcPr>
            <w:tcW w:w="7331" w:type="dxa"/>
            <w:gridSpan w:val="7"/>
            <w:tcBorders>
              <w:top w:val="thinThickMediumGap" w:sz="9" w:space="0" w:color="000000"/>
              <w:left w:val="single" w:sz="12" w:space="0" w:color="000000"/>
              <w:right w:val="single" w:sz="12" w:space="0" w:color="000000"/>
            </w:tcBorders>
          </w:tcPr>
          <w:p>
            <w:pPr>
              <w:pStyle w:val="TableParagraph"/>
              <w:spacing w:before="5"/>
              <w:rPr>
                <w:b/>
                <w:sz w:val="4"/>
              </w:rPr>
            </w:pPr>
          </w:p>
          <w:p>
            <w:pPr>
              <w:pStyle w:val="TableParagraph"/>
              <w:tabs>
                <w:tab w:pos="2222" w:val="left" w:leader="none"/>
                <w:tab w:pos="3244" w:val="left" w:leader="none"/>
                <w:tab w:pos="4264" w:val="left" w:leader="none"/>
                <w:tab w:pos="5284" w:val="left" w:leader="none"/>
                <w:tab w:pos="6306" w:val="left" w:leader="none"/>
              </w:tabs>
              <w:spacing w:line="115" w:lineRule="exact"/>
              <w:ind w:left="1202"/>
              <w:rPr>
                <w:sz w:val="11"/>
              </w:rPr>
            </w:pPr>
            <w:r>
              <w:rPr>
                <w:position w:val="-1"/>
                <w:sz w:val="11"/>
              </w:rPr>
              <w:pict>
                <v:group style="width:.5pt;height:5.8pt;mso-position-horizontal-relative:char;mso-position-vertical-relative:line" id="docshapegroup455" coordorigin="0,0" coordsize="10,116">
                  <v:shape style="position:absolute;left:0;top:0;width:10;height:116" id="docshape456"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457" coordorigin="0,0" coordsize="10,116">
                  <v:shape style="position:absolute;left:0;top:0;width:10;height:116" id="docshape458"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459" coordorigin="0,0" coordsize="10,116">
                  <v:shape style="position:absolute;left:0;top:0;width:10;height:116" id="docshape460"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461" coordorigin="0,0" coordsize="10,116">
                  <v:shape style="position:absolute;left:0;top:0;width:10;height:116" id="docshape462"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463" coordorigin="0,0" coordsize="10,116">
                  <v:shape style="position:absolute;left:0;top:0;width:10;height:116" id="docshape464"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465" coordorigin="0,0" coordsize="10,116">
                  <v:shape style="position:absolute;left:0;top:0;width:10;height:116" id="docshape466" coordorigin="0,0" coordsize="10,116" path="m10,77l0,77,0,115,10,115,10,77xm10,0l0,0,0,38,10,38,10,0xe" filled="true" fillcolor="#000000" stroked="false">
                    <v:path arrowok="t"/>
                    <v:fill type="solid"/>
                  </v:shape>
                </v:group>
              </w:pict>
            </w:r>
            <w:r>
              <w:rPr>
                <w:position w:val="-1"/>
                <w:sz w:val="11"/>
              </w:rPr>
            </w:r>
          </w:p>
        </w:tc>
        <w:tc>
          <w:tcPr>
            <w:tcW w:w="1248" w:type="dxa"/>
            <w:tcBorders>
              <w:top w:val="single" w:sz="8" w:space="0" w:color="000000"/>
              <w:left w:val="single" w:sz="12" w:space="0" w:color="000000"/>
              <w:bottom w:val="dashSmallGap" w:sz="4" w:space="0" w:color="000000"/>
              <w:right w:val="single" w:sz="12" w:space="0" w:color="000000"/>
            </w:tcBorders>
          </w:tcPr>
          <w:p>
            <w:pPr>
              <w:pStyle w:val="TableParagraph"/>
              <w:rPr>
                <w:rFonts w:ascii="Times New Roman"/>
                <w:sz w:val="18"/>
              </w:rPr>
            </w:pPr>
          </w:p>
        </w:tc>
        <w:tc>
          <w:tcPr>
            <w:tcW w:w="1248" w:type="dxa"/>
            <w:tcBorders>
              <w:top w:val="single" w:sz="8" w:space="0" w:color="000000"/>
              <w:left w:val="single" w:sz="12" w:space="0" w:color="000000"/>
              <w:bottom w:val="dashSmallGap" w:sz="4" w:space="0" w:color="000000"/>
              <w:right w:val="single" w:sz="12" w:space="0" w:color="000000"/>
            </w:tcBorders>
          </w:tcPr>
          <w:p>
            <w:pPr>
              <w:pStyle w:val="TableParagraph"/>
              <w:rPr>
                <w:rFonts w:ascii="Times New Roman"/>
                <w:sz w:val="18"/>
              </w:rPr>
            </w:pPr>
          </w:p>
        </w:tc>
        <w:tc>
          <w:tcPr>
            <w:tcW w:w="1250" w:type="dxa"/>
            <w:tcBorders>
              <w:top w:val="single" w:sz="8" w:space="0" w:color="000000"/>
              <w:left w:val="single" w:sz="12" w:space="0" w:color="000000"/>
              <w:bottom w:val="dashSmallGap" w:sz="4" w:space="0" w:color="000000"/>
              <w:right w:val="single" w:sz="12" w:space="0" w:color="000000"/>
            </w:tcBorders>
          </w:tcPr>
          <w:p>
            <w:pPr>
              <w:pStyle w:val="TableParagraph"/>
              <w:rPr>
                <w:rFonts w:ascii="Times New Roman"/>
                <w:sz w:val="18"/>
              </w:rPr>
            </w:pPr>
          </w:p>
        </w:tc>
      </w:tr>
      <w:tr>
        <w:trPr>
          <w:trHeight w:val="286" w:hRule="atLeast"/>
        </w:trPr>
        <w:tc>
          <w:tcPr>
            <w:tcW w:w="4291" w:type="dxa"/>
            <w:tcBorders>
              <w:top w:val="dashSmallGap" w:sz="4" w:space="0" w:color="000000"/>
              <w:left w:val="single" w:sz="12" w:space="0" w:color="000000"/>
              <w:bottom w:val="dashSmallGap" w:sz="4" w:space="0" w:color="000000"/>
              <w:right w:val="single" w:sz="12" w:space="0" w:color="000000"/>
            </w:tcBorders>
          </w:tcPr>
          <w:p>
            <w:pPr>
              <w:pStyle w:val="TableParagraph"/>
              <w:spacing w:before="32"/>
              <w:ind w:left="107"/>
              <w:rPr>
                <w:sz w:val="18"/>
              </w:rPr>
            </w:pPr>
            <w:r>
              <w:rPr>
                <w:sz w:val="18"/>
              </w:rPr>
              <w:t>Open</w:t>
            </w:r>
            <w:r>
              <w:rPr>
                <w:spacing w:val="-2"/>
                <w:sz w:val="18"/>
              </w:rPr>
              <w:t> </w:t>
            </w:r>
            <w:r>
              <w:rPr>
                <w:sz w:val="18"/>
              </w:rPr>
              <w:t>Space</w:t>
            </w:r>
            <w:r>
              <w:rPr>
                <w:spacing w:val="-2"/>
                <w:sz w:val="18"/>
              </w:rPr>
              <w:t> </w:t>
            </w:r>
            <w:r>
              <w:rPr>
                <w:sz w:val="18"/>
              </w:rPr>
              <w:t>Playground Improvement </w:t>
            </w:r>
            <w:r>
              <w:rPr>
                <w:spacing w:val="-2"/>
                <w:sz w:val="18"/>
              </w:rPr>
              <w:t>Program</w:t>
            </w:r>
          </w:p>
        </w:tc>
        <w:tc>
          <w:tcPr>
            <w:tcW w:w="1207" w:type="dxa"/>
            <w:tcBorders>
              <w:top w:val="dashSmallGap" w:sz="4" w:space="0" w:color="000000"/>
              <w:left w:val="single" w:sz="12" w:space="0" w:color="000000"/>
              <w:bottom w:val="dashSmallGap" w:sz="4" w:space="0" w:color="000000"/>
              <w:right w:val="nil"/>
            </w:tcBorders>
          </w:tcPr>
          <w:p>
            <w:pPr>
              <w:pStyle w:val="TableParagraph"/>
              <w:spacing w:before="20"/>
              <w:ind w:right="77"/>
              <w:jc w:val="right"/>
              <w:rPr>
                <w:sz w:val="20"/>
              </w:rPr>
            </w:pPr>
            <w:r>
              <w:rPr>
                <w:spacing w:val="-2"/>
                <w:sz w:val="20"/>
              </w:rPr>
              <w:t>1,014</w:t>
            </w:r>
          </w:p>
        </w:tc>
        <w:tc>
          <w:tcPr>
            <w:tcW w:w="1020" w:type="dxa"/>
            <w:tcBorders>
              <w:top w:val="dashed" w:sz="4" w:space="0" w:color="000000"/>
              <w:left w:val="nil"/>
              <w:bottom w:val="dashed" w:sz="4" w:space="0" w:color="000000"/>
              <w:right w:val="nil"/>
            </w:tcBorders>
          </w:tcPr>
          <w:p>
            <w:pPr>
              <w:pStyle w:val="TableParagraph"/>
              <w:spacing w:before="20"/>
              <w:ind w:right="92"/>
              <w:jc w:val="right"/>
              <w:rPr>
                <w:sz w:val="20"/>
              </w:rPr>
            </w:pPr>
            <w:r>
              <w:rPr>
                <w:spacing w:val="-2"/>
                <w:sz w:val="20"/>
              </w:rPr>
              <w:t>1,014</w:t>
            </w:r>
          </w:p>
        </w:tc>
        <w:tc>
          <w:tcPr>
            <w:tcW w:w="1022" w:type="dxa"/>
            <w:tcBorders>
              <w:top w:val="dashSmallGap" w:sz="4" w:space="0" w:color="000000"/>
              <w:left w:val="nil"/>
              <w:bottom w:val="dashed" w:sz="4" w:space="0" w:color="000000"/>
              <w:right w:val="nil"/>
            </w:tcBorders>
          </w:tcPr>
          <w:p>
            <w:pPr>
              <w:pStyle w:val="TableParagraph"/>
              <w:spacing w:before="8"/>
              <w:rPr>
                <w:b/>
                <w:sz w:val="4"/>
              </w:rPr>
            </w:pPr>
          </w:p>
          <w:p>
            <w:pPr>
              <w:pStyle w:val="TableParagraph"/>
              <w:tabs>
                <w:tab w:pos="1032" w:val="left" w:leader="none"/>
              </w:tabs>
              <w:spacing w:line="192" w:lineRule="exact"/>
              <w:ind w:left="10" w:right="-87"/>
              <w:rPr>
                <w:sz w:val="19"/>
              </w:rPr>
            </w:pPr>
            <w:r>
              <w:rPr>
                <w:position w:val="-3"/>
                <w:sz w:val="19"/>
              </w:rPr>
              <w:pict>
                <v:group style="width:.5pt;height:9.6pt;mso-position-horizontal-relative:char;mso-position-vertical-relative:line" id="docshapegroup467" coordorigin="0,0" coordsize="10,192">
                  <v:shape style="position:absolute;left:0;top:0;width:10;height:192" id="docshape468" coordorigin="0,0" coordsize="10,192"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469" coordorigin="0,0" coordsize="10,192">
                  <v:shape style="position:absolute;left:0;top:0;width:10;height:192" id="docshape470" coordorigin="0,0" coordsize="10,192" path="m10,154l0,154,0,192,10,192,10,154xm10,77l0,77,0,115,10,115,10,77xm10,0l0,0,0,38,10,38,10,0xe" filled="true" fillcolor="#000000" stroked="false">
                    <v:path arrowok="t"/>
                    <v:fill type="solid"/>
                  </v:shape>
                </v:group>
              </w:pict>
            </w:r>
            <w:r>
              <w:rPr>
                <w:position w:val="-3"/>
                <w:sz w:val="19"/>
              </w:rPr>
            </w:r>
          </w:p>
        </w:tc>
        <w:tc>
          <w:tcPr>
            <w:tcW w:w="1020" w:type="dxa"/>
            <w:tcBorders>
              <w:top w:val="dashed" w:sz="4" w:space="0" w:color="000000"/>
              <w:left w:val="nil"/>
              <w:bottom w:val="dashed" w:sz="4" w:space="0" w:color="000000"/>
              <w:right w:val="nil"/>
            </w:tcBorders>
          </w:tcPr>
          <w:p>
            <w:pPr>
              <w:pStyle w:val="TableParagraph"/>
              <w:spacing w:before="8"/>
              <w:rPr>
                <w:b/>
                <w:sz w:val="4"/>
              </w:rPr>
            </w:pPr>
          </w:p>
          <w:p>
            <w:pPr>
              <w:pStyle w:val="TableParagraph"/>
              <w:spacing w:line="192" w:lineRule="exact"/>
              <w:ind w:left="1030" w:right="-87"/>
              <w:rPr>
                <w:sz w:val="19"/>
              </w:rPr>
            </w:pPr>
            <w:r>
              <w:rPr>
                <w:position w:val="-3"/>
                <w:sz w:val="19"/>
              </w:rPr>
              <w:pict>
                <v:group style="width:.5pt;height:9.6pt;mso-position-horizontal-relative:char;mso-position-vertical-relative:line" id="docshapegroup471" coordorigin="0,0" coordsize="10,192">
                  <v:shape style="position:absolute;left:0;top:0;width:10;height:192" id="docshape472" coordorigin="0,0" coordsize="10,192" path="m10,154l0,154,0,192,10,192,10,154xm10,77l0,77,0,115,10,115,10,77xm10,0l0,0,0,38,10,38,10,0xe" filled="true" fillcolor="#000000" stroked="false">
                    <v:path arrowok="t"/>
                    <v:fill type="solid"/>
                  </v:shape>
                </v:group>
              </w:pict>
            </w:r>
            <w:r>
              <w:rPr>
                <w:position w:val="-3"/>
                <w:sz w:val="19"/>
              </w:rPr>
            </w:r>
          </w:p>
        </w:tc>
        <w:tc>
          <w:tcPr>
            <w:tcW w:w="1020" w:type="dxa"/>
            <w:tcBorders>
              <w:top w:val="dashSmallGap" w:sz="4" w:space="0" w:color="000000"/>
              <w:left w:val="nil"/>
              <w:bottom w:val="dashed" w:sz="4" w:space="0" w:color="000000"/>
              <w:right w:val="nil"/>
            </w:tcBorders>
          </w:tcPr>
          <w:p>
            <w:pPr>
              <w:pStyle w:val="TableParagraph"/>
              <w:spacing w:before="20"/>
              <w:ind w:right="93"/>
              <w:jc w:val="right"/>
              <w:rPr>
                <w:sz w:val="20"/>
              </w:rPr>
            </w:pPr>
            <w:r>
              <w:rPr>
                <w:spacing w:val="-5"/>
                <w:sz w:val="20"/>
              </w:rPr>
              <w:t>840</w:t>
            </w:r>
          </w:p>
        </w:tc>
        <w:tc>
          <w:tcPr>
            <w:tcW w:w="1022" w:type="dxa"/>
            <w:tcBorders>
              <w:top w:val="dashed" w:sz="4" w:space="0" w:color="000000"/>
              <w:left w:val="nil"/>
              <w:bottom w:val="dashed" w:sz="4" w:space="0" w:color="000000"/>
              <w:right w:val="nil"/>
            </w:tcBorders>
          </w:tcPr>
          <w:p>
            <w:pPr>
              <w:pStyle w:val="TableParagraph"/>
              <w:spacing w:before="20"/>
              <w:ind w:right="95"/>
              <w:jc w:val="right"/>
              <w:rPr>
                <w:sz w:val="20"/>
              </w:rPr>
            </w:pPr>
            <w:r>
              <w:rPr>
                <w:spacing w:val="-5"/>
                <w:sz w:val="20"/>
              </w:rPr>
              <w:t>169</w:t>
            </w:r>
          </w:p>
        </w:tc>
        <w:tc>
          <w:tcPr>
            <w:tcW w:w="1020" w:type="dxa"/>
            <w:tcBorders>
              <w:top w:val="dashSmallGap" w:sz="4" w:space="0" w:color="000000"/>
              <w:left w:val="nil"/>
              <w:bottom w:val="dashed" w:sz="4" w:space="0" w:color="000000"/>
              <w:right w:val="single" w:sz="12" w:space="0" w:color="000000"/>
            </w:tcBorders>
          </w:tcPr>
          <w:p>
            <w:pPr>
              <w:pStyle w:val="TableParagraph"/>
              <w:spacing w:before="20"/>
              <w:ind w:right="75"/>
              <w:jc w:val="right"/>
              <w:rPr>
                <w:sz w:val="20"/>
              </w:rPr>
            </w:pPr>
            <w:r>
              <w:rPr>
                <w:w w:val="99"/>
                <w:sz w:val="20"/>
              </w:rPr>
              <w:t>5</w:t>
            </w:r>
          </w:p>
        </w:tc>
        <w:tc>
          <w:tcPr>
            <w:tcW w:w="1248" w:type="dxa"/>
            <w:tcBorders>
              <w:top w:val="dashSmallGap" w:sz="4" w:space="0" w:color="000000"/>
              <w:left w:val="single" w:sz="12" w:space="0" w:color="000000"/>
              <w:bottom w:val="dashed" w:sz="4" w:space="0" w:color="000000"/>
              <w:right w:val="single" w:sz="12" w:space="0" w:color="000000"/>
            </w:tcBorders>
          </w:tcPr>
          <w:p>
            <w:pPr>
              <w:pStyle w:val="TableParagraph"/>
              <w:spacing w:before="20"/>
              <w:ind w:right="78"/>
              <w:jc w:val="right"/>
              <w:rPr>
                <w:sz w:val="20"/>
              </w:rPr>
            </w:pPr>
            <w:r>
              <w:rPr>
                <w:spacing w:val="-2"/>
                <w:sz w:val="20"/>
              </w:rPr>
              <w:t>1,339</w:t>
            </w:r>
          </w:p>
        </w:tc>
        <w:tc>
          <w:tcPr>
            <w:tcW w:w="1248" w:type="dxa"/>
            <w:tcBorders>
              <w:top w:val="dashSmallGap" w:sz="4" w:space="0" w:color="000000"/>
              <w:left w:val="single" w:sz="12" w:space="0" w:color="000000"/>
              <w:bottom w:val="dashed" w:sz="4" w:space="0" w:color="000000"/>
              <w:right w:val="single" w:sz="12" w:space="0" w:color="000000"/>
            </w:tcBorders>
          </w:tcPr>
          <w:p>
            <w:pPr>
              <w:pStyle w:val="TableParagraph"/>
              <w:spacing w:before="20"/>
              <w:ind w:right="78"/>
              <w:jc w:val="right"/>
              <w:rPr>
                <w:sz w:val="20"/>
              </w:rPr>
            </w:pPr>
            <w:r>
              <w:rPr>
                <w:spacing w:val="-2"/>
                <w:sz w:val="20"/>
              </w:rPr>
              <w:t>1,364</w:t>
            </w:r>
          </w:p>
        </w:tc>
        <w:tc>
          <w:tcPr>
            <w:tcW w:w="1250" w:type="dxa"/>
            <w:tcBorders>
              <w:top w:val="dashSmallGap" w:sz="4" w:space="0" w:color="000000"/>
              <w:left w:val="single" w:sz="12" w:space="0" w:color="000000"/>
              <w:bottom w:val="dashed" w:sz="4" w:space="0" w:color="000000"/>
              <w:right w:val="single" w:sz="12" w:space="0" w:color="000000"/>
            </w:tcBorders>
          </w:tcPr>
          <w:p>
            <w:pPr>
              <w:pStyle w:val="TableParagraph"/>
              <w:spacing w:before="20"/>
              <w:ind w:right="76"/>
              <w:jc w:val="right"/>
              <w:rPr>
                <w:sz w:val="20"/>
              </w:rPr>
            </w:pPr>
            <w:r>
              <w:rPr>
                <w:spacing w:val="-2"/>
                <w:sz w:val="20"/>
              </w:rPr>
              <w:t>1,364</w:t>
            </w:r>
          </w:p>
        </w:tc>
      </w:tr>
      <w:tr>
        <w:trPr>
          <w:trHeight w:val="304" w:hRule="atLeast"/>
        </w:trPr>
        <w:tc>
          <w:tcPr>
            <w:tcW w:w="4291" w:type="dxa"/>
            <w:tcBorders>
              <w:top w:val="dashSmallGap" w:sz="4" w:space="0" w:color="000000"/>
              <w:left w:val="single" w:sz="12" w:space="0" w:color="000000"/>
              <w:bottom w:val="dashSmallGap" w:sz="4" w:space="0" w:color="000000"/>
              <w:right w:val="single" w:sz="12" w:space="0" w:color="000000"/>
            </w:tcBorders>
          </w:tcPr>
          <w:p>
            <w:pPr>
              <w:pStyle w:val="TableParagraph"/>
              <w:spacing w:before="47"/>
              <w:ind w:left="107"/>
              <w:rPr>
                <w:sz w:val="18"/>
              </w:rPr>
            </w:pPr>
            <w:r>
              <w:rPr>
                <w:sz w:val="18"/>
              </w:rPr>
              <w:t>Open</w:t>
            </w:r>
            <w:r>
              <w:rPr>
                <w:spacing w:val="-1"/>
                <w:sz w:val="18"/>
              </w:rPr>
              <w:t> </w:t>
            </w:r>
            <w:r>
              <w:rPr>
                <w:sz w:val="18"/>
              </w:rPr>
              <w:t>Space</w:t>
            </w:r>
            <w:r>
              <w:rPr>
                <w:spacing w:val="-1"/>
                <w:sz w:val="18"/>
              </w:rPr>
              <w:t> </w:t>
            </w:r>
            <w:r>
              <w:rPr>
                <w:sz w:val="18"/>
              </w:rPr>
              <w:t>Lighting</w:t>
            </w:r>
            <w:r>
              <w:rPr>
                <w:spacing w:val="-3"/>
                <w:sz w:val="18"/>
              </w:rPr>
              <w:t> </w:t>
            </w:r>
            <w:r>
              <w:rPr>
                <w:sz w:val="18"/>
              </w:rPr>
              <w:t>Improvement</w:t>
            </w:r>
            <w:r>
              <w:rPr>
                <w:spacing w:val="1"/>
                <w:sz w:val="18"/>
              </w:rPr>
              <w:t> </w:t>
            </w:r>
            <w:r>
              <w:rPr>
                <w:spacing w:val="-2"/>
                <w:sz w:val="18"/>
              </w:rPr>
              <w:t>Program</w:t>
            </w:r>
          </w:p>
        </w:tc>
        <w:tc>
          <w:tcPr>
            <w:tcW w:w="1207" w:type="dxa"/>
            <w:tcBorders>
              <w:top w:val="dashSmallGap" w:sz="4" w:space="0" w:color="000000"/>
              <w:left w:val="single" w:sz="12" w:space="0" w:color="000000"/>
              <w:bottom w:val="dashSmallGap" w:sz="4" w:space="0" w:color="000000"/>
              <w:right w:val="nil"/>
            </w:tcBorders>
          </w:tcPr>
          <w:p>
            <w:pPr>
              <w:pStyle w:val="TableParagraph"/>
              <w:spacing w:before="35"/>
              <w:ind w:right="79"/>
              <w:jc w:val="right"/>
              <w:rPr>
                <w:sz w:val="20"/>
              </w:rPr>
            </w:pPr>
            <w:r>
              <w:rPr>
                <w:spacing w:val="-5"/>
                <w:sz w:val="20"/>
              </w:rPr>
              <w:t>60</w:t>
            </w:r>
          </w:p>
        </w:tc>
        <w:tc>
          <w:tcPr>
            <w:tcW w:w="1020" w:type="dxa"/>
            <w:tcBorders>
              <w:top w:val="dashed" w:sz="4" w:space="0" w:color="000000"/>
              <w:left w:val="nil"/>
              <w:bottom w:val="dashed" w:sz="4" w:space="0" w:color="000000"/>
              <w:right w:val="nil"/>
            </w:tcBorders>
          </w:tcPr>
          <w:p>
            <w:pPr>
              <w:pStyle w:val="TableParagraph"/>
              <w:spacing w:before="35"/>
              <w:ind w:right="94"/>
              <w:jc w:val="right"/>
              <w:rPr>
                <w:sz w:val="20"/>
              </w:rPr>
            </w:pPr>
            <w:r>
              <w:rPr>
                <w:spacing w:val="-5"/>
                <w:sz w:val="20"/>
              </w:rPr>
              <w:t>60</w:t>
            </w:r>
          </w:p>
        </w:tc>
        <w:tc>
          <w:tcPr>
            <w:tcW w:w="1022" w:type="dxa"/>
            <w:tcBorders>
              <w:top w:val="dashed" w:sz="4" w:space="0" w:color="000000"/>
              <w:left w:val="nil"/>
              <w:bottom w:val="dashed" w:sz="4" w:space="0" w:color="000000"/>
              <w:right w:val="nil"/>
            </w:tcBorders>
          </w:tcPr>
          <w:p>
            <w:pPr>
              <w:pStyle w:val="TableParagraph"/>
              <w:spacing w:before="7"/>
              <w:rPr>
                <w:b/>
                <w:sz w:val="5"/>
              </w:rPr>
            </w:pPr>
          </w:p>
          <w:p>
            <w:pPr>
              <w:pStyle w:val="TableParagraph"/>
              <w:tabs>
                <w:tab w:pos="1032" w:val="left" w:leader="none"/>
              </w:tabs>
              <w:spacing w:line="192" w:lineRule="exact"/>
              <w:ind w:left="10" w:right="-87"/>
              <w:rPr>
                <w:sz w:val="19"/>
              </w:rPr>
            </w:pPr>
            <w:r>
              <w:rPr>
                <w:position w:val="-3"/>
                <w:sz w:val="19"/>
              </w:rPr>
              <w:pict>
                <v:group style="width:.5pt;height:9.6pt;mso-position-horizontal-relative:char;mso-position-vertical-relative:line" id="docshapegroup473" coordorigin="0,0" coordsize="10,192">
                  <v:shape style="position:absolute;left:0;top:0;width:10;height:193" id="docshape474" coordorigin="0,0" coordsize="10,193"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475" coordorigin="0,0" coordsize="10,192">
                  <v:shape style="position:absolute;left:0;top:0;width:10;height:193" id="docshape476" coordorigin="0,0" coordsize="10,193" path="m10,154l0,154,0,192,10,192,10,154xm10,77l0,77,0,115,10,115,10,77xm10,0l0,0,0,38,10,38,10,0xe" filled="true" fillcolor="#000000" stroked="false">
                    <v:path arrowok="t"/>
                    <v:fill type="solid"/>
                  </v:shape>
                </v:group>
              </w:pict>
            </w:r>
            <w:r>
              <w:rPr>
                <w:position w:val="-3"/>
                <w:sz w:val="19"/>
              </w:rPr>
            </w:r>
          </w:p>
        </w:tc>
        <w:tc>
          <w:tcPr>
            <w:tcW w:w="1020" w:type="dxa"/>
            <w:tcBorders>
              <w:top w:val="dashed" w:sz="4" w:space="0" w:color="000000"/>
              <w:left w:val="nil"/>
              <w:bottom w:val="dashed" w:sz="4" w:space="0" w:color="000000"/>
              <w:right w:val="nil"/>
            </w:tcBorders>
          </w:tcPr>
          <w:p>
            <w:pPr>
              <w:pStyle w:val="TableParagraph"/>
              <w:spacing w:before="7"/>
              <w:rPr>
                <w:b/>
                <w:sz w:val="5"/>
              </w:rPr>
            </w:pPr>
          </w:p>
          <w:p>
            <w:pPr>
              <w:pStyle w:val="TableParagraph"/>
              <w:spacing w:line="192" w:lineRule="exact"/>
              <w:ind w:left="1030" w:right="-87"/>
              <w:rPr>
                <w:sz w:val="19"/>
              </w:rPr>
            </w:pPr>
            <w:r>
              <w:rPr>
                <w:position w:val="-3"/>
                <w:sz w:val="19"/>
              </w:rPr>
              <w:pict>
                <v:group style="width:.5pt;height:9.6pt;mso-position-horizontal-relative:char;mso-position-vertical-relative:line" id="docshapegroup477" coordorigin="0,0" coordsize="10,192">
                  <v:shape style="position:absolute;left:0;top:0;width:10;height:193" id="docshape478" coordorigin="0,0" coordsize="10,193" path="m10,154l0,154,0,192,10,192,10,154xm10,77l0,77,0,115,10,115,10,77xm10,0l0,0,0,38,10,38,10,0xe" filled="true" fillcolor="#000000" stroked="false">
                    <v:path arrowok="t"/>
                    <v:fill type="solid"/>
                  </v:shape>
                </v:group>
              </w:pict>
            </w:r>
            <w:r>
              <w:rPr>
                <w:position w:val="-3"/>
                <w:sz w:val="19"/>
              </w:rPr>
            </w:r>
          </w:p>
        </w:tc>
        <w:tc>
          <w:tcPr>
            <w:tcW w:w="1020" w:type="dxa"/>
            <w:tcBorders>
              <w:top w:val="dashed" w:sz="4" w:space="0" w:color="000000"/>
              <w:left w:val="nil"/>
              <w:bottom w:val="dashed" w:sz="4" w:space="0" w:color="000000"/>
              <w:right w:val="nil"/>
            </w:tcBorders>
          </w:tcPr>
          <w:p>
            <w:pPr>
              <w:pStyle w:val="TableParagraph"/>
              <w:spacing w:before="35"/>
              <w:ind w:right="93"/>
              <w:jc w:val="right"/>
              <w:rPr>
                <w:sz w:val="20"/>
              </w:rPr>
            </w:pPr>
            <w:r>
              <w:rPr>
                <w:spacing w:val="-5"/>
                <w:sz w:val="20"/>
              </w:rPr>
              <w:t>20</w:t>
            </w:r>
          </w:p>
        </w:tc>
        <w:tc>
          <w:tcPr>
            <w:tcW w:w="1022" w:type="dxa"/>
            <w:tcBorders>
              <w:top w:val="dashed" w:sz="4" w:space="0" w:color="000000"/>
              <w:left w:val="nil"/>
              <w:bottom w:val="dashed" w:sz="4" w:space="0" w:color="000000"/>
              <w:right w:val="nil"/>
            </w:tcBorders>
          </w:tcPr>
          <w:p>
            <w:pPr>
              <w:pStyle w:val="TableParagraph"/>
              <w:spacing w:before="7"/>
              <w:rPr>
                <w:b/>
                <w:sz w:val="5"/>
              </w:rPr>
            </w:pPr>
          </w:p>
          <w:p>
            <w:pPr>
              <w:pStyle w:val="TableParagraph"/>
              <w:tabs>
                <w:tab w:pos="1032" w:val="left" w:leader="none"/>
              </w:tabs>
              <w:spacing w:line="192" w:lineRule="exact"/>
              <w:ind w:left="10" w:right="-87"/>
              <w:rPr>
                <w:sz w:val="19"/>
              </w:rPr>
            </w:pPr>
            <w:r>
              <w:rPr>
                <w:position w:val="-3"/>
                <w:sz w:val="19"/>
              </w:rPr>
              <w:pict>
                <v:group style="width:.5pt;height:9.6pt;mso-position-horizontal-relative:char;mso-position-vertical-relative:line" id="docshapegroup479" coordorigin="0,0" coordsize="10,192">
                  <v:shape style="position:absolute;left:0;top:0;width:10;height:193" id="docshape480" coordorigin="0,0" coordsize="10,193"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481" coordorigin="0,0" coordsize="10,192">
                  <v:shape style="position:absolute;left:0;top:0;width:10;height:193" id="docshape482" coordorigin="0,0" coordsize="10,193" path="m10,154l0,154,0,192,10,192,10,154xm10,77l0,77,0,115,10,115,10,77xm10,0l0,0,0,38,10,38,10,0xe" filled="true" fillcolor="#000000" stroked="false">
                    <v:path arrowok="t"/>
                    <v:fill type="solid"/>
                  </v:shape>
                </v:group>
              </w:pict>
            </w:r>
            <w:r>
              <w:rPr>
                <w:position w:val="-3"/>
                <w:sz w:val="19"/>
              </w:rPr>
            </w:r>
          </w:p>
        </w:tc>
        <w:tc>
          <w:tcPr>
            <w:tcW w:w="1020" w:type="dxa"/>
            <w:tcBorders>
              <w:top w:val="dashed" w:sz="4" w:space="0" w:color="000000"/>
              <w:left w:val="nil"/>
              <w:bottom w:val="dashed" w:sz="4" w:space="0" w:color="000000"/>
              <w:right w:val="single" w:sz="12" w:space="0" w:color="000000"/>
            </w:tcBorders>
          </w:tcPr>
          <w:p>
            <w:pPr>
              <w:pStyle w:val="TableParagraph"/>
              <w:spacing w:before="35"/>
              <w:ind w:right="78"/>
              <w:jc w:val="right"/>
              <w:rPr>
                <w:sz w:val="20"/>
              </w:rPr>
            </w:pPr>
            <w:r>
              <w:rPr>
                <w:spacing w:val="-5"/>
                <w:sz w:val="20"/>
              </w:rPr>
              <w:t>40</w:t>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35"/>
              <w:ind w:right="78"/>
              <w:jc w:val="right"/>
              <w:rPr>
                <w:sz w:val="20"/>
              </w:rPr>
            </w:pPr>
            <w:r>
              <w:rPr>
                <w:spacing w:val="-5"/>
                <w:sz w:val="20"/>
              </w:rPr>
              <w:t>70</w:t>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35"/>
              <w:ind w:right="78"/>
              <w:jc w:val="right"/>
              <w:rPr>
                <w:sz w:val="20"/>
              </w:rPr>
            </w:pPr>
            <w:r>
              <w:rPr>
                <w:spacing w:val="-5"/>
                <w:sz w:val="20"/>
              </w:rPr>
              <w:t>75</w:t>
            </w:r>
          </w:p>
        </w:tc>
        <w:tc>
          <w:tcPr>
            <w:tcW w:w="1250" w:type="dxa"/>
            <w:tcBorders>
              <w:top w:val="dashed" w:sz="4" w:space="0" w:color="000000"/>
              <w:left w:val="single" w:sz="12" w:space="0" w:color="000000"/>
              <w:bottom w:val="dashed" w:sz="4" w:space="0" w:color="000000"/>
              <w:right w:val="single" w:sz="12" w:space="0" w:color="000000"/>
            </w:tcBorders>
          </w:tcPr>
          <w:p>
            <w:pPr>
              <w:pStyle w:val="TableParagraph"/>
              <w:spacing w:before="35"/>
              <w:ind w:right="77"/>
              <w:jc w:val="right"/>
              <w:rPr>
                <w:sz w:val="20"/>
              </w:rPr>
            </w:pPr>
            <w:r>
              <w:rPr>
                <w:spacing w:val="-5"/>
                <w:sz w:val="20"/>
              </w:rPr>
              <w:t>75</w:t>
            </w:r>
          </w:p>
        </w:tc>
      </w:tr>
      <w:tr>
        <w:trPr>
          <w:trHeight w:val="304" w:hRule="atLeast"/>
        </w:trPr>
        <w:tc>
          <w:tcPr>
            <w:tcW w:w="4291" w:type="dxa"/>
            <w:tcBorders>
              <w:top w:val="dashSmallGap" w:sz="4" w:space="0" w:color="000000"/>
              <w:left w:val="single" w:sz="12" w:space="0" w:color="000000"/>
              <w:bottom w:val="dashSmallGap" w:sz="4" w:space="0" w:color="000000"/>
              <w:right w:val="single" w:sz="12" w:space="0" w:color="000000"/>
            </w:tcBorders>
          </w:tcPr>
          <w:p>
            <w:pPr>
              <w:pStyle w:val="TableParagraph"/>
              <w:spacing w:before="47"/>
              <w:ind w:left="107"/>
              <w:rPr>
                <w:sz w:val="18"/>
              </w:rPr>
            </w:pPr>
            <w:r>
              <w:rPr>
                <w:sz w:val="18"/>
              </w:rPr>
              <w:t>Open</w:t>
            </w:r>
            <w:r>
              <w:rPr>
                <w:spacing w:val="-2"/>
                <w:sz w:val="18"/>
              </w:rPr>
              <w:t> </w:t>
            </w:r>
            <w:r>
              <w:rPr>
                <w:sz w:val="18"/>
              </w:rPr>
              <w:t>Space</w:t>
            </w:r>
            <w:r>
              <w:rPr>
                <w:spacing w:val="-1"/>
                <w:sz w:val="18"/>
              </w:rPr>
              <w:t> </w:t>
            </w:r>
            <w:r>
              <w:rPr>
                <w:sz w:val="18"/>
              </w:rPr>
              <w:t>Pathway</w:t>
            </w:r>
            <w:r>
              <w:rPr>
                <w:spacing w:val="-2"/>
                <w:sz w:val="18"/>
              </w:rPr>
              <w:t> </w:t>
            </w:r>
            <w:r>
              <w:rPr>
                <w:sz w:val="18"/>
              </w:rPr>
              <w:t>Improvement</w:t>
            </w:r>
            <w:r>
              <w:rPr>
                <w:spacing w:val="1"/>
                <w:sz w:val="18"/>
              </w:rPr>
              <w:t> </w:t>
            </w:r>
            <w:r>
              <w:rPr>
                <w:spacing w:val="-2"/>
                <w:sz w:val="18"/>
              </w:rPr>
              <w:t>Program</w:t>
            </w:r>
          </w:p>
        </w:tc>
        <w:tc>
          <w:tcPr>
            <w:tcW w:w="1207" w:type="dxa"/>
            <w:tcBorders>
              <w:top w:val="dashSmallGap" w:sz="4" w:space="0" w:color="000000"/>
              <w:left w:val="single" w:sz="12" w:space="0" w:color="000000"/>
              <w:bottom w:val="dashSmallGap" w:sz="4" w:space="0" w:color="000000"/>
              <w:right w:val="nil"/>
            </w:tcBorders>
          </w:tcPr>
          <w:p>
            <w:pPr>
              <w:pStyle w:val="TableParagraph"/>
              <w:spacing w:before="35"/>
              <w:ind w:right="79"/>
              <w:jc w:val="right"/>
              <w:rPr>
                <w:sz w:val="20"/>
              </w:rPr>
            </w:pPr>
            <w:r>
              <w:rPr>
                <w:spacing w:val="-5"/>
                <w:sz w:val="20"/>
              </w:rPr>
              <w:t>80</w:t>
            </w:r>
          </w:p>
        </w:tc>
        <w:tc>
          <w:tcPr>
            <w:tcW w:w="1020" w:type="dxa"/>
            <w:tcBorders>
              <w:top w:val="dashed" w:sz="4" w:space="0" w:color="000000"/>
              <w:left w:val="nil"/>
              <w:bottom w:val="dashed" w:sz="4" w:space="0" w:color="000000"/>
              <w:right w:val="nil"/>
            </w:tcBorders>
          </w:tcPr>
          <w:p>
            <w:pPr>
              <w:pStyle w:val="TableParagraph"/>
              <w:spacing w:before="35"/>
              <w:ind w:right="94"/>
              <w:jc w:val="right"/>
              <w:rPr>
                <w:sz w:val="20"/>
              </w:rPr>
            </w:pPr>
            <w:r>
              <w:rPr>
                <w:spacing w:val="-5"/>
                <w:sz w:val="20"/>
              </w:rPr>
              <w:t>80</w:t>
            </w:r>
          </w:p>
        </w:tc>
        <w:tc>
          <w:tcPr>
            <w:tcW w:w="1022" w:type="dxa"/>
            <w:tcBorders>
              <w:top w:val="dashed" w:sz="4" w:space="0" w:color="000000"/>
              <w:left w:val="nil"/>
              <w:bottom w:val="dashed" w:sz="4" w:space="0" w:color="000000"/>
              <w:right w:val="nil"/>
            </w:tcBorders>
          </w:tcPr>
          <w:p>
            <w:pPr>
              <w:pStyle w:val="TableParagraph"/>
              <w:spacing w:before="11"/>
              <w:rPr>
                <w:b/>
                <w:sz w:val="4"/>
              </w:rPr>
            </w:pPr>
          </w:p>
          <w:p>
            <w:pPr>
              <w:pStyle w:val="TableParagraph"/>
              <w:tabs>
                <w:tab w:pos="1032" w:val="left" w:leader="none"/>
              </w:tabs>
              <w:spacing w:line="192" w:lineRule="exact"/>
              <w:ind w:left="10" w:right="-87"/>
              <w:rPr>
                <w:sz w:val="19"/>
              </w:rPr>
            </w:pPr>
            <w:r>
              <w:rPr>
                <w:position w:val="-3"/>
                <w:sz w:val="19"/>
              </w:rPr>
              <w:pict>
                <v:group style="width:.5pt;height:9.6pt;mso-position-horizontal-relative:char;mso-position-vertical-relative:line" id="docshapegroup483" coordorigin="0,0" coordsize="10,192">
                  <v:shape style="position:absolute;left:0;top:0;width:10;height:192" id="docshape484" coordorigin="0,0" coordsize="10,192"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485" coordorigin="0,0" coordsize="10,192">
                  <v:shape style="position:absolute;left:0;top:0;width:10;height:192" id="docshape486" coordorigin="0,0" coordsize="10,192" path="m10,154l0,154,0,192,10,192,10,154xm10,77l0,77,0,115,10,115,10,77xm10,0l0,0,0,38,10,38,10,0xe" filled="true" fillcolor="#000000" stroked="false">
                    <v:path arrowok="t"/>
                    <v:fill type="solid"/>
                  </v:shape>
                </v:group>
              </w:pict>
            </w:r>
            <w:r>
              <w:rPr>
                <w:position w:val="-3"/>
                <w:sz w:val="19"/>
              </w:rPr>
            </w:r>
          </w:p>
        </w:tc>
        <w:tc>
          <w:tcPr>
            <w:tcW w:w="1020" w:type="dxa"/>
            <w:tcBorders>
              <w:top w:val="dashed" w:sz="4" w:space="0" w:color="000000"/>
              <w:left w:val="nil"/>
              <w:bottom w:val="dashed" w:sz="4" w:space="0" w:color="000000"/>
              <w:right w:val="nil"/>
            </w:tcBorders>
          </w:tcPr>
          <w:p>
            <w:pPr>
              <w:pStyle w:val="TableParagraph"/>
              <w:spacing w:before="11"/>
              <w:rPr>
                <w:b/>
                <w:sz w:val="4"/>
              </w:rPr>
            </w:pPr>
          </w:p>
          <w:p>
            <w:pPr>
              <w:pStyle w:val="TableParagraph"/>
              <w:spacing w:line="192" w:lineRule="exact"/>
              <w:ind w:left="1030" w:right="-87"/>
              <w:rPr>
                <w:sz w:val="19"/>
              </w:rPr>
            </w:pPr>
            <w:r>
              <w:rPr>
                <w:position w:val="-3"/>
                <w:sz w:val="19"/>
              </w:rPr>
              <w:pict>
                <v:group style="width:.5pt;height:9.6pt;mso-position-horizontal-relative:char;mso-position-vertical-relative:line" id="docshapegroup487" coordorigin="0,0" coordsize="10,192">
                  <v:shape style="position:absolute;left:0;top:0;width:10;height:192" id="docshape488" coordorigin="0,0" coordsize="10,192" path="m10,154l0,154,0,192,10,192,10,154xm10,77l0,77,0,115,10,115,10,77xm10,0l0,0,0,38,10,38,10,0xe" filled="true" fillcolor="#000000" stroked="false">
                    <v:path arrowok="t"/>
                    <v:fill type="solid"/>
                  </v:shape>
                </v:group>
              </w:pict>
            </w:r>
            <w:r>
              <w:rPr>
                <w:position w:val="-3"/>
                <w:sz w:val="19"/>
              </w:rPr>
            </w:r>
          </w:p>
        </w:tc>
        <w:tc>
          <w:tcPr>
            <w:tcW w:w="1020" w:type="dxa"/>
            <w:tcBorders>
              <w:top w:val="dashed" w:sz="4" w:space="0" w:color="000000"/>
              <w:left w:val="nil"/>
              <w:bottom w:val="dashed" w:sz="4" w:space="0" w:color="000000"/>
              <w:right w:val="nil"/>
            </w:tcBorders>
          </w:tcPr>
          <w:p>
            <w:pPr>
              <w:pStyle w:val="TableParagraph"/>
              <w:spacing w:before="35"/>
              <w:ind w:right="93"/>
              <w:jc w:val="right"/>
              <w:rPr>
                <w:sz w:val="20"/>
              </w:rPr>
            </w:pPr>
            <w:r>
              <w:rPr>
                <w:spacing w:val="-5"/>
                <w:sz w:val="20"/>
              </w:rPr>
              <w:t>25</w:t>
            </w:r>
          </w:p>
        </w:tc>
        <w:tc>
          <w:tcPr>
            <w:tcW w:w="1022" w:type="dxa"/>
            <w:tcBorders>
              <w:top w:val="dashed" w:sz="4" w:space="0" w:color="000000"/>
              <w:left w:val="nil"/>
              <w:bottom w:val="dashed" w:sz="4" w:space="0" w:color="000000"/>
              <w:right w:val="nil"/>
            </w:tcBorders>
          </w:tcPr>
          <w:p>
            <w:pPr>
              <w:pStyle w:val="TableParagraph"/>
              <w:spacing w:before="35"/>
              <w:ind w:right="95"/>
              <w:jc w:val="right"/>
              <w:rPr>
                <w:sz w:val="20"/>
              </w:rPr>
            </w:pPr>
            <w:r>
              <w:rPr>
                <w:spacing w:val="-5"/>
                <w:sz w:val="20"/>
              </w:rPr>
              <w:t>40</w:t>
            </w:r>
          </w:p>
        </w:tc>
        <w:tc>
          <w:tcPr>
            <w:tcW w:w="1020" w:type="dxa"/>
            <w:tcBorders>
              <w:top w:val="dashed" w:sz="4" w:space="0" w:color="000000"/>
              <w:left w:val="nil"/>
              <w:bottom w:val="dashed" w:sz="4" w:space="0" w:color="000000"/>
              <w:right w:val="single" w:sz="12" w:space="0" w:color="000000"/>
            </w:tcBorders>
          </w:tcPr>
          <w:p>
            <w:pPr>
              <w:pStyle w:val="TableParagraph"/>
              <w:spacing w:before="35"/>
              <w:ind w:right="78"/>
              <w:jc w:val="right"/>
              <w:rPr>
                <w:sz w:val="20"/>
              </w:rPr>
            </w:pPr>
            <w:r>
              <w:rPr>
                <w:spacing w:val="-5"/>
                <w:sz w:val="20"/>
              </w:rPr>
              <w:t>15</w:t>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35"/>
              <w:ind w:right="78"/>
              <w:jc w:val="right"/>
              <w:rPr>
                <w:sz w:val="20"/>
              </w:rPr>
            </w:pPr>
            <w:r>
              <w:rPr>
                <w:spacing w:val="-5"/>
                <w:sz w:val="20"/>
              </w:rPr>
              <w:t>80</w:t>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35"/>
              <w:ind w:right="78"/>
              <w:jc w:val="right"/>
              <w:rPr>
                <w:sz w:val="20"/>
              </w:rPr>
            </w:pPr>
            <w:r>
              <w:rPr>
                <w:spacing w:val="-5"/>
                <w:sz w:val="20"/>
              </w:rPr>
              <w:t>85</w:t>
            </w:r>
          </w:p>
        </w:tc>
        <w:tc>
          <w:tcPr>
            <w:tcW w:w="1250" w:type="dxa"/>
            <w:tcBorders>
              <w:top w:val="dashed" w:sz="4" w:space="0" w:color="000000"/>
              <w:left w:val="single" w:sz="12" w:space="0" w:color="000000"/>
              <w:bottom w:val="dashed" w:sz="4" w:space="0" w:color="000000"/>
              <w:right w:val="single" w:sz="12" w:space="0" w:color="000000"/>
            </w:tcBorders>
          </w:tcPr>
          <w:p>
            <w:pPr>
              <w:pStyle w:val="TableParagraph"/>
              <w:spacing w:before="35"/>
              <w:ind w:right="77"/>
              <w:jc w:val="right"/>
              <w:rPr>
                <w:sz w:val="20"/>
              </w:rPr>
            </w:pPr>
            <w:r>
              <w:rPr>
                <w:spacing w:val="-5"/>
                <w:sz w:val="20"/>
              </w:rPr>
              <w:t>85</w:t>
            </w:r>
          </w:p>
        </w:tc>
      </w:tr>
      <w:tr>
        <w:trPr>
          <w:trHeight w:val="301" w:hRule="atLeast"/>
        </w:trPr>
        <w:tc>
          <w:tcPr>
            <w:tcW w:w="4291" w:type="dxa"/>
            <w:tcBorders>
              <w:top w:val="dashSmallGap" w:sz="4" w:space="0" w:color="000000"/>
              <w:left w:val="single" w:sz="12" w:space="0" w:color="000000"/>
              <w:bottom w:val="dashSmallGap" w:sz="4" w:space="0" w:color="000000"/>
              <w:right w:val="single" w:sz="12" w:space="0" w:color="000000"/>
            </w:tcBorders>
          </w:tcPr>
          <w:p>
            <w:pPr>
              <w:pStyle w:val="TableParagraph"/>
              <w:spacing w:before="47"/>
              <w:ind w:left="107"/>
              <w:rPr>
                <w:sz w:val="18"/>
              </w:rPr>
            </w:pPr>
            <w:r>
              <w:rPr>
                <w:sz w:val="18"/>
              </w:rPr>
              <w:t>Open</w:t>
            </w:r>
            <w:r>
              <w:rPr>
                <w:spacing w:val="-2"/>
                <w:sz w:val="18"/>
              </w:rPr>
              <w:t> </w:t>
            </w:r>
            <w:r>
              <w:rPr>
                <w:sz w:val="18"/>
              </w:rPr>
              <w:t>Space</w:t>
            </w:r>
            <w:r>
              <w:rPr>
                <w:spacing w:val="-1"/>
                <w:sz w:val="18"/>
              </w:rPr>
              <w:t> </w:t>
            </w:r>
            <w:r>
              <w:rPr>
                <w:sz w:val="18"/>
              </w:rPr>
              <w:t>Improvement</w:t>
            </w:r>
            <w:r>
              <w:rPr>
                <w:spacing w:val="-3"/>
                <w:sz w:val="18"/>
              </w:rPr>
              <w:t> </w:t>
            </w:r>
            <w:r>
              <w:rPr>
                <w:spacing w:val="-2"/>
                <w:sz w:val="18"/>
              </w:rPr>
              <w:t>Program</w:t>
            </w:r>
          </w:p>
        </w:tc>
        <w:tc>
          <w:tcPr>
            <w:tcW w:w="1207" w:type="dxa"/>
            <w:tcBorders>
              <w:top w:val="dashSmallGap" w:sz="4" w:space="0" w:color="000000"/>
              <w:left w:val="single" w:sz="12" w:space="0" w:color="000000"/>
              <w:bottom w:val="dashSmallGap" w:sz="4" w:space="0" w:color="000000"/>
              <w:right w:val="nil"/>
            </w:tcBorders>
          </w:tcPr>
          <w:p>
            <w:pPr>
              <w:pStyle w:val="TableParagraph"/>
              <w:spacing w:before="35"/>
              <w:ind w:right="78"/>
              <w:jc w:val="right"/>
              <w:rPr>
                <w:sz w:val="20"/>
              </w:rPr>
            </w:pPr>
            <w:r>
              <w:rPr>
                <w:spacing w:val="-5"/>
                <w:sz w:val="20"/>
              </w:rPr>
              <w:t>335</w:t>
            </w:r>
          </w:p>
        </w:tc>
        <w:tc>
          <w:tcPr>
            <w:tcW w:w="1020" w:type="dxa"/>
            <w:tcBorders>
              <w:top w:val="dashed" w:sz="4" w:space="0" w:color="000000"/>
              <w:left w:val="nil"/>
              <w:bottom w:val="dashed" w:sz="4" w:space="0" w:color="000000"/>
              <w:right w:val="nil"/>
            </w:tcBorders>
          </w:tcPr>
          <w:p>
            <w:pPr>
              <w:pStyle w:val="TableParagraph"/>
              <w:spacing w:before="35"/>
              <w:ind w:right="93"/>
              <w:jc w:val="right"/>
              <w:rPr>
                <w:sz w:val="20"/>
              </w:rPr>
            </w:pPr>
            <w:r>
              <w:rPr>
                <w:spacing w:val="-5"/>
                <w:sz w:val="20"/>
              </w:rPr>
              <w:t>335</w:t>
            </w:r>
          </w:p>
        </w:tc>
        <w:tc>
          <w:tcPr>
            <w:tcW w:w="1022" w:type="dxa"/>
            <w:tcBorders>
              <w:top w:val="dashed" w:sz="4" w:space="0" w:color="000000"/>
              <w:left w:val="nil"/>
              <w:bottom w:val="dashed" w:sz="4" w:space="0" w:color="000000"/>
              <w:right w:val="nil"/>
            </w:tcBorders>
          </w:tcPr>
          <w:p>
            <w:pPr>
              <w:pStyle w:val="TableParagraph"/>
              <w:spacing w:before="4"/>
              <w:rPr>
                <w:b/>
                <w:sz w:val="4"/>
              </w:rPr>
            </w:pPr>
          </w:p>
          <w:p>
            <w:pPr>
              <w:pStyle w:val="TableParagraph"/>
              <w:tabs>
                <w:tab w:pos="1032" w:val="left" w:leader="none"/>
              </w:tabs>
              <w:spacing w:line="192" w:lineRule="exact"/>
              <w:ind w:left="10" w:right="-87"/>
              <w:rPr>
                <w:sz w:val="19"/>
              </w:rPr>
            </w:pPr>
            <w:r>
              <w:rPr>
                <w:position w:val="-3"/>
                <w:sz w:val="19"/>
              </w:rPr>
              <w:pict>
                <v:group style="width:.5pt;height:9.6pt;mso-position-horizontal-relative:char;mso-position-vertical-relative:line" id="docshapegroup489" coordorigin="0,0" coordsize="10,192">
                  <v:shape style="position:absolute;left:0;top:0;width:10;height:192" id="docshape490" coordorigin="0,0" coordsize="10,192"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491" coordorigin="0,0" coordsize="10,192">
                  <v:shape style="position:absolute;left:0;top:0;width:10;height:192" id="docshape492" coordorigin="0,0" coordsize="10,192" path="m10,154l0,154,0,192,10,192,10,154xm10,77l0,77,0,115,10,115,10,77xm10,0l0,0,0,38,10,38,10,0xe" filled="true" fillcolor="#000000" stroked="false">
                    <v:path arrowok="t"/>
                    <v:fill type="solid"/>
                  </v:shape>
                </v:group>
              </w:pict>
            </w:r>
            <w:r>
              <w:rPr>
                <w:position w:val="-3"/>
                <w:sz w:val="19"/>
              </w:rPr>
            </w:r>
          </w:p>
        </w:tc>
        <w:tc>
          <w:tcPr>
            <w:tcW w:w="1020" w:type="dxa"/>
            <w:tcBorders>
              <w:top w:val="dashed" w:sz="4" w:space="0" w:color="000000"/>
              <w:left w:val="nil"/>
              <w:bottom w:val="dashed" w:sz="4" w:space="0" w:color="000000"/>
              <w:right w:val="nil"/>
            </w:tcBorders>
          </w:tcPr>
          <w:p>
            <w:pPr>
              <w:pStyle w:val="TableParagraph"/>
              <w:spacing w:before="4"/>
              <w:rPr>
                <w:b/>
                <w:sz w:val="4"/>
              </w:rPr>
            </w:pPr>
          </w:p>
          <w:p>
            <w:pPr>
              <w:pStyle w:val="TableParagraph"/>
              <w:spacing w:line="192" w:lineRule="exact"/>
              <w:ind w:left="1030" w:right="-87"/>
              <w:rPr>
                <w:sz w:val="19"/>
              </w:rPr>
            </w:pPr>
            <w:r>
              <w:rPr>
                <w:position w:val="-3"/>
                <w:sz w:val="19"/>
              </w:rPr>
              <w:pict>
                <v:group style="width:.5pt;height:9.6pt;mso-position-horizontal-relative:char;mso-position-vertical-relative:line" id="docshapegroup493" coordorigin="0,0" coordsize="10,192">
                  <v:shape style="position:absolute;left:0;top:0;width:10;height:192" id="docshape494" coordorigin="0,0" coordsize="10,192" path="m10,154l0,154,0,192,10,192,10,154xm10,77l0,77,0,115,10,115,10,77xm10,0l0,0,0,38,10,38,10,0xe" filled="true" fillcolor="#000000" stroked="false">
                    <v:path arrowok="t"/>
                    <v:fill type="solid"/>
                  </v:shape>
                </v:group>
              </w:pict>
            </w:r>
            <w:r>
              <w:rPr>
                <w:position w:val="-3"/>
                <w:sz w:val="19"/>
              </w:rPr>
            </w:r>
          </w:p>
        </w:tc>
        <w:tc>
          <w:tcPr>
            <w:tcW w:w="1020" w:type="dxa"/>
            <w:tcBorders>
              <w:top w:val="dashed" w:sz="4" w:space="0" w:color="000000"/>
              <w:left w:val="nil"/>
              <w:bottom w:val="dashed" w:sz="4" w:space="0" w:color="000000"/>
              <w:right w:val="nil"/>
            </w:tcBorders>
          </w:tcPr>
          <w:p>
            <w:pPr>
              <w:pStyle w:val="TableParagraph"/>
              <w:spacing w:before="35"/>
              <w:ind w:right="93"/>
              <w:jc w:val="right"/>
              <w:rPr>
                <w:sz w:val="20"/>
              </w:rPr>
            </w:pPr>
            <w:r>
              <w:rPr>
                <w:spacing w:val="-5"/>
                <w:sz w:val="20"/>
              </w:rPr>
              <w:t>70</w:t>
            </w:r>
          </w:p>
        </w:tc>
        <w:tc>
          <w:tcPr>
            <w:tcW w:w="1022" w:type="dxa"/>
            <w:tcBorders>
              <w:top w:val="dashed" w:sz="4" w:space="0" w:color="000000"/>
              <w:left w:val="nil"/>
              <w:bottom w:val="dashed" w:sz="4" w:space="0" w:color="000000"/>
              <w:right w:val="nil"/>
            </w:tcBorders>
          </w:tcPr>
          <w:p>
            <w:pPr>
              <w:pStyle w:val="TableParagraph"/>
              <w:spacing w:before="35"/>
              <w:ind w:right="95"/>
              <w:jc w:val="right"/>
              <w:rPr>
                <w:sz w:val="20"/>
              </w:rPr>
            </w:pPr>
            <w:r>
              <w:rPr>
                <w:spacing w:val="-5"/>
                <w:sz w:val="20"/>
              </w:rPr>
              <w:t>265</w:t>
            </w:r>
          </w:p>
        </w:tc>
        <w:tc>
          <w:tcPr>
            <w:tcW w:w="1020" w:type="dxa"/>
            <w:tcBorders>
              <w:top w:val="dashed" w:sz="4" w:space="0" w:color="000000"/>
              <w:left w:val="nil"/>
              <w:bottom w:val="dashed" w:sz="4" w:space="0" w:color="000000"/>
              <w:right w:val="single" w:sz="12" w:space="0" w:color="000000"/>
            </w:tcBorders>
          </w:tcPr>
          <w:p>
            <w:pPr>
              <w:pStyle w:val="TableParagraph"/>
              <w:spacing w:before="35"/>
              <w:ind w:right="75"/>
              <w:jc w:val="right"/>
              <w:rPr>
                <w:sz w:val="20"/>
              </w:rPr>
            </w:pPr>
            <w:r>
              <w:rPr>
                <w:w w:val="99"/>
                <w:sz w:val="20"/>
              </w:rPr>
              <w:t>0</w:t>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35"/>
              <w:ind w:right="77"/>
              <w:jc w:val="right"/>
              <w:rPr>
                <w:sz w:val="20"/>
              </w:rPr>
            </w:pPr>
            <w:r>
              <w:rPr>
                <w:spacing w:val="-5"/>
                <w:sz w:val="20"/>
              </w:rPr>
              <w:t>450</w:t>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35"/>
              <w:ind w:right="77"/>
              <w:jc w:val="right"/>
              <w:rPr>
                <w:sz w:val="20"/>
              </w:rPr>
            </w:pPr>
            <w:r>
              <w:rPr>
                <w:spacing w:val="-5"/>
                <w:sz w:val="20"/>
              </w:rPr>
              <w:t>460</w:t>
            </w:r>
          </w:p>
        </w:tc>
        <w:tc>
          <w:tcPr>
            <w:tcW w:w="1250" w:type="dxa"/>
            <w:tcBorders>
              <w:top w:val="dashed" w:sz="4" w:space="0" w:color="000000"/>
              <w:left w:val="single" w:sz="12" w:space="0" w:color="000000"/>
              <w:bottom w:val="dashed" w:sz="4" w:space="0" w:color="000000"/>
              <w:right w:val="single" w:sz="12" w:space="0" w:color="000000"/>
            </w:tcBorders>
          </w:tcPr>
          <w:p>
            <w:pPr>
              <w:pStyle w:val="TableParagraph"/>
              <w:spacing w:before="35"/>
              <w:ind w:right="77"/>
              <w:jc w:val="right"/>
              <w:rPr>
                <w:sz w:val="20"/>
              </w:rPr>
            </w:pPr>
            <w:r>
              <w:rPr>
                <w:spacing w:val="-5"/>
                <w:sz w:val="20"/>
              </w:rPr>
              <w:t>460</w:t>
            </w:r>
          </w:p>
        </w:tc>
      </w:tr>
      <w:tr>
        <w:trPr>
          <w:trHeight w:val="486" w:hRule="atLeast"/>
        </w:trPr>
        <w:tc>
          <w:tcPr>
            <w:tcW w:w="4291" w:type="dxa"/>
            <w:tcBorders>
              <w:top w:val="dashSmallGap" w:sz="4" w:space="0" w:color="000000"/>
              <w:left w:val="single" w:sz="12" w:space="0" w:color="000000"/>
              <w:bottom w:val="dashSmallGap" w:sz="4" w:space="0" w:color="000000"/>
              <w:right w:val="single" w:sz="12" w:space="0" w:color="000000"/>
            </w:tcBorders>
          </w:tcPr>
          <w:p>
            <w:pPr>
              <w:pStyle w:val="TableParagraph"/>
              <w:spacing w:before="37"/>
              <w:ind w:left="107" w:right="110"/>
              <w:rPr>
                <w:sz w:val="18"/>
              </w:rPr>
            </w:pPr>
            <w:r>
              <w:rPr>
                <w:sz w:val="18"/>
              </w:rPr>
              <w:t>Open</w:t>
            </w:r>
            <w:r>
              <w:rPr>
                <w:spacing w:val="-10"/>
                <w:sz w:val="18"/>
              </w:rPr>
              <w:t> </w:t>
            </w:r>
            <w:r>
              <w:rPr>
                <w:sz w:val="18"/>
              </w:rPr>
              <w:t>Space</w:t>
            </w:r>
            <w:r>
              <w:rPr>
                <w:spacing w:val="-10"/>
                <w:sz w:val="18"/>
              </w:rPr>
              <w:t> </w:t>
            </w:r>
            <w:r>
              <w:rPr>
                <w:sz w:val="18"/>
              </w:rPr>
              <w:t>Footbridge</w:t>
            </w:r>
            <w:r>
              <w:rPr>
                <w:spacing w:val="-10"/>
                <w:sz w:val="18"/>
              </w:rPr>
              <w:t> </w:t>
            </w:r>
            <w:r>
              <w:rPr>
                <w:sz w:val="18"/>
              </w:rPr>
              <w:t>and</w:t>
            </w:r>
            <w:r>
              <w:rPr>
                <w:spacing w:val="-9"/>
                <w:sz w:val="18"/>
              </w:rPr>
              <w:t> </w:t>
            </w:r>
            <w:r>
              <w:rPr>
                <w:sz w:val="18"/>
              </w:rPr>
              <w:t>Boardwalk Improvement Program</w:t>
            </w:r>
          </w:p>
        </w:tc>
        <w:tc>
          <w:tcPr>
            <w:tcW w:w="1207" w:type="dxa"/>
            <w:tcBorders>
              <w:top w:val="dashSmallGap" w:sz="4" w:space="0" w:color="000000"/>
              <w:left w:val="single" w:sz="12" w:space="0" w:color="000000"/>
              <w:bottom w:val="dashSmallGap" w:sz="4" w:space="0" w:color="000000"/>
              <w:right w:val="nil"/>
            </w:tcBorders>
          </w:tcPr>
          <w:p>
            <w:pPr>
              <w:pStyle w:val="TableParagraph"/>
              <w:spacing w:before="129"/>
              <w:ind w:right="75"/>
              <w:jc w:val="right"/>
              <w:rPr>
                <w:sz w:val="20"/>
              </w:rPr>
            </w:pPr>
            <w:r>
              <w:rPr>
                <w:w w:val="99"/>
                <w:sz w:val="20"/>
              </w:rPr>
              <w:t>0</w:t>
            </w:r>
          </w:p>
        </w:tc>
        <w:tc>
          <w:tcPr>
            <w:tcW w:w="1020" w:type="dxa"/>
            <w:tcBorders>
              <w:top w:val="dashed" w:sz="4" w:space="0" w:color="000000"/>
              <w:left w:val="nil"/>
              <w:bottom w:val="dashSmallGap" w:sz="4" w:space="0" w:color="000000"/>
              <w:right w:val="nil"/>
            </w:tcBorders>
          </w:tcPr>
          <w:p>
            <w:pPr>
              <w:pStyle w:val="TableParagraph"/>
              <w:spacing w:before="129"/>
              <w:ind w:right="90"/>
              <w:jc w:val="right"/>
              <w:rPr>
                <w:sz w:val="20"/>
              </w:rPr>
            </w:pPr>
            <w:r>
              <w:rPr>
                <w:w w:val="99"/>
                <w:sz w:val="20"/>
              </w:rPr>
              <w:t>0</w:t>
            </w:r>
          </w:p>
        </w:tc>
        <w:tc>
          <w:tcPr>
            <w:tcW w:w="1022" w:type="dxa"/>
            <w:tcBorders>
              <w:top w:val="dashed" w:sz="4" w:space="0" w:color="000000"/>
              <w:left w:val="nil"/>
              <w:bottom w:val="dashSmallGap" w:sz="4" w:space="0" w:color="000000"/>
              <w:right w:val="nil"/>
            </w:tcBorders>
          </w:tcPr>
          <w:p>
            <w:pPr>
              <w:pStyle w:val="TableParagraph"/>
              <w:spacing w:before="10"/>
              <w:rPr>
                <w:b/>
                <w:sz w:val="3"/>
              </w:rPr>
            </w:pPr>
          </w:p>
          <w:p>
            <w:pPr>
              <w:pStyle w:val="TableParagraph"/>
              <w:tabs>
                <w:tab w:pos="1032" w:val="left" w:leader="none"/>
              </w:tabs>
              <w:ind w:left="10" w:right="-87"/>
              <w:rPr>
                <w:sz w:val="20"/>
              </w:rPr>
            </w:pPr>
            <w:r>
              <w:rPr>
                <w:sz w:val="20"/>
              </w:rPr>
              <w:pict>
                <v:group style="width:.5pt;height:17.3pt;mso-position-horizontal-relative:char;mso-position-vertical-relative:line" id="docshapegroup495" coordorigin="0,0" coordsize="10,346">
                  <v:shape style="position:absolute;left:0;top:0;width:10;height:346" id="docshape496" coordorigin="0,0" coordsize="10,346" path="m10,307l0,307,0,346,10,346,10,307xm10,230l0,230,0,269,10,269,10,230xm10,154l0,154,0,192,10,192,10,154xm10,77l0,77,0,115,10,115,10,77xm10,0l0,0,0,38,10,38,10,0xe" filled="true" fillcolor="#000000" stroked="false">
                    <v:path arrowok="t"/>
                    <v:fill type="solid"/>
                  </v:shape>
                </v:group>
              </w:pict>
            </w:r>
            <w:r>
              <w:rPr>
                <w:sz w:val="20"/>
              </w:rPr>
            </w:r>
            <w:r>
              <w:rPr>
                <w:sz w:val="20"/>
              </w:rPr>
              <w:tab/>
            </w:r>
            <w:r>
              <w:rPr>
                <w:sz w:val="20"/>
              </w:rPr>
              <w:pict>
                <v:group style="width:.5pt;height:17.3pt;mso-position-horizontal-relative:char;mso-position-vertical-relative:line" id="docshapegroup497" coordorigin="0,0" coordsize="10,346">
                  <v:shape style="position:absolute;left:0;top:0;width:10;height:346" id="docshape498" coordorigin="0,0" coordsize="10,346" path="m10,307l0,307,0,346,10,346,10,307xm10,230l0,230,0,269,10,269,10,230xm10,154l0,154,0,192,10,192,10,154xm10,77l0,77,0,115,10,115,10,77xm10,0l0,0,0,38,10,38,10,0xe" filled="true" fillcolor="#000000" stroked="false">
                    <v:path arrowok="t"/>
                    <v:fill type="solid"/>
                  </v:shape>
                </v:group>
              </w:pict>
            </w:r>
            <w:r>
              <w:rPr>
                <w:sz w:val="20"/>
              </w:rPr>
            </w:r>
          </w:p>
        </w:tc>
        <w:tc>
          <w:tcPr>
            <w:tcW w:w="1020" w:type="dxa"/>
            <w:tcBorders>
              <w:top w:val="dashed" w:sz="4" w:space="0" w:color="000000"/>
              <w:left w:val="nil"/>
              <w:bottom w:val="dashSmallGap" w:sz="4" w:space="0" w:color="000000"/>
              <w:right w:val="nil"/>
            </w:tcBorders>
          </w:tcPr>
          <w:p>
            <w:pPr>
              <w:pStyle w:val="TableParagraph"/>
              <w:spacing w:before="10"/>
              <w:rPr>
                <w:b/>
                <w:sz w:val="3"/>
              </w:rPr>
            </w:pPr>
          </w:p>
          <w:p>
            <w:pPr>
              <w:pStyle w:val="TableParagraph"/>
              <w:ind w:left="1030" w:right="-87"/>
              <w:rPr>
                <w:sz w:val="20"/>
              </w:rPr>
            </w:pPr>
            <w:r>
              <w:rPr>
                <w:sz w:val="20"/>
              </w:rPr>
              <w:pict>
                <v:group style="width:.5pt;height:17.3pt;mso-position-horizontal-relative:char;mso-position-vertical-relative:line" id="docshapegroup499" coordorigin="0,0" coordsize="10,346">
                  <v:shape style="position:absolute;left:0;top:0;width:10;height:346" id="docshape500" coordorigin="0,0" coordsize="10,346" path="m10,307l0,307,0,346,10,346,10,307xm10,230l0,230,0,269,10,269,10,230xm10,154l0,154,0,192,10,192,10,154xm10,77l0,77,0,115,10,115,10,77xm10,0l0,0,0,38,10,38,10,0xe" filled="true" fillcolor="#000000" stroked="false">
                    <v:path arrowok="t"/>
                    <v:fill type="solid"/>
                  </v:shape>
                </v:group>
              </w:pict>
            </w:r>
            <w:r>
              <w:rPr>
                <w:sz w:val="20"/>
              </w:rPr>
            </w:r>
          </w:p>
        </w:tc>
        <w:tc>
          <w:tcPr>
            <w:tcW w:w="1020" w:type="dxa"/>
            <w:tcBorders>
              <w:top w:val="dashed" w:sz="4" w:space="0" w:color="000000"/>
              <w:left w:val="nil"/>
              <w:bottom w:val="dashSmallGap" w:sz="4" w:space="0" w:color="000000"/>
              <w:right w:val="nil"/>
            </w:tcBorders>
          </w:tcPr>
          <w:p>
            <w:pPr>
              <w:pStyle w:val="TableParagraph"/>
              <w:spacing w:before="129"/>
              <w:ind w:right="90"/>
              <w:jc w:val="right"/>
              <w:rPr>
                <w:sz w:val="20"/>
              </w:rPr>
            </w:pPr>
            <w:r>
              <w:rPr>
                <w:w w:val="99"/>
                <w:sz w:val="20"/>
              </w:rPr>
              <w:t>0</w:t>
            </w:r>
          </w:p>
        </w:tc>
        <w:tc>
          <w:tcPr>
            <w:tcW w:w="1022" w:type="dxa"/>
            <w:tcBorders>
              <w:top w:val="dashed" w:sz="4" w:space="0" w:color="000000"/>
              <w:left w:val="nil"/>
              <w:bottom w:val="dashed" w:sz="4" w:space="0" w:color="000000"/>
              <w:right w:val="nil"/>
            </w:tcBorders>
          </w:tcPr>
          <w:p>
            <w:pPr>
              <w:pStyle w:val="TableParagraph"/>
              <w:spacing w:before="10"/>
              <w:rPr>
                <w:b/>
                <w:sz w:val="3"/>
              </w:rPr>
            </w:pPr>
          </w:p>
          <w:p>
            <w:pPr>
              <w:pStyle w:val="TableParagraph"/>
              <w:tabs>
                <w:tab w:pos="1032" w:val="left" w:leader="none"/>
              </w:tabs>
              <w:ind w:left="10" w:right="-87"/>
              <w:rPr>
                <w:sz w:val="20"/>
              </w:rPr>
            </w:pPr>
            <w:r>
              <w:rPr>
                <w:sz w:val="20"/>
              </w:rPr>
              <w:pict>
                <v:group style="width:.5pt;height:17.3pt;mso-position-horizontal-relative:char;mso-position-vertical-relative:line" id="docshapegroup501" coordorigin="0,0" coordsize="10,346">
                  <v:shape style="position:absolute;left:0;top:0;width:10;height:346" id="docshape502" coordorigin="0,0" coordsize="10,346" path="m10,307l0,307,0,346,10,346,10,307xm10,230l0,230,0,269,10,269,10,230xm10,154l0,154,0,192,10,192,10,154xm10,77l0,77,0,115,10,115,10,77xm10,0l0,0,0,38,10,38,10,0xe" filled="true" fillcolor="#000000" stroked="false">
                    <v:path arrowok="t"/>
                    <v:fill type="solid"/>
                  </v:shape>
                </v:group>
              </w:pict>
            </w:r>
            <w:r>
              <w:rPr>
                <w:sz w:val="20"/>
              </w:rPr>
            </w:r>
            <w:r>
              <w:rPr>
                <w:sz w:val="20"/>
              </w:rPr>
              <w:tab/>
            </w:r>
            <w:r>
              <w:rPr>
                <w:sz w:val="20"/>
              </w:rPr>
              <w:pict>
                <v:group style="width:.5pt;height:17.3pt;mso-position-horizontal-relative:char;mso-position-vertical-relative:line" id="docshapegroup503" coordorigin="0,0" coordsize="10,346">
                  <v:shape style="position:absolute;left:0;top:0;width:10;height:346" id="docshape504" coordorigin="0,0" coordsize="10,346" path="m10,307l0,307,0,346,10,346,10,307xm10,230l0,230,0,269,10,269,10,230xm10,154l0,154,0,192,10,192,10,154xm10,77l0,77,0,115,10,115,10,77xm10,0l0,0,0,38,10,38,10,0xe" filled="true" fillcolor="#000000" stroked="false">
                    <v:path arrowok="t"/>
                    <v:fill type="solid"/>
                  </v:shape>
                </v:group>
              </w:pict>
            </w:r>
            <w:r>
              <w:rPr>
                <w:sz w:val="20"/>
              </w:rPr>
            </w:r>
          </w:p>
        </w:tc>
        <w:tc>
          <w:tcPr>
            <w:tcW w:w="1020" w:type="dxa"/>
            <w:tcBorders>
              <w:top w:val="dashed" w:sz="4" w:space="0" w:color="000000"/>
              <w:left w:val="nil"/>
              <w:bottom w:val="dashed" w:sz="4" w:space="0" w:color="000000"/>
              <w:right w:val="single" w:sz="12" w:space="0" w:color="000000"/>
            </w:tcBorders>
          </w:tcPr>
          <w:p>
            <w:pPr>
              <w:pStyle w:val="TableParagraph"/>
              <w:rPr>
                <w:rFonts w:ascii="Times New Roman"/>
                <w:sz w:val="18"/>
              </w:rPr>
            </w:pP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129"/>
              <w:ind w:right="77"/>
              <w:jc w:val="right"/>
              <w:rPr>
                <w:sz w:val="20"/>
              </w:rPr>
            </w:pPr>
            <w:r>
              <w:rPr>
                <w:spacing w:val="-5"/>
                <w:sz w:val="20"/>
              </w:rPr>
              <w:t>230</w:t>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129"/>
              <w:ind w:right="75"/>
              <w:jc w:val="right"/>
              <w:rPr>
                <w:sz w:val="20"/>
              </w:rPr>
            </w:pPr>
            <w:r>
              <w:rPr>
                <w:w w:val="99"/>
                <w:sz w:val="20"/>
              </w:rPr>
              <w:t>0</w:t>
            </w:r>
          </w:p>
        </w:tc>
        <w:tc>
          <w:tcPr>
            <w:tcW w:w="1250" w:type="dxa"/>
            <w:tcBorders>
              <w:top w:val="dashed" w:sz="4" w:space="0" w:color="000000"/>
              <w:left w:val="single" w:sz="12" w:space="0" w:color="000000"/>
              <w:bottom w:val="dashed" w:sz="4" w:space="0" w:color="000000"/>
              <w:right w:val="single" w:sz="12" w:space="0" w:color="000000"/>
            </w:tcBorders>
          </w:tcPr>
          <w:p>
            <w:pPr>
              <w:pStyle w:val="TableParagraph"/>
              <w:spacing w:before="129"/>
              <w:ind w:right="77"/>
              <w:jc w:val="right"/>
              <w:rPr>
                <w:sz w:val="20"/>
              </w:rPr>
            </w:pPr>
            <w:r>
              <w:rPr>
                <w:spacing w:val="-5"/>
                <w:sz w:val="20"/>
              </w:rPr>
              <w:t>240</w:t>
            </w:r>
          </w:p>
        </w:tc>
      </w:tr>
      <w:tr>
        <w:trPr>
          <w:trHeight w:val="486" w:hRule="atLeast"/>
        </w:trPr>
        <w:tc>
          <w:tcPr>
            <w:tcW w:w="4291" w:type="dxa"/>
            <w:tcBorders>
              <w:top w:val="dashSmallGap" w:sz="4" w:space="0" w:color="000000"/>
              <w:left w:val="single" w:sz="12" w:space="0" w:color="000000"/>
              <w:bottom w:val="dashSmallGap" w:sz="4" w:space="0" w:color="000000"/>
              <w:right w:val="single" w:sz="12" w:space="0" w:color="000000"/>
            </w:tcBorders>
          </w:tcPr>
          <w:p>
            <w:pPr>
              <w:pStyle w:val="TableParagraph"/>
              <w:spacing w:before="35"/>
              <w:ind w:left="107"/>
              <w:rPr>
                <w:sz w:val="18"/>
              </w:rPr>
            </w:pPr>
            <w:r>
              <w:rPr>
                <w:sz w:val="18"/>
              </w:rPr>
              <w:t>Committees</w:t>
            </w:r>
            <w:r>
              <w:rPr>
                <w:spacing w:val="-8"/>
                <w:sz w:val="18"/>
              </w:rPr>
              <w:t> </w:t>
            </w:r>
            <w:r>
              <w:rPr>
                <w:sz w:val="18"/>
              </w:rPr>
              <w:t>of</w:t>
            </w:r>
            <w:r>
              <w:rPr>
                <w:spacing w:val="-11"/>
                <w:sz w:val="18"/>
              </w:rPr>
              <w:t> </w:t>
            </w:r>
            <w:r>
              <w:rPr>
                <w:sz w:val="18"/>
              </w:rPr>
              <w:t>Management</w:t>
            </w:r>
            <w:r>
              <w:rPr>
                <w:spacing w:val="-9"/>
                <w:sz w:val="18"/>
              </w:rPr>
              <w:t> </w:t>
            </w:r>
            <w:r>
              <w:rPr>
                <w:sz w:val="18"/>
              </w:rPr>
              <w:t>Open</w:t>
            </w:r>
            <w:r>
              <w:rPr>
                <w:spacing w:val="-9"/>
                <w:sz w:val="18"/>
              </w:rPr>
              <w:t> </w:t>
            </w:r>
            <w:r>
              <w:rPr>
                <w:sz w:val="18"/>
              </w:rPr>
              <w:t>Space </w:t>
            </w:r>
            <w:r>
              <w:rPr>
                <w:spacing w:val="-2"/>
                <w:sz w:val="18"/>
              </w:rPr>
              <w:t>Improvements</w:t>
            </w:r>
          </w:p>
        </w:tc>
        <w:tc>
          <w:tcPr>
            <w:tcW w:w="1207" w:type="dxa"/>
            <w:tcBorders>
              <w:top w:val="dashSmallGap" w:sz="4" w:space="0" w:color="000000"/>
              <w:left w:val="single" w:sz="12" w:space="0" w:color="000000"/>
              <w:bottom w:val="dashSmallGap" w:sz="4" w:space="0" w:color="000000"/>
              <w:right w:val="nil"/>
            </w:tcBorders>
          </w:tcPr>
          <w:p>
            <w:pPr>
              <w:pStyle w:val="TableParagraph"/>
              <w:spacing w:before="126"/>
              <w:ind w:right="79"/>
              <w:jc w:val="right"/>
              <w:rPr>
                <w:sz w:val="20"/>
              </w:rPr>
            </w:pPr>
            <w:r>
              <w:rPr>
                <w:spacing w:val="-5"/>
                <w:sz w:val="20"/>
              </w:rPr>
              <w:t>20</w:t>
            </w:r>
          </w:p>
        </w:tc>
        <w:tc>
          <w:tcPr>
            <w:tcW w:w="1020" w:type="dxa"/>
            <w:tcBorders>
              <w:top w:val="dashSmallGap" w:sz="4" w:space="0" w:color="000000"/>
              <w:left w:val="nil"/>
              <w:bottom w:val="dashed" w:sz="4" w:space="0" w:color="000000"/>
              <w:right w:val="nil"/>
            </w:tcBorders>
          </w:tcPr>
          <w:p>
            <w:pPr>
              <w:pStyle w:val="TableParagraph"/>
              <w:spacing w:before="126"/>
              <w:ind w:right="94"/>
              <w:jc w:val="right"/>
              <w:rPr>
                <w:sz w:val="20"/>
              </w:rPr>
            </w:pPr>
            <w:r>
              <w:rPr>
                <w:spacing w:val="-5"/>
                <w:sz w:val="20"/>
              </w:rPr>
              <w:t>20</w:t>
            </w:r>
          </w:p>
        </w:tc>
        <w:tc>
          <w:tcPr>
            <w:tcW w:w="1022" w:type="dxa"/>
            <w:tcBorders>
              <w:top w:val="dashSmallGap" w:sz="4" w:space="0" w:color="000000"/>
              <w:left w:val="nil"/>
              <w:bottom w:val="dashed" w:sz="4" w:space="0" w:color="000000"/>
              <w:right w:val="nil"/>
            </w:tcBorders>
          </w:tcPr>
          <w:p>
            <w:pPr>
              <w:pStyle w:val="TableParagraph"/>
              <w:spacing w:before="5"/>
              <w:rPr>
                <w:b/>
                <w:sz w:val="7"/>
              </w:rPr>
            </w:pPr>
          </w:p>
          <w:p>
            <w:pPr>
              <w:pStyle w:val="TableParagraph"/>
              <w:tabs>
                <w:tab w:pos="1032" w:val="left" w:leader="none"/>
              </w:tabs>
              <w:ind w:left="10" w:right="-87"/>
              <w:rPr>
                <w:sz w:val="20"/>
              </w:rPr>
            </w:pPr>
            <w:r>
              <w:rPr>
                <w:sz w:val="20"/>
              </w:rPr>
              <w:pict>
                <v:group style="width:.5pt;height:17.3pt;mso-position-horizontal-relative:char;mso-position-vertical-relative:line" id="docshapegroup505" coordorigin="0,0" coordsize="10,346">
                  <v:shape style="position:absolute;left:0;top:0;width:10;height:346" id="docshape506" coordorigin="0,0" coordsize="10,346" path="m10,307l0,307,0,346,10,346,10,307xm10,230l0,230,0,269,10,269,10,230xm10,154l0,154,0,192,10,192,10,154xm10,77l0,77,0,115,10,115,10,77xm10,0l0,0,0,38,10,38,10,0xe" filled="true" fillcolor="#000000" stroked="false">
                    <v:path arrowok="t"/>
                    <v:fill type="solid"/>
                  </v:shape>
                </v:group>
              </w:pict>
            </w:r>
            <w:r>
              <w:rPr>
                <w:sz w:val="20"/>
              </w:rPr>
            </w:r>
            <w:r>
              <w:rPr>
                <w:sz w:val="20"/>
              </w:rPr>
              <w:tab/>
            </w:r>
            <w:r>
              <w:rPr>
                <w:sz w:val="20"/>
              </w:rPr>
              <w:pict>
                <v:group style="width:.5pt;height:17.3pt;mso-position-horizontal-relative:char;mso-position-vertical-relative:line" id="docshapegroup507" coordorigin="0,0" coordsize="10,346">
                  <v:shape style="position:absolute;left:0;top:0;width:10;height:346" id="docshape508" coordorigin="0,0" coordsize="10,346" path="m10,307l0,307,0,346,10,346,10,307xm10,230l0,230,0,269,10,269,10,230xm10,154l0,154,0,192,10,192,10,154xm10,77l0,77,0,115,10,115,10,77xm10,0l0,0,0,38,10,38,10,0xe" filled="true" fillcolor="#000000" stroked="false">
                    <v:path arrowok="t"/>
                    <v:fill type="solid"/>
                  </v:shape>
                </v:group>
              </w:pict>
            </w:r>
            <w:r>
              <w:rPr>
                <w:sz w:val="20"/>
              </w:rPr>
            </w:r>
          </w:p>
        </w:tc>
        <w:tc>
          <w:tcPr>
            <w:tcW w:w="1020" w:type="dxa"/>
            <w:tcBorders>
              <w:top w:val="dashSmallGap" w:sz="4" w:space="0" w:color="000000"/>
              <w:left w:val="nil"/>
              <w:bottom w:val="dashed" w:sz="4" w:space="0" w:color="000000"/>
              <w:right w:val="nil"/>
            </w:tcBorders>
          </w:tcPr>
          <w:p>
            <w:pPr>
              <w:pStyle w:val="TableParagraph"/>
              <w:spacing w:before="5"/>
              <w:rPr>
                <w:b/>
                <w:sz w:val="7"/>
              </w:rPr>
            </w:pPr>
          </w:p>
          <w:p>
            <w:pPr>
              <w:pStyle w:val="TableParagraph"/>
              <w:ind w:left="1030" w:right="-87"/>
              <w:rPr>
                <w:sz w:val="20"/>
              </w:rPr>
            </w:pPr>
            <w:r>
              <w:rPr>
                <w:sz w:val="20"/>
              </w:rPr>
              <w:pict>
                <v:group style="width:.5pt;height:17.3pt;mso-position-horizontal-relative:char;mso-position-vertical-relative:line" id="docshapegroup509" coordorigin="0,0" coordsize="10,346">
                  <v:shape style="position:absolute;left:0;top:0;width:10;height:346" id="docshape510" coordorigin="0,0" coordsize="10,346" path="m10,307l0,307,0,346,10,346,10,307xm10,230l0,230,0,269,10,269,10,230xm10,154l0,154,0,192,10,192,10,154xm10,77l0,77,0,115,10,115,10,77xm10,0l0,0,0,38,10,38,10,0xe" filled="true" fillcolor="#000000" stroked="false">
                    <v:path arrowok="t"/>
                    <v:fill type="solid"/>
                  </v:shape>
                </v:group>
              </w:pict>
            </w:r>
            <w:r>
              <w:rPr>
                <w:sz w:val="20"/>
              </w:rPr>
            </w:r>
          </w:p>
        </w:tc>
        <w:tc>
          <w:tcPr>
            <w:tcW w:w="1020" w:type="dxa"/>
            <w:tcBorders>
              <w:top w:val="dashSmallGap" w:sz="4" w:space="0" w:color="000000"/>
              <w:left w:val="nil"/>
              <w:bottom w:val="dashed" w:sz="4" w:space="0" w:color="000000"/>
              <w:right w:val="nil"/>
            </w:tcBorders>
          </w:tcPr>
          <w:p>
            <w:pPr>
              <w:pStyle w:val="TableParagraph"/>
              <w:spacing w:before="126"/>
              <w:ind w:right="93"/>
              <w:jc w:val="right"/>
              <w:rPr>
                <w:sz w:val="20"/>
              </w:rPr>
            </w:pPr>
            <w:r>
              <w:rPr>
                <w:spacing w:val="-5"/>
                <w:sz w:val="20"/>
              </w:rPr>
              <w:t>10</w:t>
            </w:r>
          </w:p>
        </w:tc>
        <w:tc>
          <w:tcPr>
            <w:tcW w:w="1022" w:type="dxa"/>
            <w:tcBorders>
              <w:top w:val="dashed" w:sz="4" w:space="0" w:color="000000"/>
              <w:left w:val="nil"/>
              <w:bottom w:val="dashed" w:sz="4" w:space="0" w:color="000000"/>
              <w:right w:val="nil"/>
            </w:tcBorders>
          </w:tcPr>
          <w:p>
            <w:pPr>
              <w:pStyle w:val="TableParagraph"/>
              <w:spacing w:before="126"/>
              <w:ind w:right="95"/>
              <w:jc w:val="right"/>
              <w:rPr>
                <w:sz w:val="20"/>
              </w:rPr>
            </w:pPr>
            <w:r>
              <w:rPr>
                <w:spacing w:val="-5"/>
                <w:sz w:val="20"/>
              </w:rPr>
              <w:t>10</w:t>
            </w:r>
          </w:p>
        </w:tc>
        <w:tc>
          <w:tcPr>
            <w:tcW w:w="1020" w:type="dxa"/>
            <w:tcBorders>
              <w:top w:val="dashed" w:sz="4" w:space="0" w:color="000000"/>
              <w:left w:val="nil"/>
              <w:bottom w:val="dashed" w:sz="4" w:space="0" w:color="000000"/>
              <w:right w:val="single" w:sz="12" w:space="0" w:color="000000"/>
            </w:tcBorders>
          </w:tcPr>
          <w:p>
            <w:pPr>
              <w:pStyle w:val="TableParagraph"/>
              <w:spacing w:before="5"/>
              <w:rPr>
                <w:b/>
                <w:sz w:val="7"/>
              </w:rPr>
            </w:pPr>
          </w:p>
          <w:p>
            <w:pPr>
              <w:pStyle w:val="TableParagraph"/>
              <w:ind w:left="-5"/>
              <w:rPr>
                <w:sz w:val="20"/>
              </w:rPr>
            </w:pPr>
            <w:r>
              <w:rPr>
                <w:sz w:val="20"/>
              </w:rPr>
              <w:pict>
                <v:group style="width:.5pt;height:17.3pt;mso-position-horizontal-relative:char;mso-position-vertical-relative:line" id="docshapegroup511" coordorigin="0,0" coordsize="10,346">
                  <v:shape style="position:absolute;left:0;top:0;width:10;height:346" id="docshape512" coordorigin="0,0" coordsize="10,346" path="m10,307l0,307,0,346,10,346,10,307xm10,230l0,230,0,269,10,269,10,230xm10,154l0,154,0,192,10,192,10,154xm10,77l0,77,0,115,10,115,10,77xm10,0l0,0,0,38,10,38,10,0xe" filled="true" fillcolor="#000000" stroked="false">
                    <v:path arrowok="t"/>
                    <v:fill type="solid"/>
                  </v:shape>
                </v:group>
              </w:pict>
            </w:r>
            <w:r>
              <w:rPr>
                <w:sz w:val="20"/>
              </w:rPr>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126"/>
              <w:ind w:right="78"/>
              <w:jc w:val="right"/>
              <w:rPr>
                <w:sz w:val="20"/>
              </w:rPr>
            </w:pPr>
            <w:r>
              <w:rPr>
                <w:spacing w:val="-5"/>
                <w:sz w:val="20"/>
              </w:rPr>
              <w:t>20</w:t>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126"/>
              <w:ind w:right="78"/>
              <w:jc w:val="right"/>
              <w:rPr>
                <w:sz w:val="20"/>
              </w:rPr>
            </w:pPr>
            <w:r>
              <w:rPr>
                <w:spacing w:val="-5"/>
                <w:sz w:val="20"/>
              </w:rPr>
              <w:t>20</w:t>
            </w:r>
          </w:p>
        </w:tc>
        <w:tc>
          <w:tcPr>
            <w:tcW w:w="1250" w:type="dxa"/>
            <w:tcBorders>
              <w:top w:val="dashed" w:sz="4" w:space="0" w:color="000000"/>
              <w:left w:val="single" w:sz="12" w:space="0" w:color="000000"/>
              <w:bottom w:val="dashed" w:sz="4" w:space="0" w:color="000000"/>
              <w:right w:val="single" w:sz="12" w:space="0" w:color="000000"/>
            </w:tcBorders>
          </w:tcPr>
          <w:p>
            <w:pPr>
              <w:pStyle w:val="TableParagraph"/>
              <w:spacing w:before="126"/>
              <w:ind w:right="77"/>
              <w:jc w:val="right"/>
              <w:rPr>
                <w:sz w:val="20"/>
              </w:rPr>
            </w:pPr>
            <w:r>
              <w:rPr>
                <w:spacing w:val="-5"/>
                <w:sz w:val="20"/>
              </w:rPr>
              <w:t>20</w:t>
            </w:r>
          </w:p>
        </w:tc>
      </w:tr>
      <w:tr>
        <w:trPr>
          <w:trHeight w:val="304" w:hRule="atLeast"/>
        </w:trPr>
        <w:tc>
          <w:tcPr>
            <w:tcW w:w="4291" w:type="dxa"/>
            <w:tcBorders>
              <w:top w:val="dashSmallGap" w:sz="4" w:space="0" w:color="000000"/>
              <w:left w:val="single" w:sz="12" w:space="0" w:color="000000"/>
              <w:bottom w:val="dashSmallGap" w:sz="4" w:space="0" w:color="000000"/>
              <w:right w:val="single" w:sz="12" w:space="0" w:color="000000"/>
            </w:tcBorders>
          </w:tcPr>
          <w:p>
            <w:pPr>
              <w:pStyle w:val="TableParagraph"/>
              <w:spacing w:before="47"/>
              <w:ind w:left="107"/>
              <w:rPr>
                <w:sz w:val="18"/>
              </w:rPr>
            </w:pPr>
            <w:r>
              <w:rPr>
                <w:sz w:val="18"/>
              </w:rPr>
              <w:t>Tree</w:t>
            </w:r>
            <w:r>
              <w:rPr>
                <w:spacing w:val="-1"/>
                <w:sz w:val="18"/>
              </w:rPr>
              <w:t> </w:t>
            </w:r>
            <w:r>
              <w:rPr>
                <w:sz w:val="18"/>
              </w:rPr>
              <w:t>Improvement</w:t>
            </w:r>
            <w:r>
              <w:rPr>
                <w:spacing w:val="1"/>
                <w:sz w:val="18"/>
              </w:rPr>
              <w:t> </w:t>
            </w:r>
            <w:r>
              <w:rPr>
                <w:spacing w:val="-2"/>
                <w:sz w:val="18"/>
              </w:rPr>
              <w:t>Program</w:t>
            </w:r>
          </w:p>
        </w:tc>
        <w:tc>
          <w:tcPr>
            <w:tcW w:w="1207" w:type="dxa"/>
            <w:tcBorders>
              <w:top w:val="dashSmallGap" w:sz="4" w:space="0" w:color="000000"/>
              <w:left w:val="single" w:sz="12" w:space="0" w:color="000000"/>
              <w:bottom w:val="dashSmallGap" w:sz="4" w:space="0" w:color="000000"/>
              <w:right w:val="nil"/>
            </w:tcBorders>
          </w:tcPr>
          <w:p>
            <w:pPr>
              <w:pStyle w:val="TableParagraph"/>
              <w:spacing w:before="35"/>
              <w:ind w:right="78"/>
              <w:jc w:val="right"/>
              <w:rPr>
                <w:sz w:val="20"/>
              </w:rPr>
            </w:pPr>
            <w:r>
              <w:rPr>
                <w:spacing w:val="-5"/>
                <w:sz w:val="20"/>
              </w:rPr>
              <w:t>917</w:t>
            </w:r>
          </w:p>
        </w:tc>
        <w:tc>
          <w:tcPr>
            <w:tcW w:w="1020" w:type="dxa"/>
            <w:tcBorders>
              <w:top w:val="dashed" w:sz="4" w:space="0" w:color="000000"/>
              <w:left w:val="nil"/>
              <w:bottom w:val="dashed" w:sz="4" w:space="0" w:color="000000"/>
              <w:right w:val="nil"/>
            </w:tcBorders>
          </w:tcPr>
          <w:p>
            <w:pPr>
              <w:pStyle w:val="TableParagraph"/>
              <w:spacing w:before="35"/>
              <w:ind w:right="93"/>
              <w:jc w:val="right"/>
              <w:rPr>
                <w:sz w:val="20"/>
              </w:rPr>
            </w:pPr>
            <w:r>
              <w:rPr>
                <w:spacing w:val="-5"/>
                <w:sz w:val="20"/>
              </w:rPr>
              <w:t>917</w:t>
            </w:r>
          </w:p>
        </w:tc>
        <w:tc>
          <w:tcPr>
            <w:tcW w:w="1022" w:type="dxa"/>
            <w:tcBorders>
              <w:top w:val="dashed" w:sz="4" w:space="0" w:color="000000"/>
              <w:left w:val="nil"/>
              <w:bottom w:val="dashed" w:sz="4" w:space="0" w:color="000000"/>
              <w:right w:val="nil"/>
            </w:tcBorders>
          </w:tcPr>
          <w:p>
            <w:pPr>
              <w:pStyle w:val="TableParagraph"/>
              <w:spacing w:before="4"/>
              <w:rPr>
                <w:b/>
                <w:sz w:val="4"/>
              </w:rPr>
            </w:pPr>
          </w:p>
          <w:p>
            <w:pPr>
              <w:pStyle w:val="TableParagraph"/>
              <w:tabs>
                <w:tab w:pos="1032" w:val="left" w:leader="none"/>
              </w:tabs>
              <w:spacing w:line="192" w:lineRule="exact"/>
              <w:ind w:left="10" w:right="-87"/>
              <w:rPr>
                <w:sz w:val="19"/>
              </w:rPr>
            </w:pPr>
            <w:r>
              <w:rPr>
                <w:position w:val="-3"/>
                <w:sz w:val="19"/>
              </w:rPr>
              <w:pict>
                <v:group style="width:.5pt;height:9.6pt;mso-position-horizontal-relative:char;mso-position-vertical-relative:line" id="docshapegroup513" coordorigin="0,0" coordsize="10,192">
                  <v:shape style="position:absolute;left:0;top:0;width:10;height:193" id="docshape514" coordorigin="0,0" coordsize="10,193"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515" coordorigin="0,0" coordsize="10,192">
                  <v:shape style="position:absolute;left:0;top:0;width:10;height:193" id="docshape516" coordorigin="0,0" coordsize="10,193" path="m10,154l0,154,0,192,10,192,10,154xm10,77l0,77,0,115,10,115,10,77xm10,0l0,0,0,38,10,38,10,0xe" filled="true" fillcolor="#000000" stroked="false">
                    <v:path arrowok="t"/>
                    <v:fill type="solid"/>
                  </v:shape>
                </v:group>
              </w:pict>
            </w:r>
            <w:r>
              <w:rPr>
                <w:position w:val="-3"/>
                <w:sz w:val="19"/>
              </w:rPr>
            </w:r>
          </w:p>
        </w:tc>
        <w:tc>
          <w:tcPr>
            <w:tcW w:w="1020" w:type="dxa"/>
            <w:tcBorders>
              <w:top w:val="dashed" w:sz="4" w:space="0" w:color="000000"/>
              <w:left w:val="nil"/>
              <w:bottom w:val="dashed" w:sz="4" w:space="0" w:color="000000"/>
              <w:right w:val="nil"/>
            </w:tcBorders>
          </w:tcPr>
          <w:p>
            <w:pPr>
              <w:pStyle w:val="TableParagraph"/>
              <w:spacing w:before="4"/>
              <w:rPr>
                <w:b/>
                <w:sz w:val="4"/>
              </w:rPr>
            </w:pPr>
          </w:p>
          <w:p>
            <w:pPr>
              <w:pStyle w:val="TableParagraph"/>
              <w:spacing w:line="192" w:lineRule="exact"/>
              <w:ind w:left="1030" w:right="-87"/>
              <w:rPr>
                <w:sz w:val="19"/>
              </w:rPr>
            </w:pPr>
            <w:r>
              <w:rPr>
                <w:position w:val="-3"/>
                <w:sz w:val="19"/>
              </w:rPr>
              <w:pict>
                <v:group style="width:.5pt;height:9.6pt;mso-position-horizontal-relative:char;mso-position-vertical-relative:line" id="docshapegroup517" coordorigin="0,0" coordsize="10,192">
                  <v:shape style="position:absolute;left:0;top:0;width:10;height:193" id="docshape518" coordorigin="0,0" coordsize="10,193" path="m10,154l0,154,0,192,10,192,10,154xm10,77l0,77,0,115,10,115,10,77xm10,0l0,0,0,38,10,38,10,0xe" filled="true" fillcolor="#000000" stroked="false">
                    <v:path arrowok="t"/>
                    <v:fill type="solid"/>
                  </v:shape>
                </v:group>
              </w:pict>
            </w:r>
            <w:r>
              <w:rPr>
                <w:position w:val="-3"/>
                <w:sz w:val="19"/>
              </w:rPr>
            </w:r>
          </w:p>
        </w:tc>
        <w:tc>
          <w:tcPr>
            <w:tcW w:w="1020" w:type="dxa"/>
            <w:tcBorders>
              <w:top w:val="dashed" w:sz="4" w:space="0" w:color="000000"/>
              <w:left w:val="nil"/>
              <w:bottom w:val="dashed" w:sz="4" w:space="0" w:color="000000"/>
              <w:right w:val="nil"/>
            </w:tcBorders>
          </w:tcPr>
          <w:p>
            <w:pPr>
              <w:pStyle w:val="TableParagraph"/>
              <w:spacing w:before="4"/>
              <w:rPr>
                <w:b/>
                <w:sz w:val="4"/>
              </w:rPr>
            </w:pPr>
          </w:p>
          <w:p>
            <w:pPr>
              <w:pStyle w:val="TableParagraph"/>
              <w:spacing w:line="192" w:lineRule="exact"/>
              <w:ind w:left="1030" w:right="-87"/>
              <w:rPr>
                <w:sz w:val="19"/>
              </w:rPr>
            </w:pPr>
            <w:r>
              <w:rPr>
                <w:position w:val="-3"/>
                <w:sz w:val="19"/>
              </w:rPr>
              <w:pict>
                <v:group style="width:.5pt;height:9.6pt;mso-position-horizontal-relative:char;mso-position-vertical-relative:line" id="docshapegroup519" coordorigin="0,0" coordsize="10,192">
                  <v:shape style="position:absolute;left:0;top:0;width:10;height:193" id="docshape520" coordorigin="0,0" coordsize="10,193" path="m10,154l0,154,0,192,10,192,10,154xm10,77l0,77,0,115,10,115,10,77xm10,0l0,0,0,38,10,38,10,0xe" filled="true" fillcolor="#000000" stroked="false">
                    <v:path arrowok="t"/>
                    <v:fill type="solid"/>
                  </v:shape>
                </v:group>
              </w:pict>
            </w:r>
            <w:r>
              <w:rPr>
                <w:position w:val="-3"/>
                <w:sz w:val="19"/>
              </w:rPr>
            </w:r>
          </w:p>
        </w:tc>
        <w:tc>
          <w:tcPr>
            <w:tcW w:w="1022" w:type="dxa"/>
            <w:tcBorders>
              <w:top w:val="dashed" w:sz="4" w:space="0" w:color="000000"/>
              <w:left w:val="nil"/>
              <w:bottom w:val="dashed" w:sz="4" w:space="0" w:color="000000"/>
              <w:right w:val="nil"/>
            </w:tcBorders>
          </w:tcPr>
          <w:p>
            <w:pPr>
              <w:pStyle w:val="TableParagraph"/>
              <w:spacing w:before="4"/>
              <w:rPr>
                <w:b/>
                <w:sz w:val="4"/>
              </w:rPr>
            </w:pPr>
          </w:p>
          <w:p>
            <w:pPr>
              <w:pStyle w:val="TableParagraph"/>
              <w:spacing w:line="192" w:lineRule="exact"/>
              <w:ind w:left="1032" w:right="-87"/>
              <w:rPr>
                <w:sz w:val="19"/>
              </w:rPr>
            </w:pPr>
            <w:r>
              <w:rPr>
                <w:position w:val="-3"/>
                <w:sz w:val="19"/>
              </w:rPr>
              <w:pict>
                <v:group style="width:.5pt;height:9.6pt;mso-position-horizontal-relative:char;mso-position-vertical-relative:line" id="docshapegroup521" coordorigin="0,0" coordsize="10,192">
                  <v:shape style="position:absolute;left:0;top:0;width:10;height:193" id="docshape522" coordorigin="0,0" coordsize="10,193" path="m10,154l0,154,0,192,10,192,10,154xm10,77l0,77,0,115,10,115,10,77xm10,0l0,0,0,38,10,38,10,0xe" filled="true" fillcolor="#000000" stroked="false">
                    <v:path arrowok="t"/>
                    <v:fill type="solid"/>
                  </v:shape>
                </v:group>
              </w:pict>
            </w:r>
            <w:r>
              <w:rPr>
                <w:position w:val="-3"/>
                <w:sz w:val="19"/>
              </w:rPr>
            </w:r>
          </w:p>
        </w:tc>
        <w:tc>
          <w:tcPr>
            <w:tcW w:w="1020" w:type="dxa"/>
            <w:tcBorders>
              <w:top w:val="dashed" w:sz="4" w:space="0" w:color="000000"/>
              <w:left w:val="nil"/>
              <w:bottom w:val="dashed" w:sz="4" w:space="0" w:color="000000"/>
              <w:right w:val="single" w:sz="12" w:space="0" w:color="000000"/>
            </w:tcBorders>
          </w:tcPr>
          <w:p>
            <w:pPr>
              <w:pStyle w:val="TableParagraph"/>
              <w:spacing w:before="35"/>
              <w:ind w:right="77"/>
              <w:jc w:val="right"/>
              <w:rPr>
                <w:sz w:val="20"/>
              </w:rPr>
            </w:pPr>
            <w:r>
              <w:rPr>
                <w:spacing w:val="-5"/>
                <w:sz w:val="20"/>
              </w:rPr>
              <w:t>917</w:t>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35"/>
              <w:ind w:right="77"/>
              <w:jc w:val="right"/>
              <w:rPr>
                <w:sz w:val="20"/>
              </w:rPr>
            </w:pPr>
            <w:r>
              <w:rPr>
                <w:spacing w:val="-5"/>
                <w:sz w:val="20"/>
              </w:rPr>
              <w:t>917</w:t>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35"/>
              <w:ind w:right="77"/>
              <w:jc w:val="right"/>
              <w:rPr>
                <w:sz w:val="20"/>
              </w:rPr>
            </w:pPr>
            <w:r>
              <w:rPr>
                <w:spacing w:val="-5"/>
                <w:sz w:val="20"/>
              </w:rPr>
              <w:t>917</w:t>
            </w:r>
          </w:p>
        </w:tc>
        <w:tc>
          <w:tcPr>
            <w:tcW w:w="1250" w:type="dxa"/>
            <w:tcBorders>
              <w:top w:val="dashed" w:sz="4" w:space="0" w:color="000000"/>
              <w:left w:val="single" w:sz="12" w:space="0" w:color="000000"/>
              <w:bottom w:val="dashed" w:sz="4" w:space="0" w:color="000000"/>
              <w:right w:val="single" w:sz="12" w:space="0" w:color="000000"/>
            </w:tcBorders>
          </w:tcPr>
          <w:p>
            <w:pPr>
              <w:pStyle w:val="TableParagraph"/>
              <w:spacing w:before="35"/>
              <w:ind w:right="77"/>
              <w:jc w:val="right"/>
              <w:rPr>
                <w:sz w:val="20"/>
              </w:rPr>
            </w:pPr>
            <w:r>
              <w:rPr>
                <w:spacing w:val="-5"/>
                <w:sz w:val="20"/>
              </w:rPr>
              <w:t>917</w:t>
            </w:r>
          </w:p>
        </w:tc>
      </w:tr>
      <w:tr>
        <w:trPr>
          <w:trHeight w:val="301" w:hRule="atLeast"/>
        </w:trPr>
        <w:tc>
          <w:tcPr>
            <w:tcW w:w="4291" w:type="dxa"/>
            <w:tcBorders>
              <w:top w:val="dashSmallGap" w:sz="4" w:space="0" w:color="000000"/>
              <w:left w:val="single" w:sz="12" w:space="0" w:color="000000"/>
              <w:bottom w:val="dashSmallGap" w:sz="4" w:space="0" w:color="000000"/>
              <w:right w:val="single" w:sz="12" w:space="0" w:color="000000"/>
            </w:tcBorders>
          </w:tcPr>
          <w:p>
            <w:pPr>
              <w:pStyle w:val="TableParagraph"/>
              <w:spacing w:before="47"/>
              <w:ind w:left="107"/>
              <w:rPr>
                <w:sz w:val="18"/>
              </w:rPr>
            </w:pPr>
            <w:r>
              <w:rPr>
                <w:sz w:val="18"/>
              </w:rPr>
              <w:t>Bushland</w:t>
            </w:r>
            <w:r>
              <w:rPr>
                <w:spacing w:val="-3"/>
                <w:sz w:val="18"/>
              </w:rPr>
              <w:t> </w:t>
            </w:r>
            <w:r>
              <w:rPr>
                <w:sz w:val="18"/>
              </w:rPr>
              <w:t>Improvement</w:t>
            </w:r>
            <w:r>
              <w:rPr>
                <w:spacing w:val="1"/>
                <w:sz w:val="18"/>
              </w:rPr>
              <w:t> </w:t>
            </w:r>
            <w:r>
              <w:rPr>
                <w:spacing w:val="-2"/>
                <w:sz w:val="18"/>
              </w:rPr>
              <w:t>Program</w:t>
            </w:r>
          </w:p>
        </w:tc>
        <w:tc>
          <w:tcPr>
            <w:tcW w:w="1207" w:type="dxa"/>
            <w:tcBorders>
              <w:top w:val="dashSmallGap" w:sz="4" w:space="0" w:color="000000"/>
              <w:left w:val="single" w:sz="12" w:space="0" w:color="000000"/>
              <w:bottom w:val="dashSmallGap" w:sz="4" w:space="0" w:color="000000"/>
              <w:right w:val="nil"/>
            </w:tcBorders>
          </w:tcPr>
          <w:p>
            <w:pPr>
              <w:pStyle w:val="TableParagraph"/>
              <w:spacing w:before="35"/>
              <w:ind w:right="79"/>
              <w:jc w:val="right"/>
              <w:rPr>
                <w:sz w:val="20"/>
              </w:rPr>
            </w:pPr>
            <w:r>
              <w:rPr>
                <w:spacing w:val="-5"/>
                <w:sz w:val="20"/>
              </w:rPr>
              <w:t>60</w:t>
            </w:r>
          </w:p>
        </w:tc>
        <w:tc>
          <w:tcPr>
            <w:tcW w:w="1020" w:type="dxa"/>
            <w:tcBorders>
              <w:top w:val="dashed" w:sz="4" w:space="0" w:color="000000"/>
              <w:left w:val="nil"/>
              <w:bottom w:val="dashed" w:sz="4" w:space="0" w:color="000000"/>
              <w:right w:val="nil"/>
            </w:tcBorders>
          </w:tcPr>
          <w:p>
            <w:pPr>
              <w:pStyle w:val="TableParagraph"/>
              <w:spacing w:before="35"/>
              <w:ind w:right="94"/>
              <w:jc w:val="right"/>
              <w:rPr>
                <w:sz w:val="20"/>
              </w:rPr>
            </w:pPr>
            <w:r>
              <w:rPr>
                <w:spacing w:val="-5"/>
                <w:sz w:val="20"/>
              </w:rPr>
              <w:t>60</w:t>
            </w:r>
          </w:p>
        </w:tc>
        <w:tc>
          <w:tcPr>
            <w:tcW w:w="1022" w:type="dxa"/>
            <w:tcBorders>
              <w:top w:val="dashed" w:sz="4" w:space="0" w:color="000000"/>
              <w:left w:val="nil"/>
              <w:bottom w:val="dashed" w:sz="4" w:space="0" w:color="000000"/>
              <w:right w:val="nil"/>
            </w:tcBorders>
          </w:tcPr>
          <w:p>
            <w:pPr>
              <w:pStyle w:val="TableParagraph"/>
              <w:spacing w:before="8"/>
              <w:rPr>
                <w:b/>
                <w:sz w:val="3"/>
              </w:rPr>
            </w:pPr>
          </w:p>
          <w:p>
            <w:pPr>
              <w:pStyle w:val="TableParagraph"/>
              <w:tabs>
                <w:tab w:pos="1032" w:val="left" w:leader="none"/>
              </w:tabs>
              <w:spacing w:line="192" w:lineRule="exact"/>
              <w:ind w:left="10" w:right="-87"/>
              <w:rPr>
                <w:sz w:val="19"/>
              </w:rPr>
            </w:pPr>
            <w:r>
              <w:rPr>
                <w:position w:val="-3"/>
                <w:sz w:val="19"/>
              </w:rPr>
              <w:pict>
                <v:group style="width:.5pt;height:9.6pt;mso-position-horizontal-relative:char;mso-position-vertical-relative:line" id="docshapegroup523" coordorigin="0,0" coordsize="10,192">
                  <v:shape style="position:absolute;left:0;top:0;width:10;height:192" id="docshape524" coordorigin="0,0" coordsize="10,192"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525" coordorigin="0,0" coordsize="10,192">
                  <v:shape style="position:absolute;left:0;top:0;width:10;height:192" id="docshape526" coordorigin="0,0" coordsize="10,192" path="m10,154l0,154,0,192,10,192,10,154xm10,77l0,77,0,115,10,115,10,77xm10,0l0,0,0,38,10,38,10,0xe" filled="true" fillcolor="#000000" stroked="false">
                    <v:path arrowok="t"/>
                    <v:fill type="solid"/>
                  </v:shape>
                </v:group>
              </w:pict>
            </w:r>
            <w:r>
              <w:rPr>
                <w:position w:val="-3"/>
                <w:sz w:val="19"/>
              </w:rPr>
            </w:r>
          </w:p>
        </w:tc>
        <w:tc>
          <w:tcPr>
            <w:tcW w:w="1020" w:type="dxa"/>
            <w:tcBorders>
              <w:top w:val="dashed" w:sz="4" w:space="0" w:color="000000"/>
              <w:left w:val="nil"/>
              <w:bottom w:val="dashed" w:sz="4" w:space="0" w:color="000000"/>
              <w:right w:val="nil"/>
            </w:tcBorders>
          </w:tcPr>
          <w:p>
            <w:pPr>
              <w:pStyle w:val="TableParagraph"/>
              <w:spacing w:before="8"/>
              <w:rPr>
                <w:b/>
                <w:sz w:val="3"/>
              </w:rPr>
            </w:pPr>
          </w:p>
          <w:p>
            <w:pPr>
              <w:pStyle w:val="TableParagraph"/>
              <w:spacing w:line="192" w:lineRule="exact"/>
              <w:ind w:left="1030" w:right="-87"/>
              <w:rPr>
                <w:sz w:val="19"/>
              </w:rPr>
            </w:pPr>
            <w:r>
              <w:rPr>
                <w:position w:val="-3"/>
                <w:sz w:val="19"/>
              </w:rPr>
              <w:pict>
                <v:group style="width:.5pt;height:9.6pt;mso-position-horizontal-relative:char;mso-position-vertical-relative:line" id="docshapegroup527" coordorigin="0,0" coordsize="10,192">
                  <v:shape style="position:absolute;left:0;top:0;width:10;height:192" id="docshape528" coordorigin="0,0" coordsize="10,192" path="m10,154l0,154,0,192,10,192,10,154xm10,77l0,77,0,115,10,115,10,77xm10,0l0,0,0,38,10,38,10,0xe" filled="true" fillcolor="#000000" stroked="false">
                    <v:path arrowok="t"/>
                    <v:fill type="solid"/>
                  </v:shape>
                </v:group>
              </w:pict>
            </w:r>
            <w:r>
              <w:rPr>
                <w:position w:val="-3"/>
                <w:sz w:val="19"/>
              </w:rPr>
            </w:r>
          </w:p>
        </w:tc>
        <w:tc>
          <w:tcPr>
            <w:tcW w:w="1020" w:type="dxa"/>
            <w:tcBorders>
              <w:top w:val="dashed" w:sz="4" w:space="0" w:color="000000"/>
              <w:left w:val="nil"/>
              <w:bottom w:val="dashed" w:sz="4" w:space="0" w:color="000000"/>
              <w:right w:val="nil"/>
            </w:tcBorders>
          </w:tcPr>
          <w:p>
            <w:pPr>
              <w:pStyle w:val="TableParagraph"/>
              <w:spacing w:before="8"/>
              <w:rPr>
                <w:b/>
                <w:sz w:val="3"/>
              </w:rPr>
            </w:pPr>
          </w:p>
          <w:p>
            <w:pPr>
              <w:pStyle w:val="TableParagraph"/>
              <w:spacing w:line="192" w:lineRule="exact"/>
              <w:ind w:left="1030" w:right="-87"/>
              <w:rPr>
                <w:sz w:val="19"/>
              </w:rPr>
            </w:pPr>
            <w:r>
              <w:rPr>
                <w:position w:val="-3"/>
                <w:sz w:val="19"/>
              </w:rPr>
              <w:pict>
                <v:group style="width:.5pt;height:9.6pt;mso-position-horizontal-relative:char;mso-position-vertical-relative:line" id="docshapegroup529" coordorigin="0,0" coordsize="10,192">
                  <v:shape style="position:absolute;left:0;top:0;width:10;height:192" id="docshape530" coordorigin="0,0" coordsize="10,192" path="m10,154l0,154,0,192,10,192,10,154xm10,77l0,77,0,115,10,115,10,77xm10,0l0,0,0,38,10,38,10,0xe" filled="true" fillcolor="#000000" stroked="false">
                    <v:path arrowok="t"/>
                    <v:fill type="solid"/>
                  </v:shape>
                </v:group>
              </w:pict>
            </w:r>
            <w:r>
              <w:rPr>
                <w:position w:val="-3"/>
                <w:sz w:val="19"/>
              </w:rPr>
            </w:r>
          </w:p>
        </w:tc>
        <w:tc>
          <w:tcPr>
            <w:tcW w:w="1022" w:type="dxa"/>
            <w:tcBorders>
              <w:top w:val="dashed" w:sz="4" w:space="0" w:color="000000"/>
              <w:left w:val="nil"/>
              <w:bottom w:val="dashed" w:sz="4" w:space="0" w:color="000000"/>
              <w:right w:val="nil"/>
            </w:tcBorders>
          </w:tcPr>
          <w:p>
            <w:pPr>
              <w:pStyle w:val="TableParagraph"/>
              <w:spacing w:before="8"/>
              <w:rPr>
                <w:b/>
                <w:sz w:val="3"/>
              </w:rPr>
            </w:pPr>
          </w:p>
          <w:p>
            <w:pPr>
              <w:pStyle w:val="TableParagraph"/>
              <w:spacing w:line="192" w:lineRule="exact"/>
              <w:ind w:left="1032" w:right="-87"/>
              <w:rPr>
                <w:sz w:val="19"/>
              </w:rPr>
            </w:pPr>
            <w:r>
              <w:rPr>
                <w:position w:val="-3"/>
                <w:sz w:val="19"/>
              </w:rPr>
              <w:pict>
                <v:group style="width:.5pt;height:9.6pt;mso-position-horizontal-relative:char;mso-position-vertical-relative:line" id="docshapegroup531" coordorigin="0,0" coordsize="10,192">
                  <v:shape style="position:absolute;left:0;top:0;width:10;height:192" id="docshape532" coordorigin="0,0" coordsize="10,192" path="m10,154l0,154,0,192,10,192,10,154xm10,77l0,77,0,115,10,115,10,77xm10,0l0,0,0,38,10,38,10,0xe" filled="true" fillcolor="#000000" stroked="false">
                    <v:path arrowok="t"/>
                    <v:fill type="solid"/>
                  </v:shape>
                </v:group>
              </w:pict>
            </w:r>
            <w:r>
              <w:rPr>
                <w:position w:val="-3"/>
                <w:sz w:val="19"/>
              </w:rPr>
            </w:r>
          </w:p>
        </w:tc>
        <w:tc>
          <w:tcPr>
            <w:tcW w:w="1020" w:type="dxa"/>
            <w:tcBorders>
              <w:top w:val="dashed" w:sz="4" w:space="0" w:color="000000"/>
              <w:left w:val="nil"/>
              <w:bottom w:val="dashed" w:sz="4" w:space="0" w:color="000000"/>
              <w:right w:val="single" w:sz="12" w:space="0" w:color="000000"/>
            </w:tcBorders>
          </w:tcPr>
          <w:p>
            <w:pPr>
              <w:pStyle w:val="TableParagraph"/>
              <w:spacing w:before="35"/>
              <w:ind w:right="78"/>
              <w:jc w:val="right"/>
              <w:rPr>
                <w:sz w:val="20"/>
              </w:rPr>
            </w:pPr>
            <w:r>
              <w:rPr>
                <w:spacing w:val="-5"/>
                <w:sz w:val="20"/>
              </w:rPr>
              <w:t>60</w:t>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35"/>
              <w:ind w:right="78"/>
              <w:jc w:val="right"/>
              <w:rPr>
                <w:sz w:val="20"/>
              </w:rPr>
            </w:pPr>
            <w:r>
              <w:rPr>
                <w:spacing w:val="-5"/>
                <w:sz w:val="20"/>
              </w:rPr>
              <w:t>70</w:t>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35"/>
              <w:ind w:right="78"/>
              <w:jc w:val="right"/>
              <w:rPr>
                <w:sz w:val="20"/>
              </w:rPr>
            </w:pPr>
            <w:r>
              <w:rPr>
                <w:spacing w:val="-5"/>
                <w:sz w:val="20"/>
              </w:rPr>
              <w:t>70</w:t>
            </w:r>
          </w:p>
        </w:tc>
        <w:tc>
          <w:tcPr>
            <w:tcW w:w="1250" w:type="dxa"/>
            <w:tcBorders>
              <w:top w:val="dashed" w:sz="4" w:space="0" w:color="000000"/>
              <w:left w:val="single" w:sz="12" w:space="0" w:color="000000"/>
              <w:bottom w:val="dashed" w:sz="4" w:space="0" w:color="000000"/>
              <w:right w:val="single" w:sz="12" w:space="0" w:color="000000"/>
            </w:tcBorders>
          </w:tcPr>
          <w:p>
            <w:pPr>
              <w:pStyle w:val="TableParagraph"/>
              <w:spacing w:before="35"/>
              <w:ind w:right="77"/>
              <w:jc w:val="right"/>
              <w:rPr>
                <w:sz w:val="20"/>
              </w:rPr>
            </w:pPr>
            <w:r>
              <w:rPr>
                <w:spacing w:val="-5"/>
                <w:sz w:val="20"/>
              </w:rPr>
              <w:t>70</w:t>
            </w:r>
          </w:p>
        </w:tc>
      </w:tr>
      <w:tr>
        <w:trPr>
          <w:trHeight w:val="320" w:hRule="atLeast"/>
        </w:trPr>
        <w:tc>
          <w:tcPr>
            <w:tcW w:w="4291" w:type="dxa"/>
            <w:tcBorders>
              <w:top w:val="dashSmallGap" w:sz="4" w:space="0" w:color="000000"/>
              <w:left w:val="single" w:sz="12" w:space="0" w:color="000000"/>
              <w:bottom w:val="single" w:sz="8" w:space="0" w:color="000000"/>
              <w:right w:val="single" w:sz="12" w:space="0" w:color="000000"/>
            </w:tcBorders>
          </w:tcPr>
          <w:p>
            <w:pPr>
              <w:pStyle w:val="TableParagraph"/>
              <w:spacing w:line="234" w:lineRule="exact" w:before="67"/>
              <w:ind w:left="107"/>
              <w:rPr>
                <w:b/>
                <w:sz w:val="22"/>
              </w:rPr>
            </w:pPr>
            <w:r>
              <w:rPr>
                <w:b/>
                <w:sz w:val="22"/>
              </w:rPr>
              <w:t>TOTAL</w:t>
            </w:r>
            <w:r>
              <w:rPr>
                <w:b/>
                <w:spacing w:val="-6"/>
                <w:sz w:val="22"/>
              </w:rPr>
              <w:t> </w:t>
            </w:r>
            <w:r>
              <w:rPr>
                <w:b/>
                <w:sz w:val="22"/>
              </w:rPr>
              <w:t>PARKS</w:t>
            </w:r>
            <w:r>
              <w:rPr>
                <w:b/>
                <w:spacing w:val="-2"/>
                <w:sz w:val="22"/>
              </w:rPr>
              <w:t> </w:t>
            </w:r>
            <w:r>
              <w:rPr>
                <w:b/>
                <w:sz w:val="22"/>
              </w:rPr>
              <w:t>AND</w:t>
            </w:r>
            <w:r>
              <w:rPr>
                <w:b/>
                <w:spacing w:val="-5"/>
                <w:sz w:val="22"/>
              </w:rPr>
              <w:t> </w:t>
            </w:r>
            <w:r>
              <w:rPr>
                <w:b/>
                <w:sz w:val="22"/>
              </w:rPr>
              <w:t>OPEN</w:t>
            </w:r>
            <w:r>
              <w:rPr>
                <w:b/>
                <w:spacing w:val="-2"/>
                <w:sz w:val="22"/>
              </w:rPr>
              <w:t> </w:t>
            </w:r>
            <w:r>
              <w:rPr>
                <w:b/>
                <w:spacing w:val="-4"/>
                <w:sz w:val="22"/>
              </w:rPr>
              <w:t>SPACE</w:t>
            </w:r>
          </w:p>
        </w:tc>
        <w:tc>
          <w:tcPr>
            <w:tcW w:w="1207" w:type="dxa"/>
            <w:tcBorders>
              <w:top w:val="dashSmallGap" w:sz="4" w:space="0" w:color="000000"/>
              <w:left w:val="single" w:sz="12" w:space="0" w:color="000000"/>
              <w:bottom w:val="single" w:sz="8" w:space="0" w:color="000000"/>
              <w:right w:val="nil"/>
            </w:tcBorders>
          </w:tcPr>
          <w:p>
            <w:pPr>
              <w:pStyle w:val="TableParagraph"/>
              <w:spacing w:before="45"/>
              <w:ind w:right="77"/>
              <w:jc w:val="right"/>
              <w:rPr>
                <w:b/>
                <w:sz w:val="20"/>
              </w:rPr>
            </w:pPr>
            <w:r>
              <w:rPr>
                <w:b/>
                <w:spacing w:val="-2"/>
                <w:sz w:val="20"/>
              </w:rPr>
              <w:t>2,486</w:t>
            </w:r>
          </w:p>
        </w:tc>
        <w:tc>
          <w:tcPr>
            <w:tcW w:w="1020" w:type="dxa"/>
            <w:tcBorders>
              <w:top w:val="dashed" w:sz="4" w:space="0" w:color="000000"/>
              <w:left w:val="nil"/>
              <w:bottom w:val="single" w:sz="8" w:space="0" w:color="000000"/>
              <w:right w:val="nil"/>
            </w:tcBorders>
          </w:tcPr>
          <w:p>
            <w:pPr>
              <w:pStyle w:val="TableParagraph"/>
              <w:spacing w:before="45"/>
              <w:ind w:right="92"/>
              <w:jc w:val="right"/>
              <w:rPr>
                <w:b/>
                <w:sz w:val="20"/>
              </w:rPr>
            </w:pPr>
            <w:r>
              <w:rPr>
                <w:b/>
                <w:spacing w:val="-2"/>
                <w:sz w:val="20"/>
              </w:rPr>
              <w:t>2,486</w:t>
            </w:r>
          </w:p>
        </w:tc>
        <w:tc>
          <w:tcPr>
            <w:tcW w:w="1022" w:type="dxa"/>
            <w:tcBorders>
              <w:top w:val="dashed" w:sz="4" w:space="0" w:color="000000"/>
              <w:left w:val="nil"/>
              <w:bottom w:val="single" w:sz="8" w:space="0" w:color="000000"/>
              <w:right w:val="nil"/>
            </w:tcBorders>
          </w:tcPr>
          <w:p>
            <w:pPr>
              <w:pStyle w:val="TableParagraph"/>
              <w:spacing w:before="45"/>
              <w:ind w:right="92"/>
              <w:jc w:val="right"/>
              <w:rPr>
                <w:b/>
                <w:sz w:val="20"/>
              </w:rPr>
            </w:pPr>
            <w:r>
              <w:rPr>
                <w:b/>
                <w:w w:val="99"/>
                <w:sz w:val="20"/>
              </w:rPr>
              <w:t>0</w:t>
            </w:r>
          </w:p>
        </w:tc>
        <w:tc>
          <w:tcPr>
            <w:tcW w:w="1020" w:type="dxa"/>
            <w:tcBorders>
              <w:top w:val="dashed" w:sz="4" w:space="0" w:color="000000"/>
              <w:left w:val="nil"/>
              <w:bottom w:val="single" w:sz="8" w:space="0" w:color="000000"/>
              <w:right w:val="nil"/>
            </w:tcBorders>
          </w:tcPr>
          <w:p>
            <w:pPr>
              <w:pStyle w:val="TableParagraph"/>
              <w:spacing w:before="45"/>
              <w:ind w:right="92"/>
              <w:jc w:val="right"/>
              <w:rPr>
                <w:b/>
                <w:sz w:val="20"/>
              </w:rPr>
            </w:pPr>
            <w:r>
              <w:rPr>
                <w:b/>
                <w:w w:val="99"/>
                <w:sz w:val="20"/>
              </w:rPr>
              <w:t>0</w:t>
            </w:r>
          </w:p>
        </w:tc>
        <w:tc>
          <w:tcPr>
            <w:tcW w:w="1020" w:type="dxa"/>
            <w:tcBorders>
              <w:top w:val="dashed" w:sz="4" w:space="0" w:color="000000"/>
              <w:left w:val="nil"/>
              <w:bottom w:val="single" w:sz="8" w:space="0" w:color="000000"/>
              <w:right w:val="nil"/>
            </w:tcBorders>
          </w:tcPr>
          <w:p>
            <w:pPr>
              <w:pStyle w:val="TableParagraph"/>
              <w:spacing w:before="45"/>
              <w:ind w:right="93"/>
              <w:jc w:val="right"/>
              <w:rPr>
                <w:b/>
                <w:sz w:val="20"/>
              </w:rPr>
            </w:pPr>
            <w:r>
              <w:rPr>
                <w:b/>
                <w:spacing w:val="-5"/>
                <w:sz w:val="20"/>
              </w:rPr>
              <w:t>965</w:t>
            </w:r>
          </w:p>
        </w:tc>
        <w:tc>
          <w:tcPr>
            <w:tcW w:w="1022" w:type="dxa"/>
            <w:tcBorders>
              <w:top w:val="dashed" w:sz="4" w:space="0" w:color="000000"/>
              <w:left w:val="nil"/>
              <w:bottom w:val="single" w:sz="8" w:space="0" w:color="000000"/>
              <w:right w:val="nil"/>
            </w:tcBorders>
          </w:tcPr>
          <w:p>
            <w:pPr>
              <w:pStyle w:val="TableParagraph"/>
              <w:spacing w:before="45"/>
              <w:ind w:right="95"/>
              <w:jc w:val="right"/>
              <w:rPr>
                <w:b/>
                <w:sz w:val="20"/>
              </w:rPr>
            </w:pPr>
            <w:r>
              <w:rPr>
                <w:b/>
                <w:spacing w:val="-5"/>
                <w:sz w:val="20"/>
              </w:rPr>
              <w:t>484</w:t>
            </w:r>
          </w:p>
        </w:tc>
        <w:tc>
          <w:tcPr>
            <w:tcW w:w="1020" w:type="dxa"/>
            <w:tcBorders>
              <w:top w:val="dashed" w:sz="4" w:space="0" w:color="000000"/>
              <w:left w:val="nil"/>
              <w:bottom w:val="single" w:sz="8" w:space="0" w:color="000000"/>
              <w:right w:val="single" w:sz="12" w:space="0" w:color="000000"/>
            </w:tcBorders>
          </w:tcPr>
          <w:p>
            <w:pPr>
              <w:pStyle w:val="TableParagraph"/>
              <w:spacing w:before="45"/>
              <w:ind w:right="78"/>
              <w:jc w:val="right"/>
              <w:rPr>
                <w:b/>
                <w:sz w:val="20"/>
              </w:rPr>
            </w:pPr>
            <w:r>
              <w:rPr>
                <w:b/>
                <w:spacing w:val="-2"/>
                <w:sz w:val="20"/>
              </w:rPr>
              <w:t>1,037</w:t>
            </w:r>
          </w:p>
        </w:tc>
        <w:tc>
          <w:tcPr>
            <w:tcW w:w="1248" w:type="dxa"/>
            <w:tcBorders>
              <w:top w:val="dashed" w:sz="4" w:space="0" w:color="000000"/>
              <w:left w:val="single" w:sz="12" w:space="0" w:color="000000"/>
              <w:bottom w:val="single" w:sz="8" w:space="0" w:color="000000"/>
              <w:right w:val="single" w:sz="12" w:space="0" w:color="000000"/>
            </w:tcBorders>
          </w:tcPr>
          <w:p>
            <w:pPr>
              <w:pStyle w:val="TableParagraph"/>
              <w:spacing w:before="45"/>
              <w:ind w:right="78"/>
              <w:jc w:val="right"/>
              <w:rPr>
                <w:b/>
                <w:sz w:val="20"/>
              </w:rPr>
            </w:pPr>
            <w:r>
              <w:rPr>
                <w:b/>
                <w:spacing w:val="-2"/>
                <w:sz w:val="20"/>
              </w:rPr>
              <w:t>3,176</w:t>
            </w:r>
          </w:p>
        </w:tc>
        <w:tc>
          <w:tcPr>
            <w:tcW w:w="1248" w:type="dxa"/>
            <w:tcBorders>
              <w:top w:val="dashed" w:sz="4" w:space="0" w:color="000000"/>
              <w:left w:val="single" w:sz="12" w:space="0" w:color="000000"/>
              <w:bottom w:val="single" w:sz="8" w:space="0" w:color="000000"/>
              <w:right w:val="single" w:sz="12" w:space="0" w:color="000000"/>
            </w:tcBorders>
          </w:tcPr>
          <w:p>
            <w:pPr>
              <w:pStyle w:val="TableParagraph"/>
              <w:spacing w:before="45"/>
              <w:ind w:right="78"/>
              <w:jc w:val="right"/>
              <w:rPr>
                <w:b/>
                <w:sz w:val="20"/>
              </w:rPr>
            </w:pPr>
            <w:r>
              <w:rPr>
                <w:b/>
                <w:spacing w:val="-2"/>
                <w:sz w:val="20"/>
              </w:rPr>
              <w:t>2,991</w:t>
            </w:r>
          </w:p>
        </w:tc>
        <w:tc>
          <w:tcPr>
            <w:tcW w:w="1250" w:type="dxa"/>
            <w:tcBorders>
              <w:top w:val="dashed" w:sz="4" w:space="0" w:color="000000"/>
              <w:left w:val="single" w:sz="12" w:space="0" w:color="000000"/>
              <w:bottom w:val="single" w:sz="8" w:space="0" w:color="000000"/>
              <w:right w:val="single" w:sz="12" w:space="0" w:color="000000"/>
            </w:tcBorders>
          </w:tcPr>
          <w:p>
            <w:pPr>
              <w:pStyle w:val="TableParagraph"/>
              <w:spacing w:before="45"/>
              <w:ind w:right="76"/>
              <w:jc w:val="right"/>
              <w:rPr>
                <w:b/>
                <w:sz w:val="20"/>
              </w:rPr>
            </w:pPr>
            <w:r>
              <w:rPr>
                <w:b/>
                <w:spacing w:val="-2"/>
                <w:sz w:val="20"/>
              </w:rPr>
              <w:t>3,231</w:t>
            </w:r>
          </w:p>
        </w:tc>
      </w:tr>
      <w:tr>
        <w:trPr>
          <w:trHeight w:val="745" w:hRule="atLeast"/>
        </w:trPr>
        <w:tc>
          <w:tcPr>
            <w:tcW w:w="4291" w:type="dxa"/>
            <w:tcBorders>
              <w:top w:val="single" w:sz="8" w:space="0" w:color="000000"/>
              <w:left w:val="single" w:sz="12" w:space="0" w:color="000000"/>
              <w:bottom w:val="single" w:sz="12" w:space="0" w:color="000000"/>
              <w:right w:val="single" w:sz="12" w:space="0" w:color="000000"/>
            </w:tcBorders>
          </w:tcPr>
          <w:p>
            <w:pPr>
              <w:pStyle w:val="TableParagraph"/>
              <w:spacing w:before="49"/>
              <w:ind w:left="107"/>
              <w:rPr>
                <w:b/>
                <w:sz w:val="28"/>
              </w:rPr>
            </w:pPr>
            <w:r>
              <w:rPr>
                <w:b/>
                <w:sz w:val="28"/>
              </w:rPr>
              <w:t>TOTAL</w:t>
            </w:r>
            <w:r>
              <w:rPr>
                <w:b/>
                <w:spacing w:val="-20"/>
                <w:sz w:val="28"/>
              </w:rPr>
              <w:t> </w:t>
            </w:r>
            <w:r>
              <w:rPr>
                <w:b/>
                <w:sz w:val="28"/>
              </w:rPr>
              <w:t>RECREATIONAL </w:t>
            </w:r>
            <w:r>
              <w:rPr>
                <w:b/>
                <w:spacing w:val="-2"/>
                <w:sz w:val="28"/>
              </w:rPr>
              <w:t>IMPROVEMENTS</w:t>
            </w:r>
          </w:p>
        </w:tc>
        <w:tc>
          <w:tcPr>
            <w:tcW w:w="1207" w:type="dxa"/>
            <w:tcBorders>
              <w:top w:val="single" w:sz="8" w:space="0" w:color="000000"/>
              <w:left w:val="single" w:sz="12" w:space="0" w:color="000000"/>
              <w:bottom w:val="single" w:sz="12" w:space="0" w:color="000000"/>
              <w:right w:val="dashSmallGap" w:sz="4" w:space="0" w:color="000000"/>
            </w:tcBorders>
          </w:tcPr>
          <w:p>
            <w:pPr>
              <w:pStyle w:val="TableParagraph"/>
              <w:spacing w:before="3"/>
              <w:rPr>
                <w:b/>
                <w:sz w:val="22"/>
              </w:rPr>
            </w:pPr>
          </w:p>
          <w:p>
            <w:pPr>
              <w:pStyle w:val="TableParagraph"/>
              <w:ind w:right="77"/>
              <w:jc w:val="right"/>
              <w:rPr>
                <w:b/>
                <w:sz w:val="20"/>
              </w:rPr>
            </w:pPr>
            <w:r>
              <w:rPr>
                <w:b/>
                <w:spacing w:val="-2"/>
                <w:sz w:val="20"/>
              </w:rPr>
              <w:t>4,454</w:t>
            </w:r>
          </w:p>
        </w:tc>
        <w:tc>
          <w:tcPr>
            <w:tcW w:w="1020" w:type="dxa"/>
            <w:tcBorders>
              <w:top w:val="single" w:sz="8" w:space="0" w:color="000000"/>
              <w:left w:val="dashSmallGap" w:sz="4" w:space="0" w:color="000000"/>
              <w:bottom w:val="single" w:sz="12" w:space="0" w:color="000000"/>
              <w:right w:val="dashSmallGap" w:sz="4" w:space="0" w:color="000000"/>
            </w:tcBorders>
          </w:tcPr>
          <w:p>
            <w:pPr>
              <w:pStyle w:val="TableParagraph"/>
              <w:spacing w:before="3"/>
              <w:rPr>
                <w:b/>
                <w:sz w:val="22"/>
              </w:rPr>
            </w:pPr>
          </w:p>
          <w:p>
            <w:pPr>
              <w:pStyle w:val="TableParagraph"/>
              <w:ind w:right="87"/>
              <w:jc w:val="right"/>
              <w:rPr>
                <w:b/>
                <w:sz w:val="20"/>
              </w:rPr>
            </w:pPr>
            <w:r>
              <w:rPr>
                <w:b/>
                <w:spacing w:val="-2"/>
                <w:sz w:val="20"/>
              </w:rPr>
              <w:t>4,421</w:t>
            </w:r>
          </w:p>
        </w:tc>
        <w:tc>
          <w:tcPr>
            <w:tcW w:w="1022" w:type="dxa"/>
            <w:tcBorders>
              <w:top w:val="single" w:sz="8" w:space="0" w:color="000000"/>
              <w:left w:val="dashSmallGap" w:sz="4" w:space="0" w:color="000000"/>
              <w:bottom w:val="single" w:sz="12" w:space="0" w:color="000000"/>
              <w:right w:val="dashSmallGap" w:sz="4" w:space="0" w:color="000000"/>
            </w:tcBorders>
          </w:tcPr>
          <w:p>
            <w:pPr>
              <w:pStyle w:val="TableParagraph"/>
              <w:spacing w:before="3"/>
              <w:rPr>
                <w:b/>
                <w:sz w:val="22"/>
              </w:rPr>
            </w:pPr>
          </w:p>
          <w:p>
            <w:pPr>
              <w:pStyle w:val="TableParagraph"/>
              <w:ind w:right="87"/>
              <w:jc w:val="right"/>
              <w:rPr>
                <w:b/>
                <w:sz w:val="20"/>
              </w:rPr>
            </w:pPr>
            <w:r>
              <w:rPr>
                <w:b/>
                <w:w w:val="99"/>
                <w:sz w:val="20"/>
              </w:rPr>
              <w:t>0</w:t>
            </w:r>
          </w:p>
        </w:tc>
        <w:tc>
          <w:tcPr>
            <w:tcW w:w="1020" w:type="dxa"/>
            <w:tcBorders>
              <w:top w:val="single" w:sz="8" w:space="0" w:color="000000"/>
              <w:left w:val="dashSmallGap" w:sz="4" w:space="0" w:color="000000"/>
              <w:bottom w:val="single" w:sz="12" w:space="0" w:color="000000"/>
              <w:right w:val="dashSmallGap" w:sz="4" w:space="0" w:color="000000"/>
            </w:tcBorders>
          </w:tcPr>
          <w:p>
            <w:pPr>
              <w:pStyle w:val="TableParagraph"/>
              <w:spacing w:before="3"/>
              <w:rPr>
                <w:b/>
                <w:sz w:val="22"/>
              </w:rPr>
            </w:pPr>
          </w:p>
          <w:p>
            <w:pPr>
              <w:pStyle w:val="TableParagraph"/>
              <w:ind w:right="91"/>
              <w:jc w:val="right"/>
              <w:rPr>
                <w:b/>
                <w:sz w:val="20"/>
              </w:rPr>
            </w:pPr>
            <w:r>
              <w:rPr>
                <w:b/>
                <w:spacing w:val="-5"/>
                <w:sz w:val="20"/>
              </w:rPr>
              <w:t>33</w:t>
            </w:r>
          </w:p>
        </w:tc>
        <w:tc>
          <w:tcPr>
            <w:tcW w:w="1020" w:type="dxa"/>
            <w:tcBorders>
              <w:top w:val="single" w:sz="8" w:space="0" w:color="000000"/>
              <w:left w:val="dashSmallGap" w:sz="4" w:space="0" w:color="000000"/>
              <w:bottom w:val="single" w:sz="12" w:space="0" w:color="000000"/>
              <w:right w:val="dashSmallGap" w:sz="4" w:space="0" w:color="000000"/>
            </w:tcBorders>
          </w:tcPr>
          <w:p>
            <w:pPr>
              <w:pStyle w:val="TableParagraph"/>
              <w:spacing w:before="3"/>
              <w:rPr>
                <w:b/>
                <w:sz w:val="22"/>
              </w:rPr>
            </w:pPr>
          </w:p>
          <w:p>
            <w:pPr>
              <w:pStyle w:val="TableParagraph"/>
              <w:ind w:right="87"/>
              <w:jc w:val="right"/>
              <w:rPr>
                <w:b/>
                <w:sz w:val="20"/>
              </w:rPr>
            </w:pPr>
            <w:r>
              <w:rPr>
                <w:b/>
                <w:spacing w:val="-2"/>
                <w:sz w:val="20"/>
              </w:rPr>
              <w:t>2,659</w:t>
            </w:r>
          </w:p>
        </w:tc>
        <w:tc>
          <w:tcPr>
            <w:tcW w:w="1022" w:type="dxa"/>
            <w:tcBorders>
              <w:top w:val="single" w:sz="8" w:space="0" w:color="000000"/>
              <w:left w:val="dashSmallGap" w:sz="4" w:space="0" w:color="000000"/>
              <w:bottom w:val="single" w:sz="12" w:space="0" w:color="000000"/>
              <w:right w:val="dashSmallGap" w:sz="4" w:space="0" w:color="000000"/>
            </w:tcBorders>
          </w:tcPr>
          <w:p>
            <w:pPr>
              <w:pStyle w:val="TableParagraph"/>
              <w:spacing w:before="3"/>
              <w:rPr>
                <w:b/>
                <w:sz w:val="22"/>
              </w:rPr>
            </w:pPr>
          </w:p>
          <w:p>
            <w:pPr>
              <w:pStyle w:val="TableParagraph"/>
              <w:ind w:right="90"/>
              <w:jc w:val="right"/>
              <w:rPr>
                <w:b/>
                <w:sz w:val="20"/>
              </w:rPr>
            </w:pPr>
            <w:r>
              <w:rPr>
                <w:b/>
                <w:spacing w:val="-5"/>
                <w:sz w:val="20"/>
              </w:rPr>
              <w:t>758</w:t>
            </w:r>
          </w:p>
        </w:tc>
        <w:tc>
          <w:tcPr>
            <w:tcW w:w="1020" w:type="dxa"/>
            <w:tcBorders>
              <w:top w:val="single" w:sz="8" w:space="0" w:color="000000"/>
              <w:left w:val="dashSmallGap" w:sz="4" w:space="0" w:color="000000"/>
              <w:bottom w:val="single" w:sz="12" w:space="0" w:color="000000"/>
              <w:right w:val="single" w:sz="12" w:space="0" w:color="000000"/>
            </w:tcBorders>
          </w:tcPr>
          <w:p>
            <w:pPr>
              <w:pStyle w:val="TableParagraph"/>
              <w:spacing w:before="3"/>
              <w:rPr>
                <w:b/>
                <w:sz w:val="22"/>
              </w:rPr>
            </w:pPr>
          </w:p>
          <w:p>
            <w:pPr>
              <w:pStyle w:val="TableParagraph"/>
              <w:ind w:right="78"/>
              <w:jc w:val="right"/>
              <w:rPr>
                <w:b/>
                <w:sz w:val="20"/>
              </w:rPr>
            </w:pPr>
            <w:r>
              <w:rPr>
                <w:b/>
                <w:spacing w:val="-2"/>
                <w:sz w:val="20"/>
              </w:rPr>
              <w:t>1,037</w:t>
            </w:r>
          </w:p>
        </w:tc>
        <w:tc>
          <w:tcPr>
            <w:tcW w:w="1248" w:type="dxa"/>
            <w:tcBorders>
              <w:top w:val="single" w:sz="8" w:space="0" w:color="000000"/>
              <w:left w:val="single" w:sz="12" w:space="0" w:color="000000"/>
              <w:bottom w:val="single" w:sz="12" w:space="0" w:color="000000"/>
              <w:right w:val="single" w:sz="12" w:space="0" w:color="000000"/>
            </w:tcBorders>
          </w:tcPr>
          <w:p>
            <w:pPr>
              <w:pStyle w:val="TableParagraph"/>
              <w:spacing w:before="3"/>
              <w:rPr>
                <w:b/>
                <w:sz w:val="22"/>
              </w:rPr>
            </w:pPr>
          </w:p>
          <w:p>
            <w:pPr>
              <w:pStyle w:val="TableParagraph"/>
              <w:ind w:right="78"/>
              <w:jc w:val="right"/>
              <w:rPr>
                <w:b/>
                <w:sz w:val="20"/>
              </w:rPr>
            </w:pPr>
            <w:r>
              <w:rPr>
                <w:b/>
                <w:spacing w:val="-2"/>
                <w:sz w:val="20"/>
              </w:rPr>
              <w:t>5,180</w:t>
            </w:r>
          </w:p>
        </w:tc>
        <w:tc>
          <w:tcPr>
            <w:tcW w:w="1248" w:type="dxa"/>
            <w:tcBorders>
              <w:top w:val="single" w:sz="8" w:space="0" w:color="000000"/>
              <w:left w:val="single" w:sz="12" w:space="0" w:color="000000"/>
              <w:bottom w:val="single" w:sz="12" w:space="0" w:color="000000"/>
              <w:right w:val="single" w:sz="12" w:space="0" w:color="000000"/>
            </w:tcBorders>
          </w:tcPr>
          <w:p>
            <w:pPr>
              <w:pStyle w:val="TableParagraph"/>
              <w:spacing w:before="3"/>
              <w:rPr>
                <w:b/>
                <w:sz w:val="22"/>
              </w:rPr>
            </w:pPr>
          </w:p>
          <w:p>
            <w:pPr>
              <w:pStyle w:val="TableParagraph"/>
              <w:ind w:right="78"/>
              <w:jc w:val="right"/>
              <w:rPr>
                <w:b/>
                <w:sz w:val="20"/>
              </w:rPr>
            </w:pPr>
            <w:r>
              <w:rPr>
                <w:b/>
                <w:spacing w:val="-2"/>
                <w:sz w:val="20"/>
              </w:rPr>
              <w:t>5,056</w:t>
            </w:r>
          </w:p>
        </w:tc>
        <w:tc>
          <w:tcPr>
            <w:tcW w:w="1250" w:type="dxa"/>
            <w:tcBorders>
              <w:top w:val="single" w:sz="8" w:space="0" w:color="000000"/>
              <w:left w:val="single" w:sz="12" w:space="0" w:color="000000"/>
              <w:bottom w:val="single" w:sz="12" w:space="0" w:color="000000"/>
              <w:right w:val="single" w:sz="12" w:space="0" w:color="000000"/>
            </w:tcBorders>
          </w:tcPr>
          <w:p>
            <w:pPr>
              <w:pStyle w:val="TableParagraph"/>
              <w:spacing w:before="3"/>
              <w:rPr>
                <w:b/>
                <w:sz w:val="22"/>
              </w:rPr>
            </w:pPr>
          </w:p>
          <w:p>
            <w:pPr>
              <w:pStyle w:val="TableParagraph"/>
              <w:ind w:right="76"/>
              <w:jc w:val="right"/>
              <w:rPr>
                <w:b/>
                <w:sz w:val="20"/>
              </w:rPr>
            </w:pPr>
            <w:r>
              <w:rPr>
                <w:b/>
                <w:spacing w:val="-2"/>
                <w:sz w:val="20"/>
              </w:rPr>
              <w:t>5,297</w:t>
            </w:r>
          </w:p>
        </w:tc>
      </w:tr>
    </w:tbl>
    <w:p>
      <w:pPr>
        <w:rPr>
          <w:sz w:val="2"/>
          <w:szCs w:val="2"/>
        </w:rPr>
      </w:pPr>
      <w:r>
        <w:rPr/>
        <w:pict>
          <v:shape style="position:absolute;margin-left:311.400024pt;margin-top:207.360992pt;width:.5pt;height:9.6pt;mso-position-horizontal-relative:page;mso-position-vertical-relative:page;z-index:-37880320" id="docshape533" coordorigin="6228,4147" coordsize="10,192" path="m6238,4301l6228,4301,6228,4339,6238,4339,6238,4301xm6238,4224l6228,4224,6228,4262,6238,4262,6238,4224xm6238,4147l6228,4147,6228,4186,6238,4186,6238,4147xe" filled="true" fillcolor="#000000" stroked="false">
            <v:path arrowok="t"/>
            <v:fill type="solid"/>
            <w10:wrap type="none"/>
          </v:shape>
        </w:pict>
      </w:r>
      <w:r>
        <w:rPr/>
        <w:pict>
          <v:shape style="position:absolute;margin-left:515.520020pt;margin-top:207.360992pt;width:.5pt;height:9.6pt;mso-position-horizontal-relative:page;mso-position-vertical-relative:page;z-index:-37879808" id="docshape534" coordorigin="10310,4147" coordsize="10,192" path="m10320,4301l10310,4301,10310,4339,10320,4339,10320,4301xm10320,4224l10310,4224,10310,4262,10320,4262,10320,4224xm10320,4147l10310,4147,10310,4186,10320,4186,10320,4147xe" filled="true" fillcolor="#000000" stroked="false">
            <v:path arrowok="t"/>
            <v:fill type="solid"/>
            <w10:wrap type="none"/>
          </v:shape>
        </w:pict>
      </w:r>
      <w:r>
        <w:rPr/>
        <w:pict>
          <v:shape style="position:absolute;margin-left:566.640015pt;margin-top:207.360992pt;width:.5pt;height:9.6pt;mso-position-horizontal-relative:page;mso-position-vertical-relative:page;z-index:-37879296" id="docshape535" coordorigin="11333,4147" coordsize="10,192" path="m11342,4301l11333,4301,11333,4339,11342,4339,11342,4301xm11342,4224l11333,4224,11333,4262,11342,4262,11342,4224xm11342,4147l11333,4147,11333,4186,11342,4186,11342,4147xe" filled="true" fillcolor="#000000" stroked="false">
            <v:path arrowok="t"/>
            <v:fill type="solid"/>
            <w10:wrap type="none"/>
          </v:shape>
        </w:pict>
      </w:r>
      <w:r>
        <w:rPr/>
        <w:pict>
          <v:shape style="position:absolute;margin-left:311.400024pt;margin-top:222.719986pt;width:.5pt;height:9.65pt;mso-position-horizontal-relative:page;mso-position-vertical-relative:page;z-index:-37878784" id="docshape536" coordorigin="6228,4454" coordsize="10,193" path="m6238,4608l6228,4608,6228,4646,6238,4646,6238,4608xm6238,4531l6228,4531,6228,4570,6238,4570,6238,4531xm6238,4454l6228,4454,6228,4493,6238,4493,6238,4454xe" filled="true" fillcolor="#000000" stroked="false">
            <v:path arrowok="t"/>
            <v:fill type="solid"/>
            <w10:wrap type="none"/>
          </v:shape>
        </w:pict>
      </w:r>
      <w:r>
        <w:rPr/>
        <w:pict>
          <v:shape style="position:absolute;margin-left:311.400024pt;margin-top:238.080994pt;width:.5pt;height:9.6pt;mso-position-horizontal-relative:page;mso-position-vertical-relative:page;z-index:-37878272" id="docshape537" coordorigin="6228,4762" coordsize="10,192" path="m6238,4915l6228,4915,6228,4954,6238,4954,6238,4915xm6238,4838l6228,4838,6228,4877,6238,4877,6238,4838xm6238,4762l6228,4762,6228,4800,6238,4800,6238,4762xe" filled="true" fillcolor="#000000" stroked="false">
            <v:path arrowok="t"/>
            <v:fill type="solid"/>
            <w10:wrap type="none"/>
          </v:shape>
        </w:pict>
      </w:r>
      <w:r>
        <w:rPr/>
        <w:pict>
          <v:shape style="position:absolute;margin-left:515.520020pt;margin-top:238.080994pt;width:.5pt;height:9.6pt;mso-position-horizontal-relative:page;mso-position-vertical-relative:page;z-index:-37877760" id="docshape538" coordorigin="10310,4762" coordsize="10,192" path="m10320,4915l10310,4915,10310,4954,10320,4954,10320,4915xm10320,4838l10310,4838,10310,4877,10320,4877,10320,4838xm10320,4762l10310,4762,10310,4800,10320,4800,10320,4762xe" filled="true" fillcolor="#000000" stroked="false">
            <v:path arrowok="t"/>
            <v:fill type="solid"/>
            <w10:wrap type="none"/>
          </v:shape>
        </w:pict>
      </w:r>
      <w:r>
        <w:rPr/>
        <w:pict>
          <v:shape style="position:absolute;margin-left:566.640015pt;margin-top:238.080994pt;width:.5pt;height:9.6pt;mso-position-horizontal-relative:page;mso-position-vertical-relative:page;z-index:-37877248" id="docshape539" coordorigin="11333,4762" coordsize="10,192" path="m11342,4915l11333,4915,11333,4954,11342,4954,11342,4915xm11342,4838l11333,4838,11333,4877,11342,4877,11342,4838xm11342,4762l11333,4762,11333,4800,11342,4800,11342,4762xe" filled="true" fillcolor="#000000" stroked="false">
            <v:path arrowok="t"/>
            <v:fill type="solid"/>
            <w10:wrap type="none"/>
          </v:shape>
        </w:pict>
      </w:r>
      <w:r>
        <w:rPr/>
        <w:pict>
          <v:shape style="position:absolute;margin-left:311.400024pt;margin-top:253.440994pt;width:.5pt;height:9.6pt;mso-position-horizontal-relative:page;mso-position-vertical-relative:page;z-index:-37876736" id="docshape540" coordorigin="6228,5069" coordsize="10,192" path="m6238,5222l6228,5222,6228,5261,6238,5261,6238,5222xm6238,5146l6228,5146,6228,5184,6238,5184,6238,5146xm6238,5069l6228,5069,6228,5107,6238,5107,6238,5069xe" filled="true" fillcolor="#000000" stroked="false">
            <v:path arrowok="t"/>
            <v:fill type="solid"/>
            <w10:wrap type="none"/>
          </v:shape>
        </w:pict>
      </w:r>
      <w:r>
        <w:rPr/>
        <w:pict>
          <v:shape style="position:absolute;margin-left:515.520020pt;margin-top:253.440994pt;width:.5pt;height:9.6pt;mso-position-horizontal-relative:page;mso-position-vertical-relative:page;z-index:-37876224" id="docshape541" coordorigin="10310,5069" coordsize="10,192" path="m10320,5222l10310,5222,10310,5261,10320,5261,10320,5222xm10320,5146l10310,5146,10310,5184,10320,5184,10320,5146xm10320,5069l10310,5069,10310,5107,10320,5107,10320,5069xe" filled="true" fillcolor="#000000" stroked="false">
            <v:path arrowok="t"/>
            <v:fill type="solid"/>
            <w10:wrap type="none"/>
          </v:shape>
        </w:pict>
      </w:r>
      <w:r>
        <w:rPr/>
        <w:pict>
          <v:shape style="position:absolute;margin-left:566.640015pt;margin-top:253.440994pt;width:.5pt;height:9.6pt;mso-position-horizontal-relative:page;mso-position-vertical-relative:page;z-index:-37875712" id="docshape542" coordorigin="11333,5069" coordsize="10,192" path="m11342,5222l11333,5222,11333,5261,11342,5261,11342,5222xm11342,5146l11333,5146,11333,5184,11342,5184,11342,5146xm11342,5069l11333,5069,11333,5107,11342,5107,11342,5069xe" filled="true" fillcolor="#000000" stroked="false">
            <v:path arrowok="t"/>
            <v:fill type="solid"/>
            <w10:wrap type="none"/>
          </v:shape>
        </w:pict>
      </w:r>
      <w:r>
        <w:rPr/>
        <w:pict>
          <v:shape style="position:absolute;margin-left:311.400024pt;margin-top:268.799988pt;width:.5pt;height:17.3pt;mso-position-horizontal-relative:page;mso-position-vertical-relative:page;z-index:-37875200" id="docshape543" coordorigin="6228,5376" coordsize="10,346" path="m6238,5683l6228,5683,6228,5722,6238,5722,6238,5683xm6238,5606l6228,5606,6228,5645,6238,5645,6238,5606xm6238,5530l6228,5530,6228,5568,6238,5568,6238,5530xm6238,5453l6228,5453,6228,5491,6238,5491,6238,5453xm6238,5376l6228,5376,6228,5414,6238,5414,6238,5376xe" filled="true" fillcolor="#000000" stroked="false">
            <v:path arrowok="t"/>
            <v:fill type="solid"/>
            <w10:wrap type="none"/>
          </v:shape>
        </w:pict>
      </w:r>
      <w:r>
        <w:rPr/>
        <w:pict>
          <v:shape style="position:absolute;margin-left:311.400024pt;margin-top:295.679993pt;width:.5pt;height:17.3pt;mso-position-horizontal-relative:page;mso-position-vertical-relative:page;z-index:-37874688" id="docshape544" coordorigin="6228,5914" coordsize="10,346" path="m6238,6221l6228,6221,6228,6259,6238,6259,6238,6221xm6238,6144l6228,6144,6228,6182,6238,6182,6238,6144xm6238,6067l6228,6067,6228,6106,6238,6106,6238,6067xm6238,5990l6228,5990,6228,6029,6238,6029,6238,5990xm6238,5914l6228,5914,6228,5952,6238,5952,6238,5914xe" filled="true" fillcolor="#000000" stroked="false">
            <v:path arrowok="t"/>
            <v:fill type="solid"/>
            <w10:wrap type="none"/>
          </v:shape>
        </w:pict>
      </w:r>
      <w:r>
        <w:rPr/>
        <w:pict>
          <v:shape style="position:absolute;margin-left:515.520020pt;margin-top:295.679993pt;width:.5pt;height:17.3pt;mso-position-horizontal-relative:page;mso-position-vertical-relative:page;z-index:-37874176" id="docshape545" coordorigin="10310,5914" coordsize="10,346" path="m10320,6221l10310,6221,10310,6259,10320,6259,10320,6221xm10320,6144l10310,6144,10310,6182,10320,6182,10320,6144xm10320,6067l10310,6067,10310,6106,10320,6106,10320,6067xm10320,5990l10310,5990,10310,6029,10320,6029,10320,5990xm10320,5914l10310,5914,10310,5952,10320,5952,10320,5914xe" filled="true" fillcolor="#000000" stroked="false">
            <v:path arrowok="t"/>
            <v:fill type="solid"/>
            <w10:wrap type="none"/>
          </v:shape>
        </w:pict>
      </w:r>
      <w:r>
        <w:rPr/>
        <w:pict>
          <v:shape style="position:absolute;margin-left:311.400024pt;margin-top:318.720001pt;width:.5pt;height:9.65pt;mso-position-horizontal-relative:page;mso-position-vertical-relative:page;z-index:-37873664" id="docshape546" coordorigin="6228,6374" coordsize="10,193" path="m6238,6528l6228,6528,6228,6566,6238,6566,6238,6528xm6238,6451l6228,6451,6228,6490,6238,6490,6238,6451xm6238,6374l6228,6374,6228,6413,6238,6413,6238,6374xe" filled="true" fillcolor="#000000" stroked="false">
            <v:path arrowok="t"/>
            <v:fill type="solid"/>
            <w10:wrap type="none"/>
          </v:shape>
        </w:pict>
      </w:r>
      <w:r>
        <w:rPr/>
        <w:pict>
          <v:shape style="position:absolute;margin-left:311.400024pt;margin-top:334.080994pt;width:.5pt;height:9.6pt;mso-position-horizontal-relative:page;mso-position-vertical-relative:page;z-index:-37873152" id="docshape547" coordorigin="6228,6682" coordsize="10,192" path="m6238,6835l6228,6835,6228,6874,6238,6874,6238,6835xm6238,6758l6228,6758,6228,6797,6238,6797,6238,6758xm6238,6682l6228,6682,6228,6720,6238,6720,6238,6682xe" filled="true" fillcolor="#000000" stroked="false">
            <v:path arrowok="t"/>
            <v:fill type="solid"/>
            <w10:wrap type="none"/>
          </v:shape>
        </w:pict>
      </w:r>
      <w:r>
        <w:rPr/>
        <w:pict>
          <v:shape style="position:absolute;margin-left:311.400024pt;margin-top:349.44101pt;width:.5pt;height:9.6pt;mso-position-horizontal-relative:page;mso-position-vertical-relative:page;z-index:-37872640" id="docshape548" coordorigin="6228,6989" coordsize="10,192" path="m6238,7142l6228,7142,6228,7181,6238,7181,6238,7142xm6238,7066l6228,7066,6228,7104,6238,7104,6238,7066xm6238,6989l6228,6989,6228,7027,6238,7027,6238,6989xe" filled="true" fillcolor="#000000" stroked="false">
            <v:path arrowok="t"/>
            <v:fill type="solid"/>
            <w10:wrap type="none"/>
          </v:shape>
        </w:pict>
      </w:r>
      <w:r>
        <w:rPr/>
        <w:pict>
          <v:shape style="position:absolute;margin-left:362.400024pt;margin-top:349.44101pt;width:.5pt;height:9.6pt;mso-position-horizontal-relative:page;mso-position-vertical-relative:page;z-index:-37872128" id="docshape549" coordorigin="7248,6989" coordsize="10,192" path="m7258,7142l7248,7142,7248,7181,7258,7181,7258,7142xm7258,7066l7248,7066,7248,7104,7258,7104,7258,7066xm7258,6989l7248,6989,7248,7027,7258,7027,7258,6989xe" filled="true" fillcolor="#000000" stroked="false">
            <v:path arrowok="t"/>
            <v:fill type="solid"/>
            <w10:wrap type="none"/>
          </v:shape>
        </w:pict>
      </w:r>
      <w:r>
        <w:rPr/>
        <w:pict>
          <v:shape style="position:absolute;margin-left:413.52002pt;margin-top:349.44101pt;width:.5pt;height:9.6pt;mso-position-horizontal-relative:page;mso-position-vertical-relative:page;z-index:-37871616" id="docshape550" coordorigin="8270,6989" coordsize="10,192" path="m8280,7142l8270,7142,8270,7181,8280,7181,8280,7142xm8280,7066l8270,7066,8270,7104,8280,7104,8280,7066xm8280,6989l8270,6989,8270,7027,8280,7027,8280,6989xe" filled="true" fillcolor="#000000" stroked="false">
            <v:path arrowok="t"/>
            <v:fill type="solid"/>
            <w10:wrap type="none"/>
          </v:shape>
        </w:pict>
      </w:r>
      <w:r>
        <w:rPr/>
        <w:pict>
          <v:shape style="position:absolute;margin-left:464.52002pt;margin-top:349.44101pt;width:.5pt;height:9.6pt;mso-position-horizontal-relative:page;mso-position-vertical-relative:page;z-index:-37871104" id="docshape551" coordorigin="9290,6989" coordsize="10,192" path="m9300,7142l9290,7142,9290,7181,9300,7181,9300,7142xm9300,7066l9290,7066,9290,7104,9300,7104,9300,7066xm9300,6989l9290,6989,9290,7027,9300,7027,9300,6989xe" filled="true" fillcolor="#000000" stroked="false">
            <v:path arrowok="t"/>
            <v:fill type="solid"/>
            <w10:wrap type="none"/>
          </v:shape>
        </w:pict>
      </w:r>
      <w:r>
        <w:rPr/>
        <w:pict>
          <v:shape style="position:absolute;margin-left:515.520020pt;margin-top:349.44101pt;width:.5pt;height:9.6pt;mso-position-horizontal-relative:page;mso-position-vertical-relative:page;z-index:-37870592" id="docshape552" coordorigin="10310,6989" coordsize="10,192" path="m10320,7142l10310,7142,10310,7181,10320,7181,10320,7142xm10320,7066l10310,7066,10310,7104,10320,7104,10320,7066xm10320,6989l10310,6989,10310,7027,10320,7027,10320,6989xe" filled="true" fillcolor="#000000" stroked="false">
            <v:path arrowok="t"/>
            <v:fill type="solid"/>
            <w10:wrap type="none"/>
          </v:shape>
        </w:pict>
      </w:r>
      <w:r>
        <w:rPr/>
        <w:pict>
          <v:shape style="position:absolute;margin-left:566.640015pt;margin-top:349.44101pt;width:.5pt;height:9.6pt;mso-position-horizontal-relative:page;mso-position-vertical-relative:page;z-index:-37870080" id="docshape553" coordorigin="11333,6989" coordsize="10,192" path="m11342,7142l11333,7142,11333,7181,11342,7181,11342,7142xm11342,7066l11333,7066,11333,7104,11342,7104,11342,7066xm11342,6989l11333,6989,11333,7027,11342,7027,11342,6989xe" filled="true" fillcolor="#000000" stroked="false">
            <v:path arrowok="t"/>
            <v:fill type="solid"/>
            <w10:wrap type="none"/>
          </v:shape>
        </w:pict>
      </w:r>
    </w:p>
    <w:p>
      <w:pPr>
        <w:spacing w:after="0"/>
        <w:rPr>
          <w:sz w:val="2"/>
          <w:szCs w:val="2"/>
        </w:rPr>
        <w:sectPr>
          <w:pgSz w:w="16840" w:h="11910" w:orient="landscape"/>
          <w:pgMar w:header="0" w:footer="375" w:top="540" w:bottom="560" w:left="600" w:right="120"/>
        </w:sectPr>
      </w:pPr>
    </w:p>
    <w:tbl>
      <w:tblPr>
        <w:tblW w:w="0" w:type="auto"/>
        <w:jc w:val="left"/>
        <w:tblInd w:w="14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219"/>
        <w:gridCol w:w="1140"/>
        <w:gridCol w:w="1097"/>
        <w:gridCol w:w="1097"/>
        <w:gridCol w:w="1097"/>
        <w:gridCol w:w="1099"/>
        <w:gridCol w:w="960"/>
        <w:gridCol w:w="1092"/>
        <w:gridCol w:w="1162"/>
        <w:gridCol w:w="1162"/>
        <w:gridCol w:w="1246"/>
      </w:tblGrid>
      <w:tr>
        <w:trPr>
          <w:trHeight w:val="307" w:hRule="atLeast"/>
        </w:trPr>
        <w:tc>
          <w:tcPr>
            <w:tcW w:w="15371" w:type="dxa"/>
            <w:gridSpan w:val="11"/>
            <w:tcBorders>
              <w:left w:val="single" w:sz="12" w:space="0" w:color="000000"/>
              <w:right w:val="single" w:sz="12" w:space="0" w:color="000000"/>
            </w:tcBorders>
            <w:shd w:val="clear" w:color="auto" w:fill="629CD1"/>
          </w:tcPr>
          <w:p>
            <w:pPr>
              <w:pStyle w:val="TableParagraph"/>
              <w:spacing w:line="288" w:lineRule="exact"/>
              <w:ind w:left="3639" w:right="3611"/>
              <w:jc w:val="center"/>
              <w:rPr>
                <w:b/>
                <w:sz w:val="28"/>
              </w:rPr>
            </w:pPr>
            <w:r>
              <w:rPr>
                <w:b/>
                <w:color w:val="FFFFFF"/>
                <w:sz w:val="28"/>
              </w:rPr>
              <w:t>CAPITAL</w:t>
            </w:r>
            <w:r>
              <w:rPr>
                <w:b/>
                <w:color w:val="FFFFFF"/>
                <w:spacing w:val="-6"/>
                <w:sz w:val="28"/>
              </w:rPr>
              <w:t> </w:t>
            </w:r>
            <w:r>
              <w:rPr>
                <w:b/>
                <w:color w:val="FFFFFF"/>
                <w:sz w:val="28"/>
              </w:rPr>
              <w:t>EXPENDITURE</w:t>
            </w:r>
            <w:r>
              <w:rPr>
                <w:b/>
                <w:color w:val="FFFFFF"/>
                <w:spacing w:val="-6"/>
                <w:sz w:val="28"/>
              </w:rPr>
              <w:t> </w:t>
            </w:r>
            <w:r>
              <w:rPr>
                <w:b/>
                <w:color w:val="FFFFFF"/>
                <w:sz w:val="28"/>
              </w:rPr>
              <w:t>PROGRAM</w:t>
            </w:r>
            <w:r>
              <w:rPr>
                <w:b/>
                <w:color w:val="FFFFFF"/>
                <w:spacing w:val="-4"/>
                <w:sz w:val="28"/>
              </w:rPr>
              <w:t> </w:t>
            </w:r>
            <w:r>
              <w:rPr>
                <w:b/>
                <w:color w:val="FFFFFF"/>
                <w:sz w:val="28"/>
              </w:rPr>
              <w:t>2025/2026</w:t>
            </w:r>
            <w:r>
              <w:rPr>
                <w:b/>
                <w:color w:val="FFFFFF"/>
                <w:spacing w:val="-5"/>
                <w:sz w:val="28"/>
              </w:rPr>
              <w:t> </w:t>
            </w:r>
            <w:r>
              <w:rPr>
                <w:b/>
                <w:color w:val="FFFFFF"/>
                <w:sz w:val="28"/>
              </w:rPr>
              <w:t>TO</w:t>
            </w:r>
            <w:r>
              <w:rPr>
                <w:b/>
                <w:color w:val="FFFFFF"/>
                <w:spacing w:val="-2"/>
                <w:sz w:val="28"/>
              </w:rPr>
              <w:t> 2028/2029</w:t>
            </w:r>
          </w:p>
        </w:tc>
      </w:tr>
      <w:tr>
        <w:trPr>
          <w:trHeight w:val="444" w:hRule="atLeast"/>
        </w:trPr>
        <w:tc>
          <w:tcPr>
            <w:tcW w:w="4219" w:type="dxa"/>
            <w:tcBorders>
              <w:left w:val="single" w:sz="12" w:space="0" w:color="000000"/>
              <w:right w:val="single" w:sz="12" w:space="0" w:color="000000"/>
            </w:tcBorders>
            <w:shd w:val="clear" w:color="auto" w:fill="629CD1"/>
          </w:tcPr>
          <w:p>
            <w:pPr>
              <w:pStyle w:val="TableParagraph"/>
              <w:rPr>
                <w:rFonts w:ascii="Times New Roman"/>
                <w:sz w:val="18"/>
              </w:rPr>
            </w:pPr>
          </w:p>
        </w:tc>
        <w:tc>
          <w:tcPr>
            <w:tcW w:w="7582" w:type="dxa"/>
            <w:gridSpan w:val="7"/>
            <w:tcBorders>
              <w:left w:val="single" w:sz="12" w:space="0" w:color="000000"/>
              <w:right w:val="single" w:sz="12" w:space="0" w:color="000000"/>
            </w:tcBorders>
            <w:shd w:val="clear" w:color="auto" w:fill="629CD1"/>
          </w:tcPr>
          <w:p>
            <w:pPr>
              <w:pStyle w:val="TableParagraph"/>
              <w:spacing w:before="105"/>
              <w:ind w:left="2935" w:right="2911"/>
              <w:jc w:val="center"/>
              <w:rPr>
                <w:b/>
                <w:sz w:val="20"/>
              </w:rPr>
            </w:pPr>
            <w:r>
              <w:rPr>
                <w:b/>
                <w:color w:val="FFFFFF"/>
                <w:sz w:val="20"/>
              </w:rPr>
              <w:t>Budget</w:t>
            </w:r>
            <w:r>
              <w:rPr>
                <w:b/>
                <w:color w:val="FFFFFF"/>
                <w:spacing w:val="-7"/>
                <w:sz w:val="20"/>
              </w:rPr>
              <w:t> </w:t>
            </w:r>
            <w:r>
              <w:rPr>
                <w:b/>
                <w:color w:val="FFFFFF"/>
                <w:spacing w:val="-2"/>
                <w:sz w:val="20"/>
              </w:rPr>
              <w:t>2025/2026</w:t>
            </w:r>
          </w:p>
        </w:tc>
        <w:tc>
          <w:tcPr>
            <w:tcW w:w="1162" w:type="dxa"/>
            <w:tcBorders>
              <w:left w:val="single" w:sz="12" w:space="0" w:color="000000"/>
              <w:right w:val="single" w:sz="12" w:space="0" w:color="000000"/>
            </w:tcBorders>
            <w:shd w:val="clear" w:color="auto" w:fill="629CD1"/>
          </w:tcPr>
          <w:p>
            <w:pPr>
              <w:pStyle w:val="TableParagraph"/>
              <w:spacing w:line="220" w:lineRule="exact"/>
              <w:ind w:left="93" w:right="69"/>
              <w:jc w:val="center"/>
              <w:rPr>
                <w:b/>
                <w:sz w:val="20"/>
              </w:rPr>
            </w:pPr>
            <w:r>
              <w:rPr>
                <w:b/>
                <w:color w:val="FFFFFF"/>
                <w:spacing w:val="-2"/>
                <w:sz w:val="20"/>
              </w:rPr>
              <w:t>Budget</w:t>
            </w:r>
          </w:p>
          <w:p>
            <w:pPr>
              <w:pStyle w:val="TableParagraph"/>
              <w:spacing w:line="204" w:lineRule="exact"/>
              <w:ind w:left="94" w:right="69"/>
              <w:jc w:val="center"/>
              <w:rPr>
                <w:b/>
                <w:sz w:val="20"/>
              </w:rPr>
            </w:pPr>
            <w:r>
              <w:rPr>
                <w:b/>
                <w:color w:val="FFFFFF"/>
                <w:spacing w:val="-2"/>
                <w:sz w:val="20"/>
              </w:rPr>
              <w:t>2026/2027</w:t>
            </w:r>
          </w:p>
        </w:tc>
        <w:tc>
          <w:tcPr>
            <w:tcW w:w="1162" w:type="dxa"/>
            <w:tcBorders>
              <w:left w:val="single" w:sz="12" w:space="0" w:color="000000"/>
              <w:right w:val="single" w:sz="12" w:space="0" w:color="000000"/>
            </w:tcBorders>
            <w:shd w:val="clear" w:color="auto" w:fill="629CD1"/>
          </w:tcPr>
          <w:p>
            <w:pPr>
              <w:pStyle w:val="TableParagraph"/>
              <w:spacing w:line="220" w:lineRule="exact"/>
              <w:ind w:left="92" w:right="69"/>
              <w:jc w:val="center"/>
              <w:rPr>
                <w:b/>
                <w:sz w:val="20"/>
              </w:rPr>
            </w:pPr>
            <w:r>
              <w:rPr>
                <w:b/>
                <w:color w:val="FFFFFF"/>
                <w:spacing w:val="-2"/>
                <w:sz w:val="20"/>
              </w:rPr>
              <w:t>Budget</w:t>
            </w:r>
          </w:p>
          <w:p>
            <w:pPr>
              <w:pStyle w:val="TableParagraph"/>
              <w:spacing w:line="204" w:lineRule="exact"/>
              <w:ind w:left="93" w:right="69"/>
              <w:jc w:val="center"/>
              <w:rPr>
                <w:b/>
                <w:sz w:val="20"/>
              </w:rPr>
            </w:pPr>
            <w:r>
              <w:rPr>
                <w:b/>
                <w:color w:val="FFFFFF"/>
                <w:spacing w:val="-2"/>
                <w:sz w:val="20"/>
              </w:rPr>
              <w:t>2027/2028</w:t>
            </w:r>
          </w:p>
        </w:tc>
        <w:tc>
          <w:tcPr>
            <w:tcW w:w="1246" w:type="dxa"/>
            <w:tcBorders>
              <w:left w:val="single" w:sz="12" w:space="0" w:color="000000"/>
              <w:right w:val="single" w:sz="12" w:space="0" w:color="000000"/>
            </w:tcBorders>
            <w:shd w:val="clear" w:color="auto" w:fill="629CD1"/>
          </w:tcPr>
          <w:p>
            <w:pPr>
              <w:pStyle w:val="TableParagraph"/>
              <w:spacing w:line="220" w:lineRule="exact"/>
              <w:ind w:left="134" w:right="109"/>
              <w:jc w:val="center"/>
              <w:rPr>
                <w:b/>
                <w:sz w:val="20"/>
              </w:rPr>
            </w:pPr>
            <w:r>
              <w:rPr>
                <w:b/>
                <w:color w:val="FFFFFF"/>
                <w:spacing w:val="-2"/>
                <w:sz w:val="20"/>
              </w:rPr>
              <w:t>Budget</w:t>
            </w:r>
          </w:p>
          <w:p>
            <w:pPr>
              <w:pStyle w:val="TableParagraph"/>
              <w:spacing w:line="204" w:lineRule="exact"/>
              <w:ind w:left="134" w:right="113"/>
              <w:jc w:val="center"/>
              <w:rPr>
                <w:b/>
                <w:sz w:val="20"/>
              </w:rPr>
            </w:pPr>
            <w:r>
              <w:rPr>
                <w:b/>
                <w:color w:val="FFFFFF"/>
                <w:spacing w:val="-2"/>
                <w:sz w:val="20"/>
              </w:rPr>
              <w:t>2028/2029</w:t>
            </w:r>
          </w:p>
        </w:tc>
      </w:tr>
      <w:tr>
        <w:trPr>
          <w:trHeight w:val="537" w:hRule="atLeast"/>
        </w:trPr>
        <w:tc>
          <w:tcPr>
            <w:tcW w:w="4219" w:type="dxa"/>
            <w:tcBorders>
              <w:left w:val="single" w:sz="12" w:space="0" w:color="000000"/>
              <w:bottom w:val="single" w:sz="12" w:space="0" w:color="000000"/>
              <w:right w:val="single" w:sz="12" w:space="0" w:color="000000"/>
            </w:tcBorders>
            <w:shd w:val="clear" w:color="auto" w:fill="629CD1"/>
          </w:tcPr>
          <w:p>
            <w:pPr>
              <w:pStyle w:val="TableParagraph"/>
              <w:rPr>
                <w:rFonts w:ascii="Times New Roman"/>
                <w:sz w:val="18"/>
              </w:rPr>
            </w:pPr>
          </w:p>
        </w:tc>
        <w:tc>
          <w:tcPr>
            <w:tcW w:w="1140" w:type="dxa"/>
            <w:tcBorders>
              <w:left w:val="single" w:sz="12" w:space="0" w:color="000000"/>
              <w:bottom w:val="single" w:sz="12" w:space="0" w:color="000000"/>
              <w:right w:val="single" w:sz="12" w:space="0" w:color="000000"/>
            </w:tcBorders>
            <w:shd w:val="clear" w:color="auto" w:fill="629CD1"/>
          </w:tcPr>
          <w:p>
            <w:pPr>
              <w:pStyle w:val="TableParagraph"/>
              <w:ind w:left="107" w:firstLine="268"/>
              <w:rPr>
                <w:b/>
                <w:sz w:val="16"/>
              </w:rPr>
            </w:pPr>
            <w:r>
              <w:rPr>
                <w:b/>
                <w:color w:val="FFFFFF"/>
                <w:spacing w:val="-2"/>
                <w:sz w:val="16"/>
              </w:rPr>
              <w:t>Total Expenditure</w:t>
            </w:r>
          </w:p>
          <w:p>
            <w:pPr>
              <w:pStyle w:val="TableParagraph"/>
              <w:spacing w:line="156" w:lineRule="exact"/>
              <w:ind w:left="390"/>
              <w:rPr>
                <w:b/>
                <w:sz w:val="16"/>
              </w:rPr>
            </w:pPr>
            <w:r>
              <w:rPr>
                <w:b/>
                <w:color w:val="FFFFFF"/>
                <w:spacing w:val="-4"/>
                <w:sz w:val="16"/>
              </w:rPr>
              <w:t>$000</w:t>
            </w:r>
          </w:p>
        </w:tc>
        <w:tc>
          <w:tcPr>
            <w:tcW w:w="1097" w:type="dxa"/>
            <w:tcBorders>
              <w:left w:val="single" w:sz="12" w:space="0" w:color="000000"/>
              <w:bottom w:val="single" w:sz="12" w:space="0" w:color="000000"/>
              <w:right w:val="single" w:sz="12" w:space="0" w:color="000000"/>
            </w:tcBorders>
            <w:shd w:val="clear" w:color="auto" w:fill="629CD1"/>
          </w:tcPr>
          <w:p>
            <w:pPr>
              <w:pStyle w:val="TableParagraph"/>
              <w:ind w:left="352" w:right="221" w:hanging="99"/>
              <w:rPr>
                <w:b/>
                <w:sz w:val="16"/>
              </w:rPr>
            </w:pPr>
            <w:r>
              <w:rPr>
                <w:b/>
                <w:color w:val="FFFFFF"/>
                <w:spacing w:val="-2"/>
                <w:sz w:val="16"/>
              </w:rPr>
              <w:t>Council </w:t>
            </w:r>
            <w:r>
              <w:rPr>
                <w:b/>
                <w:color w:val="FFFFFF"/>
                <w:spacing w:val="-4"/>
                <w:sz w:val="16"/>
              </w:rPr>
              <w:t>Cash</w:t>
            </w:r>
          </w:p>
          <w:p>
            <w:pPr>
              <w:pStyle w:val="TableParagraph"/>
              <w:spacing w:line="156" w:lineRule="exact"/>
              <w:ind w:left="369"/>
              <w:rPr>
                <w:b/>
                <w:sz w:val="16"/>
              </w:rPr>
            </w:pPr>
            <w:r>
              <w:rPr>
                <w:b/>
                <w:color w:val="FFFFFF"/>
                <w:spacing w:val="-4"/>
                <w:sz w:val="16"/>
              </w:rPr>
              <w:t>$000</w:t>
            </w:r>
          </w:p>
        </w:tc>
        <w:tc>
          <w:tcPr>
            <w:tcW w:w="1097" w:type="dxa"/>
            <w:tcBorders>
              <w:left w:val="single" w:sz="12" w:space="0" w:color="000000"/>
              <w:bottom w:val="single" w:sz="12" w:space="0" w:color="000000"/>
              <w:right w:val="single" w:sz="12" w:space="0" w:color="000000"/>
            </w:tcBorders>
            <w:shd w:val="clear" w:color="auto" w:fill="629CD1"/>
          </w:tcPr>
          <w:p>
            <w:pPr>
              <w:pStyle w:val="TableParagraph"/>
              <w:spacing w:before="85"/>
              <w:ind w:left="289"/>
              <w:rPr>
                <w:b/>
                <w:sz w:val="16"/>
              </w:rPr>
            </w:pPr>
            <w:r>
              <w:rPr>
                <w:b/>
                <w:color w:val="FFFFFF"/>
                <w:spacing w:val="-2"/>
                <w:sz w:val="16"/>
              </w:rPr>
              <w:t>Grants</w:t>
            </w:r>
          </w:p>
          <w:p>
            <w:pPr>
              <w:pStyle w:val="TableParagraph"/>
              <w:spacing w:line="156" w:lineRule="exact" w:before="92"/>
              <w:ind w:left="369"/>
              <w:rPr>
                <w:b/>
                <w:sz w:val="16"/>
              </w:rPr>
            </w:pPr>
            <w:r>
              <w:rPr>
                <w:b/>
                <w:color w:val="FFFFFF"/>
                <w:spacing w:val="-4"/>
                <w:sz w:val="16"/>
              </w:rPr>
              <w:t>$000</w:t>
            </w:r>
          </w:p>
        </w:tc>
        <w:tc>
          <w:tcPr>
            <w:tcW w:w="1097" w:type="dxa"/>
            <w:tcBorders>
              <w:left w:val="single" w:sz="12" w:space="0" w:color="000000"/>
              <w:bottom w:val="single" w:sz="12" w:space="0" w:color="000000"/>
              <w:right w:val="single" w:sz="12" w:space="0" w:color="000000"/>
            </w:tcBorders>
            <w:shd w:val="clear" w:color="auto" w:fill="629CD1"/>
          </w:tcPr>
          <w:p>
            <w:pPr>
              <w:pStyle w:val="TableParagraph"/>
              <w:ind w:left="167" w:right="136" w:firstLine="120"/>
              <w:rPr>
                <w:b/>
                <w:sz w:val="16"/>
              </w:rPr>
            </w:pPr>
            <w:r>
              <w:rPr>
                <w:b/>
                <w:color w:val="FFFFFF"/>
                <w:spacing w:val="-2"/>
                <w:sz w:val="16"/>
              </w:rPr>
              <w:t>Others </w:t>
            </w:r>
            <w:r>
              <w:rPr>
                <w:b/>
                <w:color w:val="FFFFFF"/>
                <w:sz w:val="16"/>
              </w:rPr>
              <w:t>Contrib</w:t>
            </w:r>
            <w:r>
              <w:rPr>
                <w:b/>
                <w:color w:val="FFFFFF"/>
                <w:spacing w:val="-12"/>
                <w:sz w:val="16"/>
              </w:rPr>
              <w:t> </w:t>
            </w:r>
            <w:r>
              <w:rPr>
                <w:b/>
                <w:color w:val="FFFFFF"/>
                <w:sz w:val="16"/>
              </w:rPr>
              <w:t>‘n</w:t>
            </w:r>
          </w:p>
          <w:p>
            <w:pPr>
              <w:pStyle w:val="TableParagraph"/>
              <w:spacing w:line="156" w:lineRule="exact"/>
              <w:ind w:left="368"/>
              <w:rPr>
                <w:b/>
                <w:sz w:val="16"/>
              </w:rPr>
            </w:pPr>
            <w:r>
              <w:rPr>
                <w:b/>
                <w:color w:val="FFFFFF"/>
                <w:spacing w:val="-4"/>
                <w:sz w:val="16"/>
              </w:rPr>
              <w:t>$000</w:t>
            </w:r>
          </w:p>
        </w:tc>
        <w:tc>
          <w:tcPr>
            <w:tcW w:w="1099" w:type="dxa"/>
            <w:tcBorders>
              <w:left w:val="single" w:sz="12" w:space="0" w:color="000000"/>
              <w:bottom w:val="single" w:sz="12" w:space="0" w:color="000000"/>
              <w:right w:val="single" w:sz="12" w:space="0" w:color="000000"/>
            </w:tcBorders>
            <w:shd w:val="clear" w:color="auto" w:fill="629CD1"/>
          </w:tcPr>
          <w:p>
            <w:pPr>
              <w:pStyle w:val="TableParagraph"/>
              <w:ind w:left="224" w:right="189" w:firstLine="105"/>
              <w:rPr>
                <w:b/>
                <w:sz w:val="16"/>
              </w:rPr>
            </w:pPr>
            <w:r>
              <w:rPr>
                <w:b/>
                <w:color w:val="FFFFFF"/>
                <w:spacing w:val="-2"/>
                <w:sz w:val="16"/>
              </w:rPr>
              <w:t>Asset Renewal</w:t>
            </w:r>
          </w:p>
          <w:p>
            <w:pPr>
              <w:pStyle w:val="TableParagraph"/>
              <w:spacing w:line="156" w:lineRule="exact"/>
              <w:ind w:left="371"/>
              <w:rPr>
                <w:b/>
                <w:sz w:val="16"/>
              </w:rPr>
            </w:pPr>
            <w:r>
              <w:rPr>
                <w:b/>
                <w:color w:val="FFFFFF"/>
                <w:spacing w:val="-4"/>
                <w:sz w:val="16"/>
              </w:rPr>
              <w:t>$000</w:t>
            </w:r>
          </w:p>
        </w:tc>
        <w:tc>
          <w:tcPr>
            <w:tcW w:w="960" w:type="dxa"/>
            <w:tcBorders>
              <w:left w:val="single" w:sz="12" w:space="0" w:color="000000"/>
              <w:bottom w:val="single" w:sz="12" w:space="0" w:color="000000"/>
              <w:right w:val="single" w:sz="12" w:space="0" w:color="000000"/>
            </w:tcBorders>
            <w:shd w:val="clear" w:color="auto" w:fill="629CD1"/>
          </w:tcPr>
          <w:p>
            <w:pPr>
              <w:pStyle w:val="TableParagraph"/>
              <w:spacing w:before="85"/>
              <w:ind w:left="140" w:right="114"/>
              <w:jc w:val="center"/>
              <w:rPr>
                <w:b/>
                <w:sz w:val="16"/>
              </w:rPr>
            </w:pPr>
            <w:r>
              <w:rPr>
                <w:b/>
                <w:color w:val="FFFFFF"/>
                <w:spacing w:val="-2"/>
                <w:sz w:val="16"/>
              </w:rPr>
              <w:t>Upgrade</w:t>
            </w:r>
          </w:p>
          <w:p>
            <w:pPr>
              <w:pStyle w:val="TableParagraph"/>
              <w:spacing w:line="156" w:lineRule="exact" w:before="92"/>
              <w:ind w:left="138" w:right="114"/>
              <w:jc w:val="center"/>
              <w:rPr>
                <w:b/>
                <w:sz w:val="16"/>
              </w:rPr>
            </w:pPr>
            <w:r>
              <w:rPr>
                <w:b/>
                <w:color w:val="FFFFFF"/>
                <w:spacing w:val="-4"/>
                <w:sz w:val="16"/>
              </w:rPr>
              <w:t>$000</w:t>
            </w:r>
          </w:p>
        </w:tc>
        <w:tc>
          <w:tcPr>
            <w:tcW w:w="1092" w:type="dxa"/>
            <w:tcBorders>
              <w:left w:val="single" w:sz="12" w:space="0" w:color="000000"/>
              <w:bottom w:val="single" w:sz="12" w:space="0" w:color="000000"/>
              <w:right w:val="single" w:sz="12" w:space="0" w:color="000000"/>
            </w:tcBorders>
            <w:shd w:val="clear" w:color="auto" w:fill="629CD1"/>
          </w:tcPr>
          <w:p>
            <w:pPr>
              <w:pStyle w:val="TableParagraph"/>
              <w:spacing w:before="85"/>
              <w:ind w:left="146" w:right="118"/>
              <w:jc w:val="center"/>
              <w:rPr>
                <w:b/>
                <w:sz w:val="16"/>
              </w:rPr>
            </w:pPr>
            <w:r>
              <w:rPr>
                <w:b/>
                <w:color w:val="FFFFFF"/>
                <w:sz w:val="16"/>
              </w:rPr>
              <w:t>New</w:t>
            </w:r>
            <w:r>
              <w:rPr>
                <w:b/>
                <w:color w:val="FFFFFF"/>
                <w:spacing w:val="-1"/>
                <w:sz w:val="16"/>
              </w:rPr>
              <w:t> </w:t>
            </w:r>
            <w:r>
              <w:rPr>
                <w:b/>
                <w:color w:val="FFFFFF"/>
                <w:spacing w:val="-4"/>
                <w:sz w:val="16"/>
              </w:rPr>
              <w:t>Work</w:t>
            </w:r>
          </w:p>
          <w:p>
            <w:pPr>
              <w:pStyle w:val="TableParagraph"/>
              <w:spacing w:line="156" w:lineRule="exact" w:before="92"/>
              <w:ind w:left="144" w:right="118"/>
              <w:jc w:val="center"/>
              <w:rPr>
                <w:b/>
                <w:sz w:val="16"/>
              </w:rPr>
            </w:pPr>
            <w:r>
              <w:rPr>
                <w:b/>
                <w:color w:val="FFFFFF"/>
                <w:spacing w:val="-4"/>
                <w:sz w:val="16"/>
              </w:rPr>
              <w:t>$000</w:t>
            </w:r>
          </w:p>
        </w:tc>
        <w:tc>
          <w:tcPr>
            <w:tcW w:w="1162" w:type="dxa"/>
            <w:tcBorders>
              <w:left w:val="single" w:sz="12" w:space="0" w:color="000000"/>
              <w:bottom w:val="single" w:sz="12" w:space="0" w:color="000000"/>
              <w:right w:val="single" w:sz="12" w:space="0" w:color="000000"/>
            </w:tcBorders>
            <w:shd w:val="clear" w:color="auto" w:fill="629CD1"/>
          </w:tcPr>
          <w:p>
            <w:pPr>
              <w:pStyle w:val="TableParagraph"/>
              <w:ind w:left="116" w:firstLine="271"/>
              <w:rPr>
                <w:b/>
                <w:sz w:val="16"/>
              </w:rPr>
            </w:pPr>
            <w:r>
              <w:rPr>
                <w:b/>
                <w:color w:val="FFFFFF"/>
                <w:spacing w:val="-2"/>
                <w:sz w:val="16"/>
              </w:rPr>
              <w:t>Total Expenditure</w:t>
            </w:r>
          </w:p>
          <w:p>
            <w:pPr>
              <w:pStyle w:val="TableParagraph"/>
              <w:spacing w:line="156" w:lineRule="exact"/>
              <w:ind w:left="402"/>
              <w:rPr>
                <w:b/>
                <w:sz w:val="16"/>
              </w:rPr>
            </w:pPr>
            <w:r>
              <w:rPr>
                <w:b/>
                <w:color w:val="FFFFFF"/>
                <w:spacing w:val="-4"/>
                <w:sz w:val="16"/>
              </w:rPr>
              <w:t>$000</w:t>
            </w:r>
          </w:p>
        </w:tc>
        <w:tc>
          <w:tcPr>
            <w:tcW w:w="1162" w:type="dxa"/>
            <w:tcBorders>
              <w:left w:val="single" w:sz="12" w:space="0" w:color="000000"/>
              <w:bottom w:val="single" w:sz="12" w:space="0" w:color="000000"/>
              <w:right w:val="single" w:sz="12" w:space="0" w:color="000000"/>
            </w:tcBorders>
            <w:shd w:val="clear" w:color="auto" w:fill="629CD1"/>
          </w:tcPr>
          <w:p>
            <w:pPr>
              <w:pStyle w:val="TableParagraph"/>
              <w:ind w:left="116" w:firstLine="271"/>
              <w:rPr>
                <w:b/>
                <w:sz w:val="16"/>
              </w:rPr>
            </w:pPr>
            <w:r>
              <w:rPr>
                <w:b/>
                <w:color w:val="FFFFFF"/>
                <w:spacing w:val="-2"/>
                <w:sz w:val="16"/>
              </w:rPr>
              <w:t>Total Expenditure</w:t>
            </w:r>
          </w:p>
          <w:p>
            <w:pPr>
              <w:pStyle w:val="TableParagraph"/>
              <w:spacing w:line="156" w:lineRule="exact"/>
              <w:ind w:left="402"/>
              <w:rPr>
                <w:b/>
                <w:sz w:val="16"/>
              </w:rPr>
            </w:pPr>
            <w:r>
              <w:rPr>
                <w:b/>
                <w:color w:val="FFFFFF"/>
                <w:spacing w:val="-4"/>
                <w:sz w:val="16"/>
              </w:rPr>
              <w:t>$000</w:t>
            </w:r>
          </w:p>
        </w:tc>
        <w:tc>
          <w:tcPr>
            <w:tcW w:w="1246" w:type="dxa"/>
            <w:tcBorders>
              <w:left w:val="single" w:sz="12" w:space="0" w:color="000000"/>
              <w:bottom w:val="single" w:sz="12" w:space="0" w:color="000000"/>
              <w:right w:val="single" w:sz="12" w:space="0" w:color="000000"/>
            </w:tcBorders>
            <w:shd w:val="clear" w:color="auto" w:fill="629CD1"/>
          </w:tcPr>
          <w:p>
            <w:pPr>
              <w:pStyle w:val="TableParagraph"/>
              <w:ind w:left="159" w:right="128" w:hanging="6"/>
              <w:jc w:val="center"/>
              <w:rPr>
                <w:b/>
                <w:sz w:val="16"/>
              </w:rPr>
            </w:pPr>
            <w:r>
              <w:rPr>
                <w:b/>
                <w:color w:val="FFFFFF"/>
                <w:spacing w:val="-2"/>
                <w:sz w:val="16"/>
              </w:rPr>
              <w:t>Total Expenditure</w:t>
            </w:r>
          </w:p>
          <w:p>
            <w:pPr>
              <w:pStyle w:val="TableParagraph"/>
              <w:spacing w:line="156" w:lineRule="exact"/>
              <w:ind w:left="134" w:right="110"/>
              <w:jc w:val="center"/>
              <w:rPr>
                <w:b/>
                <w:sz w:val="16"/>
              </w:rPr>
            </w:pPr>
            <w:r>
              <w:rPr>
                <w:b/>
                <w:color w:val="FFFFFF"/>
                <w:spacing w:val="-4"/>
                <w:sz w:val="16"/>
              </w:rPr>
              <w:t>$000</w:t>
            </w:r>
          </w:p>
        </w:tc>
      </w:tr>
      <w:tr>
        <w:trPr>
          <w:trHeight w:val="288" w:hRule="atLeast"/>
        </w:trPr>
        <w:tc>
          <w:tcPr>
            <w:tcW w:w="4219" w:type="dxa"/>
            <w:tcBorders>
              <w:top w:val="single" w:sz="12" w:space="0" w:color="000000"/>
              <w:left w:val="single" w:sz="12" w:space="0" w:color="000000"/>
              <w:bottom w:val="dashed" w:sz="4" w:space="0" w:color="000000"/>
              <w:right w:val="single" w:sz="12" w:space="0" w:color="000000"/>
            </w:tcBorders>
          </w:tcPr>
          <w:p>
            <w:pPr>
              <w:pStyle w:val="TableParagraph"/>
              <w:spacing w:line="268" w:lineRule="exact"/>
              <w:ind w:left="107"/>
              <w:rPr>
                <w:b/>
                <w:sz w:val="28"/>
              </w:rPr>
            </w:pPr>
            <w:r>
              <w:rPr>
                <w:b/>
                <w:sz w:val="28"/>
              </w:rPr>
              <w:t>PLANT</w:t>
            </w:r>
            <w:r>
              <w:rPr>
                <w:b/>
                <w:spacing w:val="-3"/>
                <w:sz w:val="28"/>
              </w:rPr>
              <w:t> </w:t>
            </w:r>
            <w:r>
              <w:rPr>
                <w:b/>
                <w:sz w:val="28"/>
              </w:rPr>
              <w:t>AND</w:t>
            </w:r>
            <w:r>
              <w:rPr>
                <w:b/>
                <w:spacing w:val="-3"/>
                <w:sz w:val="28"/>
              </w:rPr>
              <w:t> </w:t>
            </w:r>
            <w:r>
              <w:rPr>
                <w:b/>
                <w:spacing w:val="-2"/>
                <w:sz w:val="28"/>
              </w:rPr>
              <w:t>EQUIPMENT</w:t>
            </w:r>
          </w:p>
        </w:tc>
        <w:tc>
          <w:tcPr>
            <w:tcW w:w="7582" w:type="dxa"/>
            <w:gridSpan w:val="7"/>
            <w:tcBorders>
              <w:left w:val="single" w:sz="12" w:space="0" w:color="000000"/>
              <w:bottom w:val="single" w:sz="24" w:space="0" w:color="000000"/>
              <w:right w:val="single" w:sz="12" w:space="0" w:color="000000"/>
            </w:tcBorders>
          </w:tcPr>
          <w:p>
            <w:pPr>
              <w:pStyle w:val="TableParagraph"/>
              <w:spacing w:before="10"/>
              <w:rPr>
                <w:b/>
                <w:sz w:val="3"/>
              </w:rPr>
            </w:pPr>
          </w:p>
          <w:p>
            <w:pPr>
              <w:pStyle w:val="TableParagraph"/>
              <w:tabs>
                <w:tab w:pos="2231" w:val="left" w:leader="none"/>
                <w:tab w:pos="3328" w:val="left" w:leader="none"/>
                <w:tab w:pos="4425" w:val="left" w:leader="none"/>
                <w:tab w:pos="5524" w:val="left" w:leader="none"/>
                <w:tab w:pos="6484" w:val="left" w:leader="none"/>
              </w:tabs>
              <w:spacing w:line="192" w:lineRule="exact"/>
              <w:ind w:left="1134"/>
              <w:rPr>
                <w:sz w:val="19"/>
              </w:rPr>
            </w:pPr>
            <w:r>
              <w:rPr>
                <w:position w:val="-3"/>
                <w:sz w:val="19"/>
              </w:rPr>
              <w:pict>
                <v:group style="width:.5pt;height:9.6pt;mso-position-horizontal-relative:char;mso-position-vertical-relative:line" id="docshapegroup554" coordorigin="0,0" coordsize="10,192">
                  <v:shape style="position:absolute;left:0;top:0;width:10;height:192" id="docshape555" coordorigin="0,0" coordsize="10,192"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556" coordorigin="0,0" coordsize="10,192">
                  <v:shape style="position:absolute;left:0;top:0;width:10;height:192" id="docshape557" coordorigin="0,0" coordsize="10,192"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558" coordorigin="0,0" coordsize="10,192">
                  <v:shape style="position:absolute;left:-1;top:0;width:10;height:192" id="docshape559" coordorigin="0,0" coordsize="10,192"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560" coordorigin="0,0" coordsize="10,192">
                  <v:shape style="position:absolute;left:0;top:0;width:10;height:192" id="docshape561" coordorigin="0,0" coordsize="10,192"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562" coordorigin="0,0" coordsize="10,192">
                  <v:shape style="position:absolute;left:0;top:0;width:10;height:192" id="docshape563" coordorigin="0,0" coordsize="10,192" path="m10,154l0,154,0,192,10,192,10,154xm10,77l0,77,0,115,10,115,10,77xm10,0l0,0,0,38,10,38,10,0xe" filled="true" fillcolor="#000000" stroked="false">
                    <v:path arrowok="t"/>
                    <v:fill type="solid"/>
                  </v:shape>
                </v:group>
              </w:pict>
            </w:r>
            <w:r>
              <w:rPr>
                <w:position w:val="-3"/>
                <w:sz w:val="19"/>
              </w:rPr>
            </w:r>
            <w:r>
              <w:rPr>
                <w:position w:val="-3"/>
                <w:sz w:val="19"/>
              </w:rPr>
              <w:tab/>
            </w:r>
            <w:r>
              <w:rPr>
                <w:position w:val="-3"/>
                <w:sz w:val="19"/>
              </w:rPr>
              <w:pict>
                <v:group style="width:.5pt;height:9.6pt;mso-position-horizontal-relative:char;mso-position-vertical-relative:line" id="docshapegroup564" coordorigin="0,0" coordsize="10,192">
                  <v:shape style="position:absolute;left:0;top:0;width:10;height:192" id="docshape565" coordorigin="0,0" coordsize="10,192" path="m10,154l0,154,0,192,10,192,10,154xm10,77l0,77,0,115,10,115,10,77xm10,0l0,0,0,38,10,38,10,0xe" filled="true" fillcolor="#000000" stroked="false">
                    <v:path arrowok="t"/>
                    <v:fill type="solid"/>
                  </v:shape>
                </v:group>
              </w:pict>
            </w:r>
            <w:r>
              <w:rPr>
                <w:position w:val="-3"/>
                <w:sz w:val="19"/>
              </w:rPr>
            </w:r>
          </w:p>
        </w:tc>
        <w:tc>
          <w:tcPr>
            <w:tcW w:w="1162" w:type="dxa"/>
            <w:tcBorders>
              <w:top w:val="single" w:sz="12"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162" w:type="dxa"/>
            <w:tcBorders>
              <w:top w:val="single" w:sz="12"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46" w:type="dxa"/>
            <w:tcBorders>
              <w:top w:val="single" w:sz="12" w:space="0" w:color="000000"/>
              <w:left w:val="single" w:sz="12" w:space="0" w:color="000000"/>
              <w:bottom w:val="dashed" w:sz="4" w:space="0" w:color="000000"/>
              <w:right w:val="single" w:sz="12" w:space="0" w:color="000000"/>
            </w:tcBorders>
          </w:tcPr>
          <w:p>
            <w:pPr>
              <w:pStyle w:val="TableParagraph"/>
              <w:rPr>
                <w:rFonts w:ascii="Times New Roman"/>
                <w:sz w:val="18"/>
              </w:rPr>
            </w:pPr>
          </w:p>
        </w:tc>
      </w:tr>
      <w:tr>
        <w:trPr>
          <w:trHeight w:val="463" w:hRule="atLeast"/>
        </w:trPr>
        <w:tc>
          <w:tcPr>
            <w:tcW w:w="4219" w:type="dxa"/>
            <w:tcBorders>
              <w:top w:val="dashed" w:sz="4" w:space="0" w:color="000000"/>
              <w:left w:val="single" w:sz="12" w:space="0" w:color="000000"/>
              <w:bottom w:val="dashSmallGap" w:sz="4" w:space="0" w:color="000000"/>
              <w:right w:val="single" w:sz="12" w:space="0" w:color="000000"/>
            </w:tcBorders>
          </w:tcPr>
          <w:p>
            <w:pPr>
              <w:pStyle w:val="TableParagraph"/>
              <w:spacing w:line="228" w:lineRule="exact"/>
              <w:ind w:left="107"/>
              <w:rPr>
                <w:b/>
                <w:sz w:val="22"/>
              </w:rPr>
            </w:pPr>
            <w:r>
              <w:rPr>
                <w:b/>
                <w:sz w:val="22"/>
              </w:rPr>
              <w:t>FIXTURES,</w:t>
            </w:r>
            <w:r>
              <w:rPr>
                <w:b/>
                <w:spacing w:val="-5"/>
                <w:sz w:val="22"/>
              </w:rPr>
              <w:t> </w:t>
            </w:r>
            <w:r>
              <w:rPr>
                <w:b/>
                <w:sz w:val="22"/>
              </w:rPr>
              <w:t>FITTINGS</w:t>
            </w:r>
            <w:r>
              <w:rPr>
                <w:b/>
                <w:spacing w:val="-6"/>
                <w:sz w:val="22"/>
              </w:rPr>
              <w:t> </w:t>
            </w:r>
            <w:r>
              <w:rPr>
                <w:b/>
                <w:spacing w:val="-5"/>
                <w:sz w:val="22"/>
              </w:rPr>
              <w:t>AND</w:t>
            </w:r>
          </w:p>
          <w:p>
            <w:pPr>
              <w:pStyle w:val="TableParagraph"/>
              <w:spacing w:line="214" w:lineRule="exact" w:before="1"/>
              <w:ind w:left="107"/>
              <w:rPr>
                <w:b/>
                <w:sz w:val="22"/>
              </w:rPr>
            </w:pPr>
            <w:r>
              <w:rPr>
                <w:b/>
                <w:spacing w:val="-2"/>
                <w:sz w:val="22"/>
              </w:rPr>
              <w:t>FURNITURE</w:t>
            </w:r>
          </w:p>
        </w:tc>
        <w:tc>
          <w:tcPr>
            <w:tcW w:w="7582" w:type="dxa"/>
            <w:gridSpan w:val="7"/>
            <w:tcBorders>
              <w:top w:val="single" w:sz="24" w:space="0" w:color="000000"/>
              <w:left w:val="single" w:sz="12" w:space="0" w:color="000000"/>
              <w:right w:val="single" w:sz="12" w:space="0" w:color="000000"/>
            </w:tcBorders>
          </w:tcPr>
          <w:p>
            <w:pPr>
              <w:pStyle w:val="TableParagraph"/>
              <w:spacing w:before="11"/>
              <w:rPr>
                <w:b/>
                <w:sz w:val="6"/>
              </w:rPr>
            </w:pPr>
          </w:p>
          <w:p>
            <w:pPr>
              <w:pStyle w:val="TableParagraph"/>
              <w:tabs>
                <w:tab w:pos="2231" w:val="left" w:leader="none"/>
                <w:tab w:pos="3328" w:val="left" w:leader="none"/>
                <w:tab w:pos="4425" w:val="left" w:leader="none"/>
                <w:tab w:pos="5524" w:val="left" w:leader="none"/>
                <w:tab w:pos="6484" w:val="left" w:leader="none"/>
              </w:tabs>
              <w:ind w:left="1134"/>
              <w:rPr>
                <w:sz w:val="20"/>
              </w:rPr>
            </w:pPr>
            <w:r>
              <w:rPr>
                <w:sz w:val="20"/>
              </w:rPr>
              <w:pict>
                <v:group style="width:.5pt;height:17.3pt;mso-position-horizontal-relative:char;mso-position-vertical-relative:line" id="docshapegroup566" coordorigin="0,0" coordsize="10,346">
                  <v:shape style="position:absolute;left:0;top:0;width:10;height:346" id="docshape567" coordorigin="0,0" coordsize="10,346" path="m10,307l0,307,0,346,10,346,10,307xm10,230l0,230,0,269,10,269,10,230xm10,154l0,154,0,192,10,192,10,154xm10,77l0,77,0,115,10,115,10,77xm10,0l0,0,0,38,10,38,10,0xe" filled="true" fillcolor="#000000" stroked="false">
                    <v:path arrowok="t"/>
                    <v:fill type="solid"/>
                  </v:shape>
                </v:group>
              </w:pict>
            </w:r>
            <w:r>
              <w:rPr>
                <w:sz w:val="20"/>
              </w:rPr>
            </w:r>
            <w:r>
              <w:rPr>
                <w:sz w:val="20"/>
              </w:rPr>
              <w:tab/>
            </w:r>
            <w:r>
              <w:rPr>
                <w:sz w:val="20"/>
              </w:rPr>
              <w:pict>
                <v:group style="width:.5pt;height:17.3pt;mso-position-horizontal-relative:char;mso-position-vertical-relative:line" id="docshapegroup568" coordorigin="0,0" coordsize="10,346">
                  <v:shape style="position:absolute;left:0;top:0;width:10;height:346" id="docshape569" coordorigin="0,0" coordsize="10,346" path="m10,307l0,307,0,346,10,346,10,307xm10,230l0,230,0,269,10,269,10,230xm10,154l0,154,0,192,10,192,10,154xm10,77l0,77,0,115,10,115,10,77xm10,0l0,0,0,38,10,38,10,0xe" filled="true" fillcolor="#000000" stroked="false">
                    <v:path arrowok="t"/>
                    <v:fill type="solid"/>
                  </v:shape>
                </v:group>
              </w:pict>
            </w:r>
            <w:r>
              <w:rPr>
                <w:sz w:val="20"/>
              </w:rPr>
            </w:r>
            <w:r>
              <w:rPr>
                <w:sz w:val="20"/>
              </w:rPr>
              <w:tab/>
            </w:r>
            <w:r>
              <w:rPr>
                <w:sz w:val="20"/>
              </w:rPr>
              <w:pict>
                <v:group style="width:.5pt;height:17.3pt;mso-position-horizontal-relative:char;mso-position-vertical-relative:line" id="docshapegroup570" coordorigin="0,0" coordsize="10,346">
                  <v:shape style="position:absolute;left:-1;top:0;width:10;height:346" id="docshape571" coordorigin="0,0" coordsize="10,346" path="m10,307l0,307,0,346,10,346,10,307xm10,230l0,230,0,269,10,269,10,230xm10,154l0,154,0,192,10,192,10,154xm10,77l0,77,0,115,10,115,10,77xm10,0l0,0,0,38,10,38,10,0xe" filled="true" fillcolor="#000000" stroked="false">
                    <v:path arrowok="t"/>
                    <v:fill type="solid"/>
                  </v:shape>
                </v:group>
              </w:pict>
            </w:r>
            <w:r>
              <w:rPr>
                <w:sz w:val="20"/>
              </w:rPr>
            </w:r>
            <w:r>
              <w:rPr>
                <w:sz w:val="20"/>
              </w:rPr>
              <w:tab/>
            </w:r>
            <w:r>
              <w:rPr>
                <w:sz w:val="20"/>
              </w:rPr>
              <w:pict>
                <v:group style="width:.5pt;height:17.3pt;mso-position-horizontal-relative:char;mso-position-vertical-relative:line" id="docshapegroup572" coordorigin="0,0" coordsize="10,346">
                  <v:shape style="position:absolute;left:0;top:0;width:10;height:346" id="docshape573" coordorigin="0,0" coordsize="10,346" path="m10,307l0,307,0,346,10,346,10,307xm10,230l0,230,0,269,10,269,10,230xm10,154l0,154,0,192,10,192,10,154xm10,77l0,77,0,115,10,115,10,77xm10,0l0,0,0,38,10,38,10,0xe" filled="true" fillcolor="#000000" stroked="false">
                    <v:path arrowok="t"/>
                    <v:fill type="solid"/>
                  </v:shape>
                </v:group>
              </w:pict>
            </w:r>
            <w:r>
              <w:rPr>
                <w:sz w:val="20"/>
              </w:rPr>
            </w:r>
            <w:r>
              <w:rPr>
                <w:sz w:val="20"/>
              </w:rPr>
              <w:tab/>
            </w:r>
            <w:r>
              <w:rPr>
                <w:sz w:val="20"/>
              </w:rPr>
              <w:pict>
                <v:group style="width:.5pt;height:17.3pt;mso-position-horizontal-relative:char;mso-position-vertical-relative:line" id="docshapegroup574" coordorigin="0,0" coordsize="10,346">
                  <v:shape style="position:absolute;left:0;top:0;width:10;height:346" id="docshape575" coordorigin="0,0" coordsize="10,346" path="m10,307l0,307,0,346,10,346,10,307xm10,230l0,230,0,269,10,269,10,230xm10,154l0,154,0,192,10,192,10,154xm10,77l0,77,0,115,10,115,10,77xm10,0l0,0,0,38,10,38,10,0xe" filled="true" fillcolor="#000000" stroked="false">
                    <v:path arrowok="t"/>
                    <v:fill type="solid"/>
                  </v:shape>
                </v:group>
              </w:pict>
            </w:r>
            <w:r>
              <w:rPr>
                <w:sz w:val="20"/>
              </w:rPr>
            </w:r>
            <w:r>
              <w:rPr>
                <w:sz w:val="20"/>
              </w:rPr>
              <w:tab/>
            </w:r>
            <w:r>
              <w:rPr>
                <w:sz w:val="20"/>
              </w:rPr>
              <w:pict>
                <v:group style="width:.5pt;height:17.3pt;mso-position-horizontal-relative:char;mso-position-vertical-relative:line" id="docshapegroup576" coordorigin="0,0" coordsize="10,346">
                  <v:shape style="position:absolute;left:0;top:0;width:10;height:346" id="docshape577" coordorigin="0,0" coordsize="10,346" path="m10,307l0,307,0,346,10,346,10,307xm10,230l0,230,0,269,10,269,10,230xm10,154l0,154,0,192,10,192,10,154xm10,77l0,77,0,115,10,115,10,77xm10,0l0,0,0,38,10,38,10,0xe" filled="true" fillcolor="#000000" stroked="false">
                    <v:path arrowok="t"/>
                    <v:fill type="solid"/>
                  </v:shape>
                </v:group>
              </w:pict>
            </w:r>
            <w:r>
              <w:rPr>
                <w:sz w:val="20"/>
              </w:rPr>
            </w:r>
          </w:p>
        </w:tc>
        <w:tc>
          <w:tcPr>
            <w:tcW w:w="1162"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162"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46"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r>
      <w:tr>
        <w:trPr>
          <w:trHeight w:val="461" w:hRule="atLeast"/>
        </w:trPr>
        <w:tc>
          <w:tcPr>
            <w:tcW w:w="4219" w:type="dxa"/>
            <w:tcBorders>
              <w:top w:val="dashSmallGap" w:sz="4" w:space="0" w:color="000000"/>
              <w:left w:val="single" w:sz="12" w:space="0" w:color="000000"/>
              <w:bottom w:val="dashed" w:sz="4" w:space="0" w:color="000000"/>
              <w:right w:val="single" w:sz="12" w:space="0" w:color="000000"/>
            </w:tcBorders>
          </w:tcPr>
          <w:p>
            <w:pPr>
              <w:pStyle w:val="TableParagraph"/>
              <w:spacing w:line="210" w:lineRule="atLeast" w:before="21"/>
              <w:ind w:left="107"/>
              <w:rPr>
                <w:sz w:val="18"/>
              </w:rPr>
            </w:pPr>
            <w:r>
              <w:rPr>
                <w:sz w:val="18"/>
              </w:rPr>
              <w:t>Karralyka</w:t>
            </w:r>
            <w:r>
              <w:rPr>
                <w:spacing w:val="-9"/>
                <w:sz w:val="18"/>
              </w:rPr>
              <w:t> </w:t>
            </w:r>
            <w:r>
              <w:rPr>
                <w:sz w:val="18"/>
              </w:rPr>
              <w:t>and</w:t>
            </w:r>
            <w:r>
              <w:rPr>
                <w:spacing w:val="-8"/>
                <w:sz w:val="18"/>
              </w:rPr>
              <w:t> </w:t>
            </w:r>
            <w:r>
              <w:rPr>
                <w:sz w:val="18"/>
              </w:rPr>
              <w:t>Federation</w:t>
            </w:r>
            <w:r>
              <w:rPr>
                <w:spacing w:val="-6"/>
                <w:sz w:val="18"/>
              </w:rPr>
              <w:t> </w:t>
            </w:r>
            <w:r>
              <w:rPr>
                <w:sz w:val="18"/>
              </w:rPr>
              <w:t>Estate</w:t>
            </w:r>
            <w:r>
              <w:rPr>
                <w:spacing w:val="-6"/>
                <w:sz w:val="18"/>
              </w:rPr>
              <w:t> </w:t>
            </w:r>
            <w:r>
              <w:rPr>
                <w:sz w:val="18"/>
              </w:rPr>
              <w:t>-</w:t>
            </w:r>
            <w:r>
              <w:rPr>
                <w:spacing w:val="-7"/>
                <w:sz w:val="18"/>
              </w:rPr>
              <w:t> </w:t>
            </w:r>
            <w:r>
              <w:rPr>
                <w:sz w:val="18"/>
              </w:rPr>
              <w:t>Renew </w:t>
            </w:r>
            <w:r>
              <w:rPr>
                <w:spacing w:val="-2"/>
                <w:sz w:val="18"/>
              </w:rPr>
              <w:t>Equipment</w:t>
            </w:r>
          </w:p>
        </w:tc>
        <w:tc>
          <w:tcPr>
            <w:tcW w:w="1140" w:type="dxa"/>
            <w:tcBorders>
              <w:top w:val="dashSmallGap" w:sz="4" w:space="0" w:color="000000"/>
              <w:left w:val="single" w:sz="12" w:space="0" w:color="000000"/>
              <w:bottom w:val="dashed" w:sz="4" w:space="0" w:color="000000"/>
              <w:right w:val="nil"/>
            </w:tcBorders>
          </w:tcPr>
          <w:p>
            <w:pPr>
              <w:pStyle w:val="TableParagraph"/>
              <w:spacing w:before="116"/>
              <w:ind w:right="75"/>
              <w:jc w:val="right"/>
              <w:rPr>
                <w:sz w:val="18"/>
              </w:rPr>
            </w:pPr>
            <w:r>
              <w:rPr>
                <w:spacing w:val="-5"/>
                <w:sz w:val="18"/>
              </w:rPr>
              <w:t>85</w:t>
            </w:r>
          </w:p>
        </w:tc>
        <w:tc>
          <w:tcPr>
            <w:tcW w:w="1097" w:type="dxa"/>
            <w:tcBorders>
              <w:top w:val="dashSmallGap" w:sz="4" w:space="0" w:color="000000"/>
              <w:left w:val="nil"/>
              <w:bottom w:val="dashSmallGap" w:sz="4" w:space="0" w:color="000000"/>
              <w:right w:val="nil"/>
            </w:tcBorders>
          </w:tcPr>
          <w:p>
            <w:pPr>
              <w:pStyle w:val="TableParagraph"/>
              <w:spacing w:before="116"/>
              <w:ind w:right="90"/>
              <w:jc w:val="right"/>
              <w:rPr>
                <w:sz w:val="18"/>
              </w:rPr>
            </w:pPr>
            <w:r>
              <w:rPr>
                <w:spacing w:val="-5"/>
                <w:sz w:val="18"/>
              </w:rPr>
              <w:t>85</w:t>
            </w:r>
          </w:p>
        </w:tc>
        <w:tc>
          <w:tcPr>
            <w:tcW w:w="1097" w:type="dxa"/>
            <w:tcBorders>
              <w:top w:val="dashSmallGap" w:sz="4" w:space="0" w:color="000000"/>
              <w:left w:val="nil"/>
              <w:bottom w:val="dashSmallGap" w:sz="4" w:space="0" w:color="000000"/>
              <w:right w:val="nil"/>
            </w:tcBorders>
          </w:tcPr>
          <w:p>
            <w:pPr>
              <w:pStyle w:val="TableParagraph"/>
              <w:spacing w:before="8"/>
              <w:rPr>
                <w:b/>
                <w:sz w:val="2"/>
              </w:rPr>
            </w:pPr>
          </w:p>
          <w:p>
            <w:pPr>
              <w:pStyle w:val="TableParagraph"/>
              <w:tabs>
                <w:tab w:pos="1106" w:val="left" w:leader="none"/>
              </w:tabs>
              <w:ind w:left="9" w:right="-87"/>
              <w:rPr>
                <w:sz w:val="20"/>
              </w:rPr>
            </w:pPr>
            <w:r>
              <w:rPr>
                <w:sz w:val="20"/>
              </w:rPr>
              <w:pict>
                <v:group style="width:.5pt;height:17.3pt;mso-position-horizontal-relative:char;mso-position-vertical-relative:line" id="docshapegroup578" coordorigin="0,0" coordsize="10,346">
                  <v:shape style="position:absolute;left:0;top:0;width:10;height:346" id="docshape579" coordorigin="0,0" coordsize="10,346" path="m10,307l0,307,0,346,10,346,10,307xm10,230l0,230,0,269,10,269,10,230xm10,154l0,154,0,192,10,192,10,154xm10,77l0,77,0,115,10,115,10,77xm10,0l0,0,0,38,10,38,10,0xe" filled="true" fillcolor="#000000" stroked="false">
                    <v:path arrowok="t"/>
                    <v:fill type="solid"/>
                  </v:shape>
                </v:group>
              </w:pict>
            </w:r>
            <w:r>
              <w:rPr>
                <w:sz w:val="20"/>
              </w:rPr>
            </w:r>
            <w:r>
              <w:rPr>
                <w:sz w:val="20"/>
              </w:rPr>
              <w:tab/>
            </w:r>
            <w:r>
              <w:rPr>
                <w:sz w:val="20"/>
              </w:rPr>
              <w:pict>
                <v:group style="width:.5pt;height:17.3pt;mso-position-horizontal-relative:char;mso-position-vertical-relative:line" id="docshapegroup580" coordorigin="0,0" coordsize="10,346">
                  <v:shape style="position:absolute;left:-1;top:0;width:10;height:346" id="docshape581" coordorigin="0,0" coordsize="10,346" path="m10,307l0,307,0,346,10,346,10,307xm10,230l0,230,0,269,10,269,10,230xm10,154l0,154,0,192,10,192,10,154xm10,77l0,77,0,115,10,115,10,77xm10,0l0,0,0,38,10,38,10,0xe" filled="true" fillcolor="#000000" stroked="false">
                    <v:path arrowok="t"/>
                    <v:fill type="solid"/>
                  </v:shape>
                </v:group>
              </w:pict>
            </w:r>
            <w:r>
              <w:rPr>
                <w:sz w:val="20"/>
              </w:rPr>
            </w:r>
          </w:p>
        </w:tc>
        <w:tc>
          <w:tcPr>
            <w:tcW w:w="1097" w:type="dxa"/>
            <w:tcBorders>
              <w:top w:val="dashed" w:sz="4" w:space="0" w:color="000000"/>
              <w:left w:val="nil"/>
              <w:bottom w:val="dashSmallGap" w:sz="4" w:space="0" w:color="000000"/>
              <w:right w:val="nil"/>
            </w:tcBorders>
          </w:tcPr>
          <w:p>
            <w:pPr>
              <w:pStyle w:val="TableParagraph"/>
              <w:spacing w:before="8"/>
              <w:rPr>
                <w:b/>
                <w:sz w:val="2"/>
              </w:rPr>
            </w:pPr>
          </w:p>
          <w:p>
            <w:pPr>
              <w:pStyle w:val="TableParagraph"/>
              <w:ind w:left="1106" w:right="-87"/>
              <w:rPr>
                <w:sz w:val="20"/>
              </w:rPr>
            </w:pPr>
            <w:r>
              <w:rPr>
                <w:sz w:val="20"/>
              </w:rPr>
              <w:pict>
                <v:group style="width:.5pt;height:17.3pt;mso-position-horizontal-relative:char;mso-position-vertical-relative:line" id="docshapegroup582" coordorigin="0,0" coordsize="10,346">
                  <v:shape style="position:absolute;left:0;top:0;width:10;height:346" id="docshape583" coordorigin="0,0" coordsize="10,346" path="m10,307l0,307,0,346,10,346,10,307xm10,230l0,230,0,269,10,269,10,230xm10,154l0,154,0,192,10,192,10,154xm10,77l0,77,0,115,10,115,10,77xm10,0l0,0,0,38,10,38,10,0xe" filled="true" fillcolor="#000000" stroked="false">
                    <v:path arrowok="t"/>
                    <v:fill type="solid"/>
                  </v:shape>
                </v:group>
              </w:pict>
            </w:r>
            <w:r>
              <w:rPr>
                <w:sz w:val="20"/>
              </w:rPr>
            </w:r>
          </w:p>
        </w:tc>
        <w:tc>
          <w:tcPr>
            <w:tcW w:w="1099" w:type="dxa"/>
            <w:tcBorders>
              <w:top w:val="dashed" w:sz="4" w:space="0" w:color="000000"/>
              <w:left w:val="nil"/>
              <w:bottom w:val="dashed" w:sz="4" w:space="0" w:color="000000"/>
              <w:right w:val="nil"/>
            </w:tcBorders>
          </w:tcPr>
          <w:p>
            <w:pPr>
              <w:pStyle w:val="TableParagraph"/>
              <w:spacing w:before="116"/>
              <w:ind w:right="90"/>
              <w:jc w:val="right"/>
              <w:rPr>
                <w:sz w:val="18"/>
              </w:rPr>
            </w:pPr>
            <w:r>
              <w:rPr>
                <w:spacing w:val="-5"/>
                <w:sz w:val="18"/>
              </w:rPr>
              <w:t>43</w:t>
            </w:r>
          </w:p>
        </w:tc>
        <w:tc>
          <w:tcPr>
            <w:tcW w:w="960" w:type="dxa"/>
            <w:tcBorders>
              <w:top w:val="dashed" w:sz="4" w:space="0" w:color="000000"/>
              <w:left w:val="nil"/>
              <w:bottom w:val="dashed" w:sz="4" w:space="0" w:color="000000"/>
              <w:right w:val="nil"/>
            </w:tcBorders>
          </w:tcPr>
          <w:p>
            <w:pPr>
              <w:pStyle w:val="TableParagraph"/>
              <w:spacing w:before="116"/>
              <w:ind w:right="93"/>
              <w:jc w:val="right"/>
              <w:rPr>
                <w:sz w:val="18"/>
              </w:rPr>
            </w:pPr>
            <w:r>
              <w:rPr>
                <w:spacing w:val="-5"/>
                <w:sz w:val="18"/>
              </w:rPr>
              <w:t>43</w:t>
            </w:r>
          </w:p>
        </w:tc>
        <w:tc>
          <w:tcPr>
            <w:tcW w:w="1092" w:type="dxa"/>
            <w:tcBorders>
              <w:top w:val="dashed" w:sz="4" w:space="0" w:color="000000"/>
              <w:left w:val="nil"/>
              <w:bottom w:val="dashed" w:sz="4" w:space="0" w:color="000000"/>
              <w:right w:val="single" w:sz="12" w:space="0" w:color="000000"/>
            </w:tcBorders>
          </w:tcPr>
          <w:p>
            <w:pPr>
              <w:pStyle w:val="TableParagraph"/>
              <w:spacing w:before="8"/>
              <w:rPr>
                <w:b/>
                <w:sz w:val="2"/>
              </w:rPr>
            </w:pPr>
          </w:p>
          <w:p>
            <w:pPr>
              <w:pStyle w:val="TableParagraph"/>
              <w:ind w:left="-6"/>
              <w:rPr>
                <w:sz w:val="20"/>
              </w:rPr>
            </w:pPr>
            <w:r>
              <w:rPr>
                <w:sz w:val="20"/>
              </w:rPr>
              <w:pict>
                <v:group style="width:.5pt;height:17.3pt;mso-position-horizontal-relative:char;mso-position-vertical-relative:line" id="docshapegroup584" coordorigin="0,0" coordsize="10,346">
                  <v:shape style="position:absolute;left:0;top:0;width:10;height:346" id="docshape585" coordorigin="0,0" coordsize="10,346" path="m10,307l0,307,0,346,10,346,10,307xm10,230l0,230,0,269,10,269,10,230xm10,154l0,154,0,192,10,192,10,154xm10,77l0,77,0,115,10,115,10,77xm10,0l0,0,0,38,10,38,10,0xe" filled="true" fillcolor="#000000" stroked="false">
                    <v:path arrowok="t"/>
                    <v:fill type="solid"/>
                  </v:shape>
                </v:group>
              </w:pict>
            </w:r>
            <w:r>
              <w:rPr>
                <w:sz w:val="20"/>
              </w:rPr>
            </w:r>
          </w:p>
        </w:tc>
        <w:tc>
          <w:tcPr>
            <w:tcW w:w="1162" w:type="dxa"/>
            <w:tcBorders>
              <w:top w:val="dashed" w:sz="4" w:space="0" w:color="000000"/>
              <w:left w:val="single" w:sz="12" w:space="0" w:color="000000"/>
              <w:bottom w:val="dashed" w:sz="4" w:space="0" w:color="000000"/>
              <w:right w:val="single" w:sz="12" w:space="0" w:color="000000"/>
            </w:tcBorders>
          </w:tcPr>
          <w:p>
            <w:pPr>
              <w:pStyle w:val="TableParagraph"/>
              <w:spacing w:before="116"/>
              <w:ind w:right="76"/>
              <w:jc w:val="right"/>
              <w:rPr>
                <w:sz w:val="18"/>
              </w:rPr>
            </w:pPr>
            <w:r>
              <w:rPr>
                <w:spacing w:val="-5"/>
                <w:sz w:val="18"/>
              </w:rPr>
              <w:t>90</w:t>
            </w:r>
          </w:p>
        </w:tc>
        <w:tc>
          <w:tcPr>
            <w:tcW w:w="1162" w:type="dxa"/>
            <w:tcBorders>
              <w:top w:val="dashed" w:sz="4" w:space="0" w:color="000000"/>
              <w:left w:val="single" w:sz="12" w:space="0" w:color="000000"/>
              <w:bottom w:val="dashed" w:sz="4" w:space="0" w:color="000000"/>
              <w:right w:val="single" w:sz="12" w:space="0" w:color="000000"/>
            </w:tcBorders>
          </w:tcPr>
          <w:p>
            <w:pPr>
              <w:pStyle w:val="TableParagraph"/>
              <w:spacing w:before="116"/>
              <w:ind w:right="76"/>
              <w:jc w:val="right"/>
              <w:rPr>
                <w:sz w:val="18"/>
              </w:rPr>
            </w:pPr>
            <w:r>
              <w:rPr>
                <w:spacing w:val="-5"/>
                <w:sz w:val="18"/>
              </w:rPr>
              <w:t>90</w:t>
            </w:r>
          </w:p>
        </w:tc>
        <w:tc>
          <w:tcPr>
            <w:tcW w:w="1246" w:type="dxa"/>
            <w:tcBorders>
              <w:top w:val="dashed" w:sz="4" w:space="0" w:color="000000"/>
              <w:left w:val="single" w:sz="12" w:space="0" w:color="000000"/>
              <w:bottom w:val="dashed" w:sz="4" w:space="0" w:color="000000"/>
              <w:right w:val="single" w:sz="12" w:space="0" w:color="000000"/>
            </w:tcBorders>
          </w:tcPr>
          <w:p>
            <w:pPr>
              <w:pStyle w:val="TableParagraph"/>
              <w:spacing w:before="116"/>
              <w:ind w:right="78"/>
              <w:jc w:val="right"/>
              <w:rPr>
                <w:sz w:val="18"/>
              </w:rPr>
            </w:pPr>
            <w:r>
              <w:rPr>
                <w:spacing w:val="-5"/>
                <w:sz w:val="18"/>
              </w:rPr>
              <w:t>90</w:t>
            </w:r>
          </w:p>
        </w:tc>
      </w:tr>
      <w:tr>
        <w:trPr>
          <w:trHeight w:val="232" w:hRule="atLeast"/>
        </w:trPr>
        <w:tc>
          <w:tcPr>
            <w:tcW w:w="4219" w:type="dxa"/>
            <w:tcBorders>
              <w:top w:val="dashed" w:sz="4" w:space="0" w:color="000000"/>
              <w:left w:val="single" w:sz="12" w:space="0" w:color="000000"/>
              <w:bottom w:val="dashed" w:sz="4" w:space="0" w:color="000000"/>
              <w:right w:val="single" w:sz="12" w:space="0" w:color="000000"/>
            </w:tcBorders>
          </w:tcPr>
          <w:p>
            <w:pPr>
              <w:pStyle w:val="TableParagraph"/>
              <w:spacing w:line="201" w:lineRule="exact" w:before="11"/>
              <w:ind w:left="107"/>
              <w:rPr>
                <w:sz w:val="18"/>
              </w:rPr>
            </w:pPr>
            <w:r>
              <w:rPr>
                <w:sz w:val="18"/>
              </w:rPr>
              <w:t>REALM</w:t>
            </w:r>
            <w:r>
              <w:rPr>
                <w:spacing w:val="1"/>
                <w:sz w:val="18"/>
              </w:rPr>
              <w:t> </w:t>
            </w:r>
            <w:r>
              <w:rPr>
                <w:sz w:val="18"/>
              </w:rPr>
              <w:t>Furniture</w:t>
            </w:r>
            <w:r>
              <w:rPr>
                <w:spacing w:val="-3"/>
                <w:sz w:val="18"/>
              </w:rPr>
              <w:t> </w:t>
            </w:r>
            <w:r>
              <w:rPr>
                <w:sz w:val="18"/>
              </w:rPr>
              <w:t>and</w:t>
            </w:r>
            <w:r>
              <w:rPr>
                <w:spacing w:val="1"/>
                <w:sz w:val="18"/>
              </w:rPr>
              <w:t> </w:t>
            </w:r>
            <w:r>
              <w:rPr>
                <w:spacing w:val="-2"/>
                <w:sz w:val="18"/>
              </w:rPr>
              <w:t>Equipment</w:t>
            </w:r>
          </w:p>
        </w:tc>
        <w:tc>
          <w:tcPr>
            <w:tcW w:w="1140" w:type="dxa"/>
            <w:tcBorders>
              <w:top w:val="dashed" w:sz="4" w:space="0" w:color="000000"/>
              <w:left w:val="single" w:sz="12" w:space="0" w:color="000000"/>
              <w:bottom w:val="dashed" w:sz="4" w:space="0" w:color="000000"/>
              <w:right w:val="nil"/>
            </w:tcBorders>
          </w:tcPr>
          <w:p>
            <w:pPr>
              <w:pStyle w:val="TableParagraph"/>
              <w:spacing w:line="201" w:lineRule="exact" w:before="11"/>
              <w:ind w:right="74"/>
              <w:jc w:val="right"/>
              <w:rPr>
                <w:sz w:val="18"/>
              </w:rPr>
            </w:pPr>
            <w:r>
              <w:rPr>
                <w:spacing w:val="-5"/>
                <w:sz w:val="18"/>
              </w:rPr>
              <w:t>50</w:t>
            </w:r>
          </w:p>
        </w:tc>
        <w:tc>
          <w:tcPr>
            <w:tcW w:w="1097" w:type="dxa"/>
            <w:tcBorders>
              <w:top w:val="dashSmallGap" w:sz="4" w:space="0" w:color="000000"/>
              <w:left w:val="nil"/>
              <w:bottom w:val="dashSmallGap" w:sz="4" w:space="0" w:color="000000"/>
              <w:right w:val="nil"/>
            </w:tcBorders>
          </w:tcPr>
          <w:p>
            <w:pPr>
              <w:pStyle w:val="TableParagraph"/>
              <w:spacing w:line="201" w:lineRule="exact" w:before="11"/>
              <w:ind w:right="90"/>
              <w:jc w:val="right"/>
              <w:rPr>
                <w:sz w:val="18"/>
              </w:rPr>
            </w:pPr>
            <w:r>
              <w:rPr>
                <w:spacing w:val="-5"/>
                <w:sz w:val="18"/>
              </w:rPr>
              <w:t>50</w:t>
            </w:r>
          </w:p>
        </w:tc>
        <w:tc>
          <w:tcPr>
            <w:tcW w:w="1097" w:type="dxa"/>
            <w:tcBorders>
              <w:top w:val="dashSmallGap" w:sz="4" w:space="0" w:color="000000"/>
              <w:left w:val="nil"/>
              <w:bottom w:val="dashSmallGap" w:sz="4" w:space="0" w:color="000000"/>
              <w:right w:val="nil"/>
            </w:tcBorders>
          </w:tcPr>
          <w:p>
            <w:pPr>
              <w:pStyle w:val="TableParagraph"/>
              <w:spacing w:before="6"/>
              <w:rPr>
                <w:b/>
                <w:sz w:val="8"/>
              </w:rPr>
            </w:pPr>
          </w:p>
          <w:p>
            <w:pPr>
              <w:pStyle w:val="TableParagraph"/>
              <w:tabs>
                <w:tab w:pos="1106" w:val="left" w:leader="none"/>
              </w:tabs>
              <w:spacing w:line="38" w:lineRule="exact"/>
              <w:ind w:left="9" w:right="-87"/>
              <w:rPr>
                <w:sz w:val="3"/>
              </w:rPr>
            </w:pPr>
            <w:r>
              <w:rPr>
                <w:position w:val="0"/>
                <w:sz w:val="3"/>
              </w:rPr>
              <w:pict>
                <v:group style="width:.5pt;height:1.95pt;mso-position-horizontal-relative:char;mso-position-vertical-relative:line" id="docshapegroup586" coordorigin="0,0" coordsize="10,39">
                  <v:rect style="position:absolute;left:0;top:0;width:10;height:39" id="docshape587" filled="true" fillcolor="#000000" stroked="false">
                    <v:fill type="solid"/>
                  </v:rect>
                </v:group>
              </w:pict>
            </w:r>
            <w:r>
              <w:rPr>
                <w:position w:val="0"/>
                <w:sz w:val="3"/>
              </w:rPr>
            </w:r>
            <w:r>
              <w:rPr>
                <w:position w:val="0"/>
                <w:sz w:val="3"/>
              </w:rPr>
              <w:tab/>
            </w:r>
            <w:r>
              <w:rPr>
                <w:position w:val="0"/>
                <w:sz w:val="3"/>
              </w:rPr>
              <w:pict>
                <v:group style="width:.5pt;height:1.95pt;mso-position-horizontal-relative:char;mso-position-vertical-relative:line" id="docshapegroup588" coordorigin="0,0" coordsize="10,39">
                  <v:rect style="position:absolute;left:0;top:0;width:10;height:39" id="docshape589" filled="true" fillcolor="#000000" stroked="false">
                    <v:fill type="solid"/>
                  </v:rect>
                </v:group>
              </w:pict>
            </w:r>
            <w:r>
              <w:rPr>
                <w:position w:val="0"/>
                <w:sz w:val="3"/>
              </w:rPr>
            </w:r>
          </w:p>
        </w:tc>
        <w:tc>
          <w:tcPr>
            <w:tcW w:w="1097" w:type="dxa"/>
            <w:tcBorders>
              <w:top w:val="dashSmallGap" w:sz="4" w:space="0" w:color="000000"/>
              <w:left w:val="nil"/>
              <w:bottom w:val="dashSmallGap" w:sz="4" w:space="0" w:color="000000"/>
              <w:right w:val="nil"/>
            </w:tcBorders>
          </w:tcPr>
          <w:p>
            <w:pPr>
              <w:pStyle w:val="TableParagraph"/>
              <w:spacing w:before="6"/>
              <w:rPr>
                <w:b/>
                <w:sz w:val="8"/>
              </w:rPr>
            </w:pPr>
          </w:p>
          <w:p>
            <w:pPr>
              <w:pStyle w:val="TableParagraph"/>
              <w:spacing w:line="38" w:lineRule="exact"/>
              <w:ind w:left="1106" w:right="-87"/>
              <w:rPr>
                <w:sz w:val="3"/>
              </w:rPr>
            </w:pPr>
            <w:r>
              <w:rPr>
                <w:position w:val="0"/>
                <w:sz w:val="3"/>
              </w:rPr>
              <w:pict>
                <v:group style="width:.5pt;height:1.95pt;mso-position-horizontal-relative:char;mso-position-vertical-relative:line" id="docshapegroup590" coordorigin="0,0" coordsize="10,39">
                  <v:rect style="position:absolute;left:0;top:0;width:10;height:39" id="docshape591" filled="true" fillcolor="#000000" stroked="false">
                    <v:fill type="solid"/>
                  </v:rect>
                </v:group>
              </w:pict>
            </w:r>
            <w:r>
              <w:rPr>
                <w:position w:val="0"/>
                <w:sz w:val="3"/>
              </w:rPr>
            </w:r>
          </w:p>
        </w:tc>
        <w:tc>
          <w:tcPr>
            <w:tcW w:w="1099" w:type="dxa"/>
            <w:tcBorders>
              <w:top w:val="dashed" w:sz="4" w:space="0" w:color="000000"/>
              <w:left w:val="nil"/>
              <w:bottom w:val="dashed" w:sz="4" w:space="0" w:color="000000"/>
              <w:right w:val="nil"/>
            </w:tcBorders>
          </w:tcPr>
          <w:p>
            <w:pPr>
              <w:pStyle w:val="TableParagraph"/>
              <w:spacing w:line="201" w:lineRule="exact" w:before="11"/>
              <w:ind w:right="90"/>
              <w:jc w:val="right"/>
              <w:rPr>
                <w:sz w:val="18"/>
              </w:rPr>
            </w:pPr>
            <w:r>
              <w:rPr>
                <w:spacing w:val="-5"/>
                <w:sz w:val="18"/>
              </w:rPr>
              <w:t>50</w:t>
            </w:r>
          </w:p>
        </w:tc>
        <w:tc>
          <w:tcPr>
            <w:tcW w:w="960" w:type="dxa"/>
            <w:tcBorders>
              <w:top w:val="dashed" w:sz="4" w:space="0" w:color="000000"/>
              <w:left w:val="nil"/>
              <w:bottom w:val="dashed" w:sz="4" w:space="0" w:color="000000"/>
              <w:right w:val="nil"/>
            </w:tcBorders>
          </w:tcPr>
          <w:p>
            <w:pPr>
              <w:pStyle w:val="TableParagraph"/>
              <w:spacing w:line="201" w:lineRule="exact" w:before="11"/>
              <w:ind w:right="94"/>
              <w:jc w:val="right"/>
              <w:rPr>
                <w:sz w:val="18"/>
              </w:rPr>
            </w:pPr>
            <w:r>
              <w:rPr>
                <w:sz w:val="18"/>
              </w:rPr>
              <w:t>0</w:t>
            </w:r>
          </w:p>
        </w:tc>
        <w:tc>
          <w:tcPr>
            <w:tcW w:w="1092" w:type="dxa"/>
            <w:tcBorders>
              <w:top w:val="dashed" w:sz="4" w:space="0" w:color="000000"/>
              <w:left w:val="nil"/>
              <w:bottom w:val="dashed" w:sz="4" w:space="0" w:color="000000"/>
              <w:right w:val="single" w:sz="12" w:space="0" w:color="000000"/>
            </w:tcBorders>
          </w:tcPr>
          <w:p>
            <w:pPr>
              <w:pStyle w:val="TableParagraph"/>
              <w:spacing w:before="6"/>
              <w:rPr>
                <w:b/>
                <w:sz w:val="8"/>
              </w:rPr>
            </w:pPr>
          </w:p>
          <w:p>
            <w:pPr>
              <w:pStyle w:val="TableParagraph"/>
              <w:spacing w:line="38" w:lineRule="exact"/>
              <w:ind w:left="-6"/>
              <w:rPr>
                <w:sz w:val="3"/>
              </w:rPr>
            </w:pPr>
            <w:r>
              <w:rPr>
                <w:position w:val="0"/>
                <w:sz w:val="3"/>
              </w:rPr>
              <w:pict>
                <v:group style="width:.5pt;height:1.95pt;mso-position-horizontal-relative:char;mso-position-vertical-relative:line" id="docshapegroup592" coordorigin="0,0" coordsize="10,39">
                  <v:rect style="position:absolute;left:0;top:0;width:10;height:39" id="docshape593" filled="true" fillcolor="#000000" stroked="false">
                    <v:fill type="solid"/>
                  </v:rect>
                </v:group>
              </w:pict>
            </w:r>
            <w:r>
              <w:rPr>
                <w:position w:val="0"/>
                <w:sz w:val="3"/>
              </w:rPr>
            </w:r>
          </w:p>
        </w:tc>
        <w:tc>
          <w:tcPr>
            <w:tcW w:w="1162" w:type="dxa"/>
            <w:tcBorders>
              <w:top w:val="dashed" w:sz="4" w:space="0" w:color="000000"/>
              <w:left w:val="single" w:sz="12" w:space="0" w:color="000000"/>
              <w:bottom w:val="dashed" w:sz="4" w:space="0" w:color="000000"/>
              <w:right w:val="single" w:sz="12" w:space="0" w:color="000000"/>
            </w:tcBorders>
          </w:tcPr>
          <w:p>
            <w:pPr>
              <w:pStyle w:val="TableParagraph"/>
              <w:spacing w:line="201" w:lineRule="exact" w:before="11"/>
              <w:ind w:right="76"/>
              <w:jc w:val="right"/>
              <w:rPr>
                <w:sz w:val="18"/>
              </w:rPr>
            </w:pPr>
            <w:r>
              <w:rPr>
                <w:spacing w:val="-5"/>
                <w:sz w:val="18"/>
              </w:rPr>
              <w:t>70</w:t>
            </w:r>
          </w:p>
        </w:tc>
        <w:tc>
          <w:tcPr>
            <w:tcW w:w="1162" w:type="dxa"/>
            <w:tcBorders>
              <w:top w:val="dashed" w:sz="4" w:space="0" w:color="000000"/>
              <w:left w:val="single" w:sz="12" w:space="0" w:color="000000"/>
              <w:bottom w:val="dashed" w:sz="4" w:space="0" w:color="000000"/>
              <w:right w:val="single" w:sz="12" w:space="0" w:color="000000"/>
            </w:tcBorders>
          </w:tcPr>
          <w:p>
            <w:pPr>
              <w:pStyle w:val="TableParagraph"/>
              <w:spacing w:line="201" w:lineRule="exact" w:before="11"/>
              <w:ind w:right="76"/>
              <w:jc w:val="right"/>
              <w:rPr>
                <w:sz w:val="18"/>
              </w:rPr>
            </w:pPr>
            <w:r>
              <w:rPr>
                <w:spacing w:val="-5"/>
                <w:sz w:val="18"/>
              </w:rPr>
              <w:t>70</w:t>
            </w:r>
          </w:p>
        </w:tc>
        <w:tc>
          <w:tcPr>
            <w:tcW w:w="1246" w:type="dxa"/>
            <w:tcBorders>
              <w:top w:val="dashed" w:sz="4" w:space="0" w:color="000000"/>
              <w:left w:val="single" w:sz="12" w:space="0" w:color="000000"/>
              <w:bottom w:val="dashed" w:sz="4" w:space="0" w:color="000000"/>
              <w:right w:val="single" w:sz="12" w:space="0" w:color="000000"/>
            </w:tcBorders>
          </w:tcPr>
          <w:p>
            <w:pPr>
              <w:pStyle w:val="TableParagraph"/>
              <w:spacing w:line="201" w:lineRule="exact" w:before="11"/>
              <w:ind w:right="78"/>
              <w:jc w:val="right"/>
              <w:rPr>
                <w:sz w:val="18"/>
              </w:rPr>
            </w:pPr>
            <w:r>
              <w:rPr>
                <w:spacing w:val="-5"/>
                <w:sz w:val="18"/>
              </w:rPr>
              <w:t>70</w:t>
            </w:r>
          </w:p>
        </w:tc>
      </w:tr>
      <w:tr>
        <w:trPr>
          <w:trHeight w:val="232" w:hRule="atLeast"/>
        </w:trPr>
        <w:tc>
          <w:tcPr>
            <w:tcW w:w="4219" w:type="dxa"/>
            <w:tcBorders>
              <w:top w:val="dashed" w:sz="4" w:space="0" w:color="000000"/>
              <w:left w:val="single" w:sz="12" w:space="0" w:color="000000"/>
              <w:bottom w:val="dashed" w:sz="4" w:space="0" w:color="000000"/>
              <w:right w:val="single" w:sz="12" w:space="0" w:color="000000"/>
            </w:tcBorders>
          </w:tcPr>
          <w:p>
            <w:pPr>
              <w:pStyle w:val="TableParagraph"/>
              <w:spacing w:line="201" w:lineRule="exact" w:before="11"/>
              <w:ind w:left="107"/>
              <w:rPr>
                <w:sz w:val="18"/>
              </w:rPr>
            </w:pPr>
            <w:r>
              <w:rPr>
                <w:sz w:val="18"/>
              </w:rPr>
              <w:t>Leisure Facilities</w:t>
            </w:r>
            <w:r>
              <w:rPr>
                <w:spacing w:val="-1"/>
                <w:sz w:val="18"/>
              </w:rPr>
              <w:t> </w:t>
            </w:r>
            <w:r>
              <w:rPr>
                <w:sz w:val="18"/>
              </w:rPr>
              <w:t>-</w:t>
            </w:r>
            <w:r>
              <w:rPr>
                <w:spacing w:val="-1"/>
                <w:sz w:val="18"/>
              </w:rPr>
              <w:t> </w:t>
            </w:r>
            <w:r>
              <w:rPr>
                <w:sz w:val="18"/>
              </w:rPr>
              <w:t>Equipment</w:t>
            </w:r>
            <w:r>
              <w:rPr>
                <w:spacing w:val="-3"/>
                <w:sz w:val="18"/>
              </w:rPr>
              <w:t> </w:t>
            </w:r>
            <w:r>
              <w:rPr>
                <w:spacing w:val="-2"/>
                <w:sz w:val="18"/>
              </w:rPr>
              <w:t>Replacement</w:t>
            </w:r>
          </w:p>
        </w:tc>
        <w:tc>
          <w:tcPr>
            <w:tcW w:w="1140" w:type="dxa"/>
            <w:tcBorders>
              <w:top w:val="dashed" w:sz="4" w:space="0" w:color="000000"/>
              <w:left w:val="single" w:sz="12" w:space="0" w:color="000000"/>
              <w:bottom w:val="dashed" w:sz="4" w:space="0" w:color="000000"/>
              <w:right w:val="nil"/>
            </w:tcBorders>
          </w:tcPr>
          <w:p>
            <w:pPr>
              <w:pStyle w:val="TableParagraph"/>
              <w:spacing w:line="201" w:lineRule="exact" w:before="11"/>
              <w:ind w:right="74"/>
              <w:jc w:val="right"/>
              <w:rPr>
                <w:sz w:val="18"/>
              </w:rPr>
            </w:pPr>
            <w:r>
              <w:rPr>
                <w:spacing w:val="-5"/>
                <w:sz w:val="18"/>
              </w:rPr>
              <w:t>600</w:t>
            </w:r>
          </w:p>
        </w:tc>
        <w:tc>
          <w:tcPr>
            <w:tcW w:w="1097" w:type="dxa"/>
            <w:tcBorders>
              <w:top w:val="dashSmallGap" w:sz="4" w:space="0" w:color="000000"/>
              <w:left w:val="nil"/>
              <w:bottom w:val="dashed" w:sz="4" w:space="0" w:color="000000"/>
              <w:right w:val="nil"/>
            </w:tcBorders>
          </w:tcPr>
          <w:p>
            <w:pPr>
              <w:pStyle w:val="TableParagraph"/>
              <w:spacing w:line="201" w:lineRule="exact" w:before="11"/>
              <w:ind w:right="91"/>
              <w:jc w:val="right"/>
              <w:rPr>
                <w:sz w:val="18"/>
              </w:rPr>
            </w:pPr>
            <w:r>
              <w:rPr>
                <w:spacing w:val="-5"/>
                <w:sz w:val="18"/>
              </w:rPr>
              <w:t>600</w:t>
            </w:r>
          </w:p>
        </w:tc>
        <w:tc>
          <w:tcPr>
            <w:tcW w:w="1097" w:type="dxa"/>
            <w:tcBorders>
              <w:top w:val="dashSmallGap" w:sz="4" w:space="0" w:color="000000"/>
              <w:left w:val="nil"/>
              <w:bottom w:val="dashSmallGap" w:sz="4" w:space="0" w:color="000000"/>
              <w:right w:val="nil"/>
            </w:tcBorders>
          </w:tcPr>
          <w:p>
            <w:pPr>
              <w:pStyle w:val="TableParagraph"/>
              <w:spacing w:before="5"/>
              <w:rPr>
                <w:b/>
                <w:sz w:val="7"/>
              </w:rPr>
            </w:pPr>
          </w:p>
          <w:p>
            <w:pPr>
              <w:pStyle w:val="TableParagraph"/>
              <w:tabs>
                <w:tab w:pos="1106" w:val="left" w:leader="none"/>
              </w:tabs>
              <w:spacing w:line="38" w:lineRule="exact"/>
              <w:ind w:left="9" w:right="-87"/>
              <w:rPr>
                <w:sz w:val="3"/>
              </w:rPr>
            </w:pPr>
            <w:r>
              <w:rPr>
                <w:position w:val="0"/>
                <w:sz w:val="3"/>
              </w:rPr>
              <w:pict>
                <v:group style="width:.5pt;height:1.95pt;mso-position-horizontal-relative:char;mso-position-vertical-relative:line" id="docshapegroup594" coordorigin="0,0" coordsize="10,39">
                  <v:rect style="position:absolute;left:0;top:0;width:10;height:39" id="docshape595" filled="true" fillcolor="#000000" stroked="false">
                    <v:fill type="solid"/>
                  </v:rect>
                </v:group>
              </w:pict>
            </w:r>
            <w:r>
              <w:rPr>
                <w:position w:val="0"/>
                <w:sz w:val="3"/>
              </w:rPr>
            </w:r>
            <w:r>
              <w:rPr>
                <w:position w:val="0"/>
                <w:sz w:val="3"/>
              </w:rPr>
              <w:tab/>
            </w:r>
            <w:r>
              <w:rPr>
                <w:position w:val="0"/>
                <w:sz w:val="3"/>
              </w:rPr>
              <w:pict>
                <v:group style="width:.5pt;height:1.95pt;mso-position-horizontal-relative:char;mso-position-vertical-relative:line" id="docshapegroup596" coordorigin="0,0" coordsize="10,39">
                  <v:rect style="position:absolute;left:0;top:0;width:10;height:39" id="docshape597" filled="true" fillcolor="#000000" stroked="false">
                    <v:fill type="solid"/>
                  </v:rect>
                </v:group>
              </w:pict>
            </w:r>
            <w:r>
              <w:rPr>
                <w:position w:val="0"/>
                <w:sz w:val="3"/>
              </w:rPr>
            </w:r>
          </w:p>
        </w:tc>
        <w:tc>
          <w:tcPr>
            <w:tcW w:w="1097" w:type="dxa"/>
            <w:tcBorders>
              <w:top w:val="dashSmallGap" w:sz="4" w:space="0" w:color="000000"/>
              <w:left w:val="nil"/>
              <w:bottom w:val="dashed" w:sz="4" w:space="0" w:color="000000"/>
              <w:right w:val="nil"/>
            </w:tcBorders>
          </w:tcPr>
          <w:p>
            <w:pPr>
              <w:pStyle w:val="TableParagraph"/>
              <w:spacing w:before="5"/>
              <w:rPr>
                <w:b/>
                <w:sz w:val="7"/>
              </w:rPr>
            </w:pPr>
          </w:p>
          <w:p>
            <w:pPr>
              <w:pStyle w:val="TableParagraph"/>
              <w:spacing w:line="38" w:lineRule="exact"/>
              <w:ind w:left="1106" w:right="-87"/>
              <w:rPr>
                <w:sz w:val="3"/>
              </w:rPr>
            </w:pPr>
            <w:r>
              <w:rPr>
                <w:position w:val="0"/>
                <w:sz w:val="3"/>
              </w:rPr>
              <w:pict>
                <v:group style="width:.5pt;height:1.95pt;mso-position-horizontal-relative:char;mso-position-vertical-relative:line" id="docshapegroup598" coordorigin="0,0" coordsize="10,39">
                  <v:rect style="position:absolute;left:0;top:0;width:10;height:39" id="docshape599" filled="true" fillcolor="#000000" stroked="false">
                    <v:fill type="solid"/>
                  </v:rect>
                </v:group>
              </w:pict>
            </w:r>
            <w:r>
              <w:rPr>
                <w:position w:val="0"/>
                <w:sz w:val="3"/>
              </w:rPr>
            </w:r>
          </w:p>
        </w:tc>
        <w:tc>
          <w:tcPr>
            <w:tcW w:w="1099" w:type="dxa"/>
            <w:tcBorders>
              <w:top w:val="dashed" w:sz="4" w:space="0" w:color="000000"/>
              <w:left w:val="nil"/>
              <w:bottom w:val="dashed" w:sz="4" w:space="0" w:color="000000"/>
              <w:right w:val="nil"/>
            </w:tcBorders>
          </w:tcPr>
          <w:p>
            <w:pPr>
              <w:pStyle w:val="TableParagraph"/>
              <w:spacing w:line="201" w:lineRule="exact" w:before="11"/>
              <w:ind w:right="91"/>
              <w:jc w:val="right"/>
              <w:rPr>
                <w:sz w:val="18"/>
              </w:rPr>
            </w:pPr>
            <w:r>
              <w:rPr>
                <w:spacing w:val="-5"/>
                <w:sz w:val="18"/>
              </w:rPr>
              <w:t>600</w:t>
            </w:r>
          </w:p>
        </w:tc>
        <w:tc>
          <w:tcPr>
            <w:tcW w:w="960" w:type="dxa"/>
            <w:tcBorders>
              <w:top w:val="dashed" w:sz="4" w:space="0" w:color="000000"/>
              <w:left w:val="nil"/>
              <w:bottom w:val="dashed" w:sz="4" w:space="0" w:color="000000"/>
              <w:right w:val="nil"/>
            </w:tcBorders>
          </w:tcPr>
          <w:p>
            <w:pPr>
              <w:pStyle w:val="TableParagraph"/>
              <w:spacing w:before="5"/>
              <w:rPr>
                <w:b/>
                <w:sz w:val="7"/>
              </w:rPr>
            </w:pPr>
          </w:p>
          <w:p>
            <w:pPr>
              <w:pStyle w:val="TableParagraph"/>
              <w:tabs>
                <w:tab w:pos="969" w:val="left" w:leader="none"/>
              </w:tabs>
              <w:spacing w:line="38" w:lineRule="exact"/>
              <w:ind w:left="9" w:right="-87"/>
              <w:rPr>
                <w:sz w:val="3"/>
              </w:rPr>
            </w:pPr>
            <w:r>
              <w:rPr>
                <w:position w:val="0"/>
                <w:sz w:val="3"/>
              </w:rPr>
              <w:pict>
                <v:group style="width:.5pt;height:1.95pt;mso-position-horizontal-relative:char;mso-position-vertical-relative:line" id="docshapegroup600" coordorigin="0,0" coordsize="10,39">
                  <v:rect style="position:absolute;left:0;top:0;width:10;height:39" id="docshape601" filled="true" fillcolor="#000000" stroked="false">
                    <v:fill type="solid"/>
                  </v:rect>
                </v:group>
              </w:pict>
            </w:r>
            <w:r>
              <w:rPr>
                <w:position w:val="0"/>
                <w:sz w:val="3"/>
              </w:rPr>
            </w:r>
            <w:r>
              <w:rPr>
                <w:position w:val="0"/>
                <w:sz w:val="3"/>
              </w:rPr>
              <w:tab/>
            </w:r>
            <w:r>
              <w:rPr>
                <w:position w:val="0"/>
                <w:sz w:val="3"/>
              </w:rPr>
              <w:pict>
                <v:group style="width:.5pt;height:1.95pt;mso-position-horizontal-relative:char;mso-position-vertical-relative:line" id="docshapegroup602" coordorigin="0,0" coordsize="10,39">
                  <v:rect style="position:absolute;left:0;top:0;width:10;height:39" id="docshape603" filled="true" fillcolor="#000000" stroked="false">
                    <v:fill type="solid"/>
                  </v:rect>
                </v:group>
              </w:pict>
            </w:r>
            <w:r>
              <w:rPr>
                <w:position w:val="0"/>
                <w:sz w:val="3"/>
              </w:rPr>
            </w:r>
          </w:p>
        </w:tc>
        <w:tc>
          <w:tcPr>
            <w:tcW w:w="1092" w:type="dxa"/>
            <w:tcBorders>
              <w:top w:val="dashed" w:sz="4" w:space="0" w:color="000000"/>
              <w:left w:val="nil"/>
              <w:bottom w:val="dashSmallGap" w:sz="4" w:space="0" w:color="000000"/>
              <w:right w:val="single" w:sz="12" w:space="0" w:color="000000"/>
            </w:tcBorders>
          </w:tcPr>
          <w:p>
            <w:pPr>
              <w:pStyle w:val="TableParagraph"/>
              <w:rPr>
                <w:rFonts w:ascii="Times New Roman"/>
                <w:sz w:val="16"/>
              </w:rPr>
            </w:pPr>
          </w:p>
        </w:tc>
        <w:tc>
          <w:tcPr>
            <w:tcW w:w="1162" w:type="dxa"/>
            <w:tcBorders>
              <w:top w:val="dashed" w:sz="4" w:space="0" w:color="000000"/>
              <w:left w:val="single" w:sz="12" w:space="0" w:color="000000"/>
              <w:bottom w:val="dashSmallGap" w:sz="4" w:space="0" w:color="000000"/>
              <w:right w:val="single" w:sz="12" w:space="0" w:color="000000"/>
            </w:tcBorders>
          </w:tcPr>
          <w:p>
            <w:pPr>
              <w:pStyle w:val="TableParagraph"/>
              <w:spacing w:line="201" w:lineRule="exact" w:before="11"/>
              <w:ind w:right="76"/>
              <w:jc w:val="right"/>
              <w:rPr>
                <w:sz w:val="18"/>
              </w:rPr>
            </w:pPr>
            <w:r>
              <w:rPr>
                <w:spacing w:val="-5"/>
                <w:sz w:val="18"/>
              </w:rPr>
              <w:t>600</w:t>
            </w:r>
          </w:p>
        </w:tc>
        <w:tc>
          <w:tcPr>
            <w:tcW w:w="1162" w:type="dxa"/>
            <w:tcBorders>
              <w:top w:val="dashed" w:sz="4" w:space="0" w:color="000000"/>
              <w:left w:val="single" w:sz="12" w:space="0" w:color="000000"/>
              <w:bottom w:val="dashSmallGap" w:sz="4" w:space="0" w:color="000000"/>
              <w:right w:val="single" w:sz="12" w:space="0" w:color="000000"/>
            </w:tcBorders>
          </w:tcPr>
          <w:p>
            <w:pPr>
              <w:pStyle w:val="TableParagraph"/>
              <w:spacing w:line="201" w:lineRule="exact" w:before="11"/>
              <w:ind w:right="77"/>
              <w:jc w:val="right"/>
              <w:rPr>
                <w:sz w:val="18"/>
              </w:rPr>
            </w:pPr>
            <w:r>
              <w:rPr>
                <w:spacing w:val="-5"/>
                <w:sz w:val="18"/>
              </w:rPr>
              <w:t>600</w:t>
            </w:r>
          </w:p>
        </w:tc>
        <w:tc>
          <w:tcPr>
            <w:tcW w:w="1246" w:type="dxa"/>
            <w:tcBorders>
              <w:top w:val="dashed" w:sz="4" w:space="0" w:color="000000"/>
              <w:left w:val="single" w:sz="12" w:space="0" w:color="000000"/>
              <w:bottom w:val="dashSmallGap" w:sz="4" w:space="0" w:color="000000"/>
              <w:right w:val="single" w:sz="12" w:space="0" w:color="000000"/>
            </w:tcBorders>
          </w:tcPr>
          <w:p>
            <w:pPr>
              <w:pStyle w:val="TableParagraph"/>
              <w:spacing w:line="201" w:lineRule="exact" w:before="11"/>
              <w:ind w:right="77"/>
              <w:jc w:val="right"/>
              <w:rPr>
                <w:sz w:val="18"/>
              </w:rPr>
            </w:pPr>
            <w:r>
              <w:rPr>
                <w:spacing w:val="-5"/>
                <w:sz w:val="18"/>
              </w:rPr>
              <w:t>600</w:t>
            </w:r>
          </w:p>
        </w:tc>
      </w:tr>
      <w:tr>
        <w:trPr>
          <w:trHeight w:val="229" w:hRule="atLeast"/>
        </w:trPr>
        <w:tc>
          <w:tcPr>
            <w:tcW w:w="4219" w:type="dxa"/>
            <w:tcBorders>
              <w:top w:val="dashed" w:sz="4" w:space="0" w:color="000000"/>
              <w:left w:val="single" w:sz="12" w:space="0" w:color="000000"/>
              <w:bottom w:val="dashSmallGap" w:sz="4" w:space="0" w:color="000000"/>
              <w:right w:val="single" w:sz="12" w:space="0" w:color="000000"/>
            </w:tcBorders>
          </w:tcPr>
          <w:p>
            <w:pPr>
              <w:pStyle w:val="TableParagraph"/>
              <w:spacing w:line="199" w:lineRule="exact" w:before="11"/>
              <w:ind w:left="107"/>
              <w:rPr>
                <w:sz w:val="18"/>
              </w:rPr>
            </w:pPr>
            <w:r>
              <w:rPr>
                <w:sz w:val="18"/>
              </w:rPr>
              <w:t>Art in Public </w:t>
            </w:r>
            <w:r>
              <w:rPr>
                <w:spacing w:val="-2"/>
                <w:sz w:val="18"/>
              </w:rPr>
              <w:t>Places</w:t>
            </w:r>
          </w:p>
        </w:tc>
        <w:tc>
          <w:tcPr>
            <w:tcW w:w="1140" w:type="dxa"/>
            <w:tcBorders>
              <w:top w:val="dashed" w:sz="4" w:space="0" w:color="000000"/>
              <w:left w:val="single" w:sz="12" w:space="0" w:color="000000"/>
              <w:bottom w:val="dashSmallGap" w:sz="4" w:space="0" w:color="000000"/>
              <w:right w:val="nil"/>
            </w:tcBorders>
          </w:tcPr>
          <w:p>
            <w:pPr>
              <w:pStyle w:val="TableParagraph"/>
              <w:spacing w:line="199" w:lineRule="exact" w:before="11"/>
              <w:ind w:right="74"/>
              <w:jc w:val="right"/>
              <w:rPr>
                <w:sz w:val="18"/>
              </w:rPr>
            </w:pPr>
            <w:r>
              <w:rPr>
                <w:spacing w:val="-5"/>
                <w:sz w:val="18"/>
              </w:rPr>
              <w:t>74</w:t>
            </w:r>
          </w:p>
        </w:tc>
        <w:tc>
          <w:tcPr>
            <w:tcW w:w="1097" w:type="dxa"/>
            <w:tcBorders>
              <w:top w:val="dashed" w:sz="4" w:space="0" w:color="000000"/>
              <w:left w:val="nil"/>
              <w:bottom w:val="dashSmallGap" w:sz="4" w:space="0" w:color="000000"/>
              <w:right w:val="nil"/>
            </w:tcBorders>
          </w:tcPr>
          <w:p>
            <w:pPr>
              <w:pStyle w:val="TableParagraph"/>
              <w:spacing w:line="199" w:lineRule="exact" w:before="11"/>
              <w:ind w:right="90"/>
              <w:jc w:val="right"/>
              <w:rPr>
                <w:sz w:val="18"/>
              </w:rPr>
            </w:pPr>
            <w:r>
              <w:rPr>
                <w:spacing w:val="-5"/>
                <w:sz w:val="18"/>
              </w:rPr>
              <w:t>74</w:t>
            </w:r>
          </w:p>
        </w:tc>
        <w:tc>
          <w:tcPr>
            <w:tcW w:w="1097" w:type="dxa"/>
            <w:tcBorders>
              <w:top w:val="dashSmallGap" w:sz="4" w:space="0" w:color="000000"/>
              <w:left w:val="nil"/>
              <w:bottom w:val="dashSmallGap" w:sz="4" w:space="0" w:color="000000"/>
              <w:right w:val="nil"/>
            </w:tcBorders>
          </w:tcPr>
          <w:p>
            <w:pPr>
              <w:pStyle w:val="TableParagraph"/>
              <w:spacing w:before="5"/>
              <w:rPr>
                <w:b/>
                <w:sz w:val="6"/>
              </w:rPr>
            </w:pPr>
          </w:p>
          <w:p>
            <w:pPr>
              <w:pStyle w:val="TableParagraph"/>
              <w:tabs>
                <w:tab w:pos="1106" w:val="left" w:leader="none"/>
              </w:tabs>
              <w:spacing w:line="115" w:lineRule="exact"/>
              <w:ind w:left="9" w:right="-87"/>
              <w:rPr>
                <w:sz w:val="11"/>
              </w:rPr>
            </w:pPr>
            <w:r>
              <w:rPr>
                <w:position w:val="-1"/>
                <w:sz w:val="11"/>
              </w:rPr>
              <w:pict>
                <v:group style="width:.5pt;height:5.8pt;mso-position-horizontal-relative:char;mso-position-vertical-relative:line" id="docshapegroup604" coordorigin="0,0" coordsize="10,116">
                  <v:shape style="position:absolute;left:0;top:0;width:10;height:116" id="docshape605" coordorigin="0,0" coordsize="10,116" path="m10,38l0,38,0,0,10,0,10,38xm10,115l0,115,0,77,10,77,10,115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606" coordorigin="0,0" coordsize="10,116">
                  <v:shape style="position:absolute;left:0;top:0;width:10;height:116" id="docshape607" coordorigin="0,0" coordsize="10,116" path="m10,38l0,38,0,0,10,0,10,38xm10,115l0,115,0,77,10,77,10,115xe" filled="true" fillcolor="#000000" stroked="false">
                    <v:path arrowok="t"/>
                    <v:fill type="solid"/>
                  </v:shape>
                </v:group>
              </w:pict>
            </w:r>
            <w:r>
              <w:rPr>
                <w:position w:val="-1"/>
                <w:sz w:val="11"/>
              </w:rPr>
            </w:r>
          </w:p>
        </w:tc>
        <w:tc>
          <w:tcPr>
            <w:tcW w:w="1097" w:type="dxa"/>
            <w:tcBorders>
              <w:top w:val="dashed" w:sz="4" w:space="0" w:color="000000"/>
              <w:left w:val="nil"/>
              <w:bottom w:val="dashed" w:sz="4" w:space="0" w:color="000000"/>
              <w:right w:val="nil"/>
            </w:tcBorders>
          </w:tcPr>
          <w:p>
            <w:pPr>
              <w:pStyle w:val="TableParagraph"/>
              <w:spacing w:before="5"/>
              <w:rPr>
                <w:b/>
                <w:sz w:val="6"/>
              </w:rPr>
            </w:pPr>
          </w:p>
          <w:p>
            <w:pPr>
              <w:pStyle w:val="TableParagraph"/>
              <w:spacing w:line="115" w:lineRule="exact"/>
              <w:ind w:left="1106" w:right="-87"/>
              <w:rPr>
                <w:sz w:val="11"/>
              </w:rPr>
            </w:pPr>
            <w:r>
              <w:rPr>
                <w:position w:val="-1"/>
                <w:sz w:val="11"/>
              </w:rPr>
              <w:pict>
                <v:group style="width:.5pt;height:5.8pt;mso-position-horizontal-relative:char;mso-position-vertical-relative:line" id="docshapegroup608" coordorigin="0,0" coordsize="10,116">
                  <v:shape style="position:absolute;left:0;top:0;width:10;height:116" id="docshape609" coordorigin="0,0" coordsize="10,116" path="m10,38l0,38,0,0,10,0,10,38xm10,115l0,115,0,77,10,77,10,115xe" filled="true" fillcolor="#000000" stroked="false">
                    <v:path arrowok="t"/>
                    <v:fill type="solid"/>
                  </v:shape>
                </v:group>
              </w:pict>
            </w:r>
            <w:r>
              <w:rPr>
                <w:position w:val="-1"/>
                <w:sz w:val="11"/>
              </w:rPr>
            </w:r>
          </w:p>
        </w:tc>
        <w:tc>
          <w:tcPr>
            <w:tcW w:w="1099" w:type="dxa"/>
            <w:tcBorders>
              <w:top w:val="dashed" w:sz="4" w:space="0" w:color="000000"/>
              <w:left w:val="nil"/>
              <w:bottom w:val="dashed" w:sz="4" w:space="0" w:color="000000"/>
              <w:right w:val="nil"/>
            </w:tcBorders>
          </w:tcPr>
          <w:p>
            <w:pPr>
              <w:pStyle w:val="TableParagraph"/>
              <w:spacing w:before="5"/>
              <w:rPr>
                <w:b/>
                <w:sz w:val="6"/>
              </w:rPr>
            </w:pPr>
          </w:p>
          <w:p>
            <w:pPr>
              <w:pStyle w:val="TableParagraph"/>
              <w:spacing w:line="115" w:lineRule="exact"/>
              <w:ind w:left="1108" w:right="-87"/>
              <w:rPr>
                <w:sz w:val="11"/>
              </w:rPr>
            </w:pPr>
            <w:r>
              <w:rPr>
                <w:position w:val="-1"/>
                <w:sz w:val="11"/>
              </w:rPr>
              <w:pict>
                <v:group style="width:.5pt;height:5.8pt;mso-position-horizontal-relative:char;mso-position-vertical-relative:line" id="docshapegroup610" coordorigin="0,0" coordsize="10,116">
                  <v:shape style="position:absolute;left:0;top:0;width:10;height:116" id="docshape611" coordorigin="0,0" coordsize="10,116" path="m10,38l0,38,0,0,10,0,10,38xm10,115l0,115,0,77,10,77,10,115xe" filled="true" fillcolor="#000000" stroked="false">
                    <v:path arrowok="t"/>
                    <v:fill type="solid"/>
                  </v:shape>
                </v:group>
              </w:pict>
            </w:r>
            <w:r>
              <w:rPr>
                <w:position w:val="-1"/>
                <w:sz w:val="11"/>
              </w:rPr>
            </w:r>
          </w:p>
        </w:tc>
        <w:tc>
          <w:tcPr>
            <w:tcW w:w="960" w:type="dxa"/>
            <w:tcBorders>
              <w:top w:val="dashed" w:sz="4" w:space="0" w:color="000000"/>
              <w:left w:val="nil"/>
              <w:bottom w:val="dashed" w:sz="4" w:space="0" w:color="000000"/>
              <w:right w:val="nil"/>
            </w:tcBorders>
          </w:tcPr>
          <w:p>
            <w:pPr>
              <w:pStyle w:val="TableParagraph"/>
              <w:spacing w:before="5"/>
              <w:rPr>
                <w:b/>
                <w:sz w:val="6"/>
              </w:rPr>
            </w:pPr>
          </w:p>
          <w:p>
            <w:pPr>
              <w:pStyle w:val="TableParagraph"/>
              <w:spacing w:line="115" w:lineRule="exact"/>
              <w:ind w:left="969" w:right="-87"/>
              <w:rPr>
                <w:sz w:val="11"/>
              </w:rPr>
            </w:pPr>
            <w:r>
              <w:rPr>
                <w:position w:val="-1"/>
                <w:sz w:val="11"/>
              </w:rPr>
              <w:pict>
                <v:group style="width:.5pt;height:5.8pt;mso-position-horizontal-relative:char;mso-position-vertical-relative:line" id="docshapegroup612" coordorigin="0,0" coordsize="10,116">
                  <v:shape style="position:absolute;left:0;top:0;width:10;height:116" id="docshape613" coordorigin="0,0" coordsize="10,116" path="m10,38l0,38,0,0,10,0,10,38xm10,115l0,115,0,77,10,77,10,115xe" filled="true" fillcolor="#000000" stroked="false">
                    <v:path arrowok="t"/>
                    <v:fill type="solid"/>
                  </v:shape>
                </v:group>
              </w:pict>
            </w:r>
            <w:r>
              <w:rPr>
                <w:position w:val="-1"/>
                <w:sz w:val="11"/>
              </w:rPr>
            </w:r>
          </w:p>
        </w:tc>
        <w:tc>
          <w:tcPr>
            <w:tcW w:w="1092" w:type="dxa"/>
            <w:tcBorders>
              <w:top w:val="dashSmallGap" w:sz="4" w:space="0" w:color="000000"/>
              <w:left w:val="nil"/>
              <w:bottom w:val="dashed" w:sz="4" w:space="0" w:color="000000"/>
              <w:right w:val="single" w:sz="12" w:space="0" w:color="000000"/>
            </w:tcBorders>
          </w:tcPr>
          <w:p>
            <w:pPr>
              <w:pStyle w:val="TableParagraph"/>
              <w:spacing w:line="199" w:lineRule="exact" w:before="11"/>
              <w:ind w:right="75"/>
              <w:jc w:val="right"/>
              <w:rPr>
                <w:sz w:val="18"/>
              </w:rPr>
            </w:pPr>
            <w:r>
              <w:rPr>
                <w:spacing w:val="-5"/>
                <w:sz w:val="18"/>
              </w:rPr>
              <w:t>74</w:t>
            </w:r>
          </w:p>
        </w:tc>
        <w:tc>
          <w:tcPr>
            <w:tcW w:w="1162" w:type="dxa"/>
            <w:tcBorders>
              <w:top w:val="dashSmallGap" w:sz="4" w:space="0" w:color="000000"/>
              <w:left w:val="single" w:sz="12" w:space="0" w:color="000000"/>
              <w:bottom w:val="dashed" w:sz="4" w:space="0" w:color="000000"/>
              <w:right w:val="single" w:sz="12" w:space="0" w:color="000000"/>
            </w:tcBorders>
          </w:tcPr>
          <w:p>
            <w:pPr>
              <w:pStyle w:val="TableParagraph"/>
              <w:spacing w:line="199" w:lineRule="exact" w:before="11"/>
              <w:ind w:right="76"/>
              <w:jc w:val="right"/>
              <w:rPr>
                <w:sz w:val="18"/>
              </w:rPr>
            </w:pPr>
            <w:r>
              <w:rPr>
                <w:spacing w:val="-5"/>
                <w:sz w:val="18"/>
              </w:rPr>
              <w:t>75</w:t>
            </w:r>
          </w:p>
        </w:tc>
        <w:tc>
          <w:tcPr>
            <w:tcW w:w="1162" w:type="dxa"/>
            <w:tcBorders>
              <w:top w:val="dashSmallGap" w:sz="4" w:space="0" w:color="000000"/>
              <w:left w:val="single" w:sz="12" w:space="0" w:color="000000"/>
              <w:bottom w:val="dashed" w:sz="4" w:space="0" w:color="000000"/>
              <w:right w:val="single" w:sz="12" w:space="0" w:color="000000"/>
            </w:tcBorders>
          </w:tcPr>
          <w:p>
            <w:pPr>
              <w:pStyle w:val="TableParagraph"/>
              <w:spacing w:line="199" w:lineRule="exact" w:before="11"/>
              <w:ind w:right="76"/>
              <w:jc w:val="right"/>
              <w:rPr>
                <w:sz w:val="18"/>
              </w:rPr>
            </w:pPr>
            <w:r>
              <w:rPr>
                <w:spacing w:val="-5"/>
                <w:sz w:val="18"/>
              </w:rPr>
              <w:t>77</w:t>
            </w:r>
          </w:p>
        </w:tc>
        <w:tc>
          <w:tcPr>
            <w:tcW w:w="1246" w:type="dxa"/>
            <w:tcBorders>
              <w:top w:val="dashSmallGap" w:sz="4" w:space="0" w:color="000000"/>
              <w:left w:val="single" w:sz="12" w:space="0" w:color="000000"/>
              <w:bottom w:val="dashed" w:sz="4" w:space="0" w:color="000000"/>
              <w:right w:val="single" w:sz="12" w:space="0" w:color="000000"/>
            </w:tcBorders>
          </w:tcPr>
          <w:p>
            <w:pPr>
              <w:pStyle w:val="TableParagraph"/>
              <w:spacing w:line="199" w:lineRule="exact" w:before="11"/>
              <w:ind w:right="78"/>
              <w:jc w:val="right"/>
              <w:rPr>
                <w:sz w:val="18"/>
              </w:rPr>
            </w:pPr>
            <w:r>
              <w:rPr>
                <w:spacing w:val="-5"/>
                <w:sz w:val="18"/>
              </w:rPr>
              <w:t>79</w:t>
            </w:r>
          </w:p>
        </w:tc>
      </w:tr>
      <w:tr>
        <w:trPr>
          <w:trHeight w:val="473" w:hRule="atLeast"/>
        </w:trPr>
        <w:tc>
          <w:tcPr>
            <w:tcW w:w="4219" w:type="dxa"/>
            <w:tcBorders>
              <w:top w:val="dashSmallGap" w:sz="4" w:space="0" w:color="000000"/>
              <w:left w:val="single" w:sz="12" w:space="0" w:color="000000"/>
              <w:bottom w:val="dashed" w:sz="4" w:space="0" w:color="000000"/>
              <w:right w:val="single" w:sz="12" w:space="0" w:color="000000"/>
            </w:tcBorders>
          </w:tcPr>
          <w:p>
            <w:pPr>
              <w:pStyle w:val="TableParagraph"/>
              <w:spacing w:line="252" w:lineRule="exact"/>
              <w:ind w:left="107"/>
              <w:rPr>
                <w:b/>
                <w:sz w:val="22"/>
              </w:rPr>
            </w:pPr>
            <w:r>
              <w:rPr>
                <w:b/>
                <w:sz w:val="22"/>
              </w:rPr>
              <w:t>TOTAL</w:t>
            </w:r>
            <w:r>
              <w:rPr>
                <w:b/>
                <w:spacing w:val="-11"/>
                <w:sz w:val="22"/>
              </w:rPr>
              <w:t> </w:t>
            </w:r>
            <w:r>
              <w:rPr>
                <w:b/>
                <w:sz w:val="22"/>
              </w:rPr>
              <w:t>FIXTURES,</w:t>
            </w:r>
            <w:r>
              <w:rPr>
                <w:b/>
                <w:spacing w:val="-10"/>
                <w:sz w:val="22"/>
              </w:rPr>
              <w:t> </w:t>
            </w:r>
            <w:r>
              <w:rPr>
                <w:b/>
                <w:sz w:val="22"/>
              </w:rPr>
              <w:t>FITTINGS</w:t>
            </w:r>
            <w:r>
              <w:rPr>
                <w:b/>
                <w:spacing w:val="-12"/>
                <w:sz w:val="22"/>
              </w:rPr>
              <w:t> </w:t>
            </w:r>
            <w:r>
              <w:rPr>
                <w:b/>
                <w:sz w:val="22"/>
              </w:rPr>
              <w:t>AND </w:t>
            </w:r>
            <w:r>
              <w:rPr>
                <w:b/>
                <w:spacing w:val="-2"/>
                <w:sz w:val="22"/>
              </w:rPr>
              <w:t>FURNITURE</w:t>
            </w:r>
          </w:p>
        </w:tc>
        <w:tc>
          <w:tcPr>
            <w:tcW w:w="1140" w:type="dxa"/>
            <w:tcBorders>
              <w:top w:val="dashSmallGap" w:sz="4" w:space="0" w:color="000000"/>
              <w:left w:val="single" w:sz="12" w:space="0" w:color="000000"/>
              <w:bottom w:val="dashed" w:sz="4" w:space="0" w:color="000000"/>
              <w:right w:val="nil"/>
            </w:tcBorders>
          </w:tcPr>
          <w:p>
            <w:pPr>
              <w:pStyle w:val="TableParagraph"/>
              <w:spacing w:before="150"/>
              <w:ind w:right="76"/>
              <w:jc w:val="right"/>
              <w:rPr>
                <w:b/>
                <w:sz w:val="18"/>
              </w:rPr>
            </w:pPr>
            <w:r>
              <w:rPr>
                <w:b/>
                <w:spacing w:val="-5"/>
                <w:sz w:val="18"/>
              </w:rPr>
              <w:t>809</w:t>
            </w:r>
          </w:p>
        </w:tc>
        <w:tc>
          <w:tcPr>
            <w:tcW w:w="1097" w:type="dxa"/>
            <w:tcBorders>
              <w:top w:val="dashSmallGap" w:sz="4" w:space="0" w:color="000000"/>
              <w:left w:val="nil"/>
              <w:bottom w:val="dashSmallGap" w:sz="4" w:space="0" w:color="000000"/>
              <w:right w:val="nil"/>
            </w:tcBorders>
          </w:tcPr>
          <w:p>
            <w:pPr>
              <w:pStyle w:val="TableParagraph"/>
              <w:spacing w:before="150"/>
              <w:ind w:right="91"/>
              <w:jc w:val="right"/>
              <w:rPr>
                <w:b/>
                <w:sz w:val="18"/>
              </w:rPr>
            </w:pPr>
            <w:r>
              <w:rPr>
                <w:b/>
                <w:spacing w:val="-5"/>
                <w:sz w:val="18"/>
              </w:rPr>
              <w:t>809</w:t>
            </w:r>
          </w:p>
        </w:tc>
        <w:tc>
          <w:tcPr>
            <w:tcW w:w="1097" w:type="dxa"/>
            <w:tcBorders>
              <w:top w:val="dashSmallGap" w:sz="4" w:space="0" w:color="000000"/>
              <w:left w:val="nil"/>
              <w:bottom w:val="dashSmallGap" w:sz="4" w:space="0" w:color="000000"/>
              <w:right w:val="nil"/>
            </w:tcBorders>
          </w:tcPr>
          <w:p>
            <w:pPr>
              <w:pStyle w:val="TableParagraph"/>
              <w:spacing w:before="150"/>
              <w:ind w:right="92"/>
              <w:jc w:val="right"/>
              <w:rPr>
                <w:b/>
                <w:sz w:val="18"/>
              </w:rPr>
            </w:pPr>
            <w:r>
              <w:rPr>
                <w:b/>
                <w:sz w:val="18"/>
              </w:rPr>
              <w:t>0</w:t>
            </w:r>
          </w:p>
        </w:tc>
        <w:tc>
          <w:tcPr>
            <w:tcW w:w="1097" w:type="dxa"/>
            <w:tcBorders>
              <w:top w:val="dashed" w:sz="4" w:space="0" w:color="000000"/>
              <w:left w:val="nil"/>
              <w:bottom w:val="dashSmallGap" w:sz="4" w:space="0" w:color="000000"/>
              <w:right w:val="nil"/>
            </w:tcBorders>
          </w:tcPr>
          <w:p>
            <w:pPr>
              <w:pStyle w:val="TableParagraph"/>
              <w:spacing w:before="150"/>
              <w:ind w:right="92"/>
              <w:jc w:val="right"/>
              <w:rPr>
                <w:b/>
                <w:sz w:val="18"/>
              </w:rPr>
            </w:pPr>
            <w:r>
              <w:rPr>
                <w:b/>
                <w:sz w:val="18"/>
              </w:rPr>
              <w:t>0</w:t>
            </w:r>
          </w:p>
        </w:tc>
        <w:tc>
          <w:tcPr>
            <w:tcW w:w="1099" w:type="dxa"/>
            <w:tcBorders>
              <w:top w:val="dashed" w:sz="4" w:space="0" w:color="000000"/>
              <w:left w:val="nil"/>
              <w:bottom w:val="dashed" w:sz="4" w:space="0" w:color="000000"/>
              <w:right w:val="nil"/>
            </w:tcBorders>
          </w:tcPr>
          <w:p>
            <w:pPr>
              <w:pStyle w:val="TableParagraph"/>
              <w:spacing w:before="150"/>
              <w:ind w:right="91"/>
              <w:jc w:val="right"/>
              <w:rPr>
                <w:b/>
                <w:sz w:val="18"/>
              </w:rPr>
            </w:pPr>
            <w:r>
              <w:rPr>
                <w:b/>
                <w:spacing w:val="-5"/>
                <w:sz w:val="18"/>
              </w:rPr>
              <w:t>693</w:t>
            </w:r>
          </w:p>
        </w:tc>
        <w:tc>
          <w:tcPr>
            <w:tcW w:w="960" w:type="dxa"/>
            <w:tcBorders>
              <w:top w:val="dashed" w:sz="4" w:space="0" w:color="000000"/>
              <w:left w:val="nil"/>
              <w:bottom w:val="dashed" w:sz="4" w:space="0" w:color="000000"/>
              <w:right w:val="nil"/>
            </w:tcBorders>
          </w:tcPr>
          <w:p>
            <w:pPr>
              <w:pStyle w:val="TableParagraph"/>
              <w:spacing w:before="150"/>
              <w:ind w:right="93"/>
              <w:jc w:val="right"/>
              <w:rPr>
                <w:b/>
                <w:sz w:val="18"/>
              </w:rPr>
            </w:pPr>
            <w:r>
              <w:rPr>
                <w:b/>
                <w:spacing w:val="-5"/>
                <w:sz w:val="18"/>
              </w:rPr>
              <w:t>43</w:t>
            </w:r>
          </w:p>
        </w:tc>
        <w:tc>
          <w:tcPr>
            <w:tcW w:w="1092" w:type="dxa"/>
            <w:tcBorders>
              <w:top w:val="dashed" w:sz="4" w:space="0" w:color="000000"/>
              <w:left w:val="nil"/>
              <w:bottom w:val="dashed" w:sz="4" w:space="0" w:color="000000"/>
              <w:right w:val="single" w:sz="12" w:space="0" w:color="000000"/>
            </w:tcBorders>
          </w:tcPr>
          <w:p>
            <w:pPr>
              <w:pStyle w:val="TableParagraph"/>
              <w:spacing w:before="150"/>
              <w:ind w:right="75"/>
              <w:jc w:val="right"/>
              <w:rPr>
                <w:b/>
                <w:sz w:val="18"/>
              </w:rPr>
            </w:pPr>
            <w:r>
              <w:rPr>
                <w:b/>
                <w:spacing w:val="-5"/>
                <w:sz w:val="18"/>
              </w:rPr>
              <w:t>74</w:t>
            </w:r>
          </w:p>
        </w:tc>
        <w:tc>
          <w:tcPr>
            <w:tcW w:w="1162" w:type="dxa"/>
            <w:tcBorders>
              <w:top w:val="dashed" w:sz="4" w:space="0" w:color="000000"/>
              <w:left w:val="single" w:sz="12" w:space="0" w:color="000000"/>
              <w:bottom w:val="dashed" w:sz="4" w:space="0" w:color="000000"/>
              <w:right w:val="single" w:sz="12" w:space="0" w:color="000000"/>
            </w:tcBorders>
          </w:tcPr>
          <w:p>
            <w:pPr>
              <w:pStyle w:val="TableParagraph"/>
              <w:spacing w:before="150"/>
              <w:ind w:right="76"/>
              <w:jc w:val="right"/>
              <w:rPr>
                <w:b/>
                <w:sz w:val="18"/>
              </w:rPr>
            </w:pPr>
            <w:r>
              <w:rPr>
                <w:b/>
                <w:spacing w:val="-5"/>
                <w:sz w:val="18"/>
              </w:rPr>
              <w:t>835</w:t>
            </w:r>
          </w:p>
        </w:tc>
        <w:tc>
          <w:tcPr>
            <w:tcW w:w="1162" w:type="dxa"/>
            <w:tcBorders>
              <w:top w:val="dashed" w:sz="4" w:space="0" w:color="000000"/>
              <w:left w:val="single" w:sz="12" w:space="0" w:color="000000"/>
              <w:bottom w:val="dashed" w:sz="4" w:space="0" w:color="000000"/>
              <w:right w:val="single" w:sz="12" w:space="0" w:color="000000"/>
            </w:tcBorders>
          </w:tcPr>
          <w:p>
            <w:pPr>
              <w:pStyle w:val="TableParagraph"/>
              <w:spacing w:before="150"/>
              <w:ind w:right="77"/>
              <w:jc w:val="right"/>
              <w:rPr>
                <w:b/>
                <w:sz w:val="18"/>
              </w:rPr>
            </w:pPr>
            <w:r>
              <w:rPr>
                <w:b/>
                <w:spacing w:val="-5"/>
                <w:sz w:val="18"/>
              </w:rPr>
              <w:t>837</w:t>
            </w:r>
          </w:p>
        </w:tc>
        <w:tc>
          <w:tcPr>
            <w:tcW w:w="1246" w:type="dxa"/>
            <w:tcBorders>
              <w:top w:val="dashed" w:sz="4" w:space="0" w:color="000000"/>
              <w:left w:val="single" w:sz="12" w:space="0" w:color="000000"/>
              <w:bottom w:val="dashed" w:sz="4" w:space="0" w:color="000000"/>
              <w:right w:val="single" w:sz="12" w:space="0" w:color="000000"/>
            </w:tcBorders>
          </w:tcPr>
          <w:p>
            <w:pPr>
              <w:pStyle w:val="TableParagraph"/>
              <w:spacing w:before="150"/>
              <w:ind w:right="77"/>
              <w:jc w:val="right"/>
              <w:rPr>
                <w:b/>
                <w:sz w:val="18"/>
              </w:rPr>
            </w:pPr>
            <w:r>
              <w:rPr>
                <w:b/>
                <w:spacing w:val="-5"/>
                <w:sz w:val="18"/>
              </w:rPr>
              <w:t>839</w:t>
            </w:r>
          </w:p>
        </w:tc>
      </w:tr>
      <w:tr>
        <w:trPr>
          <w:trHeight w:val="418" w:hRule="atLeast"/>
        </w:trPr>
        <w:tc>
          <w:tcPr>
            <w:tcW w:w="4219" w:type="dxa"/>
            <w:tcBorders>
              <w:top w:val="dashed" w:sz="4" w:space="0" w:color="000000"/>
              <w:left w:val="single" w:sz="12" w:space="0" w:color="000000"/>
              <w:bottom w:val="dashed" w:sz="4" w:space="0" w:color="000000"/>
              <w:right w:val="single" w:sz="12" w:space="0" w:color="000000"/>
            </w:tcBorders>
          </w:tcPr>
          <w:p>
            <w:pPr>
              <w:pStyle w:val="TableParagraph"/>
              <w:spacing w:line="192" w:lineRule="exact"/>
              <w:ind w:left="107"/>
              <w:rPr>
                <w:b/>
                <w:sz w:val="22"/>
              </w:rPr>
            </w:pPr>
            <w:r>
              <w:rPr>
                <w:b/>
                <w:sz w:val="22"/>
              </w:rPr>
              <w:t>PLANT,</w:t>
            </w:r>
            <w:r>
              <w:rPr>
                <w:b/>
                <w:spacing w:val="-7"/>
                <w:sz w:val="22"/>
              </w:rPr>
              <w:t> </w:t>
            </w:r>
            <w:r>
              <w:rPr>
                <w:b/>
                <w:sz w:val="22"/>
              </w:rPr>
              <w:t>MACHINERY</w:t>
            </w:r>
            <w:r>
              <w:rPr>
                <w:b/>
                <w:spacing w:val="-8"/>
                <w:sz w:val="22"/>
              </w:rPr>
              <w:t> </w:t>
            </w:r>
            <w:r>
              <w:rPr>
                <w:b/>
                <w:spacing w:val="-5"/>
                <w:sz w:val="22"/>
              </w:rPr>
              <w:t>AND</w:t>
            </w:r>
          </w:p>
          <w:p>
            <w:pPr>
              <w:pStyle w:val="TableParagraph"/>
              <w:spacing w:line="206" w:lineRule="exact"/>
              <w:ind w:left="107"/>
              <w:rPr>
                <w:b/>
                <w:sz w:val="22"/>
              </w:rPr>
            </w:pPr>
            <w:r>
              <w:rPr>
                <w:b/>
                <w:spacing w:val="-2"/>
                <w:sz w:val="22"/>
              </w:rPr>
              <w:t>EQUIPMENT</w:t>
            </w:r>
          </w:p>
        </w:tc>
        <w:tc>
          <w:tcPr>
            <w:tcW w:w="7582" w:type="dxa"/>
            <w:gridSpan w:val="7"/>
            <w:tcBorders>
              <w:top w:val="thinThickMediumGap" w:sz="9" w:space="0" w:color="000000"/>
              <w:left w:val="single" w:sz="12" w:space="0" w:color="000000"/>
              <w:bottom w:val="single" w:sz="24" w:space="0" w:color="000000"/>
              <w:right w:val="single" w:sz="12" w:space="0" w:color="000000"/>
            </w:tcBorders>
          </w:tcPr>
          <w:p>
            <w:pPr>
              <w:pStyle w:val="TableParagraph"/>
              <w:tabs>
                <w:tab w:pos="2231" w:val="left" w:leader="none"/>
                <w:tab w:pos="3328" w:val="left" w:leader="none"/>
                <w:tab w:pos="4425" w:val="left" w:leader="none"/>
                <w:tab w:pos="5524" w:val="left" w:leader="none"/>
                <w:tab w:pos="6484" w:val="left" w:leader="none"/>
              </w:tabs>
              <w:ind w:left="1134"/>
              <w:rPr>
                <w:sz w:val="20"/>
              </w:rPr>
            </w:pPr>
            <w:r>
              <w:rPr>
                <w:sz w:val="20"/>
              </w:rPr>
              <w:pict>
                <v:group style="width:.5pt;height:17.3pt;mso-position-horizontal-relative:char;mso-position-vertical-relative:line" id="docshapegroup614" coordorigin="0,0" coordsize="10,346">
                  <v:shape style="position:absolute;left:0;top:0;width:10;height:346" id="docshape615" coordorigin="0,0" coordsize="10,346" path="m10,307l0,307,0,346,10,346,10,307xm10,230l0,230,0,269,10,269,10,230xm10,154l0,154,0,192,10,192,10,154xm10,77l0,77,0,115,10,115,10,77xm10,0l0,0,0,38,10,38,10,0xe" filled="true" fillcolor="#000000" stroked="false">
                    <v:path arrowok="t"/>
                    <v:fill type="solid"/>
                  </v:shape>
                </v:group>
              </w:pict>
            </w:r>
            <w:r>
              <w:rPr>
                <w:sz w:val="20"/>
              </w:rPr>
            </w:r>
            <w:r>
              <w:rPr>
                <w:sz w:val="20"/>
              </w:rPr>
              <w:tab/>
            </w:r>
            <w:r>
              <w:rPr>
                <w:sz w:val="20"/>
              </w:rPr>
              <w:pict>
                <v:group style="width:.5pt;height:17.3pt;mso-position-horizontal-relative:char;mso-position-vertical-relative:line" id="docshapegroup616" coordorigin="0,0" coordsize="10,346">
                  <v:shape style="position:absolute;left:0;top:0;width:10;height:346" id="docshape617" coordorigin="0,0" coordsize="10,346" path="m10,307l0,307,0,346,10,346,10,307xm10,230l0,230,0,269,10,269,10,230xm10,154l0,154,0,192,10,192,10,154xm10,77l0,77,0,115,10,115,10,77xm10,0l0,0,0,38,10,38,10,0xe" filled="true" fillcolor="#000000" stroked="false">
                    <v:path arrowok="t"/>
                    <v:fill type="solid"/>
                  </v:shape>
                </v:group>
              </w:pict>
            </w:r>
            <w:r>
              <w:rPr>
                <w:sz w:val="20"/>
              </w:rPr>
            </w:r>
            <w:r>
              <w:rPr>
                <w:sz w:val="20"/>
              </w:rPr>
              <w:tab/>
            </w:r>
            <w:r>
              <w:rPr>
                <w:sz w:val="20"/>
              </w:rPr>
              <w:pict>
                <v:group style="width:.5pt;height:17.3pt;mso-position-horizontal-relative:char;mso-position-vertical-relative:line" id="docshapegroup618" coordorigin="0,0" coordsize="10,346">
                  <v:shape style="position:absolute;left:-1;top:0;width:10;height:346" id="docshape619" coordorigin="0,0" coordsize="10,346" path="m10,307l0,307,0,346,10,346,10,307xm10,230l0,230,0,269,10,269,10,230xm10,154l0,154,0,192,10,192,10,154xm10,77l0,77,0,115,10,115,10,77xm10,0l0,0,0,38,10,38,10,0xe" filled="true" fillcolor="#000000" stroked="false">
                    <v:path arrowok="t"/>
                    <v:fill type="solid"/>
                  </v:shape>
                </v:group>
              </w:pict>
            </w:r>
            <w:r>
              <w:rPr>
                <w:sz w:val="20"/>
              </w:rPr>
            </w:r>
            <w:r>
              <w:rPr>
                <w:sz w:val="20"/>
              </w:rPr>
              <w:tab/>
            </w:r>
            <w:r>
              <w:rPr>
                <w:sz w:val="20"/>
              </w:rPr>
              <w:pict>
                <v:group style="width:.5pt;height:17.3pt;mso-position-horizontal-relative:char;mso-position-vertical-relative:line" id="docshapegroup620" coordorigin="0,0" coordsize="10,346">
                  <v:shape style="position:absolute;left:0;top:0;width:10;height:346" id="docshape621" coordorigin="0,0" coordsize="10,346" path="m10,307l0,307,0,346,10,346,10,307xm10,230l0,230,0,269,10,269,10,230xm10,154l0,154,0,192,10,192,10,154xm10,77l0,77,0,115,10,115,10,77xm10,0l0,0,0,38,10,38,10,0xe" filled="true" fillcolor="#000000" stroked="false">
                    <v:path arrowok="t"/>
                    <v:fill type="solid"/>
                  </v:shape>
                </v:group>
              </w:pict>
            </w:r>
            <w:r>
              <w:rPr>
                <w:sz w:val="20"/>
              </w:rPr>
            </w:r>
            <w:r>
              <w:rPr>
                <w:sz w:val="20"/>
              </w:rPr>
              <w:tab/>
            </w:r>
            <w:r>
              <w:rPr>
                <w:sz w:val="20"/>
              </w:rPr>
              <w:pict>
                <v:group style="width:.5pt;height:17.3pt;mso-position-horizontal-relative:char;mso-position-vertical-relative:line" id="docshapegroup622" coordorigin="0,0" coordsize="10,346">
                  <v:shape style="position:absolute;left:0;top:0;width:10;height:346" id="docshape623" coordorigin="0,0" coordsize="10,346" path="m10,307l0,307,0,346,10,346,10,307xm10,230l0,230,0,269,10,269,10,230xm10,154l0,154,0,192,10,192,10,154xm10,77l0,77,0,115,10,115,10,77xm10,0l0,0,0,38,10,38,10,0xe" filled="true" fillcolor="#000000" stroked="false">
                    <v:path arrowok="t"/>
                    <v:fill type="solid"/>
                  </v:shape>
                </v:group>
              </w:pict>
            </w:r>
            <w:r>
              <w:rPr>
                <w:sz w:val="20"/>
              </w:rPr>
            </w:r>
            <w:r>
              <w:rPr>
                <w:sz w:val="20"/>
              </w:rPr>
              <w:tab/>
            </w:r>
            <w:r>
              <w:rPr>
                <w:sz w:val="20"/>
              </w:rPr>
              <w:pict>
                <v:group style="width:.5pt;height:17.3pt;mso-position-horizontal-relative:char;mso-position-vertical-relative:line" id="docshapegroup624" coordorigin="0,0" coordsize="10,346">
                  <v:shape style="position:absolute;left:0;top:0;width:10;height:346" id="docshape625" coordorigin="0,0" coordsize="10,346" path="m10,307l0,307,0,346,10,346,10,307xm10,230l0,230,0,269,10,269,10,230xm10,154l0,154,0,192,10,192,10,154xm10,77l0,77,0,115,10,115,10,77xm10,0l0,0,0,38,10,38,10,0xe" filled="true" fillcolor="#000000" stroked="false">
                    <v:path arrowok="t"/>
                    <v:fill type="solid"/>
                  </v:shape>
                </v:group>
              </w:pict>
            </w:r>
            <w:r>
              <w:rPr>
                <w:sz w:val="20"/>
              </w:rPr>
            </w:r>
          </w:p>
        </w:tc>
        <w:tc>
          <w:tcPr>
            <w:tcW w:w="1162" w:type="dxa"/>
            <w:tcBorders>
              <w:top w:val="dashed" w:sz="4" w:space="0" w:color="000000"/>
              <w:left w:val="single" w:sz="12" w:space="0" w:color="000000"/>
              <w:bottom w:val="dashSmallGap" w:sz="4" w:space="0" w:color="000000"/>
              <w:right w:val="single" w:sz="12" w:space="0" w:color="000000"/>
            </w:tcBorders>
          </w:tcPr>
          <w:p>
            <w:pPr>
              <w:pStyle w:val="TableParagraph"/>
              <w:rPr>
                <w:rFonts w:ascii="Times New Roman"/>
                <w:sz w:val="18"/>
              </w:rPr>
            </w:pPr>
          </w:p>
        </w:tc>
        <w:tc>
          <w:tcPr>
            <w:tcW w:w="1162" w:type="dxa"/>
            <w:tcBorders>
              <w:top w:val="dashed" w:sz="4" w:space="0" w:color="000000"/>
              <w:left w:val="single" w:sz="12" w:space="0" w:color="000000"/>
              <w:bottom w:val="dashSmallGap" w:sz="4" w:space="0" w:color="000000"/>
              <w:right w:val="single" w:sz="12" w:space="0" w:color="000000"/>
            </w:tcBorders>
          </w:tcPr>
          <w:p>
            <w:pPr>
              <w:pStyle w:val="TableParagraph"/>
              <w:rPr>
                <w:rFonts w:ascii="Times New Roman"/>
                <w:sz w:val="18"/>
              </w:rPr>
            </w:pPr>
          </w:p>
        </w:tc>
        <w:tc>
          <w:tcPr>
            <w:tcW w:w="1246" w:type="dxa"/>
            <w:tcBorders>
              <w:top w:val="dashed" w:sz="4" w:space="0" w:color="000000"/>
              <w:left w:val="single" w:sz="12" w:space="0" w:color="000000"/>
              <w:bottom w:val="dashSmallGap" w:sz="4" w:space="0" w:color="000000"/>
              <w:right w:val="single" w:sz="12" w:space="0" w:color="000000"/>
            </w:tcBorders>
          </w:tcPr>
          <w:p>
            <w:pPr>
              <w:pStyle w:val="TableParagraph"/>
              <w:rPr>
                <w:rFonts w:ascii="Times New Roman"/>
                <w:sz w:val="18"/>
              </w:rPr>
            </w:pPr>
          </w:p>
        </w:tc>
      </w:tr>
      <w:tr>
        <w:trPr>
          <w:trHeight w:val="207" w:hRule="atLeast"/>
        </w:trPr>
        <w:tc>
          <w:tcPr>
            <w:tcW w:w="4219" w:type="dxa"/>
            <w:tcBorders>
              <w:top w:val="dashed" w:sz="4" w:space="0" w:color="000000"/>
              <w:left w:val="single" w:sz="12" w:space="0" w:color="000000"/>
              <w:bottom w:val="dashed" w:sz="4" w:space="0" w:color="000000"/>
              <w:right w:val="single" w:sz="12" w:space="0" w:color="000000"/>
            </w:tcBorders>
          </w:tcPr>
          <w:p>
            <w:pPr>
              <w:pStyle w:val="TableParagraph"/>
              <w:spacing w:line="187" w:lineRule="exact"/>
              <w:ind w:left="107"/>
              <w:rPr>
                <w:sz w:val="18"/>
              </w:rPr>
            </w:pPr>
            <w:r>
              <w:rPr>
                <w:sz w:val="18"/>
              </w:rPr>
              <w:t>Plant and Fleet</w:t>
            </w:r>
            <w:r>
              <w:rPr>
                <w:spacing w:val="-3"/>
                <w:sz w:val="18"/>
              </w:rPr>
              <w:t> </w:t>
            </w:r>
            <w:r>
              <w:rPr>
                <w:sz w:val="18"/>
              </w:rPr>
              <w:t>Replacement</w:t>
            </w:r>
            <w:r>
              <w:rPr>
                <w:spacing w:val="-3"/>
                <w:sz w:val="18"/>
              </w:rPr>
              <w:t> </w:t>
            </w:r>
            <w:r>
              <w:rPr>
                <w:spacing w:val="-2"/>
                <w:sz w:val="18"/>
              </w:rPr>
              <w:t>Program</w:t>
            </w:r>
          </w:p>
        </w:tc>
        <w:tc>
          <w:tcPr>
            <w:tcW w:w="1140" w:type="dxa"/>
            <w:tcBorders>
              <w:top w:val="dashed" w:sz="4" w:space="0" w:color="000000"/>
              <w:left w:val="single" w:sz="12" w:space="0" w:color="000000"/>
              <w:bottom w:val="dashed" w:sz="4" w:space="0" w:color="000000"/>
              <w:right w:val="nil"/>
            </w:tcBorders>
          </w:tcPr>
          <w:p>
            <w:pPr>
              <w:pStyle w:val="TableParagraph"/>
              <w:spacing w:line="187" w:lineRule="exact"/>
              <w:ind w:right="74"/>
              <w:jc w:val="right"/>
              <w:rPr>
                <w:sz w:val="18"/>
              </w:rPr>
            </w:pPr>
            <w:r>
              <w:rPr>
                <w:spacing w:val="-2"/>
                <w:sz w:val="18"/>
              </w:rPr>
              <w:t>1,257</w:t>
            </w:r>
          </w:p>
        </w:tc>
        <w:tc>
          <w:tcPr>
            <w:tcW w:w="1097" w:type="dxa"/>
            <w:tcBorders>
              <w:top w:val="dashed" w:sz="2" w:space="0" w:color="000000"/>
              <w:left w:val="nil"/>
              <w:bottom w:val="dashSmallGap" w:sz="4" w:space="0" w:color="000000"/>
              <w:right w:val="nil"/>
            </w:tcBorders>
          </w:tcPr>
          <w:p>
            <w:pPr>
              <w:pStyle w:val="TableParagraph"/>
              <w:spacing w:line="187" w:lineRule="exact"/>
              <w:ind w:right="89"/>
              <w:jc w:val="right"/>
              <w:rPr>
                <w:sz w:val="18"/>
              </w:rPr>
            </w:pPr>
            <w:r>
              <w:rPr>
                <w:spacing w:val="-2"/>
                <w:sz w:val="18"/>
              </w:rPr>
              <w:t>1,257</w:t>
            </w:r>
          </w:p>
        </w:tc>
        <w:tc>
          <w:tcPr>
            <w:tcW w:w="1097" w:type="dxa"/>
            <w:tcBorders>
              <w:top w:val="dashed" w:sz="2" w:space="0" w:color="000000"/>
              <w:left w:val="nil"/>
              <w:bottom w:val="dashSmallGap" w:sz="4" w:space="0" w:color="000000"/>
              <w:right w:val="nil"/>
            </w:tcBorders>
          </w:tcPr>
          <w:p>
            <w:pPr>
              <w:pStyle w:val="TableParagraph"/>
              <w:spacing w:before="2"/>
              <w:rPr>
                <w:b/>
                <w:sz w:val="7"/>
              </w:rPr>
            </w:pPr>
          </w:p>
          <w:p>
            <w:pPr>
              <w:pStyle w:val="TableParagraph"/>
              <w:tabs>
                <w:tab w:pos="1106" w:val="left" w:leader="none"/>
              </w:tabs>
              <w:spacing w:line="38" w:lineRule="exact"/>
              <w:ind w:left="9" w:right="-87"/>
              <w:rPr>
                <w:sz w:val="3"/>
              </w:rPr>
            </w:pPr>
            <w:r>
              <w:rPr>
                <w:position w:val="0"/>
                <w:sz w:val="3"/>
              </w:rPr>
              <w:pict>
                <v:group style="width:.5pt;height:1.95pt;mso-position-horizontal-relative:char;mso-position-vertical-relative:line" id="docshapegroup626" coordorigin="0,0" coordsize="10,39">
                  <v:rect style="position:absolute;left:0;top:0;width:10;height:39" id="docshape627" filled="true" fillcolor="#000000" stroked="false">
                    <v:fill type="solid"/>
                  </v:rect>
                </v:group>
              </w:pict>
            </w:r>
            <w:r>
              <w:rPr>
                <w:position w:val="0"/>
                <w:sz w:val="3"/>
              </w:rPr>
            </w:r>
            <w:r>
              <w:rPr>
                <w:position w:val="0"/>
                <w:sz w:val="3"/>
              </w:rPr>
              <w:tab/>
            </w:r>
            <w:r>
              <w:rPr>
                <w:position w:val="0"/>
                <w:sz w:val="3"/>
              </w:rPr>
              <w:pict>
                <v:group style="width:.5pt;height:1.95pt;mso-position-horizontal-relative:char;mso-position-vertical-relative:line" id="docshapegroup628" coordorigin="0,0" coordsize="10,39">
                  <v:rect style="position:absolute;left:0;top:0;width:10;height:39" id="docshape629" filled="true" fillcolor="#000000" stroked="false">
                    <v:fill type="solid"/>
                  </v:rect>
                </v:group>
              </w:pict>
            </w:r>
            <w:r>
              <w:rPr>
                <w:position w:val="0"/>
                <w:sz w:val="3"/>
              </w:rPr>
            </w:r>
          </w:p>
        </w:tc>
        <w:tc>
          <w:tcPr>
            <w:tcW w:w="1097" w:type="dxa"/>
            <w:tcBorders>
              <w:top w:val="dashed" w:sz="4" w:space="0" w:color="000000"/>
              <w:left w:val="nil"/>
              <w:bottom w:val="dashSmallGap" w:sz="4" w:space="0" w:color="000000"/>
              <w:right w:val="nil"/>
            </w:tcBorders>
          </w:tcPr>
          <w:p>
            <w:pPr>
              <w:pStyle w:val="TableParagraph"/>
              <w:spacing w:before="2"/>
              <w:rPr>
                <w:b/>
                <w:sz w:val="7"/>
              </w:rPr>
            </w:pPr>
          </w:p>
          <w:p>
            <w:pPr>
              <w:pStyle w:val="TableParagraph"/>
              <w:spacing w:line="38" w:lineRule="exact"/>
              <w:ind w:left="1106" w:right="-87"/>
              <w:rPr>
                <w:sz w:val="3"/>
              </w:rPr>
            </w:pPr>
            <w:r>
              <w:rPr>
                <w:position w:val="0"/>
                <w:sz w:val="3"/>
              </w:rPr>
              <w:pict>
                <v:group style="width:.5pt;height:1.95pt;mso-position-horizontal-relative:char;mso-position-vertical-relative:line" id="docshapegroup630" coordorigin="0,0" coordsize="10,39">
                  <v:rect style="position:absolute;left:0;top:0;width:10;height:39" id="docshape631" filled="true" fillcolor="#000000" stroked="false">
                    <v:fill type="solid"/>
                  </v:rect>
                </v:group>
              </w:pict>
            </w:r>
            <w:r>
              <w:rPr>
                <w:position w:val="0"/>
                <w:sz w:val="3"/>
              </w:rPr>
            </w:r>
          </w:p>
        </w:tc>
        <w:tc>
          <w:tcPr>
            <w:tcW w:w="1099" w:type="dxa"/>
            <w:tcBorders>
              <w:top w:val="single" w:sz="2" w:space="0" w:color="000000"/>
              <w:left w:val="nil"/>
              <w:bottom w:val="dashed" w:sz="4" w:space="0" w:color="000000"/>
              <w:right w:val="nil"/>
            </w:tcBorders>
          </w:tcPr>
          <w:p>
            <w:pPr>
              <w:pStyle w:val="TableParagraph"/>
              <w:spacing w:line="187" w:lineRule="exact"/>
              <w:ind w:right="90"/>
              <w:jc w:val="right"/>
              <w:rPr>
                <w:sz w:val="18"/>
              </w:rPr>
            </w:pPr>
            <w:r>
              <w:rPr>
                <w:spacing w:val="-2"/>
                <w:sz w:val="18"/>
              </w:rPr>
              <w:t>1,257</w:t>
            </w:r>
          </w:p>
        </w:tc>
        <w:tc>
          <w:tcPr>
            <w:tcW w:w="960" w:type="dxa"/>
            <w:tcBorders>
              <w:top w:val="single" w:sz="2" w:space="0" w:color="000000"/>
              <w:left w:val="nil"/>
              <w:bottom w:val="dashed" w:sz="4" w:space="0" w:color="000000"/>
              <w:right w:val="nil"/>
            </w:tcBorders>
          </w:tcPr>
          <w:p>
            <w:pPr>
              <w:pStyle w:val="TableParagraph"/>
              <w:spacing w:before="2"/>
              <w:rPr>
                <w:b/>
                <w:sz w:val="7"/>
              </w:rPr>
            </w:pPr>
          </w:p>
          <w:p>
            <w:pPr>
              <w:pStyle w:val="TableParagraph"/>
              <w:tabs>
                <w:tab w:pos="969" w:val="left" w:leader="none"/>
              </w:tabs>
              <w:spacing w:line="38" w:lineRule="exact"/>
              <w:ind w:left="9" w:right="-87"/>
              <w:rPr>
                <w:sz w:val="3"/>
              </w:rPr>
            </w:pPr>
            <w:r>
              <w:rPr>
                <w:position w:val="0"/>
                <w:sz w:val="3"/>
              </w:rPr>
              <w:pict>
                <v:group style="width:.5pt;height:1.95pt;mso-position-horizontal-relative:char;mso-position-vertical-relative:line" id="docshapegroup632" coordorigin="0,0" coordsize="10,39">
                  <v:rect style="position:absolute;left:0;top:0;width:10;height:39" id="docshape633" filled="true" fillcolor="#000000" stroked="false">
                    <v:fill type="solid"/>
                  </v:rect>
                </v:group>
              </w:pict>
            </w:r>
            <w:r>
              <w:rPr>
                <w:position w:val="0"/>
                <w:sz w:val="3"/>
              </w:rPr>
            </w:r>
            <w:r>
              <w:rPr>
                <w:position w:val="0"/>
                <w:sz w:val="3"/>
              </w:rPr>
              <w:tab/>
            </w:r>
            <w:r>
              <w:rPr>
                <w:position w:val="0"/>
                <w:sz w:val="3"/>
              </w:rPr>
              <w:pict>
                <v:group style="width:.5pt;height:1.95pt;mso-position-horizontal-relative:char;mso-position-vertical-relative:line" id="docshapegroup634" coordorigin="0,0" coordsize="10,39">
                  <v:rect style="position:absolute;left:0;top:0;width:10;height:39" id="docshape635" filled="true" fillcolor="#000000" stroked="false">
                    <v:fill type="solid"/>
                  </v:rect>
                </v:group>
              </w:pict>
            </w:r>
            <w:r>
              <w:rPr>
                <w:position w:val="0"/>
                <w:sz w:val="3"/>
              </w:rPr>
            </w:r>
          </w:p>
        </w:tc>
        <w:tc>
          <w:tcPr>
            <w:tcW w:w="1092" w:type="dxa"/>
            <w:tcBorders>
              <w:top w:val="dashSmallGap" w:sz="4" w:space="0" w:color="000000"/>
              <w:left w:val="nil"/>
              <w:bottom w:val="dashed" w:sz="4" w:space="0" w:color="000000"/>
              <w:right w:val="single" w:sz="12" w:space="0" w:color="000000"/>
            </w:tcBorders>
          </w:tcPr>
          <w:p>
            <w:pPr>
              <w:pStyle w:val="TableParagraph"/>
              <w:rPr>
                <w:rFonts w:ascii="Times New Roman"/>
                <w:sz w:val="14"/>
              </w:rPr>
            </w:pPr>
          </w:p>
        </w:tc>
        <w:tc>
          <w:tcPr>
            <w:tcW w:w="1162" w:type="dxa"/>
            <w:tcBorders>
              <w:top w:val="dashSmallGap" w:sz="4" w:space="0" w:color="000000"/>
              <w:left w:val="single" w:sz="12" w:space="0" w:color="000000"/>
              <w:bottom w:val="dashed" w:sz="4" w:space="0" w:color="000000"/>
              <w:right w:val="single" w:sz="12" w:space="0" w:color="000000"/>
            </w:tcBorders>
          </w:tcPr>
          <w:p>
            <w:pPr>
              <w:pStyle w:val="TableParagraph"/>
              <w:spacing w:line="187" w:lineRule="exact"/>
              <w:ind w:right="75"/>
              <w:jc w:val="right"/>
              <w:rPr>
                <w:sz w:val="18"/>
              </w:rPr>
            </w:pPr>
            <w:r>
              <w:rPr>
                <w:spacing w:val="-2"/>
                <w:sz w:val="18"/>
              </w:rPr>
              <w:t>1,104</w:t>
            </w:r>
          </w:p>
        </w:tc>
        <w:tc>
          <w:tcPr>
            <w:tcW w:w="1162" w:type="dxa"/>
            <w:tcBorders>
              <w:top w:val="dashSmallGap" w:sz="4" w:space="0" w:color="000000"/>
              <w:left w:val="single" w:sz="12" w:space="0" w:color="000000"/>
              <w:bottom w:val="dashed" w:sz="4" w:space="0" w:color="000000"/>
              <w:right w:val="single" w:sz="12" w:space="0" w:color="000000"/>
            </w:tcBorders>
          </w:tcPr>
          <w:p>
            <w:pPr>
              <w:pStyle w:val="TableParagraph"/>
              <w:spacing w:line="187" w:lineRule="exact"/>
              <w:ind w:right="75"/>
              <w:jc w:val="right"/>
              <w:rPr>
                <w:sz w:val="18"/>
              </w:rPr>
            </w:pPr>
            <w:r>
              <w:rPr>
                <w:spacing w:val="-2"/>
                <w:sz w:val="18"/>
              </w:rPr>
              <w:t>3,350</w:t>
            </w:r>
          </w:p>
        </w:tc>
        <w:tc>
          <w:tcPr>
            <w:tcW w:w="1246" w:type="dxa"/>
            <w:tcBorders>
              <w:top w:val="dashSmallGap" w:sz="4" w:space="0" w:color="000000"/>
              <w:left w:val="single" w:sz="12" w:space="0" w:color="000000"/>
              <w:bottom w:val="dashed" w:sz="4" w:space="0" w:color="000000"/>
              <w:right w:val="single" w:sz="12" w:space="0" w:color="000000"/>
            </w:tcBorders>
          </w:tcPr>
          <w:p>
            <w:pPr>
              <w:pStyle w:val="TableParagraph"/>
              <w:spacing w:line="187" w:lineRule="exact"/>
              <w:ind w:right="76"/>
              <w:jc w:val="right"/>
              <w:rPr>
                <w:sz w:val="18"/>
              </w:rPr>
            </w:pPr>
            <w:r>
              <w:rPr>
                <w:spacing w:val="-2"/>
                <w:sz w:val="18"/>
              </w:rPr>
              <w:t>2,231</w:t>
            </w:r>
          </w:p>
        </w:tc>
      </w:tr>
      <w:tr>
        <w:trPr>
          <w:trHeight w:val="488" w:hRule="atLeast"/>
        </w:trPr>
        <w:tc>
          <w:tcPr>
            <w:tcW w:w="4219" w:type="dxa"/>
            <w:tcBorders>
              <w:top w:val="dashed" w:sz="4" w:space="0" w:color="000000"/>
              <w:left w:val="single" w:sz="12" w:space="0" w:color="000000"/>
              <w:bottom w:val="dashSmallGap" w:sz="4" w:space="0" w:color="000000"/>
              <w:right w:val="single" w:sz="12" w:space="0" w:color="000000"/>
            </w:tcBorders>
          </w:tcPr>
          <w:p>
            <w:pPr>
              <w:pStyle w:val="TableParagraph"/>
              <w:spacing w:line="254" w:lineRule="exact"/>
              <w:ind w:left="107"/>
              <w:rPr>
                <w:b/>
                <w:sz w:val="22"/>
              </w:rPr>
            </w:pPr>
            <w:r>
              <w:rPr>
                <w:b/>
                <w:sz w:val="22"/>
              </w:rPr>
              <w:t>TOTAL</w:t>
            </w:r>
            <w:r>
              <w:rPr>
                <w:b/>
                <w:spacing w:val="-14"/>
                <w:sz w:val="22"/>
              </w:rPr>
              <w:t> </w:t>
            </w:r>
            <w:r>
              <w:rPr>
                <w:b/>
                <w:sz w:val="22"/>
              </w:rPr>
              <w:t>PLANT,</w:t>
            </w:r>
            <w:r>
              <w:rPr>
                <w:b/>
                <w:spacing w:val="-11"/>
                <w:sz w:val="22"/>
              </w:rPr>
              <w:t> </w:t>
            </w:r>
            <w:r>
              <w:rPr>
                <w:b/>
                <w:sz w:val="22"/>
              </w:rPr>
              <w:t>MACHINERY</w:t>
            </w:r>
            <w:r>
              <w:rPr>
                <w:b/>
                <w:spacing w:val="-11"/>
                <w:sz w:val="22"/>
              </w:rPr>
              <w:t> </w:t>
            </w:r>
            <w:r>
              <w:rPr>
                <w:b/>
                <w:sz w:val="22"/>
              </w:rPr>
              <w:t>AND </w:t>
            </w:r>
            <w:r>
              <w:rPr>
                <w:b/>
                <w:spacing w:val="-2"/>
                <w:sz w:val="22"/>
              </w:rPr>
              <w:t>EQUIPMENT</w:t>
            </w:r>
          </w:p>
        </w:tc>
        <w:tc>
          <w:tcPr>
            <w:tcW w:w="1140" w:type="dxa"/>
            <w:tcBorders>
              <w:top w:val="dashed" w:sz="4" w:space="0" w:color="000000"/>
              <w:left w:val="single" w:sz="12" w:space="0" w:color="000000"/>
              <w:bottom w:val="dashSmallGap" w:sz="4" w:space="0" w:color="000000"/>
              <w:right w:val="nil"/>
            </w:tcBorders>
          </w:tcPr>
          <w:p>
            <w:pPr>
              <w:pStyle w:val="TableParagraph"/>
              <w:spacing w:before="150"/>
              <w:ind w:right="74"/>
              <w:jc w:val="right"/>
              <w:rPr>
                <w:b/>
                <w:sz w:val="18"/>
              </w:rPr>
            </w:pPr>
            <w:r>
              <w:rPr>
                <w:b/>
                <w:spacing w:val="-2"/>
                <w:sz w:val="18"/>
              </w:rPr>
              <w:t>1,257</w:t>
            </w:r>
          </w:p>
        </w:tc>
        <w:tc>
          <w:tcPr>
            <w:tcW w:w="1097" w:type="dxa"/>
            <w:tcBorders>
              <w:top w:val="dashSmallGap" w:sz="4" w:space="0" w:color="000000"/>
              <w:left w:val="nil"/>
              <w:bottom w:val="dashSmallGap" w:sz="4" w:space="0" w:color="000000"/>
              <w:right w:val="nil"/>
            </w:tcBorders>
          </w:tcPr>
          <w:p>
            <w:pPr>
              <w:pStyle w:val="TableParagraph"/>
              <w:spacing w:before="150"/>
              <w:ind w:right="89"/>
              <w:jc w:val="right"/>
              <w:rPr>
                <w:b/>
                <w:sz w:val="18"/>
              </w:rPr>
            </w:pPr>
            <w:r>
              <w:rPr>
                <w:b/>
                <w:spacing w:val="-2"/>
                <w:sz w:val="18"/>
              </w:rPr>
              <w:t>1,257</w:t>
            </w:r>
          </w:p>
        </w:tc>
        <w:tc>
          <w:tcPr>
            <w:tcW w:w="1097" w:type="dxa"/>
            <w:tcBorders>
              <w:top w:val="dashSmallGap" w:sz="4" w:space="0" w:color="000000"/>
              <w:left w:val="nil"/>
              <w:bottom w:val="dashSmallGap" w:sz="4" w:space="0" w:color="000000"/>
              <w:right w:val="nil"/>
            </w:tcBorders>
          </w:tcPr>
          <w:p>
            <w:pPr>
              <w:pStyle w:val="TableParagraph"/>
              <w:spacing w:before="150"/>
              <w:ind w:right="92"/>
              <w:jc w:val="right"/>
              <w:rPr>
                <w:b/>
                <w:sz w:val="18"/>
              </w:rPr>
            </w:pPr>
            <w:r>
              <w:rPr>
                <w:b/>
                <w:sz w:val="18"/>
              </w:rPr>
              <w:t>0</w:t>
            </w:r>
          </w:p>
        </w:tc>
        <w:tc>
          <w:tcPr>
            <w:tcW w:w="1097" w:type="dxa"/>
            <w:tcBorders>
              <w:top w:val="dashSmallGap" w:sz="4" w:space="0" w:color="000000"/>
              <w:left w:val="nil"/>
              <w:bottom w:val="dashed" w:sz="4" w:space="0" w:color="000000"/>
              <w:right w:val="nil"/>
            </w:tcBorders>
          </w:tcPr>
          <w:p>
            <w:pPr>
              <w:pStyle w:val="TableParagraph"/>
              <w:spacing w:before="150"/>
              <w:ind w:right="92"/>
              <w:jc w:val="right"/>
              <w:rPr>
                <w:b/>
                <w:sz w:val="18"/>
              </w:rPr>
            </w:pPr>
            <w:r>
              <w:rPr>
                <w:b/>
                <w:sz w:val="18"/>
              </w:rPr>
              <w:t>0</w:t>
            </w:r>
          </w:p>
        </w:tc>
        <w:tc>
          <w:tcPr>
            <w:tcW w:w="1099" w:type="dxa"/>
            <w:tcBorders>
              <w:top w:val="dashed" w:sz="4" w:space="0" w:color="000000"/>
              <w:left w:val="nil"/>
              <w:bottom w:val="dashed" w:sz="4" w:space="0" w:color="000000"/>
              <w:right w:val="nil"/>
            </w:tcBorders>
          </w:tcPr>
          <w:p>
            <w:pPr>
              <w:pStyle w:val="TableParagraph"/>
              <w:spacing w:before="150"/>
              <w:ind w:right="90"/>
              <w:jc w:val="right"/>
              <w:rPr>
                <w:b/>
                <w:sz w:val="18"/>
              </w:rPr>
            </w:pPr>
            <w:r>
              <w:rPr>
                <w:b/>
                <w:spacing w:val="-2"/>
                <w:sz w:val="18"/>
              </w:rPr>
              <w:t>1,257</w:t>
            </w:r>
          </w:p>
        </w:tc>
        <w:tc>
          <w:tcPr>
            <w:tcW w:w="960" w:type="dxa"/>
            <w:tcBorders>
              <w:top w:val="dashed" w:sz="4" w:space="0" w:color="000000"/>
              <w:left w:val="nil"/>
              <w:bottom w:val="dashed" w:sz="4" w:space="0" w:color="000000"/>
              <w:right w:val="nil"/>
            </w:tcBorders>
          </w:tcPr>
          <w:p>
            <w:pPr>
              <w:pStyle w:val="TableParagraph"/>
              <w:spacing w:before="150"/>
              <w:ind w:right="94"/>
              <w:jc w:val="right"/>
              <w:rPr>
                <w:b/>
                <w:sz w:val="18"/>
              </w:rPr>
            </w:pPr>
            <w:r>
              <w:rPr>
                <w:b/>
                <w:sz w:val="18"/>
              </w:rPr>
              <w:t>0</w:t>
            </w:r>
          </w:p>
        </w:tc>
        <w:tc>
          <w:tcPr>
            <w:tcW w:w="1092" w:type="dxa"/>
            <w:tcBorders>
              <w:top w:val="dashed" w:sz="4" w:space="0" w:color="000000"/>
              <w:left w:val="nil"/>
              <w:bottom w:val="dashed" w:sz="4" w:space="0" w:color="000000"/>
              <w:right w:val="single" w:sz="12" w:space="0" w:color="000000"/>
            </w:tcBorders>
          </w:tcPr>
          <w:p>
            <w:pPr>
              <w:pStyle w:val="TableParagraph"/>
              <w:spacing w:before="150"/>
              <w:ind w:right="77"/>
              <w:jc w:val="right"/>
              <w:rPr>
                <w:b/>
                <w:sz w:val="18"/>
              </w:rPr>
            </w:pPr>
            <w:r>
              <w:rPr>
                <w:b/>
                <w:sz w:val="18"/>
              </w:rPr>
              <w:t>0</w:t>
            </w:r>
          </w:p>
        </w:tc>
        <w:tc>
          <w:tcPr>
            <w:tcW w:w="1162" w:type="dxa"/>
            <w:tcBorders>
              <w:top w:val="dashed" w:sz="4" w:space="0" w:color="000000"/>
              <w:left w:val="single" w:sz="12" w:space="0" w:color="000000"/>
              <w:bottom w:val="dashed" w:sz="4" w:space="0" w:color="000000"/>
              <w:right w:val="single" w:sz="12" w:space="0" w:color="000000"/>
            </w:tcBorders>
          </w:tcPr>
          <w:p>
            <w:pPr>
              <w:pStyle w:val="TableParagraph"/>
              <w:spacing w:before="150"/>
              <w:ind w:right="75"/>
              <w:jc w:val="right"/>
              <w:rPr>
                <w:b/>
                <w:sz w:val="18"/>
              </w:rPr>
            </w:pPr>
            <w:r>
              <w:rPr>
                <w:b/>
                <w:spacing w:val="-2"/>
                <w:sz w:val="18"/>
              </w:rPr>
              <w:t>1,104</w:t>
            </w:r>
          </w:p>
        </w:tc>
        <w:tc>
          <w:tcPr>
            <w:tcW w:w="1162" w:type="dxa"/>
            <w:tcBorders>
              <w:top w:val="dashed" w:sz="4" w:space="0" w:color="000000"/>
              <w:left w:val="single" w:sz="12" w:space="0" w:color="000000"/>
              <w:bottom w:val="dashed" w:sz="4" w:space="0" w:color="000000"/>
              <w:right w:val="single" w:sz="12" w:space="0" w:color="000000"/>
            </w:tcBorders>
          </w:tcPr>
          <w:p>
            <w:pPr>
              <w:pStyle w:val="TableParagraph"/>
              <w:spacing w:before="150"/>
              <w:ind w:right="75"/>
              <w:jc w:val="right"/>
              <w:rPr>
                <w:b/>
                <w:sz w:val="18"/>
              </w:rPr>
            </w:pPr>
            <w:r>
              <w:rPr>
                <w:b/>
                <w:spacing w:val="-2"/>
                <w:sz w:val="18"/>
              </w:rPr>
              <w:t>3,350</w:t>
            </w:r>
          </w:p>
        </w:tc>
        <w:tc>
          <w:tcPr>
            <w:tcW w:w="1246" w:type="dxa"/>
            <w:tcBorders>
              <w:top w:val="dashed" w:sz="4" w:space="0" w:color="000000"/>
              <w:left w:val="single" w:sz="12" w:space="0" w:color="000000"/>
              <w:bottom w:val="dashed" w:sz="4" w:space="0" w:color="000000"/>
              <w:right w:val="single" w:sz="12" w:space="0" w:color="000000"/>
            </w:tcBorders>
          </w:tcPr>
          <w:p>
            <w:pPr>
              <w:pStyle w:val="TableParagraph"/>
              <w:spacing w:before="150"/>
              <w:ind w:right="76"/>
              <w:jc w:val="right"/>
              <w:rPr>
                <w:b/>
                <w:sz w:val="18"/>
              </w:rPr>
            </w:pPr>
            <w:r>
              <w:rPr>
                <w:b/>
                <w:spacing w:val="-2"/>
                <w:sz w:val="18"/>
              </w:rPr>
              <w:t>2,231</w:t>
            </w:r>
          </w:p>
        </w:tc>
      </w:tr>
      <w:tr>
        <w:trPr>
          <w:trHeight w:val="451" w:hRule="atLeast"/>
        </w:trPr>
        <w:tc>
          <w:tcPr>
            <w:tcW w:w="4219" w:type="dxa"/>
            <w:tcBorders>
              <w:top w:val="dashSmallGap" w:sz="4" w:space="0" w:color="000000"/>
              <w:left w:val="single" w:sz="12" w:space="0" w:color="000000"/>
              <w:bottom w:val="dashSmallGap" w:sz="4" w:space="0" w:color="000000"/>
              <w:right w:val="single" w:sz="12" w:space="0" w:color="000000"/>
            </w:tcBorders>
          </w:tcPr>
          <w:p>
            <w:pPr>
              <w:pStyle w:val="TableParagraph"/>
              <w:spacing w:line="216" w:lineRule="exact"/>
              <w:ind w:left="107"/>
              <w:rPr>
                <w:b/>
                <w:sz w:val="22"/>
              </w:rPr>
            </w:pPr>
            <w:r>
              <w:rPr>
                <w:b/>
                <w:sz w:val="22"/>
              </w:rPr>
              <w:t>COMPUTERS</w:t>
            </w:r>
            <w:r>
              <w:rPr>
                <w:b/>
                <w:spacing w:val="-8"/>
                <w:sz w:val="22"/>
              </w:rPr>
              <w:t> </w:t>
            </w:r>
            <w:r>
              <w:rPr>
                <w:b/>
                <w:spacing w:val="-5"/>
                <w:sz w:val="22"/>
              </w:rPr>
              <w:t>AND</w:t>
            </w:r>
          </w:p>
          <w:p>
            <w:pPr>
              <w:pStyle w:val="TableParagraph"/>
              <w:spacing w:line="214" w:lineRule="exact" w:before="1"/>
              <w:ind w:left="107"/>
              <w:rPr>
                <w:b/>
                <w:sz w:val="22"/>
              </w:rPr>
            </w:pPr>
            <w:r>
              <w:rPr>
                <w:b/>
                <w:spacing w:val="-2"/>
                <w:sz w:val="22"/>
              </w:rPr>
              <w:t>TELECOMMUNICATIONS</w:t>
            </w:r>
          </w:p>
        </w:tc>
        <w:tc>
          <w:tcPr>
            <w:tcW w:w="7582" w:type="dxa"/>
            <w:gridSpan w:val="7"/>
            <w:tcBorders>
              <w:left w:val="single" w:sz="12" w:space="0" w:color="000000"/>
              <w:right w:val="single" w:sz="12" w:space="0" w:color="000000"/>
            </w:tcBorders>
          </w:tcPr>
          <w:p>
            <w:pPr>
              <w:pStyle w:val="TableParagraph"/>
              <w:tabs>
                <w:tab w:pos="2231" w:val="left" w:leader="none"/>
                <w:tab w:pos="3328" w:val="left" w:leader="none"/>
                <w:tab w:pos="4425" w:val="left" w:leader="none"/>
                <w:tab w:pos="5524" w:val="left" w:leader="none"/>
                <w:tab w:pos="6484" w:val="left" w:leader="none"/>
              </w:tabs>
              <w:ind w:left="1134"/>
              <w:rPr>
                <w:sz w:val="20"/>
              </w:rPr>
            </w:pPr>
            <w:r>
              <w:rPr>
                <w:sz w:val="20"/>
              </w:rPr>
              <w:pict>
                <v:group style="width:.5pt;height:21.15pt;mso-position-horizontal-relative:char;mso-position-vertical-relative:line" id="docshapegroup636" coordorigin="0,0" coordsize="10,423">
                  <v:shape style="position:absolute;left:0;top:0;width:10;height:423" id="docshape637" coordorigin="0,0" coordsize="10,423" path="m10,384l0,384,0,422,10,422,10,384xm10,307l0,307,0,346,10,346,10,307xm10,230l0,230,0,269,10,269,10,230xm10,154l0,154,0,192,10,192,10,154xm10,77l0,77,0,115,10,115,10,77xm10,0l0,0,0,38,10,38,10,0xe" filled="true" fillcolor="#000000" stroked="false">
                    <v:path arrowok="t"/>
                    <v:fill type="solid"/>
                  </v:shape>
                </v:group>
              </w:pict>
            </w:r>
            <w:r>
              <w:rPr>
                <w:sz w:val="20"/>
              </w:rPr>
            </w:r>
            <w:r>
              <w:rPr>
                <w:sz w:val="20"/>
              </w:rPr>
              <w:tab/>
            </w:r>
            <w:r>
              <w:rPr>
                <w:sz w:val="20"/>
              </w:rPr>
              <w:pict>
                <v:group style="width:.5pt;height:21.15pt;mso-position-horizontal-relative:char;mso-position-vertical-relative:line" id="docshapegroup638" coordorigin="0,0" coordsize="10,423">
                  <v:shape style="position:absolute;left:0;top:0;width:10;height:423" id="docshape639" coordorigin="0,0" coordsize="10,423" path="m10,384l0,384,0,422,10,422,10,384xm10,307l0,307,0,346,10,346,10,307xm10,230l0,230,0,269,10,269,10,230xm10,154l0,154,0,192,10,192,10,154xm10,77l0,77,0,115,10,115,10,77xm10,0l0,0,0,38,10,38,10,0xe" filled="true" fillcolor="#000000" stroked="false">
                    <v:path arrowok="t"/>
                    <v:fill type="solid"/>
                  </v:shape>
                </v:group>
              </w:pict>
            </w:r>
            <w:r>
              <w:rPr>
                <w:sz w:val="20"/>
              </w:rPr>
            </w:r>
            <w:r>
              <w:rPr>
                <w:sz w:val="20"/>
              </w:rPr>
              <w:tab/>
            </w:r>
            <w:r>
              <w:rPr>
                <w:sz w:val="20"/>
              </w:rPr>
              <w:pict>
                <v:group style="width:.5pt;height:21.15pt;mso-position-horizontal-relative:char;mso-position-vertical-relative:line" id="docshapegroup640" coordorigin="0,0" coordsize="10,423">
                  <v:shape style="position:absolute;left:-1;top:0;width:10;height:423" id="docshape641" coordorigin="0,0" coordsize="10,423" path="m10,384l0,384,0,422,10,422,10,384xm10,307l0,307,0,346,10,346,10,307xm10,230l0,230,0,269,10,269,10,230xm10,154l0,154,0,192,10,192,10,154xm10,77l0,77,0,115,10,115,10,77xm10,0l0,0,0,38,10,38,10,0xe" filled="true" fillcolor="#000000" stroked="false">
                    <v:path arrowok="t"/>
                    <v:fill type="solid"/>
                  </v:shape>
                </v:group>
              </w:pict>
            </w:r>
            <w:r>
              <w:rPr>
                <w:sz w:val="20"/>
              </w:rPr>
            </w:r>
            <w:r>
              <w:rPr>
                <w:sz w:val="20"/>
              </w:rPr>
              <w:tab/>
            </w:r>
            <w:r>
              <w:rPr>
                <w:sz w:val="20"/>
              </w:rPr>
              <w:pict>
                <v:group style="width:.5pt;height:21.15pt;mso-position-horizontal-relative:char;mso-position-vertical-relative:line" id="docshapegroup642" coordorigin="0,0" coordsize="10,423">
                  <v:shape style="position:absolute;left:0;top:0;width:10;height:423" id="docshape643" coordorigin="0,0" coordsize="10,423" path="m10,384l0,384,0,422,10,422,10,384xm10,307l0,307,0,346,10,346,10,307xm10,230l0,230,0,269,10,269,10,230xm10,154l0,154,0,192,10,192,10,154xm10,77l0,77,0,115,10,115,10,77xm10,0l0,0,0,38,10,38,10,0xe" filled="true" fillcolor="#000000" stroked="false">
                    <v:path arrowok="t"/>
                    <v:fill type="solid"/>
                  </v:shape>
                </v:group>
              </w:pict>
            </w:r>
            <w:r>
              <w:rPr>
                <w:sz w:val="20"/>
              </w:rPr>
            </w:r>
            <w:r>
              <w:rPr>
                <w:sz w:val="20"/>
              </w:rPr>
              <w:tab/>
            </w:r>
            <w:r>
              <w:rPr>
                <w:sz w:val="20"/>
              </w:rPr>
              <w:pict>
                <v:group style="width:.5pt;height:21.15pt;mso-position-horizontal-relative:char;mso-position-vertical-relative:line" id="docshapegroup644" coordorigin="0,0" coordsize="10,423">
                  <v:shape style="position:absolute;left:0;top:0;width:10;height:423" id="docshape645" coordorigin="0,0" coordsize="10,423" path="m10,384l0,384,0,422,10,422,10,384xm10,307l0,307,0,346,10,346,10,307xm10,230l0,230,0,269,10,269,10,230xm10,154l0,154,0,192,10,192,10,154xm10,77l0,77,0,115,10,115,10,77xm10,0l0,0,0,38,10,38,10,0xe" filled="true" fillcolor="#000000" stroked="false">
                    <v:path arrowok="t"/>
                    <v:fill type="solid"/>
                  </v:shape>
                </v:group>
              </w:pict>
            </w:r>
            <w:r>
              <w:rPr>
                <w:sz w:val="20"/>
              </w:rPr>
            </w:r>
            <w:r>
              <w:rPr>
                <w:sz w:val="20"/>
              </w:rPr>
              <w:tab/>
            </w:r>
            <w:r>
              <w:rPr>
                <w:sz w:val="20"/>
              </w:rPr>
              <w:pict>
                <v:group style="width:.5pt;height:21.15pt;mso-position-horizontal-relative:char;mso-position-vertical-relative:line" id="docshapegroup646" coordorigin="0,0" coordsize="10,423">
                  <v:shape style="position:absolute;left:0;top:0;width:10;height:423" id="docshape647" coordorigin="0,0" coordsize="10,423" path="m10,384l0,384,0,422,10,422,10,384xm10,307l0,307,0,346,10,346,10,307xm10,230l0,230,0,269,10,269,10,230xm10,154l0,154,0,192,10,192,10,154xm10,77l0,77,0,115,10,115,10,77xm10,0l0,0,0,38,10,38,10,0xe" filled="true" fillcolor="#000000" stroked="false">
                    <v:path arrowok="t"/>
                    <v:fill type="solid"/>
                  </v:shape>
                </v:group>
              </w:pict>
            </w:r>
            <w:r>
              <w:rPr>
                <w:sz w:val="20"/>
              </w:rPr>
            </w:r>
          </w:p>
        </w:tc>
        <w:tc>
          <w:tcPr>
            <w:tcW w:w="1162"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162"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46"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r>
      <w:tr>
        <w:trPr>
          <w:trHeight w:val="424" w:hRule="atLeast"/>
        </w:trPr>
        <w:tc>
          <w:tcPr>
            <w:tcW w:w="4219" w:type="dxa"/>
            <w:tcBorders>
              <w:top w:val="dashSmallGap" w:sz="4" w:space="0" w:color="000000"/>
              <w:left w:val="single" w:sz="12" w:space="0" w:color="000000"/>
              <w:bottom w:val="dashSmallGap" w:sz="4" w:space="0" w:color="000000"/>
              <w:right w:val="single" w:sz="12" w:space="0" w:color="000000"/>
            </w:tcBorders>
          </w:tcPr>
          <w:p>
            <w:pPr>
              <w:pStyle w:val="TableParagraph"/>
              <w:spacing w:before="105"/>
              <w:ind w:left="107"/>
              <w:rPr>
                <w:sz w:val="18"/>
              </w:rPr>
            </w:pPr>
            <w:r>
              <w:rPr>
                <w:sz w:val="18"/>
              </w:rPr>
              <w:t>Information</w:t>
            </w:r>
            <w:r>
              <w:rPr>
                <w:spacing w:val="-3"/>
                <w:sz w:val="18"/>
              </w:rPr>
              <w:t> </w:t>
            </w:r>
            <w:r>
              <w:rPr>
                <w:sz w:val="18"/>
              </w:rPr>
              <w:t>Technology</w:t>
            </w:r>
            <w:r>
              <w:rPr>
                <w:spacing w:val="-2"/>
                <w:sz w:val="18"/>
              </w:rPr>
              <w:t> </w:t>
            </w:r>
            <w:r>
              <w:rPr>
                <w:sz w:val="18"/>
              </w:rPr>
              <w:t>Improvement</w:t>
            </w:r>
            <w:r>
              <w:rPr>
                <w:spacing w:val="-1"/>
                <w:sz w:val="18"/>
              </w:rPr>
              <w:t> </w:t>
            </w:r>
            <w:r>
              <w:rPr>
                <w:spacing w:val="-2"/>
                <w:sz w:val="18"/>
              </w:rPr>
              <w:t>Program</w:t>
            </w:r>
          </w:p>
        </w:tc>
        <w:tc>
          <w:tcPr>
            <w:tcW w:w="1140" w:type="dxa"/>
            <w:tcBorders>
              <w:top w:val="dashSmallGap" w:sz="4" w:space="0" w:color="000000"/>
              <w:left w:val="single" w:sz="12" w:space="0" w:color="000000"/>
              <w:bottom w:val="dashSmallGap" w:sz="4" w:space="0" w:color="000000"/>
              <w:right w:val="nil"/>
            </w:tcBorders>
          </w:tcPr>
          <w:p>
            <w:pPr>
              <w:pStyle w:val="TableParagraph"/>
              <w:spacing w:before="105"/>
              <w:ind w:right="76"/>
              <w:jc w:val="right"/>
              <w:rPr>
                <w:sz w:val="18"/>
              </w:rPr>
            </w:pPr>
            <w:r>
              <w:rPr>
                <w:spacing w:val="-5"/>
                <w:sz w:val="18"/>
              </w:rPr>
              <w:t>326</w:t>
            </w:r>
          </w:p>
        </w:tc>
        <w:tc>
          <w:tcPr>
            <w:tcW w:w="1097" w:type="dxa"/>
            <w:tcBorders>
              <w:top w:val="dashSmallGap" w:sz="4" w:space="0" w:color="000000"/>
              <w:left w:val="nil"/>
              <w:bottom w:val="dashSmallGap" w:sz="4" w:space="0" w:color="000000"/>
              <w:right w:val="nil"/>
            </w:tcBorders>
          </w:tcPr>
          <w:p>
            <w:pPr>
              <w:pStyle w:val="TableParagraph"/>
              <w:spacing w:before="105"/>
              <w:ind w:right="91"/>
              <w:jc w:val="right"/>
              <w:rPr>
                <w:sz w:val="18"/>
              </w:rPr>
            </w:pPr>
            <w:r>
              <w:rPr>
                <w:spacing w:val="-5"/>
                <w:sz w:val="18"/>
              </w:rPr>
              <w:t>326</w:t>
            </w:r>
          </w:p>
        </w:tc>
        <w:tc>
          <w:tcPr>
            <w:tcW w:w="1097" w:type="dxa"/>
            <w:tcBorders>
              <w:top w:val="dashSmallGap" w:sz="4" w:space="0" w:color="000000"/>
              <w:left w:val="nil"/>
              <w:bottom w:val="dashSmallGap" w:sz="4" w:space="0" w:color="000000"/>
              <w:right w:val="nil"/>
            </w:tcBorders>
          </w:tcPr>
          <w:p>
            <w:pPr>
              <w:pStyle w:val="TableParagraph"/>
              <w:spacing w:before="1"/>
              <w:rPr>
                <w:b/>
                <w:sz w:val="3"/>
              </w:rPr>
            </w:pPr>
          </w:p>
          <w:p>
            <w:pPr>
              <w:pStyle w:val="TableParagraph"/>
              <w:tabs>
                <w:tab w:pos="1106" w:val="left" w:leader="none"/>
              </w:tabs>
              <w:ind w:left="9" w:right="-87"/>
              <w:rPr>
                <w:sz w:val="20"/>
              </w:rPr>
            </w:pPr>
            <w:r>
              <w:rPr>
                <w:sz w:val="20"/>
              </w:rPr>
              <w:pict>
                <v:group style="width:.5pt;height:17.3pt;mso-position-horizontal-relative:char;mso-position-vertical-relative:line" id="docshapegroup648" coordorigin="0,0" coordsize="10,346">
                  <v:shape style="position:absolute;left:0;top:0;width:10;height:346" id="docshape649" coordorigin="0,0" coordsize="10,346" path="m10,307l0,307,0,346,10,346,10,307xm10,230l0,230,0,269,10,269,10,230xm10,154l0,154,0,192,10,192,10,154xm10,77l0,77,0,115,10,115,10,77xm10,0l0,0,0,38,10,38,10,0xe" filled="true" fillcolor="#000000" stroked="false">
                    <v:path arrowok="t"/>
                    <v:fill type="solid"/>
                  </v:shape>
                </v:group>
              </w:pict>
            </w:r>
            <w:r>
              <w:rPr>
                <w:sz w:val="20"/>
              </w:rPr>
            </w:r>
            <w:r>
              <w:rPr>
                <w:sz w:val="20"/>
              </w:rPr>
              <w:tab/>
            </w:r>
            <w:r>
              <w:rPr>
                <w:sz w:val="20"/>
              </w:rPr>
              <w:pict>
                <v:group style="width:.5pt;height:17.3pt;mso-position-horizontal-relative:char;mso-position-vertical-relative:line" id="docshapegroup650" coordorigin="0,0" coordsize="10,346">
                  <v:shape style="position:absolute;left:-1;top:0;width:10;height:346" id="docshape651" coordorigin="0,0" coordsize="10,346" path="m10,307l0,307,0,346,10,346,10,307xm10,230l0,230,0,269,10,269,10,230xm10,154l0,154,0,192,10,192,10,154xm10,77l0,77,0,115,10,115,10,77xm10,0l0,0,0,38,10,38,10,0xe" filled="true" fillcolor="#000000" stroked="false">
                    <v:path arrowok="t"/>
                    <v:fill type="solid"/>
                  </v:shape>
                </v:group>
              </w:pict>
            </w:r>
            <w:r>
              <w:rPr>
                <w:sz w:val="20"/>
              </w:rPr>
            </w:r>
          </w:p>
        </w:tc>
        <w:tc>
          <w:tcPr>
            <w:tcW w:w="1097" w:type="dxa"/>
            <w:tcBorders>
              <w:top w:val="dashed" w:sz="4" w:space="0" w:color="000000"/>
              <w:left w:val="nil"/>
              <w:bottom w:val="dashed" w:sz="4" w:space="0" w:color="000000"/>
              <w:right w:val="nil"/>
            </w:tcBorders>
          </w:tcPr>
          <w:p>
            <w:pPr>
              <w:pStyle w:val="TableParagraph"/>
              <w:spacing w:before="1"/>
              <w:rPr>
                <w:b/>
                <w:sz w:val="3"/>
              </w:rPr>
            </w:pPr>
          </w:p>
          <w:p>
            <w:pPr>
              <w:pStyle w:val="TableParagraph"/>
              <w:ind w:left="1106" w:right="-87"/>
              <w:rPr>
                <w:sz w:val="20"/>
              </w:rPr>
            </w:pPr>
            <w:r>
              <w:rPr>
                <w:sz w:val="20"/>
              </w:rPr>
              <w:pict>
                <v:group style="width:.5pt;height:17.3pt;mso-position-horizontal-relative:char;mso-position-vertical-relative:line" id="docshapegroup652" coordorigin="0,0" coordsize="10,346">
                  <v:shape style="position:absolute;left:0;top:0;width:10;height:346" id="docshape653" coordorigin="0,0" coordsize="10,346" path="m10,307l0,307,0,346,10,346,10,307xm10,230l0,230,0,269,10,269,10,230xm10,154l0,154,0,192,10,192,10,154xm10,77l0,77,0,115,10,115,10,77xm10,0l0,0,0,38,10,38,10,0xe" filled="true" fillcolor="#000000" stroked="false">
                    <v:path arrowok="t"/>
                    <v:fill type="solid"/>
                  </v:shape>
                </v:group>
              </w:pict>
            </w:r>
            <w:r>
              <w:rPr>
                <w:sz w:val="20"/>
              </w:rPr>
            </w:r>
          </w:p>
        </w:tc>
        <w:tc>
          <w:tcPr>
            <w:tcW w:w="1099" w:type="dxa"/>
            <w:tcBorders>
              <w:top w:val="dashed" w:sz="4" w:space="0" w:color="000000"/>
              <w:left w:val="nil"/>
              <w:bottom w:val="dashed" w:sz="4" w:space="0" w:color="000000"/>
              <w:right w:val="nil"/>
            </w:tcBorders>
          </w:tcPr>
          <w:p>
            <w:pPr>
              <w:pStyle w:val="TableParagraph"/>
              <w:spacing w:before="105"/>
              <w:ind w:right="91"/>
              <w:jc w:val="right"/>
              <w:rPr>
                <w:sz w:val="18"/>
              </w:rPr>
            </w:pPr>
            <w:r>
              <w:rPr>
                <w:spacing w:val="-5"/>
                <w:sz w:val="18"/>
              </w:rPr>
              <w:t>163</w:t>
            </w:r>
          </w:p>
        </w:tc>
        <w:tc>
          <w:tcPr>
            <w:tcW w:w="960" w:type="dxa"/>
            <w:tcBorders>
              <w:top w:val="dashed" w:sz="4" w:space="0" w:color="000000"/>
              <w:left w:val="nil"/>
              <w:bottom w:val="dashed" w:sz="4" w:space="0" w:color="000000"/>
              <w:right w:val="nil"/>
            </w:tcBorders>
          </w:tcPr>
          <w:p>
            <w:pPr>
              <w:pStyle w:val="TableParagraph"/>
              <w:spacing w:before="105"/>
              <w:ind w:right="93"/>
              <w:jc w:val="right"/>
              <w:rPr>
                <w:sz w:val="18"/>
              </w:rPr>
            </w:pPr>
            <w:r>
              <w:rPr>
                <w:spacing w:val="-5"/>
                <w:sz w:val="18"/>
              </w:rPr>
              <w:t>65</w:t>
            </w:r>
          </w:p>
        </w:tc>
        <w:tc>
          <w:tcPr>
            <w:tcW w:w="1092" w:type="dxa"/>
            <w:tcBorders>
              <w:top w:val="dashed" w:sz="4" w:space="0" w:color="000000"/>
              <w:left w:val="nil"/>
              <w:bottom w:val="dashed" w:sz="4" w:space="0" w:color="000000"/>
              <w:right w:val="single" w:sz="12" w:space="0" w:color="000000"/>
            </w:tcBorders>
          </w:tcPr>
          <w:p>
            <w:pPr>
              <w:pStyle w:val="TableParagraph"/>
              <w:spacing w:before="105"/>
              <w:ind w:right="75"/>
              <w:jc w:val="right"/>
              <w:rPr>
                <w:sz w:val="18"/>
              </w:rPr>
            </w:pPr>
            <w:r>
              <w:rPr>
                <w:spacing w:val="-5"/>
                <w:sz w:val="18"/>
              </w:rPr>
              <w:t>98</w:t>
            </w:r>
          </w:p>
        </w:tc>
        <w:tc>
          <w:tcPr>
            <w:tcW w:w="1162" w:type="dxa"/>
            <w:tcBorders>
              <w:top w:val="dashed" w:sz="4" w:space="0" w:color="000000"/>
              <w:left w:val="single" w:sz="12" w:space="0" w:color="000000"/>
              <w:bottom w:val="dashed" w:sz="4" w:space="0" w:color="000000"/>
              <w:right w:val="single" w:sz="12" w:space="0" w:color="000000"/>
            </w:tcBorders>
          </w:tcPr>
          <w:p>
            <w:pPr>
              <w:pStyle w:val="TableParagraph"/>
              <w:spacing w:before="105"/>
              <w:ind w:right="76"/>
              <w:jc w:val="right"/>
              <w:rPr>
                <w:sz w:val="18"/>
              </w:rPr>
            </w:pPr>
            <w:r>
              <w:rPr>
                <w:spacing w:val="-5"/>
                <w:sz w:val="18"/>
              </w:rPr>
              <w:t>546</w:t>
            </w:r>
          </w:p>
        </w:tc>
        <w:tc>
          <w:tcPr>
            <w:tcW w:w="1162" w:type="dxa"/>
            <w:tcBorders>
              <w:top w:val="dashed" w:sz="4" w:space="0" w:color="000000"/>
              <w:left w:val="single" w:sz="12" w:space="0" w:color="000000"/>
              <w:bottom w:val="dashed" w:sz="4" w:space="0" w:color="000000"/>
              <w:right w:val="single" w:sz="12" w:space="0" w:color="000000"/>
            </w:tcBorders>
          </w:tcPr>
          <w:p>
            <w:pPr>
              <w:pStyle w:val="TableParagraph"/>
              <w:spacing w:before="105"/>
              <w:ind w:right="77"/>
              <w:jc w:val="right"/>
              <w:rPr>
                <w:sz w:val="18"/>
              </w:rPr>
            </w:pPr>
            <w:r>
              <w:rPr>
                <w:spacing w:val="-5"/>
                <w:sz w:val="18"/>
              </w:rPr>
              <w:t>366</w:t>
            </w:r>
          </w:p>
        </w:tc>
        <w:tc>
          <w:tcPr>
            <w:tcW w:w="1246" w:type="dxa"/>
            <w:tcBorders>
              <w:top w:val="dashed" w:sz="4" w:space="0" w:color="000000"/>
              <w:left w:val="single" w:sz="12" w:space="0" w:color="000000"/>
              <w:bottom w:val="dashed" w:sz="4" w:space="0" w:color="000000"/>
              <w:right w:val="single" w:sz="12" w:space="0" w:color="000000"/>
            </w:tcBorders>
          </w:tcPr>
          <w:p>
            <w:pPr>
              <w:pStyle w:val="TableParagraph"/>
              <w:spacing w:before="105"/>
              <w:ind w:right="77"/>
              <w:jc w:val="right"/>
              <w:rPr>
                <w:sz w:val="18"/>
              </w:rPr>
            </w:pPr>
            <w:r>
              <w:rPr>
                <w:spacing w:val="-5"/>
                <w:sz w:val="18"/>
              </w:rPr>
              <w:t>566</w:t>
            </w:r>
          </w:p>
        </w:tc>
      </w:tr>
      <w:tr>
        <w:trPr>
          <w:trHeight w:val="226" w:hRule="atLeast"/>
        </w:trPr>
        <w:tc>
          <w:tcPr>
            <w:tcW w:w="4219" w:type="dxa"/>
            <w:tcBorders>
              <w:top w:val="dashSmallGap" w:sz="4" w:space="0" w:color="000000"/>
              <w:left w:val="single" w:sz="12" w:space="0" w:color="000000"/>
              <w:bottom w:val="dashed" w:sz="4" w:space="0" w:color="000000"/>
              <w:right w:val="single" w:sz="12" w:space="0" w:color="000000"/>
            </w:tcBorders>
          </w:tcPr>
          <w:p>
            <w:pPr>
              <w:pStyle w:val="TableParagraph"/>
              <w:spacing w:line="206" w:lineRule="exact"/>
              <w:ind w:left="107"/>
              <w:rPr>
                <w:sz w:val="18"/>
              </w:rPr>
            </w:pPr>
            <w:r>
              <w:rPr>
                <w:sz w:val="18"/>
              </w:rPr>
              <w:t>Digital </w:t>
            </w:r>
            <w:r>
              <w:rPr>
                <w:spacing w:val="-2"/>
                <w:sz w:val="18"/>
              </w:rPr>
              <w:t>Initiatives</w:t>
            </w:r>
          </w:p>
        </w:tc>
        <w:tc>
          <w:tcPr>
            <w:tcW w:w="7582" w:type="dxa"/>
            <w:gridSpan w:val="7"/>
            <w:tcBorders>
              <w:left w:val="single" w:sz="12" w:space="0" w:color="000000"/>
              <w:bottom w:val="nil"/>
              <w:right w:val="single" w:sz="12" w:space="0" w:color="000000"/>
            </w:tcBorders>
          </w:tcPr>
          <w:p>
            <w:pPr>
              <w:pStyle w:val="TableParagraph"/>
              <w:spacing w:before="4"/>
              <w:rPr>
                <w:b/>
                <w:sz w:val="2"/>
              </w:rPr>
            </w:pPr>
          </w:p>
          <w:p>
            <w:pPr>
              <w:pStyle w:val="TableParagraph"/>
              <w:tabs>
                <w:tab w:pos="2231" w:val="left" w:leader="none"/>
                <w:tab w:pos="3328" w:val="left" w:leader="none"/>
                <w:tab w:pos="4425" w:val="left" w:leader="none"/>
                <w:tab w:pos="5524" w:val="left" w:leader="none"/>
                <w:tab w:pos="6484" w:val="left" w:leader="none"/>
              </w:tabs>
              <w:spacing w:line="115" w:lineRule="exact"/>
              <w:ind w:left="1134"/>
              <w:rPr>
                <w:sz w:val="11"/>
              </w:rPr>
            </w:pPr>
            <w:r>
              <w:rPr>
                <w:position w:val="-1"/>
                <w:sz w:val="11"/>
              </w:rPr>
              <w:pict>
                <v:group style="width:.5pt;height:5.8pt;mso-position-horizontal-relative:char;mso-position-vertical-relative:line" id="docshapegroup654" coordorigin="0,0" coordsize="10,116">
                  <v:shape style="position:absolute;left:0;top:0;width:10;height:116" id="docshape655"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656" coordorigin="0,0" coordsize="10,116">
                  <v:shape style="position:absolute;left:0;top:0;width:10;height:116" id="docshape657"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658" coordorigin="0,0" coordsize="10,116">
                  <v:shape style="position:absolute;left:-1;top:0;width:10;height:116" id="docshape659"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660" coordorigin="0,0" coordsize="10,116">
                  <v:shape style="position:absolute;left:0;top:0;width:10;height:116" id="docshape661"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662" coordorigin="0,0" coordsize="10,116">
                  <v:shape style="position:absolute;left:0;top:0;width:10;height:116" id="docshape663" coordorigin="0,0" coordsize="10,116" path="m10,77l0,77,0,115,10,115,10,77xm10,0l0,0,0,38,10,38,10,0xe" filled="true" fillcolor="#000000" stroked="false">
                    <v:path arrowok="t"/>
                    <v:fill type="solid"/>
                  </v:shape>
                </v:group>
              </w:pict>
            </w:r>
            <w:r>
              <w:rPr>
                <w:position w:val="-1"/>
                <w:sz w:val="11"/>
              </w:rPr>
            </w:r>
            <w:r>
              <w:rPr>
                <w:position w:val="-1"/>
                <w:sz w:val="11"/>
              </w:rPr>
              <w:tab/>
            </w:r>
            <w:r>
              <w:rPr>
                <w:position w:val="-1"/>
                <w:sz w:val="11"/>
              </w:rPr>
              <w:pict>
                <v:group style="width:.5pt;height:5.8pt;mso-position-horizontal-relative:char;mso-position-vertical-relative:line" id="docshapegroup664" coordorigin="0,0" coordsize="10,116">
                  <v:shape style="position:absolute;left:0;top:0;width:10;height:116" id="docshape665" coordorigin="0,0" coordsize="10,116" path="m10,77l0,77,0,115,10,115,10,77xm10,0l0,0,0,38,10,38,10,0xe" filled="true" fillcolor="#000000" stroked="false">
                    <v:path arrowok="t"/>
                    <v:fill type="solid"/>
                  </v:shape>
                </v:group>
              </w:pict>
            </w:r>
            <w:r>
              <w:rPr>
                <w:position w:val="-1"/>
                <w:sz w:val="11"/>
              </w:rPr>
            </w:r>
          </w:p>
        </w:tc>
        <w:tc>
          <w:tcPr>
            <w:tcW w:w="1162" w:type="dxa"/>
            <w:tcBorders>
              <w:top w:val="dashed" w:sz="4" w:space="0" w:color="000000"/>
              <w:left w:val="single" w:sz="12" w:space="0" w:color="000000"/>
              <w:bottom w:val="dashed" w:sz="4" w:space="0" w:color="000000"/>
              <w:right w:val="single" w:sz="12" w:space="0" w:color="000000"/>
            </w:tcBorders>
          </w:tcPr>
          <w:p>
            <w:pPr>
              <w:pStyle w:val="TableParagraph"/>
              <w:spacing w:line="206" w:lineRule="exact"/>
              <w:ind w:right="76"/>
              <w:jc w:val="right"/>
              <w:rPr>
                <w:sz w:val="18"/>
              </w:rPr>
            </w:pPr>
            <w:r>
              <w:rPr>
                <w:spacing w:val="-5"/>
                <w:sz w:val="18"/>
              </w:rPr>
              <w:t>55</w:t>
            </w:r>
          </w:p>
        </w:tc>
        <w:tc>
          <w:tcPr>
            <w:tcW w:w="1162"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6"/>
              </w:rPr>
            </w:pPr>
          </w:p>
        </w:tc>
        <w:tc>
          <w:tcPr>
            <w:tcW w:w="1246"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6"/>
              </w:rPr>
            </w:pPr>
          </w:p>
        </w:tc>
      </w:tr>
      <w:tr>
        <w:trPr>
          <w:trHeight w:val="505" w:hRule="atLeast"/>
        </w:trPr>
        <w:tc>
          <w:tcPr>
            <w:tcW w:w="4219" w:type="dxa"/>
            <w:tcBorders>
              <w:top w:val="dashed" w:sz="4" w:space="0" w:color="000000"/>
              <w:left w:val="single" w:sz="12" w:space="0" w:color="000000"/>
              <w:bottom w:val="single" w:sz="12" w:space="0" w:color="000000"/>
              <w:right w:val="single" w:sz="12" w:space="0" w:color="000000"/>
            </w:tcBorders>
          </w:tcPr>
          <w:p>
            <w:pPr>
              <w:pStyle w:val="TableParagraph"/>
              <w:spacing w:line="254" w:lineRule="exact"/>
              <w:ind w:left="107"/>
              <w:rPr>
                <w:b/>
                <w:sz w:val="22"/>
              </w:rPr>
            </w:pPr>
            <w:r>
              <w:rPr>
                <w:b/>
                <w:sz w:val="22"/>
              </w:rPr>
              <w:t>TOTAL COMPUTERS AND </w:t>
            </w:r>
            <w:r>
              <w:rPr>
                <w:b/>
                <w:spacing w:val="-2"/>
                <w:sz w:val="22"/>
              </w:rPr>
              <w:t>TELECOMMNUNICATIONS</w:t>
            </w:r>
          </w:p>
        </w:tc>
        <w:tc>
          <w:tcPr>
            <w:tcW w:w="1140" w:type="dxa"/>
            <w:tcBorders>
              <w:top w:val="dashed" w:sz="4" w:space="0" w:color="000000"/>
              <w:left w:val="single" w:sz="12" w:space="0" w:color="000000"/>
              <w:bottom w:val="single" w:sz="12" w:space="0" w:color="000000"/>
              <w:right w:val="nil"/>
            </w:tcBorders>
          </w:tcPr>
          <w:p>
            <w:pPr>
              <w:pStyle w:val="TableParagraph"/>
              <w:spacing w:before="150"/>
              <w:ind w:right="76"/>
              <w:jc w:val="right"/>
              <w:rPr>
                <w:b/>
                <w:sz w:val="18"/>
              </w:rPr>
            </w:pPr>
            <w:r>
              <w:rPr>
                <w:b/>
                <w:spacing w:val="-5"/>
                <w:sz w:val="18"/>
              </w:rPr>
              <w:t>326</w:t>
            </w:r>
          </w:p>
        </w:tc>
        <w:tc>
          <w:tcPr>
            <w:tcW w:w="1097" w:type="dxa"/>
            <w:tcBorders>
              <w:top w:val="dashSmallGap" w:sz="4" w:space="0" w:color="000000"/>
              <w:left w:val="nil"/>
              <w:bottom w:val="single" w:sz="12" w:space="0" w:color="000000"/>
              <w:right w:val="nil"/>
            </w:tcBorders>
          </w:tcPr>
          <w:p>
            <w:pPr>
              <w:pStyle w:val="TableParagraph"/>
              <w:spacing w:before="150"/>
              <w:ind w:right="91"/>
              <w:jc w:val="right"/>
              <w:rPr>
                <w:b/>
                <w:sz w:val="18"/>
              </w:rPr>
            </w:pPr>
            <w:r>
              <w:rPr>
                <w:b/>
                <w:spacing w:val="-5"/>
                <w:sz w:val="18"/>
              </w:rPr>
              <w:t>326</w:t>
            </w:r>
          </w:p>
        </w:tc>
        <w:tc>
          <w:tcPr>
            <w:tcW w:w="1097" w:type="dxa"/>
            <w:tcBorders>
              <w:top w:val="dashSmallGap" w:sz="4" w:space="0" w:color="000000"/>
              <w:left w:val="nil"/>
              <w:bottom w:val="single" w:sz="12" w:space="0" w:color="000000"/>
              <w:right w:val="nil"/>
            </w:tcBorders>
          </w:tcPr>
          <w:p>
            <w:pPr>
              <w:pStyle w:val="TableParagraph"/>
              <w:spacing w:before="150"/>
              <w:ind w:right="92"/>
              <w:jc w:val="right"/>
              <w:rPr>
                <w:b/>
                <w:sz w:val="18"/>
              </w:rPr>
            </w:pPr>
            <w:r>
              <w:rPr>
                <w:b/>
                <w:sz w:val="18"/>
              </w:rPr>
              <w:t>0</w:t>
            </w:r>
          </w:p>
        </w:tc>
        <w:tc>
          <w:tcPr>
            <w:tcW w:w="1097" w:type="dxa"/>
            <w:tcBorders>
              <w:top w:val="dashSmallGap" w:sz="4" w:space="0" w:color="000000"/>
              <w:left w:val="nil"/>
              <w:bottom w:val="single" w:sz="12" w:space="0" w:color="000000"/>
              <w:right w:val="nil"/>
            </w:tcBorders>
          </w:tcPr>
          <w:p>
            <w:pPr>
              <w:pStyle w:val="TableParagraph"/>
              <w:spacing w:before="150"/>
              <w:ind w:right="92"/>
              <w:jc w:val="right"/>
              <w:rPr>
                <w:b/>
                <w:sz w:val="18"/>
              </w:rPr>
            </w:pPr>
            <w:r>
              <w:rPr>
                <w:b/>
                <w:sz w:val="18"/>
              </w:rPr>
              <w:t>0</w:t>
            </w:r>
          </w:p>
        </w:tc>
        <w:tc>
          <w:tcPr>
            <w:tcW w:w="1099" w:type="dxa"/>
            <w:tcBorders>
              <w:top w:val="dashed" w:sz="4" w:space="0" w:color="000000"/>
              <w:left w:val="nil"/>
              <w:bottom w:val="single" w:sz="12" w:space="0" w:color="000000"/>
              <w:right w:val="nil"/>
            </w:tcBorders>
          </w:tcPr>
          <w:p>
            <w:pPr>
              <w:pStyle w:val="TableParagraph"/>
              <w:spacing w:before="150"/>
              <w:ind w:right="91"/>
              <w:jc w:val="right"/>
              <w:rPr>
                <w:b/>
                <w:sz w:val="18"/>
              </w:rPr>
            </w:pPr>
            <w:r>
              <w:rPr>
                <w:b/>
                <w:spacing w:val="-5"/>
                <w:sz w:val="18"/>
              </w:rPr>
              <w:t>163</w:t>
            </w:r>
          </w:p>
        </w:tc>
        <w:tc>
          <w:tcPr>
            <w:tcW w:w="960" w:type="dxa"/>
            <w:tcBorders>
              <w:top w:val="dashed" w:sz="4" w:space="0" w:color="000000"/>
              <w:left w:val="nil"/>
              <w:bottom w:val="single" w:sz="12" w:space="0" w:color="000000"/>
              <w:right w:val="nil"/>
            </w:tcBorders>
          </w:tcPr>
          <w:p>
            <w:pPr>
              <w:pStyle w:val="TableParagraph"/>
              <w:spacing w:before="150"/>
              <w:ind w:right="93"/>
              <w:jc w:val="right"/>
              <w:rPr>
                <w:b/>
                <w:sz w:val="18"/>
              </w:rPr>
            </w:pPr>
            <w:r>
              <w:rPr>
                <w:b/>
                <w:spacing w:val="-5"/>
                <w:sz w:val="18"/>
              </w:rPr>
              <w:t>65</w:t>
            </w:r>
          </w:p>
        </w:tc>
        <w:tc>
          <w:tcPr>
            <w:tcW w:w="1092" w:type="dxa"/>
            <w:tcBorders>
              <w:top w:val="dashed" w:sz="4" w:space="0" w:color="000000"/>
              <w:left w:val="nil"/>
              <w:bottom w:val="single" w:sz="12" w:space="0" w:color="000000"/>
              <w:right w:val="single" w:sz="12" w:space="0" w:color="000000"/>
            </w:tcBorders>
          </w:tcPr>
          <w:p>
            <w:pPr>
              <w:pStyle w:val="TableParagraph"/>
              <w:spacing w:before="150"/>
              <w:ind w:right="75"/>
              <w:jc w:val="right"/>
              <w:rPr>
                <w:b/>
                <w:sz w:val="18"/>
              </w:rPr>
            </w:pPr>
            <w:r>
              <w:rPr>
                <w:b/>
                <w:spacing w:val="-5"/>
                <w:sz w:val="18"/>
              </w:rPr>
              <w:t>98</w:t>
            </w:r>
          </w:p>
        </w:tc>
        <w:tc>
          <w:tcPr>
            <w:tcW w:w="1162" w:type="dxa"/>
            <w:tcBorders>
              <w:top w:val="dashed" w:sz="4" w:space="0" w:color="000000"/>
              <w:left w:val="single" w:sz="12" w:space="0" w:color="000000"/>
              <w:bottom w:val="single" w:sz="12" w:space="0" w:color="000000"/>
              <w:right w:val="single" w:sz="12" w:space="0" w:color="000000"/>
            </w:tcBorders>
          </w:tcPr>
          <w:p>
            <w:pPr>
              <w:pStyle w:val="TableParagraph"/>
              <w:spacing w:before="150"/>
              <w:ind w:right="76"/>
              <w:jc w:val="right"/>
              <w:rPr>
                <w:b/>
                <w:sz w:val="18"/>
              </w:rPr>
            </w:pPr>
            <w:r>
              <w:rPr>
                <w:b/>
                <w:spacing w:val="-5"/>
                <w:sz w:val="18"/>
              </w:rPr>
              <w:t>601</w:t>
            </w:r>
          </w:p>
        </w:tc>
        <w:tc>
          <w:tcPr>
            <w:tcW w:w="1162" w:type="dxa"/>
            <w:tcBorders>
              <w:top w:val="dashed" w:sz="4" w:space="0" w:color="000000"/>
              <w:left w:val="single" w:sz="12" w:space="0" w:color="000000"/>
              <w:bottom w:val="single" w:sz="12" w:space="0" w:color="000000"/>
              <w:right w:val="single" w:sz="12" w:space="0" w:color="000000"/>
            </w:tcBorders>
          </w:tcPr>
          <w:p>
            <w:pPr>
              <w:pStyle w:val="TableParagraph"/>
              <w:spacing w:before="150"/>
              <w:ind w:right="77"/>
              <w:jc w:val="right"/>
              <w:rPr>
                <w:b/>
                <w:sz w:val="18"/>
              </w:rPr>
            </w:pPr>
            <w:r>
              <w:rPr>
                <w:b/>
                <w:spacing w:val="-5"/>
                <w:sz w:val="18"/>
              </w:rPr>
              <w:t>366</w:t>
            </w:r>
          </w:p>
        </w:tc>
        <w:tc>
          <w:tcPr>
            <w:tcW w:w="1246" w:type="dxa"/>
            <w:tcBorders>
              <w:top w:val="dashed" w:sz="4" w:space="0" w:color="000000"/>
              <w:left w:val="single" w:sz="12" w:space="0" w:color="000000"/>
              <w:bottom w:val="single" w:sz="12" w:space="0" w:color="000000"/>
              <w:right w:val="single" w:sz="12" w:space="0" w:color="000000"/>
            </w:tcBorders>
          </w:tcPr>
          <w:p>
            <w:pPr>
              <w:pStyle w:val="TableParagraph"/>
              <w:spacing w:before="150"/>
              <w:ind w:right="77"/>
              <w:jc w:val="right"/>
              <w:rPr>
                <w:b/>
                <w:sz w:val="18"/>
              </w:rPr>
            </w:pPr>
            <w:r>
              <w:rPr>
                <w:b/>
                <w:spacing w:val="-5"/>
                <w:sz w:val="18"/>
              </w:rPr>
              <w:t>566</w:t>
            </w:r>
          </w:p>
        </w:tc>
      </w:tr>
      <w:tr>
        <w:trPr>
          <w:trHeight w:val="642" w:hRule="atLeast"/>
        </w:trPr>
        <w:tc>
          <w:tcPr>
            <w:tcW w:w="4219" w:type="dxa"/>
            <w:tcBorders>
              <w:top w:val="single" w:sz="12" w:space="0" w:color="000000"/>
              <w:left w:val="single" w:sz="12" w:space="0" w:color="000000"/>
              <w:bottom w:val="single" w:sz="12" w:space="0" w:color="000000"/>
              <w:right w:val="single" w:sz="12" w:space="0" w:color="000000"/>
            </w:tcBorders>
          </w:tcPr>
          <w:p>
            <w:pPr>
              <w:pStyle w:val="TableParagraph"/>
              <w:spacing w:line="322" w:lineRule="exact"/>
              <w:ind w:left="107"/>
              <w:rPr>
                <w:b/>
                <w:sz w:val="28"/>
              </w:rPr>
            </w:pPr>
            <w:r>
              <w:rPr>
                <w:b/>
                <w:sz w:val="28"/>
              </w:rPr>
              <w:t>TOTAL</w:t>
            </w:r>
            <w:r>
              <w:rPr>
                <w:b/>
                <w:spacing w:val="-20"/>
                <w:sz w:val="28"/>
              </w:rPr>
              <w:t> </w:t>
            </w:r>
            <w:r>
              <w:rPr>
                <w:b/>
                <w:sz w:val="28"/>
              </w:rPr>
              <w:t>PLANT</w:t>
            </w:r>
            <w:r>
              <w:rPr>
                <w:b/>
                <w:spacing w:val="-17"/>
                <w:sz w:val="28"/>
              </w:rPr>
              <w:t> </w:t>
            </w:r>
            <w:r>
              <w:rPr>
                <w:b/>
                <w:sz w:val="28"/>
              </w:rPr>
              <w:t>AND </w:t>
            </w:r>
            <w:r>
              <w:rPr>
                <w:b/>
                <w:spacing w:val="-2"/>
                <w:sz w:val="28"/>
              </w:rPr>
              <w:t>EQUIPMENT</w:t>
            </w:r>
          </w:p>
        </w:tc>
        <w:tc>
          <w:tcPr>
            <w:tcW w:w="1140" w:type="dxa"/>
            <w:tcBorders>
              <w:top w:val="single" w:sz="12" w:space="0" w:color="000000"/>
              <w:left w:val="single" w:sz="12" w:space="0" w:color="000000"/>
              <w:bottom w:val="single" w:sz="12" w:space="0" w:color="000000"/>
              <w:right w:val="nil"/>
            </w:tcBorders>
          </w:tcPr>
          <w:p>
            <w:pPr>
              <w:pStyle w:val="TableParagraph"/>
              <w:spacing w:before="9"/>
              <w:rPr>
                <w:b/>
                <w:sz w:val="18"/>
              </w:rPr>
            </w:pPr>
          </w:p>
          <w:p>
            <w:pPr>
              <w:pStyle w:val="TableParagraph"/>
              <w:spacing w:before="1"/>
              <w:ind w:right="74"/>
              <w:jc w:val="right"/>
              <w:rPr>
                <w:b/>
                <w:sz w:val="18"/>
              </w:rPr>
            </w:pPr>
            <w:r>
              <w:rPr>
                <w:b/>
                <w:spacing w:val="-2"/>
                <w:sz w:val="18"/>
              </w:rPr>
              <w:t>2,392</w:t>
            </w:r>
          </w:p>
        </w:tc>
        <w:tc>
          <w:tcPr>
            <w:tcW w:w="1097" w:type="dxa"/>
            <w:tcBorders>
              <w:top w:val="single" w:sz="12" w:space="0" w:color="000000"/>
              <w:left w:val="nil"/>
              <w:bottom w:val="single" w:sz="12" w:space="0" w:color="000000"/>
              <w:right w:val="nil"/>
            </w:tcBorders>
          </w:tcPr>
          <w:p>
            <w:pPr>
              <w:pStyle w:val="TableParagraph"/>
              <w:spacing w:before="9"/>
              <w:rPr>
                <w:b/>
                <w:sz w:val="18"/>
              </w:rPr>
            </w:pPr>
          </w:p>
          <w:p>
            <w:pPr>
              <w:pStyle w:val="TableParagraph"/>
              <w:spacing w:before="1"/>
              <w:ind w:right="89"/>
              <w:jc w:val="right"/>
              <w:rPr>
                <w:b/>
                <w:sz w:val="18"/>
              </w:rPr>
            </w:pPr>
            <w:r>
              <w:rPr>
                <w:b/>
                <w:spacing w:val="-2"/>
                <w:sz w:val="18"/>
              </w:rPr>
              <w:t>2,392</w:t>
            </w:r>
          </w:p>
        </w:tc>
        <w:tc>
          <w:tcPr>
            <w:tcW w:w="1097" w:type="dxa"/>
            <w:tcBorders>
              <w:top w:val="single" w:sz="12" w:space="0" w:color="000000"/>
              <w:left w:val="nil"/>
              <w:bottom w:val="single" w:sz="12" w:space="0" w:color="000000"/>
              <w:right w:val="nil"/>
            </w:tcBorders>
          </w:tcPr>
          <w:p>
            <w:pPr>
              <w:pStyle w:val="TableParagraph"/>
              <w:spacing w:before="9"/>
              <w:rPr>
                <w:b/>
                <w:sz w:val="18"/>
              </w:rPr>
            </w:pPr>
          </w:p>
          <w:p>
            <w:pPr>
              <w:pStyle w:val="TableParagraph"/>
              <w:spacing w:before="1"/>
              <w:ind w:right="92"/>
              <w:jc w:val="right"/>
              <w:rPr>
                <w:b/>
                <w:sz w:val="18"/>
              </w:rPr>
            </w:pPr>
            <w:r>
              <w:rPr>
                <w:b/>
                <w:sz w:val="18"/>
              </w:rPr>
              <w:t>0</w:t>
            </w:r>
          </w:p>
        </w:tc>
        <w:tc>
          <w:tcPr>
            <w:tcW w:w="1097" w:type="dxa"/>
            <w:tcBorders>
              <w:top w:val="single" w:sz="12" w:space="0" w:color="000000"/>
              <w:left w:val="nil"/>
              <w:bottom w:val="single" w:sz="12" w:space="0" w:color="000000"/>
              <w:right w:val="nil"/>
            </w:tcBorders>
          </w:tcPr>
          <w:p>
            <w:pPr>
              <w:pStyle w:val="TableParagraph"/>
              <w:spacing w:before="9"/>
              <w:rPr>
                <w:b/>
                <w:sz w:val="18"/>
              </w:rPr>
            </w:pPr>
          </w:p>
          <w:p>
            <w:pPr>
              <w:pStyle w:val="TableParagraph"/>
              <w:spacing w:before="1"/>
              <w:ind w:right="92"/>
              <w:jc w:val="right"/>
              <w:rPr>
                <w:b/>
                <w:sz w:val="18"/>
              </w:rPr>
            </w:pPr>
            <w:r>
              <w:rPr>
                <w:b/>
                <w:sz w:val="18"/>
              </w:rPr>
              <w:t>0</w:t>
            </w:r>
          </w:p>
        </w:tc>
        <w:tc>
          <w:tcPr>
            <w:tcW w:w="1099" w:type="dxa"/>
            <w:tcBorders>
              <w:top w:val="single" w:sz="12" w:space="0" w:color="000000"/>
              <w:left w:val="nil"/>
              <w:bottom w:val="single" w:sz="12" w:space="0" w:color="000000"/>
              <w:right w:val="nil"/>
            </w:tcBorders>
          </w:tcPr>
          <w:p>
            <w:pPr>
              <w:pStyle w:val="TableParagraph"/>
              <w:spacing w:before="9"/>
              <w:rPr>
                <w:b/>
                <w:sz w:val="18"/>
              </w:rPr>
            </w:pPr>
          </w:p>
          <w:p>
            <w:pPr>
              <w:pStyle w:val="TableParagraph"/>
              <w:spacing w:before="1"/>
              <w:ind w:right="90"/>
              <w:jc w:val="right"/>
              <w:rPr>
                <w:b/>
                <w:sz w:val="18"/>
              </w:rPr>
            </w:pPr>
            <w:r>
              <w:rPr>
                <w:b/>
                <w:spacing w:val="-2"/>
                <w:sz w:val="18"/>
              </w:rPr>
              <w:t>2,113</w:t>
            </w:r>
          </w:p>
        </w:tc>
        <w:tc>
          <w:tcPr>
            <w:tcW w:w="960" w:type="dxa"/>
            <w:tcBorders>
              <w:top w:val="single" w:sz="12" w:space="0" w:color="000000"/>
              <w:left w:val="nil"/>
              <w:bottom w:val="single" w:sz="12" w:space="0" w:color="000000"/>
              <w:right w:val="nil"/>
            </w:tcBorders>
          </w:tcPr>
          <w:p>
            <w:pPr>
              <w:pStyle w:val="TableParagraph"/>
              <w:spacing w:before="9"/>
              <w:rPr>
                <w:b/>
                <w:sz w:val="18"/>
              </w:rPr>
            </w:pPr>
          </w:p>
          <w:p>
            <w:pPr>
              <w:pStyle w:val="TableParagraph"/>
              <w:spacing w:before="1"/>
              <w:ind w:right="93"/>
              <w:jc w:val="right"/>
              <w:rPr>
                <w:b/>
                <w:sz w:val="18"/>
              </w:rPr>
            </w:pPr>
            <w:r>
              <w:rPr>
                <w:b/>
                <w:spacing w:val="-5"/>
                <w:sz w:val="18"/>
              </w:rPr>
              <w:t>108</w:t>
            </w:r>
          </w:p>
        </w:tc>
        <w:tc>
          <w:tcPr>
            <w:tcW w:w="1092" w:type="dxa"/>
            <w:tcBorders>
              <w:top w:val="single" w:sz="12" w:space="0" w:color="000000"/>
              <w:left w:val="nil"/>
              <w:bottom w:val="single" w:sz="12" w:space="0" w:color="000000"/>
              <w:right w:val="single" w:sz="12" w:space="0" w:color="000000"/>
            </w:tcBorders>
          </w:tcPr>
          <w:p>
            <w:pPr>
              <w:pStyle w:val="TableParagraph"/>
              <w:spacing w:before="9"/>
              <w:rPr>
                <w:b/>
                <w:sz w:val="18"/>
              </w:rPr>
            </w:pPr>
          </w:p>
          <w:p>
            <w:pPr>
              <w:pStyle w:val="TableParagraph"/>
              <w:spacing w:before="1"/>
              <w:ind w:right="76"/>
              <w:jc w:val="right"/>
              <w:rPr>
                <w:b/>
                <w:sz w:val="18"/>
              </w:rPr>
            </w:pPr>
            <w:r>
              <w:rPr>
                <w:b/>
                <w:spacing w:val="-5"/>
                <w:sz w:val="18"/>
              </w:rPr>
              <w:t>171</w:t>
            </w:r>
          </w:p>
        </w:tc>
        <w:tc>
          <w:tcPr>
            <w:tcW w:w="1162" w:type="dxa"/>
            <w:tcBorders>
              <w:top w:val="single" w:sz="12" w:space="0" w:color="000000"/>
              <w:left w:val="single" w:sz="12" w:space="0" w:color="000000"/>
              <w:bottom w:val="single" w:sz="12" w:space="0" w:color="000000"/>
              <w:right w:val="single" w:sz="12" w:space="0" w:color="000000"/>
            </w:tcBorders>
          </w:tcPr>
          <w:p>
            <w:pPr>
              <w:pStyle w:val="TableParagraph"/>
              <w:spacing w:before="9"/>
              <w:rPr>
                <w:b/>
                <w:sz w:val="18"/>
              </w:rPr>
            </w:pPr>
          </w:p>
          <w:p>
            <w:pPr>
              <w:pStyle w:val="TableParagraph"/>
              <w:spacing w:before="1"/>
              <w:ind w:right="75"/>
              <w:jc w:val="right"/>
              <w:rPr>
                <w:b/>
                <w:sz w:val="18"/>
              </w:rPr>
            </w:pPr>
            <w:r>
              <w:rPr>
                <w:b/>
                <w:spacing w:val="-2"/>
                <w:sz w:val="18"/>
              </w:rPr>
              <w:t>2,540</w:t>
            </w:r>
          </w:p>
        </w:tc>
        <w:tc>
          <w:tcPr>
            <w:tcW w:w="1162" w:type="dxa"/>
            <w:tcBorders>
              <w:top w:val="single" w:sz="12" w:space="0" w:color="000000"/>
              <w:left w:val="single" w:sz="12" w:space="0" w:color="000000"/>
              <w:bottom w:val="single" w:sz="12" w:space="0" w:color="000000"/>
              <w:right w:val="single" w:sz="12" w:space="0" w:color="000000"/>
            </w:tcBorders>
          </w:tcPr>
          <w:p>
            <w:pPr>
              <w:pStyle w:val="TableParagraph"/>
              <w:spacing w:before="9"/>
              <w:rPr>
                <w:b/>
                <w:sz w:val="18"/>
              </w:rPr>
            </w:pPr>
          </w:p>
          <w:p>
            <w:pPr>
              <w:pStyle w:val="TableParagraph"/>
              <w:spacing w:before="1"/>
              <w:ind w:right="75"/>
              <w:jc w:val="right"/>
              <w:rPr>
                <w:b/>
                <w:sz w:val="18"/>
              </w:rPr>
            </w:pPr>
            <w:r>
              <w:rPr>
                <w:b/>
                <w:spacing w:val="-2"/>
                <w:sz w:val="18"/>
              </w:rPr>
              <w:t>4,553</w:t>
            </w:r>
          </w:p>
        </w:tc>
        <w:tc>
          <w:tcPr>
            <w:tcW w:w="1246" w:type="dxa"/>
            <w:tcBorders>
              <w:top w:val="single" w:sz="12" w:space="0" w:color="000000"/>
              <w:left w:val="single" w:sz="12" w:space="0" w:color="000000"/>
              <w:bottom w:val="single" w:sz="12" w:space="0" w:color="000000"/>
              <w:right w:val="single" w:sz="12" w:space="0" w:color="000000"/>
            </w:tcBorders>
          </w:tcPr>
          <w:p>
            <w:pPr>
              <w:pStyle w:val="TableParagraph"/>
              <w:spacing w:before="9"/>
              <w:rPr>
                <w:b/>
                <w:sz w:val="18"/>
              </w:rPr>
            </w:pPr>
          </w:p>
          <w:p>
            <w:pPr>
              <w:pStyle w:val="TableParagraph"/>
              <w:spacing w:before="1"/>
              <w:ind w:right="76"/>
              <w:jc w:val="right"/>
              <w:rPr>
                <w:b/>
                <w:sz w:val="18"/>
              </w:rPr>
            </w:pPr>
            <w:r>
              <w:rPr>
                <w:b/>
                <w:spacing w:val="-2"/>
                <w:sz w:val="18"/>
              </w:rPr>
              <w:t>3,636</w:t>
            </w:r>
          </w:p>
        </w:tc>
      </w:tr>
      <w:tr>
        <w:trPr>
          <w:trHeight w:val="642" w:hRule="atLeast"/>
        </w:trPr>
        <w:tc>
          <w:tcPr>
            <w:tcW w:w="4219" w:type="dxa"/>
            <w:tcBorders>
              <w:top w:val="single" w:sz="12" w:space="0" w:color="000000"/>
              <w:left w:val="single" w:sz="12" w:space="0" w:color="000000"/>
              <w:bottom w:val="single" w:sz="12" w:space="0" w:color="000000"/>
              <w:right w:val="single" w:sz="12" w:space="0" w:color="000000"/>
            </w:tcBorders>
          </w:tcPr>
          <w:p>
            <w:pPr>
              <w:pStyle w:val="TableParagraph"/>
              <w:spacing w:line="318" w:lineRule="exact"/>
              <w:ind w:left="107"/>
              <w:rPr>
                <w:b/>
                <w:sz w:val="28"/>
              </w:rPr>
            </w:pPr>
            <w:r>
              <w:rPr>
                <w:b/>
                <w:sz w:val="28"/>
              </w:rPr>
              <w:t>TOTAL</w:t>
            </w:r>
            <w:r>
              <w:rPr>
                <w:b/>
                <w:spacing w:val="-4"/>
                <w:sz w:val="28"/>
              </w:rPr>
              <w:t> </w:t>
            </w:r>
            <w:r>
              <w:rPr>
                <w:b/>
                <w:spacing w:val="-2"/>
                <w:sz w:val="28"/>
              </w:rPr>
              <w:t>CAPITAL</w:t>
            </w:r>
          </w:p>
          <w:p>
            <w:pPr>
              <w:pStyle w:val="TableParagraph"/>
              <w:spacing w:line="302" w:lineRule="exact" w:before="2"/>
              <w:ind w:left="107"/>
              <w:rPr>
                <w:b/>
                <w:sz w:val="28"/>
              </w:rPr>
            </w:pPr>
            <w:r>
              <w:rPr>
                <w:b/>
                <w:spacing w:val="-2"/>
                <w:sz w:val="28"/>
              </w:rPr>
              <w:t>EXPENDITURE</w:t>
            </w:r>
          </w:p>
        </w:tc>
        <w:tc>
          <w:tcPr>
            <w:tcW w:w="1140" w:type="dxa"/>
            <w:tcBorders>
              <w:top w:val="single" w:sz="12" w:space="0" w:color="000000"/>
              <w:left w:val="single" w:sz="12" w:space="0" w:color="000000"/>
              <w:bottom w:val="single" w:sz="12" w:space="0" w:color="000000"/>
              <w:right w:val="nil"/>
            </w:tcBorders>
          </w:tcPr>
          <w:p>
            <w:pPr>
              <w:pStyle w:val="TableParagraph"/>
              <w:spacing w:before="10"/>
              <w:rPr>
                <w:b/>
                <w:sz w:val="17"/>
              </w:rPr>
            </w:pPr>
          </w:p>
          <w:p>
            <w:pPr>
              <w:pStyle w:val="TableParagraph"/>
              <w:ind w:right="78"/>
              <w:jc w:val="right"/>
              <w:rPr>
                <w:b/>
                <w:sz w:val="20"/>
              </w:rPr>
            </w:pPr>
            <w:r>
              <w:rPr>
                <w:b/>
                <w:spacing w:val="-2"/>
                <w:sz w:val="20"/>
              </w:rPr>
              <w:t>46,025</w:t>
            </w:r>
          </w:p>
        </w:tc>
        <w:tc>
          <w:tcPr>
            <w:tcW w:w="1097" w:type="dxa"/>
            <w:tcBorders>
              <w:top w:val="single" w:sz="12" w:space="0" w:color="000000"/>
              <w:left w:val="nil"/>
              <w:bottom w:val="single" w:sz="12" w:space="0" w:color="000000"/>
              <w:right w:val="nil"/>
            </w:tcBorders>
          </w:tcPr>
          <w:p>
            <w:pPr>
              <w:pStyle w:val="TableParagraph"/>
              <w:spacing w:before="10"/>
              <w:rPr>
                <w:b/>
                <w:sz w:val="17"/>
              </w:rPr>
            </w:pPr>
          </w:p>
          <w:p>
            <w:pPr>
              <w:pStyle w:val="TableParagraph"/>
              <w:ind w:right="94"/>
              <w:jc w:val="right"/>
              <w:rPr>
                <w:b/>
                <w:sz w:val="20"/>
              </w:rPr>
            </w:pPr>
            <w:r>
              <w:rPr>
                <w:b/>
                <w:spacing w:val="-2"/>
                <w:sz w:val="20"/>
              </w:rPr>
              <w:t>38,569</w:t>
            </w:r>
          </w:p>
        </w:tc>
        <w:tc>
          <w:tcPr>
            <w:tcW w:w="1097" w:type="dxa"/>
            <w:tcBorders>
              <w:top w:val="single" w:sz="12" w:space="0" w:color="000000"/>
              <w:left w:val="nil"/>
              <w:bottom w:val="single" w:sz="12" w:space="0" w:color="000000"/>
              <w:right w:val="nil"/>
            </w:tcBorders>
          </w:tcPr>
          <w:p>
            <w:pPr>
              <w:pStyle w:val="TableParagraph"/>
              <w:spacing w:before="10"/>
              <w:rPr>
                <w:b/>
                <w:sz w:val="17"/>
              </w:rPr>
            </w:pPr>
          </w:p>
          <w:p>
            <w:pPr>
              <w:pStyle w:val="TableParagraph"/>
              <w:ind w:right="93"/>
              <w:jc w:val="right"/>
              <w:rPr>
                <w:b/>
                <w:sz w:val="20"/>
              </w:rPr>
            </w:pPr>
            <w:r>
              <w:rPr>
                <w:b/>
                <w:spacing w:val="-2"/>
                <w:sz w:val="20"/>
              </w:rPr>
              <w:t>7,234</w:t>
            </w:r>
          </w:p>
        </w:tc>
        <w:tc>
          <w:tcPr>
            <w:tcW w:w="1097" w:type="dxa"/>
            <w:tcBorders>
              <w:top w:val="single" w:sz="12" w:space="0" w:color="000000"/>
              <w:left w:val="nil"/>
              <w:bottom w:val="single" w:sz="12" w:space="0" w:color="000000"/>
              <w:right w:val="nil"/>
            </w:tcBorders>
          </w:tcPr>
          <w:p>
            <w:pPr>
              <w:pStyle w:val="TableParagraph"/>
              <w:spacing w:before="10"/>
              <w:rPr>
                <w:b/>
                <w:sz w:val="17"/>
              </w:rPr>
            </w:pPr>
          </w:p>
          <w:p>
            <w:pPr>
              <w:pStyle w:val="TableParagraph"/>
              <w:ind w:right="94"/>
              <w:jc w:val="right"/>
              <w:rPr>
                <w:b/>
                <w:sz w:val="20"/>
              </w:rPr>
            </w:pPr>
            <w:r>
              <w:rPr>
                <w:b/>
                <w:spacing w:val="-5"/>
                <w:sz w:val="20"/>
              </w:rPr>
              <w:t>223</w:t>
            </w:r>
          </w:p>
        </w:tc>
        <w:tc>
          <w:tcPr>
            <w:tcW w:w="1099" w:type="dxa"/>
            <w:tcBorders>
              <w:top w:val="single" w:sz="12" w:space="0" w:color="000000"/>
              <w:left w:val="nil"/>
              <w:bottom w:val="single" w:sz="12" w:space="0" w:color="000000"/>
              <w:right w:val="nil"/>
            </w:tcBorders>
          </w:tcPr>
          <w:p>
            <w:pPr>
              <w:pStyle w:val="TableParagraph"/>
              <w:spacing w:before="10"/>
              <w:rPr>
                <w:b/>
                <w:sz w:val="17"/>
              </w:rPr>
            </w:pPr>
          </w:p>
          <w:p>
            <w:pPr>
              <w:pStyle w:val="TableParagraph"/>
              <w:ind w:right="94"/>
              <w:jc w:val="right"/>
              <w:rPr>
                <w:b/>
                <w:sz w:val="20"/>
              </w:rPr>
            </w:pPr>
            <w:r>
              <w:rPr>
                <w:b/>
                <w:spacing w:val="-2"/>
                <w:sz w:val="20"/>
              </w:rPr>
              <w:t>31,223</w:t>
            </w:r>
          </w:p>
        </w:tc>
        <w:tc>
          <w:tcPr>
            <w:tcW w:w="960" w:type="dxa"/>
            <w:tcBorders>
              <w:top w:val="single" w:sz="12" w:space="0" w:color="000000"/>
              <w:left w:val="nil"/>
              <w:bottom w:val="single" w:sz="12" w:space="0" w:color="000000"/>
              <w:right w:val="nil"/>
            </w:tcBorders>
          </w:tcPr>
          <w:p>
            <w:pPr>
              <w:pStyle w:val="TableParagraph"/>
              <w:spacing w:before="10"/>
              <w:rPr>
                <w:b/>
                <w:sz w:val="17"/>
              </w:rPr>
            </w:pPr>
          </w:p>
          <w:p>
            <w:pPr>
              <w:pStyle w:val="TableParagraph"/>
              <w:ind w:right="95"/>
              <w:jc w:val="right"/>
              <w:rPr>
                <w:b/>
                <w:sz w:val="20"/>
              </w:rPr>
            </w:pPr>
            <w:r>
              <w:rPr>
                <w:b/>
                <w:spacing w:val="-2"/>
                <w:sz w:val="20"/>
              </w:rPr>
              <w:t>8,206</w:t>
            </w:r>
          </w:p>
        </w:tc>
        <w:tc>
          <w:tcPr>
            <w:tcW w:w="1092" w:type="dxa"/>
            <w:tcBorders>
              <w:top w:val="single" w:sz="12" w:space="0" w:color="000000"/>
              <w:left w:val="nil"/>
              <w:bottom w:val="single" w:sz="12" w:space="0" w:color="000000"/>
              <w:right w:val="single" w:sz="12" w:space="0" w:color="000000"/>
            </w:tcBorders>
          </w:tcPr>
          <w:p>
            <w:pPr>
              <w:pStyle w:val="TableParagraph"/>
              <w:spacing w:before="10"/>
              <w:rPr>
                <w:b/>
                <w:sz w:val="17"/>
              </w:rPr>
            </w:pPr>
          </w:p>
          <w:p>
            <w:pPr>
              <w:pStyle w:val="TableParagraph"/>
              <w:ind w:right="78"/>
              <w:jc w:val="right"/>
              <w:rPr>
                <w:b/>
                <w:sz w:val="20"/>
              </w:rPr>
            </w:pPr>
            <w:r>
              <w:rPr>
                <w:b/>
                <w:spacing w:val="-2"/>
                <w:sz w:val="20"/>
              </w:rPr>
              <w:t>6,597</w:t>
            </w:r>
          </w:p>
        </w:tc>
        <w:tc>
          <w:tcPr>
            <w:tcW w:w="1162" w:type="dxa"/>
            <w:tcBorders>
              <w:top w:val="single" w:sz="12" w:space="0" w:color="000000"/>
              <w:left w:val="single" w:sz="12" w:space="0" w:color="000000"/>
              <w:bottom w:val="single" w:sz="12" w:space="0" w:color="000000"/>
              <w:right w:val="single" w:sz="12" w:space="0" w:color="000000"/>
            </w:tcBorders>
          </w:tcPr>
          <w:p>
            <w:pPr>
              <w:pStyle w:val="TableParagraph"/>
              <w:spacing w:before="10"/>
              <w:rPr>
                <w:b/>
                <w:sz w:val="17"/>
              </w:rPr>
            </w:pPr>
          </w:p>
          <w:p>
            <w:pPr>
              <w:pStyle w:val="TableParagraph"/>
              <w:ind w:right="79"/>
              <w:jc w:val="right"/>
              <w:rPr>
                <w:b/>
                <w:sz w:val="20"/>
              </w:rPr>
            </w:pPr>
            <w:r>
              <w:rPr>
                <w:b/>
                <w:spacing w:val="-2"/>
                <w:sz w:val="20"/>
              </w:rPr>
              <w:t>74,346</w:t>
            </w:r>
          </w:p>
        </w:tc>
        <w:tc>
          <w:tcPr>
            <w:tcW w:w="1162" w:type="dxa"/>
            <w:tcBorders>
              <w:top w:val="single" w:sz="12" w:space="0" w:color="000000"/>
              <w:left w:val="single" w:sz="12" w:space="0" w:color="000000"/>
              <w:bottom w:val="single" w:sz="12" w:space="0" w:color="000000"/>
              <w:right w:val="single" w:sz="12" w:space="0" w:color="000000"/>
            </w:tcBorders>
          </w:tcPr>
          <w:p>
            <w:pPr>
              <w:pStyle w:val="TableParagraph"/>
              <w:spacing w:before="10"/>
              <w:rPr>
                <w:b/>
                <w:sz w:val="17"/>
              </w:rPr>
            </w:pPr>
          </w:p>
          <w:p>
            <w:pPr>
              <w:pStyle w:val="TableParagraph"/>
              <w:ind w:right="80"/>
              <w:jc w:val="right"/>
              <w:rPr>
                <w:b/>
                <w:sz w:val="20"/>
              </w:rPr>
            </w:pPr>
            <w:r>
              <w:rPr>
                <w:b/>
                <w:spacing w:val="-2"/>
                <w:sz w:val="20"/>
              </w:rPr>
              <w:t>46,916</w:t>
            </w:r>
          </w:p>
        </w:tc>
        <w:tc>
          <w:tcPr>
            <w:tcW w:w="1246" w:type="dxa"/>
            <w:tcBorders>
              <w:top w:val="single" w:sz="12" w:space="0" w:color="000000"/>
              <w:left w:val="single" w:sz="12" w:space="0" w:color="000000"/>
              <w:bottom w:val="single" w:sz="12" w:space="0" w:color="000000"/>
              <w:right w:val="single" w:sz="12" w:space="0" w:color="000000"/>
            </w:tcBorders>
          </w:tcPr>
          <w:p>
            <w:pPr>
              <w:pStyle w:val="TableParagraph"/>
              <w:spacing w:before="10"/>
              <w:rPr>
                <w:b/>
                <w:sz w:val="17"/>
              </w:rPr>
            </w:pPr>
          </w:p>
          <w:p>
            <w:pPr>
              <w:pStyle w:val="TableParagraph"/>
              <w:ind w:right="80"/>
              <w:jc w:val="right"/>
              <w:rPr>
                <w:b/>
                <w:sz w:val="20"/>
              </w:rPr>
            </w:pPr>
            <w:r>
              <w:rPr>
                <w:b/>
                <w:spacing w:val="-2"/>
                <w:sz w:val="20"/>
              </w:rPr>
              <w:t>49,883</w:t>
            </w:r>
          </w:p>
        </w:tc>
      </w:tr>
    </w:tbl>
    <w:p>
      <w:pPr>
        <w:rPr>
          <w:sz w:val="2"/>
          <w:szCs w:val="2"/>
        </w:rPr>
      </w:pPr>
      <w:r>
        <w:rPr/>
        <w:pict>
          <v:shape style="position:absolute;margin-left:304.440002pt;margin-top:145.919983pt;width:.5pt;height:17.3pt;mso-position-horizontal-relative:page;mso-position-vertical-relative:page;z-index:-37840896" id="docshape666" coordorigin="6089,2918" coordsize="10,346" path="m6098,3226l6089,3226,6089,3264,6098,3264,6098,3226xm6098,3149l6089,3149,6089,3187,6098,3187,6098,3149xm6098,3072l6089,3072,6089,3110,6098,3110,6098,3072xm6098,2995l6089,2995,6089,3034,6098,3034,6098,2995xm6098,2918l6089,2918,6089,2957,6098,2957,6098,2918xe" filled="true" fillcolor="#000000" stroked="false">
            <v:path arrowok="t"/>
            <v:fill type="solid"/>
            <w10:wrap type="none"/>
          </v:shape>
        </w:pict>
      </w:r>
      <w:r>
        <w:rPr/>
        <w:pict>
          <v:shape style="position:absolute;margin-left:523.920044pt;margin-top:145.919983pt;width:.5pt;height:17.3pt;mso-position-horizontal-relative:page;mso-position-vertical-relative:page;z-index:-37840384" id="docshape667" coordorigin="10478,2918" coordsize="10,346" path="m10488,3226l10478,3226,10478,3264,10488,3264,10488,3226xm10488,3149l10478,3149,10478,3187,10488,3187,10488,3149xm10488,3072l10478,3072,10478,3110,10488,3110,10488,3072xm10488,2995l10478,2995,10478,3034,10488,3034,10488,2995xm10488,2918l10478,2918,10478,2957,10488,2957,10488,2918xe" filled="true" fillcolor="#000000" stroked="false">
            <v:path arrowok="t"/>
            <v:fill type="solid"/>
            <w10:wrap type="none"/>
          </v:shape>
        </w:pict>
      </w:r>
      <w:r>
        <w:rPr/>
        <w:pict>
          <v:rect style="position:absolute;margin-left:304.440033pt;margin-top:172.800003pt;width:.479989pt;height:1.92001pt;mso-position-horizontal-relative:page;mso-position-vertical-relative:page;z-index:-37839872" id="docshape668" filled="true" fillcolor="#000000" stroked="false">
            <v:fill type="solid"/>
            <w10:wrap type="none"/>
          </v:rect>
        </w:pict>
      </w:r>
      <w:r>
        <w:rPr/>
        <w:pict>
          <v:rect style="position:absolute;margin-left:523.920044pt;margin-top:172.800003pt;width:.480011pt;height:1.92001pt;mso-position-horizontal-relative:page;mso-position-vertical-relative:page;z-index:-37839360" id="docshape669" filled="true" fillcolor="#000000" stroked="false">
            <v:fill type="solid"/>
            <w10:wrap type="none"/>
          </v:rect>
        </w:pict>
      </w:r>
      <w:r>
        <w:rPr/>
        <w:pict>
          <v:rect style="position:absolute;margin-left:304.440033pt;margin-top:184.320007pt;width:.479989pt;height:1.920009pt;mso-position-horizontal-relative:page;mso-position-vertical-relative:page;z-index:-37838848" id="docshape670" filled="true" fillcolor="#000000" stroked="false">
            <v:fill type="solid"/>
            <w10:wrap type="none"/>
          </v:rect>
        </w:pict>
      </w:r>
      <w:r>
        <w:rPr/>
        <w:pict>
          <v:shape style="position:absolute;margin-left:304.440033pt;margin-top:195.839996pt;width:.5pt;height:5.8pt;mso-position-horizontal-relative:page;mso-position-vertical-relative:page;z-index:-37838336" id="docshape671" coordorigin="6089,3917" coordsize="10,116" path="m6098,3955l6089,3955,6089,3917,6098,3917,6098,3955xm6098,4032l6089,4032,6089,3994,6098,3994,6098,4032xe" filled="true" fillcolor="#000000" stroked="false">
            <v:path arrowok="t"/>
            <v:fill type="solid"/>
            <w10:wrap type="none"/>
          </v:shape>
        </w:pict>
      </w:r>
      <w:r>
        <w:rPr/>
        <w:pict>
          <v:shape style="position:absolute;margin-left:304.440002pt;margin-top:207.360992pt;width:.5pt;height:17.3pt;mso-position-horizontal-relative:page;mso-position-vertical-relative:page;z-index:-37837824" id="docshape672" coordorigin="6089,4147" coordsize="10,346" path="m6098,4454l6089,4454,6089,4493,6098,4493,6098,4454xm6098,4378l6089,4378,6089,4416,6098,4416,6098,4378xm6098,4301l6089,4301,6089,4339,6098,4339,6098,4301xm6098,4224l6089,4224,6089,4262,6098,4262,6098,4224xm6098,4147l6089,4147,6089,4186,6098,4186,6098,4147xe" filled="true" fillcolor="#000000" stroked="false">
            <v:path arrowok="t"/>
            <v:fill type="solid"/>
            <w10:wrap type="none"/>
          </v:shape>
        </w:pict>
      </w:r>
      <w:r>
        <w:rPr/>
        <w:pict>
          <v:shape style="position:absolute;margin-left:359.280029pt;margin-top:207.360992pt;width:.5pt;height:17.3pt;mso-position-horizontal-relative:page;mso-position-vertical-relative:page;z-index:-37837312" id="docshape673" coordorigin="7186,4147" coordsize="10,346" path="m7195,4454l7186,4454,7186,4493,7195,4493,7195,4454xm7195,4378l7186,4378,7186,4416,7195,4416,7195,4378xm7195,4301l7186,4301,7186,4339,7195,4339,7195,4301xm7195,4224l7186,4224,7186,4262,7195,4262,7195,4224xm7195,4147l7186,4147,7186,4186,7195,4186,7195,4147xe" filled="true" fillcolor="#000000" stroked="false">
            <v:path arrowok="t"/>
            <v:fill type="solid"/>
            <w10:wrap type="none"/>
          </v:shape>
        </w:pict>
      </w:r>
      <w:r>
        <w:rPr/>
        <w:pict>
          <v:shape style="position:absolute;margin-left:414.119019pt;margin-top:207.360992pt;width:.5pt;height:17.3pt;mso-position-horizontal-relative:page;mso-position-vertical-relative:page;z-index:-37836800" id="docshape674" coordorigin="8282,4147" coordsize="10,346" path="m8292,4454l8282,4454,8282,4493,8292,4493,8292,4454xm8292,4378l8282,4378,8282,4416,8292,4416,8292,4378xm8292,4301l8282,4301,8282,4339,8292,4339,8292,4301xm8292,4224l8282,4224,8282,4262,8292,4262,8292,4224xm8292,4147l8282,4147,8282,4186,8292,4186,8292,4147xe" filled="true" fillcolor="#000000" stroked="false">
            <v:path arrowok="t"/>
            <v:fill type="solid"/>
            <w10:wrap type="none"/>
          </v:shape>
        </w:pict>
      </w:r>
      <w:r>
        <w:rPr/>
        <w:pict>
          <v:shape style="position:absolute;margin-left:468.960022pt;margin-top:207.360992pt;width:.5pt;height:17.3pt;mso-position-horizontal-relative:page;mso-position-vertical-relative:page;z-index:-37836288" id="docshape675" coordorigin="9379,4147" coordsize="10,346" path="m9389,4454l9379,4454,9379,4493,9389,4493,9389,4454xm9389,4378l9379,4378,9379,4416,9389,4416,9389,4378xm9389,4301l9379,4301,9379,4339,9389,4339,9389,4301xm9389,4224l9379,4224,9379,4262,9389,4262,9389,4224xm9389,4147l9379,4147,9379,4186,9389,4186,9389,4147xe" filled="true" fillcolor="#000000" stroked="false">
            <v:path arrowok="t"/>
            <v:fill type="solid"/>
            <w10:wrap type="none"/>
          </v:shape>
        </w:pict>
      </w:r>
      <w:r>
        <w:rPr/>
        <w:pict>
          <v:shape style="position:absolute;margin-left:523.920044pt;margin-top:207.360992pt;width:.5pt;height:17.3pt;mso-position-horizontal-relative:page;mso-position-vertical-relative:page;z-index:-37835776" id="docshape676" coordorigin="10478,4147" coordsize="10,346" path="m10488,4454l10478,4454,10478,4493,10488,4493,10488,4454xm10488,4378l10478,4378,10478,4416,10488,4416,10488,4378xm10488,4301l10478,4301,10478,4339,10488,4339,10488,4301xm10488,4224l10478,4224,10478,4262,10488,4262,10488,4224xm10488,4147l10478,4147,10478,4186,10488,4186,10488,4147xe" filled="true" fillcolor="#000000" stroked="false">
            <v:path arrowok="t"/>
            <v:fill type="solid"/>
            <w10:wrap type="none"/>
          </v:shape>
        </w:pict>
      </w:r>
      <w:r>
        <w:rPr/>
        <w:pict>
          <v:shape style="position:absolute;margin-left:571.920044pt;margin-top:207.360992pt;width:.5pt;height:17.3pt;mso-position-horizontal-relative:page;mso-position-vertical-relative:page;z-index:-37835264" id="docshape677" coordorigin="11438,4147" coordsize="10,346" path="m11448,4454l11438,4454,11438,4493,11448,4493,11448,4454xm11448,4378l11438,4378,11438,4416,11448,4416,11448,4378xm11448,4301l11438,4301,11438,4339,11448,4339,11448,4301xm11448,4224l11438,4224,11438,4262,11448,4262,11448,4224xm11448,4147l11438,4147,11438,4186,11448,4186,11448,4147xe" filled="true" fillcolor="#000000" stroked="false">
            <v:path arrowok="t"/>
            <v:fill type="solid"/>
            <w10:wrap type="none"/>
          </v:shape>
        </w:pict>
      </w:r>
      <w:r>
        <w:rPr/>
        <w:pict>
          <v:rect style="position:absolute;margin-left:304.440033pt;margin-top:261.120026pt;width:.479989pt;height:1.919998pt;mso-position-horizontal-relative:page;mso-position-vertical-relative:page;z-index:-37834752" id="docshape678" filled="true" fillcolor="#000000" stroked="false">
            <v:fill type="solid"/>
            <w10:wrap type="none"/>
          </v:rect>
        </w:pict>
      </w:r>
      <w:r>
        <w:rPr/>
        <w:pict>
          <v:shape style="position:absolute;margin-left:304.440002pt;margin-top:272.639984pt;width:.5pt;height:17.3pt;mso-position-horizontal-relative:page;mso-position-vertical-relative:page;z-index:-37834240" id="docshape679" coordorigin="6089,5453" coordsize="10,346" path="m6098,5760l6089,5760,6089,5798,6098,5798,6098,5760xm6098,5683l6089,5683,6089,5722,6098,5722,6098,5683xm6098,5606l6089,5606,6089,5645,6098,5645,6098,5606xm6098,5530l6089,5530,6089,5568,6098,5568,6098,5530xm6098,5453l6089,5453,6089,5491,6098,5491,6098,5453xe" filled="true" fillcolor="#000000" stroked="false">
            <v:path arrowok="t"/>
            <v:fill type="solid"/>
            <w10:wrap type="none"/>
          </v:shape>
        </w:pict>
      </w:r>
      <w:r>
        <w:rPr/>
        <w:pict>
          <v:shape style="position:absolute;margin-left:359.280029pt;margin-top:272.639984pt;width:.5pt;height:17.3pt;mso-position-horizontal-relative:page;mso-position-vertical-relative:page;z-index:-37833728" id="docshape680" coordorigin="7186,5453" coordsize="10,346" path="m7195,5760l7186,5760,7186,5798,7195,5798,7195,5760xm7195,5683l7186,5683,7186,5722,7195,5722,7195,5683xm7195,5606l7186,5606,7186,5645,7195,5645,7195,5606xm7195,5530l7186,5530,7186,5568,7195,5568,7195,5530xm7195,5453l7186,5453,7186,5491,7195,5491,7195,5453xe" filled="true" fillcolor="#000000" stroked="false">
            <v:path arrowok="t"/>
            <v:fill type="solid"/>
            <w10:wrap type="none"/>
          </v:shape>
        </w:pict>
      </w:r>
      <w:r>
        <w:rPr/>
        <w:pict>
          <v:shape style="position:absolute;margin-left:414.119019pt;margin-top:272.639984pt;width:.5pt;height:17.3pt;mso-position-horizontal-relative:page;mso-position-vertical-relative:page;z-index:-37833216" id="docshape681" coordorigin="8282,5453" coordsize="10,346" path="m8292,5760l8282,5760,8282,5798,8292,5798,8292,5760xm8292,5683l8282,5683,8282,5722,8292,5722,8292,5683xm8292,5606l8282,5606,8282,5645,8292,5645,8292,5606xm8292,5530l8282,5530,8282,5568,8292,5568,8292,5530xm8292,5453l8282,5453,8282,5491,8292,5491,8292,5453xe" filled="true" fillcolor="#000000" stroked="false">
            <v:path arrowok="t"/>
            <v:fill type="solid"/>
            <w10:wrap type="none"/>
          </v:shape>
        </w:pict>
      </w:r>
      <w:r>
        <w:rPr/>
        <w:pict>
          <v:shape style="position:absolute;margin-left:468.960022pt;margin-top:272.639984pt;width:.5pt;height:17.3pt;mso-position-horizontal-relative:page;mso-position-vertical-relative:page;z-index:-37832704" id="docshape682" coordorigin="9379,5453" coordsize="10,346" path="m9389,5760l9379,5760,9379,5798,9389,5798,9389,5760xm9389,5683l9379,5683,9379,5722,9389,5722,9389,5683xm9389,5606l9379,5606,9379,5645,9389,5645,9389,5606xm9389,5530l9379,5530,9379,5568,9389,5568,9389,5530xm9389,5453l9379,5453,9379,5491,9389,5491,9389,5453xe" filled="true" fillcolor="#000000" stroked="false">
            <v:path arrowok="t"/>
            <v:fill type="solid"/>
            <w10:wrap type="none"/>
          </v:shape>
        </w:pict>
      </w:r>
      <w:r>
        <w:rPr/>
        <w:pict>
          <v:shape style="position:absolute;margin-left:523.920044pt;margin-top:272.639984pt;width:.5pt;height:17.3pt;mso-position-horizontal-relative:page;mso-position-vertical-relative:page;z-index:-37832192" id="docshape683" coordorigin="10478,5453" coordsize="10,346" path="m10488,5760l10478,5760,10478,5798,10488,5798,10488,5760xm10488,5683l10478,5683,10478,5722,10488,5722,10488,5683xm10488,5606l10478,5606,10478,5645,10488,5645,10488,5606xm10488,5530l10478,5530,10478,5568,10488,5568,10488,5530xm10488,5453l10478,5453,10478,5491,10488,5491,10488,5453xe" filled="true" fillcolor="#000000" stroked="false">
            <v:path arrowok="t"/>
            <v:fill type="solid"/>
            <w10:wrap type="none"/>
          </v:shape>
        </w:pict>
      </w:r>
      <w:r>
        <w:rPr/>
        <w:pict>
          <v:shape style="position:absolute;margin-left:571.920044pt;margin-top:272.639984pt;width:.5pt;height:17.3pt;mso-position-horizontal-relative:page;mso-position-vertical-relative:page;z-index:-37831680" id="docshape684" coordorigin="11438,5453" coordsize="10,346" path="m11448,5760l11438,5760,11438,5798,11448,5798,11448,5760xm11448,5683l11438,5683,11438,5722,11448,5722,11448,5683xm11448,5606l11438,5606,11438,5645,11448,5645,11448,5606xm11448,5530l11438,5530,11438,5568,11448,5568,11448,5530xm11448,5453l11438,5453,11438,5491,11448,5491,11448,5453xe" filled="true" fillcolor="#000000" stroked="false">
            <v:path arrowok="t"/>
            <v:fill type="solid"/>
            <w10:wrap type="none"/>
          </v:shape>
        </w:pict>
      </w:r>
      <w:r>
        <w:rPr/>
        <w:pict>
          <v:shape style="position:absolute;margin-left:304.440002pt;margin-top:322.559998pt;width:.5pt;height:17.3pt;mso-position-horizontal-relative:page;mso-position-vertical-relative:page;z-index:-37831168" id="docshape685" coordorigin="6089,6451" coordsize="10,346" path="m6098,6758l6089,6758,6089,6797,6098,6797,6098,6758xm6098,6682l6089,6682,6089,6720,6098,6720,6098,6682xm6098,6605l6089,6605,6089,6643,6098,6643,6098,6605xm6098,6528l6089,6528,6089,6566,6098,6566,6098,6528xm6098,6451l6089,6451,6089,6490,6098,6490,6098,6451xe" filled="true" fillcolor="#000000" stroked="false">
            <v:path arrowok="t"/>
            <v:fill type="solid"/>
            <w10:wrap type="none"/>
          </v:shape>
        </w:pict>
      </w:r>
      <w:r>
        <w:rPr/>
        <w:pict>
          <v:shape style="position:absolute;margin-left:523.920044pt;margin-top:322.559998pt;width:.5pt;height:17.3pt;mso-position-horizontal-relative:page;mso-position-vertical-relative:page;z-index:-37830656" id="docshape686" coordorigin="10478,6451" coordsize="10,346" path="m10488,6758l10478,6758,10478,6797,10488,6797,10488,6758xm10488,6682l10478,6682,10478,6720,10488,6720,10488,6682xm10488,6605l10478,6605,10478,6643,10488,6643,10488,6605xm10488,6528l10478,6528,10478,6566,10488,6566,10488,6528xm10488,6451l10478,6451,10478,6490,10488,6490,10488,6451xe" filled="true" fillcolor="#000000" stroked="false">
            <v:path arrowok="t"/>
            <v:fill type="solid"/>
            <w10:wrap type="none"/>
          </v:shape>
        </w:pict>
      </w:r>
      <w:r>
        <w:rPr/>
        <w:pict>
          <v:shape style="position:absolute;margin-left:571.920044pt;margin-top:322.559998pt;width:.5pt;height:17.3pt;mso-position-horizontal-relative:page;mso-position-vertical-relative:page;z-index:-37830144" id="docshape687" coordorigin="11438,6451" coordsize="10,346" path="m11448,6758l11438,6758,11438,6797,11448,6797,11448,6758xm11448,6682l11438,6682,11438,6720,11448,6720,11448,6682xm11448,6605l11438,6605,11438,6643,11448,6643,11448,6605xm11448,6528l11438,6528,11438,6566,11448,6566,11448,6528xm11448,6451l11438,6451,11438,6490,11448,6490,11448,6451xe" filled="true" fillcolor="#000000" stroked="false">
            <v:path arrowok="t"/>
            <v:fill type="solid"/>
            <w10:wrap type="none"/>
          </v:shape>
        </w:pict>
      </w:r>
      <w:r>
        <w:rPr/>
        <w:pict>
          <v:shape style="position:absolute;margin-left:304.440002pt;margin-top:360.960999pt;width:.5pt;height:17.3pt;mso-position-horizontal-relative:page;mso-position-vertical-relative:page;z-index:-37829632" id="docshape688" coordorigin="6089,7219" coordsize="10,346" path="m6098,7526l6089,7526,6089,7565,6098,7565,6098,7526xm6098,7450l6089,7450,6089,7488,6098,7488,6098,7450xm6098,7373l6089,7373,6089,7411,6098,7411,6098,7373xm6098,7296l6089,7296,6089,7334,6098,7334,6098,7296xm6098,7219l6089,7219,6089,7258,6098,7258,6098,7219xe" filled="true" fillcolor="#000000" stroked="false">
            <v:path arrowok="t"/>
            <v:fill type="solid"/>
            <w10:wrap type="none"/>
          </v:shape>
        </w:pict>
      </w:r>
      <w:r>
        <w:rPr/>
        <w:pict>
          <v:shape style="position:absolute;margin-left:359.280029pt;margin-top:360.960999pt;width:.5pt;height:17.3pt;mso-position-horizontal-relative:page;mso-position-vertical-relative:page;z-index:-37829120" id="docshape689" coordorigin="7186,7219" coordsize="10,346" path="m7195,7526l7186,7526,7186,7565,7195,7565,7195,7526xm7195,7450l7186,7450,7186,7488,7195,7488,7195,7450xm7195,7373l7186,7373,7186,7411,7195,7411,7195,7373xm7195,7296l7186,7296,7186,7334,7195,7334,7195,7296xm7195,7219l7186,7219,7186,7258,7195,7258,7195,7219xe" filled="true" fillcolor="#000000" stroked="false">
            <v:path arrowok="t"/>
            <v:fill type="solid"/>
            <w10:wrap type="none"/>
          </v:shape>
        </w:pict>
      </w:r>
      <w:r>
        <w:rPr/>
        <w:pict>
          <v:shape style="position:absolute;margin-left:414.119019pt;margin-top:360.960999pt;width:.5pt;height:17.3pt;mso-position-horizontal-relative:page;mso-position-vertical-relative:page;z-index:-37828608" id="docshape690" coordorigin="8282,7219" coordsize="10,346" path="m8292,7526l8282,7526,8282,7565,8292,7565,8292,7526xm8292,7450l8282,7450,8282,7488,8292,7488,8292,7450xm8292,7373l8282,7373,8282,7411,8292,7411,8292,7373xm8292,7296l8282,7296,8282,7334,8292,7334,8292,7296xm8292,7219l8282,7219,8282,7258,8292,7258,8292,7219xe" filled="true" fillcolor="#000000" stroked="false">
            <v:path arrowok="t"/>
            <v:fill type="solid"/>
            <w10:wrap type="none"/>
          </v:shape>
        </w:pict>
      </w:r>
      <w:r>
        <w:rPr/>
        <w:pict>
          <v:shape style="position:absolute;margin-left:468.960022pt;margin-top:360.960999pt;width:.5pt;height:17.3pt;mso-position-horizontal-relative:page;mso-position-vertical-relative:page;z-index:-37828096" id="docshape691" coordorigin="9379,7219" coordsize="10,346" path="m9389,7526l9379,7526,9379,7565,9389,7565,9389,7526xm9389,7450l9379,7450,9379,7488,9389,7488,9389,7450xm9389,7373l9379,7373,9379,7411,9389,7411,9389,7373xm9389,7296l9379,7296,9379,7334,9389,7334,9389,7296xm9389,7219l9379,7219,9379,7258,9389,7258,9389,7219xe" filled="true" fillcolor="#000000" stroked="false">
            <v:path arrowok="t"/>
            <v:fill type="solid"/>
            <w10:wrap type="none"/>
          </v:shape>
        </w:pict>
      </w:r>
      <w:r>
        <w:rPr/>
        <w:pict>
          <v:shape style="position:absolute;margin-left:523.920044pt;margin-top:360.960999pt;width:.5pt;height:17.3pt;mso-position-horizontal-relative:page;mso-position-vertical-relative:page;z-index:-37827584" id="docshape692" coordorigin="10478,7219" coordsize="10,346" path="m10488,7526l10478,7526,10478,7565,10488,7565,10488,7526xm10488,7450l10478,7450,10478,7488,10488,7488,10488,7450xm10488,7373l10478,7373,10478,7411,10488,7411,10488,7373xm10488,7296l10478,7296,10478,7334,10488,7334,10488,7296xm10488,7219l10478,7219,10478,7258,10488,7258,10488,7219xe" filled="true" fillcolor="#000000" stroked="false">
            <v:path arrowok="t"/>
            <v:fill type="solid"/>
            <w10:wrap type="none"/>
          </v:shape>
        </w:pict>
      </w:r>
      <w:r>
        <w:rPr/>
        <w:pict>
          <v:shape style="position:absolute;margin-left:571.920044pt;margin-top:360.960999pt;width:.5pt;height:17.3pt;mso-position-horizontal-relative:page;mso-position-vertical-relative:page;z-index:-37827072" id="docshape693" coordorigin="11438,7219" coordsize="10,346" path="m11448,7526l11438,7526,11438,7565,11448,7565,11448,7526xm11448,7450l11438,7450,11438,7488,11448,7488,11448,7450xm11448,7373l11438,7373,11438,7411,11448,7411,11448,7373xm11448,7296l11438,7296,11438,7334,11448,7334,11448,7296xm11448,7219l11438,7219,11438,7258,11448,7258,11448,7219xe" filled="true" fillcolor="#000000" stroked="false">
            <v:path arrowok="t"/>
            <v:fill type="solid"/>
            <w10:wrap type="none"/>
          </v:shape>
        </w:pict>
      </w:r>
      <w:r>
        <w:rPr/>
        <w:pict>
          <v:shape style="position:absolute;margin-left:304.440002pt;margin-top:387.841003pt;width:.5pt;height:25pt;mso-position-horizontal-relative:page;mso-position-vertical-relative:page;z-index:-37826560" id="docshape694" coordorigin="6089,7757" coordsize="10,500" path="m6098,8218l6089,8218,6089,8256,6098,8256,6098,8218xm6098,8141l6089,8141,6089,8179,6098,8179,6098,8141xm6098,8064l6089,8064,6089,8102,6098,8102,6098,8064xm6098,7987l6089,7987,6089,8026,6098,8026,6098,7987xm6098,7910l6089,7910,6089,7949,6098,7949,6098,7910xm6098,7834l6089,7834,6089,7872,6098,7872,6098,7834xm6098,7757l6089,7757,6089,7795,6098,7795,6098,7757xe" filled="true" fillcolor="#000000" stroked="false">
            <v:path arrowok="t"/>
            <v:fill type="solid"/>
            <w10:wrap type="none"/>
          </v:shape>
        </w:pict>
      </w:r>
      <w:r>
        <w:rPr/>
        <w:pict>
          <v:shape style="position:absolute;margin-left:359.280029pt;margin-top:387.841003pt;width:.5pt;height:25pt;mso-position-horizontal-relative:page;mso-position-vertical-relative:page;z-index:-37826048" id="docshape695" coordorigin="7186,7757" coordsize="10,500" path="m7195,8218l7186,8218,7186,8256,7195,8256,7195,8218xm7195,8141l7186,8141,7186,8179,7195,8179,7195,8141xm7195,8064l7186,8064,7186,8102,7195,8102,7195,8064xm7195,7987l7186,7987,7186,8026,7195,8026,7195,7987xm7195,7910l7186,7910,7186,7949,7195,7949,7195,7910xm7195,7834l7186,7834,7186,7872,7195,7872,7195,7834xm7195,7757l7186,7757,7186,7795,7195,7795,7195,7757xe" filled="true" fillcolor="#000000" stroked="false">
            <v:path arrowok="t"/>
            <v:fill type="solid"/>
            <w10:wrap type="none"/>
          </v:shape>
        </w:pict>
      </w:r>
      <w:r>
        <w:rPr/>
        <w:pict>
          <v:shape style="position:absolute;margin-left:414.119019pt;margin-top:387.841003pt;width:.5pt;height:25pt;mso-position-horizontal-relative:page;mso-position-vertical-relative:page;z-index:-37825536" id="docshape696" coordorigin="8282,7757" coordsize="10,500" path="m8292,8218l8282,8218,8282,8256,8292,8256,8292,8218xm8292,8141l8282,8141,8282,8179,8292,8179,8292,8141xm8292,8064l8282,8064,8282,8102,8292,8102,8292,8064xm8292,7987l8282,7987,8282,8026,8292,8026,8292,7987xm8292,7910l8282,7910,8282,7949,8292,7949,8292,7910xm8292,7834l8282,7834,8282,7872,8292,7872,8292,7834xm8292,7757l8282,7757,8282,7795,8292,7795,8292,7757xe" filled="true" fillcolor="#000000" stroked="false">
            <v:path arrowok="t"/>
            <v:fill type="solid"/>
            <w10:wrap type="none"/>
          </v:shape>
        </w:pict>
      </w:r>
      <w:r>
        <w:rPr/>
        <w:pict>
          <v:shape style="position:absolute;margin-left:468.960022pt;margin-top:387.841003pt;width:.5pt;height:25pt;mso-position-horizontal-relative:page;mso-position-vertical-relative:page;z-index:-37825024" id="docshape697" coordorigin="9379,7757" coordsize="10,500" path="m9389,8218l9379,8218,9379,8256,9389,8256,9389,8218xm9389,8141l9379,8141,9379,8179,9389,8179,9389,8141xm9389,8064l9379,8064,9379,8102,9389,8102,9389,8064xm9389,7987l9379,7987,9379,8026,9389,8026,9389,7987xm9389,7910l9379,7910,9379,7949,9389,7949,9389,7910xm9389,7834l9379,7834,9379,7872,9389,7872,9389,7834xm9389,7757l9379,7757,9379,7795,9389,7795,9389,7757xe" filled="true" fillcolor="#000000" stroked="false">
            <v:path arrowok="t"/>
            <v:fill type="solid"/>
            <w10:wrap type="none"/>
          </v:shape>
        </w:pict>
      </w:r>
      <w:r>
        <w:rPr/>
        <w:pict>
          <v:shape style="position:absolute;margin-left:523.920044pt;margin-top:387.841003pt;width:.5pt;height:25pt;mso-position-horizontal-relative:page;mso-position-vertical-relative:page;z-index:-37824512" id="docshape698" coordorigin="10478,7757" coordsize="10,500" path="m10488,8218l10478,8218,10478,8256,10488,8256,10488,8218xm10488,8141l10478,8141,10478,8179,10488,8179,10488,8141xm10488,8064l10478,8064,10478,8102,10488,8102,10488,8064xm10488,7987l10478,7987,10478,8026,10488,8026,10488,7987xm10488,7910l10478,7910,10478,7949,10488,7949,10488,7910xm10488,7834l10478,7834,10478,7872,10488,7872,10488,7834xm10488,7757l10478,7757,10478,7795,10488,7795,10488,7757xe" filled="true" fillcolor="#000000" stroked="false">
            <v:path arrowok="t"/>
            <v:fill type="solid"/>
            <w10:wrap type="none"/>
          </v:shape>
        </w:pict>
      </w:r>
      <w:r>
        <w:rPr/>
        <w:pict>
          <v:shape style="position:absolute;margin-left:571.920044pt;margin-top:387.841003pt;width:.5pt;height:25pt;mso-position-horizontal-relative:page;mso-position-vertical-relative:page;z-index:-37824000" id="docshape699" coordorigin="11438,7757" coordsize="10,500" path="m11448,8218l11438,8218,11438,8256,11448,8256,11448,8218xm11448,8141l11438,8141,11438,8179,11448,8179,11448,8141xm11448,8064l11438,8064,11438,8102,11448,8102,11448,8064xm11448,7987l11438,7987,11438,8026,11448,8026,11448,7987xm11448,7910l11438,7910,11438,7949,11448,7949,11448,7910xm11448,7834l11438,7834,11438,7872,11448,7872,11448,7834xm11448,7757l11438,7757,11438,7795,11448,7795,11448,7757xe" filled="true" fillcolor="#000000" stroked="false">
            <v:path arrowok="t"/>
            <v:fill type="solid"/>
            <w10:wrap type="none"/>
          </v:shape>
        </w:pict>
      </w:r>
      <w:r>
        <w:rPr/>
        <w:pict>
          <v:shape style="position:absolute;margin-left:304.440002pt;margin-top:418.561005pt;width:.5pt;height:28.8pt;mso-position-horizontal-relative:page;mso-position-vertical-relative:page;z-index:-37823488" id="docshape700" coordorigin="6089,8371" coordsize="10,576" path="m6098,8909l6089,8909,6089,8947,6098,8947,6098,8909xm6098,8832l6089,8832,6089,8870,6098,8870,6098,8832xm6098,8755l6089,8755,6089,8794,6098,8794,6098,8755xm6098,8678l6089,8678,6089,8717,6098,8717,6098,8678xm6098,8602l6089,8602,6089,8640,6098,8640,6098,8602xm6098,8525l6089,8525,6089,8563,6098,8563,6098,8525xm6098,8448l6089,8448,6089,8486,6098,8486,6098,8448xm6098,8371l6089,8371,6089,8410,6098,8410,6098,8371xe" filled="true" fillcolor="#000000" stroked="false">
            <v:path arrowok="t"/>
            <v:fill type="solid"/>
            <w10:wrap type="none"/>
          </v:shape>
        </w:pict>
      </w:r>
      <w:r>
        <w:rPr/>
        <w:pict>
          <v:shape style="position:absolute;margin-left:359.280029pt;margin-top:418.561005pt;width:.5pt;height:28.8pt;mso-position-horizontal-relative:page;mso-position-vertical-relative:page;z-index:-37822976" id="docshape701" coordorigin="7186,8371" coordsize="10,576" path="m7195,8909l7186,8909,7186,8947,7195,8947,7195,8909xm7195,8832l7186,8832,7186,8870,7195,8870,7195,8832xm7195,8755l7186,8755,7186,8794,7195,8794,7195,8755xm7195,8678l7186,8678,7186,8717,7195,8717,7195,8678xm7195,8602l7186,8602,7186,8640,7195,8640,7195,8602xm7195,8525l7186,8525,7186,8563,7195,8563,7195,8525xm7195,8448l7186,8448,7186,8486,7195,8486,7195,8448xm7195,8371l7186,8371,7186,8410,7195,8410,7195,8371xe" filled="true" fillcolor="#000000" stroked="false">
            <v:path arrowok="t"/>
            <v:fill type="solid"/>
            <w10:wrap type="none"/>
          </v:shape>
        </w:pict>
      </w:r>
      <w:r>
        <w:rPr/>
        <w:pict>
          <v:shape style="position:absolute;margin-left:414.119019pt;margin-top:418.561005pt;width:.5pt;height:28.8pt;mso-position-horizontal-relative:page;mso-position-vertical-relative:page;z-index:-37822464" id="docshape702" coordorigin="8282,8371" coordsize="10,576" path="m8292,8909l8282,8909,8282,8947,8292,8947,8292,8909xm8292,8832l8282,8832,8282,8870,8292,8870,8292,8832xm8292,8755l8282,8755,8282,8794,8292,8794,8292,8755xm8292,8678l8282,8678,8282,8717,8292,8717,8292,8678xm8292,8602l8282,8602,8282,8640,8292,8640,8292,8602xm8292,8525l8282,8525,8282,8563,8292,8563,8292,8525xm8292,8448l8282,8448,8282,8486,8292,8486,8292,8448xm8292,8371l8282,8371,8282,8410,8292,8410,8292,8371xe" filled="true" fillcolor="#000000" stroked="false">
            <v:path arrowok="t"/>
            <v:fill type="solid"/>
            <w10:wrap type="none"/>
          </v:shape>
        </w:pict>
      </w:r>
      <w:r>
        <w:rPr/>
        <w:pict>
          <v:shape style="position:absolute;margin-left:468.960022pt;margin-top:418.561005pt;width:.5pt;height:28.8pt;mso-position-horizontal-relative:page;mso-position-vertical-relative:page;z-index:-37821952" id="docshape703" coordorigin="9379,8371" coordsize="10,576" path="m9389,8909l9379,8909,9379,8947,9389,8947,9389,8909xm9389,8832l9379,8832,9379,8870,9389,8870,9389,8832xm9389,8755l9379,8755,9379,8794,9389,8794,9389,8755xm9389,8678l9379,8678,9379,8717,9389,8717,9389,8678xm9389,8602l9379,8602,9379,8640,9389,8640,9389,8602xm9389,8525l9379,8525,9379,8563,9389,8563,9389,8525xm9389,8448l9379,8448,9379,8486,9389,8486,9389,8448xm9389,8371l9379,8371,9379,8410,9389,8410,9389,8371xe" filled="true" fillcolor="#000000" stroked="false">
            <v:path arrowok="t"/>
            <v:fill type="solid"/>
            <w10:wrap type="none"/>
          </v:shape>
        </w:pict>
      </w:r>
      <w:r>
        <w:rPr/>
        <w:pict>
          <v:shape style="position:absolute;margin-left:523.920044pt;margin-top:418.561005pt;width:.5pt;height:28.8pt;mso-position-horizontal-relative:page;mso-position-vertical-relative:page;z-index:-37821440" id="docshape704" coordorigin="10478,8371" coordsize="10,576" path="m10488,8909l10478,8909,10478,8947,10488,8947,10488,8909xm10488,8832l10478,8832,10478,8870,10488,8870,10488,8832xm10488,8755l10478,8755,10478,8794,10488,8794,10488,8755xm10488,8678l10478,8678,10478,8717,10488,8717,10488,8678xm10488,8602l10478,8602,10478,8640,10488,8640,10488,8602xm10488,8525l10478,8525,10478,8563,10488,8563,10488,8525xm10488,8448l10478,8448,10478,8486,10488,8486,10488,8448xm10488,8371l10478,8371,10478,8410,10488,8410,10488,8371xe" filled="true" fillcolor="#000000" stroked="false">
            <v:path arrowok="t"/>
            <v:fill type="solid"/>
            <w10:wrap type="none"/>
          </v:shape>
        </w:pict>
      </w:r>
      <w:r>
        <w:rPr/>
        <w:pict>
          <v:shape style="position:absolute;margin-left:571.920044pt;margin-top:418.561005pt;width:.5pt;height:28.8pt;mso-position-horizontal-relative:page;mso-position-vertical-relative:page;z-index:-37820928" id="docshape705" coordorigin="11438,8371" coordsize="10,576" path="m11448,8909l11438,8909,11438,8947,11448,8947,11448,8909xm11448,8832l11438,8832,11438,8870,11448,8870,11448,8832xm11448,8755l11438,8755,11438,8794,11448,8794,11448,8755xm11448,8678l11438,8678,11438,8717,11448,8717,11448,8678xm11448,8602l11438,8602,11438,8640,11448,8640,11448,8602xm11448,8525l11438,8525,11438,8563,11448,8563,11448,8525xm11448,8448l11438,8448,11438,8486,11448,8486,11448,8448xm11448,8371l11438,8371,11438,8410,11448,8410,11448,8371xe" filled="true" fillcolor="#000000" stroked="false">
            <v:path arrowok="t"/>
            <v:fill type="solid"/>
            <w10:wrap type="none"/>
          </v:shape>
        </w:pict>
      </w:r>
    </w:p>
    <w:p>
      <w:pPr>
        <w:spacing w:after="0"/>
        <w:rPr>
          <w:sz w:val="2"/>
          <w:szCs w:val="2"/>
        </w:rPr>
        <w:sectPr>
          <w:pgSz w:w="16840" w:h="11910" w:orient="landscape"/>
          <w:pgMar w:header="0" w:footer="375" w:top="540" w:bottom="560" w:left="600" w:right="120"/>
        </w:sectPr>
      </w:pPr>
    </w:p>
    <w:p>
      <w:pPr>
        <w:pStyle w:val="Heading1"/>
        <w:numPr>
          <w:ilvl w:val="0"/>
          <w:numId w:val="71"/>
        </w:numPr>
        <w:tabs>
          <w:tab w:pos="762" w:val="left" w:leader="none"/>
          <w:tab w:pos="763" w:val="left" w:leader="none"/>
        </w:tabs>
        <w:spacing w:line="240" w:lineRule="auto" w:before="62" w:after="0"/>
        <w:ind w:left="762" w:right="0" w:hanging="643"/>
        <w:jc w:val="left"/>
      </w:pPr>
      <w:bookmarkStart w:name="_TOC_250001" w:id="31"/>
      <w:r>
        <w:rPr>
          <w:color w:val="4966AC"/>
        </w:rPr>
        <w:t>Financial</w:t>
      </w:r>
      <w:r>
        <w:rPr>
          <w:color w:val="4966AC"/>
          <w:spacing w:val="-16"/>
        </w:rPr>
        <w:t> </w:t>
      </w:r>
      <w:r>
        <w:rPr>
          <w:color w:val="4966AC"/>
        </w:rPr>
        <w:t>performance</w:t>
      </w:r>
      <w:r>
        <w:rPr>
          <w:color w:val="4966AC"/>
          <w:spacing w:val="-15"/>
        </w:rPr>
        <w:t> </w:t>
      </w:r>
      <w:bookmarkEnd w:id="31"/>
      <w:r>
        <w:rPr>
          <w:color w:val="4966AC"/>
          <w:spacing w:val="-2"/>
        </w:rPr>
        <w:t>indicators</w:t>
      </w:r>
    </w:p>
    <w:p>
      <w:pPr>
        <w:pStyle w:val="Heading4"/>
        <w:spacing w:line="276" w:lineRule="exact" w:before="252"/>
        <w:ind w:left="403" w:firstLine="0"/>
        <w:jc w:val="both"/>
      </w:pPr>
      <w:r>
        <w:rPr>
          <w:color w:val="4966AC"/>
        </w:rPr>
        <w:t>5a. Targeted</w:t>
      </w:r>
      <w:r>
        <w:rPr>
          <w:color w:val="4966AC"/>
          <w:spacing w:val="-1"/>
        </w:rPr>
        <w:t> </w:t>
      </w:r>
      <w:r>
        <w:rPr>
          <w:color w:val="4966AC"/>
        </w:rPr>
        <w:t>performance</w:t>
      </w:r>
      <w:r>
        <w:rPr>
          <w:color w:val="4966AC"/>
          <w:spacing w:val="2"/>
        </w:rPr>
        <w:t> </w:t>
      </w:r>
      <w:r>
        <w:rPr>
          <w:color w:val="4966AC"/>
          <w:spacing w:val="-2"/>
        </w:rPr>
        <w:t>indicators</w:t>
      </w:r>
    </w:p>
    <w:p>
      <w:pPr>
        <w:pStyle w:val="BodyText"/>
        <w:ind w:left="120" w:right="593"/>
        <w:jc w:val="both"/>
      </w:pPr>
      <w:r>
        <w:rPr/>
        <w:t>The following tables highlight Council’s current and projected performance across a selection of targeted service and financial performance indicators. These indicators provide a useful analysis of Council’s intentions and performance and should be interpreted in the context of the organisation’s objectives. The targeted performance indicators below are the prescribed performance indicators contained in Schedule 4 of the Local Government (Planning and Reporting) Regulations 2020. Results against these indicators and targets will be reported in Council’s Performance Statement included in the Annual Report.</w:t>
      </w:r>
    </w:p>
    <w:p>
      <w:pPr>
        <w:pStyle w:val="BodyText"/>
        <w:spacing w:before="11"/>
        <w:rPr>
          <w:sz w:val="21"/>
        </w:rPr>
      </w:pPr>
    </w:p>
    <w:p>
      <w:pPr>
        <w:spacing w:before="0"/>
        <w:ind w:left="120" w:right="0" w:firstLine="0"/>
        <w:jc w:val="both"/>
        <w:rPr>
          <w:b/>
          <w:sz w:val="22"/>
        </w:rPr>
      </w:pPr>
      <w:r>
        <w:rPr/>
        <w:pict>
          <v:shape style="position:absolute;margin-left:380.852478pt;margin-top:32.963726pt;width:12.1pt;height:27.1pt;mso-position-horizontal-relative:page;mso-position-vertical-relative:paragraph;z-index:-37820416" type="#_x0000_t202" id="docshape706" filled="false" stroked="false">
            <v:textbox inset="0,0,0,0" style="layout-flow:vertical;mso-layout-flow-alt:bottom-to-top">
              <w:txbxContent>
                <w:p>
                  <w:pPr>
                    <w:spacing w:before="14"/>
                    <w:ind w:left="20" w:right="0" w:firstLine="0"/>
                    <w:jc w:val="left"/>
                    <w:rPr>
                      <w:b/>
                      <w:sz w:val="18"/>
                    </w:rPr>
                  </w:pPr>
                  <w:r>
                    <w:rPr>
                      <w:b/>
                      <w:color w:val="FFFFFF"/>
                      <w:spacing w:val="-2"/>
                      <w:sz w:val="18"/>
                    </w:rPr>
                    <w:t>Notes</w:t>
                  </w:r>
                </w:p>
              </w:txbxContent>
            </v:textbox>
            <w10:wrap type="none"/>
          </v:shape>
        </w:pict>
      </w:r>
      <w:r>
        <w:rPr>
          <w:b/>
          <w:sz w:val="22"/>
        </w:rPr>
        <w:t>Targeted</w:t>
      </w:r>
      <w:r>
        <w:rPr>
          <w:b/>
          <w:spacing w:val="-4"/>
          <w:sz w:val="22"/>
        </w:rPr>
        <w:t> </w:t>
      </w:r>
      <w:r>
        <w:rPr>
          <w:b/>
          <w:sz w:val="22"/>
        </w:rPr>
        <w:t>performance</w:t>
      </w:r>
      <w:r>
        <w:rPr>
          <w:b/>
          <w:spacing w:val="-5"/>
          <w:sz w:val="22"/>
        </w:rPr>
        <w:t> </w:t>
      </w:r>
      <w:r>
        <w:rPr>
          <w:b/>
          <w:sz w:val="22"/>
        </w:rPr>
        <w:t>indicators</w:t>
      </w:r>
      <w:r>
        <w:rPr>
          <w:b/>
          <w:spacing w:val="-6"/>
          <w:sz w:val="22"/>
        </w:rPr>
        <w:t> </w:t>
      </w:r>
      <w:r>
        <w:rPr>
          <w:b/>
          <w:sz w:val="22"/>
        </w:rPr>
        <w:t>-</w:t>
      </w:r>
      <w:r>
        <w:rPr>
          <w:b/>
          <w:spacing w:val="-3"/>
          <w:sz w:val="22"/>
        </w:rPr>
        <w:t> </w:t>
      </w:r>
      <w:r>
        <w:rPr>
          <w:b/>
          <w:spacing w:val="-2"/>
          <w:sz w:val="22"/>
        </w:rPr>
        <w:t>Service</w:t>
      </w:r>
    </w:p>
    <w:p>
      <w:pPr>
        <w:pStyle w:val="BodyText"/>
        <w:rPr>
          <w:b/>
        </w:r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7"/>
        <w:gridCol w:w="3935"/>
        <w:gridCol w:w="581"/>
        <w:gridCol w:w="1234"/>
        <w:gridCol w:w="1222"/>
        <w:gridCol w:w="1277"/>
        <w:gridCol w:w="1376"/>
        <w:gridCol w:w="1234"/>
        <w:gridCol w:w="986"/>
        <w:gridCol w:w="827"/>
      </w:tblGrid>
      <w:tr>
        <w:trPr>
          <w:trHeight w:val="780" w:hRule="atLeast"/>
        </w:trPr>
        <w:tc>
          <w:tcPr>
            <w:tcW w:w="2807" w:type="dxa"/>
            <w:tcBorders>
              <w:top w:val="single" w:sz="18" w:space="0" w:color="000000"/>
              <w:left w:val="single" w:sz="12" w:space="0" w:color="000000"/>
            </w:tcBorders>
            <w:shd w:val="clear" w:color="auto" w:fill="5B9AD4"/>
          </w:tcPr>
          <w:p>
            <w:pPr>
              <w:pStyle w:val="TableParagraph"/>
              <w:spacing w:before="6"/>
              <w:rPr>
                <w:b/>
                <w:sz w:val="24"/>
              </w:rPr>
            </w:pPr>
          </w:p>
          <w:p>
            <w:pPr>
              <w:pStyle w:val="TableParagraph"/>
              <w:ind w:left="1047" w:right="962"/>
              <w:jc w:val="center"/>
              <w:rPr>
                <w:b/>
                <w:sz w:val="18"/>
              </w:rPr>
            </w:pPr>
            <w:r>
              <w:rPr>
                <w:b/>
                <w:color w:val="FFFFFF"/>
                <w:spacing w:val="-2"/>
                <w:sz w:val="18"/>
              </w:rPr>
              <w:t>Indicator</w:t>
            </w:r>
          </w:p>
        </w:tc>
        <w:tc>
          <w:tcPr>
            <w:tcW w:w="3935" w:type="dxa"/>
            <w:tcBorders>
              <w:top w:val="single" w:sz="18" w:space="0" w:color="000000"/>
            </w:tcBorders>
            <w:shd w:val="clear" w:color="auto" w:fill="5B9AD4"/>
          </w:tcPr>
          <w:p>
            <w:pPr>
              <w:pStyle w:val="TableParagraph"/>
              <w:spacing w:before="6"/>
              <w:rPr>
                <w:b/>
                <w:sz w:val="24"/>
              </w:rPr>
            </w:pPr>
          </w:p>
          <w:p>
            <w:pPr>
              <w:pStyle w:val="TableParagraph"/>
              <w:ind w:left="1566" w:right="1612"/>
              <w:jc w:val="center"/>
              <w:rPr>
                <w:b/>
                <w:sz w:val="18"/>
              </w:rPr>
            </w:pPr>
            <w:r>
              <w:rPr>
                <w:b/>
                <w:color w:val="FFFFFF"/>
                <w:spacing w:val="-2"/>
                <w:sz w:val="18"/>
              </w:rPr>
              <w:t>Measure</w:t>
            </w:r>
          </w:p>
        </w:tc>
        <w:tc>
          <w:tcPr>
            <w:tcW w:w="581" w:type="dxa"/>
            <w:tcBorders>
              <w:top w:val="single" w:sz="18" w:space="0" w:color="000000"/>
            </w:tcBorders>
            <w:shd w:val="clear" w:color="auto" w:fill="5B9AD4"/>
          </w:tcPr>
          <w:p>
            <w:pPr>
              <w:pStyle w:val="TableParagraph"/>
              <w:rPr>
                <w:rFonts w:ascii="Times New Roman"/>
                <w:sz w:val="18"/>
              </w:rPr>
            </w:pPr>
          </w:p>
        </w:tc>
        <w:tc>
          <w:tcPr>
            <w:tcW w:w="1234" w:type="dxa"/>
            <w:tcBorders>
              <w:top w:val="single" w:sz="18" w:space="0" w:color="000000"/>
            </w:tcBorders>
            <w:shd w:val="clear" w:color="auto" w:fill="5B9AD4"/>
          </w:tcPr>
          <w:p>
            <w:pPr>
              <w:pStyle w:val="TableParagraph"/>
              <w:spacing w:before="146"/>
              <w:ind w:left="337"/>
              <w:rPr>
                <w:b/>
                <w:sz w:val="18"/>
              </w:rPr>
            </w:pPr>
            <w:r>
              <w:rPr>
                <w:b/>
                <w:color w:val="FFFFFF"/>
                <w:spacing w:val="-2"/>
                <w:sz w:val="18"/>
              </w:rPr>
              <w:t>Actual</w:t>
            </w:r>
          </w:p>
          <w:p>
            <w:pPr>
              <w:pStyle w:val="TableParagraph"/>
              <w:spacing w:before="4"/>
              <w:rPr>
                <w:b/>
                <w:sz w:val="16"/>
              </w:rPr>
            </w:pPr>
          </w:p>
          <w:p>
            <w:pPr>
              <w:pStyle w:val="TableParagraph"/>
              <w:spacing w:before="1"/>
              <w:ind w:left="287"/>
              <w:rPr>
                <w:b/>
                <w:sz w:val="18"/>
              </w:rPr>
            </w:pPr>
            <w:r>
              <w:rPr>
                <w:b/>
                <w:color w:val="FFFFFF"/>
                <w:spacing w:val="-2"/>
                <w:sz w:val="18"/>
              </w:rPr>
              <w:t>2023/24</w:t>
            </w:r>
          </w:p>
        </w:tc>
        <w:tc>
          <w:tcPr>
            <w:tcW w:w="1222" w:type="dxa"/>
            <w:tcBorders>
              <w:top w:val="single" w:sz="18" w:space="0" w:color="000000"/>
            </w:tcBorders>
            <w:shd w:val="clear" w:color="auto" w:fill="5B9AD4"/>
          </w:tcPr>
          <w:p>
            <w:pPr>
              <w:pStyle w:val="TableParagraph"/>
              <w:spacing w:before="146"/>
              <w:ind w:left="222"/>
              <w:rPr>
                <w:b/>
                <w:sz w:val="18"/>
              </w:rPr>
            </w:pPr>
            <w:r>
              <w:rPr>
                <w:b/>
                <w:color w:val="FFFFFF"/>
                <w:spacing w:val="-2"/>
                <w:sz w:val="18"/>
              </w:rPr>
              <w:t>Forecast</w:t>
            </w:r>
          </w:p>
          <w:p>
            <w:pPr>
              <w:pStyle w:val="TableParagraph"/>
              <w:spacing w:before="4"/>
              <w:rPr>
                <w:b/>
                <w:sz w:val="16"/>
              </w:rPr>
            </w:pPr>
          </w:p>
          <w:p>
            <w:pPr>
              <w:pStyle w:val="TableParagraph"/>
              <w:spacing w:before="1"/>
              <w:ind w:left="272"/>
              <w:rPr>
                <w:b/>
                <w:sz w:val="18"/>
              </w:rPr>
            </w:pPr>
            <w:r>
              <w:rPr>
                <w:b/>
                <w:color w:val="FFFFFF"/>
                <w:spacing w:val="-2"/>
                <w:sz w:val="18"/>
              </w:rPr>
              <w:t>2024/25</w:t>
            </w:r>
          </w:p>
        </w:tc>
        <w:tc>
          <w:tcPr>
            <w:tcW w:w="1277" w:type="dxa"/>
            <w:tcBorders>
              <w:top w:val="single" w:sz="18" w:space="0" w:color="000000"/>
            </w:tcBorders>
            <w:shd w:val="clear" w:color="auto" w:fill="5B9AD4"/>
          </w:tcPr>
          <w:p>
            <w:pPr>
              <w:pStyle w:val="TableParagraph"/>
              <w:spacing w:before="146"/>
              <w:ind w:left="373"/>
              <w:rPr>
                <w:b/>
                <w:sz w:val="18"/>
              </w:rPr>
            </w:pPr>
            <w:r>
              <w:rPr>
                <w:b/>
                <w:color w:val="FFFFFF"/>
                <w:spacing w:val="-2"/>
                <w:sz w:val="18"/>
              </w:rPr>
              <w:t>Target</w:t>
            </w:r>
          </w:p>
          <w:p>
            <w:pPr>
              <w:pStyle w:val="TableParagraph"/>
              <w:spacing w:before="4"/>
              <w:rPr>
                <w:b/>
                <w:sz w:val="16"/>
              </w:rPr>
            </w:pPr>
          </w:p>
          <w:p>
            <w:pPr>
              <w:pStyle w:val="TableParagraph"/>
              <w:spacing w:before="1"/>
              <w:ind w:left="325"/>
              <w:rPr>
                <w:b/>
                <w:sz w:val="18"/>
              </w:rPr>
            </w:pPr>
            <w:r>
              <w:rPr>
                <w:b/>
                <w:color w:val="FFFFFF"/>
                <w:spacing w:val="-2"/>
                <w:sz w:val="18"/>
              </w:rPr>
              <w:t>2025/26</w:t>
            </w:r>
          </w:p>
        </w:tc>
        <w:tc>
          <w:tcPr>
            <w:tcW w:w="2610" w:type="dxa"/>
            <w:gridSpan w:val="2"/>
            <w:tcBorders>
              <w:top w:val="single" w:sz="18" w:space="0" w:color="000000"/>
            </w:tcBorders>
            <w:shd w:val="clear" w:color="auto" w:fill="5B9AD4"/>
          </w:tcPr>
          <w:p>
            <w:pPr>
              <w:pStyle w:val="TableParagraph"/>
              <w:spacing w:before="146"/>
              <w:ind w:left="999"/>
              <w:rPr>
                <w:b/>
                <w:sz w:val="18"/>
              </w:rPr>
            </w:pPr>
            <w:r>
              <w:rPr>
                <w:b/>
                <w:color w:val="FFFFFF"/>
                <w:sz w:val="18"/>
              </w:rPr>
              <w:t>Target</w:t>
            </w:r>
            <w:r>
              <w:rPr>
                <w:b/>
                <w:color w:val="FFFFFF"/>
                <w:spacing w:val="1"/>
                <w:sz w:val="18"/>
              </w:rPr>
              <w:t> </w:t>
            </w:r>
            <w:r>
              <w:rPr>
                <w:b/>
                <w:color w:val="FFFFFF"/>
                <w:spacing w:val="-2"/>
                <w:sz w:val="18"/>
              </w:rPr>
              <w:t>Projections</w:t>
            </w:r>
          </w:p>
          <w:p>
            <w:pPr>
              <w:pStyle w:val="TableParagraph"/>
              <w:spacing w:before="4"/>
              <w:rPr>
                <w:b/>
                <w:sz w:val="16"/>
              </w:rPr>
            </w:pPr>
          </w:p>
          <w:p>
            <w:pPr>
              <w:pStyle w:val="TableParagraph"/>
              <w:tabs>
                <w:tab w:pos="1498" w:val="left" w:leader="none"/>
              </w:tabs>
              <w:spacing w:before="1"/>
              <w:ind w:left="303"/>
              <w:rPr>
                <w:b/>
                <w:sz w:val="18"/>
              </w:rPr>
            </w:pPr>
            <w:r>
              <w:rPr>
                <w:b/>
                <w:color w:val="FFFFFF"/>
                <w:spacing w:val="-2"/>
                <w:sz w:val="18"/>
              </w:rPr>
              <w:t>2026/27</w:t>
            </w:r>
            <w:r>
              <w:rPr>
                <w:b/>
                <w:color w:val="FFFFFF"/>
                <w:sz w:val="18"/>
              </w:rPr>
              <w:tab/>
            </w:r>
            <w:r>
              <w:rPr>
                <w:b/>
                <w:color w:val="FFFFFF"/>
                <w:spacing w:val="-2"/>
                <w:sz w:val="18"/>
              </w:rPr>
              <w:t>2027/28</w:t>
            </w:r>
          </w:p>
        </w:tc>
        <w:tc>
          <w:tcPr>
            <w:tcW w:w="986" w:type="dxa"/>
            <w:tcBorders>
              <w:top w:val="single" w:sz="18" w:space="0" w:color="000000"/>
            </w:tcBorders>
            <w:shd w:val="clear" w:color="auto" w:fill="5B9AD4"/>
          </w:tcPr>
          <w:p>
            <w:pPr>
              <w:pStyle w:val="TableParagraph"/>
              <w:rPr>
                <w:b/>
                <w:sz w:val="20"/>
              </w:rPr>
            </w:pPr>
          </w:p>
          <w:p>
            <w:pPr>
              <w:pStyle w:val="TableParagraph"/>
              <w:spacing w:before="1"/>
              <w:rPr>
                <w:b/>
                <w:sz w:val="27"/>
              </w:rPr>
            </w:pPr>
          </w:p>
          <w:p>
            <w:pPr>
              <w:pStyle w:val="TableParagraph"/>
              <w:ind w:left="52"/>
              <w:rPr>
                <w:b/>
                <w:sz w:val="18"/>
              </w:rPr>
            </w:pPr>
            <w:r>
              <w:rPr>
                <w:b/>
                <w:color w:val="FFFFFF"/>
                <w:spacing w:val="-2"/>
                <w:sz w:val="18"/>
              </w:rPr>
              <w:t>2028/29</w:t>
            </w:r>
          </w:p>
        </w:tc>
        <w:tc>
          <w:tcPr>
            <w:tcW w:w="827" w:type="dxa"/>
            <w:tcBorders>
              <w:top w:val="single" w:sz="18" w:space="0" w:color="000000"/>
              <w:right w:val="single" w:sz="12" w:space="0" w:color="000000"/>
            </w:tcBorders>
            <w:shd w:val="clear" w:color="auto" w:fill="5B9AD4"/>
          </w:tcPr>
          <w:p>
            <w:pPr>
              <w:pStyle w:val="TableParagraph"/>
              <w:spacing w:before="146"/>
              <w:ind w:left="143"/>
              <w:rPr>
                <w:b/>
                <w:sz w:val="18"/>
              </w:rPr>
            </w:pPr>
            <w:r>
              <w:rPr>
                <w:b/>
                <w:color w:val="FFFFFF"/>
                <w:spacing w:val="-2"/>
                <w:sz w:val="18"/>
              </w:rPr>
              <w:t>Trend</w:t>
            </w:r>
          </w:p>
          <w:p>
            <w:pPr>
              <w:pStyle w:val="TableParagraph"/>
              <w:spacing w:before="4"/>
              <w:rPr>
                <w:b/>
                <w:sz w:val="16"/>
              </w:rPr>
            </w:pPr>
          </w:p>
          <w:p>
            <w:pPr>
              <w:pStyle w:val="TableParagraph"/>
              <w:spacing w:before="1"/>
              <w:ind w:left="205"/>
              <w:rPr>
                <w:b/>
                <w:sz w:val="18"/>
              </w:rPr>
            </w:pPr>
            <w:r>
              <w:rPr>
                <w:b/>
                <w:color w:val="FFFFFF"/>
                <w:spacing w:val="-2"/>
                <w:sz w:val="18"/>
              </w:rPr>
              <w:t>+/o/-</w:t>
            </w:r>
          </w:p>
        </w:tc>
      </w:tr>
      <w:tr>
        <w:trPr>
          <w:trHeight w:val="234" w:hRule="atLeast"/>
        </w:trPr>
        <w:tc>
          <w:tcPr>
            <w:tcW w:w="2807" w:type="dxa"/>
            <w:tcBorders>
              <w:left w:val="single" w:sz="12" w:space="0" w:color="000000"/>
            </w:tcBorders>
          </w:tcPr>
          <w:p>
            <w:pPr>
              <w:pStyle w:val="TableParagraph"/>
              <w:spacing w:line="182" w:lineRule="exact" w:before="32"/>
              <w:ind w:left="107"/>
              <w:rPr>
                <w:b/>
                <w:i/>
                <w:sz w:val="18"/>
              </w:rPr>
            </w:pPr>
            <w:r>
              <w:rPr>
                <w:b/>
                <w:i/>
                <w:spacing w:val="-2"/>
                <w:sz w:val="18"/>
              </w:rPr>
              <w:t>Governance</w:t>
            </w:r>
          </w:p>
        </w:tc>
        <w:tc>
          <w:tcPr>
            <w:tcW w:w="3935" w:type="dxa"/>
          </w:tcPr>
          <w:p>
            <w:pPr>
              <w:pStyle w:val="TableParagraph"/>
              <w:rPr>
                <w:rFonts w:ascii="Times New Roman"/>
                <w:sz w:val="16"/>
              </w:rPr>
            </w:pPr>
          </w:p>
        </w:tc>
        <w:tc>
          <w:tcPr>
            <w:tcW w:w="581" w:type="dxa"/>
          </w:tcPr>
          <w:p>
            <w:pPr>
              <w:pStyle w:val="TableParagraph"/>
              <w:rPr>
                <w:rFonts w:ascii="Times New Roman"/>
                <w:sz w:val="16"/>
              </w:rPr>
            </w:pPr>
          </w:p>
        </w:tc>
        <w:tc>
          <w:tcPr>
            <w:tcW w:w="1234" w:type="dxa"/>
          </w:tcPr>
          <w:p>
            <w:pPr>
              <w:pStyle w:val="TableParagraph"/>
              <w:rPr>
                <w:rFonts w:ascii="Times New Roman"/>
                <w:sz w:val="16"/>
              </w:rPr>
            </w:pPr>
          </w:p>
        </w:tc>
        <w:tc>
          <w:tcPr>
            <w:tcW w:w="1222" w:type="dxa"/>
          </w:tcPr>
          <w:p>
            <w:pPr>
              <w:pStyle w:val="TableParagraph"/>
              <w:rPr>
                <w:rFonts w:ascii="Times New Roman"/>
                <w:sz w:val="16"/>
              </w:rPr>
            </w:pPr>
          </w:p>
        </w:tc>
        <w:tc>
          <w:tcPr>
            <w:tcW w:w="1277" w:type="dxa"/>
            <w:vMerge w:val="restart"/>
            <w:tcBorders>
              <w:bottom w:val="single" w:sz="12" w:space="0" w:color="000000"/>
            </w:tcBorders>
            <w:shd w:val="clear" w:color="auto" w:fill="DDEBF6"/>
          </w:tcPr>
          <w:p>
            <w:pPr>
              <w:pStyle w:val="TableParagraph"/>
              <w:rPr>
                <w:b/>
                <w:sz w:val="20"/>
              </w:rPr>
            </w:pPr>
          </w:p>
          <w:p>
            <w:pPr>
              <w:pStyle w:val="TableParagraph"/>
              <w:rPr>
                <w:b/>
                <w:sz w:val="20"/>
              </w:rPr>
            </w:pPr>
          </w:p>
          <w:p>
            <w:pPr>
              <w:pStyle w:val="TableParagraph"/>
              <w:spacing w:before="7"/>
              <w:rPr>
                <w:b/>
                <w:sz w:val="19"/>
              </w:rPr>
            </w:pPr>
          </w:p>
          <w:p>
            <w:pPr>
              <w:pStyle w:val="TableParagraph"/>
              <w:ind w:right="94"/>
              <w:jc w:val="right"/>
              <w:rPr>
                <w:sz w:val="18"/>
              </w:rPr>
            </w:pPr>
            <w:r>
              <w:rPr>
                <w:spacing w:val="-2"/>
                <w:sz w:val="18"/>
              </w:rPr>
              <w:t>57.00</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79"/>
              <w:ind w:right="144"/>
              <w:jc w:val="right"/>
              <w:rPr>
                <w:sz w:val="18"/>
              </w:rPr>
            </w:pPr>
            <w:r>
              <w:rPr>
                <w:spacing w:val="-2"/>
                <w:sz w:val="18"/>
              </w:rPr>
              <w:t>98.00%</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5"/>
              <w:rPr>
                <w:b/>
                <w:sz w:val="24"/>
              </w:rPr>
            </w:pPr>
          </w:p>
          <w:p>
            <w:pPr>
              <w:pStyle w:val="TableParagraph"/>
              <w:ind w:right="144"/>
              <w:jc w:val="right"/>
              <w:rPr>
                <w:sz w:val="18"/>
              </w:rPr>
            </w:pPr>
            <w:r>
              <w:rPr>
                <w:spacing w:val="-2"/>
                <w:sz w:val="18"/>
              </w:rPr>
              <w:t>80.00%</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58"/>
              <w:ind w:right="144"/>
              <w:jc w:val="right"/>
              <w:rPr>
                <w:sz w:val="18"/>
              </w:rPr>
            </w:pPr>
            <w:r>
              <w:rPr>
                <w:spacing w:val="-2"/>
                <w:sz w:val="18"/>
              </w:rPr>
              <w:t>59.80%</w:t>
            </w:r>
          </w:p>
        </w:tc>
        <w:tc>
          <w:tcPr>
            <w:tcW w:w="1376" w:type="dxa"/>
            <w:vMerge w:val="restart"/>
            <w:tcBorders>
              <w:bottom w:val="single" w:sz="12" w:space="0" w:color="000000"/>
            </w:tcBorders>
          </w:tcPr>
          <w:p>
            <w:pPr>
              <w:pStyle w:val="TableParagraph"/>
              <w:rPr>
                <w:b/>
                <w:sz w:val="20"/>
              </w:rPr>
            </w:pPr>
          </w:p>
          <w:p>
            <w:pPr>
              <w:pStyle w:val="TableParagraph"/>
              <w:rPr>
                <w:b/>
                <w:sz w:val="20"/>
              </w:rPr>
            </w:pPr>
          </w:p>
          <w:p>
            <w:pPr>
              <w:pStyle w:val="TableParagraph"/>
              <w:spacing w:before="7"/>
              <w:rPr>
                <w:b/>
                <w:sz w:val="19"/>
              </w:rPr>
            </w:pPr>
          </w:p>
          <w:p>
            <w:pPr>
              <w:pStyle w:val="TableParagraph"/>
              <w:ind w:right="233"/>
              <w:jc w:val="right"/>
              <w:rPr>
                <w:sz w:val="18"/>
              </w:rPr>
            </w:pPr>
            <w:r>
              <w:rPr>
                <w:spacing w:val="-2"/>
                <w:sz w:val="18"/>
              </w:rPr>
              <w:t>57.00</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79"/>
              <w:ind w:right="283"/>
              <w:jc w:val="right"/>
              <w:rPr>
                <w:sz w:val="18"/>
              </w:rPr>
            </w:pPr>
            <w:r>
              <w:rPr>
                <w:spacing w:val="-2"/>
                <w:sz w:val="18"/>
              </w:rPr>
              <w:t>98.00%</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5"/>
              <w:rPr>
                <w:b/>
                <w:sz w:val="24"/>
              </w:rPr>
            </w:pPr>
          </w:p>
          <w:p>
            <w:pPr>
              <w:pStyle w:val="TableParagraph"/>
              <w:ind w:right="283"/>
              <w:jc w:val="right"/>
              <w:rPr>
                <w:sz w:val="18"/>
              </w:rPr>
            </w:pPr>
            <w:r>
              <w:rPr>
                <w:spacing w:val="-2"/>
                <w:sz w:val="18"/>
              </w:rPr>
              <w:t>80.00%</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58"/>
              <w:ind w:right="283"/>
              <w:jc w:val="right"/>
              <w:rPr>
                <w:sz w:val="18"/>
              </w:rPr>
            </w:pPr>
            <w:r>
              <w:rPr>
                <w:spacing w:val="-2"/>
                <w:sz w:val="18"/>
              </w:rPr>
              <w:t>60.10%</w:t>
            </w:r>
          </w:p>
        </w:tc>
        <w:tc>
          <w:tcPr>
            <w:tcW w:w="1234" w:type="dxa"/>
            <w:vMerge w:val="restart"/>
            <w:tcBorders>
              <w:bottom w:val="single" w:sz="12" w:space="0" w:color="000000"/>
            </w:tcBorders>
          </w:tcPr>
          <w:p>
            <w:pPr>
              <w:pStyle w:val="TableParagraph"/>
              <w:rPr>
                <w:b/>
                <w:sz w:val="20"/>
              </w:rPr>
            </w:pPr>
          </w:p>
          <w:p>
            <w:pPr>
              <w:pStyle w:val="TableParagraph"/>
              <w:rPr>
                <w:b/>
                <w:sz w:val="20"/>
              </w:rPr>
            </w:pPr>
          </w:p>
          <w:p>
            <w:pPr>
              <w:pStyle w:val="TableParagraph"/>
              <w:spacing w:before="7"/>
              <w:rPr>
                <w:b/>
                <w:sz w:val="19"/>
              </w:rPr>
            </w:pPr>
          </w:p>
          <w:p>
            <w:pPr>
              <w:pStyle w:val="TableParagraph"/>
              <w:ind w:right="309"/>
              <w:jc w:val="right"/>
              <w:rPr>
                <w:sz w:val="18"/>
              </w:rPr>
            </w:pPr>
            <w:r>
              <w:rPr>
                <w:spacing w:val="-2"/>
                <w:sz w:val="18"/>
              </w:rPr>
              <w:t>57.00</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79"/>
              <w:ind w:right="358"/>
              <w:jc w:val="right"/>
              <w:rPr>
                <w:sz w:val="18"/>
              </w:rPr>
            </w:pPr>
            <w:r>
              <w:rPr>
                <w:spacing w:val="-2"/>
                <w:sz w:val="18"/>
              </w:rPr>
              <w:t>98.00%</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5"/>
              <w:rPr>
                <w:b/>
                <w:sz w:val="24"/>
              </w:rPr>
            </w:pPr>
          </w:p>
          <w:p>
            <w:pPr>
              <w:pStyle w:val="TableParagraph"/>
              <w:ind w:right="358"/>
              <w:jc w:val="right"/>
              <w:rPr>
                <w:sz w:val="18"/>
              </w:rPr>
            </w:pPr>
            <w:r>
              <w:rPr>
                <w:spacing w:val="-2"/>
                <w:sz w:val="18"/>
              </w:rPr>
              <w:t>80.00%</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58"/>
              <w:ind w:right="358"/>
              <w:jc w:val="right"/>
              <w:rPr>
                <w:sz w:val="18"/>
              </w:rPr>
            </w:pPr>
            <w:r>
              <w:rPr>
                <w:spacing w:val="-2"/>
                <w:sz w:val="18"/>
              </w:rPr>
              <w:t>60.40%</w:t>
            </w:r>
          </w:p>
        </w:tc>
        <w:tc>
          <w:tcPr>
            <w:tcW w:w="986" w:type="dxa"/>
            <w:vMerge w:val="restart"/>
            <w:tcBorders>
              <w:bottom w:val="single" w:sz="12" w:space="0" w:color="000000"/>
            </w:tcBorders>
          </w:tcPr>
          <w:p>
            <w:pPr>
              <w:pStyle w:val="TableParagraph"/>
              <w:rPr>
                <w:b/>
                <w:sz w:val="20"/>
              </w:rPr>
            </w:pPr>
          </w:p>
          <w:p>
            <w:pPr>
              <w:pStyle w:val="TableParagraph"/>
              <w:rPr>
                <w:b/>
                <w:sz w:val="20"/>
              </w:rPr>
            </w:pPr>
          </w:p>
          <w:p>
            <w:pPr>
              <w:pStyle w:val="TableParagraph"/>
              <w:spacing w:before="7"/>
              <w:rPr>
                <w:b/>
                <w:sz w:val="19"/>
              </w:rPr>
            </w:pPr>
          </w:p>
          <w:p>
            <w:pPr>
              <w:pStyle w:val="TableParagraph"/>
              <w:ind w:right="130"/>
              <w:jc w:val="right"/>
              <w:rPr>
                <w:sz w:val="18"/>
              </w:rPr>
            </w:pPr>
            <w:r>
              <w:rPr>
                <w:spacing w:val="-2"/>
                <w:sz w:val="18"/>
              </w:rPr>
              <w:t>57.00</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79"/>
              <w:ind w:right="180"/>
              <w:jc w:val="right"/>
              <w:rPr>
                <w:sz w:val="18"/>
              </w:rPr>
            </w:pPr>
            <w:r>
              <w:rPr>
                <w:spacing w:val="-2"/>
                <w:sz w:val="18"/>
              </w:rPr>
              <w:t>98.00%</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5"/>
              <w:rPr>
                <w:b/>
                <w:sz w:val="24"/>
              </w:rPr>
            </w:pPr>
          </w:p>
          <w:p>
            <w:pPr>
              <w:pStyle w:val="TableParagraph"/>
              <w:ind w:right="180"/>
              <w:jc w:val="right"/>
              <w:rPr>
                <w:sz w:val="18"/>
              </w:rPr>
            </w:pPr>
            <w:r>
              <w:rPr>
                <w:spacing w:val="-2"/>
                <w:sz w:val="18"/>
              </w:rPr>
              <w:t>80.00%</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58"/>
              <w:ind w:right="180"/>
              <w:jc w:val="right"/>
              <w:rPr>
                <w:sz w:val="18"/>
              </w:rPr>
            </w:pPr>
            <w:r>
              <w:rPr>
                <w:spacing w:val="-2"/>
                <w:sz w:val="18"/>
              </w:rPr>
              <w:t>60.70%</w:t>
            </w:r>
          </w:p>
        </w:tc>
        <w:tc>
          <w:tcPr>
            <w:tcW w:w="827" w:type="dxa"/>
            <w:vMerge w:val="restart"/>
            <w:tcBorders>
              <w:bottom w:val="single" w:sz="12" w:space="0" w:color="000000"/>
              <w:right w:val="single" w:sz="12" w:space="0" w:color="000000"/>
            </w:tcBorders>
          </w:tcPr>
          <w:p>
            <w:pPr>
              <w:pStyle w:val="TableParagraph"/>
              <w:rPr>
                <w:b/>
                <w:sz w:val="20"/>
              </w:rPr>
            </w:pPr>
          </w:p>
          <w:p>
            <w:pPr>
              <w:pStyle w:val="TableParagraph"/>
              <w:rPr>
                <w:b/>
                <w:sz w:val="20"/>
              </w:rPr>
            </w:pPr>
          </w:p>
          <w:p>
            <w:pPr>
              <w:pStyle w:val="TableParagraph"/>
              <w:spacing w:before="7"/>
              <w:rPr>
                <w:b/>
                <w:sz w:val="19"/>
              </w:rPr>
            </w:pPr>
          </w:p>
          <w:p>
            <w:pPr>
              <w:pStyle w:val="TableParagraph"/>
              <w:ind w:right="9"/>
              <w:jc w:val="center"/>
              <w:rPr>
                <w:b/>
                <w:sz w:val="18"/>
              </w:rPr>
            </w:pPr>
            <w:r>
              <w:rPr>
                <w:b/>
                <w:sz w:val="18"/>
              </w:rPr>
              <w:t>o</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79"/>
              <w:ind w:right="9"/>
              <w:jc w:val="center"/>
              <w:rPr>
                <w:b/>
                <w:sz w:val="18"/>
              </w:rPr>
            </w:pPr>
            <w:r>
              <w:rPr>
                <w:b/>
                <w:sz w:val="18"/>
              </w:rPr>
              <w:t>o</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5"/>
              <w:rPr>
                <w:b/>
                <w:sz w:val="24"/>
              </w:rPr>
            </w:pPr>
          </w:p>
          <w:p>
            <w:pPr>
              <w:pStyle w:val="TableParagraph"/>
              <w:ind w:right="9"/>
              <w:jc w:val="center"/>
              <w:rPr>
                <w:b/>
                <w:sz w:val="18"/>
              </w:rPr>
            </w:pPr>
            <w:r>
              <w:rPr>
                <w:b/>
                <w:sz w:val="18"/>
              </w:rPr>
              <w:t>o</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58"/>
              <w:ind w:right="9"/>
              <w:jc w:val="center"/>
              <w:rPr>
                <w:b/>
                <w:sz w:val="18"/>
              </w:rPr>
            </w:pPr>
            <w:r>
              <w:rPr>
                <w:b/>
                <w:sz w:val="18"/>
              </w:rPr>
              <w:t>+</w:t>
            </w:r>
          </w:p>
        </w:tc>
      </w:tr>
      <w:tr>
        <w:trPr>
          <w:trHeight w:val="253" w:hRule="atLeast"/>
        </w:trPr>
        <w:tc>
          <w:tcPr>
            <w:tcW w:w="2807" w:type="dxa"/>
            <w:tcBorders>
              <w:left w:val="single" w:sz="12" w:space="0" w:color="000000"/>
            </w:tcBorders>
          </w:tcPr>
          <w:p>
            <w:pPr>
              <w:pStyle w:val="TableParagraph"/>
              <w:spacing w:line="122" w:lineRule="exact" w:before="111"/>
              <w:ind w:left="107"/>
              <w:rPr>
                <w:b/>
                <w:sz w:val="18"/>
              </w:rPr>
            </w:pPr>
            <w:r>
              <w:rPr>
                <w:b/>
                <w:sz w:val="18"/>
              </w:rPr>
              <w:t>Consultation and </w:t>
            </w:r>
            <w:r>
              <w:rPr>
                <w:b/>
                <w:spacing w:val="-2"/>
                <w:sz w:val="18"/>
              </w:rPr>
              <w:t>engagement</w:t>
            </w:r>
          </w:p>
        </w:tc>
        <w:tc>
          <w:tcPr>
            <w:tcW w:w="3935" w:type="dxa"/>
          </w:tcPr>
          <w:p>
            <w:pPr>
              <w:pStyle w:val="TableParagraph"/>
              <w:spacing w:before="6"/>
              <w:ind w:left="128"/>
              <w:rPr>
                <w:b/>
                <w:sz w:val="18"/>
              </w:rPr>
            </w:pPr>
            <w:r>
              <w:rPr>
                <w:b/>
                <w:sz w:val="18"/>
              </w:rPr>
              <w:t>Satisfaction</w:t>
            </w:r>
            <w:r>
              <w:rPr>
                <w:b/>
                <w:spacing w:val="-2"/>
                <w:sz w:val="18"/>
              </w:rPr>
              <w:t> </w:t>
            </w:r>
            <w:r>
              <w:rPr>
                <w:b/>
                <w:sz w:val="18"/>
              </w:rPr>
              <w:t>with</w:t>
            </w:r>
            <w:r>
              <w:rPr>
                <w:b/>
                <w:spacing w:val="-1"/>
                <w:sz w:val="18"/>
              </w:rPr>
              <w:t> </w:t>
            </w:r>
            <w:r>
              <w:rPr>
                <w:b/>
                <w:sz w:val="18"/>
              </w:rPr>
              <w:t>community</w:t>
            </w:r>
            <w:r>
              <w:rPr>
                <w:b/>
                <w:spacing w:val="-1"/>
                <w:sz w:val="18"/>
              </w:rPr>
              <w:t> </w:t>
            </w:r>
            <w:r>
              <w:rPr>
                <w:b/>
                <w:spacing w:val="-2"/>
                <w:sz w:val="18"/>
              </w:rPr>
              <w:t>consultation</w:t>
            </w:r>
          </w:p>
        </w:tc>
        <w:tc>
          <w:tcPr>
            <w:tcW w:w="581" w:type="dxa"/>
          </w:tcPr>
          <w:p>
            <w:pPr>
              <w:pStyle w:val="TableParagraph"/>
              <w:rPr>
                <w:rFonts w:ascii="Times New Roman"/>
                <w:sz w:val="18"/>
              </w:rPr>
            </w:pPr>
          </w:p>
        </w:tc>
        <w:tc>
          <w:tcPr>
            <w:tcW w:w="1234" w:type="dxa"/>
          </w:tcPr>
          <w:p>
            <w:pPr>
              <w:pStyle w:val="TableParagraph"/>
              <w:rPr>
                <w:rFonts w:ascii="Times New Roman"/>
                <w:sz w:val="18"/>
              </w:rPr>
            </w:pPr>
          </w:p>
        </w:tc>
        <w:tc>
          <w:tcPr>
            <w:tcW w:w="1222" w:type="dxa"/>
          </w:tcPr>
          <w:p>
            <w:pPr>
              <w:pStyle w:val="TableParagraph"/>
              <w:rPr>
                <w:rFonts w:ascii="Times New Roman"/>
                <w:sz w:val="18"/>
              </w:rPr>
            </w:pPr>
          </w:p>
        </w:tc>
        <w:tc>
          <w:tcPr>
            <w:tcW w:w="1277" w:type="dxa"/>
            <w:vMerge/>
            <w:tcBorders>
              <w:top w:val="nil"/>
              <w:bottom w:val="single" w:sz="12" w:space="0" w:color="000000"/>
            </w:tcBorders>
            <w:shd w:val="clear" w:color="auto" w:fill="DDEBF6"/>
          </w:tcPr>
          <w:p>
            <w:pPr>
              <w:rPr>
                <w:sz w:val="2"/>
                <w:szCs w:val="2"/>
              </w:rPr>
            </w:pPr>
          </w:p>
        </w:tc>
        <w:tc>
          <w:tcPr>
            <w:tcW w:w="1376" w:type="dxa"/>
            <w:vMerge/>
            <w:tcBorders>
              <w:top w:val="nil"/>
              <w:bottom w:val="single" w:sz="12" w:space="0" w:color="000000"/>
            </w:tcBorders>
          </w:tcPr>
          <w:p>
            <w:pPr>
              <w:rPr>
                <w:sz w:val="2"/>
                <w:szCs w:val="2"/>
              </w:rPr>
            </w:pPr>
          </w:p>
        </w:tc>
        <w:tc>
          <w:tcPr>
            <w:tcW w:w="1234" w:type="dxa"/>
            <w:vMerge/>
            <w:tcBorders>
              <w:top w:val="nil"/>
              <w:bottom w:val="single" w:sz="12" w:space="0" w:color="000000"/>
            </w:tcBorders>
          </w:tcPr>
          <w:p>
            <w:pPr>
              <w:rPr>
                <w:sz w:val="2"/>
                <w:szCs w:val="2"/>
              </w:rPr>
            </w:pPr>
          </w:p>
        </w:tc>
        <w:tc>
          <w:tcPr>
            <w:tcW w:w="986" w:type="dxa"/>
            <w:vMerge/>
            <w:tcBorders>
              <w:top w:val="nil"/>
              <w:bottom w:val="single" w:sz="12" w:space="0" w:color="000000"/>
            </w:tcBorders>
          </w:tcPr>
          <w:p>
            <w:pPr>
              <w:rPr>
                <w:sz w:val="2"/>
                <w:szCs w:val="2"/>
              </w:rPr>
            </w:pPr>
          </w:p>
        </w:tc>
        <w:tc>
          <w:tcPr>
            <w:tcW w:w="827" w:type="dxa"/>
            <w:vMerge/>
            <w:tcBorders>
              <w:top w:val="nil"/>
              <w:bottom w:val="single" w:sz="12" w:space="0" w:color="000000"/>
              <w:right w:val="single" w:sz="12" w:space="0" w:color="000000"/>
            </w:tcBorders>
          </w:tcPr>
          <w:p>
            <w:pPr>
              <w:rPr>
                <w:sz w:val="2"/>
                <w:szCs w:val="2"/>
              </w:rPr>
            </w:pPr>
          </w:p>
        </w:tc>
      </w:tr>
      <w:tr>
        <w:trPr>
          <w:trHeight w:val="169" w:hRule="atLeast"/>
        </w:trPr>
        <w:tc>
          <w:tcPr>
            <w:tcW w:w="2807" w:type="dxa"/>
            <w:tcBorders>
              <w:left w:val="single" w:sz="12" w:space="0" w:color="000000"/>
            </w:tcBorders>
          </w:tcPr>
          <w:p>
            <w:pPr>
              <w:pStyle w:val="TableParagraph"/>
              <w:spacing w:line="115" w:lineRule="exact" w:before="34"/>
              <w:ind w:left="107"/>
              <w:rPr>
                <w:sz w:val="18"/>
              </w:rPr>
            </w:pPr>
            <w:r>
              <w:rPr>
                <w:sz w:val="18"/>
              </w:rPr>
              <w:t>(Council</w:t>
            </w:r>
            <w:r>
              <w:rPr>
                <w:spacing w:val="-2"/>
                <w:sz w:val="18"/>
              </w:rPr>
              <w:t> </w:t>
            </w:r>
            <w:r>
              <w:rPr>
                <w:sz w:val="18"/>
              </w:rPr>
              <w:t>decisions</w:t>
            </w:r>
            <w:r>
              <w:rPr>
                <w:spacing w:val="-3"/>
                <w:sz w:val="18"/>
              </w:rPr>
              <w:t> </w:t>
            </w:r>
            <w:r>
              <w:rPr>
                <w:sz w:val="18"/>
              </w:rPr>
              <w:t>made</w:t>
            </w:r>
            <w:r>
              <w:rPr>
                <w:spacing w:val="1"/>
                <w:sz w:val="18"/>
              </w:rPr>
              <w:t> </w:t>
            </w:r>
            <w:r>
              <w:rPr>
                <w:spacing w:val="-5"/>
                <w:sz w:val="18"/>
              </w:rPr>
              <w:t>and</w:t>
            </w:r>
          </w:p>
        </w:tc>
        <w:tc>
          <w:tcPr>
            <w:tcW w:w="3935" w:type="dxa"/>
          </w:tcPr>
          <w:p>
            <w:pPr>
              <w:pStyle w:val="TableParagraph"/>
              <w:spacing w:line="138" w:lineRule="exact"/>
              <w:ind w:left="128"/>
              <w:rPr>
                <w:b/>
                <w:sz w:val="18"/>
              </w:rPr>
            </w:pPr>
            <w:r>
              <w:rPr>
                <w:b/>
                <w:sz w:val="18"/>
              </w:rPr>
              <w:t>and</w:t>
            </w:r>
            <w:r>
              <w:rPr>
                <w:b/>
                <w:spacing w:val="-1"/>
                <w:sz w:val="18"/>
              </w:rPr>
              <w:t> </w:t>
            </w:r>
            <w:r>
              <w:rPr>
                <w:b/>
                <w:spacing w:val="-2"/>
                <w:sz w:val="18"/>
              </w:rPr>
              <w:t>engagement</w:t>
            </w:r>
          </w:p>
        </w:tc>
        <w:tc>
          <w:tcPr>
            <w:tcW w:w="581" w:type="dxa"/>
          </w:tcPr>
          <w:p>
            <w:pPr>
              <w:pStyle w:val="TableParagraph"/>
              <w:rPr>
                <w:rFonts w:ascii="Times New Roman"/>
                <w:sz w:val="10"/>
              </w:rPr>
            </w:pPr>
          </w:p>
        </w:tc>
        <w:tc>
          <w:tcPr>
            <w:tcW w:w="1234" w:type="dxa"/>
          </w:tcPr>
          <w:p>
            <w:pPr>
              <w:pStyle w:val="TableParagraph"/>
              <w:rPr>
                <w:rFonts w:ascii="Times New Roman"/>
                <w:sz w:val="10"/>
              </w:rPr>
            </w:pPr>
          </w:p>
        </w:tc>
        <w:tc>
          <w:tcPr>
            <w:tcW w:w="1222" w:type="dxa"/>
          </w:tcPr>
          <w:p>
            <w:pPr>
              <w:pStyle w:val="TableParagraph"/>
              <w:rPr>
                <w:rFonts w:ascii="Times New Roman"/>
                <w:sz w:val="10"/>
              </w:rPr>
            </w:pPr>
          </w:p>
        </w:tc>
        <w:tc>
          <w:tcPr>
            <w:tcW w:w="1277" w:type="dxa"/>
            <w:vMerge/>
            <w:tcBorders>
              <w:top w:val="nil"/>
              <w:bottom w:val="single" w:sz="12" w:space="0" w:color="000000"/>
            </w:tcBorders>
            <w:shd w:val="clear" w:color="auto" w:fill="DDEBF6"/>
          </w:tcPr>
          <w:p>
            <w:pPr>
              <w:rPr>
                <w:sz w:val="2"/>
                <w:szCs w:val="2"/>
              </w:rPr>
            </w:pPr>
          </w:p>
        </w:tc>
        <w:tc>
          <w:tcPr>
            <w:tcW w:w="1376" w:type="dxa"/>
            <w:vMerge/>
            <w:tcBorders>
              <w:top w:val="nil"/>
              <w:bottom w:val="single" w:sz="12" w:space="0" w:color="000000"/>
            </w:tcBorders>
          </w:tcPr>
          <w:p>
            <w:pPr>
              <w:rPr>
                <w:sz w:val="2"/>
                <w:szCs w:val="2"/>
              </w:rPr>
            </w:pPr>
          </w:p>
        </w:tc>
        <w:tc>
          <w:tcPr>
            <w:tcW w:w="1234" w:type="dxa"/>
            <w:vMerge/>
            <w:tcBorders>
              <w:top w:val="nil"/>
              <w:bottom w:val="single" w:sz="12" w:space="0" w:color="000000"/>
            </w:tcBorders>
          </w:tcPr>
          <w:p>
            <w:pPr>
              <w:rPr>
                <w:sz w:val="2"/>
                <w:szCs w:val="2"/>
              </w:rPr>
            </w:pPr>
          </w:p>
        </w:tc>
        <w:tc>
          <w:tcPr>
            <w:tcW w:w="986" w:type="dxa"/>
            <w:vMerge/>
            <w:tcBorders>
              <w:top w:val="nil"/>
              <w:bottom w:val="single" w:sz="12" w:space="0" w:color="000000"/>
            </w:tcBorders>
          </w:tcPr>
          <w:p>
            <w:pPr>
              <w:rPr>
                <w:sz w:val="2"/>
                <w:szCs w:val="2"/>
              </w:rPr>
            </w:pPr>
          </w:p>
        </w:tc>
        <w:tc>
          <w:tcPr>
            <w:tcW w:w="827" w:type="dxa"/>
            <w:vMerge/>
            <w:tcBorders>
              <w:top w:val="nil"/>
              <w:bottom w:val="single" w:sz="12" w:space="0" w:color="000000"/>
              <w:right w:val="single" w:sz="12" w:space="0" w:color="000000"/>
            </w:tcBorders>
          </w:tcPr>
          <w:p>
            <w:pPr>
              <w:rPr>
                <w:sz w:val="2"/>
                <w:szCs w:val="2"/>
              </w:rPr>
            </w:pPr>
          </w:p>
        </w:tc>
      </w:tr>
      <w:tr>
        <w:trPr>
          <w:trHeight w:val="124" w:hRule="atLeast"/>
        </w:trPr>
        <w:tc>
          <w:tcPr>
            <w:tcW w:w="2807" w:type="dxa"/>
            <w:tcBorders>
              <w:left w:val="single" w:sz="12" w:space="0" w:color="000000"/>
            </w:tcBorders>
          </w:tcPr>
          <w:p>
            <w:pPr>
              <w:pStyle w:val="TableParagraph"/>
              <w:rPr>
                <w:rFonts w:ascii="Times New Roman"/>
                <w:sz w:val="6"/>
              </w:rPr>
            </w:pPr>
          </w:p>
        </w:tc>
        <w:tc>
          <w:tcPr>
            <w:tcW w:w="3935" w:type="dxa"/>
          </w:tcPr>
          <w:p>
            <w:pPr>
              <w:pStyle w:val="TableParagraph"/>
              <w:spacing w:line="105" w:lineRule="exact"/>
              <w:ind w:left="128"/>
              <w:rPr>
                <w:sz w:val="18"/>
              </w:rPr>
            </w:pPr>
            <w:r>
              <w:rPr>
                <w:sz w:val="18"/>
              </w:rPr>
              <w:t>Community</w:t>
            </w:r>
            <w:r>
              <w:rPr>
                <w:spacing w:val="-1"/>
                <w:sz w:val="18"/>
              </w:rPr>
              <w:t> </w:t>
            </w:r>
            <w:r>
              <w:rPr>
                <w:sz w:val="18"/>
              </w:rPr>
              <w:t>satisfaction</w:t>
            </w:r>
            <w:r>
              <w:rPr>
                <w:spacing w:val="2"/>
                <w:sz w:val="18"/>
              </w:rPr>
              <w:t> </w:t>
            </w:r>
            <w:r>
              <w:rPr>
                <w:sz w:val="18"/>
              </w:rPr>
              <w:t>rating</w:t>
            </w:r>
            <w:r>
              <w:rPr>
                <w:spacing w:val="-2"/>
                <w:sz w:val="18"/>
              </w:rPr>
              <w:t> </w:t>
            </w:r>
            <w:r>
              <w:rPr>
                <w:sz w:val="18"/>
              </w:rPr>
              <w:t>out of</w:t>
            </w:r>
            <w:r>
              <w:rPr>
                <w:spacing w:val="-2"/>
                <w:sz w:val="18"/>
              </w:rPr>
              <w:t> </w:t>
            </w:r>
            <w:r>
              <w:rPr>
                <w:sz w:val="18"/>
              </w:rPr>
              <w:t>100</w:t>
            </w:r>
            <w:r>
              <w:rPr>
                <w:spacing w:val="-3"/>
                <w:sz w:val="18"/>
              </w:rPr>
              <w:t> </w:t>
            </w:r>
            <w:r>
              <w:rPr>
                <w:spacing w:val="-4"/>
                <w:sz w:val="18"/>
              </w:rPr>
              <w:t>with</w:t>
            </w:r>
          </w:p>
        </w:tc>
        <w:tc>
          <w:tcPr>
            <w:tcW w:w="581" w:type="dxa"/>
          </w:tcPr>
          <w:p>
            <w:pPr>
              <w:pStyle w:val="TableParagraph"/>
              <w:spacing w:line="105" w:lineRule="exact"/>
              <w:ind w:left="220"/>
              <w:rPr>
                <w:sz w:val="18"/>
              </w:rPr>
            </w:pPr>
            <w:r>
              <w:rPr>
                <w:sz w:val="18"/>
              </w:rPr>
              <w:t>1</w:t>
            </w:r>
          </w:p>
        </w:tc>
        <w:tc>
          <w:tcPr>
            <w:tcW w:w="1234" w:type="dxa"/>
          </w:tcPr>
          <w:p>
            <w:pPr>
              <w:pStyle w:val="TableParagraph"/>
              <w:spacing w:line="105" w:lineRule="exact"/>
              <w:ind w:right="193"/>
              <w:jc w:val="right"/>
              <w:rPr>
                <w:sz w:val="18"/>
              </w:rPr>
            </w:pPr>
            <w:r>
              <w:rPr>
                <w:spacing w:val="-2"/>
                <w:sz w:val="18"/>
              </w:rPr>
              <w:t>59.00</w:t>
            </w:r>
          </w:p>
        </w:tc>
        <w:tc>
          <w:tcPr>
            <w:tcW w:w="1222" w:type="dxa"/>
          </w:tcPr>
          <w:p>
            <w:pPr>
              <w:pStyle w:val="TableParagraph"/>
              <w:spacing w:line="105" w:lineRule="exact"/>
              <w:ind w:right="91"/>
              <w:jc w:val="right"/>
              <w:rPr>
                <w:sz w:val="18"/>
              </w:rPr>
            </w:pPr>
            <w:r>
              <w:rPr>
                <w:spacing w:val="-2"/>
                <w:sz w:val="18"/>
              </w:rPr>
              <w:t>57.00</w:t>
            </w:r>
          </w:p>
        </w:tc>
        <w:tc>
          <w:tcPr>
            <w:tcW w:w="1277" w:type="dxa"/>
            <w:vMerge/>
            <w:tcBorders>
              <w:top w:val="nil"/>
              <w:bottom w:val="single" w:sz="12" w:space="0" w:color="000000"/>
            </w:tcBorders>
            <w:shd w:val="clear" w:color="auto" w:fill="DDEBF6"/>
          </w:tcPr>
          <w:p>
            <w:pPr>
              <w:rPr>
                <w:sz w:val="2"/>
                <w:szCs w:val="2"/>
              </w:rPr>
            </w:pPr>
          </w:p>
        </w:tc>
        <w:tc>
          <w:tcPr>
            <w:tcW w:w="1376" w:type="dxa"/>
            <w:vMerge/>
            <w:tcBorders>
              <w:top w:val="nil"/>
              <w:bottom w:val="single" w:sz="12" w:space="0" w:color="000000"/>
            </w:tcBorders>
          </w:tcPr>
          <w:p>
            <w:pPr>
              <w:rPr>
                <w:sz w:val="2"/>
                <w:szCs w:val="2"/>
              </w:rPr>
            </w:pPr>
          </w:p>
        </w:tc>
        <w:tc>
          <w:tcPr>
            <w:tcW w:w="1234" w:type="dxa"/>
            <w:vMerge/>
            <w:tcBorders>
              <w:top w:val="nil"/>
              <w:bottom w:val="single" w:sz="12" w:space="0" w:color="000000"/>
            </w:tcBorders>
          </w:tcPr>
          <w:p>
            <w:pPr>
              <w:rPr>
                <w:sz w:val="2"/>
                <w:szCs w:val="2"/>
              </w:rPr>
            </w:pPr>
          </w:p>
        </w:tc>
        <w:tc>
          <w:tcPr>
            <w:tcW w:w="986" w:type="dxa"/>
            <w:vMerge/>
            <w:tcBorders>
              <w:top w:val="nil"/>
              <w:bottom w:val="single" w:sz="12" w:space="0" w:color="000000"/>
            </w:tcBorders>
          </w:tcPr>
          <w:p>
            <w:pPr>
              <w:rPr>
                <w:sz w:val="2"/>
                <w:szCs w:val="2"/>
              </w:rPr>
            </w:pPr>
          </w:p>
        </w:tc>
        <w:tc>
          <w:tcPr>
            <w:tcW w:w="827" w:type="dxa"/>
            <w:vMerge/>
            <w:tcBorders>
              <w:top w:val="nil"/>
              <w:bottom w:val="single" w:sz="12" w:space="0" w:color="000000"/>
              <w:right w:val="single" w:sz="12" w:space="0" w:color="000000"/>
            </w:tcBorders>
          </w:tcPr>
          <w:p>
            <w:pPr>
              <w:rPr>
                <w:sz w:val="2"/>
                <w:szCs w:val="2"/>
              </w:rPr>
            </w:pPr>
          </w:p>
        </w:tc>
      </w:tr>
      <w:tr>
        <w:trPr>
          <w:trHeight w:val="184" w:hRule="atLeast"/>
        </w:trPr>
        <w:tc>
          <w:tcPr>
            <w:tcW w:w="2807" w:type="dxa"/>
            <w:tcBorders>
              <w:left w:val="single" w:sz="12" w:space="0" w:color="000000"/>
            </w:tcBorders>
          </w:tcPr>
          <w:p>
            <w:pPr>
              <w:pStyle w:val="TableParagraph"/>
              <w:spacing w:line="94" w:lineRule="exact"/>
              <w:ind w:left="107"/>
              <w:rPr>
                <w:sz w:val="18"/>
              </w:rPr>
            </w:pPr>
            <w:r>
              <w:rPr>
                <w:sz w:val="18"/>
              </w:rPr>
              <w:t>implemented with</w:t>
            </w:r>
            <w:r>
              <w:rPr>
                <w:spacing w:val="-2"/>
                <w:sz w:val="18"/>
              </w:rPr>
              <w:t> community</w:t>
            </w:r>
          </w:p>
          <w:p>
            <w:pPr>
              <w:pStyle w:val="TableParagraph"/>
              <w:spacing w:line="71" w:lineRule="exact"/>
              <w:ind w:left="107"/>
              <w:rPr>
                <w:sz w:val="18"/>
              </w:rPr>
            </w:pPr>
            <w:r>
              <w:rPr>
                <w:spacing w:val="-2"/>
                <w:sz w:val="18"/>
              </w:rPr>
              <w:t>input)</w:t>
            </w:r>
          </w:p>
        </w:tc>
        <w:tc>
          <w:tcPr>
            <w:tcW w:w="3935" w:type="dxa"/>
          </w:tcPr>
          <w:p>
            <w:pPr>
              <w:pStyle w:val="TableParagraph"/>
              <w:spacing w:line="165" w:lineRule="exact"/>
              <w:ind w:left="128"/>
              <w:rPr>
                <w:sz w:val="18"/>
              </w:rPr>
            </w:pPr>
            <w:r>
              <w:rPr>
                <w:sz w:val="18"/>
              </w:rPr>
              <w:t>the</w:t>
            </w:r>
            <w:r>
              <w:rPr>
                <w:spacing w:val="-3"/>
                <w:sz w:val="18"/>
              </w:rPr>
              <w:t> </w:t>
            </w:r>
            <w:r>
              <w:rPr>
                <w:sz w:val="18"/>
              </w:rPr>
              <w:t>consultation</w:t>
            </w:r>
            <w:r>
              <w:rPr>
                <w:spacing w:val="-2"/>
                <w:sz w:val="18"/>
              </w:rPr>
              <w:t> </w:t>
            </w:r>
            <w:r>
              <w:rPr>
                <w:sz w:val="18"/>
              </w:rPr>
              <w:t>and engagement efforts</w:t>
            </w:r>
            <w:r>
              <w:rPr>
                <w:spacing w:val="-4"/>
                <w:sz w:val="18"/>
              </w:rPr>
              <w:t> </w:t>
            </w:r>
            <w:r>
              <w:rPr>
                <w:spacing w:val="-5"/>
                <w:sz w:val="18"/>
              </w:rPr>
              <w:t>of</w:t>
            </w:r>
          </w:p>
        </w:tc>
        <w:tc>
          <w:tcPr>
            <w:tcW w:w="581" w:type="dxa"/>
          </w:tcPr>
          <w:p>
            <w:pPr>
              <w:pStyle w:val="TableParagraph"/>
              <w:rPr>
                <w:rFonts w:ascii="Times New Roman"/>
                <w:sz w:val="12"/>
              </w:rPr>
            </w:pPr>
          </w:p>
        </w:tc>
        <w:tc>
          <w:tcPr>
            <w:tcW w:w="1234" w:type="dxa"/>
          </w:tcPr>
          <w:p>
            <w:pPr>
              <w:pStyle w:val="TableParagraph"/>
              <w:rPr>
                <w:rFonts w:ascii="Times New Roman"/>
                <w:sz w:val="12"/>
              </w:rPr>
            </w:pPr>
          </w:p>
        </w:tc>
        <w:tc>
          <w:tcPr>
            <w:tcW w:w="1222" w:type="dxa"/>
          </w:tcPr>
          <w:p>
            <w:pPr>
              <w:pStyle w:val="TableParagraph"/>
              <w:rPr>
                <w:rFonts w:ascii="Times New Roman"/>
                <w:sz w:val="12"/>
              </w:rPr>
            </w:pPr>
          </w:p>
        </w:tc>
        <w:tc>
          <w:tcPr>
            <w:tcW w:w="1277" w:type="dxa"/>
            <w:vMerge/>
            <w:tcBorders>
              <w:top w:val="nil"/>
              <w:bottom w:val="single" w:sz="12" w:space="0" w:color="000000"/>
            </w:tcBorders>
            <w:shd w:val="clear" w:color="auto" w:fill="DDEBF6"/>
          </w:tcPr>
          <w:p>
            <w:pPr>
              <w:rPr>
                <w:sz w:val="2"/>
                <w:szCs w:val="2"/>
              </w:rPr>
            </w:pPr>
          </w:p>
        </w:tc>
        <w:tc>
          <w:tcPr>
            <w:tcW w:w="1376" w:type="dxa"/>
            <w:vMerge/>
            <w:tcBorders>
              <w:top w:val="nil"/>
              <w:bottom w:val="single" w:sz="12" w:space="0" w:color="000000"/>
            </w:tcBorders>
          </w:tcPr>
          <w:p>
            <w:pPr>
              <w:rPr>
                <w:sz w:val="2"/>
                <w:szCs w:val="2"/>
              </w:rPr>
            </w:pPr>
          </w:p>
        </w:tc>
        <w:tc>
          <w:tcPr>
            <w:tcW w:w="1234" w:type="dxa"/>
            <w:vMerge/>
            <w:tcBorders>
              <w:top w:val="nil"/>
              <w:bottom w:val="single" w:sz="12" w:space="0" w:color="000000"/>
            </w:tcBorders>
          </w:tcPr>
          <w:p>
            <w:pPr>
              <w:rPr>
                <w:sz w:val="2"/>
                <w:szCs w:val="2"/>
              </w:rPr>
            </w:pPr>
          </w:p>
        </w:tc>
        <w:tc>
          <w:tcPr>
            <w:tcW w:w="986" w:type="dxa"/>
            <w:vMerge/>
            <w:tcBorders>
              <w:top w:val="nil"/>
              <w:bottom w:val="single" w:sz="12" w:space="0" w:color="000000"/>
            </w:tcBorders>
          </w:tcPr>
          <w:p>
            <w:pPr>
              <w:rPr>
                <w:sz w:val="2"/>
                <w:szCs w:val="2"/>
              </w:rPr>
            </w:pPr>
          </w:p>
        </w:tc>
        <w:tc>
          <w:tcPr>
            <w:tcW w:w="827" w:type="dxa"/>
            <w:vMerge/>
            <w:tcBorders>
              <w:top w:val="nil"/>
              <w:bottom w:val="single" w:sz="12" w:space="0" w:color="000000"/>
              <w:right w:val="single" w:sz="12" w:space="0" w:color="000000"/>
            </w:tcBorders>
          </w:tcPr>
          <w:p>
            <w:pPr>
              <w:rPr>
                <w:sz w:val="2"/>
                <w:szCs w:val="2"/>
              </w:rPr>
            </w:pPr>
          </w:p>
        </w:tc>
      </w:tr>
      <w:tr>
        <w:trPr>
          <w:trHeight w:val="193" w:hRule="atLeast"/>
        </w:trPr>
        <w:tc>
          <w:tcPr>
            <w:tcW w:w="2807" w:type="dxa"/>
            <w:tcBorders>
              <w:left w:val="single" w:sz="12" w:space="0" w:color="000000"/>
            </w:tcBorders>
          </w:tcPr>
          <w:p>
            <w:pPr>
              <w:pStyle w:val="TableParagraph"/>
              <w:rPr>
                <w:rFonts w:ascii="Times New Roman"/>
                <w:sz w:val="12"/>
              </w:rPr>
            </w:pPr>
          </w:p>
        </w:tc>
        <w:tc>
          <w:tcPr>
            <w:tcW w:w="3935" w:type="dxa"/>
          </w:tcPr>
          <w:p>
            <w:pPr>
              <w:pStyle w:val="TableParagraph"/>
              <w:spacing w:line="173" w:lineRule="exact"/>
              <w:ind w:left="128"/>
              <w:rPr>
                <w:sz w:val="18"/>
              </w:rPr>
            </w:pPr>
            <w:r>
              <w:rPr>
                <w:spacing w:val="-2"/>
                <w:sz w:val="18"/>
              </w:rPr>
              <w:t>Council</w:t>
            </w:r>
          </w:p>
        </w:tc>
        <w:tc>
          <w:tcPr>
            <w:tcW w:w="581" w:type="dxa"/>
          </w:tcPr>
          <w:p>
            <w:pPr>
              <w:pStyle w:val="TableParagraph"/>
              <w:rPr>
                <w:rFonts w:ascii="Times New Roman"/>
                <w:sz w:val="12"/>
              </w:rPr>
            </w:pPr>
          </w:p>
        </w:tc>
        <w:tc>
          <w:tcPr>
            <w:tcW w:w="1234" w:type="dxa"/>
          </w:tcPr>
          <w:p>
            <w:pPr>
              <w:pStyle w:val="TableParagraph"/>
              <w:rPr>
                <w:rFonts w:ascii="Times New Roman"/>
                <w:sz w:val="12"/>
              </w:rPr>
            </w:pPr>
          </w:p>
        </w:tc>
        <w:tc>
          <w:tcPr>
            <w:tcW w:w="1222" w:type="dxa"/>
          </w:tcPr>
          <w:p>
            <w:pPr>
              <w:pStyle w:val="TableParagraph"/>
              <w:rPr>
                <w:rFonts w:ascii="Times New Roman"/>
                <w:sz w:val="12"/>
              </w:rPr>
            </w:pPr>
          </w:p>
        </w:tc>
        <w:tc>
          <w:tcPr>
            <w:tcW w:w="1277" w:type="dxa"/>
            <w:vMerge/>
            <w:tcBorders>
              <w:top w:val="nil"/>
              <w:bottom w:val="single" w:sz="12" w:space="0" w:color="000000"/>
            </w:tcBorders>
            <w:shd w:val="clear" w:color="auto" w:fill="DDEBF6"/>
          </w:tcPr>
          <w:p>
            <w:pPr>
              <w:rPr>
                <w:sz w:val="2"/>
                <w:szCs w:val="2"/>
              </w:rPr>
            </w:pPr>
          </w:p>
        </w:tc>
        <w:tc>
          <w:tcPr>
            <w:tcW w:w="1376" w:type="dxa"/>
            <w:vMerge/>
            <w:tcBorders>
              <w:top w:val="nil"/>
              <w:bottom w:val="single" w:sz="12" w:space="0" w:color="000000"/>
            </w:tcBorders>
          </w:tcPr>
          <w:p>
            <w:pPr>
              <w:rPr>
                <w:sz w:val="2"/>
                <w:szCs w:val="2"/>
              </w:rPr>
            </w:pPr>
          </w:p>
        </w:tc>
        <w:tc>
          <w:tcPr>
            <w:tcW w:w="1234" w:type="dxa"/>
            <w:vMerge/>
            <w:tcBorders>
              <w:top w:val="nil"/>
              <w:bottom w:val="single" w:sz="12" w:space="0" w:color="000000"/>
            </w:tcBorders>
          </w:tcPr>
          <w:p>
            <w:pPr>
              <w:rPr>
                <w:sz w:val="2"/>
                <w:szCs w:val="2"/>
              </w:rPr>
            </w:pPr>
          </w:p>
        </w:tc>
        <w:tc>
          <w:tcPr>
            <w:tcW w:w="986" w:type="dxa"/>
            <w:vMerge/>
            <w:tcBorders>
              <w:top w:val="nil"/>
              <w:bottom w:val="single" w:sz="12" w:space="0" w:color="000000"/>
            </w:tcBorders>
          </w:tcPr>
          <w:p>
            <w:pPr>
              <w:rPr>
                <w:sz w:val="2"/>
                <w:szCs w:val="2"/>
              </w:rPr>
            </w:pPr>
          </w:p>
        </w:tc>
        <w:tc>
          <w:tcPr>
            <w:tcW w:w="827" w:type="dxa"/>
            <w:vMerge/>
            <w:tcBorders>
              <w:top w:val="nil"/>
              <w:bottom w:val="single" w:sz="12" w:space="0" w:color="000000"/>
              <w:right w:val="single" w:sz="12" w:space="0" w:color="000000"/>
            </w:tcBorders>
          </w:tcPr>
          <w:p>
            <w:pPr>
              <w:rPr>
                <w:sz w:val="2"/>
                <w:szCs w:val="2"/>
              </w:rPr>
            </w:pPr>
          </w:p>
        </w:tc>
      </w:tr>
      <w:tr>
        <w:trPr>
          <w:trHeight w:val="201" w:hRule="atLeast"/>
        </w:trPr>
        <w:tc>
          <w:tcPr>
            <w:tcW w:w="2807" w:type="dxa"/>
            <w:tcBorders>
              <w:left w:val="single" w:sz="12" w:space="0" w:color="000000"/>
            </w:tcBorders>
          </w:tcPr>
          <w:p>
            <w:pPr>
              <w:pStyle w:val="TableParagraph"/>
              <w:spacing w:line="181" w:lineRule="exact"/>
              <w:ind w:left="107"/>
              <w:rPr>
                <w:b/>
                <w:i/>
                <w:sz w:val="18"/>
              </w:rPr>
            </w:pPr>
            <w:r>
              <w:rPr>
                <w:b/>
                <w:i/>
                <w:spacing w:val="-2"/>
                <w:sz w:val="18"/>
              </w:rPr>
              <w:t>Roads</w:t>
            </w:r>
          </w:p>
        </w:tc>
        <w:tc>
          <w:tcPr>
            <w:tcW w:w="3935" w:type="dxa"/>
          </w:tcPr>
          <w:p>
            <w:pPr>
              <w:pStyle w:val="TableParagraph"/>
              <w:rPr>
                <w:rFonts w:ascii="Times New Roman"/>
                <w:sz w:val="14"/>
              </w:rPr>
            </w:pPr>
          </w:p>
        </w:tc>
        <w:tc>
          <w:tcPr>
            <w:tcW w:w="581" w:type="dxa"/>
          </w:tcPr>
          <w:p>
            <w:pPr>
              <w:pStyle w:val="TableParagraph"/>
              <w:rPr>
                <w:rFonts w:ascii="Times New Roman"/>
                <w:sz w:val="14"/>
              </w:rPr>
            </w:pPr>
          </w:p>
        </w:tc>
        <w:tc>
          <w:tcPr>
            <w:tcW w:w="1234" w:type="dxa"/>
          </w:tcPr>
          <w:p>
            <w:pPr>
              <w:pStyle w:val="TableParagraph"/>
              <w:rPr>
                <w:rFonts w:ascii="Times New Roman"/>
                <w:sz w:val="14"/>
              </w:rPr>
            </w:pPr>
          </w:p>
        </w:tc>
        <w:tc>
          <w:tcPr>
            <w:tcW w:w="1222" w:type="dxa"/>
          </w:tcPr>
          <w:p>
            <w:pPr>
              <w:pStyle w:val="TableParagraph"/>
              <w:rPr>
                <w:rFonts w:ascii="Times New Roman"/>
                <w:sz w:val="14"/>
              </w:rPr>
            </w:pPr>
          </w:p>
        </w:tc>
        <w:tc>
          <w:tcPr>
            <w:tcW w:w="1277" w:type="dxa"/>
            <w:vMerge/>
            <w:tcBorders>
              <w:top w:val="nil"/>
              <w:bottom w:val="single" w:sz="12" w:space="0" w:color="000000"/>
            </w:tcBorders>
            <w:shd w:val="clear" w:color="auto" w:fill="DDEBF6"/>
          </w:tcPr>
          <w:p>
            <w:pPr>
              <w:rPr>
                <w:sz w:val="2"/>
                <w:szCs w:val="2"/>
              </w:rPr>
            </w:pPr>
          </w:p>
        </w:tc>
        <w:tc>
          <w:tcPr>
            <w:tcW w:w="1376" w:type="dxa"/>
            <w:vMerge/>
            <w:tcBorders>
              <w:top w:val="nil"/>
              <w:bottom w:val="single" w:sz="12" w:space="0" w:color="000000"/>
            </w:tcBorders>
          </w:tcPr>
          <w:p>
            <w:pPr>
              <w:rPr>
                <w:sz w:val="2"/>
                <w:szCs w:val="2"/>
              </w:rPr>
            </w:pPr>
          </w:p>
        </w:tc>
        <w:tc>
          <w:tcPr>
            <w:tcW w:w="1234" w:type="dxa"/>
            <w:vMerge/>
            <w:tcBorders>
              <w:top w:val="nil"/>
              <w:bottom w:val="single" w:sz="12" w:space="0" w:color="000000"/>
            </w:tcBorders>
          </w:tcPr>
          <w:p>
            <w:pPr>
              <w:rPr>
                <w:sz w:val="2"/>
                <w:szCs w:val="2"/>
              </w:rPr>
            </w:pPr>
          </w:p>
        </w:tc>
        <w:tc>
          <w:tcPr>
            <w:tcW w:w="986" w:type="dxa"/>
            <w:vMerge/>
            <w:tcBorders>
              <w:top w:val="nil"/>
              <w:bottom w:val="single" w:sz="12" w:space="0" w:color="000000"/>
            </w:tcBorders>
          </w:tcPr>
          <w:p>
            <w:pPr>
              <w:rPr>
                <w:sz w:val="2"/>
                <w:szCs w:val="2"/>
              </w:rPr>
            </w:pPr>
          </w:p>
        </w:tc>
        <w:tc>
          <w:tcPr>
            <w:tcW w:w="827" w:type="dxa"/>
            <w:vMerge/>
            <w:tcBorders>
              <w:top w:val="nil"/>
              <w:bottom w:val="single" w:sz="12" w:space="0" w:color="000000"/>
              <w:right w:val="single" w:sz="12" w:space="0" w:color="000000"/>
            </w:tcBorders>
          </w:tcPr>
          <w:p>
            <w:pPr>
              <w:rPr>
                <w:sz w:val="2"/>
                <w:szCs w:val="2"/>
              </w:rPr>
            </w:pPr>
          </w:p>
        </w:tc>
      </w:tr>
      <w:tr>
        <w:trPr>
          <w:trHeight w:val="253" w:hRule="atLeast"/>
        </w:trPr>
        <w:tc>
          <w:tcPr>
            <w:tcW w:w="2807" w:type="dxa"/>
            <w:tcBorders>
              <w:left w:val="single" w:sz="12" w:space="0" w:color="000000"/>
            </w:tcBorders>
          </w:tcPr>
          <w:p>
            <w:pPr>
              <w:pStyle w:val="TableParagraph"/>
              <w:spacing w:line="123" w:lineRule="exact" w:before="110"/>
              <w:ind w:left="107"/>
              <w:rPr>
                <w:b/>
                <w:sz w:val="18"/>
              </w:rPr>
            </w:pPr>
            <w:r>
              <w:rPr>
                <w:b/>
                <w:spacing w:val="-2"/>
                <w:sz w:val="18"/>
              </w:rPr>
              <w:t>Condition</w:t>
            </w:r>
          </w:p>
        </w:tc>
        <w:tc>
          <w:tcPr>
            <w:tcW w:w="3935" w:type="dxa"/>
          </w:tcPr>
          <w:p>
            <w:pPr>
              <w:pStyle w:val="TableParagraph"/>
              <w:spacing w:before="7"/>
              <w:ind w:left="128"/>
              <w:rPr>
                <w:b/>
                <w:sz w:val="18"/>
              </w:rPr>
            </w:pPr>
            <w:r>
              <w:rPr>
                <w:b/>
                <w:sz w:val="18"/>
              </w:rPr>
              <w:t>Sealed</w:t>
            </w:r>
            <w:r>
              <w:rPr>
                <w:b/>
                <w:spacing w:val="-2"/>
                <w:sz w:val="18"/>
              </w:rPr>
              <w:t> </w:t>
            </w:r>
            <w:r>
              <w:rPr>
                <w:b/>
                <w:sz w:val="18"/>
              </w:rPr>
              <w:t>local</w:t>
            </w:r>
            <w:r>
              <w:rPr>
                <w:b/>
                <w:spacing w:val="-2"/>
                <w:sz w:val="18"/>
              </w:rPr>
              <w:t> </w:t>
            </w:r>
            <w:r>
              <w:rPr>
                <w:b/>
                <w:sz w:val="18"/>
              </w:rPr>
              <w:t>roads</w:t>
            </w:r>
            <w:r>
              <w:rPr>
                <w:b/>
                <w:spacing w:val="-2"/>
                <w:sz w:val="18"/>
              </w:rPr>
              <w:t> </w:t>
            </w:r>
            <w:r>
              <w:rPr>
                <w:b/>
                <w:sz w:val="18"/>
              </w:rPr>
              <w:t>below</w:t>
            </w:r>
            <w:r>
              <w:rPr>
                <w:b/>
                <w:spacing w:val="2"/>
                <w:sz w:val="18"/>
              </w:rPr>
              <w:t> </w:t>
            </w:r>
            <w:r>
              <w:rPr>
                <w:b/>
                <w:sz w:val="18"/>
              </w:rPr>
              <w:t>the </w:t>
            </w:r>
            <w:r>
              <w:rPr>
                <w:b/>
                <w:spacing w:val="-2"/>
                <w:sz w:val="18"/>
              </w:rPr>
              <w:t>intervention</w:t>
            </w:r>
          </w:p>
        </w:tc>
        <w:tc>
          <w:tcPr>
            <w:tcW w:w="581" w:type="dxa"/>
          </w:tcPr>
          <w:p>
            <w:pPr>
              <w:pStyle w:val="TableParagraph"/>
              <w:rPr>
                <w:rFonts w:ascii="Times New Roman"/>
                <w:sz w:val="18"/>
              </w:rPr>
            </w:pPr>
          </w:p>
        </w:tc>
        <w:tc>
          <w:tcPr>
            <w:tcW w:w="1234" w:type="dxa"/>
          </w:tcPr>
          <w:p>
            <w:pPr>
              <w:pStyle w:val="TableParagraph"/>
              <w:rPr>
                <w:rFonts w:ascii="Times New Roman"/>
                <w:sz w:val="18"/>
              </w:rPr>
            </w:pPr>
          </w:p>
        </w:tc>
        <w:tc>
          <w:tcPr>
            <w:tcW w:w="1222" w:type="dxa"/>
          </w:tcPr>
          <w:p>
            <w:pPr>
              <w:pStyle w:val="TableParagraph"/>
              <w:rPr>
                <w:rFonts w:ascii="Times New Roman"/>
                <w:sz w:val="18"/>
              </w:rPr>
            </w:pPr>
          </w:p>
        </w:tc>
        <w:tc>
          <w:tcPr>
            <w:tcW w:w="1277" w:type="dxa"/>
            <w:vMerge/>
            <w:tcBorders>
              <w:top w:val="nil"/>
              <w:bottom w:val="single" w:sz="12" w:space="0" w:color="000000"/>
            </w:tcBorders>
            <w:shd w:val="clear" w:color="auto" w:fill="DDEBF6"/>
          </w:tcPr>
          <w:p>
            <w:pPr>
              <w:rPr>
                <w:sz w:val="2"/>
                <w:szCs w:val="2"/>
              </w:rPr>
            </w:pPr>
          </w:p>
        </w:tc>
        <w:tc>
          <w:tcPr>
            <w:tcW w:w="1376" w:type="dxa"/>
            <w:vMerge/>
            <w:tcBorders>
              <w:top w:val="nil"/>
              <w:bottom w:val="single" w:sz="12" w:space="0" w:color="000000"/>
            </w:tcBorders>
          </w:tcPr>
          <w:p>
            <w:pPr>
              <w:rPr>
                <w:sz w:val="2"/>
                <w:szCs w:val="2"/>
              </w:rPr>
            </w:pPr>
          </w:p>
        </w:tc>
        <w:tc>
          <w:tcPr>
            <w:tcW w:w="1234" w:type="dxa"/>
            <w:vMerge/>
            <w:tcBorders>
              <w:top w:val="nil"/>
              <w:bottom w:val="single" w:sz="12" w:space="0" w:color="000000"/>
            </w:tcBorders>
          </w:tcPr>
          <w:p>
            <w:pPr>
              <w:rPr>
                <w:sz w:val="2"/>
                <w:szCs w:val="2"/>
              </w:rPr>
            </w:pPr>
          </w:p>
        </w:tc>
        <w:tc>
          <w:tcPr>
            <w:tcW w:w="986" w:type="dxa"/>
            <w:vMerge/>
            <w:tcBorders>
              <w:top w:val="nil"/>
              <w:bottom w:val="single" w:sz="12" w:space="0" w:color="000000"/>
            </w:tcBorders>
          </w:tcPr>
          <w:p>
            <w:pPr>
              <w:rPr>
                <w:sz w:val="2"/>
                <w:szCs w:val="2"/>
              </w:rPr>
            </w:pPr>
          </w:p>
        </w:tc>
        <w:tc>
          <w:tcPr>
            <w:tcW w:w="827" w:type="dxa"/>
            <w:vMerge/>
            <w:tcBorders>
              <w:top w:val="nil"/>
              <w:bottom w:val="single" w:sz="12" w:space="0" w:color="000000"/>
              <w:right w:val="single" w:sz="12" w:space="0" w:color="000000"/>
            </w:tcBorders>
          </w:tcPr>
          <w:p>
            <w:pPr>
              <w:rPr>
                <w:sz w:val="2"/>
                <w:szCs w:val="2"/>
              </w:rPr>
            </w:pPr>
          </w:p>
        </w:tc>
      </w:tr>
      <w:tr>
        <w:trPr>
          <w:trHeight w:val="167" w:hRule="atLeast"/>
        </w:trPr>
        <w:tc>
          <w:tcPr>
            <w:tcW w:w="2807" w:type="dxa"/>
            <w:tcBorders>
              <w:left w:val="single" w:sz="12" w:space="0" w:color="000000"/>
            </w:tcBorders>
          </w:tcPr>
          <w:p>
            <w:pPr>
              <w:pStyle w:val="TableParagraph"/>
              <w:spacing w:line="115" w:lineRule="exact" w:before="33"/>
              <w:ind w:left="107"/>
              <w:rPr>
                <w:sz w:val="18"/>
              </w:rPr>
            </w:pPr>
            <w:r>
              <w:rPr>
                <w:sz w:val="18"/>
              </w:rPr>
              <w:t>(sealed</w:t>
            </w:r>
            <w:r>
              <w:rPr>
                <w:spacing w:val="-3"/>
                <w:sz w:val="18"/>
              </w:rPr>
              <w:t> </w:t>
            </w:r>
            <w:r>
              <w:rPr>
                <w:sz w:val="18"/>
              </w:rPr>
              <w:t>local roads </w:t>
            </w:r>
            <w:r>
              <w:rPr>
                <w:spacing w:val="-5"/>
                <w:sz w:val="18"/>
              </w:rPr>
              <w:t>are</w:t>
            </w:r>
          </w:p>
        </w:tc>
        <w:tc>
          <w:tcPr>
            <w:tcW w:w="3935" w:type="dxa"/>
          </w:tcPr>
          <w:p>
            <w:pPr>
              <w:pStyle w:val="TableParagraph"/>
              <w:spacing w:line="137" w:lineRule="exact"/>
              <w:ind w:left="128"/>
              <w:rPr>
                <w:b/>
                <w:sz w:val="18"/>
              </w:rPr>
            </w:pPr>
            <w:r>
              <w:rPr>
                <w:b/>
                <w:spacing w:val="-2"/>
                <w:sz w:val="18"/>
              </w:rPr>
              <w:t>level</w:t>
            </w:r>
          </w:p>
        </w:tc>
        <w:tc>
          <w:tcPr>
            <w:tcW w:w="581" w:type="dxa"/>
          </w:tcPr>
          <w:p>
            <w:pPr>
              <w:pStyle w:val="TableParagraph"/>
              <w:rPr>
                <w:rFonts w:ascii="Times New Roman"/>
                <w:sz w:val="10"/>
              </w:rPr>
            </w:pPr>
          </w:p>
        </w:tc>
        <w:tc>
          <w:tcPr>
            <w:tcW w:w="1234" w:type="dxa"/>
          </w:tcPr>
          <w:p>
            <w:pPr>
              <w:pStyle w:val="TableParagraph"/>
              <w:rPr>
                <w:rFonts w:ascii="Times New Roman"/>
                <w:sz w:val="10"/>
              </w:rPr>
            </w:pPr>
          </w:p>
        </w:tc>
        <w:tc>
          <w:tcPr>
            <w:tcW w:w="1222" w:type="dxa"/>
          </w:tcPr>
          <w:p>
            <w:pPr>
              <w:pStyle w:val="TableParagraph"/>
              <w:rPr>
                <w:rFonts w:ascii="Times New Roman"/>
                <w:sz w:val="10"/>
              </w:rPr>
            </w:pPr>
          </w:p>
        </w:tc>
        <w:tc>
          <w:tcPr>
            <w:tcW w:w="1277" w:type="dxa"/>
            <w:vMerge/>
            <w:tcBorders>
              <w:top w:val="nil"/>
              <w:bottom w:val="single" w:sz="12" w:space="0" w:color="000000"/>
            </w:tcBorders>
            <w:shd w:val="clear" w:color="auto" w:fill="DDEBF6"/>
          </w:tcPr>
          <w:p>
            <w:pPr>
              <w:rPr>
                <w:sz w:val="2"/>
                <w:szCs w:val="2"/>
              </w:rPr>
            </w:pPr>
          </w:p>
        </w:tc>
        <w:tc>
          <w:tcPr>
            <w:tcW w:w="1376" w:type="dxa"/>
            <w:vMerge/>
            <w:tcBorders>
              <w:top w:val="nil"/>
              <w:bottom w:val="single" w:sz="12" w:space="0" w:color="000000"/>
            </w:tcBorders>
          </w:tcPr>
          <w:p>
            <w:pPr>
              <w:rPr>
                <w:sz w:val="2"/>
                <w:szCs w:val="2"/>
              </w:rPr>
            </w:pPr>
          </w:p>
        </w:tc>
        <w:tc>
          <w:tcPr>
            <w:tcW w:w="1234" w:type="dxa"/>
            <w:vMerge/>
            <w:tcBorders>
              <w:top w:val="nil"/>
              <w:bottom w:val="single" w:sz="12" w:space="0" w:color="000000"/>
            </w:tcBorders>
          </w:tcPr>
          <w:p>
            <w:pPr>
              <w:rPr>
                <w:sz w:val="2"/>
                <w:szCs w:val="2"/>
              </w:rPr>
            </w:pPr>
          </w:p>
        </w:tc>
        <w:tc>
          <w:tcPr>
            <w:tcW w:w="986" w:type="dxa"/>
            <w:vMerge/>
            <w:tcBorders>
              <w:top w:val="nil"/>
              <w:bottom w:val="single" w:sz="12" w:space="0" w:color="000000"/>
            </w:tcBorders>
          </w:tcPr>
          <w:p>
            <w:pPr>
              <w:rPr>
                <w:sz w:val="2"/>
                <w:szCs w:val="2"/>
              </w:rPr>
            </w:pPr>
          </w:p>
        </w:tc>
        <w:tc>
          <w:tcPr>
            <w:tcW w:w="827" w:type="dxa"/>
            <w:vMerge/>
            <w:tcBorders>
              <w:top w:val="nil"/>
              <w:bottom w:val="single" w:sz="12" w:space="0" w:color="000000"/>
              <w:right w:val="single" w:sz="12" w:space="0" w:color="000000"/>
            </w:tcBorders>
          </w:tcPr>
          <w:p>
            <w:pPr>
              <w:rPr>
                <w:sz w:val="2"/>
                <w:szCs w:val="2"/>
              </w:rPr>
            </w:pPr>
          </w:p>
        </w:tc>
      </w:tr>
      <w:tr>
        <w:trPr>
          <w:trHeight w:val="124" w:hRule="atLeast"/>
        </w:trPr>
        <w:tc>
          <w:tcPr>
            <w:tcW w:w="2807" w:type="dxa"/>
            <w:tcBorders>
              <w:left w:val="single" w:sz="12" w:space="0" w:color="000000"/>
            </w:tcBorders>
          </w:tcPr>
          <w:p>
            <w:pPr>
              <w:pStyle w:val="TableParagraph"/>
              <w:rPr>
                <w:rFonts w:ascii="Times New Roman"/>
                <w:sz w:val="6"/>
              </w:rPr>
            </w:pPr>
          </w:p>
        </w:tc>
        <w:tc>
          <w:tcPr>
            <w:tcW w:w="3935" w:type="dxa"/>
          </w:tcPr>
          <w:p>
            <w:pPr>
              <w:pStyle w:val="TableParagraph"/>
              <w:spacing w:line="105" w:lineRule="exact"/>
              <w:ind w:left="128"/>
              <w:rPr>
                <w:sz w:val="18"/>
              </w:rPr>
            </w:pPr>
            <w:r>
              <w:rPr>
                <w:sz w:val="18"/>
              </w:rPr>
              <w:t>Number</w:t>
            </w:r>
            <w:r>
              <w:rPr>
                <w:spacing w:val="-4"/>
                <w:sz w:val="18"/>
              </w:rPr>
              <w:t> </w:t>
            </w:r>
            <w:r>
              <w:rPr>
                <w:sz w:val="18"/>
              </w:rPr>
              <w:t>of</w:t>
            </w:r>
            <w:r>
              <w:rPr>
                <w:spacing w:val="2"/>
                <w:sz w:val="18"/>
              </w:rPr>
              <w:t> </w:t>
            </w:r>
            <w:r>
              <w:rPr>
                <w:sz w:val="18"/>
              </w:rPr>
              <w:t>kms of</w:t>
            </w:r>
            <w:r>
              <w:rPr>
                <w:spacing w:val="-2"/>
                <w:sz w:val="18"/>
              </w:rPr>
              <w:t> </w:t>
            </w:r>
            <w:r>
              <w:rPr>
                <w:sz w:val="18"/>
              </w:rPr>
              <w:t>sealed</w:t>
            </w:r>
            <w:r>
              <w:rPr>
                <w:spacing w:val="-2"/>
                <w:sz w:val="18"/>
              </w:rPr>
              <w:t> </w:t>
            </w:r>
            <w:r>
              <w:rPr>
                <w:sz w:val="18"/>
              </w:rPr>
              <w:t>local roads</w:t>
            </w:r>
            <w:r>
              <w:rPr>
                <w:spacing w:val="1"/>
                <w:sz w:val="18"/>
              </w:rPr>
              <w:t> </w:t>
            </w:r>
            <w:r>
              <w:rPr>
                <w:spacing w:val="-4"/>
                <w:sz w:val="18"/>
              </w:rPr>
              <w:t>below</w:t>
            </w:r>
          </w:p>
        </w:tc>
        <w:tc>
          <w:tcPr>
            <w:tcW w:w="581" w:type="dxa"/>
          </w:tcPr>
          <w:p>
            <w:pPr>
              <w:pStyle w:val="TableParagraph"/>
              <w:spacing w:line="105" w:lineRule="exact"/>
              <w:ind w:left="220"/>
              <w:rPr>
                <w:sz w:val="18"/>
              </w:rPr>
            </w:pPr>
            <w:r>
              <w:rPr>
                <w:sz w:val="18"/>
              </w:rPr>
              <w:t>2</w:t>
            </w:r>
          </w:p>
        </w:tc>
        <w:tc>
          <w:tcPr>
            <w:tcW w:w="1234" w:type="dxa"/>
          </w:tcPr>
          <w:p>
            <w:pPr>
              <w:pStyle w:val="TableParagraph"/>
              <w:spacing w:line="105" w:lineRule="exact"/>
              <w:ind w:right="193"/>
              <w:jc w:val="right"/>
              <w:rPr>
                <w:sz w:val="18"/>
              </w:rPr>
            </w:pPr>
            <w:r>
              <w:rPr>
                <w:spacing w:val="-2"/>
                <w:sz w:val="18"/>
              </w:rPr>
              <w:t>98.11%</w:t>
            </w:r>
          </w:p>
        </w:tc>
        <w:tc>
          <w:tcPr>
            <w:tcW w:w="1222" w:type="dxa"/>
          </w:tcPr>
          <w:p>
            <w:pPr>
              <w:pStyle w:val="TableParagraph"/>
              <w:spacing w:line="105" w:lineRule="exact"/>
              <w:ind w:right="141"/>
              <w:jc w:val="right"/>
              <w:rPr>
                <w:sz w:val="18"/>
              </w:rPr>
            </w:pPr>
            <w:r>
              <w:rPr>
                <w:spacing w:val="-2"/>
                <w:sz w:val="18"/>
              </w:rPr>
              <w:t>98.00%</w:t>
            </w:r>
          </w:p>
        </w:tc>
        <w:tc>
          <w:tcPr>
            <w:tcW w:w="1277" w:type="dxa"/>
            <w:vMerge/>
            <w:tcBorders>
              <w:top w:val="nil"/>
              <w:bottom w:val="single" w:sz="12" w:space="0" w:color="000000"/>
            </w:tcBorders>
            <w:shd w:val="clear" w:color="auto" w:fill="DDEBF6"/>
          </w:tcPr>
          <w:p>
            <w:pPr>
              <w:rPr>
                <w:sz w:val="2"/>
                <w:szCs w:val="2"/>
              </w:rPr>
            </w:pPr>
          </w:p>
        </w:tc>
        <w:tc>
          <w:tcPr>
            <w:tcW w:w="1376" w:type="dxa"/>
            <w:vMerge/>
            <w:tcBorders>
              <w:top w:val="nil"/>
              <w:bottom w:val="single" w:sz="12" w:space="0" w:color="000000"/>
            </w:tcBorders>
          </w:tcPr>
          <w:p>
            <w:pPr>
              <w:rPr>
                <w:sz w:val="2"/>
                <w:szCs w:val="2"/>
              </w:rPr>
            </w:pPr>
          </w:p>
        </w:tc>
        <w:tc>
          <w:tcPr>
            <w:tcW w:w="1234" w:type="dxa"/>
            <w:vMerge/>
            <w:tcBorders>
              <w:top w:val="nil"/>
              <w:bottom w:val="single" w:sz="12" w:space="0" w:color="000000"/>
            </w:tcBorders>
          </w:tcPr>
          <w:p>
            <w:pPr>
              <w:rPr>
                <w:sz w:val="2"/>
                <w:szCs w:val="2"/>
              </w:rPr>
            </w:pPr>
          </w:p>
        </w:tc>
        <w:tc>
          <w:tcPr>
            <w:tcW w:w="986" w:type="dxa"/>
            <w:vMerge/>
            <w:tcBorders>
              <w:top w:val="nil"/>
              <w:bottom w:val="single" w:sz="12" w:space="0" w:color="000000"/>
            </w:tcBorders>
          </w:tcPr>
          <w:p>
            <w:pPr>
              <w:rPr>
                <w:sz w:val="2"/>
                <w:szCs w:val="2"/>
              </w:rPr>
            </w:pPr>
          </w:p>
        </w:tc>
        <w:tc>
          <w:tcPr>
            <w:tcW w:w="827" w:type="dxa"/>
            <w:vMerge/>
            <w:tcBorders>
              <w:top w:val="nil"/>
              <w:bottom w:val="single" w:sz="12" w:space="0" w:color="000000"/>
              <w:right w:val="single" w:sz="12" w:space="0" w:color="000000"/>
            </w:tcBorders>
          </w:tcPr>
          <w:p>
            <w:pPr>
              <w:rPr>
                <w:sz w:val="2"/>
                <w:szCs w:val="2"/>
              </w:rPr>
            </w:pPr>
          </w:p>
        </w:tc>
      </w:tr>
      <w:tr>
        <w:trPr>
          <w:trHeight w:val="186" w:hRule="atLeast"/>
        </w:trPr>
        <w:tc>
          <w:tcPr>
            <w:tcW w:w="2807" w:type="dxa"/>
            <w:tcBorders>
              <w:left w:val="single" w:sz="12" w:space="0" w:color="000000"/>
            </w:tcBorders>
          </w:tcPr>
          <w:p>
            <w:pPr>
              <w:pStyle w:val="TableParagraph"/>
              <w:spacing w:line="94" w:lineRule="exact"/>
              <w:ind w:left="107"/>
              <w:rPr>
                <w:sz w:val="18"/>
              </w:rPr>
            </w:pPr>
            <w:r>
              <w:rPr>
                <w:sz w:val="18"/>
              </w:rPr>
              <w:t>maintained</w:t>
            </w:r>
            <w:r>
              <w:rPr>
                <w:spacing w:val="-3"/>
                <w:sz w:val="18"/>
              </w:rPr>
              <w:t> </w:t>
            </w:r>
            <w:r>
              <w:rPr>
                <w:sz w:val="18"/>
              </w:rPr>
              <w:t>at</w:t>
            </w:r>
            <w:r>
              <w:rPr>
                <w:spacing w:val="1"/>
                <w:sz w:val="18"/>
              </w:rPr>
              <w:t> </w:t>
            </w:r>
            <w:r>
              <w:rPr>
                <w:sz w:val="18"/>
              </w:rPr>
              <w:t>the</w:t>
            </w:r>
            <w:r>
              <w:rPr>
                <w:spacing w:val="-1"/>
                <w:sz w:val="18"/>
              </w:rPr>
              <w:t> </w:t>
            </w:r>
            <w:r>
              <w:rPr>
                <w:spacing w:val="-2"/>
                <w:sz w:val="18"/>
              </w:rPr>
              <w:t>adopted</w:t>
            </w:r>
          </w:p>
          <w:p>
            <w:pPr>
              <w:pStyle w:val="TableParagraph"/>
              <w:spacing w:line="72" w:lineRule="exact"/>
              <w:ind w:left="107"/>
              <w:rPr>
                <w:sz w:val="18"/>
              </w:rPr>
            </w:pPr>
            <w:r>
              <w:rPr>
                <w:sz w:val="18"/>
              </w:rPr>
              <w:t>condition </w:t>
            </w:r>
            <w:r>
              <w:rPr>
                <w:spacing w:val="-2"/>
                <w:sz w:val="18"/>
              </w:rPr>
              <w:t>standard)</w:t>
            </w:r>
          </w:p>
        </w:tc>
        <w:tc>
          <w:tcPr>
            <w:tcW w:w="3935" w:type="dxa"/>
          </w:tcPr>
          <w:p>
            <w:pPr>
              <w:pStyle w:val="TableParagraph"/>
              <w:spacing w:line="166" w:lineRule="exact"/>
              <w:ind w:left="128"/>
              <w:rPr>
                <w:sz w:val="18"/>
              </w:rPr>
            </w:pPr>
            <w:r>
              <w:rPr>
                <w:sz w:val="18"/>
              </w:rPr>
              <w:t>the renewal</w:t>
            </w:r>
            <w:r>
              <w:rPr>
                <w:spacing w:val="-2"/>
                <w:sz w:val="18"/>
              </w:rPr>
              <w:t> </w:t>
            </w:r>
            <w:r>
              <w:rPr>
                <w:sz w:val="18"/>
              </w:rPr>
              <w:t>intervention</w:t>
            </w:r>
            <w:r>
              <w:rPr>
                <w:spacing w:val="-1"/>
                <w:sz w:val="18"/>
              </w:rPr>
              <w:t> </w:t>
            </w:r>
            <w:r>
              <w:rPr>
                <w:sz w:val="18"/>
              </w:rPr>
              <w:t>level</w:t>
            </w:r>
            <w:r>
              <w:rPr>
                <w:spacing w:val="-4"/>
                <w:sz w:val="18"/>
              </w:rPr>
              <w:t> </w:t>
            </w:r>
            <w:r>
              <w:rPr>
                <w:sz w:val="18"/>
              </w:rPr>
              <w:t>set</w:t>
            </w:r>
            <w:r>
              <w:rPr>
                <w:spacing w:val="1"/>
                <w:sz w:val="18"/>
              </w:rPr>
              <w:t> </w:t>
            </w:r>
            <w:r>
              <w:rPr>
                <w:sz w:val="18"/>
              </w:rPr>
              <w:t>by</w:t>
            </w:r>
            <w:r>
              <w:rPr>
                <w:spacing w:val="-1"/>
                <w:sz w:val="18"/>
              </w:rPr>
              <w:t> </w:t>
            </w:r>
            <w:r>
              <w:rPr>
                <w:sz w:val="18"/>
              </w:rPr>
              <w:t>Council</w:t>
            </w:r>
            <w:r>
              <w:rPr>
                <w:spacing w:val="-1"/>
                <w:sz w:val="18"/>
              </w:rPr>
              <w:t> </w:t>
            </w:r>
            <w:r>
              <w:rPr>
                <w:spacing w:val="-10"/>
                <w:sz w:val="18"/>
              </w:rPr>
              <w:t>/</w:t>
            </w:r>
          </w:p>
        </w:tc>
        <w:tc>
          <w:tcPr>
            <w:tcW w:w="581" w:type="dxa"/>
          </w:tcPr>
          <w:p>
            <w:pPr>
              <w:pStyle w:val="TableParagraph"/>
              <w:rPr>
                <w:rFonts w:ascii="Times New Roman"/>
                <w:sz w:val="12"/>
              </w:rPr>
            </w:pPr>
          </w:p>
        </w:tc>
        <w:tc>
          <w:tcPr>
            <w:tcW w:w="1234" w:type="dxa"/>
          </w:tcPr>
          <w:p>
            <w:pPr>
              <w:pStyle w:val="TableParagraph"/>
              <w:rPr>
                <w:rFonts w:ascii="Times New Roman"/>
                <w:sz w:val="12"/>
              </w:rPr>
            </w:pPr>
          </w:p>
        </w:tc>
        <w:tc>
          <w:tcPr>
            <w:tcW w:w="1222" w:type="dxa"/>
          </w:tcPr>
          <w:p>
            <w:pPr>
              <w:pStyle w:val="TableParagraph"/>
              <w:rPr>
                <w:rFonts w:ascii="Times New Roman"/>
                <w:sz w:val="12"/>
              </w:rPr>
            </w:pPr>
          </w:p>
        </w:tc>
        <w:tc>
          <w:tcPr>
            <w:tcW w:w="1277" w:type="dxa"/>
            <w:vMerge/>
            <w:tcBorders>
              <w:top w:val="nil"/>
              <w:bottom w:val="single" w:sz="12" w:space="0" w:color="000000"/>
            </w:tcBorders>
            <w:shd w:val="clear" w:color="auto" w:fill="DDEBF6"/>
          </w:tcPr>
          <w:p>
            <w:pPr>
              <w:rPr>
                <w:sz w:val="2"/>
                <w:szCs w:val="2"/>
              </w:rPr>
            </w:pPr>
          </w:p>
        </w:tc>
        <w:tc>
          <w:tcPr>
            <w:tcW w:w="1376" w:type="dxa"/>
            <w:vMerge/>
            <w:tcBorders>
              <w:top w:val="nil"/>
              <w:bottom w:val="single" w:sz="12" w:space="0" w:color="000000"/>
            </w:tcBorders>
          </w:tcPr>
          <w:p>
            <w:pPr>
              <w:rPr>
                <w:sz w:val="2"/>
                <w:szCs w:val="2"/>
              </w:rPr>
            </w:pPr>
          </w:p>
        </w:tc>
        <w:tc>
          <w:tcPr>
            <w:tcW w:w="1234" w:type="dxa"/>
            <w:vMerge/>
            <w:tcBorders>
              <w:top w:val="nil"/>
              <w:bottom w:val="single" w:sz="12" w:space="0" w:color="000000"/>
            </w:tcBorders>
          </w:tcPr>
          <w:p>
            <w:pPr>
              <w:rPr>
                <w:sz w:val="2"/>
                <w:szCs w:val="2"/>
              </w:rPr>
            </w:pPr>
          </w:p>
        </w:tc>
        <w:tc>
          <w:tcPr>
            <w:tcW w:w="986" w:type="dxa"/>
            <w:vMerge/>
            <w:tcBorders>
              <w:top w:val="nil"/>
              <w:bottom w:val="single" w:sz="12" w:space="0" w:color="000000"/>
            </w:tcBorders>
          </w:tcPr>
          <w:p>
            <w:pPr>
              <w:rPr>
                <w:sz w:val="2"/>
                <w:szCs w:val="2"/>
              </w:rPr>
            </w:pPr>
          </w:p>
        </w:tc>
        <w:tc>
          <w:tcPr>
            <w:tcW w:w="827" w:type="dxa"/>
            <w:vMerge/>
            <w:tcBorders>
              <w:top w:val="nil"/>
              <w:bottom w:val="single" w:sz="12" w:space="0" w:color="000000"/>
              <w:right w:val="single" w:sz="12" w:space="0" w:color="000000"/>
            </w:tcBorders>
          </w:tcPr>
          <w:p>
            <w:pPr>
              <w:rPr>
                <w:sz w:val="2"/>
                <w:szCs w:val="2"/>
              </w:rPr>
            </w:pPr>
          </w:p>
        </w:tc>
      </w:tr>
      <w:tr>
        <w:trPr>
          <w:trHeight w:val="193" w:hRule="atLeast"/>
        </w:trPr>
        <w:tc>
          <w:tcPr>
            <w:tcW w:w="2807" w:type="dxa"/>
            <w:tcBorders>
              <w:left w:val="single" w:sz="12" w:space="0" w:color="000000"/>
            </w:tcBorders>
          </w:tcPr>
          <w:p>
            <w:pPr>
              <w:pStyle w:val="TableParagraph"/>
              <w:rPr>
                <w:rFonts w:ascii="Times New Roman"/>
                <w:sz w:val="12"/>
              </w:rPr>
            </w:pPr>
          </w:p>
        </w:tc>
        <w:tc>
          <w:tcPr>
            <w:tcW w:w="3935" w:type="dxa"/>
          </w:tcPr>
          <w:p>
            <w:pPr>
              <w:pStyle w:val="TableParagraph"/>
              <w:spacing w:line="173" w:lineRule="exact"/>
              <w:ind w:left="128"/>
              <w:rPr>
                <w:sz w:val="18"/>
              </w:rPr>
            </w:pPr>
            <w:r>
              <w:rPr>
                <w:sz w:val="18"/>
              </w:rPr>
              <w:t>Kms</w:t>
            </w:r>
            <w:r>
              <w:rPr>
                <w:spacing w:val="-1"/>
                <w:sz w:val="18"/>
              </w:rPr>
              <w:t> </w:t>
            </w:r>
            <w:r>
              <w:rPr>
                <w:sz w:val="18"/>
              </w:rPr>
              <w:t>of</w:t>
            </w:r>
            <w:r>
              <w:rPr>
                <w:spacing w:val="-1"/>
                <w:sz w:val="18"/>
              </w:rPr>
              <w:t> </w:t>
            </w:r>
            <w:r>
              <w:rPr>
                <w:sz w:val="18"/>
              </w:rPr>
              <w:t>sealed</w:t>
            </w:r>
            <w:r>
              <w:rPr>
                <w:spacing w:val="-1"/>
                <w:sz w:val="18"/>
              </w:rPr>
              <w:t> </w:t>
            </w:r>
            <w:r>
              <w:rPr>
                <w:sz w:val="18"/>
              </w:rPr>
              <w:t>local </w:t>
            </w:r>
            <w:r>
              <w:rPr>
                <w:spacing w:val="-2"/>
                <w:sz w:val="18"/>
              </w:rPr>
              <w:t>roads</w:t>
            </w:r>
          </w:p>
        </w:tc>
        <w:tc>
          <w:tcPr>
            <w:tcW w:w="581" w:type="dxa"/>
          </w:tcPr>
          <w:p>
            <w:pPr>
              <w:pStyle w:val="TableParagraph"/>
              <w:rPr>
                <w:rFonts w:ascii="Times New Roman"/>
                <w:sz w:val="12"/>
              </w:rPr>
            </w:pPr>
          </w:p>
        </w:tc>
        <w:tc>
          <w:tcPr>
            <w:tcW w:w="1234" w:type="dxa"/>
          </w:tcPr>
          <w:p>
            <w:pPr>
              <w:pStyle w:val="TableParagraph"/>
              <w:rPr>
                <w:rFonts w:ascii="Times New Roman"/>
                <w:sz w:val="12"/>
              </w:rPr>
            </w:pPr>
          </w:p>
        </w:tc>
        <w:tc>
          <w:tcPr>
            <w:tcW w:w="1222" w:type="dxa"/>
          </w:tcPr>
          <w:p>
            <w:pPr>
              <w:pStyle w:val="TableParagraph"/>
              <w:rPr>
                <w:rFonts w:ascii="Times New Roman"/>
                <w:sz w:val="12"/>
              </w:rPr>
            </w:pPr>
          </w:p>
        </w:tc>
        <w:tc>
          <w:tcPr>
            <w:tcW w:w="1277" w:type="dxa"/>
            <w:vMerge/>
            <w:tcBorders>
              <w:top w:val="nil"/>
              <w:bottom w:val="single" w:sz="12" w:space="0" w:color="000000"/>
            </w:tcBorders>
            <w:shd w:val="clear" w:color="auto" w:fill="DDEBF6"/>
          </w:tcPr>
          <w:p>
            <w:pPr>
              <w:rPr>
                <w:sz w:val="2"/>
                <w:szCs w:val="2"/>
              </w:rPr>
            </w:pPr>
          </w:p>
        </w:tc>
        <w:tc>
          <w:tcPr>
            <w:tcW w:w="1376" w:type="dxa"/>
            <w:vMerge/>
            <w:tcBorders>
              <w:top w:val="nil"/>
              <w:bottom w:val="single" w:sz="12" w:space="0" w:color="000000"/>
            </w:tcBorders>
          </w:tcPr>
          <w:p>
            <w:pPr>
              <w:rPr>
                <w:sz w:val="2"/>
                <w:szCs w:val="2"/>
              </w:rPr>
            </w:pPr>
          </w:p>
        </w:tc>
        <w:tc>
          <w:tcPr>
            <w:tcW w:w="1234" w:type="dxa"/>
            <w:vMerge/>
            <w:tcBorders>
              <w:top w:val="nil"/>
              <w:bottom w:val="single" w:sz="12" w:space="0" w:color="000000"/>
            </w:tcBorders>
          </w:tcPr>
          <w:p>
            <w:pPr>
              <w:rPr>
                <w:sz w:val="2"/>
                <w:szCs w:val="2"/>
              </w:rPr>
            </w:pPr>
          </w:p>
        </w:tc>
        <w:tc>
          <w:tcPr>
            <w:tcW w:w="986" w:type="dxa"/>
            <w:vMerge/>
            <w:tcBorders>
              <w:top w:val="nil"/>
              <w:bottom w:val="single" w:sz="12" w:space="0" w:color="000000"/>
            </w:tcBorders>
          </w:tcPr>
          <w:p>
            <w:pPr>
              <w:rPr>
                <w:sz w:val="2"/>
                <w:szCs w:val="2"/>
              </w:rPr>
            </w:pPr>
          </w:p>
        </w:tc>
        <w:tc>
          <w:tcPr>
            <w:tcW w:w="827" w:type="dxa"/>
            <w:vMerge/>
            <w:tcBorders>
              <w:top w:val="nil"/>
              <w:bottom w:val="single" w:sz="12" w:space="0" w:color="000000"/>
              <w:right w:val="single" w:sz="12" w:space="0" w:color="000000"/>
            </w:tcBorders>
          </w:tcPr>
          <w:p>
            <w:pPr>
              <w:rPr>
                <w:sz w:val="2"/>
                <w:szCs w:val="2"/>
              </w:rPr>
            </w:pPr>
          </w:p>
        </w:tc>
      </w:tr>
      <w:tr>
        <w:trPr>
          <w:trHeight w:val="208" w:hRule="atLeast"/>
        </w:trPr>
        <w:tc>
          <w:tcPr>
            <w:tcW w:w="2807" w:type="dxa"/>
            <w:tcBorders>
              <w:left w:val="single" w:sz="12" w:space="0" w:color="000000"/>
            </w:tcBorders>
          </w:tcPr>
          <w:p>
            <w:pPr>
              <w:pStyle w:val="TableParagraph"/>
              <w:spacing w:line="189" w:lineRule="exact"/>
              <w:ind w:left="107"/>
              <w:rPr>
                <w:b/>
                <w:i/>
                <w:sz w:val="18"/>
              </w:rPr>
            </w:pPr>
            <w:r>
              <w:rPr>
                <w:b/>
                <w:i/>
                <w:sz w:val="18"/>
              </w:rPr>
              <w:t>Statutory</w:t>
            </w:r>
            <w:r>
              <w:rPr>
                <w:b/>
                <w:i/>
                <w:spacing w:val="1"/>
                <w:sz w:val="18"/>
              </w:rPr>
              <w:t> </w:t>
            </w:r>
            <w:r>
              <w:rPr>
                <w:b/>
                <w:i/>
                <w:spacing w:val="-2"/>
                <w:sz w:val="18"/>
              </w:rPr>
              <w:t>planning</w:t>
            </w:r>
          </w:p>
        </w:tc>
        <w:tc>
          <w:tcPr>
            <w:tcW w:w="3935" w:type="dxa"/>
          </w:tcPr>
          <w:p>
            <w:pPr>
              <w:pStyle w:val="TableParagraph"/>
              <w:rPr>
                <w:rFonts w:ascii="Times New Roman"/>
                <w:sz w:val="14"/>
              </w:rPr>
            </w:pPr>
          </w:p>
        </w:tc>
        <w:tc>
          <w:tcPr>
            <w:tcW w:w="581" w:type="dxa"/>
          </w:tcPr>
          <w:p>
            <w:pPr>
              <w:pStyle w:val="TableParagraph"/>
              <w:rPr>
                <w:rFonts w:ascii="Times New Roman"/>
                <w:sz w:val="14"/>
              </w:rPr>
            </w:pPr>
          </w:p>
        </w:tc>
        <w:tc>
          <w:tcPr>
            <w:tcW w:w="1234" w:type="dxa"/>
          </w:tcPr>
          <w:p>
            <w:pPr>
              <w:pStyle w:val="TableParagraph"/>
              <w:rPr>
                <w:rFonts w:ascii="Times New Roman"/>
                <w:sz w:val="14"/>
              </w:rPr>
            </w:pPr>
          </w:p>
        </w:tc>
        <w:tc>
          <w:tcPr>
            <w:tcW w:w="1222" w:type="dxa"/>
          </w:tcPr>
          <w:p>
            <w:pPr>
              <w:pStyle w:val="TableParagraph"/>
              <w:rPr>
                <w:rFonts w:ascii="Times New Roman"/>
                <w:sz w:val="14"/>
              </w:rPr>
            </w:pPr>
          </w:p>
        </w:tc>
        <w:tc>
          <w:tcPr>
            <w:tcW w:w="1277" w:type="dxa"/>
            <w:vMerge/>
            <w:tcBorders>
              <w:top w:val="nil"/>
              <w:bottom w:val="single" w:sz="12" w:space="0" w:color="000000"/>
            </w:tcBorders>
            <w:shd w:val="clear" w:color="auto" w:fill="DDEBF6"/>
          </w:tcPr>
          <w:p>
            <w:pPr>
              <w:rPr>
                <w:sz w:val="2"/>
                <w:szCs w:val="2"/>
              </w:rPr>
            </w:pPr>
          </w:p>
        </w:tc>
        <w:tc>
          <w:tcPr>
            <w:tcW w:w="1376" w:type="dxa"/>
            <w:vMerge/>
            <w:tcBorders>
              <w:top w:val="nil"/>
              <w:bottom w:val="single" w:sz="12" w:space="0" w:color="000000"/>
            </w:tcBorders>
          </w:tcPr>
          <w:p>
            <w:pPr>
              <w:rPr>
                <w:sz w:val="2"/>
                <w:szCs w:val="2"/>
              </w:rPr>
            </w:pPr>
          </w:p>
        </w:tc>
        <w:tc>
          <w:tcPr>
            <w:tcW w:w="1234" w:type="dxa"/>
            <w:vMerge/>
            <w:tcBorders>
              <w:top w:val="nil"/>
              <w:bottom w:val="single" w:sz="12" w:space="0" w:color="000000"/>
            </w:tcBorders>
          </w:tcPr>
          <w:p>
            <w:pPr>
              <w:rPr>
                <w:sz w:val="2"/>
                <w:szCs w:val="2"/>
              </w:rPr>
            </w:pPr>
          </w:p>
        </w:tc>
        <w:tc>
          <w:tcPr>
            <w:tcW w:w="986" w:type="dxa"/>
            <w:vMerge/>
            <w:tcBorders>
              <w:top w:val="nil"/>
              <w:bottom w:val="single" w:sz="12" w:space="0" w:color="000000"/>
            </w:tcBorders>
          </w:tcPr>
          <w:p>
            <w:pPr>
              <w:rPr>
                <w:sz w:val="2"/>
                <w:szCs w:val="2"/>
              </w:rPr>
            </w:pPr>
          </w:p>
        </w:tc>
        <w:tc>
          <w:tcPr>
            <w:tcW w:w="827" w:type="dxa"/>
            <w:vMerge/>
            <w:tcBorders>
              <w:top w:val="nil"/>
              <w:bottom w:val="single" w:sz="12" w:space="0" w:color="000000"/>
              <w:right w:val="single" w:sz="12" w:space="0" w:color="000000"/>
            </w:tcBorders>
          </w:tcPr>
          <w:p>
            <w:pPr>
              <w:rPr>
                <w:sz w:val="2"/>
                <w:szCs w:val="2"/>
              </w:rPr>
            </w:pPr>
          </w:p>
        </w:tc>
      </w:tr>
      <w:tr>
        <w:trPr>
          <w:trHeight w:val="193" w:hRule="atLeast"/>
        </w:trPr>
        <w:tc>
          <w:tcPr>
            <w:tcW w:w="2807" w:type="dxa"/>
            <w:tcBorders>
              <w:left w:val="single" w:sz="12" w:space="0" w:color="000000"/>
            </w:tcBorders>
          </w:tcPr>
          <w:p>
            <w:pPr>
              <w:pStyle w:val="TableParagraph"/>
              <w:rPr>
                <w:rFonts w:ascii="Times New Roman"/>
                <w:sz w:val="12"/>
              </w:rPr>
            </w:pPr>
          </w:p>
        </w:tc>
        <w:tc>
          <w:tcPr>
            <w:tcW w:w="3935" w:type="dxa"/>
          </w:tcPr>
          <w:p>
            <w:pPr>
              <w:pStyle w:val="TableParagraph"/>
              <w:spacing w:line="173" w:lineRule="exact"/>
              <w:ind w:left="128"/>
              <w:rPr>
                <w:b/>
                <w:sz w:val="18"/>
              </w:rPr>
            </w:pPr>
            <w:r>
              <w:rPr>
                <w:b/>
                <w:sz w:val="18"/>
              </w:rPr>
              <w:t>Planning</w:t>
            </w:r>
            <w:r>
              <w:rPr>
                <w:b/>
                <w:spacing w:val="-4"/>
                <w:sz w:val="18"/>
              </w:rPr>
              <w:t> </w:t>
            </w:r>
            <w:r>
              <w:rPr>
                <w:b/>
                <w:sz w:val="18"/>
              </w:rPr>
              <w:t>applications</w:t>
            </w:r>
            <w:r>
              <w:rPr>
                <w:b/>
                <w:spacing w:val="1"/>
                <w:sz w:val="18"/>
              </w:rPr>
              <w:t> </w:t>
            </w:r>
            <w:r>
              <w:rPr>
                <w:b/>
                <w:sz w:val="18"/>
              </w:rPr>
              <w:t>decided</w:t>
            </w:r>
            <w:r>
              <w:rPr>
                <w:b/>
                <w:spacing w:val="-1"/>
                <w:sz w:val="18"/>
              </w:rPr>
              <w:t> </w:t>
            </w:r>
            <w:r>
              <w:rPr>
                <w:b/>
                <w:sz w:val="18"/>
              </w:rPr>
              <w:t>within </w:t>
            </w:r>
            <w:r>
              <w:rPr>
                <w:b/>
                <w:spacing w:val="-5"/>
                <w:sz w:val="18"/>
              </w:rPr>
              <w:t>the</w:t>
            </w:r>
          </w:p>
        </w:tc>
        <w:tc>
          <w:tcPr>
            <w:tcW w:w="581" w:type="dxa"/>
          </w:tcPr>
          <w:p>
            <w:pPr>
              <w:pStyle w:val="TableParagraph"/>
              <w:rPr>
                <w:rFonts w:ascii="Times New Roman"/>
                <w:sz w:val="12"/>
              </w:rPr>
            </w:pPr>
          </w:p>
        </w:tc>
        <w:tc>
          <w:tcPr>
            <w:tcW w:w="1234" w:type="dxa"/>
          </w:tcPr>
          <w:p>
            <w:pPr>
              <w:pStyle w:val="TableParagraph"/>
              <w:rPr>
                <w:rFonts w:ascii="Times New Roman"/>
                <w:sz w:val="12"/>
              </w:rPr>
            </w:pPr>
          </w:p>
        </w:tc>
        <w:tc>
          <w:tcPr>
            <w:tcW w:w="1222" w:type="dxa"/>
          </w:tcPr>
          <w:p>
            <w:pPr>
              <w:pStyle w:val="TableParagraph"/>
              <w:rPr>
                <w:rFonts w:ascii="Times New Roman"/>
                <w:sz w:val="12"/>
              </w:rPr>
            </w:pPr>
          </w:p>
        </w:tc>
        <w:tc>
          <w:tcPr>
            <w:tcW w:w="1277" w:type="dxa"/>
            <w:vMerge/>
            <w:tcBorders>
              <w:top w:val="nil"/>
              <w:bottom w:val="single" w:sz="12" w:space="0" w:color="000000"/>
            </w:tcBorders>
            <w:shd w:val="clear" w:color="auto" w:fill="DDEBF6"/>
          </w:tcPr>
          <w:p>
            <w:pPr>
              <w:rPr>
                <w:sz w:val="2"/>
                <w:szCs w:val="2"/>
              </w:rPr>
            </w:pPr>
          </w:p>
        </w:tc>
        <w:tc>
          <w:tcPr>
            <w:tcW w:w="1376" w:type="dxa"/>
            <w:vMerge/>
            <w:tcBorders>
              <w:top w:val="nil"/>
              <w:bottom w:val="single" w:sz="12" w:space="0" w:color="000000"/>
            </w:tcBorders>
          </w:tcPr>
          <w:p>
            <w:pPr>
              <w:rPr>
                <w:sz w:val="2"/>
                <w:szCs w:val="2"/>
              </w:rPr>
            </w:pPr>
          </w:p>
        </w:tc>
        <w:tc>
          <w:tcPr>
            <w:tcW w:w="1234" w:type="dxa"/>
            <w:vMerge/>
            <w:tcBorders>
              <w:top w:val="nil"/>
              <w:bottom w:val="single" w:sz="12" w:space="0" w:color="000000"/>
            </w:tcBorders>
          </w:tcPr>
          <w:p>
            <w:pPr>
              <w:rPr>
                <w:sz w:val="2"/>
                <w:szCs w:val="2"/>
              </w:rPr>
            </w:pPr>
          </w:p>
        </w:tc>
        <w:tc>
          <w:tcPr>
            <w:tcW w:w="986" w:type="dxa"/>
            <w:vMerge/>
            <w:tcBorders>
              <w:top w:val="nil"/>
              <w:bottom w:val="single" w:sz="12" w:space="0" w:color="000000"/>
            </w:tcBorders>
          </w:tcPr>
          <w:p>
            <w:pPr>
              <w:rPr>
                <w:sz w:val="2"/>
                <w:szCs w:val="2"/>
              </w:rPr>
            </w:pPr>
          </w:p>
        </w:tc>
        <w:tc>
          <w:tcPr>
            <w:tcW w:w="827" w:type="dxa"/>
            <w:vMerge/>
            <w:tcBorders>
              <w:top w:val="nil"/>
              <w:bottom w:val="single" w:sz="12" w:space="0" w:color="000000"/>
              <w:right w:val="single" w:sz="12" w:space="0" w:color="000000"/>
            </w:tcBorders>
          </w:tcPr>
          <w:p>
            <w:pPr>
              <w:rPr>
                <w:sz w:val="2"/>
                <w:szCs w:val="2"/>
              </w:rPr>
            </w:pPr>
          </w:p>
        </w:tc>
      </w:tr>
      <w:tr>
        <w:trPr>
          <w:trHeight w:val="176" w:hRule="atLeast"/>
        </w:trPr>
        <w:tc>
          <w:tcPr>
            <w:tcW w:w="2807" w:type="dxa"/>
            <w:tcBorders>
              <w:left w:val="single" w:sz="12" w:space="0" w:color="000000"/>
            </w:tcBorders>
          </w:tcPr>
          <w:p>
            <w:pPr>
              <w:pStyle w:val="TableParagraph"/>
              <w:spacing w:line="156" w:lineRule="exact"/>
              <w:ind w:left="107"/>
              <w:rPr>
                <w:b/>
                <w:sz w:val="18"/>
              </w:rPr>
            </w:pPr>
            <w:r>
              <w:rPr>
                <w:b/>
                <w:sz w:val="18"/>
              </w:rPr>
              <w:t>Service </w:t>
            </w:r>
            <w:r>
              <w:rPr>
                <w:b/>
                <w:spacing w:val="-2"/>
                <w:sz w:val="18"/>
              </w:rPr>
              <w:t>standard</w:t>
            </w:r>
          </w:p>
        </w:tc>
        <w:tc>
          <w:tcPr>
            <w:tcW w:w="3935" w:type="dxa"/>
          </w:tcPr>
          <w:p>
            <w:pPr>
              <w:pStyle w:val="TableParagraph"/>
              <w:spacing w:line="156" w:lineRule="exact"/>
              <w:ind w:left="128"/>
              <w:rPr>
                <w:b/>
                <w:sz w:val="18"/>
              </w:rPr>
            </w:pPr>
            <w:r>
              <w:rPr>
                <w:b/>
                <w:sz w:val="18"/>
              </w:rPr>
              <w:t>relevant</w:t>
            </w:r>
            <w:r>
              <w:rPr>
                <w:b/>
                <w:spacing w:val="-2"/>
                <w:sz w:val="18"/>
              </w:rPr>
              <w:t> </w:t>
            </w:r>
            <w:r>
              <w:rPr>
                <w:b/>
                <w:sz w:val="18"/>
              </w:rPr>
              <w:t>required</w:t>
            </w:r>
            <w:r>
              <w:rPr>
                <w:b/>
                <w:spacing w:val="-2"/>
                <w:sz w:val="18"/>
              </w:rPr>
              <w:t> </w:t>
            </w:r>
            <w:r>
              <w:rPr>
                <w:b/>
                <w:spacing w:val="-4"/>
                <w:sz w:val="18"/>
              </w:rPr>
              <w:t>time</w:t>
            </w:r>
          </w:p>
        </w:tc>
        <w:tc>
          <w:tcPr>
            <w:tcW w:w="581" w:type="dxa"/>
          </w:tcPr>
          <w:p>
            <w:pPr>
              <w:pStyle w:val="TableParagraph"/>
              <w:rPr>
                <w:rFonts w:ascii="Times New Roman"/>
                <w:sz w:val="10"/>
              </w:rPr>
            </w:pPr>
          </w:p>
        </w:tc>
        <w:tc>
          <w:tcPr>
            <w:tcW w:w="1234" w:type="dxa"/>
          </w:tcPr>
          <w:p>
            <w:pPr>
              <w:pStyle w:val="TableParagraph"/>
              <w:rPr>
                <w:rFonts w:ascii="Times New Roman"/>
                <w:sz w:val="10"/>
              </w:rPr>
            </w:pPr>
          </w:p>
        </w:tc>
        <w:tc>
          <w:tcPr>
            <w:tcW w:w="1222" w:type="dxa"/>
          </w:tcPr>
          <w:p>
            <w:pPr>
              <w:pStyle w:val="TableParagraph"/>
              <w:rPr>
                <w:rFonts w:ascii="Times New Roman"/>
                <w:sz w:val="10"/>
              </w:rPr>
            </w:pPr>
          </w:p>
        </w:tc>
        <w:tc>
          <w:tcPr>
            <w:tcW w:w="1277" w:type="dxa"/>
            <w:vMerge/>
            <w:tcBorders>
              <w:top w:val="nil"/>
              <w:bottom w:val="single" w:sz="12" w:space="0" w:color="000000"/>
            </w:tcBorders>
            <w:shd w:val="clear" w:color="auto" w:fill="DDEBF6"/>
          </w:tcPr>
          <w:p>
            <w:pPr>
              <w:rPr>
                <w:sz w:val="2"/>
                <w:szCs w:val="2"/>
              </w:rPr>
            </w:pPr>
          </w:p>
        </w:tc>
        <w:tc>
          <w:tcPr>
            <w:tcW w:w="1376" w:type="dxa"/>
            <w:vMerge/>
            <w:tcBorders>
              <w:top w:val="nil"/>
              <w:bottom w:val="single" w:sz="12" w:space="0" w:color="000000"/>
            </w:tcBorders>
          </w:tcPr>
          <w:p>
            <w:pPr>
              <w:rPr>
                <w:sz w:val="2"/>
                <w:szCs w:val="2"/>
              </w:rPr>
            </w:pPr>
          </w:p>
        </w:tc>
        <w:tc>
          <w:tcPr>
            <w:tcW w:w="1234" w:type="dxa"/>
            <w:vMerge/>
            <w:tcBorders>
              <w:top w:val="nil"/>
              <w:bottom w:val="single" w:sz="12" w:space="0" w:color="000000"/>
            </w:tcBorders>
          </w:tcPr>
          <w:p>
            <w:pPr>
              <w:rPr>
                <w:sz w:val="2"/>
                <w:szCs w:val="2"/>
              </w:rPr>
            </w:pPr>
          </w:p>
        </w:tc>
        <w:tc>
          <w:tcPr>
            <w:tcW w:w="986" w:type="dxa"/>
            <w:vMerge/>
            <w:tcBorders>
              <w:top w:val="nil"/>
              <w:bottom w:val="single" w:sz="12" w:space="0" w:color="000000"/>
            </w:tcBorders>
          </w:tcPr>
          <w:p>
            <w:pPr>
              <w:rPr>
                <w:sz w:val="2"/>
                <w:szCs w:val="2"/>
              </w:rPr>
            </w:pPr>
          </w:p>
        </w:tc>
        <w:tc>
          <w:tcPr>
            <w:tcW w:w="827" w:type="dxa"/>
            <w:vMerge/>
            <w:tcBorders>
              <w:top w:val="nil"/>
              <w:bottom w:val="single" w:sz="12" w:space="0" w:color="000000"/>
              <w:right w:val="single" w:sz="12" w:space="0" w:color="000000"/>
            </w:tcBorders>
          </w:tcPr>
          <w:p>
            <w:pPr>
              <w:rPr>
                <w:sz w:val="2"/>
                <w:szCs w:val="2"/>
              </w:rPr>
            </w:pPr>
          </w:p>
        </w:tc>
      </w:tr>
      <w:tr>
        <w:trPr>
          <w:trHeight w:val="176" w:hRule="atLeast"/>
        </w:trPr>
        <w:tc>
          <w:tcPr>
            <w:tcW w:w="2807" w:type="dxa"/>
            <w:tcBorders>
              <w:left w:val="single" w:sz="12" w:space="0" w:color="000000"/>
            </w:tcBorders>
          </w:tcPr>
          <w:p>
            <w:pPr>
              <w:pStyle w:val="TableParagraph"/>
              <w:spacing w:line="156" w:lineRule="exact"/>
              <w:ind w:left="107"/>
              <w:rPr>
                <w:sz w:val="18"/>
              </w:rPr>
            </w:pPr>
            <w:r>
              <w:rPr>
                <w:sz w:val="18"/>
              </w:rPr>
              <w:t>(planning</w:t>
            </w:r>
            <w:r>
              <w:rPr>
                <w:spacing w:val="-3"/>
                <w:sz w:val="18"/>
              </w:rPr>
              <w:t> </w:t>
            </w:r>
            <w:r>
              <w:rPr>
                <w:sz w:val="18"/>
              </w:rPr>
              <w:t>application </w:t>
            </w:r>
            <w:r>
              <w:rPr>
                <w:spacing w:val="-2"/>
                <w:sz w:val="18"/>
              </w:rPr>
              <w:t>processing</w:t>
            </w:r>
          </w:p>
        </w:tc>
        <w:tc>
          <w:tcPr>
            <w:tcW w:w="3935" w:type="dxa"/>
          </w:tcPr>
          <w:p>
            <w:pPr>
              <w:pStyle w:val="TableParagraph"/>
              <w:spacing w:line="156" w:lineRule="exact"/>
              <w:ind w:left="128"/>
              <w:rPr>
                <w:sz w:val="18"/>
              </w:rPr>
            </w:pPr>
            <w:r>
              <w:rPr>
                <w:sz w:val="18"/>
              </w:rPr>
              <w:t>Number</w:t>
            </w:r>
            <w:r>
              <w:rPr>
                <w:spacing w:val="-6"/>
                <w:sz w:val="18"/>
              </w:rPr>
              <w:t> </w:t>
            </w:r>
            <w:r>
              <w:rPr>
                <w:sz w:val="18"/>
              </w:rPr>
              <w:t>of</w:t>
            </w:r>
            <w:r>
              <w:rPr>
                <w:spacing w:val="1"/>
                <w:sz w:val="18"/>
              </w:rPr>
              <w:t> </w:t>
            </w:r>
            <w:r>
              <w:rPr>
                <w:sz w:val="18"/>
              </w:rPr>
              <w:t>planning</w:t>
            </w:r>
            <w:r>
              <w:rPr>
                <w:spacing w:val="-3"/>
                <w:sz w:val="18"/>
              </w:rPr>
              <w:t> </w:t>
            </w:r>
            <w:r>
              <w:rPr>
                <w:sz w:val="18"/>
              </w:rPr>
              <w:t>application</w:t>
            </w:r>
            <w:r>
              <w:rPr>
                <w:spacing w:val="1"/>
                <w:sz w:val="18"/>
              </w:rPr>
              <w:t> </w:t>
            </w:r>
            <w:r>
              <w:rPr>
                <w:spacing w:val="-2"/>
                <w:sz w:val="18"/>
              </w:rPr>
              <w:t>decisions</w:t>
            </w:r>
          </w:p>
        </w:tc>
        <w:tc>
          <w:tcPr>
            <w:tcW w:w="581" w:type="dxa"/>
          </w:tcPr>
          <w:p>
            <w:pPr>
              <w:pStyle w:val="TableParagraph"/>
              <w:spacing w:line="71" w:lineRule="exact" w:before="85"/>
              <w:ind w:left="220"/>
              <w:rPr>
                <w:sz w:val="18"/>
              </w:rPr>
            </w:pPr>
            <w:r>
              <w:rPr>
                <w:sz w:val="18"/>
              </w:rPr>
              <w:t>3</w:t>
            </w:r>
          </w:p>
        </w:tc>
        <w:tc>
          <w:tcPr>
            <w:tcW w:w="1234" w:type="dxa"/>
          </w:tcPr>
          <w:p>
            <w:pPr>
              <w:pStyle w:val="TableParagraph"/>
              <w:spacing w:line="71" w:lineRule="exact" w:before="85"/>
              <w:ind w:right="193"/>
              <w:jc w:val="right"/>
              <w:rPr>
                <w:sz w:val="18"/>
              </w:rPr>
            </w:pPr>
            <w:r>
              <w:rPr>
                <w:spacing w:val="-2"/>
                <w:sz w:val="18"/>
              </w:rPr>
              <w:t>75.67%</w:t>
            </w:r>
          </w:p>
        </w:tc>
        <w:tc>
          <w:tcPr>
            <w:tcW w:w="1222" w:type="dxa"/>
          </w:tcPr>
          <w:p>
            <w:pPr>
              <w:pStyle w:val="TableParagraph"/>
              <w:spacing w:line="71" w:lineRule="exact" w:before="85"/>
              <w:ind w:right="91"/>
              <w:jc w:val="right"/>
              <w:rPr>
                <w:sz w:val="18"/>
              </w:rPr>
            </w:pPr>
            <w:r>
              <w:rPr>
                <w:spacing w:val="-2"/>
                <w:sz w:val="18"/>
              </w:rPr>
              <w:t>78.00%</w:t>
            </w:r>
          </w:p>
        </w:tc>
        <w:tc>
          <w:tcPr>
            <w:tcW w:w="1277" w:type="dxa"/>
            <w:vMerge/>
            <w:tcBorders>
              <w:top w:val="nil"/>
              <w:bottom w:val="single" w:sz="12" w:space="0" w:color="000000"/>
            </w:tcBorders>
            <w:shd w:val="clear" w:color="auto" w:fill="DDEBF6"/>
          </w:tcPr>
          <w:p>
            <w:pPr>
              <w:rPr>
                <w:sz w:val="2"/>
                <w:szCs w:val="2"/>
              </w:rPr>
            </w:pPr>
          </w:p>
        </w:tc>
        <w:tc>
          <w:tcPr>
            <w:tcW w:w="1376" w:type="dxa"/>
            <w:vMerge/>
            <w:tcBorders>
              <w:top w:val="nil"/>
              <w:bottom w:val="single" w:sz="12" w:space="0" w:color="000000"/>
            </w:tcBorders>
          </w:tcPr>
          <w:p>
            <w:pPr>
              <w:rPr>
                <w:sz w:val="2"/>
                <w:szCs w:val="2"/>
              </w:rPr>
            </w:pPr>
          </w:p>
        </w:tc>
        <w:tc>
          <w:tcPr>
            <w:tcW w:w="1234" w:type="dxa"/>
            <w:vMerge/>
            <w:tcBorders>
              <w:top w:val="nil"/>
              <w:bottom w:val="single" w:sz="12" w:space="0" w:color="000000"/>
            </w:tcBorders>
          </w:tcPr>
          <w:p>
            <w:pPr>
              <w:rPr>
                <w:sz w:val="2"/>
                <w:szCs w:val="2"/>
              </w:rPr>
            </w:pPr>
          </w:p>
        </w:tc>
        <w:tc>
          <w:tcPr>
            <w:tcW w:w="986" w:type="dxa"/>
            <w:vMerge/>
            <w:tcBorders>
              <w:top w:val="nil"/>
              <w:bottom w:val="single" w:sz="12" w:space="0" w:color="000000"/>
            </w:tcBorders>
          </w:tcPr>
          <w:p>
            <w:pPr>
              <w:rPr>
                <w:sz w:val="2"/>
                <w:szCs w:val="2"/>
              </w:rPr>
            </w:pPr>
          </w:p>
        </w:tc>
        <w:tc>
          <w:tcPr>
            <w:tcW w:w="827" w:type="dxa"/>
            <w:vMerge/>
            <w:tcBorders>
              <w:top w:val="nil"/>
              <w:bottom w:val="single" w:sz="12" w:space="0" w:color="000000"/>
              <w:right w:val="single" w:sz="12" w:space="0" w:color="000000"/>
            </w:tcBorders>
          </w:tcPr>
          <w:p>
            <w:pPr>
              <w:rPr>
                <w:sz w:val="2"/>
                <w:szCs w:val="2"/>
              </w:rPr>
            </w:pPr>
          </w:p>
        </w:tc>
      </w:tr>
      <w:tr>
        <w:trPr>
          <w:trHeight w:val="177" w:hRule="atLeast"/>
        </w:trPr>
        <w:tc>
          <w:tcPr>
            <w:tcW w:w="2807" w:type="dxa"/>
            <w:tcBorders>
              <w:left w:val="single" w:sz="12" w:space="0" w:color="000000"/>
            </w:tcBorders>
          </w:tcPr>
          <w:p>
            <w:pPr>
              <w:pStyle w:val="TableParagraph"/>
              <w:spacing w:line="158" w:lineRule="exact"/>
              <w:ind w:left="107"/>
              <w:rPr>
                <w:sz w:val="18"/>
              </w:rPr>
            </w:pPr>
            <w:r>
              <w:rPr>
                <w:sz w:val="18"/>
              </w:rPr>
              <w:t>and decisions</w:t>
            </w:r>
            <w:r>
              <w:rPr>
                <w:spacing w:val="-1"/>
                <w:sz w:val="18"/>
              </w:rPr>
              <w:t> </w:t>
            </w:r>
            <w:r>
              <w:rPr>
                <w:sz w:val="18"/>
              </w:rPr>
              <w:t>are</w:t>
            </w:r>
            <w:r>
              <w:rPr>
                <w:spacing w:val="-2"/>
                <w:sz w:val="18"/>
              </w:rPr>
              <w:t> </w:t>
            </w:r>
            <w:r>
              <w:rPr>
                <w:sz w:val="18"/>
              </w:rPr>
              <w:t>in</w:t>
            </w:r>
            <w:r>
              <w:rPr>
                <w:spacing w:val="-1"/>
                <w:sz w:val="18"/>
              </w:rPr>
              <w:t> </w:t>
            </w:r>
            <w:r>
              <w:rPr>
                <w:spacing w:val="-2"/>
                <w:sz w:val="18"/>
              </w:rPr>
              <w:t>accordance</w:t>
            </w:r>
          </w:p>
        </w:tc>
        <w:tc>
          <w:tcPr>
            <w:tcW w:w="3935" w:type="dxa"/>
          </w:tcPr>
          <w:p>
            <w:pPr>
              <w:pStyle w:val="TableParagraph"/>
              <w:spacing w:line="158" w:lineRule="exact"/>
              <w:ind w:left="128"/>
              <w:rPr>
                <w:sz w:val="18"/>
              </w:rPr>
            </w:pPr>
            <w:r>
              <w:rPr>
                <w:sz w:val="18"/>
              </w:rPr>
              <w:t>made</w:t>
            </w:r>
            <w:r>
              <w:rPr>
                <w:spacing w:val="-3"/>
                <w:sz w:val="18"/>
              </w:rPr>
              <w:t> </w:t>
            </w:r>
            <w:r>
              <w:rPr>
                <w:sz w:val="18"/>
              </w:rPr>
              <w:t>within the</w:t>
            </w:r>
            <w:r>
              <w:rPr>
                <w:spacing w:val="1"/>
                <w:sz w:val="18"/>
              </w:rPr>
              <w:t> </w:t>
            </w:r>
            <w:r>
              <w:rPr>
                <w:sz w:val="18"/>
              </w:rPr>
              <w:t>relevant required</w:t>
            </w:r>
            <w:r>
              <w:rPr>
                <w:spacing w:val="-1"/>
                <w:sz w:val="18"/>
              </w:rPr>
              <w:t> </w:t>
            </w:r>
            <w:r>
              <w:rPr>
                <w:sz w:val="18"/>
              </w:rPr>
              <w:t>time </w:t>
            </w:r>
            <w:r>
              <w:rPr>
                <w:spacing w:val="-10"/>
                <w:sz w:val="18"/>
              </w:rPr>
              <w:t>/</w:t>
            </w:r>
          </w:p>
        </w:tc>
        <w:tc>
          <w:tcPr>
            <w:tcW w:w="581" w:type="dxa"/>
          </w:tcPr>
          <w:p>
            <w:pPr>
              <w:pStyle w:val="TableParagraph"/>
              <w:rPr>
                <w:rFonts w:ascii="Times New Roman"/>
                <w:sz w:val="10"/>
              </w:rPr>
            </w:pPr>
          </w:p>
        </w:tc>
        <w:tc>
          <w:tcPr>
            <w:tcW w:w="1234" w:type="dxa"/>
          </w:tcPr>
          <w:p>
            <w:pPr>
              <w:pStyle w:val="TableParagraph"/>
              <w:rPr>
                <w:rFonts w:ascii="Times New Roman"/>
                <w:sz w:val="10"/>
              </w:rPr>
            </w:pPr>
          </w:p>
        </w:tc>
        <w:tc>
          <w:tcPr>
            <w:tcW w:w="1222" w:type="dxa"/>
          </w:tcPr>
          <w:p>
            <w:pPr>
              <w:pStyle w:val="TableParagraph"/>
              <w:rPr>
                <w:rFonts w:ascii="Times New Roman"/>
                <w:sz w:val="10"/>
              </w:rPr>
            </w:pPr>
          </w:p>
        </w:tc>
        <w:tc>
          <w:tcPr>
            <w:tcW w:w="1277" w:type="dxa"/>
            <w:vMerge/>
            <w:tcBorders>
              <w:top w:val="nil"/>
              <w:bottom w:val="single" w:sz="12" w:space="0" w:color="000000"/>
            </w:tcBorders>
            <w:shd w:val="clear" w:color="auto" w:fill="DDEBF6"/>
          </w:tcPr>
          <w:p>
            <w:pPr>
              <w:rPr>
                <w:sz w:val="2"/>
                <w:szCs w:val="2"/>
              </w:rPr>
            </w:pPr>
          </w:p>
        </w:tc>
        <w:tc>
          <w:tcPr>
            <w:tcW w:w="1376" w:type="dxa"/>
            <w:vMerge/>
            <w:tcBorders>
              <w:top w:val="nil"/>
              <w:bottom w:val="single" w:sz="12" w:space="0" w:color="000000"/>
            </w:tcBorders>
          </w:tcPr>
          <w:p>
            <w:pPr>
              <w:rPr>
                <w:sz w:val="2"/>
                <w:szCs w:val="2"/>
              </w:rPr>
            </w:pPr>
          </w:p>
        </w:tc>
        <w:tc>
          <w:tcPr>
            <w:tcW w:w="1234" w:type="dxa"/>
            <w:vMerge/>
            <w:tcBorders>
              <w:top w:val="nil"/>
              <w:bottom w:val="single" w:sz="12" w:space="0" w:color="000000"/>
            </w:tcBorders>
          </w:tcPr>
          <w:p>
            <w:pPr>
              <w:rPr>
                <w:sz w:val="2"/>
                <w:szCs w:val="2"/>
              </w:rPr>
            </w:pPr>
          </w:p>
        </w:tc>
        <w:tc>
          <w:tcPr>
            <w:tcW w:w="986" w:type="dxa"/>
            <w:vMerge/>
            <w:tcBorders>
              <w:top w:val="nil"/>
              <w:bottom w:val="single" w:sz="12" w:space="0" w:color="000000"/>
            </w:tcBorders>
          </w:tcPr>
          <w:p>
            <w:pPr>
              <w:rPr>
                <w:sz w:val="2"/>
                <w:szCs w:val="2"/>
              </w:rPr>
            </w:pPr>
          </w:p>
        </w:tc>
        <w:tc>
          <w:tcPr>
            <w:tcW w:w="827" w:type="dxa"/>
            <w:vMerge/>
            <w:tcBorders>
              <w:top w:val="nil"/>
              <w:bottom w:val="single" w:sz="12" w:space="0" w:color="000000"/>
              <w:right w:val="single" w:sz="12" w:space="0" w:color="000000"/>
            </w:tcBorders>
          </w:tcPr>
          <w:p>
            <w:pPr>
              <w:rPr>
                <w:sz w:val="2"/>
                <w:szCs w:val="2"/>
              </w:rPr>
            </w:pPr>
          </w:p>
        </w:tc>
      </w:tr>
      <w:tr>
        <w:trPr>
          <w:trHeight w:val="177" w:hRule="atLeast"/>
        </w:trPr>
        <w:tc>
          <w:tcPr>
            <w:tcW w:w="2807" w:type="dxa"/>
            <w:tcBorders>
              <w:left w:val="single" w:sz="12" w:space="0" w:color="000000"/>
            </w:tcBorders>
          </w:tcPr>
          <w:p>
            <w:pPr>
              <w:pStyle w:val="TableParagraph"/>
              <w:spacing w:line="158" w:lineRule="exact"/>
              <w:ind w:left="107"/>
              <w:rPr>
                <w:sz w:val="18"/>
              </w:rPr>
            </w:pPr>
            <w:r>
              <w:rPr>
                <w:sz w:val="18"/>
              </w:rPr>
              <w:t>with legislative</w:t>
            </w:r>
            <w:r>
              <w:rPr>
                <w:spacing w:val="-2"/>
                <w:sz w:val="18"/>
              </w:rPr>
              <w:t> requirements)</w:t>
            </w:r>
          </w:p>
        </w:tc>
        <w:tc>
          <w:tcPr>
            <w:tcW w:w="3935" w:type="dxa"/>
          </w:tcPr>
          <w:p>
            <w:pPr>
              <w:pStyle w:val="TableParagraph"/>
              <w:spacing w:line="158" w:lineRule="exact"/>
              <w:ind w:left="128"/>
              <w:rPr>
                <w:sz w:val="18"/>
              </w:rPr>
            </w:pPr>
            <w:r>
              <w:rPr>
                <w:sz w:val="18"/>
              </w:rPr>
              <w:t>Number</w:t>
            </w:r>
            <w:r>
              <w:rPr>
                <w:spacing w:val="-6"/>
                <w:sz w:val="18"/>
              </w:rPr>
              <w:t> </w:t>
            </w:r>
            <w:r>
              <w:rPr>
                <w:sz w:val="18"/>
              </w:rPr>
              <w:t>of</w:t>
            </w:r>
            <w:r>
              <w:rPr>
                <w:spacing w:val="1"/>
                <w:sz w:val="18"/>
              </w:rPr>
              <w:t> </w:t>
            </w:r>
            <w:r>
              <w:rPr>
                <w:sz w:val="18"/>
              </w:rPr>
              <w:t>planning</w:t>
            </w:r>
            <w:r>
              <w:rPr>
                <w:spacing w:val="-3"/>
                <w:sz w:val="18"/>
              </w:rPr>
              <w:t> </w:t>
            </w:r>
            <w:r>
              <w:rPr>
                <w:sz w:val="18"/>
              </w:rPr>
              <w:t>application</w:t>
            </w:r>
            <w:r>
              <w:rPr>
                <w:spacing w:val="1"/>
                <w:sz w:val="18"/>
              </w:rPr>
              <w:t> </w:t>
            </w:r>
            <w:r>
              <w:rPr>
                <w:spacing w:val="-2"/>
                <w:sz w:val="18"/>
              </w:rPr>
              <w:t>decisions</w:t>
            </w:r>
          </w:p>
        </w:tc>
        <w:tc>
          <w:tcPr>
            <w:tcW w:w="581" w:type="dxa"/>
          </w:tcPr>
          <w:p>
            <w:pPr>
              <w:pStyle w:val="TableParagraph"/>
              <w:rPr>
                <w:rFonts w:ascii="Times New Roman"/>
                <w:sz w:val="10"/>
              </w:rPr>
            </w:pPr>
          </w:p>
        </w:tc>
        <w:tc>
          <w:tcPr>
            <w:tcW w:w="1234" w:type="dxa"/>
          </w:tcPr>
          <w:p>
            <w:pPr>
              <w:pStyle w:val="TableParagraph"/>
              <w:rPr>
                <w:rFonts w:ascii="Times New Roman"/>
                <w:sz w:val="10"/>
              </w:rPr>
            </w:pPr>
          </w:p>
        </w:tc>
        <w:tc>
          <w:tcPr>
            <w:tcW w:w="1222" w:type="dxa"/>
          </w:tcPr>
          <w:p>
            <w:pPr>
              <w:pStyle w:val="TableParagraph"/>
              <w:rPr>
                <w:rFonts w:ascii="Times New Roman"/>
                <w:sz w:val="10"/>
              </w:rPr>
            </w:pPr>
          </w:p>
        </w:tc>
        <w:tc>
          <w:tcPr>
            <w:tcW w:w="1277" w:type="dxa"/>
            <w:vMerge/>
            <w:tcBorders>
              <w:top w:val="nil"/>
              <w:bottom w:val="single" w:sz="12" w:space="0" w:color="000000"/>
            </w:tcBorders>
            <w:shd w:val="clear" w:color="auto" w:fill="DDEBF6"/>
          </w:tcPr>
          <w:p>
            <w:pPr>
              <w:rPr>
                <w:sz w:val="2"/>
                <w:szCs w:val="2"/>
              </w:rPr>
            </w:pPr>
          </w:p>
        </w:tc>
        <w:tc>
          <w:tcPr>
            <w:tcW w:w="1376" w:type="dxa"/>
            <w:vMerge/>
            <w:tcBorders>
              <w:top w:val="nil"/>
              <w:bottom w:val="single" w:sz="12" w:space="0" w:color="000000"/>
            </w:tcBorders>
          </w:tcPr>
          <w:p>
            <w:pPr>
              <w:rPr>
                <w:sz w:val="2"/>
                <w:szCs w:val="2"/>
              </w:rPr>
            </w:pPr>
          </w:p>
        </w:tc>
        <w:tc>
          <w:tcPr>
            <w:tcW w:w="1234" w:type="dxa"/>
            <w:vMerge/>
            <w:tcBorders>
              <w:top w:val="nil"/>
              <w:bottom w:val="single" w:sz="12" w:space="0" w:color="000000"/>
            </w:tcBorders>
          </w:tcPr>
          <w:p>
            <w:pPr>
              <w:rPr>
                <w:sz w:val="2"/>
                <w:szCs w:val="2"/>
              </w:rPr>
            </w:pPr>
          </w:p>
        </w:tc>
        <w:tc>
          <w:tcPr>
            <w:tcW w:w="986" w:type="dxa"/>
            <w:vMerge/>
            <w:tcBorders>
              <w:top w:val="nil"/>
              <w:bottom w:val="single" w:sz="12" w:space="0" w:color="000000"/>
            </w:tcBorders>
          </w:tcPr>
          <w:p>
            <w:pPr>
              <w:rPr>
                <w:sz w:val="2"/>
                <w:szCs w:val="2"/>
              </w:rPr>
            </w:pPr>
          </w:p>
        </w:tc>
        <w:tc>
          <w:tcPr>
            <w:tcW w:w="827" w:type="dxa"/>
            <w:vMerge/>
            <w:tcBorders>
              <w:top w:val="nil"/>
              <w:bottom w:val="single" w:sz="12" w:space="0" w:color="000000"/>
              <w:right w:val="single" w:sz="12" w:space="0" w:color="000000"/>
            </w:tcBorders>
          </w:tcPr>
          <w:p>
            <w:pPr>
              <w:rPr>
                <w:sz w:val="2"/>
                <w:szCs w:val="2"/>
              </w:rPr>
            </w:pPr>
          </w:p>
        </w:tc>
      </w:tr>
      <w:tr>
        <w:trPr>
          <w:trHeight w:val="191" w:hRule="atLeast"/>
        </w:trPr>
        <w:tc>
          <w:tcPr>
            <w:tcW w:w="2807" w:type="dxa"/>
            <w:tcBorders>
              <w:left w:val="single" w:sz="12" w:space="0" w:color="000000"/>
            </w:tcBorders>
          </w:tcPr>
          <w:p>
            <w:pPr>
              <w:pStyle w:val="TableParagraph"/>
              <w:rPr>
                <w:rFonts w:ascii="Times New Roman"/>
                <w:sz w:val="12"/>
              </w:rPr>
            </w:pPr>
          </w:p>
        </w:tc>
        <w:tc>
          <w:tcPr>
            <w:tcW w:w="3935" w:type="dxa"/>
          </w:tcPr>
          <w:p>
            <w:pPr>
              <w:pStyle w:val="TableParagraph"/>
              <w:spacing w:line="172" w:lineRule="exact"/>
              <w:ind w:left="128"/>
              <w:rPr>
                <w:sz w:val="18"/>
              </w:rPr>
            </w:pPr>
            <w:r>
              <w:rPr>
                <w:spacing w:val="-4"/>
                <w:sz w:val="18"/>
              </w:rPr>
              <w:t>made</w:t>
            </w:r>
          </w:p>
        </w:tc>
        <w:tc>
          <w:tcPr>
            <w:tcW w:w="581" w:type="dxa"/>
          </w:tcPr>
          <w:p>
            <w:pPr>
              <w:pStyle w:val="TableParagraph"/>
              <w:rPr>
                <w:rFonts w:ascii="Times New Roman"/>
                <w:sz w:val="12"/>
              </w:rPr>
            </w:pPr>
          </w:p>
        </w:tc>
        <w:tc>
          <w:tcPr>
            <w:tcW w:w="1234" w:type="dxa"/>
          </w:tcPr>
          <w:p>
            <w:pPr>
              <w:pStyle w:val="TableParagraph"/>
              <w:rPr>
                <w:rFonts w:ascii="Times New Roman"/>
                <w:sz w:val="12"/>
              </w:rPr>
            </w:pPr>
          </w:p>
        </w:tc>
        <w:tc>
          <w:tcPr>
            <w:tcW w:w="1222" w:type="dxa"/>
          </w:tcPr>
          <w:p>
            <w:pPr>
              <w:pStyle w:val="TableParagraph"/>
              <w:rPr>
                <w:rFonts w:ascii="Times New Roman"/>
                <w:sz w:val="12"/>
              </w:rPr>
            </w:pPr>
          </w:p>
        </w:tc>
        <w:tc>
          <w:tcPr>
            <w:tcW w:w="1277" w:type="dxa"/>
            <w:vMerge/>
            <w:tcBorders>
              <w:top w:val="nil"/>
              <w:bottom w:val="single" w:sz="12" w:space="0" w:color="000000"/>
            </w:tcBorders>
            <w:shd w:val="clear" w:color="auto" w:fill="DDEBF6"/>
          </w:tcPr>
          <w:p>
            <w:pPr>
              <w:rPr>
                <w:sz w:val="2"/>
                <w:szCs w:val="2"/>
              </w:rPr>
            </w:pPr>
          </w:p>
        </w:tc>
        <w:tc>
          <w:tcPr>
            <w:tcW w:w="1376" w:type="dxa"/>
            <w:vMerge/>
            <w:tcBorders>
              <w:top w:val="nil"/>
              <w:bottom w:val="single" w:sz="12" w:space="0" w:color="000000"/>
            </w:tcBorders>
          </w:tcPr>
          <w:p>
            <w:pPr>
              <w:rPr>
                <w:sz w:val="2"/>
                <w:szCs w:val="2"/>
              </w:rPr>
            </w:pPr>
          </w:p>
        </w:tc>
        <w:tc>
          <w:tcPr>
            <w:tcW w:w="1234" w:type="dxa"/>
            <w:vMerge/>
            <w:tcBorders>
              <w:top w:val="nil"/>
              <w:bottom w:val="single" w:sz="12" w:space="0" w:color="000000"/>
            </w:tcBorders>
          </w:tcPr>
          <w:p>
            <w:pPr>
              <w:rPr>
                <w:sz w:val="2"/>
                <w:szCs w:val="2"/>
              </w:rPr>
            </w:pPr>
          </w:p>
        </w:tc>
        <w:tc>
          <w:tcPr>
            <w:tcW w:w="986" w:type="dxa"/>
            <w:vMerge/>
            <w:tcBorders>
              <w:top w:val="nil"/>
              <w:bottom w:val="single" w:sz="12" w:space="0" w:color="000000"/>
            </w:tcBorders>
          </w:tcPr>
          <w:p>
            <w:pPr>
              <w:rPr>
                <w:sz w:val="2"/>
                <w:szCs w:val="2"/>
              </w:rPr>
            </w:pPr>
          </w:p>
        </w:tc>
        <w:tc>
          <w:tcPr>
            <w:tcW w:w="827" w:type="dxa"/>
            <w:vMerge/>
            <w:tcBorders>
              <w:top w:val="nil"/>
              <w:bottom w:val="single" w:sz="12" w:space="0" w:color="000000"/>
              <w:right w:val="single" w:sz="12" w:space="0" w:color="000000"/>
            </w:tcBorders>
          </w:tcPr>
          <w:p>
            <w:pPr>
              <w:rPr>
                <w:sz w:val="2"/>
                <w:szCs w:val="2"/>
              </w:rPr>
            </w:pPr>
          </w:p>
        </w:tc>
      </w:tr>
      <w:tr>
        <w:trPr>
          <w:trHeight w:val="208" w:hRule="atLeast"/>
        </w:trPr>
        <w:tc>
          <w:tcPr>
            <w:tcW w:w="2807" w:type="dxa"/>
            <w:tcBorders>
              <w:left w:val="single" w:sz="12" w:space="0" w:color="000000"/>
            </w:tcBorders>
          </w:tcPr>
          <w:p>
            <w:pPr>
              <w:pStyle w:val="TableParagraph"/>
              <w:spacing w:line="189" w:lineRule="exact"/>
              <w:ind w:left="107"/>
              <w:rPr>
                <w:b/>
                <w:i/>
                <w:sz w:val="18"/>
              </w:rPr>
            </w:pPr>
            <w:r>
              <w:rPr>
                <w:b/>
                <w:i/>
                <w:sz w:val="18"/>
              </w:rPr>
              <w:t>Waste </w:t>
            </w:r>
            <w:r>
              <w:rPr>
                <w:b/>
                <w:i/>
                <w:spacing w:val="-2"/>
                <w:sz w:val="18"/>
              </w:rPr>
              <w:t>management</w:t>
            </w:r>
          </w:p>
        </w:tc>
        <w:tc>
          <w:tcPr>
            <w:tcW w:w="3935" w:type="dxa"/>
          </w:tcPr>
          <w:p>
            <w:pPr>
              <w:pStyle w:val="TableParagraph"/>
              <w:rPr>
                <w:rFonts w:ascii="Times New Roman"/>
                <w:sz w:val="14"/>
              </w:rPr>
            </w:pPr>
          </w:p>
        </w:tc>
        <w:tc>
          <w:tcPr>
            <w:tcW w:w="581" w:type="dxa"/>
          </w:tcPr>
          <w:p>
            <w:pPr>
              <w:pStyle w:val="TableParagraph"/>
              <w:rPr>
                <w:rFonts w:ascii="Times New Roman"/>
                <w:sz w:val="14"/>
              </w:rPr>
            </w:pPr>
          </w:p>
        </w:tc>
        <w:tc>
          <w:tcPr>
            <w:tcW w:w="1234" w:type="dxa"/>
          </w:tcPr>
          <w:p>
            <w:pPr>
              <w:pStyle w:val="TableParagraph"/>
              <w:rPr>
                <w:rFonts w:ascii="Times New Roman"/>
                <w:sz w:val="14"/>
              </w:rPr>
            </w:pPr>
          </w:p>
        </w:tc>
        <w:tc>
          <w:tcPr>
            <w:tcW w:w="1222" w:type="dxa"/>
          </w:tcPr>
          <w:p>
            <w:pPr>
              <w:pStyle w:val="TableParagraph"/>
              <w:rPr>
                <w:rFonts w:ascii="Times New Roman"/>
                <w:sz w:val="14"/>
              </w:rPr>
            </w:pPr>
          </w:p>
        </w:tc>
        <w:tc>
          <w:tcPr>
            <w:tcW w:w="1277" w:type="dxa"/>
            <w:vMerge/>
            <w:tcBorders>
              <w:top w:val="nil"/>
              <w:bottom w:val="single" w:sz="12" w:space="0" w:color="000000"/>
            </w:tcBorders>
            <w:shd w:val="clear" w:color="auto" w:fill="DDEBF6"/>
          </w:tcPr>
          <w:p>
            <w:pPr>
              <w:rPr>
                <w:sz w:val="2"/>
                <w:szCs w:val="2"/>
              </w:rPr>
            </w:pPr>
          </w:p>
        </w:tc>
        <w:tc>
          <w:tcPr>
            <w:tcW w:w="1376" w:type="dxa"/>
            <w:vMerge/>
            <w:tcBorders>
              <w:top w:val="nil"/>
              <w:bottom w:val="single" w:sz="12" w:space="0" w:color="000000"/>
            </w:tcBorders>
          </w:tcPr>
          <w:p>
            <w:pPr>
              <w:rPr>
                <w:sz w:val="2"/>
                <w:szCs w:val="2"/>
              </w:rPr>
            </w:pPr>
          </w:p>
        </w:tc>
        <w:tc>
          <w:tcPr>
            <w:tcW w:w="1234" w:type="dxa"/>
            <w:vMerge/>
            <w:tcBorders>
              <w:top w:val="nil"/>
              <w:bottom w:val="single" w:sz="12" w:space="0" w:color="000000"/>
            </w:tcBorders>
          </w:tcPr>
          <w:p>
            <w:pPr>
              <w:rPr>
                <w:sz w:val="2"/>
                <w:szCs w:val="2"/>
              </w:rPr>
            </w:pPr>
          </w:p>
        </w:tc>
        <w:tc>
          <w:tcPr>
            <w:tcW w:w="986" w:type="dxa"/>
            <w:vMerge/>
            <w:tcBorders>
              <w:top w:val="nil"/>
              <w:bottom w:val="single" w:sz="12" w:space="0" w:color="000000"/>
            </w:tcBorders>
          </w:tcPr>
          <w:p>
            <w:pPr>
              <w:rPr>
                <w:sz w:val="2"/>
                <w:szCs w:val="2"/>
              </w:rPr>
            </w:pPr>
          </w:p>
        </w:tc>
        <w:tc>
          <w:tcPr>
            <w:tcW w:w="827" w:type="dxa"/>
            <w:vMerge/>
            <w:tcBorders>
              <w:top w:val="nil"/>
              <w:bottom w:val="single" w:sz="12" w:space="0" w:color="000000"/>
              <w:right w:val="single" w:sz="12" w:space="0" w:color="000000"/>
            </w:tcBorders>
          </w:tcPr>
          <w:p>
            <w:pPr>
              <w:rPr>
                <w:sz w:val="2"/>
                <w:szCs w:val="2"/>
              </w:rPr>
            </w:pPr>
          </w:p>
        </w:tc>
      </w:tr>
      <w:tr>
        <w:trPr>
          <w:trHeight w:val="244" w:hRule="atLeast"/>
        </w:trPr>
        <w:tc>
          <w:tcPr>
            <w:tcW w:w="2807" w:type="dxa"/>
            <w:tcBorders>
              <w:left w:val="single" w:sz="12" w:space="0" w:color="000000"/>
            </w:tcBorders>
          </w:tcPr>
          <w:p>
            <w:pPr>
              <w:pStyle w:val="TableParagraph"/>
              <w:rPr>
                <w:rFonts w:ascii="Times New Roman"/>
                <w:sz w:val="16"/>
              </w:rPr>
            </w:pPr>
          </w:p>
        </w:tc>
        <w:tc>
          <w:tcPr>
            <w:tcW w:w="3935" w:type="dxa"/>
          </w:tcPr>
          <w:p>
            <w:pPr>
              <w:pStyle w:val="TableParagraph"/>
              <w:spacing w:line="206" w:lineRule="exact"/>
              <w:ind w:left="128"/>
              <w:rPr>
                <w:b/>
                <w:sz w:val="18"/>
              </w:rPr>
            </w:pPr>
            <w:r>
              <w:rPr>
                <w:b/>
                <w:sz w:val="18"/>
              </w:rPr>
              <w:t>Kerbside</w:t>
            </w:r>
            <w:r>
              <w:rPr>
                <w:b/>
                <w:spacing w:val="-1"/>
                <w:sz w:val="18"/>
              </w:rPr>
              <w:t> </w:t>
            </w:r>
            <w:r>
              <w:rPr>
                <w:b/>
                <w:sz w:val="18"/>
              </w:rPr>
              <w:t>collection</w:t>
            </w:r>
            <w:r>
              <w:rPr>
                <w:b/>
                <w:spacing w:val="-2"/>
                <w:sz w:val="18"/>
              </w:rPr>
              <w:t> </w:t>
            </w:r>
            <w:r>
              <w:rPr>
                <w:b/>
                <w:sz w:val="18"/>
              </w:rPr>
              <w:t>waste</w:t>
            </w:r>
            <w:r>
              <w:rPr>
                <w:b/>
                <w:spacing w:val="1"/>
                <w:sz w:val="18"/>
              </w:rPr>
              <w:t> </w:t>
            </w:r>
            <w:r>
              <w:rPr>
                <w:b/>
                <w:sz w:val="18"/>
              </w:rPr>
              <w:t>diverted </w:t>
            </w:r>
            <w:r>
              <w:rPr>
                <w:b/>
                <w:spacing w:val="-4"/>
                <w:sz w:val="18"/>
              </w:rPr>
              <w:t>from</w:t>
            </w:r>
          </w:p>
        </w:tc>
        <w:tc>
          <w:tcPr>
            <w:tcW w:w="581" w:type="dxa"/>
          </w:tcPr>
          <w:p>
            <w:pPr>
              <w:pStyle w:val="TableParagraph"/>
              <w:rPr>
                <w:rFonts w:ascii="Times New Roman"/>
                <w:sz w:val="16"/>
              </w:rPr>
            </w:pPr>
          </w:p>
        </w:tc>
        <w:tc>
          <w:tcPr>
            <w:tcW w:w="1234" w:type="dxa"/>
          </w:tcPr>
          <w:p>
            <w:pPr>
              <w:pStyle w:val="TableParagraph"/>
              <w:rPr>
                <w:rFonts w:ascii="Times New Roman"/>
                <w:sz w:val="16"/>
              </w:rPr>
            </w:pPr>
          </w:p>
        </w:tc>
        <w:tc>
          <w:tcPr>
            <w:tcW w:w="1222" w:type="dxa"/>
          </w:tcPr>
          <w:p>
            <w:pPr>
              <w:pStyle w:val="TableParagraph"/>
              <w:rPr>
                <w:rFonts w:ascii="Times New Roman"/>
                <w:sz w:val="16"/>
              </w:rPr>
            </w:pPr>
          </w:p>
        </w:tc>
        <w:tc>
          <w:tcPr>
            <w:tcW w:w="1277" w:type="dxa"/>
            <w:vMerge/>
            <w:tcBorders>
              <w:top w:val="nil"/>
              <w:bottom w:val="single" w:sz="12" w:space="0" w:color="000000"/>
            </w:tcBorders>
            <w:shd w:val="clear" w:color="auto" w:fill="DDEBF6"/>
          </w:tcPr>
          <w:p>
            <w:pPr>
              <w:rPr>
                <w:sz w:val="2"/>
                <w:szCs w:val="2"/>
              </w:rPr>
            </w:pPr>
          </w:p>
        </w:tc>
        <w:tc>
          <w:tcPr>
            <w:tcW w:w="1376" w:type="dxa"/>
            <w:vMerge/>
            <w:tcBorders>
              <w:top w:val="nil"/>
              <w:bottom w:val="single" w:sz="12" w:space="0" w:color="000000"/>
            </w:tcBorders>
          </w:tcPr>
          <w:p>
            <w:pPr>
              <w:rPr>
                <w:sz w:val="2"/>
                <w:szCs w:val="2"/>
              </w:rPr>
            </w:pPr>
          </w:p>
        </w:tc>
        <w:tc>
          <w:tcPr>
            <w:tcW w:w="1234" w:type="dxa"/>
            <w:vMerge/>
            <w:tcBorders>
              <w:top w:val="nil"/>
              <w:bottom w:val="single" w:sz="12" w:space="0" w:color="000000"/>
            </w:tcBorders>
          </w:tcPr>
          <w:p>
            <w:pPr>
              <w:rPr>
                <w:sz w:val="2"/>
                <w:szCs w:val="2"/>
              </w:rPr>
            </w:pPr>
          </w:p>
        </w:tc>
        <w:tc>
          <w:tcPr>
            <w:tcW w:w="986" w:type="dxa"/>
            <w:vMerge/>
            <w:tcBorders>
              <w:top w:val="nil"/>
              <w:bottom w:val="single" w:sz="12" w:space="0" w:color="000000"/>
            </w:tcBorders>
          </w:tcPr>
          <w:p>
            <w:pPr>
              <w:rPr>
                <w:sz w:val="2"/>
                <w:szCs w:val="2"/>
              </w:rPr>
            </w:pPr>
          </w:p>
        </w:tc>
        <w:tc>
          <w:tcPr>
            <w:tcW w:w="827" w:type="dxa"/>
            <w:vMerge/>
            <w:tcBorders>
              <w:top w:val="nil"/>
              <w:bottom w:val="single" w:sz="12" w:space="0" w:color="000000"/>
              <w:right w:val="single" w:sz="12" w:space="0" w:color="000000"/>
            </w:tcBorders>
          </w:tcPr>
          <w:p>
            <w:pPr>
              <w:rPr>
                <w:sz w:val="2"/>
                <w:szCs w:val="2"/>
              </w:rPr>
            </w:pPr>
          </w:p>
        </w:tc>
      </w:tr>
      <w:tr>
        <w:trPr>
          <w:trHeight w:val="229" w:hRule="atLeast"/>
        </w:trPr>
        <w:tc>
          <w:tcPr>
            <w:tcW w:w="2807" w:type="dxa"/>
            <w:tcBorders>
              <w:left w:val="single" w:sz="12" w:space="0" w:color="000000"/>
            </w:tcBorders>
          </w:tcPr>
          <w:p>
            <w:pPr>
              <w:pStyle w:val="TableParagraph"/>
              <w:spacing w:line="176" w:lineRule="exact" w:before="33"/>
              <w:ind w:left="107"/>
              <w:rPr>
                <w:b/>
                <w:sz w:val="18"/>
              </w:rPr>
            </w:pPr>
            <w:r>
              <w:rPr>
                <w:b/>
                <w:sz w:val="18"/>
              </w:rPr>
              <w:t>Waste </w:t>
            </w:r>
            <w:r>
              <w:rPr>
                <w:b/>
                <w:spacing w:val="-2"/>
                <w:sz w:val="18"/>
              </w:rPr>
              <w:t>diversion</w:t>
            </w:r>
          </w:p>
        </w:tc>
        <w:tc>
          <w:tcPr>
            <w:tcW w:w="3935" w:type="dxa"/>
          </w:tcPr>
          <w:p>
            <w:pPr>
              <w:pStyle w:val="TableParagraph"/>
              <w:spacing w:line="137" w:lineRule="exact"/>
              <w:ind w:left="128"/>
              <w:rPr>
                <w:b/>
                <w:sz w:val="18"/>
              </w:rPr>
            </w:pPr>
            <w:r>
              <w:rPr>
                <w:b/>
                <w:spacing w:val="-2"/>
                <w:sz w:val="18"/>
              </w:rPr>
              <w:t>landfill</w:t>
            </w:r>
          </w:p>
          <w:p>
            <w:pPr>
              <w:pStyle w:val="TableParagraph"/>
              <w:spacing w:line="70" w:lineRule="exact" w:before="2"/>
              <w:ind w:left="128"/>
              <w:rPr>
                <w:sz w:val="18"/>
              </w:rPr>
            </w:pPr>
            <w:r>
              <w:rPr>
                <w:sz w:val="18"/>
              </w:rPr>
              <w:t>Weight</w:t>
            </w:r>
            <w:r>
              <w:rPr>
                <w:spacing w:val="-2"/>
                <w:sz w:val="18"/>
              </w:rPr>
              <w:t> </w:t>
            </w:r>
            <w:r>
              <w:rPr>
                <w:sz w:val="18"/>
              </w:rPr>
              <w:t>of</w:t>
            </w:r>
            <w:r>
              <w:rPr>
                <w:spacing w:val="1"/>
                <w:sz w:val="18"/>
              </w:rPr>
              <w:t> </w:t>
            </w:r>
            <w:r>
              <w:rPr>
                <w:sz w:val="18"/>
              </w:rPr>
              <w:t>recyclables</w:t>
            </w:r>
            <w:r>
              <w:rPr>
                <w:spacing w:val="-2"/>
                <w:sz w:val="18"/>
              </w:rPr>
              <w:t> </w:t>
            </w:r>
            <w:r>
              <w:rPr>
                <w:sz w:val="18"/>
              </w:rPr>
              <w:t>and</w:t>
            </w:r>
            <w:r>
              <w:rPr>
                <w:spacing w:val="-3"/>
                <w:sz w:val="18"/>
              </w:rPr>
              <w:t> </w:t>
            </w:r>
            <w:r>
              <w:rPr>
                <w:sz w:val="18"/>
              </w:rPr>
              <w:t>green</w:t>
            </w:r>
            <w:r>
              <w:rPr>
                <w:spacing w:val="1"/>
                <w:sz w:val="18"/>
              </w:rPr>
              <w:t> </w:t>
            </w:r>
            <w:r>
              <w:rPr>
                <w:spacing w:val="-2"/>
                <w:sz w:val="18"/>
              </w:rPr>
              <w:t>organics</w:t>
            </w:r>
          </w:p>
        </w:tc>
        <w:tc>
          <w:tcPr>
            <w:tcW w:w="581" w:type="dxa"/>
          </w:tcPr>
          <w:p>
            <w:pPr>
              <w:pStyle w:val="TableParagraph"/>
              <w:rPr>
                <w:rFonts w:ascii="Times New Roman"/>
                <w:sz w:val="16"/>
              </w:rPr>
            </w:pPr>
          </w:p>
        </w:tc>
        <w:tc>
          <w:tcPr>
            <w:tcW w:w="1234" w:type="dxa"/>
          </w:tcPr>
          <w:p>
            <w:pPr>
              <w:pStyle w:val="TableParagraph"/>
              <w:rPr>
                <w:rFonts w:ascii="Times New Roman"/>
                <w:sz w:val="16"/>
              </w:rPr>
            </w:pPr>
          </w:p>
        </w:tc>
        <w:tc>
          <w:tcPr>
            <w:tcW w:w="1222" w:type="dxa"/>
          </w:tcPr>
          <w:p>
            <w:pPr>
              <w:pStyle w:val="TableParagraph"/>
              <w:rPr>
                <w:rFonts w:ascii="Times New Roman"/>
                <w:sz w:val="16"/>
              </w:rPr>
            </w:pPr>
          </w:p>
        </w:tc>
        <w:tc>
          <w:tcPr>
            <w:tcW w:w="1277" w:type="dxa"/>
            <w:vMerge/>
            <w:tcBorders>
              <w:top w:val="nil"/>
              <w:bottom w:val="single" w:sz="12" w:space="0" w:color="000000"/>
            </w:tcBorders>
            <w:shd w:val="clear" w:color="auto" w:fill="DDEBF6"/>
          </w:tcPr>
          <w:p>
            <w:pPr>
              <w:rPr>
                <w:sz w:val="2"/>
                <w:szCs w:val="2"/>
              </w:rPr>
            </w:pPr>
          </w:p>
        </w:tc>
        <w:tc>
          <w:tcPr>
            <w:tcW w:w="1376" w:type="dxa"/>
            <w:vMerge/>
            <w:tcBorders>
              <w:top w:val="nil"/>
              <w:bottom w:val="single" w:sz="12" w:space="0" w:color="000000"/>
            </w:tcBorders>
          </w:tcPr>
          <w:p>
            <w:pPr>
              <w:rPr>
                <w:sz w:val="2"/>
                <w:szCs w:val="2"/>
              </w:rPr>
            </w:pPr>
          </w:p>
        </w:tc>
        <w:tc>
          <w:tcPr>
            <w:tcW w:w="1234" w:type="dxa"/>
            <w:vMerge/>
            <w:tcBorders>
              <w:top w:val="nil"/>
              <w:bottom w:val="single" w:sz="12" w:space="0" w:color="000000"/>
            </w:tcBorders>
          </w:tcPr>
          <w:p>
            <w:pPr>
              <w:rPr>
                <w:sz w:val="2"/>
                <w:szCs w:val="2"/>
              </w:rPr>
            </w:pPr>
          </w:p>
        </w:tc>
        <w:tc>
          <w:tcPr>
            <w:tcW w:w="986" w:type="dxa"/>
            <w:vMerge/>
            <w:tcBorders>
              <w:top w:val="nil"/>
              <w:bottom w:val="single" w:sz="12" w:space="0" w:color="000000"/>
            </w:tcBorders>
          </w:tcPr>
          <w:p>
            <w:pPr>
              <w:rPr>
                <w:sz w:val="2"/>
                <w:szCs w:val="2"/>
              </w:rPr>
            </w:pPr>
          </w:p>
        </w:tc>
        <w:tc>
          <w:tcPr>
            <w:tcW w:w="827" w:type="dxa"/>
            <w:vMerge/>
            <w:tcBorders>
              <w:top w:val="nil"/>
              <w:bottom w:val="single" w:sz="12" w:space="0" w:color="000000"/>
              <w:right w:val="single" w:sz="12" w:space="0" w:color="000000"/>
            </w:tcBorders>
          </w:tcPr>
          <w:p>
            <w:pPr>
              <w:rPr>
                <w:sz w:val="2"/>
                <w:szCs w:val="2"/>
              </w:rPr>
            </w:pPr>
          </w:p>
        </w:tc>
      </w:tr>
      <w:tr>
        <w:trPr>
          <w:trHeight w:val="117" w:hRule="atLeast"/>
        </w:trPr>
        <w:tc>
          <w:tcPr>
            <w:tcW w:w="2807" w:type="dxa"/>
            <w:tcBorders>
              <w:left w:val="single" w:sz="12" w:space="0" w:color="000000"/>
            </w:tcBorders>
          </w:tcPr>
          <w:p>
            <w:pPr>
              <w:pStyle w:val="TableParagraph"/>
              <w:spacing w:line="97" w:lineRule="exact"/>
              <w:ind w:left="107"/>
              <w:rPr>
                <w:sz w:val="18"/>
              </w:rPr>
            </w:pPr>
            <w:r>
              <w:rPr>
                <w:sz w:val="18"/>
              </w:rPr>
              <w:t>(amount</w:t>
            </w:r>
            <w:r>
              <w:rPr>
                <w:spacing w:val="-1"/>
                <w:sz w:val="18"/>
              </w:rPr>
              <w:t> </w:t>
            </w:r>
            <w:r>
              <w:rPr>
                <w:sz w:val="18"/>
              </w:rPr>
              <w:t>of</w:t>
            </w:r>
            <w:r>
              <w:rPr>
                <w:spacing w:val="-3"/>
                <w:sz w:val="18"/>
              </w:rPr>
              <w:t> </w:t>
            </w:r>
            <w:r>
              <w:rPr>
                <w:sz w:val="18"/>
              </w:rPr>
              <w:t>waste</w:t>
            </w:r>
            <w:r>
              <w:rPr>
                <w:spacing w:val="-1"/>
                <w:sz w:val="18"/>
              </w:rPr>
              <w:t> </w:t>
            </w:r>
            <w:r>
              <w:rPr>
                <w:sz w:val="18"/>
              </w:rPr>
              <w:t>diverted </w:t>
            </w:r>
            <w:r>
              <w:rPr>
                <w:spacing w:val="-4"/>
                <w:sz w:val="18"/>
              </w:rPr>
              <w:t>from</w:t>
            </w:r>
          </w:p>
        </w:tc>
        <w:tc>
          <w:tcPr>
            <w:tcW w:w="3935" w:type="dxa"/>
          </w:tcPr>
          <w:p>
            <w:pPr>
              <w:pStyle w:val="TableParagraph"/>
              <w:rPr>
                <w:rFonts w:ascii="Times New Roman"/>
                <w:sz w:val="6"/>
              </w:rPr>
            </w:pPr>
          </w:p>
        </w:tc>
        <w:tc>
          <w:tcPr>
            <w:tcW w:w="581" w:type="dxa"/>
          </w:tcPr>
          <w:p>
            <w:pPr>
              <w:pStyle w:val="TableParagraph"/>
              <w:spacing w:line="97" w:lineRule="exact"/>
              <w:ind w:left="220"/>
              <w:rPr>
                <w:sz w:val="18"/>
              </w:rPr>
            </w:pPr>
            <w:r>
              <w:rPr>
                <w:sz w:val="18"/>
              </w:rPr>
              <w:t>4</w:t>
            </w:r>
          </w:p>
        </w:tc>
        <w:tc>
          <w:tcPr>
            <w:tcW w:w="1234" w:type="dxa"/>
          </w:tcPr>
          <w:p>
            <w:pPr>
              <w:pStyle w:val="TableParagraph"/>
              <w:spacing w:line="97" w:lineRule="exact"/>
              <w:ind w:right="229"/>
              <w:jc w:val="right"/>
              <w:rPr>
                <w:sz w:val="18"/>
              </w:rPr>
            </w:pPr>
            <w:r>
              <w:rPr>
                <w:spacing w:val="-2"/>
                <w:sz w:val="18"/>
              </w:rPr>
              <w:t>59.30%</w:t>
            </w:r>
          </w:p>
        </w:tc>
        <w:tc>
          <w:tcPr>
            <w:tcW w:w="1222" w:type="dxa"/>
          </w:tcPr>
          <w:p>
            <w:pPr>
              <w:pStyle w:val="TableParagraph"/>
              <w:spacing w:line="97" w:lineRule="exact"/>
              <w:ind w:left="431"/>
              <w:rPr>
                <w:sz w:val="18"/>
              </w:rPr>
            </w:pPr>
            <w:r>
              <w:rPr>
                <w:spacing w:val="-2"/>
                <w:sz w:val="18"/>
              </w:rPr>
              <w:t>59.50%</w:t>
            </w:r>
          </w:p>
        </w:tc>
        <w:tc>
          <w:tcPr>
            <w:tcW w:w="1277" w:type="dxa"/>
            <w:vMerge/>
            <w:tcBorders>
              <w:top w:val="nil"/>
              <w:bottom w:val="single" w:sz="12" w:space="0" w:color="000000"/>
            </w:tcBorders>
            <w:shd w:val="clear" w:color="auto" w:fill="DDEBF6"/>
          </w:tcPr>
          <w:p>
            <w:pPr>
              <w:rPr>
                <w:sz w:val="2"/>
                <w:szCs w:val="2"/>
              </w:rPr>
            </w:pPr>
          </w:p>
        </w:tc>
        <w:tc>
          <w:tcPr>
            <w:tcW w:w="1376" w:type="dxa"/>
            <w:vMerge/>
            <w:tcBorders>
              <w:top w:val="nil"/>
              <w:bottom w:val="single" w:sz="12" w:space="0" w:color="000000"/>
            </w:tcBorders>
          </w:tcPr>
          <w:p>
            <w:pPr>
              <w:rPr>
                <w:sz w:val="2"/>
                <w:szCs w:val="2"/>
              </w:rPr>
            </w:pPr>
          </w:p>
        </w:tc>
        <w:tc>
          <w:tcPr>
            <w:tcW w:w="1234" w:type="dxa"/>
            <w:vMerge/>
            <w:tcBorders>
              <w:top w:val="nil"/>
              <w:bottom w:val="single" w:sz="12" w:space="0" w:color="000000"/>
            </w:tcBorders>
          </w:tcPr>
          <w:p>
            <w:pPr>
              <w:rPr>
                <w:sz w:val="2"/>
                <w:szCs w:val="2"/>
              </w:rPr>
            </w:pPr>
          </w:p>
        </w:tc>
        <w:tc>
          <w:tcPr>
            <w:tcW w:w="986" w:type="dxa"/>
            <w:vMerge/>
            <w:tcBorders>
              <w:top w:val="nil"/>
              <w:bottom w:val="single" w:sz="12" w:space="0" w:color="000000"/>
            </w:tcBorders>
          </w:tcPr>
          <w:p>
            <w:pPr>
              <w:rPr>
                <w:sz w:val="2"/>
                <w:szCs w:val="2"/>
              </w:rPr>
            </w:pPr>
          </w:p>
        </w:tc>
        <w:tc>
          <w:tcPr>
            <w:tcW w:w="827" w:type="dxa"/>
            <w:vMerge/>
            <w:tcBorders>
              <w:top w:val="nil"/>
              <w:bottom w:val="single" w:sz="12" w:space="0" w:color="000000"/>
              <w:right w:val="single" w:sz="12" w:space="0" w:color="000000"/>
            </w:tcBorders>
          </w:tcPr>
          <w:p>
            <w:pPr>
              <w:rPr>
                <w:sz w:val="2"/>
                <w:szCs w:val="2"/>
              </w:rPr>
            </w:pPr>
          </w:p>
        </w:tc>
      </w:tr>
      <w:tr>
        <w:trPr>
          <w:trHeight w:val="133" w:hRule="atLeast"/>
        </w:trPr>
        <w:tc>
          <w:tcPr>
            <w:tcW w:w="2807" w:type="dxa"/>
            <w:tcBorders>
              <w:left w:val="single" w:sz="12" w:space="0" w:color="000000"/>
            </w:tcBorders>
          </w:tcPr>
          <w:p>
            <w:pPr>
              <w:pStyle w:val="TableParagraph"/>
              <w:spacing w:line="71" w:lineRule="exact" w:before="42"/>
              <w:ind w:left="107"/>
              <w:rPr>
                <w:sz w:val="18"/>
              </w:rPr>
            </w:pPr>
            <w:r>
              <w:rPr>
                <w:sz w:val="18"/>
              </w:rPr>
              <w:t>landfill</w:t>
            </w:r>
            <w:r>
              <w:rPr>
                <w:spacing w:val="-3"/>
                <w:sz w:val="18"/>
              </w:rPr>
              <w:t> </w:t>
            </w:r>
            <w:r>
              <w:rPr>
                <w:sz w:val="18"/>
              </w:rPr>
              <w:t>is </w:t>
            </w:r>
            <w:r>
              <w:rPr>
                <w:spacing w:val="-2"/>
                <w:sz w:val="18"/>
              </w:rPr>
              <w:t>maximised)</w:t>
            </w:r>
          </w:p>
        </w:tc>
        <w:tc>
          <w:tcPr>
            <w:tcW w:w="3935" w:type="dxa"/>
          </w:tcPr>
          <w:p>
            <w:pPr>
              <w:pStyle w:val="TableParagraph"/>
              <w:spacing w:line="113" w:lineRule="exact"/>
              <w:ind w:left="128"/>
              <w:rPr>
                <w:sz w:val="18"/>
              </w:rPr>
            </w:pPr>
            <w:r>
              <w:rPr>
                <w:sz w:val="18"/>
              </w:rPr>
              <w:t>collected from</w:t>
            </w:r>
            <w:r>
              <w:rPr>
                <w:spacing w:val="-2"/>
                <w:sz w:val="18"/>
              </w:rPr>
              <w:t> </w:t>
            </w:r>
            <w:r>
              <w:rPr>
                <w:sz w:val="18"/>
              </w:rPr>
              <w:t>kerbside</w:t>
            </w:r>
            <w:r>
              <w:rPr>
                <w:spacing w:val="-2"/>
                <w:sz w:val="18"/>
              </w:rPr>
              <w:t> </w:t>
            </w:r>
            <w:r>
              <w:rPr>
                <w:sz w:val="18"/>
              </w:rPr>
              <w:t>bins</w:t>
            </w:r>
            <w:r>
              <w:rPr>
                <w:spacing w:val="-3"/>
                <w:sz w:val="18"/>
              </w:rPr>
              <w:t> </w:t>
            </w:r>
            <w:r>
              <w:rPr>
                <w:sz w:val="18"/>
              </w:rPr>
              <w:t>/</w:t>
            </w:r>
            <w:r>
              <w:rPr>
                <w:spacing w:val="-3"/>
                <w:sz w:val="18"/>
              </w:rPr>
              <w:t> </w:t>
            </w:r>
            <w:r>
              <w:rPr>
                <w:sz w:val="18"/>
              </w:rPr>
              <w:t>Weight</w:t>
            </w:r>
            <w:r>
              <w:rPr>
                <w:spacing w:val="-1"/>
                <w:sz w:val="18"/>
              </w:rPr>
              <w:t> </w:t>
            </w:r>
            <w:r>
              <w:rPr>
                <w:spacing w:val="-5"/>
                <w:sz w:val="18"/>
              </w:rPr>
              <w:t>of</w:t>
            </w:r>
          </w:p>
        </w:tc>
        <w:tc>
          <w:tcPr>
            <w:tcW w:w="581" w:type="dxa"/>
          </w:tcPr>
          <w:p>
            <w:pPr>
              <w:pStyle w:val="TableParagraph"/>
              <w:rPr>
                <w:rFonts w:ascii="Times New Roman"/>
                <w:sz w:val="8"/>
              </w:rPr>
            </w:pPr>
          </w:p>
        </w:tc>
        <w:tc>
          <w:tcPr>
            <w:tcW w:w="1234" w:type="dxa"/>
          </w:tcPr>
          <w:p>
            <w:pPr>
              <w:pStyle w:val="TableParagraph"/>
              <w:rPr>
                <w:rFonts w:ascii="Times New Roman"/>
                <w:sz w:val="8"/>
              </w:rPr>
            </w:pPr>
          </w:p>
        </w:tc>
        <w:tc>
          <w:tcPr>
            <w:tcW w:w="1222" w:type="dxa"/>
          </w:tcPr>
          <w:p>
            <w:pPr>
              <w:pStyle w:val="TableParagraph"/>
              <w:rPr>
                <w:rFonts w:ascii="Times New Roman"/>
                <w:sz w:val="8"/>
              </w:rPr>
            </w:pPr>
          </w:p>
        </w:tc>
        <w:tc>
          <w:tcPr>
            <w:tcW w:w="1277" w:type="dxa"/>
            <w:vMerge/>
            <w:tcBorders>
              <w:top w:val="nil"/>
              <w:bottom w:val="single" w:sz="12" w:space="0" w:color="000000"/>
            </w:tcBorders>
            <w:shd w:val="clear" w:color="auto" w:fill="DDEBF6"/>
          </w:tcPr>
          <w:p>
            <w:pPr>
              <w:rPr>
                <w:sz w:val="2"/>
                <w:szCs w:val="2"/>
              </w:rPr>
            </w:pPr>
          </w:p>
        </w:tc>
        <w:tc>
          <w:tcPr>
            <w:tcW w:w="1376" w:type="dxa"/>
            <w:vMerge/>
            <w:tcBorders>
              <w:top w:val="nil"/>
              <w:bottom w:val="single" w:sz="12" w:space="0" w:color="000000"/>
            </w:tcBorders>
          </w:tcPr>
          <w:p>
            <w:pPr>
              <w:rPr>
                <w:sz w:val="2"/>
                <w:szCs w:val="2"/>
              </w:rPr>
            </w:pPr>
          </w:p>
        </w:tc>
        <w:tc>
          <w:tcPr>
            <w:tcW w:w="1234" w:type="dxa"/>
            <w:vMerge/>
            <w:tcBorders>
              <w:top w:val="nil"/>
              <w:bottom w:val="single" w:sz="12" w:space="0" w:color="000000"/>
            </w:tcBorders>
          </w:tcPr>
          <w:p>
            <w:pPr>
              <w:rPr>
                <w:sz w:val="2"/>
                <w:szCs w:val="2"/>
              </w:rPr>
            </w:pPr>
          </w:p>
        </w:tc>
        <w:tc>
          <w:tcPr>
            <w:tcW w:w="986" w:type="dxa"/>
            <w:vMerge/>
            <w:tcBorders>
              <w:top w:val="nil"/>
              <w:bottom w:val="single" w:sz="12" w:space="0" w:color="000000"/>
            </w:tcBorders>
          </w:tcPr>
          <w:p>
            <w:pPr>
              <w:rPr>
                <w:sz w:val="2"/>
                <w:szCs w:val="2"/>
              </w:rPr>
            </w:pPr>
          </w:p>
        </w:tc>
        <w:tc>
          <w:tcPr>
            <w:tcW w:w="827" w:type="dxa"/>
            <w:vMerge/>
            <w:tcBorders>
              <w:top w:val="nil"/>
              <w:bottom w:val="single" w:sz="12" w:space="0" w:color="000000"/>
              <w:right w:val="single" w:sz="12" w:space="0" w:color="000000"/>
            </w:tcBorders>
          </w:tcPr>
          <w:p>
            <w:pPr>
              <w:rPr>
                <w:sz w:val="2"/>
                <w:szCs w:val="2"/>
              </w:rPr>
            </w:pPr>
          </w:p>
        </w:tc>
      </w:tr>
      <w:tr>
        <w:trPr>
          <w:trHeight w:val="176" w:hRule="atLeast"/>
        </w:trPr>
        <w:tc>
          <w:tcPr>
            <w:tcW w:w="2807" w:type="dxa"/>
            <w:tcBorders>
              <w:left w:val="single" w:sz="12" w:space="0" w:color="000000"/>
            </w:tcBorders>
          </w:tcPr>
          <w:p>
            <w:pPr>
              <w:pStyle w:val="TableParagraph"/>
              <w:rPr>
                <w:rFonts w:ascii="Times New Roman"/>
                <w:sz w:val="10"/>
              </w:rPr>
            </w:pPr>
          </w:p>
        </w:tc>
        <w:tc>
          <w:tcPr>
            <w:tcW w:w="3935" w:type="dxa"/>
          </w:tcPr>
          <w:p>
            <w:pPr>
              <w:pStyle w:val="TableParagraph"/>
              <w:spacing w:line="156" w:lineRule="exact"/>
              <w:ind w:left="128"/>
              <w:rPr>
                <w:sz w:val="18"/>
              </w:rPr>
            </w:pPr>
            <w:r>
              <w:rPr>
                <w:sz w:val="18"/>
              </w:rPr>
              <w:t>garbage,</w:t>
            </w:r>
            <w:r>
              <w:rPr>
                <w:spacing w:val="-1"/>
                <w:sz w:val="18"/>
              </w:rPr>
              <w:t> </w:t>
            </w:r>
            <w:r>
              <w:rPr>
                <w:sz w:val="18"/>
              </w:rPr>
              <w:t>recyclables</w:t>
            </w:r>
            <w:r>
              <w:rPr>
                <w:spacing w:val="-2"/>
                <w:sz w:val="18"/>
              </w:rPr>
              <w:t> </w:t>
            </w:r>
            <w:r>
              <w:rPr>
                <w:sz w:val="18"/>
              </w:rPr>
              <w:t>and</w:t>
            </w:r>
            <w:r>
              <w:rPr>
                <w:spacing w:val="-2"/>
                <w:sz w:val="18"/>
              </w:rPr>
              <w:t> </w:t>
            </w:r>
            <w:r>
              <w:rPr>
                <w:sz w:val="18"/>
              </w:rPr>
              <w:t>green</w:t>
            </w:r>
            <w:r>
              <w:rPr>
                <w:spacing w:val="-2"/>
                <w:sz w:val="18"/>
              </w:rPr>
              <w:t> organics</w:t>
            </w:r>
          </w:p>
        </w:tc>
        <w:tc>
          <w:tcPr>
            <w:tcW w:w="581" w:type="dxa"/>
          </w:tcPr>
          <w:p>
            <w:pPr>
              <w:pStyle w:val="TableParagraph"/>
              <w:rPr>
                <w:rFonts w:ascii="Times New Roman"/>
                <w:sz w:val="10"/>
              </w:rPr>
            </w:pPr>
          </w:p>
        </w:tc>
        <w:tc>
          <w:tcPr>
            <w:tcW w:w="1234" w:type="dxa"/>
          </w:tcPr>
          <w:p>
            <w:pPr>
              <w:pStyle w:val="TableParagraph"/>
              <w:rPr>
                <w:rFonts w:ascii="Times New Roman"/>
                <w:sz w:val="10"/>
              </w:rPr>
            </w:pPr>
          </w:p>
        </w:tc>
        <w:tc>
          <w:tcPr>
            <w:tcW w:w="1222" w:type="dxa"/>
          </w:tcPr>
          <w:p>
            <w:pPr>
              <w:pStyle w:val="TableParagraph"/>
              <w:rPr>
                <w:rFonts w:ascii="Times New Roman"/>
                <w:sz w:val="10"/>
              </w:rPr>
            </w:pPr>
          </w:p>
        </w:tc>
        <w:tc>
          <w:tcPr>
            <w:tcW w:w="1277" w:type="dxa"/>
            <w:vMerge/>
            <w:tcBorders>
              <w:top w:val="nil"/>
              <w:bottom w:val="single" w:sz="12" w:space="0" w:color="000000"/>
            </w:tcBorders>
            <w:shd w:val="clear" w:color="auto" w:fill="DDEBF6"/>
          </w:tcPr>
          <w:p>
            <w:pPr>
              <w:rPr>
                <w:sz w:val="2"/>
                <w:szCs w:val="2"/>
              </w:rPr>
            </w:pPr>
          </w:p>
        </w:tc>
        <w:tc>
          <w:tcPr>
            <w:tcW w:w="1376" w:type="dxa"/>
            <w:vMerge/>
            <w:tcBorders>
              <w:top w:val="nil"/>
              <w:bottom w:val="single" w:sz="12" w:space="0" w:color="000000"/>
            </w:tcBorders>
          </w:tcPr>
          <w:p>
            <w:pPr>
              <w:rPr>
                <w:sz w:val="2"/>
                <w:szCs w:val="2"/>
              </w:rPr>
            </w:pPr>
          </w:p>
        </w:tc>
        <w:tc>
          <w:tcPr>
            <w:tcW w:w="1234" w:type="dxa"/>
            <w:vMerge/>
            <w:tcBorders>
              <w:top w:val="nil"/>
              <w:bottom w:val="single" w:sz="12" w:space="0" w:color="000000"/>
            </w:tcBorders>
          </w:tcPr>
          <w:p>
            <w:pPr>
              <w:rPr>
                <w:sz w:val="2"/>
                <w:szCs w:val="2"/>
              </w:rPr>
            </w:pPr>
          </w:p>
        </w:tc>
        <w:tc>
          <w:tcPr>
            <w:tcW w:w="986" w:type="dxa"/>
            <w:vMerge/>
            <w:tcBorders>
              <w:top w:val="nil"/>
              <w:bottom w:val="single" w:sz="12" w:space="0" w:color="000000"/>
            </w:tcBorders>
          </w:tcPr>
          <w:p>
            <w:pPr>
              <w:rPr>
                <w:sz w:val="2"/>
                <w:szCs w:val="2"/>
              </w:rPr>
            </w:pPr>
          </w:p>
        </w:tc>
        <w:tc>
          <w:tcPr>
            <w:tcW w:w="827" w:type="dxa"/>
            <w:vMerge/>
            <w:tcBorders>
              <w:top w:val="nil"/>
              <w:bottom w:val="single" w:sz="12" w:space="0" w:color="000000"/>
              <w:right w:val="single" w:sz="12" w:space="0" w:color="000000"/>
            </w:tcBorders>
          </w:tcPr>
          <w:p>
            <w:pPr>
              <w:rPr>
                <w:sz w:val="2"/>
                <w:szCs w:val="2"/>
              </w:rPr>
            </w:pPr>
          </w:p>
        </w:tc>
      </w:tr>
      <w:tr>
        <w:trPr>
          <w:trHeight w:val="190" w:hRule="atLeast"/>
        </w:trPr>
        <w:tc>
          <w:tcPr>
            <w:tcW w:w="2807" w:type="dxa"/>
            <w:tcBorders>
              <w:left w:val="single" w:sz="12" w:space="0" w:color="000000"/>
              <w:bottom w:val="single" w:sz="12" w:space="0" w:color="000000"/>
            </w:tcBorders>
          </w:tcPr>
          <w:p>
            <w:pPr>
              <w:pStyle w:val="TableParagraph"/>
              <w:rPr>
                <w:rFonts w:ascii="Times New Roman"/>
                <w:sz w:val="12"/>
              </w:rPr>
            </w:pPr>
          </w:p>
        </w:tc>
        <w:tc>
          <w:tcPr>
            <w:tcW w:w="3935" w:type="dxa"/>
            <w:tcBorders>
              <w:bottom w:val="single" w:sz="12" w:space="0" w:color="000000"/>
            </w:tcBorders>
          </w:tcPr>
          <w:p>
            <w:pPr>
              <w:pStyle w:val="TableParagraph"/>
              <w:spacing w:line="171" w:lineRule="exact"/>
              <w:ind w:left="128"/>
              <w:rPr>
                <w:sz w:val="18"/>
              </w:rPr>
            </w:pPr>
            <w:r>
              <w:rPr>
                <w:sz w:val="18"/>
              </w:rPr>
              <w:t>collected</w:t>
            </w:r>
            <w:r>
              <w:rPr>
                <w:spacing w:val="-3"/>
                <w:sz w:val="18"/>
              </w:rPr>
              <w:t> </w:t>
            </w:r>
            <w:r>
              <w:rPr>
                <w:sz w:val="18"/>
              </w:rPr>
              <w:t>from</w:t>
            </w:r>
            <w:r>
              <w:rPr>
                <w:spacing w:val="-3"/>
                <w:sz w:val="18"/>
              </w:rPr>
              <w:t> </w:t>
            </w:r>
            <w:r>
              <w:rPr>
                <w:sz w:val="18"/>
              </w:rPr>
              <w:t>kerbside</w:t>
            </w:r>
            <w:r>
              <w:rPr>
                <w:spacing w:val="-2"/>
                <w:sz w:val="18"/>
              </w:rPr>
              <w:t> </w:t>
            </w:r>
            <w:r>
              <w:rPr>
                <w:spacing w:val="-4"/>
                <w:sz w:val="18"/>
              </w:rPr>
              <w:t>bins</w:t>
            </w:r>
          </w:p>
        </w:tc>
        <w:tc>
          <w:tcPr>
            <w:tcW w:w="581" w:type="dxa"/>
            <w:tcBorders>
              <w:bottom w:val="single" w:sz="12" w:space="0" w:color="000000"/>
            </w:tcBorders>
          </w:tcPr>
          <w:p>
            <w:pPr>
              <w:pStyle w:val="TableParagraph"/>
              <w:rPr>
                <w:rFonts w:ascii="Times New Roman"/>
                <w:sz w:val="12"/>
              </w:rPr>
            </w:pPr>
          </w:p>
        </w:tc>
        <w:tc>
          <w:tcPr>
            <w:tcW w:w="1234" w:type="dxa"/>
            <w:tcBorders>
              <w:bottom w:val="single" w:sz="12" w:space="0" w:color="000000"/>
            </w:tcBorders>
          </w:tcPr>
          <w:p>
            <w:pPr>
              <w:pStyle w:val="TableParagraph"/>
              <w:rPr>
                <w:rFonts w:ascii="Times New Roman"/>
                <w:sz w:val="12"/>
              </w:rPr>
            </w:pPr>
          </w:p>
        </w:tc>
        <w:tc>
          <w:tcPr>
            <w:tcW w:w="1222" w:type="dxa"/>
            <w:tcBorders>
              <w:bottom w:val="single" w:sz="12" w:space="0" w:color="000000"/>
            </w:tcBorders>
          </w:tcPr>
          <w:p>
            <w:pPr>
              <w:pStyle w:val="TableParagraph"/>
              <w:rPr>
                <w:rFonts w:ascii="Times New Roman"/>
                <w:sz w:val="12"/>
              </w:rPr>
            </w:pPr>
          </w:p>
        </w:tc>
        <w:tc>
          <w:tcPr>
            <w:tcW w:w="1277" w:type="dxa"/>
            <w:vMerge/>
            <w:tcBorders>
              <w:top w:val="nil"/>
              <w:bottom w:val="single" w:sz="12" w:space="0" w:color="000000"/>
            </w:tcBorders>
            <w:shd w:val="clear" w:color="auto" w:fill="DDEBF6"/>
          </w:tcPr>
          <w:p>
            <w:pPr>
              <w:rPr>
                <w:sz w:val="2"/>
                <w:szCs w:val="2"/>
              </w:rPr>
            </w:pPr>
          </w:p>
        </w:tc>
        <w:tc>
          <w:tcPr>
            <w:tcW w:w="1376" w:type="dxa"/>
            <w:vMerge/>
            <w:tcBorders>
              <w:top w:val="nil"/>
              <w:bottom w:val="single" w:sz="12" w:space="0" w:color="000000"/>
            </w:tcBorders>
          </w:tcPr>
          <w:p>
            <w:pPr>
              <w:rPr>
                <w:sz w:val="2"/>
                <w:szCs w:val="2"/>
              </w:rPr>
            </w:pPr>
          </w:p>
        </w:tc>
        <w:tc>
          <w:tcPr>
            <w:tcW w:w="1234" w:type="dxa"/>
            <w:vMerge/>
            <w:tcBorders>
              <w:top w:val="nil"/>
              <w:bottom w:val="single" w:sz="12" w:space="0" w:color="000000"/>
            </w:tcBorders>
          </w:tcPr>
          <w:p>
            <w:pPr>
              <w:rPr>
                <w:sz w:val="2"/>
                <w:szCs w:val="2"/>
              </w:rPr>
            </w:pPr>
          </w:p>
        </w:tc>
        <w:tc>
          <w:tcPr>
            <w:tcW w:w="986" w:type="dxa"/>
            <w:vMerge/>
            <w:tcBorders>
              <w:top w:val="nil"/>
              <w:bottom w:val="single" w:sz="12" w:space="0" w:color="000000"/>
            </w:tcBorders>
          </w:tcPr>
          <w:p>
            <w:pPr>
              <w:rPr>
                <w:sz w:val="2"/>
                <w:szCs w:val="2"/>
              </w:rPr>
            </w:pPr>
          </w:p>
        </w:tc>
        <w:tc>
          <w:tcPr>
            <w:tcW w:w="827" w:type="dxa"/>
            <w:vMerge/>
            <w:tcBorders>
              <w:top w:val="nil"/>
              <w:bottom w:val="single" w:sz="12" w:space="0" w:color="000000"/>
              <w:right w:val="single" w:sz="12" w:space="0" w:color="000000"/>
            </w:tcBorders>
          </w:tcPr>
          <w:p>
            <w:pPr>
              <w:rPr>
                <w:sz w:val="2"/>
                <w:szCs w:val="2"/>
              </w:rPr>
            </w:pPr>
          </w:p>
        </w:tc>
      </w:tr>
    </w:tbl>
    <w:p>
      <w:pPr>
        <w:spacing w:after="0"/>
        <w:rPr>
          <w:sz w:val="2"/>
          <w:szCs w:val="2"/>
        </w:rPr>
        <w:sectPr>
          <w:pgSz w:w="16840" w:h="11910" w:orient="landscape"/>
          <w:pgMar w:header="0" w:footer="375" w:top="500" w:bottom="560" w:left="600" w:right="120"/>
        </w:sectPr>
      </w:pPr>
    </w:p>
    <w:p>
      <w:pPr>
        <w:spacing w:before="80"/>
        <w:ind w:left="120" w:right="0" w:firstLine="0"/>
        <w:jc w:val="left"/>
        <w:rPr>
          <w:b/>
          <w:sz w:val="22"/>
        </w:rPr>
      </w:pPr>
      <w:r>
        <w:rPr/>
        <w:pict>
          <v:shape style="position:absolute;margin-left:358.893616pt;margin-top:37.082558pt;width:12.1pt;height:27.1pt;mso-position-horizontal-relative:page;mso-position-vertical-relative:paragraph;z-index:-37819904" type="#_x0000_t202" id="docshape707" filled="false" stroked="false">
            <v:textbox inset="0,0,0,0" style="layout-flow:vertical;mso-layout-flow-alt:bottom-to-top">
              <w:txbxContent>
                <w:p>
                  <w:pPr>
                    <w:spacing w:before="14"/>
                    <w:ind w:left="20" w:right="0" w:firstLine="0"/>
                    <w:jc w:val="left"/>
                    <w:rPr>
                      <w:b/>
                      <w:sz w:val="18"/>
                    </w:rPr>
                  </w:pPr>
                  <w:r>
                    <w:rPr>
                      <w:b/>
                      <w:color w:val="FFFFFF"/>
                      <w:spacing w:val="-2"/>
                      <w:sz w:val="18"/>
                    </w:rPr>
                    <w:t>Notes</w:t>
                  </w:r>
                </w:p>
              </w:txbxContent>
            </v:textbox>
            <w10:wrap type="none"/>
          </v:shape>
        </w:pict>
      </w:r>
      <w:r>
        <w:rPr>
          <w:b/>
          <w:sz w:val="22"/>
        </w:rPr>
        <w:t>Targeted</w:t>
      </w:r>
      <w:r>
        <w:rPr>
          <w:b/>
          <w:spacing w:val="-4"/>
          <w:sz w:val="22"/>
        </w:rPr>
        <w:t> </w:t>
      </w:r>
      <w:r>
        <w:rPr>
          <w:b/>
          <w:sz w:val="22"/>
        </w:rPr>
        <w:t>performance</w:t>
      </w:r>
      <w:r>
        <w:rPr>
          <w:b/>
          <w:spacing w:val="-5"/>
          <w:sz w:val="22"/>
        </w:rPr>
        <w:t> </w:t>
      </w:r>
      <w:r>
        <w:rPr>
          <w:b/>
          <w:sz w:val="22"/>
        </w:rPr>
        <w:t>indicators</w:t>
      </w:r>
      <w:r>
        <w:rPr>
          <w:b/>
          <w:spacing w:val="-6"/>
          <w:sz w:val="22"/>
        </w:rPr>
        <w:t> </w:t>
      </w:r>
      <w:r>
        <w:rPr>
          <w:b/>
          <w:sz w:val="22"/>
        </w:rPr>
        <w:t>-</w:t>
      </w:r>
      <w:r>
        <w:rPr>
          <w:b/>
          <w:spacing w:val="-3"/>
          <w:sz w:val="22"/>
        </w:rPr>
        <w:t> </w:t>
      </w:r>
      <w:r>
        <w:rPr>
          <w:b/>
          <w:spacing w:val="-2"/>
          <w:sz w:val="22"/>
        </w:rPr>
        <w:t>Financial</w:t>
      </w:r>
    </w:p>
    <w:p>
      <w:pPr>
        <w:pStyle w:val="BodyText"/>
        <w:rPr>
          <w:b/>
        </w:r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35"/>
        <w:gridCol w:w="1255"/>
        <w:gridCol w:w="4687"/>
      </w:tblGrid>
      <w:tr>
        <w:trPr>
          <w:trHeight w:val="782" w:hRule="atLeast"/>
        </w:trPr>
        <w:tc>
          <w:tcPr>
            <w:tcW w:w="15477" w:type="dxa"/>
            <w:gridSpan w:val="3"/>
            <w:tcBorders>
              <w:top w:val="single" w:sz="18" w:space="0" w:color="000000"/>
              <w:left w:val="single" w:sz="12" w:space="0" w:color="000000"/>
              <w:right w:val="single" w:sz="12" w:space="0" w:color="000000"/>
            </w:tcBorders>
            <w:shd w:val="clear" w:color="auto" w:fill="5B9AD4"/>
          </w:tcPr>
          <w:p>
            <w:pPr>
              <w:pStyle w:val="TableParagraph"/>
              <w:tabs>
                <w:tab w:pos="8468" w:val="left" w:leader="none"/>
                <w:tab w:pos="9884" w:val="left" w:leader="none"/>
                <w:tab w:pos="11908" w:val="left" w:leader="none"/>
                <w:tab w:pos="14795" w:val="left" w:leader="none"/>
              </w:tabs>
              <w:spacing w:line="171" w:lineRule="exact" w:before="148"/>
              <w:ind w:left="7245"/>
              <w:rPr>
                <w:b/>
                <w:sz w:val="18"/>
              </w:rPr>
            </w:pPr>
            <w:r>
              <w:rPr>
                <w:b/>
                <w:color w:val="FFFFFF"/>
                <w:spacing w:val="-2"/>
                <w:sz w:val="18"/>
              </w:rPr>
              <w:t>Actual</w:t>
            </w:r>
            <w:r>
              <w:rPr>
                <w:b/>
                <w:color w:val="FFFFFF"/>
                <w:sz w:val="18"/>
              </w:rPr>
              <w:tab/>
            </w:r>
            <w:r>
              <w:rPr>
                <w:b/>
                <w:color w:val="FFFFFF"/>
                <w:spacing w:val="-2"/>
                <w:sz w:val="18"/>
              </w:rPr>
              <w:t>Forecast</w:t>
            </w:r>
            <w:r>
              <w:rPr>
                <w:b/>
                <w:color w:val="FFFFFF"/>
                <w:sz w:val="18"/>
              </w:rPr>
              <w:tab/>
            </w:r>
            <w:r>
              <w:rPr>
                <w:b/>
                <w:color w:val="FFFFFF"/>
                <w:spacing w:val="-2"/>
                <w:sz w:val="18"/>
              </w:rPr>
              <w:t>Target</w:t>
            </w:r>
            <w:r>
              <w:rPr>
                <w:b/>
                <w:color w:val="FFFFFF"/>
                <w:sz w:val="18"/>
              </w:rPr>
              <w:tab/>
              <w:t>Target</w:t>
            </w:r>
            <w:r>
              <w:rPr>
                <w:b/>
                <w:color w:val="FFFFFF"/>
                <w:spacing w:val="-1"/>
                <w:sz w:val="18"/>
              </w:rPr>
              <w:t> </w:t>
            </w:r>
            <w:r>
              <w:rPr>
                <w:b/>
                <w:color w:val="FFFFFF"/>
                <w:spacing w:val="-2"/>
                <w:sz w:val="18"/>
              </w:rPr>
              <w:t>Projections</w:t>
            </w:r>
            <w:r>
              <w:rPr>
                <w:b/>
                <w:color w:val="FFFFFF"/>
                <w:sz w:val="18"/>
              </w:rPr>
              <w:tab/>
            </w:r>
            <w:r>
              <w:rPr>
                <w:b/>
                <w:color w:val="FFFFFF"/>
                <w:spacing w:val="-2"/>
                <w:sz w:val="18"/>
              </w:rPr>
              <w:t>Trend</w:t>
            </w:r>
          </w:p>
          <w:p>
            <w:pPr>
              <w:pStyle w:val="TableParagraph"/>
              <w:tabs>
                <w:tab w:pos="4028" w:val="left" w:leader="none"/>
              </w:tabs>
              <w:spacing w:line="171" w:lineRule="exact"/>
              <w:ind w:left="918"/>
              <w:rPr>
                <w:b/>
                <w:sz w:val="18"/>
              </w:rPr>
            </w:pPr>
            <w:r>
              <w:rPr>
                <w:b/>
                <w:color w:val="FFFFFF"/>
                <w:spacing w:val="-2"/>
                <w:sz w:val="18"/>
              </w:rPr>
              <w:t>Indicator</w:t>
            </w:r>
            <w:r>
              <w:rPr>
                <w:b/>
                <w:color w:val="FFFFFF"/>
                <w:sz w:val="18"/>
              </w:rPr>
              <w:tab/>
            </w:r>
            <w:r>
              <w:rPr>
                <w:b/>
                <w:color w:val="FFFFFF"/>
                <w:spacing w:val="-2"/>
                <w:sz w:val="18"/>
              </w:rPr>
              <w:t>Measure</w:t>
            </w:r>
          </w:p>
          <w:p>
            <w:pPr>
              <w:pStyle w:val="TableParagraph"/>
              <w:tabs>
                <w:tab w:pos="8519" w:val="left" w:leader="none"/>
                <w:tab w:pos="9836" w:val="left" w:leader="none"/>
                <w:tab w:pos="11118" w:val="left" w:leader="none"/>
                <w:tab w:pos="12400" w:val="left" w:leader="none"/>
                <w:tab w:pos="13655" w:val="left" w:leader="none"/>
                <w:tab w:pos="14857" w:val="left" w:leader="none"/>
              </w:tabs>
              <w:spacing w:before="52"/>
              <w:ind w:left="7194"/>
              <w:rPr>
                <w:b/>
                <w:sz w:val="18"/>
              </w:rPr>
            </w:pPr>
            <w:r>
              <w:rPr>
                <w:b/>
                <w:color w:val="FFFFFF"/>
                <w:spacing w:val="-2"/>
                <w:sz w:val="18"/>
              </w:rPr>
              <w:t>2023/24</w:t>
            </w:r>
            <w:r>
              <w:rPr>
                <w:b/>
                <w:color w:val="FFFFFF"/>
                <w:sz w:val="18"/>
              </w:rPr>
              <w:tab/>
            </w:r>
            <w:r>
              <w:rPr>
                <w:b/>
                <w:color w:val="FFFFFF"/>
                <w:spacing w:val="-2"/>
                <w:sz w:val="18"/>
              </w:rPr>
              <w:t>2024/25</w:t>
            </w:r>
            <w:r>
              <w:rPr>
                <w:b/>
                <w:color w:val="FFFFFF"/>
                <w:sz w:val="18"/>
              </w:rPr>
              <w:tab/>
            </w:r>
            <w:r>
              <w:rPr>
                <w:b/>
                <w:color w:val="FFFFFF"/>
                <w:spacing w:val="-2"/>
                <w:sz w:val="18"/>
              </w:rPr>
              <w:t>2025/26</w:t>
            </w:r>
            <w:r>
              <w:rPr>
                <w:b/>
                <w:color w:val="FFFFFF"/>
                <w:sz w:val="18"/>
              </w:rPr>
              <w:tab/>
            </w:r>
            <w:r>
              <w:rPr>
                <w:b/>
                <w:color w:val="FFFFFF"/>
                <w:spacing w:val="-2"/>
                <w:sz w:val="18"/>
              </w:rPr>
              <w:t>2026/27</w:t>
            </w:r>
            <w:r>
              <w:rPr>
                <w:b/>
                <w:color w:val="FFFFFF"/>
                <w:sz w:val="18"/>
              </w:rPr>
              <w:tab/>
            </w:r>
            <w:r>
              <w:rPr>
                <w:b/>
                <w:color w:val="FFFFFF"/>
                <w:spacing w:val="-2"/>
                <w:sz w:val="18"/>
              </w:rPr>
              <w:t>2027/28</w:t>
            </w:r>
            <w:r>
              <w:rPr>
                <w:b/>
                <w:color w:val="FFFFFF"/>
                <w:sz w:val="18"/>
              </w:rPr>
              <w:tab/>
            </w:r>
            <w:r>
              <w:rPr>
                <w:b/>
                <w:color w:val="FFFFFF"/>
                <w:spacing w:val="-2"/>
                <w:sz w:val="18"/>
              </w:rPr>
              <w:t>2028/29</w:t>
            </w:r>
            <w:r>
              <w:rPr>
                <w:b/>
                <w:color w:val="FFFFFF"/>
                <w:sz w:val="18"/>
              </w:rPr>
              <w:tab/>
            </w:r>
            <w:r>
              <w:rPr>
                <w:b/>
                <w:color w:val="FFFFFF"/>
                <w:spacing w:val="-2"/>
                <w:sz w:val="18"/>
              </w:rPr>
              <w:t>+/o/-</w:t>
            </w:r>
          </w:p>
        </w:tc>
      </w:tr>
      <w:tr>
        <w:trPr>
          <w:trHeight w:val="4189" w:hRule="atLeast"/>
        </w:trPr>
        <w:tc>
          <w:tcPr>
            <w:tcW w:w="9535" w:type="dxa"/>
            <w:tcBorders>
              <w:left w:val="single" w:sz="12" w:space="0" w:color="000000"/>
              <w:bottom w:val="single" w:sz="12" w:space="0" w:color="000000"/>
            </w:tcBorders>
          </w:tcPr>
          <w:p>
            <w:pPr>
              <w:pStyle w:val="TableParagraph"/>
              <w:spacing w:before="30"/>
              <w:ind w:left="107"/>
              <w:rPr>
                <w:b/>
                <w:i/>
                <w:sz w:val="18"/>
              </w:rPr>
            </w:pPr>
            <w:r>
              <w:rPr>
                <w:b/>
                <w:i/>
                <w:spacing w:val="-2"/>
                <w:sz w:val="18"/>
              </w:rPr>
              <w:t>Liquidity</w:t>
            </w:r>
          </w:p>
          <w:p>
            <w:pPr>
              <w:pStyle w:val="TableParagraph"/>
              <w:tabs>
                <w:tab w:pos="2660" w:val="left" w:leader="none"/>
              </w:tabs>
              <w:spacing w:line="255" w:lineRule="exact" w:before="36"/>
              <w:ind w:left="107"/>
              <w:rPr>
                <w:b/>
                <w:sz w:val="18"/>
              </w:rPr>
            </w:pPr>
            <w:r>
              <w:rPr>
                <w:b/>
                <w:position w:val="10"/>
                <w:sz w:val="18"/>
              </w:rPr>
              <w:t>Working</w:t>
            </w:r>
            <w:r>
              <w:rPr>
                <w:b/>
                <w:spacing w:val="2"/>
                <w:position w:val="10"/>
                <w:sz w:val="18"/>
              </w:rPr>
              <w:t> </w:t>
            </w:r>
            <w:r>
              <w:rPr>
                <w:b/>
                <w:spacing w:val="-2"/>
                <w:position w:val="10"/>
                <w:sz w:val="18"/>
              </w:rPr>
              <w:t>Capital</w:t>
            </w:r>
            <w:r>
              <w:rPr>
                <w:b/>
                <w:position w:val="10"/>
                <w:sz w:val="18"/>
              </w:rPr>
              <w:tab/>
            </w:r>
            <w:r>
              <w:rPr>
                <w:b/>
                <w:sz w:val="18"/>
              </w:rPr>
              <w:t>Current</w:t>
            </w:r>
            <w:r>
              <w:rPr>
                <w:b/>
                <w:spacing w:val="1"/>
                <w:sz w:val="18"/>
              </w:rPr>
              <w:t> </w:t>
            </w:r>
            <w:r>
              <w:rPr>
                <w:b/>
                <w:sz w:val="18"/>
              </w:rPr>
              <w:t>assets compared</w:t>
            </w:r>
            <w:r>
              <w:rPr>
                <w:b/>
                <w:spacing w:val="-2"/>
                <w:sz w:val="18"/>
              </w:rPr>
              <w:t> </w:t>
            </w:r>
            <w:r>
              <w:rPr>
                <w:b/>
                <w:sz w:val="18"/>
              </w:rPr>
              <w:t>to</w:t>
            </w:r>
            <w:r>
              <w:rPr>
                <w:b/>
                <w:spacing w:val="-2"/>
                <w:sz w:val="18"/>
              </w:rPr>
              <w:t> current</w:t>
            </w:r>
          </w:p>
          <w:p>
            <w:pPr>
              <w:pStyle w:val="TableParagraph"/>
              <w:tabs>
                <w:tab w:pos="2660" w:val="left" w:leader="none"/>
                <w:tab w:pos="6508" w:val="left" w:leader="none"/>
                <w:tab w:pos="7441" w:val="left" w:leader="none"/>
                <w:tab w:pos="8814" w:val="left" w:leader="none"/>
              </w:tabs>
              <w:spacing w:line="153" w:lineRule="auto"/>
              <w:ind w:left="107"/>
              <w:rPr>
                <w:sz w:val="18"/>
              </w:rPr>
            </w:pPr>
            <w:r>
              <w:rPr>
                <w:sz w:val="18"/>
              </w:rPr>
              <w:t>(sufficient</w:t>
            </w:r>
            <w:r>
              <w:rPr>
                <w:spacing w:val="-1"/>
                <w:sz w:val="18"/>
              </w:rPr>
              <w:t> </w:t>
            </w:r>
            <w:r>
              <w:rPr>
                <w:sz w:val="18"/>
              </w:rPr>
              <w:t>working</w:t>
            </w:r>
            <w:r>
              <w:rPr>
                <w:spacing w:val="-1"/>
                <w:sz w:val="18"/>
              </w:rPr>
              <w:t> </w:t>
            </w:r>
            <w:r>
              <w:rPr>
                <w:sz w:val="18"/>
              </w:rPr>
              <w:t>capital</w:t>
            </w:r>
            <w:r>
              <w:rPr>
                <w:spacing w:val="-2"/>
                <w:sz w:val="18"/>
              </w:rPr>
              <w:t> </w:t>
            </w:r>
            <w:r>
              <w:rPr>
                <w:spacing w:val="-5"/>
                <w:sz w:val="18"/>
              </w:rPr>
              <w:t>is</w:t>
            </w:r>
            <w:r>
              <w:rPr>
                <w:sz w:val="18"/>
              </w:rPr>
              <w:tab/>
            </w:r>
            <w:r>
              <w:rPr>
                <w:b/>
                <w:spacing w:val="-2"/>
                <w:position w:val="-9"/>
                <w:sz w:val="18"/>
              </w:rPr>
              <w:t>liabilities</w:t>
            </w:r>
            <w:r>
              <w:rPr>
                <w:b/>
                <w:position w:val="-9"/>
                <w:sz w:val="18"/>
              </w:rPr>
              <w:tab/>
            </w:r>
            <w:r>
              <w:rPr>
                <w:spacing w:val="-10"/>
                <w:position w:val="-9"/>
                <w:sz w:val="18"/>
              </w:rPr>
              <w:t>5</w:t>
            </w:r>
            <w:r>
              <w:rPr>
                <w:position w:val="-9"/>
                <w:sz w:val="18"/>
              </w:rPr>
              <w:tab/>
            </w:r>
            <w:r>
              <w:rPr>
                <w:spacing w:val="-2"/>
                <w:position w:val="-9"/>
                <w:sz w:val="18"/>
              </w:rPr>
              <w:t>139.5%</w:t>
            </w:r>
            <w:r>
              <w:rPr>
                <w:position w:val="-9"/>
                <w:sz w:val="18"/>
              </w:rPr>
              <w:tab/>
            </w:r>
            <w:r>
              <w:rPr>
                <w:spacing w:val="-2"/>
                <w:position w:val="-9"/>
                <w:sz w:val="18"/>
              </w:rPr>
              <w:t>140.1%</w:t>
            </w:r>
          </w:p>
          <w:p>
            <w:pPr>
              <w:pStyle w:val="TableParagraph"/>
              <w:tabs>
                <w:tab w:pos="2660" w:val="left" w:leader="none"/>
              </w:tabs>
              <w:spacing w:line="120" w:lineRule="auto" w:before="8"/>
              <w:ind w:left="107" w:right="4230"/>
              <w:rPr>
                <w:sz w:val="18"/>
              </w:rPr>
            </w:pPr>
            <w:r>
              <w:rPr>
                <w:position w:val="10"/>
                <w:sz w:val="18"/>
              </w:rPr>
              <w:t>available to pay bills as and</w:t>
              <w:tab/>
            </w:r>
            <w:r>
              <w:rPr>
                <w:sz w:val="18"/>
              </w:rPr>
              <w:t>Current</w:t>
            </w:r>
            <w:r>
              <w:rPr>
                <w:spacing w:val="-3"/>
                <w:sz w:val="18"/>
              </w:rPr>
              <w:t> </w:t>
            </w:r>
            <w:r>
              <w:rPr>
                <w:sz w:val="18"/>
              </w:rPr>
              <w:t>assets</w:t>
            </w:r>
            <w:r>
              <w:rPr>
                <w:spacing w:val="-7"/>
                <w:sz w:val="18"/>
              </w:rPr>
              <w:t> </w:t>
            </w:r>
            <w:r>
              <w:rPr>
                <w:sz w:val="18"/>
              </w:rPr>
              <w:t>/</w:t>
            </w:r>
            <w:r>
              <w:rPr>
                <w:spacing w:val="-5"/>
                <w:sz w:val="18"/>
              </w:rPr>
              <w:t> </w:t>
            </w:r>
            <w:r>
              <w:rPr>
                <w:sz w:val="18"/>
              </w:rPr>
              <w:t>current</w:t>
            </w:r>
            <w:r>
              <w:rPr>
                <w:spacing w:val="-9"/>
                <w:sz w:val="18"/>
              </w:rPr>
              <w:t> </w:t>
            </w:r>
            <w:r>
              <w:rPr>
                <w:sz w:val="18"/>
              </w:rPr>
              <w:t>liabilities when they fall due)</w:t>
            </w:r>
          </w:p>
          <w:p>
            <w:pPr>
              <w:pStyle w:val="TableParagraph"/>
              <w:spacing w:before="52"/>
              <w:ind w:left="107"/>
              <w:rPr>
                <w:b/>
                <w:i/>
                <w:sz w:val="18"/>
              </w:rPr>
            </w:pPr>
            <w:r>
              <w:rPr>
                <w:b/>
                <w:i/>
                <w:spacing w:val="-2"/>
                <w:sz w:val="18"/>
              </w:rPr>
              <w:t>Obligations</w:t>
            </w:r>
          </w:p>
          <w:p>
            <w:pPr>
              <w:pStyle w:val="TableParagraph"/>
              <w:tabs>
                <w:tab w:pos="2660" w:val="left" w:leader="none"/>
              </w:tabs>
              <w:spacing w:line="207" w:lineRule="exact" w:before="33"/>
              <w:ind w:left="107"/>
              <w:rPr>
                <w:b/>
                <w:sz w:val="18"/>
              </w:rPr>
            </w:pPr>
            <w:r>
              <w:rPr>
                <w:b/>
                <w:sz w:val="18"/>
              </w:rPr>
              <w:t>Asset </w:t>
            </w:r>
            <w:r>
              <w:rPr>
                <w:b/>
                <w:spacing w:val="-2"/>
                <w:sz w:val="18"/>
              </w:rPr>
              <w:t>renewal</w:t>
            </w:r>
            <w:r>
              <w:rPr>
                <w:b/>
                <w:sz w:val="18"/>
              </w:rPr>
              <w:tab/>
              <w:t>Asset</w:t>
            </w:r>
            <w:r>
              <w:rPr>
                <w:b/>
                <w:spacing w:val="-4"/>
                <w:sz w:val="18"/>
              </w:rPr>
              <w:t> </w:t>
            </w:r>
            <w:r>
              <w:rPr>
                <w:b/>
                <w:sz w:val="18"/>
              </w:rPr>
              <w:t>renewal</w:t>
            </w:r>
            <w:r>
              <w:rPr>
                <w:b/>
                <w:spacing w:val="-1"/>
                <w:sz w:val="18"/>
              </w:rPr>
              <w:t> </w:t>
            </w:r>
            <w:r>
              <w:rPr>
                <w:b/>
                <w:sz w:val="18"/>
              </w:rPr>
              <w:t>compared to</w:t>
            </w:r>
            <w:r>
              <w:rPr>
                <w:b/>
                <w:spacing w:val="-3"/>
                <w:sz w:val="18"/>
              </w:rPr>
              <w:t> </w:t>
            </w:r>
            <w:r>
              <w:rPr>
                <w:b/>
                <w:spacing w:val="-2"/>
                <w:sz w:val="18"/>
              </w:rPr>
              <w:t>depreciation</w:t>
            </w:r>
          </w:p>
          <w:p>
            <w:pPr>
              <w:pStyle w:val="TableParagraph"/>
              <w:tabs>
                <w:tab w:pos="2660" w:val="left" w:leader="none"/>
                <w:tab w:pos="6508" w:val="left" w:leader="none"/>
                <w:tab w:pos="7540" w:val="left" w:leader="none"/>
                <w:tab w:pos="8814" w:val="left" w:leader="none"/>
              </w:tabs>
              <w:ind w:left="107" w:right="76"/>
              <w:rPr>
                <w:sz w:val="18"/>
              </w:rPr>
            </w:pPr>
            <w:r>
              <w:rPr>
                <w:sz w:val="18"/>
              </w:rPr>
              <w:t>(assets are renewed as</w:t>
              <w:tab/>
              <w:t>Asset renewal and upgrade expense /</w:t>
              <w:tab/>
            </w:r>
            <w:r>
              <w:rPr>
                <w:spacing w:val="-10"/>
                <w:sz w:val="18"/>
              </w:rPr>
              <w:t>6</w:t>
            </w:r>
            <w:r>
              <w:rPr>
                <w:sz w:val="18"/>
              </w:rPr>
              <w:tab/>
            </w:r>
            <w:r>
              <w:rPr>
                <w:spacing w:val="-2"/>
                <w:sz w:val="18"/>
              </w:rPr>
              <w:t>95.4%</w:t>
            </w:r>
            <w:r>
              <w:rPr>
                <w:sz w:val="18"/>
              </w:rPr>
              <w:tab/>
            </w:r>
            <w:r>
              <w:rPr>
                <w:spacing w:val="-2"/>
                <w:sz w:val="18"/>
              </w:rPr>
              <w:t>112.5% planned)</w:t>
            </w:r>
            <w:r>
              <w:rPr>
                <w:sz w:val="18"/>
              </w:rPr>
              <w:tab/>
              <w:t>Asset depreciation</w:t>
            </w:r>
          </w:p>
          <w:p>
            <w:pPr>
              <w:pStyle w:val="TableParagraph"/>
              <w:spacing w:before="32"/>
              <w:ind w:left="107"/>
              <w:rPr>
                <w:b/>
                <w:i/>
                <w:sz w:val="18"/>
              </w:rPr>
            </w:pPr>
            <w:r>
              <w:rPr>
                <w:b/>
                <w:i/>
                <w:spacing w:val="-2"/>
                <w:sz w:val="18"/>
              </w:rPr>
              <w:t>Stability</w:t>
            </w:r>
          </w:p>
          <w:p>
            <w:pPr>
              <w:pStyle w:val="TableParagraph"/>
              <w:tabs>
                <w:tab w:pos="2660" w:val="left" w:leader="none"/>
              </w:tabs>
              <w:spacing w:line="148" w:lineRule="auto" w:before="57"/>
              <w:ind w:left="107"/>
              <w:rPr>
                <w:b/>
                <w:sz w:val="18"/>
              </w:rPr>
            </w:pPr>
            <w:r>
              <w:rPr>
                <w:b/>
                <w:position w:val="-9"/>
                <w:sz w:val="18"/>
              </w:rPr>
              <w:t>Rates</w:t>
            </w:r>
            <w:r>
              <w:rPr>
                <w:b/>
                <w:spacing w:val="1"/>
                <w:position w:val="-9"/>
                <w:sz w:val="18"/>
              </w:rPr>
              <w:t> </w:t>
            </w:r>
            <w:r>
              <w:rPr>
                <w:b/>
                <w:spacing w:val="-2"/>
                <w:position w:val="-9"/>
                <w:sz w:val="18"/>
              </w:rPr>
              <w:t>concentration</w:t>
            </w:r>
            <w:r>
              <w:rPr>
                <w:b/>
                <w:position w:val="-9"/>
                <w:sz w:val="18"/>
              </w:rPr>
              <w:tab/>
            </w:r>
            <w:r>
              <w:rPr>
                <w:b/>
                <w:sz w:val="18"/>
              </w:rPr>
              <w:t>Rates compared</w:t>
            </w:r>
            <w:r>
              <w:rPr>
                <w:b/>
                <w:spacing w:val="-2"/>
                <w:sz w:val="18"/>
              </w:rPr>
              <w:t> </w:t>
            </w:r>
            <w:r>
              <w:rPr>
                <w:b/>
                <w:sz w:val="18"/>
              </w:rPr>
              <w:t>to adjusted</w:t>
            </w:r>
            <w:r>
              <w:rPr>
                <w:b/>
                <w:spacing w:val="-2"/>
                <w:sz w:val="18"/>
              </w:rPr>
              <w:t> underlying</w:t>
            </w:r>
          </w:p>
          <w:p>
            <w:pPr>
              <w:pStyle w:val="TableParagraph"/>
              <w:tabs>
                <w:tab w:pos="2660" w:val="left" w:leader="none"/>
                <w:tab w:pos="6508" w:val="left" w:leader="none"/>
                <w:tab w:pos="7540" w:val="left" w:leader="none"/>
                <w:tab w:pos="8913" w:val="left" w:leader="none"/>
              </w:tabs>
              <w:spacing w:line="120" w:lineRule="auto" w:before="32"/>
              <w:ind w:left="107" w:right="76"/>
              <w:rPr>
                <w:sz w:val="18"/>
              </w:rPr>
            </w:pPr>
            <w:r>
              <w:rPr>
                <w:sz w:val="18"/>
              </w:rPr>
              <w:t>(revenue is generated from a</w:t>
              <w:tab/>
            </w:r>
            <w:r>
              <w:rPr>
                <w:b/>
                <w:spacing w:val="-2"/>
                <w:position w:val="11"/>
                <w:sz w:val="18"/>
              </w:rPr>
              <w:t>revenue</w:t>
            </w:r>
            <w:r>
              <w:rPr>
                <w:b/>
                <w:position w:val="11"/>
                <w:sz w:val="18"/>
              </w:rPr>
              <w:tab/>
            </w:r>
            <w:r>
              <w:rPr>
                <w:spacing w:val="-10"/>
                <w:sz w:val="18"/>
              </w:rPr>
              <w:t>7</w:t>
            </w:r>
            <w:r>
              <w:rPr>
                <w:sz w:val="18"/>
              </w:rPr>
              <w:tab/>
            </w:r>
            <w:r>
              <w:rPr>
                <w:spacing w:val="-2"/>
                <w:sz w:val="18"/>
              </w:rPr>
              <w:t>65.7%</w:t>
            </w:r>
            <w:r>
              <w:rPr>
                <w:sz w:val="18"/>
              </w:rPr>
              <w:tab/>
            </w:r>
            <w:r>
              <w:rPr>
                <w:spacing w:val="-2"/>
                <w:sz w:val="18"/>
              </w:rPr>
              <w:t>64.8% </w:t>
            </w:r>
            <w:r>
              <w:rPr>
                <w:position w:val="-9"/>
                <w:sz w:val="18"/>
              </w:rPr>
              <w:t>range of sources)</w:t>
              <w:tab/>
            </w:r>
            <w:r>
              <w:rPr>
                <w:sz w:val="18"/>
              </w:rPr>
              <w:t>Rate revenue / adjusted underlying</w:t>
            </w:r>
          </w:p>
          <w:p>
            <w:pPr>
              <w:pStyle w:val="TableParagraph"/>
              <w:spacing w:line="125" w:lineRule="exact"/>
              <w:ind w:left="2661"/>
              <w:rPr>
                <w:sz w:val="18"/>
              </w:rPr>
            </w:pPr>
            <w:r>
              <w:rPr>
                <w:spacing w:val="-2"/>
                <w:sz w:val="18"/>
              </w:rPr>
              <w:t>revenue</w:t>
            </w:r>
          </w:p>
          <w:p>
            <w:pPr>
              <w:pStyle w:val="TableParagraph"/>
              <w:spacing w:before="30"/>
              <w:ind w:left="107"/>
              <w:rPr>
                <w:b/>
                <w:i/>
                <w:sz w:val="18"/>
              </w:rPr>
            </w:pPr>
            <w:r>
              <w:rPr>
                <w:b/>
                <w:i/>
                <w:spacing w:val="-2"/>
                <w:sz w:val="18"/>
              </w:rPr>
              <w:t>Efficiency</w:t>
            </w:r>
          </w:p>
          <w:p>
            <w:pPr>
              <w:pStyle w:val="TableParagraph"/>
              <w:tabs>
                <w:tab w:pos="2660" w:val="left" w:leader="none"/>
              </w:tabs>
              <w:spacing w:line="257" w:lineRule="exact" w:before="36"/>
              <w:ind w:left="107"/>
              <w:rPr>
                <w:b/>
                <w:sz w:val="18"/>
              </w:rPr>
            </w:pPr>
            <w:r>
              <w:rPr>
                <w:b/>
                <w:position w:val="10"/>
                <w:sz w:val="18"/>
              </w:rPr>
              <w:t>Expenditure </w:t>
            </w:r>
            <w:r>
              <w:rPr>
                <w:b/>
                <w:spacing w:val="-2"/>
                <w:position w:val="10"/>
                <w:sz w:val="18"/>
              </w:rPr>
              <w:t>level</w:t>
            </w:r>
            <w:r>
              <w:rPr>
                <w:b/>
                <w:position w:val="10"/>
                <w:sz w:val="18"/>
              </w:rPr>
              <w:tab/>
            </w:r>
            <w:r>
              <w:rPr>
                <w:b/>
                <w:sz w:val="18"/>
              </w:rPr>
              <w:t>Expenses</w:t>
            </w:r>
            <w:r>
              <w:rPr>
                <w:b/>
                <w:spacing w:val="2"/>
                <w:sz w:val="18"/>
              </w:rPr>
              <w:t> </w:t>
            </w:r>
            <w:r>
              <w:rPr>
                <w:b/>
                <w:sz w:val="18"/>
              </w:rPr>
              <w:t>per</w:t>
            </w:r>
            <w:r>
              <w:rPr>
                <w:b/>
                <w:spacing w:val="-2"/>
                <w:sz w:val="18"/>
              </w:rPr>
              <w:t> </w:t>
            </w:r>
            <w:r>
              <w:rPr>
                <w:b/>
                <w:sz w:val="18"/>
              </w:rPr>
              <w:t>property</w:t>
            </w:r>
            <w:r>
              <w:rPr>
                <w:b/>
                <w:spacing w:val="-2"/>
                <w:sz w:val="18"/>
              </w:rPr>
              <w:t> assessment</w:t>
            </w:r>
          </w:p>
          <w:p>
            <w:pPr>
              <w:pStyle w:val="TableParagraph"/>
              <w:tabs>
                <w:tab w:pos="2660" w:val="left" w:leader="none"/>
                <w:tab w:pos="6508" w:val="left" w:leader="none"/>
                <w:tab w:pos="7499" w:val="left" w:leader="none"/>
                <w:tab w:pos="8872" w:val="left" w:leader="none"/>
              </w:tabs>
              <w:spacing w:line="122" w:lineRule="auto" w:before="33"/>
              <w:ind w:left="107" w:right="79"/>
              <w:rPr>
                <w:sz w:val="18"/>
              </w:rPr>
            </w:pPr>
            <w:r>
              <w:rPr>
                <w:position w:val="10"/>
                <w:sz w:val="18"/>
              </w:rPr>
              <w:t>(resources are used</w:t>
              <w:tab/>
            </w:r>
            <w:r>
              <w:rPr>
                <w:sz w:val="18"/>
              </w:rPr>
              <w:t>Total expenses / no. of property</w:t>
              <w:tab/>
            </w:r>
            <w:r>
              <w:rPr>
                <w:spacing w:val="-10"/>
                <w:sz w:val="18"/>
              </w:rPr>
              <w:t>8</w:t>
            </w:r>
            <w:r>
              <w:rPr>
                <w:sz w:val="18"/>
              </w:rPr>
              <w:tab/>
            </w:r>
            <w:r>
              <w:rPr>
                <w:spacing w:val="-2"/>
                <w:sz w:val="18"/>
              </w:rPr>
              <w:t>$2,991</w:t>
            </w:r>
            <w:r>
              <w:rPr>
                <w:sz w:val="18"/>
              </w:rPr>
              <w:tab/>
            </w:r>
            <w:r>
              <w:rPr>
                <w:spacing w:val="-2"/>
                <w:sz w:val="18"/>
              </w:rPr>
              <w:t>$3,524 </w:t>
            </w:r>
            <w:r>
              <w:rPr>
                <w:sz w:val="18"/>
              </w:rPr>
              <w:t>efficiently in the delivery of</w:t>
              <w:tab/>
            </w:r>
            <w:r>
              <w:rPr>
                <w:spacing w:val="-2"/>
                <w:position w:val="-9"/>
                <w:sz w:val="18"/>
              </w:rPr>
              <w:t>assessments</w:t>
            </w:r>
          </w:p>
          <w:p>
            <w:pPr>
              <w:pStyle w:val="TableParagraph"/>
              <w:spacing w:line="107" w:lineRule="exact"/>
              <w:ind w:left="107"/>
              <w:rPr>
                <w:sz w:val="18"/>
              </w:rPr>
            </w:pPr>
            <w:r>
              <w:rPr>
                <w:spacing w:val="-2"/>
                <w:sz w:val="18"/>
              </w:rPr>
              <w:t>services)</w:t>
            </w:r>
          </w:p>
        </w:tc>
        <w:tc>
          <w:tcPr>
            <w:tcW w:w="1255" w:type="dxa"/>
            <w:tcBorders>
              <w:bottom w:val="single" w:sz="12" w:space="0" w:color="000000"/>
            </w:tcBorders>
            <w:shd w:val="clear" w:color="auto" w:fill="DDEBF6"/>
          </w:tcPr>
          <w:p>
            <w:pPr>
              <w:pStyle w:val="TableParagraph"/>
              <w:rPr>
                <w:b/>
                <w:sz w:val="20"/>
              </w:rPr>
            </w:pPr>
          </w:p>
          <w:p>
            <w:pPr>
              <w:pStyle w:val="TableParagraph"/>
              <w:rPr>
                <w:b/>
                <w:sz w:val="20"/>
              </w:rPr>
            </w:pPr>
          </w:p>
          <w:p>
            <w:pPr>
              <w:pStyle w:val="TableParagraph"/>
              <w:spacing w:before="120"/>
              <w:ind w:left="552"/>
              <w:rPr>
                <w:sz w:val="18"/>
              </w:rPr>
            </w:pPr>
            <w:r>
              <w:rPr>
                <w:spacing w:val="-2"/>
                <w:sz w:val="18"/>
              </w:rPr>
              <w:t>183.2%</w:t>
            </w:r>
          </w:p>
          <w:p>
            <w:pPr>
              <w:pStyle w:val="TableParagraph"/>
              <w:rPr>
                <w:b/>
                <w:sz w:val="20"/>
              </w:rPr>
            </w:pPr>
          </w:p>
          <w:p>
            <w:pPr>
              <w:pStyle w:val="TableParagraph"/>
              <w:rPr>
                <w:b/>
                <w:sz w:val="20"/>
              </w:rPr>
            </w:pPr>
          </w:p>
          <w:p>
            <w:pPr>
              <w:pStyle w:val="TableParagraph"/>
              <w:spacing w:before="7"/>
              <w:rPr>
                <w:b/>
                <w:sz w:val="28"/>
              </w:rPr>
            </w:pPr>
          </w:p>
          <w:p>
            <w:pPr>
              <w:pStyle w:val="TableParagraph"/>
              <w:ind w:left="552"/>
              <w:rPr>
                <w:sz w:val="18"/>
              </w:rPr>
            </w:pPr>
            <w:r>
              <w:rPr>
                <w:spacing w:val="-2"/>
                <w:sz w:val="18"/>
              </w:rPr>
              <w:t>140.2%</w:t>
            </w:r>
          </w:p>
          <w:p>
            <w:pPr>
              <w:pStyle w:val="TableParagraph"/>
              <w:rPr>
                <w:b/>
                <w:sz w:val="20"/>
              </w:rPr>
            </w:pPr>
          </w:p>
          <w:p>
            <w:pPr>
              <w:pStyle w:val="TableParagraph"/>
              <w:rPr>
                <w:b/>
                <w:sz w:val="20"/>
              </w:rPr>
            </w:pPr>
          </w:p>
          <w:p>
            <w:pPr>
              <w:pStyle w:val="TableParagraph"/>
              <w:spacing w:before="7"/>
              <w:rPr>
                <w:b/>
                <w:sz w:val="28"/>
              </w:rPr>
            </w:pPr>
          </w:p>
          <w:p>
            <w:pPr>
              <w:pStyle w:val="TableParagraph"/>
              <w:ind w:left="650"/>
              <w:rPr>
                <w:sz w:val="18"/>
              </w:rPr>
            </w:pPr>
            <w:r>
              <w:rPr>
                <w:spacing w:val="-2"/>
                <w:sz w:val="18"/>
              </w:rPr>
              <w:t>63.0%</w:t>
            </w:r>
          </w:p>
          <w:p>
            <w:pPr>
              <w:pStyle w:val="TableParagraph"/>
              <w:rPr>
                <w:b/>
                <w:sz w:val="20"/>
              </w:rPr>
            </w:pPr>
          </w:p>
          <w:p>
            <w:pPr>
              <w:pStyle w:val="TableParagraph"/>
              <w:rPr>
                <w:b/>
                <w:sz w:val="20"/>
              </w:rPr>
            </w:pPr>
          </w:p>
          <w:p>
            <w:pPr>
              <w:pStyle w:val="TableParagraph"/>
              <w:rPr>
                <w:b/>
                <w:sz w:val="20"/>
              </w:rPr>
            </w:pPr>
          </w:p>
          <w:p>
            <w:pPr>
              <w:pStyle w:val="TableParagraph"/>
              <w:spacing w:before="4"/>
              <w:rPr>
                <w:b/>
                <w:sz w:val="17"/>
              </w:rPr>
            </w:pPr>
          </w:p>
          <w:p>
            <w:pPr>
              <w:pStyle w:val="TableParagraph"/>
              <w:ind w:left="609"/>
              <w:rPr>
                <w:sz w:val="18"/>
              </w:rPr>
            </w:pPr>
            <w:r>
              <w:rPr>
                <w:spacing w:val="-2"/>
                <w:sz w:val="18"/>
              </w:rPr>
              <w:t>$3,634</w:t>
            </w:r>
          </w:p>
        </w:tc>
        <w:tc>
          <w:tcPr>
            <w:tcW w:w="4687" w:type="dxa"/>
            <w:tcBorders>
              <w:bottom w:val="single" w:sz="12" w:space="0" w:color="000000"/>
              <w:right w:val="single" w:sz="12" w:space="0" w:color="000000"/>
            </w:tcBorders>
          </w:tcPr>
          <w:p>
            <w:pPr>
              <w:pStyle w:val="TableParagraph"/>
              <w:rPr>
                <w:b/>
                <w:sz w:val="20"/>
              </w:rPr>
            </w:pPr>
          </w:p>
          <w:p>
            <w:pPr>
              <w:pStyle w:val="TableParagraph"/>
              <w:rPr>
                <w:b/>
                <w:sz w:val="20"/>
              </w:rPr>
            </w:pPr>
          </w:p>
          <w:p>
            <w:pPr>
              <w:pStyle w:val="TableParagraph"/>
              <w:tabs>
                <w:tab w:pos="1844" w:val="left" w:leader="none"/>
                <w:tab w:pos="3101" w:val="left" w:leader="none"/>
                <w:tab w:pos="4199" w:val="left" w:leader="none"/>
              </w:tabs>
              <w:spacing w:before="120"/>
              <w:ind w:left="590"/>
              <w:rPr>
                <w:b/>
                <w:sz w:val="18"/>
              </w:rPr>
            </w:pPr>
            <w:r>
              <w:rPr>
                <w:spacing w:val="-2"/>
                <w:sz w:val="18"/>
              </w:rPr>
              <w:t>141.2%</w:t>
            </w:r>
            <w:r>
              <w:rPr>
                <w:sz w:val="18"/>
              </w:rPr>
              <w:tab/>
            </w:r>
            <w:r>
              <w:rPr>
                <w:spacing w:val="-2"/>
                <w:sz w:val="18"/>
              </w:rPr>
              <w:t>150.6%</w:t>
            </w:r>
            <w:r>
              <w:rPr>
                <w:sz w:val="18"/>
              </w:rPr>
              <w:tab/>
            </w:r>
            <w:r>
              <w:rPr>
                <w:spacing w:val="-2"/>
                <w:sz w:val="18"/>
              </w:rPr>
              <w:t>139.4%</w:t>
            </w:r>
            <w:r>
              <w:rPr>
                <w:sz w:val="18"/>
              </w:rPr>
              <w:tab/>
            </w:r>
            <w:r>
              <w:rPr>
                <w:b/>
                <w:spacing w:val="-10"/>
                <w:sz w:val="18"/>
              </w:rPr>
              <w:t>o</w:t>
            </w:r>
          </w:p>
          <w:p>
            <w:pPr>
              <w:pStyle w:val="TableParagraph"/>
              <w:rPr>
                <w:b/>
                <w:sz w:val="20"/>
              </w:rPr>
            </w:pPr>
          </w:p>
          <w:p>
            <w:pPr>
              <w:pStyle w:val="TableParagraph"/>
              <w:rPr>
                <w:b/>
                <w:sz w:val="20"/>
              </w:rPr>
            </w:pPr>
          </w:p>
          <w:p>
            <w:pPr>
              <w:pStyle w:val="TableParagraph"/>
              <w:spacing w:before="7"/>
              <w:rPr>
                <w:b/>
                <w:sz w:val="28"/>
              </w:rPr>
            </w:pPr>
          </w:p>
          <w:p>
            <w:pPr>
              <w:pStyle w:val="TableParagraph"/>
              <w:tabs>
                <w:tab w:pos="1844" w:val="left" w:leader="none"/>
                <w:tab w:pos="3101" w:val="left" w:leader="none"/>
                <w:tab w:pos="4202" w:val="left" w:leader="none"/>
              </w:tabs>
              <w:ind w:left="590"/>
              <w:rPr>
                <w:b/>
                <w:sz w:val="18"/>
              </w:rPr>
            </w:pPr>
            <w:r>
              <w:rPr>
                <w:spacing w:val="-2"/>
                <w:sz w:val="18"/>
              </w:rPr>
              <w:t>234.1%</w:t>
            </w:r>
            <w:r>
              <w:rPr>
                <w:sz w:val="18"/>
              </w:rPr>
              <w:tab/>
            </w:r>
            <w:r>
              <w:rPr>
                <w:spacing w:val="-2"/>
                <w:sz w:val="18"/>
              </w:rPr>
              <w:t>146.3%</w:t>
            </w:r>
            <w:r>
              <w:rPr>
                <w:sz w:val="18"/>
              </w:rPr>
              <w:tab/>
            </w:r>
            <w:r>
              <w:rPr>
                <w:spacing w:val="-2"/>
                <w:sz w:val="18"/>
              </w:rPr>
              <w:t>144.8%</w:t>
            </w:r>
            <w:r>
              <w:rPr>
                <w:sz w:val="18"/>
              </w:rPr>
              <w:tab/>
            </w:r>
            <w:r>
              <w:rPr>
                <w:b/>
                <w:spacing w:val="-10"/>
                <w:sz w:val="18"/>
              </w:rPr>
              <w:t>+</w:t>
            </w:r>
          </w:p>
          <w:p>
            <w:pPr>
              <w:pStyle w:val="TableParagraph"/>
              <w:rPr>
                <w:b/>
                <w:sz w:val="20"/>
              </w:rPr>
            </w:pPr>
          </w:p>
          <w:p>
            <w:pPr>
              <w:pStyle w:val="TableParagraph"/>
              <w:rPr>
                <w:b/>
                <w:sz w:val="20"/>
              </w:rPr>
            </w:pPr>
          </w:p>
          <w:p>
            <w:pPr>
              <w:pStyle w:val="TableParagraph"/>
              <w:spacing w:before="7"/>
              <w:rPr>
                <w:b/>
                <w:sz w:val="28"/>
              </w:rPr>
            </w:pPr>
          </w:p>
          <w:p>
            <w:pPr>
              <w:pStyle w:val="TableParagraph"/>
              <w:tabs>
                <w:tab w:pos="1943" w:val="left" w:leader="none"/>
                <w:tab w:pos="3199" w:val="left" w:leader="none"/>
                <w:tab w:pos="4199" w:val="left" w:leader="none"/>
              </w:tabs>
              <w:ind w:left="688"/>
              <w:rPr>
                <w:b/>
                <w:sz w:val="18"/>
              </w:rPr>
            </w:pPr>
            <w:r>
              <w:rPr>
                <w:spacing w:val="-2"/>
                <w:sz w:val="18"/>
              </w:rPr>
              <w:t>66.3%</w:t>
            </w:r>
            <w:r>
              <w:rPr>
                <w:sz w:val="18"/>
              </w:rPr>
              <w:tab/>
            </w:r>
            <w:r>
              <w:rPr>
                <w:spacing w:val="-4"/>
                <w:sz w:val="18"/>
              </w:rPr>
              <w:t>65.5%</w:t>
            </w:r>
            <w:r>
              <w:rPr>
                <w:sz w:val="18"/>
              </w:rPr>
              <w:tab/>
            </w:r>
            <w:r>
              <w:rPr>
                <w:spacing w:val="-2"/>
                <w:sz w:val="18"/>
              </w:rPr>
              <w:t>65.2%</w:t>
            </w:r>
            <w:r>
              <w:rPr>
                <w:sz w:val="18"/>
              </w:rPr>
              <w:tab/>
            </w:r>
            <w:r>
              <w:rPr>
                <w:b/>
                <w:spacing w:val="-10"/>
                <w:sz w:val="18"/>
              </w:rPr>
              <w:t>o</w:t>
            </w:r>
          </w:p>
          <w:p>
            <w:pPr>
              <w:pStyle w:val="TableParagraph"/>
              <w:rPr>
                <w:b/>
                <w:sz w:val="20"/>
              </w:rPr>
            </w:pPr>
          </w:p>
          <w:p>
            <w:pPr>
              <w:pStyle w:val="TableParagraph"/>
              <w:rPr>
                <w:b/>
                <w:sz w:val="20"/>
              </w:rPr>
            </w:pPr>
          </w:p>
          <w:p>
            <w:pPr>
              <w:pStyle w:val="TableParagraph"/>
              <w:rPr>
                <w:b/>
                <w:sz w:val="20"/>
              </w:rPr>
            </w:pPr>
          </w:p>
          <w:p>
            <w:pPr>
              <w:pStyle w:val="TableParagraph"/>
              <w:spacing w:before="4"/>
              <w:rPr>
                <w:b/>
                <w:sz w:val="17"/>
              </w:rPr>
            </w:pPr>
          </w:p>
          <w:p>
            <w:pPr>
              <w:pStyle w:val="TableParagraph"/>
              <w:tabs>
                <w:tab w:pos="1902" w:val="left" w:leader="none"/>
                <w:tab w:pos="3158" w:val="left" w:leader="none"/>
                <w:tab w:pos="4202" w:val="left" w:leader="none"/>
              </w:tabs>
              <w:ind w:left="647"/>
              <w:rPr>
                <w:b/>
                <w:sz w:val="18"/>
              </w:rPr>
            </w:pPr>
            <w:r>
              <w:rPr>
                <w:spacing w:val="-2"/>
                <w:sz w:val="18"/>
              </w:rPr>
              <w:t>$3,710</w:t>
            </w:r>
            <w:r>
              <w:rPr>
                <w:sz w:val="18"/>
              </w:rPr>
              <w:tab/>
            </w:r>
            <w:r>
              <w:rPr>
                <w:spacing w:val="-2"/>
                <w:sz w:val="18"/>
              </w:rPr>
              <w:t>$3,792</w:t>
            </w:r>
            <w:r>
              <w:rPr>
                <w:sz w:val="18"/>
              </w:rPr>
              <w:tab/>
            </w:r>
            <w:r>
              <w:rPr>
                <w:spacing w:val="-2"/>
                <w:sz w:val="18"/>
              </w:rPr>
              <w:t>$3,866</w:t>
            </w:r>
            <w:r>
              <w:rPr>
                <w:sz w:val="18"/>
              </w:rPr>
              <w:tab/>
            </w:r>
            <w:r>
              <w:rPr>
                <w:b/>
                <w:spacing w:val="-10"/>
                <w:sz w:val="18"/>
              </w:rPr>
              <w:t>+</w:t>
            </w:r>
          </w:p>
        </w:tc>
      </w:tr>
    </w:tbl>
    <w:p>
      <w:pPr>
        <w:spacing w:after="0"/>
        <w:rPr>
          <w:sz w:val="18"/>
        </w:rPr>
        <w:sectPr>
          <w:pgSz w:w="16840" w:h="11910" w:orient="landscape"/>
          <w:pgMar w:header="0" w:footer="375" w:top="480" w:bottom="560" w:left="600" w:right="120"/>
        </w:sectPr>
      </w:pPr>
    </w:p>
    <w:p>
      <w:pPr>
        <w:pStyle w:val="Heading4"/>
        <w:spacing w:before="80"/>
        <w:ind w:left="403" w:firstLine="0"/>
      </w:pPr>
      <w:r>
        <w:rPr>
          <w:color w:val="4966AC"/>
        </w:rPr>
        <w:t>5b.</w:t>
      </w:r>
      <w:r>
        <w:rPr>
          <w:color w:val="4966AC"/>
          <w:spacing w:val="-1"/>
        </w:rPr>
        <w:t> </w:t>
      </w:r>
      <w:r>
        <w:rPr>
          <w:color w:val="4966AC"/>
        </w:rPr>
        <w:t>Financial</w:t>
      </w:r>
      <w:r>
        <w:rPr>
          <w:color w:val="4966AC"/>
          <w:spacing w:val="-1"/>
        </w:rPr>
        <w:t> </w:t>
      </w:r>
      <w:r>
        <w:rPr>
          <w:color w:val="4966AC"/>
        </w:rPr>
        <w:t>performance </w:t>
      </w:r>
      <w:r>
        <w:rPr>
          <w:color w:val="4966AC"/>
          <w:spacing w:val="-2"/>
        </w:rPr>
        <w:t>indicators</w:t>
      </w:r>
    </w:p>
    <w:p>
      <w:pPr>
        <w:pStyle w:val="BodyText"/>
        <w:spacing w:before="1"/>
        <w:rPr>
          <w:b/>
        </w:rPr>
      </w:pPr>
    </w:p>
    <w:p>
      <w:pPr>
        <w:pStyle w:val="BodyText"/>
        <w:ind w:left="120" w:right="593"/>
        <w:jc w:val="both"/>
      </w:pPr>
      <w:r>
        <w:rPr/>
        <w:pict>
          <v:shape style="position:absolute;margin-left:427.170715pt;margin-top:70.523087pt;width:12.1pt;height:27.1pt;mso-position-horizontal-relative:page;mso-position-vertical-relative:paragraph;z-index:-37819392" type="#_x0000_t202" id="docshape708" filled="false" stroked="false">
            <v:textbox inset="0,0,0,0" style="layout-flow:vertical;mso-layout-flow-alt:bottom-to-top">
              <w:txbxContent>
                <w:p>
                  <w:pPr>
                    <w:spacing w:before="14"/>
                    <w:ind w:left="20" w:right="0" w:firstLine="0"/>
                    <w:jc w:val="left"/>
                    <w:rPr>
                      <w:b/>
                      <w:sz w:val="18"/>
                    </w:rPr>
                  </w:pPr>
                  <w:r>
                    <w:rPr>
                      <w:b/>
                      <w:color w:val="FFFFFF"/>
                      <w:spacing w:val="-2"/>
                      <w:sz w:val="18"/>
                    </w:rPr>
                    <w:t>Notes</w:t>
                  </w:r>
                </w:p>
              </w:txbxContent>
            </v:textbox>
            <w10:wrap type="none"/>
          </v:shape>
        </w:pict>
      </w:r>
      <w:r>
        <w:rPr/>
        <w:t>The following table highlights Council’s current and projected performance across a range of key financial performance indicators. These indicators provide a useful</w:t>
      </w:r>
      <w:r>
        <w:rPr>
          <w:spacing w:val="-16"/>
        </w:rPr>
        <w:t> </w:t>
      </w:r>
      <w:r>
        <w:rPr/>
        <w:t>analysis</w:t>
      </w:r>
      <w:r>
        <w:rPr>
          <w:spacing w:val="-15"/>
        </w:rPr>
        <w:t> </w:t>
      </w:r>
      <w:r>
        <w:rPr/>
        <w:t>of</w:t>
      </w:r>
      <w:r>
        <w:rPr>
          <w:spacing w:val="-15"/>
        </w:rPr>
        <w:t> </w:t>
      </w:r>
      <w:r>
        <w:rPr/>
        <w:t>Council’s</w:t>
      </w:r>
      <w:r>
        <w:rPr>
          <w:spacing w:val="-16"/>
        </w:rPr>
        <w:t> </w:t>
      </w:r>
      <w:r>
        <w:rPr/>
        <w:t>financial</w:t>
      </w:r>
      <w:r>
        <w:rPr>
          <w:spacing w:val="-15"/>
        </w:rPr>
        <w:t> </w:t>
      </w:r>
      <w:r>
        <w:rPr/>
        <w:t>position</w:t>
      </w:r>
      <w:r>
        <w:rPr>
          <w:spacing w:val="-15"/>
        </w:rPr>
        <w:t> </w:t>
      </w:r>
      <w:r>
        <w:rPr/>
        <w:t>and</w:t>
      </w:r>
      <w:r>
        <w:rPr>
          <w:spacing w:val="-15"/>
        </w:rPr>
        <w:t> </w:t>
      </w:r>
      <w:r>
        <w:rPr/>
        <w:t>performance</w:t>
      </w:r>
      <w:r>
        <w:rPr>
          <w:spacing w:val="-16"/>
        </w:rPr>
        <w:t> </w:t>
      </w:r>
      <w:r>
        <w:rPr/>
        <w:t>and</w:t>
      </w:r>
      <w:r>
        <w:rPr>
          <w:spacing w:val="-15"/>
        </w:rPr>
        <w:t> </w:t>
      </w:r>
      <w:r>
        <w:rPr/>
        <w:t>should</w:t>
      </w:r>
      <w:r>
        <w:rPr>
          <w:spacing w:val="-15"/>
        </w:rPr>
        <w:t> </w:t>
      </w:r>
      <w:r>
        <w:rPr/>
        <w:t>be</w:t>
      </w:r>
      <w:r>
        <w:rPr>
          <w:spacing w:val="-16"/>
        </w:rPr>
        <w:t> </w:t>
      </w:r>
      <w:r>
        <w:rPr/>
        <w:t>interpreted</w:t>
      </w:r>
      <w:r>
        <w:rPr>
          <w:spacing w:val="-15"/>
        </w:rPr>
        <w:t> </w:t>
      </w:r>
      <w:r>
        <w:rPr/>
        <w:t>in</w:t>
      </w:r>
      <w:r>
        <w:rPr>
          <w:spacing w:val="-15"/>
        </w:rPr>
        <w:t> </w:t>
      </w:r>
      <w:r>
        <w:rPr/>
        <w:t>the</w:t>
      </w:r>
      <w:r>
        <w:rPr>
          <w:spacing w:val="-15"/>
        </w:rPr>
        <w:t> </w:t>
      </w:r>
      <w:r>
        <w:rPr/>
        <w:t>context</w:t>
      </w:r>
      <w:r>
        <w:rPr>
          <w:spacing w:val="-16"/>
        </w:rPr>
        <w:t> </w:t>
      </w:r>
      <w:r>
        <w:rPr/>
        <w:t>of</w:t>
      </w:r>
      <w:r>
        <w:rPr>
          <w:spacing w:val="-15"/>
        </w:rPr>
        <w:t> </w:t>
      </w:r>
      <w:r>
        <w:rPr/>
        <w:t>the</w:t>
      </w:r>
      <w:r>
        <w:rPr>
          <w:spacing w:val="-15"/>
        </w:rPr>
        <w:t> </w:t>
      </w:r>
      <w:r>
        <w:rPr/>
        <w:t>organisation’s</w:t>
      </w:r>
      <w:r>
        <w:rPr>
          <w:spacing w:val="-16"/>
        </w:rPr>
        <w:t> </w:t>
      </w:r>
      <w:r>
        <w:rPr/>
        <w:t>objectives.</w:t>
      </w:r>
      <w:r>
        <w:rPr>
          <w:spacing w:val="-15"/>
        </w:rPr>
        <w:t> </w:t>
      </w:r>
      <w:r>
        <w:rPr/>
        <w:t>The</w:t>
      </w:r>
      <w:r>
        <w:rPr>
          <w:spacing w:val="-15"/>
        </w:rPr>
        <w:t> </w:t>
      </w:r>
      <w:r>
        <w:rPr/>
        <w:t>financial</w:t>
      </w:r>
      <w:r>
        <w:rPr>
          <w:spacing w:val="-15"/>
        </w:rPr>
        <w:t> </w:t>
      </w:r>
      <w:r>
        <w:rPr/>
        <w:t>performance indicators below are the prescribed financial performance indicators contained in Part 3 of Schedule 3 of the Local Government (Planning and Reporting) Regulations 2020. Results against these indicators will be reported in Council’s Performance Statement included in the Annual Report.</w:t>
      </w:r>
    </w:p>
    <w:p>
      <w:pPr>
        <w:pStyle w:val="BodyText"/>
        <w:spacing w:before="2"/>
        <w:rPr>
          <w:sz w:val="21"/>
        </w:rPr>
      </w:pPr>
    </w:p>
    <w:tbl>
      <w:tblPr>
        <w:tblW w:w="0" w:type="auto"/>
        <w:jc w:val="left"/>
        <w:tblInd w:w="14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0337"/>
        <w:gridCol w:w="1066"/>
        <w:gridCol w:w="4076"/>
      </w:tblGrid>
      <w:tr>
        <w:trPr>
          <w:trHeight w:val="782" w:hRule="atLeast"/>
        </w:trPr>
        <w:tc>
          <w:tcPr>
            <w:tcW w:w="15479" w:type="dxa"/>
            <w:gridSpan w:val="3"/>
            <w:tcBorders>
              <w:left w:val="single" w:sz="12" w:space="0" w:color="000000"/>
              <w:bottom w:val="nil"/>
              <w:right w:val="single" w:sz="12" w:space="0" w:color="000000"/>
            </w:tcBorders>
            <w:shd w:val="clear" w:color="auto" w:fill="5B9AD4"/>
          </w:tcPr>
          <w:p>
            <w:pPr>
              <w:pStyle w:val="TableParagraph"/>
              <w:tabs>
                <w:tab w:pos="9395" w:val="left" w:leader="none"/>
                <w:tab w:pos="10556" w:val="left" w:leader="none"/>
                <w:tab w:pos="11884" w:val="left" w:leader="none"/>
                <w:tab w:pos="14795" w:val="left" w:leader="none"/>
              </w:tabs>
              <w:spacing w:line="171" w:lineRule="exact" w:before="148"/>
              <w:ind w:left="8404"/>
              <w:rPr>
                <w:b/>
                <w:sz w:val="18"/>
              </w:rPr>
            </w:pPr>
            <w:r>
              <w:rPr>
                <w:b/>
                <w:color w:val="FFFFFF"/>
                <w:spacing w:val="-2"/>
                <w:sz w:val="18"/>
              </w:rPr>
              <w:t>Actual</w:t>
            </w:r>
            <w:r>
              <w:rPr>
                <w:b/>
                <w:color w:val="FFFFFF"/>
                <w:sz w:val="18"/>
              </w:rPr>
              <w:tab/>
            </w:r>
            <w:r>
              <w:rPr>
                <w:b/>
                <w:color w:val="FFFFFF"/>
                <w:spacing w:val="-2"/>
                <w:sz w:val="18"/>
              </w:rPr>
              <w:t>Forecast</w:t>
            </w:r>
            <w:r>
              <w:rPr>
                <w:b/>
                <w:color w:val="FFFFFF"/>
                <w:sz w:val="18"/>
              </w:rPr>
              <w:tab/>
            </w:r>
            <w:r>
              <w:rPr>
                <w:b/>
                <w:color w:val="FFFFFF"/>
                <w:spacing w:val="-2"/>
                <w:sz w:val="18"/>
              </w:rPr>
              <w:t>Budget</w:t>
            </w:r>
            <w:r>
              <w:rPr>
                <w:b/>
                <w:color w:val="FFFFFF"/>
                <w:sz w:val="18"/>
              </w:rPr>
              <w:tab/>
              <w:t>Financial</w:t>
            </w:r>
            <w:r>
              <w:rPr>
                <w:b/>
                <w:color w:val="FFFFFF"/>
                <w:spacing w:val="-3"/>
                <w:sz w:val="18"/>
              </w:rPr>
              <w:t> </w:t>
            </w:r>
            <w:r>
              <w:rPr>
                <w:b/>
                <w:color w:val="FFFFFF"/>
                <w:sz w:val="18"/>
              </w:rPr>
              <w:t>Plan </w:t>
            </w:r>
            <w:r>
              <w:rPr>
                <w:b/>
                <w:color w:val="FFFFFF"/>
                <w:spacing w:val="-2"/>
                <w:sz w:val="18"/>
              </w:rPr>
              <w:t>Projections</w:t>
            </w:r>
            <w:r>
              <w:rPr>
                <w:b/>
                <w:color w:val="FFFFFF"/>
                <w:sz w:val="18"/>
              </w:rPr>
              <w:tab/>
            </w:r>
            <w:r>
              <w:rPr>
                <w:b/>
                <w:color w:val="FFFFFF"/>
                <w:spacing w:val="-2"/>
                <w:sz w:val="18"/>
              </w:rPr>
              <w:t>Trend</w:t>
            </w:r>
          </w:p>
          <w:p>
            <w:pPr>
              <w:pStyle w:val="TableParagraph"/>
              <w:tabs>
                <w:tab w:pos="4976" w:val="left" w:leader="none"/>
              </w:tabs>
              <w:spacing w:line="171" w:lineRule="exact"/>
              <w:ind w:left="1129"/>
              <w:rPr>
                <w:b/>
                <w:sz w:val="18"/>
              </w:rPr>
            </w:pPr>
            <w:r>
              <w:rPr>
                <w:b/>
                <w:color w:val="FFFFFF"/>
                <w:spacing w:val="-2"/>
                <w:sz w:val="18"/>
              </w:rPr>
              <w:t>Indicator</w:t>
            </w:r>
            <w:r>
              <w:rPr>
                <w:b/>
                <w:color w:val="FFFFFF"/>
                <w:sz w:val="18"/>
              </w:rPr>
              <w:tab/>
            </w:r>
            <w:r>
              <w:rPr>
                <w:b/>
                <w:color w:val="FFFFFF"/>
                <w:spacing w:val="-2"/>
                <w:sz w:val="18"/>
              </w:rPr>
              <w:t>Measure</w:t>
            </w:r>
          </w:p>
          <w:p>
            <w:pPr>
              <w:pStyle w:val="TableParagraph"/>
              <w:tabs>
                <w:tab w:pos="9445" w:val="left" w:leader="none"/>
                <w:tab w:pos="10542" w:val="left" w:leader="none"/>
                <w:tab w:pos="11610" w:val="left" w:leader="none"/>
                <w:tab w:pos="12680" w:val="left" w:leader="none"/>
                <w:tab w:pos="13751" w:val="left" w:leader="none"/>
                <w:tab w:pos="14857" w:val="left" w:leader="none"/>
              </w:tabs>
              <w:spacing w:before="52"/>
              <w:ind w:left="8353"/>
              <w:rPr>
                <w:b/>
                <w:sz w:val="18"/>
              </w:rPr>
            </w:pPr>
            <w:r>
              <w:rPr>
                <w:b/>
                <w:color w:val="FFFFFF"/>
                <w:spacing w:val="-2"/>
                <w:sz w:val="18"/>
              </w:rPr>
              <w:t>2023/24</w:t>
            </w:r>
            <w:r>
              <w:rPr>
                <w:b/>
                <w:color w:val="FFFFFF"/>
                <w:sz w:val="18"/>
              </w:rPr>
              <w:tab/>
            </w:r>
            <w:r>
              <w:rPr>
                <w:b/>
                <w:color w:val="FFFFFF"/>
                <w:spacing w:val="-2"/>
                <w:sz w:val="18"/>
              </w:rPr>
              <w:t>2024/25</w:t>
            </w:r>
            <w:r>
              <w:rPr>
                <w:b/>
                <w:color w:val="FFFFFF"/>
                <w:sz w:val="18"/>
              </w:rPr>
              <w:tab/>
            </w:r>
            <w:r>
              <w:rPr>
                <w:b/>
                <w:color w:val="FFFFFF"/>
                <w:spacing w:val="-2"/>
                <w:sz w:val="18"/>
              </w:rPr>
              <w:t>2025/26</w:t>
            </w:r>
            <w:r>
              <w:rPr>
                <w:b/>
                <w:color w:val="FFFFFF"/>
                <w:sz w:val="18"/>
              </w:rPr>
              <w:tab/>
            </w:r>
            <w:r>
              <w:rPr>
                <w:b/>
                <w:color w:val="FFFFFF"/>
                <w:spacing w:val="-2"/>
                <w:sz w:val="18"/>
              </w:rPr>
              <w:t>2026/27</w:t>
            </w:r>
            <w:r>
              <w:rPr>
                <w:b/>
                <w:color w:val="FFFFFF"/>
                <w:sz w:val="18"/>
              </w:rPr>
              <w:tab/>
            </w:r>
            <w:r>
              <w:rPr>
                <w:b/>
                <w:color w:val="FFFFFF"/>
                <w:spacing w:val="-2"/>
                <w:sz w:val="18"/>
              </w:rPr>
              <w:t>2027/28</w:t>
            </w:r>
            <w:r>
              <w:rPr>
                <w:b/>
                <w:color w:val="FFFFFF"/>
                <w:sz w:val="18"/>
              </w:rPr>
              <w:tab/>
            </w:r>
            <w:r>
              <w:rPr>
                <w:b/>
                <w:color w:val="FFFFFF"/>
                <w:spacing w:val="-2"/>
                <w:sz w:val="18"/>
              </w:rPr>
              <w:t>2028/29</w:t>
            </w:r>
            <w:r>
              <w:rPr>
                <w:b/>
                <w:color w:val="FFFFFF"/>
                <w:sz w:val="18"/>
              </w:rPr>
              <w:tab/>
            </w:r>
            <w:r>
              <w:rPr>
                <w:b/>
                <w:color w:val="FFFFFF"/>
                <w:spacing w:val="-2"/>
                <w:sz w:val="18"/>
              </w:rPr>
              <w:t>+/o/-</w:t>
            </w:r>
          </w:p>
        </w:tc>
      </w:tr>
      <w:tr>
        <w:trPr>
          <w:trHeight w:val="1098" w:hRule="atLeast"/>
        </w:trPr>
        <w:tc>
          <w:tcPr>
            <w:tcW w:w="10337" w:type="dxa"/>
            <w:tcBorders>
              <w:top w:val="nil"/>
              <w:left w:val="single" w:sz="12" w:space="0" w:color="000000"/>
              <w:bottom w:val="single" w:sz="8" w:space="0" w:color="000000"/>
              <w:right w:val="nil"/>
            </w:tcBorders>
          </w:tcPr>
          <w:p>
            <w:pPr>
              <w:pStyle w:val="TableParagraph"/>
              <w:spacing w:before="30"/>
              <w:ind w:left="107"/>
              <w:rPr>
                <w:b/>
                <w:i/>
                <w:sz w:val="18"/>
              </w:rPr>
            </w:pPr>
            <w:r>
              <w:rPr>
                <w:b/>
                <w:i/>
                <w:sz w:val="18"/>
              </w:rPr>
              <w:t>Operating </w:t>
            </w:r>
            <w:r>
              <w:rPr>
                <w:b/>
                <w:i/>
                <w:spacing w:val="-2"/>
                <w:sz w:val="18"/>
              </w:rPr>
              <w:t>position</w:t>
            </w:r>
          </w:p>
          <w:p>
            <w:pPr>
              <w:pStyle w:val="TableParagraph"/>
              <w:tabs>
                <w:tab w:pos="3080" w:val="left" w:leader="none"/>
              </w:tabs>
              <w:spacing w:line="257" w:lineRule="exact" w:before="36"/>
              <w:ind w:left="107"/>
              <w:rPr>
                <w:b/>
                <w:sz w:val="18"/>
              </w:rPr>
            </w:pPr>
            <w:r>
              <w:rPr>
                <w:b/>
                <w:position w:val="10"/>
                <w:sz w:val="18"/>
              </w:rPr>
              <w:t>Adjusted</w:t>
            </w:r>
            <w:r>
              <w:rPr>
                <w:b/>
                <w:spacing w:val="-2"/>
                <w:position w:val="10"/>
                <w:sz w:val="18"/>
              </w:rPr>
              <w:t> </w:t>
            </w:r>
            <w:r>
              <w:rPr>
                <w:b/>
                <w:position w:val="10"/>
                <w:sz w:val="18"/>
              </w:rPr>
              <w:t>underlying</w:t>
            </w:r>
            <w:r>
              <w:rPr>
                <w:b/>
                <w:spacing w:val="-1"/>
                <w:position w:val="10"/>
                <w:sz w:val="18"/>
              </w:rPr>
              <w:t> </w:t>
            </w:r>
            <w:r>
              <w:rPr>
                <w:b/>
                <w:spacing w:val="-2"/>
                <w:position w:val="10"/>
                <w:sz w:val="18"/>
              </w:rPr>
              <w:t>result</w:t>
            </w:r>
            <w:r>
              <w:rPr>
                <w:b/>
                <w:position w:val="10"/>
                <w:sz w:val="18"/>
              </w:rPr>
              <w:tab/>
            </w:r>
            <w:r>
              <w:rPr>
                <w:b/>
                <w:sz w:val="18"/>
              </w:rPr>
              <w:t>Adjusted underlying</w:t>
            </w:r>
            <w:r>
              <w:rPr>
                <w:b/>
                <w:spacing w:val="-1"/>
                <w:sz w:val="18"/>
              </w:rPr>
              <w:t> </w:t>
            </w:r>
            <w:r>
              <w:rPr>
                <w:b/>
                <w:sz w:val="18"/>
              </w:rPr>
              <w:t>surplus</w:t>
            </w:r>
            <w:r>
              <w:rPr>
                <w:b/>
                <w:spacing w:val="-3"/>
                <w:sz w:val="18"/>
              </w:rPr>
              <w:t> </w:t>
            </w:r>
            <w:r>
              <w:rPr>
                <w:b/>
                <w:sz w:val="18"/>
              </w:rPr>
              <w:t>(or </w:t>
            </w:r>
            <w:r>
              <w:rPr>
                <w:b/>
                <w:spacing w:val="-2"/>
                <w:sz w:val="18"/>
              </w:rPr>
              <w:t>deficit)</w:t>
            </w:r>
          </w:p>
          <w:p>
            <w:pPr>
              <w:pStyle w:val="TableParagraph"/>
              <w:tabs>
                <w:tab w:pos="3080" w:val="left" w:leader="none"/>
                <w:tab w:pos="7873" w:val="left" w:leader="none"/>
                <w:tab w:pos="8693" w:val="left" w:leader="none"/>
                <w:tab w:pos="9815" w:val="left" w:leader="none"/>
              </w:tabs>
              <w:spacing w:line="120" w:lineRule="auto" w:before="34"/>
              <w:ind w:left="107" w:right="79"/>
              <w:rPr>
                <w:sz w:val="18"/>
              </w:rPr>
            </w:pPr>
            <w:r>
              <w:rPr>
                <w:position w:val="10"/>
                <w:sz w:val="18"/>
              </w:rPr>
              <w:t>(an adjusted underlying surplus is</w:t>
              <w:tab/>
            </w:r>
            <w:r>
              <w:rPr>
                <w:sz w:val="18"/>
              </w:rPr>
              <w:t>Adjusted underlying surplus (deficit) / Adjusted</w:t>
              <w:tab/>
            </w:r>
            <w:r>
              <w:rPr>
                <w:spacing w:val="-10"/>
                <w:sz w:val="18"/>
              </w:rPr>
              <w:t>9</w:t>
            </w:r>
            <w:r>
              <w:rPr>
                <w:sz w:val="18"/>
              </w:rPr>
              <w:tab/>
            </w:r>
            <w:r>
              <w:rPr>
                <w:spacing w:val="-4"/>
                <w:sz w:val="18"/>
              </w:rPr>
              <w:t>3.5%</w:t>
            </w:r>
            <w:r>
              <w:rPr>
                <w:sz w:val="18"/>
              </w:rPr>
              <w:tab/>
            </w:r>
            <w:r>
              <w:rPr>
                <w:spacing w:val="-4"/>
                <w:sz w:val="18"/>
              </w:rPr>
              <w:t>2.4% </w:t>
            </w:r>
            <w:r>
              <w:rPr>
                <w:sz w:val="18"/>
              </w:rPr>
              <w:t>generated in the ordinary course</w:t>
              <w:tab/>
            </w:r>
            <w:r>
              <w:rPr>
                <w:position w:val="-9"/>
                <w:sz w:val="18"/>
              </w:rPr>
              <w:t>underlying revenue</w:t>
            </w:r>
          </w:p>
          <w:p>
            <w:pPr>
              <w:pStyle w:val="TableParagraph"/>
              <w:spacing w:line="107" w:lineRule="exact"/>
              <w:ind w:left="107"/>
              <w:rPr>
                <w:sz w:val="18"/>
              </w:rPr>
            </w:pPr>
            <w:r>
              <w:rPr>
                <w:sz w:val="18"/>
              </w:rPr>
              <w:t>of</w:t>
            </w:r>
            <w:r>
              <w:rPr>
                <w:spacing w:val="2"/>
                <w:sz w:val="18"/>
              </w:rPr>
              <w:t> </w:t>
            </w:r>
            <w:r>
              <w:rPr>
                <w:spacing w:val="-2"/>
                <w:sz w:val="18"/>
              </w:rPr>
              <w:t>business)</w:t>
            </w:r>
          </w:p>
        </w:tc>
        <w:tc>
          <w:tcPr>
            <w:tcW w:w="1066" w:type="dxa"/>
            <w:tcBorders>
              <w:top w:val="nil"/>
              <w:left w:val="nil"/>
              <w:bottom w:val="single" w:sz="8" w:space="0" w:color="000000"/>
              <w:right w:val="nil"/>
            </w:tcBorders>
            <w:shd w:val="clear" w:color="auto" w:fill="DDEBF6"/>
          </w:tcPr>
          <w:p>
            <w:pPr>
              <w:pStyle w:val="TableParagraph"/>
              <w:rPr>
                <w:sz w:val="20"/>
              </w:rPr>
            </w:pPr>
          </w:p>
          <w:p>
            <w:pPr>
              <w:pStyle w:val="TableParagraph"/>
              <w:rPr>
                <w:sz w:val="20"/>
              </w:rPr>
            </w:pPr>
          </w:p>
          <w:p>
            <w:pPr>
              <w:pStyle w:val="TableParagraph"/>
              <w:spacing w:before="120"/>
              <w:ind w:right="89"/>
              <w:jc w:val="right"/>
              <w:rPr>
                <w:sz w:val="18"/>
              </w:rPr>
            </w:pPr>
            <w:r>
              <w:rPr>
                <w:spacing w:val="-4"/>
                <w:sz w:val="18"/>
              </w:rPr>
              <w:t>5.5%</w:t>
            </w:r>
          </w:p>
        </w:tc>
        <w:tc>
          <w:tcPr>
            <w:tcW w:w="4076" w:type="dxa"/>
            <w:tcBorders>
              <w:top w:val="nil"/>
              <w:left w:val="nil"/>
              <w:bottom w:val="single" w:sz="8" w:space="0" w:color="000000"/>
              <w:right w:val="single" w:sz="12" w:space="0" w:color="000000"/>
            </w:tcBorders>
          </w:tcPr>
          <w:p>
            <w:pPr>
              <w:pStyle w:val="TableParagraph"/>
              <w:rPr>
                <w:sz w:val="20"/>
              </w:rPr>
            </w:pPr>
          </w:p>
          <w:p>
            <w:pPr>
              <w:pStyle w:val="TableParagraph"/>
              <w:rPr>
                <w:sz w:val="20"/>
              </w:rPr>
            </w:pPr>
          </w:p>
          <w:p>
            <w:pPr>
              <w:pStyle w:val="TableParagraph"/>
              <w:tabs>
                <w:tab w:pos="1073" w:val="left" w:leader="none"/>
                <w:tab w:pos="2140" w:val="left" w:leader="none"/>
                <w:tab w:pos="3038" w:val="left" w:leader="none"/>
              </w:tabs>
              <w:spacing w:before="120"/>
              <w:ind w:right="347"/>
              <w:jc w:val="right"/>
              <w:rPr>
                <w:b/>
                <w:sz w:val="18"/>
              </w:rPr>
            </w:pPr>
            <w:r>
              <w:rPr>
                <w:spacing w:val="-4"/>
                <w:sz w:val="18"/>
              </w:rPr>
              <w:t>4.9%</w:t>
            </w:r>
            <w:r>
              <w:rPr>
                <w:sz w:val="18"/>
              </w:rPr>
              <w:tab/>
            </w:r>
            <w:r>
              <w:rPr>
                <w:spacing w:val="-4"/>
                <w:sz w:val="18"/>
              </w:rPr>
              <w:t>4.3%</w:t>
            </w:r>
            <w:r>
              <w:rPr>
                <w:sz w:val="18"/>
              </w:rPr>
              <w:tab/>
            </w:r>
            <w:r>
              <w:rPr>
                <w:spacing w:val="-4"/>
                <w:sz w:val="18"/>
              </w:rPr>
              <w:t>4.4%</w:t>
            </w:r>
            <w:r>
              <w:rPr>
                <w:sz w:val="18"/>
              </w:rPr>
              <w:tab/>
            </w:r>
            <w:r>
              <w:rPr>
                <w:b/>
                <w:spacing w:val="-10"/>
                <w:sz w:val="18"/>
              </w:rPr>
              <w:t>o</w:t>
            </w:r>
          </w:p>
        </w:tc>
      </w:tr>
      <w:tr>
        <w:trPr>
          <w:trHeight w:val="1098" w:hRule="atLeast"/>
        </w:trPr>
        <w:tc>
          <w:tcPr>
            <w:tcW w:w="10337" w:type="dxa"/>
            <w:tcBorders>
              <w:top w:val="single" w:sz="8" w:space="0" w:color="000000"/>
              <w:left w:val="single" w:sz="12" w:space="0" w:color="000000"/>
              <w:bottom w:val="single" w:sz="8" w:space="0" w:color="000000"/>
              <w:right w:val="nil"/>
            </w:tcBorders>
          </w:tcPr>
          <w:p>
            <w:pPr>
              <w:pStyle w:val="TableParagraph"/>
              <w:spacing w:before="30"/>
              <w:ind w:left="107"/>
              <w:rPr>
                <w:b/>
                <w:i/>
                <w:sz w:val="18"/>
              </w:rPr>
            </w:pPr>
            <w:r>
              <w:rPr>
                <w:b/>
                <w:i/>
                <w:spacing w:val="-2"/>
                <w:sz w:val="18"/>
              </w:rPr>
              <w:t>Liquidity</w:t>
            </w:r>
          </w:p>
          <w:p>
            <w:pPr>
              <w:pStyle w:val="TableParagraph"/>
              <w:spacing w:line="207" w:lineRule="exact" w:before="33"/>
              <w:ind w:left="107"/>
              <w:rPr>
                <w:b/>
                <w:sz w:val="18"/>
              </w:rPr>
            </w:pPr>
            <w:r>
              <w:rPr>
                <w:b/>
                <w:sz w:val="18"/>
              </w:rPr>
              <w:t>Unrestricted</w:t>
            </w:r>
            <w:r>
              <w:rPr>
                <w:b/>
                <w:spacing w:val="-2"/>
                <w:sz w:val="18"/>
              </w:rPr>
              <w:t> </w:t>
            </w:r>
            <w:r>
              <w:rPr>
                <w:b/>
                <w:spacing w:val="-4"/>
                <w:sz w:val="18"/>
              </w:rPr>
              <w:t>cash</w:t>
            </w:r>
          </w:p>
          <w:p>
            <w:pPr>
              <w:pStyle w:val="TableParagraph"/>
              <w:tabs>
                <w:tab w:pos="3080" w:val="left" w:leader="none"/>
                <w:tab w:pos="7825" w:val="left" w:leader="none"/>
                <w:tab w:pos="8593" w:val="left" w:leader="none"/>
                <w:tab w:pos="9714" w:val="left" w:leader="none"/>
              </w:tabs>
              <w:spacing w:line="160" w:lineRule="auto" w:before="22"/>
              <w:ind w:left="107" w:right="77"/>
              <w:rPr>
                <w:sz w:val="18"/>
              </w:rPr>
            </w:pPr>
            <w:r>
              <w:rPr>
                <w:sz w:val="18"/>
              </w:rPr>
              <w:t>(sufficient cash that is free of</w:t>
              <w:tab/>
            </w:r>
            <w:r>
              <w:rPr>
                <w:b/>
                <w:sz w:val="18"/>
              </w:rPr>
              <w:t>Unrestricted cash compared to current liabilities</w:t>
              <w:tab/>
            </w:r>
            <w:r>
              <w:rPr>
                <w:spacing w:val="-6"/>
                <w:position w:val="-9"/>
                <w:sz w:val="18"/>
              </w:rPr>
              <w:t>10</w:t>
            </w:r>
            <w:r>
              <w:rPr>
                <w:position w:val="-9"/>
                <w:sz w:val="18"/>
              </w:rPr>
              <w:tab/>
            </w:r>
            <w:r>
              <w:rPr>
                <w:spacing w:val="-2"/>
                <w:position w:val="-9"/>
                <w:sz w:val="18"/>
              </w:rPr>
              <w:t>41.1%</w:t>
            </w:r>
            <w:r>
              <w:rPr>
                <w:position w:val="-9"/>
                <w:sz w:val="18"/>
              </w:rPr>
              <w:tab/>
            </w:r>
            <w:r>
              <w:rPr>
                <w:spacing w:val="-2"/>
                <w:position w:val="-9"/>
                <w:sz w:val="18"/>
              </w:rPr>
              <w:t>12.1% </w:t>
            </w:r>
            <w:r>
              <w:rPr>
                <w:sz w:val="18"/>
              </w:rPr>
              <w:t>restrictions is available to pay bills</w:t>
              <w:tab/>
              <w:t>Unrestricted cash / current liabilities</w:t>
            </w:r>
          </w:p>
          <w:p>
            <w:pPr>
              <w:pStyle w:val="TableParagraph"/>
              <w:spacing w:line="187" w:lineRule="exact" w:before="15"/>
              <w:ind w:left="107"/>
              <w:rPr>
                <w:sz w:val="18"/>
              </w:rPr>
            </w:pPr>
            <w:r>
              <w:rPr>
                <w:sz w:val="18"/>
              </w:rPr>
              <w:t>as</w:t>
            </w:r>
            <w:r>
              <w:rPr>
                <w:spacing w:val="-3"/>
                <w:sz w:val="18"/>
              </w:rPr>
              <w:t> </w:t>
            </w:r>
            <w:r>
              <w:rPr>
                <w:sz w:val="18"/>
              </w:rPr>
              <w:t>and</w:t>
            </w:r>
            <w:r>
              <w:rPr>
                <w:spacing w:val="-1"/>
                <w:sz w:val="18"/>
              </w:rPr>
              <w:t> </w:t>
            </w:r>
            <w:r>
              <w:rPr>
                <w:sz w:val="18"/>
              </w:rPr>
              <w:t>when they</w:t>
            </w:r>
            <w:r>
              <w:rPr>
                <w:spacing w:val="-1"/>
                <w:sz w:val="18"/>
              </w:rPr>
              <w:t> </w:t>
            </w:r>
            <w:r>
              <w:rPr>
                <w:sz w:val="18"/>
              </w:rPr>
              <w:t>fall</w:t>
            </w:r>
            <w:r>
              <w:rPr>
                <w:spacing w:val="-1"/>
                <w:sz w:val="18"/>
              </w:rPr>
              <w:t> </w:t>
            </w:r>
            <w:r>
              <w:rPr>
                <w:spacing w:val="-4"/>
                <w:sz w:val="18"/>
              </w:rPr>
              <w:t>due)</w:t>
            </w:r>
          </w:p>
        </w:tc>
        <w:tc>
          <w:tcPr>
            <w:tcW w:w="1066" w:type="dxa"/>
            <w:tcBorders>
              <w:top w:val="single" w:sz="8" w:space="0" w:color="000000"/>
              <w:left w:val="nil"/>
              <w:bottom w:val="single" w:sz="8" w:space="0" w:color="000000"/>
              <w:right w:val="nil"/>
            </w:tcBorders>
            <w:shd w:val="clear" w:color="auto" w:fill="DDEBF6"/>
          </w:tcPr>
          <w:p>
            <w:pPr>
              <w:pStyle w:val="TableParagraph"/>
              <w:rPr>
                <w:sz w:val="20"/>
              </w:rPr>
            </w:pPr>
          </w:p>
          <w:p>
            <w:pPr>
              <w:pStyle w:val="TableParagraph"/>
              <w:rPr>
                <w:sz w:val="20"/>
              </w:rPr>
            </w:pPr>
          </w:p>
          <w:p>
            <w:pPr>
              <w:pStyle w:val="TableParagraph"/>
              <w:spacing w:before="119"/>
              <w:ind w:right="90"/>
              <w:jc w:val="right"/>
              <w:rPr>
                <w:sz w:val="18"/>
              </w:rPr>
            </w:pPr>
            <w:r>
              <w:rPr>
                <w:spacing w:val="-2"/>
                <w:sz w:val="18"/>
              </w:rPr>
              <w:t>49.4%</w:t>
            </w:r>
          </w:p>
        </w:tc>
        <w:tc>
          <w:tcPr>
            <w:tcW w:w="4076" w:type="dxa"/>
            <w:tcBorders>
              <w:top w:val="single" w:sz="8" w:space="0" w:color="000000"/>
              <w:left w:val="nil"/>
              <w:bottom w:val="single" w:sz="8" w:space="0" w:color="000000"/>
              <w:right w:val="single" w:sz="12" w:space="0" w:color="000000"/>
            </w:tcBorders>
          </w:tcPr>
          <w:p>
            <w:pPr>
              <w:pStyle w:val="TableParagraph"/>
              <w:rPr>
                <w:sz w:val="20"/>
              </w:rPr>
            </w:pPr>
          </w:p>
          <w:p>
            <w:pPr>
              <w:pStyle w:val="TableParagraph"/>
              <w:rPr>
                <w:sz w:val="20"/>
              </w:rPr>
            </w:pPr>
          </w:p>
          <w:p>
            <w:pPr>
              <w:pStyle w:val="TableParagraph"/>
              <w:tabs>
                <w:tab w:pos="1071" w:val="left" w:leader="none"/>
                <w:tab w:pos="2138" w:val="left" w:leader="none"/>
                <w:tab w:pos="3162" w:val="left" w:leader="none"/>
              </w:tabs>
              <w:spacing w:before="119"/>
              <w:ind w:right="373"/>
              <w:jc w:val="right"/>
              <w:rPr>
                <w:b/>
                <w:sz w:val="18"/>
              </w:rPr>
            </w:pPr>
            <w:r>
              <w:rPr>
                <w:spacing w:val="-2"/>
                <w:sz w:val="18"/>
              </w:rPr>
              <w:t>23.8%</w:t>
            </w:r>
            <w:r>
              <w:rPr>
                <w:sz w:val="18"/>
              </w:rPr>
              <w:tab/>
            </w:r>
            <w:r>
              <w:rPr>
                <w:spacing w:val="-2"/>
                <w:sz w:val="18"/>
              </w:rPr>
              <w:t>22.5%</w:t>
            </w:r>
            <w:r>
              <w:rPr>
                <w:sz w:val="18"/>
              </w:rPr>
              <w:tab/>
            </w:r>
            <w:r>
              <w:rPr>
                <w:spacing w:val="-2"/>
                <w:sz w:val="18"/>
              </w:rPr>
              <w:t>13.0%</w:t>
            </w:r>
            <w:r>
              <w:rPr>
                <w:sz w:val="18"/>
              </w:rPr>
              <w:tab/>
            </w:r>
            <w:r>
              <w:rPr>
                <w:b/>
                <w:spacing w:val="-10"/>
                <w:sz w:val="18"/>
              </w:rPr>
              <w:t>-</w:t>
            </w:r>
          </w:p>
        </w:tc>
      </w:tr>
      <w:tr>
        <w:trPr>
          <w:trHeight w:val="4060" w:hRule="atLeast"/>
        </w:trPr>
        <w:tc>
          <w:tcPr>
            <w:tcW w:w="10337" w:type="dxa"/>
            <w:tcBorders>
              <w:top w:val="single" w:sz="8" w:space="0" w:color="000000"/>
              <w:left w:val="single" w:sz="12" w:space="0" w:color="000000"/>
              <w:bottom w:val="single" w:sz="8" w:space="0" w:color="000000"/>
              <w:right w:val="nil"/>
            </w:tcBorders>
          </w:tcPr>
          <w:p>
            <w:pPr>
              <w:pStyle w:val="TableParagraph"/>
              <w:spacing w:before="30"/>
              <w:ind w:left="107"/>
              <w:rPr>
                <w:b/>
                <w:i/>
                <w:sz w:val="18"/>
              </w:rPr>
            </w:pPr>
            <w:r>
              <w:rPr>
                <w:b/>
                <w:i/>
                <w:spacing w:val="-2"/>
                <w:sz w:val="18"/>
              </w:rPr>
              <w:t>Obligations</w:t>
            </w:r>
          </w:p>
          <w:p>
            <w:pPr>
              <w:pStyle w:val="TableParagraph"/>
              <w:spacing w:before="33"/>
              <w:ind w:left="107"/>
              <w:rPr>
                <w:b/>
                <w:sz w:val="18"/>
              </w:rPr>
            </w:pPr>
            <w:r>
              <w:rPr>
                <w:b/>
                <w:sz w:val="18"/>
              </w:rPr>
              <w:t>Loans</w:t>
            </w:r>
            <w:r>
              <w:rPr>
                <w:b/>
                <w:spacing w:val="-2"/>
                <w:sz w:val="18"/>
              </w:rPr>
              <w:t> </w:t>
            </w:r>
            <w:r>
              <w:rPr>
                <w:b/>
                <w:sz w:val="18"/>
              </w:rPr>
              <w:t>and</w:t>
            </w:r>
            <w:r>
              <w:rPr>
                <w:b/>
                <w:spacing w:val="2"/>
                <w:sz w:val="18"/>
              </w:rPr>
              <w:t> </w:t>
            </w:r>
            <w:r>
              <w:rPr>
                <w:b/>
                <w:spacing w:val="-2"/>
                <w:sz w:val="18"/>
              </w:rPr>
              <w:t>borrowings</w:t>
            </w:r>
          </w:p>
          <w:p>
            <w:pPr>
              <w:pStyle w:val="TableParagraph"/>
              <w:tabs>
                <w:tab w:pos="3080" w:val="left" w:leader="none"/>
              </w:tabs>
              <w:spacing w:line="258" w:lineRule="exact" w:before="2"/>
              <w:ind w:left="107"/>
              <w:rPr>
                <w:b/>
                <w:sz w:val="18"/>
              </w:rPr>
            </w:pPr>
            <w:r>
              <w:rPr>
                <w:position w:val="10"/>
                <w:sz w:val="18"/>
              </w:rPr>
              <w:t>(level</w:t>
            </w:r>
            <w:r>
              <w:rPr>
                <w:spacing w:val="-2"/>
                <w:position w:val="10"/>
                <w:sz w:val="18"/>
              </w:rPr>
              <w:t> </w:t>
            </w:r>
            <w:r>
              <w:rPr>
                <w:position w:val="10"/>
                <w:sz w:val="18"/>
              </w:rPr>
              <w:t>of</w:t>
            </w:r>
            <w:r>
              <w:rPr>
                <w:spacing w:val="-3"/>
                <w:position w:val="10"/>
                <w:sz w:val="18"/>
              </w:rPr>
              <w:t> </w:t>
            </w:r>
            <w:r>
              <w:rPr>
                <w:position w:val="10"/>
                <w:sz w:val="18"/>
              </w:rPr>
              <w:t>interest-bearing</w:t>
            </w:r>
            <w:r>
              <w:rPr>
                <w:spacing w:val="-2"/>
                <w:position w:val="10"/>
                <w:sz w:val="18"/>
              </w:rPr>
              <w:t> </w:t>
            </w:r>
            <w:r>
              <w:rPr>
                <w:spacing w:val="-4"/>
                <w:position w:val="10"/>
                <w:sz w:val="18"/>
              </w:rPr>
              <w:t>loans</w:t>
            </w:r>
            <w:r>
              <w:rPr>
                <w:position w:val="10"/>
                <w:sz w:val="18"/>
              </w:rPr>
              <w:tab/>
            </w:r>
            <w:r>
              <w:rPr>
                <w:b/>
                <w:sz w:val="18"/>
              </w:rPr>
              <w:t>Loans</w:t>
            </w:r>
            <w:r>
              <w:rPr>
                <w:b/>
                <w:spacing w:val="-5"/>
                <w:sz w:val="18"/>
              </w:rPr>
              <w:t> </w:t>
            </w:r>
            <w:r>
              <w:rPr>
                <w:b/>
                <w:sz w:val="18"/>
              </w:rPr>
              <w:t>and borrowings</w:t>
            </w:r>
            <w:r>
              <w:rPr>
                <w:b/>
                <w:spacing w:val="-1"/>
                <w:sz w:val="18"/>
              </w:rPr>
              <w:t> </w:t>
            </w:r>
            <w:r>
              <w:rPr>
                <w:b/>
                <w:sz w:val="18"/>
              </w:rPr>
              <w:t>compared</w:t>
            </w:r>
            <w:r>
              <w:rPr>
                <w:b/>
                <w:spacing w:val="1"/>
                <w:sz w:val="18"/>
              </w:rPr>
              <w:t> </w:t>
            </w:r>
            <w:r>
              <w:rPr>
                <w:b/>
                <w:sz w:val="18"/>
              </w:rPr>
              <w:t>to </w:t>
            </w:r>
            <w:r>
              <w:rPr>
                <w:b/>
                <w:spacing w:val="-2"/>
                <w:sz w:val="18"/>
              </w:rPr>
              <w:t>rates</w:t>
            </w:r>
          </w:p>
          <w:p>
            <w:pPr>
              <w:pStyle w:val="TableParagraph"/>
              <w:tabs>
                <w:tab w:pos="3080" w:val="left" w:leader="none"/>
                <w:tab w:pos="7825" w:val="left" w:leader="none"/>
                <w:tab w:pos="8593" w:val="left" w:leader="none"/>
                <w:tab w:pos="9714" w:val="left" w:leader="none"/>
              </w:tabs>
              <w:spacing w:line="120" w:lineRule="auto" w:before="36"/>
              <w:ind w:left="107" w:right="77"/>
              <w:rPr>
                <w:sz w:val="18"/>
              </w:rPr>
            </w:pPr>
            <w:r>
              <w:rPr>
                <w:position w:val="10"/>
                <w:sz w:val="18"/>
              </w:rPr>
              <w:t>and borrowings is appropriate to</w:t>
              <w:tab/>
            </w:r>
            <w:r>
              <w:rPr>
                <w:sz w:val="18"/>
              </w:rPr>
              <w:t>Interest bearing loans and borrowings / rate revenue</w:t>
              <w:tab/>
            </w:r>
            <w:r>
              <w:rPr>
                <w:spacing w:val="-6"/>
                <w:position w:val="10"/>
                <w:sz w:val="18"/>
              </w:rPr>
              <w:t>11</w:t>
            </w:r>
            <w:r>
              <w:rPr>
                <w:position w:val="10"/>
                <w:sz w:val="18"/>
              </w:rPr>
              <w:tab/>
            </w:r>
            <w:r>
              <w:rPr>
                <w:spacing w:val="-2"/>
                <w:position w:val="10"/>
                <w:sz w:val="18"/>
              </w:rPr>
              <w:t>17.3%</w:t>
            </w:r>
            <w:r>
              <w:rPr>
                <w:position w:val="10"/>
                <w:sz w:val="18"/>
              </w:rPr>
              <w:tab/>
            </w:r>
            <w:r>
              <w:rPr>
                <w:spacing w:val="-2"/>
                <w:position w:val="10"/>
                <w:sz w:val="18"/>
              </w:rPr>
              <w:t>14.1% </w:t>
            </w:r>
            <w:r>
              <w:rPr>
                <w:sz w:val="18"/>
              </w:rPr>
              <w:t>the size and nature of Council's</w:t>
            </w:r>
          </w:p>
          <w:p>
            <w:pPr>
              <w:pStyle w:val="TableParagraph"/>
              <w:spacing w:before="18"/>
              <w:ind w:left="107"/>
              <w:rPr>
                <w:sz w:val="18"/>
              </w:rPr>
            </w:pPr>
            <w:r>
              <w:rPr>
                <w:spacing w:val="-2"/>
                <w:sz w:val="18"/>
              </w:rPr>
              <w:t>activities)</w:t>
            </w:r>
          </w:p>
          <w:p>
            <w:pPr>
              <w:pStyle w:val="TableParagraph"/>
              <w:tabs>
                <w:tab w:pos="3080" w:val="left" w:leader="none"/>
              </w:tabs>
              <w:spacing w:line="255" w:lineRule="exact" w:before="2"/>
              <w:ind w:left="107"/>
              <w:rPr>
                <w:b/>
                <w:sz w:val="18"/>
              </w:rPr>
            </w:pPr>
            <w:r>
              <w:rPr>
                <w:b/>
                <w:position w:val="10"/>
                <w:sz w:val="18"/>
              </w:rPr>
              <w:t>Loans</w:t>
            </w:r>
            <w:r>
              <w:rPr>
                <w:b/>
                <w:spacing w:val="-2"/>
                <w:position w:val="10"/>
                <w:sz w:val="18"/>
              </w:rPr>
              <w:t> </w:t>
            </w:r>
            <w:r>
              <w:rPr>
                <w:b/>
                <w:position w:val="10"/>
                <w:sz w:val="18"/>
              </w:rPr>
              <w:t>and</w:t>
            </w:r>
            <w:r>
              <w:rPr>
                <w:b/>
                <w:spacing w:val="2"/>
                <w:position w:val="10"/>
                <w:sz w:val="18"/>
              </w:rPr>
              <w:t> </w:t>
            </w:r>
            <w:r>
              <w:rPr>
                <w:b/>
                <w:spacing w:val="-2"/>
                <w:position w:val="10"/>
                <w:sz w:val="18"/>
              </w:rPr>
              <w:t>borrowings</w:t>
            </w:r>
            <w:r>
              <w:rPr>
                <w:b/>
                <w:position w:val="10"/>
                <w:sz w:val="18"/>
              </w:rPr>
              <w:tab/>
            </w:r>
            <w:r>
              <w:rPr>
                <w:b/>
                <w:sz w:val="18"/>
              </w:rPr>
              <w:t>Loans</w:t>
            </w:r>
            <w:r>
              <w:rPr>
                <w:b/>
                <w:spacing w:val="-3"/>
                <w:sz w:val="18"/>
              </w:rPr>
              <w:t> </w:t>
            </w:r>
            <w:r>
              <w:rPr>
                <w:b/>
                <w:sz w:val="18"/>
              </w:rPr>
              <w:t>and borrowings repayments</w:t>
            </w:r>
            <w:r>
              <w:rPr>
                <w:b/>
                <w:spacing w:val="-2"/>
                <w:sz w:val="18"/>
              </w:rPr>
              <w:t> </w:t>
            </w:r>
            <w:r>
              <w:rPr>
                <w:b/>
                <w:sz w:val="18"/>
              </w:rPr>
              <w:t>compared</w:t>
            </w:r>
            <w:r>
              <w:rPr>
                <w:b/>
                <w:spacing w:val="1"/>
                <w:sz w:val="18"/>
              </w:rPr>
              <w:t> </w:t>
            </w:r>
            <w:r>
              <w:rPr>
                <w:b/>
                <w:spacing w:val="-5"/>
                <w:sz w:val="18"/>
              </w:rPr>
              <w:t>to</w:t>
            </w:r>
          </w:p>
          <w:p>
            <w:pPr>
              <w:pStyle w:val="TableParagraph"/>
              <w:tabs>
                <w:tab w:pos="3080" w:val="left" w:leader="none"/>
              </w:tabs>
              <w:spacing w:line="153" w:lineRule="auto"/>
              <w:ind w:left="107"/>
              <w:rPr>
                <w:b/>
                <w:sz w:val="18"/>
              </w:rPr>
            </w:pPr>
            <w:r>
              <w:rPr>
                <w:sz w:val="18"/>
              </w:rPr>
              <w:t>(level</w:t>
            </w:r>
            <w:r>
              <w:rPr>
                <w:spacing w:val="-2"/>
                <w:sz w:val="18"/>
              </w:rPr>
              <w:t> </w:t>
            </w:r>
            <w:r>
              <w:rPr>
                <w:sz w:val="18"/>
              </w:rPr>
              <w:t>of</w:t>
            </w:r>
            <w:r>
              <w:rPr>
                <w:spacing w:val="-3"/>
                <w:sz w:val="18"/>
              </w:rPr>
              <w:t> </w:t>
            </w:r>
            <w:r>
              <w:rPr>
                <w:sz w:val="18"/>
              </w:rPr>
              <w:t>interest-bearing</w:t>
            </w:r>
            <w:r>
              <w:rPr>
                <w:spacing w:val="-2"/>
                <w:sz w:val="18"/>
              </w:rPr>
              <w:t> </w:t>
            </w:r>
            <w:r>
              <w:rPr>
                <w:spacing w:val="-4"/>
                <w:sz w:val="18"/>
              </w:rPr>
              <w:t>loans</w:t>
            </w:r>
            <w:r>
              <w:rPr>
                <w:sz w:val="18"/>
              </w:rPr>
              <w:tab/>
            </w:r>
            <w:r>
              <w:rPr>
                <w:b/>
                <w:spacing w:val="-2"/>
                <w:position w:val="-10"/>
                <w:sz w:val="18"/>
              </w:rPr>
              <w:t>rates</w:t>
            </w:r>
          </w:p>
          <w:p>
            <w:pPr>
              <w:pStyle w:val="TableParagraph"/>
              <w:tabs>
                <w:tab w:pos="3080" w:val="left" w:leader="none"/>
                <w:tab w:pos="8694" w:val="left" w:leader="none"/>
                <w:tab w:pos="9814" w:val="left" w:leader="none"/>
              </w:tabs>
              <w:spacing w:line="160" w:lineRule="auto"/>
              <w:ind w:left="107" w:right="77"/>
              <w:rPr>
                <w:sz w:val="18"/>
              </w:rPr>
            </w:pPr>
            <w:r>
              <w:rPr>
                <w:position w:val="10"/>
                <w:sz w:val="18"/>
              </w:rPr>
              <w:t>and borrowings is appropriate to</w:t>
              <w:tab/>
            </w:r>
            <w:r>
              <w:rPr>
                <w:sz w:val="18"/>
              </w:rPr>
              <w:t>Interest and principal repayments on interest bearing</w:t>
              <w:tab/>
            </w:r>
            <w:r>
              <w:rPr>
                <w:spacing w:val="-4"/>
                <w:position w:val="10"/>
                <w:sz w:val="18"/>
              </w:rPr>
              <w:t>3.5%</w:t>
            </w:r>
            <w:r>
              <w:rPr>
                <w:position w:val="10"/>
                <w:sz w:val="18"/>
              </w:rPr>
              <w:tab/>
            </w:r>
            <w:r>
              <w:rPr>
                <w:spacing w:val="-4"/>
                <w:position w:val="10"/>
                <w:sz w:val="18"/>
              </w:rPr>
              <w:t>3.4% </w:t>
            </w:r>
            <w:r>
              <w:rPr>
                <w:position w:val="10"/>
                <w:sz w:val="18"/>
              </w:rPr>
              <w:t>the size and nature of Council's</w:t>
              <w:tab/>
            </w:r>
            <w:r>
              <w:rPr>
                <w:sz w:val="18"/>
              </w:rPr>
              <w:t>loans and borrowings / rate revenue</w:t>
            </w:r>
          </w:p>
          <w:p>
            <w:pPr>
              <w:pStyle w:val="TableParagraph"/>
              <w:spacing w:line="81" w:lineRule="exact"/>
              <w:ind w:left="107"/>
              <w:rPr>
                <w:sz w:val="18"/>
              </w:rPr>
            </w:pPr>
            <w:r>
              <w:rPr>
                <w:spacing w:val="-2"/>
                <w:sz w:val="18"/>
              </w:rPr>
              <w:t>activities)</w:t>
            </w:r>
          </w:p>
          <w:p>
            <w:pPr>
              <w:pStyle w:val="TableParagraph"/>
              <w:tabs>
                <w:tab w:pos="3080" w:val="left" w:leader="none"/>
              </w:tabs>
              <w:spacing w:line="263" w:lineRule="exact"/>
              <w:ind w:left="107"/>
              <w:rPr>
                <w:b/>
                <w:sz w:val="18"/>
              </w:rPr>
            </w:pPr>
            <w:r>
              <w:rPr>
                <w:b/>
                <w:spacing w:val="-2"/>
                <w:position w:val="11"/>
                <w:sz w:val="18"/>
              </w:rPr>
              <w:t>Indebtedness</w:t>
            </w:r>
            <w:r>
              <w:rPr>
                <w:b/>
                <w:position w:val="11"/>
                <w:sz w:val="18"/>
              </w:rPr>
              <w:tab/>
            </w:r>
            <w:r>
              <w:rPr>
                <w:b/>
                <w:sz w:val="18"/>
              </w:rPr>
              <w:t>Non-current</w:t>
            </w:r>
            <w:r>
              <w:rPr>
                <w:b/>
                <w:spacing w:val="-1"/>
                <w:sz w:val="18"/>
              </w:rPr>
              <w:t> </w:t>
            </w:r>
            <w:r>
              <w:rPr>
                <w:b/>
                <w:sz w:val="18"/>
              </w:rPr>
              <w:t>liabilities compared to</w:t>
            </w:r>
            <w:r>
              <w:rPr>
                <w:b/>
                <w:spacing w:val="-1"/>
                <w:sz w:val="18"/>
              </w:rPr>
              <w:t> </w:t>
            </w:r>
            <w:r>
              <w:rPr>
                <w:b/>
                <w:sz w:val="18"/>
              </w:rPr>
              <w:t>own-</w:t>
            </w:r>
            <w:r>
              <w:rPr>
                <w:b/>
                <w:spacing w:val="-2"/>
                <w:sz w:val="18"/>
              </w:rPr>
              <w:t>source</w:t>
            </w:r>
          </w:p>
          <w:p>
            <w:pPr>
              <w:pStyle w:val="TableParagraph"/>
              <w:tabs>
                <w:tab w:pos="3080" w:val="left" w:leader="none"/>
                <w:tab w:pos="8593" w:val="left" w:leader="none"/>
                <w:tab w:pos="9714" w:val="left" w:leader="none"/>
              </w:tabs>
              <w:spacing w:line="153" w:lineRule="auto"/>
              <w:ind w:left="107"/>
              <w:rPr>
                <w:sz w:val="18"/>
              </w:rPr>
            </w:pPr>
            <w:r>
              <w:rPr>
                <w:sz w:val="18"/>
              </w:rPr>
              <w:t>(level of</w:t>
            </w:r>
            <w:r>
              <w:rPr>
                <w:spacing w:val="-3"/>
                <w:sz w:val="18"/>
              </w:rPr>
              <w:t> </w:t>
            </w:r>
            <w:r>
              <w:rPr>
                <w:sz w:val="18"/>
              </w:rPr>
              <w:t>long-term</w:t>
            </w:r>
            <w:r>
              <w:rPr>
                <w:spacing w:val="-1"/>
                <w:sz w:val="18"/>
              </w:rPr>
              <w:t> </w:t>
            </w:r>
            <w:r>
              <w:rPr>
                <w:sz w:val="18"/>
              </w:rPr>
              <w:t>liabilities </w:t>
            </w:r>
            <w:r>
              <w:rPr>
                <w:spacing w:val="-5"/>
                <w:sz w:val="18"/>
              </w:rPr>
              <w:t>is</w:t>
            </w:r>
            <w:r>
              <w:rPr>
                <w:sz w:val="18"/>
              </w:rPr>
              <w:tab/>
            </w:r>
            <w:r>
              <w:rPr>
                <w:b/>
                <w:spacing w:val="-2"/>
                <w:position w:val="-9"/>
                <w:sz w:val="18"/>
              </w:rPr>
              <w:t>revenue</w:t>
            </w:r>
            <w:r>
              <w:rPr>
                <w:b/>
                <w:position w:val="-9"/>
                <w:sz w:val="18"/>
              </w:rPr>
              <w:tab/>
            </w:r>
            <w:r>
              <w:rPr>
                <w:spacing w:val="-2"/>
                <w:position w:val="-9"/>
                <w:sz w:val="18"/>
              </w:rPr>
              <w:t>15.6%</w:t>
            </w:r>
            <w:r>
              <w:rPr>
                <w:position w:val="-9"/>
                <w:sz w:val="18"/>
              </w:rPr>
              <w:tab/>
            </w:r>
            <w:r>
              <w:rPr>
                <w:spacing w:val="-2"/>
                <w:position w:val="-9"/>
                <w:sz w:val="18"/>
              </w:rPr>
              <w:t>12.6%</w:t>
            </w:r>
          </w:p>
          <w:p>
            <w:pPr>
              <w:pStyle w:val="TableParagraph"/>
              <w:tabs>
                <w:tab w:pos="3080" w:val="left" w:leader="none"/>
              </w:tabs>
              <w:spacing w:line="120" w:lineRule="auto"/>
              <w:ind w:left="107" w:right="3801"/>
              <w:rPr>
                <w:sz w:val="18"/>
              </w:rPr>
            </w:pPr>
            <w:r>
              <w:rPr>
                <w:position w:val="10"/>
                <w:sz w:val="18"/>
              </w:rPr>
              <w:t>appropriate to the size and nature</w:t>
              <w:tab/>
            </w:r>
            <w:r>
              <w:rPr>
                <w:sz w:val="18"/>
              </w:rPr>
              <w:t>non-current</w:t>
            </w:r>
            <w:r>
              <w:rPr>
                <w:spacing w:val="-6"/>
                <w:sz w:val="18"/>
              </w:rPr>
              <w:t> </w:t>
            </w:r>
            <w:r>
              <w:rPr>
                <w:sz w:val="18"/>
              </w:rPr>
              <w:t>liabilities</w:t>
            </w:r>
            <w:r>
              <w:rPr>
                <w:spacing w:val="-3"/>
                <w:sz w:val="18"/>
              </w:rPr>
              <w:t> </w:t>
            </w:r>
            <w:r>
              <w:rPr>
                <w:sz w:val="18"/>
              </w:rPr>
              <w:t>/</w:t>
            </w:r>
            <w:r>
              <w:rPr>
                <w:spacing w:val="-6"/>
                <w:sz w:val="18"/>
              </w:rPr>
              <w:t> </w:t>
            </w:r>
            <w:r>
              <w:rPr>
                <w:sz w:val="18"/>
              </w:rPr>
              <w:t>own</w:t>
            </w:r>
            <w:r>
              <w:rPr>
                <w:spacing w:val="-6"/>
                <w:sz w:val="18"/>
              </w:rPr>
              <w:t> </w:t>
            </w:r>
            <w:r>
              <w:rPr>
                <w:sz w:val="18"/>
              </w:rPr>
              <w:t>source</w:t>
            </w:r>
            <w:r>
              <w:rPr>
                <w:spacing w:val="-4"/>
                <w:sz w:val="18"/>
              </w:rPr>
              <w:t> </w:t>
            </w:r>
            <w:r>
              <w:rPr>
                <w:sz w:val="18"/>
              </w:rPr>
              <w:t>revenue of a Council's activities)</w:t>
            </w:r>
          </w:p>
          <w:p>
            <w:pPr>
              <w:pStyle w:val="TableParagraph"/>
              <w:spacing w:before="31"/>
              <w:ind w:left="107"/>
              <w:rPr>
                <w:b/>
                <w:i/>
                <w:sz w:val="18"/>
              </w:rPr>
            </w:pPr>
            <w:r>
              <w:rPr>
                <w:b/>
                <w:i/>
                <w:spacing w:val="-2"/>
                <w:sz w:val="18"/>
              </w:rPr>
              <w:t>Stability</w:t>
            </w:r>
          </w:p>
          <w:p>
            <w:pPr>
              <w:pStyle w:val="TableParagraph"/>
              <w:tabs>
                <w:tab w:pos="3080" w:val="left" w:leader="none"/>
              </w:tabs>
              <w:spacing w:before="31"/>
              <w:ind w:left="107"/>
              <w:rPr>
                <w:b/>
                <w:sz w:val="18"/>
              </w:rPr>
            </w:pPr>
            <w:r>
              <w:rPr>
                <w:b/>
                <w:sz w:val="18"/>
              </w:rPr>
              <w:t>Rates</w:t>
            </w:r>
            <w:r>
              <w:rPr>
                <w:b/>
                <w:spacing w:val="-1"/>
                <w:sz w:val="18"/>
              </w:rPr>
              <w:t> </w:t>
            </w:r>
            <w:r>
              <w:rPr>
                <w:b/>
                <w:spacing w:val="-2"/>
                <w:sz w:val="18"/>
              </w:rPr>
              <w:t>effort</w:t>
            </w:r>
            <w:r>
              <w:rPr>
                <w:b/>
                <w:sz w:val="18"/>
              </w:rPr>
              <w:tab/>
              <w:t>Rates</w:t>
            </w:r>
            <w:r>
              <w:rPr>
                <w:b/>
                <w:spacing w:val="-2"/>
                <w:sz w:val="18"/>
              </w:rPr>
              <w:t> </w:t>
            </w:r>
            <w:r>
              <w:rPr>
                <w:b/>
                <w:sz w:val="18"/>
              </w:rPr>
              <w:t>compared</w:t>
            </w:r>
            <w:r>
              <w:rPr>
                <w:b/>
                <w:spacing w:val="-1"/>
                <w:sz w:val="18"/>
              </w:rPr>
              <w:t> </w:t>
            </w:r>
            <w:r>
              <w:rPr>
                <w:b/>
                <w:sz w:val="18"/>
              </w:rPr>
              <w:t>to property</w:t>
            </w:r>
            <w:r>
              <w:rPr>
                <w:b/>
                <w:spacing w:val="-1"/>
                <w:sz w:val="18"/>
              </w:rPr>
              <w:t> </w:t>
            </w:r>
            <w:r>
              <w:rPr>
                <w:b/>
                <w:spacing w:val="-2"/>
                <w:sz w:val="18"/>
              </w:rPr>
              <w:t>values</w:t>
            </w:r>
          </w:p>
          <w:p>
            <w:pPr>
              <w:pStyle w:val="TableParagraph"/>
              <w:tabs>
                <w:tab w:pos="3080" w:val="left" w:leader="none"/>
                <w:tab w:pos="7825" w:val="left" w:leader="none"/>
                <w:tab w:pos="8694" w:val="left" w:leader="none"/>
                <w:tab w:pos="9814" w:val="left" w:leader="none"/>
              </w:tabs>
              <w:spacing w:line="206" w:lineRule="exact"/>
              <w:ind w:left="107" w:right="77"/>
              <w:rPr>
                <w:sz w:val="18"/>
              </w:rPr>
            </w:pPr>
            <w:r>
              <w:rPr>
                <w:sz w:val="18"/>
              </w:rPr>
              <w:t>(rating level is set based on the</w:t>
              <w:tab/>
              <w:t>Rate revenue / CIV of rateable properties in the</w:t>
              <w:tab/>
            </w:r>
            <w:r>
              <w:rPr>
                <w:spacing w:val="-6"/>
                <w:sz w:val="18"/>
              </w:rPr>
              <w:t>12</w:t>
            </w:r>
            <w:r>
              <w:rPr>
                <w:sz w:val="18"/>
              </w:rPr>
              <w:tab/>
            </w:r>
            <w:r>
              <w:rPr>
                <w:spacing w:val="-4"/>
                <w:sz w:val="18"/>
              </w:rPr>
              <w:t>0.2%</w:t>
            </w:r>
            <w:r>
              <w:rPr>
                <w:sz w:val="18"/>
              </w:rPr>
              <w:tab/>
            </w:r>
            <w:r>
              <w:rPr>
                <w:spacing w:val="-4"/>
                <w:sz w:val="18"/>
              </w:rPr>
              <w:t>0.2% </w:t>
            </w:r>
            <w:r>
              <w:rPr>
                <w:sz w:val="18"/>
              </w:rPr>
              <w:t>community's capacity to pay)</w:t>
              <w:tab/>
              <w:t>municipal district</w:t>
            </w:r>
          </w:p>
        </w:tc>
        <w:tc>
          <w:tcPr>
            <w:tcW w:w="1066" w:type="dxa"/>
            <w:tcBorders>
              <w:top w:val="single" w:sz="8" w:space="0" w:color="000000"/>
              <w:left w:val="nil"/>
              <w:bottom w:val="single" w:sz="8" w:space="0" w:color="000000"/>
              <w:right w:val="nil"/>
            </w:tcBorders>
            <w:shd w:val="clear" w:color="auto" w:fill="DDEBF6"/>
          </w:tcPr>
          <w:p>
            <w:pPr>
              <w:pStyle w:val="TableParagraph"/>
              <w:rPr>
                <w:sz w:val="20"/>
              </w:rPr>
            </w:pPr>
          </w:p>
          <w:p>
            <w:pPr>
              <w:pStyle w:val="TableParagraph"/>
              <w:rPr>
                <w:sz w:val="20"/>
              </w:rPr>
            </w:pPr>
          </w:p>
          <w:p>
            <w:pPr>
              <w:pStyle w:val="TableParagraph"/>
              <w:spacing w:before="6"/>
              <w:rPr>
                <w:sz w:val="19"/>
              </w:rPr>
            </w:pPr>
          </w:p>
          <w:p>
            <w:pPr>
              <w:pStyle w:val="TableParagraph"/>
              <w:ind w:right="90"/>
              <w:jc w:val="right"/>
              <w:rPr>
                <w:sz w:val="18"/>
              </w:rPr>
            </w:pPr>
            <w:r>
              <w:rPr>
                <w:spacing w:val="-2"/>
                <w:sz w:val="18"/>
              </w:rPr>
              <w:t>19.5%</w:t>
            </w:r>
          </w:p>
          <w:p>
            <w:pPr>
              <w:pStyle w:val="TableParagraph"/>
              <w:rPr>
                <w:sz w:val="20"/>
              </w:rPr>
            </w:pPr>
          </w:p>
          <w:p>
            <w:pPr>
              <w:pStyle w:val="TableParagraph"/>
              <w:rPr>
                <w:sz w:val="20"/>
              </w:rPr>
            </w:pPr>
          </w:p>
          <w:p>
            <w:pPr>
              <w:pStyle w:val="TableParagraph"/>
              <w:rPr>
                <w:sz w:val="20"/>
              </w:rPr>
            </w:pPr>
          </w:p>
          <w:p>
            <w:pPr>
              <w:pStyle w:val="TableParagraph"/>
              <w:spacing w:before="138"/>
              <w:ind w:right="89"/>
              <w:jc w:val="right"/>
              <w:rPr>
                <w:sz w:val="18"/>
              </w:rPr>
            </w:pPr>
            <w:r>
              <w:rPr>
                <w:spacing w:val="-4"/>
                <w:sz w:val="18"/>
              </w:rPr>
              <w:t>3.2%</w:t>
            </w:r>
          </w:p>
          <w:p>
            <w:pPr>
              <w:pStyle w:val="TableParagraph"/>
              <w:rPr>
                <w:sz w:val="20"/>
              </w:rPr>
            </w:pPr>
          </w:p>
          <w:p>
            <w:pPr>
              <w:pStyle w:val="TableParagraph"/>
              <w:rPr>
                <w:sz w:val="20"/>
              </w:rPr>
            </w:pPr>
          </w:p>
          <w:p>
            <w:pPr>
              <w:pStyle w:val="TableParagraph"/>
              <w:spacing w:before="11"/>
              <w:rPr>
                <w:sz w:val="22"/>
              </w:rPr>
            </w:pPr>
          </w:p>
          <w:p>
            <w:pPr>
              <w:pStyle w:val="TableParagraph"/>
              <w:ind w:right="90"/>
              <w:jc w:val="right"/>
              <w:rPr>
                <w:sz w:val="18"/>
              </w:rPr>
            </w:pPr>
            <w:r>
              <w:rPr>
                <w:spacing w:val="-2"/>
                <w:sz w:val="18"/>
              </w:rPr>
              <w:t>16.3%</w:t>
            </w:r>
          </w:p>
          <w:p>
            <w:pPr>
              <w:pStyle w:val="TableParagraph"/>
              <w:rPr>
                <w:sz w:val="20"/>
              </w:rPr>
            </w:pPr>
          </w:p>
          <w:p>
            <w:pPr>
              <w:pStyle w:val="TableParagraph"/>
              <w:rPr>
                <w:sz w:val="20"/>
              </w:rPr>
            </w:pPr>
          </w:p>
          <w:p>
            <w:pPr>
              <w:pStyle w:val="TableParagraph"/>
              <w:spacing w:before="7"/>
              <w:rPr>
                <w:sz w:val="28"/>
              </w:rPr>
            </w:pPr>
          </w:p>
          <w:p>
            <w:pPr>
              <w:pStyle w:val="TableParagraph"/>
              <w:ind w:right="89"/>
              <w:jc w:val="right"/>
              <w:rPr>
                <w:sz w:val="18"/>
              </w:rPr>
            </w:pPr>
            <w:r>
              <w:rPr>
                <w:spacing w:val="-4"/>
                <w:sz w:val="18"/>
              </w:rPr>
              <w:t>0.2%</w:t>
            </w:r>
          </w:p>
        </w:tc>
        <w:tc>
          <w:tcPr>
            <w:tcW w:w="4076" w:type="dxa"/>
            <w:tcBorders>
              <w:top w:val="single" w:sz="8" w:space="0" w:color="000000"/>
              <w:left w:val="nil"/>
              <w:bottom w:val="single" w:sz="8" w:space="0" w:color="000000"/>
              <w:right w:val="single" w:sz="12" w:space="0" w:color="000000"/>
            </w:tcBorders>
          </w:tcPr>
          <w:p>
            <w:pPr>
              <w:pStyle w:val="TableParagraph"/>
              <w:rPr>
                <w:sz w:val="20"/>
              </w:rPr>
            </w:pPr>
          </w:p>
          <w:p>
            <w:pPr>
              <w:pStyle w:val="TableParagraph"/>
              <w:rPr>
                <w:sz w:val="20"/>
              </w:rPr>
            </w:pPr>
          </w:p>
          <w:p>
            <w:pPr>
              <w:pStyle w:val="TableParagraph"/>
              <w:spacing w:before="6"/>
              <w:rPr>
                <w:sz w:val="19"/>
              </w:rPr>
            </w:pPr>
          </w:p>
          <w:p>
            <w:pPr>
              <w:pStyle w:val="TableParagraph"/>
              <w:tabs>
                <w:tab w:pos="1520" w:val="left" w:leader="none"/>
                <w:tab w:pos="2587" w:val="left" w:leader="none"/>
                <w:tab w:pos="3586" w:val="left" w:leader="none"/>
              </w:tabs>
              <w:ind w:left="448"/>
              <w:rPr>
                <w:b/>
                <w:sz w:val="18"/>
              </w:rPr>
            </w:pPr>
            <w:r>
              <w:rPr>
                <w:spacing w:val="-2"/>
                <w:sz w:val="18"/>
              </w:rPr>
              <w:t>23.3%</w:t>
            </w:r>
            <w:r>
              <w:rPr>
                <w:sz w:val="18"/>
              </w:rPr>
              <w:tab/>
            </w:r>
            <w:r>
              <w:rPr>
                <w:spacing w:val="-4"/>
                <w:sz w:val="18"/>
              </w:rPr>
              <w:t>23.6%</w:t>
            </w:r>
            <w:r>
              <w:rPr>
                <w:sz w:val="18"/>
              </w:rPr>
              <w:tab/>
            </w:r>
            <w:r>
              <w:rPr>
                <w:spacing w:val="-2"/>
                <w:sz w:val="18"/>
              </w:rPr>
              <w:t>19.1%</w:t>
            </w:r>
            <w:r>
              <w:rPr>
                <w:sz w:val="18"/>
              </w:rPr>
              <w:tab/>
            </w:r>
            <w:r>
              <w:rPr>
                <w:b/>
                <w:spacing w:val="-10"/>
                <w:sz w:val="18"/>
              </w:rPr>
              <w:t>o</w:t>
            </w:r>
          </w:p>
          <w:p>
            <w:pPr>
              <w:pStyle w:val="TableParagraph"/>
              <w:rPr>
                <w:sz w:val="20"/>
              </w:rPr>
            </w:pPr>
          </w:p>
          <w:p>
            <w:pPr>
              <w:pStyle w:val="TableParagraph"/>
              <w:rPr>
                <w:sz w:val="20"/>
              </w:rPr>
            </w:pPr>
          </w:p>
          <w:p>
            <w:pPr>
              <w:pStyle w:val="TableParagraph"/>
              <w:rPr>
                <w:sz w:val="20"/>
              </w:rPr>
            </w:pPr>
          </w:p>
          <w:p>
            <w:pPr>
              <w:pStyle w:val="TableParagraph"/>
              <w:tabs>
                <w:tab w:pos="1621" w:val="left" w:leader="none"/>
                <w:tab w:pos="2689" w:val="left" w:leader="none"/>
                <w:tab w:pos="3610" w:val="left" w:leader="none"/>
              </w:tabs>
              <w:spacing w:before="138"/>
              <w:ind w:left="548"/>
              <w:rPr>
                <w:b/>
                <w:sz w:val="18"/>
              </w:rPr>
            </w:pPr>
            <w:r>
              <w:rPr>
                <w:spacing w:val="-4"/>
                <w:sz w:val="18"/>
              </w:rPr>
              <w:t>3.7%</w:t>
            </w:r>
            <w:r>
              <w:rPr>
                <w:sz w:val="18"/>
              </w:rPr>
              <w:tab/>
            </w:r>
            <w:r>
              <w:rPr>
                <w:spacing w:val="-4"/>
                <w:sz w:val="18"/>
              </w:rPr>
              <w:t>4.4%</w:t>
            </w:r>
            <w:r>
              <w:rPr>
                <w:sz w:val="18"/>
              </w:rPr>
              <w:tab/>
            </w:r>
            <w:r>
              <w:rPr>
                <w:spacing w:val="-4"/>
                <w:sz w:val="18"/>
              </w:rPr>
              <w:t>4.8%</w:t>
            </w:r>
            <w:r>
              <w:rPr>
                <w:sz w:val="18"/>
              </w:rPr>
              <w:tab/>
            </w:r>
            <w:r>
              <w:rPr>
                <w:b/>
                <w:spacing w:val="-10"/>
                <w:sz w:val="18"/>
              </w:rPr>
              <w:t>-</w:t>
            </w:r>
          </w:p>
          <w:p>
            <w:pPr>
              <w:pStyle w:val="TableParagraph"/>
              <w:rPr>
                <w:sz w:val="20"/>
              </w:rPr>
            </w:pPr>
          </w:p>
          <w:p>
            <w:pPr>
              <w:pStyle w:val="TableParagraph"/>
              <w:rPr>
                <w:sz w:val="20"/>
              </w:rPr>
            </w:pPr>
          </w:p>
          <w:p>
            <w:pPr>
              <w:pStyle w:val="TableParagraph"/>
              <w:spacing w:before="11"/>
              <w:rPr>
                <w:sz w:val="22"/>
              </w:rPr>
            </w:pPr>
          </w:p>
          <w:p>
            <w:pPr>
              <w:pStyle w:val="TableParagraph"/>
              <w:tabs>
                <w:tab w:pos="1520" w:val="left" w:leader="none"/>
                <w:tab w:pos="2587" w:val="left" w:leader="none"/>
                <w:tab w:pos="3610" w:val="left" w:leader="none"/>
              </w:tabs>
              <w:ind w:left="448"/>
              <w:rPr>
                <w:b/>
                <w:sz w:val="18"/>
              </w:rPr>
            </w:pPr>
            <w:r>
              <w:rPr>
                <w:spacing w:val="-2"/>
                <w:sz w:val="18"/>
              </w:rPr>
              <w:t>18.4%</w:t>
            </w:r>
            <w:r>
              <w:rPr>
                <w:sz w:val="18"/>
              </w:rPr>
              <w:tab/>
            </w:r>
            <w:r>
              <w:rPr>
                <w:spacing w:val="-4"/>
                <w:sz w:val="18"/>
              </w:rPr>
              <w:t>17.6%</w:t>
            </w:r>
            <w:r>
              <w:rPr>
                <w:sz w:val="18"/>
              </w:rPr>
              <w:tab/>
            </w:r>
            <w:r>
              <w:rPr>
                <w:spacing w:val="-2"/>
                <w:sz w:val="18"/>
              </w:rPr>
              <w:t>14.3%</w:t>
            </w:r>
            <w:r>
              <w:rPr>
                <w:sz w:val="18"/>
              </w:rPr>
              <w:tab/>
            </w:r>
            <w:r>
              <w:rPr>
                <w:b/>
                <w:spacing w:val="-10"/>
                <w:sz w:val="18"/>
              </w:rPr>
              <w:t>-</w:t>
            </w:r>
          </w:p>
          <w:p>
            <w:pPr>
              <w:pStyle w:val="TableParagraph"/>
              <w:rPr>
                <w:sz w:val="20"/>
              </w:rPr>
            </w:pPr>
          </w:p>
          <w:p>
            <w:pPr>
              <w:pStyle w:val="TableParagraph"/>
              <w:rPr>
                <w:sz w:val="20"/>
              </w:rPr>
            </w:pPr>
          </w:p>
          <w:p>
            <w:pPr>
              <w:pStyle w:val="TableParagraph"/>
              <w:spacing w:before="7"/>
              <w:rPr>
                <w:sz w:val="28"/>
              </w:rPr>
            </w:pPr>
          </w:p>
          <w:p>
            <w:pPr>
              <w:pStyle w:val="TableParagraph"/>
              <w:tabs>
                <w:tab w:pos="1621" w:val="left" w:leader="none"/>
                <w:tab w:pos="2689" w:val="left" w:leader="none"/>
                <w:tab w:pos="3586" w:val="left" w:leader="none"/>
              </w:tabs>
              <w:ind w:left="548"/>
              <w:rPr>
                <w:b/>
                <w:sz w:val="18"/>
              </w:rPr>
            </w:pPr>
            <w:r>
              <w:rPr>
                <w:spacing w:val="-4"/>
                <w:sz w:val="18"/>
              </w:rPr>
              <w:t>0.3%</w:t>
            </w:r>
            <w:r>
              <w:rPr>
                <w:sz w:val="18"/>
              </w:rPr>
              <w:tab/>
            </w:r>
            <w:r>
              <w:rPr>
                <w:spacing w:val="-4"/>
                <w:sz w:val="18"/>
              </w:rPr>
              <w:t>0.3%</w:t>
            </w:r>
            <w:r>
              <w:rPr>
                <w:sz w:val="18"/>
              </w:rPr>
              <w:tab/>
            </w:r>
            <w:r>
              <w:rPr>
                <w:spacing w:val="-4"/>
                <w:sz w:val="18"/>
              </w:rPr>
              <w:t>0.3%</w:t>
            </w:r>
            <w:r>
              <w:rPr>
                <w:sz w:val="18"/>
              </w:rPr>
              <w:tab/>
            </w:r>
            <w:r>
              <w:rPr>
                <w:b/>
                <w:spacing w:val="-10"/>
                <w:sz w:val="18"/>
              </w:rPr>
              <w:t>o</w:t>
            </w:r>
          </w:p>
        </w:tc>
      </w:tr>
      <w:tr>
        <w:trPr>
          <w:trHeight w:val="894" w:hRule="atLeast"/>
        </w:trPr>
        <w:tc>
          <w:tcPr>
            <w:tcW w:w="10337" w:type="dxa"/>
            <w:tcBorders>
              <w:top w:val="single" w:sz="8" w:space="0" w:color="000000"/>
              <w:left w:val="single" w:sz="12" w:space="0" w:color="000000"/>
              <w:bottom w:val="single" w:sz="12" w:space="0" w:color="000000"/>
              <w:right w:val="nil"/>
            </w:tcBorders>
          </w:tcPr>
          <w:p>
            <w:pPr>
              <w:pStyle w:val="TableParagraph"/>
              <w:spacing w:before="32"/>
              <w:ind w:left="107"/>
              <w:rPr>
                <w:b/>
                <w:i/>
                <w:sz w:val="18"/>
              </w:rPr>
            </w:pPr>
            <w:r>
              <w:rPr>
                <w:b/>
                <w:i/>
                <w:spacing w:val="-2"/>
                <w:sz w:val="18"/>
              </w:rPr>
              <w:t>Efficiency</w:t>
            </w:r>
          </w:p>
          <w:p>
            <w:pPr>
              <w:pStyle w:val="TableParagraph"/>
              <w:tabs>
                <w:tab w:pos="3080" w:val="left" w:leader="none"/>
              </w:tabs>
              <w:spacing w:line="256" w:lineRule="exact" w:before="34"/>
              <w:ind w:left="107"/>
              <w:rPr>
                <w:sz w:val="18"/>
              </w:rPr>
            </w:pPr>
            <w:r>
              <w:rPr>
                <w:b/>
                <w:position w:val="10"/>
                <w:sz w:val="18"/>
              </w:rPr>
              <w:t>Revenue </w:t>
            </w:r>
            <w:r>
              <w:rPr>
                <w:b/>
                <w:spacing w:val="-2"/>
                <w:position w:val="10"/>
                <w:sz w:val="18"/>
              </w:rPr>
              <w:t>level</w:t>
            </w:r>
            <w:r>
              <w:rPr>
                <w:b/>
                <w:position w:val="10"/>
                <w:sz w:val="18"/>
              </w:rPr>
              <w:tab/>
            </w:r>
            <w:r>
              <w:rPr>
                <w:sz w:val="18"/>
              </w:rPr>
              <w:t>Residential</w:t>
            </w:r>
            <w:r>
              <w:rPr>
                <w:spacing w:val="-3"/>
                <w:sz w:val="18"/>
              </w:rPr>
              <w:t> </w:t>
            </w:r>
            <w:r>
              <w:rPr>
                <w:sz w:val="18"/>
              </w:rPr>
              <w:t>rate</w:t>
            </w:r>
            <w:r>
              <w:rPr>
                <w:spacing w:val="1"/>
                <w:sz w:val="18"/>
              </w:rPr>
              <w:t> </w:t>
            </w:r>
            <w:r>
              <w:rPr>
                <w:sz w:val="18"/>
              </w:rPr>
              <w:t>revenue /</w:t>
            </w:r>
            <w:r>
              <w:rPr>
                <w:spacing w:val="-3"/>
                <w:sz w:val="18"/>
              </w:rPr>
              <w:t> </w:t>
            </w:r>
            <w:r>
              <w:rPr>
                <w:sz w:val="18"/>
              </w:rPr>
              <w:t>no.</w:t>
            </w:r>
            <w:r>
              <w:rPr>
                <w:spacing w:val="-4"/>
                <w:sz w:val="18"/>
              </w:rPr>
              <w:t> </w:t>
            </w:r>
            <w:r>
              <w:rPr>
                <w:sz w:val="18"/>
              </w:rPr>
              <w:t>of</w:t>
            </w:r>
            <w:r>
              <w:rPr>
                <w:spacing w:val="1"/>
                <w:sz w:val="18"/>
              </w:rPr>
              <w:t> </w:t>
            </w:r>
            <w:r>
              <w:rPr>
                <w:sz w:val="18"/>
              </w:rPr>
              <w:t>residential</w:t>
            </w:r>
            <w:r>
              <w:rPr>
                <w:spacing w:val="-1"/>
                <w:sz w:val="18"/>
              </w:rPr>
              <w:t> </w:t>
            </w:r>
            <w:r>
              <w:rPr>
                <w:spacing w:val="-2"/>
                <w:sz w:val="18"/>
              </w:rPr>
              <w:t>property</w:t>
            </w:r>
          </w:p>
          <w:p>
            <w:pPr>
              <w:pStyle w:val="TableParagraph"/>
              <w:tabs>
                <w:tab w:pos="3080" w:val="left" w:leader="none"/>
                <w:tab w:pos="7825" w:val="left" w:leader="none"/>
                <w:tab w:pos="8552" w:val="left" w:leader="none"/>
                <w:tab w:pos="9673" w:val="left" w:leader="none"/>
              </w:tabs>
              <w:spacing w:line="151" w:lineRule="auto"/>
              <w:ind w:left="107"/>
              <w:rPr>
                <w:sz w:val="18"/>
              </w:rPr>
            </w:pPr>
            <w:r>
              <w:rPr>
                <w:sz w:val="18"/>
              </w:rPr>
              <w:t>(resources</w:t>
            </w:r>
            <w:r>
              <w:rPr>
                <w:spacing w:val="-3"/>
                <w:sz w:val="18"/>
              </w:rPr>
              <w:t> </w:t>
            </w:r>
            <w:r>
              <w:rPr>
                <w:sz w:val="18"/>
              </w:rPr>
              <w:t>are</w:t>
            </w:r>
            <w:r>
              <w:rPr>
                <w:spacing w:val="-3"/>
                <w:sz w:val="18"/>
              </w:rPr>
              <w:t> </w:t>
            </w:r>
            <w:r>
              <w:rPr>
                <w:sz w:val="18"/>
              </w:rPr>
              <w:t>used</w:t>
            </w:r>
            <w:r>
              <w:rPr>
                <w:spacing w:val="1"/>
                <w:sz w:val="18"/>
              </w:rPr>
              <w:t> </w:t>
            </w:r>
            <w:r>
              <w:rPr>
                <w:sz w:val="18"/>
              </w:rPr>
              <w:t>efficiently</w:t>
            </w:r>
            <w:r>
              <w:rPr>
                <w:spacing w:val="-5"/>
                <w:sz w:val="18"/>
              </w:rPr>
              <w:t> in</w:t>
            </w:r>
            <w:r>
              <w:rPr>
                <w:sz w:val="18"/>
              </w:rPr>
              <w:tab/>
            </w:r>
            <w:r>
              <w:rPr>
                <w:spacing w:val="-2"/>
                <w:position w:val="-9"/>
                <w:sz w:val="18"/>
              </w:rPr>
              <w:t>assessments</w:t>
            </w:r>
            <w:r>
              <w:rPr>
                <w:position w:val="-9"/>
                <w:sz w:val="18"/>
              </w:rPr>
              <w:tab/>
            </w:r>
            <w:r>
              <w:rPr>
                <w:spacing w:val="-5"/>
                <w:sz w:val="18"/>
              </w:rPr>
              <w:t>13</w:t>
            </w:r>
            <w:r>
              <w:rPr>
                <w:sz w:val="18"/>
              </w:rPr>
              <w:tab/>
            </w:r>
            <w:r>
              <w:rPr>
                <w:spacing w:val="-2"/>
                <w:sz w:val="18"/>
              </w:rPr>
              <w:t>$1,655</w:t>
            </w:r>
            <w:r>
              <w:rPr>
                <w:sz w:val="18"/>
              </w:rPr>
              <w:tab/>
            </w:r>
            <w:r>
              <w:rPr>
                <w:spacing w:val="-2"/>
                <w:sz w:val="18"/>
              </w:rPr>
              <w:t>$1,573</w:t>
            </w:r>
          </w:p>
          <w:p>
            <w:pPr>
              <w:pStyle w:val="TableParagraph"/>
              <w:spacing w:line="138" w:lineRule="exact"/>
              <w:ind w:left="107"/>
              <w:rPr>
                <w:sz w:val="18"/>
              </w:rPr>
            </w:pPr>
            <w:r>
              <w:rPr>
                <w:sz w:val="18"/>
              </w:rPr>
              <w:t>the</w:t>
            </w:r>
            <w:r>
              <w:rPr>
                <w:spacing w:val="1"/>
                <w:sz w:val="18"/>
              </w:rPr>
              <w:t> </w:t>
            </w:r>
            <w:r>
              <w:rPr>
                <w:sz w:val="18"/>
              </w:rPr>
              <w:t>delivery</w:t>
            </w:r>
            <w:r>
              <w:rPr>
                <w:spacing w:val="-2"/>
                <w:sz w:val="18"/>
              </w:rPr>
              <w:t> </w:t>
            </w:r>
            <w:r>
              <w:rPr>
                <w:sz w:val="18"/>
              </w:rPr>
              <w:t>of</w:t>
            </w:r>
            <w:r>
              <w:rPr>
                <w:spacing w:val="-4"/>
                <w:sz w:val="18"/>
              </w:rPr>
              <w:t> </w:t>
            </w:r>
            <w:r>
              <w:rPr>
                <w:spacing w:val="-2"/>
                <w:sz w:val="18"/>
              </w:rPr>
              <w:t>services)</w:t>
            </w:r>
          </w:p>
        </w:tc>
        <w:tc>
          <w:tcPr>
            <w:tcW w:w="1066" w:type="dxa"/>
            <w:tcBorders>
              <w:top w:val="single" w:sz="8" w:space="0" w:color="000000"/>
              <w:left w:val="nil"/>
              <w:bottom w:val="single" w:sz="12" w:space="0" w:color="000000"/>
              <w:right w:val="nil"/>
            </w:tcBorders>
            <w:shd w:val="clear" w:color="auto" w:fill="DDEBF6"/>
          </w:tcPr>
          <w:p>
            <w:pPr>
              <w:pStyle w:val="TableParagraph"/>
              <w:rPr>
                <w:sz w:val="20"/>
              </w:rPr>
            </w:pPr>
          </w:p>
          <w:p>
            <w:pPr>
              <w:pStyle w:val="TableParagraph"/>
              <w:spacing w:before="7"/>
              <w:rPr>
                <w:sz w:val="21"/>
              </w:rPr>
            </w:pPr>
          </w:p>
          <w:p>
            <w:pPr>
              <w:pStyle w:val="TableParagraph"/>
              <w:ind w:right="92"/>
              <w:jc w:val="right"/>
              <w:rPr>
                <w:sz w:val="18"/>
              </w:rPr>
            </w:pPr>
            <w:r>
              <w:rPr>
                <w:spacing w:val="-2"/>
                <w:sz w:val="18"/>
              </w:rPr>
              <w:t>$1,620</w:t>
            </w:r>
          </w:p>
        </w:tc>
        <w:tc>
          <w:tcPr>
            <w:tcW w:w="4076" w:type="dxa"/>
            <w:tcBorders>
              <w:top w:val="single" w:sz="8" w:space="0" w:color="000000"/>
              <w:left w:val="nil"/>
              <w:bottom w:val="single" w:sz="12" w:space="0" w:color="000000"/>
              <w:right w:val="single" w:sz="12" w:space="0" w:color="000000"/>
            </w:tcBorders>
          </w:tcPr>
          <w:p>
            <w:pPr>
              <w:pStyle w:val="TableParagraph"/>
              <w:rPr>
                <w:sz w:val="20"/>
              </w:rPr>
            </w:pPr>
          </w:p>
          <w:p>
            <w:pPr>
              <w:pStyle w:val="TableParagraph"/>
              <w:spacing w:before="7"/>
              <w:rPr>
                <w:sz w:val="21"/>
              </w:rPr>
            </w:pPr>
          </w:p>
          <w:p>
            <w:pPr>
              <w:pStyle w:val="TableParagraph"/>
              <w:tabs>
                <w:tab w:pos="1072" w:val="left" w:leader="none"/>
                <w:tab w:pos="2140" w:val="left" w:leader="none"/>
                <w:tab w:pos="3182" w:val="left" w:leader="none"/>
              </w:tabs>
              <w:ind w:right="349"/>
              <w:jc w:val="right"/>
              <w:rPr>
                <w:b/>
                <w:sz w:val="18"/>
              </w:rPr>
            </w:pPr>
            <w:r>
              <w:rPr>
                <w:spacing w:val="-2"/>
                <w:sz w:val="18"/>
              </w:rPr>
              <w:t>$1,653</w:t>
            </w:r>
            <w:r>
              <w:rPr>
                <w:sz w:val="18"/>
              </w:rPr>
              <w:tab/>
            </w:r>
            <w:r>
              <w:rPr>
                <w:spacing w:val="-2"/>
                <w:sz w:val="18"/>
              </w:rPr>
              <w:t>$1,677</w:t>
            </w:r>
            <w:r>
              <w:rPr>
                <w:sz w:val="18"/>
              </w:rPr>
              <w:tab/>
            </w:r>
            <w:r>
              <w:rPr>
                <w:spacing w:val="-2"/>
                <w:sz w:val="18"/>
              </w:rPr>
              <w:t>$1,697</w:t>
            </w:r>
            <w:r>
              <w:rPr>
                <w:sz w:val="18"/>
              </w:rPr>
              <w:tab/>
            </w:r>
            <w:r>
              <w:rPr>
                <w:b/>
                <w:spacing w:val="-10"/>
                <w:sz w:val="18"/>
              </w:rPr>
              <w:t>+</w:t>
            </w:r>
          </w:p>
        </w:tc>
      </w:tr>
    </w:tbl>
    <w:p>
      <w:pPr>
        <w:spacing w:after="0"/>
        <w:jc w:val="right"/>
        <w:rPr>
          <w:sz w:val="18"/>
        </w:rPr>
        <w:sectPr>
          <w:pgSz w:w="16840" w:h="11910" w:orient="landscape"/>
          <w:pgMar w:header="0" w:footer="375" w:top="480" w:bottom="1366" w:left="600" w:right="120"/>
        </w:sectPr>
      </w:pP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18"/>
      </w:tblGrid>
      <w:tr>
        <w:trPr>
          <w:trHeight w:val="263" w:hRule="atLeast"/>
        </w:trPr>
        <w:tc>
          <w:tcPr>
            <w:tcW w:w="8818" w:type="dxa"/>
          </w:tcPr>
          <w:p>
            <w:pPr>
              <w:pStyle w:val="TableParagraph"/>
              <w:spacing w:line="206" w:lineRule="exact"/>
              <w:ind w:left="107"/>
              <w:rPr>
                <w:b/>
                <w:sz w:val="18"/>
              </w:rPr>
            </w:pPr>
            <w:r>
              <w:rPr>
                <w:b/>
                <w:sz w:val="18"/>
              </w:rPr>
              <w:t>Key</w:t>
            </w:r>
            <w:r>
              <w:rPr>
                <w:b/>
                <w:spacing w:val="1"/>
                <w:sz w:val="18"/>
              </w:rPr>
              <w:t> </w:t>
            </w:r>
            <w:r>
              <w:rPr>
                <w:b/>
                <w:sz w:val="18"/>
              </w:rPr>
              <w:t>to Forecast</w:t>
            </w:r>
            <w:r>
              <w:rPr>
                <w:b/>
                <w:spacing w:val="-4"/>
                <w:sz w:val="18"/>
              </w:rPr>
              <w:t> </w:t>
            </w:r>
            <w:r>
              <w:rPr>
                <w:b/>
                <w:spacing w:val="-2"/>
                <w:sz w:val="18"/>
              </w:rPr>
              <w:t>Trend:</w:t>
            </w:r>
          </w:p>
        </w:tc>
      </w:tr>
      <w:tr>
        <w:trPr>
          <w:trHeight w:val="263" w:hRule="atLeast"/>
        </w:trPr>
        <w:tc>
          <w:tcPr>
            <w:tcW w:w="8818" w:type="dxa"/>
          </w:tcPr>
          <w:p>
            <w:pPr>
              <w:pStyle w:val="TableParagraph"/>
              <w:spacing w:line="206" w:lineRule="exact"/>
              <w:ind w:left="107"/>
              <w:rPr>
                <w:sz w:val="18"/>
              </w:rPr>
            </w:pPr>
            <w:r>
              <w:rPr>
                <w:sz w:val="18"/>
              </w:rPr>
              <w:t>+</w:t>
            </w:r>
            <w:r>
              <w:rPr>
                <w:spacing w:val="-3"/>
                <w:sz w:val="18"/>
              </w:rPr>
              <w:t> </w:t>
            </w:r>
            <w:r>
              <w:rPr>
                <w:sz w:val="18"/>
              </w:rPr>
              <w:t>Forecasts</w:t>
            </w:r>
            <w:r>
              <w:rPr>
                <w:spacing w:val="-3"/>
                <w:sz w:val="18"/>
              </w:rPr>
              <w:t> </w:t>
            </w:r>
            <w:r>
              <w:rPr>
                <w:sz w:val="18"/>
              </w:rPr>
              <w:t>improvement</w:t>
            </w:r>
            <w:r>
              <w:rPr>
                <w:spacing w:val="1"/>
                <w:sz w:val="18"/>
              </w:rPr>
              <w:t> </w:t>
            </w:r>
            <w:r>
              <w:rPr>
                <w:sz w:val="18"/>
              </w:rPr>
              <w:t>in</w:t>
            </w:r>
            <w:r>
              <w:rPr>
                <w:spacing w:val="-4"/>
                <w:sz w:val="18"/>
              </w:rPr>
              <w:t> </w:t>
            </w:r>
            <w:r>
              <w:rPr>
                <w:sz w:val="18"/>
              </w:rPr>
              <w:t>Council's</w:t>
            </w:r>
            <w:r>
              <w:rPr>
                <w:spacing w:val="-3"/>
                <w:sz w:val="18"/>
              </w:rPr>
              <w:t> </w:t>
            </w:r>
            <w:r>
              <w:rPr>
                <w:sz w:val="18"/>
              </w:rPr>
              <w:t>financial</w:t>
            </w:r>
            <w:r>
              <w:rPr>
                <w:spacing w:val="-1"/>
                <w:sz w:val="18"/>
              </w:rPr>
              <w:t> </w:t>
            </w:r>
            <w:r>
              <w:rPr>
                <w:sz w:val="18"/>
              </w:rPr>
              <w:t>performance/financial position</w:t>
            </w:r>
            <w:r>
              <w:rPr>
                <w:spacing w:val="-3"/>
                <w:sz w:val="18"/>
              </w:rPr>
              <w:t> </w:t>
            </w:r>
            <w:r>
              <w:rPr>
                <w:spacing w:val="-2"/>
                <w:sz w:val="18"/>
              </w:rPr>
              <w:t>indicator</w:t>
            </w:r>
          </w:p>
        </w:tc>
      </w:tr>
      <w:tr>
        <w:trPr>
          <w:trHeight w:val="261" w:hRule="atLeast"/>
        </w:trPr>
        <w:tc>
          <w:tcPr>
            <w:tcW w:w="8818" w:type="dxa"/>
          </w:tcPr>
          <w:p>
            <w:pPr>
              <w:pStyle w:val="TableParagraph"/>
              <w:spacing w:line="206" w:lineRule="exact"/>
              <w:ind w:left="107"/>
              <w:rPr>
                <w:sz w:val="18"/>
              </w:rPr>
            </w:pPr>
            <w:r>
              <w:rPr>
                <w:sz w:val="18"/>
              </w:rPr>
              <w:t>o</w:t>
            </w:r>
            <w:r>
              <w:rPr>
                <w:spacing w:val="-4"/>
                <w:sz w:val="18"/>
              </w:rPr>
              <w:t> </w:t>
            </w:r>
            <w:r>
              <w:rPr>
                <w:sz w:val="18"/>
              </w:rPr>
              <w:t>Forecasts</w:t>
            </w:r>
            <w:r>
              <w:rPr>
                <w:spacing w:val="-2"/>
                <w:sz w:val="18"/>
              </w:rPr>
              <w:t> </w:t>
            </w:r>
            <w:r>
              <w:rPr>
                <w:sz w:val="18"/>
              </w:rPr>
              <w:t>that</w:t>
            </w:r>
            <w:r>
              <w:rPr>
                <w:spacing w:val="-1"/>
                <w:sz w:val="18"/>
              </w:rPr>
              <w:t> </w:t>
            </w:r>
            <w:r>
              <w:rPr>
                <w:sz w:val="18"/>
              </w:rPr>
              <w:t>Council's</w:t>
            </w:r>
            <w:r>
              <w:rPr>
                <w:spacing w:val="-3"/>
                <w:sz w:val="18"/>
              </w:rPr>
              <w:t> </w:t>
            </w:r>
            <w:r>
              <w:rPr>
                <w:sz w:val="18"/>
              </w:rPr>
              <w:t>financial</w:t>
            </w:r>
            <w:r>
              <w:rPr>
                <w:spacing w:val="-3"/>
                <w:sz w:val="18"/>
              </w:rPr>
              <w:t> </w:t>
            </w:r>
            <w:r>
              <w:rPr>
                <w:sz w:val="18"/>
              </w:rPr>
              <w:t>performance/financial</w:t>
            </w:r>
            <w:r>
              <w:rPr>
                <w:spacing w:val="-2"/>
                <w:sz w:val="18"/>
              </w:rPr>
              <w:t> </w:t>
            </w:r>
            <w:r>
              <w:rPr>
                <w:sz w:val="18"/>
              </w:rPr>
              <w:t>position</w:t>
            </w:r>
            <w:r>
              <w:rPr>
                <w:spacing w:val="-1"/>
                <w:sz w:val="18"/>
              </w:rPr>
              <w:t> </w:t>
            </w:r>
            <w:r>
              <w:rPr>
                <w:sz w:val="18"/>
              </w:rPr>
              <w:t>indicator</w:t>
            </w:r>
            <w:r>
              <w:rPr>
                <w:spacing w:val="-3"/>
                <w:sz w:val="18"/>
              </w:rPr>
              <w:t> </w:t>
            </w:r>
            <w:r>
              <w:rPr>
                <w:sz w:val="18"/>
              </w:rPr>
              <w:t>will</w:t>
            </w:r>
            <w:r>
              <w:rPr>
                <w:spacing w:val="-2"/>
                <w:sz w:val="18"/>
              </w:rPr>
              <w:t> </w:t>
            </w:r>
            <w:r>
              <w:rPr>
                <w:sz w:val="18"/>
              </w:rPr>
              <w:t>be</w:t>
            </w:r>
            <w:r>
              <w:rPr>
                <w:spacing w:val="-5"/>
                <w:sz w:val="18"/>
              </w:rPr>
              <w:t> </w:t>
            </w:r>
            <w:r>
              <w:rPr>
                <w:spacing w:val="-2"/>
                <w:sz w:val="18"/>
              </w:rPr>
              <w:t>steady</w:t>
            </w:r>
          </w:p>
        </w:tc>
      </w:tr>
      <w:tr>
        <w:trPr>
          <w:trHeight w:val="263" w:hRule="atLeast"/>
        </w:trPr>
        <w:tc>
          <w:tcPr>
            <w:tcW w:w="8818" w:type="dxa"/>
          </w:tcPr>
          <w:p>
            <w:pPr>
              <w:pStyle w:val="TableParagraph"/>
              <w:spacing w:before="1"/>
              <w:ind w:left="157"/>
              <w:rPr>
                <w:sz w:val="18"/>
              </w:rPr>
            </w:pPr>
            <w:r>
              <w:rPr>
                <w:sz w:val="18"/>
              </w:rPr>
              <w:t>-</w:t>
            </w:r>
            <w:r>
              <w:rPr>
                <w:spacing w:val="-3"/>
                <w:sz w:val="18"/>
              </w:rPr>
              <w:t> </w:t>
            </w:r>
            <w:r>
              <w:rPr>
                <w:sz w:val="18"/>
              </w:rPr>
              <w:t>Forecasts</w:t>
            </w:r>
            <w:r>
              <w:rPr>
                <w:spacing w:val="-4"/>
                <w:sz w:val="18"/>
              </w:rPr>
              <w:t> </w:t>
            </w:r>
            <w:r>
              <w:rPr>
                <w:sz w:val="18"/>
              </w:rPr>
              <w:t>deterioration</w:t>
            </w:r>
            <w:r>
              <w:rPr>
                <w:spacing w:val="-2"/>
                <w:sz w:val="18"/>
              </w:rPr>
              <w:t> </w:t>
            </w:r>
            <w:r>
              <w:rPr>
                <w:sz w:val="18"/>
              </w:rPr>
              <w:t>in</w:t>
            </w:r>
            <w:r>
              <w:rPr>
                <w:spacing w:val="-2"/>
                <w:sz w:val="18"/>
              </w:rPr>
              <w:t> </w:t>
            </w:r>
            <w:r>
              <w:rPr>
                <w:sz w:val="18"/>
              </w:rPr>
              <w:t>Council's</w:t>
            </w:r>
            <w:r>
              <w:rPr>
                <w:spacing w:val="-2"/>
                <w:sz w:val="18"/>
              </w:rPr>
              <w:t> </w:t>
            </w:r>
            <w:r>
              <w:rPr>
                <w:sz w:val="18"/>
              </w:rPr>
              <w:t>financial</w:t>
            </w:r>
            <w:r>
              <w:rPr>
                <w:spacing w:val="-1"/>
                <w:sz w:val="18"/>
              </w:rPr>
              <w:t> </w:t>
            </w:r>
            <w:r>
              <w:rPr>
                <w:sz w:val="18"/>
              </w:rPr>
              <w:t>performance/financial</w:t>
            </w:r>
            <w:r>
              <w:rPr>
                <w:spacing w:val="-2"/>
                <w:sz w:val="18"/>
              </w:rPr>
              <w:t> </w:t>
            </w:r>
            <w:r>
              <w:rPr>
                <w:sz w:val="18"/>
              </w:rPr>
              <w:t>position</w:t>
            </w:r>
            <w:r>
              <w:rPr>
                <w:spacing w:val="-3"/>
                <w:sz w:val="18"/>
              </w:rPr>
              <w:t> </w:t>
            </w:r>
            <w:r>
              <w:rPr>
                <w:spacing w:val="-2"/>
                <w:sz w:val="18"/>
              </w:rPr>
              <w:t>indicator</w:t>
            </w:r>
          </w:p>
        </w:tc>
      </w:tr>
    </w:tbl>
    <w:p>
      <w:pPr>
        <w:pStyle w:val="BodyText"/>
        <w:rPr>
          <w:sz w:val="16"/>
        </w:rPr>
      </w:pPr>
    </w:p>
    <w:p>
      <w:pPr>
        <w:spacing w:before="92"/>
        <w:ind w:left="120" w:right="0" w:firstLine="0"/>
        <w:jc w:val="left"/>
        <w:rPr>
          <w:b/>
          <w:sz w:val="24"/>
        </w:rPr>
      </w:pPr>
      <w:r>
        <w:rPr>
          <w:b/>
          <w:sz w:val="24"/>
        </w:rPr>
        <w:t>Notes to</w:t>
      </w:r>
      <w:r>
        <w:rPr>
          <w:b/>
          <w:spacing w:val="-3"/>
          <w:sz w:val="24"/>
        </w:rPr>
        <w:t> </w:t>
      </w:r>
      <w:r>
        <w:rPr>
          <w:b/>
          <w:spacing w:val="-2"/>
          <w:sz w:val="24"/>
        </w:rPr>
        <w:t>indicators</w:t>
      </w:r>
    </w:p>
    <w:p>
      <w:pPr>
        <w:pStyle w:val="BodyText"/>
        <w:spacing w:before="10"/>
        <w:rPr>
          <w:b/>
          <w:sz w:val="21"/>
        </w:rPr>
      </w:pPr>
    </w:p>
    <w:p>
      <w:pPr>
        <w:pStyle w:val="ListParagraph"/>
        <w:numPr>
          <w:ilvl w:val="0"/>
          <w:numId w:val="72"/>
        </w:numPr>
        <w:tabs>
          <w:tab w:pos="687" w:val="left" w:leader="none"/>
        </w:tabs>
        <w:spacing w:line="240" w:lineRule="auto" w:before="0" w:after="0"/>
        <w:ind w:left="686" w:right="591" w:hanging="567"/>
        <w:jc w:val="both"/>
        <w:rPr>
          <w:b/>
          <w:i/>
          <w:sz w:val="22"/>
        </w:rPr>
      </w:pPr>
      <w:r>
        <w:rPr>
          <w:b/>
          <w:i/>
          <w:sz w:val="22"/>
        </w:rPr>
        <w:t>Satisfaction with community consultation and engagement – </w:t>
      </w:r>
      <w:r>
        <w:rPr>
          <w:sz w:val="22"/>
        </w:rPr>
        <w:t>This target maintaining the current result as capacity building for consultation and engagement continues across Council. Council will continue to improve community consultation and engagement opportunities for residents for key policies, programs, and services.</w:t>
      </w:r>
    </w:p>
    <w:p>
      <w:pPr>
        <w:pStyle w:val="BodyText"/>
        <w:spacing w:before="1"/>
      </w:pPr>
    </w:p>
    <w:p>
      <w:pPr>
        <w:pStyle w:val="ListParagraph"/>
        <w:numPr>
          <w:ilvl w:val="0"/>
          <w:numId w:val="72"/>
        </w:numPr>
        <w:tabs>
          <w:tab w:pos="675" w:val="left" w:leader="none"/>
        </w:tabs>
        <w:spacing w:line="254" w:lineRule="auto" w:before="1" w:after="0"/>
        <w:ind w:left="674" w:right="596" w:hanging="555"/>
        <w:jc w:val="both"/>
        <w:rPr>
          <w:b/>
          <w:i/>
          <w:sz w:val="24"/>
        </w:rPr>
      </w:pPr>
      <w:r>
        <w:rPr>
          <w:b/>
          <w:i/>
          <w:sz w:val="22"/>
        </w:rPr>
        <w:t>Sealed local roads below the intervention level – </w:t>
      </w:r>
      <w:r>
        <w:rPr>
          <w:sz w:val="22"/>
        </w:rPr>
        <w:t>This target anticipates maintaining a continued high standard for sealed local roads (Council maintained), showing steady levels Council will continue to achieve a high standard of sealed local roads maintained to condition standard.</w:t>
      </w:r>
    </w:p>
    <w:p>
      <w:pPr>
        <w:pStyle w:val="BodyText"/>
        <w:spacing w:before="1"/>
        <w:rPr>
          <w:sz w:val="21"/>
        </w:rPr>
      </w:pPr>
    </w:p>
    <w:p>
      <w:pPr>
        <w:pStyle w:val="ListParagraph"/>
        <w:numPr>
          <w:ilvl w:val="0"/>
          <w:numId w:val="72"/>
        </w:numPr>
        <w:tabs>
          <w:tab w:pos="675" w:val="left" w:leader="none"/>
        </w:tabs>
        <w:spacing w:line="256" w:lineRule="auto" w:before="0" w:after="0"/>
        <w:ind w:left="674" w:right="591" w:hanging="555"/>
        <w:jc w:val="both"/>
        <w:rPr>
          <w:b/>
          <w:i/>
          <w:sz w:val="22"/>
        </w:rPr>
      </w:pPr>
      <w:r>
        <w:rPr>
          <w:b/>
          <w:i/>
          <w:sz w:val="22"/>
        </w:rPr>
        <w:t>Planning</w:t>
      </w:r>
      <w:r>
        <w:rPr>
          <w:b/>
          <w:i/>
          <w:spacing w:val="-6"/>
          <w:sz w:val="22"/>
        </w:rPr>
        <w:t> </w:t>
      </w:r>
      <w:r>
        <w:rPr>
          <w:b/>
          <w:i/>
          <w:sz w:val="22"/>
        </w:rPr>
        <w:t>applications</w:t>
      </w:r>
      <w:r>
        <w:rPr>
          <w:b/>
          <w:i/>
          <w:spacing w:val="-8"/>
          <w:sz w:val="22"/>
        </w:rPr>
        <w:t> </w:t>
      </w:r>
      <w:r>
        <w:rPr>
          <w:b/>
          <w:i/>
          <w:sz w:val="22"/>
        </w:rPr>
        <w:t>decided</w:t>
      </w:r>
      <w:r>
        <w:rPr>
          <w:b/>
          <w:i/>
          <w:spacing w:val="-6"/>
          <w:sz w:val="22"/>
        </w:rPr>
        <w:t> </w:t>
      </w:r>
      <w:r>
        <w:rPr>
          <w:b/>
          <w:i/>
          <w:sz w:val="22"/>
        </w:rPr>
        <w:t>within</w:t>
      </w:r>
      <w:r>
        <w:rPr>
          <w:b/>
          <w:i/>
          <w:spacing w:val="-6"/>
          <w:sz w:val="22"/>
        </w:rPr>
        <w:t> </w:t>
      </w:r>
      <w:r>
        <w:rPr>
          <w:b/>
          <w:i/>
          <w:sz w:val="22"/>
        </w:rPr>
        <w:t>the</w:t>
      </w:r>
      <w:r>
        <w:rPr>
          <w:b/>
          <w:i/>
          <w:spacing w:val="-10"/>
          <w:sz w:val="22"/>
        </w:rPr>
        <w:t> </w:t>
      </w:r>
      <w:r>
        <w:rPr>
          <w:b/>
          <w:i/>
          <w:sz w:val="22"/>
        </w:rPr>
        <w:t>relevant</w:t>
      </w:r>
      <w:r>
        <w:rPr>
          <w:b/>
          <w:i/>
          <w:spacing w:val="-6"/>
          <w:sz w:val="22"/>
        </w:rPr>
        <w:t> </w:t>
      </w:r>
      <w:r>
        <w:rPr>
          <w:b/>
          <w:i/>
          <w:sz w:val="22"/>
        </w:rPr>
        <w:t>required</w:t>
      </w:r>
      <w:r>
        <w:rPr>
          <w:b/>
          <w:i/>
          <w:spacing w:val="-6"/>
          <w:sz w:val="22"/>
        </w:rPr>
        <w:t> </w:t>
      </w:r>
      <w:r>
        <w:rPr>
          <w:b/>
          <w:i/>
          <w:sz w:val="22"/>
        </w:rPr>
        <w:t>time</w:t>
      </w:r>
      <w:r>
        <w:rPr>
          <w:b/>
          <w:i/>
          <w:spacing w:val="-5"/>
          <w:sz w:val="22"/>
        </w:rPr>
        <w:t> </w:t>
      </w:r>
      <w:r>
        <w:rPr>
          <w:sz w:val="22"/>
        </w:rPr>
        <w:t>–</w:t>
      </w:r>
      <w:r>
        <w:rPr>
          <w:spacing w:val="-6"/>
          <w:sz w:val="22"/>
        </w:rPr>
        <w:t> </w:t>
      </w:r>
      <w:r>
        <w:rPr>
          <w:sz w:val="22"/>
        </w:rPr>
        <w:t>The</w:t>
      </w:r>
      <w:r>
        <w:rPr>
          <w:spacing w:val="-8"/>
          <w:sz w:val="22"/>
        </w:rPr>
        <w:t> </w:t>
      </w:r>
      <w:r>
        <w:rPr>
          <w:sz w:val="22"/>
        </w:rPr>
        <w:t>target</w:t>
      </w:r>
      <w:r>
        <w:rPr>
          <w:spacing w:val="-6"/>
          <w:sz w:val="22"/>
        </w:rPr>
        <w:t> </w:t>
      </w:r>
      <w:r>
        <w:rPr>
          <w:sz w:val="22"/>
        </w:rPr>
        <w:t>considers</w:t>
      </w:r>
      <w:r>
        <w:rPr>
          <w:spacing w:val="-6"/>
          <w:sz w:val="22"/>
        </w:rPr>
        <w:t> </w:t>
      </w:r>
      <w:r>
        <w:rPr>
          <w:sz w:val="22"/>
        </w:rPr>
        <w:t>current</w:t>
      </w:r>
      <w:r>
        <w:rPr>
          <w:spacing w:val="-4"/>
          <w:sz w:val="22"/>
        </w:rPr>
        <w:t> </w:t>
      </w:r>
      <w:r>
        <w:rPr>
          <w:sz w:val="22"/>
        </w:rPr>
        <w:t>trends</w:t>
      </w:r>
      <w:r>
        <w:rPr>
          <w:spacing w:val="-4"/>
          <w:sz w:val="22"/>
        </w:rPr>
        <w:t> </w:t>
      </w:r>
      <w:r>
        <w:rPr>
          <w:sz w:val="22"/>
        </w:rPr>
        <w:t>for</w:t>
      </w:r>
      <w:r>
        <w:rPr>
          <w:spacing w:val="-7"/>
          <w:sz w:val="22"/>
        </w:rPr>
        <w:t> </w:t>
      </w:r>
      <w:r>
        <w:rPr>
          <w:sz w:val="22"/>
        </w:rPr>
        <w:t>planning</w:t>
      </w:r>
      <w:r>
        <w:rPr>
          <w:spacing w:val="-4"/>
          <w:sz w:val="22"/>
        </w:rPr>
        <w:t> </w:t>
      </w:r>
      <w:r>
        <w:rPr>
          <w:sz w:val="22"/>
        </w:rPr>
        <w:t>applications</w:t>
      </w:r>
      <w:r>
        <w:rPr>
          <w:spacing w:val="-6"/>
          <w:sz w:val="22"/>
        </w:rPr>
        <w:t> </w:t>
      </w:r>
      <w:r>
        <w:rPr>
          <w:sz w:val="22"/>
        </w:rPr>
        <w:t>which</w:t>
      </w:r>
      <w:r>
        <w:rPr>
          <w:spacing w:val="-5"/>
          <w:sz w:val="22"/>
        </w:rPr>
        <w:t> </w:t>
      </w:r>
      <w:r>
        <w:rPr>
          <w:sz w:val="22"/>
        </w:rPr>
        <w:t>is</w:t>
      </w:r>
      <w:r>
        <w:rPr>
          <w:spacing w:val="-6"/>
          <w:sz w:val="22"/>
        </w:rPr>
        <w:t> </w:t>
      </w:r>
      <w:r>
        <w:rPr>
          <w:sz w:val="22"/>
        </w:rPr>
        <w:t>influenced</w:t>
      </w:r>
      <w:r>
        <w:rPr>
          <w:spacing w:val="-4"/>
          <w:sz w:val="22"/>
        </w:rPr>
        <w:t> </w:t>
      </w:r>
      <w:r>
        <w:rPr>
          <w:sz w:val="22"/>
        </w:rPr>
        <w:t>by the economy. Statutory Planning will continue to ensure planning applications are decided within required timeframes.</w:t>
      </w:r>
    </w:p>
    <w:p>
      <w:pPr>
        <w:pStyle w:val="BodyText"/>
        <w:spacing w:before="11"/>
        <w:rPr>
          <w:sz w:val="20"/>
        </w:rPr>
      </w:pPr>
    </w:p>
    <w:p>
      <w:pPr>
        <w:pStyle w:val="ListParagraph"/>
        <w:numPr>
          <w:ilvl w:val="0"/>
          <w:numId w:val="72"/>
        </w:numPr>
        <w:tabs>
          <w:tab w:pos="675" w:val="left" w:leader="none"/>
        </w:tabs>
        <w:spacing w:line="240" w:lineRule="auto" w:before="0" w:after="0"/>
        <w:ind w:left="674" w:right="595" w:hanging="555"/>
        <w:jc w:val="both"/>
        <w:rPr>
          <w:b/>
          <w:i/>
          <w:sz w:val="22"/>
        </w:rPr>
      </w:pPr>
      <w:r>
        <w:rPr>
          <w:b/>
          <w:i/>
          <w:sz w:val="22"/>
        </w:rPr>
        <w:t>Kerbside collection waste diverted from landfill </w:t>
      </w:r>
      <w:r>
        <w:rPr>
          <w:sz w:val="22"/>
        </w:rPr>
        <w:t>–Council will continue to divert waste from landfill, while considering major influences including environmental and economic factors, and the success of recycling schemes. It is anticipated the amount of waste diverted from landfill will increase in future years.</w:t>
      </w:r>
    </w:p>
    <w:p>
      <w:pPr>
        <w:pStyle w:val="BodyText"/>
        <w:spacing w:before="1"/>
      </w:pPr>
    </w:p>
    <w:p>
      <w:pPr>
        <w:pStyle w:val="ListParagraph"/>
        <w:numPr>
          <w:ilvl w:val="0"/>
          <w:numId w:val="72"/>
        </w:numPr>
        <w:tabs>
          <w:tab w:pos="675" w:val="left" w:leader="none"/>
        </w:tabs>
        <w:spacing w:line="254" w:lineRule="auto" w:before="0" w:after="0"/>
        <w:ind w:left="674" w:right="596" w:hanging="555"/>
        <w:jc w:val="both"/>
        <w:rPr>
          <w:b/>
          <w:i/>
          <w:sz w:val="22"/>
        </w:rPr>
      </w:pPr>
      <w:r>
        <w:rPr>
          <w:b/>
          <w:i/>
          <w:sz w:val="22"/>
        </w:rPr>
        <w:t>Working</w:t>
      </w:r>
      <w:r>
        <w:rPr>
          <w:b/>
          <w:i/>
          <w:spacing w:val="-10"/>
          <w:sz w:val="22"/>
        </w:rPr>
        <w:t> </w:t>
      </w:r>
      <w:r>
        <w:rPr>
          <w:b/>
          <w:i/>
          <w:sz w:val="22"/>
        </w:rPr>
        <w:t>capital</w:t>
      </w:r>
      <w:r>
        <w:rPr>
          <w:b/>
          <w:i/>
          <w:spacing w:val="-7"/>
          <w:sz w:val="22"/>
        </w:rPr>
        <w:t> </w:t>
      </w:r>
      <w:r>
        <w:rPr>
          <w:sz w:val="22"/>
        </w:rPr>
        <w:t>–</w:t>
      </w:r>
      <w:r>
        <w:rPr>
          <w:spacing w:val="-11"/>
          <w:sz w:val="22"/>
        </w:rPr>
        <w:t> </w:t>
      </w:r>
      <w:r>
        <w:rPr>
          <w:sz w:val="22"/>
        </w:rPr>
        <w:t>The</w:t>
      </w:r>
      <w:r>
        <w:rPr>
          <w:spacing w:val="-11"/>
          <w:sz w:val="22"/>
        </w:rPr>
        <w:t> </w:t>
      </w:r>
      <w:r>
        <w:rPr>
          <w:sz w:val="22"/>
        </w:rPr>
        <w:t>proportion</w:t>
      </w:r>
      <w:r>
        <w:rPr>
          <w:spacing w:val="-9"/>
          <w:sz w:val="22"/>
        </w:rPr>
        <w:t> </w:t>
      </w:r>
      <w:r>
        <w:rPr>
          <w:sz w:val="22"/>
        </w:rPr>
        <w:t>of</w:t>
      </w:r>
      <w:r>
        <w:rPr>
          <w:spacing w:val="-9"/>
          <w:sz w:val="22"/>
        </w:rPr>
        <w:t> </w:t>
      </w:r>
      <w:r>
        <w:rPr>
          <w:sz w:val="22"/>
        </w:rPr>
        <w:t>current</w:t>
      </w:r>
      <w:r>
        <w:rPr>
          <w:spacing w:val="-9"/>
          <w:sz w:val="22"/>
        </w:rPr>
        <w:t> </w:t>
      </w:r>
      <w:r>
        <w:rPr>
          <w:sz w:val="22"/>
        </w:rPr>
        <w:t>liabilities</w:t>
      </w:r>
      <w:r>
        <w:rPr>
          <w:spacing w:val="-7"/>
          <w:sz w:val="22"/>
        </w:rPr>
        <w:t> </w:t>
      </w:r>
      <w:r>
        <w:rPr>
          <w:sz w:val="22"/>
        </w:rPr>
        <w:t>represented</w:t>
      </w:r>
      <w:r>
        <w:rPr>
          <w:spacing w:val="-9"/>
          <w:sz w:val="22"/>
        </w:rPr>
        <w:t> </w:t>
      </w:r>
      <w:r>
        <w:rPr>
          <w:sz w:val="22"/>
        </w:rPr>
        <w:t>by</w:t>
      </w:r>
      <w:r>
        <w:rPr>
          <w:spacing w:val="-10"/>
          <w:sz w:val="22"/>
        </w:rPr>
        <w:t> </w:t>
      </w:r>
      <w:r>
        <w:rPr>
          <w:sz w:val="22"/>
        </w:rPr>
        <w:t>current</w:t>
      </w:r>
      <w:r>
        <w:rPr>
          <w:spacing w:val="-6"/>
          <w:sz w:val="22"/>
        </w:rPr>
        <w:t> </w:t>
      </w:r>
      <w:r>
        <w:rPr>
          <w:sz w:val="22"/>
        </w:rPr>
        <w:t>assets.</w:t>
      </w:r>
      <w:r>
        <w:rPr>
          <w:spacing w:val="-9"/>
          <w:sz w:val="22"/>
        </w:rPr>
        <w:t> </w:t>
      </w:r>
      <w:r>
        <w:rPr>
          <w:sz w:val="22"/>
        </w:rPr>
        <w:t>Working</w:t>
      </w:r>
      <w:r>
        <w:rPr>
          <w:spacing w:val="-9"/>
          <w:sz w:val="22"/>
        </w:rPr>
        <w:t> </w:t>
      </w:r>
      <w:r>
        <w:rPr>
          <w:sz w:val="22"/>
        </w:rPr>
        <w:t>capital</w:t>
      </w:r>
      <w:r>
        <w:rPr>
          <w:spacing w:val="-10"/>
          <w:sz w:val="22"/>
        </w:rPr>
        <w:t> </w:t>
      </w:r>
      <w:r>
        <w:rPr>
          <w:sz w:val="22"/>
        </w:rPr>
        <w:t>is</w:t>
      </w:r>
      <w:r>
        <w:rPr>
          <w:spacing w:val="-7"/>
          <w:sz w:val="22"/>
        </w:rPr>
        <w:t> </w:t>
      </w:r>
      <w:r>
        <w:rPr>
          <w:sz w:val="22"/>
        </w:rPr>
        <w:t>forecast</w:t>
      </w:r>
      <w:r>
        <w:rPr>
          <w:spacing w:val="-9"/>
          <w:sz w:val="22"/>
        </w:rPr>
        <w:t> </w:t>
      </w:r>
      <w:r>
        <w:rPr>
          <w:sz w:val="22"/>
        </w:rPr>
        <w:t>to</w:t>
      </w:r>
      <w:r>
        <w:rPr>
          <w:spacing w:val="-11"/>
          <w:sz w:val="22"/>
        </w:rPr>
        <w:t> </w:t>
      </w:r>
      <w:r>
        <w:rPr>
          <w:sz w:val="22"/>
        </w:rPr>
        <w:t>increase</w:t>
      </w:r>
      <w:r>
        <w:rPr>
          <w:spacing w:val="-13"/>
          <w:sz w:val="22"/>
        </w:rPr>
        <w:t> </w:t>
      </w:r>
      <w:r>
        <w:rPr>
          <w:sz w:val="22"/>
        </w:rPr>
        <w:t>from</w:t>
      </w:r>
      <w:r>
        <w:rPr>
          <w:spacing w:val="-7"/>
          <w:sz w:val="22"/>
        </w:rPr>
        <w:t> </w:t>
      </w:r>
      <w:r>
        <w:rPr>
          <w:sz w:val="22"/>
        </w:rPr>
        <w:t>2024/25</w:t>
      </w:r>
      <w:r>
        <w:rPr>
          <w:spacing w:val="-11"/>
          <w:sz w:val="22"/>
        </w:rPr>
        <w:t> </w:t>
      </w:r>
      <w:r>
        <w:rPr>
          <w:sz w:val="22"/>
        </w:rPr>
        <w:t>to</w:t>
      </w:r>
      <w:r>
        <w:rPr>
          <w:spacing w:val="-11"/>
          <w:sz w:val="22"/>
        </w:rPr>
        <w:t> </w:t>
      </w:r>
      <w:r>
        <w:rPr>
          <w:sz w:val="22"/>
        </w:rPr>
        <w:t>2025/26.</w:t>
      </w:r>
      <w:r>
        <w:rPr>
          <w:spacing w:val="40"/>
          <w:sz w:val="22"/>
        </w:rPr>
        <w:t> </w:t>
      </w:r>
      <w:r>
        <w:rPr>
          <w:sz w:val="22"/>
        </w:rPr>
        <w:t>The trend in later years is to remain steady at an acceptable level.</w:t>
      </w:r>
    </w:p>
    <w:p>
      <w:pPr>
        <w:pStyle w:val="BodyText"/>
        <w:spacing w:before="2"/>
        <w:rPr>
          <w:sz w:val="21"/>
        </w:rPr>
      </w:pPr>
    </w:p>
    <w:p>
      <w:pPr>
        <w:pStyle w:val="ListParagraph"/>
        <w:numPr>
          <w:ilvl w:val="0"/>
          <w:numId w:val="72"/>
        </w:numPr>
        <w:tabs>
          <w:tab w:pos="675" w:val="left" w:leader="none"/>
        </w:tabs>
        <w:spacing w:line="247" w:lineRule="auto" w:before="0" w:after="0"/>
        <w:ind w:left="674" w:right="597" w:hanging="555"/>
        <w:jc w:val="both"/>
        <w:rPr>
          <w:b/>
          <w:i/>
          <w:sz w:val="22"/>
        </w:rPr>
      </w:pPr>
      <w:r>
        <w:rPr>
          <w:b/>
          <w:i/>
          <w:sz w:val="22"/>
        </w:rPr>
        <w:t>Asset renewal </w:t>
      </w:r>
      <w:r>
        <w:rPr>
          <w:sz w:val="22"/>
        </w:rPr>
        <w:t>- This percentage indicates the extent of Council's renewal and upgrade against its depreciation charge (an indication of the decline in value of its existing capital assets). A percentage greater than 100 indicates that Council is maintaining its existing assets, while a percentage less than 100</w:t>
      </w:r>
      <w:r>
        <w:rPr>
          <w:spacing w:val="-7"/>
          <w:sz w:val="22"/>
        </w:rPr>
        <w:t> </w:t>
      </w:r>
      <w:r>
        <w:rPr>
          <w:sz w:val="22"/>
        </w:rPr>
        <w:t>means</w:t>
      </w:r>
      <w:r>
        <w:rPr>
          <w:spacing w:val="-7"/>
          <w:sz w:val="22"/>
        </w:rPr>
        <w:t> </w:t>
      </w:r>
      <w:r>
        <w:rPr>
          <w:sz w:val="22"/>
        </w:rPr>
        <w:t>its</w:t>
      </w:r>
      <w:r>
        <w:rPr>
          <w:spacing w:val="-7"/>
          <w:sz w:val="22"/>
        </w:rPr>
        <w:t> </w:t>
      </w:r>
      <w:r>
        <w:rPr>
          <w:sz w:val="22"/>
        </w:rPr>
        <w:t>assets</w:t>
      </w:r>
      <w:r>
        <w:rPr>
          <w:spacing w:val="-9"/>
          <w:sz w:val="22"/>
        </w:rPr>
        <w:t> </w:t>
      </w:r>
      <w:r>
        <w:rPr>
          <w:sz w:val="22"/>
        </w:rPr>
        <w:t>are</w:t>
      </w:r>
      <w:r>
        <w:rPr>
          <w:spacing w:val="-11"/>
          <w:sz w:val="22"/>
        </w:rPr>
        <w:t> </w:t>
      </w:r>
      <w:r>
        <w:rPr>
          <w:sz w:val="22"/>
        </w:rPr>
        <w:t>deteriorating</w:t>
      </w:r>
      <w:r>
        <w:rPr>
          <w:spacing w:val="-11"/>
          <w:sz w:val="22"/>
        </w:rPr>
        <w:t> </w:t>
      </w:r>
      <w:r>
        <w:rPr>
          <w:sz w:val="22"/>
        </w:rPr>
        <w:t>faster</w:t>
      </w:r>
      <w:r>
        <w:rPr>
          <w:spacing w:val="-9"/>
          <w:sz w:val="22"/>
        </w:rPr>
        <w:t> </w:t>
      </w:r>
      <w:r>
        <w:rPr>
          <w:sz w:val="22"/>
        </w:rPr>
        <w:t>than</w:t>
      </w:r>
      <w:r>
        <w:rPr>
          <w:spacing w:val="-13"/>
          <w:sz w:val="22"/>
        </w:rPr>
        <w:t> </w:t>
      </w:r>
      <w:r>
        <w:rPr>
          <w:sz w:val="22"/>
        </w:rPr>
        <w:t>they</w:t>
      </w:r>
      <w:r>
        <w:rPr>
          <w:spacing w:val="-7"/>
          <w:sz w:val="22"/>
        </w:rPr>
        <w:t> </w:t>
      </w:r>
      <w:r>
        <w:rPr>
          <w:sz w:val="22"/>
        </w:rPr>
        <w:t>are</w:t>
      </w:r>
      <w:r>
        <w:rPr>
          <w:spacing w:val="-11"/>
          <w:sz w:val="22"/>
        </w:rPr>
        <w:t> </w:t>
      </w:r>
      <w:r>
        <w:rPr>
          <w:sz w:val="22"/>
        </w:rPr>
        <w:t>being</w:t>
      </w:r>
      <w:r>
        <w:rPr>
          <w:spacing w:val="-11"/>
          <w:sz w:val="22"/>
        </w:rPr>
        <w:t> </w:t>
      </w:r>
      <w:r>
        <w:rPr>
          <w:sz w:val="22"/>
        </w:rPr>
        <w:t>renewed/upgraded</w:t>
      </w:r>
      <w:r>
        <w:rPr>
          <w:spacing w:val="-8"/>
          <w:sz w:val="22"/>
        </w:rPr>
        <w:t> </w:t>
      </w:r>
      <w:r>
        <w:rPr>
          <w:sz w:val="22"/>
        </w:rPr>
        <w:t>and</w:t>
      </w:r>
      <w:r>
        <w:rPr>
          <w:spacing w:val="-13"/>
          <w:sz w:val="22"/>
        </w:rPr>
        <w:t> </w:t>
      </w:r>
      <w:r>
        <w:rPr>
          <w:sz w:val="22"/>
        </w:rPr>
        <w:t>that</w:t>
      </w:r>
      <w:r>
        <w:rPr>
          <w:spacing w:val="-8"/>
          <w:sz w:val="22"/>
        </w:rPr>
        <w:t> </w:t>
      </w:r>
      <w:r>
        <w:rPr>
          <w:sz w:val="22"/>
        </w:rPr>
        <w:t>future</w:t>
      </w:r>
      <w:r>
        <w:rPr>
          <w:spacing w:val="-11"/>
          <w:sz w:val="22"/>
        </w:rPr>
        <w:t> </w:t>
      </w:r>
      <w:r>
        <w:rPr>
          <w:sz w:val="22"/>
        </w:rPr>
        <w:t>capital</w:t>
      </w:r>
      <w:r>
        <w:rPr>
          <w:spacing w:val="-7"/>
          <w:sz w:val="22"/>
        </w:rPr>
        <w:t> </w:t>
      </w:r>
      <w:r>
        <w:rPr>
          <w:sz w:val="22"/>
        </w:rPr>
        <w:t>expenditure</w:t>
      </w:r>
      <w:r>
        <w:rPr>
          <w:spacing w:val="-11"/>
          <w:sz w:val="22"/>
        </w:rPr>
        <w:t> </w:t>
      </w:r>
      <w:r>
        <w:rPr>
          <w:sz w:val="22"/>
        </w:rPr>
        <w:t>will</w:t>
      </w:r>
      <w:r>
        <w:rPr>
          <w:spacing w:val="-7"/>
          <w:sz w:val="22"/>
        </w:rPr>
        <w:t> </w:t>
      </w:r>
      <w:r>
        <w:rPr>
          <w:sz w:val="22"/>
        </w:rPr>
        <w:t>be</w:t>
      </w:r>
      <w:r>
        <w:rPr>
          <w:spacing w:val="-9"/>
          <w:sz w:val="22"/>
        </w:rPr>
        <w:t> </w:t>
      </w:r>
      <w:r>
        <w:rPr>
          <w:sz w:val="22"/>
        </w:rPr>
        <w:t>required</w:t>
      </w:r>
      <w:r>
        <w:rPr>
          <w:spacing w:val="-11"/>
          <w:sz w:val="22"/>
        </w:rPr>
        <w:t> </w:t>
      </w:r>
      <w:r>
        <w:rPr>
          <w:sz w:val="22"/>
        </w:rPr>
        <w:t>to</w:t>
      </w:r>
      <w:r>
        <w:rPr>
          <w:spacing w:val="-8"/>
          <w:sz w:val="22"/>
        </w:rPr>
        <w:t> </w:t>
      </w:r>
      <w:r>
        <w:rPr>
          <w:sz w:val="22"/>
        </w:rPr>
        <w:t>maintain</w:t>
      </w:r>
      <w:r>
        <w:rPr>
          <w:spacing w:val="-11"/>
          <w:sz w:val="22"/>
        </w:rPr>
        <w:t> </w:t>
      </w:r>
      <w:r>
        <w:rPr>
          <w:sz w:val="22"/>
        </w:rPr>
        <w:t>assets.</w:t>
      </w:r>
    </w:p>
    <w:p>
      <w:pPr>
        <w:pStyle w:val="BodyText"/>
        <w:spacing w:before="2"/>
      </w:pPr>
    </w:p>
    <w:p>
      <w:pPr>
        <w:pStyle w:val="ListParagraph"/>
        <w:numPr>
          <w:ilvl w:val="0"/>
          <w:numId w:val="72"/>
        </w:numPr>
        <w:tabs>
          <w:tab w:pos="675" w:val="left" w:leader="none"/>
        </w:tabs>
        <w:spacing w:line="254" w:lineRule="auto" w:before="0" w:after="0"/>
        <w:ind w:left="674" w:right="599" w:hanging="555"/>
        <w:jc w:val="both"/>
        <w:rPr>
          <w:b/>
          <w:i/>
          <w:sz w:val="22"/>
        </w:rPr>
      </w:pPr>
      <w:r>
        <w:rPr>
          <w:b/>
          <w:i/>
          <w:sz w:val="22"/>
        </w:rPr>
        <w:t>Rates</w:t>
      </w:r>
      <w:r>
        <w:rPr>
          <w:b/>
          <w:i/>
          <w:spacing w:val="-6"/>
          <w:sz w:val="22"/>
        </w:rPr>
        <w:t> </w:t>
      </w:r>
      <w:r>
        <w:rPr>
          <w:b/>
          <w:i/>
          <w:sz w:val="22"/>
        </w:rPr>
        <w:t>concentration</w:t>
      </w:r>
      <w:r>
        <w:rPr>
          <w:b/>
          <w:i/>
          <w:spacing w:val="-11"/>
          <w:sz w:val="22"/>
        </w:rPr>
        <w:t> </w:t>
      </w:r>
      <w:r>
        <w:rPr>
          <w:sz w:val="22"/>
        </w:rPr>
        <w:t>-</w:t>
      </w:r>
      <w:r>
        <w:rPr>
          <w:spacing w:val="-8"/>
          <w:sz w:val="22"/>
        </w:rPr>
        <w:t> </w:t>
      </w:r>
      <w:r>
        <w:rPr>
          <w:sz w:val="22"/>
        </w:rPr>
        <w:t>This</w:t>
      </w:r>
      <w:r>
        <w:rPr>
          <w:spacing w:val="-6"/>
          <w:sz w:val="22"/>
        </w:rPr>
        <w:t> </w:t>
      </w:r>
      <w:r>
        <w:rPr>
          <w:sz w:val="22"/>
        </w:rPr>
        <w:t>indicator</w:t>
      </w:r>
      <w:r>
        <w:rPr>
          <w:spacing w:val="-8"/>
          <w:sz w:val="22"/>
        </w:rPr>
        <w:t> </w:t>
      </w:r>
      <w:r>
        <w:rPr>
          <w:sz w:val="22"/>
        </w:rPr>
        <w:t>reflects</w:t>
      </w:r>
      <w:r>
        <w:rPr>
          <w:spacing w:val="-6"/>
          <w:sz w:val="22"/>
        </w:rPr>
        <w:t> </w:t>
      </w:r>
      <w:r>
        <w:rPr>
          <w:sz w:val="22"/>
        </w:rPr>
        <w:t>the</w:t>
      </w:r>
      <w:r>
        <w:rPr>
          <w:spacing w:val="-12"/>
          <w:sz w:val="22"/>
        </w:rPr>
        <w:t> </w:t>
      </w:r>
      <w:r>
        <w:rPr>
          <w:sz w:val="22"/>
        </w:rPr>
        <w:t>extent</w:t>
      </w:r>
      <w:r>
        <w:rPr>
          <w:spacing w:val="-8"/>
          <w:sz w:val="22"/>
        </w:rPr>
        <w:t> </w:t>
      </w:r>
      <w:r>
        <w:rPr>
          <w:sz w:val="22"/>
        </w:rPr>
        <w:t>of</w:t>
      </w:r>
      <w:r>
        <w:rPr>
          <w:spacing w:val="-8"/>
          <w:sz w:val="22"/>
        </w:rPr>
        <w:t> </w:t>
      </w:r>
      <w:r>
        <w:rPr>
          <w:sz w:val="22"/>
        </w:rPr>
        <w:t>the</w:t>
      </w:r>
      <w:r>
        <w:rPr>
          <w:spacing w:val="-10"/>
          <w:sz w:val="22"/>
        </w:rPr>
        <w:t> </w:t>
      </w:r>
      <w:r>
        <w:rPr>
          <w:sz w:val="22"/>
        </w:rPr>
        <w:t>reliance</w:t>
      </w:r>
      <w:r>
        <w:rPr>
          <w:spacing w:val="-6"/>
          <w:sz w:val="22"/>
        </w:rPr>
        <w:t> </w:t>
      </w:r>
      <w:r>
        <w:rPr>
          <w:sz w:val="22"/>
        </w:rPr>
        <w:t>on</w:t>
      </w:r>
      <w:r>
        <w:rPr>
          <w:spacing w:val="-10"/>
          <w:sz w:val="22"/>
        </w:rPr>
        <w:t> </w:t>
      </w:r>
      <w:r>
        <w:rPr>
          <w:sz w:val="22"/>
        </w:rPr>
        <w:t>rate</w:t>
      </w:r>
      <w:r>
        <w:rPr>
          <w:spacing w:val="-8"/>
          <w:sz w:val="22"/>
        </w:rPr>
        <w:t> </w:t>
      </w:r>
      <w:r>
        <w:rPr>
          <w:sz w:val="22"/>
        </w:rPr>
        <w:t>revenues</w:t>
      </w:r>
      <w:r>
        <w:rPr>
          <w:spacing w:val="-11"/>
          <w:sz w:val="22"/>
        </w:rPr>
        <w:t> </w:t>
      </w:r>
      <w:r>
        <w:rPr>
          <w:sz w:val="22"/>
        </w:rPr>
        <w:t>to</w:t>
      </w:r>
      <w:r>
        <w:rPr>
          <w:spacing w:val="-8"/>
          <w:sz w:val="22"/>
        </w:rPr>
        <w:t> </w:t>
      </w:r>
      <w:r>
        <w:rPr>
          <w:sz w:val="22"/>
        </w:rPr>
        <w:t>fund</w:t>
      </w:r>
      <w:r>
        <w:rPr>
          <w:spacing w:val="-8"/>
          <w:sz w:val="22"/>
        </w:rPr>
        <w:t> </w:t>
      </w:r>
      <w:r>
        <w:rPr>
          <w:sz w:val="22"/>
        </w:rPr>
        <w:t>all</w:t>
      </w:r>
      <w:r>
        <w:rPr>
          <w:spacing w:val="-9"/>
          <w:sz w:val="22"/>
        </w:rPr>
        <w:t> </w:t>
      </w:r>
      <w:r>
        <w:rPr>
          <w:sz w:val="22"/>
        </w:rPr>
        <w:t>of</w:t>
      </w:r>
      <w:r>
        <w:rPr>
          <w:spacing w:val="-4"/>
          <w:sz w:val="22"/>
        </w:rPr>
        <w:t> </w:t>
      </w:r>
      <w:r>
        <w:rPr>
          <w:sz w:val="22"/>
        </w:rPr>
        <w:t>Council's</w:t>
      </w:r>
      <w:r>
        <w:rPr>
          <w:spacing w:val="-8"/>
          <w:sz w:val="22"/>
        </w:rPr>
        <w:t> </w:t>
      </w:r>
      <w:r>
        <w:rPr>
          <w:sz w:val="22"/>
        </w:rPr>
        <w:t>on-going</w:t>
      </w:r>
      <w:r>
        <w:rPr>
          <w:spacing w:val="-8"/>
          <w:sz w:val="22"/>
        </w:rPr>
        <w:t> </w:t>
      </w:r>
      <w:r>
        <w:rPr>
          <w:sz w:val="22"/>
        </w:rPr>
        <w:t>services.</w:t>
      </w:r>
      <w:r>
        <w:rPr>
          <w:spacing w:val="-6"/>
          <w:sz w:val="22"/>
        </w:rPr>
        <w:t> </w:t>
      </w:r>
      <w:r>
        <w:rPr>
          <w:sz w:val="22"/>
        </w:rPr>
        <w:t>The</w:t>
      </w:r>
      <w:r>
        <w:rPr>
          <w:spacing w:val="-8"/>
          <w:sz w:val="22"/>
        </w:rPr>
        <w:t> </w:t>
      </w:r>
      <w:r>
        <w:rPr>
          <w:sz w:val="22"/>
        </w:rPr>
        <w:t>trend</w:t>
      </w:r>
      <w:r>
        <w:rPr>
          <w:spacing w:val="-8"/>
          <w:sz w:val="22"/>
        </w:rPr>
        <w:t> </w:t>
      </w:r>
      <w:r>
        <w:rPr>
          <w:sz w:val="22"/>
        </w:rPr>
        <w:t>indicates</w:t>
      </w:r>
      <w:r>
        <w:rPr>
          <w:spacing w:val="-11"/>
          <w:sz w:val="22"/>
        </w:rPr>
        <w:t> </w:t>
      </w:r>
      <w:r>
        <w:rPr>
          <w:sz w:val="22"/>
        </w:rPr>
        <w:t>that Council is more reliant on rate revenue compared to all other revenue sources.</w:t>
      </w:r>
    </w:p>
    <w:p>
      <w:pPr>
        <w:pStyle w:val="BodyText"/>
        <w:spacing w:before="5"/>
        <w:rPr>
          <w:sz w:val="21"/>
        </w:rPr>
      </w:pPr>
    </w:p>
    <w:p>
      <w:pPr>
        <w:pStyle w:val="ListParagraph"/>
        <w:numPr>
          <w:ilvl w:val="0"/>
          <w:numId w:val="72"/>
        </w:numPr>
        <w:tabs>
          <w:tab w:pos="687" w:val="left" w:leader="none"/>
        </w:tabs>
        <w:spacing w:line="240" w:lineRule="auto" w:before="0" w:after="0"/>
        <w:ind w:left="686" w:right="594" w:hanging="567"/>
        <w:jc w:val="both"/>
        <w:rPr>
          <w:b/>
          <w:i/>
          <w:sz w:val="22"/>
        </w:rPr>
      </w:pPr>
      <w:r>
        <w:rPr>
          <w:b/>
          <w:i/>
          <w:sz w:val="22"/>
        </w:rPr>
        <w:t>Expenditure</w:t>
      </w:r>
      <w:r>
        <w:rPr>
          <w:b/>
          <w:i/>
          <w:spacing w:val="-9"/>
          <w:sz w:val="22"/>
        </w:rPr>
        <w:t> </w:t>
      </w:r>
      <w:r>
        <w:rPr>
          <w:b/>
          <w:i/>
          <w:sz w:val="22"/>
        </w:rPr>
        <w:t>level</w:t>
      </w:r>
      <w:r>
        <w:rPr>
          <w:b/>
          <w:i/>
          <w:spacing w:val="-6"/>
          <w:sz w:val="22"/>
        </w:rPr>
        <w:t> </w:t>
      </w:r>
      <w:r>
        <w:rPr>
          <w:sz w:val="22"/>
        </w:rPr>
        <w:t>-</w:t>
      </w:r>
      <w:r>
        <w:rPr>
          <w:spacing w:val="-5"/>
          <w:sz w:val="22"/>
        </w:rPr>
        <w:t> </w:t>
      </w:r>
      <w:r>
        <w:rPr>
          <w:sz w:val="22"/>
        </w:rPr>
        <w:t>This</w:t>
      </w:r>
      <w:r>
        <w:rPr>
          <w:spacing w:val="-7"/>
          <w:sz w:val="22"/>
        </w:rPr>
        <w:t> </w:t>
      </w:r>
      <w:r>
        <w:rPr>
          <w:sz w:val="22"/>
        </w:rPr>
        <w:t>target</w:t>
      </w:r>
      <w:r>
        <w:rPr>
          <w:spacing w:val="-3"/>
          <w:sz w:val="22"/>
        </w:rPr>
        <w:t> </w:t>
      </w:r>
      <w:r>
        <w:rPr>
          <w:sz w:val="22"/>
        </w:rPr>
        <w:t>measures</w:t>
      </w:r>
      <w:r>
        <w:rPr>
          <w:spacing w:val="-5"/>
          <w:sz w:val="22"/>
        </w:rPr>
        <w:t> </w:t>
      </w:r>
      <w:r>
        <w:rPr>
          <w:sz w:val="22"/>
        </w:rPr>
        <w:t>what</w:t>
      </w:r>
      <w:r>
        <w:rPr>
          <w:spacing w:val="-3"/>
          <w:sz w:val="22"/>
        </w:rPr>
        <w:t> </w:t>
      </w:r>
      <w:r>
        <w:rPr>
          <w:sz w:val="22"/>
        </w:rPr>
        <w:t>is</w:t>
      </w:r>
      <w:r>
        <w:rPr>
          <w:spacing w:val="-10"/>
          <w:sz w:val="22"/>
        </w:rPr>
        <w:t> </w:t>
      </w:r>
      <w:r>
        <w:rPr>
          <w:sz w:val="22"/>
        </w:rPr>
        <w:t>being</w:t>
      </w:r>
      <w:r>
        <w:rPr>
          <w:spacing w:val="-3"/>
          <w:sz w:val="22"/>
        </w:rPr>
        <w:t> </w:t>
      </w:r>
      <w:r>
        <w:rPr>
          <w:sz w:val="22"/>
        </w:rPr>
        <w:t>spent</w:t>
      </w:r>
      <w:r>
        <w:rPr>
          <w:spacing w:val="-3"/>
          <w:sz w:val="22"/>
        </w:rPr>
        <w:t> </w:t>
      </w:r>
      <w:r>
        <w:rPr>
          <w:sz w:val="22"/>
        </w:rPr>
        <w:t>on</w:t>
      </w:r>
      <w:r>
        <w:rPr>
          <w:spacing w:val="-4"/>
          <w:sz w:val="22"/>
        </w:rPr>
        <w:t> </w:t>
      </w:r>
      <w:r>
        <w:rPr>
          <w:sz w:val="22"/>
        </w:rPr>
        <w:t>a</w:t>
      </w:r>
      <w:r>
        <w:rPr>
          <w:spacing w:val="-9"/>
          <w:sz w:val="22"/>
        </w:rPr>
        <w:t> </w:t>
      </w:r>
      <w:r>
        <w:rPr>
          <w:sz w:val="22"/>
        </w:rPr>
        <w:t>per</w:t>
      </w:r>
      <w:r>
        <w:rPr>
          <w:spacing w:val="-3"/>
          <w:sz w:val="22"/>
        </w:rPr>
        <w:t> </w:t>
      </w:r>
      <w:r>
        <w:rPr>
          <w:sz w:val="22"/>
        </w:rPr>
        <w:t>property</w:t>
      </w:r>
      <w:r>
        <w:rPr>
          <w:spacing w:val="-3"/>
          <w:sz w:val="22"/>
        </w:rPr>
        <w:t> </w:t>
      </w:r>
      <w:r>
        <w:rPr>
          <w:sz w:val="22"/>
        </w:rPr>
        <w:t>basis</w:t>
      </w:r>
      <w:r>
        <w:rPr>
          <w:spacing w:val="-6"/>
          <w:sz w:val="22"/>
        </w:rPr>
        <w:t> </w:t>
      </w:r>
      <w:r>
        <w:rPr>
          <w:sz w:val="22"/>
        </w:rPr>
        <w:t>across</w:t>
      </w:r>
      <w:r>
        <w:rPr>
          <w:spacing w:val="-7"/>
          <w:sz w:val="22"/>
        </w:rPr>
        <w:t> </w:t>
      </w:r>
      <w:r>
        <w:rPr>
          <w:sz w:val="22"/>
        </w:rPr>
        <w:t>the</w:t>
      </w:r>
      <w:r>
        <w:rPr>
          <w:spacing w:val="-5"/>
          <w:sz w:val="22"/>
        </w:rPr>
        <w:t> </w:t>
      </w:r>
      <w:r>
        <w:rPr>
          <w:sz w:val="22"/>
        </w:rPr>
        <w:t>municipality.</w:t>
      </w:r>
      <w:r>
        <w:rPr>
          <w:spacing w:val="-3"/>
          <w:sz w:val="22"/>
        </w:rPr>
        <w:t> </w:t>
      </w:r>
      <w:r>
        <w:rPr>
          <w:sz w:val="22"/>
        </w:rPr>
        <w:t>This</w:t>
      </w:r>
      <w:r>
        <w:rPr>
          <w:spacing w:val="-6"/>
          <w:sz w:val="22"/>
        </w:rPr>
        <w:t> </w:t>
      </w:r>
      <w:r>
        <w:rPr>
          <w:sz w:val="22"/>
        </w:rPr>
        <w:t>is</w:t>
      </w:r>
      <w:r>
        <w:rPr>
          <w:spacing w:val="-7"/>
          <w:sz w:val="22"/>
        </w:rPr>
        <w:t> </w:t>
      </w:r>
      <w:r>
        <w:rPr>
          <w:sz w:val="22"/>
        </w:rPr>
        <w:t>expected</w:t>
      </w:r>
      <w:r>
        <w:rPr>
          <w:spacing w:val="-5"/>
          <w:sz w:val="22"/>
        </w:rPr>
        <w:t> </w:t>
      </w:r>
      <w:r>
        <w:rPr>
          <w:sz w:val="22"/>
        </w:rPr>
        <w:t>to</w:t>
      </w:r>
      <w:r>
        <w:rPr>
          <w:spacing w:val="-4"/>
          <w:sz w:val="22"/>
        </w:rPr>
        <w:t> </w:t>
      </w:r>
      <w:r>
        <w:rPr>
          <w:sz w:val="22"/>
        </w:rPr>
        <w:t>increase</w:t>
      </w:r>
      <w:r>
        <w:rPr>
          <w:spacing w:val="-5"/>
          <w:sz w:val="22"/>
        </w:rPr>
        <w:t> </w:t>
      </w:r>
      <w:r>
        <w:rPr>
          <w:sz w:val="22"/>
        </w:rPr>
        <w:t>slightly</w:t>
      </w:r>
      <w:r>
        <w:rPr>
          <w:spacing w:val="-5"/>
          <w:sz w:val="22"/>
        </w:rPr>
        <w:t> </w:t>
      </w:r>
      <w:r>
        <w:rPr>
          <w:sz w:val="22"/>
        </w:rPr>
        <w:t>across the next three years.</w:t>
      </w:r>
    </w:p>
    <w:p>
      <w:pPr>
        <w:spacing w:after="0" w:line="240" w:lineRule="auto"/>
        <w:jc w:val="both"/>
        <w:rPr>
          <w:sz w:val="22"/>
        </w:rPr>
        <w:sectPr>
          <w:type w:val="continuous"/>
          <w:pgSz w:w="16840" w:h="11910" w:orient="landscape"/>
          <w:pgMar w:header="0" w:footer="375" w:top="540" w:bottom="560" w:left="600" w:right="120"/>
        </w:sectPr>
      </w:pPr>
    </w:p>
    <w:p>
      <w:pPr>
        <w:pStyle w:val="ListParagraph"/>
        <w:numPr>
          <w:ilvl w:val="0"/>
          <w:numId w:val="72"/>
        </w:numPr>
        <w:tabs>
          <w:tab w:pos="686" w:val="left" w:leader="none"/>
          <w:tab w:pos="687" w:val="left" w:leader="none"/>
        </w:tabs>
        <w:spacing w:line="240" w:lineRule="auto" w:before="80" w:after="0"/>
        <w:ind w:left="686" w:right="998" w:hanging="567"/>
        <w:jc w:val="left"/>
        <w:rPr>
          <w:b/>
          <w:i/>
          <w:sz w:val="22"/>
        </w:rPr>
      </w:pPr>
      <w:r>
        <w:rPr>
          <w:b/>
          <w:i/>
          <w:sz w:val="22"/>
        </w:rPr>
        <w:t>Adjusted underlying result </w:t>
      </w:r>
      <w:r>
        <w:rPr>
          <w:sz w:val="22"/>
        </w:rPr>
        <w:t>– This is an indicator of the Council’s ability to sustainably self-fund its operating result, to enable Council to continue providing its core</w:t>
      </w:r>
      <w:r>
        <w:rPr>
          <w:spacing w:val="-1"/>
          <w:sz w:val="22"/>
        </w:rPr>
        <w:t> </w:t>
      </w:r>
      <w:r>
        <w:rPr>
          <w:sz w:val="22"/>
        </w:rPr>
        <w:t>services and meet its objectives. It is calculated by taking Council’s total comprehensive result less income generated from capital grants</w:t>
      </w:r>
      <w:r>
        <w:rPr>
          <w:spacing w:val="-4"/>
          <w:sz w:val="22"/>
        </w:rPr>
        <w:t> </w:t>
      </w:r>
      <w:r>
        <w:rPr>
          <w:sz w:val="22"/>
        </w:rPr>
        <w:t>and</w:t>
      </w:r>
      <w:r>
        <w:rPr>
          <w:spacing w:val="-2"/>
          <w:sz w:val="22"/>
        </w:rPr>
        <w:t> </w:t>
      </w:r>
      <w:r>
        <w:rPr>
          <w:sz w:val="22"/>
        </w:rPr>
        <w:t>capital</w:t>
      </w:r>
      <w:r>
        <w:rPr>
          <w:spacing w:val="-2"/>
          <w:sz w:val="22"/>
        </w:rPr>
        <w:t> </w:t>
      </w:r>
      <w:r>
        <w:rPr>
          <w:sz w:val="22"/>
        </w:rPr>
        <w:t>contributions. The</w:t>
      </w:r>
      <w:r>
        <w:rPr>
          <w:spacing w:val="-4"/>
          <w:sz w:val="22"/>
        </w:rPr>
        <w:t> </w:t>
      </w:r>
      <w:r>
        <w:rPr>
          <w:sz w:val="22"/>
        </w:rPr>
        <w:t>adjusted</w:t>
      </w:r>
      <w:r>
        <w:rPr>
          <w:spacing w:val="-4"/>
          <w:sz w:val="22"/>
        </w:rPr>
        <w:t> </w:t>
      </w:r>
      <w:r>
        <w:rPr>
          <w:sz w:val="22"/>
        </w:rPr>
        <w:t>underlying</w:t>
      </w:r>
      <w:r>
        <w:rPr>
          <w:spacing w:val="-2"/>
          <w:sz w:val="22"/>
        </w:rPr>
        <w:t> </w:t>
      </w:r>
      <w:r>
        <w:rPr>
          <w:sz w:val="22"/>
        </w:rPr>
        <w:t>result</w:t>
      </w:r>
      <w:r>
        <w:rPr>
          <w:spacing w:val="-4"/>
          <w:sz w:val="22"/>
        </w:rPr>
        <w:t> </w:t>
      </w:r>
      <w:r>
        <w:rPr>
          <w:sz w:val="22"/>
        </w:rPr>
        <w:t>over</w:t>
      </w:r>
      <w:r>
        <w:rPr>
          <w:spacing w:val="-2"/>
          <w:sz w:val="22"/>
        </w:rPr>
        <w:t> </w:t>
      </w:r>
      <w:r>
        <w:rPr>
          <w:sz w:val="22"/>
        </w:rPr>
        <w:t>the next</w:t>
      </w:r>
      <w:r>
        <w:rPr>
          <w:spacing w:val="-1"/>
          <w:sz w:val="22"/>
        </w:rPr>
        <w:t> </w:t>
      </w:r>
      <w:r>
        <w:rPr>
          <w:sz w:val="22"/>
        </w:rPr>
        <w:t>four</w:t>
      </w:r>
      <w:r>
        <w:rPr>
          <w:spacing w:val="-2"/>
          <w:sz w:val="22"/>
        </w:rPr>
        <w:t> </w:t>
      </w:r>
      <w:r>
        <w:rPr>
          <w:sz w:val="22"/>
        </w:rPr>
        <w:t>years</w:t>
      </w:r>
      <w:r>
        <w:rPr>
          <w:spacing w:val="-6"/>
          <w:sz w:val="22"/>
        </w:rPr>
        <w:t> </w:t>
      </w:r>
      <w:r>
        <w:rPr>
          <w:sz w:val="22"/>
        </w:rPr>
        <w:t>reflects</w:t>
      </w:r>
      <w:r>
        <w:rPr>
          <w:spacing w:val="-2"/>
          <w:sz w:val="22"/>
        </w:rPr>
        <w:t> </w:t>
      </w:r>
      <w:r>
        <w:rPr>
          <w:sz w:val="22"/>
        </w:rPr>
        <w:t>Council’s</w:t>
      </w:r>
      <w:r>
        <w:rPr>
          <w:spacing w:val="-2"/>
          <w:sz w:val="22"/>
        </w:rPr>
        <w:t> </w:t>
      </w:r>
      <w:r>
        <w:rPr>
          <w:sz w:val="22"/>
        </w:rPr>
        <w:t>investment</w:t>
      </w:r>
      <w:r>
        <w:rPr>
          <w:spacing w:val="-2"/>
          <w:sz w:val="22"/>
        </w:rPr>
        <w:t> </w:t>
      </w:r>
      <w:r>
        <w:rPr>
          <w:sz w:val="22"/>
        </w:rPr>
        <w:t>in</w:t>
      </w:r>
      <w:r>
        <w:rPr>
          <w:spacing w:val="-4"/>
          <w:sz w:val="22"/>
        </w:rPr>
        <w:t> </w:t>
      </w:r>
      <w:r>
        <w:rPr>
          <w:sz w:val="22"/>
        </w:rPr>
        <w:t>transformation</w:t>
      </w:r>
      <w:r>
        <w:rPr>
          <w:spacing w:val="-4"/>
          <w:sz w:val="22"/>
        </w:rPr>
        <w:t> </w:t>
      </w:r>
      <w:r>
        <w:rPr>
          <w:sz w:val="22"/>
        </w:rPr>
        <w:t>initiatives</w:t>
      </w:r>
      <w:r>
        <w:rPr>
          <w:spacing w:val="-4"/>
          <w:sz w:val="22"/>
        </w:rPr>
        <w:t> </w:t>
      </w:r>
      <w:r>
        <w:rPr>
          <w:sz w:val="22"/>
        </w:rPr>
        <w:t>that support the delivery of actions in the Council Plan.</w:t>
      </w:r>
    </w:p>
    <w:p>
      <w:pPr>
        <w:pStyle w:val="BodyText"/>
        <w:spacing w:before="11"/>
        <w:rPr>
          <w:sz w:val="21"/>
        </w:rPr>
      </w:pPr>
    </w:p>
    <w:p>
      <w:pPr>
        <w:pStyle w:val="ListParagraph"/>
        <w:numPr>
          <w:ilvl w:val="0"/>
          <w:numId w:val="72"/>
        </w:numPr>
        <w:tabs>
          <w:tab w:pos="686" w:val="left" w:leader="none"/>
          <w:tab w:pos="687" w:val="left" w:leader="none"/>
        </w:tabs>
        <w:spacing w:line="240" w:lineRule="auto" w:before="0" w:after="0"/>
        <w:ind w:left="686" w:right="594" w:hanging="567"/>
        <w:jc w:val="left"/>
        <w:rPr>
          <w:b/>
          <w:i/>
          <w:sz w:val="22"/>
        </w:rPr>
      </w:pPr>
      <w:r>
        <w:rPr>
          <w:b/>
          <w:i/>
          <w:sz w:val="22"/>
        </w:rPr>
        <w:t>Unrestricted cash </w:t>
      </w:r>
      <w:r>
        <w:rPr>
          <w:sz w:val="22"/>
        </w:rPr>
        <w:t>– Reflects the cash and cash equivalents plus financial assets, less Restricted assets. This</w:t>
      </w:r>
      <w:r>
        <w:rPr>
          <w:spacing w:val="-1"/>
          <w:sz w:val="22"/>
        </w:rPr>
        <w:t> </w:t>
      </w:r>
      <w:r>
        <w:rPr>
          <w:sz w:val="22"/>
        </w:rPr>
        <w:t>measure is expected to drop in the short term with the repayment of federal grants received for car park construction.</w:t>
      </w:r>
    </w:p>
    <w:p>
      <w:pPr>
        <w:pStyle w:val="BodyText"/>
        <w:spacing w:before="2"/>
      </w:pPr>
    </w:p>
    <w:p>
      <w:pPr>
        <w:pStyle w:val="ListParagraph"/>
        <w:numPr>
          <w:ilvl w:val="0"/>
          <w:numId w:val="72"/>
        </w:numPr>
        <w:tabs>
          <w:tab w:pos="686" w:val="left" w:leader="none"/>
          <w:tab w:pos="687" w:val="left" w:leader="none"/>
        </w:tabs>
        <w:spacing w:line="240" w:lineRule="auto" w:before="0" w:after="0"/>
        <w:ind w:left="686" w:right="813" w:hanging="567"/>
        <w:jc w:val="left"/>
        <w:rPr>
          <w:b/>
          <w:i/>
          <w:sz w:val="22"/>
        </w:rPr>
      </w:pPr>
      <w:r>
        <w:rPr>
          <w:b/>
          <w:i/>
          <w:sz w:val="22"/>
        </w:rPr>
        <w:t>Debt</w:t>
      </w:r>
      <w:r>
        <w:rPr>
          <w:b/>
          <w:i/>
          <w:spacing w:val="-1"/>
          <w:sz w:val="22"/>
        </w:rPr>
        <w:t> </w:t>
      </w:r>
      <w:r>
        <w:rPr>
          <w:b/>
          <w:i/>
          <w:sz w:val="22"/>
        </w:rPr>
        <w:t>compared</w:t>
      </w:r>
      <w:r>
        <w:rPr>
          <w:b/>
          <w:i/>
          <w:spacing w:val="-3"/>
          <w:sz w:val="22"/>
        </w:rPr>
        <w:t> </w:t>
      </w:r>
      <w:r>
        <w:rPr>
          <w:b/>
          <w:i/>
          <w:sz w:val="22"/>
        </w:rPr>
        <w:t>to</w:t>
      </w:r>
      <w:r>
        <w:rPr>
          <w:b/>
          <w:i/>
          <w:spacing w:val="-3"/>
          <w:sz w:val="22"/>
        </w:rPr>
        <w:t> </w:t>
      </w:r>
      <w:r>
        <w:rPr>
          <w:b/>
          <w:i/>
          <w:sz w:val="22"/>
        </w:rPr>
        <w:t>rates </w:t>
      </w:r>
      <w:r>
        <w:rPr>
          <w:sz w:val="22"/>
        </w:rPr>
        <w:t>– Loans</w:t>
      </w:r>
      <w:r>
        <w:rPr>
          <w:spacing w:val="-3"/>
          <w:sz w:val="22"/>
        </w:rPr>
        <w:t> </w:t>
      </w:r>
      <w:r>
        <w:rPr>
          <w:sz w:val="22"/>
        </w:rPr>
        <w:t>and</w:t>
      </w:r>
      <w:r>
        <w:rPr>
          <w:spacing w:val="-1"/>
          <w:sz w:val="22"/>
        </w:rPr>
        <w:t> </w:t>
      </w:r>
      <w:r>
        <w:rPr>
          <w:sz w:val="22"/>
        </w:rPr>
        <w:t>borrowings</w:t>
      </w:r>
      <w:r>
        <w:rPr>
          <w:spacing w:val="-1"/>
          <w:sz w:val="22"/>
        </w:rPr>
        <w:t> </w:t>
      </w:r>
      <w:r>
        <w:rPr>
          <w:sz w:val="22"/>
        </w:rPr>
        <w:t>means</w:t>
      </w:r>
      <w:r>
        <w:rPr>
          <w:spacing w:val="-1"/>
          <w:sz w:val="22"/>
        </w:rPr>
        <w:t> </w:t>
      </w:r>
      <w:r>
        <w:rPr>
          <w:sz w:val="22"/>
        </w:rPr>
        <w:t>interest</w:t>
      </w:r>
      <w:r>
        <w:rPr>
          <w:spacing w:val="-3"/>
          <w:sz w:val="22"/>
        </w:rPr>
        <w:t> </w:t>
      </w:r>
      <w:r>
        <w:rPr>
          <w:sz w:val="22"/>
        </w:rPr>
        <w:t>bearing</w:t>
      </w:r>
      <w:r>
        <w:rPr>
          <w:spacing w:val="-5"/>
          <w:sz w:val="22"/>
        </w:rPr>
        <w:t> </w:t>
      </w:r>
      <w:r>
        <w:rPr>
          <w:sz w:val="22"/>
        </w:rPr>
        <w:t>loans</w:t>
      </w:r>
      <w:r>
        <w:rPr>
          <w:spacing w:val="-1"/>
          <w:sz w:val="22"/>
        </w:rPr>
        <w:t> </w:t>
      </w:r>
      <w:r>
        <w:rPr>
          <w:sz w:val="22"/>
        </w:rPr>
        <w:t>and</w:t>
      </w:r>
      <w:r>
        <w:rPr>
          <w:spacing w:val="-1"/>
          <w:sz w:val="22"/>
        </w:rPr>
        <w:t> </w:t>
      </w:r>
      <w:r>
        <w:rPr>
          <w:sz w:val="22"/>
        </w:rPr>
        <w:t>borrowings</w:t>
      </w:r>
      <w:r>
        <w:rPr>
          <w:spacing w:val="-3"/>
          <w:sz w:val="22"/>
        </w:rPr>
        <w:t> </w:t>
      </w:r>
      <w:r>
        <w:rPr>
          <w:sz w:val="22"/>
        </w:rPr>
        <w:t>compared</w:t>
      </w:r>
      <w:r>
        <w:rPr>
          <w:spacing w:val="-2"/>
          <w:sz w:val="22"/>
        </w:rPr>
        <w:t> </w:t>
      </w:r>
      <w:r>
        <w:rPr>
          <w:sz w:val="22"/>
        </w:rPr>
        <w:t>to</w:t>
      </w:r>
      <w:r>
        <w:rPr>
          <w:spacing w:val="-2"/>
          <w:sz w:val="22"/>
        </w:rPr>
        <w:t> </w:t>
      </w:r>
      <w:r>
        <w:rPr>
          <w:sz w:val="22"/>
        </w:rPr>
        <w:t>rates</w:t>
      </w:r>
      <w:r>
        <w:rPr>
          <w:spacing w:val="-3"/>
          <w:sz w:val="22"/>
        </w:rPr>
        <w:t> </w:t>
      </w:r>
      <w:r>
        <w:rPr>
          <w:sz w:val="22"/>
        </w:rPr>
        <w:t>and charges</w:t>
      </w:r>
      <w:r>
        <w:rPr>
          <w:spacing w:val="-1"/>
          <w:sz w:val="22"/>
        </w:rPr>
        <w:t> </w:t>
      </w:r>
      <w:r>
        <w:rPr>
          <w:sz w:val="22"/>
        </w:rPr>
        <w:t>revenue.</w:t>
      </w:r>
      <w:r>
        <w:rPr>
          <w:spacing w:val="-3"/>
          <w:sz w:val="22"/>
        </w:rPr>
        <w:t> </w:t>
      </w:r>
      <w:r>
        <w:rPr>
          <w:sz w:val="22"/>
        </w:rPr>
        <w:t>The</w:t>
      </w:r>
      <w:r>
        <w:rPr>
          <w:spacing w:val="-3"/>
          <w:sz w:val="22"/>
        </w:rPr>
        <w:t> </w:t>
      </w:r>
      <w:r>
        <w:rPr>
          <w:sz w:val="22"/>
        </w:rPr>
        <w:t>balance of interest-bearing loans and borrowings is shown as a percentage of rates revenue. Loans and borrowings also refers to interest and principal repayments compared to</w:t>
      </w:r>
      <w:r>
        <w:rPr>
          <w:spacing w:val="-1"/>
          <w:sz w:val="22"/>
        </w:rPr>
        <w:t> </w:t>
      </w:r>
      <w:r>
        <w:rPr>
          <w:sz w:val="22"/>
        </w:rPr>
        <w:t>rate revenue. The ratio describes Council’s cash flow debt repayment capacity through the inclusion of interest and principal repayments on interest bearing loans and borrowings as a percentage of rate revenue.</w:t>
      </w:r>
    </w:p>
    <w:p>
      <w:pPr>
        <w:pStyle w:val="BodyText"/>
      </w:pPr>
    </w:p>
    <w:p>
      <w:pPr>
        <w:pStyle w:val="ListParagraph"/>
        <w:numPr>
          <w:ilvl w:val="0"/>
          <w:numId w:val="72"/>
        </w:numPr>
        <w:tabs>
          <w:tab w:pos="686" w:val="left" w:leader="none"/>
          <w:tab w:pos="687" w:val="left" w:leader="none"/>
        </w:tabs>
        <w:spacing w:line="240" w:lineRule="auto" w:before="0" w:after="0"/>
        <w:ind w:left="686" w:right="592" w:hanging="567"/>
        <w:jc w:val="left"/>
        <w:rPr>
          <w:b/>
          <w:i/>
          <w:sz w:val="22"/>
        </w:rPr>
      </w:pPr>
      <w:r>
        <w:rPr>
          <w:b/>
          <w:i/>
          <w:sz w:val="22"/>
        </w:rPr>
        <w:t>Rates effort </w:t>
      </w:r>
      <w:r>
        <w:rPr>
          <w:sz w:val="22"/>
        </w:rPr>
        <w:t>– Rates effort is intended to examine the community’s capacity to pay, presents rate revenue as a percentage of the capital improvement value (CIV) of rateable properties in the municipality.</w:t>
      </w:r>
    </w:p>
    <w:p>
      <w:pPr>
        <w:pStyle w:val="BodyText"/>
        <w:spacing w:before="11"/>
        <w:rPr>
          <w:sz w:val="21"/>
        </w:rPr>
      </w:pPr>
    </w:p>
    <w:p>
      <w:pPr>
        <w:pStyle w:val="ListParagraph"/>
        <w:numPr>
          <w:ilvl w:val="0"/>
          <w:numId w:val="72"/>
        </w:numPr>
        <w:tabs>
          <w:tab w:pos="686" w:val="left" w:leader="none"/>
          <w:tab w:pos="687" w:val="left" w:leader="none"/>
        </w:tabs>
        <w:spacing w:line="240" w:lineRule="auto" w:before="0" w:after="0"/>
        <w:ind w:left="686" w:right="0" w:hanging="567"/>
        <w:jc w:val="left"/>
        <w:rPr>
          <w:b/>
          <w:i/>
          <w:sz w:val="22"/>
        </w:rPr>
      </w:pPr>
      <w:r>
        <w:rPr>
          <w:b/>
          <w:i/>
          <w:sz w:val="22"/>
        </w:rPr>
        <w:t>Revenue</w:t>
      </w:r>
      <w:r>
        <w:rPr>
          <w:b/>
          <w:i/>
          <w:spacing w:val="-8"/>
          <w:sz w:val="22"/>
        </w:rPr>
        <w:t> </w:t>
      </w:r>
      <w:r>
        <w:rPr>
          <w:b/>
          <w:i/>
          <w:sz w:val="22"/>
        </w:rPr>
        <w:t>level</w:t>
      </w:r>
      <w:r>
        <w:rPr>
          <w:b/>
          <w:i/>
          <w:spacing w:val="-4"/>
          <w:sz w:val="22"/>
        </w:rPr>
        <w:t> </w:t>
      </w:r>
      <w:r>
        <w:rPr>
          <w:sz w:val="22"/>
        </w:rPr>
        <w:t>–</w:t>
      </w:r>
      <w:r>
        <w:rPr>
          <w:spacing w:val="-5"/>
          <w:sz w:val="22"/>
        </w:rPr>
        <w:t> </w:t>
      </w:r>
      <w:r>
        <w:rPr>
          <w:sz w:val="22"/>
        </w:rPr>
        <w:t>Average</w:t>
      </w:r>
      <w:r>
        <w:rPr>
          <w:spacing w:val="-2"/>
          <w:sz w:val="22"/>
        </w:rPr>
        <w:t> </w:t>
      </w:r>
      <w:r>
        <w:rPr>
          <w:sz w:val="22"/>
        </w:rPr>
        <w:t>rate</w:t>
      </w:r>
      <w:r>
        <w:rPr>
          <w:spacing w:val="-6"/>
          <w:sz w:val="22"/>
        </w:rPr>
        <w:t> </w:t>
      </w:r>
      <w:r>
        <w:rPr>
          <w:sz w:val="22"/>
        </w:rPr>
        <w:t>per</w:t>
      </w:r>
      <w:r>
        <w:rPr>
          <w:spacing w:val="-3"/>
          <w:sz w:val="22"/>
        </w:rPr>
        <w:t> </w:t>
      </w:r>
      <w:r>
        <w:rPr>
          <w:sz w:val="22"/>
        </w:rPr>
        <w:t>property</w:t>
      </w:r>
      <w:r>
        <w:rPr>
          <w:spacing w:val="-4"/>
          <w:sz w:val="22"/>
        </w:rPr>
        <w:t> </w:t>
      </w:r>
      <w:r>
        <w:rPr>
          <w:sz w:val="22"/>
        </w:rPr>
        <w:t>assessment.</w:t>
      </w:r>
      <w:r>
        <w:rPr>
          <w:spacing w:val="-2"/>
          <w:sz w:val="22"/>
        </w:rPr>
        <w:t> </w:t>
      </w:r>
      <w:r>
        <w:rPr>
          <w:sz w:val="22"/>
        </w:rPr>
        <w:t>General</w:t>
      </w:r>
      <w:r>
        <w:rPr>
          <w:spacing w:val="-4"/>
          <w:sz w:val="22"/>
        </w:rPr>
        <w:t> </w:t>
      </w:r>
      <w:r>
        <w:rPr>
          <w:sz w:val="22"/>
        </w:rPr>
        <w:t>rates</w:t>
      </w:r>
      <w:r>
        <w:rPr>
          <w:spacing w:val="-5"/>
          <w:sz w:val="22"/>
        </w:rPr>
        <w:t> </w:t>
      </w:r>
      <w:r>
        <w:rPr>
          <w:sz w:val="22"/>
        </w:rPr>
        <w:t>increase</w:t>
      </w:r>
      <w:r>
        <w:rPr>
          <w:spacing w:val="-2"/>
          <w:sz w:val="22"/>
        </w:rPr>
        <w:t> </w:t>
      </w:r>
      <w:r>
        <w:rPr>
          <w:sz w:val="22"/>
        </w:rPr>
        <w:t>in</w:t>
      </w:r>
      <w:r>
        <w:rPr>
          <w:spacing w:val="-3"/>
          <w:sz w:val="22"/>
        </w:rPr>
        <w:t> </w:t>
      </w:r>
      <w:r>
        <w:rPr>
          <w:sz w:val="22"/>
        </w:rPr>
        <w:t>accordance</w:t>
      </w:r>
      <w:r>
        <w:rPr>
          <w:spacing w:val="-5"/>
          <w:sz w:val="22"/>
        </w:rPr>
        <w:t> </w:t>
      </w:r>
      <w:r>
        <w:rPr>
          <w:sz w:val="22"/>
        </w:rPr>
        <w:t>with</w:t>
      </w:r>
      <w:r>
        <w:rPr>
          <w:spacing w:val="-5"/>
          <w:sz w:val="22"/>
        </w:rPr>
        <w:t> </w:t>
      </w:r>
      <w:r>
        <w:rPr>
          <w:sz w:val="22"/>
        </w:rPr>
        <w:t>the</w:t>
      </w:r>
      <w:r>
        <w:rPr>
          <w:spacing w:val="-5"/>
          <w:sz w:val="22"/>
        </w:rPr>
        <w:t> </w:t>
      </w:r>
      <w:r>
        <w:rPr>
          <w:sz w:val="22"/>
        </w:rPr>
        <w:t>predicted</w:t>
      </w:r>
      <w:r>
        <w:rPr>
          <w:spacing w:val="-5"/>
          <w:sz w:val="22"/>
        </w:rPr>
        <w:t> </w:t>
      </w:r>
      <w:r>
        <w:rPr>
          <w:sz w:val="22"/>
        </w:rPr>
        <w:t>rate</w:t>
      </w:r>
      <w:r>
        <w:rPr>
          <w:spacing w:val="-5"/>
          <w:sz w:val="22"/>
        </w:rPr>
        <w:t> </w:t>
      </w:r>
      <w:r>
        <w:rPr>
          <w:spacing w:val="-4"/>
          <w:sz w:val="22"/>
        </w:rPr>
        <w:t>cap.</w:t>
      </w:r>
    </w:p>
    <w:p>
      <w:pPr>
        <w:spacing w:after="0" w:line="240" w:lineRule="auto"/>
        <w:jc w:val="left"/>
        <w:rPr>
          <w:sz w:val="22"/>
        </w:rPr>
        <w:sectPr>
          <w:pgSz w:w="16840" w:h="11910" w:orient="landscape"/>
          <w:pgMar w:header="0" w:footer="375" w:top="480" w:bottom="560" w:left="600" w:right="120"/>
        </w:sectPr>
      </w:pPr>
    </w:p>
    <w:p>
      <w:pPr>
        <w:pStyle w:val="Heading1"/>
        <w:numPr>
          <w:ilvl w:val="0"/>
          <w:numId w:val="71"/>
        </w:numPr>
        <w:tabs>
          <w:tab w:pos="842" w:val="left" w:leader="none"/>
          <w:tab w:pos="843" w:val="left" w:leader="none"/>
        </w:tabs>
        <w:spacing w:line="240" w:lineRule="auto" w:before="63" w:after="0"/>
        <w:ind w:left="842" w:right="0" w:hanging="643"/>
        <w:jc w:val="left"/>
      </w:pPr>
      <w:bookmarkStart w:name="_TOC_250000" w:id="32"/>
      <w:r>
        <w:rPr>
          <w:color w:val="4966AC"/>
        </w:rPr>
        <w:t>Schedule</w:t>
      </w:r>
      <w:r>
        <w:rPr>
          <w:color w:val="4966AC"/>
          <w:spacing w:val="-8"/>
        </w:rPr>
        <w:t> </w:t>
      </w:r>
      <w:r>
        <w:rPr>
          <w:color w:val="4966AC"/>
        </w:rPr>
        <w:t>of</w:t>
      </w:r>
      <w:r>
        <w:rPr>
          <w:color w:val="4966AC"/>
          <w:spacing w:val="-7"/>
        </w:rPr>
        <w:t> </w:t>
      </w:r>
      <w:r>
        <w:rPr>
          <w:color w:val="4966AC"/>
        </w:rPr>
        <w:t>Fees</w:t>
      </w:r>
      <w:r>
        <w:rPr>
          <w:color w:val="4966AC"/>
          <w:spacing w:val="-7"/>
        </w:rPr>
        <w:t> </w:t>
      </w:r>
      <w:r>
        <w:rPr>
          <w:color w:val="4966AC"/>
        </w:rPr>
        <w:t>and</w:t>
      </w:r>
      <w:r>
        <w:rPr>
          <w:color w:val="4966AC"/>
          <w:spacing w:val="-8"/>
        </w:rPr>
        <w:t> </w:t>
      </w:r>
      <w:bookmarkEnd w:id="32"/>
      <w:r>
        <w:rPr>
          <w:color w:val="4966AC"/>
          <w:spacing w:val="-2"/>
        </w:rPr>
        <w:t>Charges</w:t>
      </w:r>
    </w:p>
    <w:p>
      <w:pPr>
        <w:pStyle w:val="BodyText"/>
        <w:spacing w:before="251"/>
        <w:ind w:left="200"/>
      </w:pPr>
      <w:r>
        <w:rPr/>
        <w:t>This represents the fees</w:t>
      </w:r>
      <w:r>
        <w:rPr>
          <w:spacing w:val="-1"/>
        </w:rPr>
        <w:t> </w:t>
      </w:r>
      <w:r>
        <w:rPr/>
        <w:t>and charges of a statutory/non-statutory nature which will be charged in respect to various goods and services during the FY 2025/26</w:t>
      </w:r>
    </w:p>
    <w:p>
      <w:pPr>
        <w:pStyle w:val="BodyText"/>
        <w:spacing w:before="11"/>
        <w:rPr>
          <w:sz w:val="21"/>
        </w:rPr>
      </w:pPr>
    </w:p>
    <w:p>
      <w:pPr>
        <w:pStyle w:val="BodyText"/>
        <w:ind w:left="200"/>
      </w:pPr>
      <w:r>
        <w:rPr/>
        <w:t>Fees</w:t>
      </w:r>
      <w:r>
        <w:rPr>
          <w:spacing w:val="26"/>
        </w:rPr>
        <w:t> </w:t>
      </w:r>
      <w:r>
        <w:rPr/>
        <w:t>and</w:t>
      </w:r>
      <w:r>
        <w:rPr>
          <w:spacing w:val="25"/>
        </w:rPr>
        <w:t> </w:t>
      </w:r>
      <w:r>
        <w:rPr/>
        <w:t>charges</w:t>
      </w:r>
      <w:r>
        <w:rPr>
          <w:spacing w:val="26"/>
        </w:rPr>
        <w:t> </w:t>
      </w:r>
      <w:r>
        <w:rPr/>
        <w:t>are</w:t>
      </w:r>
      <w:r>
        <w:rPr>
          <w:spacing w:val="22"/>
        </w:rPr>
        <w:t> </w:t>
      </w:r>
      <w:r>
        <w:rPr/>
        <w:t>based</w:t>
      </w:r>
      <w:r>
        <w:rPr>
          <w:spacing w:val="27"/>
        </w:rPr>
        <w:t> </w:t>
      </w:r>
      <w:r>
        <w:rPr/>
        <w:t>on</w:t>
      </w:r>
      <w:r>
        <w:rPr>
          <w:spacing w:val="25"/>
        </w:rPr>
        <w:t> </w:t>
      </w:r>
      <w:r>
        <w:rPr/>
        <w:t>information</w:t>
      </w:r>
      <w:r>
        <w:rPr>
          <w:spacing w:val="26"/>
        </w:rPr>
        <w:t> </w:t>
      </w:r>
      <w:r>
        <w:rPr/>
        <w:t>available</w:t>
      </w:r>
      <w:r>
        <w:rPr>
          <w:spacing w:val="27"/>
        </w:rPr>
        <w:t> </w:t>
      </w:r>
      <w:r>
        <w:rPr/>
        <w:t>at</w:t>
      </w:r>
      <w:r>
        <w:rPr>
          <w:spacing w:val="26"/>
        </w:rPr>
        <w:t> </w:t>
      </w:r>
      <w:r>
        <w:rPr/>
        <w:t>the</w:t>
      </w:r>
      <w:r>
        <w:rPr>
          <w:spacing w:val="25"/>
        </w:rPr>
        <w:t> </w:t>
      </w:r>
      <w:r>
        <w:rPr/>
        <w:t>time</w:t>
      </w:r>
      <w:r>
        <w:rPr>
          <w:spacing w:val="25"/>
        </w:rPr>
        <w:t> </w:t>
      </w:r>
      <w:r>
        <w:rPr/>
        <w:t>of</w:t>
      </w:r>
      <w:r>
        <w:rPr>
          <w:spacing w:val="24"/>
        </w:rPr>
        <w:t> </w:t>
      </w:r>
      <w:r>
        <w:rPr/>
        <w:t>publishing</w:t>
      </w:r>
      <w:r>
        <w:rPr>
          <w:spacing w:val="28"/>
        </w:rPr>
        <w:t> </w:t>
      </w:r>
      <w:r>
        <w:rPr/>
        <w:t>and</w:t>
      </w:r>
      <w:r>
        <w:rPr>
          <w:spacing w:val="24"/>
        </w:rPr>
        <w:t> </w:t>
      </w:r>
      <w:r>
        <w:rPr/>
        <w:t>may</w:t>
      </w:r>
      <w:r>
        <w:rPr>
          <w:spacing w:val="24"/>
        </w:rPr>
        <w:t> </w:t>
      </w:r>
      <w:r>
        <w:rPr/>
        <w:t>vary</w:t>
      </w:r>
      <w:r>
        <w:rPr>
          <w:spacing w:val="24"/>
        </w:rPr>
        <w:t> </w:t>
      </w:r>
      <w:r>
        <w:rPr/>
        <w:t>during</w:t>
      </w:r>
      <w:r>
        <w:rPr>
          <w:spacing w:val="25"/>
        </w:rPr>
        <w:t> </w:t>
      </w:r>
      <w:r>
        <w:rPr/>
        <w:t>the financial year subject to any changes in Council's policy or legislation.</w:t>
      </w:r>
    </w:p>
    <w:p>
      <w:pPr>
        <w:pStyle w:val="BodyText"/>
        <w:rPr>
          <w:sz w:val="20"/>
        </w:rPr>
      </w:pPr>
    </w:p>
    <w:p>
      <w:pPr>
        <w:pStyle w:val="BodyText"/>
        <w:spacing w:before="1"/>
        <w:rPr>
          <w:sz w:val="24"/>
        </w:rPr>
      </w:pPr>
    </w:p>
    <w:tbl>
      <w:tblPr>
        <w:tblW w:w="0" w:type="auto"/>
        <w:jc w:val="left"/>
        <w:tblInd w:w="13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70"/>
        <w:gridCol w:w="1028"/>
        <w:gridCol w:w="769"/>
        <w:gridCol w:w="973"/>
        <w:gridCol w:w="1199"/>
        <w:gridCol w:w="897"/>
      </w:tblGrid>
      <w:tr>
        <w:trPr>
          <w:trHeight w:val="230" w:hRule="atLeast"/>
        </w:trPr>
        <w:tc>
          <w:tcPr>
            <w:tcW w:w="10636" w:type="dxa"/>
            <w:gridSpan w:val="6"/>
            <w:tcBorders>
              <w:left w:val="single" w:sz="12" w:space="0" w:color="000000"/>
              <w:bottom w:val="single" w:sz="4" w:space="0" w:color="000000"/>
              <w:right w:val="single" w:sz="12" w:space="0" w:color="000000"/>
            </w:tcBorders>
            <w:shd w:val="clear" w:color="auto" w:fill="3399FF"/>
          </w:tcPr>
          <w:p>
            <w:pPr>
              <w:pStyle w:val="TableParagraph"/>
              <w:spacing w:before="32"/>
              <w:ind w:left="4308" w:right="4290"/>
              <w:jc w:val="center"/>
              <w:rPr>
                <w:b/>
                <w:sz w:val="14"/>
              </w:rPr>
            </w:pPr>
            <w:r>
              <w:rPr>
                <w:b/>
                <w:color w:val="FFFFFF"/>
                <w:sz w:val="14"/>
              </w:rPr>
              <w:t>FEES</w:t>
            </w:r>
            <w:r>
              <w:rPr>
                <w:b/>
                <w:color w:val="FFFFFF"/>
                <w:spacing w:val="-5"/>
                <w:sz w:val="14"/>
              </w:rPr>
              <w:t> </w:t>
            </w:r>
            <w:r>
              <w:rPr>
                <w:b/>
                <w:color w:val="FFFFFF"/>
                <w:sz w:val="14"/>
              </w:rPr>
              <w:t>AND</w:t>
            </w:r>
            <w:r>
              <w:rPr>
                <w:b/>
                <w:color w:val="FFFFFF"/>
                <w:spacing w:val="-4"/>
                <w:sz w:val="14"/>
              </w:rPr>
              <w:t> </w:t>
            </w:r>
            <w:r>
              <w:rPr>
                <w:b/>
                <w:color w:val="FFFFFF"/>
                <w:sz w:val="14"/>
              </w:rPr>
              <w:t>CHARGES</w:t>
            </w:r>
            <w:r>
              <w:rPr>
                <w:b/>
                <w:color w:val="FFFFFF"/>
                <w:spacing w:val="-1"/>
                <w:sz w:val="14"/>
              </w:rPr>
              <w:t> </w:t>
            </w:r>
            <w:r>
              <w:rPr>
                <w:b/>
                <w:color w:val="FFFFFF"/>
                <w:spacing w:val="-2"/>
                <w:sz w:val="14"/>
              </w:rPr>
              <w:t>2025/26</w:t>
            </w:r>
          </w:p>
        </w:tc>
      </w:tr>
      <w:tr>
        <w:trPr>
          <w:trHeight w:val="861" w:hRule="atLeast"/>
        </w:trPr>
        <w:tc>
          <w:tcPr>
            <w:tcW w:w="5770" w:type="dxa"/>
            <w:tcBorders>
              <w:top w:val="single" w:sz="4" w:space="0" w:color="000000"/>
              <w:left w:val="single" w:sz="12" w:space="0" w:color="000000"/>
              <w:bottom w:val="single" w:sz="4" w:space="0" w:color="000000"/>
              <w:right w:val="single" w:sz="4"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107"/>
              <w:rPr>
                <w:b/>
                <w:sz w:val="14"/>
              </w:rPr>
            </w:pPr>
            <w:r>
              <w:rPr>
                <w:b/>
                <w:color w:val="FFFFFF"/>
                <w:sz w:val="14"/>
              </w:rPr>
              <w:t>Account</w:t>
            </w:r>
            <w:r>
              <w:rPr>
                <w:b/>
                <w:color w:val="FFFFFF"/>
                <w:spacing w:val="-7"/>
                <w:sz w:val="14"/>
              </w:rPr>
              <w:t> </w:t>
            </w:r>
            <w:r>
              <w:rPr>
                <w:b/>
                <w:color w:val="FFFFFF"/>
                <w:spacing w:val="-2"/>
                <w:sz w:val="14"/>
              </w:rPr>
              <w:t>Description</w:t>
            </w:r>
          </w:p>
        </w:tc>
        <w:tc>
          <w:tcPr>
            <w:tcW w:w="1028"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11"/>
              <w:ind w:left="126" w:right="101" w:firstLine="4"/>
              <w:jc w:val="center"/>
              <w:rPr>
                <w:b/>
                <w:sz w:val="14"/>
              </w:rPr>
            </w:pPr>
            <w:r>
              <w:rPr>
                <w:b/>
                <w:color w:val="FFFFFF"/>
                <w:sz w:val="14"/>
              </w:rPr>
              <w:t>Fee</w:t>
            </w:r>
            <w:r>
              <w:rPr>
                <w:b/>
                <w:color w:val="FFFFFF"/>
                <w:spacing w:val="-6"/>
                <w:sz w:val="14"/>
              </w:rPr>
              <w:t> </w:t>
            </w:r>
            <w:r>
              <w:rPr>
                <w:b/>
                <w:color w:val="FFFFFF"/>
                <w:sz w:val="14"/>
              </w:rPr>
              <w:t>Type</w:t>
            </w:r>
            <w:r>
              <w:rPr>
                <w:b/>
                <w:color w:val="FFFFFF"/>
                <w:spacing w:val="40"/>
                <w:sz w:val="14"/>
              </w:rPr>
              <w:t> </w:t>
            </w:r>
            <w:r>
              <w:rPr>
                <w:b/>
                <w:color w:val="FFFFFF"/>
                <w:spacing w:val="-2"/>
                <w:sz w:val="14"/>
              </w:rPr>
              <w:t>N=Non-</w:t>
            </w:r>
            <w:r>
              <w:rPr>
                <w:b/>
                <w:color w:val="FFFFFF"/>
                <w:spacing w:val="40"/>
                <w:sz w:val="14"/>
              </w:rPr>
              <w:t> </w:t>
            </w:r>
            <w:r>
              <w:rPr>
                <w:b/>
                <w:color w:val="FFFFFF"/>
                <w:spacing w:val="-2"/>
                <w:sz w:val="14"/>
              </w:rPr>
              <w:t>Statutory</w:t>
            </w:r>
            <w:r>
              <w:rPr>
                <w:b/>
                <w:color w:val="FFFFFF"/>
                <w:spacing w:val="40"/>
                <w:sz w:val="14"/>
              </w:rPr>
              <w:t> </w:t>
            </w:r>
            <w:r>
              <w:rPr>
                <w:b/>
                <w:color w:val="FFFFFF"/>
                <w:spacing w:val="-2"/>
                <w:sz w:val="14"/>
              </w:rPr>
              <w:t>S=Statutory</w:t>
            </w:r>
          </w:p>
        </w:tc>
        <w:tc>
          <w:tcPr>
            <w:tcW w:w="76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7"/>
              <w:rPr>
                <w:sz w:val="23"/>
              </w:rPr>
            </w:pPr>
          </w:p>
          <w:p>
            <w:pPr>
              <w:pStyle w:val="TableParagraph"/>
              <w:ind w:left="248"/>
              <w:rPr>
                <w:b/>
                <w:sz w:val="14"/>
              </w:rPr>
            </w:pPr>
            <w:r>
              <w:rPr>
                <w:b/>
                <w:color w:val="FFFFFF"/>
                <w:spacing w:val="-5"/>
                <w:sz w:val="14"/>
              </w:rPr>
              <w:t>GST</w:t>
            </w:r>
          </w:p>
          <w:p>
            <w:pPr>
              <w:pStyle w:val="TableParagraph"/>
              <w:ind w:left="154"/>
              <w:rPr>
                <w:b/>
                <w:sz w:val="14"/>
              </w:rPr>
            </w:pPr>
            <w:r>
              <w:rPr>
                <w:b/>
                <w:color w:val="FFFFFF"/>
                <w:spacing w:val="-2"/>
                <w:sz w:val="14"/>
              </w:rPr>
              <w:t>Yes/No</w:t>
            </w:r>
          </w:p>
        </w:tc>
        <w:tc>
          <w:tcPr>
            <w:tcW w:w="973"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11"/>
              <w:ind w:left="105" w:right="84"/>
              <w:jc w:val="center"/>
              <w:rPr>
                <w:b/>
                <w:sz w:val="14"/>
              </w:rPr>
            </w:pPr>
            <w:r>
              <w:rPr>
                <w:b/>
                <w:color w:val="FFFFFF"/>
                <w:spacing w:val="-2"/>
                <w:sz w:val="14"/>
              </w:rPr>
              <w:t>2024/25</w:t>
            </w:r>
          </w:p>
          <w:p>
            <w:pPr>
              <w:pStyle w:val="TableParagraph"/>
              <w:ind w:left="189" w:right="168" w:firstLine="1"/>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40"/>
                <w:sz w:val="14"/>
              </w:rPr>
              <w:t> </w:t>
            </w:r>
            <w:r>
              <w:rPr>
                <w:b/>
                <w:color w:val="FFFFFF"/>
                <w:sz w:val="14"/>
              </w:rPr>
              <w:t>Incl.</w:t>
            </w:r>
            <w:r>
              <w:rPr>
                <w:b/>
                <w:color w:val="FFFFFF"/>
                <w:spacing w:val="-5"/>
                <w:sz w:val="14"/>
              </w:rPr>
              <w:t> </w:t>
            </w:r>
            <w:r>
              <w:rPr>
                <w:b/>
                <w:color w:val="FFFFFF"/>
                <w:spacing w:val="-5"/>
                <w:sz w:val="14"/>
              </w:rPr>
              <w:t>GST</w:t>
            </w:r>
          </w:p>
        </w:tc>
        <w:tc>
          <w:tcPr>
            <w:tcW w:w="119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11"/>
              <w:ind w:left="156" w:right="137"/>
              <w:jc w:val="center"/>
              <w:rPr>
                <w:b/>
                <w:sz w:val="14"/>
              </w:rPr>
            </w:pPr>
            <w:r>
              <w:rPr>
                <w:b/>
                <w:color w:val="FFFFFF"/>
                <w:spacing w:val="-2"/>
                <w:sz w:val="14"/>
              </w:rPr>
              <w:t>2025/26</w:t>
            </w:r>
          </w:p>
          <w:p>
            <w:pPr>
              <w:pStyle w:val="TableParagraph"/>
              <w:ind w:left="164" w:right="146" w:firstLine="2"/>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8"/>
                <w:sz w:val="14"/>
              </w:rPr>
              <w:t> </w:t>
            </w:r>
            <w:r>
              <w:rPr>
                <w:b/>
                <w:color w:val="FFFFFF"/>
                <w:spacing w:val="-2"/>
                <w:sz w:val="14"/>
              </w:rPr>
              <w:t>Incl.</w:t>
            </w:r>
          </w:p>
          <w:p>
            <w:pPr>
              <w:pStyle w:val="TableParagraph"/>
              <w:spacing w:line="161" w:lineRule="exact"/>
              <w:ind w:left="153" w:right="137"/>
              <w:jc w:val="center"/>
              <w:rPr>
                <w:b/>
                <w:sz w:val="14"/>
              </w:rPr>
            </w:pPr>
            <w:r>
              <w:rPr>
                <w:b/>
                <w:color w:val="FFFFFF"/>
                <w:spacing w:val="-5"/>
                <w:sz w:val="14"/>
              </w:rPr>
              <w:t>GST</w:t>
            </w:r>
          </w:p>
        </w:tc>
        <w:tc>
          <w:tcPr>
            <w:tcW w:w="897" w:type="dxa"/>
            <w:tcBorders>
              <w:top w:val="single" w:sz="4" w:space="0" w:color="000000"/>
              <w:left w:val="single" w:sz="4" w:space="0" w:color="000000"/>
              <w:bottom w:val="single" w:sz="4" w:space="0" w:color="000000"/>
              <w:right w:val="single" w:sz="12"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95" w:right="81"/>
              <w:jc w:val="center"/>
              <w:rPr>
                <w:b/>
                <w:sz w:val="14"/>
              </w:rPr>
            </w:pPr>
            <w:r>
              <w:rPr>
                <w:b/>
                <w:color w:val="FFFFFF"/>
                <w:sz w:val="14"/>
              </w:rPr>
              <w:t>%</w:t>
            </w:r>
            <w:r>
              <w:rPr>
                <w:b/>
                <w:color w:val="FFFFFF"/>
                <w:spacing w:val="-4"/>
                <w:sz w:val="14"/>
              </w:rPr>
              <w:t> </w:t>
            </w:r>
            <w:r>
              <w:rPr>
                <w:b/>
                <w:color w:val="FFFFFF"/>
                <w:spacing w:val="-2"/>
                <w:sz w:val="14"/>
              </w:rPr>
              <w:t>Change</w:t>
            </w:r>
          </w:p>
        </w:tc>
      </w:tr>
      <w:tr>
        <w:trPr>
          <w:trHeight w:val="402" w:hRule="atLeast"/>
        </w:trPr>
        <w:tc>
          <w:tcPr>
            <w:tcW w:w="5770" w:type="dxa"/>
            <w:tcBorders>
              <w:top w:val="single" w:sz="4" w:space="0" w:color="000000"/>
              <w:left w:val="single" w:sz="12" w:space="0" w:color="000000"/>
              <w:right w:val="single" w:sz="4" w:space="0" w:color="000000"/>
            </w:tcBorders>
            <w:shd w:val="clear" w:color="auto" w:fill="D8D8D8"/>
          </w:tcPr>
          <w:p>
            <w:pPr>
              <w:pStyle w:val="TableParagraph"/>
              <w:spacing w:line="214" w:lineRule="exact" w:before="168"/>
              <w:ind w:left="169"/>
              <w:rPr>
                <w:b/>
                <w:sz w:val="22"/>
              </w:rPr>
            </w:pPr>
            <w:r>
              <w:rPr>
                <w:b/>
                <w:sz w:val="22"/>
              </w:rPr>
              <w:t>Business</w:t>
            </w:r>
            <w:r>
              <w:rPr>
                <w:b/>
                <w:spacing w:val="-3"/>
                <w:sz w:val="22"/>
              </w:rPr>
              <w:t> </w:t>
            </w:r>
            <w:r>
              <w:rPr>
                <w:b/>
                <w:sz w:val="22"/>
              </w:rPr>
              <w:t>&amp;</w:t>
            </w:r>
            <w:r>
              <w:rPr>
                <w:b/>
                <w:spacing w:val="-2"/>
                <w:sz w:val="22"/>
              </w:rPr>
              <w:t> Precincts</w:t>
            </w:r>
          </w:p>
        </w:tc>
        <w:tc>
          <w:tcPr>
            <w:tcW w:w="1028"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4"/>
              </w:rPr>
            </w:pPr>
          </w:p>
        </w:tc>
        <w:tc>
          <w:tcPr>
            <w:tcW w:w="769"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4"/>
              </w:rPr>
            </w:pPr>
          </w:p>
        </w:tc>
        <w:tc>
          <w:tcPr>
            <w:tcW w:w="973"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4"/>
              </w:rPr>
            </w:pPr>
          </w:p>
        </w:tc>
        <w:tc>
          <w:tcPr>
            <w:tcW w:w="1199"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4"/>
              </w:rPr>
            </w:pPr>
          </w:p>
        </w:tc>
        <w:tc>
          <w:tcPr>
            <w:tcW w:w="897" w:type="dxa"/>
            <w:tcBorders>
              <w:top w:val="single" w:sz="4" w:space="0" w:color="000000"/>
              <w:left w:val="single" w:sz="4" w:space="0" w:color="000000"/>
              <w:bottom w:val="single" w:sz="4" w:space="0" w:color="000000"/>
              <w:right w:val="single" w:sz="12" w:space="0" w:color="000000"/>
            </w:tcBorders>
            <w:shd w:val="clear" w:color="auto" w:fill="D8D8D8"/>
          </w:tcPr>
          <w:p>
            <w:pPr>
              <w:pStyle w:val="TableParagraph"/>
              <w:rPr>
                <w:rFonts w:ascii="Times New Roman"/>
                <w:sz w:val="14"/>
              </w:rPr>
            </w:pPr>
          </w:p>
        </w:tc>
      </w:tr>
      <w:tr>
        <w:trPr>
          <w:trHeight w:val="164" w:hRule="atLeast"/>
        </w:trPr>
        <w:tc>
          <w:tcPr>
            <w:tcW w:w="5770" w:type="dxa"/>
            <w:tcBorders>
              <w:left w:val="single" w:sz="12" w:space="0" w:color="000000"/>
              <w:bottom w:val="single" w:sz="4" w:space="0" w:color="000000"/>
              <w:right w:val="single" w:sz="4" w:space="0" w:color="000000"/>
            </w:tcBorders>
          </w:tcPr>
          <w:p>
            <w:pPr>
              <w:pStyle w:val="TableParagraph"/>
              <w:spacing w:line="140" w:lineRule="exact" w:before="4"/>
              <w:ind w:left="107"/>
              <w:rPr>
                <w:b/>
                <w:sz w:val="14"/>
              </w:rPr>
            </w:pPr>
            <w:r>
              <w:rPr>
                <w:b/>
                <w:sz w:val="14"/>
              </w:rPr>
              <w:t>Business</w:t>
            </w:r>
            <w:r>
              <w:rPr>
                <w:b/>
                <w:spacing w:val="-5"/>
                <w:sz w:val="14"/>
              </w:rPr>
              <w:t> </w:t>
            </w:r>
            <w:r>
              <w:rPr>
                <w:b/>
                <w:sz w:val="14"/>
              </w:rPr>
              <w:t>&amp;</w:t>
            </w:r>
            <w:r>
              <w:rPr>
                <w:b/>
                <w:spacing w:val="-6"/>
                <w:sz w:val="14"/>
              </w:rPr>
              <w:t> </w:t>
            </w:r>
            <w:r>
              <w:rPr>
                <w:b/>
                <w:sz w:val="14"/>
              </w:rPr>
              <w:t>Development</w:t>
            </w:r>
            <w:r>
              <w:rPr>
                <w:b/>
                <w:spacing w:val="-4"/>
                <w:sz w:val="14"/>
              </w:rPr>
              <w:t> </w:t>
            </w:r>
            <w:r>
              <w:rPr>
                <w:b/>
                <w:sz w:val="14"/>
              </w:rPr>
              <w:t>Business</w:t>
            </w:r>
            <w:r>
              <w:rPr>
                <w:b/>
                <w:spacing w:val="-6"/>
                <w:sz w:val="14"/>
              </w:rPr>
              <w:t> </w:t>
            </w:r>
            <w:r>
              <w:rPr>
                <w:b/>
                <w:spacing w:val="-4"/>
                <w:sz w:val="14"/>
              </w:rPr>
              <w:t>Week</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0"/>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Business</w:t>
            </w:r>
            <w:r>
              <w:rPr>
                <w:spacing w:val="-6"/>
                <w:sz w:val="14"/>
              </w:rPr>
              <w:t> </w:t>
            </w:r>
            <w:r>
              <w:rPr>
                <w:sz w:val="14"/>
              </w:rPr>
              <w:t>Week</w:t>
            </w:r>
            <w:r>
              <w:rPr>
                <w:spacing w:val="-4"/>
                <w:sz w:val="14"/>
              </w:rPr>
              <w:t> </w:t>
            </w:r>
            <w:r>
              <w:rPr>
                <w:spacing w:val="-2"/>
                <w:sz w:val="14"/>
              </w:rPr>
              <w:t>events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44.00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46.11</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Business</w:t>
            </w:r>
            <w:r>
              <w:rPr>
                <w:b/>
                <w:spacing w:val="-6"/>
                <w:sz w:val="14"/>
              </w:rPr>
              <w:t> </w:t>
            </w:r>
            <w:r>
              <w:rPr>
                <w:b/>
                <w:sz w:val="14"/>
              </w:rPr>
              <w:t>&amp;</w:t>
            </w:r>
            <w:r>
              <w:rPr>
                <w:b/>
                <w:spacing w:val="-7"/>
                <w:sz w:val="14"/>
              </w:rPr>
              <w:t> </w:t>
            </w:r>
            <w:r>
              <w:rPr>
                <w:b/>
                <w:sz w:val="14"/>
              </w:rPr>
              <w:t>Development</w:t>
            </w:r>
            <w:r>
              <w:rPr>
                <w:b/>
                <w:spacing w:val="-5"/>
                <w:sz w:val="14"/>
              </w:rPr>
              <w:t> </w:t>
            </w:r>
            <w:r>
              <w:rPr>
                <w:b/>
                <w:sz w:val="14"/>
              </w:rPr>
              <w:t>Co-Working</w:t>
            </w:r>
            <w:r>
              <w:rPr>
                <w:b/>
                <w:spacing w:val="-8"/>
                <w:sz w:val="14"/>
              </w:rPr>
              <w:t> </w:t>
            </w:r>
            <w:r>
              <w:rPr>
                <w:b/>
                <w:spacing w:val="-2"/>
                <w:sz w:val="14"/>
              </w:rPr>
              <w:t>Memberships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Casual</w:t>
            </w:r>
            <w:r>
              <w:rPr>
                <w:spacing w:val="-5"/>
                <w:sz w:val="14"/>
              </w:rPr>
              <w:t> </w:t>
            </w:r>
            <w:r>
              <w:rPr>
                <w:sz w:val="14"/>
              </w:rPr>
              <w:t>per</w:t>
            </w:r>
            <w:r>
              <w:rPr>
                <w:spacing w:val="-3"/>
                <w:sz w:val="14"/>
              </w:rPr>
              <w:t> </w:t>
            </w:r>
            <w:r>
              <w:rPr>
                <w:spacing w:val="-2"/>
                <w:sz w:val="14"/>
              </w:rPr>
              <w:t>attendance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Visitor</w:t>
            </w:r>
            <w:r>
              <w:rPr>
                <w:spacing w:val="-5"/>
                <w:sz w:val="14"/>
              </w:rPr>
              <w:t> </w:t>
            </w:r>
            <w:r>
              <w:rPr>
                <w:sz w:val="14"/>
              </w:rPr>
              <w:t>Day</w:t>
            </w:r>
            <w:r>
              <w:rPr>
                <w:spacing w:val="-4"/>
                <w:sz w:val="14"/>
              </w:rPr>
              <w:t> Pass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Casual</w:t>
            </w:r>
            <w:r>
              <w:rPr>
                <w:spacing w:val="-5"/>
                <w:sz w:val="14"/>
              </w:rPr>
              <w:t> </w:t>
            </w:r>
            <w:r>
              <w:rPr>
                <w:sz w:val="14"/>
              </w:rPr>
              <w:t>per</w:t>
            </w:r>
            <w:r>
              <w:rPr>
                <w:spacing w:val="-5"/>
                <w:sz w:val="14"/>
              </w:rPr>
              <w:t> </w:t>
            </w:r>
            <w:r>
              <w:rPr>
                <w:spacing w:val="-4"/>
                <w:sz w:val="14"/>
              </w:rPr>
              <w:t>year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90.00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90.00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Premium</w:t>
            </w:r>
            <w:r>
              <w:rPr>
                <w:spacing w:val="-6"/>
                <w:sz w:val="14"/>
              </w:rPr>
              <w:t> </w:t>
            </w:r>
            <w:r>
              <w:rPr>
                <w:spacing w:val="-2"/>
                <w:sz w:val="14"/>
              </w:rPr>
              <w:t>Affiliate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270.00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3"/>
              <w:jc w:val="right"/>
              <w:rPr>
                <w:sz w:val="14"/>
              </w:rPr>
            </w:pPr>
            <w:r>
              <w:rPr>
                <w:spacing w:val="-2"/>
                <w:sz w:val="14"/>
              </w:rPr>
              <w:t>270.00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Premium</w:t>
            </w:r>
            <w:r>
              <w:rPr>
                <w:spacing w:val="-4"/>
                <w:sz w:val="14"/>
              </w:rPr>
              <w:t> </w:t>
            </w:r>
            <w:r>
              <w:rPr>
                <w:sz w:val="14"/>
              </w:rPr>
              <w:t>per</w:t>
            </w:r>
            <w:r>
              <w:rPr>
                <w:spacing w:val="-5"/>
                <w:sz w:val="14"/>
              </w:rPr>
              <w:t> </w:t>
            </w:r>
            <w:r>
              <w:rPr>
                <w:spacing w:val="-2"/>
                <w:sz w:val="14"/>
              </w:rPr>
              <w:t>month</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430.00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430.00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Business</w:t>
            </w:r>
            <w:r>
              <w:rPr>
                <w:b/>
                <w:spacing w:val="-5"/>
                <w:sz w:val="14"/>
              </w:rPr>
              <w:t> </w:t>
            </w:r>
            <w:r>
              <w:rPr>
                <w:b/>
                <w:sz w:val="14"/>
              </w:rPr>
              <w:t>&amp;</w:t>
            </w:r>
            <w:r>
              <w:rPr>
                <w:b/>
                <w:spacing w:val="-7"/>
                <w:sz w:val="14"/>
              </w:rPr>
              <w:t> </w:t>
            </w:r>
            <w:r>
              <w:rPr>
                <w:b/>
                <w:sz w:val="14"/>
              </w:rPr>
              <w:t>Development</w:t>
            </w:r>
            <w:r>
              <w:rPr>
                <w:b/>
                <w:spacing w:val="-5"/>
                <w:sz w:val="14"/>
              </w:rPr>
              <w:t> </w:t>
            </w:r>
            <w:r>
              <w:rPr>
                <w:b/>
                <w:sz w:val="14"/>
              </w:rPr>
              <w:t>Maroondah</w:t>
            </w:r>
            <w:r>
              <w:rPr>
                <w:b/>
                <w:spacing w:val="-7"/>
                <w:sz w:val="14"/>
              </w:rPr>
              <w:t> </w:t>
            </w:r>
            <w:r>
              <w:rPr>
                <w:b/>
                <w:sz w:val="14"/>
              </w:rPr>
              <w:t>Business</w:t>
            </w:r>
            <w:r>
              <w:rPr>
                <w:b/>
                <w:spacing w:val="-4"/>
                <w:sz w:val="14"/>
              </w:rPr>
              <w:t> </w:t>
            </w:r>
            <w:r>
              <w:rPr>
                <w:b/>
                <w:spacing w:val="-2"/>
                <w:sz w:val="14"/>
              </w:rPr>
              <w:t>Awards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118.25</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127.12</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645"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before="1"/>
              <w:rPr>
                <w:sz w:val="21"/>
              </w:rPr>
            </w:pPr>
          </w:p>
          <w:p>
            <w:pPr>
              <w:pStyle w:val="TableParagraph"/>
              <w:ind w:left="107"/>
              <w:rPr>
                <w:sz w:val="14"/>
              </w:rPr>
            </w:pPr>
            <w:r>
              <w:rPr>
                <w:spacing w:val="-2"/>
                <w:sz w:val="14"/>
              </w:rPr>
              <w:t>Sponsorship</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spacing w:line="140" w:lineRule="exact" w:before="117"/>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spacing w:line="140" w:lineRule="exact" w:before="117"/>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ind w:left="189" w:right="165" w:hanging="1"/>
              <w:jc w:val="center"/>
              <w:rPr>
                <w:sz w:val="14"/>
              </w:rPr>
            </w:pPr>
            <w:r>
              <w:rPr>
                <w:spacing w:val="-2"/>
                <w:sz w:val="14"/>
              </w:rPr>
              <w:t>Varies</w:t>
            </w:r>
            <w:r>
              <w:rPr>
                <w:spacing w:val="40"/>
                <w:sz w:val="14"/>
              </w:rPr>
              <w:t> </w:t>
            </w:r>
            <w:r>
              <w:rPr>
                <w:spacing w:val="-2"/>
                <w:sz w:val="14"/>
              </w:rPr>
              <w:t>according</w:t>
            </w:r>
            <w:r>
              <w:rPr>
                <w:spacing w:val="40"/>
                <w:sz w:val="14"/>
              </w:rPr>
              <w:t> </w:t>
            </w:r>
            <w:r>
              <w:rPr>
                <w:sz w:val="14"/>
              </w:rPr>
              <w:t>to</w:t>
            </w:r>
            <w:r>
              <w:rPr>
                <w:spacing w:val="-5"/>
                <w:sz w:val="14"/>
              </w:rPr>
              <w:t> </w:t>
            </w:r>
            <w:r>
              <w:rPr>
                <w:sz w:val="14"/>
              </w:rPr>
              <w:t>type </w:t>
            </w:r>
            <w:r>
              <w:rPr>
                <w:spacing w:val="-7"/>
                <w:sz w:val="14"/>
              </w:rPr>
              <w:t>of</w:t>
            </w:r>
          </w:p>
          <w:p>
            <w:pPr>
              <w:pStyle w:val="TableParagraph"/>
              <w:spacing w:line="140" w:lineRule="exact" w:before="2"/>
              <w:ind w:left="105" w:right="84"/>
              <w:jc w:val="center"/>
              <w:rPr>
                <w:sz w:val="14"/>
              </w:rPr>
            </w:pPr>
            <w:r>
              <w:rPr>
                <w:spacing w:val="-2"/>
                <w:sz w:val="14"/>
              </w:rPr>
              <w:t>sponsorship</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ind w:left="224" w:right="201" w:hanging="3"/>
              <w:jc w:val="center"/>
              <w:rPr>
                <w:sz w:val="14"/>
              </w:rPr>
            </w:pPr>
            <w:r>
              <w:rPr>
                <w:spacing w:val="-2"/>
                <w:sz w:val="14"/>
              </w:rPr>
              <w:t>Varies</w:t>
            </w:r>
            <w:r>
              <w:rPr>
                <w:spacing w:val="40"/>
                <w:sz w:val="14"/>
              </w:rPr>
              <w:t> </w:t>
            </w:r>
            <w:r>
              <w:rPr>
                <w:sz w:val="14"/>
              </w:rPr>
              <w:t>according</w:t>
            </w:r>
            <w:r>
              <w:rPr>
                <w:spacing w:val="-10"/>
                <w:sz w:val="14"/>
              </w:rPr>
              <w:t> </w:t>
            </w:r>
            <w:r>
              <w:rPr>
                <w:sz w:val="14"/>
              </w:rPr>
              <w:t>to</w:t>
            </w:r>
            <w:r>
              <w:rPr>
                <w:spacing w:val="40"/>
                <w:sz w:val="14"/>
              </w:rPr>
              <w:t> </w:t>
            </w:r>
            <w:r>
              <w:rPr>
                <w:sz w:val="14"/>
              </w:rPr>
              <w:t>type</w:t>
            </w:r>
            <w:r>
              <w:rPr>
                <w:spacing w:val="-2"/>
                <w:sz w:val="14"/>
              </w:rPr>
              <w:t> </w:t>
            </w:r>
            <w:r>
              <w:rPr>
                <w:sz w:val="14"/>
              </w:rPr>
              <w:t>of</w:t>
            </w:r>
          </w:p>
          <w:p>
            <w:pPr>
              <w:pStyle w:val="TableParagraph"/>
              <w:spacing w:line="140" w:lineRule="exact" w:before="2"/>
              <w:ind w:left="156" w:right="137"/>
              <w:jc w:val="center"/>
              <w:rPr>
                <w:sz w:val="14"/>
              </w:rPr>
            </w:pPr>
            <w:r>
              <w:rPr>
                <w:spacing w:val="-2"/>
                <w:sz w:val="14"/>
              </w:rPr>
              <w:t>sponsorship</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4"/>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Brushy</w:t>
            </w:r>
            <w:r>
              <w:rPr>
                <w:b/>
                <w:spacing w:val="-6"/>
                <w:sz w:val="14"/>
              </w:rPr>
              <w:t> </w:t>
            </w:r>
            <w:r>
              <w:rPr>
                <w:b/>
                <w:sz w:val="14"/>
              </w:rPr>
              <w:t>Creek</w:t>
            </w:r>
            <w:r>
              <w:rPr>
                <w:b/>
                <w:spacing w:val="-5"/>
                <w:sz w:val="14"/>
              </w:rPr>
              <w:t> </w:t>
            </w:r>
            <w:r>
              <w:rPr>
                <w:b/>
                <w:spacing w:val="-4"/>
                <w:sz w:val="14"/>
              </w:rPr>
              <w:t>Hall</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Brushy</w:t>
            </w:r>
            <w:r>
              <w:rPr>
                <w:spacing w:val="-4"/>
                <w:sz w:val="14"/>
              </w:rPr>
              <w:t> </w:t>
            </w:r>
            <w:r>
              <w:rPr>
                <w:sz w:val="14"/>
              </w:rPr>
              <w:t>Creek</w:t>
            </w:r>
            <w:r>
              <w:rPr>
                <w:spacing w:val="-2"/>
                <w:sz w:val="14"/>
              </w:rPr>
              <w:t> </w:t>
            </w:r>
            <w:r>
              <w:rPr>
                <w:sz w:val="14"/>
              </w:rPr>
              <w:t>Hall</w:t>
            </w:r>
            <w:r>
              <w:rPr>
                <w:spacing w:val="-3"/>
                <w:sz w:val="14"/>
              </w:rPr>
              <w:t> </w:t>
            </w:r>
            <w:r>
              <w:rPr>
                <w:sz w:val="14"/>
              </w:rPr>
              <w:t>casual</w:t>
            </w:r>
            <w:r>
              <w:rPr>
                <w:spacing w:val="-2"/>
                <w:sz w:val="14"/>
              </w:rPr>
              <w:t> </w:t>
            </w:r>
            <w:r>
              <w:rPr>
                <w:sz w:val="14"/>
              </w:rPr>
              <w:t>hour</w:t>
            </w:r>
            <w:r>
              <w:rPr>
                <w:spacing w:val="-2"/>
                <w:sz w:val="14"/>
              </w:rPr>
              <w:t> </w:t>
            </w:r>
            <w:r>
              <w:rPr>
                <w:sz w:val="14"/>
              </w:rPr>
              <w:t>rate</w:t>
            </w:r>
            <w:r>
              <w:rPr>
                <w:spacing w:val="-4"/>
                <w:sz w:val="14"/>
              </w:rPr>
              <w:t> </w:t>
            </w:r>
            <w:r>
              <w:rPr>
                <w:sz w:val="14"/>
              </w:rPr>
              <w:t>-</w:t>
            </w:r>
            <w:r>
              <w:rPr>
                <w:spacing w:val="-2"/>
                <w:sz w:val="14"/>
              </w:rPr>
              <w:t> </w:t>
            </w:r>
            <w:r>
              <w:rPr>
                <w:sz w:val="14"/>
              </w:rPr>
              <w:t>Jul</w:t>
            </w:r>
            <w:r>
              <w:rPr>
                <w:spacing w:val="-3"/>
                <w:sz w:val="14"/>
              </w:rPr>
              <w:t> </w:t>
            </w:r>
            <w:r>
              <w:rPr>
                <w:sz w:val="14"/>
              </w:rPr>
              <w:t>to</w:t>
            </w:r>
            <w:r>
              <w:rPr>
                <w:spacing w:val="-4"/>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29.96</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32.21</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Brushy</w:t>
            </w:r>
            <w:r>
              <w:rPr>
                <w:spacing w:val="-4"/>
                <w:sz w:val="14"/>
              </w:rPr>
              <w:t> </w:t>
            </w:r>
            <w:r>
              <w:rPr>
                <w:sz w:val="14"/>
              </w:rPr>
              <w:t>Creek</w:t>
            </w:r>
            <w:r>
              <w:rPr>
                <w:spacing w:val="-2"/>
                <w:sz w:val="14"/>
              </w:rPr>
              <w:t> </w:t>
            </w:r>
            <w:r>
              <w:rPr>
                <w:sz w:val="14"/>
              </w:rPr>
              <w:t>Hall</w:t>
            </w:r>
            <w:r>
              <w:rPr>
                <w:spacing w:val="-3"/>
                <w:sz w:val="14"/>
              </w:rPr>
              <w:t> </w:t>
            </w:r>
            <w:r>
              <w:rPr>
                <w:sz w:val="14"/>
              </w:rPr>
              <w:t>casual</w:t>
            </w:r>
            <w:r>
              <w:rPr>
                <w:spacing w:val="-2"/>
                <w:sz w:val="14"/>
              </w:rPr>
              <w:t> </w:t>
            </w:r>
            <w:r>
              <w:rPr>
                <w:sz w:val="14"/>
              </w:rPr>
              <w:t>hour</w:t>
            </w:r>
            <w:r>
              <w:rPr>
                <w:spacing w:val="-2"/>
                <w:sz w:val="14"/>
              </w:rPr>
              <w:t> </w:t>
            </w:r>
            <w:r>
              <w:rPr>
                <w:sz w:val="14"/>
              </w:rPr>
              <w:t>rate</w:t>
            </w:r>
            <w:r>
              <w:rPr>
                <w:spacing w:val="-4"/>
                <w:sz w:val="14"/>
              </w:rPr>
              <w:t> </w:t>
            </w:r>
            <w:r>
              <w:rPr>
                <w:sz w:val="14"/>
              </w:rPr>
              <w:t>-</w:t>
            </w:r>
            <w:r>
              <w:rPr>
                <w:spacing w:val="-2"/>
                <w:sz w:val="14"/>
              </w:rPr>
              <w:t> </w:t>
            </w:r>
            <w:r>
              <w:rPr>
                <w:sz w:val="14"/>
              </w:rPr>
              <w:t>Jan</w:t>
            </w:r>
            <w:r>
              <w:rPr>
                <w:spacing w:val="-4"/>
                <w:sz w:val="14"/>
              </w:rPr>
              <w:t> </w:t>
            </w:r>
            <w:r>
              <w:rPr>
                <w:sz w:val="14"/>
              </w:rPr>
              <w:t>to</w:t>
            </w:r>
            <w:r>
              <w:rPr>
                <w:spacing w:val="-2"/>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29.96</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32.21</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Brushy</w:t>
            </w:r>
            <w:r>
              <w:rPr>
                <w:spacing w:val="-4"/>
                <w:sz w:val="14"/>
              </w:rPr>
              <w:t> </w:t>
            </w:r>
            <w:r>
              <w:rPr>
                <w:sz w:val="14"/>
              </w:rPr>
              <w:t>Creek</w:t>
            </w:r>
            <w:r>
              <w:rPr>
                <w:spacing w:val="-2"/>
                <w:sz w:val="14"/>
              </w:rPr>
              <w:t> </w:t>
            </w:r>
            <w:r>
              <w:rPr>
                <w:sz w:val="14"/>
              </w:rPr>
              <w:t>Hall</w:t>
            </w:r>
            <w:r>
              <w:rPr>
                <w:spacing w:val="-3"/>
                <w:sz w:val="14"/>
              </w:rPr>
              <w:t> </w:t>
            </w:r>
            <w:r>
              <w:rPr>
                <w:sz w:val="14"/>
              </w:rPr>
              <w:t>Not</w:t>
            </w:r>
            <w:r>
              <w:rPr>
                <w:spacing w:val="-4"/>
                <w:sz w:val="14"/>
              </w:rPr>
              <w:t> </w:t>
            </w:r>
            <w:r>
              <w:rPr>
                <w:sz w:val="14"/>
              </w:rPr>
              <w:t>for</w:t>
            </w:r>
            <w:r>
              <w:rPr>
                <w:spacing w:val="-2"/>
                <w:sz w:val="14"/>
              </w:rPr>
              <w:t> </w:t>
            </w:r>
            <w:r>
              <w:rPr>
                <w:sz w:val="14"/>
              </w:rPr>
              <w:t>Profit</w:t>
            </w:r>
            <w:r>
              <w:rPr>
                <w:spacing w:val="-4"/>
                <w:sz w:val="14"/>
              </w:rPr>
              <w:t> </w:t>
            </w:r>
            <w:r>
              <w:rPr>
                <w:sz w:val="14"/>
              </w:rPr>
              <w:t>regular</w:t>
            </w:r>
            <w:r>
              <w:rPr>
                <w:spacing w:val="-2"/>
                <w:sz w:val="14"/>
              </w:rPr>
              <w:t> </w:t>
            </w:r>
            <w:r>
              <w:rPr>
                <w:sz w:val="14"/>
              </w:rPr>
              <w:t>hour</w:t>
            </w:r>
            <w:r>
              <w:rPr>
                <w:spacing w:val="-1"/>
                <w:sz w:val="14"/>
              </w:rPr>
              <w:t> </w:t>
            </w:r>
            <w:r>
              <w:rPr>
                <w:sz w:val="14"/>
              </w:rPr>
              <w:t>rate</w:t>
            </w:r>
            <w:r>
              <w:rPr>
                <w:spacing w:val="-4"/>
                <w:sz w:val="14"/>
              </w:rPr>
              <w:t> </w:t>
            </w:r>
            <w:r>
              <w:rPr>
                <w:sz w:val="14"/>
              </w:rPr>
              <w:t>-</w:t>
            </w:r>
            <w:r>
              <w:rPr>
                <w:spacing w:val="-2"/>
                <w:sz w:val="14"/>
              </w:rPr>
              <w:t> </w:t>
            </w:r>
            <w:r>
              <w:rPr>
                <w:sz w:val="14"/>
              </w:rPr>
              <w:t>Jul</w:t>
            </w:r>
            <w:r>
              <w:rPr>
                <w:spacing w:val="-1"/>
                <w:sz w:val="14"/>
              </w:rPr>
              <w:t> </w:t>
            </w:r>
            <w:r>
              <w:rPr>
                <w:sz w:val="14"/>
              </w:rPr>
              <w:t>to</w:t>
            </w:r>
            <w:r>
              <w:rPr>
                <w:spacing w:val="-3"/>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23.54</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25.31</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Brushy</w:t>
            </w:r>
            <w:r>
              <w:rPr>
                <w:spacing w:val="-4"/>
                <w:sz w:val="14"/>
              </w:rPr>
              <w:t> </w:t>
            </w:r>
            <w:r>
              <w:rPr>
                <w:sz w:val="14"/>
              </w:rPr>
              <w:t>Creek</w:t>
            </w:r>
            <w:r>
              <w:rPr>
                <w:spacing w:val="-2"/>
                <w:sz w:val="14"/>
              </w:rPr>
              <w:t> </w:t>
            </w:r>
            <w:r>
              <w:rPr>
                <w:sz w:val="14"/>
              </w:rPr>
              <w:t>Hall</w:t>
            </w:r>
            <w:r>
              <w:rPr>
                <w:spacing w:val="-3"/>
                <w:sz w:val="14"/>
              </w:rPr>
              <w:t> </w:t>
            </w:r>
            <w:r>
              <w:rPr>
                <w:sz w:val="14"/>
              </w:rPr>
              <w:t>Not</w:t>
            </w:r>
            <w:r>
              <w:rPr>
                <w:spacing w:val="-3"/>
                <w:sz w:val="14"/>
              </w:rPr>
              <w:t> </w:t>
            </w:r>
            <w:r>
              <w:rPr>
                <w:sz w:val="14"/>
              </w:rPr>
              <w:t>for</w:t>
            </w:r>
            <w:r>
              <w:rPr>
                <w:spacing w:val="-2"/>
                <w:sz w:val="14"/>
              </w:rPr>
              <w:t> </w:t>
            </w:r>
            <w:r>
              <w:rPr>
                <w:sz w:val="14"/>
              </w:rPr>
              <w:t>Profit</w:t>
            </w:r>
            <w:r>
              <w:rPr>
                <w:spacing w:val="-4"/>
                <w:sz w:val="14"/>
              </w:rPr>
              <w:t> </w:t>
            </w:r>
            <w:r>
              <w:rPr>
                <w:sz w:val="14"/>
              </w:rPr>
              <w:t>regular</w:t>
            </w:r>
            <w:r>
              <w:rPr>
                <w:spacing w:val="-2"/>
                <w:sz w:val="14"/>
              </w:rPr>
              <w:t> </w:t>
            </w:r>
            <w:r>
              <w:rPr>
                <w:sz w:val="14"/>
              </w:rPr>
              <w:t>hour</w:t>
            </w:r>
            <w:r>
              <w:rPr>
                <w:spacing w:val="-2"/>
                <w:sz w:val="14"/>
              </w:rPr>
              <w:t> </w:t>
            </w:r>
            <w:r>
              <w:rPr>
                <w:sz w:val="14"/>
              </w:rPr>
              <w:t>rate</w:t>
            </w:r>
            <w:r>
              <w:rPr>
                <w:spacing w:val="-3"/>
                <w:sz w:val="14"/>
              </w:rPr>
              <w:t> </w:t>
            </w:r>
            <w:r>
              <w:rPr>
                <w:sz w:val="14"/>
              </w:rPr>
              <w:t>-</w:t>
            </w:r>
            <w:r>
              <w:rPr>
                <w:spacing w:val="-2"/>
                <w:sz w:val="14"/>
              </w:rPr>
              <w:t> </w:t>
            </w:r>
            <w:r>
              <w:rPr>
                <w:sz w:val="14"/>
              </w:rPr>
              <w:t>Jan</w:t>
            </w:r>
            <w:r>
              <w:rPr>
                <w:spacing w:val="-4"/>
                <w:sz w:val="14"/>
              </w:rPr>
              <w:t> </w:t>
            </w:r>
            <w:r>
              <w:rPr>
                <w:sz w:val="14"/>
              </w:rPr>
              <w:t>to</w:t>
            </w:r>
            <w:r>
              <w:rPr>
                <w:spacing w:val="-2"/>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23.54</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25.31</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Brushy</w:t>
            </w:r>
            <w:r>
              <w:rPr>
                <w:spacing w:val="-4"/>
                <w:sz w:val="14"/>
              </w:rPr>
              <w:t> </w:t>
            </w:r>
            <w:r>
              <w:rPr>
                <w:sz w:val="14"/>
              </w:rPr>
              <w:t>Creek</w:t>
            </w:r>
            <w:r>
              <w:rPr>
                <w:spacing w:val="-1"/>
                <w:sz w:val="14"/>
              </w:rPr>
              <w:t> </w:t>
            </w:r>
            <w:r>
              <w:rPr>
                <w:sz w:val="14"/>
              </w:rPr>
              <w:t>Hall</w:t>
            </w:r>
            <w:r>
              <w:rPr>
                <w:spacing w:val="-4"/>
                <w:sz w:val="14"/>
              </w:rPr>
              <w:t> </w:t>
            </w:r>
            <w:r>
              <w:rPr>
                <w:sz w:val="14"/>
              </w:rPr>
              <w:t>Not</w:t>
            </w:r>
            <w:r>
              <w:rPr>
                <w:spacing w:val="-3"/>
                <w:sz w:val="14"/>
              </w:rPr>
              <w:t> </w:t>
            </w:r>
            <w:r>
              <w:rPr>
                <w:sz w:val="14"/>
              </w:rPr>
              <w:t>for</w:t>
            </w:r>
            <w:r>
              <w:rPr>
                <w:spacing w:val="-2"/>
                <w:sz w:val="14"/>
              </w:rPr>
              <w:t> </w:t>
            </w:r>
            <w:r>
              <w:rPr>
                <w:sz w:val="14"/>
              </w:rPr>
              <w:t>Profit</w:t>
            </w:r>
            <w:r>
              <w:rPr>
                <w:spacing w:val="-4"/>
                <w:sz w:val="14"/>
              </w:rPr>
              <w:t> </w:t>
            </w:r>
            <w:r>
              <w:rPr>
                <w:sz w:val="14"/>
              </w:rPr>
              <w:t>Night</w:t>
            </w:r>
            <w:r>
              <w:rPr>
                <w:spacing w:val="-1"/>
                <w:sz w:val="14"/>
              </w:rPr>
              <w:t> </w:t>
            </w:r>
            <w:r>
              <w:rPr>
                <w:sz w:val="14"/>
              </w:rPr>
              <w:t>Hire</w:t>
            </w:r>
            <w:r>
              <w:rPr>
                <w:spacing w:val="-2"/>
                <w:sz w:val="14"/>
              </w:rPr>
              <w:t> </w:t>
            </w:r>
            <w:r>
              <w:rPr>
                <w:sz w:val="14"/>
              </w:rPr>
              <w:t>-</w:t>
            </w:r>
            <w:r>
              <w:rPr>
                <w:spacing w:val="-4"/>
                <w:sz w:val="14"/>
              </w:rPr>
              <w:t> </w:t>
            </w:r>
            <w:r>
              <w:rPr>
                <w:sz w:val="14"/>
              </w:rPr>
              <w:t>Jul</w:t>
            </w:r>
            <w:r>
              <w:rPr>
                <w:spacing w:val="-1"/>
                <w:sz w:val="14"/>
              </w:rPr>
              <w:t> </w:t>
            </w:r>
            <w:r>
              <w:rPr>
                <w:sz w:val="14"/>
              </w:rPr>
              <w:t>to</w:t>
            </w:r>
            <w:r>
              <w:rPr>
                <w:spacing w:val="-2"/>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447.26</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3"/>
              <w:jc w:val="right"/>
              <w:rPr>
                <w:sz w:val="14"/>
              </w:rPr>
            </w:pPr>
            <w:r>
              <w:rPr>
                <w:spacing w:val="-2"/>
                <w:sz w:val="14"/>
              </w:rPr>
              <w:t>480.80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Brushy</w:t>
            </w:r>
            <w:r>
              <w:rPr>
                <w:spacing w:val="-4"/>
                <w:sz w:val="14"/>
              </w:rPr>
              <w:t> </w:t>
            </w:r>
            <w:r>
              <w:rPr>
                <w:sz w:val="14"/>
              </w:rPr>
              <w:t>Creek</w:t>
            </w:r>
            <w:r>
              <w:rPr>
                <w:spacing w:val="-1"/>
                <w:sz w:val="14"/>
              </w:rPr>
              <w:t> </w:t>
            </w:r>
            <w:r>
              <w:rPr>
                <w:sz w:val="14"/>
              </w:rPr>
              <w:t>Hall</w:t>
            </w:r>
            <w:r>
              <w:rPr>
                <w:spacing w:val="-3"/>
                <w:sz w:val="14"/>
              </w:rPr>
              <w:t> </w:t>
            </w:r>
            <w:r>
              <w:rPr>
                <w:sz w:val="14"/>
              </w:rPr>
              <w:t>Not</w:t>
            </w:r>
            <w:r>
              <w:rPr>
                <w:spacing w:val="-3"/>
                <w:sz w:val="14"/>
              </w:rPr>
              <w:t> </w:t>
            </w:r>
            <w:r>
              <w:rPr>
                <w:sz w:val="14"/>
              </w:rPr>
              <w:t>for</w:t>
            </w:r>
            <w:r>
              <w:rPr>
                <w:spacing w:val="-2"/>
                <w:sz w:val="14"/>
              </w:rPr>
              <w:t> </w:t>
            </w:r>
            <w:r>
              <w:rPr>
                <w:sz w:val="14"/>
              </w:rPr>
              <w:t>Profit</w:t>
            </w:r>
            <w:r>
              <w:rPr>
                <w:spacing w:val="-4"/>
                <w:sz w:val="14"/>
              </w:rPr>
              <w:t> </w:t>
            </w:r>
            <w:r>
              <w:rPr>
                <w:sz w:val="14"/>
              </w:rPr>
              <w:t>Night</w:t>
            </w:r>
            <w:r>
              <w:rPr>
                <w:spacing w:val="-1"/>
                <w:sz w:val="14"/>
              </w:rPr>
              <w:t> </w:t>
            </w:r>
            <w:r>
              <w:rPr>
                <w:sz w:val="14"/>
              </w:rPr>
              <w:t>Hire</w:t>
            </w:r>
            <w:r>
              <w:rPr>
                <w:spacing w:val="-1"/>
                <w:sz w:val="14"/>
              </w:rPr>
              <w:t> </w:t>
            </w:r>
            <w:r>
              <w:rPr>
                <w:sz w:val="14"/>
              </w:rPr>
              <w:t>-</w:t>
            </w:r>
            <w:r>
              <w:rPr>
                <w:spacing w:val="-5"/>
                <w:sz w:val="14"/>
              </w:rPr>
              <w:t> </w:t>
            </w:r>
            <w:r>
              <w:rPr>
                <w:sz w:val="14"/>
              </w:rPr>
              <w:t>Jan</w:t>
            </w:r>
            <w:r>
              <w:rPr>
                <w:spacing w:val="-4"/>
                <w:sz w:val="14"/>
              </w:rPr>
              <w:t> </w:t>
            </w:r>
            <w:r>
              <w:rPr>
                <w:sz w:val="14"/>
              </w:rPr>
              <w:t>to</w:t>
            </w:r>
            <w:r>
              <w:rPr>
                <w:spacing w:val="-4"/>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447.26</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480.80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Brushy</w:t>
            </w:r>
            <w:r>
              <w:rPr>
                <w:spacing w:val="-5"/>
                <w:sz w:val="14"/>
              </w:rPr>
              <w:t> </w:t>
            </w:r>
            <w:r>
              <w:rPr>
                <w:sz w:val="14"/>
              </w:rPr>
              <w:t>Creek</w:t>
            </w:r>
            <w:r>
              <w:rPr>
                <w:spacing w:val="-2"/>
                <w:sz w:val="14"/>
              </w:rPr>
              <w:t> </w:t>
            </w:r>
            <w:r>
              <w:rPr>
                <w:sz w:val="14"/>
              </w:rPr>
              <w:t>Hall</w:t>
            </w:r>
            <w:r>
              <w:rPr>
                <w:spacing w:val="-4"/>
                <w:sz w:val="14"/>
              </w:rPr>
              <w:t> </w:t>
            </w:r>
            <w:r>
              <w:rPr>
                <w:sz w:val="14"/>
              </w:rPr>
              <w:t>Community</w:t>
            </w:r>
            <w:r>
              <w:rPr>
                <w:spacing w:val="-2"/>
                <w:sz w:val="14"/>
              </w:rPr>
              <w:t> </w:t>
            </w:r>
            <w:r>
              <w:rPr>
                <w:sz w:val="14"/>
              </w:rPr>
              <w:t>casual</w:t>
            </w:r>
            <w:r>
              <w:rPr>
                <w:spacing w:val="-1"/>
                <w:sz w:val="14"/>
              </w:rPr>
              <w:t> </w:t>
            </w:r>
            <w:r>
              <w:rPr>
                <w:sz w:val="14"/>
              </w:rPr>
              <w:t>hour</w:t>
            </w:r>
            <w:r>
              <w:rPr>
                <w:spacing w:val="-2"/>
                <w:sz w:val="14"/>
              </w:rPr>
              <w:t> </w:t>
            </w:r>
            <w:r>
              <w:rPr>
                <w:sz w:val="14"/>
              </w:rPr>
              <w:t>rate</w:t>
            </w:r>
            <w:r>
              <w:rPr>
                <w:spacing w:val="-2"/>
                <w:sz w:val="14"/>
              </w:rPr>
              <w:t> </w:t>
            </w:r>
            <w:r>
              <w:rPr>
                <w:sz w:val="14"/>
              </w:rPr>
              <w:t>-</w:t>
            </w:r>
            <w:r>
              <w:rPr>
                <w:spacing w:val="-5"/>
                <w:sz w:val="14"/>
              </w:rPr>
              <w:t> </w:t>
            </w:r>
            <w:r>
              <w:rPr>
                <w:sz w:val="14"/>
              </w:rPr>
              <w:t>Jul</w:t>
            </w:r>
            <w:r>
              <w:rPr>
                <w:spacing w:val="-4"/>
                <w:sz w:val="14"/>
              </w:rPr>
              <w:t> </w:t>
            </w:r>
            <w:r>
              <w:rPr>
                <w:sz w:val="14"/>
              </w:rPr>
              <w:t>to</w:t>
            </w:r>
            <w:r>
              <w:rPr>
                <w:spacing w:val="-2"/>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33.17</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35.66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Brushy</w:t>
            </w:r>
            <w:r>
              <w:rPr>
                <w:spacing w:val="-4"/>
                <w:sz w:val="14"/>
              </w:rPr>
              <w:t> </w:t>
            </w:r>
            <w:r>
              <w:rPr>
                <w:sz w:val="14"/>
              </w:rPr>
              <w:t>Creek</w:t>
            </w:r>
            <w:r>
              <w:rPr>
                <w:spacing w:val="-2"/>
                <w:sz w:val="14"/>
              </w:rPr>
              <w:t> </w:t>
            </w:r>
            <w:r>
              <w:rPr>
                <w:sz w:val="14"/>
              </w:rPr>
              <w:t>Hall</w:t>
            </w:r>
            <w:r>
              <w:rPr>
                <w:spacing w:val="-4"/>
                <w:sz w:val="14"/>
              </w:rPr>
              <w:t> </w:t>
            </w:r>
            <w:r>
              <w:rPr>
                <w:sz w:val="14"/>
              </w:rPr>
              <w:t>Community</w:t>
            </w:r>
            <w:r>
              <w:rPr>
                <w:spacing w:val="-2"/>
                <w:sz w:val="14"/>
              </w:rPr>
              <w:t> </w:t>
            </w:r>
            <w:r>
              <w:rPr>
                <w:sz w:val="14"/>
              </w:rPr>
              <w:t>casual</w:t>
            </w:r>
            <w:r>
              <w:rPr>
                <w:spacing w:val="-1"/>
                <w:sz w:val="14"/>
              </w:rPr>
              <w:t> </w:t>
            </w:r>
            <w:r>
              <w:rPr>
                <w:sz w:val="14"/>
              </w:rPr>
              <w:t>hour</w:t>
            </w:r>
            <w:r>
              <w:rPr>
                <w:spacing w:val="-2"/>
                <w:sz w:val="14"/>
              </w:rPr>
              <w:t> </w:t>
            </w:r>
            <w:r>
              <w:rPr>
                <w:sz w:val="14"/>
              </w:rPr>
              <w:t>rate</w:t>
            </w:r>
            <w:r>
              <w:rPr>
                <w:spacing w:val="-1"/>
                <w:sz w:val="14"/>
              </w:rPr>
              <w:t> </w:t>
            </w:r>
            <w:r>
              <w:rPr>
                <w:sz w:val="14"/>
              </w:rPr>
              <w:t>-</w:t>
            </w:r>
            <w:r>
              <w:rPr>
                <w:spacing w:val="-5"/>
                <w:sz w:val="14"/>
              </w:rPr>
              <w:t> </w:t>
            </w:r>
            <w:r>
              <w:rPr>
                <w:sz w:val="14"/>
              </w:rPr>
              <w:t>Jan</w:t>
            </w:r>
            <w:r>
              <w:rPr>
                <w:spacing w:val="-4"/>
                <w:sz w:val="14"/>
              </w:rPr>
              <w:t> </w:t>
            </w:r>
            <w:r>
              <w:rPr>
                <w:sz w:val="14"/>
              </w:rPr>
              <w:t>to</w:t>
            </w:r>
            <w:r>
              <w:rPr>
                <w:spacing w:val="-5"/>
                <w:sz w:val="14"/>
              </w:rPr>
              <w:t> 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33.17</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35.66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Brushy</w:t>
            </w:r>
            <w:r>
              <w:rPr>
                <w:spacing w:val="-4"/>
                <w:sz w:val="14"/>
              </w:rPr>
              <w:t> </w:t>
            </w:r>
            <w:r>
              <w:rPr>
                <w:sz w:val="14"/>
              </w:rPr>
              <w:t>Creek</w:t>
            </w:r>
            <w:r>
              <w:rPr>
                <w:spacing w:val="-2"/>
                <w:sz w:val="14"/>
              </w:rPr>
              <w:t> </w:t>
            </w:r>
            <w:r>
              <w:rPr>
                <w:sz w:val="14"/>
              </w:rPr>
              <w:t>Hall</w:t>
            </w:r>
            <w:r>
              <w:rPr>
                <w:spacing w:val="-4"/>
                <w:sz w:val="14"/>
              </w:rPr>
              <w:t> </w:t>
            </w:r>
            <w:r>
              <w:rPr>
                <w:sz w:val="14"/>
              </w:rPr>
              <w:t>Community</w:t>
            </w:r>
            <w:r>
              <w:rPr>
                <w:spacing w:val="-2"/>
                <w:sz w:val="14"/>
              </w:rPr>
              <w:t> </w:t>
            </w:r>
            <w:r>
              <w:rPr>
                <w:sz w:val="14"/>
              </w:rPr>
              <w:t>regular</w:t>
            </w:r>
            <w:r>
              <w:rPr>
                <w:spacing w:val="-2"/>
                <w:sz w:val="14"/>
              </w:rPr>
              <w:t> </w:t>
            </w:r>
            <w:r>
              <w:rPr>
                <w:sz w:val="14"/>
              </w:rPr>
              <w:t>hour</w:t>
            </w:r>
            <w:r>
              <w:rPr>
                <w:spacing w:val="-5"/>
                <w:sz w:val="14"/>
              </w:rPr>
              <w:t> </w:t>
            </w:r>
            <w:r>
              <w:rPr>
                <w:sz w:val="14"/>
              </w:rPr>
              <w:t>rate</w:t>
            </w:r>
            <w:r>
              <w:rPr>
                <w:spacing w:val="-3"/>
                <w:sz w:val="14"/>
              </w:rPr>
              <w:t> </w:t>
            </w:r>
            <w:r>
              <w:rPr>
                <w:sz w:val="14"/>
              </w:rPr>
              <w:t>-</w:t>
            </w:r>
            <w:r>
              <w:rPr>
                <w:spacing w:val="-1"/>
                <w:sz w:val="14"/>
              </w:rPr>
              <w:t> </w:t>
            </w:r>
            <w:r>
              <w:rPr>
                <w:sz w:val="14"/>
              </w:rPr>
              <w:t>Jul</w:t>
            </w:r>
            <w:r>
              <w:rPr>
                <w:spacing w:val="-4"/>
                <w:sz w:val="14"/>
              </w:rPr>
              <w:t> </w:t>
            </w:r>
            <w:r>
              <w:rPr>
                <w:sz w:val="14"/>
              </w:rPr>
              <w:t>to</w:t>
            </w:r>
            <w:r>
              <w:rPr>
                <w:spacing w:val="-4"/>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26.75</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28.76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Brushy</w:t>
            </w:r>
            <w:r>
              <w:rPr>
                <w:spacing w:val="-5"/>
                <w:sz w:val="14"/>
              </w:rPr>
              <w:t> </w:t>
            </w:r>
            <w:r>
              <w:rPr>
                <w:sz w:val="14"/>
              </w:rPr>
              <w:t>Creek</w:t>
            </w:r>
            <w:r>
              <w:rPr>
                <w:spacing w:val="-2"/>
                <w:sz w:val="14"/>
              </w:rPr>
              <w:t> </w:t>
            </w:r>
            <w:r>
              <w:rPr>
                <w:sz w:val="14"/>
              </w:rPr>
              <w:t>Hall</w:t>
            </w:r>
            <w:r>
              <w:rPr>
                <w:spacing w:val="-4"/>
                <w:sz w:val="14"/>
              </w:rPr>
              <w:t> </w:t>
            </w:r>
            <w:r>
              <w:rPr>
                <w:sz w:val="14"/>
              </w:rPr>
              <w:t>Community</w:t>
            </w:r>
            <w:r>
              <w:rPr>
                <w:spacing w:val="-2"/>
                <w:sz w:val="14"/>
              </w:rPr>
              <w:t> </w:t>
            </w:r>
            <w:r>
              <w:rPr>
                <w:sz w:val="14"/>
              </w:rPr>
              <w:t>regular</w:t>
            </w:r>
            <w:r>
              <w:rPr>
                <w:spacing w:val="-3"/>
                <w:sz w:val="14"/>
              </w:rPr>
              <w:t> </w:t>
            </w:r>
            <w:r>
              <w:rPr>
                <w:sz w:val="14"/>
              </w:rPr>
              <w:t>hour</w:t>
            </w:r>
            <w:r>
              <w:rPr>
                <w:spacing w:val="-5"/>
                <w:sz w:val="14"/>
              </w:rPr>
              <w:t> </w:t>
            </w:r>
            <w:r>
              <w:rPr>
                <w:sz w:val="14"/>
              </w:rPr>
              <w:t>rate</w:t>
            </w:r>
            <w:r>
              <w:rPr>
                <w:spacing w:val="-3"/>
                <w:sz w:val="14"/>
              </w:rPr>
              <w:t> </w:t>
            </w:r>
            <w:r>
              <w:rPr>
                <w:sz w:val="14"/>
              </w:rPr>
              <w:t>-</w:t>
            </w:r>
            <w:r>
              <w:rPr>
                <w:spacing w:val="-2"/>
                <w:sz w:val="14"/>
              </w:rPr>
              <w:t> </w:t>
            </w:r>
            <w:r>
              <w:rPr>
                <w:sz w:val="14"/>
              </w:rPr>
              <w:t>Jan</w:t>
            </w:r>
            <w:r>
              <w:rPr>
                <w:spacing w:val="-2"/>
                <w:sz w:val="14"/>
              </w:rPr>
              <w:t> </w:t>
            </w:r>
            <w:r>
              <w:rPr>
                <w:sz w:val="14"/>
              </w:rPr>
              <w:t>to</w:t>
            </w:r>
            <w:r>
              <w:rPr>
                <w:spacing w:val="-3"/>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26.75</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28.76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Brushy</w:t>
            </w:r>
            <w:r>
              <w:rPr>
                <w:spacing w:val="-4"/>
                <w:sz w:val="14"/>
              </w:rPr>
              <w:t> </w:t>
            </w:r>
            <w:r>
              <w:rPr>
                <w:sz w:val="14"/>
              </w:rPr>
              <w:t>Creek</w:t>
            </w:r>
            <w:r>
              <w:rPr>
                <w:spacing w:val="-2"/>
                <w:sz w:val="14"/>
              </w:rPr>
              <w:t> </w:t>
            </w:r>
            <w:r>
              <w:rPr>
                <w:sz w:val="14"/>
              </w:rPr>
              <w:t>Hall</w:t>
            </w:r>
            <w:r>
              <w:rPr>
                <w:spacing w:val="-4"/>
                <w:sz w:val="14"/>
              </w:rPr>
              <w:t> </w:t>
            </w:r>
            <w:r>
              <w:rPr>
                <w:sz w:val="14"/>
              </w:rPr>
              <w:t>Community</w:t>
            </w:r>
            <w:r>
              <w:rPr>
                <w:spacing w:val="-2"/>
                <w:sz w:val="14"/>
              </w:rPr>
              <w:t> </w:t>
            </w:r>
            <w:r>
              <w:rPr>
                <w:sz w:val="14"/>
              </w:rPr>
              <w:t>Night</w:t>
            </w:r>
            <w:r>
              <w:rPr>
                <w:spacing w:val="-3"/>
                <w:sz w:val="14"/>
              </w:rPr>
              <w:t> </w:t>
            </w:r>
            <w:r>
              <w:rPr>
                <w:sz w:val="14"/>
              </w:rPr>
              <w:t>Hire</w:t>
            </w:r>
            <w:r>
              <w:rPr>
                <w:spacing w:val="-3"/>
                <w:sz w:val="14"/>
              </w:rPr>
              <w:t> </w:t>
            </w:r>
            <w:r>
              <w:rPr>
                <w:sz w:val="14"/>
              </w:rPr>
              <w:t>-</w:t>
            </w:r>
            <w:r>
              <w:rPr>
                <w:spacing w:val="-5"/>
                <w:sz w:val="14"/>
              </w:rPr>
              <w:t> </w:t>
            </w:r>
            <w:r>
              <w:rPr>
                <w:sz w:val="14"/>
              </w:rPr>
              <w:t>Jul</w:t>
            </w:r>
            <w:r>
              <w:rPr>
                <w:spacing w:val="-1"/>
                <w:sz w:val="14"/>
              </w:rPr>
              <w:t> </w:t>
            </w:r>
            <w:r>
              <w:rPr>
                <w:sz w:val="14"/>
              </w:rPr>
              <w:t>to</w:t>
            </w:r>
            <w:r>
              <w:rPr>
                <w:spacing w:val="-3"/>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486.85</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3"/>
              <w:jc w:val="right"/>
              <w:rPr>
                <w:sz w:val="14"/>
              </w:rPr>
            </w:pPr>
            <w:r>
              <w:rPr>
                <w:spacing w:val="-2"/>
                <w:sz w:val="14"/>
              </w:rPr>
              <w:t>523.36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Brushy</w:t>
            </w:r>
            <w:r>
              <w:rPr>
                <w:spacing w:val="-4"/>
                <w:sz w:val="14"/>
              </w:rPr>
              <w:t> </w:t>
            </w:r>
            <w:r>
              <w:rPr>
                <w:sz w:val="14"/>
              </w:rPr>
              <w:t>Creek</w:t>
            </w:r>
            <w:r>
              <w:rPr>
                <w:spacing w:val="-1"/>
                <w:sz w:val="14"/>
              </w:rPr>
              <w:t> </w:t>
            </w:r>
            <w:r>
              <w:rPr>
                <w:sz w:val="14"/>
              </w:rPr>
              <w:t>Hall</w:t>
            </w:r>
            <w:r>
              <w:rPr>
                <w:spacing w:val="-3"/>
                <w:sz w:val="14"/>
              </w:rPr>
              <w:t> </w:t>
            </w:r>
            <w:r>
              <w:rPr>
                <w:sz w:val="14"/>
              </w:rPr>
              <w:t>Community</w:t>
            </w:r>
            <w:r>
              <w:rPr>
                <w:spacing w:val="-2"/>
                <w:sz w:val="14"/>
              </w:rPr>
              <w:t> </w:t>
            </w:r>
            <w:r>
              <w:rPr>
                <w:sz w:val="14"/>
              </w:rPr>
              <w:t>Night</w:t>
            </w:r>
            <w:r>
              <w:rPr>
                <w:spacing w:val="-3"/>
                <w:sz w:val="14"/>
              </w:rPr>
              <w:t> </w:t>
            </w:r>
            <w:r>
              <w:rPr>
                <w:sz w:val="14"/>
              </w:rPr>
              <w:t>Hire</w:t>
            </w:r>
            <w:r>
              <w:rPr>
                <w:spacing w:val="-2"/>
                <w:sz w:val="14"/>
              </w:rPr>
              <w:t> </w:t>
            </w:r>
            <w:r>
              <w:rPr>
                <w:sz w:val="14"/>
              </w:rPr>
              <w:t>-</w:t>
            </w:r>
            <w:r>
              <w:rPr>
                <w:spacing w:val="-4"/>
                <w:sz w:val="14"/>
              </w:rPr>
              <w:t> </w:t>
            </w:r>
            <w:r>
              <w:rPr>
                <w:sz w:val="14"/>
              </w:rPr>
              <w:t>Jan</w:t>
            </w:r>
            <w:r>
              <w:rPr>
                <w:spacing w:val="-5"/>
                <w:sz w:val="14"/>
              </w:rPr>
              <w:t> </w:t>
            </w:r>
            <w:r>
              <w:rPr>
                <w:sz w:val="14"/>
              </w:rPr>
              <w:t>to</w:t>
            </w:r>
            <w:r>
              <w:rPr>
                <w:spacing w:val="-4"/>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486.85</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523.36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Brushy</w:t>
            </w:r>
            <w:r>
              <w:rPr>
                <w:spacing w:val="-4"/>
                <w:sz w:val="14"/>
              </w:rPr>
              <w:t> </w:t>
            </w:r>
            <w:r>
              <w:rPr>
                <w:sz w:val="14"/>
              </w:rPr>
              <w:t>Creek</w:t>
            </w:r>
            <w:r>
              <w:rPr>
                <w:spacing w:val="-1"/>
                <w:sz w:val="14"/>
              </w:rPr>
              <w:t> </w:t>
            </w:r>
            <w:r>
              <w:rPr>
                <w:sz w:val="14"/>
              </w:rPr>
              <w:t>Hall</w:t>
            </w:r>
            <w:r>
              <w:rPr>
                <w:spacing w:val="-4"/>
                <w:sz w:val="14"/>
              </w:rPr>
              <w:t> </w:t>
            </w:r>
            <w:r>
              <w:rPr>
                <w:sz w:val="14"/>
              </w:rPr>
              <w:t>Corporate</w:t>
            </w:r>
            <w:r>
              <w:rPr>
                <w:spacing w:val="-4"/>
                <w:sz w:val="14"/>
              </w:rPr>
              <w:t> </w:t>
            </w:r>
            <w:r>
              <w:rPr>
                <w:sz w:val="14"/>
              </w:rPr>
              <w:t>casual</w:t>
            </w:r>
            <w:r>
              <w:rPr>
                <w:spacing w:val="-4"/>
                <w:sz w:val="14"/>
              </w:rPr>
              <w:t> </w:t>
            </w:r>
            <w:r>
              <w:rPr>
                <w:sz w:val="14"/>
              </w:rPr>
              <w:t>hour</w:t>
            </w:r>
            <w:r>
              <w:rPr>
                <w:spacing w:val="-1"/>
                <w:sz w:val="14"/>
              </w:rPr>
              <w:t> </w:t>
            </w:r>
            <w:r>
              <w:rPr>
                <w:sz w:val="14"/>
              </w:rPr>
              <w:t>rate</w:t>
            </w:r>
            <w:r>
              <w:rPr>
                <w:spacing w:val="-5"/>
                <w:sz w:val="14"/>
              </w:rPr>
              <w:t> </w:t>
            </w:r>
            <w:r>
              <w:rPr>
                <w:sz w:val="14"/>
              </w:rPr>
              <w:t>-</w:t>
            </w:r>
            <w:r>
              <w:rPr>
                <w:spacing w:val="-1"/>
                <w:sz w:val="14"/>
              </w:rPr>
              <w:t> </w:t>
            </w:r>
            <w:r>
              <w:rPr>
                <w:sz w:val="14"/>
              </w:rPr>
              <w:t>Jul</w:t>
            </w:r>
            <w:r>
              <w:rPr>
                <w:spacing w:val="-1"/>
                <w:sz w:val="14"/>
              </w:rPr>
              <w:t> </w:t>
            </w:r>
            <w:r>
              <w:rPr>
                <w:sz w:val="14"/>
              </w:rPr>
              <w:t>-</w:t>
            </w:r>
            <w:r>
              <w:rPr>
                <w:spacing w:val="-4"/>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39.59</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42.56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Brushy</w:t>
            </w:r>
            <w:r>
              <w:rPr>
                <w:spacing w:val="-4"/>
                <w:sz w:val="14"/>
              </w:rPr>
              <w:t> </w:t>
            </w:r>
            <w:r>
              <w:rPr>
                <w:sz w:val="14"/>
              </w:rPr>
              <w:t>Creek</w:t>
            </w:r>
            <w:r>
              <w:rPr>
                <w:spacing w:val="-2"/>
                <w:sz w:val="14"/>
              </w:rPr>
              <w:t> </w:t>
            </w:r>
            <w:r>
              <w:rPr>
                <w:sz w:val="14"/>
              </w:rPr>
              <w:t>Hall</w:t>
            </w:r>
            <w:r>
              <w:rPr>
                <w:spacing w:val="-3"/>
                <w:sz w:val="14"/>
              </w:rPr>
              <w:t> </w:t>
            </w:r>
            <w:r>
              <w:rPr>
                <w:sz w:val="14"/>
              </w:rPr>
              <w:t>Corporate</w:t>
            </w:r>
            <w:r>
              <w:rPr>
                <w:spacing w:val="-5"/>
                <w:sz w:val="14"/>
              </w:rPr>
              <w:t> </w:t>
            </w:r>
            <w:r>
              <w:rPr>
                <w:sz w:val="14"/>
              </w:rPr>
              <w:t>casual</w:t>
            </w:r>
            <w:r>
              <w:rPr>
                <w:spacing w:val="-3"/>
                <w:sz w:val="14"/>
              </w:rPr>
              <w:t> </w:t>
            </w:r>
            <w:r>
              <w:rPr>
                <w:sz w:val="14"/>
              </w:rPr>
              <w:t>hour</w:t>
            </w:r>
            <w:r>
              <w:rPr>
                <w:spacing w:val="-2"/>
                <w:sz w:val="14"/>
              </w:rPr>
              <w:t> </w:t>
            </w:r>
            <w:r>
              <w:rPr>
                <w:sz w:val="14"/>
              </w:rPr>
              <w:t>rate</w:t>
            </w:r>
            <w:r>
              <w:rPr>
                <w:spacing w:val="-5"/>
                <w:sz w:val="14"/>
              </w:rPr>
              <w:t> </w:t>
            </w:r>
            <w:r>
              <w:rPr>
                <w:sz w:val="14"/>
              </w:rPr>
              <w:t>-</w:t>
            </w:r>
            <w:r>
              <w:rPr>
                <w:spacing w:val="-1"/>
                <w:sz w:val="14"/>
              </w:rPr>
              <w:t> </w:t>
            </w:r>
            <w:r>
              <w:rPr>
                <w:sz w:val="14"/>
              </w:rPr>
              <w:t>Jan</w:t>
            </w:r>
            <w:r>
              <w:rPr>
                <w:spacing w:val="-5"/>
                <w:sz w:val="14"/>
              </w:rPr>
              <w:t> </w:t>
            </w:r>
            <w:r>
              <w:rPr>
                <w:sz w:val="14"/>
              </w:rPr>
              <w:t>to</w:t>
            </w:r>
            <w:r>
              <w:rPr>
                <w:spacing w:val="-1"/>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39.59</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42.56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Brushy</w:t>
            </w:r>
            <w:r>
              <w:rPr>
                <w:spacing w:val="-4"/>
                <w:sz w:val="14"/>
              </w:rPr>
              <w:t> </w:t>
            </w:r>
            <w:r>
              <w:rPr>
                <w:sz w:val="14"/>
              </w:rPr>
              <w:t>Creek</w:t>
            </w:r>
            <w:r>
              <w:rPr>
                <w:spacing w:val="-2"/>
                <w:sz w:val="14"/>
              </w:rPr>
              <w:t> </w:t>
            </w:r>
            <w:r>
              <w:rPr>
                <w:sz w:val="14"/>
              </w:rPr>
              <w:t>Hall</w:t>
            </w:r>
            <w:r>
              <w:rPr>
                <w:spacing w:val="-4"/>
                <w:sz w:val="14"/>
              </w:rPr>
              <w:t> </w:t>
            </w:r>
            <w:r>
              <w:rPr>
                <w:sz w:val="14"/>
              </w:rPr>
              <w:t>Corporate</w:t>
            </w:r>
            <w:r>
              <w:rPr>
                <w:spacing w:val="-5"/>
                <w:sz w:val="14"/>
              </w:rPr>
              <w:t> </w:t>
            </w:r>
            <w:r>
              <w:rPr>
                <w:sz w:val="14"/>
              </w:rPr>
              <w:t>regular</w:t>
            </w:r>
            <w:r>
              <w:rPr>
                <w:spacing w:val="-5"/>
                <w:sz w:val="14"/>
              </w:rPr>
              <w:t> </w:t>
            </w:r>
            <w:r>
              <w:rPr>
                <w:sz w:val="14"/>
              </w:rPr>
              <w:t>hour</w:t>
            </w:r>
            <w:r>
              <w:rPr>
                <w:spacing w:val="-2"/>
                <w:sz w:val="14"/>
              </w:rPr>
              <w:t> </w:t>
            </w:r>
            <w:r>
              <w:rPr>
                <w:sz w:val="14"/>
              </w:rPr>
              <w:t>rate</w:t>
            </w:r>
            <w:r>
              <w:rPr>
                <w:spacing w:val="-2"/>
                <w:sz w:val="14"/>
              </w:rPr>
              <w:t> </w:t>
            </w:r>
            <w:r>
              <w:rPr>
                <w:sz w:val="14"/>
              </w:rPr>
              <w:t>-</w:t>
            </w:r>
            <w:r>
              <w:rPr>
                <w:spacing w:val="-4"/>
                <w:sz w:val="14"/>
              </w:rPr>
              <w:t> </w:t>
            </w:r>
            <w:r>
              <w:rPr>
                <w:sz w:val="14"/>
              </w:rPr>
              <w:t>Jul</w:t>
            </w:r>
            <w:r>
              <w:rPr>
                <w:spacing w:val="-4"/>
                <w:sz w:val="14"/>
              </w:rPr>
              <w:t> </w:t>
            </w:r>
            <w:r>
              <w:rPr>
                <w:sz w:val="14"/>
              </w:rPr>
              <w:t>to</w:t>
            </w:r>
            <w:r>
              <w:rPr>
                <w:spacing w:val="-2"/>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33.17</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35.66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Brushy</w:t>
            </w:r>
            <w:r>
              <w:rPr>
                <w:spacing w:val="-4"/>
                <w:sz w:val="14"/>
              </w:rPr>
              <w:t> </w:t>
            </w:r>
            <w:r>
              <w:rPr>
                <w:sz w:val="14"/>
              </w:rPr>
              <w:t>Creek</w:t>
            </w:r>
            <w:r>
              <w:rPr>
                <w:spacing w:val="-2"/>
                <w:sz w:val="14"/>
              </w:rPr>
              <w:t> </w:t>
            </w:r>
            <w:r>
              <w:rPr>
                <w:sz w:val="14"/>
              </w:rPr>
              <w:t>Hall</w:t>
            </w:r>
            <w:r>
              <w:rPr>
                <w:spacing w:val="-3"/>
                <w:sz w:val="14"/>
              </w:rPr>
              <w:t> </w:t>
            </w:r>
            <w:r>
              <w:rPr>
                <w:sz w:val="14"/>
              </w:rPr>
              <w:t>Corporate</w:t>
            </w:r>
            <w:r>
              <w:rPr>
                <w:spacing w:val="-5"/>
                <w:sz w:val="14"/>
              </w:rPr>
              <w:t> </w:t>
            </w:r>
            <w:r>
              <w:rPr>
                <w:sz w:val="14"/>
              </w:rPr>
              <w:t>regular</w:t>
            </w:r>
            <w:r>
              <w:rPr>
                <w:spacing w:val="-5"/>
                <w:sz w:val="14"/>
              </w:rPr>
              <w:t> </w:t>
            </w:r>
            <w:r>
              <w:rPr>
                <w:sz w:val="14"/>
              </w:rPr>
              <w:t>hour</w:t>
            </w:r>
            <w:r>
              <w:rPr>
                <w:spacing w:val="-1"/>
                <w:sz w:val="14"/>
              </w:rPr>
              <w:t> </w:t>
            </w:r>
            <w:r>
              <w:rPr>
                <w:sz w:val="14"/>
              </w:rPr>
              <w:t>rate</w:t>
            </w:r>
            <w:r>
              <w:rPr>
                <w:spacing w:val="-2"/>
                <w:sz w:val="14"/>
              </w:rPr>
              <w:t> </w:t>
            </w:r>
            <w:r>
              <w:rPr>
                <w:sz w:val="14"/>
              </w:rPr>
              <w:t>-</w:t>
            </w:r>
            <w:r>
              <w:rPr>
                <w:spacing w:val="-5"/>
                <w:sz w:val="14"/>
              </w:rPr>
              <w:t> </w:t>
            </w:r>
            <w:r>
              <w:rPr>
                <w:sz w:val="14"/>
              </w:rPr>
              <w:t>Jan</w:t>
            </w:r>
            <w:r>
              <w:rPr>
                <w:spacing w:val="-1"/>
                <w:sz w:val="14"/>
              </w:rPr>
              <w:t> </w:t>
            </w:r>
            <w:r>
              <w:rPr>
                <w:sz w:val="14"/>
              </w:rPr>
              <w:t>-</w:t>
            </w:r>
            <w:r>
              <w:rPr>
                <w:spacing w:val="-5"/>
                <w:sz w:val="14"/>
              </w:rPr>
              <w:t> 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33.17</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35.66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Brushy</w:t>
            </w:r>
            <w:r>
              <w:rPr>
                <w:spacing w:val="-4"/>
                <w:sz w:val="14"/>
              </w:rPr>
              <w:t> </w:t>
            </w:r>
            <w:r>
              <w:rPr>
                <w:sz w:val="14"/>
              </w:rPr>
              <w:t>Creek</w:t>
            </w:r>
            <w:r>
              <w:rPr>
                <w:spacing w:val="-1"/>
                <w:sz w:val="14"/>
              </w:rPr>
              <w:t> </w:t>
            </w:r>
            <w:r>
              <w:rPr>
                <w:sz w:val="14"/>
              </w:rPr>
              <w:t>Hall</w:t>
            </w:r>
            <w:r>
              <w:rPr>
                <w:spacing w:val="-4"/>
                <w:sz w:val="14"/>
              </w:rPr>
              <w:t> </w:t>
            </w:r>
            <w:r>
              <w:rPr>
                <w:sz w:val="14"/>
              </w:rPr>
              <w:t>Corporate</w:t>
            </w:r>
            <w:r>
              <w:rPr>
                <w:spacing w:val="-4"/>
                <w:sz w:val="14"/>
              </w:rPr>
              <w:t> </w:t>
            </w:r>
            <w:r>
              <w:rPr>
                <w:sz w:val="14"/>
              </w:rPr>
              <w:t>Night</w:t>
            </w:r>
            <w:r>
              <w:rPr>
                <w:spacing w:val="-4"/>
                <w:sz w:val="14"/>
              </w:rPr>
              <w:t> </w:t>
            </w:r>
            <w:r>
              <w:rPr>
                <w:sz w:val="14"/>
              </w:rPr>
              <w:t>Hire</w:t>
            </w:r>
            <w:r>
              <w:rPr>
                <w:spacing w:val="-2"/>
                <w:sz w:val="14"/>
              </w:rPr>
              <w:t> </w:t>
            </w:r>
            <w:r>
              <w:rPr>
                <w:sz w:val="14"/>
              </w:rPr>
              <w:t>-</w:t>
            </w:r>
            <w:r>
              <w:rPr>
                <w:spacing w:val="-4"/>
                <w:sz w:val="14"/>
              </w:rPr>
              <w:t> </w:t>
            </w:r>
            <w:r>
              <w:rPr>
                <w:sz w:val="14"/>
              </w:rPr>
              <w:t>Jul</w:t>
            </w:r>
            <w:r>
              <w:rPr>
                <w:spacing w:val="-1"/>
                <w:sz w:val="14"/>
              </w:rPr>
              <w:t> </w:t>
            </w:r>
            <w:r>
              <w:rPr>
                <w:sz w:val="14"/>
              </w:rPr>
              <w:t>to</w:t>
            </w:r>
            <w:r>
              <w:rPr>
                <w:spacing w:val="-2"/>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525.37</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3"/>
              <w:jc w:val="right"/>
              <w:rPr>
                <w:sz w:val="14"/>
              </w:rPr>
            </w:pPr>
            <w:r>
              <w:rPr>
                <w:spacing w:val="-2"/>
                <w:sz w:val="14"/>
              </w:rPr>
              <w:t>564.77</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Brushy</w:t>
            </w:r>
            <w:r>
              <w:rPr>
                <w:spacing w:val="-4"/>
                <w:sz w:val="14"/>
              </w:rPr>
              <w:t> </w:t>
            </w:r>
            <w:r>
              <w:rPr>
                <w:sz w:val="14"/>
              </w:rPr>
              <w:t>Creek</w:t>
            </w:r>
            <w:r>
              <w:rPr>
                <w:spacing w:val="-1"/>
                <w:sz w:val="14"/>
              </w:rPr>
              <w:t> </w:t>
            </w:r>
            <w:r>
              <w:rPr>
                <w:sz w:val="14"/>
              </w:rPr>
              <w:t>Hall</w:t>
            </w:r>
            <w:r>
              <w:rPr>
                <w:spacing w:val="-3"/>
                <w:sz w:val="14"/>
              </w:rPr>
              <w:t> </w:t>
            </w:r>
            <w:r>
              <w:rPr>
                <w:sz w:val="14"/>
              </w:rPr>
              <w:t>Corporate</w:t>
            </w:r>
            <w:r>
              <w:rPr>
                <w:spacing w:val="-4"/>
                <w:sz w:val="14"/>
              </w:rPr>
              <w:t> </w:t>
            </w:r>
            <w:r>
              <w:rPr>
                <w:sz w:val="14"/>
              </w:rPr>
              <w:t>Night</w:t>
            </w:r>
            <w:r>
              <w:rPr>
                <w:spacing w:val="-3"/>
                <w:sz w:val="14"/>
              </w:rPr>
              <w:t> </w:t>
            </w:r>
            <w:r>
              <w:rPr>
                <w:sz w:val="14"/>
              </w:rPr>
              <w:t>Hire</w:t>
            </w:r>
            <w:r>
              <w:rPr>
                <w:spacing w:val="-3"/>
                <w:sz w:val="14"/>
              </w:rPr>
              <w:t> </w:t>
            </w:r>
            <w:r>
              <w:rPr>
                <w:sz w:val="14"/>
              </w:rPr>
              <w:t>-</w:t>
            </w:r>
            <w:r>
              <w:rPr>
                <w:spacing w:val="-4"/>
                <w:sz w:val="14"/>
              </w:rPr>
              <w:t> </w:t>
            </w:r>
            <w:r>
              <w:rPr>
                <w:sz w:val="14"/>
              </w:rPr>
              <w:t>Jan</w:t>
            </w:r>
            <w:r>
              <w:rPr>
                <w:spacing w:val="-4"/>
                <w:sz w:val="14"/>
              </w:rPr>
              <w:t> </w:t>
            </w:r>
            <w:r>
              <w:rPr>
                <w:sz w:val="14"/>
              </w:rPr>
              <w:t>to</w:t>
            </w:r>
            <w:r>
              <w:rPr>
                <w:spacing w:val="-4"/>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525.37</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564.77</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Casual</w:t>
            </w:r>
            <w:r>
              <w:rPr>
                <w:spacing w:val="-5"/>
                <w:sz w:val="14"/>
              </w:rPr>
              <w:t> </w:t>
            </w:r>
            <w:r>
              <w:rPr>
                <w:sz w:val="14"/>
              </w:rPr>
              <w:t>Cleaner</w:t>
            </w:r>
            <w:r>
              <w:rPr>
                <w:spacing w:val="-2"/>
                <w:sz w:val="14"/>
              </w:rPr>
              <w:t> </w:t>
            </w:r>
            <w:r>
              <w:rPr>
                <w:sz w:val="14"/>
              </w:rPr>
              <w:t>3</w:t>
            </w:r>
            <w:r>
              <w:rPr>
                <w:spacing w:val="-6"/>
                <w:sz w:val="14"/>
              </w:rPr>
              <w:t> </w:t>
            </w:r>
            <w:r>
              <w:rPr>
                <w:spacing w:val="-2"/>
                <w:sz w:val="14"/>
              </w:rPr>
              <w:t>hours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128.40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138.03</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Croydon</w:t>
            </w:r>
            <w:r>
              <w:rPr>
                <w:b/>
                <w:spacing w:val="-7"/>
                <w:sz w:val="14"/>
              </w:rPr>
              <w:t> </w:t>
            </w:r>
            <w:r>
              <w:rPr>
                <w:b/>
                <w:sz w:val="14"/>
              </w:rPr>
              <w:t>Swim</w:t>
            </w:r>
            <w:r>
              <w:rPr>
                <w:b/>
                <w:spacing w:val="-5"/>
                <w:sz w:val="14"/>
              </w:rPr>
              <w:t> </w:t>
            </w:r>
            <w:r>
              <w:rPr>
                <w:b/>
                <w:spacing w:val="-4"/>
                <w:sz w:val="14"/>
              </w:rPr>
              <w:t>Club</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Croydon</w:t>
            </w:r>
            <w:r>
              <w:rPr>
                <w:spacing w:val="-5"/>
                <w:sz w:val="14"/>
              </w:rPr>
              <w:t> </w:t>
            </w:r>
            <w:r>
              <w:rPr>
                <w:sz w:val="14"/>
              </w:rPr>
              <w:t>Swimming</w:t>
            </w:r>
            <w:r>
              <w:rPr>
                <w:spacing w:val="-4"/>
                <w:sz w:val="14"/>
              </w:rPr>
              <w:t> </w:t>
            </w:r>
            <w:r>
              <w:rPr>
                <w:sz w:val="14"/>
              </w:rPr>
              <w:t>Club</w:t>
            </w:r>
            <w:r>
              <w:rPr>
                <w:spacing w:val="-4"/>
                <w:sz w:val="14"/>
              </w:rPr>
              <w:t> </w:t>
            </w:r>
            <w:r>
              <w:rPr>
                <w:sz w:val="14"/>
              </w:rPr>
              <w:t>Not</w:t>
            </w:r>
            <w:r>
              <w:rPr>
                <w:spacing w:val="-3"/>
                <w:sz w:val="14"/>
              </w:rPr>
              <w:t> </w:t>
            </w:r>
            <w:r>
              <w:rPr>
                <w:sz w:val="14"/>
              </w:rPr>
              <w:t>for</w:t>
            </w:r>
            <w:r>
              <w:rPr>
                <w:spacing w:val="-3"/>
                <w:sz w:val="14"/>
              </w:rPr>
              <w:t> </w:t>
            </w:r>
            <w:r>
              <w:rPr>
                <w:sz w:val="14"/>
              </w:rPr>
              <w:t>Profit</w:t>
            </w:r>
            <w:r>
              <w:rPr>
                <w:spacing w:val="-1"/>
                <w:sz w:val="14"/>
              </w:rPr>
              <w:t> </w:t>
            </w:r>
            <w:r>
              <w:rPr>
                <w:sz w:val="14"/>
              </w:rPr>
              <w:t>casual</w:t>
            </w:r>
            <w:r>
              <w:rPr>
                <w:spacing w:val="-3"/>
                <w:sz w:val="14"/>
              </w:rPr>
              <w:t> </w:t>
            </w:r>
            <w:r>
              <w:rPr>
                <w:sz w:val="14"/>
              </w:rPr>
              <w:t>hour</w:t>
            </w:r>
            <w:r>
              <w:rPr>
                <w:spacing w:val="-3"/>
                <w:sz w:val="14"/>
              </w:rPr>
              <w:t> </w:t>
            </w:r>
            <w:r>
              <w:rPr>
                <w:sz w:val="14"/>
              </w:rPr>
              <w:t>rate</w:t>
            </w:r>
            <w:r>
              <w:rPr>
                <w:spacing w:val="-1"/>
                <w:sz w:val="14"/>
              </w:rPr>
              <w:t> </w:t>
            </w:r>
            <w:r>
              <w:rPr>
                <w:sz w:val="14"/>
              </w:rPr>
              <w:t>-</w:t>
            </w:r>
            <w:r>
              <w:rPr>
                <w:spacing w:val="-4"/>
                <w:sz w:val="14"/>
              </w:rPr>
              <w:t> </w:t>
            </w:r>
            <w:r>
              <w:rPr>
                <w:sz w:val="14"/>
              </w:rPr>
              <w:t>Jul</w:t>
            </w:r>
            <w:r>
              <w:rPr>
                <w:spacing w:val="-3"/>
                <w:sz w:val="14"/>
              </w:rPr>
              <w:t> </w:t>
            </w:r>
            <w:r>
              <w:rPr>
                <w:sz w:val="14"/>
              </w:rPr>
              <w:t>to</w:t>
            </w:r>
            <w:r>
              <w:rPr>
                <w:spacing w:val="-4"/>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29.96</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32.21</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Croydon</w:t>
            </w:r>
            <w:r>
              <w:rPr>
                <w:spacing w:val="-6"/>
                <w:sz w:val="14"/>
              </w:rPr>
              <w:t> </w:t>
            </w:r>
            <w:r>
              <w:rPr>
                <w:sz w:val="14"/>
              </w:rPr>
              <w:t>Swimming</w:t>
            </w:r>
            <w:r>
              <w:rPr>
                <w:spacing w:val="-4"/>
                <w:sz w:val="14"/>
              </w:rPr>
              <w:t> </w:t>
            </w:r>
            <w:r>
              <w:rPr>
                <w:sz w:val="14"/>
              </w:rPr>
              <w:t>Club</w:t>
            </w:r>
            <w:r>
              <w:rPr>
                <w:spacing w:val="-4"/>
                <w:sz w:val="14"/>
              </w:rPr>
              <w:t> </w:t>
            </w:r>
            <w:r>
              <w:rPr>
                <w:sz w:val="14"/>
              </w:rPr>
              <w:t>Not</w:t>
            </w:r>
            <w:r>
              <w:rPr>
                <w:spacing w:val="-3"/>
                <w:sz w:val="14"/>
              </w:rPr>
              <w:t> </w:t>
            </w:r>
            <w:r>
              <w:rPr>
                <w:sz w:val="14"/>
              </w:rPr>
              <w:t>for</w:t>
            </w:r>
            <w:r>
              <w:rPr>
                <w:spacing w:val="-3"/>
                <w:sz w:val="14"/>
              </w:rPr>
              <w:t> </w:t>
            </w:r>
            <w:r>
              <w:rPr>
                <w:sz w:val="14"/>
              </w:rPr>
              <w:t>Profit casual</w:t>
            </w:r>
            <w:r>
              <w:rPr>
                <w:spacing w:val="-4"/>
                <w:sz w:val="14"/>
              </w:rPr>
              <w:t> </w:t>
            </w:r>
            <w:r>
              <w:rPr>
                <w:sz w:val="14"/>
              </w:rPr>
              <w:t>hour</w:t>
            </w:r>
            <w:r>
              <w:rPr>
                <w:spacing w:val="-3"/>
                <w:sz w:val="14"/>
              </w:rPr>
              <w:t> </w:t>
            </w:r>
            <w:r>
              <w:rPr>
                <w:sz w:val="14"/>
              </w:rPr>
              <w:t>rate</w:t>
            </w:r>
            <w:r>
              <w:rPr>
                <w:spacing w:val="-1"/>
                <w:sz w:val="14"/>
              </w:rPr>
              <w:t> </w:t>
            </w:r>
            <w:r>
              <w:rPr>
                <w:sz w:val="14"/>
              </w:rPr>
              <w:t>-</w:t>
            </w:r>
            <w:r>
              <w:rPr>
                <w:spacing w:val="-4"/>
                <w:sz w:val="14"/>
              </w:rPr>
              <w:t> </w:t>
            </w:r>
            <w:r>
              <w:rPr>
                <w:sz w:val="14"/>
              </w:rPr>
              <w:t>Jan</w:t>
            </w:r>
            <w:r>
              <w:rPr>
                <w:spacing w:val="-2"/>
                <w:sz w:val="14"/>
              </w:rPr>
              <w:t> </w:t>
            </w:r>
            <w:r>
              <w:rPr>
                <w:sz w:val="14"/>
              </w:rPr>
              <w:t>to</w:t>
            </w:r>
            <w:r>
              <w:rPr>
                <w:spacing w:val="-4"/>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29.96</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32.21</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Croydon</w:t>
            </w:r>
            <w:r>
              <w:rPr>
                <w:spacing w:val="-6"/>
                <w:sz w:val="14"/>
              </w:rPr>
              <w:t> </w:t>
            </w:r>
            <w:r>
              <w:rPr>
                <w:sz w:val="14"/>
              </w:rPr>
              <w:t>Swimming</w:t>
            </w:r>
            <w:r>
              <w:rPr>
                <w:spacing w:val="-4"/>
                <w:sz w:val="14"/>
              </w:rPr>
              <w:t> </w:t>
            </w:r>
            <w:r>
              <w:rPr>
                <w:sz w:val="14"/>
              </w:rPr>
              <w:t>Club</w:t>
            </w:r>
            <w:r>
              <w:rPr>
                <w:spacing w:val="-5"/>
                <w:sz w:val="14"/>
              </w:rPr>
              <w:t> </w:t>
            </w:r>
            <w:r>
              <w:rPr>
                <w:sz w:val="14"/>
              </w:rPr>
              <w:t>Not</w:t>
            </w:r>
            <w:r>
              <w:rPr>
                <w:spacing w:val="-3"/>
                <w:sz w:val="14"/>
              </w:rPr>
              <w:t> </w:t>
            </w:r>
            <w:r>
              <w:rPr>
                <w:sz w:val="14"/>
              </w:rPr>
              <w:t>for</w:t>
            </w:r>
            <w:r>
              <w:rPr>
                <w:spacing w:val="-4"/>
                <w:sz w:val="14"/>
              </w:rPr>
              <w:t> </w:t>
            </w:r>
            <w:r>
              <w:rPr>
                <w:sz w:val="14"/>
              </w:rPr>
              <w:t>Profit</w:t>
            </w:r>
            <w:r>
              <w:rPr>
                <w:spacing w:val="-3"/>
                <w:sz w:val="14"/>
              </w:rPr>
              <w:t> </w:t>
            </w:r>
            <w:r>
              <w:rPr>
                <w:sz w:val="14"/>
              </w:rPr>
              <w:t>regular</w:t>
            </w:r>
            <w:r>
              <w:rPr>
                <w:spacing w:val="-2"/>
                <w:sz w:val="14"/>
              </w:rPr>
              <w:t> </w:t>
            </w:r>
            <w:r>
              <w:rPr>
                <w:sz w:val="14"/>
              </w:rPr>
              <w:t>hour</w:t>
            </w:r>
            <w:r>
              <w:rPr>
                <w:spacing w:val="-2"/>
                <w:sz w:val="14"/>
              </w:rPr>
              <w:t> </w:t>
            </w:r>
            <w:r>
              <w:rPr>
                <w:sz w:val="14"/>
              </w:rPr>
              <w:t>rate</w:t>
            </w:r>
            <w:r>
              <w:rPr>
                <w:spacing w:val="-2"/>
                <w:sz w:val="14"/>
              </w:rPr>
              <w:t> </w:t>
            </w:r>
            <w:r>
              <w:rPr>
                <w:sz w:val="14"/>
              </w:rPr>
              <w:t>-</w:t>
            </w:r>
            <w:r>
              <w:rPr>
                <w:spacing w:val="-5"/>
                <w:sz w:val="14"/>
              </w:rPr>
              <w:t> </w:t>
            </w:r>
            <w:r>
              <w:rPr>
                <w:sz w:val="14"/>
              </w:rPr>
              <w:t>Jul</w:t>
            </w:r>
            <w:r>
              <w:rPr>
                <w:spacing w:val="-1"/>
                <w:sz w:val="14"/>
              </w:rPr>
              <w:t> </w:t>
            </w:r>
            <w:r>
              <w:rPr>
                <w:sz w:val="14"/>
              </w:rPr>
              <w:t>to</w:t>
            </w:r>
            <w:r>
              <w:rPr>
                <w:spacing w:val="-3"/>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23.54</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25.31</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Croydon</w:t>
            </w:r>
            <w:r>
              <w:rPr>
                <w:spacing w:val="-6"/>
                <w:sz w:val="14"/>
              </w:rPr>
              <w:t> </w:t>
            </w:r>
            <w:r>
              <w:rPr>
                <w:sz w:val="14"/>
              </w:rPr>
              <w:t>Swimming</w:t>
            </w:r>
            <w:r>
              <w:rPr>
                <w:spacing w:val="-4"/>
                <w:sz w:val="14"/>
              </w:rPr>
              <w:t> </w:t>
            </w:r>
            <w:r>
              <w:rPr>
                <w:sz w:val="14"/>
              </w:rPr>
              <w:t>Club</w:t>
            </w:r>
            <w:r>
              <w:rPr>
                <w:spacing w:val="-4"/>
                <w:sz w:val="14"/>
              </w:rPr>
              <w:t> </w:t>
            </w:r>
            <w:r>
              <w:rPr>
                <w:sz w:val="14"/>
              </w:rPr>
              <w:t>Not</w:t>
            </w:r>
            <w:r>
              <w:rPr>
                <w:spacing w:val="-3"/>
                <w:sz w:val="14"/>
              </w:rPr>
              <w:t> </w:t>
            </w:r>
            <w:r>
              <w:rPr>
                <w:sz w:val="14"/>
              </w:rPr>
              <w:t>for</w:t>
            </w:r>
            <w:r>
              <w:rPr>
                <w:spacing w:val="-3"/>
                <w:sz w:val="14"/>
              </w:rPr>
              <w:t> </w:t>
            </w:r>
            <w:r>
              <w:rPr>
                <w:sz w:val="14"/>
              </w:rPr>
              <w:t>Profit</w:t>
            </w:r>
            <w:r>
              <w:rPr>
                <w:spacing w:val="-3"/>
                <w:sz w:val="14"/>
              </w:rPr>
              <w:t> </w:t>
            </w:r>
            <w:r>
              <w:rPr>
                <w:sz w:val="14"/>
              </w:rPr>
              <w:t>regular</w:t>
            </w:r>
            <w:r>
              <w:rPr>
                <w:spacing w:val="-2"/>
                <w:sz w:val="14"/>
              </w:rPr>
              <w:t> </w:t>
            </w:r>
            <w:r>
              <w:rPr>
                <w:sz w:val="14"/>
              </w:rPr>
              <w:t>hour</w:t>
            </w:r>
            <w:r>
              <w:rPr>
                <w:spacing w:val="-1"/>
                <w:sz w:val="14"/>
              </w:rPr>
              <w:t> </w:t>
            </w:r>
            <w:r>
              <w:rPr>
                <w:sz w:val="14"/>
              </w:rPr>
              <w:t>rate</w:t>
            </w:r>
            <w:r>
              <w:rPr>
                <w:spacing w:val="-2"/>
                <w:sz w:val="14"/>
              </w:rPr>
              <w:t> </w:t>
            </w:r>
            <w:r>
              <w:rPr>
                <w:sz w:val="14"/>
              </w:rPr>
              <w:t>-</w:t>
            </w:r>
            <w:r>
              <w:rPr>
                <w:spacing w:val="-4"/>
                <w:sz w:val="14"/>
              </w:rPr>
              <w:t> </w:t>
            </w:r>
            <w:r>
              <w:rPr>
                <w:sz w:val="14"/>
              </w:rPr>
              <w:t>Jan</w:t>
            </w:r>
            <w:r>
              <w:rPr>
                <w:spacing w:val="-5"/>
                <w:sz w:val="14"/>
              </w:rPr>
              <w:t> </w:t>
            </w:r>
            <w:r>
              <w:rPr>
                <w:sz w:val="14"/>
              </w:rPr>
              <w:t>to</w:t>
            </w:r>
            <w:r>
              <w:rPr>
                <w:spacing w:val="-4"/>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23.54</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25.31</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Croydon</w:t>
            </w:r>
            <w:r>
              <w:rPr>
                <w:spacing w:val="-5"/>
                <w:sz w:val="14"/>
              </w:rPr>
              <w:t> </w:t>
            </w:r>
            <w:r>
              <w:rPr>
                <w:sz w:val="14"/>
              </w:rPr>
              <w:t>Swimming</w:t>
            </w:r>
            <w:r>
              <w:rPr>
                <w:spacing w:val="-4"/>
                <w:sz w:val="14"/>
              </w:rPr>
              <w:t> </w:t>
            </w:r>
            <w:r>
              <w:rPr>
                <w:sz w:val="14"/>
              </w:rPr>
              <w:t>Club</w:t>
            </w:r>
            <w:r>
              <w:rPr>
                <w:spacing w:val="-4"/>
                <w:sz w:val="14"/>
              </w:rPr>
              <w:t> </w:t>
            </w:r>
            <w:r>
              <w:rPr>
                <w:sz w:val="14"/>
              </w:rPr>
              <w:t>Hall</w:t>
            </w:r>
            <w:r>
              <w:rPr>
                <w:spacing w:val="-3"/>
                <w:sz w:val="14"/>
              </w:rPr>
              <w:t> </w:t>
            </w:r>
            <w:r>
              <w:rPr>
                <w:sz w:val="14"/>
              </w:rPr>
              <w:t>Not</w:t>
            </w:r>
            <w:r>
              <w:rPr>
                <w:spacing w:val="-4"/>
                <w:sz w:val="14"/>
              </w:rPr>
              <w:t> </w:t>
            </w:r>
            <w:r>
              <w:rPr>
                <w:sz w:val="14"/>
              </w:rPr>
              <w:t>for</w:t>
            </w:r>
            <w:r>
              <w:rPr>
                <w:spacing w:val="-3"/>
                <w:sz w:val="14"/>
              </w:rPr>
              <w:t> </w:t>
            </w:r>
            <w:r>
              <w:rPr>
                <w:sz w:val="14"/>
              </w:rPr>
              <w:t>Profit</w:t>
            </w:r>
            <w:r>
              <w:rPr>
                <w:spacing w:val="-2"/>
                <w:sz w:val="14"/>
              </w:rPr>
              <w:t> </w:t>
            </w:r>
            <w:r>
              <w:rPr>
                <w:sz w:val="14"/>
              </w:rPr>
              <w:t>Night</w:t>
            </w:r>
            <w:r>
              <w:rPr>
                <w:spacing w:val="-4"/>
                <w:sz w:val="14"/>
              </w:rPr>
              <w:t> </w:t>
            </w:r>
            <w:r>
              <w:rPr>
                <w:sz w:val="14"/>
              </w:rPr>
              <w:t>Hire</w:t>
            </w:r>
            <w:r>
              <w:rPr>
                <w:spacing w:val="-4"/>
                <w:sz w:val="14"/>
              </w:rPr>
              <w:t> </w:t>
            </w:r>
            <w:r>
              <w:rPr>
                <w:sz w:val="14"/>
              </w:rPr>
              <w:t>-</w:t>
            </w:r>
            <w:r>
              <w:rPr>
                <w:spacing w:val="-1"/>
                <w:sz w:val="14"/>
              </w:rPr>
              <w:t> </w:t>
            </w:r>
            <w:r>
              <w:rPr>
                <w:sz w:val="14"/>
              </w:rPr>
              <w:t>Jul to</w:t>
            </w:r>
            <w:r>
              <w:rPr>
                <w:spacing w:val="-3"/>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246.10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264.56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Croydon</w:t>
            </w:r>
            <w:r>
              <w:rPr>
                <w:spacing w:val="-5"/>
                <w:sz w:val="14"/>
              </w:rPr>
              <w:t> </w:t>
            </w:r>
            <w:r>
              <w:rPr>
                <w:sz w:val="14"/>
              </w:rPr>
              <w:t>Swimming</w:t>
            </w:r>
            <w:r>
              <w:rPr>
                <w:spacing w:val="-4"/>
                <w:sz w:val="14"/>
              </w:rPr>
              <w:t> </w:t>
            </w:r>
            <w:r>
              <w:rPr>
                <w:sz w:val="14"/>
              </w:rPr>
              <w:t>Club</w:t>
            </w:r>
            <w:r>
              <w:rPr>
                <w:spacing w:val="-3"/>
                <w:sz w:val="14"/>
              </w:rPr>
              <w:t> </w:t>
            </w:r>
            <w:r>
              <w:rPr>
                <w:sz w:val="14"/>
              </w:rPr>
              <w:t>Hall</w:t>
            </w:r>
            <w:r>
              <w:rPr>
                <w:spacing w:val="-3"/>
                <w:sz w:val="14"/>
              </w:rPr>
              <w:t> </w:t>
            </w:r>
            <w:r>
              <w:rPr>
                <w:sz w:val="14"/>
              </w:rPr>
              <w:t>Not</w:t>
            </w:r>
            <w:r>
              <w:rPr>
                <w:spacing w:val="-4"/>
                <w:sz w:val="14"/>
              </w:rPr>
              <w:t> </w:t>
            </w:r>
            <w:r>
              <w:rPr>
                <w:sz w:val="14"/>
              </w:rPr>
              <w:t>for</w:t>
            </w:r>
            <w:r>
              <w:rPr>
                <w:spacing w:val="-2"/>
                <w:sz w:val="14"/>
              </w:rPr>
              <w:t> </w:t>
            </w:r>
            <w:r>
              <w:rPr>
                <w:sz w:val="14"/>
              </w:rPr>
              <w:t>Profit</w:t>
            </w:r>
            <w:r>
              <w:rPr>
                <w:spacing w:val="-2"/>
                <w:sz w:val="14"/>
              </w:rPr>
              <w:t> </w:t>
            </w:r>
            <w:r>
              <w:rPr>
                <w:sz w:val="14"/>
              </w:rPr>
              <w:t>Night</w:t>
            </w:r>
            <w:r>
              <w:rPr>
                <w:spacing w:val="-3"/>
                <w:sz w:val="14"/>
              </w:rPr>
              <w:t> </w:t>
            </w:r>
            <w:r>
              <w:rPr>
                <w:sz w:val="14"/>
              </w:rPr>
              <w:t>Hire</w:t>
            </w:r>
            <w:r>
              <w:rPr>
                <w:spacing w:val="-3"/>
                <w:sz w:val="14"/>
              </w:rPr>
              <w:t> </w:t>
            </w:r>
            <w:r>
              <w:rPr>
                <w:sz w:val="14"/>
              </w:rPr>
              <w:t>-</w:t>
            </w:r>
            <w:r>
              <w:rPr>
                <w:spacing w:val="-1"/>
                <w:sz w:val="14"/>
              </w:rPr>
              <w:t> </w:t>
            </w:r>
            <w:r>
              <w:rPr>
                <w:sz w:val="14"/>
              </w:rPr>
              <w:t>Jan</w:t>
            </w:r>
            <w:r>
              <w:rPr>
                <w:spacing w:val="-4"/>
                <w:sz w:val="14"/>
              </w:rPr>
              <w:t> </w:t>
            </w:r>
            <w:r>
              <w:rPr>
                <w:sz w:val="14"/>
              </w:rPr>
              <w:t>to</w:t>
            </w:r>
            <w:r>
              <w:rPr>
                <w:spacing w:val="-3"/>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246.10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264.56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Croydon</w:t>
            </w:r>
            <w:r>
              <w:rPr>
                <w:spacing w:val="-6"/>
                <w:sz w:val="14"/>
              </w:rPr>
              <w:t> </w:t>
            </w:r>
            <w:r>
              <w:rPr>
                <w:sz w:val="14"/>
              </w:rPr>
              <w:t>Swimming</w:t>
            </w:r>
            <w:r>
              <w:rPr>
                <w:spacing w:val="-5"/>
                <w:sz w:val="14"/>
              </w:rPr>
              <w:t> </w:t>
            </w:r>
            <w:r>
              <w:rPr>
                <w:sz w:val="14"/>
              </w:rPr>
              <w:t>Club</w:t>
            </w:r>
            <w:r>
              <w:rPr>
                <w:spacing w:val="-5"/>
                <w:sz w:val="14"/>
              </w:rPr>
              <w:t> </w:t>
            </w:r>
            <w:r>
              <w:rPr>
                <w:sz w:val="14"/>
              </w:rPr>
              <w:t>Community</w:t>
            </w:r>
            <w:r>
              <w:rPr>
                <w:spacing w:val="-2"/>
                <w:sz w:val="14"/>
              </w:rPr>
              <w:t> </w:t>
            </w:r>
            <w:r>
              <w:rPr>
                <w:sz w:val="14"/>
              </w:rPr>
              <w:t>casual</w:t>
            </w:r>
            <w:r>
              <w:rPr>
                <w:spacing w:val="-3"/>
                <w:sz w:val="14"/>
              </w:rPr>
              <w:t> </w:t>
            </w:r>
            <w:r>
              <w:rPr>
                <w:sz w:val="14"/>
              </w:rPr>
              <w:t>hour</w:t>
            </w:r>
            <w:r>
              <w:rPr>
                <w:spacing w:val="-2"/>
                <w:sz w:val="14"/>
              </w:rPr>
              <w:t> </w:t>
            </w:r>
            <w:r>
              <w:rPr>
                <w:sz w:val="14"/>
              </w:rPr>
              <w:t>rate</w:t>
            </w:r>
            <w:r>
              <w:rPr>
                <w:spacing w:val="-2"/>
                <w:sz w:val="14"/>
              </w:rPr>
              <w:t> </w:t>
            </w:r>
            <w:r>
              <w:rPr>
                <w:sz w:val="14"/>
              </w:rPr>
              <w:t>-</w:t>
            </w:r>
            <w:r>
              <w:rPr>
                <w:spacing w:val="-5"/>
                <w:sz w:val="14"/>
              </w:rPr>
              <w:t> </w:t>
            </w:r>
            <w:r>
              <w:rPr>
                <w:sz w:val="14"/>
              </w:rPr>
              <w:t>Jul</w:t>
            </w:r>
            <w:r>
              <w:rPr>
                <w:spacing w:val="-4"/>
                <w:sz w:val="14"/>
              </w:rPr>
              <w:t> </w:t>
            </w:r>
            <w:r>
              <w:rPr>
                <w:sz w:val="14"/>
              </w:rPr>
              <w:t>to</w:t>
            </w:r>
            <w:r>
              <w:rPr>
                <w:spacing w:val="-2"/>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33.17</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35.66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Croydon</w:t>
            </w:r>
            <w:r>
              <w:rPr>
                <w:spacing w:val="-6"/>
                <w:sz w:val="14"/>
              </w:rPr>
              <w:t> </w:t>
            </w:r>
            <w:r>
              <w:rPr>
                <w:sz w:val="14"/>
              </w:rPr>
              <w:t>Swimming</w:t>
            </w:r>
            <w:r>
              <w:rPr>
                <w:spacing w:val="-4"/>
                <w:sz w:val="14"/>
              </w:rPr>
              <w:t> </w:t>
            </w:r>
            <w:r>
              <w:rPr>
                <w:sz w:val="14"/>
              </w:rPr>
              <w:t>Club</w:t>
            </w:r>
            <w:r>
              <w:rPr>
                <w:spacing w:val="-5"/>
                <w:sz w:val="14"/>
              </w:rPr>
              <w:t> </w:t>
            </w:r>
            <w:r>
              <w:rPr>
                <w:sz w:val="14"/>
              </w:rPr>
              <w:t>Community</w:t>
            </w:r>
            <w:r>
              <w:rPr>
                <w:spacing w:val="-2"/>
                <w:sz w:val="14"/>
              </w:rPr>
              <w:t> </w:t>
            </w:r>
            <w:r>
              <w:rPr>
                <w:sz w:val="14"/>
              </w:rPr>
              <w:t>casual</w:t>
            </w:r>
            <w:r>
              <w:rPr>
                <w:spacing w:val="-3"/>
                <w:sz w:val="14"/>
              </w:rPr>
              <w:t> </w:t>
            </w:r>
            <w:r>
              <w:rPr>
                <w:sz w:val="14"/>
              </w:rPr>
              <w:t>hour</w:t>
            </w:r>
            <w:r>
              <w:rPr>
                <w:spacing w:val="-2"/>
                <w:sz w:val="14"/>
              </w:rPr>
              <w:t> </w:t>
            </w:r>
            <w:r>
              <w:rPr>
                <w:sz w:val="14"/>
              </w:rPr>
              <w:t>rate</w:t>
            </w:r>
            <w:r>
              <w:rPr>
                <w:spacing w:val="-2"/>
                <w:sz w:val="14"/>
              </w:rPr>
              <w:t> </w:t>
            </w:r>
            <w:r>
              <w:rPr>
                <w:sz w:val="14"/>
              </w:rPr>
              <w:t>-</w:t>
            </w:r>
            <w:r>
              <w:rPr>
                <w:spacing w:val="-4"/>
                <w:sz w:val="14"/>
              </w:rPr>
              <w:t> </w:t>
            </w:r>
            <w:r>
              <w:rPr>
                <w:sz w:val="14"/>
              </w:rPr>
              <w:t>Jan</w:t>
            </w:r>
            <w:r>
              <w:rPr>
                <w:spacing w:val="-5"/>
                <w:sz w:val="14"/>
              </w:rPr>
              <w:t> </w:t>
            </w:r>
            <w:r>
              <w:rPr>
                <w:sz w:val="14"/>
              </w:rPr>
              <w:t>to</w:t>
            </w:r>
            <w:r>
              <w:rPr>
                <w:spacing w:val="-4"/>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33.17</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35.66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Croydon</w:t>
            </w:r>
            <w:r>
              <w:rPr>
                <w:spacing w:val="-6"/>
                <w:sz w:val="14"/>
              </w:rPr>
              <w:t> </w:t>
            </w:r>
            <w:r>
              <w:rPr>
                <w:sz w:val="14"/>
              </w:rPr>
              <w:t>Swimming</w:t>
            </w:r>
            <w:r>
              <w:rPr>
                <w:spacing w:val="-4"/>
                <w:sz w:val="14"/>
              </w:rPr>
              <w:t> </w:t>
            </w:r>
            <w:r>
              <w:rPr>
                <w:sz w:val="14"/>
              </w:rPr>
              <w:t>Club</w:t>
            </w:r>
            <w:r>
              <w:rPr>
                <w:spacing w:val="-5"/>
                <w:sz w:val="14"/>
              </w:rPr>
              <w:t> </w:t>
            </w:r>
            <w:r>
              <w:rPr>
                <w:sz w:val="14"/>
              </w:rPr>
              <w:t>Community</w:t>
            </w:r>
            <w:r>
              <w:rPr>
                <w:spacing w:val="-1"/>
                <w:sz w:val="14"/>
              </w:rPr>
              <w:t> </w:t>
            </w:r>
            <w:r>
              <w:rPr>
                <w:sz w:val="14"/>
              </w:rPr>
              <w:t>regular</w:t>
            </w:r>
            <w:r>
              <w:rPr>
                <w:spacing w:val="-5"/>
                <w:sz w:val="14"/>
              </w:rPr>
              <w:t> </w:t>
            </w:r>
            <w:r>
              <w:rPr>
                <w:sz w:val="14"/>
              </w:rPr>
              <w:t>hour</w:t>
            </w:r>
            <w:r>
              <w:rPr>
                <w:spacing w:val="-4"/>
                <w:sz w:val="14"/>
              </w:rPr>
              <w:t> </w:t>
            </w:r>
            <w:r>
              <w:rPr>
                <w:sz w:val="14"/>
              </w:rPr>
              <w:t>rate</w:t>
            </w:r>
            <w:r>
              <w:rPr>
                <w:spacing w:val="-2"/>
                <w:sz w:val="14"/>
              </w:rPr>
              <w:t> </w:t>
            </w:r>
            <w:r>
              <w:rPr>
                <w:sz w:val="14"/>
              </w:rPr>
              <w:t>-</w:t>
            </w:r>
            <w:r>
              <w:rPr>
                <w:spacing w:val="-4"/>
                <w:sz w:val="14"/>
              </w:rPr>
              <w:t> </w:t>
            </w:r>
            <w:r>
              <w:rPr>
                <w:sz w:val="14"/>
              </w:rPr>
              <w:t>Jul</w:t>
            </w:r>
            <w:r>
              <w:rPr>
                <w:spacing w:val="-4"/>
                <w:sz w:val="14"/>
              </w:rPr>
              <w:t> </w:t>
            </w:r>
            <w:r>
              <w:rPr>
                <w:sz w:val="14"/>
              </w:rPr>
              <w:t>to</w:t>
            </w:r>
            <w:r>
              <w:rPr>
                <w:spacing w:val="-4"/>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26.75</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28.76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Croydon</w:t>
            </w:r>
            <w:r>
              <w:rPr>
                <w:spacing w:val="-6"/>
                <w:sz w:val="14"/>
              </w:rPr>
              <w:t> </w:t>
            </w:r>
            <w:r>
              <w:rPr>
                <w:sz w:val="14"/>
              </w:rPr>
              <w:t>Swimming</w:t>
            </w:r>
            <w:r>
              <w:rPr>
                <w:spacing w:val="-5"/>
                <w:sz w:val="14"/>
              </w:rPr>
              <w:t> </w:t>
            </w:r>
            <w:r>
              <w:rPr>
                <w:sz w:val="14"/>
              </w:rPr>
              <w:t>Club</w:t>
            </w:r>
            <w:r>
              <w:rPr>
                <w:spacing w:val="-4"/>
                <w:sz w:val="14"/>
              </w:rPr>
              <w:t> </w:t>
            </w:r>
            <w:r>
              <w:rPr>
                <w:sz w:val="14"/>
              </w:rPr>
              <w:t>Community</w:t>
            </w:r>
            <w:r>
              <w:rPr>
                <w:spacing w:val="-2"/>
                <w:sz w:val="14"/>
              </w:rPr>
              <w:t> </w:t>
            </w:r>
            <w:r>
              <w:rPr>
                <w:sz w:val="14"/>
              </w:rPr>
              <w:t>regular</w:t>
            </w:r>
            <w:r>
              <w:rPr>
                <w:spacing w:val="-4"/>
                <w:sz w:val="14"/>
              </w:rPr>
              <w:t> </w:t>
            </w:r>
            <w:r>
              <w:rPr>
                <w:sz w:val="14"/>
              </w:rPr>
              <w:t>hour</w:t>
            </w:r>
            <w:r>
              <w:rPr>
                <w:spacing w:val="-5"/>
                <w:sz w:val="14"/>
              </w:rPr>
              <w:t> </w:t>
            </w:r>
            <w:r>
              <w:rPr>
                <w:sz w:val="14"/>
              </w:rPr>
              <w:t>rate</w:t>
            </w:r>
            <w:r>
              <w:rPr>
                <w:spacing w:val="-2"/>
                <w:sz w:val="14"/>
              </w:rPr>
              <w:t> </w:t>
            </w:r>
            <w:r>
              <w:rPr>
                <w:sz w:val="14"/>
              </w:rPr>
              <w:t>-</w:t>
            </w:r>
            <w:r>
              <w:rPr>
                <w:spacing w:val="-4"/>
                <w:sz w:val="14"/>
              </w:rPr>
              <w:t> </w:t>
            </w:r>
            <w:r>
              <w:rPr>
                <w:sz w:val="14"/>
              </w:rPr>
              <w:t>Jan</w:t>
            </w:r>
            <w:r>
              <w:rPr>
                <w:spacing w:val="-3"/>
                <w:sz w:val="14"/>
              </w:rPr>
              <w:t> </w:t>
            </w:r>
            <w:r>
              <w:rPr>
                <w:sz w:val="14"/>
              </w:rPr>
              <w:t>to</w:t>
            </w:r>
            <w:r>
              <w:rPr>
                <w:spacing w:val="-1"/>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26.75</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28.76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Croydon</w:t>
            </w:r>
            <w:r>
              <w:rPr>
                <w:spacing w:val="-6"/>
                <w:sz w:val="14"/>
              </w:rPr>
              <w:t> </w:t>
            </w:r>
            <w:r>
              <w:rPr>
                <w:sz w:val="14"/>
              </w:rPr>
              <w:t>Swimming</w:t>
            </w:r>
            <w:r>
              <w:rPr>
                <w:spacing w:val="-4"/>
                <w:sz w:val="14"/>
              </w:rPr>
              <w:t> </w:t>
            </w:r>
            <w:r>
              <w:rPr>
                <w:sz w:val="14"/>
              </w:rPr>
              <w:t>Club</w:t>
            </w:r>
            <w:r>
              <w:rPr>
                <w:spacing w:val="-5"/>
                <w:sz w:val="14"/>
              </w:rPr>
              <w:t> </w:t>
            </w:r>
            <w:r>
              <w:rPr>
                <w:sz w:val="14"/>
              </w:rPr>
              <w:t>Hall</w:t>
            </w:r>
            <w:r>
              <w:rPr>
                <w:spacing w:val="-2"/>
                <w:sz w:val="14"/>
              </w:rPr>
              <w:t> </w:t>
            </w:r>
            <w:r>
              <w:rPr>
                <w:sz w:val="14"/>
              </w:rPr>
              <w:t>Community</w:t>
            </w:r>
            <w:r>
              <w:rPr>
                <w:spacing w:val="-3"/>
                <w:sz w:val="14"/>
              </w:rPr>
              <w:t> </w:t>
            </w:r>
            <w:r>
              <w:rPr>
                <w:sz w:val="14"/>
              </w:rPr>
              <w:t>Night</w:t>
            </w:r>
            <w:r>
              <w:rPr>
                <w:spacing w:val="-4"/>
                <w:sz w:val="14"/>
              </w:rPr>
              <w:t> </w:t>
            </w:r>
            <w:r>
              <w:rPr>
                <w:sz w:val="14"/>
              </w:rPr>
              <w:t>Hire</w:t>
            </w:r>
            <w:r>
              <w:rPr>
                <w:spacing w:val="-1"/>
                <w:sz w:val="14"/>
              </w:rPr>
              <w:t> </w:t>
            </w:r>
            <w:r>
              <w:rPr>
                <w:sz w:val="14"/>
              </w:rPr>
              <w:t>-</w:t>
            </w:r>
            <w:r>
              <w:rPr>
                <w:spacing w:val="-5"/>
                <w:sz w:val="14"/>
              </w:rPr>
              <w:t> </w:t>
            </w:r>
            <w:r>
              <w:rPr>
                <w:sz w:val="14"/>
              </w:rPr>
              <w:t>Jul to</w:t>
            </w:r>
            <w:r>
              <w:rPr>
                <w:spacing w:val="-3"/>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327.42</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351.98</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Croydon</w:t>
            </w:r>
            <w:r>
              <w:rPr>
                <w:spacing w:val="-6"/>
                <w:sz w:val="14"/>
              </w:rPr>
              <w:t> </w:t>
            </w:r>
            <w:r>
              <w:rPr>
                <w:sz w:val="14"/>
              </w:rPr>
              <w:t>Swimming</w:t>
            </w:r>
            <w:r>
              <w:rPr>
                <w:spacing w:val="-4"/>
                <w:sz w:val="14"/>
              </w:rPr>
              <w:t> </w:t>
            </w:r>
            <w:r>
              <w:rPr>
                <w:sz w:val="14"/>
              </w:rPr>
              <w:t>Club</w:t>
            </w:r>
            <w:r>
              <w:rPr>
                <w:spacing w:val="-4"/>
                <w:sz w:val="14"/>
              </w:rPr>
              <w:t> </w:t>
            </w:r>
            <w:r>
              <w:rPr>
                <w:sz w:val="14"/>
              </w:rPr>
              <w:t>Hall</w:t>
            </w:r>
            <w:r>
              <w:rPr>
                <w:spacing w:val="-2"/>
                <w:sz w:val="14"/>
              </w:rPr>
              <w:t> </w:t>
            </w:r>
            <w:r>
              <w:rPr>
                <w:sz w:val="14"/>
              </w:rPr>
              <w:t>Community</w:t>
            </w:r>
            <w:r>
              <w:rPr>
                <w:spacing w:val="-3"/>
                <w:sz w:val="14"/>
              </w:rPr>
              <w:t> </w:t>
            </w:r>
            <w:r>
              <w:rPr>
                <w:sz w:val="14"/>
              </w:rPr>
              <w:t>Night</w:t>
            </w:r>
            <w:r>
              <w:rPr>
                <w:spacing w:val="-4"/>
                <w:sz w:val="14"/>
              </w:rPr>
              <w:t> </w:t>
            </w:r>
            <w:r>
              <w:rPr>
                <w:sz w:val="14"/>
              </w:rPr>
              <w:t>Hire</w:t>
            </w:r>
            <w:r>
              <w:rPr>
                <w:spacing w:val="-1"/>
                <w:sz w:val="14"/>
              </w:rPr>
              <w:t> </w:t>
            </w:r>
            <w:r>
              <w:rPr>
                <w:sz w:val="14"/>
              </w:rPr>
              <w:t>-</w:t>
            </w:r>
            <w:r>
              <w:rPr>
                <w:spacing w:val="-4"/>
                <w:sz w:val="14"/>
              </w:rPr>
              <w:t> </w:t>
            </w:r>
            <w:r>
              <w:rPr>
                <w:sz w:val="14"/>
              </w:rPr>
              <w:t>Jan</w:t>
            </w:r>
            <w:r>
              <w:rPr>
                <w:spacing w:val="-4"/>
                <w:sz w:val="14"/>
              </w:rPr>
              <w:t> </w:t>
            </w:r>
            <w:r>
              <w:rPr>
                <w:sz w:val="14"/>
              </w:rPr>
              <w:t>to</w:t>
            </w:r>
            <w:r>
              <w:rPr>
                <w:spacing w:val="-4"/>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327.42</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351.98</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Croydon</w:t>
            </w:r>
            <w:r>
              <w:rPr>
                <w:spacing w:val="-6"/>
                <w:sz w:val="14"/>
              </w:rPr>
              <w:t> </w:t>
            </w:r>
            <w:r>
              <w:rPr>
                <w:sz w:val="14"/>
              </w:rPr>
              <w:t>Swimming</w:t>
            </w:r>
            <w:r>
              <w:rPr>
                <w:spacing w:val="-5"/>
                <w:sz w:val="14"/>
              </w:rPr>
              <w:t> </w:t>
            </w:r>
            <w:r>
              <w:rPr>
                <w:sz w:val="14"/>
              </w:rPr>
              <w:t>Club</w:t>
            </w:r>
            <w:r>
              <w:rPr>
                <w:spacing w:val="-5"/>
                <w:sz w:val="14"/>
              </w:rPr>
              <w:t> </w:t>
            </w:r>
            <w:r>
              <w:rPr>
                <w:sz w:val="14"/>
              </w:rPr>
              <w:t>Corporate</w:t>
            </w:r>
            <w:r>
              <w:rPr>
                <w:spacing w:val="-5"/>
                <w:sz w:val="14"/>
              </w:rPr>
              <w:t> </w:t>
            </w:r>
            <w:r>
              <w:rPr>
                <w:sz w:val="14"/>
              </w:rPr>
              <w:t>casual</w:t>
            </w:r>
            <w:r>
              <w:rPr>
                <w:spacing w:val="-1"/>
                <w:sz w:val="14"/>
              </w:rPr>
              <w:t> </w:t>
            </w:r>
            <w:r>
              <w:rPr>
                <w:sz w:val="14"/>
              </w:rPr>
              <w:t>hour</w:t>
            </w:r>
            <w:r>
              <w:rPr>
                <w:spacing w:val="-3"/>
                <w:sz w:val="14"/>
              </w:rPr>
              <w:t> </w:t>
            </w:r>
            <w:r>
              <w:rPr>
                <w:sz w:val="14"/>
              </w:rPr>
              <w:t>rate</w:t>
            </w:r>
            <w:r>
              <w:rPr>
                <w:spacing w:val="-5"/>
                <w:sz w:val="14"/>
              </w:rPr>
              <w:t> </w:t>
            </w:r>
            <w:r>
              <w:rPr>
                <w:sz w:val="14"/>
              </w:rPr>
              <w:t>-</w:t>
            </w:r>
            <w:r>
              <w:rPr>
                <w:spacing w:val="-2"/>
                <w:sz w:val="14"/>
              </w:rPr>
              <w:t> </w:t>
            </w:r>
            <w:r>
              <w:rPr>
                <w:sz w:val="14"/>
              </w:rPr>
              <w:t>Jul</w:t>
            </w:r>
            <w:r>
              <w:rPr>
                <w:spacing w:val="-1"/>
                <w:sz w:val="14"/>
              </w:rPr>
              <w:t> </w:t>
            </w:r>
            <w:r>
              <w:rPr>
                <w:sz w:val="14"/>
              </w:rPr>
              <w:t>to</w:t>
            </w:r>
            <w:r>
              <w:rPr>
                <w:spacing w:val="-4"/>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39.59</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42.56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Croydon</w:t>
            </w:r>
            <w:r>
              <w:rPr>
                <w:spacing w:val="-8"/>
                <w:sz w:val="14"/>
              </w:rPr>
              <w:t> </w:t>
            </w:r>
            <w:r>
              <w:rPr>
                <w:sz w:val="14"/>
              </w:rPr>
              <w:t>Swimming</w:t>
            </w:r>
            <w:r>
              <w:rPr>
                <w:spacing w:val="-5"/>
                <w:sz w:val="14"/>
              </w:rPr>
              <w:t> </w:t>
            </w:r>
            <w:r>
              <w:rPr>
                <w:sz w:val="14"/>
              </w:rPr>
              <w:t>Club</w:t>
            </w:r>
            <w:r>
              <w:rPr>
                <w:spacing w:val="-5"/>
                <w:sz w:val="14"/>
              </w:rPr>
              <w:t> </w:t>
            </w:r>
            <w:r>
              <w:rPr>
                <w:sz w:val="14"/>
              </w:rPr>
              <w:t>Corporate</w:t>
            </w:r>
            <w:r>
              <w:rPr>
                <w:spacing w:val="-5"/>
                <w:sz w:val="14"/>
              </w:rPr>
              <w:t> </w:t>
            </w:r>
            <w:r>
              <w:rPr>
                <w:sz w:val="14"/>
              </w:rPr>
              <w:t>casual</w:t>
            </w:r>
            <w:r>
              <w:rPr>
                <w:spacing w:val="-1"/>
                <w:sz w:val="14"/>
              </w:rPr>
              <w:t> </w:t>
            </w:r>
            <w:r>
              <w:rPr>
                <w:sz w:val="14"/>
              </w:rPr>
              <w:t>hour</w:t>
            </w:r>
            <w:r>
              <w:rPr>
                <w:spacing w:val="-2"/>
                <w:sz w:val="14"/>
              </w:rPr>
              <w:t> </w:t>
            </w:r>
            <w:r>
              <w:rPr>
                <w:sz w:val="14"/>
              </w:rPr>
              <w:t>rate</w:t>
            </w:r>
            <w:r>
              <w:rPr>
                <w:spacing w:val="-5"/>
                <w:sz w:val="14"/>
              </w:rPr>
              <w:t> </w:t>
            </w:r>
            <w:r>
              <w:rPr>
                <w:sz w:val="14"/>
              </w:rPr>
              <w:t>-</w:t>
            </w:r>
            <w:r>
              <w:rPr>
                <w:spacing w:val="-2"/>
                <w:sz w:val="14"/>
              </w:rPr>
              <w:t> </w:t>
            </w:r>
            <w:r>
              <w:rPr>
                <w:sz w:val="14"/>
              </w:rPr>
              <w:t>Jan</w:t>
            </w:r>
            <w:r>
              <w:rPr>
                <w:spacing w:val="-4"/>
                <w:sz w:val="14"/>
              </w:rPr>
              <w:t> </w:t>
            </w:r>
            <w:r>
              <w:rPr>
                <w:sz w:val="14"/>
              </w:rPr>
              <w:t>to</w:t>
            </w:r>
            <w:r>
              <w:rPr>
                <w:spacing w:val="-2"/>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39.59</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42.56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Croydon</w:t>
            </w:r>
            <w:r>
              <w:rPr>
                <w:spacing w:val="-6"/>
                <w:sz w:val="14"/>
              </w:rPr>
              <w:t> </w:t>
            </w:r>
            <w:r>
              <w:rPr>
                <w:sz w:val="14"/>
              </w:rPr>
              <w:t>Swimming</w:t>
            </w:r>
            <w:r>
              <w:rPr>
                <w:spacing w:val="-5"/>
                <w:sz w:val="14"/>
              </w:rPr>
              <w:t> </w:t>
            </w:r>
            <w:r>
              <w:rPr>
                <w:sz w:val="14"/>
              </w:rPr>
              <w:t>Club</w:t>
            </w:r>
            <w:r>
              <w:rPr>
                <w:spacing w:val="-4"/>
                <w:sz w:val="14"/>
              </w:rPr>
              <w:t> </w:t>
            </w:r>
            <w:r>
              <w:rPr>
                <w:sz w:val="14"/>
              </w:rPr>
              <w:t>Corporate</w:t>
            </w:r>
            <w:r>
              <w:rPr>
                <w:spacing w:val="-5"/>
                <w:sz w:val="14"/>
              </w:rPr>
              <w:t> </w:t>
            </w:r>
            <w:r>
              <w:rPr>
                <w:sz w:val="14"/>
              </w:rPr>
              <w:t>regular</w:t>
            </w:r>
            <w:r>
              <w:rPr>
                <w:spacing w:val="-2"/>
                <w:sz w:val="14"/>
              </w:rPr>
              <w:t> </w:t>
            </w:r>
            <w:r>
              <w:rPr>
                <w:sz w:val="14"/>
              </w:rPr>
              <w:t>hour</w:t>
            </w:r>
            <w:r>
              <w:rPr>
                <w:spacing w:val="-2"/>
                <w:sz w:val="14"/>
              </w:rPr>
              <w:t> </w:t>
            </w:r>
            <w:r>
              <w:rPr>
                <w:sz w:val="14"/>
              </w:rPr>
              <w:t>rate</w:t>
            </w:r>
            <w:r>
              <w:rPr>
                <w:spacing w:val="-1"/>
                <w:sz w:val="14"/>
              </w:rPr>
              <w:t> </w:t>
            </w:r>
            <w:r>
              <w:rPr>
                <w:sz w:val="14"/>
              </w:rPr>
              <w:t>-</w:t>
            </w:r>
            <w:r>
              <w:rPr>
                <w:spacing w:val="-5"/>
                <w:sz w:val="14"/>
              </w:rPr>
              <w:t> </w:t>
            </w:r>
            <w:r>
              <w:rPr>
                <w:sz w:val="14"/>
              </w:rPr>
              <w:t>Jul</w:t>
            </w:r>
            <w:r>
              <w:rPr>
                <w:spacing w:val="-1"/>
                <w:sz w:val="14"/>
              </w:rPr>
              <w:t> </w:t>
            </w:r>
            <w:r>
              <w:rPr>
                <w:sz w:val="14"/>
              </w:rPr>
              <w:t>to</w:t>
            </w:r>
            <w:r>
              <w:rPr>
                <w:spacing w:val="-2"/>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33.17</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35.66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Croydon</w:t>
            </w:r>
            <w:r>
              <w:rPr>
                <w:spacing w:val="-6"/>
                <w:sz w:val="14"/>
              </w:rPr>
              <w:t> </w:t>
            </w:r>
            <w:r>
              <w:rPr>
                <w:sz w:val="14"/>
              </w:rPr>
              <w:t>Swimming</w:t>
            </w:r>
            <w:r>
              <w:rPr>
                <w:spacing w:val="-4"/>
                <w:sz w:val="14"/>
              </w:rPr>
              <w:t> </w:t>
            </w:r>
            <w:r>
              <w:rPr>
                <w:sz w:val="14"/>
              </w:rPr>
              <w:t>Club</w:t>
            </w:r>
            <w:r>
              <w:rPr>
                <w:spacing w:val="-5"/>
                <w:sz w:val="14"/>
              </w:rPr>
              <w:t> </w:t>
            </w:r>
            <w:r>
              <w:rPr>
                <w:sz w:val="14"/>
              </w:rPr>
              <w:t>Corporate</w:t>
            </w:r>
            <w:r>
              <w:rPr>
                <w:spacing w:val="-4"/>
                <w:sz w:val="14"/>
              </w:rPr>
              <w:t> </w:t>
            </w:r>
            <w:r>
              <w:rPr>
                <w:sz w:val="14"/>
              </w:rPr>
              <w:t>regular</w:t>
            </w:r>
            <w:r>
              <w:rPr>
                <w:spacing w:val="-2"/>
                <w:sz w:val="14"/>
              </w:rPr>
              <w:t> </w:t>
            </w:r>
            <w:r>
              <w:rPr>
                <w:sz w:val="14"/>
              </w:rPr>
              <w:t>hour</w:t>
            </w:r>
            <w:r>
              <w:rPr>
                <w:spacing w:val="-2"/>
                <w:sz w:val="14"/>
              </w:rPr>
              <w:t> </w:t>
            </w:r>
            <w:r>
              <w:rPr>
                <w:sz w:val="14"/>
              </w:rPr>
              <w:t>rate -</w:t>
            </w:r>
            <w:r>
              <w:rPr>
                <w:spacing w:val="-5"/>
                <w:sz w:val="14"/>
              </w:rPr>
              <w:t> </w:t>
            </w:r>
            <w:r>
              <w:rPr>
                <w:sz w:val="14"/>
              </w:rPr>
              <w:t>Jan</w:t>
            </w:r>
            <w:r>
              <w:rPr>
                <w:spacing w:val="-4"/>
                <w:sz w:val="14"/>
              </w:rPr>
              <w:t> </w:t>
            </w:r>
            <w:r>
              <w:rPr>
                <w:sz w:val="14"/>
              </w:rPr>
              <w:t>to</w:t>
            </w:r>
            <w:r>
              <w:rPr>
                <w:spacing w:val="-5"/>
                <w:sz w:val="14"/>
              </w:rPr>
              <w:t> 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33.17</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35.66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Croydon</w:t>
            </w:r>
            <w:r>
              <w:rPr>
                <w:spacing w:val="-6"/>
                <w:sz w:val="14"/>
              </w:rPr>
              <w:t> </w:t>
            </w:r>
            <w:r>
              <w:rPr>
                <w:sz w:val="14"/>
              </w:rPr>
              <w:t>Swimming</w:t>
            </w:r>
            <w:r>
              <w:rPr>
                <w:spacing w:val="-4"/>
                <w:sz w:val="14"/>
              </w:rPr>
              <w:t> </w:t>
            </w:r>
            <w:r>
              <w:rPr>
                <w:sz w:val="14"/>
              </w:rPr>
              <w:t>Club</w:t>
            </w:r>
            <w:r>
              <w:rPr>
                <w:spacing w:val="-4"/>
                <w:sz w:val="14"/>
              </w:rPr>
              <w:t> </w:t>
            </w:r>
            <w:r>
              <w:rPr>
                <w:sz w:val="14"/>
              </w:rPr>
              <w:t>Hall</w:t>
            </w:r>
            <w:r>
              <w:rPr>
                <w:spacing w:val="-4"/>
                <w:sz w:val="14"/>
              </w:rPr>
              <w:t> </w:t>
            </w:r>
            <w:r>
              <w:rPr>
                <w:sz w:val="14"/>
              </w:rPr>
              <w:t>Corporate</w:t>
            </w:r>
            <w:r>
              <w:rPr>
                <w:spacing w:val="-3"/>
                <w:sz w:val="14"/>
              </w:rPr>
              <w:t> </w:t>
            </w:r>
            <w:r>
              <w:rPr>
                <w:sz w:val="14"/>
              </w:rPr>
              <w:t>Night</w:t>
            </w:r>
            <w:r>
              <w:rPr>
                <w:spacing w:val="-3"/>
                <w:sz w:val="14"/>
              </w:rPr>
              <w:t> </w:t>
            </w:r>
            <w:r>
              <w:rPr>
                <w:sz w:val="14"/>
              </w:rPr>
              <w:t>Hire</w:t>
            </w:r>
            <w:r>
              <w:rPr>
                <w:spacing w:val="-3"/>
                <w:sz w:val="14"/>
              </w:rPr>
              <w:t> </w:t>
            </w:r>
            <w:r>
              <w:rPr>
                <w:sz w:val="14"/>
              </w:rPr>
              <w:t>-</w:t>
            </w:r>
            <w:r>
              <w:rPr>
                <w:spacing w:val="-4"/>
                <w:sz w:val="14"/>
              </w:rPr>
              <w:t> </w:t>
            </w:r>
            <w:r>
              <w:rPr>
                <w:sz w:val="14"/>
              </w:rPr>
              <w:t>Jul</w:t>
            </w:r>
            <w:r>
              <w:rPr>
                <w:spacing w:val="-1"/>
                <w:sz w:val="14"/>
              </w:rPr>
              <w:t> </w:t>
            </w:r>
            <w:r>
              <w:rPr>
                <w:sz w:val="14"/>
              </w:rPr>
              <w:t>to</w:t>
            </w:r>
            <w:r>
              <w:rPr>
                <w:spacing w:val="-2"/>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355.24</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381.88</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Croydon</w:t>
            </w:r>
            <w:r>
              <w:rPr>
                <w:spacing w:val="-6"/>
                <w:sz w:val="14"/>
              </w:rPr>
              <w:t> </w:t>
            </w:r>
            <w:r>
              <w:rPr>
                <w:sz w:val="14"/>
              </w:rPr>
              <w:t>Swimming</w:t>
            </w:r>
            <w:r>
              <w:rPr>
                <w:spacing w:val="-4"/>
                <w:sz w:val="14"/>
              </w:rPr>
              <w:t> </w:t>
            </w:r>
            <w:r>
              <w:rPr>
                <w:sz w:val="14"/>
              </w:rPr>
              <w:t>Club</w:t>
            </w:r>
            <w:r>
              <w:rPr>
                <w:spacing w:val="-4"/>
                <w:sz w:val="14"/>
              </w:rPr>
              <w:t> </w:t>
            </w:r>
            <w:r>
              <w:rPr>
                <w:sz w:val="14"/>
              </w:rPr>
              <w:t>Hall</w:t>
            </w:r>
            <w:r>
              <w:rPr>
                <w:spacing w:val="-3"/>
                <w:sz w:val="14"/>
              </w:rPr>
              <w:t> </w:t>
            </w:r>
            <w:r>
              <w:rPr>
                <w:sz w:val="14"/>
              </w:rPr>
              <w:t>Corporate</w:t>
            </w:r>
            <w:r>
              <w:rPr>
                <w:spacing w:val="-3"/>
                <w:sz w:val="14"/>
              </w:rPr>
              <w:t> </w:t>
            </w:r>
            <w:r>
              <w:rPr>
                <w:sz w:val="14"/>
              </w:rPr>
              <w:t>Night</w:t>
            </w:r>
            <w:r>
              <w:rPr>
                <w:spacing w:val="-3"/>
                <w:sz w:val="14"/>
              </w:rPr>
              <w:t> </w:t>
            </w:r>
            <w:r>
              <w:rPr>
                <w:sz w:val="14"/>
              </w:rPr>
              <w:t>Hire</w:t>
            </w:r>
            <w:r>
              <w:rPr>
                <w:spacing w:val="-2"/>
                <w:sz w:val="14"/>
              </w:rPr>
              <w:t> </w:t>
            </w:r>
            <w:r>
              <w:rPr>
                <w:sz w:val="14"/>
              </w:rPr>
              <w:t>-</w:t>
            </w:r>
            <w:r>
              <w:rPr>
                <w:spacing w:val="-4"/>
                <w:sz w:val="14"/>
              </w:rPr>
              <w:t> </w:t>
            </w:r>
            <w:r>
              <w:rPr>
                <w:sz w:val="14"/>
              </w:rPr>
              <w:t>Jan</w:t>
            </w:r>
            <w:r>
              <w:rPr>
                <w:spacing w:val="-4"/>
                <w:sz w:val="14"/>
              </w:rPr>
              <w:t> </w:t>
            </w:r>
            <w:r>
              <w:rPr>
                <w:sz w:val="14"/>
              </w:rPr>
              <w:t>to</w:t>
            </w:r>
            <w:r>
              <w:rPr>
                <w:spacing w:val="-4"/>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355.24</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381.88</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Casual</w:t>
            </w:r>
            <w:r>
              <w:rPr>
                <w:spacing w:val="-5"/>
                <w:sz w:val="14"/>
              </w:rPr>
              <w:t> </w:t>
            </w:r>
            <w:r>
              <w:rPr>
                <w:sz w:val="14"/>
              </w:rPr>
              <w:t>Cleaner</w:t>
            </w:r>
            <w:r>
              <w:rPr>
                <w:spacing w:val="-2"/>
                <w:sz w:val="14"/>
              </w:rPr>
              <w:t> </w:t>
            </w:r>
            <w:r>
              <w:rPr>
                <w:sz w:val="14"/>
              </w:rPr>
              <w:t>3</w:t>
            </w:r>
            <w:r>
              <w:rPr>
                <w:spacing w:val="-6"/>
                <w:sz w:val="14"/>
              </w:rPr>
              <w:t> </w:t>
            </w:r>
            <w:r>
              <w:rPr>
                <w:spacing w:val="-2"/>
                <w:sz w:val="14"/>
              </w:rPr>
              <w:t>hours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128.40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138.03</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Belmont</w:t>
            </w:r>
            <w:r>
              <w:rPr>
                <w:b/>
                <w:spacing w:val="-6"/>
                <w:sz w:val="14"/>
              </w:rPr>
              <w:t> </w:t>
            </w:r>
            <w:r>
              <w:rPr>
                <w:b/>
                <w:spacing w:val="-2"/>
                <w:sz w:val="14"/>
              </w:rPr>
              <w:t>Pavilion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Belmont</w:t>
            </w:r>
            <w:r>
              <w:rPr>
                <w:spacing w:val="-4"/>
                <w:sz w:val="14"/>
              </w:rPr>
              <w:t> </w:t>
            </w:r>
            <w:r>
              <w:rPr>
                <w:sz w:val="14"/>
              </w:rPr>
              <w:t>Park</w:t>
            </w:r>
            <w:r>
              <w:rPr>
                <w:spacing w:val="-1"/>
                <w:sz w:val="14"/>
              </w:rPr>
              <w:t> </w:t>
            </w:r>
            <w:r>
              <w:rPr>
                <w:sz w:val="14"/>
              </w:rPr>
              <w:t>Hall</w:t>
            </w:r>
            <w:r>
              <w:rPr>
                <w:spacing w:val="-4"/>
                <w:sz w:val="14"/>
              </w:rPr>
              <w:t> </w:t>
            </w:r>
            <w:r>
              <w:rPr>
                <w:sz w:val="14"/>
              </w:rPr>
              <w:t>Not</w:t>
            </w:r>
            <w:r>
              <w:rPr>
                <w:spacing w:val="-4"/>
                <w:sz w:val="14"/>
              </w:rPr>
              <w:t> </w:t>
            </w:r>
            <w:r>
              <w:rPr>
                <w:sz w:val="14"/>
              </w:rPr>
              <w:t>for</w:t>
            </w:r>
            <w:r>
              <w:rPr>
                <w:spacing w:val="-4"/>
                <w:sz w:val="14"/>
              </w:rPr>
              <w:t> </w:t>
            </w:r>
            <w:r>
              <w:rPr>
                <w:sz w:val="14"/>
              </w:rPr>
              <w:t>Profit</w:t>
            </w:r>
            <w:r>
              <w:rPr>
                <w:spacing w:val="-3"/>
                <w:sz w:val="14"/>
              </w:rPr>
              <w:t> </w:t>
            </w:r>
            <w:r>
              <w:rPr>
                <w:sz w:val="14"/>
              </w:rPr>
              <w:t>casual</w:t>
            </w:r>
            <w:r>
              <w:rPr>
                <w:spacing w:val="3"/>
                <w:sz w:val="14"/>
              </w:rPr>
              <w:t> </w:t>
            </w:r>
            <w:r>
              <w:rPr>
                <w:sz w:val="14"/>
              </w:rPr>
              <w:t>hour</w:t>
            </w:r>
            <w:r>
              <w:rPr>
                <w:spacing w:val="-5"/>
                <w:sz w:val="14"/>
              </w:rPr>
              <w:t> </w:t>
            </w:r>
            <w:r>
              <w:rPr>
                <w:sz w:val="14"/>
              </w:rPr>
              <w:t>rate</w:t>
            </w:r>
            <w:r>
              <w:rPr>
                <w:spacing w:val="-1"/>
                <w:sz w:val="14"/>
              </w:rPr>
              <w:t> </w:t>
            </w:r>
            <w:r>
              <w:rPr>
                <w:sz w:val="14"/>
              </w:rPr>
              <w:t>-</w:t>
            </w:r>
            <w:r>
              <w:rPr>
                <w:spacing w:val="-1"/>
                <w:sz w:val="14"/>
              </w:rPr>
              <w:t> </w:t>
            </w:r>
            <w:r>
              <w:rPr>
                <w:sz w:val="14"/>
              </w:rPr>
              <w:t>Jul</w:t>
            </w:r>
            <w:r>
              <w:rPr>
                <w:spacing w:val="-3"/>
                <w:sz w:val="14"/>
              </w:rPr>
              <w:t> </w:t>
            </w:r>
            <w:r>
              <w:rPr>
                <w:sz w:val="14"/>
              </w:rPr>
              <w:t>to</w:t>
            </w:r>
            <w:r>
              <w:rPr>
                <w:spacing w:val="-4"/>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29.96</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32.21</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Belmont</w:t>
            </w:r>
            <w:r>
              <w:rPr>
                <w:spacing w:val="-4"/>
                <w:sz w:val="14"/>
              </w:rPr>
              <w:t> </w:t>
            </w:r>
            <w:r>
              <w:rPr>
                <w:sz w:val="14"/>
              </w:rPr>
              <w:t>Park</w:t>
            </w:r>
            <w:r>
              <w:rPr>
                <w:spacing w:val="-2"/>
                <w:sz w:val="14"/>
              </w:rPr>
              <w:t> </w:t>
            </w:r>
            <w:r>
              <w:rPr>
                <w:sz w:val="14"/>
              </w:rPr>
              <w:t>Hall</w:t>
            </w:r>
            <w:r>
              <w:rPr>
                <w:spacing w:val="-4"/>
                <w:sz w:val="14"/>
              </w:rPr>
              <w:t> </w:t>
            </w:r>
            <w:r>
              <w:rPr>
                <w:sz w:val="14"/>
              </w:rPr>
              <w:t>Not</w:t>
            </w:r>
            <w:r>
              <w:rPr>
                <w:spacing w:val="-4"/>
                <w:sz w:val="14"/>
              </w:rPr>
              <w:t> </w:t>
            </w:r>
            <w:r>
              <w:rPr>
                <w:sz w:val="14"/>
              </w:rPr>
              <w:t>for</w:t>
            </w:r>
            <w:r>
              <w:rPr>
                <w:spacing w:val="-4"/>
                <w:sz w:val="14"/>
              </w:rPr>
              <w:t> </w:t>
            </w:r>
            <w:r>
              <w:rPr>
                <w:sz w:val="14"/>
              </w:rPr>
              <w:t>Profit</w:t>
            </w:r>
            <w:r>
              <w:rPr>
                <w:spacing w:val="-3"/>
                <w:sz w:val="14"/>
              </w:rPr>
              <w:t> </w:t>
            </w:r>
            <w:r>
              <w:rPr>
                <w:sz w:val="14"/>
              </w:rPr>
              <w:t>casual</w:t>
            </w:r>
            <w:r>
              <w:rPr>
                <w:spacing w:val="2"/>
                <w:sz w:val="14"/>
              </w:rPr>
              <w:t> </w:t>
            </w:r>
            <w:r>
              <w:rPr>
                <w:sz w:val="14"/>
              </w:rPr>
              <w:t>hour</w:t>
            </w:r>
            <w:r>
              <w:rPr>
                <w:spacing w:val="-5"/>
                <w:sz w:val="14"/>
              </w:rPr>
              <w:t> </w:t>
            </w:r>
            <w:r>
              <w:rPr>
                <w:sz w:val="14"/>
              </w:rPr>
              <w:t>rate</w:t>
            </w:r>
            <w:r>
              <w:rPr>
                <w:spacing w:val="-1"/>
                <w:sz w:val="14"/>
              </w:rPr>
              <w:t> </w:t>
            </w:r>
            <w:r>
              <w:rPr>
                <w:sz w:val="14"/>
              </w:rPr>
              <w:t>-</w:t>
            </w:r>
            <w:r>
              <w:rPr>
                <w:spacing w:val="-2"/>
                <w:sz w:val="14"/>
              </w:rPr>
              <w:t> </w:t>
            </w:r>
            <w:r>
              <w:rPr>
                <w:sz w:val="14"/>
              </w:rPr>
              <w:t>Jan</w:t>
            </w:r>
            <w:r>
              <w:rPr>
                <w:spacing w:val="-2"/>
                <w:sz w:val="14"/>
              </w:rPr>
              <w:t> </w:t>
            </w:r>
            <w:r>
              <w:rPr>
                <w:sz w:val="14"/>
              </w:rPr>
              <w:t>to</w:t>
            </w:r>
            <w:r>
              <w:rPr>
                <w:spacing w:val="-1"/>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29.96</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32.21</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Belmont</w:t>
            </w:r>
            <w:r>
              <w:rPr>
                <w:spacing w:val="-4"/>
                <w:sz w:val="14"/>
              </w:rPr>
              <w:t> </w:t>
            </w:r>
            <w:r>
              <w:rPr>
                <w:sz w:val="14"/>
              </w:rPr>
              <w:t>Park</w:t>
            </w:r>
            <w:r>
              <w:rPr>
                <w:spacing w:val="-1"/>
                <w:sz w:val="14"/>
              </w:rPr>
              <w:t> </w:t>
            </w:r>
            <w:r>
              <w:rPr>
                <w:sz w:val="14"/>
              </w:rPr>
              <w:t>Hall</w:t>
            </w:r>
            <w:r>
              <w:rPr>
                <w:spacing w:val="-5"/>
                <w:sz w:val="14"/>
              </w:rPr>
              <w:t> </w:t>
            </w:r>
            <w:r>
              <w:rPr>
                <w:sz w:val="14"/>
              </w:rPr>
              <w:t>Not</w:t>
            </w:r>
            <w:r>
              <w:rPr>
                <w:spacing w:val="-4"/>
                <w:sz w:val="14"/>
              </w:rPr>
              <w:t> </w:t>
            </w:r>
            <w:r>
              <w:rPr>
                <w:sz w:val="14"/>
              </w:rPr>
              <w:t>for</w:t>
            </w:r>
            <w:r>
              <w:rPr>
                <w:spacing w:val="-4"/>
                <w:sz w:val="14"/>
              </w:rPr>
              <w:t> </w:t>
            </w:r>
            <w:r>
              <w:rPr>
                <w:sz w:val="14"/>
              </w:rPr>
              <w:t>Profit</w:t>
            </w:r>
            <w:r>
              <w:rPr>
                <w:spacing w:val="-3"/>
                <w:sz w:val="14"/>
              </w:rPr>
              <w:t> </w:t>
            </w:r>
            <w:r>
              <w:rPr>
                <w:sz w:val="14"/>
              </w:rPr>
              <w:t>regular</w:t>
            </w:r>
            <w:r>
              <w:rPr>
                <w:spacing w:val="-2"/>
                <w:sz w:val="14"/>
              </w:rPr>
              <w:t> </w:t>
            </w:r>
            <w:r>
              <w:rPr>
                <w:sz w:val="14"/>
              </w:rPr>
              <w:t>hour</w:t>
            </w:r>
            <w:r>
              <w:rPr>
                <w:spacing w:val="-2"/>
                <w:sz w:val="14"/>
              </w:rPr>
              <w:t> </w:t>
            </w:r>
            <w:r>
              <w:rPr>
                <w:sz w:val="14"/>
              </w:rPr>
              <w:t>rate</w:t>
            </w:r>
            <w:r>
              <w:rPr>
                <w:spacing w:val="-3"/>
                <w:sz w:val="14"/>
              </w:rPr>
              <w:t> </w:t>
            </w:r>
            <w:r>
              <w:rPr>
                <w:sz w:val="14"/>
              </w:rPr>
              <w:t>-</w:t>
            </w:r>
            <w:r>
              <w:rPr>
                <w:spacing w:val="-2"/>
                <w:sz w:val="14"/>
              </w:rPr>
              <w:t> </w:t>
            </w:r>
            <w:r>
              <w:rPr>
                <w:sz w:val="14"/>
              </w:rPr>
              <w:t>Jul</w:t>
            </w:r>
            <w:r>
              <w:rPr>
                <w:spacing w:val="-1"/>
                <w:sz w:val="14"/>
              </w:rPr>
              <w:t> </w:t>
            </w:r>
            <w:r>
              <w:rPr>
                <w:sz w:val="14"/>
              </w:rPr>
              <w:t>to</w:t>
            </w:r>
            <w:r>
              <w:rPr>
                <w:spacing w:val="-3"/>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23.54</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25.31</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Belmont</w:t>
            </w:r>
            <w:r>
              <w:rPr>
                <w:spacing w:val="-4"/>
                <w:sz w:val="14"/>
              </w:rPr>
              <w:t> </w:t>
            </w:r>
            <w:r>
              <w:rPr>
                <w:sz w:val="14"/>
              </w:rPr>
              <w:t>Park</w:t>
            </w:r>
            <w:r>
              <w:rPr>
                <w:spacing w:val="-1"/>
                <w:sz w:val="14"/>
              </w:rPr>
              <w:t> </w:t>
            </w:r>
            <w:r>
              <w:rPr>
                <w:sz w:val="14"/>
              </w:rPr>
              <w:t>Hall</w:t>
            </w:r>
            <w:r>
              <w:rPr>
                <w:spacing w:val="-4"/>
                <w:sz w:val="14"/>
              </w:rPr>
              <w:t> </w:t>
            </w:r>
            <w:r>
              <w:rPr>
                <w:sz w:val="14"/>
              </w:rPr>
              <w:t>Not</w:t>
            </w:r>
            <w:r>
              <w:rPr>
                <w:spacing w:val="-5"/>
                <w:sz w:val="14"/>
              </w:rPr>
              <w:t> </w:t>
            </w:r>
            <w:r>
              <w:rPr>
                <w:sz w:val="14"/>
              </w:rPr>
              <w:t>for</w:t>
            </w:r>
            <w:r>
              <w:rPr>
                <w:spacing w:val="-3"/>
                <w:sz w:val="14"/>
              </w:rPr>
              <w:t> </w:t>
            </w:r>
            <w:r>
              <w:rPr>
                <w:sz w:val="14"/>
              </w:rPr>
              <w:t>Profit</w:t>
            </w:r>
            <w:r>
              <w:rPr>
                <w:spacing w:val="-3"/>
                <w:sz w:val="14"/>
              </w:rPr>
              <w:t> </w:t>
            </w:r>
            <w:r>
              <w:rPr>
                <w:sz w:val="14"/>
              </w:rPr>
              <w:t>regular</w:t>
            </w:r>
            <w:r>
              <w:rPr>
                <w:spacing w:val="-3"/>
                <w:sz w:val="14"/>
              </w:rPr>
              <w:t> </w:t>
            </w:r>
            <w:r>
              <w:rPr>
                <w:sz w:val="14"/>
              </w:rPr>
              <w:t>hour</w:t>
            </w:r>
            <w:r>
              <w:rPr>
                <w:spacing w:val="-1"/>
                <w:sz w:val="14"/>
              </w:rPr>
              <w:t> </w:t>
            </w:r>
            <w:r>
              <w:rPr>
                <w:sz w:val="14"/>
              </w:rPr>
              <w:t>rate</w:t>
            </w:r>
            <w:r>
              <w:rPr>
                <w:spacing w:val="-3"/>
                <w:sz w:val="14"/>
              </w:rPr>
              <w:t> </w:t>
            </w:r>
            <w:r>
              <w:rPr>
                <w:sz w:val="14"/>
              </w:rPr>
              <w:t>-</w:t>
            </w:r>
            <w:r>
              <w:rPr>
                <w:spacing w:val="-2"/>
                <w:sz w:val="14"/>
              </w:rPr>
              <w:t> </w:t>
            </w:r>
            <w:r>
              <w:rPr>
                <w:sz w:val="14"/>
              </w:rPr>
              <w:t>Jan</w:t>
            </w:r>
            <w:r>
              <w:rPr>
                <w:spacing w:val="-4"/>
                <w:sz w:val="14"/>
              </w:rPr>
              <w:t> </w:t>
            </w:r>
            <w:r>
              <w:rPr>
                <w:sz w:val="14"/>
              </w:rPr>
              <w:t>to</w:t>
            </w:r>
            <w:r>
              <w:rPr>
                <w:spacing w:val="-1"/>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23.54</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25.31</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bl>
    <w:p>
      <w:pPr>
        <w:spacing w:after="0" w:line="140" w:lineRule="exact"/>
        <w:jc w:val="center"/>
        <w:rPr>
          <w:sz w:val="14"/>
        </w:rPr>
        <w:sectPr>
          <w:footerReference w:type="default" r:id="rId26"/>
          <w:pgSz w:w="11910" w:h="16840"/>
          <w:pgMar w:footer="378" w:header="0" w:top="840" w:bottom="560" w:left="520" w:right="520"/>
        </w:sectPr>
      </w:pPr>
    </w:p>
    <w:tbl>
      <w:tblPr>
        <w:tblW w:w="0" w:type="auto"/>
        <w:jc w:val="left"/>
        <w:tblInd w:w="13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70"/>
        <w:gridCol w:w="1028"/>
        <w:gridCol w:w="769"/>
        <w:gridCol w:w="973"/>
        <w:gridCol w:w="1199"/>
        <w:gridCol w:w="897"/>
      </w:tblGrid>
      <w:tr>
        <w:trPr>
          <w:trHeight w:val="232" w:hRule="atLeast"/>
        </w:trPr>
        <w:tc>
          <w:tcPr>
            <w:tcW w:w="10636" w:type="dxa"/>
            <w:gridSpan w:val="6"/>
            <w:tcBorders>
              <w:left w:val="single" w:sz="12" w:space="0" w:color="000000"/>
              <w:bottom w:val="single" w:sz="4" w:space="0" w:color="000000"/>
              <w:right w:val="single" w:sz="12" w:space="0" w:color="000000"/>
            </w:tcBorders>
            <w:shd w:val="clear" w:color="auto" w:fill="3399FF"/>
          </w:tcPr>
          <w:p>
            <w:pPr>
              <w:pStyle w:val="TableParagraph"/>
              <w:spacing w:before="32"/>
              <w:ind w:left="4308" w:right="4290"/>
              <w:jc w:val="center"/>
              <w:rPr>
                <w:b/>
                <w:sz w:val="14"/>
              </w:rPr>
            </w:pPr>
            <w:r>
              <w:rPr>
                <w:b/>
                <w:color w:val="FFFFFF"/>
                <w:sz w:val="14"/>
              </w:rPr>
              <w:t>FEES</w:t>
            </w:r>
            <w:r>
              <w:rPr>
                <w:b/>
                <w:color w:val="FFFFFF"/>
                <w:spacing w:val="-5"/>
                <w:sz w:val="14"/>
              </w:rPr>
              <w:t> </w:t>
            </w:r>
            <w:r>
              <w:rPr>
                <w:b/>
                <w:color w:val="FFFFFF"/>
                <w:sz w:val="14"/>
              </w:rPr>
              <w:t>AND</w:t>
            </w:r>
            <w:r>
              <w:rPr>
                <w:b/>
                <w:color w:val="FFFFFF"/>
                <w:spacing w:val="-4"/>
                <w:sz w:val="14"/>
              </w:rPr>
              <w:t> </w:t>
            </w:r>
            <w:r>
              <w:rPr>
                <w:b/>
                <w:color w:val="FFFFFF"/>
                <w:sz w:val="14"/>
              </w:rPr>
              <w:t>CHARGES</w:t>
            </w:r>
            <w:r>
              <w:rPr>
                <w:b/>
                <w:color w:val="FFFFFF"/>
                <w:spacing w:val="-1"/>
                <w:sz w:val="14"/>
              </w:rPr>
              <w:t> </w:t>
            </w:r>
            <w:r>
              <w:rPr>
                <w:b/>
                <w:color w:val="FFFFFF"/>
                <w:spacing w:val="-2"/>
                <w:sz w:val="14"/>
              </w:rPr>
              <w:t>2025/26</w:t>
            </w:r>
          </w:p>
        </w:tc>
      </w:tr>
      <w:tr>
        <w:trPr>
          <w:trHeight w:val="858" w:hRule="atLeast"/>
        </w:trPr>
        <w:tc>
          <w:tcPr>
            <w:tcW w:w="5770" w:type="dxa"/>
            <w:tcBorders>
              <w:top w:val="single" w:sz="4" w:space="0" w:color="000000"/>
              <w:left w:val="single" w:sz="12" w:space="0" w:color="000000"/>
              <w:bottom w:val="single" w:sz="4" w:space="0" w:color="000000"/>
              <w:right w:val="single" w:sz="4"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107"/>
              <w:rPr>
                <w:b/>
                <w:sz w:val="14"/>
              </w:rPr>
            </w:pPr>
            <w:r>
              <w:rPr>
                <w:b/>
                <w:color w:val="FFFFFF"/>
                <w:sz w:val="14"/>
              </w:rPr>
              <w:t>Account</w:t>
            </w:r>
            <w:r>
              <w:rPr>
                <w:b/>
                <w:color w:val="FFFFFF"/>
                <w:spacing w:val="-7"/>
                <w:sz w:val="14"/>
              </w:rPr>
              <w:t> </w:t>
            </w:r>
            <w:r>
              <w:rPr>
                <w:b/>
                <w:color w:val="FFFFFF"/>
                <w:spacing w:val="-2"/>
                <w:sz w:val="14"/>
              </w:rPr>
              <w:t>Description</w:t>
            </w:r>
          </w:p>
        </w:tc>
        <w:tc>
          <w:tcPr>
            <w:tcW w:w="1028"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26" w:right="101" w:firstLine="4"/>
              <w:jc w:val="center"/>
              <w:rPr>
                <w:b/>
                <w:sz w:val="14"/>
              </w:rPr>
            </w:pPr>
            <w:r>
              <w:rPr>
                <w:b/>
                <w:color w:val="FFFFFF"/>
                <w:sz w:val="14"/>
              </w:rPr>
              <w:t>Fee</w:t>
            </w:r>
            <w:r>
              <w:rPr>
                <w:b/>
                <w:color w:val="FFFFFF"/>
                <w:spacing w:val="-6"/>
                <w:sz w:val="14"/>
              </w:rPr>
              <w:t> </w:t>
            </w:r>
            <w:r>
              <w:rPr>
                <w:b/>
                <w:color w:val="FFFFFF"/>
                <w:sz w:val="14"/>
              </w:rPr>
              <w:t>Type</w:t>
            </w:r>
            <w:r>
              <w:rPr>
                <w:b/>
                <w:color w:val="FFFFFF"/>
                <w:spacing w:val="40"/>
                <w:sz w:val="14"/>
              </w:rPr>
              <w:t> </w:t>
            </w:r>
            <w:r>
              <w:rPr>
                <w:b/>
                <w:color w:val="FFFFFF"/>
                <w:spacing w:val="-2"/>
                <w:sz w:val="14"/>
              </w:rPr>
              <w:t>N=Non-</w:t>
            </w:r>
            <w:r>
              <w:rPr>
                <w:b/>
                <w:color w:val="FFFFFF"/>
                <w:spacing w:val="40"/>
                <w:sz w:val="14"/>
              </w:rPr>
              <w:t> </w:t>
            </w:r>
            <w:r>
              <w:rPr>
                <w:b/>
                <w:color w:val="FFFFFF"/>
                <w:spacing w:val="-2"/>
                <w:sz w:val="14"/>
              </w:rPr>
              <w:t>Statutory</w:t>
            </w:r>
            <w:r>
              <w:rPr>
                <w:b/>
                <w:color w:val="FFFFFF"/>
                <w:spacing w:val="40"/>
                <w:sz w:val="14"/>
              </w:rPr>
              <w:t> </w:t>
            </w:r>
            <w:r>
              <w:rPr>
                <w:b/>
                <w:color w:val="FFFFFF"/>
                <w:spacing w:val="-2"/>
                <w:sz w:val="14"/>
              </w:rPr>
              <w:t>S=Statutory</w:t>
            </w:r>
          </w:p>
        </w:tc>
        <w:tc>
          <w:tcPr>
            <w:tcW w:w="76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4"/>
              <w:rPr>
                <w:sz w:val="23"/>
              </w:rPr>
            </w:pPr>
          </w:p>
          <w:p>
            <w:pPr>
              <w:pStyle w:val="TableParagraph"/>
              <w:spacing w:before="1"/>
              <w:ind w:left="248"/>
              <w:rPr>
                <w:b/>
                <w:sz w:val="14"/>
              </w:rPr>
            </w:pPr>
            <w:r>
              <w:rPr>
                <w:b/>
                <w:color w:val="FFFFFF"/>
                <w:spacing w:val="-5"/>
                <w:sz w:val="14"/>
              </w:rPr>
              <w:t>GST</w:t>
            </w:r>
          </w:p>
          <w:p>
            <w:pPr>
              <w:pStyle w:val="TableParagraph"/>
              <w:ind w:left="154"/>
              <w:rPr>
                <w:b/>
                <w:sz w:val="14"/>
              </w:rPr>
            </w:pPr>
            <w:r>
              <w:rPr>
                <w:b/>
                <w:color w:val="FFFFFF"/>
                <w:spacing w:val="-2"/>
                <w:sz w:val="14"/>
              </w:rPr>
              <w:t>Yes/No</w:t>
            </w:r>
          </w:p>
        </w:tc>
        <w:tc>
          <w:tcPr>
            <w:tcW w:w="973"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05" w:right="84"/>
              <w:jc w:val="center"/>
              <w:rPr>
                <w:b/>
                <w:sz w:val="14"/>
              </w:rPr>
            </w:pPr>
            <w:r>
              <w:rPr>
                <w:b/>
                <w:color w:val="FFFFFF"/>
                <w:spacing w:val="-2"/>
                <w:sz w:val="14"/>
              </w:rPr>
              <w:t>2024/25</w:t>
            </w:r>
          </w:p>
          <w:p>
            <w:pPr>
              <w:pStyle w:val="TableParagraph"/>
              <w:ind w:left="189" w:right="168" w:firstLine="1"/>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40"/>
                <w:sz w:val="14"/>
              </w:rPr>
              <w:t> </w:t>
            </w:r>
            <w:r>
              <w:rPr>
                <w:b/>
                <w:color w:val="FFFFFF"/>
                <w:sz w:val="14"/>
              </w:rPr>
              <w:t>Incl.</w:t>
            </w:r>
            <w:r>
              <w:rPr>
                <w:b/>
                <w:color w:val="FFFFFF"/>
                <w:spacing w:val="-5"/>
                <w:sz w:val="14"/>
              </w:rPr>
              <w:t> </w:t>
            </w:r>
            <w:r>
              <w:rPr>
                <w:b/>
                <w:color w:val="FFFFFF"/>
                <w:spacing w:val="-5"/>
                <w:sz w:val="14"/>
              </w:rPr>
              <w:t>GST</w:t>
            </w:r>
          </w:p>
        </w:tc>
        <w:tc>
          <w:tcPr>
            <w:tcW w:w="119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56" w:right="137"/>
              <w:jc w:val="center"/>
              <w:rPr>
                <w:b/>
                <w:sz w:val="14"/>
              </w:rPr>
            </w:pPr>
            <w:r>
              <w:rPr>
                <w:b/>
                <w:color w:val="FFFFFF"/>
                <w:spacing w:val="-2"/>
                <w:sz w:val="14"/>
              </w:rPr>
              <w:t>2025/26</w:t>
            </w:r>
          </w:p>
          <w:p>
            <w:pPr>
              <w:pStyle w:val="TableParagraph"/>
              <w:ind w:left="164" w:right="146" w:firstLine="2"/>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8"/>
                <w:sz w:val="14"/>
              </w:rPr>
              <w:t> </w:t>
            </w:r>
            <w:r>
              <w:rPr>
                <w:b/>
                <w:color w:val="FFFFFF"/>
                <w:spacing w:val="-2"/>
                <w:sz w:val="14"/>
              </w:rPr>
              <w:t>Incl.</w:t>
            </w:r>
          </w:p>
          <w:p>
            <w:pPr>
              <w:pStyle w:val="TableParagraph"/>
              <w:spacing w:line="161" w:lineRule="exact"/>
              <w:ind w:left="153" w:right="137"/>
              <w:jc w:val="center"/>
              <w:rPr>
                <w:b/>
                <w:sz w:val="14"/>
              </w:rPr>
            </w:pPr>
            <w:r>
              <w:rPr>
                <w:b/>
                <w:color w:val="FFFFFF"/>
                <w:spacing w:val="-5"/>
                <w:sz w:val="14"/>
              </w:rPr>
              <w:t>GST</w:t>
            </w:r>
          </w:p>
        </w:tc>
        <w:tc>
          <w:tcPr>
            <w:tcW w:w="897" w:type="dxa"/>
            <w:tcBorders>
              <w:top w:val="single" w:sz="4" w:space="0" w:color="000000"/>
              <w:left w:val="single" w:sz="4" w:space="0" w:color="000000"/>
              <w:bottom w:val="single" w:sz="4" w:space="0" w:color="000000"/>
              <w:right w:val="single" w:sz="12"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95" w:right="81"/>
              <w:jc w:val="center"/>
              <w:rPr>
                <w:b/>
                <w:sz w:val="14"/>
              </w:rPr>
            </w:pPr>
            <w:r>
              <w:rPr>
                <w:b/>
                <w:color w:val="FFFFFF"/>
                <w:sz w:val="14"/>
              </w:rPr>
              <w:t>%</w:t>
            </w:r>
            <w:r>
              <w:rPr>
                <w:b/>
                <w:color w:val="FFFFFF"/>
                <w:spacing w:val="-4"/>
                <w:sz w:val="14"/>
              </w:rPr>
              <w:t> </w:t>
            </w:r>
            <w:r>
              <w:rPr>
                <w:b/>
                <w:color w:val="FFFFFF"/>
                <w:spacing w:val="-2"/>
                <w:sz w:val="14"/>
              </w:rPr>
              <w:t>Change</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Belmont</w:t>
            </w:r>
            <w:r>
              <w:rPr>
                <w:spacing w:val="-4"/>
                <w:sz w:val="14"/>
              </w:rPr>
              <w:t> </w:t>
            </w:r>
            <w:r>
              <w:rPr>
                <w:sz w:val="14"/>
              </w:rPr>
              <w:t>Park</w:t>
            </w:r>
            <w:r>
              <w:rPr>
                <w:spacing w:val="-1"/>
                <w:sz w:val="14"/>
              </w:rPr>
              <w:t> </w:t>
            </w:r>
            <w:r>
              <w:rPr>
                <w:sz w:val="14"/>
              </w:rPr>
              <w:t>Hall</w:t>
            </w:r>
            <w:r>
              <w:rPr>
                <w:spacing w:val="-4"/>
                <w:sz w:val="14"/>
              </w:rPr>
              <w:t> </w:t>
            </w:r>
            <w:r>
              <w:rPr>
                <w:sz w:val="14"/>
              </w:rPr>
              <w:t>Not</w:t>
            </w:r>
            <w:r>
              <w:rPr>
                <w:spacing w:val="-4"/>
                <w:sz w:val="14"/>
              </w:rPr>
              <w:t> </w:t>
            </w:r>
            <w:r>
              <w:rPr>
                <w:sz w:val="14"/>
              </w:rPr>
              <w:t>for</w:t>
            </w:r>
            <w:r>
              <w:rPr>
                <w:spacing w:val="-3"/>
                <w:sz w:val="14"/>
              </w:rPr>
              <w:t> </w:t>
            </w:r>
            <w:r>
              <w:rPr>
                <w:sz w:val="14"/>
              </w:rPr>
              <w:t>Profit</w:t>
            </w:r>
            <w:r>
              <w:rPr>
                <w:spacing w:val="-3"/>
                <w:sz w:val="14"/>
              </w:rPr>
              <w:t> </w:t>
            </w:r>
            <w:r>
              <w:rPr>
                <w:sz w:val="14"/>
              </w:rPr>
              <w:t>Night</w:t>
            </w:r>
            <w:r>
              <w:rPr>
                <w:spacing w:val="-3"/>
                <w:sz w:val="14"/>
              </w:rPr>
              <w:t> </w:t>
            </w:r>
            <w:r>
              <w:rPr>
                <w:sz w:val="14"/>
              </w:rPr>
              <w:t>Hire</w:t>
            </w:r>
            <w:r>
              <w:rPr>
                <w:spacing w:val="-3"/>
                <w:sz w:val="14"/>
              </w:rPr>
              <w:t> </w:t>
            </w:r>
            <w:r>
              <w:rPr>
                <w:sz w:val="14"/>
              </w:rPr>
              <w:t>-</w:t>
            </w:r>
            <w:r>
              <w:rPr>
                <w:spacing w:val="-1"/>
                <w:sz w:val="14"/>
              </w:rPr>
              <w:t> </w:t>
            </w:r>
            <w:r>
              <w:rPr>
                <w:sz w:val="14"/>
              </w:rPr>
              <w:t>Jul to</w:t>
            </w:r>
            <w:r>
              <w:rPr>
                <w:spacing w:val="-3"/>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289.97</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3"/>
              <w:jc w:val="right"/>
              <w:rPr>
                <w:sz w:val="14"/>
              </w:rPr>
            </w:pPr>
            <w:r>
              <w:rPr>
                <w:spacing w:val="-2"/>
                <w:sz w:val="14"/>
              </w:rPr>
              <w:t>311.72</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Belmont</w:t>
            </w:r>
            <w:r>
              <w:rPr>
                <w:spacing w:val="-3"/>
                <w:sz w:val="14"/>
              </w:rPr>
              <w:t> </w:t>
            </w:r>
            <w:r>
              <w:rPr>
                <w:sz w:val="14"/>
              </w:rPr>
              <w:t>Park</w:t>
            </w:r>
            <w:r>
              <w:rPr>
                <w:spacing w:val="-1"/>
                <w:sz w:val="14"/>
              </w:rPr>
              <w:t> </w:t>
            </w:r>
            <w:r>
              <w:rPr>
                <w:sz w:val="14"/>
              </w:rPr>
              <w:t>Hall</w:t>
            </w:r>
            <w:r>
              <w:rPr>
                <w:spacing w:val="-4"/>
                <w:sz w:val="14"/>
              </w:rPr>
              <w:t> </w:t>
            </w:r>
            <w:r>
              <w:rPr>
                <w:sz w:val="14"/>
              </w:rPr>
              <w:t>Not</w:t>
            </w:r>
            <w:r>
              <w:rPr>
                <w:spacing w:val="-3"/>
                <w:sz w:val="14"/>
              </w:rPr>
              <w:t> </w:t>
            </w:r>
            <w:r>
              <w:rPr>
                <w:sz w:val="14"/>
              </w:rPr>
              <w:t>for</w:t>
            </w:r>
            <w:r>
              <w:rPr>
                <w:spacing w:val="-3"/>
                <w:sz w:val="14"/>
              </w:rPr>
              <w:t> </w:t>
            </w:r>
            <w:r>
              <w:rPr>
                <w:sz w:val="14"/>
              </w:rPr>
              <w:t>Profit</w:t>
            </w:r>
            <w:r>
              <w:rPr>
                <w:spacing w:val="-2"/>
                <w:sz w:val="14"/>
              </w:rPr>
              <w:t> </w:t>
            </w:r>
            <w:r>
              <w:rPr>
                <w:sz w:val="14"/>
              </w:rPr>
              <w:t>Night</w:t>
            </w:r>
            <w:r>
              <w:rPr>
                <w:spacing w:val="-3"/>
                <w:sz w:val="14"/>
              </w:rPr>
              <w:t> </w:t>
            </w:r>
            <w:r>
              <w:rPr>
                <w:sz w:val="14"/>
              </w:rPr>
              <w:t>Hire</w:t>
            </w:r>
            <w:r>
              <w:rPr>
                <w:spacing w:val="-3"/>
                <w:sz w:val="14"/>
              </w:rPr>
              <w:t> </w:t>
            </w:r>
            <w:r>
              <w:rPr>
                <w:sz w:val="14"/>
              </w:rPr>
              <w:t>- Jan</w:t>
            </w:r>
            <w:r>
              <w:rPr>
                <w:spacing w:val="-4"/>
                <w:sz w:val="14"/>
              </w:rPr>
              <w:t> </w:t>
            </w:r>
            <w:r>
              <w:rPr>
                <w:sz w:val="14"/>
              </w:rPr>
              <w:t>to</w:t>
            </w:r>
            <w:r>
              <w:rPr>
                <w:spacing w:val="-4"/>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289.97</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311.72</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Belmont</w:t>
            </w:r>
            <w:r>
              <w:rPr>
                <w:spacing w:val="-4"/>
                <w:sz w:val="14"/>
              </w:rPr>
              <w:t> </w:t>
            </w:r>
            <w:r>
              <w:rPr>
                <w:sz w:val="14"/>
              </w:rPr>
              <w:t>Park</w:t>
            </w:r>
            <w:r>
              <w:rPr>
                <w:spacing w:val="-2"/>
                <w:sz w:val="14"/>
              </w:rPr>
              <w:t> </w:t>
            </w:r>
            <w:r>
              <w:rPr>
                <w:sz w:val="14"/>
              </w:rPr>
              <w:t>Hall</w:t>
            </w:r>
            <w:r>
              <w:rPr>
                <w:spacing w:val="-5"/>
                <w:sz w:val="14"/>
              </w:rPr>
              <w:t> </w:t>
            </w:r>
            <w:r>
              <w:rPr>
                <w:sz w:val="14"/>
              </w:rPr>
              <w:t>Community</w:t>
            </w:r>
            <w:r>
              <w:rPr>
                <w:spacing w:val="-3"/>
                <w:sz w:val="14"/>
              </w:rPr>
              <w:t> </w:t>
            </w:r>
            <w:r>
              <w:rPr>
                <w:sz w:val="14"/>
              </w:rPr>
              <w:t>casual</w:t>
            </w:r>
            <w:r>
              <w:rPr>
                <w:spacing w:val="-2"/>
                <w:sz w:val="14"/>
              </w:rPr>
              <w:t> </w:t>
            </w:r>
            <w:r>
              <w:rPr>
                <w:sz w:val="14"/>
              </w:rPr>
              <w:t>hour</w:t>
            </w:r>
            <w:r>
              <w:rPr>
                <w:spacing w:val="-2"/>
                <w:sz w:val="14"/>
              </w:rPr>
              <w:t> </w:t>
            </w:r>
            <w:r>
              <w:rPr>
                <w:sz w:val="14"/>
              </w:rPr>
              <w:t>rate</w:t>
            </w:r>
            <w:r>
              <w:rPr>
                <w:spacing w:val="-1"/>
                <w:sz w:val="14"/>
              </w:rPr>
              <w:t> </w:t>
            </w:r>
            <w:r>
              <w:rPr>
                <w:sz w:val="14"/>
              </w:rPr>
              <w:t>-</w:t>
            </w:r>
            <w:r>
              <w:rPr>
                <w:spacing w:val="-4"/>
                <w:sz w:val="14"/>
              </w:rPr>
              <w:t> </w:t>
            </w:r>
            <w:r>
              <w:rPr>
                <w:sz w:val="14"/>
              </w:rPr>
              <w:t>Jul</w:t>
            </w:r>
            <w:r>
              <w:rPr>
                <w:spacing w:val="-4"/>
                <w:sz w:val="14"/>
              </w:rPr>
              <w:t> </w:t>
            </w:r>
            <w:r>
              <w:rPr>
                <w:sz w:val="14"/>
              </w:rPr>
              <w:t>to</w:t>
            </w:r>
            <w:r>
              <w:rPr>
                <w:spacing w:val="-2"/>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33.17</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35.66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Belmont</w:t>
            </w:r>
            <w:r>
              <w:rPr>
                <w:spacing w:val="-4"/>
                <w:sz w:val="14"/>
              </w:rPr>
              <w:t> </w:t>
            </w:r>
            <w:r>
              <w:rPr>
                <w:sz w:val="14"/>
              </w:rPr>
              <w:t>Park</w:t>
            </w:r>
            <w:r>
              <w:rPr>
                <w:spacing w:val="-1"/>
                <w:sz w:val="14"/>
              </w:rPr>
              <w:t> </w:t>
            </w:r>
            <w:r>
              <w:rPr>
                <w:sz w:val="14"/>
              </w:rPr>
              <w:t>Hall</w:t>
            </w:r>
            <w:r>
              <w:rPr>
                <w:spacing w:val="-5"/>
                <w:sz w:val="14"/>
              </w:rPr>
              <w:t> </w:t>
            </w:r>
            <w:r>
              <w:rPr>
                <w:sz w:val="14"/>
              </w:rPr>
              <w:t>Community</w:t>
            </w:r>
            <w:r>
              <w:rPr>
                <w:spacing w:val="-3"/>
                <w:sz w:val="14"/>
              </w:rPr>
              <w:t> </w:t>
            </w:r>
            <w:r>
              <w:rPr>
                <w:sz w:val="14"/>
              </w:rPr>
              <w:t>casual</w:t>
            </w:r>
            <w:r>
              <w:rPr>
                <w:spacing w:val="-2"/>
                <w:sz w:val="14"/>
              </w:rPr>
              <w:t> </w:t>
            </w:r>
            <w:r>
              <w:rPr>
                <w:sz w:val="14"/>
              </w:rPr>
              <w:t>hour</w:t>
            </w:r>
            <w:r>
              <w:rPr>
                <w:spacing w:val="-1"/>
                <w:sz w:val="14"/>
              </w:rPr>
              <w:t> </w:t>
            </w:r>
            <w:r>
              <w:rPr>
                <w:sz w:val="14"/>
              </w:rPr>
              <w:t>rate</w:t>
            </w:r>
            <w:r>
              <w:rPr>
                <w:spacing w:val="-1"/>
                <w:sz w:val="14"/>
              </w:rPr>
              <w:t> </w:t>
            </w:r>
            <w:r>
              <w:rPr>
                <w:sz w:val="14"/>
              </w:rPr>
              <w:t>-</w:t>
            </w:r>
            <w:r>
              <w:rPr>
                <w:spacing w:val="-4"/>
                <w:sz w:val="14"/>
              </w:rPr>
              <w:t> </w:t>
            </w:r>
            <w:r>
              <w:rPr>
                <w:sz w:val="14"/>
              </w:rPr>
              <w:t>Jan</w:t>
            </w:r>
            <w:r>
              <w:rPr>
                <w:spacing w:val="-5"/>
                <w:sz w:val="14"/>
              </w:rPr>
              <w:t> </w:t>
            </w:r>
            <w:r>
              <w:rPr>
                <w:sz w:val="14"/>
              </w:rPr>
              <w:t>to</w:t>
            </w:r>
            <w:r>
              <w:rPr>
                <w:spacing w:val="-4"/>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33.17</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35.66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Belmont</w:t>
            </w:r>
            <w:r>
              <w:rPr>
                <w:spacing w:val="-4"/>
                <w:sz w:val="14"/>
              </w:rPr>
              <w:t> </w:t>
            </w:r>
            <w:r>
              <w:rPr>
                <w:sz w:val="14"/>
              </w:rPr>
              <w:t>Park</w:t>
            </w:r>
            <w:r>
              <w:rPr>
                <w:spacing w:val="-2"/>
                <w:sz w:val="14"/>
              </w:rPr>
              <w:t> </w:t>
            </w:r>
            <w:r>
              <w:rPr>
                <w:sz w:val="14"/>
              </w:rPr>
              <w:t>Hall</w:t>
            </w:r>
            <w:r>
              <w:rPr>
                <w:spacing w:val="-4"/>
                <w:sz w:val="14"/>
              </w:rPr>
              <w:t> </w:t>
            </w:r>
            <w:r>
              <w:rPr>
                <w:sz w:val="14"/>
              </w:rPr>
              <w:t>Community</w:t>
            </w:r>
            <w:r>
              <w:rPr>
                <w:spacing w:val="-2"/>
                <w:sz w:val="14"/>
              </w:rPr>
              <w:t> </w:t>
            </w:r>
            <w:r>
              <w:rPr>
                <w:sz w:val="14"/>
              </w:rPr>
              <w:t>regular</w:t>
            </w:r>
            <w:r>
              <w:rPr>
                <w:spacing w:val="-1"/>
                <w:sz w:val="14"/>
              </w:rPr>
              <w:t> </w:t>
            </w:r>
            <w:r>
              <w:rPr>
                <w:sz w:val="14"/>
              </w:rPr>
              <w:t>hour</w:t>
            </w:r>
            <w:r>
              <w:rPr>
                <w:spacing w:val="-5"/>
                <w:sz w:val="14"/>
              </w:rPr>
              <w:t> </w:t>
            </w:r>
            <w:r>
              <w:rPr>
                <w:sz w:val="14"/>
              </w:rPr>
              <w:t>rate</w:t>
            </w:r>
            <w:r>
              <w:rPr>
                <w:spacing w:val="-3"/>
                <w:sz w:val="14"/>
              </w:rPr>
              <w:t> </w:t>
            </w:r>
            <w:r>
              <w:rPr>
                <w:sz w:val="14"/>
              </w:rPr>
              <w:t>-</w:t>
            </w:r>
            <w:r>
              <w:rPr>
                <w:spacing w:val="-2"/>
                <w:sz w:val="14"/>
              </w:rPr>
              <w:t> </w:t>
            </w:r>
            <w:r>
              <w:rPr>
                <w:sz w:val="14"/>
              </w:rPr>
              <w:t>Jul</w:t>
            </w:r>
            <w:r>
              <w:rPr>
                <w:spacing w:val="-3"/>
                <w:sz w:val="14"/>
              </w:rPr>
              <w:t> </w:t>
            </w:r>
            <w:r>
              <w:rPr>
                <w:sz w:val="14"/>
              </w:rPr>
              <w:t>to</w:t>
            </w:r>
            <w:r>
              <w:rPr>
                <w:spacing w:val="-4"/>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26.75</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28.76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Belmont</w:t>
            </w:r>
            <w:r>
              <w:rPr>
                <w:spacing w:val="-4"/>
                <w:sz w:val="14"/>
              </w:rPr>
              <w:t> </w:t>
            </w:r>
            <w:r>
              <w:rPr>
                <w:sz w:val="14"/>
              </w:rPr>
              <w:t>Park</w:t>
            </w:r>
            <w:r>
              <w:rPr>
                <w:spacing w:val="-3"/>
                <w:sz w:val="14"/>
              </w:rPr>
              <w:t> </w:t>
            </w:r>
            <w:r>
              <w:rPr>
                <w:sz w:val="14"/>
              </w:rPr>
              <w:t>Hall</w:t>
            </w:r>
            <w:r>
              <w:rPr>
                <w:spacing w:val="-4"/>
                <w:sz w:val="14"/>
              </w:rPr>
              <w:t> </w:t>
            </w:r>
            <w:r>
              <w:rPr>
                <w:sz w:val="14"/>
              </w:rPr>
              <w:t>Community</w:t>
            </w:r>
            <w:r>
              <w:rPr>
                <w:spacing w:val="-2"/>
                <w:sz w:val="14"/>
              </w:rPr>
              <w:t> </w:t>
            </w:r>
            <w:r>
              <w:rPr>
                <w:sz w:val="14"/>
              </w:rPr>
              <w:t>regular</w:t>
            </w:r>
            <w:r>
              <w:rPr>
                <w:spacing w:val="-2"/>
                <w:sz w:val="14"/>
              </w:rPr>
              <w:t> </w:t>
            </w:r>
            <w:r>
              <w:rPr>
                <w:sz w:val="14"/>
              </w:rPr>
              <w:t>hour</w:t>
            </w:r>
            <w:r>
              <w:rPr>
                <w:spacing w:val="-5"/>
                <w:sz w:val="14"/>
              </w:rPr>
              <w:t> </w:t>
            </w:r>
            <w:r>
              <w:rPr>
                <w:sz w:val="14"/>
              </w:rPr>
              <w:t>rate</w:t>
            </w:r>
            <w:r>
              <w:rPr>
                <w:spacing w:val="-3"/>
                <w:sz w:val="14"/>
              </w:rPr>
              <w:t> </w:t>
            </w:r>
            <w:r>
              <w:rPr>
                <w:sz w:val="14"/>
              </w:rPr>
              <w:t>-</w:t>
            </w:r>
            <w:r>
              <w:rPr>
                <w:spacing w:val="-2"/>
                <w:sz w:val="14"/>
              </w:rPr>
              <w:t> </w:t>
            </w:r>
            <w:r>
              <w:rPr>
                <w:sz w:val="14"/>
              </w:rPr>
              <w:t>Jan</w:t>
            </w:r>
            <w:r>
              <w:rPr>
                <w:spacing w:val="-2"/>
                <w:sz w:val="14"/>
              </w:rPr>
              <w:t> </w:t>
            </w:r>
            <w:r>
              <w:rPr>
                <w:sz w:val="14"/>
              </w:rPr>
              <w:t>to</w:t>
            </w:r>
            <w:r>
              <w:rPr>
                <w:spacing w:val="-2"/>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26.75</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28.76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Belmont</w:t>
            </w:r>
            <w:r>
              <w:rPr>
                <w:spacing w:val="-4"/>
                <w:sz w:val="14"/>
              </w:rPr>
              <w:t> </w:t>
            </w:r>
            <w:r>
              <w:rPr>
                <w:sz w:val="14"/>
              </w:rPr>
              <w:t>Park</w:t>
            </w:r>
            <w:r>
              <w:rPr>
                <w:spacing w:val="-1"/>
                <w:sz w:val="14"/>
              </w:rPr>
              <w:t> </w:t>
            </w:r>
            <w:r>
              <w:rPr>
                <w:sz w:val="14"/>
              </w:rPr>
              <w:t>Hall</w:t>
            </w:r>
            <w:r>
              <w:rPr>
                <w:spacing w:val="-4"/>
                <w:sz w:val="14"/>
              </w:rPr>
              <w:t> </w:t>
            </w:r>
            <w:r>
              <w:rPr>
                <w:sz w:val="14"/>
              </w:rPr>
              <w:t>Community</w:t>
            </w:r>
            <w:r>
              <w:rPr>
                <w:spacing w:val="-4"/>
                <w:sz w:val="14"/>
              </w:rPr>
              <w:t> </w:t>
            </w:r>
            <w:r>
              <w:rPr>
                <w:sz w:val="14"/>
              </w:rPr>
              <w:t>Night</w:t>
            </w:r>
            <w:r>
              <w:rPr>
                <w:spacing w:val="-1"/>
                <w:sz w:val="14"/>
              </w:rPr>
              <w:t> </w:t>
            </w:r>
            <w:r>
              <w:rPr>
                <w:sz w:val="14"/>
              </w:rPr>
              <w:t>Hire</w:t>
            </w:r>
            <w:r>
              <w:rPr>
                <w:spacing w:val="-3"/>
                <w:sz w:val="14"/>
              </w:rPr>
              <w:t> </w:t>
            </w:r>
            <w:r>
              <w:rPr>
                <w:sz w:val="14"/>
              </w:rPr>
              <w:t>-</w:t>
            </w:r>
            <w:r>
              <w:rPr>
                <w:spacing w:val="-5"/>
                <w:sz w:val="14"/>
              </w:rPr>
              <w:t> </w:t>
            </w:r>
            <w:r>
              <w:rPr>
                <w:sz w:val="14"/>
              </w:rPr>
              <w:t>Jul</w:t>
            </w:r>
            <w:r>
              <w:rPr>
                <w:spacing w:val="-3"/>
                <w:sz w:val="14"/>
              </w:rPr>
              <w:t> </w:t>
            </w:r>
            <w:r>
              <w:rPr>
                <w:sz w:val="14"/>
              </w:rPr>
              <w:t>to</w:t>
            </w:r>
            <w:r>
              <w:rPr>
                <w:spacing w:val="-4"/>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388.41</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3"/>
              <w:jc w:val="right"/>
              <w:rPr>
                <w:sz w:val="14"/>
              </w:rPr>
            </w:pPr>
            <w:r>
              <w:rPr>
                <w:spacing w:val="-2"/>
                <w:sz w:val="14"/>
              </w:rPr>
              <w:t>417.54</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Belmont</w:t>
            </w:r>
            <w:r>
              <w:rPr>
                <w:spacing w:val="-4"/>
                <w:sz w:val="14"/>
              </w:rPr>
              <w:t> </w:t>
            </w:r>
            <w:r>
              <w:rPr>
                <w:sz w:val="14"/>
              </w:rPr>
              <w:t>Park</w:t>
            </w:r>
            <w:r>
              <w:rPr>
                <w:spacing w:val="-1"/>
                <w:sz w:val="14"/>
              </w:rPr>
              <w:t> </w:t>
            </w:r>
            <w:r>
              <w:rPr>
                <w:sz w:val="14"/>
              </w:rPr>
              <w:t>Hall</w:t>
            </w:r>
            <w:r>
              <w:rPr>
                <w:spacing w:val="-5"/>
                <w:sz w:val="14"/>
              </w:rPr>
              <w:t> </w:t>
            </w:r>
            <w:r>
              <w:rPr>
                <w:sz w:val="14"/>
              </w:rPr>
              <w:t>Community</w:t>
            </w:r>
            <w:r>
              <w:rPr>
                <w:spacing w:val="-3"/>
                <w:sz w:val="14"/>
              </w:rPr>
              <w:t> </w:t>
            </w:r>
            <w:r>
              <w:rPr>
                <w:sz w:val="14"/>
              </w:rPr>
              <w:t>Night</w:t>
            </w:r>
            <w:r>
              <w:rPr>
                <w:spacing w:val="-2"/>
                <w:sz w:val="14"/>
              </w:rPr>
              <w:t> </w:t>
            </w:r>
            <w:r>
              <w:rPr>
                <w:sz w:val="14"/>
              </w:rPr>
              <w:t>Hire</w:t>
            </w:r>
            <w:r>
              <w:rPr>
                <w:spacing w:val="-3"/>
                <w:sz w:val="14"/>
              </w:rPr>
              <w:t> </w:t>
            </w:r>
            <w:r>
              <w:rPr>
                <w:sz w:val="14"/>
              </w:rPr>
              <w:t>-</w:t>
            </w:r>
            <w:r>
              <w:rPr>
                <w:spacing w:val="-5"/>
                <w:sz w:val="14"/>
              </w:rPr>
              <w:t> </w:t>
            </w:r>
            <w:r>
              <w:rPr>
                <w:sz w:val="14"/>
              </w:rPr>
              <w:t>Jan</w:t>
            </w:r>
            <w:r>
              <w:rPr>
                <w:spacing w:val="-2"/>
                <w:sz w:val="14"/>
              </w:rPr>
              <w:t> </w:t>
            </w:r>
            <w:r>
              <w:rPr>
                <w:sz w:val="14"/>
              </w:rPr>
              <w:t>to</w:t>
            </w:r>
            <w:r>
              <w:rPr>
                <w:spacing w:val="-1"/>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388.41</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417.54</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Belmont</w:t>
            </w:r>
            <w:r>
              <w:rPr>
                <w:spacing w:val="-4"/>
                <w:sz w:val="14"/>
              </w:rPr>
              <w:t> </w:t>
            </w:r>
            <w:r>
              <w:rPr>
                <w:sz w:val="14"/>
              </w:rPr>
              <w:t>Park</w:t>
            </w:r>
            <w:r>
              <w:rPr>
                <w:spacing w:val="-2"/>
                <w:sz w:val="14"/>
              </w:rPr>
              <w:t> </w:t>
            </w:r>
            <w:r>
              <w:rPr>
                <w:sz w:val="14"/>
              </w:rPr>
              <w:t>Hall</w:t>
            </w:r>
            <w:r>
              <w:rPr>
                <w:spacing w:val="-5"/>
                <w:sz w:val="14"/>
              </w:rPr>
              <w:t> </w:t>
            </w:r>
            <w:r>
              <w:rPr>
                <w:sz w:val="14"/>
              </w:rPr>
              <w:t>Corporate</w:t>
            </w:r>
            <w:r>
              <w:rPr>
                <w:spacing w:val="-3"/>
                <w:sz w:val="14"/>
              </w:rPr>
              <w:t> </w:t>
            </w:r>
            <w:r>
              <w:rPr>
                <w:sz w:val="14"/>
              </w:rPr>
              <w:t>casual</w:t>
            </w:r>
            <w:r>
              <w:rPr>
                <w:spacing w:val="-1"/>
                <w:sz w:val="14"/>
              </w:rPr>
              <w:t> </w:t>
            </w:r>
            <w:r>
              <w:rPr>
                <w:sz w:val="14"/>
              </w:rPr>
              <w:t>hour</w:t>
            </w:r>
            <w:r>
              <w:rPr>
                <w:spacing w:val="-2"/>
                <w:sz w:val="14"/>
              </w:rPr>
              <w:t> </w:t>
            </w:r>
            <w:r>
              <w:rPr>
                <w:sz w:val="14"/>
              </w:rPr>
              <w:t>rate</w:t>
            </w:r>
            <w:r>
              <w:rPr>
                <w:spacing w:val="-5"/>
                <w:sz w:val="14"/>
              </w:rPr>
              <w:t> </w:t>
            </w:r>
            <w:r>
              <w:rPr>
                <w:sz w:val="14"/>
              </w:rPr>
              <w:t>-</w:t>
            </w:r>
            <w:r>
              <w:rPr>
                <w:spacing w:val="-2"/>
                <w:sz w:val="14"/>
              </w:rPr>
              <w:t> </w:t>
            </w:r>
            <w:r>
              <w:rPr>
                <w:sz w:val="14"/>
              </w:rPr>
              <w:t>Jul</w:t>
            </w:r>
            <w:r>
              <w:rPr>
                <w:spacing w:val="-4"/>
                <w:sz w:val="14"/>
              </w:rPr>
              <w:t> </w:t>
            </w:r>
            <w:r>
              <w:rPr>
                <w:sz w:val="14"/>
              </w:rPr>
              <w:t>to</w:t>
            </w:r>
            <w:r>
              <w:rPr>
                <w:spacing w:val="-4"/>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39.59</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42.56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Belmont</w:t>
            </w:r>
            <w:r>
              <w:rPr>
                <w:spacing w:val="-4"/>
                <w:sz w:val="14"/>
              </w:rPr>
              <w:t> </w:t>
            </w:r>
            <w:r>
              <w:rPr>
                <w:sz w:val="14"/>
              </w:rPr>
              <w:t>Park</w:t>
            </w:r>
            <w:r>
              <w:rPr>
                <w:spacing w:val="-3"/>
                <w:sz w:val="14"/>
              </w:rPr>
              <w:t> </w:t>
            </w:r>
            <w:r>
              <w:rPr>
                <w:sz w:val="14"/>
              </w:rPr>
              <w:t>Hall</w:t>
            </w:r>
            <w:r>
              <w:rPr>
                <w:spacing w:val="-5"/>
                <w:sz w:val="14"/>
              </w:rPr>
              <w:t> </w:t>
            </w:r>
            <w:r>
              <w:rPr>
                <w:sz w:val="14"/>
              </w:rPr>
              <w:t>Corporate</w:t>
            </w:r>
            <w:r>
              <w:rPr>
                <w:spacing w:val="-3"/>
                <w:sz w:val="14"/>
              </w:rPr>
              <w:t> </w:t>
            </w:r>
            <w:r>
              <w:rPr>
                <w:sz w:val="14"/>
              </w:rPr>
              <w:t>casual</w:t>
            </w:r>
            <w:r>
              <w:rPr>
                <w:spacing w:val="-1"/>
                <w:sz w:val="14"/>
              </w:rPr>
              <w:t> </w:t>
            </w:r>
            <w:r>
              <w:rPr>
                <w:sz w:val="14"/>
              </w:rPr>
              <w:t>hour</w:t>
            </w:r>
            <w:r>
              <w:rPr>
                <w:spacing w:val="-2"/>
                <w:sz w:val="14"/>
              </w:rPr>
              <w:t> </w:t>
            </w:r>
            <w:r>
              <w:rPr>
                <w:sz w:val="14"/>
              </w:rPr>
              <w:t>rate</w:t>
            </w:r>
            <w:r>
              <w:rPr>
                <w:spacing w:val="-5"/>
                <w:sz w:val="14"/>
              </w:rPr>
              <w:t> </w:t>
            </w:r>
            <w:r>
              <w:rPr>
                <w:sz w:val="14"/>
              </w:rPr>
              <w:t>-</w:t>
            </w:r>
            <w:r>
              <w:rPr>
                <w:spacing w:val="-2"/>
                <w:sz w:val="14"/>
              </w:rPr>
              <w:t> </w:t>
            </w:r>
            <w:r>
              <w:rPr>
                <w:sz w:val="14"/>
              </w:rPr>
              <w:t>Jan</w:t>
            </w:r>
            <w:r>
              <w:rPr>
                <w:spacing w:val="-5"/>
                <w:sz w:val="14"/>
              </w:rPr>
              <w:t> </w:t>
            </w:r>
            <w:r>
              <w:rPr>
                <w:sz w:val="14"/>
              </w:rPr>
              <w:t>to</w:t>
            </w:r>
            <w:r>
              <w:rPr>
                <w:spacing w:val="-2"/>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39.59</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42.56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Belmont</w:t>
            </w:r>
            <w:r>
              <w:rPr>
                <w:spacing w:val="-4"/>
                <w:sz w:val="14"/>
              </w:rPr>
              <w:t> </w:t>
            </w:r>
            <w:r>
              <w:rPr>
                <w:sz w:val="14"/>
              </w:rPr>
              <w:t>Park</w:t>
            </w:r>
            <w:r>
              <w:rPr>
                <w:spacing w:val="-2"/>
                <w:sz w:val="14"/>
              </w:rPr>
              <w:t> </w:t>
            </w:r>
            <w:r>
              <w:rPr>
                <w:sz w:val="14"/>
              </w:rPr>
              <w:t>Hall</w:t>
            </w:r>
            <w:r>
              <w:rPr>
                <w:spacing w:val="-4"/>
                <w:sz w:val="14"/>
              </w:rPr>
              <w:t> </w:t>
            </w:r>
            <w:r>
              <w:rPr>
                <w:sz w:val="14"/>
              </w:rPr>
              <w:t>Corporate</w:t>
            </w:r>
            <w:r>
              <w:rPr>
                <w:spacing w:val="-2"/>
                <w:sz w:val="14"/>
              </w:rPr>
              <w:t> </w:t>
            </w:r>
            <w:r>
              <w:rPr>
                <w:sz w:val="14"/>
              </w:rPr>
              <w:t>regular</w:t>
            </w:r>
            <w:r>
              <w:rPr>
                <w:spacing w:val="-2"/>
                <w:sz w:val="14"/>
              </w:rPr>
              <w:t> </w:t>
            </w:r>
            <w:r>
              <w:rPr>
                <w:sz w:val="14"/>
              </w:rPr>
              <w:t>hour</w:t>
            </w:r>
            <w:r>
              <w:rPr>
                <w:spacing w:val="-2"/>
                <w:sz w:val="14"/>
              </w:rPr>
              <w:t> </w:t>
            </w:r>
            <w:r>
              <w:rPr>
                <w:sz w:val="14"/>
              </w:rPr>
              <w:t>rate</w:t>
            </w:r>
            <w:r>
              <w:rPr>
                <w:spacing w:val="-5"/>
                <w:sz w:val="14"/>
              </w:rPr>
              <w:t> </w:t>
            </w:r>
            <w:r>
              <w:rPr>
                <w:sz w:val="14"/>
              </w:rPr>
              <w:t>-</w:t>
            </w:r>
            <w:r>
              <w:rPr>
                <w:spacing w:val="-2"/>
                <w:sz w:val="14"/>
              </w:rPr>
              <w:t> </w:t>
            </w:r>
            <w:r>
              <w:rPr>
                <w:sz w:val="14"/>
              </w:rPr>
              <w:t>Jul</w:t>
            </w:r>
            <w:r>
              <w:rPr>
                <w:spacing w:val="-4"/>
                <w:sz w:val="14"/>
              </w:rPr>
              <w:t> </w:t>
            </w:r>
            <w:r>
              <w:rPr>
                <w:sz w:val="14"/>
              </w:rPr>
              <w:t>to</w:t>
            </w:r>
            <w:r>
              <w:rPr>
                <w:spacing w:val="-4"/>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33.17</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35.66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Belmont</w:t>
            </w:r>
            <w:r>
              <w:rPr>
                <w:spacing w:val="-5"/>
                <w:sz w:val="14"/>
              </w:rPr>
              <w:t> </w:t>
            </w:r>
            <w:r>
              <w:rPr>
                <w:sz w:val="14"/>
              </w:rPr>
              <w:t>Park</w:t>
            </w:r>
            <w:r>
              <w:rPr>
                <w:spacing w:val="-2"/>
                <w:sz w:val="14"/>
              </w:rPr>
              <w:t> </w:t>
            </w:r>
            <w:r>
              <w:rPr>
                <w:sz w:val="14"/>
              </w:rPr>
              <w:t>Hall</w:t>
            </w:r>
            <w:r>
              <w:rPr>
                <w:spacing w:val="-4"/>
                <w:sz w:val="14"/>
              </w:rPr>
              <w:t> </w:t>
            </w:r>
            <w:r>
              <w:rPr>
                <w:sz w:val="14"/>
              </w:rPr>
              <w:t>Corporate</w:t>
            </w:r>
            <w:r>
              <w:rPr>
                <w:spacing w:val="-2"/>
                <w:sz w:val="14"/>
              </w:rPr>
              <w:t> </w:t>
            </w:r>
            <w:r>
              <w:rPr>
                <w:sz w:val="14"/>
              </w:rPr>
              <w:t>regular</w:t>
            </w:r>
            <w:r>
              <w:rPr>
                <w:spacing w:val="-2"/>
                <w:sz w:val="14"/>
              </w:rPr>
              <w:t> </w:t>
            </w:r>
            <w:r>
              <w:rPr>
                <w:sz w:val="14"/>
              </w:rPr>
              <w:t>hour</w:t>
            </w:r>
            <w:r>
              <w:rPr>
                <w:spacing w:val="-2"/>
                <w:sz w:val="14"/>
              </w:rPr>
              <w:t> </w:t>
            </w:r>
            <w:r>
              <w:rPr>
                <w:sz w:val="14"/>
              </w:rPr>
              <w:t>rate</w:t>
            </w:r>
            <w:r>
              <w:rPr>
                <w:spacing w:val="-5"/>
                <w:sz w:val="14"/>
              </w:rPr>
              <w:t> </w:t>
            </w:r>
            <w:r>
              <w:rPr>
                <w:sz w:val="14"/>
              </w:rPr>
              <w:t>-</w:t>
            </w:r>
            <w:r>
              <w:rPr>
                <w:spacing w:val="-2"/>
                <w:sz w:val="14"/>
              </w:rPr>
              <w:t> </w:t>
            </w:r>
            <w:r>
              <w:rPr>
                <w:sz w:val="14"/>
              </w:rPr>
              <w:t>Jan</w:t>
            </w:r>
            <w:r>
              <w:rPr>
                <w:spacing w:val="-5"/>
                <w:sz w:val="14"/>
              </w:rPr>
              <w:t> </w:t>
            </w:r>
            <w:r>
              <w:rPr>
                <w:sz w:val="14"/>
              </w:rPr>
              <w:t>to</w:t>
            </w:r>
            <w:r>
              <w:rPr>
                <w:spacing w:val="-3"/>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33.17</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35.66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Belmont</w:t>
            </w:r>
            <w:r>
              <w:rPr>
                <w:spacing w:val="-4"/>
                <w:sz w:val="14"/>
              </w:rPr>
              <w:t> </w:t>
            </w:r>
            <w:r>
              <w:rPr>
                <w:sz w:val="14"/>
              </w:rPr>
              <w:t>Park</w:t>
            </w:r>
            <w:r>
              <w:rPr>
                <w:spacing w:val="-1"/>
                <w:sz w:val="14"/>
              </w:rPr>
              <w:t> </w:t>
            </w:r>
            <w:r>
              <w:rPr>
                <w:sz w:val="14"/>
              </w:rPr>
              <w:t>Hall</w:t>
            </w:r>
            <w:r>
              <w:rPr>
                <w:spacing w:val="-4"/>
                <w:sz w:val="14"/>
              </w:rPr>
              <w:t> </w:t>
            </w:r>
            <w:r>
              <w:rPr>
                <w:sz w:val="14"/>
              </w:rPr>
              <w:t>Corporate</w:t>
            </w:r>
            <w:r>
              <w:rPr>
                <w:spacing w:val="-3"/>
                <w:sz w:val="14"/>
              </w:rPr>
              <w:t> </w:t>
            </w:r>
            <w:r>
              <w:rPr>
                <w:sz w:val="14"/>
              </w:rPr>
              <w:t>Night</w:t>
            </w:r>
            <w:r>
              <w:rPr>
                <w:spacing w:val="-4"/>
                <w:sz w:val="14"/>
              </w:rPr>
              <w:t> </w:t>
            </w:r>
            <w:r>
              <w:rPr>
                <w:sz w:val="14"/>
              </w:rPr>
              <w:t>Hire</w:t>
            </w:r>
            <w:r>
              <w:rPr>
                <w:spacing w:val="-2"/>
                <w:sz w:val="14"/>
              </w:rPr>
              <w:t> </w:t>
            </w:r>
            <w:r>
              <w:rPr>
                <w:sz w:val="14"/>
              </w:rPr>
              <w:t>-</w:t>
            </w:r>
            <w:r>
              <w:rPr>
                <w:spacing w:val="-5"/>
                <w:sz w:val="14"/>
              </w:rPr>
              <w:t> </w:t>
            </w:r>
            <w:r>
              <w:rPr>
                <w:sz w:val="14"/>
              </w:rPr>
              <w:t>Jul to</w:t>
            </w:r>
            <w:r>
              <w:rPr>
                <w:spacing w:val="-2"/>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447.26</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3"/>
              <w:jc w:val="right"/>
              <w:rPr>
                <w:sz w:val="14"/>
              </w:rPr>
            </w:pPr>
            <w:r>
              <w:rPr>
                <w:spacing w:val="-2"/>
                <w:sz w:val="14"/>
              </w:rPr>
              <w:t>480.80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Belmont</w:t>
            </w:r>
            <w:r>
              <w:rPr>
                <w:spacing w:val="-4"/>
                <w:sz w:val="14"/>
              </w:rPr>
              <w:t> </w:t>
            </w:r>
            <w:r>
              <w:rPr>
                <w:sz w:val="14"/>
              </w:rPr>
              <w:t>Park</w:t>
            </w:r>
            <w:r>
              <w:rPr>
                <w:spacing w:val="-1"/>
                <w:sz w:val="14"/>
              </w:rPr>
              <w:t> </w:t>
            </w:r>
            <w:r>
              <w:rPr>
                <w:sz w:val="14"/>
              </w:rPr>
              <w:t>Hall</w:t>
            </w:r>
            <w:r>
              <w:rPr>
                <w:spacing w:val="-4"/>
                <w:sz w:val="14"/>
              </w:rPr>
              <w:t> </w:t>
            </w:r>
            <w:r>
              <w:rPr>
                <w:sz w:val="14"/>
              </w:rPr>
              <w:t>Corporate</w:t>
            </w:r>
            <w:r>
              <w:rPr>
                <w:spacing w:val="-2"/>
                <w:sz w:val="14"/>
              </w:rPr>
              <w:t> </w:t>
            </w:r>
            <w:r>
              <w:rPr>
                <w:sz w:val="14"/>
              </w:rPr>
              <w:t>Night</w:t>
            </w:r>
            <w:r>
              <w:rPr>
                <w:spacing w:val="-4"/>
                <w:sz w:val="14"/>
              </w:rPr>
              <w:t> </w:t>
            </w:r>
            <w:r>
              <w:rPr>
                <w:sz w:val="14"/>
              </w:rPr>
              <w:t>Hire</w:t>
            </w:r>
            <w:r>
              <w:rPr>
                <w:spacing w:val="-2"/>
                <w:sz w:val="14"/>
              </w:rPr>
              <w:t> </w:t>
            </w:r>
            <w:r>
              <w:rPr>
                <w:sz w:val="14"/>
              </w:rPr>
              <w:t>-</w:t>
            </w:r>
            <w:r>
              <w:rPr>
                <w:spacing w:val="-4"/>
                <w:sz w:val="14"/>
              </w:rPr>
              <w:t> </w:t>
            </w:r>
            <w:r>
              <w:rPr>
                <w:sz w:val="14"/>
              </w:rPr>
              <w:t>Jan</w:t>
            </w:r>
            <w:r>
              <w:rPr>
                <w:spacing w:val="-4"/>
                <w:sz w:val="14"/>
              </w:rPr>
              <w:t> </w:t>
            </w:r>
            <w:r>
              <w:rPr>
                <w:sz w:val="14"/>
              </w:rPr>
              <w:t>to</w:t>
            </w:r>
            <w:r>
              <w:rPr>
                <w:spacing w:val="-4"/>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447.26</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480.80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Casual</w:t>
            </w:r>
            <w:r>
              <w:rPr>
                <w:spacing w:val="-5"/>
                <w:sz w:val="14"/>
              </w:rPr>
              <w:t> </w:t>
            </w:r>
            <w:r>
              <w:rPr>
                <w:sz w:val="14"/>
              </w:rPr>
              <w:t>Cleaner</w:t>
            </w:r>
            <w:r>
              <w:rPr>
                <w:spacing w:val="-2"/>
                <w:sz w:val="14"/>
              </w:rPr>
              <w:t> </w:t>
            </w:r>
            <w:r>
              <w:rPr>
                <w:sz w:val="14"/>
              </w:rPr>
              <w:t>3</w:t>
            </w:r>
            <w:r>
              <w:rPr>
                <w:spacing w:val="-6"/>
                <w:sz w:val="14"/>
              </w:rPr>
              <w:t> </w:t>
            </w:r>
            <w:r>
              <w:rPr>
                <w:spacing w:val="-2"/>
                <w:sz w:val="14"/>
              </w:rPr>
              <w:t>hours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128.40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138.03</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Keystone</w:t>
            </w:r>
            <w:r>
              <w:rPr>
                <w:b/>
                <w:spacing w:val="-9"/>
                <w:sz w:val="14"/>
              </w:rPr>
              <w:t> </w:t>
            </w:r>
            <w:r>
              <w:rPr>
                <w:b/>
                <w:spacing w:val="-4"/>
                <w:sz w:val="14"/>
              </w:rPr>
              <w:t>Hall</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Keystone</w:t>
            </w:r>
            <w:r>
              <w:rPr>
                <w:spacing w:val="-3"/>
                <w:sz w:val="14"/>
              </w:rPr>
              <w:t> </w:t>
            </w:r>
            <w:r>
              <w:rPr>
                <w:sz w:val="14"/>
              </w:rPr>
              <w:t>Hall</w:t>
            </w:r>
            <w:r>
              <w:rPr>
                <w:spacing w:val="-4"/>
                <w:sz w:val="14"/>
              </w:rPr>
              <w:t> </w:t>
            </w:r>
            <w:r>
              <w:rPr>
                <w:sz w:val="14"/>
              </w:rPr>
              <w:t>Not</w:t>
            </w:r>
            <w:r>
              <w:rPr>
                <w:spacing w:val="-3"/>
                <w:sz w:val="14"/>
              </w:rPr>
              <w:t> </w:t>
            </w:r>
            <w:r>
              <w:rPr>
                <w:sz w:val="14"/>
              </w:rPr>
              <w:t>for</w:t>
            </w:r>
            <w:r>
              <w:rPr>
                <w:spacing w:val="-4"/>
                <w:sz w:val="14"/>
              </w:rPr>
              <w:t> </w:t>
            </w:r>
            <w:r>
              <w:rPr>
                <w:sz w:val="14"/>
              </w:rPr>
              <w:t>Profit</w:t>
            </w:r>
            <w:r>
              <w:rPr>
                <w:spacing w:val="-3"/>
                <w:sz w:val="14"/>
              </w:rPr>
              <w:t> </w:t>
            </w:r>
            <w:r>
              <w:rPr>
                <w:sz w:val="14"/>
              </w:rPr>
              <w:t>casual</w:t>
            </w:r>
            <w:r>
              <w:rPr>
                <w:spacing w:val="-1"/>
                <w:sz w:val="14"/>
              </w:rPr>
              <w:t> </w:t>
            </w:r>
            <w:r>
              <w:rPr>
                <w:sz w:val="14"/>
              </w:rPr>
              <w:t>hour</w:t>
            </w:r>
            <w:r>
              <w:rPr>
                <w:spacing w:val="-2"/>
                <w:sz w:val="14"/>
              </w:rPr>
              <w:t> </w:t>
            </w:r>
            <w:r>
              <w:rPr>
                <w:sz w:val="14"/>
              </w:rPr>
              <w:t>rate</w:t>
            </w:r>
            <w:r>
              <w:rPr>
                <w:spacing w:val="-4"/>
                <w:sz w:val="14"/>
              </w:rPr>
              <w:t> </w:t>
            </w:r>
            <w:r>
              <w:rPr>
                <w:sz w:val="14"/>
              </w:rPr>
              <w:t>-</w:t>
            </w:r>
            <w:r>
              <w:rPr>
                <w:spacing w:val="-2"/>
                <w:sz w:val="14"/>
              </w:rPr>
              <w:t> </w:t>
            </w:r>
            <w:r>
              <w:rPr>
                <w:sz w:val="14"/>
              </w:rPr>
              <w:t>Jul</w:t>
            </w:r>
            <w:r>
              <w:rPr>
                <w:spacing w:val="-1"/>
                <w:sz w:val="14"/>
              </w:rPr>
              <w:t> </w:t>
            </w:r>
            <w:r>
              <w:rPr>
                <w:sz w:val="14"/>
              </w:rPr>
              <w:t>to</w:t>
            </w:r>
            <w:r>
              <w:rPr>
                <w:spacing w:val="-4"/>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29.96</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32.21</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Keystone</w:t>
            </w:r>
            <w:r>
              <w:rPr>
                <w:spacing w:val="-3"/>
                <w:sz w:val="14"/>
              </w:rPr>
              <w:t> </w:t>
            </w:r>
            <w:r>
              <w:rPr>
                <w:sz w:val="14"/>
              </w:rPr>
              <w:t>Hall</w:t>
            </w:r>
            <w:r>
              <w:rPr>
                <w:spacing w:val="-3"/>
                <w:sz w:val="14"/>
              </w:rPr>
              <w:t> </w:t>
            </w:r>
            <w:r>
              <w:rPr>
                <w:sz w:val="14"/>
              </w:rPr>
              <w:t>Not</w:t>
            </w:r>
            <w:r>
              <w:rPr>
                <w:spacing w:val="-4"/>
                <w:sz w:val="14"/>
              </w:rPr>
              <w:t> </w:t>
            </w:r>
            <w:r>
              <w:rPr>
                <w:sz w:val="14"/>
              </w:rPr>
              <w:t>for</w:t>
            </w:r>
            <w:r>
              <w:rPr>
                <w:spacing w:val="-3"/>
                <w:sz w:val="14"/>
              </w:rPr>
              <w:t> </w:t>
            </w:r>
            <w:r>
              <w:rPr>
                <w:sz w:val="14"/>
              </w:rPr>
              <w:t>Profit</w:t>
            </w:r>
            <w:r>
              <w:rPr>
                <w:spacing w:val="-4"/>
                <w:sz w:val="14"/>
              </w:rPr>
              <w:t> </w:t>
            </w:r>
            <w:r>
              <w:rPr>
                <w:sz w:val="14"/>
              </w:rPr>
              <w:t>casual hour</w:t>
            </w:r>
            <w:r>
              <w:rPr>
                <w:spacing w:val="-2"/>
                <w:sz w:val="14"/>
              </w:rPr>
              <w:t> </w:t>
            </w:r>
            <w:r>
              <w:rPr>
                <w:sz w:val="14"/>
              </w:rPr>
              <w:t>rate</w:t>
            </w:r>
            <w:r>
              <w:rPr>
                <w:spacing w:val="-4"/>
                <w:sz w:val="14"/>
              </w:rPr>
              <w:t> </w:t>
            </w:r>
            <w:r>
              <w:rPr>
                <w:sz w:val="14"/>
              </w:rPr>
              <w:t>-</w:t>
            </w:r>
            <w:r>
              <w:rPr>
                <w:spacing w:val="-2"/>
                <w:sz w:val="14"/>
              </w:rPr>
              <w:t> </w:t>
            </w:r>
            <w:r>
              <w:rPr>
                <w:sz w:val="14"/>
              </w:rPr>
              <w:t>Jan</w:t>
            </w:r>
            <w:r>
              <w:rPr>
                <w:spacing w:val="-4"/>
                <w:sz w:val="14"/>
              </w:rPr>
              <w:t> </w:t>
            </w:r>
            <w:r>
              <w:rPr>
                <w:sz w:val="14"/>
              </w:rPr>
              <w:t>to</w:t>
            </w:r>
            <w:r>
              <w:rPr>
                <w:spacing w:val="-2"/>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29.96</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32.21</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Keystone</w:t>
            </w:r>
            <w:r>
              <w:rPr>
                <w:spacing w:val="-3"/>
                <w:sz w:val="14"/>
              </w:rPr>
              <w:t> </w:t>
            </w:r>
            <w:r>
              <w:rPr>
                <w:sz w:val="14"/>
              </w:rPr>
              <w:t>Hall</w:t>
            </w:r>
            <w:r>
              <w:rPr>
                <w:spacing w:val="-3"/>
                <w:sz w:val="14"/>
              </w:rPr>
              <w:t> </w:t>
            </w:r>
            <w:r>
              <w:rPr>
                <w:sz w:val="14"/>
              </w:rPr>
              <w:t>Not</w:t>
            </w:r>
            <w:r>
              <w:rPr>
                <w:spacing w:val="-3"/>
                <w:sz w:val="14"/>
              </w:rPr>
              <w:t> </w:t>
            </w:r>
            <w:r>
              <w:rPr>
                <w:sz w:val="14"/>
              </w:rPr>
              <w:t>for</w:t>
            </w:r>
            <w:r>
              <w:rPr>
                <w:spacing w:val="-4"/>
                <w:sz w:val="14"/>
              </w:rPr>
              <w:t> </w:t>
            </w:r>
            <w:r>
              <w:rPr>
                <w:sz w:val="14"/>
              </w:rPr>
              <w:t>Profit</w:t>
            </w:r>
            <w:r>
              <w:rPr>
                <w:spacing w:val="-3"/>
                <w:sz w:val="14"/>
              </w:rPr>
              <w:t> </w:t>
            </w:r>
            <w:r>
              <w:rPr>
                <w:sz w:val="14"/>
              </w:rPr>
              <w:t>regular</w:t>
            </w:r>
            <w:r>
              <w:rPr>
                <w:spacing w:val="-1"/>
                <w:sz w:val="14"/>
              </w:rPr>
              <w:t> </w:t>
            </w:r>
            <w:r>
              <w:rPr>
                <w:sz w:val="14"/>
              </w:rPr>
              <w:t>hour</w:t>
            </w:r>
            <w:r>
              <w:rPr>
                <w:spacing w:val="-5"/>
                <w:sz w:val="14"/>
              </w:rPr>
              <w:t> </w:t>
            </w:r>
            <w:r>
              <w:rPr>
                <w:sz w:val="14"/>
              </w:rPr>
              <w:t>rate</w:t>
            </w:r>
            <w:r>
              <w:rPr>
                <w:spacing w:val="-1"/>
                <w:sz w:val="14"/>
              </w:rPr>
              <w:t> </w:t>
            </w:r>
            <w:r>
              <w:rPr>
                <w:sz w:val="14"/>
              </w:rPr>
              <w:t>-</w:t>
            </w:r>
            <w:r>
              <w:rPr>
                <w:spacing w:val="-4"/>
                <w:sz w:val="14"/>
              </w:rPr>
              <w:t> </w:t>
            </w:r>
            <w:r>
              <w:rPr>
                <w:sz w:val="14"/>
              </w:rPr>
              <w:t>Jul</w:t>
            </w:r>
            <w:r>
              <w:rPr>
                <w:spacing w:val="-3"/>
                <w:sz w:val="14"/>
              </w:rPr>
              <w:t> </w:t>
            </w:r>
            <w:r>
              <w:rPr>
                <w:sz w:val="14"/>
              </w:rPr>
              <w:t>to</w:t>
            </w:r>
            <w:r>
              <w:rPr>
                <w:spacing w:val="-2"/>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23.54</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25.31</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Keystone</w:t>
            </w:r>
            <w:r>
              <w:rPr>
                <w:spacing w:val="-3"/>
                <w:sz w:val="14"/>
              </w:rPr>
              <w:t> </w:t>
            </w:r>
            <w:r>
              <w:rPr>
                <w:sz w:val="14"/>
              </w:rPr>
              <w:t>Hall</w:t>
            </w:r>
            <w:r>
              <w:rPr>
                <w:spacing w:val="-3"/>
                <w:sz w:val="14"/>
              </w:rPr>
              <w:t> </w:t>
            </w:r>
            <w:r>
              <w:rPr>
                <w:sz w:val="14"/>
              </w:rPr>
              <w:t>Not</w:t>
            </w:r>
            <w:r>
              <w:rPr>
                <w:spacing w:val="-3"/>
                <w:sz w:val="14"/>
              </w:rPr>
              <w:t> </w:t>
            </w:r>
            <w:r>
              <w:rPr>
                <w:sz w:val="14"/>
              </w:rPr>
              <w:t>for</w:t>
            </w:r>
            <w:r>
              <w:rPr>
                <w:spacing w:val="-3"/>
                <w:sz w:val="14"/>
              </w:rPr>
              <w:t> </w:t>
            </w:r>
            <w:r>
              <w:rPr>
                <w:sz w:val="14"/>
              </w:rPr>
              <w:t>Profit</w:t>
            </w:r>
            <w:r>
              <w:rPr>
                <w:spacing w:val="-3"/>
                <w:sz w:val="14"/>
              </w:rPr>
              <w:t> </w:t>
            </w:r>
            <w:r>
              <w:rPr>
                <w:sz w:val="14"/>
              </w:rPr>
              <w:t>regular</w:t>
            </w:r>
            <w:r>
              <w:rPr>
                <w:spacing w:val="-1"/>
                <w:sz w:val="14"/>
              </w:rPr>
              <w:t> </w:t>
            </w:r>
            <w:r>
              <w:rPr>
                <w:sz w:val="14"/>
              </w:rPr>
              <w:t>hour</w:t>
            </w:r>
            <w:r>
              <w:rPr>
                <w:spacing w:val="-4"/>
                <w:sz w:val="14"/>
              </w:rPr>
              <w:t> </w:t>
            </w:r>
            <w:r>
              <w:rPr>
                <w:sz w:val="14"/>
              </w:rPr>
              <w:t>rate</w:t>
            </w:r>
            <w:r>
              <w:rPr>
                <w:spacing w:val="-1"/>
                <w:sz w:val="14"/>
              </w:rPr>
              <w:t> </w:t>
            </w:r>
            <w:r>
              <w:rPr>
                <w:sz w:val="14"/>
              </w:rPr>
              <w:t>-</w:t>
            </w:r>
            <w:r>
              <w:rPr>
                <w:spacing w:val="-4"/>
                <w:sz w:val="14"/>
              </w:rPr>
              <w:t> </w:t>
            </w:r>
            <w:r>
              <w:rPr>
                <w:sz w:val="14"/>
              </w:rPr>
              <w:t>Jan</w:t>
            </w:r>
            <w:r>
              <w:rPr>
                <w:spacing w:val="-4"/>
                <w:sz w:val="14"/>
              </w:rPr>
              <w:t> </w:t>
            </w:r>
            <w:r>
              <w:rPr>
                <w:sz w:val="14"/>
              </w:rPr>
              <w:t>to</w:t>
            </w:r>
            <w:r>
              <w:rPr>
                <w:spacing w:val="-4"/>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23.54</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25.31</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Keystone</w:t>
            </w:r>
            <w:r>
              <w:rPr>
                <w:spacing w:val="-2"/>
                <w:sz w:val="14"/>
              </w:rPr>
              <w:t> </w:t>
            </w:r>
            <w:r>
              <w:rPr>
                <w:sz w:val="14"/>
              </w:rPr>
              <w:t>Hall</w:t>
            </w:r>
            <w:r>
              <w:rPr>
                <w:spacing w:val="-3"/>
                <w:sz w:val="14"/>
              </w:rPr>
              <w:t> </w:t>
            </w:r>
            <w:r>
              <w:rPr>
                <w:sz w:val="14"/>
              </w:rPr>
              <w:t>Not</w:t>
            </w:r>
            <w:r>
              <w:rPr>
                <w:spacing w:val="-3"/>
                <w:sz w:val="14"/>
              </w:rPr>
              <w:t> </w:t>
            </w:r>
            <w:r>
              <w:rPr>
                <w:sz w:val="14"/>
              </w:rPr>
              <w:t>for</w:t>
            </w:r>
            <w:r>
              <w:rPr>
                <w:spacing w:val="-2"/>
                <w:sz w:val="14"/>
              </w:rPr>
              <w:t> </w:t>
            </w:r>
            <w:r>
              <w:rPr>
                <w:sz w:val="14"/>
              </w:rPr>
              <w:t>Profit</w:t>
            </w:r>
            <w:r>
              <w:rPr>
                <w:spacing w:val="-3"/>
                <w:sz w:val="14"/>
              </w:rPr>
              <w:t> </w:t>
            </w:r>
            <w:r>
              <w:rPr>
                <w:sz w:val="14"/>
              </w:rPr>
              <w:t>Night</w:t>
            </w:r>
            <w:r>
              <w:rPr>
                <w:spacing w:val="-3"/>
                <w:sz w:val="14"/>
              </w:rPr>
              <w:t> </w:t>
            </w:r>
            <w:r>
              <w:rPr>
                <w:sz w:val="14"/>
              </w:rPr>
              <w:t>Hire</w:t>
            </w:r>
            <w:r>
              <w:rPr>
                <w:spacing w:val="-2"/>
                <w:sz w:val="14"/>
              </w:rPr>
              <w:t> </w:t>
            </w:r>
            <w:r>
              <w:rPr>
                <w:sz w:val="14"/>
              </w:rPr>
              <w:t>-</w:t>
            </w:r>
            <w:r>
              <w:rPr>
                <w:spacing w:val="-1"/>
                <w:sz w:val="14"/>
              </w:rPr>
              <w:t> </w:t>
            </w:r>
            <w:r>
              <w:rPr>
                <w:sz w:val="14"/>
              </w:rPr>
              <w:t>Jul</w:t>
            </w:r>
            <w:r>
              <w:rPr>
                <w:spacing w:val="-2"/>
                <w:sz w:val="14"/>
              </w:rPr>
              <w:t> </w:t>
            </w:r>
            <w:r>
              <w:rPr>
                <w:sz w:val="14"/>
              </w:rPr>
              <w:t>to</w:t>
            </w:r>
            <w:r>
              <w:rPr>
                <w:spacing w:val="-3"/>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357.38</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384.18</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Keystone</w:t>
            </w:r>
            <w:r>
              <w:rPr>
                <w:spacing w:val="-3"/>
                <w:sz w:val="14"/>
              </w:rPr>
              <w:t> </w:t>
            </w:r>
            <w:r>
              <w:rPr>
                <w:sz w:val="14"/>
              </w:rPr>
              <w:t>Hall</w:t>
            </w:r>
            <w:r>
              <w:rPr>
                <w:spacing w:val="-3"/>
                <w:sz w:val="14"/>
              </w:rPr>
              <w:t> </w:t>
            </w:r>
            <w:r>
              <w:rPr>
                <w:sz w:val="14"/>
              </w:rPr>
              <w:t>Not</w:t>
            </w:r>
            <w:r>
              <w:rPr>
                <w:spacing w:val="-3"/>
                <w:sz w:val="14"/>
              </w:rPr>
              <w:t> </w:t>
            </w:r>
            <w:r>
              <w:rPr>
                <w:sz w:val="14"/>
              </w:rPr>
              <w:t>for</w:t>
            </w:r>
            <w:r>
              <w:rPr>
                <w:spacing w:val="-3"/>
                <w:sz w:val="14"/>
              </w:rPr>
              <w:t> </w:t>
            </w:r>
            <w:r>
              <w:rPr>
                <w:sz w:val="14"/>
              </w:rPr>
              <w:t>Profit</w:t>
            </w:r>
            <w:r>
              <w:rPr>
                <w:spacing w:val="-3"/>
                <w:sz w:val="14"/>
              </w:rPr>
              <w:t> </w:t>
            </w:r>
            <w:r>
              <w:rPr>
                <w:sz w:val="14"/>
              </w:rPr>
              <w:t>Night</w:t>
            </w:r>
            <w:r>
              <w:rPr>
                <w:spacing w:val="-3"/>
                <w:sz w:val="14"/>
              </w:rPr>
              <w:t> </w:t>
            </w:r>
            <w:r>
              <w:rPr>
                <w:sz w:val="14"/>
              </w:rPr>
              <w:t>Hire</w:t>
            </w:r>
            <w:r>
              <w:rPr>
                <w:spacing w:val="-2"/>
                <w:sz w:val="14"/>
              </w:rPr>
              <w:t> </w:t>
            </w:r>
            <w:r>
              <w:rPr>
                <w:sz w:val="14"/>
              </w:rPr>
              <w:t>-</w:t>
            </w:r>
            <w:r>
              <w:rPr>
                <w:spacing w:val="-1"/>
                <w:sz w:val="14"/>
              </w:rPr>
              <w:t> </w:t>
            </w:r>
            <w:r>
              <w:rPr>
                <w:sz w:val="14"/>
              </w:rPr>
              <w:t>Jan to</w:t>
            </w:r>
            <w:r>
              <w:rPr>
                <w:spacing w:val="-1"/>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357.38</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384.18</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Keystone</w:t>
            </w:r>
            <w:r>
              <w:rPr>
                <w:spacing w:val="-4"/>
                <w:sz w:val="14"/>
              </w:rPr>
              <w:t> </w:t>
            </w:r>
            <w:r>
              <w:rPr>
                <w:sz w:val="14"/>
              </w:rPr>
              <w:t>Hall</w:t>
            </w:r>
            <w:r>
              <w:rPr>
                <w:spacing w:val="-4"/>
                <w:sz w:val="14"/>
              </w:rPr>
              <w:t> </w:t>
            </w:r>
            <w:r>
              <w:rPr>
                <w:sz w:val="14"/>
              </w:rPr>
              <w:t>Community</w:t>
            </w:r>
            <w:r>
              <w:rPr>
                <w:spacing w:val="-1"/>
                <w:sz w:val="14"/>
              </w:rPr>
              <w:t> </w:t>
            </w:r>
            <w:r>
              <w:rPr>
                <w:sz w:val="14"/>
              </w:rPr>
              <w:t>casual</w:t>
            </w:r>
            <w:r>
              <w:rPr>
                <w:spacing w:val="-2"/>
                <w:sz w:val="14"/>
              </w:rPr>
              <w:t> </w:t>
            </w:r>
            <w:r>
              <w:rPr>
                <w:sz w:val="14"/>
              </w:rPr>
              <w:t>hour</w:t>
            </w:r>
            <w:r>
              <w:rPr>
                <w:spacing w:val="-2"/>
                <w:sz w:val="14"/>
              </w:rPr>
              <w:t> </w:t>
            </w:r>
            <w:r>
              <w:rPr>
                <w:sz w:val="14"/>
              </w:rPr>
              <w:t>rate</w:t>
            </w:r>
            <w:r>
              <w:rPr>
                <w:spacing w:val="-5"/>
                <w:sz w:val="14"/>
              </w:rPr>
              <w:t> </w:t>
            </w:r>
            <w:r>
              <w:rPr>
                <w:sz w:val="14"/>
              </w:rPr>
              <w:t>-</w:t>
            </w:r>
            <w:r>
              <w:rPr>
                <w:spacing w:val="-2"/>
                <w:sz w:val="14"/>
              </w:rPr>
              <w:t> </w:t>
            </w:r>
            <w:r>
              <w:rPr>
                <w:sz w:val="14"/>
              </w:rPr>
              <w:t>Jul</w:t>
            </w:r>
            <w:r>
              <w:rPr>
                <w:spacing w:val="-4"/>
                <w:sz w:val="14"/>
              </w:rPr>
              <w:t> </w:t>
            </w:r>
            <w:r>
              <w:rPr>
                <w:sz w:val="14"/>
              </w:rPr>
              <w:t>to</w:t>
            </w:r>
            <w:r>
              <w:rPr>
                <w:spacing w:val="-5"/>
                <w:sz w:val="14"/>
              </w:rPr>
              <w:t> 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33.17</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35.66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Keystone</w:t>
            </w:r>
            <w:r>
              <w:rPr>
                <w:spacing w:val="-4"/>
                <w:sz w:val="14"/>
              </w:rPr>
              <w:t> </w:t>
            </w:r>
            <w:r>
              <w:rPr>
                <w:sz w:val="14"/>
              </w:rPr>
              <w:t>Hall</w:t>
            </w:r>
            <w:r>
              <w:rPr>
                <w:spacing w:val="-5"/>
                <w:sz w:val="14"/>
              </w:rPr>
              <w:t> </w:t>
            </w:r>
            <w:r>
              <w:rPr>
                <w:sz w:val="14"/>
              </w:rPr>
              <w:t>Community</w:t>
            </w:r>
            <w:r>
              <w:rPr>
                <w:spacing w:val="-1"/>
                <w:sz w:val="14"/>
              </w:rPr>
              <w:t> </w:t>
            </w:r>
            <w:r>
              <w:rPr>
                <w:sz w:val="14"/>
              </w:rPr>
              <w:t>casual</w:t>
            </w:r>
            <w:r>
              <w:rPr>
                <w:spacing w:val="-2"/>
                <w:sz w:val="14"/>
              </w:rPr>
              <w:t> </w:t>
            </w:r>
            <w:r>
              <w:rPr>
                <w:sz w:val="14"/>
              </w:rPr>
              <w:t>hour</w:t>
            </w:r>
            <w:r>
              <w:rPr>
                <w:spacing w:val="-3"/>
                <w:sz w:val="14"/>
              </w:rPr>
              <w:t> </w:t>
            </w:r>
            <w:r>
              <w:rPr>
                <w:sz w:val="14"/>
              </w:rPr>
              <w:t>rate</w:t>
            </w:r>
            <w:r>
              <w:rPr>
                <w:spacing w:val="-5"/>
                <w:sz w:val="14"/>
              </w:rPr>
              <w:t> </w:t>
            </w:r>
            <w:r>
              <w:rPr>
                <w:sz w:val="14"/>
              </w:rPr>
              <w:t>-</w:t>
            </w:r>
            <w:r>
              <w:rPr>
                <w:spacing w:val="-3"/>
                <w:sz w:val="14"/>
              </w:rPr>
              <w:t> </w:t>
            </w:r>
            <w:r>
              <w:rPr>
                <w:sz w:val="14"/>
              </w:rPr>
              <w:t>Jan</w:t>
            </w:r>
            <w:r>
              <w:rPr>
                <w:spacing w:val="-2"/>
                <w:sz w:val="14"/>
              </w:rPr>
              <w:t> </w:t>
            </w:r>
            <w:r>
              <w:rPr>
                <w:sz w:val="14"/>
              </w:rPr>
              <w:t>to</w:t>
            </w:r>
            <w:r>
              <w:rPr>
                <w:spacing w:val="-3"/>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33.17</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35.66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Keystone</w:t>
            </w:r>
            <w:r>
              <w:rPr>
                <w:spacing w:val="-4"/>
                <w:sz w:val="14"/>
              </w:rPr>
              <w:t> </w:t>
            </w:r>
            <w:r>
              <w:rPr>
                <w:sz w:val="14"/>
              </w:rPr>
              <w:t>Hall</w:t>
            </w:r>
            <w:r>
              <w:rPr>
                <w:spacing w:val="-3"/>
                <w:sz w:val="14"/>
              </w:rPr>
              <w:t> </w:t>
            </w:r>
            <w:r>
              <w:rPr>
                <w:sz w:val="14"/>
              </w:rPr>
              <w:t>Community</w:t>
            </w:r>
            <w:r>
              <w:rPr>
                <w:spacing w:val="-2"/>
                <w:sz w:val="14"/>
              </w:rPr>
              <w:t> </w:t>
            </w:r>
            <w:r>
              <w:rPr>
                <w:sz w:val="14"/>
              </w:rPr>
              <w:t>regular</w:t>
            </w:r>
            <w:r>
              <w:rPr>
                <w:spacing w:val="-2"/>
                <w:sz w:val="14"/>
              </w:rPr>
              <w:t> </w:t>
            </w:r>
            <w:r>
              <w:rPr>
                <w:sz w:val="14"/>
              </w:rPr>
              <w:t>hour</w:t>
            </w:r>
            <w:r>
              <w:rPr>
                <w:spacing w:val="-2"/>
                <w:sz w:val="14"/>
              </w:rPr>
              <w:t> </w:t>
            </w:r>
            <w:r>
              <w:rPr>
                <w:sz w:val="14"/>
              </w:rPr>
              <w:t>rate</w:t>
            </w:r>
            <w:r>
              <w:rPr>
                <w:spacing w:val="-5"/>
                <w:sz w:val="14"/>
              </w:rPr>
              <w:t> </w:t>
            </w:r>
            <w:r>
              <w:rPr>
                <w:sz w:val="14"/>
              </w:rPr>
              <w:t>-</w:t>
            </w:r>
            <w:r>
              <w:rPr>
                <w:spacing w:val="-2"/>
                <w:sz w:val="14"/>
              </w:rPr>
              <w:t> </w:t>
            </w:r>
            <w:r>
              <w:rPr>
                <w:sz w:val="14"/>
              </w:rPr>
              <w:t>Jul</w:t>
            </w:r>
            <w:r>
              <w:rPr>
                <w:spacing w:val="-4"/>
                <w:sz w:val="14"/>
              </w:rPr>
              <w:t> </w:t>
            </w:r>
            <w:r>
              <w:rPr>
                <w:sz w:val="14"/>
              </w:rPr>
              <w:t>to</w:t>
            </w:r>
            <w:r>
              <w:rPr>
                <w:spacing w:val="-4"/>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26.75</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28.76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Keystone</w:t>
            </w:r>
            <w:r>
              <w:rPr>
                <w:spacing w:val="-4"/>
                <w:sz w:val="14"/>
              </w:rPr>
              <w:t> </w:t>
            </w:r>
            <w:r>
              <w:rPr>
                <w:sz w:val="14"/>
              </w:rPr>
              <w:t>Hall</w:t>
            </w:r>
            <w:r>
              <w:rPr>
                <w:spacing w:val="-3"/>
                <w:sz w:val="14"/>
              </w:rPr>
              <w:t> </w:t>
            </w:r>
            <w:r>
              <w:rPr>
                <w:sz w:val="14"/>
              </w:rPr>
              <w:t>Community</w:t>
            </w:r>
            <w:r>
              <w:rPr>
                <w:spacing w:val="-3"/>
                <w:sz w:val="14"/>
              </w:rPr>
              <w:t> </w:t>
            </w:r>
            <w:r>
              <w:rPr>
                <w:sz w:val="14"/>
              </w:rPr>
              <w:t>regular</w:t>
            </w:r>
            <w:r>
              <w:rPr>
                <w:spacing w:val="-2"/>
                <w:sz w:val="14"/>
              </w:rPr>
              <w:t> </w:t>
            </w:r>
            <w:r>
              <w:rPr>
                <w:sz w:val="14"/>
              </w:rPr>
              <w:t>hour</w:t>
            </w:r>
            <w:r>
              <w:rPr>
                <w:spacing w:val="-3"/>
                <w:sz w:val="14"/>
              </w:rPr>
              <w:t> </w:t>
            </w:r>
            <w:r>
              <w:rPr>
                <w:sz w:val="14"/>
              </w:rPr>
              <w:t>rate</w:t>
            </w:r>
            <w:r>
              <w:rPr>
                <w:spacing w:val="-5"/>
                <w:sz w:val="14"/>
              </w:rPr>
              <w:t> </w:t>
            </w:r>
            <w:r>
              <w:rPr>
                <w:sz w:val="14"/>
              </w:rPr>
              <w:t>-</w:t>
            </w:r>
            <w:r>
              <w:rPr>
                <w:spacing w:val="-2"/>
                <w:sz w:val="14"/>
              </w:rPr>
              <w:t> </w:t>
            </w:r>
            <w:r>
              <w:rPr>
                <w:sz w:val="14"/>
              </w:rPr>
              <w:t>Jan</w:t>
            </w:r>
            <w:r>
              <w:rPr>
                <w:spacing w:val="-3"/>
                <w:sz w:val="14"/>
              </w:rPr>
              <w:t> </w:t>
            </w:r>
            <w:r>
              <w:rPr>
                <w:sz w:val="14"/>
              </w:rPr>
              <w:t>to</w:t>
            </w:r>
            <w:r>
              <w:rPr>
                <w:spacing w:val="-2"/>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26.75</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28.76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Keystone</w:t>
            </w:r>
            <w:r>
              <w:rPr>
                <w:spacing w:val="-3"/>
                <w:sz w:val="14"/>
              </w:rPr>
              <w:t> </w:t>
            </w:r>
            <w:r>
              <w:rPr>
                <w:sz w:val="14"/>
              </w:rPr>
              <w:t>Hall</w:t>
            </w:r>
            <w:r>
              <w:rPr>
                <w:spacing w:val="-4"/>
                <w:sz w:val="14"/>
              </w:rPr>
              <w:t> </w:t>
            </w:r>
            <w:r>
              <w:rPr>
                <w:sz w:val="14"/>
              </w:rPr>
              <w:t>Community</w:t>
            </w:r>
            <w:r>
              <w:rPr>
                <w:spacing w:val="-3"/>
                <w:sz w:val="14"/>
              </w:rPr>
              <w:t> </w:t>
            </w:r>
            <w:r>
              <w:rPr>
                <w:sz w:val="14"/>
              </w:rPr>
              <w:t>Night</w:t>
            </w:r>
            <w:r>
              <w:rPr>
                <w:spacing w:val="-5"/>
                <w:sz w:val="14"/>
              </w:rPr>
              <w:t> </w:t>
            </w:r>
            <w:r>
              <w:rPr>
                <w:sz w:val="14"/>
              </w:rPr>
              <w:t>Hire</w:t>
            </w:r>
            <w:r>
              <w:rPr>
                <w:spacing w:val="-3"/>
                <w:sz w:val="14"/>
              </w:rPr>
              <w:t> </w:t>
            </w:r>
            <w:r>
              <w:rPr>
                <w:sz w:val="14"/>
              </w:rPr>
              <w:t>- Jul</w:t>
            </w:r>
            <w:r>
              <w:rPr>
                <w:spacing w:val="-3"/>
                <w:sz w:val="14"/>
              </w:rPr>
              <w:t> </w:t>
            </w:r>
            <w:r>
              <w:rPr>
                <w:sz w:val="14"/>
              </w:rPr>
              <w:t>to</w:t>
            </w:r>
            <w:r>
              <w:rPr>
                <w:spacing w:val="-3"/>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388.41</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417.54</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Keystone</w:t>
            </w:r>
            <w:r>
              <w:rPr>
                <w:spacing w:val="-3"/>
                <w:sz w:val="14"/>
              </w:rPr>
              <w:t> </w:t>
            </w:r>
            <w:r>
              <w:rPr>
                <w:sz w:val="14"/>
              </w:rPr>
              <w:t>Hall</w:t>
            </w:r>
            <w:r>
              <w:rPr>
                <w:spacing w:val="-4"/>
                <w:sz w:val="14"/>
              </w:rPr>
              <w:t> </w:t>
            </w:r>
            <w:r>
              <w:rPr>
                <w:sz w:val="14"/>
              </w:rPr>
              <w:t>Community</w:t>
            </w:r>
            <w:r>
              <w:rPr>
                <w:spacing w:val="-3"/>
                <w:sz w:val="14"/>
              </w:rPr>
              <w:t> </w:t>
            </w:r>
            <w:r>
              <w:rPr>
                <w:sz w:val="14"/>
              </w:rPr>
              <w:t>Night</w:t>
            </w:r>
            <w:r>
              <w:rPr>
                <w:spacing w:val="-4"/>
                <w:sz w:val="14"/>
              </w:rPr>
              <w:t> </w:t>
            </w:r>
            <w:r>
              <w:rPr>
                <w:sz w:val="14"/>
              </w:rPr>
              <w:t>Hire</w:t>
            </w:r>
            <w:r>
              <w:rPr>
                <w:spacing w:val="-4"/>
                <w:sz w:val="14"/>
              </w:rPr>
              <w:t> </w:t>
            </w:r>
            <w:r>
              <w:rPr>
                <w:sz w:val="14"/>
              </w:rPr>
              <w:t>- Jan</w:t>
            </w:r>
            <w:r>
              <w:rPr>
                <w:spacing w:val="-4"/>
                <w:sz w:val="14"/>
              </w:rPr>
              <w:t> </w:t>
            </w:r>
            <w:r>
              <w:rPr>
                <w:sz w:val="14"/>
              </w:rPr>
              <w:t>to</w:t>
            </w:r>
            <w:r>
              <w:rPr>
                <w:spacing w:val="-4"/>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388.41</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417.54</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Keystone</w:t>
            </w:r>
            <w:r>
              <w:rPr>
                <w:spacing w:val="-3"/>
                <w:sz w:val="14"/>
              </w:rPr>
              <w:t> </w:t>
            </w:r>
            <w:r>
              <w:rPr>
                <w:sz w:val="14"/>
              </w:rPr>
              <w:t>Hall</w:t>
            </w:r>
            <w:r>
              <w:rPr>
                <w:spacing w:val="-4"/>
                <w:sz w:val="14"/>
              </w:rPr>
              <w:t> </w:t>
            </w:r>
            <w:r>
              <w:rPr>
                <w:sz w:val="14"/>
              </w:rPr>
              <w:t>Corporate</w:t>
            </w:r>
            <w:r>
              <w:rPr>
                <w:spacing w:val="-5"/>
                <w:sz w:val="14"/>
              </w:rPr>
              <w:t> </w:t>
            </w:r>
            <w:r>
              <w:rPr>
                <w:sz w:val="14"/>
              </w:rPr>
              <w:t>casual</w:t>
            </w:r>
            <w:r>
              <w:rPr>
                <w:spacing w:val="-1"/>
                <w:sz w:val="14"/>
              </w:rPr>
              <w:t> </w:t>
            </w:r>
            <w:r>
              <w:rPr>
                <w:sz w:val="14"/>
              </w:rPr>
              <w:t>hour</w:t>
            </w:r>
            <w:r>
              <w:rPr>
                <w:spacing w:val="-2"/>
                <w:sz w:val="14"/>
              </w:rPr>
              <w:t> </w:t>
            </w:r>
            <w:r>
              <w:rPr>
                <w:sz w:val="14"/>
              </w:rPr>
              <w:t>rate</w:t>
            </w:r>
            <w:r>
              <w:rPr>
                <w:spacing w:val="-4"/>
                <w:sz w:val="14"/>
              </w:rPr>
              <w:t> </w:t>
            </w:r>
            <w:r>
              <w:rPr>
                <w:sz w:val="14"/>
              </w:rPr>
              <w:t>-</w:t>
            </w:r>
            <w:r>
              <w:rPr>
                <w:spacing w:val="-2"/>
                <w:sz w:val="14"/>
              </w:rPr>
              <w:t> </w:t>
            </w:r>
            <w:r>
              <w:rPr>
                <w:sz w:val="14"/>
              </w:rPr>
              <w:t>Jul</w:t>
            </w:r>
            <w:r>
              <w:rPr>
                <w:spacing w:val="-4"/>
                <w:sz w:val="14"/>
              </w:rPr>
              <w:t> </w:t>
            </w:r>
            <w:r>
              <w:rPr>
                <w:sz w:val="14"/>
              </w:rPr>
              <w:t>to</w:t>
            </w:r>
            <w:r>
              <w:rPr>
                <w:spacing w:val="-4"/>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39.59</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42.56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Keystone</w:t>
            </w:r>
            <w:r>
              <w:rPr>
                <w:spacing w:val="-4"/>
                <w:sz w:val="14"/>
              </w:rPr>
              <w:t> </w:t>
            </w:r>
            <w:r>
              <w:rPr>
                <w:sz w:val="14"/>
              </w:rPr>
              <w:t>Hall</w:t>
            </w:r>
            <w:r>
              <w:rPr>
                <w:spacing w:val="-4"/>
                <w:sz w:val="14"/>
              </w:rPr>
              <w:t> </w:t>
            </w:r>
            <w:r>
              <w:rPr>
                <w:sz w:val="14"/>
              </w:rPr>
              <w:t>Corporate</w:t>
            </w:r>
            <w:r>
              <w:rPr>
                <w:spacing w:val="-4"/>
                <w:sz w:val="14"/>
              </w:rPr>
              <w:t> </w:t>
            </w:r>
            <w:r>
              <w:rPr>
                <w:sz w:val="14"/>
              </w:rPr>
              <w:t>casual</w:t>
            </w:r>
            <w:r>
              <w:rPr>
                <w:spacing w:val="-2"/>
                <w:sz w:val="14"/>
              </w:rPr>
              <w:t> </w:t>
            </w:r>
            <w:r>
              <w:rPr>
                <w:sz w:val="14"/>
              </w:rPr>
              <w:t>hour</w:t>
            </w:r>
            <w:r>
              <w:rPr>
                <w:spacing w:val="-2"/>
                <w:sz w:val="14"/>
              </w:rPr>
              <w:t> </w:t>
            </w:r>
            <w:r>
              <w:rPr>
                <w:sz w:val="14"/>
              </w:rPr>
              <w:t>rate</w:t>
            </w:r>
            <w:r>
              <w:rPr>
                <w:spacing w:val="-4"/>
                <w:sz w:val="14"/>
              </w:rPr>
              <w:t> </w:t>
            </w:r>
            <w:r>
              <w:rPr>
                <w:sz w:val="14"/>
              </w:rPr>
              <w:t>-</w:t>
            </w:r>
            <w:r>
              <w:rPr>
                <w:spacing w:val="-2"/>
                <w:sz w:val="14"/>
              </w:rPr>
              <w:t> </w:t>
            </w:r>
            <w:r>
              <w:rPr>
                <w:sz w:val="14"/>
              </w:rPr>
              <w:t>Jan</w:t>
            </w:r>
            <w:r>
              <w:rPr>
                <w:spacing w:val="-5"/>
                <w:sz w:val="14"/>
              </w:rPr>
              <w:t> </w:t>
            </w:r>
            <w:r>
              <w:rPr>
                <w:sz w:val="14"/>
              </w:rPr>
              <w:t>to</w:t>
            </w:r>
            <w:r>
              <w:rPr>
                <w:spacing w:val="-2"/>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39.59</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42.56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Keystone</w:t>
            </w:r>
            <w:r>
              <w:rPr>
                <w:spacing w:val="-3"/>
                <w:sz w:val="14"/>
              </w:rPr>
              <w:t> </w:t>
            </w:r>
            <w:r>
              <w:rPr>
                <w:sz w:val="14"/>
              </w:rPr>
              <w:t>Hall</w:t>
            </w:r>
            <w:r>
              <w:rPr>
                <w:spacing w:val="-3"/>
                <w:sz w:val="14"/>
              </w:rPr>
              <w:t> </w:t>
            </w:r>
            <w:r>
              <w:rPr>
                <w:sz w:val="14"/>
              </w:rPr>
              <w:t>Corporate</w:t>
            </w:r>
            <w:r>
              <w:rPr>
                <w:spacing w:val="-5"/>
                <w:sz w:val="14"/>
              </w:rPr>
              <w:t> </w:t>
            </w:r>
            <w:r>
              <w:rPr>
                <w:sz w:val="14"/>
              </w:rPr>
              <w:t>regular</w:t>
            </w:r>
            <w:r>
              <w:rPr>
                <w:spacing w:val="-2"/>
                <w:sz w:val="14"/>
              </w:rPr>
              <w:t> </w:t>
            </w:r>
            <w:r>
              <w:rPr>
                <w:sz w:val="14"/>
              </w:rPr>
              <w:t>hour</w:t>
            </w:r>
            <w:r>
              <w:rPr>
                <w:spacing w:val="-2"/>
                <w:sz w:val="14"/>
              </w:rPr>
              <w:t> </w:t>
            </w:r>
            <w:r>
              <w:rPr>
                <w:sz w:val="14"/>
              </w:rPr>
              <w:t>rate</w:t>
            </w:r>
            <w:r>
              <w:rPr>
                <w:spacing w:val="-3"/>
                <w:sz w:val="14"/>
              </w:rPr>
              <w:t> </w:t>
            </w:r>
            <w:r>
              <w:rPr>
                <w:sz w:val="14"/>
              </w:rPr>
              <w:t>-</w:t>
            </w:r>
            <w:r>
              <w:rPr>
                <w:spacing w:val="-4"/>
                <w:sz w:val="14"/>
              </w:rPr>
              <w:t> </w:t>
            </w:r>
            <w:r>
              <w:rPr>
                <w:sz w:val="14"/>
              </w:rPr>
              <w:t>Jul</w:t>
            </w:r>
            <w:r>
              <w:rPr>
                <w:spacing w:val="-4"/>
                <w:sz w:val="14"/>
              </w:rPr>
              <w:t> </w:t>
            </w:r>
            <w:r>
              <w:rPr>
                <w:sz w:val="14"/>
              </w:rPr>
              <w:t>to</w:t>
            </w:r>
            <w:r>
              <w:rPr>
                <w:spacing w:val="-2"/>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33.17</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35.66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Keystone</w:t>
            </w:r>
            <w:r>
              <w:rPr>
                <w:spacing w:val="-3"/>
                <w:sz w:val="14"/>
              </w:rPr>
              <w:t> </w:t>
            </w:r>
            <w:r>
              <w:rPr>
                <w:sz w:val="14"/>
              </w:rPr>
              <w:t>Hall</w:t>
            </w:r>
            <w:r>
              <w:rPr>
                <w:spacing w:val="-3"/>
                <w:sz w:val="14"/>
              </w:rPr>
              <w:t> </w:t>
            </w:r>
            <w:r>
              <w:rPr>
                <w:sz w:val="14"/>
              </w:rPr>
              <w:t>Corporate</w:t>
            </w:r>
            <w:r>
              <w:rPr>
                <w:spacing w:val="-4"/>
                <w:sz w:val="14"/>
              </w:rPr>
              <w:t> </w:t>
            </w:r>
            <w:r>
              <w:rPr>
                <w:sz w:val="14"/>
              </w:rPr>
              <w:t>regular</w:t>
            </w:r>
            <w:r>
              <w:rPr>
                <w:spacing w:val="-2"/>
                <w:sz w:val="14"/>
              </w:rPr>
              <w:t> </w:t>
            </w:r>
            <w:r>
              <w:rPr>
                <w:sz w:val="14"/>
              </w:rPr>
              <w:t>hour</w:t>
            </w:r>
            <w:r>
              <w:rPr>
                <w:spacing w:val="-1"/>
                <w:sz w:val="14"/>
              </w:rPr>
              <w:t> </w:t>
            </w:r>
            <w:r>
              <w:rPr>
                <w:sz w:val="14"/>
              </w:rPr>
              <w:t>rate</w:t>
            </w:r>
            <w:r>
              <w:rPr>
                <w:spacing w:val="-3"/>
                <w:sz w:val="14"/>
              </w:rPr>
              <w:t> </w:t>
            </w:r>
            <w:r>
              <w:rPr>
                <w:sz w:val="14"/>
              </w:rPr>
              <w:t>-</w:t>
            </w:r>
            <w:r>
              <w:rPr>
                <w:spacing w:val="-5"/>
                <w:sz w:val="14"/>
              </w:rPr>
              <w:t> </w:t>
            </w:r>
            <w:r>
              <w:rPr>
                <w:sz w:val="14"/>
              </w:rPr>
              <w:t>Jan</w:t>
            </w:r>
            <w:r>
              <w:rPr>
                <w:spacing w:val="-4"/>
                <w:sz w:val="14"/>
              </w:rPr>
              <w:t> </w:t>
            </w:r>
            <w:r>
              <w:rPr>
                <w:sz w:val="14"/>
              </w:rPr>
              <w:t>to</w:t>
            </w:r>
            <w:r>
              <w:rPr>
                <w:spacing w:val="-4"/>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33.17</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35.66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Keystone</w:t>
            </w:r>
            <w:r>
              <w:rPr>
                <w:spacing w:val="-3"/>
                <w:sz w:val="14"/>
              </w:rPr>
              <w:t> </w:t>
            </w:r>
            <w:r>
              <w:rPr>
                <w:sz w:val="14"/>
              </w:rPr>
              <w:t>Hall</w:t>
            </w:r>
            <w:r>
              <w:rPr>
                <w:spacing w:val="-3"/>
                <w:sz w:val="14"/>
              </w:rPr>
              <w:t> </w:t>
            </w:r>
            <w:r>
              <w:rPr>
                <w:sz w:val="14"/>
              </w:rPr>
              <w:t>Corporate</w:t>
            </w:r>
            <w:r>
              <w:rPr>
                <w:spacing w:val="-5"/>
                <w:sz w:val="14"/>
              </w:rPr>
              <w:t> </w:t>
            </w:r>
            <w:r>
              <w:rPr>
                <w:sz w:val="14"/>
              </w:rPr>
              <w:t>Night</w:t>
            </w:r>
            <w:r>
              <w:rPr>
                <w:spacing w:val="-4"/>
                <w:sz w:val="14"/>
              </w:rPr>
              <w:t> </w:t>
            </w:r>
            <w:r>
              <w:rPr>
                <w:sz w:val="14"/>
              </w:rPr>
              <w:t>Hire</w:t>
            </w:r>
            <w:r>
              <w:rPr>
                <w:spacing w:val="-2"/>
                <w:sz w:val="14"/>
              </w:rPr>
              <w:t> </w:t>
            </w:r>
            <w:r>
              <w:rPr>
                <w:sz w:val="14"/>
              </w:rPr>
              <w:t>-</w:t>
            </w:r>
            <w:r>
              <w:rPr>
                <w:spacing w:val="-4"/>
                <w:sz w:val="14"/>
              </w:rPr>
              <w:t> </w:t>
            </w:r>
            <w:r>
              <w:rPr>
                <w:sz w:val="14"/>
              </w:rPr>
              <w:t>Jul</w:t>
            </w:r>
            <w:r>
              <w:rPr>
                <w:spacing w:val="-4"/>
                <w:sz w:val="14"/>
              </w:rPr>
              <w:t> </w:t>
            </w:r>
            <w:r>
              <w:rPr>
                <w:sz w:val="14"/>
              </w:rPr>
              <w:t>to</w:t>
            </w:r>
            <w:r>
              <w:rPr>
                <w:spacing w:val="-1"/>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386.27</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415.24</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Keystone</w:t>
            </w:r>
            <w:r>
              <w:rPr>
                <w:spacing w:val="-3"/>
                <w:sz w:val="14"/>
              </w:rPr>
              <w:t> </w:t>
            </w:r>
            <w:r>
              <w:rPr>
                <w:sz w:val="14"/>
              </w:rPr>
              <w:t>Hall</w:t>
            </w:r>
            <w:r>
              <w:rPr>
                <w:spacing w:val="-3"/>
                <w:sz w:val="14"/>
              </w:rPr>
              <w:t> </w:t>
            </w:r>
            <w:r>
              <w:rPr>
                <w:sz w:val="14"/>
              </w:rPr>
              <w:t>Corporate</w:t>
            </w:r>
            <w:r>
              <w:rPr>
                <w:spacing w:val="-4"/>
                <w:sz w:val="14"/>
              </w:rPr>
              <w:t> </w:t>
            </w:r>
            <w:r>
              <w:rPr>
                <w:sz w:val="14"/>
              </w:rPr>
              <w:t>Night</w:t>
            </w:r>
            <w:r>
              <w:rPr>
                <w:spacing w:val="-4"/>
                <w:sz w:val="14"/>
              </w:rPr>
              <w:t> </w:t>
            </w:r>
            <w:r>
              <w:rPr>
                <w:sz w:val="14"/>
              </w:rPr>
              <w:t>Hire</w:t>
            </w:r>
            <w:r>
              <w:rPr>
                <w:spacing w:val="-1"/>
                <w:sz w:val="14"/>
              </w:rPr>
              <w:t> </w:t>
            </w:r>
            <w:r>
              <w:rPr>
                <w:sz w:val="14"/>
              </w:rPr>
              <w:t>-</w:t>
            </w:r>
            <w:r>
              <w:rPr>
                <w:spacing w:val="-4"/>
                <w:sz w:val="14"/>
              </w:rPr>
              <w:t> </w:t>
            </w:r>
            <w:r>
              <w:rPr>
                <w:sz w:val="14"/>
              </w:rPr>
              <w:t>Jan</w:t>
            </w:r>
            <w:r>
              <w:rPr>
                <w:spacing w:val="-5"/>
                <w:sz w:val="14"/>
              </w:rPr>
              <w:t> </w:t>
            </w:r>
            <w:r>
              <w:rPr>
                <w:sz w:val="14"/>
              </w:rPr>
              <w:t>to</w:t>
            </w:r>
            <w:r>
              <w:rPr>
                <w:spacing w:val="-4"/>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386.27</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415.24</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Casual</w:t>
            </w:r>
            <w:r>
              <w:rPr>
                <w:spacing w:val="-5"/>
                <w:sz w:val="14"/>
              </w:rPr>
              <w:t> </w:t>
            </w:r>
            <w:r>
              <w:rPr>
                <w:sz w:val="14"/>
              </w:rPr>
              <w:t>Cleaner</w:t>
            </w:r>
            <w:r>
              <w:rPr>
                <w:spacing w:val="-2"/>
                <w:sz w:val="14"/>
              </w:rPr>
              <w:t> </w:t>
            </w:r>
            <w:r>
              <w:rPr>
                <w:sz w:val="14"/>
              </w:rPr>
              <w:t>3</w:t>
            </w:r>
            <w:r>
              <w:rPr>
                <w:spacing w:val="-6"/>
                <w:sz w:val="14"/>
              </w:rPr>
              <w:t> </w:t>
            </w:r>
            <w:r>
              <w:rPr>
                <w:spacing w:val="-2"/>
                <w:sz w:val="14"/>
              </w:rPr>
              <w:t>hours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128.40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138.03</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Bill</w:t>
            </w:r>
            <w:r>
              <w:rPr>
                <w:b/>
                <w:spacing w:val="-5"/>
                <w:sz w:val="14"/>
              </w:rPr>
              <w:t> </w:t>
            </w:r>
            <w:r>
              <w:rPr>
                <w:b/>
                <w:sz w:val="14"/>
              </w:rPr>
              <w:t>Wilkins</w:t>
            </w:r>
            <w:r>
              <w:rPr>
                <w:b/>
                <w:spacing w:val="-4"/>
                <w:sz w:val="14"/>
              </w:rPr>
              <w:t> </w:t>
            </w:r>
            <w:r>
              <w:rPr>
                <w:b/>
                <w:spacing w:val="-2"/>
                <w:sz w:val="14"/>
              </w:rPr>
              <w:t>Lodge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Bill</w:t>
            </w:r>
            <w:r>
              <w:rPr>
                <w:spacing w:val="-4"/>
                <w:sz w:val="14"/>
              </w:rPr>
              <w:t> </w:t>
            </w:r>
            <w:r>
              <w:rPr>
                <w:sz w:val="14"/>
              </w:rPr>
              <w:t>Wilkins</w:t>
            </w:r>
            <w:r>
              <w:rPr>
                <w:spacing w:val="-3"/>
                <w:sz w:val="14"/>
              </w:rPr>
              <w:t> </w:t>
            </w:r>
            <w:r>
              <w:rPr>
                <w:sz w:val="14"/>
              </w:rPr>
              <w:t>Lodge</w:t>
            </w:r>
            <w:r>
              <w:rPr>
                <w:spacing w:val="-4"/>
                <w:sz w:val="14"/>
              </w:rPr>
              <w:t> </w:t>
            </w:r>
            <w:r>
              <w:rPr>
                <w:sz w:val="14"/>
              </w:rPr>
              <w:t>Not</w:t>
            </w:r>
            <w:r>
              <w:rPr>
                <w:spacing w:val="-2"/>
                <w:sz w:val="14"/>
              </w:rPr>
              <w:t> </w:t>
            </w:r>
            <w:r>
              <w:rPr>
                <w:sz w:val="14"/>
              </w:rPr>
              <w:t>for</w:t>
            </w:r>
            <w:r>
              <w:rPr>
                <w:spacing w:val="-1"/>
                <w:sz w:val="14"/>
              </w:rPr>
              <w:t> </w:t>
            </w:r>
            <w:r>
              <w:rPr>
                <w:sz w:val="14"/>
              </w:rPr>
              <w:t>Profit</w:t>
            </w:r>
            <w:r>
              <w:rPr>
                <w:spacing w:val="-3"/>
                <w:sz w:val="14"/>
              </w:rPr>
              <w:t> </w:t>
            </w:r>
            <w:r>
              <w:rPr>
                <w:sz w:val="14"/>
              </w:rPr>
              <w:t>casual</w:t>
            </w:r>
            <w:r>
              <w:rPr>
                <w:spacing w:val="-2"/>
                <w:sz w:val="14"/>
              </w:rPr>
              <w:t> </w:t>
            </w:r>
            <w:r>
              <w:rPr>
                <w:sz w:val="14"/>
              </w:rPr>
              <w:t>hour</w:t>
            </w:r>
            <w:r>
              <w:rPr>
                <w:spacing w:val="-4"/>
                <w:sz w:val="14"/>
              </w:rPr>
              <w:t> </w:t>
            </w:r>
            <w:r>
              <w:rPr>
                <w:sz w:val="14"/>
              </w:rPr>
              <w:t>rate</w:t>
            </w:r>
            <w:r>
              <w:rPr>
                <w:spacing w:val="-1"/>
                <w:sz w:val="14"/>
              </w:rPr>
              <w:t> </w:t>
            </w:r>
            <w:r>
              <w:rPr>
                <w:sz w:val="14"/>
              </w:rPr>
              <w:t>-</w:t>
            </w:r>
            <w:r>
              <w:rPr>
                <w:spacing w:val="-2"/>
                <w:sz w:val="14"/>
              </w:rPr>
              <w:t> </w:t>
            </w:r>
            <w:r>
              <w:rPr>
                <w:sz w:val="14"/>
              </w:rPr>
              <w:t>Jul</w:t>
            </w:r>
            <w:r>
              <w:rPr>
                <w:spacing w:val="-3"/>
                <w:sz w:val="14"/>
              </w:rPr>
              <w:t> </w:t>
            </w:r>
            <w:r>
              <w:rPr>
                <w:sz w:val="14"/>
              </w:rPr>
              <w:t>to</w:t>
            </w:r>
            <w:r>
              <w:rPr>
                <w:spacing w:val="-3"/>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29.96</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32.21</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Bill</w:t>
            </w:r>
            <w:r>
              <w:rPr>
                <w:spacing w:val="-4"/>
                <w:sz w:val="14"/>
              </w:rPr>
              <w:t> </w:t>
            </w:r>
            <w:r>
              <w:rPr>
                <w:sz w:val="14"/>
              </w:rPr>
              <w:t>Wilkins</w:t>
            </w:r>
            <w:r>
              <w:rPr>
                <w:spacing w:val="-4"/>
                <w:sz w:val="14"/>
              </w:rPr>
              <w:t> </w:t>
            </w:r>
            <w:r>
              <w:rPr>
                <w:sz w:val="14"/>
              </w:rPr>
              <w:t>Lodge</w:t>
            </w:r>
            <w:r>
              <w:rPr>
                <w:spacing w:val="-4"/>
                <w:sz w:val="14"/>
              </w:rPr>
              <w:t> </w:t>
            </w:r>
            <w:r>
              <w:rPr>
                <w:sz w:val="14"/>
              </w:rPr>
              <w:t>Not</w:t>
            </w:r>
            <w:r>
              <w:rPr>
                <w:spacing w:val="-2"/>
                <w:sz w:val="14"/>
              </w:rPr>
              <w:t> </w:t>
            </w:r>
            <w:r>
              <w:rPr>
                <w:sz w:val="14"/>
              </w:rPr>
              <w:t>for</w:t>
            </w:r>
            <w:r>
              <w:rPr>
                <w:spacing w:val="-1"/>
                <w:sz w:val="14"/>
              </w:rPr>
              <w:t> </w:t>
            </w:r>
            <w:r>
              <w:rPr>
                <w:sz w:val="14"/>
              </w:rPr>
              <w:t>Profit</w:t>
            </w:r>
            <w:r>
              <w:rPr>
                <w:spacing w:val="-4"/>
                <w:sz w:val="14"/>
              </w:rPr>
              <w:t> </w:t>
            </w:r>
            <w:r>
              <w:rPr>
                <w:sz w:val="14"/>
              </w:rPr>
              <w:t>casual</w:t>
            </w:r>
            <w:r>
              <w:rPr>
                <w:spacing w:val="-2"/>
                <w:sz w:val="14"/>
              </w:rPr>
              <w:t> </w:t>
            </w:r>
            <w:r>
              <w:rPr>
                <w:sz w:val="14"/>
              </w:rPr>
              <w:t>hour</w:t>
            </w:r>
            <w:r>
              <w:rPr>
                <w:spacing w:val="-4"/>
                <w:sz w:val="14"/>
              </w:rPr>
              <w:t> </w:t>
            </w:r>
            <w:r>
              <w:rPr>
                <w:sz w:val="14"/>
              </w:rPr>
              <w:t>rate</w:t>
            </w:r>
            <w:r>
              <w:rPr>
                <w:spacing w:val="-2"/>
                <w:sz w:val="14"/>
              </w:rPr>
              <w:t> </w:t>
            </w:r>
            <w:r>
              <w:rPr>
                <w:sz w:val="14"/>
              </w:rPr>
              <w:t>-</w:t>
            </w:r>
            <w:r>
              <w:rPr>
                <w:spacing w:val="-2"/>
                <w:sz w:val="14"/>
              </w:rPr>
              <w:t> </w:t>
            </w:r>
            <w:r>
              <w:rPr>
                <w:sz w:val="14"/>
              </w:rPr>
              <w:t>Jan</w:t>
            </w:r>
            <w:r>
              <w:rPr>
                <w:spacing w:val="-1"/>
                <w:sz w:val="14"/>
              </w:rPr>
              <w:t> </w:t>
            </w:r>
            <w:r>
              <w:rPr>
                <w:sz w:val="14"/>
              </w:rPr>
              <w:t>to</w:t>
            </w:r>
            <w:r>
              <w:rPr>
                <w:spacing w:val="-2"/>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29.96</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32.21</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Bill</w:t>
            </w:r>
            <w:r>
              <w:rPr>
                <w:spacing w:val="-4"/>
                <w:sz w:val="14"/>
              </w:rPr>
              <w:t> </w:t>
            </w:r>
            <w:r>
              <w:rPr>
                <w:sz w:val="14"/>
              </w:rPr>
              <w:t>Wilkins</w:t>
            </w:r>
            <w:r>
              <w:rPr>
                <w:spacing w:val="-3"/>
                <w:sz w:val="14"/>
              </w:rPr>
              <w:t> </w:t>
            </w:r>
            <w:r>
              <w:rPr>
                <w:sz w:val="14"/>
              </w:rPr>
              <w:t>Lodge</w:t>
            </w:r>
            <w:r>
              <w:rPr>
                <w:spacing w:val="-4"/>
                <w:sz w:val="14"/>
              </w:rPr>
              <w:t> </w:t>
            </w:r>
            <w:r>
              <w:rPr>
                <w:sz w:val="14"/>
              </w:rPr>
              <w:t>Not</w:t>
            </w:r>
            <w:r>
              <w:rPr>
                <w:spacing w:val="-2"/>
                <w:sz w:val="14"/>
              </w:rPr>
              <w:t> </w:t>
            </w:r>
            <w:r>
              <w:rPr>
                <w:sz w:val="14"/>
              </w:rPr>
              <w:t>for</w:t>
            </w:r>
            <w:r>
              <w:rPr>
                <w:spacing w:val="-1"/>
                <w:sz w:val="14"/>
              </w:rPr>
              <w:t> </w:t>
            </w:r>
            <w:r>
              <w:rPr>
                <w:sz w:val="14"/>
              </w:rPr>
              <w:t>Profit</w:t>
            </w:r>
            <w:r>
              <w:rPr>
                <w:spacing w:val="-4"/>
                <w:sz w:val="14"/>
              </w:rPr>
              <w:t> </w:t>
            </w:r>
            <w:r>
              <w:rPr>
                <w:sz w:val="14"/>
              </w:rPr>
              <w:t>regular</w:t>
            </w:r>
            <w:r>
              <w:rPr>
                <w:spacing w:val="-1"/>
                <w:sz w:val="14"/>
              </w:rPr>
              <w:t> </w:t>
            </w:r>
            <w:r>
              <w:rPr>
                <w:sz w:val="14"/>
              </w:rPr>
              <w:t>hour</w:t>
            </w:r>
            <w:r>
              <w:rPr>
                <w:spacing w:val="-5"/>
                <w:sz w:val="14"/>
              </w:rPr>
              <w:t> </w:t>
            </w:r>
            <w:r>
              <w:rPr>
                <w:sz w:val="14"/>
              </w:rPr>
              <w:t>rate</w:t>
            </w:r>
            <w:r>
              <w:rPr>
                <w:spacing w:val="-2"/>
                <w:sz w:val="14"/>
              </w:rPr>
              <w:t> </w:t>
            </w:r>
            <w:r>
              <w:rPr>
                <w:sz w:val="14"/>
              </w:rPr>
              <w:t>-</w:t>
            </w:r>
            <w:r>
              <w:rPr>
                <w:spacing w:val="-1"/>
                <w:sz w:val="14"/>
              </w:rPr>
              <w:t> </w:t>
            </w:r>
            <w:r>
              <w:rPr>
                <w:sz w:val="14"/>
              </w:rPr>
              <w:t>Jul</w:t>
            </w:r>
            <w:r>
              <w:rPr>
                <w:spacing w:val="-4"/>
                <w:sz w:val="14"/>
              </w:rPr>
              <w:t> </w:t>
            </w:r>
            <w:r>
              <w:rPr>
                <w:sz w:val="14"/>
              </w:rPr>
              <w:t>to</w:t>
            </w:r>
            <w:r>
              <w:rPr>
                <w:spacing w:val="-3"/>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23.54</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25.31</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Bill</w:t>
            </w:r>
            <w:r>
              <w:rPr>
                <w:spacing w:val="-4"/>
                <w:sz w:val="14"/>
              </w:rPr>
              <w:t> </w:t>
            </w:r>
            <w:r>
              <w:rPr>
                <w:sz w:val="14"/>
              </w:rPr>
              <w:t>Wilkins</w:t>
            </w:r>
            <w:r>
              <w:rPr>
                <w:spacing w:val="-4"/>
                <w:sz w:val="14"/>
              </w:rPr>
              <w:t> </w:t>
            </w:r>
            <w:r>
              <w:rPr>
                <w:sz w:val="14"/>
              </w:rPr>
              <w:t>Lodge</w:t>
            </w:r>
            <w:r>
              <w:rPr>
                <w:spacing w:val="-4"/>
                <w:sz w:val="14"/>
              </w:rPr>
              <w:t> </w:t>
            </w:r>
            <w:r>
              <w:rPr>
                <w:sz w:val="14"/>
              </w:rPr>
              <w:t>Not</w:t>
            </w:r>
            <w:r>
              <w:rPr>
                <w:spacing w:val="-2"/>
                <w:sz w:val="14"/>
              </w:rPr>
              <w:t> </w:t>
            </w:r>
            <w:r>
              <w:rPr>
                <w:sz w:val="14"/>
              </w:rPr>
              <w:t>for</w:t>
            </w:r>
            <w:r>
              <w:rPr>
                <w:spacing w:val="-1"/>
                <w:sz w:val="14"/>
              </w:rPr>
              <w:t> </w:t>
            </w:r>
            <w:r>
              <w:rPr>
                <w:sz w:val="14"/>
              </w:rPr>
              <w:t>Profit</w:t>
            </w:r>
            <w:r>
              <w:rPr>
                <w:spacing w:val="-5"/>
                <w:sz w:val="14"/>
              </w:rPr>
              <w:t> </w:t>
            </w:r>
            <w:r>
              <w:rPr>
                <w:sz w:val="14"/>
              </w:rPr>
              <w:t>regular</w:t>
            </w:r>
            <w:r>
              <w:rPr>
                <w:spacing w:val="-1"/>
                <w:sz w:val="14"/>
              </w:rPr>
              <w:t> </w:t>
            </w:r>
            <w:r>
              <w:rPr>
                <w:sz w:val="14"/>
              </w:rPr>
              <w:t>hour</w:t>
            </w:r>
            <w:r>
              <w:rPr>
                <w:spacing w:val="-5"/>
                <w:sz w:val="14"/>
              </w:rPr>
              <w:t> </w:t>
            </w:r>
            <w:r>
              <w:rPr>
                <w:sz w:val="14"/>
              </w:rPr>
              <w:t>rate</w:t>
            </w:r>
            <w:r>
              <w:rPr>
                <w:spacing w:val="-2"/>
                <w:sz w:val="14"/>
              </w:rPr>
              <w:t> </w:t>
            </w:r>
            <w:r>
              <w:rPr>
                <w:sz w:val="14"/>
              </w:rPr>
              <w:t>-</w:t>
            </w:r>
            <w:r>
              <w:rPr>
                <w:spacing w:val="-2"/>
                <w:sz w:val="14"/>
              </w:rPr>
              <w:t> </w:t>
            </w:r>
            <w:r>
              <w:rPr>
                <w:sz w:val="14"/>
              </w:rPr>
              <w:t>Jan</w:t>
            </w:r>
            <w:r>
              <w:rPr>
                <w:spacing w:val="-2"/>
                <w:sz w:val="14"/>
              </w:rPr>
              <w:t> </w:t>
            </w:r>
            <w:r>
              <w:rPr>
                <w:sz w:val="14"/>
              </w:rPr>
              <w:t>to</w:t>
            </w:r>
            <w:r>
              <w:rPr>
                <w:spacing w:val="-1"/>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23.54</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25.31</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Bill</w:t>
            </w:r>
            <w:r>
              <w:rPr>
                <w:spacing w:val="-4"/>
                <w:sz w:val="14"/>
              </w:rPr>
              <w:t> </w:t>
            </w:r>
            <w:r>
              <w:rPr>
                <w:sz w:val="14"/>
              </w:rPr>
              <w:t>Wilkins</w:t>
            </w:r>
            <w:r>
              <w:rPr>
                <w:spacing w:val="-3"/>
                <w:sz w:val="14"/>
              </w:rPr>
              <w:t> </w:t>
            </w:r>
            <w:r>
              <w:rPr>
                <w:sz w:val="14"/>
              </w:rPr>
              <w:t>Lodge</w:t>
            </w:r>
            <w:r>
              <w:rPr>
                <w:spacing w:val="-4"/>
                <w:sz w:val="14"/>
              </w:rPr>
              <w:t> </w:t>
            </w:r>
            <w:r>
              <w:rPr>
                <w:sz w:val="14"/>
              </w:rPr>
              <w:t>Not</w:t>
            </w:r>
            <w:r>
              <w:rPr>
                <w:spacing w:val="-1"/>
                <w:sz w:val="14"/>
              </w:rPr>
              <w:t> </w:t>
            </w:r>
            <w:r>
              <w:rPr>
                <w:sz w:val="14"/>
              </w:rPr>
              <w:t>for</w:t>
            </w:r>
            <w:r>
              <w:rPr>
                <w:spacing w:val="-2"/>
                <w:sz w:val="14"/>
              </w:rPr>
              <w:t> </w:t>
            </w:r>
            <w:r>
              <w:rPr>
                <w:sz w:val="14"/>
              </w:rPr>
              <w:t>Profit</w:t>
            </w:r>
            <w:r>
              <w:rPr>
                <w:spacing w:val="-4"/>
                <w:sz w:val="14"/>
              </w:rPr>
              <w:t> </w:t>
            </w:r>
            <w:r>
              <w:rPr>
                <w:sz w:val="14"/>
              </w:rPr>
              <w:t>Night</w:t>
            </w:r>
            <w:r>
              <w:rPr>
                <w:spacing w:val="-1"/>
                <w:sz w:val="14"/>
              </w:rPr>
              <w:t> </w:t>
            </w:r>
            <w:r>
              <w:rPr>
                <w:sz w:val="14"/>
              </w:rPr>
              <w:t>Hire</w:t>
            </w:r>
            <w:r>
              <w:rPr>
                <w:spacing w:val="-5"/>
                <w:sz w:val="14"/>
              </w:rPr>
              <w:t> </w:t>
            </w:r>
            <w:r>
              <w:rPr>
                <w:sz w:val="14"/>
              </w:rPr>
              <w:t>-</w:t>
            </w:r>
            <w:r>
              <w:rPr>
                <w:spacing w:val="-1"/>
                <w:sz w:val="14"/>
              </w:rPr>
              <w:t> </w:t>
            </w:r>
            <w:r>
              <w:rPr>
                <w:sz w:val="14"/>
              </w:rPr>
              <w:t>Jul</w:t>
            </w:r>
            <w:r>
              <w:rPr>
                <w:spacing w:val="-1"/>
                <w:sz w:val="14"/>
              </w:rPr>
              <w:t> </w:t>
            </w:r>
            <w:r>
              <w:rPr>
                <w:sz w:val="14"/>
              </w:rPr>
              <w:t>to</w:t>
            </w:r>
            <w:r>
              <w:rPr>
                <w:spacing w:val="-3"/>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447.26</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480.80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Bill</w:t>
            </w:r>
            <w:r>
              <w:rPr>
                <w:spacing w:val="-3"/>
                <w:sz w:val="14"/>
              </w:rPr>
              <w:t> </w:t>
            </w:r>
            <w:r>
              <w:rPr>
                <w:sz w:val="14"/>
              </w:rPr>
              <w:t>Wilkins</w:t>
            </w:r>
            <w:r>
              <w:rPr>
                <w:spacing w:val="-3"/>
                <w:sz w:val="14"/>
              </w:rPr>
              <w:t> </w:t>
            </w:r>
            <w:r>
              <w:rPr>
                <w:sz w:val="14"/>
              </w:rPr>
              <w:t>Lodge</w:t>
            </w:r>
            <w:r>
              <w:rPr>
                <w:spacing w:val="-4"/>
                <w:sz w:val="14"/>
              </w:rPr>
              <w:t> </w:t>
            </w:r>
            <w:r>
              <w:rPr>
                <w:sz w:val="14"/>
              </w:rPr>
              <w:t>Not</w:t>
            </w:r>
            <w:r>
              <w:rPr>
                <w:spacing w:val="-1"/>
                <w:sz w:val="14"/>
              </w:rPr>
              <w:t> </w:t>
            </w:r>
            <w:r>
              <w:rPr>
                <w:sz w:val="14"/>
              </w:rPr>
              <w:t>for</w:t>
            </w:r>
            <w:r>
              <w:rPr>
                <w:spacing w:val="-1"/>
                <w:sz w:val="14"/>
              </w:rPr>
              <w:t> </w:t>
            </w:r>
            <w:r>
              <w:rPr>
                <w:sz w:val="14"/>
              </w:rPr>
              <w:t>Profit</w:t>
            </w:r>
            <w:r>
              <w:rPr>
                <w:spacing w:val="-3"/>
                <w:sz w:val="14"/>
              </w:rPr>
              <w:t> </w:t>
            </w:r>
            <w:r>
              <w:rPr>
                <w:sz w:val="14"/>
              </w:rPr>
              <w:t>Night</w:t>
            </w:r>
            <w:r>
              <w:rPr>
                <w:spacing w:val="-1"/>
                <w:sz w:val="14"/>
              </w:rPr>
              <w:t> </w:t>
            </w:r>
            <w:r>
              <w:rPr>
                <w:sz w:val="14"/>
              </w:rPr>
              <w:t>Hire</w:t>
            </w:r>
            <w:r>
              <w:rPr>
                <w:spacing w:val="-5"/>
                <w:sz w:val="14"/>
              </w:rPr>
              <w:t> </w:t>
            </w:r>
            <w:r>
              <w:rPr>
                <w:sz w:val="14"/>
              </w:rPr>
              <w:t>-</w:t>
            </w:r>
            <w:r>
              <w:rPr>
                <w:spacing w:val="-1"/>
                <w:sz w:val="14"/>
              </w:rPr>
              <w:t> </w:t>
            </w:r>
            <w:r>
              <w:rPr>
                <w:sz w:val="14"/>
              </w:rPr>
              <w:t>Jan</w:t>
            </w:r>
            <w:r>
              <w:rPr>
                <w:spacing w:val="-4"/>
                <w:sz w:val="14"/>
              </w:rPr>
              <w:t> </w:t>
            </w:r>
            <w:r>
              <w:rPr>
                <w:sz w:val="14"/>
              </w:rPr>
              <w:t>to</w:t>
            </w:r>
            <w:r>
              <w:rPr>
                <w:spacing w:val="-3"/>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447.26</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480.80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Bill</w:t>
            </w:r>
            <w:r>
              <w:rPr>
                <w:spacing w:val="-5"/>
                <w:sz w:val="14"/>
              </w:rPr>
              <w:t> </w:t>
            </w:r>
            <w:r>
              <w:rPr>
                <w:sz w:val="14"/>
              </w:rPr>
              <w:t>Wilkins</w:t>
            </w:r>
            <w:r>
              <w:rPr>
                <w:spacing w:val="-4"/>
                <w:sz w:val="14"/>
              </w:rPr>
              <w:t> </w:t>
            </w:r>
            <w:r>
              <w:rPr>
                <w:sz w:val="14"/>
              </w:rPr>
              <w:t>Lodge</w:t>
            </w:r>
            <w:r>
              <w:rPr>
                <w:spacing w:val="-5"/>
                <w:sz w:val="14"/>
              </w:rPr>
              <w:t> </w:t>
            </w:r>
            <w:r>
              <w:rPr>
                <w:sz w:val="14"/>
              </w:rPr>
              <w:t>Community</w:t>
            </w:r>
            <w:r>
              <w:rPr>
                <w:spacing w:val="-1"/>
                <w:sz w:val="14"/>
              </w:rPr>
              <w:t> </w:t>
            </w:r>
            <w:r>
              <w:rPr>
                <w:sz w:val="14"/>
              </w:rPr>
              <w:t>casual</w:t>
            </w:r>
            <w:r>
              <w:rPr>
                <w:spacing w:val="-1"/>
                <w:sz w:val="14"/>
              </w:rPr>
              <w:t> </w:t>
            </w:r>
            <w:r>
              <w:rPr>
                <w:sz w:val="14"/>
              </w:rPr>
              <w:t>hour</w:t>
            </w:r>
            <w:r>
              <w:rPr>
                <w:spacing w:val="-3"/>
                <w:sz w:val="14"/>
              </w:rPr>
              <w:t> </w:t>
            </w:r>
            <w:r>
              <w:rPr>
                <w:sz w:val="14"/>
              </w:rPr>
              <w:t>rate</w:t>
            </w:r>
            <w:r>
              <w:rPr>
                <w:spacing w:val="-1"/>
                <w:sz w:val="14"/>
              </w:rPr>
              <w:t> </w:t>
            </w:r>
            <w:r>
              <w:rPr>
                <w:sz w:val="14"/>
              </w:rPr>
              <w:t>-</w:t>
            </w:r>
            <w:r>
              <w:rPr>
                <w:spacing w:val="-5"/>
                <w:sz w:val="14"/>
              </w:rPr>
              <w:t> </w:t>
            </w:r>
            <w:r>
              <w:rPr>
                <w:sz w:val="14"/>
              </w:rPr>
              <w:t>Jul</w:t>
            </w:r>
            <w:r>
              <w:rPr>
                <w:spacing w:val="-4"/>
                <w:sz w:val="14"/>
              </w:rPr>
              <w:t> </w:t>
            </w:r>
            <w:r>
              <w:rPr>
                <w:sz w:val="14"/>
              </w:rPr>
              <w:t>to</w:t>
            </w:r>
            <w:r>
              <w:rPr>
                <w:spacing w:val="-2"/>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33.17</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35.66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Bill</w:t>
            </w:r>
            <w:r>
              <w:rPr>
                <w:spacing w:val="-4"/>
                <w:sz w:val="14"/>
              </w:rPr>
              <w:t> </w:t>
            </w:r>
            <w:r>
              <w:rPr>
                <w:sz w:val="14"/>
              </w:rPr>
              <w:t>Wilkins</w:t>
            </w:r>
            <w:r>
              <w:rPr>
                <w:spacing w:val="-4"/>
                <w:sz w:val="14"/>
              </w:rPr>
              <w:t> </w:t>
            </w:r>
            <w:r>
              <w:rPr>
                <w:sz w:val="14"/>
              </w:rPr>
              <w:t>Lodge</w:t>
            </w:r>
            <w:r>
              <w:rPr>
                <w:spacing w:val="-5"/>
                <w:sz w:val="14"/>
              </w:rPr>
              <w:t> </w:t>
            </w:r>
            <w:r>
              <w:rPr>
                <w:sz w:val="14"/>
              </w:rPr>
              <w:t>Community</w:t>
            </w:r>
            <w:r>
              <w:rPr>
                <w:spacing w:val="-1"/>
                <w:sz w:val="14"/>
              </w:rPr>
              <w:t> </w:t>
            </w:r>
            <w:r>
              <w:rPr>
                <w:sz w:val="14"/>
              </w:rPr>
              <w:t>casual</w:t>
            </w:r>
            <w:r>
              <w:rPr>
                <w:spacing w:val="-1"/>
                <w:sz w:val="14"/>
              </w:rPr>
              <w:t> </w:t>
            </w:r>
            <w:r>
              <w:rPr>
                <w:sz w:val="14"/>
              </w:rPr>
              <w:t>hour</w:t>
            </w:r>
            <w:r>
              <w:rPr>
                <w:spacing w:val="-2"/>
                <w:sz w:val="14"/>
              </w:rPr>
              <w:t> </w:t>
            </w:r>
            <w:r>
              <w:rPr>
                <w:sz w:val="14"/>
              </w:rPr>
              <w:t>rate</w:t>
            </w:r>
            <w:r>
              <w:rPr>
                <w:spacing w:val="-1"/>
                <w:sz w:val="14"/>
              </w:rPr>
              <w:t> </w:t>
            </w:r>
            <w:r>
              <w:rPr>
                <w:sz w:val="14"/>
              </w:rPr>
              <w:t>-</w:t>
            </w:r>
            <w:r>
              <w:rPr>
                <w:spacing w:val="-5"/>
                <w:sz w:val="14"/>
              </w:rPr>
              <w:t> </w:t>
            </w:r>
            <w:r>
              <w:rPr>
                <w:sz w:val="14"/>
              </w:rPr>
              <w:t>Jan</w:t>
            </w:r>
            <w:r>
              <w:rPr>
                <w:spacing w:val="-5"/>
                <w:sz w:val="14"/>
              </w:rPr>
              <w:t> </w:t>
            </w:r>
            <w:r>
              <w:rPr>
                <w:sz w:val="14"/>
              </w:rPr>
              <w:t>to</w:t>
            </w:r>
            <w:r>
              <w:rPr>
                <w:spacing w:val="-5"/>
                <w:sz w:val="14"/>
              </w:rPr>
              <w:t> 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33.17</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35.66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Bill</w:t>
            </w:r>
            <w:r>
              <w:rPr>
                <w:spacing w:val="-4"/>
                <w:sz w:val="14"/>
              </w:rPr>
              <w:t> </w:t>
            </w:r>
            <w:r>
              <w:rPr>
                <w:sz w:val="14"/>
              </w:rPr>
              <w:t>Wilkins</w:t>
            </w:r>
            <w:r>
              <w:rPr>
                <w:spacing w:val="-4"/>
                <w:sz w:val="14"/>
              </w:rPr>
              <w:t> </w:t>
            </w:r>
            <w:r>
              <w:rPr>
                <w:sz w:val="14"/>
              </w:rPr>
              <w:t>Lodge</w:t>
            </w:r>
            <w:r>
              <w:rPr>
                <w:spacing w:val="-5"/>
                <w:sz w:val="14"/>
              </w:rPr>
              <w:t> </w:t>
            </w:r>
            <w:r>
              <w:rPr>
                <w:sz w:val="14"/>
              </w:rPr>
              <w:t>Community</w:t>
            </w:r>
            <w:r>
              <w:rPr>
                <w:spacing w:val="-2"/>
                <w:sz w:val="14"/>
              </w:rPr>
              <w:t> </w:t>
            </w:r>
            <w:r>
              <w:rPr>
                <w:sz w:val="14"/>
              </w:rPr>
              <w:t>regular</w:t>
            </w:r>
            <w:r>
              <w:rPr>
                <w:spacing w:val="-3"/>
                <w:sz w:val="14"/>
              </w:rPr>
              <w:t> </w:t>
            </w:r>
            <w:r>
              <w:rPr>
                <w:sz w:val="14"/>
              </w:rPr>
              <w:t>hour</w:t>
            </w:r>
            <w:r>
              <w:rPr>
                <w:spacing w:val="-2"/>
                <w:sz w:val="14"/>
              </w:rPr>
              <w:t> </w:t>
            </w:r>
            <w:r>
              <w:rPr>
                <w:sz w:val="14"/>
              </w:rPr>
              <w:t>rate</w:t>
            </w:r>
            <w:r>
              <w:rPr>
                <w:spacing w:val="-2"/>
                <w:sz w:val="14"/>
              </w:rPr>
              <w:t> </w:t>
            </w:r>
            <w:r>
              <w:rPr>
                <w:sz w:val="14"/>
              </w:rPr>
              <w:t>-</w:t>
            </w:r>
            <w:r>
              <w:rPr>
                <w:spacing w:val="-5"/>
                <w:sz w:val="14"/>
              </w:rPr>
              <w:t> </w:t>
            </w:r>
            <w:r>
              <w:rPr>
                <w:sz w:val="14"/>
              </w:rPr>
              <w:t>Jul</w:t>
            </w:r>
            <w:r>
              <w:rPr>
                <w:spacing w:val="-4"/>
                <w:sz w:val="14"/>
              </w:rPr>
              <w:t> </w:t>
            </w:r>
            <w:r>
              <w:rPr>
                <w:sz w:val="14"/>
              </w:rPr>
              <w:t>to</w:t>
            </w:r>
            <w:r>
              <w:rPr>
                <w:spacing w:val="-2"/>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26.75</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28.76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Bill</w:t>
            </w:r>
            <w:r>
              <w:rPr>
                <w:spacing w:val="-4"/>
                <w:sz w:val="14"/>
              </w:rPr>
              <w:t> </w:t>
            </w:r>
            <w:r>
              <w:rPr>
                <w:sz w:val="14"/>
              </w:rPr>
              <w:t>Wilkins</w:t>
            </w:r>
            <w:r>
              <w:rPr>
                <w:spacing w:val="-4"/>
                <w:sz w:val="14"/>
              </w:rPr>
              <w:t> </w:t>
            </w:r>
            <w:r>
              <w:rPr>
                <w:sz w:val="14"/>
              </w:rPr>
              <w:t>Lodge</w:t>
            </w:r>
            <w:r>
              <w:rPr>
                <w:spacing w:val="-5"/>
                <w:sz w:val="14"/>
              </w:rPr>
              <w:t> </w:t>
            </w:r>
            <w:r>
              <w:rPr>
                <w:sz w:val="14"/>
              </w:rPr>
              <w:t>Community</w:t>
            </w:r>
            <w:r>
              <w:rPr>
                <w:spacing w:val="-2"/>
                <w:sz w:val="14"/>
              </w:rPr>
              <w:t> </w:t>
            </w:r>
            <w:r>
              <w:rPr>
                <w:sz w:val="14"/>
              </w:rPr>
              <w:t>regular</w:t>
            </w:r>
            <w:r>
              <w:rPr>
                <w:spacing w:val="-1"/>
                <w:sz w:val="14"/>
              </w:rPr>
              <w:t> </w:t>
            </w:r>
            <w:r>
              <w:rPr>
                <w:sz w:val="14"/>
              </w:rPr>
              <w:t>hour</w:t>
            </w:r>
            <w:r>
              <w:rPr>
                <w:spacing w:val="-2"/>
                <w:sz w:val="14"/>
              </w:rPr>
              <w:t> </w:t>
            </w:r>
            <w:r>
              <w:rPr>
                <w:sz w:val="14"/>
              </w:rPr>
              <w:t>rate</w:t>
            </w:r>
            <w:r>
              <w:rPr>
                <w:spacing w:val="-2"/>
                <w:sz w:val="14"/>
              </w:rPr>
              <w:t> </w:t>
            </w:r>
            <w:r>
              <w:rPr>
                <w:sz w:val="14"/>
              </w:rPr>
              <w:t>-</w:t>
            </w:r>
            <w:r>
              <w:rPr>
                <w:spacing w:val="-5"/>
                <w:sz w:val="14"/>
              </w:rPr>
              <w:t> </w:t>
            </w:r>
            <w:r>
              <w:rPr>
                <w:sz w:val="14"/>
              </w:rPr>
              <w:t>Jan</w:t>
            </w:r>
            <w:r>
              <w:rPr>
                <w:spacing w:val="-5"/>
                <w:sz w:val="14"/>
              </w:rPr>
              <w:t> </w:t>
            </w:r>
            <w:r>
              <w:rPr>
                <w:sz w:val="14"/>
              </w:rPr>
              <w:t>to</w:t>
            </w:r>
            <w:r>
              <w:rPr>
                <w:spacing w:val="-4"/>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26.75</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28.76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Bill</w:t>
            </w:r>
            <w:r>
              <w:rPr>
                <w:spacing w:val="-4"/>
                <w:sz w:val="14"/>
              </w:rPr>
              <w:t> </w:t>
            </w:r>
            <w:r>
              <w:rPr>
                <w:sz w:val="14"/>
              </w:rPr>
              <w:t>Wilkins</w:t>
            </w:r>
            <w:r>
              <w:rPr>
                <w:spacing w:val="-4"/>
                <w:sz w:val="14"/>
              </w:rPr>
              <w:t> </w:t>
            </w:r>
            <w:r>
              <w:rPr>
                <w:sz w:val="14"/>
              </w:rPr>
              <w:t>Lodge</w:t>
            </w:r>
            <w:r>
              <w:rPr>
                <w:spacing w:val="-4"/>
                <w:sz w:val="14"/>
              </w:rPr>
              <w:t> </w:t>
            </w:r>
            <w:r>
              <w:rPr>
                <w:sz w:val="14"/>
              </w:rPr>
              <w:t>Community</w:t>
            </w:r>
            <w:r>
              <w:rPr>
                <w:spacing w:val="-1"/>
                <w:sz w:val="14"/>
              </w:rPr>
              <w:t> </w:t>
            </w:r>
            <w:r>
              <w:rPr>
                <w:sz w:val="14"/>
              </w:rPr>
              <w:t>Night</w:t>
            </w:r>
            <w:r>
              <w:rPr>
                <w:spacing w:val="-4"/>
                <w:sz w:val="14"/>
              </w:rPr>
              <w:t> </w:t>
            </w:r>
            <w:r>
              <w:rPr>
                <w:sz w:val="14"/>
              </w:rPr>
              <w:t>Hire</w:t>
            </w:r>
            <w:r>
              <w:rPr>
                <w:spacing w:val="-3"/>
                <w:sz w:val="14"/>
              </w:rPr>
              <w:t> </w:t>
            </w:r>
            <w:r>
              <w:rPr>
                <w:sz w:val="14"/>
              </w:rPr>
              <w:t>-</w:t>
            </w:r>
            <w:r>
              <w:rPr>
                <w:spacing w:val="-4"/>
                <w:sz w:val="14"/>
              </w:rPr>
              <w:t> </w:t>
            </w:r>
            <w:r>
              <w:rPr>
                <w:sz w:val="14"/>
              </w:rPr>
              <w:t>Jul</w:t>
            </w:r>
            <w:r>
              <w:rPr>
                <w:spacing w:val="-4"/>
                <w:sz w:val="14"/>
              </w:rPr>
              <w:t> </w:t>
            </w:r>
            <w:r>
              <w:rPr>
                <w:sz w:val="14"/>
              </w:rPr>
              <w:t>to</w:t>
            </w:r>
            <w:r>
              <w:rPr>
                <w:spacing w:val="-4"/>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486.85</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523.36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Bill</w:t>
            </w:r>
            <w:r>
              <w:rPr>
                <w:spacing w:val="-4"/>
                <w:sz w:val="14"/>
              </w:rPr>
              <w:t> </w:t>
            </w:r>
            <w:r>
              <w:rPr>
                <w:sz w:val="14"/>
              </w:rPr>
              <w:t>Wilkins</w:t>
            </w:r>
            <w:r>
              <w:rPr>
                <w:spacing w:val="-4"/>
                <w:sz w:val="14"/>
              </w:rPr>
              <w:t> </w:t>
            </w:r>
            <w:r>
              <w:rPr>
                <w:sz w:val="14"/>
              </w:rPr>
              <w:t>Lodge</w:t>
            </w:r>
            <w:r>
              <w:rPr>
                <w:spacing w:val="-4"/>
                <w:sz w:val="14"/>
              </w:rPr>
              <w:t> </w:t>
            </w:r>
            <w:r>
              <w:rPr>
                <w:sz w:val="14"/>
              </w:rPr>
              <w:t>Community</w:t>
            </w:r>
            <w:r>
              <w:rPr>
                <w:spacing w:val="-1"/>
                <w:sz w:val="14"/>
              </w:rPr>
              <w:t> </w:t>
            </w:r>
            <w:r>
              <w:rPr>
                <w:sz w:val="14"/>
              </w:rPr>
              <w:t>Night</w:t>
            </w:r>
            <w:r>
              <w:rPr>
                <w:spacing w:val="-3"/>
                <w:sz w:val="14"/>
              </w:rPr>
              <w:t> </w:t>
            </w:r>
            <w:r>
              <w:rPr>
                <w:sz w:val="14"/>
              </w:rPr>
              <w:t>Hire</w:t>
            </w:r>
            <w:r>
              <w:rPr>
                <w:spacing w:val="-4"/>
                <w:sz w:val="14"/>
              </w:rPr>
              <w:t> </w:t>
            </w:r>
            <w:r>
              <w:rPr>
                <w:sz w:val="14"/>
              </w:rPr>
              <w:t>-</w:t>
            </w:r>
            <w:r>
              <w:rPr>
                <w:spacing w:val="-4"/>
                <w:sz w:val="14"/>
              </w:rPr>
              <w:t> </w:t>
            </w:r>
            <w:r>
              <w:rPr>
                <w:sz w:val="14"/>
              </w:rPr>
              <w:t>Jan</w:t>
            </w:r>
            <w:r>
              <w:rPr>
                <w:spacing w:val="-3"/>
                <w:sz w:val="14"/>
              </w:rPr>
              <w:t> </w:t>
            </w:r>
            <w:r>
              <w:rPr>
                <w:sz w:val="14"/>
              </w:rPr>
              <w:t>to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486.85</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523.36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Bill</w:t>
            </w:r>
            <w:r>
              <w:rPr>
                <w:spacing w:val="-4"/>
                <w:sz w:val="14"/>
              </w:rPr>
              <w:t> </w:t>
            </w:r>
            <w:r>
              <w:rPr>
                <w:sz w:val="14"/>
              </w:rPr>
              <w:t>Wilkins</w:t>
            </w:r>
            <w:r>
              <w:rPr>
                <w:spacing w:val="-3"/>
                <w:sz w:val="14"/>
              </w:rPr>
              <w:t> </w:t>
            </w:r>
            <w:r>
              <w:rPr>
                <w:sz w:val="14"/>
              </w:rPr>
              <w:t>Lodge</w:t>
            </w:r>
            <w:r>
              <w:rPr>
                <w:spacing w:val="-5"/>
                <w:sz w:val="14"/>
              </w:rPr>
              <w:t> </w:t>
            </w:r>
            <w:r>
              <w:rPr>
                <w:sz w:val="14"/>
              </w:rPr>
              <w:t>Corporate</w:t>
            </w:r>
            <w:r>
              <w:rPr>
                <w:spacing w:val="-3"/>
                <w:sz w:val="14"/>
              </w:rPr>
              <w:t> </w:t>
            </w:r>
            <w:r>
              <w:rPr>
                <w:sz w:val="14"/>
              </w:rPr>
              <w:t>casual</w:t>
            </w:r>
            <w:r>
              <w:rPr>
                <w:spacing w:val="-3"/>
                <w:sz w:val="14"/>
              </w:rPr>
              <w:t> </w:t>
            </w:r>
            <w:r>
              <w:rPr>
                <w:sz w:val="14"/>
              </w:rPr>
              <w:t>hour</w:t>
            </w:r>
            <w:r>
              <w:rPr>
                <w:spacing w:val="-2"/>
                <w:sz w:val="14"/>
              </w:rPr>
              <w:t> </w:t>
            </w:r>
            <w:r>
              <w:rPr>
                <w:sz w:val="14"/>
              </w:rPr>
              <w:t>rate</w:t>
            </w:r>
            <w:r>
              <w:rPr>
                <w:spacing w:val="-4"/>
                <w:sz w:val="14"/>
              </w:rPr>
              <w:t> </w:t>
            </w:r>
            <w:r>
              <w:rPr>
                <w:sz w:val="14"/>
              </w:rPr>
              <w:t>-</w:t>
            </w:r>
            <w:r>
              <w:rPr>
                <w:spacing w:val="-2"/>
                <w:sz w:val="14"/>
              </w:rPr>
              <w:t> </w:t>
            </w:r>
            <w:r>
              <w:rPr>
                <w:sz w:val="14"/>
              </w:rPr>
              <w:t>Jul</w:t>
            </w:r>
            <w:r>
              <w:rPr>
                <w:spacing w:val="-3"/>
                <w:sz w:val="14"/>
              </w:rPr>
              <w:t> </w:t>
            </w:r>
            <w:r>
              <w:rPr>
                <w:sz w:val="14"/>
              </w:rPr>
              <w:t>to</w:t>
            </w:r>
            <w:r>
              <w:rPr>
                <w:spacing w:val="-4"/>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39.59</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42.56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Bill</w:t>
            </w:r>
            <w:r>
              <w:rPr>
                <w:spacing w:val="-4"/>
                <w:sz w:val="14"/>
              </w:rPr>
              <w:t> </w:t>
            </w:r>
            <w:r>
              <w:rPr>
                <w:sz w:val="14"/>
              </w:rPr>
              <w:t>Wilkins</w:t>
            </w:r>
            <w:r>
              <w:rPr>
                <w:spacing w:val="-4"/>
                <w:sz w:val="14"/>
              </w:rPr>
              <w:t> </w:t>
            </w:r>
            <w:r>
              <w:rPr>
                <w:sz w:val="14"/>
              </w:rPr>
              <w:t>Lodge</w:t>
            </w:r>
            <w:r>
              <w:rPr>
                <w:spacing w:val="-4"/>
                <w:sz w:val="14"/>
              </w:rPr>
              <w:t> </w:t>
            </w:r>
            <w:r>
              <w:rPr>
                <w:sz w:val="14"/>
              </w:rPr>
              <w:t>Corporate</w:t>
            </w:r>
            <w:r>
              <w:rPr>
                <w:spacing w:val="-4"/>
                <w:sz w:val="14"/>
              </w:rPr>
              <w:t> </w:t>
            </w:r>
            <w:r>
              <w:rPr>
                <w:sz w:val="14"/>
              </w:rPr>
              <w:t>casual</w:t>
            </w:r>
            <w:r>
              <w:rPr>
                <w:spacing w:val="-3"/>
                <w:sz w:val="14"/>
              </w:rPr>
              <w:t> </w:t>
            </w:r>
            <w:r>
              <w:rPr>
                <w:sz w:val="14"/>
              </w:rPr>
              <w:t>hour</w:t>
            </w:r>
            <w:r>
              <w:rPr>
                <w:spacing w:val="-2"/>
                <w:sz w:val="14"/>
              </w:rPr>
              <w:t> </w:t>
            </w:r>
            <w:r>
              <w:rPr>
                <w:sz w:val="14"/>
              </w:rPr>
              <w:t>rate</w:t>
            </w:r>
            <w:r>
              <w:rPr>
                <w:spacing w:val="-4"/>
                <w:sz w:val="14"/>
              </w:rPr>
              <w:t> </w:t>
            </w:r>
            <w:r>
              <w:rPr>
                <w:sz w:val="14"/>
              </w:rPr>
              <w:t>-</w:t>
            </w:r>
            <w:r>
              <w:rPr>
                <w:spacing w:val="-2"/>
                <w:sz w:val="14"/>
              </w:rPr>
              <w:t> </w:t>
            </w:r>
            <w:r>
              <w:rPr>
                <w:sz w:val="14"/>
              </w:rPr>
              <w:t>Jan</w:t>
            </w:r>
            <w:r>
              <w:rPr>
                <w:spacing w:val="-4"/>
                <w:sz w:val="14"/>
              </w:rPr>
              <w:t> </w:t>
            </w:r>
            <w:r>
              <w:rPr>
                <w:sz w:val="14"/>
              </w:rPr>
              <w:t>to</w:t>
            </w:r>
            <w:r>
              <w:rPr>
                <w:spacing w:val="-2"/>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39.59</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42.56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Bill</w:t>
            </w:r>
            <w:r>
              <w:rPr>
                <w:spacing w:val="-4"/>
                <w:sz w:val="14"/>
              </w:rPr>
              <w:t> </w:t>
            </w:r>
            <w:r>
              <w:rPr>
                <w:sz w:val="14"/>
              </w:rPr>
              <w:t>Wilkins</w:t>
            </w:r>
            <w:r>
              <w:rPr>
                <w:spacing w:val="-3"/>
                <w:sz w:val="14"/>
              </w:rPr>
              <w:t> </w:t>
            </w:r>
            <w:r>
              <w:rPr>
                <w:sz w:val="14"/>
              </w:rPr>
              <w:t>Lodge</w:t>
            </w:r>
            <w:r>
              <w:rPr>
                <w:spacing w:val="-5"/>
                <w:sz w:val="14"/>
              </w:rPr>
              <w:t> </w:t>
            </w:r>
            <w:r>
              <w:rPr>
                <w:sz w:val="14"/>
              </w:rPr>
              <w:t>Corporate</w:t>
            </w:r>
            <w:r>
              <w:rPr>
                <w:spacing w:val="-4"/>
                <w:sz w:val="14"/>
              </w:rPr>
              <w:t> </w:t>
            </w:r>
            <w:r>
              <w:rPr>
                <w:sz w:val="14"/>
              </w:rPr>
              <w:t>regular</w:t>
            </w:r>
            <w:r>
              <w:rPr>
                <w:spacing w:val="-4"/>
                <w:sz w:val="14"/>
              </w:rPr>
              <w:t> </w:t>
            </w:r>
            <w:r>
              <w:rPr>
                <w:sz w:val="14"/>
              </w:rPr>
              <w:t>hour</w:t>
            </w:r>
            <w:r>
              <w:rPr>
                <w:spacing w:val="-2"/>
                <w:sz w:val="14"/>
              </w:rPr>
              <w:t> </w:t>
            </w:r>
            <w:r>
              <w:rPr>
                <w:sz w:val="14"/>
              </w:rPr>
              <w:t>rate</w:t>
            </w:r>
            <w:r>
              <w:rPr>
                <w:spacing w:val="-3"/>
                <w:sz w:val="14"/>
              </w:rPr>
              <w:t> </w:t>
            </w:r>
            <w:r>
              <w:rPr>
                <w:sz w:val="14"/>
              </w:rPr>
              <w:t>-</w:t>
            </w:r>
            <w:r>
              <w:rPr>
                <w:spacing w:val="-2"/>
                <w:sz w:val="14"/>
              </w:rPr>
              <w:t> </w:t>
            </w:r>
            <w:r>
              <w:rPr>
                <w:sz w:val="14"/>
              </w:rPr>
              <w:t>Jul</w:t>
            </w:r>
            <w:r>
              <w:rPr>
                <w:spacing w:val="-3"/>
                <w:sz w:val="14"/>
              </w:rPr>
              <w:t> </w:t>
            </w:r>
            <w:r>
              <w:rPr>
                <w:sz w:val="14"/>
              </w:rPr>
              <w:t>to</w:t>
            </w:r>
            <w:r>
              <w:rPr>
                <w:spacing w:val="-4"/>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33.17</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35.66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Bill</w:t>
            </w:r>
            <w:r>
              <w:rPr>
                <w:spacing w:val="-4"/>
                <w:sz w:val="14"/>
              </w:rPr>
              <w:t> </w:t>
            </w:r>
            <w:r>
              <w:rPr>
                <w:sz w:val="14"/>
              </w:rPr>
              <w:t>Wilkins</w:t>
            </w:r>
            <w:r>
              <w:rPr>
                <w:spacing w:val="-4"/>
                <w:sz w:val="14"/>
              </w:rPr>
              <w:t> </w:t>
            </w:r>
            <w:r>
              <w:rPr>
                <w:sz w:val="14"/>
              </w:rPr>
              <w:t>Lodge</w:t>
            </w:r>
            <w:r>
              <w:rPr>
                <w:spacing w:val="-4"/>
                <w:sz w:val="14"/>
              </w:rPr>
              <w:t> </w:t>
            </w:r>
            <w:r>
              <w:rPr>
                <w:sz w:val="14"/>
              </w:rPr>
              <w:t>Corporate</w:t>
            </w:r>
            <w:r>
              <w:rPr>
                <w:spacing w:val="-5"/>
                <w:sz w:val="14"/>
              </w:rPr>
              <w:t> </w:t>
            </w:r>
            <w:r>
              <w:rPr>
                <w:sz w:val="14"/>
              </w:rPr>
              <w:t>regular</w:t>
            </w:r>
            <w:r>
              <w:rPr>
                <w:spacing w:val="-4"/>
                <w:sz w:val="14"/>
              </w:rPr>
              <w:t> </w:t>
            </w:r>
            <w:r>
              <w:rPr>
                <w:sz w:val="14"/>
              </w:rPr>
              <w:t>hour</w:t>
            </w:r>
            <w:r>
              <w:rPr>
                <w:spacing w:val="-2"/>
                <w:sz w:val="14"/>
              </w:rPr>
              <w:t> </w:t>
            </w:r>
            <w:r>
              <w:rPr>
                <w:sz w:val="14"/>
              </w:rPr>
              <w:t>rate</w:t>
            </w:r>
            <w:r>
              <w:rPr>
                <w:spacing w:val="-3"/>
                <w:sz w:val="14"/>
              </w:rPr>
              <w:t> </w:t>
            </w:r>
            <w:r>
              <w:rPr>
                <w:sz w:val="14"/>
              </w:rPr>
              <w:t>-</w:t>
            </w:r>
            <w:r>
              <w:rPr>
                <w:spacing w:val="-2"/>
                <w:sz w:val="14"/>
              </w:rPr>
              <w:t> </w:t>
            </w:r>
            <w:r>
              <w:rPr>
                <w:sz w:val="14"/>
              </w:rPr>
              <w:t>Jan</w:t>
            </w:r>
            <w:r>
              <w:rPr>
                <w:spacing w:val="-5"/>
                <w:sz w:val="14"/>
              </w:rPr>
              <w:t> </w:t>
            </w:r>
            <w:r>
              <w:rPr>
                <w:sz w:val="14"/>
              </w:rPr>
              <w:t>to</w:t>
            </w:r>
            <w:r>
              <w:rPr>
                <w:spacing w:val="-1"/>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33.17</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35.66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Bill</w:t>
            </w:r>
            <w:r>
              <w:rPr>
                <w:spacing w:val="-4"/>
                <w:sz w:val="14"/>
              </w:rPr>
              <w:t> </w:t>
            </w:r>
            <w:r>
              <w:rPr>
                <w:sz w:val="14"/>
              </w:rPr>
              <w:t>Wilkins</w:t>
            </w:r>
            <w:r>
              <w:rPr>
                <w:spacing w:val="-4"/>
                <w:sz w:val="14"/>
              </w:rPr>
              <w:t> </w:t>
            </w:r>
            <w:r>
              <w:rPr>
                <w:sz w:val="14"/>
              </w:rPr>
              <w:t>Lodge</w:t>
            </w:r>
            <w:r>
              <w:rPr>
                <w:spacing w:val="-4"/>
                <w:sz w:val="14"/>
              </w:rPr>
              <w:t> </w:t>
            </w:r>
            <w:r>
              <w:rPr>
                <w:sz w:val="14"/>
              </w:rPr>
              <w:t>Corporate</w:t>
            </w:r>
            <w:r>
              <w:rPr>
                <w:spacing w:val="-4"/>
                <w:sz w:val="14"/>
              </w:rPr>
              <w:t> </w:t>
            </w:r>
            <w:r>
              <w:rPr>
                <w:sz w:val="14"/>
              </w:rPr>
              <w:t>Night</w:t>
            </w:r>
            <w:r>
              <w:rPr>
                <w:spacing w:val="-2"/>
                <w:sz w:val="14"/>
              </w:rPr>
              <w:t> </w:t>
            </w:r>
            <w:r>
              <w:rPr>
                <w:sz w:val="14"/>
              </w:rPr>
              <w:t>Hire</w:t>
            </w:r>
            <w:r>
              <w:rPr>
                <w:spacing w:val="-2"/>
                <w:sz w:val="14"/>
              </w:rPr>
              <w:t> </w:t>
            </w:r>
            <w:r>
              <w:rPr>
                <w:sz w:val="14"/>
              </w:rPr>
              <w:t>-</w:t>
            </w:r>
            <w:r>
              <w:rPr>
                <w:spacing w:val="-4"/>
                <w:sz w:val="14"/>
              </w:rPr>
              <w:t> </w:t>
            </w:r>
            <w:r>
              <w:rPr>
                <w:sz w:val="14"/>
              </w:rPr>
              <w:t>Jul</w:t>
            </w:r>
            <w:r>
              <w:rPr>
                <w:spacing w:val="-1"/>
                <w:sz w:val="14"/>
              </w:rPr>
              <w:t> </w:t>
            </w:r>
            <w:r>
              <w:rPr>
                <w:sz w:val="14"/>
              </w:rPr>
              <w:t>to</w:t>
            </w:r>
            <w:r>
              <w:rPr>
                <w:spacing w:val="-2"/>
                <w:sz w:val="14"/>
              </w:rPr>
              <w:t> </w:t>
            </w:r>
            <w:r>
              <w:rPr>
                <w:spacing w:val="-5"/>
                <w:sz w:val="14"/>
              </w:rPr>
              <w:t>Dec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525.37</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564.77</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Bill</w:t>
            </w:r>
            <w:r>
              <w:rPr>
                <w:spacing w:val="-4"/>
                <w:sz w:val="14"/>
              </w:rPr>
              <w:t> </w:t>
            </w:r>
            <w:r>
              <w:rPr>
                <w:sz w:val="14"/>
              </w:rPr>
              <w:t>Wilkins</w:t>
            </w:r>
            <w:r>
              <w:rPr>
                <w:spacing w:val="-3"/>
                <w:sz w:val="14"/>
              </w:rPr>
              <w:t> </w:t>
            </w:r>
            <w:r>
              <w:rPr>
                <w:sz w:val="14"/>
              </w:rPr>
              <w:t>Lodge</w:t>
            </w:r>
            <w:r>
              <w:rPr>
                <w:spacing w:val="-4"/>
                <w:sz w:val="14"/>
              </w:rPr>
              <w:t> </w:t>
            </w:r>
            <w:r>
              <w:rPr>
                <w:sz w:val="14"/>
              </w:rPr>
              <w:t>Corporate</w:t>
            </w:r>
            <w:r>
              <w:rPr>
                <w:spacing w:val="-4"/>
                <w:sz w:val="14"/>
              </w:rPr>
              <w:t> </w:t>
            </w:r>
            <w:r>
              <w:rPr>
                <w:sz w:val="14"/>
              </w:rPr>
              <w:t>Night</w:t>
            </w:r>
            <w:r>
              <w:rPr>
                <w:spacing w:val="-1"/>
                <w:sz w:val="14"/>
              </w:rPr>
              <w:t> </w:t>
            </w:r>
            <w:r>
              <w:rPr>
                <w:sz w:val="14"/>
              </w:rPr>
              <w:t>Hire</w:t>
            </w:r>
            <w:r>
              <w:rPr>
                <w:spacing w:val="-2"/>
                <w:sz w:val="14"/>
              </w:rPr>
              <w:t> </w:t>
            </w:r>
            <w:r>
              <w:rPr>
                <w:sz w:val="14"/>
              </w:rPr>
              <w:t>-</w:t>
            </w:r>
            <w:r>
              <w:rPr>
                <w:spacing w:val="-4"/>
                <w:sz w:val="14"/>
              </w:rPr>
              <w:t> </w:t>
            </w:r>
            <w:r>
              <w:rPr>
                <w:sz w:val="14"/>
              </w:rPr>
              <w:t>Jan</w:t>
            </w:r>
            <w:r>
              <w:rPr>
                <w:spacing w:val="-5"/>
                <w:sz w:val="14"/>
              </w:rPr>
              <w:t> </w:t>
            </w:r>
            <w:r>
              <w:rPr>
                <w:sz w:val="14"/>
              </w:rPr>
              <w:t>to</w:t>
            </w:r>
            <w:r>
              <w:rPr>
                <w:spacing w:val="-4"/>
                <w:sz w:val="14"/>
              </w:rPr>
              <w:t> </w:t>
            </w:r>
            <w:r>
              <w:rPr>
                <w:spacing w:val="-5"/>
                <w:sz w:val="14"/>
              </w:rPr>
              <w:t>Jun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525.37</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564.77</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b/>
                <w:sz w:val="14"/>
              </w:rPr>
            </w:pPr>
            <w:r>
              <w:rPr>
                <w:b/>
                <w:sz w:val="14"/>
              </w:rPr>
              <w:t>Cheong</w:t>
            </w:r>
            <w:r>
              <w:rPr>
                <w:b/>
                <w:spacing w:val="-5"/>
                <w:sz w:val="14"/>
              </w:rPr>
              <w:t> </w:t>
            </w:r>
            <w:r>
              <w:rPr>
                <w:b/>
                <w:sz w:val="14"/>
              </w:rPr>
              <w:t>Park</w:t>
            </w:r>
            <w:r>
              <w:rPr>
                <w:b/>
                <w:spacing w:val="-4"/>
                <w:sz w:val="14"/>
              </w:rPr>
              <w:t> Hall</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964"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6"/>
              </w:rPr>
            </w:pPr>
          </w:p>
          <w:p>
            <w:pPr>
              <w:pStyle w:val="TableParagraph"/>
              <w:spacing w:before="10"/>
              <w:rPr>
                <w:sz w:val="18"/>
              </w:rPr>
            </w:pPr>
          </w:p>
          <w:p>
            <w:pPr>
              <w:pStyle w:val="TableParagraph"/>
              <w:ind w:left="107"/>
              <w:rPr>
                <w:sz w:val="14"/>
              </w:rPr>
            </w:pPr>
            <w:r>
              <w:rPr>
                <w:sz w:val="14"/>
              </w:rPr>
              <w:t>Cheong</w:t>
            </w:r>
            <w:r>
              <w:rPr>
                <w:spacing w:val="-4"/>
                <w:sz w:val="14"/>
              </w:rPr>
              <w:t> </w:t>
            </w:r>
            <w:r>
              <w:rPr>
                <w:sz w:val="14"/>
              </w:rPr>
              <w:t>Park</w:t>
            </w:r>
            <w:r>
              <w:rPr>
                <w:spacing w:val="-5"/>
                <w:sz w:val="14"/>
              </w:rPr>
              <w:t> </w:t>
            </w:r>
            <w:r>
              <w:rPr>
                <w:sz w:val="14"/>
              </w:rPr>
              <w:t>Hall</w:t>
            </w:r>
            <w:r>
              <w:rPr>
                <w:spacing w:val="-3"/>
                <w:sz w:val="14"/>
              </w:rPr>
              <w:t> </w:t>
            </w:r>
            <w:r>
              <w:rPr>
                <w:spacing w:val="-4"/>
                <w:sz w:val="14"/>
              </w:rPr>
              <w:t>Hire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1"/>
              <w:rPr>
                <w:sz w:val="21"/>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1"/>
              <w:rPr>
                <w:sz w:val="21"/>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120" w:right="97" w:firstLine="2"/>
              <w:jc w:val="center"/>
              <w:rPr>
                <w:sz w:val="14"/>
              </w:rPr>
            </w:pPr>
            <w:r>
              <w:rPr>
                <w:sz w:val="14"/>
              </w:rPr>
              <w:t>Refer</w:t>
            </w:r>
            <w:r>
              <w:rPr>
                <w:spacing w:val="-6"/>
                <w:sz w:val="14"/>
              </w:rPr>
              <w:t> </w:t>
            </w:r>
            <w:r>
              <w:rPr>
                <w:sz w:val="14"/>
              </w:rPr>
              <w:t>to</w:t>
            </w:r>
            <w:r>
              <w:rPr>
                <w:spacing w:val="40"/>
                <w:sz w:val="14"/>
              </w:rPr>
              <w:t> </w:t>
            </w:r>
            <w:r>
              <w:rPr>
                <w:sz w:val="14"/>
              </w:rPr>
              <w:t>policy on</w:t>
            </w:r>
            <w:r>
              <w:rPr>
                <w:spacing w:val="40"/>
                <w:sz w:val="14"/>
              </w:rPr>
              <w:t> </w:t>
            </w:r>
            <w:r>
              <w:rPr>
                <w:spacing w:val="-4"/>
                <w:sz w:val="14"/>
              </w:rPr>
              <w:t>the</w:t>
            </w:r>
            <w:r>
              <w:rPr>
                <w:spacing w:val="40"/>
                <w:sz w:val="14"/>
              </w:rPr>
              <w:t> </w:t>
            </w:r>
            <w:r>
              <w:rPr>
                <w:spacing w:val="-2"/>
                <w:sz w:val="14"/>
              </w:rPr>
              <w:t>Maroondah</w:t>
            </w:r>
            <w:r>
              <w:rPr>
                <w:spacing w:val="40"/>
                <w:sz w:val="14"/>
              </w:rPr>
              <w:t> </w:t>
            </w:r>
            <w:r>
              <w:rPr>
                <w:spacing w:val="-2"/>
                <w:sz w:val="14"/>
              </w:rPr>
              <w:t>City</w:t>
            </w:r>
            <w:r>
              <w:rPr>
                <w:spacing w:val="-8"/>
                <w:sz w:val="14"/>
              </w:rPr>
              <w:t> </w:t>
            </w:r>
            <w:r>
              <w:rPr>
                <w:spacing w:val="-2"/>
                <w:sz w:val="14"/>
              </w:rPr>
              <w:t>Council</w:t>
            </w:r>
            <w:r>
              <w:rPr>
                <w:spacing w:val="40"/>
                <w:sz w:val="14"/>
              </w:rPr>
              <w:t> </w:t>
            </w:r>
            <w:r>
              <w:rPr>
                <w:spacing w:val="-2"/>
                <w:sz w:val="14"/>
              </w:rPr>
              <w:t>Website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79"/>
              <w:ind w:left="157" w:right="137"/>
              <w:jc w:val="center"/>
              <w:rPr>
                <w:sz w:val="14"/>
              </w:rPr>
            </w:pPr>
            <w:r>
              <w:rPr>
                <w:sz w:val="14"/>
              </w:rPr>
              <w:t>Refer</w:t>
            </w:r>
            <w:r>
              <w:rPr>
                <w:spacing w:val="-10"/>
                <w:sz w:val="14"/>
              </w:rPr>
              <w:t> </w:t>
            </w:r>
            <w:r>
              <w:rPr>
                <w:sz w:val="14"/>
              </w:rPr>
              <w:t>to</w:t>
            </w:r>
            <w:r>
              <w:rPr>
                <w:spacing w:val="-10"/>
                <w:sz w:val="14"/>
              </w:rPr>
              <w:t> </w:t>
            </w:r>
            <w:r>
              <w:rPr>
                <w:sz w:val="14"/>
              </w:rPr>
              <w:t>policy</w:t>
            </w:r>
            <w:r>
              <w:rPr>
                <w:spacing w:val="40"/>
                <w:sz w:val="14"/>
              </w:rPr>
              <w:t> </w:t>
            </w:r>
            <w:r>
              <w:rPr>
                <w:sz w:val="14"/>
              </w:rPr>
              <w:t>on</w:t>
            </w:r>
            <w:r>
              <w:rPr>
                <w:spacing w:val="-6"/>
                <w:sz w:val="14"/>
              </w:rPr>
              <w:t> </w:t>
            </w:r>
            <w:r>
              <w:rPr>
                <w:sz w:val="14"/>
              </w:rPr>
              <w:t>the</w:t>
            </w:r>
            <w:r>
              <w:rPr>
                <w:spacing w:val="40"/>
                <w:sz w:val="14"/>
              </w:rPr>
              <w:t> </w:t>
            </w:r>
            <w:r>
              <w:rPr>
                <w:spacing w:val="-2"/>
                <w:sz w:val="14"/>
              </w:rPr>
              <w:t>Maroondah</w:t>
            </w:r>
            <w:r>
              <w:rPr>
                <w:spacing w:val="40"/>
                <w:sz w:val="14"/>
              </w:rPr>
              <w:t> </w:t>
            </w:r>
            <w:r>
              <w:rPr>
                <w:sz w:val="14"/>
              </w:rPr>
              <w:t>City</w:t>
            </w:r>
            <w:r>
              <w:rPr>
                <w:spacing w:val="-4"/>
                <w:sz w:val="14"/>
              </w:rPr>
              <w:t> </w:t>
            </w:r>
            <w:r>
              <w:rPr>
                <w:sz w:val="14"/>
              </w:rPr>
              <w:t>Council</w:t>
            </w:r>
            <w:r>
              <w:rPr>
                <w:spacing w:val="40"/>
                <w:sz w:val="14"/>
              </w:rPr>
              <w:t> </w:t>
            </w:r>
            <w:r>
              <w:rPr>
                <w:spacing w:val="-2"/>
                <w:sz w:val="14"/>
              </w:rPr>
              <w:t>Website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7"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8"/>
              <w:ind w:left="107"/>
              <w:rPr>
                <w:b/>
                <w:sz w:val="14"/>
              </w:rPr>
            </w:pPr>
            <w:r>
              <w:rPr>
                <w:b/>
                <w:sz w:val="14"/>
              </w:rPr>
              <w:t>Wyreena</w:t>
            </w:r>
            <w:r>
              <w:rPr>
                <w:b/>
                <w:spacing w:val="-6"/>
                <w:sz w:val="14"/>
              </w:rPr>
              <w:t> </w:t>
            </w:r>
            <w:r>
              <w:rPr>
                <w:b/>
                <w:spacing w:val="-2"/>
                <w:sz w:val="14"/>
              </w:rPr>
              <w:t>administration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254"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91"/>
              <w:ind w:left="107"/>
              <w:rPr>
                <w:sz w:val="14"/>
              </w:rPr>
            </w:pPr>
            <w:r>
              <w:rPr>
                <w:sz w:val="14"/>
              </w:rPr>
              <w:t>Catamore</w:t>
            </w:r>
            <w:r>
              <w:rPr>
                <w:spacing w:val="-3"/>
                <w:sz w:val="14"/>
              </w:rPr>
              <w:t> </w:t>
            </w:r>
            <w:r>
              <w:rPr>
                <w:sz w:val="14"/>
              </w:rPr>
              <w:t>Hall</w:t>
            </w:r>
            <w:r>
              <w:rPr>
                <w:spacing w:val="-4"/>
                <w:sz w:val="14"/>
              </w:rPr>
              <w:t> </w:t>
            </w:r>
            <w:r>
              <w:rPr>
                <w:sz w:val="14"/>
              </w:rPr>
              <w:t>Hire</w:t>
            </w:r>
            <w:r>
              <w:rPr>
                <w:spacing w:val="-2"/>
                <w:sz w:val="14"/>
              </w:rPr>
              <w:t> </w:t>
            </w:r>
            <w:r>
              <w:rPr>
                <w:sz w:val="14"/>
              </w:rPr>
              <w:t>per</w:t>
            </w:r>
            <w:r>
              <w:rPr>
                <w:spacing w:val="-4"/>
                <w:sz w:val="14"/>
              </w:rPr>
              <w:t> </w:t>
            </w:r>
            <w:r>
              <w:rPr>
                <w:sz w:val="14"/>
              </w:rPr>
              <w:t>hour</w:t>
            </w:r>
            <w:r>
              <w:rPr>
                <w:spacing w:val="-4"/>
                <w:sz w:val="14"/>
              </w:rPr>
              <w:t> </w:t>
            </w:r>
            <w:r>
              <w:rPr>
                <w:sz w:val="14"/>
              </w:rPr>
              <w:t>-</w:t>
            </w:r>
            <w:r>
              <w:rPr>
                <w:spacing w:val="-3"/>
                <w:sz w:val="14"/>
              </w:rPr>
              <w:t> </w:t>
            </w:r>
            <w:r>
              <w:rPr>
                <w:sz w:val="14"/>
              </w:rPr>
              <w:t>weekdays</w:t>
            </w:r>
            <w:r>
              <w:rPr>
                <w:spacing w:val="-3"/>
                <w:sz w:val="14"/>
              </w:rPr>
              <w:t> </w:t>
            </w:r>
            <w:r>
              <w:rPr>
                <w:sz w:val="14"/>
              </w:rPr>
              <w:t>&amp;</w:t>
            </w:r>
            <w:r>
              <w:rPr>
                <w:spacing w:val="-3"/>
                <w:sz w:val="14"/>
              </w:rPr>
              <w:t> </w:t>
            </w:r>
            <w:r>
              <w:rPr>
                <w:spacing w:val="-2"/>
                <w:sz w:val="14"/>
              </w:rPr>
              <w:t>weekends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91"/>
              <w:ind w:left="27"/>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91"/>
              <w:ind w:left="270"/>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91"/>
              <w:ind w:right="92"/>
              <w:jc w:val="right"/>
              <w:rPr>
                <w:sz w:val="14"/>
              </w:rPr>
            </w:pPr>
            <w:r>
              <w:rPr>
                <w:spacing w:val="-2"/>
                <w:sz w:val="14"/>
              </w:rPr>
              <w:t>37.00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91"/>
              <w:ind w:right="92"/>
              <w:jc w:val="right"/>
              <w:rPr>
                <w:sz w:val="14"/>
              </w:rPr>
            </w:pPr>
            <w:r>
              <w:rPr>
                <w:spacing w:val="-2"/>
                <w:sz w:val="14"/>
              </w:rPr>
              <w:t>38.80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2" w:lineRule="exact" w:before="91"/>
              <w:ind w:left="95" w:right="79"/>
              <w:jc w:val="center"/>
              <w:rPr>
                <w:sz w:val="14"/>
              </w:rPr>
            </w:pPr>
            <w:r>
              <w:rPr>
                <w:spacing w:val="-5"/>
                <w:sz w:val="14"/>
              </w:rPr>
              <w:t>4.6</w:t>
            </w:r>
          </w:p>
        </w:tc>
      </w:tr>
      <w:tr>
        <w:trPr>
          <w:trHeight w:val="198"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39"/>
              <w:ind w:left="107"/>
              <w:rPr>
                <w:sz w:val="14"/>
              </w:rPr>
            </w:pPr>
            <w:r>
              <w:rPr>
                <w:sz w:val="14"/>
              </w:rPr>
              <w:t>Catamore</w:t>
            </w:r>
            <w:r>
              <w:rPr>
                <w:spacing w:val="-4"/>
                <w:sz w:val="14"/>
              </w:rPr>
              <w:t> </w:t>
            </w:r>
            <w:r>
              <w:rPr>
                <w:sz w:val="14"/>
              </w:rPr>
              <w:t>Hall</w:t>
            </w:r>
            <w:r>
              <w:rPr>
                <w:spacing w:val="-5"/>
                <w:sz w:val="14"/>
              </w:rPr>
              <w:t> </w:t>
            </w:r>
            <w:r>
              <w:rPr>
                <w:sz w:val="14"/>
              </w:rPr>
              <w:t>Hire</w:t>
            </w:r>
            <w:r>
              <w:rPr>
                <w:spacing w:val="-3"/>
                <w:sz w:val="14"/>
              </w:rPr>
              <w:t> </w:t>
            </w:r>
            <w:r>
              <w:rPr>
                <w:sz w:val="14"/>
              </w:rPr>
              <w:t>-</w:t>
            </w:r>
            <w:r>
              <w:rPr>
                <w:spacing w:val="-5"/>
                <w:sz w:val="14"/>
              </w:rPr>
              <w:t> </w:t>
            </w:r>
            <w:r>
              <w:rPr>
                <w:sz w:val="14"/>
              </w:rPr>
              <w:t>Weekend</w:t>
            </w:r>
            <w:r>
              <w:rPr>
                <w:spacing w:val="-3"/>
                <w:sz w:val="14"/>
              </w:rPr>
              <w:t> </w:t>
            </w:r>
            <w:r>
              <w:rPr>
                <w:sz w:val="14"/>
              </w:rPr>
              <w:t>function</w:t>
            </w:r>
            <w:r>
              <w:rPr>
                <w:spacing w:val="-1"/>
                <w:sz w:val="14"/>
              </w:rPr>
              <w:t> </w:t>
            </w:r>
            <w:r>
              <w:rPr>
                <w:spacing w:val="-4"/>
                <w:sz w:val="14"/>
              </w:rPr>
              <w:t>hire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3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3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39"/>
              <w:ind w:right="91"/>
              <w:jc w:val="right"/>
              <w:rPr>
                <w:sz w:val="14"/>
              </w:rPr>
            </w:pPr>
            <w:r>
              <w:rPr>
                <w:spacing w:val="-2"/>
                <w:sz w:val="14"/>
              </w:rPr>
              <w:t>315.00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39"/>
              <w:ind w:right="93"/>
              <w:jc w:val="right"/>
              <w:rPr>
                <w:sz w:val="14"/>
              </w:rPr>
            </w:pPr>
            <w:r>
              <w:rPr>
                <w:spacing w:val="-2"/>
                <w:sz w:val="14"/>
              </w:rPr>
              <w:t>330.00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39"/>
              <w:ind w:left="95" w:right="79"/>
              <w:jc w:val="center"/>
              <w:rPr>
                <w:sz w:val="14"/>
              </w:rPr>
            </w:pPr>
            <w:r>
              <w:rPr>
                <w:spacing w:val="-5"/>
                <w:sz w:val="14"/>
              </w:rPr>
              <w:t>4.5</w:t>
            </w:r>
          </w:p>
        </w:tc>
      </w:tr>
      <w:tr>
        <w:trPr>
          <w:trHeight w:val="220"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60"/>
              <w:ind w:left="107"/>
              <w:rPr>
                <w:sz w:val="14"/>
              </w:rPr>
            </w:pPr>
            <w:r>
              <w:rPr>
                <w:sz w:val="14"/>
              </w:rPr>
              <w:t>Studio</w:t>
            </w:r>
            <w:r>
              <w:rPr>
                <w:spacing w:val="-2"/>
                <w:sz w:val="14"/>
              </w:rPr>
              <w:t> </w:t>
            </w:r>
            <w:r>
              <w:rPr>
                <w:sz w:val="14"/>
              </w:rPr>
              <w:t>Hire</w:t>
            </w:r>
            <w:r>
              <w:rPr>
                <w:spacing w:val="-5"/>
                <w:sz w:val="14"/>
              </w:rPr>
              <w:t> </w:t>
            </w:r>
            <w:r>
              <w:rPr>
                <w:sz w:val="14"/>
              </w:rPr>
              <w:t>per</w:t>
            </w:r>
            <w:r>
              <w:rPr>
                <w:spacing w:val="-2"/>
                <w:sz w:val="14"/>
              </w:rPr>
              <w:t> </w:t>
            </w:r>
            <w:r>
              <w:rPr>
                <w:sz w:val="14"/>
              </w:rPr>
              <w:t>hour</w:t>
            </w:r>
            <w:r>
              <w:rPr>
                <w:spacing w:val="-2"/>
                <w:sz w:val="14"/>
              </w:rPr>
              <w:t> </w:t>
            </w:r>
            <w:r>
              <w:rPr>
                <w:sz w:val="14"/>
              </w:rPr>
              <w:t>-</w:t>
            </w:r>
            <w:r>
              <w:rPr>
                <w:spacing w:val="-5"/>
                <w:sz w:val="14"/>
              </w:rPr>
              <w:t> </w:t>
            </w:r>
            <w:r>
              <w:rPr>
                <w:sz w:val="14"/>
              </w:rPr>
              <w:t>weekdays</w:t>
            </w:r>
            <w:r>
              <w:rPr>
                <w:spacing w:val="-1"/>
                <w:sz w:val="14"/>
              </w:rPr>
              <w:t> </w:t>
            </w:r>
            <w:r>
              <w:rPr>
                <w:sz w:val="14"/>
              </w:rPr>
              <w:t>&amp;</w:t>
            </w:r>
            <w:r>
              <w:rPr>
                <w:spacing w:val="-3"/>
                <w:sz w:val="14"/>
              </w:rPr>
              <w:t> </w:t>
            </w:r>
            <w:r>
              <w:rPr>
                <w:spacing w:val="-2"/>
                <w:sz w:val="14"/>
              </w:rPr>
              <w:t>weekends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60"/>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60"/>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60"/>
              <w:ind w:right="91"/>
              <w:jc w:val="right"/>
              <w:rPr>
                <w:sz w:val="14"/>
              </w:rPr>
            </w:pPr>
            <w:r>
              <w:rPr>
                <w:spacing w:val="-2"/>
                <w:sz w:val="14"/>
              </w:rPr>
              <w:t>28.00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60"/>
              <w:ind w:right="92"/>
              <w:jc w:val="right"/>
              <w:rPr>
                <w:sz w:val="14"/>
              </w:rPr>
            </w:pPr>
            <w:r>
              <w:rPr>
                <w:spacing w:val="-2"/>
                <w:sz w:val="14"/>
              </w:rPr>
              <w:t>32.80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60"/>
              <w:ind w:left="95" w:right="81"/>
              <w:jc w:val="center"/>
              <w:rPr>
                <w:sz w:val="14"/>
              </w:rPr>
            </w:pPr>
            <w:r>
              <w:rPr>
                <w:spacing w:val="-4"/>
                <w:sz w:val="14"/>
              </w:rPr>
              <w:t>14.6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Wyreena</w:t>
            </w:r>
            <w:r>
              <w:rPr>
                <w:b/>
                <w:spacing w:val="-4"/>
                <w:sz w:val="14"/>
              </w:rPr>
              <w:t> </w:t>
            </w:r>
            <w:r>
              <w:rPr>
                <w:b/>
                <w:sz w:val="14"/>
              </w:rPr>
              <w:t>Music</w:t>
            </w:r>
            <w:r>
              <w:rPr>
                <w:b/>
                <w:spacing w:val="-6"/>
                <w:sz w:val="14"/>
              </w:rPr>
              <w:t> </w:t>
            </w:r>
            <w:r>
              <w:rPr>
                <w:b/>
                <w:sz w:val="14"/>
              </w:rPr>
              <w:t>Cafe</w:t>
            </w:r>
            <w:r>
              <w:rPr>
                <w:b/>
                <w:spacing w:val="-4"/>
                <w:sz w:val="14"/>
              </w:rPr>
              <w:t> </w:t>
            </w:r>
            <w:r>
              <w:rPr>
                <w:b/>
                <w:sz w:val="14"/>
              </w:rPr>
              <w:t>and</w:t>
            </w:r>
            <w:r>
              <w:rPr>
                <w:b/>
                <w:spacing w:val="-4"/>
                <w:sz w:val="14"/>
              </w:rPr>
              <w:t> </w:t>
            </w:r>
            <w:r>
              <w:rPr>
                <w:b/>
                <w:spacing w:val="-2"/>
                <w:sz w:val="14"/>
              </w:rPr>
              <w:t>Events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Wyreena</w:t>
            </w:r>
            <w:r>
              <w:rPr>
                <w:spacing w:val="-3"/>
                <w:sz w:val="14"/>
              </w:rPr>
              <w:t> </w:t>
            </w:r>
            <w:r>
              <w:rPr>
                <w:sz w:val="14"/>
              </w:rPr>
              <w:t>Open</w:t>
            </w:r>
            <w:r>
              <w:rPr>
                <w:spacing w:val="-4"/>
                <w:sz w:val="14"/>
              </w:rPr>
              <w:t> </w:t>
            </w:r>
            <w:r>
              <w:rPr>
                <w:sz w:val="14"/>
              </w:rPr>
              <w:t>Day</w:t>
            </w:r>
            <w:r>
              <w:rPr>
                <w:spacing w:val="-3"/>
                <w:sz w:val="14"/>
              </w:rPr>
              <w:t> </w:t>
            </w:r>
            <w:r>
              <w:rPr>
                <w:sz w:val="14"/>
              </w:rPr>
              <w:t>Music</w:t>
            </w:r>
            <w:r>
              <w:rPr>
                <w:spacing w:val="-5"/>
                <w:sz w:val="14"/>
              </w:rPr>
              <w:t> </w:t>
            </w:r>
            <w:r>
              <w:rPr>
                <w:spacing w:val="-4"/>
                <w:sz w:val="14"/>
              </w:rPr>
              <w:t>Café</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43.00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45.00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4.4</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Wyreena</w:t>
            </w:r>
            <w:r>
              <w:rPr>
                <w:b/>
                <w:spacing w:val="-3"/>
                <w:sz w:val="14"/>
              </w:rPr>
              <w:t> </w:t>
            </w:r>
            <w:r>
              <w:rPr>
                <w:b/>
                <w:sz w:val="14"/>
              </w:rPr>
              <w:t>Course</w:t>
            </w:r>
            <w:r>
              <w:rPr>
                <w:b/>
                <w:spacing w:val="-4"/>
                <w:sz w:val="14"/>
              </w:rPr>
              <w:t> </w:t>
            </w:r>
            <w:r>
              <w:rPr>
                <w:b/>
                <w:sz w:val="14"/>
              </w:rPr>
              <w:t>Fees</w:t>
            </w:r>
            <w:r>
              <w:rPr>
                <w:b/>
                <w:spacing w:val="-7"/>
                <w:sz w:val="14"/>
              </w:rPr>
              <w:t> </w:t>
            </w:r>
            <w:r>
              <w:rPr>
                <w:b/>
                <w:sz w:val="14"/>
              </w:rPr>
              <w:t>Term</w:t>
            </w:r>
            <w:r>
              <w:rPr>
                <w:b/>
                <w:spacing w:val="-5"/>
                <w:sz w:val="14"/>
              </w:rPr>
              <w:t> </w:t>
            </w:r>
            <w:r>
              <w:rPr>
                <w:b/>
                <w:spacing w:val="-10"/>
                <w:sz w:val="14"/>
              </w:rPr>
              <w:t>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4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4"/>
              </w:rPr>
            </w:pPr>
          </w:p>
          <w:p>
            <w:pPr>
              <w:pStyle w:val="TableParagraph"/>
              <w:ind w:left="107"/>
              <w:rPr>
                <w:sz w:val="14"/>
              </w:rPr>
            </w:pPr>
            <w:r>
              <w:rPr>
                <w:spacing w:val="-2"/>
                <w:sz w:val="14"/>
              </w:rPr>
              <w:t>Adults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line="140" w:lineRule="exact" w:before="138"/>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line="140" w:lineRule="exact" w:before="138"/>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189" w:right="164" w:firstLine="105"/>
              <w:rPr>
                <w:sz w:val="14"/>
              </w:rPr>
            </w:pPr>
            <w:r>
              <w:rPr>
                <w:spacing w:val="-2"/>
                <w:sz w:val="14"/>
              </w:rPr>
              <w:t>Varies</w:t>
            </w:r>
            <w:r>
              <w:rPr>
                <w:spacing w:val="40"/>
                <w:sz w:val="14"/>
              </w:rPr>
              <w:t> </w:t>
            </w:r>
            <w:r>
              <w:rPr>
                <w:spacing w:val="-2"/>
                <w:sz w:val="14"/>
              </w:rPr>
              <w:t>according</w:t>
            </w:r>
            <w:r>
              <w:rPr>
                <w:spacing w:val="40"/>
                <w:sz w:val="14"/>
              </w:rPr>
              <w:t> </w:t>
            </w:r>
            <w:r>
              <w:rPr>
                <w:sz w:val="14"/>
              </w:rPr>
              <w:t>to</w:t>
            </w:r>
            <w:r>
              <w:rPr>
                <w:spacing w:val="-4"/>
                <w:sz w:val="14"/>
              </w:rPr>
              <w:t> </w:t>
            </w:r>
            <w:r>
              <w:rPr>
                <w:spacing w:val="-2"/>
                <w:sz w:val="14"/>
              </w:rPr>
              <w:t>course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224" w:right="201" w:hanging="3"/>
              <w:jc w:val="center"/>
              <w:rPr>
                <w:sz w:val="14"/>
              </w:rPr>
            </w:pPr>
            <w:r>
              <w:rPr>
                <w:spacing w:val="-2"/>
                <w:sz w:val="14"/>
              </w:rPr>
              <w:t>Varies</w:t>
            </w:r>
            <w:r>
              <w:rPr>
                <w:spacing w:val="40"/>
                <w:sz w:val="14"/>
              </w:rPr>
              <w:t> </w:t>
            </w:r>
            <w:r>
              <w:rPr>
                <w:sz w:val="14"/>
              </w:rPr>
              <w:t>according</w:t>
            </w:r>
            <w:r>
              <w:rPr>
                <w:spacing w:val="-10"/>
                <w:sz w:val="14"/>
              </w:rPr>
              <w:t> </w:t>
            </w:r>
            <w:r>
              <w:rPr>
                <w:sz w:val="14"/>
              </w:rPr>
              <w:t>to</w:t>
            </w:r>
            <w:r>
              <w:rPr>
                <w:spacing w:val="40"/>
                <w:sz w:val="14"/>
              </w:rPr>
              <w:t> </w:t>
            </w:r>
            <w:r>
              <w:rPr>
                <w:spacing w:val="-2"/>
                <w:sz w:val="14"/>
              </w:rPr>
              <w:t>course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483"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before="10"/>
              <w:rPr>
                <w:sz w:val="13"/>
              </w:rPr>
            </w:pPr>
          </w:p>
          <w:p>
            <w:pPr>
              <w:pStyle w:val="TableParagraph"/>
              <w:spacing w:before="1"/>
              <w:ind w:left="107"/>
              <w:rPr>
                <w:sz w:val="14"/>
              </w:rPr>
            </w:pPr>
            <w:r>
              <w:rPr>
                <w:spacing w:val="-2"/>
                <w:sz w:val="14"/>
              </w:rPr>
              <w:t>Children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line="140" w:lineRule="exact" w:before="13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line="140" w:lineRule="exact" w:before="13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ind w:left="189" w:right="164" w:firstLine="105"/>
              <w:rPr>
                <w:sz w:val="14"/>
              </w:rPr>
            </w:pPr>
            <w:r>
              <w:rPr>
                <w:spacing w:val="-2"/>
                <w:sz w:val="14"/>
              </w:rPr>
              <w:t>Varies</w:t>
            </w:r>
            <w:r>
              <w:rPr>
                <w:spacing w:val="40"/>
                <w:sz w:val="14"/>
              </w:rPr>
              <w:t> </w:t>
            </w:r>
            <w:r>
              <w:rPr>
                <w:spacing w:val="-2"/>
                <w:sz w:val="14"/>
              </w:rPr>
              <w:t>according</w:t>
            </w:r>
          </w:p>
          <w:p>
            <w:pPr>
              <w:pStyle w:val="TableParagraph"/>
              <w:spacing w:line="140" w:lineRule="exact" w:before="1"/>
              <w:ind w:left="204"/>
              <w:rPr>
                <w:sz w:val="14"/>
              </w:rPr>
            </w:pPr>
            <w:r>
              <w:rPr>
                <w:sz w:val="14"/>
              </w:rPr>
              <w:t>to</w:t>
            </w:r>
            <w:r>
              <w:rPr>
                <w:spacing w:val="-4"/>
                <w:sz w:val="14"/>
              </w:rPr>
              <w:t> </w:t>
            </w:r>
            <w:r>
              <w:rPr>
                <w:spacing w:val="-2"/>
                <w:sz w:val="14"/>
              </w:rPr>
              <w:t>course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ind w:left="224" w:right="192" w:firstLine="182"/>
              <w:rPr>
                <w:sz w:val="14"/>
              </w:rPr>
            </w:pPr>
            <w:r>
              <w:rPr>
                <w:spacing w:val="-2"/>
                <w:sz w:val="14"/>
              </w:rPr>
              <w:t>Varies</w:t>
            </w:r>
            <w:r>
              <w:rPr>
                <w:spacing w:val="40"/>
                <w:sz w:val="14"/>
              </w:rPr>
              <w:t> </w:t>
            </w:r>
            <w:r>
              <w:rPr>
                <w:sz w:val="14"/>
              </w:rPr>
              <w:t>according</w:t>
            </w:r>
            <w:r>
              <w:rPr>
                <w:spacing w:val="-10"/>
                <w:sz w:val="14"/>
              </w:rPr>
              <w:t> </w:t>
            </w:r>
            <w:r>
              <w:rPr>
                <w:sz w:val="14"/>
              </w:rPr>
              <w:t>to</w:t>
            </w:r>
          </w:p>
          <w:p>
            <w:pPr>
              <w:pStyle w:val="TableParagraph"/>
              <w:spacing w:line="140" w:lineRule="exact" w:before="1"/>
              <w:ind w:left="394"/>
              <w:rPr>
                <w:sz w:val="14"/>
              </w:rPr>
            </w:pPr>
            <w:r>
              <w:rPr>
                <w:spacing w:val="-2"/>
                <w:sz w:val="14"/>
              </w:rPr>
              <w:t>course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Wyreena</w:t>
            </w:r>
            <w:r>
              <w:rPr>
                <w:b/>
                <w:spacing w:val="-3"/>
                <w:sz w:val="14"/>
              </w:rPr>
              <w:t> </w:t>
            </w:r>
            <w:r>
              <w:rPr>
                <w:b/>
                <w:sz w:val="14"/>
              </w:rPr>
              <w:t>Course</w:t>
            </w:r>
            <w:r>
              <w:rPr>
                <w:b/>
                <w:spacing w:val="-4"/>
                <w:sz w:val="14"/>
              </w:rPr>
              <w:t> </w:t>
            </w:r>
            <w:r>
              <w:rPr>
                <w:b/>
                <w:sz w:val="14"/>
              </w:rPr>
              <w:t>Fees</w:t>
            </w:r>
            <w:r>
              <w:rPr>
                <w:b/>
                <w:spacing w:val="-7"/>
                <w:sz w:val="14"/>
              </w:rPr>
              <w:t> </w:t>
            </w:r>
            <w:r>
              <w:rPr>
                <w:b/>
                <w:sz w:val="14"/>
              </w:rPr>
              <w:t>Term</w:t>
            </w:r>
            <w:r>
              <w:rPr>
                <w:b/>
                <w:spacing w:val="-5"/>
                <w:sz w:val="14"/>
              </w:rPr>
              <w:t> </w:t>
            </w:r>
            <w:r>
              <w:rPr>
                <w:b/>
                <w:spacing w:val="-10"/>
                <w:sz w:val="14"/>
              </w:rPr>
              <w:t>2</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bl>
    <w:p>
      <w:pPr>
        <w:spacing w:after="0"/>
        <w:rPr>
          <w:rFonts w:ascii="Times New Roman"/>
          <w:sz w:val="12"/>
        </w:rPr>
        <w:sectPr>
          <w:footerReference w:type="default" r:id="rId27"/>
          <w:pgSz w:w="11910" w:h="16840"/>
          <w:pgMar w:footer="378" w:header="0" w:top="680" w:bottom="863" w:left="520" w:right="520"/>
          <w:pgNumType w:start="86"/>
        </w:sectPr>
      </w:pPr>
    </w:p>
    <w:tbl>
      <w:tblPr>
        <w:tblW w:w="0" w:type="auto"/>
        <w:jc w:val="left"/>
        <w:tblInd w:w="13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70"/>
        <w:gridCol w:w="1028"/>
        <w:gridCol w:w="769"/>
        <w:gridCol w:w="973"/>
        <w:gridCol w:w="1199"/>
        <w:gridCol w:w="897"/>
      </w:tblGrid>
      <w:tr>
        <w:trPr>
          <w:trHeight w:val="232" w:hRule="atLeast"/>
        </w:trPr>
        <w:tc>
          <w:tcPr>
            <w:tcW w:w="10636" w:type="dxa"/>
            <w:gridSpan w:val="6"/>
            <w:tcBorders>
              <w:left w:val="single" w:sz="12" w:space="0" w:color="000000"/>
              <w:bottom w:val="single" w:sz="4" w:space="0" w:color="000000"/>
              <w:right w:val="single" w:sz="12" w:space="0" w:color="000000"/>
            </w:tcBorders>
            <w:shd w:val="clear" w:color="auto" w:fill="3399FF"/>
          </w:tcPr>
          <w:p>
            <w:pPr>
              <w:pStyle w:val="TableParagraph"/>
              <w:spacing w:before="32"/>
              <w:ind w:left="4308" w:right="4290"/>
              <w:jc w:val="center"/>
              <w:rPr>
                <w:b/>
                <w:sz w:val="14"/>
              </w:rPr>
            </w:pPr>
            <w:r>
              <w:rPr>
                <w:b/>
                <w:color w:val="FFFFFF"/>
                <w:sz w:val="14"/>
              </w:rPr>
              <w:t>FEES</w:t>
            </w:r>
            <w:r>
              <w:rPr>
                <w:b/>
                <w:color w:val="FFFFFF"/>
                <w:spacing w:val="-5"/>
                <w:sz w:val="14"/>
              </w:rPr>
              <w:t> </w:t>
            </w:r>
            <w:r>
              <w:rPr>
                <w:b/>
                <w:color w:val="FFFFFF"/>
                <w:sz w:val="14"/>
              </w:rPr>
              <w:t>AND</w:t>
            </w:r>
            <w:r>
              <w:rPr>
                <w:b/>
                <w:color w:val="FFFFFF"/>
                <w:spacing w:val="-4"/>
                <w:sz w:val="14"/>
              </w:rPr>
              <w:t> </w:t>
            </w:r>
            <w:r>
              <w:rPr>
                <w:b/>
                <w:color w:val="FFFFFF"/>
                <w:sz w:val="14"/>
              </w:rPr>
              <w:t>CHARGES</w:t>
            </w:r>
            <w:r>
              <w:rPr>
                <w:b/>
                <w:color w:val="FFFFFF"/>
                <w:spacing w:val="-1"/>
                <w:sz w:val="14"/>
              </w:rPr>
              <w:t> </w:t>
            </w:r>
            <w:r>
              <w:rPr>
                <w:b/>
                <w:color w:val="FFFFFF"/>
                <w:spacing w:val="-2"/>
                <w:sz w:val="14"/>
              </w:rPr>
              <w:t>2025/26</w:t>
            </w:r>
          </w:p>
        </w:tc>
      </w:tr>
      <w:tr>
        <w:trPr>
          <w:trHeight w:val="858" w:hRule="atLeast"/>
        </w:trPr>
        <w:tc>
          <w:tcPr>
            <w:tcW w:w="5770" w:type="dxa"/>
            <w:tcBorders>
              <w:top w:val="single" w:sz="4" w:space="0" w:color="000000"/>
              <w:left w:val="single" w:sz="12" w:space="0" w:color="000000"/>
              <w:bottom w:val="single" w:sz="4" w:space="0" w:color="000000"/>
              <w:right w:val="single" w:sz="4"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107"/>
              <w:rPr>
                <w:b/>
                <w:sz w:val="14"/>
              </w:rPr>
            </w:pPr>
            <w:r>
              <w:rPr>
                <w:b/>
                <w:color w:val="FFFFFF"/>
                <w:sz w:val="14"/>
              </w:rPr>
              <w:t>Account</w:t>
            </w:r>
            <w:r>
              <w:rPr>
                <w:b/>
                <w:color w:val="FFFFFF"/>
                <w:spacing w:val="-7"/>
                <w:sz w:val="14"/>
              </w:rPr>
              <w:t> </w:t>
            </w:r>
            <w:r>
              <w:rPr>
                <w:b/>
                <w:color w:val="FFFFFF"/>
                <w:spacing w:val="-2"/>
                <w:sz w:val="14"/>
              </w:rPr>
              <w:t>Description</w:t>
            </w:r>
          </w:p>
        </w:tc>
        <w:tc>
          <w:tcPr>
            <w:tcW w:w="1028"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26" w:right="101" w:firstLine="4"/>
              <w:jc w:val="center"/>
              <w:rPr>
                <w:b/>
                <w:sz w:val="14"/>
              </w:rPr>
            </w:pPr>
            <w:r>
              <w:rPr>
                <w:b/>
                <w:color w:val="FFFFFF"/>
                <w:sz w:val="14"/>
              </w:rPr>
              <w:t>Fee</w:t>
            </w:r>
            <w:r>
              <w:rPr>
                <w:b/>
                <w:color w:val="FFFFFF"/>
                <w:spacing w:val="-6"/>
                <w:sz w:val="14"/>
              </w:rPr>
              <w:t> </w:t>
            </w:r>
            <w:r>
              <w:rPr>
                <w:b/>
                <w:color w:val="FFFFFF"/>
                <w:sz w:val="14"/>
              </w:rPr>
              <w:t>Type</w:t>
            </w:r>
            <w:r>
              <w:rPr>
                <w:b/>
                <w:color w:val="FFFFFF"/>
                <w:spacing w:val="40"/>
                <w:sz w:val="14"/>
              </w:rPr>
              <w:t> </w:t>
            </w:r>
            <w:r>
              <w:rPr>
                <w:b/>
                <w:color w:val="FFFFFF"/>
                <w:spacing w:val="-2"/>
                <w:sz w:val="14"/>
              </w:rPr>
              <w:t>N=Non-</w:t>
            </w:r>
            <w:r>
              <w:rPr>
                <w:b/>
                <w:color w:val="FFFFFF"/>
                <w:spacing w:val="40"/>
                <w:sz w:val="14"/>
              </w:rPr>
              <w:t> </w:t>
            </w:r>
            <w:r>
              <w:rPr>
                <w:b/>
                <w:color w:val="FFFFFF"/>
                <w:spacing w:val="-2"/>
                <w:sz w:val="14"/>
              </w:rPr>
              <w:t>Statutory</w:t>
            </w:r>
            <w:r>
              <w:rPr>
                <w:b/>
                <w:color w:val="FFFFFF"/>
                <w:spacing w:val="40"/>
                <w:sz w:val="14"/>
              </w:rPr>
              <w:t> </w:t>
            </w:r>
            <w:r>
              <w:rPr>
                <w:b/>
                <w:color w:val="FFFFFF"/>
                <w:spacing w:val="-2"/>
                <w:sz w:val="14"/>
              </w:rPr>
              <w:t>S=Statutory</w:t>
            </w:r>
          </w:p>
        </w:tc>
        <w:tc>
          <w:tcPr>
            <w:tcW w:w="76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4"/>
              <w:rPr>
                <w:sz w:val="23"/>
              </w:rPr>
            </w:pPr>
          </w:p>
          <w:p>
            <w:pPr>
              <w:pStyle w:val="TableParagraph"/>
              <w:spacing w:before="1"/>
              <w:ind w:left="248"/>
              <w:rPr>
                <w:b/>
                <w:sz w:val="14"/>
              </w:rPr>
            </w:pPr>
            <w:r>
              <w:rPr>
                <w:b/>
                <w:color w:val="FFFFFF"/>
                <w:spacing w:val="-5"/>
                <w:sz w:val="14"/>
              </w:rPr>
              <w:t>GST</w:t>
            </w:r>
          </w:p>
          <w:p>
            <w:pPr>
              <w:pStyle w:val="TableParagraph"/>
              <w:ind w:left="154"/>
              <w:rPr>
                <w:b/>
                <w:sz w:val="14"/>
              </w:rPr>
            </w:pPr>
            <w:r>
              <w:rPr>
                <w:b/>
                <w:color w:val="FFFFFF"/>
                <w:spacing w:val="-2"/>
                <w:sz w:val="14"/>
              </w:rPr>
              <w:t>Yes/No</w:t>
            </w:r>
          </w:p>
        </w:tc>
        <w:tc>
          <w:tcPr>
            <w:tcW w:w="973"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05" w:right="84"/>
              <w:jc w:val="center"/>
              <w:rPr>
                <w:b/>
                <w:sz w:val="14"/>
              </w:rPr>
            </w:pPr>
            <w:r>
              <w:rPr>
                <w:b/>
                <w:color w:val="FFFFFF"/>
                <w:spacing w:val="-2"/>
                <w:sz w:val="14"/>
              </w:rPr>
              <w:t>2024/25</w:t>
            </w:r>
          </w:p>
          <w:p>
            <w:pPr>
              <w:pStyle w:val="TableParagraph"/>
              <w:ind w:left="189" w:right="168" w:firstLine="1"/>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40"/>
                <w:sz w:val="14"/>
              </w:rPr>
              <w:t> </w:t>
            </w:r>
            <w:r>
              <w:rPr>
                <w:b/>
                <w:color w:val="FFFFFF"/>
                <w:sz w:val="14"/>
              </w:rPr>
              <w:t>Incl.</w:t>
            </w:r>
            <w:r>
              <w:rPr>
                <w:b/>
                <w:color w:val="FFFFFF"/>
                <w:spacing w:val="-5"/>
                <w:sz w:val="14"/>
              </w:rPr>
              <w:t> </w:t>
            </w:r>
            <w:r>
              <w:rPr>
                <w:b/>
                <w:color w:val="FFFFFF"/>
                <w:spacing w:val="-5"/>
                <w:sz w:val="14"/>
              </w:rPr>
              <w:t>GST</w:t>
            </w:r>
          </w:p>
        </w:tc>
        <w:tc>
          <w:tcPr>
            <w:tcW w:w="119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56" w:right="137"/>
              <w:jc w:val="center"/>
              <w:rPr>
                <w:b/>
                <w:sz w:val="14"/>
              </w:rPr>
            </w:pPr>
            <w:r>
              <w:rPr>
                <w:b/>
                <w:color w:val="FFFFFF"/>
                <w:spacing w:val="-2"/>
                <w:sz w:val="14"/>
              </w:rPr>
              <w:t>2025/26</w:t>
            </w:r>
          </w:p>
          <w:p>
            <w:pPr>
              <w:pStyle w:val="TableParagraph"/>
              <w:ind w:left="164" w:right="146" w:firstLine="2"/>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8"/>
                <w:sz w:val="14"/>
              </w:rPr>
              <w:t> </w:t>
            </w:r>
            <w:r>
              <w:rPr>
                <w:b/>
                <w:color w:val="FFFFFF"/>
                <w:spacing w:val="-2"/>
                <w:sz w:val="14"/>
              </w:rPr>
              <w:t>Incl.</w:t>
            </w:r>
          </w:p>
          <w:p>
            <w:pPr>
              <w:pStyle w:val="TableParagraph"/>
              <w:spacing w:line="161" w:lineRule="exact"/>
              <w:ind w:left="153" w:right="137"/>
              <w:jc w:val="center"/>
              <w:rPr>
                <w:b/>
                <w:sz w:val="14"/>
              </w:rPr>
            </w:pPr>
            <w:r>
              <w:rPr>
                <w:b/>
                <w:color w:val="FFFFFF"/>
                <w:spacing w:val="-5"/>
                <w:sz w:val="14"/>
              </w:rPr>
              <w:t>GST</w:t>
            </w:r>
          </w:p>
        </w:tc>
        <w:tc>
          <w:tcPr>
            <w:tcW w:w="897" w:type="dxa"/>
            <w:tcBorders>
              <w:top w:val="single" w:sz="4" w:space="0" w:color="000000"/>
              <w:left w:val="single" w:sz="4" w:space="0" w:color="000000"/>
              <w:bottom w:val="single" w:sz="4" w:space="0" w:color="000000"/>
              <w:right w:val="single" w:sz="12"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95" w:right="81"/>
              <w:jc w:val="center"/>
              <w:rPr>
                <w:b/>
                <w:sz w:val="14"/>
              </w:rPr>
            </w:pPr>
            <w:r>
              <w:rPr>
                <w:b/>
                <w:color w:val="FFFFFF"/>
                <w:sz w:val="14"/>
              </w:rPr>
              <w:t>%</w:t>
            </w:r>
            <w:r>
              <w:rPr>
                <w:b/>
                <w:color w:val="FFFFFF"/>
                <w:spacing w:val="-4"/>
                <w:sz w:val="14"/>
              </w:rPr>
              <w:t> </w:t>
            </w:r>
            <w:r>
              <w:rPr>
                <w:b/>
                <w:color w:val="FFFFFF"/>
                <w:spacing w:val="-2"/>
                <w:sz w:val="14"/>
              </w:rPr>
              <w:t>Change</w:t>
            </w:r>
          </w:p>
        </w:tc>
      </w:tr>
      <w:tr>
        <w:trPr>
          <w:trHeight w:val="484"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before="2"/>
              <w:rPr>
                <w:sz w:val="14"/>
              </w:rPr>
            </w:pPr>
          </w:p>
          <w:p>
            <w:pPr>
              <w:pStyle w:val="TableParagraph"/>
              <w:ind w:left="107"/>
              <w:rPr>
                <w:sz w:val="14"/>
              </w:rPr>
            </w:pPr>
            <w:r>
              <w:rPr>
                <w:spacing w:val="-2"/>
                <w:sz w:val="14"/>
              </w:rPr>
              <w:t>Adults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line="140" w:lineRule="exact" w:before="140"/>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line="140" w:lineRule="exact" w:before="140"/>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189" w:right="164" w:firstLine="105"/>
              <w:rPr>
                <w:sz w:val="14"/>
              </w:rPr>
            </w:pPr>
            <w:r>
              <w:rPr>
                <w:spacing w:val="-2"/>
                <w:sz w:val="14"/>
              </w:rPr>
              <w:t>Varies</w:t>
            </w:r>
            <w:r>
              <w:rPr>
                <w:spacing w:val="40"/>
                <w:sz w:val="14"/>
              </w:rPr>
              <w:t> </w:t>
            </w:r>
            <w:r>
              <w:rPr>
                <w:spacing w:val="-2"/>
                <w:sz w:val="14"/>
              </w:rPr>
              <w:t>according</w:t>
            </w:r>
            <w:r>
              <w:rPr>
                <w:spacing w:val="40"/>
                <w:sz w:val="14"/>
              </w:rPr>
              <w:t> </w:t>
            </w:r>
            <w:r>
              <w:rPr>
                <w:sz w:val="14"/>
              </w:rPr>
              <w:t>to</w:t>
            </w:r>
            <w:r>
              <w:rPr>
                <w:spacing w:val="-4"/>
                <w:sz w:val="14"/>
              </w:rPr>
              <w:t> </w:t>
            </w:r>
            <w:r>
              <w:rPr>
                <w:spacing w:val="-2"/>
                <w:sz w:val="14"/>
              </w:rPr>
              <w:t>course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224" w:right="201" w:hanging="3"/>
              <w:jc w:val="center"/>
              <w:rPr>
                <w:sz w:val="14"/>
              </w:rPr>
            </w:pPr>
            <w:r>
              <w:rPr>
                <w:spacing w:val="-2"/>
                <w:sz w:val="14"/>
              </w:rPr>
              <w:t>Varies</w:t>
            </w:r>
            <w:r>
              <w:rPr>
                <w:spacing w:val="40"/>
                <w:sz w:val="14"/>
              </w:rPr>
              <w:t> </w:t>
            </w:r>
            <w:r>
              <w:rPr>
                <w:sz w:val="14"/>
              </w:rPr>
              <w:t>according</w:t>
            </w:r>
            <w:r>
              <w:rPr>
                <w:spacing w:val="-10"/>
                <w:sz w:val="14"/>
              </w:rPr>
              <w:t> </w:t>
            </w:r>
            <w:r>
              <w:rPr>
                <w:sz w:val="14"/>
              </w:rPr>
              <w:t>to</w:t>
            </w:r>
            <w:r>
              <w:rPr>
                <w:spacing w:val="40"/>
                <w:sz w:val="14"/>
              </w:rPr>
              <w:t> </w:t>
            </w:r>
            <w:r>
              <w:rPr>
                <w:spacing w:val="-2"/>
                <w:sz w:val="14"/>
              </w:rPr>
              <w:t>course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4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4"/>
              </w:rPr>
            </w:pPr>
          </w:p>
          <w:p>
            <w:pPr>
              <w:pStyle w:val="TableParagraph"/>
              <w:ind w:left="107"/>
              <w:rPr>
                <w:sz w:val="14"/>
              </w:rPr>
            </w:pPr>
            <w:r>
              <w:rPr>
                <w:spacing w:val="-2"/>
                <w:sz w:val="14"/>
              </w:rPr>
              <w:t>Children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line="140" w:lineRule="exact" w:before="138"/>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line="140" w:lineRule="exact" w:before="138"/>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189" w:right="164" w:firstLine="105"/>
              <w:rPr>
                <w:sz w:val="14"/>
              </w:rPr>
            </w:pPr>
            <w:r>
              <w:rPr>
                <w:spacing w:val="-2"/>
                <w:sz w:val="14"/>
              </w:rPr>
              <w:t>Varies</w:t>
            </w:r>
            <w:r>
              <w:rPr>
                <w:spacing w:val="40"/>
                <w:sz w:val="14"/>
              </w:rPr>
              <w:t> </w:t>
            </w:r>
            <w:r>
              <w:rPr>
                <w:spacing w:val="-2"/>
                <w:sz w:val="14"/>
              </w:rPr>
              <w:t>according</w:t>
            </w:r>
            <w:r>
              <w:rPr>
                <w:spacing w:val="40"/>
                <w:sz w:val="14"/>
              </w:rPr>
              <w:t> </w:t>
            </w:r>
            <w:r>
              <w:rPr>
                <w:sz w:val="14"/>
              </w:rPr>
              <w:t>to</w:t>
            </w:r>
            <w:r>
              <w:rPr>
                <w:spacing w:val="-4"/>
                <w:sz w:val="14"/>
              </w:rPr>
              <w:t> </w:t>
            </w:r>
            <w:r>
              <w:rPr>
                <w:spacing w:val="-2"/>
                <w:sz w:val="14"/>
              </w:rPr>
              <w:t>course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224" w:right="201" w:hanging="3"/>
              <w:jc w:val="center"/>
              <w:rPr>
                <w:sz w:val="14"/>
              </w:rPr>
            </w:pPr>
            <w:r>
              <w:rPr>
                <w:spacing w:val="-2"/>
                <w:sz w:val="14"/>
              </w:rPr>
              <w:t>Varies</w:t>
            </w:r>
            <w:r>
              <w:rPr>
                <w:spacing w:val="40"/>
                <w:sz w:val="14"/>
              </w:rPr>
              <w:t> </w:t>
            </w:r>
            <w:r>
              <w:rPr>
                <w:sz w:val="14"/>
              </w:rPr>
              <w:t>according</w:t>
            </w:r>
            <w:r>
              <w:rPr>
                <w:spacing w:val="-10"/>
                <w:sz w:val="14"/>
              </w:rPr>
              <w:t> </w:t>
            </w:r>
            <w:r>
              <w:rPr>
                <w:sz w:val="14"/>
              </w:rPr>
              <w:t>to</w:t>
            </w:r>
            <w:r>
              <w:rPr>
                <w:spacing w:val="40"/>
                <w:sz w:val="14"/>
              </w:rPr>
              <w:t> </w:t>
            </w:r>
            <w:r>
              <w:rPr>
                <w:spacing w:val="-2"/>
                <w:sz w:val="14"/>
              </w:rPr>
              <w:t>course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8"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8"/>
              <w:ind w:left="107"/>
              <w:rPr>
                <w:b/>
                <w:sz w:val="14"/>
              </w:rPr>
            </w:pPr>
            <w:r>
              <w:rPr>
                <w:b/>
                <w:sz w:val="14"/>
              </w:rPr>
              <w:t>Wyreena</w:t>
            </w:r>
            <w:r>
              <w:rPr>
                <w:b/>
                <w:spacing w:val="-3"/>
                <w:sz w:val="14"/>
              </w:rPr>
              <w:t> </w:t>
            </w:r>
            <w:r>
              <w:rPr>
                <w:b/>
                <w:sz w:val="14"/>
              </w:rPr>
              <w:t>Course</w:t>
            </w:r>
            <w:r>
              <w:rPr>
                <w:b/>
                <w:spacing w:val="-4"/>
                <w:sz w:val="14"/>
              </w:rPr>
              <w:t> </w:t>
            </w:r>
            <w:r>
              <w:rPr>
                <w:b/>
                <w:sz w:val="14"/>
              </w:rPr>
              <w:t>Fees</w:t>
            </w:r>
            <w:r>
              <w:rPr>
                <w:b/>
                <w:spacing w:val="-7"/>
                <w:sz w:val="14"/>
              </w:rPr>
              <w:t> </w:t>
            </w:r>
            <w:r>
              <w:rPr>
                <w:b/>
                <w:sz w:val="14"/>
              </w:rPr>
              <w:t>Term</w:t>
            </w:r>
            <w:r>
              <w:rPr>
                <w:b/>
                <w:spacing w:val="-5"/>
                <w:sz w:val="14"/>
              </w:rPr>
              <w:t> </w:t>
            </w:r>
            <w:r>
              <w:rPr>
                <w:b/>
                <w:spacing w:val="-10"/>
                <w:sz w:val="14"/>
              </w:rPr>
              <w:t>3</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484"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before="2"/>
              <w:rPr>
                <w:sz w:val="14"/>
              </w:rPr>
            </w:pPr>
          </w:p>
          <w:p>
            <w:pPr>
              <w:pStyle w:val="TableParagraph"/>
              <w:ind w:left="107"/>
              <w:rPr>
                <w:sz w:val="14"/>
              </w:rPr>
            </w:pPr>
            <w:r>
              <w:rPr>
                <w:spacing w:val="-2"/>
                <w:sz w:val="14"/>
              </w:rPr>
              <w:t>Adults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line="140" w:lineRule="exact" w:before="140"/>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line="140" w:lineRule="exact" w:before="140"/>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189" w:right="164" w:firstLine="105"/>
              <w:rPr>
                <w:sz w:val="14"/>
              </w:rPr>
            </w:pPr>
            <w:r>
              <w:rPr>
                <w:spacing w:val="-2"/>
                <w:sz w:val="14"/>
              </w:rPr>
              <w:t>Varies</w:t>
            </w:r>
            <w:r>
              <w:rPr>
                <w:spacing w:val="40"/>
                <w:sz w:val="14"/>
              </w:rPr>
              <w:t> </w:t>
            </w:r>
            <w:r>
              <w:rPr>
                <w:spacing w:val="-2"/>
                <w:sz w:val="14"/>
              </w:rPr>
              <w:t>according</w:t>
            </w:r>
            <w:r>
              <w:rPr>
                <w:spacing w:val="40"/>
                <w:sz w:val="14"/>
              </w:rPr>
              <w:t> </w:t>
            </w:r>
            <w:r>
              <w:rPr>
                <w:sz w:val="14"/>
              </w:rPr>
              <w:t>to</w:t>
            </w:r>
            <w:r>
              <w:rPr>
                <w:spacing w:val="-4"/>
                <w:sz w:val="14"/>
              </w:rPr>
              <w:t> </w:t>
            </w:r>
            <w:r>
              <w:rPr>
                <w:spacing w:val="-2"/>
                <w:sz w:val="14"/>
              </w:rPr>
              <w:t>course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224" w:right="201" w:hanging="3"/>
              <w:jc w:val="center"/>
              <w:rPr>
                <w:sz w:val="14"/>
              </w:rPr>
            </w:pPr>
            <w:r>
              <w:rPr>
                <w:spacing w:val="-2"/>
                <w:sz w:val="14"/>
              </w:rPr>
              <w:t>Varies</w:t>
            </w:r>
            <w:r>
              <w:rPr>
                <w:spacing w:val="40"/>
                <w:sz w:val="14"/>
              </w:rPr>
              <w:t> </w:t>
            </w:r>
            <w:r>
              <w:rPr>
                <w:sz w:val="14"/>
              </w:rPr>
              <w:t>according</w:t>
            </w:r>
            <w:r>
              <w:rPr>
                <w:spacing w:val="-10"/>
                <w:sz w:val="14"/>
              </w:rPr>
              <w:t> </w:t>
            </w:r>
            <w:r>
              <w:rPr>
                <w:sz w:val="14"/>
              </w:rPr>
              <w:t>to</w:t>
            </w:r>
            <w:r>
              <w:rPr>
                <w:spacing w:val="40"/>
                <w:sz w:val="14"/>
              </w:rPr>
              <w:t> </w:t>
            </w:r>
            <w:r>
              <w:rPr>
                <w:spacing w:val="-2"/>
                <w:sz w:val="14"/>
              </w:rPr>
              <w:t>course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4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4"/>
              </w:rPr>
            </w:pPr>
          </w:p>
          <w:p>
            <w:pPr>
              <w:pStyle w:val="TableParagraph"/>
              <w:ind w:left="107"/>
              <w:rPr>
                <w:sz w:val="14"/>
              </w:rPr>
            </w:pPr>
            <w:r>
              <w:rPr>
                <w:spacing w:val="-2"/>
                <w:sz w:val="14"/>
              </w:rPr>
              <w:t>Children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line="140" w:lineRule="exact" w:before="138"/>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line="140" w:lineRule="exact" w:before="138"/>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189" w:right="164" w:firstLine="105"/>
              <w:rPr>
                <w:sz w:val="14"/>
              </w:rPr>
            </w:pPr>
            <w:r>
              <w:rPr>
                <w:spacing w:val="-2"/>
                <w:sz w:val="14"/>
              </w:rPr>
              <w:t>Varies</w:t>
            </w:r>
            <w:r>
              <w:rPr>
                <w:spacing w:val="40"/>
                <w:sz w:val="14"/>
              </w:rPr>
              <w:t> </w:t>
            </w:r>
            <w:r>
              <w:rPr>
                <w:spacing w:val="-2"/>
                <w:sz w:val="14"/>
              </w:rPr>
              <w:t>according</w:t>
            </w:r>
            <w:r>
              <w:rPr>
                <w:spacing w:val="40"/>
                <w:sz w:val="14"/>
              </w:rPr>
              <w:t> </w:t>
            </w:r>
            <w:r>
              <w:rPr>
                <w:sz w:val="14"/>
              </w:rPr>
              <w:t>to</w:t>
            </w:r>
            <w:r>
              <w:rPr>
                <w:spacing w:val="-4"/>
                <w:sz w:val="14"/>
              </w:rPr>
              <w:t> </w:t>
            </w:r>
            <w:r>
              <w:rPr>
                <w:spacing w:val="-2"/>
                <w:sz w:val="14"/>
              </w:rPr>
              <w:t>course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224" w:right="201" w:hanging="3"/>
              <w:jc w:val="center"/>
              <w:rPr>
                <w:sz w:val="14"/>
              </w:rPr>
            </w:pPr>
            <w:r>
              <w:rPr>
                <w:spacing w:val="-2"/>
                <w:sz w:val="14"/>
              </w:rPr>
              <w:t>Varies</w:t>
            </w:r>
            <w:r>
              <w:rPr>
                <w:spacing w:val="40"/>
                <w:sz w:val="14"/>
              </w:rPr>
              <w:t> </w:t>
            </w:r>
            <w:r>
              <w:rPr>
                <w:sz w:val="14"/>
              </w:rPr>
              <w:t>according</w:t>
            </w:r>
            <w:r>
              <w:rPr>
                <w:spacing w:val="-10"/>
                <w:sz w:val="14"/>
              </w:rPr>
              <w:t> </w:t>
            </w:r>
            <w:r>
              <w:rPr>
                <w:sz w:val="14"/>
              </w:rPr>
              <w:t>to</w:t>
            </w:r>
            <w:r>
              <w:rPr>
                <w:spacing w:val="40"/>
                <w:sz w:val="14"/>
              </w:rPr>
              <w:t> </w:t>
            </w:r>
            <w:r>
              <w:rPr>
                <w:spacing w:val="-2"/>
                <w:sz w:val="14"/>
              </w:rPr>
              <w:t>course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8"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8"/>
              <w:ind w:left="107"/>
              <w:rPr>
                <w:b/>
                <w:sz w:val="14"/>
              </w:rPr>
            </w:pPr>
            <w:r>
              <w:rPr>
                <w:b/>
                <w:sz w:val="14"/>
              </w:rPr>
              <w:t>Wyreena</w:t>
            </w:r>
            <w:r>
              <w:rPr>
                <w:b/>
                <w:spacing w:val="-3"/>
                <w:sz w:val="14"/>
              </w:rPr>
              <w:t> </w:t>
            </w:r>
            <w:r>
              <w:rPr>
                <w:b/>
                <w:sz w:val="14"/>
              </w:rPr>
              <w:t>Course</w:t>
            </w:r>
            <w:r>
              <w:rPr>
                <w:b/>
                <w:spacing w:val="-4"/>
                <w:sz w:val="14"/>
              </w:rPr>
              <w:t> </w:t>
            </w:r>
            <w:r>
              <w:rPr>
                <w:b/>
                <w:sz w:val="14"/>
              </w:rPr>
              <w:t>Fees</w:t>
            </w:r>
            <w:r>
              <w:rPr>
                <w:b/>
                <w:spacing w:val="-7"/>
                <w:sz w:val="14"/>
              </w:rPr>
              <w:t> </w:t>
            </w:r>
            <w:r>
              <w:rPr>
                <w:b/>
                <w:sz w:val="14"/>
              </w:rPr>
              <w:t>Term</w:t>
            </w:r>
            <w:r>
              <w:rPr>
                <w:b/>
                <w:spacing w:val="-5"/>
                <w:sz w:val="14"/>
              </w:rPr>
              <w:t> </w:t>
            </w:r>
            <w:r>
              <w:rPr>
                <w:b/>
                <w:spacing w:val="-10"/>
                <w:sz w:val="14"/>
              </w:rPr>
              <w:t>4</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484"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before="2"/>
              <w:rPr>
                <w:sz w:val="14"/>
              </w:rPr>
            </w:pPr>
          </w:p>
          <w:p>
            <w:pPr>
              <w:pStyle w:val="TableParagraph"/>
              <w:ind w:left="107"/>
              <w:rPr>
                <w:sz w:val="14"/>
              </w:rPr>
            </w:pPr>
            <w:r>
              <w:rPr>
                <w:spacing w:val="-2"/>
                <w:sz w:val="14"/>
              </w:rPr>
              <w:t>Adults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line="140" w:lineRule="exact" w:before="140"/>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line="140" w:lineRule="exact" w:before="140"/>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189" w:right="164" w:firstLine="105"/>
              <w:rPr>
                <w:sz w:val="14"/>
              </w:rPr>
            </w:pPr>
            <w:r>
              <w:rPr>
                <w:spacing w:val="-2"/>
                <w:sz w:val="14"/>
              </w:rPr>
              <w:t>Varies</w:t>
            </w:r>
            <w:r>
              <w:rPr>
                <w:spacing w:val="40"/>
                <w:sz w:val="14"/>
              </w:rPr>
              <w:t> </w:t>
            </w:r>
            <w:r>
              <w:rPr>
                <w:spacing w:val="-2"/>
                <w:sz w:val="14"/>
              </w:rPr>
              <w:t>according</w:t>
            </w:r>
            <w:r>
              <w:rPr>
                <w:spacing w:val="40"/>
                <w:sz w:val="14"/>
              </w:rPr>
              <w:t> </w:t>
            </w:r>
            <w:r>
              <w:rPr>
                <w:sz w:val="14"/>
              </w:rPr>
              <w:t>to</w:t>
            </w:r>
            <w:r>
              <w:rPr>
                <w:spacing w:val="-4"/>
                <w:sz w:val="14"/>
              </w:rPr>
              <w:t> </w:t>
            </w:r>
            <w:r>
              <w:rPr>
                <w:spacing w:val="-2"/>
                <w:sz w:val="14"/>
              </w:rPr>
              <w:t>course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224" w:right="201" w:hanging="3"/>
              <w:jc w:val="center"/>
              <w:rPr>
                <w:sz w:val="14"/>
              </w:rPr>
            </w:pPr>
            <w:r>
              <w:rPr>
                <w:spacing w:val="-2"/>
                <w:sz w:val="14"/>
              </w:rPr>
              <w:t>Varies</w:t>
            </w:r>
            <w:r>
              <w:rPr>
                <w:spacing w:val="40"/>
                <w:sz w:val="14"/>
              </w:rPr>
              <w:t> </w:t>
            </w:r>
            <w:r>
              <w:rPr>
                <w:sz w:val="14"/>
              </w:rPr>
              <w:t>according</w:t>
            </w:r>
            <w:r>
              <w:rPr>
                <w:spacing w:val="-10"/>
                <w:sz w:val="14"/>
              </w:rPr>
              <w:t> </w:t>
            </w:r>
            <w:r>
              <w:rPr>
                <w:sz w:val="14"/>
              </w:rPr>
              <w:t>to</w:t>
            </w:r>
            <w:r>
              <w:rPr>
                <w:spacing w:val="40"/>
                <w:sz w:val="14"/>
              </w:rPr>
              <w:t> </w:t>
            </w:r>
            <w:r>
              <w:rPr>
                <w:spacing w:val="-2"/>
                <w:sz w:val="14"/>
              </w:rPr>
              <w:t>course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4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4"/>
              </w:rPr>
            </w:pPr>
          </w:p>
          <w:p>
            <w:pPr>
              <w:pStyle w:val="TableParagraph"/>
              <w:ind w:left="107"/>
              <w:rPr>
                <w:sz w:val="14"/>
              </w:rPr>
            </w:pPr>
            <w:r>
              <w:rPr>
                <w:spacing w:val="-2"/>
                <w:sz w:val="14"/>
              </w:rPr>
              <w:t>Children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line="140" w:lineRule="exact" w:before="138"/>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line="140" w:lineRule="exact" w:before="138"/>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189" w:right="164" w:firstLine="105"/>
              <w:rPr>
                <w:sz w:val="14"/>
              </w:rPr>
            </w:pPr>
            <w:r>
              <w:rPr>
                <w:spacing w:val="-2"/>
                <w:sz w:val="14"/>
              </w:rPr>
              <w:t>Varies</w:t>
            </w:r>
            <w:r>
              <w:rPr>
                <w:spacing w:val="40"/>
                <w:sz w:val="14"/>
              </w:rPr>
              <w:t> </w:t>
            </w:r>
            <w:r>
              <w:rPr>
                <w:spacing w:val="-2"/>
                <w:sz w:val="14"/>
              </w:rPr>
              <w:t>according</w:t>
            </w:r>
            <w:r>
              <w:rPr>
                <w:spacing w:val="40"/>
                <w:sz w:val="14"/>
              </w:rPr>
              <w:t> </w:t>
            </w:r>
            <w:r>
              <w:rPr>
                <w:sz w:val="14"/>
              </w:rPr>
              <w:t>to</w:t>
            </w:r>
            <w:r>
              <w:rPr>
                <w:spacing w:val="-4"/>
                <w:sz w:val="14"/>
              </w:rPr>
              <w:t> </w:t>
            </w:r>
            <w:r>
              <w:rPr>
                <w:spacing w:val="-2"/>
                <w:sz w:val="14"/>
              </w:rPr>
              <w:t>course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224" w:right="201" w:hanging="3"/>
              <w:jc w:val="center"/>
              <w:rPr>
                <w:sz w:val="14"/>
              </w:rPr>
            </w:pPr>
            <w:r>
              <w:rPr>
                <w:spacing w:val="-2"/>
                <w:sz w:val="14"/>
              </w:rPr>
              <w:t>Varies</w:t>
            </w:r>
            <w:r>
              <w:rPr>
                <w:spacing w:val="40"/>
                <w:sz w:val="14"/>
              </w:rPr>
              <w:t> </w:t>
            </w:r>
            <w:r>
              <w:rPr>
                <w:sz w:val="14"/>
              </w:rPr>
              <w:t>according</w:t>
            </w:r>
            <w:r>
              <w:rPr>
                <w:spacing w:val="-10"/>
                <w:sz w:val="14"/>
              </w:rPr>
              <w:t> </w:t>
            </w:r>
            <w:r>
              <w:rPr>
                <w:sz w:val="14"/>
              </w:rPr>
              <w:t>to</w:t>
            </w:r>
            <w:r>
              <w:rPr>
                <w:spacing w:val="40"/>
                <w:sz w:val="14"/>
              </w:rPr>
              <w:t> </w:t>
            </w:r>
            <w:r>
              <w:rPr>
                <w:spacing w:val="-2"/>
                <w:sz w:val="14"/>
              </w:rPr>
              <w:t>course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8"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8"/>
              <w:ind w:left="107"/>
              <w:rPr>
                <w:b/>
                <w:sz w:val="14"/>
              </w:rPr>
            </w:pPr>
            <w:r>
              <w:rPr>
                <w:b/>
                <w:sz w:val="14"/>
              </w:rPr>
              <w:t>Wyreena</w:t>
            </w:r>
            <w:r>
              <w:rPr>
                <w:b/>
                <w:spacing w:val="-7"/>
                <w:sz w:val="14"/>
              </w:rPr>
              <w:t> </w:t>
            </w:r>
            <w:r>
              <w:rPr>
                <w:b/>
                <w:sz w:val="14"/>
              </w:rPr>
              <w:t>School</w:t>
            </w:r>
            <w:r>
              <w:rPr>
                <w:b/>
                <w:spacing w:val="-6"/>
                <w:sz w:val="14"/>
              </w:rPr>
              <w:t> </w:t>
            </w:r>
            <w:r>
              <w:rPr>
                <w:b/>
                <w:spacing w:val="-2"/>
                <w:sz w:val="14"/>
              </w:rPr>
              <w:t>Holiday</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484"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before="2"/>
              <w:rPr>
                <w:sz w:val="14"/>
              </w:rPr>
            </w:pPr>
          </w:p>
          <w:p>
            <w:pPr>
              <w:pStyle w:val="TableParagraph"/>
              <w:ind w:left="107"/>
              <w:rPr>
                <w:sz w:val="14"/>
              </w:rPr>
            </w:pPr>
            <w:r>
              <w:rPr>
                <w:sz w:val="14"/>
              </w:rPr>
              <w:t>Wyreena</w:t>
            </w:r>
            <w:r>
              <w:rPr>
                <w:spacing w:val="-3"/>
                <w:sz w:val="14"/>
              </w:rPr>
              <w:t> </w:t>
            </w:r>
            <w:r>
              <w:rPr>
                <w:sz w:val="14"/>
              </w:rPr>
              <w:t>School</w:t>
            </w:r>
            <w:r>
              <w:rPr>
                <w:spacing w:val="-5"/>
                <w:sz w:val="14"/>
              </w:rPr>
              <w:t> </w:t>
            </w:r>
            <w:r>
              <w:rPr>
                <w:sz w:val="14"/>
              </w:rPr>
              <w:t>Holidays</w:t>
            </w:r>
            <w:r>
              <w:rPr>
                <w:spacing w:val="-3"/>
                <w:sz w:val="14"/>
              </w:rPr>
              <w:t> </w:t>
            </w:r>
            <w:r>
              <w:rPr>
                <w:sz w:val="14"/>
              </w:rPr>
              <w:t>Fees</w:t>
            </w:r>
            <w:r>
              <w:rPr>
                <w:spacing w:val="-5"/>
                <w:sz w:val="14"/>
              </w:rPr>
              <w:t> </w:t>
            </w:r>
            <w:r>
              <w:rPr>
                <w:sz w:val="14"/>
              </w:rPr>
              <w:t>Course</w:t>
            </w:r>
            <w:r>
              <w:rPr>
                <w:spacing w:val="-3"/>
                <w:sz w:val="14"/>
              </w:rPr>
              <w:t> </w:t>
            </w:r>
            <w:r>
              <w:rPr>
                <w:spacing w:val="-4"/>
                <w:sz w:val="14"/>
              </w:rPr>
              <w:t>Fees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line="140" w:lineRule="exact" w:before="140"/>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line="140" w:lineRule="exact" w:before="140"/>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ind w:left="189" w:firstLine="105"/>
              <w:rPr>
                <w:sz w:val="14"/>
              </w:rPr>
            </w:pPr>
            <w:r>
              <w:rPr>
                <w:spacing w:val="-2"/>
                <w:sz w:val="14"/>
              </w:rPr>
              <w:t>Varies</w:t>
            </w:r>
          </w:p>
          <w:p>
            <w:pPr>
              <w:pStyle w:val="TableParagraph"/>
              <w:spacing w:line="160" w:lineRule="atLeast"/>
              <w:ind w:left="204" w:right="164" w:hanging="15"/>
              <w:rPr>
                <w:sz w:val="14"/>
              </w:rPr>
            </w:pPr>
            <w:r>
              <w:rPr>
                <w:spacing w:val="-2"/>
                <w:sz w:val="14"/>
              </w:rPr>
              <w:t>according</w:t>
            </w:r>
            <w:r>
              <w:rPr>
                <w:spacing w:val="40"/>
                <w:sz w:val="14"/>
              </w:rPr>
              <w:t> </w:t>
            </w:r>
            <w:r>
              <w:rPr>
                <w:sz w:val="14"/>
              </w:rPr>
              <w:t>to</w:t>
            </w:r>
            <w:r>
              <w:rPr>
                <w:spacing w:val="-4"/>
                <w:sz w:val="14"/>
              </w:rPr>
              <w:t> </w:t>
            </w:r>
            <w:r>
              <w:rPr>
                <w:spacing w:val="-2"/>
                <w:sz w:val="14"/>
              </w:rPr>
              <w:t>course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ind w:left="155" w:right="137"/>
              <w:jc w:val="center"/>
              <w:rPr>
                <w:sz w:val="14"/>
              </w:rPr>
            </w:pPr>
            <w:r>
              <w:rPr>
                <w:spacing w:val="-2"/>
                <w:sz w:val="14"/>
              </w:rPr>
              <w:t>Varies</w:t>
            </w:r>
          </w:p>
          <w:p>
            <w:pPr>
              <w:pStyle w:val="TableParagraph"/>
              <w:spacing w:line="160" w:lineRule="atLeast"/>
              <w:ind w:left="157" w:right="134"/>
              <w:jc w:val="center"/>
              <w:rPr>
                <w:sz w:val="14"/>
              </w:rPr>
            </w:pPr>
            <w:r>
              <w:rPr>
                <w:sz w:val="14"/>
              </w:rPr>
              <w:t>according</w:t>
            </w:r>
            <w:r>
              <w:rPr>
                <w:spacing w:val="-10"/>
                <w:sz w:val="14"/>
              </w:rPr>
              <w:t> </w:t>
            </w:r>
            <w:r>
              <w:rPr>
                <w:sz w:val="14"/>
              </w:rPr>
              <w:t>to</w:t>
            </w:r>
            <w:r>
              <w:rPr>
                <w:spacing w:val="40"/>
                <w:sz w:val="14"/>
              </w:rPr>
              <w:t> </w:t>
            </w:r>
            <w:r>
              <w:rPr>
                <w:spacing w:val="-2"/>
                <w:sz w:val="14"/>
              </w:rPr>
              <w:t>course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Federation</w:t>
            </w:r>
            <w:r>
              <w:rPr>
                <w:b/>
                <w:spacing w:val="-7"/>
                <w:sz w:val="14"/>
              </w:rPr>
              <w:t> </w:t>
            </w:r>
            <w:r>
              <w:rPr>
                <w:b/>
                <w:sz w:val="14"/>
              </w:rPr>
              <w:t>Estate</w:t>
            </w:r>
            <w:r>
              <w:rPr>
                <w:b/>
                <w:spacing w:val="-7"/>
                <w:sz w:val="14"/>
              </w:rPr>
              <w:t> </w:t>
            </w:r>
            <w:r>
              <w:rPr>
                <w:b/>
                <w:spacing w:val="-2"/>
                <w:sz w:val="14"/>
              </w:rPr>
              <w:t>Gallery</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4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6"/>
              </w:rPr>
            </w:pPr>
          </w:p>
          <w:p>
            <w:pPr>
              <w:pStyle w:val="TableParagraph"/>
              <w:spacing w:line="140" w:lineRule="exact" w:before="138"/>
              <w:ind w:left="107"/>
              <w:rPr>
                <w:sz w:val="14"/>
              </w:rPr>
            </w:pPr>
            <w:r>
              <w:rPr>
                <w:sz w:val="14"/>
              </w:rPr>
              <w:t>Equipment</w:t>
            </w:r>
            <w:r>
              <w:rPr>
                <w:spacing w:val="-9"/>
                <w:sz w:val="14"/>
              </w:rPr>
              <w:t> </w:t>
            </w:r>
            <w:r>
              <w:rPr>
                <w:spacing w:val="-4"/>
                <w:sz w:val="14"/>
              </w:rPr>
              <w:t>Hire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line="140" w:lineRule="exact" w:before="138"/>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line="140" w:lineRule="exact" w:before="138"/>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189" w:right="165" w:hanging="1"/>
              <w:jc w:val="center"/>
              <w:rPr>
                <w:sz w:val="14"/>
              </w:rPr>
            </w:pPr>
            <w:r>
              <w:rPr>
                <w:spacing w:val="-2"/>
                <w:sz w:val="14"/>
              </w:rPr>
              <w:t>Varies</w:t>
            </w:r>
            <w:r>
              <w:rPr>
                <w:spacing w:val="40"/>
                <w:sz w:val="14"/>
              </w:rPr>
              <w:t> </w:t>
            </w:r>
            <w:r>
              <w:rPr>
                <w:spacing w:val="-2"/>
                <w:sz w:val="14"/>
              </w:rPr>
              <w:t>according</w:t>
            </w:r>
            <w:r>
              <w:rPr>
                <w:spacing w:val="40"/>
                <w:sz w:val="14"/>
              </w:rPr>
              <w:t> </w:t>
            </w:r>
            <w:r>
              <w:rPr>
                <w:sz w:val="14"/>
              </w:rPr>
              <w:t>to</w:t>
            </w:r>
            <w:r>
              <w:rPr>
                <w:spacing w:val="-6"/>
                <w:sz w:val="14"/>
              </w:rPr>
              <w:t> </w:t>
            </w:r>
            <w:r>
              <w:rPr>
                <w:sz w:val="14"/>
              </w:rPr>
              <w:t>type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224" w:right="201" w:hanging="3"/>
              <w:jc w:val="center"/>
              <w:rPr>
                <w:sz w:val="14"/>
              </w:rPr>
            </w:pPr>
            <w:r>
              <w:rPr>
                <w:spacing w:val="-2"/>
                <w:sz w:val="14"/>
              </w:rPr>
              <w:t>Varies</w:t>
            </w:r>
            <w:r>
              <w:rPr>
                <w:spacing w:val="40"/>
                <w:sz w:val="14"/>
              </w:rPr>
              <w:t> </w:t>
            </w:r>
            <w:r>
              <w:rPr>
                <w:sz w:val="14"/>
              </w:rPr>
              <w:t>according</w:t>
            </w:r>
            <w:r>
              <w:rPr>
                <w:spacing w:val="-10"/>
                <w:sz w:val="14"/>
              </w:rPr>
              <w:t> </w:t>
            </w:r>
            <w:r>
              <w:rPr>
                <w:sz w:val="14"/>
              </w:rPr>
              <w:t>to</w:t>
            </w:r>
            <w:r>
              <w:rPr>
                <w:spacing w:val="40"/>
                <w:sz w:val="14"/>
              </w:rPr>
              <w:t> </w:t>
            </w:r>
            <w:r>
              <w:rPr>
                <w:spacing w:val="-4"/>
                <w:sz w:val="14"/>
              </w:rPr>
              <w:t>type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8"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8"/>
              <w:ind w:left="107"/>
              <w:rPr>
                <w:sz w:val="14"/>
              </w:rPr>
            </w:pPr>
            <w:r>
              <w:rPr>
                <w:sz w:val="14"/>
              </w:rPr>
              <w:t>Facility</w:t>
            </w:r>
            <w:r>
              <w:rPr>
                <w:spacing w:val="-4"/>
                <w:sz w:val="14"/>
              </w:rPr>
              <w:t> </w:t>
            </w:r>
            <w:r>
              <w:rPr>
                <w:sz w:val="14"/>
              </w:rPr>
              <w:t>Hire</w:t>
            </w:r>
            <w:r>
              <w:rPr>
                <w:spacing w:val="-6"/>
                <w:sz w:val="14"/>
              </w:rPr>
              <w:t> </w:t>
            </w:r>
            <w:r>
              <w:rPr>
                <w:sz w:val="14"/>
              </w:rPr>
              <w:t>Room</w:t>
            </w:r>
            <w:r>
              <w:rPr>
                <w:spacing w:val="-2"/>
                <w:sz w:val="14"/>
              </w:rPr>
              <w:t> </w:t>
            </w:r>
            <w:r>
              <w:rPr>
                <w:spacing w:val="-10"/>
                <w:sz w:val="14"/>
              </w:rPr>
              <w:t>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8"/>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8"/>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8"/>
              <w:ind w:right="91"/>
              <w:jc w:val="right"/>
              <w:rPr>
                <w:sz w:val="14"/>
              </w:rPr>
            </w:pPr>
            <w:r>
              <w:rPr>
                <w:spacing w:val="-2"/>
                <w:sz w:val="14"/>
              </w:rPr>
              <w:t>79.55</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8"/>
              <w:ind w:right="92"/>
              <w:jc w:val="right"/>
              <w:rPr>
                <w:sz w:val="14"/>
              </w:rPr>
            </w:pPr>
            <w:r>
              <w:rPr>
                <w:spacing w:val="-2"/>
                <w:sz w:val="14"/>
              </w:rPr>
              <w:t>85.52</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8"/>
              <w:ind w:left="95" w:right="79"/>
              <w:jc w:val="center"/>
              <w:rPr>
                <w:sz w:val="14"/>
              </w:rPr>
            </w:pPr>
            <w:r>
              <w:rPr>
                <w:spacing w:val="-5"/>
                <w:sz w:val="14"/>
              </w:rPr>
              <w:t>7.0</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Facility</w:t>
            </w:r>
            <w:r>
              <w:rPr>
                <w:spacing w:val="-4"/>
                <w:sz w:val="14"/>
              </w:rPr>
              <w:t> </w:t>
            </w:r>
            <w:r>
              <w:rPr>
                <w:sz w:val="14"/>
              </w:rPr>
              <w:t>Hire</w:t>
            </w:r>
            <w:r>
              <w:rPr>
                <w:spacing w:val="-6"/>
                <w:sz w:val="14"/>
              </w:rPr>
              <w:t> </w:t>
            </w:r>
            <w:r>
              <w:rPr>
                <w:sz w:val="14"/>
              </w:rPr>
              <w:t>Room</w:t>
            </w:r>
            <w:r>
              <w:rPr>
                <w:spacing w:val="-2"/>
                <w:sz w:val="14"/>
              </w:rPr>
              <w:t> </w:t>
            </w:r>
            <w:r>
              <w:rPr>
                <w:spacing w:val="-10"/>
                <w:sz w:val="14"/>
              </w:rPr>
              <w:t>2</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76.33</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82.05</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Facility</w:t>
            </w:r>
            <w:r>
              <w:rPr>
                <w:spacing w:val="-4"/>
                <w:sz w:val="14"/>
              </w:rPr>
              <w:t> </w:t>
            </w:r>
            <w:r>
              <w:rPr>
                <w:sz w:val="14"/>
              </w:rPr>
              <w:t>Hire</w:t>
            </w:r>
            <w:r>
              <w:rPr>
                <w:spacing w:val="-6"/>
                <w:sz w:val="14"/>
              </w:rPr>
              <w:t> </w:t>
            </w:r>
            <w:r>
              <w:rPr>
                <w:sz w:val="14"/>
              </w:rPr>
              <w:t>Room</w:t>
            </w:r>
            <w:r>
              <w:rPr>
                <w:spacing w:val="-2"/>
                <w:sz w:val="14"/>
              </w:rPr>
              <w:t> </w:t>
            </w:r>
            <w:r>
              <w:rPr>
                <w:spacing w:val="-5"/>
                <w:sz w:val="14"/>
              </w:rPr>
              <w:t>1&amp;2</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149.43</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160.63</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Facility</w:t>
            </w:r>
            <w:r>
              <w:rPr>
                <w:spacing w:val="-4"/>
                <w:sz w:val="14"/>
              </w:rPr>
              <w:t> </w:t>
            </w:r>
            <w:r>
              <w:rPr>
                <w:sz w:val="14"/>
              </w:rPr>
              <w:t>Hire</w:t>
            </w:r>
            <w:r>
              <w:rPr>
                <w:spacing w:val="-6"/>
                <w:sz w:val="14"/>
              </w:rPr>
              <w:t> </w:t>
            </w:r>
            <w:r>
              <w:rPr>
                <w:sz w:val="14"/>
              </w:rPr>
              <w:t>Room</w:t>
            </w:r>
            <w:r>
              <w:rPr>
                <w:spacing w:val="-2"/>
                <w:sz w:val="14"/>
              </w:rPr>
              <w:t> </w:t>
            </w:r>
            <w:r>
              <w:rPr>
                <w:spacing w:val="-10"/>
                <w:sz w:val="14"/>
              </w:rPr>
              <w:t>3</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74.18</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79.74</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Facility</w:t>
            </w:r>
            <w:r>
              <w:rPr>
                <w:spacing w:val="-4"/>
                <w:sz w:val="14"/>
              </w:rPr>
              <w:t> </w:t>
            </w:r>
            <w:r>
              <w:rPr>
                <w:sz w:val="14"/>
              </w:rPr>
              <w:t>Hire</w:t>
            </w:r>
            <w:r>
              <w:rPr>
                <w:spacing w:val="-6"/>
                <w:sz w:val="14"/>
              </w:rPr>
              <w:t> </w:t>
            </w:r>
            <w:r>
              <w:rPr>
                <w:sz w:val="14"/>
              </w:rPr>
              <w:t>Room</w:t>
            </w:r>
            <w:r>
              <w:rPr>
                <w:spacing w:val="-2"/>
                <w:sz w:val="14"/>
              </w:rPr>
              <w:t> </w:t>
            </w:r>
            <w:r>
              <w:rPr>
                <w:spacing w:val="-10"/>
                <w:sz w:val="14"/>
              </w:rPr>
              <w:t>4</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72.03</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77.43</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Facility</w:t>
            </w:r>
            <w:r>
              <w:rPr>
                <w:spacing w:val="-4"/>
                <w:sz w:val="14"/>
              </w:rPr>
              <w:t> </w:t>
            </w:r>
            <w:r>
              <w:rPr>
                <w:sz w:val="14"/>
              </w:rPr>
              <w:t>Hire</w:t>
            </w:r>
            <w:r>
              <w:rPr>
                <w:spacing w:val="-6"/>
                <w:sz w:val="14"/>
              </w:rPr>
              <w:t> </w:t>
            </w:r>
            <w:r>
              <w:rPr>
                <w:sz w:val="14"/>
              </w:rPr>
              <w:t>Room</w:t>
            </w:r>
            <w:r>
              <w:rPr>
                <w:spacing w:val="-2"/>
                <w:sz w:val="14"/>
              </w:rPr>
              <w:t> </w:t>
            </w:r>
            <w:r>
              <w:rPr>
                <w:spacing w:val="-10"/>
                <w:sz w:val="14"/>
              </w:rPr>
              <w:t>5</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65.58</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70.49</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Facility</w:t>
            </w:r>
            <w:r>
              <w:rPr>
                <w:spacing w:val="-5"/>
                <w:sz w:val="14"/>
              </w:rPr>
              <w:t> </w:t>
            </w:r>
            <w:r>
              <w:rPr>
                <w:sz w:val="14"/>
              </w:rPr>
              <w:t>Hire</w:t>
            </w:r>
            <w:r>
              <w:rPr>
                <w:spacing w:val="-4"/>
                <w:sz w:val="14"/>
              </w:rPr>
              <w:t> </w:t>
            </w:r>
            <w:r>
              <w:rPr>
                <w:sz w:val="14"/>
              </w:rPr>
              <w:t>Federation</w:t>
            </w:r>
            <w:r>
              <w:rPr>
                <w:spacing w:val="-5"/>
                <w:sz w:val="14"/>
              </w:rPr>
              <w:t> </w:t>
            </w:r>
            <w:r>
              <w:rPr>
                <w:spacing w:val="-4"/>
                <w:sz w:val="14"/>
              </w:rPr>
              <w:t>Room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73.10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78.58</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7.0</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b/>
                <w:sz w:val="14"/>
              </w:rPr>
            </w:pPr>
            <w:r>
              <w:rPr>
                <w:b/>
                <w:sz w:val="14"/>
              </w:rPr>
              <w:t>Federation</w:t>
            </w:r>
            <w:r>
              <w:rPr>
                <w:b/>
                <w:spacing w:val="-7"/>
                <w:sz w:val="14"/>
              </w:rPr>
              <w:t> </w:t>
            </w:r>
            <w:r>
              <w:rPr>
                <w:b/>
                <w:sz w:val="14"/>
              </w:rPr>
              <w:t>Estate</w:t>
            </w:r>
            <w:r>
              <w:rPr>
                <w:b/>
                <w:spacing w:val="-8"/>
                <w:sz w:val="14"/>
              </w:rPr>
              <w:t> </w:t>
            </w:r>
            <w:r>
              <w:rPr>
                <w:b/>
                <w:sz w:val="14"/>
              </w:rPr>
              <w:t>Cultural</w:t>
            </w:r>
            <w:r>
              <w:rPr>
                <w:b/>
                <w:spacing w:val="-6"/>
                <w:sz w:val="14"/>
              </w:rPr>
              <w:t> </w:t>
            </w:r>
            <w:r>
              <w:rPr>
                <w:b/>
                <w:spacing w:val="-2"/>
                <w:sz w:val="14"/>
              </w:rPr>
              <w:t>Centre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2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before="79"/>
              <w:ind w:left="107"/>
              <w:rPr>
                <w:sz w:val="14"/>
              </w:rPr>
            </w:pPr>
            <w:r>
              <w:rPr>
                <w:sz w:val="14"/>
              </w:rPr>
              <w:t>Federation</w:t>
            </w:r>
            <w:r>
              <w:rPr>
                <w:spacing w:val="-6"/>
                <w:sz w:val="14"/>
              </w:rPr>
              <w:t> </w:t>
            </w:r>
            <w:r>
              <w:rPr>
                <w:sz w:val="14"/>
              </w:rPr>
              <w:t>Estate</w:t>
            </w:r>
            <w:r>
              <w:rPr>
                <w:spacing w:val="-2"/>
                <w:sz w:val="14"/>
              </w:rPr>
              <w:t> </w:t>
            </w:r>
            <w:r>
              <w:rPr>
                <w:sz w:val="14"/>
              </w:rPr>
              <w:t>Hire</w:t>
            </w:r>
            <w:r>
              <w:rPr>
                <w:spacing w:val="-5"/>
                <w:sz w:val="14"/>
              </w:rPr>
              <w:t> </w:t>
            </w:r>
            <w:r>
              <w:rPr>
                <w:sz w:val="14"/>
              </w:rPr>
              <w:t>of</w:t>
            </w:r>
            <w:r>
              <w:rPr>
                <w:spacing w:val="-5"/>
                <w:sz w:val="14"/>
              </w:rPr>
              <w:t> </w:t>
            </w:r>
            <w:r>
              <w:rPr>
                <w:sz w:val="14"/>
              </w:rPr>
              <w:t>Studio</w:t>
            </w:r>
            <w:r>
              <w:rPr>
                <w:spacing w:val="-3"/>
                <w:sz w:val="14"/>
              </w:rPr>
              <w:t> </w:t>
            </w:r>
            <w:r>
              <w:rPr>
                <w:spacing w:val="-10"/>
                <w:sz w:val="14"/>
              </w:rPr>
              <w:t>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304" w:right="232" w:hanging="41"/>
              <w:rPr>
                <w:sz w:val="14"/>
              </w:rPr>
            </w:pPr>
            <w:r>
              <w:rPr>
                <w:spacing w:val="-2"/>
                <w:sz w:val="14"/>
              </w:rPr>
              <w:t>Leased</w:t>
            </w:r>
            <w:r>
              <w:rPr>
                <w:spacing w:val="40"/>
                <w:sz w:val="14"/>
              </w:rPr>
              <w:t> </w:t>
            </w:r>
            <w:r>
              <w:rPr>
                <w:spacing w:val="-2"/>
                <w:sz w:val="14"/>
              </w:rPr>
              <w:t>space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79"/>
              <w:ind w:right="148"/>
              <w:jc w:val="right"/>
              <w:rPr>
                <w:sz w:val="14"/>
              </w:rPr>
            </w:pPr>
            <w:r>
              <w:rPr>
                <w:sz w:val="14"/>
              </w:rPr>
              <w:t>Leased</w:t>
            </w:r>
            <w:r>
              <w:rPr>
                <w:spacing w:val="-6"/>
                <w:sz w:val="14"/>
              </w:rPr>
              <w:t> </w:t>
            </w:r>
            <w:r>
              <w:rPr>
                <w:spacing w:val="-2"/>
                <w:sz w:val="14"/>
              </w:rPr>
              <w:t>space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20"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before="81"/>
              <w:ind w:left="107"/>
              <w:rPr>
                <w:sz w:val="14"/>
              </w:rPr>
            </w:pPr>
            <w:r>
              <w:rPr>
                <w:sz w:val="14"/>
              </w:rPr>
              <w:t>Federation</w:t>
            </w:r>
            <w:r>
              <w:rPr>
                <w:spacing w:val="-6"/>
                <w:sz w:val="14"/>
              </w:rPr>
              <w:t> </w:t>
            </w:r>
            <w:r>
              <w:rPr>
                <w:sz w:val="14"/>
              </w:rPr>
              <w:t>Estate</w:t>
            </w:r>
            <w:r>
              <w:rPr>
                <w:spacing w:val="-2"/>
                <w:sz w:val="14"/>
              </w:rPr>
              <w:t> </w:t>
            </w:r>
            <w:r>
              <w:rPr>
                <w:sz w:val="14"/>
              </w:rPr>
              <w:t>Hire</w:t>
            </w:r>
            <w:r>
              <w:rPr>
                <w:spacing w:val="-5"/>
                <w:sz w:val="14"/>
              </w:rPr>
              <w:t> </w:t>
            </w:r>
            <w:r>
              <w:rPr>
                <w:sz w:val="14"/>
              </w:rPr>
              <w:t>of</w:t>
            </w:r>
            <w:r>
              <w:rPr>
                <w:spacing w:val="-5"/>
                <w:sz w:val="14"/>
              </w:rPr>
              <w:t> </w:t>
            </w:r>
            <w:r>
              <w:rPr>
                <w:sz w:val="14"/>
              </w:rPr>
              <w:t>Studio</w:t>
            </w:r>
            <w:r>
              <w:rPr>
                <w:spacing w:val="-3"/>
                <w:sz w:val="14"/>
              </w:rPr>
              <w:t> </w:t>
            </w:r>
            <w:r>
              <w:rPr>
                <w:spacing w:val="-10"/>
                <w:sz w:val="14"/>
              </w:rPr>
              <w:t>3</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11"/>
              <w:rPr>
                <w:sz w:val="13"/>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11"/>
              <w:rPr>
                <w:sz w:val="13"/>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exact"/>
              <w:ind w:left="304" w:right="232" w:hanging="41"/>
              <w:rPr>
                <w:sz w:val="14"/>
              </w:rPr>
            </w:pPr>
            <w:r>
              <w:rPr>
                <w:spacing w:val="-2"/>
                <w:sz w:val="14"/>
              </w:rPr>
              <w:t>Leased</w:t>
            </w:r>
            <w:r>
              <w:rPr>
                <w:spacing w:val="40"/>
                <w:sz w:val="14"/>
              </w:rPr>
              <w:t> </w:t>
            </w:r>
            <w:r>
              <w:rPr>
                <w:spacing w:val="-2"/>
                <w:sz w:val="14"/>
              </w:rPr>
              <w:t>space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81"/>
              <w:ind w:right="148"/>
              <w:jc w:val="right"/>
              <w:rPr>
                <w:sz w:val="14"/>
              </w:rPr>
            </w:pPr>
            <w:r>
              <w:rPr>
                <w:sz w:val="14"/>
              </w:rPr>
              <w:t>Leased</w:t>
            </w:r>
            <w:r>
              <w:rPr>
                <w:spacing w:val="-6"/>
                <w:sz w:val="14"/>
              </w:rPr>
              <w:t> </w:t>
            </w:r>
            <w:r>
              <w:rPr>
                <w:spacing w:val="-2"/>
                <w:sz w:val="14"/>
              </w:rPr>
              <w:t>space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9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54" w:lineRule="exact" w:before="17"/>
              <w:ind w:left="107"/>
              <w:rPr>
                <w:sz w:val="14"/>
              </w:rPr>
            </w:pPr>
            <w:r>
              <w:rPr>
                <w:sz w:val="14"/>
              </w:rPr>
              <w:t>Federation</w:t>
            </w:r>
            <w:r>
              <w:rPr>
                <w:spacing w:val="-6"/>
                <w:sz w:val="14"/>
              </w:rPr>
              <w:t> </w:t>
            </w:r>
            <w:r>
              <w:rPr>
                <w:sz w:val="14"/>
              </w:rPr>
              <w:t>Estate</w:t>
            </w:r>
            <w:r>
              <w:rPr>
                <w:spacing w:val="-2"/>
                <w:sz w:val="14"/>
              </w:rPr>
              <w:t> </w:t>
            </w:r>
            <w:r>
              <w:rPr>
                <w:sz w:val="14"/>
              </w:rPr>
              <w:t>Hire</w:t>
            </w:r>
            <w:r>
              <w:rPr>
                <w:spacing w:val="-5"/>
                <w:sz w:val="14"/>
              </w:rPr>
              <w:t> </w:t>
            </w:r>
            <w:r>
              <w:rPr>
                <w:sz w:val="14"/>
              </w:rPr>
              <w:t>of</w:t>
            </w:r>
            <w:r>
              <w:rPr>
                <w:spacing w:val="-5"/>
                <w:sz w:val="14"/>
              </w:rPr>
              <w:t> </w:t>
            </w:r>
            <w:r>
              <w:rPr>
                <w:sz w:val="14"/>
              </w:rPr>
              <w:t>Studio</w:t>
            </w:r>
            <w:r>
              <w:rPr>
                <w:spacing w:val="-3"/>
                <w:sz w:val="14"/>
              </w:rPr>
              <w:t> </w:t>
            </w:r>
            <w:r>
              <w:rPr>
                <w:spacing w:val="-10"/>
                <w:sz w:val="14"/>
              </w:rPr>
              <w:t>4</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31"/>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31"/>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54" w:lineRule="exact" w:before="17"/>
              <w:ind w:right="91"/>
              <w:jc w:val="right"/>
              <w:rPr>
                <w:sz w:val="14"/>
              </w:rPr>
            </w:pPr>
            <w:r>
              <w:rPr>
                <w:spacing w:val="-2"/>
                <w:sz w:val="14"/>
              </w:rPr>
              <w:t>60.20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31"/>
              <w:ind w:right="92"/>
              <w:jc w:val="right"/>
              <w:rPr>
                <w:sz w:val="14"/>
              </w:rPr>
            </w:pPr>
            <w:r>
              <w:rPr>
                <w:spacing w:val="-2"/>
                <w:sz w:val="14"/>
              </w:rPr>
              <w:t>64.72</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31"/>
              <w:ind w:left="95" w:right="79"/>
              <w:jc w:val="center"/>
              <w:rPr>
                <w:sz w:val="14"/>
              </w:rPr>
            </w:pPr>
            <w:r>
              <w:rPr>
                <w:spacing w:val="-5"/>
                <w:sz w:val="14"/>
              </w:rPr>
              <w:t>7.0</w:t>
            </w:r>
          </w:p>
        </w:tc>
      </w:tr>
      <w:tr>
        <w:trPr>
          <w:trHeight w:val="484"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before="2"/>
              <w:rPr>
                <w:sz w:val="14"/>
              </w:rPr>
            </w:pPr>
          </w:p>
          <w:p>
            <w:pPr>
              <w:pStyle w:val="TableParagraph"/>
              <w:ind w:left="107"/>
              <w:rPr>
                <w:sz w:val="14"/>
              </w:rPr>
            </w:pPr>
            <w:r>
              <w:rPr>
                <w:sz w:val="14"/>
              </w:rPr>
              <w:t>Federation</w:t>
            </w:r>
            <w:r>
              <w:rPr>
                <w:spacing w:val="-7"/>
                <w:sz w:val="14"/>
              </w:rPr>
              <w:t> </w:t>
            </w:r>
            <w:r>
              <w:rPr>
                <w:sz w:val="14"/>
              </w:rPr>
              <w:t>Estate</w:t>
            </w:r>
            <w:r>
              <w:rPr>
                <w:spacing w:val="-4"/>
                <w:sz w:val="14"/>
              </w:rPr>
              <w:t> </w:t>
            </w:r>
            <w:r>
              <w:rPr>
                <w:sz w:val="14"/>
              </w:rPr>
              <w:t>Per</w:t>
            </w:r>
            <w:r>
              <w:rPr>
                <w:spacing w:val="-3"/>
                <w:sz w:val="14"/>
              </w:rPr>
              <w:t> </w:t>
            </w:r>
            <w:r>
              <w:rPr>
                <w:spacing w:val="-4"/>
                <w:sz w:val="14"/>
              </w:rPr>
              <w:t>month</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line="140" w:lineRule="exact" w:before="140"/>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line="140" w:lineRule="exact" w:before="140"/>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189" w:right="165" w:hanging="1"/>
              <w:jc w:val="center"/>
              <w:rPr>
                <w:sz w:val="14"/>
              </w:rPr>
            </w:pPr>
            <w:r>
              <w:rPr>
                <w:spacing w:val="-2"/>
                <w:sz w:val="14"/>
              </w:rPr>
              <w:t>Varies</w:t>
            </w:r>
            <w:r>
              <w:rPr>
                <w:spacing w:val="40"/>
                <w:sz w:val="14"/>
              </w:rPr>
              <w:t> </w:t>
            </w:r>
            <w:r>
              <w:rPr>
                <w:spacing w:val="-2"/>
                <w:sz w:val="14"/>
              </w:rPr>
              <w:t>according</w:t>
            </w:r>
            <w:r>
              <w:rPr>
                <w:spacing w:val="40"/>
                <w:sz w:val="14"/>
              </w:rPr>
              <w:t> </w:t>
            </w:r>
            <w:r>
              <w:rPr>
                <w:sz w:val="14"/>
              </w:rPr>
              <w:t>to</w:t>
            </w:r>
            <w:r>
              <w:rPr>
                <w:spacing w:val="-6"/>
                <w:sz w:val="14"/>
              </w:rPr>
              <w:t> </w:t>
            </w:r>
            <w:r>
              <w:rPr>
                <w:sz w:val="14"/>
              </w:rPr>
              <w:t>quote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224" w:right="201" w:hanging="3"/>
              <w:jc w:val="center"/>
              <w:rPr>
                <w:sz w:val="14"/>
              </w:rPr>
            </w:pPr>
            <w:r>
              <w:rPr>
                <w:spacing w:val="-2"/>
                <w:sz w:val="14"/>
              </w:rPr>
              <w:t>Varies</w:t>
            </w:r>
            <w:r>
              <w:rPr>
                <w:spacing w:val="40"/>
                <w:sz w:val="14"/>
              </w:rPr>
              <w:t> </w:t>
            </w:r>
            <w:r>
              <w:rPr>
                <w:sz w:val="14"/>
              </w:rPr>
              <w:t>according</w:t>
            </w:r>
            <w:r>
              <w:rPr>
                <w:spacing w:val="-10"/>
                <w:sz w:val="14"/>
              </w:rPr>
              <w:t> </w:t>
            </w:r>
            <w:r>
              <w:rPr>
                <w:sz w:val="14"/>
              </w:rPr>
              <w:t>to</w:t>
            </w:r>
            <w:r>
              <w:rPr>
                <w:spacing w:val="40"/>
                <w:sz w:val="14"/>
              </w:rPr>
              <w:t> </w:t>
            </w:r>
            <w:r>
              <w:rPr>
                <w:spacing w:val="-2"/>
                <w:sz w:val="14"/>
              </w:rPr>
              <w:t>quote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Karralyka</w:t>
            </w:r>
            <w:r>
              <w:rPr>
                <w:b/>
                <w:spacing w:val="-7"/>
                <w:sz w:val="14"/>
              </w:rPr>
              <w:t> </w:t>
            </w:r>
            <w:r>
              <w:rPr>
                <w:b/>
                <w:sz w:val="14"/>
              </w:rPr>
              <w:t>Theatre</w:t>
            </w:r>
            <w:r>
              <w:rPr>
                <w:b/>
                <w:spacing w:val="-8"/>
                <w:sz w:val="14"/>
              </w:rPr>
              <w:t> </w:t>
            </w:r>
            <w:r>
              <w:rPr>
                <w:b/>
                <w:spacing w:val="-4"/>
                <w:sz w:val="14"/>
              </w:rPr>
              <w:t>Hire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50" w:lineRule="exact" w:before="10"/>
              <w:ind w:left="107"/>
              <w:rPr>
                <w:sz w:val="14"/>
              </w:rPr>
            </w:pPr>
            <w:r>
              <w:rPr>
                <w:sz w:val="14"/>
              </w:rPr>
              <w:t>Commercial</w:t>
            </w:r>
            <w:r>
              <w:rPr>
                <w:spacing w:val="-7"/>
                <w:sz w:val="14"/>
              </w:rPr>
              <w:t> </w:t>
            </w:r>
            <w:r>
              <w:rPr>
                <w:sz w:val="14"/>
              </w:rPr>
              <w:t>Performance</w:t>
            </w:r>
            <w:r>
              <w:rPr>
                <w:spacing w:val="-5"/>
                <w:sz w:val="14"/>
              </w:rPr>
              <w:t> </w:t>
            </w:r>
            <w:r>
              <w:rPr>
                <w:sz w:val="14"/>
              </w:rPr>
              <w:t>Monday-Friday</w:t>
            </w:r>
            <w:r>
              <w:rPr>
                <w:spacing w:val="-8"/>
                <w:sz w:val="14"/>
              </w:rPr>
              <w:t> </w:t>
            </w:r>
            <w:r>
              <w:rPr>
                <w:sz w:val="14"/>
              </w:rPr>
              <w:t>(per</w:t>
            </w:r>
            <w:r>
              <w:rPr>
                <w:spacing w:val="-8"/>
                <w:sz w:val="14"/>
              </w:rPr>
              <w:t> </w:t>
            </w:r>
            <w:r>
              <w:rPr>
                <w:spacing w:val="-4"/>
                <w:sz w:val="14"/>
              </w:rPr>
              <w:t>hour)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399.90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420.00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50" w:lineRule="exact" w:before="10"/>
              <w:ind w:left="107"/>
              <w:rPr>
                <w:sz w:val="14"/>
              </w:rPr>
            </w:pPr>
            <w:r>
              <w:rPr>
                <w:sz w:val="14"/>
              </w:rPr>
              <w:t>Commercial</w:t>
            </w:r>
            <w:r>
              <w:rPr>
                <w:spacing w:val="-6"/>
                <w:sz w:val="14"/>
              </w:rPr>
              <w:t> </w:t>
            </w:r>
            <w:r>
              <w:rPr>
                <w:sz w:val="14"/>
              </w:rPr>
              <w:t>Rehearsal</w:t>
            </w:r>
            <w:r>
              <w:rPr>
                <w:spacing w:val="-5"/>
                <w:sz w:val="14"/>
              </w:rPr>
              <w:t> </w:t>
            </w:r>
            <w:r>
              <w:rPr>
                <w:sz w:val="14"/>
              </w:rPr>
              <w:t>Monday-Friday</w:t>
            </w:r>
            <w:r>
              <w:rPr>
                <w:spacing w:val="-6"/>
                <w:sz w:val="14"/>
              </w:rPr>
              <w:t> </w:t>
            </w:r>
            <w:r>
              <w:rPr>
                <w:sz w:val="14"/>
              </w:rPr>
              <w:t>(per</w:t>
            </w:r>
            <w:r>
              <w:rPr>
                <w:spacing w:val="-7"/>
                <w:sz w:val="14"/>
              </w:rPr>
              <w:t> </w:t>
            </w:r>
            <w:r>
              <w:rPr>
                <w:spacing w:val="-4"/>
                <w:sz w:val="14"/>
              </w:rPr>
              <w:t>hour)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375.00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394.00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50" w:lineRule="exact" w:before="10"/>
              <w:ind w:left="107"/>
              <w:rPr>
                <w:sz w:val="14"/>
              </w:rPr>
            </w:pPr>
            <w:r>
              <w:rPr>
                <w:sz w:val="14"/>
              </w:rPr>
              <w:t>Commercial</w:t>
            </w:r>
            <w:r>
              <w:rPr>
                <w:spacing w:val="-7"/>
                <w:sz w:val="14"/>
              </w:rPr>
              <w:t> </w:t>
            </w:r>
            <w:r>
              <w:rPr>
                <w:sz w:val="14"/>
              </w:rPr>
              <w:t>Performance</w:t>
            </w:r>
            <w:r>
              <w:rPr>
                <w:spacing w:val="-4"/>
                <w:sz w:val="14"/>
              </w:rPr>
              <w:t> </w:t>
            </w:r>
            <w:r>
              <w:rPr>
                <w:sz w:val="14"/>
              </w:rPr>
              <w:t>Saturday</w:t>
            </w:r>
            <w:r>
              <w:rPr>
                <w:spacing w:val="-4"/>
                <w:sz w:val="14"/>
              </w:rPr>
              <w:t> </w:t>
            </w:r>
            <w:r>
              <w:rPr>
                <w:sz w:val="14"/>
              </w:rPr>
              <w:t>(per</w:t>
            </w:r>
            <w:r>
              <w:rPr>
                <w:spacing w:val="-7"/>
                <w:sz w:val="14"/>
              </w:rPr>
              <w:t> </w:t>
            </w:r>
            <w:r>
              <w:rPr>
                <w:spacing w:val="-4"/>
                <w:sz w:val="14"/>
              </w:rPr>
              <w:t>hour)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415.00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436.00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50" w:lineRule="exact" w:before="12"/>
              <w:ind w:left="107"/>
              <w:rPr>
                <w:sz w:val="14"/>
              </w:rPr>
            </w:pPr>
            <w:r>
              <w:rPr>
                <w:sz w:val="14"/>
              </w:rPr>
              <w:t>Commercial</w:t>
            </w:r>
            <w:r>
              <w:rPr>
                <w:spacing w:val="-4"/>
                <w:sz w:val="14"/>
              </w:rPr>
              <w:t> </w:t>
            </w:r>
            <w:r>
              <w:rPr>
                <w:sz w:val="14"/>
              </w:rPr>
              <w:t>Rehearsal</w:t>
            </w:r>
            <w:r>
              <w:rPr>
                <w:spacing w:val="-7"/>
                <w:sz w:val="14"/>
              </w:rPr>
              <w:t> </w:t>
            </w:r>
            <w:r>
              <w:rPr>
                <w:sz w:val="14"/>
              </w:rPr>
              <w:t>Saturday</w:t>
            </w:r>
            <w:r>
              <w:rPr>
                <w:spacing w:val="-4"/>
                <w:sz w:val="14"/>
              </w:rPr>
              <w:t> </w:t>
            </w:r>
            <w:r>
              <w:rPr>
                <w:sz w:val="14"/>
              </w:rPr>
              <w:t>(per</w:t>
            </w:r>
            <w:r>
              <w:rPr>
                <w:spacing w:val="-4"/>
                <w:sz w:val="14"/>
              </w:rPr>
              <w:t> </w:t>
            </w:r>
            <w:r>
              <w:rPr>
                <w:spacing w:val="-2"/>
                <w:sz w:val="14"/>
              </w:rPr>
              <w:t>hour)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390.00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3"/>
              <w:jc w:val="right"/>
              <w:rPr>
                <w:sz w:val="14"/>
              </w:rPr>
            </w:pPr>
            <w:r>
              <w:rPr>
                <w:spacing w:val="-2"/>
                <w:sz w:val="14"/>
              </w:rPr>
              <w:t>410.00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4.9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50" w:lineRule="exact" w:before="10"/>
              <w:ind w:left="107"/>
              <w:rPr>
                <w:sz w:val="14"/>
              </w:rPr>
            </w:pPr>
            <w:r>
              <w:rPr>
                <w:sz w:val="14"/>
              </w:rPr>
              <w:t>Commercial</w:t>
            </w:r>
            <w:r>
              <w:rPr>
                <w:spacing w:val="-6"/>
                <w:sz w:val="14"/>
              </w:rPr>
              <w:t> </w:t>
            </w:r>
            <w:r>
              <w:rPr>
                <w:sz w:val="14"/>
              </w:rPr>
              <w:t>Performance</w:t>
            </w:r>
            <w:r>
              <w:rPr>
                <w:spacing w:val="-3"/>
                <w:sz w:val="14"/>
              </w:rPr>
              <w:t> </w:t>
            </w:r>
            <w:r>
              <w:rPr>
                <w:sz w:val="14"/>
              </w:rPr>
              <w:t>Sundays</w:t>
            </w:r>
            <w:r>
              <w:rPr>
                <w:spacing w:val="-6"/>
                <w:sz w:val="14"/>
              </w:rPr>
              <w:t> </w:t>
            </w:r>
            <w:r>
              <w:rPr>
                <w:sz w:val="14"/>
              </w:rPr>
              <w:t>and</w:t>
            </w:r>
            <w:r>
              <w:rPr>
                <w:spacing w:val="-4"/>
                <w:sz w:val="14"/>
              </w:rPr>
              <w:t> </w:t>
            </w:r>
            <w:r>
              <w:rPr>
                <w:sz w:val="14"/>
              </w:rPr>
              <w:t>Public</w:t>
            </w:r>
            <w:r>
              <w:rPr>
                <w:spacing w:val="-6"/>
                <w:sz w:val="14"/>
              </w:rPr>
              <w:t> </w:t>
            </w:r>
            <w:r>
              <w:rPr>
                <w:sz w:val="14"/>
              </w:rPr>
              <w:t>Holidays</w:t>
            </w:r>
            <w:r>
              <w:rPr>
                <w:spacing w:val="-3"/>
                <w:sz w:val="14"/>
              </w:rPr>
              <w:t> </w:t>
            </w:r>
            <w:r>
              <w:rPr>
                <w:sz w:val="14"/>
              </w:rPr>
              <w:t>(per</w:t>
            </w:r>
            <w:r>
              <w:rPr>
                <w:spacing w:val="-3"/>
                <w:sz w:val="14"/>
              </w:rPr>
              <w:t> </w:t>
            </w:r>
            <w:r>
              <w:rPr>
                <w:spacing w:val="-4"/>
                <w:sz w:val="14"/>
              </w:rPr>
              <w:t>hour)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425.00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447.00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50" w:lineRule="exact" w:before="10"/>
              <w:ind w:left="107"/>
              <w:rPr>
                <w:sz w:val="14"/>
              </w:rPr>
            </w:pPr>
            <w:r>
              <w:rPr>
                <w:sz w:val="14"/>
              </w:rPr>
              <w:t>Commercial</w:t>
            </w:r>
            <w:r>
              <w:rPr>
                <w:spacing w:val="-3"/>
                <w:sz w:val="14"/>
              </w:rPr>
              <w:t> </w:t>
            </w:r>
            <w:r>
              <w:rPr>
                <w:sz w:val="14"/>
              </w:rPr>
              <w:t>Rehearsal</w:t>
            </w:r>
            <w:r>
              <w:rPr>
                <w:spacing w:val="-5"/>
                <w:sz w:val="14"/>
              </w:rPr>
              <w:t> </w:t>
            </w:r>
            <w:r>
              <w:rPr>
                <w:sz w:val="14"/>
              </w:rPr>
              <w:t>Sundays</w:t>
            </w:r>
            <w:r>
              <w:rPr>
                <w:spacing w:val="-6"/>
                <w:sz w:val="14"/>
              </w:rPr>
              <w:t> </w:t>
            </w:r>
            <w:r>
              <w:rPr>
                <w:sz w:val="14"/>
              </w:rPr>
              <w:t>and</w:t>
            </w:r>
            <w:r>
              <w:rPr>
                <w:spacing w:val="-6"/>
                <w:sz w:val="14"/>
              </w:rPr>
              <w:t> </w:t>
            </w:r>
            <w:r>
              <w:rPr>
                <w:sz w:val="14"/>
              </w:rPr>
              <w:t>Public</w:t>
            </w:r>
            <w:r>
              <w:rPr>
                <w:spacing w:val="-6"/>
                <w:sz w:val="14"/>
              </w:rPr>
              <w:t> </w:t>
            </w:r>
            <w:r>
              <w:rPr>
                <w:sz w:val="14"/>
              </w:rPr>
              <w:t>Holidays</w:t>
            </w:r>
            <w:r>
              <w:rPr>
                <w:spacing w:val="-2"/>
                <w:sz w:val="14"/>
              </w:rPr>
              <w:t> </w:t>
            </w:r>
            <w:r>
              <w:rPr>
                <w:sz w:val="14"/>
              </w:rPr>
              <w:t>(per</w:t>
            </w:r>
            <w:r>
              <w:rPr>
                <w:spacing w:val="-4"/>
                <w:sz w:val="14"/>
              </w:rPr>
              <w:t> hour)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405.00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426.00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50" w:lineRule="exact" w:before="10"/>
              <w:ind w:left="107"/>
              <w:rPr>
                <w:sz w:val="14"/>
              </w:rPr>
            </w:pPr>
            <w:r>
              <w:rPr>
                <w:sz w:val="14"/>
              </w:rPr>
              <w:t>Community/Not</w:t>
            </w:r>
            <w:r>
              <w:rPr>
                <w:spacing w:val="-6"/>
                <w:sz w:val="14"/>
              </w:rPr>
              <w:t> </w:t>
            </w:r>
            <w:r>
              <w:rPr>
                <w:sz w:val="14"/>
              </w:rPr>
              <w:t>for</w:t>
            </w:r>
            <w:r>
              <w:rPr>
                <w:spacing w:val="-7"/>
                <w:sz w:val="14"/>
              </w:rPr>
              <w:t> </w:t>
            </w:r>
            <w:r>
              <w:rPr>
                <w:sz w:val="14"/>
              </w:rPr>
              <w:t>Profit</w:t>
            </w:r>
            <w:r>
              <w:rPr>
                <w:spacing w:val="-7"/>
                <w:sz w:val="14"/>
              </w:rPr>
              <w:t> </w:t>
            </w:r>
            <w:r>
              <w:rPr>
                <w:sz w:val="14"/>
              </w:rPr>
              <w:t>Performance</w:t>
            </w:r>
            <w:r>
              <w:rPr>
                <w:spacing w:val="-5"/>
                <w:sz w:val="14"/>
              </w:rPr>
              <w:t> </w:t>
            </w:r>
            <w:r>
              <w:rPr>
                <w:sz w:val="14"/>
              </w:rPr>
              <w:t>Monday-Friday</w:t>
            </w:r>
            <w:r>
              <w:rPr>
                <w:spacing w:val="-5"/>
                <w:sz w:val="14"/>
              </w:rPr>
              <w:t> </w:t>
            </w:r>
            <w:r>
              <w:rPr>
                <w:sz w:val="14"/>
              </w:rPr>
              <w:t>(per</w:t>
            </w:r>
            <w:r>
              <w:rPr>
                <w:spacing w:val="-4"/>
                <w:sz w:val="14"/>
              </w:rPr>
              <w:t> hour)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315.00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331.00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50" w:lineRule="exact" w:before="10"/>
              <w:ind w:left="107"/>
              <w:rPr>
                <w:sz w:val="14"/>
              </w:rPr>
            </w:pPr>
            <w:r>
              <w:rPr>
                <w:sz w:val="14"/>
              </w:rPr>
              <w:t>Community/Not</w:t>
            </w:r>
            <w:r>
              <w:rPr>
                <w:spacing w:val="-6"/>
                <w:sz w:val="14"/>
              </w:rPr>
              <w:t> </w:t>
            </w:r>
            <w:r>
              <w:rPr>
                <w:sz w:val="14"/>
              </w:rPr>
              <w:t>for</w:t>
            </w:r>
            <w:r>
              <w:rPr>
                <w:spacing w:val="-7"/>
                <w:sz w:val="14"/>
              </w:rPr>
              <w:t> </w:t>
            </w:r>
            <w:r>
              <w:rPr>
                <w:sz w:val="14"/>
              </w:rPr>
              <w:t>Profit</w:t>
            </w:r>
            <w:r>
              <w:rPr>
                <w:spacing w:val="-7"/>
                <w:sz w:val="14"/>
              </w:rPr>
              <w:t> </w:t>
            </w:r>
            <w:r>
              <w:rPr>
                <w:sz w:val="14"/>
              </w:rPr>
              <w:t>Rehearsal</w:t>
            </w:r>
            <w:r>
              <w:rPr>
                <w:spacing w:val="-3"/>
                <w:sz w:val="14"/>
              </w:rPr>
              <w:t> </w:t>
            </w:r>
            <w:r>
              <w:rPr>
                <w:sz w:val="14"/>
              </w:rPr>
              <w:t>Monday-Friday</w:t>
            </w:r>
            <w:r>
              <w:rPr>
                <w:spacing w:val="-4"/>
                <w:sz w:val="14"/>
              </w:rPr>
              <w:t> </w:t>
            </w:r>
            <w:r>
              <w:rPr>
                <w:sz w:val="14"/>
              </w:rPr>
              <w:t>(per</w:t>
            </w:r>
            <w:r>
              <w:rPr>
                <w:spacing w:val="-4"/>
                <w:sz w:val="14"/>
              </w:rPr>
              <w:t> hour)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300.00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315.00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50" w:lineRule="exact" w:before="10"/>
              <w:ind w:left="107"/>
              <w:rPr>
                <w:sz w:val="14"/>
              </w:rPr>
            </w:pPr>
            <w:r>
              <w:rPr>
                <w:sz w:val="14"/>
              </w:rPr>
              <w:t>Community/Not</w:t>
            </w:r>
            <w:r>
              <w:rPr>
                <w:spacing w:val="-6"/>
                <w:sz w:val="14"/>
              </w:rPr>
              <w:t> </w:t>
            </w:r>
            <w:r>
              <w:rPr>
                <w:sz w:val="14"/>
              </w:rPr>
              <w:t>for</w:t>
            </w:r>
            <w:r>
              <w:rPr>
                <w:spacing w:val="-6"/>
                <w:sz w:val="14"/>
              </w:rPr>
              <w:t> </w:t>
            </w:r>
            <w:r>
              <w:rPr>
                <w:sz w:val="14"/>
              </w:rPr>
              <w:t>Profit</w:t>
            </w:r>
            <w:r>
              <w:rPr>
                <w:spacing w:val="-6"/>
                <w:sz w:val="14"/>
              </w:rPr>
              <w:t> </w:t>
            </w:r>
            <w:r>
              <w:rPr>
                <w:sz w:val="14"/>
              </w:rPr>
              <w:t>Performance</w:t>
            </w:r>
            <w:r>
              <w:rPr>
                <w:spacing w:val="-5"/>
                <w:sz w:val="14"/>
              </w:rPr>
              <w:t> </w:t>
            </w:r>
            <w:r>
              <w:rPr>
                <w:sz w:val="14"/>
              </w:rPr>
              <w:t>Saturday</w:t>
            </w:r>
            <w:r>
              <w:rPr>
                <w:spacing w:val="-4"/>
                <w:sz w:val="14"/>
              </w:rPr>
              <w:t> </w:t>
            </w:r>
            <w:r>
              <w:rPr>
                <w:sz w:val="14"/>
              </w:rPr>
              <w:t>(per</w:t>
            </w:r>
            <w:r>
              <w:rPr>
                <w:spacing w:val="-3"/>
                <w:sz w:val="14"/>
              </w:rPr>
              <w:t> </w:t>
            </w:r>
            <w:r>
              <w:rPr>
                <w:spacing w:val="-2"/>
                <w:sz w:val="14"/>
              </w:rPr>
              <w:t>hour)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335.00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352.00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50" w:lineRule="exact" w:before="12"/>
              <w:ind w:left="107"/>
              <w:rPr>
                <w:sz w:val="14"/>
              </w:rPr>
            </w:pPr>
            <w:r>
              <w:rPr>
                <w:sz w:val="14"/>
              </w:rPr>
              <w:t>Community/Not</w:t>
            </w:r>
            <w:r>
              <w:rPr>
                <w:spacing w:val="-6"/>
                <w:sz w:val="14"/>
              </w:rPr>
              <w:t> </w:t>
            </w:r>
            <w:r>
              <w:rPr>
                <w:sz w:val="14"/>
              </w:rPr>
              <w:t>for</w:t>
            </w:r>
            <w:r>
              <w:rPr>
                <w:spacing w:val="-6"/>
                <w:sz w:val="14"/>
              </w:rPr>
              <w:t> </w:t>
            </w:r>
            <w:r>
              <w:rPr>
                <w:sz w:val="14"/>
              </w:rPr>
              <w:t>Profit</w:t>
            </w:r>
            <w:r>
              <w:rPr>
                <w:spacing w:val="-6"/>
                <w:sz w:val="14"/>
              </w:rPr>
              <w:t> </w:t>
            </w:r>
            <w:r>
              <w:rPr>
                <w:sz w:val="14"/>
              </w:rPr>
              <w:t>Rehearsal</w:t>
            </w:r>
            <w:r>
              <w:rPr>
                <w:spacing w:val="-5"/>
                <w:sz w:val="14"/>
              </w:rPr>
              <w:t> </w:t>
            </w:r>
            <w:r>
              <w:rPr>
                <w:sz w:val="14"/>
              </w:rPr>
              <w:t>Saturday</w:t>
            </w:r>
            <w:r>
              <w:rPr>
                <w:spacing w:val="-3"/>
                <w:sz w:val="14"/>
              </w:rPr>
              <w:t> </w:t>
            </w:r>
            <w:r>
              <w:rPr>
                <w:sz w:val="14"/>
              </w:rPr>
              <w:t>(per</w:t>
            </w:r>
            <w:r>
              <w:rPr>
                <w:spacing w:val="-4"/>
                <w:sz w:val="14"/>
              </w:rPr>
              <w:t> hour)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310.00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3"/>
              <w:jc w:val="right"/>
              <w:rPr>
                <w:sz w:val="14"/>
              </w:rPr>
            </w:pPr>
            <w:r>
              <w:rPr>
                <w:spacing w:val="-2"/>
                <w:sz w:val="14"/>
              </w:rPr>
              <w:t>326.00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4.9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50" w:lineRule="exact" w:before="10"/>
              <w:ind w:left="107"/>
              <w:rPr>
                <w:sz w:val="14"/>
              </w:rPr>
            </w:pPr>
            <w:r>
              <w:rPr>
                <w:sz w:val="14"/>
              </w:rPr>
              <w:t>Community/Not</w:t>
            </w:r>
            <w:r>
              <w:rPr>
                <w:spacing w:val="-5"/>
                <w:sz w:val="14"/>
              </w:rPr>
              <w:t> </w:t>
            </w:r>
            <w:r>
              <w:rPr>
                <w:sz w:val="14"/>
              </w:rPr>
              <w:t>for</w:t>
            </w:r>
            <w:r>
              <w:rPr>
                <w:spacing w:val="-5"/>
                <w:sz w:val="14"/>
              </w:rPr>
              <w:t> </w:t>
            </w:r>
            <w:r>
              <w:rPr>
                <w:sz w:val="14"/>
              </w:rPr>
              <w:t>Profit</w:t>
            </w:r>
            <w:r>
              <w:rPr>
                <w:spacing w:val="-6"/>
                <w:sz w:val="14"/>
              </w:rPr>
              <w:t> </w:t>
            </w:r>
            <w:r>
              <w:rPr>
                <w:sz w:val="14"/>
              </w:rPr>
              <w:t>Performance</w:t>
            </w:r>
            <w:r>
              <w:rPr>
                <w:spacing w:val="-3"/>
                <w:sz w:val="14"/>
              </w:rPr>
              <w:t> </w:t>
            </w:r>
            <w:r>
              <w:rPr>
                <w:sz w:val="14"/>
              </w:rPr>
              <w:t>Sundays</w:t>
            </w:r>
            <w:r>
              <w:rPr>
                <w:spacing w:val="-3"/>
                <w:sz w:val="14"/>
              </w:rPr>
              <w:t> </w:t>
            </w:r>
            <w:r>
              <w:rPr>
                <w:sz w:val="14"/>
              </w:rPr>
              <w:t>and</w:t>
            </w:r>
            <w:r>
              <w:rPr>
                <w:spacing w:val="-5"/>
                <w:sz w:val="14"/>
              </w:rPr>
              <w:t> </w:t>
            </w:r>
            <w:r>
              <w:rPr>
                <w:sz w:val="14"/>
              </w:rPr>
              <w:t>Public</w:t>
            </w:r>
            <w:r>
              <w:rPr>
                <w:spacing w:val="-5"/>
                <w:sz w:val="14"/>
              </w:rPr>
              <w:t> </w:t>
            </w:r>
            <w:r>
              <w:rPr>
                <w:sz w:val="14"/>
              </w:rPr>
              <w:t>Holidays</w:t>
            </w:r>
            <w:r>
              <w:rPr>
                <w:spacing w:val="-5"/>
                <w:sz w:val="14"/>
              </w:rPr>
              <w:t> </w:t>
            </w:r>
            <w:r>
              <w:rPr>
                <w:sz w:val="14"/>
              </w:rPr>
              <w:t>(per</w:t>
            </w:r>
            <w:r>
              <w:rPr>
                <w:spacing w:val="-6"/>
                <w:sz w:val="14"/>
              </w:rPr>
              <w:t> </w:t>
            </w:r>
            <w:r>
              <w:rPr>
                <w:spacing w:val="-4"/>
                <w:sz w:val="14"/>
              </w:rPr>
              <w:t>hour)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340.00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357.00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50" w:lineRule="exact" w:before="10"/>
              <w:ind w:left="107"/>
              <w:rPr>
                <w:sz w:val="14"/>
              </w:rPr>
            </w:pPr>
            <w:r>
              <w:rPr>
                <w:sz w:val="14"/>
              </w:rPr>
              <w:t>Community/Not</w:t>
            </w:r>
            <w:r>
              <w:rPr>
                <w:spacing w:val="-5"/>
                <w:sz w:val="14"/>
              </w:rPr>
              <w:t> </w:t>
            </w:r>
            <w:r>
              <w:rPr>
                <w:sz w:val="14"/>
              </w:rPr>
              <w:t>for</w:t>
            </w:r>
            <w:r>
              <w:rPr>
                <w:spacing w:val="-6"/>
                <w:sz w:val="14"/>
              </w:rPr>
              <w:t> </w:t>
            </w:r>
            <w:r>
              <w:rPr>
                <w:sz w:val="14"/>
              </w:rPr>
              <w:t>Profit</w:t>
            </w:r>
            <w:r>
              <w:rPr>
                <w:spacing w:val="-6"/>
                <w:sz w:val="14"/>
              </w:rPr>
              <w:t> </w:t>
            </w:r>
            <w:r>
              <w:rPr>
                <w:sz w:val="14"/>
              </w:rPr>
              <w:t>Rehearsal</w:t>
            </w:r>
            <w:r>
              <w:rPr>
                <w:spacing w:val="-4"/>
                <w:sz w:val="14"/>
              </w:rPr>
              <w:t> </w:t>
            </w:r>
            <w:r>
              <w:rPr>
                <w:sz w:val="14"/>
              </w:rPr>
              <w:t>Sundays</w:t>
            </w:r>
            <w:r>
              <w:rPr>
                <w:spacing w:val="-5"/>
                <w:sz w:val="14"/>
              </w:rPr>
              <w:t> </w:t>
            </w:r>
            <w:r>
              <w:rPr>
                <w:sz w:val="14"/>
              </w:rPr>
              <w:t>and</w:t>
            </w:r>
            <w:r>
              <w:rPr>
                <w:spacing w:val="-6"/>
                <w:sz w:val="14"/>
              </w:rPr>
              <w:t> </w:t>
            </w:r>
            <w:r>
              <w:rPr>
                <w:sz w:val="14"/>
              </w:rPr>
              <w:t>Public</w:t>
            </w:r>
            <w:r>
              <w:rPr>
                <w:spacing w:val="-3"/>
                <w:sz w:val="14"/>
              </w:rPr>
              <w:t> </w:t>
            </w:r>
            <w:r>
              <w:rPr>
                <w:sz w:val="14"/>
              </w:rPr>
              <w:t>Holidays</w:t>
            </w:r>
            <w:r>
              <w:rPr>
                <w:spacing w:val="-2"/>
                <w:sz w:val="14"/>
              </w:rPr>
              <w:t> </w:t>
            </w:r>
            <w:r>
              <w:rPr>
                <w:sz w:val="14"/>
              </w:rPr>
              <w:t>(per</w:t>
            </w:r>
            <w:r>
              <w:rPr>
                <w:spacing w:val="-3"/>
                <w:sz w:val="14"/>
              </w:rPr>
              <w:t> </w:t>
            </w:r>
            <w:r>
              <w:rPr>
                <w:spacing w:val="-4"/>
                <w:sz w:val="14"/>
              </w:rPr>
              <w:t>hour)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325.00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341.00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Karralyka</w:t>
            </w:r>
            <w:r>
              <w:rPr>
                <w:b/>
                <w:spacing w:val="-7"/>
                <w:sz w:val="14"/>
              </w:rPr>
              <w:t> </w:t>
            </w:r>
            <w:r>
              <w:rPr>
                <w:b/>
                <w:sz w:val="14"/>
              </w:rPr>
              <w:t>Theatre</w:t>
            </w:r>
            <w:r>
              <w:rPr>
                <w:b/>
                <w:spacing w:val="-8"/>
                <w:sz w:val="14"/>
              </w:rPr>
              <w:t> </w:t>
            </w:r>
            <w:r>
              <w:rPr>
                <w:b/>
                <w:spacing w:val="-2"/>
                <w:sz w:val="14"/>
              </w:rPr>
              <w:t>Tickets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645"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before="1"/>
              <w:rPr>
                <w:sz w:val="21"/>
              </w:rPr>
            </w:pPr>
          </w:p>
          <w:p>
            <w:pPr>
              <w:pStyle w:val="TableParagraph"/>
              <w:ind w:left="107"/>
              <w:rPr>
                <w:sz w:val="14"/>
              </w:rPr>
            </w:pPr>
            <w:r>
              <w:rPr>
                <w:sz w:val="14"/>
              </w:rPr>
              <w:t>Theatre</w:t>
            </w:r>
            <w:r>
              <w:rPr>
                <w:spacing w:val="-8"/>
                <w:sz w:val="14"/>
              </w:rPr>
              <w:t> </w:t>
            </w:r>
            <w:r>
              <w:rPr>
                <w:spacing w:val="-2"/>
                <w:sz w:val="14"/>
              </w:rPr>
              <w:t>Tickets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spacing w:line="140" w:lineRule="exact" w:before="117"/>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spacing w:line="140" w:lineRule="exact" w:before="117"/>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ind w:left="146" w:right="125" w:firstLine="2"/>
              <w:jc w:val="center"/>
              <w:rPr>
                <w:sz w:val="14"/>
              </w:rPr>
            </w:pPr>
            <w:r>
              <w:rPr>
                <w:spacing w:val="-2"/>
                <w:sz w:val="14"/>
              </w:rPr>
              <w:t>Varies</w:t>
            </w:r>
            <w:r>
              <w:rPr>
                <w:spacing w:val="40"/>
                <w:sz w:val="14"/>
              </w:rPr>
              <w:t> </w:t>
            </w:r>
            <w:r>
              <w:rPr>
                <w:spacing w:val="-2"/>
                <w:sz w:val="14"/>
              </w:rPr>
              <w:t>according</w:t>
            </w:r>
            <w:r>
              <w:rPr>
                <w:spacing w:val="40"/>
                <w:sz w:val="14"/>
              </w:rPr>
              <w:t> </w:t>
            </w:r>
            <w:r>
              <w:rPr>
                <w:sz w:val="14"/>
              </w:rPr>
              <w:t>to</w:t>
            </w:r>
            <w:r>
              <w:rPr>
                <w:spacing w:val="-4"/>
                <w:sz w:val="14"/>
              </w:rPr>
              <w:t> </w:t>
            </w:r>
            <w:r>
              <w:rPr>
                <w:spacing w:val="-2"/>
                <w:sz w:val="14"/>
              </w:rPr>
              <w:t>Program</w:t>
            </w:r>
          </w:p>
          <w:p>
            <w:pPr>
              <w:pStyle w:val="TableParagraph"/>
              <w:spacing w:line="140" w:lineRule="exact" w:before="2"/>
              <w:ind w:left="102" w:right="84"/>
              <w:jc w:val="center"/>
              <w:rPr>
                <w:sz w:val="14"/>
              </w:rPr>
            </w:pPr>
            <w:r>
              <w:rPr>
                <w:spacing w:val="-2"/>
                <w:sz w:val="14"/>
              </w:rPr>
              <w:t>costs</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ind w:left="224" w:right="201" w:hanging="3"/>
              <w:jc w:val="center"/>
              <w:rPr>
                <w:sz w:val="14"/>
              </w:rPr>
            </w:pPr>
            <w:r>
              <w:rPr>
                <w:spacing w:val="-2"/>
                <w:sz w:val="14"/>
              </w:rPr>
              <w:t>Varies</w:t>
            </w:r>
            <w:r>
              <w:rPr>
                <w:spacing w:val="40"/>
                <w:sz w:val="14"/>
              </w:rPr>
              <w:t> </w:t>
            </w:r>
            <w:r>
              <w:rPr>
                <w:sz w:val="14"/>
              </w:rPr>
              <w:t>according</w:t>
            </w:r>
            <w:r>
              <w:rPr>
                <w:spacing w:val="-10"/>
                <w:sz w:val="14"/>
              </w:rPr>
              <w:t> </w:t>
            </w:r>
            <w:r>
              <w:rPr>
                <w:sz w:val="14"/>
              </w:rPr>
              <w:t>to</w:t>
            </w:r>
          </w:p>
          <w:p>
            <w:pPr>
              <w:pStyle w:val="TableParagraph"/>
              <w:spacing w:line="140" w:lineRule="exact" w:before="2"/>
              <w:ind w:left="139" w:right="124"/>
              <w:jc w:val="center"/>
              <w:rPr>
                <w:sz w:val="14"/>
              </w:rPr>
            </w:pPr>
            <w:r>
              <w:rPr>
                <w:sz w:val="14"/>
              </w:rPr>
              <w:t>Program</w:t>
            </w:r>
            <w:r>
              <w:rPr>
                <w:spacing w:val="-7"/>
                <w:sz w:val="14"/>
              </w:rPr>
              <w:t> </w:t>
            </w:r>
            <w:r>
              <w:rPr>
                <w:spacing w:val="-2"/>
                <w:sz w:val="14"/>
              </w:rPr>
              <w:t>costs</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Karralyka</w:t>
            </w:r>
            <w:r>
              <w:rPr>
                <w:b/>
                <w:spacing w:val="-7"/>
                <w:sz w:val="14"/>
              </w:rPr>
              <w:t> </w:t>
            </w:r>
            <w:r>
              <w:rPr>
                <w:b/>
                <w:sz w:val="14"/>
              </w:rPr>
              <w:t>Theatre</w:t>
            </w:r>
            <w:r>
              <w:rPr>
                <w:b/>
                <w:spacing w:val="-8"/>
                <w:sz w:val="14"/>
              </w:rPr>
              <w:t> </w:t>
            </w:r>
            <w:r>
              <w:rPr>
                <w:b/>
                <w:spacing w:val="-2"/>
                <w:sz w:val="14"/>
              </w:rPr>
              <w:t>Equipment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4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4"/>
              </w:rPr>
            </w:pPr>
          </w:p>
          <w:p>
            <w:pPr>
              <w:pStyle w:val="TableParagraph"/>
              <w:ind w:left="107"/>
              <w:rPr>
                <w:sz w:val="14"/>
              </w:rPr>
            </w:pPr>
            <w:r>
              <w:rPr>
                <w:sz w:val="14"/>
              </w:rPr>
              <w:t>Theatre</w:t>
            </w:r>
            <w:r>
              <w:rPr>
                <w:spacing w:val="-8"/>
                <w:sz w:val="14"/>
              </w:rPr>
              <w:t> </w:t>
            </w:r>
            <w:r>
              <w:rPr>
                <w:spacing w:val="-2"/>
                <w:sz w:val="14"/>
              </w:rPr>
              <w:t>Equipment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line="140" w:lineRule="exact" w:before="138"/>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line="140" w:lineRule="exact" w:before="138"/>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189" w:right="165" w:hanging="1"/>
              <w:jc w:val="center"/>
              <w:rPr>
                <w:sz w:val="14"/>
              </w:rPr>
            </w:pPr>
            <w:r>
              <w:rPr>
                <w:spacing w:val="-2"/>
                <w:sz w:val="14"/>
              </w:rPr>
              <w:t>Varies</w:t>
            </w:r>
            <w:r>
              <w:rPr>
                <w:spacing w:val="40"/>
                <w:sz w:val="14"/>
              </w:rPr>
              <w:t> </w:t>
            </w:r>
            <w:r>
              <w:rPr>
                <w:spacing w:val="-2"/>
                <w:sz w:val="14"/>
              </w:rPr>
              <w:t>according</w:t>
            </w:r>
            <w:r>
              <w:rPr>
                <w:spacing w:val="40"/>
                <w:sz w:val="14"/>
              </w:rPr>
              <w:t> </w:t>
            </w:r>
            <w:r>
              <w:rPr>
                <w:sz w:val="14"/>
              </w:rPr>
              <w:t>to</w:t>
            </w:r>
            <w:r>
              <w:rPr>
                <w:spacing w:val="-6"/>
                <w:sz w:val="14"/>
              </w:rPr>
              <w:t> </w:t>
            </w:r>
            <w:r>
              <w:rPr>
                <w:sz w:val="14"/>
              </w:rPr>
              <w:t>quote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224" w:right="201" w:hanging="3"/>
              <w:jc w:val="center"/>
              <w:rPr>
                <w:sz w:val="14"/>
              </w:rPr>
            </w:pPr>
            <w:r>
              <w:rPr>
                <w:spacing w:val="-2"/>
                <w:sz w:val="14"/>
              </w:rPr>
              <w:t>Varies</w:t>
            </w:r>
            <w:r>
              <w:rPr>
                <w:spacing w:val="40"/>
                <w:sz w:val="14"/>
              </w:rPr>
              <w:t> </w:t>
            </w:r>
            <w:r>
              <w:rPr>
                <w:sz w:val="14"/>
              </w:rPr>
              <w:t>according</w:t>
            </w:r>
            <w:r>
              <w:rPr>
                <w:spacing w:val="-10"/>
                <w:sz w:val="14"/>
              </w:rPr>
              <w:t> </w:t>
            </w:r>
            <w:r>
              <w:rPr>
                <w:sz w:val="14"/>
              </w:rPr>
              <w:t>to</w:t>
            </w:r>
            <w:r>
              <w:rPr>
                <w:spacing w:val="40"/>
                <w:sz w:val="14"/>
              </w:rPr>
              <w:t> </w:t>
            </w:r>
            <w:r>
              <w:rPr>
                <w:spacing w:val="-2"/>
                <w:sz w:val="14"/>
              </w:rPr>
              <w:t>quote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8"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8"/>
              <w:ind w:left="107"/>
              <w:rPr>
                <w:b/>
                <w:sz w:val="14"/>
              </w:rPr>
            </w:pPr>
            <w:r>
              <w:rPr>
                <w:b/>
                <w:sz w:val="14"/>
              </w:rPr>
              <w:t>Karralyka</w:t>
            </w:r>
            <w:r>
              <w:rPr>
                <w:b/>
                <w:spacing w:val="-7"/>
                <w:sz w:val="14"/>
              </w:rPr>
              <w:t> </w:t>
            </w:r>
            <w:r>
              <w:rPr>
                <w:b/>
                <w:sz w:val="14"/>
              </w:rPr>
              <w:t>Theatre</w:t>
            </w:r>
            <w:r>
              <w:rPr>
                <w:b/>
                <w:spacing w:val="-4"/>
                <w:sz w:val="14"/>
              </w:rPr>
              <w:t> </w:t>
            </w:r>
            <w:r>
              <w:rPr>
                <w:b/>
                <w:spacing w:val="-2"/>
                <w:sz w:val="14"/>
              </w:rPr>
              <w:t>Labour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484"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before="2"/>
              <w:rPr>
                <w:sz w:val="14"/>
              </w:rPr>
            </w:pPr>
          </w:p>
          <w:p>
            <w:pPr>
              <w:pStyle w:val="TableParagraph"/>
              <w:ind w:left="107"/>
              <w:rPr>
                <w:sz w:val="14"/>
              </w:rPr>
            </w:pPr>
            <w:r>
              <w:rPr>
                <w:sz w:val="14"/>
              </w:rPr>
              <w:t>Theatre</w:t>
            </w:r>
            <w:r>
              <w:rPr>
                <w:spacing w:val="-8"/>
                <w:sz w:val="14"/>
              </w:rPr>
              <w:t> </w:t>
            </w:r>
            <w:r>
              <w:rPr>
                <w:spacing w:val="-2"/>
                <w:sz w:val="14"/>
              </w:rPr>
              <w:t>labour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line="140" w:lineRule="exact" w:before="140"/>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line="140" w:lineRule="exact" w:before="140"/>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189" w:right="165" w:hanging="1"/>
              <w:jc w:val="center"/>
              <w:rPr>
                <w:sz w:val="14"/>
              </w:rPr>
            </w:pPr>
            <w:r>
              <w:rPr>
                <w:spacing w:val="-2"/>
                <w:sz w:val="14"/>
              </w:rPr>
              <w:t>Varies</w:t>
            </w:r>
            <w:r>
              <w:rPr>
                <w:spacing w:val="40"/>
                <w:sz w:val="14"/>
              </w:rPr>
              <w:t> </w:t>
            </w:r>
            <w:r>
              <w:rPr>
                <w:spacing w:val="-2"/>
                <w:sz w:val="14"/>
              </w:rPr>
              <w:t>according</w:t>
            </w:r>
            <w:r>
              <w:rPr>
                <w:spacing w:val="40"/>
                <w:sz w:val="14"/>
              </w:rPr>
              <w:t> </w:t>
            </w:r>
            <w:r>
              <w:rPr>
                <w:sz w:val="14"/>
              </w:rPr>
              <w:t>to</w:t>
            </w:r>
            <w:r>
              <w:rPr>
                <w:spacing w:val="-6"/>
                <w:sz w:val="14"/>
              </w:rPr>
              <w:t> </w:t>
            </w:r>
            <w:r>
              <w:rPr>
                <w:sz w:val="14"/>
              </w:rPr>
              <w:t>quote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224" w:right="201" w:hanging="3"/>
              <w:jc w:val="center"/>
              <w:rPr>
                <w:sz w:val="14"/>
              </w:rPr>
            </w:pPr>
            <w:r>
              <w:rPr>
                <w:spacing w:val="-2"/>
                <w:sz w:val="14"/>
              </w:rPr>
              <w:t>Varies</w:t>
            </w:r>
            <w:r>
              <w:rPr>
                <w:spacing w:val="40"/>
                <w:sz w:val="14"/>
              </w:rPr>
              <w:t> </w:t>
            </w:r>
            <w:r>
              <w:rPr>
                <w:sz w:val="14"/>
              </w:rPr>
              <w:t>according</w:t>
            </w:r>
            <w:r>
              <w:rPr>
                <w:spacing w:val="-10"/>
                <w:sz w:val="14"/>
              </w:rPr>
              <w:t> </w:t>
            </w:r>
            <w:r>
              <w:rPr>
                <w:sz w:val="14"/>
              </w:rPr>
              <w:t>to</w:t>
            </w:r>
            <w:r>
              <w:rPr>
                <w:spacing w:val="40"/>
                <w:sz w:val="14"/>
              </w:rPr>
              <w:t> </w:t>
            </w:r>
            <w:r>
              <w:rPr>
                <w:spacing w:val="-2"/>
                <w:sz w:val="14"/>
              </w:rPr>
              <w:t>quote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w w:val="95"/>
                <w:sz w:val="14"/>
              </w:rPr>
              <w:t>Karralyka</w:t>
            </w:r>
            <w:r>
              <w:rPr>
                <w:b/>
                <w:spacing w:val="54"/>
                <w:sz w:val="14"/>
              </w:rPr>
              <w:t> </w:t>
            </w:r>
            <w:r>
              <w:rPr>
                <w:b/>
                <w:w w:val="95"/>
                <w:sz w:val="14"/>
              </w:rPr>
              <w:t>Functions-</w:t>
            </w:r>
            <w:r>
              <w:rPr>
                <w:b/>
                <w:spacing w:val="-2"/>
                <w:w w:val="95"/>
                <w:sz w:val="14"/>
              </w:rPr>
              <w:t>Other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Commercial</w:t>
            </w:r>
            <w:r>
              <w:rPr>
                <w:spacing w:val="-1"/>
                <w:sz w:val="14"/>
              </w:rPr>
              <w:t> </w:t>
            </w:r>
            <w:r>
              <w:rPr>
                <w:sz w:val="14"/>
              </w:rPr>
              <w:t>Room</w:t>
            </w:r>
            <w:r>
              <w:rPr>
                <w:spacing w:val="-3"/>
                <w:sz w:val="14"/>
              </w:rPr>
              <w:t> </w:t>
            </w:r>
            <w:r>
              <w:rPr>
                <w:sz w:val="14"/>
              </w:rPr>
              <w:t>Hire</w:t>
            </w:r>
            <w:r>
              <w:rPr>
                <w:spacing w:val="-3"/>
                <w:sz w:val="14"/>
              </w:rPr>
              <w:t> </w:t>
            </w:r>
            <w:r>
              <w:rPr>
                <w:sz w:val="14"/>
              </w:rPr>
              <w:t>-</w:t>
            </w:r>
            <w:r>
              <w:rPr>
                <w:spacing w:val="-2"/>
                <w:sz w:val="14"/>
              </w:rPr>
              <w:t> </w:t>
            </w:r>
            <w:r>
              <w:rPr>
                <w:sz w:val="14"/>
              </w:rPr>
              <w:t>Full</w:t>
            </w:r>
            <w:r>
              <w:rPr>
                <w:spacing w:val="-4"/>
                <w:sz w:val="14"/>
              </w:rPr>
              <w:t> </w:t>
            </w:r>
            <w:r>
              <w:rPr>
                <w:sz w:val="14"/>
              </w:rPr>
              <w:t>Day</w:t>
            </w:r>
            <w:r>
              <w:rPr>
                <w:spacing w:val="-1"/>
                <w:sz w:val="14"/>
              </w:rPr>
              <w:t> </w:t>
            </w:r>
            <w:r>
              <w:rPr>
                <w:sz w:val="14"/>
              </w:rPr>
              <w:t>(8</w:t>
            </w:r>
            <w:r>
              <w:rPr>
                <w:spacing w:val="-2"/>
                <w:sz w:val="14"/>
              </w:rPr>
              <w:t> </w:t>
            </w:r>
            <w:r>
              <w:rPr>
                <w:sz w:val="14"/>
              </w:rPr>
              <w:t>hours)</w:t>
            </w:r>
            <w:r>
              <w:rPr>
                <w:spacing w:val="-2"/>
                <w:sz w:val="14"/>
              </w:rPr>
              <w:t> </w:t>
            </w:r>
            <w:r>
              <w:rPr>
                <w:sz w:val="14"/>
              </w:rPr>
              <w:t>-</w:t>
            </w:r>
            <w:r>
              <w:rPr>
                <w:spacing w:val="-4"/>
                <w:sz w:val="14"/>
              </w:rPr>
              <w:t> </w:t>
            </w:r>
            <w:r>
              <w:rPr>
                <w:sz w:val="14"/>
              </w:rPr>
              <w:t>Banquet</w:t>
            </w:r>
            <w:r>
              <w:rPr>
                <w:spacing w:val="-4"/>
                <w:sz w:val="14"/>
              </w:rPr>
              <w:t> </w:t>
            </w:r>
            <w:r>
              <w:rPr>
                <w:sz w:val="14"/>
              </w:rPr>
              <w:t>Room</w:t>
            </w:r>
            <w:r>
              <w:rPr>
                <w:spacing w:val="-2"/>
                <w:sz w:val="14"/>
              </w:rPr>
              <w:t> </w:t>
            </w:r>
            <w:r>
              <w:rPr>
                <w:sz w:val="14"/>
              </w:rPr>
              <w:t>(all</w:t>
            </w:r>
            <w:r>
              <w:rPr>
                <w:spacing w:val="-4"/>
                <w:sz w:val="14"/>
              </w:rPr>
              <w:t> </w:t>
            </w:r>
            <w:r>
              <w:rPr>
                <w:sz w:val="14"/>
              </w:rPr>
              <w:t>3</w:t>
            </w:r>
            <w:r>
              <w:rPr>
                <w:spacing w:val="-1"/>
                <w:sz w:val="14"/>
              </w:rPr>
              <w:t> </w:t>
            </w:r>
            <w:r>
              <w:rPr>
                <w:spacing w:val="-2"/>
                <w:sz w:val="14"/>
              </w:rPr>
              <w:t>rooms)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3,190.00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3,350.00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Commercial</w:t>
            </w:r>
            <w:r>
              <w:rPr>
                <w:spacing w:val="-2"/>
                <w:sz w:val="14"/>
              </w:rPr>
              <w:t> </w:t>
            </w:r>
            <w:r>
              <w:rPr>
                <w:sz w:val="14"/>
              </w:rPr>
              <w:t>Room</w:t>
            </w:r>
            <w:r>
              <w:rPr>
                <w:spacing w:val="-4"/>
                <w:sz w:val="14"/>
              </w:rPr>
              <w:t> </w:t>
            </w:r>
            <w:r>
              <w:rPr>
                <w:sz w:val="14"/>
              </w:rPr>
              <w:t>Hire</w:t>
            </w:r>
            <w:r>
              <w:rPr>
                <w:spacing w:val="-3"/>
                <w:sz w:val="14"/>
              </w:rPr>
              <w:t> </w:t>
            </w:r>
            <w:r>
              <w:rPr>
                <w:sz w:val="14"/>
              </w:rPr>
              <w:t>-</w:t>
            </w:r>
            <w:r>
              <w:rPr>
                <w:spacing w:val="-3"/>
                <w:sz w:val="14"/>
              </w:rPr>
              <w:t> </w:t>
            </w:r>
            <w:r>
              <w:rPr>
                <w:sz w:val="14"/>
              </w:rPr>
              <w:t>Full</w:t>
            </w:r>
            <w:r>
              <w:rPr>
                <w:spacing w:val="-4"/>
                <w:sz w:val="14"/>
              </w:rPr>
              <w:t> </w:t>
            </w:r>
            <w:r>
              <w:rPr>
                <w:sz w:val="14"/>
              </w:rPr>
              <w:t>Day</w:t>
            </w:r>
            <w:r>
              <w:rPr>
                <w:spacing w:val="-2"/>
                <w:sz w:val="14"/>
              </w:rPr>
              <w:t> </w:t>
            </w:r>
            <w:r>
              <w:rPr>
                <w:sz w:val="14"/>
              </w:rPr>
              <w:t>(8</w:t>
            </w:r>
            <w:r>
              <w:rPr>
                <w:spacing w:val="-3"/>
                <w:sz w:val="14"/>
              </w:rPr>
              <w:t> </w:t>
            </w:r>
            <w:r>
              <w:rPr>
                <w:sz w:val="14"/>
              </w:rPr>
              <w:t>hours)</w:t>
            </w:r>
            <w:r>
              <w:rPr>
                <w:spacing w:val="-3"/>
                <w:sz w:val="14"/>
              </w:rPr>
              <w:t> </w:t>
            </w:r>
            <w:r>
              <w:rPr>
                <w:sz w:val="14"/>
              </w:rPr>
              <w:t>-</w:t>
            </w:r>
            <w:r>
              <w:rPr>
                <w:spacing w:val="-3"/>
                <w:sz w:val="14"/>
              </w:rPr>
              <w:t> </w:t>
            </w:r>
            <w:r>
              <w:rPr>
                <w:sz w:val="14"/>
              </w:rPr>
              <w:t>Maroondah</w:t>
            </w:r>
            <w:r>
              <w:rPr>
                <w:spacing w:val="-2"/>
                <w:sz w:val="14"/>
              </w:rPr>
              <w:t> </w:t>
            </w:r>
            <w:r>
              <w:rPr>
                <w:spacing w:val="-4"/>
                <w:sz w:val="14"/>
              </w:rPr>
              <w:t>Room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1,650.00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1,730.00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Commercial</w:t>
            </w:r>
            <w:r>
              <w:rPr>
                <w:spacing w:val="-2"/>
                <w:sz w:val="14"/>
              </w:rPr>
              <w:t> </w:t>
            </w:r>
            <w:r>
              <w:rPr>
                <w:sz w:val="14"/>
              </w:rPr>
              <w:t>Room</w:t>
            </w:r>
            <w:r>
              <w:rPr>
                <w:spacing w:val="-3"/>
                <w:sz w:val="14"/>
              </w:rPr>
              <w:t> </w:t>
            </w:r>
            <w:r>
              <w:rPr>
                <w:sz w:val="14"/>
              </w:rPr>
              <w:t>Hire</w:t>
            </w:r>
            <w:r>
              <w:rPr>
                <w:spacing w:val="-4"/>
                <w:sz w:val="14"/>
              </w:rPr>
              <w:t> </w:t>
            </w:r>
            <w:r>
              <w:rPr>
                <w:sz w:val="14"/>
              </w:rPr>
              <w:t>-</w:t>
            </w:r>
            <w:r>
              <w:rPr>
                <w:spacing w:val="-2"/>
                <w:sz w:val="14"/>
              </w:rPr>
              <w:t> </w:t>
            </w:r>
            <w:r>
              <w:rPr>
                <w:sz w:val="14"/>
              </w:rPr>
              <w:t>Full</w:t>
            </w:r>
            <w:r>
              <w:rPr>
                <w:spacing w:val="-5"/>
                <w:sz w:val="14"/>
              </w:rPr>
              <w:t> </w:t>
            </w:r>
            <w:r>
              <w:rPr>
                <w:sz w:val="14"/>
              </w:rPr>
              <w:t>Day</w:t>
            </w:r>
            <w:r>
              <w:rPr>
                <w:spacing w:val="-1"/>
                <w:sz w:val="14"/>
              </w:rPr>
              <w:t> </w:t>
            </w:r>
            <w:r>
              <w:rPr>
                <w:sz w:val="14"/>
              </w:rPr>
              <w:t>(8</w:t>
            </w:r>
            <w:r>
              <w:rPr>
                <w:spacing w:val="-3"/>
                <w:sz w:val="14"/>
              </w:rPr>
              <w:t> </w:t>
            </w:r>
            <w:r>
              <w:rPr>
                <w:sz w:val="14"/>
              </w:rPr>
              <w:t>hours)</w:t>
            </w:r>
            <w:r>
              <w:rPr>
                <w:spacing w:val="-2"/>
                <w:sz w:val="14"/>
              </w:rPr>
              <w:t> </w:t>
            </w:r>
            <w:r>
              <w:rPr>
                <w:sz w:val="14"/>
              </w:rPr>
              <w:t>-</w:t>
            </w:r>
            <w:r>
              <w:rPr>
                <w:spacing w:val="-3"/>
                <w:sz w:val="14"/>
              </w:rPr>
              <w:t> </w:t>
            </w:r>
            <w:r>
              <w:rPr>
                <w:sz w:val="14"/>
              </w:rPr>
              <w:t>Maroondah</w:t>
            </w:r>
            <w:r>
              <w:rPr>
                <w:spacing w:val="-2"/>
                <w:sz w:val="14"/>
              </w:rPr>
              <w:t> </w:t>
            </w:r>
            <w:r>
              <w:rPr>
                <w:sz w:val="14"/>
              </w:rPr>
              <w:t>&amp;</w:t>
            </w:r>
            <w:r>
              <w:rPr>
                <w:spacing w:val="-4"/>
                <w:sz w:val="14"/>
              </w:rPr>
              <w:t> </w:t>
            </w:r>
            <w:r>
              <w:rPr>
                <w:sz w:val="14"/>
              </w:rPr>
              <w:t>Mullum</w:t>
            </w:r>
            <w:r>
              <w:rPr>
                <w:spacing w:val="-4"/>
                <w:sz w:val="14"/>
              </w:rPr>
              <w:t> Rooms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2,200.00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2,310.00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Commercial</w:t>
            </w:r>
            <w:r>
              <w:rPr>
                <w:spacing w:val="-2"/>
                <w:sz w:val="14"/>
              </w:rPr>
              <w:t> </w:t>
            </w:r>
            <w:r>
              <w:rPr>
                <w:sz w:val="14"/>
              </w:rPr>
              <w:t>Room</w:t>
            </w:r>
            <w:r>
              <w:rPr>
                <w:spacing w:val="-4"/>
                <w:sz w:val="14"/>
              </w:rPr>
              <w:t> </w:t>
            </w:r>
            <w:r>
              <w:rPr>
                <w:sz w:val="14"/>
              </w:rPr>
              <w:t>Hire</w:t>
            </w:r>
            <w:r>
              <w:rPr>
                <w:spacing w:val="-3"/>
                <w:sz w:val="14"/>
              </w:rPr>
              <w:t> </w:t>
            </w:r>
            <w:r>
              <w:rPr>
                <w:sz w:val="14"/>
              </w:rPr>
              <w:t>-</w:t>
            </w:r>
            <w:r>
              <w:rPr>
                <w:spacing w:val="-3"/>
                <w:sz w:val="14"/>
              </w:rPr>
              <w:t> </w:t>
            </w:r>
            <w:r>
              <w:rPr>
                <w:sz w:val="14"/>
              </w:rPr>
              <w:t>Full</w:t>
            </w:r>
            <w:r>
              <w:rPr>
                <w:spacing w:val="-4"/>
                <w:sz w:val="14"/>
              </w:rPr>
              <w:t> </w:t>
            </w:r>
            <w:r>
              <w:rPr>
                <w:sz w:val="14"/>
              </w:rPr>
              <w:t>Day</w:t>
            </w:r>
            <w:r>
              <w:rPr>
                <w:spacing w:val="-2"/>
                <w:sz w:val="14"/>
              </w:rPr>
              <w:t> </w:t>
            </w:r>
            <w:r>
              <w:rPr>
                <w:sz w:val="14"/>
              </w:rPr>
              <w:t>(8</w:t>
            </w:r>
            <w:r>
              <w:rPr>
                <w:spacing w:val="-2"/>
                <w:sz w:val="14"/>
              </w:rPr>
              <w:t> </w:t>
            </w:r>
            <w:r>
              <w:rPr>
                <w:sz w:val="14"/>
              </w:rPr>
              <w:t>hours)</w:t>
            </w:r>
            <w:r>
              <w:rPr>
                <w:spacing w:val="-3"/>
                <w:sz w:val="14"/>
              </w:rPr>
              <w:t> </w:t>
            </w:r>
            <w:r>
              <w:rPr>
                <w:sz w:val="14"/>
              </w:rPr>
              <w:t>-</w:t>
            </w:r>
            <w:r>
              <w:rPr>
                <w:spacing w:val="-2"/>
                <w:sz w:val="14"/>
              </w:rPr>
              <w:t> </w:t>
            </w:r>
            <w:r>
              <w:rPr>
                <w:sz w:val="14"/>
              </w:rPr>
              <w:t>Mt.</w:t>
            </w:r>
            <w:r>
              <w:rPr>
                <w:spacing w:val="-3"/>
                <w:sz w:val="14"/>
              </w:rPr>
              <w:t> </w:t>
            </w:r>
            <w:r>
              <w:rPr>
                <w:sz w:val="14"/>
              </w:rPr>
              <w:t>Dandenong</w:t>
            </w:r>
            <w:r>
              <w:rPr>
                <w:spacing w:val="-1"/>
                <w:sz w:val="14"/>
              </w:rPr>
              <w:t> </w:t>
            </w:r>
            <w:r>
              <w:rPr>
                <w:spacing w:val="-4"/>
                <w:sz w:val="14"/>
              </w:rPr>
              <w:t>Room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1,210.00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1,270.00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Commercial</w:t>
            </w:r>
            <w:r>
              <w:rPr>
                <w:spacing w:val="-2"/>
                <w:sz w:val="14"/>
              </w:rPr>
              <w:t> </w:t>
            </w:r>
            <w:r>
              <w:rPr>
                <w:sz w:val="14"/>
              </w:rPr>
              <w:t>Room</w:t>
            </w:r>
            <w:r>
              <w:rPr>
                <w:spacing w:val="-3"/>
                <w:sz w:val="14"/>
              </w:rPr>
              <w:t> </w:t>
            </w:r>
            <w:r>
              <w:rPr>
                <w:sz w:val="14"/>
              </w:rPr>
              <w:t>Hire</w:t>
            </w:r>
            <w:r>
              <w:rPr>
                <w:spacing w:val="-3"/>
                <w:sz w:val="14"/>
              </w:rPr>
              <w:t> </w:t>
            </w:r>
            <w:r>
              <w:rPr>
                <w:sz w:val="14"/>
              </w:rPr>
              <w:t>-</w:t>
            </w:r>
            <w:r>
              <w:rPr>
                <w:spacing w:val="-3"/>
                <w:sz w:val="14"/>
              </w:rPr>
              <w:t> </w:t>
            </w:r>
            <w:r>
              <w:rPr>
                <w:sz w:val="14"/>
              </w:rPr>
              <w:t>Full</w:t>
            </w:r>
            <w:r>
              <w:rPr>
                <w:spacing w:val="-4"/>
                <w:sz w:val="14"/>
              </w:rPr>
              <w:t> </w:t>
            </w:r>
            <w:r>
              <w:rPr>
                <w:sz w:val="14"/>
              </w:rPr>
              <w:t>Day</w:t>
            </w:r>
            <w:r>
              <w:rPr>
                <w:spacing w:val="-1"/>
                <w:sz w:val="14"/>
              </w:rPr>
              <w:t> </w:t>
            </w:r>
            <w:r>
              <w:rPr>
                <w:sz w:val="14"/>
              </w:rPr>
              <w:t>(8</w:t>
            </w:r>
            <w:r>
              <w:rPr>
                <w:spacing w:val="-3"/>
                <w:sz w:val="14"/>
              </w:rPr>
              <w:t> </w:t>
            </w:r>
            <w:r>
              <w:rPr>
                <w:sz w:val="14"/>
              </w:rPr>
              <w:t>hours)</w:t>
            </w:r>
            <w:r>
              <w:rPr>
                <w:spacing w:val="-2"/>
                <w:sz w:val="14"/>
              </w:rPr>
              <w:t> </w:t>
            </w:r>
            <w:r>
              <w:rPr>
                <w:sz w:val="14"/>
              </w:rPr>
              <w:t>-</w:t>
            </w:r>
            <w:r>
              <w:rPr>
                <w:spacing w:val="-2"/>
                <w:sz w:val="14"/>
              </w:rPr>
              <w:t> </w:t>
            </w:r>
            <w:r>
              <w:rPr>
                <w:sz w:val="14"/>
              </w:rPr>
              <w:t>Mullum</w:t>
            </w:r>
            <w:r>
              <w:rPr>
                <w:spacing w:val="-3"/>
                <w:sz w:val="14"/>
              </w:rPr>
              <w:t> </w:t>
            </w:r>
            <w:r>
              <w:rPr>
                <w:spacing w:val="-4"/>
                <w:sz w:val="14"/>
              </w:rPr>
              <w:t>Room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1,210.00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1,270.00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Commercial</w:t>
            </w:r>
            <w:r>
              <w:rPr>
                <w:spacing w:val="-2"/>
                <w:sz w:val="14"/>
              </w:rPr>
              <w:t> </w:t>
            </w:r>
            <w:r>
              <w:rPr>
                <w:sz w:val="14"/>
              </w:rPr>
              <w:t>Room</w:t>
            </w:r>
            <w:r>
              <w:rPr>
                <w:spacing w:val="-3"/>
                <w:sz w:val="14"/>
              </w:rPr>
              <w:t> </w:t>
            </w:r>
            <w:r>
              <w:rPr>
                <w:sz w:val="14"/>
              </w:rPr>
              <w:t>Hire</w:t>
            </w:r>
            <w:r>
              <w:rPr>
                <w:spacing w:val="-3"/>
                <w:sz w:val="14"/>
              </w:rPr>
              <w:t> </w:t>
            </w:r>
            <w:r>
              <w:rPr>
                <w:sz w:val="14"/>
              </w:rPr>
              <w:t>-</w:t>
            </w:r>
            <w:r>
              <w:rPr>
                <w:spacing w:val="-2"/>
                <w:sz w:val="14"/>
              </w:rPr>
              <w:t> </w:t>
            </w:r>
            <w:r>
              <w:rPr>
                <w:sz w:val="14"/>
              </w:rPr>
              <w:t>Full</w:t>
            </w:r>
            <w:r>
              <w:rPr>
                <w:spacing w:val="-5"/>
                <w:sz w:val="14"/>
              </w:rPr>
              <w:t> </w:t>
            </w:r>
            <w:r>
              <w:rPr>
                <w:sz w:val="14"/>
              </w:rPr>
              <w:t>Day</w:t>
            </w:r>
            <w:r>
              <w:rPr>
                <w:spacing w:val="-1"/>
                <w:sz w:val="14"/>
              </w:rPr>
              <w:t> </w:t>
            </w:r>
            <w:r>
              <w:rPr>
                <w:sz w:val="14"/>
              </w:rPr>
              <w:t>(8</w:t>
            </w:r>
            <w:r>
              <w:rPr>
                <w:spacing w:val="-2"/>
                <w:sz w:val="14"/>
              </w:rPr>
              <w:t> </w:t>
            </w:r>
            <w:r>
              <w:rPr>
                <w:sz w:val="14"/>
              </w:rPr>
              <w:t>hours)</w:t>
            </w:r>
            <w:r>
              <w:rPr>
                <w:spacing w:val="-2"/>
                <w:sz w:val="14"/>
              </w:rPr>
              <w:t> </w:t>
            </w:r>
            <w:r>
              <w:rPr>
                <w:sz w:val="14"/>
              </w:rPr>
              <w:t>-</w:t>
            </w:r>
            <w:r>
              <w:rPr>
                <w:spacing w:val="-3"/>
                <w:sz w:val="14"/>
              </w:rPr>
              <w:t> </w:t>
            </w:r>
            <w:r>
              <w:rPr>
                <w:sz w:val="14"/>
              </w:rPr>
              <w:t>Mt</w:t>
            </w:r>
            <w:r>
              <w:rPr>
                <w:spacing w:val="-5"/>
                <w:sz w:val="14"/>
              </w:rPr>
              <w:t> </w:t>
            </w:r>
            <w:r>
              <w:rPr>
                <w:sz w:val="14"/>
              </w:rPr>
              <w:t>Dandenong</w:t>
            </w:r>
            <w:r>
              <w:rPr>
                <w:spacing w:val="-5"/>
                <w:sz w:val="14"/>
              </w:rPr>
              <w:t> </w:t>
            </w:r>
            <w:r>
              <w:rPr>
                <w:sz w:val="14"/>
              </w:rPr>
              <w:t>&amp; Mullum</w:t>
            </w:r>
            <w:r>
              <w:rPr>
                <w:spacing w:val="-2"/>
                <w:sz w:val="14"/>
              </w:rPr>
              <w:t> Rooms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1,650.00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1,730.00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Commercial</w:t>
            </w:r>
            <w:r>
              <w:rPr>
                <w:spacing w:val="-1"/>
                <w:sz w:val="14"/>
              </w:rPr>
              <w:t> </w:t>
            </w:r>
            <w:r>
              <w:rPr>
                <w:sz w:val="14"/>
              </w:rPr>
              <w:t>Room</w:t>
            </w:r>
            <w:r>
              <w:rPr>
                <w:spacing w:val="-2"/>
                <w:sz w:val="14"/>
              </w:rPr>
              <w:t> </w:t>
            </w:r>
            <w:r>
              <w:rPr>
                <w:sz w:val="14"/>
              </w:rPr>
              <w:t>Hire</w:t>
            </w:r>
            <w:r>
              <w:rPr>
                <w:spacing w:val="-3"/>
                <w:sz w:val="14"/>
              </w:rPr>
              <w:t> </w:t>
            </w:r>
            <w:r>
              <w:rPr>
                <w:sz w:val="14"/>
              </w:rPr>
              <w:t>-</w:t>
            </w:r>
            <w:r>
              <w:rPr>
                <w:spacing w:val="-4"/>
                <w:sz w:val="14"/>
              </w:rPr>
              <w:t> </w:t>
            </w:r>
            <w:r>
              <w:rPr>
                <w:sz w:val="14"/>
              </w:rPr>
              <w:t>Half</w:t>
            </w:r>
            <w:r>
              <w:rPr>
                <w:spacing w:val="-5"/>
                <w:sz w:val="14"/>
              </w:rPr>
              <w:t> </w:t>
            </w:r>
            <w:r>
              <w:rPr>
                <w:sz w:val="14"/>
              </w:rPr>
              <w:t>Day</w:t>
            </w:r>
            <w:r>
              <w:rPr>
                <w:spacing w:val="-3"/>
                <w:sz w:val="14"/>
              </w:rPr>
              <w:t> </w:t>
            </w:r>
            <w:r>
              <w:rPr>
                <w:sz w:val="14"/>
              </w:rPr>
              <w:t>(5</w:t>
            </w:r>
            <w:r>
              <w:rPr>
                <w:spacing w:val="-4"/>
                <w:sz w:val="14"/>
              </w:rPr>
              <w:t> </w:t>
            </w:r>
            <w:r>
              <w:rPr>
                <w:sz w:val="14"/>
              </w:rPr>
              <w:t>hours)</w:t>
            </w:r>
            <w:r>
              <w:rPr>
                <w:spacing w:val="-2"/>
                <w:sz w:val="14"/>
              </w:rPr>
              <w:t> </w:t>
            </w:r>
            <w:r>
              <w:rPr>
                <w:sz w:val="14"/>
              </w:rPr>
              <w:t>-</w:t>
            </w:r>
            <w:r>
              <w:rPr>
                <w:spacing w:val="-4"/>
                <w:sz w:val="14"/>
              </w:rPr>
              <w:t> </w:t>
            </w:r>
            <w:r>
              <w:rPr>
                <w:sz w:val="14"/>
              </w:rPr>
              <w:t>Banquet</w:t>
            </w:r>
            <w:r>
              <w:rPr>
                <w:spacing w:val="-3"/>
                <w:sz w:val="14"/>
              </w:rPr>
              <w:t> </w:t>
            </w:r>
            <w:r>
              <w:rPr>
                <w:sz w:val="14"/>
              </w:rPr>
              <w:t>Room (all</w:t>
            </w:r>
            <w:r>
              <w:rPr>
                <w:spacing w:val="-2"/>
                <w:sz w:val="14"/>
              </w:rPr>
              <w:t> </w:t>
            </w:r>
            <w:r>
              <w:rPr>
                <w:sz w:val="14"/>
              </w:rPr>
              <w:t>3</w:t>
            </w:r>
            <w:r>
              <w:rPr>
                <w:spacing w:val="-3"/>
                <w:sz w:val="14"/>
              </w:rPr>
              <w:t> </w:t>
            </w:r>
            <w:r>
              <w:rPr>
                <w:spacing w:val="-2"/>
                <w:sz w:val="14"/>
              </w:rPr>
              <w:t>rooms)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2,310.00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2,430.00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Commercial</w:t>
            </w:r>
            <w:r>
              <w:rPr>
                <w:spacing w:val="-1"/>
                <w:sz w:val="14"/>
              </w:rPr>
              <w:t> </w:t>
            </w:r>
            <w:r>
              <w:rPr>
                <w:sz w:val="14"/>
              </w:rPr>
              <w:t>Room</w:t>
            </w:r>
            <w:r>
              <w:rPr>
                <w:spacing w:val="-3"/>
                <w:sz w:val="14"/>
              </w:rPr>
              <w:t> </w:t>
            </w:r>
            <w:r>
              <w:rPr>
                <w:sz w:val="14"/>
              </w:rPr>
              <w:t>Hire</w:t>
            </w:r>
            <w:r>
              <w:rPr>
                <w:spacing w:val="-2"/>
                <w:sz w:val="14"/>
              </w:rPr>
              <w:t> </w:t>
            </w:r>
            <w:r>
              <w:rPr>
                <w:sz w:val="14"/>
              </w:rPr>
              <w:t>-</w:t>
            </w:r>
            <w:r>
              <w:rPr>
                <w:spacing w:val="-4"/>
                <w:sz w:val="14"/>
              </w:rPr>
              <w:t> </w:t>
            </w:r>
            <w:r>
              <w:rPr>
                <w:sz w:val="14"/>
              </w:rPr>
              <w:t>Half</w:t>
            </w:r>
            <w:r>
              <w:rPr>
                <w:spacing w:val="-5"/>
                <w:sz w:val="14"/>
              </w:rPr>
              <w:t> </w:t>
            </w:r>
            <w:r>
              <w:rPr>
                <w:sz w:val="14"/>
              </w:rPr>
              <w:t>Day</w:t>
            </w:r>
            <w:r>
              <w:rPr>
                <w:spacing w:val="-3"/>
                <w:sz w:val="14"/>
              </w:rPr>
              <w:t> </w:t>
            </w:r>
            <w:r>
              <w:rPr>
                <w:sz w:val="14"/>
              </w:rPr>
              <w:t>(5</w:t>
            </w:r>
            <w:r>
              <w:rPr>
                <w:spacing w:val="-5"/>
                <w:sz w:val="14"/>
              </w:rPr>
              <w:t> </w:t>
            </w:r>
            <w:r>
              <w:rPr>
                <w:sz w:val="14"/>
              </w:rPr>
              <w:t>hours)</w:t>
            </w:r>
            <w:r>
              <w:rPr>
                <w:spacing w:val="-2"/>
                <w:sz w:val="14"/>
              </w:rPr>
              <w:t> </w:t>
            </w:r>
            <w:r>
              <w:rPr>
                <w:sz w:val="14"/>
              </w:rPr>
              <w:t>-</w:t>
            </w:r>
            <w:r>
              <w:rPr>
                <w:spacing w:val="-4"/>
                <w:sz w:val="14"/>
              </w:rPr>
              <w:t> </w:t>
            </w:r>
            <w:r>
              <w:rPr>
                <w:sz w:val="14"/>
              </w:rPr>
              <w:t>Maroondah</w:t>
            </w:r>
            <w:r>
              <w:rPr>
                <w:spacing w:val="-4"/>
                <w:sz w:val="14"/>
              </w:rPr>
              <w:t> Room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1,430.00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1,500.00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9"/>
              <w:ind w:left="107"/>
              <w:rPr>
                <w:sz w:val="14"/>
              </w:rPr>
            </w:pPr>
            <w:r>
              <w:rPr>
                <w:sz w:val="14"/>
              </w:rPr>
              <w:t>Commercial</w:t>
            </w:r>
            <w:r>
              <w:rPr>
                <w:spacing w:val="-1"/>
                <w:sz w:val="14"/>
              </w:rPr>
              <w:t> </w:t>
            </w:r>
            <w:r>
              <w:rPr>
                <w:sz w:val="14"/>
              </w:rPr>
              <w:t>Room</w:t>
            </w:r>
            <w:r>
              <w:rPr>
                <w:spacing w:val="-3"/>
                <w:sz w:val="14"/>
              </w:rPr>
              <w:t> </w:t>
            </w:r>
            <w:r>
              <w:rPr>
                <w:sz w:val="14"/>
              </w:rPr>
              <w:t>Hire</w:t>
            </w:r>
            <w:r>
              <w:rPr>
                <w:spacing w:val="-2"/>
                <w:sz w:val="14"/>
              </w:rPr>
              <w:t> </w:t>
            </w:r>
            <w:r>
              <w:rPr>
                <w:sz w:val="14"/>
              </w:rPr>
              <w:t>-</w:t>
            </w:r>
            <w:r>
              <w:rPr>
                <w:spacing w:val="-5"/>
                <w:sz w:val="14"/>
              </w:rPr>
              <w:t> </w:t>
            </w:r>
            <w:r>
              <w:rPr>
                <w:sz w:val="14"/>
              </w:rPr>
              <w:t>Half</w:t>
            </w:r>
            <w:r>
              <w:rPr>
                <w:spacing w:val="-4"/>
                <w:sz w:val="14"/>
              </w:rPr>
              <w:t> </w:t>
            </w:r>
            <w:r>
              <w:rPr>
                <w:sz w:val="14"/>
              </w:rPr>
              <w:t>Day</w:t>
            </w:r>
            <w:r>
              <w:rPr>
                <w:spacing w:val="-4"/>
                <w:sz w:val="14"/>
              </w:rPr>
              <w:t> </w:t>
            </w:r>
            <w:r>
              <w:rPr>
                <w:sz w:val="14"/>
              </w:rPr>
              <w:t>(5</w:t>
            </w:r>
            <w:r>
              <w:rPr>
                <w:spacing w:val="-5"/>
                <w:sz w:val="14"/>
              </w:rPr>
              <w:t> </w:t>
            </w:r>
            <w:r>
              <w:rPr>
                <w:sz w:val="14"/>
              </w:rPr>
              <w:t>hours)</w:t>
            </w:r>
            <w:r>
              <w:rPr>
                <w:spacing w:val="-2"/>
                <w:sz w:val="14"/>
              </w:rPr>
              <w:t> </w:t>
            </w:r>
            <w:r>
              <w:rPr>
                <w:sz w:val="14"/>
              </w:rPr>
              <w:t>-</w:t>
            </w:r>
            <w:r>
              <w:rPr>
                <w:spacing w:val="-4"/>
                <w:sz w:val="14"/>
              </w:rPr>
              <w:t> </w:t>
            </w:r>
            <w:r>
              <w:rPr>
                <w:sz w:val="14"/>
              </w:rPr>
              <w:t>Maroondah</w:t>
            </w:r>
            <w:r>
              <w:rPr>
                <w:spacing w:val="-5"/>
                <w:sz w:val="14"/>
              </w:rPr>
              <w:t> </w:t>
            </w:r>
            <w:r>
              <w:rPr>
                <w:sz w:val="14"/>
              </w:rPr>
              <w:t>&amp; Mullum</w:t>
            </w:r>
            <w:r>
              <w:rPr>
                <w:spacing w:val="-1"/>
                <w:sz w:val="14"/>
              </w:rPr>
              <w:t> </w:t>
            </w:r>
            <w:r>
              <w:rPr>
                <w:spacing w:val="-4"/>
                <w:sz w:val="14"/>
              </w:rPr>
              <w:t>Rooms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1"/>
              <w:jc w:val="right"/>
              <w:rPr>
                <w:sz w:val="14"/>
              </w:rPr>
            </w:pPr>
            <w:r>
              <w:rPr>
                <w:spacing w:val="-2"/>
                <w:sz w:val="14"/>
              </w:rPr>
              <w:t>1,760.00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2"/>
              <w:jc w:val="right"/>
              <w:rPr>
                <w:sz w:val="14"/>
              </w:rPr>
            </w:pPr>
            <w:r>
              <w:rPr>
                <w:spacing w:val="-2"/>
                <w:sz w:val="14"/>
              </w:rPr>
              <w:t>1,850.00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2" w:lineRule="exact" w:before="19"/>
              <w:ind w:left="95" w:right="79"/>
              <w:jc w:val="center"/>
              <w:rPr>
                <w:sz w:val="14"/>
              </w:rPr>
            </w:pPr>
            <w:r>
              <w:rPr>
                <w:spacing w:val="-5"/>
                <w:sz w:val="14"/>
              </w:rPr>
              <w:t>4.9</w:t>
            </w:r>
          </w:p>
        </w:tc>
      </w:tr>
    </w:tbl>
    <w:p>
      <w:pPr>
        <w:spacing w:after="0" w:line="142" w:lineRule="exact"/>
        <w:jc w:val="center"/>
        <w:rPr>
          <w:sz w:val="14"/>
        </w:rPr>
        <w:sectPr>
          <w:type w:val="continuous"/>
          <w:pgSz w:w="11910" w:h="16840"/>
          <w:pgMar w:header="0" w:footer="378" w:top="680" w:bottom="751" w:left="520" w:right="520"/>
        </w:sectPr>
      </w:pPr>
    </w:p>
    <w:tbl>
      <w:tblPr>
        <w:tblW w:w="0" w:type="auto"/>
        <w:jc w:val="left"/>
        <w:tblInd w:w="13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70"/>
        <w:gridCol w:w="1028"/>
        <w:gridCol w:w="769"/>
        <w:gridCol w:w="973"/>
        <w:gridCol w:w="1199"/>
        <w:gridCol w:w="897"/>
      </w:tblGrid>
      <w:tr>
        <w:trPr>
          <w:trHeight w:val="232" w:hRule="atLeast"/>
        </w:trPr>
        <w:tc>
          <w:tcPr>
            <w:tcW w:w="10636" w:type="dxa"/>
            <w:gridSpan w:val="6"/>
            <w:tcBorders>
              <w:left w:val="single" w:sz="12" w:space="0" w:color="000000"/>
              <w:bottom w:val="single" w:sz="4" w:space="0" w:color="000000"/>
              <w:right w:val="single" w:sz="12" w:space="0" w:color="000000"/>
            </w:tcBorders>
            <w:shd w:val="clear" w:color="auto" w:fill="3399FF"/>
          </w:tcPr>
          <w:p>
            <w:pPr>
              <w:pStyle w:val="TableParagraph"/>
              <w:spacing w:before="32"/>
              <w:ind w:left="4308" w:right="4290"/>
              <w:jc w:val="center"/>
              <w:rPr>
                <w:b/>
                <w:sz w:val="14"/>
              </w:rPr>
            </w:pPr>
            <w:r>
              <w:rPr>
                <w:b/>
                <w:color w:val="FFFFFF"/>
                <w:sz w:val="14"/>
              </w:rPr>
              <w:t>FEES</w:t>
            </w:r>
            <w:r>
              <w:rPr>
                <w:b/>
                <w:color w:val="FFFFFF"/>
                <w:spacing w:val="-5"/>
                <w:sz w:val="14"/>
              </w:rPr>
              <w:t> </w:t>
            </w:r>
            <w:r>
              <w:rPr>
                <w:b/>
                <w:color w:val="FFFFFF"/>
                <w:sz w:val="14"/>
              </w:rPr>
              <w:t>AND</w:t>
            </w:r>
            <w:r>
              <w:rPr>
                <w:b/>
                <w:color w:val="FFFFFF"/>
                <w:spacing w:val="-4"/>
                <w:sz w:val="14"/>
              </w:rPr>
              <w:t> </w:t>
            </w:r>
            <w:r>
              <w:rPr>
                <w:b/>
                <w:color w:val="FFFFFF"/>
                <w:sz w:val="14"/>
              </w:rPr>
              <w:t>CHARGES</w:t>
            </w:r>
            <w:r>
              <w:rPr>
                <w:b/>
                <w:color w:val="FFFFFF"/>
                <w:spacing w:val="-1"/>
                <w:sz w:val="14"/>
              </w:rPr>
              <w:t> </w:t>
            </w:r>
            <w:r>
              <w:rPr>
                <w:b/>
                <w:color w:val="FFFFFF"/>
                <w:spacing w:val="-2"/>
                <w:sz w:val="14"/>
              </w:rPr>
              <w:t>2025/26</w:t>
            </w:r>
          </w:p>
        </w:tc>
      </w:tr>
      <w:tr>
        <w:trPr>
          <w:trHeight w:val="858" w:hRule="atLeast"/>
        </w:trPr>
        <w:tc>
          <w:tcPr>
            <w:tcW w:w="5770" w:type="dxa"/>
            <w:tcBorders>
              <w:top w:val="single" w:sz="4" w:space="0" w:color="000000"/>
              <w:left w:val="single" w:sz="12" w:space="0" w:color="000000"/>
              <w:bottom w:val="single" w:sz="4" w:space="0" w:color="000000"/>
              <w:right w:val="single" w:sz="4"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107"/>
              <w:rPr>
                <w:b/>
                <w:sz w:val="14"/>
              </w:rPr>
            </w:pPr>
            <w:r>
              <w:rPr>
                <w:b/>
                <w:color w:val="FFFFFF"/>
                <w:sz w:val="14"/>
              </w:rPr>
              <w:t>Account</w:t>
            </w:r>
            <w:r>
              <w:rPr>
                <w:b/>
                <w:color w:val="FFFFFF"/>
                <w:spacing w:val="-7"/>
                <w:sz w:val="14"/>
              </w:rPr>
              <w:t> </w:t>
            </w:r>
            <w:r>
              <w:rPr>
                <w:b/>
                <w:color w:val="FFFFFF"/>
                <w:spacing w:val="-2"/>
                <w:sz w:val="14"/>
              </w:rPr>
              <w:t>Description</w:t>
            </w:r>
          </w:p>
        </w:tc>
        <w:tc>
          <w:tcPr>
            <w:tcW w:w="1028"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26" w:right="101" w:firstLine="4"/>
              <w:jc w:val="center"/>
              <w:rPr>
                <w:b/>
                <w:sz w:val="14"/>
              </w:rPr>
            </w:pPr>
            <w:r>
              <w:rPr>
                <w:b/>
                <w:color w:val="FFFFFF"/>
                <w:sz w:val="14"/>
              </w:rPr>
              <w:t>Fee</w:t>
            </w:r>
            <w:r>
              <w:rPr>
                <w:b/>
                <w:color w:val="FFFFFF"/>
                <w:spacing w:val="-6"/>
                <w:sz w:val="14"/>
              </w:rPr>
              <w:t> </w:t>
            </w:r>
            <w:r>
              <w:rPr>
                <w:b/>
                <w:color w:val="FFFFFF"/>
                <w:sz w:val="14"/>
              </w:rPr>
              <w:t>Type</w:t>
            </w:r>
            <w:r>
              <w:rPr>
                <w:b/>
                <w:color w:val="FFFFFF"/>
                <w:spacing w:val="40"/>
                <w:sz w:val="14"/>
              </w:rPr>
              <w:t> </w:t>
            </w:r>
            <w:r>
              <w:rPr>
                <w:b/>
                <w:color w:val="FFFFFF"/>
                <w:spacing w:val="-2"/>
                <w:sz w:val="14"/>
              </w:rPr>
              <w:t>N=Non-</w:t>
            </w:r>
            <w:r>
              <w:rPr>
                <w:b/>
                <w:color w:val="FFFFFF"/>
                <w:spacing w:val="40"/>
                <w:sz w:val="14"/>
              </w:rPr>
              <w:t> </w:t>
            </w:r>
            <w:r>
              <w:rPr>
                <w:b/>
                <w:color w:val="FFFFFF"/>
                <w:spacing w:val="-2"/>
                <w:sz w:val="14"/>
              </w:rPr>
              <w:t>Statutory</w:t>
            </w:r>
            <w:r>
              <w:rPr>
                <w:b/>
                <w:color w:val="FFFFFF"/>
                <w:spacing w:val="40"/>
                <w:sz w:val="14"/>
              </w:rPr>
              <w:t> </w:t>
            </w:r>
            <w:r>
              <w:rPr>
                <w:b/>
                <w:color w:val="FFFFFF"/>
                <w:spacing w:val="-2"/>
                <w:sz w:val="14"/>
              </w:rPr>
              <w:t>S=Statutory</w:t>
            </w:r>
          </w:p>
        </w:tc>
        <w:tc>
          <w:tcPr>
            <w:tcW w:w="76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4"/>
              <w:rPr>
                <w:sz w:val="23"/>
              </w:rPr>
            </w:pPr>
          </w:p>
          <w:p>
            <w:pPr>
              <w:pStyle w:val="TableParagraph"/>
              <w:spacing w:before="1"/>
              <w:ind w:left="248"/>
              <w:rPr>
                <w:b/>
                <w:sz w:val="14"/>
              </w:rPr>
            </w:pPr>
            <w:r>
              <w:rPr>
                <w:b/>
                <w:color w:val="FFFFFF"/>
                <w:spacing w:val="-5"/>
                <w:sz w:val="14"/>
              </w:rPr>
              <w:t>GST</w:t>
            </w:r>
          </w:p>
          <w:p>
            <w:pPr>
              <w:pStyle w:val="TableParagraph"/>
              <w:ind w:left="154"/>
              <w:rPr>
                <w:b/>
                <w:sz w:val="14"/>
              </w:rPr>
            </w:pPr>
            <w:r>
              <w:rPr>
                <w:b/>
                <w:color w:val="FFFFFF"/>
                <w:spacing w:val="-2"/>
                <w:sz w:val="14"/>
              </w:rPr>
              <w:t>Yes/No</w:t>
            </w:r>
          </w:p>
        </w:tc>
        <w:tc>
          <w:tcPr>
            <w:tcW w:w="973"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05" w:right="84"/>
              <w:jc w:val="center"/>
              <w:rPr>
                <w:b/>
                <w:sz w:val="14"/>
              </w:rPr>
            </w:pPr>
            <w:r>
              <w:rPr>
                <w:b/>
                <w:color w:val="FFFFFF"/>
                <w:spacing w:val="-2"/>
                <w:sz w:val="14"/>
              </w:rPr>
              <w:t>2024/25</w:t>
            </w:r>
          </w:p>
          <w:p>
            <w:pPr>
              <w:pStyle w:val="TableParagraph"/>
              <w:ind w:left="189" w:right="168" w:firstLine="1"/>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40"/>
                <w:sz w:val="14"/>
              </w:rPr>
              <w:t> </w:t>
            </w:r>
            <w:r>
              <w:rPr>
                <w:b/>
                <w:color w:val="FFFFFF"/>
                <w:sz w:val="14"/>
              </w:rPr>
              <w:t>Incl.</w:t>
            </w:r>
            <w:r>
              <w:rPr>
                <w:b/>
                <w:color w:val="FFFFFF"/>
                <w:spacing w:val="-5"/>
                <w:sz w:val="14"/>
              </w:rPr>
              <w:t> </w:t>
            </w:r>
            <w:r>
              <w:rPr>
                <w:b/>
                <w:color w:val="FFFFFF"/>
                <w:spacing w:val="-5"/>
                <w:sz w:val="14"/>
              </w:rPr>
              <w:t>GST</w:t>
            </w:r>
          </w:p>
        </w:tc>
        <w:tc>
          <w:tcPr>
            <w:tcW w:w="119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56" w:right="137"/>
              <w:jc w:val="center"/>
              <w:rPr>
                <w:b/>
                <w:sz w:val="14"/>
              </w:rPr>
            </w:pPr>
            <w:r>
              <w:rPr>
                <w:b/>
                <w:color w:val="FFFFFF"/>
                <w:spacing w:val="-2"/>
                <w:sz w:val="14"/>
              </w:rPr>
              <w:t>2025/26</w:t>
            </w:r>
          </w:p>
          <w:p>
            <w:pPr>
              <w:pStyle w:val="TableParagraph"/>
              <w:ind w:left="164" w:right="146" w:firstLine="2"/>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8"/>
                <w:sz w:val="14"/>
              </w:rPr>
              <w:t> </w:t>
            </w:r>
            <w:r>
              <w:rPr>
                <w:b/>
                <w:color w:val="FFFFFF"/>
                <w:spacing w:val="-2"/>
                <w:sz w:val="14"/>
              </w:rPr>
              <w:t>Incl.</w:t>
            </w:r>
          </w:p>
          <w:p>
            <w:pPr>
              <w:pStyle w:val="TableParagraph"/>
              <w:spacing w:line="161" w:lineRule="exact"/>
              <w:ind w:left="153" w:right="137"/>
              <w:jc w:val="center"/>
              <w:rPr>
                <w:b/>
                <w:sz w:val="14"/>
              </w:rPr>
            </w:pPr>
            <w:r>
              <w:rPr>
                <w:b/>
                <w:color w:val="FFFFFF"/>
                <w:spacing w:val="-5"/>
                <w:sz w:val="14"/>
              </w:rPr>
              <w:t>GST</w:t>
            </w:r>
          </w:p>
        </w:tc>
        <w:tc>
          <w:tcPr>
            <w:tcW w:w="897" w:type="dxa"/>
            <w:tcBorders>
              <w:top w:val="single" w:sz="4" w:space="0" w:color="000000"/>
              <w:left w:val="single" w:sz="4" w:space="0" w:color="000000"/>
              <w:bottom w:val="single" w:sz="4" w:space="0" w:color="000000"/>
              <w:right w:val="single" w:sz="12"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95" w:right="81"/>
              <w:jc w:val="center"/>
              <w:rPr>
                <w:b/>
                <w:sz w:val="14"/>
              </w:rPr>
            </w:pPr>
            <w:r>
              <w:rPr>
                <w:b/>
                <w:color w:val="FFFFFF"/>
                <w:sz w:val="14"/>
              </w:rPr>
              <w:t>%</w:t>
            </w:r>
            <w:r>
              <w:rPr>
                <w:b/>
                <w:color w:val="FFFFFF"/>
                <w:spacing w:val="-4"/>
                <w:sz w:val="14"/>
              </w:rPr>
              <w:t> </w:t>
            </w:r>
            <w:r>
              <w:rPr>
                <w:b/>
                <w:color w:val="FFFFFF"/>
                <w:spacing w:val="-2"/>
                <w:sz w:val="14"/>
              </w:rPr>
              <w:t>Change</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Commercial</w:t>
            </w:r>
            <w:r>
              <w:rPr>
                <w:spacing w:val="-1"/>
                <w:sz w:val="14"/>
              </w:rPr>
              <w:t> </w:t>
            </w:r>
            <w:r>
              <w:rPr>
                <w:sz w:val="14"/>
              </w:rPr>
              <w:t>Room</w:t>
            </w:r>
            <w:r>
              <w:rPr>
                <w:spacing w:val="-2"/>
                <w:sz w:val="14"/>
              </w:rPr>
              <w:t> </w:t>
            </w:r>
            <w:r>
              <w:rPr>
                <w:sz w:val="14"/>
              </w:rPr>
              <w:t>Hire</w:t>
            </w:r>
            <w:r>
              <w:rPr>
                <w:spacing w:val="-3"/>
                <w:sz w:val="14"/>
              </w:rPr>
              <w:t> </w:t>
            </w:r>
            <w:r>
              <w:rPr>
                <w:sz w:val="14"/>
              </w:rPr>
              <w:t>-</w:t>
            </w:r>
            <w:r>
              <w:rPr>
                <w:spacing w:val="-4"/>
                <w:sz w:val="14"/>
              </w:rPr>
              <w:t> </w:t>
            </w:r>
            <w:r>
              <w:rPr>
                <w:sz w:val="14"/>
              </w:rPr>
              <w:t>Half</w:t>
            </w:r>
            <w:r>
              <w:rPr>
                <w:spacing w:val="-4"/>
                <w:sz w:val="14"/>
              </w:rPr>
              <w:t> </w:t>
            </w:r>
            <w:r>
              <w:rPr>
                <w:sz w:val="14"/>
              </w:rPr>
              <w:t>Day</w:t>
            </w:r>
            <w:r>
              <w:rPr>
                <w:spacing w:val="-4"/>
                <w:sz w:val="14"/>
              </w:rPr>
              <w:t> </w:t>
            </w:r>
            <w:r>
              <w:rPr>
                <w:sz w:val="14"/>
              </w:rPr>
              <w:t>(5</w:t>
            </w:r>
            <w:r>
              <w:rPr>
                <w:spacing w:val="-5"/>
                <w:sz w:val="14"/>
              </w:rPr>
              <w:t> </w:t>
            </w:r>
            <w:r>
              <w:rPr>
                <w:sz w:val="14"/>
              </w:rPr>
              <w:t>hours)</w:t>
            </w:r>
            <w:r>
              <w:rPr>
                <w:spacing w:val="-2"/>
                <w:sz w:val="14"/>
              </w:rPr>
              <w:t> </w:t>
            </w:r>
            <w:r>
              <w:rPr>
                <w:sz w:val="14"/>
              </w:rPr>
              <w:t>-</w:t>
            </w:r>
            <w:r>
              <w:rPr>
                <w:spacing w:val="-4"/>
                <w:sz w:val="14"/>
              </w:rPr>
              <w:t> </w:t>
            </w:r>
            <w:r>
              <w:rPr>
                <w:sz w:val="14"/>
              </w:rPr>
              <w:t>Mt.</w:t>
            </w:r>
            <w:r>
              <w:rPr>
                <w:spacing w:val="-3"/>
                <w:sz w:val="14"/>
              </w:rPr>
              <w:t> </w:t>
            </w:r>
            <w:r>
              <w:rPr>
                <w:sz w:val="14"/>
              </w:rPr>
              <w:t>Dandenong</w:t>
            </w:r>
            <w:r>
              <w:rPr>
                <w:spacing w:val="-4"/>
                <w:sz w:val="14"/>
              </w:rPr>
              <w:t> Room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990.00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1,040.00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Commercial</w:t>
            </w:r>
            <w:r>
              <w:rPr>
                <w:spacing w:val="-1"/>
                <w:sz w:val="14"/>
              </w:rPr>
              <w:t> </w:t>
            </w:r>
            <w:r>
              <w:rPr>
                <w:sz w:val="14"/>
              </w:rPr>
              <w:t>Room</w:t>
            </w:r>
            <w:r>
              <w:rPr>
                <w:spacing w:val="-2"/>
                <w:sz w:val="14"/>
              </w:rPr>
              <w:t> </w:t>
            </w:r>
            <w:r>
              <w:rPr>
                <w:sz w:val="14"/>
              </w:rPr>
              <w:t>Hire</w:t>
            </w:r>
            <w:r>
              <w:rPr>
                <w:spacing w:val="-2"/>
                <w:sz w:val="14"/>
              </w:rPr>
              <w:t> </w:t>
            </w:r>
            <w:r>
              <w:rPr>
                <w:sz w:val="14"/>
              </w:rPr>
              <w:t>-</w:t>
            </w:r>
            <w:r>
              <w:rPr>
                <w:spacing w:val="-5"/>
                <w:sz w:val="14"/>
              </w:rPr>
              <w:t> </w:t>
            </w:r>
            <w:r>
              <w:rPr>
                <w:sz w:val="14"/>
              </w:rPr>
              <w:t>Half</w:t>
            </w:r>
            <w:r>
              <w:rPr>
                <w:spacing w:val="-4"/>
                <w:sz w:val="14"/>
              </w:rPr>
              <w:t> </w:t>
            </w:r>
            <w:r>
              <w:rPr>
                <w:sz w:val="14"/>
              </w:rPr>
              <w:t>Day</w:t>
            </w:r>
            <w:r>
              <w:rPr>
                <w:spacing w:val="-3"/>
                <w:sz w:val="14"/>
              </w:rPr>
              <w:t> </w:t>
            </w:r>
            <w:r>
              <w:rPr>
                <w:sz w:val="14"/>
              </w:rPr>
              <w:t>(5</w:t>
            </w:r>
            <w:r>
              <w:rPr>
                <w:spacing w:val="-5"/>
                <w:sz w:val="14"/>
              </w:rPr>
              <w:t> </w:t>
            </w:r>
            <w:r>
              <w:rPr>
                <w:sz w:val="14"/>
              </w:rPr>
              <w:t>hours)</w:t>
            </w:r>
            <w:r>
              <w:rPr>
                <w:spacing w:val="-1"/>
                <w:sz w:val="14"/>
              </w:rPr>
              <w:t> </w:t>
            </w:r>
            <w:r>
              <w:rPr>
                <w:sz w:val="14"/>
              </w:rPr>
              <w:t>-</w:t>
            </w:r>
            <w:r>
              <w:rPr>
                <w:spacing w:val="-5"/>
                <w:sz w:val="14"/>
              </w:rPr>
              <w:t> </w:t>
            </w:r>
            <w:r>
              <w:rPr>
                <w:sz w:val="14"/>
              </w:rPr>
              <w:t>Mullum</w:t>
            </w:r>
            <w:r>
              <w:rPr>
                <w:spacing w:val="-2"/>
                <w:sz w:val="14"/>
              </w:rPr>
              <w:t> </w:t>
            </w:r>
            <w:r>
              <w:rPr>
                <w:spacing w:val="-4"/>
                <w:sz w:val="14"/>
              </w:rPr>
              <w:t>Room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990.00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1,040.00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Room</w:t>
            </w:r>
            <w:r>
              <w:rPr>
                <w:spacing w:val="-3"/>
                <w:sz w:val="14"/>
              </w:rPr>
              <w:t> </w:t>
            </w:r>
            <w:r>
              <w:rPr>
                <w:sz w:val="14"/>
              </w:rPr>
              <w:t>Hire</w:t>
            </w:r>
            <w:r>
              <w:rPr>
                <w:spacing w:val="-4"/>
                <w:sz w:val="14"/>
              </w:rPr>
              <w:t> </w:t>
            </w:r>
            <w:r>
              <w:rPr>
                <w:sz w:val="14"/>
              </w:rPr>
              <w:t>-</w:t>
            </w:r>
            <w:r>
              <w:rPr>
                <w:spacing w:val="-2"/>
                <w:sz w:val="14"/>
              </w:rPr>
              <w:t> </w:t>
            </w:r>
            <w:r>
              <w:rPr>
                <w:sz w:val="14"/>
              </w:rPr>
              <w:t>Half</w:t>
            </w:r>
            <w:r>
              <w:rPr>
                <w:spacing w:val="-2"/>
                <w:sz w:val="14"/>
              </w:rPr>
              <w:t> </w:t>
            </w:r>
            <w:r>
              <w:rPr>
                <w:sz w:val="14"/>
              </w:rPr>
              <w:t>Day</w:t>
            </w:r>
            <w:r>
              <w:rPr>
                <w:spacing w:val="-1"/>
                <w:sz w:val="14"/>
              </w:rPr>
              <w:t> </w:t>
            </w:r>
            <w:r>
              <w:rPr>
                <w:sz w:val="14"/>
              </w:rPr>
              <w:t>(5</w:t>
            </w:r>
            <w:r>
              <w:rPr>
                <w:spacing w:val="-3"/>
                <w:sz w:val="14"/>
              </w:rPr>
              <w:t> </w:t>
            </w:r>
            <w:r>
              <w:rPr>
                <w:sz w:val="14"/>
              </w:rPr>
              <w:t>hours)</w:t>
            </w:r>
            <w:r>
              <w:rPr>
                <w:spacing w:val="-2"/>
                <w:sz w:val="14"/>
              </w:rPr>
              <w:t> </w:t>
            </w:r>
            <w:r>
              <w:rPr>
                <w:sz w:val="14"/>
              </w:rPr>
              <w:t>-</w:t>
            </w:r>
            <w:r>
              <w:rPr>
                <w:spacing w:val="-5"/>
                <w:sz w:val="14"/>
              </w:rPr>
              <w:t> </w:t>
            </w:r>
            <w:r>
              <w:rPr>
                <w:sz w:val="14"/>
              </w:rPr>
              <w:t>Mt</w:t>
            </w:r>
            <w:r>
              <w:rPr>
                <w:spacing w:val="-4"/>
                <w:sz w:val="14"/>
              </w:rPr>
              <w:t> </w:t>
            </w:r>
            <w:r>
              <w:rPr>
                <w:sz w:val="14"/>
              </w:rPr>
              <w:t>Dandenong</w:t>
            </w:r>
            <w:r>
              <w:rPr>
                <w:spacing w:val="-4"/>
                <w:sz w:val="14"/>
              </w:rPr>
              <w:t> </w:t>
            </w:r>
            <w:r>
              <w:rPr>
                <w:sz w:val="14"/>
              </w:rPr>
              <w:t>&amp;</w:t>
            </w:r>
            <w:r>
              <w:rPr>
                <w:spacing w:val="-1"/>
                <w:sz w:val="14"/>
              </w:rPr>
              <w:t> </w:t>
            </w:r>
            <w:r>
              <w:rPr>
                <w:sz w:val="14"/>
              </w:rPr>
              <w:t>Mullum</w:t>
            </w:r>
            <w:r>
              <w:rPr>
                <w:spacing w:val="-2"/>
                <w:sz w:val="14"/>
              </w:rPr>
              <w:t> </w:t>
            </w:r>
            <w:r>
              <w:rPr>
                <w:spacing w:val="-4"/>
                <w:sz w:val="14"/>
              </w:rPr>
              <w:t>Rooms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1,430.00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1,500.00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373"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before="27"/>
              <w:ind w:left="107"/>
              <w:rPr>
                <w:sz w:val="14"/>
              </w:rPr>
            </w:pPr>
            <w:r>
              <w:rPr>
                <w:sz w:val="14"/>
              </w:rPr>
              <w:t>Funerals</w:t>
            </w:r>
            <w:r>
              <w:rPr>
                <w:spacing w:val="-4"/>
                <w:sz w:val="14"/>
              </w:rPr>
              <w:t> </w:t>
            </w:r>
            <w:r>
              <w:rPr>
                <w:sz w:val="14"/>
              </w:rPr>
              <w:t>(4</w:t>
            </w:r>
            <w:r>
              <w:rPr>
                <w:spacing w:val="-3"/>
                <w:sz w:val="14"/>
              </w:rPr>
              <w:t> </w:t>
            </w:r>
            <w:r>
              <w:rPr>
                <w:spacing w:val="-2"/>
                <w:sz w:val="14"/>
              </w:rPr>
              <w:t>hours)</w:t>
            </w:r>
          </w:p>
          <w:p>
            <w:pPr>
              <w:pStyle w:val="TableParagraph"/>
              <w:ind w:left="107"/>
              <w:rPr>
                <w:sz w:val="14"/>
              </w:rPr>
            </w:pPr>
            <w:r>
              <w:rPr>
                <w:sz w:val="14"/>
              </w:rPr>
              <w:t>Includes</w:t>
            </w:r>
            <w:r>
              <w:rPr>
                <w:spacing w:val="-2"/>
                <w:sz w:val="14"/>
              </w:rPr>
              <w:t> </w:t>
            </w:r>
            <w:r>
              <w:rPr>
                <w:sz w:val="14"/>
              </w:rPr>
              <w:t>room</w:t>
            </w:r>
            <w:r>
              <w:rPr>
                <w:spacing w:val="-2"/>
                <w:sz w:val="14"/>
              </w:rPr>
              <w:t> </w:t>
            </w:r>
            <w:r>
              <w:rPr>
                <w:sz w:val="14"/>
              </w:rPr>
              <w:t>hire,</w:t>
            </w:r>
            <w:r>
              <w:rPr>
                <w:spacing w:val="-4"/>
                <w:sz w:val="14"/>
              </w:rPr>
              <w:t> </w:t>
            </w:r>
            <w:r>
              <w:rPr>
                <w:sz w:val="14"/>
              </w:rPr>
              <w:t>water</w:t>
            </w:r>
            <w:r>
              <w:rPr>
                <w:spacing w:val="-5"/>
                <w:sz w:val="14"/>
              </w:rPr>
              <w:t> </w:t>
            </w:r>
            <w:r>
              <w:rPr>
                <w:sz w:val="14"/>
              </w:rPr>
              <w:t>station,</w:t>
            </w:r>
            <w:r>
              <w:rPr>
                <w:spacing w:val="-2"/>
                <w:sz w:val="14"/>
              </w:rPr>
              <w:t> </w:t>
            </w:r>
            <w:r>
              <w:rPr>
                <w:sz w:val="14"/>
              </w:rPr>
              <w:t>1</w:t>
            </w:r>
            <w:r>
              <w:rPr>
                <w:spacing w:val="-5"/>
                <w:sz w:val="14"/>
              </w:rPr>
              <w:t> </w:t>
            </w:r>
            <w:r>
              <w:rPr>
                <w:sz w:val="14"/>
              </w:rPr>
              <w:t>x</w:t>
            </w:r>
            <w:r>
              <w:rPr>
                <w:spacing w:val="-2"/>
                <w:sz w:val="14"/>
              </w:rPr>
              <w:t> </w:t>
            </w:r>
            <w:r>
              <w:rPr>
                <w:sz w:val="14"/>
              </w:rPr>
              <w:t>technician</w:t>
            </w:r>
            <w:r>
              <w:rPr>
                <w:spacing w:val="-4"/>
                <w:sz w:val="14"/>
              </w:rPr>
              <w:t> </w:t>
            </w:r>
            <w:r>
              <w:rPr>
                <w:sz w:val="14"/>
              </w:rPr>
              <w:t>&amp;</w:t>
            </w:r>
            <w:r>
              <w:rPr>
                <w:spacing w:val="-4"/>
                <w:sz w:val="14"/>
              </w:rPr>
              <w:t> </w:t>
            </w:r>
            <w:r>
              <w:rPr>
                <w:sz w:val="14"/>
              </w:rPr>
              <w:t>AV</w:t>
            </w:r>
            <w:r>
              <w:rPr>
                <w:spacing w:val="-1"/>
                <w:sz w:val="14"/>
              </w:rPr>
              <w:t> </w:t>
            </w:r>
            <w:r>
              <w:rPr>
                <w:spacing w:val="-2"/>
                <w:sz w:val="14"/>
              </w:rPr>
              <w:t>equipment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7"/>
              <w:rPr>
                <w:sz w:val="18"/>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7"/>
              <w:rPr>
                <w:sz w:val="18"/>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7"/>
              <w:rPr>
                <w:sz w:val="18"/>
              </w:rPr>
            </w:pPr>
          </w:p>
          <w:p>
            <w:pPr>
              <w:pStyle w:val="TableParagraph"/>
              <w:spacing w:line="140" w:lineRule="exact"/>
              <w:ind w:right="91"/>
              <w:jc w:val="right"/>
              <w:rPr>
                <w:sz w:val="14"/>
              </w:rPr>
            </w:pPr>
            <w:r>
              <w:rPr>
                <w:spacing w:val="-2"/>
                <w:sz w:val="14"/>
              </w:rPr>
              <w:t>2,687.50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7"/>
              <w:rPr>
                <w:sz w:val="18"/>
              </w:rPr>
            </w:pPr>
          </w:p>
          <w:p>
            <w:pPr>
              <w:pStyle w:val="TableParagraph"/>
              <w:spacing w:line="140" w:lineRule="exact"/>
              <w:ind w:right="92"/>
              <w:jc w:val="right"/>
              <w:rPr>
                <w:sz w:val="14"/>
              </w:rPr>
            </w:pPr>
            <w:r>
              <w:rPr>
                <w:spacing w:val="-2"/>
                <w:sz w:val="14"/>
              </w:rPr>
              <w:t>2,820.00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7"/>
              <w:rPr>
                <w:sz w:val="18"/>
              </w:rPr>
            </w:pPr>
          </w:p>
          <w:p>
            <w:pPr>
              <w:pStyle w:val="TableParagraph"/>
              <w:spacing w:line="140" w:lineRule="exact"/>
              <w:ind w:left="95" w:right="79"/>
              <w:jc w:val="center"/>
              <w:rPr>
                <w:sz w:val="14"/>
              </w:rPr>
            </w:pPr>
            <w:r>
              <w:rPr>
                <w:spacing w:val="-5"/>
                <w:sz w:val="14"/>
              </w:rPr>
              <w:t>4.7</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9"/>
              <w:ind w:left="107"/>
              <w:rPr>
                <w:sz w:val="14"/>
              </w:rPr>
            </w:pPr>
            <w:r>
              <w:rPr>
                <w:sz w:val="14"/>
              </w:rPr>
              <w:t>Community/NFP</w:t>
            </w:r>
            <w:r>
              <w:rPr>
                <w:spacing w:val="-3"/>
                <w:sz w:val="14"/>
              </w:rPr>
              <w:t> </w:t>
            </w:r>
            <w:r>
              <w:rPr>
                <w:sz w:val="14"/>
              </w:rPr>
              <w:t>Room</w:t>
            </w:r>
            <w:r>
              <w:rPr>
                <w:spacing w:val="-2"/>
                <w:sz w:val="14"/>
              </w:rPr>
              <w:t> </w:t>
            </w:r>
            <w:r>
              <w:rPr>
                <w:sz w:val="14"/>
              </w:rPr>
              <w:t>Hire -</w:t>
            </w:r>
            <w:r>
              <w:rPr>
                <w:spacing w:val="-5"/>
                <w:sz w:val="14"/>
              </w:rPr>
              <w:t> </w:t>
            </w:r>
            <w:r>
              <w:rPr>
                <w:sz w:val="14"/>
              </w:rPr>
              <w:t>Full</w:t>
            </w:r>
            <w:r>
              <w:rPr>
                <w:spacing w:val="-4"/>
                <w:sz w:val="14"/>
              </w:rPr>
              <w:t> </w:t>
            </w:r>
            <w:r>
              <w:rPr>
                <w:sz w:val="14"/>
              </w:rPr>
              <w:t>Day</w:t>
            </w:r>
            <w:r>
              <w:rPr>
                <w:spacing w:val="-1"/>
                <w:sz w:val="14"/>
              </w:rPr>
              <w:t> </w:t>
            </w:r>
            <w:r>
              <w:rPr>
                <w:sz w:val="14"/>
              </w:rPr>
              <w:t>(8</w:t>
            </w:r>
            <w:r>
              <w:rPr>
                <w:spacing w:val="-3"/>
                <w:sz w:val="14"/>
              </w:rPr>
              <w:t> </w:t>
            </w:r>
            <w:r>
              <w:rPr>
                <w:sz w:val="14"/>
              </w:rPr>
              <w:t>hours)</w:t>
            </w:r>
            <w:r>
              <w:rPr>
                <w:spacing w:val="-1"/>
                <w:sz w:val="14"/>
              </w:rPr>
              <w:t> </w:t>
            </w:r>
            <w:r>
              <w:rPr>
                <w:sz w:val="14"/>
              </w:rPr>
              <w:t>-</w:t>
            </w:r>
            <w:r>
              <w:rPr>
                <w:spacing w:val="-5"/>
                <w:sz w:val="14"/>
              </w:rPr>
              <w:t> </w:t>
            </w:r>
            <w:r>
              <w:rPr>
                <w:sz w:val="14"/>
              </w:rPr>
              <w:t>Banquet</w:t>
            </w:r>
            <w:r>
              <w:rPr>
                <w:spacing w:val="-4"/>
                <w:sz w:val="14"/>
              </w:rPr>
              <w:t> </w:t>
            </w:r>
            <w:r>
              <w:rPr>
                <w:sz w:val="14"/>
              </w:rPr>
              <w:t>Room</w:t>
            </w:r>
            <w:r>
              <w:rPr>
                <w:spacing w:val="-3"/>
                <w:sz w:val="14"/>
              </w:rPr>
              <w:t> </w:t>
            </w:r>
            <w:r>
              <w:rPr>
                <w:sz w:val="14"/>
              </w:rPr>
              <w:t>(all</w:t>
            </w:r>
            <w:r>
              <w:rPr>
                <w:spacing w:val="-3"/>
                <w:sz w:val="14"/>
              </w:rPr>
              <w:t> </w:t>
            </w:r>
            <w:r>
              <w:rPr>
                <w:sz w:val="14"/>
              </w:rPr>
              <w:t>3</w:t>
            </w:r>
            <w:r>
              <w:rPr>
                <w:spacing w:val="-1"/>
                <w:sz w:val="14"/>
              </w:rPr>
              <w:t> </w:t>
            </w:r>
            <w:r>
              <w:rPr>
                <w:spacing w:val="-2"/>
                <w:sz w:val="14"/>
              </w:rPr>
              <w:t>rooms)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8"/>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1"/>
              <w:jc w:val="right"/>
              <w:rPr>
                <w:sz w:val="14"/>
              </w:rPr>
            </w:pPr>
            <w:r>
              <w:rPr>
                <w:spacing w:val="-2"/>
                <w:sz w:val="14"/>
              </w:rPr>
              <w:t>3,010.00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3"/>
              <w:jc w:val="right"/>
              <w:rPr>
                <w:sz w:val="14"/>
              </w:rPr>
            </w:pPr>
            <w:r>
              <w:rPr>
                <w:spacing w:val="-2"/>
                <w:sz w:val="14"/>
              </w:rPr>
              <w:t>3,160.00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2"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Community/NFP</w:t>
            </w:r>
            <w:r>
              <w:rPr>
                <w:spacing w:val="-4"/>
                <w:sz w:val="14"/>
              </w:rPr>
              <w:t> </w:t>
            </w:r>
            <w:r>
              <w:rPr>
                <w:sz w:val="14"/>
              </w:rPr>
              <w:t>Room</w:t>
            </w:r>
            <w:r>
              <w:rPr>
                <w:spacing w:val="-2"/>
                <w:sz w:val="14"/>
              </w:rPr>
              <w:t> </w:t>
            </w:r>
            <w:r>
              <w:rPr>
                <w:sz w:val="14"/>
              </w:rPr>
              <w:t>Hire</w:t>
            </w:r>
            <w:r>
              <w:rPr>
                <w:spacing w:val="-2"/>
                <w:sz w:val="14"/>
              </w:rPr>
              <w:t> </w:t>
            </w:r>
            <w:r>
              <w:rPr>
                <w:sz w:val="14"/>
              </w:rPr>
              <w:t>-</w:t>
            </w:r>
            <w:r>
              <w:rPr>
                <w:spacing w:val="-5"/>
                <w:sz w:val="14"/>
              </w:rPr>
              <w:t> </w:t>
            </w:r>
            <w:r>
              <w:rPr>
                <w:sz w:val="14"/>
              </w:rPr>
              <w:t>Full</w:t>
            </w:r>
            <w:r>
              <w:rPr>
                <w:spacing w:val="-5"/>
                <w:sz w:val="14"/>
              </w:rPr>
              <w:t> </w:t>
            </w:r>
            <w:r>
              <w:rPr>
                <w:sz w:val="14"/>
              </w:rPr>
              <w:t>Day</w:t>
            </w:r>
            <w:r>
              <w:rPr>
                <w:spacing w:val="-2"/>
                <w:sz w:val="14"/>
              </w:rPr>
              <w:t> </w:t>
            </w:r>
            <w:r>
              <w:rPr>
                <w:sz w:val="14"/>
              </w:rPr>
              <w:t>(8</w:t>
            </w:r>
            <w:r>
              <w:rPr>
                <w:spacing w:val="-3"/>
                <w:sz w:val="14"/>
              </w:rPr>
              <w:t> </w:t>
            </w:r>
            <w:r>
              <w:rPr>
                <w:sz w:val="14"/>
              </w:rPr>
              <w:t>hours)</w:t>
            </w:r>
            <w:r>
              <w:rPr>
                <w:spacing w:val="-4"/>
                <w:sz w:val="14"/>
              </w:rPr>
              <w:t> </w:t>
            </w:r>
            <w:r>
              <w:rPr>
                <w:sz w:val="14"/>
              </w:rPr>
              <w:t>-</w:t>
            </w:r>
            <w:r>
              <w:rPr>
                <w:spacing w:val="-2"/>
                <w:sz w:val="14"/>
              </w:rPr>
              <w:t> </w:t>
            </w:r>
            <w:r>
              <w:rPr>
                <w:sz w:val="14"/>
              </w:rPr>
              <w:t>Maroondah</w:t>
            </w:r>
            <w:r>
              <w:rPr>
                <w:spacing w:val="-2"/>
                <w:sz w:val="14"/>
              </w:rPr>
              <w:t> </w:t>
            </w:r>
            <w:r>
              <w:rPr>
                <w:spacing w:val="-4"/>
                <w:sz w:val="14"/>
              </w:rPr>
              <w:t>Room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1,505.00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1,580.00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Community/NFP</w:t>
            </w:r>
            <w:r>
              <w:rPr>
                <w:spacing w:val="-3"/>
                <w:sz w:val="14"/>
              </w:rPr>
              <w:t> </w:t>
            </w:r>
            <w:r>
              <w:rPr>
                <w:sz w:val="14"/>
              </w:rPr>
              <w:t>Room</w:t>
            </w:r>
            <w:r>
              <w:rPr>
                <w:spacing w:val="-3"/>
                <w:sz w:val="14"/>
              </w:rPr>
              <w:t> </w:t>
            </w:r>
            <w:r>
              <w:rPr>
                <w:sz w:val="14"/>
              </w:rPr>
              <w:t>Hire</w:t>
            </w:r>
            <w:r>
              <w:rPr>
                <w:spacing w:val="-2"/>
                <w:sz w:val="14"/>
              </w:rPr>
              <w:t> </w:t>
            </w:r>
            <w:r>
              <w:rPr>
                <w:sz w:val="14"/>
              </w:rPr>
              <w:t>-</w:t>
            </w:r>
            <w:r>
              <w:rPr>
                <w:spacing w:val="-4"/>
                <w:sz w:val="14"/>
              </w:rPr>
              <w:t> </w:t>
            </w:r>
            <w:r>
              <w:rPr>
                <w:sz w:val="14"/>
              </w:rPr>
              <w:t>Full</w:t>
            </w:r>
            <w:r>
              <w:rPr>
                <w:spacing w:val="-5"/>
                <w:sz w:val="14"/>
              </w:rPr>
              <w:t> </w:t>
            </w:r>
            <w:r>
              <w:rPr>
                <w:sz w:val="14"/>
              </w:rPr>
              <w:t>Day</w:t>
            </w:r>
            <w:r>
              <w:rPr>
                <w:spacing w:val="-2"/>
                <w:sz w:val="14"/>
              </w:rPr>
              <w:t> </w:t>
            </w:r>
            <w:r>
              <w:rPr>
                <w:sz w:val="14"/>
              </w:rPr>
              <w:t>(8</w:t>
            </w:r>
            <w:r>
              <w:rPr>
                <w:spacing w:val="-3"/>
                <w:sz w:val="14"/>
              </w:rPr>
              <w:t> </w:t>
            </w:r>
            <w:r>
              <w:rPr>
                <w:sz w:val="14"/>
              </w:rPr>
              <w:t>hours)</w:t>
            </w:r>
            <w:r>
              <w:rPr>
                <w:spacing w:val="-3"/>
                <w:sz w:val="14"/>
              </w:rPr>
              <w:t> </w:t>
            </w:r>
            <w:r>
              <w:rPr>
                <w:sz w:val="14"/>
              </w:rPr>
              <w:t>-</w:t>
            </w:r>
            <w:r>
              <w:rPr>
                <w:spacing w:val="-2"/>
                <w:sz w:val="14"/>
              </w:rPr>
              <w:t> </w:t>
            </w:r>
            <w:r>
              <w:rPr>
                <w:sz w:val="14"/>
              </w:rPr>
              <w:t>Maroondah</w:t>
            </w:r>
            <w:r>
              <w:rPr>
                <w:spacing w:val="-3"/>
                <w:sz w:val="14"/>
              </w:rPr>
              <w:t> </w:t>
            </w:r>
            <w:r>
              <w:rPr>
                <w:sz w:val="14"/>
              </w:rPr>
              <w:t>&amp;</w:t>
            </w:r>
            <w:r>
              <w:rPr>
                <w:spacing w:val="-3"/>
                <w:sz w:val="14"/>
              </w:rPr>
              <w:t> </w:t>
            </w:r>
            <w:r>
              <w:rPr>
                <w:sz w:val="14"/>
              </w:rPr>
              <w:t>Mullum</w:t>
            </w:r>
            <w:r>
              <w:rPr>
                <w:spacing w:val="-3"/>
                <w:sz w:val="14"/>
              </w:rPr>
              <w:t> </w:t>
            </w:r>
            <w:r>
              <w:rPr>
                <w:spacing w:val="-2"/>
                <w:sz w:val="14"/>
              </w:rPr>
              <w:t>Rooms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2,150.00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2,255.00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Community/NFP</w:t>
            </w:r>
            <w:r>
              <w:rPr>
                <w:spacing w:val="-4"/>
                <w:sz w:val="14"/>
              </w:rPr>
              <w:t> </w:t>
            </w:r>
            <w:r>
              <w:rPr>
                <w:sz w:val="14"/>
              </w:rPr>
              <w:t>Room</w:t>
            </w:r>
            <w:r>
              <w:rPr>
                <w:spacing w:val="-2"/>
                <w:sz w:val="14"/>
              </w:rPr>
              <w:t> </w:t>
            </w:r>
            <w:r>
              <w:rPr>
                <w:sz w:val="14"/>
              </w:rPr>
              <w:t>Hire</w:t>
            </w:r>
            <w:r>
              <w:rPr>
                <w:spacing w:val="-2"/>
                <w:sz w:val="14"/>
              </w:rPr>
              <w:t> </w:t>
            </w:r>
            <w:r>
              <w:rPr>
                <w:sz w:val="14"/>
              </w:rPr>
              <w:t>-</w:t>
            </w:r>
            <w:r>
              <w:rPr>
                <w:spacing w:val="-5"/>
                <w:sz w:val="14"/>
              </w:rPr>
              <w:t> </w:t>
            </w:r>
            <w:r>
              <w:rPr>
                <w:sz w:val="14"/>
              </w:rPr>
              <w:t>Full</w:t>
            </w:r>
            <w:r>
              <w:rPr>
                <w:spacing w:val="-5"/>
                <w:sz w:val="14"/>
              </w:rPr>
              <w:t> </w:t>
            </w:r>
            <w:r>
              <w:rPr>
                <w:sz w:val="14"/>
              </w:rPr>
              <w:t>Day</w:t>
            </w:r>
            <w:r>
              <w:rPr>
                <w:spacing w:val="-2"/>
                <w:sz w:val="14"/>
              </w:rPr>
              <w:t> </w:t>
            </w:r>
            <w:r>
              <w:rPr>
                <w:sz w:val="14"/>
              </w:rPr>
              <w:t>(8</w:t>
            </w:r>
            <w:r>
              <w:rPr>
                <w:spacing w:val="-3"/>
                <w:sz w:val="14"/>
              </w:rPr>
              <w:t> </w:t>
            </w:r>
            <w:r>
              <w:rPr>
                <w:sz w:val="14"/>
              </w:rPr>
              <w:t>hours)</w:t>
            </w:r>
            <w:r>
              <w:rPr>
                <w:spacing w:val="-4"/>
                <w:sz w:val="14"/>
              </w:rPr>
              <w:t> </w:t>
            </w:r>
            <w:r>
              <w:rPr>
                <w:sz w:val="14"/>
              </w:rPr>
              <w:t>-</w:t>
            </w:r>
            <w:r>
              <w:rPr>
                <w:spacing w:val="-2"/>
                <w:sz w:val="14"/>
              </w:rPr>
              <w:t> </w:t>
            </w:r>
            <w:r>
              <w:rPr>
                <w:sz w:val="14"/>
              </w:rPr>
              <w:t>Mt.</w:t>
            </w:r>
            <w:r>
              <w:rPr>
                <w:spacing w:val="-2"/>
                <w:sz w:val="14"/>
              </w:rPr>
              <w:t> </w:t>
            </w:r>
            <w:r>
              <w:rPr>
                <w:sz w:val="14"/>
              </w:rPr>
              <w:t>Dandenong</w:t>
            </w:r>
            <w:r>
              <w:rPr>
                <w:spacing w:val="-3"/>
                <w:sz w:val="14"/>
              </w:rPr>
              <w:t> </w:t>
            </w:r>
            <w:r>
              <w:rPr>
                <w:spacing w:val="-4"/>
                <w:sz w:val="14"/>
              </w:rPr>
              <w:t>Room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1,075.00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1,130.00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Community/NFP</w:t>
            </w:r>
            <w:r>
              <w:rPr>
                <w:spacing w:val="-3"/>
                <w:sz w:val="14"/>
              </w:rPr>
              <w:t> </w:t>
            </w:r>
            <w:r>
              <w:rPr>
                <w:sz w:val="14"/>
              </w:rPr>
              <w:t>Room</w:t>
            </w:r>
            <w:r>
              <w:rPr>
                <w:spacing w:val="-2"/>
                <w:sz w:val="14"/>
              </w:rPr>
              <w:t> </w:t>
            </w:r>
            <w:r>
              <w:rPr>
                <w:sz w:val="14"/>
              </w:rPr>
              <w:t>Hire</w:t>
            </w:r>
            <w:r>
              <w:rPr>
                <w:spacing w:val="-2"/>
                <w:sz w:val="14"/>
              </w:rPr>
              <w:t> </w:t>
            </w:r>
            <w:r>
              <w:rPr>
                <w:sz w:val="14"/>
              </w:rPr>
              <w:t>-</w:t>
            </w:r>
            <w:r>
              <w:rPr>
                <w:spacing w:val="-5"/>
                <w:sz w:val="14"/>
              </w:rPr>
              <w:t> </w:t>
            </w:r>
            <w:r>
              <w:rPr>
                <w:sz w:val="14"/>
              </w:rPr>
              <w:t>Full</w:t>
            </w:r>
            <w:r>
              <w:rPr>
                <w:spacing w:val="-4"/>
                <w:sz w:val="14"/>
              </w:rPr>
              <w:t> </w:t>
            </w:r>
            <w:r>
              <w:rPr>
                <w:sz w:val="14"/>
              </w:rPr>
              <w:t>Day</w:t>
            </w:r>
            <w:r>
              <w:rPr>
                <w:spacing w:val="-2"/>
                <w:sz w:val="14"/>
              </w:rPr>
              <w:t> </w:t>
            </w:r>
            <w:r>
              <w:rPr>
                <w:sz w:val="14"/>
              </w:rPr>
              <w:t>(8</w:t>
            </w:r>
            <w:r>
              <w:rPr>
                <w:spacing w:val="-3"/>
                <w:sz w:val="14"/>
              </w:rPr>
              <w:t> </w:t>
            </w:r>
            <w:r>
              <w:rPr>
                <w:sz w:val="14"/>
              </w:rPr>
              <w:t>hours)</w:t>
            </w:r>
            <w:r>
              <w:rPr>
                <w:spacing w:val="-3"/>
                <w:sz w:val="14"/>
              </w:rPr>
              <w:t> </w:t>
            </w:r>
            <w:r>
              <w:rPr>
                <w:sz w:val="14"/>
              </w:rPr>
              <w:t>-</w:t>
            </w:r>
            <w:r>
              <w:rPr>
                <w:spacing w:val="-2"/>
                <w:sz w:val="14"/>
              </w:rPr>
              <w:t> </w:t>
            </w:r>
            <w:r>
              <w:rPr>
                <w:sz w:val="14"/>
              </w:rPr>
              <w:t>Mullum</w:t>
            </w:r>
            <w:r>
              <w:rPr>
                <w:spacing w:val="-1"/>
                <w:sz w:val="14"/>
              </w:rPr>
              <w:t> </w:t>
            </w:r>
            <w:r>
              <w:rPr>
                <w:spacing w:val="-4"/>
                <w:sz w:val="14"/>
              </w:rPr>
              <w:t>Room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1,075.00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1,130.00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Community/NFP</w:t>
            </w:r>
            <w:r>
              <w:rPr>
                <w:spacing w:val="-3"/>
                <w:sz w:val="14"/>
              </w:rPr>
              <w:t> </w:t>
            </w:r>
            <w:r>
              <w:rPr>
                <w:sz w:val="14"/>
              </w:rPr>
              <w:t>Room</w:t>
            </w:r>
            <w:r>
              <w:rPr>
                <w:spacing w:val="-2"/>
                <w:sz w:val="14"/>
              </w:rPr>
              <w:t> </w:t>
            </w:r>
            <w:r>
              <w:rPr>
                <w:sz w:val="14"/>
              </w:rPr>
              <w:t>Hire</w:t>
            </w:r>
            <w:r>
              <w:rPr>
                <w:spacing w:val="-2"/>
                <w:sz w:val="14"/>
              </w:rPr>
              <w:t> </w:t>
            </w:r>
            <w:r>
              <w:rPr>
                <w:sz w:val="14"/>
              </w:rPr>
              <w:t>-</w:t>
            </w:r>
            <w:r>
              <w:rPr>
                <w:spacing w:val="-5"/>
                <w:sz w:val="14"/>
              </w:rPr>
              <w:t> </w:t>
            </w:r>
            <w:r>
              <w:rPr>
                <w:sz w:val="14"/>
              </w:rPr>
              <w:t>Full</w:t>
            </w:r>
            <w:r>
              <w:rPr>
                <w:spacing w:val="-4"/>
                <w:sz w:val="14"/>
              </w:rPr>
              <w:t> </w:t>
            </w:r>
            <w:r>
              <w:rPr>
                <w:sz w:val="14"/>
              </w:rPr>
              <w:t>Day</w:t>
            </w:r>
            <w:r>
              <w:rPr>
                <w:spacing w:val="-2"/>
                <w:sz w:val="14"/>
              </w:rPr>
              <w:t> </w:t>
            </w:r>
            <w:r>
              <w:rPr>
                <w:sz w:val="14"/>
              </w:rPr>
              <w:t>(8</w:t>
            </w:r>
            <w:r>
              <w:rPr>
                <w:spacing w:val="-3"/>
                <w:sz w:val="14"/>
              </w:rPr>
              <w:t> </w:t>
            </w:r>
            <w:r>
              <w:rPr>
                <w:sz w:val="14"/>
              </w:rPr>
              <w:t>hours)</w:t>
            </w:r>
            <w:r>
              <w:rPr>
                <w:spacing w:val="-3"/>
                <w:sz w:val="14"/>
              </w:rPr>
              <w:t> </w:t>
            </w:r>
            <w:r>
              <w:rPr>
                <w:sz w:val="14"/>
              </w:rPr>
              <w:t>-</w:t>
            </w:r>
            <w:r>
              <w:rPr>
                <w:spacing w:val="-2"/>
                <w:sz w:val="14"/>
              </w:rPr>
              <w:t> </w:t>
            </w:r>
            <w:r>
              <w:rPr>
                <w:sz w:val="14"/>
              </w:rPr>
              <w:t>Mt</w:t>
            </w:r>
            <w:r>
              <w:rPr>
                <w:spacing w:val="-5"/>
                <w:sz w:val="14"/>
              </w:rPr>
              <w:t> </w:t>
            </w:r>
            <w:r>
              <w:rPr>
                <w:sz w:val="14"/>
              </w:rPr>
              <w:t>Dandenong</w:t>
            </w:r>
            <w:r>
              <w:rPr>
                <w:spacing w:val="-4"/>
                <w:sz w:val="14"/>
              </w:rPr>
              <w:t> </w:t>
            </w:r>
            <w:r>
              <w:rPr>
                <w:sz w:val="14"/>
              </w:rPr>
              <w:t>&amp; Mullum</w:t>
            </w:r>
            <w:r>
              <w:rPr>
                <w:spacing w:val="-2"/>
                <w:sz w:val="14"/>
              </w:rPr>
              <w:t> </w:t>
            </w:r>
            <w:r>
              <w:rPr>
                <w:spacing w:val="-4"/>
                <w:sz w:val="14"/>
              </w:rPr>
              <w:t>Rooms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1,505.00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1,580.00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9"/>
              <w:ind w:left="107"/>
              <w:rPr>
                <w:sz w:val="14"/>
              </w:rPr>
            </w:pPr>
            <w:r>
              <w:rPr>
                <w:sz w:val="14"/>
              </w:rPr>
              <w:t>Community/NFP</w:t>
            </w:r>
            <w:r>
              <w:rPr>
                <w:spacing w:val="-3"/>
                <w:sz w:val="14"/>
              </w:rPr>
              <w:t> </w:t>
            </w:r>
            <w:r>
              <w:rPr>
                <w:sz w:val="14"/>
              </w:rPr>
              <w:t>Room</w:t>
            </w:r>
            <w:r>
              <w:rPr>
                <w:spacing w:val="-2"/>
                <w:sz w:val="14"/>
              </w:rPr>
              <w:t> </w:t>
            </w:r>
            <w:r>
              <w:rPr>
                <w:sz w:val="14"/>
              </w:rPr>
              <w:t>Hire</w:t>
            </w:r>
            <w:r>
              <w:rPr>
                <w:spacing w:val="-1"/>
                <w:sz w:val="14"/>
              </w:rPr>
              <w:t> </w:t>
            </w:r>
            <w:r>
              <w:rPr>
                <w:sz w:val="14"/>
              </w:rPr>
              <w:t>-</w:t>
            </w:r>
            <w:r>
              <w:rPr>
                <w:spacing w:val="-6"/>
                <w:sz w:val="14"/>
              </w:rPr>
              <w:t> </w:t>
            </w:r>
            <w:r>
              <w:rPr>
                <w:sz w:val="14"/>
              </w:rPr>
              <w:t>Half</w:t>
            </w:r>
            <w:r>
              <w:rPr>
                <w:spacing w:val="-2"/>
                <w:sz w:val="14"/>
              </w:rPr>
              <w:t> </w:t>
            </w:r>
            <w:r>
              <w:rPr>
                <w:sz w:val="14"/>
              </w:rPr>
              <w:t>Day</w:t>
            </w:r>
            <w:r>
              <w:rPr>
                <w:spacing w:val="1"/>
                <w:sz w:val="14"/>
              </w:rPr>
              <w:t> </w:t>
            </w:r>
            <w:r>
              <w:rPr>
                <w:sz w:val="14"/>
              </w:rPr>
              <w:t>(5</w:t>
            </w:r>
            <w:r>
              <w:rPr>
                <w:spacing w:val="-2"/>
                <w:sz w:val="14"/>
              </w:rPr>
              <w:t> </w:t>
            </w:r>
            <w:r>
              <w:rPr>
                <w:sz w:val="14"/>
              </w:rPr>
              <w:t>hours)</w:t>
            </w:r>
            <w:r>
              <w:rPr>
                <w:spacing w:val="-2"/>
                <w:sz w:val="14"/>
              </w:rPr>
              <w:t> </w:t>
            </w:r>
            <w:r>
              <w:rPr>
                <w:sz w:val="14"/>
              </w:rPr>
              <w:t>-</w:t>
            </w:r>
            <w:r>
              <w:rPr>
                <w:spacing w:val="-4"/>
                <w:sz w:val="14"/>
              </w:rPr>
              <w:t> </w:t>
            </w:r>
            <w:r>
              <w:rPr>
                <w:sz w:val="14"/>
              </w:rPr>
              <w:t>Banquet</w:t>
            </w:r>
            <w:r>
              <w:rPr>
                <w:spacing w:val="-4"/>
                <w:sz w:val="14"/>
              </w:rPr>
              <w:t> </w:t>
            </w:r>
            <w:r>
              <w:rPr>
                <w:sz w:val="14"/>
              </w:rPr>
              <w:t>Room</w:t>
            </w:r>
            <w:r>
              <w:rPr>
                <w:spacing w:val="-3"/>
                <w:sz w:val="14"/>
              </w:rPr>
              <w:t> </w:t>
            </w:r>
            <w:r>
              <w:rPr>
                <w:sz w:val="14"/>
              </w:rPr>
              <w:t>(all</w:t>
            </w:r>
            <w:r>
              <w:rPr>
                <w:spacing w:val="-4"/>
                <w:sz w:val="14"/>
              </w:rPr>
              <w:t> </w:t>
            </w:r>
            <w:r>
              <w:rPr>
                <w:sz w:val="14"/>
              </w:rPr>
              <w:t>3</w:t>
            </w:r>
            <w:r>
              <w:rPr>
                <w:spacing w:val="-3"/>
                <w:sz w:val="14"/>
              </w:rPr>
              <w:t> </w:t>
            </w:r>
            <w:r>
              <w:rPr>
                <w:spacing w:val="-2"/>
                <w:sz w:val="14"/>
              </w:rPr>
              <w:t>rooms)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7"/>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70"/>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2"/>
              <w:jc w:val="right"/>
              <w:rPr>
                <w:sz w:val="14"/>
              </w:rPr>
            </w:pPr>
            <w:r>
              <w:rPr>
                <w:spacing w:val="-2"/>
                <w:sz w:val="14"/>
              </w:rPr>
              <w:t>1,075.00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2"/>
              <w:jc w:val="right"/>
              <w:rPr>
                <w:sz w:val="14"/>
              </w:rPr>
            </w:pPr>
            <w:r>
              <w:rPr>
                <w:spacing w:val="-2"/>
                <w:sz w:val="14"/>
              </w:rPr>
              <w:t>1,130.00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2" w:lineRule="exact" w:before="19"/>
              <w:ind w:left="95" w:right="80"/>
              <w:jc w:val="center"/>
              <w:rPr>
                <w:sz w:val="14"/>
              </w:rPr>
            </w:pPr>
            <w:r>
              <w:rPr>
                <w:spacing w:val="-5"/>
                <w:sz w:val="14"/>
              </w:rPr>
              <w:t>4.9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Community/NFP</w:t>
            </w:r>
            <w:r>
              <w:rPr>
                <w:spacing w:val="-4"/>
                <w:sz w:val="14"/>
              </w:rPr>
              <w:t> </w:t>
            </w:r>
            <w:r>
              <w:rPr>
                <w:sz w:val="14"/>
              </w:rPr>
              <w:t>Room</w:t>
            </w:r>
            <w:r>
              <w:rPr>
                <w:spacing w:val="-3"/>
                <w:sz w:val="14"/>
              </w:rPr>
              <w:t> </w:t>
            </w:r>
            <w:r>
              <w:rPr>
                <w:sz w:val="14"/>
              </w:rPr>
              <w:t>Hire</w:t>
            </w:r>
            <w:r>
              <w:rPr>
                <w:spacing w:val="-2"/>
                <w:sz w:val="14"/>
              </w:rPr>
              <w:t> </w:t>
            </w:r>
            <w:r>
              <w:rPr>
                <w:sz w:val="14"/>
              </w:rPr>
              <w:t>-</w:t>
            </w:r>
            <w:r>
              <w:rPr>
                <w:spacing w:val="-6"/>
                <w:sz w:val="14"/>
              </w:rPr>
              <w:t> </w:t>
            </w:r>
            <w:r>
              <w:rPr>
                <w:sz w:val="14"/>
              </w:rPr>
              <w:t>Half</w:t>
            </w:r>
            <w:r>
              <w:rPr>
                <w:spacing w:val="-3"/>
                <w:sz w:val="14"/>
              </w:rPr>
              <w:t> </w:t>
            </w:r>
            <w:r>
              <w:rPr>
                <w:sz w:val="14"/>
              </w:rPr>
              <w:t>Day (5</w:t>
            </w:r>
            <w:r>
              <w:rPr>
                <w:spacing w:val="-3"/>
                <w:sz w:val="14"/>
              </w:rPr>
              <w:t> </w:t>
            </w:r>
            <w:r>
              <w:rPr>
                <w:sz w:val="14"/>
              </w:rPr>
              <w:t>hours)</w:t>
            </w:r>
            <w:r>
              <w:rPr>
                <w:spacing w:val="-3"/>
                <w:sz w:val="14"/>
              </w:rPr>
              <w:t> </w:t>
            </w:r>
            <w:r>
              <w:rPr>
                <w:sz w:val="14"/>
              </w:rPr>
              <w:t>-</w:t>
            </w:r>
            <w:r>
              <w:rPr>
                <w:spacing w:val="-3"/>
                <w:sz w:val="14"/>
              </w:rPr>
              <w:t> </w:t>
            </w:r>
            <w:r>
              <w:rPr>
                <w:sz w:val="14"/>
              </w:rPr>
              <w:t>Maroondah</w:t>
            </w:r>
            <w:r>
              <w:rPr>
                <w:spacing w:val="-2"/>
                <w:sz w:val="14"/>
              </w:rPr>
              <w:t> </w:t>
            </w:r>
            <w:r>
              <w:rPr>
                <w:spacing w:val="-4"/>
                <w:sz w:val="14"/>
              </w:rPr>
              <w:t>Room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1,075.00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1,130.00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Community/NFP</w:t>
            </w:r>
            <w:r>
              <w:rPr>
                <w:spacing w:val="-4"/>
                <w:sz w:val="14"/>
              </w:rPr>
              <w:t> </w:t>
            </w:r>
            <w:r>
              <w:rPr>
                <w:sz w:val="14"/>
              </w:rPr>
              <w:t>Room</w:t>
            </w:r>
            <w:r>
              <w:rPr>
                <w:spacing w:val="-2"/>
                <w:sz w:val="14"/>
              </w:rPr>
              <w:t> </w:t>
            </w:r>
            <w:r>
              <w:rPr>
                <w:sz w:val="14"/>
              </w:rPr>
              <w:t>Hire</w:t>
            </w:r>
            <w:r>
              <w:rPr>
                <w:spacing w:val="-3"/>
                <w:sz w:val="14"/>
              </w:rPr>
              <w:t> </w:t>
            </w:r>
            <w:r>
              <w:rPr>
                <w:sz w:val="14"/>
              </w:rPr>
              <w:t>-</w:t>
            </w:r>
            <w:r>
              <w:rPr>
                <w:spacing w:val="-5"/>
                <w:sz w:val="14"/>
              </w:rPr>
              <w:t> </w:t>
            </w:r>
            <w:r>
              <w:rPr>
                <w:sz w:val="14"/>
              </w:rPr>
              <w:t>Half</w:t>
            </w:r>
            <w:r>
              <w:rPr>
                <w:spacing w:val="-2"/>
                <w:sz w:val="14"/>
              </w:rPr>
              <w:t> </w:t>
            </w:r>
            <w:r>
              <w:rPr>
                <w:sz w:val="14"/>
              </w:rPr>
              <w:t>Day (5</w:t>
            </w:r>
            <w:r>
              <w:rPr>
                <w:spacing w:val="-4"/>
                <w:sz w:val="14"/>
              </w:rPr>
              <w:t> </w:t>
            </w:r>
            <w:r>
              <w:rPr>
                <w:sz w:val="14"/>
              </w:rPr>
              <w:t>hours)</w:t>
            </w:r>
            <w:r>
              <w:rPr>
                <w:spacing w:val="-2"/>
                <w:sz w:val="14"/>
              </w:rPr>
              <w:t> </w:t>
            </w:r>
            <w:r>
              <w:rPr>
                <w:sz w:val="14"/>
              </w:rPr>
              <w:t>-</w:t>
            </w:r>
            <w:r>
              <w:rPr>
                <w:spacing w:val="-3"/>
                <w:sz w:val="14"/>
              </w:rPr>
              <w:t> </w:t>
            </w:r>
            <w:r>
              <w:rPr>
                <w:sz w:val="14"/>
              </w:rPr>
              <w:t>Maroondah</w:t>
            </w:r>
            <w:r>
              <w:rPr>
                <w:spacing w:val="-2"/>
                <w:sz w:val="14"/>
              </w:rPr>
              <w:t> </w:t>
            </w:r>
            <w:r>
              <w:rPr>
                <w:sz w:val="14"/>
              </w:rPr>
              <w:t>&amp;</w:t>
            </w:r>
            <w:r>
              <w:rPr>
                <w:spacing w:val="-4"/>
                <w:sz w:val="14"/>
              </w:rPr>
              <w:t> </w:t>
            </w:r>
            <w:r>
              <w:rPr>
                <w:sz w:val="14"/>
              </w:rPr>
              <w:t>Mullum</w:t>
            </w:r>
            <w:r>
              <w:rPr>
                <w:spacing w:val="-4"/>
                <w:sz w:val="14"/>
              </w:rPr>
              <w:t> Rooms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2,150.00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2,260.00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Community/NFP</w:t>
            </w:r>
            <w:r>
              <w:rPr>
                <w:spacing w:val="-4"/>
                <w:sz w:val="14"/>
              </w:rPr>
              <w:t> </w:t>
            </w:r>
            <w:r>
              <w:rPr>
                <w:sz w:val="14"/>
              </w:rPr>
              <w:t>Room</w:t>
            </w:r>
            <w:r>
              <w:rPr>
                <w:spacing w:val="-2"/>
                <w:sz w:val="14"/>
              </w:rPr>
              <w:t> </w:t>
            </w:r>
            <w:r>
              <w:rPr>
                <w:sz w:val="14"/>
              </w:rPr>
              <w:t>Hire</w:t>
            </w:r>
            <w:r>
              <w:rPr>
                <w:spacing w:val="-3"/>
                <w:sz w:val="14"/>
              </w:rPr>
              <w:t> </w:t>
            </w:r>
            <w:r>
              <w:rPr>
                <w:sz w:val="14"/>
              </w:rPr>
              <w:t>-</w:t>
            </w:r>
            <w:r>
              <w:rPr>
                <w:spacing w:val="-5"/>
                <w:sz w:val="14"/>
              </w:rPr>
              <w:t> </w:t>
            </w:r>
            <w:r>
              <w:rPr>
                <w:sz w:val="14"/>
              </w:rPr>
              <w:t>Half</w:t>
            </w:r>
            <w:r>
              <w:rPr>
                <w:spacing w:val="-3"/>
                <w:sz w:val="14"/>
              </w:rPr>
              <w:t> </w:t>
            </w:r>
            <w:r>
              <w:rPr>
                <w:sz w:val="14"/>
              </w:rPr>
              <w:t>Day (5</w:t>
            </w:r>
            <w:r>
              <w:rPr>
                <w:spacing w:val="-3"/>
                <w:sz w:val="14"/>
              </w:rPr>
              <w:t> </w:t>
            </w:r>
            <w:r>
              <w:rPr>
                <w:sz w:val="14"/>
              </w:rPr>
              <w:t>hours)</w:t>
            </w:r>
            <w:r>
              <w:rPr>
                <w:spacing w:val="-3"/>
                <w:sz w:val="14"/>
              </w:rPr>
              <w:t> </w:t>
            </w:r>
            <w:r>
              <w:rPr>
                <w:sz w:val="14"/>
              </w:rPr>
              <w:t>-</w:t>
            </w:r>
            <w:r>
              <w:rPr>
                <w:spacing w:val="-2"/>
                <w:sz w:val="14"/>
              </w:rPr>
              <w:t> </w:t>
            </w:r>
            <w:r>
              <w:rPr>
                <w:sz w:val="14"/>
              </w:rPr>
              <w:t>Mt.</w:t>
            </w:r>
            <w:r>
              <w:rPr>
                <w:spacing w:val="-3"/>
                <w:sz w:val="14"/>
              </w:rPr>
              <w:t> </w:t>
            </w:r>
            <w:r>
              <w:rPr>
                <w:sz w:val="14"/>
              </w:rPr>
              <w:t>Dandenong</w:t>
            </w:r>
            <w:r>
              <w:rPr>
                <w:spacing w:val="-1"/>
                <w:sz w:val="14"/>
              </w:rPr>
              <w:t> </w:t>
            </w:r>
            <w:r>
              <w:rPr>
                <w:spacing w:val="-4"/>
                <w:sz w:val="14"/>
              </w:rPr>
              <w:t>Room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1,614.50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1,695.00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Community/NFP</w:t>
            </w:r>
            <w:r>
              <w:rPr>
                <w:spacing w:val="-4"/>
                <w:sz w:val="14"/>
              </w:rPr>
              <w:t> </w:t>
            </w:r>
            <w:r>
              <w:rPr>
                <w:sz w:val="14"/>
              </w:rPr>
              <w:t>Room</w:t>
            </w:r>
            <w:r>
              <w:rPr>
                <w:spacing w:val="-2"/>
                <w:sz w:val="14"/>
              </w:rPr>
              <w:t> </w:t>
            </w:r>
            <w:r>
              <w:rPr>
                <w:sz w:val="14"/>
              </w:rPr>
              <w:t>Hire</w:t>
            </w:r>
            <w:r>
              <w:rPr>
                <w:spacing w:val="-2"/>
                <w:sz w:val="14"/>
              </w:rPr>
              <w:t> </w:t>
            </w:r>
            <w:r>
              <w:rPr>
                <w:sz w:val="14"/>
              </w:rPr>
              <w:t>-</w:t>
            </w:r>
            <w:r>
              <w:rPr>
                <w:spacing w:val="-6"/>
                <w:sz w:val="14"/>
              </w:rPr>
              <w:t> </w:t>
            </w:r>
            <w:r>
              <w:rPr>
                <w:sz w:val="14"/>
              </w:rPr>
              <w:t>Half</w:t>
            </w:r>
            <w:r>
              <w:rPr>
                <w:spacing w:val="-2"/>
                <w:sz w:val="14"/>
              </w:rPr>
              <w:t> </w:t>
            </w:r>
            <w:r>
              <w:rPr>
                <w:sz w:val="14"/>
              </w:rPr>
              <w:t>Day</w:t>
            </w:r>
            <w:r>
              <w:rPr>
                <w:spacing w:val="1"/>
                <w:sz w:val="14"/>
              </w:rPr>
              <w:t> </w:t>
            </w:r>
            <w:r>
              <w:rPr>
                <w:sz w:val="14"/>
              </w:rPr>
              <w:t>(5</w:t>
            </w:r>
            <w:r>
              <w:rPr>
                <w:spacing w:val="-4"/>
                <w:sz w:val="14"/>
              </w:rPr>
              <w:t> </w:t>
            </w:r>
            <w:r>
              <w:rPr>
                <w:sz w:val="14"/>
              </w:rPr>
              <w:t>hours)</w:t>
            </w:r>
            <w:r>
              <w:rPr>
                <w:spacing w:val="-2"/>
                <w:sz w:val="14"/>
              </w:rPr>
              <w:t> </w:t>
            </w:r>
            <w:r>
              <w:rPr>
                <w:sz w:val="14"/>
              </w:rPr>
              <w:t>-</w:t>
            </w:r>
            <w:r>
              <w:rPr>
                <w:spacing w:val="-2"/>
                <w:sz w:val="14"/>
              </w:rPr>
              <w:t> </w:t>
            </w:r>
            <w:r>
              <w:rPr>
                <w:sz w:val="14"/>
              </w:rPr>
              <w:t>Mullum</w:t>
            </w:r>
            <w:r>
              <w:rPr>
                <w:spacing w:val="-3"/>
                <w:sz w:val="14"/>
              </w:rPr>
              <w:t> </w:t>
            </w:r>
            <w:r>
              <w:rPr>
                <w:spacing w:val="-4"/>
                <w:sz w:val="14"/>
              </w:rPr>
              <w:t>Room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1,614.50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1,695.00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Community/NFP</w:t>
            </w:r>
            <w:r>
              <w:rPr>
                <w:spacing w:val="-4"/>
                <w:sz w:val="14"/>
              </w:rPr>
              <w:t> </w:t>
            </w:r>
            <w:r>
              <w:rPr>
                <w:sz w:val="14"/>
              </w:rPr>
              <w:t>Room</w:t>
            </w:r>
            <w:r>
              <w:rPr>
                <w:spacing w:val="-2"/>
                <w:sz w:val="14"/>
              </w:rPr>
              <w:t> </w:t>
            </w:r>
            <w:r>
              <w:rPr>
                <w:sz w:val="14"/>
              </w:rPr>
              <w:t>Hire</w:t>
            </w:r>
            <w:r>
              <w:rPr>
                <w:spacing w:val="-2"/>
                <w:sz w:val="14"/>
              </w:rPr>
              <w:t> </w:t>
            </w:r>
            <w:r>
              <w:rPr>
                <w:sz w:val="14"/>
              </w:rPr>
              <w:t>-</w:t>
            </w:r>
            <w:r>
              <w:rPr>
                <w:spacing w:val="-5"/>
                <w:sz w:val="14"/>
              </w:rPr>
              <w:t> </w:t>
            </w:r>
            <w:r>
              <w:rPr>
                <w:sz w:val="14"/>
              </w:rPr>
              <w:t>Half</w:t>
            </w:r>
            <w:r>
              <w:rPr>
                <w:spacing w:val="-2"/>
                <w:sz w:val="14"/>
              </w:rPr>
              <w:t> </w:t>
            </w:r>
            <w:r>
              <w:rPr>
                <w:sz w:val="14"/>
              </w:rPr>
              <w:t>Day (5</w:t>
            </w:r>
            <w:r>
              <w:rPr>
                <w:spacing w:val="-3"/>
                <w:sz w:val="14"/>
              </w:rPr>
              <w:t> </w:t>
            </w:r>
            <w:r>
              <w:rPr>
                <w:sz w:val="14"/>
              </w:rPr>
              <w:t>hours)</w:t>
            </w:r>
            <w:r>
              <w:rPr>
                <w:spacing w:val="-2"/>
                <w:sz w:val="14"/>
              </w:rPr>
              <w:t> </w:t>
            </w:r>
            <w:r>
              <w:rPr>
                <w:sz w:val="14"/>
              </w:rPr>
              <w:t>-</w:t>
            </w:r>
            <w:r>
              <w:rPr>
                <w:spacing w:val="-3"/>
                <w:sz w:val="14"/>
              </w:rPr>
              <w:t> </w:t>
            </w:r>
            <w:r>
              <w:rPr>
                <w:sz w:val="14"/>
              </w:rPr>
              <w:t>Mt</w:t>
            </w:r>
            <w:r>
              <w:rPr>
                <w:spacing w:val="-5"/>
                <w:sz w:val="14"/>
              </w:rPr>
              <w:t> </w:t>
            </w:r>
            <w:r>
              <w:rPr>
                <w:sz w:val="14"/>
              </w:rPr>
              <w:t>Dandenong</w:t>
            </w:r>
            <w:r>
              <w:rPr>
                <w:spacing w:val="-5"/>
                <w:sz w:val="14"/>
              </w:rPr>
              <w:t> </w:t>
            </w:r>
            <w:r>
              <w:rPr>
                <w:sz w:val="14"/>
              </w:rPr>
              <w:t>&amp; Mullum</w:t>
            </w:r>
            <w:r>
              <w:rPr>
                <w:spacing w:val="-2"/>
                <w:sz w:val="14"/>
              </w:rPr>
              <w:t> </w:t>
            </w:r>
            <w:r>
              <w:rPr>
                <w:spacing w:val="-4"/>
                <w:sz w:val="14"/>
              </w:rPr>
              <w:t>Rooms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1,290.00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1,355.00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284" w:hRule="atLeast"/>
        </w:trPr>
        <w:tc>
          <w:tcPr>
            <w:tcW w:w="5770" w:type="dxa"/>
            <w:tcBorders>
              <w:top w:val="single" w:sz="4" w:space="0" w:color="000000"/>
              <w:left w:val="single" w:sz="12" w:space="0" w:color="000000"/>
              <w:right w:val="single" w:sz="4" w:space="0" w:color="000000"/>
            </w:tcBorders>
            <w:shd w:val="clear" w:color="auto" w:fill="D8D8D8"/>
          </w:tcPr>
          <w:p>
            <w:pPr>
              <w:pStyle w:val="TableParagraph"/>
              <w:spacing w:line="217" w:lineRule="exact" w:before="48"/>
              <w:ind w:left="169"/>
              <w:rPr>
                <w:b/>
                <w:sz w:val="22"/>
              </w:rPr>
            </w:pPr>
            <w:r>
              <w:rPr>
                <w:b/>
                <w:sz w:val="22"/>
              </w:rPr>
              <w:t>Engineering</w:t>
            </w:r>
            <w:r>
              <w:rPr>
                <w:b/>
                <w:spacing w:val="-4"/>
                <w:sz w:val="22"/>
              </w:rPr>
              <w:t> </w:t>
            </w:r>
            <w:r>
              <w:rPr>
                <w:b/>
                <w:sz w:val="22"/>
              </w:rPr>
              <w:t>&amp;</w:t>
            </w:r>
            <w:r>
              <w:rPr>
                <w:b/>
                <w:spacing w:val="-6"/>
                <w:sz w:val="22"/>
              </w:rPr>
              <w:t> </w:t>
            </w:r>
            <w:r>
              <w:rPr>
                <w:b/>
                <w:sz w:val="22"/>
              </w:rPr>
              <w:t>Building</w:t>
            </w:r>
            <w:r>
              <w:rPr>
                <w:b/>
                <w:spacing w:val="-3"/>
                <w:sz w:val="22"/>
              </w:rPr>
              <w:t> </w:t>
            </w:r>
            <w:r>
              <w:rPr>
                <w:b/>
                <w:spacing w:val="-2"/>
                <w:sz w:val="22"/>
              </w:rPr>
              <w:t>Services</w:t>
            </w:r>
          </w:p>
        </w:tc>
        <w:tc>
          <w:tcPr>
            <w:tcW w:w="1028"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4"/>
              </w:rPr>
            </w:pPr>
          </w:p>
        </w:tc>
        <w:tc>
          <w:tcPr>
            <w:tcW w:w="769"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4"/>
              </w:rPr>
            </w:pPr>
          </w:p>
        </w:tc>
        <w:tc>
          <w:tcPr>
            <w:tcW w:w="973"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4"/>
              </w:rPr>
            </w:pPr>
          </w:p>
        </w:tc>
        <w:tc>
          <w:tcPr>
            <w:tcW w:w="1199"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4"/>
              </w:rPr>
            </w:pPr>
          </w:p>
        </w:tc>
        <w:tc>
          <w:tcPr>
            <w:tcW w:w="897" w:type="dxa"/>
            <w:tcBorders>
              <w:top w:val="single" w:sz="4" w:space="0" w:color="000000"/>
              <w:left w:val="single" w:sz="4" w:space="0" w:color="000000"/>
              <w:bottom w:val="single" w:sz="4" w:space="0" w:color="000000"/>
              <w:right w:val="single" w:sz="12" w:space="0" w:color="000000"/>
            </w:tcBorders>
            <w:shd w:val="clear" w:color="auto" w:fill="D8D8D8"/>
          </w:tcPr>
          <w:p>
            <w:pPr>
              <w:pStyle w:val="TableParagraph"/>
              <w:rPr>
                <w:rFonts w:ascii="Times New Roman"/>
                <w:sz w:val="14"/>
              </w:rPr>
            </w:pPr>
          </w:p>
        </w:tc>
      </w:tr>
      <w:tr>
        <w:trPr>
          <w:trHeight w:val="162" w:hRule="atLeast"/>
        </w:trPr>
        <w:tc>
          <w:tcPr>
            <w:tcW w:w="5770" w:type="dxa"/>
            <w:tcBorders>
              <w:left w:val="single" w:sz="12" w:space="0" w:color="000000"/>
              <w:bottom w:val="single" w:sz="4" w:space="0" w:color="000000"/>
              <w:right w:val="single" w:sz="4" w:space="0" w:color="000000"/>
            </w:tcBorders>
          </w:tcPr>
          <w:p>
            <w:pPr>
              <w:pStyle w:val="TableParagraph"/>
              <w:spacing w:line="140" w:lineRule="exact" w:before="2"/>
              <w:ind w:left="107"/>
              <w:rPr>
                <w:b/>
                <w:sz w:val="14"/>
              </w:rPr>
            </w:pPr>
            <w:r>
              <w:rPr>
                <w:b/>
                <w:sz w:val="14"/>
              </w:rPr>
              <w:t>Road</w:t>
            </w:r>
            <w:r>
              <w:rPr>
                <w:b/>
                <w:spacing w:val="-5"/>
                <w:sz w:val="14"/>
              </w:rPr>
              <w:t> </w:t>
            </w:r>
            <w:r>
              <w:rPr>
                <w:b/>
                <w:sz w:val="14"/>
              </w:rPr>
              <w:t>Opening</w:t>
            </w:r>
            <w:r>
              <w:rPr>
                <w:b/>
                <w:spacing w:val="-5"/>
                <w:sz w:val="14"/>
              </w:rPr>
              <w:t> </w:t>
            </w:r>
            <w:r>
              <w:rPr>
                <w:b/>
                <w:spacing w:val="-2"/>
                <w:sz w:val="14"/>
              </w:rPr>
              <w:t>Permit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0"/>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Drainage</w:t>
            </w:r>
            <w:r>
              <w:rPr>
                <w:spacing w:val="-6"/>
                <w:sz w:val="14"/>
              </w:rPr>
              <w:t> </w:t>
            </w:r>
            <w:r>
              <w:rPr>
                <w:sz w:val="14"/>
              </w:rPr>
              <w:t>Connection</w:t>
            </w:r>
            <w:r>
              <w:rPr>
                <w:spacing w:val="-5"/>
                <w:sz w:val="14"/>
              </w:rPr>
              <w:t> </w:t>
            </w:r>
            <w:r>
              <w:rPr>
                <w:sz w:val="14"/>
              </w:rPr>
              <w:t>Permit</w:t>
            </w:r>
            <w:r>
              <w:rPr>
                <w:spacing w:val="-5"/>
                <w:sz w:val="14"/>
              </w:rPr>
              <w:t> </w:t>
            </w:r>
            <w:r>
              <w:rPr>
                <w:sz w:val="14"/>
              </w:rPr>
              <w:t>/</w:t>
            </w:r>
            <w:r>
              <w:rPr>
                <w:spacing w:val="-5"/>
                <w:sz w:val="14"/>
              </w:rPr>
              <w:t> </w:t>
            </w:r>
            <w:r>
              <w:rPr>
                <w:sz w:val="14"/>
              </w:rPr>
              <w:t>Service</w:t>
            </w:r>
            <w:r>
              <w:rPr>
                <w:spacing w:val="-4"/>
                <w:sz w:val="14"/>
              </w:rPr>
              <w:t> </w:t>
            </w:r>
            <w:r>
              <w:rPr>
                <w:sz w:val="14"/>
              </w:rPr>
              <w:t>Connection</w:t>
            </w:r>
            <w:r>
              <w:rPr>
                <w:spacing w:val="-4"/>
                <w:sz w:val="14"/>
              </w:rPr>
              <w:t> </w:t>
            </w:r>
            <w:r>
              <w:rPr>
                <w:spacing w:val="-2"/>
                <w:sz w:val="14"/>
              </w:rPr>
              <w:t>Permit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298.00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312.00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Retrospective</w:t>
            </w:r>
            <w:r>
              <w:rPr>
                <w:spacing w:val="-8"/>
                <w:sz w:val="14"/>
              </w:rPr>
              <w:t> </w:t>
            </w:r>
            <w:r>
              <w:rPr>
                <w:sz w:val="14"/>
              </w:rPr>
              <w:t>Drainage</w:t>
            </w:r>
            <w:r>
              <w:rPr>
                <w:spacing w:val="-6"/>
                <w:sz w:val="14"/>
              </w:rPr>
              <w:t> </w:t>
            </w:r>
            <w:r>
              <w:rPr>
                <w:sz w:val="14"/>
              </w:rPr>
              <w:t>Connection</w:t>
            </w:r>
            <w:r>
              <w:rPr>
                <w:spacing w:val="-6"/>
                <w:sz w:val="14"/>
              </w:rPr>
              <w:t> </w:t>
            </w:r>
            <w:r>
              <w:rPr>
                <w:sz w:val="14"/>
              </w:rPr>
              <w:t>Permit</w:t>
            </w:r>
            <w:r>
              <w:rPr>
                <w:spacing w:val="-5"/>
                <w:sz w:val="14"/>
              </w:rPr>
              <w:t> </w:t>
            </w:r>
            <w:r>
              <w:rPr>
                <w:sz w:val="14"/>
              </w:rPr>
              <w:t>/</w:t>
            </w:r>
            <w:r>
              <w:rPr>
                <w:spacing w:val="-6"/>
                <w:sz w:val="14"/>
              </w:rPr>
              <w:t> </w:t>
            </w:r>
            <w:r>
              <w:rPr>
                <w:sz w:val="14"/>
              </w:rPr>
              <w:t>Retrospective</w:t>
            </w:r>
            <w:r>
              <w:rPr>
                <w:spacing w:val="-4"/>
                <w:sz w:val="14"/>
              </w:rPr>
              <w:t> </w:t>
            </w:r>
            <w:r>
              <w:rPr>
                <w:sz w:val="14"/>
              </w:rPr>
              <w:t>Service</w:t>
            </w:r>
            <w:r>
              <w:rPr>
                <w:spacing w:val="-2"/>
                <w:sz w:val="14"/>
              </w:rPr>
              <w:t> </w:t>
            </w:r>
            <w:r>
              <w:rPr>
                <w:sz w:val="14"/>
              </w:rPr>
              <w:t>Connection</w:t>
            </w:r>
            <w:r>
              <w:rPr>
                <w:spacing w:val="-7"/>
                <w:sz w:val="14"/>
              </w:rPr>
              <w:t> </w:t>
            </w:r>
            <w:r>
              <w:rPr>
                <w:spacing w:val="-2"/>
                <w:sz w:val="14"/>
              </w:rPr>
              <w:t>Permit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447.00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468.00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Flood/Overland</w:t>
            </w:r>
            <w:r>
              <w:rPr>
                <w:b/>
                <w:spacing w:val="-7"/>
                <w:sz w:val="14"/>
              </w:rPr>
              <w:t> </w:t>
            </w:r>
            <w:r>
              <w:rPr>
                <w:b/>
                <w:sz w:val="14"/>
              </w:rPr>
              <w:t>Flow</w:t>
            </w:r>
            <w:r>
              <w:rPr>
                <w:b/>
                <w:spacing w:val="-9"/>
                <w:sz w:val="14"/>
              </w:rPr>
              <w:t> </w:t>
            </w:r>
            <w:r>
              <w:rPr>
                <w:b/>
                <w:spacing w:val="-2"/>
                <w:sz w:val="14"/>
              </w:rPr>
              <w:t>Information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Build</w:t>
            </w:r>
            <w:r>
              <w:rPr>
                <w:spacing w:val="-5"/>
                <w:sz w:val="14"/>
              </w:rPr>
              <w:t> </w:t>
            </w:r>
            <w:r>
              <w:rPr>
                <w:sz w:val="14"/>
              </w:rPr>
              <w:t>on</w:t>
            </w:r>
            <w:r>
              <w:rPr>
                <w:spacing w:val="-3"/>
                <w:sz w:val="14"/>
              </w:rPr>
              <w:t> </w:t>
            </w:r>
            <w:r>
              <w:rPr>
                <w:sz w:val="14"/>
              </w:rPr>
              <w:t>flood</w:t>
            </w:r>
            <w:r>
              <w:rPr>
                <w:spacing w:val="-4"/>
                <w:sz w:val="14"/>
              </w:rPr>
              <w:t> </w:t>
            </w:r>
            <w:r>
              <w:rPr>
                <w:sz w:val="14"/>
              </w:rPr>
              <w:t>prone</w:t>
            </w:r>
            <w:r>
              <w:rPr>
                <w:spacing w:val="-4"/>
                <w:sz w:val="14"/>
              </w:rPr>
              <w:t> land</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320.25</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320.25</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9"/>
              <w:ind w:left="107"/>
              <w:rPr>
                <w:b/>
                <w:sz w:val="14"/>
              </w:rPr>
            </w:pPr>
            <w:r>
              <w:rPr>
                <w:b/>
                <w:sz w:val="14"/>
              </w:rPr>
              <w:t>Legal</w:t>
            </w:r>
            <w:r>
              <w:rPr>
                <w:b/>
                <w:spacing w:val="-3"/>
                <w:sz w:val="14"/>
              </w:rPr>
              <w:t> </w:t>
            </w:r>
            <w:r>
              <w:rPr>
                <w:b/>
                <w:sz w:val="14"/>
              </w:rPr>
              <w:t>Point</w:t>
            </w:r>
            <w:r>
              <w:rPr>
                <w:b/>
                <w:spacing w:val="-3"/>
                <w:sz w:val="14"/>
              </w:rPr>
              <w:t> </w:t>
            </w:r>
            <w:r>
              <w:rPr>
                <w:b/>
                <w:sz w:val="14"/>
              </w:rPr>
              <w:t>of</w:t>
            </w:r>
            <w:r>
              <w:rPr>
                <w:b/>
                <w:spacing w:val="-5"/>
                <w:sz w:val="14"/>
              </w:rPr>
              <w:t> </w:t>
            </w:r>
            <w:r>
              <w:rPr>
                <w:b/>
                <w:spacing w:val="-2"/>
                <w:sz w:val="14"/>
              </w:rPr>
              <w:t>Discharge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208"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48"/>
              <w:ind w:left="107"/>
              <w:rPr>
                <w:sz w:val="14"/>
              </w:rPr>
            </w:pPr>
            <w:r>
              <w:rPr>
                <w:sz w:val="14"/>
              </w:rPr>
              <w:t>Issue</w:t>
            </w:r>
            <w:r>
              <w:rPr>
                <w:spacing w:val="-4"/>
                <w:sz w:val="14"/>
              </w:rPr>
              <w:t> </w:t>
            </w:r>
            <w:r>
              <w:rPr>
                <w:sz w:val="14"/>
              </w:rPr>
              <w:t>of</w:t>
            </w:r>
            <w:r>
              <w:rPr>
                <w:spacing w:val="-2"/>
                <w:sz w:val="14"/>
              </w:rPr>
              <w:t> </w:t>
            </w:r>
            <w:r>
              <w:rPr>
                <w:sz w:val="14"/>
              </w:rPr>
              <w:t>Legal</w:t>
            </w:r>
            <w:r>
              <w:rPr>
                <w:spacing w:val="-5"/>
                <w:sz w:val="14"/>
              </w:rPr>
              <w:t> </w:t>
            </w:r>
            <w:r>
              <w:rPr>
                <w:sz w:val="14"/>
              </w:rPr>
              <w:t>Point</w:t>
            </w:r>
            <w:r>
              <w:rPr>
                <w:spacing w:val="-2"/>
                <w:sz w:val="14"/>
              </w:rPr>
              <w:t> </w:t>
            </w:r>
            <w:r>
              <w:rPr>
                <w:sz w:val="14"/>
              </w:rPr>
              <w:t>of</w:t>
            </w:r>
            <w:r>
              <w:rPr>
                <w:spacing w:val="-2"/>
                <w:sz w:val="14"/>
              </w:rPr>
              <w:t> </w:t>
            </w:r>
            <w:r>
              <w:rPr>
                <w:sz w:val="14"/>
              </w:rPr>
              <w:t>Discharge,</w:t>
            </w:r>
            <w:r>
              <w:rPr>
                <w:spacing w:val="-2"/>
                <w:sz w:val="14"/>
              </w:rPr>
              <w:t> </w:t>
            </w:r>
            <w:r>
              <w:rPr>
                <w:sz w:val="14"/>
              </w:rPr>
              <w:t>Fees</w:t>
            </w:r>
            <w:r>
              <w:rPr>
                <w:spacing w:val="-2"/>
                <w:sz w:val="14"/>
              </w:rPr>
              <w:t> </w:t>
            </w:r>
            <w:r>
              <w:rPr>
                <w:sz w:val="14"/>
              </w:rPr>
              <w:t>in</w:t>
            </w:r>
            <w:r>
              <w:rPr>
                <w:spacing w:val="-5"/>
                <w:sz w:val="14"/>
              </w:rPr>
              <w:t> </w:t>
            </w:r>
            <w:r>
              <w:rPr>
                <w:sz w:val="14"/>
              </w:rPr>
              <w:t>accordance</w:t>
            </w:r>
            <w:r>
              <w:rPr>
                <w:spacing w:val="-4"/>
                <w:sz w:val="14"/>
              </w:rPr>
              <w:t> </w:t>
            </w:r>
            <w:r>
              <w:rPr>
                <w:sz w:val="14"/>
              </w:rPr>
              <w:t>with</w:t>
            </w:r>
            <w:r>
              <w:rPr>
                <w:spacing w:val="-3"/>
                <w:sz w:val="14"/>
              </w:rPr>
              <w:t> </w:t>
            </w:r>
            <w:r>
              <w:rPr>
                <w:sz w:val="14"/>
              </w:rPr>
              <w:t>Statutory</w:t>
            </w:r>
            <w:r>
              <w:rPr>
                <w:spacing w:val="-4"/>
                <w:sz w:val="14"/>
              </w:rPr>
              <w:t> </w:t>
            </w:r>
            <w:r>
              <w:rPr>
                <w:sz w:val="14"/>
              </w:rPr>
              <w:t>Building</w:t>
            </w:r>
            <w:r>
              <w:rPr>
                <w:spacing w:val="-2"/>
                <w:sz w:val="14"/>
              </w:rPr>
              <w:t> </w:t>
            </w:r>
            <w:r>
              <w:rPr>
                <w:spacing w:val="-4"/>
                <w:sz w:val="14"/>
              </w:rPr>
              <w:t>Regs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48"/>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48"/>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48"/>
              <w:ind w:right="91"/>
              <w:jc w:val="right"/>
              <w:rPr>
                <w:sz w:val="14"/>
              </w:rPr>
            </w:pPr>
            <w:r>
              <w:rPr>
                <w:spacing w:val="-2"/>
                <w:sz w:val="14"/>
              </w:rPr>
              <w:t>231.40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48"/>
              <w:ind w:right="93"/>
              <w:jc w:val="right"/>
              <w:rPr>
                <w:sz w:val="14"/>
              </w:rPr>
            </w:pPr>
            <w:r>
              <w:rPr>
                <w:spacing w:val="-2"/>
                <w:sz w:val="14"/>
              </w:rPr>
              <w:t>231.40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48"/>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Vehicle</w:t>
            </w:r>
            <w:r>
              <w:rPr>
                <w:b/>
                <w:spacing w:val="-6"/>
                <w:sz w:val="14"/>
              </w:rPr>
              <w:t> </w:t>
            </w:r>
            <w:r>
              <w:rPr>
                <w:b/>
                <w:sz w:val="14"/>
              </w:rPr>
              <w:t>Crossing</w:t>
            </w:r>
            <w:r>
              <w:rPr>
                <w:b/>
                <w:spacing w:val="-4"/>
                <w:sz w:val="14"/>
              </w:rPr>
              <w:t> </w:t>
            </w:r>
            <w:r>
              <w:rPr>
                <w:b/>
                <w:spacing w:val="-2"/>
                <w:sz w:val="14"/>
              </w:rPr>
              <w:t>Permit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9"/>
              <w:ind w:left="107"/>
              <w:rPr>
                <w:sz w:val="14"/>
              </w:rPr>
            </w:pPr>
            <w:r>
              <w:rPr>
                <w:sz w:val="14"/>
              </w:rPr>
              <w:t>Vehicle</w:t>
            </w:r>
            <w:r>
              <w:rPr>
                <w:spacing w:val="-4"/>
                <w:sz w:val="14"/>
              </w:rPr>
              <w:t> </w:t>
            </w:r>
            <w:r>
              <w:rPr>
                <w:sz w:val="14"/>
              </w:rPr>
              <w:t>Crossing</w:t>
            </w:r>
            <w:r>
              <w:rPr>
                <w:spacing w:val="-6"/>
                <w:sz w:val="14"/>
              </w:rPr>
              <w:t> </w:t>
            </w:r>
            <w:r>
              <w:rPr>
                <w:sz w:val="14"/>
              </w:rPr>
              <w:t>Permit</w:t>
            </w:r>
            <w:r>
              <w:rPr>
                <w:spacing w:val="-5"/>
                <w:sz w:val="14"/>
              </w:rPr>
              <w:t> </w:t>
            </w:r>
            <w:r>
              <w:rPr>
                <w:sz w:val="14"/>
              </w:rPr>
              <w:t>/</w:t>
            </w:r>
            <w:r>
              <w:rPr>
                <w:spacing w:val="-4"/>
                <w:sz w:val="14"/>
              </w:rPr>
              <w:t> </w:t>
            </w:r>
            <w:r>
              <w:rPr>
                <w:sz w:val="14"/>
              </w:rPr>
              <w:t>Temporary</w:t>
            </w:r>
            <w:r>
              <w:rPr>
                <w:spacing w:val="-5"/>
                <w:sz w:val="14"/>
              </w:rPr>
              <w:t> </w:t>
            </w:r>
            <w:r>
              <w:rPr>
                <w:sz w:val="14"/>
              </w:rPr>
              <w:t>Vehicle</w:t>
            </w:r>
            <w:r>
              <w:rPr>
                <w:spacing w:val="-3"/>
                <w:sz w:val="14"/>
              </w:rPr>
              <w:t> </w:t>
            </w:r>
            <w:r>
              <w:rPr>
                <w:sz w:val="14"/>
              </w:rPr>
              <w:t>Crossing</w:t>
            </w:r>
            <w:r>
              <w:rPr>
                <w:spacing w:val="-6"/>
                <w:sz w:val="14"/>
              </w:rPr>
              <w:t> </w:t>
            </w:r>
            <w:r>
              <w:rPr>
                <w:spacing w:val="-2"/>
                <w:sz w:val="14"/>
              </w:rPr>
              <w:t>Permit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8"/>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1"/>
              <w:jc w:val="right"/>
              <w:rPr>
                <w:sz w:val="14"/>
              </w:rPr>
            </w:pPr>
            <w:r>
              <w:rPr>
                <w:spacing w:val="-2"/>
                <w:sz w:val="14"/>
              </w:rPr>
              <w:t>298.00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4"/>
              <w:jc w:val="right"/>
              <w:rPr>
                <w:sz w:val="14"/>
              </w:rPr>
            </w:pPr>
            <w:r>
              <w:rPr>
                <w:spacing w:val="-2"/>
                <w:sz w:val="14"/>
              </w:rPr>
              <w:t>312.00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2" w:lineRule="exact" w:before="19"/>
              <w:ind w:left="95" w:right="80"/>
              <w:jc w:val="center"/>
              <w:rPr>
                <w:sz w:val="14"/>
              </w:rPr>
            </w:pPr>
            <w:r>
              <w:rPr>
                <w:spacing w:val="-5"/>
                <w:sz w:val="14"/>
              </w:rPr>
              <w:t>4.5</w:t>
            </w:r>
          </w:p>
        </w:tc>
      </w:tr>
      <w:tr>
        <w:trPr>
          <w:trHeight w:val="32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ind w:left="107" w:right="181"/>
              <w:rPr>
                <w:sz w:val="14"/>
              </w:rPr>
            </w:pPr>
            <w:r>
              <w:rPr>
                <w:sz w:val="14"/>
              </w:rPr>
              <w:t>Retrospective</w:t>
            </w:r>
            <w:r>
              <w:rPr>
                <w:spacing w:val="-6"/>
                <w:sz w:val="14"/>
              </w:rPr>
              <w:t> </w:t>
            </w:r>
            <w:r>
              <w:rPr>
                <w:sz w:val="14"/>
              </w:rPr>
              <w:t>Vehicle</w:t>
            </w:r>
            <w:r>
              <w:rPr>
                <w:spacing w:val="-1"/>
                <w:sz w:val="14"/>
              </w:rPr>
              <w:t> </w:t>
            </w:r>
            <w:r>
              <w:rPr>
                <w:sz w:val="14"/>
              </w:rPr>
              <w:t>Crossing</w:t>
            </w:r>
            <w:r>
              <w:rPr>
                <w:spacing w:val="-6"/>
                <w:sz w:val="14"/>
              </w:rPr>
              <w:t> </w:t>
            </w:r>
            <w:r>
              <w:rPr>
                <w:sz w:val="14"/>
              </w:rPr>
              <w:t>Permit</w:t>
            </w:r>
            <w:r>
              <w:rPr>
                <w:spacing w:val="-2"/>
                <w:sz w:val="14"/>
              </w:rPr>
              <w:t> </w:t>
            </w:r>
            <w:r>
              <w:rPr>
                <w:sz w:val="14"/>
              </w:rPr>
              <w:t>/</w:t>
            </w:r>
            <w:r>
              <w:rPr>
                <w:spacing w:val="-4"/>
                <w:sz w:val="14"/>
              </w:rPr>
              <w:t> </w:t>
            </w:r>
            <w:r>
              <w:rPr>
                <w:sz w:val="14"/>
              </w:rPr>
              <w:t>Retrospective</w:t>
            </w:r>
            <w:r>
              <w:rPr>
                <w:spacing w:val="-5"/>
                <w:sz w:val="14"/>
              </w:rPr>
              <w:t> </w:t>
            </w:r>
            <w:r>
              <w:rPr>
                <w:sz w:val="14"/>
              </w:rPr>
              <w:t>Temporary</w:t>
            </w:r>
            <w:r>
              <w:rPr>
                <w:spacing w:val="-2"/>
                <w:sz w:val="14"/>
              </w:rPr>
              <w:t> </w:t>
            </w:r>
            <w:r>
              <w:rPr>
                <w:sz w:val="14"/>
              </w:rPr>
              <w:t>Vehicle</w:t>
            </w:r>
            <w:r>
              <w:rPr>
                <w:spacing w:val="-5"/>
                <w:sz w:val="14"/>
              </w:rPr>
              <w:t> </w:t>
            </w:r>
            <w:r>
              <w:rPr>
                <w:sz w:val="14"/>
              </w:rPr>
              <w:t>Crossing</w:t>
            </w:r>
            <w:r>
              <w:rPr>
                <w:spacing w:val="40"/>
                <w:sz w:val="14"/>
              </w:rPr>
              <w:t> </w:t>
            </w:r>
            <w:r>
              <w:rPr>
                <w:spacing w:val="-2"/>
                <w:sz w:val="14"/>
              </w:rPr>
              <w:t>Permit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0" w:lineRule="exact"/>
              <w:ind w:right="91"/>
              <w:jc w:val="right"/>
              <w:rPr>
                <w:sz w:val="14"/>
              </w:rPr>
            </w:pPr>
            <w:r>
              <w:rPr>
                <w:spacing w:val="-2"/>
                <w:sz w:val="14"/>
              </w:rPr>
              <w:t>447.00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0" w:lineRule="exact"/>
              <w:ind w:right="93"/>
              <w:jc w:val="right"/>
              <w:rPr>
                <w:sz w:val="14"/>
              </w:rPr>
            </w:pPr>
            <w:r>
              <w:rPr>
                <w:spacing w:val="-2"/>
                <w:sz w:val="14"/>
              </w:rPr>
              <w:t>468.00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sz w:val="14"/>
              </w:rPr>
            </w:pPr>
          </w:p>
          <w:p>
            <w:pPr>
              <w:pStyle w:val="TableParagraph"/>
              <w:spacing w:line="140" w:lineRule="exact"/>
              <w:ind w:left="95" w:right="79"/>
              <w:jc w:val="center"/>
              <w:rPr>
                <w:sz w:val="14"/>
              </w:rPr>
            </w:pPr>
            <w:r>
              <w:rPr>
                <w:spacing w:val="-5"/>
                <w:sz w:val="14"/>
              </w:rPr>
              <w:t>4.5</w:t>
            </w:r>
          </w:p>
        </w:tc>
      </w:tr>
      <w:tr>
        <w:trPr>
          <w:trHeight w:val="178"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Vehicle</w:t>
            </w:r>
            <w:r>
              <w:rPr>
                <w:spacing w:val="-3"/>
                <w:sz w:val="14"/>
              </w:rPr>
              <w:t> </w:t>
            </w:r>
            <w:r>
              <w:rPr>
                <w:sz w:val="14"/>
              </w:rPr>
              <w:t>Crossing</w:t>
            </w:r>
            <w:r>
              <w:rPr>
                <w:spacing w:val="-6"/>
                <w:sz w:val="14"/>
              </w:rPr>
              <w:t> </w:t>
            </w:r>
            <w:r>
              <w:rPr>
                <w:sz w:val="14"/>
              </w:rPr>
              <w:t>Consent</w:t>
            </w:r>
            <w:r>
              <w:rPr>
                <w:spacing w:val="-5"/>
                <w:sz w:val="14"/>
              </w:rPr>
              <w:t> </w:t>
            </w:r>
            <w:r>
              <w:rPr>
                <w:sz w:val="14"/>
              </w:rPr>
              <w:t>Application</w:t>
            </w:r>
            <w:r>
              <w:rPr>
                <w:spacing w:val="-4"/>
                <w:sz w:val="14"/>
              </w:rPr>
              <w:t> </w:t>
            </w:r>
            <w:r>
              <w:rPr>
                <w:sz w:val="14"/>
              </w:rPr>
              <w:t>fee</w:t>
            </w:r>
            <w:r>
              <w:rPr>
                <w:spacing w:val="-2"/>
                <w:sz w:val="14"/>
              </w:rPr>
              <w:t> </w:t>
            </w:r>
            <w:r>
              <w:rPr>
                <w:sz w:val="14"/>
              </w:rPr>
              <w:t>-</w:t>
            </w:r>
            <w:r>
              <w:rPr>
                <w:spacing w:val="-5"/>
                <w:sz w:val="14"/>
              </w:rPr>
              <w:t> </w:t>
            </w:r>
            <w:r>
              <w:rPr>
                <w:spacing w:val="-2"/>
                <w:sz w:val="14"/>
              </w:rPr>
              <w:t>Reconstruction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75.00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79.00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5.1</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Vehicle</w:t>
            </w:r>
            <w:r>
              <w:rPr>
                <w:spacing w:val="-4"/>
                <w:sz w:val="14"/>
              </w:rPr>
              <w:t> </w:t>
            </w:r>
            <w:r>
              <w:rPr>
                <w:sz w:val="14"/>
              </w:rPr>
              <w:t>Crossing</w:t>
            </w:r>
            <w:r>
              <w:rPr>
                <w:spacing w:val="-6"/>
                <w:sz w:val="14"/>
              </w:rPr>
              <w:t> </w:t>
            </w:r>
            <w:r>
              <w:rPr>
                <w:sz w:val="14"/>
              </w:rPr>
              <w:t>Consent</w:t>
            </w:r>
            <w:r>
              <w:rPr>
                <w:spacing w:val="-5"/>
                <w:sz w:val="14"/>
              </w:rPr>
              <w:t> </w:t>
            </w:r>
            <w:r>
              <w:rPr>
                <w:sz w:val="14"/>
              </w:rPr>
              <w:t>Application</w:t>
            </w:r>
            <w:r>
              <w:rPr>
                <w:spacing w:val="-5"/>
                <w:sz w:val="14"/>
              </w:rPr>
              <w:t> </w:t>
            </w:r>
            <w:r>
              <w:rPr>
                <w:sz w:val="14"/>
              </w:rPr>
              <w:t>fee</w:t>
            </w:r>
            <w:r>
              <w:rPr>
                <w:spacing w:val="-3"/>
                <w:sz w:val="14"/>
              </w:rPr>
              <w:t> </w:t>
            </w:r>
            <w:r>
              <w:rPr>
                <w:sz w:val="14"/>
              </w:rPr>
              <w:t>-</w:t>
            </w:r>
            <w:r>
              <w:rPr>
                <w:spacing w:val="-5"/>
                <w:sz w:val="14"/>
              </w:rPr>
              <w:t> </w:t>
            </w:r>
            <w:r>
              <w:rPr>
                <w:sz w:val="14"/>
              </w:rPr>
              <w:t>Relocation</w:t>
            </w:r>
            <w:r>
              <w:rPr>
                <w:spacing w:val="-3"/>
                <w:sz w:val="14"/>
              </w:rPr>
              <w:t> </w:t>
            </w:r>
            <w:r>
              <w:rPr>
                <w:sz w:val="14"/>
              </w:rPr>
              <w:t>/</w:t>
            </w:r>
            <w:r>
              <w:rPr>
                <w:spacing w:val="-4"/>
                <w:sz w:val="14"/>
              </w:rPr>
              <w:t> </w:t>
            </w:r>
            <w:r>
              <w:rPr>
                <w:sz w:val="14"/>
              </w:rPr>
              <w:t>Widening</w:t>
            </w:r>
            <w:r>
              <w:rPr>
                <w:spacing w:val="-3"/>
                <w:sz w:val="14"/>
              </w:rPr>
              <w:t> </w:t>
            </w:r>
            <w:r>
              <w:rPr>
                <w:sz w:val="14"/>
              </w:rPr>
              <w:t>/</w:t>
            </w:r>
            <w:r>
              <w:rPr>
                <w:spacing w:val="-4"/>
                <w:sz w:val="14"/>
              </w:rPr>
              <w:t> </w:t>
            </w:r>
            <w:r>
              <w:rPr>
                <w:sz w:val="14"/>
              </w:rPr>
              <w:t>Additional</w:t>
            </w:r>
            <w:r>
              <w:rPr>
                <w:spacing w:val="-1"/>
                <w:sz w:val="14"/>
              </w:rPr>
              <w:t> </w:t>
            </w:r>
            <w:r>
              <w:rPr>
                <w:spacing w:val="-5"/>
                <w:sz w:val="14"/>
              </w:rPr>
              <w:t>VC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150.00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158.00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5.1</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pacing w:val="-2"/>
                <w:sz w:val="14"/>
              </w:rPr>
              <w:t>Drainage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Drainage</w:t>
            </w:r>
            <w:r>
              <w:rPr>
                <w:spacing w:val="-4"/>
                <w:sz w:val="14"/>
              </w:rPr>
              <w:t> </w:t>
            </w:r>
            <w:r>
              <w:rPr>
                <w:sz w:val="14"/>
              </w:rPr>
              <w:t>Fee</w:t>
            </w:r>
            <w:r>
              <w:rPr>
                <w:spacing w:val="-3"/>
                <w:sz w:val="14"/>
              </w:rPr>
              <w:t> </w:t>
            </w:r>
            <w:r>
              <w:rPr>
                <w:sz w:val="14"/>
              </w:rPr>
              <w:t>-</w:t>
            </w:r>
            <w:r>
              <w:rPr>
                <w:spacing w:val="-6"/>
                <w:sz w:val="14"/>
              </w:rPr>
              <w:t> </w:t>
            </w:r>
            <w:r>
              <w:rPr>
                <w:sz w:val="14"/>
              </w:rPr>
              <w:t>Stormwater</w:t>
            </w:r>
            <w:r>
              <w:rPr>
                <w:spacing w:val="-6"/>
                <w:sz w:val="14"/>
              </w:rPr>
              <w:t> </w:t>
            </w:r>
            <w:r>
              <w:rPr>
                <w:sz w:val="14"/>
              </w:rPr>
              <w:t>Flood</w:t>
            </w:r>
            <w:r>
              <w:rPr>
                <w:spacing w:val="-3"/>
                <w:sz w:val="14"/>
              </w:rPr>
              <w:t> </w:t>
            </w:r>
            <w:r>
              <w:rPr>
                <w:sz w:val="14"/>
              </w:rPr>
              <w:t>Modelling</w:t>
            </w:r>
            <w:r>
              <w:rPr>
                <w:spacing w:val="-4"/>
                <w:sz w:val="14"/>
              </w:rPr>
              <w:t> </w:t>
            </w:r>
            <w:r>
              <w:rPr>
                <w:spacing w:val="-2"/>
                <w:sz w:val="14"/>
              </w:rPr>
              <w:t>Information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70.00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75.00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6.7</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b/>
                <w:sz w:val="14"/>
              </w:rPr>
            </w:pPr>
            <w:r>
              <w:rPr>
                <w:b/>
                <w:sz w:val="14"/>
              </w:rPr>
              <w:t>Occupation</w:t>
            </w:r>
            <w:r>
              <w:rPr>
                <w:b/>
                <w:spacing w:val="-7"/>
                <w:sz w:val="14"/>
              </w:rPr>
              <w:t> </w:t>
            </w:r>
            <w:r>
              <w:rPr>
                <w:b/>
                <w:sz w:val="14"/>
              </w:rPr>
              <w:t>Road</w:t>
            </w:r>
            <w:r>
              <w:rPr>
                <w:b/>
                <w:spacing w:val="-6"/>
                <w:sz w:val="14"/>
              </w:rPr>
              <w:t> </w:t>
            </w:r>
            <w:r>
              <w:rPr>
                <w:b/>
                <w:sz w:val="14"/>
              </w:rPr>
              <w:t>Reserve</w:t>
            </w:r>
            <w:r>
              <w:rPr>
                <w:b/>
                <w:spacing w:val="-7"/>
                <w:sz w:val="14"/>
              </w:rPr>
              <w:t> </w:t>
            </w:r>
            <w:r>
              <w:rPr>
                <w:b/>
                <w:spacing w:val="-2"/>
                <w:sz w:val="14"/>
              </w:rPr>
              <w:t>Permit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Construction</w:t>
            </w:r>
            <w:r>
              <w:rPr>
                <w:spacing w:val="-5"/>
                <w:sz w:val="14"/>
              </w:rPr>
              <w:t> </w:t>
            </w:r>
            <w:r>
              <w:rPr>
                <w:sz w:val="14"/>
              </w:rPr>
              <w:t>Zone</w:t>
            </w:r>
            <w:r>
              <w:rPr>
                <w:spacing w:val="-5"/>
                <w:sz w:val="14"/>
              </w:rPr>
              <w:t> </w:t>
            </w:r>
            <w:r>
              <w:rPr>
                <w:sz w:val="14"/>
              </w:rPr>
              <w:t>(Residential/industrial</w:t>
            </w:r>
            <w:r>
              <w:rPr>
                <w:spacing w:val="-5"/>
                <w:sz w:val="14"/>
              </w:rPr>
              <w:t> </w:t>
            </w:r>
            <w:r>
              <w:rPr>
                <w:sz w:val="14"/>
              </w:rPr>
              <w:t>occupation</w:t>
            </w:r>
            <w:r>
              <w:rPr>
                <w:spacing w:val="-5"/>
                <w:sz w:val="14"/>
              </w:rPr>
              <w:t> </w:t>
            </w:r>
            <w:r>
              <w:rPr>
                <w:sz w:val="14"/>
              </w:rPr>
              <w:t>rate</w:t>
            </w:r>
            <w:r>
              <w:rPr>
                <w:spacing w:val="-6"/>
                <w:sz w:val="14"/>
              </w:rPr>
              <w:t> </w:t>
            </w:r>
            <w:r>
              <w:rPr>
                <w:sz w:val="14"/>
              </w:rPr>
              <w:t>$</w:t>
            </w:r>
            <w:r>
              <w:rPr>
                <w:spacing w:val="-2"/>
                <w:sz w:val="14"/>
              </w:rPr>
              <w:t> </w:t>
            </w:r>
            <w:r>
              <w:rPr>
                <w:sz w:val="14"/>
              </w:rPr>
              <w:t>per</w:t>
            </w:r>
            <w:r>
              <w:rPr>
                <w:spacing w:val="-7"/>
                <w:sz w:val="14"/>
              </w:rPr>
              <w:t> </w:t>
            </w:r>
            <w:r>
              <w:rPr>
                <w:sz w:val="14"/>
              </w:rPr>
              <w:t>sqm</w:t>
            </w:r>
            <w:r>
              <w:rPr>
                <w:spacing w:val="-4"/>
                <w:sz w:val="14"/>
              </w:rPr>
              <w:t> </w:t>
            </w:r>
            <w:r>
              <w:rPr>
                <w:sz w:val="14"/>
              </w:rPr>
              <w:t>per</w:t>
            </w:r>
            <w:r>
              <w:rPr>
                <w:spacing w:val="-6"/>
                <w:sz w:val="14"/>
              </w:rPr>
              <w:t> </w:t>
            </w:r>
            <w:r>
              <w:rPr>
                <w:spacing w:val="-4"/>
                <w:sz w:val="14"/>
              </w:rPr>
              <w:t>day)</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0.73</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0.77</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5.2</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Construction</w:t>
            </w:r>
            <w:r>
              <w:rPr>
                <w:spacing w:val="-6"/>
                <w:sz w:val="14"/>
              </w:rPr>
              <w:t> </w:t>
            </w:r>
            <w:r>
              <w:rPr>
                <w:sz w:val="14"/>
              </w:rPr>
              <w:t>Zone</w:t>
            </w:r>
            <w:r>
              <w:rPr>
                <w:spacing w:val="-6"/>
                <w:sz w:val="14"/>
              </w:rPr>
              <w:t> </w:t>
            </w:r>
            <w:r>
              <w:rPr>
                <w:sz w:val="14"/>
              </w:rPr>
              <w:t>permit</w:t>
            </w:r>
            <w:r>
              <w:rPr>
                <w:spacing w:val="-5"/>
                <w:sz w:val="14"/>
              </w:rPr>
              <w:t> </w:t>
            </w:r>
            <w:r>
              <w:rPr>
                <w:sz w:val="14"/>
              </w:rPr>
              <w:t>application</w:t>
            </w:r>
            <w:r>
              <w:rPr>
                <w:spacing w:val="-3"/>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126.00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132.00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Construction</w:t>
            </w:r>
            <w:r>
              <w:rPr>
                <w:spacing w:val="-6"/>
                <w:sz w:val="14"/>
              </w:rPr>
              <w:t> </w:t>
            </w:r>
            <w:r>
              <w:rPr>
                <w:sz w:val="14"/>
              </w:rPr>
              <w:t>Zone</w:t>
            </w:r>
            <w:r>
              <w:rPr>
                <w:spacing w:val="-7"/>
                <w:sz w:val="14"/>
              </w:rPr>
              <w:t> </w:t>
            </w:r>
            <w:r>
              <w:rPr>
                <w:sz w:val="14"/>
              </w:rPr>
              <w:t>permit</w:t>
            </w:r>
            <w:r>
              <w:rPr>
                <w:spacing w:val="-5"/>
                <w:sz w:val="14"/>
              </w:rPr>
              <w:t> </w:t>
            </w:r>
            <w:r>
              <w:rPr>
                <w:sz w:val="14"/>
              </w:rPr>
              <w:t>administration</w:t>
            </w:r>
            <w:r>
              <w:rPr>
                <w:spacing w:val="-7"/>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693.00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726.00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Construction</w:t>
            </w:r>
            <w:r>
              <w:rPr>
                <w:spacing w:val="-4"/>
                <w:sz w:val="14"/>
              </w:rPr>
              <w:t> </w:t>
            </w:r>
            <w:r>
              <w:rPr>
                <w:sz w:val="14"/>
              </w:rPr>
              <w:t>Zone</w:t>
            </w:r>
            <w:r>
              <w:rPr>
                <w:spacing w:val="-4"/>
                <w:sz w:val="14"/>
              </w:rPr>
              <w:t> </w:t>
            </w:r>
            <w:r>
              <w:rPr>
                <w:sz w:val="14"/>
              </w:rPr>
              <w:t>Occupation</w:t>
            </w:r>
            <w:r>
              <w:rPr>
                <w:spacing w:val="-3"/>
                <w:sz w:val="14"/>
              </w:rPr>
              <w:t> </w:t>
            </w:r>
            <w:r>
              <w:rPr>
                <w:sz w:val="14"/>
              </w:rPr>
              <w:t>(rate</w:t>
            </w:r>
            <w:r>
              <w:rPr>
                <w:spacing w:val="-2"/>
                <w:sz w:val="14"/>
              </w:rPr>
              <w:t> </w:t>
            </w:r>
            <w:r>
              <w:rPr>
                <w:sz w:val="14"/>
              </w:rPr>
              <w:t>$</w:t>
            </w:r>
            <w:r>
              <w:rPr>
                <w:spacing w:val="-6"/>
                <w:sz w:val="14"/>
              </w:rPr>
              <w:t> </w:t>
            </w:r>
            <w:r>
              <w:rPr>
                <w:sz w:val="14"/>
              </w:rPr>
              <w:t>per</w:t>
            </w:r>
            <w:r>
              <w:rPr>
                <w:spacing w:val="-5"/>
                <w:sz w:val="14"/>
              </w:rPr>
              <w:t> </w:t>
            </w:r>
            <w:r>
              <w:rPr>
                <w:sz w:val="14"/>
              </w:rPr>
              <w:t>sqm</w:t>
            </w:r>
            <w:r>
              <w:rPr>
                <w:spacing w:val="-3"/>
                <w:sz w:val="14"/>
              </w:rPr>
              <w:t> </w:t>
            </w:r>
            <w:r>
              <w:rPr>
                <w:sz w:val="14"/>
              </w:rPr>
              <w:t>per</w:t>
            </w:r>
            <w:r>
              <w:rPr>
                <w:spacing w:val="-5"/>
                <w:sz w:val="14"/>
              </w:rPr>
              <w:t> </w:t>
            </w:r>
            <w:r>
              <w:rPr>
                <w:spacing w:val="-4"/>
                <w:sz w:val="14"/>
              </w:rPr>
              <w:t>day)</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1.46</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1.53</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Construction</w:t>
            </w:r>
            <w:r>
              <w:rPr>
                <w:spacing w:val="-4"/>
                <w:sz w:val="14"/>
              </w:rPr>
              <w:t> </w:t>
            </w:r>
            <w:r>
              <w:rPr>
                <w:sz w:val="14"/>
              </w:rPr>
              <w:t>Zone</w:t>
            </w:r>
            <w:r>
              <w:rPr>
                <w:spacing w:val="-5"/>
                <w:sz w:val="14"/>
              </w:rPr>
              <w:t> </w:t>
            </w:r>
            <w:r>
              <w:rPr>
                <w:sz w:val="14"/>
              </w:rPr>
              <w:t>permit</w:t>
            </w:r>
            <w:r>
              <w:rPr>
                <w:spacing w:val="-2"/>
                <w:sz w:val="14"/>
              </w:rPr>
              <w:t> </w:t>
            </w:r>
            <w:r>
              <w:rPr>
                <w:sz w:val="14"/>
              </w:rPr>
              <w:t>-</w:t>
            </w:r>
            <w:r>
              <w:rPr>
                <w:spacing w:val="-6"/>
                <w:sz w:val="14"/>
              </w:rPr>
              <w:t> </w:t>
            </w:r>
            <w:r>
              <w:rPr>
                <w:sz w:val="14"/>
              </w:rPr>
              <w:t>extension</w:t>
            </w:r>
            <w:r>
              <w:rPr>
                <w:spacing w:val="-5"/>
                <w:sz w:val="14"/>
              </w:rPr>
              <w:t> </w:t>
            </w:r>
            <w:r>
              <w:rPr>
                <w:sz w:val="14"/>
              </w:rPr>
              <w:t>of</w:t>
            </w:r>
            <w:r>
              <w:rPr>
                <w:spacing w:val="-3"/>
                <w:sz w:val="14"/>
              </w:rPr>
              <w:t> </w:t>
            </w:r>
            <w:r>
              <w:rPr>
                <w:sz w:val="14"/>
              </w:rPr>
              <w:t>time</w:t>
            </w:r>
            <w:r>
              <w:rPr>
                <w:spacing w:val="-5"/>
                <w:sz w:val="14"/>
              </w:rPr>
              <w:t> </w:t>
            </w:r>
            <w:r>
              <w:rPr>
                <w:sz w:val="14"/>
              </w:rPr>
              <w:t>application</w:t>
            </w:r>
            <w:r>
              <w:rPr>
                <w:spacing w:val="-5"/>
                <w:sz w:val="14"/>
              </w:rPr>
              <w:t> 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126.00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132.00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4.5</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Construction</w:t>
            </w:r>
            <w:r>
              <w:rPr>
                <w:spacing w:val="-4"/>
                <w:sz w:val="14"/>
              </w:rPr>
              <w:t> </w:t>
            </w:r>
            <w:r>
              <w:rPr>
                <w:sz w:val="14"/>
              </w:rPr>
              <w:t>zone</w:t>
            </w:r>
            <w:r>
              <w:rPr>
                <w:spacing w:val="-2"/>
                <w:sz w:val="14"/>
              </w:rPr>
              <w:t> </w:t>
            </w:r>
            <w:r>
              <w:rPr>
                <w:sz w:val="14"/>
              </w:rPr>
              <w:t>permit</w:t>
            </w:r>
            <w:r>
              <w:rPr>
                <w:spacing w:val="-5"/>
                <w:sz w:val="14"/>
              </w:rPr>
              <w:t> </w:t>
            </w:r>
            <w:r>
              <w:rPr>
                <w:sz w:val="14"/>
              </w:rPr>
              <w:t>-</w:t>
            </w:r>
            <w:r>
              <w:rPr>
                <w:spacing w:val="-3"/>
                <w:sz w:val="14"/>
              </w:rPr>
              <w:t> </w:t>
            </w:r>
            <w:r>
              <w:rPr>
                <w:sz w:val="14"/>
              </w:rPr>
              <w:t>extension</w:t>
            </w:r>
            <w:r>
              <w:rPr>
                <w:spacing w:val="-4"/>
                <w:sz w:val="14"/>
              </w:rPr>
              <w:t> </w:t>
            </w:r>
            <w:r>
              <w:rPr>
                <w:sz w:val="14"/>
              </w:rPr>
              <w:t>of</w:t>
            </w:r>
            <w:r>
              <w:rPr>
                <w:spacing w:val="-3"/>
                <w:sz w:val="14"/>
              </w:rPr>
              <w:t> </w:t>
            </w:r>
            <w:r>
              <w:rPr>
                <w:sz w:val="14"/>
              </w:rPr>
              <w:t>time</w:t>
            </w:r>
            <w:r>
              <w:rPr>
                <w:spacing w:val="-7"/>
                <w:sz w:val="14"/>
              </w:rPr>
              <w:t> </w:t>
            </w:r>
            <w:r>
              <w:rPr>
                <w:sz w:val="14"/>
              </w:rPr>
              <w:t>administration</w:t>
            </w:r>
            <w:r>
              <w:rPr>
                <w:spacing w:val="-6"/>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140.00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3"/>
              <w:jc w:val="right"/>
              <w:rPr>
                <w:sz w:val="14"/>
              </w:rPr>
            </w:pPr>
            <w:r>
              <w:rPr>
                <w:spacing w:val="-2"/>
                <w:sz w:val="14"/>
              </w:rPr>
              <w:t>147.00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Construction</w:t>
            </w:r>
            <w:r>
              <w:rPr>
                <w:spacing w:val="-4"/>
                <w:sz w:val="14"/>
              </w:rPr>
              <w:t> </w:t>
            </w:r>
            <w:r>
              <w:rPr>
                <w:sz w:val="14"/>
              </w:rPr>
              <w:t>Zone</w:t>
            </w:r>
            <w:r>
              <w:rPr>
                <w:spacing w:val="-4"/>
                <w:sz w:val="14"/>
              </w:rPr>
              <w:t> </w:t>
            </w:r>
            <w:r>
              <w:rPr>
                <w:sz w:val="14"/>
              </w:rPr>
              <w:t>occupation</w:t>
            </w:r>
            <w:r>
              <w:rPr>
                <w:spacing w:val="-3"/>
                <w:sz w:val="14"/>
              </w:rPr>
              <w:t> </w:t>
            </w:r>
            <w:r>
              <w:rPr>
                <w:sz w:val="14"/>
              </w:rPr>
              <w:t>-</w:t>
            </w:r>
            <w:r>
              <w:rPr>
                <w:spacing w:val="-5"/>
                <w:sz w:val="14"/>
              </w:rPr>
              <w:t> </w:t>
            </w:r>
            <w:r>
              <w:rPr>
                <w:sz w:val="14"/>
              </w:rPr>
              <w:t>extension</w:t>
            </w:r>
            <w:r>
              <w:rPr>
                <w:spacing w:val="-2"/>
                <w:sz w:val="14"/>
              </w:rPr>
              <w:t> </w:t>
            </w:r>
            <w:r>
              <w:rPr>
                <w:sz w:val="14"/>
              </w:rPr>
              <w:t>of</w:t>
            </w:r>
            <w:r>
              <w:rPr>
                <w:spacing w:val="-5"/>
                <w:sz w:val="14"/>
              </w:rPr>
              <w:t> </w:t>
            </w:r>
            <w:r>
              <w:rPr>
                <w:sz w:val="14"/>
              </w:rPr>
              <w:t>time</w:t>
            </w:r>
            <w:r>
              <w:rPr>
                <w:spacing w:val="-3"/>
                <w:sz w:val="14"/>
              </w:rPr>
              <w:t> </w:t>
            </w:r>
            <w:r>
              <w:rPr>
                <w:sz w:val="14"/>
              </w:rPr>
              <w:t>(rate</w:t>
            </w:r>
            <w:r>
              <w:rPr>
                <w:spacing w:val="-3"/>
                <w:sz w:val="14"/>
              </w:rPr>
              <w:t> </w:t>
            </w:r>
            <w:r>
              <w:rPr>
                <w:sz w:val="14"/>
              </w:rPr>
              <w:t>$</w:t>
            </w:r>
            <w:r>
              <w:rPr>
                <w:spacing w:val="-3"/>
                <w:sz w:val="14"/>
              </w:rPr>
              <w:t> </w:t>
            </w:r>
            <w:r>
              <w:rPr>
                <w:sz w:val="14"/>
              </w:rPr>
              <w:t>per</w:t>
            </w:r>
            <w:r>
              <w:rPr>
                <w:spacing w:val="-5"/>
                <w:sz w:val="14"/>
              </w:rPr>
              <w:t> </w:t>
            </w:r>
            <w:r>
              <w:rPr>
                <w:sz w:val="14"/>
              </w:rPr>
              <w:t>sqm</w:t>
            </w:r>
            <w:r>
              <w:rPr>
                <w:spacing w:val="-1"/>
                <w:sz w:val="14"/>
              </w:rPr>
              <w:t> </w:t>
            </w:r>
            <w:r>
              <w:rPr>
                <w:sz w:val="14"/>
              </w:rPr>
              <w:t>per</w:t>
            </w:r>
            <w:r>
              <w:rPr>
                <w:spacing w:val="-2"/>
                <w:sz w:val="14"/>
              </w:rPr>
              <w:t> </w:t>
            </w:r>
            <w:r>
              <w:rPr>
                <w:spacing w:val="-4"/>
                <w:sz w:val="14"/>
              </w:rPr>
              <w:t>day)</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1.46</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1.53</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Construction</w:t>
            </w:r>
            <w:r>
              <w:rPr>
                <w:spacing w:val="-7"/>
                <w:sz w:val="14"/>
              </w:rPr>
              <w:t> </w:t>
            </w:r>
            <w:r>
              <w:rPr>
                <w:sz w:val="14"/>
              </w:rPr>
              <w:t>zone</w:t>
            </w:r>
            <w:r>
              <w:rPr>
                <w:spacing w:val="-5"/>
                <w:sz w:val="14"/>
              </w:rPr>
              <w:t> </w:t>
            </w:r>
            <w:r>
              <w:rPr>
                <w:sz w:val="14"/>
              </w:rPr>
              <w:t>(modification</w:t>
            </w:r>
            <w:r>
              <w:rPr>
                <w:spacing w:val="-5"/>
                <w:sz w:val="14"/>
              </w:rPr>
              <w:t> </w:t>
            </w:r>
            <w:r>
              <w:rPr>
                <w:spacing w:val="-4"/>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182.00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191.00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Temporary</w:t>
            </w:r>
            <w:r>
              <w:rPr>
                <w:b/>
                <w:spacing w:val="-7"/>
                <w:sz w:val="14"/>
              </w:rPr>
              <w:t> </w:t>
            </w:r>
            <w:r>
              <w:rPr>
                <w:b/>
                <w:sz w:val="14"/>
              </w:rPr>
              <w:t>Storage</w:t>
            </w:r>
            <w:r>
              <w:rPr>
                <w:b/>
                <w:spacing w:val="-7"/>
                <w:sz w:val="14"/>
              </w:rPr>
              <w:t> </w:t>
            </w:r>
            <w:r>
              <w:rPr>
                <w:b/>
                <w:sz w:val="14"/>
              </w:rPr>
              <w:t>Container</w:t>
            </w:r>
            <w:r>
              <w:rPr>
                <w:b/>
                <w:spacing w:val="-4"/>
                <w:sz w:val="14"/>
              </w:rPr>
              <w:t> </w:t>
            </w:r>
            <w:r>
              <w:rPr>
                <w:b/>
                <w:spacing w:val="-2"/>
                <w:sz w:val="14"/>
              </w:rPr>
              <w:t>Permit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Temporary</w:t>
            </w:r>
            <w:r>
              <w:rPr>
                <w:spacing w:val="-6"/>
                <w:sz w:val="14"/>
              </w:rPr>
              <w:t> </w:t>
            </w:r>
            <w:r>
              <w:rPr>
                <w:sz w:val="14"/>
              </w:rPr>
              <w:t>Storage</w:t>
            </w:r>
            <w:r>
              <w:rPr>
                <w:spacing w:val="-6"/>
                <w:sz w:val="14"/>
              </w:rPr>
              <w:t> </w:t>
            </w:r>
            <w:r>
              <w:rPr>
                <w:sz w:val="14"/>
              </w:rPr>
              <w:t>Container</w:t>
            </w:r>
            <w:r>
              <w:rPr>
                <w:spacing w:val="-5"/>
                <w:sz w:val="14"/>
              </w:rPr>
              <w:t> </w:t>
            </w:r>
            <w:r>
              <w:rPr>
                <w:sz w:val="14"/>
              </w:rPr>
              <w:t>Permit</w:t>
            </w:r>
            <w:r>
              <w:rPr>
                <w:spacing w:val="-5"/>
                <w:sz w:val="14"/>
              </w:rPr>
              <w:t> 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532.00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532.00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Construction</w:t>
            </w:r>
            <w:r>
              <w:rPr>
                <w:spacing w:val="-6"/>
                <w:sz w:val="14"/>
              </w:rPr>
              <w:t> </w:t>
            </w:r>
            <w:r>
              <w:rPr>
                <w:sz w:val="14"/>
              </w:rPr>
              <w:t>Zone</w:t>
            </w:r>
            <w:r>
              <w:rPr>
                <w:spacing w:val="-7"/>
                <w:sz w:val="14"/>
              </w:rPr>
              <w:t> </w:t>
            </w:r>
            <w:r>
              <w:rPr>
                <w:sz w:val="14"/>
              </w:rPr>
              <w:t>(expenditure</w:t>
            </w:r>
            <w:r>
              <w:rPr>
                <w:spacing w:val="-6"/>
                <w:sz w:val="14"/>
              </w:rPr>
              <w:t> </w:t>
            </w:r>
            <w:r>
              <w:rPr>
                <w:spacing w:val="-4"/>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1,215.00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b/>
                <w:sz w:val="14"/>
              </w:rPr>
            </w:pPr>
            <w:r>
              <w:rPr>
                <w:b/>
                <w:sz w:val="14"/>
              </w:rPr>
              <w:t>Traffic</w:t>
            </w:r>
            <w:r>
              <w:rPr>
                <w:b/>
                <w:spacing w:val="-4"/>
                <w:sz w:val="14"/>
              </w:rPr>
              <w:t> </w:t>
            </w:r>
            <w:r>
              <w:rPr>
                <w:b/>
                <w:sz w:val="14"/>
              </w:rPr>
              <w:t>Management</w:t>
            </w:r>
            <w:r>
              <w:rPr>
                <w:b/>
                <w:spacing w:val="-6"/>
                <w:sz w:val="14"/>
              </w:rPr>
              <w:t> </w:t>
            </w:r>
            <w:r>
              <w:rPr>
                <w:b/>
                <w:sz w:val="14"/>
              </w:rPr>
              <w:t>Plan</w:t>
            </w:r>
            <w:r>
              <w:rPr>
                <w:b/>
                <w:spacing w:val="-3"/>
                <w:sz w:val="14"/>
              </w:rPr>
              <w:t> </w:t>
            </w:r>
            <w:r>
              <w:rPr>
                <w:b/>
                <w:sz w:val="14"/>
              </w:rPr>
              <w:t>Approval</w:t>
            </w:r>
            <w:r>
              <w:rPr>
                <w:b/>
                <w:spacing w:val="-5"/>
                <w:sz w:val="14"/>
              </w:rPr>
              <w:t> </w:t>
            </w:r>
            <w:r>
              <w:rPr>
                <w:b/>
                <w:spacing w:val="-2"/>
                <w:sz w:val="14"/>
              </w:rPr>
              <w:t>Permit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Road</w:t>
            </w:r>
            <w:r>
              <w:rPr>
                <w:spacing w:val="-4"/>
                <w:sz w:val="14"/>
              </w:rPr>
              <w:t> </w:t>
            </w:r>
            <w:r>
              <w:rPr>
                <w:sz w:val="14"/>
              </w:rPr>
              <w:t>and</w:t>
            </w:r>
            <w:r>
              <w:rPr>
                <w:spacing w:val="-2"/>
                <w:sz w:val="14"/>
              </w:rPr>
              <w:t> </w:t>
            </w:r>
            <w:r>
              <w:rPr>
                <w:sz w:val="14"/>
              </w:rPr>
              <w:t>Footpath</w:t>
            </w:r>
            <w:r>
              <w:rPr>
                <w:spacing w:val="-2"/>
                <w:sz w:val="14"/>
              </w:rPr>
              <w:t> </w:t>
            </w:r>
            <w:r>
              <w:rPr>
                <w:sz w:val="14"/>
              </w:rPr>
              <w:t>Closure</w:t>
            </w:r>
            <w:r>
              <w:rPr>
                <w:spacing w:val="-6"/>
                <w:sz w:val="14"/>
              </w:rPr>
              <w:t> </w:t>
            </w:r>
            <w:r>
              <w:rPr>
                <w:sz w:val="14"/>
              </w:rPr>
              <w:t>Permit</w:t>
            </w:r>
            <w:r>
              <w:rPr>
                <w:spacing w:val="-6"/>
                <w:sz w:val="14"/>
              </w:rPr>
              <w:t> </w:t>
            </w:r>
            <w:r>
              <w:rPr>
                <w:sz w:val="14"/>
              </w:rPr>
              <w:t>(occupation</w:t>
            </w:r>
            <w:r>
              <w:rPr>
                <w:spacing w:val="-5"/>
                <w:sz w:val="14"/>
              </w:rPr>
              <w:t> </w:t>
            </w:r>
            <w:r>
              <w:rPr>
                <w:sz w:val="14"/>
              </w:rPr>
              <w:t>rate</w:t>
            </w:r>
            <w:r>
              <w:rPr>
                <w:spacing w:val="-3"/>
                <w:sz w:val="14"/>
              </w:rPr>
              <w:t> </w:t>
            </w:r>
            <w:r>
              <w:rPr>
                <w:sz w:val="14"/>
              </w:rPr>
              <w:t>$</w:t>
            </w:r>
            <w:r>
              <w:rPr>
                <w:spacing w:val="-1"/>
                <w:sz w:val="14"/>
              </w:rPr>
              <w:t> </w:t>
            </w:r>
            <w:r>
              <w:rPr>
                <w:sz w:val="14"/>
              </w:rPr>
              <w:t>per</w:t>
            </w:r>
            <w:r>
              <w:rPr>
                <w:spacing w:val="-3"/>
                <w:sz w:val="14"/>
              </w:rPr>
              <w:t> </w:t>
            </w:r>
            <w:r>
              <w:rPr>
                <w:sz w:val="14"/>
              </w:rPr>
              <w:t>sqm per</w:t>
            </w:r>
            <w:r>
              <w:rPr>
                <w:spacing w:val="-2"/>
                <w:sz w:val="14"/>
              </w:rPr>
              <w:t> </w:t>
            </w:r>
            <w:r>
              <w:rPr>
                <w:spacing w:val="-4"/>
                <w:sz w:val="14"/>
              </w:rPr>
              <w:t>day)</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121.00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Road</w:t>
            </w:r>
            <w:r>
              <w:rPr>
                <w:spacing w:val="-4"/>
                <w:sz w:val="14"/>
              </w:rPr>
              <w:t> </w:t>
            </w:r>
            <w:r>
              <w:rPr>
                <w:sz w:val="14"/>
              </w:rPr>
              <w:t>and</w:t>
            </w:r>
            <w:r>
              <w:rPr>
                <w:spacing w:val="-3"/>
                <w:sz w:val="14"/>
              </w:rPr>
              <w:t> </w:t>
            </w:r>
            <w:r>
              <w:rPr>
                <w:sz w:val="14"/>
              </w:rPr>
              <w:t>Footpath</w:t>
            </w:r>
            <w:r>
              <w:rPr>
                <w:spacing w:val="-3"/>
                <w:sz w:val="14"/>
              </w:rPr>
              <w:t> </w:t>
            </w:r>
            <w:r>
              <w:rPr>
                <w:sz w:val="14"/>
              </w:rPr>
              <w:t>Closure</w:t>
            </w:r>
            <w:r>
              <w:rPr>
                <w:spacing w:val="-6"/>
                <w:sz w:val="14"/>
              </w:rPr>
              <w:t> </w:t>
            </w:r>
            <w:r>
              <w:rPr>
                <w:sz w:val="14"/>
              </w:rPr>
              <w:t>Permit</w:t>
            </w:r>
            <w:r>
              <w:rPr>
                <w:spacing w:val="-6"/>
                <w:sz w:val="14"/>
              </w:rPr>
              <w:t> </w:t>
            </w:r>
            <w:r>
              <w:rPr>
                <w:sz w:val="14"/>
              </w:rPr>
              <w:t>(application</w:t>
            </w:r>
            <w:r>
              <w:rPr>
                <w:spacing w:val="-2"/>
                <w:sz w:val="14"/>
              </w:rPr>
              <w:t> </w:t>
            </w:r>
            <w:r>
              <w:rPr>
                <w:spacing w:val="-4"/>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242.00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Road</w:t>
            </w:r>
            <w:r>
              <w:rPr>
                <w:spacing w:val="-5"/>
                <w:sz w:val="14"/>
              </w:rPr>
              <w:t> </w:t>
            </w:r>
            <w:r>
              <w:rPr>
                <w:sz w:val="14"/>
              </w:rPr>
              <w:t>and</w:t>
            </w:r>
            <w:r>
              <w:rPr>
                <w:spacing w:val="-3"/>
                <w:sz w:val="14"/>
              </w:rPr>
              <w:t> </w:t>
            </w:r>
            <w:r>
              <w:rPr>
                <w:sz w:val="14"/>
              </w:rPr>
              <w:t>Footpath</w:t>
            </w:r>
            <w:r>
              <w:rPr>
                <w:spacing w:val="-3"/>
                <w:sz w:val="14"/>
              </w:rPr>
              <w:t> </w:t>
            </w:r>
            <w:r>
              <w:rPr>
                <w:sz w:val="14"/>
              </w:rPr>
              <w:t>Closure</w:t>
            </w:r>
            <w:r>
              <w:rPr>
                <w:spacing w:val="-7"/>
                <w:sz w:val="14"/>
              </w:rPr>
              <w:t> </w:t>
            </w:r>
            <w:r>
              <w:rPr>
                <w:sz w:val="14"/>
              </w:rPr>
              <w:t>Permit</w:t>
            </w:r>
            <w:r>
              <w:rPr>
                <w:spacing w:val="-5"/>
                <w:sz w:val="14"/>
              </w:rPr>
              <w:t> </w:t>
            </w:r>
            <w:r>
              <w:rPr>
                <w:sz w:val="14"/>
              </w:rPr>
              <w:t>(modification</w:t>
            </w:r>
            <w:r>
              <w:rPr>
                <w:spacing w:val="-4"/>
                <w:sz w:val="14"/>
              </w:rPr>
              <w:t> 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97.00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pacing w:val="-2"/>
                <w:sz w:val="14"/>
              </w:rPr>
              <w:t>Development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Residential</w:t>
            </w:r>
            <w:r>
              <w:rPr>
                <w:spacing w:val="-5"/>
                <w:sz w:val="14"/>
              </w:rPr>
              <w:t> </w:t>
            </w:r>
            <w:r>
              <w:rPr>
                <w:sz w:val="14"/>
              </w:rPr>
              <w:t>Development</w:t>
            </w:r>
            <w:r>
              <w:rPr>
                <w:spacing w:val="-5"/>
                <w:sz w:val="14"/>
              </w:rPr>
              <w:t> </w:t>
            </w:r>
            <w:r>
              <w:rPr>
                <w:sz w:val="14"/>
              </w:rPr>
              <w:t>Plan</w:t>
            </w:r>
            <w:r>
              <w:rPr>
                <w:spacing w:val="-6"/>
                <w:sz w:val="14"/>
              </w:rPr>
              <w:t> </w:t>
            </w:r>
            <w:r>
              <w:rPr>
                <w:sz w:val="14"/>
              </w:rPr>
              <w:t>2-4</w:t>
            </w:r>
            <w:r>
              <w:rPr>
                <w:spacing w:val="-3"/>
                <w:sz w:val="14"/>
              </w:rPr>
              <w:t> </w:t>
            </w:r>
            <w:r>
              <w:rPr>
                <w:sz w:val="14"/>
              </w:rPr>
              <w:t>Lot </w:t>
            </w:r>
            <w:r>
              <w:rPr>
                <w:spacing w:val="-2"/>
                <w:sz w:val="14"/>
              </w:rPr>
              <w:t>development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393.00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412.00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Residential</w:t>
            </w:r>
            <w:r>
              <w:rPr>
                <w:spacing w:val="-5"/>
                <w:sz w:val="14"/>
              </w:rPr>
              <w:t> </w:t>
            </w:r>
            <w:r>
              <w:rPr>
                <w:sz w:val="14"/>
              </w:rPr>
              <w:t>Development</w:t>
            </w:r>
            <w:r>
              <w:rPr>
                <w:spacing w:val="-5"/>
                <w:sz w:val="14"/>
              </w:rPr>
              <w:t> </w:t>
            </w:r>
            <w:r>
              <w:rPr>
                <w:sz w:val="14"/>
              </w:rPr>
              <w:t>Plan</w:t>
            </w:r>
            <w:r>
              <w:rPr>
                <w:spacing w:val="-6"/>
                <w:sz w:val="14"/>
              </w:rPr>
              <w:t> </w:t>
            </w:r>
            <w:r>
              <w:rPr>
                <w:sz w:val="14"/>
              </w:rPr>
              <w:t>5-9</w:t>
            </w:r>
            <w:r>
              <w:rPr>
                <w:spacing w:val="-3"/>
                <w:sz w:val="14"/>
              </w:rPr>
              <w:t> </w:t>
            </w:r>
            <w:r>
              <w:rPr>
                <w:sz w:val="14"/>
              </w:rPr>
              <w:t>Lot </w:t>
            </w:r>
            <w:r>
              <w:rPr>
                <w:spacing w:val="-2"/>
                <w:sz w:val="14"/>
              </w:rPr>
              <w:t>development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938.00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3"/>
              <w:jc w:val="right"/>
              <w:rPr>
                <w:sz w:val="14"/>
              </w:rPr>
            </w:pPr>
            <w:r>
              <w:rPr>
                <w:spacing w:val="-2"/>
                <w:sz w:val="14"/>
              </w:rPr>
              <w:t>983.00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Residential</w:t>
            </w:r>
            <w:r>
              <w:rPr>
                <w:spacing w:val="-5"/>
                <w:sz w:val="14"/>
              </w:rPr>
              <w:t> </w:t>
            </w:r>
            <w:r>
              <w:rPr>
                <w:sz w:val="14"/>
              </w:rPr>
              <w:t>Development</w:t>
            </w:r>
            <w:r>
              <w:rPr>
                <w:spacing w:val="-5"/>
                <w:sz w:val="14"/>
              </w:rPr>
              <w:t> </w:t>
            </w:r>
            <w:r>
              <w:rPr>
                <w:sz w:val="14"/>
              </w:rPr>
              <w:t>Plan</w:t>
            </w:r>
            <w:r>
              <w:rPr>
                <w:spacing w:val="-6"/>
                <w:sz w:val="14"/>
              </w:rPr>
              <w:t> </w:t>
            </w:r>
            <w:r>
              <w:rPr>
                <w:sz w:val="14"/>
              </w:rPr>
              <w:t>10+</w:t>
            </w:r>
            <w:r>
              <w:rPr>
                <w:spacing w:val="-4"/>
                <w:sz w:val="14"/>
              </w:rPr>
              <w:t> </w:t>
            </w:r>
            <w:r>
              <w:rPr>
                <w:sz w:val="14"/>
              </w:rPr>
              <w:t>Lot</w:t>
            </w:r>
            <w:r>
              <w:rPr>
                <w:spacing w:val="-2"/>
                <w:sz w:val="14"/>
              </w:rPr>
              <w:t> development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1,566.00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1,641.00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Unit/Apartment</w:t>
            </w:r>
            <w:r>
              <w:rPr>
                <w:spacing w:val="-6"/>
                <w:sz w:val="14"/>
              </w:rPr>
              <w:t> </w:t>
            </w:r>
            <w:r>
              <w:rPr>
                <w:sz w:val="14"/>
              </w:rPr>
              <w:t>Development</w:t>
            </w:r>
            <w:r>
              <w:rPr>
                <w:spacing w:val="-5"/>
                <w:sz w:val="14"/>
              </w:rPr>
              <w:t> </w:t>
            </w:r>
            <w:r>
              <w:rPr>
                <w:sz w:val="14"/>
              </w:rPr>
              <w:t>Plan</w:t>
            </w:r>
            <w:r>
              <w:rPr>
                <w:spacing w:val="-5"/>
                <w:sz w:val="14"/>
              </w:rPr>
              <w:t> </w:t>
            </w:r>
            <w:r>
              <w:rPr>
                <w:sz w:val="14"/>
              </w:rPr>
              <w:t>up</w:t>
            </w:r>
            <w:r>
              <w:rPr>
                <w:spacing w:val="-4"/>
                <w:sz w:val="14"/>
              </w:rPr>
              <w:t> </w:t>
            </w:r>
            <w:r>
              <w:rPr>
                <w:sz w:val="14"/>
              </w:rPr>
              <w:t>to</w:t>
            </w:r>
            <w:r>
              <w:rPr>
                <w:spacing w:val="-7"/>
                <w:sz w:val="14"/>
              </w:rPr>
              <w:t> </w:t>
            </w:r>
            <w:r>
              <w:rPr>
                <w:sz w:val="14"/>
              </w:rPr>
              <w:t>10-unit</w:t>
            </w:r>
            <w:r>
              <w:rPr>
                <w:spacing w:val="-3"/>
                <w:sz w:val="14"/>
              </w:rPr>
              <w:t> </w:t>
            </w:r>
            <w:r>
              <w:rPr>
                <w:sz w:val="14"/>
              </w:rPr>
              <w:t>apartment</w:t>
            </w:r>
            <w:r>
              <w:rPr>
                <w:spacing w:val="-3"/>
                <w:sz w:val="14"/>
              </w:rPr>
              <w:t> </w:t>
            </w:r>
            <w:r>
              <w:rPr>
                <w:spacing w:val="-2"/>
                <w:sz w:val="14"/>
              </w:rPr>
              <w:t>building</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393.00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412.00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Unit/Apartment</w:t>
            </w:r>
            <w:r>
              <w:rPr>
                <w:spacing w:val="-8"/>
                <w:sz w:val="14"/>
              </w:rPr>
              <w:t> </w:t>
            </w:r>
            <w:r>
              <w:rPr>
                <w:sz w:val="14"/>
              </w:rPr>
              <w:t>Development</w:t>
            </w:r>
            <w:r>
              <w:rPr>
                <w:spacing w:val="-7"/>
                <w:sz w:val="14"/>
              </w:rPr>
              <w:t> </w:t>
            </w:r>
            <w:r>
              <w:rPr>
                <w:sz w:val="14"/>
              </w:rPr>
              <w:t>Plan</w:t>
            </w:r>
            <w:r>
              <w:rPr>
                <w:spacing w:val="-6"/>
                <w:sz w:val="14"/>
              </w:rPr>
              <w:t> </w:t>
            </w:r>
            <w:r>
              <w:rPr>
                <w:sz w:val="14"/>
              </w:rPr>
              <w:t>11–40-unit</w:t>
            </w:r>
            <w:r>
              <w:rPr>
                <w:spacing w:val="-6"/>
                <w:sz w:val="14"/>
              </w:rPr>
              <w:t> </w:t>
            </w:r>
            <w:r>
              <w:rPr>
                <w:sz w:val="14"/>
              </w:rPr>
              <w:t>apartment</w:t>
            </w:r>
            <w:r>
              <w:rPr>
                <w:spacing w:val="-6"/>
                <w:sz w:val="14"/>
              </w:rPr>
              <w:t> </w:t>
            </w:r>
            <w:r>
              <w:rPr>
                <w:spacing w:val="-2"/>
                <w:sz w:val="14"/>
              </w:rPr>
              <w:t>building</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938.00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983.00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Unit/Apartment</w:t>
            </w:r>
            <w:r>
              <w:rPr>
                <w:spacing w:val="-7"/>
                <w:sz w:val="14"/>
              </w:rPr>
              <w:t> </w:t>
            </w:r>
            <w:r>
              <w:rPr>
                <w:sz w:val="14"/>
              </w:rPr>
              <w:t>Development</w:t>
            </w:r>
            <w:r>
              <w:rPr>
                <w:spacing w:val="-7"/>
                <w:sz w:val="14"/>
              </w:rPr>
              <w:t> </w:t>
            </w:r>
            <w:r>
              <w:rPr>
                <w:sz w:val="14"/>
              </w:rPr>
              <w:t>Plan</w:t>
            </w:r>
            <w:r>
              <w:rPr>
                <w:spacing w:val="-6"/>
                <w:sz w:val="14"/>
              </w:rPr>
              <w:t> </w:t>
            </w:r>
            <w:r>
              <w:rPr>
                <w:sz w:val="14"/>
              </w:rPr>
              <w:t>41+</w:t>
            </w:r>
            <w:r>
              <w:rPr>
                <w:spacing w:val="-4"/>
                <w:sz w:val="14"/>
              </w:rPr>
              <w:t> </w:t>
            </w:r>
            <w:r>
              <w:rPr>
                <w:sz w:val="14"/>
              </w:rPr>
              <w:t>unit</w:t>
            </w:r>
            <w:r>
              <w:rPr>
                <w:spacing w:val="-5"/>
                <w:sz w:val="14"/>
              </w:rPr>
              <w:t> </w:t>
            </w:r>
            <w:r>
              <w:rPr>
                <w:sz w:val="14"/>
              </w:rPr>
              <w:t>apartment</w:t>
            </w:r>
            <w:r>
              <w:rPr>
                <w:spacing w:val="-4"/>
                <w:sz w:val="14"/>
              </w:rPr>
              <w:t> </w:t>
            </w:r>
            <w:r>
              <w:rPr>
                <w:spacing w:val="-2"/>
                <w:sz w:val="14"/>
              </w:rPr>
              <w:t>building</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1,566.00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1,641.00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Pr>
                <w:sz w:val="14"/>
              </w:rPr>
            </w:pPr>
            <w:r>
              <w:rPr>
                <w:sz w:val="14"/>
              </w:rPr>
              <w:t>Commercial</w:t>
            </w:r>
            <w:r>
              <w:rPr>
                <w:spacing w:val="-2"/>
                <w:sz w:val="14"/>
              </w:rPr>
              <w:t> </w:t>
            </w:r>
            <w:r>
              <w:rPr>
                <w:sz w:val="14"/>
              </w:rPr>
              <w:t>Development</w:t>
            </w:r>
            <w:r>
              <w:rPr>
                <w:spacing w:val="-4"/>
                <w:sz w:val="14"/>
              </w:rPr>
              <w:t> </w:t>
            </w:r>
            <w:r>
              <w:rPr>
                <w:sz w:val="14"/>
              </w:rPr>
              <w:t>Plans</w:t>
            </w:r>
            <w:r>
              <w:rPr>
                <w:spacing w:val="-3"/>
                <w:sz w:val="14"/>
              </w:rPr>
              <w:t> </w:t>
            </w:r>
            <w:r>
              <w:rPr>
                <w:sz w:val="14"/>
              </w:rPr>
              <w:t>(based</w:t>
            </w:r>
            <w:r>
              <w:rPr>
                <w:spacing w:val="-6"/>
                <w:sz w:val="14"/>
              </w:rPr>
              <w:t> </w:t>
            </w:r>
            <w:r>
              <w:rPr>
                <w:sz w:val="14"/>
              </w:rPr>
              <w:t>on</w:t>
            </w:r>
            <w:r>
              <w:rPr>
                <w:spacing w:val="-4"/>
                <w:sz w:val="14"/>
              </w:rPr>
              <w:t> </w:t>
            </w:r>
            <w:r>
              <w:rPr>
                <w:sz w:val="14"/>
              </w:rPr>
              <w:t>floor</w:t>
            </w:r>
            <w:r>
              <w:rPr>
                <w:spacing w:val="-3"/>
                <w:sz w:val="14"/>
              </w:rPr>
              <w:t> </w:t>
            </w:r>
            <w:r>
              <w:rPr>
                <w:sz w:val="14"/>
              </w:rPr>
              <w:t>area</w:t>
            </w:r>
            <w:r>
              <w:rPr>
                <w:spacing w:val="-3"/>
                <w:sz w:val="14"/>
              </w:rPr>
              <w:t> </w:t>
            </w:r>
            <w:r>
              <w:rPr>
                <w:sz w:val="14"/>
              </w:rPr>
              <w:t>of</w:t>
            </w:r>
            <w:r>
              <w:rPr>
                <w:spacing w:val="-2"/>
                <w:sz w:val="14"/>
              </w:rPr>
              <w:t> </w:t>
            </w:r>
            <w:r>
              <w:rPr>
                <w:sz w:val="14"/>
              </w:rPr>
              <w:t>development)</w:t>
            </w:r>
            <w:r>
              <w:rPr>
                <w:spacing w:val="-5"/>
                <w:sz w:val="14"/>
              </w:rPr>
              <w:t> </w:t>
            </w:r>
            <w:r>
              <w:rPr>
                <w:sz w:val="14"/>
              </w:rPr>
              <w:t>Small</w:t>
            </w:r>
            <w:r>
              <w:rPr>
                <w:spacing w:val="-4"/>
                <w:sz w:val="14"/>
              </w:rPr>
              <w:t> </w:t>
            </w:r>
            <w:r>
              <w:rPr>
                <w:sz w:val="14"/>
              </w:rPr>
              <w:t>commercial</w:t>
            </w:r>
            <w:r>
              <w:rPr>
                <w:spacing w:val="40"/>
                <w:sz w:val="14"/>
              </w:rPr>
              <w:t> </w:t>
            </w:r>
            <w:r>
              <w:rPr>
                <w:sz w:val="14"/>
              </w:rPr>
              <w:t>development (&lt;500m2)</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1"/>
              <w:jc w:val="right"/>
              <w:rPr>
                <w:sz w:val="14"/>
              </w:rPr>
            </w:pPr>
            <w:r>
              <w:rPr>
                <w:spacing w:val="-2"/>
                <w:sz w:val="14"/>
              </w:rPr>
              <w:t>393.00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3"/>
              <w:jc w:val="right"/>
              <w:rPr>
                <w:sz w:val="14"/>
              </w:rPr>
            </w:pPr>
            <w:r>
              <w:rPr>
                <w:spacing w:val="-2"/>
                <w:sz w:val="14"/>
              </w:rPr>
              <w:t>412.00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0" w:lineRule="exact"/>
              <w:ind w:left="95" w:right="79"/>
              <w:jc w:val="center"/>
              <w:rPr>
                <w:sz w:val="14"/>
              </w:rPr>
            </w:pPr>
            <w:r>
              <w:rPr>
                <w:spacing w:val="-5"/>
                <w:sz w:val="14"/>
              </w:rPr>
              <w:t>4.6</w:t>
            </w:r>
          </w:p>
        </w:tc>
      </w:tr>
      <w:tr>
        <w:trPr>
          <w:trHeight w:val="36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21"/>
              <w:ind w:left="107" w:right="181"/>
              <w:rPr>
                <w:sz w:val="14"/>
              </w:rPr>
            </w:pPr>
            <w:r>
              <w:rPr>
                <w:sz w:val="14"/>
              </w:rPr>
              <w:t>Commercial</w:t>
            </w:r>
            <w:r>
              <w:rPr>
                <w:spacing w:val="-2"/>
                <w:sz w:val="14"/>
              </w:rPr>
              <w:t> </w:t>
            </w:r>
            <w:r>
              <w:rPr>
                <w:sz w:val="14"/>
              </w:rPr>
              <w:t>Development</w:t>
            </w:r>
            <w:r>
              <w:rPr>
                <w:spacing w:val="-5"/>
                <w:sz w:val="14"/>
              </w:rPr>
              <w:t> </w:t>
            </w:r>
            <w:r>
              <w:rPr>
                <w:sz w:val="14"/>
              </w:rPr>
              <w:t>Plans</w:t>
            </w:r>
            <w:r>
              <w:rPr>
                <w:spacing w:val="-3"/>
                <w:sz w:val="14"/>
              </w:rPr>
              <w:t> </w:t>
            </w:r>
            <w:r>
              <w:rPr>
                <w:sz w:val="14"/>
              </w:rPr>
              <w:t>(based</w:t>
            </w:r>
            <w:r>
              <w:rPr>
                <w:spacing w:val="-7"/>
                <w:sz w:val="14"/>
              </w:rPr>
              <w:t> </w:t>
            </w:r>
            <w:r>
              <w:rPr>
                <w:sz w:val="14"/>
              </w:rPr>
              <w:t>on</w:t>
            </w:r>
            <w:r>
              <w:rPr>
                <w:spacing w:val="-5"/>
                <w:sz w:val="14"/>
              </w:rPr>
              <w:t> </w:t>
            </w:r>
            <w:r>
              <w:rPr>
                <w:sz w:val="14"/>
              </w:rPr>
              <w:t>floor</w:t>
            </w:r>
            <w:r>
              <w:rPr>
                <w:spacing w:val="-3"/>
                <w:sz w:val="14"/>
              </w:rPr>
              <w:t> </w:t>
            </w:r>
            <w:r>
              <w:rPr>
                <w:sz w:val="14"/>
              </w:rPr>
              <w:t>area</w:t>
            </w:r>
            <w:r>
              <w:rPr>
                <w:spacing w:val="-3"/>
                <w:sz w:val="14"/>
              </w:rPr>
              <w:t> </w:t>
            </w:r>
            <w:r>
              <w:rPr>
                <w:sz w:val="14"/>
              </w:rPr>
              <w:t>of</w:t>
            </w:r>
            <w:r>
              <w:rPr>
                <w:spacing w:val="-2"/>
                <w:sz w:val="14"/>
              </w:rPr>
              <w:t> </w:t>
            </w:r>
            <w:r>
              <w:rPr>
                <w:sz w:val="14"/>
              </w:rPr>
              <w:t>development)</w:t>
            </w:r>
            <w:r>
              <w:rPr>
                <w:spacing w:val="-3"/>
                <w:sz w:val="14"/>
              </w:rPr>
              <w:t> </w:t>
            </w:r>
            <w:r>
              <w:rPr>
                <w:sz w:val="14"/>
              </w:rPr>
              <w:t>Medium</w:t>
            </w:r>
            <w:r>
              <w:rPr>
                <w:spacing w:val="40"/>
                <w:sz w:val="14"/>
              </w:rPr>
              <w:t> </w:t>
            </w:r>
            <w:r>
              <w:rPr>
                <w:sz w:val="14"/>
              </w:rPr>
              <w:t>commercial development (500-2000m2)</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6"/>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6"/>
              <w:rPr>
                <w:sz w:val="17"/>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6"/>
              <w:rPr>
                <w:sz w:val="17"/>
              </w:rPr>
            </w:pPr>
          </w:p>
          <w:p>
            <w:pPr>
              <w:pStyle w:val="TableParagraph"/>
              <w:spacing w:line="140" w:lineRule="exact"/>
              <w:ind w:right="91"/>
              <w:jc w:val="right"/>
              <w:rPr>
                <w:sz w:val="14"/>
              </w:rPr>
            </w:pPr>
            <w:r>
              <w:rPr>
                <w:spacing w:val="-2"/>
                <w:sz w:val="14"/>
              </w:rPr>
              <w:t>938.00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6"/>
              <w:rPr>
                <w:sz w:val="17"/>
              </w:rPr>
            </w:pPr>
          </w:p>
          <w:p>
            <w:pPr>
              <w:pStyle w:val="TableParagraph"/>
              <w:spacing w:line="140" w:lineRule="exact"/>
              <w:ind w:right="93"/>
              <w:jc w:val="right"/>
              <w:rPr>
                <w:sz w:val="14"/>
              </w:rPr>
            </w:pPr>
            <w:r>
              <w:rPr>
                <w:spacing w:val="-2"/>
                <w:sz w:val="14"/>
              </w:rPr>
              <w:t>983.00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6"/>
              <w:rPr>
                <w:sz w:val="17"/>
              </w:rPr>
            </w:pPr>
          </w:p>
          <w:p>
            <w:pPr>
              <w:pStyle w:val="TableParagraph"/>
              <w:spacing w:line="140" w:lineRule="exact"/>
              <w:ind w:left="95" w:right="79"/>
              <w:jc w:val="center"/>
              <w:rPr>
                <w:sz w:val="14"/>
              </w:rPr>
            </w:pPr>
            <w:r>
              <w:rPr>
                <w:spacing w:val="-5"/>
                <w:sz w:val="14"/>
              </w:rPr>
              <w:t>4.6</w:t>
            </w: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Pr>
                <w:sz w:val="14"/>
              </w:rPr>
            </w:pPr>
            <w:r>
              <w:rPr>
                <w:sz w:val="14"/>
              </w:rPr>
              <w:t>Commercial</w:t>
            </w:r>
            <w:r>
              <w:rPr>
                <w:spacing w:val="-2"/>
                <w:sz w:val="14"/>
              </w:rPr>
              <w:t> </w:t>
            </w:r>
            <w:r>
              <w:rPr>
                <w:sz w:val="14"/>
              </w:rPr>
              <w:t>Development</w:t>
            </w:r>
            <w:r>
              <w:rPr>
                <w:spacing w:val="-5"/>
                <w:sz w:val="14"/>
              </w:rPr>
              <w:t> </w:t>
            </w:r>
            <w:r>
              <w:rPr>
                <w:sz w:val="14"/>
              </w:rPr>
              <w:t>Plans</w:t>
            </w:r>
            <w:r>
              <w:rPr>
                <w:spacing w:val="-3"/>
                <w:sz w:val="14"/>
              </w:rPr>
              <w:t> </w:t>
            </w:r>
            <w:r>
              <w:rPr>
                <w:sz w:val="14"/>
              </w:rPr>
              <w:t>(based</w:t>
            </w:r>
            <w:r>
              <w:rPr>
                <w:spacing w:val="-6"/>
                <w:sz w:val="14"/>
              </w:rPr>
              <w:t> </w:t>
            </w:r>
            <w:r>
              <w:rPr>
                <w:sz w:val="14"/>
              </w:rPr>
              <w:t>on</w:t>
            </w:r>
            <w:r>
              <w:rPr>
                <w:spacing w:val="-5"/>
                <w:sz w:val="14"/>
              </w:rPr>
              <w:t> </w:t>
            </w:r>
            <w:r>
              <w:rPr>
                <w:sz w:val="14"/>
              </w:rPr>
              <w:t>floor</w:t>
            </w:r>
            <w:r>
              <w:rPr>
                <w:spacing w:val="-3"/>
                <w:sz w:val="14"/>
              </w:rPr>
              <w:t> </w:t>
            </w:r>
            <w:r>
              <w:rPr>
                <w:sz w:val="14"/>
              </w:rPr>
              <w:t>area</w:t>
            </w:r>
            <w:r>
              <w:rPr>
                <w:spacing w:val="-3"/>
                <w:sz w:val="14"/>
              </w:rPr>
              <w:t> </w:t>
            </w:r>
            <w:r>
              <w:rPr>
                <w:sz w:val="14"/>
              </w:rPr>
              <w:t>of</w:t>
            </w:r>
            <w:r>
              <w:rPr>
                <w:spacing w:val="-2"/>
                <w:sz w:val="14"/>
              </w:rPr>
              <w:t> </w:t>
            </w:r>
            <w:r>
              <w:rPr>
                <w:sz w:val="14"/>
              </w:rPr>
              <w:t>development)</w:t>
            </w:r>
            <w:r>
              <w:rPr>
                <w:spacing w:val="-5"/>
                <w:sz w:val="14"/>
              </w:rPr>
              <w:t> </w:t>
            </w:r>
            <w:r>
              <w:rPr>
                <w:sz w:val="14"/>
              </w:rPr>
              <w:t>Large</w:t>
            </w:r>
            <w:r>
              <w:rPr>
                <w:spacing w:val="-4"/>
                <w:sz w:val="14"/>
              </w:rPr>
              <w:t> </w:t>
            </w:r>
            <w:r>
              <w:rPr>
                <w:sz w:val="14"/>
              </w:rPr>
              <w:t>Commercial</w:t>
            </w:r>
            <w:r>
              <w:rPr>
                <w:spacing w:val="40"/>
                <w:sz w:val="14"/>
              </w:rPr>
              <w:t> </w:t>
            </w:r>
            <w:r>
              <w:rPr>
                <w:sz w:val="14"/>
              </w:rPr>
              <w:t>development (2000m2+)</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1"/>
              <w:jc w:val="right"/>
              <w:rPr>
                <w:sz w:val="14"/>
              </w:rPr>
            </w:pPr>
            <w:r>
              <w:rPr>
                <w:spacing w:val="-2"/>
                <w:sz w:val="14"/>
              </w:rPr>
              <w:t>1,566.00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2"/>
              <w:jc w:val="right"/>
              <w:rPr>
                <w:sz w:val="14"/>
              </w:rPr>
            </w:pPr>
            <w:r>
              <w:rPr>
                <w:spacing w:val="-2"/>
                <w:sz w:val="14"/>
              </w:rPr>
              <w:t>1,641.00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0" w:lineRule="exact"/>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w w:val="95"/>
                <w:sz w:val="14"/>
              </w:rPr>
              <w:t>Single</w:t>
            </w:r>
            <w:r>
              <w:rPr>
                <w:spacing w:val="43"/>
                <w:sz w:val="14"/>
              </w:rPr>
              <w:t> </w:t>
            </w:r>
            <w:r>
              <w:rPr>
                <w:w w:val="95"/>
                <w:sz w:val="14"/>
              </w:rPr>
              <w:t>Industrial/factory/warehouse</w:t>
            </w:r>
            <w:r>
              <w:rPr>
                <w:spacing w:val="45"/>
                <w:sz w:val="14"/>
              </w:rPr>
              <w:t> </w:t>
            </w:r>
            <w:r>
              <w:rPr>
                <w:spacing w:val="-2"/>
                <w:w w:val="95"/>
                <w:sz w:val="14"/>
              </w:rPr>
              <w:t>development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393.00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412.00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w w:val="95"/>
                <w:sz w:val="14"/>
              </w:rPr>
              <w:t>2-5</w:t>
            </w:r>
            <w:r>
              <w:rPr>
                <w:spacing w:val="39"/>
                <w:sz w:val="14"/>
              </w:rPr>
              <w:t> </w:t>
            </w:r>
            <w:r>
              <w:rPr>
                <w:w w:val="95"/>
                <w:sz w:val="14"/>
              </w:rPr>
              <w:t>industrial/factory/warehouse</w:t>
            </w:r>
            <w:r>
              <w:rPr>
                <w:spacing w:val="39"/>
                <w:sz w:val="14"/>
              </w:rPr>
              <w:t> </w:t>
            </w:r>
            <w:r>
              <w:rPr>
                <w:spacing w:val="-2"/>
                <w:w w:val="95"/>
                <w:sz w:val="14"/>
              </w:rPr>
              <w:t>developments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938.00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983.00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w w:val="95"/>
                <w:sz w:val="14"/>
              </w:rPr>
              <w:t>6+</w:t>
            </w:r>
            <w:r>
              <w:rPr>
                <w:spacing w:val="36"/>
                <w:sz w:val="14"/>
              </w:rPr>
              <w:t> </w:t>
            </w:r>
            <w:r>
              <w:rPr>
                <w:w w:val="95"/>
                <w:sz w:val="14"/>
              </w:rPr>
              <w:t>industrial/factory/warehouse</w:t>
            </w:r>
            <w:r>
              <w:rPr>
                <w:spacing w:val="39"/>
                <w:sz w:val="14"/>
              </w:rPr>
              <w:t> </w:t>
            </w:r>
            <w:r>
              <w:rPr>
                <w:spacing w:val="-2"/>
                <w:w w:val="95"/>
                <w:sz w:val="14"/>
              </w:rPr>
              <w:t>developments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1,566.00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1,641.00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Construction</w:t>
            </w:r>
            <w:r>
              <w:rPr>
                <w:spacing w:val="-7"/>
                <w:sz w:val="14"/>
              </w:rPr>
              <w:t> </w:t>
            </w:r>
            <w:r>
              <w:rPr>
                <w:sz w:val="14"/>
              </w:rPr>
              <w:t>Management</w:t>
            </w:r>
            <w:r>
              <w:rPr>
                <w:spacing w:val="-7"/>
                <w:sz w:val="14"/>
              </w:rPr>
              <w:t> </w:t>
            </w:r>
            <w:r>
              <w:rPr>
                <w:sz w:val="14"/>
              </w:rPr>
              <w:t>Plan</w:t>
            </w:r>
            <w:r>
              <w:rPr>
                <w:spacing w:val="-7"/>
                <w:sz w:val="14"/>
              </w:rPr>
              <w:t> </w:t>
            </w:r>
            <w:r>
              <w:rPr>
                <w:sz w:val="14"/>
              </w:rPr>
              <w:t>Residential</w:t>
            </w:r>
            <w:r>
              <w:rPr>
                <w:spacing w:val="-7"/>
                <w:sz w:val="14"/>
              </w:rPr>
              <w:t> </w:t>
            </w:r>
            <w:r>
              <w:rPr>
                <w:spacing w:val="-2"/>
                <w:sz w:val="14"/>
              </w:rPr>
              <w:t>Development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393.00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412.00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Construction</w:t>
            </w:r>
            <w:r>
              <w:rPr>
                <w:spacing w:val="-4"/>
                <w:sz w:val="14"/>
              </w:rPr>
              <w:t> </w:t>
            </w:r>
            <w:r>
              <w:rPr>
                <w:sz w:val="14"/>
              </w:rPr>
              <w:t>Management</w:t>
            </w:r>
            <w:r>
              <w:rPr>
                <w:spacing w:val="-5"/>
                <w:sz w:val="14"/>
              </w:rPr>
              <w:t> </w:t>
            </w:r>
            <w:r>
              <w:rPr>
                <w:sz w:val="14"/>
              </w:rPr>
              <w:t>Plan</w:t>
            </w:r>
            <w:r>
              <w:rPr>
                <w:spacing w:val="-4"/>
                <w:sz w:val="14"/>
              </w:rPr>
              <w:t> </w:t>
            </w:r>
            <w:r>
              <w:rPr>
                <w:sz w:val="14"/>
              </w:rPr>
              <w:t>Multi</w:t>
            </w:r>
            <w:r>
              <w:rPr>
                <w:spacing w:val="-5"/>
                <w:sz w:val="14"/>
              </w:rPr>
              <w:t> </w:t>
            </w:r>
            <w:r>
              <w:rPr>
                <w:sz w:val="14"/>
              </w:rPr>
              <w:t>story</w:t>
            </w:r>
            <w:r>
              <w:rPr>
                <w:spacing w:val="-5"/>
                <w:sz w:val="14"/>
              </w:rPr>
              <w:t> </w:t>
            </w:r>
            <w:r>
              <w:rPr>
                <w:sz w:val="14"/>
              </w:rPr>
              <w:t>/</w:t>
            </w:r>
            <w:r>
              <w:rPr>
                <w:spacing w:val="-3"/>
                <w:sz w:val="14"/>
              </w:rPr>
              <w:t> </w:t>
            </w:r>
            <w:r>
              <w:rPr>
                <w:sz w:val="14"/>
              </w:rPr>
              <w:t>Commercial</w:t>
            </w:r>
            <w:r>
              <w:rPr>
                <w:spacing w:val="-5"/>
                <w:sz w:val="14"/>
              </w:rPr>
              <w:t> </w:t>
            </w:r>
            <w:r>
              <w:rPr>
                <w:sz w:val="14"/>
              </w:rPr>
              <w:t>/</w:t>
            </w:r>
            <w:r>
              <w:rPr>
                <w:spacing w:val="-6"/>
                <w:sz w:val="14"/>
              </w:rPr>
              <w:t> </w:t>
            </w:r>
            <w:r>
              <w:rPr>
                <w:spacing w:val="-2"/>
                <w:sz w:val="14"/>
              </w:rPr>
              <w:t>industrial</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938.48</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3"/>
              <w:jc w:val="right"/>
              <w:rPr>
                <w:sz w:val="14"/>
              </w:rPr>
            </w:pPr>
            <w:r>
              <w:rPr>
                <w:spacing w:val="-2"/>
                <w:sz w:val="14"/>
              </w:rPr>
              <w:t>983.00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4.5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Amended</w:t>
            </w:r>
            <w:r>
              <w:rPr>
                <w:spacing w:val="-8"/>
                <w:sz w:val="14"/>
              </w:rPr>
              <w:t> </w:t>
            </w:r>
            <w:r>
              <w:rPr>
                <w:sz w:val="14"/>
              </w:rPr>
              <w:t>Endorsed</w:t>
            </w:r>
            <w:r>
              <w:rPr>
                <w:spacing w:val="-8"/>
                <w:sz w:val="14"/>
              </w:rPr>
              <w:t> </w:t>
            </w:r>
            <w:r>
              <w:rPr>
                <w:sz w:val="14"/>
              </w:rPr>
              <w:t>Engineering</w:t>
            </w:r>
            <w:r>
              <w:rPr>
                <w:spacing w:val="-7"/>
                <w:sz w:val="14"/>
              </w:rPr>
              <w:t> </w:t>
            </w:r>
            <w:r>
              <w:rPr>
                <w:spacing w:val="-4"/>
                <w:sz w:val="14"/>
              </w:rPr>
              <w:t>Plans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359.30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359.30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373"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before="108"/>
              <w:ind w:left="107"/>
              <w:rPr>
                <w:sz w:val="14"/>
              </w:rPr>
            </w:pPr>
            <w:r>
              <w:rPr>
                <w:sz w:val="14"/>
              </w:rPr>
              <w:t>Subdivisions</w:t>
            </w:r>
            <w:r>
              <w:rPr>
                <w:spacing w:val="-6"/>
                <w:sz w:val="14"/>
              </w:rPr>
              <w:t> </w:t>
            </w:r>
            <w:r>
              <w:rPr>
                <w:sz w:val="14"/>
              </w:rPr>
              <w:t>Supervision,</w:t>
            </w:r>
            <w:r>
              <w:rPr>
                <w:spacing w:val="-3"/>
                <w:sz w:val="14"/>
              </w:rPr>
              <w:t> </w:t>
            </w:r>
            <w:r>
              <w:rPr>
                <w:sz w:val="14"/>
              </w:rPr>
              <w:t>Fee</w:t>
            </w:r>
            <w:r>
              <w:rPr>
                <w:spacing w:val="-4"/>
                <w:sz w:val="14"/>
              </w:rPr>
              <w:t> </w:t>
            </w:r>
            <w:r>
              <w:rPr>
                <w:sz w:val="14"/>
              </w:rPr>
              <w:t>set</w:t>
            </w:r>
            <w:r>
              <w:rPr>
                <w:spacing w:val="-6"/>
                <w:sz w:val="14"/>
              </w:rPr>
              <w:t> </w:t>
            </w:r>
            <w:r>
              <w:rPr>
                <w:sz w:val="14"/>
              </w:rPr>
              <w:t>by</w:t>
            </w:r>
            <w:r>
              <w:rPr>
                <w:spacing w:val="-4"/>
                <w:sz w:val="14"/>
              </w:rPr>
              <w:t> </w:t>
            </w:r>
            <w:r>
              <w:rPr>
                <w:sz w:val="14"/>
              </w:rPr>
              <w:t>Subdivision</w:t>
            </w:r>
            <w:r>
              <w:rPr>
                <w:spacing w:val="-4"/>
                <w:sz w:val="14"/>
              </w:rPr>
              <w:t> </w:t>
            </w:r>
            <w:r>
              <w:rPr>
                <w:spacing w:val="-5"/>
                <w:sz w:val="14"/>
              </w:rPr>
              <w:t>Act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7"/>
              <w:rPr>
                <w:sz w:val="18"/>
              </w:rPr>
            </w:pPr>
          </w:p>
          <w:p>
            <w:pPr>
              <w:pStyle w:val="TableParagraph"/>
              <w:spacing w:line="140" w:lineRule="exact"/>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7"/>
              <w:rPr>
                <w:sz w:val="18"/>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27"/>
              <w:ind w:left="151" w:firstLine="86"/>
              <w:rPr>
                <w:sz w:val="14"/>
              </w:rPr>
            </w:pPr>
            <w:r>
              <w:rPr>
                <w:sz w:val="14"/>
              </w:rPr>
              <w:t>Price on</w:t>
            </w:r>
            <w:r>
              <w:rPr>
                <w:spacing w:val="40"/>
                <w:sz w:val="14"/>
              </w:rPr>
              <w:t> </w:t>
            </w:r>
            <w:r>
              <w:rPr>
                <w:spacing w:val="-2"/>
                <w:sz w:val="14"/>
              </w:rPr>
              <w:t>Application</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27"/>
              <w:ind w:left="262" w:right="192" w:firstLine="86"/>
              <w:rPr>
                <w:sz w:val="14"/>
              </w:rPr>
            </w:pPr>
            <w:r>
              <w:rPr>
                <w:sz w:val="14"/>
              </w:rPr>
              <w:t>Price on</w:t>
            </w:r>
            <w:r>
              <w:rPr>
                <w:spacing w:val="40"/>
                <w:sz w:val="14"/>
              </w:rPr>
              <w:t> </w:t>
            </w:r>
            <w:r>
              <w:rPr>
                <w:spacing w:val="-2"/>
                <w:sz w:val="14"/>
              </w:rPr>
              <w:t>Application</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4"/>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w w:val="95"/>
                <w:sz w:val="14"/>
              </w:rPr>
              <w:t>Engineering</w:t>
            </w:r>
            <w:r>
              <w:rPr>
                <w:b/>
                <w:spacing w:val="30"/>
                <w:sz w:val="14"/>
              </w:rPr>
              <w:t> </w:t>
            </w:r>
            <w:r>
              <w:rPr>
                <w:b/>
                <w:spacing w:val="-2"/>
                <w:sz w:val="14"/>
              </w:rPr>
              <w:t>Services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9"/>
              <w:ind w:left="107"/>
              <w:rPr>
                <w:sz w:val="14"/>
              </w:rPr>
            </w:pPr>
            <w:r>
              <w:rPr>
                <w:sz w:val="14"/>
              </w:rPr>
              <w:t>Build</w:t>
            </w:r>
            <w:r>
              <w:rPr>
                <w:spacing w:val="-7"/>
                <w:sz w:val="14"/>
              </w:rPr>
              <w:t> </w:t>
            </w:r>
            <w:r>
              <w:rPr>
                <w:sz w:val="14"/>
              </w:rPr>
              <w:t>Over</w:t>
            </w:r>
            <w:r>
              <w:rPr>
                <w:spacing w:val="-2"/>
                <w:sz w:val="14"/>
              </w:rPr>
              <w:t> </w:t>
            </w:r>
            <w:r>
              <w:rPr>
                <w:sz w:val="14"/>
              </w:rPr>
              <w:t>Easement</w:t>
            </w:r>
            <w:r>
              <w:rPr>
                <w:spacing w:val="-5"/>
                <w:sz w:val="14"/>
              </w:rPr>
              <w:t> </w:t>
            </w:r>
            <w:r>
              <w:rPr>
                <w:spacing w:val="-2"/>
                <w:sz w:val="14"/>
              </w:rPr>
              <w:t>Application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1"/>
              <w:jc w:val="right"/>
              <w:rPr>
                <w:sz w:val="14"/>
              </w:rPr>
            </w:pPr>
            <w:r>
              <w:rPr>
                <w:spacing w:val="-2"/>
                <w:sz w:val="14"/>
              </w:rPr>
              <w:t>320.25</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2"/>
              <w:jc w:val="right"/>
              <w:rPr>
                <w:sz w:val="14"/>
              </w:rPr>
            </w:pPr>
            <w:r>
              <w:rPr>
                <w:spacing w:val="-2"/>
                <w:sz w:val="14"/>
              </w:rPr>
              <w:t>320.25</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2" w:lineRule="exact" w:before="19"/>
              <w:ind w:left="95" w:right="80"/>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Building</w:t>
            </w:r>
            <w:r>
              <w:rPr>
                <w:b/>
                <w:spacing w:val="-7"/>
                <w:sz w:val="14"/>
              </w:rPr>
              <w:t> </w:t>
            </w:r>
            <w:r>
              <w:rPr>
                <w:b/>
                <w:spacing w:val="-2"/>
                <w:sz w:val="14"/>
              </w:rPr>
              <w:t>Services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bl>
    <w:p>
      <w:pPr>
        <w:spacing w:after="0"/>
        <w:rPr>
          <w:rFonts w:ascii="Times New Roman"/>
          <w:sz w:val="12"/>
        </w:rPr>
        <w:sectPr>
          <w:type w:val="continuous"/>
          <w:pgSz w:w="11910" w:h="16840"/>
          <w:pgMar w:header="0" w:footer="378" w:top="680" w:bottom="975" w:left="520" w:right="520"/>
        </w:sectPr>
      </w:pPr>
    </w:p>
    <w:tbl>
      <w:tblPr>
        <w:tblW w:w="0" w:type="auto"/>
        <w:jc w:val="left"/>
        <w:tblInd w:w="13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70"/>
        <w:gridCol w:w="1028"/>
        <w:gridCol w:w="769"/>
        <w:gridCol w:w="973"/>
        <w:gridCol w:w="1199"/>
        <w:gridCol w:w="897"/>
      </w:tblGrid>
      <w:tr>
        <w:trPr>
          <w:trHeight w:val="232" w:hRule="atLeast"/>
        </w:trPr>
        <w:tc>
          <w:tcPr>
            <w:tcW w:w="10636" w:type="dxa"/>
            <w:gridSpan w:val="6"/>
            <w:tcBorders>
              <w:left w:val="single" w:sz="12" w:space="0" w:color="000000"/>
              <w:bottom w:val="single" w:sz="4" w:space="0" w:color="000000"/>
              <w:right w:val="single" w:sz="12" w:space="0" w:color="000000"/>
            </w:tcBorders>
            <w:shd w:val="clear" w:color="auto" w:fill="3399FF"/>
          </w:tcPr>
          <w:p>
            <w:pPr>
              <w:pStyle w:val="TableParagraph"/>
              <w:spacing w:before="32"/>
              <w:ind w:left="4308" w:right="4290"/>
              <w:jc w:val="center"/>
              <w:rPr>
                <w:b/>
                <w:sz w:val="14"/>
              </w:rPr>
            </w:pPr>
            <w:r>
              <w:rPr>
                <w:b/>
                <w:color w:val="FFFFFF"/>
                <w:sz w:val="14"/>
              </w:rPr>
              <w:t>FEES</w:t>
            </w:r>
            <w:r>
              <w:rPr>
                <w:b/>
                <w:color w:val="FFFFFF"/>
                <w:spacing w:val="-5"/>
                <w:sz w:val="14"/>
              </w:rPr>
              <w:t> </w:t>
            </w:r>
            <w:r>
              <w:rPr>
                <w:b/>
                <w:color w:val="FFFFFF"/>
                <w:sz w:val="14"/>
              </w:rPr>
              <w:t>AND</w:t>
            </w:r>
            <w:r>
              <w:rPr>
                <w:b/>
                <w:color w:val="FFFFFF"/>
                <w:spacing w:val="-4"/>
                <w:sz w:val="14"/>
              </w:rPr>
              <w:t> </w:t>
            </w:r>
            <w:r>
              <w:rPr>
                <w:b/>
                <w:color w:val="FFFFFF"/>
                <w:sz w:val="14"/>
              </w:rPr>
              <w:t>CHARGES</w:t>
            </w:r>
            <w:r>
              <w:rPr>
                <w:b/>
                <w:color w:val="FFFFFF"/>
                <w:spacing w:val="-1"/>
                <w:sz w:val="14"/>
              </w:rPr>
              <w:t> </w:t>
            </w:r>
            <w:r>
              <w:rPr>
                <w:b/>
                <w:color w:val="FFFFFF"/>
                <w:spacing w:val="-2"/>
                <w:sz w:val="14"/>
              </w:rPr>
              <w:t>2025/26</w:t>
            </w:r>
          </w:p>
        </w:tc>
      </w:tr>
      <w:tr>
        <w:trPr>
          <w:trHeight w:val="858" w:hRule="atLeast"/>
        </w:trPr>
        <w:tc>
          <w:tcPr>
            <w:tcW w:w="5770" w:type="dxa"/>
            <w:tcBorders>
              <w:top w:val="single" w:sz="4" w:space="0" w:color="000000"/>
              <w:left w:val="single" w:sz="12" w:space="0" w:color="000000"/>
              <w:bottom w:val="single" w:sz="4" w:space="0" w:color="000000"/>
              <w:right w:val="single" w:sz="4"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107"/>
              <w:rPr>
                <w:b/>
                <w:sz w:val="14"/>
              </w:rPr>
            </w:pPr>
            <w:r>
              <w:rPr>
                <w:b/>
                <w:color w:val="FFFFFF"/>
                <w:sz w:val="14"/>
              </w:rPr>
              <w:t>Account</w:t>
            </w:r>
            <w:r>
              <w:rPr>
                <w:b/>
                <w:color w:val="FFFFFF"/>
                <w:spacing w:val="-7"/>
                <w:sz w:val="14"/>
              </w:rPr>
              <w:t> </w:t>
            </w:r>
            <w:r>
              <w:rPr>
                <w:b/>
                <w:color w:val="FFFFFF"/>
                <w:spacing w:val="-2"/>
                <w:sz w:val="14"/>
              </w:rPr>
              <w:t>Description</w:t>
            </w:r>
          </w:p>
        </w:tc>
        <w:tc>
          <w:tcPr>
            <w:tcW w:w="1028"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26" w:right="101" w:firstLine="4"/>
              <w:jc w:val="center"/>
              <w:rPr>
                <w:b/>
                <w:sz w:val="14"/>
              </w:rPr>
            </w:pPr>
            <w:r>
              <w:rPr>
                <w:b/>
                <w:color w:val="FFFFFF"/>
                <w:sz w:val="14"/>
              </w:rPr>
              <w:t>Fee</w:t>
            </w:r>
            <w:r>
              <w:rPr>
                <w:b/>
                <w:color w:val="FFFFFF"/>
                <w:spacing w:val="-6"/>
                <w:sz w:val="14"/>
              </w:rPr>
              <w:t> </w:t>
            </w:r>
            <w:r>
              <w:rPr>
                <w:b/>
                <w:color w:val="FFFFFF"/>
                <w:sz w:val="14"/>
              </w:rPr>
              <w:t>Type</w:t>
            </w:r>
            <w:r>
              <w:rPr>
                <w:b/>
                <w:color w:val="FFFFFF"/>
                <w:spacing w:val="40"/>
                <w:sz w:val="14"/>
              </w:rPr>
              <w:t> </w:t>
            </w:r>
            <w:r>
              <w:rPr>
                <w:b/>
                <w:color w:val="FFFFFF"/>
                <w:spacing w:val="-2"/>
                <w:sz w:val="14"/>
              </w:rPr>
              <w:t>N=Non-</w:t>
            </w:r>
            <w:r>
              <w:rPr>
                <w:b/>
                <w:color w:val="FFFFFF"/>
                <w:spacing w:val="40"/>
                <w:sz w:val="14"/>
              </w:rPr>
              <w:t> </w:t>
            </w:r>
            <w:r>
              <w:rPr>
                <w:b/>
                <w:color w:val="FFFFFF"/>
                <w:spacing w:val="-2"/>
                <w:sz w:val="14"/>
              </w:rPr>
              <w:t>Statutory</w:t>
            </w:r>
            <w:r>
              <w:rPr>
                <w:b/>
                <w:color w:val="FFFFFF"/>
                <w:spacing w:val="40"/>
                <w:sz w:val="14"/>
              </w:rPr>
              <w:t> </w:t>
            </w:r>
            <w:r>
              <w:rPr>
                <w:b/>
                <w:color w:val="FFFFFF"/>
                <w:spacing w:val="-2"/>
                <w:sz w:val="14"/>
              </w:rPr>
              <w:t>S=Statutory</w:t>
            </w:r>
          </w:p>
        </w:tc>
        <w:tc>
          <w:tcPr>
            <w:tcW w:w="76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4"/>
              <w:rPr>
                <w:sz w:val="23"/>
              </w:rPr>
            </w:pPr>
          </w:p>
          <w:p>
            <w:pPr>
              <w:pStyle w:val="TableParagraph"/>
              <w:spacing w:before="1"/>
              <w:ind w:left="248"/>
              <w:rPr>
                <w:b/>
                <w:sz w:val="14"/>
              </w:rPr>
            </w:pPr>
            <w:r>
              <w:rPr>
                <w:b/>
                <w:color w:val="FFFFFF"/>
                <w:spacing w:val="-5"/>
                <w:sz w:val="14"/>
              </w:rPr>
              <w:t>GST</w:t>
            </w:r>
          </w:p>
          <w:p>
            <w:pPr>
              <w:pStyle w:val="TableParagraph"/>
              <w:ind w:left="154"/>
              <w:rPr>
                <w:b/>
                <w:sz w:val="14"/>
              </w:rPr>
            </w:pPr>
            <w:r>
              <w:rPr>
                <w:b/>
                <w:color w:val="FFFFFF"/>
                <w:spacing w:val="-2"/>
                <w:sz w:val="14"/>
              </w:rPr>
              <w:t>Yes/No</w:t>
            </w:r>
          </w:p>
        </w:tc>
        <w:tc>
          <w:tcPr>
            <w:tcW w:w="973"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05" w:right="84"/>
              <w:jc w:val="center"/>
              <w:rPr>
                <w:b/>
                <w:sz w:val="14"/>
              </w:rPr>
            </w:pPr>
            <w:r>
              <w:rPr>
                <w:b/>
                <w:color w:val="FFFFFF"/>
                <w:spacing w:val="-2"/>
                <w:sz w:val="14"/>
              </w:rPr>
              <w:t>2024/25</w:t>
            </w:r>
          </w:p>
          <w:p>
            <w:pPr>
              <w:pStyle w:val="TableParagraph"/>
              <w:ind w:left="189" w:right="168" w:firstLine="1"/>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40"/>
                <w:sz w:val="14"/>
              </w:rPr>
              <w:t> </w:t>
            </w:r>
            <w:r>
              <w:rPr>
                <w:b/>
                <w:color w:val="FFFFFF"/>
                <w:sz w:val="14"/>
              </w:rPr>
              <w:t>Incl.</w:t>
            </w:r>
            <w:r>
              <w:rPr>
                <w:b/>
                <w:color w:val="FFFFFF"/>
                <w:spacing w:val="-5"/>
                <w:sz w:val="14"/>
              </w:rPr>
              <w:t> </w:t>
            </w:r>
            <w:r>
              <w:rPr>
                <w:b/>
                <w:color w:val="FFFFFF"/>
                <w:spacing w:val="-5"/>
                <w:sz w:val="14"/>
              </w:rPr>
              <w:t>GST</w:t>
            </w:r>
          </w:p>
        </w:tc>
        <w:tc>
          <w:tcPr>
            <w:tcW w:w="119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56" w:right="137"/>
              <w:jc w:val="center"/>
              <w:rPr>
                <w:b/>
                <w:sz w:val="14"/>
              </w:rPr>
            </w:pPr>
            <w:r>
              <w:rPr>
                <w:b/>
                <w:color w:val="FFFFFF"/>
                <w:spacing w:val="-2"/>
                <w:sz w:val="14"/>
              </w:rPr>
              <w:t>2025/26</w:t>
            </w:r>
          </w:p>
          <w:p>
            <w:pPr>
              <w:pStyle w:val="TableParagraph"/>
              <w:ind w:left="164" w:right="146" w:firstLine="2"/>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8"/>
                <w:sz w:val="14"/>
              </w:rPr>
              <w:t> </w:t>
            </w:r>
            <w:r>
              <w:rPr>
                <w:b/>
                <w:color w:val="FFFFFF"/>
                <w:spacing w:val="-2"/>
                <w:sz w:val="14"/>
              </w:rPr>
              <w:t>Incl.</w:t>
            </w:r>
          </w:p>
          <w:p>
            <w:pPr>
              <w:pStyle w:val="TableParagraph"/>
              <w:spacing w:line="161" w:lineRule="exact"/>
              <w:ind w:left="153" w:right="137"/>
              <w:jc w:val="center"/>
              <w:rPr>
                <w:b/>
                <w:sz w:val="14"/>
              </w:rPr>
            </w:pPr>
            <w:r>
              <w:rPr>
                <w:b/>
                <w:color w:val="FFFFFF"/>
                <w:spacing w:val="-5"/>
                <w:sz w:val="14"/>
              </w:rPr>
              <w:t>GST</w:t>
            </w:r>
          </w:p>
        </w:tc>
        <w:tc>
          <w:tcPr>
            <w:tcW w:w="897" w:type="dxa"/>
            <w:tcBorders>
              <w:top w:val="single" w:sz="4" w:space="0" w:color="000000"/>
              <w:left w:val="single" w:sz="4" w:space="0" w:color="000000"/>
              <w:bottom w:val="single" w:sz="4" w:space="0" w:color="000000"/>
              <w:right w:val="single" w:sz="12"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95" w:right="81"/>
              <w:jc w:val="center"/>
              <w:rPr>
                <w:b/>
                <w:sz w:val="14"/>
              </w:rPr>
            </w:pPr>
            <w:r>
              <w:rPr>
                <w:b/>
                <w:color w:val="FFFFFF"/>
                <w:sz w:val="14"/>
              </w:rPr>
              <w:t>%</w:t>
            </w:r>
            <w:r>
              <w:rPr>
                <w:b/>
                <w:color w:val="FFFFFF"/>
                <w:spacing w:val="-4"/>
                <w:sz w:val="14"/>
              </w:rPr>
              <w:t> </w:t>
            </w:r>
            <w:r>
              <w:rPr>
                <w:b/>
                <w:color w:val="FFFFFF"/>
                <w:spacing w:val="-2"/>
                <w:sz w:val="14"/>
              </w:rPr>
              <w:t>Change</w:t>
            </w:r>
          </w:p>
        </w:tc>
      </w:tr>
      <w:tr>
        <w:trPr>
          <w:trHeight w:val="36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20"/>
              <w:ind w:left="107"/>
              <w:rPr>
                <w:sz w:val="14"/>
              </w:rPr>
            </w:pPr>
            <w:r>
              <w:rPr>
                <w:sz w:val="14"/>
              </w:rPr>
              <w:t>$100,001</w:t>
            </w:r>
            <w:r>
              <w:rPr>
                <w:spacing w:val="-2"/>
                <w:sz w:val="14"/>
              </w:rPr>
              <w:t> </w:t>
            </w:r>
            <w:r>
              <w:rPr>
                <w:sz w:val="14"/>
              </w:rPr>
              <w:t>-</w:t>
            </w:r>
            <w:r>
              <w:rPr>
                <w:spacing w:val="-2"/>
                <w:sz w:val="14"/>
              </w:rPr>
              <w:t> </w:t>
            </w:r>
            <w:r>
              <w:rPr>
                <w:sz w:val="14"/>
              </w:rPr>
              <w:t>$150,000</w:t>
            </w:r>
            <w:r>
              <w:rPr>
                <w:spacing w:val="-2"/>
                <w:sz w:val="14"/>
              </w:rPr>
              <w:t> </w:t>
            </w:r>
            <w:r>
              <w:rPr>
                <w:sz w:val="14"/>
              </w:rPr>
              <w:t>Cost</w:t>
            </w:r>
            <w:r>
              <w:rPr>
                <w:spacing w:val="-4"/>
                <w:sz w:val="14"/>
              </w:rPr>
              <w:t> </w:t>
            </w:r>
            <w:r>
              <w:rPr>
                <w:sz w:val="14"/>
              </w:rPr>
              <w:t>of</w:t>
            </w:r>
            <w:r>
              <w:rPr>
                <w:spacing w:val="-4"/>
                <w:sz w:val="14"/>
              </w:rPr>
              <w:t> </w:t>
            </w:r>
            <w:r>
              <w:rPr>
                <w:sz w:val="14"/>
              </w:rPr>
              <w:t>Construction</w:t>
            </w:r>
            <w:r>
              <w:rPr>
                <w:spacing w:val="-4"/>
                <w:sz w:val="14"/>
              </w:rPr>
              <w:t> </w:t>
            </w:r>
            <w:r>
              <w:rPr>
                <w:sz w:val="14"/>
              </w:rPr>
              <w:t>including</w:t>
            </w:r>
            <w:r>
              <w:rPr>
                <w:spacing w:val="-2"/>
                <w:sz w:val="14"/>
              </w:rPr>
              <w:t> </w:t>
            </w:r>
            <w:r>
              <w:rPr>
                <w:sz w:val="14"/>
              </w:rPr>
              <w:t>5</w:t>
            </w:r>
            <w:r>
              <w:rPr>
                <w:spacing w:val="-4"/>
                <w:sz w:val="14"/>
              </w:rPr>
              <w:t> </w:t>
            </w:r>
            <w:r>
              <w:rPr>
                <w:sz w:val="14"/>
              </w:rPr>
              <w:t>inspections</w:t>
            </w:r>
            <w:r>
              <w:rPr>
                <w:spacing w:val="-1"/>
                <w:sz w:val="14"/>
              </w:rPr>
              <w:t> </w:t>
            </w:r>
            <w:r>
              <w:rPr>
                <w:sz w:val="14"/>
              </w:rPr>
              <w:t>($</w:t>
            </w:r>
            <w:r>
              <w:rPr>
                <w:spacing w:val="-2"/>
                <w:sz w:val="14"/>
              </w:rPr>
              <w:t> </w:t>
            </w:r>
            <w:r>
              <w:rPr>
                <w:sz w:val="14"/>
              </w:rPr>
              <w:t>Fee</w:t>
            </w:r>
            <w:r>
              <w:rPr>
                <w:spacing w:val="-4"/>
                <w:sz w:val="14"/>
              </w:rPr>
              <w:t> </w:t>
            </w:r>
            <w:r>
              <w:rPr>
                <w:sz w:val="14"/>
              </w:rPr>
              <w:t>+</w:t>
            </w:r>
            <w:r>
              <w:rPr>
                <w:spacing w:val="-1"/>
                <w:sz w:val="14"/>
              </w:rPr>
              <w:t> </w:t>
            </w:r>
            <w:r>
              <w:rPr>
                <w:sz w:val="14"/>
              </w:rPr>
              <w:t>(0.81%)</w:t>
            </w:r>
            <w:r>
              <w:rPr>
                <w:spacing w:val="-4"/>
                <w:sz w:val="14"/>
              </w:rPr>
              <w:t> </w:t>
            </w:r>
            <w:r>
              <w:rPr>
                <w:sz w:val="14"/>
              </w:rPr>
              <w:t>of</w:t>
            </w:r>
            <w:r>
              <w:rPr>
                <w:spacing w:val="40"/>
                <w:sz w:val="14"/>
              </w:rPr>
              <w:t> </w:t>
            </w:r>
            <w:r>
              <w:rPr>
                <w:sz w:val="14"/>
              </w:rPr>
              <w:t>building</w:t>
            </w:r>
            <w:r>
              <w:rPr>
                <w:spacing w:val="-4"/>
                <w:sz w:val="14"/>
              </w:rPr>
              <w:t> </w:t>
            </w:r>
            <w:r>
              <w:rPr>
                <w:sz w:val="14"/>
              </w:rPr>
              <w:t>works)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6"/>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6"/>
              <w:rPr>
                <w:sz w:val="17"/>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20"/>
              <w:ind w:left="151" w:firstLine="86"/>
              <w:rPr>
                <w:sz w:val="14"/>
              </w:rPr>
            </w:pPr>
            <w:r>
              <w:rPr>
                <w:sz w:val="14"/>
              </w:rPr>
              <w:t>Price on</w:t>
            </w:r>
            <w:r>
              <w:rPr>
                <w:spacing w:val="40"/>
                <w:sz w:val="14"/>
              </w:rPr>
              <w:t> </w:t>
            </w:r>
            <w:r>
              <w:rPr>
                <w:spacing w:val="-2"/>
                <w:sz w:val="14"/>
              </w:rPr>
              <w:t>Application</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20"/>
              <w:ind w:left="262" w:right="192" w:firstLine="86"/>
              <w:rPr>
                <w:sz w:val="14"/>
              </w:rPr>
            </w:pPr>
            <w:r>
              <w:rPr>
                <w:sz w:val="14"/>
              </w:rPr>
              <w:t>Price on</w:t>
            </w:r>
            <w:r>
              <w:rPr>
                <w:spacing w:val="40"/>
                <w:sz w:val="14"/>
              </w:rPr>
              <w:t> </w:t>
            </w:r>
            <w:r>
              <w:rPr>
                <w:spacing w:val="-2"/>
                <w:sz w:val="14"/>
              </w:rPr>
              <w:t>Application</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50" w:lineRule="exact" w:before="10"/>
              <w:ind w:left="107"/>
              <w:rPr>
                <w:sz w:val="14"/>
              </w:rPr>
            </w:pPr>
            <w:r>
              <w:rPr>
                <w:sz w:val="14"/>
              </w:rPr>
              <w:t>Application</w:t>
            </w:r>
            <w:r>
              <w:rPr>
                <w:spacing w:val="-3"/>
                <w:sz w:val="14"/>
              </w:rPr>
              <w:t> </w:t>
            </w:r>
            <w:r>
              <w:rPr>
                <w:sz w:val="14"/>
              </w:rPr>
              <w:t>to</w:t>
            </w:r>
            <w:r>
              <w:rPr>
                <w:spacing w:val="-1"/>
                <w:sz w:val="14"/>
              </w:rPr>
              <w:t> </w:t>
            </w:r>
            <w:r>
              <w:rPr>
                <w:sz w:val="14"/>
              </w:rPr>
              <w:t>amend</w:t>
            </w:r>
            <w:r>
              <w:rPr>
                <w:spacing w:val="-5"/>
                <w:sz w:val="14"/>
              </w:rPr>
              <w:t> </w:t>
            </w:r>
            <w:r>
              <w:rPr>
                <w:sz w:val="14"/>
              </w:rPr>
              <w:t>a</w:t>
            </w:r>
            <w:r>
              <w:rPr>
                <w:spacing w:val="-3"/>
                <w:sz w:val="14"/>
              </w:rPr>
              <w:t> </w:t>
            </w:r>
            <w:r>
              <w:rPr>
                <w:sz w:val="14"/>
              </w:rPr>
              <w:t>Building</w:t>
            </w:r>
            <w:r>
              <w:rPr>
                <w:spacing w:val="-3"/>
                <w:sz w:val="14"/>
              </w:rPr>
              <w:t> </w:t>
            </w:r>
            <w:r>
              <w:rPr>
                <w:sz w:val="14"/>
              </w:rPr>
              <w:t>Permit</w:t>
            </w:r>
            <w:r>
              <w:rPr>
                <w:spacing w:val="-2"/>
                <w:sz w:val="14"/>
              </w:rPr>
              <w:t> </w:t>
            </w:r>
            <w:r>
              <w:rPr>
                <w:sz w:val="14"/>
              </w:rPr>
              <w:t>Building</w:t>
            </w:r>
            <w:r>
              <w:rPr>
                <w:spacing w:val="-5"/>
                <w:sz w:val="14"/>
              </w:rPr>
              <w:t> </w:t>
            </w:r>
            <w:r>
              <w:rPr>
                <w:sz w:val="14"/>
              </w:rPr>
              <w:t>Class</w:t>
            </w:r>
            <w:r>
              <w:rPr>
                <w:spacing w:val="-4"/>
                <w:sz w:val="14"/>
              </w:rPr>
              <w:t> </w:t>
            </w:r>
            <w:r>
              <w:rPr>
                <w:sz w:val="14"/>
              </w:rPr>
              <w:t>1</w:t>
            </w:r>
            <w:r>
              <w:rPr>
                <w:spacing w:val="-2"/>
                <w:sz w:val="14"/>
              </w:rPr>
              <w:t> </w:t>
            </w:r>
            <w:r>
              <w:rPr>
                <w:sz w:val="14"/>
              </w:rPr>
              <w:t>&amp;</w:t>
            </w:r>
            <w:r>
              <w:rPr>
                <w:spacing w:val="-4"/>
                <w:sz w:val="14"/>
              </w:rPr>
              <w:t> </w:t>
            </w:r>
            <w:r>
              <w:rPr>
                <w:spacing w:val="-5"/>
                <w:sz w:val="14"/>
              </w:rPr>
              <w:t>10</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50" w:lineRule="exact" w:before="10"/>
              <w:ind w:left="278"/>
              <w:rPr>
                <w:sz w:val="14"/>
              </w:rPr>
            </w:pPr>
            <w:r>
              <w:rPr>
                <w:spacing w:val="-2"/>
                <w:sz w:val="14"/>
              </w:rPr>
              <w:t>656.00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660.00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50" w:lineRule="exact" w:before="10"/>
              <w:ind w:left="107"/>
              <w:rPr>
                <w:sz w:val="14"/>
              </w:rPr>
            </w:pPr>
            <w:r>
              <w:rPr>
                <w:sz w:val="14"/>
              </w:rPr>
              <w:t>Application</w:t>
            </w:r>
            <w:r>
              <w:rPr>
                <w:spacing w:val="-3"/>
                <w:sz w:val="14"/>
              </w:rPr>
              <w:t> </w:t>
            </w:r>
            <w:r>
              <w:rPr>
                <w:sz w:val="14"/>
              </w:rPr>
              <w:t>to</w:t>
            </w:r>
            <w:r>
              <w:rPr>
                <w:spacing w:val="-1"/>
                <w:sz w:val="14"/>
              </w:rPr>
              <w:t> </w:t>
            </w:r>
            <w:r>
              <w:rPr>
                <w:sz w:val="14"/>
              </w:rPr>
              <w:t>amend</w:t>
            </w:r>
            <w:r>
              <w:rPr>
                <w:spacing w:val="-5"/>
                <w:sz w:val="14"/>
              </w:rPr>
              <w:t> </w:t>
            </w:r>
            <w:r>
              <w:rPr>
                <w:sz w:val="14"/>
              </w:rPr>
              <w:t>a</w:t>
            </w:r>
            <w:r>
              <w:rPr>
                <w:spacing w:val="-2"/>
                <w:sz w:val="14"/>
              </w:rPr>
              <w:t> </w:t>
            </w:r>
            <w:r>
              <w:rPr>
                <w:sz w:val="14"/>
              </w:rPr>
              <w:t>Building</w:t>
            </w:r>
            <w:r>
              <w:rPr>
                <w:spacing w:val="-4"/>
                <w:sz w:val="14"/>
              </w:rPr>
              <w:t> </w:t>
            </w:r>
            <w:r>
              <w:rPr>
                <w:sz w:val="14"/>
              </w:rPr>
              <w:t>Permit</w:t>
            </w:r>
            <w:r>
              <w:rPr>
                <w:spacing w:val="-2"/>
                <w:sz w:val="14"/>
              </w:rPr>
              <w:t> </w:t>
            </w:r>
            <w:r>
              <w:rPr>
                <w:sz w:val="14"/>
              </w:rPr>
              <w:t>Building</w:t>
            </w:r>
            <w:r>
              <w:rPr>
                <w:spacing w:val="-4"/>
                <w:sz w:val="14"/>
              </w:rPr>
              <w:t> </w:t>
            </w:r>
            <w:r>
              <w:rPr>
                <w:sz w:val="14"/>
              </w:rPr>
              <w:t>Class</w:t>
            </w:r>
            <w:r>
              <w:rPr>
                <w:spacing w:val="-5"/>
                <w:sz w:val="14"/>
              </w:rPr>
              <w:t> </w:t>
            </w:r>
            <w:r>
              <w:rPr>
                <w:sz w:val="14"/>
              </w:rPr>
              <w:t>2</w:t>
            </w:r>
            <w:r>
              <w:rPr>
                <w:spacing w:val="-2"/>
                <w:sz w:val="14"/>
              </w:rPr>
              <w:t> </w:t>
            </w:r>
            <w:r>
              <w:rPr>
                <w:sz w:val="14"/>
              </w:rPr>
              <w:t>-</w:t>
            </w:r>
            <w:r>
              <w:rPr>
                <w:spacing w:val="-1"/>
                <w:sz w:val="14"/>
              </w:rPr>
              <w:t> </w:t>
            </w:r>
            <w:r>
              <w:rPr>
                <w:spacing w:val="-10"/>
                <w:sz w:val="14"/>
              </w:rPr>
              <w:t>9</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50" w:lineRule="exact" w:before="10"/>
              <w:ind w:left="278"/>
              <w:rPr>
                <w:sz w:val="14"/>
              </w:rPr>
            </w:pPr>
            <w:r>
              <w:rPr>
                <w:spacing w:val="-2"/>
                <w:sz w:val="14"/>
              </w:rPr>
              <w:t>898.00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900.00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0.2</w:t>
            </w: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7"/>
              <w:ind w:left="107"/>
              <w:rPr>
                <w:sz w:val="14"/>
              </w:rPr>
            </w:pPr>
            <w:r>
              <w:rPr>
                <w:sz w:val="14"/>
              </w:rPr>
              <w:t>Building</w:t>
            </w:r>
            <w:r>
              <w:rPr>
                <w:spacing w:val="-6"/>
                <w:sz w:val="14"/>
              </w:rPr>
              <w:t> </w:t>
            </w:r>
            <w:r>
              <w:rPr>
                <w:sz w:val="14"/>
              </w:rPr>
              <w:t>Services</w:t>
            </w:r>
            <w:r>
              <w:rPr>
                <w:spacing w:val="-2"/>
                <w:sz w:val="14"/>
              </w:rPr>
              <w:t> </w:t>
            </w:r>
            <w:r>
              <w:rPr>
                <w:sz w:val="14"/>
              </w:rPr>
              <w:t>Additional</w:t>
            </w:r>
            <w:r>
              <w:rPr>
                <w:spacing w:val="-5"/>
                <w:sz w:val="14"/>
              </w:rPr>
              <w:t> </w:t>
            </w:r>
            <w:r>
              <w:rPr>
                <w:sz w:val="14"/>
              </w:rPr>
              <w:t>Inspection</w:t>
            </w:r>
            <w:r>
              <w:rPr>
                <w:spacing w:val="-4"/>
                <w:sz w:val="14"/>
              </w:rPr>
              <w:t> </w:t>
            </w:r>
            <w:r>
              <w:rPr>
                <w:sz w:val="14"/>
              </w:rPr>
              <w:t>Fees</w:t>
            </w:r>
            <w:r>
              <w:rPr>
                <w:spacing w:val="-5"/>
                <w:sz w:val="14"/>
              </w:rPr>
              <w:t> </w:t>
            </w:r>
            <w:r>
              <w:rPr>
                <w:sz w:val="14"/>
              </w:rPr>
              <w:t>Additional</w:t>
            </w:r>
            <w:r>
              <w:rPr>
                <w:spacing w:val="-2"/>
                <w:sz w:val="14"/>
              </w:rPr>
              <w:t> </w:t>
            </w:r>
            <w:r>
              <w:rPr>
                <w:sz w:val="14"/>
              </w:rPr>
              <w:t>Inspection</w:t>
            </w:r>
            <w:r>
              <w:rPr>
                <w:spacing w:val="-2"/>
                <w:sz w:val="14"/>
              </w:rPr>
              <w:t> </w:t>
            </w:r>
            <w:r>
              <w:rPr>
                <w:sz w:val="14"/>
              </w:rPr>
              <w:t>required</w:t>
            </w:r>
            <w:r>
              <w:rPr>
                <w:spacing w:val="-5"/>
                <w:sz w:val="14"/>
              </w:rPr>
              <w:t> </w:t>
            </w:r>
            <w:r>
              <w:rPr>
                <w:sz w:val="14"/>
              </w:rPr>
              <w:t>for</w:t>
            </w:r>
            <w:r>
              <w:rPr>
                <w:spacing w:val="-3"/>
                <w:sz w:val="14"/>
              </w:rPr>
              <w:t> </w:t>
            </w:r>
            <w:r>
              <w:rPr>
                <w:sz w:val="14"/>
              </w:rPr>
              <w:t>Building</w:t>
            </w:r>
            <w:r>
              <w:rPr>
                <w:spacing w:val="40"/>
                <w:sz w:val="14"/>
              </w:rPr>
              <w:t> </w:t>
            </w:r>
            <w:r>
              <w:rPr>
                <w:sz w:val="14"/>
              </w:rPr>
              <w:t>Permits &amp; Lapsed Permits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151" w:firstLine="86"/>
              <w:rPr>
                <w:sz w:val="14"/>
              </w:rPr>
            </w:pPr>
            <w:r>
              <w:rPr>
                <w:sz w:val="14"/>
              </w:rPr>
              <w:t>Price on</w:t>
            </w:r>
            <w:r>
              <w:rPr>
                <w:spacing w:val="40"/>
                <w:sz w:val="14"/>
              </w:rPr>
              <w:t> </w:t>
            </w:r>
            <w:r>
              <w:rPr>
                <w:spacing w:val="-2"/>
                <w:sz w:val="14"/>
              </w:rPr>
              <w:t>Application</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262" w:right="192" w:firstLine="86"/>
              <w:rPr>
                <w:sz w:val="14"/>
              </w:rPr>
            </w:pPr>
            <w:r>
              <w:rPr>
                <w:sz w:val="14"/>
              </w:rPr>
              <w:t>Price on</w:t>
            </w:r>
            <w:r>
              <w:rPr>
                <w:spacing w:val="40"/>
                <w:sz w:val="14"/>
              </w:rPr>
              <w:t> </w:t>
            </w:r>
            <w:r>
              <w:rPr>
                <w:spacing w:val="-2"/>
                <w:sz w:val="14"/>
              </w:rPr>
              <w:t>Application</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before="101"/>
              <w:ind w:left="107"/>
              <w:rPr>
                <w:sz w:val="14"/>
              </w:rPr>
            </w:pPr>
            <w:r>
              <w:rPr>
                <w:sz w:val="14"/>
              </w:rPr>
              <w:t>Demolitions</w:t>
            </w:r>
            <w:r>
              <w:rPr>
                <w:spacing w:val="-6"/>
                <w:sz w:val="14"/>
              </w:rPr>
              <w:t> </w:t>
            </w:r>
            <w:r>
              <w:rPr>
                <w:sz w:val="14"/>
              </w:rPr>
              <w:t>Commercial</w:t>
            </w:r>
            <w:r>
              <w:rPr>
                <w:spacing w:val="-2"/>
                <w:sz w:val="14"/>
              </w:rPr>
              <w:t> </w:t>
            </w:r>
            <w:r>
              <w:rPr>
                <w:sz w:val="14"/>
              </w:rPr>
              <w:t>($</w:t>
            </w:r>
            <w:r>
              <w:rPr>
                <w:spacing w:val="-3"/>
                <w:sz w:val="14"/>
              </w:rPr>
              <w:t> </w:t>
            </w:r>
            <w:r>
              <w:rPr>
                <w:sz w:val="14"/>
              </w:rPr>
              <w:t>Fee</w:t>
            </w:r>
            <w:r>
              <w:rPr>
                <w:spacing w:val="-5"/>
                <w:sz w:val="14"/>
              </w:rPr>
              <w:t> </w:t>
            </w:r>
            <w:r>
              <w:rPr>
                <w:sz w:val="14"/>
              </w:rPr>
              <w:t>+</w:t>
            </w:r>
            <w:r>
              <w:rPr>
                <w:spacing w:val="-2"/>
                <w:sz w:val="14"/>
              </w:rPr>
              <w:t> </w:t>
            </w:r>
            <w:r>
              <w:rPr>
                <w:sz w:val="14"/>
              </w:rPr>
              <w:t>$680</w:t>
            </w:r>
            <w:r>
              <w:rPr>
                <w:spacing w:val="-2"/>
                <w:sz w:val="14"/>
              </w:rPr>
              <w:t> </w:t>
            </w:r>
            <w:r>
              <w:rPr>
                <w:sz w:val="14"/>
              </w:rPr>
              <w:t>per</w:t>
            </w:r>
            <w:r>
              <w:rPr>
                <w:spacing w:val="-5"/>
                <w:sz w:val="14"/>
              </w:rPr>
              <w:t> </w:t>
            </w:r>
            <w:r>
              <w:rPr>
                <w:spacing w:val="-2"/>
                <w:sz w:val="14"/>
              </w:rPr>
              <w:t>storey)</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151" w:firstLine="86"/>
              <w:rPr>
                <w:sz w:val="14"/>
              </w:rPr>
            </w:pPr>
            <w:r>
              <w:rPr>
                <w:sz w:val="14"/>
              </w:rPr>
              <w:t>Price on</w:t>
            </w:r>
            <w:r>
              <w:rPr>
                <w:spacing w:val="40"/>
                <w:sz w:val="14"/>
              </w:rPr>
              <w:t> </w:t>
            </w:r>
            <w:r>
              <w:rPr>
                <w:spacing w:val="-2"/>
                <w:sz w:val="14"/>
              </w:rPr>
              <w:t>Application</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262" w:right="192" w:firstLine="86"/>
              <w:rPr>
                <w:sz w:val="14"/>
              </w:rPr>
            </w:pPr>
            <w:r>
              <w:rPr>
                <w:sz w:val="14"/>
              </w:rPr>
              <w:t>Price on</w:t>
            </w:r>
            <w:r>
              <w:rPr>
                <w:spacing w:val="40"/>
                <w:sz w:val="14"/>
              </w:rPr>
              <w:t> </w:t>
            </w:r>
            <w:r>
              <w:rPr>
                <w:spacing w:val="-2"/>
                <w:sz w:val="14"/>
              </w:rPr>
              <w:t>Application</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before="101"/>
              <w:ind w:left="107"/>
              <w:rPr>
                <w:sz w:val="14"/>
              </w:rPr>
            </w:pPr>
            <w:r>
              <w:rPr>
                <w:sz w:val="14"/>
              </w:rPr>
              <w:t>Demolitions</w:t>
            </w:r>
            <w:r>
              <w:rPr>
                <w:spacing w:val="-10"/>
                <w:sz w:val="14"/>
              </w:rPr>
              <w:t> </w:t>
            </w:r>
            <w:r>
              <w:rPr>
                <w:spacing w:val="-2"/>
                <w:sz w:val="14"/>
              </w:rPr>
              <w:t>Domestic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151" w:firstLine="86"/>
              <w:rPr>
                <w:sz w:val="14"/>
              </w:rPr>
            </w:pPr>
            <w:r>
              <w:rPr>
                <w:sz w:val="14"/>
              </w:rPr>
              <w:t>Price on</w:t>
            </w:r>
            <w:r>
              <w:rPr>
                <w:spacing w:val="40"/>
                <w:sz w:val="14"/>
              </w:rPr>
              <w:t> </w:t>
            </w:r>
            <w:r>
              <w:rPr>
                <w:spacing w:val="-2"/>
                <w:sz w:val="14"/>
              </w:rPr>
              <w:t>Application</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262" w:right="192" w:firstLine="86"/>
              <w:rPr>
                <w:sz w:val="14"/>
              </w:rPr>
            </w:pPr>
            <w:r>
              <w:rPr>
                <w:sz w:val="14"/>
              </w:rPr>
              <w:t>Price on</w:t>
            </w:r>
            <w:r>
              <w:rPr>
                <w:spacing w:val="40"/>
                <w:sz w:val="14"/>
              </w:rPr>
              <w:t> </w:t>
            </w:r>
            <w:r>
              <w:rPr>
                <w:spacing w:val="-2"/>
                <w:sz w:val="14"/>
              </w:rPr>
              <w:t>Application</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6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before="101"/>
              <w:ind w:left="107"/>
              <w:rPr>
                <w:sz w:val="14"/>
              </w:rPr>
            </w:pPr>
            <w:r>
              <w:rPr>
                <w:sz w:val="14"/>
              </w:rPr>
              <w:t>Dwellings</w:t>
            </w:r>
            <w:r>
              <w:rPr>
                <w:spacing w:val="-6"/>
                <w:sz w:val="14"/>
              </w:rPr>
              <w:t> </w:t>
            </w:r>
            <w:r>
              <w:rPr>
                <w:sz w:val="14"/>
              </w:rPr>
              <w:t>&gt;</w:t>
            </w:r>
            <w:r>
              <w:rPr>
                <w:spacing w:val="-1"/>
                <w:sz w:val="14"/>
              </w:rPr>
              <w:t> </w:t>
            </w:r>
            <w:r>
              <w:rPr>
                <w:sz w:val="14"/>
              </w:rPr>
              <w:t>$300,000</w:t>
            </w:r>
            <w:r>
              <w:rPr>
                <w:spacing w:val="-4"/>
                <w:sz w:val="14"/>
              </w:rPr>
              <w:t> </w:t>
            </w:r>
            <w:r>
              <w:rPr>
                <w:sz w:val="14"/>
              </w:rPr>
              <w:t>unit</w:t>
            </w:r>
            <w:r>
              <w:rPr>
                <w:spacing w:val="-4"/>
                <w:sz w:val="14"/>
              </w:rPr>
              <w:t> </w:t>
            </w:r>
            <w:r>
              <w:rPr>
                <w:spacing w:val="-2"/>
                <w:sz w:val="14"/>
              </w:rPr>
              <w:t>development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6"/>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6"/>
              <w:rPr>
                <w:sz w:val="17"/>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20"/>
              <w:ind w:left="151" w:firstLine="86"/>
              <w:rPr>
                <w:sz w:val="14"/>
              </w:rPr>
            </w:pPr>
            <w:r>
              <w:rPr>
                <w:sz w:val="14"/>
              </w:rPr>
              <w:t>Price on</w:t>
            </w:r>
            <w:r>
              <w:rPr>
                <w:spacing w:val="40"/>
                <w:sz w:val="14"/>
              </w:rPr>
              <w:t> </w:t>
            </w:r>
            <w:r>
              <w:rPr>
                <w:spacing w:val="-2"/>
                <w:sz w:val="14"/>
              </w:rPr>
              <w:t>Application</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20"/>
              <w:ind w:left="262" w:right="192" w:firstLine="86"/>
              <w:rPr>
                <w:sz w:val="14"/>
              </w:rPr>
            </w:pPr>
            <w:r>
              <w:rPr>
                <w:sz w:val="14"/>
              </w:rPr>
              <w:t>Price on</w:t>
            </w:r>
            <w:r>
              <w:rPr>
                <w:spacing w:val="40"/>
                <w:sz w:val="14"/>
              </w:rPr>
              <w:t> </w:t>
            </w:r>
            <w:r>
              <w:rPr>
                <w:spacing w:val="-2"/>
                <w:sz w:val="14"/>
              </w:rPr>
              <w:t>Application</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before="99"/>
              <w:ind w:left="107"/>
              <w:rPr>
                <w:sz w:val="14"/>
              </w:rPr>
            </w:pPr>
            <w:r>
              <w:rPr>
                <w:sz w:val="14"/>
              </w:rPr>
              <w:t>Extension</w:t>
            </w:r>
            <w:r>
              <w:rPr>
                <w:spacing w:val="-3"/>
                <w:sz w:val="14"/>
              </w:rPr>
              <w:t> </w:t>
            </w:r>
            <w:r>
              <w:rPr>
                <w:sz w:val="14"/>
              </w:rPr>
              <w:t>of</w:t>
            </w:r>
            <w:r>
              <w:rPr>
                <w:spacing w:val="-3"/>
                <w:sz w:val="14"/>
              </w:rPr>
              <w:t> </w:t>
            </w:r>
            <w:r>
              <w:rPr>
                <w:sz w:val="14"/>
              </w:rPr>
              <w:t>Time</w:t>
            </w:r>
            <w:r>
              <w:rPr>
                <w:spacing w:val="-4"/>
                <w:sz w:val="14"/>
              </w:rPr>
              <w:t> </w:t>
            </w:r>
            <w:r>
              <w:rPr>
                <w:sz w:val="14"/>
              </w:rPr>
              <w:t>for</w:t>
            </w:r>
            <w:r>
              <w:rPr>
                <w:spacing w:val="-4"/>
                <w:sz w:val="14"/>
              </w:rPr>
              <w:t> </w:t>
            </w:r>
            <w:r>
              <w:rPr>
                <w:sz w:val="14"/>
              </w:rPr>
              <w:t>Permits</w:t>
            </w:r>
            <w:r>
              <w:rPr>
                <w:spacing w:val="-3"/>
                <w:sz w:val="14"/>
              </w:rPr>
              <w:t> </w:t>
            </w:r>
            <w:r>
              <w:rPr>
                <w:sz w:val="14"/>
              </w:rPr>
              <w:t>Class</w:t>
            </w:r>
            <w:r>
              <w:rPr>
                <w:spacing w:val="-1"/>
                <w:sz w:val="14"/>
              </w:rPr>
              <w:t> </w:t>
            </w:r>
            <w:r>
              <w:rPr>
                <w:sz w:val="14"/>
              </w:rPr>
              <w:t>2</w:t>
            </w:r>
            <w:r>
              <w:rPr>
                <w:spacing w:val="-5"/>
                <w:sz w:val="14"/>
              </w:rPr>
              <w:t> </w:t>
            </w:r>
            <w:r>
              <w:rPr>
                <w:sz w:val="14"/>
              </w:rPr>
              <w:t>-</w:t>
            </w:r>
            <w:r>
              <w:rPr>
                <w:spacing w:val="-1"/>
                <w:sz w:val="14"/>
              </w:rPr>
              <w:t> </w:t>
            </w:r>
            <w:r>
              <w:rPr>
                <w:spacing w:val="-10"/>
                <w:sz w:val="14"/>
              </w:rPr>
              <w:t>9</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151" w:firstLine="86"/>
              <w:rPr>
                <w:sz w:val="14"/>
              </w:rPr>
            </w:pPr>
            <w:r>
              <w:rPr>
                <w:sz w:val="14"/>
              </w:rPr>
              <w:t>Price on</w:t>
            </w:r>
            <w:r>
              <w:rPr>
                <w:spacing w:val="40"/>
                <w:sz w:val="14"/>
              </w:rPr>
              <w:t> </w:t>
            </w:r>
            <w:r>
              <w:rPr>
                <w:spacing w:val="-2"/>
                <w:sz w:val="14"/>
              </w:rPr>
              <w:t>Application</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262" w:right="192" w:firstLine="86"/>
              <w:rPr>
                <w:sz w:val="14"/>
              </w:rPr>
            </w:pPr>
            <w:r>
              <w:rPr>
                <w:sz w:val="14"/>
              </w:rPr>
              <w:t>Price on</w:t>
            </w:r>
            <w:r>
              <w:rPr>
                <w:spacing w:val="40"/>
                <w:sz w:val="14"/>
              </w:rPr>
              <w:t> </w:t>
            </w:r>
            <w:r>
              <w:rPr>
                <w:spacing w:val="-2"/>
                <w:sz w:val="14"/>
              </w:rPr>
              <w:t>Application</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before="99"/>
              <w:ind w:left="107"/>
              <w:rPr>
                <w:sz w:val="14"/>
              </w:rPr>
            </w:pPr>
            <w:r>
              <w:rPr>
                <w:sz w:val="14"/>
              </w:rPr>
              <w:t>Extension</w:t>
            </w:r>
            <w:r>
              <w:rPr>
                <w:spacing w:val="-3"/>
                <w:sz w:val="14"/>
              </w:rPr>
              <w:t> </w:t>
            </w:r>
            <w:r>
              <w:rPr>
                <w:sz w:val="14"/>
              </w:rPr>
              <w:t>of</w:t>
            </w:r>
            <w:r>
              <w:rPr>
                <w:spacing w:val="-3"/>
                <w:sz w:val="14"/>
              </w:rPr>
              <w:t> </w:t>
            </w:r>
            <w:r>
              <w:rPr>
                <w:sz w:val="14"/>
              </w:rPr>
              <w:t>Time</w:t>
            </w:r>
            <w:r>
              <w:rPr>
                <w:spacing w:val="-5"/>
                <w:sz w:val="14"/>
              </w:rPr>
              <w:t> </w:t>
            </w:r>
            <w:r>
              <w:rPr>
                <w:sz w:val="14"/>
              </w:rPr>
              <w:t>for</w:t>
            </w:r>
            <w:r>
              <w:rPr>
                <w:spacing w:val="-4"/>
                <w:sz w:val="14"/>
              </w:rPr>
              <w:t> </w:t>
            </w:r>
            <w:r>
              <w:rPr>
                <w:sz w:val="14"/>
              </w:rPr>
              <w:t>Permits</w:t>
            </w:r>
            <w:r>
              <w:rPr>
                <w:spacing w:val="-3"/>
                <w:sz w:val="14"/>
              </w:rPr>
              <w:t> </w:t>
            </w:r>
            <w:r>
              <w:rPr>
                <w:sz w:val="14"/>
              </w:rPr>
              <w:t>Class</w:t>
            </w:r>
            <w:r>
              <w:rPr>
                <w:spacing w:val="-1"/>
                <w:sz w:val="14"/>
              </w:rPr>
              <w:t> </w:t>
            </w:r>
            <w:r>
              <w:rPr>
                <w:sz w:val="14"/>
              </w:rPr>
              <w:t>1</w:t>
            </w:r>
            <w:r>
              <w:rPr>
                <w:spacing w:val="-2"/>
                <w:sz w:val="14"/>
              </w:rPr>
              <w:t> </w:t>
            </w:r>
            <w:r>
              <w:rPr>
                <w:sz w:val="14"/>
              </w:rPr>
              <w:t>or</w:t>
            </w:r>
            <w:r>
              <w:rPr>
                <w:spacing w:val="-2"/>
                <w:sz w:val="14"/>
              </w:rPr>
              <w:t> </w:t>
            </w:r>
            <w:r>
              <w:rPr>
                <w:spacing w:val="-5"/>
                <w:sz w:val="14"/>
              </w:rPr>
              <w:t>10</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151" w:firstLine="86"/>
              <w:rPr>
                <w:sz w:val="14"/>
              </w:rPr>
            </w:pPr>
            <w:r>
              <w:rPr>
                <w:sz w:val="14"/>
              </w:rPr>
              <w:t>Price on</w:t>
            </w:r>
            <w:r>
              <w:rPr>
                <w:spacing w:val="40"/>
                <w:sz w:val="14"/>
              </w:rPr>
              <w:t> </w:t>
            </w:r>
            <w:r>
              <w:rPr>
                <w:spacing w:val="-2"/>
                <w:sz w:val="14"/>
              </w:rPr>
              <w:t>Application</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262" w:right="192" w:firstLine="86"/>
              <w:rPr>
                <w:sz w:val="14"/>
              </w:rPr>
            </w:pPr>
            <w:r>
              <w:rPr>
                <w:sz w:val="14"/>
              </w:rPr>
              <w:t>Price on</w:t>
            </w:r>
            <w:r>
              <w:rPr>
                <w:spacing w:val="40"/>
                <w:sz w:val="14"/>
              </w:rPr>
              <w:t> </w:t>
            </w:r>
            <w:r>
              <w:rPr>
                <w:spacing w:val="-2"/>
                <w:sz w:val="14"/>
              </w:rPr>
              <w:t>Application</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PBS</w:t>
            </w:r>
            <w:r>
              <w:rPr>
                <w:spacing w:val="-6"/>
                <w:sz w:val="14"/>
              </w:rPr>
              <w:t> </w:t>
            </w:r>
            <w:r>
              <w:rPr>
                <w:sz w:val="14"/>
              </w:rPr>
              <w:t>Lodgement</w:t>
            </w:r>
            <w:r>
              <w:rPr>
                <w:spacing w:val="-2"/>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134.40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140.85</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Consent</w:t>
            </w:r>
            <w:r>
              <w:rPr>
                <w:spacing w:val="-6"/>
                <w:sz w:val="14"/>
              </w:rPr>
              <w:t> </w:t>
            </w:r>
            <w:r>
              <w:rPr>
                <w:sz w:val="14"/>
              </w:rPr>
              <w:t>&amp;</w:t>
            </w:r>
            <w:r>
              <w:rPr>
                <w:spacing w:val="-2"/>
                <w:sz w:val="14"/>
              </w:rPr>
              <w:t> </w:t>
            </w:r>
            <w:r>
              <w:rPr>
                <w:sz w:val="14"/>
              </w:rPr>
              <w:t>Reports:</w:t>
            </w:r>
            <w:r>
              <w:rPr>
                <w:spacing w:val="-2"/>
                <w:sz w:val="14"/>
              </w:rPr>
              <w:t> </w:t>
            </w:r>
            <w:r>
              <w:rPr>
                <w:sz w:val="14"/>
              </w:rPr>
              <w:t>(Dispensations)</w:t>
            </w:r>
            <w:r>
              <w:rPr>
                <w:spacing w:val="-5"/>
                <w:sz w:val="14"/>
              </w:rPr>
              <w:t> </w:t>
            </w:r>
            <w:r>
              <w:rPr>
                <w:sz w:val="14"/>
              </w:rPr>
              <w:t>Advertise</w:t>
            </w:r>
            <w:r>
              <w:rPr>
                <w:spacing w:val="-6"/>
                <w:sz w:val="14"/>
              </w:rPr>
              <w:t> </w:t>
            </w:r>
            <w:r>
              <w:rPr>
                <w:sz w:val="14"/>
              </w:rPr>
              <w:t>for</w:t>
            </w:r>
            <w:r>
              <w:rPr>
                <w:spacing w:val="-3"/>
                <w:sz w:val="14"/>
              </w:rPr>
              <w:t> </w:t>
            </w:r>
            <w:r>
              <w:rPr>
                <w:sz w:val="14"/>
              </w:rPr>
              <w:t>Owner</w:t>
            </w:r>
            <w:r>
              <w:rPr>
                <w:spacing w:val="-3"/>
                <w:sz w:val="14"/>
              </w:rPr>
              <w:t> </w:t>
            </w:r>
            <w:r>
              <w:rPr>
                <w:sz w:val="14"/>
              </w:rPr>
              <w:t>-</w:t>
            </w:r>
            <w:r>
              <w:rPr>
                <w:spacing w:val="-5"/>
                <w:sz w:val="14"/>
              </w:rPr>
              <w:t> </w:t>
            </w:r>
            <w:r>
              <w:rPr>
                <w:sz w:val="14"/>
              </w:rPr>
              <w:t>first</w:t>
            </w:r>
            <w:r>
              <w:rPr>
                <w:spacing w:val="-2"/>
                <w:sz w:val="14"/>
              </w:rPr>
              <w:t> property</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193.50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203.00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Consent</w:t>
            </w:r>
            <w:r>
              <w:rPr>
                <w:spacing w:val="-6"/>
                <w:sz w:val="14"/>
              </w:rPr>
              <w:t> </w:t>
            </w:r>
            <w:r>
              <w:rPr>
                <w:sz w:val="14"/>
              </w:rPr>
              <w:t>&amp;</w:t>
            </w:r>
            <w:r>
              <w:rPr>
                <w:spacing w:val="-2"/>
                <w:sz w:val="14"/>
              </w:rPr>
              <w:t> </w:t>
            </w:r>
            <w:r>
              <w:rPr>
                <w:sz w:val="14"/>
              </w:rPr>
              <w:t>Reports:</w:t>
            </w:r>
            <w:r>
              <w:rPr>
                <w:spacing w:val="-3"/>
                <w:sz w:val="14"/>
              </w:rPr>
              <w:t> </w:t>
            </w:r>
            <w:r>
              <w:rPr>
                <w:sz w:val="14"/>
              </w:rPr>
              <w:t>(Dispensations)</w:t>
            </w:r>
            <w:r>
              <w:rPr>
                <w:spacing w:val="-7"/>
                <w:sz w:val="14"/>
              </w:rPr>
              <w:t> </w:t>
            </w:r>
            <w:r>
              <w:rPr>
                <w:sz w:val="14"/>
              </w:rPr>
              <w:t>Advertise</w:t>
            </w:r>
            <w:r>
              <w:rPr>
                <w:spacing w:val="-7"/>
                <w:sz w:val="14"/>
              </w:rPr>
              <w:t> </w:t>
            </w:r>
            <w:r>
              <w:rPr>
                <w:sz w:val="14"/>
              </w:rPr>
              <w:t>for</w:t>
            </w:r>
            <w:r>
              <w:rPr>
                <w:spacing w:val="-3"/>
                <w:sz w:val="14"/>
              </w:rPr>
              <w:t> </w:t>
            </w:r>
            <w:r>
              <w:rPr>
                <w:sz w:val="14"/>
              </w:rPr>
              <w:t>Owner</w:t>
            </w:r>
            <w:r>
              <w:rPr>
                <w:spacing w:val="-4"/>
                <w:sz w:val="14"/>
              </w:rPr>
              <w:t> </w:t>
            </w:r>
            <w:r>
              <w:rPr>
                <w:sz w:val="14"/>
              </w:rPr>
              <w:t>-</w:t>
            </w:r>
            <w:r>
              <w:rPr>
                <w:spacing w:val="-5"/>
                <w:sz w:val="14"/>
              </w:rPr>
              <w:t> </w:t>
            </w:r>
            <w:r>
              <w:rPr>
                <w:sz w:val="14"/>
              </w:rPr>
              <w:t>subsequent</w:t>
            </w:r>
            <w:r>
              <w:rPr>
                <w:spacing w:val="-6"/>
                <w:sz w:val="14"/>
              </w:rPr>
              <w:t> </w:t>
            </w:r>
            <w:r>
              <w:rPr>
                <w:spacing w:val="-2"/>
                <w:sz w:val="14"/>
              </w:rPr>
              <w:t>properties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78.48</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82.25</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Consent</w:t>
            </w:r>
            <w:r>
              <w:rPr>
                <w:spacing w:val="-6"/>
                <w:sz w:val="14"/>
              </w:rPr>
              <w:t> </w:t>
            </w:r>
            <w:r>
              <w:rPr>
                <w:sz w:val="14"/>
              </w:rPr>
              <w:t>&amp;</w:t>
            </w:r>
            <w:r>
              <w:rPr>
                <w:spacing w:val="-3"/>
                <w:sz w:val="14"/>
              </w:rPr>
              <w:t> </w:t>
            </w:r>
            <w:r>
              <w:rPr>
                <w:sz w:val="14"/>
              </w:rPr>
              <w:t>Reports:</w:t>
            </w:r>
            <w:r>
              <w:rPr>
                <w:spacing w:val="-3"/>
                <w:sz w:val="14"/>
              </w:rPr>
              <w:t> </w:t>
            </w:r>
            <w:r>
              <w:rPr>
                <w:sz w:val="14"/>
              </w:rPr>
              <w:t>(Dispensations)</w:t>
            </w:r>
            <w:r>
              <w:rPr>
                <w:spacing w:val="-7"/>
                <w:sz w:val="14"/>
              </w:rPr>
              <w:t> </w:t>
            </w:r>
            <w:r>
              <w:rPr>
                <w:sz w:val="14"/>
              </w:rPr>
              <w:t>Hoarding</w:t>
            </w:r>
            <w:r>
              <w:rPr>
                <w:spacing w:val="-2"/>
                <w:sz w:val="14"/>
              </w:rPr>
              <w:t> </w:t>
            </w:r>
            <w:r>
              <w:rPr>
                <w:sz w:val="14"/>
              </w:rPr>
              <w:t>Occupation</w:t>
            </w:r>
            <w:r>
              <w:rPr>
                <w:spacing w:val="-4"/>
                <w:sz w:val="14"/>
              </w:rPr>
              <w:t> </w:t>
            </w:r>
            <w:r>
              <w:rPr>
                <w:sz w:val="14"/>
              </w:rPr>
              <w:t>Activity</w:t>
            </w:r>
            <w:r>
              <w:rPr>
                <w:spacing w:val="-3"/>
                <w:sz w:val="14"/>
              </w:rPr>
              <w:t> </w:t>
            </w:r>
            <w:r>
              <w:rPr>
                <w:sz w:val="14"/>
              </w:rPr>
              <w:t>-</w:t>
            </w:r>
            <w:r>
              <w:rPr>
                <w:spacing w:val="-6"/>
                <w:sz w:val="14"/>
              </w:rPr>
              <w:t> </w:t>
            </w:r>
            <w:r>
              <w:rPr>
                <w:sz w:val="14"/>
              </w:rPr>
              <w:t>m2</w:t>
            </w:r>
            <w:r>
              <w:rPr>
                <w:spacing w:val="-3"/>
                <w:sz w:val="14"/>
              </w:rPr>
              <w:t> </w:t>
            </w:r>
            <w:r>
              <w:rPr>
                <w:sz w:val="14"/>
              </w:rPr>
              <w:t>daily</w:t>
            </w:r>
            <w:r>
              <w:rPr>
                <w:spacing w:val="-6"/>
                <w:sz w:val="14"/>
              </w:rPr>
              <w:t> </w:t>
            </w:r>
            <w:r>
              <w:rPr>
                <w:spacing w:val="-4"/>
                <w:sz w:val="14"/>
              </w:rPr>
              <w:t>rate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4"/>
                <w:sz w:val="14"/>
              </w:rPr>
              <w:t>1.46</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4"/>
                <w:sz w:val="14"/>
              </w:rPr>
              <w:t>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0.0</w:t>
            </w: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before="39"/>
              <w:ind w:left="107"/>
              <w:rPr>
                <w:sz w:val="14"/>
              </w:rPr>
            </w:pPr>
            <w:r>
              <w:rPr>
                <w:sz w:val="14"/>
              </w:rPr>
              <w:t>Consent</w:t>
            </w:r>
            <w:r>
              <w:rPr>
                <w:spacing w:val="-7"/>
                <w:sz w:val="14"/>
              </w:rPr>
              <w:t> </w:t>
            </w:r>
            <w:r>
              <w:rPr>
                <w:sz w:val="14"/>
              </w:rPr>
              <w:t>&amp;</w:t>
            </w:r>
            <w:r>
              <w:rPr>
                <w:spacing w:val="-3"/>
                <w:sz w:val="14"/>
              </w:rPr>
              <w:t> </w:t>
            </w:r>
            <w:r>
              <w:rPr>
                <w:sz w:val="14"/>
              </w:rPr>
              <w:t>Reports:</w:t>
            </w:r>
            <w:r>
              <w:rPr>
                <w:spacing w:val="-4"/>
                <w:sz w:val="14"/>
              </w:rPr>
              <w:t> </w:t>
            </w:r>
            <w:r>
              <w:rPr>
                <w:sz w:val="14"/>
              </w:rPr>
              <w:t>(Dispensations)</w:t>
            </w:r>
            <w:r>
              <w:rPr>
                <w:spacing w:val="-8"/>
                <w:sz w:val="14"/>
              </w:rPr>
              <w:t> </w:t>
            </w:r>
            <w:r>
              <w:rPr>
                <w:sz w:val="14"/>
              </w:rPr>
              <w:t>Hoarding</w:t>
            </w:r>
            <w:r>
              <w:rPr>
                <w:spacing w:val="-3"/>
                <w:sz w:val="14"/>
              </w:rPr>
              <w:t> </w:t>
            </w:r>
            <w:r>
              <w:rPr>
                <w:sz w:val="14"/>
              </w:rPr>
              <w:t>Occupation</w:t>
            </w:r>
            <w:r>
              <w:rPr>
                <w:spacing w:val="-5"/>
                <w:sz w:val="14"/>
              </w:rPr>
              <w:t> </w:t>
            </w:r>
            <w:r>
              <w:rPr>
                <w:sz w:val="14"/>
              </w:rPr>
              <w:t>Domestic</w:t>
            </w:r>
            <w:r>
              <w:rPr>
                <w:spacing w:val="-5"/>
                <w:sz w:val="14"/>
              </w:rPr>
              <w:t> </w:t>
            </w:r>
            <w:r>
              <w:rPr>
                <w:sz w:val="14"/>
              </w:rPr>
              <w:t>Single</w:t>
            </w:r>
            <w:r>
              <w:rPr>
                <w:spacing w:val="-3"/>
                <w:sz w:val="14"/>
              </w:rPr>
              <w:t> </w:t>
            </w:r>
            <w:r>
              <w:rPr>
                <w:sz w:val="14"/>
              </w:rPr>
              <w:t>Dwelling</w:t>
            </w:r>
            <w:r>
              <w:rPr>
                <w:spacing w:val="-3"/>
                <w:sz w:val="14"/>
              </w:rPr>
              <w:t> </w:t>
            </w:r>
            <w:r>
              <w:rPr>
                <w:spacing w:val="-4"/>
                <w:sz w:val="14"/>
              </w:rPr>
              <w:t>(1a)</w:t>
            </w:r>
          </w:p>
          <w:p>
            <w:pPr>
              <w:pStyle w:val="TableParagraph"/>
              <w:spacing w:line="140" w:lineRule="exact"/>
              <w:ind w:left="107"/>
              <w:rPr>
                <w:sz w:val="14"/>
              </w:rPr>
            </w:pPr>
            <w:r>
              <w:rPr>
                <w:sz w:val="14"/>
              </w:rPr>
              <w:t>-</w:t>
            </w:r>
            <w:r>
              <w:rPr>
                <w:spacing w:val="-4"/>
                <w:sz w:val="14"/>
              </w:rPr>
              <w:t> </w:t>
            </w:r>
            <w:r>
              <w:rPr>
                <w:sz w:val="14"/>
              </w:rPr>
              <w:t>per</w:t>
            </w:r>
            <w:r>
              <w:rPr>
                <w:spacing w:val="-3"/>
                <w:sz w:val="14"/>
              </w:rPr>
              <w:t> </w:t>
            </w:r>
            <w:r>
              <w:rPr>
                <w:spacing w:val="-4"/>
                <w:sz w:val="14"/>
              </w:rPr>
              <w:t>week</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1"/>
              <w:jc w:val="right"/>
              <w:rPr>
                <w:sz w:val="14"/>
              </w:rPr>
            </w:pPr>
            <w:r>
              <w:rPr>
                <w:spacing w:val="-4"/>
                <w:sz w:val="14"/>
              </w:rPr>
              <w:t>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2"/>
              <w:jc w:val="right"/>
              <w:rPr>
                <w:sz w:val="14"/>
              </w:rPr>
            </w:pPr>
            <w:r>
              <w:rPr>
                <w:spacing w:val="-2"/>
                <w:sz w:val="14"/>
              </w:rPr>
              <w:t>84.00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0" w:lineRule="exact"/>
              <w:ind w:left="94" w:right="81"/>
              <w:jc w:val="center"/>
              <w:rPr>
                <w:sz w:val="14"/>
              </w:rPr>
            </w:pPr>
            <w:r>
              <w:rPr>
                <w:spacing w:val="-2"/>
                <w:sz w:val="14"/>
              </w:rPr>
              <w:t>100.0</w:t>
            </w:r>
          </w:p>
        </w:tc>
      </w:tr>
      <w:tr>
        <w:trPr>
          <w:trHeight w:val="405"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64"/>
              <w:ind w:left="107"/>
              <w:rPr>
                <w:sz w:val="14"/>
              </w:rPr>
            </w:pPr>
            <w:r>
              <w:rPr>
                <w:sz w:val="14"/>
              </w:rPr>
              <w:t>Consent</w:t>
            </w:r>
            <w:r>
              <w:rPr>
                <w:spacing w:val="-5"/>
                <w:sz w:val="14"/>
              </w:rPr>
              <w:t> </w:t>
            </w:r>
            <w:r>
              <w:rPr>
                <w:sz w:val="14"/>
              </w:rPr>
              <w:t>&amp;</w:t>
            </w:r>
            <w:r>
              <w:rPr>
                <w:spacing w:val="-1"/>
                <w:sz w:val="14"/>
              </w:rPr>
              <w:t> </w:t>
            </w:r>
            <w:r>
              <w:rPr>
                <w:sz w:val="14"/>
              </w:rPr>
              <w:t>Reports:</w:t>
            </w:r>
            <w:r>
              <w:rPr>
                <w:spacing w:val="-2"/>
                <w:sz w:val="14"/>
              </w:rPr>
              <w:t> </w:t>
            </w:r>
            <w:r>
              <w:rPr>
                <w:sz w:val="14"/>
              </w:rPr>
              <w:t>(Dispensations)</w:t>
            </w:r>
            <w:r>
              <w:rPr>
                <w:spacing w:val="-6"/>
                <w:sz w:val="14"/>
              </w:rPr>
              <w:t> </w:t>
            </w:r>
            <w:r>
              <w:rPr>
                <w:sz w:val="14"/>
              </w:rPr>
              <w:t>Hoarding</w:t>
            </w:r>
            <w:r>
              <w:rPr>
                <w:spacing w:val="-1"/>
                <w:sz w:val="14"/>
              </w:rPr>
              <w:t> </w:t>
            </w:r>
            <w:r>
              <w:rPr>
                <w:sz w:val="14"/>
              </w:rPr>
              <w:t>Occupation</w:t>
            </w:r>
            <w:r>
              <w:rPr>
                <w:spacing w:val="-3"/>
                <w:sz w:val="14"/>
              </w:rPr>
              <w:t> </w:t>
            </w:r>
            <w:r>
              <w:rPr>
                <w:sz w:val="14"/>
              </w:rPr>
              <w:t>Non-Declared</w:t>
            </w:r>
            <w:r>
              <w:rPr>
                <w:spacing w:val="-4"/>
                <w:sz w:val="14"/>
              </w:rPr>
              <w:t> </w:t>
            </w:r>
            <w:r>
              <w:rPr>
                <w:sz w:val="14"/>
              </w:rPr>
              <w:t>Roads</w:t>
            </w:r>
            <w:r>
              <w:rPr>
                <w:spacing w:val="-4"/>
                <w:sz w:val="14"/>
              </w:rPr>
              <w:t> </w:t>
            </w:r>
            <w:r>
              <w:rPr>
                <w:sz w:val="14"/>
              </w:rPr>
              <w:t>-</w:t>
            </w:r>
            <w:r>
              <w:rPr>
                <w:spacing w:val="-5"/>
                <w:sz w:val="14"/>
              </w:rPr>
              <w:t> </w:t>
            </w:r>
            <w:r>
              <w:rPr>
                <w:sz w:val="14"/>
              </w:rPr>
              <w:t>m2</w:t>
            </w:r>
            <w:r>
              <w:rPr>
                <w:spacing w:val="-2"/>
                <w:sz w:val="14"/>
              </w:rPr>
              <w:t> </w:t>
            </w:r>
            <w:r>
              <w:rPr>
                <w:sz w:val="14"/>
              </w:rPr>
              <w:t>per</w:t>
            </w:r>
            <w:r>
              <w:rPr>
                <w:spacing w:val="40"/>
                <w:sz w:val="14"/>
              </w:rPr>
              <w:t> </w:t>
            </w:r>
            <w:r>
              <w:rPr>
                <w:spacing w:val="-4"/>
                <w:sz w:val="14"/>
              </w:rPr>
              <w:t>day</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3"/>
              <w:rPr>
                <w:sz w:val="21"/>
              </w:rPr>
            </w:pPr>
          </w:p>
          <w:p>
            <w:pPr>
              <w:pStyle w:val="TableParagraph"/>
              <w:spacing w:line="140" w:lineRule="exact" w:before="1"/>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3"/>
              <w:rPr>
                <w:sz w:val="21"/>
              </w:rPr>
            </w:pPr>
          </w:p>
          <w:p>
            <w:pPr>
              <w:pStyle w:val="TableParagraph"/>
              <w:spacing w:line="140" w:lineRule="exact" w:before="1"/>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3"/>
              <w:rPr>
                <w:sz w:val="21"/>
              </w:rPr>
            </w:pPr>
          </w:p>
          <w:p>
            <w:pPr>
              <w:pStyle w:val="TableParagraph"/>
              <w:spacing w:line="140" w:lineRule="exact" w:before="1"/>
              <w:ind w:right="91"/>
              <w:jc w:val="right"/>
              <w:rPr>
                <w:sz w:val="14"/>
              </w:rPr>
            </w:pPr>
            <w:r>
              <w:rPr>
                <w:spacing w:val="-4"/>
                <w:sz w:val="14"/>
              </w:rPr>
              <w:t>6.42</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3"/>
              <w:rPr>
                <w:sz w:val="21"/>
              </w:rPr>
            </w:pPr>
          </w:p>
          <w:p>
            <w:pPr>
              <w:pStyle w:val="TableParagraph"/>
              <w:spacing w:line="140" w:lineRule="exact" w:before="1"/>
              <w:ind w:right="92"/>
              <w:jc w:val="right"/>
              <w:rPr>
                <w:sz w:val="14"/>
              </w:rPr>
            </w:pPr>
            <w:r>
              <w:rPr>
                <w:spacing w:val="-4"/>
                <w:sz w:val="14"/>
              </w:rPr>
              <w:t>6.75</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3"/>
              <w:rPr>
                <w:sz w:val="21"/>
              </w:rPr>
            </w:pPr>
          </w:p>
          <w:p>
            <w:pPr>
              <w:pStyle w:val="TableParagraph"/>
              <w:spacing w:line="140" w:lineRule="exact" w:before="1"/>
              <w:ind w:left="95" w:right="79"/>
              <w:jc w:val="center"/>
              <w:rPr>
                <w:sz w:val="14"/>
              </w:rPr>
            </w:pPr>
            <w:r>
              <w:rPr>
                <w:spacing w:val="-5"/>
                <w:sz w:val="14"/>
              </w:rPr>
              <w:t>4.9</w:t>
            </w:r>
          </w:p>
        </w:tc>
      </w:tr>
      <w:tr>
        <w:trPr>
          <w:trHeight w:val="373"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33"/>
              <w:ind w:left="107" w:right="181"/>
              <w:rPr>
                <w:sz w:val="14"/>
              </w:rPr>
            </w:pPr>
            <w:r>
              <w:rPr>
                <w:sz w:val="14"/>
              </w:rPr>
              <w:t>Consent</w:t>
            </w:r>
            <w:r>
              <w:rPr>
                <w:spacing w:val="-5"/>
                <w:sz w:val="14"/>
              </w:rPr>
              <w:t> </w:t>
            </w:r>
            <w:r>
              <w:rPr>
                <w:sz w:val="14"/>
              </w:rPr>
              <w:t>&amp;</w:t>
            </w:r>
            <w:r>
              <w:rPr>
                <w:spacing w:val="-1"/>
                <w:sz w:val="14"/>
              </w:rPr>
              <w:t> </w:t>
            </w:r>
            <w:r>
              <w:rPr>
                <w:sz w:val="14"/>
              </w:rPr>
              <w:t>Reports:</w:t>
            </w:r>
            <w:r>
              <w:rPr>
                <w:spacing w:val="-2"/>
                <w:sz w:val="14"/>
              </w:rPr>
              <w:t> </w:t>
            </w:r>
            <w:r>
              <w:rPr>
                <w:sz w:val="14"/>
              </w:rPr>
              <w:t>(Dispensations)</w:t>
            </w:r>
            <w:r>
              <w:rPr>
                <w:spacing w:val="-6"/>
                <w:sz w:val="14"/>
              </w:rPr>
              <w:t> </w:t>
            </w:r>
            <w:r>
              <w:rPr>
                <w:sz w:val="14"/>
              </w:rPr>
              <w:t>Hoarding</w:t>
            </w:r>
            <w:r>
              <w:rPr>
                <w:spacing w:val="-1"/>
                <w:sz w:val="14"/>
              </w:rPr>
              <w:t> </w:t>
            </w:r>
            <w:r>
              <w:rPr>
                <w:sz w:val="14"/>
              </w:rPr>
              <w:t>Occupation</w:t>
            </w:r>
            <w:r>
              <w:rPr>
                <w:spacing w:val="-3"/>
                <w:sz w:val="14"/>
              </w:rPr>
              <w:t> </w:t>
            </w:r>
            <w:r>
              <w:rPr>
                <w:sz w:val="14"/>
              </w:rPr>
              <w:t>Activity</w:t>
            </w:r>
            <w:r>
              <w:rPr>
                <w:spacing w:val="-2"/>
                <w:sz w:val="14"/>
              </w:rPr>
              <w:t> </w:t>
            </w:r>
            <w:r>
              <w:rPr>
                <w:sz w:val="14"/>
              </w:rPr>
              <w:t>Centre</w:t>
            </w:r>
            <w:r>
              <w:rPr>
                <w:spacing w:val="-5"/>
                <w:sz w:val="14"/>
              </w:rPr>
              <w:t> </w:t>
            </w:r>
            <w:r>
              <w:rPr>
                <w:sz w:val="14"/>
              </w:rPr>
              <w:t>or</w:t>
            </w:r>
            <w:r>
              <w:rPr>
                <w:spacing w:val="-6"/>
                <w:sz w:val="14"/>
              </w:rPr>
              <w:t> </w:t>
            </w:r>
            <w:r>
              <w:rPr>
                <w:sz w:val="14"/>
              </w:rPr>
              <w:t>declared</w:t>
            </w:r>
            <w:r>
              <w:rPr>
                <w:spacing w:val="40"/>
                <w:sz w:val="14"/>
              </w:rPr>
              <w:t> </w:t>
            </w:r>
            <w:r>
              <w:rPr>
                <w:sz w:val="14"/>
              </w:rPr>
              <w:t>roads - m2 per week</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7"/>
              <w:rPr>
                <w:sz w:val="18"/>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7"/>
              <w:rPr>
                <w:sz w:val="18"/>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7"/>
              <w:rPr>
                <w:sz w:val="18"/>
              </w:rPr>
            </w:pPr>
          </w:p>
          <w:p>
            <w:pPr>
              <w:pStyle w:val="TableParagraph"/>
              <w:spacing w:line="140" w:lineRule="exact"/>
              <w:ind w:right="91"/>
              <w:jc w:val="right"/>
              <w:rPr>
                <w:sz w:val="14"/>
              </w:rPr>
            </w:pPr>
            <w:r>
              <w:rPr>
                <w:spacing w:val="-4"/>
                <w:sz w:val="14"/>
              </w:rPr>
              <w:t>9.60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7"/>
              <w:rPr>
                <w:sz w:val="18"/>
              </w:rPr>
            </w:pPr>
          </w:p>
          <w:p>
            <w:pPr>
              <w:pStyle w:val="TableParagraph"/>
              <w:spacing w:line="140" w:lineRule="exact"/>
              <w:ind w:right="92"/>
              <w:jc w:val="right"/>
              <w:rPr>
                <w:sz w:val="14"/>
              </w:rPr>
            </w:pPr>
            <w:r>
              <w:rPr>
                <w:spacing w:val="-2"/>
                <w:sz w:val="14"/>
              </w:rPr>
              <w:t>10.00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7"/>
              <w:rPr>
                <w:sz w:val="18"/>
              </w:rPr>
            </w:pPr>
          </w:p>
          <w:p>
            <w:pPr>
              <w:pStyle w:val="TableParagraph"/>
              <w:spacing w:line="140" w:lineRule="exact"/>
              <w:ind w:left="95" w:right="79"/>
              <w:jc w:val="center"/>
              <w:rPr>
                <w:sz w:val="14"/>
              </w:rPr>
            </w:pPr>
            <w:r>
              <w:rPr>
                <w:spacing w:val="-5"/>
                <w:sz w:val="14"/>
              </w:rPr>
              <w:t>4.0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Consent</w:t>
            </w:r>
            <w:r>
              <w:rPr>
                <w:spacing w:val="-7"/>
                <w:sz w:val="14"/>
              </w:rPr>
              <w:t> </w:t>
            </w:r>
            <w:r>
              <w:rPr>
                <w:sz w:val="14"/>
              </w:rPr>
              <w:t>&amp;</w:t>
            </w:r>
            <w:r>
              <w:rPr>
                <w:spacing w:val="-3"/>
                <w:sz w:val="14"/>
              </w:rPr>
              <w:t> </w:t>
            </w:r>
            <w:r>
              <w:rPr>
                <w:sz w:val="14"/>
              </w:rPr>
              <w:t>Reports:</w:t>
            </w:r>
            <w:r>
              <w:rPr>
                <w:spacing w:val="-4"/>
                <w:sz w:val="14"/>
              </w:rPr>
              <w:t> </w:t>
            </w:r>
            <w:r>
              <w:rPr>
                <w:sz w:val="14"/>
              </w:rPr>
              <w:t>(Dispensations)</w:t>
            </w:r>
            <w:r>
              <w:rPr>
                <w:spacing w:val="-8"/>
                <w:sz w:val="14"/>
              </w:rPr>
              <w:t> </w:t>
            </w:r>
            <w:r>
              <w:rPr>
                <w:sz w:val="14"/>
              </w:rPr>
              <w:t>Hoarding</w:t>
            </w:r>
            <w:r>
              <w:rPr>
                <w:spacing w:val="-6"/>
                <w:sz w:val="14"/>
              </w:rPr>
              <w:t> </w:t>
            </w:r>
            <w:r>
              <w:rPr>
                <w:spacing w:val="-2"/>
                <w:sz w:val="14"/>
              </w:rPr>
              <w:t>Permit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320.25</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335.60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107"/>
              <w:rPr>
                <w:sz w:val="14"/>
              </w:rPr>
            </w:pPr>
            <w:r>
              <w:rPr>
                <w:sz w:val="14"/>
              </w:rPr>
              <w:t>Consent</w:t>
            </w:r>
            <w:r>
              <w:rPr>
                <w:spacing w:val="-6"/>
                <w:sz w:val="14"/>
              </w:rPr>
              <w:t> </w:t>
            </w:r>
            <w:r>
              <w:rPr>
                <w:sz w:val="14"/>
              </w:rPr>
              <w:t>&amp;</w:t>
            </w:r>
            <w:r>
              <w:rPr>
                <w:spacing w:val="-2"/>
                <w:sz w:val="14"/>
              </w:rPr>
              <w:t> </w:t>
            </w:r>
            <w:r>
              <w:rPr>
                <w:sz w:val="14"/>
              </w:rPr>
              <w:t>Reports:</w:t>
            </w:r>
            <w:r>
              <w:rPr>
                <w:spacing w:val="-2"/>
                <w:sz w:val="14"/>
              </w:rPr>
              <w:t> </w:t>
            </w:r>
            <w:r>
              <w:rPr>
                <w:sz w:val="14"/>
              </w:rPr>
              <w:t>(Dispensations)</w:t>
            </w:r>
            <w:r>
              <w:rPr>
                <w:spacing w:val="-6"/>
                <w:sz w:val="14"/>
              </w:rPr>
              <w:t> </w:t>
            </w:r>
            <w:r>
              <w:rPr>
                <w:sz w:val="14"/>
              </w:rPr>
              <w:t>Permit</w:t>
            </w:r>
            <w:r>
              <w:rPr>
                <w:spacing w:val="-6"/>
                <w:sz w:val="14"/>
              </w:rPr>
              <w:t> </w:t>
            </w:r>
            <w:r>
              <w:rPr>
                <w:sz w:val="14"/>
              </w:rPr>
              <w:t>issued</w:t>
            </w:r>
            <w:r>
              <w:rPr>
                <w:spacing w:val="-4"/>
                <w:sz w:val="14"/>
              </w:rPr>
              <w:t> </w:t>
            </w:r>
            <w:r>
              <w:rPr>
                <w:sz w:val="14"/>
              </w:rPr>
              <w:t>or</w:t>
            </w:r>
            <w:r>
              <w:rPr>
                <w:spacing w:val="-5"/>
                <w:sz w:val="14"/>
              </w:rPr>
              <w:t> </w:t>
            </w:r>
            <w:r>
              <w:rPr>
                <w:sz w:val="14"/>
              </w:rPr>
              <w:t>work</w:t>
            </w:r>
            <w:r>
              <w:rPr>
                <w:spacing w:val="-2"/>
                <w:sz w:val="14"/>
              </w:rPr>
              <w:t> </w:t>
            </w:r>
            <w:r>
              <w:rPr>
                <w:sz w:val="14"/>
              </w:rPr>
              <w:t>commenced</w:t>
            </w:r>
            <w:r>
              <w:rPr>
                <w:spacing w:val="-3"/>
                <w:sz w:val="14"/>
              </w:rPr>
              <w:t> </w:t>
            </w:r>
            <w:r>
              <w:rPr>
                <w:sz w:val="14"/>
              </w:rPr>
              <w:t>-</w:t>
            </w:r>
            <w:r>
              <w:rPr>
                <w:spacing w:val="-3"/>
                <w:sz w:val="14"/>
              </w:rPr>
              <w:t> </w:t>
            </w:r>
            <w:r>
              <w:rPr>
                <w:sz w:val="14"/>
              </w:rPr>
              <w:t>first</w:t>
            </w:r>
            <w:r>
              <w:rPr>
                <w:spacing w:val="-2"/>
                <w:sz w:val="14"/>
              </w:rPr>
              <w:t> Regulation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1"/>
              <w:jc w:val="right"/>
              <w:rPr>
                <w:sz w:val="14"/>
              </w:rPr>
            </w:pPr>
            <w:r>
              <w:rPr>
                <w:spacing w:val="-2"/>
                <w:sz w:val="14"/>
              </w:rPr>
              <w:t>604.00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3"/>
              <w:jc w:val="right"/>
              <w:rPr>
                <w:sz w:val="14"/>
              </w:rPr>
            </w:pPr>
            <w:r>
              <w:rPr>
                <w:spacing w:val="-2"/>
                <w:sz w:val="14"/>
              </w:rPr>
              <w:t>555.00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0" w:lineRule="exact"/>
              <w:ind w:left="95" w:right="80"/>
              <w:jc w:val="center"/>
              <w:rPr>
                <w:sz w:val="14"/>
              </w:rPr>
            </w:pPr>
            <w:r>
              <w:rPr>
                <w:w w:val="95"/>
                <w:sz w:val="14"/>
              </w:rPr>
              <w:t>-</w:t>
            </w:r>
            <w:r>
              <w:rPr>
                <w:spacing w:val="-5"/>
                <w:sz w:val="14"/>
              </w:rPr>
              <w:t>8.8</w:t>
            </w:r>
          </w:p>
        </w:tc>
      </w:tr>
      <w:tr>
        <w:trPr>
          <w:trHeight w:val="376"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35"/>
              <w:ind w:left="107"/>
              <w:rPr>
                <w:sz w:val="14"/>
              </w:rPr>
            </w:pPr>
            <w:r>
              <w:rPr>
                <w:sz w:val="14"/>
              </w:rPr>
              <w:t>Consent</w:t>
            </w:r>
            <w:r>
              <w:rPr>
                <w:spacing w:val="-5"/>
                <w:sz w:val="14"/>
              </w:rPr>
              <w:t> </w:t>
            </w:r>
            <w:r>
              <w:rPr>
                <w:sz w:val="14"/>
              </w:rPr>
              <w:t>&amp;</w:t>
            </w:r>
            <w:r>
              <w:rPr>
                <w:spacing w:val="-1"/>
                <w:sz w:val="14"/>
              </w:rPr>
              <w:t> </w:t>
            </w:r>
            <w:r>
              <w:rPr>
                <w:sz w:val="14"/>
              </w:rPr>
              <w:t>Reports:</w:t>
            </w:r>
            <w:r>
              <w:rPr>
                <w:spacing w:val="-2"/>
                <w:sz w:val="14"/>
              </w:rPr>
              <w:t> </w:t>
            </w:r>
            <w:r>
              <w:rPr>
                <w:sz w:val="14"/>
              </w:rPr>
              <w:t>(Dispensations)</w:t>
            </w:r>
            <w:r>
              <w:rPr>
                <w:spacing w:val="-6"/>
                <w:sz w:val="14"/>
              </w:rPr>
              <w:t> </w:t>
            </w:r>
            <w:r>
              <w:rPr>
                <w:sz w:val="14"/>
              </w:rPr>
              <w:t>Permit</w:t>
            </w:r>
            <w:r>
              <w:rPr>
                <w:spacing w:val="-5"/>
                <w:sz w:val="14"/>
              </w:rPr>
              <w:t> </w:t>
            </w:r>
            <w:r>
              <w:rPr>
                <w:sz w:val="14"/>
              </w:rPr>
              <w:t>issued</w:t>
            </w:r>
            <w:r>
              <w:rPr>
                <w:spacing w:val="-3"/>
                <w:sz w:val="14"/>
              </w:rPr>
              <w:t> </w:t>
            </w:r>
            <w:r>
              <w:rPr>
                <w:sz w:val="14"/>
              </w:rPr>
              <w:t>or</w:t>
            </w:r>
            <w:r>
              <w:rPr>
                <w:spacing w:val="-5"/>
                <w:sz w:val="14"/>
              </w:rPr>
              <w:t> </w:t>
            </w:r>
            <w:r>
              <w:rPr>
                <w:sz w:val="14"/>
              </w:rPr>
              <w:t>work</w:t>
            </w:r>
            <w:r>
              <w:rPr>
                <w:spacing w:val="-2"/>
                <w:sz w:val="14"/>
              </w:rPr>
              <w:t> </w:t>
            </w:r>
            <w:r>
              <w:rPr>
                <w:sz w:val="14"/>
              </w:rPr>
              <w:t>commenced</w:t>
            </w:r>
            <w:r>
              <w:rPr>
                <w:spacing w:val="-3"/>
                <w:sz w:val="14"/>
              </w:rPr>
              <w:t> </w:t>
            </w:r>
            <w:r>
              <w:rPr>
                <w:sz w:val="14"/>
              </w:rPr>
              <w:t>-</w:t>
            </w:r>
            <w:r>
              <w:rPr>
                <w:spacing w:val="-4"/>
                <w:sz w:val="14"/>
              </w:rPr>
              <w:t> </w:t>
            </w:r>
            <w:r>
              <w:rPr>
                <w:sz w:val="14"/>
              </w:rPr>
              <w:t>subsequent</w:t>
            </w:r>
            <w:r>
              <w:rPr>
                <w:spacing w:val="40"/>
                <w:sz w:val="14"/>
              </w:rPr>
              <w:t> </w:t>
            </w:r>
            <w:r>
              <w:rPr>
                <w:spacing w:val="-2"/>
                <w:sz w:val="14"/>
              </w:rPr>
              <w:t>Regulation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9"/>
              <w:rPr>
                <w:sz w:val="18"/>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9"/>
              <w:rPr>
                <w:sz w:val="18"/>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9"/>
              <w:rPr>
                <w:sz w:val="18"/>
              </w:rPr>
            </w:pPr>
          </w:p>
          <w:p>
            <w:pPr>
              <w:pStyle w:val="TableParagraph"/>
              <w:spacing w:line="140" w:lineRule="exact"/>
              <w:ind w:right="91"/>
              <w:jc w:val="right"/>
              <w:rPr>
                <w:sz w:val="14"/>
              </w:rPr>
            </w:pPr>
            <w:r>
              <w:rPr>
                <w:spacing w:val="-2"/>
                <w:sz w:val="14"/>
              </w:rPr>
              <w:t>448.25</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9"/>
              <w:rPr>
                <w:sz w:val="18"/>
              </w:rPr>
            </w:pPr>
          </w:p>
          <w:p>
            <w:pPr>
              <w:pStyle w:val="TableParagraph"/>
              <w:spacing w:line="140" w:lineRule="exact"/>
              <w:ind w:right="93"/>
              <w:jc w:val="right"/>
              <w:rPr>
                <w:sz w:val="14"/>
              </w:rPr>
            </w:pPr>
            <w:r>
              <w:rPr>
                <w:spacing w:val="-2"/>
                <w:sz w:val="14"/>
              </w:rPr>
              <w:t>351.00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9"/>
              <w:rPr>
                <w:sz w:val="18"/>
              </w:rPr>
            </w:pPr>
          </w:p>
          <w:p>
            <w:pPr>
              <w:pStyle w:val="TableParagraph"/>
              <w:spacing w:line="140" w:lineRule="exact"/>
              <w:ind w:left="95" w:right="79"/>
              <w:jc w:val="center"/>
              <w:rPr>
                <w:sz w:val="14"/>
              </w:rPr>
            </w:pPr>
            <w:r>
              <w:rPr>
                <w:w w:val="95"/>
                <w:sz w:val="14"/>
              </w:rPr>
              <w:t>-</w:t>
            </w:r>
            <w:r>
              <w:rPr>
                <w:spacing w:val="-4"/>
                <w:sz w:val="14"/>
              </w:rPr>
              <w:t>27.7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Consent</w:t>
            </w:r>
            <w:r>
              <w:rPr>
                <w:spacing w:val="-8"/>
                <w:sz w:val="14"/>
              </w:rPr>
              <w:t> </w:t>
            </w:r>
            <w:r>
              <w:rPr>
                <w:sz w:val="14"/>
              </w:rPr>
              <w:t>&amp;</w:t>
            </w:r>
            <w:r>
              <w:rPr>
                <w:spacing w:val="-5"/>
                <w:sz w:val="14"/>
              </w:rPr>
              <w:t> </w:t>
            </w:r>
            <w:r>
              <w:rPr>
                <w:sz w:val="14"/>
              </w:rPr>
              <w:t>Reports:</w:t>
            </w:r>
            <w:r>
              <w:rPr>
                <w:spacing w:val="-4"/>
                <w:sz w:val="14"/>
              </w:rPr>
              <w:t> </w:t>
            </w:r>
            <w:r>
              <w:rPr>
                <w:sz w:val="14"/>
              </w:rPr>
              <w:t>(Dispensations)(Part</w:t>
            </w:r>
            <w:r>
              <w:rPr>
                <w:spacing w:val="-7"/>
                <w:sz w:val="14"/>
              </w:rPr>
              <w:t> </w:t>
            </w:r>
            <w:r>
              <w:rPr>
                <w:spacing w:val="-2"/>
                <w:sz w:val="14"/>
              </w:rPr>
              <w:t>5)(siting)</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448.25</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469.75</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Consent</w:t>
            </w:r>
            <w:r>
              <w:rPr>
                <w:spacing w:val="-6"/>
                <w:sz w:val="14"/>
              </w:rPr>
              <w:t> </w:t>
            </w:r>
            <w:r>
              <w:rPr>
                <w:sz w:val="14"/>
              </w:rPr>
              <w:t>&amp;</w:t>
            </w:r>
            <w:r>
              <w:rPr>
                <w:spacing w:val="-2"/>
                <w:sz w:val="14"/>
              </w:rPr>
              <w:t> </w:t>
            </w:r>
            <w:r>
              <w:rPr>
                <w:sz w:val="14"/>
              </w:rPr>
              <w:t>Reports:</w:t>
            </w:r>
            <w:r>
              <w:rPr>
                <w:spacing w:val="-3"/>
                <w:sz w:val="14"/>
              </w:rPr>
              <w:t> </w:t>
            </w:r>
            <w:r>
              <w:rPr>
                <w:sz w:val="14"/>
              </w:rPr>
              <w:t>(Dispensations)</w:t>
            </w:r>
            <w:r>
              <w:rPr>
                <w:spacing w:val="-6"/>
                <w:sz w:val="14"/>
              </w:rPr>
              <w:t> </w:t>
            </w:r>
            <w:r>
              <w:rPr>
                <w:sz w:val="14"/>
              </w:rPr>
              <w:t>(Reg</w:t>
            </w:r>
            <w:r>
              <w:rPr>
                <w:spacing w:val="-4"/>
                <w:sz w:val="14"/>
              </w:rPr>
              <w:t> </w:t>
            </w:r>
            <w:r>
              <w:rPr>
                <w:sz w:val="14"/>
              </w:rPr>
              <w:t>132(1)</w:t>
            </w:r>
            <w:r>
              <w:rPr>
                <w:spacing w:val="-5"/>
                <w:sz w:val="14"/>
              </w:rPr>
              <w:t> </w:t>
            </w:r>
            <w:r>
              <w:rPr>
                <w:sz w:val="14"/>
              </w:rPr>
              <w:t>and</w:t>
            </w:r>
            <w:r>
              <w:rPr>
                <w:spacing w:val="-2"/>
                <w:sz w:val="14"/>
              </w:rPr>
              <w:t> </w:t>
            </w:r>
            <w:r>
              <w:rPr>
                <w:sz w:val="14"/>
              </w:rPr>
              <w:t>Reg</w:t>
            </w:r>
            <w:r>
              <w:rPr>
                <w:spacing w:val="-6"/>
                <w:sz w:val="14"/>
              </w:rPr>
              <w:t> </w:t>
            </w:r>
            <w:r>
              <w:rPr>
                <w:sz w:val="14"/>
              </w:rPr>
              <w:t>134(2)</w:t>
            </w:r>
            <w:r>
              <w:rPr>
                <w:spacing w:val="-3"/>
                <w:sz w:val="14"/>
              </w:rPr>
              <w:t> </w:t>
            </w:r>
            <w:r>
              <w:rPr>
                <w:sz w:val="14"/>
              </w:rPr>
              <w:t>(Street</w:t>
            </w:r>
            <w:r>
              <w:rPr>
                <w:spacing w:val="-5"/>
                <w:sz w:val="14"/>
              </w:rPr>
              <w:t> </w:t>
            </w:r>
            <w:r>
              <w:rPr>
                <w:spacing w:val="-2"/>
                <w:sz w:val="14"/>
              </w:rPr>
              <w:t>Projections)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320.25</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335.60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Consent</w:t>
            </w:r>
            <w:r>
              <w:rPr>
                <w:spacing w:val="-6"/>
                <w:sz w:val="14"/>
              </w:rPr>
              <w:t> </w:t>
            </w:r>
            <w:r>
              <w:rPr>
                <w:sz w:val="14"/>
              </w:rPr>
              <w:t>&amp;</w:t>
            </w:r>
            <w:r>
              <w:rPr>
                <w:spacing w:val="-2"/>
                <w:sz w:val="14"/>
              </w:rPr>
              <w:t> </w:t>
            </w:r>
            <w:r>
              <w:rPr>
                <w:sz w:val="14"/>
              </w:rPr>
              <w:t>Reports:</w:t>
            </w:r>
            <w:r>
              <w:rPr>
                <w:spacing w:val="-4"/>
                <w:sz w:val="14"/>
              </w:rPr>
              <w:t> </w:t>
            </w:r>
            <w:r>
              <w:rPr>
                <w:sz w:val="14"/>
              </w:rPr>
              <w:t>(Dispensations)</w:t>
            </w:r>
            <w:r>
              <w:rPr>
                <w:spacing w:val="-6"/>
                <w:sz w:val="14"/>
              </w:rPr>
              <w:t> </w:t>
            </w:r>
            <w:r>
              <w:rPr>
                <w:sz w:val="14"/>
              </w:rPr>
              <w:t>29A</w:t>
            </w:r>
            <w:r>
              <w:rPr>
                <w:spacing w:val="-5"/>
                <w:sz w:val="14"/>
              </w:rPr>
              <w:t> </w:t>
            </w:r>
            <w:r>
              <w:rPr>
                <w:spacing w:val="-2"/>
                <w:sz w:val="14"/>
              </w:rPr>
              <w:t>Process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93.90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98.40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36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20"/>
              <w:ind w:left="107"/>
              <w:rPr>
                <w:sz w:val="14"/>
              </w:rPr>
            </w:pPr>
            <w:r>
              <w:rPr>
                <w:sz w:val="14"/>
              </w:rPr>
              <w:t>Reg</w:t>
            </w:r>
            <w:r>
              <w:rPr>
                <w:spacing w:val="-1"/>
                <w:sz w:val="14"/>
              </w:rPr>
              <w:t> </w:t>
            </w:r>
            <w:r>
              <w:rPr>
                <w:sz w:val="14"/>
              </w:rPr>
              <w:t>51</w:t>
            </w:r>
            <w:r>
              <w:rPr>
                <w:spacing w:val="-1"/>
                <w:sz w:val="14"/>
              </w:rPr>
              <w:t> </w:t>
            </w:r>
            <w:r>
              <w:rPr>
                <w:sz w:val="14"/>
              </w:rPr>
              <w:t>(1),</w:t>
            </w:r>
            <w:r>
              <w:rPr>
                <w:spacing w:val="-3"/>
                <w:sz w:val="14"/>
              </w:rPr>
              <w:t> </w:t>
            </w:r>
            <w:r>
              <w:rPr>
                <w:sz w:val="14"/>
              </w:rPr>
              <w:t>(2)</w:t>
            </w:r>
            <w:r>
              <w:rPr>
                <w:spacing w:val="-1"/>
                <w:sz w:val="14"/>
              </w:rPr>
              <w:t> </w:t>
            </w:r>
            <w:r>
              <w:rPr>
                <w:sz w:val="14"/>
              </w:rPr>
              <w:t>&amp;</w:t>
            </w:r>
            <w:r>
              <w:rPr>
                <w:spacing w:val="-3"/>
                <w:sz w:val="14"/>
              </w:rPr>
              <w:t> </w:t>
            </w:r>
            <w:r>
              <w:rPr>
                <w:sz w:val="14"/>
              </w:rPr>
              <w:t>(3).</w:t>
            </w:r>
            <w:r>
              <w:rPr>
                <w:spacing w:val="-2"/>
                <w:sz w:val="14"/>
              </w:rPr>
              <w:t> </w:t>
            </w:r>
            <w:r>
              <w:rPr>
                <w:sz w:val="14"/>
              </w:rPr>
              <w:t>Owner</w:t>
            </w:r>
            <w:r>
              <w:rPr>
                <w:spacing w:val="-1"/>
                <w:sz w:val="14"/>
              </w:rPr>
              <w:t> </w:t>
            </w:r>
            <w:r>
              <w:rPr>
                <w:sz w:val="14"/>
              </w:rPr>
              <w:t>or</w:t>
            </w:r>
            <w:r>
              <w:rPr>
                <w:spacing w:val="-4"/>
                <w:sz w:val="14"/>
              </w:rPr>
              <w:t> </w:t>
            </w:r>
            <w:r>
              <w:rPr>
                <w:sz w:val="14"/>
              </w:rPr>
              <w:t>mortgagee</w:t>
            </w:r>
            <w:r>
              <w:rPr>
                <w:spacing w:val="-2"/>
                <w:sz w:val="14"/>
              </w:rPr>
              <w:t> </w:t>
            </w:r>
            <w:r>
              <w:rPr>
                <w:sz w:val="14"/>
              </w:rPr>
              <w:t>of</w:t>
            </w:r>
            <w:r>
              <w:rPr>
                <w:spacing w:val="-1"/>
                <w:sz w:val="14"/>
              </w:rPr>
              <w:t> </w:t>
            </w:r>
            <w:r>
              <w:rPr>
                <w:sz w:val="14"/>
              </w:rPr>
              <w:t>building</w:t>
            </w:r>
            <w:r>
              <w:rPr>
                <w:spacing w:val="-3"/>
                <w:sz w:val="14"/>
              </w:rPr>
              <w:t> </w:t>
            </w:r>
            <w:r>
              <w:rPr>
                <w:sz w:val="14"/>
              </w:rPr>
              <w:t>or</w:t>
            </w:r>
            <w:r>
              <w:rPr>
                <w:spacing w:val="-4"/>
                <w:sz w:val="14"/>
              </w:rPr>
              <w:t> </w:t>
            </w:r>
            <w:r>
              <w:rPr>
                <w:sz w:val="14"/>
              </w:rPr>
              <w:t>land</w:t>
            </w:r>
            <w:r>
              <w:rPr>
                <w:spacing w:val="-1"/>
                <w:sz w:val="14"/>
              </w:rPr>
              <w:t> </w:t>
            </w:r>
            <w:r>
              <w:rPr>
                <w:sz w:val="14"/>
              </w:rPr>
              <w:t>or</w:t>
            </w:r>
            <w:r>
              <w:rPr>
                <w:spacing w:val="-1"/>
                <w:sz w:val="14"/>
              </w:rPr>
              <w:t> </w:t>
            </w:r>
            <w:r>
              <w:rPr>
                <w:sz w:val="14"/>
              </w:rPr>
              <w:t>prescribed</w:t>
            </w:r>
            <w:r>
              <w:rPr>
                <w:spacing w:val="-5"/>
                <w:sz w:val="14"/>
              </w:rPr>
              <w:t> </w:t>
            </w:r>
            <w:r>
              <w:rPr>
                <w:sz w:val="14"/>
              </w:rPr>
              <w:t>building</w:t>
            </w:r>
            <w:r>
              <w:rPr>
                <w:spacing w:val="40"/>
                <w:sz w:val="14"/>
              </w:rPr>
              <w:t> </w:t>
            </w:r>
            <w:r>
              <w:rPr>
                <w:sz w:val="14"/>
              </w:rPr>
              <w:t>practitioner requesting information in respect to building or land</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2" w:lineRule="exact"/>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2"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2" w:lineRule="exact"/>
              <w:ind w:right="91"/>
              <w:jc w:val="right"/>
              <w:rPr>
                <w:sz w:val="14"/>
              </w:rPr>
            </w:pPr>
            <w:r>
              <w:rPr>
                <w:spacing w:val="-2"/>
                <w:sz w:val="14"/>
              </w:rPr>
              <w:t>52.10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2" w:lineRule="exact"/>
              <w:ind w:right="93"/>
              <w:jc w:val="right"/>
              <w:rPr>
                <w:sz w:val="14"/>
              </w:rPr>
            </w:pPr>
            <w:r>
              <w:rPr>
                <w:spacing w:val="-2"/>
                <w:sz w:val="14"/>
              </w:rPr>
              <w:t>54.60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2" w:lineRule="exact"/>
              <w:ind w:left="95" w:right="79"/>
              <w:jc w:val="center"/>
              <w:rPr>
                <w:sz w:val="14"/>
              </w:rPr>
            </w:pPr>
            <w:r>
              <w:rPr>
                <w:spacing w:val="-5"/>
                <w:sz w:val="14"/>
              </w:rPr>
              <w:t>4.6</w:t>
            </w: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107"/>
              <w:rPr>
                <w:sz w:val="14"/>
              </w:rPr>
            </w:pPr>
            <w:r>
              <w:rPr>
                <w:sz w:val="14"/>
              </w:rPr>
              <w:t>Copy</w:t>
            </w:r>
            <w:r>
              <w:rPr>
                <w:spacing w:val="-2"/>
                <w:sz w:val="14"/>
              </w:rPr>
              <w:t> </w:t>
            </w:r>
            <w:r>
              <w:rPr>
                <w:sz w:val="14"/>
              </w:rPr>
              <w:t>of</w:t>
            </w:r>
            <w:r>
              <w:rPr>
                <w:spacing w:val="-2"/>
                <w:sz w:val="14"/>
              </w:rPr>
              <w:t> </w:t>
            </w:r>
            <w:r>
              <w:rPr>
                <w:sz w:val="14"/>
              </w:rPr>
              <w:t>plans</w:t>
            </w:r>
            <w:r>
              <w:rPr>
                <w:spacing w:val="-3"/>
                <w:sz w:val="14"/>
              </w:rPr>
              <w:t> </w:t>
            </w:r>
            <w:r>
              <w:rPr>
                <w:sz w:val="14"/>
              </w:rPr>
              <w:t>-</w:t>
            </w:r>
            <w:r>
              <w:rPr>
                <w:spacing w:val="-2"/>
                <w:sz w:val="14"/>
              </w:rPr>
              <w:t> </w:t>
            </w:r>
            <w:r>
              <w:rPr>
                <w:sz w:val="14"/>
              </w:rPr>
              <w:t>Class</w:t>
            </w:r>
            <w:r>
              <w:rPr>
                <w:spacing w:val="-2"/>
                <w:sz w:val="14"/>
              </w:rPr>
              <w:t> </w:t>
            </w:r>
            <w:r>
              <w:rPr>
                <w:sz w:val="14"/>
              </w:rPr>
              <w:t>1</w:t>
            </w:r>
            <w:r>
              <w:rPr>
                <w:spacing w:val="-1"/>
                <w:sz w:val="14"/>
              </w:rPr>
              <w:t> </w:t>
            </w:r>
            <w:r>
              <w:rPr>
                <w:sz w:val="14"/>
              </w:rPr>
              <w:t>or</w:t>
            </w:r>
            <w:r>
              <w:rPr>
                <w:spacing w:val="-2"/>
                <w:sz w:val="14"/>
              </w:rPr>
              <w:t> </w:t>
            </w:r>
            <w:r>
              <w:rPr>
                <w:sz w:val="14"/>
              </w:rPr>
              <w:t>10,</w:t>
            </w:r>
            <w:r>
              <w:rPr>
                <w:spacing w:val="-2"/>
                <w:sz w:val="14"/>
              </w:rPr>
              <w:t> </w:t>
            </w:r>
            <w:r>
              <w:rPr>
                <w:sz w:val="14"/>
              </w:rPr>
              <w:t>including</w:t>
            </w:r>
            <w:r>
              <w:rPr>
                <w:spacing w:val="-3"/>
                <w:sz w:val="14"/>
              </w:rPr>
              <w:t> </w:t>
            </w:r>
            <w:r>
              <w:rPr>
                <w:sz w:val="14"/>
              </w:rPr>
              <w:t>copy</w:t>
            </w:r>
            <w:r>
              <w:rPr>
                <w:spacing w:val="-1"/>
                <w:sz w:val="14"/>
              </w:rPr>
              <w:t> </w:t>
            </w:r>
            <w:r>
              <w:rPr>
                <w:sz w:val="14"/>
              </w:rPr>
              <w:t>of</w:t>
            </w:r>
            <w:r>
              <w:rPr>
                <w:spacing w:val="-2"/>
                <w:sz w:val="14"/>
              </w:rPr>
              <w:t> </w:t>
            </w:r>
            <w:r>
              <w:rPr>
                <w:sz w:val="14"/>
              </w:rPr>
              <w:t>any</w:t>
            </w:r>
            <w:r>
              <w:rPr>
                <w:spacing w:val="-4"/>
                <w:sz w:val="14"/>
              </w:rPr>
              <w:t> </w:t>
            </w:r>
            <w:r>
              <w:rPr>
                <w:sz w:val="14"/>
              </w:rPr>
              <w:t>associated</w:t>
            </w:r>
            <w:r>
              <w:rPr>
                <w:spacing w:val="-5"/>
                <w:sz w:val="14"/>
              </w:rPr>
              <w:t> </w:t>
            </w:r>
            <w:r>
              <w:rPr>
                <w:spacing w:val="-2"/>
                <w:sz w:val="14"/>
              </w:rPr>
              <w:t>documentation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1"/>
              <w:jc w:val="right"/>
              <w:rPr>
                <w:sz w:val="14"/>
              </w:rPr>
            </w:pPr>
            <w:r>
              <w:rPr>
                <w:spacing w:val="-2"/>
                <w:sz w:val="14"/>
              </w:rPr>
              <w:t>190.00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3"/>
              <w:jc w:val="right"/>
              <w:rPr>
                <w:sz w:val="14"/>
              </w:rPr>
            </w:pPr>
            <w:r>
              <w:rPr>
                <w:spacing w:val="-2"/>
                <w:sz w:val="14"/>
              </w:rPr>
              <w:t>200.00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0" w:lineRule="exact"/>
              <w:ind w:left="95" w:right="79"/>
              <w:jc w:val="center"/>
              <w:rPr>
                <w:sz w:val="14"/>
              </w:rPr>
            </w:pPr>
            <w:r>
              <w:rPr>
                <w:spacing w:val="-5"/>
                <w:sz w:val="14"/>
              </w:rPr>
              <w:t>5.0</w:t>
            </w:r>
          </w:p>
        </w:tc>
      </w:tr>
      <w:tr>
        <w:trPr>
          <w:trHeight w:val="41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79"/>
              <w:ind w:left="107"/>
              <w:rPr>
                <w:sz w:val="14"/>
              </w:rPr>
            </w:pPr>
            <w:r>
              <w:rPr>
                <w:sz w:val="14"/>
              </w:rPr>
              <w:t>Copy</w:t>
            </w:r>
            <w:r>
              <w:rPr>
                <w:spacing w:val="-1"/>
                <w:sz w:val="14"/>
              </w:rPr>
              <w:t> </w:t>
            </w:r>
            <w:r>
              <w:rPr>
                <w:sz w:val="14"/>
              </w:rPr>
              <w:t>of plans</w:t>
            </w:r>
            <w:r>
              <w:rPr>
                <w:spacing w:val="-3"/>
                <w:sz w:val="14"/>
              </w:rPr>
              <w:t> </w:t>
            </w:r>
            <w:r>
              <w:rPr>
                <w:sz w:val="14"/>
              </w:rPr>
              <w:t>-</w:t>
            </w:r>
            <w:r>
              <w:rPr>
                <w:spacing w:val="-2"/>
                <w:sz w:val="14"/>
              </w:rPr>
              <w:t> </w:t>
            </w:r>
            <w:r>
              <w:rPr>
                <w:sz w:val="14"/>
              </w:rPr>
              <w:t>Class</w:t>
            </w:r>
            <w:r>
              <w:rPr>
                <w:spacing w:val="-1"/>
                <w:sz w:val="14"/>
              </w:rPr>
              <w:t> </w:t>
            </w:r>
            <w:r>
              <w:rPr>
                <w:sz w:val="14"/>
              </w:rPr>
              <w:t>2 -</w:t>
            </w:r>
            <w:r>
              <w:rPr>
                <w:spacing w:val="-5"/>
                <w:sz w:val="14"/>
              </w:rPr>
              <w:t> </w:t>
            </w:r>
            <w:r>
              <w:rPr>
                <w:sz w:val="14"/>
              </w:rPr>
              <w:t>9,</w:t>
            </w:r>
            <w:r>
              <w:rPr>
                <w:spacing w:val="-4"/>
                <w:sz w:val="14"/>
              </w:rPr>
              <w:t> </w:t>
            </w:r>
            <w:r>
              <w:rPr>
                <w:sz w:val="14"/>
              </w:rPr>
              <w:t>(Commercial</w:t>
            </w:r>
            <w:r>
              <w:rPr>
                <w:spacing w:val="-3"/>
                <w:sz w:val="14"/>
              </w:rPr>
              <w:t> </w:t>
            </w:r>
            <w:r>
              <w:rPr>
                <w:sz w:val="14"/>
              </w:rPr>
              <w:t>Plans</w:t>
            </w:r>
            <w:r>
              <w:rPr>
                <w:spacing w:val="-3"/>
                <w:sz w:val="14"/>
              </w:rPr>
              <w:t> </w:t>
            </w:r>
            <w:r>
              <w:rPr>
                <w:sz w:val="14"/>
              </w:rPr>
              <w:t>-</w:t>
            </w:r>
            <w:r>
              <w:rPr>
                <w:spacing w:val="-1"/>
                <w:sz w:val="14"/>
              </w:rPr>
              <w:t> </w:t>
            </w:r>
            <w:r>
              <w:rPr>
                <w:sz w:val="14"/>
              </w:rPr>
              <w:t>up</w:t>
            </w:r>
            <w:r>
              <w:rPr>
                <w:spacing w:val="-2"/>
                <w:sz w:val="14"/>
              </w:rPr>
              <w:t> </w:t>
            </w:r>
            <w:r>
              <w:rPr>
                <w:sz w:val="14"/>
              </w:rPr>
              <w:t>to 10</w:t>
            </w:r>
            <w:r>
              <w:rPr>
                <w:spacing w:val="-2"/>
                <w:sz w:val="14"/>
              </w:rPr>
              <w:t> </w:t>
            </w:r>
            <w:r>
              <w:rPr>
                <w:sz w:val="14"/>
              </w:rPr>
              <w:t>pages,</w:t>
            </w:r>
            <w:r>
              <w:rPr>
                <w:spacing w:val="-4"/>
                <w:sz w:val="14"/>
              </w:rPr>
              <w:t> </w:t>
            </w:r>
            <w:r>
              <w:rPr>
                <w:sz w:val="14"/>
              </w:rPr>
              <w:t>more</w:t>
            </w:r>
            <w:r>
              <w:rPr>
                <w:spacing w:val="-4"/>
                <w:sz w:val="14"/>
              </w:rPr>
              <w:t> </w:t>
            </w:r>
            <w:r>
              <w:rPr>
                <w:sz w:val="14"/>
              </w:rPr>
              <w:t>pages Price</w:t>
            </w:r>
            <w:r>
              <w:rPr>
                <w:spacing w:val="-2"/>
                <w:sz w:val="14"/>
              </w:rPr>
              <w:t> </w:t>
            </w:r>
            <w:r>
              <w:rPr>
                <w:sz w:val="14"/>
              </w:rPr>
              <w:t>on</w:t>
            </w:r>
            <w:r>
              <w:rPr>
                <w:spacing w:val="40"/>
                <w:sz w:val="14"/>
              </w:rPr>
              <w:t> </w:t>
            </w:r>
            <w:r>
              <w:rPr>
                <w:spacing w:val="-2"/>
                <w:sz w:val="14"/>
              </w:rPr>
              <w:t>Application)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6"/>
              <w:rPr>
                <w:sz w:val="22"/>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6"/>
              <w:rPr>
                <w:sz w:val="22"/>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6"/>
              <w:rPr>
                <w:sz w:val="22"/>
              </w:rPr>
            </w:pPr>
          </w:p>
          <w:p>
            <w:pPr>
              <w:pStyle w:val="TableParagraph"/>
              <w:spacing w:line="140" w:lineRule="exact"/>
              <w:ind w:right="91"/>
              <w:jc w:val="right"/>
              <w:rPr>
                <w:sz w:val="14"/>
              </w:rPr>
            </w:pPr>
            <w:r>
              <w:rPr>
                <w:spacing w:val="-2"/>
                <w:sz w:val="14"/>
              </w:rPr>
              <w:t>315.00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6"/>
              <w:rPr>
                <w:sz w:val="22"/>
              </w:rPr>
            </w:pPr>
          </w:p>
          <w:p>
            <w:pPr>
              <w:pStyle w:val="TableParagraph"/>
              <w:spacing w:line="140" w:lineRule="exact"/>
              <w:ind w:right="93"/>
              <w:jc w:val="right"/>
              <w:rPr>
                <w:sz w:val="14"/>
              </w:rPr>
            </w:pPr>
            <w:r>
              <w:rPr>
                <w:spacing w:val="-2"/>
                <w:sz w:val="14"/>
              </w:rPr>
              <w:t>330.00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6"/>
              <w:rPr>
                <w:sz w:val="22"/>
              </w:rPr>
            </w:pPr>
          </w:p>
          <w:p>
            <w:pPr>
              <w:pStyle w:val="TableParagraph"/>
              <w:spacing w:line="140" w:lineRule="exact"/>
              <w:ind w:left="95" w:right="79"/>
              <w:jc w:val="center"/>
              <w:rPr>
                <w:sz w:val="14"/>
              </w:rPr>
            </w:pPr>
            <w:r>
              <w:rPr>
                <w:spacing w:val="-5"/>
                <w:sz w:val="14"/>
              </w:rPr>
              <w:t>4.5</w:t>
            </w: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ight="181"/>
              <w:rPr>
                <w:sz w:val="14"/>
              </w:rPr>
            </w:pPr>
            <w:r>
              <w:rPr>
                <w:sz w:val="14"/>
              </w:rPr>
              <w:t>Building</w:t>
            </w:r>
            <w:r>
              <w:rPr>
                <w:spacing w:val="-8"/>
                <w:sz w:val="14"/>
              </w:rPr>
              <w:t> </w:t>
            </w:r>
            <w:r>
              <w:rPr>
                <w:sz w:val="14"/>
              </w:rPr>
              <w:t>Permit</w:t>
            </w:r>
            <w:r>
              <w:rPr>
                <w:spacing w:val="-8"/>
                <w:sz w:val="14"/>
              </w:rPr>
              <w:t> </w:t>
            </w:r>
            <w:r>
              <w:rPr>
                <w:sz w:val="14"/>
              </w:rPr>
              <w:t>Fees</w:t>
            </w:r>
            <w:r>
              <w:rPr>
                <w:spacing w:val="-5"/>
                <w:sz w:val="14"/>
              </w:rPr>
              <w:t> </w:t>
            </w:r>
            <w:r>
              <w:rPr>
                <w:sz w:val="14"/>
              </w:rPr>
              <w:t>Garages/Sheds/Carports/verandah/shade</w:t>
            </w:r>
            <w:r>
              <w:rPr>
                <w:spacing w:val="-6"/>
                <w:sz w:val="14"/>
              </w:rPr>
              <w:t> </w:t>
            </w:r>
            <w:r>
              <w:rPr>
                <w:sz w:val="14"/>
              </w:rPr>
              <w:t>sails</w:t>
            </w:r>
            <w:r>
              <w:rPr>
                <w:spacing w:val="-5"/>
                <w:sz w:val="14"/>
              </w:rPr>
              <w:t> </w:t>
            </w:r>
            <w:r>
              <w:rPr>
                <w:sz w:val="14"/>
              </w:rPr>
              <w:t>$0-$25,000</w:t>
            </w:r>
            <w:r>
              <w:rPr>
                <w:spacing w:val="40"/>
                <w:sz w:val="14"/>
              </w:rPr>
              <w:t> </w:t>
            </w:r>
            <w:r>
              <w:rPr>
                <w:sz w:val="14"/>
              </w:rPr>
              <w:t>(including 3 inspections) ($Fee)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9"/>
              <w:ind w:left="151" w:firstLine="86"/>
              <w:rPr>
                <w:sz w:val="14"/>
              </w:rPr>
            </w:pPr>
            <w:r>
              <w:rPr>
                <w:sz w:val="14"/>
              </w:rPr>
              <w:t>Price on</w:t>
            </w:r>
            <w:r>
              <w:rPr>
                <w:spacing w:val="40"/>
                <w:sz w:val="14"/>
              </w:rPr>
              <w:t> </w:t>
            </w:r>
            <w:r>
              <w:rPr>
                <w:spacing w:val="-2"/>
                <w:sz w:val="14"/>
              </w:rPr>
              <w:t>Application</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262" w:right="192" w:firstLine="86"/>
              <w:rPr>
                <w:sz w:val="14"/>
              </w:rPr>
            </w:pPr>
            <w:r>
              <w:rPr>
                <w:sz w:val="14"/>
              </w:rPr>
              <w:t>Price on</w:t>
            </w:r>
            <w:r>
              <w:rPr>
                <w:spacing w:val="40"/>
                <w:sz w:val="14"/>
              </w:rPr>
              <w:t> </w:t>
            </w:r>
            <w:r>
              <w:rPr>
                <w:spacing w:val="-2"/>
                <w:sz w:val="14"/>
              </w:rPr>
              <w:t>Application</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Pr>
                <w:sz w:val="14"/>
              </w:rPr>
            </w:pPr>
            <w:r>
              <w:rPr>
                <w:sz w:val="14"/>
              </w:rPr>
              <w:t>Building</w:t>
            </w:r>
            <w:r>
              <w:rPr>
                <w:spacing w:val="-8"/>
                <w:sz w:val="14"/>
              </w:rPr>
              <w:t> </w:t>
            </w:r>
            <w:r>
              <w:rPr>
                <w:sz w:val="14"/>
              </w:rPr>
              <w:t>Permit</w:t>
            </w:r>
            <w:r>
              <w:rPr>
                <w:spacing w:val="-8"/>
                <w:sz w:val="14"/>
              </w:rPr>
              <w:t> </w:t>
            </w:r>
            <w:r>
              <w:rPr>
                <w:sz w:val="14"/>
              </w:rPr>
              <w:t>Fees</w:t>
            </w:r>
            <w:r>
              <w:rPr>
                <w:spacing w:val="-5"/>
                <w:sz w:val="14"/>
              </w:rPr>
              <w:t> </w:t>
            </w:r>
            <w:r>
              <w:rPr>
                <w:sz w:val="14"/>
              </w:rPr>
              <w:t>Garages/Sheds/Carports/verandah/shade</w:t>
            </w:r>
            <w:r>
              <w:rPr>
                <w:spacing w:val="-6"/>
                <w:sz w:val="14"/>
              </w:rPr>
              <w:t> </w:t>
            </w:r>
            <w:r>
              <w:rPr>
                <w:sz w:val="14"/>
              </w:rPr>
              <w:t>sail</w:t>
            </w:r>
            <w:r>
              <w:rPr>
                <w:spacing w:val="-5"/>
                <w:sz w:val="14"/>
              </w:rPr>
              <w:t> </w:t>
            </w:r>
            <w:r>
              <w:rPr>
                <w:sz w:val="14"/>
              </w:rPr>
              <w:t>$25,001-$50,000</w:t>
            </w:r>
            <w:r>
              <w:rPr>
                <w:spacing w:val="40"/>
                <w:sz w:val="14"/>
              </w:rPr>
              <w:t> </w:t>
            </w:r>
            <w:r>
              <w:rPr>
                <w:sz w:val="14"/>
              </w:rPr>
              <w:t>including 3 inspections ($Fee+(0.45%) of building work</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9"/>
              <w:ind w:left="151" w:firstLine="86"/>
              <w:rPr>
                <w:sz w:val="14"/>
              </w:rPr>
            </w:pPr>
            <w:r>
              <w:rPr>
                <w:sz w:val="14"/>
              </w:rPr>
              <w:t>Price on</w:t>
            </w:r>
            <w:r>
              <w:rPr>
                <w:spacing w:val="40"/>
                <w:sz w:val="14"/>
              </w:rPr>
              <w:t> </w:t>
            </w:r>
            <w:r>
              <w:rPr>
                <w:spacing w:val="-2"/>
                <w:sz w:val="14"/>
              </w:rPr>
              <w:t>Application</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262" w:right="192" w:firstLine="86"/>
              <w:rPr>
                <w:sz w:val="14"/>
              </w:rPr>
            </w:pPr>
            <w:r>
              <w:rPr>
                <w:sz w:val="14"/>
              </w:rPr>
              <w:t>Price on</w:t>
            </w:r>
            <w:r>
              <w:rPr>
                <w:spacing w:val="40"/>
                <w:sz w:val="14"/>
              </w:rPr>
              <w:t> </w:t>
            </w:r>
            <w:r>
              <w:rPr>
                <w:spacing w:val="-2"/>
                <w:sz w:val="14"/>
              </w:rPr>
              <w:t>Application</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7"/>
              <w:ind w:left="107" w:right="181"/>
              <w:rPr>
                <w:sz w:val="14"/>
              </w:rPr>
            </w:pPr>
            <w:r>
              <w:rPr>
                <w:sz w:val="14"/>
              </w:rPr>
              <w:t>Building</w:t>
            </w:r>
            <w:r>
              <w:rPr>
                <w:spacing w:val="-8"/>
                <w:sz w:val="14"/>
              </w:rPr>
              <w:t> </w:t>
            </w:r>
            <w:r>
              <w:rPr>
                <w:sz w:val="14"/>
              </w:rPr>
              <w:t>Permit</w:t>
            </w:r>
            <w:r>
              <w:rPr>
                <w:spacing w:val="-8"/>
                <w:sz w:val="14"/>
              </w:rPr>
              <w:t> </w:t>
            </w:r>
            <w:r>
              <w:rPr>
                <w:sz w:val="14"/>
              </w:rPr>
              <w:t>fee</w:t>
            </w:r>
            <w:r>
              <w:rPr>
                <w:spacing w:val="-8"/>
                <w:sz w:val="14"/>
              </w:rPr>
              <w:t> </w:t>
            </w:r>
            <w:r>
              <w:rPr>
                <w:sz w:val="14"/>
              </w:rPr>
              <w:t>garages/Sheds/Carports/verandah/shade</w:t>
            </w:r>
            <w:r>
              <w:rPr>
                <w:spacing w:val="-6"/>
                <w:sz w:val="14"/>
              </w:rPr>
              <w:t> </w:t>
            </w:r>
            <w:r>
              <w:rPr>
                <w:sz w:val="14"/>
              </w:rPr>
              <w:t>sails</w:t>
            </w:r>
            <w:r>
              <w:rPr>
                <w:spacing w:val="-5"/>
                <w:sz w:val="14"/>
              </w:rPr>
              <w:t> </w:t>
            </w:r>
            <w:r>
              <w:rPr>
                <w:sz w:val="14"/>
              </w:rPr>
              <w:t>$50,000+</w:t>
            </w:r>
            <w:r>
              <w:rPr>
                <w:spacing w:val="40"/>
                <w:sz w:val="14"/>
              </w:rPr>
              <w:t> </w:t>
            </w:r>
            <w:r>
              <w:rPr>
                <w:spacing w:val="-2"/>
                <w:sz w:val="14"/>
              </w:rPr>
              <w:t>($Fee+0.45%)</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151" w:firstLine="86"/>
              <w:rPr>
                <w:sz w:val="14"/>
              </w:rPr>
            </w:pPr>
            <w:r>
              <w:rPr>
                <w:sz w:val="14"/>
              </w:rPr>
              <w:t>Price on</w:t>
            </w:r>
            <w:r>
              <w:rPr>
                <w:spacing w:val="40"/>
                <w:sz w:val="14"/>
              </w:rPr>
              <w:t> </w:t>
            </w:r>
            <w:r>
              <w:rPr>
                <w:spacing w:val="-2"/>
                <w:sz w:val="14"/>
              </w:rPr>
              <w:t>Application</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262" w:right="192" w:firstLine="86"/>
              <w:rPr>
                <w:sz w:val="14"/>
              </w:rPr>
            </w:pPr>
            <w:r>
              <w:rPr>
                <w:sz w:val="14"/>
              </w:rPr>
              <w:t>Price on</w:t>
            </w:r>
            <w:r>
              <w:rPr>
                <w:spacing w:val="40"/>
                <w:sz w:val="14"/>
              </w:rPr>
              <w:t> </w:t>
            </w:r>
            <w:r>
              <w:rPr>
                <w:spacing w:val="-2"/>
                <w:sz w:val="14"/>
              </w:rPr>
              <w:t>Application</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6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ight="181"/>
              <w:rPr>
                <w:sz w:val="14"/>
              </w:rPr>
            </w:pPr>
            <w:r>
              <w:rPr>
                <w:sz w:val="14"/>
              </w:rPr>
              <w:t>Building</w:t>
            </w:r>
            <w:r>
              <w:rPr>
                <w:spacing w:val="-4"/>
                <w:sz w:val="14"/>
              </w:rPr>
              <w:t> </w:t>
            </w:r>
            <w:r>
              <w:rPr>
                <w:sz w:val="14"/>
              </w:rPr>
              <w:t>Permit</w:t>
            </w:r>
            <w:r>
              <w:rPr>
                <w:spacing w:val="-4"/>
                <w:sz w:val="14"/>
              </w:rPr>
              <w:t> </w:t>
            </w:r>
            <w:r>
              <w:rPr>
                <w:sz w:val="14"/>
              </w:rPr>
              <w:t>Fee</w:t>
            </w:r>
            <w:r>
              <w:rPr>
                <w:spacing w:val="-4"/>
                <w:sz w:val="14"/>
              </w:rPr>
              <w:t> </w:t>
            </w:r>
            <w:r>
              <w:rPr>
                <w:sz w:val="14"/>
              </w:rPr>
              <w:t>Class 2</w:t>
            </w:r>
            <w:r>
              <w:rPr>
                <w:spacing w:val="-5"/>
                <w:sz w:val="14"/>
              </w:rPr>
              <w:t> </w:t>
            </w:r>
            <w:r>
              <w:rPr>
                <w:sz w:val="14"/>
              </w:rPr>
              <w:t>to</w:t>
            </w:r>
            <w:r>
              <w:rPr>
                <w:spacing w:val="-5"/>
                <w:sz w:val="14"/>
              </w:rPr>
              <w:t> </w:t>
            </w:r>
            <w:r>
              <w:rPr>
                <w:sz w:val="14"/>
              </w:rPr>
              <w:t>9</w:t>
            </w:r>
            <w:r>
              <w:rPr>
                <w:spacing w:val="-1"/>
                <w:sz w:val="14"/>
              </w:rPr>
              <w:t> </w:t>
            </w:r>
            <w:r>
              <w:rPr>
                <w:sz w:val="14"/>
              </w:rPr>
              <w:t>Buildings Minor</w:t>
            </w:r>
            <w:r>
              <w:rPr>
                <w:spacing w:val="-4"/>
                <w:sz w:val="14"/>
              </w:rPr>
              <w:t> </w:t>
            </w:r>
            <w:r>
              <w:rPr>
                <w:sz w:val="14"/>
              </w:rPr>
              <w:t>works</w:t>
            </w:r>
            <w:r>
              <w:rPr>
                <w:spacing w:val="-4"/>
                <w:sz w:val="14"/>
              </w:rPr>
              <w:t> </w:t>
            </w:r>
            <w:r>
              <w:rPr>
                <w:sz w:val="14"/>
              </w:rPr>
              <w:t>$0-$10,000</w:t>
            </w:r>
            <w:r>
              <w:rPr>
                <w:spacing w:val="-2"/>
                <w:sz w:val="14"/>
              </w:rPr>
              <w:t> </w:t>
            </w:r>
            <w:r>
              <w:rPr>
                <w:sz w:val="14"/>
              </w:rPr>
              <w:t>($Fee</w:t>
            </w:r>
            <w:r>
              <w:rPr>
                <w:spacing w:val="-4"/>
                <w:sz w:val="14"/>
              </w:rPr>
              <w:t> </w:t>
            </w:r>
            <w:r>
              <w:rPr>
                <w:sz w:val="14"/>
              </w:rPr>
              <w:t>+ building</w:t>
            </w:r>
            <w:r>
              <w:rPr>
                <w:spacing w:val="40"/>
                <w:sz w:val="14"/>
              </w:rPr>
              <w:t> </w:t>
            </w:r>
            <w:r>
              <w:rPr>
                <w:spacing w:val="-2"/>
                <w:sz w:val="14"/>
              </w:rPr>
              <w:t>work)</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2"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2"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9"/>
              <w:ind w:left="151" w:firstLine="86"/>
              <w:rPr>
                <w:sz w:val="14"/>
              </w:rPr>
            </w:pPr>
            <w:r>
              <w:rPr>
                <w:sz w:val="14"/>
              </w:rPr>
              <w:t>Price on</w:t>
            </w:r>
            <w:r>
              <w:rPr>
                <w:spacing w:val="40"/>
                <w:sz w:val="14"/>
              </w:rPr>
              <w:t> </w:t>
            </w:r>
            <w:r>
              <w:rPr>
                <w:spacing w:val="-2"/>
                <w:sz w:val="14"/>
              </w:rPr>
              <w:t>Application</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9"/>
              <w:ind w:left="262" w:right="192" w:firstLine="86"/>
              <w:rPr>
                <w:sz w:val="14"/>
              </w:rPr>
            </w:pPr>
            <w:r>
              <w:rPr>
                <w:sz w:val="14"/>
              </w:rPr>
              <w:t>Price on</w:t>
            </w:r>
            <w:r>
              <w:rPr>
                <w:spacing w:val="40"/>
                <w:sz w:val="14"/>
              </w:rPr>
              <w:t> </w:t>
            </w:r>
            <w:r>
              <w:rPr>
                <w:spacing w:val="-2"/>
                <w:sz w:val="14"/>
              </w:rPr>
              <w:t>Application</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before="99"/>
              <w:ind w:left="107"/>
              <w:rPr>
                <w:sz w:val="14"/>
              </w:rPr>
            </w:pPr>
            <w:r>
              <w:rPr>
                <w:sz w:val="14"/>
              </w:rPr>
              <w:t>Building</w:t>
            </w:r>
            <w:r>
              <w:rPr>
                <w:spacing w:val="-5"/>
                <w:sz w:val="14"/>
              </w:rPr>
              <w:t> </w:t>
            </w:r>
            <w:r>
              <w:rPr>
                <w:sz w:val="14"/>
              </w:rPr>
              <w:t>Permit</w:t>
            </w:r>
            <w:r>
              <w:rPr>
                <w:spacing w:val="-5"/>
                <w:sz w:val="14"/>
              </w:rPr>
              <w:t> </w:t>
            </w:r>
            <w:r>
              <w:rPr>
                <w:sz w:val="14"/>
              </w:rPr>
              <w:t>Fee</w:t>
            </w:r>
            <w:r>
              <w:rPr>
                <w:spacing w:val="-4"/>
                <w:sz w:val="14"/>
              </w:rPr>
              <w:t> </w:t>
            </w:r>
            <w:r>
              <w:rPr>
                <w:sz w:val="14"/>
              </w:rPr>
              <w:t>Class</w:t>
            </w:r>
            <w:r>
              <w:rPr>
                <w:spacing w:val="-1"/>
                <w:sz w:val="14"/>
              </w:rPr>
              <w:t> </w:t>
            </w:r>
            <w:r>
              <w:rPr>
                <w:sz w:val="14"/>
              </w:rPr>
              <w:t>2</w:t>
            </w:r>
            <w:r>
              <w:rPr>
                <w:spacing w:val="-6"/>
                <w:sz w:val="14"/>
              </w:rPr>
              <w:t> </w:t>
            </w:r>
            <w:r>
              <w:rPr>
                <w:sz w:val="14"/>
              </w:rPr>
              <w:t>to</w:t>
            </w:r>
            <w:r>
              <w:rPr>
                <w:spacing w:val="-5"/>
                <w:sz w:val="14"/>
              </w:rPr>
              <w:t> </w:t>
            </w:r>
            <w:r>
              <w:rPr>
                <w:sz w:val="14"/>
              </w:rPr>
              <w:t>9</w:t>
            </w:r>
            <w:r>
              <w:rPr>
                <w:spacing w:val="-2"/>
                <w:sz w:val="14"/>
              </w:rPr>
              <w:t> </w:t>
            </w:r>
            <w:r>
              <w:rPr>
                <w:sz w:val="14"/>
              </w:rPr>
              <w:t>Buildings</w:t>
            </w:r>
            <w:r>
              <w:rPr>
                <w:spacing w:val="-1"/>
                <w:sz w:val="14"/>
              </w:rPr>
              <w:t> </w:t>
            </w:r>
            <w:r>
              <w:rPr>
                <w:sz w:val="14"/>
              </w:rPr>
              <w:t>$1,000,001+</w:t>
            </w:r>
            <w:r>
              <w:rPr>
                <w:spacing w:val="-1"/>
                <w:sz w:val="14"/>
              </w:rPr>
              <w:t> </w:t>
            </w:r>
            <w:r>
              <w:rPr>
                <w:sz w:val="14"/>
              </w:rPr>
              <w:t>(Price</w:t>
            </w:r>
            <w:r>
              <w:rPr>
                <w:spacing w:val="-2"/>
                <w:sz w:val="14"/>
              </w:rPr>
              <w:t> </w:t>
            </w:r>
            <w:r>
              <w:rPr>
                <w:sz w:val="14"/>
              </w:rPr>
              <w:t>on</w:t>
            </w:r>
            <w:r>
              <w:rPr>
                <w:spacing w:val="-5"/>
                <w:sz w:val="14"/>
              </w:rPr>
              <w:t> </w:t>
            </w:r>
            <w:r>
              <w:rPr>
                <w:spacing w:val="-2"/>
                <w:sz w:val="14"/>
              </w:rPr>
              <w:t>Application)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151" w:firstLine="86"/>
              <w:rPr>
                <w:sz w:val="14"/>
              </w:rPr>
            </w:pPr>
            <w:r>
              <w:rPr>
                <w:sz w:val="14"/>
              </w:rPr>
              <w:t>Price on</w:t>
            </w:r>
            <w:r>
              <w:rPr>
                <w:spacing w:val="40"/>
                <w:sz w:val="14"/>
              </w:rPr>
              <w:t> </w:t>
            </w:r>
            <w:r>
              <w:rPr>
                <w:spacing w:val="-2"/>
                <w:sz w:val="14"/>
              </w:rPr>
              <w:t>Application</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262" w:right="192" w:firstLine="86"/>
              <w:rPr>
                <w:sz w:val="14"/>
              </w:rPr>
            </w:pPr>
            <w:r>
              <w:rPr>
                <w:sz w:val="14"/>
              </w:rPr>
              <w:t>Price on</w:t>
            </w:r>
            <w:r>
              <w:rPr>
                <w:spacing w:val="40"/>
                <w:sz w:val="14"/>
              </w:rPr>
              <w:t> </w:t>
            </w:r>
            <w:r>
              <w:rPr>
                <w:spacing w:val="-2"/>
                <w:sz w:val="14"/>
              </w:rPr>
              <w:t>Application</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before="99"/>
              <w:ind w:left="107"/>
              <w:rPr>
                <w:sz w:val="14"/>
              </w:rPr>
            </w:pPr>
            <w:r>
              <w:rPr>
                <w:sz w:val="14"/>
              </w:rPr>
              <w:t>Building</w:t>
            </w:r>
            <w:r>
              <w:rPr>
                <w:spacing w:val="-5"/>
                <w:sz w:val="14"/>
              </w:rPr>
              <w:t> </w:t>
            </w:r>
            <w:r>
              <w:rPr>
                <w:sz w:val="14"/>
              </w:rPr>
              <w:t>Permit</w:t>
            </w:r>
            <w:r>
              <w:rPr>
                <w:spacing w:val="-5"/>
                <w:sz w:val="14"/>
              </w:rPr>
              <w:t> </w:t>
            </w:r>
            <w:r>
              <w:rPr>
                <w:sz w:val="14"/>
              </w:rPr>
              <w:t>Fee</w:t>
            </w:r>
            <w:r>
              <w:rPr>
                <w:spacing w:val="-5"/>
                <w:sz w:val="14"/>
              </w:rPr>
              <w:t> </w:t>
            </w:r>
            <w:r>
              <w:rPr>
                <w:sz w:val="14"/>
              </w:rPr>
              <w:t>Class</w:t>
            </w:r>
            <w:r>
              <w:rPr>
                <w:spacing w:val="-1"/>
                <w:sz w:val="14"/>
              </w:rPr>
              <w:t> </w:t>
            </w:r>
            <w:r>
              <w:rPr>
                <w:sz w:val="14"/>
              </w:rPr>
              <w:t>2</w:t>
            </w:r>
            <w:r>
              <w:rPr>
                <w:spacing w:val="-6"/>
                <w:sz w:val="14"/>
              </w:rPr>
              <w:t> </w:t>
            </w:r>
            <w:r>
              <w:rPr>
                <w:sz w:val="14"/>
              </w:rPr>
              <w:t>to</w:t>
            </w:r>
            <w:r>
              <w:rPr>
                <w:spacing w:val="-6"/>
                <w:sz w:val="14"/>
              </w:rPr>
              <w:t> </w:t>
            </w:r>
            <w:r>
              <w:rPr>
                <w:sz w:val="14"/>
              </w:rPr>
              <w:t>9</w:t>
            </w:r>
            <w:r>
              <w:rPr>
                <w:spacing w:val="-2"/>
                <w:sz w:val="14"/>
              </w:rPr>
              <w:t> </w:t>
            </w:r>
            <w:r>
              <w:rPr>
                <w:sz w:val="14"/>
              </w:rPr>
              <w:t>$10,001-$50,000</w:t>
            </w:r>
            <w:r>
              <w:rPr>
                <w:spacing w:val="-3"/>
                <w:sz w:val="14"/>
              </w:rPr>
              <w:t> </w:t>
            </w:r>
            <w:r>
              <w:rPr>
                <w:sz w:val="14"/>
              </w:rPr>
              <w:t>($Fee+(045%</w:t>
            </w:r>
            <w:r>
              <w:rPr>
                <w:spacing w:val="-3"/>
                <w:sz w:val="14"/>
              </w:rPr>
              <w:t> </w:t>
            </w:r>
            <w:r>
              <w:rPr>
                <w:sz w:val="14"/>
              </w:rPr>
              <w:t>of</w:t>
            </w:r>
            <w:r>
              <w:rPr>
                <w:spacing w:val="-2"/>
                <w:sz w:val="14"/>
              </w:rPr>
              <w:t> </w:t>
            </w:r>
            <w:r>
              <w:rPr>
                <w:sz w:val="14"/>
              </w:rPr>
              <w:t>building</w:t>
            </w:r>
            <w:r>
              <w:rPr>
                <w:spacing w:val="-5"/>
                <w:sz w:val="14"/>
              </w:rPr>
              <w:t> </w:t>
            </w:r>
            <w:r>
              <w:rPr>
                <w:spacing w:val="-2"/>
                <w:sz w:val="14"/>
              </w:rPr>
              <w:t>works)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151" w:firstLine="86"/>
              <w:rPr>
                <w:sz w:val="14"/>
              </w:rPr>
            </w:pPr>
            <w:r>
              <w:rPr>
                <w:sz w:val="14"/>
              </w:rPr>
              <w:t>Price on</w:t>
            </w:r>
            <w:r>
              <w:rPr>
                <w:spacing w:val="40"/>
                <w:sz w:val="14"/>
              </w:rPr>
              <w:t> </w:t>
            </w:r>
            <w:r>
              <w:rPr>
                <w:spacing w:val="-2"/>
                <w:sz w:val="14"/>
              </w:rPr>
              <w:t>Application</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262" w:right="192" w:firstLine="86"/>
              <w:rPr>
                <w:sz w:val="14"/>
              </w:rPr>
            </w:pPr>
            <w:r>
              <w:rPr>
                <w:sz w:val="14"/>
              </w:rPr>
              <w:t>Price on</w:t>
            </w:r>
            <w:r>
              <w:rPr>
                <w:spacing w:val="40"/>
                <w:sz w:val="14"/>
              </w:rPr>
              <w:t> </w:t>
            </w:r>
            <w:r>
              <w:rPr>
                <w:spacing w:val="-2"/>
                <w:sz w:val="14"/>
              </w:rPr>
              <w:t>Application</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7"/>
              <w:ind w:left="107"/>
              <w:rPr>
                <w:sz w:val="14"/>
              </w:rPr>
            </w:pPr>
            <w:r>
              <w:rPr>
                <w:sz w:val="14"/>
              </w:rPr>
              <w:t>Building</w:t>
            </w:r>
            <w:r>
              <w:rPr>
                <w:spacing w:val="-4"/>
                <w:sz w:val="14"/>
              </w:rPr>
              <w:t> </w:t>
            </w:r>
            <w:r>
              <w:rPr>
                <w:sz w:val="14"/>
              </w:rPr>
              <w:t>Permit</w:t>
            </w:r>
            <w:r>
              <w:rPr>
                <w:spacing w:val="-4"/>
                <w:sz w:val="14"/>
              </w:rPr>
              <w:t> </w:t>
            </w:r>
            <w:r>
              <w:rPr>
                <w:sz w:val="14"/>
              </w:rPr>
              <w:t>Fee</w:t>
            </w:r>
            <w:r>
              <w:rPr>
                <w:spacing w:val="-4"/>
                <w:sz w:val="14"/>
              </w:rPr>
              <w:t> </w:t>
            </w:r>
            <w:r>
              <w:rPr>
                <w:sz w:val="14"/>
              </w:rPr>
              <w:t>Class</w:t>
            </w:r>
            <w:r>
              <w:rPr>
                <w:spacing w:val="-1"/>
                <w:sz w:val="14"/>
              </w:rPr>
              <w:t> </w:t>
            </w:r>
            <w:r>
              <w:rPr>
                <w:sz w:val="14"/>
              </w:rPr>
              <w:t>2</w:t>
            </w:r>
            <w:r>
              <w:rPr>
                <w:spacing w:val="-5"/>
                <w:sz w:val="14"/>
              </w:rPr>
              <w:t> </w:t>
            </w:r>
            <w:r>
              <w:rPr>
                <w:sz w:val="14"/>
              </w:rPr>
              <w:t>to</w:t>
            </w:r>
            <w:r>
              <w:rPr>
                <w:spacing w:val="-5"/>
                <w:sz w:val="14"/>
              </w:rPr>
              <w:t> </w:t>
            </w:r>
            <w:r>
              <w:rPr>
                <w:sz w:val="14"/>
              </w:rPr>
              <w:t>9</w:t>
            </w:r>
            <w:r>
              <w:rPr>
                <w:spacing w:val="-2"/>
                <w:sz w:val="14"/>
              </w:rPr>
              <w:t> </w:t>
            </w:r>
            <w:r>
              <w:rPr>
                <w:sz w:val="14"/>
              </w:rPr>
              <w:t>Buildings</w:t>
            </w:r>
            <w:r>
              <w:rPr>
                <w:spacing w:val="-1"/>
                <w:sz w:val="14"/>
              </w:rPr>
              <w:t> </w:t>
            </w:r>
            <w:r>
              <w:rPr>
                <w:sz w:val="14"/>
              </w:rPr>
              <w:t>$50,001-$100,000</w:t>
            </w:r>
            <w:r>
              <w:rPr>
                <w:spacing w:val="-2"/>
                <w:sz w:val="14"/>
              </w:rPr>
              <w:t> </w:t>
            </w:r>
            <w:r>
              <w:rPr>
                <w:sz w:val="14"/>
              </w:rPr>
              <w:t>($Fee+(0.455)</w:t>
            </w:r>
            <w:r>
              <w:rPr>
                <w:spacing w:val="-2"/>
                <w:sz w:val="14"/>
              </w:rPr>
              <w:t> </w:t>
            </w:r>
            <w:r>
              <w:rPr>
                <w:sz w:val="14"/>
              </w:rPr>
              <w:t>of</w:t>
            </w:r>
            <w:r>
              <w:rPr>
                <w:spacing w:val="-3"/>
                <w:sz w:val="14"/>
              </w:rPr>
              <w:t> </w:t>
            </w:r>
            <w:r>
              <w:rPr>
                <w:sz w:val="14"/>
              </w:rPr>
              <w:t>building</w:t>
            </w:r>
            <w:r>
              <w:rPr>
                <w:spacing w:val="40"/>
                <w:sz w:val="14"/>
              </w:rPr>
              <w:t> </w:t>
            </w:r>
            <w:r>
              <w:rPr>
                <w:spacing w:val="-2"/>
                <w:sz w:val="14"/>
              </w:rPr>
              <w:t>works)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151" w:firstLine="86"/>
              <w:rPr>
                <w:sz w:val="14"/>
              </w:rPr>
            </w:pPr>
            <w:r>
              <w:rPr>
                <w:sz w:val="14"/>
              </w:rPr>
              <w:t>Price on</w:t>
            </w:r>
            <w:r>
              <w:rPr>
                <w:spacing w:val="40"/>
                <w:sz w:val="14"/>
              </w:rPr>
              <w:t> </w:t>
            </w:r>
            <w:r>
              <w:rPr>
                <w:spacing w:val="-2"/>
                <w:sz w:val="14"/>
              </w:rPr>
              <w:t>Application</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262" w:right="192" w:firstLine="86"/>
              <w:rPr>
                <w:sz w:val="14"/>
              </w:rPr>
            </w:pPr>
            <w:r>
              <w:rPr>
                <w:sz w:val="14"/>
              </w:rPr>
              <w:t>Price on</w:t>
            </w:r>
            <w:r>
              <w:rPr>
                <w:spacing w:val="40"/>
                <w:sz w:val="14"/>
              </w:rPr>
              <w:t> </w:t>
            </w:r>
            <w:r>
              <w:rPr>
                <w:spacing w:val="-2"/>
                <w:sz w:val="14"/>
              </w:rPr>
              <w:t>Application</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7"/>
              <w:ind w:left="107"/>
              <w:rPr>
                <w:sz w:val="14"/>
              </w:rPr>
            </w:pPr>
            <w:r>
              <w:rPr>
                <w:sz w:val="14"/>
              </w:rPr>
              <w:t>Building</w:t>
            </w:r>
            <w:r>
              <w:rPr>
                <w:spacing w:val="-5"/>
                <w:sz w:val="14"/>
              </w:rPr>
              <w:t> </w:t>
            </w:r>
            <w:r>
              <w:rPr>
                <w:sz w:val="14"/>
              </w:rPr>
              <w:t>Permit</w:t>
            </w:r>
            <w:r>
              <w:rPr>
                <w:spacing w:val="-5"/>
                <w:sz w:val="14"/>
              </w:rPr>
              <w:t> </w:t>
            </w:r>
            <w:r>
              <w:rPr>
                <w:sz w:val="14"/>
              </w:rPr>
              <w:t>Fee</w:t>
            </w:r>
            <w:r>
              <w:rPr>
                <w:spacing w:val="-5"/>
                <w:sz w:val="14"/>
              </w:rPr>
              <w:t> </w:t>
            </w:r>
            <w:r>
              <w:rPr>
                <w:sz w:val="14"/>
              </w:rPr>
              <w:t>Class</w:t>
            </w:r>
            <w:r>
              <w:rPr>
                <w:spacing w:val="-1"/>
                <w:sz w:val="14"/>
              </w:rPr>
              <w:t> </w:t>
            </w:r>
            <w:r>
              <w:rPr>
                <w:sz w:val="14"/>
              </w:rPr>
              <w:t>2</w:t>
            </w:r>
            <w:r>
              <w:rPr>
                <w:spacing w:val="-6"/>
                <w:sz w:val="14"/>
              </w:rPr>
              <w:t> </w:t>
            </w:r>
            <w:r>
              <w:rPr>
                <w:sz w:val="14"/>
              </w:rPr>
              <w:t>to</w:t>
            </w:r>
            <w:r>
              <w:rPr>
                <w:spacing w:val="-6"/>
                <w:sz w:val="14"/>
              </w:rPr>
              <w:t> </w:t>
            </w:r>
            <w:r>
              <w:rPr>
                <w:sz w:val="14"/>
              </w:rPr>
              <w:t>9</w:t>
            </w:r>
            <w:r>
              <w:rPr>
                <w:spacing w:val="-2"/>
                <w:sz w:val="14"/>
              </w:rPr>
              <w:t> </w:t>
            </w:r>
            <w:r>
              <w:rPr>
                <w:sz w:val="14"/>
              </w:rPr>
              <w:t>Buildings</w:t>
            </w:r>
            <w:r>
              <w:rPr>
                <w:spacing w:val="-1"/>
                <w:sz w:val="14"/>
              </w:rPr>
              <w:t> </w:t>
            </w:r>
            <w:r>
              <w:rPr>
                <w:sz w:val="14"/>
              </w:rPr>
              <w:t>$100,001-$300,000</w:t>
            </w:r>
            <w:r>
              <w:rPr>
                <w:spacing w:val="-2"/>
                <w:sz w:val="14"/>
              </w:rPr>
              <w:t> </w:t>
            </w:r>
            <w:r>
              <w:rPr>
                <w:sz w:val="14"/>
              </w:rPr>
              <w:t>($Fee+(0.45%)</w:t>
            </w:r>
            <w:r>
              <w:rPr>
                <w:spacing w:val="-3"/>
                <w:sz w:val="14"/>
              </w:rPr>
              <w:t> </w:t>
            </w:r>
            <w:r>
              <w:rPr>
                <w:sz w:val="14"/>
              </w:rPr>
              <w:t>of</w:t>
            </w:r>
            <w:r>
              <w:rPr>
                <w:spacing w:val="-2"/>
                <w:sz w:val="14"/>
              </w:rPr>
              <w:t> </w:t>
            </w:r>
            <w:r>
              <w:rPr>
                <w:sz w:val="14"/>
              </w:rPr>
              <w:t>building</w:t>
            </w:r>
            <w:r>
              <w:rPr>
                <w:spacing w:val="40"/>
                <w:sz w:val="14"/>
              </w:rPr>
              <w:t> </w:t>
            </w:r>
            <w:r>
              <w:rPr>
                <w:spacing w:val="-2"/>
                <w:sz w:val="14"/>
              </w:rPr>
              <w:t>works)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151" w:firstLine="86"/>
              <w:rPr>
                <w:sz w:val="14"/>
              </w:rPr>
            </w:pPr>
            <w:r>
              <w:rPr>
                <w:sz w:val="14"/>
              </w:rPr>
              <w:t>Price on</w:t>
            </w:r>
            <w:r>
              <w:rPr>
                <w:spacing w:val="40"/>
                <w:sz w:val="14"/>
              </w:rPr>
              <w:t> </w:t>
            </w:r>
            <w:r>
              <w:rPr>
                <w:spacing w:val="-2"/>
                <w:sz w:val="14"/>
              </w:rPr>
              <w:t>Application</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262" w:right="192" w:firstLine="86"/>
              <w:rPr>
                <w:sz w:val="14"/>
              </w:rPr>
            </w:pPr>
            <w:r>
              <w:rPr>
                <w:sz w:val="14"/>
              </w:rPr>
              <w:t>Price on</w:t>
            </w:r>
            <w:r>
              <w:rPr>
                <w:spacing w:val="40"/>
                <w:sz w:val="14"/>
              </w:rPr>
              <w:t> </w:t>
            </w:r>
            <w:r>
              <w:rPr>
                <w:spacing w:val="-2"/>
                <w:sz w:val="14"/>
              </w:rPr>
              <w:t>Application</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7"/>
              <w:ind w:left="107"/>
              <w:rPr>
                <w:sz w:val="14"/>
              </w:rPr>
            </w:pPr>
            <w:r>
              <w:rPr>
                <w:sz w:val="14"/>
              </w:rPr>
              <w:t>Building</w:t>
            </w:r>
            <w:r>
              <w:rPr>
                <w:spacing w:val="-5"/>
                <w:sz w:val="14"/>
              </w:rPr>
              <w:t> </w:t>
            </w:r>
            <w:r>
              <w:rPr>
                <w:sz w:val="14"/>
              </w:rPr>
              <w:t>Permit</w:t>
            </w:r>
            <w:r>
              <w:rPr>
                <w:spacing w:val="-5"/>
                <w:sz w:val="14"/>
              </w:rPr>
              <w:t> </w:t>
            </w:r>
            <w:r>
              <w:rPr>
                <w:sz w:val="14"/>
              </w:rPr>
              <w:t>Fee</w:t>
            </w:r>
            <w:r>
              <w:rPr>
                <w:spacing w:val="-5"/>
                <w:sz w:val="14"/>
              </w:rPr>
              <w:t> </w:t>
            </w:r>
            <w:r>
              <w:rPr>
                <w:sz w:val="14"/>
              </w:rPr>
              <w:t>Class</w:t>
            </w:r>
            <w:r>
              <w:rPr>
                <w:spacing w:val="-1"/>
                <w:sz w:val="14"/>
              </w:rPr>
              <w:t> </w:t>
            </w:r>
            <w:r>
              <w:rPr>
                <w:sz w:val="14"/>
              </w:rPr>
              <w:t>2</w:t>
            </w:r>
            <w:r>
              <w:rPr>
                <w:spacing w:val="-6"/>
                <w:sz w:val="14"/>
              </w:rPr>
              <w:t> </w:t>
            </w:r>
            <w:r>
              <w:rPr>
                <w:sz w:val="14"/>
              </w:rPr>
              <w:t>to</w:t>
            </w:r>
            <w:r>
              <w:rPr>
                <w:spacing w:val="-6"/>
                <w:sz w:val="14"/>
              </w:rPr>
              <w:t> </w:t>
            </w:r>
            <w:r>
              <w:rPr>
                <w:sz w:val="14"/>
              </w:rPr>
              <w:t>9</w:t>
            </w:r>
            <w:r>
              <w:rPr>
                <w:spacing w:val="-2"/>
                <w:sz w:val="14"/>
              </w:rPr>
              <w:t> </w:t>
            </w:r>
            <w:r>
              <w:rPr>
                <w:sz w:val="14"/>
              </w:rPr>
              <w:t>Buildings</w:t>
            </w:r>
            <w:r>
              <w:rPr>
                <w:spacing w:val="-1"/>
                <w:sz w:val="14"/>
              </w:rPr>
              <w:t> </w:t>
            </w:r>
            <w:r>
              <w:rPr>
                <w:sz w:val="14"/>
              </w:rPr>
              <w:t>$300,001-$50,000($Fee+(0.45%</w:t>
            </w:r>
            <w:r>
              <w:rPr>
                <w:spacing w:val="-1"/>
                <w:sz w:val="14"/>
              </w:rPr>
              <w:t> </w:t>
            </w:r>
            <w:r>
              <w:rPr>
                <w:sz w:val="14"/>
              </w:rPr>
              <w:t>of</w:t>
            </w:r>
            <w:r>
              <w:rPr>
                <w:spacing w:val="-2"/>
                <w:sz w:val="14"/>
              </w:rPr>
              <w:t> </w:t>
            </w:r>
            <w:r>
              <w:rPr>
                <w:sz w:val="14"/>
              </w:rPr>
              <w:t>building</w:t>
            </w:r>
            <w:r>
              <w:rPr>
                <w:spacing w:val="40"/>
                <w:sz w:val="14"/>
              </w:rPr>
              <w:t> </w:t>
            </w:r>
            <w:r>
              <w:rPr>
                <w:spacing w:val="-2"/>
                <w:sz w:val="14"/>
              </w:rPr>
              <w:t>works)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151" w:firstLine="86"/>
              <w:rPr>
                <w:sz w:val="14"/>
              </w:rPr>
            </w:pPr>
            <w:r>
              <w:rPr>
                <w:sz w:val="14"/>
              </w:rPr>
              <w:t>Price on</w:t>
            </w:r>
            <w:r>
              <w:rPr>
                <w:spacing w:val="40"/>
                <w:sz w:val="14"/>
              </w:rPr>
              <w:t> </w:t>
            </w:r>
            <w:r>
              <w:rPr>
                <w:spacing w:val="-2"/>
                <w:sz w:val="14"/>
              </w:rPr>
              <w:t>Application</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262" w:right="192" w:firstLine="86"/>
              <w:rPr>
                <w:sz w:val="14"/>
              </w:rPr>
            </w:pPr>
            <w:r>
              <w:rPr>
                <w:sz w:val="14"/>
              </w:rPr>
              <w:t>Price on</w:t>
            </w:r>
            <w:r>
              <w:rPr>
                <w:spacing w:val="40"/>
                <w:sz w:val="14"/>
              </w:rPr>
              <w:t> </w:t>
            </w:r>
            <w:r>
              <w:rPr>
                <w:spacing w:val="-2"/>
                <w:sz w:val="14"/>
              </w:rPr>
              <w:t>Application</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6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before="101"/>
              <w:ind w:left="107"/>
              <w:rPr>
                <w:sz w:val="14"/>
              </w:rPr>
            </w:pPr>
            <w:r>
              <w:rPr>
                <w:sz w:val="14"/>
              </w:rPr>
              <w:t>Building</w:t>
            </w:r>
            <w:r>
              <w:rPr>
                <w:spacing w:val="-7"/>
                <w:sz w:val="14"/>
              </w:rPr>
              <w:t> </w:t>
            </w:r>
            <w:r>
              <w:rPr>
                <w:sz w:val="14"/>
              </w:rPr>
              <w:t>permit</w:t>
            </w:r>
            <w:r>
              <w:rPr>
                <w:spacing w:val="-3"/>
                <w:sz w:val="14"/>
              </w:rPr>
              <w:t> </w:t>
            </w:r>
            <w:r>
              <w:rPr>
                <w:sz w:val="14"/>
              </w:rPr>
              <w:t>Fee</w:t>
            </w:r>
            <w:r>
              <w:rPr>
                <w:spacing w:val="-6"/>
                <w:sz w:val="14"/>
              </w:rPr>
              <w:t> </w:t>
            </w:r>
            <w:r>
              <w:rPr>
                <w:sz w:val="14"/>
              </w:rPr>
              <w:t>Demolitions</w:t>
            </w:r>
            <w:r>
              <w:rPr>
                <w:spacing w:val="-5"/>
                <w:sz w:val="14"/>
              </w:rPr>
              <w:t> </w:t>
            </w:r>
            <w:r>
              <w:rPr>
                <w:sz w:val="14"/>
              </w:rPr>
              <w:t>Commercial</w:t>
            </w:r>
            <w:r>
              <w:rPr>
                <w:spacing w:val="-3"/>
                <w:sz w:val="14"/>
              </w:rPr>
              <w:t> </w:t>
            </w:r>
            <w:r>
              <w:rPr>
                <w:sz w:val="14"/>
              </w:rPr>
              <w:t>($Fee+$680</w:t>
            </w:r>
            <w:r>
              <w:rPr>
                <w:spacing w:val="-3"/>
                <w:sz w:val="14"/>
              </w:rPr>
              <w:t> </w:t>
            </w:r>
            <w:r>
              <w:rPr>
                <w:sz w:val="14"/>
              </w:rPr>
              <w:t>per</w:t>
            </w:r>
            <w:r>
              <w:rPr>
                <w:spacing w:val="-4"/>
                <w:sz w:val="14"/>
              </w:rPr>
              <w:t> </w:t>
            </w:r>
            <w:r>
              <w:rPr>
                <w:spacing w:val="-2"/>
                <w:sz w:val="14"/>
              </w:rPr>
              <w:t>storey)</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2"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2"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9"/>
              <w:ind w:left="151" w:firstLine="86"/>
              <w:rPr>
                <w:sz w:val="14"/>
              </w:rPr>
            </w:pPr>
            <w:r>
              <w:rPr>
                <w:sz w:val="14"/>
              </w:rPr>
              <w:t>Price on</w:t>
            </w:r>
            <w:r>
              <w:rPr>
                <w:spacing w:val="40"/>
                <w:sz w:val="14"/>
              </w:rPr>
              <w:t> </w:t>
            </w:r>
            <w:r>
              <w:rPr>
                <w:spacing w:val="-2"/>
                <w:sz w:val="14"/>
              </w:rPr>
              <w:t>Application</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9"/>
              <w:ind w:left="262" w:right="192" w:firstLine="86"/>
              <w:rPr>
                <w:sz w:val="14"/>
              </w:rPr>
            </w:pPr>
            <w:r>
              <w:rPr>
                <w:sz w:val="14"/>
              </w:rPr>
              <w:t>Price on</w:t>
            </w:r>
            <w:r>
              <w:rPr>
                <w:spacing w:val="40"/>
                <w:sz w:val="14"/>
              </w:rPr>
              <w:t> </w:t>
            </w:r>
            <w:r>
              <w:rPr>
                <w:spacing w:val="-2"/>
                <w:sz w:val="14"/>
              </w:rPr>
              <w:t>Application</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before="99"/>
              <w:ind w:left="107"/>
              <w:rPr>
                <w:sz w:val="14"/>
              </w:rPr>
            </w:pPr>
            <w:r>
              <w:rPr>
                <w:sz w:val="14"/>
              </w:rPr>
              <w:t>Building</w:t>
            </w:r>
            <w:r>
              <w:rPr>
                <w:spacing w:val="-6"/>
                <w:sz w:val="14"/>
              </w:rPr>
              <w:t> </w:t>
            </w:r>
            <w:r>
              <w:rPr>
                <w:sz w:val="14"/>
              </w:rPr>
              <w:t>Permit</w:t>
            </w:r>
            <w:r>
              <w:rPr>
                <w:spacing w:val="-5"/>
                <w:sz w:val="14"/>
              </w:rPr>
              <w:t> </w:t>
            </w:r>
            <w:r>
              <w:rPr>
                <w:sz w:val="14"/>
              </w:rPr>
              <w:t>Fee</w:t>
            </w:r>
            <w:r>
              <w:rPr>
                <w:spacing w:val="-6"/>
                <w:sz w:val="14"/>
              </w:rPr>
              <w:t> </w:t>
            </w:r>
            <w:r>
              <w:rPr>
                <w:sz w:val="14"/>
              </w:rPr>
              <w:t>Demolitions</w:t>
            </w:r>
            <w:r>
              <w:rPr>
                <w:spacing w:val="-4"/>
                <w:sz w:val="14"/>
              </w:rPr>
              <w:t> </w:t>
            </w:r>
            <w:r>
              <w:rPr>
                <w:spacing w:val="-2"/>
                <w:sz w:val="14"/>
              </w:rPr>
              <w:t>Domestic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151" w:firstLine="86"/>
              <w:rPr>
                <w:sz w:val="14"/>
              </w:rPr>
            </w:pPr>
            <w:r>
              <w:rPr>
                <w:sz w:val="14"/>
              </w:rPr>
              <w:t>Price on</w:t>
            </w:r>
            <w:r>
              <w:rPr>
                <w:spacing w:val="40"/>
                <w:sz w:val="14"/>
              </w:rPr>
              <w:t> </w:t>
            </w:r>
            <w:r>
              <w:rPr>
                <w:spacing w:val="-2"/>
                <w:sz w:val="14"/>
              </w:rPr>
              <w:t>Application</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262" w:right="192" w:firstLine="86"/>
              <w:rPr>
                <w:sz w:val="14"/>
              </w:rPr>
            </w:pPr>
            <w:r>
              <w:rPr>
                <w:sz w:val="14"/>
              </w:rPr>
              <w:t>Price on</w:t>
            </w:r>
            <w:r>
              <w:rPr>
                <w:spacing w:val="40"/>
                <w:sz w:val="14"/>
              </w:rPr>
              <w:t> </w:t>
            </w:r>
            <w:r>
              <w:rPr>
                <w:spacing w:val="-2"/>
                <w:sz w:val="14"/>
              </w:rPr>
              <w:t>Application</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before="99"/>
              <w:ind w:left="107"/>
              <w:rPr>
                <w:sz w:val="14"/>
              </w:rPr>
            </w:pPr>
            <w:r>
              <w:rPr>
                <w:sz w:val="14"/>
              </w:rPr>
              <w:t>Building</w:t>
            </w:r>
            <w:r>
              <w:rPr>
                <w:spacing w:val="-6"/>
                <w:sz w:val="14"/>
              </w:rPr>
              <w:t> </w:t>
            </w:r>
            <w:r>
              <w:rPr>
                <w:sz w:val="14"/>
              </w:rPr>
              <w:t>Permit</w:t>
            </w:r>
            <w:r>
              <w:rPr>
                <w:spacing w:val="-5"/>
                <w:sz w:val="14"/>
              </w:rPr>
              <w:t> </w:t>
            </w:r>
            <w:r>
              <w:rPr>
                <w:sz w:val="14"/>
              </w:rPr>
              <w:t>Fee</w:t>
            </w:r>
            <w:r>
              <w:rPr>
                <w:spacing w:val="-5"/>
                <w:sz w:val="14"/>
              </w:rPr>
              <w:t> </w:t>
            </w:r>
            <w:r>
              <w:rPr>
                <w:sz w:val="14"/>
              </w:rPr>
              <w:t>Restump/underpin</w:t>
            </w:r>
            <w:r>
              <w:rPr>
                <w:spacing w:val="-1"/>
                <w:sz w:val="14"/>
              </w:rPr>
              <w:t> </w:t>
            </w:r>
            <w:r>
              <w:rPr>
                <w:sz w:val="14"/>
              </w:rPr>
              <w:t>of</w:t>
            </w:r>
            <w:r>
              <w:rPr>
                <w:spacing w:val="-5"/>
                <w:sz w:val="14"/>
              </w:rPr>
              <w:t> </w:t>
            </w:r>
            <w:r>
              <w:rPr>
                <w:sz w:val="14"/>
              </w:rPr>
              <w:t>dwelling</w:t>
            </w:r>
            <w:r>
              <w:rPr>
                <w:spacing w:val="-6"/>
                <w:sz w:val="14"/>
              </w:rPr>
              <w:t> </w:t>
            </w:r>
            <w:r>
              <w:rPr>
                <w:sz w:val="14"/>
              </w:rPr>
              <w:t>including</w:t>
            </w:r>
            <w:r>
              <w:rPr>
                <w:spacing w:val="-1"/>
                <w:sz w:val="14"/>
              </w:rPr>
              <w:t> </w:t>
            </w:r>
            <w:r>
              <w:rPr>
                <w:sz w:val="14"/>
              </w:rPr>
              <w:t>4</w:t>
            </w:r>
            <w:r>
              <w:rPr>
                <w:spacing w:val="-6"/>
                <w:sz w:val="14"/>
              </w:rPr>
              <w:t> </w:t>
            </w:r>
            <w:r>
              <w:rPr>
                <w:sz w:val="14"/>
              </w:rPr>
              <w:t>inspections</w:t>
            </w:r>
            <w:r>
              <w:rPr>
                <w:spacing w:val="-5"/>
                <w:sz w:val="14"/>
              </w:rPr>
              <w:t> </w:t>
            </w:r>
            <w:r>
              <w:rPr>
                <w:sz w:val="14"/>
              </w:rPr>
              <w:t>($</w:t>
            </w:r>
            <w:r>
              <w:rPr>
                <w:spacing w:val="-5"/>
                <w:sz w:val="14"/>
              </w:rPr>
              <w:t> </w:t>
            </w:r>
            <w:r>
              <w:rPr>
                <w:spacing w:val="-4"/>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151" w:firstLine="86"/>
              <w:rPr>
                <w:sz w:val="14"/>
              </w:rPr>
            </w:pPr>
            <w:r>
              <w:rPr>
                <w:sz w:val="14"/>
              </w:rPr>
              <w:t>Price on</w:t>
            </w:r>
            <w:r>
              <w:rPr>
                <w:spacing w:val="40"/>
                <w:sz w:val="14"/>
              </w:rPr>
              <w:t> </w:t>
            </w:r>
            <w:r>
              <w:rPr>
                <w:spacing w:val="-2"/>
                <w:sz w:val="14"/>
              </w:rPr>
              <w:t>Application</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262" w:right="192" w:firstLine="86"/>
              <w:rPr>
                <w:sz w:val="14"/>
              </w:rPr>
            </w:pPr>
            <w:r>
              <w:rPr>
                <w:sz w:val="14"/>
              </w:rPr>
              <w:t>Price on</w:t>
            </w:r>
            <w:r>
              <w:rPr>
                <w:spacing w:val="40"/>
                <w:sz w:val="14"/>
              </w:rPr>
              <w:t> </w:t>
            </w:r>
            <w:r>
              <w:rPr>
                <w:spacing w:val="-2"/>
                <w:sz w:val="14"/>
              </w:rPr>
              <w:t>Application</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ight="181"/>
              <w:rPr>
                <w:sz w:val="14"/>
              </w:rPr>
            </w:pPr>
            <w:r>
              <w:rPr>
                <w:sz w:val="14"/>
              </w:rPr>
              <w:t>Building</w:t>
            </w:r>
            <w:r>
              <w:rPr>
                <w:spacing w:val="-5"/>
                <w:sz w:val="14"/>
              </w:rPr>
              <w:t> </w:t>
            </w:r>
            <w:r>
              <w:rPr>
                <w:sz w:val="14"/>
              </w:rPr>
              <w:t>Permit</w:t>
            </w:r>
            <w:r>
              <w:rPr>
                <w:spacing w:val="-5"/>
                <w:sz w:val="14"/>
              </w:rPr>
              <w:t> </w:t>
            </w:r>
            <w:r>
              <w:rPr>
                <w:sz w:val="14"/>
              </w:rPr>
              <w:t>Fee</w:t>
            </w:r>
            <w:r>
              <w:rPr>
                <w:spacing w:val="-5"/>
                <w:sz w:val="14"/>
              </w:rPr>
              <w:t> </w:t>
            </w:r>
            <w:r>
              <w:rPr>
                <w:sz w:val="14"/>
              </w:rPr>
              <w:t>Dwellings</w:t>
            </w:r>
            <w:r>
              <w:rPr>
                <w:spacing w:val="-2"/>
                <w:sz w:val="14"/>
              </w:rPr>
              <w:t> </w:t>
            </w:r>
            <w:r>
              <w:rPr>
                <w:sz w:val="14"/>
              </w:rPr>
              <w:t>$12,000-$50,000</w:t>
            </w:r>
            <w:r>
              <w:rPr>
                <w:spacing w:val="-5"/>
                <w:sz w:val="14"/>
              </w:rPr>
              <w:t> </w:t>
            </w:r>
            <w:r>
              <w:rPr>
                <w:sz w:val="14"/>
              </w:rPr>
              <w:t>Cost</w:t>
            </w:r>
            <w:r>
              <w:rPr>
                <w:spacing w:val="-2"/>
                <w:sz w:val="14"/>
              </w:rPr>
              <w:t> </w:t>
            </w:r>
            <w:r>
              <w:rPr>
                <w:sz w:val="14"/>
              </w:rPr>
              <w:t>of</w:t>
            </w:r>
            <w:r>
              <w:rPr>
                <w:spacing w:val="-5"/>
                <w:sz w:val="14"/>
              </w:rPr>
              <w:t> </w:t>
            </w:r>
            <w:r>
              <w:rPr>
                <w:sz w:val="14"/>
              </w:rPr>
              <w:t>Construction</w:t>
            </w:r>
            <w:r>
              <w:rPr>
                <w:spacing w:val="-6"/>
                <w:sz w:val="14"/>
              </w:rPr>
              <w:t> </w:t>
            </w:r>
            <w:r>
              <w:rPr>
                <w:sz w:val="14"/>
              </w:rPr>
              <w:t>including</w:t>
            </w:r>
            <w:r>
              <w:rPr>
                <w:spacing w:val="-1"/>
                <w:sz w:val="14"/>
              </w:rPr>
              <w:t> </w:t>
            </w:r>
            <w:r>
              <w:rPr>
                <w:sz w:val="14"/>
              </w:rPr>
              <w:t>4</w:t>
            </w:r>
            <w:r>
              <w:rPr>
                <w:spacing w:val="40"/>
                <w:sz w:val="14"/>
              </w:rPr>
              <w:t> </w:t>
            </w:r>
            <w:r>
              <w:rPr>
                <w:sz w:val="14"/>
              </w:rPr>
              <w:t>inspections (Fee of building works)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9"/>
              <w:ind w:left="151" w:firstLine="86"/>
              <w:rPr>
                <w:sz w:val="14"/>
              </w:rPr>
            </w:pPr>
            <w:r>
              <w:rPr>
                <w:sz w:val="14"/>
              </w:rPr>
              <w:t>Price on</w:t>
            </w:r>
            <w:r>
              <w:rPr>
                <w:spacing w:val="40"/>
                <w:sz w:val="14"/>
              </w:rPr>
              <w:t> </w:t>
            </w:r>
            <w:r>
              <w:rPr>
                <w:spacing w:val="-2"/>
                <w:sz w:val="14"/>
              </w:rPr>
              <w:t>Application</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262" w:right="192" w:firstLine="86"/>
              <w:rPr>
                <w:sz w:val="14"/>
              </w:rPr>
            </w:pPr>
            <w:r>
              <w:rPr>
                <w:sz w:val="14"/>
              </w:rPr>
              <w:t>Price on</w:t>
            </w:r>
            <w:r>
              <w:rPr>
                <w:spacing w:val="40"/>
                <w:sz w:val="14"/>
              </w:rPr>
              <w:t> </w:t>
            </w:r>
            <w:r>
              <w:rPr>
                <w:spacing w:val="-2"/>
                <w:sz w:val="14"/>
              </w:rPr>
              <w:t>Application</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90"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50"/>
              <w:ind w:left="107"/>
              <w:rPr>
                <w:sz w:val="14"/>
              </w:rPr>
            </w:pPr>
            <w:r>
              <w:rPr>
                <w:sz w:val="14"/>
              </w:rPr>
              <w:t>Building</w:t>
            </w:r>
            <w:r>
              <w:rPr>
                <w:spacing w:val="-5"/>
                <w:sz w:val="14"/>
              </w:rPr>
              <w:t> </w:t>
            </w:r>
            <w:r>
              <w:rPr>
                <w:sz w:val="14"/>
              </w:rPr>
              <w:t>Permit</w:t>
            </w:r>
            <w:r>
              <w:rPr>
                <w:spacing w:val="-5"/>
                <w:sz w:val="14"/>
              </w:rPr>
              <w:t> </w:t>
            </w:r>
            <w:r>
              <w:rPr>
                <w:sz w:val="14"/>
              </w:rPr>
              <w:t>Fee</w:t>
            </w:r>
            <w:r>
              <w:rPr>
                <w:spacing w:val="-5"/>
                <w:sz w:val="14"/>
              </w:rPr>
              <w:t> </w:t>
            </w:r>
            <w:r>
              <w:rPr>
                <w:sz w:val="14"/>
              </w:rPr>
              <w:t>Dwellings</w:t>
            </w:r>
            <w:r>
              <w:rPr>
                <w:spacing w:val="-2"/>
                <w:sz w:val="14"/>
              </w:rPr>
              <w:t> </w:t>
            </w:r>
            <w:r>
              <w:rPr>
                <w:sz w:val="14"/>
              </w:rPr>
              <w:t>$50,001-$100,000</w:t>
            </w:r>
            <w:r>
              <w:rPr>
                <w:spacing w:val="-2"/>
                <w:sz w:val="14"/>
              </w:rPr>
              <w:t> </w:t>
            </w:r>
            <w:r>
              <w:rPr>
                <w:sz w:val="14"/>
              </w:rPr>
              <w:t>Cost</w:t>
            </w:r>
            <w:r>
              <w:rPr>
                <w:spacing w:val="-2"/>
                <w:sz w:val="14"/>
              </w:rPr>
              <w:t> </w:t>
            </w:r>
            <w:r>
              <w:rPr>
                <w:sz w:val="14"/>
              </w:rPr>
              <w:t>of</w:t>
            </w:r>
            <w:r>
              <w:rPr>
                <w:spacing w:val="-2"/>
                <w:sz w:val="14"/>
              </w:rPr>
              <w:t> </w:t>
            </w:r>
            <w:r>
              <w:rPr>
                <w:sz w:val="14"/>
              </w:rPr>
              <w:t>Construction</w:t>
            </w:r>
            <w:r>
              <w:rPr>
                <w:spacing w:val="-5"/>
                <w:sz w:val="14"/>
              </w:rPr>
              <w:t> </w:t>
            </w:r>
            <w:r>
              <w:rPr>
                <w:sz w:val="14"/>
              </w:rPr>
              <w:t>including</w:t>
            </w:r>
            <w:r>
              <w:rPr>
                <w:spacing w:val="-6"/>
                <w:sz w:val="14"/>
              </w:rPr>
              <w:t> </w:t>
            </w:r>
            <w:r>
              <w:rPr>
                <w:sz w:val="14"/>
              </w:rPr>
              <w:t>4</w:t>
            </w:r>
            <w:r>
              <w:rPr>
                <w:spacing w:val="40"/>
                <w:sz w:val="14"/>
              </w:rPr>
              <w:t> </w:t>
            </w:r>
            <w:r>
              <w:rPr>
                <w:sz w:val="14"/>
              </w:rPr>
              <w:t>inspections ($Fee+(0.35%) of building works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20"/>
              </w:rPr>
            </w:pPr>
          </w:p>
          <w:p>
            <w:pPr>
              <w:pStyle w:val="TableParagraph"/>
              <w:spacing w:line="140" w:lineRule="exact" w:before="1"/>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20"/>
              </w:rPr>
            </w:pPr>
          </w:p>
          <w:p>
            <w:pPr>
              <w:pStyle w:val="TableParagraph"/>
              <w:spacing w:line="140" w:lineRule="exact" w:before="1"/>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50"/>
              <w:ind w:left="151" w:firstLine="86"/>
              <w:rPr>
                <w:sz w:val="14"/>
              </w:rPr>
            </w:pPr>
            <w:r>
              <w:rPr>
                <w:sz w:val="14"/>
              </w:rPr>
              <w:t>Price on</w:t>
            </w:r>
            <w:r>
              <w:rPr>
                <w:spacing w:val="40"/>
                <w:sz w:val="14"/>
              </w:rPr>
              <w:t> </w:t>
            </w:r>
            <w:r>
              <w:rPr>
                <w:spacing w:val="-2"/>
                <w:sz w:val="14"/>
              </w:rPr>
              <w:t>Application</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34"/>
              <w:ind w:left="262" w:right="192" w:firstLine="86"/>
              <w:rPr>
                <w:sz w:val="14"/>
              </w:rPr>
            </w:pPr>
            <w:r>
              <w:rPr>
                <w:sz w:val="14"/>
              </w:rPr>
              <w:t>Price on</w:t>
            </w:r>
            <w:r>
              <w:rPr>
                <w:spacing w:val="40"/>
                <w:sz w:val="14"/>
              </w:rPr>
              <w:t> </w:t>
            </w:r>
            <w:r>
              <w:rPr>
                <w:spacing w:val="-2"/>
                <w:sz w:val="14"/>
              </w:rPr>
              <w:t>Application</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Pr>
                <w:sz w:val="14"/>
              </w:rPr>
            </w:pPr>
            <w:r>
              <w:rPr>
                <w:sz w:val="14"/>
              </w:rPr>
              <w:t>Building</w:t>
            </w:r>
            <w:r>
              <w:rPr>
                <w:spacing w:val="-5"/>
                <w:sz w:val="14"/>
              </w:rPr>
              <w:t> </w:t>
            </w:r>
            <w:r>
              <w:rPr>
                <w:sz w:val="14"/>
              </w:rPr>
              <w:t>Permit</w:t>
            </w:r>
            <w:r>
              <w:rPr>
                <w:spacing w:val="-5"/>
                <w:sz w:val="14"/>
              </w:rPr>
              <w:t> </w:t>
            </w:r>
            <w:r>
              <w:rPr>
                <w:sz w:val="14"/>
              </w:rPr>
              <w:t>fee</w:t>
            </w:r>
            <w:r>
              <w:rPr>
                <w:spacing w:val="-5"/>
                <w:sz w:val="14"/>
              </w:rPr>
              <w:t> </w:t>
            </w:r>
            <w:r>
              <w:rPr>
                <w:sz w:val="14"/>
              </w:rPr>
              <w:t>Dwellings</w:t>
            </w:r>
            <w:r>
              <w:rPr>
                <w:spacing w:val="-1"/>
                <w:sz w:val="14"/>
              </w:rPr>
              <w:t> </w:t>
            </w:r>
            <w:r>
              <w:rPr>
                <w:sz w:val="14"/>
              </w:rPr>
              <w:t>$100,001-$150,000</w:t>
            </w:r>
            <w:r>
              <w:rPr>
                <w:spacing w:val="-5"/>
                <w:sz w:val="14"/>
              </w:rPr>
              <w:t> </w:t>
            </w:r>
            <w:r>
              <w:rPr>
                <w:sz w:val="14"/>
              </w:rPr>
              <w:t>Cost</w:t>
            </w:r>
            <w:r>
              <w:rPr>
                <w:spacing w:val="-2"/>
                <w:sz w:val="14"/>
              </w:rPr>
              <w:t> </w:t>
            </w:r>
            <w:r>
              <w:rPr>
                <w:sz w:val="14"/>
              </w:rPr>
              <w:t>of</w:t>
            </w:r>
            <w:r>
              <w:rPr>
                <w:spacing w:val="-4"/>
                <w:sz w:val="14"/>
              </w:rPr>
              <w:t> </w:t>
            </w:r>
            <w:r>
              <w:rPr>
                <w:sz w:val="14"/>
              </w:rPr>
              <w:t>Construction</w:t>
            </w:r>
            <w:r>
              <w:rPr>
                <w:spacing w:val="-3"/>
                <w:sz w:val="14"/>
              </w:rPr>
              <w:t> </w:t>
            </w:r>
            <w:r>
              <w:rPr>
                <w:sz w:val="14"/>
              </w:rPr>
              <w:t>including</w:t>
            </w:r>
            <w:r>
              <w:rPr>
                <w:spacing w:val="-5"/>
                <w:sz w:val="14"/>
              </w:rPr>
              <w:t> </w:t>
            </w:r>
            <w:r>
              <w:rPr>
                <w:sz w:val="14"/>
              </w:rPr>
              <w:t>5</w:t>
            </w:r>
            <w:r>
              <w:rPr>
                <w:spacing w:val="40"/>
                <w:sz w:val="14"/>
              </w:rPr>
              <w:t> </w:t>
            </w:r>
            <w:r>
              <w:rPr>
                <w:sz w:val="14"/>
              </w:rPr>
              <w:t>inspections ($Fee+(0.30% of building works)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9"/>
              <w:ind w:left="151" w:firstLine="86"/>
              <w:rPr>
                <w:sz w:val="14"/>
              </w:rPr>
            </w:pPr>
            <w:r>
              <w:rPr>
                <w:sz w:val="14"/>
              </w:rPr>
              <w:t>Price on</w:t>
            </w:r>
            <w:r>
              <w:rPr>
                <w:spacing w:val="40"/>
                <w:sz w:val="14"/>
              </w:rPr>
              <w:t> </w:t>
            </w:r>
            <w:r>
              <w:rPr>
                <w:spacing w:val="-2"/>
                <w:sz w:val="14"/>
              </w:rPr>
              <w:t>Application</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262" w:right="192" w:firstLine="86"/>
              <w:rPr>
                <w:sz w:val="14"/>
              </w:rPr>
            </w:pPr>
            <w:r>
              <w:rPr>
                <w:sz w:val="14"/>
              </w:rPr>
              <w:t>Price on</w:t>
            </w:r>
            <w:r>
              <w:rPr>
                <w:spacing w:val="40"/>
                <w:sz w:val="14"/>
              </w:rPr>
              <w:t> </w:t>
            </w:r>
            <w:r>
              <w:rPr>
                <w:spacing w:val="-2"/>
                <w:sz w:val="14"/>
              </w:rPr>
              <w:t>Application</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Pr>
                <w:sz w:val="14"/>
              </w:rPr>
            </w:pPr>
            <w:r>
              <w:rPr>
                <w:sz w:val="14"/>
              </w:rPr>
              <w:t>Building</w:t>
            </w:r>
            <w:r>
              <w:rPr>
                <w:spacing w:val="-5"/>
                <w:sz w:val="14"/>
              </w:rPr>
              <w:t> </w:t>
            </w:r>
            <w:r>
              <w:rPr>
                <w:sz w:val="14"/>
              </w:rPr>
              <w:t>Permit</w:t>
            </w:r>
            <w:r>
              <w:rPr>
                <w:spacing w:val="-5"/>
                <w:sz w:val="14"/>
              </w:rPr>
              <w:t> </w:t>
            </w:r>
            <w:r>
              <w:rPr>
                <w:sz w:val="14"/>
              </w:rPr>
              <w:t>Fee</w:t>
            </w:r>
            <w:r>
              <w:rPr>
                <w:spacing w:val="-5"/>
                <w:sz w:val="14"/>
              </w:rPr>
              <w:t> </w:t>
            </w:r>
            <w:r>
              <w:rPr>
                <w:sz w:val="14"/>
              </w:rPr>
              <w:t>Dwellings</w:t>
            </w:r>
            <w:r>
              <w:rPr>
                <w:spacing w:val="-2"/>
                <w:sz w:val="14"/>
              </w:rPr>
              <w:t> </w:t>
            </w:r>
            <w:r>
              <w:rPr>
                <w:sz w:val="14"/>
              </w:rPr>
              <w:t>$150,001-$200,000</w:t>
            </w:r>
            <w:r>
              <w:rPr>
                <w:spacing w:val="-1"/>
                <w:sz w:val="14"/>
              </w:rPr>
              <w:t> </w:t>
            </w:r>
            <w:r>
              <w:rPr>
                <w:sz w:val="14"/>
              </w:rPr>
              <w:t>Cost</w:t>
            </w:r>
            <w:r>
              <w:rPr>
                <w:spacing w:val="-2"/>
                <w:sz w:val="14"/>
              </w:rPr>
              <w:t> </w:t>
            </w:r>
            <w:r>
              <w:rPr>
                <w:sz w:val="14"/>
              </w:rPr>
              <w:t>of</w:t>
            </w:r>
            <w:r>
              <w:rPr>
                <w:spacing w:val="-2"/>
                <w:sz w:val="14"/>
              </w:rPr>
              <w:t> </w:t>
            </w:r>
            <w:r>
              <w:rPr>
                <w:sz w:val="14"/>
              </w:rPr>
              <w:t>Construction</w:t>
            </w:r>
            <w:r>
              <w:rPr>
                <w:spacing w:val="-5"/>
                <w:sz w:val="14"/>
              </w:rPr>
              <w:t> </w:t>
            </w:r>
            <w:r>
              <w:rPr>
                <w:sz w:val="14"/>
              </w:rPr>
              <w:t>including</w:t>
            </w:r>
            <w:r>
              <w:rPr>
                <w:spacing w:val="-1"/>
                <w:sz w:val="14"/>
              </w:rPr>
              <w:t> </w:t>
            </w:r>
            <w:r>
              <w:rPr>
                <w:sz w:val="14"/>
              </w:rPr>
              <w:t>5</w:t>
            </w:r>
            <w:r>
              <w:rPr>
                <w:spacing w:val="40"/>
                <w:sz w:val="14"/>
              </w:rPr>
              <w:t> </w:t>
            </w:r>
            <w:r>
              <w:rPr>
                <w:sz w:val="14"/>
              </w:rPr>
              <w:t>inspections ($Fee+(0.65%) of building works)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9"/>
              <w:ind w:left="151" w:firstLine="86"/>
              <w:rPr>
                <w:sz w:val="14"/>
              </w:rPr>
            </w:pPr>
            <w:r>
              <w:rPr>
                <w:sz w:val="14"/>
              </w:rPr>
              <w:t>Price on</w:t>
            </w:r>
            <w:r>
              <w:rPr>
                <w:spacing w:val="40"/>
                <w:sz w:val="14"/>
              </w:rPr>
              <w:t> </w:t>
            </w:r>
            <w:r>
              <w:rPr>
                <w:spacing w:val="-2"/>
                <w:sz w:val="14"/>
              </w:rPr>
              <w:t>Application</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262" w:right="192" w:firstLine="86"/>
              <w:rPr>
                <w:sz w:val="14"/>
              </w:rPr>
            </w:pPr>
            <w:r>
              <w:rPr>
                <w:sz w:val="14"/>
              </w:rPr>
              <w:t>Price on</w:t>
            </w:r>
            <w:r>
              <w:rPr>
                <w:spacing w:val="40"/>
                <w:sz w:val="14"/>
              </w:rPr>
              <w:t> </w:t>
            </w:r>
            <w:r>
              <w:rPr>
                <w:spacing w:val="-2"/>
                <w:sz w:val="14"/>
              </w:rPr>
              <w:t>Application</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Pr>
                <w:sz w:val="14"/>
              </w:rPr>
            </w:pPr>
            <w:r>
              <w:rPr>
                <w:sz w:val="14"/>
              </w:rPr>
              <w:t>Building</w:t>
            </w:r>
            <w:r>
              <w:rPr>
                <w:spacing w:val="-5"/>
                <w:sz w:val="14"/>
              </w:rPr>
              <w:t> </w:t>
            </w:r>
            <w:r>
              <w:rPr>
                <w:sz w:val="14"/>
              </w:rPr>
              <w:t>Permit</w:t>
            </w:r>
            <w:r>
              <w:rPr>
                <w:spacing w:val="-5"/>
                <w:sz w:val="14"/>
              </w:rPr>
              <w:t> </w:t>
            </w:r>
            <w:r>
              <w:rPr>
                <w:sz w:val="14"/>
              </w:rPr>
              <w:t>Fee</w:t>
            </w:r>
            <w:r>
              <w:rPr>
                <w:spacing w:val="-5"/>
                <w:sz w:val="14"/>
              </w:rPr>
              <w:t> </w:t>
            </w:r>
            <w:r>
              <w:rPr>
                <w:sz w:val="14"/>
              </w:rPr>
              <w:t>Dwellings</w:t>
            </w:r>
            <w:r>
              <w:rPr>
                <w:spacing w:val="-2"/>
                <w:sz w:val="14"/>
              </w:rPr>
              <w:t> </w:t>
            </w:r>
            <w:r>
              <w:rPr>
                <w:sz w:val="14"/>
              </w:rPr>
              <w:t>$200,001-$250,000</w:t>
            </w:r>
            <w:r>
              <w:rPr>
                <w:spacing w:val="-1"/>
                <w:sz w:val="14"/>
              </w:rPr>
              <w:t> </w:t>
            </w:r>
            <w:r>
              <w:rPr>
                <w:sz w:val="14"/>
              </w:rPr>
              <w:t>Cost</w:t>
            </w:r>
            <w:r>
              <w:rPr>
                <w:spacing w:val="-2"/>
                <w:sz w:val="14"/>
              </w:rPr>
              <w:t> </w:t>
            </w:r>
            <w:r>
              <w:rPr>
                <w:sz w:val="14"/>
              </w:rPr>
              <w:t>of</w:t>
            </w:r>
            <w:r>
              <w:rPr>
                <w:spacing w:val="-2"/>
                <w:sz w:val="14"/>
              </w:rPr>
              <w:t> </w:t>
            </w:r>
            <w:r>
              <w:rPr>
                <w:sz w:val="14"/>
              </w:rPr>
              <w:t>Construction</w:t>
            </w:r>
            <w:r>
              <w:rPr>
                <w:spacing w:val="-5"/>
                <w:sz w:val="14"/>
              </w:rPr>
              <w:t> </w:t>
            </w:r>
            <w:r>
              <w:rPr>
                <w:sz w:val="14"/>
              </w:rPr>
              <w:t>including</w:t>
            </w:r>
            <w:r>
              <w:rPr>
                <w:spacing w:val="-1"/>
                <w:sz w:val="14"/>
              </w:rPr>
              <w:t> </w:t>
            </w:r>
            <w:r>
              <w:rPr>
                <w:sz w:val="14"/>
              </w:rPr>
              <w:t>5</w:t>
            </w:r>
            <w:r>
              <w:rPr>
                <w:spacing w:val="40"/>
                <w:sz w:val="14"/>
              </w:rPr>
              <w:t> </w:t>
            </w:r>
            <w:r>
              <w:rPr>
                <w:sz w:val="14"/>
              </w:rPr>
              <w:t>inspections ($Fee+(0.65% of building works)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9"/>
              <w:ind w:left="151" w:firstLine="86"/>
              <w:rPr>
                <w:sz w:val="14"/>
              </w:rPr>
            </w:pPr>
            <w:r>
              <w:rPr>
                <w:sz w:val="14"/>
              </w:rPr>
              <w:t>Price on</w:t>
            </w:r>
            <w:r>
              <w:rPr>
                <w:spacing w:val="40"/>
                <w:sz w:val="14"/>
              </w:rPr>
              <w:t> </w:t>
            </w:r>
            <w:r>
              <w:rPr>
                <w:spacing w:val="-2"/>
                <w:sz w:val="14"/>
              </w:rPr>
              <w:t>Application</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262" w:right="192" w:firstLine="86"/>
              <w:rPr>
                <w:sz w:val="14"/>
              </w:rPr>
            </w:pPr>
            <w:r>
              <w:rPr>
                <w:sz w:val="14"/>
              </w:rPr>
              <w:t>Price on</w:t>
            </w:r>
            <w:r>
              <w:rPr>
                <w:spacing w:val="40"/>
                <w:sz w:val="14"/>
              </w:rPr>
              <w:t> </w:t>
            </w:r>
            <w:r>
              <w:rPr>
                <w:spacing w:val="-2"/>
                <w:sz w:val="14"/>
              </w:rPr>
              <w:t>Application</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bl>
    <w:p>
      <w:pPr>
        <w:spacing w:after="0"/>
        <w:rPr>
          <w:rFonts w:ascii="Times New Roman"/>
          <w:sz w:val="12"/>
        </w:rPr>
        <w:sectPr>
          <w:type w:val="continuous"/>
          <w:pgSz w:w="11910" w:h="16840"/>
          <w:pgMar w:header="0" w:footer="378" w:top="680" w:bottom="1009" w:left="520" w:right="520"/>
        </w:sectPr>
      </w:pPr>
    </w:p>
    <w:tbl>
      <w:tblPr>
        <w:tblW w:w="0" w:type="auto"/>
        <w:jc w:val="left"/>
        <w:tblInd w:w="13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70"/>
        <w:gridCol w:w="1028"/>
        <w:gridCol w:w="769"/>
        <w:gridCol w:w="973"/>
        <w:gridCol w:w="1199"/>
        <w:gridCol w:w="897"/>
      </w:tblGrid>
      <w:tr>
        <w:trPr>
          <w:trHeight w:val="232" w:hRule="atLeast"/>
        </w:trPr>
        <w:tc>
          <w:tcPr>
            <w:tcW w:w="10636" w:type="dxa"/>
            <w:gridSpan w:val="6"/>
            <w:tcBorders>
              <w:left w:val="single" w:sz="12" w:space="0" w:color="000000"/>
              <w:bottom w:val="single" w:sz="4" w:space="0" w:color="000000"/>
              <w:right w:val="single" w:sz="12" w:space="0" w:color="000000"/>
            </w:tcBorders>
            <w:shd w:val="clear" w:color="auto" w:fill="3399FF"/>
          </w:tcPr>
          <w:p>
            <w:pPr>
              <w:pStyle w:val="TableParagraph"/>
              <w:spacing w:before="32"/>
              <w:ind w:left="4308" w:right="4290"/>
              <w:jc w:val="center"/>
              <w:rPr>
                <w:b/>
                <w:sz w:val="14"/>
              </w:rPr>
            </w:pPr>
            <w:r>
              <w:rPr>
                <w:b/>
                <w:color w:val="FFFFFF"/>
                <w:sz w:val="14"/>
              </w:rPr>
              <w:t>FEES</w:t>
            </w:r>
            <w:r>
              <w:rPr>
                <w:b/>
                <w:color w:val="FFFFFF"/>
                <w:spacing w:val="-5"/>
                <w:sz w:val="14"/>
              </w:rPr>
              <w:t> </w:t>
            </w:r>
            <w:r>
              <w:rPr>
                <w:b/>
                <w:color w:val="FFFFFF"/>
                <w:sz w:val="14"/>
              </w:rPr>
              <w:t>AND</w:t>
            </w:r>
            <w:r>
              <w:rPr>
                <w:b/>
                <w:color w:val="FFFFFF"/>
                <w:spacing w:val="-4"/>
                <w:sz w:val="14"/>
              </w:rPr>
              <w:t> </w:t>
            </w:r>
            <w:r>
              <w:rPr>
                <w:b/>
                <w:color w:val="FFFFFF"/>
                <w:sz w:val="14"/>
              </w:rPr>
              <w:t>CHARGES</w:t>
            </w:r>
            <w:r>
              <w:rPr>
                <w:b/>
                <w:color w:val="FFFFFF"/>
                <w:spacing w:val="-1"/>
                <w:sz w:val="14"/>
              </w:rPr>
              <w:t> </w:t>
            </w:r>
            <w:r>
              <w:rPr>
                <w:b/>
                <w:color w:val="FFFFFF"/>
                <w:spacing w:val="-2"/>
                <w:sz w:val="14"/>
              </w:rPr>
              <w:t>2025/26</w:t>
            </w:r>
          </w:p>
        </w:tc>
      </w:tr>
      <w:tr>
        <w:trPr>
          <w:trHeight w:val="858" w:hRule="atLeast"/>
        </w:trPr>
        <w:tc>
          <w:tcPr>
            <w:tcW w:w="5770" w:type="dxa"/>
            <w:tcBorders>
              <w:top w:val="single" w:sz="4" w:space="0" w:color="000000"/>
              <w:left w:val="single" w:sz="12" w:space="0" w:color="000000"/>
              <w:bottom w:val="single" w:sz="4" w:space="0" w:color="000000"/>
              <w:right w:val="single" w:sz="4"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107"/>
              <w:rPr>
                <w:b/>
                <w:sz w:val="14"/>
              </w:rPr>
            </w:pPr>
            <w:r>
              <w:rPr>
                <w:b/>
                <w:color w:val="FFFFFF"/>
                <w:sz w:val="14"/>
              </w:rPr>
              <w:t>Account</w:t>
            </w:r>
            <w:r>
              <w:rPr>
                <w:b/>
                <w:color w:val="FFFFFF"/>
                <w:spacing w:val="-7"/>
                <w:sz w:val="14"/>
              </w:rPr>
              <w:t> </w:t>
            </w:r>
            <w:r>
              <w:rPr>
                <w:b/>
                <w:color w:val="FFFFFF"/>
                <w:spacing w:val="-2"/>
                <w:sz w:val="14"/>
              </w:rPr>
              <w:t>Description</w:t>
            </w:r>
          </w:p>
        </w:tc>
        <w:tc>
          <w:tcPr>
            <w:tcW w:w="1028"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26" w:right="101" w:firstLine="4"/>
              <w:jc w:val="center"/>
              <w:rPr>
                <w:b/>
                <w:sz w:val="14"/>
              </w:rPr>
            </w:pPr>
            <w:r>
              <w:rPr>
                <w:b/>
                <w:color w:val="FFFFFF"/>
                <w:sz w:val="14"/>
              </w:rPr>
              <w:t>Fee</w:t>
            </w:r>
            <w:r>
              <w:rPr>
                <w:b/>
                <w:color w:val="FFFFFF"/>
                <w:spacing w:val="-6"/>
                <w:sz w:val="14"/>
              </w:rPr>
              <w:t> </w:t>
            </w:r>
            <w:r>
              <w:rPr>
                <w:b/>
                <w:color w:val="FFFFFF"/>
                <w:sz w:val="14"/>
              </w:rPr>
              <w:t>Type</w:t>
            </w:r>
            <w:r>
              <w:rPr>
                <w:b/>
                <w:color w:val="FFFFFF"/>
                <w:spacing w:val="40"/>
                <w:sz w:val="14"/>
              </w:rPr>
              <w:t> </w:t>
            </w:r>
            <w:r>
              <w:rPr>
                <w:b/>
                <w:color w:val="FFFFFF"/>
                <w:spacing w:val="-2"/>
                <w:sz w:val="14"/>
              </w:rPr>
              <w:t>N=Non-</w:t>
            </w:r>
            <w:r>
              <w:rPr>
                <w:b/>
                <w:color w:val="FFFFFF"/>
                <w:spacing w:val="40"/>
                <w:sz w:val="14"/>
              </w:rPr>
              <w:t> </w:t>
            </w:r>
            <w:r>
              <w:rPr>
                <w:b/>
                <w:color w:val="FFFFFF"/>
                <w:spacing w:val="-2"/>
                <w:sz w:val="14"/>
              </w:rPr>
              <w:t>Statutory</w:t>
            </w:r>
            <w:r>
              <w:rPr>
                <w:b/>
                <w:color w:val="FFFFFF"/>
                <w:spacing w:val="40"/>
                <w:sz w:val="14"/>
              </w:rPr>
              <w:t> </w:t>
            </w:r>
            <w:r>
              <w:rPr>
                <w:b/>
                <w:color w:val="FFFFFF"/>
                <w:spacing w:val="-2"/>
                <w:sz w:val="14"/>
              </w:rPr>
              <w:t>S=Statutory</w:t>
            </w:r>
          </w:p>
        </w:tc>
        <w:tc>
          <w:tcPr>
            <w:tcW w:w="76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4"/>
              <w:rPr>
                <w:sz w:val="23"/>
              </w:rPr>
            </w:pPr>
          </w:p>
          <w:p>
            <w:pPr>
              <w:pStyle w:val="TableParagraph"/>
              <w:spacing w:before="1"/>
              <w:ind w:left="248"/>
              <w:rPr>
                <w:b/>
                <w:sz w:val="14"/>
              </w:rPr>
            </w:pPr>
            <w:r>
              <w:rPr>
                <w:b/>
                <w:color w:val="FFFFFF"/>
                <w:spacing w:val="-5"/>
                <w:sz w:val="14"/>
              </w:rPr>
              <w:t>GST</w:t>
            </w:r>
          </w:p>
          <w:p>
            <w:pPr>
              <w:pStyle w:val="TableParagraph"/>
              <w:ind w:left="154"/>
              <w:rPr>
                <w:b/>
                <w:sz w:val="14"/>
              </w:rPr>
            </w:pPr>
            <w:r>
              <w:rPr>
                <w:b/>
                <w:color w:val="FFFFFF"/>
                <w:spacing w:val="-2"/>
                <w:sz w:val="14"/>
              </w:rPr>
              <w:t>Yes/No</w:t>
            </w:r>
          </w:p>
        </w:tc>
        <w:tc>
          <w:tcPr>
            <w:tcW w:w="973"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05" w:right="84"/>
              <w:jc w:val="center"/>
              <w:rPr>
                <w:b/>
                <w:sz w:val="14"/>
              </w:rPr>
            </w:pPr>
            <w:r>
              <w:rPr>
                <w:b/>
                <w:color w:val="FFFFFF"/>
                <w:spacing w:val="-2"/>
                <w:sz w:val="14"/>
              </w:rPr>
              <w:t>2024/25</w:t>
            </w:r>
          </w:p>
          <w:p>
            <w:pPr>
              <w:pStyle w:val="TableParagraph"/>
              <w:ind w:left="189" w:right="168" w:firstLine="1"/>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40"/>
                <w:sz w:val="14"/>
              </w:rPr>
              <w:t> </w:t>
            </w:r>
            <w:r>
              <w:rPr>
                <w:b/>
                <w:color w:val="FFFFFF"/>
                <w:sz w:val="14"/>
              </w:rPr>
              <w:t>Incl.</w:t>
            </w:r>
            <w:r>
              <w:rPr>
                <w:b/>
                <w:color w:val="FFFFFF"/>
                <w:spacing w:val="-5"/>
                <w:sz w:val="14"/>
              </w:rPr>
              <w:t> </w:t>
            </w:r>
            <w:r>
              <w:rPr>
                <w:b/>
                <w:color w:val="FFFFFF"/>
                <w:spacing w:val="-5"/>
                <w:sz w:val="14"/>
              </w:rPr>
              <w:t>GST</w:t>
            </w:r>
          </w:p>
        </w:tc>
        <w:tc>
          <w:tcPr>
            <w:tcW w:w="119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56" w:right="137"/>
              <w:jc w:val="center"/>
              <w:rPr>
                <w:b/>
                <w:sz w:val="14"/>
              </w:rPr>
            </w:pPr>
            <w:r>
              <w:rPr>
                <w:b/>
                <w:color w:val="FFFFFF"/>
                <w:spacing w:val="-2"/>
                <w:sz w:val="14"/>
              </w:rPr>
              <w:t>2025/26</w:t>
            </w:r>
          </w:p>
          <w:p>
            <w:pPr>
              <w:pStyle w:val="TableParagraph"/>
              <w:ind w:left="164" w:right="146" w:firstLine="2"/>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8"/>
                <w:sz w:val="14"/>
              </w:rPr>
              <w:t> </w:t>
            </w:r>
            <w:r>
              <w:rPr>
                <w:b/>
                <w:color w:val="FFFFFF"/>
                <w:spacing w:val="-2"/>
                <w:sz w:val="14"/>
              </w:rPr>
              <w:t>Incl.</w:t>
            </w:r>
          </w:p>
          <w:p>
            <w:pPr>
              <w:pStyle w:val="TableParagraph"/>
              <w:spacing w:line="161" w:lineRule="exact"/>
              <w:ind w:left="153" w:right="137"/>
              <w:jc w:val="center"/>
              <w:rPr>
                <w:b/>
                <w:sz w:val="14"/>
              </w:rPr>
            </w:pPr>
            <w:r>
              <w:rPr>
                <w:b/>
                <w:color w:val="FFFFFF"/>
                <w:spacing w:val="-5"/>
                <w:sz w:val="14"/>
              </w:rPr>
              <w:t>GST</w:t>
            </w:r>
          </w:p>
        </w:tc>
        <w:tc>
          <w:tcPr>
            <w:tcW w:w="897" w:type="dxa"/>
            <w:tcBorders>
              <w:top w:val="single" w:sz="4" w:space="0" w:color="000000"/>
              <w:left w:val="single" w:sz="4" w:space="0" w:color="000000"/>
              <w:bottom w:val="single" w:sz="4" w:space="0" w:color="000000"/>
              <w:right w:val="single" w:sz="12"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95" w:right="81"/>
              <w:jc w:val="center"/>
              <w:rPr>
                <w:b/>
                <w:sz w:val="14"/>
              </w:rPr>
            </w:pPr>
            <w:r>
              <w:rPr>
                <w:b/>
                <w:color w:val="FFFFFF"/>
                <w:sz w:val="14"/>
              </w:rPr>
              <w:t>%</w:t>
            </w:r>
            <w:r>
              <w:rPr>
                <w:b/>
                <w:color w:val="FFFFFF"/>
                <w:spacing w:val="-4"/>
                <w:sz w:val="14"/>
              </w:rPr>
              <w:t> </w:t>
            </w:r>
            <w:r>
              <w:rPr>
                <w:b/>
                <w:color w:val="FFFFFF"/>
                <w:spacing w:val="-2"/>
                <w:sz w:val="14"/>
              </w:rPr>
              <w:t>Change</w:t>
            </w:r>
          </w:p>
        </w:tc>
      </w:tr>
      <w:tr>
        <w:trPr>
          <w:trHeight w:val="36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20"/>
              <w:ind w:left="107"/>
              <w:rPr>
                <w:sz w:val="14"/>
              </w:rPr>
            </w:pPr>
            <w:r>
              <w:rPr>
                <w:sz w:val="14"/>
              </w:rPr>
              <w:t>Building</w:t>
            </w:r>
            <w:r>
              <w:rPr>
                <w:spacing w:val="-5"/>
                <w:sz w:val="14"/>
              </w:rPr>
              <w:t> </w:t>
            </w:r>
            <w:r>
              <w:rPr>
                <w:sz w:val="14"/>
              </w:rPr>
              <w:t>Permit</w:t>
            </w:r>
            <w:r>
              <w:rPr>
                <w:spacing w:val="-5"/>
                <w:sz w:val="14"/>
              </w:rPr>
              <w:t> </w:t>
            </w:r>
            <w:r>
              <w:rPr>
                <w:sz w:val="14"/>
              </w:rPr>
              <w:t>Fee</w:t>
            </w:r>
            <w:r>
              <w:rPr>
                <w:spacing w:val="-5"/>
                <w:sz w:val="14"/>
              </w:rPr>
              <w:t> </w:t>
            </w:r>
            <w:r>
              <w:rPr>
                <w:sz w:val="14"/>
              </w:rPr>
              <w:t>Dwellings</w:t>
            </w:r>
            <w:r>
              <w:rPr>
                <w:spacing w:val="-2"/>
                <w:sz w:val="14"/>
              </w:rPr>
              <w:t> </w:t>
            </w:r>
            <w:r>
              <w:rPr>
                <w:sz w:val="14"/>
              </w:rPr>
              <w:t>$250,001-$300,000</w:t>
            </w:r>
            <w:r>
              <w:rPr>
                <w:spacing w:val="-1"/>
                <w:sz w:val="14"/>
              </w:rPr>
              <w:t> </w:t>
            </w:r>
            <w:r>
              <w:rPr>
                <w:sz w:val="14"/>
              </w:rPr>
              <w:t>Cost</w:t>
            </w:r>
            <w:r>
              <w:rPr>
                <w:spacing w:val="-2"/>
                <w:sz w:val="14"/>
              </w:rPr>
              <w:t> </w:t>
            </w:r>
            <w:r>
              <w:rPr>
                <w:sz w:val="14"/>
              </w:rPr>
              <w:t>of</w:t>
            </w:r>
            <w:r>
              <w:rPr>
                <w:spacing w:val="-2"/>
                <w:sz w:val="14"/>
              </w:rPr>
              <w:t> </w:t>
            </w:r>
            <w:r>
              <w:rPr>
                <w:sz w:val="14"/>
              </w:rPr>
              <w:t>Construction</w:t>
            </w:r>
            <w:r>
              <w:rPr>
                <w:spacing w:val="-5"/>
                <w:sz w:val="14"/>
              </w:rPr>
              <w:t> </w:t>
            </w:r>
            <w:r>
              <w:rPr>
                <w:sz w:val="14"/>
              </w:rPr>
              <w:t>including</w:t>
            </w:r>
            <w:r>
              <w:rPr>
                <w:spacing w:val="-1"/>
                <w:sz w:val="14"/>
              </w:rPr>
              <w:t> </w:t>
            </w:r>
            <w:r>
              <w:rPr>
                <w:sz w:val="14"/>
              </w:rPr>
              <w:t>5</w:t>
            </w:r>
            <w:r>
              <w:rPr>
                <w:spacing w:val="40"/>
                <w:sz w:val="14"/>
              </w:rPr>
              <w:t> </w:t>
            </w:r>
            <w:r>
              <w:rPr>
                <w:sz w:val="14"/>
              </w:rPr>
              <w:t>inspections ($Fee+(0.65%) of building works)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6"/>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6"/>
              <w:rPr>
                <w:sz w:val="17"/>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20"/>
              <w:ind w:left="151" w:firstLine="86"/>
              <w:rPr>
                <w:sz w:val="14"/>
              </w:rPr>
            </w:pPr>
            <w:r>
              <w:rPr>
                <w:sz w:val="14"/>
              </w:rPr>
              <w:t>Price on</w:t>
            </w:r>
            <w:r>
              <w:rPr>
                <w:spacing w:val="40"/>
                <w:sz w:val="14"/>
              </w:rPr>
              <w:t> </w:t>
            </w:r>
            <w:r>
              <w:rPr>
                <w:spacing w:val="-2"/>
                <w:sz w:val="14"/>
              </w:rPr>
              <w:t>Application</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20"/>
              <w:ind w:left="262" w:right="192" w:firstLine="86"/>
              <w:rPr>
                <w:sz w:val="14"/>
              </w:rPr>
            </w:pPr>
            <w:r>
              <w:rPr>
                <w:sz w:val="14"/>
              </w:rPr>
              <w:t>Price on</w:t>
            </w:r>
            <w:r>
              <w:rPr>
                <w:spacing w:val="40"/>
                <w:sz w:val="14"/>
              </w:rPr>
              <w:t> </w:t>
            </w:r>
            <w:r>
              <w:rPr>
                <w:spacing w:val="-2"/>
                <w:sz w:val="14"/>
              </w:rPr>
              <w:t>Application</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7"/>
              <w:ind w:left="107"/>
              <w:rPr>
                <w:sz w:val="14"/>
              </w:rPr>
            </w:pPr>
            <w:r>
              <w:rPr>
                <w:sz w:val="14"/>
              </w:rPr>
              <w:t>Building</w:t>
            </w:r>
            <w:r>
              <w:rPr>
                <w:spacing w:val="-4"/>
                <w:sz w:val="14"/>
              </w:rPr>
              <w:t> </w:t>
            </w:r>
            <w:r>
              <w:rPr>
                <w:sz w:val="14"/>
              </w:rPr>
              <w:t>Permit</w:t>
            </w:r>
            <w:r>
              <w:rPr>
                <w:spacing w:val="-4"/>
                <w:sz w:val="14"/>
              </w:rPr>
              <w:t> </w:t>
            </w:r>
            <w:r>
              <w:rPr>
                <w:sz w:val="14"/>
              </w:rPr>
              <w:t>Fee</w:t>
            </w:r>
            <w:r>
              <w:rPr>
                <w:spacing w:val="-4"/>
                <w:sz w:val="14"/>
              </w:rPr>
              <w:t> </w:t>
            </w:r>
            <w:r>
              <w:rPr>
                <w:sz w:val="14"/>
              </w:rPr>
              <w:t>Non</w:t>
            </w:r>
            <w:r>
              <w:rPr>
                <w:spacing w:val="-4"/>
                <w:sz w:val="14"/>
              </w:rPr>
              <w:t> </w:t>
            </w:r>
            <w:r>
              <w:rPr>
                <w:sz w:val="14"/>
              </w:rPr>
              <w:t>Prescribed</w:t>
            </w:r>
            <w:r>
              <w:rPr>
                <w:spacing w:val="-1"/>
                <w:sz w:val="14"/>
              </w:rPr>
              <w:t> </w:t>
            </w:r>
            <w:r>
              <w:rPr>
                <w:sz w:val="14"/>
              </w:rPr>
              <w:t>Fences due</w:t>
            </w:r>
            <w:r>
              <w:rPr>
                <w:spacing w:val="-5"/>
                <w:sz w:val="14"/>
              </w:rPr>
              <w:t> </w:t>
            </w:r>
            <w:r>
              <w:rPr>
                <w:sz w:val="14"/>
              </w:rPr>
              <w:t>to</w:t>
            </w:r>
            <w:r>
              <w:rPr>
                <w:spacing w:val="-5"/>
                <w:sz w:val="14"/>
              </w:rPr>
              <w:t> </w:t>
            </w:r>
            <w:r>
              <w:rPr>
                <w:sz w:val="14"/>
              </w:rPr>
              <w:t>report</w:t>
            </w:r>
            <w:r>
              <w:rPr>
                <w:spacing w:val="-1"/>
                <w:sz w:val="14"/>
              </w:rPr>
              <w:t> </w:t>
            </w:r>
            <w:r>
              <w:rPr>
                <w:sz w:val="14"/>
              </w:rPr>
              <w:t>and</w:t>
            </w:r>
            <w:r>
              <w:rPr>
                <w:spacing w:val="-5"/>
                <w:sz w:val="14"/>
              </w:rPr>
              <w:t> </w:t>
            </w:r>
            <w:r>
              <w:rPr>
                <w:sz w:val="14"/>
              </w:rPr>
              <w:t>consent</w:t>
            </w:r>
            <w:r>
              <w:rPr>
                <w:spacing w:val="-1"/>
                <w:sz w:val="14"/>
              </w:rPr>
              <w:t> </w:t>
            </w:r>
            <w:r>
              <w:rPr>
                <w:sz w:val="14"/>
              </w:rPr>
              <w:t>including</w:t>
            </w:r>
            <w:r>
              <w:rPr>
                <w:spacing w:val="-5"/>
                <w:sz w:val="14"/>
              </w:rPr>
              <w:t> </w:t>
            </w:r>
            <w:r>
              <w:rPr>
                <w:sz w:val="14"/>
              </w:rPr>
              <w:t>2</w:t>
            </w:r>
            <w:r>
              <w:rPr>
                <w:spacing w:val="40"/>
                <w:sz w:val="14"/>
              </w:rPr>
              <w:t> </w:t>
            </w:r>
            <w:r>
              <w:rPr>
                <w:spacing w:val="-2"/>
                <w:sz w:val="14"/>
              </w:rPr>
              <w:t>inspections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9"/>
              <w:ind w:left="151" w:firstLine="86"/>
              <w:rPr>
                <w:sz w:val="14"/>
              </w:rPr>
            </w:pPr>
            <w:r>
              <w:rPr>
                <w:sz w:val="14"/>
              </w:rPr>
              <w:t>Price on</w:t>
            </w:r>
            <w:r>
              <w:rPr>
                <w:spacing w:val="40"/>
                <w:sz w:val="14"/>
              </w:rPr>
              <w:t> </w:t>
            </w:r>
            <w:r>
              <w:rPr>
                <w:spacing w:val="-2"/>
                <w:sz w:val="14"/>
              </w:rPr>
              <w:t>Application</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262" w:right="192" w:firstLine="86"/>
              <w:rPr>
                <w:sz w:val="14"/>
              </w:rPr>
            </w:pPr>
            <w:r>
              <w:rPr>
                <w:sz w:val="14"/>
              </w:rPr>
              <w:t>Price on</w:t>
            </w:r>
            <w:r>
              <w:rPr>
                <w:spacing w:val="40"/>
                <w:sz w:val="14"/>
              </w:rPr>
              <w:t> </w:t>
            </w:r>
            <w:r>
              <w:rPr>
                <w:spacing w:val="-2"/>
                <w:sz w:val="14"/>
              </w:rPr>
              <w:t>Application</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7"/>
              <w:ind w:left="107"/>
              <w:rPr>
                <w:sz w:val="14"/>
              </w:rPr>
            </w:pPr>
            <w:r>
              <w:rPr>
                <w:sz w:val="14"/>
              </w:rPr>
              <w:t>Building</w:t>
            </w:r>
            <w:r>
              <w:rPr>
                <w:spacing w:val="-5"/>
                <w:sz w:val="14"/>
              </w:rPr>
              <w:t> </w:t>
            </w:r>
            <w:r>
              <w:rPr>
                <w:sz w:val="14"/>
              </w:rPr>
              <w:t>Permit</w:t>
            </w:r>
            <w:r>
              <w:rPr>
                <w:spacing w:val="-5"/>
                <w:sz w:val="14"/>
              </w:rPr>
              <w:t> </w:t>
            </w:r>
            <w:r>
              <w:rPr>
                <w:sz w:val="14"/>
              </w:rPr>
              <w:t>Fee</w:t>
            </w:r>
            <w:r>
              <w:rPr>
                <w:spacing w:val="-2"/>
                <w:sz w:val="14"/>
              </w:rPr>
              <w:t> </w:t>
            </w:r>
            <w:r>
              <w:rPr>
                <w:sz w:val="14"/>
              </w:rPr>
              <w:t>Fences/Ret</w:t>
            </w:r>
            <w:r>
              <w:rPr>
                <w:spacing w:val="-5"/>
                <w:sz w:val="14"/>
              </w:rPr>
              <w:t> </w:t>
            </w:r>
            <w:r>
              <w:rPr>
                <w:sz w:val="14"/>
              </w:rPr>
              <w:t>Walls/Masts/Poles</w:t>
            </w:r>
            <w:r>
              <w:rPr>
                <w:spacing w:val="-4"/>
                <w:sz w:val="14"/>
              </w:rPr>
              <w:t> </w:t>
            </w:r>
            <w:r>
              <w:rPr>
                <w:sz w:val="14"/>
              </w:rPr>
              <w:t>Up</w:t>
            </w:r>
            <w:r>
              <w:rPr>
                <w:spacing w:val="-5"/>
                <w:sz w:val="14"/>
              </w:rPr>
              <w:t> </w:t>
            </w:r>
            <w:r>
              <w:rPr>
                <w:sz w:val="14"/>
              </w:rPr>
              <w:t>to</w:t>
            </w:r>
            <w:r>
              <w:rPr>
                <w:spacing w:val="-3"/>
                <w:sz w:val="14"/>
              </w:rPr>
              <w:t> </w:t>
            </w:r>
            <w:r>
              <w:rPr>
                <w:sz w:val="14"/>
              </w:rPr>
              <w:t>$25,000</w:t>
            </w:r>
            <w:r>
              <w:rPr>
                <w:spacing w:val="-2"/>
                <w:sz w:val="14"/>
              </w:rPr>
              <w:t> </w:t>
            </w:r>
            <w:r>
              <w:rPr>
                <w:sz w:val="14"/>
              </w:rPr>
              <w:t>including</w:t>
            </w:r>
            <w:r>
              <w:rPr>
                <w:spacing w:val="-1"/>
                <w:sz w:val="14"/>
              </w:rPr>
              <w:t> </w:t>
            </w:r>
            <w:r>
              <w:rPr>
                <w:sz w:val="14"/>
              </w:rPr>
              <w:t>2</w:t>
            </w:r>
            <w:r>
              <w:rPr>
                <w:spacing w:val="-3"/>
                <w:sz w:val="14"/>
              </w:rPr>
              <w:t> </w:t>
            </w:r>
            <w:r>
              <w:rPr>
                <w:sz w:val="14"/>
              </w:rPr>
              <w:t>inspections</w:t>
            </w:r>
            <w:r>
              <w:rPr>
                <w:spacing w:val="40"/>
                <w:sz w:val="14"/>
              </w:rPr>
              <w:t> </w:t>
            </w:r>
            <w:r>
              <w:rPr>
                <w:spacing w:val="-2"/>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9"/>
              <w:ind w:left="151" w:firstLine="86"/>
              <w:rPr>
                <w:sz w:val="14"/>
              </w:rPr>
            </w:pPr>
            <w:r>
              <w:rPr>
                <w:sz w:val="14"/>
              </w:rPr>
              <w:t>Price on</w:t>
            </w:r>
            <w:r>
              <w:rPr>
                <w:spacing w:val="40"/>
                <w:sz w:val="14"/>
              </w:rPr>
              <w:t> </w:t>
            </w:r>
            <w:r>
              <w:rPr>
                <w:spacing w:val="-2"/>
                <w:sz w:val="14"/>
              </w:rPr>
              <w:t>Application</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262" w:right="192" w:firstLine="86"/>
              <w:rPr>
                <w:sz w:val="14"/>
              </w:rPr>
            </w:pPr>
            <w:r>
              <w:rPr>
                <w:sz w:val="14"/>
              </w:rPr>
              <w:t>Price on</w:t>
            </w:r>
            <w:r>
              <w:rPr>
                <w:spacing w:val="40"/>
                <w:sz w:val="14"/>
              </w:rPr>
              <w:t> </w:t>
            </w:r>
            <w:r>
              <w:rPr>
                <w:spacing w:val="-2"/>
                <w:sz w:val="14"/>
              </w:rPr>
              <w:t>Application</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ight="181"/>
              <w:rPr>
                <w:sz w:val="14"/>
              </w:rPr>
            </w:pPr>
            <w:r>
              <w:rPr>
                <w:sz w:val="14"/>
              </w:rPr>
              <w:t>Building</w:t>
            </w:r>
            <w:r>
              <w:rPr>
                <w:spacing w:val="-5"/>
                <w:sz w:val="14"/>
              </w:rPr>
              <w:t> </w:t>
            </w:r>
            <w:r>
              <w:rPr>
                <w:sz w:val="14"/>
              </w:rPr>
              <w:t>Permit</w:t>
            </w:r>
            <w:r>
              <w:rPr>
                <w:spacing w:val="-5"/>
                <w:sz w:val="14"/>
              </w:rPr>
              <w:t> </w:t>
            </w:r>
            <w:r>
              <w:rPr>
                <w:sz w:val="14"/>
              </w:rPr>
              <w:t>Fee</w:t>
            </w:r>
            <w:r>
              <w:rPr>
                <w:spacing w:val="-2"/>
                <w:sz w:val="14"/>
              </w:rPr>
              <w:t> </w:t>
            </w:r>
            <w:r>
              <w:rPr>
                <w:sz w:val="14"/>
              </w:rPr>
              <w:t>Fences/Ret</w:t>
            </w:r>
            <w:r>
              <w:rPr>
                <w:spacing w:val="-5"/>
                <w:sz w:val="14"/>
              </w:rPr>
              <w:t> </w:t>
            </w:r>
            <w:r>
              <w:rPr>
                <w:sz w:val="14"/>
              </w:rPr>
              <w:t>Walls/Masts/Poles</w:t>
            </w:r>
            <w:r>
              <w:rPr>
                <w:spacing w:val="-4"/>
                <w:sz w:val="14"/>
              </w:rPr>
              <w:t> </w:t>
            </w:r>
            <w:r>
              <w:rPr>
                <w:sz w:val="14"/>
              </w:rPr>
              <w:t>$25,001-$50,000</w:t>
            </w:r>
            <w:r>
              <w:rPr>
                <w:spacing w:val="-5"/>
                <w:sz w:val="14"/>
              </w:rPr>
              <w:t> </w:t>
            </w:r>
            <w:r>
              <w:rPr>
                <w:sz w:val="14"/>
              </w:rPr>
              <w:t>including</w:t>
            </w:r>
            <w:r>
              <w:rPr>
                <w:spacing w:val="-3"/>
                <w:sz w:val="14"/>
              </w:rPr>
              <w:t> </w:t>
            </w:r>
            <w:r>
              <w:rPr>
                <w:sz w:val="14"/>
              </w:rPr>
              <w:t>2</w:t>
            </w:r>
            <w:r>
              <w:rPr>
                <w:spacing w:val="40"/>
                <w:sz w:val="14"/>
              </w:rPr>
              <w:t> </w:t>
            </w:r>
            <w:r>
              <w:rPr>
                <w:sz w:val="14"/>
              </w:rPr>
              <w:t>inspections ($Fee+0.45 of cost of building works)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9"/>
              <w:ind w:left="151" w:firstLine="86"/>
              <w:rPr>
                <w:sz w:val="14"/>
              </w:rPr>
            </w:pPr>
            <w:r>
              <w:rPr>
                <w:sz w:val="14"/>
              </w:rPr>
              <w:t>Price on</w:t>
            </w:r>
            <w:r>
              <w:rPr>
                <w:spacing w:val="40"/>
                <w:sz w:val="14"/>
              </w:rPr>
              <w:t> </w:t>
            </w:r>
            <w:r>
              <w:rPr>
                <w:spacing w:val="-2"/>
                <w:sz w:val="14"/>
              </w:rPr>
              <w:t>Application</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262" w:right="192" w:firstLine="86"/>
              <w:rPr>
                <w:sz w:val="14"/>
              </w:rPr>
            </w:pPr>
            <w:r>
              <w:rPr>
                <w:sz w:val="14"/>
              </w:rPr>
              <w:t>Price on</w:t>
            </w:r>
            <w:r>
              <w:rPr>
                <w:spacing w:val="40"/>
                <w:sz w:val="14"/>
              </w:rPr>
              <w:t> </w:t>
            </w:r>
            <w:r>
              <w:rPr>
                <w:spacing w:val="-2"/>
                <w:sz w:val="14"/>
              </w:rPr>
              <w:t>Application</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Pr>
                <w:sz w:val="14"/>
              </w:rPr>
            </w:pPr>
            <w:r>
              <w:rPr>
                <w:sz w:val="14"/>
              </w:rPr>
              <w:t>Building</w:t>
            </w:r>
            <w:r>
              <w:rPr>
                <w:spacing w:val="-5"/>
                <w:sz w:val="14"/>
              </w:rPr>
              <w:t> </w:t>
            </w:r>
            <w:r>
              <w:rPr>
                <w:sz w:val="14"/>
              </w:rPr>
              <w:t>Permit</w:t>
            </w:r>
            <w:r>
              <w:rPr>
                <w:spacing w:val="-5"/>
                <w:sz w:val="14"/>
              </w:rPr>
              <w:t> </w:t>
            </w:r>
            <w:r>
              <w:rPr>
                <w:sz w:val="14"/>
              </w:rPr>
              <w:t>Fee</w:t>
            </w:r>
            <w:r>
              <w:rPr>
                <w:spacing w:val="-2"/>
                <w:sz w:val="14"/>
              </w:rPr>
              <w:t> </w:t>
            </w:r>
            <w:r>
              <w:rPr>
                <w:sz w:val="14"/>
              </w:rPr>
              <w:t>Fences/Ret</w:t>
            </w:r>
            <w:r>
              <w:rPr>
                <w:spacing w:val="-5"/>
                <w:sz w:val="14"/>
              </w:rPr>
              <w:t> </w:t>
            </w:r>
            <w:r>
              <w:rPr>
                <w:sz w:val="14"/>
              </w:rPr>
              <w:t>Walls/Masts/Poles</w:t>
            </w:r>
            <w:r>
              <w:rPr>
                <w:spacing w:val="-4"/>
                <w:sz w:val="14"/>
              </w:rPr>
              <w:t> </w:t>
            </w:r>
            <w:r>
              <w:rPr>
                <w:sz w:val="14"/>
              </w:rPr>
              <w:t>$50,001-over</w:t>
            </w:r>
            <w:r>
              <w:rPr>
                <w:spacing w:val="-5"/>
                <w:sz w:val="14"/>
              </w:rPr>
              <w:t> </w:t>
            </w:r>
            <w:r>
              <w:rPr>
                <w:sz w:val="14"/>
              </w:rPr>
              <w:t>including</w:t>
            </w:r>
            <w:r>
              <w:rPr>
                <w:spacing w:val="-3"/>
                <w:sz w:val="14"/>
              </w:rPr>
              <w:t> </w:t>
            </w:r>
            <w:r>
              <w:rPr>
                <w:sz w:val="14"/>
              </w:rPr>
              <w:t>3</w:t>
            </w:r>
            <w:r>
              <w:rPr>
                <w:spacing w:val="-5"/>
                <w:sz w:val="14"/>
              </w:rPr>
              <w:t> </w:t>
            </w:r>
            <w:r>
              <w:rPr>
                <w:sz w:val="14"/>
              </w:rPr>
              <w:t>inspections</w:t>
            </w:r>
            <w:r>
              <w:rPr>
                <w:spacing w:val="40"/>
                <w:sz w:val="14"/>
              </w:rPr>
              <w:t> </w:t>
            </w:r>
            <w:r>
              <w:rPr>
                <w:sz w:val="14"/>
              </w:rPr>
              <w:t>($Fee+(0.45% f cost of building works)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9"/>
              <w:ind w:left="151" w:firstLine="86"/>
              <w:rPr>
                <w:sz w:val="14"/>
              </w:rPr>
            </w:pPr>
            <w:r>
              <w:rPr>
                <w:sz w:val="14"/>
              </w:rPr>
              <w:t>Price on</w:t>
            </w:r>
            <w:r>
              <w:rPr>
                <w:spacing w:val="40"/>
                <w:sz w:val="14"/>
              </w:rPr>
              <w:t> </w:t>
            </w:r>
            <w:r>
              <w:rPr>
                <w:spacing w:val="-2"/>
                <w:sz w:val="14"/>
              </w:rPr>
              <w:t>Application</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262" w:right="192" w:firstLine="86"/>
              <w:rPr>
                <w:sz w:val="14"/>
              </w:rPr>
            </w:pPr>
            <w:r>
              <w:rPr>
                <w:sz w:val="14"/>
              </w:rPr>
              <w:t>Price on</w:t>
            </w:r>
            <w:r>
              <w:rPr>
                <w:spacing w:val="40"/>
                <w:sz w:val="14"/>
              </w:rPr>
              <w:t> </w:t>
            </w:r>
            <w:r>
              <w:rPr>
                <w:spacing w:val="-2"/>
                <w:sz w:val="14"/>
              </w:rPr>
              <w:t>Application</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ight="181"/>
              <w:rPr>
                <w:sz w:val="14"/>
              </w:rPr>
            </w:pPr>
            <w:r>
              <w:rPr>
                <w:sz w:val="14"/>
              </w:rPr>
              <w:t>Building</w:t>
            </w:r>
            <w:r>
              <w:rPr>
                <w:spacing w:val="-5"/>
                <w:sz w:val="14"/>
              </w:rPr>
              <w:t> </w:t>
            </w:r>
            <w:r>
              <w:rPr>
                <w:sz w:val="14"/>
              </w:rPr>
              <w:t>Permit</w:t>
            </w:r>
            <w:r>
              <w:rPr>
                <w:spacing w:val="-5"/>
                <w:sz w:val="14"/>
              </w:rPr>
              <w:t> </w:t>
            </w:r>
            <w:r>
              <w:rPr>
                <w:sz w:val="14"/>
              </w:rPr>
              <w:t>Fee</w:t>
            </w:r>
            <w:r>
              <w:rPr>
                <w:spacing w:val="-5"/>
                <w:sz w:val="14"/>
              </w:rPr>
              <w:t> </w:t>
            </w:r>
            <w:r>
              <w:rPr>
                <w:sz w:val="14"/>
              </w:rPr>
              <w:t>Swimming</w:t>
            </w:r>
            <w:r>
              <w:rPr>
                <w:spacing w:val="-3"/>
                <w:sz w:val="14"/>
              </w:rPr>
              <w:t> </w:t>
            </w:r>
            <w:r>
              <w:rPr>
                <w:sz w:val="14"/>
              </w:rPr>
              <w:t>pool</w:t>
            </w:r>
            <w:r>
              <w:rPr>
                <w:spacing w:val="-4"/>
                <w:sz w:val="14"/>
              </w:rPr>
              <w:t> </w:t>
            </w:r>
            <w:r>
              <w:rPr>
                <w:sz w:val="14"/>
              </w:rPr>
              <w:t>Barrier</w:t>
            </w:r>
            <w:r>
              <w:rPr>
                <w:spacing w:val="-5"/>
                <w:sz w:val="14"/>
              </w:rPr>
              <w:t> </w:t>
            </w:r>
            <w:r>
              <w:rPr>
                <w:sz w:val="14"/>
              </w:rPr>
              <w:t>(Temp</w:t>
            </w:r>
            <w:r>
              <w:rPr>
                <w:spacing w:val="-3"/>
                <w:sz w:val="14"/>
              </w:rPr>
              <w:t> </w:t>
            </w:r>
            <w:r>
              <w:rPr>
                <w:sz w:val="14"/>
              </w:rPr>
              <w:t>Pool),</w:t>
            </w:r>
            <w:r>
              <w:rPr>
                <w:spacing w:val="-2"/>
                <w:sz w:val="14"/>
              </w:rPr>
              <w:t> </w:t>
            </w:r>
            <w:r>
              <w:rPr>
                <w:sz w:val="14"/>
              </w:rPr>
              <w:t>above</w:t>
            </w:r>
            <w:r>
              <w:rPr>
                <w:spacing w:val="-3"/>
                <w:sz w:val="14"/>
              </w:rPr>
              <w:t> </w:t>
            </w:r>
            <w:r>
              <w:rPr>
                <w:sz w:val="14"/>
              </w:rPr>
              <w:t>ground</w:t>
            </w:r>
            <w:r>
              <w:rPr>
                <w:spacing w:val="-1"/>
                <w:sz w:val="14"/>
              </w:rPr>
              <w:t> </w:t>
            </w:r>
            <w:r>
              <w:rPr>
                <w:sz w:val="14"/>
              </w:rPr>
              <w:t>pool,</w:t>
            </w:r>
            <w:r>
              <w:rPr>
                <w:spacing w:val="-2"/>
                <w:sz w:val="14"/>
              </w:rPr>
              <w:t> </w:t>
            </w:r>
            <w:r>
              <w:rPr>
                <w:sz w:val="14"/>
              </w:rPr>
              <w:t>Alterations</w:t>
            </w:r>
            <w:r>
              <w:rPr>
                <w:spacing w:val="40"/>
                <w:sz w:val="14"/>
              </w:rPr>
              <w:t> </w:t>
            </w:r>
            <w:r>
              <w:rPr>
                <w:sz w:val="14"/>
              </w:rPr>
              <w:t>to existing barrier including 2 inspections ($Fee)-NEW</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9"/>
              <w:ind w:left="151" w:firstLine="86"/>
              <w:rPr>
                <w:sz w:val="14"/>
              </w:rPr>
            </w:pPr>
            <w:r>
              <w:rPr>
                <w:sz w:val="14"/>
              </w:rPr>
              <w:t>Price on</w:t>
            </w:r>
            <w:r>
              <w:rPr>
                <w:spacing w:val="40"/>
                <w:sz w:val="14"/>
              </w:rPr>
              <w:t> </w:t>
            </w:r>
            <w:r>
              <w:rPr>
                <w:spacing w:val="-2"/>
                <w:sz w:val="14"/>
              </w:rPr>
              <w:t>Application</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262" w:right="192" w:firstLine="86"/>
              <w:rPr>
                <w:sz w:val="14"/>
              </w:rPr>
            </w:pPr>
            <w:r>
              <w:rPr>
                <w:sz w:val="14"/>
              </w:rPr>
              <w:t>Price on</w:t>
            </w:r>
            <w:r>
              <w:rPr>
                <w:spacing w:val="40"/>
                <w:sz w:val="14"/>
              </w:rPr>
              <w:t> </w:t>
            </w:r>
            <w:r>
              <w:rPr>
                <w:spacing w:val="-2"/>
                <w:sz w:val="14"/>
              </w:rPr>
              <w:t>Application</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6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20"/>
              <w:ind w:left="107"/>
              <w:rPr>
                <w:sz w:val="14"/>
              </w:rPr>
            </w:pPr>
            <w:r>
              <w:rPr>
                <w:sz w:val="14"/>
              </w:rPr>
              <w:t>Building</w:t>
            </w:r>
            <w:r>
              <w:rPr>
                <w:spacing w:val="-5"/>
                <w:sz w:val="14"/>
              </w:rPr>
              <w:t> </w:t>
            </w:r>
            <w:r>
              <w:rPr>
                <w:sz w:val="14"/>
              </w:rPr>
              <w:t>Permit</w:t>
            </w:r>
            <w:r>
              <w:rPr>
                <w:spacing w:val="-5"/>
                <w:sz w:val="14"/>
              </w:rPr>
              <w:t> </w:t>
            </w:r>
            <w:r>
              <w:rPr>
                <w:sz w:val="14"/>
              </w:rPr>
              <w:t>Fee</w:t>
            </w:r>
            <w:r>
              <w:rPr>
                <w:spacing w:val="-5"/>
                <w:sz w:val="14"/>
              </w:rPr>
              <w:t> </w:t>
            </w:r>
            <w:r>
              <w:rPr>
                <w:sz w:val="14"/>
              </w:rPr>
              <w:t>Swimming</w:t>
            </w:r>
            <w:r>
              <w:rPr>
                <w:spacing w:val="-3"/>
                <w:sz w:val="14"/>
              </w:rPr>
              <w:t> </w:t>
            </w:r>
            <w:r>
              <w:rPr>
                <w:sz w:val="14"/>
              </w:rPr>
              <w:t>Pools</w:t>
            </w:r>
            <w:r>
              <w:rPr>
                <w:spacing w:val="-2"/>
                <w:sz w:val="14"/>
              </w:rPr>
              <w:t> </w:t>
            </w:r>
            <w:r>
              <w:rPr>
                <w:sz w:val="14"/>
              </w:rPr>
              <w:t>and</w:t>
            </w:r>
            <w:r>
              <w:rPr>
                <w:spacing w:val="-5"/>
                <w:sz w:val="14"/>
              </w:rPr>
              <w:t> </w:t>
            </w:r>
            <w:r>
              <w:rPr>
                <w:sz w:val="14"/>
              </w:rPr>
              <w:t>Spas</w:t>
            </w:r>
            <w:r>
              <w:rPr>
                <w:spacing w:val="-2"/>
                <w:sz w:val="14"/>
              </w:rPr>
              <w:t> </w:t>
            </w:r>
            <w:r>
              <w:rPr>
                <w:sz w:val="14"/>
              </w:rPr>
              <w:t>$12,001-$20,000</w:t>
            </w:r>
            <w:r>
              <w:rPr>
                <w:spacing w:val="-2"/>
                <w:sz w:val="14"/>
              </w:rPr>
              <w:t> </w:t>
            </w:r>
            <w:r>
              <w:rPr>
                <w:sz w:val="14"/>
              </w:rPr>
              <w:t>including</w:t>
            </w:r>
            <w:r>
              <w:rPr>
                <w:spacing w:val="-3"/>
                <w:sz w:val="14"/>
              </w:rPr>
              <w:t> </w:t>
            </w:r>
            <w:r>
              <w:rPr>
                <w:sz w:val="14"/>
              </w:rPr>
              <w:t>4</w:t>
            </w:r>
            <w:r>
              <w:rPr>
                <w:spacing w:val="-5"/>
                <w:sz w:val="14"/>
              </w:rPr>
              <w:t> </w:t>
            </w:r>
            <w:r>
              <w:rPr>
                <w:sz w:val="14"/>
              </w:rPr>
              <w:t>inspections</w:t>
            </w:r>
            <w:r>
              <w:rPr>
                <w:spacing w:val="40"/>
                <w:sz w:val="14"/>
              </w:rPr>
              <w:t> </w:t>
            </w:r>
            <w:r>
              <w:rPr>
                <w:sz w:val="14"/>
              </w:rPr>
              <w:t>($Fee+(0.30%) of building works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6"/>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6"/>
              <w:rPr>
                <w:sz w:val="17"/>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20"/>
              <w:ind w:left="151" w:firstLine="86"/>
              <w:rPr>
                <w:sz w:val="14"/>
              </w:rPr>
            </w:pPr>
            <w:r>
              <w:rPr>
                <w:sz w:val="14"/>
              </w:rPr>
              <w:t>Price on</w:t>
            </w:r>
            <w:r>
              <w:rPr>
                <w:spacing w:val="40"/>
                <w:sz w:val="14"/>
              </w:rPr>
              <w:t> </w:t>
            </w:r>
            <w:r>
              <w:rPr>
                <w:spacing w:val="-2"/>
                <w:sz w:val="14"/>
              </w:rPr>
              <w:t>Application</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20"/>
              <w:ind w:left="262" w:right="192" w:firstLine="86"/>
              <w:rPr>
                <w:sz w:val="14"/>
              </w:rPr>
            </w:pPr>
            <w:r>
              <w:rPr>
                <w:sz w:val="14"/>
              </w:rPr>
              <w:t>Price on</w:t>
            </w:r>
            <w:r>
              <w:rPr>
                <w:spacing w:val="40"/>
                <w:sz w:val="14"/>
              </w:rPr>
              <w:t> </w:t>
            </w:r>
            <w:r>
              <w:rPr>
                <w:spacing w:val="-2"/>
                <w:sz w:val="14"/>
              </w:rPr>
              <w:t>Application</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Pr>
                <w:sz w:val="14"/>
              </w:rPr>
            </w:pPr>
            <w:r>
              <w:rPr>
                <w:sz w:val="14"/>
              </w:rPr>
              <w:t>Building</w:t>
            </w:r>
            <w:r>
              <w:rPr>
                <w:spacing w:val="-5"/>
                <w:sz w:val="14"/>
              </w:rPr>
              <w:t> </w:t>
            </w:r>
            <w:r>
              <w:rPr>
                <w:sz w:val="14"/>
              </w:rPr>
              <w:t>Permit</w:t>
            </w:r>
            <w:r>
              <w:rPr>
                <w:spacing w:val="-5"/>
                <w:sz w:val="14"/>
              </w:rPr>
              <w:t> </w:t>
            </w:r>
            <w:r>
              <w:rPr>
                <w:sz w:val="14"/>
              </w:rPr>
              <w:t>Fee</w:t>
            </w:r>
            <w:r>
              <w:rPr>
                <w:spacing w:val="-5"/>
                <w:sz w:val="14"/>
              </w:rPr>
              <w:t> </w:t>
            </w:r>
            <w:r>
              <w:rPr>
                <w:sz w:val="14"/>
              </w:rPr>
              <w:t>Swimming</w:t>
            </w:r>
            <w:r>
              <w:rPr>
                <w:spacing w:val="-3"/>
                <w:sz w:val="14"/>
              </w:rPr>
              <w:t> </w:t>
            </w:r>
            <w:r>
              <w:rPr>
                <w:sz w:val="14"/>
              </w:rPr>
              <w:t>Pools</w:t>
            </w:r>
            <w:r>
              <w:rPr>
                <w:spacing w:val="-2"/>
                <w:sz w:val="14"/>
              </w:rPr>
              <w:t> </w:t>
            </w:r>
            <w:r>
              <w:rPr>
                <w:sz w:val="14"/>
              </w:rPr>
              <w:t>and</w:t>
            </w:r>
            <w:r>
              <w:rPr>
                <w:spacing w:val="-5"/>
                <w:sz w:val="14"/>
              </w:rPr>
              <w:t> </w:t>
            </w:r>
            <w:r>
              <w:rPr>
                <w:sz w:val="14"/>
              </w:rPr>
              <w:t>Spas</w:t>
            </w:r>
            <w:r>
              <w:rPr>
                <w:spacing w:val="-2"/>
                <w:sz w:val="14"/>
              </w:rPr>
              <w:t> </w:t>
            </w:r>
            <w:r>
              <w:rPr>
                <w:sz w:val="14"/>
              </w:rPr>
              <w:t>$20,001-$40,000</w:t>
            </w:r>
            <w:r>
              <w:rPr>
                <w:spacing w:val="-2"/>
                <w:sz w:val="14"/>
              </w:rPr>
              <w:t> </w:t>
            </w:r>
            <w:r>
              <w:rPr>
                <w:sz w:val="14"/>
              </w:rPr>
              <w:t>including</w:t>
            </w:r>
            <w:r>
              <w:rPr>
                <w:spacing w:val="-3"/>
                <w:sz w:val="14"/>
              </w:rPr>
              <w:t> </w:t>
            </w:r>
            <w:r>
              <w:rPr>
                <w:sz w:val="14"/>
              </w:rPr>
              <w:t>4</w:t>
            </w:r>
            <w:r>
              <w:rPr>
                <w:spacing w:val="-5"/>
                <w:sz w:val="14"/>
              </w:rPr>
              <w:t> </w:t>
            </w:r>
            <w:r>
              <w:rPr>
                <w:sz w:val="14"/>
              </w:rPr>
              <w:t>inspections</w:t>
            </w:r>
            <w:r>
              <w:rPr>
                <w:spacing w:val="40"/>
                <w:sz w:val="14"/>
              </w:rPr>
              <w:t> </w:t>
            </w:r>
            <w:r>
              <w:rPr>
                <w:sz w:val="14"/>
              </w:rPr>
              <w:t>($Fee+(0.35%) of building works)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9"/>
              <w:ind w:left="151" w:firstLine="86"/>
              <w:rPr>
                <w:sz w:val="14"/>
              </w:rPr>
            </w:pPr>
            <w:r>
              <w:rPr>
                <w:sz w:val="14"/>
              </w:rPr>
              <w:t>Price on</w:t>
            </w:r>
            <w:r>
              <w:rPr>
                <w:spacing w:val="40"/>
                <w:sz w:val="14"/>
              </w:rPr>
              <w:t> </w:t>
            </w:r>
            <w:r>
              <w:rPr>
                <w:spacing w:val="-2"/>
                <w:sz w:val="14"/>
              </w:rPr>
              <w:t>Application</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262" w:right="192" w:firstLine="86"/>
              <w:rPr>
                <w:sz w:val="14"/>
              </w:rPr>
            </w:pPr>
            <w:r>
              <w:rPr>
                <w:sz w:val="14"/>
              </w:rPr>
              <w:t>Price on</w:t>
            </w:r>
            <w:r>
              <w:rPr>
                <w:spacing w:val="40"/>
                <w:sz w:val="14"/>
              </w:rPr>
              <w:t> </w:t>
            </w:r>
            <w:r>
              <w:rPr>
                <w:spacing w:val="-2"/>
                <w:sz w:val="14"/>
              </w:rPr>
              <w:t>Application</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Pr>
                <w:sz w:val="14"/>
              </w:rPr>
            </w:pPr>
            <w:r>
              <w:rPr>
                <w:sz w:val="14"/>
              </w:rPr>
              <w:t>Building</w:t>
            </w:r>
            <w:r>
              <w:rPr>
                <w:spacing w:val="-5"/>
                <w:sz w:val="14"/>
              </w:rPr>
              <w:t> </w:t>
            </w:r>
            <w:r>
              <w:rPr>
                <w:sz w:val="14"/>
              </w:rPr>
              <w:t>Permit</w:t>
            </w:r>
            <w:r>
              <w:rPr>
                <w:spacing w:val="-5"/>
                <w:sz w:val="14"/>
              </w:rPr>
              <w:t> </w:t>
            </w:r>
            <w:r>
              <w:rPr>
                <w:sz w:val="14"/>
              </w:rPr>
              <w:t>Fee</w:t>
            </w:r>
            <w:r>
              <w:rPr>
                <w:spacing w:val="-5"/>
                <w:sz w:val="14"/>
              </w:rPr>
              <w:t> </w:t>
            </w:r>
            <w:r>
              <w:rPr>
                <w:sz w:val="14"/>
              </w:rPr>
              <w:t>Swimming</w:t>
            </w:r>
            <w:r>
              <w:rPr>
                <w:spacing w:val="-3"/>
                <w:sz w:val="14"/>
              </w:rPr>
              <w:t> </w:t>
            </w:r>
            <w:r>
              <w:rPr>
                <w:sz w:val="14"/>
              </w:rPr>
              <w:t>Pools</w:t>
            </w:r>
            <w:r>
              <w:rPr>
                <w:spacing w:val="-2"/>
                <w:sz w:val="14"/>
              </w:rPr>
              <w:t> </w:t>
            </w:r>
            <w:r>
              <w:rPr>
                <w:sz w:val="14"/>
              </w:rPr>
              <w:t>and</w:t>
            </w:r>
            <w:r>
              <w:rPr>
                <w:spacing w:val="-5"/>
                <w:sz w:val="14"/>
              </w:rPr>
              <w:t> </w:t>
            </w:r>
            <w:r>
              <w:rPr>
                <w:sz w:val="14"/>
              </w:rPr>
              <w:t>Spas</w:t>
            </w:r>
            <w:r>
              <w:rPr>
                <w:spacing w:val="-2"/>
                <w:sz w:val="14"/>
              </w:rPr>
              <w:t> </w:t>
            </w:r>
            <w:r>
              <w:rPr>
                <w:sz w:val="14"/>
              </w:rPr>
              <w:t>$40,001-$60,000</w:t>
            </w:r>
            <w:r>
              <w:rPr>
                <w:spacing w:val="-2"/>
                <w:sz w:val="14"/>
              </w:rPr>
              <w:t> </w:t>
            </w:r>
            <w:r>
              <w:rPr>
                <w:sz w:val="14"/>
              </w:rPr>
              <w:t>including</w:t>
            </w:r>
            <w:r>
              <w:rPr>
                <w:spacing w:val="-3"/>
                <w:sz w:val="14"/>
              </w:rPr>
              <w:t> </w:t>
            </w:r>
            <w:r>
              <w:rPr>
                <w:sz w:val="14"/>
              </w:rPr>
              <w:t>4</w:t>
            </w:r>
            <w:r>
              <w:rPr>
                <w:spacing w:val="-5"/>
                <w:sz w:val="14"/>
              </w:rPr>
              <w:t> </w:t>
            </w:r>
            <w:r>
              <w:rPr>
                <w:sz w:val="14"/>
              </w:rPr>
              <w:t>inspections</w:t>
            </w:r>
            <w:r>
              <w:rPr>
                <w:spacing w:val="40"/>
                <w:sz w:val="14"/>
              </w:rPr>
              <w:t> </w:t>
            </w:r>
            <w:r>
              <w:rPr>
                <w:sz w:val="14"/>
              </w:rPr>
              <w:t>($Fee+(0.45%) cost of building works)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9"/>
              <w:ind w:left="151" w:firstLine="86"/>
              <w:rPr>
                <w:sz w:val="14"/>
              </w:rPr>
            </w:pPr>
            <w:r>
              <w:rPr>
                <w:sz w:val="14"/>
              </w:rPr>
              <w:t>Price on</w:t>
            </w:r>
            <w:r>
              <w:rPr>
                <w:spacing w:val="40"/>
                <w:sz w:val="14"/>
              </w:rPr>
              <w:t> </w:t>
            </w:r>
            <w:r>
              <w:rPr>
                <w:spacing w:val="-2"/>
                <w:sz w:val="14"/>
              </w:rPr>
              <w:t>Application</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262" w:right="192" w:firstLine="86"/>
              <w:rPr>
                <w:sz w:val="14"/>
              </w:rPr>
            </w:pPr>
            <w:r>
              <w:rPr>
                <w:sz w:val="14"/>
              </w:rPr>
              <w:t>Price on</w:t>
            </w:r>
            <w:r>
              <w:rPr>
                <w:spacing w:val="40"/>
                <w:sz w:val="14"/>
              </w:rPr>
              <w:t> </w:t>
            </w:r>
            <w:r>
              <w:rPr>
                <w:spacing w:val="-2"/>
                <w:sz w:val="14"/>
              </w:rPr>
              <w:t>Application</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7"/>
              <w:ind w:left="107"/>
              <w:rPr>
                <w:sz w:val="14"/>
              </w:rPr>
            </w:pPr>
            <w:r>
              <w:rPr>
                <w:sz w:val="14"/>
              </w:rPr>
              <w:t>Building</w:t>
            </w:r>
            <w:r>
              <w:rPr>
                <w:spacing w:val="-5"/>
                <w:sz w:val="14"/>
              </w:rPr>
              <w:t> </w:t>
            </w:r>
            <w:r>
              <w:rPr>
                <w:sz w:val="14"/>
              </w:rPr>
              <w:t>Permit</w:t>
            </w:r>
            <w:r>
              <w:rPr>
                <w:spacing w:val="-5"/>
                <w:sz w:val="14"/>
              </w:rPr>
              <w:t> </w:t>
            </w:r>
            <w:r>
              <w:rPr>
                <w:sz w:val="14"/>
              </w:rPr>
              <w:t>Fee</w:t>
            </w:r>
            <w:r>
              <w:rPr>
                <w:spacing w:val="-5"/>
                <w:sz w:val="14"/>
              </w:rPr>
              <w:t> </w:t>
            </w:r>
            <w:r>
              <w:rPr>
                <w:sz w:val="14"/>
              </w:rPr>
              <w:t>Swimming</w:t>
            </w:r>
            <w:r>
              <w:rPr>
                <w:spacing w:val="-3"/>
                <w:sz w:val="14"/>
              </w:rPr>
              <w:t> </w:t>
            </w:r>
            <w:r>
              <w:rPr>
                <w:sz w:val="14"/>
              </w:rPr>
              <w:t>Pools</w:t>
            </w:r>
            <w:r>
              <w:rPr>
                <w:spacing w:val="-2"/>
                <w:sz w:val="14"/>
              </w:rPr>
              <w:t> </w:t>
            </w:r>
            <w:r>
              <w:rPr>
                <w:sz w:val="14"/>
              </w:rPr>
              <w:t>and</w:t>
            </w:r>
            <w:r>
              <w:rPr>
                <w:spacing w:val="-5"/>
                <w:sz w:val="14"/>
              </w:rPr>
              <w:t> </w:t>
            </w:r>
            <w:r>
              <w:rPr>
                <w:sz w:val="14"/>
              </w:rPr>
              <w:t>Spas</w:t>
            </w:r>
            <w:r>
              <w:rPr>
                <w:spacing w:val="-2"/>
                <w:sz w:val="14"/>
              </w:rPr>
              <w:t> </w:t>
            </w:r>
            <w:r>
              <w:rPr>
                <w:sz w:val="14"/>
              </w:rPr>
              <w:t>$60,001+</w:t>
            </w:r>
            <w:r>
              <w:rPr>
                <w:spacing w:val="-1"/>
                <w:sz w:val="14"/>
              </w:rPr>
              <w:t> </w:t>
            </w:r>
            <w:r>
              <w:rPr>
                <w:sz w:val="14"/>
              </w:rPr>
              <w:t>over</w:t>
            </w:r>
            <w:r>
              <w:rPr>
                <w:spacing w:val="-5"/>
                <w:sz w:val="14"/>
              </w:rPr>
              <w:t> </w:t>
            </w:r>
            <w:r>
              <w:rPr>
                <w:sz w:val="14"/>
              </w:rPr>
              <w:t>including</w:t>
            </w:r>
            <w:r>
              <w:rPr>
                <w:spacing w:val="-2"/>
                <w:sz w:val="14"/>
              </w:rPr>
              <w:t> </w:t>
            </w:r>
            <w:r>
              <w:rPr>
                <w:sz w:val="14"/>
              </w:rPr>
              <w:t>4</w:t>
            </w:r>
            <w:r>
              <w:rPr>
                <w:spacing w:val="-5"/>
                <w:sz w:val="14"/>
              </w:rPr>
              <w:t> </w:t>
            </w:r>
            <w:r>
              <w:rPr>
                <w:sz w:val="14"/>
              </w:rPr>
              <w:t>inspections</w:t>
            </w:r>
            <w:r>
              <w:rPr>
                <w:spacing w:val="40"/>
                <w:sz w:val="14"/>
              </w:rPr>
              <w:t> </w:t>
            </w:r>
            <w:r>
              <w:rPr>
                <w:spacing w:val="-2"/>
                <w:sz w:val="14"/>
              </w:rPr>
              <w:t>($Fee+0.45%)</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9"/>
              <w:ind w:left="151" w:firstLine="86"/>
              <w:rPr>
                <w:sz w:val="14"/>
              </w:rPr>
            </w:pPr>
            <w:r>
              <w:rPr>
                <w:sz w:val="14"/>
              </w:rPr>
              <w:t>Price on</w:t>
            </w:r>
            <w:r>
              <w:rPr>
                <w:spacing w:val="40"/>
                <w:sz w:val="14"/>
              </w:rPr>
              <w:t> </w:t>
            </w:r>
            <w:r>
              <w:rPr>
                <w:spacing w:val="-2"/>
                <w:sz w:val="14"/>
              </w:rPr>
              <w:t>Application</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7"/>
              <w:ind w:left="262" w:right="192" w:firstLine="86"/>
              <w:rPr>
                <w:sz w:val="14"/>
              </w:rPr>
            </w:pPr>
            <w:r>
              <w:rPr>
                <w:sz w:val="14"/>
              </w:rPr>
              <w:t>Price on</w:t>
            </w:r>
            <w:r>
              <w:rPr>
                <w:spacing w:val="40"/>
                <w:sz w:val="14"/>
              </w:rPr>
              <w:t> </w:t>
            </w:r>
            <w:r>
              <w:rPr>
                <w:spacing w:val="-2"/>
                <w:sz w:val="14"/>
              </w:rPr>
              <w:t>Application</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Consent</w:t>
            </w:r>
            <w:r>
              <w:rPr>
                <w:spacing w:val="-7"/>
                <w:sz w:val="14"/>
              </w:rPr>
              <w:t> </w:t>
            </w:r>
            <w:r>
              <w:rPr>
                <w:sz w:val="14"/>
              </w:rPr>
              <w:t>&amp;</w:t>
            </w:r>
            <w:r>
              <w:rPr>
                <w:spacing w:val="-2"/>
                <w:sz w:val="14"/>
              </w:rPr>
              <w:t> </w:t>
            </w:r>
            <w:r>
              <w:rPr>
                <w:sz w:val="14"/>
              </w:rPr>
              <w:t>Reports:</w:t>
            </w:r>
            <w:r>
              <w:rPr>
                <w:spacing w:val="-3"/>
                <w:sz w:val="14"/>
              </w:rPr>
              <w:t> </w:t>
            </w:r>
            <w:r>
              <w:rPr>
                <w:sz w:val="14"/>
              </w:rPr>
              <w:t>(Dispensations)</w:t>
            </w:r>
            <w:r>
              <w:rPr>
                <w:spacing w:val="-7"/>
                <w:sz w:val="14"/>
              </w:rPr>
              <w:t> </w:t>
            </w:r>
            <w:r>
              <w:rPr>
                <w:sz w:val="14"/>
              </w:rPr>
              <w:t>Extension</w:t>
            </w:r>
            <w:r>
              <w:rPr>
                <w:spacing w:val="-3"/>
                <w:sz w:val="14"/>
              </w:rPr>
              <w:t> </w:t>
            </w:r>
            <w:r>
              <w:rPr>
                <w:sz w:val="14"/>
              </w:rPr>
              <w:t>of</w:t>
            </w:r>
            <w:r>
              <w:rPr>
                <w:spacing w:val="-6"/>
                <w:sz w:val="14"/>
              </w:rPr>
              <w:t> </w:t>
            </w:r>
            <w:r>
              <w:rPr>
                <w:spacing w:val="-4"/>
                <w:sz w:val="14"/>
              </w:rPr>
              <w:t>time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224.00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235.00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Pr>
                <w:sz w:val="14"/>
              </w:rPr>
            </w:pPr>
            <w:r>
              <w:rPr>
                <w:sz w:val="14"/>
              </w:rPr>
              <w:t>Copy</w:t>
            </w:r>
            <w:r>
              <w:rPr>
                <w:spacing w:val="-2"/>
                <w:sz w:val="14"/>
              </w:rPr>
              <w:t> </w:t>
            </w:r>
            <w:r>
              <w:rPr>
                <w:sz w:val="14"/>
              </w:rPr>
              <w:t>of</w:t>
            </w:r>
            <w:r>
              <w:rPr>
                <w:spacing w:val="-1"/>
                <w:sz w:val="14"/>
              </w:rPr>
              <w:t> </w:t>
            </w:r>
            <w:r>
              <w:rPr>
                <w:sz w:val="14"/>
              </w:rPr>
              <w:t>plans</w:t>
            </w:r>
            <w:r>
              <w:rPr>
                <w:spacing w:val="-3"/>
                <w:sz w:val="14"/>
              </w:rPr>
              <w:t> </w:t>
            </w:r>
            <w:r>
              <w:rPr>
                <w:sz w:val="14"/>
              </w:rPr>
              <w:t>-</w:t>
            </w:r>
            <w:r>
              <w:rPr>
                <w:spacing w:val="-2"/>
                <w:sz w:val="14"/>
              </w:rPr>
              <w:t> </w:t>
            </w:r>
            <w:r>
              <w:rPr>
                <w:sz w:val="14"/>
              </w:rPr>
              <w:t>Class</w:t>
            </w:r>
            <w:r>
              <w:rPr>
                <w:spacing w:val="-2"/>
                <w:sz w:val="14"/>
              </w:rPr>
              <w:t> </w:t>
            </w:r>
            <w:r>
              <w:rPr>
                <w:sz w:val="14"/>
              </w:rPr>
              <w:t>2</w:t>
            </w:r>
            <w:r>
              <w:rPr>
                <w:spacing w:val="-1"/>
                <w:sz w:val="14"/>
              </w:rPr>
              <w:t> </w:t>
            </w:r>
            <w:r>
              <w:rPr>
                <w:sz w:val="14"/>
              </w:rPr>
              <w:t>-</w:t>
            </w:r>
            <w:r>
              <w:rPr>
                <w:spacing w:val="-5"/>
                <w:sz w:val="14"/>
              </w:rPr>
              <w:t> </w:t>
            </w:r>
            <w:r>
              <w:rPr>
                <w:sz w:val="14"/>
              </w:rPr>
              <w:t>9,</w:t>
            </w:r>
            <w:r>
              <w:rPr>
                <w:spacing w:val="-4"/>
                <w:sz w:val="14"/>
              </w:rPr>
              <w:t> </w:t>
            </w:r>
            <w:r>
              <w:rPr>
                <w:sz w:val="14"/>
              </w:rPr>
              <w:t>Commercial</w:t>
            </w:r>
            <w:r>
              <w:rPr>
                <w:spacing w:val="-3"/>
                <w:sz w:val="14"/>
              </w:rPr>
              <w:t> </w:t>
            </w:r>
            <w:r>
              <w:rPr>
                <w:sz w:val="14"/>
              </w:rPr>
              <w:t>Plans</w:t>
            </w:r>
            <w:r>
              <w:rPr>
                <w:spacing w:val="-2"/>
                <w:sz w:val="14"/>
              </w:rPr>
              <w:t> </w:t>
            </w:r>
            <w:r>
              <w:rPr>
                <w:sz w:val="14"/>
              </w:rPr>
              <w:t>additional</w:t>
            </w:r>
            <w:r>
              <w:rPr>
                <w:spacing w:val="-1"/>
                <w:sz w:val="14"/>
              </w:rPr>
              <w:t> </w:t>
            </w:r>
            <w:r>
              <w:rPr>
                <w:sz w:val="14"/>
              </w:rPr>
              <w:t>permits</w:t>
            </w:r>
            <w:r>
              <w:rPr>
                <w:spacing w:val="-3"/>
                <w:sz w:val="14"/>
              </w:rPr>
              <w:t> </w:t>
            </w:r>
            <w:r>
              <w:rPr>
                <w:sz w:val="14"/>
              </w:rPr>
              <w:t>-</w:t>
            </w:r>
            <w:r>
              <w:rPr>
                <w:spacing w:val="-4"/>
                <w:sz w:val="14"/>
              </w:rPr>
              <w:t> </w:t>
            </w:r>
            <w:r>
              <w:rPr>
                <w:sz w:val="14"/>
              </w:rPr>
              <w:t>Copies</w:t>
            </w:r>
            <w:r>
              <w:rPr>
                <w:spacing w:val="-2"/>
                <w:sz w:val="14"/>
              </w:rPr>
              <w:t> </w:t>
            </w:r>
            <w:r>
              <w:rPr>
                <w:sz w:val="14"/>
              </w:rPr>
              <w:t>of</w:t>
            </w:r>
            <w:r>
              <w:rPr>
                <w:spacing w:val="-3"/>
                <w:sz w:val="14"/>
              </w:rPr>
              <w:t> </w:t>
            </w:r>
            <w:r>
              <w:rPr>
                <w:sz w:val="14"/>
              </w:rPr>
              <w:t>plans,</w:t>
            </w:r>
            <w:r>
              <w:rPr>
                <w:spacing w:val="40"/>
                <w:sz w:val="14"/>
              </w:rPr>
              <w:t> </w:t>
            </w:r>
            <w:r>
              <w:rPr>
                <w:sz w:val="14"/>
              </w:rPr>
              <w:t>Certificates or any requested information)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1"/>
              <w:jc w:val="right"/>
              <w:rPr>
                <w:sz w:val="14"/>
              </w:rPr>
            </w:pPr>
            <w:r>
              <w:rPr>
                <w:spacing w:val="-2"/>
                <w:sz w:val="14"/>
              </w:rPr>
              <w:t>160.00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3"/>
              <w:jc w:val="right"/>
              <w:rPr>
                <w:sz w:val="14"/>
              </w:rPr>
            </w:pPr>
            <w:r>
              <w:rPr>
                <w:spacing w:val="-2"/>
                <w:sz w:val="14"/>
              </w:rPr>
              <w:t>190.00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0" w:lineRule="exact"/>
              <w:ind w:left="95" w:right="81"/>
              <w:jc w:val="center"/>
              <w:rPr>
                <w:sz w:val="14"/>
              </w:rPr>
            </w:pPr>
            <w:r>
              <w:rPr>
                <w:spacing w:val="-4"/>
                <w:sz w:val="14"/>
              </w:rPr>
              <w:t>15.8</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b/>
                <w:sz w:val="14"/>
              </w:rPr>
            </w:pPr>
            <w:r>
              <w:rPr>
                <w:b/>
                <w:sz w:val="14"/>
              </w:rPr>
              <w:t>BS</w:t>
            </w:r>
            <w:r>
              <w:rPr>
                <w:b/>
                <w:spacing w:val="-4"/>
                <w:sz w:val="14"/>
              </w:rPr>
              <w:t> </w:t>
            </w:r>
            <w:r>
              <w:rPr>
                <w:b/>
                <w:sz w:val="14"/>
              </w:rPr>
              <w:t>Swimming</w:t>
            </w:r>
            <w:r>
              <w:rPr>
                <w:b/>
                <w:spacing w:val="-4"/>
                <w:sz w:val="14"/>
              </w:rPr>
              <w:t> </w:t>
            </w:r>
            <w:r>
              <w:rPr>
                <w:b/>
                <w:sz w:val="14"/>
              </w:rPr>
              <w:t>Pool</w:t>
            </w:r>
            <w:r>
              <w:rPr>
                <w:b/>
                <w:spacing w:val="-4"/>
                <w:sz w:val="14"/>
              </w:rPr>
              <w:t> Audit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Swimming</w:t>
            </w:r>
            <w:r>
              <w:rPr>
                <w:spacing w:val="-7"/>
                <w:sz w:val="14"/>
              </w:rPr>
              <w:t> </w:t>
            </w:r>
            <w:r>
              <w:rPr>
                <w:sz w:val="14"/>
              </w:rPr>
              <w:t>Pool</w:t>
            </w:r>
            <w:r>
              <w:rPr>
                <w:spacing w:val="-5"/>
                <w:sz w:val="14"/>
              </w:rPr>
              <w:t> </w:t>
            </w:r>
            <w:r>
              <w:rPr>
                <w:sz w:val="14"/>
              </w:rPr>
              <w:t>Audit</w:t>
            </w:r>
            <w:r>
              <w:rPr>
                <w:spacing w:val="-3"/>
                <w:sz w:val="14"/>
              </w:rPr>
              <w:t> </w:t>
            </w:r>
            <w:r>
              <w:rPr>
                <w:sz w:val="14"/>
              </w:rPr>
              <w:t>Lodgement</w:t>
            </w:r>
            <w:r>
              <w:rPr>
                <w:spacing w:val="-3"/>
                <w:sz w:val="14"/>
              </w:rPr>
              <w:t> </w:t>
            </w:r>
            <w:r>
              <w:rPr>
                <w:sz w:val="14"/>
              </w:rPr>
              <w:t>of</w:t>
            </w:r>
            <w:r>
              <w:rPr>
                <w:spacing w:val="-2"/>
                <w:sz w:val="14"/>
              </w:rPr>
              <w:t> </w:t>
            </w:r>
            <w:r>
              <w:rPr>
                <w:sz w:val="14"/>
              </w:rPr>
              <w:t>Form</w:t>
            </w:r>
            <w:r>
              <w:rPr>
                <w:spacing w:val="-5"/>
                <w:sz w:val="14"/>
              </w:rPr>
              <w:t> </w:t>
            </w:r>
            <w:r>
              <w:rPr>
                <w:sz w:val="14"/>
              </w:rPr>
              <w:t>23</w:t>
            </w:r>
            <w:r>
              <w:rPr>
                <w:spacing w:val="-5"/>
                <w:sz w:val="14"/>
              </w:rPr>
              <w:t> </w:t>
            </w:r>
            <w:r>
              <w:rPr>
                <w:sz w:val="14"/>
              </w:rPr>
              <w:t>Compliance</w:t>
            </w:r>
            <w:r>
              <w:rPr>
                <w:spacing w:val="-3"/>
                <w:sz w:val="14"/>
              </w:rPr>
              <w:t> </w:t>
            </w:r>
            <w:r>
              <w:rPr>
                <w:spacing w:val="-2"/>
                <w:sz w:val="14"/>
              </w:rPr>
              <w:t>Certificate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22.55</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23.65</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Swimming</w:t>
            </w:r>
            <w:r>
              <w:rPr>
                <w:spacing w:val="-8"/>
                <w:sz w:val="14"/>
              </w:rPr>
              <w:t> </w:t>
            </w:r>
            <w:r>
              <w:rPr>
                <w:sz w:val="14"/>
              </w:rPr>
              <w:t>Pool/Spa</w:t>
            </w:r>
            <w:r>
              <w:rPr>
                <w:spacing w:val="-2"/>
                <w:sz w:val="14"/>
              </w:rPr>
              <w:t> </w:t>
            </w:r>
            <w:r>
              <w:rPr>
                <w:sz w:val="14"/>
              </w:rPr>
              <w:t>Form</w:t>
            </w:r>
            <w:r>
              <w:rPr>
                <w:spacing w:val="-5"/>
                <w:sz w:val="14"/>
              </w:rPr>
              <w:t> </w:t>
            </w:r>
            <w:r>
              <w:rPr>
                <w:sz w:val="14"/>
              </w:rPr>
              <w:t>24</w:t>
            </w:r>
            <w:r>
              <w:rPr>
                <w:spacing w:val="-5"/>
                <w:sz w:val="14"/>
              </w:rPr>
              <w:t> </w:t>
            </w:r>
            <w:r>
              <w:rPr>
                <w:sz w:val="14"/>
              </w:rPr>
              <w:t>Non-Compliance</w:t>
            </w:r>
            <w:r>
              <w:rPr>
                <w:spacing w:val="-7"/>
                <w:sz w:val="14"/>
              </w:rPr>
              <w:t> </w:t>
            </w:r>
            <w:r>
              <w:rPr>
                <w:spacing w:val="-2"/>
                <w:sz w:val="14"/>
              </w:rPr>
              <w:t>Certificate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424.60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445.00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Swimming</w:t>
            </w:r>
            <w:r>
              <w:rPr>
                <w:spacing w:val="-6"/>
                <w:sz w:val="14"/>
              </w:rPr>
              <w:t> </w:t>
            </w:r>
            <w:r>
              <w:rPr>
                <w:sz w:val="14"/>
              </w:rPr>
              <w:t>Pool/Spa</w:t>
            </w:r>
            <w:r>
              <w:rPr>
                <w:spacing w:val="-5"/>
                <w:sz w:val="14"/>
              </w:rPr>
              <w:t> </w:t>
            </w:r>
            <w:r>
              <w:rPr>
                <w:sz w:val="14"/>
              </w:rPr>
              <w:t>Register</w:t>
            </w:r>
            <w:r>
              <w:rPr>
                <w:spacing w:val="-3"/>
                <w:sz w:val="14"/>
              </w:rPr>
              <w:t> </w:t>
            </w:r>
            <w:r>
              <w:rPr>
                <w:sz w:val="14"/>
              </w:rPr>
              <w:t>-</w:t>
            </w:r>
            <w:r>
              <w:rPr>
                <w:spacing w:val="-5"/>
                <w:sz w:val="14"/>
              </w:rPr>
              <w:t> </w:t>
            </w:r>
            <w:r>
              <w:rPr>
                <w:sz w:val="14"/>
              </w:rPr>
              <w:t>Registration</w:t>
            </w:r>
            <w:r>
              <w:rPr>
                <w:spacing w:val="-6"/>
                <w:sz w:val="14"/>
              </w:rPr>
              <w:t> </w:t>
            </w:r>
            <w:r>
              <w:rPr>
                <w:sz w:val="14"/>
              </w:rPr>
              <w:t>(2.15</w:t>
            </w:r>
            <w:r>
              <w:rPr>
                <w:spacing w:val="-5"/>
                <w:sz w:val="14"/>
              </w:rPr>
              <w:t> </w:t>
            </w:r>
            <w:r>
              <w:rPr>
                <w:sz w:val="14"/>
              </w:rPr>
              <w:t>fee</w:t>
            </w:r>
            <w:r>
              <w:rPr>
                <w:spacing w:val="-1"/>
                <w:sz w:val="14"/>
              </w:rPr>
              <w:t> </w:t>
            </w:r>
            <w:r>
              <w:rPr>
                <w:spacing w:val="-2"/>
                <w:sz w:val="14"/>
              </w:rPr>
              <w:t>units)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35.10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36.80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Swimming</w:t>
            </w:r>
            <w:r>
              <w:rPr>
                <w:spacing w:val="-8"/>
                <w:sz w:val="14"/>
              </w:rPr>
              <w:t> </w:t>
            </w:r>
            <w:r>
              <w:rPr>
                <w:sz w:val="14"/>
              </w:rPr>
              <w:t>Pool</w:t>
            </w:r>
            <w:r>
              <w:rPr>
                <w:spacing w:val="-6"/>
                <w:sz w:val="14"/>
              </w:rPr>
              <w:t> </w:t>
            </w:r>
            <w:r>
              <w:rPr>
                <w:sz w:val="14"/>
              </w:rPr>
              <w:t>Audit</w:t>
            </w:r>
            <w:r>
              <w:rPr>
                <w:spacing w:val="-4"/>
                <w:sz w:val="14"/>
              </w:rPr>
              <w:t> </w:t>
            </w:r>
            <w:r>
              <w:rPr>
                <w:sz w:val="14"/>
              </w:rPr>
              <w:t>Fee-</w:t>
            </w:r>
            <w:r>
              <w:rPr>
                <w:spacing w:val="-2"/>
                <w:sz w:val="14"/>
              </w:rPr>
              <w:t>Registration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52.10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54.60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2"/>
                <w:sz w:val="14"/>
              </w:rPr>
              <w:t>Infringements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395.00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414.00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b/>
                <w:sz w:val="14"/>
              </w:rPr>
            </w:pPr>
            <w:r>
              <w:rPr>
                <w:b/>
                <w:sz w:val="14"/>
              </w:rPr>
              <w:t>Asset</w:t>
            </w:r>
            <w:r>
              <w:rPr>
                <w:b/>
                <w:spacing w:val="-6"/>
                <w:sz w:val="14"/>
              </w:rPr>
              <w:t> </w:t>
            </w:r>
            <w:r>
              <w:rPr>
                <w:b/>
                <w:sz w:val="14"/>
              </w:rPr>
              <w:t>Protection</w:t>
            </w:r>
            <w:r>
              <w:rPr>
                <w:b/>
                <w:spacing w:val="-5"/>
                <w:sz w:val="14"/>
              </w:rPr>
              <w:t> </w:t>
            </w:r>
            <w:r>
              <w:rPr>
                <w:b/>
                <w:spacing w:val="-2"/>
                <w:sz w:val="14"/>
              </w:rPr>
              <w:t>Program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Asset</w:t>
            </w:r>
            <w:r>
              <w:rPr>
                <w:spacing w:val="-5"/>
                <w:sz w:val="14"/>
              </w:rPr>
              <w:t> </w:t>
            </w:r>
            <w:r>
              <w:rPr>
                <w:sz w:val="14"/>
              </w:rPr>
              <w:t>Protection</w:t>
            </w:r>
            <w:r>
              <w:rPr>
                <w:spacing w:val="-5"/>
                <w:sz w:val="14"/>
              </w:rPr>
              <w:t> </w:t>
            </w:r>
            <w:r>
              <w:rPr>
                <w:sz w:val="14"/>
              </w:rPr>
              <w:t>-</w:t>
            </w:r>
            <w:r>
              <w:rPr>
                <w:spacing w:val="-3"/>
                <w:sz w:val="14"/>
              </w:rPr>
              <w:t> </w:t>
            </w:r>
            <w:r>
              <w:rPr>
                <w:sz w:val="14"/>
              </w:rPr>
              <w:t>Industrial</w:t>
            </w:r>
            <w:r>
              <w:rPr>
                <w:spacing w:val="-1"/>
                <w:sz w:val="14"/>
              </w:rPr>
              <w:t> </w:t>
            </w:r>
            <w:r>
              <w:rPr>
                <w:sz w:val="14"/>
              </w:rPr>
              <w:t>/</w:t>
            </w:r>
            <w:r>
              <w:rPr>
                <w:spacing w:val="-5"/>
                <w:sz w:val="14"/>
              </w:rPr>
              <w:t> </w:t>
            </w:r>
            <w:r>
              <w:rPr>
                <w:spacing w:val="-2"/>
                <w:sz w:val="14"/>
              </w:rPr>
              <w:t>Warehouse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810.00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850.00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Asset</w:t>
            </w:r>
            <w:r>
              <w:rPr>
                <w:spacing w:val="-10"/>
                <w:sz w:val="14"/>
              </w:rPr>
              <w:t> </w:t>
            </w:r>
            <w:r>
              <w:rPr>
                <w:sz w:val="14"/>
              </w:rPr>
              <w:t>Protection</w:t>
            </w:r>
            <w:r>
              <w:rPr>
                <w:spacing w:val="-10"/>
                <w:sz w:val="14"/>
              </w:rPr>
              <w:t> </w:t>
            </w:r>
            <w:r>
              <w:rPr>
                <w:sz w:val="14"/>
              </w:rPr>
              <w:t>-</w:t>
            </w:r>
            <w:r>
              <w:rPr>
                <w:spacing w:val="-10"/>
                <w:sz w:val="14"/>
              </w:rPr>
              <w:t> </w:t>
            </w:r>
            <w:r>
              <w:rPr>
                <w:sz w:val="14"/>
              </w:rPr>
              <w:t>Verandah/Decks/Pergola/Alfresco/Small</w:t>
            </w:r>
            <w:r>
              <w:rPr>
                <w:spacing w:val="-8"/>
                <w:sz w:val="14"/>
              </w:rPr>
              <w:t> </w:t>
            </w:r>
            <w:r>
              <w:rPr>
                <w:spacing w:val="-4"/>
                <w:sz w:val="14"/>
              </w:rPr>
              <w:t>Shed</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475.00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500.00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5.0</w:t>
            </w:r>
          </w:p>
        </w:tc>
      </w:tr>
      <w:tr>
        <w:trPr>
          <w:trHeight w:val="374"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33"/>
              <w:ind w:left="107"/>
              <w:rPr>
                <w:sz w:val="14"/>
              </w:rPr>
            </w:pPr>
            <w:r>
              <w:rPr>
                <w:sz w:val="14"/>
              </w:rPr>
              <w:t>Asset</w:t>
            </w:r>
            <w:r>
              <w:rPr>
                <w:spacing w:val="-8"/>
                <w:sz w:val="14"/>
              </w:rPr>
              <w:t> </w:t>
            </w:r>
            <w:r>
              <w:rPr>
                <w:sz w:val="14"/>
              </w:rPr>
              <w:t>Protection</w:t>
            </w:r>
            <w:r>
              <w:rPr>
                <w:spacing w:val="-9"/>
                <w:sz w:val="14"/>
              </w:rPr>
              <w:t> </w:t>
            </w:r>
            <w:r>
              <w:rPr>
                <w:sz w:val="14"/>
              </w:rPr>
              <w:t>-</w:t>
            </w:r>
            <w:r>
              <w:rPr>
                <w:spacing w:val="-5"/>
                <w:sz w:val="14"/>
              </w:rPr>
              <w:t> </w:t>
            </w:r>
            <w:r>
              <w:rPr>
                <w:sz w:val="14"/>
              </w:rPr>
              <w:t>Demolition/New</w:t>
            </w:r>
            <w:r>
              <w:rPr>
                <w:spacing w:val="-4"/>
                <w:sz w:val="14"/>
              </w:rPr>
              <w:t> </w:t>
            </w:r>
            <w:r>
              <w:rPr>
                <w:sz w:val="14"/>
              </w:rPr>
              <w:t>dwelling/Swimming</w:t>
            </w:r>
            <w:r>
              <w:rPr>
                <w:spacing w:val="-6"/>
                <w:sz w:val="14"/>
              </w:rPr>
              <w:t> </w:t>
            </w:r>
            <w:r>
              <w:rPr>
                <w:sz w:val="14"/>
              </w:rPr>
              <w:t>pool/spa/Garage/Carport/large</w:t>
            </w:r>
            <w:r>
              <w:rPr>
                <w:spacing w:val="40"/>
                <w:sz w:val="14"/>
              </w:rPr>
              <w:t> </w:t>
            </w:r>
            <w:r>
              <w:rPr>
                <w:sz w:val="14"/>
              </w:rPr>
              <w:t>shed/Dependent Person Unit (DPU)/Extension/Addition/Alteration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7"/>
              <w:rPr>
                <w:sz w:val="18"/>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7"/>
              <w:rPr>
                <w:sz w:val="18"/>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7"/>
              <w:rPr>
                <w:sz w:val="18"/>
              </w:rPr>
            </w:pPr>
          </w:p>
          <w:p>
            <w:pPr>
              <w:pStyle w:val="TableParagraph"/>
              <w:spacing w:line="140" w:lineRule="exact"/>
              <w:ind w:right="91"/>
              <w:jc w:val="right"/>
              <w:rPr>
                <w:sz w:val="14"/>
              </w:rPr>
            </w:pPr>
            <w:r>
              <w:rPr>
                <w:spacing w:val="-2"/>
                <w:sz w:val="14"/>
              </w:rPr>
              <w:t>610.00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7"/>
              <w:rPr>
                <w:sz w:val="18"/>
              </w:rPr>
            </w:pPr>
          </w:p>
          <w:p>
            <w:pPr>
              <w:pStyle w:val="TableParagraph"/>
              <w:spacing w:line="140" w:lineRule="exact"/>
              <w:ind w:right="93"/>
              <w:jc w:val="right"/>
              <w:rPr>
                <w:sz w:val="14"/>
              </w:rPr>
            </w:pPr>
            <w:r>
              <w:rPr>
                <w:spacing w:val="-2"/>
                <w:sz w:val="14"/>
              </w:rPr>
              <w:t>640.00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7"/>
              <w:rPr>
                <w:sz w:val="18"/>
              </w:rPr>
            </w:pPr>
          </w:p>
          <w:p>
            <w:pPr>
              <w:pStyle w:val="TableParagraph"/>
              <w:spacing w:line="140" w:lineRule="exact"/>
              <w:ind w:left="95" w:right="79"/>
              <w:jc w:val="center"/>
              <w:rPr>
                <w:sz w:val="14"/>
              </w:rPr>
            </w:pPr>
            <w:r>
              <w:rPr>
                <w:spacing w:val="-5"/>
                <w:sz w:val="14"/>
              </w:rPr>
              <w:t>4.7</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9"/>
              <w:ind w:left="107"/>
              <w:rPr>
                <w:sz w:val="14"/>
              </w:rPr>
            </w:pPr>
            <w:r>
              <w:rPr>
                <w:sz w:val="14"/>
              </w:rPr>
              <w:t>Multi</w:t>
            </w:r>
            <w:r>
              <w:rPr>
                <w:spacing w:val="-4"/>
                <w:sz w:val="14"/>
              </w:rPr>
              <w:t> </w:t>
            </w:r>
            <w:r>
              <w:rPr>
                <w:sz w:val="14"/>
              </w:rPr>
              <w:t>Dwelling/lots</w:t>
            </w:r>
            <w:r>
              <w:rPr>
                <w:spacing w:val="-6"/>
                <w:sz w:val="14"/>
              </w:rPr>
              <w:t> </w:t>
            </w:r>
            <w:r>
              <w:rPr>
                <w:sz w:val="14"/>
              </w:rPr>
              <w:t>-</w:t>
            </w:r>
            <w:r>
              <w:rPr>
                <w:spacing w:val="-4"/>
                <w:sz w:val="14"/>
              </w:rPr>
              <w:t> </w:t>
            </w:r>
            <w:r>
              <w:rPr>
                <w:spacing w:val="-10"/>
                <w:sz w:val="14"/>
              </w:rPr>
              <w:t>2</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7"/>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300"/>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1"/>
              <w:jc w:val="right"/>
              <w:rPr>
                <w:sz w:val="14"/>
              </w:rPr>
            </w:pPr>
            <w:r>
              <w:rPr>
                <w:spacing w:val="-2"/>
                <w:sz w:val="14"/>
              </w:rPr>
              <w:t>810.00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2"/>
              <w:jc w:val="right"/>
              <w:rPr>
                <w:sz w:val="14"/>
              </w:rPr>
            </w:pPr>
            <w:r>
              <w:rPr>
                <w:spacing w:val="-2"/>
                <w:sz w:val="14"/>
              </w:rPr>
              <w:t>850.00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2" w:lineRule="exact" w:before="19"/>
              <w:ind w:left="95" w:right="80"/>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Multi</w:t>
            </w:r>
            <w:r>
              <w:rPr>
                <w:spacing w:val="-3"/>
                <w:sz w:val="14"/>
              </w:rPr>
              <w:t> </w:t>
            </w:r>
            <w:r>
              <w:rPr>
                <w:sz w:val="14"/>
              </w:rPr>
              <w:t>Dwelling/lots</w:t>
            </w:r>
            <w:r>
              <w:rPr>
                <w:spacing w:val="-5"/>
                <w:sz w:val="14"/>
              </w:rPr>
              <w:t> </w:t>
            </w:r>
            <w:r>
              <w:rPr>
                <w:sz w:val="14"/>
              </w:rPr>
              <w:t>-</w:t>
            </w:r>
            <w:r>
              <w:rPr>
                <w:spacing w:val="-4"/>
                <w:sz w:val="14"/>
              </w:rPr>
              <w:t> </w:t>
            </w:r>
            <w:r>
              <w:rPr>
                <w:sz w:val="14"/>
              </w:rPr>
              <w:t>3</w:t>
            </w:r>
            <w:r>
              <w:rPr>
                <w:spacing w:val="-3"/>
                <w:sz w:val="14"/>
              </w:rPr>
              <w:t> </w:t>
            </w:r>
            <w:r>
              <w:rPr>
                <w:sz w:val="14"/>
              </w:rPr>
              <w:t>-</w:t>
            </w:r>
            <w:r>
              <w:rPr>
                <w:spacing w:val="-10"/>
                <w:sz w:val="14"/>
              </w:rPr>
              <w:t>5</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1,075.00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1,130.00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Multi</w:t>
            </w:r>
            <w:r>
              <w:rPr>
                <w:spacing w:val="-3"/>
                <w:sz w:val="14"/>
              </w:rPr>
              <w:t> </w:t>
            </w:r>
            <w:r>
              <w:rPr>
                <w:sz w:val="14"/>
              </w:rPr>
              <w:t>Dwelling/lots</w:t>
            </w:r>
            <w:r>
              <w:rPr>
                <w:spacing w:val="-5"/>
                <w:sz w:val="14"/>
              </w:rPr>
              <w:t> </w:t>
            </w:r>
            <w:r>
              <w:rPr>
                <w:sz w:val="14"/>
              </w:rPr>
              <w:t>-</w:t>
            </w:r>
            <w:r>
              <w:rPr>
                <w:spacing w:val="-4"/>
                <w:sz w:val="14"/>
              </w:rPr>
              <w:t> </w:t>
            </w:r>
            <w:r>
              <w:rPr>
                <w:sz w:val="14"/>
              </w:rPr>
              <w:t>6</w:t>
            </w:r>
            <w:r>
              <w:rPr>
                <w:spacing w:val="-3"/>
                <w:sz w:val="14"/>
              </w:rPr>
              <w:t> </w:t>
            </w:r>
            <w:r>
              <w:rPr>
                <w:sz w:val="14"/>
              </w:rPr>
              <w:t>-</w:t>
            </w:r>
            <w:r>
              <w:rPr>
                <w:spacing w:val="-10"/>
                <w:sz w:val="14"/>
              </w:rPr>
              <w:t>9</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1,345.00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1,410.00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Multi</w:t>
            </w:r>
            <w:r>
              <w:rPr>
                <w:spacing w:val="-4"/>
                <w:sz w:val="14"/>
              </w:rPr>
              <w:t> </w:t>
            </w:r>
            <w:r>
              <w:rPr>
                <w:sz w:val="14"/>
              </w:rPr>
              <w:t>Dwelling/lots</w:t>
            </w:r>
            <w:r>
              <w:rPr>
                <w:spacing w:val="-6"/>
                <w:sz w:val="14"/>
              </w:rPr>
              <w:t> </w:t>
            </w:r>
            <w:r>
              <w:rPr>
                <w:sz w:val="14"/>
              </w:rPr>
              <w:t>-</w:t>
            </w:r>
            <w:r>
              <w:rPr>
                <w:spacing w:val="-4"/>
                <w:sz w:val="14"/>
              </w:rPr>
              <w:t> </w:t>
            </w:r>
            <w:r>
              <w:rPr>
                <w:spacing w:val="-5"/>
                <w:sz w:val="14"/>
              </w:rPr>
              <w:t>10+</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1,615.00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1,690.00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4.4</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Multi</w:t>
            </w:r>
            <w:r>
              <w:rPr>
                <w:spacing w:val="-6"/>
                <w:sz w:val="14"/>
              </w:rPr>
              <w:t> </w:t>
            </w:r>
            <w:r>
              <w:rPr>
                <w:sz w:val="14"/>
              </w:rPr>
              <w:t>storey</w:t>
            </w:r>
            <w:r>
              <w:rPr>
                <w:spacing w:val="-6"/>
                <w:sz w:val="14"/>
              </w:rPr>
              <w:t> </w:t>
            </w:r>
            <w:r>
              <w:rPr>
                <w:sz w:val="14"/>
              </w:rPr>
              <w:t>complex/commercial</w:t>
            </w:r>
            <w:r>
              <w:rPr>
                <w:spacing w:val="-7"/>
                <w:sz w:val="14"/>
              </w:rPr>
              <w:t> </w:t>
            </w:r>
            <w:r>
              <w:rPr>
                <w:spacing w:val="-2"/>
                <w:sz w:val="14"/>
              </w:rPr>
              <w:t>development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2,690.00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2,820.00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Vehicle</w:t>
            </w:r>
            <w:r>
              <w:rPr>
                <w:spacing w:val="-4"/>
                <w:sz w:val="14"/>
              </w:rPr>
              <w:t> </w:t>
            </w:r>
            <w:r>
              <w:rPr>
                <w:sz w:val="14"/>
              </w:rPr>
              <w:t>Access</w:t>
            </w:r>
            <w:r>
              <w:rPr>
                <w:spacing w:val="-5"/>
                <w:sz w:val="14"/>
              </w:rPr>
              <w:t> </w:t>
            </w:r>
            <w:r>
              <w:rPr>
                <w:sz w:val="14"/>
              </w:rPr>
              <w:t>Over</w:t>
            </w:r>
            <w:r>
              <w:rPr>
                <w:spacing w:val="-3"/>
                <w:sz w:val="14"/>
              </w:rPr>
              <w:t> </w:t>
            </w:r>
            <w:r>
              <w:rPr>
                <w:sz w:val="14"/>
              </w:rPr>
              <w:t>Council</w:t>
            </w:r>
            <w:r>
              <w:rPr>
                <w:spacing w:val="-2"/>
                <w:sz w:val="14"/>
              </w:rPr>
              <w:t> </w:t>
            </w:r>
            <w:r>
              <w:rPr>
                <w:sz w:val="14"/>
              </w:rPr>
              <w:t>Land</w:t>
            </w:r>
            <w:r>
              <w:rPr>
                <w:spacing w:val="-6"/>
                <w:sz w:val="14"/>
              </w:rPr>
              <w:t> </w:t>
            </w:r>
            <w:r>
              <w:rPr>
                <w:sz w:val="14"/>
              </w:rPr>
              <w:t>Application</w:t>
            </w:r>
            <w:r>
              <w:rPr>
                <w:spacing w:val="-6"/>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575.00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605.00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5.0</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9"/>
              <w:ind w:left="107"/>
              <w:rPr>
                <w:b/>
                <w:sz w:val="14"/>
              </w:rPr>
            </w:pPr>
            <w:r>
              <w:rPr>
                <w:b/>
                <w:sz w:val="14"/>
              </w:rPr>
              <w:t>Service</w:t>
            </w:r>
            <w:r>
              <w:rPr>
                <w:b/>
                <w:spacing w:val="-8"/>
                <w:sz w:val="14"/>
              </w:rPr>
              <w:t> </w:t>
            </w:r>
            <w:r>
              <w:rPr>
                <w:b/>
                <w:sz w:val="14"/>
              </w:rPr>
              <w:t>Authority</w:t>
            </w:r>
            <w:r>
              <w:rPr>
                <w:b/>
                <w:spacing w:val="-8"/>
                <w:sz w:val="14"/>
              </w:rPr>
              <w:t> </w:t>
            </w:r>
            <w:r>
              <w:rPr>
                <w:b/>
                <w:spacing w:val="-2"/>
                <w:sz w:val="14"/>
              </w:rPr>
              <w:t>Inspections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Works</w:t>
            </w:r>
            <w:r>
              <w:rPr>
                <w:spacing w:val="-3"/>
                <w:sz w:val="14"/>
              </w:rPr>
              <w:t> </w:t>
            </w:r>
            <w:r>
              <w:rPr>
                <w:sz w:val="14"/>
              </w:rPr>
              <w:t>Within</w:t>
            </w:r>
            <w:r>
              <w:rPr>
                <w:spacing w:val="-7"/>
                <w:sz w:val="14"/>
              </w:rPr>
              <w:t> </w:t>
            </w:r>
            <w:r>
              <w:rPr>
                <w:sz w:val="14"/>
              </w:rPr>
              <w:t>Road</w:t>
            </w:r>
            <w:r>
              <w:rPr>
                <w:spacing w:val="-3"/>
                <w:sz w:val="14"/>
              </w:rPr>
              <w:t> </w:t>
            </w:r>
            <w:r>
              <w:rPr>
                <w:sz w:val="14"/>
              </w:rPr>
              <w:t>Reserve</w:t>
            </w:r>
            <w:r>
              <w:rPr>
                <w:spacing w:val="-6"/>
                <w:sz w:val="14"/>
              </w:rPr>
              <w:t> </w:t>
            </w:r>
            <w:r>
              <w:rPr>
                <w:spacing w:val="-2"/>
                <w:sz w:val="14"/>
              </w:rPr>
              <w:t>Permit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383.80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383.80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32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ind w:left="107"/>
              <w:rPr>
                <w:b/>
                <w:sz w:val="14"/>
              </w:rPr>
            </w:pPr>
            <w:r>
              <w:rPr>
                <w:b/>
                <w:sz w:val="14"/>
              </w:rPr>
              <w:t>Traffic</w:t>
            </w:r>
            <w:r>
              <w:rPr>
                <w:b/>
                <w:spacing w:val="-3"/>
                <w:sz w:val="14"/>
              </w:rPr>
              <w:t> </w:t>
            </w:r>
            <w:r>
              <w:rPr>
                <w:b/>
                <w:sz w:val="14"/>
              </w:rPr>
              <w:t>Management</w:t>
            </w:r>
            <w:r>
              <w:rPr>
                <w:b/>
                <w:spacing w:val="-5"/>
                <w:sz w:val="14"/>
              </w:rPr>
              <w:t> </w:t>
            </w:r>
            <w:r>
              <w:rPr>
                <w:b/>
                <w:sz w:val="14"/>
              </w:rPr>
              <w:t>Plan</w:t>
            </w:r>
            <w:r>
              <w:rPr>
                <w:b/>
                <w:spacing w:val="-2"/>
                <w:sz w:val="14"/>
              </w:rPr>
              <w:t> </w:t>
            </w:r>
            <w:r>
              <w:rPr>
                <w:b/>
                <w:sz w:val="14"/>
              </w:rPr>
              <w:t>Approval</w:t>
            </w:r>
            <w:r>
              <w:rPr>
                <w:b/>
                <w:spacing w:val="-5"/>
                <w:sz w:val="14"/>
              </w:rPr>
              <w:t> </w:t>
            </w:r>
            <w:r>
              <w:rPr>
                <w:b/>
                <w:sz w:val="14"/>
              </w:rPr>
              <w:t>Permit</w:t>
            </w:r>
            <w:r>
              <w:rPr>
                <w:b/>
                <w:spacing w:val="-5"/>
                <w:sz w:val="14"/>
              </w:rPr>
              <w:t> </w:t>
            </w:r>
            <w:r>
              <w:rPr>
                <w:b/>
                <w:sz w:val="14"/>
              </w:rPr>
              <w:t>-</w:t>
            </w:r>
            <w:r>
              <w:rPr>
                <w:b/>
                <w:spacing w:val="-2"/>
                <w:sz w:val="14"/>
              </w:rPr>
              <w:t> </w:t>
            </w:r>
            <w:r>
              <w:rPr>
                <w:b/>
                <w:sz w:val="14"/>
              </w:rPr>
              <w:t>NEW</w:t>
            </w:r>
            <w:r>
              <w:rPr>
                <w:b/>
                <w:spacing w:val="-3"/>
                <w:sz w:val="14"/>
              </w:rPr>
              <w:t> </w:t>
            </w:r>
            <w:r>
              <w:rPr>
                <w:b/>
                <w:sz w:val="14"/>
              </w:rPr>
              <w:t>LOCATION,</w:t>
            </w:r>
            <w:r>
              <w:rPr>
                <w:b/>
                <w:spacing w:val="-4"/>
                <w:sz w:val="14"/>
              </w:rPr>
              <w:t> </w:t>
            </w:r>
            <w:r>
              <w:rPr>
                <w:b/>
                <w:sz w:val="14"/>
              </w:rPr>
              <w:t>REMOVED</w:t>
            </w:r>
            <w:r>
              <w:rPr>
                <w:b/>
                <w:spacing w:val="-2"/>
                <w:sz w:val="14"/>
              </w:rPr>
              <w:t> </w:t>
            </w:r>
            <w:r>
              <w:rPr>
                <w:b/>
                <w:sz w:val="14"/>
              </w:rPr>
              <w:t>FROM</w:t>
            </w:r>
            <w:r>
              <w:rPr>
                <w:b/>
                <w:spacing w:val="40"/>
                <w:sz w:val="14"/>
              </w:rPr>
              <w:t> </w:t>
            </w:r>
            <w:r>
              <w:rPr>
                <w:b/>
                <w:spacing w:val="-2"/>
                <w:sz w:val="14"/>
              </w:rPr>
              <w:t>ABOVE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8"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Temporary</w:t>
            </w:r>
            <w:r>
              <w:rPr>
                <w:spacing w:val="-6"/>
                <w:sz w:val="14"/>
              </w:rPr>
              <w:t> </w:t>
            </w:r>
            <w:r>
              <w:rPr>
                <w:sz w:val="14"/>
              </w:rPr>
              <w:t>Traffic</w:t>
            </w:r>
            <w:r>
              <w:rPr>
                <w:spacing w:val="-3"/>
                <w:sz w:val="14"/>
              </w:rPr>
              <w:t> </w:t>
            </w:r>
            <w:r>
              <w:rPr>
                <w:sz w:val="14"/>
              </w:rPr>
              <w:t>Management</w:t>
            </w:r>
            <w:r>
              <w:rPr>
                <w:spacing w:val="-6"/>
                <w:sz w:val="14"/>
              </w:rPr>
              <w:t> </w:t>
            </w:r>
            <w:r>
              <w:rPr>
                <w:sz w:val="14"/>
              </w:rPr>
              <w:t>Permit</w:t>
            </w:r>
            <w:r>
              <w:rPr>
                <w:spacing w:val="-3"/>
                <w:sz w:val="14"/>
              </w:rPr>
              <w:t> </w:t>
            </w:r>
            <w:r>
              <w:rPr>
                <w:sz w:val="14"/>
              </w:rPr>
              <w:t>Application</w:t>
            </w:r>
            <w:r>
              <w:rPr>
                <w:spacing w:val="-3"/>
                <w:sz w:val="14"/>
              </w:rPr>
              <w:t> </w:t>
            </w:r>
            <w:r>
              <w:rPr>
                <w:sz w:val="14"/>
              </w:rPr>
              <w:t>Fee</w:t>
            </w:r>
            <w:r>
              <w:rPr>
                <w:spacing w:val="-3"/>
                <w:sz w:val="14"/>
              </w:rPr>
              <w:t> </w:t>
            </w:r>
            <w:r>
              <w:rPr>
                <w:sz w:val="14"/>
              </w:rPr>
              <w:t>-</w:t>
            </w:r>
            <w:r>
              <w:rPr>
                <w:spacing w:val="-5"/>
                <w:sz w:val="14"/>
              </w:rPr>
              <w:t> </w:t>
            </w:r>
            <w:r>
              <w:rPr>
                <w:sz w:val="14"/>
              </w:rPr>
              <w:t>1-3</w:t>
            </w:r>
            <w:r>
              <w:rPr>
                <w:spacing w:val="-4"/>
                <w:sz w:val="14"/>
              </w:rPr>
              <w:t> days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270.00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283.00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Temporary</w:t>
            </w:r>
            <w:r>
              <w:rPr>
                <w:spacing w:val="-6"/>
                <w:sz w:val="14"/>
              </w:rPr>
              <w:t> </w:t>
            </w:r>
            <w:r>
              <w:rPr>
                <w:sz w:val="14"/>
              </w:rPr>
              <w:t>Traffic</w:t>
            </w:r>
            <w:r>
              <w:rPr>
                <w:spacing w:val="-3"/>
                <w:sz w:val="14"/>
              </w:rPr>
              <w:t> </w:t>
            </w:r>
            <w:r>
              <w:rPr>
                <w:sz w:val="14"/>
              </w:rPr>
              <w:t>Management</w:t>
            </w:r>
            <w:r>
              <w:rPr>
                <w:spacing w:val="-6"/>
                <w:sz w:val="14"/>
              </w:rPr>
              <w:t> </w:t>
            </w:r>
            <w:r>
              <w:rPr>
                <w:sz w:val="14"/>
              </w:rPr>
              <w:t>Permit</w:t>
            </w:r>
            <w:r>
              <w:rPr>
                <w:spacing w:val="-3"/>
                <w:sz w:val="14"/>
              </w:rPr>
              <w:t> </w:t>
            </w:r>
            <w:r>
              <w:rPr>
                <w:sz w:val="14"/>
              </w:rPr>
              <w:t>Application</w:t>
            </w:r>
            <w:r>
              <w:rPr>
                <w:spacing w:val="-3"/>
                <w:sz w:val="14"/>
              </w:rPr>
              <w:t> </w:t>
            </w:r>
            <w:r>
              <w:rPr>
                <w:sz w:val="14"/>
              </w:rPr>
              <w:t>Fee</w:t>
            </w:r>
            <w:r>
              <w:rPr>
                <w:spacing w:val="-3"/>
                <w:sz w:val="14"/>
              </w:rPr>
              <w:t> </w:t>
            </w:r>
            <w:r>
              <w:rPr>
                <w:sz w:val="14"/>
              </w:rPr>
              <w:t>-</w:t>
            </w:r>
            <w:r>
              <w:rPr>
                <w:spacing w:val="-5"/>
                <w:sz w:val="14"/>
              </w:rPr>
              <w:t> </w:t>
            </w:r>
            <w:r>
              <w:rPr>
                <w:sz w:val="14"/>
              </w:rPr>
              <w:t>4-10</w:t>
            </w:r>
            <w:r>
              <w:rPr>
                <w:spacing w:val="-6"/>
                <w:sz w:val="14"/>
              </w:rPr>
              <w:t> </w:t>
            </w:r>
            <w:r>
              <w:rPr>
                <w:spacing w:val="-4"/>
                <w:sz w:val="14"/>
              </w:rPr>
              <w:t>days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540.00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566.00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Temporary</w:t>
            </w:r>
            <w:r>
              <w:rPr>
                <w:spacing w:val="-6"/>
                <w:sz w:val="14"/>
              </w:rPr>
              <w:t> </w:t>
            </w:r>
            <w:r>
              <w:rPr>
                <w:sz w:val="14"/>
              </w:rPr>
              <w:t>Traffic</w:t>
            </w:r>
            <w:r>
              <w:rPr>
                <w:spacing w:val="-3"/>
                <w:sz w:val="14"/>
              </w:rPr>
              <w:t> </w:t>
            </w:r>
            <w:r>
              <w:rPr>
                <w:sz w:val="14"/>
              </w:rPr>
              <w:t>Management</w:t>
            </w:r>
            <w:r>
              <w:rPr>
                <w:spacing w:val="-6"/>
                <w:sz w:val="14"/>
              </w:rPr>
              <w:t> </w:t>
            </w:r>
            <w:r>
              <w:rPr>
                <w:sz w:val="14"/>
              </w:rPr>
              <w:t>Permit</w:t>
            </w:r>
            <w:r>
              <w:rPr>
                <w:spacing w:val="-3"/>
                <w:sz w:val="14"/>
              </w:rPr>
              <w:t> </w:t>
            </w:r>
            <w:r>
              <w:rPr>
                <w:sz w:val="14"/>
              </w:rPr>
              <w:t>Application</w:t>
            </w:r>
            <w:r>
              <w:rPr>
                <w:spacing w:val="-4"/>
                <w:sz w:val="14"/>
              </w:rPr>
              <w:t> </w:t>
            </w:r>
            <w:r>
              <w:rPr>
                <w:sz w:val="14"/>
              </w:rPr>
              <w:t>Fee</w:t>
            </w:r>
            <w:r>
              <w:rPr>
                <w:spacing w:val="-3"/>
                <w:sz w:val="14"/>
              </w:rPr>
              <w:t> </w:t>
            </w:r>
            <w:r>
              <w:rPr>
                <w:sz w:val="14"/>
              </w:rPr>
              <w:t>-</w:t>
            </w:r>
            <w:r>
              <w:rPr>
                <w:spacing w:val="-5"/>
                <w:sz w:val="14"/>
              </w:rPr>
              <w:t> </w:t>
            </w:r>
            <w:r>
              <w:rPr>
                <w:sz w:val="14"/>
              </w:rPr>
              <w:t>11-20</w:t>
            </w:r>
            <w:r>
              <w:rPr>
                <w:spacing w:val="-3"/>
                <w:sz w:val="14"/>
              </w:rPr>
              <w:t> </w:t>
            </w:r>
            <w:r>
              <w:rPr>
                <w:spacing w:val="-4"/>
                <w:sz w:val="14"/>
              </w:rPr>
              <w:t>days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810.00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849.00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Temporary</w:t>
            </w:r>
            <w:r>
              <w:rPr>
                <w:spacing w:val="-6"/>
                <w:sz w:val="14"/>
              </w:rPr>
              <w:t> </w:t>
            </w:r>
            <w:r>
              <w:rPr>
                <w:sz w:val="14"/>
              </w:rPr>
              <w:t>Traffic</w:t>
            </w:r>
            <w:r>
              <w:rPr>
                <w:spacing w:val="-3"/>
                <w:sz w:val="14"/>
              </w:rPr>
              <w:t> </w:t>
            </w:r>
            <w:r>
              <w:rPr>
                <w:sz w:val="14"/>
              </w:rPr>
              <w:t>Management</w:t>
            </w:r>
            <w:r>
              <w:rPr>
                <w:spacing w:val="-6"/>
                <w:sz w:val="14"/>
              </w:rPr>
              <w:t> </w:t>
            </w:r>
            <w:r>
              <w:rPr>
                <w:sz w:val="14"/>
              </w:rPr>
              <w:t>Permit</w:t>
            </w:r>
            <w:r>
              <w:rPr>
                <w:spacing w:val="-3"/>
                <w:sz w:val="14"/>
              </w:rPr>
              <w:t> </w:t>
            </w:r>
            <w:r>
              <w:rPr>
                <w:sz w:val="14"/>
              </w:rPr>
              <w:t>Application</w:t>
            </w:r>
            <w:r>
              <w:rPr>
                <w:spacing w:val="-4"/>
                <w:sz w:val="14"/>
              </w:rPr>
              <w:t> </w:t>
            </w:r>
            <w:r>
              <w:rPr>
                <w:sz w:val="14"/>
              </w:rPr>
              <w:t>Fee</w:t>
            </w:r>
            <w:r>
              <w:rPr>
                <w:spacing w:val="-3"/>
                <w:sz w:val="14"/>
              </w:rPr>
              <w:t> </w:t>
            </w:r>
            <w:r>
              <w:rPr>
                <w:sz w:val="14"/>
              </w:rPr>
              <w:t>-</w:t>
            </w:r>
            <w:r>
              <w:rPr>
                <w:spacing w:val="-5"/>
                <w:sz w:val="14"/>
              </w:rPr>
              <w:t> </w:t>
            </w:r>
            <w:r>
              <w:rPr>
                <w:sz w:val="14"/>
              </w:rPr>
              <w:t>21-30</w:t>
            </w:r>
            <w:r>
              <w:rPr>
                <w:spacing w:val="-3"/>
                <w:sz w:val="14"/>
              </w:rPr>
              <w:t> </w:t>
            </w:r>
            <w:r>
              <w:rPr>
                <w:spacing w:val="-4"/>
                <w:sz w:val="14"/>
              </w:rPr>
              <w:t>days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1,080.00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1,132.00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Temporary</w:t>
            </w:r>
            <w:r>
              <w:rPr>
                <w:spacing w:val="-6"/>
                <w:sz w:val="14"/>
              </w:rPr>
              <w:t> </w:t>
            </w:r>
            <w:r>
              <w:rPr>
                <w:sz w:val="14"/>
              </w:rPr>
              <w:t>Traffic</w:t>
            </w:r>
            <w:r>
              <w:rPr>
                <w:spacing w:val="-2"/>
                <w:sz w:val="14"/>
              </w:rPr>
              <w:t> </w:t>
            </w:r>
            <w:r>
              <w:rPr>
                <w:sz w:val="14"/>
              </w:rPr>
              <w:t>Management</w:t>
            </w:r>
            <w:r>
              <w:rPr>
                <w:spacing w:val="-5"/>
                <w:sz w:val="14"/>
              </w:rPr>
              <w:t> </w:t>
            </w:r>
            <w:r>
              <w:rPr>
                <w:sz w:val="14"/>
              </w:rPr>
              <w:t>Permit</w:t>
            </w:r>
            <w:r>
              <w:rPr>
                <w:spacing w:val="-2"/>
                <w:sz w:val="14"/>
              </w:rPr>
              <w:t> </w:t>
            </w:r>
            <w:r>
              <w:rPr>
                <w:sz w:val="14"/>
              </w:rPr>
              <w:t>Application</w:t>
            </w:r>
            <w:r>
              <w:rPr>
                <w:spacing w:val="-3"/>
                <w:sz w:val="14"/>
              </w:rPr>
              <w:t> </w:t>
            </w:r>
            <w:r>
              <w:rPr>
                <w:sz w:val="14"/>
              </w:rPr>
              <w:t>Fee</w:t>
            </w:r>
            <w:r>
              <w:rPr>
                <w:spacing w:val="-3"/>
                <w:sz w:val="14"/>
              </w:rPr>
              <w:t> </w:t>
            </w:r>
            <w:r>
              <w:rPr>
                <w:sz w:val="14"/>
              </w:rPr>
              <w:t>-</w:t>
            </w:r>
            <w:r>
              <w:rPr>
                <w:spacing w:val="-5"/>
                <w:sz w:val="14"/>
              </w:rPr>
              <w:t> </w:t>
            </w:r>
            <w:r>
              <w:rPr>
                <w:sz w:val="14"/>
              </w:rPr>
              <w:t>31</w:t>
            </w:r>
            <w:r>
              <w:rPr>
                <w:spacing w:val="-3"/>
                <w:sz w:val="14"/>
              </w:rPr>
              <w:t> </w:t>
            </w:r>
            <w:r>
              <w:rPr>
                <w:sz w:val="14"/>
              </w:rPr>
              <w:t>or</w:t>
            </w:r>
            <w:r>
              <w:rPr>
                <w:spacing w:val="-5"/>
                <w:sz w:val="14"/>
              </w:rPr>
              <w:t> </w:t>
            </w:r>
            <w:r>
              <w:rPr>
                <w:sz w:val="14"/>
              </w:rPr>
              <w:t>more</w:t>
            </w:r>
            <w:r>
              <w:rPr>
                <w:spacing w:val="-3"/>
                <w:sz w:val="14"/>
              </w:rPr>
              <w:t> </w:t>
            </w:r>
            <w:r>
              <w:rPr>
                <w:spacing w:val="-4"/>
                <w:sz w:val="14"/>
              </w:rPr>
              <w:t>days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1,350.00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1,415.00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Temporary</w:t>
            </w:r>
            <w:r>
              <w:rPr>
                <w:spacing w:val="-7"/>
                <w:sz w:val="14"/>
              </w:rPr>
              <w:t> </w:t>
            </w:r>
            <w:r>
              <w:rPr>
                <w:sz w:val="14"/>
              </w:rPr>
              <w:t>Traffic</w:t>
            </w:r>
            <w:r>
              <w:rPr>
                <w:spacing w:val="-3"/>
                <w:sz w:val="14"/>
              </w:rPr>
              <w:t> </w:t>
            </w:r>
            <w:r>
              <w:rPr>
                <w:sz w:val="14"/>
              </w:rPr>
              <w:t>Management</w:t>
            </w:r>
            <w:r>
              <w:rPr>
                <w:spacing w:val="-7"/>
                <w:sz w:val="14"/>
              </w:rPr>
              <w:t> </w:t>
            </w:r>
            <w:r>
              <w:rPr>
                <w:sz w:val="14"/>
              </w:rPr>
              <w:t>Permit</w:t>
            </w:r>
            <w:r>
              <w:rPr>
                <w:spacing w:val="-3"/>
                <w:sz w:val="14"/>
              </w:rPr>
              <w:t> </w:t>
            </w:r>
            <w:r>
              <w:rPr>
                <w:sz w:val="14"/>
              </w:rPr>
              <w:t>Amendment</w:t>
            </w:r>
            <w:r>
              <w:rPr>
                <w:spacing w:val="-7"/>
                <w:sz w:val="14"/>
              </w:rPr>
              <w:t> </w:t>
            </w:r>
            <w:r>
              <w:rPr>
                <w:sz w:val="14"/>
              </w:rPr>
              <w:t>Fee</w:t>
            </w:r>
            <w:r>
              <w:rPr>
                <w:spacing w:val="-2"/>
                <w:sz w:val="14"/>
              </w:rPr>
              <w:t> (Base)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160.00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168.00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320" w:hRule="atLeast"/>
        </w:trPr>
        <w:tc>
          <w:tcPr>
            <w:tcW w:w="5770" w:type="dxa"/>
            <w:tcBorders>
              <w:top w:val="single" w:sz="4" w:space="0" w:color="000000"/>
              <w:left w:val="single" w:sz="12" w:space="0" w:color="000000"/>
              <w:bottom w:val="single" w:sz="12" w:space="0" w:color="000000"/>
              <w:right w:val="single" w:sz="4" w:space="0" w:color="000000"/>
            </w:tcBorders>
          </w:tcPr>
          <w:p>
            <w:pPr>
              <w:pStyle w:val="TableParagraph"/>
              <w:spacing w:line="160" w:lineRule="atLeast"/>
              <w:ind w:left="107"/>
              <w:rPr>
                <w:sz w:val="14"/>
              </w:rPr>
            </w:pPr>
            <w:r>
              <w:rPr>
                <w:sz w:val="14"/>
              </w:rPr>
              <w:t>Temporary</w:t>
            </w:r>
            <w:r>
              <w:rPr>
                <w:spacing w:val="-4"/>
                <w:sz w:val="14"/>
              </w:rPr>
              <w:t> </w:t>
            </w:r>
            <w:r>
              <w:rPr>
                <w:sz w:val="14"/>
              </w:rPr>
              <w:t>Traffic</w:t>
            </w:r>
            <w:r>
              <w:rPr>
                <w:spacing w:val="-1"/>
                <w:sz w:val="14"/>
              </w:rPr>
              <w:t> </w:t>
            </w:r>
            <w:r>
              <w:rPr>
                <w:sz w:val="14"/>
              </w:rPr>
              <w:t>Management</w:t>
            </w:r>
            <w:r>
              <w:rPr>
                <w:spacing w:val="-4"/>
                <w:sz w:val="14"/>
              </w:rPr>
              <w:t> </w:t>
            </w:r>
            <w:r>
              <w:rPr>
                <w:sz w:val="14"/>
              </w:rPr>
              <w:t>Permit</w:t>
            </w:r>
            <w:r>
              <w:rPr>
                <w:spacing w:val="-1"/>
                <w:sz w:val="14"/>
              </w:rPr>
              <w:t> </w:t>
            </w:r>
            <w:r>
              <w:rPr>
                <w:sz w:val="14"/>
              </w:rPr>
              <w:t>Amendment</w:t>
            </w:r>
            <w:r>
              <w:rPr>
                <w:spacing w:val="-4"/>
                <w:sz w:val="14"/>
              </w:rPr>
              <w:t> </w:t>
            </w:r>
            <w:r>
              <w:rPr>
                <w:sz w:val="14"/>
              </w:rPr>
              <w:t>Fee -</w:t>
            </w:r>
            <w:r>
              <w:rPr>
                <w:spacing w:val="-5"/>
                <w:sz w:val="14"/>
              </w:rPr>
              <w:t> </w:t>
            </w:r>
            <w:r>
              <w:rPr>
                <w:sz w:val="14"/>
              </w:rPr>
              <w:t>Extend</w:t>
            </w:r>
            <w:r>
              <w:rPr>
                <w:spacing w:val="-4"/>
                <w:sz w:val="14"/>
              </w:rPr>
              <w:t> </w:t>
            </w:r>
            <w:r>
              <w:rPr>
                <w:sz w:val="14"/>
              </w:rPr>
              <w:t>Time</w:t>
            </w:r>
            <w:r>
              <w:rPr>
                <w:spacing w:val="-5"/>
                <w:sz w:val="14"/>
              </w:rPr>
              <w:t> </w:t>
            </w:r>
            <w:r>
              <w:rPr>
                <w:sz w:val="14"/>
              </w:rPr>
              <w:t>(per</w:t>
            </w:r>
            <w:r>
              <w:rPr>
                <w:spacing w:val="-4"/>
                <w:sz w:val="14"/>
              </w:rPr>
              <w:t> </w:t>
            </w:r>
            <w:r>
              <w:rPr>
                <w:sz w:val="14"/>
              </w:rPr>
              <w:t>each</w:t>
            </w:r>
            <w:r>
              <w:rPr>
                <w:spacing w:val="-4"/>
                <w:sz w:val="14"/>
              </w:rPr>
              <w:t> </w:t>
            </w:r>
            <w:r>
              <w:rPr>
                <w:sz w:val="14"/>
              </w:rPr>
              <w:t>bin</w:t>
            </w:r>
            <w:r>
              <w:rPr>
                <w:spacing w:val="40"/>
                <w:sz w:val="14"/>
              </w:rPr>
              <w:t> </w:t>
            </w:r>
            <w:r>
              <w:rPr>
                <w:spacing w:val="-2"/>
                <w:sz w:val="14"/>
              </w:rPr>
              <w:t>increase)</w:t>
            </w:r>
          </w:p>
        </w:tc>
        <w:tc>
          <w:tcPr>
            <w:tcW w:w="1028" w:type="dxa"/>
            <w:tcBorders>
              <w:top w:val="single" w:sz="4" w:space="0" w:color="000000"/>
              <w:left w:val="single" w:sz="4" w:space="0" w:color="000000"/>
              <w:bottom w:val="single" w:sz="12" w:space="0" w:color="000000"/>
              <w:right w:val="single" w:sz="4" w:space="0" w:color="000000"/>
            </w:tcBorders>
          </w:tcPr>
          <w:p>
            <w:pPr>
              <w:pStyle w:val="TableParagraph"/>
              <w:rPr>
                <w:sz w:val="14"/>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12" w:space="0" w:color="000000"/>
              <w:right w:val="single" w:sz="4" w:space="0" w:color="000000"/>
            </w:tcBorders>
          </w:tcPr>
          <w:p>
            <w:pPr>
              <w:pStyle w:val="TableParagraph"/>
              <w:rPr>
                <w:sz w:val="14"/>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12" w:space="0" w:color="000000"/>
              <w:right w:val="single" w:sz="4" w:space="0" w:color="000000"/>
            </w:tcBorders>
          </w:tcPr>
          <w:p>
            <w:pPr>
              <w:pStyle w:val="TableParagraph"/>
              <w:rPr>
                <w:sz w:val="14"/>
              </w:rPr>
            </w:pPr>
          </w:p>
          <w:p>
            <w:pPr>
              <w:pStyle w:val="TableParagraph"/>
              <w:spacing w:line="140" w:lineRule="exact"/>
              <w:ind w:right="91"/>
              <w:jc w:val="right"/>
              <w:rPr>
                <w:sz w:val="14"/>
              </w:rPr>
            </w:pPr>
            <w:r>
              <w:rPr>
                <w:spacing w:val="-2"/>
                <w:sz w:val="14"/>
              </w:rPr>
              <w:t>270.00</w:t>
            </w:r>
          </w:p>
        </w:tc>
        <w:tc>
          <w:tcPr>
            <w:tcW w:w="1199" w:type="dxa"/>
            <w:tcBorders>
              <w:top w:val="single" w:sz="4" w:space="0" w:color="000000"/>
              <w:left w:val="single" w:sz="4" w:space="0" w:color="000000"/>
              <w:bottom w:val="single" w:sz="12" w:space="0" w:color="000000"/>
              <w:right w:val="single" w:sz="4" w:space="0" w:color="000000"/>
            </w:tcBorders>
          </w:tcPr>
          <w:p>
            <w:pPr>
              <w:pStyle w:val="TableParagraph"/>
              <w:rPr>
                <w:sz w:val="14"/>
              </w:rPr>
            </w:pPr>
          </w:p>
          <w:p>
            <w:pPr>
              <w:pStyle w:val="TableParagraph"/>
              <w:spacing w:line="140" w:lineRule="exact"/>
              <w:ind w:right="93"/>
              <w:jc w:val="right"/>
              <w:rPr>
                <w:sz w:val="14"/>
              </w:rPr>
            </w:pPr>
            <w:r>
              <w:rPr>
                <w:spacing w:val="-2"/>
                <w:sz w:val="14"/>
              </w:rPr>
              <w:t>283.00</w:t>
            </w:r>
          </w:p>
        </w:tc>
        <w:tc>
          <w:tcPr>
            <w:tcW w:w="897" w:type="dxa"/>
            <w:tcBorders>
              <w:top w:val="single" w:sz="4" w:space="0" w:color="000000"/>
              <w:left w:val="single" w:sz="4" w:space="0" w:color="000000"/>
              <w:bottom w:val="single" w:sz="12" w:space="0" w:color="000000"/>
              <w:right w:val="single" w:sz="12" w:space="0" w:color="000000"/>
            </w:tcBorders>
          </w:tcPr>
          <w:p>
            <w:pPr>
              <w:pStyle w:val="TableParagraph"/>
              <w:rPr>
                <w:sz w:val="14"/>
              </w:rPr>
            </w:pPr>
          </w:p>
          <w:p>
            <w:pPr>
              <w:pStyle w:val="TableParagraph"/>
              <w:spacing w:line="140" w:lineRule="exact"/>
              <w:ind w:left="95" w:right="79"/>
              <w:jc w:val="center"/>
              <w:rPr>
                <w:sz w:val="14"/>
              </w:rPr>
            </w:pPr>
            <w:r>
              <w:rPr>
                <w:spacing w:val="-5"/>
                <w:sz w:val="14"/>
              </w:rPr>
              <w:t>4.6</w:t>
            </w:r>
          </w:p>
        </w:tc>
      </w:tr>
    </w:tbl>
    <w:p>
      <w:pPr>
        <w:spacing w:after="0" w:line="140" w:lineRule="exact"/>
        <w:jc w:val="center"/>
        <w:rPr>
          <w:sz w:val="14"/>
        </w:rPr>
        <w:sectPr>
          <w:type w:val="continuous"/>
          <w:pgSz w:w="11910" w:h="16840"/>
          <w:pgMar w:header="0" w:footer="378" w:top="680" w:bottom="560" w:left="520" w:right="520"/>
        </w:sectPr>
      </w:pPr>
    </w:p>
    <w:tbl>
      <w:tblPr>
        <w:tblW w:w="0" w:type="auto"/>
        <w:jc w:val="left"/>
        <w:tblInd w:w="13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70"/>
        <w:gridCol w:w="1028"/>
        <w:gridCol w:w="769"/>
        <w:gridCol w:w="973"/>
        <w:gridCol w:w="1199"/>
        <w:gridCol w:w="897"/>
      </w:tblGrid>
      <w:tr>
        <w:trPr>
          <w:trHeight w:val="232" w:hRule="atLeast"/>
        </w:trPr>
        <w:tc>
          <w:tcPr>
            <w:tcW w:w="10636" w:type="dxa"/>
            <w:gridSpan w:val="6"/>
            <w:tcBorders>
              <w:left w:val="single" w:sz="12" w:space="0" w:color="000000"/>
              <w:bottom w:val="single" w:sz="4" w:space="0" w:color="000000"/>
              <w:right w:val="single" w:sz="12" w:space="0" w:color="000000"/>
            </w:tcBorders>
            <w:shd w:val="clear" w:color="auto" w:fill="3399FF"/>
          </w:tcPr>
          <w:p>
            <w:pPr>
              <w:pStyle w:val="TableParagraph"/>
              <w:spacing w:before="32"/>
              <w:ind w:left="4308" w:right="4290"/>
              <w:jc w:val="center"/>
              <w:rPr>
                <w:b/>
                <w:sz w:val="14"/>
              </w:rPr>
            </w:pPr>
            <w:r>
              <w:rPr>
                <w:b/>
                <w:color w:val="FFFFFF"/>
                <w:sz w:val="14"/>
              </w:rPr>
              <w:t>FEES</w:t>
            </w:r>
            <w:r>
              <w:rPr>
                <w:b/>
                <w:color w:val="FFFFFF"/>
                <w:spacing w:val="-5"/>
                <w:sz w:val="14"/>
              </w:rPr>
              <w:t> </w:t>
            </w:r>
            <w:r>
              <w:rPr>
                <w:b/>
                <w:color w:val="FFFFFF"/>
                <w:sz w:val="14"/>
              </w:rPr>
              <w:t>AND</w:t>
            </w:r>
            <w:r>
              <w:rPr>
                <w:b/>
                <w:color w:val="FFFFFF"/>
                <w:spacing w:val="-4"/>
                <w:sz w:val="14"/>
              </w:rPr>
              <w:t> </w:t>
            </w:r>
            <w:r>
              <w:rPr>
                <w:b/>
                <w:color w:val="FFFFFF"/>
                <w:sz w:val="14"/>
              </w:rPr>
              <w:t>CHARGES</w:t>
            </w:r>
            <w:r>
              <w:rPr>
                <w:b/>
                <w:color w:val="FFFFFF"/>
                <w:spacing w:val="-1"/>
                <w:sz w:val="14"/>
              </w:rPr>
              <w:t> </w:t>
            </w:r>
            <w:r>
              <w:rPr>
                <w:b/>
                <w:color w:val="FFFFFF"/>
                <w:spacing w:val="-2"/>
                <w:sz w:val="14"/>
              </w:rPr>
              <w:t>2025/26</w:t>
            </w:r>
          </w:p>
        </w:tc>
      </w:tr>
      <w:tr>
        <w:trPr>
          <w:trHeight w:val="858" w:hRule="atLeast"/>
        </w:trPr>
        <w:tc>
          <w:tcPr>
            <w:tcW w:w="5770" w:type="dxa"/>
            <w:tcBorders>
              <w:top w:val="single" w:sz="4" w:space="0" w:color="000000"/>
              <w:left w:val="single" w:sz="12" w:space="0" w:color="000000"/>
              <w:bottom w:val="single" w:sz="4" w:space="0" w:color="000000"/>
              <w:right w:val="single" w:sz="4"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107"/>
              <w:rPr>
                <w:b/>
                <w:sz w:val="14"/>
              </w:rPr>
            </w:pPr>
            <w:r>
              <w:rPr>
                <w:b/>
                <w:color w:val="FFFFFF"/>
                <w:sz w:val="14"/>
              </w:rPr>
              <w:t>Account</w:t>
            </w:r>
            <w:r>
              <w:rPr>
                <w:b/>
                <w:color w:val="FFFFFF"/>
                <w:spacing w:val="-7"/>
                <w:sz w:val="14"/>
              </w:rPr>
              <w:t> </w:t>
            </w:r>
            <w:r>
              <w:rPr>
                <w:b/>
                <w:color w:val="FFFFFF"/>
                <w:spacing w:val="-2"/>
                <w:sz w:val="14"/>
              </w:rPr>
              <w:t>Description</w:t>
            </w:r>
          </w:p>
        </w:tc>
        <w:tc>
          <w:tcPr>
            <w:tcW w:w="1028"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26" w:right="101" w:firstLine="4"/>
              <w:jc w:val="center"/>
              <w:rPr>
                <w:b/>
                <w:sz w:val="14"/>
              </w:rPr>
            </w:pPr>
            <w:r>
              <w:rPr>
                <w:b/>
                <w:color w:val="FFFFFF"/>
                <w:sz w:val="14"/>
              </w:rPr>
              <w:t>Fee</w:t>
            </w:r>
            <w:r>
              <w:rPr>
                <w:b/>
                <w:color w:val="FFFFFF"/>
                <w:spacing w:val="-6"/>
                <w:sz w:val="14"/>
              </w:rPr>
              <w:t> </w:t>
            </w:r>
            <w:r>
              <w:rPr>
                <w:b/>
                <w:color w:val="FFFFFF"/>
                <w:sz w:val="14"/>
              </w:rPr>
              <w:t>Type</w:t>
            </w:r>
            <w:r>
              <w:rPr>
                <w:b/>
                <w:color w:val="FFFFFF"/>
                <w:spacing w:val="40"/>
                <w:sz w:val="14"/>
              </w:rPr>
              <w:t> </w:t>
            </w:r>
            <w:r>
              <w:rPr>
                <w:b/>
                <w:color w:val="FFFFFF"/>
                <w:spacing w:val="-2"/>
                <w:sz w:val="14"/>
              </w:rPr>
              <w:t>N=Non-</w:t>
            </w:r>
            <w:r>
              <w:rPr>
                <w:b/>
                <w:color w:val="FFFFFF"/>
                <w:spacing w:val="40"/>
                <w:sz w:val="14"/>
              </w:rPr>
              <w:t> </w:t>
            </w:r>
            <w:r>
              <w:rPr>
                <w:b/>
                <w:color w:val="FFFFFF"/>
                <w:spacing w:val="-2"/>
                <w:sz w:val="14"/>
              </w:rPr>
              <w:t>Statutory</w:t>
            </w:r>
            <w:r>
              <w:rPr>
                <w:b/>
                <w:color w:val="FFFFFF"/>
                <w:spacing w:val="40"/>
                <w:sz w:val="14"/>
              </w:rPr>
              <w:t> </w:t>
            </w:r>
            <w:r>
              <w:rPr>
                <w:b/>
                <w:color w:val="FFFFFF"/>
                <w:spacing w:val="-2"/>
                <w:sz w:val="14"/>
              </w:rPr>
              <w:t>S=Statutory</w:t>
            </w:r>
          </w:p>
        </w:tc>
        <w:tc>
          <w:tcPr>
            <w:tcW w:w="76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4"/>
              <w:rPr>
                <w:sz w:val="23"/>
              </w:rPr>
            </w:pPr>
          </w:p>
          <w:p>
            <w:pPr>
              <w:pStyle w:val="TableParagraph"/>
              <w:spacing w:before="1"/>
              <w:ind w:left="248"/>
              <w:rPr>
                <w:b/>
                <w:sz w:val="14"/>
              </w:rPr>
            </w:pPr>
            <w:r>
              <w:rPr>
                <w:b/>
                <w:color w:val="FFFFFF"/>
                <w:spacing w:val="-5"/>
                <w:sz w:val="14"/>
              </w:rPr>
              <w:t>GST</w:t>
            </w:r>
          </w:p>
          <w:p>
            <w:pPr>
              <w:pStyle w:val="TableParagraph"/>
              <w:ind w:left="154"/>
              <w:rPr>
                <w:b/>
                <w:sz w:val="14"/>
              </w:rPr>
            </w:pPr>
            <w:r>
              <w:rPr>
                <w:b/>
                <w:color w:val="FFFFFF"/>
                <w:spacing w:val="-2"/>
                <w:sz w:val="14"/>
              </w:rPr>
              <w:t>Yes/No</w:t>
            </w:r>
          </w:p>
        </w:tc>
        <w:tc>
          <w:tcPr>
            <w:tcW w:w="973"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05" w:right="84"/>
              <w:jc w:val="center"/>
              <w:rPr>
                <w:b/>
                <w:sz w:val="14"/>
              </w:rPr>
            </w:pPr>
            <w:r>
              <w:rPr>
                <w:b/>
                <w:color w:val="FFFFFF"/>
                <w:spacing w:val="-2"/>
                <w:sz w:val="14"/>
              </w:rPr>
              <w:t>2024/25</w:t>
            </w:r>
          </w:p>
          <w:p>
            <w:pPr>
              <w:pStyle w:val="TableParagraph"/>
              <w:ind w:left="189" w:right="168" w:firstLine="1"/>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40"/>
                <w:sz w:val="14"/>
              </w:rPr>
              <w:t> </w:t>
            </w:r>
            <w:r>
              <w:rPr>
                <w:b/>
                <w:color w:val="FFFFFF"/>
                <w:sz w:val="14"/>
              </w:rPr>
              <w:t>Incl.</w:t>
            </w:r>
            <w:r>
              <w:rPr>
                <w:b/>
                <w:color w:val="FFFFFF"/>
                <w:spacing w:val="-5"/>
                <w:sz w:val="14"/>
              </w:rPr>
              <w:t> </w:t>
            </w:r>
            <w:r>
              <w:rPr>
                <w:b/>
                <w:color w:val="FFFFFF"/>
                <w:spacing w:val="-5"/>
                <w:sz w:val="14"/>
              </w:rPr>
              <w:t>GST</w:t>
            </w:r>
          </w:p>
        </w:tc>
        <w:tc>
          <w:tcPr>
            <w:tcW w:w="119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56" w:right="137"/>
              <w:jc w:val="center"/>
              <w:rPr>
                <w:b/>
                <w:sz w:val="14"/>
              </w:rPr>
            </w:pPr>
            <w:r>
              <w:rPr>
                <w:b/>
                <w:color w:val="FFFFFF"/>
                <w:spacing w:val="-2"/>
                <w:sz w:val="14"/>
              </w:rPr>
              <w:t>2025/26</w:t>
            </w:r>
          </w:p>
          <w:p>
            <w:pPr>
              <w:pStyle w:val="TableParagraph"/>
              <w:ind w:left="164" w:right="146" w:firstLine="2"/>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8"/>
                <w:sz w:val="14"/>
              </w:rPr>
              <w:t> </w:t>
            </w:r>
            <w:r>
              <w:rPr>
                <w:b/>
                <w:color w:val="FFFFFF"/>
                <w:spacing w:val="-2"/>
                <w:sz w:val="14"/>
              </w:rPr>
              <w:t>Incl.</w:t>
            </w:r>
          </w:p>
          <w:p>
            <w:pPr>
              <w:pStyle w:val="TableParagraph"/>
              <w:spacing w:line="161" w:lineRule="exact"/>
              <w:ind w:left="153" w:right="137"/>
              <w:jc w:val="center"/>
              <w:rPr>
                <w:b/>
                <w:sz w:val="14"/>
              </w:rPr>
            </w:pPr>
            <w:r>
              <w:rPr>
                <w:b/>
                <w:color w:val="FFFFFF"/>
                <w:spacing w:val="-5"/>
                <w:sz w:val="14"/>
              </w:rPr>
              <w:t>GST</w:t>
            </w:r>
          </w:p>
        </w:tc>
        <w:tc>
          <w:tcPr>
            <w:tcW w:w="897" w:type="dxa"/>
            <w:tcBorders>
              <w:top w:val="single" w:sz="4" w:space="0" w:color="000000"/>
              <w:left w:val="single" w:sz="4" w:space="0" w:color="000000"/>
              <w:bottom w:val="single" w:sz="4" w:space="0" w:color="000000"/>
              <w:right w:val="single" w:sz="12"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95" w:right="81"/>
              <w:jc w:val="center"/>
              <w:rPr>
                <w:b/>
                <w:sz w:val="14"/>
              </w:rPr>
            </w:pPr>
            <w:r>
              <w:rPr>
                <w:b/>
                <w:color w:val="FFFFFF"/>
                <w:sz w:val="14"/>
              </w:rPr>
              <w:t>%</w:t>
            </w:r>
            <w:r>
              <w:rPr>
                <w:b/>
                <w:color w:val="FFFFFF"/>
                <w:spacing w:val="-4"/>
                <w:sz w:val="14"/>
              </w:rPr>
              <w:t> </w:t>
            </w:r>
            <w:r>
              <w:rPr>
                <w:b/>
                <w:color w:val="FFFFFF"/>
                <w:spacing w:val="-2"/>
                <w:sz w:val="14"/>
              </w:rPr>
              <w:t>Change</w:t>
            </w:r>
          </w:p>
        </w:tc>
      </w:tr>
      <w:tr>
        <w:trPr>
          <w:trHeight w:val="356" w:hRule="atLeast"/>
        </w:trPr>
        <w:tc>
          <w:tcPr>
            <w:tcW w:w="5770" w:type="dxa"/>
            <w:tcBorders>
              <w:top w:val="single" w:sz="4" w:space="0" w:color="000000"/>
              <w:left w:val="single" w:sz="12" w:space="0" w:color="000000"/>
              <w:right w:val="single" w:sz="4" w:space="0" w:color="000000"/>
            </w:tcBorders>
            <w:shd w:val="clear" w:color="auto" w:fill="D8D8D8"/>
          </w:tcPr>
          <w:p>
            <w:pPr>
              <w:pStyle w:val="TableParagraph"/>
              <w:spacing w:line="217" w:lineRule="exact" w:before="120"/>
              <w:ind w:left="169"/>
              <w:rPr>
                <w:b/>
                <w:sz w:val="22"/>
              </w:rPr>
            </w:pPr>
            <w:r>
              <w:rPr>
                <w:b/>
                <w:sz w:val="22"/>
              </w:rPr>
              <w:t>Community</w:t>
            </w:r>
            <w:r>
              <w:rPr>
                <w:b/>
                <w:spacing w:val="-5"/>
                <w:sz w:val="22"/>
              </w:rPr>
              <w:t> </w:t>
            </w:r>
            <w:r>
              <w:rPr>
                <w:b/>
                <w:spacing w:val="-2"/>
                <w:sz w:val="22"/>
              </w:rPr>
              <w:t>Safety</w:t>
            </w:r>
          </w:p>
        </w:tc>
        <w:tc>
          <w:tcPr>
            <w:tcW w:w="1028"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shd w:val="clear" w:color="auto" w:fill="D8D8D8"/>
          </w:tcPr>
          <w:p>
            <w:pPr>
              <w:pStyle w:val="TableParagraph"/>
              <w:rPr>
                <w:rFonts w:ascii="Times New Roman"/>
                <w:sz w:val="12"/>
              </w:rPr>
            </w:pPr>
          </w:p>
        </w:tc>
      </w:tr>
      <w:tr>
        <w:trPr>
          <w:trHeight w:val="176" w:hRule="atLeast"/>
        </w:trPr>
        <w:tc>
          <w:tcPr>
            <w:tcW w:w="5770" w:type="dxa"/>
            <w:tcBorders>
              <w:left w:val="single" w:sz="12" w:space="0" w:color="000000"/>
              <w:bottom w:val="single" w:sz="4" w:space="0" w:color="000000"/>
              <w:right w:val="single" w:sz="4" w:space="0" w:color="000000"/>
            </w:tcBorders>
          </w:tcPr>
          <w:p>
            <w:pPr>
              <w:pStyle w:val="TableParagraph"/>
              <w:spacing w:line="140" w:lineRule="exact" w:before="16"/>
              <w:ind w:left="107"/>
              <w:rPr>
                <w:b/>
                <w:sz w:val="14"/>
              </w:rPr>
            </w:pPr>
            <w:r>
              <w:rPr>
                <w:b/>
                <w:sz w:val="14"/>
              </w:rPr>
              <w:t>Local</w:t>
            </w:r>
            <w:r>
              <w:rPr>
                <w:b/>
                <w:spacing w:val="-5"/>
                <w:sz w:val="14"/>
              </w:rPr>
              <w:t> </w:t>
            </w:r>
            <w:r>
              <w:rPr>
                <w:b/>
                <w:spacing w:val="-4"/>
                <w:sz w:val="14"/>
              </w:rPr>
              <w:t>Laws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0"/>
              </w:rPr>
            </w:pPr>
          </w:p>
        </w:tc>
      </w:tr>
      <w:tr>
        <w:trPr>
          <w:trHeight w:val="194"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57" w:lineRule="exact" w:before="17"/>
              <w:ind w:left="107"/>
              <w:rPr>
                <w:sz w:val="14"/>
              </w:rPr>
            </w:pPr>
            <w:r>
              <w:rPr>
                <w:sz w:val="14"/>
              </w:rPr>
              <w:t>Community</w:t>
            </w:r>
            <w:r>
              <w:rPr>
                <w:spacing w:val="-3"/>
                <w:sz w:val="14"/>
              </w:rPr>
              <w:t> </w:t>
            </w:r>
            <w:r>
              <w:rPr>
                <w:sz w:val="14"/>
              </w:rPr>
              <w:t>Local</w:t>
            </w:r>
            <w:r>
              <w:rPr>
                <w:spacing w:val="-4"/>
                <w:sz w:val="14"/>
              </w:rPr>
              <w:t> </w:t>
            </w:r>
            <w:r>
              <w:rPr>
                <w:sz w:val="14"/>
              </w:rPr>
              <w:t>Law</w:t>
            </w:r>
            <w:r>
              <w:rPr>
                <w:spacing w:val="-1"/>
                <w:sz w:val="14"/>
              </w:rPr>
              <w:t> </w:t>
            </w:r>
            <w:r>
              <w:rPr>
                <w:sz w:val="14"/>
              </w:rPr>
              <w:t>-</w:t>
            </w:r>
            <w:r>
              <w:rPr>
                <w:spacing w:val="-6"/>
                <w:sz w:val="14"/>
              </w:rPr>
              <w:t> </w:t>
            </w:r>
            <w:r>
              <w:rPr>
                <w:sz w:val="14"/>
              </w:rPr>
              <w:t>Infringement</w:t>
            </w:r>
            <w:r>
              <w:rPr>
                <w:spacing w:val="-6"/>
                <w:sz w:val="14"/>
              </w:rPr>
              <w:t> </w:t>
            </w:r>
            <w:r>
              <w:rPr>
                <w:sz w:val="14"/>
              </w:rPr>
              <w:t>Notice</w:t>
            </w:r>
            <w:r>
              <w:rPr>
                <w:spacing w:val="-3"/>
                <w:sz w:val="14"/>
              </w:rPr>
              <w:t> </w:t>
            </w:r>
            <w:r>
              <w:rPr>
                <w:sz w:val="14"/>
              </w:rPr>
              <w:t>-</w:t>
            </w:r>
            <w:r>
              <w:rPr>
                <w:spacing w:val="-2"/>
                <w:sz w:val="14"/>
              </w:rPr>
              <w:t> </w:t>
            </w:r>
            <w:r>
              <w:rPr>
                <w:sz w:val="14"/>
              </w:rPr>
              <w:t>1</w:t>
            </w:r>
            <w:r>
              <w:rPr>
                <w:spacing w:val="-5"/>
                <w:sz w:val="14"/>
              </w:rPr>
              <w:t> </w:t>
            </w:r>
            <w:r>
              <w:rPr>
                <w:sz w:val="14"/>
              </w:rPr>
              <w:t>Penalty</w:t>
            </w:r>
            <w:r>
              <w:rPr>
                <w:spacing w:val="-3"/>
                <w:sz w:val="14"/>
              </w:rPr>
              <w:t> </w:t>
            </w:r>
            <w:r>
              <w:rPr>
                <w:spacing w:val="-4"/>
                <w:sz w:val="14"/>
              </w:rPr>
              <w:t>Unit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34"/>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34"/>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34"/>
              <w:ind w:right="91"/>
              <w:jc w:val="right"/>
              <w:rPr>
                <w:sz w:val="14"/>
              </w:rPr>
            </w:pPr>
            <w:r>
              <w:rPr>
                <w:spacing w:val="-2"/>
                <w:sz w:val="14"/>
              </w:rPr>
              <w:t>198.00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34"/>
              <w:ind w:right="93"/>
              <w:jc w:val="right"/>
              <w:rPr>
                <w:sz w:val="14"/>
              </w:rPr>
            </w:pPr>
            <w:r>
              <w:rPr>
                <w:spacing w:val="-2"/>
                <w:sz w:val="14"/>
              </w:rPr>
              <w:t>198.00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34"/>
              <w:ind w:left="95" w:right="79"/>
              <w:jc w:val="center"/>
              <w:rPr>
                <w:sz w:val="14"/>
              </w:rPr>
            </w:pPr>
            <w:r>
              <w:rPr>
                <w:spacing w:val="-5"/>
                <w:sz w:val="14"/>
              </w:rPr>
              <w:t>0.0</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Permit</w:t>
            </w:r>
            <w:r>
              <w:rPr>
                <w:spacing w:val="-5"/>
                <w:sz w:val="14"/>
              </w:rPr>
              <w:t> </w:t>
            </w:r>
            <w:r>
              <w:rPr>
                <w:sz w:val="14"/>
              </w:rPr>
              <w:t>for</w:t>
            </w:r>
            <w:r>
              <w:rPr>
                <w:spacing w:val="-2"/>
                <w:sz w:val="14"/>
              </w:rPr>
              <w:t> </w:t>
            </w:r>
            <w:r>
              <w:rPr>
                <w:sz w:val="14"/>
              </w:rPr>
              <w:t>Footpath</w:t>
            </w:r>
            <w:r>
              <w:rPr>
                <w:spacing w:val="-3"/>
                <w:sz w:val="14"/>
              </w:rPr>
              <w:t> </w:t>
            </w:r>
            <w:r>
              <w:rPr>
                <w:sz w:val="14"/>
              </w:rPr>
              <w:t>Trading</w:t>
            </w:r>
            <w:r>
              <w:rPr>
                <w:spacing w:val="-2"/>
                <w:sz w:val="14"/>
              </w:rPr>
              <w:t> </w:t>
            </w:r>
            <w:r>
              <w:rPr>
                <w:sz w:val="14"/>
              </w:rPr>
              <w:t>-</w:t>
            </w:r>
            <w:r>
              <w:rPr>
                <w:spacing w:val="-3"/>
                <w:sz w:val="14"/>
              </w:rPr>
              <w:t> </w:t>
            </w:r>
            <w:r>
              <w:rPr>
                <w:sz w:val="14"/>
              </w:rPr>
              <w:t>1</w:t>
            </w:r>
            <w:r>
              <w:rPr>
                <w:spacing w:val="-5"/>
                <w:sz w:val="14"/>
              </w:rPr>
              <w:t> </w:t>
            </w:r>
            <w:r>
              <w:rPr>
                <w:spacing w:val="-2"/>
                <w:sz w:val="14"/>
              </w:rPr>
              <w:t>categories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154.00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3"/>
              <w:jc w:val="right"/>
              <w:rPr>
                <w:sz w:val="14"/>
              </w:rPr>
            </w:pPr>
            <w:r>
              <w:rPr>
                <w:spacing w:val="-2"/>
                <w:sz w:val="14"/>
              </w:rPr>
              <w:t>162.00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4.9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Permit</w:t>
            </w:r>
            <w:r>
              <w:rPr>
                <w:spacing w:val="-5"/>
                <w:sz w:val="14"/>
              </w:rPr>
              <w:t> </w:t>
            </w:r>
            <w:r>
              <w:rPr>
                <w:sz w:val="14"/>
              </w:rPr>
              <w:t>for</w:t>
            </w:r>
            <w:r>
              <w:rPr>
                <w:spacing w:val="-2"/>
                <w:sz w:val="14"/>
              </w:rPr>
              <w:t> </w:t>
            </w:r>
            <w:r>
              <w:rPr>
                <w:sz w:val="14"/>
              </w:rPr>
              <w:t>Footpath</w:t>
            </w:r>
            <w:r>
              <w:rPr>
                <w:spacing w:val="-3"/>
                <w:sz w:val="14"/>
              </w:rPr>
              <w:t> </w:t>
            </w:r>
            <w:r>
              <w:rPr>
                <w:sz w:val="14"/>
              </w:rPr>
              <w:t>Trading</w:t>
            </w:r>
            <w:r>
              <w:rPr>
                <w:spacing w:val="-2"/>
                <w:sz w:val="14"/>
              </w:rPr>
              <w:t> </w:t>
            </w:r>
            <w:r>
              <w:rPr>
                <w:sz w:val="14"/>
              </w:rPr>
              <w:t>-</w:t>
            </w:r>
            <w:r>
              <w:rPr>
                <w:spacing w:val="-3"/>
                <w:sz w:val="14"/>
              </w:rPr>
              <w:t> </w:t>
            </w:r>
            <w:r>
              <w:rPr>
                <w:sz w:val="14"/>
              </w:rPr>
              <w:t>2</w:t>
            </w:r>
            <w:r>
              <w:rPr>
                <w:spacing w:val="-5"/>
                <w:sz w:val="14"/>
              </w:rPr>
              <w:t> </w:t>
            </w:r>
            <w:r>
              <w:rPr>
                <w:spacing w:val="-2"/>
                <w:sz w:val="14"/>
              </w:rPr>
              <w:t>categories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269.00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282.00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Permit</w:t>
            </w:r>
            <w:r>
              <w:rPr>
                <w:spacing w:val="-5"/>
                <w:sz w:val="14"/>
              </w:rPr>
              <w:t> </w:t>
            </w:r>
            <w:r>
              <w:rPr>
                <w:sz w:val="14"/>
              </w:rPr>
              <w:t>for</w:t>
            </w:r>
            <w:r>
              <w:rPr>
                <w:spacing w:val="-3"/>
                <w:sz w:val="14"/>
              </w:rPr>
              <w:t> </w:t>
            </w:r>
            <w:r>
              <w:rPr>
                <w:sz w:val="14"/>
              </w:rPr>
              <w:t>Footpath</w:t>
            </w:r>
            <w:r>
              <w:rPr>
                <w:spacing w:val="-2"/>
                <w:sz w:val="14"/>
              </w:rPr>
              <w:t> </w:t>
            </w:r>
            <w:r>
              <w:rPr>
                <w:sz w:val="14"/>
              </w:rPr>
              <w:t>Trading</w:t>
            </w:r>
            <w:r>
              <w:rPr>
                <w:spacing w:val="-3"/>
                <w:sz w:val="14"/>
              </w:rPr>
              <w:t> </w:t>
            </w:r>
            <w:r>
              <w:rPr>
                <w:sz w:val="14"/>
              </w:rPr>
              <w:t>-</w:t>
            </w:r>
            <w:r>
              <w:rPr>
                <w:spacing w:val="-2"/>
                <w:sz w:val="14"/>
              </w:rPr>
              <w:t> </w:t>
            </w:r>
            <w:r>
              <w:rPr>
                <w:sz w:val="14"/>
              </w:rPr>
              <w:t>3</w:t>
            </w:r>
            <w:r>
              <w:rPr>
                <w:spacing w:val="-6"/>
                <w:sz w:val="14"/>
              </w:rPr>
              <w:t> </w:t>
            </w:r>
            <w:r>
              <w:rPr>
                <w:spacing w:val="-2"/>
                <w:sz w:val="14"/>
              </w:rPr>
              <w:t>categories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425.00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445.00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Footpath</w:t>
            </w:r>
            <w:r>
              <w:rPr>
                <w:spacing w:val="-5"/>
                <w:sz w:val="14"/>
              </w:rPr>
              <w:t> </w:t>
            </w:r>
            <w:r>
              <w:rPr>
                <w:sz w:val="14"/>
              </w:rPr>
              <w:t>Trading</w:t>
            </w:r>
            <w:r>
              <w:rPr>
                <w:spacing w:val="-2"/>
                <w:sz w:val="14"/>
              </w:rPr>
              <w:t> </w:t>
            </w:r>
            <w:r>
              <w:rPr>
                <w:sz w:val="14"/>
              </w:rPr>
              <w:t>area</w:t>
            </w:r>
            <w:r>
              <w:rPr>
                <w:spacing w:val="-4"/>
                <w:sz w:val="14"/>
              </w:rPr>
              <w:t> </w:t>
            </w:r>
            <w:r>
              <w:rPr>
                <w:sz w:val="14"/>
              </w:rPr>
              <w:t>in</w:t>
            </w:r>
            <w:r>
              <w:rPr>
                <w:spacing w:val="-1"/>
                <w:sz w:val="14"/>
              </w:rPr>
              <w:t> </w:t>
            </w:r>
            <w:r>
              <w:rPr>
                <w:sz w:val="14"/>
              </w:rPr>
              <w:t>excess</w:t>
            </w:r>
            <w:r>
              <w:rPr>
                <w:spacing w:val="-5"/>
                <w:sz w:val="14"/>
              </w:rPr>
              <w:t> </w:t>
            </w:r>
            <w:r>
              <w:rPr>
                <w:sz w:val="14"/>
              </w:rPr>
              <w:t>of</w:t>
            </w:r>
            <w:r>
              <w:rPr>
                <w:spacing w:val="-3"/>
                <w:sz w:val="14"/>
              </w:rPr>
              <w:t> </w:t>
            </w:r>
            <w:r>
              <w:rPr>
                <w:sz w:val="14"/>
              </w:rPr>
              <w:t>6m2</w:t>
            </w:r>
            <w:r>
              <w:rPr>
                <w:spacing w:val="-5"/>
                <w:sz w:val="14"/>
              </w:rPr>
              <w:t> </w:t>
            </w:r>
            <w:r>
              <w:rPr>
                <w:sz w:val="14"/>
              </w:rPr>
              <w:t>(per</w:t>
            </w:r>
            <w:r>
              <w:rPr>
                <w:spacing w:val="-2"/>
                <w:sz w:val="14"/>
              </w:rPr>
              <w:t> </w:t>
            </w:r>
            <w:r>
              <w:rPr>
                <w:sz w:val="14"/>
              </w:rPr>
              <w:t>square</w:t>
            </w:r>
            <w:r>
              <w:rPr>
                <w:spacing w:val="-6"/>
                <w:sz w:val="14"/>
              </w:rPr>
              <w:t> </w:t>
            </w:r>
            <w:r>
              <w:rPr>
                <w:spacing w:val="-2"/>
                <w:sz w:val="14"/>
              </w:rPr>
              <w:t>metre)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43.00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48.00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81"/>
              <w:jc w:val="center"/>
              <w:rPr>
                <w:sz w:val="14"/>
              </w:rPr>
            </w:pPr>
            <w:r>
              <w:rPr>
                <w:spacing w:val="-4"/>
                <w:sz w:val="14"/>
              </w:rPr>
              <w:t>10.4</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Permit</w:t>
            </w:r>
            <w:r>
              <w:rPr>
                <w:spacing w:val="-4"/>
                <w:sz w:val="14"/>
              </w:rPr>
              <w:t> </w:t>
            </w:r>
            <w:r>
              <w:rPr>
                <w:sz w:val="14"/>
              </w:rPr>
              <w:t>for</w:t>
            </w:r>
            <w:r>
              <w:rPr>
                <w:spacing w:val="-5"/>
                <w:sz w:val="14"/>
              </w:rPr>
              <w:t> </w:t>
            </w:r>
            <w:r>
              <w:rPr>
                <w:sz w:val="14"/>
              </w:rPr>
              <w:t>Commercial</w:t>
            </w:r>
            <w:r>
              <w:rPr>
                <w:spacing w:val="-1"/>
                <w:sz w:val="14"/>
              </w:rPr>
              <w:t> </w:t>
            </w:r>
            <w:r>
              <w:rPr>
                <w:sz w:val="14"/>
              </w:rPr>
              <w:t>waste</w:t>
            </w:r>
            <w:r>
              <w:rPr>
                <w:spacing w:val="-5"/>
                <w:sz w:val="14"/>
              </w:rPr>
              <w:t> </w:t>
            </w:r>
            <w:r>
              <w:rPr>
                <w:sz w:val="14"/>
              </w:rPr>
              <w:t>bin</w:t>
            </w:r>
            <w:r>
              <w:rPr>
                <w:spacing w:val="-2"/>
                <w:sz w:val="14"/>
              </w:rPr>
              <w:t> </w:t>
            </w:r>
            <w:r>
              <w:rPr>
                <w:sz w:val="14"/>
              </w:rPr>
              <w:t>on</w:t>
            </w:r>
            <w:r>
              <w:rPr>
                <w:spacing w:val="-5"/>
                <w:sz w:val="14"/>
              </w:rPr>
              <w:t> </w:t>
            </w:r>
            <w:r>
              <w:rPr>
                <w:sz w:val="14"/>
              </w:rPr>
              <w:t>Council</w:t>
            </w:r>
            <w:r>
              <w:rPr>
                <w:spacing w:val="-5"/>
                <w:sz w:val="14"/>
              </w:rPr>
              <w:t> </w:t>
            </w:r>
            <w:r>
              <w:rPr>
                <w:sz w:val="14"/>
              </w:rPr>
              <w:t>land</w:t>
            </w:r>
            <w:r>
              <w:rPr>
                <w:spacing w:val="-3"/>
                <w:sz w:val="14"/>
              </w:rPr>
              <w:t> </w:t>
            </w:r>
            <w:r>
              <w:rPr>
                <w:sz w:val="14"/>
              </w:rPr>
              <w:t>(per</w:t>
            </w:r>
            <w:r>
              <w:rPr>
                <w:spacing w:val="-2"/>
                <w:sz w:val="14"/>
              </w:rPr>
              <w:t> </w:t>
            </w:r>
            <w:r>
              <w:rPr>
                <w:sz w:val="14"/>
              </w:rPr>
              <w:t>annum/per</w:t>
            </w:r>
            <w:r>
              <w:rPr>
                <w:spacing w:val="-5"/>
                <w:sz w:val="14"/>
              </w:rPr>
              <w:t> </w:t>
            </w:r>
            <w:r>
              <w:rPr>
                <w:spacing w:val="-4"/>
                <w:sz w:val="14"/>
              </w:rPr>
              <w:t>bin)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280.00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295.00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5.1</w:t>
            </w: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Pr>
                <w:sz w:val="14"/>
              </w:rPr>
            </w:pPr>
            <w:r>
              <w:rPr>
                <w:sz w:val="14"/>
              </w:rPr>
              <w:t>Permit</w:t>
            </w:r>
            <w:r>
              <w:rPr>
                <w:spacing w:val="-2"/>
                <w:sz w:val="14"/>
              </w:rPr>
              <w:t> </w:t>
            </w:r>
            <w:r>
              <w:rPr>
                <w:sz w:val="14"/>
              </w:rPr>
              <w:t>for</w:t>
            </w:r>
            <w:r>
              <w:rPr>
                <w:spacing w:val="-3"/>
                <w:sz w:val="14"/>
              </w:rPr>
              <w:t> </w:t>
            </w:r>
            <w:r>
              <w:rPr>
                <w:sz w:val="14"/>
              </w:rPr>
              <w:t>skip</w:t>
            </w:r>
            <w:r>
              <w:rPr>
                <w:spacing w:val="-2"/>
                <w:sz w:val="14"/>
              </w:rPr>
              <w:t> </w:t>
            </w:r>
            <w:r>
              <w:rPr>
                <w:sz w:val="14"/>
              </w:rPr>
              <w:t>bin</w:t>
            </w:r>
            <w:r>
              <w:rPr>
                <w:spacing w:val="-3"/>
                <w:sz w:val="14"/>
              </w:rPr>
              <w:t> </w:t>
            </w:r>
            <w:r>
              <w:rPr>
                <w:sz w:val="14"/>
              </w:rPr>
              <w:t>to</w:t>
            </w:r>
            <w:r>
              <w:rPr>
                <w:spacing w:val="-2"/>
                <w:sz w:val="14"/>
              </w:rPr>
              <w:t> </w:t>
            </w:r>
            <w:r>
              <w:rPr>
                <w:sz w:val="14"/>
              </w:rPr>
              <w:t>be</w:t>
            </w:r>
            <w:r>
              <w:rPr>
                <w:spacing w:val="-4"/>
                <w:sz w:val="14"/>
              </w:rPr>
              <w:t> </w:t>
            </w:r>
            <w:r>
              <w:rPr>
                <w:sz w:val="14"/>
              </w:rPr>
              <w:t>left</w:t>
            </w:r>
            <w:r>
              <w:rPr>
                <w:spacing w:val="-2"/>
                <w:sz w:val="14"/>
              </w:rPr>
              <w:t> </w:t>
            </w:r>
            <w:r>
              <w:rPr>
                <w:sz w:val="14"/>
              </w:rPr>
              <w:t>on</w:t>
            </w:r>
            <w:r>
              <w:rPr>
                <w:spacing w:val="-1"/>
                <w:sz w:val="14"/>
              </w:rPr>
              <w:t> </w:t>
            </w:r>
            <w:r>
              <w:rPr>
                <w:sz w:val="14"/>
              </w:rPr>
              <w:t>nature</w:t>
            </w:r>
            <w:r>
              <w:rPr>
                <w:spacing w:val="-2"/>
                <w:sz w:val="14"/>
              </w:rPr>
              <w:t> </w:t>
            </w:r>
            <w:r>
              <w:rPr>
                <w:sz w:val="14"/>
              </w:rPr>
              <w:t>strip</w:t>
            </w:r>
            <w:r>
              <w:rPr>
                <w:spacing w:val="-3"/>
                <w:sz w:val="14"/>
              </w:rPr>
              <w:t> </w:t>
            </w:r>
            <w:r>
              <w:rPr>
                <w:sz w:val="14"/>
              </w:rPr>
              <w:t>Contractor</w:t>
            </w:r>
            <w:r>
              <w:rPr>
                <w:spacing w:val="-3"/>
                <w:sz w:val="14"/>
              </w:rPr>
              <w:t> </w:t>
            </w:r>
            <w:r>
              <w:rPr>
                <w:sz w:val="14"/>
              </w:rPr>
              <w:t>- not</w:t>
            </w:r>
            <w:r>
              <w:rPr>
                <w:spacing w:val="-3"/>
                <w:sz w:val="14"/>
              </w:rPr>
              <w:t> </w:t>
            </w:r>
            <w:r>
              <w:rPr>
                <w:sz w:val="14"/>
              </w:rPr>
              <w:t>individual person</w:t>
            </w:r>
            <w:r>
              <w:rPr>
                <w:spacing w:val="-4"/>
                <w:sz w:val="14"/>
              </w:rPr>
              <w:t> </w:t>
            </w:r>
            <w:r>
              <w:rPr>
                <w:sz w:val="14"/>
              </w:rPr>
              <w:t>1 to</w:t>
            </w:r>
            <w:r>
              <w:rPr>
                <w:spacing w:val="-2"/>
                <w:sz w:val="14"/>
              </w:rPr>
              <w:t> </w:t>
            </w:r>
            <w:r>
              <w:rPr>
                <w:sz w:val="14"/>
              </w:rPr>
              <w:t>3</w:t>
            </w:r>
            <w:r>
              <w:rPr>
                <w:spacing w:val="-1"/>
                <w:sz w:val="14"/>
              </w:rPr>
              <w:t> </w:t>
            </w:r>
            <w:r>
              <w:rPr>
                <w:sz w:val="14"/>
              </w:rPr>
              <w:t>days</w:t>
            </w:r>
            <w:r>
              <w:rPr>
                <w:spacing w:val="40"/>
                <w:sz w:val="14"/>
              </w:rPr>
              <w:t> </w:t>
            </w:r>
            <w:r>
              <w:rPr>
                <w:sz w:val="14"/>
              </w:rPr>
              <w:t>(per</w:t>
            </w:r>
            <w:r>
              <w:rPr>
                <w:spacing w:val="-8"/>
                <w:sz w:val="14"/>
              </w:rPr>
              <w:t> </w:t>
            </w:r>
            <w:r>
              <w:rPr>
                <w:sz w:val="14"/>
              </w:rPr>
              <w:t>bin)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1"/>
              <w:jc w:val="right"/>
              <w:rPr>
                <w:sz w:val="14"/>
              </w:rPr>
            </w:pPr>
            <w:r>
              <w:rPr>
                <w:spacing w:val="-2"/>
                <w:sz w:val="14"/>
              </w:rPr>
              <w:t>103.00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3"/>
              <w:jc w:val="right"/>
              <w:rPr>
                <w:sz w:val="14"/>
              </w:rPr>
            </w:pPr>
            <w:r>
              <w:rPr>
                <w:spacing w:val="-2"/>
                <w:sz w:val="14"/>
              </w:rPr>
              <w:t>110.00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0" w:lineRule="exact"/>
              <w:ind w:left="95" w:right="79"/>
              <w:jc w:val="center"/>
              <w:rPr>
                <w:sz w:val="14"/>
              </w:rPr>
            </w:pPr>
            <w:r>
              <w:rPr>
                <w:spacing w:val="-5"/>
                <w:sz w:val="14"/>
              </w:rPr>
              <w:t>6.4</w:t>
            </w:r>
          </w:p>
        </w:tc>
      </w:tr>
      <w:tr>
        <w:trPr>
          <w:trHeight w:val="36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20"/>
              <w:ind w:left="107"/>
              <w:rPr>
                <w:sz w:val="14"/>
              </w:rPr>
            </w:pPr>
            <w:r>
              <w:rPr>
                <w:sz w:val="14"/>
              </w:rPr>
              <w:t>Permit</w:t>
            </w:r>
            <w:r>
              <w:rPr>
                <w:spacing w:val="-2"/>
                <w:sz w:val="14"/>
              </w:rPr>
              <w:t> </w:t>
            </w:r>
            <w:r>
              <w:rPr>
                <w:sz w:val="14"/>
              </w:rPr>
              <w:t>for</w:t>
            </w:r>
            <w:r>
              <w:rPr>
                <w:spacing w:val="-3"/>
                <w:sz w:val="14"/>
              </w:rPr>
              <w:t> </w:t>
            </w:r>
            <w:r>
              <w:rPr>
                <w:sz w:val="14"/>
              </w:rPr>
              <w:t>skip</w:t>
            </w:r>
            <w:r>
              <w:rPr>
                <w:spacing w:val="-2"/>
                <w:sz w:val="14"/>
              </w:rPr>
              <w:t> </w:t>
            </w:r>
            <w:r>
              <w:rPr>
                <w:sz w:val="14"/>
              </w:rPr>
              <w:t>bin</w:t>
            </w:r>
            <w:r>
              <w:rPr>
                <w:spacing w:val="-3"/>
                <w:sz w:val="14"/>
              </w:rPr>
              <w:t> </w:t>
            </w:r>
            <w:r>
              <w:rPr>
                <w:sz w:val="14"/>
              </w:rPr>
              <w:t>to</w:t>
            </w:r>
            <w:r>
              <w:rPr>
                <w:spacing w:val="-2"/>
                <w:sz w:val="14"/>
              </w:rPr>
              <w:t> </w:t>
            </w:r>
            <w:r>
              <w:rPr>
                <w:sz w:val="14"/>
              </w:rPr>
              <w:t>be</w:t>
            </w:r>
            <w:r>
              <w:rPr>
                <w:spacing w:val="-4"/>
                <w:sz w:val="14"/>
              </w:rPr>
              <w:t> </w:t>
            </w:r>
            <w:r>
              <w:rPr>
                <w:sz w:val="14"/>
              </w:rPr>
              <w:t>left</w:t>
            </w:r>
            <w:r>
              <w:rPr>
                <w:spacing w:val="-2"/>
                <w:sz w:val="14"/>
              </w:rPr>
              <w:t> </w:t>
            </w:r>
            <w:r>
              <w:rPr>
                <w:sz w:val="14"/>
              </w:rPr>
              <w:t>on</w:t>
            </w:r>
            <w:r>
              <w:rPr>
                <w:spacing w:val="-1"/>
                <w:sz w:val="14"/>
              </w:rPr>
              <w:t> </w:t>
            </w:r>
            <w:r>
              <w:rPr>
                <w:sz w:val="14"/>
              </w:rPr>
              <w:t>nature</w:t>
            </w:r>
            <w:r>
              <w:rPr>
                <w:spacing w:val="-2"/>
                <w:sz w:val="14"/>
              </w:rPr>
              <w:t> </w:t>
            </w:r>
            <w:r>
              <w:rPr>
                <w:sz w:val="14"/>
              </w:rPr>
              <w:t>strip</w:t>
            </w:r>
            <w:r>
              <w:rPr>
                <w:spacing w:val="-3"/>
                <w:sz w:val="14"/>
              </w:rPr>
              <w:t> </w:t>
            </w:r>
            <w:r>
              <w:rPr>
                <w:sz w:val="14"/>
              </w:rPr>
              <w:t>Contractor</w:t>
            </w:r>
            <w:r>
              <w:rPr>
                <w:spacing w:val="-3"/>
                <w:sz w:val="14"/>
              </w:rPr>
              <w:t> </w:t>
            </w:r>
            <w:r>
              <w:rPr>
                <w:sz w:val="14"/>
              </w:rPr>
              <w:t>- not</w:t>
            </w:r>
            <w:r>
              <w:rPr>
                <w:spacing w:val="-3"/>
                <w:sz w:val="14"/>
              </w:rPr>
              <w:t> </w:t>
            </w:r>
            <w:r>
              <w:rPr>
                <w:sz w:val="14"/>
              </w:rPr>
              <w:t>individual person</w:t>
            </w:r>
            <w:r>
              <w:rPr>
                <w:spacing w:val="-4"/>
                <w:sz w:val="14"/>
              </w:rPr>
              <w:t> </w:t>
            </w:r>
            <w:r>
              <w:rPr>
                <w:sz w:val="14"/>
              </w:rPr>
              <w:t>4 to</w:t>
            </w:r>
            <w:r>
              <w:rPr>
                <w:spacing w:val="-2"/>
                <w:sz w:val="14"/>
              </w:rPr>
              <w:t> </w:t>
            </w:r>
            <w:r>
              <w:rPr>
                <w:sz w:val="14"/>
              </w:rPr>
              <w:t>8</w:t>
            </w:r>
            <w:r>
              <w:rPr>
                <w:spacing w:val="-1"/>
                <w:sz w:val="14"/>
              </w:rPr>
              <w:t> </w:t>
            </w:r>
            <w:r>
              <w:rPr>
                <w:sz w:val="14"/>
              </w:rPr>
              <w:t>days</w:t>
            </w:r>
            <w:r>
              <w:rPr>
                <w:spacing w:val="40"/>
                <w:sz w:val="14"/>
              </w:rPr>
              <w:t> </w:t>
            </w:r>
            <w:r>
              <w:rPr>
                <w:sz w:val="14"/>
              </w:rPr>
              <w:t>(per</w:t>
            </w:r>
            <w:r>
              <w:rPr>
                <w:spacing w:val="-8"/>
                <w:sz w:val="14"/>
              </w:rPr>
              <w:t> </w:t>
            </w:r>
            <w:r>
              <w:rPr>
                <w:sz w:val="14"/>
              </w:rPr>
              <w:t>bin)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6"/>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6"/>
              <w:rPr>
                <w:sz w:val="17"/>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6"/>
              <w:rPr>
                <w:sz w:val="17"/>
              </w:rPr>
            </w:pPr>
          </w:p>
          <w:p>
            <w:pPr>
              <w:pStyle w:val="TableParagraph"/>
              <w:spacing w:line="140" w:lineRule="exact"/>
              <w:ind w:right="91"/>
              <w:jc w:val="right"/>
              <w:rPr>
                <w:sz w:val="14"/>
              </w:rPr>
            </w:pPr>
            <w:r>
              <w:rPr>
                <w:spacing w:val="-2"/>
                <w:sz w:val="14"/>
              </w:rPr>
              <w:t>167.00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6"/>
              <w:rPr>
                <w:sz w:val="17"/>
              </w:rPr>
            </w:pPr>
          </w:p>
          <w:p>
            <w:pPr>
              <w:pStyle w:val="TableParagraph"/>
              <w:spacing w:line="140" w:lineRule="exact"/>
              <w:ind w:right="93"/>
              <w:jc w:val="right"/>
              <w:rPr>
                <w:sz w:val="14"/>
              </w:rPr>
            </w:pPr>
            <w:r>
              <w:rPr>
                <w:spacing w:val="-2"/>
                <w:sz w:val="14"/>
              </w:rPr>
              <w:t>176.00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6"/>
              <w:rPr>
                <w:sz w:val="17"/>
              </w:rPr>
            </w:pPr>
          </w:p>
          <w:p>
            <w:pPr>
              <w:pStyle w:val="TableParagraph"/>
              <w:spacing w:line="140" w:lineRule="exact"/>
              <w:ind w:left="95" w:right="79"/>
              <w:jc w:val="center"/>
              <w:rPr>
                <w:sz w:val="14"/>
              </w:rPr>
            </w:pPr>
            <w:r>
              <w:rPr>
                <w:spacing w:val="-5"/>
                <w:sz w:val="14"/>
              </w:rPr>
              <w:t>5.1</w:t>
            </w: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Pr>
                <w:sz w:val="14"/>
              </w:rPr>
            </w:pPr>
            <w:r>
              <w:rPr>
                <w:sz w:val="14"/>
              </w:rPr>
              <w:t>Permit</w:t>
            </w:r>
            <w:r>
              <w:rPr>
                <w:spacing w:val="-2"/>
                <w:sz w:val="14"/>
              </w:rPr>
              <w:t> </w:t>
            </w:r>
            <w:r>
              <w:rPr>
                <w:sz w:val="14"/>
              </w:rPr>
              <w:t>for</w:t>
            </w:r>
            <w:r>
              <w:rPr>
                <w:spacing w:val="-3"/>
                <w:sz w:val="14"/>
              </w:rPr>
              <w:t> </w:t>
            </w:r>
            <w:r>
              <w:rPr>
                <w:sz w:val="14"/>
              </w:rPr>
              <w:t>skip</w:t>
            </w:r>
            <w:r>
              <w:rPr>
                <w:spacing w:val="-2"/>
                <w:sz w:val="14"/>
              </w:rPr>
              <w:t> </w:t>
            </w:r>
            <w:r>
              <w:rPr>
                <w:sz w:val="14"/>
              </w:rPr>
              <w:t>bin</w:t>
            </w:r>
            <w:r>
              <w:rPr>
                <w:spacing w:val="-3"/>
                <w:sz w:val="14"/>
              </w:rPr>
              <w:t> </w:t>
            </w:r>
            <w:r>
              <w:rPr>
                <w:sz w:val="14"/>
              </w:rPr>
              <w:t>to</w:t>
            </w:r>
            <w:r>
              <w:rPr>
                <w:spacing w:val="-2"/>
                <w:sz w:val="14"/>
              </w:rPr>
              <w:t> </w:t>
            </w:r>
            <w:r>
              <w:rPr>
                <w:sz w:val="14"/>
              </w:rPr>
              <w:t>be</w:t>
            </w:r>
            <w:r>
              <w:rPr>
                <w:spacing w:val="-4"/>
                <w:sz w:val="14"/>
              </w:rPr>
              <w:t> </w:t>
            </w:r>
            <w:r>
              <w:rPr>
                <w:sz w:val="14"/>
              </w:rPr>
              <w:t>left</w:t>
            </w:r>
            <w:r>
              <w:rPr>
                <w:spacing w:val="-2"/>
                <w:sz w:val="14"/>
              </w:rPr>
              <w:t> </w:t>
            </w:r>
            <w:r>
              <w:rPr>
                <w:sz w:val="14"/>
              </w:rPr>
              <w:t>on</w:t>
            </w:r>
            <w:r>
              <w:rPr>
                <w:spacing w:val="-1"/>
                <w:sz w:val="14"/>
              </w:rPr>
              <w:t> </w:t>
            </w:r>
            <w:r>
              <w:rPr>
                <w:sz w:val="14"/>
              </w:rPr>
              <w:t>nature</w:t>
            </w:r>
            <w:r>
              <w:rPr>
                <w:spacing w:val="-2"/>
                <w:sz w:val="14"/>
              </w:rPr>
              <w:t> </w:t>
            </w:r>
            <w:r>
              <w:rPr>
                <w:sz w:val="14"/>
              </w:rPr>
              <w:t>strip</w:t>
            </w:r>
            <w:r>
              <w:rPr>
                <w:spacing w:val="-3"/>
                <w:sz w:val="14"/>
              </w:rPr>
              <w:t> </w:t>
            </w:r>
            <w:r>
              <w:rPr>
                <w:sz w:val="14"/>
              </w:rPr>
              <w:t>Contractor</w:t>
            </w:r>
            <w:r>
              <w:rPr>
                <w:spacing w:val="-3"/>
                <w:sz w:val="14"/>
              </w:rPr>
              <w:t> </w:t>
            </w:r>
            <w:r>
              <w:rPr>
                <w:sz w:val="14"/>
              </w:rPr>
              <w:t>- not</w:t>
            </w:r>
            <w:r>
              <w:rPr>
                <w:spacing w:val="-3"/>
                <w:sz w:val="14"/>
              </w:rPr>
              <w:t> </w:t>
            </w:r>
            <w:r>
              <w:rPr>
                <w:sz w:val="14"/>
              </w:rPr>
              <w:t>individual person</w:t>
            </w:r>
            <w:r>
              <w:rPr>
                <w:spacing w:val="-4"/>
                <w:sz w:val="14"/>
              </w:rPr>
              <w:t> </w:t>
            </w:r>
            <w:r>
              <w:rPr>
                <w:sz w:val="14"/>
              </w:rPr>
              <w:t>9 to</w:t>
            </w:r>
            <w:r>
              <w:rPr>
                <w:spacing w:val="-2"/>
                <w:sz w:val="14"/>
              </w:rPr>
              <w:t> </w:t>
            </w:r>
            <w:r>
              <w:rPr>
                <w:sz w:val="14"/>
              </w:rPr>
              <w:t>14</w:t>
            </w:r>
            <w:r>
              <w:rPr>
                <w:spacing w:val="-4"/>
                <w:sz w:val="14"/>
              </w:rPr>
              <w:t> </w:t>
            </w:r>
            <w:r>
              <w:rPr>
                <w:sz w:val="14"/>
              </w:rPr>
              <w:t>days</w:t>
            </w:r>
            <w:r>
              <w:rPr>
                <w:spacing w:val="40"/>
                <w:sz w:val="14"/>
              </w:rPr>
              <w:t> </w:t>
            </w:r>
            <w:r>
              <w:rPr>
                <w:sz w:val="14"/>
              </w:rPr>
              <w:t>(per</w:t>
            </w:r>
            <w:r>
              <w:rPr>
                <w:spacing w:val="-8"/>
                <w:sz w:val="14"/>
              </w:rPr>
              <w:t> </w:t>
            </w:r>
            <w:r>
              <w:rPr>
                <w:sz w:val="14"/>
              </w:rPr>
              <w:t>bin)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1"/>
              <w:jc w:val="right"/>
              <w:rPr>
                <w:sz w:val="14"/>
              </w:rPr>
            </w:pPr>
            <w:r>
              <w:rPr>
                <w:spacing w:val="-2"/>
                <w:sz w:val="14"/>
              </w:rPr>
              <w:t>225.00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3"/>
              <w:jc w:val="right"/>
              <w:rPr>
                <w:sz w:val="14"/>
              </w:rPr>
            </w:pPr>
            <w:r>
              <w:rPr>
                <w:spacing w:val="-2"/>
                <w:sz w:val="14"/>
              </w:rPr>
              <w:t>236.00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0" w:lineRule="exact"/>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Shipping</w:t>
            </w:r>
            <w:r>
              <w:rPr>
                <w:spacing w:val="-6"/>
                <w:sz w:val="14"/>
              </w:rPr>
              <w:t> </w:t>
            </w:r>
            <w:r>
              <w:rPr>
                <w:sz w:val="14"/>
              </w:rPr>
              <w:t>Container</w:t>
            </w:r>
            <w:r>
              <w:rPr>
                <w:spacing w:val="-5"/>
                <w:sz w:val="14"/>
              </w:rPr>
              <w:t> </w:t>
            </w:r>
            <w:r>
              <w:rPr>
                <w:sz w:val="14"/>
              </w:rPr>
              <w:t>Permit</w:t>
            </w:r>
            <w:r>
              <w:rPr>
                <w:spacing w:val="-2"/>
                <w:sz w:val="14"/>
              </w:rPr>
              <w:t> </w:t>
            </w:r>
            <w:r>
              <w:rPr>
                <w:sz w:val="14"/>
              </w:rPr>
              <w:t>(for</w:t>
            </w:r>
            <w:r>
              <w:rPr>
                <w:spacing w:val="-5"/>
                <w:sz w:val="14"/>
              </w:rPr>
              <w:t> </w:t>
            </w:r>
            <w:r>
              <w:rPr>
                <w:sz w:val="14"/>
              </w:rPr>
              <w:t>longer</w:t>
            </w:r>
            <w:r>
              <w:rPr>
                <w:spacing w:val="-5"/>
                <w:sz w:val="14"/>
              </w:rPr>
              <w:t> </w:t>
            </w:r>
            <w:r>
              <w:rPr>
                <w:sz w:val="14"/>
              </w:rPr>
              <w:t>than</w:t>
            </w:r>
            <w:r>
              <w:rPr>
                <w:spacing w:val="-3"/>
                <w:sz w:val="14"/>
              </w:rPr>
              <w:t> </w:t>
            </w:r>
            <w:r>
              <w:rPr>
                <w:sz w:val="14"/>
              </w:rPr>
              <w:t>28</w:t>
            </w:r>
            <w:r>
              <w:rPr>
                <w:spacing w:val="-3"/>
                <w:sz w:val="14"/>
              </w:rPr>
              <w:t> </w:t>
            </w:r>
            <w:r>
              <w:rPr>
                <w:spacing w:val="-2"/>
                <w:sz w:val="14"/>
              </w:rPr>
              <w:t>days)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275.00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290.00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5.2</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Permit</w:t>
            </w:r>
            <w:r>
              <w:rPr>
                <w:spacing w:val="-6"/>
                <w:sz w:val="14"/>
              </w:rPr>
              <w:t> </w:t>
            </w:r>
            <w:r>
              <w:rPr>
                <w:sz w:val="14"/>
              </w:rPr>
              <w:t>to</w:t>
            </w:r>
            <w:r>
              <w:rPr>
                <w:spacing w:val="-3"/>
                <w:sz w:val="14"/>
              </w:rPr>
              <w:t> </w:t>
            </w:r>
            <w:r>
              <w:rPr>
                <w:sz w:val="14"/>
              </w:rPr>
              <w:t>keep</w:t>
            </w:r>
            <w:r>
              <w:rPr>
                <w:spacing w:val="-2"/>
                <w:sz w:val="14"/>
              </w:rPr>
              <w:t> </w:t>
            </w:r>
            <w:r>
              <w:rPr>
                <w:sz w:val="14"/>
              </w:rPr>
              <w:t>additional</w:t>
            </w:r>
            <w:r>
              <w:rPr>
                <w:spacing w:val="-3"/>
                <w:sz w:val="14"/>
              </w:rPr>
              <w:t> </w:t>
            </w:r>
            <w:r>
              <w:rPr>
                <w:sz w:val="14"/>
              </w:rPr>
              <w:t>animals</w:t>
            </w:r>
            <w:r>
              <w:rPr>
                <w:spacing w:val="-3"/>
                <w:sz w:val="14"/>
              </w:rPr>
              <w:t> </w:t>
            </w:r>
            <w:r>
              <w:rPr>
                <w:sz w:val="14"/>
              </w:rPr>
              <w:t>or</w:t>
            </w:r>
            <w:r>
              <w:rPr>
                <w:spacing w:val="-3"/>
                <w:sz w:val="14"/>
              </w:rPr>
              <w:t> </w:t>
            </w:r>
            <w:r>
              <w:rPr>
                <w:sz w:val="14"/>
              </w:rPr>
              <w:t>birds</w:t>
            </w:r>
            <w:r>
              <w:rPr>
                <w:spacing w:val="-6"/>
                <w:sz w:val="14"/>
              </w:rPr>
              <w:t> </w:t>
            </w:r>
            <w:r>
              <w:rPr>
                <w:sz w:val="14"/>
              </w:rPr>
              <w:t>(annual</w:t>
            </w:r>
            <w:r>
              <w:rPr>
                <w:spacing w:val="-3"/>
                <w:sz w:val="14"/>
              </w:rPr>
              <w:t> </w:t>
            </w:r>
            <w:r>
              <w:rPr>
                <w:spacing w:val="-2"/>
                <w:sz w:val="14"/>
              </w:rPr>
              <w:t>renewal)</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65.00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68.00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4.4</w:t>
            </w:r>
          </w:p>
        </w:tc>
      </w:tr>
      <w:tr>
        <w:trPr>
          <w:trHeight w:val="210"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51"/>
              <w:ind w:left="107"/>
              <w:rPr>
                <w:sz w:val="14"/>
              </w:rPr>
            </w:pPr>
            <w:r>
              <w:rPr>
                <w:sz w:val="14"/>
              </w:rPr>
              <w:t>Permit</w:t>
            </w:r>
            <w:r>
              <w:rPr>
                <w:spacing w:val="-4"/>
                <w:sz w:val="14"/>
              </w:rPr>
              <w:t> </w:t>
            </w:r>
            <w:r>
              <w:rPr>
                <w:sz w:val="14"/>
              </w:rPr>
              <w:t>to</w:t>
            </w:r>
            <w:r>
              <w:rPr>
                <w:spacing w:val="-2"/>
                <w:sz w:val="14"/>
              </w:rPr>
              <w:t> </w:t>
            </w:r>
            <w:r>
              <w:rPr>
                <w:sz w:val="14"/>
              </w:rPr>
              <w:t>sell</w:t>
            </w:r>
            <w:r>
              <w:rPr>
                <w:spacing w:val="-2"/>
                <w:sz w:val="14"/>
              </w:rPr>
              <w:t> </w:t>
            </w:r>
            <w:r>
              <w:rPr>
                <w:sz w:val="14"/>
              </w:rPr>
              <w:t>goods</w:t>
            </w:r>
            <w:r>
              <w:rPr>
                <w:spacing w:val="-2"/>
                <w:sz w:val="14"/>
              </w:rPr>
              <w:t> </w:t>
            </w:r>
            <w:r>
              <w:rPr>
                <w:sz w:val="14"/>
              </w:rPr>
              <w:t>i.e.</w:t>
            </w:r>
            <w:r>
              <w:rPr>
                <w:spacing w:val="-2"/>
                <w:sz w:val="14"/>
              </w:rPr>
              <w:t> </w:t>
            </w:r>
            <w:r>
              <w:rPr>
                <w:sz w:val="14"/>
              </w:rPr>
              <w:t>Street</w:t>
            </w:r>
            <w:r>
              <w:rPr>
                <w:spacing w:val="-5"/>
                <w:sz w:val="14"/>
              </w:rPr>
              <w:t> </w:t>
            </w:r>
            <w:r>
              <w:rPr>
                <w:sz w:val="14"/>
              </w:rPr>
              <w:t>Stalls</w:t>
            </w:r>
            <w:r>
              <w:rPr>
                <w:spacing w:val="-2"/>
                <w:sz w:val="14"/>
              </w:rPr>
              <w:t> </w:t>
            </w:r>
            <w:r>
              <w:rPr>
                <w:sz w:val="14"/>
              </w:rPr>
              <w:t>-</w:t>
            </w:r>
            <w:r>
              <w:rPr>
                <w:spacing w:val="-4"/>
                <w:sz w:val="14"/>
              </w:rPr>
              <w:t> </w:t>
            </w:r>
            <w:r>
              <w:rPr>
                <w:sz w:val="14"/>
              </w:rPr>
              <w:t>per</w:t>
            </w:r>
            <w:r>
              <w:rPr>
                <w:spacing w:val="-2"/>
                <w:sz w:val="14"/>
              </w:rPr>
              <w:t> </w:t>
            </w:r>
            <w:r>
              <w:rPr>
                <w:spacing w:val="-4"/>
                <w:sz w:val="14"/>
              </w:rPr>
              <w:t>annum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51"/>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51"/>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51"/>
              <w:ind w:right="91"/>
              <w:jc w:val="right"/>
              <w:rPr>
                <w:sz w:val="14"/>
              </w:rPr>
            </w:pPr>
            <w:r>
              <w:rPr>
                <w:spacing w:val="-2"/>
                <w:sz w:val="14"/>
              </w:rPr>
              <w:t>3,335.00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51"/>
              <w:ind w:right="92"/>
              <w:jc w:val="right"/>
              <w:rPr>
                <w:sz w:val="14"/>
              </w:rPr>
            </w:pPr>
            <w:r>
              <w:rPr>
                <w:spacing w:val="-2"/>
                <w:sz w:val="14"/>
              </w:rPr>
              <w:t>3,495.00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51"/>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Permit</w:t>
            </w:r>
            <w:r>
              <w:rPr>
                <w:spacing w:val="-5"/>
                <w:sz w:val="14"/>
              </w:rPr>
              <w:t> </w:t>
            </w:r>
            <w:r>
              <w:rPr>
                <w:sz w:val="14"/>
              </w:rPr>
              <w:t>Real</w:t>
            </w:r>
            <w:r>
              <w:rPr>
                <w:spacing w:val="-4"/>
                <w:sz w:val="14"/>
              </w:rPr>
              <w:t> </w:t>
            </w:r>
            <w:r>
              <w:rPr>
                <w:sz w:val="14"/>
              </w:rPr>
              <w:t>Estate</w:t>
            </w:r>
            <w:r>
              <w:rPr>
                <w:spacing w:val="-3"/>
                <w:sz w:val="14"/>
              </w:rPr>
              <w:t> </w:t>
            </w:r>
            <w:r>
              <w:rPr>
                <w:sz w:val="14"/>
              </w:rPr>
              <w:t>Advertising</w:t>
            </w:r>
            <w:r>
              <w:rPr>
                <w:spacing w:val="-5"/>
                <w:sz w:val="14"/>
              </w:rPr>
              <w:t> </w:t>
            </w:r>
            <w:r>
              <w:rPr>
                <w:sz w:val="14"/>
              </w:rPr>
              <w:t>Sign</w:t>
            </w:r>
            <w:r>
              <w:rPr>
                <w:spacing w:val="-3"/>
                <w:sz w:val="14"/>
              </w:rPr>
              <w:t> </w:t>
            </w:r>
            <w:r>
              <w:rPr>
                <w:sz w:val="14"/>
              </w:rPr>
              <w:t>on</w:t>
            </w:r>
            <w:r>
              <w:rPr>
                <w:spacing w:val="-2"/>
                <w:sz w:val="14"/>
              </w:rPr>
              <w:t> </w:t>
            </w:r>
            <w:r>
              <w:rPr>
                <w:sz w:val="14"/>
              </w:rPr>
              <w:t>Council</w:t>
            </w:r>
            <w:r>
              <w:rPr>
                <w:spacing w:val="-4"/>
                <w:sz w:val="14"/>
              </w:rPr>
              <w:t> </w:t>
            </w:r>
            <w:r>
              <w:rPr>
                <w:sz w:val="14"/>
              </w:rPr>
              <w:t>land</w:t>
            </w:r>
            <w:r>
              <w:rPr>
                <w:spacing w:val="-2"/>
                <w:sz w:val="14"/>
              </w:rPr>
              <w:t> </w:t>
            </w:r>
            <w:r>
              <w:rPr>
                <w:sz w:val="14"/>
              </w:rPr>
              <w:t>(per</w:t>
            </w:r>
            <w:r>
              <w:rPr>
                <w:spacing w:val="-2"/>
                <w:sz w:val="14"/>
              </w:rPr>
              <w:t> annum)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506.00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532.00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Permit</w:t>
            </w:r>
            <w:r>
              <w:rPr>
                <w:spacing w:val="-5"/>
                <w:sz w:val="14"/>
              </w:rPr>
              <w:t> </w:t>
            </w:r>
            <w:r>
              <w:rPr>
                <w:sz w:val="14"/>
              </w:rPr>
              <w:t>Street</w:t>
            </w:r>
            <w:r>
              <w:rPr>
                <w:spacing w:val="-3"/>
                <w:sz w:val="14"/>
              </w:rPr>
              <w:t> </w:t>
            </w:r>
            <w:r>
              <w:rPr>
                <w:sz w:val="14"/>
              </w:rPr>
              <w:t>Performance</w:t>
            </w:r>
            <w:r>
              <w:rPr>
                <w:spacing w:val="-5"/>
                <w:sz w:val="14"/>
              </w:rPr>
              <w:t> </w:t>
            </w:r>
            <w:r>
              <w:rPr>
                <w:sz w:val="14"/>
              </w:rPr>
              <w:t>on</w:t>
            </w:r>
            <w:r>
              <w:rPr>
                <w:spacing w:val="-5"/>
                <w:sz w:val="14"/>
              </w:rPr>
              <w:t> </w:t>
            </w:r>
            <w:r>
              <w:rPr>
                <w:sz w:val="14"/>
              </w:rPr>
              <w:t>Council</w:t>
            </w:r>
            <w:r>
              <w:rPr>
                <w:spacing w:val="-6"/>
                <w:sz w:val="14"/>
              </w:rPr>
              <w:t> </w:t>
            </w:r>
            <w:r>
              <w:rPr>
                <w:spacing w:val="-4"/>
                <w:sz w:val="14"/>
              </w:rPr>
              <w:t>land</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54.00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57.00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5.3</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Permit</w:t>
            </w:r>
            <w:r>
              <w:rPr>
                <w:spacing w:val="-5"/>
                <w:sz w:val="14"/>
              </w:rPr>
              <w:t> </w:t>
            </w:r>
            <w:r>
              <w:rPr>
                <w:sz w:val="14"/>
              </w:rPr>
              <w:t>Street</w:t>
            </w:r>
            <w:r>
              <w:rPr>
                <w:spacing w:val="-2"/>
                <w:sz w:val="14"/>
              </w:rPr>
              <w:t> </w:t>
            </w:r>
            <w:r>
              <w:rPr>
                <w:sz w:val="14"/>
              </w:rPr>
              <w:t>Art</w:t>
            </w:r>
            <w:r>
              <w:rPr>
                <w:spacing w:val="-3"/>
                <w:sz w:val="14"/>
              </w:rPr>
              <w:t> </w:t>
            </w:r>
            <w:r>
              <w:rPr>
                <w:sz w:val="14"/>
              </w:rPr>
              <w:t>on</w:t>
            </w:r>
            <w:r>
              <w:rPr>
                <w:spacing w:val="-2"/>
                <w:sz w:val="14"/>
              </w:rPr>
              <w:t> </w:t>
            </w:r>
            <w:r>
              <w:rPr>
                <w:sz w:val="14"/>
              </w:rPr>
              <w:t>Council</w:t>
            </w:r>
            <w:r>
              <w:rPr>
                <w:spacing w:val="-4"/>
                <w:sz w:val="14"/>
              </w:rPr>
              <w:t> land</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54.00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57.00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5.3</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Permit</w:t>
            </w:r>
            <w:r>
              <w:rPr>
                <w:spacing w:val="-4"/>
                <w:sz w:val="14"/>
              </w:rPr>
              <w:t> </w:t>
            </w:r>
            <w:r>
              <w:rPr>
                <w:sz w:val="14"/>
              </w:rPr>
              <w:t>to</w:t>
            </w:r>
            <w:r>
              <w:rPr>
                <w:spacing w:val="-2"/>
                <w:sz w:val="14"/>
              </w:rPr>
              <w:t> </w:t>
            </w:r>
            <w:r>
              <w:rPr>
                <w:sz w:val="14"/>
              </w:rPr>
              <w:t>Burn</w:t>
            </w:r>
            <w:r>
              <w:rPr>
                <w:spacing w:val="-6"/>
                <w:sz w:val="14"/>
              </w:rPr>
              <w:t> </w:t>
            </w:r>
            <w:r>
              <w:rPr>
                <w:spacing w:val="-5"/>
                <w:sz w:val="14"/>
              </w:rPr>
              <w:t>Off</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225.00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237.00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5.1</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Permit</w:t>
            </w:r>
            <w:r>
              <w:rPr>
                <w:spacing w:val="-5"/>
                <w:sz w:val="14"/>
              </w:rPr>
              <w:t> </w:t>
            </w:r>
            <w:r>
              <w:rPr>
                <w:sz w:val="14"/>
              </w:rPr>
              <w:t>Fundraising</w:t>
            </w:r>
            <w:r>
              <w:rPr>
                <w:spacing w:val="-6"/>
                <w:sz w:val="14"/>
              </w:rPr>
              <w:t> </w:t>
            </w:r>
            <w:r>
              <w:rPr>
                <w:sz w:val="14"/>
              </w:rPr>
              <w:t>(if</w:t>
            </w:r>
            <w:r>
              <w:rPr>
                <w:spacing w:val="-3"/>
                <w:sz w:val="14"/>
              </w:rPr>
              <w:t> </w:t>
            </w:r>
            <w:r>
              <w:rPr>
                <w:sz w:val="14"/>
              </w:rPr>
              <w:t>not</w:t>
            </w:r>
            <w:r>
              <w:rPr>
                <w:spacing w:val="-6"/>
                <w:sz w:val="14"/>
              </w:rPr>
              <w:t> </w:t>
            </w:r>
            <w:r>
              <w:rPr>
                <w:sz w:val="14"/>
              </w:rPr>
              <w:t>registered</w:t>
            </w:r>
            <w:r>
              <w:rPr>
                <w:spacing w:val="-4"/>
                <w:sz w:val="14"/>
              </w:rPr>
              <w:t> </w:t>
            </w:r>
            <w:r>
              <w:rPr>
                <w:sz w:val="14"/>
              </w:rPr>
              <w:t>under</w:t>
            </w:r>
            <w:r>
              <w:rPr>
                <w:spacing w:val="-3"/>
                <w:sz w:val="14"/>
              </w:rPr>
              <w:t> </w:t>
            </w:r>
            <w:r>
              <w:rPr>
                <w:sz w:val="14"/>
              </w:rPr>
              <w:t>Fundraising</w:t>
            </w:r>
            <w:r>
              <w:rPr>
                <w:spacing w:val="-4"/>
                <w:sz w:val="14"/>
              </w:rPr>
              <w:t> Act)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140.00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3"/>
              <w:jc w:val="right"/>
              <w:rPr>
                <w:sz w:val="14"/>
              </w:rPr>
            </w:pPr>
            <w:r>
              <w:rPr>
                <w:spacing w:val="-2"/>
                <w:sz w:val="14"/>
              </w:rPr>
              <w:t>145.00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3.4</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Compulsory</w:t>
            </w:r>
            <w:r>
              <w:rPr>
                <w:spacing w:val="-4"/>
                <w:sz w:val="14"/>
              </w:rPr>
              <w:t> </w:t>
            </w:r>
            <w:r>
              <w:rPr>
                <w:sz w:val="14"/>
              </w:rPr>
              <w:t>Clearance</w:t>
            </w:r>
            <w:r>
              <w:rPr>
                <w:spacing w:val="-4"/>
                <w:sz w:val="14"/>
              </w:rPr>
              <w:t> </w:t>
            </w:r>
            <w:r>
              <w:rPr>
                <w:sz w:val="14"/>
              </w:rPr>
              <w:t>-</w:t>
            </w:r>
            <w:r>
              <w:rPr>
                <w:spacing w:val="-6"/>
                <w:sz w:val="14"/>
              </w:rPr>
              <w:t> </w:t>
            </w:r>
            <w:r>
              <w:rPr>
                <w:sz w:val="14"/>
              </w:rPr>
              <w:t>Administration</w:t>
            </w:r>
            <w:r>
              <w:rPr>
                <w:spacing w:val="-5"/>
                <w:sz w:val="14"/>
              </w:rPr>
              <w:t> 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135.00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142.00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Impound</w:t>
            </w:r>
            <w:r>
              <w:rPr>
                <w:spacing w:val="-5"/>
                <w:sz w:val="14"/>
              </w:rPr>
              <w:t> </w:t>
            </w:r>
            <w:r>
              <w:rPr>
                <w:sz w:val="14"/>
              </w:rPr>
              <w:t>fee</w:t>
            </w:r>
            <w:r>
              <w:rPr>
                <w:spacing w:val="-2"/>
                <w:sz w:val="14"/>
              </w:rPr>
              <w:t> </w:t>
            </w:r>
            <w:r>
              <w:rPr>
                <w:sz w:val="14"/>
              </w:rPr>
              <w:t>-</w:t>
            </w:r>
            <w:r>
              <w:rPr>
                <w:spacing w:val="-5"/>
                <w:sz w:val="14"/>
              </w:rPr>
              <w:t> </w:t>
            </w:r>
            <w:r>
              <w:rPr>
                <w:sz w:val="14"/>
              </w:rPr>
              <w:t>small</w:t>
            </w:r>
            <w:r>
              <w:rPr>
                <w:spacing w:val="-1"/>
                <w:sz w:val="14"/>
              </w:rPr>
              <w:t> </w:t>
            </w:r>
            <w:r>
              <w:rPr>
                <w:spacing w:val="-2"/>
                <w:sz w:val="14"/>
              </w:rPr>
              <w:t>items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80.00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85.00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Impound</w:t>
            </w:r>
            <w:r>
              <w:rPr>
                <w:spacing w:val="-5"/>
                <w:sz w:val="14"/>
              </w:rPr>
              <w:t> </w:t>
            </w:r>
            <w:r>
              <w:rPr>
                <w:sz w:val="14"/>
              </w:rPr>
              <w:t>fee</w:t>
            </w:r>
            <w:r>
              <w:rPr>
                <w:spacing w:val="-1"/>
                <w:sz w:val="14"/>
              </w:rPr>
              <w:t> </w:t>
            </w:r>
            <w:r>
              <w:rPr>
                <w:sz w:val="14"/>
              </w:rPr>
              <w:t>-</w:t>
            </w:r>
            <w:r>
              <w:rPr>
                <w:spacing w:val="-4"/>
                <w:sz w:val="14"/>
              </w:rPr>
              <w:t> </w:t>
            </w:r>
            <w:r>
              <w:rPr>
                <w:sz w:val="14"/>
              </w:rPr>
              <w:t>large</w:t>
            </w:r>
            <w:r>
              <w:rPr>
                <w:spacing w:val="-5"/>
                <w:sz w:val="14"/>
              </w:rPr>
              <w:t> </w:t>
            </w:r>
            <w:r>
              <w:rPr>
                <w:spacing w:val="-2"/>
                <w:sz w:val="14"/>
              </w:rPr>
              <w:t>items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160.00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168.00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Impound</w:t>
            </w:r>
            <w:r>
              <w:rPr>
                <w:spacing w:val="-5"/>
                <w:sz w:val="14"/>
              </w:rPr>
              <w:t> </w:t>
            </w:r>
            <w:r>
              <w:rPr>
                <w:sz w:val="14"/>
              </w:rPr>
              <w:t>fee</w:t>
            </w:r>
            <w:r>
              <w:rPr>
                <w:spacing w:val="-3"/>
                <w:sz w:val="14"/>
              </w:rPr>
              <w:t> </w:t>
            </w:r>
            <w:r>
              <w:rPr>
                <w:sz w:val="14"/>
              </w:rPr>
              <w:t>for</w:t>
            </w:r>
            <w:r>
              <w:rPr>
                <w:spacing w:val="-4"/>
                <w:sz w:val="14"/>
              </w:rPr>
              <w:t> </w:t>
            </w:r>
            <w:r>
              <w:rPr>
                <w:sz w:val="14"/>
              </w:rPr>
              <w:t>skip</w:t>
            </w:r>
            <w:r>
              <w:rPr>
                <w:spacing w:val="-5"/>
                <w:sz w:val="14"/>
              </w:rPr>
              <w:t> </w:t>
            </w:r>
            <w:r>
              <w:rPr>
                <w:sz w:val="14"/>
              </w:rPr>
              <w:t>bin,</w:t>
            </w:r>
            <w:r>
              <w:rPr>
                <w:spacing w:val="-4"/>
                <w:sz w:val="14"/>
              </w:rPr>
              <w:t> </w:t>
            </w:r>
            <w:r>
              <w:rPr>
                <w:sz w:val="14"/>
              </w:rPr>
              <w:t>bulk</w:t>
            </w:r>
            <w:r>
              <w:rPr>
                <w:spacing w:val="-5"/>
                <w:sz w:val="14"/>
              </w:rPr>
              <w:t> </w:t>
            </w:r>
            <w:r>
              <w:rPr>
                <w:sz w:val="14"/>
              </w:rPr>
              <w:t>waste</w:t>
            </w:r>
            <w:r>
              <w:rPr>
                <w:spacing w:val="-4"/>
                <w:sz w:val="14"/>
              </w:rPr>
              <w:t> </w:t>
            </w:r>
            <w:r>
              <w:rPr>
                <w:sz w:val="14"/>
              </w:rPr>
              <w:t>container,</w:t>
            </w:r>
            <w:r>
              <w:rPr>
                <w:spacing w:val="-5"/>
                <w:sz w:val="14"/>
              </w:rPr>
              <w:t> </w:t>
            </w:r>
            <w:r>
              <w:rPr>
                <w:sz w:val="14"/>
              </w:rPr>
              <w:t>shipping</w:t>
            </w:r>
            <w:r>
              <w:rPr>
                <w:spacing w:val="-4"/>
                <w:sz w:val="14"/>
              </w:rPr>
              <w:t> </w:t>
            </w:r>
            <w:r>
              <w:rPr>
                <w:sz w:val="14"/>
              </w:rPr>
              <w:t>container,</w:t>
            </w:r>
            <w:r>
              <w:rPr>
                <w:spacing w:val="-5"/>
                <w:sz w:val="14"/>
              </w:rPr>
              <w:t> </w:t>
            </w:r>
            <w:r>
              <w:rPr>
                <w:sz w:val="14"/>
              </w:rPr>
              <w:t>clothing</w:t>
            </w:r>
            <w:r>
              <w:rPr>
                <w:spacing w:val="-4"/>
                <w:sz w:val="14"/>
              </w:rPr>
              <w:t> </w:t>
            </w:r>
            <w:r>
              <w:rPr>
                <w:sz w:val="14"/>
              </w:rPr>
              <w:t>recycling </w:t>
            </w:r>
            <w:r>
              <w:rPr>
                <w:spacing w:val="-5"/>
                <w:sz w:val="14"/>
              </w:rPr>
              <w:t>bin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480.00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505.00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Impound</w:t>
            </w:r>
            <w:r>
              <w:rPr>
                <w:spacing w:val="-5"/>
                <w:sz w:val="14"/>
              </w:rPr>
              <w:t> </w:t>
            </w:r>
            <w:r>
              <w:rPr>
                <w:sz w:val="14"/>
              </w:rPr>
              <w:t>Storage</w:t>
            </w:r>
            <w:r>
              <w:rPr>
                <w:spacing w:val="-4"/>
                <w:sz w:val="14"/>
              </w:rPr>
              <w:t> </w:t>
            </w:r>
            <w:r>
              <w:rPr>
                <w:sz w:val="14"/>
              </w:rPr>
              <w:t>fee</w:t>
            </w:r>
            <w:r>
              <w:rPr>
                <w:spacing w:val="-2"/>
                <w:sz w:val="14"/>
              </w:rPr>
              <w:t> </w:t>
            </w:r>
            <w:r>
              <w:rPr>
                <w:sz w:val="14"/>
              </w:rPr>
              <w:t>-</w:t>
            </w:r>
            <w:r>
              <w:rPr>
                <w:spacing w:val="-4"/>
                <w:sz w:val="14"/>
              </w:rPr>
              <w:t> </w:t>
            </w:r>
            <w:r>
              <w:rPr>
                <w:sz w:val="14"/>
              </w:rPr>
              <w:t>small</w:t>
            </w:r>
            <w:r>
              <w:rPr>
                <w:spacing w:val="-3"/>
                <w:sz w:val="14"/>
              </w:rPr>
              <w:t> </w:t>
            </w:r>
            <w:r>
              <w:rPr>
                <w:sz w:val="14"/>
              </w:rPr>
              <w:t>items</w:t>
            </w:r>
            <w:r>
              <w:rPr>
                <w:spacing w:val="-4"/>
                <w:sz w:val="14"/>
              </w:rPr>
              <w:t> </w:t>
            </w:r>
            <w:r>
              <w:rPr>
                <w:sz w:val="14"/>
              </w:rPr>
              <w:t>per</w:t>
            </w:r>
            <w:r>
              <w:rPr>
                <w:spacing w:val="-1"/>
                <w:sz w:val="14"/>
              </w:rPr>
              <w:t> </w:t>
            </w:r>
            <w:r>
              <w:rPr>
                <w:spacing w:val="-5"/>
                <w:sz w:val="14"/>
              </w:rPr>
              <w:t>day</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81"/>
              <w:jc w:val="center"/>
              <w:rPr>
                <w:sz w:val="14"/>
              </w:rPr>
            </w:pPr>
            <w:r>
              <w:rPr>
                <w:spacing w:val="-4"/>
                <w:sz w:val="14"/>
              </w:rPr>
              <w:t>20.0</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Impound</w:t>
            </w:r>
            <w:r>
              <w:rPr>
                <w:spacing w:val="-5"/>
                <w:sz w:val="14"/>
              </w:rPr>
              <w:t> </w:t>
            </w:r>
            <w:r>
              <w:rPr>
                <w:sz w:val="14"/>
              </w:rPr>
              <w:t>Storage</w:t>
            </w:r>
            <w:r>
              <w:rPr>
                <w:spacing w:val="-6"/>
                <w:sz w:val="14"/>
              </w:rPr>
              <w:t> </w:t>
            </w:r>
            <w:r>
              <w:rPr>
                <w:sz w:val="14"/>
              </w:rPr>
              <w:t>fee</w:t>
            </w:r>
            <w:r>
              <w:rPr>
                <w:spacing w:val="-1"/>
                <w:sz w:val="14"/>
              </w:rPr>
              <w:t> </w:t>
            </w:r>
            <w:r>
              <w:rPr>
                <w:sz w:val="14"/>
              </w:rPr>
              <w:t>-</w:t>
            </w:r>
            <w:r>
              <w:rPr>
                <w:spacing w:val="-5"/>
                <w:sz w:val="14"/>
              </w:rPr>
              <w:t> </w:t>
            </w:r>
            <w:r>
              <w:rPr>
                <w:sz w:val="14"/>
              </w:rPr>
              <w:t>Vehicle/large</w:t>
            </w:r>
            <w:r>
              <w:rPr>
                <w:spacing w:val="-5"/>
                <w:sz w:val="14"/>
              </w:rPr>
              <w:t> </w:t>
            </w:r>
            <w:r>
              <w:rPr>
                <w:sz w:val="14"/>
              </w:rPr>
              <w:t>item</w:t>
            </w:r>
            <w:r>
              <w:rPr>
                <w:spacing w:val="-2"/>
                <w:sz w:val="14"/>
              </w:rPr>
              <w:t> </w:t>
            </w:r>
            <w:r>
              <w:rPr>
                <w:sz w:val="14"/>
              </w:rPr>
              <w:t>per</w:t>
            </w:r>
            <w:r>
              <w:rPr>
                <w:spacing w:val="-2"/>
                <w:sz w:val="14"/>
              </w:rPr>
              <w:t> </w:t>
            </w:r>
            <w:r>
              <w:rPr>
                <w:spacing w:val="-5"/>
                <w:sz w:val="14"/>
              </w:rPr>
              <w:t>day</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30.00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35.00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81"/>
              <w:jc w:val="center"/>
              <w:rPr>
                <w:sz w:val="14"/>
              </w:rPr>
            </w:pPr>
            <w:r>
              <w:rPr>
                <w:spacing w:val="-4"/>
                <w:sz w:val="14"/>
              </w:rPr>
              <w:t>14.3</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General</w:t>
            </w:r>
            <w:r>
              <w:rPr>
                <w:spacing w:val="-6"/>
                <w:sz w:val="14"/>
              </w:rPr>
              <w:t> </w:t>
            </w:r>
            <w:r>
              <w:rPr>
                <w:sz w:val="14"/>
              </w:rPr>
              <w:t>Local</w:t>
            </w:r>
            <w:r>
              <w:rPr>
                <w:spacing w:val="-2"/>
                <w:sz w:val="14"/>
              </w:rPr>
              <w:t> </w:t>
            </w:r>
            <w:r>
              <w:rPr>
                <w:sz w:val="14"/>
              </w:rPr>
              <w:t>Law</w:t>
            </w:r>
            <w:r>
              <w:rPr>
                <w:spacing w:val="-3"/>
                <w:sz w:val="14"/>
              </w:rPr>
              <w:t> </w:t>
            </w:r>
            <w:r>
              <w:rPr>
                <w:sz w:val="14"/>
              </w:rPr>
              <w:t>Permit</w:t>
            </w:r>
            <w:r>
              <w:rPr>
                <w:spacing w:val="-5"/>
                <w:sz w:val="14"/>
              </w:rPr>
              <w:t> </w:t>
            </w:r>
            <w:r>
              <w:rPr>
                <w:spacing w:val="-2"/>
                <w:sz w:val="14"/>
              </w:rPr>
              <w:t>Application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119.00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125.00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Permit</w:t>
            </w:r>
            <w:r>
              <w:rPr>
                <w:spacing w:val="-4"/>
                <w:sz w:val="14"/>
              </w:rPr>
              <w:t> </w:t>
            </w:r>
            <w:r>
              <w:rPr>
                <w:sz w:val="14"/>
              </w:rPr>
              <w:t>Clothing</w:t>
            </w:r>
            <w:r>
              <w:rPr>
                <w:spacing w:val="-5"/>
                <w:sz w:val="14"/>
              </w:rPr>
              <w:t> </w:t>
            </w:r>
            <w:r>
              <w:rPr>
                <w:sz w:val="14"/>
              </w:rPr>
              <w:t>Bin</w:t>
            </w:r>
            <w:r>
              <w:rPr>
                <w:spacing w:val="-3"/>
                <w:sz w:val="14"/>
              </w:rPr>
              <w:t> </w:t>
            </w:r>
            <w:r>
              <w:rPr>
                <w:sz w:val="14"/>
              </w:rPr>
              <w:t>on</w:t>
            </w:r>
            <w:r>
              <w:rPr>
                <w:spacing w:val="-3"/>
                <w:sz w:val="14"/>
              </w:rPr>
              <w:t> </w:t>
            </w:r>
            <w:r>
              <w:rPr>
                <w:sz w:val="14"/>
              </w:rPr>
              <w:t>Council</w:t>
            </w:r>
            <w:r>
              <w:rPr>
                <w:spacing w:val="-1"/>
                <w:sz w:val="14"/>
              </w:rPr>
              <w:t> </w:t>
            </w:r>
            <w:r>
              <w:rPr>
                <w:spacing w:val="-4"/>
                <w:sz w:val="14"/>
              </w:rPr>
              <w:t>Land</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1,365.00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1,435.00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pacing w:val="-2"/>
                <w:sz w:val="14"/>
              </w:rPr>
              <w:t>Animals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Domestic</w:t>
            </w:r>
            <w:r>
              <w:rPr>
                <w:spacing w:val="-5"/>
                <w:sz w:val="14"/>
              </w:rPr>
              <w:t> </w:t>
            </w:r>
            <w:r>
              <w:rPr>
                <w:sz w:val="14"/>
              </w:rPr>
              <w:t>Animal</w:t>
            </w:r>
            <w:r>
              <w:rPr>
                <w:spacing w:val="-5"/>
                <w:sz w:val="14"/>
              </w:rPr>
              <w:t> </w:t>
            </w:r>
            <w:r>
              <w:rPr>
                <w:sz w:val="14"/>
              </w:rPr>
              <w:t>Business</w:t>
            </w:r>
            <w:r>
              <w:rPr>
                <w:spacing w:val="-4"/>
                <w:sz w:val="14"/>
              </w:rPr>
              <w:t> </w:t>
            </w:r>
            <w:r>
              <w:rPr>
                <w:spacing w:val="-2"/>
                <w:sz w:val="14"/>
              </w:rPr>
              <w:t>Registration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280.00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295.00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5.1</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Animal</w:t>
            </w:r>
            <w:r>
              <w:rPr>
                <w:spacing w:val="-4"/>
                <w:sz w:val="14"/>
              </w:rPr>
              <w:t> </w:t>
            </w:r>
            <w:r>
              <w:rPr>
                <w:sz w:val="14"/>
              </w:rPr>
              <w:t>Registration</w:t>
            </w:r>
            <w:r>
              <w:rPr>
                <w:spacing w:val="-5"/>
                <w:sz w:val="14"/>
              </w:rPr>
              <w:t> </w:t>
            </w:r>
            <w:r>
              <w:rPr>
                <w:sz w:val="14"/>
              </w:rPr>
              <w:t>-</w:t>
            </w:r>
            <w:r>
              <w:rPr>
                <w:spacing w:val="-2"/>
                <w:sz w:val="14"/>
              </w:rPr>
              <w:t> </w:t>
            </w:r>
            <w:r>
              <w:rPr>
                <w:sz w:val="14"/>
              </w:rPr>
              <w:t>Dog</w:t>
            </w:r>
            <w:r>
              <w:rPr>
                <w:spacing w:val="-3"/>
                <w:sz w:val="14"/>
              </w:rPr>
              <w:t> </w:t>
            </w:r>
            <w:r>
              <w:rPr>
                <w:sz w:val="14"/>
              </w:rPr>
              <w:t>-</w:t>
            </w:r>
            <w:r>
              <w:rPr>
                <w:spacing w:val="-2"/>
                <w:sz w:val="14"/>
              </w:rPr>
              <w:t> </w:t>
            </w:r>
            <w:r>
              <w:rPr>
                <w:sz w:val="14"/>
              </w:rPr>
              <w:t>Microchipped</w:t>
            </w:r>
            <w:r>
              <w:rPr>
                <w:spacing w:val="-2"/>
                <w:sz w:val="14"/>
              </w:rPr>
              <w:t> </w:t>
            </w:r>
            <w:r>
              <w:rPr>
                <w:sz w:val="14"/>
              </w:rPr>
              <w:t>-</w:t>
            </w:r>
            <w:r>
              <w:rPr>
                <w:spacing w:val="-5"/>
                <w:sz w:val="14"/>
              </w:rPr>
              <w:t> </w:t>
            </w:r>
            <w:r>
              <w:rPr>
                <w:spacing w:val="-2"/>
                <w:sz w:val="14"/>
              </w:rPr>
              <w:t>Desexed</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63.00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66.00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4.5</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Animal</w:t>
            </w:r>
            <w:r>
              <w:rPr>
                <w:spacing w:val="-4"/>
                <w:sz w:val="14"/>
              </w:rPr>
              <w:t> </w:t>
            </w:r>
            <w:r>
              <w:rPr>
                <w:sz w:val="14"/>
              </w:rPr>
              <w:t>Registration</w:t>
            </w:r>
            <w:r>
              <w:rPr>
                <w:spacing w:val="-5"/>
                <w:sz w:val="14"/>
              </w:rPr>
              <w:t> </w:t>
            </w:r>
            <w:r>
              <w:rPr>
                <w:sz w:val="14"/>
              </w:rPr>
              <w:t>-</w:t>
            </w:r>
            <w:r>
              <w:rPr>
                <w:spacing w:val="-1"/>
                <w:sz w:val="14"/>
              </w:rPr>
              <w:t> </w:t>
            </w:r>
            <w:r>
              <w:rPr>
                <w:sz w:val="14"/>
              </w:rPr>
              <w:t>Dog</w:t>
            </w:r>
            <w:r>
              <w:rPr>
                <w:spacing w:val="-4"/>
                <w:sz w:val="14"/>
              </w:rPr>
              <w:t> </w:t>
            </w:r>
            <w:r>
              <w:rPr>
                <w:sz w:val="14"/>
              </w:rPr>
              <w:t>-</w:t>
            </w:r>
            <w:r>
              <w:rPr>
                <w:spacing w:val="-2"/>
                <w:sz w:val="14"/>
              </w:rPr>
              <w:t> </w:t>
            </w:r>
            <w:r>
              <w:rPr>
                <w:sz w:val="14"/>
              </w:rPr>
              <w:t>Microchipped</w:t>
            </w:r>
            <w:r>
              <w:rPr>
                <w:spacing w:val="-2"/>
                <w:sz w:val="14"/>
              </w:rPr>
              <w:t> </w:t>
            </w:r>
            <w:r>
              <w:rPr>
                <w:sz w:val="14"/>
              </w:rPr>
              <w:t>-</w:t>
            </w:r>
            <w:r>
              <w:rPr>
                <w:spacing w:val="-4"/>
                <w:sz w:val="14"/>
              </w:rPr>
              <w:t> </w:t>
            </w:r>
            <w:r>
              <w:rPr>
                <w:sz w:val="14"/>
              </w:rPr>
              <w:t>Desexed</w:t>
            </w:r>
            <w:r>
              <w:rPr>
                <w:spacing w:val="-2"/>
                <w:sz w:val="14"/>
              </w:rPr>
              <w:t> </w:t>
            </w:r>
            <w:r>
              <w:rPr>
                <w:sz w:val="14"/>
              </w:rPr>
              <w:t>-</w:t>
            </w:r>
            <w:r>
              <w:rPr>
                <w:spacing w:val="-5"/>
                <w:sz w:val="14"/>
              </w:rPr>
              <w:t> </w:t>
            </w:r>
            <w:r>
              <w:rPr>
                <w:spacing w:val="-2"/>
                <w:sz w:val="14"/>
              </w:rPr>
              <w:t>Pensioner/Concession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31.50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33.00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4.5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Animal</w:t>
            </w:r>
            <w:r>
              <w:rPr>
                <w:spacing w:val="-4"/>
                <w:sz w:val="14"/>
              </w:rPr>
              <w:t> </w:t>
            </w:r>
            <w:r>
              <w:rPr>
                <w:sz w:val="14"/>
              </w:rPr>
              <w:t>Registration</w:t>
            </w:r>
            <w:r>
              <w:rPr>
                <w:spacing w:val="-4"/>
                <w:sz w:val="14"/>
              </w:rPr>
              <w:t> </w:t>
            </w:r>
            <w:r>
              <w:rPr>
                <w:sz w:val="14"/>
              </w:rPr>
              <w:t>-</w:t>
            </w:r>
            <w:r>
              <w:rPr>
                <w:spacing w:val="-2"/>
                <w:sz w:val="14"/>
              </w:rPr>
              <w:t> </w:t>
            </w:r>
            <w:r>
              <w:rPr>
                <w:sz w:val="14"/>
              </w:rPr>
              <w:t>Dog</w:t>
            </w:r>
            <w:r>
              <w:rPr>
                <w:spacing w:val="-4"/>
                <w:sz w:val="14"/>
              </w:rPr>
              <w:t> </w:t>
            </w:r>
            <w:r>
              <w:rPr>
                <w:sz w:val="14"/>
              </w:rPr>
              <w:t>-</w:t>
            </w:r>
            <w:r>
              <w:rPr>
                <w:spacing w:val="-3"/>
                <w:sz w:val="14"/>
              </w:rPr>
              <w:t> </w:t>
            </w:r>
            <w:r>
              <w:rPr>
                <w:sz w:val="14"/>
              </w:rPr>
              <w:t>Microchipped</w:t>
            </w:r>
            <w:r>
              <w:rPr>
                <w:spacing w:val="-2"/>
                <w:sz w:val="14"/>
              </w:rPr>
              <w:t> </w:t>
            </w:r>
            <w:r>
              <w:rPr>
                <w:sz w:val="14"/>
              </w:rPr>
              <w:t>-</w:t>
            </w:r>
            <w:r>
              <w:rPr>
                <w:spacing w:val="-5"/>
                <w:sz w:val="14"/>
              </w:rPr>
              <w:t> </w:t>
            </w:r>
            <w:r>
              <w:rPr>
                <w:spacing w:val="-2"/>
                <w:sz w:val="14"/>
              </w:rPr>
              <w:t>Entire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206.00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218.00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5.5</w:t>
            </w:r>
          </w:p>
        </w:tc>
      </w:tr>
      <w:tr>
        <w:trPr>
          <w:trHeight w:val="208"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48"/>
              <w:ind w:left="107"/>
              <w:rPr>
                <w:sz w:val="14"/>
              </w:rPr>
            </w:pPr>
            <w:r>
              <w:rPr>
                <w:sz w:val="14"/>
              </w:rPr>
              <w:t>Animal</w:t>
            </w:r>
            <w:r>
              <w:rPr>
                <w:spacing w:val="-4"/>
                <w:sz w:val="14"/>
              </w:rPr>
              <w:t> </w:t>
            </w:r>
            <w:r>
              <w:rPr>
                <w:sz w:val="14"/>
              </w:rPr>
              <w:t>Registration</w:t>
            </w:r>
            <w:r>
              <w:rPr>
                <w:spacing w:val="-4"/>
                <w:sz w:val="14"/>
              </w:rPr>
              <w:t> </w:t>
            </w:r>
            <w:r>
              <w:rPr>
                <w:sz w:val="14"/>
              </w:rPr>
              <w:t>-</w:t>
            </w:r>
            <w:r>
              <w:rPr>
                <w:spacing w:val="-2"/>
                <w:sz w:val="14"/>
              </w:rPr>
              <w:t> </w:t>
            </w:r>
            <w:r>
              <w:rPr>
                <w:sz w:val="14"/>
              </w:rPr>
              <w:t>Dog</w:t>
            </w:r>
            <w:r>
              <w:rPr>
                <w:spacing w:val="-3"/>
                <w:sz w:val="14"/>
              </w:rPr>
              <w:t> </w:t>
            </w:r>
            <w:r>
              <w:rPr>
                <w:sz w:val="14"/>
              </w:rPr>
              <w:t>-</w:t>
            </w:r>
            <w:r>
              <w:rPr>
                <w:spacing w:val="-1"/>
                <w:sz w:val="14"/>
              </w:rPr>
              <w:t> </w:t>
            </w:r>
            <w:r>
              <w:rPr>
                <w:sz w:val="14"/>
              </w:rPr>
              <w:t>Microchipped</w:t>
            </w:r>
            <w:r>
              <w:rPr>
                <w:spacing w:val="-2"/>
                <w:sz w:val="14"/>
              </w:rPr>
              <w:t> </w:t>
            </w:r>
            <w:r>
              <w:rPr>
                <w:sz w:val="14"/>
              </w:rPr>
              <w:t>-</w:t>
            </w:r>
            <w:r>
              <w:rPr>
                <w:spacing w:val="-4"/>
                <w:sz w:val="14"/>
              </w:rPr>
              <w:t> </w:t>
            </w:r>
            <w:r>
              <w:rPr>
                <w:sz w:val="14"/>
              </w:rPr>
              <w:t>Entire</w:t>
            </w:r>
            <w:r>
              <w:rPr>
                <w:spacing w:val="-2"/>
                <w:sz w:val="14"/>
              </w:rPr>
              <w:t> </w:t>
            </w:r>
            <w:r>
              <w:rPr>
                <w:sz w:val="14"/>
              </w:rPr>
              <w:t>-</w:t>
            </w:r>
            <w:r>
              <w:rPr>
                <w:spacing w:val="-5"/>
                <w:sz w:val="14"/>
              </w:rPr>
              <w:t> </w:t>
            </w:r>
            <w:r>
              <w:rPr>
                <w:spacing w:val="-2"/>
                <w:sz w:val="14"/>
              </w:rPr>
              <w:t>Pensioner/Concession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48"/>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48"/>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48"/>
              <w:ind w:right="91"/>
              <w:jc w:val="right"/>
              <w:rPr>
                <w:sz w:val="14"/>
              </w:rPr>
            </w:pPr>
            <w:r>
              <w:rPr>
                <w:spacing w:val="-2"/>
                <w:sz w:val="14"/>
              </w:rPr>
              <w:t>103.00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48"/>
              <w:ind w:right="93"/>
              <w:jc w:val="right"/>
              <w:rPr>
                <w:sz w:val="14"/>
              </w:rPr>
            </w:pPr>
            <w:r>
              <w:rPr>
                <w:spacing w:val="-2"/>
                <w:sz w:val="14"/>
              </w:rPr>
              <w:t>109.00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48"/>
              <w:ind w:left="95" w:right="79"/>
              <w:jc w:val="center"/>
              <w:rPr>
                <w:sz w:val="14"/>
              </w:rPr>
            </w:pPr>
            <w:r>
              <w:rPr>
                <w:spacing w:val="-5"/>
                <w:sz w:val="14"/>
              </w:rPr>
              <w:t>5.5</w:t>
            </w:r>
          </w:p>
        </w:tc>
      </w:tr>
      <w:tr>
        <w:trPr>
          <w:trHeight w:val="405"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64"/>
              <w:ind w:left="107"/>
              <w:rPr>
                <w:sz w:val="14"/>
              </w:rPr>
            </w:pPr>
            <w:r>
              <w:rPr>
                <w:sz w:val="14"/>
              </w:rPr>
              <w:t>Animal</w:t>
            </w:r>
            <w:r>
              <w:rPr>
                <w:spacing w:val="-3"/>
                <w:sz w:val="14"/>
              </w:rPr>
              <w:t> </w:t>
            </w:r>
            <w:r>
              <w:rPr>
                <w:sz w:val="14"/>
              </w:rPr>
              <w:t>Registrations</w:t>
            </w:r>
            <w:r>
              <w:rPr>
                <w:spacing w:val="-3"/>
                <w:sz w:val="14"/>
              </w:rPr>
              <w:t> </w:t>
            </w:r>
            <w:r>
              <w:rPr>
                <w:sz w:val="14"/>
              </w:rPr>
              <w:t>Dogs</w:t>
            </w:r>
            <w:r>
              <w:rPr>
                <w:spacing w:val="-1"/>
                <w:sz w:val="14"/>
              </w:rPr>
              <w:t> </w:t>
            </w:r>
            <w:r>
              <w:rPr>
                <w:sz w:val="14"/>
              </w:rPr>
              <w:t>Microchipped</w:t>
            </w:r>
            <w:r>
              <w:rPr>
                <w:spacing w:val="-4"/>
                <w:sz w:val="14"/>
              </w:rPr>
              <w:t> </w:t>
            </w:r>
            <w:r>
              <w:rPr>
                <w:sz w:val="14"/>
              </w:rPr>
              <w:t>-</w:t>
            </w:r>
            <w:r>
              <w:rPr>
                <w:spacing w:val="-4"/>
                <w:sz w:val="14"/>
              </w:rPr>
              <w:t> </w:t>
            </w:r>
            <w:r>
              <w:rPr>
                <w:sz w:val="14"/>
              </w:rPr>
              <w:t>Entire</w:t>
            </w:r>
            <w:r>
              <w:rPr>
                <w:spacing w:val="-5"/>
                <w:sz w:val="14"/>
              </w:rPr>
              <w:t> </w:t>
            </w:r>
            <w:r>
              <w:rPr>
                <w:sz w:val="14"/>
              </w:rPr>
              <w:t>(undesexed)</w:t>
            </w:r>
            <w:r>
              <w:rPr>
                <w:spacing w:val="-4"/>
                <w:sz w:val="14"/>
              </w:rPr>
              <w:t> </w:t>
            </w:r>
            <w:r>
              <w:rPr>
                <w:sz w:val="14"/>
              </w:rPr>
              <w:t>AND</w:t>
            </w:r>
            <w:r>
              <w:rPr>
                <w:spacing w:val="-3"/>
                <w:sz w:val="14"/>
              </w:rPr>
              <w:t> </w:t>
            </w:r>
            <w:r>
              <w:rPr>
                <w:sz w:val="14"/>
              </w:rPr>
              <w:t>registered</w:t>
            </w:r>
            <w:r>
              <w:rPr>
                <w:spacing w:val="-2"/>
                <w:sz w:val="14"/>
              </w:rPr>
              <w:t> </w:t>
            </w:r>
            <w:r>
              <w:rPr>
                <w:sz w:val="14"/>
              </w:rPr>
              <w:t>with</w:t>
            </w:r>
            <w:r>
              <w:rPr>
                <w:spacing w:val="-4"/>
                <w:sz w:val="14"/>
              </w:rPr>
              <w:t> </w:t>
            </w:r>
            <w:r>
              <w:rPr>
                <w:sz w:val="14"/>
              </w:rPr>
              <w:t>Dogs</w:t>
            </w:r>
            <w:r>
              <w:rPr>
                <w:spacing w:val="40"/>
                <w:sz w:val="14"/>
              </w:rPr>
              <w:t> </w:t>
            </w:r>
            <w:r>
              <w:rPr>
                <w:sz w:val="14"/>
              </w:rPr>
              <w:t>Victoria (for breeding purposes) - Full 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3"/>
              <w:rPr>
                <w:sz w:val="21"/>
              </w:rPr>
            </w:pPr>
          </w:p>
          <w:p>
            <w:pPr>
              <w:pStyle w:val="TableParagraph"/>
              <w:spacing w:line="140" w:lineRule="exact" w:before="1"/>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3"/>
              <w:rPr>
                <w:sz w:val="21"/>
              </w:rPr>
            </w:pPr>
          </w:p>
          <w:p>
            <w:pPr>
              <w:pStyle w:val="TableParagraph"/>
              <w:spacing w:line="140" w:lineRule="exact" w:before="1"/>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3"/>
              <w:rPr>
                <w:sz w:val="21"/>
              </w:rPr>
            </w:pPr>
          </w:p>
          <w:p>
            <w:pPr>
              <w:pStyle w:val="TableParagraph"/>
              <w:spacing w:line="140" w:lineRule="exact" w:before="1"/>
              <w:ind w:right="91"/>
              <w:jc w:val="right"/>
              <w:rPr>
                <w:sz w:val="14"/>
              </w:rPr>
            </w:pPr>
            <w:r>
              <w:rPr>
                <w:spacing w:val="-2"/>
                <w:sz w:val="14"/>
              </w:rPr>
              <w:t>63.00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3"/>
              <w:rPr>
                <w:sz w:val="21"/>
              </w:rPr>
            </w:pPr>
          </w:p>
          <w:p>
            <w:pPr>
              <w:pStyle w:val="TableParagraph"/>
              <w:spacing w:line="140" w:lineRule="exact" w:before="1"/>
              <w:ind w:right="92"/>
              <w:jc w:val="right"/>
              <w:rPr>
                <w:sz w:val="14"/>
              </w:rPr>
            </w:pPr>
            <w:r>
              <w:rPr>
                <w:spacing w:val="-2"/>
                <w:sz w:val="14"/>
              </w:rPr>
              <w:t>66.00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3"/>
              <w:rPr>
                <w:sz w:val="21"/>
              </w:rPr>
            </w:pPr>
          </w:p>
          <w:p>
            <w:pPr>
              <w:pStyle w:val="TableParagraph"/>
              <w:spacing w:line="140" w:lineRule="exact" w:before="1"/>
              <w:ind w:left="95" w:right="79"/>
              <w:jc w:val="center"/>
              <w:rPr>
                <w:sz w:val="14"/>
              </w:rPr>
            </w:pPr>
            <w:r>
              <w:rPr>
                <w:spacing w:val="-5"/>
                <w:sz w:val="14"/>
              </w:rPr>
              <w:t>4.5</w:t>
            </w:r>
          </w:p>
        </w:tc>
      </w:tr>
      <w:tr>
        <w:trPr>
          <w:trHeight w:val="40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62"/>
              <w:ind w:left="107"/>
              <w:rPr>
                <w:sz w:val="14"/>
              </w:rPr>
            </w:pPr>
            <w:r>
              <w:rPr>
                <w:sz w:val="14"/>
              </w:rPr>
              <w:t>Animal</w:t>
            </w:r>
            <w:r>
              <w:rPr>
                <w:spacing w:val="-3"/>
                <w:sz w:val="14"/>
              </w:rPr>
              <w:t> </w:t>
            </w:r>
            <w:r>
              <w:rPr>
                <w:sz w:val="14"/>
              </w:rPr>
              <w:t>Registrations</w:t>
            </w:r>
            <w:r>
              <w:rPr>
                <w:spacing w:val="-3"/>
                <w:sz w:val="14"/>
              </w:rPr>
              <w:t> </w:t>
            </w:r>
            <w:r>
              <w:rPr>
                <w:sz w:val="14"/>
              </w:rPr>
              <w:t>Dogs</w:t>
            </w:r>
            <w:r>
              <w:rPr>
                <w:spacing w:val="-1"/>
                <w:sz w:val="14"/>
              </w:rPr>
              <w:t> </w:t>
            </w:r>
            <w:r>
              <w:rPr>
                <w:sz w:val="14"/>
              </w:rPr>
              <w:t>Microchipped</w:t>
            </w:r>
            <w:r>
              <w:rPr>
                <w:spacing w:val="-4"/>
                <w:sz w:val="14"/>
              </w:rPr>
              <w:t> </w:t>
            </w:r>
            <w:r>
              <w:rPr>
                <w:sz w:val="14"/>
              </w:rPr>
              <w:t>-</w:t>
            </w:r>
            <w:r>
              <w:rPr>
                <w:spacing w:val="-4"/>
                <w:sz w:val="14"/>
              </w:rPr>
              <w:t> </w:t>
            </w:r>
            <w:r>
              <w:rPr>
                <w:sz w:val="14"/>
              </w:rPr>
              <w:t>Entire</w:t>
            </w:r>
            <w:r>
              <w:rPr>
                <w:spacing w:val="-5"/>
                <w:sz w:val="14"/>
              </w:rPr>
              <w:t> </w:t>
            </w:r>
            <w:r>
              <w:rPr>
                <w:sz w:val="14"/>
              </w:rPr>
              <w:t>(undesexed)</w:t>
            </w:r>
            <w:r>
              <w:rPr>
                <w:spacing w:val="-4"/>
                <w:sz w:val="14"/>
              </w:rPr>
              <w:t> </w:t>
            </w:r>
            <w:r>
              <w:rPr>
                <w:sz w:val="14"/>
              </w:rPr>
              <w:t>AND</w:t>
            </w:r>
            <w:r>
              <w:rPr>
                <w:spacing w:val="-3"/>
                <w:sz w:val="14"/>
              </w:rPr>
              <w:t> </w:t>
            </w:r>
            <w:r>
              <w:rPr>
                <w:sz w:val="14"/>
              </w:rPr>
              <w:t>registered</w:t>
            </w:r>
            <w:r>
              <w:rPr>
                <w:spacing w:val="-2"/>
                <w:sz w:val="14"/>
              </w:rPr>
              <w:t> </w:t>
            </w:r>
            <w:r>
              <w:rPr>
                <w:sz w:val="14"/>
              </w:rPr>
              <w:t>with</w:t>
            </w:r>
            <w:r>
              <w:rPr>
                <w:spacing w:val="-4"/>
                <w:sz w:val="14"/>
              </w:rPr>
              <w:t> </w:t>
            </w:r>
            <w:r>
              <w:rPr>
                <w:sz w:val="14"/>
              </w:rPr>
              <w:t>Dogs</w:t>
            </w:r>
            <w:r>
              <w:rPr>
                <w:spacing w:val="40"/>
                <w:sz w:val="14"/>
              </w:rPr>
              <w:t> </w:t>
            </w:r>
            <w:r>
              <w:rPr>
                <w:sz w:val="14"/>
              </w:rPr>
              <w:t>Victoria (for breeding purposes) - Pensioner/Concession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1"/>
              <w:rPr>
                <w:sz w:val="21"/>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1"/>
              <w:rPr>
                <w:sz w:val="21"/>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1"/>
              <w:rPr>
                <w:sz w:val="21"/>
              </w:rPr>
            </w:pPr>
          </w:p>
          <w:p>
            <w:pPr>
              <w:pStyle w:val="TableParagraph"/>
              <w:spacing w:line="140" w:lineRule="exact"/>
              <w:ind w:right="91"/>
              <w:jc w:val="right"/>
              <w:rPr>
                <w:sz w:val="14"/>
              </w:rPr>
            </w:pPr>
            <w:r>
              <w:rPr>
                <w:spacing w:val="-2"/>
                <w:sz w:val="14"/>
              </w:rPr>
              <w:t>31.50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1"/>
              <w:rPr>
                <w:sz w:val="21"/>
              </w:rPr>
            </w:pPr>
          </w:p>
          <w:p>
            <w:pPr>
              <w:pStyle w:val="TableParagraph"/>
              <w:spacing w:line="140" w:lineRule="exact"/>
              <w:ind w:right="92"/>
              <w:jc w:val="right"/>
              <w:rPr>
                <w:sz w:val="14"/>
              </w:rPr>
            </w:pPr>
            <w:r>
              <w:rPr>
                <w:spacing w:val="-2"/>
                <w:sz w:val="14"/>
              </w:rPr>
              <w:t>33.00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1"/>
              <w:rPr>
                <w:sz w:val="21"/>
              </w:rPr>
            </w:pPr>
          </w:p>
          <w:p>
            <w:pPr>
              <w:pStyle w:val="TableParagraph"/>
              <w:spacing w:line="140" w:lineRule="exact"/>
              <w:ind w:left="95" w:right="79"/>
              <w:jc w:val="center"/>
              <w:rPr>
                <w:sz w:val="14"/>
              </w:rPr>
            </w:pPr>
            <w:r>
              <w:rPr>
                <w:spacing w:val="-5"/>
                <w:sz w:val="14"/>
              </w:rPr>
              <w:t>4.5</w:t>
            </w:r>
          </w:p>
        </w:tc>
      </w:tr>
      <w:tr>
        <w:trPr>
          <w:trHeight w:val="410"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68"/>
              <w:ind w:left="107" w:right="181"/>
              <w:rPr>
                <w:sz w:val="14"/>
              </w:rPr>
            </w:pPr>
            <w:r>
              <w:rPr>
                <w:sz w:val="14"/>
              </w:rPr>
              <w:t>Animal</w:t>
            </w:r>
            <w:r>
              <w:rPr>
                <w:spacing w:val="-3"/>
                <w:sz w:val="14"/>
              </w:rPr>
              <w:t> </w:t>
            </w:r>
            <w:r>
              <w:rPr>
                <w:sz w:val="14"/>
              </w:rPr>
              <w:t>Registrations</w:t>
            </w:r>
            <w:r>
              <w:rPr>
                <w:spacing w:val="-3"/>
                <w:sz w:val="14"/>
              </w:rPr>
              <w:t> </w:t>
            </w:r>
            <w:r>
              <w:rPr>
                <w:sz w:val="14"/>
              </w:rPr>
              <w:t>Dogs Microchipped</w:t>
            </w:r>
            <w:r>
              <w:rPr>
                <w:spacing w:val="-4"/>
                <w:sz w:val="14"/>
              </w:rPr>
              <w:t> </w:t>
            </w:r>
            <w:r>
              <w:rPr>
                <w:sz w:val="14"/>
              </w:rPr>
              <w:t>-</w:t>
            </w:r>
            <w:r>
              <w:rPr>
                <w:spacing w:val="-4"/>
                <w:sz w:val="14"/>
              </w:rPr>
              <w:t> </w:t>
            </w:r>
            <w:r>
              <w:rPr>
                <w:sz w:val="14"/>
              </w:rPr>
              <w:t>Entire</w:t>
            </w:r>
            <w:r>
              <w:rPr>
                <w:spacing w:val="-5"/>
                <w:sz w:val="14"/>
              </w:rPr>
              <w:t> </w:t>
            </w:r>
            <w:r>
              <w:rPr>
                <w:sz w:val="14"/>
              </w:rPr>
              <w:t>(undesexed)</w:t>
            </w:r>
            <w:r>
              <w:rPr>
                <w:spacing w:val="-1"/>
                <w:sz w:val="14"/>
              </w:rPr>
              <w:t> </w:t>
            </w:r>
            <w:r>
              <w:rPr>
                <w:sz w:val="14"/>
              </w:rPr>
              <w:t>under</w:t>
            </w:r>
            <w:r>
              <w:rPr>
                <w:spacing w:val="-4"/>
                <w:sz w:val="14"/>
              </w:rPr>
              <w:t> </w:t>
            </w:r>
            <w:r>
              <w:rPr>
                <w:sz w:val="14"/>
              </w:rPr>
              <w:t>6</w:t>
            </w:r>
            <w:r>
              <w:rPr>
                <w:spacing w:val="-4"/>
                <w:sz w:val="14"/>
              </w:rPr>
              <w:t> </w:t>
            </w:r>
            <w:r>
              <w:rPr>
                <w:sz w:val="14"/>
              </w:rPr>
              <w:t>months</w:t>
            </w:r>
            <w:r>
              <w:rPr>
                <w:spacing w:val="-1"/>
                <w:sz w:val="14"/>
              </w:rPr>
              <w:t> </w:t>
            </w:r>
            <w:r>
              <w:rPr>
                <w:sz w:val="14"/>
              </w:rPr>
              <w:t>of</w:t>
            </w:r>
            <w:r>
              <w:rPr>
                <w:spacing w:val="-3"/>
                <w:sz w:val="14"/>
              </w:rPr>
              <w:t> </w:t>
            </w:r>
            <w:r>
              <w:rPr>
                <w:sz w:val="14"/>
              </w:rPr>
              <w:t>age -</w:t>
            </w:r>
            <w:r>
              <w:rPr>
                <w:spacing w:val="40"/>
                <w:sz w:val="14"/>
              </w:rPr>
              <w:t> </w:t>
            </w:r>
            <w:r>
              <w:rPr>
                <w:sz w:val="14"/>
              </w:rPr>
              <w:t>Full</w:t>
            </w:r>
            <w:r>
              <w:rPr>
                <w:spacing w:val="-4"/>
                <w:sz w:val="14"/>
              </w:rPr>
              <w:t> </w:t>
            </w:r>
            <w:r>
              <w:rPr>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8"/>
              <w:rPr>
                <w:sz w:val="21"/>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8"/>
              <w:rPr>
                <w:sz w:val="21"/>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8"/>
              <w:rPr>
                <w:sz w:val="21"/>
              </w:rPr>
            </w:pPr>
          </w:p>
          <w:p>
            <w:pPr>
              <w:pStyle w:val="TableParagraph"/>
              <w:spacing w:line="140" w:lineRule="exact"/>
              <w:ind w:right="91"/>
              <w:jc w:val="right"/>
              <w:rPr>
                <w:sz w:val="14"/>
              </w:rPr>
            </w:pPr>
            <w:r>
              <w:rPr>
                <w:spacing w:val="-2"/>
                <w:sz w:val="14"/>
              </w:rPr>
              <w:t>63.00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8"/>
              <w:rPr>
                <w:sz w:val="21"/>
              </w:rPr>
            </w:pPr>
          </w:p>
          <w:p>
            <w:pPr>
              <w:pStyle w:val="TableParagraph"/>
              <w:spacing w:line="140" w:lineRule="exact"/>
              <w:ind w:right="92"/>
              <w:jc w:val="right"/>
              <w:rPr>
                <w:sz w:val="14"/>
              </w:rPr>
            </w:pPr>
            <w:r>
              <w:rPr>
                <w:spacing w:val="-2"/>
                <w:sz w:val="14"/>
              </w:rPr>
              <w:t>66.00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8"/>
              <w:rPr>
                <w:sz w:val="21"/>
              </w:rPr>
            </w:pPr>
          </w:p>
          <w:p>
            <w:pPr>
              <w:pStyle w:val="TableParagraph"/>
              <w:spacing w:line="140" w:lineRule="exact"/>
              <w:ind w:left="95" w:right="79"/>
              <w:jc w:val="center"/>
              <w:rPr>
                <w:sz w:val="14"/>
              </w:rPr>
            </w:pPr>
            <w:r>
              <w:rPr>
                <w:spacing w:val="-5"/>
                <w:sz w:val="14"/>
              </w:rPr>
              <w:t>4.5</w:t>
            </w: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Pr>
                <w:sz w:val="14"/>
              </w:rPr>
            </w:pPr>
            <w:r>
              <w:rPr>
                <w:sz w:val="14"/>
              </w:rPr>
              <w:t>Animal</w:t>
            </w:r>
            <w:r>
              <w:rPr>
                <w:spacing w:val="-3"/>
                <w:sz w:val="14"/>
              </w:rPr>
              <w:t> </w:t>
            </w:r>
            <w:r>
              <w:rPr>
                <w:sz w:val="14"/>
              </w:rPr>
              <w:t>Registrations</w:t>
            </w:r>
            <w:r>
              <w:rPr>
                <w:spacing w:val="-3"/>
                <w:sz w:val="14"/>
              </w:rPr>
              <w:t> </w:t>
            </w:r>
            <w:r>
              <w:rPr>
                <w:sz w:val="14"/>
              </w:rPr>
              <w:t>Dogs Microchipped</w:t>
            </w:r>
            <w:r>
              <w:rPr>
                <w:spacing w:val="-4"/>
                <w:sz w:val="14"/>
              </w:rPr>
              <w:t> </w:t>
            </w:r>
            <w:r>
              <w:rPr>
                <w:sz w:val="14"/>
              </w:rPr>
              <w:t>-</w:t>
            </w:r>
            <w:r>
              <w:rPr>
                <w:spacing w:val="-4"/>
                <w:sz w:val="14"/>
              </w:rPr>
              <w:t> </w:t>
            </w:r>
            <w:r>
              <w:rPr>
                <w:sz w:val="14"/>
              </w:rPr>
              <w:t>Entire</w:t>
            </w:r>
            <w:r>
              <w:rPr>
                <w:spacing w:val="-5"/>
                <w:sz w:val="14"/>
              </w:rPr>
              <w:t> </w:t>
            </w:r>
            <w:r>
              <w:rPr>
                <w:sz w:val="14"/>
              </w:rPr>
              <w:t>(undesexed)</w:t>
            </w:r>
            <w:r>
              <w:rPr>
                <w:spacing w:val="-1"/>
                <w:sz w:val="14"/>
              </w:rPr>
              <w:t> </w:t>
            </w:r>
            <w:r>
              <w:rPr>
                <w:sz w:val="14"/>
              </w:rPr>
              <w:t>under</w:t>
            </w:r>
            <w:r>
              <w:rPr>
                <w:spacing w:val="-4"/>
                <w:sz w:val="14"/>
              </w:rPr>
              <w:t> </w:t>
            </w:r>
            <w:r>
              <w:rPr>
                <w:sz w:val="14"/>
              </w:rPr>
              <w:t>6</w:t>
            </w:r>
            <w:r>
              <w:rPr>
                <w:spacing w:val="-4"/>
                <w:sz w:val="14"/>
              </w:rPr>
              <w:t> </w:t>
            </w:r>
            <w:r>
              <w:rPr>
                <w:sz w:val="14"/>
              </w:rPr>
              <w:t>months</w:t>
            </w:r>
            <w:r>
              <w:rPr>
                <w:spacing w:val="-1"/>
                <w:sz w:val="14"/>
              </w:rPr>
              <w:t> </w:t>
            </w:r>
            <w:r>
              <w:rPr>
                <w:sz w:val="14"/>
              </w:rPr>
              <w:t>of</w:t>
            </w:r>
            <w:r>
              <w:rPr>
                <w:spacing w:val="-3"/>
                <w:sz w:val="14"/>
              </w:rPr>
              <w:t> </w:t>
            </w:r>
            <w:r>
              <w:rPr>
                <w:sz w:val="14"/>
              </w:rPr>
              <w:t>age -</w:t>
            </w:r>
            <w:r>
              <w:rPr>
                <w:spacing w:val="40"/>
                <w:sz w:val="14"/>
              </w:rPr>
              <w:t> </w:t>
            </w:r>
            <w:r>
              <w:rPr>
                <w:spacing w:val="-2"/>
                <w:sz w:val="14"/>
              </w:rPr>
              <w:t>Pensioner/Concession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1"/>
              <w:jc w:val="right"/>
              <w:rPr>
                <w:sz w:val="14"/>
              </w:rPr>
            </w:pPr>
            <w:r>
              <w:rPr>
                <w:spacing w:val="-2"/>
                <w:sz w:val="14"/>
              </w:rPr>
              <w:t>31.50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2"/>
              <w:jc w:val="right"/>
              <w:rPr>
                <w:sz w:val="14"/>
              </w:rPr>
            </w:pPr>
            <w:r>
              <w:rPr>
                <w:spacing w:val="-2"/>
                <w:sz w:val="14"/>
              </w:rPr>
              <w:t>33.00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0" w:lineRule="exact"/>
              <w:ind w:left="95" w:right="79"/>
              <w:jc w:val="center"/>
              <w:rPr>
                <w:sz w:val="14"/>
              </w:rPr>
            </w:pPr>
            <w:r>
              <w:rPr>
                <w:spacing w:val="-5"/>
                <w:sz w:val="14"/>
              </w:rPr>
              <w:t>4.5</w:t>
            </w:r>
          </w:p>
        </w:tc>
      </w:tr>
      <w:tr>
        <w:trPr>
          <w:trHeight w:val="37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31"/>
              <w:ind w:left="107"/>
              <w:rPr>
                <w:sz w:val="14"/>
              </w:rPr>
            </w:pPr>
            <w:r>
              <w:rPr>
                <w:sz w:val="14"/>
              </w:rPr>
              <w:t>Animal</w:t>
            </w:r>
            <w:r>
              <w:rPr>
                <w:spacing w:val="-4"/>
                <w:sz w:val="14"/>
              </w:rPr>
              <w:t> </w:t>
            </w:r>
            <w:r>
              <w:rPr>
                <w:sz w:val="14"/>
              </w:rPr>
              <w:t>Registrations</w:t>
            </w:r>
            <w:r>
              <w:rPr>
                <w:spacing w:val="-3"/>
                <w:sz w:val="14"/>
              </w:rPr>
              <w:t> </w:t>
            </w:r>
            <w:r>
              <w:rPr>
                <w:sz w:val="14"/>
              </w:rPr>
              <w:t>-</w:t>
            </w:r>
            <w:r>
              <w:rPr>
                <w:spacing w:val="-5"/>
                <w:sz w:val="14"/>
              </w:rPr>
              <w:t> </w:t>
            </w:r>
            <w:r>
              <w:rPr>
                <w:sz w:val="14"/>
              </w:rPr>
              <w:t>Dangerous</w:t>
            </w:r>
            <w:r>
              <w:rPr>
                <w:spacing w:val="-2"/>
                <w:sz w:val="14"/>
              </w:rPr>
              <w:t> </w:t>
            </w:r>
            <w:r>
              <w:rPr>
                <w:sz w:val="14"/>
              </w:rPr>
              <w:t>Dog</w:t>
            </w:r>
            <w:r>
              <w:rPr>
                <w:spacing w:val="-1"/>
                <w:sz w:val="14"/>
              </w:rPr>
              <w:t> </w:t>
            </w:r>
            <w:r>
              <w:rPr>
                <w:sz w:val="14"/>
              </w:rPr>
              <w:t>(includes</w:t>
            </w:r>
            <w:r>
              <w:rPr>
                <w:spacing w:val="-2"/>
                <w:sz w:val="14"/>
              </w:rPr>
              <w:t> </w:t>
            </w:r>
            <w:r>
              <w:rPr>
                <w:sz w:val="14"/>
              </w:rPr>
              <w:t>dogs</w:t>
            </w:r>
            <w:r>
              <w:rPr>
                <w:spacing w:val="-3"/>
                <w:sz w:val="14"/>
              </w:rPr>
              <w:t> </w:t>
            </w:r>
            <w:r>
              <w:rPr>
                <w:sz w:val="14"/>
              </w:rPr>
              <w:t>declared</w:t>
            </w:r>
            <w:r>
              <w:rPr>
                <w:spacing w:val="-5"/>
                <w:sz w:val="14"/>
              </w:rPr>
              <w:t> </w:t>
            </w:r>
            <w:r>
              <w:rPr>
                <w:sz w:val="14"/>
              </w:rPr>
              <w:t>menacing</w:t>
            </w:r>
            <w:r>
              <w:rPr>
                <w:spacing w:val="-3"/>
                <w:sz w:val="14"/>
              </w:rPr>
              <w:t> </w:t>
            </w:r>
            <w:r>
              <w:rPr>
                <w:sz w:val="14"/>
              </w:rPr>
              <w:t>&amp;</w:t>
            </w:r>
            <w:r>
              <w:rPr>
                <w:spacing w:val="-4"/>
                <w:sz w:val="14"/>
              </w:rPr>
              <w:t> </w:t>
            </w:r>
            <w:r>
              <w:rPr>
                <w:sz w:val="14"/>
              </w:rPr>
              <w:t>all</w:t>
            </w:r>
            <w:r>
              <w:rPr>
                <w:spacing w:val="-2"/>
                <w:sz w:val="14"/>
              </w:rPr>
              <w:t> </w:t>
            </w:r>
            <w:r>
              <w:rPr>
                <w:sz w:val="14"/>
              </w:rPr>
              <w:t>restricted</w:t>
            </w:r>
            <w:r>
              <w:rPr>
                <w:spacing w:val="40"/>
                <w:sz w:val="14"/>
              </w:rPr>
              <w:t> </w:t>
            </w:r>
            <w:r>
              <w:rPr>
                <w:spacing w:val="-2"/>
                <w:sz w:val="14"/>
              </w:rPr>
              <w:t>breeds)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8"/>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8"/>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8"/>
              </w:rPr>
            </w:pPr>
          </w:p>
          <w:p>
            <w:pPr>
              <w:pStyle w:val="TableParagraph"/>
              <w:spacing w:line="140" w:lineRule="exact"/>
              <w:ind w:right="91"/>
              <w:jc w:val="right"/>
              <w:rPr>
                <w:sz w:val="14"/>
              </w:rPr>
            </w:pPr>
            <w:r>
              <w:rPr>
                <w:spacing w:val="-2"/>
                <w:sz w:val="14"/>
              </w:rPr>
              <w:t>345.00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8"/>
              </w:rPr>
            </w:pPr>
          </w:p>
          <w:p>
            <w:pPr>
              <w:pStyle w:val="TableParagraph"/>
              <w:spacing w:line="140" w:lineRule="exact"/>
              <w:ind w:right="93"/>
              <w:jc w:val="right"/>
              <w:rPr>
                <w:sz w:val="14"/>
              </w:rPr>
            </w:pPr>
            <w:r>
              <w:rPr>
                <w:spacing w:val="-2"/>
                <w:sz w:val="14"/>
              </w:rPr>
              <w:t>365.00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8"/>
              </w:rPr>
            </w:pPr>
          </w:p>
          <w:p>
            <w:pPr>
              <w:pStyle w:val="TableParagraph"/>
              <w:spacing w:line="140" w:lineRule="exact"/>
              <w:ind w:left="95" w:right="79"/>
              <w:jc w:val="center"/>
              <w:rPr>
                <w:sz w:val="14"/>
              </w:rPr>
            </w:pPr>
            <w:r>
              <w:rPr>
                <w:spacing w:val="-5"/>
                <w:sz w:val="14"/>
              </w:rPr>
              <w:t>5.5</w:t>
            </w:r>
          </w:p>
        </w:tc>
      </w:tr>
      <w:tr>
        <w:trPr>
          <w:trHeight w:val="225"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65"/>
              <w:ind w:left="107"/>
              <w:rPr>
                <w:sz w:val="14"/>
              </w:rPr>
            </w:pPr>
            <w:r>
              <w:rPr>
                <w:sz w:val="14"/>
              </w:rPr>
              <w:t>Animal</w:t>
            </w:r>
            <w:r>
              <w:rPr>
                <w:spacing w:val="-4"/>
                <w:sz w:val="14"/>
              </w:rPr>
              <w:t> </w:t>
            </w:r>
            <w:r>
              <w:rPr>
                <w:sz w:val="14"/>
              </w:rPr>
              <w:t>Registrations</w:t>
            </w:r>
            <w:r>
              <w:rPr>
                <w:spacing w:val="-1"/>
                <w:sz w:val="14"/>
              </w:rPr>
              <w:t> </w:t>
            </w:r>
            <w:r>
              <w:rPr>
                <w:sz w:val="14"/>
              </w:rPr>
              <w:t>-</w:t>
            </w:r>
            <w:r>
              <w:rPr>
                <w:spacing w:val="-5"/>
                <w:sz w:val="14"/>
              </w:rPr>
              <w:t> </w:t>
            </w:r>
            <w:r>
              <w:rPr>
                <w:sz w:val="14"/>
              </w:rPr>
              <w:t>Cat</w:t>
            </w:r>
            <w:r>
              <w:rPr>
                <w:spacing w:val="-4"/>
                <w:sz w:val="14"/>
              </w:rPr>
              <w:t> </w:t>
            </w:r>
            <w:r>
              <w:rPr>
                <w:sz w:val="14"/>
              </w:rPr>
              <w:t>-</w:t>
            </w:r>
            <w:r>
              <w:rPr>
                <w:spacing w:val="-2"/>
                <w:sz w:val="14"/>
              </w:rPr>
              <w:t> </w:t>
            </w:r>
            <w:r>
              <w:rPr>
                <w:sz w:val="14"/>
              </w:rPr>
              <w:t>Microchipped</w:t>
            </w:r>
            <w:r>
              <w:rPr>
                <w:spacing w:val="-2"/>
                <w:sz w:val="14"/>
              </w:rPr>
              <w:t> </w:t>
            </w:r>
            <w:r>
              <w:rPr>
                <w:sz w:val="14"/>
              </w:rPr>
              <w:t>-</w:t>
            </w:r>
            <w:r>
              <w:rPr>
                <w:spacing w:val="-5"/>
                <w:sz w:val="14"/>
              </w:rPr>
              <w:t> </w:t>
            </w:r>
            <w:r>
              <w:rPr>
                <w:spacing w:val="-2"/>
                <w:sz w:val="14"/>
              </w:rPr>
              <w:t>Desexed</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65"/>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65"/>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65"/>
              <w:ind w:right="91"/>
              <w:jc w:val="right"/>
              <w:rPr>
                <w:sz w:val="14"/>
              </w:rPr>
            </w:pPr>
            <w:r>
              <w:rPr>
                <w:spacing w:val="-2"/>
                <w:sz w:val="14"/>
              </w:rPr>
              <w:t>51.00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65"/>
              <w:ind w:right="92"/>
              <w:jc w:val="right"/>
              <w:rPr>
                <w:sz w:val="14"/>
              </w:rPr>
            </w:pPr>
            <w:r>
              <w:rPr>
                <w:spacing w:val="-2"/>
                <w:sz w:val="14"/>
              </w:rPr>
              <w:t>53.00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65"/>
              <w:ind w:left="95" w:right="79"/>
              <w:jc w:val="center"/>
              <w:rPr>
                <w:sz w:val="14"/>
              </w:rPr>
            </w:pPr>
            <w:r>
              <w:rPr>
                <w:spacing w:val="-5"/>
                <w:sz w:val="14"/>
              </w:rPr>
              <w:t>3.8</w:t>
            </w:r>
          </w:p>
        </w:tc>
      </w:tr>
      <w:tr>
        <w:trPr>
          <w:trHeight w:val="225"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65"/>
              <w:ind w:left="107"/>
              <w:rPr>
                <w:sz w:val="14"/>
              </w:rPr>
            </w:pPr>
            <w:r>
              <w:rPr>
                <w:sz w:val="14"/>
              </w:rPr>
              <w:t>Animal</w:t>
            </w:r>
            <w:r>
              <w:rPr>
                <w:spacing w:val="-4"/>
                <w:sz w:val="14"/>
              </w:rPr>
              <w:t> </w:t>
            </w:r>
            <w:r>
              <w:rPr>
                <w:sz w:val="14"/>
              </w:rPr>
              <w:t>Registrations</w:t>
            </w:r>
            <w:r>
              <w:rPr>
                <w:spacing w:val="-1"/>
                <w:sz w:val="14"/>
              </w:rPr>
              <w:t> </w:t>
            </w:r>
            <w:r>
              <w:rPr>
                <w:sz w:val="14"/>
              </w:rPr>
              <w:t>-</w:t>
            </w:r>
            <w:r>
              <w:rPr>
                <w:spacing w:val="-5"/>
                <w:sz w:val="14"/>
              </w:rPr>
              <w:t> </w:t>
            </w:r>
            <w:r>
              <w:rPr>
                <w:sz w:val="14"/>
              </w:rPr>
              <w:t>Cat</w:t>
            </w:r>
            <w:r>
              <w:rPr>
                <w:spacing w:val="-4"/>
                <w:sz w:val="14"/>
              </w:rPr>
              <w:t> </w:t>
            </w:r>
            <w:r>
              <w:rPr>
                <w:sz w:val="14"/>
              </w:rPr>
              <w:t>-</w:t>
            </w:r>
            <w:r>
              <w:rPr>
                <w:spacing w:val="-2"/>
                <w:sz w:val="14"/>
              </w:rPr>
              <w:t> </w:t>
            </w:r>
            <w:r>
              <w:rPr>
                <w:sz w:val="14"/>
              </w:rPr>
              <w:t>Microchipped</w:t>
            </w:r>
            <w:r>
              <w:rPr>
                <w:spacing w:val="-2"/>
                <w:sz w:val="14"/>
              </w:rPr>
              <w:t> </w:t>
            </w:r>
            <w:r>
              <w:rPr>
                <w:sz w:val="14"/>
              </w:rPr>
              <w:t>-</w:t>
            </w:r>
            <w:r>
              <w:rPr>
                <w:spacing w:val="-4"/>
                <w:sz w:val="14"/>
              </w:rPr>
              <w:t> </w:t>
            </w:r>
            <w:r>
              <w:rPr>
                <w:sz w:val="14"/>
              </w:rPr>
              <w:t>Desexed</w:t>
            </w:r>
            <w:r>
              <w:rPr>
                <w:spacing w:val="-2"/>
                <w:sz w:val="14"/>
              </w:rPr>
              <w:t> </w:t>
            </w:r>
            <w:r>
              <w:rPr>
                <w:sz w:val="14"/>
              </w:rPr>
              <w:t>-</w:t>
            </w:r>
            <w:r>
              <w:rPr>
                <w:spacing w:val="-5"/>
                <w:sz w:val="14"/>
              </w:rPr>
              <w:t> </w:t>
            </w:r>
            <w:r>
              <w:rPr>
                <w:spacing w:val="-2"/>
                <w:sz w:val="14"/>
              </w:rPr>
              <w:t>Pensioner/Concession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65"/>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65"/>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65"/>
              <w:ind w:right="91"/>
              <w:jc w:val="right"/>
              <w:rPr>
                <w:sz w:val="14"/>
              </w:rPr>
            </w:pPr>
            <w:r>
              <w:rPr>
                <w:spacing w:val="-2"/>
                <w:sz w:val="14"/>
              </w:rPr>
              <w:t>25.50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65"/>
              <w:ind w:right="92"/>
              <w:jc w:val="right"/>
              <w:rPr>
                <w:sz w:val="14"/>
              </w:rPr>
            </w:pPr>
            <w:r>
              <w:rPr>
                <w:spacing w:val="-2"/>
                <w:sz w:val="14"/>
              </w:rPr>
              <w:t>26.50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65"/>
              <w:ind w:left="95" w:right="79"/>
              <w:jc w:val="center"/>
              <w:rPr>
                <w:sz w:val="14"/>
              </w:rPr>
            </w:pPr>
            <w:r>
              <w:rPr>
                <w:spacing w:val="-5"/>
                <w:sz w:val="14"/>
              </w:rPr>
              <w:t>3.8</w:t>
            </w:r>
          </w:p>
        </w:tc>
      </w:tr>
      <w:tr>
        <w:trPr>
          <w:trHeight w:val="225"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65"/>
              <w:ind w:left="107"/>
              <w:rPr>
                <w:sz w:val="14"/>
              </w:rPr>
            </w:pPr>
            <w:r>
              <w:rPr>
                <w:sz w:val="14"/>
              </w:rPr>
              <w:t>Animal</w:t>
            </w:r>
            <w:r>
              <w:rPr>
                <w:spacing w:val="-4"/>
                <w:sz w:val="14"/>
              </w:rPr>
              <w:t> </w:t>
            </w:r>
            <w:r>
              <w:rPr>
                <w:sz w:val="14"/>
              </w:rPr>
              <w:t>Registrations</w:t>
            </w:r>
            <w:r>
              <w:rPr>
                <w:spacing w:val="-1"/>
                <w:sz w:val="14"/>
              </w:rPr>
              <w:t> </w:t>
            </w:r>
            <w:r>
              <w:rPr>
                <w:sz w:val="14"/>
              </w:rPr>
              <w:t>-</w:t>
            </w:r>
            <w:r>
              <w:rPr>
                <w:spacing w:val="-5"/>
                <w:sz w:val="14"/>
              </w:rPr>
              <w:t> </w:t>
            </w:r>
            <w:r>
              <w:rPr>
                <w:sz w:val="14"/>
              </w:rPr>
              <w:t>Cat</w:t>
            </w:r>
            <w:r>
              <w:rPr>
                <w:spacing w:val="-3"/>
                <w:sz w:val="14"/>
              </w:rPr>
              <w:t> </w:t>
            </w:r>
            <w:r>
              <w:rPr>
                <w:sz w:val="14"/>
              </w:rPr>
              <w:t>-</w:t>
            </w:r>
            <w:r>
              <w:rPr>
                <w:spacing w:val="-5"/>
                <w:sz w:val="14"/>
              </w:rPr>
              <w:t> </w:t>
            </w:r>
            <w:r>
              <w:rPr>
                <w:spacing w:val="-2"/>
                <w:sz w:val="14"/>
              </w:rPr>
              <w:t>Entire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65"/>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65"/>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65"/>
              <w:ind w:right="91"/>
              <w:jc w:val="right"/>
              <w:rPr>
                <w:sz w:val="14"/>
              </w:rPr>
            </w:pPr>
            <w:r>
              <w:rPr>
                <w:spacing w:val="-2"/>
                <w:sz w:val="14"/>
              </w:rPr>
              <w:t>156.00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65"/>
              <w:ind w:right="93"/>
              <w:jc w:val="right"/>
              <w:rPr>
                <w:sz w:val="14"/>
              </w:rPr>
            </w:pPr>
            <w:r>
              <w:rPr>
                <w:spacing w:val="-2"/>
                <w:sz w:val="14"/>
              </w:rPr>
              <w:t>164.00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65"/>
              <w:ind w:left="95" w:right="79"/>
              <w:jc w:val="center"/>
              <w:rPr>
                <w:sz w:val="14"/>
              </w:rPr>
            </w:pPr>
            <w:r>
              <w:rPr>
                <w:spacing w:val="-5"/>
                <w:sz w:val="14"/>
              </w:rPr>
              <w:t>4.9</w:t>
            </w:r>
          </w:p>
        </w:tc>
      </w:tr>
      <w:tr>
        <w:trPr>
          <w:trHeight w:val="225"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65"/>
              <w:ind w:left="107"/>
              <w:rPr>
                <w:sz w:val="14"/>
              </w:rPr>
            </w:pPr>
            <w:r>
              <w:rPr>
                <w:sz w:val="14"/>
              </w:rPr>
              <w:t>Animal</w:t>
            </w:r>
            <w:r>
              <w:rPr>
                <w:spacing w:val="-3"/>
                <w:sz w:val="14"/>
              </w:rPr>
              <w:t> </w:t>
            </w:r>
            <w:r>
              <w:rPr>
                <w:sz w:val="14"/>
              </w:rPr>
              <w:t>Registrations</w:t>
            </w:r>
            <w:r>
              <w:rPr>
                <w:spacing w:val="-1"/>
                <w:sz w:val="14"/>
              </w:rPr>
              <w:t> </w:t>
            </w:r>
            <w:r>
              <w:rPr>
                <w:sz w:val="14"/>
              </w:rPr>
              <w:t>-</w:t>
            </w:r>
            <w:r>
              <w:rPr>
                <w:spacing w:val="-3"/>
                <w:sz w:val="14"/>
              </w:rPr>
              <w:t> </w:t>
            </w:r>
            <w:r>
              <w:rPr>
                <w:sz w:val="14"/>
              </w:rPr>
              <w:t>Cat</w:t>
            </w:r>
            <w:r>
              <w:rPr>
                <w:spacing w:val="-3"/>
                <w:sz w:val="14"/>
              </w:rPr>
              <w:t> </w:t>
            </w:r>
            <w:r>
              <w:rPr>
                <w:sz w:val="14"/>
              </w:rPr>
              <w:t>-</w:t>
            </w:r>
            <w:r>
              <w:rPr>
                <w:spacing w:val="-4"/>
                <w:sz w:val="14"/>
              </w:rPr>
              <w:t> </w:t>
            </w:r>
            <w:r>
              <w:rPr>
                <w:sz w:val="14"/>
              </w:rPr>
              <w:t>Entire</w:t>
            </w:r>
            <w:r>
              <w:rPr>
                <w:spacing w:val="-4"/>
                <w:sz w:val="14"/>
              </w:rPr>
              <w:t> </w:t>
            </w:r>
            <w:r>
              <w:rPr>
                <w:sz w:val="14"/>
              </w:rPr>
              <w:t>-</w:t>
            </w:r>
            <w:r>
              <w:rPr>
                <w:spacing w:val="-1"/>
                <w:sz w:val="14"/>
              </w:rPr>
              <w:t> </w:t>
            </w:r>
            <w:r>
              <w:rPr>
                <w:spacing w:val="-2"/>
                <w:sz w:val="14"/>
              </w:rPr>
              <w:t>Pensioner/Concession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65"/>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65"/>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65"/>
              <w:ind w:right="91"/>
              <w:jc w:val="right"/>
              <w:rPr>
                <w:sz w:val="14"/>
              </w:rPr>
            </w:pPr>
            <w:r>
              <w:rPr>
                <w:spacing w:val="-2"/>
                <w:sz w:val="14"/>
              </w:rPr>
              <w:t>78.00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65"/>
              <w:ind w:right="92"/>
              <w:jc w:val="right"/>
              <w:rPr>
                <w:sz w:val="14"/>
              </w:rPr>
            </w:pPr>
            <w:r>
              <w:rPr>
                <w:spacing w:val="-2"/>
                <w:sz w:val="14"/>
              </w:rPr>
              <w:t>82.00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65"/>
              <w:ind w:left="95" w:right="79"/>
              <w:jc w:val="center"/>
              <w:rPr>
                <w:sz w:val="14"/>
              </w:rPr>
            </w:pPr>
            <w:r>
              <w:rPr>
                <w:spacing w:val="-5"/>
                <w:sz w:val="14"/>
              </w:rPr>
              <w:t>4.9</w:t>
            </w:r>
          </w:p>
        </w:tc>
      </w:tr>
      <w:tr>
        <w:trPr>
          <w:trHeight w:val="388"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47"/>
              <w:ind w:left="107"/>
              <w:rPr>
                <w:sz w:val="14"/>
              </w:rPr>
            </w:pPr>
            <w:r>
              <w:rPr>
                <w:sz w:val="14"/>
              </w:rPr>
              <w:t>Animal</w:t>
            </w:r>
            <w:r>
              <w:rPr>
                <w:spacing w:val="-3"/>
                <w:sz w:val="14"/>
              </w:rPr>
              <w:t> </w:t>
            </w:r>
            <w:r>
              <w:rPr>
                <w:sz w:val="14"/>
              </w:rPr>
              <w:t>Registrations</w:t>
            </w:r>
            <w:r>
              <w:rPr>
                <w:spacing w:val="-3"/>
                <w:sz w:val="14"/>
              </w:rPr>
              <w:t> </w:t>
            </w:r>
            <w:r>
              <w:rPr>
                <w:sz w:val="14"/>
              </w:rPr>
              <w:t>Cats</w:t>
            </w:r>
            <w:r>
              <w:rPr>
                <w:spacing w:val="-2"/>
                <w:sz w:val="14"/>
              </w:rPr>
              <w:t> </w:t>
            </w:r>
            <w:r>
              <w:rPr>
                <w:sz w:val="14"/>
              </w:rPr>
              <w:t>Microchipped</w:t>
            </w:r>
            <w:r>
              <w:rPr>
                <w:spacing w:val="-4"/>
                <w:sz w:val="14"/>
              </w:rPr>
              <w:t> </w:t>
            </w:r>
            <w:r>
              <w:rPr>
                <w:sz w:val="14"/>
              </w:rPr>
              <w:t>-</w:t>
            </w:r>
            <w:r>
              <w:rPr>
                <w:spacing w:val="-4"/>
                <w:sz w:val="14"/>
              </w:rPr>
              <w:t> </w:t>
            </w:r>
            <w:r>
              <w:rPr>
                <w:sz w:val="14"/>
              </w:rPr>
              <w:t>Entire</w:t>
            </w:r>
            <w:r>
              <w:rPr>
                <w:spacing w:val="-5"/>
                <w:sz w:val="14"/>
              </w:rPr>
              <w:t> </w:t>
            </w:r>
            <w:r>
              <w:rPr>
                <w:sz w:val="14"/>
              </w:rPr>
              <w:t>(undesexed)</w:t>
            </w:r>
            <w:r>
              <w:rPr>
                <w:spacing w:val="-4"/>
                <w:sz w:val="14"/>
              </w:rPr>
              <w:t> </w:t>
            </w:r>
            <w:r>
              <w:rPr>
                <w:sz w:val="14"/>
              </w:rPr>
              <w:t>AND</w:t>
            </w:r>
            <w:r>
              <w:rPr>
                <w:spacing w:val="-3"/>
                <w:sz w:val="14"/>
              </w:rPr>
              <w:t> </w:t>
            </w:r>
            <w:r>
              <w:rPr>
                <w:sz w:val="14"/>
              </w:rPr>
              <w:t>registered</w:t>
            </w:r>
            <w:r>
              <w:rPr>
                <w:spacing w:val="-1"/>
                <w:sz w:val="14"/>
              </w:rPr>
              <w:t> </w:t>
            </w:r>
            <w:r>
              <w:rPr>
                <w:sz w:val="14"/>
              </w:rPr>
              <w:t>with</w:t>
            </w:r>
            <w:r>
              <w:rPr>
                <w:spacing w:val="-2"/>
                <w:sz w:val="14"/>
              </w:rPr>
              <w:t> </w:t>
            </w:r>
            <w:r>
              <w:rPr>
                <w:sz w:val="14"/>
              </w:rPr>
              <w:t>Feline</w:t>
            </w:r>
            <w:r>
              <w:rPr>
                <w:spacing w:val="40"/>
                <w:sz w:val="14"/>
              </w:rPr>
              <w:t> </w:t>
            </w:r>
            <w:r>
              <w:rPr>
                <w:sz w:val="14"/>
              </w:rPr>
              <w:t>Control Council (for breeding purposes) - Full 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10"/>
              <w:rPr>
                <w:sz w:val="19"/>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10"/>
              <w:rPr>
                <w:sz w:val="19"/>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10"/>
              <w:rPr>
                <w:sz w:val="19"/>
              </w:rPr>
            </w:pPr>
          </w:p>
          <w:p>
            <w:pPr>
              <w:pStyle w:val="TableParagraph"/>
              <w:spacing w:line="140" w:lineRule="exact"/>
              <w:ind w:right="91"/>
              <w:jc w:val="right"/>
              <w:rPr>
                <w:sz w:val="14"/>
              </w:rPr>
            </w:pPr>
            <w:r>
              <w:rPr>
                <w:spacing w:val="-2"/>
                <w:sz w:val="14"/>
              </w:rPr>
              <w:t>51.00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10"/>
              <w:rPr>
                <w:sz w:val="19"/>
              </w:rPr>
            </w:pPr>
          </w:p>
          <w:p>
            <w:pPr>
              <w:pStyle w:val="TableParagraph"/>
              <w:spacing w:line="140" w:lineRule="exact"/>
              <w:ind w:right="92"/>
              <w:jc w:val="right"/>
              <w:rPr>
                <w:sz w:val="14"/>
              </w:rPr>
            </w:pPr>
            <w:r>
              <w:rPr>
                <w:spacing w:val="-2"/>
                <w:sz w:val="14"/>
              </w:rPr>
              <w:t>53.00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10"/>
              <w:rPr>
                <w:sz w:val="19"/>
              </w:rPr>
            </w:pPr>
          </w:p>
          <w:p>
            <w:pPr>
              <w:pStyle w:val="TableParagraph"/>
              <w:spacing w:line="140" w:lineRule="exact"/>
              <w:ind w:left="95" w:right="79"/>
              <w:jc w:val="center"/>
              <w:rPr>
                <w:sz w:val="14"/>
              </w:rPr>
            </w:pPr>
            <w:r>
              <w:rPr>
                <w:spacing w:val="-5"/>
                <w:sz w:val="14"/>
              </w:rPr>
              <w:t>3.8</w:t>
            </w:r>
          </w:p>
        </w:tc>
      </w:tr>
      <w:tr>
        <w:trPr>
          <w:trHeight w:val="46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22"/>
              <w:ind w:left="107"/>
              <w:rPr>
                <w:sz w:val="14"/>
              </w:rPr>
            </w:pPr>
            <w:r>
              <w:rPr>
                <w:sz w:val="14"/>
              </w:rPr>
              <w:t>Animal</w:t>
            </w:r>
            <w:r>
              <w:rPr>
                <w:spacing w:val="-3"/>
                <w:sz w:val="14"/>
              </w:rPr>
              <w:t> </w:t>
            </w:r>
            <w:r>
              <w:rPr>
                <w:sz w:val="14"/>
              </w:rPr>
              <w:t>Registrations</w:t>
            </w:r>
            <w:r>
              <w:rPr>
                <w:spacing w:val="-3"/>
                <w:sz w:val="14"/>
              </w:rPr>
              <w:t> </w:t>
            </w:r>
            <w:r>
              <w:rPr>
                <w:sz w:val="14"/>
              </w:rPr>
              <w:t>Cats</w:t>
            </w:r>
            <w:r>
              <w:rPr>
                <w:spacing w:val="-2"/>
                <w:sz w:val="14"/>
              </w:rPr>
              <w:t> </w:t>
            </w:r>
            <w:r>
              <w:rPr>
                <w:sz w:val="14"/>
              </w:rPr>
              <w:t>Microchipped</w:t>
            </w:r>
            <w:r>
              <w:rPr>
                <w:spacing w:val="-4"/>
                <w:sz w:val="14"/>
              </w:rPr>
              <w:t> </w:t>
            </w:r>
            <w:r>
              <w:rPr>
                <w:sz w:val="14"/>
              </w:rPr>
              <w:t>-</w:t>
            </w:r>
            <w:r>
              <w:rPr>
                <w:spacing w:val="-4"/>
                <w:sz w:val="14"/>
              </w:rPr>
              <w:t> </w:t>
            </w:r>
            <w:r>
              <w:rPr>
                <w:sz w:val="14"/>
              </w:rPr>
              <w:t>Entire</w:t>
            </w:r>
            <w:r>
              <w:rPr>
                <w:spacing w:val="-5"/>
                <w:sz w:val="14"/>
              </w:rPr>
              <w:t> </w:t>
            </w:r>
            <w:r>
              <w:rPr>
                <w:sz w:val="14"/>
              </w:rPr>
              <w:t>(undesexed)</w:t>
            </w:r>
            <w:r>
              <w:rPr>
                <w:spacing w:val="-4"/>
                <w:sz w:val="14"/>
              </w:rPr>
              <w:t> </w:t>
            </w:r>
            <w:r>
              <w:rPr>
                <w:sz w:val="14"/>
              </w:rPr>
              <w:t>AND</w:t>
            </w:r>
            <w:r>
              <w:rPr>
                <w:spacing w:val="-3"/>
                <w:sz w:val="14"/>
              </w:rPr>
              <w:t> </w:t>
            </w:r>
            <w:r>
              <w:rPr>
                <w:sz w:val="14"/>
              </w:rPr>
              <w:t>registered</w:t>
            </w:r>
            <w:r>
              <w:rPr>
                <w:spacing w:val="-1"/>
                <w:sz w:val="14"/>
              </w:rPr>
              <w:t> </w:t>
            </w:r>
            <w:r>
              <w:rPr>
                <w:sz w:val="14"/>
              </w:rPr>
              <w:t>with</w:t>
            </w:r>
            <w:r>
              <w:rPr>
                <w:spacing w:val="-2"/>
                <w:sz w:val="14"/>
              </w:rPr>
              <w:t> </w:t>
            </w:r>
            <w:r>
              <w:rPr>
                <w:sz w:val="14"/>
              </w:rPr>
              <w:t>Feline</w:t>
            </w:r>
            <w:r>
              <w:rPr>
                <w:spacing w:val="40"/>
                <w:sz w:val="14"/>
              </w:rPr>
              <w:t> </w:t>
            </w:r>
            <w:r>
              <w:rPr>
                <w:sz w:val="14"/>
              </w:rPr>
              <w:t>Control Council (for breeding purposes) - Pensioner/Concession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line="140" w:lineRule="exact" w:before="1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line="140" w:lineRule="exact" w:before="1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line="140" w:lineRule="exact" w:before="119"/>
              <w:ind w:right="91"/>
              <w:jc w:val="right"/>
              <w:rPr>
                <w:sz w:val="14"/>
              </w:rPr>
            </w:pPr>
            <w:r>
              <w:rPr>
                <w:spacing w:val="-2"/>
                <w:sz w:val="14"/>
              </w:rPr>
              <w:t>25.50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line="140" w:lineRule="exact" w:before="119"/>
              <w:ind w:right="92"/>
              <w:jc w:val="right"/>
              <w:rPr>
                <w:sz w:val="14"/>
              </w:rPr>
            </w:pPr>
            <w:r>
              <w:rPr>
                <w:spacing w:val="-2"/>
                <w:sz w:val="14"/>
              </w:rPr>
              <w:t>26.50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sz w:val="16"/>
              </w:rPr>
            </w:pPr>
          </w:p>
          <w:p>
            <w:pPr>
              <w:pStyle w:val="TableParagraph"/>
              <w:spacing w:line="140" w:lineRule="exact" w:before="119"/>
              <w:ind w:left="95" w:right="79"/>
              <w:jc w:val="center"/>
              <w:rPr>
                <w:sz w:val="14"/>
              </w:rPr>
            </w:pPr>
            <w:r>
              <w:rPr>
                <w:spacing w:val="-5"/>
                <w:sz w:val="14"/>
              </w:rPr>
              <w:t>3.8</w:t>
            </w:r>
          </w:p>
        </w:tc>
      </w:tr>
      <w:tr>
        <w:trPr>
          <w:trHeight w:val="210"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51"/>
              <w:ind w:left="107"/>
              <w:rPr>
                <w:sz w:val="14"/>
              </w:rPr>
            </w:pPr>
            <w:r>
              <w:rPr>
                <w:sz w:val="14"/>
              </w:rPr>
              <w:t>Animal</w:t>
            </w:r>
            <w:r>
              <w:rPr>
                <w:spacing w:val="-4"/>
                <w:sz w:val="14"/>
              </w:rPr>
              <w:t> </w:t>
            </w:r>
            <w:r>
              <w:rPr>
                <w:sz w:val="14"/>
              </w:rPr>
              <w:t>Registrations</w:t>
            </w:r>
            <w:r>
              <w:rPr>
                <w:spacing w:val="-4"/>
                <w:sz w:val="14"/>
              </w:rPr>
              <w:t> </w:t>
            </w:r>
            <w:r>
              <w:rPr>
                <w:sz w:val="14"/>
              </w:rPr>
              <w:t>Cats</w:t>
            </w:r>
            <w:r>
              <w:rPr>
                <w:spacing w:val="-2"/>
                <w:sz w:val="14"/>
              </w:rPr>
              <w:t> </w:t>
            </w:r>
            <w:r>
              <w:rPr>
                <w:sz w:val="14"/>
              </w:rPr>
              <w:t>Microchipped</w:t>
            </w:r>
            <w:r>
              <w:rPr>
                <w:spacing w:val="-4"/>
                <w:sz w:val="14"/>
              </w:rPr>
              <w:t> </w:t>
            </w:r>
            <w:r>
              <w:rPr>
                <w:sz w:val="14"/>
              </w:rPr>
              <w:t>-</w:t>
            </w:r>
            <w:r>
              <w:rPr>
                <w:spacing w:val="-5"/>
                <w:sz w:val="14"/>
              </w:rPr>
              <w:t> </w:t>
            </w:r>
            <w:r>
              <w:rPr>
                <w:sz w:val="14"/>
              </w:rPr>
              <w:t>Entire</w:t>
            </w:r>
            <w:r>
              <w:rPr>
                <w:spacing w:val="-5"/>
                <w:sz w:val="14"/>
              </w:rPr>
              <w:t> </w:t>
            </w:r>
            <w:r>
              <w:rPr>
                <w:sz w:val="14"/>
              </w:rPr>
              <w:t>under</w:t>
            </w:r>
            <w:r>
              <w:rPr>
                <w:spacing w:val="-2"/>
                <w:sz w:val="14"/>
              </w:rPr>
              <w:t> </w:t>
            </w:r>
            <w:r>
              <w:rPr>
                <w:sz w:val="14"/>
              </w:rPr>
              <w:t>6</w:t>
            </w:r>
            <w:r>
              <w:rPr>
                <w:spacing w:val="-5"/>
                <w:sz w:val="14"/>
              </w:rPr>
              <w:t> </w:t>
            </w:r>
            <w:r>
              <w:rPr>
                <w:sz w:val="14"/>
              </w:rPr>
              <w:t>months</w:t>
            </w:r>
            <w:r>
              <w:rPr>
                <w:spacing w:val="-2"/>
                <w:sz w:val="14"/>
              </w:rPr>
              <w:t> </w:t>
            </w:r>
            <w:r>
              <w:rPr>
                <w:sz w:val="14"/>
              </w:rPr>
              <w:t>of age</w:t>
            </w:r>
            <w:r>
              <w:rPr>
                <w:spacing w:val="-5"/>
                <w:sz w:val="14"/>
              </w:rPr>
              <w:t> </w:t>
            </w:r>
            <w:r>
              <w:rPr>
                <w:sz w:val="14"/>
              </w:rPr>
              <w:t>-</w:t>
            </w:r>
            <w:r>
              <w:rPr>
                <w:spacing w:val="-2"/>
                <w:sz w:val="14"/>
              </w:rPr>
              <w:t> </w:t>
            </w:r>
            <w:r>
              <w:rPr>
                <w:sz w:val="14"/>
              </w:rPr>
              <w:t>Full</w:t>
            </w:r>
            <w:r>
              <w:rPr>
                <w:spacing w:val="-4"/>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51"/>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51"/>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51"/>
              <w:ind w:right="91"/>
              <w:jc w:val="right"/>
              <w:rPr>
                <w:sz w:val="14"/>
              </w:rPr>
            </w:pPr>
            <w:r>
              <w:rPr>
                <w:spacing w:val="-2"/>
                <w:sz w:val="14"/>
              </w:rPr>
              <w:t>51.00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51"/>
              <w:ind w:right="92"/>
              <w:jc w:val="right"/>
              <w:rPr>
                <w:sz w:val="14"/>
              </w:rPr>
            </w:pPr>
            <w:r>
              <w:rPr>
                <w:spacing w:val="-2"/>
                <w:sz w:val="14"/>
              </w:rPr>
              <w:t>53.00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51"/>
              <w:ind w:left="95" w:right="79"/>
              <w:jc w:val="center"/>
              <w:rPr>
                <w:sz w:val="14"/>
              </w:rPr>
            </w:pPr>
            <w:r>
              <w:rPr>
                <w:spacing w:val="-5"/>
                <w:sz w:val="14"/>
              </w:rPr>
              <w:t>3.8</w:t>
            </w: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Pr>
                <w:sz w:val="14"/>
              </w:rPr>
            </w:pPr>
            <w:r>
              <w:rPr>
                <w:sz w:val="14"/>
              </w:rPr>
              <w:t>Animal</w:t>
            </w:r>
            <w:r>
              <w:rPr>
                <w:spacing w:val="-3"/>
                <w:sz w:val="14"/>
              </w:rPr>
              <w:t> </w:t>
            </w:r>
            <w:r>
              <w:rPr>
                <w:sz w:val="14"/>
              </w:rPr>
              <w:t>Registrations</w:t>
            </w:r>
            <w:r>
              <w:rPr>
                <w:spacing w:val="-3"/>
                <w:sz w:val="14"/>
              </w:rPr>
              <w:t> </w:t>
            </w:r>
            <w:r>
              <w:rPr>
                <w:sz w:val="14"/>
              </w:rPr>
              <w:t>Cats</w:t>
            </w:r>
            <w:r>
              <w:rPr>
                <w:spacing w:val="-1"/>
                <w:sz w:val="14"/>
              </w:rPr>
              <w:t> </w:t>
            </w:r>
            <w:r>
              <w:rPr>
                <w:sz w:val="14"/>
              </w:rPr>
              <w:t>Microchipped</w:t>
            </w:r>
            <w:r>
              <w:rPr>
                <w:spacing w:val="-4"/>
                <w:sz w:val="14"/>
              </w:rPr>
              <w:t> </w:t>
            </w:r>
            <w:r>
              <w:rPr>
                <w:sz w:val="14"/>
              </w:rPr>
              <w:t>-</w:t>
            </w:r>
            <w:r>
              <w:rPr>
                <w:spacing w:val="-4"/>
                <w:sz w:val="14"/>
              </w:rPr>
              <w:t> </w:t>
            </w:r>
            <w:r>
              <w:rPr>
                <w:sz w:val="14"/>
              </w:rPr>
              <w:t>Entire</w:t>
            </w:r>
            <w:r>
              <w:rPr>
                <w:spacing w:val="-5"/>
                <w:sz w:val="14"/>
              </w:rPr>
              <w:t> </w:t>
            </w:r>
            <w:r>
              <w:rPr>
                <w:sz w:val="14"/>
              </w:rPr>
              <w:t>under</w:t>
            </w:r>
            <w:r>
              <w:rPr>
                <w:spacing w:val="-1"/>
                <w:sz w:val="14"/>
              </w:rPr>
              <w:t> </w:t>
            </w:r>
            <w:r>
              <w:rPr>
                <w:sz w:val="14"/>
              </w:rPr>
              <w:t>6</w:t>
            </w:r>
            <w:r>
              <w:rPr>
                <w:spacing w:val="-4"/>
                <w:sz w:val="14"/>
              </w:rPr>
              <w:t> </w:t>
            </w:r>
            <w:r>
              <w:rPr>
                <w:sz w:val="14"/>
              </w:rPr>
              <w:t>months</w:t>
            </w:r>
            <w:r>
              <w:rPr>
                <w:spacing w:val="-1"/>
                <w:sz w:val="14"/>
              </w:rPr>
              <w:t> </w:t>
            </w:r>
            <w:r>
              <w:rPr>
                <w:sz w:val="14"/>
              </w:rPr>
              <w:t>of</w:t>
            </w:r>
            <w:r>
              <w:rPr>
                <w:spacing w:val="-1"/>
                <w:sz w:val="14"/>
              </w:rPr>
              <w:t> </w:t>
            </w:r>
            <w:r>
              <w:rPr>
                <w:sz w:val="14"/>
              </w:rPr>
              <w:t>age</w:t>
            </w:r>
            <w:r>
              <w:rPr>
                <w:spacing w:val="-5"/>
                <w:sz w:val="14"/>
              </w:rPr>
              <w:t> </w:t>
            </w:r>
            <w:r>
              <w:rPr>
                <w:sz w:val="14"/>
              </w:rPr>
              <w:t>-</w:t>
            </w:r>
            <w:r>
              <w:rPr>
                <w:spacing w:val="40"/>
                <w:sz w:val="14"/>
              </w:rPr>
              <w:t> </w:t>
            </w:r>
            <w:r>
              <w:rPr>
                <w:spacing w:val="-2"/>
                <w:sz w:val="14"/>
              </w:rPr>
              <w:t>Pensioner/Concession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1"/>
              <w:jc w:val="right"/>
              <w:rPr>
                <w:sz w:val="14"/>
              </w:rPr>
            </w:pPr>
            <w:r>
              <w:rPr>
                <w:spacing w:val="-2"/>
                <w:sz w:val="14"/>
              </w:rPr>
              <w:t>25.50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2"/>
              <w:jc w:val="right"/>
              <w:rPr>
                <w:sz w:val="14"/>
              </w:rPr>
            </w:pPr>
            <w:r>
              <w:rPr>
                <w:spacing w:val="-2"/>
                <w:sz w:val="14"/>
              </w:rPr>
              <w:t>26.50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0" w:lineRule="exact"/>
              <w:ind w:left="95" w:right="79"/>
              <w:jc w:val="center"/>
              <w:rPr>
                <w:sz w:val="14"/>
              </w:rPr>
            </w:pPr>
            <w:r>
              <w:rPr>
                <w:spacing w:val="-5"/>
                <w:sz w:val="14"/>
              </w:rPr>
              <w:t>3.8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Reclaim Fees</w:t>
            </w:r>
            <w:r>
              <w:rPr>
                <w:spacing w:val="-3"/>
                <w:sz w:val="14"/>
              </w:rPr>
              <w:t> </w:t>
            </w:r>
            <w:r>
              <w:rPr>
                <w:sz w:val="14"/>
              </w:rPr>
              <w:t>Dog</w:t>
            </w:r>
            <w:r>
              <w:rPr>
                <w:spacing w:val="-2"/>
                <w:sz w:val="14"/>
              </w:rPr>
              <w:t> </w:t>
            </w:r>
            <w:r>
              <w:rPr>
                <w:sz w:val="14"/>
              </w:rPr>
              <w:t>-</w:t>
            </w:r>
            <w:r>
              <w:rPr>
                <w:spacing w:val="-1"/>
                <w:sz w:val="14"/>
              </w:rPr>
              <w:t> </w:t>
            </w:r>
            <w:r>
              <w:rPr>
                <w:sz w:val="14"/>
              </w:rPr>
              <w:t>Animal</w:t>
            </w:r>
            <w:r>
              <w:rPr>
                <w:spacing w:val="-3"/>
                <w:sz w:val="14"/>
              </w:rPr>
              <w:t> </w:t>
            </w:r>
            <w:r>
              <w:rPr>
                <w:sz w:val="14"/>
              </w:rPr>
              <w:t>Aid</w:t>
            </w:r>
            <w:r>
              <w:rPr>
                <w:spacing w:val="-4"/>
                <w:sz w:val="14"/>
              </w:rPr>
              <w:t> </w:t>
            </w:r>
            <w:r>
              <w:rPr>
                <w:sz w:val="14"/>
              </w:rPr>
              <w:t>-</w:t>
            </w:r>
            <w:r>
              <w:rPr>
                <w:spacing w:val="-1"/>
                <w:sz w:val="14"/>
              </w:rPr>
              <w:t> </w:t>
            </w:r>
            <w:r>
              <w:rPr>
                <w:sz w:val="14"/>
              </w:rPr>
              <w:t>1</w:t>
            </w:r>
            <w:r>
              <w:rPr>
                <w:spacing w:val="-4"/>
                <w:sz w:val="14"/>
              </w:rPr>
              <w:t> </w:t>
            </w:r>
            <w:r>
              <w:rPr>
                <w:sz w:val="14"/>
              </w:rPr>
              <w:t>-</w:t>
            </w:r>
            <w:r>
              <w:rPr>
                <w:spacing w:val="-1"/>
                <w:sz w:val="14"/>
              </w:rPr>
              <w:t> </w:t>
            </w:r>
            <w:r>
              <w:rPr>
                <w:sz w:val="14"/>
              </w:rPr>
              <w:t>2</w:t>
            </w:r>
            <w:r>
              <w:rPr>
                <w:spacing w:val="-1"/>
                <w:sz w:val="14"/>
              </w:rPr>
              <w:t> </w:t>
            </w:r>
            <w:r>
              <w:rPr>
                <w:sz w:val="14"/>
              </w:rPr>
              <w:t>days -</w:t>
            </w:r>
            <w:r>
              <w:rPr>
                <w:spacing w:val="-4"/>
                <w:sz w:val="14"/>
              </w:rPr>
              <w:t> </w:t>
            </w:r>
            <w:r>
              <w:rPr>
                <w:spacing w:val="-2"/>
                <w:sz w:val="14"/>
              </w:rPr>
              <w:t>Registered</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160.00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168.00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Reclaim Fees</w:t>
            </w:r>
            <w:r>
              <w:rPr>
                <w:spacing w:val="-5"/>
                <w:sz w:val="14"/>
              </w:rPr>
              <w:t> </w:t>
            </w:r>
            <w:r>
              <w:rPr>
                <w:sz w:val="14"/>
              </w:rPr>
              <w:t>Dog-</w:t>
            </w:r>
            <w:r>
              <w:rPr>
                <w:spacing w:val="-4"/>
                <w:sz w:val="14"/>
              </w:rPr>
              <w:t> </w:t>
            </w:r>
            <w:r>
              <w:rPr>
                <w:sz w:val="14"/>
              </w:rPr>
              <w:t>Animal</w:t>
            </w:r>
            <w:r>
              <w:rPr>
                <w:spacing w:val="-3"/>
                <w:sz w:val="14"/>
              </w:rPr>
              <w:t> </w:t>
            </w:r>
            <w:r>
              <w:rPr>
                <w:sz w:val="14"/>
              </w:rPr>
              <w:t>Aid</w:t>
            </w:r>
            <w:r>
              <w:rPr>
                <w:spacing w:val="-2"/>
                <w:sz w:val="14"/>
              </w:rPr>
              <w:t> </w:t>
            </w:r>
            <w:r>
              <w:rPr>
                <w:sz w:val="14"/>
              </w:rPr>
              <w:t>-</w:t>
            </w:r>
            <w:r>
              <w:rPr>
                <w:spacing w:val="-2"/>
                <w:sz w:val="14"/>
              </w:rPr>
              <w:t> </w:t>
            </w:r>
            <w:r>
              <w:rPr>
                <w:sz w:val="14"/>
              </w:rPr>
              <w:t>3-5</w:t>
            </w:r>
            <w:r>
              <w:rPr>
                <w:spacing w:val="-2"/>
                <w:sz w:val="14"/>
              </w:rPr>
              <w:t> </w:t>
            </w:r>
            <w:r>
              <w:rPr>
                <w:sz w:val="14"/>
              </w:rPr>
              <w:t>days</w:t>
            </w:r>
            <w:r>
              <w:rPr>
                <w:spacing w:val="-4"/>
                <w:sz w:val="14"/>
              </w:rPr>
              <w:t> </w:t>
            </w:r>
            <w:r>
              <w:rPr>
                <w:sz w:val="14"/>
              </w:rPr>
              <w:t>-</w:t>
            </w:r>
            <w:r>
              <w:rPr>
                <w:spacing w:val="-4"/>
                <w:sz w:val="14"/>
              </w:rPr>
              <w:t> </w:t>
            </w:r>
            <w:r>
              <w:rPr>
                <w:spacing w:val="-2"/>
                <w:sz w:val="14"/>
              </w:rPr>
              <w:t>Registered</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180.00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189.00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Reclaim Fees</w:t>
            </w:r>
            <w:r>
              <w:rPr>
                <w:spacing w:val="-2"/>
                <w:sz w:val="14"/>
              </w:rPr>
              <w:t> </w:t>
            </w:r>
            <w:r>
              <w:rPr>
                <w:sz w:val="14"/>
              </w:rPr>
              <w:t>Dog</w:t>
            </w:r>
            <w:r>
              <w:rPr>
                <w:spacing w:val="-2"/>
                <w:sz w:val="14"/>
              </w:rPr>
              <w:t> </w:t>
            </w:r>
            <w:r>
              <w:rPr>
                <w:sz w:val="14"/>
              </w:rPr>
              <w:t>-</w:t>
            </w:r>
            <w:r>
              <w:rPr>
                <w:spacing w:val="-1"/>
                <w:sz w:val="14"/>
              </w:rPr>
              <w:t> </w:t>
            </w:r>
            <w:r>
              <w:rPr>
                <w:sz w:val="14"/>
              </w:rPr>
              <w:t>Animal</w:t>
            </w:r>
            <w:r>
              <w:rPr>
                <w:spacing w:val="-3"/>
                <w:sz w:val="14"/>
              </w:rPr>
              <w:t> </w:t>
            </w:r>
            <w:r>
              <w:rPr>
                <w:sz w:val="14"/>
              </w:rPr>
              <w:t>Aid</w:t>
            </w:r>
            <w:r>
              <w:rPr>
                <w:spacing w:val="-4"/>
                <w:sz w:val="14"/>
              </w:rPr>
              <w:t> </w:t>
            </w:r>
            <w:r>
              <w:rPr>
                <w:sz w:val="14"/>
              </w:rPr>
              <w:t>-</w:t>
            </w:r>
            <w:r>
              <w:rPr>
                <w:spacing w:val="-1"/>
                <w:sz w:val="14"/>
              </w:rPr>
              <w:t> </w:t>
            </w:r>
            <w:r>
              <w:rPr>
                <w:sz w:val="14"/>
              </w:rPr>
              <w:t>6</w:t>
            </w:r>
            <w:r>
              <w:rPr>
                <w:spacing w:val="-4"/>
                <w:sz w:val="14"/>
              </w:rPr>
              <w:t> </w:t>
            </w:r>
            <w:r>
              <w:rPr>
                <w:sz w:val="14"/>
              </w:rPr>
              <w:t>-</w:t>
            </w:r>
            <w:r>
              <w:rPr>
                <w:spacing w:val="-1"/>
                <w:sz w:val="14"/>
              </w:rPr>
              <w:t> </w:t>
            </w:r>
            <w:r>
              <w:rPr>
                <w:sz w:val="14"/>
              </w:rPr>
              <w:t>8</w:t>
            </w:r>
            <w:r>
              <w:rPr>
                <w:spacing w:val="-2"/>
                <w:sz w:val="14"/>
              </w:rPr>
              <w:t> </w:t>
            </w:r>
            <w:r>
              <w:rPr>
                <w:sz w:val="14"/>
              </w:rPr>
              <w:t>days -</w:t>
            </w:r>
            <w:r>
              <w:rPr>
                <w:spacing w:val="-4"/>
                <w:sz w:val="14"/>
              </w:rPr>
              <w:t> </w:t>
            </w:r>
            <w:r>
              <w:rPr>
                <w:spacing w:val="-2"/>
                <w:sz w:val="14"/>
              </w:rPr>
              <w:t>Registered</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200.00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210.00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Reclaim Fees</w:t>
            </w:r>
            <w:r>
              <w:rPr>
                <w:spacing w:val="-3"/>
                <w:sz w:val="14"/>
              </w:rPr>
              <w:t> </w:t>
            </w:r>
            <w:r>
              <w:rPr>
                <w:sz w:val="14"/>
              </w:rPr>
              <w:t>Dog</w:t>
            </w:r>
            <w:r>
              <w:rPr>
                <w:spacing w:val="-2"/>
                <w:sz w:val="14"/>
              </w:rPr>
              <w:t> </w:t>
            </w:r>
            <w:r>
              <w:rPr>
                <w:sz w:val="14"/>
              </w:rPr>
              <w:t>-</w:t>
            </w:r>
            <w:r>
              <w:rPr>
                <w:spacing w:val="-1"/>
                <w:sz w:val="14"/>
              </w:rPr>
              <w:t> </w:t>
            </w:r>
            <w:r>
              <w:rPr>
                <w:sz w:val="14"/>
              </w:rPr>
              <w:t>Animal</w:t>
            </w:r>
            <w:r>
              <w:rPr>
                <w:spacing w:val="-3"/>
                <w:sz w:val="14"/>
              </w:rPr>
              <w:t> </w:t>
            </w:r>
            <w:r>
              <w:rPr>
                <w:sz w:val="14"/>
              </w:rPr>
              <w:t>Aid</w:t>
            </w:r>
            <w:r>
              <w:rPr>
                <w:spacing w:val="-4"/>
                <w:sz w:val="14"/>
              </w:rPr>
              <w:t> </w:t>
            </w:r>
            <w:r>
              <w:rPr>
                <w:sz w:val="14"/>
              </w:rPr>
              <w:t>-</w:t>
            </w:r>
            <w:r>
              <w:rPr>
                <w:spacing w:val="-1"/>
                <w:sz w:val="14"/>
              </w:rPr>
              <w:t> </w:t>
            </w:r>
            <w:r>
              <w:rPr>
                <w:sz w:val="14"/>
              </w:rPr>
              <w:t>1-</w:t>
            </w:r>
            <w:r>
              <w:rPr>
                <w:spacing w:val="-1"/>
                <w:sz w:val="14"/>
              </w:rPr>
              <w:t> </w:t>
            </w:r>
            <w:r>
              <w:rPr>
                <w:sz w:val="14"/>
              </w:rPr>
              <w:t>2</w:t>
            </w:r>
            <w:r>
              <w:rPr>
                <w:spacing w:val="-2"/>
                <w:sz w:val="14"/>
              </w:rPr>
              <w:t> </w:t>
            </w:r>
            <w:r>
              <w:rPr>
                <w:sz w:val="14"/>
              </w:rPr>
              <w:t>days</w:t>
            </w:r>
            <w:r>
              <w:rPr>
                <w:spacing w:val="-3"/>
                <w:sz w:val="14"/>
              </w:rPr>
              <w:t> </w:t>
            </w:r>
            <w:r>
              <w:rPr>
                <w:sz w:val="14"/>
              </w:rPr>
              <w:t>-</w:t>
            </w:r>
            <w:r>
              <w:rPr>
                <w:spacing w:val="-1"/>
                <w:sz w:val="14"/>
              </w:rPr>
              <w:t> </w:t>
            </w:r>
            <w:r>
              <w:rPr>
                <w:spacing w:val="-2"/>
                <w:sz w:val="14"/>
              </w:rPr>
              <w:t>Unregistered</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240.00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252.00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Reclaim Fees</w:t>
            </w:r>
            <w:r>
              <w:rPr>
                <w:spacing w:val="-2"/>
                <w:sz w:val="14"/>
              </w:rPr>
              <w:t> </w:t>
            </w:r>
            <w:r>
              <w:rPr>
                <w:sz w:val="14"/>
              </w:rPr>
              <w:t>Dog</w:t>
            </w:r>
            <w:r>
              <w:rPr>
                <w:spacing w:val="-2"/>
                <w:sz w:val="14"/>
              </w:rPr>
              <w:t> </w:t>
            </w:r>
            <w:r>
              <w:rPr>
                <w:sz w:val="14"/>
              </w:rPr>
              <w:t>-</w:t>
            </w:r>
            <w:r>
              <w:rPr>
                <w:spacing w:val="-1"/>
                <w:sz w:val="14"/>
              </w:rPr>
              <w:t> </w:t>
            </w:r>
            <w:r>
              <w:rPr>
                <w:sz w:val="14"/>
              </w:rPr>
              <w:t>Animal</w:t>
            </w:r>
            <w:r>
              <w:rPr>
                <w:spacing w:val="-3"/>
                <w:sz w:val="14"/>
              </w:rPr>
              <w:t> </w:t>
            </w:r>
            <w:r>
              <w:rPr>
                <w:sz w:val="14"/>
              </w:rPr>
              <w:t>Aid</w:t>
            </w:r>
            <w:r>
              <w:rPr>
                <w:spacing w:val="-4"/>
                <w:sz w:val="14"/>
              </w:rPr>
              <w:t> </w:t>
            </w:r>
            <w:r>
              <w:rPr>
                <w:sz w:val="14"/>
              </w:rPr>
              <w:t>-</w:t>
            </w:r>
            <w:r>
              <w:rPr>
                <w:spacing w:val="-1"/>
                <w:sz w:val="14"/>
              </w:rPr>
              <w:t> </w:t>
            </w:r>
            <w:r>
              <w:rPr>
                <w:sz w:val="14"/>
              </w:rPr>
              <w:t>3</w:t>
            </w:r>
            <w:r>
              <w:rPr>
                <w:spacing w:val="-4"/>
                <w:sz w:val="14"/>
              </w:rPr>
              <w:t> </w:t>
            </w:r>
            <w:r>
              <w:rPr>
                <w:sz w:val="14"/>
              </w:rPr>
              <w:t>-5</w:t>
            </w:r>
            <w:r>
              <w:rPr>
                <w:spacing w:val="-1"/>
                <w:sz w:val="14"/>
              </w:rPr>
              <w:t> </w:t>
            </w:r>
            <w:r>
              <w:rPr>
                <w:sz w:val="14"/>
              </w:rPr>
              <w:t>days</w:t>
            </w:r>
            <w:r>
              <w:rPr>
                <w:spacing w:val="-3"/>
                <w:sz w:val="14"/>
              </w:rPr>
              <w:t> </w:t>
            </w:r>
            <w:r>
              <w:rPr>
                <w:sz w:val="14"/>
              </w:rPr>
              <w:t>-</w:t>
            </w:r>
            <w:r>
              <w:rPr>
                <w:spacing w:val="-1"/>
                <w:sz w:val="14"/>
              </w:rPr>
              <w:t> </w:t>
            </w:r>
            <w:r>
              <w:rPr>
                <w:spacing w:val="-2"/>
                <w:sz w:val="14"/>
              </w:rPr>
              <w:t>Unregistered</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270.00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3"/>
              <w:jc w:val="right"/>
              <w:rPr>
                <w:sz w:val="14"/>
              </w:rPr>
            </w:pPr>
            <w:r>
              <w:rPr>
                <w:spacing w:val="-2"/>
                <w:sz w:val="14"/>
              </w:rPr>
              <w:t>284.00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4.9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Reclaim Fees</w:t>
            </w:r>
            <w:r>
              <w:rPr>
                <w:spacing w:val="-2"/>
                <w:sz w:val="14"/>
              </w:rPr>
              <w:t> </w:t>
            </w:r>
            <w:r>
              <w:rPr>
                <w:sz w:val="14"/>
              </w:rPr>
              <w:t>Dog</w:t>
            </w:r>
            <w:r>
              <w:rPr>
                <w:spacing w:val="-2"/>
                <w:sz w:val="14"/>
              </w:rPr>
              <w:t> </w:t>
            </w:r>
            <w:r>
              <w:rPr>
                <w:sz w:val="14"/>
              </w:rPr>
              <w:t>-</w:t>
            </w:r>
            <w:r>
              <w:rPr>
                <w:spacing w:val="-1"/>
                <w:sz w:val="14"/>
              </w:rPr>
              <w:t> </w:t>
            </w:r>
            <w:r>
              <w:rPr>
                <w:sz w:val="14"/>
              </w:rPr>
              <w:t>Animal</w:t>
            </w:r>
            <w:r>
              <w:rPr>
                <w:spacing w:val="-3"/>
                <w:sz w:val="14"/>
              </w:rPr>
              <w:t> </w:t>
            </w:r>
            <w:r>
              <w:rPr>
                <w:sz w:val="14"/>
              </w:rPr>
              <w:t>Aid</w:t>
            </w:r>
            <w:r>
              <w:rPr>
                <w:spacing w:val="-4"/>
                <w:sz w:val="14"/>
              </w:rPr>
              <w:t> </w:t>
            </w:r>
            <w:r>
              <w:rPr>
                <w:sz w:val="14"/>
              </w:rPr>
              <w:t>-</w:t>
            </w:r>
            <w:r>
              <w:rPr>
                <w:spacing w:val="-1"/>
                <w:sz w:val="14"/>
              </w:rPr>
              <w:t> </w:t>
            </w:r>
            <w:r>
              <w:rPr>
                <w:sz w:val="14"/>
              </w:rPr>
              <w:t>6</w:t>
            </w:r>
            <w:r>
              <w:rPr>
                <w:spacing w:val="-4"/>
                <w:sz w:val="14"/>
              </w:rPr>
              <w:t> </w:t>
            </w:r>
            <w:r>
              <w:rPr>
                <w:sz w:val="14"/>
              </w:rPr>
              <w:t>-</w:t>
            </w:r>
            <w:r>
              <w:rPr>
                <w:spacing w:val="-1"/>
                <w:sz w:val="14"/>
              </w:rPr>
              <w:t> </w:t>
            </w:r>
            <w:r>
              <w:rPr>
                <w:sz w:val="14"/>
              </w:rPr>
              <w:t>8</w:t>
            </w:r>
            <w:r>
              <w:rPr>
                <w:spacing w:val="-2"/>
                <w:sz w:val="14"/>
              </w:rPr>
              <w:t> </w:t>
            </w:r>
            <w:r>
              <w:rPr>
                <w:sz w:val="14"/>
              </w:rPr>
              <w:t>days -</w:t>
            </w:r>
            <w:r>
              <w:rPr>
                <w:spacing w:val="-4"/>
                <w:sz w:val="14"/>
              </w:rPr>
              <w:t> </w:t>
            </w:r>
            <w:r>
              <w:rPr>
                <w:spacing w:val="-2"/>
                <w:sz w:val="14"/>
              </w:rPr>
              <w:t>Unregistered</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300.00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315.00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Reclaim Fees</w:t>
            </w:r>
            <w:r>
              <w:rPr>
                <w:spacing w:val="-3"/>
                <w:sz w:val="14"/>
              </w:rPr>
              <w:t> </w:t>
            </w:r>
            <w:r>
              <w:rPr>
                <w:sz w:val="14"/>
              </w:rPr>
              <w:t>Dog</w:t>
            </w:r>
            <w:r>
              <w:rPr>
                <w:spacing w:val="-2"/>
                <w:sz w:val="14"/>
              </w:rPr>
              <w:t> </w:t>
            </w:r>
            <w:r>
              <w:rPr>
                <w:sz w:val="14"/>
              </w:rPr>
              <w:t>-</w:t>
            </w:r>
            <w:r>
              <w:rPr>
                <w:spacing w:val="-2"/>
                <w:sz w:val="14"/>
              </w:rPr>
              <w:t> </w:t>
            </w:r>
            <w:r>
              <w:rPr>
                <w:sz w:val="14"/>
              </w:rPr>
              <w:t>Animal</w:t>
            </w:r>
            <w:r>
              <w:rPr>
                <w:spacing w:val="-2"/>
                <w:sz w:val="14"/>
              </w:rPr>
              <w:t> </w:t>
            </w:r>
            <w:r>
              <w:rPr>
                <w:sz w:val="14"/>
              </w:rPr>
              <w:t>Aid</w:t>
            </w:r>
            <w:r>
              <w:rPr>
                <w:spacing w:val="-5"/>
                <w:sz w:val="14"/>
              </w:rPr>
              <w:t> </w:t>
            </w:r>
            <w:r>
              <w:rPr>
                <w:sz w:val="14"/>
              </w:rPr>
              <w:t>&gt;8</w:t>
            </w:r>
            <w:r>
              <w:rPr>
                <w:spacing w:val="-3"/>
                <w:sz w:val="14"/>
              </w:rPr>
              <w:t> </w:t>
            </w:r>
            <w:r>
              <w:rPr>
                <w:sz w:val="14"/>
              </w:rPr>
              <w:t>days</w:t>
            </w:r>
            <w:r>
              <w:rPr>
                <w:spacing w:val="-4"/>
                <w:sz w:val="14"/>
              </w:rPr>
              <w:t> </w:t>
            </w:r>
            <w:r>
              <w:rPr>
                <w:sz w:val="14"/>
              </w:rPr>
              <w:t>(per</w:t>
            </w:r>
            <w:r>
              <w:rPr>
                <w:spacing w:val="-1"/>
                <w:sz w:val="14"/>
              </w:rPr>
              <w:t> </w:t>
            </w:r>
            <w:r>
              <w:rPr>
                <w:spacing w:val="-4"/>
                <w:sz w:val="14"/>
              </w:rPr>
              <w:t>day)</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42.00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Seized</w:t>
            </w:r>
            <w:r>
              <w:rPr>
                <w:spacing w:val="-3"/>
                <w:sz w:val="14"/>
              </w:rPr>
              <w:t> </w:t>
            </w:r>
            <w:r>
              <w:rPr>
                <w:sz w:val="14"/>
              </w:rPr>
              <w:t>Dog</w:t>
            </w:r>
            <w:r>
              <w:rPr>
                <w:spacing w:val="-2"/>
                <w:sz w:val="14"/>
              </w:rPr>
              <w:t> </w:t>
            </w:r>
            <w:r>
              <w:rPr>
                <w:sz w:val="14"/>
              </w:rPr>
              <w:t>-</w:t>
            </w:r>
            <w:r>
              <w:rPr>
                <w:spacing w:val="-1"/>
                <w:sz w:val="14"/>
              </w:rPr>
              <w:t> </w:t>
            </w:r>
            <w:r>
              <w:rPr>
                <w:sz w:val="14"/>
              </w:rPr>
              <w:t>per</w:t>
            </w:r>
            <w:r>
              <w:rPr>
                <w:spacing w:val="-4"/>
                <w:sz w:val="14"/>
              </w:rPr>
              <w:t> </w:t>
            </w:r>
            <w:r>
              <w:rPr>
                <w:sz w:val="14"/>
              </w:rPr>
              <w:t>day</w:t>
            </w:r>
            <w:r>
              <w:rPr>
                <w:spacing w:val="-1"/>
                <w:sz w:val="14"/>
              </w:rPr>
              <w:t> </w:t>
            </w:r>
            <w:r>
              <w:rPr>
                <w:sz w:val="14"/>
              </w:rPr>
              <w:t>-</w:t>
            </w:r>
            <w:r>
              <w:rPr>
                <w:spacing w:val="-4"/>
                <w:sz w:val="14"/>
              </w:rPr>
              <w:t> </w:t>
            </w:r>
            <w:r>
              <w:rPr>
                <w:sz w:val="14"/>
              </w:rPr>
              <w:t>Animal</w:t>
            </w:r>
            <w:r>
              <w:rPr>
                <w:spacing w:val="-3"/>
                <w:sz w:val="14"/>
              </w:rPr>
              <w:t> </w:t>
            </w:r>
            <w:r>
              <w:rPr>
                <w:spacing w:val="-5"/>
                <w:sz w:val="14"/>
              </w:rPr>
              <w:t>Aid</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42.00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Reclaim Fees</w:t>
            </w:r>
            <w:r>
              <w:rPr>
                <w:spacing w:val="-4"/>
                <w:sz w:val="14"/>
              </w:rPr>
              <w:t> </w:t>
            </w:r>
            <w:r>
              <w:rPr>
                <w:sz w:val="14"/>
              </w:rPr>
              <w:t>Cat-</w:t>
            </w:r>
            <w:r>
              <w:rPr>
                <w:spacing w:val="-4"/>
                <w:sz w:val="14"/>
              </w:rPr>
              <w:t> </w:t>
            </w:r>
            <w:r>
              <w:rPr>
                <w:sz w:val="14"/>
              </w:rPr>
              <w:t>Animal</w:t>
            </w:r>
            <w:r>
              <w:rPr>
                <w:spacing w:val="-4"/>
                <w:sz w:val="14"/>
              </w:rPr>
              <w:t> </w:t>
            </w:r>
            <w:r>
              <w:rPr>
                <w:sz w:val="14"/>
              </w:rPr>
              <w:t>Aid</w:t>
            </w:r>
            <w:r>
              <w:rPr>
                <w:spacing w:val="-1"/>
                <w:sz w:val="14"/>
              </w:rPr>
              <w:t> </w:t>
            </w:r>
            <w:r>
              <w:rPr>
                <w:sz w:val="14"/>
              </w:rPr>
              <w:t>-</w:t>
            </w:r>
            <w:r>
              <w:rPr>
                <w:spacing w:val="-5"/>
                <w:sz w:val="14"/>
              </w:rPr>
              <w:t> </w:t>
            </w:r>
            <w:r>
              <w:rPr>
                <w:sz w:val="14"/>
              </w:rPr>
              <w:t>1-2</w:t>
            </w:r>
            <w:r>
              <w:rPr>
                <w:spacing w:val="-3"/>
                <w:sz w:val="14"/>
              </w:rPr>
              <w:t> </w:t>
            </w:r>
            <w:r>
              <w:rPr>
                <w:sz w:val="14"/>
              </w:rPr>
              <w:t>days</w:t>
            </w:r>
            <w:r>
              <w:rPr>
                <w:spacing w:val="-3"/>
                <w:sz w:val="14"/>
              </w:rPr>
              <w:t> </w:t>
            </w:r>
            <w:r>
              <w:rPr>
                <w:spacing w:val="-2"/>
                <w:sz w:val="14"/>
              </w:rPr>
              <w:t>Registered</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80.00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84.00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Reclaim Fees</w:t>
            </w:r>
            <w:r>
              <w:rPr>
                <w:spacing w:val="-3"/>
                <w:sz w:val="14"/>
              </w:rPr>
              <w:t> </w:t>
            </w:r>
            <w:r>
              <w:rPr>
                <w:sz w:val="14"/>
              </w:rPr>
              <w:t>Cat</w:t>
            </w:r>
            <w:r>
              <w:rPr>
                <w:spacing w:val="-3"/>
                <w:sz w:val="14"/>
              </w:rPr>
              <w:t> </w:t>
            </w:r>
            <w:r>
              <w:rPr>
                <w:sz w:val="14"/>
              </w:rPr>
              <w:t>-</w:t>
            </w:r>
            <w:r>
              <w:rPr>
                <w:spacing w:val="-4"/>
                <w:sz w:val="14"/>
              </w:rPr>
              <w:t> </w:t>
            </w:r>
            <w:r>
              <w:rPr>
                <w:sz w:val="14"/>
              </w:rPr>
              <w:t>Animal</w:t>
            </w:r>
            <w:r>
              <w:rPr>
                <w:spacing w:val="-3"/>
                <w:sz w:val="14"/>
              </w:rPr>
              <w:t> </w:t>
            </w:r>
            <w:r>
              <w:rPr>
                <w:sz w:val="14"/>
              </w:rPr>
              <w:t>Aid</w:t>
            </w:r>
            <w:r>
              <w:rPr>
                <w:spacing w:val="-2"/>
                <w:sz w:val="14"/>
              </w:rPr>
              <w:t> </w:t>
            </w:r>
            <w:r>
              <w:rPr>
                <w:sz w:val="14"/>
              </w:rPr>
              <w:t>-</w:t>
            </w:r>
            <w:r>
              <w:rPr>
                <w:spacing w:val="-1"/>
                <w:sz w:val="14"/>
              </w:rPr>
              <w:t> </w:t>
            </w:r>
            <w:r>
              <w:rPr>
                <w:sz w:val="14"/>
              </w:rPr>
              <w:t>3-5</w:t>
            </w:r>
            <w:r>
              <w:rPr>
                <w:spacing w:val="-3"/>
                <w:sz w:val="14"/>
              </w:rPr>
              <w:t> </w:t>
            </w:r>
            <w:r>
              <w:rPr>
                <w:sz w:val="14"/>
              </w:rPr>
              <w:t>days</w:t>
            </w:r>
            <w:r>
              <w:rPr>
                <w:spacing w:val="-3"/>
                <w:sz w:val="14"/>
              </w:rPr>
              <w:t> </w:t>
            </w:r>
            <w:r>
              <w:rPr>
                <w:spacing w:val="-2"/>
                <w:sz w:val="14"/>
              </w:rPr>
              <w:t>Registered</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90.00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94.00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4.3</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Reclaim Fees</w:t>
            </w:r>
            <w:r>
              <w:rPr>
                <w:spacing w:val="-3"/>
                <w:sz w:val="14"/>
              </w:rPr>
              <w:t> </w:t>
            </w:r>
            <w:r>
              <w:rPr>
                <w:sz w:val="14"/>
              </w:rPr>
              <w:t>Cat</w:t>
            </w:r>
            <w:r>
              <w:rPr>
                <w:spacing w:val="-3"/>
                <w:sz w:val="14"/>
              </w:rPr>
              <w:t> </w:t>
            </w:r>
            <w:r>
              <w:rPr>
                <w:sz w:val="14"/>
              </w:rPr>
              <w:t>-</w:t>
            </w:r>
            <w:r>
              <w:rPr>
                <w:spacing w:val="-4"/>
                <w:sz w:val="14"/>
              </w:rPr>
              <w:t> </w:t>
            </w:r>
            <w:r>
              <w:rPr>
                <w:sz w:val="14"/>
              </w:rPr>
              <w:t>Animal</w:t>
            </w:r>
            <w:r>
              <w:rPr>
                <w:spacing w:val="-3"/>
                <w:sz w:val="14"/>
              </w:rPr>
              <w:t> </w:t>
            </w:r>
            <w:r>
              <w:rPr>
                <w:sz w:val="14"/>
              </w:rPr>
              <w:t>Aid</w:t>
            </w:r>
            <w:r>
              <w:rPr>
                <w:spacing w:val="-2"/>
                <w:sz w:val="14"/>
              </w:rPr>
              <w:t> </w:t>
            </w:r>
            <w:r>
              <w:rPr>
                <w:sz w:val="14"/>
              </w:rPr>
              <w:t>-</w:t>
            </w:r>
            <w:r>
              <w:rPr>
                <w:spacing w:val="-1"/>
                <w:sz w:val="14"/>
              </w:rPr>
              <w:t> </w:t>
            </w:r>
            <w:r>
              <w:rPr>
                <w:sz w:val="14"/>
              </w:rPr>
              <w:t>6-8</w:t>
            </w:r>
            <w:r>
              <w:rPr>
                <w:spacing w:val="-3"/>
                <w:sz w:val="14"/>
              </w:rPr>
              <w:t> </w:t>
            </w:r>
            <w:r>
              <w:rPr>
                <w:sz w:val="14"/>
              </w:rPr>
              <w:t>days</w:t>
            </w:r>
            <w:r>
              <w:rPr>
                <w:spacing w:val="-3"/>
                <w:sz w:val="14"/>
              </w:rPr>
              <w:t> </w:t>
            </w:r>
            <w:r>
              <w:rPr>
                <w:spacing w:val="-2"/>
                <w:sz w:val="14"/>
              </w:rPr>
              <w:t>Registered</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100.00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3"/>
              <w:jc w:val="right"/>
              <w:rPr>
                <w:sz w:val="14"/>
              </w:rPr>
            </w:pPr>
            <w:r>
              <w:rPr>
                <w:spacing w:val="-2"/>
                <w:sz w:val="14"/>
              </w:rPr>
              <w:t>105.00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Reclaim Fees</w:t>
            </w:r>
            <w:r>
              <w:rPr>
                <w:spacing w:val="-3"/>
                <w:sz w:val="14"/>
              </w:rPr>
              <w:t> </w:t>
            </w:r>
            <w:r>
              <w:rPr>
                <w:sz w:val="14"/>
              </w:rPr>
              <w:t>Cat</w:t>
            </w:r>
            <w:r>
              <w:rPr>
                <w:spacing w:val="-3"/>
                <w:sz w:val="14"/>
              </w:rPr>
              <w:t> </w:t>
            </w:r>
            <w:r>
              <w:rPr>
                <w:sz w:val="14"/>
              </w:rPr>
              <w:t>-</w:t>
            </w:r>
            <w:r>
              <w:rPr>
                <w:spacing w:val="-4"/>
                <w:sz w:val="14"/>
              </w:rPr>
              <w:t> </w:t>
            </w:r>
            <w:r>
              <w:rPr>
                <w:sz w:val="14"/>
              </w:rPr>
              <w:t>Animal</w:t>
            </w:r>
            <w:r>
              <w:rPr>
                <w:spacing w:val="-3"/>
                <w:sz w:val="14"/>
              </w:rPr>
              <w:t> </w:t>
            </w:r>
            <w:r>
              <w:rPr>
                <w:sz w:val="14"/>
              </w:rPr>
              <w:t>Aid</w:t>
            </w:r>
            <w:r>
              <w:rPr>
                <w:spacing w:val="-2"/>
                <w:sz w:val="14"/>
              </w:rPr>
              <w:t> </w:t>
            </w:r>
            <w:r>
              <w:rPr>
                <w:sz w:val="14"/>
              </w:rPr>
              <w:t>-</w:t>
            </w:r>
            <w:r>
              <w:rPr>
                <w:spacing w:val="-1"/>
                <w:sz w:val="14"/>
              </w:rPr>
              <w:t> </w:t>
            </w:r>
            <w:r>
              <w:rPr>
                <w:sz w:val="14"/>
              </w:rPr>
              <w:t>1-2</w:t>
            </w:r>
            <w:r>
              <w:rPr>
                <w:spacing w:val="-3"/>
                <w:sz w:val="14"/>
              </w:rPr>
              <w:t> </w:t>
            </w:r>
            <w:r>
              <w:rPr>
                <w:sz w:val="14"/>
              </w:rPr>
              <w:t>days</w:t>
            </w:r>
            <w:r>
              <w:rPr>
                <w:spacing w:val="-3"/>
                <w:sz w:val="14"/>
              </w:rPr>
              <w:t> </w:t>
            </w:r>
            <w:r>
              <w:rPr>
                <w:spacing w:val="-2"/>
                <w:sz w:val="14"/>
              </w:rPr>
              <w:t>Unregistered</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120.00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126.00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Reclaim Fees</w:t>
            </w:r>
            <w:r>
              <w:rPr>
                <w:spacing w:val="-4"/>
                <w:sz w:val="14"/>
              </w:rPr>
              <w:t> </w:t>
            </w:r>
            <w:r>
              <w:rPr>
                <w:sz w:val="14"/>
              </w:rPr>
              <w:t>Cat-</w:t>
            </w:r>
            <w:r>
              <w:rPr>
                <w:spacing w:val="-4"/>
                <w:sz w:val="14"/>
              </w:rPr>
              <w:t> </w:t>
            </w:r>
            <w:r>
              <w:rPr>
                <w:sz w:val="14"/>
              </w:rPr>
              <w:t>Animal</w:t>
            </w:r>
            <w:r>
              <w:rPr>
                <w:spacing w:val="-4"/>
                <w:sz w:val="14"/>
              </w:rPr>
              <w:t> </w:t>
            </w:r>
            <w:r>
              <w:rPr>
                <w:sz w:val="14"/>
              </w:rPr>
              <w:t>Aid</w:t>
            </w:r>
            <w:r>
              <w:rPr>
                <w:spacing w:val="-1"/>
                <w:sz w:val="14"/>
              </w:rPr>
              <w:t> </w:t>
            </w:r>
            <w:r>
              <w:rPr>
                <w:sz w:val="14"/>
              </w:rPr>
              <w:t>-</w:t>
            </w:r>
            <w:r>
              <w:rPr>
                <w:spacing w:val="-5"/>
                <w:sz w:val="14"/>
              </w:rPr>
              <w:t> </w:t>
            </w:r>
            <w:r>
              <w:rPr>
                <w:sz w:val="14"/>
              </w:rPr>
              <w:t>3-5</w:t>
            </w:r>
            <w:r>
              <w:rPr>
                <w:spacing w:val="-3"/>
                <w:sz w:val="14"/>
              </w:rPr>
              <w:t> </w:t>
            </w:r>
            <w:r>
              <w:rPr>
                <w:sz w:val="14"/>
              </w:rPr>
              <w:t>days</w:t>
            </w:r>
            <w:r>
              <w:rPr>
                <w:spacing w:val="-3"/>
                <w:sz w:val="14"/>
              </w:rPr>
              <w:t> </w:t>
            </w:r>
            <w:r>
              <w:rPr>
                <w:spacing w:val="-2"/>
                <w:sz w:val="14"/>
              </w:rPr>
              <w:t>Unregistered</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135.00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142.00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Reclaim Fees</w:t>
            </w:r>
            <w:r>
              <w:rPr>
                <w:spacing w:val="-3"/>
                <w:sz w:val="14"/>
              </w:rPr>
              <w:t> </w:t>
            </w:r>
            <w:r>
              <w:rPr>
                <w:sz w:val="14"/>
              </w:rPr>
              <w:t>Cat</w:t>
            </w:r>
            <w:r>
              <w:rPr>
                <w:spacing w:val="-2"/>
                <w:sz w:val="14"/>
              </w:rPr>
              <w:t> </w:t>
            </w:r>
            <w:r>
              <w:rPr>
                <w:sz w:val="14"/>
              </w:rPr>
              <w:t>-</w:t>
            </w:r>
            <w:r>
              <w:rPr>
                <w:spacing w:val="-4"/>
                <w:sz w:val="14"/>
              </w:rPr>
              <w:t> </w:t>
            </w:r>
            <w:r>
              <w:rPr>
                <w:sz w:val="14"/>
              </w:rPr>
              <w:t>Animal</w:t>
            </w:r>
            <w:r>
              <w:rPr>
                <w:spacing w:val="-3"/>
                <w:sz w:val="14"/>
              </w:rPr>
              <w:t> </w:t>
            </w:r>
            <w:r>
              <w:rPr>
                <w:sz w:val="14"/>
              </w:rPr>
              <w:t>Aid</w:t>
            </w:r>
            <w:r>
              <w:rPr>
                <w:spacing w:val="-1"/>
                <w:sz w:val="14"/>
              </w:rPr>
              <w:t> </w:t>
            </w:r>
            <w:r>
              <w:rPr>
                <w:sz w:val="14"/>
              </w:rPr>
              <w:t>-</w:t>
            </w:r>
            <w:r>
              <w:rPr>
                <w:spacing w:val="-1"/>
                <w:sz w:val="14"/>
              </w:rPr>
              <w:t> </w:t>
            </w:r>
            <w:r>
              <w:rPr>
                <w:sz w:val="14"/>
              </w:rPr>
              <w:t>6</w:t>
            </w:r>
            <w:r>
              <w:rPr>
                <w:spacing w:val="-4"/>
                <w:sz w:val="14"/>
              </w:rPr>
              <w:t> </w:t>
            </w:r>
            <w:r>
              <w:rPr>
                <w:sz w:val="14"/>
              </w:rPr>
              <w:t>-8</w:t>
            </w:r>
            <w:r>
              <w:rPr>
                <w:spacing w:val="-4"/>
                <w:sz w:val="14"/>
              </w:rPr>
              <w:t> </w:t>
            </w:r>
            <w:r>
              <w:rPr>
                <w:sz w:val="14"/>
              </w:rPr>
              <w:t>days</w:t>
            </w:r>
            <w:r>
              <w:rPr>
                <w:spacing w:val="-3"/>
                <w:sz w:val="14"/>
              </w:rPr>
              <w:t> </w:t>
            </w:r>
            <w:r>
              <w:rPr>
                <w:spacing w:val="-2"/>
                <w:sz w:val="14"/>
              </w:rPr>
              <w:t>Unregistered</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150.00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158.00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5.1</w:t>
            </w:r>
          </w:p>
        </w:tc>
      </w:tr>
    </w:tbl>
    <w:p>
      <w:pPr>
        <w:spacing w:after="0" w:line="140" w:lineRule="exact"/>
        <w:jc w:val="center"/>
        <w:rPr>
          <w:sz w:val="14"/>
        </w:rPr>
        <w:sectPr>
          <w:pgSz w:w="11910" w:h="16840"/>
          <w:pgMar w:header="0" w:footer="378" w:top="680" w:bottom="767" w:left="520" w:right="520"/>
        </w:sectPr>
      </w:pPr>
    </w:p>
    <w:tbl>
      <w:tblPr>
        <w:tblW w:w="0" w:type="auto"/>
        <w:jc w:val="left"/>
        <w:tblInd w:w="13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70"/>
        <w:gridCol w:w="1028"/>
        <w:gridCol w:w="769"/>
        <w:gridCol w:w="973"/>
        <w:gridCol w:w="1199"/>
        <w:gridCol w:w="897"/>
      </w:tblGrid>
      <w:tr>
        <w:trPr>
          <w:trHeight w:val="232" w:hRule="atLeast"/>
        </w:trPr>
        <w:tc>
          <w:tcPr>
            <w:tcW w:w="10636" w:type="dxa"/>
            <w:gridSpan w:val="6"/>
            <w:tcBorders>
              <w:left w:val="single" w:sz="12" w:space="0" w:color="000000"/>
              <w:bottom w:val="single" w:sz="4" w:space="0" w:color="000000"/>
              <w:right w:val="single" w:sz="12" w:space="0" w:color="000000"/>
            </w:tcBorders>
            <w:shd w:val="clear" w:color="auto" w:fill="3399FF"/>
          </w:tcPr>
          <w:p>
            <w:pPr>
              <w:pStyle w:val="TableParagraph"/>
              <w:spacing w:before="32"/>
              <w:ind w:left="4308" w:right="4290"/>
              <w:jc w:val="center"/>
              <w:rPr>
                <w:b/>
                <w:sz w:val="14"/>
              </w:rPr>
            </w:pPr>
            <w:r>
              <w:rPr>
                <w:b/>
                <w:color w:val="FFFFFF"/>
                <w:sz w:val="14"/>
              </w:rPr>
              <w:t>FEES</w:t>
            </w:r>
            <w:r>
              <w:rPr>
                <w:b/>
                <w:color w:val="FFFFFF"/>
                <w:spacing w:val="-5"/>
                <w:sz w:val="14"/>
              </w:rPr>
              <w:t> </w:t>
            </w:r>
            <w:r>
              <w:rPr>
                <w:b/>
                <w:color w:val="FFFFFF"/>
                <w:sz w:val="14"/>
              </w:rPr>
              <w:t>AND</w:t>
            </w:r>
            <w:r>
              <w:rPr>
                <w:b/>
                <w:color w:val="FFFFFF"/>
                <w:spacing w:val="-4"/>
                <w:sz w:val="14"/>
              </w:rPr>
              <w:t> </w:t>
            </w:r>
            <w:r>
              <w:rPr>
                <w:b/>
                <w:color w:val="FFFFFF"/>
                <w:sz w:val="14"/>
              </w:rPr>
              <w:t>CHARGES</w:t>
            </w:r>
            <w:r>
              <w:rPr>
                <w:b/>
                <w:color w:val="FFFFFF"/>
                <w:spacing w:val="-1"/>
                <w:sz w:val="14"/>
              </w:rPr>
              <w:t> </w:t>
            </w:r>
            <w:r>
              <w:rPr>
                <w:b/>
                <w:color w:val="FFFFFF"/>
                <w:spacing w:val="-2"/>
                <w:sz w:val="14"/>
              </w:rPr>
              <w:t>2025/26</w:t>
            </w:r>
          </w:p>
        </w:tc>
      </w:tr>
      <w:tr>
        <w:trPr>
          <w:trHeight w:val="858" w:hRule="atLeast"/>
        </w:trPr>
        <w:tc>
          <w:tcPr>
            <w:tcW w:w="5770" w:type="dxa"/>
            <w:tcBorders>
              <w:top w:val="single" w:sz="4" w:space="0" w:color="000000"/>
              <w:left w:val="single" w:sz="12" w:space="0" w:color="000000"/>
              <w:bottom w:val="single" w:sz="4" w:space="0" w:color="000000"/>
              <w:right w:val="single" w:sz="4"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107"/>
              <w:rPr>
                <w:b/>
                <w:sz w:val="14"/>
              </w:rPr>
            </w:pPr>
            <w:r>
              <w:rPr>
                <w:b/>
                <w:color w:val="FFFFFF"/>
                <w:sz w:val="14"/>
              </w:rPr>
              <w:t>Account</w:t>
            </w:r>
            <w:r>
              <w:rPr>
                <w:b/>
                <w:color w:val="FFFFFF"/>
                <w:spacing w:val="-7"/>
                <w:sz w:val="14"/>
              </w:rPr>
              <w:t> </w:t>
            </w:r>
            <w:r>
              <w:rPr>
                <w:b/>
                <w:color w:val="FFFFFF"/>
                <w:spacing w:val="-2"/>
                <w:sz w:val="14"/>
              </w:rPr>
              <w:t>Description</w:t>
            </w:r>
          </w:p>
        </w:tc>
        <w:tc>
          <w:tcPr>
            <w:tcW w:w="1028"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26" w:right="101" w:firstLine="4"/>
              <w:jc w:val="center"/>
              <w:rPr>
                <w:b/>
                <w:sz w:val="14"/>
              </w:rPr>
            </w:pPr>
            <w:r>
              <w:rPr>
                <w:b/>
                <w:color w:val="FFFFFF"/>
                <w:sz w:val="14"/>
              </w:rPr>
              <w:t>Fee</w:t>
            </w:r>
            <w:r>
              <w:rPr>
                <w:b/>
                <w:color w:val="FFFFFF"/>
                <w:spacing w:val="-6"/>
                <w:sz w:val="14"/>
              </w:rPr>
              <w:t> </w:t>
            </w:r>
            <w:r>
              <w:rPr>
                <w:b/>
                <w:color w:val="FFFFFF"/>
                <w:sz w:val="14"/>
              </w:rPr>
              <w:t>Type</w:t>
            </w:r>
            <w:r>
              <w:rPr>
                <w:b/>
                <w:color w:val="FFFFFF"/>
                <w:spacing w:val="40"/>
                <w:sz w:val="14"/>
              </w:rPr>
              <w:t> </w:t>
            </w:r>
            <w:r>
              <w:rPr>
                <w:b/>
                <w:color w:val="FFFFFF"/>
                <w:spacing w:val="-2"/>
                <w:sz w:val="14"/>
              </w:rPr>
              <w:t>N=Non-</w:t>
            </w:r>
            <w:r>
              <w:rPr>
                <w:b/>
                <w:color w:val="FFFFFF"/>
                <w:spacing w:val="40"/>
                <w:sz w:val="14"/>
              </w:rPr>
              <w:t> </w:t>
            </w:r>
            <w:r>
              <w:rPr>
                <w:b/>
                <w:color w:val="FFFFFF"/>
                <w:spacing w:val="-2"/>
                <w:sz w:val="14"/>
              </w:rPr>
              <w:t>Statutory</w:t>
            </w:r>
            <w:r>
              <w:rPr>
                <w:b/>
                <w:color w:val="FFFFFF"/>
                <w:spacing w:val="40"/>
                <w:sz w:val="14"/>
              </w:rPr>
              <w:t> </w:t>
            </w:r>
            <w:r>
              <w:rPr>
                <w:b/>
                <w:color w:val="FFFFFF"/>
                <w:spacing w:val="-2"/>
                <w:sz w:val="14"/>
              </w:rPr>
              <w:t>S=Statutory</w:t>
            </w:r>
          </w:p>
        </w:tc>
        <w:tc>
          <w:tcPr>
            <w:tcW w:w="76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4"/>
              <w:rPr>
                <w:sz w:val="23"/>
              </w:rPr>
            </w:pPr>
          </w:p>
          <w:p>
            <w:pPr>
              <w:pStyle w:val="TableParagraph"/>
              <w:spacing w:before="1"/>
              <w:ind w:left="248"/>
              <w:rPr>
                <w:b/>
                <w:sz w:val="14"/>
              </w:rPr>
            </w:pPr>
            <w:r>
              <w:rPr>
                <w:b/>
                <w:color w:val="FFFFFF"/>
                <w:spacing w:val="-5"/>
                <w:sz w:val="14"/>
              </w:rPr>
              <w:t>GST</w:t>
            </w:r>
          </w:p>
          <w:p>
            <w:pPr>
              <w:pStyle w:val="TableParagraph"/>
              <w:ind w:left="154"/>
              <w:rPr>
                <w:b/>
                <w:sz w:val="14"/>
              </w:rPr>
            </w:pPr>
            <w:r>
              <w:rPr>
                <w:b/>
                <w:color w:val="FFFFFF"/>
                <w:spacing w:val="-2"/>
                <w:sz w:val="14"/>
              </w:rPr>
              <w:t>Yes/No</w:t>
            </w:r>
          </w:p>
        </w:tc>
        <w:tc>
          <w:tcPr>
            <w:tcW w:w="973"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05" w:right="84"/>
              <w:jc w:val="center"/>
              <w:rPr>
                <w:b/>
                <w:sz w:val="14"/>
              </w:rPr>
            </w:pPr>
            <w:r>
              <w:rPr>
                <w:b/>
                <w:color w:val="FFFFFF"/>
                <w:spacing w:val="-2"/>
                <w:sz w:val="14"/>
              </w:rPr>
              <w:t>2024/25</w:t>
            </w:r>
          </w:p>
          <w:p>
            <w:pPr>
              <w:pStyle w:val="TableParagraph"/>
              <w:ind w:left="189" w:right="168" w:firstLine="1"/>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40"/>
                <w:sz w:val="14"/>
              </w:rPr>
              <w:t> </w:t>
            </w:r>
            <w:r>
              <w:rPr>
                <w:b/>
                <w:color w:val="FFFFFF"/>
                <w:sz w:val="14"/>
              </w:rPr>
              <w:t>Incl.</w:t>
            </w:r>
            <w:r>
              <w:rPr>
                <w:b/>
                <w:color w:val="FFFFFF"/>
                <w:spacing w:val="-5"/>
                <w:sz w:val="14"/>
              </w:rPr>
              <w:t> </w:t>
            </w:r>
            <w:r>
              <w:rPr>
                <w:b/>
                <w:color w:val="FFFFFF"/>
                <w:spacing w:val="-5"/>
                <w:sz w:val="14"/>
              </w:rPr>
              <w:t>GST</w:t>
            </w:r>
          </w:p>
        </w:tc>
        <w:tc>
          <w:tcPr>
            <w:tcW w:w="119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56" w:right="137"/>
              <w:jc w:val="center"/>
              <w:rPr>
                <w:b/>
                <w:sz w:val="14"/>
              </w:rPr>
            </w:pPr>
            <w:r>
              <w:rPr>
                <w:b/>
                <w:color w:val="FFFFFF"/>
                <w:spacing w:val="-2"/>
                <w:sz w:val="14"/>
              </w:rPr>
              <w:t>2025/26</w:t>
            </w:r>
          </w:p>
          <w:p>
            <w:pPr>
              <w:pStyle w:val="TableParagraph"/>
              <w:ind w:left="164" w:right="146" w:firstLine="2"/>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8"/>
                <w:sz w:val="14"/>
              </w:rPr>
              <w:t> </w:t>
            </w:r>
            <w:r>
              <w:rPr>
                <w:b/>
                <w:color w:val="FFFFFF"/>
                <w:spacing w:val="-2"/>
                <w:sz w:val="14"/>
              </w:rPr>
              <w:t>Incl.</w:t>
            </w:r>
          </w:p>
          <w:p>
            <w:pPr>
              <w:pStyle w:val="TableParagraph"/>
              <w:spacing w:line="161" w:lineRule="exact"/>
              <w:ind w:left="153" w:right="137"/>
              <w:jc w:val="center"/>
              <w:rPr>
                <w:b/>
                <w:sz w:val="14"/>
              </w:rPr>
            </w:pPr>
            <w:r>
              <w:rPr>
                <w:b/>
                <w:color w:val="FFFFFF"/>
                <w:spacing w:val="-5"/>
                <w:sz w:val="14"/>
              </w:rPr>
              <w:t>GST</w:t>
            </w:r>
          </w:p>
        </w:tc>
        <w:tc>
          <w:tcPr>
            <w:tcW w:w="897" w:type="dxa"/>
            <w:tcBorders>
              <w:top w:val="single" w:sz="4" w:space="0" w:color="000000"/>
              <w:left w:val="single" w:sz="4" w:space="0" w:color="000000"/>
              <w:bottom w:val="single" w:sz="4" w:space="0" w:color="000000"/>
              <w:right w:val="single" w:sz="12"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95" w:right="81"/>
              <w:jc w:val="center"/>
              <w:rPr>
                <w:b/>
                <w:sz w:val="14"/>
              </w:rPr>
            </w:pPr>
            <w:r>
              <w:rPr>
                <w:b/>
                <w:color w:val="FFFFFF"/>
                <w:sz w:val="14"/>
              </w:rPr>
              <w:t>%</w:t>
            </w:r>
            <w:r>
              <w:rPr>
                <w:b/>
                <w:color w:val="FFFFFF"/>
                <w:spacing w:val="-4"/>
                <w:sz w:val="14"/>
              </w:rPr>
              <w:t> </w:t>
            </w:r>
            <w:r>
              <w:rPr>
                <w:b/>
                <w:color w:val="FFFFFF"/>
                <w:spacing w:val="-2"/>
                <w:sz w:val="14"/>
              </w:rPr>
              <w:t>Change</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Reclaim Fees</w:t>
            </w:r>
            <w:r>
              <w:rPr>
                <w:spacing w:val="-4"/>
                <w:sz w:val="14"/>
              </w:rPr>
              <w:t> </w:t>
            </w:r>
            <w:r>
              <w:rPr>
                <w:sz w:val="14"/>
              </w:rPr>
              <w:t>Cat</w:t>
            </w:r>
            <w:r>
              <w:rPr>
                <w:spacing w:val="-3"/>
                <w:sz w:val="14"/>
              </w:rPr>
              <w:t> </w:t>
            </w:r>
            <w:r>
              <w:rPr>
                <w:sz w:val="14"/>
              </w:rPr>
              <w:t>-</w:t>
            </w:r>
            <w:r>
              <w:rPr>
                <w:spacing w:val="-5"/>
                <w:sz w:val="14"/>
              </w:rPr>
              <w:t> </w:t>
            </w:r>
            <w:r>
              <w:rPr>
                <w:sz w:val="14"/>
              </w:rPr>
              <w:t>Animal</w:t>
            </w:r>
            <w:r>
              <w:rPr>
                <w:spacing w:val="-2"/>
                <w:sz w:val="14"/>
              </w:rPr>
              <w:t> </w:t>
            </w:r>
            <w:r>
              <w:rPr>
                <w:sz w:val="14"/>
              </w:rPr>
              <w:t>Aid</w:t>
            </w:r>
            <w:r>
              <w:rPr>
                <w:spacing w:val="-3"/>
                <w:sz w:val="14"/>
              </w:rPr>
              <w:t> </w:t>
            </w:r>
            <w:r>
              <w:rPr>
                <w:sz w:val="14"/>
              </w:rPr>
              <w:t>&gt;8</w:t>
            </w:r>
            <w:r>
              <w:rPr>
                <w:spacing w:val="-3"/>
                <w:sz w:val="14"/>
              </w:rPr>
              <w:t> </w:t>
            </w:r>
            <w:r>
              <w:rPr>
                <w:sz w:val="14"/>
              </w:rPr>
              <w:t>days</w:t>
            </w:r>
            <w:r>
              <w:rPr>
                <w:spacing w:val="-1"/>
                <w:sz w:val="14"/>
              </w:rPr>
              <w:t> </w:t>
            </w:r>
            <w:r>
              <w:rPr>
                <w:sz w:val="14"/>
              </w:rPr>
              <w:t>(per</w:t>
            </w:r>
            <w:r>
              <w:rPr>
                <w:spacing w:val="-2"/>
                <w:sz w:val="14"/>
              </w:rPr>
              <w:t> </w:t>
            </w:r>
            <w:r>
              <w:rPr>
                <w:spacing w:val="-4"/>
                <w:sz w:val="14"/>
              </w:rPr>
              <w:t>day)</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20.00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21.00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pacing w:val="-2"/>
                <w:sz w:val="14"/>
              </w:rPr>
              <w:t>Traffic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Pr>
                <w:sz w:val="14"/>
              </w:rPr>
            </w:pPr>
            <w:r>
              <w:rPr>
                <w:sz w:val="14"/>
              </w:rPr>
              <w:t>Parking</w:t>
            </w:r>
            <w:r>
              <w:rPr>
                <w:spacing w:val="-5"/>
                <w:sz w:val="14"/>
              </w:rPr>
              <w:t> </w:t>
            </w:r>
            <w:r>
              <w:rPr>
                <w:sz w:val="14"/>
              </w:rPr>
              <w:t>Road</w:t>
            </w:r>
            <w:r>
              <w:rPr>
                <w:spacing w:val="-2"/>
                <w:sz w:val="14"/>
              </w:rPr>
              <w:t> </w:t>
            </w:r>
            <w:r>
              <w:rPr>
                <w:sz w:val="14"/>
              </w:rPr>
              <w:t>Safety</w:t>
            </w:r>
            <w:r>
              <w:rPr>
                <w:spacing w:val="-2"/>
                <w:sz w:val="14"/>
              </w:rPr>
              <w:t> </w:t>
            </w:r>
            <w:r>
              <w:rPr>
                <w:sz w:val="14"/>
              </w:rPr>
              <w:t>(General)</w:t>
            </w:r>
            <w:r>
              <w:rPr>
                <w:spacing w:val="-4"/>
                <w:sz w:val="14"/>
              </w:rPr>
              <w:t> </w:t>
            </w:r>
            <w:r>
              <w:rPr>
                <w:sz w:val="14"/>
              </w:rPr>
              <w:t>Regulations</w:t>
            </w:r>
            <w:r>
              <w:rPr>
                <w:spacing w:val="-2"/>
                <w:sz w:val="14"/>
              </w:rPr>
              <w:t> </w:t>
            </w:r>
            <w:r>
              <w:rPr>
                <w:sz w:val="14"/>
              </w:rPr>
              <w:t>2019</w:t>
            </w:r>
            <w:r>
              <w:rPr>
                <w:spacing w:val="-4"/>
                <w:sz w:val="14"/>
              </w:rPr>
              <w:t> </w:t>
            </w:r>
            <w:r>
              <w:rPr>
                <w:sz w:val="14"/>
              </w:rPr>
              <w:t>"Green</w:t>
            </w:r>
            <w:r>
              <w:rPr>
                <w:spacing w:val="-3"/>
                <w:sz w:val="14"/>
              </w:rPr>
              <w:t> </w:t>
            </w:r>
            <w:r>
              <w:rPr>
                <w:sz w:val="14"/>
              </w:rPr>
              <w:t>Sign"</w:t>
            </w:r>
            <w:r>
              <w:rPr>
                <w:spacing w:val="-2"/>
                <w:sz w:val="14"/>
              </w:rPr>
              <w:t> </w:t>
            </w:r>
            <w:r>
              <w:rPr>
                <w:sz w:val="14"/>
              </w:rPr>
              <w:t>Offence</w:t>
            </w:r>
            <w:r>
              <w:rPr>
                <w:spacing w:val="-1"/>
                <w:sz w:val="14"/>
              </w:rPr>
              <w:t> </w:t>
            </w:r>
            <w:r>
              <w:rPr>
                <w:sz w:val="14"/>
              </w:rPr>
              <w:t>Codes</w:t>
            </w:r>
            <w:r>
              <w:rPr>
                <w:spacing w:val="-2"/>
                <w:sz w:val="14"/>
              </w:rPr>
              <w:t> </w:t>
            </w:r>
            <w:r>
              <w:rPr>
                <w:sz w:val="14"/>
              </w:rPr>
              <w:t>701</w:t>
            </w:r>
            <w:r>
              <w:rPr>
                <w:spacing w:val="-4"/>
                <w:sz w:val="14"/>
              </w:rPr>
              <w:t> </w:t>
            </w:r>
            <w:r>
              <w:rPr>
                <w:sz w:val="14"/>
              </w:rPr>
              <w:t>-</w:t>
            </w:r>
            <w:r>
              <w:rPr>
                <w:spacing w:val="-2"/>
                <w:sz w:val="14"/>
              </w:rPr>
              <w:t> </w:t>
            </w:r>
            <w:r>
              <w:rPr>
                <w:sz w:val="14"/>
              </w:rPr>
              <w:t>714</w:t>
            </w:r>
            <w:r>
              <w:rPr>
                <w:spacing w:val="40"/>
                <w:sz w:val="14"/>
              </w:rPr>
              <w:t> </w:t>
            </w:r>
            <w:r>
              <w:rPr>
                <w:sz w:val="14"/>
              </w:rPr>
              <w:t>(0.5 penalty unit)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1"/>
              <w:jc w:val="right"/>
              <w:rPr>
                <w:sz w:val="14"/>
              </w:rPr>
            </w:pPr>
            <w:r>
              <w:rPr>
                <w:spacing w:val="-2"/>
                <w:sz w:val="14"/>
              </w:rPr>
              <w:t>99.00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2"/>
              <w:jc w:val="right"/>
              <w:rPr>
                <w:sz w:val="14"/>
              </w:rPr>
            </w:pPr>
            <w:r>
              <w:rPr>
                <w:spacing w:val="-2"/>
                <w:sz w:val="14"/>
              </w:rPr>
              <w:t>99.00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0" w:lineRule="exact"/>
              <w:ind w:left="95" w:right="79"/>
              <w:jc w:val="center"/>
              <w:rPr>
                <w:sz w:val="14"/>
              </w:rPr>
            </w:pPr>
            <w:r>
              <w:rPr>
                <w:spacing w:val="-5"/>
                <w:sz w:val="14"/>
              </w:rPr>
              <w:t>0.0</w:t>
            </w: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ight="181"/>
              <w:rPr>
                <w:sz w:val="14"/>
              </w:rPr>
            </w:pPr>
            <w:r>
              <w:rPr>
                <w:sz w:val="14"/>
              </w:rPr>
              <w:t>Parking</w:t>
            </w:r>
            <w:r>
              <w:rPr>
                <w:spacing w:val="-5"/>
                <w:sz w:val="14"/>
              </w:rPr>
              <w:t> </w:t>
            </w:r>
            <w:r>
              <w:rPr>
                <w:sz w:val="14"/>
              </w:rPr>
              <w:t>Road</w:t>
            </w:r>
            <w:r>
              <w:rPr>
                <w:spacing w:val="-3"/>
                <w:sz w:val="14"/>
              </w:rPr>
              <w:t> </w:t>
            </w:r>
            <w:r>
              <w:rPr>
                <w:sz w:val="14"/>
              </w:rPr>
              <w:t>Safety</w:t>
            </w:r>
            <w:r>
              <w:rPr>
                <w:spacing w:val="-2"/>
                <w:sz w:val="14"/>
              </w:rPr>
              <w:t> </w:t>
            </w:r>
            <w:r>
              <w:rPr>
                <w:sz w:val="14"/>
              </w:rPr>
              <w:t>(General)</w:t>
            </w:r>
            <w:r>
              <w:rPr>
                <w:spacing w:val="-4"/>
                <w:sz w:val="14"/>
              </w:rPr>
              <w:t> </w:t>
            </w:r>
            <w:r>
              <w:rPr>
                <w:sz w:val="14"/>
              </w:rPr>
              <w:t>Regulations</w:t>
            </w:r>
            <w:r>
              <w:rPr>
                <w:spacing w:val="-2"/>
                <w:sz w:val="14"/>
              </w:rPr>
              <w:t> </w:t>
            </w:r>
            <w:r>
              <w:rPr>
                <w:sz w:val="14"/>
              </w:rPr>
              <w:t>2019</w:t>
            </w:r>
            <w:r>
              <w:rPr>
                <w:spacing w:val="-1"/>
                <w:sz w:val="14"/>
              </w:rPr>
              <w:t> </w:t>
            </w:r>
            <w:r>
              <w:rPr>
                <w:sz w:val="14"/>
              </w:rPr>
              <w:t>Offence</w:t>
            </w:r>
            <w:r>
              <w:rPr>
                <w:spacing w:val="-5"/>
                <w:sz w:val="14"/>
              </w:rPr>
              <w:t> </w:t>
            </w:r>
            <w:r>
              <w:rPr>
                <w:sz w:val="14"/>
              </w:rPr>
              <w:t>Codes</w:t>
            </w:r>
            <w:r>
              <w:rPr>
                <w:spacing w:val="-2"/>
                <w:sz w:val="14"/>
              </w:rPr>
              <w:t> </w:t>
            </w:r>
            <w:r>
              <w:rPr>
                <w:sz w:val="14"/>
              </w:rPr>
              <w:t>715</w:t>
            </w:r>
            <w:r>
              <w:rPr>
                <w:spacing w:val="-1"/>
                <w:sz w:val="14"/>
              </w:rPr>
              <w:t> </w:t>
            </w:r>
            <w:r>
              <w:rPr>
                <w:sz w:val="14"/>
              </w:rPr>
              <w:t>-</w:t>
            </w:r>
            <w:r>
              <w:rPr>
                <w:spacing w:val="-4"/>
                <w:sz w:val="14"/>
              </w:rPr>
              <w:t> </w:t>
            </w:r>
            <w:r>
              <w:rPr>
                <w:sz w:val="14"/>
              </w:rPr>
              <w:t>808</w:t>
            </w:r>
            <w:r>
              <w:rPr>
                <w:spacing w:val="-3"/>
                <w:sz w:val="14"/>
              </w:rPr>
              <w:t> </w:t>
            </w:r>
            <w:r>
              <w:rPr>
                <w:sz w:val="14"/>
              </w:rPr>
              <w:t>(0.6</w:t>
            </w:r>
            <w:r>
              <w:rPr>
                <w:spacing w:val="-4"/>
                <w:sz w:val="14"/>
              </w:rPr>
              <w:t> </w:t>
            </w:r>
            <w:r>
              <w:rPr>
                <w:sz w:val="14"/>
              </w:rPr>
              <w:t>penalty</w:t>
            </w:r>
            <w:r>
              <w:rPr>
                <w:spacing w:val="40"/>
                <w:sz w:val="14"/>
              </w:rPr>
              <w:t> </w:t>
            </w:r>
            <w:r>
              <w:rPr>
                <w:spacing w:val="-2"/>
                <w:sz w:val="14"/>
              </w:rPr>
              <w:t>unit)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1"/>
              <w:jc w:val="right"/>
              <w:rPr>
                <w:sz w:val="14"/>
              </w:rPr>
            </w:pPr>
            <w:r>
              <w:rPr>
                <w:spacing w:val="-2"/>
                <w:sz w:val="14"/>
              </w:rPr>
              <w:t>119.00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3"/>
              <w:jc w:val="right"/>
              <w:rPr>
                <w:sz w:val="14"/>
              </w:rPr>
            </w:pPr>
            <w:r>
              <w:rPr>
                <w:spacing w:val="-2"/>
                <w:sz w:val="14"/>
              </w:rPr>
              <w:t>119.00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0" w:lineRule="exact"/>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Statutory</w:t>
            </w:r>
            <w:r>
              <w:rPr>
                <w:spacing w:val="-3"/>
                <w:sz w:val="14"/>
              </w:rPr>
              <w:t> </w:t>
            </w:r>
            <w:r>
              <w:rPr>
                <w:sz w:val="14"/>
              </w:rPr>
              <w:t>Offences</w:t>
            </w:r>
            <w:r>
              <w:rPr>
                <w:spacing w:val="-3"/>
                <w:sz w:val="14"/>
              </w:rPr>
              <w:t> </w:t>
            </w:r>
            <w:r>
              <w:rPr>
                <w:sz w:val="14"/>
              </w:rPr>
              <w:t>Fine</w:t>
            </w:r>
            <w:r>
              <w:rPr>
                <w:spacing w:val="-6"/>
                <w:sz w:val="14"/>
              </w:rPr>
              <w:t> </w:t>
            </w:r>
            <w:r>
              <w:rPr>
                <w:sz w:val="14"/>
              </w:rPr>
              <w:t>prescribed</w:t>
            </w:r>
            <w:r>
              <w:rPr>
                <w:spacing w:val="-2"/>
                <w:sz w:val="14"/>
              </w:rPr>
              <w:t> </w:t>
            </w:r>
            <w:r>
              <w:rPr>
                <w:sz w:val="14"/>
              </w:rPr>
              <w:t>in</w:t>
            </w:r>
            <w:r>
              <w:rPr>
                <w:spacing w:val="-6"/>
                <w:sz w:val="14"/>
              </w:rPr>
              <w:t> </w:t>
            </w:r>
            <w:r>
              <w:rPr>
                <w:sz w:val="14"/>
              </w:rPr>
              <w:t>Road</w:t>
            </w:r>
            <w:r>
              <w:rPr>
                <w:spacing w:val="-4"/>
                <w:sz w:val="14"/>
              </w:rPr>
              <w:t> </w:t>
            </w:r>
            <w:r>
              <w:rPr>
                <w:sz w:val="14"/>
              </w:rPr>
              <w:t>Rules</w:t>
            </w:r>
            <w:r>
              <w:rPr>
                <w:spacing w:val="-4"/>
                <w:sz w:val="14"/>
              </w:rPr>
              <w:t> </w:t>
            </w:r>
            <w:r>
              <w:rPr>
                <w:sz w:val="14"/>
              </w:rPr>
              <w:t>Victoria</w:t>
            </w:r>
            <w:r>
              <w:rPr>
                <w:spacing w:val="-3"/>
                <w:sz w:val="14"/>
              </w:rPr>
              <w:t> </w:t>
            </w:r>
            <w:r>
              <w:rPr>
                <w:sz w:val="14"/>
              </w:rPr>
              <w:t>(1</w:t>
            </w:r>
            <w:r>
              <w:rPr>
                <w:spacing w:val="-6"/>
                <w:sz w:val="14"/>
              </w:rPr>
              <w:t> </w:t>
            </w:r>
            <w:r>
              <w:rPr>
                <w:sz w:val="14"/>
              </w:rPr>
              <w:t>Penalty</w:t>
            </w:r>
            <w:r>
              <w:rPr>
                <w:spacing w:val="-3"/>
                <w:sz w:val="14"/>
              </w:rPr>
              <w:t> </w:t>
            </w:r>
            <w:r>
              <w:rPr>
                <w:spacing w:val="-4"/>
                <w:sz w:val="14"/>
              </w:rPr>
              <w:t>unit)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198.00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198.00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Abandoned</w:t>
            </w:r>
            <w:r>
              <w:rPr>
                <w:spacing w:val="-6"/>
                <w:sz w:val="14"/>
              </w:rPr>
              <w:t> </w:t>
            </w:r>
            <w:r>
              <w:rPr>
                <w:sz w:val="14"/>
              </w:rPr>
              <w:t>vehicles</w:t>
            </w:r>
            <w:r>
              <w:rPr>
                <w:spacing w:val="-4"/>
                <w:sz w:val="14"/>
              </w:rPr>
              <w:t> </w:t>
            </w:r>
            <w:r>
              <w:rPr>
                <w:sz w:val="14"/>
              </w:rPr>
              <w:t>reclaim</w:t>
            </w:r>
            <w:r>
              <w:rPr>
                <w:spacing w:val="-6"/>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475.00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498.00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Abandoned</w:t>
            </w:r>
            <w:r>
              <w:rPr>
                <w:spacing w:val="-4"/>
                <w:sz w:val="14"/>
              </w:rPr>
              <w:t> </w:t>
            </w:r>
            <w:r>
              <w:rPr>
                <w:sz w:val="14"/>
              </w:rPr>
              <w:t>Vehicles</w:t>
            </w:r>
            <w:r>
              <w:rPr>
                <w:spacing w:val="-2"/>
                <w:sz w:val="14"/>
              </w:rPr>
              <w:t> </w:t>
            </w:r>
            <w:r>
              <w:rPr>
                <w:sz w:val="14"/>
              </w:rPr>
              <w:t>-</w:t>
            </w:r>
            <w:r>
              <w:rPr>
                <w:spacing w:val="-6"/>
                <w:sz w:val="14"/>
              </w:rPr>
              <w:t> </w:t>
            </w:r>
            <w:r>
              <w:rPr>
                <w:sz w:val="14"/>
              </w:rPr>
              <w:t>Storage</w:t>
            </w:r>
            <w:r>
              <w:rPr>
                <w:spacing w:val="-2"/>
                <w:sz w:val="14"/>
              </w:rPr>
              <w:t> </w:t>
            </w:r>
            <w:r>
              <w:rPr>
                <w:sz w:val="14"/>
              </w:rPr>
              <w:t>Fee</w:t>
            </w:r>
            <w:r>
              <w:rPr>
                <w:spacing w:val="-2"/>
                <w:sz w:val="14"/>
              </w:rPr>
              <w:t> </w:t>
            </w:r>
            <w:r>
              <w:rPr>
                <w:sz w:val="14"/>
              </w:rPr>
              <w:t>(per</w:t>
            </w:r>
            <w:r>
              <w:rPr>
                <w:spacing w:val="-5"/>
                <w:sz w:val="14"/>
              </w:rPr>
              <w:t> </w:t>
            </w:r>
            <w:r>
              <w:rPr>
                <w:spacing w:val="-4"/>
                <w:sz w:val="14"/>
              </w:rPr>
              <w:t>day)</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30.00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35.00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81"/>
              <w:jc w:val="center"/>
              <w:rPr>
                <w:sz w:val="14"/>
              </w:rPr>
            </w:pPr>
            <w:r>
              <w:rPr>
                <w:spacing w:val="-4"/>
                <w:sz w:val="14"/>
              </w:rPr>
              <w:t>14.3</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Trader</w:t>
            </w:r>
            <w:r>
              <w:rPr>
                <w:spacing w:val="-5"/>
                <w:sz w:val="14"/>
              </w:rPr>
              <w:t> </w:t>
            </w:r>
            <w:r>
              <w:rPr>
                <w:sz w:val="14"/>
              </w:rPr>
              <w:t>Parking</w:t>
            </w:r>
            <w:r>
              <w:rPr>
                <w:spacing w:val="-5"/>
                <w:sz w:val="14"/>
              </w:rPr>
              <w:t> </w:t>
            </w:r>
            <w:r>
              <w:rPr>
                <w:sz w:val="14"/>
              </w:rPr>
              <w:t>Permit</w:t>
            </w:r>
            <w:r>
              <w:rPr>
                <w:spacing w:val="-5"/>
                <w:sz w:val="14"/>
              </w:rPr>
              <w:t> </w:t>
            </w:r>
            <w:r>
              <w:rPr>
                <w:sz w:val="14"/>
              </w:rPr>
              <w:t>vehicle</w:t>
            </w:r>
            <w:r>
              <w:rPr>
                <w:spacing w:val="-3"/>
                <w:sz w:val="14"/>
              </w:rPr>
              <w:t> </w:t>
            </w:r>
            <w:r>
              <w:rPr>
                <w:sz w:val="14"/>
              </w:rPr>
              <w:t>12</w:t>
            </w:r>
            <w:r>
              <w:rPr>
                <w:spacing w:val="-2"/>
                <w:sz w:val="14"/>
              </w:rPr>
              <w:t> months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211.00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222.00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Trader</w:t>
            </w:r>
            <w:r>
              <w:rPr>
                <w:spacing w:val="-5"/>
                <w:sz w:val="14"/>
              </w:rPr>
              <w:t> </w:t>
            </w:r>
            <w:r>
              <w:rPr>
                <w:sz w:val="14"/>
              </w:rPr>
              <w:t>Parking</w:t>
            </w:r>
            <w:r>
              <w:rPr>
                <w:spacing w:val="-5"/>
                <w:sz w:val="14"/>
              </w:rPr>
              <w:t> </w:t>
            </w:r>
            <w:r>
              <w:rPr>
                <w:sz w:val="14"/>
              </w:rPr>
              <w:t>Permit</w:t>
            </w:r>
            <w:r>
              <w:rPr>
                <w:spacing w:val="-4"/>
                <w:sz w:val="14"/>
              </w:rPr>
              <w:t> </w:t>
            </w:r>
            <w:r>
              <w:rPr>
                <w:sz w:val="14"/>
              </w:rPr>
              <w:t>vehicle</w:t>
            </w:r>
            <w:r>
              <w:rPr>
                <w:spacing w:val="-3"/>
                <w:sz w:val="14"/>
              </w:rPr>
              <w:t> </w:t>
            </w:r>
            <w:r>
              <w:rPr>
                <w:sz w:val="14"/>
              </w:rPr>
              <w:t>9</w:t>
            </w:r>
            <w:r>
              <w:rPr>
                <w:spacing w:val="-5"/>
                <w:sz w:val="14"/>
              </w:rPr>
              <w:t> </w:t>
            </w:r>
            <w:r>
              <w:rPr>
                <w:spacing w:val="-2"/>
                <w:sz w:val="14"/>
              </w:rPr>
              <w:t>months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159.00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168.00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5.4</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Trader</w:t>
            </w:r>
            <w:r>
              <w:rPr>
                <w:spacing w:val="-5"/>
                <w:sz w:val="14"/>
              </w:rPr>
              <w:t> </w:t>
            </w:r>
            <w:r>
              <w:rPr>
                <w:sz w:val="14"/>
              </w:rPr>
              <w:t>Parking</w:t>
            </w:r>
            <w:r>
              <w:rPr>
                <w:spacing w:val="-5"/>
                <w:sz w:val="14"/>
              </w:rPr>
              <w:t> </w:t>
            </w:r>
            <w:r>
              <w:rPr>
                <w:sz w:val="14"/>
              </w:rPr>
              <w:t>Permit</w:t>
            </w:r>
            <w:r>
              <w:rPr>
                <w:spacing w:val="-4"/>
                <w:sz w:val="14"/>
              </w:rPr>
              <w:t> </w:t>
            </w:r>
            <w:r>
              <w:rPr>
                <w:sz w:val="14"/>
              </w:rPr>
              <w:t>vehicle</w:t>
            </w:r>
            <w:r>
              <w:rPr>
                <w:spacing w:val="-3"/>
                <w:sz w:val="14"/>
              </w:rPr>
              <w:t> </w:t>
            </w:r>
            <w:r>
              <w:rPr>
                <w:sz w:val="14"/>
              </w:rPr>
              <w:t>6</w:t>
            </w:r>
            <w:r>
              <w:rPr>
                <w:spacing w:val="-5"/>
                <w:sz w:val="14"/>
              </w:rPr>
              <w:t> </w:t>
            </w:r>
            <w:r>
              <w:rPr>
                <w:spacing w:val="-2"/>
                <w:sz w:val="14"/>
              </w:rPr>
              <w:t>months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106.00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111.00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Trader</w:t>
            </w:r>
            <w:r>
              <w:rPr>
                <w:spacing w:val="-5"/>
                <w:sz w:val="14"/>
              </w:rPr>
              <w:t> </w:t>
            </w:r>
            <w:r>
              <w:rPr>
                <w:sz w:val="14"/>
              </w:rPr>
              <w:t>Parking</w:t>
            </w:r>
            <w:r>
              <w:rPr>
                <w:spacing w:val="-5"/>
                <w:sz w:val="14"/>
              </w:rPr>
              <w:t> </w:t>
            </w:r>
            <w:r>
              <w:rPr>
                <w:sz w:val="14"/>
              </w:rPr>
              <w:t>Permit</w:t>
            </w:r>
            <w:r>
              <w:rPr>
                <w:spacing w:val="-4"/>
                <w:sz w:val="14"/>
              </w:rPr>
              <w:t> </w:t>
            </w:r>
            <w:r>
              <w:rPr>
                <w:sz w:val="14"/>
              </w:rPr>
              <w:t>vehicle</w:t>
            </w:r>
            <w:r>
              <w:rPr>
                <w:spacing w:val="-3"/>
                <w:sz w:val="14"/>
              </w:rPr>
              <w:t> </w:t>
            </w:r>
            <w:r>
              <w:rPr>
                <w:sz w:val="14"/>
              </w:rPr>
              <w:t>3</w:t>
            </w:r>
            <w:r>
              <w:rPr>
                <w:spacing w:val="-5"/>
                <w:sz w:val="14"/>
              </w:rPr>
              <w:t> </w:t>
            </w:r>
            <w:r>
              <w:rPr>
                <w:spacing w:val="-2"/>
                <w:sz w:val="14"/>
              </w:rPr>
              <w:t>months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53.00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56.00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5.4</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Ringwood</w:t>
            </w:r>
            <w:r>
              <w:rPr>
                <w:spacing w:val="-3"/>
                <w:sz w:val="14"/>
              </w:rPr>
              <w:t> </w:t>
            </w:r>
            <w:r>
              <w:rPr>
                <w:sz w:val="14"/>
              </w:rPr>
              <w:t>Activities</w:t>
            </w:r>
            <w:r>
              <w:rPr>
                <w:spacing w:val="-4"/>
                <w:sz w:val="14"/>
              </w:rPr>
              <w:t> </w:t>
            </w:r>
            <w:r>
              <w:rPr>
                <w:sz w:val="14"/>
              </w:rPr>
              <w:t>Area</w:t>
            </w:r>
            <w:r>
              <w:rPr>
                <w:spacing w:val="-3"/>
                <w:sz w:val="14"/>
              </w:rPr>
              <w:t> </w:t>
            </w:r>
            <w:r>
              <w:rPr>
                <w:sz w:val="14"/>
              </w:rPr>
              <w:t>Residential</w:t>
            </w:r>
            <w:r>
              <w:rPr>
                <w:spacing w:val="-4"/>
                <w:sz w:val="14"/>
              </w:rPr>
              <w:t> </w:t>
            </w:r>
            <w:r>
              <w:rPr>
                <w:sz w:val="14"/>
              </w:rPr>
              <w:t>Parking</w:t>
            </w:r>
            <w:r>
              <w:rPr>
                <w:spacing w:val="-6"/>
                <w:sz w:val="14"/>
              </w:rPr>
              <w:t> </w:t>
            </w:r>
            <w:r>
              <w:rPr>
                <w:sz w:val="14"/>
              </w:rPr>
              <w:t>Permit</w:t>
            </w:r>
            <w:r>
              <w:rPr>
                <w:spacing w:val="-4"/>
                <w:sz w:val="14"/>
              </w:rPr>
              <w:t> </w:t>
            </w:r>
            <w:r>
              <w:rPr>
                <w:sz w:val="14"/>
              </w:rPr>
              <w:t>-</w:t>
            </w:r>
            <w:r>
              <w:rPr>
                <w:spacing w:val="-2"/>
                <w:sz w:val="14"/>
              </w:rPr>
              <w:t> </w:t>
            </w:r>
            <w:r>
              <w:rPr>
                <w:sz w:val="14"/>
              </w:rPr>
              <w:t>first</w:t>
            </w:r>
            <w:r>
              <w:rPr>
                <w:spacing w:val="-3"/>
                <w:sz w:val="14"/>
              </w:rPr>
              <w:t> </w:t>
            </w:r>
            <w:r>
              <w:rPr>
                <w:sz w:val="14"/>
              </w:rPr>
              <w:t>permit</w:t>
            </w:r>
            <w:r>
              <w:rPr>
                <w:spacing w:val="-5"/>
                <w:sz w:val="14"/>
              </w:rPr>
              <w:t> </w:t>
            </w:r>
            <w:r>
              <w:rPr>
                <w:sz w:val="14"/>
              </w:rPr>
              <w:t>-</w:t>
            </w:r>
            <w:r>
              <w:rPr>
                <w:spacing w:val="-2"/>
                <w:sz w:val="14"/>
              </w:rPr>
              <w:t> </w:t>
            </w:r>
            <w:r>
              <w:rPr>
                <w:sz w:val="14"/>
              </w:rPr>
              <w:t>6</w:t>
            </w:r>
            <w:r>
              <w:rPr>
                <w:spacing w:val="-5"/>
                <w:sz w:val="14"/>
              </w:rPr>
              <w:t> </w:t>
            </w:r>
            <w:r>
              <w:rPr>
                <w:spacing w:val="-2"/>
                <w:sz w:val="14"/>
              </w:rPr>
              <w:t>months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29.00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31.00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6.5</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Ringwood</w:t>
            </w:r>
            <w:r>
              <w:rPr>
                <w:spacing w:val="-3"/>
                <w:sz w:val="14"/>
              </w:rPr>
              <w:t> </w:t>
            </w:r>
            <w:r>
              <w:rPr>
                <w:sz w:val="14"/>
              </w:rPr>
              <w:t>Activities</w:t>
            </w:r>
            <w:r>
              <w:rPr>
                <w:spacing w:val="-5"/>
                <w:sz w:val="14"/>
              </w:rPr>
              <w:t> </w:t>
            </w:r>
            <w:r>
              <w:rPr>
                <w:sz w:val="14"/>
              </w:rPr>
              <w:t>Area</w:t>
            </w:r>
            <w:r>
              <w:rPr>
                <w:spacing w:val="-2"/>
                <w:sz w:val="14"/>
              </w:rPr>
              <w:t> </w:t>
            </w:r>
            <w:r>
              <w:rPr>
                <w:sz w:val="14"/>
              </w:rPr>
              <w:t>Residential</w:t>
            </w:r>
            <w:r>
              <w:rPr>
                <w:spacing w:val="-4"/>
                <w:sz w:val="14"/>
              </w:rPr>
              <w:t> </w:t>
            </w:r>
            <w:r>
              <w:rPr>
                <w:sz w:val="14"/>
              </w:rPr>
              <w:t>Parking</w:t>
            </w:r>
            <w:r>
              <w:rPr>
                <w:spacing w:val="-7"/>
                <w:sz w:val="14"/>
              </w:rPr>
              <w:t> </w:t>
            </w:r>
            <w:r>
              <w:rPr>
                <w:sz w:val="14"/>
              </w:rPr>
              <w:t>Permit</w:t>
            </w:r>
            <w:r>
              <w:rPr>
                <w:spacing w:val="-4"/>
                <w:sz w:val="14"/>
              </w:rPr>
              <w:t> </w:t>
            </w:r>
            <w:r>
              <w:rPr>
                <w:sz w:val="14"/>
              </w:rPr>
              <w:t>-</w:t>
            </w:r>
            <w:r>
              <w:rPr>
                <w:spacing w:val="-3"/>
                <w:sz w:val="14"/>
              </w:rPr>
              <w:t> </w:t>
            </w:r>
            <w:r>
              <w:rPr>
                <w:sz w:val="14"/>
              </w:rPr>
              <w:t>first</w:t>
            </w:r>
            <w:r>
              <w:rPr>
                <w:spacing w:val="-2"/>
                <w:sz w:val="14"/>
              </w:rPr>
              <w:t> </w:t>
            </w:r>
            <w:r>
              <w:rPr>
                <w:sz w:val="14"/>
              </w:rPr>
              <w:t>permit</w:t>
            </w:r>
            <w:r>
              <w:rPr>
                <w:spacing w:val="-5"/>
                <w:sz w:val="14"/>
              </w:rPr>
              <w:t> </w:t>
            </w:r>
            <w:r>
              <w:rPr>
                <w:sz w:val="14"/>
              </w:rPr>
              <w:t>-</w:t>
            </w:r>
            <w:r>
              <w:rPr>
                <w:spacing w:val="-3"/>
                <w:sz w:val="14"/>
              </w:rPr>
              <w:t> </w:t>
            </w:r>
            <w:r>
              <w:rPr>
                <w:sz w:val="14"/>
              </w:rPr>
              <w:t>12</w:t>
            </w:r>
            <w:r>
              <w:rPr>
                <w:spacing w:val="-3"/>
                <w:sz w:val="14"/>
              </w:rPr>
              <w:t> </w:t>
            </w:r>
            <w:r>
              <w:rPr>
                <w:spacing w:val="-2"/>
                <w:sz w:val="14"/>
              </w:rPr>
              <w:t>months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57.00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62.00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8.1</w:t>
            </w:r>
          </w:p>
        </w:tc>
      </w:tr>
      <w:tr>
        <w:trPr>
          <w:trHeight w:val="194"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34"/>
              <w:ind w:left="107"/>
              <w:rPr>
                <w:sz w:val="14"/>
              </w:rPr>
            </w:pPr>
            <w:r>
              <w:rPr>
                <w:sz w:val="14"/>
              </w:rPr>
              <w:t>Ringwood</w:t>
            </w:r>
            <w:r>
              <w:rPr>
                <w:spacing w:val="-3"/>
                <w:sz w:val="14"/>
              </w:rPr>
              <w:t> </w:t>
            </w:r>
            <w:r>
              <w:rPr>
                <w:sz w:val="14"/>
              </w:rPr>
              <w:t>Activities</w:t>
            </w:r>
            <w:r>
              <w:rPr>
                <w:spacing w:val="-5"/>
                <w:sz w:val="14"/>
              </w:rPr>
              <w:t> </w:t>
            </w:r>
            <w:r>
              <w:rPr>
                <w:sz w:val="14"/>
              </w:rPr>
              <w:t>Area</w:t>
            </w:r>
            <w:r>
              <w:rPr>
                <w:spacing w:val="-2"/>
                <w:sz w:val="14"/>
              </w:rPr>
              <w:t> </w:t>
            </w:r>
            <w:r>
              <w:rPr>
                <w:sz w:val="14"/>
              </w:rPr>
              <w:t>Residential</w:t>
            </w:r>
            <w:r>
              <w:rPr>
                <w:spacing w:val="-4"/>
                <w:sz w:val="14"/>
              </w:rPr>
              <w:t> </w:t>
            </w:r>
            <w:r>
              <w:rPr>
                <w:sz w:val="14"/>
              </w:rPr>
              <w:t>Parking</w:t>
            </w:r>
            <w:r>
              <w:rPr>
                <w:spacing w:val="-6"/>
                <w:sz w:val="14"/>
              </w:rPr>
              <w:t> </w:t>
            </w:r>
            <w:r>
              <w:rPr>
                <w:sz w:val="14"/>
              </w:rPr>
              <w:t>Permit</w:t>
            </w:r>
            <w:r>
              <w:rPr>
                <w:spacing w:val="-4"/>
                <w:sz w:val="14"/>
              </w:rPr>
              <w:t> </w:t>
            </w:r>
            <w:r>
              <w:rPr>
                <w:sz w:val="14"/>
              </w:rPr>
              <w:t>-</w:t>
            </w:r>
            <w:r>
              <w:rPr>
                <w:spacing w:val="-3"/>
                <w:sz w:val="14"/>
              </w:rPr>
              <w:t> </w:t>
            </w:r>
            <w:r>
              <w:rPr>
                <w:sz w:val="14"/>
              </w:rPr>
              <w:t>second</w:t>
            </w:r>
            <w:r>
              <w:rPr>
                <w:spacing w:val="-5"/>
                <w:sz w:val="14"/>
              </w:rPr>
              <w:t> </w:t>
            </w:r>
            <w:r>
              <w:rPr>
                <w:sz w:val="14"/>
              </w:rPr>
              <w:t>permit</w:t>
            </w:r>
            <w:r>
              <w:rPr>
                <w:spacing w:val="-3"/>
                <w:sz w:val="14"/>
              </w:rPr>
              <w:t> </w:t>
            </w:r>
            <w:r>
              <w:rPr>
                <w:sz w:val="14"/>
              </w:rPr>
              <w:t>-</w:t>
            </w:r>
            <w:r>
              <w:rPr>
                <w:spacing w:val="-5"/>
                <w:sz w:val="14"/>
              </w:rPr>
              <w:t> </w:t>
            </w:r>
            <w:r>
              <w:rPr>
                <w:sz w:val="14"/>
              </w:rPr>
              <w:t>6</w:t>
            </w:r>
            <w:r>
              <w:rPr>
                <w:spacing w:val="-5"/>
                <w:sz w:val="14"/>
              </w:rPr>
              <w:t> </w:t>
            </w:r>
            <w:r>
              <w:rPr>
                <w:spacing w:val="-2"/>
                <w:sz w:val="14"/>
              </w:rPr>
              <w:t>months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34"/>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34"/>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34"/>
              <w:ind w:right="91"/>
              <w:jc w:val="right"/>
              <w:rPr>
                <w:sz w:val="14"/>
              </w:rPr>
            </w:pPr>
            <w:r>
              <w:rPr>
                <w:spacing w:val="-2"/>
                <w:sz w:val="14"/>
              </w:rPr>
              <w:t>50.00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34"/>
              <w:ind w:right="92"/>
              <w:jc w:val="right"/>
              <w:rPr>
                <w:sz w:val="14"/>
              </w:rPr>
            </w:pPr>
            <w:r>
              <w:rPr>
                <w:spacing w:val="-2"/>
                <w:sz w:val="14"/>
              </w:rPr>
              <w:t>53.00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34"/>
              <w:ind w:left="95" w:right="79"/>
              <w:jc w:val="center"/>
              <w:rPr>
                <w:sz w:val="14"/>
              </w:rPr>
            </w:pPr>
            <w:r>
              <w:rPr>
                <w:spacing w:val="-5"/>
                <w:sz w:val="14"/>
              </w:rPr>
              <w:t>5.7</w:t>
            </w:r>
          </w:p>
        </w:tc>
      </w:tr>
      <w:tr>
        <w:trPr>
          <w:trHeight w:val="194"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34"/>
              <w:ind w:left="107"/>
              <w:rPr>
                <w:sz w:val="14"/>
              </w:rPr>
            </w:pPr>
            <w:r>
              <w:rPr>
                <w:sz w:val="14"/>
              </w:rPr>
              <w:t>Ringwood</w:t>
            </w:r>
            <w:r>
              <w:rPr>
                <w:spacing w:val="-3"/>
                <w:sz w:val="14"/>
              </w:rPr>
              <w:t> </w:t>
            </w:r>
            <w:r>
              <w:rPr>
                <w:sz w:val="14"/>
              </w:rPr>
              <w:t>Activities</w:t>
            </w:r>
            <w:r>
              <w:rPr>
                <w:spacing w:val="-5"/>
                <w:sz w:val="14"/>
              </w:rPr>
              <w:t> </w:t>
            </w:r>
            <w:r>
              <w:rPr>
                <w:sz w:val="14"/>
              </w:rPr>
              <w:t>Area</w:t>
            </w:r>
            <w:r>
              <w:rPr>
                <w:spacing w:val="-2"/>
                <w:sz w:val="14"/>
              </w:rPr>
              <w:t> </w:t>
            </w:r>
            <w:r>
              <w:rPr>
                <w:sz w:val="14"/>
              </w:rPr>
              <w:t>Residential</w:t>
            </w:r>
            <w:r>
              <w:rPr>
                <w:spacing w:val="-4"/>
                <w:sz w:val="14"/>
              </w:rPr>
              <w:t> </w:t>
            </w:r>
            <w:r>
              <w:rPr>
                <w:sz w:val="14"/>
              </w:rPr>
              <w:t>Parking</w:t>
            </w:r>
            <w:r>
              <w:rPr>
                <w:spacing w:val="-6"/>
                <w:sz w:val="14"/>
              </w:rPr>
              <w:t> </w:t>
            </w:r>
            <w:r>
              <w:rPr>
                <w:sz w:val="14"/>
              </w:rPr>
              <w:t>Permit</w:t>
            </w:r>
            <w:r>
              <w:rPr>
                <w:spacing w:val="-4"/>
                <w:sz w:val="14"/>
              </w:rPr>
              <w:t> </w:t>
            </w:r>
            <w:r>
              <w:rPr>
                <w:sz w:val="14"/>
              </w:rPr>
              <w:t>-</w:t>
            </w:r>
            <w:r>
              <w:rPr>
                <w:spacing w:val="-3"/>
                <w:sz w:val="14"/>
              </w:rPr>
              <w:t> </w:t>
            </w:r>
            <w:r>
              <w:rPr>
                <w:sz w:val="14"/>
              </w:rPr>
              <w:t>second</w:t>
            </w:r>
            <w:r>
              <w:rPr>
                <w:spacing w:val="-5"/>
                <w:sz w:val="14"/>
              </w:rPr>
              <w:t> </w:t>
            </w:r>
            <w:r>
              <w:rPr>
                <w:sz w:val="14"/>
              </w:rPr>
              <w:t>permit</w:t>
            </w:r>
            <w:r>
              <w:rPr>
                <w:spacing w:val="-2"/>
                <w:sz w:val="14"/>
              </w:rPr>
              <w:t> </w:t>
            </w:r>
            <w:r>
              <w:rPr>
                <w:sz w:val="14"/>
              </w:rPr>
              <w:t>-</w:t>
            </w:r>
            <w:r>
              <w:rPr>
                <w:spacing w:val="-6"/>
                <w:sz w:val="14"/>
              </w:rPr>
              <w:t> </w:t>
            </w:r>
            <w:r>
              <w:rPr>
                <w:sz w:val="14"/>
              </w:rPr>
              <w:t>12</w:t>
            </w:r>
            <w:r>
              <w:rPr>
                <w:spacing w:val="-5"/>
                <w:sz w:val="14"/>
              </w:rPr>
              <w:t> </w:t>
            </w:r>
            <w:r>
              <w:rPr>
                <w:spacing w:val="-2"/>
                <w:sz w:val="14"/>
              </w:rPr>
              <w:t>months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34"/>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34"/>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34"/>
              <w:ind w:right="91"/>
              <w:jc w:val="right"/>
              <w:rPr>
                <w:sz w:val="14"/>
              </w:rPr>
            </w:pPr>
            <w:r>
              <w:rPr>
                <w:spacing w:val="-2"/>
                <w:sz w:val="14"/>
              </w:rPr>
              <w:t>99.00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34"/>
              <w:ind w:right="93"/>
              <w:jc w:val="right"/>
              <w:rPr>
                <w:sz w:val="14"/>
              </w:rPr>
            </w:pPr>
            <w:r>
              <w:rPr>
                <w:spacing w:val="-2"/>
                <w:sz w:val="14"/>
              </w:rPr>
              <w:t>104.00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34"/>
              <w:ind w:left="95" w:right="79"/>
              <w:jc w:val="center"/>
              <w:rPr>
                <w:sz w:val="14"/>
              </w:rPr>
            </w:pPr>
            <w:r>
              <w:rPr>
                <w:spacing w:val="-5"/>
                <w:sz w:val="14"/>
              </w:rPr>
              <w:t>4.8</w:t>
            </w:r>
          </w:p>
        </w:tc>
      </w:tr>
      <w:tr>
        <w:trPr>
          <w:trHeight w:val="196"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36"/>
              <w:ind w:left="107"/>
              <w:rPr>
                <w:sz w:val="14"/>
              </w:rPr>
            </w:pPr>
            <w:r>
              <w:rPr>
                <w:sz w:val="14"/>
              </w:rPr>
              <w:t>Ringwood</w:t>
            </w:r>
            <w:r>
              <w:rPr>
                <w:spacing w:val="-3"/>
                <w:sz w:val="14"/>
              </w:rPr>
              <w:t> </w:t>
            </w:r>
            <w:r>
              <w:rPr>
                <w:sz w:val="14"/>
              </w:rPr>
              <w:t>Activities</w:t>
            </w:r>
            <w:r>
              <w:rPr>
                <w:spacing w:val="-5"/>
                <w:sz w:val="14"/>
              </w:rPr>
              <w:t> </w:t>
            </w:r>
            <w:r>
              <w:rPr>
                <w:sz w:val="14"/>
              </w:rPr>
              <w:t>Area</w:t>
            </w:r>
            <w:r>
              <w:rPr>
                <w:spacing w:val="-1"/>
                <w:sz w:val="14"/>
              </w:rPr>
              <w:t> </w:t>
            </w:r>
            <w:r>
              <w:rPr>
                <w:sz w:val="14"/>
              </w:rPr>
              <w:t>Residential</w:t>
            </w:r>
            <w:r>
              <w:rPr>
                <w:spacing w:val="-5"/>
                <w:sz w:val="14"/>
              </w:rPr>
              <w:t> </w:t>
            </w:r>
            <w:r>
              <w:rPr>
                <w:sz w:val="14"/>
              </w:rPr>
              <w:t>Parking</w:t>
            </w:r>
            <w:r>
              <w:rPr>
                <w:spacing w:val="-6"/>
                <w:sz w:val="14"/>
              </w:rPr>
              <w:t> </w:t>
            </w:r>
            <w:r>
              <w:rPr>
                <w:sz w:val="14"/>
              </w:rPr>
              <w:t>Permit</w:t>
            </w:r>
            <w:r>
              <w:rPr>
                <w:spacing w:val="-4"/>
                <w:sz w:val="14"/>
              </w:rPr>
              <w:t> </w:t>
            </w:r>
            <w:r>
              <w:rPr>
                <w:sz w:val="14"/>
              </w:rPr>
              <w:t>-</w:t>
            </w:r>
            <w:r>
              <w:rPr>
                <w:spacing w:val="-2"/>
                <w:sz w:val="14"/>
              </w:rPr>
              <w:t> </w:t>
            </w:r>
            <w:r>
              <w:rPr>
                <w:sz w:val="14"/>
              </w:rPr>
              <w:t>third</w:t>
            </w:r>
            <w:r>
              <w:rPr>
                <w:spacing w:val="-3"/>
                <w:sz w:val="14"/>
              </w:rPr>
              <w:t> </w:t>
            </w:r>
            <w:r>
              <w:rPr>
                <w:sz w:val="14"/>
              </w:rPr>
              <w:t>permit</w:t>
            </w:r>
            <w:r>
              <w:rPr>
                <w:spacing w:val="-3"/>
                <w:sz w:val="14"/>
              </w:rPr>
              <w:t> </w:t>
            </w:r>
            <w:r>
              <w:rPr>
                <w:sz w:val="14"/>
              </w:rPr>
              <w:t>-</w:t>
            </w:r>
            <w:r>
              <w:rPr>
                <w:spacing w:val="-2"/>
                <w:sz w:val="14"/>
              </w:rPr>
              <w:t> </w:t>
            </w:r>
            <w:r>
              <w:rPr>
                <w:sz w:val="14"/>
              </w:rPr>
              <w:t>6</w:t>
            </w:r>
            <w:r>
              <w:rPr>
                <w:spacing w:val="-5"/>
                <w:sz w:val="14"/>
              </w:rPr>
              <w:t> </w:t>
            </w:r>
            <w:r>
              <w:rPr>
                <w:spacing w:val="-2"/>
                <w:sz w:val="14"/>
              </w:rPr>
              <w:t>months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36"/>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36"/>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36"/>
              <w:ind w:right="91"/>
              <w:jc w:val="right"/>
              <w:rPr>
                <w:sz w:val="14"/>
              </w:rPr>
            </w:pPr>
            <w:r>
              <w:rPr>
                <w:spacing w:val="-2"/>
                <w:sz w:val="14"/>
              </w:rPr>
              <w:t>77.00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36"/>
              <w:ind w:right="92"/>
              <w:jc w:val="right"/>
              <w:rPr>
                <w:sz w:val="14"/>
              </w:rPr>
            </w:pPr>
            <w:r>
              <w:rPr>
                <w:spacing w:val="-2"/>
                <w:sz w:val="14"/>
              </w:rPr>
              <w:t>81.00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36"/>
              <w:ind w:left="95" w:right="79"/>
              <w:jc w:val="center"/>
              <w:rPr>
                <w:sz w:val="14"/>
              </w:rPr>
            </w:pPr>
            <w:r>
              <w:rPr>
                <w:spacing w:val="-5"/>
                <w:sz w:val="14"/>
              </w:rPr>
              <w:t>4.9</w:t>
            </w:r>
          </w:p>
        </w:tc>
      </w:tr>
      <w:tr>
        <w:trPr>
          <w:trHeight w:val="193"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34"/>
              <w:ind w:left="107"/>
              <w:rPr>
                <w:sz w:val="14"/>
              </w:rPr>
            </w:pPr>
            <w:r>
              <w:rPr>
                <w:sz w:val="14"/>
              </w:rPr>
              <w:t>Ringwood</w:t>
            </w:r>
            <w:r>
              <w:rPr>
                <w:spacing w:val="-3"/>
                <w:sz w:val="14"/>
              </w:rPr>
              <w:t> </w:t>
            </w:r>
            <w:r>
              <w:rPr>
                <w:sz w:val="14"/>
              </w:rPr>
              <w:t>Activities</w:t>
            </w:r>
            <w:r>
              <w:rPr>
                <w:spacing w:val="-5"/>
                <w:sz w:val="14"/>
              </w:rPr>
              <w:t> </w:t>
            </w:r>
            <w:r>
              <w:rPr>
                <w:sz w:val="14"/>
              </w:rPr>
              <w:t>Area</w:t>
            </w:r>
            <w:r>
              <w:rPr>
                <w:spacing w:val="-2"/>
                <w:sz w:val="14"/>
              </w:rPr>
              <w:t> </w:t>
            </w:r>
            <w:r>
              <w:rPr>
                <w:sz w:val="14"/>
              </w:rPr>
              <w:t>Residential</w:t>
            </w:r>
            <w:r>
              <w:rPr>
                <w:spacing w:val="-4"/>
                <w:sz w:val="14"/>
              </w:rPr>
              <w:t> </w:t>
            </w:r>
            <w:r>
              <w:rPr>
                <w:sz w:val="14"/>
              </w:rPr>
              <w:t>Parking</w:t>
            </w:r>
            <w:r>
              <w:rPr>
                <w:spacing w:val="-6"/>
                <w:sz w:val="14"/>
              </w:rPr>
              <w:t> </w:t>
            </w:r>
            <w:r>
              <w:rPr>
                <w:sz w:val="14"/>
              </w:rPr>
              <w:t>Permit</w:t>
            </w:r>
            <w:r>
              <w:rPr>
                <w:spacing w:val="-5"/>
                <w:sz w:val="14"/>
              </w:rPr>
              <w:t> </w:t>
            </w:r>
            <w:r>
              <w:rPr>
                <w:sz w:val="14"/>
              </w:rPr>
              <w:t>-</w:t>
            </w:r>
            <w:r>
              <w:rPr>
                <w:spacing w:val="-2"/>
                <w:sz w:val="14"/>
              </w:rPr>
              <w:t> </w:t>
            </w:r>
            <w:r>
              <w:rPr>
                <w:sz w:val="14"/>
              </w:rPr>
              <w:t>third</w:t>
            </w:r>
            <w:r>
              <w:rPr>
                <w:spacing w:val="-4"/>
                <w:sz w:val="14"/>
              </w:rPr>
              <w:t> </w:t>
            </w:r>
            <w:r>
              <w:rPr>
                <w:sz w:val="14"/>
              </w:rPr>
              <w:t>permit</w:t>
            </w:r>
            <w:r>
              <w:rPr>
                <w:spacing w:val="-2"/>
                <w:sz w:val="14"/>
              </w:rPr>
              <w:t> </w:t>
            </w:r>
            <w:r>
              <w:rPr>
                <w:sz w:val="14"/>
              </w:rPr>
              <w:t>-</w:t>
            </w:r>
            <w:r>
              <w:rPr>
                <w:spacing w:val="-3"/>
                <w:sz w:val="14"/>
              </w:rPr>
              <w:t> </w:t>
            </w:r>
            <w:r>
              <w:rPr>
                <w:sz w:val="14"/>
              </w:rPr>
              <w:t>12</w:t>
            </w:r>
            <w:r>
              <w:rPr>
                <w:spacing w:val="-5"/>
                <w:sz w:val="14"/>
              </w:rPr>
              <w:t> </w:t>
            </w:r>
            <w:r>
              <w:rPr>
                <w:spacing w:val="-2"/>
                <w:sz w:val="14"/>
              </w:rPr>
              <w:t>months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34"/>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34"/>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34"/>
              <w:ind w:right="91"/>
              <w:jc w:val="right"/>
              <w:rPr>
                <w:sz w:val="14"/>
              </w:rPr>
            </w:pPr>
            <w:r>
              <w:rPr>
                <w:spacing w:val="-2"/>
                <w:sz w:val="14"/>
              </w:rPr>
              <w:t>154.00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34"/>
              <w:ind w:right="93"/>
              <w:jc w:val="right"/>
              <w:rPr>
                <w:sz w:val="14"/>
              </w:rPr>
            </w:pPr>
            <w:r>
              <w:rPr>
                <w:spacing w:val="-2"/>
                <w:sz w:val="14"/>
              </w:rPr>
              <w:t>162.00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34"/>
              <w:ind w:left="95" w:right="79"/>
              <w:jc w:val="center"/>
              <w:rPr>
                <w:sz w:val="14"/>
              </w:rPr>
            </w:pPr>
            <w:r>
              <w:rPr>
                <w:spacing w:val="-5"/>
                <w:sz w:val="14"/>
              </w:rPr>
              <w:t>4.9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Ringwood</w:t>
            </w:r>
            <w:r>
              <w:rPr>
                <w:spacing w:val="-3"/>
                <w:sz w:val="14"/>
              </w:rPr>
              <w:t> </w:t>
            </w:r>
            <w:r>
              <w:rPr>
                <w:sz w:val="14"/>
              </w:rPr>
              <w:t>Activities</w:t>
            </w:r>
            <w:r>
              <w:rPr>
                <w:spacing w:val="-6"/>
                <w:sz w:val="14"/>
              </w:rPr>
              <w:t> </w:t>
            </w:r>
            <w:r>
              <w:rPr>
                <w:sz w:val="14"/>
              </w:rPr>
              <w:t>Area</w:t>
            </w:r>
            <w:r>
              <w:rPr>
                <w:spacing w:val="-6"/>
                <w:sz w:val="14"/>
              </w:rPr>
              <w:t> </w:t>
            </w:r>
            <w:r>
              <w:rPr>
                <w:sz w:val="14"/>
              </w:rPr>
              <w:t>Visitor</w:t>
            </w:r>
            <w:r>
              <w:rPr>
                <w:spacing w:val="-5"/>
                <w:sz w:val="14"/>
              </w:rPr>
              <w:t> </w:t>
            </w:r>
            <w:r>
              <w:rPr>
                <w:sz w:val="14"/>
              </w:rPr>
              <w:t>Parking</w:t>
            </w:r>
            <w:r>
              <w:rPr>
                <w:spacing w:val="-6"/>
                <w:sz w:val="14"/>
              </w:rPr>
              <w:t> </w:t>
            </w:r>
            <w:r>
              <w:rPr>
                <w:spacing w:val="-2"/>
                <w:sz w:val="14"/>
              </w:rPr>
              <w:t>Permit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50.00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53.00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5.7</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Temporary</w:t>
            </w:r>
            <w:r>
              <w:rPr>
                <w:spacing w:val="-5"/>
                <w:sz w:val="14"/>
              </w:rPr>
              <w:t> </w:t>
            </w:r>
            <w:r>
              <w:rPr>
                <w:sz w:val="14"/>
              </w:rPr>
              <w:t>Parking</w:t>
            </w:r>
            <w:r>
              <w:rPr>
                <w:spacing w:val="-5"/>
                <w:sz w:val="14"/>
              </w:rPr>
              <w:t> </w:t>
            </w:r>
            <w:r>
              <w:rPr>
                <w:sz w:val="14"/>
              </w:rPr>
              <w:t>Permit</w:t>
            </w:r>
            <w:r>
              <w:rPr>
                <w:spacing w:val="-4"/>
                <w:sz w:val="14"/>
              </w:rPr>
              <w:t> </w:t>
            </w:r>
            <w:r>
              <w:rPr>
                <w:sz w:val="14"/>
              </w:rPr>
              <w:t>-</w:t>
            </w:r>
            <w:r>
              <w:rPr>
                <w:spacing w:val="-2"/>
                <w:sz w:val="14"/>
              </w:rPr>
              <w:t> </w:t>
            </w:r>
            <w:r>
              <w:rPr>
                <w:sz w:val="14"/>
              </w:rPr>
              <w:t>Category</w:t>
            </w:r>
            <w:r>
              <w:rPr>
                <w:spacing w:val="-1"/>
                <w:sz w:val="14"/>
              </w:rPr>
              <w:t> </w:t>
            </w:r>
            <w:r>
              <w:rPr>
                <w:sz w:val="14"/>
              </w:rPr>
              <w:t>A</w:t>
            </w:r>
            <w:r>
              <w:rPr>
                <w:spacing w:val="-3"/>
                <w:sz w:val="14"/>
              </w:rPr>
              <w:t> </w:t>
            </w:r>
            <w:r>
              <w:rPr>
                <w:sz w:val="14"/>
              </w:rPr>
              <w:t>-</w:t>
            </w:r>
            <w:r>
              <w:rPr>
                <w:spacing w:val="-5"/>
                <w:sz w:val="14"/>
              </w:rPr>
              <w:t> </w:t>
            </w:r>
            <w:r>
              <w:rPr>
                <w:sz w:val="14"/>
              </w:rPr>
              <w:t>Change</w:t>
            </w:r>
            <w:r>
              <w:rPr>
                <w:spacing w:val="-1"/>
                <w:sz w:val="14"/>
              </w:rPr>
              <w:t> </w:t>
            </w:r>
            <w:r>
              <w:rPr>
                <w:sz w:val="14"/>
              </w:rPr>
              <w:t>of</w:t>
            </w:r>
            <w:r>
              <w:rPr>
                <w:spacing w:val="-5"/>
                <w:sz w:val="14"/>
              </w:rPr>
              <w:t> </w:t>
            </w:r>
            <w:r>
              <w:rPr>
                <w:sz w:val="14"/>
              </w:rPr>
              <w:t>circumstances</w:t>
            </w:r>
            <w:r>
              <w:rPr>
                <w:spacing w:val="-2"/>
                <w:sz w:val="14"/>
              </w:rPr>
              <w:t> </w:t>
            </w:r>
            <w:r>
              <w:rPr>
                <w:sz w:val="14"/>
              </w:rPr>
              <w:t>(per</w:t>
            </w:r>
            <w:r>
              <w:rPr>
                <w:spacing w:val="-5"/>
                <w:sz w:val="14"/>
              </w:rPr>
              <w:t> </w:t>
            </w:r>
            <w:r>
              <w:rPr>
                <w:spacing w:val="-2"/>
                <w:sz w:val="14"/>
              </w:rPr>
              <w:t>month)</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15.00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16.00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6.3</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Temporary</w:t>
            </w:r>
            <w:r>
              <w:rPr>
                <w:spacing w:val="-5"/>
                <w:sz w:val="14"/>
              </w:rPr>
              <w:t> </w:t>
            </w:r>
            <w:r>
              <w:rPr>
                <w:sz w:val="14"/>
              </w:rPr>
              <w:t>Parking</w:t>
            </w:r>
            <w:r>
              <w:rPr>
                <w:spacing w:val="-5"/>
                <w:sz w:val="14"/>
              </w:rPr>
              <w:t> </w:t>
            </w:r>
            <w:r>
              <w:rPr>
                <w:sz w:val="14"/>
              </w:rPr>
              <w:t>Permit</w:t>
            </w:r>
            <w:r>
              <w:rPr>
                <w:spacing w:val="-4"/>
                <w:sz w:val="14"/>
              </w:rPr>
              <w:t> </w:t>
            </w:r>
            <w:r>
              <w:rPr>
                <w:sz w:val="14"/>
              </w:rPr>
              <w:t>-</w:t>
            </w:r>
            <w:r>
              <w:rPr>
                <w:spacing w:val="-2"/>
                <w:sz w:val="14"/>
              </w:rPr>
              <w:t> </w:t>
            </w:r>
            <w:r>
              <w:rPr>
                <w:sz w:val="14"/>
              </w:rPr>
              <w:t>Category</w:t>
            </w:r>
            <w:r>
              <w:rPr>
                <w:spacing w:val="-1"/>
                <w:sz w:val="14"/>
              </w:rPr>
              <w:t> </w:t>
            </w:r>
            <w:r>
              <w:rPr>
                <w:sz w:val="14"/>
              </w:rPr>
              <w:t>B</w:t>
            </w:r>
            <w:r>
              <w:rPr>
                <w:spacing w:val="-2"/>
                <w:sz w:val="14"/>
              </w:rPr>
              <w:t> </w:t>
            </w:r>
            <w:r>
              <w:rPr>
                <w:sz w:val="14"/>
              </w:rPr>
              <w:t>-</w:t>
            </w:r>
            <w:r>
              <w:rPr>
                <w:spacing w:val="-5"/>
                <w:sz w:val="14"/>
              </w:rPr>
              <w:t> </w:t>
            </w:r>
            <w:r>
              <w:rPr>
                <w:sz w:val="14"/>
              </w:rPr>
              <w:t>Emergency</w:t>
            </w:r>
            <w:r>
              <w:rPr>
                <w:spacing w:val="-5"/>
                <w:sz w:val="14"/>
              </w:rPr>
              <w:t> </w:t>
            </w:r>
            <w:r>
              <w:rPr>
                <w:sz w:val="14"/>
              </w:rPr>
              <w:t>and</w:t>
            </w:r>
            <w:r>
              <w:rPr>
                <w:spacing w:val="-3"/>
                <w:sz w:val="14"/>
              </w:rPr>
              <w:t> </w:t>
            </w:r>
            <w:r>
              <w:rPr>
                <w:sz w:val="14"/>
              </w:rPr>
              <w:t>essential</w:t>
            </w:r>
            <w:r>
              <w:rPr>
                <w:spacing w:val="-4"/>
                <w:sz w:val="14"/>
              </w:rPr>
              <w:t> </w:t>
            </w:r>
            <w:r>
              <w:rPr>
                <w:spacing w:val="-2"/>
                <w:sz w:val="14"/>
              </w:rPr>
              <w:t>works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27.00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7.4</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Temporary</w:t>
            </w:r>
            <w:r>
              <w:rPr>
                <w:spacing w:val="-5"/>
                <w:sz w:val="14"/>
              </w:rPr>
              <w:t> </w:t>
            </w:r>
            <w:r>
              <w:rPr>
                <w:sz w:val="14"/>
              </w:rPr>
              <w:t>Parking</w:t>
            </w:r>
            <w:r>
              <w:rPr>
                <w:spacing w:val="-5"/>
                <w:sz w:val="14"/>
              </w:rPr>
              <w:t> </w:t>
            </w:r>
            <w:r>
              <w:rPr>
                <w:sz w:val="14"/>
              </w:rPr>
              <w:t>Permit</w:t>
            </w:r>
            <w:r>
              <w:rPr>
                <w:spacing w:val="-4"/>
                <w:sz w:val="14"/>
              </w:rPr>
              <w:t> </w:t>
            </w:r>
            <w:r>
              <w:rPr>
                <w:sz w:val="14"/>
              </w:rPr>
              <w:t>-</w:t>
            </w:r>
            <w:r>
              <w:rPr>
                <w:spacing w:val="-2"/>
                <w:sz w:val="14"/>
              </w:rPr>
              <w:t> </w:t>
            </w:r>
            <w:r>
              <w:rPr>
                <w:sz w:val="14"/>
              </w:rPr>
              <w:t>Category</w:t>
            </w:r>
            <w:r>
              <w:rPr>
                <w:spacing w:val="-1"/>
                <w:sz w:val="14"/>
              </w:rPr>
              <w:t> </w:t>
            </w:r>
            <w:r>
              <w:rPr>
                <w:sz w:val="14"/>
              </w:rPr>
              <w:t>C</w:t>
            </w:r>
            <w:r>
              <w:rPr>
                <w:spacing w:val="-3"/>
                <w:sz w:val="14"/>
              </w:rPr>
              <w:t> </w:t>
            </w:r>
            <w:r>
              <w:rPr>
                <w:sz w:val="14"/>
              </w:rPr>
              <w:t>-</w:t>
            </w:r>
            <w:r>
              <w:rPr>
                <w:spacing w:val="-4"/>
                <w:sz w:val="14"/>
              </w:rPr>
              <w:t> </w:t>
            </w:r>
            <w:r>
              <w:rPr>
                <w:sz w:val="14"/>
              </w:rPr>
              <w:t>Special</w:t>
            </w:r>
            <w:r>
              <w:rPr>
                <w:spacing w:val="-1"/>
                <w:sz w:val="14"/>
              </w:rPr>
              <w:t> </w:t>
            </w:r>
            <w:r>
              <w:rPr>
                <w:sz w:val="14"/>
              </w:rPr>
              <w:t>consideration</w:t>
            </w:r>
            <w:r>
              <w:rPr>
                <w:spacing w:val="-6"/>
                <w:sz w:val="14"/>
              </w:rPr>
              <w:t> </w:t>
            </w:r>
            <w:r>
              <w:rPr>
                <w:sz w:val="14"/>
              </w:rPr>
              <w:t>(12</w:t>
            </w:r>
            <w:r>
              <w:rPr>
                <w:spacing w:val="-5"/>
                <w:sz w:val="14"/>
              </w:rPr>
              <w:t> </w:t>
            </w:r>
            <w:r>
              <w:rPr>
                <w:spacing w:val="-2"/>
                <w:sz w:val="14"/>
              </w:rPr>
              <w:t>months)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275.00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289.00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4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6"/>
              </w:rPr>
            </w:pPr>
          </w:p>
          <w:p>
            <w:pPr>
              <w:pStyle w:val="TableParagraph"/>
              <w:spacing w:line="140" w:lineRule="exact" w:before="138"/>
              <w:ind w:left="107"/>
              <w:rPr>
                <w:sz w:val="14"/>
              </w:rPr>
            </w:pPr>
            <w:r>
              <w:rPr>
                <w:sz w:val="14"/>
              </w:rPr>
              <w:t>Heavy</w:t>
            </w:r>
            <w:r>
              <w:rPr>
                <w:spacing w:val="-3"/>
                <w:sz w:val="14"/>
              </w:rPr>
              <w:t> </w:t>
            </w:r>
            <w:r>
              <w:rPr>
                <w:sz w:val="14"/>
              </w:rPr>
              <w:t>Haulage</w:t>
            </w:r>
            <w:r>
              <w:rPr>
                <w:spacing w:val="-6"/>
                <w:sz w:val="14"/>
              </w:rPr>
              <w:t> </w:t>
            </w:r>
            <w:r>
              <w:rPr>
                <w:sz w:val="14"/>
              </w:rPr>
              <w:t>Tow</w:t>
            </w:r>
            <w:r>
              <w:rPr>
                <w:spacing w:val="-2"/>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line="140" w:lineRule="exact" w:before="138"/>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line="140" w:lineRule="exact" w:before="138"/>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182" w:right="159" w:hanging="3"/>
              <w:jc w:val="center"/>
              <w:rPr>
                <w:sz w:val="14"/>
              </w:rPr>
            </w:pPr>
            <w:r>
              <w:rPr>
                <w:spacing w:val="-4"/>
                <w:sz w:val="14"/>
              </w:rPr>
              <w:t>per</w:t>
            </w:r>
            <w:r>
              <w:rPr>
                <w:spacing w:val="40"/>
                <w:sz w:val="14"/>
              </w:rPr>
              <w:t> </w:t>
            </w:r>
            <w:r>
              <w:rPr>
                <w:spacing w:val="-2"/>
                <w:sz w:val="14"/>
              </w:rPr>
              <w:t>contractor</w:t>
            </w:r>
            <w:r>
              <w:rPr>
                <w:spacing w:val="40"/>
                <w:sz w:val="14"/>
              </w:rPr>
              <w:t> </w:t>
            </w:r>
            <w:r>
              <w:rPr>
                <w:spacing w:val="-4"/>
                <w:sz w:val="14"/>
              </w:rPr>
              <w:t>fee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41"/>
              <w:ind w:left="507" w:right="142" w:hanging="334"/>
              <w:rPr>
                <w:sz w:val="14"/>
              </w:rPr>
            </w:pPr>
            <w:r>
              <w:rPr>
                <w:sz w:val="14"/>
              </w:rPr>
              <w:t>per</w:t>
            </w:r>
            <w:r>
              <w:rPr>
                <w:spacing w:val="-10"/>
                <w:sz w:val="14"/>
              </w:rPr>
              <w:t> </w:t>
            </w:r>
            <w:r>
              <w:rPr>
                <w:sz w:val="14"/>
              </w:rPr>
              <w:t>contractor</w:t>
            </w:r>
            <w:r>
              <w:rPr>
                <w:spacing w:val="40"/>
                <w:sz w:val="14"/>
              </w:rPr>
              <w:t> </w:t>
            </w:r>
            <w:r>
              <w:rPr>
                <w:spacing w:val="-4"/>
                <w:sz w:val="14"/>
              </w:rPr>
              <w:t>fee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8"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8"/>
              <w:ind w:left="107"/>
              <w:rPr>
                <w:sz w:val="14"/>
              </w:rPr>
            </w:pPr>
            <w:r>
              <w:rPr>
                <w:sz w:val="14"/>
              </w:rPr>
              <w:t>Tradespersons</w:t>
            </w:r>
            <w:r>
              <w:rPr>
                <w:spacing w:val="-5"/>
                <w:sz w:val="14"/>
              </w:rPr>
              <w:t> </w:t>
            </w:r>
            <w:r>
              <w:rPr>
                <w:sz w:val="14"/>
              </w:rPr>
              <w:t>Parking</w:t>
            </w:r>
            <w:r>
              <w:rPr>
                <w:spacing w:val="-5"/>
                <w:sz w:val="14"/>
              </w:rPr>
              <w:t> </w:t>
            </w:r>
            <w:r>
              <w:rPr>
                <w:sz w:val="14"/>
              </w:rPr>
              <w:t>Permit</w:t>
            </w:r>
            <w:r>
              <w:rPr>
                <w:spacing w:val="-3"/>
                <w:sz w:val="14"/>
              </w:rPr>
              <w:t> </w:t>
            </w:r>
            <w:r>
              <w:rPr>
                <w:sz w:val="14"/>
              </w:rPr>
              <w:t>-</w:t>
            </w:r>
            <w:r>
              <w:rPr>
                <w:spacing w:val="-6"/>
                <w:sz w:val="14"/>
              </w:rPr>
              <w:t> </w:t>
            </w:r>
            <w:r>
              <w:rPr>
                <w:sz w:val="14"/>
              </w:rPr>
              <w:t>per</w:t>
            </w:r>
            <w:r>
              <w:rPr>
                <w:spacing w:val="-5"/>
                <w:sz w:val="14"/>
              </w:rPr>
              <w:t> </w:t>
            </w:r>
            <w:r>
              <w:rPr>
                <w:sz w:val="14"/>
              </w:rPr>
              <w:t>week/per</w:t>
            </w:r>
            <w:r>
              <w:rPr>
                <w:spacing w:val="-3"/>
                <w:sz w:val="14"/>
              </w:rPr>
              <w:t> </w:t>
            </w:r>
            <w:r>
              <w:rPr>
                <w:spacing w:val="-2"/>
                <w:sz w:val="14"/>
              </w:rPr>
              <w:t>vehicle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8"/>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8"/>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8"/>
              <w:ind w:right="91"/>
              <w:jc w:val="right"/>
              <w:rPr>
                <w:sz w:val="14"/>
              </w:rPr>
            </w:pPr>
            <w:r>
              <w:rPr>
                <w:spacing w:val="-2"/>
                <w:sz w:val="14"/>
              </w:rPr>
              <w:t>22.00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8"/>
              <w:ind w:right="92"/>
              <w:jc w:val="right"/>
              <w:rPr>
                <w:sz w:val="14"/>
              </w:rPr>
            </w:pPr>
            <w:r>
              <w:rPr>
                <w:spacing w:val="-2"/>
                <w:sz w:val="14"/>
              </w:rPr>
              <w:t>23.00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8"/>
              <w:ind w:left="95" w:right="79"/>
              <w:jc w:val="center"/>
              <w:rPr>
                <w:sz w:val="14"/>
              </w:rPr>
            </w:pPr>
            <w:r>
              <w:rPr>
                <w:spacing w:val="-5"/>
                <w:sz w:val="14"/>
              </w:rPr>
              <w:t>4.3</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Tradespersons</w:t>
            </w:r>
            <w:r>
              <w:rPr>
                <w:spacing w:val="-6"/>
                <w:sz w:val="14"/>
              </w:rPr>
              <w:t> </w:t>
            </w:r>
            <w:r>
              <w:rPr>
                <w:sz w:val="14"/>
              </w:rPr>
              <w:t>Parking</w:t>
            </w:r>
            <w:r>
              <w:rPr>
                <w:spacing w:val="-5"/>
                <w:sz w:val="14"/>
              </w:rPr>
              <w:t> </w:t>
            </w:r>
            <w:r>
              <w:rPr>
                <w:sz w:val="14"/>
              </w:rPr>
              <w:t>Permit</w:t>
            </w:r>
            <w:r>
              <w:rPr>
                <w:spacing w:val="-4"/>
                <w:sz w:val="14"/>
              </w:rPr>
              <w:t> </w:t>
            </w:r>
            <w:r>
              <w:rPr>
                <w:sz w:val="14"/>
              </w:rPr>
              <w:t>-</w:t>
            </w:r>
            <w:r>
              <w:rPr>
                <w:spacing w:val="-6"/>
                <w:sz w:val="14"/>
              </w:rPr>
              <w:t> </w:t>
            </w:r>
            <w:r>
              <w:rPr>
                <w:sz w:val="14"/>
              </w:rPr>
              <w:t>additional</w:t>
            </w:r>
            <w:r>
              <w:rPr>
                <w:spacing w:val="-3"/>
                <w:sz w:val="14"/>
              </w:rPr>
              <w:t> </w:t>
            </w:r>
            <w:r>
              <w:rPr>
                <w:sz w:val="14"/>
              </w:rPr>
              <w:t>permits</w:t>
            </w:r>
            <w:r>
              <w:rPr>
                <w:spacing w:val="-2"/>
                <w:sz w:val="14"/>
              </w:rPr>
              <w:t> </w:t>
            </w:r>
            <w:r>
              <w:rPr>
                <w:sz w:val="14"/>
              </w:rPr>
              <w:t>-</w:t>
            </w:r>
            <w:r>
              <w:rPr>
                <w:spacing w:val="-3"/>
                <w:sz w:val="14"/>
              </w:rPr>
              <w:t> </w:t>
            </w:r>
            <w:r>
              <w:rPr>
                <w:sz w:val="14"/>
              </w:rPr>
              <w:t>per</w:t>
            </w:r>
            <w:r>
              <w:rPr>
                <w:spacing w:val="-4"/>
                <w:sz w:val="14"/>
              </w:rPr>
              <w:t> </w:t>
            </w:r>
            <w:r>
              <w:rPr>
                <w:sz w:val="14"/>
              </w:rPr>
              <w:t>week/per</w:t>
            </w:r>
            <w:r>
              <w:rPr>
                <w:spacing w:val="-4"/>
                <w:sz w:val="14"/>
              </w:rPr>
              <w:t> </w:t>
            </w:r>
            <w:r>
              <w:rPr>
                <w:spacing w:val="-2"/>
                <w:sz w:val="14"/>
              </w:rPr>
              <w:t>vehicle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32.00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34.00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5.9</w:t>
            </w:r>
          </w:p>
        </w:tc>
      </w:tr>
      <w:tr>
        <w:trPr>
          <w:trHeight w:val="32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4"/>
              </w:rPr>
            </w:pPr>
          </w:p>
          <w:p>
            <w:pPr>
              <w:pStyle w:val="TableParagraph"/>
              <w:spacing w:line="140" w:lineRule="exact"/>
              <w:ind w:left="107"/>
              <w:rPr>
                <w:sz w:val="14"/>
              </w:rPr>
            </w:pPr>
            <w:r>
              <w:rPr>
                <w:sz w:val="14"/>
              </w:rPr>
              <w:t>Ringwood</w:t>
            </w:r>
            <w:r>
              <w:rPr>
                <w:spacing w:val="-3"/>
                <w:sz w:val="14"/>
              </w:rPr>
              <w:t> </w:t>
            </w:r>
            <w:r>
              <w:rPr>
                <w:sz w:val="14"/>
              </w:rPr>
              <w:t>Activity</w:t>
            </w:r>
            <w:r>
              <w:rPr>
                <w:spacing w:val="-2"/>
                <w:sz w:val="14"/>
              </w:rPr>
              <w:t> </w:t>
            </w:r>
            <w:r>
              <w:rPr>
                <w:sz w:val="14"/>
              </w:rPr>
              <w:t>Centre</w:t>
            </w:r>
            <w:r>
              <w:rPr>
                <w:spacing w:val="-7"/>
                <w:sz w:val="14"/>
              </w:rPr>
              <w:t> </w:t>
            </w:r>
            <w:r>
              <w:rPr>
                <w:sz w:val="14"/>
              </w:rPr>
              <w:t>short</w:t>
            </w:r>
            <w:r>
              <w:rPr>
                <w:spacing w:val="-6"/>
                <w:sz w:val="14"/>
              </w:rPr>
              <w:t> </w:t>
            </w:r>
            <w:r>
              <w:rPr>
                <w:sz w:val="14"/>
              </w:rPr>
              <w:t>term</w:t>
            </w:r>
            <w:r>
              <w:rPr>
                <w:spacing w:val="-4"/>
                <w:sz w:val="14"/>
              </w:rPr>
              <w:t> </w:t>
            </w:r>
            <w:r>
              <w:rPr>
                <w:spacing w:val="-2"/>
                <w:sz w:val="14"/>
              </w:rPr>
              <w:t>parking</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ind w:left="436"/>
              <w:rPr>
                <w:sz w:val="14"/>
              </w:rPr>
            </w:pPr>
            <w:r>
              <w:rPr>
                <w:sz w:val="14"/>
              </w:rPr>
              <w:t>$1.00</w:t>
            </w:r>
            <w:r>
              <w:rPr>
                <w:spacing w:val="-4"/>
                <w:sz w:val="14"/>
              </w:rPr>
              <w:t> </w:t>
            </w:r>
            <w:r>
              <w:rPr>
                <w:spacing w:val="-10"/>
                <w:sz w:val="14"/>
              </w:rPr>
              <w:t>-</w:t>
            </w:r>
          </w:p>
          <w:p>
            <w:pPr>
              <w:pStyle w:val="TableParagraph"/>
              <w:spacing w:line="140" w:lineRule="exact"/>
              <w:ind w:left="444"/>
              <w:rPr>
                <w:sz w:val="14"/>
              </w:rPr>
            </w:pPr>
            <w:r>
              <w:rPr>
                <w:spacing w:val="-2"/>
                <w:sz w:val="14"/>
              </w:rPr>
              <w:t>$12.00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0" w:lineRule="exact"/>
              <w:ind w:right="92"/>
              <w:jc w:val="right"/>
              <w:rPr>
                <w:sz w:val="14"/>
              </w:rPr>
            </w:pPr>
            <w:r>
              <w:rPr>
                <w:sz w:val="14"/>
              </w:rPr>
              <w:t>$1.00</w:t>
            </w:r>
            <w:r>
              <w:rPr>
                <w:spacing w:val="-2"/>
                <w:sz w:val="14"/>
              </w:rPr>
              <w:t> </w:t>
            </w:r>
            <w:r>
              <w:rPr>
                <w:sz w:val="14"/>
              </w:rPr>
              <w:t>-</w:t>
            </w:r>
            <w:r>
              <w:rPr>
                <w:spacing w:val="-3"/>
                <w:sz w:val="14"/>
              </w:rPr>
              <w:t> </w:t>
            </w:r>
            <w:r>
              <w:rPr>
                <w:spacing w:val="-2"/>
                <w:sz w:val="14"/>
              </w:rPr>
              <w:t>$6.00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Activity</w:t>
            </w:r>
            <w:r>
              <w:rPr>
                <w:b/>
                <w:spacing w:val="-6"/>
                <w:sz w:val="14"/>
              </w:rPr>
              <w:t> </w:t>
            </w:r>
            <w:r>
              <w:rPr>
                <w:b/>
                <w:sz w:val="14"/>
              </w:rPr>
              <w:t>Centre</w:t>
            </w:r>
            <w:r>
              <w:rPr>
                <w:b/>
                <w:spacing w:val="-5"/>
                <w:sz w:val="14"/>
              </w:rPr>
              <w:t> </w:t>
            </w:r>
            <w:r>
              <w:rPr>
                <w:b/>
                <w:sz w:val="14"/>
              </w:rPr>
              <w:t>Reserved</w:t>
            </w:r>
            <w:r>
              <w:rPr>
                <w:b/>
                <w:spacing w:val="-4"/>
                <w:sz w:val="14"/>
              </w:rPr>
              <w:t> </w:t>
            </w:r>
            <w:r>
              <w:rPr>
                <w:b/>
                <w:spacing w:val="-2"/>
                <w:sz w:val="14"/>
              </w:rPr>
              <w:t>Parking</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Croydon</w:t>
            </w:r>
            <w:r>
              <w:rPr>
                <w:spacing w:val="-6"/>
                <w:sz w:val="14"/>
              </w:rPr>
              <w:t> </w:t>
            </w:r>
            <w:r>
              <w:rPr>
                <w:sz w:val="14"/>
              </w:rPr>
              <w:t>Activity</w:t>
            </w:r>
            <w:r>
              <w:rPr>
                <w:spacing w:val="-1"/>
                <w:sz w:val="14"/>
              </w:rPr>
              <w:t> </w:t>
            </w:r>
            <w:r>
              <w:rPr>
                <w:sz w:val="14"/>
              </w:rPr>
              <w:t>Centre</w:t>
            </w:r>
            <w:r>
              <w:rPr>
                <w:spacing w:val="-4"/>
                <w:sz w:val="14"/>
              </w:rPr>
              <w:t> </w:t>
            </w:r>
            <w:r>
              <w:rPr>
                <w:sz w:val="14"/>
              </w:rPr>
              <w:t>Car</w:t>
            </w:r>
            <w:r>
              <w:rPr>
                <w:spacing w:val="-5"/>
                <w:sz w:val="14"/>
              </w:rPr>
              <w:t> </w:t>
            </w:r>
            <w:r>
              <w:rPr>
                <w:sz w:val="14"/>
              </w:rPr>
              <w:t>Park</w:t>
            </w:r>
            <w:r>
              <w:rPr>
                <w:spacing w:val="-4"/>
                <w:sz w:val="14"/>
              </w:rPr>
              <w:t> </w:t>
            </w:r>
            <w:r>
              <w:rPr>
                <w:sz w:val="14"/>
              </w:rPr>
              <w:t>Reserved</w:t>
            </w:r>
            <w:r>
              <w:rPr>
                <w:spacing w:val="-3"/>
                <w:sz w:val="14"/>
              </w:rPr>
              <w:t> </w:t>
            </w:r>
            <w:r>
              <w:rPr>
                <w:sz w:val="14"/>
              </w:rPr>
              <w:t>Parking</w:t>
            </w:r>
            <w:r>
              <w:rPr>
                <w:spacing w:val="-3"/>
                <w:sz w:val="14"/>
              </w:rPr>
              <w:t> </w:t>
            </w:r>
            <w:r>
              <w:rPr>
                <w:sz w:val="14"/>
              </w:rPr>
              <w:t>Bay</w:t>
            </w:r>
            <w:r>
              <w:rPr>
                <w:spacing w:val="-5"/>
                <w:sz w:val="14"/>
              </w:rPr>
              <w:t> </w:t>
            </w:r>
            <w:r>
              <w:rPr>
                <w:sz w:val="14"/>
              </w:rPr>
              <w:t>Scheme</w:t>
            </w:r>
            <w:r>
              <w:rPr>
                <w:spacing w:val="-3"/>
                <w:sz w:val="14"/>
              </w:rPr>
              <w:t> </w:t>
            </w:r>
            <w:r>
              <w:rPr>
                <w:sz w:val="14"/>
              </w:rPr>
              <w:t>-</w:t>
            </w:r>
            <w:r>
              <w:rPr>
                <w:spacing w:val="-2"/>
                <w:sz w:val="14"/>
              </w:rPr>
              <w:t> </w:t>
            </w:r>
            <w:r>
              <w:rPr>
                <w:sz w:val="14"/>
              </w:rPr>
              <w:t>12</w:t>
            </w:r>
            <w:r>
              <w:rPr>
                <w:spacing w:val="-1"/>
                <w:sz w:val="14"/>
              </w:rPr>
              <w:t> </w:t>
            </w:r>
            <w:r>
              <w:rPr>
                <w:spacing w:val="-2"/>
                <w:sz w:val="14"/>
              </w:rPr>
              <w:t>Months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1,342.00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Croydon</w:t>
            </w:r>
            <w:r>
              <w:rPr>
                <w:spacing w:val="-6"/>
                <w:sz w:val="14"/>
              </w:rPr>
              <w:t> </w:t>
            </w:r>
            <w:r>
              <w:rPr>
                <w:sz w:val="14"/>
              </w:rPr>
              <w:t>Activity</w:t>
            </w:r>
            <w:r>
              <w:rPr>
                <w:spacing w:val="-1"/>
                <w:sz w:val="14"/>
              </w:rPr>
              <w:t> </w:t>
            </w:r>
            <w:r>
              <w:rPr>
                <w:sz w:val="14"/>
              </w:rPr>
              <w:t>Centre</w:t>
            </w:r>
            <w:r>
              <w:rPr>
                <w:spacing w:val="-4"/>
                <w:sz w:val="14"/>
              </w:rPr>
              <w:t> </w:t>
            </w:r>
            <w:r>
              <w:rPr>
                <w:sz w:val="14"/>
              </w:rPr>
              <w:t>Car</w:t>
            </w:r>
            <w:r>
              <w:rPr>
                <w:spacing w:val="-4"/>
                <w:sz w:val="14"/>
              </w:rPr>
              <w:t> </w:t>
            </w:r>
            <w:r>
              <w:rPr>
                <w:sz w:val="14"/>
              </w:rPr>
              <w:t>Park</w:t>
            </w:r>
            <w:r>
              <w:rPr>
                <w:spacing w:val="-5"/>
                <w:sz w:val="14"/>
              </w:rPr>
              <w:t> </w:t>
            </w:r>
            <w:r>
              <w:rPr>
                <w:sz w:val="14"/>
              </w:rPr>
              <w:t>Reserved</w:t>
            </w:r>
            <w:r>
              <w:rPr>
                <w:spacing w:val="-2"/>
                <w:sz w:val="14"/>
              </w:rPr>
              <w:t> </w:t>
            </w:r>
            <w:r>
              <w:rPr>
                <w:sz w:val="14"/>
              </w:rPr>
              <w:t>Parking</w:t>
            </w:r>
            <w:r>
              <w:rPr>
                <w:spacing w:val="-3"/>
                <w:sz w:val="14"/>
              </w:rPr>
              <w:t> </w:t>
            </w:r>
            <w:r>
              <w:rPr>
                <w:sz w:val="14"/>
              </w:rPr>
              <w:t>Bay</w:t>
            </w:r>
            <w:r>
              <w:rPr>
                <w:spacing w:val="-5"/>
                <w:sz w:val="14"/>
              </w:rPr>
              <w:t> </w:t>
            </w:r>
            <w:r>
              <w:rPr>
                <w:sz w:val="14"/>
              </w:rPr>
              <w:t>Scheme</w:t>
            </w:r>
            <w:r>
              <w:rPr>
                <w:spacing w:val="-3"/>
                <w:sz w:val="14"/>
              </w:rPr>
              <w:t> </w:t>
            </w:r>
            <w:r>
              <w:rPr>
                <w:sz w:val="14"/>
              </w:rPr>
              <w:t>-</w:t>
            </w:r>
            <w:r>
              <w:rPr>
                <w:spacing w:val="-1"/>
                <w:sz w:val="14"/>
              </w:rPr>
              <w:t> </w:t>
            </w:r>
            <w:r>
              <w:rPr>
                <w:sz w:val="14"/>
              </w:rPr>
              <w:t>6</w:t>
            </w:r>
            <w:r>
              <w:rPr>
                <w:spacing w:val="-3"/>
                <w:sz w:val="14"/>
              </w:rPr>
              <w:t> </w:t>
            </w:r>
            <w:r>
              <w:rPr>
                <w:spacing w:val="-2"/>
                <w:sz w:val="14"/>
              </w:rPr>
              <w:t>Months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671.00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Croydon</w:t>
            </w:r>
            <w:r>
              <w:rPr>
                <w:spacing w:val="-6"/>
                <w:sz w:val="14"/>
              </w:rPr>
              <w:t> </w:t>
            </w:r>
            <w:r>
              <w:rPr>
                <w:sz w:val="14"/>
              </w:rPr>
              <w:t>Activity</w:t>
            </w:r>
            <w:r>
              <w:rPr>
                <w:spacing w:val="-1"/>
                <w:sz w:val="14"/>
              </w:rPr>
              <w:t> </w:t>
            </w:r>
            <w:r>
              <w:rPr>
                <w:sz w:val="14"/>
              </w:rPr>
              <w:t>Centre</w:t>
            </w:r>
            <w:r>
              <w:rPr>
                <w:spacing w:val="-4"/>
                <w:sz w:val="14"/>
              </w:rPr>
              <w:t> </w:t>
            </w:r>
            <w:r>
              <w:rPr>
                <w:sz w:val="14"/>
              </w:rPr>
              <w:t>Car</w:t>
            </w:r>
            <w:r>
              <w:rPr>
                <w:spacing w:val="-4"/>
                <w:sz w:val="14"/>
              </w:rPr>
              <w:t> </w:t>
            </w:r>
            <w:r>
              <w:rPr>
                <w:sz w:val="14"/>
              </w:rPr>
              <w:t>Park</w:t>
            </w:r>
            <w:r>
              <w:rPr>
                <w:spacing w:val="-5"/>
                <w:sz w:val="14"/>
              </w:rPr>
              <w:t> </w:t>
            </w:r>
            <w:r>
              <w:rPr>
                <w:sz w:val="14"/>
              </w:rPr>
              <w:t>Reserved</w:t>
            </w:r>
            <w:r>
              <w:rPr>
                <w:spacing w:val="-2"/>
                <w:sz w:val="14"/>
              </w:rPr>
              <w:t> </w:t>
            </w:r>
            <w:r>
              <w:rPr>
                <w:sz w:val="14"/>
              </w:rPr>
              <w:t>Parking</w:t>
            </w:r>
            <w:r>
              <w:rPr>
                <w:spacing w:val="-3"/>
                <w:sz w:val="14"/>
              </w:rPr>
              <w:t> </w:t>
            </w:r>
            <w:r>
              <w:rPr>
                <w:sz w:val="14"/>
              </w:rPr>
              <w:t>Bay</w:t>
            </w:r>
            <w:r>
              <w:rPr>
                <w:spacing w:val="-5"/>
                <w:sz w:val="14"/>
              </w:rPr>
              <w:t> </w:t>
            </w:r>
            <w:r>
              <w:rPr>
                <w:sz w:val="14"/>
              </w:rPr>
              <w:t>Scheme</w:t>
            </w:r>
            <w:r>
              <w:rPr>
                <w:spacing w:val="-3"/>
                <w:sz w:val="14"/>
              </w:rPr>
              <w:t> </w:t>
            </w:r>
            <w:r>
              <w:rPr>
                <w:sz w:val="14"/>
              </w:rPr>
              <w:t>-</w:t>
            </w:r>
            <w:r>
              <w:rPr>
                <w:spacing w:val="-1"/>
                <w:sz w:val="14"/>
              </w:rPr>
              <w:t> </w:t>
            </w:r>
            <w:r>
              <w:rPr>
                <w:sz w:val="14"/>
              </w:rPr>
              <w:t>1</w:t>
            </w:r>
            <w:r>
              <w:rPr>
                <w:spacing w:val="-3"/>
                <w:sz w:val="14"/>
              </w:rPr>
              <w:t> </w:t>
            </w:r>
            <w:r>
              <w:rPr>
                <w:spacing w:val="-4"/>
                <w:sz w:val="14"/>
              </w:rPr>
              <w:t>Month</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140.00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4"/>
                <w:sz w:val="14"/>
              </w:rPr>
              <w:t>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Croydon</w:t>
            </w:r>
            <w:r>
              <w:rPr>
                <w:spacing w:val="-6"/>
                <w:sz w:val="14"/>
              </w:rPr>
              <w:t> </w:t>
            </w:r>
            <w:r>
              <w:rPr>
                <w:sz w:val="14"/>
              </w:rPr>
              <w:t>Activity</w:t>
            </w:r>
            <w:r>
              <w:rPr>
                <w:spacing w:val="-1"/>
                <w:sz w:val="14"/>
              </w:rPr>
              <w:t> </w:t>
            </w:r>
            <w:r>
              <w:rPr>
                <w:sz w:val="14"/>
              </w:rPr>
              <w:t>Centre</w:t>
            </w:r>
            <w:r>
              <w:rPr>
                <w:spacing w:val="-4"/>
                <w:sz w:val="14"/>
              </w:rPr>
              <w:t> </w:t>
            </w:r>
            <w:r>
              <w:rPr>
                <w:sz w:val="14"/>
              </w:rPr>
              <w:t>Car</w:t>
            </w:r>
            <w:r>
              <w:rPr>
                <w:spacing w:val="-4"/>
                <w:sz w:val="14"/>
              </w:rPr>
              <w:t> </w:t>
            </w:r>
            <w:r>
              <w:rPr>
                <w:sz w:val="14"/>
              </w:rPr>
              <w:t>Park</w:t>
            </w:r>
            <w:r>
              <w:rPr>
                <w:spacing w:val="-2"/>
                <w:sz w:val="14"/>
              </w:rPr>
              <w:t> </w:t>
            </w:r>
            <w:r>
              <w:rPr>
                <w:sz w:val="14"/>
              </w:rPr>
              <w:t>-</w:t>
            </w:r>
            <w:r>
              <w:rPr>
                <w:spacing w:val="-4"/>
                <w:sz w:val="14"/>
              </w:rPr>
              <w:t> </w:t>
            </w:r>
            <w:r>
              <w:rPr>
                <w:sz w:val="14"/>
              </w:rPr>
              <w:t>Access</w:t>
            </w:r>
            <w:r>
              <w:rPr>
                <w:spacing w:val="-4"/>
                <w:sz w:val="14"/>
              </w:rPr>
              <w:t> </w:t>
            </w:r>
            <w:r>
              <w:rPr>
                <w:sz w:val="14"/>
              </w:rPr>
              <w:t>Card</w:t>
            </w:r>
            <w:r>
              <w:rPr>
                <w:spacing w:val="-4"/>
                <w:sz w:val="14"/>
              </w:rPr>
              <w:t> </w:t>
            </w:r>
            <w:r>
              <w:rPr>
                <w:sz w:val="14"/>
              </w:rPr>
              <w:t>&amp;</w:t>
            </w:r>
            <w:r>
              <w:rPr>
                <w:spacing w:val="-3"/>
                <w:sz w:val="14"/>
              </w:rPr>
              <w:t> </w:t>
            </w:r>
            <w:r>
              <w:rPr>
                <w:sz w:val="14"/>
              </w:rPr>
              <w:t>Remote </w:t>
            </w:r>
            <w:r>
              <w:rPr>
                <w:spacing w:val="-4"/>
                <w:sz w:val="14"/>
              </w:rPr>
              <w:t>(New)</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46.00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48.00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4.2</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Croydon</w:t>
            </w:r>
            <w:r>
              <w:rPr>
                <w:spacing w:val="-6"/>
                <w:sz w:val="14"/>
              </w:rPr>
              <w:t> </w:t>
            </w:r>
            <w:r>
              <w:rPr>
                <w:sz w:val="14"/>
              </w:rPr>
              <w:t>Activity</w:t>
            </w:r>
            <w:r>
              <w:rPr>
                <w:spacing w:val="-1"/>
                <w:sz w:val="14"/>
              </w:rPr>
              <w:t> </w:t>
            </w:r>
            <w:r>
              <w:rPr>
                <w:sz w:val="14"/>
              </w:rPr>
              <w:t>Centre</w:t>
            </w:r>
            <w:r>
              <w:rPr>
                <w:spacing w:val="-4"/>
                <w:sz w:val="14"/>
              </w:rPr>
              <w:t> </w:t>
            </w:r>
            <w:r>
              <w:rPr>
                <w:sz w:val="14"/>
              </w:rPr>
              <w:t>Car</w:t>
            </w:r>
            <w:r>
              <w:rPr>
                <w:spacing w:val="-4"/>
                <w:sz w:val="14"/>
              </w:rPr>
              <w:t> </w:t>
            </w:r>
            <w:r>
              <w:rPr>
                <w:sz w:val="14"/>
              </w:rPr>
              <w:t>Park</w:t>
            </w:r>
            <w:r>
              <w:rPr>
                <w:spacing w:val="-2"/>
                <w:sz w:val="14"/>
              </w:rPr>
              <w:t> </w:t>
            </w:r>
            <w:r>
              <w:rPr>
                <w:sz w:val="14"/>
              </w:rPr>
              <w:t>-</w:t>
            </w:r>
            <w:r>
              <w:rPr>
                <w:spacing w:val="-5"/>
                <w:sz w:val="14"/>
              </w:rPr>
              <w:t> </w:t>
            </w:r>
            <w:r>
              <w:rPr>
                <w:sz w:val="14"/>
              </w:rPr>
              <w:t>Access</w:t>
            </w:r>
            <w:r>
              <w:rPr>
                <w:spacing w:val="-4"/>
                <w:sz w:val="14"/>
              </w:rPr>
              <w:t> </w:t>
            </w:r>
            <w:r>
              <w:rPr>
                <w:sz w:val="14"/>
              </w:rPr>
              <w:t>Card</w:t>
            </w:r>
            <w:r>
              <w:rPr>
                <w:spacing w:val="-3"/>
                <w:sz w:val="14"/>
              </w:rPr>
              <w:t> </w:t>
            </w:r>
            <w:r>
              <w:rPr>
                <w:spacing w:val="-2"/>
                <w:sz w:val="14"/>
              </w:rPr>
              <w:t>Replacement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24.00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Croydon</w:t>
            </w:r>
            <w:r>
              <w:rPr>
                <w:spacing w:val="-6"/>
                <w:sz w:val="14"/>
              </w:rPr>
              <w:t> </w:t>
            </w:r>
            <w:r>
              <w:rPr>
                <w:sz w:val="14"/>
              </w:rPr>
              <w:t>Activity</w:t>
            </w:r>
            <w:r>
              <w:rPr>
                <w:spacing w:val="-2"/>
                <w:sz w:val="14"/>
              </w:rPr>
              <w:t> </w:t>
            </w:r>
            <w:r>
              <w:rPr>
                <w:sz w:val="14"/>
              </w:rPr>
              <w:t>Centre</w:t>
            </w:r>
            <w:r>
              <w:rPr>
                <w:spacing w:val="-3"/>
                <w:sz w:val="14"/>
              </w:rPr>
              <w:t> </w:t>
            </w:r>
            <w:r>
              <w:rPr>
                <w:sz w:val="14"/>
              </w:rPr>
              <w:t>Car</w:t>
            </w:r>
            <w:r>
              <w:rPr>
                <w:spacing w:val="-5"/>
                <w:sz w:val="14"/>
              </w:rPr>
              <w:t> </w:t>
            </w:r>
            <w:r>
              <w:rPr>
                <w:sz w:val="14"/>
              </w:rPr>
              <w:t>Park</w:t>
            </w:r>
            <w:r>
              <w:rPr>
                <w:spacing w:val="-3"/>
                <w:sz w:val="14"/>
              </w:rPr>
              <w:t> </w:t>
            </w:r>
            <w:r>
              <w:rPr>
                <w:sz w:val="14"/>
              </w:rPr>
              <w:t>-</w:t>
            </w:r>
            <w:r>
              <w:rPr>
                <w:spacing w:val="-4"/>
                <w:sz w:val="14"/>
              </w:rPr>
              <w:t> </w:t>
            </w:r>
            <w:r>
              <w:rPr>
                <w:sz w:val="14"/>
              </w:rPr>
              <w:t>Access</w:t>
            </w:r>
            <w:r>
              <w:rPr>
                <w:spacing w:val="-4"/>
                <w:sz w:val="14"/>
              </w:rPr>
              <w:t> </w:t>
            </w:r>
            <w:r>
              <w:rPr>
                <w:sz w:val="14"/>
              </w:rPr>
              <w:t>Remote</w:t>
            </w:r>
            <w:r>
              <w:rPr>
                <w:spacing w:val="-3"/>
                <w:sz w:val="14"/>
              </w:rPr>
              <w:t> </w:t>
            </w:r>
            <w:r>
              <w:rPr>
                <w:spacing w:val="-2"/>
                <w:sz w:val="14"/>
              </w:rPr>
              <w:t>Replacement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24.00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w w:val="95"/>
                <w:sz w:val="14"/>
              </w:rPr>
              <w:t>Community</w:t>
            </w:r>
            <w:r>
              <w:rPr>
                <w:b/>
                <w:spacing w:val="29"/>
                <w:sz w:val="14"/>
              </w:rPr>
              <w:t> </w:t>
            </w:r>
            <w:r>
              <w:rPr>
                <w:b/>
                <w:spacing w:val="-2"/>
                <w:sz w:val="14"/>
              </w:rPr>
              <w:t>Health</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Community</w:t>
            </w:r>
            <w:r>
              <w:rPr>
                <w:spacing w:val="-4"/>
                <w:sz w:val="14"/>
              </w:rPr>
              <w:t> </w:t>
            </w:r>
            <w:r>
              <w:rPr>
                <w:sz w:val="14"/>
              </w:rPr>
              <w:t>Health</w:t>
            </w:r>
            <w:r>
              <w:rPr>
                <w:spacing w:val="-4"/>
                <w:sz w:val="14"/>
              </w:rPr>
              <w:t> </w:t>
            </w:r>
            <w:r>
              <w:rPr>
                <w:sz w:val="14"/>
              </w:rPr>
              <w:t>Education</w:t>
            </w:r>
            <w:r>
              <w:rPr>
                <w:spacing w:val="-5"/>
                <w:sz w:val="14"/>
              </w:rPr>
              <w:t> </w:t>
            </w:r>
            <w:r>
              <w:rPr>
                <w:sz w:val="14"/>
              </w:rPr>
              <w:t>Seminar</w:t>
            </w:r>
            <w:r>
              <w:rPr>
                <w:spacing w:val="-2"/>
                <w:sz w:val="14"/>
              </w:rPr>
              <w:t> </w:t>
            </w:r>
            <w:r>
              <w:rPr>
                <w:sz w:val="14"/>
              </w:rPr>
              <w:t>(2</w:t>
            </w:r>
            <w:r>
              <w:rPr>
                <w:spacing w:val="-5"/>
                <w:sz w:val="14"/>
              </w:rPr>
              <w:t> </w:t>
            </w:r>
            <w:r>
              <w:rPr>
                <w:sz w:val="14"/>
              </w:rPr>
              <w:t>Hours)</w:t>
            </w:r>
            <w:r>
              <w:rPr>
                <w:spacing w:val="-2"/>
                <w:sz w:val="14"/>
              </w:rPr>
              <w:t> </w:t>
            </w:r>
            <w:r>
              <w:rPr>
                <w:sz w:val="14"/>
              </w:rPr>
              <w:t>/</w:t>
            </w:r>
            <w:r>
              <w:rPr>
                <w:spacing w:val="-4"/>
                <w:sz w:val="14"/>
              </w:rPr>
              <w:t> </w:t>
            </w:r>
            <w:r>
              <w:rPr>
                <w:sz w:val="14"/>
              </w:rPr>
              <w:t>Min</w:t>
            </w:r>
            <w:r>
              <w:rPr>
                <w:spacing w:val="-5"/>
                <w:sz w:val="14"/>
              </w:rPr>
              <w:t> </w:t>
            </w:r>
            <w:r>
              <w:rPr>
                <w:sz w:val="14"/>
              </w:rPr>
              <w:t>grp</w:t>
            </w:r>
            <w:r>
              <w:rPr>
                <w:spacing w:val="-2"/>
                <w:sz w:val="14"/>
              </w:rPr>
              <w:t> </w:t>
            </w:r>
            <w:r>
              <w:rPr>
                <w:sz w:val="14"/>
              </w:rPr>
              <w:t>10</w:t>
            </w:r>
            <w:r>
              <w:rPr>
                <w:spacing w:val="-3"/>
                <w:sz w:val="14"/>
              </w:rPr>
              <w:t> </w:t>
            </w:r>
            <w:r>
              <w:rPr>
                <w:spacing w:val="-2"/>
                <w:sz w:val="14"/>
              </w:rPr>
              <w:t>people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327.00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343.00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Community</w:t>
            </w:r>
            <w:r>
              <w:rPr>
                <w:spacing w:val="-5"/>
                <w:sz w:val="14"/>
              </w:rPr>
              <w:t> </w:t>
            </w:r>
            <w:r>
              <w:rPr>
                <w:sz w:val="14"/>
              </w:rPr>
              <w:t>Health</w:t>
            </w:r>
            <w:r>
              <w:rPr>
                <w:spacing w:val="-6"/>
                <w:sz w:val="14"/>
              </w:rPr>
              <w:t> </w:t>
            </w:r>
            <w:r>
              <w:rPr>
                <w:sz w:val="14"/>
              </w:rPr>
              <w:t>Education</w:t>
            </w:r>
            <w:r>
              <w:rPr>
                <w:spacing w:val="-7"/>
                <w:sz w:val="14"/>
              </w:rPr>
              <w:t> </w:t>
            </w:r>
            <w:r>
              <w:rPr>
                <w:sz w:val="14"/>
              </w:rPr>
              <w:t>Seminar</w:t>
            </w:r>
            <w:r>
              <w:rPr>
                <w:spacing w:val="-3"/>
                <w:sz w:val="14"/>
              </w:rPr>
              <w:t> </w:t>
            </w:r>
            <w:r>
              <w:rPr>
                <w:sz w:val="14"/>
              </w:rPr>
              <w:t>(per</w:t>
            </w:r>
            <w:r>
              <w:rPr>
                <w:spacing w:val="-6"/>
                <w:sz w:val="14"/>
              </w:rPr>
              <w:t> </w:t>
            </w:r>
            <w:r>
              <w:rPr>
                <w:sz w:val="14"/>
              </w:rPr>
              <w:t>person</w:t>
            </w:r>
            <w:r>
              <w:rPr>
                <w:spacing w:val="-4"/>
                <w:sz w:val="14"/>
              </w:rPr>
              <w:t> </w:t>
            </w:r>
            <w:r>
              <w:rPr>
                <w:sz w:val="14"/>
              </w:rPr>
              <w:t>over</w:t>
            </w:r>
            <w:r>
              <w:rPr>
                <w:spacing w:val="-6"/>
                <w:sz w:val="14"/>
              </w:rPr>
              <w:t> </w:t>
            </w:r>
            <w:r>
              <w:rPr>
                <w:spacing w:val="-2"/>
                <w:sz w:val="14"/>
              </w:rPr>
              <w:t>minimum)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32.00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34.00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5.9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Prescribed</w:t>
            </w:r>
            <w:r>
              <w:rPr>
                <w:spacing w:val="-8"/>
                <w:sz w:val="14"/>
              </w:rPr>
              <w:t> </w:t>
            </w:r>
            <w:r>
              <w:rPr>
                <w:sz w:val="14"/>
              </w:rPr>
              <w:t>Accommodation</w:t>
            </w:r>
            <w:r>
              <w:rPr>
                <w:spacing w:val="-4"/>
                <w:sz w:val="14"/>
              </w:rPr>
              <w:t> </w:t>
            </w:r>
            <w:r>
              <w:rPr>
                <w:sz w:val="14"/>
              </w:rPr>
              <w:t>Registration/Renewal</w:t>
            </w:r>
            <w:r>
              <w:rPr>
                <w:spacing w:val="-6"/>
                <w:sz w:val="14"/>
              </w:rPr>
              <w:t> </w:t>
            </w:r>
            <w:r>
              <w:rPr>
                <w:sz w:val="14"/>
              </w:rPr>
              <w:t>4</w:t>
            </w:r>
            <w:r>
              <w:rPr>
                <w:spacing w:val="-4"/>
                <w:sz w:val="14"/>
              </w:rPr>
              <w:t> </w:t>
            </w:r>
            <w:r>
              <w:rPr>
                <w:sz w:val="14"/>
              </w:rPr>
              <w:t>-</w:t>
            </w:r>
            <w:r>
              <w:rPr>
                <w:spacing w:val="-4"/>
                <w:sz w:val="14"/>
              </w:rPr>
              <w:t> </w:t>
            </w:r>
            <w:r>
              <w:rPr>
                <w:sz w:val="14"/>
              </w:rPr>
              <w:t>20</w:t>
            </w:r>
            <w:r>
              <w:rPr>
                <w:spacing w:val="-6"/>
                <w:sz w:val="14"/>
              </w:rPr>
              <w:t> </w:t>
            </w:r>
            <w:r>
              <w:rPr>
                <w:spacing w:val="-4"/>
                <w:sz w:val="14"/>
              </w:rPr>
              <w:t>Beds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369.00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387.00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Prescribed</w:t>
            </w:r>
            <w:r>
              <w:rPr>
                <w:spacing w:val="-8"/>
                <w:sz w:val="14"/>
              </w:rPr>
              <w:t> </w:t>
            </w:r>
            <w:r>
              <w:rPr>
                <w:sz w:val="14"/>
              </w:rPr>
              <w:t>Accommodation</w:t>
            </w:r>
            <w:r>
              <w:rPr>
                <w:spacing w:val="-4"/>
                <w:sz w:val="14"/>
              </w:rPr>
              <w:t> </w:t>
            </w:r>
            <w:r>
              <w:rPr>
                <w:sz w:val="14"/>
              </w:rPr>
              <w:t>Registration/Renewal</w:t>
            </w:r>
            <w:r>
              <w:rPr>
                <w:spacing w:val="-6"/>
                <w:sz w:val="14"/>
              </w:rPr>
              <w:t> </w:t>
            </w:r>
            <w:r>
              <w:rPr>
                <w:sz w:val="14"/>
              </w:rPr>
              <w:t>21</w:t>
            </w:r>
            <w:r>
              <w:rPr>
                <w:spacing w:val="-6"/>
                <w:sz w:val="14"/>
              </w:rPr>
              <w:t> </w:t>
            </w:r>
            <w:r>
              <w:rPr>
                <w:sz w:val="14"/>
              </w:rPr>
              <w:t>-</w:t>
            </w:r>
            <w:r>
              <w:rPr>
                <w:spacing w:val="-4"/>
                <w:sz w:val="14"/>
              </w:rPr>
              <w:t> </w:t>
            </w:r>
            <w:r>
              <w:rPr>
                <w:sz w:val="14"/>
              </w:rPr>
              <w:t>40</w:t>
            </w:r>
            <w:r>
              <w:rPr>
                <w:spacing w:val="-4"/>
                <w:sz w:val="14"/>
              </w:rPr>
              <w:t> Beds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543.00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569.00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Prescribed</w:t>
            </w:r>
            <w:r>
              <w:rPr>
                <w:spacing w:val="-9"/>
                <w:sz w:val="14"/>
              </w:rPr>
              <w:t> </w:t>
            </w:r>
            <w:r>
              <w:rPr>
                <w:sz w:val="14"/>
              </w:rPr>
              <w:t>Accommodation</w:t>
            </w:r>
            <w:r>
              <w:rPr>
                <w:spacing w:val="-5"/>
                <w:sz w:val="14"/>
              </w:rPr>
              <w:t> </w:t>
            </w:r>
            <w:r>
              <w:rPr>
                <w:sz w:val="14"/>
              </w:rPr>
              <w:t>Registration/Renewal</w:t>
            </w:r>
            <w:r>
              <w:rPr>
                <w:spacing w:val="-6"/>
                <w:sz w:val="14"/>
              </w:rPr>
              <w:t> </w:t>
            </w:r>
            <w:r>
              <w:rPr>
                <w:sz w:val="14"/>
              </w:rPr>
              <w:t>(more</w:t>
            </w:r>
            <w:r>
              <w:rPr>
                <w:spacing w:val="-6"/>
                <w:sz w:val="14"/>
              </w:rPr>
              <w:t> </w:t>
            </w:r>
            <w:r>
              <w:rPr>
                <w:sz w:val="14"/>
              </w:rPr>
              <w:t>than</w:t>
            </w:r>
            <w:r>
              <w:rPr>
                <w:spacing w:val="-5"/>
                <w:sz w:val="14"/>
              </w:rPr>
              <w:t> </w:t>
            </w:r>
            <w:r>
              <w:rPr>
                <w:sz w:val="14"/>
              </w:rPr>
              <w:t>41</w:t>
            </w:r>
            <w:r>
              <w:rPr>
                <w:spacing w:val="-5"/>
                <w:sz w:val="14"/>
              </w:rPr>
              <w:t> </w:t>
            </w:r>
            <w:r>
              <w:rPr>
                <w:spacing w:val="-2"/>
                <w:sz w:val="14"/>
              </w:rPr>
              <w:t>bedrooms)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742.00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778.00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Prescribed</w:t>
            </w:r>
            <w:r>
              <w:rPr>
                <w:spacing w:val="-7"/>
                <w:sz w:val="14"/>
              </w:rPr>
              <w:t> </w:t>
            </w:r>
            <w:r>
              <w:rPr>
                <w:sz w:val="14"/>
              </w:rPr>
              <w:t>Accommodation</w:t>
            </w:r>
            <w:r>
              <w:rPr>
                <w:spacing w:val="-4"/>
                <w:sz w:val="14"/>
              </w:rPr>
              <w:t> </w:t>
            </w:r>
            <w:r>
              <w:rPr>
                <w:sz w:val="14"/>
              </w:rPr>
              <w:t>-</w:t>
            </w:r>
            <w:r>
              <w:rPr>
                <w:spacing w:val="-6"/>
                <w:sz w:val="14"/>
              </w:rPr>
              <w:t> </w:t>
            </w:r>
            <w:r>
              <w:rPr>
                <w:sz w:val="14"/>
              </w:rPr>
              <w:t>Rooming</w:t>
            </w:r>
            <w:r>
              <w:rPr>
                <w:spacing w:val="-2"/>
                <w:sz w:val="14"/>
              </w:rPr>
              <w:t> House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403.00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423.00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Food</w:t>
            </w:r>
            <w:r>
              <w:rPr>
                <w:spacing w:val="-7"/>
                <w:sz w:val="14"/>
              </w:rPr>
              <w:t> </w:t>
            </w:r>
            <w:r>
              <w:rPr>
                <w:sz w:val="14"/>
              </w:rPr>
              <w:t>Events/Fetes</w:t>
            </w:r>
            <w:r>
              <w:rPr>
                <w:spacing w:val="-7"/>
                <w:sz w:val="14"/>
              </w:rPr>
              <w:t> </w:t>
            </w:r>
            <w:r>
              <w:rPr>
                <w:sz w:val="14"/>
              </w:rPr>
              <w:t>once-off/Short</w:t>
            </w:r>
            <w:r>
              <w:rPr>
                <w:spacing w:val="-4"/>
                <w:sz w:val="14"/>
              </w:rPr>
              <w:t> </w:t>
            </w:r>
            <w:r>
              <w:rPr>
                <w:sz w:val="14"/>
              </w:rPr>
              <w:t>term</w:t>
            </w:r>
            <w:r>
              <w:rPr>
                <w:spacing w:val="-6"/>
                <w:sz w:val="14"/>
              </w:rPr>
              <w:t> </w:t>
            </w:r>
            <w:r>
              <w:rPr>
                <w:sz w:val="14"/>
              </w:rPr>
              <w:t>registration</w:t>
            </w:r>
            <w:r>
              <w:rPr>
                <w:spacing w:val="-8"/>
                <w:sz w:val="14"/>
              </w:rPr>
              <w:t> </w:t>
            </w:r>
            <w:r>
              <w:rPr>
                <w:sz w:val="14"/>
              </w:rPr>
              <w:t>(CLASS</w:t>
            </w:r>
            <w:r>
              <w:rPr>
                <w:spacing w:val="-6"/>
                <w:sz w:val="14"/>
              </w:rPr>
              <w:t> </w:t>
            </w:r>
            <w:r>
              <w:rPr>
                <w:spacing w:val="-5"/>
                <w:sz w:val="14"/>
              </w:rPr>
              <w:t>2)</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226.00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237.00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Food</w:t>
            </w:r>
            <w:r>
              <w:rPr>
                <w:spacing w:val="-5"/>
                <w:sz w:val="14"/>
              </w:rPr>
              <w:t> </w:t>
            </w:r>
            <w:r>
              <w:rPr>
                <w:sz w:val="14"/>
              </w:rPr>
              <w:t>Premises</w:t>
            </w:r>
            <w:r>
              <w:rPr>
                <w:spacing w:val="-2"/>
                <w:sz w:val="14"/>
              </w:rPr>
              <w:t> </w:t>
            </w:r>
            <w:r>
              <w:rPr>
                <w:sz w:val="14"/>
              </w:rPr>
              <w:t>Registration</w:t>
            </w:r>
            <w:r>
              <w:rPr>
                <w:spacing w:val="-4"/>
                <w:sz w:val="14"/>
              </w:rPr>
              <w:t> </w:t>
            </w:r>
            <w:r>
              <w:rPr>
                <w:sz w:val="14"/>
              </w:rPr>
              <w:t>Fees</w:t>
            </w:r>
            <w:r>
              <w:rPr>
                <w:spacing w:val="-4"/>
                <w:sz w:val="14"/>
              </w:rPr>
              <w:t> </w:t>
            </w:r>
            <w:r>
              <w:rPr>
                <w:sz w:val="14"/>
              </w:rPr>
              <w:t>Class</w:t>
            </w:r>
            <w:r>
              <w:rPr>
                <w:spacing w:val="-5"/>
                <w:sz w:val="14"/>
              </w:rPr>
              <w:t> </w:t>
            </w:r>
            <w:r>
              <w:rPr>
                <w:sz w:val="14"/>
              </w:rPr>
              <w:t>1</w:t>
            </w:r>
            <w:r>
              <w:rPr>
                <w:spacing w:val="-5"/>
                <w:sz w:val="14"/>
              </w:rPr>
              <w:t> </w:t>
            </w:r>
            <w:r>
              <w:rPr>
                <w:spacing w:val="-2"/>
                <w:sz w:val="14"/>
              </w:rPr>
              <w:t>Premises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736.00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3"/>
              <w:jc w:val="right"/>
              <w:rPr>
                <w:sz w:val="14"/>
              </w:rPr>
            </w:pPr>
            <w:r>
              <w:rPr>
                <w:spacing w:val="-2"/>
                <w:sz w:val="14"/>
              </w:rPr>
              <w:t>771.00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4.5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Food</w:t>
            </w:r>
            <w:r>
              <w:rPr>
                <w:spacing w:val="-5"/>
                <w:sz w:val="14"/>
              </w:rPr>
              <w:t> </w:t>
            </w:r>
            <w:r>
              <w:rPr>
                <w:sz w:val="14"/>
              </w:rPr>
              <w:t>Premises</w:t>
            </w:r>
            <w:r>
              <w:rPr>
                <w:spacing w:val="-2"/>
                <w:sz w:val="14"/>
              </w:rPr>
              <w:t> </w:t>
            </w:r>
            <w:r>
              <w:rPr>
                <w:sz w:val="14"/>
              </w:rPr>
              <w:t>Registration</w:t>
            </w:r>
            <w:r>
              <w:rPr>
                <w:spacing w:val="-3"/>
                <w:sz w:val="14"/>
              </w:rPr>
              <w:t> </w:t>
            </w:r>
            <w:r>
              <w:rPr>
                <w:sz w:val="14"/>
              </w:rPr>
              <w:t>Fees</w:t>
            </w:r>
            <w:r>
              <w:rPr>
                <w:spacing w:val="-5"/>
                <w:sz w:val="14"/>
              </w:rPr>
              <w:t> </w:t>
            </w:r>
            <w:r>
              <w:rPr>
                <w:sz w:val="14"/>
              </w:rPr>
              <w:t>Class</w:t>
            </w:r>
            <w:r>
              <w:rPr>
                <w:spacing w:val="-5"/>
                <w:sz w:val="14"/>
              </w:rPr>
              <w:t> </w:t>
            </w:r>
            <w:r>
              <w:rPr>
                <w:sz w:val="14"/>
              </w:rPr>
              <w:t>2</w:t>
            </w:r>
            <w:r>
              <w:rPr>
                <w:spacing w:val="-5"/>
                <w:sz w:val="14"/>
              </w:rPr>
              <w:t> </w:t>
            </w:r>
            <w:r>
              <w:rPr>
                <w:spacing w:val="-2"/>
                <w:sz w:val="14"/>
              </w:rPr>
              <w:t>Premises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607.00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636.00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Food</w:t>
            </w:r>
            <w:r>
              <w:rPr>
                <w:spacing w:val="-5"/>
                <w:sz w:val="14"/>
              </w:rPr>
              <w:t> </w:t>
            </w:r>
            <w:r>
              <w:rPr>
                <w:sz w:val="14"/>
              </w:rPr>
              <w:t>Premises</w:t>
            </w:r>
            <w:r>
              <w:rPr>
                <w:spacing w:val="-2"/>
                <w:sz w:val="14"/>
              </w:rPr>
              <w:t> </w:t>
            </w:r>
            <w:r>
              <w:rPr>
                <w:sz w:val="14"/>
              </w:rPr>
              <w:t>Registration</w:t>
            </w:r>
            <w:r>
              <w:rPr>
                <w:spacing w:val="-3"/>
                <w:sz w:val="14"/>
              </w:rPr>
              <w:t> </w:t>
            </w:r>
            <w:r>
              <w:rPr>
                <w:sz w:val="14"/>
              </w:rPr>
              <w:t>Fees</w:t>
            </w:r>
            <w:r>
              <w:rPr>
                <w:spacing w:val="-5"/>
                <w:sz w:val="14"/>
              </w:rPr>
              <w:t> </w:t>
            </w:r>
            <w:r>
              <w:rPr>
                <w:sz w:val="14"/>
              </w:rPr>
              <w:t>Class</w:t>
            </w:r>
            <w:r>
              <w:rPr>
                <w:spacing w:val="-5"/>
                <w:sz w:val="14"/>
              </w:rPr>
              <w:t> </w:t>
            </w:r>
            <w:r>
              <w:rPr>
                <w:sz w:val="14"/>
              </w:rPr>
              <w:t>3</w:t>
            </w:r>
            <w:r>
              <w:rPr>
                <w:spacing w:val="-5"/>
                <w:sz w:val="14"/>
              </w:rPr>
              <w:t> </w:t>
            </w:r>
            <w:r>
              <w:rPr>
                <w:spacing w:val="-2"/>
                <w:sz w:val="14"/>
              </w:rPr>
              <w:t>Premises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457.00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479.00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Food</w:t>
            </w:r>
            <w:r>
              <w:rPr>
                <w:spacing w:val="-5"/>
                <w:sz w:val="14"/>
              </w:rPr>
              <w:t> </w:t>
            </w:r>
            <w:r>
              <w:rPr>
                <w:sz w:val="14"/>
              </w:rPr>
              <w:t>Premises</w:t>
            </w:r>
            <w:r>
              <w:rPr>
                <w:spacing w:val="-2"/>
                <w:sz w:val="14"/>
              </w:rPr>
              <w:t> </w:t>
            </w:r>
            <w:r>
              <w:rPr>
                <w:sz w:val="14"/>
              </w:rPr>
              <w:t>Renewal</w:t>
            </w:r>
            <w:r>
              <w:rPr>
                <w:spacing w:val="-5"/>
                <w:sz w:val="14"/>
              </w:rPr>
              <w:t> </w:t>
            </w:r>
            <w:r>
              <w:rPr>
                <w:sz w:val="14"/>
              </w:rPr>
              <w:t>Fees</w:t>
            </w:r>
            <w:r>
              <w:rPr>
                <w:spacing w:val="-2"/>
                <w:sz w:val="14"/>
              </w:rPr>
              <w:t> </w:t>
            </w:r>
            <w:r>
              <w:rPr>
                <w:sz w:val="14"/>
              </w:rPr>
              <w:t>Class</w:t>
            </w:r>
            <w:r>
              <w:rPr>
                <w:spacing w:val="-3"/>
                <w:sz w:val="14"/>
              </w:rPr>
              <w:t> </w:t>
            </w:r>
            <w:r>
              <w:rPr>
                <w:sz w:val="14"/>
              </w:rPr>
              <w:t>1</w:t>
            </w:r>
            <w:r>
              <w:rPr>
                <w:spacing w:val="-2"/>
                <w:sz w:val="14"/>
              </w:rPr>
              <w:t> Premises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736.00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771.00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Food</w:t>
            </w:r>
            <w:r>
              <w:rPr>
                <w:spacing w:val="-5"/>
                <w:sz w:val="14"/>
              </w:rPr>
              <w:t> </w:t>
            </w:r>
            <w:r>
              <w:rPr>
                <w:sz w:val="14"/>
              </w:rPr>
              <w:t>Premises</w:t>
            </w:r>
            <w:r>
              <w:rPr>
                <w:spacing w:val="-2"/>
                <w:sz w:val="14"/>
              </w:rPr>
              <w:t> </w:t>
            </w:r>
            <w:r>
              <w:rPr>
                <w:sz w:val="14"/>
              </w:rPr>
              <w:t>Renewal</w:t>
            </w:r>
            <w:r>
              <w:rPr>
                <w:spacing w:val="-5"/>
                <w:sz w:val="14"/>
              </w:rPr>
              <w:t> </w:t>
            </w:r>
            <w:r>
              <w:rPr>
                <w:sz w:val="14"/>
              </w:rPr>
              <w:t>Fees</w:t>
            </w:r>
            <w:r>
              <w:rPr>
                <w:spacing w:val="-2"/>
                <w:sz w:val="14"/>
              </w:rPr>
              <w:t> </w:t>
            </w:r>
            <w:r>
              <w:rPr>
                <w:sz w:val="14"/>
              </w:rPr>
              <w:t>Class</w:t>
            </w:r>
            <w:r>
              <w:rPr>
                <w:spacing w:val="-3"/>
                <w:sz w:val="14"/>
              </w:rPr>
              <w:t> </w:t>
            </w:r>
            <w:r>
              <w:rPr>
                <w:sz w:val="14"/>
              </w:rPr>
              <w:t>2</w:t>
            </w:r>
            <w:r>
              <w:rPr>
                <w:spacing w:val="-2"/>
                <w:sz w:val="14"/>
              </w:rPr>
              <w:t> Premises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607.00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636.00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Food</w:t>
            </w:r>
            <w:r>
              <w:rPr>
                <w:spacing w:val="-5"/>
                <w:sz w:val="14"/>
              </w:rPr>
              <w:t> </w:t>
            </w:r>
            <w:r>
              <w:rPr>
                <w:sz w:val="14"/>
              </w:rPr>
              <w:t>Premises</w:t>
            </w:r>
            <w:r>
              <w:rPr>
                <w:spacing w:val="-2"/>
                <w:sz w:val="14"/>
              </w:rPr>
              <w:t> </w:t>
            </w:r>
            <w:r>
              <w:rPr>
                <w:sz w:val="14"/>
              </w:rPr>
              <w:t>Renewal</w:t>
            </w:r>
            <w:r>
              <w:rPr>
                <w:spacing w:val="-5"/>
                <w:sz w:val="14"/>
              </w:rPr>
              <w:t> </w:t>
            </w:r>
            <w:r>
              <w:rPr>
                <w:sz w:val="14"/>
              </w:rPr>
              <w:t>Fees</w:t>
            </w:r>
            <w:r>
              <w:rPr>
                <w:spacing w:val="-2"/>
                <w:sz w:val="14"/>
              </w:rPr>
              <w:t> </w:t>
            </w:r>
            <w:r>
              <w:rPr>
                <w:sz w:val="14"/>
              </w:rPr>
              <w:t>Class</w:t>
            </w:r>
            <w:r>
              <w:rPr>
                <w:spacing w:val="-3"/>
                <w:sz w:val="14"/>
              </w:rPr>
              <w:t> </w:t>
            </w:r>
            <w:r>
              <w:rPr>
                <w:sz w:val="14"/>
              </w:rPr>
              <w:t>3</w:t>
            </w:r>
            <w:r>
              <w:rPr>
                <w:spacing w:val="-2"/>
                <w:sz w:val="14"/>
              </w:rPr>
              <w:t> Premises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457.00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479.00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96"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36"/>
              <w:ind w:left="107"/>
              <w:rPr>
                <w:sz w:val="14"/>
              </w:rPr>
            </w:pPr>
            <w:r>
              <w:rPr>
                <w:sz w:val="14"/>
              </w:rPr>
              <w:t>Food</w:t>
            </w:r>
            <w:r>
              <w:rPr>
                <w:spacing w:val="-5"/>
                <w:sz w:val="14"/>
              </w:rPr>
              <w:t> </w:t>
            </w:r>
            <w:r>
              <w:rPr>
                <w:sz w:val="14"/>
              </w:rPr>
              <w:t>Premises</w:t>
            </w:r>
            <w:r>
              <w:rPr>
                <w:spacing w:val="-3"/>
                <w:sz w:val="14"/>
              </w:rPr>
              <w:t> </w:t>
            </w:r>
            <w:r>
              <w:rPr>
                <w:sz w:val="14"/>
              </w:rPr>
              <w:t>Registration</w:t>
            </w:r>
            <w:r>
              <w:rPr>
                <w:spacing w:val="-3"/>
                <w:sz w:val="14"/>
              </w:rPr>
              <w:t> </w:t>
            </w:r>
            <w:r>
              <w:rPr>
                <w:sz w:val="14"/>
              </w:rPr>
              <w:t>Fees</w:t>
            </w:r>
            <w:r>
              <w:rPr>
                <w:spacing w:val="-5"/>
                <w:sz w:val="14"/>
              </w:rPr>
              <w:t> </w:t>
            </w:r>
            <w:r>
              <w:rPr>
                <w:sz w:val="14"/>
              </w:rPr>
              <w:t>Class</w:t>
            </w:r>
            <w:r>
              <w:rPr>
                <w:spacing w:val="-6"/>
                <w:sz w:val="14"/>
              </w:rPr>
              <w:t> </w:t>
            </w:r>
            <w:r>
              <w:rPr>
                <w:sz w:val="14"/>
              </w:rPr>
              <w:t>2</w:t>
            </w:r>
            <w:r>
              <w:rPr>
                <w:spacing w:val="-5"/>
                <w:sz w:val="14"/>
              </w:rPr>
              <w:t> </w:t>
            </w:r>
            <w:r>
              <w:rPr>
                <w:sz w:val="14"/>
              </w:rPr>
              <w:t>Additional</w:t>
            </w:r>
            <w:r>
              <w:rPr>
                <w:spacing w:val="-5"/>
                <w:sz w:val="14"/>
              </w:rPr>
              <w:t> </w:t>
            </w:r>
            <w:r>
              <w:rPr>
                <w:spacing w:val="-2"/>
                <w:sz w:val="14"/>
              </w:rPr>
              <w:t>Premises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36"/>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36"/>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36"/>
              <w:ind w:right="91"/>
              <w:jc w:val="right"/>
              <w:rPr>
                <w:sz w:val="14"/>
              </w:rPr>
            </w:pPr>
            <w:r>
              <w:rPr>
                <w:spacing w:val="-2"/>
                <w:sz w:val="14"/>
              </w:rPr>
              <w:t>310.00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36"/>
              <w:ind w:right="93"/>
              <w:jc w:val="right"/>
              <w:rPr>
                <w:sz w:val="14"/>
              </w:rPr>
            </w:pPr>
            <w:r>
              <w:rPr>
                <w:spacing w:val="-2"/>
                <w:sz w:val="14"/>
              </w:rPr>
              <w:t>318.00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36"/>
              <w:ind w:left="95" w:right="79"/>
              <w:jc w:val="center"/>
              <w:rPr>
                <w:sz w:val="14"/>
              </w:rPr>
            </w:pPr>
            <w:r>
              <w:rPr>
                <w:spacing w:val="-5"/>
                <w:sz w:val="14"/>
              </w:rPr>
              <w:t>2.5</w:t>
            </w:r>
          </w:p>
        </w:tc>
      </w:tr>
      <w:tr>
        <w:trPr>
          <w:trHeight w:val="210"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48"/>
              <w:ind w:left="107"/>
              <w:rPr>
                <w:sz w:val="14"/>
              </w:rPr>
            </w:pPr>
            <w:r>
              <w:rPr>
                <w:sz w:val="14"/>
              </w:rPr>
              <w:t>Food</w:t>
            </w:r>
            <w:r>
              <w:rPr>
                <w:spacing w:val="-5"/>
                <w:sz w:val="14"/>
              </w:rPr>
              <w:t> </w:t>
            </w:r>
            <w:r>
              <w:rPr>
                <w:sz w:val="14"/>
              </w:rPr>
              <w:t>Premises</w:t>
            </w:r>
            <w:r>
              <w:rPr>
                <w:spacing w:val="-3"/>
                <w:sz w:val="14"/>
              </w:rPr>
              <w:t> </w:t>
            </w:r>
            <w:r>
              <w:rPr>
                <w:sz w:val="14"/>
              </w:rPr>
              <w:t>Registration</w:t>
            </w:r>
            <w:r>
              <w:rPr>
                <w:spacing w:val="-3"/>
                <w:sz w:val="14"/>
              </w:rPr>
              <w:t> </w:t>
            </w:r>
            <w:r>
              <w:rPr>
                <w:sz w:val="14"/>
              </w:rPr>
              <w:t>Fees</w:t>
            </w:r>
            <w:r>
              <w:rPr>
                <w:spacing w:val="-5"/>
                <w:sz w:val="14"/>
              </w:rPr>
              <w:t> </w:t>
            </w:r>
            <w:r>
              <w:rPr>
                <w:sz w:val="14"/>
              </w:rPr>
              <w:t>Class</w:t>
            </w:r>
            <w:r>
              <w:rPr>
                <w:spacing w:val="-6"/>
                <w:sz w:val="14"/>
              </w:rPr>
              <w:t> </w:t>
            </w:r>
            <w:r>
              <w:rPr>
                <w:sz w:val="14"/>
              </w:rPr>
              <w:t>3</w:t>
            </w:r>
            <w:r>
              <w:rPr>
                <w:spacing w:val="-5"/>
                <w:sz w:val="14"/>
              </w:rPr>
              <w:t> </w:t>
            </w:r>
            <w:r>
              <w:rPr>
                <w:sz w:val="14"/>
              </w:rPr>
              <w:t>Additional</w:t>
            </w:r>
            <w:r>
              <w:rPr>
                <w:spacing w:val="-5"/>
                <w:sz w:val="14"/>
              </w:rPr>
              <w:t> </w:t>
            </w:r>
            <w:r>
              <w:rPr>
                <w:spacing w:val="-2"/>
                <w:sz w:val="14"/>
              </w:rPr>
              <w:t>Premises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48"/>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48"/>
              <w:ind w:left="302"/>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48"/>
              <w:ind w:right="91"/>
              <w:jc w:val="right"/>
              <w:rPr>
                <w:sz w:val="14"/>
              </w:rPr>
            </w:pPr>
            <w:r>
              <w:rPr>
                <w:spacing w:val="-2"/>
                <w:sz w:val="14"/>
              </w:rPr>
              <w:t>231.00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48"/>
              <w:ind w:right="94"/>
              <w:jc w:val="right"/>
              <w:rPr>
                <w:sz w:val="14"/>
              </w:rPr>
            </w:pPr>
            <w:r>
              <w:rPr>
                <w:spacing w:val="-2"/>
                <w:sz w:val="14"/>
              </w:rPr>
              <w:t>240.00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2" w:lineRule="exact" w:before="48"/>
              <w:ind w:left="95" w:right="80"/>
              <w:jc w:val="center"/>
              <w:rPr>
                <w:sz w:val="14"/>
              </w:rPr>
            </w:pPr>
            <w:r>
              <w:rPr>
                <w:spacing w:val="-5"/>
                <w:sz w:val="14"/>
              </w:rPr>
              <w:t>3.8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Food</w:t>
            </w:r>
            <w:r>
              <w:rPr>
                <w:spacing w:val="-6"/>
                <w:sz w:val="14"/>
              </w:rPr>
              <w:t> </w:t>
            </w:r>
            <w:r>
              <w:rPr>
                <w:sz w:val="14"/>
              </w:rPr>
              <w:t>Premises</w:t>
            </w:r>
            <w:r>
              <w:rPr>
                <w:spacing w:val="-3"/>
                <w:sz w:val="14"/>
              </w:rPr>
              <w:t> </w:t>
            </w:r>
            <w:r>
              <w:rPr>
                <w:sz w:val="14"/>
              </w:rPr>
              <w:t>Renewal</w:t>
            </w:r>
            <w:r>
              <w:rPr>
                <w:spacing w:val="-5"/>
                <w:sz w:val="14"/>
              </w:rPr>
              <w:t> </w:t>
            </w:r>
            <w:r>
              <w:rPr>
                <w:sz w:val="14"/>
              </w:rPr>
              <w:t>Fees</w:t>
            </w:r>
            <w:r>
              <w:rPr>
                <w:spacing w:val="-3"/>
                <w:sz w:val="14"/>
              </w:rPr>
              <w:t> </w:t>
            </w:r>
            <w:r>
              <w:rPr>
                <w:sz w:val="14"/>
              </w:rPr>
              <w:t>Class</w:t>
            </w:r>
            <w:r>
              <w:rPr>
                <w:spacing w:val="-3"/>
                <w:sz w:val="14"/>
              </w:rPr>
              <w:t> </w:t>
            </w:r>
            <w:r>
              <w:rPr>
                <w:sz w:val="14"/>
              </w:rPr>
              <w:t>2</w:t>
            </w:r>
            <w:r>
              <w:rPr>
                <w:spacing w:val="-3"/>
                <w:sz w:val="14"/>
              </w:rPr>
              <w:t> </w:t>
            </w:r>
            <w:r>
              <w:rPr>
                <w:sz w:val="14"/>
              </w:rPr>
              <w:t>Additional</w:t>
            </w:r>
            <w:r>
              <w:rPr>
                <w:spacing w:val="-6"/>
                <w:sz w:val="14"/>
              </w:rPr>
              <w:t> </w:t>
            </w:r>
            <w:r>
              <w:rPr>
                <w:spacing w:val="-2"/>
                <w:sz w:val="14"/>
              </w:rPr>
              <w:t>Premises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310.00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318.00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2.5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Food</w:t>
            </w:r>
            <w:r>
              <w:rPr>
                <w:spacing w:val="-6"/>
                <w:sz w:val="14"/>
              </w:rPr>
              <w:t> </w:t>
            </w:r>
            <w:r>
              <w:rPr>
                <w:sz w:val="14"/>
              </w:rPr>
              <w:t>Premises</w:t>
            </w:r>
            <w:r>
              <w:rPr>
                <w:spacing w:val="-3"/>
                <w:sz w:val="14"/>
              </w:rPr>
              <w:t> </w:t>
            </w:r>
            <w:r>
              <w:rPr>
                <w:sz w:val="14"/>
              </w:rPr>
              <w:t>Renewal</w:t>
            </w:r>
            <w:r>
              <w:rPr>
                <w:spacing w:val="-5"/>
                <w:sz w:val="14"/>
              </w:rPr>
              <w:t> </w:t>
            </w:r>
            <w:r>
              <w:rPr>
                <w:sz w:val="14"/>
              </w:rPr>
              <w:t>Fees</w:t>
            </w:r>
            <w:r>
              <w:rPr>
                <w:spacing w:val="-3"/>
                <w:sz w:val="14"/>
              </w:rPr>
              <w:t> </w:t>
            </w:r>
            <w:r>
              <w:rPr>
                <w:sz w:val="14"/>
              </w:rPr>
              <w:t>Class</w:t>
            </w:r>
            <w:r>
              <w:rPr>
                <w:spacing w:val="-3"/>
                <w:sz w:val="14"/>
              </w:rPr>
              <w:t> </w:t>
            </w:r>
            <w:r>
              <w:rPr>
                <w:sz w:val="14"/>
              </w:rPr>
              <w:t>3</w:t>
            </w:r>
            <w:r>
              <w:rPr>
                <w:spacing w:val="-3"/>
                <w:sz w:val="14"/>
              </w:rPr>
              <w:t> </w:t>
            </w:r>
            <w:r>
              <w:rPr>
                <w:sz w:val="14"/>
              </w:rPr>
              <w:t>Additional</w:t>
            </w:r>
            <w:r>
              <w:rPr>
                <w:spacing w:val="-6"/>
                <w:sz w:val="14"/>
              </w:rPr>
              <w:t> </w:t>
            </w:r>
            <w:r>
              <w:rPr>
                <w:spacing w:val="-2"/>
                <w:sz w:val="14"/>
              </w:rPr>
              <w:t>Premises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231.00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240.00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Food</w:t>
            </w:r>
            <w:r>
              <w:rPr>
                <w:spacing w:val="-5"/>
                <w:sz w:val="14"/>
              </w:rPr>
              <w:t> </w:t>
            </w:r>
            <w:r>
              <w:rPr>
                <w:sz w:val="14"/>
              </w:rPr>
              <w:t>Premises</w:t>
            </w:r>
            <w:r>
              <w:rPr>
                <w:spacing w:val="-3"/>
                <w:sz w:val="14"/>
              </w:rPr>
              <w:t> </w:t>
            </w:r>
            <w:r>
              <w:rPr>
                <w:sz w:val="14"/>
              </w:rPr>
              <w:t>Registration</w:t>
            </w:r>
            <w:r>
              <w:rPr>
                <w:spacing w:val="-4"/>
                <w:sz w:val="14"/>
              </w:rPr>
              <w:t> </w:t>
            </w:r>
            <w:r>
              <w:rPr>
                <w:sz w:val="14"/>
              </w:rPr>
              <w:t>Fees</w:t>
            </w:r>
            <w:r>
              <w:rPr>
                <w:spacing w:val="-5"/>
                <w:sz w:val="14"/>
              </w:rPr>
              <w:t> </w:t>
            </w:r>
            <w:r>
              <w:rPr>
                <w:sz w:val="14"/>
              </w:rPr>
              <w:t>Class</w:t>
            </w:r>
            <w:r>
              <w:rPr>
                <w:spacing w:val="-6"/>
                <w:sz w:val="14"/>
              </w:rPr>
              <w:t> </w:t>
            </w:r>
            <w:r>
              <w:rPr>
                <w:sz w:val="14"/>
              </w:rPr>
              <w:t>2</w:t>
            </w:r>
            <w:r>
              <w:rPr>
                <w:spacing w:val="-5"/>
                <w:sz w:val="14"/>
              </w:rPr>
              <w:t> </w:t>
            </w:r>
            <w:r>
              <w:rPr>
                <w:sz w:val="14"/>
              </w:rPr>
              <w:t>Streatrader</w:t>
            </w:r>
            <w:r>
              <w:rPr>
                <w:spacing w:val="-6"/>
                <w:sz w:val="14"/>
              </w:rPr>
              <w:t> </w:t>
            </w:r>
            <w:r>
              <w:rPr>
                <w:sz w:val="14"/>
              </w:rPr>
              <w:t>Temporary</w:t>
            </w:r>
            <w:r>
              <w:rPr>
                <w:spacing w:val="-3"/>
                <w:sz w:val="14"/>
              </w:rPr>
              <w:t> </w:t>
            </w:r>
            <w:r>
              <w:rPr>
                <w:sz w:val="14"/>
              </w:rPr>
              <w:t>Mobile</w:t>
            </w:r>
            <w:r>
              <w:rPr>
                <w:spacing w:val="-5"/>
                <w:sz w:val="14"/>
              </w:rPr>
              <w:t> </w:t>
            </w:r>
            <w:r>
              <w:rPr>
                <w:spacing w:val="-2"/>
                <w:sz w:val="14"/>
              </w:rPr>
              <w:t>Premises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607.00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636.00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Food</w:t>
            </w:r>
            <w:r>
              <w:rPr>
                <w:spacing w:val="-5"/>
                <w:sz w:val="14"/>
              </w:rPr>
              <w:t> </w:t>
            </w:r>
            <w:r>
              <w:rPr>
                <w:sz w:val="14"/>
              </w:rPr>
              <w:t>Premises</w:t>
            </w:r>
            <w:r>
              <w:rPr>
                <w:spacing w:val="-3"/>
                <w:sz w:val="14"/>
              </w:rPr>
              <w:t> </w:t>
            </w:r>
            <w:r>
              <w:rPr>
                <w:sz w:val="14"/>
              </w:rPr>
              <w:t>Registration</w:t>
            </w:r>
            <w:r>
              <w:rPr>
                <w:spacing w:val="-4"/>
                <w:sz w:val="14"/>
              </w:rPr>
              <w:t> </w:t>
            </w:r>
            <w:r>
              <w:rPr>
                <w:sz w:val="14"/>
              </w:rPr>
              <w:t>Fees</w:t>
            </w:r>
            <w:r>
              <w:rPr>
                <w:spacing w:val="-5"/>
                <w:sz w:val="14"/>
              </w:rPr>
              <w:t> </w:t>
            </w:r>
            <w:r>
              <w:rPr>
                <w:sz w:val="14"/>
              </w:rPr>
              <w:t>Class</w:t>
            </w:r>
            <w:r>
              <w:rPr>
                <w:spacing w:val="-6"/>
                <w:sz w:val="14"/>
              </w:rPr>
              <w:t> </w:t>
            </w:r>
            <w:r>
              <w:rPr>
                <w:sz w:val="14"/>
              </w:rPr>
              <w:t>3</w:t>
            </w:r>
            <w:r>
              <w:rPr>
                <w:spacing w:val="-5"/>
                <w:sz w:val="14"/>
              </w:rPr>
              <w:t> </w:t>
            </w:r>
            <w:r>
              <w:rPr>
                <w:sz w:val="14"/>
              </w:rPr>
              <w:t>Streatrader</w:t>
            </w:r>
            <w:r>
              <w:rPr>
                <w:spacing w:val="-6"/>
                <w:sz w:val="14"/>
              </w:rPr>
              <w:t> </w:t>
            </w:r>
            <w:r>
              <w:rPr>
                <w:sz w:val="14"/>
              </w:rPr>
              <w:t>Temporary</w:t>
            </w:r>
            <w:r>
              <w:rPr>
                <w:spacing w:val="-3"/>
                <w:sz w:val="14"/>
              </w:rPr>
              <w:t> </w:t>
            </w:r>
            <w:r>
              <w:rPr>
                <w:sz w:val="14"/>
              </w:rPr>
              <w:t>Mobile</w:t>
            </w:r>
            <w:r>
              <w:rPr>
                <w:spacing w:val="-5"/>
                <w:sz w:val="14"/>
              </w:rPr>
              <w:t> </w:t>
            </w:r>
            <w:r>
              <w:rPr>
                <w:spacing w:val="-2"/>
                <w:sz w:val="14"/>
              </w:rPr>
              <w:t>Premises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457.00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479.00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Food</w:t>
            </w:r>
            <w:r>
              <w:rPr>
                <w:spacing w:val="-5"/>
                <w:sz w:val="14"/>
              </w:rPr>
              <w:t> </w:t>
            </w:r>
            <w:r>
              <w:rPr>
                <w:sz w:val="14"/>
              </w:rPr>
              <w:t>Premises</w:t>
            </w:r>
            <w:r>
              <w:rPr>
                <w:spacing w:val="-4"/>
                <w:sz w:val="14"/>
              </w:rPr>
              <w:t> </w:t>
            </w:r>
            <w:r>
              <w:rPr>
                <w:sz w:val="14"/>
              </w:rPr>
              <w:t>Renewal</w:t>
            </w:r>
            <w:r>
              <w:rPr>
                <w:spacing w:val="-5"/>
                <w:sz w:val="14"/>
              </w:rPr>
              <w:t> </w:t>
            </w:r>
            <w:r>
              <w:rPr>
                <w:sz w:val="14"/>
              </w:rPr>
              <w:t>Fees</w:t>
            </w:r>
            <w:r>
              <w:rPr>
                <w:spacing w:val="-3"/>
                <w:sz w:val="14"/>
              </w:rPr>
              <w:t> </w:t>
            </w:r>
            <w:r>
              <w:rPr>
                <w:sz w:val="14"/>
              </w:rPr>
              <w:t>Class</w:t>
            </w:r>
            <w:r>
              <w:rPr>
                <w:spacing w:val="-3"/>
                <w:sz w:val="14"/>
              </w:rPr>
              <w:t> </w:t>
            </w:r>
            <w:r>
              <w:rPr>
                <w:sz w:val="14"/>
              </w:rPr>
              <w:t>2</w:t>
            </w:r>
            <w:r>
              <w:rPr>
                <w:spacing w:val="-3"/>
                <w:sz w:val="14"/>
              </w:rPr>
              <w:t> </w:t>
            </w:r>
            <w:r>
              <w:rPr>
                <w:sz w:val="14"/>
              </w:rPr>
              <w:t>Streatrader</w:t>
            </w:r>
            <w:r>
              <w:rPr>
                <w:spacing w:val="-6"/>
                <w:sz w:val="14"/>
              </w:rPr>
              <w:t> </w:t>
            </w:r>
            <w:r>
              <w:rPr>
                <w:sz w:val="14"/>
              </w:rPr>
              <w:t>Temporary</w:t>
            </w:r>
            <w:r>
              <w:rPr>
                <w:spacing w:val="-3"/>
                <w:sz w:val="14"/>
              </w:rPr>
              <w:t> </w:t>
            </w:r>
            <w:r>
              <w:rPr>
                <w:sz w:val="14"/>
              </w:rPr>
              <w:t>Mobile</w:t>
            </w:r>
            <w:r>
              <w:rPr>
                <w:spacing w:val="-6"/>
                <w:sz w:val="14"/>
              </w:rPr>
              <w:t> </w:t>
            </w:r>
            <w:r>
              <w:rPr>
                <w:spacing w:val="-2"/>
                <w:sz w:val="14"/>
              </w:rPr>
              <w:t>Premises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607.00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636.00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9"/>
              <w:ind w:left="107"/>
              <w:rPr>
                <w:sz w:val="14"/>
              </w:rPr>
            </w:pPr>
            <w:r>
              <w:rPr>
                <w:sz w:val="14"/>
              </w:rPr>
              <w:t>Food</w:t>
            </w:r>
            <w:r>
              <w:rPr>
                <w:spacing w:val="-5"/>
                <w:sz w:val="14"/>
              </w:rPr>
              <w:t> </w:t>
            </w:r>
            <w:r>
              <w:rPr>
                <w:sz w:val="14"/>
              </w:rPr>
              <w:t>Premises</w:t>
            </w:r>
            <w:r>
              <w:rPr>
                <w:spacing w:val="-4"/>
                <w:sz w:val="14"/>
              </w:rPr>
              <w:t> </w:t>
            </w:r>
            <w:r>
              <w:rPr>
                <w:sz w:val="14"/>
              </w:rPr>
              <w:t>Renewal</w:t>
            </w:r>
            <w:r>
              <w:rPr>
                <w:spacing w:val="-5"/>
                <w:sz w:val="14"/>
              </w:rPr>
              <w:t> </w:t>
            </w:r>
            <w:r>
              <w:rPr>
                <w:sz w:val="14"/>
              </w:rPr>
              <w:t>Fees</w:t>
            </w:r>
            <w:r>
              <w:rPr>
                <w:spacing w:val="-3"/>
                <w:sz w:val="14"/>
              </w:rPr>
              <w:t> </w:t>
            </w:r>
            <w:r>
              <w:rPr>
                <w:sz w:val="14"/>
              </w:rPr>
              <w:t>Class</w:t>
            </w:r>
            <w:r>
              <w:rPr>
                <w:spacing w:val="-3"/>
                <w:sz w:val="14"/>
              </w:rPr>
              <w:t> </w:t>
            </w:r>
            <w:r>
              <w:rPr>
                <w:sz w:val="14"/>
              </w:rPr>
              <w:t>3</w:t>
            </w:r>
            <w:r>
              <w:rPr>
                <w:spacing w:val="-3"/>
                <w:sz w:val="14"/>
              </w:rPr>
              <w:t> </w:t>
            </w:r>
            <w:r>
              <w:rPr>
                <w:sz w:val="14"/>
              </w:rPr>
              <w:t>Streatrader</w:t>
            </w:r>
            <w:r>
              <w:rPr>
                <w:spacing w:val="-6"/>
                <w:sz w:val="14"/>
              </w:rPr>
              <w:t> </w:t>
            </w:r>
            <w:r>
              <w:rPr>
                <w:sz w:val="14"/>
              </w:rPr>
              <w:t>Temporary</w:t>
            </w:r>
            <w:r>
              <w:rPr>
                <w:spacing w:val="-3"/>
                <w:sz w:val="14"/>
              </w:rPr>
              <w:t> </w:t>
            </w:r>
            <w:r>
              <w:rPr>
                <w:sz w:val="14"/>
              </w:rPr>
              <w:t>Mobile</w:t>
            </w:r>
            <w:r>
              <w:rPr>
                <w:spacing w:val="-6"/>
                <w:sz w:val="14"/>
              </w:rPr>
              <w:t> </w:t>
            </w:r>
            <w:r>
              <w:rPr>
                <w:spacing w:val="-2"/>
                <w:sz w:val="14"/>
              </w:rPr>
              <w:t>Premises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7"/>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1"/>
              <w:jc w:val="right"/>
              <w:rPr>
                <w:sz w:val="14"/>
              </w:rPr>
            </w:pPr>
            <w:r>
              <w:rPr>
                <w:spacing w:val="-2"/>
                <w:sz w:val="14"/>
              </w:rPr>
              <w:t>457.00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2"/>
              <w:jc w:val="right"/>
              <w:rPr>
                <w:sz w:val="14"/>
              </w:rPr>
            </w:pPr>
            <w:r>
              <w:rPr>
                <w:spacing w:val="-2"/>
                <w:sz w:val="14"/>
              </w:rPr>
              <w:t>479.00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2" w:lineRule="exact" w:before="19"/>
              <w:ind w:left="95" w:right="80"/>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Food</w:t>
            </w:r>
            <w:r>
              <w:rPr>
                <w:spacing w:val="-5"/>
                <w:sz w:val="14"/>
              </w:rPr>
              <w:t> </w:t>
            </w:r>
            <w:r>
              <w:rPr>
                <w:sz w:val="14"/>
              </w:rPr>
              <w:t>Premises</w:t>
            </w:r>
            <w:r>
              <w:rPr>
                <w:spacing w:val="-4"/>
                <w:sz w:val="14"/>
              </w:rPr>
              <w:t> </w:t>
            </w:r>
            <w:r>
              <w:rPr>
                <w:sz w:val="14"/>
              </w:rPr>
              <w:t>Registration</w:t>
            </w:r>
            <w:r>
              <w:rPr>
                <w:spacing w:val="-4"/>
                <w:sz w:val="14"/>
              </w:rPr>
              <w:t> </w:t>
            </w:r>
            <w:r>
              <w:rPr>
                <w:sz w:val="14"/>
              </w:rPr>
              <w:t>Fees</w:t>
            </w:r>
            <w:r>
              <w:rPr>
                <w:spacing w:val="-3"/>
                <w:sz w:val="14"/>
              </w:rPr>
              <w:t> </w:t>
            </w:r>
            <w:r>
              <w:rPr>
                <w:sz w:val="14"/>
              </w:rPr>
              <w:t>Food</w:t>
            </w:r>
            <w:r>
              <w:rPr>
                <w:spacing w:val="-4"/>
                <w:sz w:val="14"/>
              </w:rPr>
              <w:t> </w:t>
            </w:r>
            <w:r>
              <w:rPr>
                <w:sz w:val="14"/>
              </w:rPr>
              <w:t>Class</w:t>
            </w:r>
            <w:r>
              <w:rPr>
                <w:spacing w:val="-3"/>
                <w:sz w:val="14"/>
              </w:rPr>
              <w:t> </w:t>
            </w:r>
            <w:r>
              <w:rPr>
                <w:sz w:val="14"/>
              </w:rPr>
              <w:t>2</w:t>
            </w:r>
            <w:r>
              <w:rPr>
                <w:spacing w:val="-5"/>
                <w:sz w:val="14"/>
              </w:rPr>
              <w:t> </w:t>
            </w:r>
            <w:r>
              <w:rPr>
                <w:sz w:val="14"/>
              </w:rPr>
              <w:t>Premises</w:t>
            </w:r>
            <w:r>
              <w:rPr>
                <w:spacing w:val="-3"/>
                <w:sz w:val="14"/>
              </w:rPr>
              <w:t> </w:t>
            </w:r>
            <w:r>
              <w:rPr>
                <w:sz w:val="14"/>
              </w:rPr>
              <w:t>-</w:t>
            </w:r>
            <w:r>
              <w:rPr>
                <w:spacing w:val="-6"/>
                <w:sz w:val="14"/>
              </w:rPr>
              <w:t> </w:t>
            </w:r>
            <w:r>
              <w:rPr>
                <w:sz w:val="14"/>
              </w:rPr>
              <w:t>Community/Sports</w:t>
            </w:r>
            <w:r>
              <w:rPr>
                <w:spacing w:val="-3"/>
                <w:sz w:val="14"/>
              </w:rPr>
              <w:t> </w:t>
            </w:r>
            <w:r>
              <w:rPr>
                <w:spacing w:val="-2"/>
                <w:sz w:val="14"/>
              </w:rPr>
              <w:t>Groups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303.00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318.00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Food</w:t>
            </w:r>
            <w:r>
              <w:rPr>
                <w:spacing w:val="-5"/>
                <w:sz w:val="14"/>
              </w:rPr>
              <w:t> </w:t>
            </w:r>
            <w:r>
              <w:rPr>
                <w:sz w:val="14"/>
              </w:rPr>
              <w:t>Premises</w:t>
            </w:r>
            <w:r>
              <w:rPr>
                <w:spacing w:val="-4"/>
                <w:sz w:val="14"/>
              </w:rPr>
              <w:t> </w:t>
            </w:r>
            <w:r>
              <w:rPr>
                <w:sz w:val="14"/>
              </w:rPr>
              <w:t>Registration</w:t>
            </w:r>
            <w:r>
              <w:rPr>
                <w:spacing w:val="-4"/>
                <w:sz w:val="14"/>
              </w:rPr>
              <w:t> </w:t>
            </w:r>
            <w:r>
              <w:rPr>
                <w:sz w:val="14"/>
              </w:rPr>
              <w:t>Fees</w:t>
            </w:r>
            <w:r>
              <w:rPr>
                <w:spacing w:val="-3"/>
                <w:sz w:val="14"/>
              </w:rPr>
              <w:t> </w:t>
            </w:r>
            <w:r>
              <w:rPr>
                <w:sz w:val="14"/>
              </w:rPr>
              <w:t>Food</w:t>
            </w:r>
            <w:r>
              <w:rPr>
                <w:spacing w:val="-4"/>
                <w:sz w:val="14"/>
              </w:rPr>
              <w:t> </w:t>
            </w:r>
            <w:r>
              <w:rPr>
                <w:sz w:val="14"/>
              </w:rPr>
              <w:t>Class</w:t>
            </w:r>
            <w:r>
              <w:rPr>
                <w:spacing w:val="-3"/>
                <w:sz w:val="14"/>
              </w:rPr>
              <w:t> </w:t>
            </w:r>
            <w:r>
              <w:rPr>
                <w:sz w:val="14"/>
              </w:rPr>
              <w:t>3</w:t>
            </w:r>
            <w:r>
              <w:rPr>
                <w:spacing w:val="-5"/>
                <w:sz w:val="14"/>
              </w:rPr>
              <w:t> </w:t>
            </w:r>
            <w:r>
              <w:rPr>
                <w:sz w:val="14"/>
              </w:rPr>
              <w:t>Premises</w:t>
            </w:r>
            <w:r>
              <w:rPr>
                <w:spacing w:val="-3"/>
                <w:sz w:val="14"/>
              </w:rPr>
              <w:t> </w:t>
            </w:r>
            <w:r>
              <w:rPr>
                <w:sz w:val="14"/>
              </w:rPr>
              <w:t>-</w:t>
            </w:r>
            <w:r>
              <w:rPr>
                <w:spacing w:val="-6"/>
                <w:sz w:val="14"/>
              </w:rPr>
              <w:t> </w:t>
            </w:r>
            <w:r>
              <w:rPr>
                <w:sz w:val="14"/>
              </w:rPr>
              <w:t>Community/Sports</w:t>
            </w:r>
            <w:r>
              <w:rPr>
                <w:spacing w:val="-3"/>
                <w:sz w:val="14"/>
              </w:rPr>
              <w:t> </w:t>
            </w:r>
            <w:r>
              <w:rPr>
                <w:spacing w:val="-2"/>
                <w:sz w:val="14"/>
              </w:rPr>
              <w:t>Groups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231.00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240.00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Food</w:t>
            </w:r>
            <w:r>
              <w:rPr>
                <w:spacing w:val="-5"/>
                <w:sz w:val="14"/>
              </w:rPr>
              <w:t> </w:t>
            </w:r>
            <w:r>
              <w:rPr>
                <w:sz w:val="14"/>
              </w:rPr>
              <w:t>Premises</w:t>
            </w:r>
            <w:r>
              <w:rPr>
                <w:spacing w:val="-2"/>
                <w:sz w:val="14"/>
              </w:rPr>
              <w:t> </w:t>
            </w:r>
            <w:r>
              <w:rPr>
                <w:sz w:val="14"/>
              </w:rPr>
              <w:t>Renewal</w:t>
            </w:r>
            <w:r>
              <w:rPr>
                <w:spacing w:val="-5"/>
                <w:sz w:val="14"/>
              </w:rPr>
              <w:t> </w:t>
            </w:r>
            <w:r>
              <w:rPr>
                <w:sz w:val="14"/>
              </w:rPr>
              <w:t>Fees</w:t>
            </w:r>
            <w:r>
              <w:rPr>
                <w:spacing w:val="-2"/>
                <w:sz w:val="14"/>
              </w:rPr>
              <w:t> </w:t>
            </w:r>
            <w:r>
              <w:rPr>
                <w:sz w:val="14"/>
              </w:rPr>
              <w:t>Food</w:t>
            </w:r>
            <w:r>
              <w:rPr>
                <w:spacing w:val="-5"/>
                <w:sz w:val="14"/>
              </w:rPr>
              <w:t> </w:t>
            </w:r>
            <w:r>
              <w:rPr>
                <w:sz w:val="14"/>
              </w:rPr>
              <w:t>Class</w:t>
            </w:r>
            <w:r>
              <w:rPr>
                <w:spacing w:val="-4"/>
                <w:sz w:val="14"/>
              </w:rPr>
              <w:t> </w:t>
            </w:r>
            <w:r>
              <w:rPr>
                <w:sz w:val="14"/>
              </w:rPr>
              <w:t>2</w:t>
            </w:r>
            <w:r>
              <w:rPr>
                <w:spacing w:val="-3"/>
                <w:sz w:val="14"/>
              </w:rPr>
              <w:t> </w:t>
            </w:r>
            <w:r>
              <w:rPr>
                <w:sz w:val="14"/>
              </w:rPr>
              <w:t>-</w:t>
            </w:r>
            <w:r>
              <w:rPr>
                <w:spacing w:val="-5"/>
                <w:sz w:val="14"/>
              </w:rPr>
              <w:t> </w:t>
            </w:r>
            <w:r>
              <w:rPr>
                <w:sz w:val="14"/>
              </w:rPr>
              <w:t>Community/Sports</w:t>
            </w:r>
            <w:r>
              <w:rPr>
                <w:spacing w:val="-3"/>
                <w:sz w:val="14"/>
              </w:rPr>
              <w:t> </w:t>
            </w:r>
            <w:r>
              <w:rPr>
                <w:spacing w:val="-2"/>
                <w:sz w:val="14"/>
              </w:rPr>
              <w:t>Groups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312.00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318.00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1.9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Food</w:t>
            </w:r>
            <w:r>
              <w:rPr>
                <w:spacing w:val="-5"/>
                <w:sz w:val="14"/>
              </w:rPr>
              <w:t> </w:t>
            </w:r>
            <w:r>
              <w:rPr>
                <w:sz w:val="14"/>
              </w:rPr>
              <w:t>Premises</w:t>
            </w:r>
            <w:r>
              <w:rPr>
                <w:spacing w:val="-2"/>
                <w:sz w:val="14"/>
              </w:rPr>
              <w:t> </w:t>
            </w:r>
            <w:r>
              <w:rPr>
                <w:sz w:val="14"/>
              </w:rPr>
              <w:t>Renewal</w:t>
            </w:r>
            <w:r>
              <w:rPr>
                <w:spacing w:val="-5"/>
                <w:sz w:val="14"/>
              </w:rPr>
              <w:t> </w:t>
            </w:r>
            <w:r>
              <w:rPr>
                <w:sz w:val="14"/>
              </w:rPr>
              <w:t>Fees</w:t>
            </w:r>
            <w:r>
              <w:rPr>
                <w:spacing w:val="-2"/>
                <w:sz w:val="14"/>
              </w:rPr>
              <w:t> </w:t>
            </w:r>
            <w:r>
              <w:rPr>
                <w:sz w:val="14"/>
              </w:rPr>
              <w:t>Food</w:t>
            </w:r>
            <w:r>
              <w:rPr>
                <w:spacing w:val="-5"/>
                <w:sz w:val="14"/>
              </w:rPr>
              <w:t> </w:t>
            </w:r>
            <w:r>
              <w:rPr>
                <w:sz w:val="14"/>
              </w:rPr>
              <w:t>Class</w:t>
            </w:r>
            <w:r>
              <w:rPr>
                <w:spacing w:val="-4"/>
                <w:sz w:val="14"/>
              </w:rPr>
              <w:t> </w:t>
            </w:r>
            <w:r>
              <w:rPr>
                <w:sz w:val="14"/>
              </w:rPr>
              <w:t>3</w:t>
            </w:r>
            <w:r>
              <w:rPr>
                <w:spacing w:val="-3"/>
                <w:sz w:val="14"/>
              </w:rPr>
              <w:t> </w:t>
            </w:r>
            <w:r>
              <w:rPr>
                <w:sz w:val="14"/>
              </w:rPr>
              <w:t>-</w:t>
            </w:r>
            <w:r>
              <w:rPr>
                <w:spacing w:val="-5"/>
                <w:sz w:val="14"/>
              </w:rPr>
              <w:t> </w:t>
            </w:r>
            <w:r>
              <w:rPr>
                <w:sz w:val="14"/>
              </w:rPr>
              <w:t>Community/Sports</w:t>
            </w:r>
            <w:r>
              <w:rPr>
                <w:spacing w:val="-3"/>
                <w:sz w:val="14"/>
              </w:rPr>
              <w:t> </w:t>
            </w:r>
            <w:r>
              <w:rPr>
                <w:spacing w:val="-2"/>
                <w:sz w:val="14"/>
              </w:rPr>
              <w:t>Groups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231.00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240.00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3.8</w:t>
            </w: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Pr>
                <w:sz w:val="14"/>
              </w:rPr>
            </w:pPr>
            <w:r>
              <w:rPr>
                <w:sz w:val="14"/>
              </w:rPr>
              <w:t>Food</w:t>
            </w:r>
            <w:r>
              <w:rPr>
                <w:spacing w:val="-4"/>
                <w:sz w:val="14"/>
              </w:rPr>
              <w:t> </w:t>
            </w:r>
            <w:r>
              <w:rPr>
                <w:sz w:val="14"/>
              </w:rPr>
              <w:t>Premises</w:t>
            </w:r>
            <w:r>
              <w:rPr>
                <w:spacing w:val="-2"/>
                <w:sz w:val="14"/>
              </w:rPr>
              <w:t> </w:t>
            </w:r>
            <w:r>
              <w:rPr>
                <w:sz w:val="14"/>
              </w:rPr>
              <w:t>Registration</w:t>
            </w:r>
            <w:r>
              <w:rPr>
                <w:spacing w:val="-3"/>
                <w:sz w:val="14"/>
              </w:rPr>
              <w:t> </w:t>
            </w:r>
            <w:r>
              <w:rPr>
                <w:sz w:val="14"/>
              </w:rPr>
              <w:t>Fee</w:t>
            </w:r>
            <w:r>
              <w:rPr>
                <w:spacing w:val="-6"/>
                <w:sz w:val="14"/>
              </w:rPr>
              <w:t> </w:t>
            </w:r>
            <w:r>
              <w:rPr>
                <w:sz w:val="14"/>
              </w:rPr>
              <w:t>Class</w:t>
            </w:r>
            <w:r>
              <w:rPr>
                <w:spacing w:val="-2"/>
                <w:sz w:val="14"/>
              </w:rPr>
              <w:t> </w:t>
            </w:r>
            <w:r>
              <w:rPr>
                <w:sz w:val="14"/>
              </w:rPr>
              <w:t>2</w:t>
            </w:r>
            <w:r>
              <w:rPr>
                <w:spacing w:val="-5"/>
                <w:sz w:val="14"/>
              </w:rPr>
              <w:t> </w:t>
            </w:r>
            <w:r>
              <w:rPr>
                <w:sz w:val="14"/>
              </w:rPr>
              <w:t>Community/Sports</w:t>
            </w:r>
            <w:r>
              <w:rPr>
                <w:spacing w:val="-2"/>
                <w:sz w:val="14"/>
              </w:rPr>
              <w:t> </w:t>
            </w:r>
            <w:r>
              <w:rPr>
                <w:sz w:val="14"/>
              </w:rPr>
              <w:t>Group</w:t>
            </w:r>
            <w:r>
              <w:rPr>
                <w:spacing w:val="-5"/>
                <w:sz w:val="14"/>
              </w:rPr>
              <w:t> </w:t>
            </w:r>
            <w:r>
              <w:rPr>
                <w:sz w:val="14"/>
              </w:rPr>
              <w:t>-</w:t>
            </w:r>
            <w:r>
              <w:rPr>
                <w:spacing w:val="-3"/>
                <w:sz w:val="14"/>
              </w:rPr>
              <w:t> </w:t>
            </w:r>
            <w:r>
              <w:rPr>
                <w:sz w:val="14"/>
              </w:rPr>
              <w:t>Additional</w:t>
            </w:r>
            <w:r>
              <w:rPr>
                <w:spacing w:val="-2"/>
                <w:sz w:val="14"/>
              </w:rPr>
              <w:t> </w:t>
            </w:r>
            <w:r>
              <w:rPr>
                <w:sz w:val="14"/>
              </w:rPr>
              <w:t>Premises</w:t>
            </w:r>
            <w:r>
              <w:rPr>
                <w:spacing w:val="40"/>
                <w:sz w:val="14"/>
              </w:rPr>
              <w:t> </w:t>
            </w:r>
            <w:r>
              <w:rPr>
                <w:spacing w:val="-2"/>
                <w:sz w:val="14"/>
              </w:rPr>
              <w:t>TFP/MFV</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1"/>
              <w:jc w:val="right"/>
              <w:rPr>
                <w:sz w:val="14"/>
              </w:rPr>
            </w:pPr>
            <w:r>
              <w:rPr>
                <w:spacing w:val="-2"/>
                <w:sz w:val="14"/>
              </w:rPr>
              <w:t>151.00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3"/>
              <w:jc w:val="right"/>
              <w:rPr>
                <w:sz w:val="14"/>
              </w:rPr>
            </w:pPr>
            <w:r>
              <w:rPr>
                <w:spacing w:val="-2"/>
                <w:sz w:val="14"/>
              </w:rPr>
              <w:t>164.00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0" w:lineRule="exact"/>
              <w:ind w:left="95" w:right="79"/>
              <w:jc w:val="center"/>
              <w:rPr>
                <w:sz w:val="14"/>
              </w:rPr>
            </w:pPr>
            <w:r>
              <w:rPr>
                <w:spacing w:val="-5"/>
                <w:sz w:val="14"/>
              </w:rPr>
              <w:t>7.9</w:t>
            </w:r>
          </w:p>
        </w:tc>
      </w:tr>
      <w:tr>
        <w:trPr>
          <w:trHeight w:val="36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20"/>
              <w:ind w:left="107"/>
              <w:rPr>
                <w:sz w:val="14"/>
              </w:rPr>
            </w:pPr>
            <w:r>
              <w:rPr>
                <w:sz w:val="14"/>
              </w:rPr>
              <w:t>Food</w:t>
            </w:r>
            <w:r>
              <w:rPr>
                <w:spacing w:val="-4"/>
                <w:sz w:val="14"/>
              </w:rPr>
              <w:t> </w:t>
            </w:r>
            <w:r>
              <w:rPr>
                <w:sz w:val="14"/>
              </w:rPr>
              <w:t>Premises</w:t>
            </w:r>
            <w:r>
              <w:rPr>
                <w:spacing w:val="-2"/>
                <w:sz w:val="14"/>
              </w:rPr>
              <w:t> </w:t>
            </w:r>
            <w:r>
              <w:rPr>
                <w:sz w:val="14"/>
              </w:rPr>
              <w:t>Registration</w:t>
            </w:r>
            <w:r>
              <w:rPr>
                <w:spacing w:val="-3"/>
                <w:sz w:val="14"/>
              </w:rPr>
              <w:t> </w:t>
            </w:r>
            <w:r>
              <w:rPr>
                <w:sz w:val="14"/>
              </w:rPr>
              <w:t>Fee</w:t>
            </w:r>
            <w:r>
              <w:rPr>
                <w:spacing w:val="-6"/>
                <w:sz w:val="14"/>
              </w:rPr>
              <w:t> </w:t>
            </w:r>
            <w:r>
              <w:rPr>
                <w:sz w:val="14"/>
              </w:rPr>
              <w:t>Class</w:t>
            </w:r>
            <w:r>
              <w:rPr>
                <w:spacing w:val="-2"/>
                <w:sz w:val="14"/>
              </w:rPr>
              <w:t> </w:t>
            </w:r>
            <w:r>
              <w:rPr>
                <w:sz w:val="14"/>
              </w:rPr>
              <w:t>3</w:t>
            </w:r>
            <w:r>
              <w:rPr>
                <w:spacing w:val="-5"/>
                <w:sz w:val="14"/>
              </w:rPr>
              <w:t> </w:t>
            </w:r>
            <w:r>
              <w:rPr>
                <w:sz w:val="14"/>
              </w:rPr>
              <w:t>Community/Sports</w:t>
            </w:r>
            <w:r>
              <w:rPr>
                <w:spacing w:val="-2"/>
                <w:sz w:val="14"/>
              </w:rPr>
              <w:t> </w:t>
            </w:r>
            <w:r>
              <w:rPr>
                <w:sz w:val="14"/>
              </w:rPr>
              <w:t>Group</w:t>
            </w:r>
            <w:r>
              <w:rPr>
                <w:spacing w:val="-5"/>
                <w:sz w:val="14"/>
              </w:rPr>
              <w:t> </w:t>
            </w:r>
            <w:r>
              <w:rPr>
                <w:sz w:val="14"/>
              </w:rPr>
              <w:t>-</w:t>
            </w:r>
            <w:r>
              <w:rPr>
                <w:spacing w:val="-3"/>
                <w:sz w:val="14"/>
              </w:rPr>
              <w:t> </w:t>
            </w:r>
            <w:r>
              <w:rPr>
                <w:sz w:val="14"/>
              </w:rPr>
              <w:t>Additional</w:t>
            </w:r>
            <w:r>
              <w:rPr>
                <w:spacing w:val="-2"/>
                <w:sz w:val="14"/>
              </w:rPr>
              <w:t> </w:t>
            </w:r>
            <w:r>
              <w:rPr>
                <w:sz w:val="14"/>
              </w:rPr>
              <w:t>Premises</w:t>
            </w:r>
            <w:r>
              <w:rPr>
                <w:spacing w:val="40"/>
                <w:sz w:val="14"/>
              </w:rPr>
              <w:t> </w:t>
            </w:r>
            <w:r>
              <w:rPr>
                <w:spacing w:val="-2"/>
                <w:sz w:val="14"/>
              </w:rPr>
              <w:t>TFP/MFV</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2" w:lineRule="exact"/>
              <w:ind w:left="27"/>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2" w:lineRule="exact"/>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2" w:lineRule="exact"/>
              <w:ind w:right="91"/>
              <w:jc w:val="right"/>
              <w:rPr>
                <w:sz w:val="14"/>
              </w:rPr>
            </w:pPr>
            <w:r>
              <w:rPr>
                <w:spacing w:val="-2"/>
                <w:sz w:val="14"/>
              </w:rPr>
              <w:t>116.00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2" w:lineRule="exact"/>
              <w:ind w:right="92"/>
              <w:jc w:val="right"/>
              <w:rPr>
                <w:sz w:val="14"/>
              </w:rPr>
            </w:pPr>
            <w:r>
              <w:rPr>
                <w:spacing w:val="-2"/>
                <w:sz w:val="14"/>
              </w:rPr>
              <w:t>121.00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2" w:lineRule="exact"/>
              <w:ind w:left="95" w:right="80"/>
              <w:jc w:val="center"/>
              <w:rPr>
                <w:sz w:val="14"/>
              </w:rPr>
            </w:pPr>
            <w:r>
              <w:rPr>
                <w:spacing w:val="-5"/>
                <w:sz w:val="14"/>
              </w:rPr>
              <w:t>4.1</w:t>
            </w:r>
          </w:p>
        </w:tc>
      </w:tr>
      <w:tr>
        <w:trPr>
          <w:trHeight w:val="388"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47"/>
              <w:ind w:left="107"/>
              <w:rPr>
                <w:sz w:val="14"/>
              </w:rPr>
            </w:pPr>
            <w:r>
              <w:rPr>
                <w:sz w:val="14"/>
              </w:rPr>
              <w:t>Food</w:t>
            </w:r>
            <w:r>
              <w:rPr>
                <w:spacing w:val="-4"/>
                <w:sz w:val="14"/>
              </w:rPr>
              <w:t> </w:t>
            </w:r>
            <w:r>
              <w:rPr>
                <w:sz w:val="14"/>
              </w:rPr>
              <w:t>Premises</w:t>
            </w:r>
            <w:r>
              <w:rPr>
                <w:spacing w:val="-2"/>
                <w:sz w:val="14"/>
              </w:rPr>
              <w:t> </w:t>
            </w:r>
            <w:r>
              <w:rPr>
                <w:sz w:val="14"/>
              </w:rPr>
              <w:t>Renewal</w:t>
            </w:r>
            <w:r>
              <w:rPr>
                <w:spacing w:val="-4"/>
                <w:sz w:val="14"/>
              </w:rPr>
              <w:t> </w:t>
            </w:r>
            <w:r>
              <w:rPr>
                <w:sz w:val="14"/>
              </w:rPr>
              <w:t>Fee</w:t>
            </w:r>
            <w:r>
              <w:rPr>
                <w:spacing w:val="-2"/>
                <w:sz w:val="14"/>
              </w:rPr>
              <w:t> </w:t>
            </w:r>
            <w:r>
              <w:rPr>
                <w:sz w:val="14"/>
              </w:rPr>
              <w:t>Class</w:t>
            </w:r>
            <w:r>
              <w:rPr>
                <w:spacing w:val="-2"/>
                <w:sz w:val="14"/>
              </w:rPr>
              <w:t> </w:t>
            </w:r>
            <w:r>
              <w:rPr>
                <w:sz w:val="14"/>
              </w:rPr>
              <w:t>2</w:t>
            </w:r>
            <w:r>
              <w:rPr>
                <w:spacing w:val="-5"/>
                <w:sz w:val="14"/>
              </w:rPr>
              <w:t> </w:t>
            </w:r>
            <w:r>
              <w:rPr>
                <w:sz w:val="14"/>
              </w:rPr>
              <w:t>Community/Sports</w:t>
            </w:r>
            <w:r>
              <w:rPr>
                <w:spacing w:val="-5"/>
                <w:sz w:val="14"/>
              </w:rPr>
              <w:t> </w:t>
            </w:r>
            <w:r>
              <w:rPr>
                <w:sz w:val="14"/>
              </w:rPr>
              <w:t>Group</w:t>
            </w:r>
            <w:r>
              <w:rPr>
                <w:spacing w:val="-2"/>
                <w:sz w:val="14"/>
              </w:rPr>
              <w:t> </w:t>
            </w:r>
            <w:r>
              <w:rPr>
                <w:sz w:val="14"/>
              </w:rPr>
              <w:t>-</w:t>
            </w:r>
            <w:r>
              <w:rPr>
                <w:spacing w:val="-5"/>
                <w:sz w:val="14"/>
              </w:rPr>
              <w:t> </w:t>
            </w:r>
            <w:r>
              <w:rPr>
                <w:sz w:val="14"/>
              </w:rPr>
              <w:t>Additional</w:t>
            </w:r>
            <w:r>
              <w:rPr>
                <w:spacing w:val="-4"/>
                <w:sz w:val="14"/>
              </w:rPr>
              <w:t> </w:t>
            </w:r>
            <w:r>
              <w:rPr>
                <w:sz w:val="14"/>
              </w:rPr>
              <w:t>Premises</w:t>
            </w:r>
            <w:r>
              <w:rPr>
                <w:spacing w:val="40"/>
                <w:sz w:val="14"/>
              </w:rPr>
              <w:t> </w:t>
            </w:r>
            <w:r>
              <w:rPr>
                <w:spacing w:val="-2"/>
                <w:sz w:val="14"/>
              </w:rPr>
              <w:t>TFP/MFV</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10"/>
              <w:rPr>
                <w:sz w:val="19"/>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10"/>
              <w:rPr>
                <w:sz w:val="19"/>
              </w:rPr>
            </w:pPr>
          </w:p>
          <w:p>
            <w:pPr>
              <w:pStyle w:val="TableParagraph"/>
              <w:spacing w:line="140" w:lineRule="exact"/>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10"/>
              <w:rPr>
                <w:sz w:val="19"/>
              </w:rPr>
            </w:pPr>
          </w:p>
          <w:p>
            <w:pPr>
              <w:pStyle w:val="TableParagraph"/>
              <w:spacing w:line="140" w:lineRule="exact"/>
              <w:ind w:right="91"/>
              <w:jc w:val="right"/>
              <w:rPr>
                <w:sz w:val="14"/>
              </w:rPr>
            </w:pPr>
            <w:r>
              <w:rPr>
                <w:spacing w:val="-2"/>
                <w:sz w:val="14"/>
              </w:rPr>
              <w:t>151.00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10"/>
              <w:rPr>
                <w:sz w:val="19"/>
              </w:rPr>
            </w:pPr>
          </w:p>
          <w:p>
            <w:pPr>
              <w:pStyle w:val="TableParagraph"/>
              <w:spacing w:line="140" w:lineRule="exact"/>
              <w:ind w:right="93"/>
              <w:jc w:val="right"/>
              <w:rPr>
                <w:sz w:val="14"/>
              </w:rPr>
            </w:pPr>
            <w:r>
              <w:rPr>
                <w:spacing w:val="-2"/>
                <w:sz w:val="14"/>
              </w:rPr>
              <w:t>164.00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10"/>
              <w:rPr>
                <w:sz w:val="19"/>
              </w:rPr>
            </w:pPr>
          </w:p>
          <w:p>
            <w:pPr>
              <w:pStyle w:val="TableParagraph"/>
              <w:spacing w:line="140" w:lineRule="exact"/>
              <w:ind w:left="95" w:right="79"/>
              <w:jc w:val="center"/>
              <w:rPr>
                <w:sz w:val="14"/>
              </w:rPr>
            </w:pPr>
            <w:r>
              <w:rPr>
                <w:spacing w:val="-5"/>
                <w:sz w:val="14"/>
              </w:rPr>
              <w:t>7.9</w:t>
            </w: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Pr>
                <w:sz w:val="14"/>
              </w:rPr>
            </w:pPr>
            <w:r>
              <w:rPr>
                <w:sz w:val="14"/>
              </w:rPr>
              <w:t>Food</w:t>
            </w:r>
            <w:r>
              <w:rPr>
                <w:spacing w:val="-4"/>
                <w:sz w:val="14"/>
              </w:rPr>
              <w:t> </w:t>
            </w:r>
            <w:r>
              <w:rPr>
                <w:sz w:val="14"/>
              </w:rPr>
              <w:t>Premises</w:t>
            </w:r>
            <w:r>
              <w:rPr>
                <w:spacing w:val="-2"/>
                <w:sz w:val="14"/>
              </w:rPr>
              <w:t> </w:t>
            </w:r>
            <w:r>
              <w:rPr>
                <w:sz w:val="14"/>
              </w:rPr>
              <w:t>Renewal</w:t>
            </w:r>
            <w:r>
              <w:rPr>
                <w:spacing w:val="-4"/>
                <w:sz w:val="14"/>
              </w:rPr>
              <w:t> </w:t>
            </w:r>
            <w:r>
              <w:rPr>
                <w:sz w:val="14"/>
              </w:rPr>
              <w:t>Fee</w:t>
            </w:r>
            <w:r>
              <w:rPr>
                <w:spacing w:val="-2"/>
                <w:sz w:val="14"/>
              </w:rPr>
              <w:t> </w:t>
            </w:r>
            <w:r>
              <w:rPr>
                <w:sz w:val="14"/>
              </w:rPr>
              <w:t>Class</w:t>
            </w:r>
            <w:r>
              <w:rPr>
                <w:spacing w:val="-2"/>
                <w:sz w:val="14"/>
              </w:rPr>
              <w:t> </w:t>
            </w:r>
            <w:r>
              <w:rPr>
                <w:sz w:val="14"/>
              </w:rPr>
              <w:t>3</w:t>
            </w:r>
            <w:r>
              <w:rPr>
                <w:spacing w:val="-5"/>
                <w:sz w:val="14"/>
              </w:rPr>
              <w:t> </w:t>
            </w:r>
            <w:r>
              <w:rPr>
                <w:sz w:val="14"/>
              </w:rPr>
              <w:t>Community/Sports</w:t>
            </w:r>
            <w:r>
              <w:rPr>
                <w:spacing w:val="-5"/>
                <w:sz w:val="14"/>
              </w:rPr>
              <w:t> </w:t>
            </w:r>
            <w:r>
              <w:rPr>
                <w:sz w:val="14"/>
              </w:rPr>
              <w:t>Group</w:t>
            </w:r>
            <w:r>
              <w:rPr>
                <w:spacing w:val="-2"/>
                <w:sz w:val="14"/>
              </w:rPr>
              <w:t> </w:t>
            </w:r>
            <w:r>
              <w:rPr>
                <w:sz w:val="14"/>
              </w:rPr>
              <w:t>-</w:t>
            </w:r>
            <w:r>
              <w:rPr>
                <w:spacing w:val="-5"/>
                <w:sz w:val="14"/>
              </w:rPr>
              <w:t> </w:t>
            </w:r>
            <w:r>
              <w:rPr>
                <w:sz w:val="14"/>
              </w:rPr>
              <w:t>Additional</w:t>
            </w:r>
            <w:r>
              <w:rPr>
                <w:spacing w:val="-4"/>
                <w:sz w:val="14"/>
              </w:rPr>
              <w:t> </w:t>
            </w:r>
            <w:r>
              <w:rPr>
                <w:sz w:val="14"/>
              </w:rPr>
              <w:t>Premises</w:t>
            </w:r>
            <w:r>
              <w:rPr>
                <w:spacing w:val="40"/>
                <w:sz w:val="14"/>
              </w:rPr>
              <w:t> </w:t>
            </w:r>
            <w:r>
              <w:rPr>
                <w:spacing w:val="-2"/>
                <w:sz w:val="14"/>
              </w:rPr>
              <w:t>TFP/MFV</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1"/>
              <w:jc w:val="right"/>
              <w:rPr>
                <w:sz w:val="14"/>
              </w:rPr>
            </w:pPr>
            <w:r>
              <w:rPr>
                <w:spacing w:val="-2"/>
                <w:sz w:val="14"/>
              </w:rPr>
              <w:t>116.00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3"/>
              <w:jc w:val="right"/>
              <w:rPr>
                <w:sz w:val="14"/>
              </w:rPr>
            </w:pPr>
            <w:r>
              <w:rPr>
                <w:spacing w:val="-2"/>
                <w:sz w:val="14"/>
              </w:rPr>
              <w:t>121.00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0" w:lineRule="exact"/>
              <w:ind w:left="95" w:right="79"/>
              <w:jc w:val="center"/>
              <w:rPr>
                <w:sz w:val="14"/>
              </w:rPr>
            </w:pPr>
            <w:r>
              <w:rPr>
                <w:spacing w:val="-5"/>
                <w:sz w:val="14"/>
              </w:rPr>
              <w:t>4.1</w:t>
            </w:r>
          </w:p>
        </w:tc>
      </w:tr>
      <w:tr>
        <w:trPr>
          <w:trHeight w:val="36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20"/>
              <w:ind w:left="107"/>
              <w:rPr>
                <w:sz w:val="14"/>
              </w:rPr>
            </w:pPr>
            <w:r>
              <w:rPr>
                <w:sz w:val="14"/>
              </w:rPr>
              <w:t>Once</w:t>
            </w:r>
            <w:r>
              <w:rPr>
                <w:spacing w:val="-3"/>
                <w:sz w:val="14"/>
              </w:rPr>
              <w:t> </w:t>
            </w:r>
            <w:r>
              <w:rPr>
                <w:sz w:val="14"/>
              </w:rPr>
              <w:t>off</w:t>
            </w:r>
            <w:r>
              <w:rPr>
                <w:spacing w:val="-4"/>
                <w:sz w:val="14"/>
              </w:rPr>
              <w:t> </w:t>
            </w:r>
            <w:r>
              <w:rPr>
                <w:sz w:val="14"/>
              </w:rPr>
              <w:t>registration</w:t>
            </w:r>
            <w:r>
              <w:rPr>
                <w:spacing w:val="-3"/>
                <w:sz w:val="14"/>
              </w:rPr>
              <w:t> </w:t>
            </w:r>
            <w:r>
              <w:rPr>
                <w:sz w:val="14"/>
              </w:rPr>
              <w:t>(no</w:t>
            </w:r>
            <w:r>
              <w:rPr>
                <w:spacing w:val="-5"/>
                <w:sz w:val="14"/>
              </w:rPr>
              <w:t> </w:t>
            </w:r>
            <w:r>
              <w:rPr>
                <w:sz w:val="14"/>
              </w:rPr>
              <w:t>fixed</w:t>
            </w:r>
            <w:r>
              <w:rPr>
                <w:spacing w:val="-3"/>
                <w:sz w:val="14"/>
              </w:rPr>
              <w:t> </w:t>
            </w:r>
            <w:r>
              <w:rPr>
                <w:sz w:val="14"/>
              </w:rPr>
              <w:t>prem)</w:t>
            </w:r>
            <w:r>
              <w:rPr>
                <w:spacing w:val="-4"/>
                <w:sz w:val="14"/>
              </w:rPr>
              <w:t> </w:t>
            </w:r>
            <w:r>
              <w:rPr>
                <w:sz w:val="14"/>
              </w:rPr>
              <w:t>Class</w:t>
            </w:r>
            <w:r>
              <w:rPr>
                <w:spacing w:val="-4"/>
                <w:sz w:val="14"/>
              </w:rPr>
              <w:t> </w:t>
            </w:r>
            <w:r>
              <w:rPr>
                <w:sz w:val="14"/>
              </w:rPr>
              <w:t>2</w:t>
            </w:r>
            <w:r>
              <w:rPr>
                <w:spacing w:val="-2"/>
                <w:sz w:val="14"/>
              </w:rPr>
              <w:t> </w:t>
            </w:r>
            <w:r>
              <w:rPr>
                <w:sz w:val="14"/>
              </w:rPr>
              <w:t>Comm/Sports</w:t>
            </w:r>
            <w:r>
              <w:rPr>
                <w:spacing w:val="-2"/>
                <w:sz w:val="14"/>
              </w:rPr>
              <w:t> </w:t>
            </w:r>
            <w:r>
              <w:rPr>
                <w:sz w:val="14"/>
              </w:rPr>
              <w:t>Group</w:t>
            </w:r>
            <w:r>
              <w:rPr>
                <w:spacing w:val="-5"/>
                <w:sz w:val="14"/>
              </w:rPr>
              <w:t> </w:t>
            </w:r>
            <w:r>
              <w:rPr>
                <w:sz w:val="14"/>
              </w:rPr>
              <w:t>(including</w:t>
            </w:r>
            <w:r>
              <w:rPr>
                <w:spacing w:val="-2"/>
                <w:sz w:val="14"/>
              </w:rPr>
              <w:t> </w:t>
            </w:r>
            <w:r>
              <w:rPr>
                <w:sz w:val="14"/>
              </w:rPr>
              <w:t>fete)</w:t>
            </w:r>
            <w:r>
              <w:rPr>
                <w:spacing w:val="-2"/>
                <w:sz w:val="14"/>
              </w:rPr>
              <w:t> </w:t>
            </w:r>
            <w:r>
              <w:rPr>
                <w:sz w:val="14"/>
              </w:rPr>
              <w:t>(not</w:t>
            </w:r>
            <w:r>
              <w:rPr>
                <w:spacing w:val="40"/>
                <w:sz w:val="14"/>
              </w:rPr>
              <w:t> </w:t>
            </w:r>
            <w:r>
              <w:rPr>
                <w:spacing w:val="-2"/>
                <w:sz w:val="14"/>
              </w:rPr>
              <w:t>prorata)</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2" w:lineRule="exact"/>
              <w:ind w:left="28"/>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2" w:lineRule="exact"/>
              <w:ind w:left="304"/>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2" w:lineRule="exact"/>
              <w:ind w:right="91"/>
              <w:jc w:val="right"/>
              <w:rPr>
                <w:sz w:val="14"/>
              </w:rPr>
            </w:pPr>
            <w:r>
              <w:rPr>
                <w:spacing w:val="-2"/>
                <w:sz w:val="14"/>
              </w:rPr>
              <w:t>151.00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2" w:lineRule="exact"/>
              <w:ind w:right="93"/>
              <w:jc w:val="right"/>
              <w:rPr>
                <w:sz w:val="14"/>
              </w:rPr>
            </w:pPr>
            <w:r>
              <w:rPr>
                <w:spacing w:val="-2"/>
                <w:sz w:val="14"/>
              </w:rPr>
              <w:t>164.00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2" w:lineRule="exact"/>
              <w:ind w:left="95" w:right="80"/>
              <w:jc w:val="center"/>
              <w:rPr>
                <w:sz w:val="14"/>
              </w:rPr>
            </w:pPr>
            <w:r>
              <w:rPr>
                <w:spacing w:val="-5"/>
                <w:sz w:val="14"/>
              </w:rPr>
              <w:t>7.9</w:t>
            </w: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Pr>
                <w:sz w:val="14"/>
              </w:rPr>
            </w:pPr>
            <w:r>
              <w:rPr>
                <w:sz w:val="14"/>
              </w:rPr>
              <w:t>Once</w:t>
            </w:r>
            <w:r>
              <w:rPr>
                <w:spacing w:val="-3"/>
                <w:sz w:val="14"/>
              </w:rPr>
              <w:t> </w:t>
            </w:r>
            <w:r>
              <w:rPr>
                <w:sz w:val="14"/>
              </w:rPr>
              <w:t>off</w:t>
            </w:r>
            <w:r>
              <w:rPr>
                <w:spacing w:val="-4"/>
                <w:sz w:val="14"/>
              </w:rPr>
              <w:t> </w:t>
            </w:r>
            <w:r>
              <w:rPr>
                <w:sz w:val="14"/>
              </w:rPr>
              <w:t>registration</w:t>
            </w:r>
            <w:r>
              <w:rPr>
                <w:spacing w:val="-3"/>
                <w:sz w:val="14"/>
              </w:rPr>
              <w:t> </w:t>
            </w:r>
            <w:r>
              <w:rPr>
                <w:sz w:val="14"/>
              </w:rPr>
              <w:t>(no</w:t>
            </w:r>
            <w:r>
              <w:rPr>
                <w:spacing w:val="-5"/>
                <w:sz w:val="14"/>
              </w:rPr>
              <w:t> </w:t>
            </w:r>
            <w:r>
              <w:rPr>
                <w:sz w:val="14"/>
              </w:rPr>
              <w:t>fixed</w:t>
            </w:r>
            <w:r>
              <w:rPr>
                <w:spacing w:val="-3"/>
                <w:sz w:val="14"/>
              </w:rPr>
              <w:t> </w:t>
            </w:r>
            <w:r>
              <w:rPr>
                <w:sz w:val="14"/>
              </w:rPr>
              <w:t>prem)</w:t>
            </w:r>
            <w:r>
              <w:rPr>
                <w:spacing w:val="-4"/>
                <w:sz w:val="14"/>
              </w:rPr>
              <w:t> </w:t>
            </w:r>
            <w:r>
              <w:rPr>
                <w:sz w:val="14"/>
              </w:rPr>
              <w:t>Class</w:t>
            </w:r>
            <w:r>
              <w:rPr>
                <w:spacing w:val="-4"/>
                <w:sz w:val="14"/>
              </w:rPr>
              <w:t> </w:t>
            </w:r>
            <w:r>
              <w:rPr>
                <w:sz w:val="14"/>
              </w:rPr>
              <w:t>3</w:t>
            </w:r>
            <w:r>
              <w:rPr>
                <w:spacing w:val="-2"/>
                <w:sz w:val="14"/>
              </w:rPr>
              <w:t> </w:t>
            </w:r>
            <w:r>
              <w:rPr>
                <w:sz w:val="14"/>
              </w:rPr>
              <w:t>Comm/Sports</w:t>
            </w:r>
            <w:r>
              <w:rPr>
                <w:spacing w:val="-2"/>
                <w:sz w:val="14"/>
              </w:rPr>
              <w:t> </w:t>
            </w:r>
            <w:r>
              <w:rPr>
                <w:sz w:val="14"/>
              </w:rPr>
              <w:t>Group</w:t>
            </w:r>
            <w:r>
              <w:rPr>
                <w:spacing w:val="-5"/>
                <w:sz w:val="14"/>
              </w:rPr>
              <w:t> </w:t>
            </w:r>
            <w:r>
              <w:rPr>
                <w:sz w:val="14"/>
              </w:rPr>
              <w:t>(including</w:t>
            </w:r>
            <w:r>
              <w:rPr>
                <w:spacing w:val="-2"/>
                <w:sz w:val="14"/>
              </w:rPr>
              <w:t> </w:t>
            </w:r>
            <w:r>
              <w:rPr>
                <w:sz w:val="14"/>
              </w:rPr>
              <w:t>fete)</w:t>
            </w:r>
            <w:r>
              <w:rPr>
                <w:spacing w:val="-2"/>
                <w:sz w:val="14"/>
              </w:rPr>
              <w:t> </w:t>
            </w:r>
            <w:r>
              <w:rPr>
                <w:sz w:val="14"/>
              </w:rPr>
              <w:t>(not</w:t>
            </w:r>
            <w:r>
              <w:rPr>
                <w:spacing w:val="40"/>
                <w:sz w:val="14"/>
              </w:rPr>
              <w:t> </w:t>
            </w:r>
            <w:r>
              <w:rPr>
                <w:spacing w:val="-2"/>
                <w:sz w:val="14"/>
              </w:rPr>
              <w:t>prorata)</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1"/>
              <w:jc w:val="right"/>
              <w:rPr>
                <w:sz w:val="14"/>
              </w:rPr>
            </w:pPr>
            <w:r>
              <w:rPr>
                <w:spacing w:val="-2"/>
                <w:sz w:val="14"/>
              </w:rPr>
              <w:t>116.00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3"/>
              <w:jc w:val="right"/>
              <w:rPr>
                <w:sz w:val="14"/>
              </w:rPr>
            </w:pPr>
            <w:r>
              <w:rPr>
                <w:spacing w:val="-2"/>
                <w:sz w:val="14"/>
              </w:rPr>
              <w:t>121.00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0" w:lineRule="exact"/>
              <w:ind w:left="95" w:right="79"/>
              <w:jc w:val="center"/>
              <w:rPr>
                <w:sz w:val="14"/>
              </w:rPr>
            </w:pPr>
            <w:r>
              <w:rPr>
                <w:spacing w:val="-5"/>
                <w:sz w:val="14"/>
              </w:rPr>
              <w:t>4.1</w:t>
            </w:r>
          </w:p>
        </w:tc>
      </w:tr>
    </w:tbl>
    <w:p>
      <w:pPr>
        <w:spacing w:after="0" w:line="140" w:lineRule="exact"/>
        <w:jc w:val="center"/>
        <w:rPr>
          <w:sz w:val="14"/>
        </w:rPr>
        <w:sectPr>
          <w:type w:val="continuous"/>
          <w:pgSz w:w="11910" w:h="16840"/>
          <w:pgMar w:header="0" w:footer="378" w:top="680" w:bottom="744" w:left="520" w:right="520"/>
        </w:sectPr>
      </w:pPr>
    </w:p>
    <w:tbl>
      <w:tblPr>
        <w:tblW w:w="0" w:type="auto"/>
        <w:jc w:val="left"/>
        <w:tblInd w:w="13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70"/>
        <w:gridCol w:w="1028"/>
        <w:gridCol w:w="769"/>
        <w:gridCol w:w="973"/>
        <w:gridCol w:w="1199"/>
        <w:gridCol w:w="897"/>
      </w:tblGrid>
      <w:tr>
        <w:trPr>
          <w:trHeight w:val="232" w:hRule="atLeast"/>
        </w:trPr>
        <w:tc>
          <w:tcPr>
            <w:tcW w:w="10636" w:type="dxa"/>
            <w:gridSpan w:val="6"/>
            <w:tcBorders>
              <w:left w:val="single" w:sz="12" w:space="0" w:color="000000"/>
              <w:bottom w:val="single" w:sz="4" w:space="0" w:color="000000"/>
              <w:right w:val="single" w:sz="12" w:space="0" w:color="000000"/>
            </w:tcBorders>
            <w:shd w:val="clear" w:color="auto" w:fill="3399FF"/>
          </w:tcPr>
          <w:p>
            <w:pPr>
              <w:pStyle w:val="TableParagraph"/>
              <w:spacing w:before="32"/>
              <w:ind w:left="4308" w:right="4290"/>
              <w:jc w:val="center"/>
              <w:rPr>
                <w:b/>
                <w:sz w:val="14"/>
              </w:rPr>
            </w:pPr>
            <w:r>
              <w:rPr>
                <w:b/>
                <w:color w:val="FFFFFF"/>
                <w:sz w:val="14"/>
              </w:rPr>
              <w:t>FEES</w:t>
            </w:r>
            <w:r>
              <w:rPr>
                <w:b/>
                <w:color w:val="FFFFFF"/>
                <w:spacing w:val="-5"/>
                <w:sz w:val="14"/>
              </w:rPr>
              <w:t> </w:t>
            </w:r>
            <w:r>
              <w:rPr>
                <w:b/>
                <w:color w:val="FFFFFF"/>
                <w:sz w:val="14"/>
              </w:rPr>
              <w:t>AND</w:t>
            </w:r>
            <w:r>
              <w:rPr>
                <w:b/>
                <w:color w:val="FFFFFF"/>
                <w:spacing w:val="-4"/>
                <w:sz w:val="14"/>
              </w:rPr>
              <w:t> </w:t>
            </w:r>
            <w:r>
              <w:rPr>
                <w:b/>
                <w:color w:val="FFFFFF"/>
                <w:sz w:val="14"/>
              </w:rPr>
              <w:t>CHARGES</w:t>
            </w:r>
            <w:r>
              <w:rPr>
                <w:b/>
                <w:color w:val="FFFFFF"/>
                <w:spacing w:val="-1"/>
                <w:sz w:val="14"/>
              </w:rPr>
              <w:t> </w:t>
            </w:r>
            <w:r>
              <w:rPr>
                <w:b/>
                <w:color w:val="FFFFFF"/>
                <w:spacing w:val="-2"/>
                <w:sz w:val="14"/>
              </w:rPr>
              <w:t>2025/26</w:t>
            </w:r>
          </w:p>
        </w:tc>
      </w:tr>
      <w:tr>
        <w:trPr>
          <w:trHeight w:val="858" w:hRule="atLeast"/>
        </w:trPr>
        <w:tc>
          <w:tcPr>
            <w:tcW w:w="5770" w:type="dxa"/>
            <w:tcBorders>
              <w:top w:val="single" w:sz="4" w:space="0" w:color="000000"/>
              <w:left w:val="single" w:sz="12" w:space="0" w:color="000000"/>
              <w:bottom w:val="single" w:sz="4" w:space="0" w:color="000000"/>
              <w:right w:val="single" w:sz="4"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107"/>
              <w:rPr>
                <w:b/>
                <w:sz w:val="14"/>
              </w:rPr>
            </w:pPr>
            <w:r>
              <w:rPr>
                <w:b/>
                <w:color w:val="FFFFFF"/>
                <w:sz w:val="14"/>
              </w:rPr>
              <w:t>Account</w:t>
            </w:r>
            <w:r>
              <w:rPr>
                <w:b/>
                <w:color w:val="FFFFFF"/>
                <w:spacing w:val="-7"/>
                <w:sz w:val="14"/>
              </w:rPr>
              <w:t> </w:t>
            </w:r>
            <w:r>
              <w:rPr>
                <w:b/>
                <w:color w:val="FFFFFF"/>
                <w:spacing w:val="-2"/>
                <w:sz w:val="14"/>
              </w:rPr>
              <w:t>Description</w:t>
            </w:r>
          </w:p>
        </w:tc>
        <w:tc>
          <w:tcPr>
            <w:tcW w:w="1028"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26" w:right="101" w:firstLine="4"/>
              <w:jc w:val="center"/>
              <w:rPr>
                <w:b/>
                <w:sz w:val="14"/>
              </w:rPr>
            </w:pPr>
            <w:r>
              <w:rPr>
                <w:b/>
                <w:color w:val="FFFFFF"/>
                <w:sz w:val="14"/>
              </w:rPr>
              <w:t>Fee</w:t>
            </w:r>
            <w:r>
              <w:rPr>
                <w:b/>
                <w:color w:val="FFFFFF"/>
                <w:spacing w:val="-6"/>
                <w:sz w:val="14"/>
              </w:rPr>
              <w:t> </w:t>
            </w:r>
            <w:r>
              <w:rPr>
                <w:b/>
                <w:color w:val="FFFFFF"/>
                <w:sz w:val="14"/>
              </w:rPr>
              <w:t>Type</w:t>
            </w:r>
            <w:r>
              <w:rPr>
                <w:b/>
                <w:color w:val="FFFFFF"/>
                <w:spacing w:val="40"/>
                <w:sz w:val="14"/>
              </w:rPr>
              <w:t> </w:t>
            </w:r>
            <w:r>
              <w:rPr>
                <w:b/>
                <w:color w:val="FFFFFF"/>
                <w:spacing w:val="-2"/>
                <w:sz w:val="14"/>
              </w:rPr>
              <w:t>N=Non-</w:t>
            </w:r>
            <w:r>
              <w:rPr>
                <w:b/>
                <w:color w:val="FFFFFF"/>
                <w:spacing w:val="40"/>
                <w:sz w:val="14"/>
              </w:rPr>
              <w:t> </w:t>
            </w:r>
            <w:r>
              <w:rPr>
                <w:b/>
                <w:color w:val="FFFFFF"/>
                <w:spacing w:val="-2"/>
                <w:sz w:val="14"/>
              </w:rPr>
              <w:t>Statutory</w:t>
            </w:r>
            <w:r>
              <w:rPr>
                <w:b/>
                <w:color w:val="FFFFFF"/>
                <w:spacing w:val="40"/>
                <w:sz w:val="14"/>
              </w:rPr>
              <w:t> </w:t>
            </w:r>
            <w:r>
              <w:rPr>
                <w:b/>
                <w:color w:val="FFFFFF"/>
                <w:spacing w:val="-2"/>
                <w:sz w:val="14"/>
              </w:rPr>
              <w:t>S=Statutory</w:t>
            </w:r>
          </w:p>
        </w:tc>
        <w:tc>
          <w:tcPr>
            <w:tcW w:w="76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4"/>
              <w:rPr>
                <w:sz w:val="23"/>
              </w:rPr>
            </w:pPr>
          </w:p>
          <w:p>
            <w:pPr>
              <w:pStyle w:val="TableParagraph"/>
              <w:spacing w:before="1"/>
              <w:ind w:left="248"/>
              <w:rPr>
                <w:b/>
                <w:sz w:val="14"/>
              </w:rPr>
            </w:pPr>
            <w:r>
              <w:rPr>
                <w:b/>
                <w:color w:val="FFFFFF"/>
                <w:spacing w:val="-5"/>
                <w:sz w:val="14"/>
              </w:rPr>
              <w:t>GST</w:t>
            </w:r>
          </w:p>
          <w:p>
            <w:pPr>
              <w:pStyle w:val="TableParagraph"/>
              <w:ind w:left="154"/>
              <w:rPr>
                <w:b/>
                <w:sz w:val="14"/>
              </w:rPr>
            </w:pPr>
            <w:r>
              <w:rPr>
                <w:b/>
                <w:color w:val="FFFFFF"/>
                <w:spacing w:val="-2"/>
                <w:sz w:val="14"/>
              </w:rPr>
              <w:t>Yes/No</w:t>
            </w:r>
          </w:p>
        </w:tc>
        <w:tc>
          <w:tcPr>
            <w:tcW w:w="973"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05" w:right="84"/>
              <w:jc w:val="center"/>
              <w:rPr>
                <w:b/>
                <w:sz w:val="14"/>
              </w:rPr>
            </w:pPr>
            <w:r>
              <w:rPr>
                <w:b/>
                <w:color w:val="FFFFFF"/>
                <w:spacing w:val="-2"/>
                <w:sz w:val="14"/>
              </w:rPr>
              <w:t>2024/25</w:t>
            </w:r>
          </w:p>
          <w:p>
            <w:pPr>
              <w:pStyle w:val="TableParagraph"/>
              <w:ind w:left="189" w:right="168" w:firstLine="1"/>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40"/>
                <w:sz w:val="14"/>
              </w:rPr>
              <w:t> </w:t>
            </w:r>
            <w:r>
              <w:rPr>
                <w:b/>
                <w:color w:val="FFFFFF"/>
                <w:sz w:val="14"/>
              </w:rPr>
              <w:t>Incl.</w:t>
            </w:r>
            <w:r>
              <w:rPr>
                <w:b/>
                <w:color w:val="FFFFFF"/>
                <w:spacing w:val="-5"/>
                <w:sz w:val="14"/>
              </w:rPr>
              <w:t> </w:t>
            </w:r>
            <w:r>
              <w:rPr>
                <w:b/>
                <w:color w:val="FFFFFF"/>
                <w:spacing w:val="-5"/>
                <w:sz w:val="14"/>
              </w:rPr>
              <w:t>GST</w:t>
            </w:r>
          </w:p>
        </w:tc>
        <w:tc>
          <w:tcPr>
            <w:tcW w:w="119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56" w:right="137"/>
              <w:jc w:val="center"/>
              <w:rPr>
                <w:b/>
                <w:sz w:val="14"/>
              </w:rPr>
            </w:pPr>
            <w:r>
              <w:rPr>
                <w:b/>
                <w:color w:val="FFFFFF"/>
                <w:spacing w:val="-2"/>
                <w:sz w:val="14"/>
              </w:rPr>
              <w:t>2025/26</w:t>
            </w:r>
          </w:p>
          <w:p>
            <w:pPr>
              <w:pStyle w:val="TableParagraph"/>
              <w:ind w:left="164" w:right="146" w:firstLine="2"/>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8"/>
                <w:sz w:val="14"/>
              </w:rPr>
              <w:t> </w:t>
            </w:r>
            <w:r>
              <w:rPr>
                <w:b/>
                <w:color w:val="FFFFFF"/>
                <w:spacing w:val="-2"/>
                <w:sz w:val="14"/>
              </w:rPr>
              <w:t>Incl.</w:t>
            </w:r>
          </w:p>
          <w:p>
            <w:pPr>
              <w:pStyle w:val="TableParagraph"/>
              <w:spacing w:line="161" w:lineRule="exact"/>
              <w:ind w:left="153" w:right="137"/>
              <w:jc w:val="center"/>
              <w:rPr>
                <w:b/>
                <w:sz w:val="14"/>
              </w:rPr>
            </w:pPr>
            <w:r>
              <w:rPr>
                <w:b/>
                <w:color w:val="FFFFFF"/>
                <w:spacing w:val="-5"/>
                <w:sz w:val="14"/>
              </w:rPr>
              <w:t>GST</w:t>
            </w:r>
          </w:p>
        </w:tc>
        <w:tc>
          <w:tcPr>
            <w:tcW w:w="897" w:type="dxa"/>
            <w:tcBorders>
              <w:top w:val="single" w:sz="4" w:space="0" w:color="000000"/>
              <w:left w:val="single" w:sz="4" w:space="0" w:color="000000"/>
              <w:bottom w:val="single" w:sz="4" w:space="0" w:color="000000"/>
              <w:right w:val="single" w:sz="12"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95" w:right="81"/>
              <w:jc w:val="center"/>
              <w:rPr>
                <w:b/>
                <w:sz w:val="14"/>
              </w:rPr>
            </w:pPr>
            <w:r>
              <w:rPr>
                <w:b/>
                <w:color w:val="FFFFFF"/>
                <w:sz w:val="14"/>
              </w:rPr>
              <w:t>%</w:t>
            </w:r>
            <w:r>
              <w:rPr>
                <w:b/>
                <w:color w:val="FFFFFF"/>
                <w:spacing w:val="-4"/>
                <w:sz w:val="14"/>
              </w:rPr>
              <w:t> </w:t>
            </w:r>
            <w:r>
              <w:rPr>
                <w:b/>
                <w:color w:val="FFFFFF"/>
                <w:spacing w:val="-2"/>
                <w:sz w:val="14"/>
              </w:rPr>
              <w:t>Change</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Food</w:t>
            </w:r>
            <w:r>
              <w:rPr>
                <w:spacing w:val="-5"/>
                <w:sz w:val="14"/>
              </w:rPr>
              <w:t> </w:t>
            </w:r>
            <w:r>
              <w:rPr>
                <w:sz w:val="14"/>
              </w:rPr>
              <w:t>Premises</w:t>
            </w:r>
            <w:r>
              <w:rPr>
                <w:spacing w:val="-3"/>
                <w:sz w:val="14"/>
              </w:rPr>
              <w:t> </w:t>
            </w:r>
            <w:r>
              <w:rPr>
                <w:sz w:val="14"/>
              </w:rPr>
              <w:t>Additional</w:t>
            </w:r>
            <w:r>
              <w:rPr>
                <w:spacing w:val="-4"/>
                <w:sz w:val="14"/>
              </w:rPr>
              <w:t> </w:t>
            </w:r>
            <w:r>
              <w:rPr>
                <w:sz w:val="14"/>
              </w:rPr>
              <w:t>/</w:t>
            </w:r>
            <w:r>
              <w:rPr>
                <w:spacing w:val="-3"/>
                <w:sz w:val="14"/>
              </w:rPr>
              <w:t> </w:t>
            </w:r>
            <w:r>
              <w:rPr>
                <w:sz w:val="14"/>
              </w:rPr>
              <w:t>Follow</w:t>
            </w:r>
            <w:r>
              <w:rPr>
                <w:spacing w:val="-3"/>
                <w:sz w:val="14"/>
              </w:rPr>
              <w:t> </w:t>
            </w:r>
            <w:r>
              <w:rPr>
                <w:sz w:val="14"/>
              </w:rPr>
              <w:t>up</w:t>
            </w:r>
            <w:r>
              <w:rPr>
                <w:spacing w:val="-5"/>
                <w:sz w:val="14"/>
              </w:rPr>
              <w:t> </w:t>
            </w:r>
            <w:r>
              <w:rPr>
                <w:sz w:val="14"/>
              </w:rPr>
              <w:t>Inspection</w:t>
            </w:r>
            <w:r>
              <w:rPr>
                <w:spacing w:val="-6"/>
                <w:sz w:val="14"/>
              </w:rPr>
              <w:t> </w:t>
            </w:r>
            <w:r>
              <w:rPr>
                <w:sz w:val="14"/>
              </w:rPr>
              <w:t>/</w:t>
            </w:r>
            <w:r>
              <w:rPr>
                <w:spacing w:val="-5"/>
                <w:sz w:val="14"/>
              </w:rPr>
              <w:t> </w:t>
            </w:r>
            <w:r>
              <w:rPr>
                <w:sz w:val="14"/>
              </w:rPr>
              <w:t>Pre-Renewal</w:t>
            </w:r>
            <w:r>
              <w:rPr>
                <w:spacing w:val="-5"/>
                <w:sz w:val="14"/>
              </w:rPr>
              <w:t> </w:t>
            </w:r>
            <w:r>
              <w:rPr>
                <w:spacing w:val="-2"/>
                <w:sz w:val="14"/>
              </w:rPr>
              <w:t>Inspection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226.00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3"/>
              <w:jc w:val="right"/>
              <w:rPr>
                <w:sz w:val="14"/>
              </w:rPr>
            </w:pPr>
            <w:r>
              <w:rPr>
                <w:spacing w:val="-2"/>
                <w:sz w:val="14"/>
              </w:rPr>
              <w:t>238.00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5.0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Food</w:t>
            </w:r>
            <w:r>
              <w:rPr>
                <w:spacing w:val="-4"/>
                <w:sz w:val="14"/>
              </w:rPr>
              <w:t> </w:t>
            </w:r>
            <w:r>
              <w:rPr>
                <w:sz w:val="14"/>
              </w:rPr>
              <w:t>Premises</w:t>
            </w:r>
            <w:r>
              <w:rPr>
                <w:spacing w:val="-3"/>
                <w:sz w:val="14"/>
              </w:rPr>
              <w:t> </w:t>
            </w:r>
            <w:r>
              <w:rPr>
                <w:sz w:val="14"/>
              </w:rPr>
              <w:t>New</w:t>
            </w:r>
            <w:r>
              <w:rPr>
                <w:spacing w:val="-4"/>
                <w:sz w:val="14"/>
              </w:rPr>
              <w:t> </w:t>
            </w:r>
            <w:r>
              <w:rPr>
                <w:sz w:val="14"/>
              </w:rPr>
              <w:t>Proprietor</w:t>
            </w:r>
            <w:r>
              <w:rPr>
                <w:spacing w:val="-4"/>
                <w:sz w:val="14"/>
              </w:rPr>
              <w:t> </w:t>
            </w:r>
            <w:r>
              <w:rPr>
                <w:sz w:val="14"/>
              </w:rPr>
              <w:t>Fee</w:t>
            </w:r>
            <w:r>
              <w:rPr>
                <w:spacing w:val="-3"/>
                <w:sz w:val="14"/>
              </w:rPr>
              <w:t> </w:t>
            </w:r>
            <w:r>
              <w:rPr>
                <w:sz w:val="14"/>
              </w:rPr>
              <w:t>(Class</w:t>
            </w:r>
            <w:r>
              <w:rPr>
                <w:spacing w:val="-4"/>
                <w:sz w:val="14"/>
              </w:rPr>
              <w:t> </w:t>
            </w:r>
            <w:r>
              <w:rPr>
                <w:sz w:val="14"/>
              </w:rPr>
              <w:t>1,2</w:t>
            </w:r>
            <w:r>
              <w:rPr>
                <w:spacing w:val="-5"/>
                <w:sz w:val="14"/>
              </w:rPr>
              <w:t> </w:t>
            </w:r>
            <w:r>
              <w:rPr>
                <w:sz w:val="14"/>
              </w:rPr>
              <w:t>&amp;</w:t>
            </w:r>
            <w:r>
              <w:rPr>
                <w:spacing w:val="-1"/>
                <w:sz w:val="14"/>
              </w:rPr>
              <w:t> </w:t>
            </w:r>
            <w:r>
              <w:rPr>
                <w:spacing w:val="-5"/>
                <w:sz w:val="14"/>
              </w:rPr>
              <w:t>3)</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280.00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293.00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4.4</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Plans</w:t>
            </w:r>
            <w:r>
              <w:rPr>
                <w:spacing w:val="-6"/>
                <w:sz w:val="14"/>
              </w:rPr>
              <w:t> </w:t>
            </w:r>
            <w:r>
              <w:rPr>
                <w:sz w:val="14"/>
              </w:rPr>
              <w:t>Assessment</w:t>
            </w:r>
            <w:r>
              <w:rPr>
                <w:spacing w:val="-5"/>
                <w:sz w:val="14"/>
              </w:rPr>
              <w:t> </w:t>
            </w:r>
            <w:r>
              <w:rPr>
                <w:sz w:val="14"/>
              </w:rPr>
              <w:t>(Optional</w:t>
            </w:r>
            <w:r>
              <w:rPr>
                <w:spacing w:val="-5"/>
                <w:sz w:val="14"/>
              </w:rPr>
              <w:t> </w:t>
            </w:r>
            <w:r>
              <w:rPr>
                <w:sz w:val="14"/>
              </w:rPr>
              <w:t>all</w:t>
            </w:r>
            <w:r>
              <w:rPr>
                <w:spacing w:val="-3"/>
                <w:sz w:val="14"/>
              </w:rPr>
              <w:t> </w:t>
            </w:r>
            <w:r>
              <w:rPr>
                <w:spacing w:val="-2"/>
                <w:sz w:val="14"/>
              </w:rPr>
              <w:t>premises)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203.00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213.00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Food</w:t>
            </w:r>
            <w:r>
              <w:rPr>
                <w:spacing w:val="-6"/>
                <w:sz w:val="14"/>
              </w:rPr>
              <w:t> </w:t>
            </w:r>
            <w:r>
              <w:rPr>
                <w:sz w:val="14"/>
              </w:rPr>
              <w:t>Premises</w:t>
            </w:r>
            <w:r>
              <w:rPr>
                <w:spacing w:val="-3"/>
                <w:sz w:val="14"/>
              </w:rPr>
              <w:t> </w:t>
            </w:r>
            <w:r>
              <w:rPr>
                <w:sz w:val="14"/>
              </w:rPr>
              <w:t>Registration</w:t>
            </w:r>
            <w:r>
              <w:rPr>
                <w:spacing w:val="-5"/>
                <w:sz w:val="14"/>
              </w:rPr>
              <w:t> </w:t>
            </w:r>
            <w:r>
              <w:rPr>
                <w:sz w:val="14"/>
              </w:rPr>
              <w:t>Fee</w:t>
            </w:r>
            <w:r>
              <w:rPr>
                <w:spacing w:val="-7"/>
                <w:sz w:val="14"/>
              </w:rPr>
              <w:t> </w:t>
            </w:r>
            <w:r>
              <w:rPr>
                <w:sz w:val="14"/>
              </w:rPr>
              <w:t>Very</w:t>
            </w:r>
            <w:r>
              <w:rPr>
                <w:spacing w:val="-5"/>
                <w:sz w:val="14"/>
              </w:rPr>
              <w:t> </w:t>
            </w:r>
            <w:r>
              <w:rPr>
                <w:sz w:val="14"/>
              </w:rPr>
              <w:t>Large</w:t>
            </w:r>
            <w:r>
              <w:rPr>
                <w:spacing w:val="-4"/>
                <w:sz w:val="14"/>
              </w:rPr>
              <w:t> </w:t>
            </w:r>
            <w:r>
              <w:rPr>
                <w:sz w:val="14"/>
              </w:rPr>
              <w:t>Manufactures</w:t>
            </w:r>
            <w:r>
              <w:rPr>
                <w:spacing w:val="-3"/>
                <w:sz w:val="14"/>
              </w:rPr>
              <w:t> </w:t>
            </w:r>
            <w:r>
              <w:rPr>
                <w:sz w:val="14"/>
              </w:rPr>
              <w:t>&amp;</w:t>
            </w:r>
            <w:r>
              <w:rPr>
                <w:spacing w:val="-5"/>
                <w:sz w:val="14"/>
              </w:rPr>
              <w:t> </w:t>
            </w:r>
            <w:r>
              <w:rPr>
                <w:spacing w:val="-2"/>
                <w:sz w:val="14"/>
              </w:rPr>
              <w:t>Supermarkets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2,930.00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3,075.00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ight="181"/>
              <w:rPr>
                <w:sz w:val="14"/>
              </w:rPr>
            </w:pPr>
            <w:r>
              <w:rPr>
                <w:sz w:val="14"/>
              </w:rPr>
              <w:t>Food</w:t>
            </w:r>
            <w:r>
              <w:rPr>
                <w:spacing w:val="-5"/>
                <w:sz w:val="14"/>
              </w:rPr>
              <w:t> </w:t>
            </w:r>
            <w:r>
              <w:rPr>
                <w:sz w:val="14"/>
              </w:rPr>
              <w:t>Premises</w:t>
            </w:r>
            <w:r>
              <w:rPr>
                <w:spacing w:val="-3"/>
                <w:sz w:val="14"/>
              </w:rPr>
              <w:t> </w:t>
            </w:r>
            <w:r>
              <w:rPr>
                <w:sz w:val="14"/>
              </w:rPr>
              <w:t>Registration</w:t>
            </w:r>
            <w:r>
              <w:rPr>
                <w:spacing w:val="-4"/>
                <w:sz w:val="14"/>
              </w:rPr>
              <w:t> </w:t>
            </w:r>
            <w:r>
              <w:rPr>
                <w:sz w:val="14"/>
              </w:rPr>
              <w:t>Fee</w:t>
            </w:r>
            <w:r>
              <w:rPr>
                <w:spacing w:val="-7"/>
                <w:sz w:val="14"/>
              </w:rPr>
              <w:t> </w:t>
            </w:r>
            <w:r>
              <w:rPr>
                <w:sz w:val="14"/>
              </w:rPr>
              <w:t>Very</w:t>
            </w:r>
            <w:r>
              <w:rPr>
                <w:spacing w:val="-5"/>
                <w:sz w:val="14"/>
              </w:rPr>
              <w:t> </w:t>
            </w:r>
            <w:r>
              <w:rPr>
                <w:sz w:val="14"/>
              </w:rPr>
              <w:t>Large</w:t>
            </w:r>
            <w:r>
              <w:rPr>
                <w:spacing w:val="-7"/>
                <w:sz w:val="14"/>
              </w:rPr>
              <w:t> </w:t>
            </w:r>
            <w:r>
              <w:rPr>
                <w:sz w:val="14"/>
              </w:rPr>
              <w:t>Restaurants/Cafes/Hotels/Clubs</w:t>
            </w:r>
            <w:r>
              <w:rPr>
                <w:spacing w:val="-2"/>
                <w:sz w:val="14"/>
              </w:rPr>
              <w:t> </w:t>
            </w:r>
            <w:r>
              <w:rPr>
                <w:sz w:val="14"/>
              </w:rPr>
              <w:t>(&gt;100</w:t>
            </w:r>
            <w:r>
              <w:rPr>
                <w:spacing w:val="40"/>
                <w:sz w:val="14"/>
              </w:rPr>
              <w:t> </w:t>
            </w:r>
            <w:r>
              <w:rPr>
                <w:spacing w:val="-2"/>
                <w:sz w:val="14"/>
              </w:rPr>
              <w:t>seats)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1"/>
              <w:jc w:val="right"/>
              <w:rPr>
                <w:sz w:val="14"/>
              </w:rPr>
            </w:pPr>
            <w:r>
              <w:rPr>
                <w:spacing w:val="-2"/>
                <w:sz w:val="14"/>
              </w:rPr>
              <w:t>865.00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3"/>
              <w:jc w:val="right"/>
              <w:rPr>
                <w:sz w:val="14"/>
              </w:rPr>
            </w:pPr>
            <w:r>
              <w:rPr>
                <w:spacing w:val="-2"/>
                <w:sz w:val="14"/>
              </w:rPr>
              <w:t>910.00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0" w:lineRule="exact"/>
              <w:ind w:left="95" w:right="79"/>
              <w:jc w:val="center"/>
              <w:rPr>
                <w:sz w:val="14"/>
              </w:rPr>
            </w:pPr>
            <w:r>
              <w:rPr>
                <w:spacing w:val="-5"/>
                <w:sz w:val="14"/>
              </w:rPr>
              <w:t>4.9</w:t>
            </w: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107"/>
              <w:rPr>
                <w:sz w:val="14"/>
              </w:rPr>
            </w:pPr>
            <w:r>
              <w:rPr>
                <w:sz w:val="14"/>
              </w:rPr>
              <w:t>Food</w:t>
            </w:r>
            <w:r>
              <w:rPr>
                <w:spacing w:val="-4"/>
                <w:sz w:val="14"/>
              </w:rPr>
              <w:t> </w:t>
            </w:r>
            <w:r>
              <w:rPr>
                <w:sz w:val="14"/>
              </w:rPr>
              <w:t>Premises</w:t>
            </w:r>
            <w:r>
              <w:rPr>
                <w:spacing w:val="-2"/>
                <w:sz w:val="14"/>
              </w:rPr>
              <w:t> </w:t>
            </w:r>
            <w:r>
              <w:rPr>
                <w:sz w:val="14"/>
              </w:rPr>
              <w:t>Renewal</w:t>
            </w:r>
            <w:r>
              <w:rPr>
                <w:spacing w:val="-4"/>
                <w:sz w:val="14"/>
              </w:rPr>
              <w:t> </w:t>
            </w:r>
            <w:r>
              <w:rPr>
                <w:sz w:val="14"/>
              </w:rPr>
              <w:t>High</w:t>
            </w:r>
            <w:r>
              <w:rPr>
                <w:spacing w:val="-6"/>
                <w:sz w:val="14"/>
              </w:rPr>
              <w:t> </w:t>
            </w:r>
            <w:r>
              <w:rPr>
                <w:sz w:val="14"/>
              </w:rPr>
              <w:t>Risk</w:t>
            </w:r>
            <w:r>
              <w:rPr>
                <w:spacing w:val="-2"/>
                <w:sz w:val="14"/>
              </w:rPr>
              <w:t> </w:t>
            </w:r>
            <w:r>
              <w:rPr>
                <w:sz w:val="14"/>
              </w:rPr>
              <w:t>Category</w:t>
            </w:r>
            <w:r>
              <w:rPr>
                <w:spacing w:val="-3"/>
                <w:sz w:val="14"/>
              </w:rPr>
              <w:t> </w:t>
            </w:r>
            <w:r>
              <w:rPr>
                <w:sz w:val="14"/>
              </w:rPr>
              <w:t>-</w:t>
            </w:r>
            <w:r>
              <w:rPr>
                <w:spacing w:val="-4"/>
                <w:sz w:val="14"/>
              </w:rPr>
              <w:t> </w:t>
            </w:r>
            <w:r>
              <w:rPr>
                <w:sz w:val="14"/>
              </w:rPr>
              <w:t>Very</w:t>
            </w:r>
            <w:r>
              <w:rPr>
                <w:spacing w:val="-5"/>
                <w:sz w:val="14"/>
              </w:rPr>
              <w:t> </w:t>
            </w:r>
            <w:r>
              <w:rPr>
                <w:sz w:val="14"/>
              </w:rPr>
              <w:t>Large</w:t>
            </w:r>
            <w:r>
              <w:rPr>
                <w:spacing w:val="-3"/>
                <w:sz w:val="14"/>
              </w:rPr>
              <w:t> </w:t>
            </w:r>
            <w:r>
              <w:rPr>
                <w:spacing w:val="-2"/>
                <w:sz w:val="14"/>
              </w:rPr>
              <w:t>Manufacturers/Supermarkets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1"/>
              <w:jc w:val="right"/>
              <w:rPr>
                <w:sz w:val="14"/>
              </w:rPr>
            </w:pPr>
            <w:r>
              <w:rPr>
                <w:spacing w:val="-2"/>
                <w:sz w:val="14"/>
              </w:rPr>
              <w:t>3,548.00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2"/>
              <w:jc w:val="right"/>
              <w:rPr>
                <w:sz w:val="14"/>
              </w:rPr>
            </w:pPr>
            <w:r>
              <w:rPr>
                <w:spacing w:val="-2"/>
                <w:sz w:val="14"/>
              </w:rPr>
              <w:t>3,844.00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0" w:lineRule="exact"/>
              <w:ind w:left="95" w:right="79"/>
              <w:jc w:val="center"/>
              <w:rPr>
                <w:sz w:val="14"/>
              </w:rPr>
            </w:pPr>
            <w:r>
              <w:rPr>
                <w:spacing w:val="-5"/>
                <w:sz w:val="14"/>
              </w:rPr>
              <w:t>7.7</w:t>
            </w:r>
          </w:p>
        </w:tc>
      </w:tr>
      <w:tr>
        <w:trPr>
          <w:trHeight w:val="36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20"/>
              <w:ind w:left="107" w:right="181"/>
              <w:rPr>
                <w:sz w:val="14"/>
              </w:rPr>
            </w:pPr>
            <w:r>
              <w:rPr>
                <w:sz w:val="14"/>
              </w:rPr>
              <w:t>Food</w:t>
            </w:r>
            <w:r>
              <w:rPr>
                <w:spacing w:val="-4"/>
                <w:sz w:val="14"/>
              </w:rPr>
              <w:t> </w:t>
            </w:r>
            <w:r>
              <w:rPr>
                <w:sz w:val="14"/>
              </w:rPr>
              <w:t>Premises</w:t>
            </w:r>
            <w:r>
              <w:rPr>
                <w:spacing w:val="-3"/>
                <w:sz w:val="14"/>
              </w:rPr>
              <w:t> </w:t>
            </w:r>
            <w:r>
              <w:rPr>
                <w:sz w:val="14"/>
              </w:rPr>
              <w:t>Renewal</w:t>
            </w:r>
            <w:r>
              <w:rPr>
                <w:spacing w:val="-4"/>
                <w:sz w:val="14"/>
              </w:rPr>
              <w:t> </w:t>
            </w:r>
            <w:r>
              <w:rPr>
                <w:sz w:val="14"/>
              </w:rPr>
              <w:t>High</w:t>
            </w:r>
            <w:r>
              <w:rPr>
                <w:spacing w:val="-6"/>
                <w:sz w:val="14"/>
              </w:rPr>
              <w:t> </w:t>
            </w:r>
            <w:r>
              <w:rPr>
                <w:sz w:val="14"/>
              </w:rPr>
              <w:t>Risk</w:t>
            </w:r>
            <w:r>
              <w:rPr>
                <w:spacing w:val="-3"/>
                <w:sz w:val="14"/>
              </w:rPr>
              <w:t> </w:t>
            </w:r>
            <w:r>
              <w:rPr>
                <w:sz w:val="14"/>
              </w:rPr>
              <w:t>Category</w:t>
            </w:r>
            <w:r>
              <w:rPr>
                <w:spacing w:val="-3"/>
                <w:sz w:val="14"/>
              </w:rPr>
              <w:t> </w:t>
            </w:r>
            <w:r>
              <w:rPr>
                <w:sz w:val="14"/>
              </w:rPr>
              <w:t>-</w:t>
            </w:r>
            <w:r>
              <w:rPr>
                <w:spacing w:val="-6"/>
                <w:sz w:val="14"/>
              </w:rPr>
              <w:t> </w:t>
            </w:r>
            <w:r>
              <w:rPr>
                <w:sz w:val="14"/>
              </w:rPr>
              <w:t>Very</w:t>
            </w:r>
            <w:r>
              <w:rPr>
                <w:spacing w:val="-4"/>
                <w:sz w:val="14"/>
              </w:rPr>
              <w:t> </w:t>
            </w:r>
            <w:r>
              <w:rPr>
                <w:sz w:val="14"/>
              </w:rPr>
              <w:t>Large</w:t>
            </w:r>
            <w:r>
              <w:rPr>
                <w:spacing w:val="40"/>
                <w:sz w:val="14"/>
              </w:rPr>
              <w:t> </w:t>
            </w:r>
            <w:r>
              <w:rPr>
                <w:sz w:val="14"/>
              </w:rPr>
              <w:t>Restaurants/Cafes/Hotels/Clubs (&gt;100 seats)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6"/>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6"/>
              <w:rPr>
                <w:sz w:val="17"/>
              </w:rPr>
            </w:pPr>
          </w:p>
          <w:p>
            <w:pPr>
              <w:pStyle w:val="TableParagraph"/>
              <w:spacing w:line="140" w:lineRule="exact"/>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6"/>
              <w:rPr>
                <w:sz w:val="17"/>
              </w:rPr>
            </w:pPr>
          </w:p>
          <w:p>
            <w:pPr>
              <w:pStyle w:val="TableParagraph"/>
              <w:spacing w:line="140" w:lineRule="exact"/>
              <w:ind w:right="91"/>
              <w:jc w:val="right"/>
              <w:rPr>
                <w:sz w:val="14"/>
              </w:rPr>
            </w:pPr>
            <w:r>
              <w:rPr>
                <w:spacing w:val="-2"/>
                <w:sz w:val="14"/>
              </w:rPr>
              <w:t>1,048.00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6"/>
              <w:rPr>
                <w:sz w:val="17"/>
              </w:rPr>
            </w:pPr>
          </w:p>
          <w:p>
            <w:pPr>
              <w:pStyle w:val="TableParagraph"/>
              <w:spacing w:line="140" w:lineRule="exact"/>
              <w:ind w:right="92"/>
              <w:jc w:val="right"/>
              <w:rPr>
                <w:sz w:val="14"/>
              </w:rPr>
            </w:pPr>
            <w:r>
              <w:rPr>
                <w:spacing w:val="-2"/>
                <w:sz w:val="14"/>
              </w:rPr>
              <w:t>1,138.00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6"/>
              <w:rPr>
                <w:sz w:val="17"/>
              </w:rPr>
            </w:pPr>
          </w:p>
          <w:p>
            <w:pPr>
              <w:pStyle w:val="TableParagraph"/>
              <w:spacing w:line="140" w:lineRule="exact"/>
              <w:ind w:left="95" w:right="79"/>
              <w:jc w:val="center"/>
              <w:rPr>
                <w:sz w:val="14"/>
              </w:rPr>
            </w:pPr>
            <w:r>
              <w:rPr>
                <w:spacing w:val="-5"/>
                <w:sz w:val="14"/>
              </w:rPr>
              <w:t>7.9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Health</w:t>
            </w:r>
            <w:r>
              <w:rPr>
                <w:spacing w:val="-5"/>
                <w:sz w:val="14"/>
              </w:rPr>
              <w:t> </w:t>
            </w:r>
            <w:r>
              <w:rPr>
                <w:sz w:val="14"/>
              </w:rPr>
              <w:t>Premises</w:t>
            </w:r>
            <w:r>
              <w:rPr>
                <w:spacing w:val="-3"/>
                <w:sz w:val="14"/>
              </w:rPr>
              <w:t> </w:t>
            </w:r>
            <w:r>
              <w:rPr>
                <w:sz w:val="14"/>
              </w:rPr>
              <w:t>one-off</w:t>
            </w:r>
            <w:r>
              <w:rPr>
                <w:spacing w:val="-4"/>
                <w:sz w:val="14"/>
              </w:rPr>
              <w:t> </w:t>
            </w:r>
            <w:r>
              <w:rPr>
                <w:sz w:val="14"/>
              </w:rPr>
              <w:t>Registration</w:t>
            </w:r>
            <w:r>
              <w:rPr>
                <w:spacing w:val="-3"/>
                <w:sz w:val="14"/>
              </w:rPr>
              <w:t> </w:t>
            </w:r>
            <w:r>
              <w:rPr>
                <w:sz w:val="14"/>
              </w:rPr>
              <w:t>-</w:t>
            </w:r>
            <w:r>
              <w:rPr>
                <w:spacing w:val="-3"/>
                <w:sz w:val="14"/>
              </w:rPr>
              <w:t> </w:t>
            </w:r>
            <w:r>
              <w:rPr>
                <w:sz w:val="14"/>
              </w:rPr>
              <w:t>Low</w:t>
            </w:r>
            <w:r>
              <w:rPr>
                <w:spacing w:val="-4"/>
                <w:sz w:val="14"/>
              </w:rPr>
              <w:t> </w:t>
            </w:r>
            <w:r>
              <w:rPr>
                <w:sz w:val="14"/>
              </w:rPr>
              <w:t>Risk</w:t>
            </w:r>
            <w:r>
              <w:rPr>
                <w:spacing w:val="-6"/>
                <w:sz w:val="14"/>
              </w:rPr>
              <w:t> </w:t>
            </w:r>
            <w:r>
              <w:rPr>
                <w:spacing w:val="-2"/>
                <w:sz w:val="14"/>
              </w:rPr>
              <w:t>Activities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312.00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327.00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Health</w:t>
            </w:r>
            <w:r>
              <w:rPr>
                <w:spacing w:val="-4"/>
                <w:sz w:val="14"/>
              </w:rPr>
              <w:t> </w:t>
            </w:r>
            <w:r>
              <w:rPr>
                <w:sz w:val="14"/>
              </w:rPr>
              <w:t>Premises</w:t>
            </w:r>
            <w:r>
              <w:rPr>
                <w:spacing w:val="-4"/>
                <w:sz w:val="14"/>
              </w:rPr>
              <w:t> </w:t>
            </w:r>
            <w:r>
              <w:rPr>
                <w:sz w:val="14"/>
              </w:rPr>
              <w:t>Registration</w:t>
            </w:r>
            <w:r>
              <w:rPr>
                <w:spacing w:val="-3"/>
                <w:sz w:val="14"/>
              </w:rPr>
              <w:t> </w:t>
            </w:r>
            <w:r>
              <w:rPr>
                <w:sz w:val="14"/>
              </w:rPr>
              <w:t>Fee</w:t>
            </w:r>
            <w:r>
              <w:rPr>
                <w:spacing w:val="-2"/>
                <w:sz w:val="14"/>
              </w:rPr>
              <w:t> </w:t>
            </w:r>
            <w:r>
              <w:rPr>
                <w:sz w:val="14"/>
              </w:rPr>
              <w:t>-</w:t>
            </w:r>
            <w:r>
              <w:rPr>
                <w:spacing w:val="-5"/>
                <w:sz w:val="14"/>
              </w:rPr>
              <w:t> </w:t>
            </w:r>
            <w:r>
              <w:rPr>
                <w:sz w:val="14"/>
              </w:rPr>
              <w:t>Low</w:t>
            </w:r>
            <w:r>
              <w:rPr>
                <w:spacing w:val="-4"/>
                <w:sz w:val="14"/>
              </w:rPr>
              <w:t> </w:t>
            </w:r>
            <w:r>
              <w:rPr>
                <w:sz w:val="14"/>
              </w:rPr>
              <w:t>Risk</w:t>
            </w:r>
            <w:r>
              <w:rPr>
                <w:spacing w:val="-4"/>
                <w:sz w:val="14"/>
              </w:rPr>
              <w:t> </w:t>
            </w:r>
            <w:r>
              <w:rPr>
                <w:spacing w:val="-2"/>
                <w:sz w:val="14"/>
              </w:rPr>
              <w:t>Activities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231.00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242.00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4.5</w:t>
            </w:r>
          </w:p>
        </w:tc>
      </w:tr>
      <w:tr>
        <w:trPr>
          <w:trHeight w:val="194"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34"/>
              <w:ind w:left="107"/>
              <w:rPr>
                <w:sz w:val="14"/>
              </w:rPr>
            </w:pPr>
            <w:r>
              <w:rPr>
                <w:sz w:val="14"/>
              </w:rPr>
              <w:t>Health</w:t>
            </w:r>
            <w:r>
              <w:rPr>
                <w:spacing w:val="-5"/>
                <w:sz w:val="14"/>
              </w:rPr>
              <w:t> </w:t>
            </w:r>
            <w:r>
              <w:rPr>
                <w:sz w:val="14"/>
              </w:rPr>
              <w:t>Premises</w:t>
            </w:r>
            <w:r>
              <w:rPr>
                <w:spacing w:val="-4"/>
                <w:sz w:val="14"/>
              </w:rPr>
              <w:t> </w:t>
            </w:r>
            <w:r>
              <w:rPr>
                <w:sz w:val="14"/>
              </w:rPr>
              <w:t>Registration</w:t>
            </w:r>
            <w:r>
              <w:rPr>
                <w:spacing w:val="-4"/>
                <w:sz w:val="14"/>
              </w:rPr>
              <w:t> </w:t>
            </w:r>
            <w:r>
              <w:rPr>
                <w:sz w:val="14"/>
              </w:rPr>
              <w:t>Fee</w:t>
            </w:r>
            <w:r>
              <w:rPr>
                <w:spacing w:val="-2"/>
                <w:sz w:val="14"/>
              </w:rPr>
              <w:t> </w:t>
            </w:r>
            <w:r>
              <w:rPr>
                <w:sz w:val="14"/>
              </w:rPr>
              <w:t>-</w:t>
            </w:r>
            <w:r>
              <w:rPr>
                <w:spacing w:val="-3"/>
                <w:sz w:val="14"/>
              </w:rPr>
              <w:t> </w:t>
            </w:r>
            <w:r>
              <w:rPr>
                <w:sz w:val="14"/>
              </w:rPr>
              <w:t>Medium</w:t>
            </w:r>
            <w:r>
              <w:rPr>
                <w:spacing w:val="-3"/>
                <w:sz w:val="14"/>
              </w:rPr>
              <w:t> </w:t>
            </w:r>
            <w:r>
              <w:rPr>
                <w:sz w:val="14"/>
              </w:rPr>
              <w:t>Risk</w:t>
            </w:r>
            <w:r>
              <w:rPr>
                <w:spacing w:val="-5"/>
                <w:sz w:val="14"/>
              </w:rPr>
              <w:t> </w:t>
            </w:r>
            <w:r>
              <w:rPr>
                <w:spacing w:val="-2"/>
                <w:sz w:val="14"/>
              </w:rPr>
              <w:t>Activities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34"/>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34"/>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34"/>
              <w:ind w:right="91"/>
              <w:jc w:val="right"/>
              <w:rPr>
                <w:sz w:val="14"/>
              </w:rPr>
            </w:pPr>
            <w:r>
              <w:rPr>
                <w:spacing w:val="-2"/>
                <w:sz w:val="14"/>
              </w:rPr>
              <w:t>300.00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34"/>
              <w:ind w:right="93"/>
              <w:jc w:val="right"/>
              <w:rPr>
                <w:sz w:val="14"/>
              </w:rPr>
            </w:pPr>
            <w:r>
              <w:rPr>
                <w:spacing w:val="-2"/>
                <w:sz w:val="14"/>
              </w:rPr>
              <w:t>315.00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34"/>
              <w:ind w:left="95" w:right="79"/>
              <w:jc w:val="center"/>
              <w:rPr>
                <w:sz w:val="14"/>
              </w:rPr>
            </w:pPr>
            <w:r>
              <w:rPr>
                <w:spacing w:val="-5"/>
                <w:sz w:val="14"/>
              </w:rPr>
              <w:t>4.8</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9"/>
              <w:ind w:left="107"/>
              <w:rPr>
                <w:sz w:val="14"/>
              </w:rPr>
            </w:pPr>
            <w:r>
              <w:rPr>
                <w:sz w:val="14"/>
              </w:rPr>
              <w:t>Health</w:t>
            </w:r>
            <w:r>
              <w:rPr>
                <w:spacing w:val="-4"/>
                <w:sz w:val="14"/>
              </w:rPr>
              <w:t> </w:t>
            </w:r>
            <w:r>
              <w:rPr>
                <w:sz w:val="14"/>
              </w:rPr>
              <w:t>Premises</w:t>
            </w:r>
            <w:r>
              <w:rPr>
                <w:spacing w:val="-4"/>
                <w:sz w:val="14"/>
              </w:rPr>
              <w:t> </w:t>
            </w:r>
            <w:r>
              <w:rPr>
                <w:sz w:val="14"/>
              </w:rPr>
              <w:t>Registration</w:t>
            </w:r>
            <w:r>
              <w:rPr>
                <w:spacing w:val="-3"/>
                <w:sz w:val="14"/>
              </w:rPr>
              <w:t> </w:t>
            </w:r>
            <w:r>
              <w:rPr>
                <w:sz w:val="14"/>
              </w:rPr>
              <w:t>-</w:t>
            </w:r>
            <w:r>
              <w:rPr>
                <w:spacing w:val="-5"/>
                <w:sz w:val="14"/>
              </w:rPr>
              <w:t> </w:t>
            </w:r>
            <w:r>
              <w:rPr>
                <w:sz w:val="14"/>
              </w:rPr>
              <w:t>High</w:t>
            </w:r>
            <w:r>
              <w:rPr>
                <w:spacing w:val="-1"/>
                <w:sz w:val="14"/>
              </w:rPr>
              <w:t> </w:t>
            </w:r>
            <w:r>
              <w:rPr>
                <w:sz w:val="14"/>
              </w:rPr>
              <w:t>Risk</w:t>
            </w:r>
            <w:r>
              <w:rPr>
                <w:spacing w:val="-5"/>
                <w:sz w:val="14"/>
              </w:rPr>
              <w:t> </w:t>
            </w:r>
            <w:r>
              <w:rPr>
                <w:spacing w:val="-2"/>
                <w:sz w:val="14"/>
              </w:rPr>
              <w:t>Activities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302"/>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1"/>
              <w:jc w:val="right"/>
              <w:rPr>
                <w:sz w:val="14"/>
              </w:rPr>
            </w:pPr>
            <w:r>
              <w:rPr>
                <w:spacing w:val="-2"/>
                <w:sz w:val="14"/>
              </w:rPr>
              <w:t>371.00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4"/>
              <w:jc w:val="right"/>
              <w:rPr>
                <w:sz w:val="14"/>
              </w:rPr>
            </w:pPr>
            <w:r>
              <w:rPr>
                <w:spacing w:val="-2"/>
                <w:sz w:val="14"/>
              </w:rPr>
              <w:t>390.00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2" w:lineRule="exact" w:before="19"/>
              <w:ind w:left="95" w:right="80"/>
              <w:jc w:val="center"/>
              <w:rPr>
                <w:sz w:val="14"/>
              </w:rPr>
            </w:pPr>
            <w:r>
              <w:rPr>
                <w:spacing w:val="-5"/>
                <w:sz w:val="14"/>
              </w:rPr>
              <w:t>4.9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Health</w:t>
            </w:r>
            <w:r>
              <w:rPr>
                <w:spacing w:val="-6"/>
                <w:sz w:val="14"/>
              </w:rPr>
              <w:t> </w:t>
            </w:r>
            <w:r>
              <w:rPr>
                <w:sz w:val="14"/>
              </w:rPr>
              <w:t>Premises</w:t>
            </w:r>
            <w:r>
              <w:rPr>
                <w:spacing w:val="-6"/>
                <w:sz w:val="14"/>
              </w:rPr>
              <w:t> </w:t>
            </w:r>
            <w:r>
              <w:rPr>
                <w:sz w:val="14"/>
              </w:rPr>
              <w:t>Transfer</w:t>
            </w:r>
            <w:r>
              <w:rPr>
                <w:spacing w:val="-4"/>
                <w:sz w:val="14"/>
              </w:rPr>
              <w:t> </w:t>
            </w:r>
            <w:r>
              <w:rPr>
                <w:sz w:val="14"/>
              </w:rPr>
              <w:t>Registration</w:t>
            </w:r>
            <w:r>
              <w:rPr>
                <w:spacing w:val="-5"/>
                <w:sz w:val="14"/>
              </w:rPr>
              <w:t> 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170.00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180.00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Health</w:t>
            </w:r>
            <w:r>
              <w:rPr>
                <w:spacing w:val="-4"/>
                <w:sz w:val="14"/>
              </w:rPr>
              <w:t> </w:t>
            </w:r>
            <w:r>
              <w:rPr>
                <w:sz w:val="14"/>
              </w:rPr>
              <w:t>Premises</w:t>
            </w:r>
            <w:r>
              <w:rPr>
                <w:spacing w:val="-4"/>
                <w:sz w:val="14"/>
              </w:rPr>
              <w:t> </w:t>
            </w:r>
            <w:r>
              <w:rPr>
                <w:sz w:val="14"/>
              </w:rPr>
              <w:t>Renewal</w:t>
            </w:r>
            <w:r>
              <w:rPr>
                <w:spacing w:val="-2"/>
                <w:sz w:val="14"/>
              </w:rPr>
              <w:t> </w:t>
            </w:r>
            <w:r>
              <w:rPr>
                <w:sz w:val="14"/>
              </w:rPr>
              <w:t>Fee</w:t>
            </w:r>
            <w:r>
              <w:rPr>
                <w:spacing w:val="-1"/>
                <w:sz w:val="14"/>
              </w:rPr>
              <w:t> </w:t>
            </w:r>
            <w:r>
              <w:rPr>
                <w:sz w:val="14"/>
              </w:rPr>
              <w:t>-</w:t>
            </w:r>
            <w:r>
              <w:rPr>
                <w:spacing w:val="-4"/>
                <w:sz w:val="14"/>
              </w:rPr>
              <w:t> </w:t>
            </w:r>
            <w:r>
              <w:rPr>
                <w:sz w:val="14"/>
              </w:rPr>
              <w:t>Low</w:t>
            </w:r>
            <w:r>
              <w:rPr>
                <w:spacing w:val="-4"/>
                <w:sz w:val="14"/>
              </w:rPr>
              <w:t> </w:t>
            </w:r>
            <w:r>
              <w:rPr>
                <w:sz w:val="14"/>
              </w:rPr>
              <w:t>Risk</w:t>
            </w:r>
            <w:r>
              <w:rPr>
                <w:spacing w:val="-4"/>
                <w:sz w:val="14"/>
              </w:rPr>
              <w:t> </w:t>
            </w:r>
            <w:r>
              <w:rPr>
                <w:spacing w:val="-2"/>
                <w:sz w:val="14"/>
              </w:rPr>
              <w:t>Activities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231.00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242.00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Health</w:t>
            </w:r>
            <w:r>
              <w:rPr>
                <w:spacing w:val="-4"/>
                <w:sz w:val="14"/>
              </w:rPr>
              <w:t> </w:t>
            </w:r>
            <w:r>
              <w:rPr>
                <w:sz w:val="14"/>
              </w:rPr>
              <w:t>Premises</w:t>
            </w:r>
            <w:r>
              <w:rPr>
                <w:spacing w:val="-4"/>
                <w:sz w:val="14"/>
              </w:rPr>
              <w:t> </w:t>
            </w:r>
            <w:r>
              <w:rPr>
                <w:sz w:val="14"/>
              </w:rPr>
              <w:t>Renewal</w:t>
            </w:r>
            <w:r>
              <w:rPr>
                <w:spacing w:val="-2"/>
                <w:sz w:val="14"/>
              </w:rPr>
              <w:t> </w:t>
            </w:r>
            <w:r>
              <w:rPr>
                <w:sz w:val="14"/>
              </w:rPr>
              <w:t>Fee</w:t>
            </w:r>
            <w:r>
              <w:rPr>
                <w:spacing w:val="-2"/>
                <w:sz w:val="14"/>
              </w:rPr>
              <w:t> </w:t>
            </w:r>
            <w:r>
              <w:rPr>
                <w:sz w:val="14"/>
              </w:rPr>
              <w:t>-</w:t>
            </w:r>
            <w:r>
              <w:rPr>
                <w:spacing w:val="-4"/>
                <w:sz w:val="14"/>
              </w:rPr>
              <w:t> </w:t>
            </w:r>
            <w:r>
              <w:rPr>
                <w:sz w:val="14"/>
              </w:rPr>
              <w:t>Medium</w:t>
            </w:r>
            <w:r>
              <w:rPr>
                <w:spacing w:val="-3"/>
                <w:sz w:val="14"/>
              </w:rPr>
              <w:t> </w:t>
            </w:r>
            <w:r>
              <w:rPr>
                <w:sz w:val="14"/>
              </w:rPr>
              <w:t>Risk</w:t>
            </w:r>
            <w:r>
              <w:rPr>
                <w:spacing w:val="-4"/>
                <w:sz w:val="14"/>
              </w:rPr>
              <w:t> </w:t>
            </w:r>
            <w:r>
              <w:rPr>
                <w:spacing w:val="-2"/>
                <w:sz w:val="14"/>
              </w:rPr>
              <w:t>Activities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300.00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315.00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Health</w:t>
            </w:r>
            <w:r>
              <w:rPr>
                <w:spacing w:val="-4"/>
                <w:sz w:val="14"/>
              </w:rPr>
              <w:t> </w:t>
            </w:r>
            <w:r>
              <w:rPr>
                <w:sz w:val="14"/>
              </w:rPr>
              <w:t>Premises</w:t>
            </w:r>
            <w:r>
              <w:rPr>
                <w:spacing w:val="-4"/>
                <w:sz w:val="14"/>
              </w:rPr>
              <w:t> </w:t>
            </w:r>
            <w:r>
              <w:rPr>
                <w:sz w:val="14"/>
              </w:rPr>
              <w:t>Renewal</w:t>
            </w:r>
            <w:r>
              <w:rPr>
                <w:spacing w:val="-1"/>
                <w:sz w:val="14"/>
              </w:rPr>
              <w:t> </w:t>
            </w:r>
            <w:r>
              <w:rPr>
                <w:sz w:val="14"/>
              </w:rPr>
              <w:t>Fee</w:t>
            </w:r>
            <w:r>
              <w:rPr>
                <w:spacing w:val="-2"/>
                <w:sz w:val="14"/>
              </w:rPr>
              <w:t> </w:t>
            </w:r>
            <w:r>
              <w:rPr>
                <w:sz w:val="14"/>
              </w:rPr>
              <w:t>-</w:t>
            </w:r>
            <w:r>
              <w:rPr>
                <w:spacing w:val="-4"/>
                <w:sz w:val="14"/>
              </w:rPr>
              <w:t> </w:t>
            </w:r>
            <w:r>
              <w:rPr>
                <w:sz w:val="14"/>
              </w:rPr>
              <w:t>High</w:t>
            </w:r>
            <w:r>
              <w:rPr>
                <w:spacing w:val="-6"/>
                <w:sz w:val="14"/>
              </w:rPr>
              <w:t> </w:t>
            </w:r>
            <w:r>
              <w:rPr>
                <w:sz w:val="14"/>
              </w:rPr>
              <w:t>Risk</w:t>
            </w:r>
            <w:r>
              <w:rPr>
                <w:spacing w:val="-4"/>
                <w:sz w:val="14"/>
              </w:rPr>
              <w:t> </w:t>
            </w:r>
            <w:r>
              <w:rPr>
                <w:spacing w:val="-2"/>
                <w:sz w:val="14"/>
              </w:rPr>
              <w:t>Activities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371.00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390.00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Health</w:t>
            </w:r>
            <w:r>
              <w:rPr>
                <w:spacing w:val="-5"/>
                <w:sz w:val="14"/>
              </w:rPr>
              <w:t> </w:t>
            </w:r>
            <w:r>
              <w:rPr>
                <w:sz w:val="14"/>
              </w:rPr>
              <w:t>Premises</w:t>
            </w:r>
            <w:r>
              <w:rPr>
                <w:spacing w:val="-4"/>
                <w:sz w:val="14"/>
              </w:rPr>
              <w:t> </w:t>
            </w:r>
            <w:r>
              <w:rPr>
                <w:sz w:val="14"/>
              </w:rPr>
              <w:t>Renewal</w:t>
            </w:r>
            <w:r>
              <w:rPr>
                <w:spacing w:val="-2"/>
                <w:sz w:val="14"/>
              </w:rPr>
              <w:t> </w:t>
            </w:r>
            <w:r>
              <w:rPr>
                <w:sz w:val="14"/>
              </w:rPr>
              <w:t>-</w:t>
            </w:r>
            <w:r>
              <w:rPr>
                <w:spacing w:val="-5"/>
                <w:sz w:val="14"/>
              </w:rPr>
              <w:t> </w:t>
            </w:r>
            <w:r>
              <w:rPr>
                <w:sz w:val="14"/>
              </w:rPr>
              <w:t>High</w:t>
            </w:r>
            <w:r>
              <w:rPr>
                <w:spacing w:val="-5"/>
                <w:sz w:val="14"/>
              </w:rPr>
              <w:t> </w:t>
            </w:r>
            <w:r>
              <w:rPr>
                <w:sz w:val="14"/>
              </w:rPr>
              <w:t>Risk</w:t>
            </w:r>
            <w:r>
              <w:rPr>
                <w:spacing w:val="-2"/>
                <w:sz w:val="14"/>
              </w:rPr>
              <w:t> </w:t>
            </w:r>
            <w:r>
              <w:rPr>
                <w:sz w:val="14"/>
              </w:rPr>
              <w:t>Category</w:t>
            </w:r>
            <w:r>
              <w:rPr>
                <w:spacing w:val="-5"/>
                <w:sz w:val="14"/>
              </w:rPr>
              <w:t> </w:t>
            </w:r>
            <w:r>
              <w:rPr>
                <w:sz w:val="14"/>
              </w:rPr>
              <w:t>(Medium</w:t>
            </w:r>
            <w:r>
              <w:rPr>
                <w:spacing w:val="-3"/>
                <w:sz w:val="14"/>
              </w:rPr>
              <w:t> </w:t>
            </w:r>
            <w:r>
              <w:rPr>
                <w:sz w:val="14"/>
              </w:rPr>
              <w:t>Risk</w:t>
            </w:r>
            <w:r>
              <w:rPr>
                <w:spacing w:val="-3"/>
                <w:sz w:val="14"/>
              </w:rPr>
              <w:t> </w:t>
            </w:r>
            <w:r>
              <w:rPr>
                <w:spacing w:val="-2"/>
                <w:sz w:val="14"/>
              </w:rPr>
              <w:t>Activities/Aquatics)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371.00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394.00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5.8</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9"/>
              <w:ind w:left="107"/>
              <w:rPr>
                <w:sz w:val="14"/>
              </w:rPr>
            </w:pPr>
            <w:r>
              <w:rPr>
                <w:sz w:val="14"/>
              </w:rPr>
              <w:t>Health</w:t>
            </w:r>
            <w:r>
              <w:rPr>
                <w:spacing w:val="-4"/>
                <w:sz w:val="14"/>
              </w:rPr>
              <w:t> </w:t>
            </w:r>
            <w:r>
              <w:rPr>
                <w:sz w:val="14"/>
              </w:rPr>
              <w:t>Premises</w:t>
            </w:r>
            <w:r>
              <w:rPr>
                <w:spacing w:val="-4"/>
                <w:sz w:val="14"/>
              </w:rPr>
              <w:t> </w:t>
            </w:r>
            <w:r>
              <w:rPr>
                <w:sz w:val="14"/>
              </w:rPr>
              <w:t>Renewal</w:t>
            </w:r>
            <w:r>
              <w:rPr>
                <w:spacing w:val="-3"/>
                <w:sz w:val="14"/>
              </w:rPr>
              <w:t> </w:t>
            </w:r>
            <w:r>
              <w:rPr>
                <w:sz w:val="14"/>
              </w:rPr>
              <w:t>-</w:t>
            </w:r>
            <w:r>
              <w:rPr>
                <w:spacing w:val="-4"/>
                <w:sz w:val="14"/>
              </w:rPr>
              <w:t> </w:t>
            </w:r>
            <w:r>
              <w:rPr>
                <w:sz w:val="14"/>
              </w:rPr>
              <w:t>Low</w:t>
            </w:r>
            <w:r>
              <w:rPr>
                <w:spacing w:val="-4"/>
                <w:sz w:val="14"/>
              </w:rPr>
              <w:t> </w:t>
            </w:r>
            <w:r>
              <w:rPr>
                <w:sz w:val="14"/>
              </w:rPr>
              <w:t>Risk</w:t>
            </w:r>
            <w:r>
              <w:rPr>
                <w:spacing w:val="-4"/>
                <w:sz w:val="14"/>
              </w:rPr>
              <w:t> </w:t>
            </w:r>
            <w:r>
              <w:rPr>
                <w:sz w:val="14"/>
              </w:rPr>
              <w:t>Category</w:t>
            </w:r>
            <w:r>
              <w:rPr>
                <w:spacing w:val="-5"/>
                <w:sz w:val="14"/>
              </w:rPr>
              <w:t> </w:t>
            </w:r>
            <w:r>
              <w:rPr>
                <w:sz w:val="14"/>
              </w:rPr>
              <w:t>(Medium</w:t>
            </w:r>
            <w:r>
              <w:rPr>
                <w:spacing w:val="-2"/>
                <w:sz w:val="14"/>
              </w:rPr>
              <w:t> </w:t>
            </w:r>
            <w:r>
              <w:rPr>
                <w:sz w:val="14"/>
              </w:rPr>
              <w:t>Risk</w:t>
            </w:r>
            <w:r>
              <w:rPr>
                <w:spacing w:val="-2"/>
                <w:sz w:val="14"/>
              </w:rPr>
              <w:t> Activities/Aquatics)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304"/>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1"/>
              <w:jc w:val="right"/>
              <w:rPr>
                <w:sz w:val="14"/>
              </w:rPr>
            </w:pPr>
            <w:r>
              <w:rPr>
                <w:spacing w:val="-2"/>
                <w:sz w:val="14"/>
              </w:rPr>
              <w:t>221.00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2"/>
              <w:jc w:val="right"/>
              <w:rPr>
                <w:sz w:val="14"/>
              </w:rPr>
            </w:pPr>
            <w:r>
              <w:rPr>
                <w:spacing w:val="-2"/>
                <w:sz w:val="14"/>
              </w:rPr>
              <w:t>236.00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2" w:lineRule="exact" w:before="19"/>
              <w:ind w:left="95" w:right="80"/>
              <w:jc w:val="center"/>
              <w:rPr>
                <w:sz w:val="14"/>
              </w:rPr>
            </w:pPr>
            <w:r>
              <w:rPr>
                <w:spacing w:val="-5"/>
                <w:sz w:val="14"/>
              </w:rPr>
              <w:t>6.4</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Food</w:t>
            </w:r>
            <w:r>
              <w:rPr>
                <w:spacing w:val="-7"/>
                <w:sz w:val="14"/>
              </w:rPr>
              <w:t> </w:t>
            </w:r>
            <w:r>
              <w:rPr>
                <w:sz w:val="14"/>
              </w:rPr>
              <w:t>Premises</w:t>
            </w:r>
            <w:r>
              <w:rPr>
                <w:spacing w:val="-4"/>
                <w:sz w:val="14"/>
              </w:rPr>
              <w:t> </w:t>
            </w:r>
            <w:r>
              <w:rPr>
                <w:sz w:val="14"/>
              </w:rPr>
              <w:t>Renewal</w:t>
            </w:r>
            <w:r>
              <w:rPr>
                <w:spacing w:val="-7"/>
                <w:sz w:val="14"/>
              </w:rPr>
              <w:t> </w:t>
            </w:r>
            <w:r>
              <w:rPr>
                <w:sz w:val="14"/>
              </w:rPr>
              <w:t>Fees</w:t>
            </w:r>
            <w:r>
              <w:rPr>
                <w:spacing w:val="-4"/>
                <w:sz w:val="14"/>
              </w:rPr>
              <w:t> </w:t>
            </w:r>
            <w:r>
              <w:rPr>
                <w:sz w:val="14"/>
              </w:rPr>
              <w:t>Very</w:t>
            </w:r>
            <w:r>
              <w:rPr>
                <w:spacing w:val="-7"/>
                <w:sz w:val="14"/>
              </w:rPr>
              <w:t> </w:t>
            </w:r>
            <w:r>
              <w:rPr>
                <w:sz w:val="14"/>
              </w:rPr>
              <w:t>Large</w:t>
            </w:r>
            <w:r>
              <w:rPr>
                <w:spacing w:val="-7"/>
                <w:sz w:val="14"/>
              </w:rPr>
              <w:t> </w:t>
            </w:r>
            <w:r>
              <w:rPr>
                <w:sz w:val="14"/>
              </w:rPr>
              <w:t>Restaurants/Cafes/Hotels/Clubs</w:t>
            </w:r>
            <w:r>
              <w:rPr>
                <w:spacing w:val="-4"/>
                <w:sz w:val="14"/>
              </w:rPr>
              <w:t> </w:t>
            </w:r>
            <w:r>
              <w:rPr>
                <w:sz w:val="14"/>
              </w:rPr>
              <w:t>(&gt;100</w:t>
            </w:r>
            <w:r>
              <w:rPr>
                <w:spacing w:val="-7"/>
                <w:sz w:val="14"/>
              </w:rPr>
              <w:t> </w:t>
            </w:r>
            <w:r>
              <w:rPr>
                <w:spacing w:val="-2"/>
                <w:sz w:val="14"/>
              </w:rPr>
              <w:t>seats)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866.00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910.00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Food</w:t>
            </w:r>
            <w:r>
              <w:rPr>
                <w:spacing w:val="-5"/>
                <w:sz w:val="14"/>
              </w:rPr>
              <w:t> </w:t>
            </w:r>
            <w:r>
              <w:rPr>
                <w:sz w:val="14"/>
              </w:rPr>
              <w:t>Premises</w:t>
            </w:r>
            <w:r>
              <w:rPr>
                <w:spacing w:val="-2"/>
                <w:sz w:val="14"/>
              </w:rPr>
              <w:t> </w:t>
            </w:r>
            <w:r>
              <w:rPr>
                <w:sz w:val="14"/>
              </w:rPr>
              <w:t>Renewal</w:t>
            </w:r>
            <w:r>
              <w:rPr>
                <w:spacing w:val="-5"/>
                <w:sz w:val="14"/>
              </w:rPr>
              <w:t> </w:t>
            </w:r>
            <w:r>
              <w:rPr>
                <w:sz w:val="14"/>
              </w:rPr>
              <w:t>Fee</w:t>
            </w:r>
            <w:r>
              <w:rPr>
                <w:spacing w:val="-4"/>
                <w:sz w:val="14"/>
              </w:rPr>
              <w:t> </w:t>
            </w:r>
            <w:r>
              <w:rPr>
                <w:sz w:val="14"/>
              </w:rPr>
              <w:t>Very</w:t>
            </w:r>
            <w:r>
              <w:rPr>
                <w:spacing w:val="-3"/>
                <w:sz w:val="14"/>
              </w:rPr>
              <w:t> </w:t>
            </w:r>
            <w:r>
              <w:rPr>
                <w:sz w:val="14"/>
              </w:rPr>
              <w:t>Large</w:t>
            </w:r>
            <w:r>
              <w:rPr>
                <w:spacing w:val="-4"/>
                <w:sz w:val="14"/>
              </w:rPr>
              <w:t> </w:t>
            </w:r>
            <w:r>
              <w:rPr>
                <w:spacing w:val="-2"/>
                <w:sz w:val="14"/>
              </w:rPr>
              <w:t>Manufacturers/Supermarkets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2,930.00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3,075.00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Food</w:t>
            </w:r>
            <w:r>
              <w:rPr>
                <w:spacing w:val="-4"/>
                <w:sz w:val="14"/>
              </w:rPr>
              <w:t> </w:t>
            </w:r>
            <w:r>
              <w:rPr>
                <w:sz w:val="14"/>
              </w:rPr>
              <w:t>Premises</w:t>
            </w:r>
            <w:r>
              <w:rPr>
                <w:spacing w:val="-2"/>
                <w:sz w:val="14"/>
              </w:rPr>
              <w:t> </w:t>
            </w:r>
            <w:r>
              <w:rPr>
                <w:sz w:val="14"/>
              </w:rPr>
              <w:t>renewal</w:t>
            </w:r>
            <w:r>
              <w:rPr>
                <w:spacing w:val="-3"/>
                <w:sz w:val="14"/>
              </w:rPr>
              <w:t> </w:t>
            </w:r>
            <w:r>
              <w:rPr>
                <w:sz w:val="14"/>
              </w:rPr>
              <w:t>-</w:t>
            </w:r>
            <w:r>
              <w:rPr>
                <w:spacing w:val="-2"/>
                <w:sz w:val="14"/>
              </w:rPr>
              <w:t> </w:t>
            </w:r>
            <w:r>
              <w:rPr>
                <w:sz w:val="14"/>
              </w:rPr>
              <w:t>Low</w:t>
            </w:r>
            <w:r>
              <w:rPr>
                <w:spacing w:val="-3"/>
                <w:sz w:val="14"/>
              </w:rPr>
              <w:t> </w:t>
            </w:r>
            <w:r>
              <w:rPr>
                <w:sz w:val="14"/>
              </w:rPr>
              <w:t>Risk</w:t>
            </w:r>
            <w:r>
              <w:rPr>
                <w:spacing w:val="-2"/>
                <w:sz w:val="14"/>
              </w:rPr>
              <w:t> </w:t>
            </w:r>
            <w:r>
              <w:rPr>
                <w:sz w:val="14"/>
              </w:rPr>
              <w:t>Category</w:t>
            </w:r>
            <w:r>
              <w:rPr>
                <w:spacing w:val="-2"/>
                <w:sz w:val="14"/>
              </w:rPr>
              <w:t> </w:t>
            </w:r>
            <w:r>
              <w:rPr>
                <w:sz w:val="14"/>
              </w:rPr>
              <w:t>-</w:t>
            </w:r>
            <w:r>
              <w:rPr>
                <w:spacing w:val="-5"/>
                <w:sz w:val="14"/>
              </w:rPr>
              <w:t> </w:t>
            </w:r>
            <w:r>
              <w:rPr>
                <w:sz w:val="14"/>
              </w:rPr>
              <w:t>Class</w:t>
            </w:r>
            <w:r>
              <w:rPr>
                <w:spacing w:val="-5"/>
                <w:sz w:val="14"/>
              </w:rPr>
              <w:t> </w:t>
            </w:r>
            <w:r>
              <w:rPr>
                <w:sz w:val="14"/>
              </w:rPr>
              <w:t>3</w:t>
            </w:r>
            <w:r>
              <w:rPr>
                <w:spacing w:val="-1"/>
                <w:sz w:val="14"/>
              </w:rPr>
              <w:t> </w:t>
            </w:r>
            <w:r>
              <w:rPr>
                <w:sz w:val="14"/>
              </w:rPr>
              <w:t>(compliant</w:t>
            </w:r>
            <w:r>
              <w:rPr>
                <w:spacing w:val="-4"/>
                <w:sz w:val="14"/>
              </w:rPr>
              <w:t> </w:t>
            </w:r>
            <w:r>
              <w:rPr>
                <w:sz w:val="14"/>
              </w:rPr>
              <w:t>over</w:t>
            </w:r>
            <w:r>
              <w:rPr>
                <w:spacing w:val="-3"/>
                <w:sz w:val="14"/>
              </w:rPr>
              <w:t> </w:t>
            </w:r>
            <w:r>
              <w:rPr>
                <w:sz w:val="14"/>
              </w:rPr>
              <w:t>2</w:t>
            </w:r>
            <w:r>
              <w:rPr>
                <w:spacing w:val="-5"/>
                <w:sz w:val="14"/>
              </w:rPr>
              <w:t> </w:t>
            </w:r>
            <w:r>
              <w:rPr>
                <w:spacing w:val="-2"/>
                <w:sz w:val="14"/>
              </w:rPr>
              <w:t>years)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323.00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359.00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81"/>
              <w:jc w:val="center"/>
              <w:rPr>
                <w:sz w:val="14"/>
              </w:rPr>
            </w:pPr>
            <w:r>
              <w:rPr>
                <w:spacing w:val="-4"/>
                <w:sz w:val="14"/>
              </w:rPr>
              <w:t>10.0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Food</w:t>
            </w:r>
            <w:r>
              <w:rPr>
                <w:spacing w:val="-4"/>
                <w:sz w:val="14"/>
              </w:rPr>
              <w:t> </w:t>
            </w:r>
            <w:r>
              <w:rPr>
                <w:sz w:val="14"/>
              </w:rPr>
              <w:t>Premises</w:t>
            </w:r>
            <w:r>
              <w:rPr>
                <w:spacing w:val="-2"/>
                <w:sz w:val="14"/>
              </w:rPr>
              <w:t> </w:t>
            </w:r>
            <w:r>
              <w:rPr>
                <w:sz w:val="14"/>
              </w:rPr>
              <w:t>renewal</w:t>
            </w:r>
            <w:r>
              <w:rPr>
                <w:spacing w:val="-4"/>
                <w:sz w:val="14"/>
              </w:rPr>
              <w:t> </w:t>
            </w:r>
            <w:r>
              <w:rPr>
                <w:sz w:val="14"/>
              </w:rPr>
              <w:t>High</w:t>
            </w:r>
            <w:r>
              <w:rPr>
                <w:spacing w:val="-4"/>
                <w:sz w:val="14"/>
              </w:rPr>
              <w:t> </w:t>
            </w:r>
            <w:r>
              <w:rPr>
                <w:sz w:val="14"/>
              </w:rPr>
              <w:t>Risk</w:t>
            </w:r>
            <w:r>
              <w:rPr>
                <w:spacing w:val="-4"/>
                <w:sz w:val="14"/>
              </w:rPr>
              <w:t> </w:t>
            </w:r>
            <w:r>
              <w:rPr>
                <w:sz w:val="14"/>
              </w:rPr>
              <w:t>Category-</w:t>
            </w:r>
            <w:r>
              <w:rPr>
                <w:spacing w:val="-5"/>
                <w:sz w:val="14"/>
              </w:rPr>
              <w:t> </w:t>
            </w:r>
            <w:r>
              <w:rPr>
                <w:sz w:val="14"/>
              </w:rPr>
              <w:t>Class</w:t>
            </w:r>
            <w:r>
              <w:rPr>
                <w:spacing w:val="-2"/>
                <w:sz w:val="14"/>
              </w:rPr>
              <w:t> </w:t>
            </w:r>
            <w:r>
              <w:rPr>
                <w:spacing w:val="-10"/>
                <w:sz w:val="14"/>
              </w:rPr>
              <w:t>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860.00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964.00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81"/>
              <w:jc w:val="center"/>
              <w:rPr>
                <w:sz w:val="14"/>
              </w:rPr>
            </w:pPr>
            <w:r>
              <w:rPr>
                <w:spacing w:val="-4"/>
                <w:sz w:val="14"/>
              </w:rPr>
              <w:t>10.8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Food</w:t>
            </w:r>
            <w:r>
              <w:rPr>
                <w:spacing w:val="-4"/>
                <w:sz w:val="14"/>
              </w:rPr>
              <w:t> </w:t>
            </w:r>
            <w:r>
              <w:rPr>
                <w:sz w:val="14"/>
              </w:rPr>
              <w:t>Premises</w:t>
            </w:r>
            <w:r>
              <w:rPr>
                <w:spacing w:val="-3"/>
                <w:sz w:val="14"/>
              </w:rPr>
              <w:t> </w:t>
            </w:r>
            <w:r>
              <w:rPr>
                <w:sz w:val="14"/>
              </w:rPr>
              <w:t>renewal</w:t>
            </w:r>
            <w:r>
              <w:rPr>
                <w:spacing w:val="-4"/>
                <w:sz w:val="14"/>
              </w:rPr>
              <w:t> </w:t>
            </w:r>
            <w:r>
              <w:rPr>
                <w:sz w:val="14"/>
              </w:rPr>
              <w:t>High</w:t>
            </w:r>
            <w:r>
              <w:rPr>
                <w:spacing w:val="-4"/>
                <w:sz w:val="14"/>
              </w:rPr>
              <w:t> </w:t>
            </w:r>
            <w:r>
              <w:rPr>
                <w:sz w:val="14"/>
              </w:rPr>
              <w:t>Risk</w:t>
            </w:r>
            <w:r>
              <w:rPr>
                <w:spacing w:val="-4"/>
                <w:sz w:val="14"/>
              </w:rPr>
              <w:t> </w:t>
            </w:r>
            <w:r>
              <w:rPr>
                <w:sz w:val="14"/>
              </w:rPr>
              <w:t>Category</w:t>
            </w:r>
            <w:r>
              <w:rPr>
                <w:spacing w:val="-3"/>
                <w:sz w:val="14"/>
              </w:rPr>
              <w:t> </w:t>
            </w:r>
            <w:r>
              <w:rPr>
                <w:sz w:val="14"/>
              </w:rPr>
              <w:t>-</w:t>
            </w:r>
            <w:r>
              <w:rPr>
                <w:spacing w:val="-5"/>
                <w:sz w:val="14"/>
              </w:rPr>
              <w:t> </w:t>
            </w:r>
            <w:r>
              <w:rPr>
                <w:sz w:val="14"/>
              </w:rPr>
              <w:t>Class</w:t>
            </w:r>
            <w:r>
              <w:rPr>
                <w:spacing w:val="-2"/>
                <w:sz w:val="14"/>
              </w:rPr>
              <w:t> </w:t>
            </w:r>
            <w:r>
              <w:rPr>
                <w:spacing w:val="-10"/>
                <w:sz w:val="14"/>
              </w:rPr>
              <w:t>2</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720.00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795.00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9.4</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9"/>
              <w:ind w:left="107"/>
              <w:rPr>
                <w:sz w:val="14"/>
              </w:rPr>
            </w:pPr>
            <w:r>
              <w:rPr>
                <w:sz w:val="14"/>
              </w:rPr>
              <w:t>Renewal</w:t>
            </w:r>
            <w:r>
              <w:rPr>
                <w:spacing w:val="-3"/>
                <w:sz w:val="14"/>
              </w:rPr>
              <w:t> </w:t>
            </w:r>
            <w:r>
              <w:rPr>
                <w:sz w:val="14"/>
              </w:rPr>
              <w:t>Late</w:t>
            </w:r>
            <w:r>
              <w:rPr>
                <w:spacing w:val="-8"/>
                <w:sz w:val="14"/>
              </w:rPr>
              <w:t> </w:t>
            </w:r>
            <w:r>
              <w:rPr>
                <w:sz w:val="14"/>
              </w:rPr>
              <w:t>Payment</w:t>
            </w:r>
            <w:r>
              <w:rPr>
                <w:spacing w:val="-5"/>
                <w:sz w:val="14"/>
              </w:rPr>
              <w:t> </w:t>
            </w:r>
            <w:r>
              <w:rPr>
                <w:sz w:val="14"/>
              </w:rPr>
              <w:t>Administration</w:t>
            </w:r>
            <w:r>
              <w:rPr>
                <w:spacing w:val="-5"/>
                <w:sz w:val="14"/>
              </w:rPr>
              <w:t> 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7"/>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1"/>
              <w:jc w:val="right"/>
              <w:rPr>
                <w:sz w:val="14"/>
              </w:rPr>
            </w:pPr>
            <w:r>
              <w:rPr>
                <w:spacing w:val="-2"/>
                <w:sz w:val="14"/>
              </w:rPr>
              <w:t>81.00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2"/>
              <w:jc w:val="right"/>
              <w:rPr>
                <w:sz w:val="14"/>
              </w:rPr>
            </w:pPr>
            <w:r>
              <w:rPr>
                <w:spacing w:val="-2"/>
                <w:sz w:val="14"/>
              </w:rPr>
              <w:t>85.00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2" w:lineRule="exact" w:before="19"/>
              <w:ind w:left="95" w:right="80"/>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Health</w:t>
            </w:r>
            <w:r>
              <w:rPr>
                <w:spacing w:val="-4"/>
                <w:sz w:val="14"/>
              </w:rPr>
              <w:t> </w:t>
            </w:r>
            <w:r>
              <w:rPr>
                <w:sz w:val="14"/>
              </w:rPr>
              <w:t>Premises</w:t>
            </w:r>
            <w:r>
              <w:rPr>
                <w:spacing w:val="-4"/>
                <w:sz w:val="14"/>
              </w:rPr>
              <w:t> </w:t>
            </w:r>
            <w:r>
              <w:rPr>
                <w:sz w:val="14"/>
              </w:rPr>
              <w:t>Renewal</w:t>
            </w:r>
            <w:r>
              <w:rPr>
                <w:spacing w:val="-2"/>
                <w:sz w:val="14"/>
              </w:rPr>
              <w:t> </w:t>
            </w:r>
            <w:r>
              <w:rPr>
                <w:sz w:val="14"/>
              </w:rPr>
              <w:t>-</w:t>
            </w:r>
            <w:r>
              <w:rPr>
                <w:spacing w:val="-5"/>
                <w:sz w:val="14"/>
              </w:rPr>
              <w:t> </w:t>
            </w:r>
            <w:r>
              <w:rPr>
                <w:sz w:val="14"/>
              </w:rPr>
              <w:t>High</w:t>
            </w:r>
            <w:r>
              <w:rPr>
                <w:spacing w:val="-5"/>
                <w:sz w:val="14"/>
              </w:rPr>
              <w:t> </w:t>
            </w:r>
            <w:r>
              <w:rPr>
                <w:sz w:val="14"/>
              </w:rPr>
              <w:t>Risk</w:t>
            </w:r>
            <w:r>
              <w:rPr>
                <w:spacing w:val="-2"/>
                <w:sz w:val="14"/>
              </w:rPr>
              <w:t> </w:t>
            </w:r>
            <w:r>
              <w:rPr>
                <w:sz w:val="14"/>
              </w:rPr>
              <w:t>Category</w:t>
            </w:r>
            <w:r>
              <w:rPr>
                <w:spacing w:val="-5"/>
                <w:sz w:val="14"/>
              </w:rPr>
              <w:t> </w:t>
            </w:r>
            <w:r>
              <w:rPr>
                <w:sz w:val="14"/>
              </w:rPr>
              <w:t>(High</w:t>
            </w:r>
            <w:r>
              <w:rPr>
                <w:spacing w:val="-2"/>
                <w:sz w:val="14"/>
              </w:rPr>
              <w:t> </w:t>
            </w:r>
            <w:r>
              <w:rPr>
                <w:sz w:val="14"/>
              </w:rPr>
              <w:t>Risk</w:t>
            </w:r>
            <w:r>
              <w:rPr>
                <w:spacing w:val="-4"/>
                <w:sz w:val="14"/>
              </w:rPr>
              <w:t> </w:t>
            </w:r>
            <w:r>
              <w:rPr>
                <w:spacing w:val="-2"/>
                <w:sz w:val="14"/>
              </w:rPr>
              <w:t>Activities)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428.00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488.00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81"/>
              <w:jc w:val="center"/>
              <w:rPr>
                <w:sz w:val="14"/>
              </w:rPr>
            </w:pPr>
            <w:r>
              <w:rPr>
                <w:spacing w:val="-4"/>
                <w:sz w:val="14"/>
              </w:rPr>
              <w:t>12.3</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Health</w:t>
            </w:r>
            <w:r>
              <w:rPr>
                <w:spacing w:val="-5"/>
                <w:sz w:val="14"/>
              </w:rPr>
              <w:t> </w:t>
            </w:r>
            <w:r>
              <w:rPr>
                <w:sz w:val="14"/>
              </w:rPr>
              <w:t>Premises</w:t>
            </w:r>
            <w:r>
              <w:rPr>
                <w:spacing w:val="-4"/>
                <w:sz w:val="14"/>
              </w:rPr>
              <w:t> </w:t>
            </w:r>
            <w:r>
              <w:rPr>
                <w:sz w:val="14"/>
              </w:rPr>
              <w:t>Additional</w:t>
            </w:r>
            <w:r>
              <w:rPr>
                <w:spacing w:val="-2"/>
                <w:sz w:val="14"/>
              </w:rPr>
              <w:t> </w:t>
            </w:r>
            <w:r>
              <w:rPr>
                <w:sz w:val="14"/>
              </w:rPr>
              <w:t>/</w:t>
            </w:r>
            <w:r>
              <w:rPr>
                <w:spacing w:val="-2"/>
                <w:sz w:val="14"/>
              </w:rPr>
              <w:t> </w:t>
            </w:r>
            <w:r>
              <w:rPr>
                <w:sz w:val="14"/>
              </w:rPr>
              <w:t>Follow</w:t>
            </w:r>
            <w:r>
              <w:rPr>
                <w:spacing w:val="-4"/>
                <w:sz w:val="14"/>
              </w:rPr>
              <w:t> </w:t>
            </w:r>
            <w:r>
              <w:rPr>
                <w:sz w:val="14"/>
              </w:rPr>
              <w:t>up</w:t>
            </w:r>
            <w:r>
              <w:rPr>
                <w:spacing w:val="-4"/>
                <w:sz w:val="14"/>
              </w:rPr>
              <w:t> </w:t>
            </w:r>
            <w:r>
              <w:rPr>
                <w:spacing w:val="-2"/>
                <w:sz w:val="14"/>
              </w:rPr>
              <w:t>Inspection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141.00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148.00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Pre-application</w:t>
            </w:r>
            <w:r>
              <w:rPr>
                <w:spacing w:val="-3"/>
                <w:sz w:val="14"/>
              </w:rPr>
              <w:t> </w:t>
            </w:r>
            <w:r>
              <w:rPr>
                <w:sz w:val="14"/>
              </w:rPr>
              <w:t>Fee</w:t>
            </w:r>
            <w:r>
              <w:rPr>
                <w:spacing w:val="-3"/>
                <w:sz w:val="14"/>
              </w:rPr>
              <w:t> </w:t>
            </w:r>
            <w:r>
              <w:rPr>
                <w:sz w:val="14"/>
              </w:rPr>
              <w:t>Food</w:t>
            </w:r>
            <w:r>
              <w:rPr>
                <w:spacing w:val="-5"/>
                <w:sz w:val="14"/>
              </w:rPr>
              <w:t> </w:t>
            </w:r>
            <w:r>
              <w:rPr>
                <w:sz w:val="14"/>
              </w:rPr>
              <w:t>Class</w:t>
            </w:r>
            <w:r>
              <w:rPr>
                <w:spacing w:val="-2"/>
                <w:sz w:val="14"/>
              </w:rPr>
              <w:t> </w:t>
            </w:r>
            <w:r>
              <w:rPr>
                <w:sz w:val="14"/>
              </w:rPr>
              <w:t>1</w:t>
            </w:r>
            <w:r>
              <w:rPr>
                <w:spacing w:val="-7"/>
                <w:sz w:val="14"/>
              </w:rPr>
              <w:t> </w:t>
            </w:r>
            <w:r>
              <w:rPr>
                <w:spacing w:val="-2"/>
                <w:sz w:val="14"/>
              </w:rPr>
              <w:t>Premises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415.00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435.00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Pre-application</w:t>
            </w:r>
            <w:r>
              <w:rPr>
                <w:spacing w:val="-3"/>
                <w:sz w:val="14"/>
              </w:rPr>
              <w:t> </w:t>
            </w:r>
            <w:r>
              <w:rPr>
                <w:sz w:val="14"/>
              </w:rPr>
              <w:t>Fee</w:t>
            </w:r>
            <w:r>
              <w:rPr>
                <w:spacing w:val="-3"/>
                <w:sz w:val="14"/>
              </w:rPr>
              <w:t> </w:t>
            </w:r>
            <w:r>
              <w:rPr>
                <w:sz w:val="14"/>
              </w:rPr>
              <w:t>Food</w:t>
            </w:r>
            <w:r>
              <w:rPr>
                <w:spacing w:val="-5"/>
                <w:sz w:val="14"/>
              </w:rPr>
              <w:t> </w:t>
            </w:r>
            <w:r>
              <w:rPr>
                <w:sz w:val="14"/>
              </w:rPr>
              <w:t>Class</w:t>
            </w:r>
            <w:r>
              <w:rPr>
                <w:spacing w:val="-2"/>
                <w:sz w:val="14"/>
              </w:rPr>
              <w:t> </w:t>
            </w:r>
            <w:r>
              <w:rPr>
                <w:sz w:val="14"/>
              </w:rPr>
              <w:t>2</w:t>
            </w:r>
            <w:r>
              <w:rPr>
                <w:spacing w:val="-7"/>
                <w:sz w:val="14"/>
              </w:rPr>
              <w:t> </w:t>
            </w:r>
            <w:r>
              <w:rPr>
                <w:spacing w:val="-2"/>
                <w:sz w:val="14"/>
              </w:rPr>
              <w:t>Premises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415.00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435.00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Pre-application</w:t>
            </w:r>
            <w:r>
              <w:rPr>
                <w:spacing w:val="-3"/>
                <w:sz w:val="14"/>
              </w:rPr>
              <w:t> </w:t>
            </w:r>
            <w:r>
              <w:rPr>
                <w:sz w:val="14"/>
              </w:rPr>
              <w:t>Fee</w:t>
            </w:r>
            <w:r>
              <w:rPr>
                <w:spacing w:val="-4"/>
                <w:sz w:val="14"/>
              </w:rPr>
              <w:t> </w:t>
            </w:r>
            <w:r>
              <w:rPr>
                <w:sz w:val="14"/>
              </w:rPr>
              <w:t>Food</w:t>
            </w:r>
            <w:r>
              <w:rPr>
                <w:spacing w:val="-6"/>
                <w:sz w:val="14"/>
              </w:rPr>
              <w:t> </w:t>
            </w:r>
            <w:r>
              <w:rPr>
                <w:sz w:val="14"/>
              </w:rPr>
              <w:t>Class</w:t>
            </w:r>
            <w:r>
              <w:rPr>
                <w:spacing w:val="-2"/>
                <w:sz w:val="14"/>
              </w:rPr>
              <w:t> </w:t>
            </w:r>
            <w:r>
              <w:rPr>
                <w:sz w:val="14"/>
              </w:rPr>
              <w:t>2</w:t>
            </w:r>
            <w:r>
              <w:rPr>
                <w:spacing w:val="-7"/>
                <w:sz w:val="14"/>
              </w:rPr>
              <w:t> </w:t>
            </w:r>
            <w:r>
              <w:rPr>
                <w:sz w:val="14"/>
              </w:rPr>
              <w:t>Premises</w:t>
            </w:r>
            <w:r>
              <w:rPr>
                <w:spacing w:val="-6"/>
                <w:sz w:val="14"/>
              </w:rPr>
              <w:t> </w:t>
            </w:r>
            <w:r>
              <w:rPr>
                <w:sz w:val="14"/>
              </w:rPr>
              <w:t>-</w:t>
            </w:r>
            <w:r>
              <w:rPr>
                <w:spacing w:val="-3"/>
                <w:sz w:val="14"/>
              </w:rPr>
              <w:t> </w:t>
            </w:r>
            <w:r>
              <w:rPr>
                <w:sz w:val="14"/>
              </w:rPr>
              <w:t>Community/Sports</w:t>
            </w:r>
            <w:r>
              <w:rPr>
                <w:spacing w:val="-4"/>
                <w:sz w:val="14"/>
              </w:rPr>
              <w:t> </w:t>
            </w:r>
            <w:r>
              <w:rPr>
                <w:spacing w:val="-2"/>
                <w:sz w:val="14"/>
              </w:rPr>
              <w:t>Groups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280.00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295.00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5.1</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9"/>
              <w:ind w:left="107"/>
              <w:rPr>
                <w:sz w:val="14"/>
              </w:rPr>
            </w:pPr>
            <w:r>
              <w:rPr>
                <w:sz w:val="14"/>
              </w:rPr>
              <w:t>Pre-application</w:t>
            </w:r>
            <w:r>
              <w:rPr>
                <w:spacing w:val="-4"/>
                <w:sz w:val="14"/>
              </w:rPr>
              <w:t> </w:t>
            </w:r>
            <w:r>
              <w:rPr>
                <w:sz w:val="14"/>
              </w:rPr>
              <w:t>Fee</w:t>
            </w:r>
            <w:r>
              <w:rPr>
                <w:spacing w:val="-4"/>
                <w:sz w:val="14"/>
              </w:rPr>
              <w:t> </w:t>
            </w:r>
            <w:r>
              <w:rPr>
                <w:sz w:val="14"/>
              </w:rPr>
              <w:t>Food</w:t>
            </w:r>
            <w:r>
              <w:rPr>
                <w:spacing w:val="-4"/>
                <w:sz w:val="14"/>
              </w:rPr>
              <w:t> </w:t>
            </w:r>
            <w:r>
              <w:rPr>
                <w:sz w:val="14"/>
              </w:rPr>
              <w:t>Class</w:t>
            </w:r>
            <w:r>
              <w:rPr>
                <w:spacing w:val="-2"/>
                <w:sz w:val="14"/>
              </w:rPr>
              <w:t> </w:t>
            </w:r>
            <w:r>
              <w:rPr>
                <w:sz w:val="14"/>
              </w:rPr>
              <w:t>3</w:t>
            </w:r>
            <w:r>
              <w:rPr>
                <w:spacing w:val="-7"/>
                <w:sz w:val="14"/>
              </w:rPr>
              <w:t> </w:t>
            </w:r>
            <w:r>
              <w:rPr>
                <w:spacing w:val="-2"/>
                <w:sz w:val="14"/>
              </w:rPr>
              <w:t>Premises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302"/>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1"/>
              <w:jc w:val="right"/>
              <w:rPr>
                <w:sz w:val="14"/>
              </w:rPr>
            </w:pPr>
            <w:r>
              <w:rPr>
                <w:spacing w:val="-2"/>
                <w:sz w:val="14"/>
              </w:rPr>
              <w:t>280.00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4"/>
              <w:jc w:val="right"/>
              <w:rPr>
                <w:sz w:val="14"/>
              </w:rPr>
            </w:pPr>
            <w:r>
              <w:rPr>
                <w:spacing w:val="-2"/>
                <w:sz w:val="14"/>
              </w:rPr>
              <w:t>295.00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2" w:lineRule="exact" w:before="19"/>
              <w:ind w:left="95" w:right="80"/>
              <w:jc w:val="center"/>
              <w:rPr>
                <w:sz w:val="14"/>
              </w:rPr>
            </w:pPr>
            <w:r>
              <w:rPr>
                <w:spacing w:val="-5"/>
                <w:sz w:val="14"/>
              </w:rPr>
              <w:t>5.1</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Pre-application</w:t>
            </w:r>
            <w:r>
              <w:rPr>
                <w:spacing w:val="-3"/>
                <w:sz w:val="14"/>
              </w:rPr>
              <w:t> </w:t>
            </w:r>
            <w:r>
              <w:rPr>
                <w:sz w:val="14"/>
              </w:rPr>
              <w:t>Fee</w:t>
            </w:r>
            <w:r>
              <w:rPr>
                <w:spacing w:val="-4"/>
                <w:sz w:val="14"/>
              </w:rPr>
              <w:t> </w:t>
            </w:r>
            <w:r>
              <w:rPr>
                <w:sz w:val="14"/>
              </w:rPr>
              <w:t>Food</w:t>
            </w:r>
            <w:r>
              <w:rPr>
                <w:spacing w:val="-6"/>
                <w:sz w:val="14"/>
              </w:rPr>
              <w:t> </w:t>
            </w:r>
            <w:r>
              <w:rPr>
                <w:sz w:val="14"/>
              </w:rPr>
              <w:t>Class</w:t>
            </w:r>
            <w:r>
              <w:rPr>
                <w:spacing w:val="-2"/>
                <w:sz w:val="14"/>
              </w:rPr>
              <w:t> </w:t>
            </w:r>
            <w:r>
              <w:rPr>
                <w:sz w:val="14"/>
              </w:rPr>
              <w:t>3</w:t>
            </w:r>
            <w:r>
              <w:rPr>
                <w:spacing w:val="-7"/>
                <w:sz w:val="14"/>
              </w:rPr>
              <w:t> </w:t>
            </w:r>
            <w:r>
              <w:rPr>
                <w:sz w:val="14"/>
              </w:rPr>
              <w:t>Premises</w:t>
            </w:r>
            <w:r>
              <w:rPr>
                <w:spacing w:val="-6"/>
                <w:sz w:val="14"/>
              </w:rPr>
              <w:t> </w:t>
            </w:r>
            <w:r>
              <w:rPr>
                <w:sz w:val="14"/>
              </w:rPr>
              <w:t>-</w:t>
            </w:r>
            <w:r>
              <w:rPr>
                <w:spacing w:val="-3"/>
                <w:sz w:val="14"/>
              </w:rPr>
              <w:t> </w:t>
            </w:r>
            <w:r>
              <w:rPr>
                <w:sz w:val="14"/>
              </w:rPr>
              <w:t>Community/Sports</w:t>
            </w:r>
            <w:r>
              <w:rPr>
                <w:spacing w:val="-4"/>
                <w:sz w:val="14"/>
              </w:rPr>
              <w:t> </w:t>
            </w:r>
            <w:r>
              <w:rPr>
                <w:spacing w:val="-2"/>
                <w:sz w:val="14"/>
              </w:rPr>
              <w:t>Groups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247.00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259.00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Pre-application</w:t>
            </w:r>
            <w:r>
              <w:rPr>
                <w:spacing w:val="-3"/>
                <w:sz w:val="14"/>
              </w:rPr>
              <w:t> </w:t>
            </w:r>
            <w:r>
              <w:rPr>
                <w:sz w:val="14"/>
              </w:rPr>
              <w:t>Fees</w:t>
            </w:r>
            <w:r>
              <w:rPr>
                <w:spacing w:val="-4"/>
                <w:sz w:val="14"/>
              </w:rPr>
              <w:t> </w:t>
            </w:r>
            <w:r>
              <w:rPr>
                <w:sz w:val="14"/>
              </w:rPr>
              <w:t>Health</w:t>
            </w:r>
            <w:r>
              <w:rPr>
                <w:spacing w:val="-6"/>
                <w:sz w:val="14"/>
              </w:rPr>
              <w:t> </w:t>
            </w:r>
            <w:r>
              <w:rPr>
                <w:sz w:val="14"/>
              </w:rPr>
              <w:t>Premises</w:t>
            </w:r>
            <w:r>
              <w:rPr>
                <w:spacing w:val="-3"/>
                <w:sz w:val="14"/>
              </w:rPr>
              <w:t> </w:t>
            </w:r>
            <w:r>
              <w:rPr>
                <w:sz w:val="14"/>
              </w:rPr>
              <w:t>-</w:t>
            </w:r>
            <w:r>
              <w:rPr>
                <w:spacing w:val="-3"/>
                <w:sz w:val="14"/>
              </w:rPr>
              <w:t> </w:t>
            </w:r>
            <w:r>
              <w:rPr>
                <w:sz w:val="14"/>
              </w:rPr>
              <w:t>Low</w:t>
            </w:r>
            <w:r>
              <w:rPr>
                <w:spacing w:val="-2"/>
                <w:sz w:val="14"/>
              </w:rPr>
              <w:t> </w:t>
            </w:r>
            <w:r>
              <w:rPr>
                <w:sz w:val="14"/>
              </w:rPr>
              <w:t>Risk</w:t>
            </w:r>
            <w:r>
              <w:rPr>
                <w:spacing w:val="-6"/>
                <w:sz w:val="14"/>
              </w:rPr>
              <w:t> </w:t>
            </w:r>
            <w:r>
              <w:rPr>
                <w:spacing w:val="-2"/>
                <w:sz w:val="14"/>
              </w:rPr>
              <w:t>Activities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213.00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223.00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Pre-application</w:t>
            </w:r>
            <w:r>
              <w:rPr>
                <w:spacing w:val="-3"/>
                <w:sz w:val="14"/>
              </w:rPr>
              <w:t> </w:t>
            </w:r>
            <w:r>
              <w:rPr>
                <w:sz w:val="14"/>
              </w:rPr>
              <w:t>Fees</w:t>
            </w:r>
            <w:r>
              <w:rPr>
                <w:spacing w:val="-4"/>
                <w:sz w:val="14"/>
              </w:rPr>
              <w:t> </w:t>
            </w:r>
            <w:r>
              <w:rPr>
                <w:sz w:val="14"/>
              </w:rPr>
              <w:t>Health</w:t>
            </w:r>
            <w:r>
              <w:rPr>
                <w:spacing w:val="-6"/>
                <w:sz w:val="14"/>
              </w:rPr>
              <w:t> </w:t>
            </w:r>
            <w:r>
              <w:rPr>
                <w:sz w:val="14"/>
              </w:rPr>
              <w:t>Premises</w:t>
            </w:r>
            <w:r>
              <w:rPr>
                <w:spacing w:val="-3"/>
                <w:sz w:val="14"/>
              </w:rPr>
              <w:t> </w:t>
            </w:r>
            <w:r>
              <w:rPr>
                <w:sz w:val="14"/>
              </w:rPr>
              <w:t>-</w:t>
            </w:r>
            <w:r>
              <w:rPr>
                <w:spacing w:val="-3"/>
                <w:sz w:val="14"/>
              </w:rPr>
              <w:t> </w:t>
            </w:r>
            <w:r>
              <w:rPr>
                <w:sz w:val="14"/>
              </w:rPr>
              <w:t>Medium</w:t>
            </w:r>
            <w:r>
              <w:rPr>
                <w:spacing w:val="-4"/>
                <w:sz w:val="14"/>
              </w:rPr>
              <w:t> </w:t>
            </w:r>
            <w:r>
              <w:rPr>
                <w:sz w:val="14"/>
              </w:rPr>
              <w:t>Risk</w:t>
            </w:r>
            <w:r>
              <w:rPr>
                <w:spacing w:val="-3"/>
                <w:sz w:val="14"/>
              </w:rPr>
              <w:t> </w:t>
            </w:r>
            <w:r>
              <w:rPr>
                <w:spacing w:val="-2"/>
                <w:sz w:val="14"/>
              </w:rPr>
              <w:t>Activities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213.00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223.00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Pre-application</w:t>
            </w:r>
            <w:r>
              <w:rPr>
                <w:spacing w:val="-2"/>
                <w:sz w:val="14"/>
              </w:rPr>
              <w:t> </w:t>
            </w:r>
            <w:r>
              <w:rPr>
                <w:sz w:val="14"/>
              </w:rPr>
              <w:t>Fees</w:t>
            </w:r>
            <w:r>
              <w:rPr>
                <w:spacing w:val="-5"/>
                <w:sz w:val="14"/>
              </w:rPr>
              <w:t> </w:t>
            </w:r>
            <w:r>
              <w:rPr>
                <w:sz w:val="14"/>
              </w:rPr>
              <w:t>Health</w:t>
            </w:r>
            <w:r>
              <w:rPr>
                <w:spacing w:val="-5"/>
                <w:sz w:val="14"/>
              </w:rPr>
              <w:t> </w:t>
            </w:r>
            <w:r>
              <w:rPr>
                <w:sz w:val="14"/>
              </w:rPr>
              <w:t>Premises</w:t>
            </w:r>
            <w:r>
              <w:rPr>
                <w:spacing w:val="-3"/>
                <w:sz w:val="14"/>
              </w:rPr>
              <w:t> </w:t>
            </w:r>
            <w:r>
              <w:rPr>
                <w:sz w:val="14"/>
              </w:rPr>
              <w:t>-</w:t>
            </w:r>
            <w:r>
              <w:rPr>
                <w:spacing w:val="-3"/>
                <w:sz w:val="14"/>
              </w:rPr>
              <w:t> </w:t>
            </w:r>
            <w:r>
              <w:rPr>
                <w:sz w:val="14"/>
              </w:rPr>
              <w:t>High</w:t>
            </w:r>
            <w:r>
              <w:rPr>
                <w:spacing w:val="-3"/>
                <w:sz w:val="14"/>
              </w:rPr>
              <w:t> </w:t>
            </w:r>
            <w:r>
              <w:rPr>
                <w:sz w:val="14"/>
              </w:rPr>
              <w:t>Risk</w:t>
            </w:r>
            <w:r>
              <w:rPr>
                <w:spacing w:val="-6"/>
                <w:sz w:val="14"/>
              </w:rPr>
              <w:t> </w:t>
            </w:r>
            <w:r>
              <w:rPr>
                <w:spacing w:val="-2"/>
                <w:sz w:val="14"/>
              </w:rPr>
              <w:t>Activities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213.00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223.00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Pre-application</w:t>
            </w:r>
            <w:r>
              <w:rPr>
                <w:spacing w:val="-4"/>
                <w:sz w:val="14"/>
              </w:rPr>
              <w:t> </w:t>
            </w:r>
            <w:r>
              <w:rPr>
                <w:sz w:val="14"/>
              </w:rPr>
              <w:t>Fees</w:t>
            </w:r>
            <w:r>
              <w:rPr>
                <w:spacing w:val="-5"/>
                <w:sz w:val="14"/>
              </w:rPr>
              <w:t> </w:t>
            </w:r>
            <w:r>
              <w:rPr>
                <w:sz w:val="14"/>
              </w:rPr>
              <w:t>Food</w:t>
            </w:r>
            <w:r>
              <w:rPr>
                <w:spacing w:val="-4"/>
                <w:sz w:val="14"/>
              </w:rPr>
              <w:t> </w:t>
            </w:r>
            <w:r>
              <w:rPr>
                <w:sz w:val="14"/>
              </w:rPr>
              <w:t>Manufacturers</w:t>
            </w:r>
            <w:r>
              <w:rPr>
                <w:spacing w:val="-8"/>
                <w:sz w:val="14"/>
              </w:rPr>
              <w:t> </w:t>
            </w:r>
            <w:r>
              <w:rPr>
                <w:sz w:val="14"/>
              </w:rPr>
              <w:t>&amp;</w:t>
            </w:r>
            <w:r>
              <w:rPr>
                <w:spacing w:val="-6"/>
                <w:sz w:val="14"/>
              </w:rPr>
              <w:t> </w:t>
            </w:r>
            <w:r>
              <w:rPr>
                <w:spacing w:val="-2"/>
                <w:sz w:val="14"/>
              </w:rPr>
              <w:t>Supermarkets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532.00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558.00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9"/>
              <w:ind w:left="107"/>
              <w:rPr>
                <w:sz w:val="14"/>
              </w:rPr>
            </w:pPr>
            <w:r>
              <w:rPr>
                <w:sz w:val="14"/>
              </w:rPr>
              <w:t>Pre-application</w:t>
            </w:r>
            <w:r>
              <w:rPr>
                <w:spacing w:val="-8"/>
                <w:sz w:val="14"/>
              </w:rPr>
              <w:t> </w:t>
            </w:r>
            <w:r>
              <w:rPr>
                <w:sz w:val="14"/>
              </w:rPr>
              <w:t>Fees</w:t>
            </w:r>
            <w:r>
              <w:rPr>
                <w:spacing w:val="-10"/>
                <w:sz w:val="14"/>
              </w:rPr>
              <w:t> </w:t>
            </w:r>
            <w:r>
              <w:rPr>
                <w:sz w:val="14"/>
              </w:rPr>
              <w:t>Restaurants/Cafes/Hotels/Clubs</w:t>
            </w:r>
            <w:r>
              <w:rPr>
                <w:spacing w:val="-6"/>
                <w:sz w:val="14"/>
              </w:rPr>
              <w:t> </w:t>
            </w:r>
            <w:r>
              <w:rPr>
                <w:sz w:val="14"/>
              </w:rPr>
              <w:t>(&gt;100</w:t>
            </w:r>
            <w:r>
              <w:rPr>
                <w:spacing w:val="-6"/>
                <w:sz w:val="14"/>
              </w:rPr>
              <w:t> </w:t>
            </w:r>
            <w:r>
              <w:rPr>
                <w:spacing w:val="-2"/>
                <w:sz w:val="14"/>
              </w:rPr>
              <w:t>seats)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7"/>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1"/>
              <w:jc w:val="right"/>
              <w:rPr>
                <w:sz w:val="14"/>
              </w:rPr>
            </w:pPr>
            <w:r>
              <w:rPr>
                <w:spacing w:val="-2"/>
                <w:sz w:val="14"/>
              </w:rPr>
              <w:t>420.00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2"/>
              <w:jc w:val="right"/>
              <w:rPr>
                <w:sz w:val="14"/>
              </w:rPr>
            </w:pPr>
            <w:r>
              <w:rPr>
                <w:spacing w:val="-2"/>
                <w:sz w:val="14"/>
              </w:rPr>
              <w:t>440.00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2" w:lineRule="exact" w:before="19"/>
              <w:ind w:left="95" w:right="80"/>
              <w:jc w:val="center"/>
              <w:rPr>
                <w:sz w:val="14"/>
              </w:rPr>
            </w:pPr>
            <w:r>
              <w:rPr>
                <w:spacing w:val="-5"/>
                <w:sz w:val="14"/>
              </w:rPr>
              <w:t>4.5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Pre-Purchase</w:t>
            </w:r>
            <w:r>
              <w:rPr>
                <w:spacing w:val="-6"/>
                <w:sz w:val="14"/>
              </w:rPr>
              <w:t> </w:t>
            </w:r>
            <w:r>
              <w:rPr>
                <w:sz w:val="14"/>
              </w:rPr>
              <w:t>Inspection</w:t>
            </w:r>
            <w:r>
              <w:rPr>
                <w:spacing w:val="-5"/>
                <w:sz w:val="14"/>
              </w:rPr>
              <w:t> </w:t>
            </w:r>
            <w:r>
              <w:rPr>
                <w:sz w:val="14"/>
              </w:rPr>
              <w:t>Report</w:t>
            </w:r>
            <w:r>
              <w:rPr>
                <w:spacing w:val="-2"/>
                <w:sz w:val="14"/>
              </w:rPr>
              <w:t> </w:t>
            </w:r>
            <w:r>
              <w:rPr>
                <w:sz w:val="14"/>
              </w:rPr>
              <w:t>-</w:t>
            </w:r>
            <w:r>
              <w:rPr>
                <w:spacing w:val="-6"/>
                <w:sz w:val="14"/>
              </w:rPr>
              <w:t> </w:t>
            </w:r>
            <w:r>
              <w:rPr>
                <w:sz w:val="14"/>
              </w:rPr>
              <w:t>All</w:t>
            </w:r>
            <w:r>
              <w:rPr>
                <w:spacing w:val="-4"/>
                <w:sz w:val="14"/>
              </w:rPr>
              <w:t> </w:t>
            </w:r>
            <w:r>
              <w:rPr>
                <w:sz w:val="14"/>
              </w:rPr>
              <w:t>premises</w:t>
            </w:r>
            <w:r>
              <w:rPr>
                <w:spacing w:val="-4"/>
                <w:sz w:val="14"/>
              </w:rPr>
              <w:t> types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277.00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290.00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Pre-Purchase</w:t>
            </w:r>
            <w:r>
              <w:rPr>
                <w:spacing w:val="-5"/>
                <w:sz w:val="14"/>
              </w:rPr>
              <w:t> </w:t>
            </w:r>
            <w:r>
              <w:rPr>
                <w:sz w:val="14"/>
              </w:rPr>
              <w:t>Inspection</w:t>
            </w:r>
            <w:r>
              <w:rPr>
                <w:spacing w:val="-4"/>
                <w:sz w:val="14"/>
              </w:rPr>
              <w:t> </w:t>
            </w:r>
            <w:r>
              <w:rPr>
                <w:sz w:val="14"/>
              </w:rPr>
              <w:t>Report</w:t>
            </w:r>
            <w:r>
              <w:rPr>
                <w:spacing w:val="-2"/>
                <w:sz w:val="14"/>
              </w:rPr>
              <w:t> </w:t>
            </w:r>
            <w:r>
              <w:rPr>
                <w:sz w:val="14"/>
              </w:rPr>
              <w:t>-</w:t>
            </w:r>
            <w:r>
              <w:rPr>
                <w:spacing w:val="-4"/>
                <w:sz w:val="14"/>
              </w:rPr>
              <w:t> </w:t>
            </w:r>
            <w:r>
              <w:rPr>
                <w:sz w:val="14"/>
              </w:rPr>
              <w:t>All</w:t>
            </w:r>
            <w:r>
              <w:rPr>
                <w:spacing w:val="-4"/>
                <w:sz w:val="14"/>
              </w:rPr>
              <w:t> </w:t>
            </w:r>
            <w:r>
              <w:rPr>
                <w:sz w:val="14"/>
              </w:rPr>
              <w:t>premises</w:t>
            </w:r>
            <w:r>
              <w:rPr>
                <w:spacing w:val="-3"/>
                <w:sz w:val="14"/>
              </w:rPr>
              <w:t> </w:t>
            </w:r>
            <w:r>
              <w:rPr>
                <w:sz w:val="14"/>
              </w:rPr>
              <w:t>types</w:t>
            </w:r>
            <w:r>
              <w:rPr>
                <w:spacing w:val="-1"/>
                <w:sz w:val="14"/>
              </w:rPr>
              <w:t> </w:t>
            </w:r>
            <w:r>
              <w:rPr>
                <w:sz w:val="14"/>
              </w:rPr>
              <w:t>-</w:t>
            </w:r>
            <w:r>
              <w:rPr>
                <w:spacing w:val="-4"/>
                <w:sz w:val="14"/>
              </w:rPr>
              <w:t> </w:t>
            </w:r>
            <w:r>
              <w:rPr>
                <w:sz w:val="14"/>
              </w:rPr>
              <w:t>less</w:t>
            </w:r>
            <w:r>
              <w:rPr>
                <w:spacing w:val="-4"/>
                <w:sz w:val="14"/>
              </w:rPr>
              <w:t> </w:t>
            </w:r>
            <w:r>
              <w:rPr>
                <w:sz w:val="14"/>
              </w:rPr>
              <w:t>than</w:t>
            </w:r>
            <w:r>
              <w:rPr>
                <w:spacing w:val="-4"/>
                <w:sz w:val="14"/>
              </w:rPr>
              <w:t> </w:t>
            </w:r>
            <w:r>
              <w:rPr>
                <w:sz w:val="14"/>
              </w:rPr>
              <w:t>5</w:t>
            </w:r>
            <w:r>
              <w:rPr>
                <w:spacing w:val="-3"/>
                <w:sz w:val="14"/>
              </w:rPr>
              <w:t> </w:t>
            </w:r>
            <w:r>
              <w:rPr>
                <w:sz w:val="14"/>
              </w:rPr>
              <w:t>Days</w:t>
            </w:r>
            <w:r>
              <w:rPr>
                <w:spacing w:val="-4"/>
                <w:sz w:val="14"/>
              </w:rPr>
              <w:t> </w:t>
            </w:r>
            <w:r>
              <w:rPr>
                <w:spacing w:val="-2"/>
                <w:sz w:val="14"/>
              </w:rPr>
              <w:t>Notification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350.00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370.00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5.4</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Wastewater</w:t>
            </w:r>
            <w:r>
              <w:rPr>
                <w:spacing w:val="-6"/>
                <w:sz w:val="14"/>
              </w:rPr>
              <w:t> </w:t>
            </w:r>
            <w:r>
              <w:rPr>
                <w:sz w:val="14"/>
              </w:rPr>
              <w:t>Application</w:t>
            </w:r>
            <w:r>
              <w:rPr>
                <w:spacing w:val="-5"/>
                <w:sz w:val="14"/>
              </w:rPr>
              <w:t> </w:t>
            </w:r>
            <w:r>
              <w:rPr>
                <w:sz w:val="14"/>
              </w:rPr>
              <w:t>-</w:t>
            </w:r>
            <w:r>
              <w:rPr>
                <w:spacing w:val="-2"/>
                <w:sz w:val="14"/>
              </w:rPr>
              <w:t> </w:t>
            </w:r>
            <w:r>
              <w:rPr>
                <w:sz w:val="14"/>
              </w:rPr>
              <w:t>LCA</w:t>
            </w:r>
            <w:r>
              <w:rPr>
                <w:spacing w:val="-4"/>
                <w:sz w:val="14"/>
              </w:rPr>
              <w:t> </w:t>
            </w:r>
            <w:r>
              <w:rPr>
                <w:spacing w:val="-2"/>
                <w:sz w:val="14"/>
              </w:rPr>
              <w:t>Assessment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3"/>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220.00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235.00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6.4</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Minor</w:t>
            </w:r>
            <w:r>
              <w:rPr>
                <w:spacing w:val="-5"/>
                <w:sz w:val="14"/>
              </w:rPr>
              <w:t> </w:t>
            </w:r>
            <w:r>
              <w:rPr>
                <w:sz w:val="14"/>
              </w:rPr>
              <w:t>alteration</w:t>
            </w:r>
            <w:r>
              <w:rPr>
                <w:spacing w:val="-5"/>
                <w:sz w:val="14"/>
              </w:rPr>
              <w:t> </w:t>
            </w:r>
            <w:r>
              <w:rPr>
                <w:sz w:val="14"/>
              </w:rPr>
              <w:t>to</w:t>
            </w:r>
            <w:r>
              <w:rPr>
                <w:spacing w:val="-3"/>
                <w:sz w:val="14"/>
              </w:rPr>
              <w:t> </w:t>
            </w:r>
            <w:r>
              <w:rPr>
                <w:sz w:val="14"/>
              </w:rPr>
              <w:t>an</w:t>
            </w:r>
            <w:r>
              <w:rPr>
                <w:spacing w:val="-4"/>
                <w:sz w:val="14"/>
              </w:rPr>
              <w:t> </w:t>
            </w:r>
            <w:r>
              <w:rPr>
                <w:sz w:val="14"/>
              </w:rPr>
              <w:t>on-site</w:t>
            </w:r>
            <w:r>
              <w:rPr>
                <w:spacing w:val="-4"/>
                <w:sz w:val="14"/>
              </w:rPr>
              <w:t> </w:t>
            </w:r>
            <w:r>
              <w:rPr>
                <w:sz w:val="14"/>
              </w:rPr>
              <w:t>wastewater</w:t>
            </w:r>
            <w:r>
              <w:rPr>
                <w:spacing w:val="-6"/>
                <w:sz w:val="14"/>
              </w:rPr>
              <w:t> </w:t>
            </w:r>
            <w:r>
              <w:rPr>
                <w:sz w:val="14"/>
              </w:rPr>
              <w:t>management</w:t>
            </w:r>
            <w:r>
              <w:rPr>
                <w:spacing w:val="-6"/>
                <w:sz w:val="14"/>
              </w:rPr>
              <w:t> </w:t>
            </w:r>
            <w:r>
              <w:rPr>
                <w:sz w:val="14"/>
              </w:rPr>
              <w:t>system</w:t>
            </w:r>
            <w:r>
              <w:rPr>
                <w:spacing w:val="-2"/>
                <w:sz w:val="14"/>
              </w:rPr>
              <w:t> (37.25FU)</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608.00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608.00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Pr>
                <w:sz w:val="14"/>
              </w:rPr>
            </w:pPr>
            <w:r>
              <w:rPr>
                <w:sz w:val="14"/>
              </w:rPr>
              <w:t>Permit</w:t>
            </w:r>
            <w:r>
              <w:rPr>
                <w:spacing w:val="-3"/>
                <w:sz w:val="14"/>
              </w:rPr>
              <w:t> </w:t>
            </w:r>
            <w:r>
              <w:rPr>
                <w:sz w:val="14"/>
              </w:rPr>
              <w:t>to</w:t>
            </w:r>
            <w:r>
              <w:rPr>
                <w:spacing w:val="-1"/>
                <w:sz w:val="14"/>
              </w:rPr>
              <w:t> </w:t>
            </w:r>
            <w:r>
              <w:rPr>
                <w:sz w:val="14"/>
              </w:rPr>
              <w:t>construct,</w:t>
            </w:r>
            <w:r>
              <w:rPr>
                <w:spacing w:val="-3"/>
                <w:sz w:val="14"/>
              </w:rPr>
              <w:t> </w:t>
            </w:r>
            <w:r>
              <w:rPr>
                <w:sz w:val="14"/>
              </w:rPr>
              <w:t>install</w:t>
            </w:r>
            <w:r>
              <w:rPr>
                <w:spacing w:val="-1"/>
                <w:sz w:val="14"/>
              </w:rPr>
              <w:t> </w:t>
            </w:r>
            <w:r>
              <w:rPr>
                <w:sz w:val="14"/>
              </w:rPr>
              <w:t>or</w:t>
            </w:r>
            <w:r>
              <w:rPr>
                <w:spacing w:val="-1"/>
                <w:sz w:val="14"/>
              </w:rPr>
              <w:t> </w:t>
            </w:r>
            <w:r>
              <w:rPr>
                <w:sz w:val="14"/>
              </w:rPr>
              <w:t>alter</w:t>
            </w:r>
            <w:r>
              <w:rPr>
                <w:spacing w:val="-4"/>
                <w:sz w:val="14"/>
              </w:rPr>
              <w:t> </w:t>
            </w:r>
            <w:r>
              <w:rPr>
                <w:sz w:val="14"/>
              </w:rPr>
              <w:t>an</w:t>
            </w:r>
            <w:r>
              <w:rPr>
                <w:spacing w:val="-4"/>
                <w:sz w:val="14"/>
              </w:rPr>
              <w:t> </w:t>
            </w:r>
            <w:r>
              <w:rPr>
                <w:sz w:val="14"/>
              </w:rPr>
              <w:t>on-site</w:t>
            </w:r>
            <w:r>
              <w:rPr>
                <w:spacing w:val="-4"/>
                <w:sz w:val="14"/>
              </w:rPr>
              <w:t> </w:t>
            </w:r>
            <w:r>
              <w:rPr>
                <w:sz w:val="14"/>
              </w:rPr>
              <w:t>wastewater</w:t>
            </w:r>
            <w:r>
              <w:rPr>
                <w:spacing w:val="-4"/>
                <w:sz w:val="14"/>
              </w:rPr>
              <w:t> </w:t>
            </w:r>
            <w:r>
              <w:rPr>
                <w:sz w:val="14"/>
              </w:rPr>
              <w:t>management</w:t>
            </w:r>
            <w:r>
              <w:rPr>
                <w:spacing w:val="-4"/>
                <w:sz w:val="14"/>
              </w:rPr>
              <w:t> </w:t>
            </w:r>
            <w:r>
              <w:rPr>
                <w:sz w:val="14"/>
              </w:rPr>
              <w:t>system (up</w:t>
            </w:r>
            <w:r>
              <w:rPr>
                <w:spacing w:val="-5"/>
                <w:sz w:val="14"/>
              </w:rPr>
              <w:t> </w:t>
            </w:r>
            <w:r>
              <w:rPr>
                <w:sz w:val="14"/>
              </w:rPr>
              <w:t>to</w:t>
            </w:r>
            <w:r>
              <w:rPr>
                <w:spacing w:val="-1"/>
                <w:sz w:val="14"/>
              </w:rPr>
              <w:t> </w:t>
            </w:r>
            <w:r>
              <w:rPr>
                <w:sz w:val="14"/>
              </w:rPr>
              <w:t>8.2</w:t>
            </w:r>
            <w:r>
              <w:rPr>
                <w:spacing w:val="40"/>
                <w:sz w:val="14"/>
              </w:rPr>
              <w:t> </w:t>
            </w:r>
            <w:r>
              <w:rPr>
                <w:sz w:val="14"/>
              </w:rPr>
              <w:t>hours work) (48.88 FU)</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1"/>
              <w:jc w:val="right"/>
              <w:rPr>
                <w:sz w:val="14"/>
              </w:rPr>
            </w:pPr>
            <w:r>
              <w:rPr>
                <w:spacing w:val="-2"/>
                <w:sz w:val="14"/>
              </w:rPr>
              <w:t>798.00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3"/>
              <w:jc w:val="right"/>
              <w:rPr>
                <w:sz w:val="14"/>
              </w:rPr>
            </w:pPr>
            <w:r>
              <w:rPr>
                <w:spacing w:val="-2"/>
                <w:sz w:val="14"/>
              </w:rPr>
              <w:t>798.00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0" w:lineRule="exact"/>
              <w:ind w:left="95" w:right="79"/>
              <w:jc w:val="center"/>
              <w:rPr>
                <w:sz w:val="14"/>
              </w:rPr>
            </w:pPr>
            <w:r>
              <w:rPr>
                <w:spacing w:val="-5"/>
                <w:sz w:val="14"/>
              </w:rPr>
              <w:t>0.0</w:t>
            </w:r>
          </w:p>
        </w:tc>
      </w:tr>
      <w:tr>
        <w:trPr>
          <w:trHeight w:val="36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20"/>
              <w:ind w:left="107" w:right="72"/>
              <w:rPr>
                <w:sz w:val="14"/>
              </w:rPr>
            </w:pPr>
            <w:r>
              <w:rPr>
                <w:sz w:val="14"/>
              </w:rPr>
              <w:t>Permit</w:t>
            </w:r>
            <w:r>
              <w:rPr>
                <w:spacing w:val="-4"/>
                <w:sz w:val="14"/>
              </w:rPr>
              <w:t> </w:t>
            </w:r>
            <w:r>
              <w:rPr>
                <w:sz w:val="14"/>
              </w:rPr>
              <w:t>to</w:t>
            </w:r>
            <w:r>
              <w:rPr>
                <w:spacing w:val="-2"/>
                <w:sz w:val="14"/>
              </w:rPr>
              <w:t> </w:t>
            </w:r>
            <w:r>
              <w:rPr>
                <w:sz w:val="14"/>
              </w:rPr>
              <w:t>construct,</w:t>
            </w:r>
            <w:r>
              <w:rPr>
                <w:spacing w:val="-4"/>
                <w:sz w:val="14"/>
              </w:rPr>
              <w:t> </w:t>
            </w:r>
            <w:r>
              <w:rPr>
                <w:sz w:val="14"/>
              </w:rPr>
              <w:t>install</w:t>
            </w:r>
            <w:r>
              <w:rPr>
                <w:spacing w:val="-2"/>
                <w:sz w:val="14"/>
              </w:rPr>
              <w:t> </w:t>
            </w:r>
            <w:r>
              <w:rPr>
                <w:sz w:val="14"/>
              </w:rPr>
              <w:t>or</w:t>
            </w:r>
            <w:r>
              <w:rPr>
                <w:spacing w:val="-2"/>
                <w:sz w:val="14"/>
              </w:rPr>
              <w:t> </w:t>
            </w:r>
            <w:r>
              <w:rPr>
                <w:sz w:val="14"/>
              </w:rPr>
              <w:t>alter</w:t>
            </w:r>
            <w:r>
              <w:rPr>
                <w:spacing w:val="-5"/>
                <w:sz w:val="14"/>
              </w:rPr>
              <w:t> </w:t>
            </w:r>
            <w:r>
              <w:rPr>
                <w:sz w:val="14"/>
              </w:rPr>
              <w:t>an</w:t>
            </w:r>
            <w:r>
              <w:rPr>
                <w:spacing w:val="-5"/>
                <w:sz w:val="14"/>
              </w:rPr>
              <w:t> </w:t>
            </w:r>
            <w:r>
              <w:rPr>
                <w:sz w:val="14"/>
              </w:rPr>
              <w:t>on-site</w:t>
            </w:r>
            <w:r>
              <w:rPr>
                <w:spacing w:val="-5"/>
                <w:sz w:val="14"/>
              </w:rPr>
              <w:t> </w:t>
            </w:r>
            <w:r>
              <w:rPr>
                <w:sz w:val="14"/>
              </w:rPr>
              <w:t>wastewater</w:t>
            </w:r>
            <w:r>
              <w:rPr>
                <w:spacing w:val="-5"/>
                <w:sz w:val="14"/>
              </w:rPr>
              <w:t> </w:t>
            </w:r>
            <w:r>
              <w:rPr>
                <w:sz w:val="14"/>
              </w:rPr>
              <w:t>management</w:t>
            </w:r>
            <w:r>
              <w:rPr>
                <w:spacing w:val="-5"/>
                <w:sz w:val="14"/>
              </w:rPr>
              <w:t> </w:t>
            </w:r>
            <w:r>
              <w:rPr>
                <w:sz w:val="14"/>
              </w:rPr>
              <w:t>system (additional</w:t>
            </w:r>
            <w:r>
              <w:rPr>
                <w:spacing w:val="40"/>
                <w:sz w:val="14"/>
              </w:rPr>
              <w:t> </w:t>
            </w:r>
            <w:r>
              <w:rPr>
                <w:sz w:val="14"/>
              </w:rPr>
              <w:t>fee per hour of assessment over 8.2 hour) (6.12 FU)</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2" w:lineRule="exact"/>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2"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2" w:lineRule="exact"/>
              <w:ind w:right="91"/>
              <w:jc w:val="right"/>
              <w:rPr>
                <w:sz w:val="14"/>
              </w:rPr>
            </w:pPr>
            <w:r>
              <w:rPr>
                <w:spacing w:val="-2"/>
                <w:sz w:val="14"/>
              </w:rPr>
              <w:t>100.00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2" w:lineRule="exact"/>
              <w:ind w:right="92"/>
              <w:jc w:val="right"/>
              <w:rPr>
                <w:sz w:val="14"/>
              </w:rPr>
            </w:pPr>
            <w:r>
              <w:rPr>
                <w:spacing w:val="-2"/>
                <w:sz w:val="14"/>
              </w:rPr>
              <w:t>100.00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2" w:lineRule="exact"/>
              <w:ind w:left="95" w:right="80"/>
              <w:jc w:val="center"/>
              <w:rPr>
                <w:sz w:val="14"/>
              </w:rPr>
            </w:pPr>
            <w:r>
              <w:rPr>
                <w:spacing w:val="-5"/>
                <w:sz w:val="14"/>
              </w:rPr>
              <w:t>0.0</w:t>
            </w: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Pr>
                <w:sz w:val="14"/>
              </w:rPr>
            </w:pPr>
            <w:r>
              <w:rPr>
                <w:sz w:val="14"/>
              </w:rPr>
              <w:t>Permit</w:t>
            </w:r>
            <w:r>
              <w:rPr>
                <w:spacing w:val="-4"/>
                <w:sz w:val="14"/>
              </w:rPr>
              <w:t> </w:t>
            </w:r>
            <w:r>
              <w:rPr>
                <w:sz w:val="14"/>
              </w:rPr>
              <w:t>to</w:t>
            </w:r>
            <w:r>
              <w:rPr>
                <w:spacing w:val="-2"/>
                <w:sz w:val="14"/>
              </w:rPr>
              <w:t> </w:t>
            </w:r>
            <w:r>
              <w:rPr>
                <w:sz w:val="14"/>
              </w:rPr>
              <w:t>construct,</w:t>
            </w:r>
            <w:r>
              <w:rPr>
                <w:spacing w:val="-4"/>
                <w:sz w:val="14"/>
              </w:rPr>
              <w:t> </w:t>
            </w:r>
            <w:r>
              <w:rPr>
                <w:sz w:val="14"/>
              </w:rPr>
              <w:t>install</w:t>
            </w:r>
            <w:r>
              <w:rPr>
                <w:spacing w:val="-2"/>
                <w:sz w:val="14"/>
              </w:rPr>
              <w:t> </w:t>
            </w:r>
            <w:r>
              <w:rPr>
                <w:sz w:val="14"/>
              </w:rPr>
              <w:t>or</w:t>
            </w:r>
            <w:r>
              <w:rPr>
                <w:spacing w:val="-2"/>
                <w:sz w:val="14"/>
              </w:rPr>
              <w:t> </w:t>
            </w:r>
            <w:r>
              <w:rPr>
                <w:sz w:val="14"/>
              </w:rPr>
              <w:t>alter</w:t>
            </w:r>
            <w:r>
              <w:rPr>
                <w:spacing w:val="-5"/>
                <w:sz w:val="14"/>
              </w:rPr>
              <w:t> </w:t>
            </w:r>
            <w:r>
              <w:rPr>
                <w:sz w:val="14"/>
              </w:rPr>
              <w:t>an</w:t>
            </w:r>
            <w:r>
              <w:rPr>
                <w:spacing w:val="-5"/>
                <w:sz w:val="14"/>
              </w:rPr>
              <w:t> </w:t>
            </w:r>
            <w:r>
              <w:rPr>
                <w:sz w:val="14"/>
              </w:rPr>
              <w:t>on-site</w:t>
            </w:r>
            <w:r>
              <w:rPr>
                <w:spacing w:val="-5"/>
                <w:sz w:val="14"/>
              </w:rPr>
              <w:t> </w:t>
            </w:r>
            <w:r>
              <w:rPr>
                <w:sz w:val="14"/>
              </w:rPr>
              <w:t>wastewater</w:t>
            </w:r>
            <w:r>
              <w:rPr>
                <w:spacing w:val="-5"/>
                <w:sz w:val="14"/>
              </w:rPr>
              <w:t> </w:t>
            </w:r>
            <w:r>
              <w:rPr>
                <w:sz w:val="14"/>
              </w:rPr>
              <w:t>management</w:t>
            </w:r>
            <w:r>
              <w:rPr>
                <w:spacing w:val="-5"/>
                <w:sz w:val="14"/>
              </w:rPr>
              <w:t> </w:t>
            </w:r>
            <w:r>
              <w:rPr>
                <w:sz w:val="14"/>
              </w:rPr>
              <w:t>system (Maximum</w:t>
            </w:r>
            <w:r>
              <w:rPr>
                <w:spacing w:val="40"/>
                <w:sz w:val="14"/>
              </w:rPr>
              <w:t> </w:t>
            </w:r>
            <w:r>
              <w:rPr>
                <w:sz w:val="14"/>
              </w:rPr>
              <w:t>Fee limit) (135.43 FU)</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1"/>
              <w:jc w:val="right"/>
              <w:rPr>
                <w:sz w:val="14"/>
              </w:rPr>
            </w:pPr>
            <w:r>
              <w:rPr>
                <w:spacing w:val="-2"/>
                <w:sz w:val="14"/>
              </w:rPr>
              <w:t>2,212.00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2"/>
              <w:jc w:val="right"/>
              <w:rPr>
                <w:sz w:val="14"/>
              </w:rPr>
            </w:pPr>
            <w:r>
              <w:rPr>
                <w:spacing w:val="-2"/>
                <w:sz w:val="14"/>
              </w:rPr>
              <w:t>2,212.00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0" w:lineRule="exact"/>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Fee</w:t>
            </w:r>
            <w:r>
              <w:rPr>
                <w:spacing w:val="-7"/>
                <w:sz w:val="14"/>
              </w:rPr>
              <w:t> </w:t>
            </w:r>
            <w:r>
              <w:rPr>
                <w:sz w:val="14"/>
              </w:rPr>
              <w:t>to</w:t>
            </w:r>
            <w:r>
              <w:rPr>
                <w:spacing w:val="-4"/>
                <w:sz w:val="14"/>
              </w:rPr>
              <w:t> </w:t>
            </w:r>
            <w:r>
              <w:rPr>
                <w:sz w:val="14"/>
              </w:rPr>
              <w:t>transfer</w:t>
            </w:r>
            <w:r>
              <w:rPr>
                <w:spacing w:val="-5"/>
                <w:sz w:val="14"/>
              </w:rPr>
              <w:t> </w:t>
            </w:r>
            <w:r>
              <w:rPr>
                <w:sz w:val="14"/>
              </w:rPr>
              <w:t>onsite</w:t>
            </w:r>
            <w:r>
              <w:rPr>
                <w:spacing w:val="-3"/>
                <w:sz w:val="14"/>
              </w:rPr>
              <w:t> </w:t>
            </w:r>
            <w:r>
              <w:rPr>
                <w:sz w:val="14"/>
              </w:rPr>
              <w:t>wastewater</w:t>
            </w:r>
            <w:r>
              <w:rPr>
                <w:spacing w:val="-7"/>
                <w:sz w:val="14"/>
              </w:rPr>
              <w:t> </w:t>
            </w:r>
            <w:r>
              <w:rPr>
                <w:sz w:val="14"/>
              </w:rPr>
              <w:t>management</w:t>
            </w:r>
            <w:r>
              <w:rPr>
                <w:spacing w:val="-6"/>
                <w:sz w:val="14"/>
              </w:rPr>
              <w:t> </w:t>
            </w:r>
            <w:r>
              <w:rPr>
                <w:sz w:val="14"/>
              </w:rPr>
              <w:t>system</w:t>
            </w:r>
            <w:r>
              <w:rPr>
                <w:spacing w:val="-2"/>
                <w:sz w:val="14"/>
              </w:rPr>
              <w:t> </w:t>
            </w:r>
            <w:r>
              <w:rPr>
                <w:sz w:val="14"/>
              </w:rPr>
              <w:t>(9.93</w:t>
            </w:r>
            <w:r>
              <w:rPr>
                <w:spacing w:val="-2"/>
                <w:sz w:val="14"/>
              </w:rPr>
              <w:t> </w:t>
            </w:r>
            <w:r>
              <w:rPr>
                <w:spacing w:val="-5"/>
                <w:sz w:val="14"/>
              </w:rPr>
              <w:t>FU)</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162.00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162.00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Fee</w:t>
            </w:r>
            <w:r>
              <w:rPr>
                <w:spacing w:val="-6"/>
                <w:sz w:val="14"/>
              </w:rPr>
              <w:t> </w:t>
            </w:r>
            <w:r>
              <w:rPr>
                <w:sz w:val="14"/>
              </w:rPr>
              <w:t>to</w:t>
            </w:r>
            <w:r>
              <w:rPr>
                <w:spacing w:val="-4"/>
                <w:sz w:val="14"/>
              </w:rPr>
              <w:t> </w:t>
            </w:r>
            <w:r>
              <w:rPr>
                <w:sz w:val="14"/>
              </w:rPr>
              <w:t>amend</w:t>
            </w:r>
            <w:r>
              <w:rPr>
                <w:spacing w:val="-2"/>
                <w:sz w:val="14"/>
              </w:rPr>
              <w:t> </w:t>
            </w:r>
            <w:r>
              <w:rPr>
                <w:sz w:val="14"/>
              </w:rPr>
              <w:t>onsite</w:t>
            </w:r>
            <w:r>
              <w:rPr>
                <w:spacing w:val="-5"/>
                <w:sz w:val="14"/>
              </w:rPr>
              <w:t> </w:t>
            </w:r>
            <w:r>
              <w:rPr>
                <w:sz w:val="14"/>
              </w:rPr>
              <w:t>wastewater</w:t>
            </w:r>
            <w:r>
              <w:rPr>
                <w:spacing w:val="-6"/>
                <w:sz w:val="14"/>
              </w:rPr>
              <w:t> </w:t>
            </w:r>
            <w:r>
              <w:rPr>
                <w:sz w:val="14"/>
              </w:rPr>
              <w:t>management</w:t>
            </w:r>
            <w:r>
              <w:rPr>
                <w:spacing w:val="-6"/>
                <w:sz w:val="14"/>
              </w:rPr>
              <w:t> </w:t>
            </w:r>
            <w:r>
              <w:rPr>
                <w:sz w:val="14"/>
              </w:rPr>
              <w:t>system</w:t>
            </w:r>
            <w:r>
              <w:rPr>
                <w:spacing w:val="-3"/>
                <w:sz w:val="14"/>
              </w:rPr>
              <w:t> </w:t>
            </w:r>
            <w:r>
              <w:rPr>
                <w:sz w:val="14"/>
              </w:rPr>
              <w:t>permit</w:t>
            </w:r>
            <w:r>
              <w:rPr>
                <w:spacing w:val="-5"/>
                <w:sz w:val="14"/>
              </w:rPr>
              <w:t> </w:t>
            </w:r>
            <w:r>
              <w:rPr>
                <w:sz w:val="14"/>
              </w:rPr>
              <w:t>(10.38</w:t>
            </w:r>
            <w:r>
              <w:rPr>
                <w:spacing w:val="-4"/>
                <w:sz w:val="14"/>
              </w:rPr>
              <w:t> </w:t>
            </w:r>
            <w:r>
              <w:rPr>
                <w:spacing w:val="-5"/>
                <w:sz w:val="14"/>
              </w:rPr>
              <w:t>FU)</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170.00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170.00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Fee</w:t>
            </w:r>
            <w:r>
              <w:rPr>
                <w:spacing w:val="-5"/>
                <w:sz w:val="14"/>
              </w:rPr>
              <w:t> </w:t>
            </w:r>
            <w:r>
              <w:rPr>
                <w:sz w:val="14"/>
              </w:rPr>
              <w:t>to</w:t>
            </w:r>
            <w:r>
              <w:rPr>
                <w:spacing w:val="-3"/>
                <w:sz w:val="14"/>
              </w:rPr>
              <w:t> </w:t>
            </w:r>
            <w:r>
              <w:rPr>
                <w:sz w:val="14"/>
              </w:rPr>
              <w:t>apply</w:t>
            </w:r>
            <w:r>
              <w:rPr>
                <w:spacing w:val="-4"/>
                <w:sz w:val="14"/>
              </w:rPr>
              <w:t> </w:t>
            </w:r>
            <w:r>
              <w:rPr>
                <w:sz w:val="14"/>
              </w:rPr>
              <w:t>for</w:t>
            </w:r>
            <w:r>
              <w:rPr>
                <w:spacing w:val="-3"/>
                <w:sz w:val="14"/>
              </w:rPr>
              <w:t> </w:t>
            </w:r>
            <w:r>
              <w:rPr>
                <w:sz w:val="14"/>
              </w:rPr>
              <w:t>an</w:t>
            </w:r>
            <w:r>
              <w:rPr>
                <w:spacing w:val="-1"/>
                <w:sz w:val="14"/>
              </w:rPr>
              <w:t> </w:t>
            </w:r>
            <w:r>
              <w:rPr>
                <w:sz w:val="14"/>
              </w:rPr>
              <w:t>exemption</w:t>
            </w:r>
            <w:r>
              <w:rPr>
                <w:spacing w:val="-6"/>
                <w:sz w:val="14"/>
              </w:rPr>
              <w:t> </w:t>
            </w:r>
            <w:r>
              <w:rPr>
                <w:sz w:val="14"/>
              </w:rPr>
              <w:t>to</w:t>
            </w:r>
            <w:r>
              <w:rPr>
                <w:spacing w:val="-4"/>
                <w:sz w:val="14"/>
              </w:rPr>
              <w:t> </w:t>
            </w:r>
            <w:r>
              <w:rPr>
                <w:sz w:val="14"/>
              </w:rPr>
              <w:t>a</w:t>
            </w:r>
            <w:r>
              <w:rPr>
                <w:spacing w:val="-3"/>
                <w:sz w:val="14"/>
              </w:rPr>
              <w:t> </w:t>
            </w:r>
            <w:r>
              <w:rPr>
                <w:sz w:val="14"/>
              </w:rPr>
              <w:t>required</w:t>
            </w:r>
            <w:r>
              <w:rPr>
                <w:spacing w:val="-2"/>
                <w:sz w:val="14"/>
              </w:rPr>
              <w:t> </w:t>
            </w:r>
            <w:r>
              <w:rPr>
                <w:sz w:val="14"/>
              </w:rPr>
              <w:t>permit</w:t>
            </w:r>
            <w:r>
              <w:rPr>
                <w:spacing w:val="-4"/>
                <w:sz w:val="14"/>
              </w:rPr>
              <w:t> </w:t>
            </w:r>
            <w:r>
              <w:rPr>
                <w:sz w:val="14"/>
              </w:rPr>
              <w:t>(up</w:t>
            </w:r>
            <w:r>
              <w:rPr>
                <w:spacing w:val="-3"/>
                <w:sz w:val="14"/>
              </w:rPr>
              <w:t> </w:t>
            </w:r>
            <w:r>
              <w:rPr>
                <w:sz w:val="14"/>
              </w:rPr>
              <w:t>to</w:t>
            </w:r>
            <w:r>
              <w:rPr>
                <w:spacing w:val="-1"/>
                <w:sz w:val="14"/>
              </w:rPr>
              <w:t> </w:t>
            </w:r>
            <w:r>
              <w:rPr>
                <w:sz w:val="14"/>
              </w:rPr>
              <w:t>2.6</w:t>
            </w:r>
            <w:r>
              <w:rPr>
                <w:spacing w:val="-2"/>
                <w:sz w:val="14"/>
              </w:rPr>
              <w:t> </w:t>
            </w:r>
            <w:r>
              <w:rPr>
                <w:sz w:val="14"/>
              </w:rPr>
              <w:t>hours</w:t>
            </w:r>
            <w:r>
              <w:rPr>
                <w:spacing w:val="-2"/>
                <w:sz w:val="14"/>
              </w:rPr>
              <w:t> </w:t>
            </w:r>
            <w:r>
              <w:rPr>
                <w:sz w:val="14"/>
              </w:rPr>
              <w:t>work)</w:t>
            </w:r>
            <w:r>
              <w:rPr>
                <w:spacing w:val="-2"/>
                <w:sz w:val="14"/>
              </w:rPr>
              <w:t> </w:t>
            </w:r>
            <w:r>
              <w:rPr>
                <w:sz w:val="14"/>
              </w:rPr>
              <w:t>(14.67</w:t>
            </w:r>
            <w:r>
              <w:rPr>
                <w:spacing w:val="-4"/>
                <w:sz w:val="14"/>
              </w:rPr>
              <w:t> </w:t>
            </w:r>
            <w:r>
              <w:rPr>
                <w:spacing w:val="-5"/>
                <w:sz w:val="14"/>
              </w:rPr>
              <w:t>FU)</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240.00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240.00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Fee</w:t>
            </w:r>
            <w:r>
              <w:rPr>
                <w:spacing w:val="-5"/>
                <w:sz w:val="14"/>
              </w:rPr>
              <w:t> </w:t>
            </w:r>
            <w:r>
              <w:rPr>
                <w:sz w:val="14"/>
              </w:rPr>
              <w:t>to</w:t>
            </w:r>
            <w:r>
              <w:rPr>
                <w:spacing w:val="-2"/>
                <w:sz w:val="14"/>
              </w:rPr>
              <w:t> </w:t>
            </w:r>
            <w:r>
              <w:rPr>
                <w:sz w:val="14"/>
              </w:rPr>
              <w:t>apply</w:t>
            </w:r>
            <w:r>
              <w:rPr>
                <w:spacing w:val="-5"/>
                <w:sz w:val="14"/>
              </w:rPr>
              <w:t> </w:t>
            </w:r>
            <w:r>
              <w:rPr>
                <w:sz w:val="14"/>
              </w:rPr>
              <w:t>for</w:t>
            </w:r>
            <w:r>
              <w:rPr>
                <w:spacing w:val="-2"/>
                <w:sz w:val="14"/>
              </w:rPr>
              <w:t> </w:t>
            </w:r>
            <w:r>
              <w:rPr>
                <w:sz w:val="14"/>
              </w:rPr>
              <w:t>an</w:t>
            </w:r>
            <w:r>
              <w:rPr>
                <w:spacing w:val="-2"/>
                <w:sz w:val="14"/>
              </w:rPr>
              <w:t> </w:t>
            </w:r>
            <w:r>
              <w:rPr>
                <w:sz w:val="14"/>
              </w:rPr>
              <w:t>exemption</w:t>
            </w:r>
            <w:r>
              <w:rPr>
                <w:spacing w:val="-5"/>
                <w:sz w:val="14"/>
              </w:rPr>
              <w:t> </w:t>
            </w:r>
            <w:r>
              <w:rPr>
                <w:sz w:val="14"/>
              </w:rPr>
              <w:t>to</w:t>
            </w:r>
            <w:r>
              <w:rPr>
                <w:spacing w:val="-5"/>
                <w:sz w:val="14"/>
              </w:rPr>
              <w:t> </w:t>
            </w:r>
            <w:r>
              <w:rPr>
                <w:sz w:val="14"/>
              </w:rPr>
              <w:t>a</w:t>
            </w:r>
            <w:r>
              <w:rPr>
                <w:spacing w:val="-2"/>
                <w:sz w:val="14"/>
              </w:rPr>
              <w:t> </w:t>
            </w:r>
            <w:r>
              <w:rPr>
                <w:sz w:val="14"/>
              </w:rPr>
              <w:t>required</w:t>
            </w:r>
            <w:r>
              <w:rPr>
                <w:spacing w:val="-2"/>
                <w:sz w:val="14"/>
              </w:rPr>
              <w:t> </w:t>
            </w:r>
            <w:r>
              <w:rPr>
                <w:sz w:val="14"/>
              </w:rPr>
              <w:t>permit</w:t>
            </w:r>
            <w:r>
              <w:rPr>
                <w:spacing w:val="-4"/>
                <w:sz w:val="14"/>
              </w:rPr>
              <w:t> </w:t>
            </w:r>
            <w:r>
              <w:rPr>
                <w:sz w:val="14"/>
              </w:rPr>
              <w:t>(additional</w:t>
            </w:r>
            <w:r>
              <w:rPr>
                <w:spacing w:val="-4"/>
                <w:sz w:val="14"/>
              </w:rPr>
              <w:t> </w:t>
            </w:r>
            <w:r>
              <w:rPr>
                <w:sz w:val="14"/>
              </w:rPr>
              <w:t>fee</w:t>
            </w:r>
            <w:r>
              <w:rPr>
                <w:spacing w:val="-2"/>
                <w:sz w:val="14"/>
              </w:rPr>
              <w:t> </w:t>
            </w:r>
            <w:r>
              <w:rPr>
                <w:sz w:val="14"/>
              </w:rPr>
              <w:t>per</w:t>
            </w:r>
            <w:r>
              <w:rPr>
                <w:spacing w:val="-5"/>
                <w:sz w:val="14"/>
              </w:rPr>
              <w:t> </w:t>
            </w:r>
            <w:r>
              <w:rPr>
                <w:sz w:val="14"/>
              </w:rPr>
              <w:t>hour)</w:t>
            </w:r>
            <w:r>
              <w:rPr>
                <w:spacing w:val="-3"/>
                <w:sz w:val="14"/>
              </w:rPr>
              <w:t> </w:t>
            </w:r>
            <w:r>
              <w:rPr>
                <w:sz w:val="14"/>
              </w:rPr>
              <w:t>(5.94</w:t>
            </w:r>
            <w:r>
              <w:rPr>
                <w:spacing w:val="-3"/>
                <w:sz w:val="14"/>
              </w:rPr>
              <w:t> </w:t>
            </w:r>
            <w:r>
              <w:rPr>
                <w:spacing w:val="-5"/>
                <w:sz w:val="14"/>
              </w:rPr>
              <w:t>FU)</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97.00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97.00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36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20"/>
              <w:ind w:left="107" w:right="181"/>
              <w:rPr>
                <w:sz w:val="14"/>
              </w:rPr>
            </w:pPr>
            <w:r>
              <w:rPr>
                <w:sz w:val="14"/>
              </w:rPr>
              <w:t>Wastewater</w:t>
            </w:r>
            <w:r>
              <w:rPr>
                <w:spacing w:val="-4"/>
                <w:sz w:val="14"/>
              </w:rPr>
              <w:t> </w:t>
            </w:r>
            <w:r>
              <w:rPr>
                <w:sz w:val="14"/>
              </w:rPr>
              <w:t>Application</w:t>
            </w:r>
            <w:r>
              <w:rPr>
                <w:spacing w:val="-4"/>
                <w:sz w:val="14"/>
              </w:rPr>
              <w:t> </w:t>
            </w:r>
            <w:r>
              <w:rPr>
                <w:sz w:val="14"/>
              </w:rPr>
              <w:t>-</w:t>
            </w:r>
            <w:r>
              <w:rPr>
                <w:spacing w:val="-1"/>
                <w:sz w:val="14"/>
              </w:rPr>
              <w:t> </w:t>
            </w:r>
            <w:r>
              <w:rPr>
                <w:sz w:val="14"/>
              </w:rPr>
              <w:t>fee</w:t>
            </w:r>
            <w:r>
              <w:rPr>
                <w:spacing w:val="-4"/>
                <w:sz w:val="14"/>
              </w:rPr>
              <w:t> </w:t>
            </w:r>
            <w:r>
              <w:rPr>
                <w:sz w:val="14"/>
              </w:rPr>
              <w:t>to</w:t>
            </w:r>
            <w:r>
              <w:rPr>
                <w:spacing w:val="-2"/>
                <w:sz w:val="14"/>
              </w:rPr>
              <w:t> </w:t>
            </w:r>
            <w:r>
              <w:rPr>
                <w:sz w:val="14"/>
              </w:rPr>
              <w:t>apply</w:t>
            </w:r>
            <w:r>
              <w:rPr>
                <w:spacing w:val="-3"/>
                <w:sz w:val="14"/>
              </w:rPr>
              <w:t> </w:t>
            </w:r>
            <w:r>
              <w:rPr>
                <w:sz w:val="14"/>
              </w:rPr>
              <w:t>for</w:t>
            </w:r>
            <w:r>
              <w:rPr>
                <w:spacing w:val="-1"/>
                <w:sz w:val="14"/>
              </w:rPr>
              <w:t> </w:t>
            </w:r>
            <w:r>
              <w:rPr>
                <w:sz w:val="14"/>
              </w:rPr>
              <w:t>an</w:t>
            </w:r>
            <w:r>
              <w:rPr>
                <w:spacing w:val="-2"/>
                <w:sz w:val="14"/>
              </w:rPr>
              <w:t> </w:t>
            </w:r>
            <w:r>
              <w:rPr>
                <w:sz w:val="14"/>
              </w:rPr>
              <w:t>exemption</w:t>
            </w:r>
            <w:r>
              <w:rPr>
                <w:spacing w:val="-1"/>
                <w:sz w:val="14"/>
              </w:rPr>
              <w:t> </w:t>
            </w:r>
            <w:r>
              <w:rPr>
                <w:sz w:val="14"/>
              </w:rPr>
              <w:t>to</w:t>
            </w:r>
            <w:r>
              <w:rPr>
                <w:spacing w:val="-2"/>
                <w:sz w:val="14"/>
              </w:rPr>
              <w:t> </w:t>
            </w:r>
            <w:r>
              <w:rPr>
                <w:sz w:val="14"/>
              </w:rPr>
              <w:t>a</w:t>
            </w:r>
            <w:r>
              <w:rPr>
                <w:spacing w:val="-4"/>
                <w:sz w:val="14"/>
              </w:rPr>
              <w:t> </w:t>
            </w:r>
            <w:r>
              <w:rPr>
                <w:sz w:val="14"/>
              </w:rPr>
              <w:t>required</w:t>
            </w:r>
            <w:r>
              <w:rPr>
                <w:spacing w:val="-2"/>
                <w:sz w:val="14"/>
              </w:rPr>
              <w:t> </w:t>
            </w:r>
            <w:r>
              <w:rPr>
                <w:sz w:val="14"/>
              </w:rPr>
              <w:t>permit</w:t>
            </w:r>
            <w:r>
              <w:rPr>
                <w:spacing w:val="-4"/>
                <w:sz w:val="14"/>
              </w:rPr>
              <w:t> </w:t>
            </w:r>
            <w:r>
              <w:rPr>
                <w:sz w:val="14"/>
              </w:rPr>
              <w:t>(Maximum</w:t>
            </w:r>
            <w:r>
              <w:rPr>
                <w:spacing w:val="40"/>
                <w:sz w:val="14"/>
              </w:rPr>
              <w:t> </w:t>
            </w:r>
            <w:r>
              <w:rPr>
                <w:sz w:val="14"/>
              </w:rPr>
              <w:t>fee limit) (61.41 FU)</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2" w:lineRule="exact"/>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2" w:lineRule="exact"/>
              <w:ind w:left="300"/>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2" w:lineRule="exact"/>
              <w:ind w:right="91"/>
              <w:jc w:val="right"/>
              <w:rPr>
                <w:sz w:val="14"/>
              </w:rPr>
            </w:pPr>
            <w:r>
              <w:rPr>
                <w:spacing w:val="-2"/>
                <w:sz w:val="14"/>
              </w:rPr>
              <w:t>1,003.00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2" w:lineRule="exact"/>
              <w:ind w:right="93"/>
              <w:jc w:val="right"/>
              <w:rPr>
                <w:sz w:val="14"/>
              </w:rPr>
            </w:pPr>
            <w:r>
              <w:rPr>
                <w:spacing w:val="-2"/>
                <w:sz w:val="14"/>
              </w:rPr>
              <w:t>1,003.00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2" w:lineRule="exact"/>
              <w:ind w:left="95" w:right="80"/>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Wastewater</w:t>
            </w:r>
            <w:r>
              <w:rPr>
                <w:spacing w:val="-6"/>
                <w:sz w:val="14"/>
              </w:rPr>
              <w:t> </w:t>
            </w:r>
            <w:r>
              <w:rPr>
                <w:sz w:val="14"/>
              </w:rPr>
              <w:t>Application</w:t>
            </w:r>
            <w:r>
              <w:rPr>
                <w:spacing w:val="-6"/>
                <w:sz w:val="14"/>
              </w:rPr>
              <w:t> </w:t>
            </w:r>
            <w:r>
              <w:rPr>
                <w:sz w:val="14"/>
              </w:rPr>
              <w:t>-</w:t>
            </w:r>
            <w:r>
              <w:rPr>
                <w:spacing w:val="-3"/>
                <w:sz w:val="14"/>
              </w:rPr>
              <w:t> </w:t>
            </w:r>
            <w:r>
              <w:rPr>
                <w:sz w:val="14"/>
              </w:rPr>
              <w:t>Renewal</w:t>
            </w:r>
            <w:r>
              <w:rPr>
                <w:spacing w:val="-2"/>
                <w:sz w:val="14"/>
              </w:rPr>
              <w:t> </w:t>
            </w:r>
            <w:r>
              <w:rPr>
                <w:sz w:val="14"/>
              </w:rPr>
              <w:t>Fee</w:t>
            </w:r>
            <w:r>
              <w:rPr>
                <w:spacing w:val="-2"/>
                <w:sz w:val="14"/>
              </w:rPr>
              <w:t> </w:t>
            </w:r>
            <w:r>
              <w:rPr>
                <w:sz w:val="14"/>
              </w:rPr>
              <w:t>(8.31</w:t>
            </w:r>
            <w:r>
              <w:rPr>
                <w:spacing w:val="-3"/>
                <w:sz w:val="14"/>
              </w:rPr>
              <w:t> </w:t>
            </w:r>
            <w:r>
              <w:rPr>
                <w:spacing w:val="-5"/>
                <w:sz w:val="14"/>
              </w:rPr>
              <w:t>FU)</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136.00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136.00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pacing w:val="-2"/>
                <w:sz w:val="14"/>
              </w:rPr>
              <w:t>Immunisation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Chicken</w:t>
            </w:r>
            <w:r>
              <w:rPr>
                <w:spacing w:val="-8"/>
                <w:sz w:val="14"/>
              </w:rPr>
              <w:t> </w:t>
            </w:r>
            <w:r>
              <w:rPr>
                <w:spacing w:val="-5"/>
                <w:sz w:val="14"/>
              </w:rPr>
              <w:t>pox</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86.00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89.00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3.4</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Hepatitis</w:t>
            </w:r>
            <w:r>
              <w:rPr>
                <w:spacing w:val="-10"/>
                <w:sz w:val="14"/>
              </w:rPr>
              <w:t> </w:t>
            </w:r>
            <w:r>
              <w:rPr>
                <w:spacing w:val="-12"/>
                <w:sz w:val="14"/>
              </w:rPr>
              <w:t>B</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46.00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48.00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4.2</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Influenza</w:t>
            </w:r>
            <w:r>
              <w:rPr>
                <w:spacing w:val="-6"/>
                <w:sz w:val="14"/>
              </w:rPr>
              <w:t> </w:t>
            </w:r>
            <w:r>
              <w:rPr>
                <w:sz w:val="14"/>
              </w:rPr>
              <w:t>per</w:t>
            </w:r>
            <w:r>
              <w:rPr>
                <w:spacing w:val="-4"/>
                <w:sz w:val="14"/>
              </w:rPr>
              <w:t> dose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31.00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31.00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9"/>
              <w:ind w:left="107"/>
              <w:rPr>
                <w:sz w:val="14"/>
              </w:rPr>
            </w:pPr>
            <w:r>
              <w:rPr>
                <w:sz w:val="14"/>
              </w:rPr>
              <w:t>Diphtheria</w:t>
            </w:r>
            <w:r>
              <w:rPr>
                <w:spacing w:val="-8"/>
                <w:sz w:val="14"/>
              </w:rPr>
              <w:t> </w:t>
            </w:r>
            <w:r>
              <w:rPr>
                <w:sz w:val="14"/>
              </w:rPr>
              <w:t>Tetanus</w:t>
            </w:r>
            <w:r>
              <w:rPr>
                <w:spacing w:val="-6"/>
                <w:sz w:val="14"/>
              </w:rPr>
              <w:t> </w:t>
            </w:r>
            <w:r>
              <w:rPr>
                <w:spacing w:val="-2"/>
                <w:sz w:val="14"/>
              </w:rPr>
              <w:t>Pertussis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7"/>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70"/>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2"/>
              <w:jc w:val="right"/>
              <w:rPr>
                <w:sz w:val="14"/>
              </w:rPr>
            </w:pPr>
            <w:r>
              <w:rPr>
                <w:spacing w:val="-2"/>
                <w:sz w:val="14"/>
              </w:rPr>
              <w:t>61.00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2"/>
              <w:jc w:val="right"/>
              <w:rPr>
                <w:sz w:val="14"/>
              </w:rPr>
            </w:pPr>
            <w:r>
              <w:rPr>
                <w:spacing w:val="-2"/>
                <w:sz w:val="14"/>
              </w:rPr>
              <w:t>64.00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2"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w w:val="95"/>
                <w:sz w:val="14"/>
              </w:rPr>
              <w:t>Meningococcal</w:t>
            </w:r>
            <w:r>
              <w:rPr>
                <w:spacing w:val="35"/>
                <w:sz w:val="14"/>
              </w:rPr>
              <w:t> </w:t>
            </w:r>
            <w:r>
              <w:rPr>
                <w:spacing w:val="-10"/>
                <w:sz w:val="14"/>
              </w:rPr>
              <w:t>B</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154.00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160.00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3.8</w:t>
            </w:r>
          </w:p>
        </w:tc>
      </w:tr>
      <w:tr>
        <w:trPr>
          <w:trHeight w:val="282" w:hRule="atLeast"/>
        </w:trPr>
        <w:tc>
          <w:tcPr>
            <w:tcW w:w="5770" w:type="dxa"/>
            <w:tcBorders>
              <w:top w:val="single" w:sz="4" w:space="0" w:color="000000"/>
              <w:left w:val="single" w:sz="12" w:space="0" w:color="000000"/>
              <w:right w:val="single" w:sz="4" w:space="0" w:color="000000"/>
            </w:tcBorders>
            <w:shd w:val="clear" w:color="auto" w:fill="D8D8D8"/>
          </w:tcPr>
          <w:p>
            <w:pPr>
              <w:pStyle w:val="TableParagraph"/>
              <w:spacing w:line="217" w:lineRule="exact" w:before="45"/>
              <w:ind w:left="169"/>
              <w:rPr>
                <w:b/>
                <w:sz w:val="22"/>
              </w:rPr>
            </w:pPr>
            <w:r>
              <w:rPr>
                <w:b/>
                <w:sz w:val="22"/>
              </w:rPr>
              <w:t>Statutory</w:t>
            </w:r>
            <w:r>
              <w:rPr>
                <w:b/>
                <w:spacing w:val="-9"/>
                <w:sz w:val="22"/>
              </w:rPr>
              <w:t> </w:t>
            </w:r>
            <w:r>
              <w:rPr>
                <w:b/>
                <w:spacing w:val="-2"/>
                <w:sz w:val="22"/>
              </w:rPr>
              <w:t>Planning</w:t>
            </w:r>
          </w:p>
        </w:tc>
        <w:tc>
          <w:tcPr>
            <w:tcW w:w="1028"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shd w:val="clear" w:color="auto" w:fill="D8D8D8"/>
          </w:tcPr>
          <w:p>
            <w:pPr>
              <w:pStyle w:val="TableParagraph"/>
              <w:rPr>
                <w:rFonts w:ascii="Times New Roman"/>
                <w:sz w:val="12"/>
              </w:rPr>
            </w:pPr>
          </w:p>
        </w:tc>
      </w:tr>
      <w:tr>
        <w:trPr>
          <w:trHeight w:val="162" w:hRule="atLeast"/>
        </w:trPr>
        <w:tc>
          <w:tcPr>
            <w:tcW w:w="5770" w:type="dxa"/>
            <w:tcBorders>
              <w:left w:val="single" w:sz="12" w:space="0" w:color="000000"/>
              <w:bottom w:val="single" w:sz="4" w:space="0" w:color="000000"/>
              <w:right w:val="single" w:sz="4" w:space="0" w:color="000000"/>
            </w:tcBorders>
          </w:tcPr>
          <w:p>
            <w:pPr>
              <w:pStyle w:val="TableParagraph"/>
              <w:spacing w:line="140" w:lineRule="exact" w:before="2"/>
              <w:ind w:left="107"/>
              <w:rPr>
                <w:b/>
                <w:sz w:val="14"/>
              </w:rPr>
            </w:pPr>
            <w:r>
              <w:rPr>
                <w:b/>
                <w:sz w:val="14"/>
              </w:rPr>
              <w:t>Statutory</w:t>
            </w:r>
            <w:r>
              <w:rPr>
                <w:b/>
                <w:spacing w:val="-9"/>
                <w:sz w:val="14"/>
              </w:rPr>
              <w:t> </w:t>
            </w:r>
            <w:r>
              <w:rPr>
                <w:b/>
                <w:spacing w:val="-2"/>
                <w:sz w:val="14"/>
              </w:rPr>
              <w:t>Planning</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0"/>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Public</w:t>
            </w:r>
            <w:r>
              <w:rPr>
                <w:spacing w:val="-3"/>
                <w:sz w:val="14"/>
              </w:rPr>
              <w:t> </w:t>
            </w:r>
            <w:r>
              <w:rPr>
                <w:sz w:val="14"/>
              </w:rPr>
              <w:t>notification</w:t>
            </w:r>
            <w:r>
              <w:rPr>
                <w:spacing w:val="-4"/>
                <w:sz w:val="14"/>
              </w:rPr>
              <w:t> </w:t>
            </w:r>
            <w:r>
              <w:rPr>
                <w:sz w:val="14"/>
              </w:rPr>
              <w:t>(advertising)</w:t>
            </w:r>
            <w:r>
              <w:rPr>
                <w:spacing w:val="-3"/>
                <w:sz w:val="14"/>
              </w:rPr>
              <w:t> </w:t>
            </w:r>
            <w:r>
              <w:rPr>
                <w:sz w:val="14"/>
              </w:rPr>
              <w:t>-</w:t>
            </w:r>
            <w:r>
              <w:rPr>
                <w:spacing w:val="-6"/>
                <w:sz w:val="14"/>
              </w:rPr>
              <w:t> </w:t>
            </w:r>
            <w:r>
              <w:rPr>
                <w:sz w:val="14"/>
              </w:rPr>
              <w:t>base</w:t>
            </w:r>
            <w:r>
              <w:rPr>
                <w:spacing w:val="-5"/>
                <w:sz w:val="14"/>
              </w:rPr>
              <w:t> </w:t>
            </w:r>
            <w:r>
              <w:rPr>
                <w:sz w:val="14"/>
              </w:rPr>
              <w:t>fee</w:t>
            </w:r>
            <w:r>
              <w:rPr>
                <w:spacing w:val="-2"/>
                <w:sz w:val="14"/>
              </w:rPr>
              <w:t> </w:t>
            </w:r>
            <w:r>
              <w:rPr>
                <w:sz w:val="14"/>
              </w:rPr>
              <w:t>and</w:t>
            </w:r>
            <w:r>
              <w:rPr>
                <w:spacing w:val="-3"/>
                <w:sz w:val="14"/>
              </w:rPr>
              <w:t> </w:t>
            </w:r>
            <w:r>
              <w:rPr>
                <w:sz w:val="14"/>
              </w:rPr>
              <w:t>$10.50</w:t>
            </w:r>
            <w:r>
              <w:rPr>
                <w:spacing w:val="-2"/>
                <w:sz w:val="14"/>
              </w:rPr>
              <w:t> </w:t>
            </w:r>
            <w:r>
              <w:rPr>
                <w:sz w:val="14"/>
              </w:rPr>
              <w:t>per</w:t>
            </w:r>
            <w:r>
              <w:rPr>
                <w:spacing w:val="-6"/>
                <w:sz w:val="14"/>
              </w:rPr>
              <w:t> </w:t>
            </w:r>
            <w:r>
              <w:rPr>
                <w:spacing w:val="-2"/>
                <w:sz w:val="14"/>
              </w:rPr>
              <w:t>property</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243.00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255.30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Tree</w:t>
            </w:r>
            <w:r>
              <w:rPr>
                <w:spacing w:val="-4"/>
                <w:sz w:val="14"/>
              </w:rPr>
              <w:t> </w:t>
            </w:r>
            <w:r>
              <w:rPr>
                <w:sz w:val="14"/>
              </w:rPr>
              <w:t>and</w:t>
            </w:r>
            <w:r>
              <w:rPr>
                <w:spacing w:val="-3"/>
                <w:sz w:val="14"/>
              </w:rPr>
              <w:t> </w:t>
            </w:r>
            <w:r>
              <w:rPr>
                <w:sz w:val="14"/>
              </w:rPr>
              <w:t>native</w:t>
            </w:r>
            <w:r>
              <w:rPr>
                <w:spacing w:val="-3"/>
                <w:sz w:val="14"/>
              </w:rPr>
              <w:t> </w:t>
            </w:r>
            <w:r>
              <w:rPr>
                <w:sz w:val="14"/>
              </w:rPr>
              <w:t>vegetation</w:t>
            </w:r>
            <w:r>
              <w:rPr>
                <w:spacing w:val="-5"/>
                <w:sz w:val="14"/>
              </w:rPr>
              <w:t> </w:t>
            </w:r>
            <w:r>
              <w:rPr>
                <w:sz w:val="14"/>
              </w:rPr>
              <w:t>removal</w:t>
            </w:r>
            <w:r>
              <w:rPr>
                <w:spacing w:val="-5"/>
                <w:sz w:val="14"/>
              </w:rPr>
              <w:t> </w:t>
            </w:r>
            <w:r>
              <w:rPr>
                <w:sz w:val="14"/>
              </w:rPr>
              <w:t>Significant</w:t>
            </w:r>
            <w:r>
              <w:rPr>
                <w:spacing w:val="-4"/>
                <w:sz w:val="14"/>
              </w:rPr>
              <w:t> </w:t>
            </w:r>
            <w:r>
              <w:rPr>
                <w:sz w:val="14"/>
              </w:rPr>
              <w:t>Landscape</w:t>
            </w:r>
            <w:r>
              <w:rPr>
                <w:spacing w:val="-6"/>
                <w:sz w:val="14"/>
              </w:rPr>
              <w:t> </w:t>
            </w:r>
            <w:r>
              <w:rPr>
                <w:sz w:val="14"/>
              </w:rPr>
              <w:t>Overlays</w:t>
            </w:r>
            <w:r>
              <w:rPr>
                <w:spacing w:val="-2"/>
                <w:sz w:val="14"/>
              </w:rPr>
              <w:t> </w:t>
            </w:r>
            <w:r>
              <w:rPr>
                <w:sz w:val="14"/>
              </w:rPr>
              <w:t>(SLO)</w:t>
            </w:r>
            <w:r>
              <w:rPr>
                <w:spacing w:val="-5"/>
                <w:sz w:val="14"/>
              </w:rPr>
              <w:t> </w:t>
            </w:r>
            <w:r>
              <w:rPr>
                <w:sz w:val="14"/>
              </w:rPr>
              <w:t>-</w:t>
            </w:r>
            <w:r>
              <w:rPr>
                <w:spacing w:val="-2"/>
                <w:sz w:val="14"/>
              </w:rPr>
              <w:t> </w:t>
            </w:r>
            <w:r>
              <w:rPr>
                <w:sz w:val="14"/>
              </w:rPr>
              <w:t>1</w:t>
            </w:r>
            <w:r>
              <w:rPr>
                <w:spacing w:val="-4"/>
                <w:sz w:val="14"/>
              </w:rPr>
              <w:t> Tree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153.00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160.70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9"/>
              <w:ind w:left="107"/>
              <w:rPr>
                <w:sz w:val="14"/>
              </w:rPr>
            </w:pPr>
            <w:r>
              <w:rPr>
                <w:sz w:val="14"/>
              </w:rPr>
              <w:t>Tree</w:t>
            </w:r>
            <w:r>
              <w:rPr>
                <w:spacing w:val="-4"/>
                <w:sz w:val="14"/>
              </w:rPr>
              <w:t> </w:t>
            </w:r>
            <w:r>
              <w:rPr>
                <w:sz w:val="14"/>
              </w:rPr>
              <w:t>and</w:t>
            </w:r>
            <w:r>
              <w:rPr>
                <w:spacing w:val="-3"/>
                <w:sz w:val="14"/>
              </w:rPr>
              <w:t> </w:t>
            </w:r>
            <w:r>
              <w:rPr>
                <w:sz w:val="14"/>
              </w:rPr>
              <w:t>native</w:t>
            </w:r>
            <w:r>
              <w:rPr>
                <w:spacing w:val="-3"/>
                <w:sz w:val="14"/>
              </w:rPr>
              <w:t> </w:t>
            </w:r>
            <w:r>
              <w:rPr>
                <w:sz w:val="14"/>
              </w:rPr>
              <w:t>vegetation</w:t>
            </w:r>
            <w:r>
              <w:rPr>
                <w:spacing w:val="-5"/>
                <w:sz w:val="14"/>
              </w:rPr>
              <w:t> </w:t>
            </w:r>
            <w:r>
              <w:rPr>
                <w:sz w:val="14"/>
              </w:rPr>
              <w:t>removal</w:t>
            </w:r>
            <w:r>
              <w:rPr>
                <w:spacing w:val="-5"/>
                <w:sz w:val="14"/>
              </w:rPr>
              <w:t> </w:t>
            </w:r>
            <w:r>
              <w:rPr>
                <w:sz w:val="14"/>
              </w:rPr>
              <w:t>Significant</w:t>
            </w:r>
            <w:r>
              <w:rPr>
                <w:spacing w:val="-4"/>
                <w:sz w:val="14"/>
              </w:rPr>
              <w:t> </w:t>
            </w:r>
            <w:r>
              <w:rPr>
                <w:sz w:val="14"/>
              </w:rPr>
              <w:t>Landscape</w:t>
            </w:r>
            <w:r>
              <w:rPr>
                <w:spacing w:val="-6"/>
                <w:sz w:val="14"/>
              </w:rPr>
              <w:t> </w:t>
            </w:r>
            <w:r>
              <w:rPr>
                <w:sz w:val="14"/>
              </w:rPr>
              <w:t>Overlays</w:t>
            </w:r>
            <w:r>
              <w:rPr>
                <w:spacing w:val="-2"/>
                <w:sz w:val="14"/>
              </w:rPr>
              <w:t> </w:t>
            </w:r>
            <w:r>
              <w:rPr>
                <w:sz w:val="14"/>
              </w:rPr>
              <w:t>(SLO)</w:t>
            </w:r>
            <w:r>
              <w:rPr>
                <w:spacing w:val="-6"/>
                <w:sz w:val="14"/>
              </w:rPr>
              <w:t> </w:t>
            </w:r>
            <w:r>
              <w:rPr>
                <w:sz w:val="14"/>
              </w:rPr>
              <w:t>-</w:t>
            </w:r>
            <w:r>
              <w:rPr>
                <w:spacing w:val="-2"/>
                <w:sz w:val="14"/>
              </w:rPr>
              <w:t> </w:t>
            </w:r>
            <w:r>
              <w:rPr>
                <w:sz w:val="14"/>
              </w:rPr>
              <w:t>2</w:t>
            </w:r>
            <w:r>
              <w:rPr>
                <w:spacing w:val="-3"/>
                <w:sz w:val="14"/>
              </w:rPr>
              <w:t> </w:t>
            </w:r>
            <w:r>
              <w:rPr>
                <w:spacing w:val="-4"/>
                <w:sz w:val="14"/>
              </w:rPr>
              <w:t>Tree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1"/>
              <w:jc w:val="right"/>
              <w:rPr>
                <w:sz w:val="14"/>
              </w:rPr>
            </w:pPr>
            <w:r>
              <w:rPr>
                <w:spacing w:val="-2"/>
                <w:sz w:val="14"/>
              </w:rPr>
              <w:t>185.00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2"/>
              <w:jc w:val="right"/>
              <w:rPr>
                <w:sz w:val="14"/>
              </w:rPr>
            </w:pPr>
            <w:r>
              <w:rPr>
                <w:spacing w:val="-2"/>
                <w:sz w:val="14"/>
              </w:rPr>
              <w:t>194.30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2" w:lineRule="exact" w:before="19"/>
              <w:ind w:left="95" w:right="80"/>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Tree</w:t>
            </w:r>
            <w:r>
              <w:rPr>
                <w:spacing w:val="-4"/>
                <w:sz w:val="14"/>
              </w:rPr>
              <w:t> </w:t>
            </w:r>
            <w:r>
              <w:rPr>
                <w:sz w:val="14"/>
              </w:rPr>
              <w:t>and</w:t>
            </w:r>
            <w:r>
              <w:rPr>
                <w:spacing w:val="-3"/>
                <w:sz w:val="14"/>
              </w:rPr>
              <w:t> </w:t>
            </w:r>
            <w:r>
              <w:rPr>
                <w:sz w:val="14"/>
              </w:rPr>
              <w:t>native</w:t>
            </w:r>
            <w:r>
              <w:rPr>
                <w:spacing w:val="-3"/>
                <w:sz w:val="14"/>
              </w:rPr>
              <w:t> </w:t>
            </w:r>
            <w:r>
              <w:rPr>
                <w:sz w:val="14"/>
              </w:rPr>
              <w:t>vegetation</w:t>
            </w:r>
            <w:r>
              <w:rPr>
                <w:spacing w:val="-5"/>
                <w:sz w:val="14"/>
              </w:rPr>
              <w:t> </w:t>
            </w:r>
            <w:r>
              <w:rPr>
                <w:sz w:val="14"/>
              </w:rPr>
              <w:t>removal</w:t>
            </w:r>
            <w:r>
              <w:rPr>
                <w:spacing w:val="-5"/>
                <w:sz w:val="14"/>
              </w:rPr>
              <w:t> </w:t>
            </w:r>
            <w:r>
              <w:rPr>
                <w:sz w:val="14"/>
              </w:rPr>
              <w:t>Significant</w:t>
            </w:r>
            <w:r>
              <w:rPr>
                <w:spacing w:val="-4"/>
                <w:sz w:val="14"/>
              </w:rPr>
              <w:t> </w:t>
            </w:r>
            <w:r>
              <w:rPr>
                <w:sz w:val="14"/>
              </w:rPr>
              <w:t>Landscape</w:t>
            </w:r>
            <w:r>
              <w:rPr>
                <w:spacing w:val="-6"/>
                <w:sz w:val="14"/>
              </w:rPr>
              <w:t> </w:t>
            </w:r>
            <w:r>
              <w:rPr>
                <w:sz w:val="14"/>
              </w:rPr>
              <w:t>Overlays</w:t>
            </w:r>
            <w:r>
              <w:rPr>
                <w:spacing w:val="-2"/>
                <w:sz w:val="14"/>
              </w:rPr>
              <w:t> </w:t>
            </w:r>
            <w:r>
              <w:rPr>
                <w:sz w:val="14"/>
              </w:rPr>
              <w:t>(SLO)</w:t>
            </w:r>
            <w:r>
              <w:rPr>
                <w:spacing w:val="-5"/>
                <w:sz w:val="14"/>
              </w:rPr>
              <w:t> </w:t>
            </w:r>
            <w:r>
              <w:rPr>
                <w:sz w:val="14"/>
              </w:rPr>
              <w:t>-</w:t>
            </w:r>
            <w:r>
              <w:rPr>
                <w:spacing w:val="-2"/>
                <w:sz w:val="14"/>
              </w:rPr>
              <w:t> </w:t>
            </w:r>
            <w:r>
              <w:rPr>
                <w:sz w:val="14"/>
              </w:rPr>
              <w:t>3</w:t>
            </w:r>
            <w:r>
              <w:rPr>
                <w:spacing w:val="-4"/>
                <w:sz w:val="14"/>
              </w:rPr>
              <w:t> Tree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218.00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229.00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Tree</w:t>
            </w:r>
            <w:r>
              <w:rPr>
                <w:spacing w:val="-4"/>
                <w:sz w:val="14"/>
              </w:rPr>
              <w:t> </w:t>
            </w:r>
            <w:r>
              <w:rPr>
                <w:sz w:val="14"/>
              </w:rPr>
              <w:t>and</w:t>
            </w:r>
            <w:r>
              <w:rPr>
                <w:spacing w:val="-3"/>
                <w:sz w:val="14"/>
              </w:rPr>
              <w:t> </w:t>
            </w:r>
            <w:r>
              <w:rPr>
                <w:sz w:val="14"/>
              </w:rPr>
              <w:t>native</w:t>
            </w:r>
            <w:r>
              <w:rPr>
                <w:spacing w:val="-3"/>
                <w:sz w:val="14"/>
              </w:rPr>
              <w:t> </w:t>
            </w:r>
            <w:r>
              <w:rPr>
                <w:sz w:val="14"/>
              </w:rPr>
              <w:t>vegetation</w:t>
            </w:r>
            <w:r>
              <w:rPr>
                <w:spacing w:val="-5"/>
                <w:sz w:val="14"/>
              </w:rPr>
              <w:t> </w:t>
            </w:r>
            <w:r>
              <w:rPr>
                <w:sz w:val="14"/>
              </w:rPr>
              <w:t>removal</w:t>
            </w:r>
            <w:r>
              <w:rPr>
                <w:spacing w:val="-5"/>
                <w:sz w:val="14"/>
              </w:rPr>
              <w:t> </w:t>
            </w:r>
            <w:r>
              <w:rPr>
                <w:sz w:val="14"/>
              </w:rPr>
              <w:t>Significant</w:t>
            </w:r>
            <w:r>
              <w:rPr>
                <w:spacing w:val="-4"/>
                <w:sz w:val="14"/>
              </w:rPr>
              <w:t> </w:t>
            </w:r>
            <w:r>
              <w:rPr>
                <w:sz w:val="14"/>
              </w:rPr>
              <w:t>Landscape</w:t>
            </w:r>
            <w:r>
              <w:rPr>
                <w:spacing w:val="-6"/>
                <w:sz w:val="14"/>
              </w:rPr>
              <w:t> </w:t>
            </w:r>
            <w:r>
              <w:rPr>
                <w:sz w:val="14"/>
              </w:rPr>
              <w:t>Overlays</w:t>
            </w:r>
            <w:r>
              <w:rPr>
                <w:spacing w:val="-2"/>
                <w:sz w:val="14"/>
              </w:rPr>
              <w:t> </w:t>
            </w:r>
            <w:r>
              <w:rPr>
                <w:sz w:val="14"/>
              </w:rPr>
              <w:t>(SLO)</w:t>
            </w:r>
            <w:r>
              <w:rPr>
                <w:spacing w:val="-5"/>
                <w:sz w:val="14"/>
              </w:rPr>
              <w:t> </w:t>
            </w:r>
            <w:r>
              <w:rPr>
                <w:sz w:val="14"/>
              </w:rPr>
              <w:t>-</w:t>
            </w:r>
            <w:r>
              <w:rPr>
                <w:spacing w:val="-2"/>
                <w:sz w:val="14"/>
              </w:rPr>
              <w:t> </w:t>
            </w:r>
            <w:r>
              <w:rPr>
                <w:sz w:val="14"/>
              </w:rPr>
              <w:t>4</w:t>
            </w:r>
            <w:r>
              <w:rPr>
                <w:spacing w:val="-4"/>
                <w:sz w:val="14"/>
              </w:rPr>
              <w:t> Tree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250.50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263.00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Tree</w:t>
            </w:r>
            <w:r>
              <w:rPr>
                <w:spacing w:val="-4"/>
                <w:sz w:val="14"/>
              </w:rPr>
              <w:t> </w:t>
            </w:r>
            <w:r>
              <w:rPr>
                <w:sz w:val="14"/>
              </w:rPr>
              <w:t>and</w:t>
            </w:r>
            <w:r>
              <w:rPr>
                <w:spacing w:val="-3"/>
                <w:sz w:val="14"/>
              </w:rPr>
              <w:t> </w:t>
            </w:r>
            <w:r>
              <w:rPr>
                <w:sz w:val="14"/>
              </w:rPr>
              <w:t>native</w:t>
            </w:r>
            <w:r>
              <w:rPr>
                <w:spacing w:val="-3"/>
                <w:sz w:val="14"/>
              </w:rPr>
              <w:t> </w:t>
            </w:r>
            <w:r>
              <w:rPr>
                <w:sz w:val="14"/>
              </w:rPr>
              <w:t>vegetation</w:t>
            </w:r>
            <w:r>
              <w:rPr>
                <w:spacing w:val="-5"/>
                <w:sz w:val="14"/>
              </w:rPr>
              <w:t> </w:t>
            </w:r>
            <w:r>
              <w:rPr>
                <w:sz w:val="14"/>
              </w:rPr>
              <w:t>removal</w:t>
            </w:r>
            <w:r>
              <w:rPr>
                <w:spacing w:val="-5"/>
                <w:sz w:val="14"/>
              </w:rPr>
              <w:t> </w:t>
            </w:r>
            <w:r>
              <w:rPr>
                <w:sz w:val="14"/>
              </w:rPr>
              <w:t>Significant</w:t>
            </w:r>
            <w:r>
              <w:rPr>
                <w:spacing w:val="-4"/>
                <w:sz w:val="14"/>
              </w:rPr>
              <w:t> </w:t>
            </w:r>
            <w:r>
              <w:rPr>
                <w:sz w:val="14"/>
              </w:rPr>
              <w:t>Landscape</w:t>
            </w:r>
            <w:r>
              <w:rPr>
                <w:spacing w:val="-6"/>
                <w:sz w:val="14"/>
              </w:rPr>
              <w:t> </w:t>
            </w:r>
            <w:r>
              <w:rPr>
                <w:sz w:val="14"/>
              </w:rPr>
              <w:t>Overlays</w:t>
            </w:r>
            <w:r>
              <w:rPr>
                <w:spacing w:val="-2"/>
                <w:sz w:val="14"/>
              </w:rPr>
              <w:t> </w:t>
            </w:r>
            <w:r>
              <w:rPr>
                <w:sz w:val="14"/>
              </w:rPr>
              <w:t>(SLO)</w:t>
            </w:r>
            <w:r>
              <w:rPr>
                <w:spacing w:val="-5"/>
                <w:sz w:val="14"/>
              </w:rPr>
              <w:t> </w:t>
            </w:r>
            <w:r>
              <w:rPr>
                <w:sz w:val="14"/>
              </w:rPr>
              <w:t>-</w:t>
            </w:r>
            <w:r>
              <w:rPr>
                <w:spacing w:val="-2"/>
                <w:sz w:val="14"/>
              </w:rPr>
              <w:t> </w:t>
            </w:r>
            <w:r>
              <w:rPr>
                <w:sz w:val="14"/>
              </w:rPr>
              <w:t>5</w:t>
            </w:r>
            <w:r>
              <w:rPr>
                <w:spacing w:val="-4"/>
                <w:sz w:val="14"/>
              </w:rPr>
              <w:t> Tree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284.00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298.00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32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ind w:left="107"/>
              <w:rPr>
                <w:sz w:val="14"/>
              </w:rPr>
            </w:pPr>
            <w:r>
              <w:rPr>
                <w:sz w:val="14"/>
              </w:rPr>
              <w:t>Tree</w:t>
            </w:r>
            <w:r>
              <w:rPr>
                <w:spacing w:val="-3"/>
                <w:sz w:val="14"/>
              </w:rPr>
              <w:t> </w:t>
            </w:r>
            <w:r>
              <w:rPr>
                <w:sz w:val="14"/>
              </w:rPr>
              <w:t>and</w:t>
            </w:r>
            <w:r>
              <w:rPr>
                <w:spacing w:val="-3"/>
                <w:sz w:val="14"/>
              </w:rPr>
              <w:t> </w:t>
            </w:r>
            <w:r>
              <w:rPr>
                <w:sz w:val="14"/>
              </w:rPr>
              <w:t>native</w:t>
            </w:r>
            <w:r>
              <w:rPr>
                <w:spacing w:val="-3"/>
                <w:sz w:val="14"/>
              </w:rPr>
              <w:t> </w:t>
            </w:r>
            <w:r>
              <w:rPr>
                <w:sz w:val="14"/>
              </w:rPr>
              <w:t>vegetation</w:t>
            </w:r>
            <w:r>
              <w:rPr>
                <w:spacing w:val="-4"/>
                <w:sz w:val="14"/>
              </w:rPr>
              <w:t> </w:t>
            </w:r>
            <w:r>
              <w:rPr>
                <w:sz w:val="14"/>
              </w:rPr>
              <w:t>removal</w:t>
            </w:r>
            <w:r>
              <w:rPr>
                <w:spacing w:val="-4"/>
                <w:sz w:val="14"/>
              </w:rPr>
              <w:t> </w:t>
            </w:r>
            <w:r>
              <w:rPr>
                <w:sz w:val="14"/>
              </w:rPr>
              <w:t>Significant</w:t>
            </w:r>
            <w:r>
              <w:rPr>
                <w:spacing w:val="-4"/>
                <w:sz w:val="14"/>
              </w:rPr>
              <w:t> </w:t>
            </w:r>
            <w:r>
              <w:rPr>
                <w:sz w:val="14"/>
              </w:rPr>
              <w:t>Landscape</w:t>
            </w:r>
            <w:r>
              <w:rPr>
                <w:spacing w:val="-5"/>
                <w:sz w:val="14"/>
              </w:rPr>
              <w:t> </w:t>
            </w:r>
            <w:r>
              <w:rPr>
                <w:sz w:val="14"/>
              </w:rPr>
              <w:t>Overlays</w:t>
            </w:r>
            <w:r>
              <w:rPr>
                <w:spacing w:val="-2"/>
                <w:sz w:val="14"/>
              </w:rPr>
              <w:t> </w:t>
            </w:r>
            <w:r>
              <w:rPr>
                <w:sz w:val="14"/>
              </w:rPr>
              <w:t>(SLO)</w:t>
            </w:r>
            <w:r>
              <w:rPr>
                <w:spacing w:val="-5"/>
                <w:sz w:val="14"/>
              </w:rPr>
              <w:t> </w:t>
            </w:r>
            <w:r>
              <w:rPr>
                <w:sz w:val="14"/>
              </w:rPr>
              <w:t>-</w:t>
            </w:r>
            <w:r>
              <w:rPr>
                <w:spacing w:val="-2"/>
                <w:sz w:val="14"/>
              </w:rPr>
              <w:t> </w:t>
            </w:r>
            <w:r>
              <w:rPr>
                <w:sz w:val="14"/>
              </w:rPr>
              <w:t>6+</w:t>
            </w:r>
            <w:r>
              <w:rPr>
                <w:spacing w:val="-1"/>
                <w:sz w:val="14"/>
              </w:rPr>
              <w:t> </w:t>
            </w:r>
            <w:r>
              <w:rPr>
                <w:sz w:val="14"/>
              </w:rPr>
              <w:t>Tree</w:t>
            </w:r>
            <w:r>
              <w:rPr>
                <w:spacing w:val="40"/>
                <w:sz w:val="14"/>
              </w:rPr>
              <w:t> </w:t>
            </w:r>
            <w:r>
              <w:rPr>
                <w:spacing w:val="-2"/>
                <w:sz w:val="14"/>
              </w:rPr>
              <w:t>removal</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0" w:lineRule="exact"/>
              <w:ind w:right="91"/>
              <w:jc w:val="right"/>
              <w:rPr>
                <w:sz w:val="14"/>
              </w:rPr>
            </w:pPr>
            <w:r>
              <w:rPr>
                <w:spacing w:val="-2"/>
                <w:sz w:val="14"/>
              </w:rPr>
              <w:t>316.50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0" w:lineRule="exact"/>
              <w:ind w:right="93"/>
              <w:jc w:val="right"/>
              <w:rPr>
                <w:sz w:val="14"/>
              </w:rPr>
            </w:pPr>
            <w:r>
              <w:rPr>
                <w:spacing w:val="-2"/>
                <w:sz w:val="14"/>
              </w:rPr>
              <w:t>332.50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sz w:val="14"/>
              </w:rPr>
            </w:pPr>
          </w:p>
          <w:p>
            <w:pPr>
              <w:pStyle w:val="TableParagraph"/>
              <w:spacing w:line="140" w:lineRule="exact"/>
              <w:ind w:left="95" w:right="79"/>
              <w:jc w:val="center"/>
              <w:rPr>
                <w:sz w:val="14"/>
              </w:rPr>
            </w:pPr>
            <w:r>
              <w:rPr>
                <w:spacing w:val="-5"/>
                <w:sz w:val="14"/>
              </w:rPr>
              <w:t>4.8</w:t>
            </w:r>
          </w:p>
        </w:tc>
      </w:tr>
      <w:tr>
        <w:trPr>
          <w:trHeight w:val="178"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All</w:t>
            </w:r>
            <w:r>
              <w:rPr>
                <w:spacing w:val="-5"/>
                <w:sz w:val="14"/>
              </w:rPr>
              <w:t> </w:t>
            </w:r>
            <w:r>
              <w:rPr>
                <w:sz w:val="14"/>
              </w:rPr>
              <w:t>other</w:t>
            </w:r>
            <w:r>
              <w:rPr>
                <w:spacing w:val="-3"/>
                <w:sz w:val="14"/>
              </w:rPr>
              <w:t> </w:t>
            </w:r>
            <w:r>
              <w:rPr>
                <w:sz w:val="14"/>
              </w:rPr>
              <w:t>development</w:t>
            </w:r>
            <w:r>
              <w:rPr>
                <w:spacing w:val="-3"/>
                <w:sz w:val="14"/>
              </w:rPr>
              <w:t> </w:t>
            </w:r>
            <w:r>
              <w:rPr>
                <w:sz w:val="14"/>
              </w:rPr>
              <w:t>Class</w:t>
            </w:r>
            <w:r>
              <w:rPr>
                <w:spacing w:val="-3"/>
                <w:sz w:val="14"/>
              </w:rPr>
              <w:t> </w:t>
            </w:r>
            <w:r>
              <w:rPr>
                <w:sz w:val="14"/>
              </w:rPr>
              <w:t>11</w:t>
            </w:r>
            <w:r>
              <w:rPr>
                <w:spacing w:val="-3"/>
                <w:sz w:val="14"/>
              </w:rPr>
              <w:t> </w:t>
            </w:r>
            <w:r>
              <w:rPr>
                <w:sz w:val="14"/>
              </w:rPr>
              <w:t>-</w:t>
            </w:r>
            <w:r>
              <w:rPr>
                <w:spacing w:val="-3"/>
                <w:sz w:val="14"/>
              </w:rPr>
              <w:t> </w:t>
            </w:r>
            <w:r>
              <w:rPr>
                <w:sz w:val="14"/>
              </w:rPr>
              <w:t>up</w:t>
            </w:r>
            <w:r>
              <w:rPr>
                <w:spacing w:val="-2"/>
                <w:sz w:val="14"/>
              </w:rPr>
              <w:t> </w:t>
            </w:r>
            <w:r>
              <w:rPr>
                <w:sz w:val="14"/>
              </w:rPr>
              <w:t>to</w:t>
            </w:r>
            <w:r>
              <w:rPr>
                <w:spacing w:val="-2"/>
                <w:sz w:val="14"/>
              </w:rPr>
              <w:t> </w:t>
            </w:r>
            <w:r>
              <w:rPr>
                <w:sz w:val="14"/>
              </w:rPr>
              <w:t>$100,000</w:t>
            </w:r>
            <w:r>
              <w:rPr>
                <w:spacing w:val="-4"/>
                <w:sz w:val="14"/>
              </w:rPr>
              <w:t> </w:t>
            </w:r>
            <w:r>
              <w:rPr>
                <w:sz w:val="14"/>
              </w:rPr>
              <w:t>Application</w:t>
            </w:r>
            <w:r>
              <w:rPr>
                <w:spacing w:val="-5"/>
                <w:sz w:val="14"/>
              </w:rPr>
              <w:t> 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1,265.60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1,265.60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All</w:t>
            </w:r>
            <w:r>
              <w:rPr>
                <w:spacing w:val="-5"/>
                <w:sz w:val="14"/>
              </w:rPr>
              <w:t> </w:t>
            </w:r>
            <w:r>
              <w:rPr>
                <w:sz w:val="14"/>
              </w:rPr>
              <w:t>other</w:t>
            </w:r>
            <w:r>
              <w:rPr>
                <w:spacing w:val="-3"/>
                <w:sz w:val="14"/>
              </w:rPr>
              <w:t> </w:t>
            </w:r>
            <w:r>
              <w:rPr>
                <w:sz w:val="14"/>
              </w:rPr>
              <w:t>development</w:t>
            </w:r>
            <w:r>
              <w:rPr>
                <w:spacing w:val="-3"/>
                <w:sz w:val="14"/>
              </w:rPr>
              <w:t> </w:t>
            </w:r>
            <w:r>
              <w:rPr>
                <w:sz w:val="14"/>
              </w:rPr>
              <w:t>Class</w:t>
            </w:r>
            <w:r>
              <w:rPr>
                <w:spacing w:val="-2"/>
                <w:sz w:val="14"/>
              </w:rPr>
              <w:t> </w:t>
            </w:r>
            <w:r>
              <w:rPr>
                <w:sz w:val="14"/>
              </w:rPr>
              <w:t>11</w:t>
            </w:r>
            <w:r>
              <w:rPr>
                <w:spacing w:val="-3"/>
                <w:sz w:val="14"/>
              </w:rPr>
              <w:t> </w:t>
            </w:r>
            <w:r>
              <w:rPr>
                <w:sz w:val="14"/>
              </w:rPr>
              <w:t>-</w:t>
            </w:r>
            <w:r>
              <w:rPr>
                <w:spacing w:val="-3"/>
                <w:sz w:val="14"/>
              </w:rPr>
              <w:t> </w:t>
            </w:r>
            <w:r>
              <w:rPr>
                <w:sz w:val="14"/>
              </w:rPr>
              <w:t>up</w:t>
            </w:r>
            <w:r>
              <w:rPr>
                <w:spacing w:val="-2"/>
                <w:sz w:val="14"/>
              </w:rPr>
              <w:t> </w:t>
            </w:r>
            <w:r>
              <w:rPr>
                <w:sz w:val="14"/>
              </w:rPr>
              <w:t>to</w:t>
            </w:r>
            <w:r>
              <w:rPr>
                <w:spacing w:val="-2"/>
                <w:sz w:val="14"/>
              </w:rPr>
              <w:t> </w:t>
            </w:r>
            <w:r>
              <w:rPr>
                <w:sz w:val="14"/>
              </w:rPr>
              <w:t>$100,000</w:t>
            </w:r>
            <w:r>
              <w:rPr>
                <w:spacing w:val="-3"/>
                <w:sz w:val="14"/>
              </w:rPr>
              <w:t> </w:t>
            </w:r>
            <w:r>
              <w:rPr>
                <w:sz w:val="14"/>
              </w:rPr>
              <w:t>Section</w:t>
            </w:r>
            <w:r>
              <w:rPr>
                <w:spacing w:val="-2"/>
                <w:sz w:val="14"/>
              </w:rPr>
              <w:t> </w:t>
            </w:r>
            <w:r>
              <w:rPr>
                <w:sz w:val="14"/>
              </w:rPr>
              <w:t>72</w:t>
            </w:r>
            <w:r>
              <w:rPr>
                <w:spacing w:val="-6"/>
                <w:sz w:val="14"/>
              </w:rPr>
              <w:t> </w:t>
            </w:r>
            <w:r>
              <w:rPr>
                <w:sz w:val="14"/>
              </w:rPr>
              <w:t>Amendment</w:t>
            </w:r>
            <w:r>
              <w:rPr>
                <w:spacing w:val="-4"/>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1,265.60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1,265.60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All</w:t>
            </w:r>
            <w:r>
              <w:rPr>
                <w:spacing w:val="-5"/>
                <w:sz w:val="14"/>
              </w:rPr>
              <w:t> </w:t>
            </w:r>
            <w:r>
              <w:rPr>
                <w:sz w:val="14"/>
              </w:rPr>
              <w:t>other</w:t>
            </w:r>
            <w:r>
              <w:rPr>
                <w:spacing w:val="-2"/>
                <w:sz w:val="14"/>
              </w:rPr>
              <w:t> </w:t>
            </w:r>
            <w:r>
              <w:rPr>
                <w:sz w:val="14"/>
              </w:rPr>
              <w:t>development</w:t>
            </w:r>
            <w:r>
              <w:rPr>
                <w:spacing w:val="-3"/>
                <w:sz w:val="14"/>
              </w:rPr>
              <w:t> </w:t>
            </w:r>
            <w:r>
              <w:rPr>
                <w:sz w:val="14"/>
              </w:rPr>
              <w:t>Class</w:t>
            </w:r>
            <w:r>
              <w:rPr>
                <w:spacing w:val="-2"/>
                <w:sz w:val="14"/>
              </w:rPr>
              <w:t> </w:t>
            </w:r>
            <w:r>
              <w:rPr>
                <w:sz w:val="14"/>
              </w:rPr>
              <w:t>12</w:t>
            </w:r>
            <w:r>
              <w:rPr>
                <w:spacing w:val="-2"/>
                <w:sz w:val="14"/>
              </w:rPr>
              <w:t> </w:t>
            </w:r>
            <w:r>
              <w:rPr>
                <w:sz w:val="14"/>
              </w:rPr>
              <w:t>-</w:t>
            </w:r>
            <w:r>
              <w:rPr>
                <w:spacing w:val="-6"/>
                <w:sz w:val="14"/>
              </w:rPr>
              <w:t> </w:t>
            </w:r>
            <w:r>
              <w:rPr>
                <w:sz w:val="14"/>
              </w:rPr>
              <w:t>more</w:t>
            </w:r>
            <w:r>
              <w:rPr>
                <w:spacing w:val="-3"/>
                <w:sz w:val="14"/>
              </w:rPr>
              <w:t> </w:t>
            </w:r>
            <w:r>
              <w:rPr>
                <w:sz w:val="14"/>
              </w:rPr>
              <w:t>than</w:t>
            </w:r>
            <w:r>
              <w:rPr>
                <w:spacing w:val="-5"/>
                <w:sz w:val="14"/>
              </w:rPr>
              <w:t> </w:t>
            </w:r>
            <w:r>
              <w:rPr>
                <w:sz w:val="14"/>
              </w:rPr>
              <w:t>$100,000</w:t>
            </w:r>
            <w:r>
              <w:rPr>
                <w:spacing w:val="-5"/>
                <w:sz w:val="14"/>
              </w:rPr>
              <w:t> </w:t>
            </w:r>
            <w:r>
              <w:rPr>
                <w:sz w:val="14"/>
              </w:rPr>
              <w:t>to</w:t>
            </w:r>
            <w:r>
              <w:rPr>
                <w:spacing w:val="-3"/>
                <w:sz w:val="14"/>
              </w:rPr>
              <w:t> </w:t>
            </w:r>
            <w:r>
              <w:rPr>
                <w:sz w:val="14"/>
              </w:rPr>
              <w:t>$1M</w:t>
            </w:r>
            <w:r>
              <w:rPr>
                <w:spacing w:val="-5"/>
                <w:sz w:val="14"/>
              </w:rPr>
              <w:t> </w:t>
            </w:r>
            <w:r>
              <w:rPr>
                <w:sz w:val="14"/>
              </w:rPr>
              <w:t>Application</w:t>
            </w:r>
            <w:r>
              <w:rPr>
                <w:spacing w:val="-2"/>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1,706.50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1,706.50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bl>
    <w:p>
      <w:pPr>
        <w:spacing w:after="0" w:line="140" w:lineRule="exact"/>
        <w:jc w:val="center"/>
        <w:rPr>
          <w:sz w:val="14"/>
        </w:rPr>
        <w:sectPr>
          <w:type w:val="continuous"/>
          <w:pgSz w:w="11910" w:h="16840"/>
          <w:pgMar w:header="0" w:footer="378" w:top="680" w:bottom="846" w:left="520" w:right="520"/>
        </w:sectPr>
      </w:pPr>
    </w:p>
    <w:tbl>
      <w:tblPr>
        <w:tblW w:w="0" w:type="auto"/>
        <w:jc w:val="left"/>
        <w:tblInd w:w="13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70"/>
        <w:gridCol w:w="1028"/>
        <w:gridCol w:w="769"/>
        <w:gridCol w:w="973"/>
        <w:gridCol w:w="1199"/>
        <w:gridCol w:w="897"/>
      </w:tblGrid>
      <w:tr>
        <w:trPr>
          <w:trHeight w:val="232" w:hRule="atLeast"/>
        </w:trPr>
        <w:tc>
          <w:tcPr>
            <w:tcW w:w="10636" w:type="dxa"/>
            <w:gridSpan w:val="6"/>
            <w:tcBorders>
              <w:left w:val="single" w:sz="12" w:space="0" w:color="000000"/>
              <w:bottom w:val="single" w:sz="4" w:space="0" w:color="000000"/>
              <w:right w:val="single" w:sz="12" w:space="0" w:color="000000"/>
            </w:tcBorders>
            <w:shd w:val="clear" w:color="auto" w:fill="3399FF"/>
          </w:tcPr>
          <w:p>
            <w:pPr>
              <w:pStyle w:val="TableParagraph"/>
              <w:spacing w:before="32"/>
              <w:ind w:left="4308" w:right="4290"/>
              <w:jc w:val="center"/>
              <w:rPr>
                <w:b/>
                <w:sz w:val="14"/>
              </w:rPr>
            </w:pPr>
            <w:r>
              <w:rPr>
                <w:b/>
                <w:color w:val="FFFFFF"/>
                <w:sz w:val="14"/>
              </w:rPr>
              <w:t>FEES</w:t>
            </w:r>
            <w:r>
              <w:rPr>
                <w:b/>
                <w:color w:val="FFFFFF"/>
                <w:spacing w:val="-5"/>
                <w:sz w:val="14"/>
              </w:rPr>
              <w:t> </w:t>
            </w:r>
            <w:r>
              <w:rPr>
                <w:b/>
                <w:color w:val="FFFFFF"/>
                <w:sz w:val="14"/>
              </w:rPr>
              <w:t>AND</w:t>
            </w:r>
            <w:r>
              <w:rPr>
                <w:b/>
                <w:color w:val="FFFFFF"/>
                <w:spacing w:val="-4"/>
                <w:sz w:val="14"/>
              </w:rPr>
              <w:t> </w:t>
            </w:r>
            <w:r>
              <w:rPr>
                <w:b/>
                <w:color w:val="FFFFFF"/>
                <w:sz w:val="14"/>
              </w:rPr>
              <w:t>CHARGES</w:t>
            </w:r>
            <w:r>
              <w:rPr>
                <w:b/>
                <w:color w:val="FFFFFF"/>
                <w:spacing w:val="-1"/>
                <w:sz w:val="14"/>
              </w:rPr>
              <w:t> </w:t>
            </w:r>
            <w:r>
              <w:rPr>
                <w:b/>
                <w:color w:val="FFFFFF"/>
                <w:spacing w:val="-2"/>
                <w:sz w:val="14"/>
              </w:rPr>
              <w:t>2025/26</w:t>
            </w:r>
          </w:p>
        </w:tc>
      </w:tr>
      <w:tr>
        <w:trPr>
          <w:trHeight w:val="858" w:hRule="atLeast"/>
        </w:trPr>
        <w:tc>
          <w:tcPr>
            <w:tcW w:w="5770" w:type="dxa"/>
            <w:tcBorders>
              <w:top w:val="single" w:sz="4" w:space="0" w:color="000000"/>
              <w:left w:val="single" w:sz="12" w:space="0" w:color="000000"/>
              <w:bottom w:val="single" w:sz="4" w:space="0" w:color="000000"/>
              <w:right w:val="single" w:sz="4"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107"/>
              <w:rPr>
                <w:b/>
                <w:sz w:val="14"/>
              </w:rPr>
            </w:pPr>
            <w:r>
              <w:rPr>
                <w:b/>
                <w:color w:val="FFFFFF"/>
                <w:sz w:val="14"/>
              </w:rPr>
              <w:t>Account</w:t>
            </w:r>
            <w:r>
              <w:rPr>
                <w:b/>
                <w:color w:val="FFFFFF"/>
                <w:spacing w:val="-7"/>
                <w:sz w:val="14"/>
              </w:rPr>
              <w:t> </w:t>
            </w:r>
            <w:r>
              <w:rPr>
                <w:b/>
                <w:color w:val="FFFFFF"/>
                <w:spacing w:val="-2"/>
                <w:sz w:val="14"/>
              </w:rPr>
              <w:t>Description</w:t>
            </w:r>
          </w:p>
        </w:tc>
        <w:tc>
          <w:tcPr>
            <w:tcW w:w="1028"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26" w:right="101" w:firstLine="4"/>
              <w:jc w:val="center"/>
              <w:rPr>
                <w:b/>
                <w:sz w:val="14"/>
              </w:rPr>
            </w:pPr>
            <w:r>
              <w:rPr>
                <w:b/>
                <w:color w:val="FFFFFF"/>
                <w:sz w:val="14"/>
              </w:rPr>
              <w:t>Fee</w:t>
            </w:r>
            <w:r>
              <w:rPr>
                <w:b/>
                <w:color w:val="FFFFFF"/>
                <w:spacing w:val="-6"/>
                <w:sz w:val="14"/>
              </w:rPr>
              <w:t> </w:t>
            </w:r>
            <w:r>
              <w:rPr>
                <w:b/>
                <w:color w:val="FFFFFF"/>
                <w:sz w:val="14"/>
              </w:rPr>
              <w:t>Type</w:t>
            </w:r>
            <w:r>
              <w:rPr>
                <w:b/>
                <w:color w:val="FFFFFF"/>
                <w:spacing w:val="40"/>
                <w:sz w:val="14"/>
              </w:rPr>
              <w:t> </w:t>
            </w:r>
            <w:r>
              <w:rPr>
                <w:b/>
                <w:color w:val="FFFFFF"/>
                <w:spacing w:val="-2"/>
                <w:sz w:val="14"/>
              </w:rPr>
              <w:t>N=Non-</w:t>
            </w:r>
            <w:r>
              <w:rPr>
                <w:b/>
                <w:color w:val="FFFFFF"/>
                <w:spacing w:val="40"/>
                <w:sz w:val="14"/>
              </w:rPr>
              <w:t> </w:t>
            </w:r>
            <w:r>
              <w:rPr>
                <w:b/>
                <w:color w:val="FFFFFF"/>
                <w:spacing w:val="-2"/>
                <w:sz w:val="14"/>
              </w:rPr>
              <w:t>Statutory</w:t>
            </w:r>
            <w:r>
              <w:rPr>
                <w:b/>
                <w:color w:val="FFFFFF"/>
                <w:spacing w:val="40"/>
                <w:sz w:val="14"/>
              </w:rPr>
              <w:t> </w:t>
            </w:r>
            <w:r>
              <w:rPr>
                <w:b/>
                <w:color w:val="FFFFFF"/>
                <w:spacing w:val="-2"/>
                <w:sz w:val="14"/>
              </w:rPr>
              <w:t>S=Statutory</w:t>
            </w:r>
          </w:p>
        </w:tc>
        <w:tc>
          <w:tcPr>
            <w:tcW w:w="76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4"/>
              <w:rPr>
                <w:sz w:val="23"/>
              </w:rPr>
            </w:pPr>
          </w:p>
          <w:p>
            <w:pPr>
              <w:pStyle w:val="TableParagraph"/>
              <w:spacing w:before="1"/>
              <w:ind w:left="248"/>
              <w:rPr>
                <w:b/>
                <w:sz w:val="14"/>
              </w:rPr>
            </w:pPr>
            <w:r>
              <w:rPr>
                <w:b/>
                <w:color w:val="FFFFFF"/>
                <w:spacing w:val="-5"/>
                <w:sz w:val="14"/>
              </w:rPr>
              <w:t>GST</w:t>
            </w:r>
          </w:p>
          <w:p>
            <w:pPr>
              <w:pStyle w:val="TableParagraph"/>
              <w:ind w:left="154"/>
              <w:rPr>
                <w:b/>
                <w:sz w:val="14"/>
              </w:rPr>
            </w:pPr>
            <w:r>
              <w:rPr>
                <w:b/>
                <w:color w:val="FFFFFF"/>
                <w:spacing w:val="-2"/>
                <w:sz w:val="14"/>
              </w:rPr>
              <w:t>Yes/No</w:t>
            </w:r>
          </w:p>
        </w:tc>
        <w:tc>
          <w:tcPr>
            <w:tcW w:w="973"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05" w:right="84"/>
              <w:jc w:val="center"/>
              <w:rPr>
                <w:b/>
                <w:sz w:val="14"/>
              </w:rPr>
            </w:pPr>
            <w:r>
              <w:rPr>
                <w:b/>
                <w:color w:val="FFFFFF"/>
                <w:spacing w:val="-2"/>
                <w:sz w:val="14"/>
              </w:rPr>
              <w:t>2024/25</w:t>
            </w:r>
          </w:p>
          <w:p>
            <w:pPr>
              <w:pStyle w:val="TableParagraph"/>
              <w:ind w:left="189" w:right="168" w:firstLine="1"/>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40"/>
                <w:sz w:val="14"/>
              </w:rPr>
              <w:t> </w:t>
            </w:r>
            <w:r>
              <w:rPr>
                <w:b/>
                <w:color w:val="FFFFFF"/>
                <w:sz w:val="14"/>
              </w:rPr>
              <w:t>Incl.</w:t>
            </w:r>
            <w:r>
              <w:rPr>
                <w:b/>
                <w:color w:val="FFFFFF"/>
                <w:spacing w:val="-5"/>
                <w:sz w:val="14"/>
              </w:rPr>
              <w:t> </w:t>
            </w:r>
            <w:r>
              <w:rPr>
                <w:b/>
                <w:color w:val="FFFFFF"/>
                <w:spacing w:val="-5"/>
                <w:sz w:val="14"/>
              </w:rPr>
              <w:t>GST</w:t>
            </w:r>
          </w:p>
        </w:tc>
        <w:tc>
          <w:tcPr>
            <w:tcW w:w="119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56" w:right="137"/>
              <w:jc w:val="center"/>
              <w:rPr>
                <w:b/>
                <w:sz w:val="14"/>
              </w:rPr>
            </w:pPr>
            <w:r>
              <w:rPr>
                <w:b/>
                <w:color w:val="FFFFFF"/>
                <w:spacing w:val="-2"/>
                <w:sz w:val="14"/>
              </w:rPr>
              <w:t>2025/26</w:t>
            </w:r>
          </w:p>
          <w:p>
            <w:pPr>
              <w:pStyle w:val="TableParagraph"/>
              <w:ind w:left="164" w:right="146" w:firstLine="2"/>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8"/>
                <w:sz w:val="14"/>
              </w:rPr>
              <w:t> </w:t>
            </w:r>
            <w:r>
              <w:rPr>
                <w:b/>
                <w:color w:val="FFFFFF"/>
                <w:spacing w:val="-2"/>
                <w:sz w:val="14"/>
              </w:rPr>
              <w:t>Incl.</w:t>
            </w:r>
          </w:p>
          <w:p>
            <w:pPr>
              <w:pStyle w:val="TableParagraph"/>
              <w:spacing w:line="161" w:lineRule="exact"/>
              <w:ind w:left="153" w:right="137"/>
              <w:jc w:val="center"/>
              <w:rPr>
                <w:b/>
                <w:sz w:val="14"/>
              </w:rPr>
            </w:pPr>
            <w:r>
              <w:rPr>
                <w:b/>
                <w:color w:val="FFFFFF"/>
                <w:spacing w:val="-5"/>
                <w:sz w:val="14"/>
              </w:rPr>
              <w:t>GST</w:t>
            </w:r>
          </w:p>
        </w:tc>
        <w:tc>
          <w:tcPr>
            <w:tcW w:w="897" w:type="dxa"/>
            <w:tcBorders>
              <w:top w:val="single" w:sz="4" w:space="0" w:color="000000"/>
              <w:left w:val="single" w:sz="4" w:space="0" w:color="000000"/>
              <w:bottom w:val="single" w:sz="4" w:space="0" w:color="000000"/>
              <w:right w:val="single" w:sz="12"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95" w:right="81"/>
              <w:jc w:val="center"/>
              <w:rPr>
                <w:b/>
                <w:sz w:val="14"/>
              </w:rPr>
            </w:pPr>
            <w:r>
              <w:rPr>
                <w:b/>
                <w:color w:val="FFFFFF"/>
                <w:sz w:val="14"/>
              </w:rPr>
              <w:t>%</w:t>
            </w:r>
            <w:r>
              <w:rPr>
                <w:b/>
                <w:color w:val="FFFFFF"/>
                <w:spacing w:val="-4"/>
                <w:sz w:val="14"/>
              </w:rPr>
              <w:t> </w:t>
            </w:r>
            <w:r>
              <w:rPr>
                <w:b/>
                <w:color w:val="FFFFFF"/>
                <w:spacing w:val="-2"/>
                <w:sz w:val="14"/>
              </w:rPr>
              <w:t>Change</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All</w:t>
            </w:r>
            <w:r>
              <w:rPr>
                <w:spacing w:val="-5"/>
                <w:sz w:val="14"/>
              </w:rPr>
              <w:t> </w:t>
            </w:r>
            <w:r>
              <w:rPr>
                <w:sz w:val="14"/>
              </w:rPr>
              <w:t>other</w:t>
            </w:r>
            <w:r>
              <w:rPr>
                <w:spacing w:val="-2"/>
                <w:sz w:val="14"/>
              </w:rPr>
              <w:t> </w:t>
            </w:r>
            <w:r>
              <w:rPr>
                <w:sz w:val="14"/>
              </w:rPr>
              <w:t>development</w:t>
            </w:r>
            <w:r>
              <w:rPr>
                <w:spacing w:val="-2"/>
                <w:sz w:val="14"/>
              </w:rPr>
              <w:t> </w:t>
            </w:r>
            <w:r>
              <w:rPr>
                <w:sz w:val="14"/>
              </w:rPr>
              <w:t>Class</w:t>
            </w:r>
            <w:r>
              <w:rPr>
                <w:spacing w:val="-2"/>
                <w:sz w:val="14"/>
              </w:rPr>
              <w:t> </w:t>
            </w:r>
            <w:r>
              <w:rPr>
                <w:sz w:val="14"/>
              </w:rPr>
              <w:t>12</w:t>
            </w:r>
            <w:r>
              <w:rPr>
                <w:spacing w:val="-3"/>
                <w:sz w:val="14"/>
              </w:rPr>
              <w:t> </w:t>
            </w:r>
            <w:r>
              <w:rPr>
                <w:sz w:val="14"/>
              </w:rPr>
              <w:t>-</w:t>
            </w:r>
            <w:r>
              <w:rPr>
                <w:spacing w:val="-5"/>
                <w:sz w:val="14"/>
              </w:rPr>
              <w:t> </w:t>
            </w:r>
            <w:r>
              <w:rPr>
                <w:sz w:val="14"/>
              </w:rPr>
              <w:t>more</w:t>
            </w:r>
            <w:r>
              <w:rPr>
                <w:spacing w:val="-3"/>
                <w:sz w:val="14"/>
              </w:rPr>
              <w:t> </w:t>
            </w:r>
            <w:r>
              <w:rPr>
                <w:sz w:val="14"/>
              </w:rPr>
              <w:t>than</w:t>
            </w:r>
            <w:r>
              <w:rPr>
                <w:spacing w:val="-5"/>
                <w:sz w:val="14"/>
              </w:rPr>
              <w:t> </w:t>
            </w:r>
            <w:r>
              <w:rPr>
                <w:sz w:val="14"/>
              </w:rPr>
              <w:t>$100,000</w:t>
            </w:r>
            <w:r>
              <w:rPr>
                <w:spacing w:val="-5"/>
                <w:sz w:val="14"/>
              </w:rPr>
              <w:t> </w:t>
            </w:r>
            <w:r>
              <w:rPr>
                <w:sz w:val="14"/>
              </w:rPr>
              <w:t>to</w:t>
            </w:r>
            <w:r>
              <w:rPr>
                <w:spacing w:val="-2"/>
                <w:sz w:val="14"/>
              </w:rPr>
              <w:t> </w:t>
            </w:r>
            <w:r>
              <w:rPr>
                <w:sz w:val="14"/>
              </w:rPr>
              <w:t>$1M</w:t>
            </w:r>
            <w:r>
              <w:rPr>
                <w:spacing w:val="-5"/>
                <w:sz w:val="14"/>
              </w:rPr>
              <w:t> </w:t>
            </w:r>
            <w:r>
              <w:rPr>
                <w:sz w:val="14"/>
              </w:rPr>
              <w:t>Section</w:t>
            </w:r>
            <w:r>
              <w:rPr>
                <w:spacing w:val="-3"/>
                <w:sz w:val="14"/>
              </w:rPr>
              <w:t> </w:t>
            </w:r>
            <w:r>
              <w:rPr>
                <w:sz w:val="14"/>
              </w:rPr>
              <w:t>72</w:t>
            </w:r>
            <w:r>
              <w:rPr>
                <w:spacing w:val="-5"/>
                <w:sz w:val="14"/>
              </w:rPr>
              <w:t> </w:t>
            </w:r>
            <w:r>
              <w:rPr>
                <w:sz w:val="14"/>
              </w:rPr>
              <w:t>Amendment</w:t>
            </w:r>
            <w:r>
              <w:rPr>
                <w:spacing w:val="-5"/>
                <w:sz w:val="14"/>
              </w:rPr>
              <w:t> 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1,706.50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1,706.50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All</w:t>
            </w:r>
            <w:r>
              <w:rPr>
                <w:spacing w:val="-5"/>
                <w:sz w:val="14"/>
              </w:rPr>
              <w:t> </w:t>
            </w:r>
            <w:r>
              <w:rPr>
                <w:sz w:val="14"/>
              </w:rPr>
              <w:t>other</w:t>
            </w:r>
            <w:r>
              <w:rPr>
                <w:spacing w:val="-2"/>
                <w:sz w:val="14"/>
              </w:rPr>
              <w:t> </w:t>
            </w:r>
            <w:r>
              <w:rPr>
                <w:sz w:val="14"/>
              </w:rPr>
              <w:t>development</w:t>
            </w:r>
            <w:r>
              <w:rPr>
                <w:spacing w:val="-2"/>
                <w:sz w:val="14"/>
              </w:rPr>
              <w:t> </w:t>
            </w:r>
            <w:r>
              <w:rPr>
                <w:sz w:val="14"/>
              </w:rPr>
              <w:t>Class</w:t>
            </w:r>
            <w:r>
              <w:rPr>
                <w:spacing w:val="-3"/>
                <w:sz w:val="14"/>
              </w:rPr>
              <w:t> </w:t>
            </w:r>
            <w:r>
              <w:rPr>
                <w:sz w:val="14"/>
              </w:rPr>
              <w:t>13</w:t>
            </w:r>
            <w:r>
              <w:rPr>
                <w:spacing w:val="-2"/>
                <w:sz w:val="14"/>
              </w:rPr>
              <w:t> </w:t>
            </w:r>
            <w:r>
              <w:rPr>
                <w:sz w:val="14"/>
              </w:rPr>
              <w:t>-more</w:t>
            </w:r>
            <w:r>
              <w:rPr>
                <w:spacing w:val="-5"/>
                <w:sz w:val="14"/>
              </w:rPr>
              <w:t> </w:t>
            </w:r>
            <w:r>
              <w:rPr>
                <w:sz w:val="14"/>
              </w:rPr>
              <w:t>than</w:t>
            </w:r>
            <w:r>
              <w:rPr>
                <w:spacing w:val="-2"/>
                <w:sz w:val="14"/>
              </w:rPr>
              <w:t> </w:t>
            </w:r>
            <w:r>
              <w:rPr>
                <w:sz w:val="14"/>
              </w:rPr>
              <w:t>$1M</w:t>
            </w:r>
            <w:r>
              <w:rPr>
                <w:spacing w:val="-5"/>
                <w:sz w:val="14"/>
              </w:rPr>
              <w:t> </w:t>
            </w:r>
            <w:r>
              <w:rPr>
                <w:sz w:val="14"/>
              </w:rPr>
              <w:t>to</w:t>
            </w:r>
            <w:r>
              <w:rPr>
                <w:spacing w:val="-4"/>
                <w:sz w:val="14"/>
              </w:rPr>
              <w:t> </w:t>
            </w:r>
            <w:r>
              <w:rPr>
                <w:sz w:val="14"/>
              </w:rPr>
              <w:t>$5M</w:t>
            </w:r>
            <w:r>
              <w:rPr>
                <w:spacing w:val="-5"/>
                <w:sz w:val="14"/>
              </w:rPr>
              <w:t> </w:t>
            </w:r>
            <w:r>
              <w:rPr>
                <w:sz w:val="14"/>
              </w:rPr>
              <w:t>Application</w:t>
            </w:r>
            <w:r>
              <w:rPr>
                <w:spacing w:val="-2"/>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3,764.10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3,764.10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All</w:t>
            </w:r>
            <w:r>
              <w:rPr>
                <w:spacing w:val="-5"/>
                <w:sz w:val="14"/>
              </w:rPr>
              <w:t> </w:t>
            </w:r>
            <w:r>
              <w:rPr>
                <w:sz w:val="14"/>
              </w:rPr>
              <w:t>other</w:t>
            </w:r>
            <w:r>
              <w:rPr>
                <w:spacing w:val="-2"/>
                <w:sz w:val="14"/>
              </w:rPr>
              <w:t> </w:t>
            </w:r>
            <w:r>
              <w:rPr>
                <w:sz w:val="14"/>
              </w:rPr>
              <w:t>development</w:t>
            </w:r>
            <w:r>
              <w:rPr>
                <w:spacing w:val="-2"/>
                <w:sz w:val="14"/>
              </w:rPr>
              <w:t> </w:t>
            </w:r>
            <w:r>
              <w:rPr>
                <w:sz w:val="14"/>
              </w:rPr>
              <w:t>Class</w:t>
            </w:r>
            <w:r>
              <w:rPr>
                <w:spacing w:val="-3"/>
                <w:sz w:val="14"/>
              </w:rPr>
              <w:t> </w:t>
            </w:r>
            <w:r>
              <w:rPr>
                <w:sz w:val="14"/>
              </w:rPr>
              <w:t>13</w:t>
            </w:r>
            <w:r>
              <w:rPr>
                <w:spacing w:val="-2"/>
                <w:sz w:val="14"/>
              </w:rPr>
              <w:t> </w:t>
            </w:r>
            <w:r>
              <w:rPr>
                <w:sz w:val="14"/>
              </w:rPr>
              <w:t>-more</w:t>
            </w:r>
            <w:r>
              <w:rPr>
                <w:spacing w:val="-5"/>
                <w:sz w:val="14"/>
              </w:rPr>
              <w:t> </w:t>
            </w:r>
            <w:r>
              <w:rPr>
                <w:sz w:val="14"/>
              </w:rPr>
              <w:t>than</w:t>
            </w:r>
            <w:r>
              <w:rPr>
                <w:spacing w:val="-3"/>
                <w:sz w:val="14"/>
              </w:rPr>
              <w:t> </w:t>
            </w:r>
            <w:r>
              <w:rPr>
                <w:sz w:val="14"/>
              </w:rPr>
              <w:t>$1M</w:t>
            </w:r>
            <w:r>
              <w:rPr>
                <w:spacing w:val="-5"/>
                <w:sz w:val="14"/>
              </w:rPr>
              <w:t> </w:t>
            </w:r>
            <w:r>
              <w:rPr>
                <w:sz w:val="14"/>
              </w:rPr>
              <w:t>to</w:t>
            </w:r>
            <w:r>
              <w:rPr>
                <w:spacing w:val="-3"/>
                <w:sz w:val="14"/>
              </w:rPr>
              <w:t> </w:t>
            </w:r>
            <w:r>
              <w:rPr>
                <w:sz w:val="14"/>
              </w:rPr>
              <w:t>$5M</w:t>
            </w:r>
            <w:r>
              <w:rPr>
                <w:spacing w:val="-5"/>
                <w:sz w:val="14"/>
              </w:rPr>
              <w:t> </w:t>
            </w:r>
            <w:r>
              <w:rPr>
                <w:sz w:val="14"/>
              </w:rPr>
              <w:t>Section</w:t>
            </w:r>
            <w:r>
              <w:rPr>
                <w:spacing w:val="-3"/>
                <w:sz w:val="14"/>
              </w:rPr>
              <w:t> </w:t>
            </w:r>
            <w:r>
              <w:rPr>
                <w:sz w:val="14"/>
              </w:rPr>
              <w:t>72</w:t>
            </w:r>
            <w:r>
              <w:rPr>
                <w:spacing w:val="-3"/>
                <w:sz w:val="14"/>
              </w:rPr>
              <w:t> </w:t>
            </w:r>
            <w:r>
              <w:rPr>
                <w:sz w:val="14"/>
              </w:rPr>
              <w:t>Amendment</w:t>
            </w:r>
            <w:r>
              <w:rPr>
                <w:spacing w:val="-5"/>
                <w:sz w:val="14"/>
              </w:rPr>
              <w:t> 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3,764.10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3,764.10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All</w:t>
            </w:r>
            <w:r>
              <w:rPr>
                <w:spacing w:val="-4"/>
                <w:sz w:val="14"/>
              </w:rPr>
              <w:t> </w:t>
            </w:r>
            <w:r>
              <w:rPr>
                <w:sz w:val="14"/>
              </w:rPr>
              <w:t>other</w:t>
            </w:r>
            <w:r>
              <w:rPr>
                <w:spacing w:val="-3"/>
                <w:sz w:val="14"/>
              </w:rPr>
              <w:t> </w:t>
            </w:r>
            <w:r>
              <w:rPr>
                <w:sz w:val="14"/>
              </w:rPr>
              <w:t>development</w:t>
            </w:r>
            <w:r>
              <w:rPr>
                <w:spacing w:val="-2"/>
                <w:sz w:val="14"/>
              </w:rPr>
              <w:t> </w:t>
            </w:r>
            <w:r>
              <w:rPr>
                <w:sz w:val="14"/>
              </w:rPr>
              <w:t>Class</w:t>
            </w:r>
            <w:r>
              <w:rPr>
                <w:spacing w:val="-2"/>
                <w:sz w:val="14"/>
              </w:rPr>
              <w:t> </w:t>
            </w:r>
            <w:r>
              <w:rPr>
                <w:sz w:val="14"/>
              </w:rPr>
              <w:t>14</w:t>
            </w:r>
            <w:r>
              <w:rPr>
                <w:spacing w:val="-2"/>
                <w:sz w:val="14"/>
              </w:rPr>
              <w:t> </w:t>
            </w:r>
            <w:r>
              <w:rPr>
                <w:sz w:val="14"/>
              </w:rPr>
              <w:t>-</w:t>
            </w:r>
            <w:r>
              <w:rPr>
                <w:spacing w:val="-5"/>
                <w:sz w:val="14"/>
              </w:rPr>
              <w:t> </w:t>
            </w:r>
            <w:r>
              <w:rPr>
                <w:sz w:val="14"/>
              </w:rPr>
              <w:t>more</w:t>
            </w:r>
            <w:r>
              <w:rPr>
                <w:spacing w:val="-3"/>
                <w:sz w:val="14"/>
              </w:rPr>
              <w:t> </w:t>
            </w:r>
            <w:r>
              <w:rPr>
                <w:sz w:val="14"/>
              </w:rPr>
              <w:t>than</w:t>
            </w:r>
            <w:r>
              <w:rPr>
                <w:spacing w:val="-5"/>
                <w:sz w:val="14"/>
              </w:rPr>
              <w:t> </w:t>
            </w:r>
            <w:r>
              <w:rPr>
                <w:sz w:val="14"/>
              </w:rPr>
              <w:t>$5M</w:t>
            </w:r>
            <w:r>
              <w:rPr>
                <w:spacing w:val="-2"/>
                <w:sz w:val="14"/>
              </w:rPr>
              <w:t> </w:t>
            </w:r>
            <w:r>
              <w:rPr>
                <w:sz w:val="14"/>
              </w:rPr>
              <w:t>to</w:t>
            </w:r>
            <w:r>
              <w:rPr>
                <w:spacing w:val="-3"/>
                <w:sz w:val="14"/>
              </w:rPr>
              <w:t> </w:t>
            </w:r>
            <w:r>
              <w:rPr>
                <w:sz w:val="14"/>
              </w:rPr>
              <w:t>$15M</w:t>
            </w:r>
            <w:r>
              <w:rPr>
                <w:spacing w:val="-5"/>
                <w:sz w:val="14"/>
              </w:rPr>
              <w:t> </w:t>
            </w:r>
            <w:r>
              <w:rPr>
                <w:sz w:val="14"/>
              </w:rPr>
              <w:t>Application</w:t>
            </w:r>
            <w:r>
              <w:rPr>
                <w:spacing w:val="-6"/>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9,593.90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9,593.90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All</w:t>
            </w:r>
            <w:r>
              <w:rPr>
                <w:spacing w:val="-4"/>
                <w:sz w:val="14"/>
              </w:rPr>
              <w:t> </w:t>
            </w:r>
            <w:r>
              <w:rPr>
                <w:sz w:val="14"/>
              </w:rPr>
              <w:t>other</w:t>
            </w:r>
            <w:r>
              <w:rPr>
                <w:spacing w:val="-2"/>
                <w:sz w:val="14"/>
              </w:rPr>
              <w:t> </w:t>
            </w:r>
            <w:r>
              <w:rPr>
                <w:sz w:val="14"/>
              </w:rPr>
              <w:t>development</w:t>
            </w:r>
            <w:r>
              <w:rPr>
                <w:spacing w:val="-2"/>
                <w:sz w:val="14"/>
              </w:rPr>
              <w:t> </w:t>
            </w:r>
            <w:r>
              <w:rPr>
                <w:sz w:val="14"/>
              </w:rPr>
              <w:t>Class</w:t>
            </w:r>
            <w:r>
              <w:rPr>
                <w:spacing w:val="-2"/>
                <w:sz w:val="14"/>
              </w:rPr>
              <w:t> </w:t>
            </w:r>
            <w:r>
              <w:rPr>
                <w:sz w:val="14"/>
              </w:rPr>
              <w:t>14</w:t>
            </w:r>
            <w:r>
              <w:rPr>
                <w:spacing w:val="-3"/>
                <w:sz w:val="14"/>
              </w:rPr>
              <w:t> </w:t>
            </w:r>
            <w:r>
              <w:rPr>
                <w:sz w:val="14"/>
              </w:rPr>
              <w:t>-</w:t>
            </w:r>
            <w:r>
              <w:rPr>
                <w:spacing w:val="-4"/>
                <w:sz w:val="14"/>
              </w:rPr>
              <w:t> </w:t>
            </w:r>
            <w:r>
              <w:rPr>
                <w:sz w:val="14"/>
              </w:rPr>
              <w:t>more</w:t>
            </w:r>
            <w:r>
              <w:rPr>
                <w:spacing w:val="-3"/>
                <w:sz w:val="14"/>
              </w:rPr>
              <w:t> </w:t>
            </w:r>
            <w:r>
              <w:rPr>
                <w:sz w:val="14"/>
              </w:rPr>
              <w:t>than</w:t>
            </w:r>
            <w:r>
              <w:rPr>
                <w:spacing w:val="-5"/>
                <w:sz w:val="14"/>
              </w:rPr>
              <w:t> </w:t>
            </w:r>
            <w:r>
              <w:rPr>
                <w:sz w:val="14"/>
              </w:rPr>
              <w:t>$5M</w:t>
            </w:r>
            <w:r>
              <w:rPr>
                <w:spacing w:val="-2"/>
                <w:sz w:val="14"/>
              </w:rPr>
              <w:t> </w:t>
            </w:r>
            <w:r>
              <w:rPr>
                <w:sz w:val="14"/>
              </w:rPr>
              <w:t>to</w:t>
            </w:r>
            <w:r>
              <w:rPr>
                <w:spacing w:val="-3"/>
                <w:sz w:val="14"/>
              </w:rPr>
              <w:t> </w:t>
            </w:r>
            <w:r>
              <w:rPr>
                <w:sz w:val="14"/>
              </w:rPr>
              <w:t>$15M</w:t>
            </w:r>
            <w:r>
              <w:rPr>
                <w:spacing w:val="-5"/>
                <w:sz w:val="14"/>
              </w:rPr>
              <w:t> </w:t>
            </w:r>
            <w:r>
              <w:rPr>
                <w:sz w:val="14"/>
              </w:rPr>
              <w:t>Section</w:t>
            </w:r>
            <w:r>
              <w:rPr>
                <w:spacing w:val="-1"/>
                <w:sz w:val="14"/>
              </w:rPr>
              <w:t> </w:t>
            </w:r>
            <w:r>
              <w:rPr>
                <w:sz w:val="14"/>
              </w:rPr>
              <w:t>72</w:t>
            </w:r>
            <w:r>
              <w:rPr>
                <w:spacing w:val="-5"/>
                <w:sz w:val="14"/>
              </w:rPr>
              <w:t> </w:t>
            </w:r>
            <w:r>
              <w:rPr>
                <w:sz w:val="14"/>
              </w:rPr>
              <w:t>Amendment</w:t>
            </w:r>
            <w:r>
              <w:rPr>
                <w:spacing w:val="-2"/>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3,764.10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3,764.10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All</w:t>
            </w:r>
            <w:r>
              <w:rPr>
                <w:spacing w:val="-4"/>
                <w:sz w:val="14"/>
              </w:rPr>
              <w:t> </w:t>
            </w:r>
            <w:r>
              <w:rPr>
                <w:sz w:val="14"/>
              </w:rPr>
              <w:t>other</w:t>
            </w:r>
            <w:r>
              <w:rPr>
                <w:spacing w:val="-3"/>
                <w:sz w:val="14"/>
              </w:rPr>
              <w:t> </w:t>
            </w:r>
            <w:r>
              <w:rPr>
                <w:sz w:val="14"/>
              </w:rPr>
              <w:t>development</w:t>
            </w:r>
            <w:r>
              <w:rPr>
                <w:spacing w:val="-2"/>
                <w:sz w:val="14"/>
              </w:rPr>
              <w:t> </w:t>
            </w:r>
            <w:r>
              <w:rPr>
                <w:sz w:val="14"/>
              </w:rPr>
              <w:t>Class</w:t>
            </w:r>
            <w:r>
              <w:rPr>
                <w:spacing w:val="-2"/>
                <w:sz w:val="14"/>
              </w:rPr>
              <w:t> </w:t>
            </w:r>
            <w:r>
              <w:rPr>
                <w:sz w:val="14"/>
              </w:rPr>
              <w:t>15</w:t>
            </w:r>
            <w:r>
              <w:rPr>
                <w:spacing w:val="-2"/>
                <w:sz w:val="14"/>
              </w:rPr>
              <w:t> </w:t>
            </w:r>
            <w:r>
              <w:rPr>
                <w:sz w:val="14"/>
              </w:rPr>
              <w:t>-</w:t>
            </w:r>
            <w:r>
              <w:rPr>
                <w:spacing w:val="-5"/>
                <w:sz w:val="14"/>
              </w:rPr>
              <w:t> </w:t>
            </w:r>
            <w:r>
              <w:rPr>
                <w:sz w:val="14"/>
              </w:rPr>
              <w:t>more</w:t>
            </w:r>
            <w:r>
              <w:rPr>
                <w:spacing w:val="-3"/>
                <w:sz w:val="14"/>
              </w:rPr>
              <w:t> </w:t>
            </w:r>
            <w:r>
              <w:rPr>
                <w:sz w:val="14"/>
              </w:rPr>
              <w:t>than</w:t>
            </w:r>
            <w:r>
              <w:rPr>
                <w:spacing w:val="-5"/>
                <w:sz w:val="14"/>
              </w:rPr>
              <w:t> </w:t>
            </w:r>
            <w:r>
              <w:rPr>
                <w:sz w:val="14"/>
              </w:rPr>
              <w:t>$15M</w:t>
            </w:r>
            <w:r>
              <w:rPr>
                <w:spacing w:val="-5"/>
                <w:sz w:val="14"/>
              </w:rPr>
              <w:t> </w:t>
            </w:r>
            <w:r>
              <w:rPr>
                <w:sz w:val="14"/>
              </w:rPr>
              <w:t>to</w:t>
            </w:r>
            <w:r>
              <w:rPr>
                <w:spacing w:val="-4"/>
                <w:sz w:val="14"/>
              </w:rPr>
              <w:t> </w:t>
            </w:r>
            <w:r>
              <w:rPr>
                <w:sz w:val="14"/>
              </w:rPr>
              <w:t>$50M</w:t>
            </w:r>
            <w:r>
              <w:rPr>
                <w:spacing w:val="-5"/>
                <w:sz w:val="14"/>
              </w:rPr>
              <w:t> </w:t>
            </w:r>
            <w:r>
              <w:rPr>
                <w:sz w:val="14"/>
              </w:rPr>
              <w:t>Application</w:t>
            </w:r>
            <w:r>
              <w:rPr>
                <w:spacing w:val="-1"/>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28,291.70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28,291.70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All</w:t>
            </w:r>
            <w:r>
              <w:rPr>
                <w:spacing w:val="-4"/>
                <w:sz w:val="14"/>
              </w:rPr>
              <w:t> </w:t>
            </w:r>
            <w:r>
              <w:rPr>
                <w:sz w:val="14"/>
              </w:rPr>
              <w:t>other</w:t>
            </w:r>
            <w:r>
              <w:rPr>
                <w:spacing w:val="-2"/>
                <w:sz w:val="14"/>
              </w:rPr>
              <w:t> </w:t>
            </w:r>
            <w:r>
              <w:rPr>
                <w:sz w:val="14"/>
              </w:rPr>
              <w:t>development</w:t>
            </w:r>
            <w:r>
              <w:rPr>
                <w:spacing w:val="-2"/>
                <w:sz w:val="14"/>
              </w:rPr>
              <w:t> </w:t>
            </w:r>
            <w:r>
              <w:rPr>
                <w:sz w:val="14"/>
              </w:rPr>
              <w:t>Class</w:t>
            </w:r>
            <w:r>
              <w:rPr>
                <w:spacing w:val="-2"/>
                <w:sz w:val="14"/>
              </w:rPr>
              <w:t> </w:t>
            </w:r>
            <w:r>
              <w:rPr>
                <w:sz w:val="14"/>
              </w:rPr>
              <w:t>15</w:t>
            </w:r>
            <w:r>
              <w:rPr>
                <w:spacing w:val="-2"/>
                <w:sz w:val="14"/>
              </w:rPr>
              <w:t> </w:t>
            </w:r>
            <w:r>
              <w:rPr>
                <w:sz w:val="14"/>
              </w:rPr>
              <w:t>-</w:t>
            </w:r>
            <w:r>
              <w:rPr>
                <w:spacing w:val="-5"/>
                <w:sz w:val="14"/>
              </w:rPr>
              <w:t> </w:t>
            </w:r>
            <w:r>
              <w:rPr>
                <w:sz w:val="14"/>
              </w:rPr>
              <w:t>more</w:t>
            </w:r>
            <w:r>
              <w:rPr>
                <w:spacing w:val="-3"/>
                <w:sz w:val="14"/>
              </w:rPr>
              <w:t> </w:t>
            </w:r>
            <w:r>
              <w:rPr>
                <w:sz w:val="14"/>
              </w:rPr>
              <w:t>than</w:t>
            </w:r>
            <w:r>
              <w:rPr>
                <w:spacing w:val="-5"/>
                <w:sz w:val="14"/>
              </w:rPr>
              <w:t> </w:t>
            </w:r>
            <w:r>
              <w:rPr>
                <w:sz w:val="14"/>
              </w:rPr>
              <w:t>$15M</w:t>
            </w:r>
            <w:r>
              <w:rPr>
                <w:spacing w:val="-5"/>
                <w:sz w:val="14"/>
              </w:rPr>
              <w:t> </w:t>
            </w:r>
            <w:r>
              <w:rPr>
                <w:sz w:val="14"/>
              </w:rPr>
              <w:t>to</w:t>
            </w:r>
            <w:r>
              <w:rPr>
                <w:spacing w:val="-3"/>
                <w:sz w:val="14"/>
              </w:rPr>
              <w:t> </w:t>
            </w:r>
            <w:r>
              <w:rPr>
                <w:sz w:val="14"/>
              </w:rPr>
              <w:t>$50M</w:t>
            </w:r>
            <w:r>
              <w:rPr>
                <w:spacing w:val="-5"/>
                <w:sz w:val="14"/>
              </w:rPr>
              <w:t> </w:t>
            </w:r>
            <w:r>
              <w:rPr>
                <w:sz w:val="14"/>
              </w:rPr>
              <w:t>Section</w:t>
            </w:r>
            <w:r>
              <w:rPr>
                <w:spacing w:val="-3"/>
                <w:sz w:val="14"/>
              </w:rPr>
              <w:t> </w:t>
            </w:r>
            <w:r>
              <w:rPr>
                <w:sz w:val="14"/>
              </w:rPr>
              <w:t>72</w:t>
            </w:r>
            <w:r>
              <w:rPr>
                <w:spacing w:val="-5"/>
                <w:sz w:val="14"/>
              </w:rPr>
              <w:t> </w:t>
            </w:r>
            <w:r>
              <w:rPr>
                <w:sz w:val="14"/>
              </w:rPr>
              <w:t>Amendment</w:t>
            </w:r>
            <w:r>
              <w:rPr>
                <w:spacing w:val="-5"/>
                <w:sz w:val="14"/>
              </w:rPr>
              <w:t> 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3,764.10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3,764.10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All</w:t>
            </w:r>
            <w:r>
              <w:rPr>
                <w:spacing w:val="-5"/>
                <w:sz w:val="14"/>
              </w:rPr>
              <w:t> </w:t>
            </w:r>
            <w:r>
              <w:rPr>
                <w:sz w:val="14"/>
              </w:rPr>
              <w:t>other</w:t>
            </w:r>
            <w:r>
              <w:rPr>
                <w:spacing w:val="-2"/>
                <w:sz w:val="14"/>
              </w:rPr>
              <w:t> </w:t>
            </w:r>
            <w:r>
              <w:rPr>
                <w:sz w:val="14"/>
              </w:rPr>
              <w:t>development</w:t>
            </w:r>
            <w:r>
              <w:rPr>
                <w:spacing w:val="-2"/>
                <w:sz w:val="14"/>
              </w:rPr>
              <w:t> </w:t>
            </w:r>
            <w:r>
              <w:rPr>
                <w:sz w:val="14"/>
              </w:rPr>
              <w:t>Class</w:t>
            </w:r>
            <w:r>
              <w:rPr>
                <w:spacing w:val="-3"/>
                <w:sz w:val="14"/>
              </w:rPr>
              <w:t> </w:t>
            </w:r>
            <w:r>
              <w:rPr>
                <w:sz w:val="14"/>
              </w:rPr>
              <w:t>16</w:t>
            </w:r>
            <w:r>
              <w:rPr>
                <w:spacing w:val="-2"/>
                <w:sz w:val="14"/>
              </w:rPr>
              <w:t> </w:t>
            </w:r>
            <w:r>
              <w:rPr>
                <w:sz w:val="14"/>
              </w:rPr>
              <w:t>-</w:t>
            </w:r>
            <w:r>
              <w:rPr>
                <w:spacing w:val="-5"/>
                <w:sz w:val="14"/>
              </w:rPr>
              <w:t> </w:t>
            </w:r>
            <w:r>
              <w:rPr>
                <w:sz w:val="14"/>
              </w:rPr>
              <w:t>more</w:t>
            </w:r>
            <w:r>
              <w:rPr>
                <w:spacing w:val="-3"/>
                <w:sz w:val="14"/>
              </w:rPr>
              <w:t> </w:t>
            </w:r>
            <w:r>
              <w:rPr>
                <w:sz w:val="14"/>
              </w:rPr>
              <w:t>than</w:t>
            </w:r>
            <w:r>
              <w:rPr>
                <w:spacing w:val="-6"/>
                <w:sz w:val="14"/>
              </w:rPr>
              <w:t> </w:t>
            </w:r>
            <w:r>
              <w:rPr>
                <w:sz w:val="14"/>
              </w:rPr>
              <w:t>$50M</w:t>
            </w:r>
            <w:r>
              <w:rPr>
                <w:spacing w:val="-5"/>
                <w:sz w:val="14"/>
              </w:rPr>
              <w:t> </w:t>
            </w:r>
            <w:r>
              <w:rPr>
                <w:sz w:val="14"/>
              </w:rPr>
              <w:t>Application</w:t>
            </w:r>
            <w:r>
              <w:rPr>
                <w:spacing w:val="-2"/>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63,589.00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63,589.00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All</w:t>
            </w:r>
            <w:r>
              <w:rPr>
                <w:spacing w:val="-5"/>
                <w:sz w:val="14"/>
              </w:rPr>
              <w:t> </w:t>
            </w:r>
            <w:r>
              <w:rPr>
                <w:sz w:val="14"/>
              </w:rPr>
              <w:t>other</w:t>
            </w:r>
            <w:r>
              <w:rPr>
                <w:spacing w:val="-2"/>
                <w:sz w:val="14"/>
              </w:rPr>
              <w:t> </w:t>
            </w:r>
            <w:r>
              <w:rPr>
                <w:sz w:val="14"/>
              </w:rPr>
              <w:t>development</w:t>
            </w:r>
            <w:r>
              <w:rPr>
                <w:spacing w:val="-3"/>
                <w:sz w:val="14"/>
              </w:rPr>
              <w:t> </w:t>
            </w:r>
            <w:r>
              <w:rPr>
                <w:sz w:val="14"/>
              </w:rPr>
              <w:t>Class</w:t>
            </w:r>
            <w:r>
              <w:rPr>
                <w:spacing w:val="-2"/>
                <w:sz w:val="14"/>
              </w:rPr>
              <w:t> </w:t>
            </w:r>
            <w:r>
              <w:rPr>
                <w:sz w:val="14"/>
              </w:rPr>
              <w:t>16</w:t>
            </w:r>
            <w:r>
              <w:rPr>
                <w:spacing w:val="-2"/>
                <w:sz w:val="14"/>
              </w:rPr>
              <w:t> </w:t>
            </w:r>
            <w:r>
              <w:rPr>
                <w:sz w:val="14"/>
              </w:rPr>
              <w:t>-</w:t>
            </w:r>
            <w:r>
              <w:rPr>
                <w:spacing w:val="-5"/>
                <w:sz w:val="14"/>
              </w:rPr>
              <w:t> </w:t>
            </w:r>
            <w:r>
              <w:rPr>
                <w:sz w:val="14"/>
              </w:rPr>
              <w:t>more</w:t>
            </w:r>
            <w:r>
              <w:rPr>
                <w:spacing w:val="-4"/>
                <w:sz w:val="14"/>
              </w:rPr>
              <w:t> </w:t>
            </w:r>
            <w:r>
              <w:rPr>
                <w:sz w:val="14"/>
              </w:rPr>
              <w:t>than</w:t>
            </w:r>
            <w:r>
              <w:rPr>
                <w:spacing w:val="-5"/>
                <w:sz w:val="14"/>
              </w:rPr>
              <w:t> </w:t>
            </w:r>
            <w:r>
              <w:rPr>
                <w:sz w:val="14"/>
              </w:rPr>
              <w:t>$50M</w:t>
            </w:r>
            <w:r>
              <w:rPr>
                <w:spacing w:val="-5"/>
                <w:sz w:val="14"/>
              </w:rPr>
              <w:t> </w:t>
            </w:r>
            <w:r>
              <w:rPr>
                <w:sz w:val="14"/>
              </w:rPr>
              <w:t>Section</w:t>
            </w:r>
            <w:r>
              <w:rPr>
                <w:spacing w:val="-3"/>
                <w:sz w:val="14"/>
              </w:rPr>
              <w:t> </w:t>
            </w:r>
            <w:r>
              <w:rPr>
                <w:sz w:val="14"/>
              </w:rPr>
              <w:t>72</w:t>
            </w:r>
            <w:r>
              <w:rPr>
                <w:spacing w:val="-6"/>
                <w:sz w:val="14"/>
              </w:rPr>
              <w:t> </w:t>
            </w:r>
            <w:r>
              <w:rPr>
                <w:sz w:val="14"/>
              </w:rPr>
              <w:t>Amendment</w:t>
            </w:r>
            <w:r>
              <w:rPr>
                <w:spacing w:val="-2"/>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3,764.10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3,764.10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Other</w:t>
            </w:r>
            <w:r>
              <w:rPr>
                <w:spacing w:val="-3"/>
                <w:sz w:val="14"/>
              </w:rPr>
              <w:t> </w:t>
            </w:r>
            <w:r>
              <w:rPr>
                <w:sz w:val="14"/>
              </w:rPr>
              <w:t>-</w:t>
            </w:r>
            <w:r>
              <w:rPr>
                <w:spacing w:val="-4"/>
                <w:sz w:val="14"/>
              </w:rPr>
              <w:t> </w:t>
            </w:r>
            <w:r>
              <w:rPr>
                <w:sz w:val="14"/>
              </w:rPr>
              <w:t>Class</w:t>
            </w:r>
            <w:r>
              <w:rPr>
                <w:spacing w:val="-4"/>
                <w:sz w:val="14"/>
              </w:rPr>
              <w:t> </w:t>
            </w:r>
            <w:r>
              <w:rPr>
                <w:sz w:val="14"/>
              </w:rPr>
              <w:t>22</w:t>
            </w:r>
            <w:r>
              <w:rPr>
                <w:spacing w:val="-4"/>
                <w:sz w:val="14"/>
              </w:rPr>
              <w:t> </w:t>
            </w:r>
            <w:r>
              <w:rPr>
                <w:sz w:val="14"/>
              </w:rPr>
              <w:t>-</w:t>
            </w:r>
            <w:r>
              <w:rPr>
                <w:spacing w:val="-1"/>
                <w:sz w:val="14"/>
              </w:rPr>
              <w:t> </w:t>
            </w:r>
            <w:r>
              <w:rPr>
                <w:sz w:val="14"/>
              </w:rPr>
              <w:t>A</w:t>
            </w:r>
            <w:r>
              <w:rPr>
                <w:spacing w:val="-3"/>
                <w:sz w:val="14"/>
              </w:rPr>
              <w:t> </w:t>
            </w:r>
            <w:r>
              <w:rPr>
                <w:sz w:val="14"/>
              </w:rPr>
              <w:t>permit</w:t>
            </w:r>
            <w:r>
              <w:rPr>
                <w:spacing w:val="-4"/>
                <w:sz w:val="14"/>
              </w:rPr>
              <w:t> </w:t>
            </w:r>
            <w:r>
              <w:rPr>
                <w:sz w:val="14"/>
              </w:rPr>
              <w:t>not</w:t>
            </w:r>
            <w:r>
              <w:rPr>
                <w:spacing w:val="-1"/>
                <w:sz w:val="14"/>
              </w:rPr>
              <w:t> </w:t>
            </w:r>
            <w:r>
              <w:rPr>
                <w:sz w:val="14"/>
              </w:rPr>
              <w:t>otherwise</w:t>
            </w:r>
            <w:r>
              <w:rPr>
                <w:spacing w:val="-4"/>
                <w:sz w:val="14"/>
              </w:rPr>
              <w:t> </w:t>
            </w:r>
            <w:r>
              <w:rPr>
                <w:sz w:val="14"/>
              </w:rPr>
              <w:t>provided</w:t>
            </w:r>
            <w:r>
              <w:rPr>
                <w:spacing w:val="-4"/>
                <w:sz w:val="14"/>
              </w:rPr>
              <w:t> </w:t>
            </w:r>
            <w:r>
              <w:rPr>
                <w:sz w:val="14"/>
              </w:rPr>
              <w:t>for</w:t>
            </w:r>
            <w:r>
              <w:rPr>
                <w:spacing w:val="-4"/>
                <w:sz w:val="14"/>
              </w:rPr>
              <w:t> </w:t>
            </w:r>
            <w:r>
              <w:rPr>
                <w:sz w:val="14"/>
              </w:rPr>
              <w:t>in</w:t>
            </w:r>
            <w:r>
              <w:rPr>
                <w:spacing w:val="-3"/>
                <w:sz w:val="14"/>
              </w:rPr>
              <w:t> </w:t>
            </w:r>
            <w:r>
              <w:rPr>
                <w:sz w:val="14"/>
              </w:rPr>
              <w:t>the</w:t>
            </w:r>
            <w:r>
              <w:rPr>
                <w:spacing w:val="-4"/>
                <w:sz w:val="14"/>
              </w:rPr>
              <w:t> </w:t>
            </w:r>
            <w:r>
              <w:rPr>
                <w:spacing w:val="-2"/>
                <w:sz w:val="14"/>
              </w:rPr>
              <w:t>regulation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1,453.40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1,453.40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Other</w:t>
            </w:r>
            <w:r>
              <w:rPr>
                <w:spacing w:val="-3"/>
                <w:sz w:val="14"/>
              </w:rPr>
              <w:t> </w:t>
            </w:r>
            <w:r>
              <w:rPr>
                <w:sz w:val="14"/>
              </w:rPr>
              <w:t>-</w:t>
            </w:r>
            <w:r>
              <w:rPr>
                <w:spacing w:val="-5"/>
                <w:sz w:val="14"/>
              </w:rPr>
              <w:t> </w:t>
            </w:r>
            <w:r>
              <w:rPr>
                <w:sz w:val="14"/>
              </w:rPr>
              <w:t>Determination</w:t>
            </w:r>
            <w:r>
              <w:rPr>
                <w:spacing w:val="-5"/>
                <w:sz w:val="14"/>
              </w:rPr>
              <w:t> </w:t>
            </w:r>
            <w:r>
              <w:rPr>
                <w:sz w:val="14"/>
              </w:rPr>
              <w:t>to</w:t>
            </w:r>
            <w:r>
              <w:rPr>
                <w:spacing w:val="-3"/>
                <w:sz w:val="14"/>
              </w:rPr>
              <w:t> </w:t>
            </w:r>
            <w:r>
              <w:rPr>
                <w:sz w:val="14"/>
              </w:rPr>
              <w:t>the</w:t>
            </w:r>
            <w:r>
              <w:rPr>
                <w:spacing w:val="-5"/>
                <w:sz w:val="14"/>
              </w:rPr>
              <w:t> </w:t>
            </w:r>
            <w:r>
              <w:rPr>
                <w:sz w:val="14"/>
              </w:rPr>
              <w:t>satisfaction</w:t>
            </w:r>
            <w:r>
              <w:rPr>
                <w:spacing w:val="-5"/>
                <w:sz w:val="14"/>
              </w:rPr>
              <w:t> </w:t>
            </w:r>
            <w:r>
              <w:rPr>
                <w:sz w:val="14"/>
              </w:rPr>
              <w:t>of</w:t>
            </w:r>
            <w:r>
              <w:rPr>
                <w:spacing w:val="-1"/>
                <w:sz w:val="14"/>
              </w:rPr>
              <w:t> </w:t>
            </w:r>
            <w:r>
              <w:rPr>
                <w:spacing w:val="-2"/>
                <w:sz w:val="14"/>
              </w:rPr>
              <w:t>Council</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359.30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359.30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Other</w:t>
            </w:r>
            <w:r>
              <w:rPr>
                <w:spacing w:val="-4"/>
                <w:sz w:val="14"/>
              </w:rPr>
              <w:t> </w:t>
            </w:r>
            <w:r>
              <w:rPr>
                <w:sz w:val="14"/>
              </w:rPr>
              <w:t>-</w:t>
            </w:r>
            <w:r>
              <w:rPr>
                <w:spacing w:val="-6"/>
                <w:sz w:val="14"/>
              </w:rPr>
              <w:t> </w:t>
            </w:r>
            <w:r>
              <w:rPr>
                <w:sz w:val="14"/>
              </w:rPr>
              <w:t>Certificate</w:t>
            </w:r>
            <w:r>
              <w:rPr>
                <w:spacing w:val="-2"/>
                <w:sz w:val="14"/>
              </w:rPr>
              <w:t> </w:t>
            </w:r>
            <w:r>
              <w:rPr>
                <w:sz w:val="14"/>
              </w:rPr>
              <w:t>of</w:t>
            </w:r>
            <w:r>
              <w:rPr>
                <w:spacing w:val="-3"/>
                <w:sz w:val="14"/>
              </w:rPr>
              <w:t> </w:t>
            </w:r>
            <w:r>
              <w:rPr>
                <w:spacing w:val="-2"/>
                <w:sz w:val="14"/>
              </w:rPr>
              <w:t>compliance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359.30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359.30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Other</w:t>
            </w:r>
            <w:r>
              <w:rPr>
                <w:spacing w:val="-3"/>
                <w:sz w:val="14"/>
              </w:rPr>
              <w:t> </w:t>
            </w:r>
            <w:r>
              <w:rPr>
                <w:sz w:val="14"/>
              </w:rPr>
              <w:t>-</w:t>
            </w:r>
            <w:r>
              <w:rPr>
                <w:spacing w:val="-4"/>
                <w:sz w:val="14"/>
              </w:rPr>
              <w:t> </w:t>
            </w:r>
            <w:r>
              <w:rPr>
                <w:sz w:val="14"/>
              </w:rPr>
              <w:t>Amend</w:t>
            </w:r>
            <w:r>
              <w:rPr>
                <w:spacing w:val="-4"/>
                <w:sz w:val="14"/>
              </w:rPr>
              <w:t> </w:t>
            </w:r>
            <w:r>
              <w:rPr>
                <w:sz w:val="14"/>
              </w:rPr>
              <w:t>or</w:t>
            </w:r>
            <w:r>
              <w:rPr>
                <w:spacing w:val="-4"/>
                <w:sz w:val="14"/>
              </w:rPr>
              <w:t> </w:t>
            </w:r>
            <w:r>
              <w:rPr>
                <w:sz w:val="14"/>
              </w:rPr>
              <w:t>end a</w:t>
            </w:r>
            <w:r>
              <w:rPr>
                <w:spacing w:val="-5"/>
                <w:sz w:val="14"/>
              </w:rPr>
              <w:t> </w:t>
            </w:r>
            <w:r>
              <w:rPr>
                <w:sz w:val="14"/>
              </w:rPr>
              <w:t>section</w:t>
            </w:r>
            <w:r>
              <w:rPr>
                <w:spacing w:val="-1"/>
                <w:sz w:val="14"/>
              </w:rPr>
              <w:t> </w:t>
            </w:r>
            <w:r>
              <w:rPr>
                <w:sz w:val="14"/>
              </w:rPr>
              <w:t>173</w:t>
            </w:r>
            <w:r>
              <w:rPr>
                <w:spacing w:val="-2"/>
                <w:sz w:val="14"/>
              </w:rPr>
              <w:t> agreement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726.70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3"/>
              <w:jc w:val="right"/>
              <w:rPr>
                <w:sz w:val="14"/>
              </w:rPr>
            </w:pPr>
            <w:r>
              <w:rPr>
                <w:spacing w:val="-2"/>
                <w:sz w:val="14"/>
              </w:rPr>
              <w:t>726.70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Other</w:t>
            </w:r>
            <w:r>
              <w:rPr>
                <w:spacing w:val="-3"/>
                <w:sz w:val="14"/>
              </w:rPr>
              <w:t> </w:t>
            </w:r>
            <w:r>
              <w:rPr>
                <w:sz w:val="14"/>
              </w:rPr>
              <w:t>-</w:t>
            </w:r>
            <w:r>
              <w:rPr>
                <w:spacing w:val="-4"/>
                <w:sz w:val="14"/>
              </w:rPr>
              <w:t> </w:t>
            </w:r>
            <w:r>
              <w:rPr>
                <w:sz w:val="14"/>
              </w:rPr>
              <w:t>Extension</w:t>
            </w:r>
            <w:r>
              <w:rPr>
                <w:spacing w:val="-1"/>
                <w:sz w:val="14"/>
              </w:rPr>
              <w:t> </w:t>
            </w:r>
            <w:r>
              <w:rPr>
                <w:sz w:val="14"/>
              </w:rPr>
              <w:t>of</w:t>
            </w:r>
            <w:r>
              <w:rPr>
                <w:spacing w:val="-4"/>
                <w:sz w:val="14"/>
              </w:rPr>
              <w:t> </w:t>
            </w:r>
            <w:r>
              <w:rPr>
                <w:sz w:val="14"/>
              </w:rPr>
              <w:t>time</w:t>
            </w:r>
            <w:r>
              <w:rPr>
                <w:spacing w:val="-3"/>
                <w:sz w:val="14"/>
              </w:rPr>
              <w:t> </w:t>
            </w:r>
            <w:r>
              <w:rPr>
                <w:sz w:val="14"/>
              </w:rPr>
              <w:t>to a</w:t>
            </w:r>
            <w:r>
              <w:rPr>
                <w:spacing w:val="-4"/>
                <w:sz w:val="14"/>
              </w:rPr>
              <w:t> </w:t>
            </w:r>
            <w:r>
              <w:rPr>
                <w:spacing w:val="-2"/>
                <w:sz w:val="14"/>
              </w:rPr>
              <w:t>permit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368.00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386.00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Single</w:t>
            </w:r>
            <w:r>
              <w:rPr>
                <w:spacing w:val="-3"/>
                <w:sz w:val="14"/>
              </w:rPr>
              <w:t> </w:t>
            </w:r>
            <w:r>
              <w:rPr>
                <w:sz w:val="14"/>
              </w:rPr>
              <w:t>dwelling</w:t>
            </w:r>
            <w:r>
              <w:rPr>
                <w:spacing w:val="-3"/>
                <w:sz w:val="14"/>
              </w:rPr>
              <w:t> </w:t>
            </w:r>
            <w:r>
              <w:rPr>
                <w:sz w:val="14"/>
              </w:rPr>
              <w:t>Class</w:t>
            </w:r>
            <w:r>
              <w:rPr>
                <w:spacing w:val="-2"/>
                <w:sz w:val="14"/>
              </w:rPr>
              <w:t> </w:t>
            </w:r>
            <w:r>
              <w:rPr>
                <w:sz w:val="14"/>
              </w:rPr>
              <w:t>2</w:t>
            </w:r>
            <w:r>
              <w:rPr>
                <w:spacing w:val="-2"/>
                <w:sz w:val="14"/>
              </w:rPr>
              <w:t> </w:t>
            </w:r>
            <w:r>
              <w:rPr>
                <w:sz w:val="14"/>
              </w:rPr>
              <w:t>-</w:t>
            </w:r>
            <w:r>
              <w:rPr>
                <w:spacing w:val="-5"/>
                <w:sz w:val="14"/>
              </w:rPr>
              <w:t> </w:t>
            </w:r>
            <w:r>
              <w:rPr>
                <w:sz w:val="14"/>
              </w:rPr>
              <w:t>up</w:t>
            </w:r>
            <w:r>
              <w:rPr>
                <w:spacing w:val="-4"/>
                <w:sz w:val="14"/>
              </w:rPr>
              <w:t> </w:t>
            </w:r>
            <w:r>
              <w:rPr>
                <w:sz w:val="14"/>
              </w:rPr>
              <w:t>to</w:t>
            </w:r>
            <w:r>
              <w:rPr>
                <w:spacing w:val="-2"/>
                <w:sz w:val="14"/>
              </w:rPr>
              <w:t> </w:t>
            </w:r>
            <w:r>
              <w:rPr>
                <w:sz w:val="14"/>
              </w:rPr>
              <w:t>$10,000</w:t>
            </w:r>
            <w:r>
              <w:rPr>
                <w:spacing w:val="-3"/>
                <w:sz w:val="14"/>
              </w:rPr>
              <w:t> </w:t>
            </w:r>
            <w:r>
              <w:rPr>
                <w:sz w:val="14"/>
              </w:rPr>
              <w:t>Application</w:t>
            </w:r>
            <w:r>
              <w:rPr>
                <w:spacing w:val="-5"/>
                <w:sz w:val="14"/>
              </w:rPr>
              <w:t> 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220.50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220.50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Single</w:t>
            </w:r>
            <w:r>
              <w:rPr>
                <w:spacing w:val="-3"/>
                <w:sz w:val="14"/>
              </w:rPr>
              <w:t> </w:t>
            </w:r>
            <w:r>
              <w:rPr>
                <w:sz w:val="14"/>
              </w:rPr>
              <w:t>dwelling</w:t>
            </w:r>
            <w:r>
              <w:rPr>
                <w:spacing w:val="-3"/>
                <w:sz w:val="14"/>
              </w:rPr>
              <w:t> </w:t>
            </w:r>
            <w:r>
              <w:rPr>
                <w:sz w:val="14"/>
              </w:rPr>
              <w:t>Class</w:t>
            </w:r>
            <w:r>
              <w:rPr>
                <w:spacing w:val="-1"/>
                <w:sz w:val="14"/>
              </w:rPr>
              <w:t> </w:t>
            </w:r>
            <w:r>
              <w:rPr>
                <w:sz w:val="14"/>
              </w:rPr>
              <w:t>2</w:t>
            </w:r>
            <w:r>
              <w:rPr>
                <w:spacing w:val="-2"/>
                <w:sz w:val="14"/>
              </w:rPr>
              <w:t> </w:t>
            </w:r>
            <w:r>
              <w:rPr>
                <w:sz w:val="14"/>
              </w:rPr>
              <w:t>-</w:t>
            </w:r>
            <w:r>
              <w:rPr>
                <w:spacing w:val="-5"/>
                <w:sz w:val="14"/>
              </w:rPr>
              <w:t> </w:t>
            </w:r>
            <w:r>
              <w:rPr>
                <w:sz w:val="14"/>
              </w:rPr>
              <w:t>up</w:t>
            </w:r>
            <w:r>
              <w:rPr>
                <w:spacing w:val="-4"/>
                <w:sz w:val="14"/>
              </w:rPr>
              <w:t> </w:t>
            </w:r>
            <w:r>
              <w:rPr>
                <w:sz w:val="14"/>
              </w:rPr>
              <w:t>to</w:t>
            </w:r>
            <w:r>
              <w:rPr>
                <w:spacing w:val="-2"/>
                <w:sz w:val="14"/>
              </w:rPr>
              <w:t> </w:t>
            </w:r>
            <w:r>
              <w:rPr>
                <w:sz w:val="14"/>
              </w:rPr>
              <w:t>$10,000</w:t>
            </w:r>
            <w:r>
              <w:rPr>
                <w:spacing w:val="-2"/>
                <w:sz w:val="14"/>
              </w:rPr>
              <w:t> </w:t>
            </w:r>
            <w:r>
              <w:rPr>
                <w:sz w:val="14"/>
              </w:rPr>
              <w:t>Section</w:t>
            </w:r>
            <w:r>
              <w:rPr>
                <w:spacing w:val="-4"/>
                <w:sz w:val="14"/>
              </w:rPr>
              <w:t> </w:t>
            </w:r>
            <w:r>
              <w:rPr>
                <w:sz w:val="14"/>
              </w:rPr>
              <w:t>72</w:t>
            </w:r>
            <w:r>
              <w:rPr>
                <w:spacing w:val="-4"/>
                <w:sz w:val="14"/>
              </w:rPr>
              <w:t> </w:t>
            </w:r>
            <w:r>
              <w:rPr>
                <w:sz w:val="14"/>
              </w:rPr>
              <w:t>Amendment</w:t>
            </w:r>
            <w:r>
              <w:rPr>
                <w:spacing w:val="-5"/>
                <w:sz w:val="14"/>
              </w:rPr>
              <w:t> 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220.50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220.50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Single</w:t>
            </w:r>
            <w:r>
              <w:rPr>
                <w:spacing w:val="-3"/>
                <w:sz w:val="14"/>
              </w:rPr>
              <w:t> </w:t>
            </w:r>
            <w:r>
              <w:rPr>
                <w:sz w:val="14"/>
              </w:rPr>
              <w:t>dwelling</w:t>
            </w:r>
            <w:r>
              <w:rPr>
                <w:spacing w:val="-3"/>
                <w:sz w:val="14"/>
              </w:rPr>
              <w:t> </w:t>
            </w:r>
            <w:r>
              <w:rPr>
                <w:sz w:val="14"/>
              </w:rPr>
              <w:t>Class</w:t>
            </w:r>
            <w:r>
              <w:rPr>
                <w:spacing w:val="-2"/>
                <w:sz w:val="14"/>
              </w:rPr>
              <w:t> </w:t>
            </w:r>
            <w:r>
              <w:rPr>
                <w:sz w:val="14"/>
              </w:rPr>
              <w:t>3</w:t>
            </w:r>
            <w:r>
              <w:rPr>
                <w:spacing w:val="-2"/>
                <w:sz w:val="14"/>
              </w:rPr>
              <w:t> </w:t>
            </w:r>
            <w:r>
              <w:rPr>
                <w:sz w:val="14"/>
              </w:rPr>
              <w:t>-</w:t>
            </w:r>
            <w:r>
              <w:rPr>
                <w:spacing w:val="-5"/>
                <w:sz w:val="14"/>
              </w:rPr>
              <w:t> </w:t>
            </w:r>
            <w:r>
              <w:rPr>
                <w:sz w:val="14"/>
              </w:rPr>
              <w:t>more</w:t>
            </w:r>
            <w:r>
              <w:rPr>
                <w:spacing w:val="-6"/>
                <w:sz w:val="14"/>
              </w:rPr>
              <w:t> </w:t>
            </w:r>
            <w:r>
              <w:rPr>
                <w:sz w:val="14"/>
              </w:rPr>
              <w:t>than</w:t>
            </w:r>
            <w:r>
              <w:rPr>
                <w:spacing w:val="-3"/>
                <w:sz w:val="14"/>
              </w:rPr>
              <w:t> </w:t>
            </w:r>
            <w:r>
              <w:rPr>
                <w:sz w:val="14"/>
              </w:rPr>
              <w:t>$10,000</w:t>
            </w:r>
            <w:r>
              <w:rPr>
                <w:spacing w:val="-4"/>
                <w:sz w:val="14"/>
              </w:rPr>
              <w:t> </w:t>
            </w:r>
            <w:r>
              <w:rPr>
                <w:sz w:val="14"/>
              </w:rPr>
              <w:t>to</w:t>
            </w:r>
            <w:r>
              <w:rPr>
                <w:spacing w:val="-3"/>
                <w:sz w:val="14"/>
              </w:rPr>
              <w:t> </w:t>
            </w:r>
            <w:r>
              <w:rPr>
                <w:sz w:val="14"/>
              </w:rPr>
              <w:t>$100,000</w:t>
            </w:r>
            <w:r>
              <w:rPr>
                <w:spacing w:val="-2"/>
                <w:sz w:val="14"/>
              </w:rPr>
              <w:t> </w:t>
            </w:r>
            <w:r>
              <w:rPr>
                <w:sz w:val="14"/>
              </w:rPr>
              <w:t>Application</w:t>
            </w:r>
            <w:r>
              <w:rPr>
                <w:spacing w:val="-5"/>
                <w:sz w:val="14"/>
              </w:rPr>
              <w:t> 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694.00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694.00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Single</w:t>
            </w:r>
            <w:r>
              <w:rPr>
                <w:spacing w:val="-3"/>
                <w:sz w:val="14"/>
              </w:rPr>
              <w:t> </w:t>
            </w:r>
            <w:r>
              <w:rPr>
                <w:sz w:val="14"/>
              </w:rPr>
              <w:t>dwelling</w:t>
            </w:r>
            <w:r>
              <w:rPr>
                <w:spacing w:val="-2"/>
                <w:sz w:val="14"/>
              </w:rPr>
              <w:t> </w:t>
            </w:r>
            <w:r>
              <w:rPr>
                <w:sz w:val="14"/>
              </w:rPr>
              <w:t>Class</w:t>
            </w:r>
            <w:r>
              <w:rPr>
                <w:spacing w:val="-2"/>
                <w:sz w:val="14"/>
              </w:rPr>
              <w:t> </w:t>
            </w:r>
            <w:r>
              <w:rPr>
                <w:sz w:val="14"/>
              </w:rPr>
              <w:t>3</w:t>
            </w:r>
            <w:r>
              <w:rPr>
                <w:spacing w:val="-2"/>
                <w:sz w:val="14"/>
              </w:rPr>
              <w:t> </w:t>
            </w:r>
            <w:r>
              <w:rPr>
                <w:sz w:val="14"/>
              </w:rPr>
              <w:t>-</w:t>
            </w:r>
            <w:r>
              <w:rPr>
                <w:spacing w:val="-5"/>
                <w:sz w:val="14"/>
              </w:rPr>
              <w:t> </w:t>
            </w:r>
            <w:r>
              <w:rPr>
                <w:sz w:val="14"/>
              </w:rPr>
              <w:t>more</w:t>
            </w:r>
            <w:r>
              <w:rPr>
                <w:spacing w:val="-5"/>
                <w:sz w:val="14"/>
              </w:rPr>
              <w:t> </w:t>
            </w:r>
            <w:r>
              <w:rPr>
                <w:sz w:val="14"/>
              </w:rPr>
              <w:t>than</w:t>
            </w:r>
            <w:r>
              <w:rPr>
                <w:spacing w:val="-3"/>
                <w:sz w:val="14"/>
              </w:rPr>
              <w:t> </w:t>
            </w:r>
            <w:r>
              <w:rPr>
                <w:sz w:val="14"/>
              </w:rPr>
              <w:t>$10,000</w:t>
            </w:r>
            <w:r>
              <w:rPr>
                <w:spacing w:val="-5"/>
                <w:sz w:val="14"/>
              </w:rPr>
              <w:t> </w:t>
            </w:r>
            <w:r>
              <w:rPr>
                <w:sz w:val="14"/>
              </w:rPr>
              <w:t>to</w:t>
            </w:r>
            <w:r>
              <w:rPr>
                <w:spacing w:val="-3"/>
                <w:sz w:val="14"/>
              </w:rPr>
              <w:t> </w:t>
            </w:r>
            <w:r>
              <w:rPr>
                <w:sz w:val="14"/>
              </w:rPr>
              <w:t>$100,000</w:t>
            </w:r>
            <w:r>
              <w:rPr>
                <w:spacing w:val="-1"/>
                <w:sz w:val="14"/>
              </w:rPr>
              <w:t> </w:t>
            </w:r>
            <w:r>
              <w:rPr>
                <w:sz w:val="14"/>
              </w:rPr>
              <w:t>Section</w:t>
            </w:r>
            <w:r>
              <w:rPr>
                <w:spacing w:val="-1"/>
                <w:sz w:val="14"/>
              </w:rPr>
              <w:t> </w:t>
            </w:r>
            <w:r>
              <w:rPr>
                <w:sz w:val="14"/>
              </w:rPr>
              <w:t>72</w:t>
            </w:r>
            <w:r>
              <w:rPr>
                <w:spacing w:val="-5"/>
                <w:sz w:val="14"/>
              </w:rPr>
              <w:t> </w:t>
            </w:r>
            <w:r>
              <w:rPr>
                <w:sz w:val="14"/>
              </w:rPr>
              <w:t>Amendment</w:t>
            </w:r>
            <w:r>
              <w:rPr>
                <w:spacing w:val="-2"/>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694.00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694.00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Single</w:t>
            </w:r>
            <w:r>
              <w:rPr>
                <w:spacing w:val="-3"/>
                <w:sz w:val="14"/>
              </w:rPr>
              <w:t> </w:t>
            </w:r>
            <w:r>
              <w:rPr>
                <w:sz w:val="14"/>
              </w:rPr>
              <w:t>dwelling</w:t>
            </w:r>
            <w:r>
              <w:rPr>
                <w:spacing w:val="-3"/>
                <w:sz w:val="14"/>
              </w:rPr>
              <w:t> </w:t>
            </w:r>
            <w:r>
              <w:rPr>
                <w:sz w:val="14"/>
              </w:rPr>
              <w:t>Class</w:t>
            </w:r>
            <w:r>
              <w:rPr>
                <w:spacing w:val="-2"/>
                <w:sz w:val="14"/>
              </w:rPr>
              <w:t> </w:t>
            </w:r>
            <w:r>
              <w:rPr>
                <w:sz w:val="14"/>
              </w:rPr>
              <w:t>4</w:t>
            </w:r>
            <w:r>
              <w:rPr>
                <w:spacing w:val="-3"/>
                <w:sz w:val="14"/>
              </w:rPr>
              <w:t> </w:t>
            </w:r>
            <w:r>
              <w:rPr>
                <w:sz w:val="14"/>
              </w:rPr>
              <w:t>-</w:t>
            </w:r>
            <w:r>
              <w:rPr>
                <w:spacing w:val="-4"/>
                <w:sz w:val="14"/>
              </w:rPr>
              <w:t> </w:t>
            </w:r>
            <w:r>
              <w:rPr>
                <w:sz w:val="14"/>
              </w:rPr>
              <w:t>more</w:t>
            </w:r>
            <w:r>
              <w:rPr>
                <w:spacing w:val="-6"/>
                <w:sz w:val="14"/>
              </w:rPr>
              <w:t> </w:t>
            </w:r>
            <w:r>
              <w:rPr>
                <w:sz w:val="14"/>
              </w:rPr>
              <w:t>than</w:t>
            </w:r>
            <w:r>
              <w:rPr>
                <w:spacing w:val="-3"/>
                <w:sz w:val="14"/>
              </w:rPr>
              <w:t> </w:t>
            </w:r>
            <w:r>
              <w:rPr>
                <w:sz w:val="14"/>
              </w:rPr>
              <w:t>$100,000</w:t>
            </w:r>
            <w:r>
              <w:rPr>
                <w:spacing w:val="-3"/>
                <w:sz w:val="14"/>
              </w:rPr>
              <w:t> </w:t>
            </w:r>
            <w:r>
              <w:rPr>
                <w:sz w:val="14"/>
              </w:rPr>
              <w:t>to</w:t>
            </w:r>
            <w:r>
              <w:rPr>
                <w:spacing w:val="-2"/>
                <w:sz w:val="14"/>
              </w:rPr>
              <w:t> </w:t>
            </w:r>
            <w:r>
              <w:rPr>
                <w:sz w:val="14"/>
              </w:rPr>
              <w:t>$500,000</w:t>
            </w:r>
            <w:r>
              <w:rPr>
                <w:spacing w:val="-6"/>
                <w:sz w:val="14"/>
              </w:rPr>
              <w:t> </w:t>
            </w:r>
            <w:r>
              <w:rPr>
                <w:sz w:val="14"/>
              </w:rPr>
              <w:t>Application</w:t>
            </w:r>
            <w:r>
              <w:rPr>
                <w:spacing w:val="-2"/>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1,420.70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1,420.70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0.0</w:t>
            </w:r>
          </w:p>
        </w:tc>
      </w:tr>
      <w:tr>
        <w:trPr>
          <w:trHeight w:val="41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before="6"/>
              <w:rPr>
                <w:sz w:val="22"/>
              </w:rPr>
            </w:pPr>
          </w:p>
          <w:p>
            <w:pPr>
              <w:pStyle w:val="TableParagraph"/>
              <w:spacing w:line="140" w:lineRule="exact"/>
              <w:ind w:left="107"/>
              <w:rPr>
                <w:sz w:val="14"/>
              </w:rPr>
            </w:pPr>
            <w:r>
              <w:rPr>
                <w:sz w:val="14"/>
              </w:rPr>
              <w:t>Single</w:t>
            </w:r>
            <w:r>
              <w:rPr>
                <w:spacing w:val="-3"/>
                <w:sz w:val="14"/>
              </w:rPr>
              <w:t> </w:t>
            </w:r>
            <w:r>
              <w:rPr>
                <w:sz w:val="14"/>
              </w:rPr>
              <w:t>dwelling</w:t>
            </w:r>
            <w:r>
              <w:rPr>
                <w:spacing w:val="-3"/>
                <w:sz w:val="14"/>
              </w:rPr>
              <w:t> </w:t>
            </w:r>
            <w:r>
              <w:rPr>
                <w:sz w:val="14"/>
              </w:rPr>
              <w:t>Class</w:t>
            </w:r>
            <w:r>
              <w:rPr>
                <w:spacing w:val="-1"/>
                <w:sz w:val="14"/>
              </w:rPr>
              <w:t> </w:t>
            </w:r>
            <w:r>
              <w:rPr>
                <w:sz w:val="14"/>
              </w:rPr>
              <w:t>4</w:t>
            </w:r>
            <w:r>
              <w:rPr>
                <w:spacing w:val="-2"/>
                <w:sz w:val="14"/>
              </w:rPr>
              <w:t> </w:t>
            </w:r>
            <w:r>
              <w:rPr>
                <w:sz w:val="14"/>
              </w:rPr>
              <w:t>-</w:t>
            </w:r>
            <w:r>
              <w:rPr>
                <w:spacing w:val="-5"/>
                <w:sz w:val="14"/>
              </w:rPr>
              <w:t> </w:t>
            </w:r>
            <w:r>
              <w:rPr>
                <w:sz w:val="14"/>
              </w:rPr>
              <w:t>more</w:t>
            </w:r>
            <w:r>
              <w:rPr>
                <w:spacing w:val="-5"/>
                <w:sz w:val="14"/>
              </w:rPr>
              <w:t> </w:t>
            </w:r>
            <w:r>
              <w:rPr>
                <w:sz w:val="14"/>
              </w:rPr>
              <w:t>than</w:t>
            </w:r>
            <w:r>
              <w:rPr>
                <w:spacing w:val="-3"/>
                <w:sz w:val="14"/>
              </w:rPr>
              <w:t> </w:t>
            </w:r>
            <w:r>
              <w:rPr>
                <w:sz w:val="14"/>
              </w:rPr>
              <w:t>$100,000</w:t>
            </w:r>
            <w:r>
              <w:rPr>
                <w:spacing w:val="-2"/>
                <w:sz w:val="14"/>
              </w:rPr>
              <w:t> </w:t>
            </w:r>
            <w:r>
              <w:rPr>
                <w:sz w:val="14"/>
              </w:rPr>
              <w:t>to</w:t>
            </w:r>
            <w:r>
              <w:rPr>
                <w:spacing w:val="-2"/>
                <w:sz w:val="14"/>
              </w:rPr>
              <w:t> </w:t>
            </w:r>
            <w:r>
              <w:rPr>
                <w:sz w:val="14"/>
              </w:rPr>
              <w:t>$500,000</w:t>
            </w:r>
            <w:r>
              <w:rPr>
                <w:spacing w:val="-4"/>
                <w:sz w:val="14"/>
              </w:rPr>
              <w:t> </w:t>
            </w:r>
            <w:r>
              <w:rPr>
                <w:sz w:val="14"/>
              </w:rPr>
              <w:t>Section</w:t>
            </w:r>
            <w:r>
              <w:rPr>
                <w:spacing w:val="-6"/>
                <w:sz w:val="14"/>
              </w:rPr>
              <w:t> </w:t>
            </w:r>
            <w:r>
              <w:rPr>
                <w:sz w:val="14"/>
              </w:rPr>
              <w:t>72</w:t>
            </w:r>
            <w:r>
              <w:rPr>
                <w:spacing w:val="-4"/>
                <w:sz w:val="14"/>
              </w:rPr>
              <w:t> </w:t>
            </w:r>
            <w:r>
              <w:rPr>
                <w:sz w:val="14"/>
              </w:rPr>
              <w:t>Amendment</w:t>
            </w:r>
            <w:r>
              <w:rPr>
                <w:spacing w:val="-5"/>
                <w:sz w:val="14"/>
              </w:rPr>
              <w:t> 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6"/>
              <w:rPr>
                <w:sz w:val="22"/>
              </w:rPr>
            </w:pPr>
          </w:p>
          <w:p>
            <w:pPr>
              <w:pStyle w:val="TableParagraph"/>
              <w:spacing w:line="140" w:lineRule="exact"/>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6"/>
              <w:rPr>
                <w:sz w:val="22"/>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6"/>
              <w:rPr>
                <w:sz w:val="22"/>
              </w:rPr>
            </w:pPr>
          </w:p>
          <w:p>
            <w:pPr>
              <w:pStyle w:val="TableParagraph"/>
              <w:spacing w:line="140" w:lineRule="exact"/>
              <w:ind w:right="91"/>
              <w:jc w:val="right"/>
              <w:rPr>
                <w:sz w:val="14"/>
              </w:rPr>
            </w:pPr>
            <w:r>
              <w:rPr>
                <w:spacing w:val="-2"/>
                <w:sz w:val="14"/>
              </w:rPr>
              <w:t>1,420.70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6"/>
              <w:rPr>
                <w:sz w:val="22"/>
              </w:rPr>
            </w:pPr>
          </w:p>
          <w:p>
            <w:pPr>
              <w:pStyle w:val="TableParagraph"/>
              <w:spacing w:line="140" w:lineRule="exact"/>
              <w:ind w:right="92"/>
              <w:jc w:val="right"/>
              <w:rPr>
                <w:sz w:val="14"/>
              </w:rPr>
            </w:pPr>
            <w:r>
              <w:rPr>
                <w:spacing w:val="-2"/>
                <w:sz w:val="14"/>
              </w:rPr>
              <w:t>1,420.70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6"/>
              <w:rPr>
                <w:sz w:val="22"/>
              </w:rPr>
            </w:pPr>
          </w:p>
          <w:p>
            <w:pPr>
              <w:pStyle w:val="TableParagraph"/>
              <w:spacing w:line="140" w:lineRule="exact"/>
              <w:ind w:left="95" w:right="79"/>
              <w:jc w:val="center"/>
              <w:rPr>
                <w:sz w:val="14"/>
              </w:rPr>
            </w:pPr>
            <w:r>
              <w:rPr>
                <w:spacing w:val="-5"/>
                <w:sz w:val="14"/>
              </w:rPr>
              <w:t>0.0</w:t>
            </w:r>
          </w:p>
        </w:tc>
      </w:tr>
      <w:tr>
        <w:trPr>
          <w:trHeight w:val="388"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before="10"/>
              <w:rPr>
                <w:sz w:val="19"/>
              </w:rPr>
            </w:pPr>
          </w:p>
          <w:p>
            <w:pPr>
              <w:pStyle w:val="TableParagraph"/>
              <w:spacing w:line="140" w:lineRule="exact"/>
              <w:ind w:left="107"/>
              <w:rPr>
                <w:sz w:val="14"/>
              </w:rPr>
            </w:pPr>
            <w:r>
              <w:rPr>
                <w:sz w:val="14"/>
              </w:rPr>
              <w:t>Single</w:t>
            </w:r>
            <w:r>
              <w:rPr>
                <w:spacing w:val="-3"/>
                <w:sz w:val="14"/>
              </w:rPr>
              <w:t> </w:t>
            </w:r>
            <w:r>
              <w:rPr>
                <w:sz w:val="14"/>
              </w:rPr>
              <w:t>dwelling</w:t>
            </w:r>
            <w:r>
              <w:rPr>
                <w:spacing w:val="-3"/>
                <w:sz w:val="14"/>
              </w:rPr>
              <w:t> </w:t>
            </w:r>
            <w:r>
              <w:rPr>
                <w:sz w:val="14"/>
              </w:rPr>
              <w:t>Class</w:t>
            </w:r>
            <w:r>
              <w:rPr>
                <w:spacing w:val="-1"/>
                <w:sz w:val="14"/>
              </w:rPr>
              <w:t> </w:t>
            </w:r>
            <w:r>
              <w:rPr>
                <w:sz w:val="14"/>
              </w:rPr>
              <w:t>5</w:t>
            </w:r>
            <w:r>
              <w:rPr>
                <w:spacing w:val="-2"/>
                <w:sz w:val="14"/>
              </w:rPr>
              <w:t> </w:t>
            </w:r>
            <w:r>
              <w:rPr>
                <w:sz w:val="14"/>
              </w:rPr>
              <w:t>-</w:t>
            </w:r>
            <w:r>
              <w:rPr>
                <w:spacing w:val="-5"/>
                <w:sz w:val="14"/>
              </w:rPr>
              <w:t> </w:t>
            </w:r>
            <w:r>
              <w:rPr>
                <w:sz w:val="14"/>
              </w:rPr>
              <w:t>more</w:t>
            </w:r>
            <w:r>
              <w:rPr>
                <w:spacing w:val="-5"/>
                <w:sz w:val="14"/>
              </w:rPr>
              <w:t> </w:t>
            </w:r>
            <w:r>
              <w:rPr>
                <w:sz w:val="14"/>
              </w:rPr>
              <w:t>than</w:t>
            </w:r>
            <w:r>
              <w:rPr>
                <w:spacing w:val="-3"/>
                <w:sz w:val="14"/>
              </w:rPr>
              <w:t> </w:t>
            </w:r>
            <w:r>
              <w:rPr>
                <w:sz w:val="14"/>
              </w:rPr>
              <w:t>$500,000</w:t>
            </w:r>
            <w:r>
              <w:rPr>
                <w:spacing w:val="-2"/>
                <w:sz w:val="14"/>
              </w:rPr>
              <w:t> </w:t>
            </w:r>
            <w:r>
              <w:rPr>
                <w:sz w:val="14"/>
              </w:rPr>
              <w:t>to</w:t>
            </w:r>
            <w:r>
              <w:rPr>
                <w:spacing w:val="-2"/>
                <w:sz w:val="14"/>
              </w:rPr>
              <w:t> </w:t>
            </w:r>
            <w:r>
              <w:rPr>
                <w:sz w:val="14"/>
              </w:rPr>
              <w:t>$1M</w:t>
            </w:r>
            <w:r>
              <w:rPr>
                <w:spacing w:val="-4"/>
                <w:sz w:val="14"/>
              </w:rPr>
              <w:t> </w:t>
            </w:r>
            <w:r>
              <w:rPr>
                <w:sz w:val="14"/>
              </w:rPr>
              <w:t>Application</w:t>
            </w:r>
            <w:r>
              <w:rPr>
                <w:spacing w:val="-6"/>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10"/>
              <w:rPr>
                <w:sz w:val="19"/>
              </w:rPr>
            </w:pPr>
          </w:p>
          <w:p>
            <w:pPr>
              <w:pStyle w:val="TableParagraph"/>
              <w:spacing w:line="140" w:lineRule="exact"/>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10"/>
              <w:rPr>
                <w:sz w:val="19"/>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10"/>
              <w:rPr>
                <w:sz w:val="19"/>
              </w:rPr>
            </w:pPr>
          </w:p>
          <w:p>
            <w:pPr>
              <w:pStyle w:val="TableParagraph"/>
              <w:spacing w:line="140" w:lineRule="exact"/>
              <w:ind w:right="91"/>
              <w:jc w:val="right"/>
              <w:rPr>
                <w:sz w:val="14"/>
              </w:rPr>
            </w:pPr>
            <w:r>
              <w:rPr>
                <w:spacing w:val="-2"/>
                <w:sz w:val="14"/>
              </w:rPr>
              <w:t>1,535.00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10"/>
              <w:rPr>
                <w:sz w:val="19"/>
              </w:rPr>
            </w:pPr>
          </w:p>
          <w:p>
            <w:pPr>
              <w:pStyle w:val="TableParagraph"/>
              <w:spacing w:line="140" w:lineRule="exact"/>
              <w:ind w:right="92"/>
              <w:jc w:val="right"/>
              <w:rPr>
                <w:sz w:val="14"/>
              </w:rPr>
            </w:pPr>
            <w:r>
              <w:rPr>
                <w:spacing w:val="-2"/>
                <w:sz w:val="14"/>
              </w:rPr>
              <w:t>1,535.00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10"/>
              <w:rPr>
                <w:sz w:val="19"/>
              </w:rPr>
            </w:pPr>
          </w:p>
          <w:p>
            <w:pPr>
              <w:pStyle w:val="TableParagraph"/>
              <w:spacing w:line="140" w:lineRule="exact"/>
              <w:ind w:left="95" w:right="79"/>
              <w:jc w:val="center"/>
              <w:rPr>
                <w:sz w:val="14"/>
              </w:rPr>
            </w:pPr>
            <w:r>
              <w:rPr>
                <w:spacing w:val="-5"/>
                <w:sz w:val="14"/>
              </w:rPr>
              <w:t>0.0</w:t>
            </w:r>
          </w:p>
        </w:tc>
      </w:tr>
      <w:tr>
        <w:trPr>
          <w:trHeight w:val="3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9"/>
              </w:rPr>
            </w:pPr>
          </w:p>
          <w:p>
            <w:pPr>
              <w:pStyle w:val="TableParagraph"/>
              <w:spacing w:line="142" w:lineRule="exact"/>
              <w:ind w:left="107"/>
              <w:rPr>
                <w:sz w:val="14"/>
              </w:rPr>
            </w:pPr>
            <w:r>
              <w:rPr>
                <w:sz w:val="14"/>
              </w:rPr>
              <w:t>Single</w:t>
            </w:r>
            <w:r>
              <w:rPr>
                <w:spacing w:val="-3"/>
                <w:sz w:val="14"/>
              </w:rPr>
              <w:t> </w:t>
            </w:r>
            <w:r>
              <w:rPr>
                <w:sz w:val="14"/>
              </w:rPr>
              <w:t>dwelling</w:t>
            </w:r>
            <w:r>
              <w:rPr>
                <w:spacing w:val="-3"/>
                <w:sz w:val="14"/>
              </w:rPr>
              <w:t> </w:t>
            </w:r>
            <w:r>
              <w:rPr>
                <w:sz w:val="14"/>
              </w:rPr>
              <w:t>Class</w:t>
            </w:r>
            <w:r>
              <w:rPr>
                <w:spacing w:val="-1"/>
                <w:sz w:val="14"/>
              </w:rPr>
              <w:t> </w:t>
            </w:r>
            <w:r>
              <w:rPr>
                <w:sz w:val="14"/>
              </w:rPr>
              <w:t>5</w:t>
            </w:r>
            <w:r>
              <w:rPr>
                <w:spacing w:val="-2"/>
                <w:sz w:val="14"/>
              </w:rPr>
              <w:t> </w:t>
            </w:r>
            <w:r>
              <w:rPr>
                <w:sz w:val="14"/>
              </w:rPr>
              <w:t>-</w:t>
            </w:r>
            <w:r>
              <w:rPr>
                <w:spacing w:val="-5"/>
                <w:sz w:val="14"/>
              </w:rPr>
              <w:t> </w:t>
            </w:r>
            <w:r>
              <w:rPr>
                <w:sz w:val="14"/>
              </w:rPr>
              <w:t>more</w:t>
            </w:r>
            <w:r>
              <w:rPr>
                <w:spacing w:val="-3"/>
                <w:sz w:val="14"/>
              </w:rPr>
              <w:t> </w:t>
            </w:r>
            <w:r>
              <w:rPr>
                <w:sz w:val="14"/>
              </w:rPr>
              <w:t>than</w:t>
            </w:r>
            <w:r>
              <w:rPr>
                <w:spacing w:val="-2"/>
                <w:sz w:val="14"/>
              </w:rPr>
              <w:t> </w:t>
            </w:r>
            <w:r>
              <w:rPr>
                <w:sz w:val="14"/>
              </w:rPr>
              <w:t>$500,000</w:t>
            </w:r>
            <w:r>
              <w:rPr>
                <w:spacing w:val="-3"/>
                <w:sz w:val="14"/>
              </w:rPr>
              <w:t> </w:t>
            </w:r>
            <w:r>
              <w:rPr>
                <w:sz w:val="14"/>
              </w:rPr>
              <w:t>to</w:t>
            </w:r>
            <w:r>
              <w:rPr>
                <w:spacing w:val="-1"/>
                <w:sz w:val="14"/>
              </w:rPr>
              <w:t> </w:t>
            </w:r>
            <w:r>
              <w:rPr>
                <w:sz w:val="14"/>
              </w:rPr>
              <w:t>$1M</w:t>
            </w:r>
            <w:r>
              <w:rPr>
                <w:spacing w:val="-5"/>
                <w:sz w:val="14"/>
              </w:rPr>
              <w:t> </w:t>
            </w:r>
            <w:r>
              <w:rPr>
                <w:sz w:val="14"/>
              </w:rPr>
              <w:t>Section</w:t>
            </w:r>
            <w:r>
              <w:rPr>
                <w:spacing w:val="-4"/>
                <w:sz w:val="14"/>
              </w:rPr>
              <w:t> </w:t>
            </w:r>
            <w:r>
              <w:rPr>
                <w:sz w:val="14"/>
              </w:rPr>
              <w:t>72</w:t>
            </w:r>
            <w:r>
              <w:rPr>
                <w:spacing w:val="-5"/>
                <w:sz w:val="14"/>
              </w:rPr>
              <w:t> </w:t>
            </w:r>
            <w:r>
              <w:rPr>
                <w:sz w:val="14"/>
              </w:rPr>
              <w:t>Amendment</w:t>
            </w:r>
            <w:r>
              <w:rPr>
                <w:spacing w:val="-2"/>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9"/>
              </w:rPr>
            </w:pPr>
          </w:p>
          <w:p>
            <w:pPr>
              <w:pStyle w:val="TableParagraph"/>
              <w:spacing w:line="142" w:lineRule="exact"/>
              <w:ind w:left="23"/>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9"/>
              </w:rPr>
            </w:pPr>
          </w:p>
          <w:p>
            <w:pPr>
              <w:pStyle w:val="TableParagraph"/>
              <w:spacing w:line="142" w:lineRule="exact"/>
              <w:ind w:left="300"/>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sz w:val="19"/>
              </w:rPr>
            </w:pPr>
          </w:p>
          <w:p>
            <w:pPr>
              <w:pStyle w:val="TableParagraph"/>
              <w:spacing w:line="142" w:lineRule="exact"/>
              <w:ind w:right="91"/>
              <w:jc w:val="right"/>
              <w:rPr>
                <w:sz w:val="14"/>
              </w:rPr>
            </w:pPr>
            <w:r>
              <w:rPr>
                <w:spacing w:val="-2"/>
                <w:sz w:val="14"/>
              </w:rPr>
              <w:t>1,535.00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sz w:val="19"/>
              </w:rPr>
            </w:pPr>
          </w:p>
          <w:p>
            <w:pPr>
              <w:pStyle w:val="TableParagraph"/>
              <w:spacing w:line="142" w:lineRule="exact"/>
              <w:ind w:right="92"/>
              <w:jc w:val="right"/>
              <w:rPr>
                <w:sz w:val="14"/>
              </w:rPr>
            </w:pPr>
            <w:r>
              <w:rPr>
                <w:spacing w:val="-2"/>
                <w:sz w:val="14"/>
              </w:rPr>
              <w:t>1,535.00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sz w:val="19"/>
              </w:rPr>
            </w:pPr>
          </w:p>
          <w:p>
            <w:pPr>
              <w:pStyle w:val="TableParagraph"/>
              <w:spacing w:line="142" w:lineRule="exact"/>
              <w:ind w:left="95" w:right="80"/>
              <w:jc w:val="center"/>
              <w:rPr>
                <w:sz w:val="14"/>
              </w:rPr>
            </w:pPr>
            <w:r>
              <w:rPr>
                <w:spacing w:val="-5"/>
                <w:sz w:val="14"/>
              </w:rPr>
              <w:t>0.0</w:t>
            </w:r>
          </w:p>
        </w:tc>
      </w:tr>
      <w:tr>
        <w:trPr>
          <w:trHeight w:val="378"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9"/>
              </w:rPr>
            </w:pPr>
          </w:p>
          <w:p>
            <w:pPr>
              <w:pStyle w:val="TableParagraph"/>
              <w:spacing w:line="140" w:lineRule="exact"/>
              <w:ind w:left="107"/>
              <w:rPr>
                <w:sz w:val="14"/>
              </w:rPr>
            </w:pPr>
            <w:r>
              <w:rPr>
                <w:sz w:val="14"/>
              </w:rPr>
              <w:t>Single</w:t>
            </w:r>
            <w:r>
              <w:rPr>
                <w:spacing w:val="-3"/>
                <w:sz w:val="14"/>
              </w:rPr>
              <w:t> </w:t>
            </w:r>
            <w:r>
              <w:rPr>
                <w:sz w:val="14"/>
              </w:rPr>
              <w:t>dwelling</w:t>
            </w:r>
            <w:r>
              <w:rPr>
                <w:spacing w:val="-2"/>
                <w:sz w:val="14"/>
              </w:rPr>
              <w:t> </w:t>
            </w:r>
            <w:r>
              <w:rPr>
                <w:sz w:val="14"/>
              </w:rPr>
              <w:t>Class</w:t>
            </w:r>
            <w:r>
              <w:rPr>
                <w:spacing w:val="-1"/>
                <w:sz w:val="14"/>
              </w:rPr>
              <w:t> </w:t>
            </w:r>
            <w:r>
              <w:rPr>
                <w:sz w:val="14"/>
              </w:rPr>
              <w:t>6</w:t>
            </w:r>
            <w:r>
              <w:rPr>
                <w:spacing w:val="-1"/>
                <w:sz w:val="14"/>
              </w:rPr>
              <w:t> </w:t>
            </w:r>
            <w:r>
              <w:rPr>
                <w:sz w:val="14"/>
              </w:rPr>
              <w:t>-</w:t>
            </w:r>
            <w:r>
              <w:rPr>
                <w:spacing w:val="-4"/>
                <w:sz w:val="14"/>
              </w:rPr>
              <w:t> </w:t>
            </w:r>
            <w:r>
              <w:rPr>
                <w:sz w:val="14"/>
              </w:rPr>
              <w:t>more</w:t>
            </w:r>
            <w:r>
              <w:rPr>
                <w:spacing w:val="-5"/>
                <w:sz w:val="14"/>
              </w:rPr>
              <w:t> </w:t>
            </w:r>
            <w:r>
              <w:rPr>
                <w:sz w:val="14"/>
              </w:rPr>
              <w:t>than</w:t>
            </w:r>
            <w:r>
              <w:rPr>
                <w:spacing w:val="-2"/>
                <w:sz w:val="14"/>
              </w:rPr>
              <w:t> </w:t>
            </w:r>
            <w:r>
              <w:rPr>
                <w:sz w:val="14"/>
              </w:rPr>
              <w:t>$1M</w:t>
            </w:r>
            <w:r>
              <w:rPr>
                <w:spacing w:val="-4"/>
                <w:sz w:val="14"/>
              </w:rPr>
              <w:t> </w:t>
            </w:r>
            <w:r>
              <w:rPr>
                <w:sz w:val="14"/>
              </w:rPr>
              <w:t>to</w:t>
            </w:r>
            <w:r>
              <w:rPr>
                <w:spacing w:val="-2"/>
                <w:sz w:val="14"/>
              </w:rPr>
              <w:t> </w:t>
            </w:r>
            <w:r>
              <w:rPr>
                <w:sz w:val="14"/>
              </w:rPr>
              <w:t>$2M</w:t>
            </w:r>
            <w:r>
              <w:rPr>
                <w:spacing w:val="-4"/>
                <w:sz w:val="14"/>
              </w:rPr>
              <w:t> </w:t>
            </w:r>
            <w:r>
              <w:rPr>
                <w:sz w:val="14"/>
              </w:rPr>
              <w:t>Application</w:t>
            </w:r>
            <w:r>
              <w:rPr>
                <w:spacing w:val="-4"/>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9"/>
              </w:rPr>
            </w:pPr>
          </w:p>
          <w:p>
            <w:pPr>
              <w:pStyle w:val="TableParagraph"/>
              <w:spacing w:line="140" w:lineRule="exact"/>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9"/>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sz w:val="19"/>
              </w:rPr>
            </w:pPr>
          </w:p>
          <w:p>
            <w:pPr>
              <w:pStyle w:val="TableParagraph"/>
              <w:spacing w:line="140" w:lineRule="exact"/>
              <w:ind w:right="91"/>
              <w:jc w:val="right"/>
              <w:rPr>
                <w:sz w:val="14"/>
              </w:rPr>
            </w:pPr>
            <w:r>
              <w:rPr>
                <w:spacing w:val="-2"/>
                <w:sz w:val="14"/>
              </w:rPr>
              <w:t>1,649.30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sz w:val="19"/>
              </w:rPr>
            </w:pPr>
          </w:p>
          <w:p>
            <w:pPr>
              <w:pStyle w:val="TableParagraph"/>
              <w:spacing w:line="140" w:lineRule="exact"/>
              <w:ind w:right="92"/>
              <w:jc w:val="right"/>
              <w:rPr>
                <w:sz w:val="14"/>
              </w:rPr>
            </w:pPr>
            <w:r>
              <w:rPr>
                <w:spacing w:val="-2"/>
                <w:sz w:val="14"/>
              </w:rPr>
              <w:t>1,649.30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sz w:val="19"/>
              </w:rPr>
            </w:pPr>
          </w:p>
          <w:p>
            <w:pPr>
              <w:pStyle w:val="TableParagraph"/>
              <w:spacing w:line="140" w:lineRule="exact"/>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Single</w:t>
            </w:r>
            <w:r>
              <w:rPr>
                <w:spacing w:val="-3"/>
                <w:sz w:val="14"/>
              </w:rPr>
              <w:t> </w:t>
            </w:r>
            <w:r>
              <w:rPr>
                <w:sz w:val="14"/>
              </w:rPr>
              <w:t>dwelling</w:t>
            </w:r>
            <w:r>
              <w:rPr>
                <w:spacing w:val="-2"/>
                <w:sz w:val="14"/>
              </w:rPr>
              <w:t> </w:t>
            </w:r>
            <w:r>
              <w:rPr>
                <w:sz w:val="14"/>
              </w:rPr>
              <w:t>Class</w:t>
            </w:r>
            <w:r>
              <w:rPr>
                <w:spacing w:val="-1"/>
                <w:sz w:val="14"/>
              </w:rPr>
              <w:t> </w:t>
            </w:r>
            <w:r>
              <w:rPr>
                <w:sz w:val="14"/>
              </w:rPr>
              <w:t>6</w:t>
            </w:r>
            <w:r>
              <w:rPr>
                <w:spacing w:val="-1"/>
                <w:sz w:val="14"/>
              </w:rPr>
              <w:t> </w:t>
            </w:r>
            <w:r>
              <w:rPr>
                <w:sz w:val="14"/>
              </w:rPr>
              <w:t>-</w:t>
            </w:r>
            <w:r>
              <w:rPr>
                <w:spacing w:val="-4"/>
                <w:sz w:val="14"/>
              </w:rPr>
              <w:t> </w:t>
            </w:r>
            <w:r>
              <w:rPr>
                <w:sz w:val="14"/>
              </w:rPr>
              <w:t>more</w:t>
            </w:r>
            <w:r>
              <w:rPr>
                <w:spacing w:val="-6"/>
                <w:sz w:val="14"/>
              </w:rPr>
              <w:t> </w:t>
            </w:r>
            <w:r>
              <w:rPr>
                <w:sz w:val="14"/>
              </w:rPr>
              <w:t>than</w:t>
            </w:r>
            <w:r>
              <w:rPr>
                <w:spacing w:val="-2"/>
                <w:sz w:val="14"/>
              </w:rPr>
              <w:t> </w:t>
            </w:r>
            <w:r>
              <w:rPr>
                <w:sz w:val="14"/>
              </w:rPr>
              <w:t>$1M</w:t>
            </w:r>
            <w:r>
              <w:rPr>
                <w:spacing w:val="-4"/>
                <w:sz w:val="14"/>
              </w:rPr>
              <w:t> </w:t>
            </w:r>
            <w:r>
              <w:rPr>
                <w:sz w:val="14"/>
              </w:rPr>
              <w:t>to</w:t>
            </w:r>
            <w:r>
              <w:rPr>
                <w:spacing w:val="-1"/>
                <w:sz w:val="14"/>
              </w:rPr>
              <w:t> </w:t>
            </w:r>
            <w:r>
              <w:rPr>
                <w:sz w:val="14"/>
              </w:rPr>
              <w:t>$2M</w:t>
            </w:r>
            <w:r>
              <w:rPr>
                <w:spacing w:val="-4"/>
                <w:sz w:val="14"/>
              </w:rPr>
              <w:t> </w:t>
            </w:r>
            <w:r>
              <w:rPr>
                <w:sz w:val="14"/>
              </w:rPr>
              <w:t>Section</w:t>
            </w:r>
            <w:r>
              <w:rPr>
                <w:spacing w:val="-2"/>
                <w:sz w:val="14"/>
              </w:rPr>
              <w:t> </w:t>
            </w:r>
            <w:r>
              <w:rPr>
                <w:sz w:val="14"/>
              </w:rPr>
              <w:t>72</w:t>
            </w:r>
            <w:r>
              <w:rPr>
                <w:spacing w:val="-4"/>
                <w:sz w:val="14"/>
              </w:rPr>
              <w:t> </w:t>
            </w:r>
            <w:r>
              <w:rPr>
                <w:sz w:val="14"/>
              </w:rPr>
              <w:t>Amendment</w:t>
            </w:r>
            <w:r>
              <w:rPr>
                <w:spacing w:val="-4"/>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1,649.30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1,649.30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Change</w:t>
            </w:r>
            <w:r>
              <w:rPr>
                <w:spacing w:val="-3"/>
                <w:sz w:val="14"/>
              </w:rPr>
              <w:t> </w:t>
            </w:r>
            <w:r>
              <w:rPr>
                <w:sz w:val="14"/>
              </w:rPr>
              <w:t>Of</w:t>
            </w:r>
            <w:r>
              <w:rPr>
                <w:spacing w:val="-4"/>
                <w:sz w:val="14"/>
              </w:rPr>
              <w:t> </w:t>
            </w:r>
            <w:r>
              <w:rPr>
                <w:sz w:val="14"/>
              </w:rPr>
              <w:t>Use</w:t>
            </w:r>
            <w:r>
              <w:rPr>
                <w:spacing w:val="-3"/>
                <w:sz w:val="14"/>
              </w:rPr>
              <w:t> </w:t>
            </w:r>
            <w:r>
              <w:rPr>
                <w:sz w:val="14"/>
              </w:rPr>
              <w:t>Only,</w:t>
            </w:r>
            <w:r>
              <w:rPr>
                <w:spacing w:val="-2"/>
                <w:sz w:val="14"/>
              </w:rPr>
              <w:t> </w:t>
            </w:r>
            <w:r>
              <w:rPr>
                <w:sz w:val="14"/>
              </w:rPr>
              <w:t>Planning</w:t>
            </w:r>
            <w:r>
              <w:rPr>
                <w:spacing w:val="-4"/>
                <w:sz w:val="14"/>
              </w:rPr>
              <w:t> </w:t>
            </w:r>
            <w:r>
              <w:rPr>
                <w:sz w:val="14"/>
              </w:rPr>
              <w:t>&amp;</w:t>
            </w:r>
            <w:r>
              <w:rPr>
                <w:spacing w:val="-3"/>
                <w:sz w:val="14"/>
              </w:rPr>
              <w:t> </w:t>
            </w:r>
            <w:r>
              <w:rPr>
                <w:sz w:val="14"/>
              </w:rPr>
              <w:t>Environment</w:t>
            </w:r>
            <w:r>
              <w:rPr>
                <w:spacing w:val="-5"/>
                <w:sz w:val="14"/>
              </w:rPr>
              <w:t> </w:t>
            </w:r>
            <w:r>
              <w:rPr>
                <w:sz w:val="14"/>
              </w:rPr>
              <w:t>Act</w:t>
            </w:r>
            <w:r>
              <w:rPr>
                <w:spacing w:val="-3"/>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1,453.40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1,453.40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ight="181"/>
              <w:rPr>
                <w:sz w:val="14"/>
              </w:rPr>
            </w:pPr>
            <w:r>
              <w:rPr>
                <w:sz w:val="14"/>
              </w:rPr>
              <w:t>Subdivision:</w:t>
            </w:r>
            <w:r>
              <w:rPr>
                <w:spacing w:val="-4"/>
                <w:sz w:val="14"/>
              </w:rPr>
              <w:t> </w:t>
            </w:r>
            <w:r>
              <w:rPr>
                <w:sz w:val="14"/>
              </w:rPr>
              <w:t>Planning</w:t>
            </w:r>
            <w:r>
              <w:rPr>
                <w:spacing w:val="-5"/>
                <w:sz w:val="14"/>
              </w:rPr>
              <w:t> </w:t>
            </w:r>
            <w:r>
              <w:rPr>
                <w:sz w:val="14"/>
              </w:rPr>
              <w:t>&amp;</w:t>
            </w:r>
            <w:r>
              <w:rPr>
                <w:spacing w:val="-4"/>
                <w:sz w:val="14"/>
              </w:rPr>
              <w:t> </w:t>
            </w:r>
            <w:r>
              <w:rPr>
                <w:sz w:val="14"/>
              </w:rPr>
              <w:t>Environment</w:t>
            </w:r>
            <w:r>
              <w:rPr>
                <w:spacing w:val="-5"/>
                <w:sz w:val="14"/>
              </w:rPr>
              <w:t> </w:t>
            </w:r>
            <w:r>
              <w:rPr>
                <w:sz w:val="14"/>
              </w:rPr>
              <w:t>Act</w:t>
            </w:r>
            <w:r>
              <w:rPr>
                <w:spacing w:val="-4"/>
                <w:sz w:val="14"/>
              </w:rPr>
              <w:t> </w:t>
            </w:r>
            <w:r>
              <w:rPr>
                <w:sz w:val="14"/>
              </w:rPr>
              <w:t>Fee</w:t>
            </w:r>
            <w:r>
              <w:rPr>
                <w:spacing w:val="-1"/>
                <w:sz w:val="14"/>
              </w:rPr>
              <w:t> </w:t>
            </w:r>
            <w:r>
              <w:rPr>
                <w:sz w:val="14"/>
              </w:rPr>
              <w:t>-</w:t>
            </w:r>
            <w:r>
              <w:rPr>
                <w:spacing w:val="-6"/>
                <w:sz w:val="14"/>
              </w:rPr>
              <w:t> </w:t>
            </w:r>
            <w:r>
              <w:rPr>
                <w:sz w:val="14"/>
              </w:rPr>
              <w:t>Remove</w:t>
            </w:r>
            <w:r>
              <w:rPr>
                <w:spacing w:val="-1"/>
                <w:sz w:val="14"/>
              </w:rPr>
              <w:t> </w:t>
            </w:r>
            <w:r>
              <w:rPr>
                <w:sz w:val="14"/>
              </w:rPr>
              <w:t>Restriction</w:t>
            </w:r>
            <w:r>
              <w:rPr>
                <w:spacing w:val="-1"/>
                <w:sz w:val="14"/>
              </w:rPr>
              <w:t> </w:t>
            </w:r>
            <w:r>
              <w:rPr>
                <w:sz w:val="14"/>
              </w:rPr>
              <w:t>(Covenant)-no</w:t>
            </w:r>
            <w:r>
              <w:rPr>
                <w:spacing w:val="-4"/>
                <w:sz w:val="14"/>
              </w:rPr>
              <w:t> </w:t>
            </w:r>
            <w:r>
              <w:rPr>
                <w:sz w:val="14"/>
              </w:rPr>
              <w:t>adv</w:t>
            </w:r>
            <w:r>
              <w:rPr>
                <w:spacing w:val="40"/>
                <w:sz w:val="14"/>
              </w:rPr>
              <w:t> </w:t>
            </w:r>
            <w:r>
              <w:rPr>
                <w:spacing w:val="-4"/>
                <w:sz w:val="14"/>
              </w:rPr>
              <w:t>req</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1"/>
              <w:jc w:val="right"/>
              <w:rPr>
                <w:sz w:val="14"/>
              </w:rPr>
            </w:pPr>
            <w:r>
              <w:rPr>
                <w:spacing w:val="-2"/>
                <w:sz w:val="14"/>
              </w:rPr>
              <w:t>1,453.40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2"/>
              <w:jc w:val="right"/>
              <w:rPr>
                <w:sz w:val="14"/>
              </w:rPr>
            </w:pPr>
            <w:r>
              <w:rPr>
                <w:spacing w:val="-2"/>
                <w:sz w:val="14"/>
              </w:rPr>
              <w:t>1,453.40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0" w:lineRule="exact"/>
              <w:ind w:left="95" w:right="79"/>
              <w:jc w:val="center"/>
              <w:rPr>
                <w:sz w:val="14"/>
              </w:rPr>
            </w:pPr>
            <w:r>
              <w:rPr>
                <w:spacing w:val="-5"/>
                <w:sz w:val="14"/>
              </w:rPr>
              <w:t>0.0</w:t>
            </w: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ight="181"/>
              <w:rPr>
                <w:sz w:val="14"/>
              </w:rPr>
            </w:pPr>
            <w:r>
              <w:rPr>
                <w:sz w:val="14"/>
              </w:rPr>
              <w:t>Subdivision:</w:t>
            </w:r>
            <w:r>
              <w:rPr>
                <w:spacing w:val="-4"/>
                <w:sz w:val="14"/>
              </w:rPr>
              <w:t> </w:t>
            </w:r>
            <w:r>
              <w:rPr>
                <w:sz w:val="14"/>
              </w:rPr>
              <w:t>Planning</w:t>
            </w:r>
            <w:r>
              <w:rPr>
                <w:spacing w:val="-5"/>
                <w:sz w:val="14"/>
              </w:rPr>
              <w:t> </w:t>
            </w:r>
            <w:r>
              <w:rPr>
                <w:sz w:val="14"/>
              </w:rPr>
              <w:t>&amp;</w:t>
            </w:r>
            <w:r>
              <w:rPr>
                <w:spacing w:val="-4"/>
                <w:sz w:val="14"/>
              </w:rPr>
              <w:t> </w:t>
            </w:r>
            <w:r>
              <w:rPr>
                <w:sz w:val="14"/>
              </w:rPr>
              <w:t>Environment</w:t>
            </w:r>
            <w:r>
              <w:rPr>
                <w:spacing w:val="-5"/>
                <w:sz w:val="14"/>
              </w:rPr>
              <w:t> </w:t>
            </w:r>
            <w:r>
              <w:rPr>
                <w:sz w:val="14"/>
              </w:rPr>
              <w:t>Act</w:t>
            </w:r>
            <w:r>
              <w:rPr>
                <w:spacing w:val="-4"/>
                <w:sz w:val="14"/>
              </w:rPr>
              <w:t> </w:t>
            </w:r>
            <w:r>
              <w:rPr>
                <w:sz w:val="14"/>
              </w:rPr>
              <w:t>Fee</w:t>
            </w:r>
            <w:r>
              <w:rPr>
                <w:spacing w:val="-1"/>
                <w:sz w:val="14"/>
              </w:rPr>
              <w:t> </w:t>
            </w:r>
            <w:r>
              <w:rPr>
                <w:sz w:val="14"/>
              </w:rPr>
              <w:t>-</w:t>
            </w:r>
            <w:r>
              <w:rPr>
                <w:spacing w:val="-6"/>
                <w:sz w:val="14"/>
              </w:rPr>
              <w:t> </w:t>
            </w:r>
            <w:r>
              <w:rPr>
                <w:sz w:val="14"/>
              </w:rPr>
              <w:t>Create/Vary/Remove</w:t>
            </w:r>
            <w:r>
              <w:rPr>
                <w:spacing w:val="-4"/>
                <w:sz w:val="14"/>
              </w:rPr>
              <w:t> </w:t>
            </w:r>
            <w:r>
              <w:rPr>
                <w:sz w:val="14"/>
              </w:rPr>
              <w:t>Restriction</w:t>
            </w:r>
            <w:r>
              <w:rPr>
                <w:spacing w:val="40"/>
                <w:sz w:val="14"/>
              </w:rPr>
              <w:t> </w:t>
            </w:r>
            <w:r>
              <w:rPr>
                <w:spacing w:val="-2"/>
                <w:sz w:val="14"/>
              </w:rPr>
              <w:t>(Covenant)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1"/>
              <w:jc w:val="right"/>
              <w:rPr>
                <w:sz w:val="14"/>
              </w:rPr>
            </w:pPr>
            <w:r>
              <w:rPr>
                <w:spacing w:val="-2"/>
                <w:sz w:val="14"/>
              </w:rPr>
              <w:t>1,453.40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2"/>
              <w:jc w:val="right"/>
              <w:rPr>
                <w:sz w:val="14"/>
              </w:rPr>
            </w:pPr>
            <w:r>
              <w:rPr>
                <w:spacing w:val="-2"/>
                <w:sz w:val="14"/>
              </w:rPr>
              <w:t>1,453.40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0" w:lineRule="exact"/>
              <w:ind w:left="95" w:right="79"/>
              <w:jc w:val="center"/>
              <w:rPr>
                <w:sz w:val="14"/>
              </w:rPr>
            </w:pPr>
            <w:r>
              <w:rPr>
                <w:spacing w:val="-5"/>
                <w:sz w:val="14"/>
              </w:rPr>
              <w:t>0.0</w:t>
            </w: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Pr>
                <w:sz w:val="14"/>
              </w:rPr>
            </w:pPr>
            <w:r>
              <w:rPr>
                <w:sz w:val="14"/>
              </w:rPr>
              <w:t>Subdivision</w:t>
            </w:r>
            <w:r>
              <w:rPr>
                <w:spacing w:val="-2"/>
                <w:sz w:val="14"/>
              </w:rPr>
              <w:t> </w:t>
            </w:r>
            <w:r>
              <w:rPr>
                <w:sz w:val="14"/>
              </w:rPr>
              <w:t>(excludes</w:t>
            </w:r>
            <w:r>
              <w:rPr>
                <w:spacing w:val="-4"/>
                <w:sz w:val="14"/>
              </w:rPr>
              <w:t> </w:t>
            </w:r>
            <w:r>
              <w:rPr>
                <w:sz w:val="14"/>
              </w:rPr>
              <w:t>VicSmart</w:t>
            </w:r>
            <w:r>
              <w:rPr>
                <w:spacing w:val="-3"/>
                <w:sz w:val="14"/>
              </w:rPr>
              <w:t> </w:t>
            </w:r>
            <w:r>
              <w:rPr>
                <w:sz w:val="14"/>
              </w:rPr>
              <w:t>applications)</w:t>
            </w:r>
            <w:r>
              <w:rPr>
                <w:spacing w:val="-5"/>
                <w:sz w:val="14"/>
              </w:rPr>
              <w:t> </w:t>
            </w:r>
            <w:r>
              <w:rPr>
                <w:sz w:val="14"/>
              </w:rPr>
              <w:t>Class</w:t>
            </w:r>
            <w:r>
              <w:rPr>
                <w:spacing w:val="-5"/>
                <w:sz w:val="14"/>
              </w:rPr>
              <w:t> </w:t>
            </w:r>
            <w:r>
              <w:rPr>
                <w:sz w:val="14"/>
              </w:rPr>
              <w:t>17</w:t>
            </w:r>
            <w:r>
              <w:rPr>
                <w:spacing w:val="-5"/>
                <w:sz w:val="14"/>
              </w:rPr>
              <w:t> </w:t>
            </w:r>
            <w:r>
              <w:rPr>
                <w:sz w:val="14"/>
              </w:rPr>
              <w:t>-</w:t>
            </w:r>
            <w:r>
              <w:rPr>
                <w:spacing w:val="-2"/>
                <w:sz w:val="14"/>
              </w:rPr>
              <w:t> </w:t>
            </w:r>
            <w:r>
              <w:rPr>
                <w:sz w:val="14"/>
              </w:rPr>
              <w:t>Subdivide</w:t>
            </w:r>
            <w:r>
              <w:rPr>
                <w:spacing w:val="-3"/>
                <w:sz w:val="14"/>
              </w:rPr>
              <w:t> </w:t>
            </w:r>
            <w:r>
              <w:rPr>
                <w:sz w:val="14"/>
              </w:rPr>
              <w:t>an</w:t>
            </w:r>
            <w:r>
              <w:rPr>
                <w:spacing w:val="-2"/>
                <w:sz w:val="14"/>
              </w:rPr>
              <w:t> </w:t>
            </w:r>
            <w:r>
              <w:rPr>
                <w:sz w:val="14"/>
              </w:rPr>
              <w:t>existing</w:t>
            </w:r>
            <w:r>
              <w:rPr>
                <w:spacing w:val="-3"/>
                <w:sz w:val="14"/>
              </w:rPr>
              <w:t> </w:t>
            </w:r>
            <w:r>
              <w:rPr>
                <w:sz w:val="14"/>
              </w:rPr>
              <w:t>building</w:t>
            </w:r>
            <w:r>
              <w:rPr>
                <w:spacing w:val="40"/>
                <w:sz w:val="14"/>
              </w:rPr>
              <w:t> </w:t>
            </w:r>
            <w:r>
              <w:rPr>
                <w:sz w:val="14"/>
              </w:rPr>
              <w:t>Application</w:t>
            </w:r>
            <w:r>
              <w:rPr>
                <w:spacing w:val="-2"/>
                <w:sz w:val="14"/>
              </w:rPr>
              <w:t> </w:t>
            </w:r>
            <w:r>
              <w:rPr>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1"/>
              <w:jc w:val="right"/>
              <w:rPr>
                <w:sz w:val="14"/>
              </w:rPr>
            </w:pPr>
            <w:r>
              <w:rPr>
                <w:spacing w:val="-2"/>
                <w:sz w:val="14"/>
              </w:rPr>
              <w:t>1,453.40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2"/>
              <w:jc w:val="right"/>
              <w:rPr>
                <w:sz w:val="14"/>
              </w:rPr>
            </w:pPr>
            <w:r>
              <w:rPr>
                <w:spacing w:val="-2"/>
                <w:sz w:val="14"/>
              </w:rPr>
              <w:t>1,453.40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0" w:lineRule="exact"/>
              <w:ind w:left="95" w:right="79"/>
              <w:jc w:val="center"/>
              <w:rPr>
                <w:sz w:val="14"/>
              </w:rPr>
            </w:pPr>
            <w:r>
              <w:rPr>
                <w:spacing w:val="-5"/>
                <w:sz w:val="14"/>
              </w:rPr>
              <w:t>0.0</w:t>
            </w:r>
          </w:p>
        </w:tc>
      </w:tr>
      <w:tr>
        <w:trPr>
          <w:trHeight w:val="36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20"/>
              <w:ind w:left="107"/>
              <w:rPr>
                <w:sz w:val="14"/>
              </w:rPr>
            </w:pPr>
            <w:r>
              <w:rPr>
                <w:sz w:val="14"/>
              </w:rPr>
              <w:t>Subdivision</w:t>
            </w:r>
            <w:r>
              <w:rPr>
                <w:spacing w:val="-2"/>
                <w:sz w:val="14"/>
              </w:rPr>
              <w:t> </w:t>
            </w:r>
            <w:r>
              <w:rPr>
                <w:sz w:val="14"/>
              </w:rPr>
              <w:t>(excludes</w:t>
            </w:r>
            <w:r>
              <w:rPr>
                <w:spacing w:val="-4"/>
                <w:sz w:val="14"/>
              </w:rPr>
              <w:t> </w:t>
            </w:r>
            <w:r>
              <w:rPr>
                <w:sz w:val="14"/>
              </w:rPr>
              <w:t>VicSmart</w:t>
            </w:r>
            <w:r>
              <w:rPr>
                <w:spacing w:val="-3"/>
                <w:sz w:val="14"/>
              </w:rPr>
              <w:t> </w:t>
            </w:r>
            <w:r>
              <w:rPr>
                <w:sz w:val="14"/>
              </w:rPr>
              <w:t>applications)</w:t>
            </w:r>
            <w:r>
              <w:rPr>
                <w:spacing w:val="-5"/>
                <w:sz w:val="14"/>
              </w:rPr>
              <w:t> </w:t>
            </w:r>
            <w:r>
              <w:rPr>
                <w:sz w:val="14"/>
              </w:rPr>
              <w:t>Class</w:t>
            </w:r>
            <w:r>
              <w:rPr>
                <w:spacing w:val="-5"/>
                <w:sz w:val="14"/>
              </w:rPr>
              <w:t> </w:t>
            </w:r>
            <w:r>
              <w:rPr>
                <w:sz w:val="14"/>
              </w:rPr>
              <w:t>17</w:t>
            </w:r>
            <w:r>
              <w:rPr>
                <w:spacing w:val="-5"/>
                <w:sz w:val="14"/>
              </w:rPr>
              <w:t> </w:t>
            </w:r>
            <w:r>
              <w:rPr>
                <w:sz w:val="14"/>
              </w:rPr>
              <w:t>-</w:t>
            </w:r>
            <w:r>
              <w:rPr>
                <w:spacing w:val="-2"/>
                <w:sz w:val="14"/>
              </w:rPr>
              <w:t> </w:t>
            </w:r>
            <w:r>
              <w:rPr>
                <w:sz w:val="14"/>
              </w:rPr>
              <w:t>Subdivide</w:t>
            </w:r>
            <w:r>
              <w:rPr>
                <w:spacing w:val="-3"/>
                <w:sz w:val="14"/>
              </w:rPr>
              <w:t> </w:t>
            </w:r>
            <w:r>
              <w:rPr>
                <w:sz w:val="14"/>
              </w:rPr>
              <w:t>an</w:t>
            </w:r>
            <w:r>
              <w:rPr>
                <w:spacing w:val="-2"/>
                <w:sz w:val="14"/>
              </w:rPr>
              <w:t> </w:t>
            </w:r>
            <w:r>
              <w:rPr>
                <w:sz w:val="14"/>
              </w:rPr>
              <w:t>existing</w:t>
            </w:r>
            <w:r>
              <w:rPr>
                <w:spacing w:val="-3"/>
                <w:sz w:val="14"/>
              </w:rPr>
              <w:t> </w:t>
            </w:r>
            <w:r>
              <w:rPr>
                <w:sz w:val="14"/>
              </w:rPr>
              <w:t>building</w:t>
            </w:r>
            <w:r>
              <w:rPr>
                <w:spacing w:val="40"/>
                <w:sz w:val="14"/>
              </w:rPr>
              <w:t> </w:t>
            </w:r>
            <w:r>
              <w:rPr>
                <w:sz w:val="14"/>
              </w:rPr>
              <w:t>Section 72 Amendment 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6"/>
              <w:rPr>
                <w:sz w:val="17"/>
              </w:rPr>
            </w:pPr>
          </w:p>
          <w:p>
            <w:pPr>
              <w:pStyle w:val="TableParagraph"/>
              <w:spacing w:line="140" w:lineRule="exact"/>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6"/>
              <w:rPr>
                <w:sz w:val="17"/>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6"/>
              <w:rPr>
                <w:sz w:val="17"/>
              </w:rPr>
            </w:pPr>
          </w:p>
          <w:p>
            <w:pPr>
              <w:pStyle w:val="TableParagraph"/>
              <w:spacing w:line="140" w:lineRule="exact"/>
              <w:ind w:right="91"/>
              <w:jc w:val="right"/>
              <w:rPr>
                <w:sz w:val="14"/>
              </w:rPr>
            </w:pPr>
            <w:r>
              <w:rPr>
                <w:spacing w:val="-2"/>
                <w:sz w:val="14"/>
              </w:rPr>
              <w:t>1,453.40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6"/>
              <w:rPr>
                <w:sz w:val="17"/>
              </w:rPr>
            </w:pPr>
          </w:p>
          <w:p>
            <w:pPr>
              <w:pStyle w:val="TableParagraph"/>
              <w:spacing w:line="140" w:lineRule="exact"/>
              <w:ind w:right="92"/>
              <w:jc w:val="right"/>
              <w:rPr>
                <w:sz w:val="14"/>
              </w:rPr>
            </w:pPr>
            <w:r>
              <w:rPr>
                <w:spacing w:val="-2"/>
                <w:sz w:val="14"/>
              </w:rPr>
              <w:t>1,453.40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6"/>
              <w:rPr>
                <w:sz w:val="17"/>
              </w:rPr>
            </w:pPr>
          </w:p>
          <w:p>
            <w:pPr>
              <w:pStyle w:val="TableParagraph"/>
              <w:spacing w:line="140" w:lineRule="exact"/>
              <w:ind w:left="95" w:right="79"/>
              <w:jc w:val="center"/>
              <w:rPr>
                <w:sz w:val="14"/>
              </w:rPr>
            </w:pPr>
            <w:r>
              <w:rPr>
                <w:spacing w:val="-5"/>
                <w:sz w:val="14"/>
              </w:rPr>
              <w:t>0.0</w:t>
            </w: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Pr>
                <w:sz w:val="14"/>
              </w:rPr>
            </w:pPr>
            <w:r>
              <w:rPr>
                <w:sz w:val="14"/>
              </w:rPr>
              <w:t>Subdivision</w:t>
            </w:r>
            <w:r>
              <w:rPr>
                <w:spacing w:val="-2"/>
                <w:sz w:val="14"/>
              </w:rPr>
              <w:t> </w:t>
            </w:r>
            <w:r>
              <w:rPr>
                <w:sz w:val="14"/>
              </w:rPr>
              <w:t>(excludes</w:t>
            </w:r>
            <w:r>
              <w:rPr>
                <w:spacing w:val="-4"/>
                <w:sz w:val="14"/>
              </w:rPr>
              <w:t> </w:t>
            </w:r>
            <w:r>
              <w:rPr>
                <w:sz w:val="14"/>
              </w:rPr>
              <w:t>VicSmart</w:t>
            </w:r>
            <w:r>
              <w:rPr>
                <w:spacing w:val="-3"/>
                <w:sz w:val="14"/>
              </w:rPr>
              <w:t> </w:t>
            </w:r>
            <w:r>
              <w:rPr>
                <w:sz w:val="14"/>
              </w:rPr>
              <w:t>applications)</w:t>
            </w:r>
            <w:r>
              <w:rPr>
                <w:spacing w:val="-4"/>
                <w:sz w:val="14"/>
              </w:rPr>
              <w:t> </w:t>
            </w:r>
            <w:r>
              <w:rPr>
                <w:sz w:val="14"/>
              </w:rPr>
              <w:t>Class</w:t>
            </w:r>
            <w:r>
              <w:rPr>
                <w:spacing w:val="-4"/>
                <w:sz w:val="14"/>
              </w:rPr>
              <w:t> </w:t>
            </w:r>
            <w:r>
              <w:rPr>
                <w:sz w:val="14"/>
              </w:rPr>
              <w:t>18</w:t>
            </w:r>
            <w:r>
              <w:rPr>
                <w:spacing w:val="-4"/>
                <w:sz w:val="14"/>
              </w:rPr>
              <w:t> </w:t>
            </w:r>
            <w:r>
              <w:rPr>
                <w:sz w:val="14"/>
              </w:rPr>
              <w:t>-</w:t>
            </w:r>
            <w:r>
              <w:rPr>
                <w:spacing w:val="-2"/>
                <w:sz w:val="14"/>
              </w:rPr>
              <w:t> </w:t>
            </w:r>
            <w:r>
              <w:rPr>
                <w:sz w:val="14"/>
              </w:rPr>
              <w:t>Subdivide</w:t>
            </w:r>
            <w:r>
              <w:rPr>
                <w:spacing w:val="-4"/>
                <w:sz w:val="14"/>
              </w:rPr>
              <w:t> </w:t>
            </w:r>
            <w:r>
              <w:rPr>
                <w:sz w:val="14"/>
              </w:rPr>
              <w:t>land</w:t>
            </w:r>
            <w:r>
              <w:rPr>
                <w:spacing w:val="-2"/>
                <w:sz w:val="14"/>
              </w:rPr>
              <w:t> </w:t>
            </w:r>
            <w:r>
              <w:rPr>
                <w:sz w:val="14"/>
              </w:rPr>
              <w:t>into</w:t>
            </w:r>
            <w:r>
              <w:rPr>
                <w:spacing w:val="-5"/>
                <w:sz w:val="14"/>
              </w:rPr>
              <w:t> </w:t>
            </w:r>
            <w:r>
              <w:rPr>
                <w:sz w:val="14"/>
              </w:rPr>
              <w:t>2</w:t>
            </w:r>
            <w:r>
              <w:rPr>
                <w:spacing w:val="-2"/>
                <w:sz w:val="14"/>
              </w:rPr>
              <w:t> </w:t>
            </w:r>
            <w:r>
              <w:rPr>
                <w:sz w:val="14"/>
              </w:rPr>
              <w:t>lots</w:t>
            </w:r>
            <w:r>
              <w:rPr>
                <w:spacing w:val="40"/>
                <w:sz w:val="14"/>
              </w:rPr>
              <w:t> </w:t>
            </w:r>
            <w:r>
              <w:rPr>
                <w:spacing w:val="-2"/>
                <w:sz w:val="14"/>
              </w:rPr>
              <w:t>Application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1"/>
              <w:jc w:val="right"/>
              <w:rPr>
                <w:sz w:val="14"/>
              </w:rPr>
            </w:pPr>
            <w:r>
              <w:rPr>
                <w:spacing w:val="-2"/>
                <w:sz w:val="14"/>
              </w:rPr>
              <w:t>1,453.40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2"/>
              <w:jc w:val="right"/>
              <w:rPr>
                <w:sz w:val="14"/>
              </w:rPr>
            </w:pPr>
            <w:r>
              <w:rPr>
                <w:spacing w:val="-2"/>
                <w:sz w:val="14"/>
              </w:rPr>
              <w:t>1,453.40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0" w:lineRule="exact"/>
              <w:ind w:left="95" w:right="79"/>
              <w:jc w:val="center"/>
              <w:rPr>
                <w:sz w:val="14"/>
              </w:rPr>
            </w:pPr>
            <w:r>
              <w:rPr>
                <w:spacing w:val="-5"/>
                <w:sz w:val="14"/>
              </w:rPr>
              <w:t>0.0</w:t>
            </w: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ight="181"/>
              <w:rPr>
                <w:sz w:val="14"/>
              </w:rPr>
            </w:pPr>
            <w:r>
              <w:rPr>
                <w:sz w:val="14"/>
              </w:rPr>
              <w:t>Subdivision</w:t>
            </w:r>
            <w:r>
              <w:rPr>
                <w:spacing w:val="-2"/>
                <w:sz w:val="14"/>
              </w:rPr>
              <w:t> </w:t>
            </w:r>
            <w:r>
              <w:rPr>
                <w:sz w:val="14"/>
              </w:rPr>
              <w:t>(excludes</w:t>
            </w:r>
            <w:r>
              <w:rPr>
                <w:spacing w:val="-4"/>
                <w:sz w:val="14"/>
              </w:rPr>
              <w:t> </w:t>
            </w:r>
            <w:r>
              <w:rPr>
                <w:sz w:val="14"/>
              </w:rPr>
              <w:t>VicSmart</w:t>
            </w:r>
            <w:r>
              <w:rPr>
                <w:spacing w:val="-3"/>
                <w:sz w:val="14"/>
              </w:rPr>
              <w:t> </w:t>
            </w:r>
            <w:r>
              <w:rPr>
                <w:sz w:val="14"/>
              </w:rPr>
              <w:t>applications)</w:t>
            </w:r>
            <w:r>
              <w:rPr>
                <w:spacing w:val="-4"/>
                <w:sz w:val="14"/>
              </w:rPr>
              <w:t> </w:t>
            </w:r>
            <w:r>
              <w:rPr>
                <w:sz w:val="14"/>
              </w:rPr>
              <w:t>Class</w:t>
            </w:r>
            <w:r>
              <w:rPr>
                <w:spacing w:val="-4"/>
                <w:sz w:val="14"/>
              </w:rPr>
              <w:t> </w:t>
            </w:r>
            <w:r>
              <w:rPr>
                <w:sz w:val="14"/>
              </w:rPr>
              <w:t>18</w:t>
            </w:r>
            <w:r>
              <w:rPr>
                <w:spacing w:val="-4"/>
                <w:sz w:val="14"/>
              </w:rPr>
              <w:t> </w:t>
            </w:r>
            <w:r>
              <w:rPr>
                <w:sz w:val="14"/>
              </w:rPr>
              <w:t>-</w:t>
            </w:r>
            <w:r>
              <w:rPr>
                <w:spacing w:val="-2"/>
                <w:sz w:val="14"/>
              </w:rPr>
              <w:t> </w:t>
            </w:r>
            <w:r>
              <w:rPr>
                <w:sz w:val="14"/>
              </w:rPr>
              <w:t>Subdivide</w:t>
            </w:r>
            <w:r>
              <w:rPr>
                <w:spacing w:val="-4"/>
                <w:sz w:val="14"/>
              </w:rPr>
              <w:t> </w:t>
            </w:r>
            <w:r>
              <w:rPr>
                <w:sz w:val="14"/>
              </w:rPr>
              <w:t>land</w:t>
            </w:r>
            <w:r>
              <w:rPr>
                <w:spacing w:val="-2"/>
                <w:sz w:val="14"/>
              </w:rPr>
              <w:t> </w:t>
            </w:r>
            <w:r>
              <w:rPr>
                <w:sz w:val="14"/>
              </w:rPr>
              <w:t>into</w:t>
            </w:r>
            <w:r>
              <w:rPr>
                <w:spacing w:val="-5"/>
                <w:sz w:val="14"/>
              </w:rPr>
              <w:t> </w:t>
            </w:r>
            <w:r>
              <w:rPr>
                <w:sz w:val="14"/>
              </w:rPr>
              <w:t>2</w:t>
            </w:r>
            <w:r>
              <w:rPr>
                <w:spacing w:val="-2"/>
                <w:sz w:val="14"/>
              </w:rPr>
              <w:t> </w:t>
            </w:r>
            <w:r>
              <w:rPr>
                <w:sz w:val="14"/>
              </w:rPr>
              <w:t>lots</w:t>
            </w:r>
            <w:r>
              <w:rPr>
                <w:spacing w:val="40"/>
                <w:sz w:val="14"/>
              </w:rPr>
              <w:t> </w:t>
            </w:r>
            <w:r>
              <w:rPr>
                <w:sz w:val="14"/>
              </w:rPr>
              <w:t>Section 72 Amendment 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1"/>
              <w:jc w:val="right"/>
              <w:rPr>
                <w:sz w:val="14"/>
              </w:rPr>
            </w:pPr>
            <w:r>
              <w:rPr>
                <w:spacing w:val="-2"/>
                <w:sz w:val="14"/>
              </w:rPr>
              <w:t>1,453.40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2"/>
              <w:jc w:val="right"/>
              <w:rPr>
                <w:sz w:val="14"/>
              </w:rPr>
            </w:pPr>
            <w:r>
              <w:rPr>
                <w:spacing w:val="-2"/>
                <w:sz w:val="14"/>
              </w:rPr>
              <w:t>1,453.40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0" w:lineRule="exact"/>
              <w:ind w:left="95" w:right="79"/>
              <w:jc w:val="center"/>
              <w:rPr>
                <w:sz w:val="14"/>
              </w:rPr>
            </w:pPr>
            <w:r>
              <w:rPr>
                <w:spacing w:val="-5"/>
                <w:sz w:val="14"/>
              </w:rPr>
              <w:t>0.0</w:t>
            </w: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ight="181"/>
              <w:rPr>
                <w:sz w:val="14"/>
              </w:rPr>
            </w:pPr>
            <w:r>
              <w:rPr>
                <w:sz w:val="14"/>
              </w:rPr>
              <w:t>Subdivision</w:t>
            </w:r>
            <w:r>
              <w:rPr>
                <w:spacing w:val="-2"/>
                <w:sz w:val="14"/>
              </w:rPr>
              <w:t> </w:t>
            </w:r>
            <w:r>
              <w:rPr>
                <w:sz w:val="14"/>
              </w:rPr>
              <w:t>(excludes</w:t>
            </w:r>
            <w:r>
              <w:rPr>
                <w:spacing w:val="-4"/>
                <w:sz w:val="14"/>
              </w:rPr>
              <w:t> </w:t>
            </w:r>
            <w:r>
              <w:rPr>
                <w:sz w:val="14"/>
              </w:rPr>
              <w:t>VicSmart</w:t>
            </w:r>
            <w:r>
              <w:rPr>
                <w:spacing w:val="-3"/>
                <w:sz w:val="14"/>
              </w:rPr>
              <w:t> </w:t>
            </w:r>
            <w:r>
              <w:rPr>
                <w:sz w:val="14"/>
              </w:rPr>
              <w:t>applications)</w:t>
            </w:r>
            <w:r>
              <w:rPr>
                <w:spacing w:val="-5"/>
                <w:sz w:val="14"/>
              </w:rPr>
              <w:t> </w:t>
            </w:r>
            <w:r>
              <w:rPr>
                <w:sz w:val="14"/>
              </w:rPr>
              <w:t>Class</w:t>
            </w:r>
            <w:r>
              <w:rPr>
                <w:spacing w:val="-5"/>
                <w:sz w:val="14"/>
              </w:rPr>
              <w:t> </w:t>
            </w:r>
            <w:r>
              <w:rPr>
                <w:sz w:val="14"/>
              </w:rPr>
              <w:t>19</w:t>
            </w:r>
            <w:r>
              <w:rPr>
                <w:spacing w:val="-5"/>
                <w:sz w:val="14"/>
              </w:rPr>
              <w:t> </w:t>
            </w:r>
            <w:r>
              <w:rPr>
                <w:sz w:val="14"/>
              </w:rPr>
              <w:t>-</w:t>
            </w:r>
            <w:r>
              <w:rPr>
                <w:spacing w:val="-2"/>
                <w:sz w:val="14"/>
              </w:rPr>
              <w:t> </w:t>
            </w:r>
            <w:r>
              <w:rPr>
                <w:sz w:val="14"/>
              </w:rPr>
              <w:t>Realignment</w:t>
            </w:r>
            <w:r>
              <w:rPr>
                <w:spacing w:val="-2"/>
                <w:sz w:val="14"/>
              </w:rPr>
              <w:t> </w:t>
            </w:r>
            <w:r>
              <w:rPr>
                <w:sz w:val="14"/>
              </w:rPr>
              <w:t>of</w:t>
            </w:r>
            <w:r>
              <w:rPr>
                <w:spacing w:val="-5"/>
                <w:sz w:val="14"/>
              </w:rPr>
              <w:t> </w:t>
            </w:r>
            <w:r>
              <w:rPr>
                <w:sz w:val="14"/>
              </w:rPr>
              <w:t>common</w:t>
            </w:r>
            <w:r>
              <w:rPr>
                <w:spacing w:val="40"/>
                <w:sz w:val="14"/>
              </w:rPr>
              <w:t> </w:t>
            </w:r>
            <w:r>
              <w:rPr>
                <w:sz w:val="14"/>
              </w:rPr>
              <w:t>boundary between lots or consolidated 2 or more lots Application 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1"/>
              <w:jc w:val="right"/>
              <w:rPr>
                <w:sz w:val="14"/>
              </w:rPr>
            </w:pPr>
            <w:r>
              <w:rPr>
                <w:spacing w:val="-2"/>
                <w:sz w:val="14"/>
              </w:rPr>
              <w:t>1,453.40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2"/>
              <w:jc w:val="right"/>
              <w:rPr>
                <w:sz w:val="14"/>
              </w:rPr>
            </w:pPr>
            <w:r>
              <w:rPr>
                <w:spacing w:val="-2"/>
                <w:sz w:val="14"/>
              </w:rPr>
              <w:t>1,453.40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0" w:lineRule="exact"/>
              <w:ind w:left="95" w:right="79"/>
              <w:jc w:val="center"/>
              <w:rPr>
                <w:sz w:val="14"/>
              </w:rPr>
            </w:pPr>
            <w:r>
              <w:rPr>
                <w:spacing w:val="-5"/>
                <w:sz w:val="14"/>
              </w:rPr>
              <w:t>0.0</w:t>
            </w: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ight="181"/>
              <w:rPr>
                <w:sz w:val="14"/>
              </w:rPr>
            </w:pPr>
            <w:r>
              <w:rPr>
                <w:sz w:val="14"/>
              </w:rPr>
              <w:t>Subdivision</w:t>
            </w:r>
            <w:r>
              <w:rPr>
                <w:spacing w:val="-1"/>
                <w:sz w:val="14"/>
              </w:rPr>
              <w:t> </w:t>
            </w:r>
            <w:r>
              <w:rPr>
                <w:sz w:val="14"/>
              </w:rPr>
              <w:t>(excludes</w:t>
            </w:r>
            <w:r>
              <w:rPr>
                <w:spacing w:val="-3"/>
                <w:sz w:val="14"/>
              </w:rPr>
              <w:t> </w:t>
            </w:r>
            <w:r>
              <w:rPr>
                <w:sz w:val="14"/>
              </w:rPr>
              <w:t>VicSmart</w:t>
            </w:r>
            <w:r>
              <w:rPr>
                <w:spacing w:val="-2"/>
                <w:sz w:val="14"/>
              </w:rPr>
              <w:t> </w:t>
            </w:r>
            <w:r>
              <w:rPr>
                <w:sz w:val="14"/>
              </w:rPr>
              <w:t>applications)</w:t>
            </w:r>
            <w:r>
              <w:rPr>
                <w:spacing w:val="-4"/>
                <w:sz w:val="14"/>
              </w:rPr>
              <w:t> </w:t>
            </w:r>
            <w:r>
              <w:rPr>
                <w:sz w:val="14"/>
              </w:rPr>
              <w:t>Class</w:t>
            </w:r>
            <w:r>
              <w:rPr>
                <w:spacing w:val="-4"/>
                <w:sz w:val="14"/>
              </w:rPr>
              <w:t> </w:t>
            </w:r>
            <w:r>
              <w:rPr>
                <w:sz w:val="14"/>
              </w:rPr>
              <w:t>19</w:t>
            </w:r>
            <w:r>
              <w:rPr>
                <w:spacing w:val="-4"/>
                <w:sz w:val="14"/>
              </w:rPr>
              <w:t> </w:t>
            </w:r>
            <w:r>
              <w:rPr>
                <w:sz w:val="14"/>
              </w:rPr>
              <w:t>-</w:t>
            </w:r>
            <w:r>
              <w:rPr>
                <w:spacing w:val="-1"/>
                <w:sz w:val="14"/>
              </w:rPr>
              <w:t> </w:t>
            </w:r>
            <w:r>
              <w:rPr>
                <w:sz w:val="14"/>
              </w:rPr>
              <w:t>Realignment</w:t>
            </w:r>
            <w:r>
              <w:rPr>
                <w:spacing w:val="-1"/>
                <w:sz w:val="14"/>
              </w:rPr>
              <w:t> </w:t>
            </w:r>
            <w:r>
              <w:rPr>
                <w:sz w:val="14"/>
              </w:rPr>
              <w:t>of</w:t>
            </w:r>
            <w:r>
              <w:rPr>
                <w:spacing w:val="-4"/>
                <w:sz w:val="14"/>
              </w:rPr>
              <w:t> </w:t>
            </w:r>
            <w:r>
              <w:rPr>
                <w:sz w:val="14"/>
              </w:rPr>
              <w:t>common</w:t>
            </w:r>
            <w:r>
              <w:rPr>
                <w:spacing w:val="40"/>
                <w:sz w:val="14"/>
              </w:rPr>
              <w:t> </w:t>
            </w:r>
            <w:r>
              <w:rPr>
                <w:sz w:val="14"/>
              </w:rPr>
              <w:t>boundary</w:t>
            </w:r>
            <w:r>
              <w:rPr>
                <w:spacing w:val="-3"/>
                <w:sz w:val="14"/>
              </w:rPr>
              <w:t> </w:t>
            </w:r>
            <w:r>
              <w:rPr>
                <w:sz w:val="14"/>
              </w:rPr>
              <w:t>between</w:t>
            </w:r>
            <w:r>
              <w:rPr>
                <w:spacing w:val="-5"/>
                <w:sz w:val="14"/>
              </w:rPr>
              <w:t> </w:t>
            </w:r>
            <w:r>
              <w:rPr>
                <w:sz w:val="14"/>
              </w:rPr>
              <w:t>lots</w:t>
            </w:r>
            <w:r>
              <w:rPr>
                <w:spacing w:val="-2"/>
                <w:sz w:val="14"/>
              </w:rPr>
              <w:t> </w:t>
            </w:r>
            <w:r>
              <w:rPr>
                <w:sz w:val="14"/>
              </w:rPr>
              <w:t>or</w:t>
            </w:r>
            <w:r>
              <w:rPr>
                <w:spacing w:val="-5"/>
                <w:sz w:val="14"/>
              </w:rPr>
              <w:t> </w:t>
            </w:r>
            <w:r>
              <w:rPr>
                <w:sz w:val="14"/>
              </w:rPr>
              <w:t>consolidated</w:t>
            </w:r>
            <w:r>
              <w:rPr>
                <w:spacing w:val="-1"/>
                <w:sz w:val="14"/>
              </w:rPr>
              <w:t> </w:t>
            </w:r>
            <w:r>
              <w:rPr>
                <w:sz w:val="14"/>
              </w:rPr>
              <w:t>2</w:t>
            </w:r>
            <w:r>
              <w:rPr>
                <w:spacing w:val="-6"/>
                <w:sz w:val="14"/>
              </w:rPr>
              <w:t> </w:t>
            </w:r>
            <w:r>
              <w:rPr>
                <w:sz w:val="14"/>
              </w:rPr>
              <w:t>or</w:t>
            </w:r>
            <w:r>
              <w:rPr>
                <w:spacing w:val="-6"/>
                <w:sz w:val="14"/>
              </w:rPr>
              <w:t> </w:t>
            </w:r>
            <w:r>
              <w:rPr>
                <w:sz w:val="14"/>
              </w:rPr>
              <w:t>more</w:t>
            </w:r>
            <w:r>
              <w:rPr>
                <w:spacing w:val="-5"/>
                <w:sz w:val="14"/>
              </w:rPr>
              <w:t> </w:t>
            </w:r>
            <w:r>
              <w:rPr>
                <w:sz w:val="14"/>
              </w:rPr>
              <w:t>lots</w:t>
            </w:r>
            <w:r>
              <w:rPr>
                <w:spacing w:val="-4"/>
                <w:sz w:val="14"/>
              </w:rPr>
              <w:t> </w:t>
            </w:r>
            <w:r>
              <w:rPr>
                <w:sz w:val="14"/>
              </w:rPr>
              <w:t>Section</w:t>
            </w:r>
            <w:r>
              <w:rPr>
                <w:spacing w:val="-3"/>
                <w:sz w:val="14"/>
              </w:rPr>
              <w:t> </w:t>
            </w:r>
            <w:r>
              <w:rPr>
                <w:sz w:val="14"/>
              </w:rPr>
              <w:t>72</w:t>
            </w:r>
            <w:r>
              <w:rPr>
                <w:spacing w:val="-5"/>
                <w:sz w:val="14"/>
              </w:rPr>
              <w:t> </w:t>
            </w:r>
            <w:r>
              <w:rPr>
                <w:sz w:val="14"/>
              </w:rPr>
              <w:t>Amendment</w:t>
            </w:r>
            <w:r>
              <w:rPr>
                <w:spacing w:val="-2"/>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1"/>
              <w:jc w:val="right"/>
              <w:rPr>
                <w:sz w:val="14"/>
              </w:rPr>
            </w:pPr>
            <w:r>
              <w:rPr>
                <w:spacing w:val="-2"/>
                <w:sz w:val="14"/>
              </w:rPr>
              <w:t>1,453.40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2"/>
              <w:jc w:val="right"/>
              <w:rPr>
                <w:sz w:val="14"/>
              </w:rPr>
            </w:pPr>
            <w:r>
              <w:rPr>
                <w:spacing w:val="-2"/>
                <w:sz w:val="14"/>
              </w:rPr>
              <w:t>1,453.40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0" w:lineRule="exact"/>
              <w:ind w:left="95" w:right="79"/>
              <w:jc w:val="center"/>
              <w:rPr>
                <w:sz w:val="14"/>
              </w:rPr>
            </w:pPr>
            <w:r>
              <w:rPr>
                <w:spacing w:val="-5"/>
                <w:sz w:val="14"/>
              </w:rPr>
              <w:t>0.0</w:t>
            </w:r>
          </w:p>
        </w:tc>
      </w:tr>
      <w:tr>
        <w:trPr>
          <w:trHeight w:val="40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62"/>
              <w:ind w:left="107" w:right="181"/>
              <w:rPr>
                <w:sz w:val="14"/>
              </w:rPr>
            </w:pPr>
            <w:r>
              <w:rPr>
                <w:sz w:val="14"/>
              </w:rPr>
              <w:t>Subdivision</w:t>
            </w:r>
            <w:r>
              <w:rPr>
                <w:spacing w:val="-2"/>
                <w:sz w:val="14"/>
              </w:rPr>
              <w:t> </w:t>
            </w:r>
            <w:r>
              <w:rPr>
                <w:sz w:val="14"/>
              </w:rPr>
              <w:t>(excludes</w:t>
            </w:r>
            <w:r>
              <w:rPr>
                <w:spacing w:val="-4"/>
                <w:sz w:val="14"/>
              </w:rPr>
              <w:t> </w:t>
            </w:r>
            <w:r>
              <w:rPr>
                <w:sz w:val="14"/>
              </w:rPr>
              <w:t>VicSmart</w:t>
            </w:r>
            <w:r>
              <w:rPr>
                <w:spacing w:val="-3"/>
                <w:sz w:val="14"/>
              </w:rPr>
              <w:t> </w:t>
            </w:r>
            <w:r>
              <w:rPr>
                <w:sz w:val="14"/>
              </w:rPr>
              <w:t>applications)</w:t>
            </w:r>
            <w:r>
              <w:rPr>
                <w:spacing w:val="-5"/>
                <w:sz w:val="14"/>
              </w:rPr>
              <w:t> </w:t>
            </w:r>
            <w:r>
              <w:rPr>
                <w:sz w:val="14"/>
              </w:rPr>
              <w:t>Class</w:t>
            </w:r>
            <w:r>
              <w:rPr>
                <w:spacing w:val="-5"/>
                <w:sz w:val="14"/>
              </w:rPr>
              <w:t> </w:t>
            </w:r>
            <w:r>
              <w:rPr>
                <w:sz w:val="14"/>
              </w:rPr>
              <w:t>20</w:t>
            </w:r>
            <w:r>
              <w:rPr>
                <w:spacing w:val="-5"/>
                <w:sz w:val="14"/>
              </w:rPr>
              <w:t> </w:t>
            </w:r>
            <w:r>
              <w:rPr>
                <w:sz w:val="14"/>
              </w:rPr>
              <w:t>-</w:t>
            </w:r>
            <w:r>
              <w:rPr>
                <w:spacing w:val="-2"/>
                <w:sz w:val="14"/>
              </w:rPr>
              <w:t> </w:t>
            </w:r>
            <w:r>
              <w:rPr>
                <w:sz w:val="14"/>
              </w:rPr>
              <w:t>Subdivide</w:t>
            </w:r>
            <w:r>
              <w:rPr>
                <w:spacing w:val="-5"/>
                <w:sz w:val="14"/>
              </w:rPr>
              <w:t> </w:t>
            </w:r>
            <w:r>
              <w:rPr>
                <w:sz w:val="14"/>
              </w:rPr>
              <w:t>land</w:t>
            </w:r>
            <w:r>
              <w:rPr>
                <w:spacing w:val="-2"/>
                <w:sz w:val="14"/>
              </w:rPr>
              <w:t> </w:t>
            </w:r>
            <w:r>
              <w:rPr>
                <w:sz w:val="14"/>
              </w:rPr>
              <w:t>($1,415.10</w:t>
            </w:r>
            <w:r>
              <w:rPr>
                <w:spacing w:val="-5"/>
                <w:sz w:val="14"/>
              </w:rPr>
              <w:t> </w:t>
            </w:r>
            <w:r>
              <w:rPr>
                <w:sz w:val="14"/>
              </w:rPr>
              <w:t>per</w:t>
            </w:r>
            <w:r>
              <w:rPr>
                <w:spacing w:val="40"/>
                <w:sz w:val="14"/>
              </w:rPr>
              <w:t> </w:t>
            </w:r>
            <w:r>
              <w:rPr>
                <w:sz w:val="14"/>
              </w:rPr>
              <w:t>100 lots) Application 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1"/>
              <w:rPr>
                <w:sz w:val="21"/>
              </w:rPr>
            </w:pPr>
          </w:p>
          <w:p>
            <w:pPr>
              <w:pStyle w:val="TableParagraph"/>
              <w:spacing w:line="140" w:lineRule="exact"/>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1"/>
              <w:rPr>
                <w:sz w:val="21"/>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1"/>
              <w:rPr>
                <w:sz w:val="21"/>
              </w:rPr>
            </w:pPr>
          </w:p>
          <w:p>
            <w:pPr>
              <w:pStyle w:val="TableParagraph"/>
              <w:spacing w:line="140" w:lineRule="exact"/>
              <w:ind w:right="91"/>
              <w:jc w:val="right"/>
              <w:rPr>
                <w:sz w:val="14"/>
              </w:rPr>
            </w:pPr>
            <w:r>
              <w:rPr>
                <w:spacing w:val="-2"/>
                <w:sz w:val="14"/>
              </w:rPr>
              <w:t>1,453.40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1"/>
              <w:rPr>
                <w:sz w:val="21"/>
              </w:rPr>
            </w:pPr>
          </w:p>
          <w:p>
            <w:pPr>
              <w:pStyle w:val="TableParagraph"/>
              <w:spacing w:line="140" w:lineRule="exact"/>
              <w:ind w:right="92"/>
              <w:jc w:val="right"/>
              <w:rPr>
                <w:sz w:val="14"/>
              </w:rPr>
            </w:pPr>
            <w:r>
              <w:rPr>
                <w:spacing w:val="-2"/>
                <w:sz w:val="14"/>
              </w:rPr>
              <w:t>1,453.40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1"/>
              <w:rPr>
                <w:sz w:val="21"/>
              </w:rPr>
            </w:pPr>
          </w:p>
          <w:p>
            <w:pPr>
              <w:pStyle w:val="TableParagraph"/>
              <w:spacing w:line="140" w:lineRule="exact"/>
              <w:ind w:left="95" w:right="79"/>
              <w:jc w:val="center"/>
              <w:rPr>
                <w:sz w:val="14"/>
              </w:rPr>
            </w:pPr>
            <w:r>
              <w:rPr>
                <w:spacing w:val="-5"/>
                <w:sz w:val="14"/>
              </w:rPr>
              <w:t>0.0</w:t>
            </w:r>
          </w:p>
        </w:tc>
      </w:tr>
      <w:tr>
        <w:trPr>
          <w:trHeight w:val="37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31"/>
              <w:ind w:left="107" w:right="181"/>
              <w:rPr>
                <w:sz w:val="14"/>
              </w:rPr>
            </w:pPr>
            <w:r>
              <w:rPr>
                <w:sz w:val="14"/>
              </w:rPr>
              <w:t>Subdivision</w:t>
            </w:r>
            <w:r>
              <w:rPr>
                <w:spacing w:val="-2"/>
                <w:sz w:val="14"/>
              </w:rPr>
              <w:t> </w:t>
            </w:r>
            <w:r>
              <w:rPr>
                <w:sz w:val="14"/>
              </w:rPr>
              <w:t>(excludes</w:t>
            </w:r>
            <w:r>
              <w:rPr>
                <w:spacing w:val="-4"/>
                <w:sz w:val="14"/>
              </w:rPr>
              <w:t> </w:t>
            </w:r>
            <w:r>
              <w:rPr>
                <w:sz w:val="14"/>
              </w:rPr>
              <w:t>VicSmart</w:t>
            </w:r>
            <w:r>
              <w:rPr>
                <w:spacing w:val="-3"/>
                <w:sz w:val="14"/>
              </w:rPr>
              <w:t> </w:t>
            </w:r>
            <w:r>
              <w:rPr>
                <w:sz w:val="14"/>
              </w:rPr>
              <w:t>applications)</w:t>
            </w:r>
            <w:r>
              <w:rPr>
                <w:spacing w:val="-5"/>
                <w:sz w:val="14"/>
              </w:rPr>
              <w:t> </w:t>
            </w:r>
            <w:r>
              <w:rPr>
                <w:sz w:val="14"/>
              </w:rPr>
              <w:t>Class</w:t>
            </w:r>
            <w:r>
              <w:rPr>
                <w:spacing w:val="-5"/>
                <w:sz w:val="14"/>
              </w:rPr>
              <w:t> </w:t>
            </w:r>
            <w:r>
              <w:rPr>
                <w:sz w:val="14"/>
              </w:rPr>
              <w:t>20</w:t>
            </w:r>
            <w:r>
              <w:rPr>
                <w:spacing w:val="-5"/>
                <w:sz w:val="14"/>
              </w:rPr>
              <w:t> </w:t>
            </w:r>
            <w:r>
              <w:rPr>
                <w:sz w:val="14"/>
              </w:rPr>
              <w:t>-</w:t>
            </w:r>
            <w:r>
              <w:rPr>
                <w:spacing w:val="-2"/>
                <w:sz w:val="14"/>
              </w:rPr>
              <w:t> </w:t>
            </w:r>
            <w:r>
              <w:rPr>
                <w:sz w:val="14"/>
              </w:rPr>
              <w:t>Subdivide</w:t>
            </w:r>
            <w:r>
              <w:rPr>
                <w:spacing w:val="-5"/>
                <w:sz w:val="14"/>
              </w:rPr>
              <w:t> </w:t>
            </w:r>
            <w:r>
              <w:rPr>
                <w:sz w:val="14"/>
              </w:rPr>
              <w:t>land</w:t>
            </w:r>
            <w:r>
              <w:rPr>
                <w:spacing w:val="-2"/>
                <w:sz w:val="14"/>
              </w:rPr>
              <w:t> </w:t>
            </w:r>
            <w:r>
              <w:rPr>
                <w:sz w:val="14"/>
              </w:rPr>
              <w:t>($1,415.10</w:t>
            </w:r>
            <w:r>
              <w:rPr>
                <w:spacing w:val="-5"/>
                <w:sz w:val="14"/>
              </w:rPr>
              <w:t> </w:t>
            </w:r>
            <w:r>
              <w:rPr>
                <w:sz w:val="14"/>
              </w:rPr>
              <w:t>per</w:t>
            </w:r>
            <w:r>
              <w:rPr>
                <w:spacing w:val="40"/>
                <w:sz w:val="14"/>
              </w:rPr>
              <w:t> </w:t>
            </w:r>
            <w:r>
              <w:rPr>
                <w:sz w:val="14"/>
              </w:rPr>
              <w:t>100 lots) Section 72 Amendment 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8"/>
              </w:rPr>
            </w:pPr>
          </w:p>
          <w:p>
            <w:pPr>
              <w:pStyle w:val="TableParagraph"/>
              <w:spacing w:line="140" w:lineRule="exact"/>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8"/>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8"/>
              </w:rPr>
            </w:pPr>
          </w:p>
          <w:p>
            <w:pPr>
              <w:pStyle w:val="TableParagraph"/>
              <w:spacing w:line="140" w:lineRule="exact"/>
              <w:ind w:right="91"/>
              <w:jc w:val="right"/>
              <w:rPr>
                <w:sz w:val="14"/>
              </w:rPr>
            </w:pPr>
            <w:r>
              <w:rPr>
                <w:spacing w:val="-2"/>
                <w:sz w:val="14"/>
              </w:rPr>
              <w:t>1,453.40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8"/>
              </w:rPr>
            </w:pPr>
          </w:p>
          <w:p>
            <w:pPr>
              <w:pStyle w:val="TableParagraph"/>
              <w:spacing w:line="140" w:lineRule="exact"/>
              <w:ind w:right="92"/>
              <w:jc w:val="right"/>
              <w:rPr>
                <w:sz w:val="14"/>
              </w:rPr>
            </w:pPr>
            <w:r>
              <w:rPr>
                <w:spacing w:val="-2"/>
                <w:sz w:val="14"/>
              </w:rPr>
              <w:t>1,453.40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8"/>
              </w:rPr>
            </w:pPr>
          </w:p>
          <w:p>
            <w:pPr>
              <w:pStyle w:val="TableParagraph"/>
              <w:spacing w:line="140" w:lineRule="exact"/>
              <w:ind w:left="95" w:right="79"/>
              <w:jc w:val="center"/>
              <w:rPr>
                <w:sz w:val="14"/>
              </w:rPr>
            </w:pPr>
            <w:r>
              <w:rPr>
                <w:spacing w:val="-5"/>
                <w:sz w:val="14"/>
              </w:rPr>
              <w:t>0.0</w:t>
            </w:r>
          </w:p>
        </w:tc>
      </w:tr>
      <w:tr>
        <w:trPr>
          <w:trHeight w:val="32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ind w:left="107"/>
              <w:rPr>
                <w:sz w:val="14"/>
              </w:rPr>
            </w:pPr>
            <w:r>
              <w:rPr>
                <w:sz w:val="14"/>
              </w:rPr>
              <w:t>Subdivision</w:t>
            </w:r>
            <w:r>
              <w:rPr>
                <w:spacing w:val="-2"/>
                <w:sz w:val="14"/>
              </w:rPr>
              <w:t> </w:t>
            </w:r>
            <w:r>
              <w:rPr>
                <w:sz w:val="14"/>
              </w:rPr>
              <w:t>(excludes</w:t>
            </w:r>
            <w:r>
              <w:rPr>
                <w:spacing w:val="-3"/>
                <w:sz w:val="14"/>
              </w:rPr>
              <w:t> </w:t>
            </w:r>
            <w:r>
              <w:rPr>
                <w:sz w:val="14"/>
              </w:rPr>
              <w:t>VicSmart</w:t>
            </w:r>
            <w:r>
              <w:rPr>
                <w:spacing w:val="-2"/>
                <w:sz w:val="14"/>
              </w:rPr>
              <w:t> </w:t>
            </w:r>
            <w:r>
              <w:rPr>
                <w:sz w:val="14"/>
              </w:rPr>
              <w:t>applications)</w:t>
            </w:r>
            <w:r>
              <w:rPr>
                <w:spacing w:val="-4"/>
                <w:sz w:val="14"/>
              </w:rPr>
              <w:t> </w:t>
            </w:r>
            <w:r>
              <w:rPr>
                <w:sz w:val="14"/>
              </w:rPr>
              <w:t>Class</w:t>
            </w:r>
            <w:r>
              <w:rPr>
                <w:spacing w:val="-4"/>
                <w:sz w:val="14"/>
              </w:rPr>
              <w:t> </w:t>
            </w:r>
            <w:r>
              <w:rPr>
                <w:sz w:val="14"/>
              </w:rPr>
              <w:t>21(a)</w:t>
            </w:r>
            <w:r>
              <w:rPr>
                <w:spacing w:val="-2"/>
                <w:sz w:val="14"/>
              </w:rPr>
              <w:t> </w:t>
            </w:r>
            <w:r>
              <w:rPr>
                <w:sz w:val="14"/>
              </w:rPr>
              <w:t>-</w:t>
            </w:r>
            <w:r>
              <w:rPr>
                <w:spacing w:val="-5"/>
                <w:sz w:val="14"/>
              </w:rPr>
              <w:t> </w:t>
            </w:r>
            <w:r>
              <w:rPr>
                <w:sz w:val="14"/>
              </w:rPr>
              <w:t>Create,</w:t>
            </w:r>
            <w:r>
              <w:rPr>
                <w:spacing w:val="-2"/>
                <w:sz w:val="14"/>
              </w:rPr>
              <w:t> </w:t>
            </w:r>
            <w:r>
              <w:rPr>
                <w:sz w:val="14"/>
              </w:rPr>
              <w:t>vary</w:t>
            </w:r>
            <w:r>
              <w:rPr>
                <w:spacing w:val="-4"/>
                <w:sz w:val="14"/>
              </w:rPr>
              <w:t> </w:t>
            </w:r>
            <w:r>
              <w:rPr>
                <w:sz w:val="14"/>
              </w:rPr>
              <w:t>or</w:t>
            </w:r>
            <w:r>
              <w:rPr>
                <w:spacing w:val="-4"/>
                <w:sz w:val="14"/>
              </w:rPr>
              <w:t> </w:t>
            </w:r>
            <w:r>
              <w:rPr>
                <w:sz w:val="14"/>
              </w:rPr>
              <w:t>remove</w:t>
            </w:r>
            <w:r>
              <w:rPr>
                <w:spacing w:val="-2"/>
                <w:sz w:val="14"/>
              </w:rPr>
              <w:t> </w:t>
            </w:r>
            <w:r>
              <w:rPr>
                <w:sz w:val="14"/>
              </w:rPr>
              <w:t>a</w:t>
            </w:r>
            <w:r>
              <w:rPr>
                <w:spacing w:val="40"/>
                <w:sz w:val="14"/>
              </w:rPr>
              <w:t> </w:t>
            </w:r>
            <w:r>
              <w:rPr>
                <w:sz w:val="14"/>
              </w:rPr>
              <w:t>restriction Application 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0" w:lineRule="exact"/>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0" w:lineRule="exact"/>
              <w:ind w:right="91"/>
              <w:jc w:val="right"/>
              <w:rPr>
                <w:sz w:val="14"/>
              </w:rPr>
            </w:pPr>
            <w:r>
              <w:rPr>
                <w:spacing w:val="-2"/>
                <w:sz w:val="14"/>
              </w:rPr>
              <w:t>1,453.40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0" w:lineRule="exact"/>
              <w:ind w:right="92"/>
              <w:jc w:val="right"/>
              <w:rPr>
                <w:sz w:val="14"/>
              </w:rPr>
            </w:pPr>
            <w:r>
              <w:rPr>
                <w:spacing w:val="-2"/>
                <w:sz w:val="14"/>
              </w:rPr>
              <w:t>1,453.40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sz w:val="14"/>
              </w:rPr>
            </w:pPr>
          </w:p>
          <w:p>
            <w:pPr>
              <w:pStyle w:val="TableParagraph"/>
              <w:spacing w:line="140" w:lineRule="exact"/>
              <w:ind w:left="95" w:right="79"/>
              <w:jc w:val="center"/>
              <w:rPr>
                <w:sz w:val="14"/>
              </w:rPr>
            </w:pPr>
            <w:r>
              <w:rPr>
                <w:spacing w:val="-5"/>
                <w:sz w:val="14"/>
              </w:rPr>
              <w:t>0.0</w:t>
            </w:r>
          </w:p>
        </w:tc>
      </w:tr>
      <w:tr>
        <w:trPr>
          <w:trHeight w:val="36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Pr>
                <w:sz w:val="14"/>
              </w:rPr>
            </w:pPr>
            <w:r>
              <w:rPr>
                <w:sz w:val="14"/>
              </w:rPr>
              <w:t>Subdivision</w:t>
            </w:r>
            <w:r>
              <w:rPr>
                <w:spacing w:val="-2"/>
                <w:sz w:val="14"/>
              </w:rPr>
              <w:t> </w:t>
            </w:r>
            <w:r>
              <w:rPr>
                <w:sz w:val="14"/>
              </w:rPr>
              <w:t>(excludes</w:t>
            </w:r>
            <w:r>
              <w:rPr>
                <w:spacing w:val="-3"/>
                <w:sz w:val="14"/>
              </w:rPr>
              <w:t> </w:t>
            </w:r>
            <w:r>
              <w:rPr>
                <w:sz w:val="14"/>
              </w:rPr>
              <w:t>VicSmart</w:t>
            </w:r>
            <w:r>
              <w:rPr>
                <w:spacing w:val="-2"/>
                <w:sz w:val="14"/>
              </w:rPr>
              <w:t> </w:t>
            </w:r>
            <w:r>
              <w:rPr>
                <w:sz w:val="14"/>
              </w:rPr>
              <w:t>applications)</w:t>
            </w:r>
            <w:r>
              <w:rPr>
                <w:spacing w:val="-4"/>
                <w:sz w:val="14"/>
              </w:rPr>
              <w:t> </w:t>
            </w:r>
            <w:r>
              <w:rPr>
                <w:sz w:val="14"/>
              </w:rPr>
              <w:t>Class</w:t>
            </w:r>
            <w:r>
              <w:rPr>
                <w:spacing w:val="-4"/>
                <w:sz w:val="14"/>
              </w:rPr>
              <w:t> </w:t>
            </w:r>
            <w:r>
              <w:rPr>
                <w:sz w:val="14"/>
              </w:rPr>
              <w:t>21(a)</w:t>
            </w:r>
            <w:r>
              <w:rPr>
                <w:spacing w:val="-2"/>
                <w:sz w:val="14"/>
              </w:rPr>
              <w:t> </w:t>
            </w:r>
            <w:r>
              <w:rPr>
                <w:sz w:val="14"/>
              </w:rPr>
              <w:t>-</w:t>
            </w:r>
            <w:r>
              <w:rPr>
                <w:spacing w:val="-5"/>
                <w:sz w:val="14"/>
              </w:rPr>
              <w:t> </w:t>
            </w:r>
            <w:r>
              <w:rPr>
                <w:sz w:val="14"/>
              </w:rPr>
              <w:t>Create,</w:t>
            </w:r>
            <w:r>
              <w:rPr>
                <w:spacing w:val="-2"/>
                <w:sz w:val="14"/>
              </w:rPr>
              <w:t> </w:t>
            </w:r>
            <w:r>
              <w:rPr>
                <w:sz w:val="14"/>
              </w:rPr>
              <w:t>vary</w:t>
            </w:r>
            <w:r>
              <w:rPr>
                <w:spacing w:val="-4"/>
                <w:sz w:val="14"/>
              </w:rPr>
              <w:t> </w:t>
            </w:r>
            <w:r>
              <w:rPr>
                <w:sz w:val="14"/>
              </w:rPr>
              <w:t>or</w:t>
            </w:r>
            <w:r>
              <w:rPr>
                <w:spacing w:val="-4"/>
                <w:sz w:val="14"/>
              </w:rPr>
              <w:t> </w:t>
            </w:r>
            <w:r>
              <w:rPr>
                <w:sz w:val="14"/>
              </w:rPr>
              <w:t>remove</w:t>
            </w:r>
            <w:r>
              <w:rPr>
                <w:spacing w:val="-2"/>
                <w:sz w:val="14"/>
              </w:rPr>
              <w:t> </w:t>
            </w:r>
            <w:r>
              <w:rPr>
                <w:sz w:val="14"/>
              </w:rPr>
              <w:t>a</w:t>
            </w:r>
            <w:r>
              <w:rPr>
                <w:spacing w:val="40"/>
                <w:sz w:val="14"/>
              </w:rPr>
              <w:t> </w:t>
            </w:r>
            <w:r>
              <w:rPr>
                <w:sz w:val="14"/>
              </w:rPr>
              <w:t>restriction Section 72 Amendment 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3"/>
              <w:rPr>
                <w:sz w:val="17"/>
              </w:rPr>
            </w:pPr>
          </w:p>
          <w:p>
            <w:pPr>
              <w:pStyle w:val="TableParagraph"/>
              <w:spacing w:line="142" w:lineRule="exact"/>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3"/>
              <w:rPr>
                <w:sz w:val="17"/>
              </w:rPr>
            </w:pPr>
          </w:p>
          <w:p>
            <w:pPr>
              <w:pStyle w:val="TableParagraph"/>
              <w:spacing w:line="142"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3"/>
              <w:rPr>
                <w:sz w:val="17"/>
              </w:rPr>
            </w:pPr>
          </w:p>
          <w:p>
            <w:pPr>
              <w:pStyle w:val="TableParagraph"/>
              <w:spacing w:line="142" w:lineRule="exact"/>
              <w:ind w:right="92"/>
              <w:jc w:val="right"/>
              <w:rPr>
                <w:sz w:val="14"/>
              </w:rPr>
            </w:pPr>
            <w:r>
              <w:rPr>
                <w:spacing w:val="-2"/>
                <w:sz w:val="14"/>
              </w:rPr>
              <w:t>1,453.40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3"/>
              <w:rPr>
                <w:sz w:val="17"/>
              </w:rPr>
            </w:pPr>
          </w:p>
          <w:p>
            <w:pPr>
              <w:pStyle w:val="TableParagraph"/>
              <w:spacing w:line="142" w:lineRule="exact"/>
              <w:ind w:right="92"/>
              <w:jc w:val="right"/>
              <w:rPr>
                <w:sz w:val="14"/>
              </w:rPr>
            </w:pPr>
            <w:r>
              <w:rPr>
                <w:spacing w:val="-2"/>
                <w:sz w:val="14"/>
              </w:rPr>
              <w:t>1,453.40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3"/>
              <w:rPr>
                <w:sz w:val="17"/>
              </w:rPr>
            </w:pPr>
          </w:p>
          <w:p>
            <w:pPr>
              <w:pStyle w:val="TableParagraph"/>
              <w:spacing w:line="142" w:lineRule="exact"/>
              <w:ind w:left="95" w:right="80"/>
              <w:jc w:val="center"/>
              <w:rPr>
                <w:sz w:val="14"/>
              </w:rPr>
            </w:pPr>
            <w:r>
              <w:rPr>
                <w:spacing w:val="-5"/>
                <w:sz w:val="14"/>
              </w:rPr>
              <w:t>0.0</w:t>
            </w: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ight="181"/>
              <w:rPr>
                <w:sz w:val="14"/>
              </w:rPr>
            </w:pPr>
            <w:r>
              <w:rPr>
                <w:sz w:val="14"/>
              </w:rPr>
              <w:t>Subdivision</w:t>
            </w:r>
            <w:r>
              <w:rPr>
                <w:spacing w:val="-1"/>
                <w:sz w:val="14"/>
              </w:rPr>
              <w:t> </w:t>
            </w:r>
            <w:r>
              <w:rPr>
                <w:sz w:val="14"/>
              </w:rPr>
              <w:t>(excludes</w:t>
            </w:r>
            <w:r>
              <w:rPr>
                <w:spacing w:val="-3"/>
                <w:sz w:val="14"/>
              </w:rPr>
              <w:t> </w:t>
            </w:r>
            <w:r>
              <w:rPr>
                <w:sz w:val="14"/>
              </w:rPr>
              <w:t>VicSmart</w:t>
            </w:r>
            <w:r>
              <w:rPr>
                <w:spacing w:val="-2"/>
                <w:sz w:val="14"/>
              </w:rPr>
              <w:t> </w:t>
            </w:r>
            <w:r>
              <w:rPr>
                <w:sz w:val="14"/>
              </w:rPr>
              <w:t>applications)</w:t>
            </w:r>
            <w:r>
              <w:rPr>
                <w:spacing w:val="-4"/>
                <w:sz w:val="14"/>
              </w:rPr>
              <w:t> </w:t>
            </w:r>
            <w:r>
              <w:rPr>
                <w:sz w:val="14"/>
              </w:rPr>
              <w:t>Class</w:t>
            </w:r>
            <w:r>
              <w:rPr>
                <w:spacing w:val="-4"/>
                <w:sz w:val="14"/>
              </w:rPr>
              <w:t> </w:t>
            </w:r>
            <w:r>
              <w:rPr>
                <w:sz w:val="14"/>
              </w:rPr>
              <w:t>21(b)</w:t>
            </w:r>
            <w:r>
              <w:rPr>
                <w:spacing w:val="-1"/>
                <w:sz w:val="14"/>
              </w:rPr>
              <w:t> </w:t>
            </w:r>
            <w:r>
              <w:rPr>
                <w:sz w:val="14"/>
              </w:rPr>
              <w:t>-</w:t>
            </w:r>
            <w:r>
              <w:rPr>
                <w:spacing w:val="-5"/>
                <w:sz w:val="14"/>
              </w:rPr>
              <w:t> </w:t>
            </w:r>
            <w:r>
              <w:rPr>
                <w:sz w:val="14"/>
              </w:rPr>
              <w:t>Create</w:t>
            </w:r>
            <w:r>
              <w:rPr>
                <w:spacing w:val="-1"/>
                <w:sz w:val="14"/>
              </w:rPr>
              <w:t> </w:t>
            </w:r>
            <w:r>
              <w:rPr>
                <w:sz w:val="14"/>
              </w:rPr>
              <w:t>or</w:t>
            </w:r>
            <w:r>
              <w:rPr>
                <w:spacing w:val="-1"/>
                <w:sz w:val="14"/>
              </w:rPr>
              <w:t> </w:t>
            </w:r>
            <w:r>
              <w:rPr>
                <w:sz w:val="14"/>
              </w:rPr>
              <w:t>remove</w:t>
            </w:r>
            <w:r>
              <w:rPr>
                <w:spacing w:val="-2"/>
                <w:sz w:val="14"/>
              </w:rPr>
              <w:t> </w:t>
            </w:r>
            <w:r>
              <w:rPr>
                <w:sz w:val="14"/>
              </w:rPr>
              <w:t>a</w:t>
            </w:r>
            <w:r>
              <w:rPr>
                <w:spacing w:val="-1"/>
                <w:sz w:val="14"/>
              </w:rPr>
              <w:t> </w:t>
            </w:r>
            <w:r>
              <w:rPr>
                <w:sz w:val="14"/>
              </w:rPr>
              <w:t>right</w:t>
            </w:r>
            <w:r>
              <w:rPr>
                <w:spacing w:val="-4"/>
                <w:sz w:val="14"/>
              </w:rPr>
              <w:t> </w:t>
            </w:r>
            <w:r>
              <w:rPr>
                <w:sz w:val="14"/>
              </w:rPr>
              <w:t>of</w:t>
            </w:r>
            <w:r>
              <w:rPr>
                <w:spacing w:val="40"/>
                <w:sz w:val="14"/>
              </w:rPr>
              <w:t> </w:t>
            </w:r>
            <w:r>
              <w:rPr>
                <w:sz w:val="14"/>
              </w:rPr>
              <w:t>way Application 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1"/>
              <w:jc w:val="right"/>
              <w:rPr>
                <w:sz w:val="14"/>
              </w:rPr>
            </w:pPr>
            <w:r>
              <w:rPr>
                <w:spacing w:val="-2"/>
                <w:sz w:val="14"/>
              </w:rPr>
              <w:t>1,453.40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2"/>
              <w:jc w:val="right"/>
              <w:rPr>
                <w:sz w:val="14"/>
              </w:rPr>
            </w:pPr>
            <w:r>
              <w:rPr>
                <w:spacing w:val="-2"/>
                <w:sz w:val="14"/>
              </w:rPr>
              <w:t>1,453.40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0" w:lineRule="exact"/>
              <w:ind w:left="95" w:right="79"/>
              <w:jc w:val="center"/>
              <w:rPr>
                <w:sz w:val="14"/>
              </w:rPr>
            </w:pPr>
            <w:r>
              <w:rPr>
                <w:spacing w:val="-5"/>
                <w:sz w:val="14"/>
              </w:rPr>
              <w:t>0.0</w:t>
            </w: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ight="181"/>
              <w:rPr>
                <w:sz w:val="14"/>
              </w:rPr>
            </w:pPr>
            <w:r>
              <w:rPr>
                <w:sz w:val="14"/>
              </w:rPr>
              <w:t>Subdivision</w:t>
            </w:r>
            <w:r>
              <w:rPr>
                <w:spacing w:val="-1"/>
                <w:sz w:val="14"/>
              </w:rPr>
              <w:t> </w:t>
            </w:r>
            <w:r>
              <w:rPr>
                <w:sz w:val="14"/>
              </w:rPr>
              <w:t>(excludes</w:t>
            </w:r>
            <w:r>
              <w:rPr>
                <w:spacing w:val="-3"/>
                <w:sz w:val="14"/>
              </w:rPr>
              <w:t> </w:t>
            </w:r>
            <w:r>
              <w:rPr>
                <w:sz w:val="14"/>
              </w:rPr>
              <w:t>VicSmart</w:t>
            </w:r>
            <w:r>
              <w:rPr>
                <w:spacing w:val="-2"/>
                <w:sz w:val="14"/>
              </w:rPr>
              <w:t> </w:t>
            </w:r>
            <w:r>
              <w:rPr>
                <w:sz w:val="14"/>
              </w:rPr>
              <w:t>applications)</w:t>
            </w:r>
            <w:r>
              <w:rPr>
                <w:spacing w:val="-4"/>
                <w:sz w:val="14"/>
              </w:rPr>
              <w:t> </w:t>
            </w:r>
            <w:r>
              <w:rPr>
                <w:sz w:val="14"/>
              </w:rPr>
              <w:t>Class</w:t>
            </w:r>
            <w:r>
              <w:rPr>
                <w:spacing w:val="-4"/>
                <w:sz w:val="14"/>
              </w:rPr>
              <w:t> </w:t>
            </w:r>
            <w:r>
              <w:rPr>
                <w:sz w:val="14"/>
              </w:rPr>
              <w:t>21(b)</w:t>
            </w:r>
            <w:r>
              <w:rPr>
                <w:spacing w:val="-1"/>
                <w:sz w:val="14"/>
              </w:rPr>
              <w:t> </w:t>
            </w:r>
            <w:r>
              <w:rPr>
                <w:sz w:val="14"/>
              </w:rPr>
              <w:t>-</w:t>
            </w:r>
            <w:r>
              <w:rPr>
                <w:spacing w:val="-5"/>
                <w:sz w:val="14"/>
              </w:rPr>
              <w:t> </w:t>
            </w:r>
            <w:r>
              <w:rPr>
                <w:sz w:val="14"/>
              </w:rPr>
              <w:t>Create</w:t>
            </w:r>
            <w:r>
              <w:rPr>
                <w:spacing w:val="-1"/>
                <w:sz w:val="14"/>
              </w:rPr>
              <w:t> </w:t>
            </w:r>
            <w:r>
              <w:rPr>
                <w:sz w:val="14"/>
              </w:rPr>
              <w:t>or</w:t>
            </w:r>
            <w:r>
              <w:rPr>
                <w:spacing w:val="-1"/>
                <w:sz w:val="14"/>
              </w:rPr>
              <w:t> </w:t>
            </w:r>
            <w:r>
              <w:rPr>
                <w:sz w:val="14"/>
              </w:rPr>
              <w:t>remove</w:t>
            </w:r>
            <w:r>
              <w:rPr>
                <w:spacing w:val="-2"/>
                <w:sz w:val="14"/>
              </w:rPr>
              <w:t> </w:t>
            </w:r>
            <w:r>
              <w:rPr>
                <w:sz w:val="14"/>
              </w:rPr>
              <w:t>a</w:t>
            </w:r>
            <w:r>
              <w:rPr>
                <w:spacing w:val="-1"/>
                <w:sz w:val="14"/>
              </w:rPr>
              <w:t> </w:t>
            </w:r>
            <w:r>
              <w:rPr>
                <w:sz w:val="14"/>
              </w:rPr>
              <w:t>right</w:t>
            </w:r>
            <w:r>
              <w:rPr>
                <w:spacing w:val="-4"/>
                <w:sz w:val="14"/>
              </w:rPr>
              <w:t> </w:t>
            </w:r>
            <w:r>
              <w:rPr>
                <w:sz w:val="14"/>
              </w:rPr>
              <w:t>of</w:t>
            </w:r>
            <w:r>
              <w:rPr>
                <w:spacing w:val="40"/>
                <w:sz w:val="14"/>
              </w:rPr>
              <w:t> </w:t>
            </w:r>
            <w:r>
              <w:rPr>
                <w:sz w:val="14"/>
              </w:rPr>
              <w:t>way Section 72 Amendment 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1"/>
              <w:jc w:val="right"/>
              <w:rPr>
                <w:sz w:val="14"/>
              </w:rPr>
            </w:pPr>
            <w:r>
              <w:rPr>
                <w:spacing w:val="-2"/>
                <w:sz w:val="14"/>
              </w:rPr>
              <w:t>1,453.40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2"/>
              <w:jc w:val="right"/>
              <w:rPr>
                <w:sz w:val="14"/>
              </w:rPr>
            </w:pPr>
            <w:r>
              <w:rPr>
                <w:spacing w:val="-2"/>
                <w:sz w:val="14"/>
              </w:rPr>
              <w:t>1,453.40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0" w:lineRule="exact"/>
              <w:ind w:left="95" w:right="79"/>
              <w:jc w:val="center"/>
              <w:rPr>
                <w:sz w:val="14"/>
              </w:rPr>
            </w:pPr>
            <w:r>
              <w:rPr>
                <w:spacing w:val="-5"/>
                <w:sz w:val="14"/>
              </w:rPr>
              <w:t>0.0</w:t>
            </w: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Pr>
                <w:sz w:val="14"/>
              </w:rPr>
            </w:pPr>
            <w:r>
              <w:rPr>
                <w:sz w:val="14"/>
              </w:rPr>
              <w:t>Subdivision</w:t>
            </w:r>
            <w:r>
              <w:rPr>
                <w:spacing w:val="-2"/>
                <w:sz w:val="14"/>
              </w:rPr>
              <w:t> </w:t>
            </w:r>
            <w:r>
              <w:rPr>
                <w:sz w:val="14"/>
              </w:rPr>
              <w:t>(excludes</w:t>
            </w:r>
            <w:r>
              <w:rPr>
                <w:spacing w:val="-4"/>
                <w:sz w:val="14"/>
              </w:rPr>
              <w:t> </w:t>
            </w:r>
            <w:r>
              <w:rPr>
                <w:sz w:val="14"/>
              </w:rPr>
              <w:t>VicSmart</w:t>
            </w:r>
            <w:r>
              <w:rPr>
                <w:spacing w:val="-3"/>
                <w:sz w:val="14"/>
              </w:rPr>
              <w:t> </w:t>
            </w:r>
            <w:r>
              <w:rPr>
                <w:sz w:val="14"/>
              </w:rPr>
              <w:t>applications)</w:t>
            </w:r>
            <w:r>
              <w:rPr>
                <w:spacing w:val="-4"/>
                <w:sz w:val="14"/>
              </w:rPr>
              <w:t> </w:t>
            </w:r>
            <w:r>
              <w:rPr>
                <w:sz w:val="14"/>
              </w:rPr>
              <w:t>Class</w:t>
            </w:r>
            <w:r>
              <w:rPr>
                <w:spacing w:val="-4"/>
                <w:sz w:val="14"/>
              </w:rPr>
              <w:t> </w:t>
            </w:r>
            <w:r>
              <w:rPr>
                <w:sz w:val="14"/>
              </w:rPr>
              <w:t>21(c)</w:t>
            </w:r>
            <w:r>
              <w:rPr>
                <w:spacing w:val="-4"/>
                <w:sz w:val="14"/>
              </w:rPr>
              <w:t> </w:t>
            </w:r>
            <w:r>
              <w:rPr>
                <w:sz w:val="14"/>
              </w:rPr>
              <w:t>-</w:t>
            </w:r>
            <w:r>
              <w:rPr>
                <w:spacing w:val="-1"/>
                <w:sz w:val="14"/>
              </w:rPr>
              <w:t> </w:t>
            </w:r>
            <w:r>
              <w:rPr>
                <w:sz w:val="14"/>
              </w:rPr>
              <w:t>Create,</w:t>
            </w:r>
            <w:r>
              <w:rPr>
                <w:spacing w:val="-4"/>
                <w:sz w:val="14"/>
              </w:rPr>
              <w:t> </w:t>
            </w:r>
            <w:r>
              <w:rPr>
                <w:sz w:val="14"/>
              </w:rPr>
              <w:t>vary</w:t>
            </w:r>
            <w:r>
              <w:rPr>
                <w:spacing w:val="-2"/>
                <w:sz w:val="14"/>
              </w:rPr>
              <w:t> </w:t>
            </w:r>
            <w:r>
              <w:rPr>
                <w:sz w:val="14"/>
              </w:rPr>
              <w:t>or</w:t>
            </w:r>
            <w:r>
              <w:rPr>
                <w:spacing w:val="-4"/>
                <w:sz w:val="14"/>
              </w:rPr>
              <w:t> </w:t>
            </w:r>
            <w:r>
              <w:rPr>
                <w:sz w:val="14"/>
              </w:rPr>
              <w:t>remove</w:t>
            </w:r>
            <w:r>
              <w:rPr>
                <w:spacing w:val="-3"/>
                <w:sz w:val="14"/>
              </w:rPr>
              <w:t> </w:t>
            </w:r>
            <w:r>
              <w:rPr>
                <w:sz w:val="14"/>
              </w:rPr>
              <w:t>an</w:t>
            </w:r>
            <w:r>
              <w:rPr>
                <w:spacing w:val="40"/>
                <w:sz w:val="14"/>
              </w:rPr>
              <w:t> </w:t>
            </w:r>
            <w:r>
              <w:rPr>
                <w:sz w:val="14"/>
              </w:rPr>
              <w:t>easement (other than right of way) Application 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1"/>
              <w:jc w:val="right"/>
              <w:rPr>
                <w:sz w:val="14"/>
              </w:rPr>
            </w:pPr>
            <w:r>
              <w:rPr>
                <w:spacing w:val="-2"/>
                <w:sz w:val="14"/>
              </w:rPr>
              <w:t>1,453.40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2"/>
              <w:jc w:val="right"/>
              <w:rPr>
                <w:sz w:val="14"/>
              </w:rPr>
            </w:pPr>
            <w:r>
              <w:rPr>
                <w:spacing w:val="-2"/>
                <w:sz w:val="14"/>
              </w:rPr>
              <w:t>1,453.40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0" w:lineRule="exact"/>
              <w:ind w:left="95" w:right="79"/>
              <w:jc w:val="center"/>
              <w:rPr>
                <w:sz w:val="14"/>
              </w:rPr>
            </w:pPr>
            <w:r>
              <w:rPr>
                <w:spacing w:val="-5"/>
                <w:sz w:val="14"/>
              </w:rPr>
              <w:t>0.0</w:t>
            </w: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Pr>
                <w:sz w:val="14"/>
              </w:rPr>
            </w:pPr>
            <w:r>
              <w:rPr>
                <w:sz w:val="14"/>
              </w:rPr>
              <w:t>Subdivision</w:t>
            </w:r>
            <w:r>
              <w:rPr>
                <w:spacing w:val="-2"/>
                <w:sz w:val="14"/>
              </w:rPr>
              <w:t> </w:t>
            </w:r>
            <w:r>
              <w:rPr>
                <w:sz w:val="14"/>
              </w:rPr>
              <w:t>(excludes</w:t>
            </w:r>
            <w:r>
              <w:rPr>
                <w:spacing w:val="-4"/>
                <w:sz w:val="14"/>
              </w:rPr>
              <w:t> </w:t>
            </w:r>
            <w:r>
              <w:rPr>
                <w:sz w:val="14"/>
              </w:rPr>
              <w:t>VicSmart</w:t>
            </w:r>
            <w:r>
              <w:rPr>
                <w:spacing w:val="-3"/>
                <w:sz w:val="14"/>
              </w:rPr>
              <w:t> </w:t>
            </w:r>
            <w:r>
              <w:rPr>
                <w:sz w:val="14"/>
              </w:rPr>
              <w:t>applications)</w:t>
            </w:r>
            <w:r>
              <w:rPr>
                <w:spacing w:val="-4"/>
                <w:sz w:val="14"/>
              </w:rPr>
              <w:t> </w:t>
            </w:r>
            <w:r>
              <w:rPr>
                <w:sz w:val="14"/>
              </w:rPr>
              <w:t>Class</w:t>
            </w:r>
            <w:r>
              <w:rPr>
                <w:spacing w:val="-4"/>
                <w:sz w:val="14"/>
              </w:rPr>
              <w:t> </w:t>
            </w:r>
            <w:r>
              <w:rPr>
                <w:sz w:val="14"/>
              </w:rPr>
              <w:t>21(c)</w:t>
            </w:r>
            <w:r>
              <w:rPr>
                <w:spacing w:val="-4"/>
                <w:sz w:val="14"/>
              </w:rPr>
              <w:t> </w:t>
            </w:r>
            <w:r>
              <w:rPr>
                <w:sz w:val="14"/>
              </w:rPr>
              <w:t>-</w:t>
            </w:r>
            <w:r>
              <w:rPr>
                <w:spacing w:val="-1"/>
                <w:sz w:val="14"/>
              </w:rPr>
              <w:t> </w:t>
            </w:r>
            <w:r>
              <w:rPr>
                <w:sz w:val="14"/>
              </w:rPr>
              <w:t>Create,</w:t>
            </w:r>
            <w:r>
              <w:rPr>
                <w:spacing w:val="-4"/>
                <w:sz w:val="14"/>
              </w:rPr>
              <w:t> </w:t>
            </w:r>
            <w:r>
              <w:rPr>
                <w:sz w:val="14"/>
              </w:rPr>
              <w:t>vary</w:t>
            </w:r>
            <w:r>
              <w:rPr>
                <w:spacing w:val="-2"/>
                <w:sz w:val="14"/>
              </w:rPr>
              <w:t> </w:t>
            </w:r>
            <w:r>
              <w:rPr>
                <w:sz w:val="14"/>
              </w:rPr>
              <w:t>or</w:t>
            </w:r>
            <w:r>
              <w:rPr>
                <w:spacing w:val="-4"/>
                <w:sz w:val="14"/>
              </w:rPr>
              <w:t> </w:t>
            </w:r>
            <w:r>
              <w:rPr>
                <w:sz w:val="14"/>
              </w:rPr>
              <w:t>remove</w:t>
            </w:r>
            <w:r>
              <w:rPr>
                <w:spacing w:val="-3"/>
                <w:sz w:val="14"/>
              </w:rPr>
              <w:t> </w:t>
            </w:r>
            <w:r>
              <w:rPr>
                <w:sz w:val="14"/>
              </w:rPr>
              <w:t>an</w:t>
            </w:r>
            <w:r>
              <w:rPr>
                <w:spacing w:val="40"/>
                <w:sz w:val="14"/>
              </w:rPr>
              <w:t> </w:t>
            </w:r>
            <w:r>
              <w:rPr>
                <w:sz w:val="14"/>
              </w:rPr>
              <w:t>easement (other than right of way) Section 72 Amendment 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1"/>
              <w:jc w:val="right"/>
              <w:rPr>
                <w:sz w:val="14"/>
              </w:rPr>
            </w:pPr>
            <w:r>
              <w:rPr>
                <w:spacing w:val="-2"/>
                <w:sz w:val="14"/>
              </w:rPr>
              <w:t>1,453.40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2"/>
              <w:jc w:val="right"/>
              <w:rPr>
                <w:sz w:val="14"/>
              </w:rPr>
            </w:pPr>
            <w:r>
              <w:rPr>
                <w:spacing w:val="-2"/>
                <w:sz w:val="14"/>
              </w:rPr>
              <w:t>1,453.40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0" w:lineRule="exact"/>
              <w:ind w:left="95" w:right="79"/>
              <w:jc w:val="center"/>
              <w:rPr>
                <w:sz w:val="14"/>
              </w:rPr>
            </w:pPr>
            <w:r>
              <w:rPr>
                <w:spacing w:val="-5"/>
                <w:sz w:val="14"/>
              </w:rPr>
              <w:t>0.0</w:t>
            </w:r>
          </w:p>
        </w:tc>
      </w:tr>
      <w:tr>
        <w:trPr>
          <w:trHeight w:val="53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before="3"/>
              <w:rPr>
                <w:sz w:val="17"/>
              </w:rPr>
            </w:pPr>
          </w:p>
          <w:p>
            <w:pPr>
              <w:pStyle w:val="TableParagraph"/>
              <w:spacing w:line="160" w:lineRule="atLeast"/>
              <w:ind w:left="107" w:right="72"/>
              <w:rPr>
                <w:sz w:val="14"/>
              </w:rPr>
            </w:pPr>
            <w:r>
              <w:rPr>
                <w:sz w:val="14"/>
              </w:rPr>
              <w:t>Subdivision</w:t>
            </w:r>
            <w:r>
              <w:rPr>
                <w:spacing w:val="-1"/>
                <w:sz w:val="14"/>
              </w:rPr>
              <w:t> </w:t>
            </w:r>
            <w:r>
              <w:rPr>
                <w:sz w:val="14"/>
              </w:rPr>
              <w:t>(excludes</w:t>
            </w:r>
            <w:r>
              <w:rPr>
                <w:spacing w:val="-3"/>
                <w:sz w:val="14"/>
              </w:rPr>
              <w:t> </w:t>
            </w:r>
            <w:r>
              <w:rPr>
                <w:sz w:val="14"/>
              </w:rPr>
              <w:t>VicSmart</w:t>
            </w:r>
            <w:r>
              <w:rPr>
                <w:spacing w:val="-2"/>
                <w:sz w:val="14"/>
              </w:rPr>
              <w:t> </w:t>
            </w:r>
            <w:r>
              <w:rPr>
                <w:sz w:val="14"/>
              </w:rPr>
              <w:t>applications)</w:t>
            </w:r>
            <w:r>
              <w:rPr>
                <w:spacing w:val="-4"/>
                <w:sz w:val="14"/>
              </w:rPr>
              <w:t> </w:t>
            </w:r>
            <w:r>
              <w:rPr>
                <w:sz w:val="14"/>
              </w:rPr>
              <w:t>Class</w:t>
            </w:r>
            <w:r>
              <w:rPr>
                <w:spacing w:val="-4"/>
                <w:sz w:val="14"/>
              </w:rPr>
              <w:t> </w:t>
            </w:r>
            <w:r>
              <w:rPr>
                <w:sz w:val="14"/>
              </w:rPr>
              <w:t>21(d)</w:t>
            </w:r>
            <w:r>
              <w:rPr>
                <w:spacing w:val="-1"/>
                <w:sz w:val="14"/>
              </w:rPr>
              <w:t> </w:t>
            </w:r>
            <w:r>
              <w:rPr>
                <w:sz w:val="14"/>
              </w:rPr>
              <w:t>-</w:t>
            </w:r>
            <w:r>
              <w:rPr>
                <w:spacing w:val="-5"/>
                <w:sz w:val="14"/>
              </w:rPr>
              <w:t> </w:t>
            </w:r>
            <w:r>
              <w:rPr>
                <w:sz w:val="14"/>
              </w:rPr>
              <w:t>Vary</w:t>
            </w:r>
            <w:r>
              <w:rPr>
                <w:spacing w:val="-1"/>
                <w:sz w:val="14"/>
              </w:rPr>
              <w:t> </w:t>
            </w:r>
            <w:r>
              <w:rPr>
                <w:sz w:val="14"/>
              </w:rPr>
              <w:t>or</w:t>
            </w:r>
            <w:r>
              <w:rPr>
                <w:spacing w:val="-1"/>
                <w:sz w:val="14"/>
              </w:rPr>
              <w:t> </w:t>
            </w:r>
            <w:r>
              <w:rPr>
                <w:sz w:val="14"/>
              </w:rPr>
              <w:t>remove</w:t>
            </w:r>
            <w:r>
              <w:rPr>
                <w:spacing w:val="-5"/>
                <w:sz w:val="14"/>
              </w:rPr>
              <w:t> </w:t>
            </w:r>
            <w:r>
              <w:rPr>
                <w:sz w:val="14"/>
              </w:rPr>
              <w:t>a</w:t>
            </w:r>
            <w:r>
              <w:rPr>
                <w:spacing w:val="-1"/>
                <w:sz w:val="14"/>
              </w:rPr>
              <w:t> </w:t>
            </w:r>
            <w:r>
              <w:rPr>
                <w:sz w:val="14"/>
              </w:rPr>
              <w:t>condition</w:t>
            </w:r>
            <w:r>
              <w:rPr>
                <w:spacing w:val="-2"/>
                <w:sz w:val="14"/>
              </w:rPr>
              <w:t> </w:t>
            </w:r>
            <w:r>
              <w:rPr>
                <w:sz w:val="14"/>
              </w:rPr>
              <w:t>in</w:t>
            </w:r>
            <w:r>
              <w:rPr>
                <w:spacing w:val="40"/>
                <w:sz w:val="14"/>
              </w:rPr>
              <w:t> </w:t>
            </w:r>
            <w:r>
              <w:rPr>
                <w:sz w:val="14"/>
              </w:rPr>
              <w:t>the nature of an easement (other than right of way) in a crown grants Application 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7"/>
              </w:rPr>
            </w:pPr>
          </w:p>
          <w:p>
            <w:pPr>
              <w:pStyle w:val="TableParagraph"/>
              <w:spacing w:line="140" w:lineRule="exact"/>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7"/>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7"/>
              </w:rPr>
            </w:pPr>
          </w:p>
          <w:p>
            <w:pPr>
              <w:pStyle w:val="TableParagraph"/>
              <w:spacing w:line="140" w:lineRule="exact"/>
              <w:ind w:right="91"/>
              <w:jc w:val="right"/>
              <w:rPr>
                <w:sz w:val="14"/>
              </w:rPr>
            </w:pPr>
            <w:r>
              <w:rPr>
                <w:spacing w:val="-2"/>
                <w:sz w:val="14"/>
              </w:rPr>
              <w:t>1,453.40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7"/>
              </w:rPr>
            </w:pPr>
          </w:p>
          <w:p>
            <w:pPr>
              <w:pStyle w:val="TableParagraph"/>
              <w:spacing w:line="140" w:lineRule="exact"/>
              <w:ind w:right="92"/>
              <w:jc w:val="right"/>
              <w:rPr>
                <w:sz w:val="14"/>
              </w:rPr>
            </w:pPr>
            <w:r>
              <w:rPr>
                <w:spacing w:val="-2"/>
                <w:sz w:val="14"/>
              </w:rPr>
              <w:t>1,453.40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sz w:val="16"/>
              </w:rPr>
            </w:pPr>
          </w:p>
          <w:p>
            <w:pPr>
              <w:pStyle w:val="TableParagraph"/>
              <w:rPr>
                <w:sz w:val="17"/>
              </w:rPr>
            </w:pPr>
          </w:p>
          <w:p>
            <w:pPr>
              <w:pStyle w:val="TableParagraph"/>
              <w:spacing w:line="140" w:lineRule="exact"/>
              <w:ind w:left="95" w:right="79"/>
              <w:jc w:val="center"/>
              <w:rPr>
                <w:sz w:val="14"/>
              </w:rPr>
            </w:pPr>
            <w:r>
              <w:rPr>
                <w:spacing w:val="-5"/>
                <w:sz w:val="14"/>
              </w:rPr>
              <w:t>0.0</w:t>
            </w:r>
          </w:p>
        </w:tc>
      </w:tr>
      <w:tr>
        <w:trPr>
          <w:trHeight w:val="54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39"/>
              <w:ind w:left="107" w:right="72"/>
              <w:rPr>
                <w:sz w:val="14"/>
              </w:rPr>
            </w:pPr>
            <w:r>
              <w:rPr>
                <w:sz w:val="14"/>
              </w:rPr>
              <w:t>Subdivision</w:t>
            </w:r>
            <w:r>
              <w:rPr>
                <w:spacing w:val="-1"/>
                <w:sz w:val="14"/>
              </w:rPr>
              <w:t> </w:t>
            </w:r>
            <w:r>
              <w:rPr>
                <w:sz w:val="14"/>
              </w:rPr>
              <w:t>(excludes</w:t>
            </w:r>
            <w:r>
              <w:rPr>
                <w:spacing w:val="-3"/>
                <w:sz w:val="14"/>
              </w:rPr>
              <w:t> </w:t>
            </w:r>
            <w:r>
              <w:rPr>
                <w:sz w:val="14"/>
              </w:rPr>
              <w:t>VicSmart</w:t>
            </w:r>
            <w:r>
              <w:rPr>
                <w:spacing w:val="-2"/>
                <w:sz w:val="14"/>
              </w:rPr>
              <w:t> </w:t>
            </w:r>
            <w:r>
              <w:rPr>
                <w:sz w:val="14"/>
              </w:rPr>
              <w:t>applications)</w:t>
            </w:r>
            <w:r>
              <w:rPr>
                <w:spacing w:val="-4"/>
                <w:sz w:val="14"/>
              </w:rPr>
              <w:t> </w:t>
            </w:r>
            <w:r>
              <w:rPr>
                <w:sz w:val="14"/>
              </w:rPr>
              <w:t>Class</w:t>
            </w:r>
            <w:r>
              <w:rPr>
                <w:spacing w:val="-4"/>
                <w:sz w:val="14"/>
              </w:rPr>
              <w:t> </w:t>
            </w:r>
            <w:r>
              <w:rPr>
                <w:sz w:val="14"/>
              </w:rPr>
              <w:t>21(d)</w:t>
            </w:r>
            <w:r>
              <w:rPr>
                <w:spacing w:val="-1"/>
                <w:sz w:val="14"/>
              </w:rPr>
              <w:t> </w:t>
            </w:r>
            <w:r>
              <w:rPr>
                <w:sz w:val="14"/>
              </w:rPr>
              <w:t>-</w:t>
            </w:r>
            <w:r>
              <w:rPr>
                <w:spacing w:val="-5"/>
                <w:sz w:val="14"/>
              </w:rPr>
              <w:t> </w:t>
            </w:r>
            <w:r>
              <w:rPr>
                <w:sz w:val="14"/>
              </w:rPr>
              <w:t>Vary</w:t>
            </w:r>
            <w:r>
              <w:rPr>
                <w:spacing w:val="-1"/>
                <w:sz w:val="14"/>
              </w:rPr>
              <w:t> </w:t>
            </w:r>
            <w:r>
              <w:rPr>
                <w:sz w:val="14"/>
              </w:rPr>
              <w:t>or</w:t>
            </w:r>
            <w:r>
              <w:rPr>
                <w:spacing w:val="-1"/>
                <w:sz w:val="14"/>
              </w:rPr>
              <w:t> </w:t>
            </w:r>
            <w:r>
              <w:rPr>
                <w:sz w:val="14"/>
              </w:rPr>
              <w:t>remove</w:t>
            </w:r>
            <w:r>
              <w:rPr>
                <w:spacing w:val="-5"/>
                <w:sz w:val="14"/>
              </w:rPr>
              <w:t> </w:t>
            </w:r>
            <w:r>
              <w:rPr>
                <w:sz w:val="14"/>
              </w:rPr>
              <w:t>a</w:t>
            </w:r>
            <w:r>
              <w:rPr>
                <w:spacing w:val="-1"/>
                <w:sz w:val="14"/>
              </w:rPr>
              <w:t> </w:t>
            </w:r>
            <w:r>
              <w:rPr>
                <w:sz w:val="14"/>
              </w:rPr>
              <w:t>condition</w:t>
            </w:r>
            <w:r>
              <w:rPr>
                <w:spacing w:val="-2"/>
                <w:sz w:val="14"/>
              </w:rPr>
              <w:t> </w:t>
            </w:r>
            <w:r>
              <w:rPr>
                <w:sz w:val="14"/>
              </w:rPr>
              <w:t>in</w:t>
            </w:r>
            <w:r>
              <w:rPr>
                <w:spacing w:val="40"/>
                <w:sz w:val="14"/>
              </w:rPr>
              <w:t> </w:t>
            </w:r>
            <w:r>
              <w:rPr>
                <w:sz w:val="14"/>
              </w:rPr>
              <w:t>the nature of an easement (other than right of way) in a crown grants Section 72</w:t>
            </w:r>
            <w:r>
              <w:rPr>
                <w:spacing w:val="40"/>
                <w:sz w:val="14"/>
              </w:rPr>
              <w:t> </w:t>
            </w:r>
            <w:r>
              <w:rPr>
                <w:sz w:val="14"/>
              </w:rPr>
              <w:t>Amendment</w:t>
            </w:r>
            <w:r>
              <w:rPr>
                <w:spacing w:val="-6"/>
                <w:sz w:val="14"/>
              </w:rPr>
              <w:t> </w:t>
            </w:r>
            <w:r>
              <w:rPr>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7"/>
              </w:rPr>
            </w:pPr>
          </w:p>
          <w:p>
            <w:pPr>
              <w:pStyle w:val="TableParagraph"/>
              <w:spacing w:line="142" w:lineRule="exact"/>
              <w:ind w:left="23"/>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7"/>
              </w:rPr>
            </w:pPr>
          </w:p>
          <w:p>
            <w:pPr>
              <w:pStyle w:val="TableParagraph"/>
              <w:spacing w:line="142" w:lineRule="exact"/>
              <w:ind w:left="300"/>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7"/>
              </w:rPr>
            </w:pPr>
          </w:p>
          <w:p>
            <w:pPr>
              <w:pStyle w:val="TableParagraph"/>
              <w:spacing w:line="142" w:lineRule="exact"/>
              <w:ind w:right="91"/>
              <w:jc w:val="right"/>
              <w:rPr>
                <w:sz w:val="14"/>
              </w:rPr>
            </w:pPr>
            <w:r>
              <w:rPr>
                <w:spacing w:val="-2"/>
                <w:sz w:val="14"/>
              </w:rPr>
              <w:t>1,453.40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7"/>
              </w:rPr>
            </w:pPr>
          </w:p>
          <w:p>
            <w:pPr>
              <w:pStyle w:val="TableParagraph"/>
              <w:spacing w:line="142" w:lineRule="exact"/>
              <w:ind w:right="92"/>
              <w:jc w:val="right"/>
              <w:rPr>
                <w:sz w:val="14"/>
              </w:rPr>
            </w:pPr>
            <w:r>
              <w:rPr>
                <w:spacing w:val="-2"/>
                <w:sz w:val="14"/>
              </w:rPr>
              <w:t>1,453.40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sz w:val="16"/>
              </w:rPr>
            </w:pPr>
          </w:p>
          <w:p>
            <w:pPr>
              <w:pStyle w:val="TableParagraph"/>
              <w:rPr>
                <w:sz w:val="17"/>
              </w:rPr>
            </w:pPr>
          </w:p>
          <w:p>
            <w:pPr>
              <w:pStyle w:val="TableParagraph"/>
              <w:spacing w:line="142" w:lineRule="exact"/>
              <w:ind w:left="95" w:right="80"/>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Use</w:t>
            </w:r>
            <w:r>
              <w:rPr>
                <w:spacing w:val="-5"/>
                <w:sz w:val="14"/>
              </w:rPr>
              <w:t> </w:t>
            </w:r>
            <w:r>
              <w:rPr>
                <w:sz w:val="14"/>
              </w:rPr>
              <w:t>of</w:t>
            </w:r>
            <w:r>
              <w:rPr>
                <w:spacing w:val="-4"/>
                <w:sz w:val="14"/>
              </w:rPr>
              <w:t> </w:t>
            </w:r>
            <w:r>
              <w:rPr>
                <w:sz w:val="14"/>
              </w:rPr>
              <w:t>land</w:t>
            </w:r>
            <w:r>
              <w:rPr>
                <w:spacing w:val="-4"/>
                <w:sz w:val="14"/>
              </w:rPr>
              <w:t> </w:t>
            </w:r>
            <w:r>
              <w:rPr>
                <w:sz w:val="14"/>
              </w:rPr>
              <w:t>Class</w:t>
            </w:r>
            <w:r>
              <w:rPr>
                <w:spacing w:val="-1"/>
                <w:sz w:val="14"/>
              </w:rPr>
              <w:t> </w:t>
            </w:r>
            <w:r>
              <w:rPr>
                <w:sz w:val="14"/>
              </w:rPr>
              <w:t>1</w:t>
            </w:r>
            <w:r>
              <w:rPr>
                <w:spacing w:val="-5"/>
                <w:sz w:val="14"/>
              </w:rPr>
              <w:t> </w:t>
            </w:r>
            <w:r>
              <w:rPr>
                <w:sz w:val="14"/>
              </w:rPr>
              <w:t>(includes</w:t>
            </w:r>
            <w:r>
              <w:rPr>
                <w:spacing w:val="-4"/>
                <w:sz w:val="14"/>
              </w:rPr>
              <w:t> </w:t>
            </w:r>
            <w:r>
              <w:rPr>
                <w:sz w:val="14"/>
              </w:rPr>
              <w:t>car</w:t>
            </w:r>
            <w:r>
              <w:rPr>
                <w:spacing w:val="-5"/>
                <w:sz w:val="14"/>
              </w:rPr>
              <w:t> </w:t>
            </w:r>
            <w:r>
              <w:rPr>
                <w:sz w:val="14"/>
              </w:rPr>
              <w:t>parking</w:t>
            </w:r>
            <w:r>
              <w:rPr>
                <w:spacing w:val="-2"/>
                <w:sz w:val="14"/>
              </w:rPr>
              <w:t> </w:t>
            </w:r>
            <w:r>
              <w:rPr>
                <w:sz w:val="14"/>
              </w:rPr>
              <w:t>and</w:t>
            </w:r>
            <w:r>
              <w:rPr>
                <w:spacing w:val="-1"/>
                <w:sz w:val="14"/>
              </w:rPr>
              <w:t> </w:t>
            </w:r>
            <w:r>
              <w:rPr>
                <w:sz w:val="14"/>
              </w:rPr>
              <w:t>liquor</w:t>
            </w:r>
            <w:r>
              <w:rPr>
                <w:spacing w:val="-2"/>
                <w:sz w:val="14"/>
              </w:rPr>
              <w:t> </w:t>
            </w:r>
            <w:r>
              <w:rPr>
                <w:sz w:val="14"/>
              </w:rPr>
              <w:t>licence </w:t>
            </w:r>
            <w:r>
              <w:rPr>
                <w:spacing w:val="-2"/>
                <w:sz w:val="14"/>
              </w:rPr>
              <w:t>applications)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1,453.40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1,453.40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Pr>
                <w:sz w:val="14"/>
              </w:rPr>
            </w:pPr>
            <w:r>
              <w:rPr>
                <w:sz w:val="14"/>
              </w:rPr>
              <w:t>Use</w:t>
            </w:r>
            <w:r>
              <w:rPr>
                <w:spacing w:val="-3"/>
                <w:sz w:val="14"/>
              </w:rPr>
              <w:t> </w:t>
            </w:r>
            <w:r>
              <w:rPr>
                <w:sz w:val="14"/>
              </w:rPr>
              <w:t>of</w:t>
            </w:r>
            <w:r>
              <w:rPr>
                <w:spacing w:val="-3"/>
                <w:sz w:val="14"/>
              </w:rPr>
              <w:t> </w:t>
            </w:r>
            <w:r>
              <w:rPr>
                <w:sz w:val="14"/>
              </w:rPr>
              <w:t>land</w:t>
            </w:r>
            <w:r>
              <w:rPr>
                <w:spacing w:val="-3"/>
                <w:sz w:val="14"/>
              </w:rPr>
              <w:t> </w:t>
            </w:r>
            <w:r>
              <w:rPr>
                <w:sz w:val="14"/>
              </w:rPr>
              <w:t>Class 1</w:t>
            </w:r>
            <w:r>
              <w:rPr>
                <w:spacing w:val="-4"/>
                <w:sz w:val="14"/>
              </w:rPr>
              <w:t> </w:t>
            </w:r>
            <w:r>
              <w:rPr>
                <w:sz w:val="14"/>
              </w:rPr>
              <w:t>Amendment</w:t>
            </w:r>
            <w:r>
              <w:rPr>
                <w:spacing w:val="-3"/>
                <w:sz w:val="14"/>
              </w:rPr>
              <w:t> </w:t>
            </w:r>
            <w:r>
              <w:rPr>
                <w:sz w:val="14"/>
              </w:rPr>
              <w:t>to</w:t>
            </w:r>
            <w:r>
              <w:rPr>
                <w:spacing w:val="-1"/>
                <w:sz w:val="14"/>
              </w:rPr>
              <w:t> </w:t>
            </w:r>
            <w:r>
              <w:rPr>
                <w:sz w:val="14"/>
              </w:rPr>
              <w:t>a</w:t>
            </w:r>
            <w:r>
              <w:rPr>
                <w:spacing w:val="-2"/>
                <w:sz w:val="14"/>
              </w:rPr>
              <w:t> </w:t>
            </w:r>
            <w:r>
              <w:rPr>
                <w:sz w:val="14"/>
              </w:rPr>
              <w:t>permit</w:t>
            </w:r>
            <w:r>
              <w:rPr>
                <w:spacing w:val="-3"/>
                <w:sz w:val="14"/>
              </w:rPr>
              <w:t> </w:t>
            </w:r>
            <w:r>
              <w:rPr>
                <w:sz w:val="14"/>
              </w:rPr>
              <w:t>to</w:t>
            </w:r>
            <w:r>
              <w:rPr>
                <w:spacing w:val="-2"/>
                <w:sz w:val="14"/>
              </w:rPr>
              <w:t> </w:t>
            </w:r>
            <w:r>
              <w:rPr>
                <w:sz w:val="14"/>
              </w:rPr>
              <w:t>change</w:t>
            </w:r>
            <w:r>
              <w:rPr>
                <w:spacing w:val="-2"/>
                <w:sz w:val="14"/>
              </w:rPr>
              <w:t> </w:t>
            </w:r>
            <w:r>
              <w:rPr>
                <w:sz w:val="14"/>
              </w:rPr>
              <w:t>the</w:t>
            </w:r>
            <w:r>
              <w:rPr>
                <w:spacing w:val="-1"/>
                <w:sz w:val="14"/>
              </w:rPr>
              <w:t> </w:t>
            </w:r>
            <w:r>
              <w:rPr>
                <w:sz w:val="14"/>
              </w:rPr>
              <w:t>use</w:t>
            </w:r>
            <w:r>
              <w:rPr>
                <w:spacing w:val="-3"/>
                <w:sz w:val="14"/>
              </w:rPr>
              <w:t> </w:t>
            </w:r>
            <w:r>
              <w:rPr>
                <w:sz w:val="14"/>
              </w:rPr>
              <w:t>allowed</w:t>
            </w:r>
            <w:r>
              <w:rPr>
                <w:spacing w:val="-3"/>
                <w:sz w:val="14"/>
              </w:rPr>
              <w:t> </w:t>
            </w:r>
            <w:r>
              <w:rPr>
                <w:sz w:val="14"/>
              </w:rPr>
              <w:t>by</w:t>
            </w:r>
            <w:r>
              <w:rPr>
                <w:spacing w:val="-3"/>
                <w:sz w:val="14"/>
              </w:rPr>
              <w:t> </w:t>
            </w:r>
            <w:r>
              <w:rPr>
                <w:sz w:val="14"/>
              </w:rPr>
              <w:t>the permit</w:t>
            </w:r>
            <w:r>
              <w:rPr>
                <w:spacing w:val="-1"/>
                <w:sz w:val="14"/>
              </w:rPr>
              <w:t> </w:t>
            </w:r>
            <w:r>
              <w:rPr>
                <w:sz w:val="14"/>
              </w:rPr>
              <w:t>or</w:t>
            </w:r>
            <w:r>
              <w:rPr>
                <w:spacing w:val="40"/>
                <w:sz w:val="14"/>
              </w:rPr>
              <w:t> </w:t>
            </w:r>
            <w:r>
              <w:rPr>
                <w:sz w:val="14"/>
              </w:rPr>
              <w:t>allow a new use of land</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1"/>
              <w:jc w:val="right"/>
              <w:rPr>
                <w:sz w:val="14"/>
              </w:rPr>
            </w:pPr>
            <w:r>
              <w:rPr>
                <w:spacing w:val="-2"/>
                <w:sz w:val="14"/>
              </w:rPr>
              <w:t>1,453.40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2"/>
              <w:jc w:val="right"/>
              <w:rPr>
                <w:sz w:val="14"/>
              </w:rPr>
            </w:pPr>
            <w:r>
              <w:rPr>
                <w:spacing w:val="-2"/>
                <w:sz w:val="14"/>
              </w:rPr>
              <w:t>1,453.40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0" w:lineRule="exact"/>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VicSmart</w:t>
            </w:r>
            <w:r>
              <w:rPr>
                <w:spacing w:val="-5"/>
                <w:sz w:val="14"/>
              </w:rPr>
              <w:t> </w:t>
            </w:r>
            <w:r>
              <w:rPr>
                <w:sz w:val="14"/>
              </w:rPr>
              <w:t>Class</w:t>
            </w:r>
            <w:r>
              <w:rPr>
                <w:spacing w:val="-5"/>
                <w:sz w:val="14"/>
              </w:rPr>
              <w:t> </w:t>
            </w:r>
            <w:r>
              <w:rPr>
                <w:sz w:val="14"/>
              </w:rPr>
              <w:t>7</w:t>
            </w:r>
            <w:r>
              <w:rPr>
                <w:spacing w:val="-1"/>
                <w:sz w:val="14"/>
              </w:rPr>
              <w:t> </w:t>
            </w:r>
            <w:r>
              <w:rPr>
                <w:sz w:val="14"/>
              </w:rPr>
              <w:t>-</w:t>
            </w:r>
            <w:r>
              <w:rPr>
                <w:spacing w:val="-2"/>
                <w:sz w:val="14"/>
              </w:rPr>
              <w:t> </w:t>
            </w:r>
            <w:r>
              <w:rPr>
                <w:sz w:val="14"/>
              </w:rPr>
              <w:t>up</w:t>
            </w:r>
            <w:r>
              <w:rPr>
                <w:spacing w:val="-1"/>
                <w:sz w:val="14"/>
              </w:rPr>
              <w:t> </w:t>
            </w:r>
            <w:r>
              <w:rPr>
                <w:sz w:val="14"/>
              </w:rPr>
              <w:t>to</w:t>
            </w:r>
            <w:r>
              <w:rPr>
                <w:spacing w:val="-1"/>
                <w:sz w:val="14"/>
              </w:rPr>
              <w:t> </w:t>
            </w:r>
            <w:r>
              <w:rPr>
                <w:sz w:val="14"/>
              </w:rPr>
              <w:t>$10,000</w:t>
            </w:r>
            <w:r>
              <w:rPr>
                <w:spacing w:val="-4"/>
                <w:sz w:val="14"/>
              </w:rPr>
              <w:t> </w:t>
            </w:r>
            <w:r>
              <w:rPr>
                <w:sz w:val="14"/>
              </w:rPr>
              <w:t>Application</w:t>
            </w:r>
            <w:r>
              <w:rPr>
                <w:spacing w:val="-5"/>
                <w:sz w:val="14"/>
              </w:rPr>
              <w:t> 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220.50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220.50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VicSmart</w:t>
            </w:r>
            <w:r>
              <w:rPr>
                <w:spacing w:val="-5"/>
                <w:sz w:val="14"/>
              </w:rPr>
              <w:t> </w:t>
            </w:r>
            <w:r>
              <w:rPr>
                <w:sz w:val="14"/>
              </w:rPr>
              <w:t>Class</w:t>
            </w:r>
            <w:r>
              <w:rPr>
                <w:spacing w:val="-5"/>
                <w:sz w:val="14"/>
              </w:rPr>
              <w:t> </w:t>
            </w:r>
            <w:r>
              <w:rPr>
                <w:sz w:val="14"/>
              </w:rPr>
              <w:t>7</w:t>
            </w:r>
            <w:r>
              <w:rPr>
                <w:spacing w:val="-2"/>
                <w:sz w:val="14"/>
              </w:rPr>
              <w:t> </w:t>
            </w:r>
            <w:r>
              <w:rPr>
                <w:sz w:val="14"/>
              </w:rPr>
              <w:t>-</w:t>
            </w:r>
            <w:r>
              <w:rPr>
                <w:spacing w:val="-2"/>
                <w:sz w:val="14"/>
              </w:rPr>
              <w:t> </w:t>
            </w:r>
            <w:r>
              <w:rPr>
                <w:sz w:val="14"/>
              </w:rPr>
              <w:t>up</w:t>
            </w:r>
            <w:r>
              <w:rPr>
                <w:spacing w:val="-1"/>
                <w:sz w:val="14"/>
              </w:rPr>
              <w:t> </w:t>
            </w:r>
            <w:r>
              <w:rPr>
                <w:sz w:val="14"/>
              </w:rPr>
              <w:t>to</w:t>
            </w:r>
            <w:r>
              <w:rPr>
                <w:spacing w:val="-1"/>
                <w:sz w:val="14"/>
              </w:rPr>
              <w:t> </w:t>
            </w:r>
            <w:r>
              <w:rPr>
                <w:sz w:val="14"/>
              </w:rPr>
              <w:t>$10,000</w:t>
            </w:r>
            <w:r>
              <w:rPr>
                <w:spacing w:val="-4"/>
                <w:sz w:val="14"/>
              </w:rPr>
              <w:t> </w:t>
            </w:r>
            <w:r>
              <w:rPr>
                <w:sz w:val="14"/>
              </w:rPr>
              <w:t>Section</w:t>
            </w:r>
            <w:r>
              <w:rPr>
                <w:spacing w:val="-1"/>
                <w:sz w:val="14"/>
              </w:rPr>
              <w:t> </w:t>
            </w:r>
            <w:r>
              <w:rPr>
                <w:sz w:val="14"/>
              </w:rPr>
              <w:t>72</w:t>
            </w:r>
            <w:r>
              <w:rPr>
                <w:spacing w:val="-6"/>
                <w:sz w:val="14"/>
              </w:rPr>
              <w:t> </w:t>
            </w:r>
            <w:r>
              <w:rPr>
                <w:sz w:val="14"/>
              </w:rPr>
              <w:t>Amendment</w:t>
            </w:r>
            <w:r>
              <w:rPr>
                <w:spacing w:val="-4"/>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220.50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220.50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VicSmart</w:t>
            </w:r>
            <w:r>
              <w:rPr>
                <w:spacing w:val="-6"/>
                <w:sz w:val="14"/>
              </w:rPr>
              <w:t> </w:t>
            </w:r>
            <w:r>
              <w:rPr>
                <w:sz w:val="14"/>
              </w:rPr>
              <w:t>Class</w:t>
            </w:r>
            <w:r>
              <w:rPr>
                <w:spacing w:val="-5"/>
                <w:sz w:val="14"/>
              </w:rPr>
              <w:t> </w:t>
            </w:r>
            <w:r>
              <w:rPr>
                <w:sz w:val="14"/>
              </w:rPr>
              <w:t>8</w:t>
            </w:r>
            <w:r>
              <w:rPr>
                <w:spacing w:val="-2"/>
                <w:sz w:val="14"/>
              </w:rPr>
              <w:t> </w:t>
            </w:r>
            <w:r>
              <w:rPr>
                <w:sz w:val="14"/>
              </w:rPr>
              <w:t>-</w:t>
            </w:r>
            <w:r>
              <w:rPr>
                <w:spacing w:val="-5"/>
                <w:sz w:val="14"/>
              </w:rPr>
              <w:t> </w:t>
            </w:r>
            <w:r>
              <w:rPr>
                <w:sz w:val="14"/>
              </w:rPr>
              <w:t>more</w:t>
            </w:r>
            <w:r>
              <w:rPr>
                <w:spacing w:val="-3"/>
                <w:sz w:val="14"/>
              </w:rPr>
              <w:t> </w:t>
            </w:r>
            <w:r>
              <w:rPr>
                <w:sz w:val="14"/>
              </w:rPr>
              <w:t>than</w:t>
            </w:r>
            <w:r>
              <w:rPr>
                <w:spacing w:val="-1"/>
                <w:sz w:val="14"/>
              </w:rPr>
              <w:t> </w:t>
            </w:r>
            <w:r>
              <w:rPr>
                <w:sz w:val="14"/>
              </w:rPr>
              <w:t>$10,000</w:t>
            </w:r>
            <w:r>
              <w:rPr>
                <w:spacing w:val="-3"/>
                <w:sz w:val="14"/>
              </w:rPr>
              <w:t> </w:t>
            </w:r>
            <w:r>
              <w:rPr>
                <w:sz w:val="14"/>
              </w:rPr>
              <w:t>Application</w:t>
            </w:r>
            <w:r>
              <w:rPr>
                <w:spacing w:val="-3"/>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473.60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473.60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9"/>
              <w:ind w:left="107"/>
              <w:rPr>
                <w:sz w:val="14"/>
              </w:rPr>
            </w:pPr>
            <w:r>
              <w:rPr>
                <w:sz w:val="14"/>
              </w:rPr>
              <w:t>VicSmart</w:t>
            </w:r>
            <w:r>
              <w:rPr>
                <w:spacing w:val="-5"/>
                <w:sz w:val="14"/>
              </w:rPr>
              <w:t> </w:t>
            </w:r>
            <w:r>
              <w:rPr>
                <w:sz w:val="14"/>
              </w:rPr>
              <w:t>Class</w:t>
            </w:r>
            <w:r>
              <w:rPr>
                <w:spacing w:val="-5"/>
                <w:sz w:val="14"/>
              </w:rPr>
              <w:t> </w:t>
            </w:r>
            <w:r>
              <w:rPr>
                <w:sz w:val="14"/>
              </w:rPr>
              <w:t>8</w:t>
            </w:r>
            <w:r>
              <w:rPr>
                <w:spacing w:val="-3"/>
                <w:sz w:val="14"/>
              </w:rPr>
              <w:t> </w:t>
            </w:r>
            <w:r>
              <w:rPr>
                <w:sz w:val="14"/>
              </w:rPr>
              <w:t>-</w:t>
            </w:r>
            <w:r>
              <w:rPr>
                <w:spacing w:val="-5"/>
                <w:sz w:val="14"/>
              </w:rPr>
              <w:t> </w:t>
            </w:r>
            <w:r>
              <w:rPr>
                <w:sz w:val="14"/>
              </w:rPr>
              <w:t>more</w:t>
            </w:r>
            <w:r>
              <w:rPr>
                <w:spacing w:val="-2"/>
                <w:sz w:val="14"/>
              </w:rPr>
              <w:t> </w:t>
            </w:r>
            <w:r>
              <w:rPr>
                <w:sz w:val="14"/>
              </w:rPr>
              <w:t>than</w:t>
            </w:r>
            <w:r>
              <w:rPr>
                <w:spacing w:val="-1"/>
                <w:sz w:val="14"/>
              </w:rPr>
              <w:t> </w:t>
            </w:r>
            <w:r>
              <w:rPr>
                <w:sz w:val="14"/>
              </w:rPr>
              <w:t>$10,000</w:t>
            </w:r>
            <w:r>
              <w:rPr>
                <w:spacing w:val="-3"/>
                <w:sz w:val="14"/>
              </w:rPr>
              <w:t> </w:t>
            </w:r>
            <w:r>
              <w:rPr>
                <w:sz w:val="14"/>
              </w:rPr>
              <w:t>Section</w:t>
            </w:r>
            <w:r>
              <w:rPr>
                <w:spacing w:val="-5"/>
                <w:sz w:val="14"/>
              </w:rPr>
              <w:t> </w:t>
            </w:r>
            <w:r>
              <w:rPr>
                <w:sz w:val="14"/>
              </w:rPr>
              <w:t>72</w:t>
            </w:r>
            <w:r>
              <w:rPr>
                <w:spacing w:val="-5"/>
                <w:sz w:val="14"/>
              </w:rPr>
              <w:t> </w:t>
            </w:r>
            <w:r>
              <w:rPr>
                <w:sz w:val="14"/>
              </w:rPr>
              <w:t>Amendment</w:t>
            </w:r>
            <w:r>
              <w:rPr>
                <w:spacing w:val="-3"/>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1"/>
              <w:jc w:val="right"/>
              <w:rPr>
                <w:sz w:val="14"/>
              </w:rPr>
            </w:pPr>
            <w:r>
              <w:rPr>
                <w:spacing w:val="-2"/>
                <w:sz w:val="14"/>
              </w:rPr>
              <w:t>473.60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2"/>
              <w:jc w:val="right"/>
              <w:rPr>
                <w:sz w:val="14"/>
              </w:rPr>
            </w:pPr>
            <w:r>
              <w:rPr>
                <w:spacing w:val="-2"/>
                <w:sz w:val="14"/>
              </w:rPr>
              <w:t>473.60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2" w:lineRule="exact" w:before="19"/>
              <w:ind w:left="95" w:right="80"/>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VicSmart</w:t>
            </w:r>
            <w:r>
              <w:rPr>
                <w:spacing w:val="-5"/>
                <w:sz w:val="14"/>
              </w:rPr>
              <w:t> </w:t>
            </w:r>
            <w:r>
              <w:rPr>
                <w:sz w:val="14"/>
              </w:rPr>
              <w:t>Class</w:t>
            </w:r>
            <w:r>
              <w:rPr>
                <w:spacing w:val="-5"/>
                <w:sz w:val="14"/>
              </w:rPr>
              <w:t> </w:t>
            </w:r>
            <w:r>
              <w:rPr>
                <w:sz w:val="14"/>
              </w:rPr>
              <w:t>9</w:t>
            </w:r>
            <w:r>
              <w:rPr>
                <w:spacing w:val="-2"/>
                <w:sz w:val="14"/>
              </w:rPr>
              <w:t> </w:t>
            </w:r>
            <w:r>
              <w:rPr>
                <w:sz w:val="14"/>
              </w:rPr>
              <w:t>-application</w:t>
            </w:r>
            <w:r>
              <w:rPr>
                <w:spacing w:val="-6"/>
                <w:sz w:val="14"/>
              </w:rPr>
              <w:t> </w:t>
            </w:r>
            <w:r>
              <w:rPr>
                <w:sz w:val="14"/>
              </w:rPr>
              <w:t>to</w:t>
            </w:r>
            <w:r>
              <w:rPr>
                <w:spacing w:val="-6"/>
                <w:sz w:val="14"/>
              </w:rPr>
              <w:t> </w:t>
            </w:r>
            <w:r>
              <w:rPr>
                <w:sz w:val="14"/>
              </w:rPr>
              <w:t>subdivide</w:t>
            </w:r>
            <w:r>
              <w:rPr>
                <w:spacing w:val="-1"/>
                <w:sz w:val="14"/>
              </w:rPr>
              <w:t> </w:t>
            </w:r>
            <w:r>
              <w:rPr>
                <w:sz w:val="14"/>
              </w:rPr>
              <w:t>or</w:t>
            </w:r>
            <w:r>
              <w:rPr>
                <w:spacing w:val="-5"/>
                <w:sz w:val="14"/>
              </w:rPr>
              <w:t> </w:t>
            </w:r>
            <w:r>
              <w:rPr>
                <w:sz w:val="14"/>
              </w:rPr>
              <w:t>consolidate</w:t>
            </w:r>
            <w:r>
              <w:rPr>
                <w:spacing w:val="-5"/>
                <w:sz w:val="14"/>
              </w:rPr>
              <w:t> </w:t>
            </w:r>
            <w:r>
              <w:rPr>
                <w:sz w:val="14"/>
              </w:rPr>
              <w:t>land</w:t>
            </w:r>
            <w:r>
              <w:rPr>
                <w:spacing w:val="-4"/>
                <w:sz w:val="14"/>
              </w:rPr>
              <w:t> </w:t>
            </w:r>
            <w:r>
              <w:rPr>
                <w:sz w:val="14"/>
              </w:rPr>
              <w:t>Application</w:t>
            </w:r>
            <w:r>
              <w:rPr>
                <w:spacing w:val="-3"/>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220.50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220.50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bl>
    <w:p>
      <w:pPr>
        <w:spacing w:after="0" w:line="140" w:lineRule="exact"/>
        <w:jc w:val="center"/>
        <w:rPr>
          <w:sz w:val="14"/>
        </w:rPr>
        <w:sectPr>
          <w:type w:val="continuous"/>
          <w:pgSz w:w="11910" w:h="16840"/>
          <w:pgMar w:header="0" w:footer="378" w:top="680" w:bottom="770" w:left="520" w:right="520"/>
        </w:sectPr>
      </w:pPr>
    </w:p>
    <w:tbl>
      <w:tblPr>
        <w:tblW w:w="0" w:type="auto"/>
        <w:jc w:val="left"/>
        <w:tblInd w:w="13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70"/>
        <w:gridCol w:w="1028"/>
        <w:gridCol w:w="769"/>
        <w:gridCol w:w="973"/>
        <w:gridCol w:w="1199"/>
        <w:gridCol w:w="897"/>
      </w:tblGrid>
      <w:tr>
        <w:trPr>
          <w:trHeight w:val="232" w:hRule="atLeast"/>
        </w:trPr>
        <w:tc>
          <w:tcPr>
            <w:tcW w:w="10636" w:type="dxa"/>
            <w:gridSpan w:val="6"/>
            <w:tcBorders>
              <w:left w:val="single" w:sz="12" w:space="0" w:color="000000"/>
              <w:bottom w:val="single" w:sz="4" w:space="0" w:color="000000"/>
              <w:right w:val="single" w:sz="12" w:space="0" w:color="000000"/>
            </w:tcBorders>
            <w:shd w:val="clear" w:color="auto" w:fill="3399FF"/>
          </w:tcPr>
          <w:p>
            <w:pPr>
              <w:pStyle w:val="TableParagraph"/>
              <w:spacing w:before="32"/>
              <w:ind w:left="4308" w:right="4290"/>
              <w:jc w:val="center"/>
              <w:rPr>
                <w:b/>
                <w:sz w:val="14"/>
              </w:rPr>
            </w:pPr>
            <w:r>
              <w:rPr>
                <w:b/>
                <w:color w:val="FFFFFF"/>
                <w:sz w:val="14"/>
              </w:rPr>
              <w:t>FEES</w:t>
            </w:r>
            <w:r>
              <w:rPr>
                <w:b/>
                <w:color w:val="FFFFFF"/>
                <w:spacing w:val="-5"/>
                <w:sz w:val="14"/>
              </w:rPr>
              <w:t> </w:t>
            </w:r>
            <w:r>
              <w:rPr>
                <w:b/>
                <w:color w:val="FFFFFF"/>
                <w:sz w:val="14"/>
              </w:rPr>
              <w:t>AND</w:t>
            </w:r>
            <w:r>
              <w:rPr>
                <w:b/>
                <w:color w:val="FFFFFF"/>
                <w:spacing w:val="-4"/>
                <w:sz w:val="14"/>
              </w:rPr>
              <w:t> </w:t>
            </w:r>
            <w:r>
              <w:rPr>
                <w:b/>
                <w:color w:val="FFFFFF"/>
                <w:sz w:val="14"/>
              </w:rPr>
              <w:t>CHARGES</w:t>
            </w:r>
            <w:r>
              <w:rPr>
                <w:b/>
                <w:color w:val="FFFFFF"/>
                <w:spacing w:val="-1"/>
                <w:sz w:val="14"/>
              </w:rPr>
              <w:t> </w:t>
            </w:r>
            <w:r>
              <w:rPr>
                <w:b/>
                <w:color w:val="FFFFFF"/>
                <w:spacing w:val="-2"/>
                <w:sz w:val="14"/>
              </w:rPr>
              <w:t>2025/26</w:t>
            </w:r>
          </w:p>
        </w:tc>
      </w:tr>
      <w:tr>
        <w:trPr>
          <w:trHeight w:val="858" w:hRule="atLeast"/>
        </w:trPr>
        <w:tc>
          <w:tcPr>
            <w:tcW w:w="5770" w:type="dxa"/>
            <w:tcBorders>
              <w:top w:val="single" w:sz="4" w:space="0" w:color="000000"/>
              <w:left w:val="single" w:sz="12" w:space="0" w:color="000000"/>
              <w:bottom w:val="single" w:sz="4" w:space="0" w:color="000000"/>
              <w:right w:val="single" w:sz="4"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107"/>
              <w:rPr>
                <w:b/>
                <w:sz w:val="14"/>
              </w:rPr>
            </w:pPr>
            <w:r>
              <w:rPr>
                <w:b/>
                <w:color w:val="FFFFFF"/>
                <w:sz w:val="14"/>
              </w:rPr>
              <w:t>Account</w:t>
            </w:r>
            <w:r>
              <w:rPr>
                <w:b/>
                <w:color w:val="FFFFFF"/>
                <w:spacing w:val="-7"/>
                <w:sz w:val="14"/>
              </w:rPr>
              <w:t> </w:t>
            </w:r>
            <w:r>
              <w:rPr>
                <w:b/>
                <w:color w:val="FFFFFF"/>
                <w:spacing w:val="-2"/>
                <w:sz w:val="14"/>
              </w:rPr>
              <w:t>Description</w:t>
            </w:r>
          </w:p>
        </w:tc>
        <w:tc>
          <w:tcPr>
            <w:tcW w:w="1028"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26" w:right="101" w:firstLine="4"/>
              <w:jc w:val="center"/>
              <w:rPr>
                <w:b/>
                <w:sz w:val="14"/>
              </w:rPr>
            </w:pPr>
            <w:r>
              <w:rPr>
                <w:b/>
                <w:color w:val="FFFFFF"/>
                <w:sz w:val="14"/>
              </w:rPr>
              <w:t>Fee</w:t>
            </w:r>
            <w:r>
              <w:rPr>
                <w:b/>
                <w:color w:val="FFFFFF"/>
                <w:spacing w:val="-6"/>
                <w:sz w:val="14"/>
              </w:rPr>
              <w:t> </w:t>
            </w:r>
            <w:r>
              <w:rPr>
                <w:b/>
                <w:color w:val="FFFFFF"/>
                <w:sz w:val="14"/>
              </w:rPr>
              <w:t>Type</w:t>
            </w:r>
            <w:r>
              <w:rPr>
                <w:b/>
                <w:color w:val="FFFFFF"/>
                <w:spacing w:val="40"/>
                <w:sz w:val="14"/>
              </w:rPr>
              <w:t> </w:t>
            </w:r>
            <w:r>
              <w:rPr>
                <w:b/>
                <w:color w:val="FFFFFF"/>
                <w:spacing w:val="-2"/>
                <w:sz w:val="14"/>
              </w:rPr>
              <w:t>N=Non-</w:t>
            </w:r>
            <w:r>
              <w:rPr>
                <w:b/>
                <w:color w:val="FFFFFF"/>
                <w:spacing w:val="40"/>
                <w:sz w:val="14"/>
              </w:rPr>
              <w:t> </w:t>
            </w:r>
            <w:r>
              <w:rPr>
                <w:b/>
                <w:color w:val="FFFFFF"/>
                <w:spacing w:val="-2"/>
                <w:sz w:val="14"/>
              </w:rPr>
              <w:t>Statutory</w:t>
            </w:r>
            <w:r>
              <w:rPr>
                <w:b/>
                <w:color w:val="FFFFFF"/>
                <w:spacing w:val="40"/>
                <w:sz w:val="14"/>
              </w:rPr>
              <w:t> </w:t>
            </w:r>
            <w:r>
              <w:rPr>
                <w:b/>
                <w:color w:val="FFFFFF"/>
                <w:spacing w:val="-2"/>
                <w:sz w:val="14"/>
              </w:rPr>
              <w:t>S=Statutory</w:t>
            </w:r>
          </w:p>
        </w:tc>
        <w:tc>
          <w:tcPr>
            <w:tcW w:w="76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4"/>
              <w:rPr>
                <w:sz w:val="23"/>
              </w:rPr>
            </w:pPr>
          </w:p>
          <w:p>
            <w:pPr>
              <w:pStyle w:val="TableParagraph"/>
              <w:spacing w:before="1"/>
              <w:ind w:left="248"/>
              <w:rPr>
                <w:b/>
                <w:sz w:val="14"/>
              </w:rPr>
            </w:pPr>
            <w:r>
              <w:rPr>
                <w:b/>
                <w:color w:val="FFFFFF"/>
                <w:spacing w:val="-5"/>
                <w:sz w:val="14"/>
              </w:rPr>
              <w:t>GST</w:t>
            </w:r>
          </w:p>
          <w:p>
            <w:pPr>
              <w:pStyle w:val="TableParagraph"/>
              <w:ind w:left="154"/>
              <w:rPr>
                <w:b/>
                <w:sz w:val="14"/>
              </w:rPr>
            </w:pPr>
            <w:r>
              <w:rPr>
                <w:b/>
                <w:color w:val="FFFFFF"/>
                <w:spacing w:val="-2"/>
                <w:sz w:val="14"/>
              </w:rPr>
              <w:t>Yes/No</w:t>
            </w:r>
          </w:p>
        </w:tc>
        <w:tc>
          <w:tcPr>
            <w:tcW w:w="973"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05" w:right="84"/>
              <w:jc w:val="center"/>
              <w:rPr>
                <w:b/>
                <w:sz w:val="14"/>
              </w:rPr>
            </w:pPr>
            <w:r>
              <w:rPr>
                <w:b/>
                <w:color w:val="FFFFFF"/>
                <w:spacing w:val="-2"/>
                <w:sz w:val="14"/>
              </w:rPr>
              <w:t>2024/25</w:t>
            </w:r>
          </w:p>
          <w:p>
            <w:pPr>
              <w:pStyle w:val="TableParagraph"/>
              <w:ind w:left="189" w:right="168" w:firstLine="1"/>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40"/>
                <w:sz w:val="14"/>
              </w:rPr>
              <w:t> </w:t>
            </w:r>
            <w:r>
              <w:rPr>
                <w:b/>
                <w:color w:val="FFFFFF"/>
                <w:sz w:val="14"/>
              </w:rPr>
              <w:t>Incl.</w:t>
            </w:r>
            <w:r>
              <w:rPr>
                <w:b/>
                <w:color w:val="FFFFFF"/>
                <w:spacing w:val="-5"/>
                <w:sz w:val="14"/>
              </w:rPr>
              <w:t> </w:t>
            </w:r>
            <w:r>
              <w:rPr>
                <w:b/>
                <w:color w:val="FFFFFF"/>
                <w:spacing w:val="-5"/>
                <w:sz w:val="14"/>
              </w:rPr>
              <w:t>GST</w:t>
            </w:r>
          </w:p>
        </w:tc>
        <w:tc>
          <w:tcPr>
            <w:tcW w:w="119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56" w:right="137"/>
              <w:jc w:val="center"/>
              <w:rPr>
                <w:b/>
                <w:sz w:val="14"/>
              </w:rPr>
            </w:pPr>
            <w:r>
              <w:rPr>
                <w:b/>
                <w:color w:val="FFFFFF"/>
                <w:spacing w:val="-2"/>
                <w:sz w:val="14"/>
              </w:rPr>
              <w:t>2025/26</w:t>
            </w:r>
          </w:p>
          <w:p>
            <w:pPr>
              <w:pStyle w:val="TableParagraph"/>
              <w:ind w:left="164" w:right="146" w:firstLine="2"/>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8"/>
                <w:sz w:val="14"/>
              </w:rPr>
              <w:t> </w:t>
            </w:r>
            <w:r>
              <w:rPr>
                <w:b/>
                <w:color w:val="FFFFFF"/>
                <w:spacing w:val="-2"/>
                <w:sz w:val="14"/>
              </w:rPr>
              <w:t>Incl.</w:t>
            </w:r>
          </w:p>
          <w:p>
            <w:pPr>
              <w:pStyle w:val="TableParagraph"/>
              <w:spacing w:line="161" w:lineRule="exact"/>
              <w:ind w:left="153" w:right="137"/>
              <w:jc w:val="center"/>
              <w:rPr>
                <w:b/>
                <w:sz w:val="14"/>
              </w:rPr>
            </w:pPr>
            <w:r>
              <w:rPr>
                <w:b/>
                <w:color w:val="FFFFFF"/>
                <w:spacing w:val="-5"/>
                <w:sz w:val="14"/>
              </w:rPr>
              <w:t>GST</w:t>
            </w:r>
          </w:p>
        </w:tc>
        <w:tc>
          <w:tcPr>
            <w:tcW w:w="897" w:type="dxa"/>
            <w:tcBorders>
              <w:top w:val="single" w:sz="4" w:space="0" w:color="000000"/>
              <w:left w:val="single" w:sz="4" w:space="0" w:color="000000"/>
              <w:bottom w:val="single" w:sz="4" w:space="0" w:color="000000"/>
              <w:right w:val="single" w:sz="12"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95" w:right="81"/>
              <w:jc w:val="center"/>
              <w:rPr>
                <w:b/>
                <w:sz w:val="14"/>
              </w:rPr>
            </w:pPr>
            <w:r>
              <w:rPr>
                <w:b/>
                <w:color w:val="FFFFFF"/>
                <w:sz w:val="14"/>
              </w:rPr>
              <w:t>%</w:t>
            </w:r>
            <w:r>
              <w:rPr>
                <w:b/>
                <w:color w:val="FFFFFF"/>
                <w:spacing w:val="-4"/>
                <w:sz w:val="14"/>
              </w:rPr>
              <w:t> </w:t>
            </w:r>
            <w:r>
              <w:rPr>
                <w:b/>
                <w:color w:val="FFFFFF"/>
                <w:spacing w:val="-2"/>
                <w:sz w:val="14"/>
              </w:rPr>
              <w:t>Change</w:t>
            </w:r>
          </w:p>
        </w:tc>
      </w:tr>
      <w:tr>
        <w:trPr>
          <w:trHeight w:val="323"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ind w:left="107" w:right="195"/>
              <w:rPr>
                <w:sz w:val="14"/>
              </w:rPr>
            </w:pPr>
            <w:r>
              <w:rPr>
                <w:sz w:val="14"/>
              </w:rPr>
              <w:t>VicSmart</w:t>
            </w:r>
            <w:r>
              <w:rPr>
                <w:spacing w:val="-4"/>
                <w:sz w:val="14"/>
              </w:rPr>
              <w:t> </w:t>
            </w:r>
            <w:r>
              <w:rPr>
                <w:sz w:val="14"/>
              </w:rPr>
              <w:t>Class</w:t>
            </w:r>
            <w:r>
              <w:rPr>
                <w:spacing w:val="-4"/>
                <w:sz w:val="14"/>
              </w:rPr>
              <w:t> </w:t>
            </w:r>
            <w:r>
              <w:rPr>
                <w:sz w:val="14"/>
              </w:rPr>
              <w:t>9</w:t>
            </w:r>
            <w:r>
              <w:rPr>
                <w:spacing w:val="-1"/>
                <w:sz w:val="14"/>
              </w:rPr>
              <w:t> </w:t>
            </w:r>
            <w:r>
              <w:rPr>
                <w:sz w:val="14"/>
              </w:rPr>
              <w:t>-application</w:t>
            </w:r>
            <w:r>
              <w:rPr>
                <w:spacing w:val="-4"/>
                <w:sz w:val="14"/>
              </w:rPr>
              <w:t> </w:t>
            </w:r>
            <w:r>
              <w:rPr>
                <w:sz w:val="14"/>
              </w:rPr>
              <w:t>to</w:t>
            </w:r>
            <w:r>
              <w:rPr>
                <w:spacing w:val="-4"/>
                <w:sz w:val="14"/>
              </w:rPr>
              <w:t> </w:t>
            </w:r>
            <w:r>
              <w:rPr>
                <w:sz w:val="14"/>
              </w:rPr>
              <w:t>subdivide or</w:t>
            </w:r>
            <w:r>
              <w:rPr>
                <w:spacing w:val="-4"/>
                <w:sz w:val="14"/>
              </w:rPr>
              <w:t> </w:t>
            </w:r>
            <w:r>
              <w:rPr>
                <w:sz w:val="14"/>
              </w:rPr>
              <w:t>consolidate</w:t>
            </w:r>
            <w:r>
              <w:rPr>
                <w:spacing w:val="-4"/>
                <w:sz w:val="14"/>
              </w:rPr>
              <w:t> </w:t>
            </w:r>
            <w:r>
              <w:rPr>
                <w:sz w:val="14"/>
              </w:rPr>
              <w:t>land</w:t>
            </w:r>
            <w:r>
              <w:rPr>
                <w:spacing w:val="-4"/>
                <w:sz w:val="14"/>
              </w:rPr>
              <w:t> </w:t>
            </w:r>
            <w:r>
              <w:rPr>
                <w:sz w:val="14"/>
              </w:rPr>
              <w:t>Section</w:t>
            </w:r>
            <w:r>
              <w:rPr>
                <w:spacing w:val="-5"/>
                <w:sz w:val="14"/>
              </w:rPr>
              <w:t> </w:t>
            </w:r>
            <w:r>
              <w:rPr>
                <w:sz w:val="14"/>
              </w:rPr>
              <w:t>72</w:t>
            </w:r>
            <w:r>
              <w:rPr>
                <w:spacing w:val="-4"/>
                <w:sz w:val="14"/>
              </w:rPr>
              <w:t> </w:t>
            </w:r>
            <w:r>
              <w:rPr>
                <w:sz w:val="14"/>
              </w:rPr>
              <w:t>Amendment</w:t>
            </w:r>
            <w:r>
              <w:rPr>
                <w:spacing w:val="40"/>
                <w:sz w:val="14"/>
              </w:rPr>
              <w:t> </w:t>
            </w:r>
            <w:r>
              <w:rPr>
                <w:spacing w:val="-4"/>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2"/>
              <w:rPr>
                <w:sz w:val="14"/>
              </w:rPr>
            </w:pPr>
          </w:p>
          <w:p>
            <w:pPr>
              <w:pStyle w:val="TableParagraph"/>
              <w:spacing w:line="140" w:lineRule="exact"/>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2"/>
              <w:rPr>
                <w:sz w:val="14"/>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2"/>
              <w:rPr>
                <w:sz w:val="14"/>
              </w:rPr>
            </w:pPr>
          </w:p>
          <w:p>
            <w:pPr>
              <w:pStyle w:val="TableParagraph"/>
              <w:spacing w:line="140" w:lineRule="exact"/>
              <w:ind w:right="91"/>
              <w:jc w:val="right"/>
              <w:rPr>
                <w:sz w:val="14"/>
              </w:rPr>
            </w:pPr>
            <w:r>
              <w:rPr>
                <w:spacing w:val="-2"/>
                <w:sz w:val="14"/>
              </w:rPr>
              <w:t>220.50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2"/>
              <w:rPr>
                <w:sz w:val="14"/>
              </w:rPr>
            </w:pPr>
          </w:p>
          <w:p>
            <w:pPr>
              <w:pStyle w:val="TableParagraph"/>
              <w:spacing w:line="140" w:lineRule="exact"/>
              <w:ind w:right="93"/>
              <w:jc w:val="right"/>
              <w:rPr>
                <w:sz w:val="14"/>
              </w:rPr>
            </w:pPr>
            <w:r>
              <w:rPr>
                <w:spacing w:val="-2"/>
                <w:sz w:val="14"/>
              </w:rPr>
              <w:t>220.50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2"/>
              <w:rPr>
                <w:sz w:val="14"/>
              </w:rPr>
            </w:pPr>
          </w:p>
          <w:p>
            <w:pPr>
              <w:pStyle w:val="TableParagraph"/>
              <w:spacing w:line="140" w:lineRule="exact"/>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VicSmart</w:t>
            </w:r>
            <w:r>
              <w:rPr>
                <w:spacing w:val="-5"/>
                <w:sz w:val="14"/>
              </w:rPr>
              <w:t> </w:t>
            </w:r>
            <w:r>
              <w:rPr>
                <w:sz w:val="14"/>
              </w:rPr>
              <w:t>Class</w:t>
            </w:r>
            <w:r>
              <w:rPr>
                <w:spacing w:val="-4"/>
                <w:sz w:val="14"/>
              </w:rPr>
              <w:t> </w:t>
            </w:r>
            <w:r>
              <w:rPr>
                <w:sz w:val="14"/>
              </w:rPr>
              <w:t>10</w:t>
            </w:r>
            <w:r>
              <w:rPr>
                <w:spacing w:val="-3"/>
                <w:sz w:val="14"/>
              </w:rPr>
              <w:t> </w:t>
            </w:r>
            <w:r>
              <w:rPr>
                <w:sz w:val="14"/>
              </w:rPr>
              <w:t>-</w:t>
            </w:r>
            <w:r>
              <w:rPr>
                <w:spacing w:val="-2"/>
                <w:sz w:val="14"/>
              </w:rPr>
              <w:t> </w:t>
            </w:r>
            <w:r>
              <w:rPr>
                <w:sz w:val="14"/>
              </w:rPr>
              <w:t>All</w:t>
            </w:r>
            <w:r>
              <w:rPr>
                <w:spacing w:val="-3"/>
                <w:sz w:val="14"/>
              </w:rPr>
              <w:t> </w:t>
            </w:r>
            <w:r>
              <w:rPr>
                <w:sz w:val="14"/>
              </w:rPr>
              <w:t>other</w:t>
            </w:r>
            <w:r>
              <w:rPr>
                <w:spacing w:val="-5"/>
                <w:sz w:val="14"/>
              </w:rPr>
              <w:t> </w:t>
            </w:r>
            <w:r>
              <w:rPr>
                <w:sz w:val="14"/>
              </w:rPr>
              <w:t>VicSmart</w:t>
            </w:r>
            <w:r>
              <w:rPr>
                <w:spacing w:val="1"/>
                <w:sz w:val="14"/>
              </w:rPr>
              <w:t> </w:t>
            </w:r>
            <w:r>
              <w:rPr>
                <w:sz w:val="14"/>
              </w:rPr>
              <w:t>Applications</w:t>
            </w:r>
            <w:r>
              <w:rPr>
                <w:spacing w:val="-4"/>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220.50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220.50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VicSmart</w:t>
            </w:r>
            <w:r>
              <w:rPr>
                <w:spacing w:val="-5"/>
                <w:sz w:val="14"/>
              </w:rPr>
              <w:t> </w:t>
            </w:r>
            <w:r>
              <w:rPr>
                <w:sz w:val="14"/>
              </w:rPr>
              <w:t>Class</w:t>
            </w:r>
            <w:r>
              <w:rPr>
                <w:spacing w:val="-5"/>
                <w:sz w:val="14"/>
              </w:rPr>
              <w:t> </w:t>
            </w:r>
            <w:r>
              <w:rPr>
                <w:sz w:val="14"/>
              </w:rPr>
              <w:t>10</w:t>
            </w:r>
            <w:r>
              <w:rPr>
                <w:spacing w:val="-4"/>
                <w:sz w:val="14"/>
              </w:rPr>
              <w:t> </w:t>
            </w:r>
            <w:r>
              <w:rPr>
                <w:sz w:val="14"/>
              </w:rPr>
              <w:t>-</w:t>
            </w:r>
            <w:r>
              <w:rPr>
                <w:spacing w:val="-2"/>
                <w:sz w:val="14"/>
              </w:rPr>
              <w:t> </w:t>
            </w:r>
            <w:r>
              <w:rPr>
                <w:sz w:val="14"/>
              </w:rPr>
              <w:t>All</w:t>
            </w:r>
            <w:r>
              <w:rPr>
                <w:spacing w:val="-4"/>
                <w:sz w:val="14"/>
              </w:rPr>
              <w:t> </w:t>
            </w:r>
            <w:r>
              <w:rPr>
                <w:sz w:val="14"/>
              </w:rPr>
              <w:t>other</w:t>
            </w:r>
            <w:r>
              <w:rPr>
                <w:spacing w:val="-5"/>
                <w:sz w:val="14"/>
              </w:rPr>
              <w:t> </w:t>
            </w:r>
            <w:r>
              <w:rPr>
                <w:sz w:val="14"/>
              </w:rPr>
              <w:t>VicSmart Applications</w:t>
            </w:r>
            <w:r>
              <w:rPr>
                <w:spacing w:val="-4"/>
                <w:sz w:val="14"/>
              </w:rPr>
              <w:t> </w:t>
            </w:r>
            <w:r>
              <w:rPr>
                <w:sz w:val="14"/>
              </w:rPr>
              <w:t>Section</w:t>
            </w:r>
            <w:r>
              <w:rPr>
                <w:spacing w:val="-3"/>
                <w:sz w:val="14"/>
              </w:rPr>
              <w:t> </w:t>
            </w:r>
            <w:r>
              <w:rPr>
                <w:sz w:val="14"/>
              </w:rPr>
              <w:t>72</w:t>
            </w:r>
            <w:r>
              <w:rPr>
                <w:spacing w:val="-2"/>
                <w:sz w:val="14"/>
              </w:rPr>
              <w:t> </w:t>
            </w:r>
            <w:r>
              <w:rPr>
                <w:sz w:val="14"/>
              </w:rPr>
              <w:t>Amendment</w:t>
            </w:r>
            <w:r>
              <w:rPr>
                <w:spacing w:val="-2"/>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220.50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220.50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Planning</w:t>
            </w:r>
            <w:r>
              <w:rPr>
                <w:spacing w:val="-7"/>
                <w:sz w:val="14"/>
              </w:rPr>
              <w:t> </w:t>
            </w:r>
            <w:r>
              <w:rPr>
                <w:sz w:val="14"/>
              </w:rPr>
              <w:t>Information</w:t>
            </w:r>
            <w:r>
              <w:rPr>
                <w:spacing w:val="-3"/>
                <w:sz w:val="14"/>
              </w:rPr>
              <w:t> </w:t>
            </w:r>
            <w:r>
              <w:rPr>
                <w:sz w:val="14"/>
              </w:rPr>
              <w:t>request</w:t>
            </w:r>
            <w:r>
              <w:rPr>
                <w:spacing w:val="-4"/>
                <w:sz w:val="14"/>
              </w:rPr>
              <w:t> </w:t>
            </w:r>
            <w:r>
              <w:rPr>
                <w:sz w:val="14"/>
              </w:rPr>
              <w:t>(PIR)</w:t>
            </w:r>
            <w:r>
              <w:rPr>
                <w:spacing w:val="-4"/>
                <w:sz w:val="14"/>
              </w:rPr>
              <w:t> </w:t>
            </w:r>
            <w:r>
              <w:rPr>
                <w:spacing w:val="-2"/>
                <w:sz w:val="14"/>
              </w:rPr>
              <w:t>General</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219.50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230.50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323"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ind w:left="107" w:right="195"/>
              <w:rPr>
                <w:sz w:val="14"/>
              </w:rPr>
            </w:pPr>
            <w:r>
              <w:rPr>
                <w:sz w:val="14"/>
              </w:rPr>
              <w:t>Planning</w:t>
            </w:r>
            <w:r>
              <w:rPr>
                <w:spacing w:val="-5"/>
                <w:sz w:val="14"/>
              </w:rPr>
              <w:t> </w:t>
            </w:r>
            <w:r>
              <w:rPr>
                <w:sz w:val="14"/>
              </w:rPr>
              <w:t>Information</w:t>
            </w:r>
            <w:r>
              <w:rPr>
                <w:spacing w:val="-1"/>
                <w:sz w:val="14"/>
              </w:rPr>
              <w:t> </w:t>
            </w:r>
            <w:r>
              <w:rPr>
                <w:sz w:val="14"/>
              </w:rPr>
              <w:t>request</w:t>
            </w:r>
            <w:r>
              <w:rPr>
                <w:spacing w:val="-2"/>
                <w:sz w:val="14"/>
              </w:rPr>
              <w:t> </w:t>
            </w:r>
            <w:r>
              <w:rPr>
                <w:sz w:val="14"/>
              </w:rPr>
              <w:t>(PIR)</w:t>
            </w:r>
            <w:r>
              <w:rPr>
                <w:spacing w:val="-2"/>
                <w:sz w:val="14"/>
              </w:rPr>
              <w:t> </w:t>
            </w:r>
            <w:r>
              <w:rPr>
                <w:sz w:val="14"/>
              </w:rPr>
              <w:t>Discounted</w:t>
            </w:r>
            <w:r>
              <w:rPr>
                <w:spacing w:val="-5"/>
                <w:sz w:val="14"/>
              </w:rPr>
              <w:t> </w:t>
            </w:r>
            <w:r>
              <w:rPr>
                <w:sz w:val="14"/>
              </w:rPr>
              <w:t>fee</w:t>
            </w:r>
            <w:r>
              <w:rPr>
                <w:spacing w:val="-5"/>
                <w:sz w:val="14"/>
              </w:rPr>
              <w:t> </w:t>
            </w:r>
            <w:r>
              <w:rPr>
                <w:sz w:val="14"/>
              </w:rPr>
              <w:t>for</w:t>
            </w:r>
            <w:r>
              <w:rPr>
                <w:spacing w:val="-2"/>
                <w:sz w:val="14"/>
              </w:rPr>
              <w:t> </w:t>
            </w:r>
            <w:r>
              <w:rPr>
                <w:sz w:val="14"/>
              </w:rPr>
              <w:t>single</w:t>
            </w:r>
            <w:r>
              <w:rPr>
                <w:spacing w:val="-4"/>
                <w:sz w:val="14"/>
              </w:rPr>
              <w:t> </w:t>
            </w:r>
            <w:r>
              <w:rPr>
                <w:sz w:val="14"/>
              </w:rPr>
              <w:t>dwelling</w:t>
            </w:r>
            <w:r>
              <w:rPr>
                <w:spacing w:val="-6"/>
                <w:sz w:val="14"/>
              </w:rPr>
              <w:t> </w:t>
            </w:r>
            <w:r>
              <w:rPr>
                <w:sz w:val="14"/>
              </w:rPr>
              <w:t>in</w:t>
            </w:r>
            <w:r>
              <w:rPr>
                <w:spacing w:val="-3"/>
                <w:sz w:val="14"/>
              </w:rPr>
              <w:t> </w:t>
            </w:r>
            <w:r>
              <w:rPr>
                <w:sz w:val="14"/>
              </w:rPr>
              <w:t>a</w:t>
            </w:r>
            <w:r>
              <w:rPr>
                <w:spacing w:val="-2"/>
                <w:sz w:val="14"/>
              </w:rPr>
              <w:t> </w:t>
            </w:r>
            <w:r>
              <w:rPr>
                <w:sz w:val="14"/>
              </w:rPr>
              <w:t>residential</w:t>
            </w:r>
            <w:r>
              <w:rPr>
                <w:spacing w:val="40"/>
                <w:sz w:val="14"/>
              </w:rPr>
              <w:t> </w:t>
            </w:r>
            <w:r>
              <w:rPr>
                <w:spacing w:val="-4"/>
                <w:sz w:val="14"/>
              </w:rPr>
              <w:t>zone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2" w:lineRule="exact"/>
              <w:ind w:left="27"/>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2" w:lineRule="exact"/>
              <w:ind w:left="270"/>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2" w:lineRule="exact"/>
              <w:ind w:right="91"/>
              <w:jc w:val="right"/>
              <w:rPr>
                <w:sz w:val="14"/>
              </w:rPr>
            </w:pPr>
            <w:r>
              <w:rPr>
                <w:spacing w:val="-2"/>
                <w:sz w:val="14"/>
              </w:rPr>
              <w:t>135.20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2" w:lineRule="exact"/>
              <w:ind w:right="94"/>
              <w:jc w:val="right"/>
              <w:rPr>
                <w:sz w:val="14"/>
              </w:rPr>
            </w:pPr>
            <w:r>
              <w:rPr>
                <w:spacing w:val="-2"/>
                <w:sz w:val="14"/>
              </w:rPr>
              <w:t>142.00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sz w:val="14"/>
              </w:rPr>
            </w:pPr>
          </w:p>
          <w:p>
            <w:pPr>
              <w:pStyle w:val="TableParagraph"/>
              <w:spacing w:line="142" w:lineRule="exact"/>
              <w:ind w:left="95" w:right="80"/>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Permit</w:t>
            </w:r>
            <w:r>
              <w:rPr>
                <w:spacing w:val="-4"/>
                <w:sz w:val="14"/>
              </w:rPr>
              <w:t> </w:t>
            </w:r>
            <w:r>
              <w:rPr>
                <w:sz w:val="14"/>
              </w:rPr>
              <w:t>history</w:t>
            </w:r>
            <w:r>
              <w:rPr>
                <w:spacing w:val="-4"/>
                <w:sz w:val="14"/>
              </w:rPr>
              <w:t> </w:t>
            </w:r>
            <w:r>
              <w:rPr>
                <w:sz w:val="14"/>
              </w:rPr>
              <w:t>request</w:t>
            </w:r>
            <w:r>
              <w:rPr>
                <w:spacing w:val="-2"/>
                <w:sz w:val="14"/>
              </w:rPr>
              <w:t> </w:t>
            </w:r>
            <w:r>
              <w:rPr>
                <w:sz w:val="14"/>
              </w:rPr>
              <w:t>(PHR)</w:t>
            </w:r>
            <w:r>
              <w:rPr>
                <w:spacing w:val="-4"/>
                <w:sz w:val="14"/>
              </w:rPr>
              <w:t> </w:t>
            </w:r>
            <w:r>
              <w:rPr>
                <w:sz w:val="14"/>
              </w:rPr>
              <w:t>-</w:t>
            </w:r>
            <w:r>
              <w:rPr>
                <w:spacing w:val="-2"/>
                <w:sz w:val="14"/>
              </w:rPr>
              <w:t> </w:t>
            </w:r>
            <w:r>
              <w:rPr>
                <w:sz w:val="14"/>
              </w:rPr>
              <w:t>First</w:t>
            </w:r>
            <w:r>
              <w:rPr>
                <w:spacing w:val="-3"/>
                <w:sz w:val="14"/>
              </w:rPr>
              <w:t> </w:t>
            </w:r>
            <w:r>
              <w:rPr>
                <w:sz w:val="14"/>
              </w:rPr>
              <w:t>2</w:t>
            </w:r>
            <w:r>
              <w:rPr>
                <w:spacing w:val="-3"/>
                <w:sz w:val="14"/>
              </w:rPr>
              <w:t> </w:t>
            </w:r>
            <w:r>
              <w:rPr>
                <w:spacing w:val="-2"/>
                <w:sz w:val="14"/>
              </w:rPr>
              <w:t>permits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407.40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428.00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Permit</w:t>
            </w:r>
            <w:r>
              <w:rPr>
                <w:spacing w:val="-5"/>
                <w:sz w:val="14"/>
              </w:rPr>
              <w:t> </w:t>
            </w:r>
            <w:r>
              <w:rPr>
                <w:sz w:val="14"/>
              </w:rPr>
              <w:t>history</w:t>
            </w:r>
            <w:r>
              <w:rPr>
                <w:spacing w:val="-4"/>
                <w:sz w:val="14"/>
              </w:rPr>
              <w:t> </w:t>
            </w:r>
            <w:r>
              <w:rPr>
                <w:sz w:val="14"/>
              </w:rPr>
              <w:t>request</w:t>
            </w:r>
            <w:r>
              <w:rPr>
                <w:spacing w:val="-3"/>
                <w:sz w:val="14"/>
              </w:rPr>
              <w:t> </w:t>
            </w:r>
            <w:r>
              <w:rPr>
                <w:sz w:val="14"/>
              </w:rPr>
              <w:t>(PHR)</w:t>
            </w:r>
            <w:r>
              <w:rPr>
                <w:spacing w:val="-5"/>
                <w:sz w:val="14"/>
              </w:rPr>
              <w:t> </w:t>
            </w:r>
            <w:r>
              <w:rPr>
                <w:sz w:val="14"/>
              </w:rPr>
              <w:t>-</w:t>
            </w:r>
            <w:r>
              <w:rPr>
                <w:spacing w:val="-5"/>
                <w:sz w:val="14"/>
              </w:rPr>
              <w:t> </w:t>
            </w:r>
            <w:r>
              <w:rPr>
                <w:sz w:val="14"/>
              </w:rPr>
              <w:t>Each</w:t>
            </w:r>
            <w:r>
              <w:rPr>
                <w:spacing w:val="-3"/>
                <w:sz w:val="14"/>
              </w:rPr>
              <w:t> </w:t>
            </w:r>
            <w:r>
              <w:rPr>
                <w:sz w:val="14"/>
              </w:rPr>
              <w:t>subsequent</w:t>
            </w:r>
            <w:r>
              <w:rPr>
                <w:spacing w:val="-2"/>
                <w:sz w:val="14"/>
              </w:rPr>
              <w:t> permit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106.00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111.00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4.5</w:t>
            </w:r>
          </w:p>
        </w:tc>
      </w:tr>
      <w:tr>
        <w:trPr>
          <w:trHeight w:val="32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ind w:left="107" w:right="181"/>
              <w:rPr>
                <w:sz w:val="14"/>
              </w:rPr>
            </w:pPr>
            <w:r>
              <w:rPr>
                <w:sz w:val="14"/>
              </w:rPr>
              <w:t>Vegetation</w:t>
            </w:r>
            <w:r>
              <w:rPr>
                <w:spacing w:val="-5"/>
                <w:sz w:val="14"/>
              </w:rPr>
              <w:t> </w:t>
            </w:r>
            <w:r>
              <w:rPr>
                <w:sz w:val="14"/>
              </w:rPr>
              <w:t>Protection</w:t>
            </w:r>
            <w:r>
              <w:rPr>
                <w:spacing w:val="-5"/>
                <w:sz w:val="14"/>
              </w:rPr>
              <w:t> </w:t>
            </w:r>
            <w:r>
              <w:rPr>
                <w:sz w:val="14"/>
              </w:rPr>
              <w:t>(VPO),</w:t>
            </w:r>
            <w:r>
              <w:rPr>
                <w:spacing w:val="-3"/>
                <w:sz w:val="14"/>
              </w:rPr>
              <w:t> </w:t>
            </w:r>
            <w:r>
              <w:rPr>
                <w:sz w:val="14"/>
              </w:rPr>
              <w:t>Heritage</w:t>
            </w:r>
            <w:r>
              <w:rPr>
                <w:spacing w:val="-3"/>
                <w:sz w:val="14"/>
              </w:rPr>
              <w:t> </w:t>
            </w:r>
            <w:r>
              <w:rPr>
                <w:sz w:val="14"/>
              </w:rPr>
              <w:t>(HO)</w:t>
            </w:r>
            <w:r>
              <w:rPr>
                <w:spacing w:val="-4"/>
                <w:sz w:val="14"/>
              </w:rPr>
              <w:t> </w:t>
            </w:r>
            <w:r>
              <w:rPr>
                <w:sz w:val="14"/>
              </w:rPr>
              <w:t>and</w:t>
            </w:r>
            <w:r>
              <w:rPr>
                <w:spacing w:val="-5"/>
                <w:sz w:val="14"/>
              </w:rPr>
              <w:t> </w:t>
            </w:r>
            <w:r>
              <w:rPr>
                <w:sz w:val="14"/>
              </w:rPr>
              <w:t>Neighbourhood</w:t>
            </w:r>
            <w:r>
              <w:rPr>
                <w:spacing w:val="-5"/>
                <w:sz w:val="14"/>
              </w:rPr>
              <w:t> </w:t>
            </w:r>
            <w:r>
              <w:rPr>
                <w:sz w:val="14"/>
              </w:rPr>
              <w:t>Character</w:t>
            </w:r>
            <w:r>
              <w:rPr>
                <w:spacing w:val="-3"/>
                <w:sz w:val="14"/>
              </w:rPr>
              <w:t> </w:t>
            </w:r>
            <w:r>
              <w:rPr>
                <w:sz w:val="14"/>
              </w:rPr>
              <w:t>(NCO)</w:t>
            </w:r>
            <w:r>
              <w:rPr>
                <w:spacing w:val="40"/>
                <w:sz w:val="14"/>
              </w:rPr>
              <w:t> </w:t>
            </w:r>
            <w:r>
              <w:rPr>
                <w:spacing w:val="-2"/>
                <w:sz w:val="14"/>
              </w:rPr>
              <w:t>overlays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0" w:lineRule="exact"/>
              <w:ind w:right="91"/>
              <w:jc w:val="right"/>
              <w:rPr>
                <w:sz w:val="14"/>
              </w:rPr>
            </w:pPr>
            <w:r>
              <w:rPr>
                <w:spacing w:val="-2"/>
                <w:sz w:val="14"/>
              </w:rPr>
              <w:t>316.80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0" w:lineRule="exact"/>
              <w:ind w:right="93"/>
              <w:jc w:val="right"/>
              <w:rPr>
                <w:sz w:val="14"/>
              </w:rPr>
            </w:pPr>
            <w:r>
              <w:rPr>
                <w:spacing w:val="-2"/>
                <w:sz w:val="14"/>
              </w:rPr>
              <w:t>332.50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sz w:val="14"/>
              </w:rPr>
            </w:pPr>
          </w:p>
          <w:p>
            <w:pPr>
              <w:pStyle w:val="TableParagraph"/>
              <w:spacing w:line="140" w:lineRule="exact"/>
              <w:ind w:left="95" w:right="79"/>
              <w:jc w:val="center"/>
              <w:rPr>
                <w:sz w:val="14"/>
              </w:rPr>
            </w:pPr>
            <w:r>
              <w:rPr>
                <w:spacing w:val="-5"/>
                <w:sz w:val="14"/>
              </w:rPr>
              <w:t>4.7</w:t>
            </w:r>
          </w:p>
        </w:tc>
      </w:tr>
      <w:tr>
        <w:trPr>
          <w:trHeight w:val="358"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8"/>
              <w:ind w:left="107" w:right="181"/>
              <w:rPr>
                <w:sz w:val="14"/>
              </w:rPr>
            </w:pPr>
            <w:r>
              <w:rPr>
                <w:sz w:val="14"/>
              </w:rPr>
              <w:t>Permit</w:t>
            </w:r>
            <w:r>
              <w:rPr>
                <w:spacing w:val="-3"/>
                <w:sz w:val="14"/>
              </w:rPr>
              <w:t> </w:t>
            </w:r>
            <w:r>
              <w:rPr>
                <w:sz w:val="14"/>
              </w:rPr>
              <w:t>history</w:t>
            </w:r>
            <w:r>
              <w:rPr>
                <w:spacing w:val="-3"/>
                <w:sz w:val="14"/>
              </w:rPr>
              <w:t> </w:t>
            </w:r>
            <w:r>
              <w:rPr>
                <w:sz w:val="14"/>
              </w:rPr>
              <w:t>request</w:t>
            </w:r>
            <w:r>
              <w:rPr>
                <w:spacing w:val="-1"/>
                <w:sz w:val="14"/>
              </w:rPr>
              <w:t> </w:t>
            </w:r>
            <w:r>
              <w:rPr>
                <w:sz w:val="14"/>
              </w:rPr>
              <w:t>(PHR)</w:t>
            </w:r>
            <w:r>
              <w:rPr>
                <w:spacing w:val="-5"/>
                <w:sz w:val="14"/>
              </w:rPr>
              <w:t> </w:t>
            </w:r>
            <w:r>
              <w:rPr>
                <w:sz w:val="14"/>
              </w:rPr>
              <w:t>Discounted</w:t>
            </w:r>
            <w:r>
              <w:rPr>
                <w:spacing w:val="-4"/>
                <w:sz w:val="14"/>
              </w:rPr>
              <w:t> </w:t>
            </w:r>
            <w:r>
              <w:rPr>
                <w:sz w:val="14"/>
              </w:rPr>
              <w:t>fee</w:t>
            </w:r>
            <w:r>
              <w:rPr>
                <w:spacing w:val="-4"/>
                <w:sz w:val="14"/>
              </w:rPr>
              <w:t> </w:t>
            </w:r>
            <w:r>
              <w:rPr>
                <w:sz w:val="14"/>
              </w:rPr>
              <w:t>for</w:t>
            </w:r>
            <w:r>
              <w:rPr>
                <w:spacing w:val="-4"/>
                <w:sz w:val="14"/>
              </w:rPr>
              <w:t> </w:t>
            </w:r>
            <w:r>
              <w:rPr>
                <w:sz w:val="14"/>
              </w:rPr>
              <w:t>single</w:t>
            </w:r>
            <w:r>
              <w:rPr>
                <w:spacing w:val="-4"/>
                <w:sz w:val="14"/>
              </w:rPr>
              <w:t> </w:t>
            </w:r>
            <w:r>
              <w:rPr>
                <w:sz w:val="14"/>
              </w:rPr>
              <w:t>dwelling</w:t>
            </w:r>
            <w:r>
              <w:rPr>
                <w:spacing w:val="-5"/>
                <w:sz w:val="14"/>
              </w:rPr>
              <w:t> </w:t>
            </w:r>
            <w:r>
              <w:rPr>
                <w:sz w:val="14"/>
              </w:rPr>
              <w:t>in</w:t>
            </w:r>
            <w:r>
              <w:rPr>
                <w:spacing w:val="-2"/>
                <w:sz w:val="14"/>
              </w:rPr>
              <w:t> </w:t>
            </w:r>
            <w:r>
              <w:rPr>
                <w:sz w:val="14"/>
              </w:rPr>
              <w:t>a residential</w:t>
            </w:r>
            <w:r>
              <w:rPr>
                <w:spacing w:val="-1"/>
                <w:sz w:val="14"/>
              </w:rPr>
              <w:t> </w:t>
            </w:r>
            <w:r>
              <w:rPr>
                <w:sz w:val="14"/>
              </w:rPr>
              <w:t>zone</w:t>
            </w:r>
            <w:r>
              <w:rPr>
                <w:spacing w:val="-4"/>
                <w:sz w:val="14"/>
              </w:rPr>
              <w:t> </w:t>
            </w:r>
            <w:r>
              <w:rPr>
                <w:sz w:val="14"/>
              </w:rPr>
              <w:t>-</w:t>
            </w:r>
            <w:r>
              <w:rPr>
                <w:spacing w:val="40"/>
                <w:sz w:val="14"/>
              </w:rPr>
              <w:t> </w:t>
            </w:r>
            <w:r>
              <w:rPr>
                <w:sz w:val="14"/>
              </w:rPr>
              <w:t>First 2 permits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3"/>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3"/>
              <w:rPr>
                <w:sz w:val="17"/>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3"/>
              <w:rPr>
                <w:sz w:val="17"/>
              </w:rPr>
            </w:pPr>
          </w:p>
          <w:p>
            <w:pPr>
              <w:pStyle w:val="TableParagraph"/>
              <w:spacing w:line="140" w:lineRule="exact"/>
              <w:ind w:right="91"/>
              <w:jc w:val="right"/>
              <w:rPr>
                <w:sz w:val="14"/>
              </w:rPr>
            </w:pPr>
            <w:r>
              <w:rPr>
                <w:spacing w:val="-2"/>
                <w:sz w:val="14"/>
              </w:rPr>
              <w:t>151.30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3"/>
              <w:rPr>
                <w:sz w:val="17"/>
              </w:rPr>
            </w:pPr>
          </w:p>
          <w:p>
            <w:pPr>
              <w:pStyle w:val="TableParagraph"/>
              <w:spacing w:line="140" w:lineRule="exact"/>
              <w:ind w:right="93"/>
              <w:jc w:val="right"/>
              <w:rPr>
                <w:sz w:val="14"/>
              </w:rPr>
            </w:pPr>
            <w:r>
              <w:rPr>
                <w:spacing w:val="-2"/>
                <w:sz w:val="14"/>
              </w:rPr>
              <w:t>159.00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3"/>
              <w:rPr>
                <w:sz w:val="17"/>
              </w:rPr>
            </w:pPr>
          </w:p>
          <w:p>
            <w:pPr>
              <w:pStyle w:val="TableParagraph"/>
              <w:spacing w:line="140" w:lineRule="exact"/>
              <w:ind w:left="95" w:right="79"/>
              <w:jc w:val="center"/>
              <w:rPr>
                <w:sz w:val="14"/>
              </w:rPr>
            </w:pPr>
            <w:r>
              <w:rPr>
                <w:spacing w:val="-5"/>
                <w:sz w:val="14"/>
              </w:rPr>
              <w:t>4.8</w:t>
            </w:r>
          </w:p>
        </w:tc>
      </w:tr>
      <w:tr>
        <w:trPr>
          <w:trHeight w:val="36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20"/>
              <w:ind w:left="107" w:right="181"/>
              <w:rPr>
                <w:sz w:val="14"/>
              </w:rPr>
            </w:pPr>
            <w:r>
              <w:rPr>
                <w:sz w:val="14"/>
              </w:rPr>
              <w:t>Permit</w:t>
            </w:r>
            <w:r>
              <w:rPr>
                <w:spacing w:val="-3"/>
                <w:sz w:val="14"/>
              </w:rPr>
              <w:t> </w:t>
            </w:r>
            <w:r>
              <w:rPr>
                <w:sz w:val="14"/>
              </w:rPr>
              <w:t>history</w:t>
            </w:r>
            <w:r>
              <w:rPr>
                <w:spacing w:val="-3"/>
                <w:sz w:val="14"/>
              </w:rPr>
              <w:t> </w:t>
            </w:r>
            <w:r>
              <w:rPr>
                <w:sz w:val="14"/>
              </w:rPr>
              <w:t>request</w:t>
            </w:r>
            <w:r>
              <w:rPr>
                <w:spacing w:val="-1"/>
                <w:sz w:val="14"/>
              </w:rPr>
              <w:t> </w:t>
            </w:r>
            <w:r>
              <w:rPr>
                <w:sz w:val="14"/>
              </w:rPr>
              <w:t>(PHR)</w:t>
            </w:r>
            <w:r>
              <w:rPr>
                <w:spacing w:val="-5"/>
                <w:sz w:val="14"/>
              </w:rPr>
              <w:t> </w:t>
            </w:r>
            <w:r>
              <w:rPr>
                <w:sz w:val="14"/>
              </w:rPr>
              <w:t>Discounted</w:t>
            </w:r>
            <w:r>
              <w:rPr>
                <w:spacing w:val="-4"/>
                <w:sz w:val="14"/>
              </w:rPr>
              <w:t> </w:t>
            </w:r>
            <w:r>
              <w:rPr>
                <w:sz w:val="14"/>
              </w:rPr>
              <w:t>fee</w:t>
            </w:r>
            <w:r>
              <w:rPr>
                <w:spacing w:val="-4"/>
                <w:sz w:val="14"/>
              </w:rPr>
              <w:t> </w:t>
            </w:r>
            <w:r>
              <w:rPr>
                <w:sz w:val="14"/>
              </w:rPr>
              <w:t>for</w:t>
            </w:r>
            <w:r>
              <w:rPr>
                <w:spacing w:val="-4"/>
                <w:sz w:val="14"/>
              </w:rPr>
              <w:t> </w:t>
            </w:r>
            <w:r>
              <w:rPr>
                <w:sz w:val="14"/>
              </w:rPr>
              <w:t>single</w:t>
            </w:r>
            <w:r>
              <w:rPr>
                <w:spacing w:val="-4"/>
                <w:sz w:val="14"/>
              </w:rPr>
              <w:t> </w:t>
            </w:r>
            <w:r>
              <w:rPr>
                <w:sz w:val="14"/>
              </w:rPr>
              <w:t>dwelling</w:t>
            </w:r>
            <w:r>
              <w:rPr>
                <w:spacing w:val="-5"/>
                <w:sz w:val="14"/>
              </w:rPr>
              <w:t> </w:t>
            </w:r>
            <w:r>
              <w:rPr>
                <w:sz w:val="14"/>
              </w:rPr>
              <w:t>in</w:t>
            </w:r>
            <w:r>
              <w:rPr>
                <w:spacing w:val="-2"/>
                <w:sz w:val="14"/>
              </w:rPr>
              <w:t> </w:t>
            </w:r>
            <w:r>
              <w:rPr>
                <w:sz w:val="14"/>
              </w:rPr>
              <w:t>a residential</w:t>
            </w:r>
            <w:r>
              <w:rPr>
                <w:spacing w:val="-1"/>
                <w:sz w:val="14"/>
              </w:rPr>
              <w:t> </w:t>
            </w:r>
            <w:r>
              <w:rPr>
                <w:sz w:val="14"/>
              </w:rPr>
              <w:t>zone</w:t>
            </w:r>
            <w:r>
              <w:rPr>
                <w:spacing w:val="-4"/>
                <w:sz w:val="14"/>
              </w:rPr>
              <w:t> </w:t>
            </w:r>
            <w:r>
              <w:rPr>
                <w:sz w:val="14"/>
              </w:rPr>
              <w:t>-</w:t>
            </w:r>
            <w:r>
              <w:rPr>
                <w:spacing w:val="40"/>
                <w:sz w:val="14"/>
              </w:rPr>
              <w:t> </w:t>
            </w:r>
            <w:r>
              <w:rPr>
                <w:sz w:val="14"/>
              </w:rPr>
              <w:t>Each subsequent permit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2" w:lineRule="exact"/>
              <w:ind w:left="27"/>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2" w:lineRule="exact"/>
              <w:ind w:left="270"/>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2" w:lineRule="exact"/>
              <w:ind w:right="92"/>
              <w:jc w:val="right"/>
              <w:rPr>
                <w:sz w:val="14"/>
              </w:rPr>
            </w:pPr>
            <w:r>
              <w:rPr>
                <w:spacing w:val="-2"/>
                <w:sz w:val="14"/>
              </w:rPr>
              <w:t>41.00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2" w:lineRule="exact"/>
              <w:ind w:right="92"/>
              <w:jc w:val="right"/>
              <w:rPr>
                <w:sz w:val="14"/>
              </w:rPr>
            </w:pPr>
            <w:r>
              <w:rPr>
                <w:spacing w:val="-2"/>
                <w:sz w:val="14"/>
              </w:rPr>
              <w:t>43.00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2" w:lineRule="exact"/>
              <w:ind w:left="95" w:right="79"/>
              <w:jc w:val="center"/>
              <w:rPr>
                <w:sz w:val="14"/>
              </w:rPr>
            </w:pPr>
            <w:r>
              <w:rPr>
                <w:spacing w:val="-5"/>
                <w:sz w:val="14"/>
              </w:rPr>
              <w:t>4.7</w:t>
            </w:r>
          </w:p>
        </w:tc>
      </w:tr>
      <w:tr>
        <w:trPr>
          <w:trHeight w:val="32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ind w:left="107" w:right="181"/>
              <w:rPr>
                <w:sz w:val="14"/>
              </w:rPr>
            </w:pPr>
            <w:r>
              <w:rPr>
                <w:sz w:val="14"/>
              </w:rPr>
              <w:t>Vegetation</w:t>
            </w:r>
            <w:r>
              <w:rPr>
                <w:spacing w:val="-5"/>
                <w:sz w:val="14"/>
              </w:rPr>
              <w:t> </w:t>
            </w:r>
            <w:r>
              <w:rPr>
                <w:sz w:val="14"/>
              </w:rPr>
              <w:t>Protection</w:t>
            </w:r>
            <w:r>
              <w:rPr>
                <w:spacing w:val="-5"/>
                <w:sz w:val="14"/>
              </w:rPr>
              <w:t> </w:t>
            </w:r>
            <w:r>
              <w:rPr>
                <w:sz w:val="14"/>
              </w:rPr>
              <w:t>(VPO),</w:t>
            </w:r>
            <w:r>
              <w:rPr>
                <w:spacing w:val="-3"/>
                <w:sz w:val="14"/>
              </w:rPr>
              <w:t> </w:t>
            </w:r>
            <w:r>
              <w:rPr>
                <w:sz w:val="14"/>
              </w:rPr>
              <w:t>Heritage</w:t>
            </w:r>
            <w:r>
              <w:rPr>
                <w:spacing w:val="-3"/>
                <w:sz w:val="14"/>
              </w:rPr>
              <w:t> </w:t>
            </w:r>
            <w:r>
              <w:rPr>
                <w:sz w:val="14"/>
              </w:rPr>
              <w:t>(HO)</w:t>
            </w:r>
            <w:r>
              <w:rPr>
                <w:spacing w:val="-4"/>
                <w:sz w:val="14"/>
              </w:rPr>
              <w:t> </w:t>
            </w:r>
            <w:r>
              <w:rPr>
                <w:sz w:val="14"/>
              </w:rPr>
              <w:t>and</w:t>
            </w:r>
            <w:r>
              <w:rPr>
                <w:spacing w:val="-5"/>
                <w:sz w:val="14"/>
              </w:rPr>
              <w:t> </w:t>
            </w:r>
            <w:r>
              <w:rPr>
                <w:sz w:val="14"/>
              </w:rPr>
              <w:t>Neighbourhood</w:t>
            </w:r>
            <w:r>
              <w:rPr>
                <w:spacing w:val="-5"/>
                <w:sz w:val="14"/>
              </w:rPr>
              <w:t> </w:t>
            </w:r>
            <w:r>
              <w:rPr>
                <w:sz w:val="14"/>
              </w:rPr>
              <w:t>Character</w:t>
            </w:r>
            <w:r>
              <w:rPr>
                <w:spacing w:val="-3"/>
                <w:sz w:val="14"/>
              </w:rPr>
              <w:t> </w:t>
            </w:r>
            <w:r>
              <w:rPr>
                <w:sz w:val="14"/>
              </w:rPr>
              <w:t>(NCO)</w:t>
            </w:r>
            <w:r>
              <w:rPr>
                <w:spacing w:val="40"/>
                <w:sz w:val="14"/>
              </w:rPr>
              <w:t> </w:t>
            </w:r>
            <w:r>
              <w:rPr>
                <w:spacing w:val="-2"/>
                <w:sz w:val="14"/>
              </w:rPr>
              <w:t>overlays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0" w:lineRule="exact"/>
              <w:ind w:right="91"/>
              <w:jc w:val="right"/>
              <w:rPr>
                <w:sz w:val="14"/>
              </w:rPr>
            </w:pPr>
            <w:r>
              <w:rPr>
                <w:spacing w:val="-2"/>
                <w:sz w:val="14"/>
              </w:rPr>
              <w:t>316.80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0" w:lineRule="exact"/>
              <w:ind w:right="93"/>
              <w:jc w:val="right"/>
              <w:rPr>
                <w:sz w:val="14"/>
              </w:rPr>
            </w:pPr>
            <w:r>
              <w:rPr>
                <w:spacing w:val="-2"/>
                <w:sz w:val="14"/>
              </w:rPr>
              <w:t>332.50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sz w:val="14"/>
              </w:rPr>
            </w:pPr>
          </w:p>
          <w:p>
            <w:pPr>
              <w:pStyle w:val="TableParagraph"/>
              <w:spacing w:line="140" w:lineRule="exact"/>
              <w:ind w:left="95" w:right="79"/>
              <w:jc w:val="center"/>
              <w:rPr>
                <w:sz w:val="14"/>
              </w:rPr>
            </w:pPr>
            <w:r>
              <w:rPr>
                <w:spacing w:val="-5"/>
                <w:sz w:val="14"/>
              </w:rPr>
              <w:t>4.7</w:t>
            </w:r>
          </w:p>
        </w:tc>
      </w:tr>
      <w:tr>
        <w:trPr>
          <w:trHeight w:val="178"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All</w:t>
            </w:r>
            <w:r>
              <w:rPr>
                <w:spacing w:val="-4"/>
                <w:sz w:val="14"/>
              </w:rPr>
              <w:t> </w:t>
            </w:r>
            <w:r>
              <w:rPr>
                <w:sz w:val="14"/>
              </w:rPr>
              <w:t>other</w:t>
            </w:r>
            <w:r>
              <w:rPr>
                <w:spacing w:val="-5"/>
                <w:sz w:val="14"/>
              </w:rPr>
              <w:t> </w:t>
            </w:r>
            <w:r>
              <w:rPr>
                <w:sz w:val="14"/>
              </w:rPr>
              <w:t>Applications,</w:t>
            </w:r>
            <w:r>
              <w:rPr>
                <w:spacing w:val="-4"/>
                <w:sz w:val="14"/>
              </w:rPr>
              <w:t> </w:t>
            </w:r>
            <w:r>
              <w:rPr>
                <w:sz w:val="14"/>
              </w:rPr>
              <w:t>P/E</w:t>
            </w:r>
            <w:r>
              <w:rPr>
                <w:spacing w:val="-4"/>
                <w:sz w:val="14"/>
              </w:rPr>
              <w:t> </w:t>
            </w:r>
            <w:r>
              <w:rPr>
                <w:sz w:val="14"/>
              </w:rPr>
              <w:t>Act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1,453.40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1,453.40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Other</w:t>
            </w:r>
            <w:r>
              <w:rPr>
                <w:spacing w:val="-5"/>
                <w:sz w:val="14"/>
              </w:rPr>
              <w:t> </w:t>
            </w:r>
            <w:r>
              <w:rPr>
                <w:sz w:val="14"/>
              </w:rPr>
              <w:t>subdivision</w:t>
            </w:r>
            <w:r>
              <w:rPr>
                <w:spacing w:val="-6"/>
                <w:sz w:val="14"/>
              </w:rPr>
              <w:t> </w:t>
            </w:r>
            <w:r>
              <w:rPr>
                <w:sz w:val="14"/>
              </w:rPr>
              <w:t>fee:</w:t>
            </w:r>
            <w:r>
              <w:rPr>
                <w:spacing w:val="-2"/>
                <w:sz w:val="14"/>
              </w:rPr>
              <w:t> </w:t>
            </w:r>
            <w:r>
              <w:rPr>
                <w:sz w:val="14"/>
              </w:rPr>
              <w:t>re-cert</w:t>
            </w:r>
            <w:r>
              <w:rPr>
                <w:spacing w:val="-3"/>
                <w:sz w:val="14"/>
              </w:rPr>
              <w:t> </w:t>
            </w:r>
            <w:r>
              <w:rPr>
                <w:sz w:val="14"/>
              </w:rPr>
              <w:t>(second</w:t>
            </w:r>
            <w:r>
              <w:rPr>
                <w:spacing w:val="-5"/>
                <w:sz w:val="14"/>
              </w:rPr>
              <w:t> </w:t>
            </w:r>
            <w:r>
              <w:rPr>
                <w:sz w:val="14"/>
              </w:rPr>
              <w:t>time),</w:t>
            </w:r>
            <w:r>
              <w:rPr>
                <w:spacing w:val="-5"/>
                <w:sz w:val="14"/>
              </w:rPr>
              <w:t> </w:t>
            </w:r>
            <w:r>
              <w:rPr>
                <w:sz w:val="14"/>
              </w:rPr>
              <w:t>Planning</w:t>
            </w:r>
            <w:r>
              <w:rPr>
                <w:spacing w:val="-5"/>
                <w:sz w:val="14"/>
              </w:rPr>
              <w:t> </w:t>
            </w:r>
            <w:r>
              <w:rPr>
                <w:sz w:val="14"/>
              </w:rPr>
              <w:t>&amp;</w:t>
            </w:r>
            <w:r>
              <w:rPr>
                <w:spacing w:val="-3"/>
                <w:sz w:val="14"/>
              </w:rPr>
              <w:t> </w:t>
            </w:r>
            <w:r>
              <w:rPr>
                <w:sz w:val="14"/>
              </w:rPr>
              <w:t>Environment</w:t>
            </w:r>
            <w:r>
              <w:rPr>
                <w:spacing w:val="-5"/>
                <w:sz w:val="14"/>
              </w:rPr>
              <w:t> </w:t>
            </w:r>
            <w:r>
              <w:rPr>
                <w:sz w:val="14"/>
              </w:rPr>
              <w:t>Act</w:t>
            </w:r>
            <w:r>
              <w:rPr>
                <w:spacing w:val="-3"/>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192.70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192.70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Pr>
                <w:sz w:val="14"/>
              </w:rPr>
            </w:pPr>
            <w:r>
              <w:rPr>
                <w:sz w:val="14"/>
              </w:rPr>
              <w:t>Subdivision</w:t>
            </w:r>
            <w:r>
              <w:rPr>
                <w:spacing w:val="-1"/>
                <w:sz w:val="14"/>
              </w:rPr>
              <w:t> </w:t>
            </w:r>
            <w:r>
              <w:rPr>
                <w:sz w:val="14"/>
              </w:rPr>
              <w:t>Certification</w:t>
            </w:r>
            <w:r>
              <w:rPr>
                <w:spacing w:val="-5"/>
                <w:sz w:val="14"/>
              </w:rPr>
              <w:t> </w:t>
            </w:r>
            <w:r>
              <w:rPr>
                <w:sz w:val="14"/>
              </w:rPr>
              <w:t>of</w:t>
            </w:r>
            <w:r>
              <w:rPr>
                <w:spacing w:val="-1"/>
                <w:sz w:val="14"/>
              </w:rPr>
              <w:t> </w:t>
            </w:r>
            <w:r>
              <w:rPr>
                <w:sz w:val="14"/>
              </w:rPr>
              <w:t>a</w:t>
            </w:r>
            <w:r>
              <w:rPr>
                <w:spacing w:val="-1"/>
                <w:sz w:val="14"/>
              </w:rPr>
              <w:t> </w:t>
            </w:r>
            <w:r>
              <w:rPr>
                <w:sz w:val="14"/>
              </w:rPr>
              <w:t>plan</w:t>
            </w:r>
            <w:r>
              <w:rPr>
                <w:spacing w:val="-4"/>
                <w:sz w:val="14"/>
              </w:rPr>
              <w:t> </w:t>
            </w:r>
            <w:r>
              <w:rPr>
                <w:sz w:val="14"/>
              </w:rPr>
              <w:t>of</w:t>
            </w:r>
            <w:r>
              <w:rPr>
                <w:spacing w:val="-1"/>
                <w:sz w:val="14"/>
              </w:rPr>
              <w:t> </w:t>
            </w:r>
            <w:r>
              <w:rPr>
                <w:sz w:val="14"/>
              </w:rPr>
              <w:t>subdivision</w:t>
            </w:r>
            <w:r>
              <w:rPr>
                <w:spacing w:val="-1"/>
                <w:sz w:val="14"/>
              </w:rPr>
              <w:t> </w:t>
            </w:r>
            <w:r>
              <w:rPr>
                <w:sz w:val="14"/>
              </w:rPr>
              <w:t>and</w:t>
            </w:r>
            <w:r>
              <w:rPr>
                <w:spacing w:val="-5"/>
                <w:sz w:val="14"/>
              </w:rPr>
              <w:t> </w:t>
            </w:r>
            <w:r>
              <w:rPr>
                <w:sz w:val="14"/>
              </w:rPr>
              <w:t>for</w:t>
            </w:r>
            <w:r>
              <w:rPr>
                <w:spacing w:val="-4"/>
                <w:sz w:val="14"/>
              </w:rPr>
              <w:t> </w:t>
            </w:r>
            <w:r>
              <w:rPr>
                <w:sz w:val="14"/>
              </w:rPr>
              <w:t>a</w:t>
            </w:r>
            <w:r>
              <w:rPr>
                <w:spacing w:val="-1"/>
                <w:sz w:val="14"/>
              </w:rPr>
              <w:t> </w:t>
            </w:r>
            <w:r>
              <w:rPr>
                <w:sz w:val="14"/>
              </w:rPr>
              <w:t>statement</w:t>
            </w:r>
            <w:r>
              <w:rPr>
                <w:spacing w:val="-1"/>
                <w:sz w:val="14"/>
              </w:rPr>
              <w:t> </w:t>
            </w:r>
            <w:r>
              <w:rPr>
                <w:sz w:val="14"/>
              </w:rPr>
              <w:t>of</w:t>
            </w:r>
            <w:r>
              <w:rPr>
                <w:spacing w:val="-4"/>
                <w:sz w:val="14"/>
              </w:rPr>
              <w:t> </w:t>
            </w:r>
            <w:r>
              <w:rPr>
                <w:sz w:val="14"/>
              </w:rPr>
              <w:t>compliance</w:t>
            </w:r>
            <w:r>
              <w:rPr>
                <w:spacing w:val="40"/>
                <w:sz w:val="14"/>
              </w:rPr>
              <w:t> </w:t>
            </w:r>
            <w:r>
              <w:rPr>
                <w:sz w:val="14"/>
              </w:rPr>
              <w:t>Application</w:t>
            </w:r>
            <w:r>
              <w:rPr>
                <w:spacing w:val="-2"/>
                <w:sz w:val="14"/>
              </w:rPr>
              <w:t> </w:t>
            </w:r>
            <w:r>
              <w:rPr>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1"/>
              <w:jc w:val="right"/>
              <w:rPr>
                <w:sz w:val="14"/>
              </w:rPr>
            </w:pPr>
            <w:r>
              <w:rPr>
                <w:spacing w:val="-2"/>
                <w:sz w:val="14"/>
              </w:rPr>
              <w:t>192.70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3"/>
              <w:jc w:val="right"/>
              <w:rPr>
                <w:sz w:val="14"/>
              </w:rPr>
            </w:pPr>
            <w:r>
              <w:rPr>
                <w:spacing w:val="-2"/>
                <w:sz w:val="14"/>
              </w:rPr>
              <w:t>192.70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0" w:lineRule="exact"/>
              <w:ind w:left="95" w:right="79"/>
              <w:jc w:val="center"/>
              <w:rPr>
                <w:sz w:val="14"/>
              </w:rPr>
            </w:pPr>
            <w:r>
              <w:rPr>
                <w:spacing w:val="-5"/>
                <w:sz w:val="14"/>
              </w:rPr>
              <w:t>0.0</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9"/>
              <w:ind w:left="107"/>
              <w:rPr>
                <w:sz w:val="14"/>
              </w:rPr>
            </w:pPr>
            <w:r>
              <w:rPr>
                <w:sz w:val="14"/>
              </w:rPr>
              <w:t>Subdivision</w:t>
            </w:r>
            <w:r>
              <w:rPr>
                <w:spacing w:val="-3"/>
                <w:sz w:val="14"/>
              </w:rPr>
              <w:t> </w:t>
            </w:r>
            <w:r>
              <w:rPr>
                <w:sz w:val="14"/>
              </w:rPr>
              <w:t>Alteration</w:t>
            </w:r>
            <w:r>
              <w:rPr>
                <w:spacing w:val="-1"/>
                <w:sz w:val="14"/>
              </w:rPr>
              <w:t> </w:t>
            </w:r>
            <w:r>
              <w:rPr>
                <w:sz w:val="14"/>
              </w:rPr>
              <w:t>of</w:t>
            </w:r>
            <w:r>
              <w:rPr>
                <w:spacing w:val="-3"/>
                <w:sz w:val="14"/>
              </w:rPr>
              <w:t> </w:t>
            </w:r>
            <w:r>
              <w:rPr>
                <w:sz w:val="14"/>
              </w:rPr>
              <w:t>a</w:t>
            </w:r>
            <w:r>
              <w:rPr>
                <w:spacing w:val="-6"/>
                <w:sz w:val="14"/>
              </w:rPr>
              <w:t> </w:t>
            </w:r>
            <w:r>
              <w:rPr>
                <w:sz w:val="14"/>
              </w:rPr>
              <w:t>plan</w:t>
            </w:r>
            <w:r>
              <w:rPr>
                <w:spacing w:val="-5"/>
                <w:sz w:val="14"/>
              </w:rPr>
              <w:t> </w:t>
            </w:r>
            <w:r>
              <w:rPr>
                <w:sz w:val="14"/>
              </w:rPr>
              <w:t>Application</w:t>
            </w:r>
            <w:r>
              <w:rPr>
                <w:spacing w:val="-5"/>
                <w:sz w:val="14"/>
              </w:rPr>
              <w:t> 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5"/>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1"/>
              <w:jc w:val="right"/>
              <w:rPr>
                <w:sz w:val="14"/>
              </w:rPr>
            </w:pPr>
            <w:r>
              <w:rPr>
                <w:spacing w:val="-2"/>
                <w:sz w:val="14"/>
              </w:rPr>
              <w:t>122.50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2"/>
              <w:jc w:val="right"/>
              <w:rPr>
                <w:sz w:val="14"/>
              </w:rPr>
            </w:pPr>
            <w:r>
              <w:rPr>
                <w:spacing w:val="-2"/>
                <w:sz w:val="14"/>
              </w:rPr>
              <w:t>122.50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2" w:lineRule="exact" w:before="19"/>
              <w:ind w:left="95" w:right="80"/>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Subdivision</w:t>
            </w:r>
            <w:r>
              <w:rPr>
                <w:spacing w:val="-3"/>
                <w:sz w:val="14"/>
              </w:rPr>
              <w:t> </w:t>
            </w:r>
            <w:r>
              <w:rPr>
                <w:sz w:val="14"/>
              </w:rPr>
              <w:t>Amend</w:t>
            </w:r>
            <w:r>
              <w:rPr>
                <w:spacing w:val="-3"/>
                <w:sz w:val="14"/>
              </w:rPr>
              <w:t> </w:t>
            </w:r>
            <w:r>
              <w:rPr>
                <w:sz w:val="14"/>
              </w:rPr>
              <w:t>a</w:t>
            </w:r>
            <w:r>
              <w:rPr>
                <w:spacing w:val="-5"/>
                <w:sz w:val="14"/>
              </w:rPr>
              <w:t> </w:t>
            </w:r>
            <w:r>
              <w:rPr>
                <w:sz w:val="14"/>
              </w:rPr>
              <w:t>certified</w:t>
            </w:r>
            <w:r>
              <w:rPr>
                <w:spacing w:val="-6"/>
                <w:sz w:val="14"/>
              </w:rPr>
              <w:t> </w:t>
            </w:r>
            <w:r>
              <w:rPr>
                <w:sz w:val="14"/>
              </w:rPr>
              <w:t>plan</w:t>
            </w:r>
            <w:r>
              <w:rPr>
                <w:spacing w:val="-6"/>
                <w:sz w:val="14"/>
              </w:rPr>
              <w:t> </w:t>
            </w:r>
            <w:r>
              <w:rPr>
                <w:sz w:val="14"/>
              </w:rPr>
              <w:t>Application</w:t>
            </w:r>
            <w:r>
              <w:rPr>
                <w:spacing w:val="-4"/>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155.10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155.10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Infringements-Company,</w:t>
            </w:r>
            <w:r>
              <w:rPr>
                <w:spacing w:val="-7"/>
                <w:sz w:val="14"/>
              </w:rPr>
              <w:t> </w:t>
            </w:r>
            <w:r>
              <w:rPr>
                <w:sz w:val="14"/>
              </w:rPr>
              <w:t>Planning</w:t>
            </w:r>
            <w:r>
              <w:rPr>
                <w:spacing w:val="-7"/>
                <w:sz w:val="14"/>
              </w:rPr>
              <w:t> </w:t>
            </w:r>
            <w:r>
              <w:rPr>
                <w:sz w:val="14"/>
              </w:rPr>
              <w:t>&amp;</w:t>
            </w:r>
            <w:r>
              <w:rPr>
                <w:spacing w:val="-4"/>
                <w:sz w:val="14"/>
              </w:rPr>
              <w:t> </w:t>
            </w:r>
            <w:r>
              <w:rPr>
                <w:sz w:val="14"/>
              </w:rPr>
              <w:t>Environment</w:t>
            </w:r>
            <w:r>
              <w:rPr>
                <w:spacing w:val="-7"/>
                <w:sz w:val="14"/>
              </w:rPr>
              <w:t> </w:t>
            </w:r>
            <w:r>
              <w:rPr>
                <w:sz w:val="14"/>
              </w:rPr>
              <w:t>Act</w:t>
            </w:r>
            <w:r>
              <w:rPr>
                <w:spacing w:val="-4"/>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1,976.00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1,976.00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Infringements-Individual,</w:t>
            </w:r>
            <w:r>
              <w:rPr>
                <w:spacing w:val="-6"/>
                <w:sz w:val="14"/>
              </w:rPr>
              <w:t> </w:t>
            </w:r>
            <w:r>
              <w:rPr>
                <w:sz w:val="14"/>
              </w:rPr>
              <w:t>Planning</w:t>
            </w:r>
            <w:r>
              <w:rPr>
                <w:spacing w:val="-8"/>
                <w:sz w:val="14"/>
              </w:rPr>
              <w:t> </w:t>
            </w:r>
            <w:r>
              <w:rPr>
                <w:sz w:val="14"/>
              </w:rPr>
              <w:t>&amp;</w:t>
            </w:r>
            <w:r>
              <w:rPr>
                <w:spacing w:val="-5"/>
                <w:sz w:val="14"/>
              </w:rPr>
              <w:t> </w:t>
            </w:r>
            <w:r>
              <w:rPr>
                <w:sz w:val="14"/>
              </w:rPr>
              <w:t>Environment</w:t>
            </w:r>
            <w:r>
              <w:rPr>
                <w:spacing w:val="-5"/>
                <w:sz w:val="14"/>
              </w:rPr>
              <w:t> </w:t>
            </w:r>
            <w:r>
              <w:rPr>
                <w:sz w:val="14"/>
              </w:rPr>
              <w:t>Act</w:t>
            </w:r>
            <w:r>
              <w:rPr>
                <w:spacing w:val="-6"/>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988.00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988.00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Photocopying</w:t>
            </w:r>
            <w:r>
              <w:rPr>
                <w:spacing w:val="-3"/>
                <w:sz w:val="14"/>
              </w:rPr>
              <w:t> </w:t>
            </w:r>
            <w:r>
              <w:rPr>
                <w:sz w:val="14"/>
              </w:rPr>
              <w:t>-</w:t>
            </w:r>
            <w:r>
              <w:rPr>
                <w:spacing w:val="-4"/>
                <w:sz w:val="14"/>
              </w:rPr>
              <w:t> </w:t>
            </w:r>
            <w:r>
              <w:rPr>
                <w:sz w:val="14"/>
              </w:rPr>
              <w:t>A4</w:t>
            </w:r>
            <w:r>
              <w:rPr>
                <w:spacing w:val="-4"/>
                <w:sz w:val="14"/>
              </w:rPr>
              <w:t> </w:t>
            </w:r>
            <w:r>
              <w:rPr>
                <w:sz w:val="14"/>
              </w:rPr>
              <w:t>Size</w:t>
            </w:r>
            <w:r>
              <w:rPr>
                <w:spacing w:val="-1"/>
                <w:sz w:val="14"/>
              </w:rPr>
              <w:t> </w:t>
            </w:r>
            <w:r>
              <w:rPr>
                <w:sz w:val="14"/>
              </w:rPr>
              <w:t>-</w:t>
            </w:r>
            <w:r>
              <w:rPr>
                <w:spacing w:val="-1"/>
                <w:sz w:val="14"/>
              </w:rPr>
              <w:t> </w:t>
            </w:r>
            <w:r>
              <w:rPr>
                <w:sz w:val="14"/>
              </w:rPr>
              <w:t>per</w:t>
            </w:r>
            <w:r>
              <w:rPr>
                <w:spacing w:val="-4"/>
                <w:sz w:val="14"/>
              </w:rPr>
              <w:t> </w:t>
            </w:r>
            <w:r>
              <w:rPr>
                <w:sz w:val="14"/>
              </w:rPr>
              <w:t>page,</w:t>
            </w:r>
            <w:r>
              <w:rPr>
                <w:spacing w:val="-2"/>
                <w:sz w:val="14"/>
              </w:rPr>
              <w:t> </w:t>
            </w:r>
            <w:r>
              <w:rPr>
                <w:sz w:val="14"/>
              </w:rPr>
              <w:t>black</w:t>
            </w:r>
            <w:r>
              <w:rPr>
                <w:spacing w:val="-3"/>
                <w:sz w:val="14"/>
              </w:rPr>
              <w:t> </w:t>
            </w:r>
            <w:r>
              <w:rPr>
                <w:sz w:val="14"/>
              </w:rPr>
              <w:t>&amp;</w:t>
            </w:r>
            <w:r>
              <w:rPr>
                <w:spacing w:val="-3"/>
                <w:sz w:val="14"/>
              </w:rPr>
              <w:t> </w:t>
            </w:r>
            <w:r>
              <w:rPr>
                <w:spacing w:val="-4"/>
                <w:sz w:val="14"/>
              </w:rPr>
              <w:t>white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2.20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2.30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4.3</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Photocopying</w:t>
            </w:r>
            <w:r>
              <w:rPr>
                <w:spacing w:val="-4"/>
                <w:sz w:val="14"/>
              </w:rPr>
              <w:t> </w:t>
            </w:r>
            <w:r>
              <w:rPr>
                <w:sz w:val="14"/>
              </w:rPr>
              <w:t>-</w:t>
            </w:r>
            <w:r>
              <w:rPr>
                <w:spacing w:val="-4"/>
                <w:sz w:val="14"/>
              </w:rPr>
              <w:t> </w:t>
            </w:r>
            <w:r>
              <w:rPr>
                <w:sz w:val="14"/>
              </w:rPr>
              <w:t>A4</w:t>
            </w:r>
            <w:r>
              <w:rPr>
                <w:spacing w:val="-4"/>
                <w:sz w:val="14"/>
              </w:rPr>
              <w:t> </w:t>
            </w:r>
            <w:r>
              <w:rPr>
                <w:sz w:val="14"/>
              </w:rPr>
              <w:t>Size</w:t>
            </w:r>
            <w:r>
              <w:rPr>
                <w:spacing w:val="-1"/>
                <w:sz w:val="14"/>
              </w:rPr>
              <w:t> </w:t>
            </w:r>
            <w:r>
              <w:rPr>
                <w:sz w:val="14"/>
              </w:rPr>
              <w:t>-</w:t>
            </w:r>
            <w:r>
              <w:rPr>
                <w:spacing w:val="-1"/>
                <w:sz w:val="14"/>
              </w:rPr>
              <w:t> </w:t>
            </w:r>
            <w:r>
              <w:rPr>
                <w:sz w:val="14"/>
              </w:rPr>
              <w:t>per</w:t>
            </w:r>
            <w:r>
              <w:rPr>
                <w:spacing w:val="-4"/>
                <w:sz w:val="14"/>
              </w:rPr>
              <w:t> </w:t>
            </w:r>
            <w:r>
              <w:rPr>
                <w:sz w:val="14"/>
              </w:rPr>
              <w:t>page,</w:t>
            </w:r>
            <w:r>
              <w:rPr>
                <w:spacing w:val="-3"/>
                <w:sz w:val="14"/>
              </w:rPr>
              <w:t> </w:t>
            </w:r>
            <w:r>
              <w:rPr>
                <w:spacing w:val="-2"/>
                <w:sz w:val="14"/>
              </w:rPr>
              <w:t>colour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3.20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3.30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3.0</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9"/>
              <w:ind w:left="107"/>
              <w:rPr>
                <w:sz w:val="14"/>
              </w:rPr>
            </w:pPr>
            <w:r>
              <w:rPr>
                <w:sz w:val="14"/>
              </w:rPr>
              <w:t>Photocopying</w:t>
            </w:r>
            <w:r>
              <w:rPr>
                <w:spacing w:val="-5"/>
                <w:sz w:val="14"/>
              </w:rPr>
              <w:t> </w:t>
            </w:r>
            <w:r>
              <w:rPr>
                <w:sz w:val="14"/>
              </w:rPr>
              <w:t>-</w:t>
            </w:r>
            <w:r>
              <w:rPr>
                <w:spacing w:val="-4"/>
                <w:sz w:val="14"/>
              </w:rPr>
              <w:t> </w:t>
            </w:r>
            <w:r>
              <w:rPr>
                <w:sz w:val="14"/>
              </w:rPr>
              <w:t>A3</w:t>
            </w:r>
            <w:r>
              <w:rPr>
                <w:spacing w:val="-5"/>
                <w:sz w:val="14"/>
              </w:rPr>
              <w:t> </w:t>
            </w:r>
            <w:r>
              <w:rPr>
                <w:sz w:val="14"/>
              </w:rPr>
              <w:t>per</w:t>
            </w:r>
            <w:r>
              <w:rPr>
                <w:spacing w:val="-1"/>
                <w:sz w:val="14"/>
              </w:rPr>
              <w:t> </w:t>
            </w:r>
            <w:r>
              <w:rPr>
                <w:sz w:val="14"/>
              </w:rPr>
              <w:t>page,</w:t>
            </w:r>
            <w:r>
              <w:rPr>
                <w:spacing w:val="-2"/>
                <w:sz w:val="14"/>
              </w:rPr>
              <w:t> </w:t>
            </w:r>
            <w:r>
              <w:rPr>
                <w:sz w:val="14"/>
              </w:rPr>
              <w:t>black</w:t>
            </w:r>
            <w:r>
              <w:rPr>
                <w:spacing w:val="-4"/>
                <w:sz w:val="14"/>
              </w:rPr>
              <w:t> </w:t>
            </w:r>
            <w:r>
              <w:rPr>
                <w:sz w:val="14"/>
              </w:rPr>
              <w:t>&amp;</w:t>
            </w:r>
            <w:r>
              <w:rPr>
                <w:spacing w:val="-3"/>
                <w:sz w:val="14"/>
              </w:rPr>
              <w:t> </w:t>
            </w:r>
            <w:r>
              <w:rPr>
                <w:spacing w:val="-4"/>
                <w:sz w:val="14"/>
              </w:rPr>
              <w:t>white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5"/>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2"/>
              <w:jc w:val="right"/>
              <w:rPr>
                <w:sz w:val="14"/>
              </w:rPr>
            </w:pPr>
            <w:r>
              <w:rPr>
                <w:spacing w:val="-4"/>
                <w:sz w:val="14"/>
              </w:rPr>
              <w:t>3.20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2"/>
              <w:jc w:val="right"/>
              <w:rPr>
                <w:sz w:val="14"/>
              </w:rPr>
            </w:pPr>
            <w:r>
              <w:rPr>
                <w:spacing w:val="-4"/>
                <w:sz w:val="14"/>
              </w:rPr>
              <w:t>3.30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2" w:lineRule="exact" w:before="19"/>
              <w:ind w:left="95" w:right="80"/>
              <w:jc w:val="center"/>
              <w:rPr>
                <w:sz w:val="14"/>
              </w:rPr>
            </w:pPr>
            <w:r>
              <w:rPr>
                <w:spacing w:val="-5"/>
                <w:sz w:val="14"/>
              </w:rPr>
              <w:t>3.0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Photocopying</w:t>
            </w:r>
            <w:r>
              <w:rPr>
                <w:spacing w:val="-4"/>
                <w:sz w:val="14"/>
              </w:rPr>
              <w:t> </w:t>
            </w:r>
            <w:r>
              <w:rPr>
                <w:sz w:val="14"/>
              </w:rPr>
              <w:t>-</w:t>
            </w:r>
            <w:r>
              <w:rPr>
                <w:spacing w:val="-5"/>
                <w:sz w:val="14"/>
              </w:rPr>
              <w:t> </w:t>
            </w:r>
            <w:r>
              <w:rPr>
                <w:sz w:val="14"/>
              </w:rPr>
              <w:t>A3</w:t>
            </w:r>
            <w:r>
              <w:rPr>
                <w:spacing w:val="-5"/>
                <w:sz w:val="14"/>
              </w:rPr>
              <w:t> </w:t>
            </w:r>
            <w:r>
              <w:rPr>
                <w:sz w:val="14"/>
              </w:rPr>
              <w:t>per</w:t>
            </w:r>
            <w:r>
              <w:rPr>
                <w:spacing w:val="-2"/>
                <w:sz w:val="14"/>
              </w:rPr>
              <w:t> </w:t>
            </w:r>
            <w:r>
              <w:rPr>
                <w:sz w:val="14"/>
              </w:rPr>
              <w:t>page,</w:t>
            </w:r>
            <w:r>
              <w:rPr>
                <w:spacing w:val="-2"/>
                <w:sz w:val="14"/>
              </w:rPr>
              <w:t> colour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5.40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5.60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Photocopying</w:t>
            </w:r>
            <w:r>
              <w:rPr>
                <w:spacing w:val="-4"/>
                <w:sz w:val="14"/>
              </w:rPr>
              <w:t> </w:t>
            </w:r>
            <w:r>
              <w:rPr>
                <w:sz w:val="14"/>
              </w:rPr>
              <w:t>-</w:t>
            </w:r>
            <w:r>
              <w:rPr>
                <w:spacing w:val="-4"/>
                <w:sz w:val="14"/>
              </w:rPr>
              <w:t> </w:t>
            </w:r>
            <w:r>
              <w:rPr>
                <w:sz w:val="14"/>
              </w:rPr>
              <w:t>A1</w:t>
            </w:r>
            <w:r>
              <w:rPr>
                <w:spacing w:val="-4"/>
                <w:sz w:val="14"/>
              </w:rPr>
              <w:t> </w:t>
            </w:r>
            <w:r>
              <w:rPr>
                <w:sz w:val="14"/>
              </w:rPr>
              <w:t>per</w:t>
            </w:r>
            <w:r>
              <w:rPr>
                <w:spacing w:val="-1"/>
                <w:sz w:val="14"/>
              </w:rPr>
              <w:t> </w:t>
            </w:r>
            <w:r>
              <w:rPr>
                <w:sz w:val="14"/>
              </w:rPr>
              <w:t>page</w:t>
            </w:r>
            <w:r>
              <w:rPr>
                <w:spacing w:val="-2"/>
                <w:sz w:val="14"/>
              </w:rPr>
              <w:t> </w:t>
            </w:r>
            <w:r>
              <w:rPr>
                <w:sz w:val="14"/>
              </w:rPr>
              <w:t>-</w:t>
            </w:r>
            <w:r>
              <w:rPr>
                <w:spacing w:val="-1"/>
                <w:sz w:val="14"/>
              </w:rPr>
              <w:t> </w:t>
            </w:r>
            <w:r>
              <w:rPr>
                <w:sz w:val="14"/>
              </w:rPr>
              <w:t>black</w:t>
            </w:r>
            <w:r>
              <w:rPr>
                <w:spacing w:val="-4"/>
                <w:sz w:val="14"/>
              </w:rPr>
              <w:t> </w:t>
            </w:r>
            <w:r>
              <w:rPr>
                <w:sz w:val="14"/>
              </w:rPr>
              <w:t>&amp;</w:t>
            </w:r>
            <w:r>
              <w:rPr>
                <w:spacing w:val="3"/>
                <w:sz w:val="14"/>
              </w:rPr>
              <w:t> </w:t>
            </w:r>
            <w:r>
              <w:rPr>
                <w:spacing w:val="-2"/>
                <w:sz w:val="14"/>
              </w:rPr>
              <w:t>white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29.10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30.50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Photocopying</w:t>
            </w:r>
            <w:r>
              <w:rPr>
                <w:spacing w:val="-4"/>
                <w:sz w:val="14"/>
              </w:rPr>
              <w:t> </w:t>
            </w:r>
            <w:r>
              <w:rPr>
                <w:sz w:val="14"/>
              </w:rPr>
              <w:t>-</w:t>
            </w:r>
            <w:r>
              <w:rPr>
                <w:spacing w:val="-4"/>
                <w:sz w:val="14"/>
              </w:rPr>
              <w:t> </w:t>
            </w:r>
            <w:r>
              <w:rPr>
                <w:sz w:val="14"/>
              </w:rPr>
              <w:t>A1</w:t>
            </w:r>
            <w:r>
              <w:rPr>
                <w:spacing w:val="-4"/>
                <w:sz w:val="14"/>
              </w:rPr>
              <w:t> </w:t>
            </w:r>
            <w:r>
              <w:rPr>
                <w:sz w:val="14"/>
              </w:rPr>
              <w:t>per</w:t>
            </w:r>
            <w:r>
              <w:rPr>
                <w:spacing w:val="-1"/>
                <w:sz w:val="14"/>
              </w:rPr>
              <w:t> </w:t>
            </w:r>
            <w:r>
              <w:rPr>
                <w:sz w:val="14"/>
              </w:rPr>
              <w:t>page</w:t>
            </w:r>
            <w:r>
              <w:rPr>
                <w:spacing w:val="-2"/>
                <w:sz w:val="14"/>
              </w:rPr>
              <w:t> </w:t>
            </w:r>
            <w:r>
              <w:rPr>
                <w:sz w:val="14"/>
              </w:rPr>
              <w:t>-</w:t>
            </w:r>
            <w:r>
              <w:rPr>
                <w:spacing w:val="-4"/>
                <w:sz w:val="14"/>
              </w:rPr>
              <w:t> </w:t>
            </w:r>
            <w:r>
              <w:rPr>
                <w:spacing w:val="-2"/>
                <w:sz w:val="14"/>
              </w:rPr>
              <w:t>colour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64.50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67.60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Statutory</w:t>
            </w:r>
            <w:r>
              <w:rPr>
                <w:b/>
                <w:spacing w:val="-8"/>
                <w:sz w:val="14"/>
              </w:rPr>
              <w:t> </w:t>
            </w:r>
            <w:r>
              <w:rPr>
                <w:b/>
                <w:sz w:val="14"/>
              </w:rPr>
              <w:t>Planning</w:t>
            </w:r>
            <w:r>
              <w:rPr>
                <w:b/>
                <w:spacing w:val="-8"/>
                <w:sz w:val="14"/>
              </w:rPr>
              <w:t> </w:t>
            </w:r>
            <w:r>
              <w:rPr>
                <w:b/>
                <w:sz w:val="14"/>
              </w:rPr>
              <w:t>Neighbourhood</w:t>
            </w:r>
            <w:r>
              <w:rPr>
                <w:b/>
                <w:spacing w:val="-5"/>
                <w:sz w:val="14"/>
              </w:rPr>
              <w:t> </w:t>
            </w:r>
            <w:r>
              <w:rPr>
                <w:b/>
                <w:spacing w:val="-2"/>
                <w:sz w:val="14"/>
              </w:rPr>
              <w:t>Character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Front</w:t>
            </w:r>
            <w:r>
              <w:rPr>
                <w:spacing w:val="-4"/>
                <w:sz w:val="14"/>
              </w:rPr>
              <w:t> </w:t>
            </w:r>
            <w:r>
              <w:rPr>
                <w:sz w:val="14"/>
              </w:rPr>
              <w:t>fence</w:t>
            </w:r>
            <w:r>
              <w:rPr>
                <w:spacing w:val="-3"/>
                <w:sz w:val="14"/>
              </w:rPr>
              <w:t> </w:t>
            </w:r>
            <w:r>
              <w:rPr>
                <w:sz w:val="14"/>
              </w:rPr>
              <w:t>(regulations</w:t>
            </w:r>
            <w:r>
              <w:rPr>
                <w:spacing w:val="-3"/>
                <w:sz w:val="14"/>
              </w:rPr>
              <w:t> </w:t>
            </w:r>
            <w:r>
              <w:rPr>
                <w:sz w:val="14"/>
              </w:rPr>
              <w:t>89</w:t>
            </w:r>
            <w:r>
              <w:rPr>
                <w:spacing w:val="-3"/>
                <w:sz w:val="14"/>
              </w:rPr>
              <w:t> </w:t>
            </w:r>
            <w:r>
              <w:rPr>
                <w:sz w:val="14"/>
              </w:rPr>
              <w:t>and</w:t>
            </w:r>
            <w:r>
              <w:rPr>
                <w:spacing w:val="-6"/>
                <w:sz w:val="14"/>
              </w:rPr>
              <w:t> </w:t>
            </w:r>
            <w:r>
              <w:rPr>
                <w:spacing w:val="-5"/>
                <w:sz w:val="14"/>
              </w:rPr>
              <w:t>92)</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205.00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205.00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9"/>
              <w:ind w:left="107"/>
              <w:rPr>
                <w:sz w:val="14"/>
              </w:rPr>
            </w:pPr>
            <w:r>
              <w:rPr>
                <w:sz w:val="14"/>
              </w:rPr>
              <w:t>Siting</w:t>
            </w:r>
            <w:r>
              <w:rPr>
                <w:spacing w:val="-2"/>
                <w:sz w:val="14"/>
              </w:rPr>
              <w:t> </w:t>
            </w:r>
            <w:r>
              <w:rPr>
                <w:sz w:val="14"/>
              </w:rPr>
              <w:t>(regulations</w:t>
            </w:r>
            <w:r>
              <w:rPr>
                <w:spacing w:val="-2"/>
                <w:sz w:val="14"/>
              </w:rPr>
              <w:t> </w:t>
            </w:r>
            <w:r>
              <w:rPr>
                <w:sz w:val="14"/>
              </w:rPr>
              <w:t>73,74</w:t>
            </w:r>
            <w:r>
              <w:rPr>
                <w:spacing w:val="-3"/>
                <w:sz w:val="14"/>
              </w:rPr>
              <w:t> </w:t>
            </w:r>
            <w:r>
              <w:rPr>
                <w:sz w:val="14"/>
              </w:rPr>
              <w:t>and</w:t>
            </w:r>
            <w:r>
              <w:rPr>
                <w:spacing w:val="-5"/>
                <w:sz w:val="14"/>
              </w:rPr>
              <w:t> </w:t>
            </w:r>
            <w:r>
              <w:rPr>
                <w:sz w:val="14"/>
              </w:rPr>
              <w:t>79)</w:t>
            </w:r>
            <w:r>
              <w:rPr>
                <w:spacing w:val="-2"/>
                <w:sz w:val="14"/>
              </w:rPr>
              <w:t> </w:t>
            </w:r>
            <w:r>
              <w:rPr>
                <w:sz w:val="14"/>
              </w:rPr>
              <w:t>front,</w:t>
            </w:r>
            <w:r>
              <w:rPr>
                <w:spacing w:val="-1"/>
                <w:sz w:val="14"/>
              </w:rPr>
              <w:t> </w:t>
            </w:r>
            <w:r>
              <w:rPr>
                <w:sz w:val="14"/>
              </w:rPr>
              <w:t>side</w:t>
            </w:r>
            <w:r>
              <w:rPr>
                <w:spacing w:val="-2"/>
                <w:sz w:val="14"/>
              </w:rPr>
              <w:t> </w:t>
            </w:r>
            <w:r>
              <w:rPr>
                <w:sz w:val="14"/>
              </w:rPr>
              <w:t>and</w:t>
            </w:r>
            <w:r>
              <w:rPr>
                <w:spacing w:val="-6"/>
                <w:sz w:val="14"/>
              </w:rPr>
              <w:t> </w:t>
            </w:r>
            <w:r>
              <w:rPr>
                <w:sz w:val="14"/>
              </w:rPr>
              <w:t>rear</w:t>
            </w:r>
            <w:r>
              <w:rPr>
                <w:spacing w:val="-5"/>
                <w:sz w:val="14"/>
              </w:rPr>
              <w:t> </w:t>
            </w:r>
            <w:r>
              <w:rPr>
                <w:spacing w:val="-2"/>
                <w:sz w:val="14"/>
              </w:rPr>
              <w:t>setback</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5"/>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1"/>
              <w:jc w:val="right"/>
              <w:rPr>
                <w:sz w:val="14"/>
              </w:rPr>
            </w:pPr>
            <w:r>
              <w:rPr>
                <w:spacing w:val="-2"/>
                <w:sz w:val="14"/>
              </w:rPr>
              <w:t>448.25</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2"/>
              <w:jc w:val="right"/>
              <w:rPr>
                <w:sz w:val="14"/>
              </w:rPr>
            </w:pPr>
            <w:r>
              <w:rPr>
                <w:spacing w:val="-2"/>
                <w:sz w:val="14"/>
              </w:rPr>
              <w:t>462.50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2" w:lineRule="exact" w:before="19"/>
              <w:ind w:left="95" w:right="80"/>
              <w:jc w:val="center"/>
              <w:rPr>
                <w:sz w:val="14"/>
              </w:rPr>
            </w:pPr>
            <w:r>
              <w:rPr>
                <w:spacing w:val="-5"/>
                <w:sz w:val="14"/>
              </w:rPr>
              <w:t>3.1</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Where</w:t>
            </w:r>
            <w:r>
              <w:rPr>
                <w:spacing w:val="-6"/>
                <w:sz w:val="14"/>
              </w:rPr>
              <w:t> </w:t>
            </w:r>
            <w:r>
              <w:rPr>
                <w:sz w:val="14"/>
              </w:rPr>
              <w:t>building</w:t>
            </w:r>
            <w:r>
              <w:rPr>
                <w:spacing w:val="-3"/>
                <w:sz w:val="14"/>
              </w:rPr>
              <w:t> </w:t>
            </w:r>
            <w:r>
              <w:rPr>
                <w:sz w:val="14"/>
              </w:rPr>
              <w:t>permit</w:t>
            </w:r>
            <w:r>
              <w:rPr>
                <w:spacing w:val="-5"/>
                <w:sz w:val="14"/>
              </w:rPr>
              <w:t> </w:t>
            </w:r>
            <w:r>
              <w:rPr>
                <w:sz w:val="14"/>
              </w:rPr>
              <w:t>has</w:t>
            </w:r>
            <w:r>
              <w:rPr>
                <w:spacing w:val="-4"/>
                <w:sz w:val="14"/>
              </w:rPr>
              <w:t> </w:t>
            </w:r>
            <w:r>
              <w:rPr>
                <w:sz w:val="14"/>
              </w:rPr>
              <w:t>been</w:t>
            </w:r>
            <w:r>
              <w:rPr>
                <w:spacing w:val="-4"/>
                <w:sz w:val="14"/>
              </w:rPr>
              <w:t> </w:t>
            </w:r>
            <w:r>
              <w:rPr>
                <w:sz w:val="14"/>
              </w:rPr>
              <w:t>issued</w:t>
            </w:r>
            <w:r>
              <w:rPr>
                <w:spacing w:val="-2"/>
                <w:sz w:val="14"/>
              </w:rPr>
              <w:t> </w:t>
            </w:r>
            <w:r>
              <w:rPr>
                <w:sz w:val="14"/>
              </w:rPr>
              <w:t>or</w:t>
            </w:r>
            <w:r>
              <w:rPr>
                <w:spacing w:val="-5"/>
                <w:sz w:val="14"/>
              </w:rPr>
              <w:t> </w:t>
            </w:r>
            <w:r>
              <w:rPr>
                <w:sz w:val="14"/>
              </w:rPr>
              <w:t>work</w:t>
            </w:r>
            <w:r>
              <w:rPr>
                <w:spacing w:val="-2"/>
                <w:sz w:val="14"/>
              </w:rPr>
              <w:t> </w:t>
            </w:r>
            <w:r>
              <w:rPr>
                <w:sz w:val="14"/>
              </w:rPr>
              <w:t>has</w:t>
            </w:r>
            <w:r>
              <w:rPr>
                <w:spacing w:val="-4"/>
                <w:sz w:val="14"/>
              </w:rPr>
              <w:t> </w:t>
            </w:r>
            <w:r>
              <w:rPr>
                <w:sz w:val="14"/>
              </w:rPr>
              <w:t>commenced</w:t>
            </w:r>
            <w:r>
              <w:rPr>
                <w:spacing w:val="-5"/>
                <w:sz w:val="14"/>
              </w:rPr>
              <w:t> </w:t>
            </w:r>
            <w:r>
              <w:rPr>
                <w:sz w:val="14"/>
              </w:rPr>
              <w:t>(first</w:t>
            </w:r>
            <w:r>
              <w:rPr>
                <w:spacing w:val="-2"/>
                <w:sz w:val="14"/>
              </w:rPr>
              <w:t> regulation)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529.00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546.00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3.1</w:t>
            </w:r>
          </w:p>
        </w:tc>
      </w:tr>
      <w:tr>
        <w:trPr>
          <w:trHeight w:val="32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ind w:left="107"/>
              <w:rPr>
                <w:sz w:val="14"/>
              </w:rPr>
            </w:pPr>
            <w:r>
              <w:rPr>
                <w:sz w:val="14"/>
              </w:rPr>
              <w:t>Where</w:t>
            </w:r>
            <w:r>
              <w:rPr>
                <w:spacing w:val="-5"/>
                <w:sz w:val="14"/>
              </w:rPr>
              <w:t> </w:t>
            </w:r>
            <w:r>
              <w:rPr>
                <w:sz w:val="14"/>
              </w:rPr>
              <w:t>building</w:t>
            </w:r>
            <w:r>
              <w:rPr>
                <w:spacing w:val="-2"/>
                <w:sz w:val="14"/>
              </w:rPr>
              <w:t> </w:t>
            </w:r>
            <w:r>
              <w:rPr>
                <w:sz w:val="14"/>
              </w:rPr>
              <w:t>permit</w:t>
            </w:r>
            <w:r>
              <w:rPr>
                <w:spacing w:val="-4"/>
                <w:sz w:val="14"/>
              </w:rPr>
              <w:t> </w:t>
            </w:r>
            <w:r>
              <w:rPr>
                <w:sz w:val="14"/>
              </w:rPr>
              <w:t>has</w:t>
            </w:r>
            <w:r>
              <w:rPr>
                <w:spacing w:val="-3"/>
                <w:sz w:val="14"/>
              </w:rPr>
              <w:t> </w:t>
            </w:r>
            <w:r>
              <w:rPr>
                <w:sz w:val="14"/>
              </w:rPr>
              <w:t>been</w:t>
            </w:r>
            <w:r>
              <w:rPr>
                <w:spacing w:val="-4"/>
                <w:sz w:val="14"/>
              </w:rPr>
              <w:t> </w:t>
            </w:r>
            <w:r>
              <w:rPr>
                <w:sz w:val="14"/>
              </w:rPr>
              <w:t>issued</w:t>
            </w:r>
            <w:r>
              <w:rPr>
                <w:spacing w:val="-1"/>
                <w:sz w:val="14"/>
              </w:rPr>
              <w:t> </w:t>
            </w:r>
            <w:r>
              <w:rPr>
                <w:sz w:val="14"/>
              </w:rPr>
              <w:t>or</w:t>
            </w:r>
            <w:r>
              <w:rPr>
                <w:spacing w:val="-4"/>
                <w:sz w:val="14"/>
              </w:rPr>
              <w:t> </w:t>
            </w:r>
            <w:r>
              <w:rPr>
                <w:sz w:val="14"/>
              </w:rPr>
              <w:t>work</w:t>
            </w:r>
            <w:r>
              <w:rPr>
                <w:spacing w:val="-1"/>
                <w:sz w:val="14"/>
              </w:rPr>
              <w:t> </w:t>
            </w:r>
            <w:r>
              <w:rPr>
                <w:sz w:val="14"/>
              </w:rPr>
              <w:t>has</w:t>
            </w:r>
            <w:r>
              <w:rPr>
                <w:spacing w:val="-3"/>
                <w:sz w:val="14"/>
              </w:rPr>
              <w:t> </w:t>
            </w:r>
            <w:r>
              <w:rPr>
                <w:sz w:val="14"/>
              </w:rPr>
              <w:t>commenced</w:t>
            </w:r>
            <w:r>
              <w:rPr>
                <w:spacing w:val="-4"/>
                <w:sz w:val="14"/>
              </w:rPr>
              <w:t> </w:t>
            </w:r>
            <w:r>
              <w:rPr>
                <w:sz w:val="14"/>
              </w:rPr>
              <w:t>(each</w:t>
            </w:r>
            <w:r>
              <w:rPr>
                <w:spacing w:val="-4"/>
                <w:sz w:val="14"/>
              </w:rPr>
              <w:t> </w:t>
            </w:r>
            <w:r>
              <w:rPr>
                <w:sz w:val="14"/>
              </w:rPr>
              <w:t>subsequent</w:t>
            </w:r>
            <w:r>
              <w:rPr>
                <w:spacing w:val="40"/>
                <w:sz w:val="14"/>
              </w:rPr>
              <w:t> </w:t>
            </w:r>
            <w:r>
              <w:rPr>
                <w:spacing w:val="-2"/>
                <w:sz w:val="14"/>
              </w:rPr>
              <w:t>regulation)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0" w:lineRule="exact"/>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0" w:lineRule="exact"/>
              <w:ind w:right="91"/>
              <w:jc w:val="right"/>
              <w:rPr>
                <w:sz w:val="14"/>
              </w:rPr>
            </w:pPr>
            <w:r>
              <w:rPr>
                <w:spacing w:val="-2"/>
                <w:sz w:val="14"/>
              </w:rPr>
              <w:t>335.00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0" w:lineRule="exact"/>
              <w:ind w:right="93"/>
              <w:jc w:val="right"/>
              <w:rPr>
                <w:sz w:val="14"/>
              </w:rPr>
            </w:pPr>
            <w:r>
              <w:rPr>
                <w:spacing w:val="-2"/>
                <w:sz w:val="14"/>
              </w:rPr>
              <w:t>346.00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sz w:val="14"/>
              </w:rPr>
            </w:pPr>
          </w:p>
          <w:p>
            <w:pPr>
              <w:pStyle w:val="TableParagraph"/>
              <w:spacing w:line="140" w:lineRule="exact"/>
              <w:ind w:left="95" w:right="79"/>
              <w:jc w:val="center"/>
              <w:rPr>
                <w:sz w:val="14"/>
              </w:rPr>
            </w:pPr>
            <w:r>
              <w:rPr>
                <w:spacing w:val="-5"/>
                <w:sz w:val="14"/>
              </w:rPr>
              <w:t>3.2</w:t>
            </w:r>
          </w:p>
        </w:tc>
      </w:tr>
      <w:tr>
        <w:trPr>
          <w:trHeight w:val="178"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Extension</w:t>
            </w:r>
            <w:r>
              <w:rPr>
                <w:spacing w:val="-3"/>
                <w:sz w:val="14"/>
              </w:rPr>
              <w:t> </w:t>
            </w:r>
            <w:r>
              <w:rPr>
                <w:sz w:val="14"/>
              </w:rPr>
              <w:t>of</w:t>
            </w:r>
            <w:r>
              <w:rPr>
                <w:spacing w:val="-4"/>
                <w:sz w:val="14"/>
              </w:rPr>
              <w:t> </w:t>
            </w:r>
            <w:r>
              <w:rPr>
                <w:sz w:val="14"/>
              </w:rPr>
              <w:t>time</w:t>
            </w:r>
            <w:r>
              <w:rPr>
                <w:spacing w:val="-4"/>
                <w:sz w:val="14"/>
              </w:rPr>
              <w:t> </w:t>
            </w:r>
            <w:r>
              <w:rPr>
                <w:sz w:val="14"/>
              </w:rPr>
              <w:t>t</w:t>
            </w:r>
            <w:r>
              <w:rPr>
                <w:spacing w:val="-1"/>
                <w:sz w:val="14"/>
              </w:rPr>
              <w:t> </w:t>
            </w:r>
            <w:r>
              <w:rPr>
                <w:sz w:val="14"/>
              </w:rPr>
              <w:t>report</w:t>
            </w:r>
            <w:r>
              <w:rPr>
                <w:spacing w:val="-3"/>
                <w:sz w:val="14"/>
              </w:rPr>
              <w:t> </w:t>
            </w:r>
            <w:r>
              <w:rPr>
                <w:sz w:val="14"/>
              </w:rPr>
              <w:t>and</w:t>
            </w:r>
            <w:r>
              <w:rPr>
                <w:spacing w:val="-5"/>
                <w:sz w:val="14"/>
              </w:rPr>
              <w:t> </w:t>
            </w:r>
            <w:r>
              <w:rPr>
                <w:sz w:val="14"/>
              </w:rPr>
              <w:t>consent</w:t>
            </w:r>
            <w:r>
              <w:rPr>
                <w:spacing w:val="-5"/>
                <w:sz w:val="14"/>
              </w:rPr>
              <w:t> </w:t>
            </w:r>
            <w:r>
              <w:rPr>
                <w:spacing w:val="-2"/>
                <w:sz w:val="14"/>
              </w:rPr>
              <w:t>(siting)</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224.10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231.00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Extension</w:t>
            </w:r>
            <w:r>
              <w:rPr>
                <w:spacing w:val="-3"/>
                <w:sz w:val="14"/>
              </w:rPr>
              <w:t> </w:t>
            </w:r>
            <w:r>
              <w:rPr>
                <w:sz w:val="14"/>
              </w:rPr>
              <w:t>of</w:t>
            </w:r>
            <w:r>
              <w:rPr>
                <w:spacing w:val="-4"/>
                <w:sz w:val="14"/>
              </w:rPr>
              <w:t> </w:t>
            </w:r>
            <w:r>
              <w:rPr>
                <w:sz w:val="14"/>
              </w:rPr>
              <w:t>time</w:t>
            </w:r>
            <w:r>
              <w:rPr>
                <w:spacing w:val="-4"/>
                <w:sz w:val="14"/>
              </w:rPr>
              <w:t> </w:t>
            </w:r>
            <w:r>
              <w:rPr>
                <w:sz w:val="14"/>
              </w:rPr>
              <w:t>t</w:t>
            </w:r>
            <w:r>
              <w:rPr>
                <w:spacing w:val="-1"/>
                <w:sz w:val="14"/>
              </w:rPr>
              <w:t> </w:t>
            </w:r>
            <w:r>
              <w:rPr>
                <w:sz w:val="14"/>
              </w:rPr>
              <w:t>report</w:t>
            </w:r>
            <w:r>
              <w:rPr>
                <w:spacing w:val="-3"/>
                <w:sz w:val="14"/>
              </w:rPr>
              <w:t> </w:t>
            </w:r>
            <w:r>
              <w:rPr>
                <w:sz w:val="14"/>
              </w:rPr>
              <w:t>and</w:t>
            </w:r>
            <w:r>
              <w:rPr>
                <w:spacing w:val="-5"/>
                <w:sz w:val="14"/>
              </w:rPr>
              <w:t> </w:t>
            </w:r>
            <w:r>
              <w:rPr>
                <w:sz w:val="14"/>
              </w:rPr>
              <w:t>consent</w:t>
            </w:r>
            <w:r>
              <w:rPr>
                <w:spacing w:val="-5"/>
                <w:sz w:val="14"/>
              </w:rPr>
              <w:t> </w:t>
            </w:r>
            <w:r>
              <w:rPr>
                <w:sz w:val="14"/>
              </w:rPr>
              <w:t>(front</w:t>
            </w:r>
            <w:r>
              <w:rPr>
                <w:spacing w:val="-5"/>
                <w:sz w:val="14"/>
              </w:rPr>
              <w:t> </w:t>
            </w:r>
            <w:r>
              <w:rPr>
                <w:spacing w:val="-2"/>
                <w:sz w:val="14"/>
              </w:rPr>
              <w:t>fence)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160.10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106.00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w w:val="95"/>
                <w:sz w:val="14"/>
              </w:rPr>
              <w:t>-</w:t>
            </w:r>
            <w:r>
              <w:rPr>
                <w:spacing w:val="-4"/>
                <w:sz w:val="14"/>
              </w:rPr>
              <w:t>51.0</w:t>
            </w:r>
          </w:p>
        </w:tc>
      </w:tr>
      <w:tr>
        <w:trPr>
          <w:trHeight w:val="284" w:hRule="atLeast"/>
        </w:trPr>
        <w:tc>
          <w:tcPr>
            <w:tcW w:w="5770" w:type="dxa"/>
            <w:tcBorders>
              <w:top w:val="single" w:sz="4" w:space="0" w:color="000000"/>
              <w:left w:val="single" w:sz="12" w:space="0" w:color="000000"/>
              <w:right w:val="single" w:sz="4" w:space="0" w:color="000000"/>
            </w:tcBorders>
            <w:shd w:val="clear" w:color="auto" w:fill="D8D8D8"/>
          </w:tcPr>
          <w:p>
            <w:pPr>
              <w:pStyle w:val="TableParagraph"/>
              <w:spacing w:line="217" w:lineRule="exact" w:before="48"/>
              <w:ind w:left="169"/>
              <w:rPr>
                <w:b/>
                <w:sz w:val="22"/>
              </w:rPr>
            </w:pPr>
            <w:r>
              <w:rPr>
                <w:b/>
                <w:sz w:val="22"/>
              </w:rPr>
              <w:t>Finance</w:t>
            </w:r>
            <w:r>
              <w:rPr>
                <w:b/>
                <w:spacing w:val="-2"/>
                <w:sz w:val="22"/>
              </w:rPr>
              <w:t> </w:t>
            </w:r>
            <w:r>
              <w:rPr>
                <w:b/>
                <w:sz w:val="22"/>
              </w:rPr>
              <w:t>&amp;</w:t>
            </w:r>
            <w:r>
              <w:rPr>
                <w:b/>
                <w:spacing w:val="-1"/>
                <w:sz w:val="22"/>
              </w:rPr>
              <w:t> </w:t>
            </w:r>
            <w:r>
              <w:rPr>
                <w:b/>
                <w:spacing w:val="-2"/>
                <w:sz w:val="22"/>
              </w:rPr>
              <w:t>Commercial</w:t>
            </w:r>
          </w:p>
        </w:tc>
        <w:tc>
          <w:tcPr>
            <w:tcW w:w="1028"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4"/>
              </w:rPr>
            </w:pPr>
          </w:p>
        </w:tc>
        <w:tc>
          <w:tcPr>
            <w:tcW w:w="769"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4"/>
              </w:rPr>
            </w:pPr>
          </w:p>
        </w:tc>
        <w:tc>
          <w:tcPr>
            <w:tcW w:w="973"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4"/>
              </w:rPr>
            </w:pPr>
          </w:p>
        </w:tc>
        <w:tc>
          <w:tcPr>
            <w:tcW w:w="1199"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4"/>
              </w:rPr>
            </w:pPr>
          </w:p>
        </w:tc>
        <w:tc>
          <w:tcPr>
            <w:tcW w:w="897" w:type="dxa"/>
            <w:tcBorders>
              <w:top w:val="single" w:sz="4" w:space="0" w:color="000000"/>
              <w:left w:val="single" w:sz="4" w:space="0" w:color="000000"/>
              <w:bottom w:val="single" w:sz="4" w:space="0" w:color="000000"/>
              <w:right w:val="single" w:sz="12" w:space="0" w:color="000000"/>
            </w:tcBorders>
            <w:shd w:val="clear" w:color="auto" w:fill="D8D8D8"/>
          </w:tcPr>
          <w:p>
            <w:pPr>
              <w:pStyle w:val="TableParagraph"/>
              <w:rPr>
                <w:rFonts w:ascii="Times New Roman"/>
                <w:sz w:val="14"/>
              </w:rPr>
            </w:pPr>
          </w:p>
        </w:tc>
      </w:tr>
      <w:tr>
        <w:trPr>
          <w:trHeight w:val="162" w:hRule="atLeast"/>
        </w:trPr>
        <w:tc>
          <w:tcPr>
            <w:tcW w:w="5770" w:type="dxa"/>
            <w:tcBorders>
              <w:left w:val="single" w:sz="12" w:space="0" w:color="000000"/>
              <w:bottom w:val="single" w:sz="4" w:space="0" w:color="000000"/>
              <w:right w:val="single" w:sz="4" w:space="0" w:color="000000"/>
            </w:tcBorders>
          </w:tcPr>
          <w:p>
            <w:pPr>
              <w:pStyle w:val="TableParagraph"/>
              <w:spacing w:line="140" w:lineRule="exact" w:before="2"/>
              <w:ind w:left="107"/>
              <w:rPr>
                <w:b/>
                <w:sz w:val="14"/>
              </w:rPr>
            </w:pPr>
            <w:r>
              <w:rPr>
                <w:b/>
                <w:spacing w:val="-2"/>
                <w:sz w:val="14"/>
              </w:rPr>
              <w:t>Revenue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0"/>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Fee-</w:t>
            </w:r>
            <w:r>
              <w:rPr>
                <w:spacing w:val="-6"/>
                <w:sz w:val="14"/>
              </w:rPr>
              <w:t> </w:t>
            </w:r>
            <w:r>
              <w:rPr>
                <w:sz w:val="14"/>
              </w:rPr>
              <w:t>Direct</w:t>
            </w:r>
            <w:r>
              <w:rPr>
                <w:spacing w:val="-3"/>
                <w:sz w:val="14"/>
              </w:rPr>
              <w:t> </w:t>
            </w:r>
            <w:r>
              <w:rPr>
                <w:sz w:val="14"/>
              </w:rPr>
              <w:t>Debt</w:t>
            </w:r>
            <w:r>
              <w:rPr>
                <w:spacing w:val="-4"/>
                <w:sz w:val="14"/>
              </w:rPr>
              <w:t> </w:t>
            </w:r>
            <w:r>
              <w:rPr>
                <w:spacing w:val="-2"/>
                <w:sz w:val="14"/>
              </w:rPr>
              <w:t>Dishonour/Administration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27.00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27.50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1.8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Copy</w:t>
            </w:r>
            <w:r>
              <w:rPr>
                <w:spacing w:val="-2"/>
                <w:sz w:val="14"/>
              </w:rPr>
              <w:t> </w:t>
            </w:r>
            <w:r>
              <w:rPr>
                <w:sz w:val="14"/>
              </w:rPr>
              <w:t>of</w:t>
            </w:r>
            <w:r>
              <w:rPr>
                <w:spacing w:val="-4"/>
                <w:sz w:val="14"/>
              </w:rPr>
              <w:t> </w:t>
            </w:r>
            <w:r>
              <w:rPr>
                <w:sz w:val="14"/>
              </w:rPr>
              <w:t>Rate</w:t>
            </w:r>
            <w:r>
              <w:rPr>
                <w:spacing w:val="-2"/>
                <w:sz w:val="14"/>
              </w:rPr>
              <w:t> Notice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21.50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81"/>
              <w:jc w:val="center"/>
              <w:rPr>
                <w:sz w:val="14"/>
              </w:rPr>
            </w:pPr>
            <w:r>
              <w:rPr>
                <w:spacing w:val="-4"/>
                <w:sz w:val="14"/>
              </w:rPr>
              <w:t>14.0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Fee-</w:t>
            </w:r>
            <w:r>
              <w:rPr>
                <w:spacing w:val="-7"/>
                <w:sz w:val="14"/>
              </w:rPr>
              <w:t> </w:t>
            </w:r>
            <w:r>
              <w:rPr>
                <w:spacing w:val="-2"/>
                <w:sz w:val="14"/>
              </w:rPr>
              <w:t>Refund</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81"/>
              <w:jc w:val="center"/>
              <w:rPr>
                <w:sz w:val="14"/>
              </w:rPr>
            </w:pPr>
            <w:r>
              <w:rPr>
                <w:spacing w:val="-4"/>
                <w:sz w:val="14"/>
              </w:rPr>
              <w:t>33.3</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Copy</w:t>
            </w:r>
            <w:r>
              <w:rPr>
                <w:spacing w:val="-2"/>
                <w:sz w:val="14"/>
              </w:rPr>
              <w:t> </w:t>
            </w:r>
            <w:r>
              <w:rPr>
                <w:sz w:val="14"/>
              </w:rPr>
              <w:t>of</w:t>
            </w:r>
            <w:r>
              <w:rPr>
                <w:spacing w:val="-4"/>
                <w:sz w:val="14"/>
              </w:rPr>
              <w:t> </w:t>
            </w:r>
            <w:r>
              <w:rPr>
                <w:sz w:val="14"/>
              </w:rPr>
              <w:t>Rates</w:t>
            </w:r>
            <w:r>
              <w:rPr>
                <w:spacing w:val="-4"/>
                <w:sz w:val="14"/>
              </w:rPr>
              <w:t> </w:t>
            </w:r>
            <w:r>
              <w:rPr>
                <w:spacing w:val="-2"/>
                <w:sz w:val="14"/>
              </w:rPr>
              <w:t>History</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50.00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81"/>
              <w:jc w:val="center"/>
              <w:rPr>
                <w:sz w:val="14"/>
              </w:rPr>
            </w:pPr>
            <w:r>
              <w:rPr>
                <w:spacing w:val="-4"/>
                <w:sz w:val="14"/>
              </w:rPr>
              <w:t>30.0</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9"/>
              <w:ind w:left="107"/>
              <w:rPr>
                <w:sz w:val="14"/>
              </w:rPr>
            </w:pPr>
            <w:r>
              <w:rPr>
                <w:sz w:val="14"/>
              </w:rPr>
              <w:t>Land</w:t>
            </w:r>
            <w:r>
              <w:rPr>
                <w:spacing w:val="-8"/>
                <w:sz w:val="14"/>
              </w:rPr>
              <w:t> </w:t>
            </w:r>
            <w:r>
              <w:rPr>
                <w:sz w:val="14"/>
              </w:rPr>
              <w:t>Information</w:t>
            </w:r>
            <w:r>
              <w:rPr>
                <w:spacing w:val="-7"/>
                <w:sz w:val="14"/>
              </w:rPr>
              <w:t> </w:t>
            </w:r>
            <w:r>
              <w:rPr>
                <w:sz w:val="14"/>
              </w:rPr>
              <w:t>Certificate</w:t>
            </w:r>
            <w:r>
              <w:rPr>
                <w:spacing w:val="-7"/>
                <w:sz w:val="14"/>
              </w:rPr>
              <w:t> </w:t>
            </w:r>
            <w:r>
              <w:rPr>
                <w:spacing w:val="-4"/>
                <w:sz w:val="14"/>
              </w:rPr>
              <w:t>Fees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5"/>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1"/>
              <w:jc w:val="right"/>
              <w:rPr>
                <w:sz w:val="14"/>
              </w:rPr>
            </w:pPr>
            <w:r>
              <w:rPr>
                <w:spacing w:val="-2"/>
                <w:sz w:val="14"/>
              </w:rPr>
              <w:t>29.70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2"/>
              <w:jc w:val="right"/>
              <w:rPr>
                <w:sz w:val="14"/>
              </w:rPr>
            </w:pPr>
            <w:r>
              <w:rPr>
                <w:spacing w:val="-2"/>
                <w:sz w:val="14"/>
              </w:rPr>
              <w:t>29.70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2"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Urgent</w:t>
            </w:r>
            <w:r>
              <w:rPr>
                <w:spacing w:val="-5"/>
                <w:sz w:val="14"/>
              </w:rPr>
              <w:t> </w:t>
            </w:r>
            <w:r>
              <w:rPr>
                <w:sz w:val="14"/>
              </w:rPr>
              <w:t>Land</w:t>
            </w:r>
            <w:r>
              <w:rPr>
                <w:spacing w:val="-5"/>
                <w:sz w:val="14"/>
              </w:rPr>
              <w:t> </w:t>
            </w:r>
            <w:r>
              <w:rPr>
                <w:sz w:val="14"/>
              </w:rPr>
              <w:t>Information</w:t>
            </w:r>
            <w:r>
              <w:rPr>
                <w:spacing w:val="-7"/>
                <w:sz w:val="14"/>
              </w:rPr>
              <w:t> </w:t>
            </w:r>
            <w:r>
              <w:rPr>
                <w:spacing w:val="-2"/>
                <w:sz w:val="14"/>
              </w:rPr>
              <w:t>Certificate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50.00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282" w:hRule="atLeast"/>
        </w:trPr>
        <w:tc>
          <w:tcPr>
            <w:tcW w:w="5770" w:type="dxa"/>
            <w:tcBorders>
              <w:top w:val="single" w:sz="4" w:space="0" w:color="000000"/>
              <w:left w:val="single" w:sz="12" w:space="0" w:color="000000"/>
              <w:right w:val="single" w:sz="4" w:space="0" w:color="000000"/>
            </w:tcBorders>
            <w:shd w:val="clear" w:color="auto" w:fill="D8D8D8"/>
          </w:tcPr>
          <w:p>
            <w:pPr>
              <w:pStyle w:val="TableParagraph"/>
              <w:spacing w:line="217" w:lineRule="exact" w:before="45"/>
              <w:ind w:left="169"/>
              <w:rPr>
                <w:b/>
                <w:sz w:val="22"/>
              </w:rPr>
            </w:pPr>
            <w:r>
              <w:rPr>
                <w:b/>
                <w:sz w:val="22"/>
              </w:rPr>
              <w:t>Governance</w:t>
            </w:r>
            <w:r>
              <w:rPr>
                <w:b/>
                <w:spacing w:val="-2"/>
                <w:sz w:val="22"/>
              </w:rPr>
              <w:t> </w:t>
            </w:r>
            <w:r>
              <w:rPr>
                <w:b/>
                <w:sz w:val="22"/>
              </w:rPr>
              <w:t>&amp;</w:t>
            </w:r>
            <w:r>
              <w:rPr>
                <w:b/>
                <w:spacing w:val="-3"/>
                <w:sz w:val="22"/>
              </w:rPr>
              <w:t> </w:t>
            </w:r>
            <w:r>
              <w:rPr>
                <w:b/>
                <w:spacing w:val="-2"/>
                <w:sz w:val="22"/>
              </w:rPr>
              <w:t>Performance</w:t>
            </w:r>
          </w:p>
        </w:tc>
        <w:tc>
          <w:tcPr>
            <w:tcW w:w="1028"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4"/>
              </w:rPr>
            </w:pPr>
          </w:p>
        </w:tc>
        <w:tc>
          <w:tcPr>
            <w:tcW w:w="769"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4"/>
              </w:rPr>
            </w:pPr>
          </w:p>
        </w:tc>
        <w:tc>
          <w:tcPr>
            <w:tcW w:w="973"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4"/>
              </w:rPr>
            </w:pPr>
          </w:p>
        </w:tc>
        <w:tc>
          <w:tcPr>
            <w:tcW w:w="1199"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4"/>
              </w:rPr>
            </w:pPr>
          </w:p>
        </w:tc>
        <w:tc>
          <w:tcPr>
            <w:tcW w:w="897" w:type="dxa"/>
            <w:tcBorders>
              <w:top w:val="single" w:sz="4" w:space="0" w:color="000000"/>
              <w:left w:val="single" w:sz="4" w:space="0" w:color="000000"/>
              <w:bottom w:val="single" w:sz="4" w:space="0" w:color="000000"/>
              <w:right w:val="single" w:sz="12" w:space="0" w:color="000000"/>
            </w:tcBorders>
            <w:shd w:val="clear" w:color="auto" w:fill="D8D8D8"/>
          </w:tcPr>
          <w:p>
            <w:pPr>
              <w:pStyle w:val="TableParagraph"/>
              <w:rPr>
                <w:rFonts w:ascii="Times New Roman"/>
                <w:sz w:val="14"/>
              </w:rPr>
            </w:pPr>
          </w:p>
        </w:tc>
      </w:tr>
      <w:tr>
        <w:trPr>
          <w:trHeight w:val="373" w:hRule="atLeast"/>
        </w:trPr>
        <w:tc>
          <w:tcPr>
            <w:tcW w:w="5770" w:type="dxa"/>
            <w:tcBorders>
              <w:left w:val="single" w:sz="12" w:space="0" w:color="000000"/>
              <w:bottom w:val="single" w:sz="4" w:space="0" w:color="000000"/>
              <w:right w:val="single" w:sz="4" w:space="0" w:color="000000"/>
            </w:tcBorders>
          </w:tcPr>
          <w:p>
            <w:pPr>
              <w:pStyle w:val="TableParagraph"/>
              <w:spacing w:before="4"/>
              <w:rPr>
                <w:sz w:val="18"/>
              </w:rPr>
            </w:pPr>
          </w:p>
          <w:p>
            <w:pPr>
              <w:pStyle w:val="TableParagraph"/>
              <w:spacing w:line="142" w:lineRule="exact"/>
              <w:ind w:left="107"/>
              <w:rPr>
                <w:b/>
                <w:sz w:val="14"/>
              </w:rPr>
            </w:pPr>
            <w:r>
              <w:rPr>
                <w:b/>
                <w:spacing w:val="-2"/>
                <w:sz w:val="14"/>
              </w:rPr>
              <w:t>Election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4"/>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Failure</w:t>
            </w:r>
            <w:r>
              <w:rPr>
                <w:spacing w:val="-5"/>
                <w:sz w:val="14"/>
              </w:rPr>
              <w:t> </w:t>
            </w:r>
            <w:r>
              <w:rPr>
                <w:sz w:val="14"/>
              </w:rPr>
              <w:t>to</w:t>
            </w:r>
            <w:r>
              <w:rPr>
                <w:spacing w:val="-2"/>
                <w:sz w:val="14"/>
              </w:rPr>
              <w:t> </w:t>
            </w:r>
            <w:r>
              <w:rPr>
                <w:spacing w:val="-4"/>
                <w:sz w:val="14"/>
              </w:rPr>
              <w:t>vote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99.00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99.00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2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4"/>
              </w:rPr>
            </w:pPr>
          </w:p>
          <w:p>
            <w:pPr>
              <w:pStyle w:val="TableParagraph"/>
              <w:spacing w:line="140" w:lineRule="exact"/>
              <w:ind w:left="107"/>
              <w:rPr>
                <w:sz w:val="14"/>
              </w:rPr>
            </w:pPr>
            <w:r>
              <w:rPr>
                <w:sz w:val="14"/>
              </w:rPr>
              <w:t>Failure</w:t>
            </w:r>
            <w:r>
              <w:rPr>
                <w:spacing w:val="-5"/>
                <w:sz w:val="14"/>
              </w:rPr>
              <w:t> </w:t>
            </w:r>
            <w:r>
              <w:rPr>
                <w:sz w:val="14"/>
              </w:rPr>
              <w:t>to</w:t>
            </w:r>
            <w:r>
              <w:rPr>
                <w:spacing w:val="-2"/>
                <w:sz w:val="14"/>
              </w:rPr>
              <w:t> </w:t>
            </w:r>
            <w:r>
              <w:rPr>
                <w:sz w:val="14"/>
              </w:rPr>
              <w:t>vote</w:t>
            </w:r>
            <w:r>
              <w:rPr>
                <w:spacing w:val="-5"/>
                <w:sz w:val="14"/>
              </w:rPr>
              <w:t> </w:t>
            </w:r>
            <w:r>
              <w:rPr>
                <w:sz w:val="14"/>
              </w:rPr>
              <w:t>reminder</w:t>
            </w:r>
            <w:r>
              <w:rPr>
                <w:spacing w:val="-2"/>
                <w:sz w:val="14"/>
              </w:rPr>
              <w:t> </w:t>
            </w:r>
            <w:r>
              <w:rPr>
                <w:sz w:val="14"/>
              </w:rPr>
              <w:t>notice</w:t>
            </w:r>
            <w:r>
              <w:rPr>
                <w:spacing w:val="-2"/>
                <w:sz w:val="14"/>
              </w:rPr>
              <w:t> </w:t>
            </w:r>
            <w:r>
              <w:rPr>
                <w:sz w:val="14"/>
              </w:rPr>
              <w:t>-</w:t>
            </w:r>
            <w:r>
              <w:rPr>
                <w:spacing w:val="-5"/>
                <w:sz w:val="14"/>
              </w:rPr>
              <w:t> </w:t>
            </w:r>
            <w:r>
              <w:rPr>
                <w:sz w:val="14"/>
              </w:rPr>
              <w:t>additional</w:t>
            </w:r>
            <w:r>
              <w:rPr>
                <w:spacing w:val="-4"/>
                <w:sz w:val="14"/>
              </w:rPr>
              <w:t> </w:t>
            </w:r>
            <w:r>
              <w:rPr>
                <w:sz w:val="14"/>
              </w:rPr>
              <w:t>to</w:t>
            </w:r>
            <w:r>
              <w:rPr>
                <w:spacing w:val="-5"/>
                <w:sz w:val="14"/>
              </w:rPr>
              <w:t> </w:t>
            </w:r>
            <w:r>
              <w:rPr>
                <w:sz w:val="14"/>
              </w:rPr>
              <w:t>original</w:t>
            </w:r>
            <w:r>
              <w:rPr>
                <w:spacing w:val="-4"/>
                <w:sz w:val="14"/>
              </w:rPr>
              <w:t> fine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0" w:lineRule="exact"/>
              <w:ind w:left="24"/>
              <w:jc w:val="center"/>
              <w:rPr>
                <w:sz w:val="14"/>
              </w:rPr>
            </w:pPr>
            <w:r>
              <w:rPr>
                <w:w w:val="99"/>
                <w:sz w:val="14"/>
              </w:rPr>
              <w:t>S</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395" w:right="164" w:hanging="197"/>
              <w:rPr>
                <w:sz w:val="14"/>
              </w:rPr>
            </w:pPr>
            <w:r>
              <w:rPr>
                <w:sz w:val="14"/>
              </w:rPr>
              <w:t>99.00</w:t>
            </w:r>
            <w:r>
              <w:rPr>
                <w:spacing w:val="-10"/>
                <w:sz w:val="14"/>
              </w:rPr>
              <w:t> </w:t>
            </w:r>
            <w:r>
              <w:rPr>
                <w:sz w:val="14"/>
              </w:rPr>
              <w:t>+</w:t>
            </w:r>
            <w:r>
              <w:rPr>
                <w:spacing w:val="-10"/>
                <w:sz w:val="14"/>
              </w:rPr>
              <w:t> </w:t>
            </w:r>
            <w:r>
              <w:rPr>
                <w:sz w:val="14"/>
              </w:rPr>
              <w:t>a</w:t>
            </w:r>
            <w:r>
              <w:rPr>
                <w:spacing w:val="40"/>
                <w:sz w:val="14"/>
              </w:rPr>
              <w:t> </w:t>
            </w:r>
            <w:r>
              <w:rPr>
                <w:spacing w:val="-4"/>
                <w:sz w:val="14"/>
              </w:rPr>
              <w:t>fee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0" w:lineRule="exact"/>
              <w:ind w:left="193"/>
              <w:rPr>
                <w:sz w:val="14"/>
              </w:rPr>
            </w:pPr>
            <w:r>
              <w:rPr>
                <w:sz w:val="14"/>
              </w:rPr>
              <w:t>99.00</w:t>
            </w:r>
            <w:r>
              <w:rPr>
                <w:spacing w:val="-4"/>
                <w:sz w:val="14"/>
              </w:rPr>
              <w:t> </w:t>
            </w:r>
            <w:r>
              <w:rPr>
                <w:sz w:val="14"/>
              </w:rPr>
              <w:t>+</w:t>
            </w:r>
            <w:r>
              <w:rPr>
                <w:spacing w:val="-1"/>
                <w:sz w:val="14"/>
              </w:rPr>
              <w:t> </w:t>
            </w:r>
            <w:r>
              <w:rPr>
                <w:sz w:val="14"/>
              </w:rPr>
              <w:t>a</w:t>
            </w:r>
            <w:r>
              <w:rPr>
                <w:spacing w:val="-4"/>
                <w:sz w:val="14"/>
              </w:rPr>
              <w:t> </w:t>
            </w:r>
            <w:r>
              <w:rPr>
                <w:spacing w:val="-5"/>
                <w:sz w:val="14"/>
              </w:rPr>
              <w:t>fee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4"/>
              </w:rPr>
            </w:pPr>
          </w:p>
        </w:tc>
      </w:tr>
      <w:tr>
        <w:trPr>
          <w:trHeight w:val="281" w:hRule="atLeast"/>
        </w:trPr>
        <w:tc>
          <w:tcPr>
            <w:tcW w:w="5770" w:type="dxa"/>
            <w:tcBorders>
              <w:top w:val="single" w:sz="4" w:space="0" w:color="000000"/>
              <w:left w:val="single" w:sz="12" w:space="0" w:color="000000"/>
              <w:right w:val="single" w:sz="4" w:space="0" w:color="000000"/>
            </w:tcBorders>
            <w:shd w:val="clear" w:color="auto" w:fill="D8D8D8"/>
          </w:tcPr>
          <w:p>
            <w:pPr>
              <w:pStyle w:val="TableParagraph"/>
              <w:spacing w:line="214" w:lineRule="exact" w:before="47"/>
              <w:ind w:left="169"/>
              <w:rPr>
                <w:b/>
                <w:sz w:val="22"/>
              </w:rPr>
            </w:pPr>
            <w:r>
              <w:rPr>
                <w:b/>
                <w:sz w:val="22"/>
              </w:rPr>
              <w:t>Senior</w:t>
            </w:r>
            <w:r>
              <w:rPr>
                <w:b/>
                <w:spacing w:val="-4"/>
                <w:sz w:val="22"/>
              </w:rPr>
              <w:t> </w:t>
            </w:r>
            <w:r>
              <w:rPr>
                <w:b/>
                <w:spacing w:val="-2"/>
                <w:sz w:val="22"/>
              </w:rPr>
              <w:t>Executive</w:t>
            </w:r>
          </w:p>
        </w:tc>
        <w:tc>
          <w:tcPr>
            <w:tcW w:w="1028"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4"/>
              </w:rPr>
            </w:pPr>
          </w:p>
        </w:tc>
        <w:tc>
          <w:tcPr>
            <w:tcW w:w="769"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4"/>
              </w:rPr>
            </w:pPr>
          </w:p>
        </w:tc>
        <w:tc>
          <w:tcPr>
            <w:tcW w:w="973"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4"/>
              </w:rPr>
            </w:pPr>
          </w:p>
        </w:tc>
        <w:tc>
          <w:tcPr>
            <w:tcW w:w="1199"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4"/>
              </w:rPr>
            </w:pPr>
          </w:p>
        </w:tc>
        <w:tc>
          <w:tcPr>
            <w:tcW w:w="897" w:type="dxa"/>
            <w:tcBorders>
              <w:top w:val="single" w:sz="4" w:space="0" w:color="000000"/>
              <w:left w:val="single" w:sz="4" w:space="0" w:color="000000"/>
              <w:bottom w:val="single" w:sz="4" w:space="0" w:color="000000"/>
              <w:right w:val="single" w:sz="12" w:space="0" w:color="000000"/>
            </w:tcBorders>
            <w:shd w:val="clear" w:color="auto" w:fill="D8D8D8"/>
          </w:tcPr>
          <w:p>
            <w:pPr>
              <w:pStyle w:val="TableParagraph"/>
              <w:rPr>
                <w:rFonts w:ascii="Times New Roman"/>
                <w:sz w:val="14"/>
              </w:rPr>
            </w:pPr>
          </w:p>
        </w:tc>
      </w:tr>
      <w:tr>
        <w:trPr>
          <w:trHeight w:val="162" w:hRule="atLeast"/>
        </w:trPr>
        <w:tc>
          <w:tcPr>
            <w:tcW w:w="5770" w:type="dxa"/>
            <w:tcBorders>
              <w:left w:val="single" w:sz="12" w:space="0" w:color="000000"/>
              <w:bottom w:val="single" w:sz="4" w:space="0" w:color="000000"/>
              <w:right w:val="single" w:sz="4" w:space="0" w:color="000000"/>
            </w:tcBorders>
          </w:tcPr>
          <w:p>
            <w:pPr>
              <w:pStyle w:val="TableParagraph"/>
              <w:spacing w:line="140" w:lineRule="exact" w:before="2"/>
              <w:ind w:left="107"/>
              <w:rPr>
                <w:b/>
                <w:sz w:val="14"/>
              </w:rPr>
            </w:pPr>
            <w:r>
              <w:rPr>
                <w:b/>
                <w:sz w:val="14"/>
              </w:rPr>
              <w:t>International</w:t>
            </w:r>
            <w:r>
              <w:rPr>
                <w:b/>
                <w:spacing w:val="-8"/>
                <w:sz w:val="14"/>
              </w:rPr>
              <w:t> </w:t>
            </w:r>
            <w:r>
              <w:rPr>
                <w:b/>
                <w:sz w:val="14"/>
              </w:rPr>
              <w:t>Women's</w:t>
            </w:r>
            <w:r>
              <w:rPr>
                <w:b/>
                <w:spacing w:val="-6"/>
                <w:sz w:val="14"/>
              </w:rPr>
              <w:t> </w:t>
            </w:r>
            <w:r>
              <w:rPr>
                <w:b/>
                <w:spacing w:val="-5"/>
                <w:sz w:val="14"/>
              </w:rPr>
              <w:t>Day</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0"/>
              </w:rPr>
            </w:pP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9"/>
              <w:ind w:left="107"/>
              <w:rPr>
                <w:sz w:val="14"/>
              </w:rPr>
            </w:pP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7"/>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70"/>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1"/>
              <w:jc w:val="right"/>
              <w:rPr>
                <w:sz w:val="14"/>
              </w:rPr>
            </w:pPr>
            <w:r>
              <w:rPr>
                <w:spacing w:val="-2"/>
                <w:sz w:val="14"/>
              </w:rPr>
              <w:t>25.00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4"/>
              <w:jc w:val="right"/>
              <w:rPr>
                <w:sz w:val="14"/>
              </w:rPr>
            </w:pPr>
            <w:r>
              <w:rPr>
                <w:spacing w:val="-2"/>
                <w:sz w:val="14"/>
              </w:rPr>
              <w:t>25.00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2" w:lineRule="exact" w:before="19"/>
              <w:ind w:left="95" w:right="80"/>
              <w:jc w:val="center"/>
              <w:rPr>
                <w:sz w:val="14"/>
              </w:rPr>
            </w:pPr>
            <w:r>
              <w:rPr>
                <w:spacing w:val="-5"/>
                <w:sz w:val="14"/>
              </w:rPr>
              <w:t>0.0</w:t>
            </w:r>
          </w:p>
        </w:tc>
      </w:tr>
      <w:tr>
        <w:trPr>
          <w:trHeight w:val="282" w:hRule="atLeast"/>
        </w:trPr>
        <w:tc>
          <w:tcPr>
            <w:tcW w:w="5770" w:type="dxa"/>
            <w:tcBorders>
              <w:top w:val="single" w:sz="4" w:space="0" w:color="000000"/>
              <w:left w:val="single" w:sz="12" w:space="0" w:color="000000"/>
              <w:right w:val="single" w:sz="4" w:space="0" w:color="000000"/>
            </w:tcBorders>
            <w:shd w:val="clear" w:color="auto" w:fill="D8D8D8"/>
          </w:tcPr>
          <w:p>
            <w:pPr>
              <w:pStyle w:val="TableParagraph"/>
              <w:spacing w:line="217" w:lineRule="exact" w:before="45"/>
              <w:ind w:left="169"/>
              <w:rPr>
                <w:b/>
                <w:sz w:val="22"/>
              </w:rPr>
            </w:pPr>
            <w:r>
              <w:rPr>
                <w:b/>
                <w:spacing w:val="-2"/>
                <w:sz w:val="22"/>
              </w:rPr>
              <w:t>Operations</w:t>
            </w:r>
          </w:p>
        </w:tc>
        <w:tc>
          <w:tcPr>
            <w:tcW w:w="1028"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4"/>
              </w:rPr>
            </w:pPr>
          </w:p>
        </w:tc>
        <w:tc>
          <w:tcPr>
            <w:tcW w:w="769"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4"/>
              </w:rPr>
            </w:pPr>
          </w:p>
        </w:tc>
        <w:tc>
          <w:tcPr>
            <w:tcW w:w="973"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4"/>
              </w:rPr>
            </w:pPr>
          </w:p>
        </w:tc>
        <w:tc>
          <w:tcPr>
            <w:tcW w:w="1199"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4"/>
              </w:rPr>
            </w:pPr>
          </w:p>
        </w:tc>
        <w:tc>
          <w:tcPr>
            <w:tcW w:w="897" w:type="dxa"/>
            <w:tcBorders>
              <w:top w:val="single" w:sz="4" w:space="0" w:color="000000"/>
              <w:left w:val="single" w:sz="4" w:space="0" w:color="000000"/>
              <w:bottom w:val="single" w:sz="4" w:space="0" w:color="000000"/>
              <w:right w:val="single" w:sz="12" w:space="0" w:color="000000"/>
            </w:tcBorders>
            <w:shd w:val="clear" w:color="auto" w:fill="D8D8D8"/>
          </w:tcPr>
          <w:p>
            <w:pPr>
              <w:pStyle w:val="TableParagraph"/>
              <w:rPr>
                <w:rFonts w:ascii="Times New Roman"/>
                <w:sz w:val="14"/>
              </w:rPr>
            </w:pPr>
          </w:p>
        </w:tc>
      </w:tr>
      <w:tr>
        <w:trPr>
          <w:trHeight w:val="162" w:hRule="atLeast"/>
        </w:trPr>
        <w:tc>
          <w:tcPr>
            <w:tcW w:w="5770" w:type="dxa"/>
            <w:tcBorders>
              <w:left w:val="single" w:sz="12" w:space="0" w:color="000000"/>
              <w:bottom w:val="single" w:sz="4" w:space="0" w:color="000000"/>
              <w:right w:val="single" w:sz="4" w:space="0" w:color="000000"/>
            </w:tcBorders>
          </w:tcPr>
          <w:p>
            <w:pPr>
              <w:pStyle w:val="TableParagraph"/>
              <w:spacing w:line="140" w:lineRule="exact" w:before="2"/>
              <w:ind w:left="107"/>
              <w:rPr>
                <w:b/>
                <w:sz w:val="14"/>
              </w:rPr>
            </w:pPr>
            <w:r>
              <w:rPr>
                <w:b/>
                <w:spacing w:val="-2"/>
                <w:sz w:val="14"/>
              </w:rPr>
              <w:t>Marveloo</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0"/>
              </w:rPr>
            </w:pPr>
          </w:p>
        </w:tc>
      </w:tr>
      <w:tr>
        <w:trPr>
          <w:trHeight w:val="4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4"/>
              </w:rPr>
            </w:pPr>
          </w:p>
          <w:p>
            <w:pPr>
              <w:pStyle w:val="TableParagraph"/>
              <w:ind w:left="107"/>
              <w:rPr>
                <w:sz w:val="14"/>
              </w:rPr>
            </w:pPr>
            <w:r>
              <w:rPr>
                <w:sz w:val="14"/>
              </w:rPr>
              <w:t>Use</w:t>
            </w:r>
            <w:r>
              <w:rPr>
                <w:spacing w:val="-4"/>
                <w:sz w:val="14"/>
              </w:rPr>
              <w:t> </w:t>
            </w:r>
            <w:r>
              <w:rPr>
                <w:sz w:val="14"/>
              </w:rPr>
              <w:t>of</w:t>
            </w:r>
            <w:r>
              <w:rPr>
                <w:spacing w:val="-3"/>
                <w:sz w:val="14"/>
              </w:rPr>
              <w:t> </w:t>
            </w:r>
            <w:r>
              <w:rPr>
                <w:spacing w:val="-2"/>
                <w:sz w:val="14"/>
              </w:rPr>
              <w:t>Marveloo</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line="140" w:lineRule="exact" w:before="138"/>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line="140" w:lineRule="exact" w:before="138"/>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189" w:right="165" w:hanging="1"/>
              <w:jc w:val="center"/>
              <w:rPr>
                <w:sz w:val="14"/>
              </w:rPr>
            </w:pPr>
            <w:r>
              <w:rPr>
                <w:spacing w:val="-2"/>
                <w:sz w:val="14"/>
              </w:rPr>
              <w:t>Varies</w:t>
            </w:r>
            <w:r>
              <w:rPr>
                <w:spacing w:val="40"/>
                <w:sz w:val="14"/>
              </w:rPr>
              <w:t> </w:t>
            </w:r>
            <w:r>
              <w:rPr>
                <w:spacing w:val="-2"/>
                <w:sz w:val="14"/>
              </w:rPr>
              <w:t>according</w:t>
            </w:r>
            <w:r>
              <w:rPr>
                <w:spacing w:val="40"/>
                <w:sz w:val="14"/>
              </w:rPr>
              <w:t> </w:t>
            </w:r>
            <w:r>
              <w:rPr>
                <w:sz w:val="14"/>
              </w:rPr>
              <w:t>to</w:t>
            </w:r>
            <w:r>
              <w:rPr>
                <w:spacing w:val="-6"/>
                <w:sz w:val="14"/>
              </w:rPr>
              <w:t> </w:t>
            </w:r>
            <w:r>
              <w:rPr>
                <w:sz w:val="14"/>
              </w:rPr>
              <w:t>quote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224" w:right="201" w:hanging="3"/>
              <w:jc w:val="center"/>
              <w:rPr>
                <w:sz w:val="14"/>
              </w:rPr>
            </w:pPr>
            <w:r>
              <w:rPr>
                <w:spacing w:val="-2"/>
                <w:sz w:val="14"/>
              </w:rPr>
              <w:t>Varies</w:t>
            </w:r>
            <w:r>
              <w:rPr>
                <w:spacing w:val="40"/>
                <w:sz w:val="14"/>
              </w:rPr>
              <w:t> </w:t>
            </w:r>
            <w:r>
              <w:rPr>
                <w:sz w:val="14"/>
              </w:rPr>
              <w:t>according</w:t>
            </w:r>
            <w:r>
              <w:rPr>
                <w:spacing w:val="-10"/>
                <w:sz w:val="14"/>
              </w:rPr>
              <w:t> </w:t>
            </w:r>
            <w:r>
              <w:rPr>
                <w:sz w:val="14"/>
              </w:rPr>
              <w:t>to</w:t>
            </w:r>
            <w:r>
              <w:rPr>
                <w:spacing w:val="40"/>
                <w:sz w:val="14"/>
              </w:rPr>
              <w:t> </w:t>
            </w:r>
            <w:r>
              <w:rPr>
                <w:spacing w:val="-2"/>
                <w:sz w:val="14"/>
              </w:rPr>
              <w:t>quote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4"/>
              </w:rPr>
            </w:pPr>
          </w:p>
        </w:tc>
      </w:tr>
      <w:tr>
        <w:trPr>
          <w:trHeight w:val="281" w:hRule="atLeast"/>
        </w:trPr>
        <w:tc>
          <w:tcPr>
            <w:tcW w:w="5770" w:type="dxa"/>
            <w:tcBorders>
              <w:top w:val="single" w:sz="4" w:space="0" w:color="000000"/>
              <w:left w:val="single" w:sz="12" w:space="0" w:color="000000"/>
              <w:right w:val="single" w:sz="4" w:space="0" w:color="000000"/>
            </w:tcBorders>
            <w:shd w:val="clear" w:color="auto" w:fill="D8D8D8"/>
          </w:tcPr>
          <w:p>
            <w:pPr>
              <w:pStyle w:val="TableParagraph"/>
              <w:spacing w:line="214" w:lineRule="exact" w:before="47"/>
              <w:ind w:left="169"/>
              <w:rPr>
                <w:b/>
                <w:sz w:val="22"/>
              </w:rPr>
            </w:pPr>
            <w:r>
              <w:rPr>
                <w:b/>
                <w:spacing w:val="-2"/>
                <w:sz w:val="22"/>
              </w:rPr>
              <w:t>Leisure</w:t>
            </w:r>
          </w:p>
        </w:tc>
        <w:tc>
          <w:tcPr>
            <w:tcW w:w="1028"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4"/>
              </w:rPr>
            </w:pPr>
          </w:p>
        </w:tc>
        <w:tc>
          <w:tcPr>
            <w:tcW w:w="769"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4"/>
              </w:rPr>
            </w:pPr>
          </w:p>
        </w:tc>
        <w:tc>
          <w:tcPr>
            <w:tcW w:w="973"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4"/>
              </w:rPr>
            </w:pPr>
          </w:p>
        </w:tc>
        <w:tc>
          <w:tcPr>
            <w:tcW w:w="1199"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4"/>
              </w:rPr>
            </w:pPr>
          </w:p>
        </w:tc>
        <w:tc>
          <w:tcPr>
            <w:tcW w:w="897" w:type="dxa"/>
            <w:tcBorders>
              <w:top w:val="single" w:sz="4" w:space="0" w:color="000000"/>
              <w:left w:val="single" w:sz="4" w:space="0" w:color="000000"/>
              <w:bottom w:val="single" w:sz="4" w:space="0" w:color="000000"/>
              <w:right w:val="single" w:sz="12" w:space="0" w:color="000000"/>
            </w:tcBorders>
            <w:shd w:val="clear" w:color="auto" w:fill="D8D8D8"/>
          </w:tcPr>
          <w:p>
            <w:pPr>
              <w:pStyle w:val="TableParagraph"/>
              <w:rPr>
                <w:rFonts w:ascii="Times New Roman"/>
                <w:sz w:val="14"/>
              </w:rPr>
            </w:pPr>
          </w:p>
        </w:tc>
      </w:tr>
      <w:tr>
        <w:trPr>
          <w:trHeight w:val="164" w:hRule="atLeast"/>
        </w:trPr>
        <w:tc>
          <w:tcPr>
            <w:tcW w:w="5770" w:type="dxa"/>
            <w:tcBorders>
              <w:left w:val="single" w:sz="12" w:space="0" w:color="000000"/>
              <w:bottom w:val="single" w:sz="4" w:space="0" w:color="000000"/>
              <w:right w:val="single" w:sz="4" w:space="0" w:color="000000"/>
            </w:tcBorders>
          </w:tcPr>
          <w:p>
            <w:pPr>
              <w:pStyle w:val="TableParagraph"/>
              <w:spacing w:line="140" w:lineRule="exact" w:before="4"/>
              <w:ind w:left="107"/>
              <w:rPr>
                <w:b/>
                <w:sz w:val="14"/>
              </w:rPr>
            </w:pPr>
            <w:r>
              <w:rPr>
                <w:b/>
                <w:sz w:val="14"/>
              </w:rPr>
              <w:t>Night</w:t>
            </w:r>
            <w:r>
              <w:rPr>
                <w:b/>
                <w:spacing w:val="-7"/>
                <w:sz w:val="14"/>
              </w:rPr>
              <w:t> </w:t>
            </w:r>
            <w:r>
              <w:rPr>
                <w:b/>
                <w:spacing w:val="-5"/>
                <w:sz w:val="14"/>
              </w:rPr>
              <w:t>Run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0"/>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Concession</w:t>
            </w:r>
            <w:r>
              <w:rPr>
                <w:spacing w:val="-7"/>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4.3</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2"/>
                <w:sz w:val="14"/>
              </w:rPr>
              <w:t>Individual</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27.00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2"/>
                <w:sz w:val="14"/>
              </w:rPr>
              <w:t>Family</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60.00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62.00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3.2</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Run</w:t>
            </w:r>
            <w:r>
              <w:rPr>
                <w:b/>
                <w:spacing w:val="-4"/>
                <w:sz w:val="14"/>
              </w:rPr>
              <w:t> </w:t>
            </w:r>
            <w:r>
              <w:rPr>
                <w:b/>
                <w:spacing w:val="-2"/>
                <w:sz w:val="14"/>
              </w:rPr>
              <w:t>Maroondah</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Entry</w:t>
            </w:r>
            <w:r>
              <w:rPr>
                <w:spacing w:val="-2"/>
                <w:sz w:val="14"/>
              </w:rPr>
              <w:t> </w:t>
            </w:r>
            <w:r>
              <w:rPr>
                <w:sz w:val="14"/>
              </w:rPr>
              <w:t>fee</w:t>
            </w:r>
            <w:r>
              <w:rPr>
                <w:spacing w:val="-2"/>
                <w:sz w:val="14"/>
              </w:rPr>
              <w:t> </w:t>
            </w:r>
            <w:r>
              <w:rPr>
                <w:sz w:val="14"/>
              </w:rPr>
              <w:t>-</w:t>
            </w:r>
            <w:r>
              <w:rPr>
                <w:spacing w:val="-4"/>
                <w:sz w:val="14"/>
              </w:rPr>
              <w:t> </w:t>
            </w:r>
            <w:r>
              <w:rPr>
                <w:sz w:val="14"/>
              </w:rPr>
              <w:t>individual</w:t>
            </w:r>
            <w:r>
              <w:rPr>
                <w:spacing w:val="-4"/>
                <w:sz w:val="14"/>
              </w:rPr>
              <w:t> </w:t>
            </w:r>
            <w:r>
              <w:rPr>
                <w:spacing w:val="-5"/>
                <w:sz w:val="14"/>
              </w:rPr>
              <w:t>5km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27.00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3.6</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Entry</w:t>
            </w:r>
            <w:r>
              <w:rPr>
                <w:spacing w:val="-3"/>
                <w:sz w:val="14"/>
              </w:rPr>
              <w:t> </w:t>
            </w:r>
            <w:r>
              <w:rPr>
                <w:sz w:val="14"/>
              </w:rPr>
              <w:t>fee</w:t>
            </w:r>
            <w:r>
              <w:rPr>
                <w:spacing w:val="-2"/>
                <w:sz w:val="14"/>
              </w:rPr>
              <w:t> </w:t>
            </w:r>
            <w:r>
              <w:rPr>
                <w:sz w:val="14"/>
              </w:rPr>
              <w:t>-</w:t>
            </w:r>
            <w:r>
              <w:rPr>
                <w:spacing w:val="-5"/>
                <w:sz w:val="14"/>
              </w:rPr>
              <w:t> </w:t>
            </w:r>
            <w:r>
              <w:rPr>
                <w:sz w:val="14"/>
              </w:rPr>
              <w:t>individual</w:t>
            </w:r>
            <w:r>
              <w:rPr>
                <w:spacing w:val="-4"/>
                <w:sz w:val="14"/>
              </w:rPr>
              <w:t> 10km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33.00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34.00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2.9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Entry</w:t>
            </w:r>
            <w:r>
              <w:rPr>
                <w:spacing w:val="-3"/>
                <w:sz w:val="14"/>
              </w:rPr>
              <w:t> </w:t>
            </w:r>
            <w:r>
              <w:rPr>
                <w:sz w:val="14"/>
              </w:rPr>
              <w:t>fee</w:t>
            </w:r>
            <w:r>
              <w:rPr>
                <w:spacing w:val="-2"/>
                <w:sz w:val="14"/>
              </w:rPr>
              <w:t> </w:t>
            </w:r>
            <w:r>
              <w:rPr>
                <w:sz w:val="14"/>
              </w:rPr>
              <w:t>-</w:t>
            </w:r>
            <w:r>
              <w:rPr>
                <w:spacing w:val="-5"/>
                <w:sz w:val="14"/>
              </w:rPr>
              <w:t> </w:t>
            </w:r>
            <w:r>
              <w:rPr>
                <w:sz w:val="14"/>
              </w:rPr>
              <w:t>individual</w:t>
            </w:r>
            <w:r>
              <w:rPr>
                <w:spacing w:val="-4"/>
                <w:sz w:val="14"/>
              </w:rPr>
              <w:t> 15km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38.00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39.00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2.6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Entry</w:t>
            </w:r>
            <w:r>
              <w:rPr>
                <w:spacing w:val="-3"/>
                <w:sz w:val="14"/>
              </w:rPr>
              <w:t> </w:t>
            </w:r>
            <w:r>
              <w:rPr>
                <w:sz w:val="14"/>
              </w:rPr>
              <w:t>fee</w:t>
            </w:r>
            <w:r>
              <w:rPr>
                <w:spacing w:val="-2"/>
                <w:sz w:val="14"/>
              </w:rPr>
              <w:t> </w:t>
            </w:r>
            <w:r>
              <w:rPr>
                <w:sz w:val="14"/>
              </w:rPr>
              <w:t>-</w:t>
            </w:r>
            <w:r>
              <w:rPr>
                <w:spacing w:val="-6"/>
                <w:sz w:val="14"/>
              </w:rPr>
              <w:t> </w:t>
            </w:r>
            <w:r>
              <w:rPr>
                <w:sz w:val="14"/>
              </w:rPr>
              <w:t>concession</w:t>
            </w:r>
            <w:r>
              <w:rPr>
                <w:spacing w:val="-1"/>
                <w:sz w:val="14"/>
              </w:rPr>
              <w:t> </w:t>
            </w:r>
            <w:r>
              <w:rPr>
                <w:spacing w:val="-5"/>
                <w:sz w:val="14"/>
              </w:rPr>
              <w:t>5km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4.3</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Entry</w:t>
            </w:r>
            <w:r>
              <w:rPr>
                <w:spacing w:val="-3"/>
                <w:sz w:val="14"/>
              </w:rPr>
              <w:t> </w:t>
            </w:r>
            <w:r>
              <w:rPr>
                <w:sz w:val="14"/>
              </w:rPr>
              <w:t>fee</w:t>
            </w:r>
            <w:r>
              <w:rPr>
                <w:spacing w:val="-2"/>
                <w:sz w:val="14"/>
              </w:rPr>
              <w:t> </w:t>
            </w:r>
            <w:r>
              <w:rPr>
                <w:sz w:val="14"/>
              </w:rPr>
              <w:t>-</w:t>
            </w:r>
            <w:r>
              <w:rPr>
                <w:spacing w:val="-6"/>
                <w:sz w:val="14"/>
              </w:rPr>
              <w:t> </w:t>
            </w:r>
            <w:r>
              <w:rPr>
                <w:sz w:val="14"/>
              </w:rPr>
              <w:t>concession</w:t>
            </w:r>
            <w:r>
              <w:rPr>
                <w:spacing w:val="-1"/>
                <w:sz w:val="14"/>
              </w:rPr>
              <w:t> </w:t>
            </w:r>
            <w:r>
              <w:rPr>
                <w:spacing w:val="-4"/>
                <w:sz w:val="14"/>
              </w:rPr>
              <w:t>10km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28.00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29.00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3.4</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Entry</w:t>
            </w:r>
            <w:r>
              <w:rPr>
                <w:spacing w:val="-3"/>
                <w:sz w:val="14"/>
              </w:rPr>
              <w:t> </w:t>
            </w:r>
            <w:r>
              <w:rPr>
                <w:sz w:val="14"/>
              </w:rPr>
              <w:t>fee</w:t>
            </w:r>
            <w:r>
              <w:rPr>
                <w:spacing w:val="-2"/>
                <w:sz w:val="14"/>
              </w:rPr>
              <w:t> </w:t>
            </w:r>
            <w:r>
              <w:rPr>
                <w:sz w:val="14"/>
              </w:rPr>
              <w:t>-</w:t>
            </w:r>
            <w:r>
              <w:rPr>
                <w:spacing w:val="-6"/>
                <w:sz w:val="14"/>
              </w:rPr>
              <w:t> </w:t>
            </w:r>
            <w:r>
              <w:rPr>
                <w:sz w:val="14"/>
              </w:rPr>
              <w:t>concession</w:t>
            </w:r>
            <w:r>
              <w:rPr>
                <w:spacing w:val="-1"/>
                <w:sz w:val="14"/>
              </w:rPr>
              <w:t> </w:t>
            </w:r>
            <w:r>
              <w:rPr>
                <w:spacing w:val="-4"/>
                <w:sz w:val="14"/>
              </w:rPr>
              <w:t>15km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33.00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34.00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2.9</w:t>
            </w:r>
          </w:p>
        </w:tc>
      </w:tr>
    </w:tbl>
    <w:p>
      <w:pPr>
        <w:spacing w:after="0" w:line="140" w:lineRule="exact"/>
        <w:jc w:val="center"/>
        <w:rPr>
          <w:sz w:val="14"/>
        </w:rPr>
        <w:sectPr>
          <w:type w:val="continuous"/>
          <w:pgSz w:w="11910" w:h="16840"/>
          <w:pgMar w:header="0" w:footer="378" w:top="680" w:bottom="824" w:left="520" w:right="520"/>
        </w:sectPr>
      </w:pPr>
    </w:p>
    <w:tbl>
      <w:tblPr>
        <w:tblW w:w="0" w:type="auto"/>
        <w:jc w:val="left"/>
        <w:tblInd w:w="13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70"/>
        <w:gridCol w:w="1028"/>
        <w:gridCol w:w="769"/>
        <w:gridCol w:w="973"/>
        <w:gridCol w:w="1199"/>
        <w:gridCol w:w="897"/>
      </w:tblGrid>
      <w:tr>
        <w:trPr>
          <w:trHeight w:val="232" w:hRule="atLeast"/>
        </w:trPr>
        <w:tc>
          <w:tcPr>
            <w:tcW w:w="10636" w:type="dxa"/>
            <w:gridSpan w:val="6"/>
            <w:tcBorders>
              <w:left w:val="single" w:sz="12" w:space="0" w:color="000000"/>
              <w:bottom w:val="single" w:sz="4" w:space="0" w:color="000000"/>
              <w:right w:val="single" w:sz="12" w:space="0" w:color="000000"/>
            </w:tcBorders>
            <w:shd w:val="clear" w:color="auto" w:fill="3399FF"/>
          </w:tcPr>
          <w:p>
            <w:pPr>
              <w:pStyle w:val="TableParagraph"/>
              <w:spacing w:before="32"/>
              <w:ind w:left="4308" w:right="4290"/>
              <w:jc w:val="center"/>
              <w:rPr>
                <w:b/>
                <w:sz w:val="14"/>
              </w:rPr>
            </w:pPr>
            <w:r>
              <w:rPr>
                <w:b/>
                <w:color w:val="FFFFFF"/>
                <w:sz w:val="14"/>
              </w:rPr>
              <w:t>FEES</w:t>
            </w:r>
            <w:r>
              <w:rPr>
                <w:b/>
                <w:color w:val="FFFFFF"/>
                <w:spacing w:val="-5"/>
                <w:sz w:val="14"/>
              </w:rPr>
              <w:t> </w:t>
            </w:r>
            <w:r>
              <w:rPr>
                <w:b/>
                <w:color w:val="FFFFFF"/>
                <w:sz w:val="14"/>
              </w:rPr>
              <w:t>AND</w:t>
            </w:r>
            <w:r>
              <w:rPr>
                <w:b/>
                <w:color w:val="FFFFFF"/>
                <w:spacing w:val="-4"/>
                <w:sz w:val="14"/>
              </w:rPr>
              <w:t> </w:t>
            </w:r>
            <w:r>
              <w:rPr>
                <w:b/>
                <w:color w:val="FFFFFF"/>
                <w:sz w:val="14"/>
              </w:rPr>
              <w:t>CHARGES</w:t>
            </w:r>
            <w:r>
              <w:rPr>
                <w:b/>
                <w:color w:val="FFFFFF"/>
                <w:spacing w:val="-1"/>
                <w:sz w:val="14"/>
              </w:rPr>
              <w:t> </w:t>
            </w:r>
            <w:r>
              <w:rPr>
                <w:b/>
                <w:color w:val="FFFFFF"/>
                <w:spacing w:val="-2"/>
                <w:sz w:val="14"/>
              </w:rPr>
              <w:t>2025/26</w:t>
            </w:r>
          </w:p>
        </w:tc>
      </w:tr>
      <w:tr>
        <w:trPr>
          <w:trHeight w:val="858" w:hRule="atLeast"/>
        </w:trPr>
        <w:tc>
          <w:tcPr>
            <w:tcW w:w="5770" w:type="dxa"/>
            <w:tcBorders>
              <w:top w:val="single" w:sz="4" w:space="0" w:color="000000"/>
              <w:left w:val="single" w:sz="12" w:space="0" w:color="000000"/>
              <w:bottom w:val="single" w:sz="4" w:space="0" w:color="000000"/>
              <w:right w:val="single" w:sz="4"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107"/>
              <w:rPr>
                <w:b/>
                <w:sz w:val="14"/>
              </w:rPr>
            </w:pPr>
            <w:r>
              <w:rPr>
                <w:b/>
                <w:color w:val="FFFFFF"/>
                <w:sz w:val="14"/>
              </w:rPr>
              <w:t>Account</w:t>
            </w:r>
            <w:r>
              <w:rPr>
                <w:b/>
                <w:color w:val="FFFFFF"/>
                <w:spacing w:val="-7"/>
                <w:sz w:val="14"/>
              </w:rPr>
              <w:t> </w:t>
            </w:r>
            <w:r>
              <w:rPr>
                <w:b/>
                <w:color w:val="FFFFFF"/>
                <w:spacing w:val="-2"/>
                <w:sz w:val="14"/>
              </w:rPr>
              <w:t>Description</w:t>
            </w:r>
          </w:p>
        </w:tc>
        <w:tc>
          <w:tcPr>
            <w:tcW w:w="1028"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26" w:right="101" w:firstLine="4"/>
              <w:jc w:val="center"/>
              <w:rPr>
                <w:b/>
                <w:sz w:val="14"/>
              </w:rPr>
            </w:pPr>
            <w:r>
              <w:rPr>
                <w:b/>
                <w:color w:val="FFFFFF"/>
                <w:sz w:val="14"/>
              </w:rPr>
              <w:t>Fee</w:t>
            </w:r>
            <w:r>
              <w:rPr>
                <w:b/>
                <w:color w:val="FFFFFF"/>
                <w:spacing w:val="-6"/>
                <w:sz w:val="14"/>
              </w:rPr>
              <w:t> </w:t>
            </w:r>
            <w:r>
              <w:rPr>
                <w:b/>
                <w:color w:val="FFFFFF"/>
                <w:sz w:val="14"/>
              </w:rPr>
              <w:t>Type</w:t>
            </w:r>
            <w:r>
              <w:rPr>
                <w:b/>
                <w:color w:val="FFFFFF"/>
                <w:spacing w:val="40"/>
                <w:sz w:val="14"/>
              </w:rPr>
              <w:t> </w:t>
            </w:r>
            <w:r>
              <w:rPr>
                <w:b/>
                <w:color w:val="FFFFFF"/>
                <w:spacing w:val="-2"/>
                <w:sz w:val="14"/>
              </w:rPr>
              <w:t>N=Non-</w:t>
            </w:r>
            <w:r>
              <w:rPr>
                <w:b/>
                <w:color w:val="FFFFFF"/>
                <w:spacing w:val="40"/>
                <w:sz w:val="14"/>
              </w:rPr>
              <w:t> </w:t>
            </w:r>
            <w:r>
              <w:rPr>
                <w:b/>
                <w:color w:val="FFFFFF"/>
                <w:spacing w:val="-2"/>
                <w:sz w:val="14"/>
              </w:rPr>
              <w:t>Statutory</w:t>
            </w:r>
            <w:r>
              <w:rPr>
                <w:b/>
                <w:color w:val="FFFFFF"/>
                <w:spacing w:val="40"/>
                <w:sz w:val="14"/>
              </w:rPr>
              <w:t> </w:t>
            </w:r>
            <w:r>
              <w:rPr>
                <w:b/>
                <w:color w:val="FFFFFF"/>
                <w:spacing w:val="-2"/>
                <w:sz w:val="14"/>
              </w:rPr>
              <w:t>S=Statutory</w:t>
            </w:r>
          </w:p>
        </w:tc>
        <w:tc>
          <w:tcPr>
            <w:tcW w:w="76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4"/>
              <w:rPr>
                <w:sz w:val="23"/>
              </w:rPr>
            </w:pPr>
          </w:p>
          <w:p>
            <w:pPr>
              <w:pStyle w:val="TableParagraph"/>
              <w:spacing w:before="1"/>
              <w:ind w:left="248"/>
              <w:rPr>
                <w:b/>
                <w:sz w:val="14"/>
              </w:rPr>
            </w:pPr>
            <w:r>
              <w:rPr>
                <w:b/>
                <w:color w:val="FFFFFF"/>
                <w:spacing w:val="-5"/>
                <w:sz w:val="14"/>
              </w:rPr>
              <w:t>GST</w:t>
            </w:r>
          </w:p>
          <w:p>
            <w:pPr>
              <w:pStyle w:val="TableParagraph"/>
              <w:ind w:left="154"/>
              <w:rPr>
                <w:b/>
                <w:sz w:val="14"/>
              </w:rPr>
            </w:pPr>
            <w:r>
              <w:rPr>
                <w:b/>
                <w:color w:val="FFFFFF"/>
                <w:spacing w:val="-2"/>
                <w:sz w:val="14"/>
              </w:rPr>
              <w:t>Yes/No</w:t>
            </w:r>
          </w:p>
        </w:tc>
        <w:tc>
          <w:tcPr>
            <w:tcW w:w="973"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05" w:right="84"/>
              <w:jc w:val="center"/>
              <w:rPr>
                <w:b/>
                <w:sz w:val="14"/>
              </w:rPr>
            </w:pPr>
            <w:r>
              <w:rPr>
                <w:b/>
                <w:color w:val="FFFFFF"/>
                <w:spacing w:val="-2"/>
                <w:sz w:val="14"/>
              </w:rPr>
              <w:t>2024/25</w:t>
            </w:r>
          </w:p>
          <w:p>
            <w:pPr>
              <w:pStyle w:val="TableParagraph"/>
              <w:ind w:left="189" w:right="168" w:firstLine="1"/>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40"/>
                <w:sz w:val="14"/>
              </w:rPr>
              <w:t> </w:t>
            </w:r>
            <w:r>
              <w:rPr>
                <w:b/>
                <w:color w:val="FFFFFF"/>
                <w:sz w:val="14"/>
              </w:rPr>
              <w:t>Incl.</w:t>
            </w:r>
            <w:r>
              <w:rPr>
                <w:b/>
                <w:color w:val="FFFFFF"/>
                <w:spacing w:val="-5"/>
                <w:sz w:val="14"/>
              </w:rPr>
              <w:t> </w:t>
            </w:r>
            <w:r>
              <w:rPr>
                <w:b/>
                <w:color w:val="FFFFFF"/>
                <w:spacing w:val="-5"/>
                <w:sz w:val="14"/>
              </w:rPr>
              <w:t>GST</w:t>
            </w:r>
          </w:p>
        </w:tc>
        <w:tc>
          <w:tcPr>
            <w:tcW w:w="119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56" w:right="137"/>
              <w:jc w:val="center"/>
              <w:rPr>
                <w:b/>
                <w:sz w:val="14"/>
              </w:rPr>
            </w:pPr>
            <w:r>
              <w:rPr>
                <w:b/>
                <w:color w:val="FFFFFF"/>
                <w:spacing w:val="-2"/>
                <w:sz w:val="14"/>
              </w:rPr>
              <w:t>2025/26</w:t>
            </w:r>
          </w:p>
          <w:p>
            <w:pPr>
              <w:pStyle w:val="TableParagraph"/>
              <w:ind w:left="164" w:right="146" w:firstLine="2"/>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8"/>
                <w:sz w:val="14"/>
              </w:rPr>
              <w:t> </w:t>
            </w:r>
            <w:r>
              <w:rPr>
                <w:b/>
                <w:color w:val="FFFFFF"/>
                <w:spacing w:val="-2"/>
                <w:sz w:val="14"/>
              </w:rPr>
              <w:t>Incl.</w:t>
            </w:r>
          </w:p>
          <w:p>
            <w:pPr>
              <w:pStyle w:val="TableParagraph"/>
              <w:spacing w:line="161" w:lineRule="exact"/>
              <w:ind w:left="153" w:right="137"/>
              <w:jc w:val="center"/>
              <w:rPr>
                <w:b/>
                <w:sz w:val="14"/>
              </w:rPr>
            </w:pPr>
            <w:r>
              <w:rPr>
                <w:b/>
                <w:color w:val="FFFFFF"/>
                <w:spacing w:val="-5"/>
                <w:sz w:val="14"/>
              </w:rPr>
              <w:t>GST</w:t>
            </w:r>
          </w:p>
        </w:tc>
        <w:tc>
          <w:tcPr>
            <w:tcW w:w="897" w:type="dxa"/>
            <w:tcBorders>
              <w:top w:val="single" w:sz="4" w:space="0" w:color="000000"/>
              <w:left w:val="single" w:sz="4" w:space="0" w:color="000000"/>
              <w:bottom w:val="single" w:sz="4" w:space="0" w:color="000000"/>
              <w:right w:val="single" w:sz="12"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95" w:right="81"/>
              <w:jc w:val="center"/>
              <w:rPr>
                <w:b/>
                <w:sz w:val="14"/>
              </w:rPr>
            </w:pPr>
            <w:r>
              <w:rPr>
                <w:b/>
                <w:color w:val="FFFFFF"/>
                <w:sz w:val="14"/>
              </w:rPr>
              <w:t>%</w:t>
            </w:r>
            <w:r>
              <w:rPr>
                <w:b/>
                <w:color w:val="FFFFFF"/>
                <w:spacing w:val="-4"/>
                <w:sz w:val="14"/>
              </w:rPr>
              <w:t> </w:t>
            </w:r>
            <w:r>
              <w:rPr>
                <w:b/>
                <w:color w:val="FFFFFF"/>
                <w:spacing w:val="-2"/>
                <w:sz w:val="14"/>
              </w:rPr>
              <w:t>Change</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Entry</w:t>
            </w:r>
            <w:r>
              <w:rPr>
                <w:spacing w:val="-2"/>
                <w:sz w:val="14"/>
              </w:rPr>
              <w:t> </w:t>
            </w:r>
            <w:r>
              <w:rPr>
                <w:sz w:val="14"/>
              </w:rPr>
              <w:t>fee</w:t>
            </w:r>
            <w:r>
              <w:rPr>
                <w:spacing w:val="-1"/>
                <w:sz w:val="14"/>
              </w:rPr>
              <w:t> </w:t>
            </w:r>
            <w:r>
              <w:rPr>
                <w:sz w:val="14"/>
              </w:rPr>
              <w:t>-</w:t>
            </w:r>
            <w:r>
              <w:rPr>
                <w:spacing w:val="-2"/>
                <w:sz w:val="14"/>
              </w:rPr>
              <w:t> </w:t>
            </w:r>
            <w:r>
              <w:rPr>
                <w:sz w:val="14"/>
              </w:rPr>
              <w:t>family</w:t>
            </w:r>
            <w:r>
              <w:rPr>
                <w:spacing w:val="-3"/>
                <w:sz w:val="14"/>
              </w:rPr>
              <w:t> </w:t>
            </w:r>
            <w:r>
              <w:rPr>
                <w:sz w:val="14"/>
              </w:rPr>
              <w:t>5km run/walk</w:t>
            </w:r>
            <w:r>
              <w:rPr>
                <w:spacing w:val="-3"/>
                <w:sz w:val="14"/>
              </w:rPr>
              <w:t> </w:t>
            </w:r>
            <w:r>
              <w:rPr>
                <w:sz w:val="14"/>
              </w:rPr>
              <w:t>(up</w:t>
            </w:r>
            <w:r>
              <w:rPr>
                <w:spacing w:val="-5"/>
                <w:sz w:val="14"/>
              </w:rPr>
              <w:t> </w:t>
            </w:r>
            <w:r>
              <w:rPr>
                <w:sz w:val="14"/>
              </w:rPr>
              <w:t>to 4</w:t>
            </w:r>
            <w:r>
              <w:rPr>
                <w:spacing w:val="-3"/>
                <w:sz w:val="14"/>
              </w:rPr>
              <w:t> </w:t>
            </w:r>
            <w:r>
              <w:rPr>
                <w:spacing w:val="-2"/>
                <w:sz w:val="14"/>
              </w:rPr>
              <w:t>participants)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60.00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62.00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3.2</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Entry</w:t>
            </w:r>
            <w:r>
              <w:rPr>
                <w:spacing w:val="-3"/>
                <w:sz w:val="14"/>
              </w:rPr>
              <w:t> </w:t>
            </w:r>
            <w:r>
              <w:rPr>
                <w:sz w:val="14"/>
              </w:rPr>
              <w:t>fee</w:t>
            </w:r>
            <w:r>
              <w:rPr>
                <w:spacing w:val="-2"/>
                <w:sz w:val="14"/>
              </w:rPr>
              <w:t> </w:t>
            </w:r>
            <w:r>
              <w:rPr>
                <w:sz w:val="14"/>
              </w:rPr>
              <w:t>-</w:t>
            </w:r>
            <w:r>
              <w:rPr>
                <w:spacing w:val="-3"/>
                <w:sz w:val="14"/>
              </w:rPr>
              <w:t> </w:t>
            </w:r>
            <w:r>
              <w:rPr>
                <w:sz w:val="14"/>
              </w:rPr>
              <w:t>family</w:t>
            </w:r>
            <w:r>
              <w:rPr>
                <w:spacing w:val="-4"/>
                <w:sz w:val="14"/>
              </w:rPr>
              <w:t> </w:t>
            </w:r>
            <w:r>
              <w:rPr>
                <w:sz w:val="14"/>
              </w:rPr>
              <w:t>additional</w:t>
            </w:r>
            <w:r>
              <w:rPr>
                <w:spacing w:val="-4"/>
                <w:sz w:val="14"/>
              </w:rPr>
              <w:t> </w:t>
            </w:r>
            <w:r>
              <w:rPr>
                <w:sz w:val="14"/>
              </w:rPr>
              <w:t>family</w:t>
            </w:r>
            <w:r>
              <w:rPr>
                <w:spacing w:val="-3"/>
                <w:sz w:val="14"/>
              </w:rPr>
              <w:t> </w:t>
            </w:r>
            <w:r>
              <w:rPr>
                <w:sz w:val="14"/>
              </w:rPr>
              <w:t>entry</w:t>
            </w:r>
            <w:r>
              <w:rPr>
                <w:spacing w:val="-2"/>
                <w:sz w:val="14"/>
              </w:rPr>
              <w:t> </w:t>
            </w:r>
            <w:r>
              <w:rPr>
                <w:sz w:val="14"/>
              </w:rPr>
              <w:t>per</w:t>
            </w:r>
            <w:r>
              <w:rPr>
                <w:spacing w:val="-6"/>
                <w:sz w:val="14"/>
              </w:rPr>
              <w:t> </w:t>
            </w:r>
            <w:r>
              <w:rPr>
                <w:spacing w:val="-2"/>
                <w:sz w:val="14"/>
              </w:rPr>
              <w:t>person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5.50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8.3</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Entry</w:t>
            </w:r>
            <w:r>
              <w:rPr>
                <w:spacing w:val="-2"/>
                <w:sz w:val="14"/>
              </w:rPr>
              <w:t> </w:t>
            </w:r>
            <w:r>
              <w:rPr>
                <w:sz w:val="14"/>
              </w:rPr>
              <w:t>fee</w:t>
            </w:r>
            <w:r>
              <w:rPr>
                <w:spacing w:val="-2"/>
                <w:sz w:val="14"/>
              </w:rPr>
              <w:t> </w:t>
            </w:r>
            <w:r>
              <w:rPr>
                <w:sz w:val="14"/>
              </w:rPr>
              <w:t>-</w:t>
            </w:r>
            <w:r>
              <w:rPr>
                <w:spacing w:val="-5"/>
                <w:sz w:val="14"/>
              </w:rPr>
              <w:t> </w:t>
            </w:r>
            <w:r>
              <w:rPr>
                <w:sz w:val="14"/>
              </w:rPr>
              <w:t>kids</w:t>
            </w:r>
            <w:r>
              <w:rPr>
                <w:spacing w:val="-1"/>
                <w:sz w:val="14"/>
              </w:rPr>
              <w:t> </w:t>
            </w:r>
            <w:r>
              <w:rPr>
                <w:sz w:val="14"/>
              </w:rPr>
              <w:t>1.2km</w:t>
            </w:r>
            <w:r>
              <w:rPr>
                <w:spacing w:val="-2"/>
                <w:sz w:val="14"/>
              </w:rPr>
              <w:t> </w:t>
            </w:r>
            <w:r>
              <w:rPr>
                <w:sz w:val="14"/>
              </w:rPr>
              <w:t>dash</w:t>
            </w:r>
            <w:r>
              <w:rPr>
                <w:spacing w:val="-5"/>
                <w:sz w:val="14"/>
              </w:rPr>
              <w:t> </w:t>
            </w:r>
            <w:r>
              <w:rPr>
                <w:sz w:val="14"/>
              </w:rPr>
              <w:t>(under</w:t>
            </w:r>
            <w:r>
              <w:rPr>
                <w:spacing w:val="-4"/>
                <w:sz w:val="14"/>
              </w:rPr>
              <w:t> </w:t>
            </w:r>
            <w:r>
              <w:rPr>
                <w:sz w:val="14"/>
              </w:rPr>
              <w:t>14</w:t>
            </w:r>
            <w:r>
              <w:rPr>
                <w:spacing w:val="-5"/>
                <w:sz w:val="14"/>
              </w:rPr>
              <w:t> </w:t>
            </w:r>
            <w:r>
              <w:rPr>
                <w:spacing w:val="-2"/>
                <w:sz w:val="14"/>
              </w:rPr>
              <w:t>years)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16.50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17.00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2.9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Tri</w:t>
            </w:r>
            <w:r>
              <w:rPr>
                <w:b/>
                <w:spacing w:val="-2"/>
                <w:sz w:val="14"/>
              </w:rPr>
              <w:t> Maroondah</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Participation</w:t>
            </w:r>
            <w:r>
              <w:rPr>
                <w:spacing w:val="-5"/>
                <w:sz w:val="14"/>
              </w:rPr>
              <w:t> </w:t>
            </w:r>
            <w:r>
              <w:rPr>
                <w:sz w:val="14"/>
              </w:rPr>
              <w:t>fee</w:t>
            </w:r>
            <w:r>
              <w:rPr>
                <w:spacing w:val="-3"/>
                <w:sz w:val="14"/>
              </w:rPr>
              <w:t> </w:t>
            </w:r>
            <w:r>
              <w:rPr>
                <w:sz w:val="14"/>
              </w:rPr>
              <w:t>-</w:t>
            </w:r>
            <w:r>
              <w:rPr>
                <w:spacing w:val="-5"/>
                <w:sz w:val="14"/>
              </w:rPr>
              <w:t> </w:t>
            </w:r>
            <w:r>
              <w:rPr>
                <w:spacing w:val="-2"/>
                <w:sz w:val="14"/>
              </w:rPr>
              <w:t>varies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Varies</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Varies</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Maroondah</w:t>
            </w:r>
            <w:r>
              <w:rPr>
                <w:b/>
                <w:spacing w:val="-7"/>
                <w:sz w:val="14"/>
              </w:rPr>
              <w:t> </w:t>
            </w:r>
            <w:r>
              <w:rPr>
                <w:b/>
                <w:spacing w:val="-2"/>
                <w:sz w:val="14"/>
              </w:rPr>
              <w:t>Festival</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Craft</w:t>
            </w:r>
            <w:r>
              <w:rPr>
                <w:spacing w:val="-4"/>
                <w:sz w:val="14"/>
              </w:rPr>
              <w:t> </w:t>
            </w:r>
            <w:r>
              <w:rPr>
                <w:sz w:val="14"/>
              </w:rPr>
              <w:t>Market</w:t>
            </w:r>
            <w:r>
              <w:rPr>
                <w:spacing w:val="-4"/>
                <w:sz w:val="14"/>
              </w:rPr>
              <w:t> </w:t>
            </w:r>
            <w:r>
              <w:rPr>
                <w:spacing w:val="-5"/>
                <w:sz w:val="14"/>
              </w:rPr>
              <w:t>3x3</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130.00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3"/>
              <w:jc w:val="right"/>
              <w:rPr>
                <w:sz w:val="14"/>
              </w:rPr>
            </w:pPr>
            <w:r>
              <w:rPr>
                <w:spacing w:val="-2"/>
                <w:sz w:val="14"/>
              </w:rPr>
              <w:t>130.00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Craft</w:t>
            </w:r>
            <w:r>
              <w:rPr>
                <w:spacing w:val="-4"/>
                <w:sz w:val="14"/>
              </w:rPr>
              <w:t> </w:t>
            </w:r>
            <w:r>
              <w:rPr>
                <w:sz w:val="14"/>
              </w:rPr>
              <w:t>Market</w:t>
            </w:r>
            <w:r>
              <w:rPr>
                <w:spacing w:val="-4"/>
                <w:sz w:val="14"/>
              </w:rPr>
              <w:t> </w:t>
            </w:r>
            <w:r>
              <w:rPr>
                <w:spacing w:val="-5"/>
                <w:sz w:val="14"/>
              </w:rPr>
              <w:t>6x3</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260.00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260.00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Commercial</w:t>
            </w:r>
            <w:r>
              <w:rPr>
                <w:spacing w:val="-5"/>
                <w:sz w:val="14"/>
              </w:rPr>
              <w:t> </w:t>
            </w:r>
            <w:r>
              <w:rPr>
                <w:sz w:val="14"/>
              </w:rPr>
              <w:t>Business</w:t>
            </w:r>
            <w:r>
              <w:rPr>
                <w:spacing w:val="-5"/>
                <w:sz w:val="14"/>
              </w:rPr>
              <w:t> </w:t>
            </w:r>
            <w:r>
              <w:rPr>
                <w:sz w:val="14"/>
              </w:rPr>
              <w:t>Site</w:t>
            </w:r>
            <w:r>
              <w:rPr>
                <w:spacing w:val="-6"/>
                <w:sz w:val="14"/>
              </w:rPr>
              <w:t> </w:t>
            </w:r>
            <w:r>
              <w:rPr>
                <w:spacing w:val="-5"/>
                <w:sz w:val="14"/>
              </w:rPr>
              <w:t>3x3</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450.00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250.00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w w:val="95"/>
                <w:sz w:val="14"/>
              </w:rPr>
              <w:t>-</w:t>
            </w:r>
            <w:r>
              <w:rPr>
                <w:spacing w:val="-4"/>
                <w:sz w:val="14"/>
              </w:rPr>
              <w:t>80.0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Commercial</w:t>
            </w:r>
            <w:r>
              <w:rPr>
                <w:spacing w:val="-5"/>
                <w:sz w:val="14"/>
              </w:rPr>
              <w:t> </w:t>
            </w:r>
            <w:r>
              <w:rPr>
                <w:sz w:val="14"/>
              </w:rPr>
              <w:t>Business</w:t>
            </w:r>
            <w:r>
              <w:rPr>
                <w:spacing w:val="-5"/>
                <w:sz w:val="14"/>
              </w:rPr>
              <w:t> </w:t>
            </w:r>
            <w:r>
              <w:rPr>
                <w:sz w:val="14"/>
              </w:rPr>
              <w:t>Site</w:t>
            </w:r>
            <w:r>
              <w:rPr>
                <w:spacing w:val="-6"/>
                <w:sz w:val="14"/>
              </w:rPr>
              <w:t> </w:t>
            </w:r>
            <w:r>
              <w:rPr>
                <w:spacing w:val="-5"/>
                <w:sz w:val="14"/>
              </w:rPr>
              <w:t>6x3</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900.00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500.00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w w:val="95"/>
                <w:sz w:val="14"/>
              </w:rPr>
              <w:t>-</w:t>
            </w:r>
            <w:r>
              <w:rPr>
                <w:spacing w:val="-4"/>
                <w:sz w:val="14"/>
              </w:rPr>
              <w:t>80.0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Government</w:t>
            </w:r>
            <w:r>
              <w:rPr>
                <w:spacing w:val="-5"/>
                <w:sz w:val="14"/>
              </w:rPr>
              <w:t> </w:t>
            </w:r>
            <w:r>
              <w:rPr>
                <w:sz w:val="14"/>
              </w:rPr>
              <w:t>Organisation</w:t>
            </w:r>
            <w:r>
              <w:rPr>
                <w:spacing w:val="-5"/>
                <w:sz w:val="14"/>
              </w:rPr>
              <w:t> </w:t>
            </w:r>
            <w:r>
              <w:rPr>
                <w:sz w:val="14"/>
              </w:rPr>
              <w:t>3x3</w:t>
            </w:r>
            <w:r>
              <w:rPr>
                <w:spacing w:val="-4"/>
                <w:sz w:val="14"/>
              </w:rPr>
              <w:t> </w:t>
            </w:r>
            <w:r>
              <w:rPr>
                <w:sz w:val="14"/>
              </w:rPr>
              <w:t>site</w:t>
            </w:r>
            <w:r>
              <w:rPr>
                <w:spacing w:val="-4"/>
                <w:sz w:val="14"/>
              </w:rPr>
              <w:t> only</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250.00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Government</w:t>
            </w:r>
            <w:r>
              <w:rPr>
                <w:spacing w:val="-5"/>
                <w:sz w:val="14"/>
              </w:rPr>
              <w:t> </w:t>
            </w:r>
            <w:r>
              <w:rPr>
                <w:sz w:val="14"/>
              </w:rPr>
              <w:t>Organisations</w:t>
            </w:r>
            <w:r>
              <w:rPr>
                <w:spacing w:val="-4"/>
                <w:sz w:val="14"/>
              </w:rPr>
              <w:t> </w:t>
            </w:r>
            <w:r>
              <w:rPr>
                <w:sz w:val="14"/>
              </w:rPr>
              <w:t>6x6</w:t>
            </w:r>
            <w:r>
              <w:rPr>
                <w:spacing w:val="-5"/>
                <w:sz w:val="14"/>
              </w:rPr>
              <w:t> </w:t>
            </w:r>
            <w:r>
              <w:rPr>
                <w:sz w:val="14"/>
              </w:rPr>
              <w:t>site</w:t>
            </w:r>
            <w:r>
              <w:rPr>
                <w:spacing w:val="-5"/>
                <w:sz w:val="14"/>
              </w:rPr>
              <w:t> </w:t>
            </w:r>
            <w:r>
              <w:rPr>
                <w:spacing w:val="-4"/>
                <w:sz w:val="14"/>
              </w:rPr>
              <w:t>only</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500.00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Marque</w:t>
            </w:r>
            <w:r>
              <w:rPr>
                <w:spacing w:val="-6"/>
                <w:sz w:val="14"/>
              </w:rPr>
              <w:t> </w:t>
            </w:r>
            <w:r>
              <w:rPr>
                <w:sz w:val="14"/>
              </w:rPr>
              <w:t>Hire</w:t>
            </w:r>
            <w:r>
              <w:rPr>
                <w:spacing w:val="-3"/>
                <w:sz w:val="14"/>
              </w:rPr>
              <w:t> </w:t>
            </w:r>
            <w:r>
              <w:rPr>
                <w:spacing w:val="-5"/>
                <w:sz w:val="14"/>
              </w:rPr>
              <w:t>3x3</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4"/>
                <w:sz w:val="14"/>
              </w:rPr>
              <w:t>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3"/>
              <w:jc w:val="right"/>
              <w:rPr>
                <w:sz w:val="14"/>
              </w:rPr>
            </w:pPr>
            <w:r>
              <w:rPr>
                <w:spacing w:val="-2"/>
                <w:sz w:val="14"/>
              </w:rPr>
              <w:t>250.00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Marque</w:t>
            </w:r>
            <w:r>
              <w:rPr>
                <w:spacing w:val="-6"/>
                <w:sz w:val="14"/>
              </w:rPr>
              <w:t> </w:t>
            </w:r>
            <w:r>
              <w:rPr>
                <w:sz w:val="14"/>
              </w:rPr>
              <w:t>Hire</w:t>
            </w:r>
            <w:r>
              <w:rPr>
                <w:spacing w:val="-3"/>
                <w:sz w:val="14"/>
              </w:rPr>
              <w:t> </w:t>
            </w:r>
            <w:r>
              <w:rPr>
                <w:spacing w:val="-5"/>
                <w:sz w:val="14"/>
              </w:rPr>
              <w:t>6x6</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500.00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Commercial</w:t>
            </w:r>
            <w:r>
              <w:rPr>
                <w:spacing w:val="-5"/>
                <w:sz w:val="14"/>
              </w:rPr>
              <w:t> </w:t>
            </w:r>
            <w:r>
              <w:rPr>
                <w:sz w:val="14"/>
              </w:rPr>
              <w:t>Food</w:t>
            </w:r>
            <w:r>
              <w:rPr>
                <w:spacing w:val="-6"/>
                <w:sz w:val="14"/>
              </w:rPr>
              <w:t> </w:t>
            </w:r>
            <w:r>
              <w:rPr>
                <w:spacing w:val="-2"/>
                <w:sz w:val="14"/>
              </w:rPr>
              <w:t>Vendor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400.00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400.00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Community</w:t>
            </w:r>
            <w:r>
              <w:rPr>
                <w:spacing w:val="-4"/>
                <w:sz w:val="14"/>
              </w:rPr>
              <w:t> </w:t>
            </w:r>
            <w:r>
              <w:rPr>
                <w:sz w:val="14"/>
              </w:rPr>
              <w:t>Static</w:t>
            </w:r>
            <w:r>
              <w:rPr>
                <w:spacing w:val="-5"/>
                <w:sz w:val="14"/>
              </w:rPr>
              <w:t> </w:t>
            </w:r>
            <w:r>
              <w:rPr>
                <w:sz w:val="14"/>
              </w:rPr>
              <w:t>Site</w:t>
            </w:r>
            <w:r>
              <w:rPr>
                <w:spacing w:val="-4"/>
                <w:sz w:val="14"/>
              </w:rPr>
              <w:t> </w:t>
            </w:r>
            <w:r>
              <w:rPr>
                <w:sz w:val="14"/>
              </w:rPr>
              <w:t>(BYO</w:t>
            </w:r>
            <w:r>
              <w:rPr>
                <w:spacing w:val="-4"/>
                <w:sz w:val="14"/>
              </w:rPr>
              <w:t> </w:t>
            </w:r>
            <w:r>
              <w:rPr>
                <w:spacing w:val="-2"/>
                <w:sz w:val="14"/>
              </w:rPr>
              <w:t>Marque)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50.00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50.00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Community</w:t>
            </w:r>
            <w:r>
              <w:rPr>
                <w:spacing w:val="-5"/>
                <w:sz w:val="14"/>
              </w:rPr>
              <w:t> </w:t>
            </w:r>
            <w:r>
              <w:rPr>
                <w:sz w:val="14"/>
              </w:rPr>
              <w:t>Food</w:t>
            </w:r>
            <w:r>
              <w:rPr>
                <w:spacing w:val="-8"/>
                <w:sz w:val="14"/>
              </w:rPr>
              <w:t> </w:t>
            </w:r>
            <w:r>
              <w:rPr>
                <w:spacing w:val="-4"/>
                <w:sz w:val="14"/>
              </w:rPr>
              <w:t>Site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150.00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150.00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Community</w:t>
            </w:r>
            <w:r>
              <w:rPr>
                <w:spacing w:val="-7"/>
                <w:sz w:val="14"/>
              </w:rPr>
              <w:t> </w:t>
            </w:r>
            <w:r>
              <w:rPr>
                <w:spacing w:val="-2"/>
                <w:sz w:val="14"/>
              </w:rPr>
              <w:t>Marque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100.00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100.00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Fun</w:t>
            </w:r>
            <w:r>
              <w:rPr>
                <w:spacing w:val="-5"/>
                <w:sz w:val="14"/>
              </w:rPr>
              <w:t> </w:t>
            </w:r>
            <w:r>
              <w:rPr>
                <w:sz w:val="14"/>
              </w:rPr>
              <w:t>&amp;</w:t>
            </w:r>
            <w:r>
              <w:rPr>
                <w:spacing w:val="-3"/>
                <w:sz w:val="14"/>
              </w:rPr>
              <w:t> </w:t>
            </w:r>
            <w:r>
              <w:rPr>
                <w:sz w:val="14"/>
              </w:rPr>
              <w:t>Fitness</w:t>
            </w:r>
            <w:r>
              <w:rPr>
                <w:spacing w:val="-4"/>
                <w:sz w:val="14"/>
              </w:rPr>
              <w:t> Site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100.00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3"/>
              <w:jc w:val="right"/>
              <w:rPr>
                <w:sz w:val="14"/>
              </w:rPr>
            </w:pPr>
            <w:r>
              <w:rPr>
                <w:spacing w:val="-2"/>
                <w:sz w:val="14"/>
              </w:rPr>
              <w:t>100.00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Quambee</w:t>
            </w:r>
            <w:r>
              <w:rPr>
                <w:b/>
                <w:spacing w:val="-9"/>
                <w:sz w:val="14"/>
              </w:rPr>
              <w:t> </w:t>
            </w:r>
            <w:r>
              <w:rPr>
                <w:b/>
                <w:spacing w:val="-2"/>
                <w:sz w:val="14"/>
              </w:rPr>
              <w:t>Reserve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964"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6"/>
              </w:rPr>
            </w:pPr>
          </w:p>
          <w:p>
            <w:pPr>
              <w:pStyle w:val="TableParagraph"/>
              <w:spacing w:before="1"/>
              <w:rPr>
                <w:sz w:val="19"/>
              </w:rPr>
            </w:pPr>
          </w:p>
          <w:p>
            <w:pPr>
              <w:pStyle w:val="TableParagraph"/>
              <w:ind w:left="107"/>
              <w:rPr>
                <w:sz w:val="14"/>
              </w:rPr>
            </w:pPr>
            <w:r>
              <w:rPr>
                <w:sz w:val="14"/>
              </w:rPr>
              <w:t>Seasonal</w:t>
            </w:r>
            <w:r>
              <w:rPr>
                <w:spacing w:val="-5"/>
                <w:sz w:val="14"/>
              </w:rPr>
              <w:t> </w:t>
            </w:r>
            <w:r>
              <w:rPr>
                <w:sz w:val="14"/>
              </w:rPr>
              <w:t>&amp;</w:t>
            </w:r>
            <w:r>
              <w:rPr>
                <w:spacing w:val="-3"/>
                <w:sz w:val="14"/>
              </w:rPr>
              <w:t> </w:t>
            </w:r>
            <w:r>
              <w:rPr>
                <w:sz w:val="14"/>
              </w:rPr>
              <w:t>casual</w:t>
            </w:r>
            <w:r>
              <w:rPr>
                <w:spacing w:val="-1"/>
                <w:sz w:val="14"/>
              </w:rPr>
              <w:t> </w:t>
            </w:r>
            <w:r>
              <w:rPr>
                <w:sz w:val="14"/>
              </w:rPr>
              <w:t>use</w:t>
            </w:r>
            <w:r>
              <w:rPr>
                <w:spacing w:val="-4"/>
                <w:sz w:val="14"/>
              </w:rPr>
              <w:t> </w:t>
            </w:r>
            <w:r>
              <w:rPr>
                <w:sz w:val="14"/>
              </w:rPr>
              <w:t>of</w:t>
            </w:r>
            <w:r>
              <w:rPr>
                <w:spacing w:val="-2"/>
                <w:sz w:val="14"/>
              </w:rPr>
              <w:t> </w:t>
            </w:r>
            <w:r>
              <w:rPr>
                <w:sz w:val="14"/>
              </w:rPr>
              <w:t>council</w:t>
            </w:r>
            <w:r>
              <w:rPr>
                <w:spacing w:val="-2"/>
                <w:sz w:val="14"/>
              </w:rPr>
              <w:t> facilities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1"/>
              <w:rPr>
                <w:sz w:val="21"/>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1"/>
              <w:rPr>
                <w:sz w:val="21"/>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120" w:right="97" w:firstLine="2"/>
              <w:jc w:val="center"/>
              <w:rPr>
                <w:sz w:val="14"/>
              </w:rPr>
            </w:pPr>
            <w:r>
              <w:rPr>
                <w:sz w:val="14"/>
              </w:rPr>
              <w:t>Refer</w:t>
            </w:r>
            <w:r>
              <w:rPr>
                <w:spacing w:val="-6"/>
                <w:sz w:val="14"/>
              </w:rPr>
              <w:t> </w:t>
            </w:r>
            <w:r>
              <w:rPr>
                <w:sz w:val="14"/>
              </w:rPr>
              <w:t>to</w:t>
            </w:r>
            <w:r>
              <w:rPr>
                <w:spacing w:val="40"/>
                <w:sz w:val="14"/>
              </w:rPr>
              <w:t> </w:t>
            </w:r>
            <w:r>
              <w:rPr>
                <w:sz w:val="14"/>
              </w:rPr>
              <w:t>policy on</w:t>
            </w:r>
            <w:r>
              <w:rPr>
                <w:spacing w:val="40"/>
                <w:sz w:val="14"/>
              </w:rPr>
              <w:t> </w:t>
            </w:r>
            <w:r>
              <w:rPr>
                <w:spacing w:val="-4"/>
                <w:sz w:val="14"/>
              </w:rPr>
              <w:t>the</w:t>
            </w:r>
            <w:r>
              <w:rPr>
                <w:spacing w:val="40"/>
                <w:sz w:val="14"/>
              </w:rPr>
              <w:t> </w:t>
            </w:r>
            <w:r>
              <w:rPr>
                <w:spacing w:val="-2"/>
                <w:sz w:val="14"/>
              </w:rPr>
              <w:t>Maroondah</w:t>
            </w:r>
            <w:r>
              <w:rPr>
                <w:spacing w:val="40"/>
                <w:sz w:val="14"/>
              </w:rPr>
              <w:t> </w:t>
            </w:r>
            <w:r>
              <w:rPr>
                <w:spacing w:val="-2"/>
                <w:sz w:val="14"/>
              </w:rPr>
              <w:t>City</w:t>
            </w:r>
            <w:r>
              <w:rPr>
                <w:spacing w:val="-8"/>
                <w:sz w:val="14"/>
              </w:rPr>
              <w:t> </w:t>
            </w:r>
            <w:r>
              <w:rPr>
                <w:spacing w:val="-2"/>
                <w:sz w:val="14"/>
              </w:rPr>
              <w:t>Council</w:t>
            </w:r>
            <w:r>
              <w:rPr>
                <w:spacing w:val="40"/>
                <w:sz w:val="14"/>
              </w:rPr>
              <w:t> </w:t>
            </w:r>
            <w:r>
              <w:rPr>
                <w:spacing w:val="-2"/>
                <w:sz w:val="14"/>
              </w:rPr>
              <w:t>Website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41"/>
              <w:ind w:left="157" w:right="137"/>
              <w:jc w:val="center"/>
              <w:rPr>
                <w:sz w:val="14"/>
              </w:rPr>
            </w:pPr>
            <w:r>
              <w:rPr>
                <w:sz w:val="14"/>
              </w:rPr>
              <w:t>Refer</w:t>
            </w:r>
            <w:r>
              <w:rPr>
                <w:spacing w:val="-10"/>
                <w:sz w:val="14"/>
              </w:rPr>
              <w:t> </w:t>
            </w:r>
            <w:r>
              <w:rPr>
                <w:sz w:val="14"/>
              </w:rPr>
              <w:t>to</w:t>
            </w:r>
            <w:r>
              <w:rPr>
                <w:spacing w:val="-10"/>
                <w:sz w:val="14"/>
              </w:rPr>
              <w:t> </w:t>
            </w:r>
            <w:r>
              <w:rPr>
                <w:sz w:val="14"/>
              </w:rPr>
              <w:t>policy</w:t>
            </w:r>
            <w:r>
              <w:rPr>
                <w:spacing w:val="40"/>
                <w:sz w:val="14"/>
              </w:rPr>
              <w:t> </w:t>
            </w:r>
            <w:r>
              <w:rPr>
                <w:sz w:val="14"/>
              </w:rPr>
              <w:t>on</w:t>
            </w:r>
            <w:r>
              <w:rPr>
                <w:spacing w:val="-6"/>
                <w:sz w:val="14"/>
              </w:rPr>
              <w:t> </w:t>
            </w:r>
            <w:r>
              <w:rPr>
                <w:sz w:val="14"/>
              </w:rPr>
              <w:t>the</w:t>
            </w:r>
            <w:r>
              <w:rPr>
                <w:spacing w:val="40"/>
                <w:sz w:val="14"/>
              </w:rPr>
              <w:t> </w:t>
            </w:r>
            <w:r>
              <w:rPr>
                <w:spacing w:val="-2"/>
                <w:sz w:val="14"/>
              </w:rPr>
              <w:t>Maroondah</w:t>
            </w:r>
            <w:r>
              <w:rPr>
                <w:spacing w:val="40"/>
                <w:sz w:val="14"/>
              </w:rPr>
              <w:t> </w:t>
            </w:r>
            <w:r>
              <w:rPr>
                <w:sz w:val="14"/>
              </w:rPr>
              <w:t>City</w:t>
            </w:r>
            <w:r>
              <w:rPr>
                <w:spacing w:val="-4"/>
                <w:sz w:val="14"/>
              </w:rPr>
              <w:t> </w:t>
            </w:r>
            <w:r>
              <w:rPr>
                <w:sz w:val="14"/>
              </w:rPr>
              <w:t>Council</w:t>
            </w:r>
            <w:r>
              <w:rPr>
                <w:spacing w:val="40"/>
                <w:sz w:val="14"/>
              </w:rPr>
              <w:t> </w:t>
            </w:r>
            <w:r>
              <w:rPr>
                <w:spacing w:val="-2"/>
                <w:sz w:val="14"/>
              </w:rPr>
              <w:t>Website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80"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8"/>
              <w:ind w:left="107"/>
              <w:rPr>
                <w:b/>
                <w:sz w:val="14"/>
              </w:rPr>
            </w:pPr>
            <w:r>
              <w:rPr>
                <w:b/>
                <w:sz w:val="14"/>
              </w:rPr>
              <w:t>North</w:t>
            </w:r>
            <w:r>
              <w:rPr>
                <w:b/>
                <w:spacing w:val="-6"/>
                <w:sz w:val="14"/>
              </w:rPr>
              <w:t> </w:t>
            </w:r>
            <w:r>
              <w:rPr>
                <w:b/>
                <w:sz w:val="14"/>
              </w:rPr>
              <w:t>Ringwood</w:t>
            </w:r>
            <w:r>
              <w:rPr>
                <w:b/>
                <w:spacing w:val="-5"/>
                <w:sz w:val="14"/>
              </w:rPr>
              <w:t> </w:t>
            </w:r>
            <w:r>
              <w:rPr>
                <w:b/>
                <w:spacing w:val="-2"/>
                <w:sz w:val="14"/>
              </w:rPr>
              <w:t>Reserve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964"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6"/>
              </w:rPr>
            </w:pPr>
          </w:p>
          <w:p>
            <w:pPr>
              <w:pStyle w:val="TableParagraph"/>
              <w:spacing w:before="10"/>
              <w:rPr>
                <w:sz w:val="18"/>
              </w:rPr>
            </w:pPr>
          </w:p>
          <w:p>
            <w:pPr>
              <w:pStyle w:val="TableParagraph"/>
              <w:ind w:left="107"/>
              <w:rPr>
                <w:sz w:val="14"/>
              </w:rPr>
            </w:pPr>
            <w:r>
              <w:rPr>
                <w:sz w:val="14"/>
              </w:rPr>
              <w:t>Seasonal</w:t>
            </w:r>
            <w:r>
              <w:rPr>
                <w:spacing w:val="-5"/>
                <w:sz w:val="14"/>
              </w:rPr>
              <w:t> </w:t>
            </w:r>
            <w:r>
              <w:rPr>
                <w:sz w:val="14"/>
              </w:rPr>
              <w:t>&amp;</w:t>
            </w:r>
            <w:r>
              <w:rPr>
                <w:spacing w:val="-3"/>
                <w:sz w:val="14"/>
              </w:rPr>
              <w:t> </w:t>
            </w:r>
            <w:r>
              <w:rPr>
                <w:sz w:val="14"/>
              </w:rPr>
              <w:t>casual</w:t>
            </w:r>
            <w:r>
              <w:rPr>
                <w:spacing w:val="-1"/>
                <w:sz w:val="14"/>
              </w:rPr>
              <w:t> </w:t>
            </w:r>
            <w:r>
              <w:rPr>
                <w:sz w:val="14"/>
              </w:rPr>
              <w:t>use</w:t>
            </w:r>
            <w:r>
              <w:rPr>
                <w:spacing w:val="-4"/>
                <w:sz w:val="14"/>
              </w:rPr>
              <w:t> </w:t>
            </w:r>
            <w:r>
              <w:rPr>
                <w:sz w:val="14"/>
              </w:rPr>
              <w:t>of</w:t>
            </w:r>
            <w:r>
              <w:rPr>
                <w:spacing w:val="-2"/>
                <w:sz w:val="14"/>
              </w:rPr>
              <w:t> </w:t>
            </w:r>
            <w:r>
              <w:rPr>
                <w:sz w:val="14"/>
              </w:rPr>
              <w:t>council</w:t>
            </w:r>
            <w:r>
              <w:rPr>
                <w:spacing w:val="-2"/>
                <w:sz w:val="14"/>
              </w:rPr>
              <w:t> facilities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1"/>
              <w:rPr>
                <w:sz w:val="21"/>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1"/>
              <w:rPr>
                <w:sz w:val="21"/>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120" w:right="97" w:firstLine="2"/>
              <w:jc w:val="center"/>
              <w:rPr>
                <w:sz w:val="14"/>
              </w:rPr>
            </w:pPr>
            <w:r>
              <w:rPr>
                <w:sz w:val="14"/>
              </w:rPr>
              <w:t>Refer</w:t>
            </w:r>
            <w:r>
              <w:rPr>
                <w:spacing w:val="-6"/>
                <w:sz w:val="14"/>
              </w:rPr>
              <w:t> </w:t>
            </w:r>
            <w:r>
              <w:rPr>
                <w:sz w:val="14"/>
              </w:rPr>
              <w:t>to</w:t>
            </w:r>
            <w:r>
              <w:rPr>
                <w:spacing w:val="40"/>
                <w:sz w:val="14"/>
              </w:rPr>
              <w:t> </w:t>
            </w:r>
            <w:r>
              <w:rPr>
                <w:sz w:val="14"/>
              </w:rPr>
              <w:t>policy on</w:t>
            </w:r>
            <w:r>
              <w:rPr>
                <w:spacing w:val="40"/>
                <w:sz w:val="14"/>
              </w:rPr>
              <w:t> </w:t>
            </w:r>
            <w:r>
              <w:rPr>
                <w:spacing w:val="-4"/>
                <w:sz w:val="14"/>
              </w:rPr>
              <w:t>the</w:t>
            </w:r>
            <w:r>
              <w:rPr>
                <w:spacing w:val="40"/>
                <w:sz w:val="14"/>
              </w:rPr>
              <w:t> </w:t>
            </w:r>
            <w:r>
              <w:rPr>
                <w:spacing w:val="-2"/>
                <w:sz w:val="14"/>
              </w:rPr>
              <w:t>Maroondah</w:t>
            </w:r>
            <w:r>
              <w:rPr>
                <w:spacing w:val="40"/>
                <w:sz w:val="14"/>
              </w:rPr>
              <w:t> </w:t>
            </w:r>
            <w:r>
              <w:rPr>
                <w:spacing w:val="-2"/>
                <w:sz w:val="14"/>
              </w:rPr>
              <w:t>City</w:t>
            </w:r>
            <w:r>
              <w:rPr>
                <w:spacing w:val="-8"/>
                <w:sz w:val="14"/>
              </w:rPr>
              <w:t> </w:t>
            </w:r>
            <w:r>
              <w:rPr>
                <w:spacing w:val="-2"/>
                <w:sz w:val="14"/>
              </w:rPr>
              <w:t>Council</w:t>
            </w:r>
            <w:r>
              <w:rPr>
                <w:spacing w:val="40"/>
                <w:sz w:val="14"/>
              </w:rPr>
              <w:t> </w:t>
            </w:r>
            <w:r>
              <w:rPr>
                <w:spacing w:val="-2"/>
                <w:sz w:val="14"/>
              </w:rPr>
              <w:t>Website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41"/>
              <w:ind w:left="157" w:right="137"/>
              <w:jc w:val="center"/>
              <w:rPr>
                <w:sz w:val="14"/>
              </w:rPr>
            </w:pPr>
            <w:r>
              <w:rPr>
                <w:sz w:val="14"/>
              </w:rPr>
              <w:t>Refer</w:t>
            </w:r>
            <w:r>
              <w:rPr>
                <w:spacing w:val="-10"/>
                <w:sz w:val="14"/>
              </w:rPr>
              <w:t> </w:t>
            </w:r>
            <w:r>
              <w:rPr>
                <w:sz w:val="14"/>
              </w:rPr>
              <w:t>to</w:t>
            </w:r>
            <w:r>
              <w:rPr>
                <w:spacing w:val="-10"/>
                <w:sz w:val="14"/>
              </w:rPr>
              <w:t> </w:t>
            </w:r>
            <w:r>
              <w:rPr>
                <w:sz w:val="14"/>
              </w:rPr>
              <w:t>policy</w:t>
            </w:r>
            <w:r>
              <w:rPr>
                <w:spacing w:val="40"/>
                <w:sz w:val="14"/>
              </w:rPr>
              <w:t> </w:t>
            </w:r>
            <w:r>
              <w:rPr>
                <w:sz w:val="14"/>
              </w:rPr>
              <w:t>on</w:t>
            </w:r>
            <w:r>
              <w:rPr>
                <w:spacing w:val="-6"/>
                <w:sz w:val="14"/>
              </w:rPr>
              <w:t> </w:t>
            </w:r>
            <w:r>
              <w:rPr>
                <w:sz w:val="14"/>
              </w:rPr>
              <w:t>the</w:t>
            </w:r>
            <w:r>
              <w:rPr>
                <w:spacing w:val="40"/>
                <w:sz w:val="14"/>
              </w:rPr>
              <w:t> </w:t>
            </w:r>
            <w:r>
              <w:rPr>
                <w:spacing w:val="-2"/>
                <w:sz w:val="14"/>
              </w:rPr>
              <w:t>Maroondah</w:t>
            </w:r>
            <w:r>
              <w:rPr>
                <w:spacing w:val="40"/>
                <w:sz w:val="14"/>
              </w:rPr>
              <w:t> </w:t>
            </w:r>
            <w:r>
              <w:rPr>
                <w:sz w:val="14"/>
              </w:rPr>
              <w:t>City</w:t>
            </w:r>
            <w:r>
              <w:rPr>
                <w:spacing w:val="-4"/>
                <w:sz w:val="14"/>
              </w:rPr>
              <w:t> </w:t>
            </w:r>
            <w:r>
              <w:rPr>
                <w:sz w:val="14"/>
              </w:rPr>
              <w:t>Council</w:t>
            </w:r>
            <w:r>
              <w:rPr>
                <w:spacing w:val="40"/>
                <w:sz w:val="14"/>
              </w:rPr>
              <w:t> </w:t>
            </w:r>
            <w:r>
              <w:rPr>
                <w:spacing w:val="-2"/>
                <w:sz w:val="14"/>
              </w:rPr>
              <w:t>Website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7"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8"/>
              <w:ind w:left="107"/>
              <w:rPr>
                <w:b/>
                <w:sz w:val="14"/>
              </w:rPr>
            </w:pPr>
            <w:r>
              <w:rPr>
                <w:b/>
                <w:sz w:val="14"/>
              </w:rPr>
              <w:t>Jubilee</w:t>
            </w:r>
            <w:r>
              <w:rPr>
                <w:b/>
                <w:spacing w:val="-5"/>
                <w:sz w:val="14"/>
              </w:rPr>
              <w:t> </w:t>
            </w:r>
            <w:r>
              <w:rPr>
                <w:b/>
                <w:sz w:val="14"/>
              </w:rPr>
              <w:t>Park</w:t>
            </w:r>
            <w:r>
              <w:rPr>
                <w:b/>
                <w:spacing w:val="-6"/>
                <w:sz w:val="14"/>
              </w:rPr>
              <w:t> </w:t>
            </w:r>
            <w:r>
              <w:rPr>
                <w:b/>
                <w:spacing w:val="-2"/>
                <w:sz w:val="14"/>
              </w:rPr>
              <w:t>Income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966"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6"/>
              </w:rPr>
            </w:pPr>
          </w:p>
          <w:p>
            <w:pPr>
              <w:pStyle w:val="TableParagraph"/>
              <w:spacing w:before="1"/>
              <w:rPr>
                <w:sz w:val="19"/>
              </w:rPr>
            </w:pPr>
          </w:p>
          <w:p>
            <w:pPr>
              <w:pStyle w:val="TableParagraph"/>
              <w:ind w:left="107"/>
              <w:rPr>
                <w:sz w:val="14"/>
              </w:rPr>
            </w:pPr>
            <w:r>
              <w:rPr>
                <w:sz w:val="14"/>
              </w:rPr>
              <w:t>Seasonal</w:t>
            </w:r>
            <w:r>
              <w:rPr>
                <w:spacing w:val="-5"/>
                <w:sz w:val="14"/>
              </w:rPr>
              <w:t> </w:t>
            </w:r>
            <w:r>
              <w:rPr>
                <w:sz w:val="14"/>
              </w:rPr>
              <w:t>&amp;</w:t>
            </w:r>
            <w:r>
              <w:rPr>
                <w:spacing w:val="-3"/>
                <w:sz w:val="14"/>
              </w:rPr>
              <w:t> </w:t>
            </w:r>
            <w:r>
              <w:rPr>
                <w:sz w:val="14"/>
              </w:rPr>
              <w:t>casual</w:t>
            </w:r>
            <w:r>
              <w:rPr>
                <w:spacing w:val="-1"/>
                <w:sz w:val="14"/>
              </w:rPr>
              <w:t> </w:t>
            </w:r>
            <w:r>
              <w:rPr>
                <w:sz w:val="14"/>
              </w:rPr>
              <w:t>use</w:t>
            </w:r>
            <w:r>
              <w:rPr>
                <w:spacing w:val="-4"/>
                <w:sz w:val="14"/>
              </w:rPr>
              <w:t> </w:t>
            </w:r>
            <w:r>
              <w:rPr>
                <w:sz w:val="14"/>
              </w:rPr>
              <w:t>of</w:t>
            </w:r>
            <w:r>
              <w:rPr>
                <w:spacing w:val="-2"/>
                <w:sz w:val="14"/>
              </w:rPr>
              <w:t> </w:t>
            </w:r>
            <w:r>
              <w:rPr>
                <w:sz w:val="14"/>
              </w:rPr>
              <w:t>council</w:t>
            </w:r>
            <w:r>
              <w:rPr>
                <w:spacing w:val="-2"/>
                <w:sz w:val="14"/>
              </w:rPr>
              <w:t> facilities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
              <w:rPr>
                <w:sz w:val="22"/>
              </w:rPr>
            </w:pPr>
          </w:p>
          <w:p>
            <w:pPr>
              <w:pStyle w:val="TableParagraph"/>
              <w:spacing w:line="140" w:lineRule="exact" w:before="1"/>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
              <w:rPr>
                <w:sz w:val="22"/>
              </w:rPr>
            </w:pPr>
          </w:p>
          <w:p>
            <w:pPr>
              <w:pStyle w:val="TableParagraph"/>
              <w:spacing w:line="140" w:lineRule="exact" w:before="1"/>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120" w:right="97" w:firstLine="2"/>
              <w:jc w:val="center"/>
              <w:rPr>
                <w:sz w:val="14"/>
              </w:rPr>
            </w:pPr>
            <w:r>
              <w:rPr>
                <w:sz w:val="14"/>
              </w:rPr>
              <w:t>Refer</w:t>
            </w:r>
            <w:r>
              <w:rPr>
                <w:spacing w:val="-6"/>
                <w:sz w:val="14"/>
              </w:rPr>
              <w:t> </w:t>
            </w:r>
            <w:r>
              <w:rPr>
                <w:sz w:val="14"/>
              </w:rPr>
              <w:t>to</w:t>
            </w:r>
            <w:r>
              <w:rPr>
                <w:spacing w:val="40"/>
                <w:sz w:val="14"/>
              </w:rPr>
              <w:t> </w:t>
            </w:r>
            <w:r>
              <w:rPr>
                <w:sz w:val="14"/>
              </w:rPr>
              <w:t>policy on</w:t>
            </w:r>
            <w:r>
              <w:rPr>
                <w:spacing w:val="40"/>
                <w:sz w:val="14"/>
              </w:rPr>
              <w:t> </w:t>
            </w:r>
            <w:r>
              <w:rPr>
                <w:spacing w:val="-4"/>
                <w:sz w:val="14"/>
              </w:rPr>
              <w:t>the</w:t>
            </w:r>
            <w:r>
              <w:rPr>
                <w:spacing w:val="40"/>
                <w:sz w:val="14"/>
              </w:rPr>
              <w:t> </w:t>
            </w:r>
            <w:r>
              <w:rPr>
                <w:spacing w:val="-2"/>
                <w:sz w:val="14"/>
              </w:rPr>
              <w:t>Maroondah</w:t>
            </w:r>
            <w:r>
              <w:rPr>
                <w:spacing w:val="40"/>
                <w:sz w:val="14"/>
              </w:rPr>
              <w:t> </w:t>
            </w:r>
            <w:r>
              <w:rPr>
                <w:spacing w:val="-2"/>
                <w:sz w:val="14"/>
              </w:rPr>
              <w:t>City</w:t>
            </w:r>
            <w:r>
              <w:rPr>
                <w:spacing w:val="-8"/>
                <w:sz w:val="14"/>
              </w:rPr>
              <w:t> </w:t>
            </w:r>
            <w:r>
              <w:rPr>
                <w:spacing w:val="-2"/>
                <w:sz w:val="14"/>
              </w:rPr>
              <w:t>Council</w:t>
            </w:r>
            <w:r>
              <w:rPr>
                <w:spacing w:val="40"/>
                <w:sz w:val="14"/>
              </w:rPr>
              <w:t> </w:t>
            </w:r>
            <w:r>
              <w:rPr>
                <w:spacing w:val="-2"/>
                <w:sz w:val="14"/>
              </w:rPr>
              <w:t>Website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43"/>
              <w:ind w:left="157" w:right="137"/>
              <w:jc w:val="center"/>
              <w:rPr>
                <w:sz w:val="14"/>
              </w:rPr>
            </w:pPr>
            <w:r>
              <w:rPr>
                <w:sz w:val="14"/>
              </w:rPr>
              <w:t>Refer</w:t>
            </w:r>
            <w:r>
              <w:rPr>
                <w:spacing w:val="-10"/>
                <w:sz w:val="14"/>
              </w:rPr>
              <w:t> </w:t>
            </w:r>
            <w:r>
              <w:rPr>
                <w:sz w:val="14"/>
              </w:rPr>
              <w:t>to</w:t>
            </w:r>
            <w:r>
              <w:rPr>
                <w:spacing w:val="-10"/>
                <w:sz w:val="14"/>
              </w:rPr>
              <w:t> </w:t>
            </w:r>
            <w:r>
              <w:rPr>
                <w:sz w:val="14"/>
              </w:rPr>
              <w:t>policy</w:t>
            </w:r>
            <w:r>
              <w:rPr>
                <w:spacing w:val="40"/>
                <w:sz w:val="14"/>
              </w:rPr>
              <w:t> </w:t>
            </w:r>
            <w:r>
              <w:rPr>
                <w:sz w:val="14"/>
              </w:rPr>
              <w:t>on</w:t>
            </w:r>
            <w:r>
              <w:rPr>
                <w:spacing w:val="-6"/>
                <w:sz w:val="14"/>
              </w:rPr>
              <w:t> </w:t>
            </w:r>
            <w:r>
              <w:rPr>
                <w:sz w:val="14"/>
              </w:rPr>
              <w:t>the</w:t>
            </w:r>
            <w:r>
              <w:rPr>
                <w:spacing w:val="40"/>
                <w:sz w:val="14"/>
              </w:rPr>
              <w:t> </w:t>
            </w:r>
            <w:r>
              <w:rPr>
                <w:spacing w:val="-2"/>
                <w:sz w:val="14"/>
              </w:rPr>
              <w:t>Maroondah</w:t>
            </w:r>
            <w:r>
              <w:rPr>
                <w:spacing w:val="40"/>
                <w:sz w:val="14"/>
              </w:rPr>
              <w:t> </w:t>
            </w:r>
            <w:r>
              <w:rPr>
                <w:sz w:val="14"/>
              </w:rPr>
              <w:t>City</w:t>
            </w:r>
            <w:r>
              <w:rPr>
                <w:spacing w:val="-4"/>
                <w:sz w:val="14"/>
              </w:rPr>
              <w:t> </w:t>
            </w:r>
            <w:r>
              <w:rPr>
                <w:sz w:val="14"/>
              </w:rPr>
              <w:t>Council</w:t>
            </w:r>
            <w:r>
              <w:rPr>
                <w:spacing w:val="40"/>
                <w:sz w:val="14"/>
              </w:rPr>
              <w:t> </w:t>
            </w:r>
            <w:r>
              <w:rPr>
                <w:spacing w:val="-2"/>
                <w:sz w:val="14"/>
              </w:rPr>
              <w:t>Website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Proclamation</w:t>
            </w:r>
            <w:r>
              <w:rPr>
                <w:b/>
                <w:spacing w:val="-7"/>
                <w:sz w:val="14"/>
              </w:rPr>
              <w:t> </w:t>
            </w:r>
            <w:r>
              <w:rPr>
                <w:b/>
                <w:sz w:val="14"/>
              </w:rPr>
              <w:t>Park</w:t>
            </w:r>
            <w:r>
              <w:rPr>
                <w:b/>
                <w:spacing w:val="-4"/>
                <w:sz w:val="14"/>
              </w:rPr>
              <w:t> </w:t>
            </w:r>
            <w:r>
              <w:rPr>
                <w:b/>
                <w:spacing w:val="-2"/>
                <w:sz w:val="14"/>
              </w:rPr>
              <w:t>Income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966"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6"/>
              </w:rPr>
            </w:pPr>
          </w:p>
          <w:p>
            <w:pPr>
              <w:pStyle w:val="TableParagraph"/>
              <w:spacing w:before="1"/>
              <w:rPr>
                <w:sz w:val="19"/>
              </w:rPr>
            </w:pPr>
          </w:p>
          <w:p>
            <w:pPr>
              <w:pStyle w:val="TableParagraph"/>
              <w:ind w:left="107"/>
              <w:rPr>
                <w:sz w:val="14"/>
              </w:rPr>
            </w:pPr>
            <w:r>
              <w:rPr>
                <w:sz w:val="14"/>
              </w:rPr>
              <w:t>Seasonal</w:t>
            </w:r>
            <w:r>
              <w:rPr>
                <w:spacing w:val="-5"/>
                <w:sz w:val="14"/>
              </w:rPr>
              <w:t> </w:t>
            </w:r>
            <w:r>
              <w:rPr>
                <w:sz w:val="14"/>
              </w:rPr>
              <w:t>&amp;</w:t>
            </w:r>
            <w:r>
              <w:rPr>
                <w:spacing w:val="-3"/>
                <w:sz w:val="14"/>
              </w:rPr>
              <w:t> </w:t>
            </w:r>
            <w:r>
              <w:rPr>
                <w:sz w:val="14"/>
              </w:rPr>
              <w:t>casual</w:t>
            </w:r>
            <w:r>
              <w:rPr>
                <w:spacing w:val="-1"/>
                <w:sz w:val="14"/>
              </w:rPr>
              <w:t> </w:t>
            </w:r>
            <w:r>
              <w:rPr>
                <w:sz w:val="14"/>
              </w:rPr>
              <w:t>use</w:t>
            </w:r>
            <w:r>
              <w:rPr>
                <w:spacing w:val="-4"/>
                <w:sz w:val="14"/>
              </w:rPr>
              <w:t> </w:t>
            </w:r>
            <w:r>
              <w:rPr>
                <w:sz w:val="14"/>
              </w:rPr>
              <w:t>of</w:t>
            </w:r>
            <w:r>
              <w:rPr>
                <w:spacing w:val="-2"/>
                <w:sz w:val="14"/>
              </w:rPr>
              <w:t> </w:t>
            </w:r>
            <w:r>
              <w:rPr>
                <w:sz w:val="14"/>
              </w:rPr>
              <w:t>council</w:t>
            </w:r>
            <w:r>
              <w:rPr>
                <w:spacing w:val="-2"/>
                <w:sz w:val="14"/>
              </w:rPr>
              <w:t> facilities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
              <w:rPr>
                <w:sz w:val="22"/>
              </w:rPr>
            </w:pPr>
          </w:p>
          <w:p>
            <w:pPr>
              <w:pStyle w:val="TableParagraph"/>
              <w:spacing w:line="140" w:lineRule="exact" w:before="1"/>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
              <w:rPr>
                <w:sz w:val="22"/>
              </w:rPr>
            </w:pPr>
          </w:p>
          <w:p>
            <w:pPr>
              <w:pStyle w:val="TableParagraph"/>
              <w:spacing w:line="140" w:lineRule="exact" w:before="1"/>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ind w:left="120" w:right="97" w:firstLine="2"/>
              <w:jc w:val="center"/>
              <w:rPr>
                <w:sz w:val="14"/>
              </w:rPr>
            </w:pPr>
            <w:r>
              <w:rPr>
                <w:sz w:val="14"/>
              </w:rPr>
              <w:t>Refer</w:t>
            </w:r>
            <w:r>
              <w:rPr>
                <w:spacing w:val="-6"/>
                <w:sz w:val="14"/>
              </w:rPr>
              <w:t> </w:t>
            </w:r>
            <w:r>
              <w:rPr>
                <w:sz w:val="14"/>
              </w:rPr>
              <w:t>to</w:t>
            </w:r>
            <w:r>
              <w:rPr>
                <w:spacing w:val="40"/>
                <w:sz w:val="14"/>
              </w:rPr>
              <w:t> </w:t>
            </w:r>
            <w:r>
              <w:rPr>
                <w:sz w:val="14"/>
              </w:rPr>
              <w:t>policy on</w:t>
            </w:r>
            <w:r>
              <w:rPr>
                <w:spacing w:val="40"/>
                <w:sz w:val="14"/>
              </w:rPr>
              <w:t> </w:t>
            </w:r>
            <w:r>
              <w:rPr>
                <w:spacing w:val="-4"/>
                <w:sz w:val="14"/>
              </w:rPr>
              <w:t>the</w:t>
            </w:r>
            <w:r>
              <w:rPr>
                <w:spacing w:val="40"/>
                <w:sz w:val="14"/>
              </w:rPr>
              <w:t> </w:t>
            </w:r>
            <w:r>
              <w:rPr>
                <w:spacing w:val="-2"/>
                <w:sz w:val="14"/>
              </w:rPr>
              <w:t>Maroondah</w:t>
            </w:r>
            <w:r>
              <w:rPr>
                <w:spacing w:val="40"/>
                <w:sz w:val="14"/>
              </w:rPr>
              <w:t> </w:t>
            </w:r>
            <w:r>
              <w:rPr>
                <w:sz w:val="14"/>
              </w:rPr>
              <w:t>City</w:t>
            </w:r>
            <w:r>
              <w:rPr>
                <w:spacing w:val="-5"/>
                <w:sz w:val="14"/>
              </w:rPr>
              <w:t> </w:t>
            </w:r>
            <w:r>
              <w:rPr>
                <w:spacing w:val="-2"/>
                <w:sz w:val="14"/>
              </w:rPr>
              <w:t>Council</w:t>
            </w:r>
          </w:p>
          <w:p>
            <w:pPr>
              <w:pStyle w:val="TableParagraph"/>
              <w:spacing w:line="140" w:lineRule="exact" w:before="2"/>
              <w:ind w:left="105" w:right="84"/>
              <w:jc w:val="center"/>
              <w:rPr>
                <w:sz w:val="14"/>
              </w:rPr>
            </w:pPr>
            <w:r>
              <w:rPr>
                <w:spacing w:val="-2"/>
                <w:sz w:val="14"/>
              </w:rPr>
              <w:t>Website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ind w:left="157" w:right="137"/>
              <w:jc w:val="center"/>
              <w:rPr>
                <w:sz w:val="14"/>
              </w:rPr>
            </w:pPr>
            <w:r>
              <w:rPr>
                <w:sz w:val="14"/>
              </w:rPr>
              <w:t>Refer</w:t>
            </w:r>
            <w:r>
              <w:rPr>
                <w:spacing w:val="-10"/>
                <w:sz w:val="14"/>
              </w:rPr>
              <w:t> </w:t>
            </w:r>
            <w:r>
              <w:rPr>
                <w:sz w:val="14"/>
              </w:rPr>
              <w:t>to</w:t>
            </w:r>
            <w:r>
              <w:rPr>
                <w:spacing w:val="-10"/>
                <w:sz w:val="14"/>
              </w:rPr>
              <w:t> </w:t>
            </w:r>
            <w:r>
              <w:rPr>
                <w:sz w:val="14"/>
              </w:rPr>
              <w:t>policy</w:t>
            </w:r>
            <w:r>
              <w:rPr>
                <w:spacing w:val="40"/>
                <w:sz w:val="14"/>
              </w:rPr>
              <w:t> </w:t>
            </w:r>
            <w:r>
              <w:rPr>
                <w:sz w:val="14"/>
              </w:rPr>
              <w:t>on</w:t>
            </w:r>
            <w:r>
              <w:rPr>
                <w:spacing w:val="-6"/>
                <w:sz w:val="14"/>
              </w:rPr>
              <w:t> </w:t>
            </w:r>
            <w:r>
              <w:rPr>
                <w:sz w:val="14"/>
              </w:rPr>
              <w:t>the</w:t>
            </w:r>
            <w:r>
              <w:rPr>
                <w:spacing w:val="40"/>
                <w:sz w:val="14"/>
              </w:rPr>
              <w:t> </w:t>
            </w:r>
            <w:r>
              <w:rPr>
                <w:spacing w:val="-2"/>
                <w:sz w:val="14"/>
              </w:rPr>
              <w:t>Maroondah</w:t>
            </w:r>
            <w:r>
              <w:rPr>
                <w:spacing w:val="40"/>
                <w:sz w:val="14"/>
              </w:rPr>
              <w:t> </w:t>
            </w:r>
            <w:r>
              <w:rPr>
                <w:sz w:val="14"/>
              </w:rPr>
              <w:t>City</w:t>
            </w:r>
            <w:r>
              <w:rPr>
                <w:spacing w:val="-4"/>
                <w:sz w:val="14"/>
              </w:rPr>
              <w:t> </w:t>
            </w:r>
            <w:r>
              <w:rPr>
                <w:sz w:val="14"/>
              </w:rPr>
              <w:t>Council</w:t>
            </w:r>
          </w:p>
          <w:p>
            <w:pPr>
              <w:pStyle w:val="TableParagraph"/>
              <w:spacing w:line="140" w:lineRule="exact" w:before="2"/>
              <w:ind w:left="156" w:right="137"/>
              <w:jc w:val="center"/>
              <w:rPr>
                <w:sz w:val="14"/>
              </w:rPr>
            </w:pPr>
            <w:r>
              <w:rPr>
                <w:spacing w:val="-2"/>
                <w:sz w:val="14"/>
              </w:rPr>
              <w:t>Website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Heathmont</w:t>
            </w:r>
            <w:r>
              <w:rPr>
                <w:b/>
                <w:spacing w:val="-10"/>
                <w:sz w:val="14"/>
              </w:rPr>
              <w:t> </w:t>
            </w:r>
            <w:r>
              <w:rPr>
                <w:b/>
                <w:spacing w:val="-2"/>
                <w:sz w:val="14"/>
              </w:rPr>
              <w:t>Reserve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966"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6"/>
              </w:rPr>
            </w:pPr>
          </w:p>
          <w:p>
            <w:pPr>
              <w:pStyle w:val="TableParagraph"/>
              <w:spacing w:before="1"/>
              <w:rPr>
                <w:sz w:val="19"/>
              </w:rPr>
            </w:pPr>
          </w:p>
          <w:p>
            <w:pPr>
              <w:pStyle w:val="TableParagraph"/>
              <w:ind w:left="107"/>
              <w:rPr>
                <w:sz w:val="14"/>
              </w:rPr>
            </w:pPr>
            <w:r>
              <w:rPr>
                <w:sz w:val="14"/>
              </w:rPr>
              <w:t>Seasonal</w:t>
            </w:r>
            <w:r>
              <w:rPr>
                <w:spacing w:val="-5"/>
                <w:sz w:val="14"/>
              </w:rPr>
              <w:t> </w:t>
            </w:r>
            <w:r>
              <w:rPr>
                <w:sz w:val="14"/>
              </w:rPr>
              <w:t>&amp;</w:t>
            </w:r>
            <w:r>
              <w:rPr>
                <w:spacing w:val="-3"/>
                <w:sz w:val="14"/>
              </w:rPr>
              <w:t> </w:t>
            </w:r>
            <w:r>
              <w:rPr>
                <w:sz w:val="14"/>
              </w:rPr>
              <w:t>casual</w:t>
            </w:r>
            <w:r>
              <w:rPr>
                <w:spacing w:val="-1"/>
                <w:sz w:val="14"/>
              </w:rPr>
              <w:t> </w:t>
            </w:r>
            <w:r>
              <w:rPr>
                <w:sz w:val="14"/>
              </w:rPr>
              <w:t>use</w:t>
            </w:r>
            <w:r>
              <w:rPr>
                <w:spacing w:val="-4"/>
                <w:sz w:val="14"/>
              </w:rPr>
              <w:t> </w:t>
            </w:r>
            <w:r>
              <w:rPr>
                <w:sz w:val="14"/>
              </w:rPr>
              <w:t>of</w:t>
            </w:r>
            <w:r>
              <w:rPr>
                <w:spacing w:val="-2"/>
                <w:sz w:val="14"/>
              </w:rPr>
              <w:t> </w:t>
            </w:r>
            <w:r>
              <w:rPr>
                <w:sz w:val="14"/>
              </w:rPr>
              <w:t>council</w:t>
            </w:r>
            <w:r>
              <w:rPr>
                <w:spacing w:val="-2"/>
                <w:sz w:val="14"/>
              </w:rPr>
              <w:t> facilities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
              <w:rPr>
                <w:sz w:val="22"/>
              </w:rPr>
            </w:pPr>
          </w:p>
          <w:p>
            <w:pPr>
              <w:pStyle w:val="TableParagraph"/>
              <w:spacing w:line="140" w:lineRule="exact" w:before="1"/>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
              <w:rPr>
                <w:sz w:val="22"/>
              </w:rPr>
            </w:pPr>
          </w:p>
          <w:p>
            <w:pPr>
              <w:pStyle w:val="TableParagraph"/>
              <w:spacing w:line="140" w:lineRule="exact" w:before="1"/>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ind w:left="120" w:right="97" w:firstLine="2"/>
              <w:jc w:val="center"/>
              <w:rPr>
                <w:sz w:val="14"/>
              </w:rPr>
            </w:pPr>
            <w:r>
              <w:rPr>
                <w:sz w:val="14"/>
              </w:rPr>
              <w:t>Refer</w:t>
            </w:r>
            <w:r>
              <w:rPr>
                <w:spacing w:val="-6"/>
                <w:sz w:val="14"/>
              </w:rPr>
              <w:t> </w:t>
            </w:r>
            <w:r>
              <w:rPr>
                <w:sz w:val="14"/>
              </w:rPr>
              <w:t>to</w:t>
            </w:r>
            <w:r>
              <w:rPr>
                <w:spacing w:val="40"/>
                <w:sz w:val="14"/>
              </w:rPr>
              <w:t> </w:t>
            </w:r>
            <w:r>
              <w:rPr>
                <w:sz w:val="14"/>
              </w:rPr>
              <w:t>policy on</w:t>
            </w:r>
            <w:r>
              <w:rPr>
                <w:spacing w:val="40"/>
                <w:sz w:val="14"/>
              </w:rPr>
              <w:t> </w:t>
            </w:r>
            <w:r>
              <w:rPr>
                <w:spacing w:val="-4"/>
                <w:sz w:val="14"/>
              </w:rPr>
              <w:t>the</w:t>
            </w:r>
            <w:r>
              <w:rPr>
                <w:spacing w:val="40"/>
                <w:sz w:val="14"/>
              </w:rPr>
              <w:t> </w:t>
            </w:r>
            <w:r>
              <w:rPr>
                <w:spacing w:val="-2"/>
                <w:sz w:val="14"/>
              </w:rPr>
              <w:t>Maroondah</w:t>
            </w:r>
            <w:r>
              <w:rPr>
                <w:spacing w:val="40"/>
                <w:sz w:val="14"/>
              </w:rPr>
              <w:t> </w:t>
            </w:r>
            <w:r>
              <w:rPr>
                <w:sz w:val="14"/>
              </w:rPr>
              <w:t>City</w:t>
            </w:r>
            <w:r>
              <w:rPr>
                <w:spacing w:val="-5"/>
                <w:sz w:val="14"/>
              </w:rPr>
              <w:t> </w:t>
            </w:r>
            <w:r>
              <w:rPr>
                <w:spacing w:val="-2"/>
                <w:sz w:val="14"/>
              </w:rPr>
              <w:t>Council</w:t>
            </w:r>
          </w:p>
          <w:p>
            <w:pPr>
              <w:pStyle w:val="TableParagraph"/>
              <w:spacing w:line="140" w:lineRule="exact" w:before="2"/>
              <w:ind w:left="105" w:right="84"/>
              <w:jc w:val="center"/>
              <w:rPr>
                <w:sz w:val="14"/>
              </w:rPr>
            </w:pPr>
            <w:r>
              <w:rPr>
                <w:spacing w:val="-2"/>
                <w:sz w:val="14"/>
              </w:rPr>
              <w:t>Website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ind w:left="157" w:right="137"/>
              <w:jc w:val="center"/>
              <w:rPr>
                <w:sz w:val="14"/>
              </w:rPr>
            </w:pPr>
            <w:r>
              <w:rPr>
                <w:sz w:val="14"/>
              </w:rPr>
              <w:t>Refer</w:t>
            </w:r>
            <w:r>
              <w:rPr>
                <w:spacing w:val="-10"/>
                <w:sz w:val="14"/>
              </w:rPr>
              <w:t> </w:t>
            </w:r>
            <w:r>
              <w:rPr>
                <w:sz w:val="14"/>
              </w:rPr>
              <w:t>to</w:t>
            </w:r>
            <w:r>
              <w:rPr>
                <w:spacing w:val="-10"/>
                <w:sz w:val="14"/>
              </w:rPr>
              <w:t> </w:t>
            </w:r>
            <w:r>
              <w:rPr>
                <w:sz w:val="14"/>
              </w:rPr>
              <w:t>policy</w:t>
            </w:r>
            <w:r>
              <w:rPr>
                <w:spacing w:val="40"/>
                <w:sz w:val="14"/>
              </w:rPr>
              <w:t> </w:t>
            </w:r>
            <w:r>
              <w:rPr>
                <w:sz w:val="14"/>
              </w:rPr>
              <w:t>on</w:t>
            </w:r>
            <w:r>
              <w:rPr>
                <w:spacing w:val="-6"/>
                <w:sz w:val="14"/>
              </w:rPr>
              <w:t> </w:t>
            </w:r>
            <w:r>
              <w:rPr>
                <w:sz w:val="14"/>
              </w:rPr>
              <w:t>the</w:t>
            </w:r>
            <w:r>
              <w:rPr>
                <w:spacing w:val="40"/>
                <w:sz w:val="14"/>
              </w:rPr>
              <w:t> </w:t>
            </w:r>
            <w:r>
              <w:rPr>
                <w:spacing w:val="-2"/>
                <w:sz w:val="14"/>
              </w:rPr>
              <w:t>Maroondah</w:t>
            </w:r>
            <w:r>
              <w:rPr>
                <w:spacing w:val="40"/>
                <w:sz w:val="14"/>
              </w:rPr>
              <w:t> </w:t>
            </w:r>
            <w:r>
              <w:rPr>
                <w:sz w:val="14"/>
              </w:rPr>
              <w:t>City</w:t>
            </w:r>
            <w:r>
              <w:rPr>
                <w:spacing w:val="-4"/>
                <w:sz w:val="14"/>
              </w:rPr>
              <w:t> </w:t>
            </w:r>
            <w:r>
              <w:rPr>
                <w:sz w:val="14"/>
              </w:rPr>
              <w:t>Council</w:t>
            </w:r>
          </w:p>
          <w:p>
            <w:pPr>
              <w:pStyle w:val="TableParagraph"/>
              <w:spacing w:line="140" w:lineRule="exact" w:before="2"/>
              <w:ind w:left="156" w:right="137"/>
              <w:jc w:val="center"/>
              <w:rPr>
                <w:sz w:val="14"/>
              </w:rPr>
            </w:pPr>
            <w:r>
              <w:rPr>
                <w:spacing w:val="-2"/>
                <w:sz w:val="14"/>
              </w:rPr>
              <w:t>Website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Manson</w:t>
            </w:r>
            <w:r>
              <w:rPr>
                <w:b/>
                <w:spacing w:val="-6"/>
                <w:sz w:val="14"/>
              </w:rPr>
              <w:t> </w:t>
            </w:r>
            <w:r>
              <w:rPr>
                <w:b/>
                <w:spacing w:val="-2"/>
                <w:sz w:val="14"/>
              </w:rPr>
              <w:t>Reserve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964"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6"/>
              </w:rPr>
            </w:pPr>
          </w:p>
          <w:p>
            <w:pPr>
              <w:pStyle w:val="TableParagraph"/>
              <w:spacing w:before="1"/>
              <w:rPr>
                <w:sz w:val="19"/>
              </w:rPr>
            </w:pPr>
          </w:p>
          <w:p>
            <w:pPr>
              <w:pStyle w:val="TableParagraph"/>
              <w:ind w:left="107"/>
              <w:rPr>
                <w:sz w:val="14"/>
              </w:rPr>
            </w:pPr>
            <w:r>
              <w:rPr>
                <w:sz w:val="14"/>
              </w:rPr>
              <w:t>Seasonal</w:t>
            </w:r>
            <w:r>
              <w:rPr>
                <w:spacing w:val="-5"/>
                <w:sz w:val="14"/>
              </w:rPr>
              <w:t> </w:t>
            </w:r>
            <w:r>
              <w:rPr>
                <w:sz w:val="14"/>
              </w:rPr>
              <w:t>&amp;</w:t>
            </w:r>
            <w:r>
              <w:rPr>
                <w:spacing w:val="-3"/>
                <w:sz w:val="14"/>
              </w:rPr>
              <w:t> </w:t>
            </w:r>
            <w:r>
              <w:rPr>
                <w:sz w:val="14"/>
              </w:rPr>
              <w:t>casual</w:t>
            </w:r>
            <w:r>
              <w:rPr>
                <w:spacing w:val="-1"/>
                <w:sz w:val="14"/>
              </w:rPr>
              <w:t> </w:t>
            </w:r>
            <w:r>
              <w:rPr>
                <w:sz w:val="14"/>
              </w:rPr>
              <w:t>use</w:t>
            </w:r>
            <w:r>
              <w:rPr>
                <w:spacing w:val="-4"/>
                <w:sz w:val="14"/>
              </w:rPr>
              <w:t> </w:t>
            </w:r>
            <w:r>
              <w:rPr>
                <w:sz w:val="14"/>
              </w:rPr>
              <w:t>of</w:t>
            </w:r>
            <w:r>
              <w:rPr>
                <w:spacing w:val="-2"/>
                <w:sz w:val="14"/>
              </w:rPr>
              <w:t> </w:t>
            </w:r>
            <w:r>
              <w:rPr>
                <w:sz w:val="14"/>
              </w:rPr>
              <w:t>council</w:t>
            </w:r>
            <w:r>
              <w:rPr>
                <w:spacing w:val="-2"/>
                <w:sz w:val="14"/>
              </w:rPr>
              <w:t> facilities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1"/>
              <w:rPr>
                <w:sz w:val="21"/>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1"/>
              <w:rPr>
                <w:sz w:val="21"/>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120" w:right="97" w:firstLine="2"/>
              <w:jc w:val="center"/>
              <w:rPr>
                <w:sz w:val="14"/>
              </w:rPr>
            </w:pPr>
            <w:r>
              <w:rPr>
                <w:sz w:val="14"/>
              </w:rPr>
              <w:t>Refer</w:t>
            </w:r>
            <w:r>
              <w:rPr>
                <w:spacing w:val="-6"/>
                <w:sz w:val="14"/>
              </w:rPr>
              <w:t> </w:t>
            </w:r>
            <w:r>
              <w:rPr>
                <w:sz w:val="14"/>
              </w:rPr>
              <w:t>to</w:t>
            </w:r>
            <w:r>
              <w:rPr>
                <w:spacing w:val="40"/>
                <w:sz w:val="14"/>
              </w:rPr>
              <w:t> </w:t>
            </w:r>
            <w:r>
              <w:rPr>
                <w:sz w:val="14"/>
              </w:rPr>
              <w:t>policy on</w:t>
            </w:r>
            <w:r>
              <w:rPr>
                <w:spacing w:val="40"/>
                <w:sz w:val="14"/>
              </w:rPr>
              <w:t> </w:t>
            </w:r>
            <w:r>
              <w:rPr>
                <w:spacing w:val="-4"/>
                <w:sz w:val="14"/>
              </w:rPr>
              <w:t>the</w:t>
            </w:r>
            <w:r>
              <w:rPr>
                <w:spacing w:val="40"/>
                <w:sz w:val="14"/>
              </w:rPr>
              <w:t> </w:t>
            </w:r>
            <w:r>
              <w:rPr>
                <w:spacing w:val="-2"/>
                <w:sz w:val="14"/>
              </w:rPr>
              <w:t>Maroondah</w:t>
            </w:r>
            <w:r>
              <w:rPr>
                <w:spacing w:val="40"/>
                <w:sz w:val="14"/>
              </w:rPr>
              <w:t> </w:t>
            </w:r>
            <w:r>
              <w:rPr>
                <w:spacing w:val="-2"/>
                <w:sz w:val="14"/>
              </w:rPr>
              <w:t>City</w:t>
            </w:r>
            <w:r>
              <w:rPr>
                <w:spacing w:val="-8"/>
                <w:sz w:val="14"/>
              </w:rPr>
              <w:t> </w:t>
            </w:r>
            <w:r>
              <w:rPr>
                <w:spacing w:val="-2"/>
                <w:sz w:val="14"/>
              </w:rPr>
              <w:t>Council</w:t>
            </w:r>
            <w:r>
              <w:rPr>
                <w:spacing w:val="40"/>
                <w:sz w:val="14"/>
              </w:rPr>
              <w:t> </w:t>
            </w:r>
            <w:r>
              <w:rPr>
                <w:spacing w:val="-2"/>
                <w:sz w:val="14"/>
              </w:rPr>
              <w:t>Website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41"/>
              <w:ind w:left="157" w:right="137"/>
              <w:jc w:val="center"/>
              <w:rPr>
                <w:sz w:val="14"/>
              </w:rPr>
            </w:pPr>
            <w:r>
              <w:rPr>
                <w:sz w:val="14"/>
              </w:rPr>
              <w:t>Refer</w:t>
            </w:r>
            <w:r>
              <w:rPr>
                <w:spacing w:val="-10"/>
                <w:sz w:val="14"/>
              </w:rPr>
              <w:t> </w:t>
            </w:r>
            <w:r>
              <w:rPr>
                <w:sz w:val="14"/>
              </w:rPr>
              <w:t>to</w:t>
            </w:r>
            <w:r>
              <w:rPr>
                <w:spacing w:val="-10"/>
                <w:sz w:val="14"/>
              </w:rPr>
              <w:t> </w:t>
            </w:r>
            <w:r>
              <w:rPr>
                <w:sz w:val="14"/>
              </w:rPr>
              <w:t>policy</w:t>
            </w:r>
            <w:r>
              <w:rPr>
                <w:spacing w:val="40"/>
                <w:sz w:val="14"/>
              </w:rPr>
              <w:t> </w:t>
            </w:r>
            <w:r>
              <w:rPr>
                <w:sz w:val="14"/>
              </w:rPr>
              <w:t>on</w:t>
            </w:r>
            <w:r>
              <w:rPr>
                <w:spacing w:val="-6"/>
                <w:sz w:val="14"/>
              </w:rPr>
              <w:t> </w:t>
            </w:r>
            <w:r>
              <w:rPr>
                <w:sz w:val="14"/>
              </w:rPr>
              <w:t>the</w:t>
            </w:r>
            <w:r>
              <w:rPr>
                <w:spacing w:val="40"/>
                <w:sz w:val="14"/>
              </w:rPr>
              <w:t> </w:t>
            </w:r>
            <w:r>
              <w:rPr>
                <w:spacing w:val="-2"/>
                <w:sz w:val="14"/>
              </w:rPr>
              <w:t>Maroondah</w:t>
            </w:r>
            <w:r>
              <w:rPr>
                <w:spacing w:val="40"/>
                <w:sz w:val="14"/>
              </w:rPr>
              <w:t> </w:t>
            </w:r>
            <w:r>
              <w:rPr>
                <w:sz w:val="14"/>
              </w:rPr>
              <w:t>City</w:t>
            </w:r>
            <w:r>
              <w:rPr>
                <w:spacing w:val="-4"/>
                <w:sz w:val="14"/>
              </w:rPr>
              <w:t> </w:t>
            </w:r>
            <w:r>
              <w:rPr>
                <w:sz w:val="14"/>
              </w:rPr>
              <w:t>Council</w:t>
            </w:r>
            <w:r>
              <w:rPr>
                <w:spacing w:val="40"/>
                <w:sz w:val="14"/>
              </w:rPr>
              <w:t> </w:t>
            </w:r>
            <w:r>
              <w:rPr>
                <w:spacing w:val="-2"/>
                <w:sz w:val="14"/>
              </w:rPr>
              <w:t>Website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80"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8"/>
              <w:ind w:left="107"/>
              <w:rPr>
                <w:b/>
                <w:sz w:val="14"/>
              </w:rPr>
            </w:pPr>
            <w:r>
              <w:rPr>
                <w:b/>
                <w:sz w:val="14"/>
              </w:rPr>
              <w:t>HE</w:t>
            </w:r>
            <w:r>
              <w:rPr>
                <w:b/>
                <w:spacing w:val="-5"/>
                <w:sz w:val="14"/>
              </w:rPr>
              <w:t> </w:t>
            </w:r>
            <w:r>
              <w:rPr>
                <w:b/>
                <w:sz w:val="14"/>
              </w:rPr>
              <w:t>Parker</w:t>
            </w:r>
            <w:r>
              <w:rPr>
                <w:b/>
                <w:spacing w:val="-4"/>
                <w:sz w:val="14"/>
              </w:rPr>
              <w:t> </w:t>
            </w:r>
            <w:r>
              <w:rPr>
                <w:b/>
                <w:spacing w:val="-2"/>
                <w:sz w:val="14"/>
              </w:rPr>
              <w:t>Reserve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964"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6"/>
              </w:rPr>
            </w:pPr>
          </w:p>
          <w:p>
            <w:pPr>
              <w:pStyle w:val="TableParagraph"/>
              <w:spacing w:before="10"/>
              <w:rPr>
                <w:sz w:val="18"/>
              </w:rPr>
            </w:pPr>
          </w:p>
          <w:p>
            <w:pPr>
              <w:pStyle w:val="TableParagraph"/>
              <w:ind w:left="107"/>
              <w:rPr>
                <w:sz w:val="14"/>
              </w:rPr>
            </w:pPr>
            <w:r>
              <w:rPr>
                <w:sz w:val="14"/>
              </w:rPr>
              <w:t>Seasonal</w:t>
            </w:r>
            <w:r>
              <w:rPr>
                <w:spacing w:val="-5"/>
                <w:sz w:val="14"/>
              </w:rPr>
              <w:t> </w:t>
            </w:r>
            <w:r>
              <w:rPr>
                <w:sz w:val="14"/>
              </w:rPr>
              <w:t>&amp;</w:t>
            </w:r>
            <w:r>
              <w:rPr>
                <w:spacing w:val="-3"/>
                <w:sz w:val="14"/>
              </w:rPr>
              <w:t> </w:t>
            </w:r>
            <w:r>
              <w:rPr>
                <w:sz w:val="14"/>
              </w:rPr>
              <w:t>casual</w:t>
            </w:r>
            <w:r>
              <w:rPr>
                <w:spacing w:val="-1"/>
                <w:sz w:val="14"/>
              </w:rPr>
              <w:t> </w:t>
            </w:r>
            <w:r>
              <w:rPr>
                <w:sz w:val="14"/>
              </w:rPr>
              <w:t>use</w:t>
            </w:r>
            <w:r>
              <w:rPr>
                <w:spacing w:val="-4"/>
                <w:sz w:val="14"/>
              </w:rPr>
              <w:t> </w:t>
            </w:r>
            <w:r>
              <w:rPr>
                <w:sz w:val="14"/>
              </w:rPr>
              <w:t>of</w:t>
            </w:r>
            <w:r>
              <w:rPr>
                <w:spacing w:val="-2"/>
                <w:sz w:val="14"/>
              </w:rPr>
              <w:t> </w:t>
            </w:r>
            <w:r>
              <w:rPr>
                <w:sz w:val="14"/>
              </w:rPr>
              <w:t>council</w:t>
            </w:r>
            <w:r>
              <w:rPr>
                <w:spacing w:val="-2"/>
                <w:sz w:val="14"/>
              </w:rPr>
              <w:t> facilities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1"/>
              <w:rPr>
                <w:sz w:val="21"/>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1"/>
              <w:rPr>
                <w:sz w:val="21"/>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120" w:right="97" w:firstLine="2"/>
              <w:jc w:val="center"/>
              <w:rPr>
                <w:sz w:val="14"/>
              </w:rPr>
            </w:pPr>
            <w:r>
              <w:rPr>
                <w:sz w:val="14"/>
              </w:rPr>
              <w:t>Refer</w:t>
            </w:r>
            <w:r>
              <w:rPr>
                <w:spacing w:val="-6"/>
                <w:sz w:val="14"/>
              </w:rPr>
              <w:t> </w:t>
            </w:r>
            <w:r>
              <w:rPr>
                <w:sz w:val="14"/>
              </w:rPr>
              <w:t>to</w:t>
            </w:r>
            <w:r>
              <w:rPr>
                <w:spacing w:val="40"/>
                <w:sz w:val="14"/>
              </w:rPr>
              <w:t> </w:t>
            </w:r>
            <w:r>
              <w:rPr>
                <w:sz w:val="14"/>
              </w:rPr>
              <w:t>policy on</w:t>
            </w:r>
            <w:r>
              <w:rPr>
                <w:spacing w:val="40"/>
                <w:sz w:val="14"/>
              </w:rPr>
              <w:t> </w:t>
            </w:r>
            <w:r>
              <w:rPr>
                <w:spacing w:val="-4"/>
                <w:sz w:val="14"/>
              </w:rPr>
              <w:t>the</w:t>
            </w:r>
            <w:r>
              <w:rPr>
                <w:spacing w:val="40"/>
                <w:sz w:val="14"/>
              </w:rPr>
              <w:t> </w:t>
            </w:r>
            <w:r>
              <w:rPr>
                <w:spacing w:val="-2"/>
                <w:sz w:val="14"/>
              </w:rPr>
              <w:t>Maroondah</w:t>
            </w:r>
            <w:r>
              <w:rPr>
                <w:spacing w:val="40"/>
                <w:sz w:val="14"/>
              </w:rPr>
              <w:t> </w:t>
            </w:r>
            <w:r>
              <w:rPr>
                <w:spacing w:val="-2"/>
                <w:sz w:val="14"/>
              </w:rPr>
              <w:t>City</w:t>
            </w:r>
            <w:r>
              <w:rPr>
                <w:spacing w:val="-8"/>
                <w:sz w:val="14"/>
              </w:rPr>
              <w:t> </w:t>
            </w:r>
            <w:r>
              <w:rPr>
                <w:spacing w:val="-2"/>
                <w:sz w:val="14"/>
              </w:rPr>
              <w:t>Council</w:t>
            </w:r>
            <w:r>
              <w:rPr>
                <w:spacing w:val="40"/>
                <w:sz w:val="14"/>
              </w:rPr>
              <w:t> </w:t>
            </w:r>
            <w:r>
              <w:rPr>
                <w:spacing w:val="-2"/>
                <w:sz w:val="14"/>
              </w:rPr>
              <w:t>Website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41"/>
              <w:ind w:left="157" w:right="137"/>
              <w:jc w:val="center"/>
              <w:rPr>
                <w:sz w:val="14"/>
              </w:rPr>
            </w:pPr>
            <w:r>
              <w:rPr>
                <w:sz w:val="14"/>
              </w:rPr>
              <w:t>Refer</w:t>
            </w:r>
            <w:r>
              <w:rPr>
                <w:spacing w:val="-10"/>
                <w:sz w:val="14"/>
              </w:rPr>
              <w:t> </w:t>
            </w:r>
            <w:r>
              <w:rPr>
                <w:sz w:val="14"/>
              </w:rPr>
              <w:t>to</w:t>
            </w:r>
            <w:r>
              <w:rPr>
                <w:spacing w:val="-10"/>
                <w:sz w:val="14"/>
              </w:rPr>
              <w:t> </w:t>
            </w:r>
            <w:r>
              <w:rPr>
                <w:sz w:val="14"/>
              </w:rPr>
              <w:t>policy</w:t>
            </w:r>
            <w:r>
              <w:rPr>
                <w:spacing w:val="40"/>
                <w:sz w:val="14"/>
              </w:rPr>
              <w:t> </w:t>
            </w:r>
            <w:r>
              <w:rPr>
                <w:sz w:val="14"/>
              </w:rPr>
              <w:t>on</w:t>
            </w:r>
            <w:r>
              <w:rPr>
                <w:spacing w:val="-6"/>
                <w:sz w:val="14"/>
              </w:rPr>
              <w:t> </w:t>
            </w:r>
            <w:r>
              <w:rPr>
                <w:sz w:val="14"/>
              </w:rPr>
              <w:t>the</w:t>
            </w:r>
            <w:r>
              <w:rPr>
                <w:spacing w:val="40"/>
                <w:sz w:val="14"/>
              </w:rPr>
              <w:t> </w:t>
            </w:r>
            <w:r>
              <w:rPr>
                <w:spacing w:val="-2"/>
                <w:sz w:val="14"/>
              </w:rPr>
              <w:t>Maroondah</w:t>
            </w:r>
            <w:r>
              <w:rPr>
                <w:spacing w:val="40"/>
                <w:sz w:val="14"/>
              </w:rPr>
              <w:t> </w:t>
            </w:r>
            <w:r>
              <w:rPr>
                <w:sz w:val="14"/>
              </w:rPr>
              <w:t>City</w:t>
            </w:r>
            <w:r>
              <w:rPr>
                <w:spacing w:val="-4"/>
                <w:sz w:val="14"/>
              </w:rPr>
              <w:t> </w:t>
            </w:r>
            <w:r>
              <w:rPr>
                <w:sz w:val="14"/>
              </w:rPr>
              <w:t>Council</w:t>
            </w:r>
            <w:r>
              <w:rPr>
                <w:spacing w:val="40"/>
                <w:sz w:val="14"/>
              </w:rPr>
              <w:t> </w:t>
            </w:r>
            <w:r>
              <w:rPr>
                <w:spacing w:val="-2"/>
                <w:sz w:val="14"/>
              </w:rPr>
              <w:t>Website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7"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8"/>
              <w:ind w:left="107"/>
              <w:rPr>
                <w:b/>
                <w:sz w:val="14"/>
              </w:rPr>
            </w:pPr>
            <w:r>
              <w:rPr>
                <w:b/>
                <w:sz w:val="14"/>
              </w:rPr>
              <w:t>East</w:t>
            </w:r>
            <w:r>
              <w:rPr>
                <w:b/>
                <w:spacing w:val="-4"/>
                <w:sz w:val="14"/>
              </w:rPr>
              <w:t> </w:t>
            </w:r>
            <w:r>
              <w:rPr>
                <w:b/>
                <w:sz w:val="14"/>
              </w:rPr>
              <w:t>Ringwood</w:t>
            </w:r>
            <w:r>
              <w:rPr>
                <w:b/>
                <w:spacing w:val="-4"/>
                <w:sz w:val="14"/>
              </w:rPr>
              <w:t> </w:t>
            </w:r>
            <w:r>
              <w:rPr>
                <w:b/>
                <w:spacing w:val="-2"/>
                <w:sz w:val="14"/>
              </w:rPr>
              <w:t>Reserve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966"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6"/>
              </w:rPr>
            </w:pPr>
          </w:p>
          <w:p>
            <w:pPr>
              <w:pStyle w:val="TableParagraph"/>
              <w:spacing w:before="1"/>
              <w:rPr>
                <w:sz w:val="19"/>
              </w:rPr>
            </w:pPr>
          </w:p>
          <w:p>
            <w:pPr>
              <w:pStyle w:val="TableParagraph"/>
              <w:ind w:left="107"/>
              <w:rPr>
                <w:sz w:val="14"/>
              </w:rPr>
            </w:pPr>
            <w:r>
              <w:rPr>
                <w:sz w:val="14"/>
              </w:rPr>
              <w:t>Seasonal</w:t>
            </w:r>
            <w:r>
              <w:rPr>
                <w:spacing w:val="-5"/>
                <w:sz w:val="14"/>
              </w:rPr>
              <w:t> </w:t>
            </w:r>
            <w:r>
              <w:rPr>
                <w:sz w:val="14"/>
              </w:rPr>
              <w:t>&amp;</w:t>
            </w:r>
            <w:r>
              <w:rPr>
                <w:spacing w:val="-3"/>
                <w:sz w:val="14"/>
              </w:rPr>
              <w:t> </w:t>
            </w:r>
            <w:r>
              <w:rPr>
                <w:sz w:val="14"/>
              </w:rPr>
              <w:t>casual</w:t>
            </w:r>
            <w:r>
              <w:rPr>
                <w:spacing w:val="-1"/>
                <w:sz w:val="14"/>
              </w:rPr>
              <w:t> </w:t>
            </w:r>
            <w:r>
              <w:rPr>
                <w:sz w:val="14"/>
              </w:rPr>
              <w:t>use</w:t>
            </w:r>
            <w:r>
              <w:rPr>
                <w:spacing w:val="-4"/>
                <w:sz w:val="14"/>
              </w:rPr>
              <w:t> </w:t>
            </w:r>
            <w:r>
              <w:rPr>
                <w:sz w:val="14"/>
              </w:rPr>
              <w:t>of</w:t>
            </w:r>
            <w:r>
              <w:rPr>
                <w:spacing w:val="-2"/>
                <w:sz w:val="14"/>
              </w:rPr>
              <w:t> </w:t>
            </w:r>
            <w:r>
              <w:rPr>
                <w:sz w:val="14"/>
              </w:rPr>
              <w:t>council</w:t>
            </w:r>
            <w:r>
              <w:rPr>
                <w:spacing w:val="-2"/>
                <w:sz w:val="14"/>
              </w:rPr>
              <w:t> facilities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
              <w:rPr>
                <w:sz w:val="22"/>
              </w:rPr>
            </w:pPr>
          </w:p>
          <w:p>
            <w:pPr>
              <w:pStyle w:val="TableParagraph"/>
              <w:spacing w:line="140" w:lineRule="exact" w:before="1"/>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
              <w:rPr>
                <w:sz w:val="22"/>
              </w:rPr>
            </w:pPr>
          </w:p>
          <w:p>
            <w:pPr>
              <w:pStyle w:val="TableParagraph"/>
              <w:spacing w:line="140" w:lineRule="exact" w:before="1"/>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120" w:right="97" w:firstLine="2"/>
              <w:jc w:val="center"/>
              <w:rPr>
                <w:sz w:val="14"/>
              </w:rPr>
            </w:pPr>
            <w:r>
              <w:rPr>
                <w:sz w:val="14"/>
              </w:rPr>
              <w:t>Refer</w:t>
            </w:r>
            <w:r>
              <w:rPr>
                <w:spacing w:val="-6"/>
                <w:sz w:val="14"/>
              </w:rPr>
              <w:t> </w:t>
            </w:r>
            <w:r>
              <w:rPr>
                <w:sz w:val="14"/>
              </w:rPr>
              <w:t>to</w:t>
            </w:r>
            <w:r>
              <w:rPr>
                <w:spacing w:val="40"/>
                <w:sz w:val="14"/>
              </w:rPr>
              <w:t> </w:t>
            </w:r>
            <w:r>
              <w:rPr>
                <w:sz w:val="14"/>
              </w:rPr>
              <w:t>policy on</w:t>
            </w:r>
            <w:r>
              <w:rPr>
                <w:spacing w:val="40"/>
                <w:sz w:val="14"/>
              </w:rPr>
              <w:t> </w:t>
            </w:r>
            <w:r>
              <w:rPr>
                <w:spacing w:val="-4"/>
                <w:sz w:val="14"/>
              </w:rPr>
              <w:t>the</w:t>
            </w:r>
            <w:r>
              <w:rPr>
                <w:spacing w:val="40"/>
                <w:sz w:val="14"/>
              </w:rPr>
              <w:t> </w:t>
            </w:r>
            <w:r>
              <w:rPr>
                <w:spacing w:val="-2"/>
                <w:sz w:val="14"/>
              </w:rPr>
              <w:t>Maroondah</w:t>
            </w:r>
            <w:r>
              <w:rPr>
                <w:spacing w:val="40"/>
                <w:sz w:val="14"/>
              </w:rPr>
              <w:t> </w:t>
            </w:r>
            <w:r>
              <w:rPr>
                <w:spacing w:val="-2"/>
                <w:sz w:val="14"/>
              </w:rPr>
              <w:t>City</w:t>
            </w:r>
            <w:r>
              <w:rPr>
                <w:spacing w:val="-8"/>
                <w:sz w:val="14"/>
              </w:rPr>
              <w:t> </w:t>
            </w:r>
            <w:r>
              <w:rPr>
                <w:spacing w:val="-2"/>
                <w:sz w:val="14"/>
              </w:rPr>
              <w:t>Council</w:t>
            </w:r>
            <w:r>
              <w:rPr>
                <w:spacing w:val="40"/>
                <w:sz w:val="14"/>
              </w:rPr>
              <w:t> </w:t>
            </w:r>
            <w:r>
              <w:rPr>
                <w:spacing w:val="-2"/>
                <w:sz w:val="14"/>
              </w:rPr>
              <w:t>Website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43"/>
              <w:ind w:left="157" w:right="137"/>
              <w:jc w:val="center"/>
              <w:rPr>
                <w:sz w:val="14"/>
              </w:rPr>
            </w:pPr>
            <w:r>
              <w:rPr>
                <w:sz w:val="14"/>
              </w:rPr>
              <w:t>Refer</w:t>
            </w:r>
            <w:r>
              <w:rPr>
                <w:spacing w:val="-10"/>
                <w:sz w:val="14"/>
              </w:rPr>
              <w:t> </w:t>
            </w:r>
            <w:r>
              <w:rPr>
                <w:sz w:val="14"/>
              </w:rPr>
              <w:t>to</w:t>
            </w:r>
            <w:r>
              <w:rPr>
                <w:spacing w:val="-10"/>
                <w:sz w:val="14"/>
              </w:rPr>
              <w:t> </w:t>
            </w:r>
            <w:r>
              <w:rPr>
                <w:sz w:val="14"/>
              </w:rPr>
              <w:t>policy</w:t>
            </w:r>
            <w:r>
              <w:rPr>
                <w:spacing w:val="40"/>
                <w:sz w:val="14"/>
              </w:rPr>
              <w:t> </w:t>
            </w:r>
            <w:r>
              <w:rPr>
                <w:sz w:val="14"/>
              </w:rPr>
              <w:t>on</w:t>
            </w:r>
            <w:r>
              <w:rPr>
                <w:spacing w:val="-6"/>
                <w:sz w:val="14"/>
              </w:rPr>
              <w:t> </w:t>
            </w:r>
            <w:r>
              <w:rPr>
                <w:sz w:val="14"/>
              </w:rPr>
              <w:t>the</w:t>
            </w:r>
            <w:r>
              <w:rPr>
                <w:spacing w:val="40"/>
                <w:sz w:val="14"/>
              </w:rPr>
              <w:t> </w:t>
            </w:r>
            <w:r>
              <w:rPr>
                <w:spacing w:val="-2"/>
                <w:sz w:val="14"/>
              </w:rPr>
              <w:t>Maroondah</w:t>
            </w:r>
            <w:r>
              <w:rPr>
                <w:spacing w:val="40"/>
                <w:sz w:val="14"/>
              </w:rPr>
              <w:t> </w:t>
            </w:r>
            <w:r>
              <w:rPr>
                <w:sz w:val="14"/>
              </w:rPr>
              <w:t>City</w:t>
            </w:r>
            <w:r>
              <w:rPr>
                <w:spacing w:val="-4"/>
                <w:sz w:val="14"/>
              </w:rPr>
              <w:t> </w:t>
            </w:r>
            <w:r>
              <w:rPr>
                <w:sz w:val="14"/>
              </w:rPr>
              <w:t>Council</w:t>
            </w:r>
            <w:r>
              <w:rPr>
                <w:spacing w:val="40"/>
                <w:sz w:val="14"/>
              </w:rPr>
              <w:t> </w:t>
            </w:r>
            <w:r>
              <w:rPr>
                <w:spacing w:val="-2"/>
                <w:sz w:val="14"/>
              </w:rPr>
              <w:t>Website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Mullum</w:t>
            </w:r>
            <w:r>
              <w:rPr>
                <w:b/>
                <w:spacing w:val="-8"/>
                <w:sz w:val="14"/>
              </w:rPr>
              <w:t> </w:t>
            </w:r>
            <w:r>
              <w:rPr>
                <w:b/>
                <w:spacing w:val="-2"/>
                <w:sz w:val="14"/>
              </w:rPr>
              <w:t>Reserve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966"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6"/>
              </w:rPr>
            </w:pPr>
          </w:p>
          <w:p>
            <w:pPr>
              <w:pStyle w:val="TableParagraph"/>
              <w:spacing w:before="1"/>
              <w:rPr>
                <w:sz w:val="19"/>
              </w:rPr>
            </w:pPr>
          </w:p>
          <w:p>
            <w:pPr>
              <w:pStyle w:val="TableParagraph"/>
              <w:ind w:left="107"/>
              <w:rPr>
                <w:sz w:val="14"/>
              </w:rPr>
            </w:pPr>
            <w:r>
              <w:rPr>
                <w:sz w:val="14"/>
              </w:rPr>
              <w:t>Seasonal</w:t>
            </w:r>
            <w:r>
              <w:rPr>
                <w:spacing w:val="-5"/>
                <w:sz w:val="14"/>
              </w:rPr>
              <w:t> </w:t>
            </w:r>
            <w:r>
              <w:rPr>
                <w:sz w:val="14"/>
              </w:rPr>
              <w:t>&amp;</w:t>
            </w:r>
            <w:r>
              <w:rPr>
                <w:spacing w:val="-3"/>
                <w:sz w:val="14"/>
              </w:rPr>
              <w:t> </w:t>
            </w:r>
            <w:r>
              <w:rPr>
                <w:sz w:val="14"/>
              </w:rPr>
              <w:t>casual</w:t>
            </w:r>
            <w:r>
              <w:rPr>
                <w:spacing w:val="-1"/>
                <w:sz w:val="14"/>
              </w:rPr>
              <w:t> </w:t>
            </w:r>
            <w:r>
              <w:rPr>
                <w:sz w:val="14"/>
              </w:rPr>
              <w:t>use</w:t>
            </w:r>
            <w:r>
              <w:rPr>
                <w:spacing w:val="-4"/>
                <w:sz w:val="14"/>
              </w:rPr>
              <w:t> </w:t>
            </w:r>
            <w:r>
              <w:rPr>
                <w:sz w:val="14"/>
              </w:rPr>
              <w:t>of</w:t>
            </w:r>
            <w:r>
              <w:rPr>
                <w:spacing w:val="-2"/>
                <w:sz w:val="14"/>
              </w:rPr>
              <w:t> </w:t>
            </w:r>
            <w:r>
              <w:rPr>
                <w:sz w:val="14"/>
              </w:rPr>
              <w:t>council</w:t>
            </w:r>
            <w:r>
              <w:rPr>
                <w:spacing w:val="-2"/>
                <w:sz w:val="14"/>
              </w:rPr>
              <w:t> facilities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
              <w:rPr>
                <w:sz w:val="22"/>
              </w:rPr>
            </w:pPr>
          </w:p>
          <w:p>
            <w:pPr>
              <w:pStyle w:val="TableParagraph"/>
              <w:spacing w:line="140" w:lineRule="exact" w:before="1"/>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
              <w:rPr>
                <w:sz w:val="22"/>
              </w:rPr>
            </w:pPr>
          </w:p>
          <w:p>
            <w:pPr>
              <w:pStyle w:val="TableParagraph"/>
              <w:spacing w:line="140" w:lineRule="exact" w:before="1"/>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ind w:left="120" w:right="97" w:firstLine="2"/>
              <w:jc w:val="center"/>
              <w:rPr>
                <w:sz w:val="14"/>
              </w:rPr>
            </w:pPr>
            <w:r>
              <w:rPr>
                <w:sz w:val="14"/>
              </w:rPr>
              <w:t>Refer</w:t>
            </w:r>
            <w:r>
              <w:rPr>
                <w:spacing w:val="-6"/>
                <w:sz w:val="14"/>
              </w:rPr>
              <w:t> </w:t>
            </w:r>
            <w:r>
              <w:rPr>
                <w:sz w:val="14"/>
              </w:rPr>
              <w:t>to</w:t>
            </w:r>
            <w:r>
              <w:rPr>
                <w:spacing w:val="40"/>
                <w:sz w:val="14"/>
              </w:rPr>
              <w:t> </w:t>
            </w:r>
            <w:r>
              <w:rPr>
                <w:sz w:val="14"/>
              </w:rPr>
              <w:t>policy on</w:t>
            </w:r>
            <w:r>
              <w:rPr>
                <w:spacing w:val="40"/>
                <w:sz w:val="14"/>
              </w:rPr>
              <w:t> </w:t>
            </w:r>
            <w:r>
              <w:rPr>
                <w:spacing w:val="-4"/>
                <w:sz w:val="14"/>
              </w:rPr>
              <w:t>the</w:t>
            </w:r>
            <w:r>
              <w:rPr>
                <w:spacing w:val="40"/>
                <w:sz w:val="14"/>
              </w:rPr>
              <w:t> </w:t>
            </w:r>
            <w:r>
              <w:rPr>
                <w:spacing w:val="-2"/>
                <w:sz w:val="14"/>
              </w:rPr>
              <w:t>Maroondah</w:t>
            </w:r>
            <w:r>
              <w:rPr>
                <w:spacing w:val="40"/>
                <w:sz w:val="14"/>
              </w:rPr>
              <w:t> </w:t>
            </w:r>
            <w:r>
              <w:rPr>
                <w:sz w:val="14"/>
              </w:rPr>
              <w:t>City</w:t>
            </w:r>
            <w:r>
              <w:rPr>
                <w:spacing w:val="-5"/>
                <w:sz w:val="14"/>
              </w:rPr>
              <w:t> </w:t>
            </w:r>
            <w:r>
              <w:rPr>
                <w:spacing w:val="-2"/>
                <w:sz w:val="14"/>
              </w:rPr>
              <w:t>Council</w:t>
            </w:r>
          </w:p>
          <w:p>
            <w:pPr>
              <w:pStyle w:val="TableParagraph"/>
              <w:spacing w:line="140" w:lineRule="exact" w:before="2"/>
              <w:ind w:left="105" w:right="84"/>
              <w:jc w:val="center"/>
              <w:rPr>
                <w:sz w:val="14"/>
              </w:rPr>
            </w:pPr>
            <w:r>
              <w:rPr>
                <w:spacing w:val="-2"/>
                <w:sz w:val="14"/>
              </w:rPr>
              <w:t>Website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ind w:left="157" w:right="137"/>
              <w:jc w:val="center"/>
              <w:rPr>
                <w:sz w:val="14"/>
              </w:rPr>
            </w:pPr>
            <w:r>
              <w:rPr>
                <w:sz w:val="14"/>
              </w:rPr>
              <w:t>Refer</w:t>
            </w:r>
            <w:r>
              <w:rPr>
                <w:spacing w:val="-10"/>
                <w:sz w:val="14"/>
              </w:rPr>
              <w:t> </w:t>
            </w:r>
            <w:r>
              <w:rPr>
                <w:sz w:val="14"/>
              </w:rPr>
              <w:t>to</w:t>
            </w:r>
            <w:r>
              <w:rPr>
                <w:spacing w:val="-10"/>
                <w:sz w:val="14"/>
              </w:rPr>
              <w:t> </w:t>
            </w:r>
            <w:r>
              <w:rPr>
                <w:sz w:val="14"/>
              </w:rPr>
              <w:t>policy</w:t>
            </w:r>
            <w:r>
              <w:rPr>
                <w:spacing w:val="40"/>
                <w:sz w:val="14"/>
              </w:rPr>
              <w:t> </w:t>
            </w:r>
            <w:r>
              <w:rPr>
                <w:sz w:val="14"/>
              </w:rPr>
              <w:t>on</w:t>
            </w:r>
            <w:r>
              <w:rPr>
                <w:spacing w:val="-6"/>
                <w:sz w:val="14"/>
              </w:rPr>
              <w:t> </w:t>
            </w:r>
            <w:r>
              <w:rPr>
                <w:sz w:val="14"/>
              </w:rPr>
              <w:t>the</w:t>
            </w:r>
            <w:r>
              <w:rPr>
                <w:spacing w:val="40"/>
                <w:sz w:val="14"/>
              </w:rPr>
              <w:t> </w:t>
            </w:r>
            <w:r>
              <w:rPr>
                <w:spacing w:val="-2"/>
                <w:sz w:val="14"/>
              </w:rPr>
              <w:t>Maroondah</w:t>
            </w:r>
            <w:r>
              <w:rPr>
                <w:spacing w:val="40"/>
                <w:sz w:val="14"/>
              </w:rPr>
              <w:t> </w:t>
            </w:r>
            <w:r>
              <w:rPr>
                <w:sz w:val="14"/>
              </w:rPr>
              <w:t>City</w:t>
            </w:r>
            <w:r>
              <w:rPr>
                <w:spacing w:val="-4"/>
                <w:sz w:val="14"/>
              </w:rPr>
              <w:t> </w:t>
            </w:r>
            <w:r>
              <w:rPr>
                <w:sz w:val="14"/>
              </w:rPr>
              <w:t>Council</w:t>
            </w:r>
          </w:p>
          <w:p>
            <w:pPr>
              <w:pStyle w:val="TableParagraph"/>
              <w:spacing w:line="140" w:lineRule="exact" w:before="2"/>
              <w:ind w:left="156" w:right="137"/>
              <w:jc w:val="center"/>
              <w:rPr>
                <w:sz w:val="14"/>
              </w:rPr>
            </w:pPr>
            <w:r>
              <w:rPr>
                <w:spacing w:val="-2"/>
                <w:sz w:val="14"/>
              </w:rPr>
              <w:t>Website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bl>
    <w:p>
      <w:pPr>
        <w:spacing w:after="0"/>
        <w:rPr>
          <w:rFonts w:ascii="Times New Roman"/>
          <w:sz w:val="12"/>
        </w:rPr>
        <w:sectPr>
          <w:type w:val="continuous"/>
          <w:pgSz w:w="11910" w:h="16840"/>
          <w:pgMar w:header="0" w:footer="378" w:top="680" w:bottom="804" w:left="520" w:right="520"/>
        </w:sectPr>
      </w:pPr>
    </w:p>
    <w:tbl>
      <w:tblPr>
        <w:tblW w:w="0" w:type="auto"/>
        <w:jc w:val="left"/>
        <w:tblInd w:w="13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70"/>
        <w:gridCol w:w="1028"/>
        <w:gridCol w:w="769"/>
        <w:gridCol w:w="973"/>
        <w:gridCol w:w="1199"/>
        <w:gridCol w:w="897"/>
      </w:tblGrid>
      <w:tr>
        <w:trPr>
          <w:trHeight w:val="232" w:hRule="atLeast"/>
        </w:trPr>
        <w:tc>
          <w:tcPr>
            <w:tcW w:w="10636" w:type="dxa"/>
            <w:gridSpan w:val="6"/>
            <w:tcBorders>
              <w:left w:val="single" w:sz="12" w:space="0" w:color="000000"/>
              <w:bottom w:val="single" w:sz="4" w:space="0" w:color="000000"/>
              <w:right w:val="single" w:sz="12" w:space="0" w:color="000000"/>
            </w:tcBorders>
            <w:shd w:val="clear" w:color="auto" w:fill="3399FF"/>
          </w:tcPr>
          <w:p>
            <w:pPr>
              <w:pStyle w:val="TableParagraph"/>
              <w:spacing w:before="32"/>
              <w:ind w:left="4308" w:right="4290"/>
              <w:jc w:val="center"/>
              <w:rPr>
                <w:b/>
                <w:sz w:val="14"/>
              </w:rPr>
            </w:pPr>
            <w:r>
              <w:rPr>
                <w:b/>
                <w:color w:val="FFFFFF"/>
                <w:sz w:val="14"/>
              </w:rPr>
              <w:t>FEES</w:t>
            </w:r>
            <w:r>
              <w:rPr>
                <w:b/>
                <w:color w:val="FFFFFF"/>
                <w:spacing w:val="-5"/>
                <w:sz w:val="14"/>
              </w:rPr>
              <w:t> </w:t>
            </w:r>
            <w:r>
              <w:rPr>
                <w:b/>
                <w:color w:val="FFFFFF"/>
                <w:sz w:val="14"/>
              </w:rPr>
              <w:t>AND</w:t>
            </w:r>
            <w:r>
              <w:rPr>
                <w:b/>
                <w:color w:val="FFFFFF"/>
                <w:spacing w:val="-4"/>
                <w:sz w:val="14"/>
              </w:rPr>
              <w:t> </w:t>
            </w:r>
            <w:r>
              <w:rPr>
                <w:b/>
                <w:color w:val="FFFFFF"/>
                <w:sz w:val="14"/>
              </w:rPr>
              <w:t>CHARGES</w:t>
            </w:r>
            <w:r>
              <w:rPr>
                <w:b/>
                <w:color w:val="FFFFFF"/>
                <w:spacing w:val="-1"/>
                <w:sz w:val="14"/>
              </w:rPr>
              <w:t> </w:t>
            </w:r>
            <w:r>
              <w:rPr>
                <w:b/>
                <w:color w:val="FFFFFF"/>
                <w:spacing w:val="-2"/>
                <w:sz w:val="14"/>
              </w:rPr>
              <w:t>2025/26</w:t>
            </w:r>
          </w:p>
        </w:tc>
      </w:tr>
      <w:tr>
        <w:trPr>
          <w:trHeight w:val="858" w:hRule="atLeast"/>
        </w:trPr>
        <w:tc>
          <w:tcPr>
            <w:tcW w:w="5770" w:type="dxa"/>
            <w:tcBorders>
              <w:top w:val="single" w:sz="4" w:space="0" w:color="000000"/>
              <w:left w:val="single" w:sz="12" w:space="0" w:color="000000"/>
              <w:bottom w:val="single" w:sz="4" w:space="0" w:color="000000"/>
              <w:right w:val="single" w:sz="4"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107"/>
              <w:rPr>
                <w:b/>
                <w:sz w:val="14"/>
              </w:rPr>
            </w:pPr>
            <w:r>
              <w:rPr>
                <w:b/>
                <w:color w:val="FFFFFF"/>
                <w:sz w:val="14"/>
              </w:rPr>
              <w:t>Account</w:t>
            </w:r>
            <w:r>
              <w:rPr>
                <w:b/>
                <w:color w:val="FFFFFF"/>
                <w:spacing w:val="-7"/>
                <w:sz w:val="14"/>
              </w:rPr>
              <w:t> </w:t>
            </w:r>
            <w:r>
              <w:rPr>
                <w:b/>
                <w:color w:val="FFFFFF"/>
                <w:spacing w:val="-2"/>
                <w:sz w:val="14"/>
              </w:rPr>
              <w:t>Description</w:t>
            </w:r>
          </w:p>
        </w:tc>
        <w:tc>
          <w:tcPr>
            <w:tcW w:w="1028"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26" w:right="101" w:firstLine="4"/>
              <w:jc w:val="center"/>
              <w:rPr>
                <w:b/>
                <w:sz w:val="14"/>
              </w:rPr>
            </w:pPr>
            <w:r>
              <w:rPr>
                <w:b/>
                <w:color w:val="FFFFFF"/>
                <w:sz w:val="14"/>
              </w:rPr>
              <w:t>Fee</w:t>
            </w:r>
            <w:r>
              <w:rPr>
                <w:b/>
                <w:color w:val="FFFFFF"/>
                <w:spacing w:val="-6"/>
                <w:sz w:val="14"/>
              </w:rPr>
              <w:t> </w:t>
            </w:r>
            <w:r>
              <w:rPr>
                <w:b/>
                <w:color w:val="FFFFFF"/>
                <w:sz w:val="14"/>
              </w:rPr>
              <w:t>Type</w:t>
            </w:r>
            <w:r>
              <w:rPr>
                <w:b/>
                <w:color w:val="FFFFFF"/>
                <w:spacing w:val="40"/>
                <w:sz w:val="14"/>
              </w:rPr>
              <w:t> </w:t>
            </w:r>
            <w:r>
              <w:rPr>
                <w:b/>
                <w:color w:val="FFFFFF"/>
                <w:spacing w:val="-2"/>
                <w:sz w:val="14"/>
              </w:rPr>
              <w:t>N=Non-</w:t>
            </w:r>
            <w:r>
              <w:rPr>
                <w:b/>
                <w:color w:val="FFFFFF"/>
                <w:spacing w:val="40"/>
                <w:sz w:val="14"/>
              </w:rPr>
              <w:t> </w:t>
            </w:r>
            <w:r>
              <w:rPr>
                <w:b/>
                <w:color w:val="FFFFFF"/>
                <w:spacing w:val="-2"/>
                <w:sz w:val="14"/>
              </w:rPr>
              <w:t>Statutory</w:t>
            </w:r>
            <w:r>
              <w:rPr>
                <w:b/>
                <w:color w:val="FFFFFF"/>
                <w:spacing w:val="40"/>
                <w:sz w:val="14"/>
              </w:rPr>
              <w:t> </w:t>
            </w:r>
            <w:r>
              <w:rPr>
                <w:b/>
                <w:color w:val="FFFFFF"/>
                <w:spacing w:val="-2"/>
                <w:sz w:val="14"/>
              </w:rPr>
              <w:t>S=Statutory</w:t>
            </w:r>
          </w:p>
        </w:tc>
        <w:tc>
          <w:tcPr>
            <w:tcW w:w="76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4"/>
              <w:rPr>
                <w:sz w:val="23"/>
              </w:rPr>
            </w:pPr>
          </w:p>
          <w:p>
            <w:pPr>
              <w:pStyle w:val="TableParagraph"/>
              <w:spacing w:before="1"/>
              <w:ind w:left="248"/>
              <w:rPr>
                <w:b/>
                <w:sz w:val="14"/>
              </w:rPr>
            </w:pPr>
            <w:r>
              <w:rPr>
                <w:b/>
                <w:color w:val="FFFFFF"/>
                <w:spacing w:val="-5"/>
                <w:sz w:val="14"/>
              </w:rPr>
              <w:t>GST</w:t>
            </w:r>
          </w:p>
          <w:p>
            <w:pPr>
              <w:pStyle w:val="TableParagraph"/>
              <w:ind w:left="154"/>
              <w:rPr>
                <w:b/>
                <w:sz w:val="14"/>
              </w:rPr>
            </w:pPr>
            <w:r>
              <w:rPr>
                <w:b/>
                <w:color w:val="FFFFFF"/>
                <w:spacing w:val="-2"/>
                <w:sz w:val="14"/>
              </w:rPr>
              <w:t>Yes/No</w:t>
            </w:r>
          </w:p>
        </w:tc>
        <w:tc>
          <w:tcPr>
            <w:tcW w:w="973"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05" w:right="84"/>
              <w:jc w:val="center"/>
              <w:rPr>
                <w:b/>
                <w:sz w:val="14"/>
              </w:rPr>
            </w:pPr>
            <w:r>
              <w:rPr>
                <w:b/>
                <w:color w:val="FFFFFF"/>
                <w:spacing w:val="-2"/>
                <w:sz w:val="14"/>
              </w:rPr>
              <w:t>2024/25</w:t>
            </w:r>
          </w:p>
          <w:p>
            <w:pPr>
              <w:pStyle w:val="TableParagraph"/>
              <w:ind w:left="189" w:right="168" w:firstLine="1"/>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40"/>
                <w:sz w:val="14"/>
              </w:rPr>
              <w:t> </w:t>
            </w:r>
            <w:r>
              <w:rPr>
                <w:b/>
                <w:color w:val="FFFFFF"/>
                <w:sz w:val="14"/>
              </w:rPr>
              <w:t>Incl.</w:t>
            </w:r>
            <w:r>
              <w:rPr>
                <w:b/>
                <w:color w:val="FFFFFF"/>
                <w:spacing w:val="-5"/>
                <w:sz w:val="14"/>
              </w:rPr>
              <w:t> </w:t>
            </w:r>
            <w:r>
              <w:rPr>
                <w:b/>
                <w:color w:val="FFFFFF"/>
                <w:spacing w:val="-5"/>
                <w:sz w:val="14"/>
              </w:rPr>
              <w:t>GST</w:t>
            </w:r>
          </w:p>
        </w:tc>
        <w:tc>
          <w:tcPr>
            <w:tcW w:w="119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56" w:right="137"/>
              <w:jc w:val="center"/>
              <w:rPr>
                <w:b/>
                <w:sz w:val="14"/>
              </w:rPr>
            </w:pPr>
            <w:r>
              <w:rPr>
                <w:b/>
                <w:color w:val="FFFFFF"/>
                <w:spacing w:val="-2"/>
                <w:sz w:val="14"/>
              </w:rPr>
              <w:t>2025/26</w:t>
            </w:r>
          </w:p>
          <w:p>
            <w:pPr>
              <w:pStyle w:val="TableParagraph"/>
              <w:ind w:left="164" w:right="146" w:firstLine="2"/>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8"/>
                <w:sz w:val="14"/>
              </w:rPr>
              <w:t> </w:t>
            </w:r>
            <w:r>
              <w:rPr>
                <w:b/>
                <w:color w:val="FFFFFF"/>
                <w:spacing w:val="-2"/>
                <w:sz w:val="14"/>
              </w:rPr>
              <w:t>Incl.</w:t>
            </w:r>
          </w:p>
          <w:p>
            <w:pPr>
              <w:pStyle w:val="TableParagraph"/>
              <w:spacing w:line="161" w:lineRule="exact"/>
              <w:ind w:left="153" w:right="137"/>
              <w:jc w:val="center"/>
              <w:rPr>
                <w:b/>
                <w:sz w:val="14"/>
              </w:rPr>
            </w:pPr>
            <w:r>
              <w:rPr>
                <w:b/>
                <w:color w:val="FFFFFF"/>
                <w:spacing w:val="-5"/>
                <w:sz w:val="14"/>
              </w:rPr>
              <w:t>GST</w:t>
            </w:r>
          </w:p>
        </w:tc>
        <w:tc>
          <w:tcPr>
            <w:tcW w:w="897" w:type="dxa"/>
            <w:tcBorders>
              <w:top w:val="single" w:sz="4" w:space="0" w:color="000000"/>
              <w:left w:val="single" w:sz="4" w:space="0" w:color="000000"/>
              <w:bottom w:val="single" w:sz="4" w:space="0" w:color="000000"/>
              <w:right w:val="single" w:sz="12"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102"/>
              <w:rPr>
                <w:b/>
                <w:sz w:val="14"/>
              </w:rPr>
            </w:pPr>
            <w:r>
              <w:rPr>
                <w:b/>
                <w:color w:val="FFFFFF"/>
                <w:sz w:val="14"/>
              </w:rPr>
              <w:t>%</w:t>
            </w:r>
            <w:r>
              <w:rPr>
                <w:b/>
                <w:color w:val="FFFFFF"/>
                <w:spacing w:val="-4"/>
                <w:sz w:val="14"/>
              </w:rPr>
              <w:t> </w:t>
            </w:r>
            <w:r>
              <w:rPr>
                <w:b/>
                <w:color w:val="FFFFFF"/>
                <w:spacing w:val="-2"/>
                <w:sz w:val="14"/>
              </w:rPr>
              <w:t>Change</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b/>
                <w:sz w:val="14"/>
              </w:rPr>
            </w:pPr>
            <w:r>
              <w:rPr>
                <w:b/>
                <w:sz w:val="14"/>
              </w:rPr>
              <w:t>Belmont</w:t>
            </w:r>
            <w:r>
              <w:rPr>
                <w:b/>
                <w:spacing w:val="-6"/>
                <w:sz w:val="14"/>
              </w:rPr>
              <w:t> </w:t>
            </w:r>
            <w:r>
              <w:rPr>
                <w:b/>
                <w:spacing w:val="-2"/>
                <w:sz w:val="14"/>
              </w:rPr>
              <w:t>Reserve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964"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6"/>
              </w:rPr>
            </w:pPr>
          </w:p>
          <w:p>
            <w:pPr>
              <w:pStyle w:val="TableParagraph"/>
              <w:spacing w:before="10"/>
              <w:rPr>
                <w:sz w:val="18"/>
              </w:rPr>
            </w:pPr>
          </w:p>
          <w:p>
            <w:pPr>
              <w:pStyle w:val="TableParagraph"/>
              <w:ind w:left="107"/>
              <w:rPr>
                <w:sz w:val="14"/>
              </w:rPr>
            </w:pPr>
            <w:r>
              <w:rPr>
                <w:sz w:val="14"/>
              </w:rPr>
              <w:t>Seasonal</w:t>
            </w:r>
            <w:r>
              <w:rPr>
                <w:spacing w:val="-5"/>
                <w:sz w:val="14"/>
              </w:rPr>
              <w:t> </w:t>
            </w:r>
            <w:r>
              <w:rPr>
                <w:sz w:val="14"/>
              </w:rPr>
              <w:t>&amp;</w:t>
            </w:r>
            <w:r>
              <w:rPr>
                <w:spacing w:val="-3"/>
                <w:sz w:val="14"/>
              </w:rPr>
              <w:t> </w:t>
            </w:r>
            <w:r>
              <w:rPr>
                <w:sz w:val="14"/>
              </w:rPr>
              <w:t>casual</w:t>
            </w:r>
            <w:r>
              <w:rPr>
                <w:spacing w:val="-1"/>
                <w:sz w:val="14"/>
              </w:rPr>
              <w:t> </w:t>
            </w:r>
            <w:r>
              <w:rPr>
                <w:sz w:val="14"/>
              </w:rPr>
              <w:t>use</w:t>
            </w:r>
            <w:r>
              <w:rPr>
                <w:spacing w:val="-4"/>
                <w:sz w:val="14"/>
              </w:rPr>
              <w:t> </w:t>
            </w:r>
            <w:r>
              <w:rPr>
                <w:sz w:val="14"/>
              </w:rPr>
              <w:t>of</w:t>
            </w:r>
            <w:r>
              <w:rPr>
                <w:spacing w:val="-2"/>
                <w:sz w:val="14"/>
              </w:rPr>
              <w:t> </w:t>
            </w:r>
            <w:r>
              <w:rPr>
                <w:sz w:val="14"/>
              </w:rPr>
              <w:t>council</w:t>
            </w:r>
            <w:r>
              <w:rPr>
                <w:spacing w:val="-2"/>
                <w:sz w:val="14"/>
              </w:rPr>
              <w:t> facilities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1"/>
              <w:rPr>
                <w:sz w:val="21"/>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1"/>
              <w:rPr>
                <w:sz w:val="21"/>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120" w:right="97" w:firstLine="2"/>
              <w:jc w:val="center"/>
              <w:rPr>
                <w:sz w:val="14"/>
              </w:rPr>
            </w:pPr>
            <w:r>
              <w:rPr>
                <w:sz w:val="14"/>
              </w:rPr>
              <w:t>Refer</w:t>
            </w:r>
            <w:r>
              <w:rPr>
                <w:spacing w:val="-6"/>
                <w:sz w:val="14"/>
              </w:rPr>
              <w:t> </w:t>
            </w:r>
            <w:r>
              <w:rPr>
                <w:sz w:val="14"/>
              </w:rPr>
              <w:t>to</w:t>
            </w:r>
            <w:r>
              <w:rPr>
                <w:spacing w:val="40"/>
                <w:sz w:val="14"/>
              </w:rPr>
              <w:t> </w:t>
            </w:r>
            <w:r>
              <w:rPr>
                <w:sz w:val="14"/>
              </w:rPr>
              <w:t>policy on</w:t>
            </w:r>
            <w:r>
              <w:rPr>
                <w:spacing w:val="40"/>
                <w:sz w:val="14"/>
              </w:rPr>
              <w:t> </w:t>
            </w:r>
            <w:r>
              <w:rPr>
                <w:spacing w:val="-4"/>
                <w:sz w:val="14"/>
              </w:rPr>
              <w:t>the</w:t>
            </w:r>
            <w:r>
              <w:rPr>
                <w:spacing w:val="40"/>
                <w:sz w:val="14"/>
              </w:rPr>
              <w:t> </w:t>
            </w:r>
            <w:r>
              <w:rPr>
                <w:spacing w:val="-2"/>
                <w:sz w:val="14"/>
              </w:rPr>
              <w:t>Maroondah</w:t>
            </w:r>
            <w:r>
              <w:rPr>
                <w:spacing w:val="40"/>
                <w:sz w:val="14"/>
              </w:rPr>
              <w:t> </w:t>
            </w:r>
            <w:r>
              <w:rPr>
                <w:spacing w:val="-2"/>
                <w:sz w:val="14"/>
              </w:rPr>
              <w:t>City</w:t>
            </w:r>
            <w:r>
              <w:rPr>
                <w:spacing w:val="-8"/>
                <w:sz w:val="14"/>
              </w:rPr>
              <w:t> </w:t>
            </w:r>
            <w:r>
              <w:rPr>
                <w:spacing w:val="-2"/>
                <w:sz w:val="14"/>
              </w:rPr>
              <w:t>Council</w:t>
            </w:r>
            <w:r>
              <w:rPr>
                <w:spacing w:val="40"/>
                <w:sz w:val="14"/>
              </w:rPr>
              <w:t> </w:t>
            </w:r>
            <w:r>
              <w:rPr>
                <w:spacing w:val="-2"/>
                <w:sz w:val="14"/>
              </w:rPr>
              <w:t>Website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41"/>
              <w:ind w:left="157" w:right="137"/>
              <w:jc w:val="center"/>
              <w:rPr>
                <w:sz w:val="14"/>
              </w:rPr>
            </w:pPr>
            <w:r>
              <w:rPr>
                <w:sz w:val="14"/>
              </w:rPr>
              <w:t>Refer</w:t>
            </w:r>
            <w:r>
              <w:rPr>
                <w:spacing w:val="-10"/>
                <w:sz w:val="14"/>
              </w:rPr>
              <w:t> </w:t>
            </w:r>
            <w:r>
              <w:rPr>
                <w:sz w:val="14"/>
              </w:rPr>
              <w:t>to</w:t>
            </w:r>
            <w:r>
              <w:rPr>
                <w:spacing w:val="-10"/>
                <w:sz w:val="14"/>
              </w:rPr>
              <w:t> </w:t>
            </w:r>
            <w:r>
              <w:rPr>
                <w:sz w:val="14"/>
              </w:rPr>
              <w:t>policy</w:t>
            </w:r>
            <w:r>
              <w:rPr>
                <w:spacing w:val="40"/>
                <w:sz w:val="14"/>
              </w:rPr>
              <w:t> </w:t>
            </w:r>
            <w:r>
              <w:rPr>
                <w:sz w:val="14"/>
              </w:rPr>
              <w:t>on</w:t>
            </w:r>
            <w:r>
              <w:rPr>
                <w:spacing w:val="-6"/>
                <w:sz w:val="14"/>
              </w:rPr>
              <w:t> </w:t>
            </w:r>
            <w:r>
              <w:rPr>
                <w:sz w:val="14"/>
              </w:rPr>
              <w:t>the</w:t>
            </w:r>
            <w:r>
              <w:rPr>
                <w:spacing w:val="40"/>
                <w:sz w:val="14"/>
              </w:rPr>
              <w:t> </w:t>
            </w:r>
            <w:r>
              <w:rPr>
                <w:spacing w:val="-2"/>
                <w:sz w:val="14"/>
              </w:rPr>
              <w:t>Maroondah</w:t>
            </w:r>
            <w:r>
              <w:rPr>
                <w:spacing w:val="40"/>
                <w:sz w:val="14"/>
              </w:rPr>
              <w:t> </w:t>
            </w:r>
            <w:r>
              <w:rPr>
                <w:sz w:val="14"/>
              </w:rPr>
              <w:t>City</w:t>
            </w:r>
            <w:r>
              <w:rPr>
                <w:spacing w:val="-4"/>
                <w:sz w:val="14"/>
              </w:rPr>
              <w:t> </w:t>
            </w:r>
            <w:r>
              <w:rPr>
                <w:sz w:val="14"/>
              </w:rPr>
              <w:t>Council</w:t>
            </w:r>
            <w:r>
              <w:rPr>
                <w:spacing w:val="40"/>
                <w:sz w:val="14"/>
              </w:rPr>
              <w:t> </w:t>
            </w:r>
            <w:r>
              <w:rPr>
                <w:spacing w:val="-2"/>
                <w:sz w:val="14"/>
              </w:rPr>
              <w:t>Website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7"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8"/>
              <w:ind w:left="107"/>
              <w:rPr>
                <w:b/>
                <w:sz w:val="14"/>
              </w:rPr>
            </w:pPr>
            <w:r>
              <w:rPr>
                <w:b/>
                <w:sz w:val="14"/>
              </w:rPr>
              <w:t>Arrabri</w:t>
            </w:r>
            <w:r>
              <w:rPr>
                <w:b/>
                <w:spacing w:val="-6"/>
                <w:sz w:val="14"/>
              </w:rPr>
              <w:t> </w:t>
            </w:r>
            <w:r>
              <w:rPr>
                <w:b/>
                <w:sz w:val="14"/>
              </w:rPr>
              <w:t>Oval</w:t>
            </w:r>
            <w:r>
              <w:rPr>
                <w:b/>
                <w:spacing w:val="-3"/>
                <w:sz w:val="14"/>
              </w:rPr>
              <w:t> </w:t>
            </w:r>
            <w:r>
              <w:rPr>
                <w:b/>
                <w:spacing w:val="-2"/>
                <w:sz w:val="14"/>
              </w:rPr>
              <w:t>Income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966"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6"/>
              </w:rPr>
            </w:pPr>
          </w:p>
          <w:p>
            <w:pPr>
              <w:pStyle w:val="TableParagraph"/>
              <w:spacing w:before="1"/>
              <w:rPr>
                <w:sz w:val="19"/>
              </w:rPr>
            </w:pPr>
          </w:p>
          <w:p>
            <w:pPr>
              <w:pStyle w:val="TableParagraph"/>
              <w:ind w:left="107"/>
              <w:rPr>
                <w:sz w:val="14"/>
              </w:rPr>
            </w:pPr>
            <w:r>
              <w:rPr>
                <w:sz w:val="14"/>
              </w:rPr>
              <w:t>Seasonal</w:t>
            </w:r>
            <w:r>
              <w:rPr>
                <w:spacing w:val="-5"/>
                <w:sz w:val="14"/>
              </w:rPr>
              <w:t> </w:t>
            </w:r>
            <w:r>
              <w:rPr>
                <w:sz w:val="14"/>
              </w:rPr>
              <w:t>&amp;</w:t>
            </w:r>
            <w:r>
              <w:rPr>
                <w:spacing w:val="-3"/>
                <w:sz w:val="14"/>
              </w:rPr>
              <w:t> </w:t>
            </w:r>
            <w:r>
              <w:rPr>
                <w:sz w:val="14"/>
              </w:rPr>
              <w:t>casual</w:t>
            </w:r>
            <w:r>
              <w:rPr>
                <w:spacing w:val="-1"/>
                <w:sz w:val="14"/>
              </w:rPr>
              <w:t> </w:t>
            </w:r>
            <w:r>
              <w:rPr>
                <w:sz w:val="14"/>
              </w:rPr>
              <w:t>use</w:t>
            </w:r>
            <w:r>
              <w:rPr>
                <w:spacing w:val="-4"/>
                <w:sz w:val="14"/>
              </w:rPr>
              <w:t> </w:t>
            </w:r>
            <w:r>
              <w:rPr>
                <w:sz w:val="14"/>
              </w:rPr>
              <w:t>of</w:t>
            </w:r>
            <w:r>
              <w:rPr>
                <w:spacing w:val="-2"/>
                <w:sz w:val="14"/>
              </w:rPr>
              <w:t> </w:t>
            </w:r>
            <w:r>
              <w:rPr>
                <w:sz w:val="14"/>
              </w:rPr>
              <w:t>council</w:t>
            </w:r>
            <w:r>
              <w:rPr>
                <w:spacing w:val="-2"/>
                <w:sz w:val="14"/>
              </w:rPr>
              <w:t> facilities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
              <w:rPr>
                <w:sz w:val="22"/>
              </w:rPr>
            </w:pPr>
          </w:p>
          <w:p>
            <w:pPr>
              <w:pStyle w:val="TableParagraph"/>
              <w:spacing w:line="140" w:lineRule="exact" w:before="1"/>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
              <w:rPr>
                <w:sz w:val="22"/>
              </w:rPr>
            </w:pPr>
          </w:p>
          <w:p>
            <w:pPr>
              <w:pStyle w:val="TableParagraph"/>
              <w:spacing w:line="140" w:lineRule="exact" w:before="1"/>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120" w:right="97" w:firstLine="2"/>
              <w:jc w:val="center"/>
              <w:rPr>
                <w:sz w:val="14"/>
              </w:rPr>
            </w:pPr>
            <w:r>
              <w:rPr>
                <w:sz w:val="14"/>
              </w:rPr>
              <w:t>Refer</w:t>
            </w:r>
            <w:r>
              <w:rPr>
                <w:spacing w:val="-6"/>
                <w:sz w:val="14"/>
              </w:rPr>
              <w:t> </w:t>
            </w:r>
            <w:r>
              <w:rPr>
                <w:sz w:val="14"/>
              </w:rPr>
              <w:t>to</w:t>
            </w:r>
            <w:r>
              <w:rPr>
                <w:spacing w:val="40"/>
                <w:sz w:val="14"/>
              </w:rPr>
              <w:t> </w:t>
            </w:r>
            <w:r>
              <w:rPr>
                <w:sz w:val="14"/>
              </w:rPr>
              <w:t>policy on</w:t>
            </w:r>
            <w:r>
              <w:rPr>
                <w:spacing w:val="40"/>
                <w:sz w:val="14"/>
              </w:rPr>
              <w:t> </w:t>
            </w:r>
            <w:r>
              <w:rPr>
                <w:spacing w:val="-4"/>
                <w:sz w:val="14"/>
              </w:rPr>
              <w:t>the</w:t>
            </w:r>
            <w:r>
              <w:rPr>
                <w:spacing w:val="40"/>
                <w:sz w:val="14"/>
              </w:rPr>
              <w:t> </w:t>
            </w:r>
            <w:r>
              <w:rPr>
                <w:spacing w:val="-2"/>
                <w:sz w:val="14"/>
              </w:rPr>
              <w:t>Maroondah</w:t>
            </w:r>
            <w:r>
              <w:rPr>
                <w:spacing w:val="40"/>
                <w:sz w:val="14"/>
              </w:rPr>
              <w:t> </w:t>
            </w:r>
            <w:r>
              <w:rPr>
                <w:spacing w:val="-2"/>
                <w:sz w:val="14"/>
              </w:rPr>
              <w:t>City</w:t>
            </w:r>
            <w:r>
              <w:rPr>
                <w:spacing w:val="-8"/>
                <w:sz w:val="14"/>
              </w:rPr>
              <w:t> </w:t>
            </w:r>
            <w:r>
              <w:rPr>
                <w:spacing w:val="-2"/>
                <w:sz w:val="14"/>
              </w:rPr>
              <w:t>Council</w:t>
            </w:r>
            <w:r>
              <w:rPr>
                <w:spacing w:val="40"/>
                <w:sz w:val="14"/>
              </w:rPr>
              <w:t> </w:t>
            </w:r>
            <w:r>
              <w:rPr>
                <w:spacing w:val="-2"/>
                <w:sz w:val="14"/>
              </w:rPr>
              <w:t>Website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43"/>
              <w:ind w:left="157" w:right="137"/>
              <w:jc w:val="center"/>
              <w:rPr>
                <w:sz w:val="14"/>
              </w:rPr>
            </w:pPr>
            <w:r>
              <w:rPr>
                <w:sz w:val="14"/>
              </w:rPr>
              <w:t>Refer</w:t>
            </w:r>
            <w:r>
              <w:rPr>
                <w:spacing w:val="-10"/>
                <w:sz w:val="14"/>
              </w:rPr>
              <w:t> </w:t>
            </w:r>
            <w:r>
              <w:rPr>
                <w:sz w:val="14"/>
              </w:rPr>
              <w:t>to</w:t>
            </w:r>
            <w:r>
              <w:rPr>
                <w:spacing w:val="-10"/>
                <w:sz w:val="14"/>
              </w:rPr>
              <w:t> </w:t>
            </w:r>
            <w:r>
              <w:rPr>
                <w:sz w:val="14"/>
              </w:rPr>
              <w:t>policy</w:t>
            </w:r>
            <w:r>
              <w:rPr>
                <w:spacing w:val="40"/>
                <w:sz w:val="14"/>
              </w:rPr>
              <w:t> </w:t>
            </w:r>
            <w:r>
              <w:rPr>
                <w:sz w:val="14"/>
              </w:rPr>
              <w:t>on</w:t>
            </w:r>
            <w:r>
              <w:rPr>
                <w:spacing w:val="-6"/>
                <w:sz w:val="14"/>
              </w:rPr>
              <w:t> </w:t>
            </w:r>
            <w:r>
              <w:rPr>
                <w:sz w:val="14"/>
              </w:rPr>
              <w:t>the</w:t>
            </w:r>
            <w:r>
              <w:rPr>
                <w:spacing w:val="40"/>
                <w:sz w:val="14"/>
              </w:rPr>
              <w:t> </w:t>
            </w:r>
            <w:r>
              <w:rPr>
                <w:spacing w:val="-2"/>
                <w:sz w:val="14"/>
              </w:rPr>
              <w:t>Maroondah</w:t>
            </w:r>
            <w:r>
              <w:rPr>
                <w:spacing w:val="40"/>
                <w:sz w:val="14"/>
              </w:rPr>
              <w:t> </w:t>
            </w:r>
            <w:r>
              <w:rPr>
                <w:sz w:val="14"/>
              </w:rPr>
              <w:t>City</w:t>
            </w:r>
            <w:r>
              <w:rPr>
                <w:spacing w:val="-4"/>
                <w:sz w:val="14"/>
              </w:rPr>
              <w:t> </w:t>
            </w:r>
            <w:r>
              <w:rPr>
                <w:sz w:val="14"/>
              </w:rPr>
              <w:t>Council</w:t>
            </w:r>
            <w:r>
              <w:rPr>
                <w:spacing w:val="40"/>
                <w:sz w:val="14"/>
              </w:rPr>
              <w:t> </w:t>
            </w:r>
            <w:r>
              <w:rPr>
                <w:spacing w:val="-2"/>
                <w:sz w:val="14"/>
              </w:rPr>
              <w:t>Website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Cheong</w:t>
            </w:r>
            <w:r>
              <w:rPr>
                <w:b/>
                <w:spacing w:val="-5"/>
                <w:sz w:val="14"/>
              </w:rPr>
              <w:t> </w:t>
            </w:r>
            <w:r>
              <w:rPr>
                <w:b/>
                <w:sz w:val="14"/>
              </w:rPr>
              <w:t>Park</w:t>
            </w:r>
            <w:r>
              <w:rPr>
                <w:b/>
                <w:spacing w:val="-4"/>
                <w:sz w:val="14"/>
              </w:rPr>
              <w:t> </w:t>
            </w:r>
            <w:r>
              <w:rPr>
                <w:b/>
                <w:spacing w:val="-2"/>
                <w:sz w:val="14"/>
              </w:rPr>
              <w:t>Income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966"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6"/>
              </w:rPr>
            </w:pPr>
          </w:p>
          <w:p>
            <w:pPr>
              <w:pStyle w:val="TableParagraph"/>
              <w:spacing w:before="1"/>
              <w:rPr>
                <w:sz w:val="19"/>
              </w:rPr>
            </w:pPr>
          </w:p>
          <w:p>
            <w:pPr>
              <w:pStyle w:val="TableParagraph"/>
              <w:ind w:left="107"/>
              <w:rPr>
                <w:sz w:val="14"/>
              </w:rPr>
            </w:pPr>
            <w:r>
              <w:rPr>
                <w:sz w:val="14"/>
              </w:rPr>
              <w:t>Seasonal</w:t>
            </w:r>
            <w:r>
              <w:rPr>
                <w:spacing w:val="-5"/>
                <w:sz w:val="14"/>
              </w:rPr>
              <w:t> </w:t>
            </w:r>
            <w:r>
              <w:rPr>
                <w:sz w:val="14"/>
              </w:rPr>
              <w:t>&amp;</w:t>
            </w:r>
            <w:r>
              <w:rPr>
                <w:spacing w:val="-3"/>
                <w:sz w:val="14"/>
              </w:rPr>
              <w:t> </w:t>
            </w:r>
            <w:r>
              <w:rPr>
                <w:sz w:val="14"/>
              </w:rPr>
              <w:t>casual</w:t>
            </w:r>
            <w:r>
              <w:rPr>
                <w:spacing w:val="-1"/>
                <w:sz w:val="14"/>
              </w:rPr>
              <w:t> </w:t>
            </w:r>
            <w:r>
              <w:rPr>
                <w:sz w:val="14"/>
              </w:rPr>
              <w:t>use</w:t>
            </w:r>
            <w:r>
              <w:rPr>
                <w:spacing w:val="-4"/>
                <w:sz w:val="14"/>
              </w:rPr>
              <w:t> </w:t>
            </w:r>
            <w:r>
              <w:rPr>
                <w:sz w:val="14"/>
              </w:rPr>
              <w:t>of</w:t>
            </w:r>
            <w:r>
              <w:rPr>
                <w:spacing w:val="-2"/>
                <w:sz w:val="14"/>
              </w:rPr>
              <w:t> </w:t>
            </w:r>
            <w:r>
              <w:rPr>
                <w:sz w:val="14"/>
              </w:rPr>
              <w:t>council</w:t>
            </w:r>
            <w:r>
              <w:rPr>
                <w:spacing w:val="-2"/>
                <w:sz w:val="14"/>
              </w:rPr>
              <w:t> facilities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
              <w:rPr>
                <w:sz w:val="22"/>
              </w:rPr>
            </w:pPr>
          </w:p>
          <w:p>
            <w:pPr>
              <w:pStyle w:val="TableParagraph"/>
              <w:spacing w:line="140" w:lineRule="exact" w:before="1"/>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
              <w:rPr>
                <w:sz w:val="22"/>
              </w:rPr>
            </w:pPr>
          </w:p>
          <w:p>
            <w:pPr>
              <w:pStyle w:val="TableParagraph"/>
              <w:spacing w:line="140" w:lineRule="exact" w:before="1"/>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ind w:left="120" w:right="97" w:firstLine="2"/>
              <w:jc w:val="center"/>
              <w:rPr>
                <w:sz w:val="14"/>
              </w:rPr>
            </w:pPr>
            <w:r>
              <w:rPr>
                <w:sz w:val="14"/>
              </w:rPr>
              <w:t>Refer</w:t>
            </w:r>
            <w:r>
              <w:rPr>
                <w:spacing w:val="-6"/>
                <w:sz w:val="14"/>
              </w:rPr>
              <w:t> </w:t>
            </w:r>
            <w:r>
              <w:rPr>
                <w:sz w:val="14"/>
              </w:rPr>
              <w:t>to</w:t>
            </w:r>
            <w:r>
              <w:rPr>
                <w:spacing w:val="40"/>
                <w:sz w:val="14"/>
              </w:rPr>
              <w:t> </w:t>
            </w:r>
            <w:r>
              <w:rPr>
                <w:sz w:val="14"/>
              </w:rPr>
              <w:t>policy on</w:t>
            </w:r>
            <w:r>
              <w:rPr>
                <w:spacing w:val="40"/>
                <w:sz w:val="14"/>
              </w:rPr>
              <w:t> </w:t>
            </w:r>
            <w:r>
              <w:rPr>
                <w:spacing w:val="-4"/>
                <w:sz w:val="14"/>
              </w:rPr>
              <w:t>the</w:t>
            </w:r>
            <w:r>
              <w:rPr>
                <w:spacing w:val="40"/>
                <w:sz w:val="14"/>
              </w:rPr>
              <w:t> </w:t>
            </w:r>
            <w:r>
              <w:rPr>
                <w:spacing w:val="-2"/>
                <w:sz w:val="14"/>
              </w:rPr>
              <w:t>Maroondah</w:t>
            </w:r>
          </w:p>
          <w:p>
            <w:pPr>
              <w:pStyle w:val="TableParagraph"/>
              <w:spacing w:line="160" w:lineRule="atLeast"/>
              <w:ind w:left="105" w:right="82"/>
              <w:jc w:val="center"/>
              <w:rPr>
                <w:sz w:val="14"/>
              </w:rPr>
            </w:pPr>
            <w:r>
              <w:rPr>
                <w:spacing w:val="-2"/>
                <w:sz w:val="14"/>
              </w:rPr>
              <w:t>City</w:t>
            </w:r>
            <w:r>
              <w:rPr>
                <w:spacing w:val="-8"/>
                <w:sz w:val="14"/>
              </w:rPr>
              <w:t> </w:t>
            </w:r>
            <w:r>
              <w:rPr>
                <w:spacing w:val="-2"/>
                <w:sz w:val="14"/>
              </w:rPr>
              <w:t>Council</w:t>
            </w:r>
            <w:r>
              <w:rPr>
                <w:spacing w:val="40"/>
                <w:sz w:val="14"/>
              </w:rPr>
              <w:t> </w:t>
            </w:r>
            <w:r>
              <w:rPr>
                <w:spacing w:val="-2"/>
                <w:sz w:val="14"/>
              </w:rPr>
              <w:t>Website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ind w:left="157" w:right="137"/>
              <w:jc w:val="center"/>
              <w:rPr>
                <w:sz w:val="14"/>
              </w:rPr>
            </w:pPr>
            <w:r>
              <w:rPr>
                <w:sz w:val="14"/>
              </w:rPr>
              <w:t>Refer</w:t>
            </w:r>
            <w:r>
              <w:rPr>
                <w:spacing w:val="-10"/>
                <w:sz w:val="14"/>
              </w:rPr>
              <w:t> </w:t>
            </w:r>
            <w:r>
              <w:rPr>
                <w:sz w:val="14"/>
              </w:rPr>
              <w:t>to</w:t>
            </w:r>
            <w:r>
              <w:rPr>
                <w:spacing w:val="-10"/>
                <w:sz w:val="14"/>
              </w:rPr>
              <w:t> </w:t>
            </w:r>
            <w:r>
              <w:rPr>
                <w:sz w:val="14"/>
              </w:rPr>
              <w:t>policy</w:t>
            </w:r>
            <w:r>
              <w:rPr>
                <w:spacing w:val="40"/>
                <w:sz w:val="14"/>
              </w:rPr>
              <w:t> </w:t>
            </w:r>
            <w:r>
              <w:rPr>
                <w:sz w:val="14"/>
              </w:rPr>
              <w:t>on</w:t>
            </w:r>
            <w:r>
              <w:rPr>
                <w:spacing w:val="-6"/>
                <w:sz w:val="14"/>
              </w:rPr>
              <w:t> </w:t>
            </w:r>
            <w:r>
              <w:rPr>
                <w:sz w:val="14"/>
              </w:rPr>
              <w:t>the</w:t>
            </w:r>
            <w:r>
              <w:rPr>
                <w:spacing w:val="40"/>
                <w:sz w:val="14"/>
              </w:rPr>
              <w:t> </w:t>
            </w:r>
            <w:r>
              <w:rPr>
                <w:spacing w:val="-2"/>
                <w:sz w:val="14"/>
              </w:rPr>
              <w:t>Maroondah</w:t>
            </w:r>
            <w:r>
              <w:rPr>
                <w:spacing w:val="40"/>
                <w:sz w:val="14"/>
              </w:rPr>
              <w:t> </w:t>
            </w:r>
            <w:r>
              <w:rPr>
                <w:sz w:val="14"/>
              </w:rPr>
              <w:t>City</w:t>
            </w:r>
            <w:r>
              <w:rPr>
                <w:spacing w:val="-4"/>
                <w:sz w:val="14"/>
              </w:rPr>
              <w:t> </w:t>
            </w:r>
            <w:r>
              <w:rPr>
                <w:sz w:val="14"/>
              </w:rPr>
              <w:t>Council</w:t>
            </w:r>
          </w:p>
          <w:p>
            <w:pPr>
              <w:pStyle w:val="TableParagraph"/>
              <w:spacing w:line="140" w:lineRule="exact" w:before="2"/>
              <w:ind w:left="156" w:right="137"/>
              <w:jc w:val="center"/>
              <w:rPr>
                <w:sz w:val="14"/>
              </w:rPr>
            </w:pPr>
            <w:r>
              <w:rPr>
                <w:spacing w:val="-2"/>
                <w:sz w:val="14"/>
              </w:rPr>
              <w:t>Website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Eastfield</w:t>
            </w:r>
            <w:r>
              <w:rPr>
                <w:b/>
                <w:spacing w:val="-6"/>
                <w:sz w:val="14"/>
              </w:rPr>
              <w:t> </w:t>
            </w:r>
            <w:r>
              <w:rPr>
                <w:b/>
                <w:sz w:val="14"/>
              </w:rPr>
              <w:t>Park</w:t>
            </w:r>
            <w:r>
              <w:rPr>
                <w:b/>
                <w:spacing w:val="-6"/>
                <w:sz w:val="14"/>
              </w:rPr>
              <w:t> </w:t>
            </w:r>
            <w:r>
              <w:rPr>
                <w:b/>
                <w:spacing w:val="-2"/>
                <w:sz w:val="14"/>
              </w:rPr>
              <w:t>Income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966"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6"/>
              </w:rPr>
            </w:pPr>
          </w:p>
          <w:p>
            <w:pPr>
              <w:pStyle w:val="TableParagraph"/>
              <w:spacing w:before="1"/>
              <w:rPr>
                <w:sz w:val="19"/>
              </w:rPr>
            </w:pPr>
          </w:p>
          <w:p>
            <w:pPr>
              <w:pStyle w:val="TableParagraph"/>
              <w:ind w:left="107"/>
              <w:rPr>
                <w:sz w:val="14"/>
              </w:rPr>
            </w:pPr>
            <w:r>
              <w:rPr>
                <w:sz w:val="14"/>
              </w:rPr>
              <w:t>Seasonal</w:t>
            </w:r>
            <w:r>
              <w:rPr>
                <w:spacing w:val="-5"/>
                <w:sz w:val="14"/>
              </w:rPr>
              <w:t> </w:t>
            </w:r>
            <w:r>
              <w:rPr>
                <w:sz w:val="14"/>
              </w:rPr>
              <w:t>&amp;</w:t>
            </w:r>
            <w:r>
              <w:rPr>
                <w:spacing w:val="-3"/>
                <w:sz w:val="14"/>
              </w:rPr>
              <w:t> </w:t>
            </w:r>
            <w:r>
              <w:rPr>
                <w:sz w:val="14"/>
              </w:rPr>
              <w:t>casual</w:t>
            </w:r>
            <w:r>
              <w:rPr>
                <w:spacing w:val="-1"/>
                <w:sz w:val="14"/>
              </w:rPr>
              <w:t> </w:t>
            </w:r>
            <w:r>
              <w:rPr>
                <w:sz w:val="14"/>
              </w:rPr>
              <w:t>use</w:t>
            </w:r>
            <w:r>
              <w:rPr>
                <w:spacing w:val="-4"/>
                <w:sz w:val="14"/>
              </w:rPr>
              <w:t> </w:t>
            </w:r>
            <w:r>
              <w:rPr>
                <w:sz w:val="14"/>
              </w:rPr>
              <w:t>of</w:t>
            </w:r>
            <w:r>
              <w:rPr>
                <w:spacing w:val="-2"/>
                <w:sz w:val="14"/>
              </w:rPr>
              <w:t> </w:t>
            </w:r>
            <w:r>
              <w:rPr>
                <w:sz w:val="14"/>
              </w:rPr>
              <w:t>council</w:t>
            </w:r>
            <w:r>
              <w:rPr>
                <w:spacing w:val="-2"/>
                <w:sz w:val="14"/>
              </w:rPr>
              <w:t> facilities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
              <w:rPr>
                <w:sz w:val="22"/>
              </w:rPr>
            </w:pPr>
          </w:p>
          <w:p>
            <w:pPr>
              <w:pStyle w:val="TableParagraph"/>
              <w:spacing w:line="140" w:lineRule="exact" w:before="1"/>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
              <w:rPr>
                <w:sz w:val="22"/>
              </w:rPr>
            </w:pPr>
          </w:p>
          <w:p>
            <w:pPr>
              <w:pStyle w:val="TableParagraph"/>
              <w:spacing w:line="140" w:lineRule="exact" w:before="1"/>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ind w:left="120" w:right="97" w:firstLine="2"/>
              <w:jc w:val="center"/>
              <w:rPr>
                <w:sz w:val="14"/>
              </w:rPr>
            </w:pPr>
            <w:r>
              <w:rPr>
                <w:sz w:val="14"/>
              </w:rPr>
              <w:t>Refer</w:t>
            </w:r>
            <w:r>
              <w:rPr>
                <w:spacing w:val="-6"/>
                <w:sz w:val="14"/>
              </w:rPr>
              <w:t> </w:t>
            </w:r>
            <w:r>
              <w:rPr>
                <w:sz w:val="14"/>
              </w:rPr>
              <w:t>to</w:t>
            </w:r>
            <w:r>
              <w:rPr>
                <w:spacing w:val="40"/>
                <w:sz w:val="14"/>
              </w:rPr>
              <w:t> </w:t>
            </w:r>
            <w:r>
              <w:rPr>
                <w:sz w:val="14"/>
              </w:rPr>
              <w:t>policy on</w:t>
            </w:r>
            <w:r>
              <w:rPr>
                <w:spacing w:val="40"/>
                <w:sz w:val="14"/>
              </w:rPr>
              <w:t> </w:t>
            </w:r>
            <w:r>
              <w:rPr>
                <w:spacing w:val="-4"/>
                <w:sz w:val="14"/>
              </w:rPr>
              <w:t>the</w:t>
            </w:r>
            <w:r>
              <w:rPr>
                <w:spacing w:val="40"/>
                <w:sz w:val="14"/>
              </w:rPr>
              <w:t> </w:t>
            </w:r>
            <w:r>
              <w:rPr>
                <w:spacing w:val="-2"/>
                <w:sz w:val="14"/>
              </w:rPr>
              <w:t>Maroondah</w:t>
            </w:r>
            <w:r>
              <w:rPr>
                <w:spacing w:val="40"/>
                <w:sz w:val="14"/>
              </w:rPr>
              <w:t> </w:t>
            </w:r>
            <w:r>
              <w:rPr>
                <w:sz w:val="14"/>
              </w:rPr>
              <w:t>City</w:t>
            </w:r>
            <w:r>
              <w:rPr>
                <w:spacing w:val="-5"/>
                <w:sz w:val="14"/>
              </w:rPr>
              <w:t> </w:t>
            </w:r>
            <w:r>
              <w:rPr>
                <w:spacing w:val="-2"/>
                <w:sz w:val="14"/>
              </w:rPr>
              <w:t>Council</w:t>
            </w:r>
          </w:p>
          <w:p>
            <w:pPr>
              <w:pStyle w:val="TableParagraph"/>
              <w:spacing w:line="140" w:lineRule="exact" w:before="2"/>
              <w:ind w:left="105" w:right="84"/>
              <w:jc w:val="center"/>
              <w:rPr>
                <w:sz w:val="14"/>
              </w:rPr>
            </w:pPr>
            <w:r>
              <w:rPr>
                <w:spacing w:val="-2"/>
                <w:sz w:val="14"/>
              </w:rPr>
              <w:t>Website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ind w:left="157" w:right="137"/>
              <w:jc w:val="center"/>
              <w:rPr>
                <w:sz w:val="14"/>
              </w:rPr>
            </w:pPr>
            <w:r>
              <w:rPr>
                <w:sz w:val="14"/>
              </w:rPr>
              <w:t>Refer</w:t>
            </w:r>
            <w:r>
              <w:rPr>
                <w:spacing w:val="-10"/>
                <w:sz w:val="14"/>
              </w:rPr>
              <w:t> </w:t>
            </w:r>
            <w:r>
              <w:rPr>
                <w:sz w:val="14"/>
              </w:rPr>
              <w:t>to</w:t>
            </w:r>
            <w:r>
              <w:rPr>
                <w:spacing w:val="-10"/>
                <w:sz w:val="14"/>
              </w:rPr>
              <w:t> </w:t>
            </w:r>
            <w:r>
              <w:rPr>
                <w:sz w:val="14"/>
              </w:rPr>
              <w:t>policy</w:t>
            </w:r>
            <w:r>
              <w:rPr>
                <w:spacing w:val="40"/>
                <w:sz w:val="14"/>
              </w:rPr>
              <w:t> </w:t>
            </w:r>
            <w:r>
              <w:rPr>
                <w:sz w:val="14"/>
              </w:rPr>
              <w:t>on</w:t>
            </w:r>
            <w:r>
              <w:rPr>
                <w:spacing w:val="-6"/>
                <w:sz w:val="14"/>
              </w:rPr>
              <w:t> </w:t>
            </w:r>
            <w:r>
              <w:rPr>
                <w:sz w:val="14"/>
              </w:rPr>
              <w:t>the</w:t>
            </w:r>
            <w:r>
              <w:rPr>
                <w:spacing w:val="40"/>
                <w:sz w:val="14"/>
              </w:rPr>
              <w:t> </w:t>
            </w:r>
            <w:r>
              <w:rPr>
                <w:spacing w:val="-2"/>
                <w:sz w:val="14"/>
              </w:rPr>
              <w:t>Maroondah</w:t>
            </w:r>
            <w:r>
              <w:rPr>
                <w:spacing w:val="40"/>
                <w:sz w:val="14"/>
              </w:rPr>
              <w:t> </w:t>
            </w:r>
            <w:r>
              <w:rPr>
                <w:sz w:val="14"/>
              </w:rPr>
              <w:t>City</w:t>
            </w:r>
            <w:r>
              <w:rPr>
                <w:spacing w:val="-4"/>
                <w:sz w:val="14"/>
              </w:rPr>
              <w:t> </w:t>
            </w:r>
            <w:r>
              <w:rPr>
                <w:sz w:val="14"/>
              </w:rPr>
              <w:t>Council</w:t>
            </w:r>
          </w:p>
          <w:p>
            <w:pPr>
              <w:pStyle w:val="TableParagraph"/>
              <w:spacing w:line="140" w:lineRule="exact" w:before="2"/>
              <w:ind w:left="156" w:right="137"/>
              <w:jc w:val="center"/>
              <w:rPr>
                <w:sz w:val="14"/>
              </w:rPr>
            </w:pPr>
            <w:r>
              <w:rPr>
                <w:spacing w:val="-2"/>
                <w:sz w:val="14"/>
              </w:rPr>
              <w:t>Website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Glen</w:t>
            </w:r>
            <w:r>
              <w:rPr>
                <w:b/>
                <w:spacing w:val="-5"/>
                <w:sz w:val="14"/>
              </w:rPr>
              <w:t> </w:t>
            </w:r>
            <w:r>
              <w:rPr>
                <w:b/>
                <w:sz w:val="14"/>
              </w:rPr>
              <w:t>Park</w:t>
            </w:r>
            <w:r>
              <w:rPr>
                <w:b/>
                <w:spacing w:val="-4"/>
                <w:sz w:val="14"/>
              </w:rPr>
              <w:t> </w:t>
            </w:r>
            <w:r>
              <w:rPr>
                <w:b/>
                <w:spacing w:val="-2"/>
                <w:sz w:val="14"/>
              </w:rPr>
              <w:t>Income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964"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6"/>
              </w:rPr>
            </w:pPr>
          </w:p>
          <w:p>
            <w:pPr>
              <w:pStyle w:val="TableParagraph"/>
              <w:spacing w:before="1"/>
              <w:rPr>
                <w:sz w:val="19"/>
              </w:rPr>
            </w:pPr>
          </w:p>
          <w:p>
            <w:pPr>
              <w:pStyle w:val="TableParagraph"/>
              <w:ind w:left="107"/>
              <w:rPr>
                <w:sz w:val="14"/>
              </w:rPr>
            </w:pPr>
            <w:r>
              <w:rPr>
                <w:sz w:val="14"/>
              </w:rPr>
              <w:t>Seasonal</w:t>
            </w:r>
            <w:r>
              <w:rPr>
                <w:spacing w:val="-5"/>
                <w:sz w:val="14"/>
              </w:rPr>
              <w:t> </w:t>
            </w:r>
            <w:r>
              <w:rPr>
                <w:sz w:val="14"/>
              </w:rPr>
              <w:t>&amp;</w:t>
            </w:r>
            <w:r>
              <w:rPr>
                <w:spacing w:val="-3"/>
                <w:sz w:val="14"/>
              </w:rPr>
              <w:t> </w:t>
            </w:r>
            <w:r>
              <w:rPr>
                <w:sz w:val="14"/>
              </w:rPr>
              <w:t>casual</w:t>
            </w:r>
            <w:r>
              <w:rPr>
                <w:spacing w:val="-1"/>
                <w:sz w:val="14"/>
              </w:rPr>
              <w:t> </w:t>
            </w:r>
            <w:r>
              <w:rPr>
                <w:sz w:val="14"/>
              </w:rPr>
              <w:t>use</w:t>
            </w:r>
            <w:r>
              <w:rPr>
                <w:spacing w:val="-4"/>
                <w:sz w:val="14"/>
              </w:rPr>
              <w:t> </w:t>
            </w:r>
            <w:r>
              <w:rPr>
                <w:sz w:val="14"/>
              </w:rPr>
              <w:t>of</w:t>
            </w:r>
            <w:r>
              <w:rPr>
                <w:spacing w:val="-2"/>
                <w:sz w:val="14"/>
              </w:rPr>
              <w:t> </w:t>
            </w:r>
            <w:r>
              <w:rPr>
                <w:sz w:val="14"/>
              </w:rPr>
              <w:t>council</w:t>
            </w:r>
            <w:r>
              <w:rPr>
                <w:spacing w:val="-2"/>
                <w:sz w:val="14"/>
              </w:rPr>
              <w:t> facilities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1"/>
              <w:rPr>
                <w:sz w:val="21"/>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1"/>
              <w:rPr>
                <w:sz w:val="21"/>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120" w:right="97" w:firstLine="2"/>
              <w:jc w:val="center"/>
              <w:rPr>
                <w:sz w:val="14"/>
              </w:rPr>
            </w:pPr>
            <w:r>
              <w:rPr>
                <w:sz w:val="14"/>
              </w:rPr>
              <w:t>Refer</w:t>
            </w:r>
            <w:r>
              <w:rPr>
                <w:spacing w:val="-6"/>
                <w:sz w:val="14"/>
              </w:rPr>
              <w:t> </w:t>
            </w:r>
            <w:r>
              <w:rPr>
                <w:sz w:val="14"/>
              </w:rPr>
              <w:t>to</w:t>
            </w:r>
            <w:r>
              <w:rPr>
                <w:spacing w:val="40"/>
                <w:sz w:val="14"/>
              </w:rPr>
              <w:t> </w:t>
            </w:r>
            <w:r>
              <w:rPr>
                <w:sz w:val="14"/>
              </w:rPr>
              <w:t>policy on</w:t>
            </w:r>
            <w:r>
              <w:rPr>
                <w:spacing w:val="40"/>
                <w:sz w:val="14"/>
              </w:rPr>
              <w:t> </w:t>
            </w:r>
            <w:r>
              <w:rPr>
                <w:spacing w:val="-4"/>
                <w:sz w:val="14"/>
              </w:rPr>
              <w:t>the</w:t>
            </w:r>
            <w:r>
              <w:rPr>
                <w:spacing w:val="40"/>
                <w:sz w:val="14"/>
              </w:rPr>
              <w:t> </w:t>
            </w:r>
            <w:r>
              <w:rPr>
                <w:spacing w:val="-2"/>
                <w:sz w:val="14"/>
              </w:rPr>
              <w:t>Maroondah</w:t>
            </w:r>
            <w:r>
              <w:rPr>
                <w:spacing w:val="40"/>
                <w:sz w:val="14"/>
              </w:rPr>
              <w:t> </w:t>
            </w:r>
            <w:r>
              <w:rPr>
                <w:spacing w:val="-2"/>
                <w:sz w:val="14"/>
              </w:rPr>
              <w:t>City</w:t>
            </w:r>
            <w:r>
              <w:rPr>
                <w:spacing w:val="-8"/>
                <w:sz w:val="14"/>
              </w:rPr>
              <w:t> </w:t>
            </w:r>
            <w:r>
              <w:rPr>
                <w:spacing w:val="-2"/>
                <w:sz w:val="14"/>
              </w:rPr>
              <w:t>Council</w:t>
            </w:r>
            <w:r>
              <w:rPr>
                <w:spacing w:val="40"/>
                <w:sz w:val="14"/>
              </w:rPr>
              <w:t> </w:t>
            </w:r>
            <w:r>
              <w:rPr>
                <w:spacing w:val="-2"/>
                <w:sz w:val="14"/>
              </w:rPr>
              <w:t>Website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41"/>
              <w:ind w:left="157" w:right="137"/>
              <w:jc w:val="center"/>
              <w:rPr>
                <w:sz w:val="14"/>
              </w:rPr>
            </w:pPr>
            <w:r>
              <w:rPr>
                <w:sz w:val="14"/>
              </w:rPr>
              <w:t>Refer</w:t>
            </w:r>
            <w:r>
              <w:rPr>
                <w:spacing w:val="-10"/>
                <w:sz w:val="14"/>
              </w:rPr>
              <w:t> </w:t>
            </w:r>
            <w:r>
              <w:rPr>
                <w:sz w:val="14"/>
              </w:rPr>
              <w:t>to</w:t>
            </w:r>
            <w:r>
              <w:rPr>
                <w:spacing w:val="-10"/>
                <w:sz w:val="14"/>
              </w:rPr>
              <w:t> </w:t>
            </w:r>
            <w:r>
              <w:rPr>
                <w:sz w:val="14"/>
              </w:rPr>
              <w:t>policy</w:t>
            </w:r>
            <w:r>
              <w:rPr>
                <w:spacing w:val="40"/>
                <w:sz w:val="14"/>
              </w:rPr>
              <w:t> </w:t>
            </w:r>
            <w:r>
              <w:rPr>
                <w:sz w:val="14"/>
              </w:rPr>
              <w:t>on</w:t>
            </w:r>
            <w:r>
              <w:rPr>
                <w:spacing w:val="-6"/>
                <w:sz w:val="14"/>
              </w:rPr>
              <w:t> </w:t>
            </w:r>
            <w:r>
              <w:rPr>
                <w:sz w:val="14"/>
              </w:rPr>
              <w:t>the</w:t>
            </w:r>
            <w:r>
              <w:rPr>
                <w:spacing w:val="40"/>
                <w:sz w:val="14"/>
              </w:rPr>
              <w:t> </w:t>
            </w:r>
            <w:r>
              <w:rPr>
                <w:spacing w:val="-2"/>
                <w:sz w:val="14"/>
              </w:rPr>
              <w:t>Maroondah</w:t>
            </w:r>
            <w:r>
              <w:rPr>
                <w:spacing w:val="40"/>
                <w:sz w:val="14"/>
              </w:rPr>
              <w:t> </w:t>
            </w:r>
            <w:r>
              <w:rPr>
                <w:sz w:val="14"/>
              </w:rPr>
              <w:t>City</w:t>
            </w:r>
            <w:r>
              <w:rPr>
                <w:spacing w:val="-4"/>
                <w:sz w:val="14"/>
              </w:rPr>
              <w:t> </w:t>
            </w:r>
            <w:r>
              <w:rPr>
                <w:sz w:val="14"/>
              </w:rPr>
              <w:t>Council</w:t>
            </w:r>
            <w:r>
              <w:rPr>
                <w:spacing w:val="40"/>
                <w:sz w:val="14"/>
              </w:rPr>
              <w:t> </w:t>
            </w:r>
            <w:r>
              <w:rPr>
                <w:spacing w:val="-2"/>
                <w:sz w:val="14"/>
              </w:rPr>
              <w:t>Website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0"/>
              <w:ind w:left="107"/>
              <w:rPr>
                <w:b/>
                <w:sz w:val="14"/>
              </w:rPr>
            </w:pPr>
            <w:r>
              <w:rPr>
                <w:b/>
                <w:sz w:val="14"/>
              </w:rPr>
              <w:t>Gracedale</w:t>
            </w:r>
            <w:r>
              <w:rPr>
                <w:b/>
                <w:spacing w:val="-5"/>
                <w:sz w:val="14"/>
              </w:rPr>
              <w:t> </w:t>
            </w:r>
            <w:r>
              <w:rPr>
                <w:b/>
                <w:sz w:val="14"/>
              </w:rPr>
              <w:t>Park</w:t>
            </w:r>
            <w:r>
              <w:rPr>
                <w:b/>
                <w:spacing w:val="-5"/>
                <w:sz w:val="14"/>
              </w:rPr>
              <w:t> </w:t>
            </w:r>
            <w:r>
              <w:rPr>
                <w:b/>
                <w:spacing w:val="-2"/>
                <w:sz w:val="14"/>
              </w:rPr>
              <w:t>Income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964"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6"/>
              </w:rPr>
            </w:pPr>
          </w:p>
          <w:p>
            <w:pPr>
              <w:pStyle w:val="TableParagraph"/>
              <w:spacing w:before="10"/>
              <w:rPr>
                <w:sz w:val="18"/>
              </w:rPr>
            </w:pPr>
          </w:p>
          <w:p>
            <w:pPr>
              <w:pStyle w:val="TableParagraph"/>
              <w:ind w:left="107"/>
              <w:rPr>
                <w:sz w:val="14"/>
              </w:rPr>
            </w:pPr>
            <w:r>
              <w:rPr>
                <w:sz w:val="14"/>
              </w:rPr>
              <w:t>Seasonal</w:t>
            </w:r>
            <w:r>
              <w:rPr>
                <w:spacing w:val="-5"/>
                <w:sz w:val="14"/>
              </w:rPr>
              <w:t> </w:t>
            </w:r>
            <w:r>
              <w:rPr>
                <w:sz w:val="14"/>
              </w:rPr>
              <w:t>&amp;</w:t>
            </w:r>
            <w:r>
              <w:rPr>
                <w:spacing w:val="-3"/>
                <w:sz w:val="14"/>
              </w:rPr>
              <w:t> </w:t>
            </w:r>
            <w:r>
              <w:rPr>
                <w:sz w:val="14"/>
              </w:rPr>
              <w:t>casual</w:t>
            </w:r>
            <w:r>
              <w:rPr>
                <w:spacing w:val="-1"/>
                <w:sz w:val="14"/>
              </w:rPr>
              <w:t> </w:t>
            </w:r>
            <w:r>
              <w:rPr>
                <w:sz w:val="14"/>
              </w:rPr>
              <w:t>use</w:t>
            </w:r>
            <w:r>
              <w:rPr>
                <w:spacing w:val="-4"/>
                <w:sz w:val="14"/>
              </w:rPr>
              <w:t> </w:t>
            </w:r>
            <w:r>
              <w:rPr>
                <w:sz w:val="14"/>
              </w:rPr>
              <w:t>of</w:t>
            </w:r>
            <w:r>
              <w:rPr>
                <w:spacing w:val="-2"/>
                <w:sz w:val="14"/>
              </w:rPr>
              <w:t> </w:t>
            </w:r>
            <w:r>
              <w:rPr>
                <w:sz w:val="14"/>
              </w:rPr>
              <w:t>council</w:t>
            </w:r>
            <w:r>
              <w:rPr>
                <w:spacing w:val="-2"/>
                <w:sz w:val="14"/>
              </w:rPr>
              <w:t> facilities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1"/>
              <w:rPr>
                <w:sz w:val="21"/>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1"/>
              <w:rPr>
                <w:sz w:val="21"/>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120" w:right="97" w:firstLine="2"/>
              <w:jc w:val="center"/>
              <w:rPr>
                <w:sz w:val="14"/>
              </w:rPr>
            </w:pPr>
            <w:r>
              <w:rPr>
                <w:sz w:val="14"/>
              </w:rPr>
              <w:t>Refer</w:t>
            </w:r>
            <w:r>
              <w:rPr>
                <w:spacing w:val="-6"/>
                <w:sz w:val="14"/>
              </w:rPr>
              <w:t> </w:t>
            </w:r>
            <w:r>
              <w:rPr>
                <w:sz w:val="14"/>
              </w:rPr>
              <w:t>to</w:t>
            </w:r>
            <w:r>
              <w:rPr>
                <w:spacing w:val="40"/>
                <w:sz w:val="14"/>
              </w:rPr>
              <w:t> </w:t>
            </w:r>
            <w:r>
              <w:rPr>
                <w:sz w:val="14"/>
              </w:rPr>
              <w:t>policy on</w:t>
            </w:r>
            <w:r>
              <w:rPr>
                <w:spacing w:val="40"/>
                <w:sz w:val="14"/>
              </w:rPr>
              <w:t> </w:t>
            </w:r>
            <w:r>
              <w:rPr>
                <w:spacing w:val="-4"/>
                <w:sz w:val="14"/>
              </w:rPr>
              <w:t>the</w:t>
            </w:r>
            <w:r>
              <w:rPr>
                <w:spacing w:val="40"/>
                <w:sz w:val="14"/>
              </w:rPr>
              <w:t> </w:t>
            </w:r>
            <w:r>
              <w:rPr>
                <w:spacing w:val="-2"/>
                <w:sz w:val="14"/>
              </w:rPr>
              <w:t>Maroondah</w:t>
            </w:r>
            <w:r>
              <w:rPr>
                <w:spacing w:val="40"/>
                <w:sz w:val="14"/>
              </w:rPr>
              <w:t> </w:t>
            </w:r>
            <w:r>
              <w:rPr>
                <w:spacing w:val="-2"/>
                <w:sz w:val="14"/>
              </w:rPr>
              <w:t>City</w:t>
            </w:r>
            <w:r>
              <w:rPr>
                <w:spacing w:val="-8"/>
                <w:sz w:val="14"/>
              </w:rPr>
              <w:t> </w:t>
            </w:r>
            <w:r>
              <w:rPr>
                <w:spacing w:val="-2"/>
                <w:sz w:val="14"/>
              </w:rPr>
              <w:t>Council</w:t>
            </w:r>
            <w:r>
              <w:rPr>
                <w:spacing w:val="40"/>
                <w:sz w:val="14"/>
              </w:rPr>
              <w:t> </w:t>
            </w:r>
            <w:r>
              <w:rPr>
                <w:spacing w:val="-2"/>
                <w:sz w:val="14"/>
              </w:rPr>
              <w:t>Website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41"/>
              <w:ind w:left="157" w:right="137"/>
              <w:jc w:val="center"/>
              <w:rPr>
                <w:sz w:val="14"/>
              </w:rPr>
            </w:pPr>
            <w:r>
              <w:rPr>
                <w:sz w:val="14"/>
              </w:rPr>
              <w:t>Refer</w:t>
            </w:r>
            <w:r>
              <w:rPr>
                <w:spacing w:val="-10"/>
                <w:sz w:val="14"/>
              </w:rPr>
              <w:t> </w:t>
            </w:r>
            <w:r>
              <w:rPr>
                <w:sz w:val="14"/>
              </w:rPr>
              <w:t>to</w:t>
            </w:r>
            <w:r>
              <w:rPr>
                <w:spacing w:val="-10"/>
                <w:sz w:val="14"/>
              </w:rPr>
              <w:t> </w:t>
            </w:r>
            <w:r>
              <w:rPr>
                <w:sz w:val="14"/>
              </w:rPr>
              <w:t>policy</w:t>
            </w:r>
            <w:r>
              <w:rPr>
                <w:spacing w:val="40"/>
                <w:sz w:val="14"/>
              </w:rPr>
              <w:t> </w:t>
            </w:r>
            <w:r>
              <w:rPr>
                <w:sz w:val="14"/>
              </w:rPr>
              <w:t>on</w:t>
            </w:r>
            <w:r>
              <w:rPr>
                <w:spacing w:val="-6"/>
                <w:sz w:val="14"/>
              </w:rPr>
              <w:t> </w:t>
            </w:r>
            <w:r>
              <w:rPr>
                <w:sz w:val="14"/>
              </w:rPr>
              <w:t>the</w:t>
            </w:r>
            <w:r>
              <w:rPr>
                <w:spacing w:val="40"/>
                <w:sz w:val="14"/>
              </w:rPr>
              <w:t> </w:t>
            </w:r>
            <w:r>
              <w:rPr>
                <w:spacing w:val="-2"/>
                <w:sz w:val="14"/>
              </w:rPr>
              <w:t>Maroondah</w:t>
            </w:r>
            <w:r>
              <w:rPr>
                <w:spacing w:val="40"/>
                <w:sz w:val="14"/>
              </w:rPr>
              <w:t> </w:t>
            </w:r>
            <w:r>
              <w:rPr>
                <w:sz w:val="14"/>
              </w:rPr>
              <w:t>City</w:t>
            </w:r>
            <w:r>
              <w:rPr>
                <w:spacing w:val="-4"/>
                <w:sz w:val="14"/>
              </w:rPr>
              <w:t> </w:t>
            </w:r>
            <w:r>
              <w:rPr>
                <w:sz w:val="14"/>
              </w:rPr>
              <w:t>Council</w:t>
            </w:r>
            <w:r>
              <w:rPr>
                <w:spacing w:val="40"/>
                <w:sz w:val="14"/>
              </w:rPr>
              <w:t> </w:t>
            </w:r>
            <w:r>
              <w:rPr>
                <w:spacing w:val="-2"/>
                <w:sz w:val="14"/>
              </w:rPr>
              <w:t>Website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7"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8"/>
              <w:ind w:left="107"/>
              <w:rPr>
                <w:b/>
                <w:sz w:val="14"/>
              </w:rPr>
            </w:pPr>
            <w:r>
              <w:rPr>
                <w:b/>
                <w:sz w:val="14"/>
              </w:rPr>
              <w:t>Ainslie</w:t>
            </w:r>
            <w:r>
              <w:rPr>
                <w:b/>
                <w:spacing w:val="-5"/>
                <w:sz w:val="14"/>
              </w:rPr>
              <w:t> </w:t>
            </w:r>
            <w:r>
              <w:rPr>
                <w:b/>
                <w:sz w:val="14"/>
              </w:rPr>
              <w:t>Park</w:t>
            </w:r>
            <w:r>
              <w:rPr>
                <w:b/>
                <w:spacing w:val="-6"/>
                <w:sz w:val="14"/>
              </w:rPr>
              <w:t> </w:t>
            </w:r>
            <w:r>
              <w:rPr>
                <w:b/>
                <w:spacing w:val="-2"/>
                <w:sz w:val="14"/>
              </w:rPr>
              <w:t>Income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966"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6"/>
              </w:rPr>
            </w:pPr>
          </w:p>
          <w:p>
            <w:pPr>
              <w:pStyle w:val="TableParagraph"/>
              <w:spacing w:before="1"/>
              <w:rPr>
                <w:sz w:val="19"/>
              </w:rPr>
            </w:pPr>
          </w:p>
          <w:p>
            <w:pPr>
              <w:pStyle w:val="TableParagraph"/>
              <w:ind w:left="107"/>
              <w:rPr>
                <w:sz w:val="14"/>
              </w:rPr>
            </w:pPr>
            <w:r>
              <w:rPr>
                <w:sz w:val="14"/>
              </w:rPr>
              <w:t>Seasonal</w:t>
            </w:r>
            <w:r>
              <w:rPr>
                <w:spacing w:val="-5"/>
                <w:sz w:val="14"/>
              </w:rPr>
              <w:t> </w:t>
            </w:r>
            <w:r>
              <w:rPr>
                <w:sz w:val="14"/>
              </w:rPr>
              <w:t>&amp;</w:t>
            </w:r>
            <w:r>
              <w:rPr>
                <w:spacing w:val="-3"/>
                <w:sz w:val="14"/>
              </w:rPr>
              <w:t> </w:t>
            </w:r>
            <w:r>
              <w:rPr>
                <w:sz w:val="14"/>
              </w:rPr>
              <w:t>casual</w:t>
            </w:r>
            <w:r>
              <w:rPr>
                <w:spacing w:val="-1"/>
                <w:sz w:val="14"/>
              </w:rPr>
              <w:t> </w:t>
            </w:r>
            <w:r>
              <w:rPr>
                <w:sz w:val="14"/>
              </w:rPr>
              <w:t>use</w:t>
            </w:r>
            <w:r>
              <w:rPr>
                <w:spacing w:val="-4"/>
                <w:sz w:val="14"/>
              </w:rPr>
              <w:t> </w:t>
            </w:r>
            <w:r>
              <w:rPr>
                <w:sz w:val="14"/>
              </w:rPr>
              <w:t>of</w:t>
            </w:r>
            <w:r>
              <w:rPr>
                <w:spacing w:val="-2"/>
                <w:sz w:val="14"/>
              </w:rPr>
              <w:t> </w:t>
            </w:r>
            <w:r>
              <w:rPr>
                <w:sz w:val="14"/>
              </w:rPr>
              <w:t>council</w:t>
            </w:r>
            <w:r>
              <w:rPr>
                <w:spacing w:val="-2"/>
                <w:sz w:val="14"/>
              </w:rPr>
              <w:t> facilities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
              <w:rPr>
                <w:sz w:val="22"/>
              </w:rPr>
            </w:pPr>
          </w:p>
          <w:p>
            <w:pPr>
              <w:pStyle w:val="TableParagraph"/>
              <w:spacing w:line="140" w:lineRule="exact" w:before="1"/>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
              <w:rPr>
                <w:sz w:val="22"/>
              </w:rPr>
            </w:pPr>
          </w:p>
          <w:p>
            <w:pPr>
              <w:pStyle w:val="TableParagraph"/>
              <w:spacing w:line="140" w:lineRule="exact" w:before="1"/>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120" w:right="97" w:firstLine="2"/>
              <w:jc w:val="center"/>
              <w:rPr>
                <w:sz w:val="14"/>
              </w:rPr>
            </w:pPr>
            <w:r>
              <w:rPr>
                <w:sz w:val="14"/>
              </w:rPr>
              <w:t>Refer</w:t>
            </w:r>
            <w:r>
              <w:rPr>
                <w:spacing w:val="-6"/>
                <w:sz w:val="14"/>
              </w:rPr>
              <w:t> </w:t>
            </w:r>
            <w:r>
              <w:rPr>
                <w:sz w:val="14"/>
              </w:rPr>
              <w:t>to</w:t>
            </w:r>
            <w:r>
              <w:rPr>
                <w:spacing w:val="40"/>
                <w:sz w:val="14"/>
              </w:rPr>
              <w:t> </w:t>
            </w:r>
            <w:r>
              <w:rPr>
                <w:sz w:val="14"/>
              </w:rPr>
              <w:t>policy on</w:t>
            </w:r>
            <w:r>
              <w:rPr>
                <w:spacing w:val="40"/>
                <w:sz w:val="14"/>
              </w:rPr>
              <w:t> </w:t>
            </w:r>
            <w:r>
              <w:rPr>
                <w:spacing w:val="-4"/>
                <w:sz w:val="14"/>
              </w:rPr>
              <w:t>the</w:t>
            </w:r>
            <w:r>
              <w:rPr>
                <w:spacing w:val="40"/>
                <w:sz w:val="14"/>
              </w:rPr>
              <w:t> </w:t>
            </w:r>
            <w:r>
              <w:rPr>
                <w:spacing w:val="-2"/>
                <w:sz w:val="14"/>
              </w:rPr>
              <w:t>Maroondah</w:t>
            </w:r>
            <w:r>
              <w:rPr>
                <w:spacing w:val="40"/>
                <w:sz w:val="14"/>
              </w:rPr>
              <w:t> </w:t>
            </w:r>
            <w:r>
              <w:rPr>
                <w:spacing w:val="-2"/>
                <w:sz w:val="14"/>
              </w:rPr>
              <w:t>City</w:t>
            </w:r>
            <w:r>
              <w:rPr>
                <w:spacing w:val="-8"/>
                <w:sz w:val="14"/>
              </w:rPr>
              <w:t> </w:t>
            </w:r>
            <w:r>
              <w:rPr>
                <w:spacing w:val="-2"/>
                <w:sz w:val="14"/>
              </w:rPr>
              <w:t>Council</w:t>
            </w:r>
            <w:r>
              <w:rPr>
                <w:spacing w:val="40"/>
                <w:sz w:val="14"/>
              </w:rPr>
              <w:t> </w:t>
            </w:r>
            <w:r>
              <w:rPr>
                <w:spacing w:val="-2"/>
                <w:sz w:val="14"/>
              </w:rPr>
              <w:t>Website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43"/>
              <w:ind w:left="157" w:right="137"/>
              <w:jc w:val="center"/>
              <w:rPr>
                <w:sz w:val="14"/>
              </w:rPr>
            </w:pPr>
            <w:r>
              <w:rPr>
                <w:sz w:val="14"/>
              </w:rPr>
              <w:t>Refer</w:t>
            </w:r>
            <w:r>
              <w:rPr>
                <w:spacing w:val="-10"/>
                <w:sz w:val="14"/>
              </w:rPr>
              <w:t> </w:t>
            </w:r>
            <w:r>
              <w:rPr>
                <w:sz w:val="14"/>
              </w:rPr>
              <w:t>to</w:t>
            </w:r>
            <w:r>
              <w:rPr>
                <w:spacing w:val="-10"/>
                <w:sz w:val="14"/>
              </w:rPr>
              <w:t> </w:t>
            </w:r>
            <w:r>
              <w:rPr>
                <w:sz w:val="14"/>
              </w:rPr>
              <w:t>policy</w:t>
            </w:r>
            <w:r>
              <w:rPr>
                <w:spacing w:val="40"/>
                <w:sz w:val="14"/>
              </w:rPr>
              <w:t> </w:t>
            </w:r>
            <w:r>
              <w:rPr>
                <w:sz w:val="14"/>
              </w:rPr>
              <w:t>on</w:t>
            </w:r>
            <w:r>
              <w:rPr>
                <w:spacing w:val="-6"/>
                <w:sz w:val="14"/>
              </w:rPr>
              <w:t> </w:t>
            </w:r>
            <w:r>
              <w:rPr>
                <w:sz w:val="14"/>
              </w:rPr>
              <w:t>the</w:t>
            </w:r>
            <w:r>
              <w:rPr>
                <w:spacing w:val="40"/>
                <w:sz w:val="14"/>
              </w:rPr>
              <w:t> </w:t>
            </w:r>
            <w:r>
              <w:rPr>
                <w:spacing w:val="-2"/>
                <w:sz w:val="14"/>
              </w:rPr>
              <w:t>Maroondah</w:t>
            </w:r>
            <w:r>
              <w:rPr>
                <w:spacing w:val="40"/>
                <w:sz w:val="14"/>
              </w:rPr>
              <w:t> </w:t>
            </w:r>
            <w:r>
              <w:rPr>
                <w:sz w:val="14"/>
              </w:rPr>
              <w:t>City</w:t>
            </w:r>
            <w:r>
              <w:rPr>
                <w:spacing w:val="-4"/>
                <w:sz w:val="14"/>
              </w:rPr>
              <w:t> </w:t>
            </w:r>
            <w:r>
              <w:rPr>
                <w:sz w:val="14"/>
              </w:rPr>
              <w:t>Council</w:t>
            </w:r>
            <w:r>
              <w:rPr>
                <w:spacing w:val="40"/>
                <w:sz w:val="14"/>
              </w:rPr>
              <w:t> </w:t>
            </w:r>
            <w:r>
              <w:rPr>
                <w:spacing w:val="-2"/>
                <w:sz w:val="14"/>
              </w:rPr>
              <w:t>Website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Hughes</w:t>
            </w:r>
            <w:r>
              <w:rPr>
                <w:b/>
                <w:spacing w:val="-5"/>
                <w:sz w:val="14"/>
              </w:rPr>
              <w:t> </w:t>
            </w:r>
            <w:r>
              <w:rPr>
                <w:b/>
                <w:sz w:val="14"/>
              </w:rPr>
              <w:t>Park</w:t>
            </w:r>
            <w:r>
              <w:rPr>
                <w:b/>
                <w:spacing w:val="-5"/>
                <w:sz w:val="14"/>
              </w:rPr>
              <w:t> </w:t>
            </w:r>
            <w:r>
              <w:rPr>
                <w:b/>
                <w:spacing w:val="-2"/>
                <w:sz w:val="14"/>
              </w:rPr>
              <w:t>Income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966"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6"/>
              </w:rPr>
            </w:pPr>
          </w:p>
          <w:p>
            <w:pPr>
              <w:pStyle w:val="TableParagraph"/>
              <w:spacing w:before="1"/>
              <w:rPr>
                <w:sz w:val="19"/>
              </w:rPr>
            </w:pPr>
          </w:p>
          <w:p>
            <w:pPr>
              <w:pStyle w:val="TableParagraph"/>
              <w:ind w:left="107"/>
              <w:rPr>
                <w:sz w:val="14"/>
              </w:rPr>
            </w:pPr>
            <w:r>
              <w:rPr>
                <w:sz w:val="14"/>
              </w:rPr>
              <w:t>Seasonal</w:t>
            </w:r>
            <w:r>
              <w:rPr>
                <w:spacing w:val="-5"/>
                <w:sz w:val="14"/>
              </w:rPr>
              <w:t> </w:t>
            </w:r>
            <w:r>
              <w:rPr>
                <w:sz w:val="14"/>
              </w:rPr>
              <w:t>&amp;</w:t>
            </w:r>
            <w:r>
              <w:rPr>
                <w:spacing w:val="-3"/>
                <w:sz w:val="14"/>
              </w:rPr>
              <w:t> </w:t>
            </w:r>
            <w:r>
              <w:rPr>
                <w:sz w:val="14"/>
              </w:rPr>
              <w:t>casual</w:t>
            </w:r>
            <w:r>
              <w:rPr>
                <w:spacing w:val="-1"/>
                <w:sz w:val="14"/>
              </w:rPr>
              <w:t> </w:t>
            </w:r>
            <w:r>
              <w:rPr>
                <w:sz w:val="14"/>
              </w:rPr>
              <w:t>use</w:t>
            </w:r>
            <w:r>
              <w:rPr>
                <w:spacing w:val="-4"/>
                <w:sz w:val="14"/>
              </w:rPr>
              <w:t> </w:t>
            </w:r>
            <w:r>
              <w:rPr>
                <w:sz w:val="14"/>
              </w:rPr>
              <w:t>of</w:t>
            </w:r>
            <w:r>
              <w:rPr>
                <w:spacing w:val="-2"/>
                <w:sz w:val="14"/>
              </w:rPr>
              <w:t> </w:t>
            </w:r>
            <w:r>
              <w:rPr>
                <w:sz w:val="14"/>
              </w:rPr>
              <w:t>council</w:t>
            </w:r>
            <w:r>
              <w:rPr>
                <w:spacing w:val="-2"/>
                <w:sz w:val="14"/>
              </w:rPr>
              <w:t> facilities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
              <w:rPr>
                <w:sz w:val="22"/>
              </w:rPr>
            </w:pPr>
          </w:p>
          <w:p>
            <w:pPr>
              <w:pStyle w:val="TableParagraph"/>
              <w:spacing w:line="140" w:lineRule="exact" w:before="1"/>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
              <w:rPr>
                <w:sz w:val="22"/>
              </w:rPr>
            </w:pPr>
          </w:p>
          <w:p>
            <w:pPr>
              <w:pStyle w:val="TableParagraph"/>
              <w:spacing w:line="140" w:lineRule="exact" w:before="1"/>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ind w:left="120" w:right="97" w:firstLine="2"/>
              <w:jc w:val="center"/>
              <w:rPr>
                <w:sz w:val="14"/>
              </w:rPr>
            </w:pPr>
            <w:r>
              <w:rPr>
                <w:sz w:val="14"/>
              </w:rPr>
              <w:t>Refer</w:t>
            </w:r>
            <w:r>
              <w:rPr>
                <w:spacing w:val="-6"/>
                <w:sz w:val="14"/>
              </w:rPr>
              <w:t> </w:t>
            </w:r>
            <w:r>
              <w:rPr>
                <w:sz w:val="14"/>
              </w:rPr>
              <w:t>to</w:t>
            </w:r>
            <w:r>
              <w:rPr>
                <w:spacing w:val="40"/>
                <w:sz w:val="14"/>
              </w:rPr>
              <w:t> </w:t>
            </w:r>
            <w:r>
              <w:rPr>
                <w:sz w:val="14"/>
              </w:rPr>
              <w:t>policy on</w:t>
            </w:r>
            <w:r>
              <w:rPr>
                <w:spacing w:val="40"/>
                <w:sz w:val="14"/>
              </w:rPr>
              <w:t> </w:t>
            </w:r>
            <w:r>
              <w:rPr>
                <w:spacing w:val="-4"/>
                <w:sz w:val="14"/>
              </w:rPr>
              <w:t>the</w:t>
            </w:r>
            <w:r>
              <w:rPr>
                <w:spacing w:val="40"/>
                <w:sz w:val="14"/>
              </w:rPr>
              <w:t> </w:t>
            </w:r>
            <w:r>
              <w:rPr>
                <w:spacing w:val="-2"/>
                <w:sz w:val="14"/>
              </w:rPr>
              <w:t>Maroondah</w:t>
            </w:r>
          </w:p>
          <w:p>
            <w:pPr>
              <w:pStyle w:val="TableParagraph"/>
              <w:spacing w:line="160" w:lineRule="atLeast"/>
              <w:ind w:left="105" w:right="82"/>
              <w:jc w:val="center"/>
              <w:rPr>
                <w:sz w:val="14"/>
              </w:rPr>
            </w:pPr>
            <w:r>
              <w:rPr>
                <w:spacing w:val="-2"/>
                <w:sz w:val="14"/>
              </w:rPr>
              <w:t>City</w:t>
            </w:r>
            <w:r>
              <w:rPr>
                <w:spacing w:val="-8"/>
                <w:sz w:val="14"/>
              </w:rPr>
              <w:t> </w:t>
            </w:r>
            <w:r>
              <w:rPr>
                <w:spacing w:val="-2"/>
                <w:sz w:val="14"/>
              </w:rPr>
              <w:t>Council</w:t>
            </w:r>
            <w:r>
              <w:rPr>
                <w:spacing w:val="40"/>
                <w:sz w:val="14"/>
              </w:rPr>
              <w:t> </w:t>
            </w:r>
            <w:r>
              <w:rPr>
                <w:spacing w:val="-2"/>
                <w:sz w:val="14"/>
              </w:rPr>
              <w:t>Website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ind w:left="157" w:right="137"/>
              <w:jc w:val="center"/>
              <w:rPr>
                <w:sz w:val="14"/>
              </w:rPr>
            </w:pPr>
            <w:r>
              <w:rPr>
                <w:sz w:val="14"/>
              </w:rPr>
              <w:t>Refer</w:t>
            </w:r>
            <w:r>
              <w:rPr>
                <w:spacing w:val="-10"/>
                <w:sz w:val="14"/>
              </w:rPr>
              <w:t> </w:t>
            </w:r>
            <w:r>
              <w:rPr>
                <w:sz w:val="14"/>
              </w:rPr>
              <w:t>to</w:t>
            </w:r>
            <w:r>
              <w:rPr>
                <w:spacing w:val="-10"/>
                <w:sz w:val="14"/>
              </w:rPr>
              <w:t> </w:t>
            </w:r>
            <w:r>
              <w:rPr>
                <w:sz w:val="14"/>
              </w:rPr>
              <w:t>policy</w:t>
            </w:r>
            <w:r>
              <w:rPr>
                <w:spacing w:val="40"/>
                <w:sz w:val="14"/>
              </w:rPr>
              <w:t> </w:t>
            </w:r>
            <w:r>
              <w:rPr>
                <w:sz w:val="14"/>
              </w:rPr>
              <w:t>on</w:t>
            </w:r>
            <w:r>
              <w:rPr>
                <w:spacing w:val="-6"/>
                <w:sz w:val="14"/>
              </w:rPr>
              <w:t> </w:t>
            </w:r>
            <w:r>
              <w:rPr>
                <w:sz w:val="14"/>
              </w:rPr>
              <w:t>the</w:t>
            </w:r>
            <w:r>
              <w:rPr>
                <w:spacing w:val="40"/>
                <w:sz w:val="14"/>
              </w:rPr>
              <w:t> </w:t>
            </w:r>
            <w:r>
              <w:rPr>
                <w:spacing w:val="-2"/>
                <w:sz w:val="14"/>
              </w:rPr>
              <w:t>Maroondah</w:t>
            </w:r>
            <w:r>
              <w:rPr>
                <w:spacing w:val="40"/>
                <w:sz w:val="14"/>
              </w:rPr>
              <w:t> </w:t>
            </w:r>
            <w:r>
              <w:rPr>
                <w:sz w:val="14"/>
              </w:rPr>
              <w:t>City</w:t>
            </w:r>
            <w:r>
              <w:rPr>
                <w:spacing w:val="-4"/>
                <w:sz w:val="14"/>
              </w:rPr>
              <w:t> </w:t>
            </w:r>
            <w:r>
              <w:rPr>
                <w:sz w:val="14"/>
              </w:rPr>
              <w:t>Council</w:t>
            </w:r>
          </w:p>
          <w:p>
            <w:pPr>
              <w:pStyle w:val="TableParagraph"/>
              <w:spacing w:line="140" w:lineRule="exact" w:before="2"/>
              <w:ind w:left="156" w:right="137"/>
              <w:jc w:val="center"/>
              <w:rPr>
                <w:sz w:val="14"/>
              </w:rPr>
            </w:pPr>
            <w:r>
              <w:rPr>
                <w:spacing w:val="-2"/>
                <w:sz w:val="14"/>
              </w:rPr>
              <w:t>Website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Lipscombe</w:t>
            </w:r>
            <w:r>
              <w:rPr>
                <w:b/>
                <w:spacing w:val="-7"/>
                <w:sz w:val="14"/>
              </w:rPr>
              <w:t> </w:t>
            </w:r>
            <w:r>
              <w:rPr>
                <w:b/>
                <w:sz w:val="14"/>
              </w:rPr>
              <w:t>Park</w:t>
            </w:r>
            <w:r>
              <w:rPr>
                <w:b/>
                <w:spacing w:val="-6"/>
                <w:sz w:val="14"/>
              </w:rPr>
              <w:t> </w:t>
            </w:r>
            <w:r>
              <w:rPr>
                <w:b/>
                <w:spacing w:val="-2"/>
                <w:sz w:val="14"/>
              </w:rPr>
              <w:t>Income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966"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6"/>
              </w:rPr>
            </w:pPr>
          </w:p>
          <w:p>
            <w:pPr>
              <w:pStyle w:val="TableParagraph"/>
              <w:spacing w:before="1"/>
              <w:rPr>
                <w:sz w:val="19"/>
              </w:rPr>
            </w:pPr>
          </w:p>
          <w:p>
            <w:pPr>
              <w:pStyle w:val="TableParagraph"/>
              <w:ind w:left="107"/>
              <w:rPr>
                <w:sz w:val="14"/>
              </w:rPr>
            </w:pPr>
            <w:r>
              <w:rPr>
                <w:sz w:val="14"/>
              </w:rPr>
              <w:t>Seasonal</w:t>
            </w:r>
            <w:r>
              <w:rPr>
                <w:spacing w:val="-5"/>
                <w:sz w:val="14"/>
              </w:rPr>
              <w:t> </w:t>
            </w:r>
            <w:r>
              <w:rPr>
                <w:sz w:val="14"/>
              </w:rPr>
              <w:t>&amp;</w:t>
            </w:r>
            <w:r>
              <w:rPr>
                <w:spacing w:val="-3"/>
                <w:sz w:val="14"/>
              </w:rPr>
              <w:t> </w:t>
            </w:r>
            <w:r>
              <w:rPr>
                <w:sz w:val="14"/>
              </w:rPr>
              <w:t>casual</w:t>
            </w:r>
            <w:r>
              <w:rPr>
                <w:spacing w:val="-1"/>
                <w:sz w:val="14"/>
              </w:rPr>
              <w:t> </w:t>
            </w:r>
            <w:r>
              <w:rPr>
                <w:sz w:val="14"/>
              </w:rPr>
              <w:t>use</w:t>
            </w:r>
            <w:r>
              <w:rPr>
                <w:spacing w:val="-4"/>
                <w:sz w:val="14"/>
              </w:rPr>
              <w:t> </w:t>
            </w:r>
            <w:r>
              <w:rPr>
                <w:sz w:val="14"/>
              </w:rPr>
              <w:t>of</w:t>
            </w:r>
            <w:r>
              <w:rPr>
                <w:spacing w:val="-2"/>
                <w:sz w:val="14"/>
              </w:rPr>
              <w:t> </w:t>
            </w:r>
            <w:r>
              <w:rPr>
                <w:sz w:val="14"/>
              </w:rPr>
              <w:t>council</w:t>
            </w:r>
            <w:r>
              <w:rPr>
                <w:spacing w:val="-2"/>
                <w:sz w:val="14"/>
              </w:rPr>
              <w:t> facilities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
              <w:rPr>
                <w:sz w:val="22"/>
              </w:rPr>
            </w:pPr>
          </w:p>
          <w:p>
            <w:pPr>
              <w:pStyle w:val="TableParagraph"/>
              <w:spacing w:line="140" w:lineRule="exact" w:before="1"/>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
              <w:rPr>
                <w:sz w:val="22"/>
              </w:rPr>
            </w:pPr>
          </w:p>
          <w:p>
            <w:pPr>
              <w:pStyle w:val="TableParagraph"/>
              <w:spacing w:line="140" w:lineRule="exact" w:before="1"/>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ind w:left="120" w:right="97" w:firstLine="2"/>
              <w:jc w:val="center"/>
              <w:rPr>
                <w:sz w:val="14"/>
              </w:rPr>
            </w:pPr>
            <w:r>
              <w:rPr>
                <w:sz w:val="14"/>
              </w:rPr>
              <w:t>Refer</w:t>
            </w:r>
            <w:r>
              <w:rPr>
                <w:spacing w:val="-6"/>
                <w:sz w:val="14"/>
              </w:rPr>
              <w:t> </w:t>
            </w:r>
            <w:r>
              <w:rPr>
                <w:sz w:val="14"/>
              </w:rPr>
              <w:t>to</w:t>
            </w:r>
            <w:r>
              <w:rPr>
                <w:spacing w:val="40"/>
                <w:sz w:val="14"/>
              </w:rPr>
              <w:t> </w:t>
            </w:r>
            <w:r>
              <w:rPr>
                <w:sz w:val="14"/>
              </w:rPr>
              <w:t>policy on</w:t>
            </w:r>
            <w:r>
              <w:rPr>
                <w:spacing w:val="40"/>
                <w:sz w:val="14"/>
              </w:rPr>
              <w:t> </w:t>
            </w:r>
            <w:r>
              <w:rPr>
                <w:spacing w:val="-4"/>
                <w:sz w:val="14"/>
              </w:rPr>
              <w:t>the</w:t>
            </w:r>
            <w:r>
              <w:rPr>
                <w:spacing w:val="40"/>
                <w:sz w:val="14"/>
              </w:rPr>
              <w:t> </w:t>
            </w:r>
            <w:r>
              <w:rPr>
                <w:spacing w:val="-2"/>
                <w:sz w:val="14"/>
              </w:rPr>
              <w:t>Maroondah</w:t>
            </w:r>
            <w:r>
              <w:rPr>
                <w:spacing w:val="40"/>
                <w:sz w:val="14"/>
              </w:rPr>
              <w:t> </w:t>
            </w:r>
            <w:r>
              <w:rPr>
                <w:sz w:val="14"/>
              </w:rPr>
              <w:t>City</w:t>
            </w:r>
            <w:r>
              <w:rPr>
                <w:spacing w:val="-5"/>
                <w:sz w:val="14"/>
              </w:rPr>
              <w:t> </w:t>
            </w:r>
            <w:r>
              <w:rPr>
                <w:spacing w:val="-2"/>
                <w:sz w:val="14"/>
              </w:rPr>
              <w:t>Council</w:t>
            </w:r>
          </w:p>
          <w:p>
            <w:pPr>
              <w:pStyle w:val="TableParagraph"/>
              <w:spacing w:line="140" w:lineRule="exact" w:before="2"/>
              <w:ind w:left="105" w:right="84"/>
              <w:jc w:val="center"/>
              <w:rPr>
                <w:sz w:val="14"/>
              </w:rPr>
            </w:pPr>
            <w:r>
              <w:rPr>
                <w:spacing w:val="-2"/>
                <w:sz w:val="14"/>
              </w:rPr>
              <w:t>Website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ind w:left="157" w:right="137"/>
              <w:jc w:val="center"/>
              <w:rPr>
                <w:sz w:val="14"/>
              </w:rPr>
            </w:pPr>
            <w:r>
              <w:rPr>
                <w:sz w:val="14"/>
              </w:rPr>
              <w:t>Refer</w:t>
            </w:r>
            <w:r>
              <w:rPr>
                <w:spacing w:val="-10"/>
                <w:sz w:val="14"/>
              </w:rPr>
              <w:t> </w:t>
            </w:r>
            <w:r>
              <w:rPr>
                <w:sz w:val="14"/>
              </w:rPr>
              <w:t>to</w:t>
            </w:r>
            <w:r>
              <w:rPr>
                <w:spacing w:val="-10"/>
                <w:sz w:val="14"/>
              </w:rPr>
              <w:t> </w:t>
            </w:r>
            <w:r>
              <w:rPr>
                <w:sz w:val="14"/>
              </w:rPr>
              <w:t>policy</w:t>
            </w:r>
            <w:r>
              <w:rPr>
                <w:spacing w:val="40"/>
                <w:sz w:val="14"/>
              </w:rPr>
              <w:t> </w:t>
            </w:r>
            <w:r>
              <w:rPr>
                <w:sz w:val="14"/>
              </w:rPr>
              <w:t>on</w:t>
            </w:r>
            <w:r>
              <w:rPr>
                <w:spacing w:val="-6"/>
                <w:sz w:val="14"/>
              </w:rPr>
              <w:t> </w:t>
            </w:r>
            <w:r>
              <w:rPr>
                <w:sz w:val="14"/>
              </w:rPr>
              <w:t>the</w:t>
            </w:r>
            <w:r>
              <w:rPr>
                <w:spacing w:val="40"/>
                <w:sz w:val="14"/>
              </w:rPr>
              <w:t> </w:t>
            </w:r>
            <w:r>
              <w:rPr>
                <w:spacing w:val="-2"/>
                <w:sz w:val="14"/>
              </w:rPr>
              <w:t>Maroondah</w:t>
            </w:r>
            <w:r>
              <w:rPr>
                <w:spacing w:val="40"/>
                <w:sz w:val="14"/>
              </w:rPr>
              <w:t> </w:t>
            </w:r>
            <w:r>
              <w:rPr>
                <w:sz w:val="14"/>
              </w:rPr>
              <w:t>City</w:t>
            </w:r>
            <w:r>
              <w:rPr>
                <w:spacing w:val="-4"/>
                <w:sz w:val="14"/>
              </w:rPr>
              <w:t> </w:t>
            </w:r>
            <w:r>
              <w:rPr>
                <w:sz w:val="14"/>
              </w:rPr>
              <w:t>Council</w:t>
            </w:r>
          </w:p>
          <w:p>
            <w:pPr>
              <w:pStyle w:val="TableParagraph"/>
              <w:spacing w:line="140" w:lineRule="exact" w:before="2"/>
              <w:ind w:left="156" w:right="137"/>
              <w:jc w:val="center"/>
              <w:rPr>
                <w:sz w:val="14"/>
              </w:rPr>
            </w:pPr>
            <w:r>
              <w:rPr>
                <w:spacing w:val="-2"/>
                <w:sz w:val="14"/>
              </w:rPr>
              <w:t>Website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Griff</w:t>
            </w:r>
            <w:r>
              <w:rPr>
                <w:b/>
                <w:spacing w:val="-5"/>
                <w:sz w:val="14"/>
              </w:rPr>
              <w:t> </w:t>
            </w:r>
            <w:r>
              <w:rPr>
                <w:b/>
                <w:sz w:val="14"/>
              </w:rPr>
              <w:t>Hunt</w:t>
            </w:r>
            <w:r>
              <w:rPr>
                <w:b/>
                <w:spacing w:val="-2"/>
                <w:sz w:val="14"/>
              </w:rPr>
              <w:t> Reserve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964"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6"/>
              </w:rPr>
            </w:pPr>
          </w:p>
          <w:p>
            <w:pPr>
              <w:pStyle w:val="TableParagraph"/>
              <w:spacing w:before="1"/>
              <w:rPr>
                <w:sz w:val="19"/>
              </w:rPr>
            </w:pPr>
          </w:p>
          <w:p>
            <w:pPr>
              <w:pStyle w:val="TableParagraph"/>
              <w:ind w:left="107"/>
              <w:rPr>
                <w:sz w:val="14"/>
              </w:rPr>
            </w:pPr>
            <w:r>
              <w:rPr>
                <w:sz w:val="14"/>
              </w:rPr>
              <w:t>Seasonal</w:t>
            </w:r>
            <w:r>
              <w:rPr>
                <w:spacing w:val="-5"/>
                <w:sz w:val="14"/>
              </w:rPr>
              <w:t> </w:t>
            </w:r>
            <w:r>
              <w:rPr>
                <w:sz w:val="14"/>
              </w:rPr>
              <w:t>&amp;</w:t>
            </w:r>
            <w:r>
              <w:rPr>
                <w:spacing w:val="-3"/>
                <w:sz w:val="14"/>
              </w:rPr>
              <w:t> </w:t>
            </w:r>
            <w:r>
              <w:rPr>
                <w:sz w:val="14"/>
              </w:rPr>
              <w:t>casual</w:t>
            </w:r>
            <w:r>
              <w:rPr>
                <w:spacing w:val="-1"/>
                <w:sz w:val="14"/>
              </w:rPr>
              <w:t> </w:t>
            </w:r>
            <w:r>
              <w:rPr>
                <w:sz w:val="14"/>
              </w:rPr>
              <w:t>use</w:t>
            </w:r>
            <w:r>
              <w:rPr>
                <w:spacing w:val="-4"/>
                <w:sz w:val="14"/>
              </w:rPr>
              <w:t> </w:t>
            </w:r>
            <w:r>
              <w:rPr>
                <w:sz w:val="14"/>
              </w:rPr>
              <w:t>of</w:t>
            </w:r>
            <w:r>
              <w:rPr>
                <w:spacing w:val="-2"/>
                <w:sz w:val="14"/>
              </w:rPr>
              <w:t> </w:t>
            </w:r>
            <w:r>
              <w:rPr>
                <w:sz w:val="14"/>
              </w:rPr>
              <w:t>council</w:t>
            </w:r>
            <w:r>
              <w:rPr>
                <w:spacing w:val="-2"/>
                <w:sz w:val="14"/>
              </w:rPr>
              <w:t> facilities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1"/>
              <w:rPr>
                <w:sz w:val="21"/>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1"/>
              <w:rPr>
                <w:sz w:val="21"/>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120" w:right="97" w:firstLine="2"/>
              <w:jc w:val="center"/>
              <w:rPr>
                <w:sz w:val="14"/>
              </w:rPr>
            </w:pPr>
            <w:r>
              <w:rPr>
                <w:sz w:val="14"/>
              </w:rPr>
              <w:t>Refer</w:t>
            </w:r>
            <w:r>
              <w:rPr>
                <w:spacing w:val="-6"/>
                <w:sz w:val="14"/>
              </w:rPr>
              <w:t> </w:t>
            </w:r>
            <w:r>
              <w:rPr>
                <w:sz w:val="14"/>
              </w:rPr>
              <w:t>to</w:t>
            </w:r>
            <w:r>
              <w:rPr>
                <w:spacing w:val="40"/>
                <w:sz w:val="14"/>
              </w:rPr>
              <w:t> </w:t>
            </w:r>
            <w:r>
              <w:rPr>
                <w:sz w:val="14"/>
              </w:rPr>
              <w:t>policy on</w:t>
            </w:r>
            <w:r>
              <w:rPr>
                <w:spacing w:val="40"/>
                <w:sz w:val="14"/>
              </w:rPr>
              <w:t> </w:t>
            </w:r>
            <w:r>
              <w:rPr>
                <w:spacing w:val="-4"/>
                <w:sz w:val="14"/>
              </w:rPr>
              <w:t>the</w:t>
            </w:r>
            <w:r>
              <w:rPr>
                <w:spacing w:val="40"/>
                <w:sz w:val="14"/>
              </w:rPr>
              <w:t> </w:t>
            </w:r>
            <w:r>
              <w:rPr>
                <w:spacing w:val="-2"/>
                <w:sz w:val="14"/>
              </w:rPr>
              <w:t>Maroondah</w:t>
            </w:r>
            <w:r>
              <w:rPr>
                <w:spacing w:val="40"/>
                <w:sz w:val="14"/>
              </w:rPr>
              <w:t> </w:t>
            </w:r>
            <w:r>
              <w:rPr>
                <w:spacing w:val="-2"/>
                <w:sz w:val="14"/>
              </w:rPr>
              <w:t>City</w:t>
            </w:r>
            <w:r>
              <w:rPr>
                <w:spacing w:val="-8"/>
                <w:sz w:val="14"/>
              </w:rPr>
              <w:t> </w:t>
            </w:r>
            <w:r>
              <w:rPr>
                <w:spacing w:val="-2"/>
                <w:sz w:val="14"/>
              </w:rPr>
              <w:t>Council</w:t>
            </w:r>
            <w:r>
              <w:rPr>
                <w:spacing w:val="40"/>
                <w:sz w:val="14"/>
              </w:rPr>
              <w:t> </w:t>
            </w:r>
            <w:r>
              <w:rPr>
                <w:spacing w:val="-2"/>
                <w:sz w:val="14"/>
              </w:rPr>
              <w:t>Website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41"/>
              <w:ind w:left="157" w:right="137"/>
              <w:jc w:val="center"/>
              <w:rPr>
                <w:sz w:val="14"/>
              </w:rPr>
            </w:pPr>
            <w:r>
              <w:rPr>
                <w:sz w:val="14"/>
              </w:rPr>
              <w:t>Refer</w:t>
            </w:r>
            <w:r>
              <w:rPr>
                <w:spacing w:val="-10"/>
                <w:sz w:val="14"/>
              </w:rPr>
              <w:t> </w:t>
            </w:r>
            <w:r>
              <w:rPr>
                <w:sz w:val="14"/>
              </w:rPr>
              <w:t>to</w:t>
            </w:r>
            <w:r>
              <w:rPr>
                <w:spacing w:val="-10"/>
                <w:sz w:val="14"/>
              </w:rPr>
              <w:t> </w:t>
            </w:r>
            <w:r>
              <w:rPr>
                <w:sz w:val="14"/>
              </w:rPr>
              <w:t>policy</w:t>
            </w:r>
            <w:r>
              <w:rPr>
                <w:spacing w:val="40"/>
                <w:sz w:val="14"/>
              </w:rPr>
              <w:t> </w:t>
            </w:r>
            <w:r>
              <w:rPr>
                <w:sz w:val="14"/>
              </w:rPr>
              <w:t>on</w:t>
            </w:r>
            <w:r>
              <w:rPr>
                <w:spacing w:val="-6"/>
                <w:sz w:val="14"/>
              </w:rPr>
              <w:t> </w:t>
            </w:r>
            <w:r>
              <w:rPr>
                <w:sz w:val="14"/>
              </w:rPr>
              <w:t>the</w:t>
            </w:r>
            <w:r>
              <w:rPr>
                <w:spacing w:val="40"/>
                <w:sz w:val="14"/>
              </w:rPr>
              <w:t> </w:t>
            </w:r>
            <w:r>
              <w:rPr>
                <w:spacing w:val="-2"/>
                <w:sz w:val="14"/>
              </w:rPr>
              <w:t>Maroondah</w:t>
            </w:r>
            <w:r>
              <w:rPr>
                <w:spacing w:val="40"/>
                <w:sz w:val="14"/>
              </w:rPr>
              <w:t> </w:t>
            </w:r>
            <w:r>
              <w:rPr>
                <w:sz w:val="14"/>
              </w:rPr>
              <w:t>City</w:t>
            </w:r>
            <w:r>
              <w:rPr>
                <w:spacing w:val="-4"/>
                <w:sz w:val="14"/>
              </w:rPr>
              <w:t> </w:t>
            </w:r>
            <w:r>
              <w:rPr>
                <w:sz w:val="14"/>
              </w:rPr>
              <w:t>Council</w:t>
            </w:r>
            <w:r>
              <w:rPr>
                <w:spacing w:val="40"/>
                <w:sz w:val="14"/>
              </w:rPr>
              <w:t> </w:t>
            </w:r>
            <w:r>
              <w:rPr>
                <w:spacing w:val="-2"/>
                <w:sz w:val="14"/>
              </w:rPr>
              <w:t>Website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8"/>
              <w:ind w:left="107"/>
              <w:rPr>
                <w:b/>
                <w:sz w:val="14"/>
              </w:rPr>
            </w:pPr>
            <w:r>
              <w:rPr>
                <w:b/>
                <w:sz w:val="14"/>
              </w:rPr>
              <w:t>Barngeong</w:t>
            </w:r>
            <w:r>
              <w:rPr>
                <w:b/>
                <w:spacing w:val="-9"/>
                <w:sz w:val="14"/>
              </w:rPr>
              <w:t> </w:t>
            </w:r>
            <w:r>
              <w:rPr>
                <w:b/>
                <w:spacing w:val="-2"/>
                <w:sz w:val="14"/>
              </w:rPr>
              <w:t>Reserve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964"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6"/>
              </w:rPr>
            </w:pPr>
          </w:p>
          <w:p>
            <w:pPr>
              <w:pStyle w:val="TableParagraph"/>
              <w:spacing w:before="10"/>
              <w:rPr>
                <w:sz w:val="18"/>
              </w:rPr>
            </w:pPr>
          </w:p>
          <w:p>
            <w:pPr>
              <w:pStyle w:val="TableParagraph"/>
              <w:ind w:left="107"/>
              <w:rPr>
                <w:sz w:val="14"/>
              </w:rPr>
            </w:pPr>
            <w:r>
              <w:rPr>
                <w:sz w:val="14"/>
              </w:rPr>
              <w:t>Seasonal</w:t>
            </w:r>
            <w:r>
              <w:rPr>
                <w:spacing w:val="-5"/>
                <w:sz w:val="14"/>
              </w:rPr>
              <w:t> </w:t>
            </w:r>
            <w:r>
              <w:rPr>
                <w:sz w:val="14"/>
              </w:rPr>
              <w:t>&amp;</w:t>
            </w:r>
            <w:r>
              <w:rPr>
                <w:spacing w:val="-3"/>
                <w:sz w:val="14"/>
              </w:rPr>
              <w:t> </w:t>
            </w:r>
            <w:r>
              <w:rPr>
                <w:sz w:val="14"/>
              </w:rPr>
              <w:t>casual</w:t>
            </w:r>
            <w:r>
              <w:rPr>
                <w:spacing w:val="-1"/>
                <w:sz w:val="14"/>
              </w:rPr>
              <w:t> </w:t>
            </w:r>
            <w:r>
              <w:rPr>
                <w:sz w:val="14"/>
              </w:rPr>
              <w:t>use</w:t>
            </w:r>
            <w:r>
              <w:rPr>
                <w:spacing w:val="-4"/>
                <w:sz w:val="14"/>
              </w:rPr>
              <w:t> </w:t>
            </w:r>
            <w:r>
              <w:rPr>
                <w:sz w:val="14"/>
              </w:rPr>
              <w:t>of</w:t>
            </w:r>
            <w:r>
              <w:rPr>
                <w:spacing w:val="-2"/>
                <w:sz w:val="14"/>
              </w:rPr>
              <w:t> </w:t>
            </w:r>
            <w:r>
              <w:rPr>
                <w:sz w:val="14"/>
              </w:rPr>
              <w:t>council</w:t>
            </w:r>
            <w:r>
              <w:rPr>
                <w:spacing w:val="-2"/>
                <w:sz w:val="14"/>
              </w:rPr>
              <w:t> facilities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1"/>
              <w:rPr>
                <w:sz w:val="21"/>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1"/>
              <w:rPr>
                <w:sz w:val="21"/>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120" w:right="97" w:firstLine="2"/>
              <w:jc w:val="center"/>
              <w:rPr>
                <w:sz w:val="14"/>
              </w:rPr>
            </w:pPr>
            <w:r>
              <w:rPr>
                <w:sz w:val="14"/>
              </w:rPr>
              <w:t>Refer</w:t>
            </w:r>
            <w:r>
              <w:rPr>
                <w:spacing w:val="-6"/>
                <w:sz w:val="14"/>
              </w:rPr>
              <w:t> </w:t>
            </w:r>
            <w:r>
              <w:rPr>
                <w:sz w:val="14"/>
              </w:rPr>
              <w:t>to</w:t>
            </w:r>
            <w:r>
              <w:rPr>
                <w:spacing w:val="40"/>
                <w:sz w:val="14"/>
              </w:rPr>
              <w:t> </w:t>
            </w:r>
            <w:r>
              <w:rPr>
                <w:sz w:val="14"/>
              </w:rPr>
              <w:t>policy on</w:t>
            </w:r>
            <w:r>
              <w:rPr>
                <w:spacing w:val="40"/>
                <w:sz w:val="14"/>
              </w:rPr>
              <w:t> </w:t>
            </w:r>
            <w:r>
              <w:rPr>
                <w:spacing w:val="-4"/>
                <w:sz w:val="14"/>
              </w:rPr>
              <w:t>the</w:t>
            </w:r>
            <w:r>
              <w:rPr>
                <w:spacing w:val="40"/>
                <w:sz w:val="14"/>
              </w:rPr>
              <w:t> </w:t>
            </w:r>
            <w:r>
              <w:rPr>
                <w:spacing w:val="-2"/>
                <w:sz w:val="14"/>
              </w:rPr>
              <w:t>Maroondah</w:t>
            </w:r>
            <w:r>
              <w:rPr>
                <w:spacing w:val="40"/>
                <w:sz w:val="14"/>
              </w:rPr>
              <w:t> </w:t>
            </w:r>
            <w:r>
              <w:rPr>
                <w:spacing w:val="-2"/>
                <w:sz w:val="14"/>
              </w:rPr>
              <w:t>City</w:t>
            </w:r>
            <w:r>
              <w:rPr>
                <w:spacing w:val="-8"/>
                <w:sz w:val="14"/>
              </w:rPr>
              <w:t> </w:t>
            </w:r>
            <w:r>
              <w:rPr>
                <w:spacing w:val="-2"/>
                <w:sz w:val="14"/>
              </w:rPr>
              <w:t>Council</w:t>
            </w:r>
            <w:r>
              <w:rPr>
                <w:spacing w:val="40"/>
                <w:sz w:val="14"/>
              </w:rPr>
              <w:t> </w:t>
            </w:r>
            <w:r>
              <w:rPr>
                <w:spacing w:val="-2"/>
                <w:sz w:val="14"/>
              </w:rPr>
              <w:t>Website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41"/>
              <w:ind w:left="157" w:right="137"/>
              <w:jc w:val="center"/>
              <w:rPr>
                <w:sz w:val="14"/>
              </w:rPr>
            </w:pPr>
            <w:r>
              <w:rPr>
                <w:sz w:val="14"/>
              </w:rPr>
              <w:t>Refer</w:t>
            </w:r>
            <w:r>
              <w:rPr>
                <w:spacing w:val="-10"/>
                <w:sz w:val="14"/>
              </w:rPr>
              <w:t> </w:t>
            </w:r>
            <w:r>
              <w:rPr>
                <w:sz w:val="14"/>
              </w:rPr>
              <w:t>to</w:t>
            </w:r>
            <w:r>
              <w:rPr>
                <w:spacing w:val="-10"/>
                <w:sz w:val="14"/>
              </w:rPr>
              <w:t> </w:t>
            </w:r>
            <w:r>
              <w:rPr>
                <w:sz w:val="14"/>
              </w:rPr>
              <w:t>policy</w:t>
            </w:r>
            <w:r>
              <w:rPr>
                <w:spacing w:val="40"/>
                <w:sz w:val="14"/>
              </w:rPr>
              <w:t> </w:t>
            </w:r>
            <w:r>
              <w:rPr>
                <w:sz w:val="14"/>
              </w:rPr>
              <w:t>on</w:t>
            </w:r>
            <w:r>
              <w:rPr>
                <w:spacing w:val="-6"/>
                <w:sz w:val="14"/>
              </w:rPr>
              <w:t> </w:t>
            </w:r>
            <w:r>
              <w:rPr>
                <w:sz w:val="14"/>
              </w:rPr>
              <w:t>the</w:t>
            </w:r>
            <w:r>
              <w:rPr>
                <w:spacing w:val="40"/>
                <w:sz w:val="14"/>
              </w:rPr>
              <w:t> </w:t>
            </w:r>
            <w:r>
              <w:rPr>
                <w:spacing w:val="-2"/>
                <w:sz w:val="14"/>
              </w:rPr>
              <w:t>Maroondah</w:t>
            </w:r>
            <w:r>
              <w:rPr>
                <w:spacing w:val="40"/>
                <w:sz w:val="14"/>
              </w:rPr>
              <w:t> </w:t>
            </w:r>
            <w:r>
              <w:rPr>
                <w:sz w:val="14"/>
              </w:rPr>
              <w:t>City</w:t>
            </w:r>
            <w:r>
              <w:rPr>
                <w:spacing w:val="-4"/>
                <w:sz w:val="14"/>
              </w:rPr>
              <w:t> </w:t>
            </w:r>
            <w:r>
              <w:rPr>
                <w:sz w:val="14"/>
              </w:rPr>
              <w:t>Council</w:t>
            </w:r>
            <w:r>
              <w:rPr>
                <w:spacing w:val="40"/>
                <w:sz w:val="14"/>
              </w:rPr>
              <w:t> </w:t>
            </w:r>
            <w:r>
              <w:rPr>
                <w:spacing w:val="-2"/>
                <w:sz w:val="14"/>
              </w:rPr>
              <w:t>Website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7"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8"/>
              <w:ind w:left="107"/>
              <w:rPr>
                <w:b/>
                <w:sz w:val="14"/>
              </w:rPr>
            </w:pPr>
            <w:r>
              <w:rPr>
                <w:b/>
                <w:sz w:val="14"/>
              </w:rPr>
              <w:t>Silcock</w:t>
            </w:r>
            <w:r>
              <w:rPr>
                <w:b/>
                <w:spacing w:val="-5"/>
                <w:sz w:val="14"/>
              </w:rPr>
              <w:t> </w:t>
            </w:r>
            <w:r>
              <w:rPr>
                <w:b/>
                <w:spacing w:val="-2"/>
                <w:sz w:val="14"/>
              </w:rPr>
              <w:t>Reserve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966"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6"/>
              </w:rPr>
            </w:pPr>
          </w:p>
          <w:p>
            <w:pPr>
              <w:pStyle w:val="TableParagraph"/>
              <w:spacing w:before="1"/>
              <w:rPr>
                <w:sz w:val="19"/>
              </w:rPr>
            </w:pPr>
          </w:p>
          <w:p>
            <w:pPr>
              <w:pStyle w:val="TableParagraph"/>
              <w:ind w:left="107"/>
              <w:rPr>
                <w:sz w:val="14"/>
              </w:rPr>
            </w:pPr>
            <w:r>
              <w:rPr>
                <w:sz w:val="14"/>
              </w:rPr>
              <w:t>Seasonal</w:t>
            </w:r>
            <w:r>
              <w:rPr>
                <w:spacing w:val="-5"/>
                <w:sz w:val="14"/>
              </w:rPr>
              <w:t> </w:t>
            </w:r>
            <w:r>
              <w:rPr>
                <w:sz w:val="14"/>
              </w:rPr>
              <w:t>&amp;</w:t>
            </w:r>
            <w:r>
              <w:rPr>
                <w:spacing w:val="-3"/>
                <w:sz w:val="14"/>
              </w:rPr>
              <w:t> </w:t>
            </w:r>
            <w:r>
              <w:rPr>
                <w:sz w:val="14"/>
              </w:rPr>
              <w:t>casual</w:t>
            </w:r>
            <w:r>
              <w:rPr>
                <w:spacing w:val="-1"/>
                <w:sz w:val="14"/>
              </w:rPr>
              <w:t> </w:t>
            </w:r>
            <w:r>
              <w:rPr>
                <w:sz w:val="14"/>
              </w:rPr>
              <w:t>use</w:t>
            </w:r>
            <w:r>
              <w:rPr>
                <w:spacing w:val="-4"/>
                <w:sz w:val="14"/>
              </w:rPr>
              <w:t> </w:t>
            </w:r>
            <w:r>
              <w:rPr>
                <w:sz w:val="14"/>
              </w:rPr>
              <w:t>of</w:t>
            </w:r>
            <w:r>
              <w:rPr>
                <w:spacing w:val="-2"/>
                <w:sz w:val="14"/>
              </w:rPr>
              <w:t> </w:t>
            </w:r>
            <w:r>
              <w:rPr>
                <w:sz w:val="14"/>
              </w:rPr>
              <w:t>council</w:t>
            </w:r>
            <w:r>
              <w:rPr>
                <w:spacing w:val="-2"/>
                <w:sz w:val="14"/>
              </w:rPr>
              <w:t> facilities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
              <w:rPr>
                <w:sz w:val="22"/>
              </w:rPr>
            </w:pPr>
          </w:p>
          <w:p>
            <w:pPr>
              <w:pStyle w:val="TableParagraph"/>
              <w:spacing w:line="140" w:lineRule="exact" w:before="1"/>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
              <w:rPr>
                <w:sz w:val="22"/>
              </w:rPr>
            </w:pPr>
          </w:p>
          <w:p>
            <w:pPr>
              <w:pStyle w:val="TableParagraph"/>
              <w:spacing w:line="140" w:lineRule="exact" w:before="1"/>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120" w:right="97" w:firstLine="2"/>
              <w:jc w:val="center"/>
              <w:rPr>
                <w:sz w:val="14"/>
              </w:rPr>
            </w:pPr>
            <w:r>
              <w:rPr>
                <w:sz w:val="14"/>
              </w:rPr>
              <w:t>Refer</w:t>
            </w:r>
            <w:r>
              <w:rPr>
                <w:spacing w:val="-6"/>
                <w:sz w:val="14"/>
              </w:rPr>
              <w:t> </w:t>
            </w:r>
            <w:r>
              <w:rPr>
                <w:sz w:val="14"/>
              </w:rPr>
              <w:t>to</w:t>
            </w:r>
            <w:r>
              <w:rPr>
                <w:spacing w:val="40"/>
                <w:sz w:val="14"/>
              </w:rPr>
              <w:t> </w:t>
            </w:r>
            <w:r>
              <w:rPr>
                <w:sz w:val="14"/>
              </w:rPr>
              <w:t>policy on</w:t>
            </w:r>
            <w:r>
              <w:rPr>
                <w:spacing w:val="40"/>
                <w:sz w:val="14"/>
              </w:rPr>
              <w:t> </w:t>
            </w:r>
            <w:r>
              <w:rPr>
                <w:spacing w:val="-4"/>
                <w:sz w:val="14"/>
              </w:rPr>
              <w:t>the</w:t>
            </w:r>
            <w:r>
              <w:rPr>
                <w:spacing w:val="40"/>
                <w:sz w:val="14"/>
              </w:rPr>
              <w:t> </w:t>
            </w:r>
            <w:r>
              <w:rPr>
                <w:spacing w:val="-2"/>
                <w:sz w:val="14"/>
              </w:rPr>
              <w:t>Maroondah</w:t>
            </w:r>
            <w:r>
              <w:rPr>
                <w:spacing w:val="40"/>
                <w:sz w:val="14"/>
              </w:rPr>
              <w:t> </w:t>
            </w:r>
            <w:r>
              <w:rPr>
                <w:spacing w:val="-2"/>
                <w:sz w:val="14"/>
              </w:rPr>
              <w:t>City</w:t>
            </w:r>
            <w:r>
              <w:rPr>
                <w:spacing w:val="-8"/>
                <w:sz w:val="14"/>
              </w:rPr>
              <w:t> </w:t>
            </w:r>
            <w:r>
              <w:rPr>
                <w:spacing w:val="-2"/>
                <w:sz w:val="14"/>
              </w:rPr>
              <w:t>Council</w:t>
            </w:r>
            <w:r>
              <w:rPr>
                <w:spacing w:val="40"/>
                <w:sz w:val="14"/>
              </w:rPr>
              <w:t> </w:t>
            </w:r>
            <w:r>
              <w:rPr>
                <w:spacing w:val="-2"/>
                <w:sz w:val="14"/>
              </w:rPr>
              <w:t>Website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43"/>
              <w:ind w:left="157" w:right="137"/>
              <w:jc w:val="center"/>
              <w:rPr>
                <w:sz w:val="14"/>
              </w:rPr>
            </w:pPr>
            <w:r>
              <w:rPr>
                <w:sz w:val="14"/>
              </w:rPr>
              <w:t>Refer</w:t>
            </w:r>
            <w:r>
              <w:rPr>
                <w:spacing w:val="-10"/>
                <w:sz w:val="14"/>
              </w:rPr>
              <w:t> </w:t>
            </w:r>
            <w:r>
              <w:rPr>
                <w:sz w:val="14"/>
              </w:rPr>
              <w:t>to</w:t>
            </w:r>
            <w:r>
              <w:rPr>
                <w:spacing w:val="-10"/>
                <w:sz w:val="14"/>
              </w:rPr>
              <w:t> </w:t>
            </w:r>
            <w:r>
              <w:rPr>
                <w:sz w:val="14"/>
              </w:rPr>
              <w:t>policy</w:t>
            </w:r>
            <w:r>
              <w:rPr>
                <w:spacing w:val="40"/>
                <w:sz w:val="14"/>
              </w:rPr>
              <w:t> </w:t>
            </w:r>
            <w:r>
              <w:rPr>
                <w:sz w:val="14"/>
              </w:rPr>
              <w:t>on</w:t>
            </w:r>
            <w:r>
              <w:rPr>
                <w:spacing w:val="-6"/>
                <w:sz w:val="14"/>
              </w:rPr>
              <w:t> </w:t>
            </w:r>
            <w:r>
              <w:rPr>
                <w:sz w:val="14"/>
              </w:rPr>
              <w:t>the</w:t>
            </w:r>
            <w:r>
              <w:rPr>
                <w:spacing w:val="40"/>
                <w:sz w:val="14"/>
              </w:rPr>
              <w:t> </w:t>
            </w:r>
            <w:r>
              <w:rPr>
                <w:spacing w:val="-2"/>
                <w:sz w:val="14"/>
              </w:rPr>
              <w:t>Maroondah</w:t>
            </w:r>
            <w:r>
              <w:rPr>
                <w:spacing w:val="40"/>
                <w:sz w:val="14"/>
              </w:rPr>
              <w:t> </w:t>
            </w:r>
            <w:r>
              <w:rPr>
                <w:sz w:val="14"/>
              </w:rPr>
              <w:t>City</w:t>
            </w:r>
            <w:r>
              <w:rPr>
                <w:spacing w:val="-4"/>
                <w:sz w:val="14"/>
              </w:rPr>
              <w:t> </w:t>
            </w:r>
            <w:r>
              <w:rPr>
                <w:sz w:val="14"/>
              </w:rPr>
              <w:t>Council</w:t>
            </w:r>
            <w:r>
              <w:rPr>
                <w:spacing w:val="40"/>
                <w:sz w:val="14"/>
              </w:rPr>
              <w:t> </w:t>
            </w:r>
            <w:r>
              <w:rPr>
                <w:spacing w:val="-2"/>
                <w:sz w:val="14"/>
              </w:rPr>
              <w:t>Website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Town</w:t>
            </w:r>
            <w:r>
              <w:rPr>
                <w:b/>
                <w:spacing w:val="-5"/>
                <w:sz w:val="14"/>
              </w:rPr>
              <w:t> </w:t>
            </w:r>
            <w:r>
              <w:rPr>
                <w:b/>
                <w:sz w:val="14"/>
              </w:rPr>
              <w:t>Park</w:t>
            </w:r>
            <w:r>
              <w:rPr>
                <w:b/>
                <w:spacing w:val="-4"/>
                <w:sz w:val="14"/>
              </w:rPr>
              <w:t> </w:t>
            </w:r>
            <w:r>
              <w:rPr>
                <w:b/>
                <w:spacing w:val="-2"/>
                <w:sz w:val="14"/>
              </w:rPr>
              <w:t>Income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bl>
    <w:p>
      <w:pPr>
        <w:spacing w:after="0"/>
        <w:rPr>
          <w:rFonts w:ascii="Times New Roman"/>
          <w:sz w:val="12"/>
        </w:rPr>
        <w:sectPr>
          <w:type w:val="continuous"/>
          <w:pgSz w:w="11910" w:h="16840"/>
          <w:pgMar w:header="0" w:footer="378" w:top="680" w:bottom="722" w:left="520" w:right="520"/>
        </w:sectPr>
      </w:pPr>
    </w:p>
    <w:tbl>
      <w:tblPr>
        <w:tblW w:w="0" w:type="auto"/>
        <w:jc w:val="left"/>
        <w:tblInd w:w="13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70"/>
        <w:gridCol w:w="1028"/>
        <w:gridCol w:w="769"/>
        <w:gridCol w:w="973"/>
        <w:gridCol w:w="1199"/>
        <w:gridCol w:w="897"/>
      </w:tblGrid>
      <w:tr>
        <w:trPr>
          <w:trHeight w:val="232" w:hRule="atLeast"/>
        </w:trPr>
        <w:tc>
          <w:tcPr>
            <w:tcW w:w="10636" w:type="dxa"/>
            <w:gridSpan w:val="6"/>
            <w:tcBorders>
              <w:left w:val="single" w:sz="12" w:space="0" w:color="000000"/>
              <w:bottom w:val="single" w:sz="4" w:space="0" w:color="000000"/>
              <w:right w:val="single" w:sz="12" w:space="0" w:color="000000"/>
            </w:tcBorders>
            <w:shd w:val="clear" w:color="auto" w:fill="3399FF"/>
          </w:tcPr>
          <w:p>
            <w:pPr>
              <w:pStyle w:val="TableParagraph"/>
              <w:spacing w:before="32"/>
              <w:ind w:left="4308" w:right="4290"/>
              <w:jc w:val="center"/>
              <w:rPr>
                <w:b/>
                <w:sz w:val="14"/>
              </w:rPr>
            </w:pPr>
            <w:r>
              <w:rPr>
                <w:b/>
                <w:color w:val="FFFFFF"/>
                <w:sz w:val="14"/>
              </w:rPr>
              <w:t>FEES</w:t>
            </w:r>
            <w:r>
              <w:rPr>
                <w:b/>
                <w:color w:val="FFFFFF"/>
                <w:spacing w:val="-5"/>
                <w:sz w:val="14"/>
              </w:rPr>
              <w:t> </w:t>
            </w:r>
            <w:r>
              <w:rPr>
                <w:b/>
                <w:color w:val="FFFFFF"/>
                <w:sz w:val="14"/>
              </w:rPr>
              <w:t>AND</w:t>
            </w:r>
            <w:r>
              <w:rPr>
                <w:b/>
                <w:color w:val="FFFFFF"/>
                <w:spacing w:val="-4"/>
                <w:sz w:val="14"/>
              </w:rPr>
              <w:t> </w:t>
            </w:r>
            <w:r>
              <w:rPr>
                <w:b/>
                <w:color w:val="FFFFFF"/>
                <w:sz w:val="14"/>
              </w:rPr>
              <w:t>CHARGES</w:t>
            </w:r>
            <w:r>
              <w:rPr>
                <w:b/>
                <w:color w:val="FFFFFF"/>
                <w:spacing w:val="-1"/>
                <w:sz w:val="14"/>
              </w:rPr>
              <w:t> </w:t>
            </w:r>
            <w:r>
              <w:rPr>
                <w:b/>
                <w:color w:val="FFFFFF"/>
                <w:spacing w:val="-2"/>
                <w:sz w:val="14"/>
              </w:rPr>
              <w:t>2025/26</w:t>
            </w:r>
          </w:p>
        </w:tc>
      </w:tr>
      <w:tr>
        <w:trPr>
          <w:trHeight w:val="858" w:hRule="atLeast"/>
        </w:trPr>
        <w:tc>
          <w:tcPr>
            <w:tcW w:w="5770" w:type="dxa"/>
            <w:tcBorders>
              <w:top w:val="single" w:sz="4" w:space="0" w:color="000000"/>
              <w:left w:val="single" w:sz="12" w:space="0" w:color="000000"/>
              <w:bottom w:val="single" w:sz="4" w:space="0" w:color="000000"/>
              <w:right w:val="single" w:sz="4"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107"/>
              <w:rPr>
                <w:b/>
                <w:sz w:val="14"/>
              </w:rPr>
            </w:pPr>
            <w:r>
              <w:rPr>
                <w:b/>
                <w:color w:val="FFFFFF"/>
                <w:sz w:val="14"/>
              </w:rPr>
              <w:t>Account</w:t>
            </w:r>
            <w:r>
              <w:rPr>
                <w:b/>
                <w:color w:val="FFFFFF"/>
                <w:spacing w:val="-7"/>
                <w:sz w:val="14"/>
              </w:rPr>
              <w:t> </w:t>
            </w:r>
            <w:r>
              <w:rPr>
                <w:b/>
                <w:color w:val="FFFFFF"/>
                <w:spacing w:val="-2"/>
                <w:sz w:val="14"/>
              </w:rPr>
              <w:t>Description</w:t>
            </w:r>
          </w:p>
        </w:tc>
        <w:tc>
          <w:tcPr>
            <w:tcW w:w="1028"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26" w:right="101" w:firstLine="4"/>
              <w:jc w:val="center"/>
              <w:rPr>
                <w:b/>
                <w:sz w:val="14"/>
              </w:rPr>
            </w:pPr>
            <w:r>
              <w:rPr>
                <w:b/>
                <w:color w:val="FFFFFF"/>
                <w:sz w:val="14"/>
              </w:rPr>
              <w:t>Fee</w:t>
            </w:r>
            <w:r>
              <w:rPr>
                <w:b/>
                <w:color w:val="FFFFFF"/>
                <w:spacing w:val="-6"/>
                <w:sz w:val="14"/>
              </w:rPr>
              <w:t> </w:t>
            </w:r>
            <w:r>
              <w:rPr>
                <w:b/>
                <w:color w:val="FFFFFF"/>
                <w:sz w:val="14"/>
              </w:rPr>
              <w:t>Type</w:t>
            </w:r>
            <w:r>
              <w:rPr>
                <w:b/>
                <w:color w:val="FFFFFF"/>
                <w:spacing w:val="40"/>
                <w:sz w:val="14"/>
              </w:rPr>
              <w:t> </w:t>
            </w:r>
            <w:r>
              <w:rPr>
                <w:b/>
                <w:color w:val="FFFFFF"/>
                <w:spacing w:val="-2"/>
                <w:sz w:val="14"/>
              </w:rPr>
              <w:t>N=Non-</w:t>
            </w:r>
            <w:r>
              <w:rPr>
                <w:b/>
                <w:color w:val="FFFFFF"/>
                <w:spacing w:val="40"/>
                <w:sz w:val="14"/>
              </w:rPr>
              <w:t> </w:t>
            </w:r>
            <w:r>
              <w:rPr>
                <w:b/>
                <w:color w:val="FFFFFF"/>
                <w:spacing w:val="-2"/>
                <w:sz w:val="14"/>
              </w:rPr>
              <w:t>Statutory</w:t>
            </w:r>
            <w:r>
              <w:rPr>
                <w:b/>
                <w:color w:val="FFFFFF"/>
                <w:spacing w:val="40"/>
                <w:sz w:val="14"/>
              </w:rPr>
              <w:t> </w:t>
            </w:r>
            <w:r>
              <w:rPr>
                <w:b/>
                <w:color w:val="FFFFFF"/>
                <w:spacing w:val="-2"/>
                <w:sz w:val="14"/>
              </w:rPr>
              <w:t>S=Statutory</w:t>
            </w:r>
          </w:p>
        </w:tc>
        <w:tc>
          <w:tcPr>
            <w:tcW w:w="76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4"/>
              <w:rPr>
                <w:sz w:val="23"/>
              </w:rPr>
            </w:pPr>
          </w:p>
          <w:p>
            <w:pPr>
              <w:pStyle w:val="TableParagraph"/>
              <w:spacing w:before="1"/>
              <w:ind w:left="248"/>
              <w:rPr>
                <w:b/>
                <w:sz w:val="14"/>
              </w:rPr>
            </w:pPr>
            <w:r>
              <w:rPr>
                <w:b/>
                <w:color w:val="FFFFFF"/>
                <w:spacing w:val="-5"/>
                <w:sz w:val="14"/>
              </w:rPr>
              <w:t>GST</w:t>
            </w:r>
          </w:p>
          <w:p>
            <w:pPr>
              <w:pStyle w:val="TableParagraph"/>
              <w:ind w:left="154"/>
              <w:rPr>
                <w:b/>
                <w:sz w:val="14"/>
              </w:rPr>
            </w:pPr>
            <w:r>
              <w:rPr>
                <w:b/>
                <w:color w:val="FFFFFF"/>
                <w:spacing w:val="-2"/>
                <w:sz w:val="14"/>
              </w:rPr>
              <w:t>Yes/No</w:t>
            </w:r>
          </w:p>
        </w:tc>
        <w:tc>
          <w:tcPr>
            <w:tcW w:w="973"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05" w:right="84"/>
              <w:jc w:val="center"/>
              <w:rPr>
                <w:b/>
                <w:sz w:val="14"/>
              </w:rPr>
            </w:pPr>
            <w:r>
              <w:rPr>
                <w:b/>
                <w:color w:val="FFFFFF"/>
                <w:spacing w:val="-2"/>
                <w:sz w:val="14"/>
              </w:rPr>
              <w:t>2024/25</w:t>
            </w:r>
          </w:p>
          <w:p>
            <w:pPr>
              <w:pStyle w:val="TableParagraph"/>
              <w:ind w:left="189" w:right="168" w:firstLine="1"/>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40"/>
                <w:sz w:val="14"/>
              </w:rPr>
              <w:t> </w:t>
            </w:r>
            <w:r>
              <w:rPr>
                <w:b/>
                <w:color w:val="FFFFFF"/>
                <w:sz w:val="14"/>
              </w:rPr>
              <w:t>Incl.</w:t>
            </w:r>
            <w:r>
              <w:rPr>
                <w:b/>
                <w:color w:val="FFFFFF"/>
                <w:spacing w:val="-5"/>
                <w:sz w:val="14"/>
              </w:rPr>
              <w:t> </w:t>
            </w:r>
            <w:r>
              <w:rPr>
                <w:b/>
                <w:color w:val="FFFFFF"/>
                <w:spacing w:val="-5"/>
                <w:sz w:val="14"/>
              </w:rPr>
              <w:t>GST</w:t>
            </w:r>
          </w:p>
        </w:tc>
        <w:tc>
          <w:tcPr>
            <w:tcW w:w="119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56" w:right="137"/>
              <w:jc w:val="center"/>
              <w:rPr>
                <w:b/>
                <w:sz w:val="14"/>
              </w:rPr>
            </w:pPr>
            <w:r>
              <w:rPr>
                <w:b/>
                <w:color w:val="FFFFFF"/>
                <w:spacing w:val="-2"/>
                <w:sz w:val="14"/>
              </w:rPr>
              <w:t>2025/26</w:t>
            </w:r>
          </w:p>
          <w:p>
            <w:pPr>
              <w:pStyle w:val="TableParagraph"/>
              <w:ind w:left="164" w:right="146" w:firstLine="2"/>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8"/>
                <w:sz w:val="14"/>
              </w:rPr>
              <w:t> </w:t>
            </w:r>
            <w:r>
              <w:rPr>
                <w:b/>
                <w:color w:val="FFFFFF"/>
                <w:spacing w:val="-2"/>
                <w:sz w:val="14"/>
              </w:rPr>
              <w:t>Incl.</w:t>
            </w:r>
          </w:p>
          <w:p>
            <w:pPr>
              <w:pStyle w:val="TableParagraph"/>
              <w:spacing w:line="161" w:lineRule="exact"/>
              <w:ind w:left="153" w:right="137"/>
              <w:jc w:val="center"/>
              <w:rPr>
                <w:b/>
                <w:sz w:val="14"/>
              </w:rPr>
            </w:pPr>
            <w:r>
              <w:rPr>
                <w:b/>
                <w:color w:val="FFFFFF"/>
                <w:spacing w:val="-5"/>
                <w:sz w:val="14"/>
              </w:rPr>
              <w:t>GST</w:t>
            </w:r>
          </w:p>
        </w:tc>
        <w:tc>
          <w:tcPr>
            <w:tcW w:w="897" w:type="dxa"/>
            <w:tcBorders>
              <w:top w:val="single" w:sz="4" w:space="0" w:color="000000"/>
              <w:left w:val="single" w:sz="4" w:space="0" w:color="000000"/>
              <w:bottom w:val="single" w:sz="4" w:space="0" w:color="000000"/>
              <w:right w:val="single" w:sz="12"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95" w:right="81"/>
              <w:jc w:val="center"/>
              <w:rPr>
                <w:b/>
                <w:sz w:val="14"/>
              </w:rPr>
            </w:pPr>
            <w:r>
              <w:rPr>
                <w:b/>
                <w:color w:val="FFFFFF"/>
                <w:sz w:val="14"/>
              </w:rPr>
              <w:t>%</w:t>
            </w:r>
            <w:r>
              <w:rPr>
                <w:b/>
                <w:color w:val="FFFFFF"/>
                <w:spacing w:val="-4"/>
                <w:sz w:val="14"/>
              </w:rPr>
              <w:t> </w:t>
            </w:r>
            <w:r>
              <w:rPr>
                <w:b/>
                <w:color w:val="FFFFFF"/>
                <w:spacing w:val="-2"/>
                <w:sz w:val="14"/>
              </w:rPr>
              <w:t>Change</w:t>
            </w:r>
          </w:p>
        </w:tc>
      </w:tr>
      <w:tr>
        <w:trPr>
          <w:trHeight w:val="966"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6"/>
              </w:rPr>
            </w:pPr>
          </w:p>
          <w:p>
            <w:pPr>
              <w:pStyle w:val="TableParagraph"/>
              <w:spacing w:before="1"/>
              <w:rPr>
                <w:sz w:val="19"/>
              </w:rPr>
            </w:pPr>
          </w:p>
          <w:p>
            <w:pPr>
              <w:pStyle w:val="TableParagraph"/>
              <w:ind w:left="107"/>
              <w:rPr>
                <w:sz w:val="14"/>
              </w:rPr>
            </w:pPr>
            <w:r>
              <w:rPr>
                <w:sz w:val="14"/>
              </w:rPr>
              <w:t>Seasonal</w:t>
            </w:r>
            <w:r>
              <w:rPr>
                <w:spacing w:val="-5"/>
                <w:sz w:val="14"/>
              </w:rPr>
              <w:t> </w:t>
            </w:r>
            <w:r>
              <w:rPr>
                <w:sz w:val="14"/>
              </w:rPr>
              <w:t>&amp;</w:t>
            </w:r>
            <w:r>
              <w:rPr>
                <w:spacing w:val="-3"/>
                <w:sz w:val="14"/>
              </w:rPr>
              <w:t> </w:t>
            </w:r>
            <w:r>
              <w:rPr>
                <w:sz w:val="14"/>
              </w:rPr>
              <w:t>casual</w:t>
            </w:r>
            <w:r>
              <w:rPr>
                <w:spacing w:val="-1"/>
                <w:sz w:val="14"/>
              </w:rPr>
              <w:t> </w:t>
            </w:r>
            <w:r>
              <w:rPr>
                <w:sz w:val="14"/>
              </w:rPr>
              <w:t>use</w:t>
            </w:r>
            <w:r>
              <w:rPr>
                <w:spacing w:val="-4"/>
                <w:sz w:val="14"/>
              </w:rPr>
              <w:t> </w:t>
            </w:r>
            <w:r>
              <w:rPr>
                <w:sz w:val="14"/>
              </w:rPr>
              <w:t>of</w:t>
            </w:r>
            <w:r>
              <w:rPr>
                <w:spacing w:val="-2"/>
                <w:sz w:val="14"/>
              </w:rPr>
              <w:t> </w:t>
            </w:r>
            <w:r>
              <w:rPr>
                <w:sz w:val="14"/>
              </w:rPr>
              <w:t>council</w:t>
            </w:r>
            <w:r>
              <w:rPr>
                <w:spacing w:val="-2"/>
                <w:sz w:val="14"/>
              </w:rPr>
              <w:t> facilities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
              <w:rPr>
                <w:sz w:val="22"/>
              </w:rPr>
            </w:pPr>
          </w:p>
          <w:p>
            <w:pPr>
              <w:pStyle w:val="TableParagraph"/>
              <w:spacing w:line="140" w:lineRule="exact" w:before="1"/>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
              <w:rPr>
                <w:sz w:val="22"/>
              </w:rPr>
            </w:pPr>
          </w:p>
          <w:p>
            <w:pPr>
              <w:pStyle w:val="TableParagraph"/>
              <w:spacing w:line="140" w:lineRule="exact" w:before="1"/>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120" w:right="97" w:firstLine="2"/>
              <w:jc w:val="center"/>
              <w:rPr>
                <w:sz w:val="14"/>
              </w:rPr>
            </w:pPr>
            <w:r>
              <w:rPr>
                <w:sz w:val="14"/>
              </w:rPr>
              <w:t>Refer</w:t>
            </w:r>
            <w:r>
              <w:rPr>
                <w:spacing w:val="-6"/>
                <w:sz w:val="14"/>
              </w:rPr>
              <w:t> </w:t>
            </w:r>
            <w:r>
              <w:rPr>
                <w:sz w:val="14"/>
              </w:rPr>
              <w:t>to</w:t>
            </w:r>
            <w:r>
              <w:rPr>
                <w:spacing w:val="40"/>
                <w:sz w:val="14"/>
              </w:rPr>
              <w:t> </w:t>
            </w:r>
            <w:r>
              <w:rPr>
                <w:sz w:val="14"/>
              </w:rPr>
              <w:t>policy on</w:t>
            </w:r>
            <w:r>
              <w:rPr>
                <w:spacing w:val="40"/>
                <w:sz w:val="14"/>
              </w:rPr>
              <w:t> </w:t>
            </w:r>
            <w:r>
              <w:rPr>
                <w:spacing w:val="-4"/>
                <w:sz w:val="14"/>
              </w:rPr>
              <w:t>the</w:t>
            </w:r>
            <w:r>
              <w:rPr>
                <w:spacing w:val="40"/>
                <w:sz w:val="14"/>
              </w:rPr>
              <w:t> </w:t>
            </w:r>
            <w:r>
              <w:rPr>
                <w:spacing w:val="-2"/>
                <w:sz w:val="14"/>
              </w:rPr>
              <w:t>Maroondah</w:t>
            </w:r>
            <w:r>
              <w:rPr>
                <w:spacing w:val="40"/>
                <w:sz w:val="14"/>
              </w:rPr>
              <w:t> </w:t>
            </w:r>
            <w:r>
              <w:rPr>
                <w:spacing w:val="-2"/>
                <w:sz w:val="14"/>
              </w:rPr>
              <w:t>City</w:t>
            </w:r>
            <w:r>
              <w:rPr>
                <w:spacing w:val="-8"/>
                <w:sz w:val="14"/>
              </w:rPr>
              <w:t> </w:t>
            </w:r>
            <w:r>
              <w:rPr>
                <w:spacing w:val="-2"/>
                <w:sz w:val="14"/>
              </w:rPr>
              <w:t>Council</w:t>
            </w:r>
            <w:r>
              <w:rPr>
                <w:spacing w:val="40"/>
                <w:sz w:val="14"/>
              </w:rPr>
              <w:t> </w:t>
            </w:r>
            <w:r>
              <w:rPr>
                <w:spacing w:val="-2"/>
                <w:sz w:val="14"/>
              </w:rPr>
              <w:t>Website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43"/>
              <w:ind w:left="157" w:right="137"/>
              <w:jc w:val="center"/>
              <w:rPr>
                <w:sz w:val="14"/>
              </w:rPr>
            </w:pPr>
            <w:r>
              <w:rPr>
                <w:sz w:val="14"/>
              </w:rPr>
              <w:t>Refer</w:t>
            </w:r>
            <w:r>
              <w:rPr>
                <w:spacing w:val="-10"/>
                <w:sz w:val="14"/>
              </w:rPr>
              <w:t> </w:t>
            </w:r>
            <w:r>
              <w:rPr>
                <w:sz w:val="14"/>
              </w:rPr>
              <w:t>to</w:t>
            </w:r>
            <w:r>
              <w:rPr>
                <w:spacing w:val="-10"/>
                <w:sz w:val="14"/>
              </w:rPr>
              <w:t> </w:t>
            </w:r>
            <w:r>
              <w:rPr>
                <w:sz w:val="14"/>
              </w:rPr>
              <w:t>policy</w:t>
            </w:r>
            <w:r>
              <w:rPr>
                <w:spacing w:val="40"/>
                <w:sz w:val="14"/>
              </w:rPr>
              <w:t> </w:t>
            </w:r>
            <w:r>
              <w:rPr>
                <w:sz w:val="14"/>
              </w:rPr>
              <w:t>on</w:t>
            </w:r>
            <w:r>
              <w:rPr>
                <w:spacing w:val="-6"/>
                <w:sz w:val="14"/>
              </w:rPr>
              <w:t> </w:t>
            </w:r>
            <w:r>
              <w:rPr>
                <w:sz w:val="14"/>
              </w:rPr>
              <w:t>the</w:t>
            </w:r>
            <w:r>
              <w:rPr>
                <w:spacing w:val="40"/>
                <w:sz w:val="14"/>
              </w:rPr>
              <w:t> </w:t>
            </w:r>
            <w:r>
              <w:rPr>
                <w:spacing w:val="-2"/>
                <w:sz w:val="14"/>
              </w:rPr>
              <w:t>Maroondah</w:t>
            </w:r>
            <w:r>
              <w:rPr>
                <w:spacing w:val="40"/>
                <w:sz w:val="14"/>
              </w:rPr>
              <w:t> </w:t>
            </w:r>
            <w:r>
              <w:rPr>
                <w:sz w:val="14"/>
              </w:rPr>
              <w:t>City</w:t>
            </w:r>
            <w:r>
              <w:rPr>
                <w:spacing w:val="-4"/>
                <w:sz w:val="14"/>
              </w:rPr>
              <w:t> </w:t>
            </w:r>
            <w:r>
              <w:rPr>
                <w:sz w:val="14"/>
              </w:rPr>
              <w:t>Council</w:t>
            </w:r>
            <w:r>
              <w:rPr>
                <w:spacing w:val="40"/>
                <w:sz w:val="14"/>
              </w:rPr>
              <w:t> </w:t>
            </w:r>
            <w:r>
              <w:rPr>
                <w:spacing w:val="-2"/>
                <w:sz w:val="14"/>
              </w:rPr>
              <w:t>Website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Croydon</w:t>
            </w:r>
            <w:r>
              <w:rPr>
                <w:b/>
                <w:spacing w:val="-6"/>
                <w:sz w:val="14"/>
              </w:rPr>
              <w:t> </w:t>
            </w:r>
            <w:r>
              <w:rPr>
                <w:b/>
                <w:sz w:val="14"/>
              </w:rPr>
              <w:t>Park</w:t>
            </w:r>
            <w:r>
              <w:rPr>
                <w:b/>
                <w:spacing w:val="-6"/>
                <w:sz w:val="14"/>
              </w:rPr>
              <w:t> </w:t>
            </w:r>
            <w:r>
              <w:rPr>
                <w:b/>
                <w:spacing w:val="-2"/>
                <w:sz w:val="14"/>
              </w:rPr>
              <w:t>Income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966"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6"/>
              </w:rPr>
            </w:pPr>
          </w:p>
          <w:p>
            <w:pPr>
              <w:pStyle w:val="TableParagraph"/>
              <w:spacing w:before="1"/>
              <w:rPr>
                <w:sz w:val="19"/>
              </w:rPr>
            </w:pPr>
          </w:p>
          <w:p>
            <w:pPr>
              <w:pStyle w:val="TableParagraph"/>
              <w:ind w:left="107"/>
              <w:rPr>
                <w:sz w:val="14"/>
              </w:rPr>
            </w:pPr>
            <w:r>
              <w:rPr>
                <w:sz w:val="14"/>
              </w:rPr>
              <w:t>Seasonal</w:t>
            </w:r>
            <w:r>
              <w:rPr>
                <w:spacing w:val="-5"/>
                <w:sz w:val="14"/>
              </w:rPr>
              <w:t> </w:t>
            </w:r>
            <w:r>
              <w:rPr>
                <w:sz w:val="14"/>
              </w:rPr>
              <w:t>&amp;</w:t>
            </w:r>
            <w:r>
              <w:rPr>
                <w:spacing w:val="-3"/>
                <w:sz w:val="14"/>
              </w:rPr>
              <w:t> </w:t>
            </w:r>
            <w:r>
              <w:rPr>
                <w:sz w:val="14"/>
              </w:rPr>
              <w:t>casual</w:t>
            </w:r>
            <w:r>
              <w:rPr>
                <w:spacing w:val="-1"/>
                <w:sz w:val="14"/>
              </w:rPr>
              <w:t> </w:t>
            </w:r>
            <w:r>
              <w:rPr>
                <w:sz w:val="14"/>
              </w:rPr>
              <w:t>use</w:t>
            </w:r>
            <w:r>
              <w:rPr>
                <w:spacing w:val="-4"/>
                <w:sz w:val="14"/>
              </w:rPr>
              <w:t> </w:t>
            </w:r>
            <w:r>
              <w:rPr>
                <w:sz w:val="14"/>
              </w:rPr>
              <w:t>of</w:t>
            </w:r>
            <w:r>
              <w:rPr>
                <w:spacing w:val="-2"/>
                <w:sz w:val="14"/>
              </w:rPr>
              <w:t> </w:t>
            </w:r>
            <w:r>
              <w:rPr>
                <w:sz w:val="14"/>
              </w:rPr>
              <w:t>council</w:t>
            </w:r>
            <w:r>
              <w:rPr>
                <w:spacing w:val="-2"/>
                <w:sz w:val="14"/>
              </w:rPr>
              <w:t> facilities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
              <w:rPr>
                <w:sz w:val="22"/>
              </w:rPr>
            </w:pPr>
          </w:p>
          <w:p>
            <w:pPr>
              <w:pStyle w:val="TableParagraph"/>
              <w:spacing w:line="140" w:lineRule="exact" w:before="1"/>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
              <w:rPr>
                <w:sz w:val="22"/>
              </w:rPr>
            </w:pPr>
          </w:p>
          <w:p>
            <w:pPr>
              <w:pStyle w:val="TableParagraph"/>
              <w:spacing w:line="140" w:lineRule="exact" w:before="1"/>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ind w:left="120" w:right="97" w:firstLine="2"/>
              <w:jc w:val="center"/>
              <w:rPr>
                <w:sz w:val="14"/>
              </w:rPr>
            </w:pPr>
            <w:r>
              <w:rPr>
                <w:sz w:val="14"/>
              </w:rPr>
              <w:t>Refer</w:t>
            </w:r>
            <w:r>
              <w:rPr>
                <w:spacing w:val="-6"/>
                <w:sz w:val="14"/>
              </w:rPr>
              <w:t> </w:t>
            </w:r>
            <w:r>
              <w:rPr>
                <w:sz w:val="14"/>
              </w:rPr>
              <w:t>to</w:t>
            </w:r>
            <w:r>
              <w:rPr>
                <w:spacing w:val="40"/>
                <w:sz w:val="14"/>
              </w:rPr>
              <w:t> </w:t>
            </w:r>
            <w:r>
              <w:rPr>
                <w:sz w:val="14"/>
              </w:rPr>
              <w:t>policy on</w:t>
            </w:r>
            <w:r>
              <w:rPr>
                <w:spacing w:val="40"/>
                <w:sz w:val="14"/>
              </w:rPr>
              <w:t> </w:t>
            </w:r>
            <w:r>
              <w:rPr>
                <w:spacing w:val="-4"/>
                <w:sz w:val="14"/>
              </w:rPr>
              <w:t>the</w:t>
            </w:r>
            <w:r>
              <w:rPr>
                <w:spacing w:val="40"/>
                <w:sz w:val="14"/>
              </w:rPr>
              <w:t> </w:t>
            </w:r>
            <w:r>
              <w:rPr>
                <w:spacing w:val="-2"/>
                <w:sz w:val="14"/>
              </w:rPr>
              <w:t>Maroondah</w:t>
            </w:r>
            <w:r>
              <w:rPr>
                <w:spacing w:val="40"/>
                <w:sz w:val="14"/>
              </w:rPr>
              <w:t> </w:t>
            </w:r>
            <w:r>
              <w:rPr>
                <w:sz w:val="14"/>
              </w:rPr>
              <w:t>City</w:t>
            </w:r>
            <w:r>
              <w:rPr>
                <w:spacing w:val="-5"/>
                <w:sz w:val="14"/>
              </w:rPr>
              <w:t> </w:t>
            </w:r>
            <w:r>
              <w:rPr>
                <w:spacing w:val="-2"/>
                <w:sz w:val="14"/>
              </w:rPr>
              <w:t>Council</w:t>
            </w:r>
          </w:p>
          <w:p>
            <w:pPr>
              <w:pStyle w:val="TableParagraph"/>
              <w:spacing w:line="140" w:lineRule="exact" w:before="2"/>
              <w:ind w:left="105" w:right="84"/>
              <w:jc w:val="center"/>
              <w:rPr>
                <w:sz w:val="14"/>
              </w:rPr>
            </w:pPr>
            <w:r>
              <w:rPr>
                <w:spacing w:val="-2"/>
                <w:sz w:val="14"/>
              </w:rPr>
              <w:t>Website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ind w:left="157" w:right="137"/>
              <w:jc w:val="center"/>
              <w:rPr>
                <w:sz w:val="14"/>
              </w:rPr>
            </w:pPr>
            <w:r>
              <w:rPr>
                <w:sz w:val="14"/>
              </w:rPr>
              <w:t>Refer</w:t>
            </w:r>
            <w:r>
              <w:rPr>
                <w:spacing w:val="-10"/>
                <w:sz w:val="14"/>
              </w:rPr>
              <w:t> </w:t>
            </w:r>
            <w:r>
              <w:rPr>
                <w:sz w:val="14"/>
              </w:rPr>
              <w:t>to</w:t>
            </w:r>
            <w:r>
              <w:rPr>
                <w:spacing w:val="-10"/>
                <w:sz w:val="14"/>
              </w:rPr>
              <w:t> </w:t>
            </w:r>
            <w:r>
              <w:rPr>
                <w:sz w:val="14"/>
              </w:rPr>
              <w:t>policy</w:t>
            </w:r>
            <w:r>
              <w:rPr>
                <w:spacing w:val="40"/>
                <w:sz w:val="14"/>
              </w:rPr>
              <w:t> </w:t>
            </w:r>
            <w:r>
              <w:rPr>
                <w:sz w:val="14"/>
              </w:rPr>
              <w:t>on</w:t>
            </w:r>
            <w:r>
              <w:rPr>
                <w:spacing w:val="-6"/>
                <w:sz w:val="14"/>
              </w:rPr>
              <w:t> </w:t>
            </w:r>
            <w:r>
              <w:rPr>
                <w:sz w:val="14"/>
              </w:rPr>
              <w:t>the</w:t>
            </w:r>
            <w:r>
              <w:rPr>
                <w:spacing w:val="40"/>
                <w:sz w:val="14"/>
              </w:rPr>
              <w:t> </w:t>
            </w:r>
            <w:r>
              <w:rPr>
                <w:spacing w:val="-2"/>
                <w:sz w:val="14"/>
              </w:rPr>
              <w:t>Maroondah</w:t>
            </w:r>
            <w:r>
              <w:rPr>
                <w:spacing w:val="40"/>
                <w:sz w:val="14"/>
              </w:rPr>
              <w:t> </w:t>
            </w:r>
            <w:r>
              <w:rPr>
                <w:sz w:val="14"/>
              </w:rPr>
              <w:t>City</w:t>
            </w:r>
            <w:r>
              <w:rPr>
                <w:spacing w:val="-4"/>
                <w:sz w:val="14"/>
              </w:rPr>
              <w:t> </w:t>
            </w:r>
            <w:r>
              <w:rPr>
                <w:sz w:val="14"/>
              </w:rPr>
              <w:t>Council</w:t>
            </w:r>
          </w:p>
          <w:p>
            <w:pPr>
              <w:pStyle w:val="TableParagraph"/>
              <w:spacing w:line="140" w:lineRule="exact" w:before="2"/>
              <w:ind w:left="156" w:right="137"/>
              <w:jc w:val="center"/>
              <w:rPr>
                <w:sz w:val="14"/>
              </w:rPr>
            </w:pPr>
            <w:r>
              <w:rPr>
                <w:spacing w:val="-2"/>
                <w:sz w:val="14"/>
              </w:rPr>
              <w:t>Website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23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79"/>
              <w:ind w:left="107"/>
              <w:rPr>
                <w:b/>
                <w:sz w:val="14"/>
              </w:rPr>
            </w:pPr>
            <w:r>
              <w:rPr>
                <w:b/>
                <w:sz w:val="14"/>
              </w:rPr>
              <w:t>Dorset</w:t>
            </w:r>
            <w:r>
              <w:rPr>
                <w:b/>
                <w:spacing w:val="-7"/>
                <w:sz w:val="14"/>
              </w:rPr>
              <w:t> </w:t>
            </w:r>
            <w:r>
              <w:rPr>
                <w:b/>
                <w:sz w:val="14"/>
              </w:rPr>
              <w:t>Complex</w:t>
            </w:r>
            <w:r>
              <w:rPr>
                <w:b/>
                <w:spacing w:val="-3"/>
                <w:sz w:val="14"/>
              </w:rPr>
              <w:t> </w:t>
            </w:r>
            <w:r>
              <w:rPr>
                <w:b/>
                <w:spacing w:val="-2"/>
                <w:sz w:val="14"/>
              </w:rPr>
              <w:t>Income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966"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6"/>
              </w:rPr>
            </w:pPr>
          </w:p>
          <w:p>
            <w:pPr>
              <w:pStyle w:val="TableParagraph"/>
              <w:spacing w:before="1"/>
              <w:rPr>
                <w:sz w:val="19"/>
              </w:rPr>
            </w:pPr>
          </w:p>
          <w:p>
            <w:pPr>
              <w:pStyle w:val="TableParagraph"/>
              <w:ind w:left="107"/>
              <w:rPr>
                <w:sz w:val="14"/>
              </w:rPr>
            </w:pPr>
            <w:r>
              <w:rPr>
                <w:sz w:val="14"/>
              </w:rPr>
              <w:t>Seasonal</w:t>
            </w:r>
            <w:r>
              <w:rPr>
                <w:spacing w:val="-5"/>
                <w:sz w:val="14"/>
              </w:rPr>
              <w:t> </w:t>
            </w:r>
            <w:r>
              <w:rPr>
                <w:sz w:val="14"/>
              </w:rPr>
              <w:t>&amp;</w:t>
            </w:r>
            <w:r>
              <w:rPr>
                <w:spacing w:val="-3"/>
                <w:sz w:val="14"/>
              </w:rPr>
              <w:t> </w:t>
            </w:r>
            <w:r>
              <w:rPr>
                <w:sz w:val="14"/>
              </w:rPr>
              <w:t>casual</w:t>
            </w:r>
            <w:r>
              <w:rPr>
                <w:spacing w:val="-1"/>
                <w:sz w:val="14"/>
              </w:rPr>
              <w:t> </w:t>
            </w:r>
            <w:r>
              <w:rPr>
                <w:sz w:val="14"/>
              </w:rPr>
              <w:t>use</w:t>
            </w:r>
            <w:r>
              <w:rPr>
                <w:spacing w:val="-4"/>
                <w:sz w:val="14"/>
              </w:rPr>
              <w:t> </w:t>
            </w:r>
            <w:r>
              <w:rPr>
                <w:sz w:val="14"/>
              </w:rPr>
              <w:t>of</w:t>
            </w:r>
            <w:r>
              <w:rPr>
                <w:spacing w:val="-2"/>
                <w:sz w:val="14"/>
              </w:rPr>
              <w:t> </w:t>
            </w:r>
            <w:r>
              <w:rPr>
                <w:sz w:val="14"/>
              </w:rPr>
              <w:t>council</w:t>
            </w:r>
            <w:r>
              <w:rPr>
                <w:spacing w:val="-2"/>
                <w:sz w:val="14"/>
              </w:rPr>
              <w:t> facilities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
              <w:rPr>
                <w:sz w:val="22"/>
              </w:rPr>
            </w:pPr>
          </w:p>
          <w:p>
            <w:pPr>
              <w:pStyle w:val="TableParagraph"/>
              <w:spacing w:line="140" w:lineRule="exact" w:before="1"/>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
              <w:rPr>
                <w:sz w:val="22"/>
              </w:rPr>
            </w:pPr>
          </w:p>
          <w:p>
            <w:pPr>
              <w:pStyle w:val="TableParagraph"/>
              <w:spacing w:line="140" w:lineRule="exact" w:before="1"/>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ind w:left="120" w:right="97" w:firstLine="2"/>
              <w:jc w:val="center"/>
              <w:rPr>
                <w:sz w:val="14"/>
              </w:rPr>
            </w:pPr>
            <w:r>
              <w:rPr>
                <w:sz w:val="14"/>
              </w:rPr>
              <w:t>Refer</w:t>
            </w:r>
            <w:r>
              <w:rPr>
                <w:spacing w:val="-6"/>
                <w:sz w:val="14"/>
              </w:rPr>
              <w:t> </w:t>
            </w:r>
            <w:r>
              <w:rPr>
                <w:sz w:val="14"/>
              </w:rPr>
              <w:t>to</w:t>
            </w:r>
            <w:r>
              <w:rPr>
                <w:spacing w:val="40"/>
                <w:sz w:val="14"/>
              </w:rPr>
              <w:t> </w:t>
            </w:r>
            <w:r>
              <w:rPr>
                <w:sz w:val="14"/>
              </w:rPr>
              <w:t>policy on</w:t>
            </w:r>
            <w:r>
              <w:rPr>
                <w:spacing w:val="40"/>
                <w:sz w:val="14"/>
              </w:rPr>
              <w:t> </w:t>
            </w:r>
            <w:r>
              <w:rPr>
                <w:spacing w:val="-4"/>
                <w:sz w:val="14"/>
              </w:rPr>
              <w:t>the</w:t>
            </w:r>
            <w:r>
              <w:rPr>
                <w:spacing w:val="40"/>
                <w:sz w:val="14"/>
              </w:rPr>
              <w:t> </w:t>
            </w:r>
            <w:r>
              <w:rPr>
                <w:spacing w:val="-2"/>
                <w:sz w:val="14"/>
              </w:rPr>
              <w:t>Maroondah</w:t>
            </w:r>
            <w:r>
              <w:rPr>
                <w:spacing w:val="40"/>
                <w:sz w:val="14"/>
              </w:rPr>
              <w:t> </w:t>
            </w:r>
            <w:r>
              <w:rPr>
                <w:sz w:val="14"/>
              </w:rPr>
              <w:t>City</w:t>
            </w:r>
            <w:r>
              <w:rPr>
                <w:spacing w:val="-5"/>
                <w:sz w:val="14"/>
              </w:rPr>
              <w:t> </w:t>
            </w:r>
            <w:r>
              <w:rPr>
                <w:spacing w:val="-2"/>
                <w:sz w:val="14"/>
              </w:rPr>
              <w:t>Council</w:t>
            </w:r>
          </w:p>
          <w:p>
            <w:pPr>
              <w:pStyle w:val="TableParagraph"/>
              <w:spacing w:line="140" w:lineRule="exact" w:before="2"/>
              <w:ind w:left="105" w:right="84"/>
              <w:jc w:val="center"/>
              <w:rPr>
                <w:sz w:val="14"/>
              </w:rPr>
            </w:pPr>
            <w:r>
              <w:rPr>
                <w:spacing w:val="-2"/>
                <w:sz w:val="14"/>
              </w:rPr>
              <w:t>Website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ind w:left="157" w:right="137"/>
              <w:jc w:val="center"/>
              <w:rPr>
                <w:sz w:val="14"/>
              </w:rPr>
            </w:pPr>
            <w:r>
              <w:rPr>
                <w:sz w:val="14"/>
              </w:rPr>
              <w:t>Refer</w:t>
            </w:r>
            <w:r>
              <w:rPr>
                <w:spacing w:val="-10"/>
                <w:sz w:val="14"/>
              </w:rPr>
              <w:t> </w:t>
            </w:r>
            <w:r>
              <w:rPr>
                <w:sz w:val="14"/>
              </w:rPr>
              <w:t>to</w:t>
            </w:r>
            <w:r>
              <w:rPr>
                <w:spacing w:val="-10"/>
                <w:sz w:val="14"/>
              </w:rPr>
              <w:t> </w:t>
            </w:r>
            <w:r>
              <w:rPr>
                <w:sz w:val="14"/>
              </w:rPr>
              <w:t>policy</w:t>
            </w:r>
            <w:r>
              <w:rPr>
                <w:spacing w:val="40"/>
                <w:sz w:val="14"/>
              </w:rPr>
              <w:t> </w:t>
            </w:r>
            <w:r>
              <w:rPr>
                <w:sz w:val="14"/>
              </w:rPr>
              <w:t>on</w:t>
            </w:r>
            <w:r>
              <w:rPr>
                <w:spacing w:val="-6"/>
                <w:sz w:val="14"/>
              </w:rPr>
              <w:t> </w:t>
            </w:r>
            <w:r>
              <w:rPr>
                <w:sz w:val="14"/>
              </w:rPr>
              <w:t>the</w:t>
            </w:r>
            <w:r>
              <w:rPr>
                <w:spacing w:val="40"/>
                <w:sz w:val="14"/>
              </w:rPr>
              <w:t> </w:t>
            </w:r>
            <w:r>
              <w:rPr>
                <w:spacing w:val="-2"/>
                <w:sz w:val="14"/>
              </w:rPr>
              <w:t>Maroondah</w:t>
            </w:r>
            <w:r>
              <w:rPr>
                <w:spacing w:val="40"/>
                <w:sz w:val="14"/>
              </w:rPr>
              <w:t> </w:t>
            </w:r>
            <w:r>
              <w:rPr>
                <w:sz w:val="14"/>
              </w:rPr>
              <w:t>City</w:t>
            </w:r>
            <w:r>
              <w:rPr>
                <w:spacing w:val="-4"/>
                <w:sz w:val="14"/>
              </w:rPr>
              <w:t> </w:t>
            </w:r>
            <w:r>
              <w:rPr>
                <w:sz w:val="14"/>
              </w:rPr>
              <w:t>Council</w:t>
            </w:r>
          </w:p>
          <w:p>
            <w:pPr>
              <w:pStyle w:val="TableParagraph"/>
              <w:spacing w:line="140" w:lineRule="exact" w:before="2"/>
              <w:ind w:left="156" w:right="137"/>
              <w:jc w:val="center"/>
              <w:rPr>
                <w:sz w:val="14"/>
              </w:rPr>
            </w:pPr>
            <w:r>
              <w:rPr>
                <w:spacing w:val="-2"/>
                <w:sz w:val="14"/>
              </w:rPr>
              <w:t>Website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Sundry</w:t>
            </w:r>
            <w:r>
              <w:rPr>
                <w:b/>
                <w:spacing w:val="-6"/>
                <w:sz w:val="14"/>
              </w:rPr>
              <w:t> </w:t>
            </w:r>
            <w:r>
              <w:rPr>
                <w:b/>
                <w:sz w:val="14"/>
              </w:rPr>
              <w:t>Parks</w:t>
            </w:r>
            <w:r>
              <w:rPr>
                <w:b/>
                <w:spacing w:val="-5"/>
                <w:sz w:val="14"/>
              </w:rPr>
              <w:t> </w:t>
            </w:r>
            <w:r>
              <w:rPr>
                <w:b/>
                <w:spacing w:val="-2"/>
                <w:sz w:val="14"/>
              </w:rPr>
              <w:t>Reserve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964"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6"/>
              </w:rPr>
            </w:pPr>
          </w:p>
          <w:p>
            <w:pPr>
              <w:pStyle w:val="TableParagraph"/>
              <w:spacing w:before="1"/>
              <w:rPr>
                <w:sz w:val="19"/>
              </w:rPr>
            </w:pPr>
          </w:p>
          <w:p>
            <w:pPr>
              <w:pStyle w:val="TableParagraph"/>
              <w:ind w:left="107"/>
              <w:rPr>
                <w:sz w:val="14"/>
              </w:rPr>
            </w:pPr>
            <w:r>
              <w:rPr>
                <w:sz w:val="14"/>
              </w:rPr>
              <w:t>Seasonal</w:t>
            </w:r>
            <w:r>
              <w:rPr>
                <w:spacing w:val="-5"/>
                <w:sz w:val="14"/>
              </w:rPr>
              <w:t> </w:t>
            </w:r>
            <w:r>
              <w:rPr>
                <w:sz w:val="14"/>
              </w:rPr>
              <w:t>&amp;</w:t>
            </w:r>
            <w:r>
              <w:rPr>
                <w:spacing w:val="-3"/>
                <w:sz w:val="14"/>
              </w:rPr>
              <w:t> </w:t>
            </w:r>
            <w:r>
              <w:rPr>
                <w:sz w:val="14"/>
              </w:rPr>
              <w:t>casual</w:t>
            </w:r>
            <w:r>
              <w:rPr>
                <w:spacing w:val="-1"/>
                <w:sz w:val="14"/>
              </w:rPr>
              <w:t> </w:t>
            </w:r>
            <w:r>
              <w:rPr>
                <w:sz w:val="14"/>
              </w:rPr>
              <w:t>use</w:t>
            </w:r>
            <w:r>
              <w:rPr>
                <w:spacing w:val="-4"/>
                <w:sz w:val="14"/>
              </w:rPr>
              <w:t> </w:t>
            </w:r>
            <w:r>
              <w:rPr>
                <w:sz w:val="14"/>
              </w:rPr>
              <w:t>of</w:t>
            </w:r>
            <w:r>
              <w:rPr>
                <w:spacing w:val="-2"/>
                <w:sz w:val="14"/>
              </w:rPr>
              <w:t> </w:t>
            </w:r>
            <w:r>
              <w:rPr>
                <w:sz w:val="14"/>
              </w:rPr>
              <w:t>council</w:t>
            </w:r>
            <w:r>
              <w:rPr>
                <w:spacing w:val="-2"/>
                <w:sz w:val="14"/>
              </w:rPr>
              <w:t> facilities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1"/>
              <w:rPr>
                <w:sz w:val="21"/>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1"/>
              <w:rPr>
                <w:sz w:val="21"/>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120" w:right="97" w:firstLine="2"/>
              <w:jc w:val="center"/>
              <w:rPr>
                <w:sz w:val="14"/>
              </w:rPr>
            </w:pPr>
            <w:r>
              <w:rPr>
                <w:sz w:val="14"/>
              </w:rPr>
              <w:t>Refer</w:t>
            </w:r>
            <w:r>
              <w:rPr>
                <w:spacing w:val="-6"/>
                <w:sz w:val="14"/>
              </w:rPr>
              <w:t> </w:t>
            </w:r>
            <w:r>
              <w:rPr>
                <w:sz w:val="14"/>
              </w:rPr>
              <w:t>to</w:t>
            </w:r>
            <w:r>
              <w:rPr>
                <w:spacing w:val="40"/>
                <w:sz w:val="14"/>
              </w:rPr>
              <w:t> </w:t>
            </w:r>
            <w:r>
              <w:rPr>
                <w:sz w:val="14"/>
              </w:rPr>
              <w:t>policy on</w:t>
            </w:r>
            <w:r>
              <w:rPr>
                <w:spacing w:val="40"/>
                <w:sz w:val="14"/>
              </w:rPr>
              <w:t> </w:t>
            </w:r>
            <w:r>
              <w:rPr>
                <w:spacing w:val="-4"/>
                <w:sz w:val="14"/>
              </w:rPr>
              <w:t>the</w:t>
            </w:r>
            <w:r>
              <w:rPr>
                <w:spacing w:val="40"/>
                <w:sz w:val="14"/>
              </w:rPr>
              <w:t> </w:t>
            </w:r>
            <w:r>
              <w:rPr>
                <w:spacing w:val="-2"/>
                <w:sz w:val="14"/>
              </w:rPr>
              <w:t>Maroondah</w:t>
            </w:r>
            <w:r>
              <w:rPr>
                <w:spacing w:val="40"/>
                <w:sz w:val="14"/>
              </w:rPr>
              <w:t> </w:t>
            </w:r>
            <w:r>
              <w:rPr>
                <w:spacing w:val="-2"/>
                <w:sz w:val="14"/>
              </w:rPr>
              <w:t>City</w:t>
            </w:r>
            <w:r>
              <w:rPr>
                <w:spacing w:val="-8"/>
                <w:sz w:val="14"/>
              </w:rPr>
              <w:t> </w:t>
            </w:r>
            <w:r>
              <w:rPr>
                <w:spacing w:val="-2"/>
                <w:sz w:val="14"/>
              </w:rPr>
              <w:t>Council</w:t>
            </w:r>
            <w:r>
              <w:rPr>
                <w:spacing w:val="40"/>
                <w:sz w:val="14"/>
              </w:rPr>
              <w:t> </w:t>
            </w:r>
            <w:r>
              <w:rPr>
                <w:spacing w:val="-2"/>
                <w:sz w:val="14"/>
              </w:rPr>
              <w:t>Website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41"/>
              <w:ind w:left="157" w:right="137"/>
              <w:jc w:val="center"/>
              <w:rPr>
                <w:sz w:val="14"/>
              </w:rPr>
            </w:pPr>
            <w:r>
              <w:rPr>
                <w:sz w:val="14"/>
              </w:rPr>
              <w:t>Refer</w:t>
            </w:r>
            <w:r>
              <w:rPr>
                <w:spacing w:val="-10"/>
                <w:sz w:val="14"/>
              </w:rPr>
              <w:t> </w:t>
            </w:r>
            <w:r>
              <w:rPr>
                <w:sz w:val="14"/>
              </w:rPr>
              <w:t>to</w:t>
            </w:r>
            <w:r>
              <w:rPr>
                <w:spacing w:val="-10"/>
                <w:sz w:val="14"/>
              </w:rPr>
              <w:t> </w:t>
            </w:r>
            <w:r>
              <w:rPr>
                <w:sz w:val="14"/>
              </w:rPr>
              <w:t>policy</w:t>
            </w:r>
            <w:r>
              <w:rPr>
                <w:spacing w:val="40"/>
                <w:sz w:val="14"/>
              </w:rPr>
              <w:t> </w:t>
            </w:r>
            <w:r>
              <w:rPr>
                <w:sz w:val="14"/>
              </w:rPr>
              <w:t>on</w:t>
            </w:r>
            <w:r>
              <w:rPr>
                <w:spacing w:val="-6"/>
                <w:sz w:val="14"/>
              </w:rPr>
              <w:t> </w:t>
            </w:r>
            <w:r>
              <w:rPr>
                <w:sz w:val="14"/>
              </w:rPr>
              <w:t>the</w:t>
            </w:r>
            <w:r>
              <w:rPr>
                <w:spacing w:val="40"/>
                <w:sz w:val="14"/>
              </w:rPr>
              <w:t> </w:t>
            </w:r>
            <w:r>
              <w:rPr>
                <w:spacing w:val="-2"/>
                <w:sz w:val="14"/>
              </w:rPr>
              <w:t>Maroondah</w:t>
            </w:r>
            <w:r>
              <w:rPr>
                <w:spacing w:val="40"/>
                <w:sz w:val="14"/>
              </w:rPr>
              <w:t> </w:t>
            </w:r>
            <w:r>
              <w:rPr>
                <w:sz w:val="14"/>
              </w:rPr>
              <w:t>City</w:t>
            </w:r>
            <w:r>
              <w:rPr>
                <w:spacing w:val="-4"/>
                <w:sz w:val="14"/>
              </w:rPr>
              <w:t> </w:t>
            </w:r>
            <w:r>
              <w:rPr>
                <w:sz w:val="14"/>
              </w:rPr>
              <w:t>Council</w:t>
            </w:r>
            <w:r>
              <w:rPr>
                <w:spacing w:val="40"/>
                <w:sz w:val="14"/>
              </w:rPr>
              <w:t> </w:t>
            </w:r>
            <w:r>
              <w:rPr>
                <w:spacing w:val="-2"/>
                <w:sz w:val="14"/>
              </w:rPr>
              <w:t>Website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80"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0"/>
              <w:ind w:left="107"/>
              <w:rPr>
                <w:b/>
                <w:sz w:val="14"/>
              </w:rPr>
            </w:pPr>
            <w:r>
              <w:rPr>
                <w:b/>
                <w:sz w:val="14"/>
              </w:rPr>
              <w:t>Occupancy</w:t>
            </w:r>
            <w:r>
              <w:rPr>
                <w:b/>
                <w:spacing w:val="-9"/>
                <w:sz w:val="14"/>
              </w:rPr>
              <w:t> </w:t>
            </w:r>
            <w:r>
              <w:rPr>
                <w:b/>
                <w:spacing w:val="-2"/>
                <w:sz w:val="14"/>
              </w:rPr>
              <w:t>Payments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964"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6"/>
              </w:rPr>
            </w:pPr>
          </w:p>
          <w:p>
            <w:pPr>
              <w:pStyle w:val="TableParagraph"/>
              <w:spacing w:before="10"/>
              <w:rPr>
                <w:sz w:val="18"/>
              </w:rPr>
            </w:pPr>
          </w:p>
          <w:p>
            <w:pPr>
              <w:pStyle w:val="TableParagraph"/>
              <w:ind w:left="107"/>
              <w:rPr>
                <w:sz w:val="14"/>
              </w:rPr>
            </w:pPr>
            <w:r>
              <w:rPr>
                <w:sz w:val="14"/>
              </w:rPr>
              <w:t>Tennis</w:t>
            </w:r>
            <w:r>
              <w:rPr>
                <w:spacing w:val="-5"/>
                <w:sz w:val="14"/>
              </w:rPr>
              <w:t> </w:t>
            </w:r>
            <w:r>
              <w:rPr>
                <w:sz w:val="14"/>
              </w:rPr>
              <w:t>Club</w:t>
            </w:r>
            <w:r>
              <w:rPr>
                <w:spacing w:val="-3"/>
                <w:sz w:val="14"/>
              </w:rPr>
              <w:t> </w:t>
            </w:r>
            <w:r>
              <w:rPr>
                <w:spacing w:val="-2"/>
                <w:sz w:val="14"/>
              </w:rPr>
              <w:t>Rentals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1"/>
              <w:rPr>
                <w:sz w:val="21"/>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1"/>
              <w:rPr>
                <w:sz w:val="21"/>
              </w:rPr>
            </w:pPr>
          </w:p>
          <w:p>
            <w:pPr>
              <w:pStyle w:val="TableParagraph"/>
              <w:spacing w:line="140" w:lineRule="exact"/>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120" w:right="97" w:firstLine="2"/>
              <w:jc w:val="center"/>
              <w:rPr>
                <w:sz w:val="14"/>
              </w:rPr>
            </w:pPr>
            <w:r>
              <w:rPr>
                <w:sz w:val="14"/>
              </w:rPr>
              <w:t>Refer</w:t>
            </w:r>
            <w:r>
              <w:rPr>
                <w:spacing w:val="-6"/>
                <w:sz w:val="14"/>
              </w:rPr>
              <w:t> </w:t>
            </w:r>
            <w:r>
              <w:rPr>
                <w:sz w:val="14"/>
              </w:rPr>
              <w:t>to</w:t>
            </w:r>
            <w:r>
              <w:rPr>
                <w:spacing w:val="40"/>
                <w:sz w:val="14"/>
              </w:rPr>
              <w:t> </w:t>
            </w:r>
            <w:r>
              <w:rPr>
                <w:sz w:val="14"/>
              </w:rPr>
              <w:t>policy on</w:t>
            </w:r>
            <w:r>
              <w:rPr>
                <w:spacing w:val="40"/>
                <w:sz w:val="14"/>
              </w:rPr>
              <w:t> </w:t>
            </w:r>
            <w:r>
              <w:rPr>
                <w:spacing w:val="-4"/>
                <w:sz w:val="14"/>
              </w:rPr>
              <w:t>the</w:t>
            </w:r>
            <w:r>
              <w:rPr>
                <w:spacing w:val="40"/>
                <w:sz w:val="14"/>
              </w:rPr>
              <w:t> </w:t>
            </w:r>
            <w:r>
              <w:rPr>
                <w:spacing w:val="-2"/>
                <w:sz w:val="14"/>
              </w:rPr>
              <w:t>Maroondah</w:t>
            </w:r>
            <w:r>
              <w:rPr>
                <w:spacing w:val="40"/>
                <w:sz w:val="14"/>
              </w:rPr>
              <w:t> </w:t>
            </w:r>
            <w:r>
              <w:rPr>
                <w:spacing w:val="-2"/>
                <w:sz w:val="14"/>
              </w:rPr>
              <w:t>City</w:t>
            </w:r>
            <w:r>
              <w:rPr>
                <w:spacing w:val="-8"/>
                <w:sz w:val="14"/>
              </w:rPr>
              <w:t> </w:t>
            </w:r>
            <w:r>
              <w:rPr>
                <w:spacing w:val="-2"/>
                <w:sz w:val="14"/>
              </w:rPr>
              <w:t>Council</w:t>
            </w:r>
            <w:r>
              <w:rPr>
                <w:spacing w:val="40"/>
                <w:sz w:val="14"/>
              </w:rPr>
              <w:t> </w:t>
            </w:r>
            <w:r>
              <w:rPr>
                <w:spacing w:val="-2"/>
                <w:sz w:val="14"/>
              </w:rPr>
              <w:t>Website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41"/>
              <w:ind w:left="157" w:right="137"/>
              <w:jc w:val="center"/>
              <w:rPr>
                <w:sz w:val="14"/>
              </w:rPr>
            </w:pPr>
            <w:r>
              <w:rPr>
                <w:sz w:val="14"/>
              </w:rPr>
              <w:t>Refer</w:t>
            </w:r>
            <w:r>
              <w:rPr>
                <w:spacing w:val="-10"/>
                <w:sz w:val="14"/>
              </w:rPr>
              <w:t> </w:t>
            </w:r>
            <w:r>
              <w:rPr>
                <w:sz w:val="14"/>
              </w:rPr>
              <w:t>to</w:t>
            </w:r>
            <w:r>
              <w:rPr>
                <w:spacing w:val="-10"/>
                <w:sz w:val="14"/>
              </w:rPr>
              <w:t> </w:t>
            </w:r>
            <w:r>
              <w:rPr>
                <w:sz w:val="14"/>
              </w:rPr>
              <w:t>policy</w:t>
            </w:r>
            <w:r>
              <w:rPr>
                <w:spacing w:val="40"/>
                <w:sz w:val="14"/>
              </w:rPr>
              <w:t> </w:t>
            </w:r>
            <w:r>
              <w:rPr>
                <w:sz w:val="14"/>
              </w:rPr>
              <w:t>on</w:t>
            </w:r>
            <w:r>
              <w:rPr>
                <w:spacing w:val="-6"/>
                <w:sz w:val="14"/>
              </w:rPr>
              <w:t> </w:t>
            </w:r>
            <w:r>
              <w:rPr>
                <w:sz w:val="14"/>
              </w:rPr>
              <w:t>the</w:t>
            </w:r>
            <w:r>
              <w:rPr>
                <w:spacing w:val="40"/>
                <w:sz w:val="14"/>
              </w:rPr>
              <w:t> </w:t>
            </w:r>
            <w:r>
              <w:rPr>
                <w:spacing w:val="-2"/>
                <w:sz w:val="14"/>
              </w:rPr>
              <w:t>Maroondah</w:t>
            </w:r>
            <w:r>
              <w:rPr>
                <w:spacing w:val="40"/>
                <w:sz w:val="14"/>
              </w:rPr>
              <w:t> </w:t>
            </w:r>
            <w:r>
              <w:rPr>
                <w:sz w:val="14"/>
              </w:rPr>
              <w:t>City</w:t>
            </w:r>
            <w:r>
              <w:rPr>
                <w:spacing w:val="-4"/>
                <w:sz w:val="14"/>
              </w:rPr>
              <w:t> </w:t>
            </w:r>
            <w:r>
              <w:rPr>
                <w:sz w:val="14"/>
              </w:rPr>
              <w:t>Council</w:t>
            </w:r>
            <w:r>
              <w:rPr>
                <w:spacing w:val="40"/>
                <w:sz w:val="14"/>
              </w:rPr>
              <w:t> </w:t>
            </w:r>
            <w:r>
              <w:rPr>
                <w:spacing w:val="-2"/>
                <w:sz w:val="14"/>
              </w:rPr>
              <w:t>Website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7"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8"/>
              <w:ind w:left="107"/>
              <w:rPr>
                <w:b/>
                <w:sz w:val="14"/>
              </w:rPr>
            </w:pPr>
            <w:r>
              <w:rPr>
                <w:b/>
                <w:sz w:val="14"/>
              </w:rPr>
              <w:t>Sporting</w:t>
            </w:r>
            <w:r>
              <w:rPr>
                <w:b/>
                <w:spacing w:val="-8"/>
                <w:sz w:val="14"/>
              </w:rPr>
              <w:t> </w:t>
            </w:r>
            <w:r>
              <w:rPr>
                <w:b/>
                <w:spacing w:val="-2"/>
                <w:sz w:val="14"/>
              </w:rPr>
              <w:t>Clubs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966"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6"/>
              </w:rPr>
            </w:pPr>
          </w:p>
          <w:p>
            <w:pPr>
              <w:pStyle w:val="TableParagraph"/>
              <w:spacing w:before="1"/>
              <w:rPr>
                <w:sz w:val="19"/>
              </w:rPr>
            </w:pPr>
          </w:p>
          <w:p>
            <w:pPr>
              <w:pStyle w:val="TableParagraph"/>
              <w:ind w:left="107"/>
              <w:rPr>
                <w:sz w:val="14"/>
              </w:rPr>
            </w:pPr>
            <w:r>
              <w:rPr>
                <w:sz w:val="14"/>
              </w:rPr>
              <w:t>Use</w:t>
            </w:r>
            <w:r>
              <w:rPr>
                <w:spacing w:val="-4"/>
                <w:sz w:val="14"/>
              </w:rPr>
              <w:t> </w:t>
            </w:r>
            <w:r>
              <w:rPr>
                <w:sz w:val="14"/>
              </w:rPr>
              <w:t>of</w:t>
            </w:r>
            <w:r>
              <w:rPr>
                <w:spacing w:val="-3"/>
                <w:sz w:val="14"/>
              </w:rPr>
              <w:t> </w:t>
            </w:r>
            <w:r>
              <w:rPr>
                <w:spacing w:val="-2"/>
                <w:sz w:val="14"/>
              </w:rPr>
              <w:t>facility</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
              <w:rPr>
                <w:sz w:val="22"/>
              </w:rPr>
            </w:pPr>
          </w:p>
          <w:p>
            <w:pPr>
              <w:pStyle w:val="TableParagraph"/>
              <w:spacing w:line="140" w:lineRule="exact" w:before="1"/>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
              <w:rPr>
                <w:sz w:val="22"/>
              </w:rPr>
            </w:pPr>
          </w:p>
          <w:p>
            <w:pPr>
              <w:pStyle w:val="TableParagraph"/>
              <w:spacing w:line="140" w:lineRule="exact" w:before="1"/>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120" w:right="97" w:firstLine="2"/>
              <w:jc w:val="center"/>
              <w:rPr>
                <w:sz w:val="14"/>
              </w:rPr>
            </w:pPr>
            <w:r>
              <w:rPr>
                <w:sz w:val="14"/>
              </w:rPr>
              <w:t>Refer</w:t>
            </w:r>
            <w:r>
              <w:rPr>
                <w:spacing w:val="-6"/>
                <w:sz w:val="14"/>
              </w:rPr>
              <w:t> </w:t>
            </w:r>
            <w:r>
              <w:rPr>
                <w:sz w:val="14"/>
              </w:rPr>
              <w:t>to</w:t>
            </w:r>
            <w:r>
              <w:rPr>
                <w:spacing w:val="40"/>
                <w:sz w:val="14"/>
              </w:rPr>
              <w:t> </w:t>
            </w:r>
            <w:r>
              <w:rPr>
                <w:sz w:val="14"/>
              </w:rPr>
              <w:t>policy on</w:t>
            </w:r>
            <w:r>
              <w:rPr>
                <w:spacing w:val="40"/>
                <w:sz w:val="14"/>
              </w:rPr>
              <w:t> </w:t>
            </w:r>
            <w:r>
              <w:rPr>
                <w:spacing w:val="-4"/>
                <w:sz w:val="14"/>
              </w:rPr>
              <w:t>the</w:t>
            </w:r>
            <w:r>
              <w:rPr>
                <w:spacing w:val="40"/>
                <w:sz w:val="14"/>
              </w:rPr>
              <w:t> </w:t>
            </w:r>
            <w:r>
              <w:rPr>
                <w:spacing w:val="-2"/>
                <w:sz w:val="14"/>
              </w:rPr>
              <w:t>Maroondah</w:t>
            </w:r>
            <w:r>
              <w:rPr>
                <w:spacing w:val="40"/>
                <w:sz w:val="14"/>
              </w:rPr>
              <w:t> </w:t>
            </w:r>
            <w:r>
              <w:rPr>
                <w:spacing w:val="-2"/>
                <w:sz w:val="14"/>
              </w:rPr>
              <w:t>City</w:t>
            </w:r>
            <w:r>
              <w:rPr>
                <w:spacing w:val="-8"/>
                <w:sz w:val="14"/>
              </w:rPr>
              <w:t> </w:t>
            </w:r>
            <w:r>
              <w:rPr>
                <w:spacing w:val="-2"/>
                <w:sz w:val="14"/>
              </w:rPr>
              <w:t>Council</w:t>
            </w:r>
            <w:r>
              <w:rPr>
                <w:spacing w:val="40"/>
                <w:sz w:val="14"/>
              </w:rPr>
              <w:t> </w:t>
            </w:r>
            <w:r>
              <w:rPr>
                <w:spacing w:val="-2"/>
                <w:sz w:val="14"/>
              </w:rPr>
              <w:t>Website</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before="143"/>
              <w:ind w:left="157" w:right="137"/>
              <w:jc w:val="center"/>
              <w:rPr>
                <w:sz w:val="14"/>
              </w:rPr>
            </w:pPr>
            <w:r>
              <w:rPr>
                <w:sz w:val="14"/>
              </w:rPr>
              <w:t>Refer</w:t>
            </w:r>
            <w:r>
              <w:rPr>
                <w:spacing w:val="-10"/>
                <w:sz w:val="14"/>
              </w:rPr>
              <w:t> </w:t>
            </w:r>
            <w:r>
              <w:rPr>
                <w:sz w:val="14"/>
              </w:rPr>
              <w:t>to</w:t>
            </w:r>
            <w:r>
              <w:rPr>
                <w:spacing w:val="-10"/>
                <w:sz w:val="14"/>
              </w:rPr>
              <w:t> </w:t>
            </w:r>
            <w:r>
              <w:rPr>
                <w:sz w:val="14"/>
              </w:rPr>
              <w:t>policy</w:t>
            </w:r>
            <w:r>
              <w:rPr>
                <w:spacing w:val="40"/>
                <w:sz w:val="14"/>
              </w:rPr>
              <w:t> </w:t>
            </w:r>
            <w:r>
              <w:rPr>
                <w:sz w:val="14"/>
              </w:rPr>
              <w:t>on</w:t>
            </w:r>
            <w:r>
              <w:rPr>
                <w:spacing w:val="-6"/>
                <w:sz w:val="14"/>
              </w:rPr>
              <w:t> </w:t>
            </w:r>
            <w:r>
              <w:rPr>
                <w:sz w:val="14"/>
              </w:rPr>
              <w:t>the</w:t>
            </w:r>
            <w:r>
              <w:rPr>
                <w:spacing w:val="40"/>
                <w:sz w:val="14"/>
              </w:rPr>
              <w:t> </w:t>
            </w:r>
            <w:r>
              <w:rPr>
                <w:spacing w:val="-2"/>
                <w:sz w:val="14"/>
              </w:rPr>
              <w:t>Maroondah</w:t>
            </w:r>
            <w:r>
              <w:rPr>
                <w:spacing w:val="40"/>
                <w:sz w:val="14"/>
              </w:rPr>
              <w:t> </w:t>
            </w:r>
            <w:r>
              <w:rPr>
                <w:sz w:val="14"/>
              </w:rPr>
              <w:t>City</w:t>
            </w:r>
            <w:r>
              <w:rPr>
                <w:spacing w:val="-4"/>
                <w:sz w:val="14"/>
              </w:rPr>
              <w:t> </w:t>
            </w:r>
            <w:r>
              <w:rPr>
                <w:sz w:val="14"/>
              </w:rPr>
              <w:t>Council</w:t>
            </w:r>
            <w:r>
              <w:rPr>
                <w:spacing w:val="40"/>
                <w:sz w:val="14"/>
              </w:rPr>
              <w:t> </w:t>
            </w:r>
            <w:r>
              <w:rPr>
                <w:spacing w:val="-2"/>
                <w:sz w:val="14"/>
              </w:rPr>
              <w:t>Website</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Maroondah</w:t>
            </w:r>
            <w:r>
              <w:rPr>
                <w:b/>
                <w:spacing w:val="-5"/>
                <w:sz w:val="14"/>
              </w:rPr>
              <w:t> </w:t>
            </w:r>
            <w:r>
              <w:rPr>
                <w:b/>
                <w:sz w:val="14"/>
              </w:rPr>
              <w:t>Leisure</w:t>
            </w:r>
            <w:r>
              <w:rPr>
                <w:b/>
                <w:spacing w:val="-5"/>
                <w:sz w:val="14"/>
              </w:rPr>
              <w:t> </w:t>
            </w:r>
            <w:r>
              <w:rPr>
                <w:b/>
                <w:sz w:val="14"/>
              </w:rPr>
              <w:t>Joining</w:t>
            </w:r>
            <w:r>
              <w:rPr>
                <w:b/>
                <w:spacing w:val="-6"/>
                <w:sz w:val="14"/>
              </w:rPr>
              <w:t> </w:t>
            </w:r>
            <w:r>
              <w:rPr>
                <w:b/>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Joining</w:t>
            </w:r>
            <w:r>
              <w:rPr>
                <w:spacing w:val="-3"/>
                <w:sz w:val="14"/>
              </w:rPr>
              <w:t> </w:t>
            </w:r>
            <w:r>
              <w:rPr>
                <w:sz w:val="14"/>
              </w:rPr>
              <w:t>Fee</w:t>
            </w:r>
            <w:r>
              <w:rPr>
                <w:spacing w:val="-3"/>
                <w:sz w:val="14"/>
              </w:rPr>
              <w:t> </w:t>
            </w:r>
            <w:r>
              <w:rPr>
                <w:sz w:val="14"/>
              </w:rPr>
              <w:t>(no</w:t>
            </w:r>
            <w:r>
              <w:rPr>
                <w:spacing w:val="-5"/>
                <w:sz w:val="14"/>
              </w:rPr>
              <w:t> </w:t>
            </w:r>
            <w:r>
              <w:rPr>
                <w:sz w:val="14"/>
              </w:rPr>
              <w:t>lock</w:t>
            </w:r>
            <w:r>
              <w:rPr>
                <w:spacing w:val="-3"/>
                <w:sz w:val="14"/>
              </w:rPr>
              <w:t> </w:t>
            </w:r>
            <w:r>
              <w:rPr>
                <w:spacing w:val="-5"/>
                <w:sz w:val="14"/>
              </w:rPr>
              <w:t>in)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99.00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99.00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9"/>
              <w:ind w:left="107"/>
              <w:rPr>
                <w:sz w:val="14"/>
              </w:rPr>
            </w:pPr>
            <w:r>
              <w:rPr>
                <w:sz w:val="14"/>
              </w:rPr>
              <w:t>Joining</w:t>
            </w:r>
            <w:r>
              <w:rPr>
                <w:spacing w:val="-4"/>
                <w:sz w:val="14"/>
              </w:rPr>
              <w:t> </w:t>
            </w:r>
            <w:r>
              <w:rPr>
                <w:sz w:val="14"/>
              </w:rPr>
              <w:t>Fee</w:t>
            </w:r>
            <w:r>
              <w:rPr>
                <w:spacing w:val="-4"/>
                <w:sz w:val="14"/>
              </w:rPr>
              <w:t> </w:t>
            </w:r>
            <w:r>
              <w:rPr>
                <w:sz w:val="14"/>
              </w:rPr>
              <w:t>(12-month</w:t>
            </w:r>
            <w:r>
              <w:rPr>
                <w:spacing w:val="-5"/>
                <w:sz w:val="14"/>
              </w:rPr>
              <w:t> </w:t>
            </w:r>
            <w:r>
              <w:rPr>
                <w:sz w:val="14"/>
              </w:rPr>
              <w:t>lock</w:t>
            </w:r>
            <w:r>
              <w:rPr>
                <w:spacing w:val="-5"/>
                <w:sz w:val="14"/>
              </w:rPr>
              <w:t> in)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8"/>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2"/>
              <w:jc w:val="right"/>
              <w:rPr>
                <w:sz w:val="14"/>
              </w:rPr>
            </w:pPr>
            <w:r>
              <w:rPr>
                <w:spacing w:val="-2"/>
                <w:sz w:val="14"/>
              </w:rPr>
              <w:t>29.00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2"/>
              <w:jc w:val="right"/>
              <w:rPr>
                <w:sz w:val="14"/>
              </w:rPr>
            </w:pPr>
            <w:r>
              <w:rPr>
                <w:spacing w:val="-2"/>
                <w:sz w:val="14"/>
              </w:rPr>
              <w:t>29.00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2"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Maroondah</w:t>
            </w:r>
            <w:r>
              <w:rPr>
                <w:b/>
                <w:spacing w:val="-6"/>
                <w:sz w:val="14"/>
              </w:rPr>
              <w:t> </w:t>
            </w:r>
            <w:r>
              <w:rPr>
                <w:b/>
                <w:sz w:val="14"/>
              </w:rPr>
              <w:t>Leisure</w:t>
            </w:r>
            <w:r>
              <w:rPr>
                <w:b/>
                <w:spacing w:val="-8"/>
                <w:sz w:val="14"/>
              </w:rPr>
              <w:t> </w:t>
            </w:r>
            <w:r>
              <w:rPr>
                <w:b/>
                <w:sz w:val="14"/>
              </w:rPr>
              <w:t>Wellness</w:t>
            </w:r>
            <w:r>
              <w:rPr>
                <w:b/>
                <w:spacing w:val="-7"/>
                <w:sz w:val="14"/>
              </w:rPr>
              <w:t> </w:t>
            </w:r>
            <w:r>
              <w:rPr>
                <w:b/>
                <w:spacing w:val="-4"/>
                <w:sz w:val="14"/>
              </w:rPr>
              <w:t>Plus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Maroondah</w:t>
            </w:r>
            <w:r>
              <w:rPr>
                <w:spacing w:val="-5"/>
                <w:sz w:val="14"/>
              </w:rPr>
              <w:t> </w:t>
            </w:r>
            <w:r>
              <w:rPr>
                <w:sz w:val="14"/>
              </w:rPr>
              <w:t>Leisure</w:t>
            </w:r>
            <w:r>
              <w:rPr>
                <w:spacing w:val="-8"/>
                <w:sz w:val="14"/>
              </w:rPr>
              <w:t> </w:t>
            </w:r>
            <w:r>
              <w:rPr>
                <w:sz w:val="14"/>
              </w:rPr>
              <w:t>Wellness</w:t>
            </w:r>
            <w:r>
              <w:rPr>
                <w:spacing w:val="-6"/>
                <w:sz w:val="14"/>
              </w:rPr>
              <w:t> </w:t>
            </w:r>
            <w:r>
              <w:rPr>
                <w:spacing w:val="-2"/>
                <w:sz w:val="14"/>
              </w:rPr>
              <w:t>Plus/Fee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82.00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86.00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Maroondah</w:t>
            </w:r>
            <w:r>
              <w:rPr>
                <w:b/>
                <w:spacing w:val="-4"/>
                <w:sz w:val="14"/>
              </w:rPr>
              <w:t> </w:t>
            </w:r>
            <w:r>
              <w:rPr>
                <w:b/>
                <w:sz w:val="14"/>
              </w:rPr>
              <w:t>Leisure</w:t>
            </w:r>
            <w:r>
              <w:rPr>
                <w:b/>
                <w:spacing w:val="-7"/>
                <w:sz w:val="14"/>
              </w:rPr>
              <w:t> </w:t>
            </w:r>
            <w:r>
              <w:rPr>
                <w:b/>
                <w:sz w:val="14"/>
              </w:rPr>
              <w:t>Wellness</w:t>
            </w:r>
            <w:r>
              <w:rPr>
                <w:b/>
                <w:spacing w:val="-5"/>
                <w:sz w:val="14"/>
              </w:rPr>
              <w:t> </w:t>
            </w:r>
            <w:r>
              <w:rPr>
                <w:b/>
                <w:sz w:val="14"/>
              </w:rPr>
              <w:t>Plus</w:t>
            </w:r>
            <w:r>
              <w:rPr>
                <w:b/>
                <w:spacing w:val="-6"/>
                <w:sz w:val="14"/>
              </w:rPr>
              <w:t> </w:t>
            </w:r>
            <w:r>
              <w:rPr>
                <w:b/>
                <w:spacing w:val="-2"/>
                <w:sz w:val="14"/>
              </w:rPr>
              <w:t>Concession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Maroondah</w:t>
            </w:r>
            <w:r>
              <w:rPr>
                <w:spacing w:val="-4"/>
                <w:sz w:val="14"/>
              </w:rPr>
              <w:t> </w:t>
            </w:r>
            <w:r>
              <w:rPr>
                <w:sz w:val="14"/>
              </w:rPr>
              <w:t>Leisure</w:t>
            </w:r>
            <w:r>
              <w:rPr>
                <w:spacing w:val="-7"/>
                <w:sz w:val="14"/>
              </w:rPr>
              <w:t> </w:t>
            </w:r>
            <w:r>
              <w:rPr>
                <w:sz w:val="14"/>
              </w:rPr>
              <w:t>Wellness</w:t>
            </w:r>
            <w:r>
              <w:rPr>
                <w:spacing w:val="-6"/>
                <w:sz w:val="14"/>
              </w:rPr>
              <w:t> </w:t>
            </w:r>
            <w:r>
              <w:rPr>
                <w:sz w:val="14"/>
              </w:rPr>
              <w:t>Plus</w:t>
            </w:r>
            <w:r>
              <w:rPr>
                <w:spacing w:val="-4"/>
                <w:sz w:val="14"/>
              </w:rPr>
              <w:t> </w:t>
            </w:r>
            <w:r>
              <w:rPr>
                <w:spacing w:val="-2"/>
                <w:sz w:val="14"/>
              </w:rPr>
              <w:t>Concession/Fee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69.70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73.10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Maroondah</w:t>
            </w:r>
            <w:r>
              <w:rPr>
                <w:b/>
                <w:spacing w:val="-4"/>
                <w:sz w:val="14"/>
              </w:rPr>
              <w:t> </w:t>
            </w:r>
            <w:r>
              <w:rPr>
                <w:b/>
                <w:sz w:val="14"/>
              </w:rPr>
              <w:t>Leisure</w:t>
            </w:r>
            <w:r>
              <w:rPr>
                <w:b/>
                <w:spacing w:val="-4"/>
                <w:sz w:val="14"/>
              </w:rPr>
              <w:t> </w:t>
            </w:r>
            <w:r>
              <w:rPr>
                <w:b/>
                <w:sz w:val="14"/>
              </w:rPr>
              <w:t>Fitness</w:t>
            </w:r>
            <w:r>
              <w:rPr>
                <w:b/>
                <w:spacing w:val="-6"/>
                <w:sz w:val="14"/>
              </w:rPr>
              <w:t> </w:t>
            </w:r>
            <w:r>
              <w:rPr>
                <w:b/>
                <w:sz w:val="14"/>
              </w:rPr>
              <w:t>Plus</w:t>
            </w:r>
            <w:r>
              <w:rPr>
                <w:b/>
                <w:spacing w:val="-4"/>
                <w:sz w:val="14"/>
              </w:rPr>
              <w:t> </w:t>
            </w:r>
            <w:r>
              <w:rPr>
                <w:b/>
                <w:spacing w:val="-2"/>
                <w:sz w:val="14"/>
              </w:rPr>
              <w:t>Family</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9"/>
              <w:ind w:left="107"/>
              <w:rPr>
                <w:sz w:val="14"/>
              </w:rPr>
            </w:pP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7"/>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70"/>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1"/>
              <w:jc w:val="right"/>
              <w:rPr>
                <w:sz w:val="14"/>
              </w:rPr>
            </w:pPr>
            <w:r>
              <w:rPr>
                <w:spacing w:val="-2"/>
                <w:sz w:val="14"/>
              </w:rPr>
              <w:t>109.20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4"/>
              <w:jc w:val="right"/>
              <w:rPr>
                <w:sz w:val="14"/>
              </w:rPr>
            </w:pPr>
            <w:r>
              <w:rPr>
                <w:spacing w:val="-2"/>
                <w:sz w:val="14"/>
              </w:rPr>
              <w:t>115.50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2" w:lineRule="exact" w:before="19"/>
              <w:ind w:left="95" w:right="80"/>
              <w:jc w:val="center"/>
              <w:rPr>
                <w:sz w:val="14"/>
              </w:rPr>
            </w:pPr>
            <w:r>
              <w:rPr>
                <w:spacing w:val="-5"/>
                <w:sz w:val="14"/>
              </w:rPr>
              <w:t>5.5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Maroondah</w:t>
            </w:r>
            <w:r>
              <w:rPr>
                <w:b/>
                <w:spacing w:val="-4"/>
                <w:sz w:val="14"/>
              </w:rPr>
              <w:t> </w:t>
            </w:r>
            <w:r>
              <w:rPr>
                <w:b/>
                <w:sz w:val="14"/>
              </w:rPr>
              <w:t>Leisure</w:t>
            </w:r>
            <w:r>
              <w:rPr>
                <w:b/>
                <w:spacing w:val="-5"/>
                <w:sz w:val="14"/>
              </w:rPr>
              <w:t> </w:t>
            </w:r>
            <w:r>
              <w:rPr>
                <w:b/>
                <w:sz w:val="14"/>
              </w:rPr>
              <w:t>Fitness</w:t>
            </w:r>
            <w:r>
              <w:rPr>
                <w:b/>
                <w:spacing w:val="-7"/>
                <w:sz w:val="14"/>
              </w:rPr>
              <w:t> </w:t>
            </w:r>
            <w:r>
              <w:rPr>
                <w:b/>
                <w:sz w:val="14"/>
              </w:rPr>
              <w:t>Plus</w:t>
            </w:r>
            <w:r>
              <w:rPr>
                <w:b/>
                <w:spacing w:val="-3"/>
                <w:sz w:val="14"/>
              </w:rPr>
              <w:t> </w:t>
            </w:r>
            <w:r>
              <w:rPr>
                <w:b/>
                <w:sz w:val="14"/>
              </w:rPr>
              <w:t>Family</w:t>
            </w:r>
            <w:r>
              <w:rPr>
                <w:b/>
                <w:spacing w:val="-6"/>
                <w:sz w:val="14"/>
              </w:rPr>
              <w:t> </w:t>
            </w:r>
            <w:r>
              <w:rPr>
                <w:b/>
                <w:spacing w:val="-2"/>
                <w:sz w:val="14"/>
              </w:rPr>
              <w:t>Concession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92.82</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98.20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Maroondah</w:t>
            </w:r>
            <w:r>
              <w:rPr>
                <w:b/>
                <w:spacing w:val="-4"/>
                <w:sz w:val="14"/>
              </w:rPr>
              <w:t> </w:t>
            </w:r>
            <w:r>
              <w:rPr>
                <w:b/>
                <w:sz w:val="14"/>
              </w:rPr>
              <w:t>Leisure</w:t>
            </w:r>
            <w:r>
              <w:rPr>
                <w:b/>
                <w:spacing w:val="-4"/>
                <w:sz w:val="14"/>
              </w:rPr>
              <w:t> </w:t>
            </w:r>
            <w:r>
              <w:rPr>
                <w:b/>
                <w:sz w:val="14"/>
              </w:rPr>
              <w:t>Fitness</w:t>
            </w:r>
            <w:r>
              <w:rPr>
                <w:b/>
                <w:spacing w:val="-7"/>
                <w:sz w:val="14"/>
              </w:rPr>
              <w:t> </w:t>
            </w:r>
            <w:r>
              <w:rPr>
                <w:b/>
                <w:sz w:val="14"/>
              </w:rPr>
              <w:t>Plus</w:t>
            </w:r>
            <w:r>
              <w:rPr>
                <w:b/>
                <w:spacing w:val="-6"/>
                <w:sz w:val="14"/>
              </w:rPr>
              <w:t> </w:t>
            </w:r>
            <w:r>
              <w:rPr>
                <w:b/>
                <w:spacing w:val="-4"/>
                <w:sz w:val="14"/>
              </w:rPr>
              <w:t>Teen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9.1</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Maroondah</w:t>
            </w:r>
            <w:r>
              <w:rPr>
                <w:b/>
                <w:spacing w:val="-4"/>
                <w:sz w:val="14"/>
              </w:rPr>
              <w:t> </w:t>
            </w:r>
            <w:r>
              <w:rPr>
                <w:b/>
                <w:sz w:val="14"/>
              </w:rPr>
              <w:t>Leisure</w:t>
            </w:r>
            <w:r>
              <w:rPr>
                <w:b/>
                <w:spacing w:val="-4"/>
                <w:sz w:val="14"/>
              </w:rPr>
              <w:t> </w:t>
            </w:r>
            <w:r>
              <w:rPr>
                <w:b/>
                <w:sz w:val="14"/>
              </w:rPr>
              <w:t>Fitness</w:t>
            </w:r>
            <w:r>
              <w:rPr>
                <w:b/>
                <w:spacing w:val="-7"/>
                <w:sz w:val="14"/>
              </w:rPr>
              <w:t> </w:t>
            </w:r>
            <w:r>
              <w:rPr>
                <w:b/>
                <w:sz w:val="14"/>
              </w:rPr>
              <w:t>Plus</w:t>
            </w:r>
            <w:r>
              <w:rPr>
                <w:b/>
                <w:spacing w:val="-5"/>
                <w:sz w:val="14"/>
              </w:rPr>
              <w:t> </w:t>
            </w:r>
            <w:r>
              <w:rPr>
                <w:b/>
                <w:spacing w:val="-2"/>
                <w:sz w:val="14"/>
              </w:rPr>
              <w:t>Individual</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9"/>
              <w:ind w:left="107"/>
              <w:rPr>
                <w:sz w:val="14"/>
              </w:rPr>
            </w:pPr>
            <w:r>
              <w:rPr>
                <w:sz w:val="14"/>
              </w:rPr>
              <w:t>Maroondah</w:t>
            </w:r>
            <w:r>
              <w:rPr>
                <w:spacing w:val="-5"/>
                <w:sz w:val="14"/>
              </w:rPr>
              <w:t> </w:t>
            </w:r>
            <w:r>
              <w:rPr>
                <w:sz w:val="14"/>
              </w:rPr>
              <w:t>Leisure</w:t>
            </w:r>
            <w:r>
              <w:rPr>
                <w:spacing w:val="-5"/>
                <w:sz w:val="14"/>
              </w:rPr>
              <w:t> </w:t>
            </w:r>
            <w:r>
              <w:rPr>
                <w:sz w:val="14"/>
              </w:rPr>
              <w:t>Fitness</w:t>
            </w:r>
            <w:r>
              <w:rPr>
                <w:spacing w:val="-6"/>
                <w:sz w:val="14"/>
              </w:rPr>
              <w:t> </w:t>
            </w:r>
            <w:r>
              <w:rPr>
                <w:sz w:val="14"/>
              </w:rPr>
              <w:t>Plus</w:t>
            </w:r>
            <w:r>
              <w:rPr>
                <w:spacing w:val="-6"/>
                <w:sz w:val="14"/>
              </w:rPr>
              <w:t> </w:t>
            </w:r>
            <w:r>
              <w:rPr>
                <w:spacing w:val="-2"/>
                <w:sz w:val="14"/>
              </w:rPr>
              <w:t>Individual</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2"/>
              <w:jc w:val="right"/>
              <w:rPr>
                <w:sz w:val="14"/>
              </w:rPr>
            </w:pPr>
            <w:r>
              <w:rPr>
                <w:spacing w:val="-2"/>
                <w:sz w:val="14"/>
              </w:rPr>
              <w:t>52.00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2"/>
              <w:jc w:val="right"/>
              <w:rPr>
                <w:sz w:val="14"/>
              </w:rPr>
            </w:pPr>
            <w:r>
              <w:rPr>
                <w:spacing w:val="-2"/>
                <w:sz w:val="14"/>
              </w:rPr>
              <w:t>55.00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2" w:lineRule="exact" w:before="19"/>
              <w:ind w:left="95" w:right="79"/>
              <w:jc w:val="center"/>
              <w:rPr>
                <w:sz w:val="14"/>
              </w:rPr>
            </w:pPr>
            <w:r>
              <w:rPr>
                <w:spacing w:val="-5"/>
                <w:sz w:val="14"/>
              </w:rPr>
              <w:t>5.5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Club</w:t>
            </w:r>
            <w:r>
              <w:rPr>
                <w:b/>
                <w:spacing w:val="-7"/>
                <w:sz w:val="14"/>
              </w:rPr>
              <w:t> </w:t>
            </w:r>
            <w:r>
              <w:rPr>
                <w:b/>
                <w:sz w:val="14"/>
              </w:rPr>
              <w:t>Membership</w:t>
            </w:r>
            <w:r>
              <w:rPr>
                <w:b/>
                <w:spacing w:val="-4"/>
                <w:sz w:val="14"/>
              </w:rPr>
              <w:t> </w:t>
            </w:r>
            <w:r>
              <w:rPr>
                <w:b/>
                <w:sz w:val="14"/>
              </w:rPr>
              <w:t>Ringwood</w:t>
            </w:r>
            <w:r>
              <w:rPr>
                <w:b/>
                <w:spacing w:val="-7"/>
                <w:sz w:val="14"/>
              </w:rPr>
              <w:t> </w:t>
            </w:r>
            <w:r>
              <w:rPr>
                <w:b/>
                <w:sz w:val="14"/>
              </w:rPr>
              <w:t>Swimming</w:t>
            </w:r>
            <w:r>
              <w:rPr>
                <w:b/>
                <w:spacing w:val="-4"/>
                <w:sz w:val="14"/>
              </w:rPr>
              <w:t> Club</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2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rPr>
                <w:sz w:val="14"/>
              </w:rPr>
            </w:pPr>
          </w:p>
          <w:p>
            <w:pPr>
              <w:pStyle w:val="TableParagraph"/>
              <w:spacing w:line="140" w:lineRule="exact"/>
              <w:ind w:left="107"/>
              <w:rPr>
                <w:sz w:val="14"/>
              </w:rPr>
            </w:pPr>
            <w:r>
              <w:rPr>
                <w:sz w:val="14"/>
              </w:rPr>
              <w:t>Club</w:t>
            </w:r>
            <w:r>
              <w:rPr>
                <w:spacing w:val="-5"/>
                <w:sz w:val="14"/>
              </w:rPr>
              <w:t> </w:t>
            </w:r>
            <w:r>
              <w:rPr>
                <w:sz w:val="14"/>
              </w:rPr>
              <w:t>Memberships</w:t>
            </w:r>
            <w:r>
              <w:rPr>
                <w:spacing w:val="-4"/>
                <w:sz w:val="14"/>
              </w:rPr>
              <w:t> </w:t>
            </w:r>
            <w:r>
              <w:rPr>
                <w:sz w:val="14"/>
              </w:rPr>
              <w:t>Ringwood</w:t>
            </w:r>
            <w:r>
              <w:rPr>
                <w:spacing w:val="-6"/>
                <w:sz w:val="14"/>
              </w:rPr>
              <w:t> </w:t>
            </w:r>
            <w:r>
              <w:rPr>
                <w:sz w:val="14"/>
              </w:rPr>
              <w:t>Swimming</w:t>
            </w:r>
            <w:r>
              <w:rPr>
                <w:spacing w:val="-6"/>
                <w:sz w:val="14"/>
              </w:rPr>
              <w:t> </w:t>
            </w:r>
            <w:r>
              <w:rPr>
                <w:spacing w:val="-4"/>
                <w:sz w:val="14"/>
              </w:rPr>
              <w:t>Club</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140" w:lineRule="exact"/>
              <w:ind w:right="91"/>
              <w:jc w:val="right"/>
              <w:rPr>
                <w:sz w:val="14"/>
              </w:rPr>
            </w:pPr>
            <w:r>
              <w:rPr>
                <w:spacing w:val="-2"/>
                <w:sz w:val="14"/>
              </w:rPr>
              <w:t>20.50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60" w:lineRule="atLeast"/>
              <w:ind w:left="219" w:right="192" w:firstLine="225"/>
              <w:rPr>
                <w:sz w:val="14"/>
              </w:rPr>
            </w:pPr>
            <w:r>
              <w:rPr>
                <w:spacing w:val="-4"/>
                <w:sz w:val="14"/>
              </w:rPr>
              <w:t>Teen</w:t>
            </w:r>
            <w:r>
              <w:rPr>
                <w:spacing w:val="40"/>
                <w:sz w:val="14"/>
              </w:rPr>
              <w:t> </w:t>
            </w:r>
            <w:r>
              <w:rPr>
                <w:spacing w:val="-2"/>
                <w:sz w:val="14"/>
              </w:rPr>
              <w:t>Membership</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sz w:val="14"/>
              </w:rPr>
            </w:pPr>
          </w:p>
          <w:p>
            <w:pPr>
              <w:pStyle w:val="TableParagraph"/>
              <w:spacing w:line="140" w:lineRule="exact"/>
              <w:ind w:left="95" w:right="79"/>
              <w:jc w:val="center"/>
              <w:rPr>
                <w:sz w:val="14"/>
              </w:rPr>
            </w:pPr>
            <w:r>
              <w:rPr>
                <w:spacing w:val="-5"/>
                <w:sz w:val="14"/>
              </w:rPr>
              <w:t>0.0</w:t>
            </w:r>
          </w:p>
        </w:tc>
      </w:tr>
      <w:tr>
        <w:trPr>
          <w:trHeight w:val="178"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Maroondah</w:t>
            </w:r>
            <w:r>
              <w:rPr>
                <w:b/>
                <w:spacing w:val="-4"/>
                <w:sz w:val="14"/>
              </w:rPr>
              <w:t> </w:t>
            </w:r>
            <w:r>
              <w:rPr>
                <w:b/>
                <w:sz w:val="14"/>
              </w:rPr>
              <w:t>Leisure</w:t>
            </w:r>
            <w:r>
              <w:rPr>
                <w:b/>
                <w:spacing w:val="-4"/>
                <w:sz w:val="14"/>
              </w:rPr>
              <w:t> </w:t>
            </w:r>
            <w:r>
              <w:rPr>
                <w:b/>
                <w:sz w:val="14"/>
              </w:rPr>
              <w:t>-</w:t>
            </w:r>
            <w:r>
              <w:rPr>
                <w:b/>
                <w:spacing w:val="-4"/>
                <w:sz w:val="14"/>
              </w:rPr>
              <w:t> </w:t>
            </w:r>
            <w:r>
              <w:rPr>
                <w:b/>
                <w:sz w:val="14"/>
              </w:rPr>
              <w:t>Family</w:t>
            </w:r>
            <w:r>
              <w:rPr>
                <w:b/>
                <w:spacing w:val="-4"/>
                <w:sz w:val="14"/>
              </w:rPr>
              <w:t> </w:t>
            </w:r>
            <w:r>
              <w:rPr>
                <w:b/>
                <w:spacing w:val="-2"/>
                <w:sz w:val="14"/>
              </w:rPr>
              <w:t>Membership</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Lifestyle</w:t>
            </w:r>
            <w:r>
              <w:rPr>
                <w:spacing w:val="-8"/>
                <w:sz w:val="14"/>
              </w:rPr>
              <w:t> </w:t>
            </w:r>
            <w:r>
              <w:rPr>
                <w:spacing w:val="-2"/>
                <w:sz w:val="14"/>
              </w:rPr>
              <w:t>concession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139.23</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149.00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6.6</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9"/>
              <w:ind w:left="107"/>
              <w:rPr>
                <w:sz w:val="14"/>
              </w:rPr>
            </w:pPr>
            <w:r>
              <w:rPr>
                <w:spacing w:val="-2"/>
                <w:sz w:val="14"/>
              </w:rPr>
              <w:t>Lifestyle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8"/>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1"/>
              <w:jc w:val="right"/>
              <w:rPr>
                <w:sz w:val="14"/>
              </w:rPr>
            </w:pPr>
            <w:r>
              <w:rPr>
                <w:spacing w:val="-2"/>
                <w:sz w:val="14"/>
              </w:rPr>
              <w:t>163.80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2"/>
              <w:jc w:val="right"/>
              <w:rPr>
                <w:sz w:val="14"/>
              </w:rPr>
            </w:pPr>
            <w:r>
              <w:rPr>
                <w:spacing w:val="-2"/>
                <w:sz w:val="14"/>
              </w:rPr>
              <w:t>175.30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2" w:lineRule="exact" w:before="19"/>
              <w:ind w:left="95" w:right="80"/>
              <w:jc w:val="center"/>
              <w:rPr>
                <w:sz w:val="14"/>
              </w:rPr>
            </w:pPr>
            <w:r>
              <w:rPr>
                <w:spacing w:val="-5"/>
                <w:sz w:val="14"/>
              </w:rPr>
              <w:t>6.6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Mates</w:t>
            </w:r>
            <w:r>
              <w:rPr>
                <w:spacing w:val="-3"/>
                <w:sz w:val="14"/>
              </w:rPr>
              <w:t> </w:t>
            </w:r>
            <w:r>
              <w:rPr>
                <w:sz w:val="14"/>
              </w:rPr>
              <w:t>Lifestyle</w:t>
            </w:r>
            <w:r>
              <w:rPr>
                <w:spacing w:val="-5"/>
                <w:sz w:val="14"/>
              </w:rPr>
              <w:t> </w:t>
            </w:r>
            <w:r>
              <w:rPr>
                <w:sz w:val="14"/>
              </w:rPr>
              <w:t>x</w:t>
            </w:r>
            <w:r>
              <w:rPr>
                <w:spacing w:val="-3"/>
                <w:sz w:val="14"/>
              </w:rPr>
              <w:t> </w:t>
            </w:r>
            <w:r>
              <w:rPr>
                <w:spacing w:val="-10"/>
                <w:sz w:val="14"/>
              </w:rPr>
              <w:t>2</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140.40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150.30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6.6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Mates</w:t>
            </w:r>
            <w:r>
              <w:rPr>
                <w:spacing w:val="-3"/>
                <w:sz w:val="14"/>
              </w:rPr>
              <w:t> </w:t>
            </w:r>
            <w:r>
              <w:rPr>
                <w:sz w:val="14"/>
              </w:rPr>
              <w:t>Lifestyle</w:t>
            </w:r>
            <w:r>
              <w:rPr>
                <w:spacing w:val="-5"/>
                <w:sz w:val="14"/>
              </w:rPr>
              <w:t> </w:t>
            </w:r>
            <w:r>
              <w:rPr>
                <w:sz w:val="14"/>
              </w:rPr>
              <w:t>x</w:t>
            </w:r>
            <w:r>
              <w:rPr>
                <w:spacing w:val="-3"/>
                <w:sz w:val="14"/>
              </w:rPr>
              <w:t> </w:t>
            </w:r>
            <w:r>
              <w:rPr>
                <w:spacing w:val="-10"/>
                <w:sz w:val="14"/>
              </w:rPr>
              <w:t>3</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210.60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225.40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6.6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Mates</w:t>
            </w:r>
            <w:r>
              <w:rPr>
                <w:spacing w:val="-3"/>
                <w:sz w:val="14"/>
              </w:rPr>
              <w:t> </w:t>
            </w:r>
            <w:r>
              <w:rPr>
                <w:sz w:val="14"/>
              </w:rPr>
              <w:t>Lifestyle</w:t>
            </w:r>
            <w:r>
              <w:rPr>
                <w:spacing w:val="-5"/>
                <w:sz w:val="14"/>
              </w:rPr>
              <w:t> </w:t>
            </w:r>
            <w:r>
              <w:rPr>
                <w:sz w:val="14"/>
              </w:rPr>
              <w:t>x</w:t>
            </w:r>
            <w:r>
              <w:rPr>
                <w:spacing w:val="-3"/>
                <w:sz w:val="14"/>
              </w:rPr>
              <w:t> </w:t>
            </w:r>
            <w:r>
              <w:rPr>
                <w:spacing w:val="-10"/>
                <w:sz w:val="14"/>
              </w:rPr>
              <w:t>4</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280.80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280.80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Teen</w:t>
            </w:r>
            <w:r>
              <w:rPr>
                <w:spacing w:val="-4"/>
                <w:sz w:val="14"/>
              </w:rPr>
              <w:t> </w:t>
            </w:r>
            <w:r>
              <w:rPr>
                <w:spacing w:val="-2"/>
                <w:sz w:val="14"/>
              </w:rPr>
              <w:t>Lifestyle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41.00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46.00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81"/>
              <w:jc w:val="center"/>
              <w:rPr>
                <w:sz w:val="14"/>
              </w:rPr>
            </w:pPr>
            <w:r>
              <w:rPr>
                <w:spacing w:val="-4"/>
                <w:sz w:val="14"/>
              </w:rPr>
              <w:t>10.9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Maroondah</w:t>
            </w:r>
            <w:r>
              <w:rPr>
                <w:b/>
                <w:spacing w:val="-3"/>
                <w:sz w:val="14"/>
              </w:rPr>
              <w:t> </w:t>
            </w:r>
            <w:r>
              <w:rPr>
                <w:b/>
                <w:sz w:val="14"/>
              </w:rPr>
              <w:t>Leisure</w:t>
            </w:r>
            <w:r>
              <w:rPr>
                <w:b/>
                <w:spacing w:val="-2"/>
                <w:sz w:val="14"/>
              </w:rPr>
              <w:t> </w:t>
            </w:r>
            <w:r>
              <w:rPr>
                <w:b/>
                <w:sz w:val="14"/>
              </w:rPr>
              <w:t>-</w:t>
            </w:r>
            <w:r>
              <w:rPr>
                <w:b/>
                <w:spacing w:val="-6"/>
                <w:sz w:val="14"/>
              </w:rPr>
              <w:t> </w:t>
            </w:r>
            <w:r>
              <w:rPr>
                <w:b/>
                <w:sz w:val="14"/>
              </w:rPr>
              <w:t>50</w:t>
            </w:r>
            <w:r>
              <w:rPr>
                <w:b/>
                <w:spacing w:val="-5"/>
                <w:sz w:val="14"/>
              </w:rPr>
              <w:t> </w:t>
            </w:r>
            <w:r>
              <w:rPr>
                <w:b/>
                <w:sz w:val="14"/>
              </w:rPr>
              <w:t>Plus</w:t>
            </w:r>
            <w:r>
              <w:rPr>
                <w:b/>
                <w:spacing w:val="-2"/>
                <w:sz w:val="14"/>
              </w:rPr>
              <w:t> </w:t>
            </w:r>
            <w:r>
              <w:rPr>
                <w:b/>
                <w:sz w:val="14"/>
              </w:rPr>
              <w:t>Lifestyle</w:t>
            </w:r>
            <w:r>
              <w:rPr>
                <w:b/>
                <w:spacing w:val="-6"/>
                <w:sz w:val="14"/>
              </w:rPr>
              <w:t> </w:t>
            </w:r>
            <w:r>
              <w:rPr>
                <w:b/>
                <w:spacing w:val="-2"/>
                <w:sz w:val="14"/>
              </w:rPr>
              <w:t>Membership</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9"/>
              <w:ind w:left="107"/>
              <w:rPr>
                <w:sz w:val="14"/>
              </w:rPr>
            </w:pPr>
            <w:r>
              <w:rPr>
                <w:sz w:val="14"/>
              </w:rPr>
              <w:t>Fee</w:t>
            </w:r>
            <w:r>
              <w:rPr>
                <w:spacing w:val="-6"/>
                <w:sz w:val="14"/>
              </w:rPr>
              <w:t> </w:t>
            </w:r>
            <w:r>
              <w:rPr>
                <w:spacing w:val="-2"/>
                <w:sz w:val="14"/>
              </w:rPr>
              <w:t>Individual</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1"/>
              <w:jc w:val="right"/>
              <w:rPr>
                <w:sz w:val="14"/>
              </w:rPr>
            </w:pPr>
            <w:r>
              <w:rPr>
                <w:spacing w:val="-2"/>
                <w:sz w:val="14"/>
              </w:rPr>
              <w:t>69.70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2"/>
              <w:jc w:val="right"/>
              <w:rPr>
                <w:sz w:val="14"/>
              </w:rPr>
            </w:pPr>
            <w:r>
              <w:rPr>
                <w:spacing w:val="-2"/>
                <w:sz w:val="14"/>
              </w:rPr>
              <w:t>75.20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2" w:lineRule="exact" w:before="19"/>
              <w:ind w:left="95" w:right="80"/>
              <w:jc w:val="center"/>
              <w:rPr>
                <w:sz w:val="14"/>
              </w:rPr>
            </w:pPr>
            <w:r>
              <w:rPr>
                <w:spacing w:val="-5"/>
                <w:sz w:val="14"/>
              </w:rPr>
              <w:t>7.3</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Fee</w:t>
            </w:r>
            <w:r>
              <w:rPr>
                <w:spacing w:val="-6"/>
                <w:sz w:val="14"/>
              </w:rPr>
              <w:t> </w:t>
            </w:r>
            <w:r>
              <w:rPr>
                <w:sz w:val="14"/>
              </w:rPr>
              <w:t>Individual</w:t>
            </w:r>
            <w:r>
              <w:rPr>
                <w:spacing w:val="-4"/>
                <w:sz w:val="14"/>
              </w:rPr>
              <w:t> </w:t>
            </w:r>
            <w:r>
              <w:rPr>
                <w:sz w:val="14"/>
              </w:rPr>
              <w:t>+</w:t>
            </w:r>
            <w:r>
              <w:rPr>
                <w:spacing w:val="-2"/>
                <w:sz w:val="14"/>
              </w:rPr>
              <w:t> Partner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140.00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150.30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6.9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Maroondah</w:t>
            </w:r>
            <w:r>
              <w:rPr>
                <w:b/>
                <w:spacing w:val="-4"/>
                <w:sz w:val="14"/>
              </w:rPr>
              <w:t> </w:t>
            </w:r>
            <w:r>
              <w:rPr>
                <w:b/>
                <w:sz w:val="14"/>
              </w:rPr>
              <w:t>Leisure</w:t>
            </w:r>
            <w:r>
              <w:rPr>
                <w:b/>
                <w:spacing w:val="-4"/>
                <w:sz w:val="14"/>
              </w:rPr>
              <w:t> </w:t>
            </w:r>
            <w:r>
              <w:rPr>
                <w:b/>
                <w:sz w:val="14"/>
              </w:rPr>
              <w:t>-</w:t>
            </w:r>
            <w:r>
              <w:rPr>
                <w:b/>
                <w:spacing w:val="-7"/>
                <w:sz w:val="14"/>
              </w:rPr>
              <w:t> </w:t>
            </w:r>
            <w:r>
              <w:rPr>
                <w:b/>
                <w:sz w:val="14"/>
              </w:rPr>
              <w:t>Individual</w:t>
            </w:r>
            <w:r>
              <w:rPr>
                <w:b/>
                <w:spacing w:val="-4"/>
                <w:sz w:val="14"/>
              </w:rPr>
              <w:t> </w:t>
            </w:r>
            <w:r>
              <w:rPr>
                <w:b/>
                <w:spacing w:val="-2"/>
                <w:sz w:val="14"/>
              </w:rPr>
              <w:t>Membership</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Lifestyle</w:t>
            </w:r>
            <w:r>
              <w:rPr>
                <w:spacing w:val="-8"/>
                <w:sz w:val="14"/>
              </w:rPr>
              <w:t> </w:t>
            </w:r>
            <w:r>
              <w:rPr>
                <w:spacing w:val="-2"/>
                <w:sz w:val="14"/>
              </w:rPr>
              <w:t>Concession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66.30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71.00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6.6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Lifestyle</w:t>
            </w:r>
            <w:r>
              <w:rPr>
                <w:spacing w:val="-8"/>
                <w:sz w:val="14"/>
              </w:rPr>
              <w:t> </w:t>
            </w:r>
            <w:r>
              <w:rPr>
                <w:spacing w:val="-2"/>
                <w:sz w:val="14"/>
              </w:rPr>
              <w:t>Individual</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78.00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83.50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6.6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Maroondah</w:t>
            </w:r>
            <w:r>
              <w:rPr>
                <w:b/>
                <w:spacing w:val="-4"/>
                <w:sz w:val="14"/>
              </w:rPr>
              <w:t> </w:t>
            </w:r>
            <w:r>
              <w:rPr>
                <w:b/>
                <w:sz w:val="14"/>
              </w:rPr>
              <w:t>Leisure</w:t>
            </w:r>
            <w:r>
              <w:rPr>
                <w:b/>
                <w:spacing w:val="-3"/>
                <w:sz w:val="14"/>
              </w:rPr>
              <w:t> </w:t>
            </w:r>
            <w:r>
              <w:rPr>
                <w:b/>
                <w:sz w:val="14"/>
              </w:rPr>
              <w:t>-</w:t>
            </w:r>
            <w:r>
              <w:rPr>
                <w:b/>
                <w:spacing w:val="-6"/>
                <w:sz w:val="14"/>
              </w:rPr>
              <w:t> </w:t>
            </w:r>
            <w:r>
              <w:rPr>
                <w:b/>
                <w:spacing w:val="-4"/>
                <w:sz w:val="14"/>
              </w:rPr>
              <w:t>Golf</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9"/>
              <w:ind w:left="107"/>
              <w:rPr>
                <w:sz w:val="14"/>
              </w:rPr>
            </w:pPr>
            <w:r>
              <w:rPr>
                <w:sz w:val="14"/>
              </w:rPr>
              <w:t>Fortnightly</w:t>
            </w:r>
            <w:r>
              <w:rPr>
                <w:spacing w:val="-9"/>
                <w:sz w:val="14"/>
              </w:rPr>
              <w:t> </w:t>
            </w:r>
            <w:r>
              <w:rPr>
                <w:spacing w:val="-2"/>
                <w:sz w:val="14"/>
              </w:rPr>
              <w:t>Concession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1"/>
              <w:jc w:val="right"/>
              <w:rPr>
                <w:sz w:val="14"/>
              </w:rPr>
            </w:pPr>
            <w:r>
              <w:rPr>
                <w:spacing w:val="-2"/>
                <w:sz w:val="14"/>
              </w:rPr>
              <w:t>61.20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3"/>
              <w:jc w:val="right"/>
              <w:rPr>
                <w:sz w:val="14"/>
              </w:rPr>
            </w:pPr>
            <w:r>
              <w:rPr>
                <w:spacing w:val="-2"/>
                <w:sz w:val="14"/>
              </w:rPr>
              <w:t>65.50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2" w:lineRule="exact" w:before="19"/>
              <w:ind w:left="95" w:right="80"/>
              <w:jc w:val="center"/>
              <w:rPr>
                <w:sz w:val="14"/>
              </w:rPr>
            </w:pPr>
            <w:r>
              <w:rPr>
                <w:spacing w:val="-5"/>
                <w:sz w:val="14"/>
              </w:rPr>
              <w:t>6.6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2"/>
                <w:sz w:val="14"/>
              </w:rPr>
              <w:t>Fortnightly</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72.00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77.00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6.5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Maroondah</w:t>
            </w:r>
            <w:r>
              <w:rPr>
                <w:b/>
                <w:spacing w:val="-4"/>
                <w:sz w:val="14"/>
              </w:rPr>
              <w:t> </w:t>
            </w:r>
            <w:r>
              <w:rPr>
                <w:b/>
                <w:sz w:val="14"/>
              </w:rPr>
              <w:t>Leisure</w:t>
            </w:r>
            <w:r>
              <w:rPr>
                <w:b/>
                <w:spacing w:val="-3"/>
                <w:sz w:val="14"/>
              </w:rPr>
              <w:t> </w:t>
            </w:r>
            <w:r>
              <w:rPr>
                <w:b/>
                <w:sz w:val="14"/>
              </w:rPr>
              <w:t>-</w:t>
            </w:r>
            <w:r>
              <w:rPr>
                <w:b/>
                <w:spacing w:val="-6"/>
                <w:sz w:val="14"/>
              </w:rPr>
              <w:t> </w:t>
            </w:r>
            <w:r>
              <w:rPr>
                <w:b/>
                <w:spacing w:val="-2"/>
                <w:sz w:val="14"/>
              </w:rPr>
              <w:t>Aquatics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Swim</w:t>
            </w:r>
            <w:r>
              <w:rPr>
                <w:spacing w:val="-2"/>
                <w:sz w:val="14"/>
              </w:rPr>
              <w:t> </w:t>
            </w:r>
            <w:r>
              <w:rPr>
                <w:sz w:val="14"/>
              </w:rPr>
              <w:t>Plus</w:t>
            </w:r>
            <w:r>
              <w:rPr>
                <w:spacing w:val="-4"/>
                <w:sz w:val="14"/>
              </w:rPr>
              <w:t> </w:t>
            </w:r>
            <w:r>
              <w:rPr>
                <w:spacing w:val="-2"/>
                <w:sz w:val="14"/>
              </w:rPr>
              <w:t>Concession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34.00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35.70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Swim</w:t>
            </w:r>
            <w:r>
              <w:rPr>
                <w:spacing w:val="-2"/>
                <w:sz w:val="14"/>
              </w:rPr>
              <w:t> </w:t>
            </w:r>
            <w:r>
              <w:rPr>
                <w:spacing w:val="-4"/>
                <w:sz w:val="14"/>
              </w:rPr>
              <w:t>Plus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42.00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9"/>
              <w:ind w:left="107"/>
              <w:rPr>
                <w:b/>
                <w:sz w:val="14"/>
              </w:rPr>
            </w:pPr>
            <w:r>
              <w:rPr>
                <w:b/>
                <w:sz w:val="14"/>
              </w:rPr>
              <w:t>Aquanation</w:t>
            </w:r>
            <w:r>
              <w:rPr>
                <w:b/>
                <w:spacing w:val="-6"/>
                <w:sz w:val="14"/>
              </w:rPr>
              <w:t> </w:t>
            </w:r>
            <w:r>
              <w:rPr>
                <w:b/>
                <w:sz w:val="14"/>
              </w:rPr>
              <w:t>-</w:t>
            </w:r>
            <w:r>
              <w:rPr>
                <w:b/>
                <w:spacing w:val="-3"/>
                <w:sz w:val="14"/>
              </w:rPr>
              <w:t> </w:t>
            </w:r>
            <w:r>
              <w:rPr>
                <w:b/>
                <w:sz w:val="14"/>
              </w:rPr>
              <w:t>Casual</w:t>
            </w:r>
            <w:r>
              <w:rPr>
                <w:b/>
                <w:spacing w:val="-5"/>
                <w:sz w:val="14"/>
              </w:rPr>
              <w:t> </w:t>
            </w:r>
            <w:r>
              <w:rPr>
                <w:b/>
                <w:spacing w:val="-2"/>
                <w:sz w:val="14"/>
              </w:rPr>
              <w:t>Aquatics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bl>
    <w:p>
      <w:pPr>
        <w:spacing w:after="0"/>
        <w:rPr>
          <w:rFonts w:ascii="Times New Roman"/>
          <w:sz w:val="12"/>
        </w:rPr>
        <w:sectPr>
          <w:type w:val="continuous"/>
          <w:pgSz w:w="11910" w:h="16840"/>
          <w:pgMar w:header="0" w:footer="378" w:top="680" w:bottom="872" w:left="520" w:right="520"/>
        </w:sectPr>
      </w:pPr>
    </w:p>
    <w:tbl>
      <w:tblPr>
        <w:tblW w:w="0" w:type="auto"/>
        <w:jc w:val="left"/>
        <w:tblInd w:w="13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70"/>
        <w:gridCol w:w="1028"/>
        <w:gridCol w:w="769"/>
        <w:gridCol w:w="973"/>
        <w:gridCol w:w="1199"/>
        <w:gridCol w:w="897"/>
      </w:tblGrid>
      <w:tr>
        <w:trPr>
          <w:trHeight w:val="232" w:hRule="atLeast"/>
        </w:trPr>
        <w:tc>
          <w:tcPr>
            <w:tcW w:w="10636" w:type="dxa"/>
            <w:gridSpan w:val="6"/>
            <w:tcBorders>
              <w:left w:val="single" w:sz="12" w:space="0" w:color="000000"/>
              <w:bottom w:val="single" w:sz="4" w:space="0" w:color="000000"/>
              <w:right w:val="single" w:sz="12" w:space="0" w:color="000000"/>
            </w:tcBorders>
            <w:shd w:val="clear" w:color="auto" w:fill="3399FF"/>
          </w:tcPr>
          <w:p>
            <w:pPr>
              <w:pStyle w:val="TableParagraph"/>
              <w:spacing w:before="32"/>
              <w:ind w:left="4308" w:right="4290"/>
              <w:jc w:val="center"/>
              <w:rPr>
                <w:b/>
                <w:sz w:val="14"/>
              </w:rPr>
            </w:pPr>
            <w:r>
              <w:rPr>
                <w:b/>
                <w:color w:val="FFFFFF"/>
                <w:sz w:val="14"/>
              </w:rPr>
              <w:t>FEES</w:t>
            </w:r>
            <w:r>
              <w:rPr>
                <w:b/>
                <w:color w:val="FFFFFF"/>
                <w:spacing w:val="-5"/>
                <w:sz w:val="14"/>
              </w:rPr>
              <w:t> </w:t>
            </w:r>
            <w:r>
              <w:rPr>
                <w:b/>
                <w:color w:val="FFFFFF"/>
                <w:sz w:val="14"/>
              </w:rPr>
              <w:t>AND</w:t>
            </w:r>
            <w:r>
              <w:rPr>
                <w:b/>
                <w:color w:val="FFFFFF"/>
                <w:spacing w:val="-4"/>
                <w:sz w:val="14"/>
              </w:rPr>
              <w:t> </w:t>
            </w:r>
            <w:r>
              <w:rPr>
                <w:b/>
                <w:color w:val="FFFFFF"/>
                <w:sz w:val="14"/>
              </w:rPr>
              <w:t>CHARGES</w:t>
            </w:r>
            <w:r>
              <w:rPr>
                <w:b/>
                <w:color w:val="FFFFFF"/>
                <w:spacing w:val="-1"/>
                <w:sz w:val="14"/>
              </w:rPr>
              <w:t> </w:t>
            </w:r>
            <w:r>
              <w:rPr>
                <w:b/>
                <w:color w:val="FFFFFF"/>
                <w:spacing w:val="-2"/>
                <w:sz w:val="14"/>
              </w:rPr>
              <w:t>2025/26</w:t>
            </w:r>
          </w:p>
        </w:tc>
      </w:tr>
      <w:tr>
        <w:trPr>
          <w:trHeight w:val="858" w:hRule="atLeast"/>
        </w:trPr>
        <w:tc>
          <w:tcPr>
            <w:tcW w:w="5770" w:type="dxa"/>
            <w:tcBorders>
              <w:top w:val="single" w:sz="4" w:space="0" w:color="000000"/>
              <w:left w:val="single" w:sz="12" w:space="0" w:color="000000"/>
              <w:bottom w:val="single" w:sz="4" w:space="0" w:color="000000"/>
              <w:right w:val="single" w:sz="4"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107"/>
              <w:rPr>
                <w:b/>
                <w:sz w:val="14"/>
              </w:rPr>
            </w:pPr>
            <w:r>
              <w:rPr>
                <w:b/>
                <w:color w:val="FFFFFF"/>
                <w:sz w:val="14"/>
              </w:rPr>
              <w:t>Account</w:t>
            </w:r>
            <w:r>
              <w:rPr>
                <w:b/>
                <w:color w:val="FFFFFF"/>
                <w:spacing w:val="-7"/>
                <w:sz w:val="14"/>
              </w:rPr>
              <w:t> </w:t>
            </w:r>
            <w:r>
              <w:rPr>
                <w:b/>
                <w:color w:val="FFFFFF"/>
                <w:spacing w:val="-2"/>
                <w:sz w:val="14"/>
              </w:rPr>
              <w:t>Description</w:t>
            </w:r>
          </w:p>
        </w:tc>
        <w:tc>
          <w:tcPr>
            <w:tcW w:w="1028"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26" w:right="101" w:firstLine="4"/>
              <w:jc w:val="center"/>
              <w:rPr>
                <w:b/>
                <w:sz w:val="14"/>
              </w:rPr>
            </w:pPr>
            <w:r>
              <w:rPr>
                <w:b/>
                <w:color w:val="FFFFFF"/>
                <w:sz w:val="14"/>
              </w:rPr>
              <w:t>Fee</w:t>
            </w:r>
            <w:r>
              <w:rPr>
                <w:b/>
                <w:color w:val="FFFFFF"/>
                <w:spacing w:val="-6"/>
                <w:sz w:val="14"/>
              </w:rPr>
              <w:t> </w:t>
            </w:r>
            <w:r>
              <w:rPr>
                <w:b/>
                <w:color w:val="FFFFFF"/>
                <w:sz w:val="14"/>
              </w:rPr>
              <w:t>Type</w:t>
            </w:r>
            <w:r>
              <w:rPr>
                <w:b/>
                <w:color w:val="FFFFFF"/>
                <w:spacing w:val="40"/>
                <w:sz w:val="14"/>
              </w:rPr>
              <w:t> </w:t>
            </w:r>
            <w:r>
              <w:rPr>
                <w:b/>
                <w:color w:val="FFFFFF"/>
                <w:spacing w:val="-2"/>
                <w:sz w:val="14"/>
              </w:rPr>
              <w:t>N=Non-</w:t>
            </w:r>
            <w:r>
              <w:rPr>
                <w:b/>
                <w:color w:val="FFFFFF"/>
                <w:spacing w:val="40"/>
                <w:sz w:val="14"/>
              </w:rPr>
              <w:t> </w:t>
            </w:r>
            <w:r>
              <w:rPr>
                <w:b/>
                <w:color w:val="FFFFFF"/>
                <w:spacing w:val="-2"/>
                <w:sz w:val="14"/>
              </w:rPr>
              <w:t>Statutory</w:t>
            </w:r>
            <w:r>
              <w:rPr>
                <w:b/>
                <w:color w:val="FFFFFF"/>
                <w:spacing w:val="40"/>
                <w:sz w:val="14"/>
              </w:rPr>
              <w:t> </w:t>
            </w:r>
            <w:r>
              <w:rPr>
                <w:b/>
                <w:color w:val="FFFFFF"/>
                <w:spacing w:val="-2"/>
                <w:sz w:val="14"/>
              </w:rPr>
              <w:t>S=Statutory</w:t>
            </w:r>
          </w:p>
        </w:tc>
        <w:tc>
          <w:tcPr>
            <w:tcW w:w="76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4"/>
              <w:rPr>
                <w:sz w:val="23"/>
              </w:rPr>
            </w:pPr>
          </w:p>
          <w:p>
            <w:pPr>
              <w:pStyle w:val="TableParagraph"/>
              <w:spacing w:before="1"/>
              <w:ind w:left="248"/>
              <w:rPr>
                <w:b/>
                <w:sz w:val="14"/>
              </w:rPr>
            </w:pPr>
            <w:r>
              <w:rPr>
                <w:b/>
                <w:color w:val="FFFFFF"/>
                <w:spacing w:val="-5"/>
                <w:sz w:val="14"/>
              </w:rPr>
              <w:t>GST</w:t>
            </w:r>
          </w:p>
          <w:p>
            <w:pPr>
              <w:pStyle w:val="TableParagraph"/>
              <w:ind w:left="154"/>
              <w:rPr>
                <w:b/>
                <w:sz w:val="14"/>
              </w:rPr>
            </w:pPr>
            <w:r>
              <w:rPr>
                <w:b/>
                <w:color w:val="FFFFFF"/>
                <w:spacing w:val="-2"/>
                <w:sz w:val="14"/>
              </w:rPr>
              <w:t>Yes/No</w:t>
            </w:r>
          </w:p>
        </w:tc>
        <w:tc>
          <w:tcPr>
            <w:tcW w:w="973"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05" w:right="84"/>
              <w:jc w:val="center"/>
              <w:rPr>
                <w:b/>
                <w:sz w:val="14"/>
              </w:rPr>
            </w:pPr>
            <w:r>
              <w:rPr>
                <w:b/>
                <w:color w:val="FFFFFF"/>
                <w:spacing w:val="-2"/>
                <w:sz w:val="14"/>
              </w:rPr>
              <w:t>2024/25</w:t>
            </w:r>
          </w:p>
          <w:p>
            <w:pPr>
              <w:pStyle w:val="TableParagraph"/>
              <w:ind w:left="189" w:right="168" w:firstLine="1"/>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40"/>
                <w:sz w:val="14"/>
              </w:rPr>
              <w:t> </w:t>
            </w:r>
            <w:r>
              <w:rPr>
                <w:b/>
                <w:color w:val="FFFFFF"/>
                <w:sz w:val="14"/>
              </w:rPr>
              <w:t>Incl.</w:t>
            </w:r>
            <w:r>
              <w:rPr>
                <w:b/>
                <w:color w:val="FFFFFF"/>
                <w:spacing w:val="-5"/>
                <w:sz w:val="14"/>
              </w:rPr>
              <w:t> </w:t>
            </w:r>
            <w:r>
              <w:rPr>
                <w:b/>
                <w:color w:val="FFFFFF"/>
                <w:spacing w:val="-5"/>
                <w:sz w:val="14"/>
              </w:rPr>
              <w:t>GST</w:t>
            </w:r>
          </w:p>
        </w:tc>
        <w:tc>
          <w:tcPr>
            <w:tcW w:w="119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56" w:right="137"/>
              <w:jc w:val="center"/>
              <w:rPr>
                <w:b/>
                <w:sz w:val="14"/>
              </w:rPr>
            </w:pPr>
            <w:r>
              <w:rPr>
                <w:b/>
                <w:color w:val="FFFFFF"/>
                <w:spacing w:val="-2"/>
                <w:sz w:val="14"/>
              </w:rPr>
              <w:t>2025/26</w:t>
            </w:r>
          </w:p>
          <w:p>
            <w:pPr>
              <w:pStyle w:val="TableParagraph"/>
              <w:ind w:left="164" w:right="146" w:firstLine="2"/>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8"/>
                <w:sz w:val="14"/>
              </w:rPr>
              <w:t> </w:t>
            </w:r>
            <w:r>
              <w:rPr>
                <w:b/>
                <w:color w:val="FFFFFF"/>
                <w:spacing w:val="-2"/>
                <w:sz w:val="14"/>
              </w:rPr>
              <w:t>Incl.</w:t>
            </w:r>
          </w:p>
          <w:p>
            <w:pPr>
              <w:pStyle w:val="TableParagraph"/>
              <w:spacing w:line="161" w:lineRule="exact"/>
              <w:ind w:left="153" w:right="137"/>
              <w:jc w:val="center"/>
              <w:rPr>
                <w:b/>
                <w:sz w:val="14"/>
              </w:rPr>
            </w:pPr>
            <w:r>
              <w:rPr>
                <w:b/>
                <w:color w:val="FFFFFF"/>
                <w:spacing w:val="-5"/>
                <w:sz w:val="14"/>
              </w:rPr>
              <w:t>GST</w:t>
            </w:r>
          </w:p>
        </w:tc>
        <w:tc>
          <w:tcPr>
            <w:tcW w:w="897" w:type="dxa"/>
            <w:tcBorders>
              <w:top w:val="single" w:sz="4" w:space="0" w:color="000000"/>
              <w:left w:val="single" w:sz="4" w:space="0" w:color="000000"/>
              <w:bottom w:val="single" w:sz="4" w:space="0" w:color="000000"/>
              <w:right w:val="single" w:sz="12"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95" w:right="81"/>
              <w:jc w:val="center"/>
              <w:rPr>
                <w:b/>
                <w:sz w:val="14"/>
              </w:rPr>
            </w:pPr>
            <w:r>
              <w:rPr>
                <w:b/>
                <w:color w:val="FFFFFF"/>
                <w:sz w:val="14"/>
              </w:rPr>
              <w:t>%</w:t>
            </w:r>
            <w:r>
              <w:rPr>
                <w:b/>
                <w:color w:val="FFFFFF"/>
                <w:spacing w:val="-4"/>
                <w:sz w:val="14"/>
              </w:rPr>
              <w:t> </w:t>
            </w:r>
            <w:r>
              <w:rPr>
                <w:b/>
                <w:color w:val="FFFFFF"/>
                <w:spacing w:val="-2"/>
                <w:sz w:val="14"/>
              </w:rPr>
              <w:t>Change</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Adult</w:t>
            </w:r>
            <w:r>
              <w:rPr>
                <w:spacing w:val="-6"/>
                <w:sz w:val="14"/>
              </w:rPr>
              <w:t> </w:t>
            </w:r>
            <w:r>
              <w:rPr>
                <w:spacing w:val="-4"/>
                <w:sz w:val="14"/>
              </w:rPr>
              <w:t>swim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10.00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10.50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Child</w:t>
            </w:r>
            <w:r>
              <w:rPr>
                <w:spacing w:val="-6"/>
                <w:sz w:val="14"/>
              </w:rPr>
              <w:t> </w:t>
            </w:r>
            <w:r>
              <w:rPr>
                <w:spacing w:val="-4"/>
                <w:sz w:val="14"/>
              </w:rPr>
              <w:t>Swim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8.50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8.90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Family</w:t>
            </w:r>
            <w:r>
              <w:rPr>
                <w:spacing w:val="-7"/>
                <w:sz w:val="14"/>
              </w:rPr>
              <w:t> </w:t>
            </w:r>
            <w:r>
              <w:rPr>
                <w:spacing w:val="-4"/>
                <w:sz w:val="14"/>
              </w:rPr>
              <w:t>swim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28.50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29.90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Pensioner/Health</w:t>
            </w:r>
            <w:r>
              <w:rPr>
                <w:spacing w:val="-8"/>
                <w:sz w:val="14"/>
              </w:rPr>
              <w:t> </w:t>
            </w:r>
            <w:r>
              <w:rPr>
                <w:sz w:val="14"/>
              </w:rPr>
              <w:t>Care</w:t>
            </w:r>
            <w:r>
              <w:rPr>
                <w:spacing w:val="-6"/>
                <w:sz w:val="14"/>
              </w:rPr>
              <w:t> </w:t>
            </w:r>
            <w:r>
              <w:rPr>
                <w:spacing w:val="-4"/>
                <w:sz w:val="14"/>
              </w:rPr>
              <w:t>Card</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8.50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8.90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2"/>
                <w:sz w:val="14"/>
              </w:rPr>
              <w:t>Seniors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9.00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9.40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4.3</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Shower</w:t>
            </w:r>
            <w:r>
              <w:rPr>
                <w:spacing w:val="-7"/>
                <w:sz w:val="14"/>
              </w:rPr>
              <w:t> </w:t>
            </w:r>
            <w:r>
              <w:rPr>
                <w:spacing w:val="-2"/>
                <w:sz w:val="14"/>
              </w:rPr>
              <w:t>Access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4.50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4.70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4.3</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b/>
                <w:sz w:val="14"/>
              </w:rPr>
            </w:pPr>
            <w:r>
              <w:rPr>
                <w:b/>
                <w:sz w:val="14"/>
              </w:rPr>
              <w:t>Aquanation</w:t>
            </w:r>
            <w:r>
              <w:rPr>
                <w:b/>
                <w:spacing w:val="-6"/>
                <w:sz w:val="14"/>
              </w:rPr>
              <w:t> </w:t>
            </w:r>
            <w:r>
              <w:rPr>
                <w:b/>
                <w:sz w:val="14"/>
              </w:rPr>
              <w:t>-</w:t>
            </w:r>
            <w:r>
              <w:rPr>
                <w:b/>
                <w:spacing w:val="-2"/>
                <w:sz w:val="14"/>
              </w:rPr>
              <w:t> </w:t>
            </w:r>
            <w:r>
              <w:rPr>
                <w:b/>
                <w:sz w:val="14"/>
              </w:rPr>
              <w:t>Casual</w:t>
            </w:r>
            <w:r>
              <w:rPr>
                <w:b/>
                <w:spacing w:val="-2"/>
                <w:sz w:val="14"/>
              </w:rPr>
              <w:t> </w:t>
            </w:r>
            <w:r>
              <w:rPr>
                <w:b/>
                <w:sz w:val="14"/>
              </w:rPr>
              <w:t>spa,</w:t>
            </w:r>
            <w:r>
              <w:rPr>
                <w:b/>
                <w:spacing w:val="-3"/>
                <w:sz w:val="14"/>
              </w:rPr>
              <w:t> </w:t>
            </w:r>
            <w:r>
              <w:rPr>
                <w:b/>
                <w:sz w:val="14"/>
              </w:rPr>
              <w:t>sauna</w:t>
            </w:r>
            <w:r>
              <w:rPr>
                <w:b/>
                <w:spacing w:val="-6"/>
                <w:sz w:val="14"/>
              </w:rPr>
              <w:t> </w:t>
            </w:r>
            <w:r>
              <w:rPr>
                <w:b/>
                <w:sz w:val="14"/>
              </w:rPr>
              <w:t>&amp;</w:t>
            </w:r>
            <w:r>
              <w:rPr>
                <w:b/>
                <w:spacing w:val="-2"/>
                <w:sz w:val="14"/>
              </w:rPr>
              <w:t> </w:t>
            </w:r>
            <w:r>
              <w:rPr>
                <w:b/>
                <w:sz w:val="14"/>
              </w:rPr>
              <w:t>steam</w:t>
            </w:r>
            <w:r>
              <w:rPr>
                <w:b/>
                <w:spacing w:val="-3"/>
                <w:sz w:val="14"/>
              </w:rPr>
              <w:t> </w:t>
            </w:r>
            <w:r>
              <w:rPr>
                <w:b/>
                <w:spacing w:val="-4"/>
                <w:sz w:val="14"/>
              </w:rPr>
              <w:t>room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4"/>
                <w:sz w:val="14"/>
              </w:rPr>
              <w:t>Adult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14.00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14.70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2"/>
                <w:sz w:val="14"/>
              </w:rPr>
              <w:t>Concession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11.90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13.10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9.2</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2"/>
                <w:sz w:val="14"/>
              </w:rPr>
              <w:t>Seniors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12.60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13.60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7.4</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Aquanation</w:t>
            </w:r>
            <w:r>
              <w:rPr>
                <w:b/>
                <w:spacing w:val="-5"/>
                <w:sz w:val="14"/>
              </w:rPr>
              <w:t> </w:t>
            </w:r>
            <w:r>
              <w:rPr>
                <w:b/>
                <w:sz w:val="14"/>
              </w:rPr>
              <w:t>-</w:t>
            </w:r>
            <w:r>
              <w:rPr>
                <w:b/>
                <w:spacing w:val="-2"/>
                <w:sz w:val="14"/>
              </w:rPr>
              <w:t> </w:t>
            </w:r>
            <w:r>
              <w:rPr>
                <w:b/>
                <w:sz w:val="14"/>
              </w:rPr>
              <w:t>Aquatic</w:t>
            </w:r>
            <w:r>
              <w:rPr>
                <w:b/>
                <w:spacing w:val="-5"/>
                <w:sz w:val="14"/>
              </w:rPr>
              <w:t> </w:t>
            </w:r>
            <w:r>
              <w:rPr>
                <w:b/>
                <w:sz w:val="14"/>
              </w:rPr>
              <w:t>10</w:t>
            </w:r>
            <w:r>
              <w:rPr>
                <w:b/>
                <w:spacing w:val="-5"/>
                <w:sz w:val="14"/>
              </w:rPr>
              <w:t> </w:t>
            </w:r>
            <w:r>
              <w:rPr>
                <w:b/>
                <w:sz w:val="14"/>
              </w:rPr>
              <w:t>Visit</w:t>
            </w:r>
            <w:r>
              <w:rPr>
                <w:b/>
                <w:spacing w:val="-4"/>
                <w:sz w:val="14"/>
              </w:rPr>
              <w:t> Pass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Adult</w:t>
            </w:r>
            <w:r>
              <w:rPr>
                <w:spacing w:val="-6"/>
                <w:sz w:val="14"/>
              </w:rPr>
              <w:t> </w:t>
            </w:r>
            <w:r>
              <w:rPr>
                <w:spacing w:val="-4"/>
                <w:sz w:val="14"/>
              </w:rPr>
              <w:t>swim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90.00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94.50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Concession</w:t>
            </w:r>
            <w:r>
              <w:rPr>
                <w:spacing w:val="-9"/>
                <w:sz w:val="14"/>
              </w:rPr>
              <w:t> </w:t>
            </w:r>
            <w:r>
              <w:rPr>
                <w:spacing w:val="-4"/>
                <w:sz w:val="14"/>
              </w:rPr>
              <w:t>swim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76.50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81.10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5.7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Child</w:t>
            </w:r>
            <w:r>
              <w:rPr>
                <w:spacing w:val="-6"/>
                <w:sz w:val="14"/>
              </w:rPr>
              <w:t> </w:t>
            </w:r>
            <w:r>
              <w:rPr>
                <w:spacing w:val="-4"/>
                <w:sz w:val="14"/>
              </w:rPr>
              <w:t>Swim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76.50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81.10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Family</w:t>
            </w:r>
            <w:r>
              <w:rPr>
                <w:spacing w:val="-7"/>
                <w:sz w:val="14"/>
              </w:rPr>
              <w:t> </w:t>
            </w:r>
            <w:r>
              <w:rPr>
                <w:spacing w:val="-4"/>
                <w:sz w:val="14"/>
              </w:rPr>
              <w:t>swim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256.50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269.10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2"/>
                <w:sz w:val="14"/>
              </w:rPr>
              <w:t>Seniors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81.00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84.60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4.3</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Aquanation</w:t>
            </w:r>
            <w:r>
              <w:rPr>
                <w:b/>
                <w:spacing w:val="-5"/>
                <w:sz w:val="14"/>
              </w:rPr>
              <w:t> </w:t>
            </w:r>
            <w:r>
              <w:rPr>
                <w:b/>
                <w:sz w:val="14"/>
              </w:rPr>
              <w:t>-</w:t>
            </w:r>
            <w:r>
              <w:rPr>
                <w:b/>
                <w:spacing w:val="-2"/>
                <w:sz w:val="14"/>
              </w:rPr>
              <w:t> </w:t>
            </w:r>
            <w:r>
              <w:rPr>
                <w:b/>
                <w:sz w:val="14"/>
              </w:rPr>
              <w:t>Spa,</w:t>
            </w:r>
            <w:r>
              <w:rPr>
                <w:b/>
                <w:spacing w:val="-2"/>
                <w:sz w:val="14"/>
              </w:rPr>
              <w:t> </w:t>
            </w:r>
            <w:r>
              <w:rPr>
                <w:b/>
                <w:sz w:val="14"/>
              </w:rPr>
              <w:t>sauna</w:t>
            </w:r>
            <w:r>
              <w:rPr>
                <w:b/>
                <w:spacing w:val="-5"/>
                <w:sz w:val="14"/>
              </w:rPr>
              <w:t> </w:t>
            </w:r>
            <w:r>
              <w:rPr>
                <w:b/>
                <w:sz w:val="14"/>
              </w:rPr>
              <w:t>&amp;</w:t>
            </w:r>
            <w:r>
              <w:rPr>
                <w:b/>
                <w:spacing w:val="-1"/>
                <w:sz w:val="14"/>
              </w:rPr>
              <w:t> </w:t>
            </w:r>
            <w:r>
              <w:rPr>
                <w:b/>
                <w:sz w:val="14"/>
              </w:rPr>
              <w:t>steam</w:t>
            </w:r>
            <w:r>
              <w:rPr>
                <w:b/>
                <w:spacing w:val="-3"/>
                <w:sz w:val="14"/>
              </w:rPr>
              <w:t> </w:t>
            </w:r>
            <w:r>
              <w:rPr>
                <w:b/>
                <w:sz w:val="14"/>
              </w:rPr>
              <w:t>room</w:t>
            </w:r>
            <w:r>
              <w:rPr>
                <w:b/>
                <w:spacing w:val="-3"/>
                <w:sz w:val="14"/>
              </w:rPr>
              <w:t> </w:t>
            </w:r>
            <w:r>
              <w:rPr>
                <w:b/>
                <w:sz w:val="14"/>
              </w:rPr>
              <w:t>10</w:t>
            </w:r>
            <w:r>
              <w:rPr>
                <w:b/>
                <w:spacing w:val="-5"/>
                <w:sz w:val="14"/>
              </w:rPr>
              <w:t> </w:t>
            </w:r>
            <w:r>
              <w:rPr>
                <w:b/>
                <w:sz w:val="14"/>
              </w:rPr>
              <w:t>Visit</w:t>
            </w:r>
            <w:r>
              <w:rPr>
                <w:b/>
                <w:spacing w:val="-5"/>
                <w:sz w:val="14"/>
              </w:rPr>
              <w:t> </w:t>
            </w:r>
            <w:r>
              <w:rPr>
                <w:b/>
                <w:spacing w:val="-4"/>
                <w:sz w:val="14"/>
              </w:rPr>
              <w:t>Pass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4"/>
                <w:sz w:val="14"/>
              </w:rPr>
              <w:t>Adult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126.00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132.30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pacing w:val="-2"/>
                <w:sz w:val="14"/>
              </w:rPr>
              <w:t>Concession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107.10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3"/>
              <w:jc w:val="right"/>
              <w:rPr>
                <w:sz w:val="14"/>
              </w:rPr>
            </w:pPr>
            <w:r>
              <w:rPr>
                <w:spacing w:val="-2"/>
                <w:sz w:val="14"/>
              </w:rPr>
              <w:t>117.90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9.2</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2"/>
                <w:sz w:val="14"/>
              </w:rPr>
              <w:t>Seniors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113.40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122.40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7.4</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Aquanation</w:t>
            </w:r>
            <w:r>
              <w:rPr>
                <w:b/>
                <w:spacing w:val="-5"/>
                <w:sz w:val="14"/>
              </w:rPr>
              <w:t> </w:t>
            </w:r>
            <w:r>
              <w:rPr>
                <w:b/>
                <w:sz w:val="14"/>
              </w:rPr>
              <w:t>-</w:t>
            </w:r>
            <w:r>
              <w:rPr>
                <w:b/>
                <w:spacing w:val="-1"/>
                <w:sz w:val="14"/>
              </w:rPr>
              <w:t> </w:t>
            </w:r>
            <w:r>
              <w:rPr>
                <w:b/>
                <w:sz w:val="14"/>
              </w:rPr>
              <w:t>Learn</w:t>
            </w:r>
            <w:r>
              <w:rPr>
                <w:b/>
                <w:spacing w:val="-4"/>
                <w:sz w:val="14"/>
              </w:rPr>
              <w:t> </w:t>
            </w:r>
            <w:r>
              <w:rPr>
                <w:b/>
                <w:sz w:val="14"/>
              </w:rPr>
              <w:t>to</w:t>
            </w:r>
            <w:r>
              <w:rPr>
                <w:b/>
                <w:spacing w:val="-5"/>
                <w:sz w:val="14"/>
              </w:rPr>
              <w:t> </w:t>
            </w:r>
            <w:r>
              <w:rPr>
                <w:b/>
                <w:sz w:val="14"/>
              </w:rPr>
              <w:t>Swim</w:t>
            </w:r>
            <w:r>
              <w:rPr>
                <w:b/>
                <w:spacing w:val="-2"/>
                <w:sz w:val="14"/>
              </w:rPr>
              <w:t> </w:t>
            </w:r>
            <w:r>
              <w:rPr>
                <w:b/>
                <w:sz w:val="14"/>
              </w:rPr>
              <w:t>Joining</w:t>
            </w:r>
            <w:r>
              <w:rPr>
                <w:b/>
                <w:spacing w:val="-1"/>
                <w:sz w:val="14"/>
              </w:rPr>
              <w:t> </w:t>
            </w:r>
            <w:r>
              <w:rPr>
                <w:b/>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Aquanation</w:t>
            </w:r>
            <w:r>
              <w:rPr>
                <w:b/>
                <w:spacing w:val="-6"/>
                <w:sz w:val="14"/>
              </w:rPr>
              <w:t> </w:t>
            </w:r>
            <w:r>
              <w:rPr>
                <w:b/>
                <w:sz w:val="14"/>
              </w:rPr>
              <w:t>-</w:t>
            </w:r>
            <w:r>
              <w:rPr>
                <w:b/>
                <w:spacing w:val="-2"/>
                <w:sz w:val="14"/>
              </w:rPr>
              <w:t> </w:t>
            </w:r>
            <w:r>
              <w:rPr>
                <w:b/>
                <w:sz w:val="14"/>
              </w:rPr>
              <w:t>Aquatic</w:t>
            </w:r>
            <w:r>
              <w:rPr>
                <w:b/>
                <w:spacing w:val="-6"/>
                <w:sz w:val="14"/>
              </w:rPr>
              <w:t> </w:t>
            </w:r>
            <w:r>
              <w:rPr>
                <w:b/>
                <w:spacing w:val="-2"/>
                <w:sz w:val="14"/>
              </w:rPr>
              <w:t>Education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Membership</w:t>
            </w:r>
            <w:r>
              <w:rPr>
                <w:spacing w:val="-5"/>
                <w:sz w:val="14"/>
              </w:rPr>
              <w:t> </w:t>
            </w:r>
            <w:r>
              <w:rPr>
                <w:sz w:val="14"/>
              </w:rPr>
              <w:t>(48</w:t>
            </w:r>
            <w:r>
              <w:rPr>
                <w:spacing w:val="-5"/>
                <w:sz w:val="14"/>
              </w:rPr>
              <w:t> </w:t>
            </w:r>
            <w:r>
              <w:rPr>
                <w:spacing w:val="-2"/>
                <w:sz w:val="14"/>
              </w:rPr>
              <w:t>weeks)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46.60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49.80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6.4</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Private</w:t>
            </w:r>
            <w:r>
              <w:rPr>
                <w:spacing w:val="-6"/>
                <w:sz w:val="14"/>
              </w:rPr>
              <w:t> </w:t>
            </w:r>
            <w:r>
              <w:rPr>
                <w:spacing w:val="-5"/>
                <w:sz w:val="14"/>
              </w:rPr>
              <w:t>1:1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136.00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3"/>
              <w:jc w:val="right"/>
              <w:rPr>
                <w:sz w:val="14"/>
              </w:rPr>
            </w:pPr>
            <w:r>
              <w:rPr>
                <w:spacing w:val="-2"/>
                <w:sz w:val="14"/>
              </w:rPr>
              <w:t>140.00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2.9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Aquanation</w:t>
            </w:r>
            <w:r>
              <w:rPr>
                <w:b/>
                <w:spacing w:val="-6"/>
                <w:sz w:val="14"/>
              </w:rPr>
              <w:t> </w:t>
            </w:r>
            <w:r>
              <w:rPr>
                <w:b/>
                <w:sz w:val="14"/>
              </w:rPr>
              <w:t>-</w:t>
            </w:r>
            <w:r>
              <w:rPr>
                <w:b/>
                <w:spacing w:val="-3"/>
                <w:sz w:val="14"/>
              </w:rPr>
              <w:t> </w:t>
            </w:r>
            <w:r>
              <w:rPr>
                <w:b/>
                <w:spacing w:val="-2"/>
                <w:sz w:val="14"/>
              </w:rPr>
              <w:t>Schools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2"/>
                <w:sz w:val="14"/>
              </w:rPr>
              <w:t>lessons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10.90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11.50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5.2</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Aquanation</w:t>
            </w:r>
            <w:r>
              <w:rPr>
                <w:b/>
                <w:spacing w:val="-6"/>
                <w:sz w:val="14"/>
              </w:rPr>
              <w:t> </w:t>
            </w:r>
            <w:r>
              <w:rPr>
                <w:b/>
                <w:sz w:val="14"/>
              </w:rPr>
              <w:t>-</w:t>
            </w:r>
            <w:r>
              <w:rPr>
                <w:b/>
                <w:spacing w:val="-2"/>
                <w:sz w:val="14"/>
              </w:rPr>
              <w:t> </w:t>
            </w:r>
            <w:r>
              <w:rPr>
                <w:b/>
                <w:sz w:val="14"/>
              </w:rPr>
              <w:t>Facility</w:t>
            </w:r>
            <w:r>
              <w:rPr>
                <w:b/>
                <w:spacing w:val="-6"/>
                <w:sz w:val="14"/>
              </w:rPr>
              <w:t> </w:t>
            </w:r>
            <w:r>
              <w:rPr>
                <w:b/>
                <w:spacing w:val="-4"/>
                <w:sz w:val="14"/>
              </w:rPr>
              <w:t>Hire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25m</w:t>
            </w:r>
            <w:r>
              <w:rPr>
                <w:spacing w:val="-3"/>
                <w:sz w:val="14"/>
              </w:rPr>
              <w:t> </w:t>
            </w:r>
            <w:r>
              <w:rPr>
                <w:sz w:val="14"/>
              </w:rPr>
              <w:t>lane</w:t>
            </w:r>
            <w:r>
              <w:rPr>
                <w:spacing w:val="-3"/>
                <w:sz w:val="14"/>
              </w:rPr>
              <w:t> </w:t>
            </w:r>
            <w:r>
              <w:rPr>
                <w:spacing w:val="-4"/>
                <w:sz w:val="14"/>
              </w:rPr>
              <w:t>hire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47.00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4.3</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50m</w:t>
            </w:r>
            <w:r>
              <w:rPr>
                <w:spacing w:val="-3"/>
                <w:sz w:val="14"/>
              </w:rPr>
              <w:t> </w:t>
            </w:r>
            <w:r>
              <w:rPr>
                <w:sz w:val="14"/>
              </w:rPr>
              <w:t>lane</w:t>
            </w:r>
            <w:r>
              <w:rPr>
                <w:spacing w:val="-3"/>
                <w:sz w:val="14"/>
              </w:rPr>
              <w:t> </w:t>
            </w:r>
            <w:r>
              <w:rPr>
                <w:spacing w:val="-4"/>
                <w:sz w:val="14"/>
              </w:rPr>
              <w:t>hire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65.00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68.00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4.4</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50m</w:t>
            </w:r>
            <w:r>
              <w:rPr>
                <w:spacing w:val="-3"/>
                <w:sz w:val="14"/>
              </w:rPr>
              <w:t> </w:t>
            </w:r>
            <w:r>
              <w:rPr>
                <w:sz w:val="14"/>
              </w:rPr>
              <w:t>pool</w:t>
            </w:r>
            <w:r>
              <w:rPr>
                <w:spacing w:val="-2"/>
                <w:sz w:val="14"/>
              </w:rPr>
              <w:t> booking</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627.00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3"/>
              <w:jc w:val="right"/>
              <w:rPr>
                <w:sz w:val="14"/>
              </w:rPr>
            </w:pPr>
            <w:r>
              <w:rPr>
                <w:spacing w:val="-2"/>
                <w:sz w:val="14"/>
              </w:rPr>
              <w:t>630.00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0.5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Warm</w:t>
            </w:r>
            <w:r>
              <w:rPr>
                <w:spacing w:val="-5"/>
                <w:sz w:val="14"/>
              </w:rPr>
              <w:t> </w:t>
            </w:r>
            <w:r>
              <w:rPr>
                <w:sz w:val="14"/>
              </w:rPr>
              <w:t>water</w:t>
            </w:r>
            <w:r>
              <w:rPr>
                <w:spacing w:val="-4"/>
                <w:sz w:val="14"/>
              </w:rPr>
              <w:t> </w:t>
            </w:r>
            <w:r>
              <w:rPr>
                <w:sz w:val="14"/>
              </w:rPr>
              <w:t>pool</w:t>
            </w:r>
            <w:r>
              <w:rPr>
                <w:spacing w:val="-2"/>
                <w:sz w:val="14"/>
              </w:rPr>
              <w:t> booking</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150.00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160.00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6.3</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Warm</w:t>
            </w:r>
            <w:r>
              <w:rPr>
                <w:spacing w:val="-4"/>
                <w:sz w:val="14"/>
              </w:rPr>
              <w:t> </w:t>
            </w:r>
            <w:r>
              <w:rPr>
                <w:sz w:val="14"/>
              </w:rPr>
              <w:t>water</w:t>
            </w:r>
            <w:r>
              <w:rPr>
                <w:spacing w:val="-3"/>
                <w:sz w:val="14"/>
              </w:rPr>
              <w:t> </w:t>
            </w:r>
            <w:r>
              <w:rPr>
                <w:sz w:val="14"/>
              </w:rPr>
              <w:t>pool</w:t>
            </w:r>
            <w:r>
              <w:rPr>
                <w:spacing w:val="-1"/>
                <w:sz w:val="14"/>
              </w:rPr>
              <w:t> </w:t>
            </w:r>
            <w:r>
              <w:rPr>
                <w:sz w:val="14"/>
              </w:rPr>
              <w:t>-</w:t>
            </w:r>
            <w:r>
              <w:rPr>
                <w:spacing w:val="-5"/>
                <w:sz w:val="14"/>
              </w:rPr>
              <w:t> </w:t>
            </w:r>
            <w:r>
              <w:rPr>
                <w:sz w:val="14"/>
              </w:rPr>
              <w:t>half</w:t>
            </w:r>
            <w:r>
              <w:rPr>
                <w:spacing w:val="-4"/>
                <w:sz w:val="14"/>
              </w:rPr>
              <w:t> </w:t>
            </w:r>
            <w:r>
              <w:rPr>
                <w:sz w:val="14"/>
              </w:rPr>
              <w:t>pool</w:t>
            </w:r>
            <w:r>
              <w:rPr>
                <w:spacing w:val="-2"/>
                <w:sz w:val="14"/>
              </w:rPr>
              <w:t> booking</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75.00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80.00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6.3</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Waterslide</w:t>
            </w:r>
            <w:r>
              <w:rPr>
                <w:spacing w:val="-5"/>
                <w:sz w:val="14"/>
              </w:rPr>
              <w:t> </w:t>
            </w:r>
            <w:r>
              <w:rPr>
                <w:sz w:val="14"/>
              </w:rPr>
              <w:t>hire</w:t>
            </w:r>
            <w:r>
              <w:rPr>
                <w:spacing w:val="-3"/>
                <w:sz w:val="14"/>
              </w:rPr>
              <w:t> </w:t>
            </w:r>
            <w:r>
              <w:rPr>
                <w:sz w:val="14"/>
              </w:rPr>
              <w:t>(hire</w:t>
            </w:r>
            <w:r>
              <w:rPr>
                <w:spacing w:val="-6"/>
                <w:sz w:val="14"/>
              </w:rPr>
              <w:t> </w:t>
            </w:r>
            <w:r>
              <w:rPr>
                <w:sz w:val="14"/>
              </w:rPr>
              <w:t>cost</w:t>
            </w:r>
            <w:r>
              <w:rPr>
                <w:spacing w:val="-2"/>
                <w:sz w:val="14"/>
              </w:rPr>
              <w:t> </w:t>
            </w:r>
            <w:r>
              <w:rPr>
                <w:sz w:val="14"/>
              </w:rPr>
              <w:t>only,</w:t>
            </w:r>
            <w:r>
              <w:rPr>
                <w:spacing w:val="-5"/>
                <w:sz w:val="14"/>
              </w:rPr>
              <w:t> </w:t>
            </w:r>
            <w:r>
              <w:rPr>
                <w:sz w:val="14"/>
              </w:rPr>
              <w:t>excludes</w:t>
            </w:r>
            <w:r>
              <w:rPr>
                <w:spacing w:val="-4"/>
                <w:sz w:val="14"/>
              </w:rPr>
              <w:t> </w:t>
            </w:r>
            <w:r>
              <w:rPr>
                <w:sz w:val="14"/>
              </w:rPr>
              <w:t>staff</w:t>
            </w:r>
            <w:r>
              <w:rPr>
                <w:spacing w:val="-4"/>
                <w:sz w:val="14"/>
              </w:rPr>
              <w:t> </w:t>
            </w:r>
            <w:r>
              <w:rPr>
                <w:spacing w:val="-2"/>
                <w:sz w:val="14"/>
              </w:rPr>
              <w:t>costs)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210.00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220.00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Dive</w:t>
            </w:r>
            <w:r>
              <w:rPr>
                <w:spacing w:val="-6"/>
                <w:sz w:val="14"/>
              </w:rPr>
              <w:t> </w:t>
            </w:r>
            <w:r>
              <w:rPr>
                <w:sz w:val="14"/>
              </w:rPr>
              <w:t>pool</w:t>
            </w:r>
            <w:r>
              <w:rPr>
                <w:spacing w:val="-1"/>
                <w:sz w:val="14"/>
              </w:rPr>
              <w:t> </w:t>
            </w:r>
            <w:r>
              <w:rPr>
                <w:spacing w:val="-4"/>
                <w:sz w:val="14"/>
              </w:rPr>
              <w:t>hire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200.00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210.00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Half</w:t>
            </w:r>
            <w:r>
              <w:rPr>
                <w:spacing w:val="-5"/>
                <w:sz w:val="14"/>
              </w:rPr>
              <w:t> </w:t>
            </w:r>
            <w:r>
              <w:rPr>
                <w:sz w:val="14"/>
              </w:rPr>
              <w:t>dive</w:t>
            </w:r>
            <w:r>
              <w:rPr>
                <w:spacing w:val="-1"/>
                <w:sz w:val="14"/>
              </w:rPr>
              <w:t> </w:t>
            </w:r>
            <w:r>
              <w:rPr>
                <w:sz w:val="14"/>
              </w:rPr>
              <w:t>pool</w:t>
            </w:r>
            <w:r>
              <w:rPr>
                <w:spacing w:val="-3"/>
                <w:sz w:val="14"/>
              </w:rPr>
              <w:t> </w:t>
            </w:r>
            <w:r>
              <w:rPr>
                <w:spacing w:val="-4"/>
                <w:sz w:val="14"/>
              </w:rPr>
              <w:t>hire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120.00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125.00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4.0</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Group</w:t>
            </w:r>
            <w:r>
              <w:rPr>
                <w:spacing w:val="-4"/>
                <w:sz w:val="14"/>
              </w:rPr>
              <w:t> </w:t>
            </w:r>
            <w:r>
              <w:rPr>
                <w:sz w:val="14"/>
              </w:rPr>
              <w:t>fitness</w:t>
            </w:r>
            <w:r>
              <w:rPr>
                <w:spacing w:val="-4"/>
                <w:sz w:val="14"/>
              </w:rPr>
              <w:t> </w:t>
            </w:r>
            <w:r>
              <w:rPr>
                <w:sz w:val="14"/>
              </w:rPr>
              <w:t>room</w:t>
            </w:r>
            <w:r>
              <w:rPr>
                <w:spacing w:val="-3"/>
                <w:sz w:val="14"/>
              </w:rPr>
              <w:t> </w:t>
            </w:r>
            <w:r>
              <w:rPr>
                <w:spacing w:val="-4"/>
                <w:sz w:val="14"/>
              </w:rPr>
              <w:t>hire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85.00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90.00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5.6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Multipurpose</w:t>
            </w:r>
            <w:r>
              <w:rPr>
                <w:spacing w:val="-5"/>
                <w:sz w:val="14"/>
              </w:rPr>
              <w:t> </w:t>
            </w:r>
            <w:r>
              <w:rPr>
                <w:sz w:val="14"/>
              </w:rPr>
              <w:t>(room</w:t>
            </w:r>
            <w:r>
              <w:rPr>
                <w:spacing w:val="-3"/>
                <w:sz w:val="14"/>
              </w:rPr>
              <w:t> </w:t>
            </w:r>
            <w:r>
              <w:rPr>
                <w:sz w:val="14"/>
              </w:rPr>
              <w:t>2)</w:t>
            </w:r>
            <w:r>
              <w:rPr>
                <w:spacing w:val="-6"/>
                <w:sz w:val="14"/>
              </w:rPr>
              <w:t> </w:t>
            </w:r>
            <w:r>
              <w:rPr>
                <w:spacing w:val="-4"/>
                <w:sz w:val="14"/>
              </w:rPr>
              <w:t>hire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100.00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90.00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w w:val="95"/>
                <w:sz w:val="14"/>
              </w:rPr>
              <w:t>-</w:t>
            </w:r>
            <w:r>
              <w:rPr>
                <w:spacing w:val="-4"/>
                <w:sz w:val="14"/>
              </w:rPr>
              <w:t>11.1</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Group</w:t>
            </w:r>
            <w:r>
              <w:rPr>
                <w:spacing w:val="-2"/>
                <w:sz w:val="14"/>
              </w:rPr>
              <w:t> </w:t>
            </w:r>
            <w:r>
              <w:rPr>
                <w:sz w:val="14"/>
              </w:rPr>
              <w:t>Fitness</w:t>
            </w:r>
            <w:r>
              <w:rPr>
                <w:spacing w:val="-2"/>
                <w:sz w:val="14"/>
              </w:rPr>
              <w:t> </w:t>
            </w:r>
            <w:r>
              <w:rPr>
                <w:sz w:val="14"/>
              </w:rPr>
              <w:t>Room</w:t>
            </w:r>
            <w:r>
              <w:rPr>
                <w:spacing w:val="-3"/>
                <w:sz w:val="14"/>
              </w:rPr>
              <w:t> </w:t>
            </w:r>
            <w:r>
              <w:rPr>
                <w:sz w:val="14"/>
              </w:rPr>
              <w:t>Hire</w:t>
            </w:r>
            <w:r>
              <w:rPr>
                <w:spacing w:val="-5"/>
                <w:sz w:val="14"/>
              </w:rPr>
              <w:t> </w:t>
            </w:r>
            <w:r>
              <w:rPr>
                <w:sz w:val="14"/>
              </w:rPr>
              <w:t>plus</w:t>
            </w:r>
            <w:r>
              <w:rPr>
                <w:spacing w:val="-4"/>
                <w:sz w:val="14"/>
              </w:rPr>
              <w:t> </w:t>
            </w:r>
            <w:r>
              <w:rPr>
                <w:spacing w:val="-2"/>
                <w:sz w:val="14"/>
              </w:rPr>
              <w:t>Classes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160.00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160.00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RSC</w:t>
            </w:r>
            <w:r>
              <w:rPr>
                <w:spacing w:val="-5"/>
                <w:sz w:val="14"/>
              </w:rPr>
              <w:t> </w:t>
            </w:r>
            <w:r>
              <w:rPr>
                <w:sz w:val="14"/>
              </w:rPr>
              <w:t>Room</w:t>
            </w:r>
            <w:r>
              <w:rPr>
                <w:spacing w:val="-2"/>
                <w:sz w:val="14"/>
              </w:rPr>
              <w:t> </w:t>
            </w:r>
            <w:r>
              <w:rPr>
                <w:spacing w:val="-4"/>
                <w:sz w:val="14"/>
              </w:rPr>
              <w:t>Hire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95.00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100.00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Cycle</w:t>
            </w:r>
            <w:r>
              <w:rPr>
                <w:spacing w:val="-6"/>
                <w:sz w:val="14"/>
              </w:rPr>
              <w:t> </w:t>
            </w:r>
            <w:r>
              <w:rPr>
                <w:sz w:val="14"/>
              </w:rPr>
              <w:t>Studio</w:t>
            </w:r>
            <w:r>
              <w:rPr>
                <w:spacing w:val="-3"/>
                <w:sz w:val="14"/>
              </w:rPr>
              <w:t> </w:t>
            </w:r>
            <w:r>
              <w:rPr>
                <w:spacing w:val="-4"/>
                <w:sz w:val="14"/>
              </w:rPr>
              <w:t>Hire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100.00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105.00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Dry</w:t>
            </w:r>
            <w:r>
              <w:rPr>
                <w:spacing w:val="-3"/>
                <w:sz w:val="14"/>
              </w:rPr>
              <w:t> </w:t>
            </w:r>
            <w:r>
              <w:rPr>
                <w:sz w:val="14"/>
              </w:rPr>
              <w:t>Dive</w:t>
            </w:r>
            <w:r>
              <w:rPr>
                <w:spacing w:val="-4"/>
                <w:sz w:val="14"/>
              </w:rPr>
              <w:t> Hire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160.00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165.00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3.0</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Half</w:t>
            </w:r>
            <w:r>
              <w:rPr>
                <w:spacing w:val="-4"/>
                <w:sz w:val="14"/>
              </w:rPr>
              <w:t> </w:t>
            </w:r>
            <w:r>
              <w:rPr>
                <w:sz w:val="14"/>
              </w:rPr>
              <w:t>Dry</w:t>
            </w:r>
            <w:r>
              <w:rPr>
                <w:spacing w:val="-3"/>
                <w:sz w:val="14"/>
              </w:rPr>
              <w:t> </w:t>
            </w:r>
            <w:r>
              <w:rPr>
                <w:spacing w:val="-4"/>
                <w:sz w:val="14"/>
              </w:rPr>
              <w:t>Dive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100.00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3"/>
              <w:jc w:val="right"/>
              <w:rPr>
                <w:sz w:val="14"/>
              </w:rPr>
            </w:pPr>
            <w:r>
              <w:rPr>
                <w:spacing w:val="-2"/>
                <w:sz w:val="14"/>
              </w:rPr>
              <w:t>105.00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Lane</w:t>
            </w:r>
            <w:r>
              <w:rPr>
                <w:spacing w:val="-7"/>
                <w:sz w:val="14"/>
              </w:rPr>
              <w:t> </w:t>
            </w:r>
            <w:r>
              <w:rPr>
                <w:spacing w:val="-4"/>
                <w:sz w:val="14"/>
              </w:rPr>
              <w:t>hire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65.00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4" w:right="81"/>
              <w:jc w:val="center"/>
              <w:rPr>
                <w:sz w:val="14"/>
              </w:rPr>
            </w:pPr>
            <w:r>
              <w:rPr>
                <w:spacing w:val="-2"/>
                <w:sz w:val="14"/>
              </w:rPr>
              <w:t>100.0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Aquanation</w:t>
            </w:r>
            <w:r>
              <w:rPr>
                <w:b/>
                <w:spacing w:val="-6"/>
                <w:sz w:val="14"/>
              </w:rPr>
              <w:t> </w:t>
            </w:r>
            <w:r>
              <w:rPr>
                <w:b/>
                <w:sz w:val="14"/>
              </w:rPr>
              <w:t>-</w:t>
            </w:r>
            <w:r>
              <w:rPr>
                <w:b/>
                <w:spacing w:val="-3"/>
                <w:sz w:val="14"/>
              </w:rPr>
              <w:t> </w:t>
            </w:r>
            <w:r>
              <w:rPr>
                <w:b/>
                <w:spacing w:val="-2"/>
                <w:sz w:val="14"/>
              </w:rPr>
              <w:t>Lockers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3.50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4.20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81"/>
              <w:jc w:val="center"/>
              <w:rPr>
                <w:sz w:val="14"/>
              </w:rPr>
            </w:pPr>
            <w:r>
              <w:rPr>
                <w:spacing w:val="-4"/>
                <w:sz w:val="14"/>
              </w:rPr>
              <w:t>16.7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Aquanation</w:t>
            </w:r>
            <w:r>
              <w:rPr>
                <w:b/>
                <w:spacing w:val="-7"/>
                <w:sz w:val="14"/>
              </w:rPr>
              <w:t> </w:t>
            </w:r>
            <w:r>
              <w:rPr>
                <w:b/>
                <w:sz w:val="14"/>
              </w:rPr>
              <w:t>-</w:t>
            </w:r>
            <w:r>
              <w:rPr>
                <w:b/>
                <w:spacing w:val="-3"/>
                <w:sz w:val="14"/>
              </w:rPr>
              <w:t> </w:t>
            </w:r>
            <w:r>
              <w:rPr>
                <w:b/>
                <w:sz w:val="14"/>
              </w:rPr>
              <w:t>Personal</w:t>
            </w:r>
            <w:r>
              <w:rPr>
                <w:b/>
                <w:spacing w:val="-6"/>
                <w:sz w:val="14"/>
              </w:rPr>
              <w:t> </w:t>
            </w:r>
            <w:r>
              <w:rPr>
                <w:b/>
                <w:spacing w:val="-2"/>
                <w:sz w:val="14"/>
              </w:rPr>
              <w:t>Training</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Membership</w:t>
            </w:r>
            <w:r>
              <w:rPr>
                <w:spacing w:val="-1"/>
                <w:sz w:val="14"/>
              </w:rPr>
              <w:t> </w:t>
            </w:r>
            <w:r>
              <w:rPr>
                <w:sz w:val="14"/>
              </w:rPr>
              <w:t>10</w:t>
            </w:r>
            <w:r>
              <w:rPr>
                <w:spacing w:val="-3"/>
                <w:sz w:val="14"/>
              </w:rPr>
              <w:t> </w:t>
            </w:r>
            <w:r>
              <w:rPr>
                <w:sz w:val="14"/>
              </w:rPr>
              <w:t>pass</w:t>
            </w:r>
            <w:r>
              <w:rPr>
                <w:spacing w:val="-4"/>
                <w:sz w:val="14"/>
              </w:rPr>
              <w:t> </w:t>
            </w:r>
            <w:r>
              <w:rPr>
                <w:sz w:val="14"/>
              </w:rPr>
              <w:t>30</w:t>
            </w:r>
            <w:r>
              <w:rPr>
                <w:spacing w:val="-5"/>
                <w:sz w:val="14"/>
              </w:rPr>
              <w:t> </w:t>
            </w:r>
            <w:r>
              <w:rPr>
                <w:sz w:val="14"/>
              </w:rPr>
              <w:t>mins</w:t>
            </w:r>
            <w:r>
              <w:rPr>
                <w:spacing w:val="-1"/>
                <w:sz w:val="14"/>
              </w:rPr>
              <w:t> </w:t>
            </w:r>
            <w:r>
              <w:rPr>
                <w:sz w:val="14"/>
              </w:rPr>
              <w:t>-</w:t>
            </w:r>
            <w:r>
              <w:rPr>
                <w:spacing w:val="-5"/>
                <w:sz w:val="14"/>
              </w:rPr>
              <w:t> 1:1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483.00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504.90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4.3</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Membership</w:t>
            </w:r>
            <w:r>
              <w:rPr>
                <w:spacing w:val="-1"/>
                <w:sz w:val="14"/>
              </w:rPr>
              <w:t> </w:t>
            </w:r>
            <w:r>
              <w:rPr>
                <w:sz w:val="14"/>
              </w:rPr>
              <w:t>10</w:t>
            </w:r>
            <w:r>
              <w:rPr>
                <w:spacing w:val="-3"/>
                <w:sz w:val="14"/>
              </w:rPr>
              <w:t> </w:t>
            </w:r>
            <w:r>
              <w:rPr>
                <w:sz w:val="14"/>
              </w:rPr>
              <w:t>pass</w:t>
            </w:r>
            <w:r>
              <w:rPr>
                <w:spacing w:val="-4"/>
                <w:sz w:val="14"/>
              </w:rPr>
              <w:t> </w:t>
            </w:r>
            <w:r>
              <w:rPr>
                <w:sz w:val="14"/>
              </w:rPr>
              <w:t>60</w:t>
            </w:r>
            <w:r>
              <w:rPr>
                <w:spacing w:val="-5"/>
                <w:sz w:val="14"/>
              </w:rPr>
              <w:t> </w:t>
            </w:r>
            <w:r>
              <w:rPr>
                <w:sz w:val="14"/>
              </w:rPr>
              <w:t>mins</w:t>
            </w:r>
            <w:r>
              <w:rPr>
                <w:spacing w:val="-1"/>
                <w:sz w:val="14"/>
              </w:rPr>
              <w:t> </w:t>
            </w:r>
            <w:r>
              <w:rPr>
                <w:sz w:val="14"/>
              </w:rPr>
              <w:t>-</w:t>
            </w:r>
            <w:r>
              <w:rPr>
                <w:spacing w:val="-5"/>
                <w:sz w:val="14"/>
              </w:rPr>
              <w:t> 1:1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758.00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3"/>
              <w:jc w:val="right"/>
              <w:rPr>
                <w:sz w:val="14"/>
              </w:rPr>
            </w:pPr>
            <w:r>
              <w:rPr>
                <w:spacing w:val="-2"/>
                <w:sz w:val="14"/>
              </w:rPr>
              <w:t>787.50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3.7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Membership</w:t>
            </w:r>
            <w:r>
              <w:rPr>
                <w:spacing w:val="-3"/>
                <w:sz w:val="14"/>
              </w:rPr>
              <w:t> </w:t>
            </w:r>
            <w:r>
              <w:rPr>
                <w:sz w:val="14"/>
              </w:rPr>
              <w:t>10</w:t>
            </w:r>
            <w:r>
              <w:rPr>
                <w:spacing w:val="-6"/>
                <w:sz w:val="14"/>
              </w:rPr>
              <w:t> </w:t>
            </w:r>
            <w:r>
              <w:rPr>
                <w:sz w:val="14"/>
              </w:rPr>
              <w:t>Pass</w:t>
            </w:r>
            <w:r>
              <w:rPr>
                <w:spacing w:val="-3"/>
                <w:sz w:val="14"/>
              </w:rPr>
              <w:t> </w:t>
            </w:r>
            <w:r>
              <w:rPr>
                <w:sz w:val="14"/>
              </w:rPr>
              <w:t>45mins</w:t>
            </w:r>
            <w:r>
              <w:rPr>
                <w:spacing w:val="-3"/>
                <w:sz w:val="14"/>
              </w:rPr>
              <w:t> </w:t>
            </w:r>
            <w:r>
              <w:rPr>
                <w:spacing w:val="-5"/>
                <w:sz w:val="14"/>
              </w:rPr>
              <w:t>1:1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625.20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657.00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Membership</w:t>
            </w:r>
            <w:r>
              <w:rPr>
                <w:spacing w:val="-2"/>
                <w:sz w:val="14"/>
              </w:rPr>
              <w:t> </w:t>
            </w:r>
            <w:r>
              <w:rPr>
                <w:sz w:val="14"/>
              </w:rPr>
              <w:t>30</w:t>
            </w:r>
            <w:r>
              <w:rPr>
                <w:spacing w:val="-5"/>
                <w:sz w:val="14"/>
              </w:rPr>
              <w:t> </w:t>
            </w:r>
            <w:r>
              <w:rPr>
                <w:sz w:val="14"/>
              </w:rPr>
              <w:t>mins</w:t>
            </w:r>
            <w:r>
              <w:rPr>
                <w:spacing w:val="-3"/>
                <w:sz w:val="14"/>
              </w:rPr>
              <w:t> </w:t>
            </w:r>
            <w:r>
              <w:rPr>
                <w:sz w:val="14"/>
              </w:rPr>
              <w:t>-</w:t>
            </w:r>
            <w:r>
              <w:rPr>
                <w:spacing w:val="-2"/>
                <w:sz w:val="14"/>
              </w:rPr>
              <w:t> </w:t>
            </w:r>
            <w:r>
              <w:rPr>
                <w:spacing w:val="-5"/>
                <w:sz w:val="14"/>
              </w:rPr>
              <w:t>1:1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53.50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56.10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Membership</w:t>
            </w:r>
            <w:r>
              <w:rPr>
                <w:spacing w:val="-2"/>
                <w:sz w:val="14"/>
              </w:rPr>
              <w:t> </w:t>
            </w:r>
            <w:r>
              <w:rPr>
                <w:sz w:val="14"/>
              </w:rPr>
              <w:t>30</w:t>
            </w:r>
            <w:r>
              <w:rPr>
                <w:spacing w:val="-5"/>
                <w:sz w:val="14"/>
              </w:rPr>
              <w:t> </w:t>
            </w:r>
            <w:r>
              <w:rPr>
                <w:sz w:val="14"/>
              </w:rPr>
              <w:t>mins</w:t>
            </w:r>
            <w:r>
              <w:rPr>
                <w:spacing w:val="-3"/>
                <w:sz w:val="14"/>
              </w:rPr>
              <w:t> </w:t>
            </w:r>
            <w:r>
              <w:rPr>
                <w:sz w:val="14"/>
              </w:rPr>
              <w:t>-</w:t>
            </w:r>
            <w:r>
              <w:rPr>
                <w:spacing w:val="-2"/>
                <w:sz w:val="14"/>
              </w:rPr>
              <w:t> </w:t>
            </w:r>
            <w:r>
              <w:rPr>
                <w:spacing w:val="-5"/>
                <w:sz w:val="14"/>
              </w:rPr>
              <w:t>2:1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73.10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76.70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Membership</w:t>
            </w:r>
            <w:r>
              <w:rPr>
                <w:spacing w:val="-2"/>
                <w:sz w:val="14"/>
              </w:rPr>
              <w:t> </w:t>
            </w:r>
            <w:r>
              <w:rPr>
                <w:sz w:val="14"/>
              </w:rPr>
              <w:t>60</w:t>
            </w:r>
            <w:r>
              <w:rPr>
                <w:spacing w:val="-5"/>
                <w:sz w:val="14"/>
              </w:rPr>
              <w:t> </w:t>
            </w:r>
            <w:r>
              <w:rPr>
                <w:sz w:val="14"/>
              </w:rPr>
              <w:t>mins</w:t>
            </w:r>
            <w:r>
              <w:rPr>
                <w:spacing w:val="-3"/>
                <w:sz w:val="14"/>
              </w:rPr>
              <w:t> </w:t>
            </w:r>
            <w:r>
              <w:rPr>
                <w:sz w:val="14"/>
              </w:rPr>
              <w:t>-</w:t>
            </w:r>
            <w:r>
              <w:rPr>
                <w:spacing w:val="-2"/>
                <w:sz w:val="14"/>
              </w:rPr>
              <w:t> </w:t>
            </w:r>
            <w:r>
              <w:rPr>
                <w:spacing w:val="-5"/>
                <w:sz w:val="14"/>
              </w:rPr>
              <w:t>1:1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83.40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87.50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Membership</w:t>
            </w:r>
            <w:r>
              <w:rPr>
                <w:spacing w:val="-2"/>
                <w:sz w:val="14"/>
              </w:rPr>
              <w:t> </w:t>
            </w:r>
            <w:r>
              <w:rPr>
                <w:sz w:val="14"/>
              </w:rPr>
              <w:t>60</w:t>
            </w:r>
            <w:r>
              <w:rPr>
                <w:spacing w:val="-5"/>
                <w:sz w:val="14"/>
              </w:rPr>
              <w:t> </w:t>
            </w:r>
            <w:r>
              <w:rPr>
                <w:sz w:val="14"/>
              </w:rPr>
              <w:t>mins</w:t>
            </w:r>
            <w:r>
              <w:rPr>
                <w:spacing w:val="-3"/>
                <w:sz w:val="14"/>
              </w:rPr>
              <w:t> </w:t>
            </w:r>
            <w:r>
              <w:rPr>
                <w:sz w:val="14"/>
              </w:rPr>
              <w:t>-</w:t>
            </w:r>
            <w:r>
              <w:rPr>
                <w:spacing w:val="-2"/>
                <w:sz w:val="14"/>
              </w:rPr>
              <w:t> </w:t>
            </w:r>
            <w:r>
              <w:rPr>
                <w:spacing w:val="-5"/>
                <w:sz w:val="14"/>
              </w:rPr>
              <w:t>2:1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102.00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107.00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Membership</w:t>
            </w:r>
            <w:r>
              <w:rPr>
                <w:spacing w:val="-3"/>
                <w:sz w:val="14"/>
              </w:rPr>
              <w:t> </w:t>
            </w:r>
            <w:r>
              <w:rPr>
                <w:sz w:val="14"/>
              </w:rPr>
              <w:t>45mins</w:t>
            </w:r>
            <w:r>
              <w:rPr>
                <w:spacing w:val="-4"/>
                <w:sz w:val="14"/>
              </w:rPr>
              <w:t> </w:t>
            </w:r>
            <w:r>
              <w:rPr>
                <w:sz w:val="14"/>
              </w:rPr>
              <w:t>-</w:t>
            </w:r>
            <w:r>
              <w:rPr>
                <w:spacing w:val="-4"/>
                <w:sz w:val="14"/>
              </w:rPr>
              <w:t> </w:t>
            </w:r>
            <w:r>
              <w:rPr>
                <w:spacing w:val="-5"/>
                <w:sz w:val="14"/>
              </w:rPr>
              <w:t>1:1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69.50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73.00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Non-Membership</w:t>
            </w:r>
            <w:r>
              <w:rPr>
                <w:spacing w:val="-3"/>
                <w:sz w:val="14"/>
              </w:rPr>
              <w:t> </w:t>
            </w:r>
            <w:r>
              <w:rPr>
                <w:sz w:val="14"/>
              </w:rPr>
              <w:t>10</w:t>
            </w:r>
            <w:r>
              <w:rPr>
                <w:spacing w:val="-5"/>
                <w:sz w:val="14"/>
              </w:rPr>
              <w:t> </w:t>
            </w:r>
            <w:r>
              <w:rPr>
                <w:sz w:val="14"/>
              </w:rPr>
              <w:t>pass</w:t>
            </w:r>
            <w:r>
              <w:rPr>
                <w:spacing w:val="-3"/>
                <w:sz w:val="14"/>
              </w:rPr>
              <w:t> </w:t>
            </w:r>
            <w:r>
              <w:rPr>
                <w:sz w:val="14"/>
              </w:rPr>
              <w:t>30</w:t>
            </w:r>
            <w:r>
              <w:rPr>
                <w:spacing w:val="-4"/>
                <w:sz w:val="14"/>
              </w:rPr>
              <w:t> </w:t>
            </w:r>
            <w:r>
              <w:rPr>
                <w:sz w:val="14"/>
              </w:rPr>
              <w:t>mins</w:t>
            </w:r>
            <w:r>
              <w:rPr>
                <w:spacing w:val="-2"/>
                <w:sz w:val="14"/>
              </w:rPr>
              <w:t> </w:t>
            </w:r>
            <w:r>
              <w:rPr>
                <w:sz w:val="14"/>
              </w:rPr>
              <w:t>-</w:t>
            </w:r>
            <w:r>
              <w:rPr>
                <w:spacing w:val="-3"/>
                <w:sz w:val="14"/>
              </w:rPr>
              <w:t> </w:t>
            </w:r>
            <w:r>
              <w:rPr>
                <w:spacing w:val="-5"/>
                <w:sz w:val="14"/>
              </w:rPr>
              <w:t>1:1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557.20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583.20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Non-Membership</w:t>
            </w:r>
            <w:r>
              <w:rPr>
                <w:spacing w:val="-3"/>
                <w:sz w:val="14"/>
              </w:rPr>
              <w:t> </w:t>
            </w:r>
            <w:r>
              <w:rPr>
                <w:sz w:val="14"/>
              </w:rPr>
              <w:t>10</w:t>
            </w:r>
            <w:r>
              <w:rPr>
                <w:spacing w:val="-5"/>
                <w:sz w:val="14"/>
              </w:rPr>
              <w:t> </w:t>
            </w:r>
            <w:r>
              <w:rPr>
                <w:sz w:val="14"/>
              </w:rPr>
              <w:t>pass</w:t>
            </w:r>
            <w:r>
              <w:rPr>
                <w:spacing w:val="-3"/>
                <w:sz w:val="14"/>
              </w:rPr>
              <w:t> </w:t>
            </w:r>
            <w:r>
              <w:rPr>
                <w:sz w:val="14"/>
              </w:rPr>
              <w:t>60</w:t>
            </w:r>
            <w:r>
              <w:rPr>
                <w:spacing w:val="-4"/>
                <w:sz w:val="14"/>
              </w:rPr>
              <w:t> </w:t>
            </w:r>
            <w:r>
              <w:rPr>
                <w:sz w:val="14"/>
              </w:rPr>
              <w:t>mins</w:t>
            </w:r>
            <w:r>
              <w:rPr>
                <w:spacing w:val="-2"/>
                <w:sz w:val="14"/>
              </w:rPr>
              <w:t> </w:t>
            </w:r>
            <w:r>
              <w:rPr>
                <w:sz w:val="14"/>
              </w:rPr>
              <w:t>-</w:t>
            </w:r>
            <w:r>
              <w:rPr>
                <w:spacing w:val="-3"/>
                <w:sz w:val="14"/>
              </w:rPr>
              <w:t> </w:t>
            </w:r>
            <w:r>
              <w:rPr>
                <w:spacing w:val="-5"/>
                <w:sz w:val="14"/>
              </w:rPr>
              <w:t>1:1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859.00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900.00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Non-Membership</w:t>
            </w:r>
            <w:r>
              <w:rPr>
                <w:spacing w:val="-3"/>
                <w:sz w:val="14"/>
              </w:rPr>
              <w:t> </w:t>
            </w:r>
            <w:r>
              <w:rPr>
                <w:sz w:val="14"/>
              </w:rPr>
              <w:t>30</w:t>
            </w:r>
            <w:r>
              <w:rPr>
                <w:spacing w:val="-6"/>
                <w:sz w:val="14"/>
              </w:rPr>
              <w:t> </w:t>
            </w:r>
            <w:r>
              <w:rPr>
                <w:sz w:val="14"/>
              </w:rPr>
              <w:t>mins</w:t>
            </w:r>
            <w:r>
              <w:rPr>
                <w:spacing w:val="-3"/>
                <w:sz w:val="14"/>
              </w:rPr>
              <w:t> </w:t>
            </w:r>
            <w:r>
              <w:rPr>
                <w:sz w:val="14"/>
              </w:rPr>
              <w:t>-</w:t>
            </w:r>
            <w:r>
              <w:rPr>
                <w:spacing w:val="-5"/>
                <w:sz w:val="14"/>
              </w:rPr>
              <w:t> 1:1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61.80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64.80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Non-Membership</w:t>
            </w:r>
            <w:r>
              <w:rPr>
                <w:spacing w:val="-3"/>
                <w:sz w:val="14"/>
              </w:rPr>
              <w:t> </w:t>
            </w:r>
            <w:r>
              <w:rPr>
                <w:sz w:val="14"/>
              </w:rPr>
              <w:t>30</w:t>
            </w:r>
            <w:r>
              <w:rPr>
                <w:spacing w:val="-6"/>
                <w:sz w:val="14"/>
              </w:rPr>
              <w:t> </w:t>
            </w:r>
            <w:r>
              <w:rPr>
                <w:sz w:val="14"/>
              </w:rPr>
              <w:t>mins</w:t>
            </w:r>
            <w:r>
              <w:rPr>
                <w:spacing w:val="-3"/>
                <w:sz w:val="14"/>
              </w:rPr>
              <w:t> </w:t>
            </w:r>
            <w:r>
              <w:rPr>
                <w:sz w:val="14"/>
              </w:rPr>
              <w:t>-</w:t>
            </w:r>
            <w:r>
              <w:rPr>
                <w:spacing w:val="-5"/>
                <w:sz w:val="14"/>
              </w:rPr>
              <w:t> 2:1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83.40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87.50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Non-Membership</w:t>
            </w:r>
            <w:r>
              <w:rPr>
                <w:spacing w:val="-3"/>
                <w:sz w:val="14"/>
              </w:rPr>
              <w:t> </w:t>
            </w:r>
            <w:r>
              <w:rPr>
                <w:sz w:val="14"/>
              </w:rPr>
              <w:t>60</w:t>
            </w:r>
            <w:r>
              <w:rPr>
                <w:spacing w:val="-6"/>
                <w:sz w:val="14"/>
              </w:rPr>
              <w:t> </w:t>
            </w:r>
            <w:r>
              <w:rPr>
                <w:sz w:val="14"/>
              </w:rPr>
              <w:t>mins</w:t>
            </w:r>
            <w:r>
              <w:rPr>
                <w:spacing w:val="-3"/>
                <w:sz w:val="14"/>
              </w:rPr>
              <w:t> </w:t>
            </w:r>
            <w:r>
              <w:rPr>
                <w:sz w:val="14"/>
              </w:rPr>
              <w:t>-</w:t>
            </w:r>
            <w:r>
              <w:rPr>
                <w:spacing w:val="-5"/>
                <w:sz w:val="14"/>
              </w:rPr>
              <w:t> 1:1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95.80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100.00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4.2</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Non-Membership</w:t>
            </w:r>
            <w:r>
              <w:rPr>
                <w:spacing w:val="-3"/>
                <w:sz w:val="14"/>
              </w:rPr>
              <w:t> </w:t>
            </w:r>
            <w:r>
              <w:rPr>
                <w:sz w:val="14"/>
              </w:rPr>
              <w:t>60</w:t>
            </w:r>
            <w:r>
              <w:rPr>
                <w:spacing w:val="-6"/>
                <w:sz w:val="14"/>
              </w:rPr>
              <w:t> </w:t>
            </w:r>
            <w:r>
              <w:rPr>
                <w:sz w:val="14"/>
              </w:rPr>
              <w:t>mins</w:t>
            </w:r>
            <w:r>
              <w:rPr>
                <w:spacing w:val="-3"/>
                <w:sz w:val="14"/>
              </w:rPr>
              <w:t> </w:t>
            </w:r>
            <w:r>
              <w:rPr>
                <w:sz w:val="14"/>
              </w:rPr>
              <w:t>-</w:t>
            </w:r>
            <w:r>
              <w:rPr>
                <w:spacing w:val="-5"/>
                <w:sz w:val="14"/>
              </w:rPr>
              <w:t> 2:1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112.30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3"/>
              <w:jc w:val="right"/>
              <w:rPr>
                <w:sz w:val="14"/>
              </w:rPr>
            </w:pPr>
            <w:r>
              <w:rPr>
                <w:spacing w:val="-2"/>
                <w:sz w:val="14"/>
              </w:rPr>
              <w:t>117.90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Startup</w:t>
            </w:r>
            <w:r>
              <w:rPr>
                <w:spacing w:val="-4"/>
                <w:sz w:val="14"/>
              </w:rPr>
              <w:t> </w:t>
            </w:r>
            <w:r>
              <w:rPr>
                <w:sz w:val="14"/>
              </w:rPr>
              <w:t>Trial</w:t>
            </w:r>
            <w:r>
              <w:rPr>
                <w:spacing w:val="-3"/>
                <w:sz w:val="14"/>
              </w:rPr>
              <w:t> </w:t>
            </w:r>
            <w:r>
              <w:rPr>
                <w:sz w:val="14"/>
              </w:rPr>
              <w:t>- 3</w:t>
            </w:r>
            <w:r>
              <w:rPr>
                <w:spacing w:val="-4"/>
                <w:sz w:val="14"/>
              </w:rPr>
              <w:t> </w:t>
            </w:r>
            <w:r>
              <w:rPr>
                <w:spacing w:val="-2"/>
                <w:sz w:val="14"/>
              </w:rPr>
              <w:t>sessions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99.00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99.00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Aquanation</w:t>
            </w:r>
            <w:r>
              <w:rPr>
                <w:b/>
                <w:spacing w:val="-6"/>
                <w:sz w:val="14"/>
              </w:rPr>
              <w:t> </w:t>
            </w:r>
            <w:r>
              <w:rPr>
                <w:b/>
                <w:sz w:val="14"/>
              </w:rPr>
              <w:t>-</w:t>
            </w:r>
            <w:r>
              <w:rPr>
                <w:b/>
                <w:spacing w:val="-3"/>
                <w:sz w:val="14"/>
              </w:rPr>
              <w:t> </w:t>
            </w:r>
            <w:r>
              <w:rPr>
                <w:b/>
                <w:sz w:val="14"/>
              </w:rPr>
              <w:t>Casual</w:t>
            </w:r>
            <w:r>
              <w:rPr>
                <w:b/>
                <w:spacing w:val="-4"/>
                <w:sz w:val="14"/>
              </w:rPr>
              <w:t> </w:t>
            </w:r>
            <w:r>
              <w:rPr>
                <w:b/>
                <w:sz w:val="14"/>
              </w:rPr>
              <w:t>Health</w:t>
            </w:r>
            <w:r>
              <w:rPr>
                <w:b/>
                <w:spacing w:val="-5"/>
                <w:sz w:val="14"/>
              </w:rPr>
              <w:t> </w:t>
            </w:r>
            <w:r>
              <w:rPr>
                <w:b/>
                <w:spacing w:val="-4"/>
                <w:sz w:val="14"/>
              </w:rPr>
              <w:t>Club</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4"/>
                <w:sz w:val="14"/>
              </w:rPr>
              <w:t>Adult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26.00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7.1</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2"/>
                <w:sz w:val="14"/>
              </w:rPr>
              <w:t>Concession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22.10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23.80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7.1</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2"/>
                <w:sz w:val="14"/>
              </w:rPr>
              <w:t>Seniors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23.40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25.20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7.1</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Health</w:t>
            </w:r>
            <w:r>
              <w:rPr>
                <w:spacing w:val="-5"/>
                <w:sz w:val="14"/>
              </w:rPr>
              <w:t> </w:t>
            </w:r>
            <w:r>
              <w:rPr>
                <w:sz w:val="14"/>
              </w:rPr>
              <w:t>Club</w:t>
            </w:r>
            <w:r>
              <w:rPr>
                <w:spacing w:val="-5"/>
                <w:sz w:val="14"/>
              </w:rPr>
              <w:t> </w:t>
            </w:r>
            <w:r>
              <w:rPr>
                <w:sz w:val="14"/>
              </w:rPr>
              <w:t>Casual</w:t>
            </w:r>
            <w:r>
              <w:rPr>
                <w:spacing w:val="-4"/>
                <w:sz w:val="14"/>
              </w:rPr>
              <w:t> Teen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20.80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22.40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7.1</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Active</w:t>
            </w:r>
            <w:r>
              <w:rPr>
                <w:spacing w:val="-5"/>
                <w:sz w:val="14"/>
              </w:rPr>
              <w:t> </w:t>
            </w:r>
            <w:r>
              <w:rPr>
                <w:sz w:val="14"/>
              </w:rPr>
              <w:t>Adults -</w:t>
            </w:r>
            <w:r>
              <w:rPr>
                <w:spacing w:val="-4"/>
                <w:sz w:val="14"/>
              </w:rPr>
              <w:t> </w:t>
            </w:r>
            <w:r>
              <w:rPr>
                <w:sz w:val="14"/>
              </w:rPr>
              <w:t>10</w:t>
            </w:r>
            <w:r>
              <w:rPr>
                <w:spacing w:val="-4"/>
                <w:sz w:val="14"/>
              </w:rPr>
              <w:t> </w:t>
            </w:r>
            <w:r>
              <w:rPr>
                <w:sz w:val="14"/>
              </w:rPr>
              <w:t>visit</w:t>
            </w:r>
            <w:r>
              <w:rPr>
                <w:spacing w:val="-3"/>
                <w:sz w:val="14"/>
              </w:rPr>
              <w:t> </w:t>
            </w:r>
            <w:r>
              <w:rPr>
                <w:spacing w:val="-4"/>
                <w:sz w:val="14"/>
              </w:rPr>
              <w:t>pass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72.00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75.60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Aquanation</w:t>
            </w:r>
            <w:r>
              <w:rPr>
                <w:b/>
                <w:spacing w:val="-7"/>
                <w:sz w:val="14"/>
              </w:rPr>
              <w:t> </w:t>
            </w:r>
            <w:r>
              <w:rPr>
                <w:b/>
                <w:sz w:val="14"/>
              </w:rPr>
              <w:t>-</w:t>
            </w:r>
            <w:r>
              <w:rPr>
                <w:b/>
                <w:spacing w:val="-3"/>
                <w:sz w:val="14"/>
              </w:rPr>
              <w:t> </w:t>
            </w:r>
            <w:r>
              <w:rPr>
                <w:b/>
                <w:sz w:val="14"/>
              </w:rPr>
              <w:t>Casual</w:t>
            </w:r>
            <w:r>
              <w:rPr>
                <w:b/>
                <w:spacing w:val="-3"/>
                <w:sz w:val="14"/>
              </w:rPr>
              <w:t> </w:t>
            </w:r>
            <w:r>
              <w:rPr>
                <w:b/>
                <w:sz w:val="14"/>
              </w:rPr>
              <w:t>Group</w:t>
            </w:r>
            <w:r>
              <w:rPr>
                <w:b/>
                <w:spacing w:val="-3"/>
                <w:sz w:val="14"/>
              </w:rPr>
              <w:t> </w:t>
            </w:r>
            <w:r>
              <w:rPr>
                <w:b/>
                <w:spacing w:val="-2"/>
                <w:sz w:val="14"/>
              </w:rPr>
              <w:t>Fitness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10</w:t>
            </w:r>
            <w:r>
              <w:rPr>
                <w:spacing w:val="-5"/>
                <w:sz w:val="14"/>
              </w:rPr>
              <w:t> </w:t>
            </w:r>
            <w:r>
              <w:rPr>
                <w:sz w:val="14"/>
              </w:rPr>
              <w:t>visits</w:t>
            </w:r>
            <w:r>
              <w:rPr>
                <w:spacing w:val="-3"/>
                <w:sz w:val="14"/>
              </w:rPr>
              <w:t> </w:t>
            </w:r>
            <w:r>
              <w:rPr>
                <w:spacing w:val="-2"/>
                <w:sz w:val="14"/>
              </w:rPr>
              <w:t>Adult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194.40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203.40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4.4</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10</w:t>
            </w:r>
            <w:r>
              <w:rPr>
                <w:spacing w:val="-5"/>
                <w:sz w:val="14"/>
              </w:rPr>
              <w:t> </w:t>
            </w:r>
            <w:r>
              <w:rPr>
                <w:sz w:val="14"/>
              </w:rPr>
              <w:t>visits</w:t>
            </w:r>
            <w:r>
              <w:rPr>
                <w:spacing w:val="-3"/>
                <w:sz w:val="14"/>
              </w:rPr>
              <w:t> </w:t>
            </w:r>
            <w:r>
              <w:rPr>
                <w:spacing w:val="-2"/>
                <w:sz w:val="14"/>
              </w:rPr>
              <w:t>Seniors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174.60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182.70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4.4</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10</w:t>
            </w:r>
            <w:r>
              <w:rPr>
                <w:spacing w:val="-5"/>
                <w:sz w:val="14"/>
              </w:rPr>
              <w:t> </w:t>
            </w:r>
            <w:r>
              <w:rPr>
                <w:sz w:val="14"/>
              </w:rPr>
              <w:t>visits</w:t>
            </w:r>
            <w:r>
              <w:rPr>
                <w:spacing w:val="-3"/>
                <w:sz w:val="14"/>
              </w:rPr>
              <w:t> </w:t>
            </w:r>
            <w:r>
              <w:rPr>
                <w:spacing w:val="-2"/>
                <w:sz w:val="14"/>
              </w:rPr>
              <w:t>Concession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164.70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172.80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pacing w:val="-4"/>
                <w:sz w:val="14"/>
              </w:rPr>
              <w:t>Adult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21.60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22.60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4.4</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2"/>
                <w:sz w:val="14"/>
              </w:rPr>
              <w:t>Concession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18.30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19.20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bl>
    <w:p>
      <w:pPr>
        <w:spacing w:after="0" w:line="140" w:lineRule="exact"/>
        <w:jc w:val="center"/>
        <w:rPr>
          <w:sz w:val="14"/>
        </w:rPr>
        <w:sectPr>
          <w:type w:val="continuous"/>
          <w:pgSz w:w="11910" w:h="16840"/>
          <w:pgMar w:header="0" w:footer="378" w:top="680" w:bottom="874" w:left="520" w:right="520"/>
        </w:sectPr>
      </w:pPr>
    </w:p>
    <w:tbl>
      <w:tblPr>
        <w:tblW w:w="0" w:type="auto"/>
        <w:jc w:val="left"/>
        <w:tblInd w:w="13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70"/>
        <w:gridCol w:w="1028"/>
        <w:gridCol w:w="769"/>
        <w:gridCol w:w="973"/>
        <w:gridCol w:w="1199"/>
        <w:gridCol w:w="897"/>
      </w:tblGrid>
      <w:tr>
        <w:trPr>
          <w:trHeight w:val="232" w:hRule="atLeast"/>
        </w:trPr>
        <w:tc>
          <w:tcPr>
            <w:tcW w:w="10636" w:type="dxa"/>
            <w:gridSpan w:val="6"/>
            <w:tcBorders>
              <w:left w:val="single" w:sz="12" w:space="0" w:color="000000"/>
              <w:bottom w:val="single" w:sz="4" w:space="0" w:color="000000"/>
              <w:right w:val="single" w:sz="12" w:space="0" w:color="000000"/>
            </w:tcBorders>
            <w:shd w:val="clear" w:color="auto" w:fill="3399FF"/>
          </w:tcPr>
          <w:p>
            <w:pPr>
              <w:pStyle w:val="TableParagraph"/>
              <w:spacing w:before="32"/>
              <w:ind w:left="4308" w:right="4290"/>
              <w:jc w:val="center"/>
              <w:rPr>
                <w:b/>
                <w:sz w:val="14"/>
              </w:rPr>
            </w:pPr>
            <w:r>
              <w:rPr>
                <w:b/>
                <w:color w:val="FFFFFF"/>
                <w:sz w:val="14"/>
              </w:rPr>
              <w:t>FEES</w:t>
            </w:r>
            <w:r>
              <w:rPr>
                <w:b/>
                <w:color w:val="FFFFFF"/>
                <w:spacing w:val="-5"/>
                <w:sz w:val="14"/>
              </w:rPr>
              <w:t> </w:t>
            </w:r>
            <w:r>
              <w:rPr>
                <w:b/>
                <w:color w:val="FFFFFF"/>
                <w:sz w:val="14"/>
              </w:rPr>
              <w:t>AND</w:t>
            </w:r>
            <w:r>
              <w:rPr>
                <w:b/>
                <w:color w:val="FFFFFF"/>
                <w:spacing w:val="-4"/>
                <w:sz w:val="14"/>
              </w:rPr>
              <w:t> </w:t>
            </w:r>
            <w:r>
              <w:rPr>
                <w:b/>
                <w:color w:val="FFFFFF"/>
                <w:sz w:val="14"/>
              </w:rPr>
              <w:t>CHARGES</w:t>
            </w:r>
            <w:r>
              <w:rPr>
                <w:b/>
                <w:color w:val="FFFFFF"/>
                <w:spacing w:val="-1"/>
                <w:sz w:val="14"/>
              </w:rPr>
              <w:t> </w:t>
            </w:r>
            <w:r>
              <w:rPr>
                <w:b/>
                <w:color w:val="FFFFFF"/>
                <w:spacing w:val="-2"/>
                <w:sz w:val="14"/>
              </w:rPr>
              <w:t>2025/26</w:t>
            </w:r>
          </w:p>
        </w:tc>
      </w:tr>
      <w:tr>
        <w:trPr>
          <w:trHeight w:val="858" w:hRule="atLeast"/>
        </w:trPr>
        <w:tc>
          <w:tcPr>
            <w:tcW w:w="5770" w:type="dxa"/>
            <w:tcBorders>
              <w:top w:val="single" w:sz="4" w:space="0" w:color="000000"/>
              <w:left w:val="single" w:sz="12" w:space="0" w:color="000000"/>
              <w:bottom w:val="single" w:sz="4" w:space="0" w:color="000000"/>
              <w:right w:val="single" w:sz="4"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107"/>
              <w:rPr>
                <w:b/>
                <w:sz w:val="14"/>
              </w:rPr>
            </w:pPr>
            <w:r>
              <w:rPr>
                <w:b/>
                <w:color w:val="FFFFFF"/>
                <w:sz w:val="14"/>
              </w:rPr>
              <w:t>Account</w:t>
            </w:r>
            <w:r>
              <w:rPr>
                <w:b/>
                <w:color w:val="FFFFFF"/>
                <w:spacing w:val="-7"/>
                <w:sz w:val="14"/>
              </w:rPr>
              <w:t> </w:t>
            </w:r>
            <w:r>
              <w:rPr>
                <w:b/>
                <w:color w:val="FFFFFF"/>
                <w:spacing w:val="-2"/>
                <w:sz w:val="14"/>
              </w:rPr>
              <w:t>Description</w:t>
            </w:r>
          </w:p>
        </w:tc>
        <w:tc>
          <w:tcPr>
            <w:tcW w:w="1028"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26" w:right="101" w:firstLine="4"/>
              <w:jc w:val="center"/>
              <w:rPr>
                <w:b/>
                <w:sz w:val="14"/>
              </w:rPr>
            </w:pPr>
            <w:r>
              <w:rPr>
                <w:b/>
                <w:color w:val="FFFFFF"/>
                <w:sz w:val="14"/>
              </w:rPr>
              <w:t>Fee</w:t>
            </w:r>
            <w:r>
              <w:rPr>
                <w:b/>
                <w:color w:val="FFFFFF"/>
                <w:spacing w:val="-6"/>
                <w:sz w:val="14"/>
              </w:rPr>
              <w:t> </w:t>
            </w:r>
            <w:r>
              <w:rPr>
                <w:b/>
                <w:color w:val="FFFFFF"/>
                <w:sz w:val="14"/>
              </w:rPr>
              <w:t>Type</w:t>
            </w:r>
            <w:r>
              <w:rPr>
                <w:b/>
                <w:color w:val="FFFFFF"/>
                <w:spacing w:val="40"/>
                <w:sz w:val="14"/>
              </w:rPr>
              <w:t> </w:t>
            </w:r>
            <w:r>
              <w:rPr>
                <w:b/>
                <w:color w:val="FFFFFF"/>
                <w:spacing w:val="-2"/>
                <w:sz w:val="14"/>
              </w:rPr>
              <w:t>N=Non-</w:t>
            </w:r>
            <w:r>
              <w:rPr>
                <w:b/>
                <w:color w:val="FFFFFF"/>
                <w:spacing w:val="40"/>
                <w:sz w:val="14"/>
              </w:rPr>
              <w:t> </w:t>
            </w:r>
            <w:r>
              <w:rPr>
                <w:b/>
                <w:color w:val="FFFFFF"/>
                <w:spacing w:val="-2"/>
                <w:sz w:val="14"/>
              </w:rPr>
              <w:t>Statutory</w:t>
            </w:r>
            <w:r>
              <w:rPr>
                <w:b/>
                <w:color w:val="FFFFFF"/>
                <w:spacing w:val="40"/>
                <w:sz w:val="14"/>
              </w:rPr>
              <w:t> </w:t>
            </w:r>
            <w:r>
              <w:rPr>
                <w:b/>
                <w:color w:val="FFFFFF"/>
                <w:spacing w:val="-2"/>
                <w:sz w:val="14"/>
              </w:rPr>
              <w:t>S=Statutory</w:t>
            </w:r>
          </w:p>
        </w:tc>
        <w:tc>
          <w:tcPr>
            <w:tcW w:w="76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4"/>
              <w:rPr>
                <w:sz w:val="23"/>
              </w:rPr>
            </w:pPr>
          </w:p>
          <w:p>
            <w:pPr>
              <w:pStyle w:val="TableParagraph"/>
              <w:spacing w:before="1"/>
              <w:ind w:left="248"/>
              <w:rPr>
                <w:b/>
                <w:sz w:val="14"/>
              </w:rPr>
            </w:pPr>
            <w:r>
              <w:rPr>
                <w:b/>
                <w:color w:val="FFFFFF"/>
                <w:spacing w:val="-5"/>
                <w:sz w:val="14"/>
              </w:rPr>
              <w:t>GST</w:t>
            </w:r>
          </w:p>
          <w:p>
            <w:pPr>
              <w:pStyle w:val="TableParagraph"/>
              <w:ind w:left="154"/>
              <w:rPr>
                <w:b/>
                <w:sz w:val="14"/>
              </w:rPr>
            </w:pPr>
            <w:r>
              <w:rPr>
                <w:b/>
                <w:color w:val="FFFFFF"/>
                <w:spacing w:val="-2"/>
                <w:sz w:val="14"/>
              </w:rPr>
              <w:t>Yes/No</w:t>
            </w:r>
          </w:p>
        </w:tc>
        <w:tc>
          <w:tcPr>
            <w:tcW w:w="973"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05" w:right="84"/>
              <w:jc w:val="center"/>
              <w:rPr>
                <w:b/>
                <w:sz w:val="14"/>
              </w:rPr>
            </w:pPr>
            <w:r>
              <w:rPr>
                <w:b/>
                <w:color w:val="FFFFFF"/>
                <w:spacing w:val="-2"/>
                <w:sz w:val="14"/>
              </w:rPr>
              <w:t>2024/25</w:t>
            </w:r>
          </w:p>
          <w:p>
            <w:pPr>
              <w:pStyle w:val="TableParagraph"/>
              <w:ind w:left="189" w:right="168" w:firstLine="1"/>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40"/>
                <w:sz w:val="14"/>
              </w:rPr>
              <w:t> </w:t>
            </w:r>
            <w:r>
              <w:rPr>
                <w:b/>
                <w:color w:val="FFFFFF"/>
                <w:sz w:val="14"/>
              </w:rPr>
              <w:t>Incl.</w:t>
            </w:r>
            <w:r>
              <w:rPr>
                <w:b/>
                <w:color w:val="FFFFFF"/>
                <w:spacing w:val="-5"/>
                <w:sz w:val="14"/>
              </w:rPr>
              <w:t> </w:t>
            </w:r>
            <w:r>
              <w:rPr>
                <w:b/>
                <w:color w:val="FFFFFF"/>
                <w:spacing w:val="-5"/>
                <w:sz w:val="14"/>
              </w:rPr>
              <w:t>GST</w:t>
            </w:r>
          </w:p>
        </w:tc>
        <w:tc>
          <w:tcPr>
            <w:tcW w:w="119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56" w:right="137"/>
              <w:jc w:val="center"/>
              <w:rPr>
                <w:b/>
                <w:sz w:val="14"/>
              </w:rPr>
            </w:pPr>
            <w:r>
              <w:rPr>
                <w:b/>
                <w:color w:val="FFFFFF"/>
                <w:spacing w:val="-2"/>
                <w:sz w:val="14"/>
              </w:rPr>
              <w:t>2025/26</w:t>
            </w:r>
          </w:p>
          <w:p>
            <w:pPr>
              <w:pStyle w:val="TableParagraph"/>
              <w:ind w:left="164" w:right="146" w:firstLine="2"/>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8"/>
                <w:sz w:val="14"/>
              </w:rPr>
              <w:t> </w:t>
            </w:r>
            <w:r>
              <w:rPr>
                <w:b/>
                <w:color w:val="FFFFFF"/>
                <w:spacing w:val="-2"/>
                <w:sz w:val="14"/>
              </w:rPr>
              <w:t>Incl.</w:t>
            </w:r>
          </w:p>
          <w:p>
            <w:pPr>
              <w:pStyle w:val="TableParagraph"/>
              <w:spacing w:line="161" w:lineRule="exact"/>
              <w:ind w:left="153" w:right="137"/>
              <w:jc w:val="center"/>
              <w:rPr>
                <w:b/>
                <w:sz w:val="14"/>
              </w:rPr>
            </w:pPr>
            <w:r>
              <w:rPr>
                <w:b/>
                <w:color w:val="FFFFFF"/>
                <w:spacing w:val="-5"/>
                <w:sz w:val="14"/>
              </w:rPr>
              <w:t>GST</w:t>
            </w:r>
          </w:p>
        </w:tc>
        <w:tc>
          <w:tcPr>
            <w:tcW w:w="897" w:type="dxa"/>
            <w:tcBorders>
              <w:top w:val="single" w:sz="4" w:space="0" w:color="000000"/>
              <w:left w:val="single" w:sz="4" w:space="0" w:color="000000"/>
              <w:bottom w:val="single" w:sz="4" w:space="0" w:color="000000"/>
              <w:right w:val="single" w:sz="12"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95" w:right="81"/>
              <w:jc w:val="center"/>
              <w:rPr>
                <w:b/>
                <w:sz w:val="14"/>
              </w:rPr>
            </w:pPr>
            <w:r>
              <w:rPr>
                <w:b/>
                <w:color w:val="FFFFFF"/>
                <w:sz w:val="14"/>
              </w:rPr>
              <w:t>%</w:t>
            </w:r>
            <w:r>
              <w:rPr>
                <w:b/>
                <w:color w:val="FFFFFF"/>
                <w:spacing w:val="-4"/>
                <w:sz w:val="14"/>
              </w:rPr>
              <w:t> </w:t>
            </w:r>
            <w:r>
              <w:rPr>
                <w:b/>
                <w:color w:val="FFFFFF"/>
                <w:spacing w:val="-2"/>
                <w:sz w:val="14"/>
              </w:rPr>
              <w:t>Change</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Fitness</w:t>
            </w:r>
            <w:r>
              <w:rPr>
                <w:spacing w:val="-3"/>
                <w:sz w:val="14"/>
              </w:rPr>
              <w:t> </w:t>
            </w:r>
            <w:r>
              <w:rPr>
                <w:sz w:val="14"/>
              </w:rPr>
              <w:t>30</w:t>
            </w:r>
            <w:r>
              <w:rPr>
                <w:spacing w:val="-5"/>
                <w:sz w:val="14"/>
              </w:rPr>
              <w:t> </w:t>
            </w:r>
            <w:r>
              <w:rPr>
                <w:sz w:val="14"/>
              </w:rPr>
              <w:t>min</w:t>
            </w:r>
            <w:r>
              <w:rPr>
                <w:spacing w:val="-4"/>
                <w:sz w:val="14"/>
              </w:rPr>
              <w:t> </w:t>
            </w:r>
            <w:r>
              <w:rPr>
                <w:sz w:val="14"/>
              </w:rPr>
              <w:t>class</w:t>
            </w:r>
            <w:r>
              <w:rPr>
                <w:spacing w:val="-2"/>
                <w:sz w:val="14"/>
              </w:rPr>
              <w:t> </w:t>
            </w:r>
            <w:r>
              <w:rPr>
                <w:spacing w:val="-4"/>
                <w:sz w:val="14"/>
              </w:rPr>
              <w:t>Adult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14.00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14.70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2"/>
                <w:sz w:val="14"/>
              </w:rPr>
              <w:t>Seniors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19.40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20.30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4.4</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Aquanation</w:t>
            </w:r>
            <w:r>
              <w:rPr>
                <w:b/>
                <w:spacing w:val="-6"/>
                <w:sz w:val="14"/>
              </w:rPr>
              <w:t> </w:t>
            </w:r>
            <w:r>
              <w:rPr>
                <w:b/>
                <w:sz w:val="14"/>
              </w:rPr>
              <w:t>-</w:t>
            </w:r>
            <w:r>
              <w:rPr>
                <w:b/>
                <w:spacing w:val="-3"/>
                <w:sz w:val="14"/>
              </w:rPr>
              <w:t> </w:t>
            </w:r>
            <w:r>
              <w:rPr>
                <w:b/>
                <w:sz w:val="14"/>
              </w:rPr>
              <w:t>Family</w:t>
            </w:r>
            <w:r>
              <w:rPr>
                <w:b/>
                <w:spacing w:val="-4"/>
                <w:sz w:val="14"/>
              </w:rPr>
              <w:t> </w:t>
            </w:r>
            <w:r>
              <w:rPr>
                <w:b/>
                <w:sz w:val="14"/>
              </w:rPr>
              <w:t>Lifestyle</w:t>
            </w:r>
            <w:r>
              <w:rPr>
                <w:b/>
                <w:spacing w:val="-3"/>
                <w:sz w:val="14"/>
              </w:rPr>
              <w:t> </w:t>
            </w:r>
            <w:r>
              <w:rPr>
                <w:b/>
                <w:sz w:val="14"/>
              </w:rPr>
              <w:t>Memberships</w:t>
            </w:r>
            <w:r>
              <w:rPr>
                <w:b/>
                <w:spacing w:val="-5"/>
                <w:sz w:val="14"/>
              </w:rPr>
              <w:t> </w:t>
            </w:r>
            <w:r>
              <w:rPr>
                <w:b/>
                <w:sz w:val="14"/>
              </w:rPr>
              <w:t>-</w:t>
            </w:r>
            <w:r>
              <w:rPr>
                <w:b/>
                <w:spacing w:val="-6"/>
                <w:sz w:val="14"/>
              </w:rPr>
              <w:t> </w:t>
            </w:r>
            <w:r>
              <w:rPr>
                <w:b/>
                <w:spacing w:val="-5"/>
                <w:sz w:val="14"/>
              </w:rPr>
              <w:t>Dry</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w w:val="95"/>
                <w:sz w:val="14"/>
              </w:rPr>
              <w:t>Lifestyle-Family</w:t>
            </w:r>
            <w:r>
              <w:rPr>
                <w:spacing w:val="39"/>
                <w:sz w:val="14"/>
              </w:rPr>
              <w:t> </w:t>
            </w:r>
            <w:r>
              <w:rPr>
                <w:spacing w:val="-2"/>
                <w:w w:val="95"/>
                <w:sz w:val="14"/>
              </w:rPr>
              <w:t>Concession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139.23</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149.00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6.6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Aquanation</w:t>
            </w:r>
            <w:r>
              <w:rPr>
                <w:b/>
                <w:spacing w:val="-6"/>
                <w:sz w:val="14"/>
              </w:rPr>
              <w:t> </w:t>
            </w:r>
            <w:r>
              <w:rPr>
                <w:b/>
                <w:sz w:val="14"/>
              </w:rPr>
              <w:t>-</w:t>
            </w:r>
            <w:r>
              <w:rPr>
                <w:b/>
                <w:spacing w:val="-3"/>
                <w:sz w:val="14"/>
              </w:rPr>
              <w:t> </w:t>
            </w:r>
            <w:r>
              <w:rPr>
                <w:b/>
                <w:sz w:val="14"/>
              </w:rPr>
              <w:t>Individual</w:t>
            </w:r>
            <w:r>
              <w:rPr>
                <w:b/>
                <w:spacing w:val="-3"/>
                <w:sz w:val="14"/>
              </w:rPr>
              <w:t> </w:t>
            </w:r>
            <w:r>
              <w:rPr>
                <w:b/>
                <w:sz w:val="14"/>
              </w:rPr>
              <w:t>Lifestyle</w:t>
            </w:r>
            <w:r>
              <w:rPr>
                <w:b/>
                <w:spacing w:val="-6"/>
                <w:sz w:val="14"/>
              </w:rPr>
              <w:t> </w:t>
            </w:r>
            <w:r>
              <w:rPr>
                <w:b/>
                <w:sz w:val="14"/>
              </w:rPr>
              <w:t>-</w:t>
            </w:r>
            <w:r>
              <w:rPr>
                <w:b/>
                <w:spacing w:val="-3"/>
                <w:sz w:val="14"/>
              </w:rPr>
              <w:t> </w:t>
            </w:r>
            <w:r>
              <w:rPr>
                <w:b/>
                <w:spacing w:val="-5"/>
                <w:sz w:val="14"/>
              </w:rPr>
              <w:t>Dry</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78.00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83.50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6.6</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w w:val="95"/>
                <w:sz w:val="14"/>
              </w:rPr>
              <w:t>Lifestyle-Individual</w:t>
            </w:r>
            <w:r>
              <w:rPr>
                <w:spacing w:val="44"/>
                <w:sz w:val="14"/>
              </w:rPr>
              <w:t> </w:t>
            </w:r>
            <w:r>
              <w:rPr>
                <w:spacing w:val="-2"/>
                <w:w w:val="95"/>
                <w:sz w:val="14"/>
              </w:rPr>
              <w:t>Concession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66.30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71.00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6.6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Aquanation</w:t>
            </w:r>
            <w:r>
              <w:rPr>
                <w:b/>
                <w:spacing w:val="-7"/>
                <w:sz w:val="14"/>
              </w:rPr>
              <w:t> </w:t>
            </w:r>
            <w:r>
              <w:rPr>
                <w:b/>
                <w:sz w:val="14"/>
              </w:rPr>
              <w:t>-</w:t>
            </w:r>
            <w:r>
              <w:rPr>
                <w:b/>
                <w:spacing w:val="-3"/>
                <w:sz w:val="14"/>
              </w:rPr>
              <w:t> </w:t>
            </w:r>
            <w:r>
              <w:rPr>
                <w:b/>
                <w:sz w:val="14"/>
              </w:rPr>
              <w:t>Swim</w:t>
            </w:r>
            <w:r>
              <w:rPr>
                <w:b/>
                <w:spacing w:val="-2"/>
                <w:sz w:val="14"/>
              </w:rPr>
              <w:t> </w:t>
            </w:r>
            <w:r>
              <w:rPr>
                <w:b/>
                <w:sz w:val="14"/>
              </w:rPr>
              <w:t>Lifestyle</w:t>
            </w:r>
            <w:r>
              <w:rPr>
                <w:b/>
                <w:spacing w:val="-3"/>
                <w:sz w:val="14"/>
              </w:rPr>
              <w:t> </w:t>
            </w:r>
            <w:r>
              <w:rPr>
                <w:b/>
                <w:spacing w:val="-2"/>
                <w:sz w:val="14"/>
              </w:rPr>
              <w:t>Membership</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Swim</w:t>
            </w:r>
            <w:r>
              <w:rPr>
                <w:spacing w:val="-2"/>
                <w:sz w:val="14"/>
              </w:rPr>
              <w:t> </w:t>
            </w:r>
            <w:r>
              <w:rPr>
                <w:sz w:val="14"/>
              </w:rPr>
              <w:t>Plus</w:t>
            </w:r>
            <w:r>
              <w:rPr>
                <w:spacing w:val="-4"/>
                <w:sz w:val="14"/>
              </w:rPr>
              <w:t> </w:t>
            </w:r>
            <w:r>
              <w:rPr>
                <w:spacing w:val="-2"/>
                <w:sz w:val="14"/>
              </w:rPr>
              <w:t>Concession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34.00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35.70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Aquanation</w:t>
            </w:r>
            <w:r>
              <w:rPr>
                <w:b/>
                <w:spacing w:val="-7"/>
                <w:sz w:val="14"/>
              </w:rPr>
              <w:t> </w:t>
            </w:r>
            <w:r>
              <w:rPr>
                <w:b/>
                <w:sz w:val="14"/>
              </w:rPr>
              <w:t>-</w:t>
            </w:r>
            <w:r>
              <w:rPr>
                <w:b/>
                <w:spacing w:val="-4"/>
                <w:sz w:val="14"/>
              </w:rPr>
              <w:t> </w:t>
            </w:r>
            <w:r>
              <w:rPr>
                <w:b/>
                <w:sz w:val="14"/>
              </w:rPr>
              <w:t>Membership</w:t>
            </w:r>
            <w:r>
              <w:rPr>
                <w:b/>
                <w:spacing w:val="-4"/>
                <w:sz w:val="14"/>
              </w:rPr>
              <w:t> </w:t>
            </w:r>
            <w:r>
              <w:rPr>
                <w:b/>
                <w:sz w:val="14"/>
              </w:rPr>
              <w:t>Joining</w:t>
            </w:r>
            <w:r>
              <w:rPr>
                <w:b/>
                <w:spacing w:val="-4"/>
                <w:sz w:val="14"/>
              </w:rPr>
              <w:t> </w:t>
            </w:r>
            <w:r>
              <w:rPr>
                <w:b/>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99.00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99.00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Aquanation</w:t>
            </w:r>
            <w:r>
              <w:rPr>
                <w:b/>
                <w:spacing w:val="-6"/>
                <w:sz w:val="14"/>
              </w:rPr>
              <w:t> </w:t>
            </w:r>
            <w:r>
              <w:rPr>
                <w:b/>
                <w:sz w:val="14"/>
              </w:rPr>
              <w:t>-</w:t>
            </w:r>
            <w:r>
              <w:rPr>
                <w:b/>
                <w:spacing w:val="-3"/>
                <w:sz w:val="14"/>
              </w:rPr>
              <w:t> </w:t>
            </w:r>
            <w:r>
              <w:rPr>
                <w:b/>
                <w:spacing w:val="-2"/>
                <w:sz w:val="14"/>
              </w:rPr>
              <w:t>Rehab</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Rehab</w:t>
            </w:r>
            <w:r>
              <w:rPr>
                <w:spacing w:val="-5"/>
                <w:sz w:val="14"/>
              </w:rPr>
              <w:t> </w:t>
            </w:r>
            <w:r>
              <w:rPr>
                <w:sz w:val="14"/>
              </w:rPr>
              <w:t>Swim</w:t>
            </w:r>
            <w:r>
              <w:rPr>
                <w:spacing w:val="-1"/>
                <w:sz w:val="14"/>
              </w:rPr>
              <w:t> </w:t>
            </w:r>
            <w:r>
              <w:rPr>
                <w:sz w:val="14"/>
              </w:rPr>
              <w:t>-3</w:t>
            </w:r>
            <w:r>
              <w:rPr>
                <w:spacing w:val="-4"/>
                <w:sz w:val="14"/>
              </w:rPr>
              <w:t> </w:t>
            </w:r>
            <w:r>
              <w:rPr>
                <w:spacing w:val="-2"/>
                <w:sz w:val="14"/>
              </w:rPr>
              <w:t>months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300.00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3"/>
              <w:jc w:val="right"/>
              <w:rPr>
                <w:sz w:val="14"/>
              </w:rPr>
            </w:pPr>
            <w:r>
              <w:rPr>
                <w:spacing w:val="-2"/>
                <w:sz w:val="14"/>
              </w:rPr>
              <w:t>315.00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Rehab</w:t>
            </w:r>
            <w:r>
              <w:rPr>
                <w:spacing w:val="-4"/>
                <w:sz w:val="14"/>
              </w:rPr>
              <w:t> </w:t>
            </w:r>
            <w:r>
              <w:rPr>
                <w:sz w:val="14"/>
              </w:rPr>
              <w:t>Swim</w:t>
            </w:r>
            <w:r>
              <w:rPr>
                <w:spacing w:val="-1"/>
                <w:sz w:val="14"/>
              </w:rPr>
              <w:t> </w:t>
            </w:r>
            <w:r>
              <w:rPr>
                <w:sz w:val="14"/>
              </w:rPr>
              <w:t>-</w:t>
            </w:r>
            <w:r>
              <w:rPr>
                <w:spacing w:val="-1"/>
                <w:sz w:val="14"/>
              </w:rPr>
              <w:t> </w:t>
            </w:r>
            <w:r>
              <w:rPr>
                <w:sz w:val="14"/>
              </w:rPr>
              <w:t>6</w:t>
            </w:r>
            <w:r>
              <w:rPr>
                <w:spacing w:val="-4"/>
                <w:sz w:val="14"/>
              </w:rPr>
              <w:t> </w:t>
            </w:r>
            <w:r>
              <w:rPr>
                <w:spacing w:val="-2"/>
                <w:sz w:val="14"/>
              </w:rPr>
              <w:t>months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600.00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629.00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Rehab</w:t>
            </w:r>
            <w:r>
              <w:rPr>
                <w:spacing w:val="-5"/>
                <w:sz w:val="14"/>
              </w:rPr>
              <w:t> </w:t>
            </w:r>
            <w:r>
              <w:rPr>
                <w:sz w:val="14"/>
              </w:rPr>
              <w:t>Swim</w:t>
            </w:r>
            <w:r>
              <w:rPr>
                <w:spacing w:val="-1"/>
                <w:sz w:val="14"/>
              </w:rPr>
              <w:t> </w:t>
            </w:r>
            <w:r>
              <w:rPr>
                <w:sz w:val="14"/>
              </w:rPr>
              <w:t>-</w:t>
            </w:r>
            <w:r>
              <w:rPr>
                <w:spacing w:val="-2"/>
                <w:sz w:val="14"/>
              </w:rPr>
              <w:t> </w:t>
            </w:r>
            <w:r>
              <w:rPr>
                <w:sz w:val="14"/>
              </w:rPr>
              <w:t>12</w:t>
            </w:r>
            <w:r>
              <w:rPr>
                <w:spacing w:val="-1"/>
                <w:sz w:val="14"/>
              </w:rPr>
              <w:t> </w:t>
            </w:r>
            <w:r>
              <w:rPr>
                <w:spacing w:val="-2"/>
                <w:sz w:val="14"/>
              </w:rPr>
              <w:t>months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1,200.00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1,260.00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Rehab</w:t>
            </w:r>
            <w:r>
              <w:rPr>
                <w:spacing w:val="-4"/>
                <w:sz w:val="14"/>
              </w:rPr>
              <w:t> </w:t>
            </w:r>
            <w:r>
              <w:rPr>
                <w:sz w:val="14"/>
              </w:rPr>
              <w:t>Gym</w:t>
            </w:r>
            <w:r>
              <w:rPr>
                <w:spacing w:val="-1"/>
                <w:sz w:val="14"/>
              </w:rPr>
              <w:t> </w:t>
            </w:r>
            <w:r>
              <w:rPr>
                <w:sz w:val="14"/>
              </w:rPr>
              <w:t>&amp;</w:t>
            </w:r>
            <w:r>
              <w:rPr>
                <w:spacing w:val="-3"/>
                <w:sz w:val="14"/>
              </w:rPr>
              <w:t> </w:t>
            </w:r>
            <w:r>
              <w:rPr>
                <w:sz w:val="14"/>
              </w:rPr>
              <w:t>Swim</w:t>
            </w:r>
            <w:r>
              <w:rPr>
                <w:spacing w:val="-1"/>
                <w:sz w:val="14"/>
              </w:rPr>
              <w:t> </w:t>
            </w:r>
            <w:r>
              <w:rPr>
                <w:sz w:val="14"/>
              </w:rPr>
              <w:t>-</w:t>
            </w:r>
            <w:r>
              <w:rPr>
                <w:spacing w:val="-3"/>
                <w:sz w:val="14"/>
              </w:rPr>
              <w:t> </w:t>
            </w:r>
            <w:r>
              <w:rPr>
                <w:sz w:val="14"/>
              </w:rPr>
              <w:t>3</w:t>
            </w:r>
            <w:r>
              <w:rPr>
                <w:spacing w:val="-2"/>
                <w:sz w:val="14"/>
              </w:rPr>
              <w:t> months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402.52</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422.00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Rehab</w:t>
            </w:r>
            <w:r>
              <w:rPr>
                <w:spacing w:val="-4"/>
                <w:sz w:val="14"/>
              </w:rPr>
              <w:t> </w:t>
            </w:r>
            <w:r>
              <w:rPr>
                <w:sz w:val="14"/>
              </w:rPr>
              <w:t>Gym</w:t>
            </w:r>
            <w:r>
              <w:rPr>
                <w:spacing w:val="-1"/>
                <w:sz w:val="14"/>
              </w:rPr>
              <w:t> </w:t>
            </w:r>
            <w:r>
              <w:rPr>
                <w:sz w:val="14"/>
              </w:rPr>
              <w:t>&amp;</w:t>
            </w:r>
            <w:r>
              <w:rPr>
                <w:spacing w:val="-3"/>
                <w:sz w:val="14"/>
              </w:rPr>
              <w:t> </w:t>
            </w:r>
            <w:r>
              <w:rPr>
                <w:sz w:val="14"/>
              </w:rPr>
              <w:t>Swim</w:t>
            </w:r>
            <w:r>
              <w:rPr>
                <w:spacing w:val="-1"/>
                <w:sz w:val="14"/>
              </w:rPr>
              <w:t> </w:t>
            </w:r>
            <w:r>
              <w:rPr>
                <w:sz w:val="14"/>
              </w:rPr>
              <w:t>-</w:t>
            </w:r>
            <w:r>
              <w:rPr>
                <w:spacing w:val="-3"/>
                <w:sz w:val="14"/>
              </w:rPr>
              <w:t> </w:t>
            </w:r>
            <w:r>
              <w:rPr>
                <w:sz w:val="14"/>
              </w:rPr>
              <w:t>6</w:t>
            </w:r>
            <w:r>
              <w:rPr>
                <w:spacing w:val="-2"/>
                <w:sz w:val="14"/>
              </w:rPr>
              <w:t> months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805.04</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845.00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Rehab</w:t>
            </w:r>
            <w:r>
              <w:rPr>
                <w:spacing w:val="-4"/>
                <w:sz w:val="14"/>
              </w:rPr>
              <w:t> </w:t>
            </w:r>
            <w:r>
              <w:rPr>
                <w:sz w:val="14"/>
              </w:rPr>
              <w:t>Gym</w:t>
            </w:r>
            <w:r>
              <w:rPr>
                <w:spacing w:val="-1"/>
                <w:sz w:val="14"/>
              </w:rPr>
              <w:t> </w:t>
            </w:r>
            <w:r>
              <w:rPr>
                <w:sz w:val="14"/>
              </w:rPr>
              <w:t>&amp;</w:t>
            </w:r>
            <w:r>
              <w:rPr>
                <w:spacing w:val="-3"/>
                <w:sz w:val="14"/>
              </w:rPr>
              <w:t> </w:t>
            </w:r>
            <w:r>
              <w:rPr>
                <w:sz w:val="14"/>
              </w:rPr>
              <w:t>Swim</w:t>
            </w:r>
            <w:r>
              <w:rPr>
                <w:spacing w:val="-1"/>
                <w:sz w:val="14"/>
              </w:rPr>
              <w:t> </w:t>
            </w:r>
            <w:r>
              <w:rPr>
                <w:sz w:val="14"/>
              </w:rPr>
              <w:t>-</w:t>
            </w:r>
            <w:r>
              <w:rPr>
                <w:spacing w:val="-3"/>
                <w:sz w:val="14"/>
              </w:rPr>
              <w:t> </w:t>
            </w:r>
            <w:r>
              <w:rPr>
                <w:sz w:val="14"/>
              </w:rPr>
              <w:t>12</w:t>
            </w:r>
            <w:r>
              <w:rPr>
                <w:spacing w:val="-4"/>
                <w:sz w:val="14"/>
              </w:rPr>
              <w:t> </w:t>
            </w:r>
            <w:r>
              <w:rPr>
                <w:spacing w:val="-2"/>
                <w:sz w:val="14"/>
              </w:rPr>
              <w:t>months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1,610.07</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1,690.00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b/>
                <w:sz w:val="14"/>
              </w:rPr>
            </w:pPr>
            <w:r>
              <w:rPr>
                <w:b/>
                <w:sz w:val="14"/>
              </w:rPr>
              <w:t>Aquanation</w:t>
            </w:r>
            <w:r>
              <w:rPr>
                <w:b/>
                <w:spacing w:val="-6"/>
                <w:sz w:val="14"/>
              </w:rPr>
              <w:t> </w:t>
            </w:r>
            <w:r>
              <w:rPr>
                <w:b/>
                <w:sz w:val="14"/>
              </w:rPr>
              <w:t>-</w:t>
            </w:r>
            <w:r>
              <w:rPr>
                <w:b/>
                <w:spacing w:val="-3"/>
                <w:sz w:val="14"/>
              </w:rPr>
              <w:t> </w:t>
            </w:r>
            <w:r>
              <w:rPr>
                <w:b/>
                <w:sz w:val="14"/>
              </w:rPr>
              <w:t>Fitness</w:t>
            </w:r>
            <w:r>
              <w:rPr>
                <w:b/>
                <w:spacing w:val="-6"/>
                <w:sz w:val="14"/>
              </w:rPr>
              <w:t> </w:t>
            </w:r>
            <w:r>
              <w:rPr>
                <w:b/>
                <w:sz w:val="14"/>
              </w:rPr>
              <w:t>Plus</w:t>
            </w:r>
            <w:r>
              <w:rPr>
                <w:b/>
                <w:spacing w:val="-3"/>
                <w:sz w:val="14"/>
              </w:rPr>
              <w:t> </w:t>
            </w:r>
            <w:r>
              <w:rPr>
                <w:b/>
                <w:spacing w:val="-2"/>
                <w:sz w:val="14"/>
              </w:rPr>
              <w:t>Individual</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52.00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55.00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Aquanation</w:t>
            </w:r>
            <w:r>
              <w:rPr>
                <w:b/>
                <w:spacing w:val="-6"/>
                <w:sz w:val="14"/>
              </w:rPr>
              <w:t> </w:t>
            </w:r>
            <w:r>
              <w:rPr>
                <w:b/>
                <w:sz w:val="14"/>
              </w:rPr>
              <w:t>-</w:t>
            </w:r>
            <w:r>
              <w:rPr>
                <w:b/>
                <w:spacing w:val="-3"/>
                <w:sz w:val="14"/>
              </w:rPr>
              <w:t> </w:t>
            </w:r>
            <w:r>
              <w:rPr>
                <w:b/>
                <w:sz w:val="14"/>
              </w:rPr>
              <w:t>Fitness</w:t>
            </w:r>
            <w:r>
              <w:rPr>
                <w:b/>
                <w:spacing w:val="-7"/>
                <w:sz w:val="14"/>
              </w:rPr>
              <w:t> </w:t>
            </w:r>
            <w:r>
              <w:rPr>
                <w:b/>
                <w:sz w:val="14"/>
              </w:rPr>
              <w:t>Plus</w:t>
            </w:r>
            <w:r>
              <w:rPr>
                <w:b/>
                <w:spacing w:val="-3"/>
                <w:sz w:val="14"/>
              </w:rPr>
              <w:t> </w:t>
            </w:r>
            <w:r>
              <w:rPr>
                <w:b/>
                <w:sz w:val="14"/>
              </w:rPr>
              <w:t>Family</w:t>
            </w:r>
            <w:r>
              <w:rPr>
                <w:b/>
                <w:spacing w:val="-3"/>
                <w:sz w:val="14"/>
              </w:rPr>
              <w:t> </w:t>
            </w:r>
            <w:r>
              <w:rPr>
                <w:b/>
                <w:spacing w:val="-2"/>
                <w:sz w:val="14"/>
              </w:rPr>
              <w:t>Membership</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109.20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115.50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Aquanation</w:t>
            </w:r>
            <w:r>
              <w:rPr>
                <w:b/>
                <w:spacing w:val="-6"/>
                <w:sz w:val="14"/>
              </w:rPr>
              <w:t> </w:t>
            </w:r>
            <w:r>
              <w:rPr>
                <w:b/>
                <w:sz w:val="14"/>
              </w:rPr>
              <w:t>-</w:t>
            </w:r>
            <w:r>
              <w:rPr>
                <w:b/>
                <w:spacing w:val="-4"/>
                <w:sz w:val="14"/>
              </w:rPr>
              <w:t> </w:t>
            </w:r>
            <w:r>
              <w:rPr>
                <w:b/>
                <w:sz w:val="14"/>
              </w:rPr>
              <w:t>Fitness</w:t>
            </w:r>
            <w:r>
              <w:rPr>
                <w:b/>
                <w:spacing w:val="-6"/>
                <w:sz w:val="14"/>
              </w:rPr>
              <w:t> </w:t>
            </w:r>
            <w:r>
              <w:rPr>
                <w:b/>
                <w:sz w:val="14"/>
              </w:rPr>
              <w:t>Plus</w:t>
            </w:r>
            <w:r>
              <w:rPr>
                <w:b/>
                <w:spacing w:val="-4"/>
                <w:sz w:val="14"/>
              </w:rPr>
              <w:t> </w:t>
            </w:r>
            <w:r>
              <w:rPr>
                <w:b/>
                <w:sz w:val="14"/>
              </w:rPr>
              <w:t>Off-Peak </w:t>
            </w:r>
            <w:r>
              <w:rPr>
                <w:b/>
                <w:spacing w:val="-2"/>
                <w:sz w:val="14"/>
              </w:rPr>
              <w:t>Membership</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33.80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35.30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4.2</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b/>
                <w:sz w:val="14"/>
              </w:rPr>
            </w:pPr>
            <w:r>
              <w:rPr>
                <w:b/>
                <w:sz w:val="14"/>
              </w:rPr>
              <w:t>Aquanation</w:t>
            </w:r>
            <w:r>
              <w:rPr>
                <w:b/>
                <w:spacing w:val="-6"/>
                <w:sz w:val="14"/>
              </w:rPr>
              <w:t> </w:t>
            </w:r>
            <w:r>
              <w:rPr>
                <w:b/>
                <w:sz w:val="14"/>
              </w:rPr>
              <w:t>-</w:t>
            </w:r>
            <w:r>
              <w:rPr>
                <w:b/>
                <w:spacing w:val="-2"/>
                <w:sz w:val="14"/>
              </w:rPr>
              <w:t> </w:t>
            </w:r>
            <w:r>
              <w:rPr>
                <w:b/>
                <w:sz w:val="14"/>
              </w:rPr>
              <w:t>Fitness</w:t>
            </w:r>
            <w:r>
              <w:rPr>
                <w:b/>
                <w:spacing w:val="-6"/>
                <w:sz w:val="14"/>
              </w:rPr>
              <w:t> </w:t>
            </w:r>
            <w:r>
              <w:rPr>
                <w:b/>
                <w:sz w:val="14"/>
              </w:rPr>
              <w:t>Plus</w:t>
            </w:r>
            <w:r>
              <w:rPr>
                <w:b/>
                <w:spacing w:val="-3"/>
                <w:sz w:val="14"/>
              </w:rPr>
              <w:t> </w:t>
            </w:r>
            <w:r>
              <w:rPr>
                <w:b/>
                <w:sz w:val="14"/>
              </w:rPr>
              <w:t>Teen</w:t>
            </w:r>
            <w:r>
              <w:rPr>
                <w:b/>
                <w:spacing w:val="-5"/>
                <w:sz w:val="14"/>
              </w:rPr>
              <w:t> </w:t>
            </w:r>
            <w:r>
              <w:rPr>
                <w:b/>
                <w:spacing w:val="-2"/>
                <w:sz w:val="14"/>
              </w:rPr>
              <w:t>Membership</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9.1</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Aquanation</w:t>
            </w:r>
            <w:r>
              <w:rPr>
                <w:b/>
                <w:spacing w:val="-6"/>
                <w:sz w:val="14"/>
              </w:rPr>
              <w:t> </w:t>
            </w:r>
            <w:r>
              <w:rPr>
                <w:b/>
                <w:sz w:val="14"/>
              </w:rPr>
              <w:t>-</w:t>
            </w:r>
            <w:r>
              <w:rPr>
                <w:b/>
                <w:spacing w:val="-4"/>
                <w:sz w:val="14"/>
              </w:rPr>
              <w:t> </w:t>
            </w:r>
            <w:r>
              <w:rPr>
                <w:b/>
                <w:sz w:val="14"/>
              </w:rPr>
              <w:t>Wellness</w:t>
            </w:r>
            <w:r>
              <w:rPr>
                <w:b/>
                <w:spacing w:val="-6"/>
                <w:sz w:val="14"/>
              </w:rPr>
              <w:t> </w:t>
            </w:r>
            <w:r>
              <w:rPr>
                <w:b/>
                <w:spacing w:val="-4"/>
                <w:sz w:val="14"/>
              </w:rPr>
              <w:t>Plus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Wellness</w:t>
            </w:r>
            <w:r>
              <w:rPr>
                <w:spacing w:val="-8"/>
                <w:sz w:val="14"/>
              </w:rPr>
              <w:t> </w:t>
            </w:r>
            <w:r>
              <w:rPr>
                <w:spacing w:val="-2"/>
                <w:sz w:val="14"/>
              </w:rPr>
              <w:t>Plus/Fee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82.00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86.00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Aquanation</w:t>
            </w:r>
            <w:r>
              <w:rPr>
                <w:b/>
                <w:spacing w:val="-6"/>
                <w:sz w:val="14"/>
              </w:rPr>
              <w:t> </w:t>
            </w:r>
            <w:r>
              <w:rPr>
                <w:b/>
                <w:sz w:val="14"/>
              </w:rPr>
              <w:t>-</w:t>
            </w:r>
            <w:r>
              <w:rPr>
                <w:b/>
                <w:spacing w:val="-3"/>
                <w:sz w:val="14"/>
              </w:rPr>
              <w:t> </w:t>
            </w:r>
            <w:r>
              <w:rPr>
                <w:b/>
                <w:sz w:val="14"/>
              </w:rPr>
              <w:t>Wellness</w:t>
            </w:r>
            <w:r>
              <w:rPr>
                <w:b/>
                <w:spacing w:val="-5"/>
                <w:sz w:val="14"/>
              </w:rPr>
              <w:t> </w:t>
            </w:r>
            <w:r>
              <w:rPr>
                <w:b/>
                <w:sz w:val="14"/>
              </w:rPr>
              <w:t>Plus</w:t>
            </w:r>
            <w:r>
              <w:rPr>
                <w:b/>
                <w:spacing w:val="-5"/>
                <w:sz w:val="14"/>
              </w:rPr>
              <w:t> </w:t>
            </w:r>
            <w:r>
              <w:rPr>
                <w:b/>
                <w:spacing w:val="-2"/>
                <w:sz w:val="14"/>
              </w:rPr>
              <w:t>Concession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Aquanation-Wellness</w:t>
            </w:r>
            <w:r>
              <w:rPr>
                <w:spacing w:val="-9"/>
                <w:sz w:val="14"/>
              </w:rPr>
              <w:t> </w:t>
            </w:r>
            <w:r>
              <w:rPr>
                <w:sz w:val="14"/>
              </w:rPr>
              <w:t>Plus</w:t>
            </w:r>
            <w:r>
              <w:rPr>
                <w:spacing w:val="-8"/>
                <w:sz w:val="14"/>
              </w:rPr>
              <w:t> </w:t>
            </w:r>
            <w:r>
              <w:rPr>
                <w:spacing w:val="-2"/>
                <w:sz w:val="14"/>
              </w:rPr>
              <w:t>Concession/Fee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69.70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73.10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b/>
                <w:sz w:val="14"/>
              </w:rPr>
            </w:pPr>
            <w:r>
              <w:rPr>
                <w:b/>
                <w:sz w:val="14"/>
              </w:rPr>
              <w:t>Aquahub</w:t>
            </w:r>
            <w:r>
              <w:rPr>
                <w:b/>
                <w:spacing w:val="-5"/>
                <w:sz w:val="14"/>
              </w:rPr>
              <w:t> </w:t>
            </w:r>
            <w:r>
              <w:rPr>
                <w:b/>
                <w:sz w:val="14"/>
              </w:rPr>
              <w:t>-</w:t>
            </w:r>
            <w:r>
              <w:rPr>
                <w:b/>
                <w:spacing w:val="-2"/>
                <w:sz w:val="14"/>
              </w:rPr>
              <w:t> </w:t>
            </w:r>
            <w:r>
              <w:rPr>
                <w:b/>
                <w:sz w:val="14"/>
              </w:rPr>
              <w:t>Casual</w:t>
            </w:r>
            <w:r>
              <w:rPr>
                <w:b/>
                <w:spacing w:val="-4"/>
                <w:sz w:val="14"/>
              </w:rPr>
              <w:t> </w:t>
            </w:r>
            <w:r>
              <w:rPr>
                <w:b/>
                <w:sz w:val="14"/>
              </w:rPr>
              <w:t>Health</w:t>
            </w:r>
            <w:r>
              <w:rPr>
                <w:b/>
                <w:spacing w:val="-4"/>
                <w:sz w:val="14"/>
              </w:rPr>
              <w:t> Club</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Health</w:t>
            </w:r>
            <w:r>
              <w:rPr>
                <w:spacing w:val="-4"/>
                <w:sz w:val="14"/>
              </w:rPr>
              <w:t> </w:t>
            </w:r>
            <w:r>
              <w:rPr>
                <w:sz w:val="14"/>
              </w:rPr>
              <w:t>Club</w:t>
            </w:r>
            <w:r>
              <w:rPr>
                <w:spacing w:val="-5"/>
                <w:sz w:val="14"/>
              </w:rPr>
              <w:t> </w:t>
            </w:r>
            <w:r>
              <w:rPr>
                <w:spacing w:val="-2"/>
                <w:sz w:val="14"/>
              </w:rPr>
              <w:t>Casual</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26.00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7.1</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Health</w:t>
            </w:r>
            <w:r>
              <w:rPr>
                <w:spacing w:val="-5"/>
                <w:sz w:val="14"/>
              </w:rPr>
              <w:t> </w:t>
            </w:r>
            <w:r>
              <w:rPr>
                <w:sz w:val="14"/>
              </w:rPr>
              <w:t>Club</w:t>
            </w:r>
            <w:r>
              <w:rPr>
                <w:spacing w:val="-5"/>
                <w:sz w:val="14"/>
              </w:rPr>
              <w:t> </w:t>
            </w:r>
            <w:r>
              <w:rPr>
                <w:sz w:val="14"/>
              </w:rPr>
              <w:t>Casual</w:t>
            </w:r>
            <w:r>
              <w:rPr>
                <w:spacing w:val="-4"/>
                <w:sz w:val="14"/>
              </w:rPr>
              <w:t> </w:t>
            </w:r>
            <w:r>
              <w:rPr>
                <w:spacing w:val="-2"/>
                <w:sz w:val="14"/>
              </w:rPr>
              <w:t>Concession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22.10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23.80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7.1</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Health</w:t>
            </w:r>
            <w:r>
              <w:rPr>
                <w:spacing w:val="-5"/>
                <w:sz w:val="14"/>
              </w:rPr>
              <w:t> </w:t>
            </w:r>
            <w:r>
              <w:rPr>
                <w:sz w:val="14"/>
              </w:rPr>
              <w:t>Club</w:t>
            </w:r>
            <w:r>
              <w:rPr>
                <w:spacing w:val="-5"/>
                <w:sz w:val="14"/>
              </w:rPr>
              <w:t> </w:t>
            </w:r>
            <w:r>
              <w:rPr>
                <w:sz w:val="14"/>
              </w:rPr>
              <w:t>Casual</w:t>
            </w:r>
            <w:r>
              <w:rPr>
                <w:spacing w:val="-4"/>
                <w:sz w:val="14"/>
              </w:rPr>
              <w:t> </w:t>
            </w:r>
            <w:r>
              <w:rPr>
                <w:spacing w:val="-2"/>
                <w:sz w:val="14"/>
              </w:rPr>
              <w:t>Senior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23.40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25.20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7.1</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Health</w:t>
            </w:r>
            <w:r>
              <w:rPr>
                <w:spacing w:val="-5"/>
                <w:sz w:val="14"/>
              </w:rPr>
              <w:t> </w:t>
            </w:r>
            <w:r>
              <w:rPr>
                <w:sz w:val="14"/>
              </w:rPr>
              <w:t>Club</w:t>
            </w:r>
            <w:r>
              <w:rPr>
                <w:spacing w:val="-5"/>
                <w:sz w:val="14"/>
              </w:rPr>
              <w:t> </w:t>
            </w:r>
            <w:r>
              <w:rPr>
                <w:sz w:val="14"/>
              </w:rPr>
              <w:t>Casual</w:t>
            </w:r>
            <w:r>
              <w:rPr>
                <w:spacing w:val="-4"/>
                <w:sz w:val="14"/>
              </w:rPr>
              <w:t> Teen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20.80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22.40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7.1</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Aquahub</w:t>
            </w:r>
            <w:r>
              <w:rPr>
                <w:b/>
                <w:spacing w:val="-6"/>
                <w:sz w:val="14"/>
              </w:rPr>
              <w:t> </w:t>
            </w:r>
            <w:r>
              <w:rPr>
                <w:b/>
                <w:sz w:val="14"/>
              </w:rPr>
              <w:t>-</w:t>
            </w:r>
            <w:r>
              <w:rPr>
                <w:b/>
                <w:spacing w:val="-2"/>
                <w:sz w:val="14"/>
              </w:rPr>
              <w:t> </w:t>
            </w:r>
            <w:r>
              <w:rPr>
                <w:b/>
                <w:sz w:val="14"/>
              </w:rPr>
              <w:t>Personal</w:t>
            </w:r>
            <w:r>
              <w:rPr>
                <w:b/>
                <w:spacing w:val="-5"/>
                <w:sz w:val="14"/>
              </w:rPr>
              <w:t> </w:t>
            </w:r>
            <w:r>
              <w:rPr>
                <w:b/>
                <w:spacing w:val="-2"/>
                <w:sz w:val="14"/>
              </w:rPr>
              <w:t>Training</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10</w:t>
            </w:r>
            <w:r>
              <w:rPr>
                <w:spacing w:val="-4"/>
                <w:sz w:val="14"/>
              </w:rPr>
              <w:t> </w:t>
            </w:r>
            <w:r>
              <w:rPr>
                <w:sz w:val="14"/>
              </w:rPr>
              <w:t>Pass</w:t>
            </w:r>
            <w:r>
              <w:rPr>
                <w:spacing w:val="-4"/>
                <w:sz w:val="14"/>
              </w:rPr>
              <w:t> </w:t>
            </w:r>
            <w:r>
              <w:rPr>
                <w:sz w:val="14"/>
              </w:rPr>
              <w:t>30mins</w:t>
            </w:r>
            <w:r>
              <w:rPr>
                <w:spacing w:val="-1"/>
                <w:sz w:val="14"/>
              </w:rPr>
              <w:t> </w:t>
            </w:r>
            <w:r>
              <w:rPr>
                <w:sz w:val="14"/>
              </w:rPr>
              <w:t>1:1</w:t>
            </w:r>
            <w:r>
              <w:rPr>
                <w:spacing w:val="-2"/>
                <w:sz w:val="14"/>
              </w:rPr>
              <w:t> </w:t>
            </w:r>
            <w:r>
              <w:rPr>
                <w:sz w:val="14"/>
              </w:rPr>
              <w:t>(1</w:t>
            </w:r>
            <w:r>
              <w:rPr>
                <w:spacing w:val="-2"/>
                <w:sz w:val="14"/>
              </w:rPr>
              <w:t> </w:t>
            </w:r>
            <w:r>
              <w:rPr>
                <w:sz w:val="14"/>
              </w:rPr>
              <w:t>free</w:t>
            </w:r>
            <w:r>
              <w:rPr>
                <w:spacing w:val="-2"/>
                <w:sz w:val="14"/>
              </w:rPr>
              <w:t> session)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481.50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3"/>
              <w:jc w:val="right"/>
              <w:rPr>
                <w:sz w:val="14"/>
              </w:rPr>
            </w:pPr>
            <w:r>
              <w:rPr>
                <w:spacing w:val="-2"/>
                <w:sz w:val="14"/>
              </w:rPr>
              <w:t>504.90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10</w:t>
            </w:r>
            <w:r>
              <w:rPr>
                <w:spacing w:val="-4"/>
                <w:sz w:val="14"/>
              </w:rPr>
              <w:t> </w:t>
            </w:r>
            <w:r>
              <w:rPr>
                <w:sz w:val="14"/>
              </w:rPr>
              <w:t>Pass</w:t>
            </w:r>
            <w:r>
              <w:rPr>
                <w:spacing w:val="-4"/>
                <w:sz w:val="14"/>
              </w:rPr>
              <w:t> </w:t>
            </w:r>
            <w:r>
              <w:rPr>
                <w:sz w:val="14"/>
              </w:rPr>
              <w:t>45mins</w:t>
            </w:r>
            <w:r>
              <w:rPr>
                <w:spacing w:val="-1"/>
                <w:sz w:val="14"/>
              </w:rPr>
              <w:t> </w:t>
            </w:r>
            <w:r>
              <w:rPr>
                <w:sz w:val="14"/>
              </w:rPr>
              <w:t>1:1</w:t>
            </w:r>
            <w:r>
              <w:rPr>
                <w:spacing w:val="-2"/>
                <w:sz w:val="14"/>
              </w:rPr>
              <w:t> </w:t>
            </w:r>
            <w:r>
              <w:rPr>
                <w:sz w:val="14"/>
              </w:rPr>
              <w:t>(1</w:t>
            </w:r>
            <w:r>
              <w:rPr>
                <w:spacing w:val="-2"/>
                <w:sz w:val="14"/>
              </w:rPr>
              <w:t> </w:t>
            </w:r>
            <w:r>
              <w:rPr>
                <w:sz w:val="14"/>
              </w:rPr>
              <w:t>free</w:t>
            </w:r>
            <w:r>
              <w:rPr>
                <w:spacing w:val="-2"/>
                <w:sz w:val="14"/>
              </w:rPr>
              <w:t> session)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625.50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657.00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10</w:t>
            </w:r>
            <w:r>
              <w:rPr>
                <w:spacing w:val="-4"/>
                <w:sz w:val="14"/>
              </w:rPr>
              <w:t> </w:t>
            </w:r>
            <w:r>
              <w:rPr>
                <w:sz w:val="14"/>
              </w:rPr>
              <w:t>Pass</w:t>
            </w:r>
            <w:r>
              <w:rPr>
                <w:spacing w:val="-4"/>
                <w:sz w:val="14"/>
              </w:rPr>
              <w:t> </w:t>
            </w:r>
            <w:r>
              <w:rPr>
                <w:sz w:val="14"/>
              </w:rPr>
              <w:t>60mins</w:t>
            </w:r>
            <w:r>
              <w:rPr>
                <w:spacing w:val="-1"/>
                <w:sz w:val="14"/>
              </w:rPr>
              <w:t> </w:t>
            </w:r>
            <w:r>
              <w:rPr>
                <w:sz w:val="14"/>
              </w:rPr>
              <w:t>1:1</w:t>
            </w:r>
            <w:r>
              <w:rPr>
                <w:spacing w:val="-2"/>
                <w:sz w:val="14"/>
              </w:rPr>
              <w:t> </w:t>
            </w:r>
            <w:r>
              <w:rPr>
                <w:sz w:val="14"/>
              </w:rPr>
              <w:t>(1</w:t>
            </w:r>
            <w:r>
              <w:rPr>
                <w:spacing w:val="-2"/>
                <w:sz w:val="14"/>
              </w:rPr>
              <w:t> </w:t>
            </w:r>
            <w:r>
              <w:rPr>
                <w:sz w:val="14"/>
              </w:rPr>
              <w:t>free</w:t>
            </w:r>
            <w:r>
              <w:rPr>
                <w:spacing w:val="-2"/>
                <w:sz w:val="14"/>
              </w:rPr>
              <w:t> session)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750.60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787.50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30mins</w:t>
            </w:r>
            <w:r>
              <w:rPr>
                <w:spacing w:val="-5"/>
                <w:sz w:val="14"/>
              </w:rPr>
              <w:t> 1:1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53.50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56.10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45mins</w:t>
            </w:r>
            <w:r>
              <w:rPr>
                <w:spacing w:val="-5"/>
                <w:sz w:val="14"/>
              </w:rPr>
              <w:t> 1:1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69.50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73.00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60mins</w:t>
            </w:r>
            <w:r>
              <w:rPr>
                <w:spacing w:val="-5"/>
                <w:sz w:val="14"/>
              </w:rPr>
              <w:t> 1:1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83.40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87.50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Start</w:t>
            </w:r>
            <w:r>
              <w:rPr>
                <w:spacing w:val="-2"/>
                <w:sz w:val="14"/>
              </w:rPr>
              <w:t> </w:t>
            </w:r>
            <w:r>
              <w:rPr>
                <w:sz w:val="14"/>
              </w:rPr>
              <w:t>Up</w:t>
            </w:r>
            <w:r>
              <w:rPr>
                <w:spacing w:val="-5"/>
                <w:sz w:val="14"/>
              </w:rPr>
              <w:t> </w:t>
            </w:r>
            <w:r>
              <w:rPr>
                <w:sz w:val="14"/>
              </w:rPr>
              <w:t>Trial</w:t>
            </w:r>
            <w:r>
              <w:rPr>
                <w:spacing w:val="-2"/>
                <w:sz w:val="14"/>
              </w:rPr>
              <w:t> </w:t>
            </w:r>
            <w:r>
              <w:rPr>
                <w:sz w:val="14"/>
              </w:rPr>
              <w:t>- 3</w:t>
            </w:r>
            <w:r>
              <w:rPr>
                <w:spacing w:val="-4"/>
                <w:sz w:val="14"/>
              </w:rPr>
              <w:t> </w:t>
            </w:r>
            <w:r>
              <w:rPr>
                <w:sz w:val="14"/>
              </w:rPr>
              <w:t>sessions</w:t>
            </w:r>
            <w:r>
              <w:rPr>
                <w:spacing w:val="-1"/>
                <w:sz w:val="14"/>
              </w:rPr>
              <w:t> </w:t>
            </w:r>
            <w:r>
              <w:rPr>
                <w:spacing w:val="-2"/>
                <w:sz w:val="14"/>
              </w:rPr>
              <w:t>(30mins)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99.00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99.00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Non-Membership</w:t>
            </w:r>
            <w:r>
              <w:rPr>
                <w:spacing w:val="-3"/>
                <w:sz w:val="14"/>
              </w:rPr>
              <w:t> </w:t>
            </w:r>
            <w:r>
              <w:rPr>
                <w:sz w:val="14"/>
              </w:rPr>
              <w:t>30</w:t>
            </w:r>
            <w:r>
              <w:rPr>
                <w:spacing w:val="-6"/>
                <w:sz w:val="14"/>
              </w:rPr>
              <w:t> </w:t>
            </w:r>
            <w:r>
              <w:rPr>
                <w:sz w:val="14"/>
              </w:rPr>
              <w:t>mins</w:t>
            </w:r>
            <w:r>
              <w:rPr>
                <w:spacing w:val="-3"/>
                <w:sz w:val="14"/>
              </w:rPr>
              <w:t> </w:t>
            </w:r>
            <w:r>
              <w:rPr>
                <w:sz w:val="14"/>
              </w:rPr>
              <w:t>-</w:t>
            </w:r>
            <w:r>
              <w:rPr>
                <w:spacing w:val="-5"/>
                <w:sz w:val="14"/>
              </w:rPr>
              <w:t> 1:1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61.80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64.80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Non-Membership</w:t>
            </w:r>
            <w:r>
              <w:rPr>
                <w:spacing w:val="-3"/>
                <w:sz w:val="14"/>
              </w:rPr>
              <w:t> </w:t>
            </w:r>
            <w:r>
              <w:rPr>
                <w:sz w:val="14"/>
              </w:rPr>
              <w:t>60</w:t>
            </w:r>
            <w:r>
              <w:rPr>
                <w:spacing w:val="-6"/>
                <w:sz w:val="14"/>
              </w:rPr>
              <w:t> </w:t>
            </w:r>
            <w:r>
              <w:rPr>
                <w:sz w:val="14"/>
              </w:rPr>
              <w:t>mins</w:t>
            </w:r>
            <w:r>
              <w:rPr>
                <w:spacing w:val="-3"/>
                <w:sz w:val="14"/>
              </w:rPr>
              <w:t> </w:t>
            </w:r>
            <w:r>
              <w:rPr>
                <w:sz w:val="14"/>
              </w:rPr>
              <w:t>-</w:t>
            </w:r>
            <w:r>
              <w:rPr>
                <w:spacing w:val="-5"/>
                <w:sz w:val="14"/>
              </w:rPr>
              <w:t> 1:1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95.80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100.00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4.2</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Membership</w:t>
            </w:r>
            <w:r>
              <w:rPr>
                <w:spacing w:val="-2"/>
                <w:sz w:val="14"/>
              </w:rPr>
              <w:t> </w:t>
            </w:r>
            <w:r>
              <w:rPr>
                <w:sz w:val="14"/>
              </w:rPr>
              <w:t>30</w:t>
            </w:r>
            <w:r>
              <w:rPr>
                <w:spacing w:val="-5"/>
                <w:sz w:val="14"/>
              </w:rPr>
              <w:t> </w:t>
            </w:r>
            <w:r>
              <w:rPr>
                <w:sz w:val="14"/>
              </w:rPr>
              <w:t>mins</w:t>
            </w:r>
            <w:r>
              <w:rPr>
                <w:spacing w:val="-3"/>
                <w:sz w:val="14"/>
              </w:rPr>
              <w:t> </w:t>
            </w:r>
            <w:r>
              <w:rPr>
                <w:sz w:val="14"/>
              </w:rPr>
              <w:t>-</w:t>
            </w:r>
            <w:r>
              <w:rPr>
                <w:spacing w:val="-2"/>
                <w:sz w:val="14"/>
              </w:rPr>
              <w:t> </w:t>
            </w:r>
            <w:r>
              <w:rPr>
                <w:spacing w:val="-5"/>
                <w:sz w:val="14"/>
              </w:rPr>
              <w:t>2:1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73.10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76.70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Membership</w:t>
            </w:r>
            <w:r>
              <w:rPr>
                <w:spacing w:val="-2"/>
                <w:sz w:val="14"/>
              </w:rPr>
              <w:t> </w:t>
            </w:r>
            <w:r>
              <w:rPr>
                <w:sz w:val="14"/>
              </w:rPr>
              <w:t>60</w:t>
            </w:r>
            <w:r>
              <w:rPr>
                <w:spacing w:val="-5"/>
                <w:sz w:val="14"/>
              </w:rPr>
              <w:t> </w:t>
            </w:r>
            <w:r>
              <w:rPr>
                <w:sz w:val="14"/>
              </w:rPr>
              <w:t>mins</w:t>
            </w:r>
            <w:r>
              <w:rPr>
                <w:spacing w:val="-3"/>
                <w:sz w:val="14"/>
              </w:rPr>
              <w:t> </w:t>
            </w:r>
            <w:r>
              <w:rPr>
                <w:sz w:val="14"/>
              </w:rPr>
              <w:t>-</w:t>
            </w:r>
            <w:r>
              <w:rPr>
                <w:spacing w:val="-2"/>
                <w:sz w:val="14"/>
              </w:rPr>
              <w:t> </w:t>
            </w:r>
            <w:r>
              <w:rPr>
                <w:spacing w:val="-5"/>
                <w:sz w:val="14"/>
              </w:rPr>
              <w:t>2:1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102.00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107.00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Non-Membership</w:t>
            </w:r>
            <w:r>
              <w:rPr>
                <w:spacing w:val="-3"/>
                <w:sz w:val="14"/>
              </w:rPr>
              <w:t> </w:t>
            </w:r>
            <w:r>
              <w:rPr>
                <w:sz w:val="14"/>
              </w:rPr>
              <w:t>30</w:t>
            </w:r>
            <w:r>
              <w:rPr>
                <w:spacing w:val="-6"/>
                <w:sz w:val="14"/>
              </w:rPr>
              <w:t> </w:t>
            </w:r>
            <w:r>
              <w:rPr>
                <w:sz w:val="14"/>
              </w:rPr>
              <w:t>mins</w:t>
            </w:r>
            <w:r>
              <w:rPr>
                <w:spacing w:val="-3"/>
                <w:sz w:val="14"/>
              </w:rPr>
              <w:t> </w:t>
            </w:r>
            <w:r>
              <w:rPr>
                <w:sz w:val="14"/>
              </w:rPr>
              <w:t>-</w:t>
            </w:r>
            <w:r>
              <w:rPr>
                <w:spacing w:val="-5"/>
                <w:sz w:val="14"/>
              </w:rPr>
              <w:t> 2:1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83.40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87.50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Non-Membership</w:t>
            </w:r>
            <w:r>
              <w:rPr>
                <w:spacing w:val="-3"/>
                <w:sz w:val="14"/>
              </w:rPr>
              <w:t> </w:t>
            </w:r>
            <w:r>
              <w:rPr>
                <w:sz w:val="14"/>
              </w:rPr>
              <w:t>60</w:t>
            </w:r>
            <w:r>
              <w:rPr>
                <w:spacing w:val="-6"/>
                <w:sz w:val="14"/>
              </w:rPr>
              <w:t> </w:t>
            </w:r>
            <w:r>
              <w:rPr>
                <w:sz w:val="14"/>
              </w:rPr>
              <w:t>mins</w:t>
            </w:r>
            <w:r>
              <w:rPr>
                <w:spacing w:val="-3"/>
                <w:sz w:val="14"/>
              </w:rPr>
              <w:t> </w:t>
            </w:r>
            <w:r>
              <w:rPr>
                <w:sz w:val="14"/>
              </w:rPr>
              <w:t>-</w:t>
            </w:r>
            <w:r>
              <w:rPr>
                <w:spacing w:val="-5"/>
                <w:sz w:val="14"/>
              </w:rPr>
              <w:t> 2:1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112.30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3"/>
              <w:jc w:val="right"/>
              <w:rPr>
                <w:sz w:val="14"/>
              </w:rPr>
            </w:pPr>
            <w:r>
              <w:rPr>
                <w:spacing w:val="-2"/>
                <w:sz w:val="14"/>
              </w:rPr>
              <w:t>117.90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Membership</w:t>
            </w:r>
            <w:r>
              <w:rPr>
                <w:spacing w:val="-1"/>
                <w:sz w:val="14"/>
              </w:rPr>
              <w:t> </w:t>
            </w:r>
            <w:r>
              <w:rPr>
                <w:sz w:val="14"/>
              </w:rPr>
              <w:t>10</w:t>
            </w:r>
            <w:r>
              <w:rPr>
                <w:spacing w:val="-3"/>
                <w:sz w:val="14"/>
              </w:rPr>
              <w:t> </w:t>
            </w:r>
            <w:r>
              <w:rPr>
                <w:sz w:val="14"/>
              </w:rPr>
              <w:t>pass</w:t>
            </w:r>
            <w:r>
              <w:rPr>
                <w:spacing w:val="-4"/>
                <w:sz w:val="14"/>
              </w:rPr>
              <w:t> </w:t>
            </w:r>
            <w:r>
              <w:rPr>
                <w:sz w:val="14"/>
              </w:rPr>
              <w:t>30</w:t>
            </w:r>
            <w:r>
              <w:rPr>
                <w:spacing w:val="-5"/>
                <w:sz w:val="14"/>
              </w:rPr>
              <w:t> </w:t>
            </w:r>
            <w:r>
              <w:rPr>
                <w:sz w:val="14"/>
              </w:rPr>
              <w:t>mins</w:t>
            </w:r>
            <w:r>
              <w:rPr>
                <w:spacing w:val="-1"/>
                <w:sz w:val="14"/>
              </w:rPr>
              <w:t> </w:t>
            </w:r>
            <w:r>
              <w:rPr>
                <w:sz w:val="14"/>
              </w:rPr>
              <w:t>-</w:t>
            </w:r>
            <w:r>
              <w:rPr>
                <w:spacing w:val="-5"/>
                <w:sz w:val="14"/>
              </w:rPr>
              <w:t> 1:1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481.50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504.90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Membership</w:t>
            </w:r>
            <w:r>
              <w:rPr>
                <w:spacing w:val="-1"/>
                <w:sz w:val="14"/>
              </w:rPr>
              <w:t> </w:t>
            </w:r>
            <w:r>
              <w:rPr>
                <w:sz w:val="14"/>
              </w:rPr>
              <w:t>10</w:t>
            </w:r>
            <w:r>
              <w:rPr>
                <w:spacing w:val="-3"/>
                <w:sz w:val="14"/>
              </w:rPr>
              <w:t> </w:t>
            </w:r>
            <w:r>
              <w:rPr>
                <w:sz w:val="14"/>
              </w:rPr>
              <w:t>pass</w:t>
            </w:r>
            <w:r>
              <w:rPr>
                <w:spacing w:val="-4"/>
                <w:sz w:val="14"/>
              </w:rPr>
              <w:t> </w:t>
            </w:r>
            <w:r>
              <w:rPr>
                <w:sz w:val="14"/>
              </w:rPr>
              <w:t>60</w:t>
            </w:r>
            <w:r>
              <w:rPr>
                <w:spacing w:val="-5"/>
                <w:sz w:val="14"/>
              </w:rPr>
              <w:t> </w:t>
            </w:r>
            <w:r>
              <w:rPr>
                <w:sz w:val="14"/>
              </w:rPr>
              <w:t>mins</w:t>
            </w:r>
            <w:r>
              <w:rPr>
                <w:spacing w:val="-1"/>
                <w:sz w:val="14"/>
              </w:rPr>
              <w:t> </w:t>
            </w:r>
            <w:r>
              <w:rPr>
                <w:sz w:val="14"/>
              </w:rPr>
              <w:t>-</w:t>
            </w:r>
            <w:r>
              <w:rPr>
                <w:spacing w:val="-5"/>
                <w:sz w:val="14"/>
              </w:rPr>
              <w:t> 1:1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750.60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787.50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Non-Membership</w:t>
            </w:r>
            <w:r>
              <w:rPr>
                <w:spacing w:val="-3"/>
                <w:sz w:val="14"/>
              </w:rPr>
              <w:t> </w:t>
            </w:r>
            <w:r>
              <w:rPr>
                <w:sz w:val="14"/>
              </w:rPr>
              <w:t>10</w:t>
            </w:r>
            <w:r>
              <w:rPr>
                <w:spacing w:val="-5"/>
                <w:sz w:val="14"/>
              </w:rPr>
              <w:t> </w:t>
            </w:r>
            <w:r>
              <w:rPr>
                <w:sz w:val="14"/>
              </w:rPr>
              <w:t>pass</w:t>
            </w:r>
            <w:r>
              <w:rPr>
                <w:spacing w:val="-3"/>
                <w:sz w:val="14"/>
              </w:rPr>
              <w:t> </w:t>
            </w:r>
            <w:r>
              <w:rPr>
                <w:sz w:val="14"/>
              </w:rPr>
              <w:t>30</w:t>
            </w:r>
            <w:r>
              <w:rPr>
                <w:spacing w:val="-4"/>
                <w:sz w:val="14"/>
              </w:rPr>
              <w:t> </w:t>
            </w:r>
            <w:r>
              <w:rPr>
                <w:sz w:val="14"/>
              </w:rPr>
              <w:t>mins</w:t>
            </w:r>
            <w:r>
              <w:rPr>
                <w:spacing w:val="-2"/>
                <w:sz w:val="14"/>
              </w:rPr>
              <w:t> </w:t>
            </w:r>
            <w:r>
              <w:rPr>
                <w:sz w:val="14"/>
              </w:rPr>
              <w:t>-</w:t>
            </w:r>
            <w:r>
              <w:rPr>
                <w:spacing w:val="-3"/>
                <w:sz w:val="14"/>
              </w:rPr>
              <w:t> </w:t>
            </w:r>
            <w:r>
              <w:rPr>
                <w:spacing w:val="-5"/>
                <w:sz w:val="14"/>
              </w:rPr>
              <w:t>1:1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556.20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583.20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Non-Membership</w:t>
            </w:r>
            <w:r>
              <w:rPr>
                <w:spacing w:val="-3"/>
                <w:sz w:val="14"/>
              </w:rPr>
              <w:t> </w:t>
            </w:r>
            <w:r>
              <w:rPr>
                <w:sz w:val="14"/>
              </w:rPr>
              <w:t>10</w:t>
            </w:r>
            <w:r>
              <w:rPr>
                <w:spacing w:val="-5"/>
                <w:sz w:val="14"/>
              </w:rPr>
              <w:t> </w:t>
            </w:r>
            <w:r>
              <w:rPr>
                <w:sz w:val="14"/>
              </w:rPr>
              <w:t>pass</w:t>
            </w:r>
            <w:r>
              <w:rPr>
                <w:spacing w:val="-3"/>
                <w:sz w:val="14"/>
              </w:rPr>
              <w:t> </w:t>
            </w:r>
            <w:r>
              <w:rPr>
                <w:sz w:val="14"/>
              </w:rPr>
              <w:t>60</w:t>
            </w:r>
            <w:r>
              <w:rPr>
                <w:spacing w:val="-4"/>
                <w:sz w:val="14"/>
              </w:rPr>
              <w:t> </w:t>
            </w:r>
            <w:r>
              <w:rPr>
                <w:sz w:val="14"/>
              </w:rPr>
              <w:t>mins</w:t>
            </w:r>
            <w:r>
              <w:rPr>
                <w:spacing w:val="-2"/>
                <w:sz w:val="14"/>
              </w:rPr>
              <w:t> </w:t>
            </w:r>
            <w:r>
              <w:rPr>
                <w:sz w:val="14"/>
              </w:rPr>
              <w:t>-</w:t>
            </w:r>
            <w:r>
              <w:rPr>
                <w:spacing w:val="-3"/>
                <w:sz w:val="14"/>
              </w:rPr>
              <w:t> </w:t>
            </w:r>
            <w:r>
              <w:rPr>
                <w:spacing w:val="-5"/>
                <w:sz w:val="14"/>
              </w:rPr>
              <w:t>1:1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862.20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900.00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4.2</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Membership</w:t>
            </w:r>
            <w:r>
              <w:rPr>
                <w:spacing w:val="-1"/>
                <w:sz w:val="14"/>
              </w:rPr>
              <w:t> </w:t>
            </w:r>
            <w:r>
              <w:rPr>
                <w:sz w:val="14"/>
              </w:rPr>
              <w:t>10</w:t>
            </w:r>
            <w:r>
              <w:rPr>
                <w:spacing w:val="-3"/>
                <w:sz w:val="14"/>
              </w:rPr>
              <w:t> </w:t>
            </w:r>
            <w:r>
              <w:rPr>
                <w:sz w:val="14"/>
              </w:rPr>
              <w:t>pass</w:t>
            </w:r>
            <w:r>
              <w:rPr>
                <w:spacing w:val="-4"/>
                <w:sz w:val="14"/>
              </w:rPr>
              <w:t> </w:t>
            </w:r>
            <w:r>
              <w:rPr>
                <w:sz w:val="14"/>
              </w:rPr>
              <w:t>30</w:t>
            </w:r>
            <w:r>
              <w:rPr>
                <w:spacing w:val="-5"/>
                <w:sz w:val="14"/>
              </w:rPr>
              <w:t> </w:t>
            </w:r>
            <w:r>
              <w:rPr>
                <w:sz w:val="14"/>
              </w:rPr>
              <w:t>mins</w:t>
            </w:r>
            <w:r>
              <w:rPr>
                <w:spacing w:val="-1"/>
                <w:sz w:val="14"/>
              </w:rPr>
              <w:t> </w:t>
            </w:r>
            <w:r>
              <w:rPr>
                <w:sz w:val="14"/>
              </w:rPr>
              <w:t>-</w:t>
            </w:r>
            <w:r>
              <w:rPr>
                <w:spacing w:val="-5"/>
                <w:sz w:val="14"/>
              </w:rPr>
              <w:t> 2:1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657.90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690.30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Membership</w:t>
            </w:r>
            <w:r>
              <w:rPr>
                <w:spacing w:val="-1"/>
                <w:sz w:val="14"/>
              </w:rPr>
              <w:t> </w:t>
            </w:r>
            <w:r>
              <w:rPr>
                <w:sz w:val="14"/>
              </w:rPr>
              <w:t>10</w:t>
            </w:r>
            <w:r>
              <w:rPr>
                <w:spacing w:val="-3"/>
                <w:sz w:val="14"/>
              </w:rPr>
              <w:t> </w:t>
            </w:r>
            <w:r>
              <w:rPr>
                <w:sz w:val="14"/>
              </w:rPr>
              <w:t>pass</w:t>
            </w:r>
            <w:r>
              <w:rPr>
                <w:spacing w:val="-4"/>
                <w:sz w:val="14"/>
              </w:rPr>
              <w:t> </w:t>
            </w:r>
            <w:r>
              <w:rPr>
                <w:sz w:val="14"/>
              </w:rPr>
              <w:t>60</w:t>
            </w:r>
            <w:r>
              <w:rPr>
                <w:spacing w:val="-5"/>
                <w:sz w:val="14"/>
              </w:rPr>
              <w:t> </w:t>
            </w:r>
            <w:r>
              <w:rPr>
                <w:sz w:val="14"/>
              </w:rPr>
              <w:t>mins</w:t>
            </w:r>
            <w:r>
              <w:rPr>
                <w:spacing w:val="-1"/>
                <w:sz w:val="14"/>
              </w:rPr>
              <w:t> </w:t>
            </w:r>
            <w:r>
              <w:rPr>
                <w:sz w:val="14"/>
              </w:rPr>
              <w:t>-</w:t>
            </w:r>
            <w:r>
              <w:rPr>
                <w:spacing w:val="-5"/>
                <w:sz w:val="14"/>
              </w:rPr>
              <w:t> 2:1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918.00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3"/>
              <w:jc w:val="right"/>
              <w:rPr>
                <w:sz w:val="14"/>
              </w:rPr>
            </w:pPr>
            <w:r>
              <w:rPr>
                <w:spacing w:val="-2"/>
                <w:sz w:val="14"/>
              </w:rPr>
              <w:t>963.00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Non-Membership</w:t>
            </w:r>
            <w:r>
              <w:rPr>
                <w:spacing w:val="-3"/>
                <w:sz w:val="14"/>
              </w:rPr>
              <w:t> </w:t>
            </w:r>
            <w:r>
              <w:rPr>
                <w:sz w:val="14"/>
              </w:rPr>
              <w:t>10</w:t>
            </w:r>
            <w:r>
              <w:rPr>
                <w:spacing w:val="-5"/>
                <w:sz w:val="14"/>
              </w:rPr>
              <w:t> </w:t>
            </w:r>
            <w:r>
              <w:rPr>
                <w:sz w:val="14"/>
              </w:rPr>
              <w:t>pass</w:t>
            </w:r>
            <w:r>
              <w:rPr>
                <w:spacing w:val="-3"/>
                <w:sz w:val="14"/>
              </w:rPr>
              <w:t> </w:t>
            </w:r>
            <w:r>
              <w:rPr>
                <w:sz w:val="14"/>
              </w:rPr>
              <w:t>30</w:t>
            </w:r>
            <w:r>
              <w:rPr>
                <w:spacing w:val="-4"/>
                <w:sz w:val="14"/>
              </w:rPr>
              <w:t> </w:t>
            </w:r>
            <w:r>
              <w:rPr>
                <w:sz w:val="14"/>
              </w:rPr>
              <w:t>mins</w:t>
            </w:r>
            <w:r>
              <w:rPr>
                <w:spacing w:val="-2"/>
                <w:sz w:val="14"/>
              </w:rPr>
              <w:t> </w:t>
            </w:r>
            <w:r>
              <w:rPr>
                <w:sz w:val="14"/>
              </w:rPr>
              <w:t>-</w:t>
            </w:r>
            <w:r>
              <w:rPr>
                <w:spacing w:val="-3"/>
                <w:sz w:val="14"/>
              </w:rPr>
              <w:t> </w:t>
            </w:r>
            <w:r>
              <w:rPr>
                <w:spacing w:val="-5"/>
                <w:sz w:val="14"/>
              </w:rPr>
              <w:t>2:1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750.60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787.50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Non-Membership</w:t>
            </w:r>
            <w:r>
              <w:rPr>
                <w:spacing w:val="-3"/>
                <w:sz w:val="14"/>
              </w:rPr>
              <w:t> </w:t>
            </w:r>
            <w:r>
              <w:rPr>
                <w:sz w:val="14"/>
              </w:rPr>
              <w:t>10</w:t>
            </w:r>
            <w:r>
              <w:rPr>
                <w:spacing w:val="-5"/>
                <w:sz w:val="14"/>
              </w:rPr>
              <w:t> </w:t>
            </w:r>
            <w:r>
              <w:rPr>
                <w:sz w:val="14"/>
              </w:rPr>
              <w:t>pass</w:t>
            </w:r>
            <w:r>
              <w:rPr>
                <w:spacing w:val="-3"/>
                <w:sz w:val="14"/>
              </w:rPr>
              <w:t> </w:t>
            </w:r>
            <w:r>
              <w:rPr>
                <w:sz w:val="14"/>
              </w:rPr>
              <w:t>60</w:t>
            </w:r>
            <w:r>
              <w:rPr>
                <w:spacing w:val="-4"/>
                <w:sz w:val="14"/>
              </w:rPr>
              <w:t> </w:t>
            </w:r>
            <w:r>
              <w:rPr>
                <w:sz w:val="14"/>
              </w:rPr>
              <w:t>mins</w:t>
            </w:r>
            <w:r>
              <w:rPr>
                <w:spacing w:val="-2"/>
                <w:sz w:val="14"/>
              </w:rPr>
              <w:t> </w:t>
            </w:r>
            <w:r>
              <w:rPr>
                <w:sz w:val="14"/>
              </w:rPr>
              <w:t>-</w:t>
            </w:r>
            <w:r>
              <w:rPr>
                <w:spacing w:val="-3"/>
                <w:sz w:val="14"/>
              </w:rPr>
              <w:t> </w:t>
            </w:r>
            <w:r>
              <w:rPr>
                <w:spacing w:val="-5"/>
                <w:sz w:val="14"/>
              </w:rPr>
              <w:t>2:1</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1,010.70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1,061.10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Aquahub</w:t>
            </w:r>
            <w:r>
              <w:rPr>
                <w:b/>
                <w:spacing w:val="-5"/>
                <w:sz w:val="14"/>
              </w:rPr>
              <w:t> </w:t>
            </w:r>
            <w:r>
              <w:rPr>
                <w:b/>
                <w:sz w:val="14"/>
              </w:rPr>
              <w:t>-</w:t>
            </w:r>
            <w:r>
              <w:rPr>
                <w:b/>
                <w:spacing w:val="-2"/>
                <w:sz w:val="14"/>
              </w:rPr>
              <w:t> </w:t>
            </w:r>
            <w:r>
              <w:rPr>
                <w:b/>
                <w:sz w:val="14"/>
              </w:rPr>
              <w:t>Active</w:t>
            </w:r>
            <w:r>
              <w:rPr>
                <w:b/>
                <w:spacing w:val="-5"/>
                <w:sz w:val="14"/>
              </w:rPr>
              <w:t> </w:t>
            </w:r>
            <w:r>
              <w:rPr>
                <w:b/>
                <w:spacing w:val="-2"/>
                <w:sz w:val="14"/>
              </w:rPr>
              <w:t>Adults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Casual</w:t>
            </w:r>
            <w:r>
              <w:rPr>
                <w:spacing w:val="-6"/>
                <w:sz w:val="14"/>
              </w:rPr>
              <w:t> </w:t>
            </w:r>
            <w:r>
              <w:rPr>
                <w:sz w:val="14"/>
              </w:rPr>
              <w:t>Active</w:t>
            </w:r>
            <w:r>
              <w:rPr>
                <w:spacing w:val="-5"/>
                <w:sz w:val="14"/>
              </w:rPr>
              <w:t> </w:t>
            </w:r>
            <w:r>
              <w:rPr>
                <w:sz w:val="14"/>
              </w:rPr>
              <w:t>Adults</w:t>
            </w:r>
            <w:r>
              <w:rPr>
                <w:spacing w:val="-3"/>
                <w:sz w:val="14"/>
              </w:rPr>
              <w:t> </w:t>
            </w:r>
            <w:r>
              <w:rPr>
                <w:spacing w:val="-2"/>
                <w:sz w:val="14"/>
              </w:rPr>
              <w:t>programs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8.00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8.40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Active</w:t>
            </w:r>
            <w:r>
              <w:rPr>
                <w:spacing w:val="-5"/>
                <w:sz w:val="14"/>
              </w:rPr>
              <w:t> </w:t>
            </w:r>
            <w:r>
              <w:rPr>
                <w:sz w:val="14"/>
              </w:rPr>
              <w:t>Adults -</w:t>
            </w:r>
            <w:r>
              <w:rPr>
                <w:spacing w:val="-4"/>
                <w:sz w:val="14"/>
              </w:rPr>
              <w:t> </w:t>
            </w:r>
            <w:r>
              <w:rPr>
                <w:sz w:val="14"/>
              </w:rPr>
              <w:t>10</w:t>
            </w:r>
            <w:r>
              <w:rPr>
                <w:spacing w:val="-4"/>
                <w:sz w:val="14"/>
              </w:rPr>
              <w:t> </w:t>
            </w:r>
            <w:r>
              <w:rPr>
                <w:sz w:val="14"/>
              </w:rPr>
              <w:t>visit</w:t>
            </w:r>
            <w:r>
              <w:rPr>
                <w:spacing w:val="-3"/>
                <w:sz w:val="14"/>
              </w:rPr>
              <w:t> </w:t>
            </w:r>
            <w:r>
              <w:rPr>
                <w:spacing w:val="-4"/>
                <w:sz w:val="14"/>
              </w:rPr>
              <w:t>pass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72.00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75.60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b/>
                <w:sz w:val="14"/>
              </w:rPr>
            </w:pPr>
            <w:r>
              <w:rPr>
                <w:b/>
                <w:sz w:val="14"/>
              </w:rPr>
              <w:t>Aquahub</w:t>
            </w:r>
            <w:r>
              <w:rPr>
                <w:b/>
                <w:spacing w:val="-5"/>
                <w:sz w:val="14"/>
              </w:rPr>
              <w:t> </w:t>
            </w:r>
            <w:r>
              <w:rPr>
                <w:b/>
                <w:sz w:val="14"/>
              </w:rPr>
              <w:t>-</w:t>
            </w:r>
            <w:r>
              <w:rPr>
                <w:b/>
                <w:spacing w:val="-2"/>
                <w:sz w:val="14"/>
              </w:rPr>
              <w:t> </w:t>
            </w:r>
            <w:r>
              <w:rPr>
                <w:b/>
                <w:sz w:val="14"/>
              </w:rPr>
              <w:t>Casual</w:t>
            </w:r>
            <w:r>
              <w:rPr>
                <w:b/>
                <w:spacing w:val="-3"/>
                <w:sz w:val="14"/>
              </w:rPr>
              <w:t> </w:t>
            </w:r>
            <w:r>
              <w:rPr>
                <w:b/>
                <w:sz w:val="14"/>
              </w:rPr>
              <w:t>Group</w:t>
            </w:r>
            <w:r>
              <w:rPr>
                <w:b/>
                <w:spacing w:val="-4"/>
                <w:sz w:val="14"/>
              </w:rPr>
              <w:t> </w:t>
            </w:r>
            <w:r>
              <w:rPr>
                <w:b/>
                <w:spacing w:val="-2"/>
                <w:sz w:val="14"/>
              </w:rPr>
              <w:t>Fitness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Water</w:t>
            </w:r>
            <w:r>
              <w:rPr>
                <w:spacing w:val="-7"/>
                <w:sz w:val="14"/>
              </w:rPr>
              <w:t> </w:t>
            </w:r>
            <w:r>
              <w:rPr>
                <w:spacing w:val="-2"/>
                <w:sz w:val="14"/>
              </w:rPr>
              <w:t>Aerobics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21.60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22.60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4.4</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Aquahub</w:t>
            </w:r>
            <w:r>
              <w:rPr>
                <w:b/>
                <w:spacing w:val="-5"/>
                <w:sz w:val="14"/>
              </w:rPr>
              <w:t> </w:t>
            </w:r>
            <w:r>
              <w:rPr>
                <w:b/>
                <w:sz w:val="14"/>
              </w:rPr>
              <w:t>-</w:t>
            </w:r>
            <w:r>
              <w:rPr>
                <w:b/>
                <w:spacing w:val="-1"/>
                <w:sz w:val="14"/>
              </w:rPr>
              <w:t> </w:t>
            </w:r>
            <w:r>
              <w:rPr>
                <w:b/>
                <w:spacing w:val="-2"/>
                <w:sz w:val="14"/>
              </w:rPr>
              <w:t>Gymnastics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Fee</w:t>
            </w:r>
            <w:r>
              <w:rPr>
                <w:spacing w:val="-6"/>
                <w:sz w:val="14"/>
              </w:rPr>
              <w:t> </w:t>
            </w:r>
            <w:r>
              <w:rPr>
                <w:spacing w:val="-2"/>
                <w:sz w:val="14"/>
              </w:rPr>
              <w:t>Registration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60.00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60.00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Fitness</w:t>
            </w:r>
            <w:r>
              <w:rPr>
                <w:spacing w:val="-5"/>
                <w:sz w:val="14"/>
              </w:rPr>
              <w:t> </w:t>
            </w:r>
            <w:r>
              <w:rPr>
                <w:sz w:val="14"/>
              </w:rPr>
              <w:t>plus</w:t>
            </w:r>
            <w:r>
              <w:rPr>
                <w:spacing w:val="-4"/>
                <w:sz w:val="14"/>
              </w:rPr>
              <w:t> teen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9.1</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Aquahub</w:t>
            </w:r>
            <w:r>
              <w:rPr>
                <w:b/>
                <w:spacing w:val="-5"/>
                <w:sz w:val="14"/>
              </w:rPr>
              <w:t> </w:t>
            </w:r>
            <w:r>
              <w:rPr>
                <w:b/>
                <w:sz w:val="14"/>
              </w:rPr>
              <w:t>-</w:t>
            </w:r>
            <w:r>
              <w:rPr>
                <w:b/>
                <w:spacing w:val="-1"/>
                <w:sz w:val="14"/>
              </w:rPr>
              <w:t> </w:t>
            </w:r>
            <w:r>
              <w:rPr>
                <w:b/>
                <w:sz w:val="14"/>
              </w:rPr>
              <w:t>Room</w:t>
            </w:r>
            <w:r>
              <w:rPr>
                <w:b/>
                <w:spacing w:val="-1"/>
                <w:sz w:val="14"/>
              </w:rPr>
              <w:t> </w:t>
            </w:r>
            <w:r>
              <w:rPr>
                <w:b/>
                <w:spacing w:val="-4"/>
                <w:sz w:val="14"/>
              </w:rPr>
              <w:t>hire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Stadium</w:t>
            </w:r>
            <w:r>
              <w:rPr>
                <w:spacing w:val="-2"/>
                <w:sz w:val="14"/>
              </w:rPr>
              <w:t> </w:t>
            </w:r>
            <w:r>
              <w:rPr>
                <w:sz w:val="14"/>
              </w:rPr>
              <w:t>hire</w:t>
            </w:r>
            <w:r>
              <w:rPr>
                <w:spacing w:val="-4"/>
                <w:sz w:val="14"/>
              </w:rPr>
              <w:t> </w:t>
            </w:r>
            <w:r>
              <w:rPr>
                <w:sz w:val="14"/>
              </w:rPr>
              <w:t>per</w:t>
            </w:r>
            <w:r>
              <w:rPr>
                <w:spacing w:val="-3"/>
                <w:sz w:val="14"/>
              </w:rPr>
              <w:t> </w:t>
            </w:r>
            <w:r>
              <w:rPr>
                <w:spacing w:val="-4"/>
                <w:sz w:val="14"/>
              </w:rPr>
              <w:t>hour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70.00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70.00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Aquahub</w:t>
            </w:r>
            <w:r>
              <w:rPr>
                <w:b/>
                <w:spacing w:val="-6"/>
                <w:sz w:val="14"/>
              </w:rPr>
              <w:t> </w:t>
            </w:r>
            <w:r>
              <w:rPr>
                <w:b/>
                <w:sz w:val="14"/>
              </w:rPr>
              <w:t>-</w:t>
            </w:r>
            <w:r>
              <w:rPr>
                <w:b/>
                <w:spacing w:val="-3"/>
                <w:sz w:val="14"/>
              </w:rPr>
              <w:t> </w:t>
            </w:r>
            <w:r>
              <w:rPr>
                <w:b/>
                <w:sz w:val="14"/>
              </w:rPr>
              <w:t>Membership</w:t>
            </w:r>
            <w:r>
              <w:rPr>
                <w:b/>
                <w:spacing w:val="-3"/>
                <w:sz w:val="14"/>
              </w:rPr>
              <w:t> </w:t>
            </w:r>
            <w:r>
              <w:rPr>
                <w:b/>
                <w:sz w:val="14"/>
              </w:rPr>
              <w:t>Joining</w:t>
            </w:r>
            <w:r>
              <w:rPr>
                <w:b/>
                <w:spacing w:val="-3"/>
                <w:sz w:val="14"/>
              </w:rPr>
              <w:t> </w:t>
            </w:r>
            <w:r>
              <w:rPr>
                <w:b/>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99.00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99.00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Aquahub</w:t>
            </w:r>
            <w:r>
              <w:rPr>
                <w:b/>
                <w:spacing w:val="-8"/>
                <w:sz w:val="14"/>
              </w:rPr>
              <w:t> </w:t>
            </w:r>
            <w:r>
              <w:rPr>
                <w:b/>
                <w:sz w:val="14"/>
              </w:rPr>
              <w:t>School</w:t>
            </w:r>
            <w:r>
              <w:rPr>
                <w:b/>
                <w:spacing w:val="-3"/>
                <w:sz w:val="14"/>
              </w:rPr>
              <w:t> </w:t>
            </w:r>
            <w:r>
              <w:rPr>
                <w:b/>
                <w:sz w:val="14"/>
              </w:rPr>
              <w:t>Lane</w:t>
            </w:r>
            <w:r>
              <w:rPr>
                <w:b/>
                <w:spacing w:val="-4"/>
                <w:sz w:val="14"/>
              </w:rPr>
              <w:t> Hire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Aquahub</w:t>
            </w:r>
            <w:r>
              <w:rPr>
                <w:b/>
                <w:spacing w:val="-6"/>
                <w:sz w:val="14"/>
              </w:rPr>
              <w:t> </w:t>
            </w:r>
            <w:r>
              <w:rPr>
                <w:b/>
                <w:sz w:val="14"/>
              </w:rPr>
              <w:t>Lane</w:t>
            </w:r>
            <w:r>
              <w:rPr>
                <w:b/>
                <w:spacing w:val="-6"/>
                <w:sz w:val="14"/>
              </w:rPr>
              <w:t> </w:t>
            </w:r>
            <w:r>
              <w:rPr>
                <w:b/>
                <w:spacing w:val="-4"/>
                <w:sz w:val="14"/>
              </w:rPr>
              <w:t>Hire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Public</w:t>
            </w:r>
            <w:r>
              <w:rPr>
                <w:spacing w:val="-2"/>
                <w:sz w:val="14"/>
              </w:rPr>
              <w:t> </w:t>
            </w:r>
            <w:r>
              <w:rPr>
                <w:sz w:val="14"/>
              </w:rPr>
              <w:t>Lane</w:t>
            </w:r>
            <w:r>
              <w:rPr>
                <w:spacing w:val="-3"/>
                <w:sz w:val="14"/>
              </w:rPr>
              <w:t> </w:t>
            </w:r>
            <w:r>
              <w:rPr>
                <w:sz w:val="14"/>
              </w:rPr>
              <w:t>Hire</w:t>
            </w:r>
            <w:r>
              <w:rPr>
                <w:spacing w:val="-3"/>
                <w:sz w:val="14"/>
              </w:rPr>
              <w:t> </w:t>
            </w:r>
            <w:r>
              <w:rPr>
                <w:sz w:val="14"/>
              </w:rPr>
              <w:t>-</w:t>
            </w:r>
            <w:r>
              <w:rPr>
                <w:spacing w:val="-3"/>
                <w:sz w:val="14"/>
              </w:rPr>
              <w:t> </w:t>
            </w:r>
            <w:r>
              <w:rPr>
                <w:spacing w:val="-4"/>
                <w:sz w:val="14"/>
              </w:rPr>
              <w:t>Peak</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45.00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47.00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4.3</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Aquahub</w:t>
            </w:r>
            <w:r>
              <w:rPr>
                <w:b/>
                <w:spacing w:val="-6"/>
                <w:sz w:val="14"/>
              </w:rPr>
              <w:t> </w:t>
            </w:r>
            <w:r>
              <w:rPr>
                <w:b/>
                <w:sz w:val="14"/>
              </w:rPr>
              <w:t>-</w:t>
            </w:r>
            <w:r>
              <w:rPr>
                <w:b/>
                <w:spacing w:val="-3"/>
                <w:sz w:val="14"/>
              </w:rPr>
              <w:t> </w:t>
            </w:r>
            <w:r>
              <w:rPr>
                <w:b/>
                <w:sz w:val="14"/>
              </w:rPr>
              <w:t>Family</w:t>
            </w:r>
            <w:r>
              <w:rPr>
                <w:b/>
                <w:spacing w:val="-3"/>
                <w:sz w:val="14"/>
              </w:rPr>
              <w:t> </w:t>
            </w:r>
            <w:r>
              <w:rPr>
                <w:b/>
                <w:sz w:val="14"/>
              </w:rPr>
              <w:t>Membership</w:t>
            </w:r>
            <w:r>
              <w:rPr>
                <w:b/>
                <w:spacing w:val="-3"/>
                <w:sz w:val="14"/>
              </w:rPr>
              <w:t> </w:t>
            </w:r>
            <w:r>
              <w:rPr>
                <w:b/>
                <w:sz w:val="14"/>
              </w:rPr>
              <w:t>-</w:t>
            </w:r>
            <w:r>
              <w:rPr>
                <w:b/>
                <w:spacing w:val="-5"/>
                <w:sz w:val="14"/>
              </w:rPr>
              <w:t> Wet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bl>
    <w:p>
      <w:pPr>
        <w:spacing w:after="0"/>
        <w:rPr>
          <w:rFonts w:ascii="Times New Roman"/>
          <w:sz w:val="12"/>
        </w:rPr>
        <w:sectPr>
          <w:type w:val="continuous"/>
          <w:pgSz w:w="11910" w:h="16840"/>
          <w:pgMar w:header="0" w:footer="378" w:top="680" w:bottom="874" w:left="520" w:right="520"/>
        </w:sectPr>
      </w:pPr>
    </w:p>
    <w:tbl>
      <w:tblPr>
        <w:tblW w:w="0" w:type="auto"/>
        <w:jc w:val="left"/>
        <w:tblInd w:w="13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70"/>
        <w:gridCol w:w="1028"/>
        <w:gridCol w:w="769"/>
        <w:gridCol w:w="973"/>
        <w:gridCol w:w="1199"/>
        <w:gridCol w:w="897"/>
      </w:tblGrid>
      <w:tr>
        <w:trPr>
          <w:trHeight w:val="232" w:hRule="atLeast"/>
        </w:trPr>
        <w:tc>
          <w:tcPr>
            <w:tcW w:w="10636" w:type="dxa"/>
            <w:gridSpan w:val="6"/>
            <w:tcBorders>
              <w:left w:val="single" w:sz="12" w:space="0" w:color="000000"/>
              <w:bottom w:val="single" w:sz="4" w:space="0" w:color="000000"/>
              <w:right w:val="single" w:sz="12" w:space="0" w:color="000000"/>
            </w:tcBorders>
            <w:shd w:val="clear" w:color="auto" w:fill="3399FF"/>
          </w:tcPr>
          <w:p>
            <w:pPr>
              <w:pStyle w:val="TableParagraph"/>
              <w:spacing w:before="32"/>
              <w:ind w:left="4308" w:right="4290"/>
              <w:jc w:val="center"/>
              <w:rPr>
                <w:b/>
                <w:sz w:val="14"/>
              </w:rPr>
            </w:pPr>
            <w:r>
              <w:rPr>
                <w:b/>
                <w:color w:val="FFFFFF"/>
                <w:sz w:val="14"/>
              </w:rPr>
              <w:t>FEES</w:t>
            </w:r>
            <w:r>
              <w:rPr>
                <w:b/>
                <w:color w:val="FFFFFF"/>
                <w:spacing w:val="-5"/>
                <w:sz w:val="14"/>
              </w:rPr>
              <w:t> </w:t>
            </w:r>
            <w:r>
              <w:rPr>
                <w:b/>
                <w:color w:val="FFFFFF"/>
                <w:sz w:val="14"/>
              </w:rPr>
              <w:t>AND</w:t>
            </w:r>
            <w:r>
              <w:rPr>
                <w:b/>
                <w:color w:val="FFFFFF"/>
                <w:spacing w:val="-4"/>
                <w:sz w:val="14"/>
              </w:rPr>
              <w:t> </w:t>
            </w:r>
            <w:r>
              <w:rPr>
                <w:b/>
                <w:color w:val="FFFFFF"/>
                <w:sz w:val="14"/>
              </w:rPr>
              <w:t>CHARGES</w:t>
            </w:r>
            <w:r>
              <w:rPr>
                <w:b/>
                <w:color w:val="FFFFFF"/>
                <w:spacing w:val="-1"/>
                <w:sz w:val="14"/>
              </w:rPr>
              <w:t> </w:t>
            </w:r>
            <w:r>
              <w:rPr>
                <w:b/>
                <w:color w:val="FFFFFF"/>
                <w:spacing w:val="-2"/>
                <w:sz w:val="14"/>
              </w:rPr>
              <w:t>2025/26</w:t>
            </w:r>
          </w:p>
        </w:tc>
      </w:tr>
      <w:tr>
        <w:trPr>
          <w:trHeight w:val="858" w:hRule="atLeast"/>
        </w:trPr>
        <w:tc>
          <w:tcPr>
            <w:tcW w:w="5770" w:type="dxa"/>
            <w:tcBorders>
              <w:top w:val="single" w:sz="4" w:space="0" w:color="000000"/>
              <w:left w:val="single" w:sz="12" w:space="0" w:color="000000"/>
              <w:bottom w:val="single" w:sz="4" w:space="0" w:color="000000"/>
              <w:right w:val="single" w:sz="4"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107"/>
              <w:rPr>
                <w:b/>
                <w:sz w:val="14"/>
              </w:rPr>
            </w:pPr>
            <w:r>
              <w:rPr>
                <w:b/>
                <w:color w:val="FFFFFF"/>
                <w:sz w:val="14"/>
              </w:rPr>
              <w:t>Account</w:t>
            </w:r>
            <w:r>
              <w:rPr>
                <w:b/>
                <w:color w:val="FFFFFF"/>
                <w:spacing w:val="-7"/>
                <w:sz w:val="14"/>
              </w:rPr>
              <w:t> </w:t>
            </w:r>
            <w:r>
              <w:rPr>
                <w:b/>
                <w:color w:val="FFFFFF"/>
                <w:spacing w:val="-2"/>
                <w:sz w:val="14"/>
              </w:rPr>
              <w:t>Description</w:t>
            </w:r>
          </w:p>
        </w:tc>
        <w:tc>
          <w:tcPr>
            <w:tcW w:w="1028"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26" w:right="101" w:firstLine="4"/>
              <w:jc w:val="center"/>
              <w:rPr>
                <w:b/>
                <w:sz w:val="14"/>
              </w:rPr>
            </w:pPr>
            <w:r>
              <w:rPr>
                <w:b/>
                <w:color w:val="FFFFFF"/>
                <w:sz w:val="14"/>
              </w:rPr>
              <w:t>Fee</w:t>
            </w:r>
            <w:r>
              <w:rPr>
                <w:b/>
                <w:color w:val="FFFFFF"/>
                <w:spacing w:val="-6"/>
                <w:sz w:val="14"/>
              </w:rPr>
              <w:t> </w:t>
            </w:r>
            <w:r>
              <w:rPr>
                <w:b/>
                <w:color w:val="FFFFFF"/>
                <w:sz w:val="14"/>
              </w:rPr>
              <w:t>Type</w:t>
            </w:r>
            <w:r>
              <w:rPr>
                <w:b/>
                <w:color w:val="FFFFFF"/>
                <w:spacing w:val="40"/>
                <w:sz w:val="14"/>
              </w:rPr>
              <w:t> </w:t>
            </w:r>
            <w:r>
              <w:rPr>
                <w:b/>
                <w:color w:val="FFFFFF"/>
                <w:spacing w:val="-2"/>
                <w:sz w:val="14"/>
              </w:rPr>
              <w:t>N=Non-</w:t>
            </w:r>
            <w:r>
              <w:rPr>
                <w:b/>
                <w:color w:val="FFFFFF"/>
                <w:spacing w:val="40"/>
                <w:sz w:val="14"/>
              </w:rPr>
              <w:t> </w:t>
            </w:r>
            <w:r>
              <w:rPr>
                <w:b/>
                <w:color w:val="FFFFFF"/>
                <w:spacing w:val="-2"/>
                <w:sz w:val="14"/>
              </w:rPr>
              <w:t>Statutory</w:t>
            </w:r>
            <w:r>
              <w:rPr>
                <w:b/>
                <w:color w:val="FFFFFF"/>
                <w:spacing w:val="40"/>
                <w:sz w:val="14"/>
              </w:rPr>
              <w:t> </w:t>
            </w:r>
            <w:r>
              <w:rPr>
                <w:b/>
                <w:color w:val="FFFFFF"/>
                <w:spacing w:val="-2"/>
                <w:sz w:val="14"/>
              </w:rPr>
              <w:t>S=Statutory</w:t>
            </w:r>
          </w:p>
        </w:tc>
        <w:tc>
          <w:tcPr>
            <w:tcW w:w="76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4"/>
              <w:rPr>
                <w:sz w:val="23"/>
              </w:rPr>
            </w:pPr>
          </w:p>
          <w:p>
            <w:pPr>
              <w:pStyle w:val="TableParagraph"/>
              <w:spacing w:before="1"/>
              <w:ind w:left="248"/>
              <w:rPr>
                <w:b/>
                <w:sz w:val="14"/>
              </w:rPr>
            </w:pPr>
            <w:r>
              <w:rPr>
                <w:b/>
                <w:color w:val="FFFFFF"/>
                <w:spacing w:val="-5"/>
                <w:sz w:val="14"/>
              </w:rPr>
              <w:t>GST</w:t>
            </w:r>
          </w:p>
          <w:p>
            <w:pPr>
              <w:pStyle w:val="TableParagraph"/>
              <w:ind w:left="154"/>
              <w:rPr>
                <w:b/>
                <w:sz w:val="14"/>
              </w:rPr>
            </w:pPr>
            <w:r>
              <w:rPr>
                <w:b/>
                <w:color w:val="FFFFFF"/>
                <w:spacing w:val="-2"/>
                <w:sz w:val="14"/>
              </w:rPr>
              <w:t>Yes/No</w:t>
            </w:r>
          </w:p>
        </w:tc>
        <w:tc>
          <w:tcPr>
            <w:tcW w:w="973"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05" w:right="84"/>
              <w:jc w:val="center"/>
              <w:rPr>
                <w:b/>
                <w:sz w:val="14"/>
              </w:rPr>
            </w:pPr>
            <w:r>
              <w:rPr>
                <w:b/>
                <w:color w:val="FFFFFF"/>
                <w:spacing w:val="-2"/>
                <w:sz w:val="14"/>
              </w:rPr>
              <w:t>2024/25</w:t>
            </w:r>
          </w:p>
          <w:p>
            <w:pPr>
              <w:pStyle w:val="TableParagraph"/>
              <w:ind w:left="189" w:right="168" w:firstLine="1"/>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40"/>
                <w:sz w:val="14"/>
              </w:rPr>
              <w:t> </w:t>
            </w:r>
            <w:r>
              <w:rPr>
                <w:b/>
                <w:color w:val="FFFFFF"/>
                <w:sz w:val="14"/>
              </w:rPr>
              <w:t>Incl.</w:t>
            </w:r>
            <w:r>
              <w:rPr>
                <w:b/>
                <w:color w:val="FFFFFF"/>
                <w:spacing w:val="-5"/>
                <w:sz w:val="14"/>
              </w:rPr>
              <w:t> </w:t>
            </w:r>
            <w:r>
              <w:rPr>
                <w:b/>
                <w:color w:val="FFFFFF"/>
                <w:spacing w:val="-5"/>
                <w:sz w:val="14"/>
              </w:rPr>
              <w:t>GST</w:t>
            </w:r>
          </w:p>
        </w:tc>
        <w:tc>
          <w:tcPr>
            <w:tcW w:w="119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56" w:right="137"/>
              <w:jc w:val="center"/>
              <w:rPr>
                <w:b/>
                <w:sz w:val="14"/>
              </w:rPr>
            </w:pPr>
            <w:r>
              <w:rPr>
                <w:b/>
                <w:color w:val="FFFFFF"/>
                <w:spacing w:val="-2"/>
                <w:sz w:val="14"/>
              </w:rPr>
              <w:t>2025/26</w:t>
            </w:r>
          </w:p>
          <w:p>
            <w:pPr>
              <w:pStyle w:val="TableParagraph"/>
              <w:ind w:left="164" w:right="146" w:firstLine="2"/>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8"/>
                <w:sz w:val="14"/>
              </w:rPr>
              <w:t> </w:t>
            </w:r>
            <w:r>
              <w:rPr>
                <w:b/>
                <w:color w:val="FFFFFF"/>
                <w:spacing w:val="-2"/>
                <w:sz w:val="14"/>
              </w:rPr>
              <w:t>Incl.</w:t>
            </w:r>
          </w:p>
          <w:p>
            <w:pPr>
              <w:pStyle w:val="TableParagraph"/>
              <w:spacing w:line="161" w:lineRule="exact"/>
              <w:ind w:left="153" w:right="137"/>
              <w:jc w:val="center"/>
              <w:rPr>
                <w:b/>
                <w:sz w:val="14"/>
              </w:rPr>
            </w:pPr>
            <w:r>
              <w:rPr>
                <w:b/>
                <w:color w:val="FFFFFF"/>
                <w:spacing w:val="-5"/>
                <w:sz w:val="14"/>
              </w:rPr>
              <w:t>GST</w:t>
            </w:r>
          </w:p>
        </w:tc>
        <w:tc>
          <w:tcPr>
            <w:tcW w:w="897" w:type="dxa"/>
            <w:tcBorders>
              <w:top w:val="single" w:sz="4" w:space="0" w:color="000000"/>
              <w:left w:val="single" w:sz="4" w:space="0" w:color="000000"/>
              <w:bottom w:val="single" w:sz="4" w:space="0" w:color="000000"/>
              <w:right w:val="single" w:sz="12"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95" w:right="81"/>
              <w:jc w:val="center"/>
              <w:rPr>
                <w:b/>
                <w:sz w:val="14"/>
              </w:rPr>
            </w:pPr>
            <w:r>
              <w:rPr>
                <w:b/>
                <w:color w:val="FFFFFF"/>
                <w:sz w:val="14"/>
              </w:rPr>
              <w:t>%</w:t>
            </w:r>
            <w:r>
              <w:rPr>
                <w:b/>
                <w:color w:val="FFFFFF"/>
                <w:spacing w:val="-4"/>
                <w:sz w:val="14"/>
              </w:rPr>
              <w:t> </w:t>
            </w:r>
            <w:r>
              <w:rPr>
                <w:b/>
                <w:color w:val="FFFFFF"/>
                <w:spacing w:val="-2"/>
                <w:sz w:val="14"/>
              </w:rPr>
              <w:t>Change</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40.00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42.00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Aquahub</w:t>
            </w:r>
            <w:r>
              <w:rPr>
                <w:b/>
                <w:spacing w:val="-5"/>
                <w:sz w:val="14"/>
              </w:rPr>
              <w:t> </w:t>
            </w:r>
            <w:r>
              <w:rPr>
                <w:b/>
                <w:sz w:val="14"/>
              </w:rPr>
              <w:t>-</w:t>
            </w:r>
            <w:r>
              <w:rPr>
                <w:b/>
                <w:spacing w:val="-1"/>
                <w:sz w:val="14"/>
              </w:rPr>
              <w:t> </w:t>
            </w:r>
            <w:r>
              <w:rPr>
                <w:b/>
                <w:spacing w:val="-2"/>
                <w:sz w:val="14"/>
              </w:rPr>
              <w:t>Adults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10</w:t>
            </w:r>
            <w:r>
              <w:rPr>
                <w:spacing w:val="-4"/>
                <w:sz w:val="14"/>
              </w:rPr>
              <w:t> </w:t>
            </w:r>
            <w:r>
              <w:rPr>
                <w:sz w:val="14"/>
              </w:rPr>
              <w:t>Pass</w:t>
            </w:r>
            <w:r>
              <w:rPr>
                <w:spacing w:val="-3"/>
                <w:sz w:val="14"/>
              </w:rPr>
              <w:t> </w:t>
            </w:r>
            <w:r>
              <w:rPr>
                <w:sz w:val="14"/>
              </w:rPr>
              <w:t>Swim</w:t>
            </w:r>
            <w:r>
              <w:rPr>
                <w:spacing w:val="-2"/>
                <w:sz w:val="14"/>
              </w:rPr>
              <w:t> </w:t>
            </w:r>
            <w:r>
              <w:rPr>
                <w:sz w:val="14"/>
              </w:rPr>
              <w:t>Spa</w:t>
            </w:r>
            <w:r>
              <w:rPr>
                <w:spacing w:val="-3"/>
                <w:sz w:val="14"/>
              </w:rPr>
              <w:t> </w:t>
            </w:r>
            <w:r>
              <w:rPr>
                <w:spacing w:val="-4"/>
                <w:sz w:val="14"/>
              </w:rPr>
              <w:t>Sauna</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126.00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132.30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10</w:t>
            </w:r>
            <w:r>
              <w:rPr>
                <w:spacing w:val="-5"/>
                <w:sz w:val="14"/>
              </w:rPr>
              <w:t> </w:t>
            </w:r>
            <w:r>
              <w:rPr>
                <w:sz w:val="14"/>
              </w:rPr>
              <w:t>Visit</w:t>
            </w:r>
            <w:r>
              <w:rPr>
                <w:spacing w:val="-2"/>
                <w:sz w:val="14"/>
              </w:rPr>
              <w:t> </w:t>
            </w:r>
            <w:r>
              <w:rPr>
                <w:sz w:val="14"/>
              </w:rPr>
              <w:t>Adult</w:t>
            </w:r>
            <w:r>
              <w:rPr>
                <w:spacing w:val="-2"/>
                <w:sz w:val="14"/>
              </w:rPr>
              <w:t> </w:t>
            </w:r>
            <w:r>
              <w:rPr>
                <w:spacing w:val="-4"/>
                <w:sz w:val="14"/>
              </w:rPr>
              <w:t>Swim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90.00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94.50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Adult</w:t>
            </w:r>
            <w:r>
              <w:rPr>
                <w:spacing w:val="-6"/>
                <w:sz w:val="14"/>
              </w:rPr>
              <w:t> </w:t>
            </w:r>
            <w:r>
              <w:rPr>
                <w:spacing w:val="-4"/>
                <w:sz w:val="14"/>
              </w:rPr>
              <w:t>Swim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10.50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Swim</w:t>
            </w:r>
            <w:r>
              <w:rPr>
                <w:spacing w:val="-2"/>
                <w:sz w:val="14"/>
              </w:rPr>
              <w:t> </w:t>
            </w:r>
            <w:r>
              <w:rPr>
                <w:sz w:val="14"/>
              </w:rPr>
              <w:t>Spa</w:t>
            </w:r>
            <w:r>
              <w:rPr>
                <w:spacing w:val="-4"/>
                <w:sz w:val="14"/>
              </w:rPr>
              <w:t> </w:t>
            </w:r>
            <w:r>
              <w:rPr>
                <w:sz w:val="14"/>
              </w:rPr>
              <w:t>Sauna</w:t>
            </w:r>
            <w:r>
              <w:rPr>
                <w:spacing w:val="-4"/>
                <w:sz w:val="14"/>
              </w:rPr>
              <w:t> Adult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14.00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14.70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b/>
                <w:sz w:val="14"/>
              </w:rPr>
            </w:pPr>
            <w:r>
              <w:rPr>
                <w:b/>
                <w:sz w:val="14"/>
              </w:rPr>
              <w:t>Aquahub</w:t>
            </w:r>
            <w:r>
              <w:rPr>
                <w:b/>
                <w:spacing w:val="-5"/>
                <w:sz w:val="14"/>
              </w:rPr>
              <w:t> </w:t>
            </w:r>
            <w:r>
              <w:rPr>
                <w:b/>
                <w:sz w:val="14"/>
              </w:rPr>
              <w:t>-</w:t>
            </w:r>
            <w:r>
              <w:rPr>
                <w:b/>
                <w:spacing w:val="-1"/>
                <w:sz w:val="14"/>
              </w:rPr>
              <w:t> </w:t>
            </w:r>
            <w:r>
              <w:rPr>
                <w:b/>
                <w:spacing w:val="-2"/>
                <w:sz w:val="14"/>
              </w:rPr>
              <w:t>Juniors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Child</w:t>
            </w:r>
            <w:r>
              <w:rPr>
                <w:spacing w:val="-6"/>
                <w:sz w:val="14"/>
              </w:rPr>
              <w:t> </w:t>
            </w:r>
            <w:r>
              <w:rPr>
                <w:spacing w:val="-4"/>
                <w:sz w:val="14"/>
              </w:rPr>
              <w:t>Swim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8.50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8.90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Aquahub</w:t>
            </w:r>
            <w:r>
              <w:rPr>
                <w:b/>
                <w:spacing w:val="-5"/>
                <w:sz w:val="14"/>
              </w:rPr>
              <w:t> </w:t>
            </w:r>
            <w:r>
              <w:rPr>
                <w:b/>
                <w:sz w:val="14"/>
              </w:rPr>
              <w:t>-</w:t>
            </w:r>
            <w:r>
              <w:rPr>
                <w:b/>
                <w:spacing w:val="-1"/>
                <w:sz w:val="14"/>
              </w:rPr>
              <w:t> </w:t>
            </w:r>
            <w:r>
              <w:rPr>
                <w:b/>
                <w:spacing w:val="-2"/>
                <w:sz w:val="14"/>
              </w:rPr>
              <w:t>Concession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10</w:t>
            </w:r>
            <w:r>
              <w:rPr>
                <w:spacing w:val="-2"/>
                <w:sz w:val="14"/>
              </w:rPr>
              <w:t> </w:t>
            </w:r>
            <w:r>
              <w:rPr>
                <w:sz w:val="14"/>
              </w:rPr>
              <w:t>pass</w:t>
            </w:r>
            <w:r>
              <w:rPr>
                <w:spacing w:val="-3"/>
                <w:sz w:val="14"/>
              </w:rPr>
              <w:t> </w:t>
            </w:r>
            <w:r>
              <w:rPr>
                <w:sz w:val="14"/>
              </w:rPr>
              <w:t>Child</w:t>
            </w:r>
            <w:r>
              <w:rPr>
                <w:spacing w:val="-2"/>
                <w:sz w:val="14"/>
              </w:rPr>
              <w:t> </w:t>
            </w:r>
            <w:r>
              <w:rPr>
                <w:spacing w:val="-4"/>
                <w:sz w:val="14"/>
              </w:rPr>
              <w:t>Swim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76.50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80.10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10</w:t>
            </w:r>
            <w:r>
              <w:rPr>
                <w:spacing w:val="-4"/>
                <w:sz w:val="14"/>
              </w:rPr>
              <w:t> </w:t>
            </w:r>
            <w:r>
              <w:rPr>
                <w:sz w:val="14"/>
              </w:rPr>
              <w:t>Pass</w:t>
            </w:r>
            <w:r>
              <w:rPr>
                <w:spacing w:val="-3"/>
                <w:sz w:val="14"/>
              </w:rPr>
              <w:t> </w:t>
            </w:r>
            <w:r>
              <w:rPr>
                <w:sz w:val="14"/>
              </w:rPr>
              <w:t>Swim</w:t>
            </w:r>
            <w:r>
              <w:rPr>
                <w:spacing w:val="-2"/>
                <w:sz w:val="14"/>
              </w:rPr>
              <w:t> </w:t>
            </w:r>
            <w:r>
              <w:rPr>
                <w:sz w:val="14"/>
              </w:rPr>
              <w:t>Spa</w:t>
            </w:r>
            <w:r>
              <w:rPr>
                <w:spacing w:val="-3"/>
                <w:sz w:val="14"/>
              </w:rPr>
              <w:t> </w:t>
            </w:r>
            <w:r>
              <w:rPr>
                <w:sz w:val="14"/>
              </w:rPr>
              <w:t>Sauna</w:t>
            </w:r>
            <w:r>
              <w:rPr>
                <w:spacing w:val="-4"/>
                <w:sz w:val="14"/>
              </w:rPr>
              <w:t> </w:t>
            </w:r>
            <w:r>
              <w:rPr>
                <w:spacing w:val="-2"/>
                <w:sz w:val="14"/>
              </w:rPr>
              <w:t>Concession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112.50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117.90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10</w:t>
            </w:r>
            <w:r>
              <w:rPr>
                <w:spacing w:val="-6"/>
                <w:sz w:val="14"/>
              </w:rPr>
              <w:t> </w:t>
            </w:r>
            <w:r>
              <w:rPr>
                <w:sz w:val="14"/>
              </w:rPr>
              <w:t>Visit</w:t>
            </w:r>
            <w:r>
              <w:rPr>
                <w:spacing w:val="-3"/>
                <w:sz w:val="14"/>
              </w:rPr>
              <w:t> </w:t>
            </w:r>
            <w:r>
              <w:rPr>
                <w:sz w:val="14"/>
              </w:rPr>
              <w:t>Concession</w:t>
            </w:r>
            <w:r>
              <w:rPr>
                <w:spacing w:val="-2"/>
                <w:sz w:val="14"/>
              </w:rPr>
              <w:t> </w:t>
            </w:r>
            <w:r>
              <w:rPr>
                <w:spacing w:val="-4"/>
                <w:sz w:val="14"/>
              </w:rPr>
              <w:t>Swim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76.50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80.10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4.5</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Concession</w:t>
            </w:r>
            <w:r>
              <w:rPr>
                <w:spacing w:val="-9"/>
                <w:sz w:val="14"/>
              </w:rPr>
              <w:t> </w:t>
            </w:r>
            <w:r>
              <w:rPr>
                <w:spacing w:val="-4"/>
                <w:sz w:val="14"/>
              </w:rPr>
              <w:t>Swim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4"/>
                <w:sz w:val="14"/>
              </w:rPr>
              <w:t>8.50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4"/>
                <w:sz w:val="14"/>
              </w:rPr>
              <w:t>8.90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4.5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Swim</w:t>
            </w:r>
            <w:r>
              <w:rPr>
                <w:spacing w:val="-2"/>
                <w:sz w:val="14"/>
              </w:rPr>
              <w:t> </w:t>
            </w:r>
            <w:r>
              <w:rPr>
                <w:sz w:val="14"/>
              </w:rPr>
              <w:t>Spa</w:t>
            </w:r>
            <w:r>
              <w:rPr>
                <w:spacing w:val="-4"/>
                <w:sz w:val="14"/>
              </w:rPr>
              <w:t> </w:t>
            </w:r>
            <w:r>
              <w:rPr>
                <w:sz w:val="14"/>
              </w:rPr>
              <w:t>Sauna</w:t>
            </w:r>
            <w:r>
              <w:rPr>
                <w:spacing w:val="-4"/>
                <w:sz w:val="14"/>
              </w:rPr>
              <w:t> </w:t>
            </w:r>
            <w:r>
              <w:rPr>
                <w:spacing w:val="-2"/>
                <w:sz w:val="14"/>
              </w:rPr>
              <w:t>Concession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12.50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13.10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Aquahub</w:t>
            </w:r>
            <w:r>
              <w:rPr>
                <w:b/>
                <w:spacing w:val="-6"/>
                <w:sz w:val="14"/>
              </w:rPr>
              <w:t> </w:t>
            </w:r>
            <w:r>
              <w:rPr>
                <w:b/>
                <w:sz w:val="14"/>
              </w:rPr>
              <w:t>-</w:t>
            </w:r>
            <w:r>
              <w:rPr>
                <w:b/>
                <w:spacing w:val="-2"/>
                <w:sz w:val="14"/>
              </w:rPr>
              <w:t> </w:t>
            </w:r>
            <w:r>
              <w:rPr>
                <w:b/>
                <w:sz w:val="14"/>
              </w:rPr>
              <w:t>Senior</w:t>
            </w:r>
            <w:r>
              <w:rPr>
                <w:b/>
                <w:spacing w:val="-4"/>
                <w:sz w:val="14"/>
              </w:rPr>
              <w:t> Card</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10</w:t>
            </w:r>
            <w:r>
              <w:rPr>
                <w:spacing w:val="-5"/>
                <w:sz w:val="14"/>
              </w:rPr>
              <w:t> </w:t>
            </w:r>
            <w:r>
              <w:rPr>
                <w:sz w:val="14"/>
              </w:rPr>
              <w:t>Visit</w:t>
            </w:r>
            <w:r>
              <w:rPr>
                <w:spacing w:val="-3"/>
                <w:sz w:val="14"/>
              </w:rPr>
              <w:t> </w:t>
            </w:r>
            <w:r>
              <w:rPr>
                <w:sz w:val="14"/>
              </w:rPr>
              <w:t>Seniors</w:t>
            </w:r>
            <w:r>
              <w:rPr>
                <w:spacing w:val="-1"/>
                <w:sz w:val="14"/>
              </w:rPr>
              <w:t> </w:t>
            </w:r>
            <w:r>
              <w:rPr>
                <w:spacing w:val="-4"/>
                <w:sz w:val="14"/>
              </w:rPr>
              <w:t>Swim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81.00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84.60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4.3</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Seniors</w:t>
            </w:r>
            <w:r>
              <w:rPr>
                <w:spacing w:val="-7"/>
                <w:sz w:val="14"/>
              </w:rPr>
              <w:t> </w:t>
            </w:r>
            <w:r>
              <w:rPr>
                <w:spacing w:val="-4"/>
                <w:sz w:val="14"/>
              </w:rPr>
              <w:t>Swim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9.00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9.40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4.3</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Swim</w:t>
            </w:r>
            <w:r>
              <w:rPr>
                <w:spacing w:val="-2"/>
                <w:sz w:val="14"/>
              </w:rPr>
              <w:t> </w:t>
            </w:r>
            <w:r>
              <w:rPr>
                <w:sz w:val="14"/>
              </w:rPr>
              <w:t>Spa</w:t>
            </w:r>
            <w:r>
              <w:rPr>
                <w:spacing w:val="-4"/>
                <w:sz w:val="14"/>
              </w:rPr>
              <w:t> </w:t>
            </w:r>
            <w:r>
              <w:rPr>
                <w:sz w:val="14"/>
              </w:rPr>
              <w:t>Sauna</w:t>
            </w:r>
            <w:r>
              <w:rPr>
                <w:spacing w:val="-4"/>
                <w:sz w:val="14"/>
              </w:rPr>
              <w:t> </w:t>
            </w:r>
            <w:r>
              <w:rPr>
                <w:spacing w:val="-2"/>
                <w:sz w:val="14"/>
              </w:rPr>
              <w:t>Senior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13.00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13.60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4.4</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10</w:t>
            </w:r>
            <w:r>
              <w:rPr>
                <w:spacing w:val="-4"/>
                <w:sz w:val="14"/>
              </w:rPr>
              <w:t> </w:t>
            </w:r>
            <w:r>
              <w:rPr>
                <w:sz w:val="14"/>
              </w:rPr>
              <w:t>Pass</w:t>
            </w:r>
            <w:r>
              <w:rPr>
                <w:spacing w:val="-3"/>
                <w:sz w:val="14"/>
              </w:rPr>
              <w:t> </w:t>
            </w:r>
            <w:r>
              <w:rPr>
                <w:sz w:val="14"/>
              </w:rPr>
              <w:t>Swim</w:t>
            </w:r>
            <w:r>
              <w:rPr>
                <w:spacing w:val="-2"/>
                <w:sz w:val="14"/>
              </w:rPr>
              <w:t> </w:t>
            </w:r>
            <w:r>
              <w:rPr>
                <w:sz w:val="14"/>
              </w:rPr>
              <w:t>Spa</w:t>
            </w:r>
            <w:r>
              <w:rPr>
                <w:spacing w:val="-3"/>
                <w:sz w:val="14"/>
              </w:rPr>
              <w:t> </w:t>
            </w:r>
            <w:r>
              <w:rPr>
                <w:sz w:val="14"/>
              </w:rPr>
              <w:t>Sauna</w:t>
            </w:r>
            <w:r>
              <w:rPr>
                <w:spacing w:val="-4"/>
                <w:sz w:val="14"/>
              </w:rPr>
              <w:t> </w:t>
            </w:r>
            <w:r>
              <w:rPr>
                <w:spacing w:val="-2"/>
                <w:sz w:val="14"/>
              </w:rPr>
              <w:t>Senior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117.00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3"/>
              <w:jc w:val="right"/>
              <w:rPr>
                <w:sz w:val="14"/>
              </w:rPr>
            </w:pPr>
            <w:r>
              <w:rPr>
                <w:spacing w:val="-2"/>
                <w:sz w:val="14"/>
              </w:rPr>
              <w:t>122.40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4.4</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Aquahub</w:t>
            </w:r>
            <w:r>
              <w:rPr>
                <w:b/>
                <w:spacing w:val="-5"/>
                <w:sz w:val="14"/>
              </w:rPr>
              <w:t> </w:t>
            </w:r>
            <w:r>
              <w:rPr>
                <w:b/>
                <w:sz w:val="14"/>
              </w:rPr>
              <w:t>-</w:t>
            </w:r>
            <w:r>
              <w:rPr>
                <w:b/>
                <w:spacing w:val="-1"/>
                <w:sz w:val="14"/>
              </w:rPr>
              <w:t> </w:t>
            </w:r>
            <w:r>
              <w:rPr>
                <w:b/>
                <w:spacing w:val="-2"/>
                <w:sz w:val="14"/>
              </w:rPr>
              <w:t>Family</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10</w:t>
            </w:r>
            <w:r>
              <w:rPr>
                <w:spacing w:val="-4"/>
                <w:sz w:val="14"/>
              </w:rPr>
              <w:t> </w:t>
            </w:r>
            <w:r>
              <w:rPr>
                <w:sz w:val="14"/>
              </w:rPr>
              <w:t>Visit</w:t>
            </w:r>
            <w:r>
              <w:rPr>
                <w:spacing w:val="-2"/>
                <w:sz w:val="14"/>
              </w:rPr>
              <w:t> Family</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256.50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269.10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Family</w:t>
            </w:r>
            <w:r>
              <w:rPr>
                <w:spacing w:val="-3"/>
                <w:sz w:val="14"/>
              </w:rPr>
              <w:t> </w:t>
            </w:r>
            <w:r>
              <w:rPr>
                <w:sz w:val="14"/>
              </w:rPr>
              <w:t>Swim</w:t>
            </w:r>
            <w:r>
              <w:rPr>
                <w:spacing w:val="-3"/>
                <w:sz w:val="14"/>
              </w:rPr>
              <w:t> </w:t>
            </w:r>
            <w:r>
              <w:rPr>
                <w:sz w:val="14"/>
              </w:rPr>
              <w:t>(2</w:t>
            </w:r>
            <w:r>
              <w:rPr>
                <w:spacing w:val="-4"/>
                <w:sz w:val="14"/>
              </w:rPr>
              <w:t> </w:t>
            </w:r>
            <w:r>
              <w:rPr>
                <w:sz w:val="14"/>
              </w:rPr>
              <w:t>adults,</w:t>
            </w:r>
            <w:r>
              <w:rPr>
                <w:spacing w:val="-4"/>
                <w:sz w:val="14"/>
              </w:rPr>
              <w:t> </w:t>
            </w:r>
            <w:r>
              <w:rPr>
                <w:spacing w:val="-2"/>
                <w:sz w:val="14"/>
              </w:rPr>
              <w:t>1Child)</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28.50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29.90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Aquahub</w:t>
            </w:r>
            <w:r>
              <w:rPr>
                <w:b/>
                <w:spacing w:val="-4"/>
                <w:sz w:val="14"/>
              </w:rPr>
              <w:t> </w:t>
            </w:r>
            <w:r>
              <w:rPr>
                <w:b/>
                <w:sz w:val="14"/>
              </w:rPr>
              <w:t>-</w:t>
            </w:r>
            <w:r>
              <w:rPr>
                <w:b/>
                <w:spacing w:val="-1"/>
                <w:sz w:val="14"/>
              </w:rPr>
              <w:t> </w:t>
            </w:r>
            <w:r>
              <w:rPr>
                <w:b/>
                <w:sz w:val="14"/>
              </w:rPr>
              <w:t>Sauna</w:t>
            </w:r>
            <w:r>
              <w:rPr>
                <w:b/>
                <w:spacing w:val="-4"/>
                <w:sz w:val="14"/>
              </w:rPr>
              <w:t> </w:t>
            </w:r>
            <w:r>
              <w:rPr>
                <w:b/>
                <w:sz w:val="14"/>
              </w:rPr>
              <w:t>&amp;</w:t>
            </w:r>
            <w:r>
              <w:rPr>
                <w:b/>
                <w:spacing w:val="-3"/>
                <w:sz w:val="14"/>
              </w:rPr>
              <w:t> </w:t>
            </w:r>
            <w:r>
              <w:rPr>
                <w:b/>
                <w:spacing w:val="-5"/>
                <w:sz w:val="14"/>
              </w:rPr>
              <w:t>Spa</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w w:val="95"/>
                <w:sz w:val="14"/>
              </w:rPr>
              <w:t>Spa/Sauna</w:t>
            </w:r>
            <w:r>
              <w:rPr>
                <w:spacing w:val="26"/>
                <w:sz w:val="14"/>
              </w:rPr>
              <w:t> </w:t>
            </w:r>
            <w:r>
              <w:rPr>
                <w:spacing w:val="-2"/>
                <w:sz w:val="14"/>
              </w:rPr>
              <w:t>Upgrade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4.00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4.20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b/>
                <w:sz w:val="14"/>
              </w:rPr>
            </w:pPr>
            <w:r>
              <w:rPr>
                <w:b/>
                <w:sz w:val="14"/>
              </w:rPr>
              <w:t>Aquahub</w:t>
            </w:r>
            <w:r>
              <w:rPr>
                <w:b/>
                <w:spacing w:val="-5"/>
                <w:sz w:val="14"/>
              </w:rPr>
              <w:t> </w:t>
            </w:r>
            <w:r>
              <w:rPr>
                <w:b/>
                <w:sz w:val="14"/>
              </w:rPr>
              <w:t>-</w:t>
            </w:r>
            <w:r>
              <w:rPr>
                <w:b/>
                <w:spacing w:val="-1"/>
                <w:sz w:val="14"/>
              </w:rPr>
              <w:t> </w:t>
            </w:r>
            <w:r>
              <w:rPr>
                <w:b/>
                <w:sz w:val="14"/>
              </w:rPr>
              <w:t>Learn</w:t>
            </w:r>
            <w:r>
              <w:rPr>
                <w:b/>
                <w:spacing w:val="-2"/>
                <w:sz w:val="14"/>
              </w:rPr>
              <w:t> </w:t>
            </w:r>
            <w:r>
              <w:rPr>
                <w:b/>
                <w:sz w:val="14"/>
              </w:rPr>
              <w:t>to</w:t>
            </w:r>
            <w:r>
              <w:rPr>
                <w:b/>
                <w:spacing w:val="-4"/>
                <w:sz w:val="14"/>
              </w:rPr>
              <w:t> Swim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Joining</w:t>
            </w:r>
            <w:r>
              <w:rPr>
                <w:spacing w:val="-7"/>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29.00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29.00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Per</w:t>
            </w:r>
            <w:r>
              <w:rPr>
                <w:spacing w:val="-5"/>
                <w:sz w:val="14"/>
              </w:rPr>
              <w:t> </w:t>
            </w:r>
            <w:r>
              <w:rPr>
                <w:sz w:val="14"/>
              </w:rPr>
              <w:t>fortnight</w:t>
            </w:r>
            <w:r>
              <w:rPr>
                <w:spacing w:val="-3"/>
                <w:sz w:val="14"/>
              </w:rPr>
              <w:t> </w:t>
            </w:r>
            <w:r>
              <w:rPr>
                <w:spacing w:val="-2"/>
                <w:sz w:val="14"/>
              </w:rPr>
              <w:t>Membership</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46.60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49.80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6.4</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Aquahub</w:t>
            </w:r>
            <w:r>
              <w:rPr>
                <w:b/>
                <w:spacing w:val="-5"/>
                <w:sz w:val="14"/>
              </w:rPr>
              <w:t> </w:t>
            </w:r>
            <w:r>
              <w:rPr>
                <w:b/>
                <w:sz w:val="14"/>
              </w:rPr>
              <w:t>-</w:t>
            </w:r>
            <w:r>
              <w:rPr>
                <w:b/>
                <w:spacing w:val="-1"/>
                <w:sz w:val="14"/>
              </w:rPr>
              <w:t> </w:t>
            </w:r>
            <w:r>
              <w:rPr>
                <w:b/>
                <w:spacing w:val="-2"/>
                <w:sz w:val="14"/>
              </w:rPr>
              <w:t>Schools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Per</w:t>
            </w:r>
            <w:r>
              <w:rPr>
                <w:spacing w:val="-5"/>
                <w:sz w:val="14"/>
              </w:rPr>
              <w:t> </w:t>
            </w:r>
            <w:r>
              <w:rPr>
                <w:sz w:val="14"/>
              </w:rPr>
              <w:t>fortnight</w:t>
            </w:r>
            <w:r>
              <w:rPr>
                <w:spacing w:val="-3"/>
                <w:sz w:val="14"/>
              </w:rPr>
              <w:t> </w:t>
            </w:r>
            <w:r>
              <w:rPr>
                <w:spacing w:val="-2"/>
                <w:sz w:val="14"/>
              </w:rPr>
              <w:t>Membership</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10.90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Aquahub</w:t>
            </w:r>
            <w:r>
              <w:rPr>
                <w:b/>
                <w:spacing w:val="-5"/>
                <w:sz w:val="14"/>
              </w:rPr>
              <w:t> </w:t>
            </w:r>
            <w:r>
              <w:rPr>
                <w:b/>
                <w:sz w:val="14"/>
              </w:rPr>
              <w:t>-</w:t>
            </w:r>
            <w:r>
              <w:rPr>
                <w:b/>
                <w:spacing w:val="-1"/>
                <w:sz w:val="14"/>
              </w:rPr>
              <w:t> </w:t>
            </w:r>
            <w:r>
              <w:rPr>
                <w:b/>
                <w:sz w:val="14"/>
              </w:rPr>
              <w:t>Lane</w:t>
            </w:r>
            <w:r>
              <w:rPr>
                <w:b/>
                <w:spacing w:val="-4"/>
                <w:sz w:val="14"/>
              </w:rPr>
              <w:t> Hire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Lane</w:t>
            </w:r>
            <w:r>
              <w:rPr>
                <w:spacing w:val="-5"/>
                <w:sz w:val="14"/>
              </w:rPr>
              <w:t> </w:t>
            </w:r>
            <w:r>
              <w:rPr>
                <w:sz w:val="14"/>
              </w:rPr>
              <w:t>Hire</w:t>
            </w:r>
            <w:r>
              <w:rPr>
                <w:spacing w:val="-2"/>
                <w:sz w:val="14"/>
              </w:rPr>
              <w:t> </w:t>
            </w:r>
            <w:r>
              <w:rPr>
                <w:sz w:val="14"/>
              </w:rPr>
              <w:t>(per</w:t>
            </w:r>
            <w:r>
              <w:rPr>
                <w:spacing w:val="-2"/>
                <w:sz w:val="14"/>
              </w:rPr>
              <w:t> hour)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45.00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47.00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4.3</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Aquahub</w:t>
            </w:r>
            <w:r>
              <w:rPr>
                <w:b/>
                <w:spacing w:val="-6"/>
                <w:sz w:val="14"/>
              </w:rPr>
              <w:t> </w:t>
            </w:r>
            <w:r>
              <w:rPr>
                <w:b/>
                <w:sz w:val="14"/>
              </w:rPr>
              <w:t>-</w:t>
            </w:r>
            <w:r>
              <w:rPr>
                <w:b/>
                <w:spacing w:val="-3"/>
                <w:sz w:val="14"/>
              </w:rPr>
              <w:t> </w:t>
            </w:r>
            <w:r>
              <w:rPr>
                <w:b/>
                <w:sz w:val="14"/>
              </w:rPr>
              <w:t>Hydrotherapy</w:t>
            </w:r>
            <w:r>
              <w:rPr>
                <w:b/>
                <w:spacing w:val="-7"/>
                <w:sz w:val="14"/>
              </w:rPr>
              <w:t> </w:t>
            </w:r>
            <w:r>
              <w:rPr>
                <w:b/>
                <w:spacing w:val="-4"/>
                <w:sz w:val="14"/>
              </w:rPr>
              <w:t>Hire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Hydrotherapy</w:t>
            </w:r>
            <w:r>
              <w:rPr>
                <w:spacing w:val="-3"/>
                <w:sz w:val="14"/>
              </w:rPr>
              <w:t> </w:t>
            </w:r>
            <w:r>
              <w:rPr>
                <w:sz w:val="14"/>
              </w:rPr>
              <w:t>Hire</w:t>
            </w:r>
            <w:r>
              <w:rPr>
                <w:spacing w:val="-5"/>
                <w:sz w:val="14"/>
              </w:rPr>
              <w:t> </w:t>
            </w:r>
            <w:r>
              <w:rPr>
                <w:sz w:val="14"/>
              </w:rPr>
              <w:t>Full</w:t>
            </w:r>
            <w:r>
              <w:rPr>
                <w:spacing w:val="-4"/>
                <w:sz w:val="14"/>
              </w:rPr>
              <w:t> </w:t>
            </w:r>
            <w:r>
              <w:rPr>
                <w:sz w:val="14"/>
              </w:rPr>
              <w:t>Pool</w:t>
            </w:r>
            <w:r>
              <w:rPr>
                <w:spacing w:val="-4"/>
                <w:sz w:val="14"/>
              </w:rPr>
              <w:t> </w:t>
            </w:r>
            <w:r>
              <w:rPr>
                <w:sz w:val="14"/>
              </w:rPr>
              <w:t>(per</w:t>
            </w:r>
            <w:r>
              <w:rPr>
                <w:spacing w:val="-3"/>
                <w:sz w:val="14"/>
              </w:rPr>
              <w:t> </w:t>
            </w:r>
            <w:r>
              <w:rPr>
                <w:spacing w:val="-4"/>
                <w:sz w:val="14"/>
              </w:rPr>
              <w:t>hour)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150.00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160.00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6.3</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Hydrotherapy</w:t>
            </w:r>
            <w:r>
              <w:rPr>
                <w:spacing w:val="-4"/>
                <w:sz w:val="14"/>
              </w:rPr>
              <w:t> </w:t>
            </w:r>
            <w:r>
              <w:rPr>
                <w:sz w:val="14"/>
              </w:rPr>
              <w:t>Hire</w:t>
            </w:r>
            <w:r>
              <w:rPr>
                <w:spacing w:val="-5"/>
                <w:sz w:val="14"/>
              </w:rPr>
              <w:t> </w:t>
            </w:r>
            <w:r>
              <w:rPr>
                <w:sz w:val="14"/>
              </w:rPr>
              <w:t>Half</w:t>
            </w:r>
            <w:r>
              <w:rPr>
                <w:spacing w:val="-4"/>
                <w:sz w:val="14"/>
              </w:rPr>
              <w:t> </w:t>
            </w:r>
            <w:r>
              <w:rPr>
                <w:sz w:val="14"/>
              </w:rPr>
              <w:t>Pool</w:t>
            </w:r>
            <w:r>
              <w:rPr>
                <w:spacing w:val="-2"/>
                <w:sz w:val="14"/>
              </w:rPr>
              <w:t> </w:t>
            </w:r>
            <w:r>
              <w:rPr>
                <w:sz w:val="14"/>
              </w:rPr>
              <w:t>(per</w:t>
            </w:r>
            <w:r>
              <w:rPr>
                <w:spacing w:val="-3"/>
                <w:sz w:val="14"/>
              </w:rPr>
              <w:t> </w:t>
            </w:r>
            <w:r>
              <w:rPr>
                <w:spacing w:val="-4"/>
                <w:sz w:val="14"/>
              </w:rPr>
              <w:t>hour)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75.00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80.00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6.3</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Croydon</w:t>
            </w:r>
            <w:r>
              <w:rPr>
                <w:b/>
                <w:spacing w:val="-4"/>
                <w:sz w:val="14"/>
              </w:rPr>
              <w:t> </w:t>
            </w:r>
            <w:r>
              <w:rPr>
                <w:b/>
                <w:sz w:val="14"/>
              </w:rPr>
              <w:t>Memorial</w:t>
            </w:r>
            <w:r>
              <w:rPr>
                <w:b/>
                <w:spacing w:val="-6"/>
                <w:sz w:val="14"/>
              </w:rPr>
              <w:t> </w:t>
            </w:r>
            <w:r>
              <w:rPr>
                <w:b/>
                <w:sz w:val="14"/>
              </w:rPr>
              <w:t>Pool</w:t>
            </w:r>
            <w:r>
              <w:rPr>
                <w:b/>
                <w:spacing w:val="-3"/>
                <w:sz w:val="14"/>
              </w:rPr>
              <w:t> </w:t>
            </w:r>
            <w:r>
              <w:rPr>
                <w:b/>
                <w:sz w:val="14"/>
              </w:rPr>
              <w:t>Fitness</w:t>
            </w:r>
            <w:r>
              <w:rPr>
                <w:b/>
                <w:spacing w:val="-6"/>
                <w:sz w:val="14"/>
              </w:rPr>
              <w:t> </w:t>
            </w:r>
            <w:r>
              <w:rPr>
                <w:b/>
                <w:sz w:val="14"/>
              </w:rPr>
              <w:t>Plus</w:t>
            </w:r>
            <w:r>
              <w:rPr>
                <w:b/>
                <w:spacing w:val="-3"/>
                <w:sz w:val="14"/>
              </w:rPr>
              <w:t> </w:t>
            </w:r>
            <w:r>
              <w:rPr>
                <w:b/>
                <w:sz w:val="14"/>
              </w:rPr>
              <w:t>Family</w:t>
            </w:r>
            <w:r>
              <w:rPr>
                <w:b/>
                <w:spacing w:val="-4"/>
                <w:sz w:val="14"/>
              </w:rPr>
              <w:t> </w:t>
            </w:r>
            <w:r>
              <w:rPr>
                <w:b/>
                <w:spacing w:val="-2"/>
                <w:sz w:val="14"/>
              </w:rPr>
              <w:t>Membership</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Fitness</w:t>
            </w:r>
            <w:r>
              <w:rPr>
                <w:spacing w:val="-6"/>
                <w:sz w:val="14"/>
              </w:rPr>
              <w:t> </w:t>
            </w:r>
            <w:r>
              <w:rPr>
                <w:sz w:val="14"/>
              </w:rPr>
              <w:t>Plus</w:t>
            </w:r>
            <w:r>
              <w:rPr>
                <w:spacing w:val="-3"/>
                <w:sz w:val="14"/>
              </w:rPr>
              <w:t> </w:t>
            </w:r>
            <w:r>
              <w:rPr>
                <w:spacing w:val="-2"/>
                <w:sz w:val="14"/>
              </w:rPr>
              <w:t>Family</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110.00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115.50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Fitness</w:t>
            </w:r>
            <w:r>
              <w:rPr>
                <w:spacing w:val="-6"/>
                <w:sz w:val="14"/>
              </w:rPr>
              <w:t> </w:t>
            </w:r>
            <w:r>
              <w:rPr>
                <w:sz w:val="14"/>
              </w:rPr>
              <w:t>Plus</w:t>
            </w:r>
            <w:r>
              <w:rPr>
                <w:spacing w:val="-3"/>
                <w:sz w:val="14"/>
              </w:rPr>
              <w:t> </w:t>
            </w:r>
            <w:r>
              <w:rPr>
                <w:sz w:val="14"/>
              </w:rPr>
              <w:t>Family</w:t>
            </w:r>
            <w:r>
              <w:rPr>
                <w:spacing w:val="-6"/>
                <w:sz w:val="14"/>
              </w:rPr>
              <w:t> </w:t>
            </w:r>
            <w:r>
              <w:rPr>
                <w:spacing w:val="-2"/>
                <w:sz w:val="14"/>
              </w:rPr>
              <w:t>Concession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93.50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98.20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Croydon</w:t>
            </w:r>
            <w:r>
              <w:rPr>
                <w:b/>
                <w:spacing w:val="-4"/>
                <w:sz w:val="14"/>
              </w:rPr>
              <w:t> </w:t>
            </w:r>
            <w:r>
              <w:rPr>
                <w:b/>
                <w:sz w:val="14"/>
              </w:rPr>
              <w:t>Memorial</w:t>
            </w:r>
            <w:r>
              <w:rPr>
                <w:b/>
                <w:spacing w:val="-6"/>
                <w:sz w:val="14"/>
              </w:rPr>
              <w:t> </w:t>
            </w:r>
            <w:r>
              <w:rPr>
                <w:b/>
                <w:sz w:val="14"/>
              </w:rPr>
              <w:t>Pool</w:t>
            </w:r>
            <w:r>
              <w:rPr>
                <w:b/>
                <w:spacing w:val="-3"/>
                <w:sz w:val="14"/>
              </w:rPr>
              <w:t> </w:t>
            </w:r>
            <w:r>
              <w:rPr>
                <w:b/>
                <w:sz w:val="14"/>
              </w:rPr>
              <w:t>Fitness</w:t>
            </w:r>
            <w:r>
              <w:rPr>
                <w:b/>
                <w:spacing w:val="-6"/>
                <w:sz w:val="14"/>
              </w:rPr>
              <w:t> </w:t>
            </w:r>
            <w:r>
              <w:rPr>
                <w:b/>
                <w:sz w:val="14"/>
              </w:rPr>
              <w:t>Plus</w:t>
            </w:r>
            <w:r>
              <w:rPr>
                <w:b/>
                <w:spacing w:val="-3"/>
                <w:sz w:val="14"/>
              </w:rPr>
              <w:t> </w:t>
            </w:r>
            <w:r>
              <w:rPr>
                <w:b/>
                <w:sz w:val="14"/>
              </w:rPr>
              <w:t>Off-Peak</w:t>
            </w:r>
            <w:r>
              <w:rPr>
                <w:b/>
                <w:spacing w:val="-3"/>
                <w:sz w:val="14"/>
              </w:rPr>
              <w:t> </w:t>
            </w:r>
            <w:r>
              <w:rPr>
                <w:b/>
                <w:spacing w:val="-2"/>
                <w:sz w:val="14"/>
              </w:rPr>
              <w:t>Membership</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Fitness</w:t>
            </w:r>
            <w:r>
              <w:rPr>
                <w:spacing w:val="-5"/>
                <w:sz w:val="14"/>
              </w:rPr>
              <w:t> </w:t>
            </w:r>
            <w:r>
              <w:rPr>
                <w:sz w:val="14"/>
              </w:rPr>
              <w:t>Plus</w:t>
            </w:r>
            <w:r>
              <w:rPr>
                <w:spacing w:val="-4"/>
                <w:sz w:val="14"/>
              </w:rPr>
              <w:t> </w:t>
            </w:r>
            <w:r>
              <w:rPr>
                <w:sz w:val="14"/>
              </w:rPr>
              <w:t>Off</w:t>
            </w:r>
            <w:r>
              <w:rPr>
                <w:spacing w:val="-5"/>
                <w:sz w:val="14"/>
              </w:rPr>
              <w:t> </w:t>
            </w:r>
            <w:r>
              <w:rPr>
                <w:spacing w:val="-4"/>
                <w:sz w:val="14"/>
              </w:rPr>
              <w:t>Peak</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33.80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35.30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4.2</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Croydon</w:t>
            </w:r>
            <w:r>
              <w:rPr>
                <w:b/>
                <w:spacing w:val="-3"/>
                <w:sz w:val="14"/>
              </w:rPr>
              <w:t> </w:t>
            </w:r>
            <w:r>
              <w:rPr>
                <w:b/>
                <w:sz w:val="14"/>
              </w:rPr>
              <w:t>Memorial</w:t>
            </w:r>
            <w:r>
              <w:rPr>
                <w:b/>
                <w:spacing w:val="-6"/>
                <w:sz w:val="14"/>
              </w:rPr>
              <w:t> </w:t>
            </w:r>
            <w:r>
              <w:rPr>
                <w:b/>
                <w:sz w:val="14"/>
              </w:rPr>
              <w:t>Pool</w:t>
            </w:r>
            <w:r>
              <w:rPr>
                <w:b/>
                <w:spacing w:val="-3"/>
                <w:sz w:val="14"/>
              </w:rPr>
              <w:t> </w:t>
            </w:r>
            <w:r>
              <w:rPr>
                <w:b/>
                <w:sz w:val="14"/>
              </w:rPr>
              <w:t>Fitness</w:t>
            </w:r>
            <w:r>
              <w:rPr>
                <w:b/>
                <w:spacing w:val="-5"/>
                <w:sz w:val="14"/>
              </w:rPr>
              <w:t> </w:t>
            </w:r>
            <w:r>
              <w:rPr>
                <w:b/>
                <w:sz w:val="14"/>
              </w:rPr>
              <w:t>Plus</w:t>
            </w:r>
            <w:r>
              <w:rPr>
                <w:b/>
                <w:spacing w:val="-3"/>
                <w:sz w:val="14"/>
              </w:rPr>
              <w:t> </w:t>
            </w:r>
            <w:r>
              <w:rPr>
                <w:b/>
                <w:spacing w:val="-4"/>
                <w:sz w:val="14"/>
              </w:rPr>
              <w:t>Teen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Fitness</w:t>
            </w:r>
            <w:r>
              <w:rPr>
                <w:spacing w:val="-6"/>
                <w:sz w:val="14"/>
              </w:rPr>
              <w:t> </w:t>
            </w:r>
            <w:r>
              <w:rPr>
                <w:sz w:val="14"/>
              </w:rPr>
              <w:t>Plus</w:t>
            </w:r>
            <w:r>
              <w:rPr>
                <w:spacing w:val="-5"/>
                <w:sz w:val="14"/>
              </w:rPr>
              <w:t> </w:t>
            </w:r>
            <w:r>
              <w:rPr>
                <w:spacing w:val="-4"/>
                <w:sz w:val="14"/>
              </w:rPr>
              <w:t>Teen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9.1</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Croydon</w:t>
            </w:r>
            <w:r>
              <w:rPr>
                <w:b/>
                <w:spacing w:val="-3"/>
                <w:sz w:val="14"/>
              </w:rPr>
              <w:t> </w:t>
            </w:r>
            <w:r>
              <w:rPr>
                <w:b/>
                <w:sz w:val="14"/>
              </w:rPr>
              <w:t>Memorial</w:t>
            </w:r>
            <w:r>
              <w:rPr>
                <w:b/>
                <w:spacing w:val="-5"/>
                <w:sz w:val="14"/>
              </w:rPr>
              <w:t> </w:t>
            </w:r>
            <w:r>
              <w:rPr>
                <w:b/>
                <w:sz w:val="14"/>
              </w:rPr>
              <w:t>Pool</w:t>
            </w:r>
            <w:r>
              <w:rPr>
                <w:b/>
                <w:spacing w:val="-5"/>
                <w:sz w:val="14"/>
              </w:rPr>
              <w:t> </w:t>
            </w:r>
            <w:r>
              <w:rPr>
                <w:b/>
                <w:sz w:val="14"/>
              </w:rPr>
              <w:t>-</w:t>
            </w:r>
            <w:r>
              <w:rPr>
                <w:b/>
                <w:spacing w:val="-3"/>
                <w:sz w:val="14"/>
              </w:rPr>
              <w:t> </w:t>
            </w:r>
            <w:r>
              <w:rPr>
                <w:b/>
                <w:sz w:val="14"/>
              </w:rPr>
              <w:t>Fitness</w:t>
            </w:r>
            <w:r>
              <w:rPr>
                <w:b/>
                <w:spacing w:val="-5"/>
                <w:sz w:val="14"/>
              </w:rPr>
              <w:t> </w:t>
            </w:r>
            <w:r>
              <w:rPr>
                <w:b/>
                <w:sz w:val="14"/>
              </w:rPr>
              <w:t>Plus</w:t>
            </w:r>
            <w:r>
              <w:rPr>
                <w:b/>
                <w:spacing w:val="-5"/>
                <w:sz w:val="14"/>
              </w:rPr>
              <w:t> </w:t>
            </w:r>
            <w:r>
              <w:rPr>
                <w:b/>
                <w:sz w:val="14"/>
              </w:rPr>
              <w:t>Individual</w:t>
            </w:r>
            <w:r>
              <w:rPr>
                <w:b/>
                <w:spacing w:val="-2"/>
                <w:sz w:val="14"/>
              </w:rPr>
              <w:t> Membership</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Fitness</w:t>
            </w:r>
            <w:r>
              <w:rPr>
                <w:spacing w:val="-6"/>
                <w:sz w:val="14"/>
              </w:rPr>
              <w:t> </w:t>
            </w:r>
            <w:r>
              <w:rPr>
                <w:sz w:val="14"/>
              </w:rPr>
              <w:t>Plus</w:t>
            </w:r>
            <w:r>
              <w:rPr>
                <w:spacing w:val="-5"/>
                <w:sz w:val="14"/>
              </w:rPr>
              <w:t> </w:t>
            </w:r>
            <w:r>
              <w:rPr>
                <w:spacing w:val="-2"/>
                <w:sz w:val="14"/>
              </w:rPr>
              <w:t>Individual</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52.00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55.00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5.5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Fitness</w:t>
            </w:r>
            <w:r>
              <w:rPr>
                <w:spacing w:val="-6"/>
                <w:sz w:val="14"/>
              </w:rPr>
              <w:t> </w:t>
            </w:r>
            <w:r>
              <w:rPr>
                <w:sz w:val="14"/>
              </w:rPr>
              <w:t>Plus</w:t>
            </w:r>
            <w:r>
              <w:rPr>
                <w:spacing w:val="-6"/>
                <w:sz w:val="14"/>
              </w:rPr>
              <w:t> </w:t>
            </w:r>
            <w:r>
              <w:rPr>
                <w:sz w:val="14"/>
              </w:rPr>
              <w:t>Individual</w:t>
            </w:r>
            <w:r>
              <w:rPr>
                <w:spacing w:val="-3"/>
                <w:sz w:val="14"/>
              </w:rPr>
              <w:t> </w:t>
            </w:r>
            <w:r>
              <w:rPr>
                <w:spacing w:val="-2"/>
                <w:sz w:val="14"/>
              </w:rPr>
              <w:t>Concession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44.20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46.80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Croydon</w:t>
            </w:r>
            <w:r>
              <w:rPr>
                <w:b/>
                <w:spacing w:val="-4"/>
                <w:sz w:val="14"/>
              </w:rPr>
              <w:t> </w:t>
            </w:r>
            <w:r>
              <w:rPr>
                <w:b/>
                <w:sz w:val="14"/>
              </w:rPr>
              <w:t>Memorial</w:t>
            </w:r>
            <w:r>
              <w:rPr>
                <w:b/>
                <w:spacing w:val="-6"/>
                <w:sz w:val="14"/>
              </w:rPr>
              <w:t> </w:t>
            </w:r>
            <w:r>
              <w:rPr>
                <w:b/>
                <w:sz w:val="14"/>
              </w:rPr>
              <w:t>Pool</w:t>
            </w:r>
            <w:r>
              <w:rPr>
                <w:b/>
                <w:spacing w:val="-6"/>
                <w:sz w:val="14"/>
              </w:rPr>
              <w:t> </w:t>
            </w:r>
            <w:r>
              <w:rPr>
                <w:b/>
                <w:spacing w:val="-2"/>
                <w:sz w:val="14"/>
              </w:rPr>
              <w:t>Carnival</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Carnival</w:t>
            </w:r>
            <w:r>
              <w:rPr>
                <w:spacing w:val="-4"/>
                <w:sz w:val="14"/>
              </w:rPr>
              <w:t> </w:t>
            </w:r>
            <w:r>
              <w:rPr>
                <w:sz w:val="14"/>
              </w:rPr>
              <w:t>Hire</w:t>
            </w:r>
            <w:r>
              <w:rPr>
                <w:spacing w:val="-3"/>
                <w:sz w:val="14"/>
              </w:rPr>
              <w:t> </w:t>
            </w:r>
            <w:r>
              <w:rPr>
                <w:sz w:val="14"/>
              </w:rPr>
              <w:t>-</w:t>
            </w:r>
            <w:r>
              <w:rPr>
                <w:spacing w:val="-4"/>
                <w:sz w:val="14"/>
              </w:rPr>
              <w:t> </w:t>
            </w:r>
            <w:r>
              <w:rPr>
                <w:sz w:val="14"/>
              </w:rPr>
              <w:t>per</w:t>
            </w:r>
            <w:r>
              <w:rPr>
                <w:spacing w:val="-2"/>
                <w:sz w:val="14"/>
              </w:rPr>
              <w:t> </w:t>
            </w:r>
            <w:r>
              <w:rPr>
                <w:sz w:val="14"/>
              </w:rPr>
              <w:t>hour,</w:t>
            </w:r>
            <w:r>
              <w:rPr>
                <w:spacing w:val="-1"/>
                <w:sz w:val="14"/>
              </w:rPr>
              <w:t> </w:t>
            </w:r>
            <w:r>
              <w:rPr>
                <w:sz w:val="14"/>
              </w:rPr>
              <w:t>exclusive</w:t>
            </w:r>
            <w:r>
              <w:rPr>
                <w:spacing w:val="-6"/>
                <w:sz w:val="14"/>
              </w:rPr>
              <w:t> </w:t>
            </w:r>
            <w:r>
              <w:rPr>
                <w:spacing w:val="-5"/>
                <w:sz w:val="14"/>
              </w:rPr>
              <w:t>use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500.00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525.00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Lane</w:t>
            </w:r>
            <w:r>
              <w:rPr>
                <w:spacing w:val="-7"/>
                <w:sz w:val="14"/>
              </w:rPr>
              <w:t> </w:t>
            </w:r>
            <w:r>
              <w:rPr>
                <w:spacing w:val="-4"/>
                <w:sz w:val="14"/>
              </w:rPr>
              <w:t>Hire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60.00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63.00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Croydon</w:t>
            </w:r>
            <w:r>
              <w:rPr>
                <w:b/>
                <w:spacing w:val="-4"/>
                <w:sz w:val="14"/>
              </w:rPr>
              <w:t> </w:t>
            </w:r>
            <w:r>
              <w:rPr>
                <w:b/>
                <w:sz w:val="14"/>
              </w:rPr>
              <w:t>Memorial</w:t>
            </w:r>
            <w:r>
              <w:rPr>
                <w:b/>
                <w:spacing w:val="-6"/>
                <w:sz w:val="14"/>
              </w:rPr>
              <w:t> </w:t>
            </w:r>
            <w:r>
              <w:rPr>
                <w:b/>
                <w:sz w:val="14"/>
              </w:rPr>
              <w:t>Pool</w:t>
            </w:r>
            <w:r>
              <w:rPr>
                <w:b/>
                <w:spacing w:val="-6"/>
                <w:sz w:val="14"/>
              </w:rPr>
              <w:t> </w:t>
            </w:r>
            <w:r>
              <w:rPr>
                <w:b/>
                <w:spacing w:val="-2"/>
                <w:sz w:val="14"/>
              </w:rPr>
              <w:t>Concession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Concession</w:t>
            </w:r>
            <w:r>
              <w:rPr>
                <w:spacing w:val="-7"/>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4"/>
                <w:sz w:val="14"/>
              </w:rPr>
              <w:t>7.10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4"/>
                <w:sz w:val="14"/>
              </w:rPr>
              <w:t>7.30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2.7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10</w:t>
            </w:r>
            <w:r>
              <w:rPr>
                <w:spacing w:val="-6"/>
                <w:sz w:val="14"/>
              </w:rPr>
              <w:t> </w:t>
            </w:r>
            <w:r>
              <w:rPr>
                <w:sz w:val="14"/>
              </w:rPr>
              <w:t>Visit</w:t>
            </w:r>
            <w:r>
              <w:rPr>
                <w:spacing w:val="-4"/>
                <w:sz w:val="14"/>
              </w:rPr>
              <w:t> </w:t>
            </w:r>
            <w:r>
              <w:rPr>
                <w:sz w:val="14"/>
              </w:rPr>
              <w:t>Child/Concession</w:t>
            </w:r>
            <w:r>
              <w:rPr>
                <w:spacing w:val="-4"/>
                <w:sz w:val="14"/>
              </w:rPr>
              <w:t> Swim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63.90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65.70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2.7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Croydon</w:t>
            </w:r>
            <w:r>
              <w:rPr>
                <w:b/>
                <w:spacing w:val="-4"/>
                <w:sz w:val="14"/>
              </w:rPr>
              <w:t> </w:t>
            </w:r>
            <w:r>
              <w:rPr>
                <w:b/>
                <w:sz w:val="14"/>
              </w:rPr>
              <w:t>Memorial</w:t>
            </w:r>
            <w:r>
              <w:rPr>
                <w:b/>
                <w:spacing w:val="-6"/>
                <w:sz w:val="14"/>
              </w:rPr>
              <w:t> </w:t>
            </w:r>
            <w:r>
              <w:rPr>
                <w:b/>
                <w:sz w:val="14"/>
              </w:rPr>
              <w:t>Pool</w:t>
            </w:r>
            <w:r>
              <w:rPr>
                <w:b/>
                <w:spacing w:val="-6"/>
                <w:sz w:val="14"/>
              </w:rPr>
              <w:t> </w:t>
            </w:r>
            <w:r>
              <w:rPr>
                <w:b/>
                <w:spacing w:val="-2"/>
                <w:sz w:val="14"/>
              </w:rPr>
              <w:t>Juniors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2"/>
                <w:sz w:val="14"/>
              </w:rPr>
              <w:t>Juniors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7.10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7.30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2.7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10</w:t>
            </w:r>
            <w:r>
              <w:rPr>
                <w:spacing w:val="-2"/>
                <w:sz w:val="14"/>
              </w:rPr>
              <w:t> </w:t>
            </w:r>
            <w:r>
              <w:rPr>
                <w:sz w:val="14"/>
              </w:rPr>
              <w:t>pass</w:t>
            </w:r>
            <w:r>
              <w:rPr>
                <w:spacing w:val="-3"/>
                <w:sz w:val="14"/>
              </w:rPr>
              <w:t> </w:t>
            </w:r>
            <w:r>
              <w:rPr>
                <w:sz w:val="14"/>
              </w:rPr>
              <w:t>Junior</w:t>
            </w:r>
            <w:r>
              <w:rPr>
                <w:spacing w:val="-4"/>
                <w:sz w:val="14"/>
              </w:rPr>
              <w:t> Swim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63.90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65.70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2.7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Croydon</w:t>
            </w:r>
            <w:r>
              <w:rPr>
                <w:b/>
                <w:spacing w:val="-4"/>
                <w:sz w:val="14"/>
              </w:rPr>
              <w:t> </w:t>
            </w:r>
            <w:r>
              <w:rPr>
                <w:b/>
                <w:sz w:val="14"/>
              </w:rPr>
              <w:t>Memorial</w:t>
            </w:r>
            <w:r>
              <w:rPr>
                <w:b/>
                <w:spacing w:val="-7"/>
                <w:sz w:val="14"/>
              </w:rPr>
              <w:t> </w:t>
            </w:r>
            <w:r>
              <w:rPr>
                <w:b/>
                <w:sz w:val="14"/>
              </w:rPr>
              <w:t>Pool</w:t>
            </w:r>
            <w:r>
              <w:rPr>
                <w:b/>
                <w:spacing w:val="-4"/>
                <w:sz w:val="14"/>
              </w:rPr>
              <w:t> </w:t>
            </w:r>
            <w:r>
              <w:rPr>
                <w:b/>
                <w:sz w:val="14"/>
              </w:rPr>
              <w:t>Family</w:t>
            </w:r>
            <w:r>
              <w:rPr>
                <w:b/>
                <w:spacing w:val="-7"/>
                <w:sz w:val="14"/>
              </w:rPr>
              <w:t> </w:t>
            </w:r>
            <w:r>
              <w:rPr>
                <w:b/>
                <w:spacing w:val="-2"/>
                <w:sz w:val="14"/>
              </w:rPr>
              <w:t>Concessions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Family</w:t>
            </w:r>
            <w:r>
              <w:rPr>
                <w:spacing w:val="-7"/>
                <w:sz w:val="14"/>
              </w:rPr>
              <w:t> </w:t>
            </w:r>
            <w:r>
              <w:rPr>
                <w:spacing w:val="-2"/>
                <w:sz w:val="14"/>
              </w:rPr>
              <w:t>Concessions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23.70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24.50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3.3</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Croydon</w:t>
            </w:r>
            <w:r>
              <w:rPr>
                <w:b/>
                <w:spacing w:val="-4"/>
                <w:sz w:val="14"/>
              </w:rPr>
              <w:t> </w:t>
            </w:r>
            <w:r>
              <w:rPr>
                <w:b/>
                <w:sz w:val="14"/>
              </w:rPr>
              <w:t>Memorial</w:t>
            </w:r>
            <w:r>
              <w:rPr>
                <w:b/>
                <w:spacing w:val="-6"/>
                <w:sz w:val="14"/>
              </w:rPr>
              <w:t> </w:t>
            </w:r>
            <w:r>
              <w:rPr>
                <w:b/>
                <w:sz w:val="14"/>
              </w:rPr>
              <w:t>Pool</w:t>
            </w:r>
            <w:r>
              <w:rPr>
                <w:b/>
                <w:spacing w:val="-6"/>
                <w:sz w:val="14"/>
              </w:rPr>
              <w:t> </w:t>
            </w:r>
            <w:r>
              <w:rPr>
                <w:b/>
                <w:spacing w:val="-2"/>
                <w:sz w:val="14"/>
              </w:rPr>
              <w:t>Adults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2"/>
                <w:sz w:val="14"/>
              </w:rPr>
              <w:t>Adults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8.30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8.60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10</w:t>
            </w:r>
            <w:r>
              <w:rPr>
                <w:spacing w:val="-5"/>
                <w:sz w:val="14"/>
              </w:rPr>
              <w:t> </w:t>
            </w:r>
            <w:r>
              <w:rPr>
                <w:sz w:val="14"/>
              </w:rPr>
              <w:t>Visit</w:t>
            </w:r>
            <w:r>
              <w:rPr>
                <w:spacing w:val="-2"/>
                <w:sz w:val="14"/>
              </w:rPr>
              <w:t> </w:t>
            </w:r>
            <w:r>
              <w:rPr>
                <w:sz w:val="14"/>
              </w:rPr>
              <w:t>Adult</w:t>
            </w:r>
            <w:r>
              <w:rPr>
                <w:spacing w:val="-2"/>
                <w:sz w:val="14"/>
              </w:rPr>
              <w:t> </w:t>
            </w:r>
            <w:r>
              <w:rPr>
                <w:spacing w:val="-4"/>
                <w:sz w:val="14"/>
              </w:rPr>
              <w:t>Swim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74.70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77.40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Croydon</w:t>
            </w:r>
            <w:r>
              <w:rPr>
                <w:b/>
                <w:spacing w:val="-4"/>
                <w:sz w:val="14"/>
              </w:rPr>
              <w:t> </w:t>
            </w:r>
            <w:r>
              <w:rPr>
                <w:b/>
                <w:sz w:val="14"/>
              </w:rPr>
              <w:t>Memorial</w:t>
            </w:r>
            <w:r>
              <w:rPr>
                <w:b/>
                <w:spacing w:val="-5"/>
                <w:sz w:val="14"/>
              </w:rPr>
              <w:t> </w:t>
            </w:r>
            <w:r>
              <w:rPr>
                <w:b/>
                <w:sz w:val="14"/>
              </w:rPr>
              <w:t>Pool</w:t>
            </w:r>
            <w:r>
              <w:rPr>
                <w:b/>
                <w:spacing w:val="-6"/>
                <w:sz w:val="14"/>
              </w:rPr>
              <w:t> </w:t>
            </w:r>
            <w:r>
              <w:rPr>
                <w:b/>
                <w:sz w:val="14"/>
              </w:rPr>
              <w:t>Senior</w:t>
            </w:r>
            <w:r>
              <w:rPr>
                <w:b/>
                <w:spacing w:val="-5"/>
                <w:sz w:val="14"/>
              </w:rPr>
              <w:t> </w:t>
            </w:r>
            <w:r>
              <w:rPr>
                <w:b/>
                <w:spacing w:val="-4"/>
                <w:sz w:val="14"/>
              </w:rPr>
              <w:t>Card</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Senior</w:t>
            </w:r>
            <w:r>
              <w:rPr>
                <w:spacing w:val="-7"/>
                <w:sz w:val="14"/>
              </w:rPr>
              <w:t> </w:t>
            </w:r>
            <w:r>
              <w:rPr>
                <w:spacing w:val="-4"/>
                <w:sz w:val="14"/>
              </w:rPr>
              <w:t>Card</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7.50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7.70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2.6</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10</w:t>
            </w:r>
            <w:r>
              <w:rPr>
                <w:spacing w:val="-5"/>
                <w:sz w:val="14"/>
              </w:rPr>
              <w:t> </w:t>
            </w:r>
            <w:r>
              <w:rPr>
                <w:sz w:val="14"/>
              </w:rPr>
              <w:t>Visit</w:t>
            </w:r>
            <w:r>
              <w:rPr>
                <w:spacing w:val="-3"/>
                <w:sz w:val="14"/>
              </w:rPr>
              <w:t> </w:t>
            </w:r>
            <w:r>
              <w:rPr>
                <w:sz w:val="14"/>
              </w:rPr>
              <w:t>Seniors</w:t>
            </w:r>
            <w:r>
              <w:rPr>
                <w:spacing w:val="-1"/>
                <w:sz w:val="14"/>
              </w:rPr>
              <w:t> </w:t>
            </w:r>
            <w:r>
              <w:rPr>
                <w:spacing w:val="-4"/>
                <w:sz w:val="14"/>
              </w:rPr>
              <w:t>Swim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67.50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69.30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2.6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Croydon</w:t>
            </w:r>
            <w:r>
              <w:rPr>
                <w:b/>
                <w:spacing w:val="-4"/>
                <w:sz w:val="14"/>
              </w:rPr>
              <w:t> </w:t>
            </w:r>
            <w:r>
              <w:rPr>
                <w:b/>
                <w:sz w:val="14"/>
              </w:rPr>
              <w:t>Memorial</w:t>
            </w:r>
            <w:r>
              <w:rPr>
                <w:b/>
                <w:spacing w:val="-7"/>
                <w:sz w:val="14"/>
              </w:rPr>
              <w:t> </w:t>
            </w:r>
            <w:r>
              <w:rPr>
                <w:b/>
                <w:sz w:val="14"/>
              </w:rPr>
              <w:t>Pool</w:t>
            </w:r>
            <w:r>
              <w:rPr>
                <w:b/>
                <w:spacing w:val="-3"/>
                <w:sz w:val="14"/>
              </w:rPr>
              <w:t> </w:t>
            </w:r>
            <w:r>
              <w:rPr>
                <w:b/>
                <w:sz w:val="14"/>
              </w:rPr>
              <w:t>Family</w:t>
            </w:r>
            <w:r>
              <w:rPr>
                <w:b/>
                <w:spacing w:val="-5"/>
                <w:sz w:val="14"/>
              </w:rPr>
              <w:t> </w:t>
            </w:r>
            <w:r>
              <w:rPr>
                <w:b/>
                <w:spacing w:val="-2"/>
                <w:sz w:val="14"/>
              </w:rPr>
              <w:t>Membership</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110.00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115.50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Croydon</w:t>
            </w:r>
            <w:r>
              <w:rPr>
                <w:b/>
                <w:spacing w:val="-5"/>
                <w:sz w:val="14"/>
              </w:rPr>
              <w:t> </w:t>
            </w:r>
            <w:r>
              <w:rPr>
                <w:b/>
                <w:sz w:val="14"/>
              </w:rPr>
              <w:t>Memorial</w:t>
            </w:r>
            <w:r>
              <w:rPr>
                <w:b/>
                <w:spacing w:val="-6"/>
                <w:sz w:val="14"/>
              </w:rPr>
              <w:t> </w:t>
            </w:r>
            <w:r>
              <w:rPr>
                <w:b/>
                <w:sz w:val="14"/>
              </w:rPr>
              <w:t>Pool</w:t>
            </w:r>
            <w:r>
              <w:rPr>
                <w:b/>
                <w:spacing w:val="-7"/>
                <w:sz w:val="14"/>
              </w:rPr>
              <w:t> </w:t>
            </w:r>
            <w:r>
              <w:rPr>
                <w:b/>
                <w:sz w:val="14"/>
              </w:rPr>
              <w:t>Individual</w:t>
            </w:r>
            <w:r>
              <w:rPr>
                <w:b/>
                <w:spacing w:val="-4"/>
                <w:sz w:val="14"/>
              </w:rPr>
              <w:t> </w:t>
            </w:r>
            <w:r>
              <w:rPr>
                <w:b/>
                <w:spacing w:val="-2"/>
                <w:sz w:val="14"/>
              </w:rPr>
              <w:t>Membership</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78.00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83.50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6.6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Croydon</w:t>
            </w:r>
            <w:r>
              <w:rPr>
                <w:b/>
                <w:spacing w:val="-3"/>
                <w:sz w:val="14"/>
              </w:rPr>
              <w:t> </w:t>
            </w:r>
            <w:r>
              <w:rPr>
                <w:b/>
                <w:sz w:val="14"/>
              </w:rPr>
              <w:t>Memorial</w:t>
            </w:r>
            <w:r>
              <w:rPr>
                <w:b/>
                <w:spacing w:val="-4"/>
                <w:sz w:val="14"/>
              </w:rPr>
              <w:t> </w:t>
            </w:r>
            <w:r>
              <w:rPr>
                <w:b/>
                <w:sz w:val="14"/>
              </w:rPr>
              <w:t>Pool</w:t>
            </w:r>
            <w:r>
              <w:rPr>
                <w:b/>
                <w:spacing w:val="-5"/>
                <w:sz w:val="14"/>
              </w:rPr>
              <w:t> </w:t>
            </w:r>
            <w:r>
              <w:rPr>
                <w:b/>
                <w:sz w:val="14"/>
              </w:rPr>
              <w:t>50's</w:t>
            </w:r>
            <w:r>
              <w:rPr>
                <w:b/>
                <w:spacing w:val="-4"/>
                <w:sz w:val="14"/>
              </w:rPr>
              <w:t> </w:t>
            </w:r>
            <w:r>
              <w:rPr>
                <w:b/>
                <w:sz w:val="14"/>
              </w:rPr>
              <w:t>Plus</w:t>
            </w:r>
            <w:r>
              <w:rPr>
                <w:b/>
                <w:spacing w:val="-5"/>
                <w:sz w:val="14"/>
              </w:rPr>
              <w:t> </w:t>
            </w:r>
            <w:r>
              <w:rPr>
                <w:b/>
                <w:spacing w:val="-2"/>
                <w:sz w:val="14"/>
              </w:rPr>
              <w:t>Membership</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Croydon</w:t>
            </w:r>
            <w:r>
              <w:rPr>
                <w:spacing w:val="-6"/>
                <w:sz w:val="14"/>
              </w:rPr>
              <w:t> </w:t>
            </w:r>
            <w:r>
              <w:rPr>
                <w:sz w:val="14"/>
              </w:rPr>
              <w:t>Memorial</w:t>
            </w:r>
            <w:r>
              <w:rPr>
                <w:spacing w:val="-4"/>
                <w:sz w:val="14"/>
              </w:rPr>
              <w:t> </w:t>
            </w:r>
            <w:r>
              <w:rPr>
                <w:sz w:val="14"/>
              </w:rPr>
              <w:t>Pool</w:t>
            </w:r>
            <w:r>
              <w:rPr>
                <w:spacing w:val="-4"/>
                <w:sz w:val="14"/>
              </w:rPr>
              <w:t> </w:t>
            </w:r>
            <w:r>
              <w:rPr>
                <w:sz w:val="14"/>
              </w:rPr>
              <w:t>50's</w:t>
            </w:r>
            <w:r>
              <w:rPr>
                <w:spacing w:val="-4"/>
                <w:sz w:val="14"/>
              </w:rPr>
              <w:t> </w:t>
            </w:r>
            <w:r>
              <w:rPr>
                <w:sz w:val="14"/>
              </w:rPr>
              <w:t>Plus</w:t>
            </w:r>
            <w:r>
              <w:rPr>
                <w:spacing w:val="-4"/>
                <w:sz w:val="14"/>
              </w:rPr>
              <w:t> </w:t>
            </w:r>
            <w:r>
              <w:rPr>
                <w:spacing w:val="-2"/>
                <w:sz w:val="14"/>
              </w:rPr>
              <w:t>Membership</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69.70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75.20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7.3</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Croydon</w:t>
            </w:r>
            <w:r>
              <w:rPr>
                <w:b/>
                <w:spacing w:val="-4"/>
                <w:sz w:val="14"/>
              </w:rPr>
              <w:t> </w:t>
            </w:r>
            <w:r>
              <w:rPr>
                <w:b/>
                <w:sz w:val="14"/>
              </w:rPr>
              <w:t>Memorial</w:t>
            </w:r>
            <w:r>
              <w:rPr>
                <w:b/>
                <w:spacing w:val="-6"/>
                <w:sz w:val="14"/>
              </w:rPr>
              <w:t> </w:t>
            </w:r>
            <w:r>
              <w:rPr>
                <w:b/>
                <w:sz w:val="14"/>
              </w:rPr>
              <w:t>Pool</w:t>
            </w:r>
            <w:r>
              <w:rPr>
                <w:b/>
                <w:spacing w:val="-6"/>
                <w:sz w:val="14"/>
              </w:rPr>
              <w:t> </w:t>
            </w:r>
            <w:r>
              <w:rPr>
                <w:b/>
                <w:sz w:val="14"/>
              </w:rPr>
              <w:t>Aquatics</w:t>
            </w:r>
            <w:r>
              <w:rPr>
                <w:b/>
                <w:spacing w:val="-4"/>
                <w:sz w:val="14"/>
              </w:rPr>
              <w:t> </w:t>
            </w:r>
            <w:r>
              <w:rPr>
                <w:b/>
                <w:spacing w:val="-2"/>
                <w:sz w:val="14"/>
              </w:rPr>
              <w:t>Membership</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42.00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Ringwood</w:t>
            </w:r>
            <w:r>
              <w:rPr>
                <w:b/>
                <w:spacing w:val="-6"/>
                <w:sz w:val="14"/>
              </w:rPr>
              <w:t> </w:t>
            </w:r>
            <w:r>
              <w:rPr>
                <w:b/>
                <w:sz w:val="14"/>
              </w:rPr>
              <w:t>Golf</w:t>
            </w:r>
            <w:r>
              <w:rPr>
                <w:b/>
                <w:spacing w:val="-5"/>
                <w:sz w:val="14"/>
              </w:rPr>
              <w:t> </w:t>
            </w:r>
            <w:r>
              <w:rPr>
                <w:b/>
                <w:sz w:val="14"/>
              </w:rPr>
              <w:t>Course</w:t>
            </w:r>
            <w:r>
              <w:rPr>
                <w:b/>
                <w:spacing w:val="-3"/>
                <w:sz w:val="14"/>
              </w:rPr>
              <w:t> </w:t>
            </w:r>
            <w:r>
              <w:rPr>
                <w:b/>
                <w:spacing w:val="-4"/>
                <w:sz w:val="14"/>
              </w:rPr>
              <w:t>Fees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18</w:t>
            </w:r>
            <w:r>
              <w:rPr>
                <w:spacing w:val="-5"/>
                <w:sz w:val="14"/>
              </w:rPr>
              <w:t> </w:t>
            </w:r>
            <w:r>
              <w:rPr>
                <w:sz w:val="14"/>
              </w:rPr>
              <w:t>Hole</w:t>
            </w:r>
            <w:r>
              <w:rPr>
                <w:spacing w:val="-1"/>
                <w:sz w:val="14"/>
              </w:rPr>
              <w:t> </w:t>
            </w:r>
            <w:r>
              <w:rPr>
                <w:sz w:val="14"/>
              </w:rPr>
              <w:t>Mid-Week</w:t>
            </w:r>
            <w:r>
              <w:rPr>
                <w:spacing w:val="-3"/>
                <w:sz w:val="14"/>
              </w:rPr>
              <w:t> </w:t>
            </w:r>
            <w:r>
              <w:rPr>
                <w:sz w:val="14"/>
              </w:rPr>
              <w:t>-</w:t>
            </w:r>
            <w:r>
              <w:rPr>
                <w:spacing w:val="-2"/>
                <w:sz w:val="14"/>
              </w:rPr>
              <w:t> </w:t>
            </w:r>
            <w:r>
              <w:rPr>
                <w:sz w:val="14"/>
              </w:rPr>
              <w:t>Adult</w:t>
            </w:r>
            <w:r>
              <w:rPr>
                <w:spacing w:val="-3"/>
                <w:sz w:val="14"/>
              </w:rPr>
              <w:t> </w:t>
            </w:r>
            <w:r>
              <w:rPr>
                <w:sz w:val="14"/>
              </w:rPr>
              <w:t>M/W</w:t>
            </w:r>
            <w:r>
              <w:rPr>
                <w:spacing w:val="-2"/>
                <w:sz w:val="14"/>
              </w:rPr>
              <w:t> </w:t>
            </w:r>
            <w:r>
              <w:rPr>
                <w:sz w:val="14"/>
              </w:rPr>
              <w:t>18</w:t>
            </w:r>
            <w:r>
              <w:rPr>
                <w:spacing w:val="-4"/>
                <w:sz w:val="14"/>
              </w:rPr>
              <w:t> Holes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38.00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40.00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18</w:t>
            </w:r>
            <w:r>
              <w:rPr>
                <w:spacing w:val="-6"/>
                <w:sz w:val="14"/>
              </w:rPr>
              <w:t> </w:t>
            </w:r>
            <w:r>
              <w:rPr>
                <w:sz w:val="14"/>
              </w:rPr>
              <w:t>Hole</w:t>
            </w:r>
            <w:r>
              <w:rPr>
                <w:spacing w:val="-2"/>
                <w:sz w:val="14"/>
              </w:rPr>
              <w:t> </w:t>
            </w:r>
            <w:r>
              <w:rPr>
                <w:sz w:val="14"/>
              </w:rPr>
              <w:t>Mid-Week</w:t>
            </w:r>
            <w:r>
              <w:rPr>
                <w:spacing w:val="-4"/>
                <w:sz w:val="14"/>
              </w:rPr>
              <w:t> </w:t>
            </w:r>
            <w:r>
              <w:rPr>
                <w:sz w:val="14"/>
              </w:rPr>
              <w:t>-</w:t>
            </w:r>
            <w:r>
              <w:rPr>
                <w:spacing w:val="-2"/>
                <w:sz w:val="14"/>
              </w:rPr>
              <w:t> </w:t>
            </w:r>
            <w:r>
              <w:rPr>
                <w:sz w:val="14"/>
              </w:rPr>
              <w:t>Concession</w:t>
            </w:r>
            <w:r>
              <w:rPr>
                <w:spacing w:val="-3"/>
                <w:sz w:val="14"/>
              </w:rPr>
              <w:t> </w:t>
            </w:r>
            <w:r>
              <w:rPr>
                <w:sz w:val="14"/>
              </w:rPr>
              <w:t>m/w</w:t>
            </w:r>
            <w:r>
              <w:rPr>
                <w:spacing w:val="-5"/>
                <w:sz w:val="14"/>
              </w:rPr>
              <w:t> 18</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31.00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3.1</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18</w:t>
            </w:r>
            <w:r>
              <w:rPr>
                <w:spacing w:val="-5"/>
                <w:sz w:val="14"/>
              </w:rPr>
              <w:t> </w:t>
            </w:r>
            <w:r>
              <w:rPr>
                <w:sz w:val="14"/>
              </w:rPr>
              <w:t>Hole</w:t>
            </w:r>
            <w:r>
              <w:rPr>
                <w:spacing w:val="-2"/>
                <w:sz w:val="14"/>
              </w:rPr>
              <w:t> </w:t>
            </w:r>
            <w:r>
              <w:rPr>
                <w:sz w:val="14"/>
              </w:rPr>
              <w:t>Mid-Week</w:t>
            </w:r>
            <w:r>
              <w:rPr>
                <w:spacing w:val="-3"/>
                <w:sz w:val="14"/>
              </w:rPr>
              <w:t> </w:t>
            </w:r>
            <w:r>
              <w:rPr>
                <w:sz w:val="14"/>
              </w:rPr>
              <w:t>-</w:t>
            </w:r>
            <w:r>
              <w:rPr>
                <w:spacing w:val="-2"/>
                <w:sz w:val="14"/>
              </w:rPr>
              <w:t> </w:t>
            </w:r>
            <w:r>
              <w:rPr>
                <w:sz w:val="14"/>
              </w:rPr>
              <w:t>Senior</w:t>
            </w:r>
            <w:r>
              <w:rPr>
                <w:spacing w:val="-1"/>
                <w:sz w:val="14"/>
              </w:rPr>
              <w:t> </w:t>
            </w:r>
            <w:r>
              <w:rPr>
                <w:sz w:val="14"/>
              </w:rPr>
              <w:t>Card</w:t>
            </w:r>
            <w:r>
              <w:rPr>
                <w:spacing w:val="-6"/>
                <w:sz w:val="14"/>
              </w:rPr>
              <w:t> </w:t>
            </w:r>
            <w:r>
              <w:rPr>
                <w:sz w:val="14"/>
              </w:rPr>
              <w:t>m/w </w:t>
            </w:r>
            <w:r>
              <w:rPr>
                <w:spacing w:val="-5"/>
                <w:sz w:val="14"/>
              </w:rPr>
              <w:t>18</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34.00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36.00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5.6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18</w:t>
            </w:r>
            <w:r>
              <w:rPr>
                <w:spacing w:val="-5"/>
                <w:sz w:val="14"/>
              </w:rPr>
              <w:t> </w:t>
            </w:r>
            <w:r>
              <w:rPr>
                <w:sz w:val="14"/>
              </w:rPr>
              <w:t>Hole</w:t>
            </w:r>
            <w:r>
              <w:rPr>
                <w:spacing w:val="-2"/>
                <w:sz w:val="14"/>
              </w:rPr>
              <w:t> </w:t>
            </w:r>
            <w:r>
              <w:rPr>
                <w:sz w:val="14"/>
              </w:rPr>
              <w:t>Mid-Week</w:t>
            </w:r>
            <w:r>
              <w:rPr>
                <w:spacing w:val="-3"/>
                <w:sz w:val="14"/>
              </w:rPr>
              <w:t> </w:t>
            </w:r>
            <w:r>
              <w:rPr>
                <w:sz w:val="14"/>
              </w:rPr>
              <w:t>-</w:t>
            </w:r>
            <w:r>
              <w:rPr>
                <w:spacing w:val="-2"/>
                <w:sz w:val="14"/>
              </w:rPr>
              <w:t> </w:t>
            </w:r>
            <w:r>
              <w:rPr>
                <w:sz w:val="14"/>
              </w:rPr>
              <w:t>Junior</w:t>
            </w:r>
            <w:r>
              <w:rPr>
                <w:spacing w:val="-4"/>
                <w:sz w:val="14"/>
              </w:rPr>
              <w:t> </w:t>
            </w:r>
            <w:r>
              <w:rPr>
                <w:sz w:val="14"/>
              </w:rPr>
              <w:t>m/w</w:t>
            </w:r>
            <w:r>
              <w:rPr>
                <w:spacing w:val="-4"/>
                <w:sz w:val="14"/>
              </w:rPr>
              <w:t> </w:t>
            </w:r>
            <w:r>
              <w:rPr>
                <w:spacing w:val="-5"/>
                <w:sz w:val="14"/>
              </w:rPr>
              <w:t>18</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4.3</w:t>
            </w:r>
          </w:p>
        </w:tc>
      </w:tr>
    </w:tbl>
    <w:p>
      <w:pPr>
        <w:spacing w:after="0" w:line="140" w:lineRule="exact"/>
        <w:jc w:val="center"/>
        <w:rPr>
          <w:sz w:val="14"/>
        </w:rPr>
        <w:sectPr>
          <w:type w:val="continuous"/>
          <w:pgSz w:w="11910" w:h="16840"/>
          <w:pgMar w:header="0" w:footer="378" w:top="680" w:bottom="874" w:left="520" w:right="520"/>
        </w:sectPr>
      </w:pPr>
    </w:p>
    <w:tbl>
      <w:tblPr>
        <w:tblW w:w="0" w:type="auto"/>
        <w:jc w:val="left"/>
        <w:tblInd w:w="13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70"/>
        <w:gridCol w:w="1028"/>
        <w:gridCol w:w="769"/>
        <w:gridCol w:w="973"/>
        <w:gridCol w:w="1199"/>
        <w:gridCol w:w="897"/>
      </w:tblGrid>
      <w:tr>
        <w:trPr>
          <w:trHeight w:val="232" w:hRule="atLeast"/>
        </w:trPr>
        <w:tc>
          <w:tcPr>
            <w:tcW w:w="10636" w:type="dxa"/>
            <w:gridSpan w:val="6"/>
            <w:tcBorders>
              <w:left w:val="single" w:sz="12" w:space="0" w:color="000000"/>
              <w:bottom w:val="single" w:sz="4" w:space="0" w:color="000000"/>
              <w:right w:val="single" w:sz="12" w:space="0" w:color="000000"/>
            </w:tcBorders>
            <w:shd w:val="clear" w:color="auto" w:fill="3399FF"/>
          </w:tcPr>
          <w:p>
            <w:pPr>
              <w:pStyle w:val="TableParagraph"/>
              <w:spacing w:before="32"/>
              <w:ind w:left="4308" w:right="4290"/>
              <w:jc w:val="center"/>
              <w:rPr>
                <w:b/>
                <w:sz w:val="14"/>
              </w:rPr>
            </w:pPr>
            <w:r>
              <w:rPr>
                <w:b/>
                <w:color w:val="FFFFFF"/>
                <w:sz w:val="14"/>
              </w:rPr>
              <w:t>FEES</w:t>
            </w:r>
            <w:r>
              <w:rPr>
                <w:b/>
                <w:color w:val="FFFFFF"/>
                <w:spacing w:val="-5"/>
                <w:sz w:val="14"/>
              </w:rPr>
              <w:t> </w:t>
            </w:r>
            <w:r>
              <w:rPr>
                <w:b/>
                <w:color w:val="FFFFFF"/>
                <w:sz w:val="14"/>
              </w:rPr>
              <w:t>AND</w:t>
            </w:r>
            <w:r>
              <w:rPr>
                <w:b/>
                <w:color w:val="FFFFFF"/>
                <w:spacing w:val="-4"/>
                <w:sz w:val="14"/>
              </w:rPr>
              <w:t> </w:t>
            </w:r>
            <w:r>
              <w:rPr>
                <w:b/>
                <w:color w:val="FFFFFF"/>
                <w:sz w:val="14"/>
              </w:rPr>
              <w:t>CHARGES</w:t>
            </w:r>
            <w:r>
              <w:rPr>
                <w:b/>
                <w:color w:val="FFFFFF"/>
                <w:spacing w:val="-1"/>
                <w:sz w:val="14"/>
              </w:rPr>
              <w:t> </w:t>
            </w:r>
            <w:r>
              <w:rPr>
                <w:b/>
                <w:color w:val="FFFFFF"/>
                <w:spacing w:val="-2"/>
                <w:sz w:val="14"/>
              </w:rPr>
              <w:t>2025/26</w:t>
            </w:r>
          </w:p>
        </w:tc>
      </w:tr>
      <w:tr>
        <w:trPr>
          <w:trHeight w:val="858" w:hRule="atLeast"/>
        </w:trPr>
        <w:tc>
          <w:tcPr>
            <w:tcW w:w="5770" w:type="dxa"/>
            <w:tcBorders>
              <w:top w:val="single" w:sz="4" w:space="0" w:color="000000"/>
              <w:left w:val="single" w:sz="12" w:space="0" w:color="000000"/>
              <w:bottom w:val="single" w:sz="4" w:space="0" w:color="000000"/>
              <w:right w:val="single" w:sz="4"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107"/>
              <w:rPr>
                <w:b/>
                <w:sz w:val="14"/>
              </w:rPr>
            </w:pPr>
            <w:r>
              <w:rPr>
                <w:b/>
                <w:color w:val="FFFFFF"/>
                <w:sz w:val="14"/>
              </w:rPr>
              <w:t>Account</w:t>
            </w:r>
            <w:r>
              <w:rPr>
                <w:b/>
                <w:color w:val="FFFFFF"/>
                <w:spacing w:val="-7"/>
                <w:sz w:val="14"/>
              </w:rPr>
              <w:t> </w:t>
            </w:r>
            <w:r>
              <w:rPr>
                <w:b/>
                <w:color w:val="FFFFFF"/>
                <w:spacing w:val="-2"/>
                <w:sz w:val="14"/>
              </w:rPr>
              <w:t>Description</w:t>
            </w:r>
          </w:p>
        </w:tc>
        <w:tc>
          <w:tcPr>
            <w:tcW w:w="1028"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26" w:right="101" w:firstLine="4"/>
              <w:jc w:val="center"/>
              <w:rPr>
                <w:b/>
                <w:sz w:val="14"/>
              </w:rPr>
            </w:pPr>
            <w:r>
              <w:rPr>
                <w:b/>
                <w:color w:val="FFFFFF"/>
                <w:sz w:val="14"/>
              </w:rPr>
              <w:t>Fee</w:t>
            </w:r>
            <w:r>
              <w:rPr>
                <w:b/>
                <w:color w:val="FFFFFF"/>
                <w:spacing w:val="-6"/>
                <w:sz w:val="14"/>
              </w:rPr>
              <w:t> </w:t>
            </w:r>
            <w:r>
              <w:rPr>
                <w:b/>
                <w:color w:val="FFFFFF"/>
                <w:sz w:val="14"/>
              </w:rPr>
              <w:t>Type</w:t>
            </w:r>
            <w:r>
              <w:rPr>
                <w:b/>
                <w:color w:val="FFFFFF"/>
                <w:spacing w:val="40"/>
                <w:sz w:val="14"/>
              </w:rPr>
              <w:t> </w:t>
            </w:r>
            <w:r>
              <w:rPr>
                <w:b/>
                <w:color w:val="FFFFFF"/>
                <w:spacing w:val="-2"/>
                <w:sz w:val="14"/>
              </w:rPr>
              <w:t>N=Non-</w:t>
            </w:r>
            <w:r>
              <w:rPr>
                <w:b/>
                <w:color w:val="FFFFFF"/>
                <w:spacing w:val="40"/>
                <w:sz w:val="14"/>
              </w:rPr>
              <w:t> </w:t>
            </w:r>
            <w:r>
              <w:rPr>
                <w:b/>
                <w:color w:val="FFFFFF"/>
                <w:spacing w:val="-2"/>
                <w:sz w:val="14"/>
              </w:rPr>
              <w:t>Statutory</w:t>
            </w:r>
            <w:r>
              <w:rPr>
                <w:b/>
                <w:color w:val="FFFFFF"/>
                <w:spacing w:val="40"/>
                <w:sz w:val="14"/>
              </w:rPr>
              <w:t> </w:t>
            </w:r>
            <w:r>
              <w:rPr>
                <w:b/>
                <w:color w:val="FFFFFF"/>
                <w:spacing w:val="-2"/>
                <w:sz w:val="14"/>
              </w:rPr>
              <w:t>S=Statutory</w:t>
            </w:r>
          </w:p>
        </w:tc>
        <w:tc>
          <w:tcPr>
            <w:tcW w:w="76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4"/>
              <w:rPr>
                <w:sz w:val="23"/>
              </w:rPr>
            </w:pPr>
          </w:p>
          <w:p>
            <w:pPr>
              <w:pStyle w:val="TableParagraph"/>
              <w:spacing w:before="1"/>
              <w:ind w:left="248"/>
              <w:rPr>
                <w:b/>
                <w:sz w:val="14"/>
              </w:rPr>
            </w:pPr>
            <w:r>
              <w:rPr>
                <w:b/>
                <w:color w:val="FFFFFF"/>
                <w:spacing w:val="-5"/>
                <w:sz w:val="14"/>
              </w:rPr>
              <w:t>GST</w:t>
            </w:r>
          </w:p>
          <w:p>
            <w:pPr>
              <w:pStyle w:val="TableParagraph"/>
              <w:ind w:left="154"/>
              <w:rPr>
                <w:b/>
                <w:sz w:val="14"/>
              </w:rPr>
            </w:pPr>
            <w:r>
              <w:rPr>
                <w:b/>
                <w:color w:val="FFFFFF"/>
                <w:spacing w:val="-2"/>
                <w:sz w:val="14"/>
              </w:rPr>
              <w:t>Yes/No</w:t>
            </w:r>
          </w:p>
        </w:tc>
        <w:tc>
          <w:tcPr>
            <w:tcW w:w="973"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05" w:right="84"/>
              <w:jc w:val="center"/>
              <w:rPr>
                <w:b/>
                <w:sz w:val="14"/>
              </w:rPr>
            </w:pPr>
            <w:r>
              <w:rPr>
                <w:b/>
                <w:color w:val="FFFFFF"/>
                <w:spacing w:val="-2"/>
                <w:sz w:val="14"/>
              </w:rPr>
              <w:t>2024/25</w:t>
            </w:r>
          </w:p>
          <w:p>
            <w:pPr>
              <w:pStyle w:val="TableParagraph"/>
              <w:ind w:left="189" w:right="168" w:firstLine="1"/>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40"/>
                <w:sz w:val="14"/>
              </w:rPr>
              <w:t> </w:t>
            </w:r>
            <w:r>
              <w:rPr>
                <w:b/>
                <w:color w:val="FFFFFF"/>
                <w:sz w:val="14"/>
              </w:rPr>
              <w:t>Incl.</w:t>
            </w:r>
            <w:r>
              <w:rPr>
                <w:b/>
                <w:color w:val="FFFFFF"/>
                <w:spacing w:val="-5"/>
                <w:sz w:val="14"/>
              </w:rPr>
              <w:t> </w:t>
            </w:r>
            <w:r>
              <w:rPr>
                <w:b/>
                <w:color w:val="FFFFFF"/>
                <w:spacing w:val="-5"/>
                <w:sz w:val="14"/>
              </w:rPr>
              <w:t>GST</w:t>
            </w:r>
          </w:p>
        </w:tc>
        <w:tc>
          <w:tcPr>
            <w:tcW w:w="119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56" w:right="137"/>
              <w:jc w:val="center"/>
              <w:rPr>
                <w:b/>
                <w:sz w:val="14"/>
              </w:rPr>
            </w:pPr>
            <w:r>
              <w:rPr>
                <w:b/>
                <w:color w:val="FFFFFF"/>
                <w:spacing w:val="-2"/>
                <w:sz w:val="14"/>
              </w:rPr>
              <w:t>2025/26</w:t>
            </w:r>
          </w:p>
          <w:p>
            <w:pPr>
              <w:pStyle w:val="TableParagraph"/>
              <w:ind w:left="164" w:right="146" w:firstLine="2"/>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8"/>
                <w:sz w:val="14"/>
              </w:rPr>
              <w:t> </w:t>
            </w:r>
            <w:r>
              <w:rPr>
                <w:b/>
                <w:color w:val="FFFFFF"/>
                <w:spacing w:val="-2"/>
                <w:sz w:val="14"/>
              </w:rPr>
              <w:t>Incl.</w:t>
            </w:r>
          </w:p>
          <w:p>
            <w:pPr>
              <w:pStyle w:val="TableParagraph"/>
              <w:spacing w:line="161" w:lineRule="exact"/>
              <w:ind w:left="153" w:right="137"/>
              <w:jc w:val="center"/>
              <w:rPr>
                <w:b/>
                <w:sz w:val="14"/>
              </w:rPr>
            </w:pPr>
            <w:r>
              <w:rPr>
                <w:b/>
                <w:color w:val="FFFFFF"/>
                <w:spacing w:val="-5"/>
                <w:sz w:val="14"/>
              </w:rPr>
              <w:t>GST</w:t>
            </w:r>
          </w:p>
        </w:tc>
        <w:tc>
          <w:tcPr>
            <w:tcW w:w="897" w:type="dxa"/>
            <w:tcBorders>
              <w:top w:val="single" w:sz="4" w:space="0" w:color="000000"/>
              <w:left w:val="single" w:sz="4" w:space="0" w:color="000000"/>
              <w:bottom w:val="single" w:sz="4" w:space="0" w:color="000000"/>
              <w:right w:val="single" w:sz="12"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95" w:right="81"/>
              <w:jc w:val="center"/>
              <w:rPr>
                <w:b/>
                <w:sz w:val="14"/>
              </w:rPr>
            </w:pPr>
            <w:r>
              <w:rPr>
                <w:b/>
                <w:color w:val="FFFFFF"/>
                <w:sz w:val="14"/>
              </w:rPr>
              <w:t>%</w:t>
            </w:r>
            <w:r>
              <w:rPr>
                <w:b/>
                <w:color w:val="FFFFFF"/>
                <w:spacing w:val="-4"/>
                <w:sz w:val="14"/>
              </w:rPr>
              <w:t> </w:t>
            </w:r>
            <w:r>
              <w:rPr>
                <w:b/>
                <w:color w:val="FFFFFF"/>
                <w:spacing w:val="-2"/>
                <w:sz w:val="14"/>
              </w:rPr>
              <w:t>Change</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18</w:t>
            </w:r>
            <w:r>
              <w:rPr>
                <w:spacing w:val="-5"/>
                <w:sz w:val="14"/>
              </w:rPr>
              <w:t> </w:t>
            </w:r>
            <w:r>
              <w:rPr>
                <w:sz w:val="14"/>
              </w:rPr>
              <w:t>Hole</w:t>
            </w:r>
            <w:r>
              <w:rPr>
                <w:spacing w:val="-4"/>
                <w:sz w:val="14"/>
              </w:rPr>
              <w:t> </w:t>
            </w:r>
            <w:r>
              <w:rPr>
                <w:sz w:val="14"/>
              </w:rPr>
              <w:t>Weekend</w:t>
            </w:r>
            <w:r>
              <w:rPr>
                <w:spacing w:val="-4"/>
                <w:sz w:val="14"/>
              </w:rPr>
              <w:t> </w:t>
            </w:r>
            <w:r>
              <w:rPr>
                <w:sz w:val="14"/>
              </w:rPr>
              <w:t>-</w:t>
            </w:r>
            <w:r>
              <w:rPr>
                <w:spacing w:val="-2"/>
                <w:sz w:val="14"/>
              </w:rPr>
              <w:t> </w:t>
            </w:r>
            <w:r>
              <w:rPr>
                <w:sz w:val="14"/>
              </w:rPr>
              <w:t>Adult</w:t>
            </w:r>
            <w:r>
              <w:rPr>
                <w:spacing w:val="-3"/>
                <w:sz w:val="14"/>
              </w:rPr>
              <w:t> </w:t>
            </w:r>
            <w:r>
              <w:rPr>
                <w:sz w:val="14"/>
              </w:rPr>
              <w:t>W/E</w:t>
            </w:r>
            <w:r>
              <w:rPr>
                <w:spacing w:val="1"/>
                <w:sz w:val="14"/>
              </w:rPr>
              <w:t> </w:t>
            </w:r>
            <w:r>
              <w:rPr>
                <w:sz w:val="14"/>
              </w:rPr>
              <w:t>18</w:t>
            </w:r>
            <w:r>
              <w:rPr>
                <w:spacing w:val="-5"/>
                <w:sz w:val="14"/>
              </w:rPr>
              <w:t> </w:t>
            </w:r>
            <w:r>
              <w:rPr>
                <w:spacing w:val="-4"/>
                <w:sz w:val="14"/>
              </w:rPr>
              <w:t>Holes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44.00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46.00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4.3</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18</w:t>
            </w:r>
            <w:r>
              <w:rPr>
                <w:spacing w:val="-5"/>
                <w:sz w:val="14"/>
              </w:rPr>
              <w:t> </w:t>
            </w:r>
            <w:r>
              <w:rPr>
                <w:sz w:val="14"/>
              </w:rPr>
              <w:t>Hole</w:t>
            </w:r>
            <w:r>
              <w:rPr>
                <w:spacing w:val="-4"/>
                <w:sz w:val="14"/>
              </w:rPr>
              <w:t> </w:t>
            </w:r>
            <w:r>
              <w:rPr>
                <w:sz w:val="14"/>
              </w:rPr>
              <w:t>Weekend</w:t>
            </w:r>
            <w:r>
              <w:rPr>
                <w:spacing w:val="-4"/>
                <w:sz w:val="14"/>
              </w:rPr>
              <w:t> </w:t>
            </w:r>
            <w:r>
              <w:rPr>
                <w:sz w:val="14"/>
              </w:rPr>
              <w:t>-</w:t>
            </w:r>
            <w:r>
              <w:rPr>
                <w:spacing w:val="-2"/>
                <w:sz w:val="14"/>
              </w:rPr>
              <w:t> </w:t>
            </w:r>
            <w:r>
              <w:rPr>
                <w:sz w:val="14"/>
              </w:rPr>
              <w:t>Junior</w:t>
            </w:r>
            <w:r>
              <w:rPr>
                <w:spacing w:val="-1"/>
                <w:sz w:val="14"/>
              </w:rPr>
              <w:t> </w:t>
            </w:r>
            <w:r>
              <w:rPr>
                <w:sz w:val="14"/>
              </w:rPr>
              <w:t>w/e</w:t>
            </w:r>
            <w:r>
              <w:rPr>
                <w:spacing w:val="-2"/>
                <w:sz w:val="14"/>
              </w:rPr>
              <w:t> </w:t>
            </w:r>
            <w:r>
              <w:rPr>
                <w:spacing w:val="-5"/>
                <w:sz w:val="14"/>
              </w:rPr>
              <w:t>18</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24.00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9</w:t>
            </w:r>
            <w:r>
              <w:rPr>
                <w:spacing w:val="-5"/>
                <w:sz w:val="14"/>
              </w:rPr>
              <w:t> </w:t>
            </w:r>
            <w:r>
              <w:rPr>
                <w:sz w:val="14"/>
              </w:rPr>
              <w:t>Holes</w:t>
            </w:r>
            <w:r>
              <w:rPr>
                <w:spacing w:val="-2"/>
                <w:sz w:val="14"/>
              </w:rPr>
              <w:t> </w:t>
            </w:r>
            <w:r>
              <w:rPr>
                <w:sz w:val="14"/>
              </w:rPr>
              <w:t>Mid-Week</w:t>
            </w:r>
            <w:r>
              <w:rPr>
                <w:spacing w:val="-4"/>
                <w:sz w:val="14"/>
              </w:rPr>
              <w:t> </w:t>
            </w:r>
            <w:r>
              <w:rPr>
                <w:sz w:val="14"/>
              </w:rPr>
              <w:t>-</w:t>
            </w:r>
            <w:r>
              <w:rPr>
                <w:spacing w:val="-5"/>
                <w:sz w:val="14"/>
              </w:rPr>
              <w:t> </w:t>
            </w:r>
            <w:r>
              <w:rPr>
                <w:spacing w:val="-4"/>
                <w:sz w:val="14"/>
              </w:rPr>
              <w:t>Adult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31.00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3.2</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9</w:t>
            </w:r>
            <w:r>
              <w:rPr>
                <w:spacing w:val="-5"/>
                <w:sz w:val="14"/>
              </w:rPr>
              <w:t> </w:t>
            </w:r>
            <w:r>
              <w:rPr>
                <w:sz w:val="14"/>
              </w:rPr>
              <w:t>Holes</w:t>
            </w:r>
            <w:r>
              <w:rPr>
                <w:spacing w:val="-2"/>
                <w:sz w:val="14"/>
              </w:rPr>
              <w:t> </w:t>
            </w:r>
            <w:r>
              <w:rPr>
                <w:sz w:val="14"/>
              </w:rPr>
              <w:t>Mid-Week</w:t>
            </w:r>
            <w:r>
              <w:rPr>
                <w:spacing w:val="-4"/>
                <w:sz w:val="14"/>
              </w:rPr>
              <w:t> </w:t>
            </w:r>
            <w:r>
              <w:rPr>
                <w:sz w:val="14"/>
              </w:rPr>
              <w:t>-</w:t>
            </w:r>
            <w:r>
              <w:rPr>
                <w:spacing w:val="-2"/>
                <w:sz w:val="14"/>
              </w:rPr>
              <w:t> Junior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17.00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9</w:t>
            </w:r>
            <w:r>
              <w:rPr>
                <w:spacing w:val="-5"/>
                <w:sz w:val="14"/>
              </w:rPr>
              <w:t> </w:t>
            </w:r>
            <w:r>
              <w:rPr>
                <w:sz w:val="14"/>
              </w:rPr>
              <w:t>Holes</w:t>
            </w:r>
            <w:r>
              <w:rPr>
                <w:spacing w:val="-2"/>
                <w:sz w:val="14"/>
              </w:rPr>
              <w:t> </w:t>
            </w:r>
            <w:r>
              <w:rPr>
                <w:sz w:val="14"/>
              </w:rPr>
              <w:t>Mid-Week</w:t>
            </w:r>
            <w:r>
              <w:rPr>
                <w:spacing w:val="-4"/>
                <w:sz w:val="14"/>
              </w:rPr>
              <w:t> </w:t>
            </w:r>
            <w:r>
              <w:rPr>
                <w:sz w:val="14"/>
              </w:rPr>
              <w:t>-</w:t>
            </w:r>
            <w:r>
              <w:rPr>
                <w:spacing w:val="-5"/>
                <w:sz w:val="14"/>
              </w:rPr>
              <w:t> </w:t>
            </w:r>
            <w:r>
              <w:rPr>
                <w:spacing w:val="-2"/>
                <w:sz w:val="14"/>
              </w:rPr>
              <w:t>Pension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9</w:t>
            </w:r>
            <w:r>
              <w:rPr>
                <w:spacing w:val="-6"/>
                <w:sz w:val="14"/>
              </w:rPr>
              <w:t> </w:t>
            </w:r>
            <w:r>
              <w:rPr>
                <w:sz w:val="14"/>
              </w:rPr>
              <w:t>Holes</w:t>
            </w:r>
            <w:r>
              <w:rPr>
                <w:spacing w:val="-2"/>
                <w:sz w:val="14"/>
              </w:rPr>
              <w:t> </w:t>
            </w:r>
            <w:r>
              <w:rPr>
                <w:sz w:val="14"/>
              </w:rPr>
              <w:t>Mid-Week-</w:t>
            </w:r>
            <w:r>
              <w:rPr>
                <w:spacing w:val="-6"/>
                <w:sz w:val="14"/>
              </w:rPr>
              <w:t> </w:t>
            </w:r>
            <w:r>
              <w:rPr>
                <w:sz w:val="14"/>
              </w:rPr>
              <w:t>Senior</w:t>
            </w:r>
            <w:r>
              <w:rPr>
                <w:spacing w:val="-6"/>
                <w:sz w:val="14"/>
              </w:rPr>
              <w:t> </w:t>
            </w:r>
            <w:r>
              <w:rPr>
                <w:spacing w:val="-4"/>
                <w:sz w:val="14"/>
              </w:rPr>
              <w:t>Card</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28.00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29.00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3.4</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9</w:t>
            </w:r>
            <w:r>
              <w:rPr>
                <w:spacing w:val="-5"/>
                <w:sz w:val="14"/>
              </w:rPr>
              <w:t> </w:t>
            </w:r>
            <w:r>
              <w:rPr>
                <w:sz w:val="14"/>
              </w:rPr>
              <w:t>Holes</w:t>
            </w:r>
            <w:r>
              <w:rPr>
                <w:spacing w:val="-3"/>
                <w:sz w:val="14"/>
              </w:rPr>
              <w:t> </w:t>
            </w:r>
            <w:r>
              <w:rPr>
                <w:sz w:val="14"/>
              </w:rPr>
              <w:t>Weekend</w:t>
            </w:r>
            <w:r>
              <w:rPr>
                <w:spacing w:val="-1"/>
                <w:sz w:val="14"/>
              </w:rPr>
              <w:t> </w:t>
            </w:r>
            <w:r>
              <w:rPr>
                <w:sz w:val="14"/>
              </w:rPr>
              <w:t>-</w:t>
            </w:r>
            <w:r>
              <w:rPr>
                <w:spacing w:val="-4"/>
                <w:sz w:val="14"/>
              </w:rPr>
              <w:t> Adult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33.00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35.00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5.7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9</w:t>
            </w:r>
            <w:r>
              <w:rPr>
                <w:spacing w:val="-5"/>
                <w:sz w:val="14"/>
              </w:rPr>
              <w:t> </w:t>
            </w:r>
            <w:r>
              <w:rPr>
                <w:sz w:val="14"/>
              </w:rPr>
              <w:t>Holes</w:t>
            </w:r>
            <w:r>
              <w:rPr>
                <w:spacing w:val="-3"/>
                <w:sz w:val="14"/>
              </w:rPr>
              <w:t> </w:t>
            </w:r>
            <w:r>
              <w:rPr>
                <w:sz w:val="14"/>
              </w:rPr>
              <w:t>Weekend</w:t>
            </w:r>
            <w:r>
              <w:rPr>
                <w:spacing w:val="-1"/>
                <w:sz w:val="14"/>
              </w:rPr>
              <w:t> </w:t>
            </w:r>
            <w:r>
              <w:rPr>
                <w:sz w:val="14"/>
              </w:rPr>
              <w:t>-</w:t>
            </w:r>
            <w:r>
              <w:rPr>
                <w:spacing w:val="-4"/>
                <w:sz w:val="14"/>
              </w:rPr>
              <w:t> </w:t>
            </w:r>
            <w:r>
              <w:rPr>
                <w:spacing w:val="-2"/>
                <w:sz w:val="14"/>
              </w:rPr>
              <w:t>Junior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19.50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2.5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Ringwood</w:t>
            </w:r>
            <w:r>
              <w:rPr>
                <w:b/>
                <w:spacing w:val="-7"/>
                <w:sz w:val="14"/>
              </w:rPr>
              <w:t> </w:t>
            </w:r>
            <w:r>
              <w:rPr>
                <w:b/>
                <w:sz w:val="14"/>
              </w:rPr>
              <w:t>Golf</w:t>
            </w:r>
            <w:r>
              <w:rPr>
                <w:b/>
                <w:spacing w:val="-6"/>
                <w:sz w:val="14"/>
              </w:rPr>
              <w:t> </w:t>
            </w:r>
            <w:r>
              <w:rPr>
                <w:b/>
                <w:sz w:val="14"/>
              </w:rPr>
              <w:t>Equipment</w:t>
            </w:r>
            <w:r>
              <w:rPr>
                <w:b/>
                <w:spacing w:val="-4"/>
                <w:sz w:val="14"/>
              </w:rPr>
              <w:t> Hire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Buggy</w:t>
            </w:r>
            <w:r>
              <w:rPr>
                <w:spacing w:val="-4"/>
                <w:sz w:val="14"/>
              </w:rPr>
              <w:t> Hire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6.00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Cart</w:t>
            </w:r>
            <w:r>
              <w:rPr>
                <w:spacing w:val="-3"/>
                <w:sz w:val="14"/>
              </w:rPr>
              <w:t> </w:t>
            </w:r>
            <w:r>
              <w:rPr>
                <w:spacing w:val="-5"/>
                <w:sz w:val="14"/>
              </w:rPr>
              <w:t>18</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47.00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48.00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2.1</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Cart</w:t>
            </w:r>
            <w:r>
              <w:rPr>
                <w:spacing w:val="-3"/>
                <w:sz w:val="14"/>
              </w:rPr>
              <w:t> </w:t>
            </w:r>
            <w:r>
              <w:rPr>
                <w:spacing w:val="-10"/>
                <w:sz w:val="14"/>
              </w:rPr>
              <w:t>9</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34.00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2.9</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BYO</w:t>
            </w:r>
            <w:r>
              <w:rPr>
                <w:spacing w:val="-5"/>
                <w:sz w:val="14"/>
              </w:rPr>
              <w:t> </w:t>
            </w:r>
            <w:r>
              <w:rPr>
                <w:sz w:val="14"/>
              </w:rPr>
              <w:t>Cart</w:t>
            </w:r>
            <w:r>
              <w:rPr>
                <w:spacing w:val="-3"/>
                <w:sz w:val="14"/>
              </w:rPr>
              <w:t> </w:t>
            </w:r>
            <w:r>
              <w:rPr>
                <w:spacing w:val="-10"/>
                <w:sz w:val="14"/>
              </w:rPr>
              <w:t>9</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15.00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4"/>
                <w:sz w:val="14"/>
              </w:rPr>
              <w:t>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BYO</w:t>
            </w:r>
            <w:r>
              <w:rPr>
                <w:spacing w:val="-5"/>
                <w:sz w:val="14"/>
              </w:rPr>
              <w:t> </w:t>
            </w:r>
            <w:r>
              <w:rPr>
                <w:sz w:val="14"/>
              </w:rPr>
              <w:t>Cart</w:t>
            </w:r>
            <w:r>
              <w:rPr>
                <w:spacing w:val="-3"/>
                <w:sz w:val="14"/>
              </w:rPr>
              <w:t> </w:t>
            </w:r>
            <w:r>
              <w:rPr>
                <w:spacing w:val="-5"/>
                <w:sz w:val="14"/>
              </w:rPr>
              <w:t>18</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BYO</w:t>
            </w:r>
            <w:r>
              <w:rPr>
                <w:spacing w:val="-5"/>
                <w:sz w:val="14"/>
              </w:rPr>
              <w:t> </w:t>
            </w:r>
            <w:r>
              <w:rPr>
                <w:sz w:val="14"/>
              </w:rPr>
              <w:t>Cart</w:t>
            </w:r>
            <w:r>
              <w:rPr>
                <w:spacing w:val="-3"/>
                <w:sz w:val="14"/>
              </w:rPr>
              <w:t> </w:t>
            </w:r>
            <w:r>
              <w:rPr>
                <w:spacing w:val="-2"/>
                <w:sz w:val="14"/>
              </w:rPr>
              <w:t>Annual</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250.00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250.00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Club</w:t>
            </w:r>
            <w:r>
              <w:rPr>
                <w:spacing w:val="-2"/>
                <w:sz w:val="14"/>
              </w:rPr>
              <w:t> </w:t>
            </w:r>
            <w:r>
              <w:rPr>
                <w:sz w:val="14"/>
              </w:rPr>
              <w:t>hire</w:t>
            </w:r>
            <w:r>
              <w:rPr>
                <w:spacing w:val="-3"/>
                <w:sz w:val="14"/>
              </w:rPr>
              <w:t> </w:t>
            </w:r>
            <w:r>
              <w:rPr>
                <w:sz w:val="14"/>
              </w:rPr>
              <w:t>9</w:t>
            </w:r>
            <w:r>
              <w:rPr>
                <w:spacing w:val="-1"/>
                <w:sz w:val="14"/>
              </w:rPr>
              <w:t> </w:t>
            </w:r>
            <w:r>
              <w:rPr>
                <w:spacing w:val="-2"/>
                <w:sz w:val="14"/>
              </w:rPr>
              <w:t>holes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17.50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81"/>
              <w:jc w:val="center"/>
              <w:rPr>
                <w:sz w:val="14"/>
              </w:rPr>
            </w:pPr>
            <w:r>
              <w:rPr>
                <w:spacing w:val="-4"/>
                <w:sz w:val="14"/>
              </w:rPr>
              <w:t>12.5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Club</w:t>
            </w:r>
            <w:r>
              <w:rPr>
                <w:spacing w:val="-2"/>
                <w:sz w:val="14"/>
              </w:rPr>
              <w:t> </w:t>
            </w:r>
            <w:r>
              <w:rPr>
                <w:sz w:val="14"/>
              </w:rPr>
              <w:t>hire</w:t>
            </w:r>
            <w:r>
              <w:rPr>
                <w:spacing w:val="-3"/>
                <w:sz w:val="14"/>
              </w:rPr>
              <w:t> </w:t>
            </w:r>
            <w:r>
              <w:rPr>
                <w:sz w:val="14"/>
              </w:rPr>
              <w:t>18</w:t>
            </w:r>
            <w:r>
              <w:rPr>
                <w:spacing w:val="-4"/>
                <w:sz w:val="14"/>
              </w:rPr>
              <w:t> </w:t>
            </w:r>
            <w:r>
              <w:rPr>
                <w:spacing w:val="-2"/>
                <w:sz w:val="14"/>
              </w:rPr>
              <w:t>holes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Dorset</w:t>
            </w:r>
            <w:r>
              <w:rPr>
                <w:b/>
                <w:spacing w:val="-5"/>
                <w:sz w:val="14"/>
              </w:rPr>
              <w:t> </w:t>
            </w:r>
            <w:r>
              <w:rPr>
                <w:b/>
                <w:sz w:val="14"/>
              </w:rPr>
              <w:t>Golf</w:t>
            </w:r>
            <w:r>
              <w:rPr>
                <w:b/>
                <w:spacing w:val="-5"/>
                <w:sz w:val="14"/>
              </w:rPr>
              <w:t> </w:t>
            </w:r>
            <w:r>
              <w:rPr>
                <w:b/>
                <w:sz w:val="14"/>
              </w:rPr>
              <w:t>Course</w:t>
            </w:r>
            <w:r>
              <w:rPr>
                <w:b/>
                <w:spacing w:val="-3"/>
                <w:sz w:val="14"/>
              </w:rPr>
              <w:t> </w:t>
            </w:r>
            <w:r>
              <w:rPr>
                <w:b/>
                <w:spacing w:val="-4"/>
                <w:sz w:val="14"/>
              </w:rPr>
              <w:t>Fees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18</w:t>
            </w:r>
            <w:r>
              <w:rPr>
                <w:spacing w:val="-5"/>
                <w:sz w:val="14"/>
              </w:rPr>
              <w:t> </w:t>
            </w:r>
            <w:r>
              <w:rPr>
                <w:sz w:val="14"/>
              </w:rPr>
              <w:t>Hole</w:t>
            </w:r>
            <w:r>
              <w:rPr>
                <w:spacing w:val="-2"/>
                <w:sz w:val="14"/>
              </w:rPr>
              <w:t> </w:t>
            </w:r>
            <w:r>
              <w:rPr>
                <w:sz w:val="14"/>
              </w:rPr>
              <w:t>Mid-Week</w:t>
            </w:r>
            <w:r>
              <w:rPr>
                <w:spacing w:val="-3"/>
                <w:sz w:val="14"/>
              </w:rPr>
              <w:t> </w:t>
            </w:r>
            <w:r>
              <w:rPr>
                <w:sz w:val="14"/>
              </w:rPr>
              <w:t>-</w:t>
            </w:r>
            <w:r>
              <w:rPr>
                <w:spacing w:val="-2"/>
                <w:sz w:val="14"/>
              </w:rPr>
              <w:t> Adult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38.00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40.00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5.0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18</w:t>
            </w:r>
            <w:r>
              <w:rPr>
                <w:spacing w:val="-5"/>
                <w:sz w:val="14"/>
              </w:rPr>
              <w:t> </w:t>
            </w:r>
            <w:r>
              <w:rPr>
                <w:sz w:val="14"/>
              </w:rPr>
              <w:t>Hole</w:t>
            </w:r>
            <w:r>
              <w:rPr>
                <w:spacing w:val="-2"/>
                <w:sz w:val="14"/>
              </w:rPr>
              <w:t> </w:t>
            </w:r>
            <w:r>
              <w:rPr>
                <w:sz w:val="14"/>
              </w:rPr>
              <w:t>Mid-Week</w:t>
            </w:r>
            <w:r>
              <w:rPr>
                <w:spacing w:val="-3"/>
                <w:sz w:val="14"/>
              </w:rPr>
              <w:t> </w:t>
            </w:r>
            <w:r>
              <w:rPr>
                <w:sz w:val="14"/>
              </w:rPr>
              <w:t>-</w:t>
            </w:r>
            <w:r>
              <w:rPr>
                <w:spacing w:val="-2"/>
                <w:sz w:val="14"/>
              </w:rPr>
              <w:t> Concession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31.00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32.00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3.1</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18</w:t>
            </w:r>
            <w:r>
              <w:rPr>
                <w:spacing w:val="-5"/>
                <w:sz w:val="14"/>
              </w:rPr>
              <w:t> </w:t>
            </w:r>
            <w:r>
              <w:rPr>
                <w:sz w:val="14"/>
              </w:rPr>
              <w:t>Hole</w:t>
            </w:r>
            <w:r>
              <w:rPr>
                <w:spacing w:val="-2"/>
                <w:sz w:val="14"/>
              </w:rPr>
              <w:t> </w:t>
            </w:r>
            <w:r>
              <w:rPr>
                <w:sz w:val="14"/>
              </w:rPr>
              <w:t>Mid-Week</w:t>
            </w:r>
            <w:r>
              <w:rPr>
                <w:spacing w:val="-3"/>
                <w:sz w:val="14"/>
              </w:rPr>
              <w:t> </w:t>
            </w:r>
            <w:r>
              <w:rPr>
                <w:sz w:val="14"/>
              </w:rPr>
              <w:t>-</w:t>
            </w:r>
            <w:r>
              <w:rPr>
                <w:spacing w:val="-2"/>
                <w:sz w:val="14"/>
              </w:rPr>
              <w:t> </w:t>
            </w:r>
            <w:r>
              <w:rPr>
                <w:sz w:val="14"/>
              </w:rPr>
              <w:t>Senior</w:t>
            </w:r>
            <w:r>
              <w:rPr>
                <w:spacing w:val="-2"/>
                <w:sz w:val="14"/>
              </w:rPr>
              <w:t> </w:t>
            </w:r>
            <w:r>
              <w:rPr>
                <w:spacing w:val="-4"/>
                <w:sz w:val="14"/>
              </w:rPr>
              <w:t>Card</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34.00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18</w:t>
            </w:r>
            <w:r>
              <w:rPr>
                <w:spacing w:val="-5"/>
                <w:sz w:val="14"/>
              </w:rPr>
              <w:t> </w:t>
            </w:r>
            <w:r>
              <w:rPr>
                <w:sz w:val="14"/>
              </w:rPr>
              <w:t>Hole</w:t>
            </w:r>
            <w:r>
              <w:rPr>
                <w:spacing w:val="-2"/>
                <w:sz w:val="14"/>
              </w:rPr>
              <w:t> </w:t>
            </w:r>
            <w:r>
              <w:rPr>
                <w:sz w:val="14"/>
              </w:rPr>
              <w:t>Mid-Week</w:t>
            </w:r>
            <w:r>
              <w:rPr>
                <w:spacing w:val="-3"/>
                <w:sz w:val="14"/>
              </w:rPr>
              <w:t> </w:t>
            </w:r>
            <w:r>
              <w:rPr>
                <w:sz w:val="14"/>
              </w:rPr>
              <w:t>-</w:t>
            </w:r>
            <w:r>
              <w:rPr>
                <w:spacing w:val="-2"/>
                <w:sz w:val="14"/>
              </w:rPr>
              <w:t> Junior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4.3</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18</w:t>
            </w:r>
            <w:r>
              <w:rPr>
                <w:spacing w:val="-4"/>
                <w:sz w:val="14"/>
              </w:rPr>
              <w:t> </w:t>
            </w:r>
            <w:r>
              <w:rPr>
                <w:sz w:val="14"/>
              </w:rPr>
              <w:t>Hole</w:t>
            </w:r>
            <w:r>
              <w:rPr>
                <w:spacing w:val="-4"/>
                <w:sz w:val="14"/>
              </w:rPr>
              <w:t> </w:t>
            </w:r>
            <w:r>
              <w:rPr>
                <w:sz w:val="14"/>
              </w:rPr>
              <w:t>Weekend</w:t>
            </w:r>
            <w:r>
              <w:rPr>
                <w:spacing w:val="-4"/>
                <w:sz w:val="14"/>
              </w:rPr>
              <w:t> </w:t>
            </w:r>
            <w:r>
              <w:rPr>
                <w:sz w:val="14"/>
              </w:rPr>
              <w:t>- </w:t>
            </w:r>
            <w:r>
              <w:rPr>
                <w:spacing w:val="-4"/>
                <w:sz w:val="14"/>
              </w:rPr>
              <w:t>Adult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44.00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46.00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4.3</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18</w:t>
            </w:r>
            <w:r>
              <w:rPr>
                <w:spacing w:val="-4"/>
                <w:sz w:val="14"/>
              </w:rPr>
              <w:t> </w:t>
            </w:r>
            <w:r>
              <w:rPr>
                <w:sz w:val="14"/>
              </w:rPr>
              <w:t>Hole</w:t>
            </w:r>
            <w:r>
              <w:rPr>
                <w:spacing w:val="-4"/>
                <w:sz w:val="14"/>
              </w:rPr>
              <w:t> </w:t>
            </w:r>
            <w:r>
              <w:rPr>
                <w:sz w:val="14"/>
              </w:rPr>
              <w:t>Weekend</w:t>
            </w:r>
            <w:r>
              <w:rPr>
                <w:spacing w:val="-4"/>
                <w:sz w:val="14"/>
              </w:rPr>
              <w:t> </w:t>
            </w:r>
            <w:r>
              <w:rPr>
                <w:sz w:val="14"/>
              </w:rPr>
              <w:t>- </w:t>
            </w:r>
            <w:r>
              <w:rPr>
                <w:spacing w:val="-2"/>
                <w:sz w:val="14"/>
              </w:rPr>
              <w:t>Junior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24.00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4.0</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9</w:t>
            </w:r>
            <w:r>
              <w:rPr>
                <w:spacing w:val="-5"/>
                <w:sz w:val="14"/>
              </w:rPr>
              <w:t> </w:t>
            </w:r>
            <w:r>
              <w:rPr>
                <w:sz w:val="14"/>
              </w:rPr>
              <w:t>Holes</w:t>
            </w:r>
            <w:r>
              <w:rPr>
                <w:spacing w:val="-2"/>
                <w:sz w:val="14"/>
              </w:rPr>
              <w:t> </w:t>
            </w:r>
            <w:r>
              <w:rPr>
                <w:sz w:val="14"/>
              </w:rPr>
              <w:t>Mid-Week</w:t>
            </w:r>
            <w:r>
              <w:rPr>
                <w:spacing w:val="-4"/>
                <w:sz w:val="14"/>
              </w:rPr>
              <w:t> </w:t>
            </w:r>
            <w:r>
              <w:rPr>
                <w:sz w:val="14"/>
              </w:rPr>
              <w:t>-</w:t>
            </w:r>
            <w:r>
              <w:rPr>
                <w:spacing w:val="-5"/>
                <w:sz w:val="14"/>
              </w:rPr>
              <w:t> </w:t>
            </w:r>
            <w:r>
              <w:rPr>
                <w:spacing w:val="-4"/>
                <w:sz w:val="14"/>
              </w:rPr>
              <w:t>Adult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30.00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31.00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3.2</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9</w:t>
            </w:r>
            <w:r>
              <w:rPr>
                <w:spacing w:val="-5"/>
                <w:sz w:val="14"/>
              </w:rPr>
              <w:t> </w:t>
            </w:r>
            <w:r>
              <w:rPr>
                <w:sz w:val="14"/>
              </w:rPr>
              <w:t>Holes</w:t>
            </w:r>
            <w:r>
              <w:rPr>
                <w:spacing w:val="-2"/>
                <w:sz w:val="14"/>
              </w:rPr>
              <w:t> </w:t>
            </w:r>
            <w:r>
              <w:rPr>
                <w:sz w:val="14"/>
              </w:rPr>
              <w:t>Mid-Week</w:t>
            </w:r>
            <w:r>
              <w:rPr>
                <w:spacing w:val="-4"/>
                <w:sz w:val="14"/>
              </w:rPr>
              <w:t> </w:t>
            </w:r>
            <w:r>
              <w:rPr>
                <w:sz w:val="14"/>
              </w:rPr>
              <w:t>-</w:t>
            </w:r>
            <w:r>
              <w:rPr>
                <w:spacing w:val="-2"/>
                <w:sz w:val="14"/>
              </w:rPr>
              <w:t> Junior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17.00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9</w:t>
            </w:r>
            <w:r>
              <w:rPr>
                <w:spacing w:val="-6"/>
                <w:sz w:val="14"/>
              </w:rPr>
              <w:t> </w:t>
            </w:r>
            <w:r>
              <w:rPr>
                <w:sz w:val="14"/>
              </w:rPr>
              <w:t>Holes</w:t>
            </w:r>
            <w:r>
              <w:rPr>
                <w:spacing w:val="-3"/>
                <w:sz w:val="14"/>
              </w:rPr>
              <w:t> </w:t>
            </w:r>
            <w:r>
              <w:rPr>
                <w:sz w:val="14"/>
              </w:rPr>
              <w:t>Mid-Week</w:t>
            </w:r>
            <w:r>
              <w:rPr>
                <w:spacing w:val="-4"/>
                <w:sz w:val="14"/>
              </w:rPr>
              <w:t> </w:t>
            </w:r>
            <w:r>
              <w:rPr>
                <w:spacing w:val="-2"/>
                <w:sz w:val="14"/>
              </w:rPr>
              <w:t>Pension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9</w:t>
            </w:r>
            <w:r>
              <w:rPr>
                <w:spacing w:val="-6"/>
                <w:sz w:val="14"/>
              </w:rPr>
              <w:t> </w:t>
            </w:r>
            <w:r>
              <w:rPr>
                <w:sz w:val="14"/>
              </w:rPr>
              <w:t>Holes</w:t>
            </w:r>
            <w:r>
              <w:rPr>
                <w:spacing w:val="-3"/>
                <w:sz w:val="14"/>
              </w:rPr>
              <w:t> </w:t>
            </w:r>
            <w:r>
              <w:rPr>
                <w:sz w:val="14"/>
              </w:rPr>
              <w:t>Mid-Week</w:t>
            </w:r>
            <w:r>
              <w:rPr>
                <w:spacing w:val="-4"/>
                <w:sz w:val="14"/>
              </w:rPr>
              <w:t> </w:t>
            </w:r>
            <w:r>
              <w:rPr>
                <w:sz w:val="14"/>
              </w:rPr>
              <w:t>Senior</w:t>
            </w:r>
            <w:r>
              <w:rPr>
                <w:spacing w:val="-3"/>
                <w:sz w:val="14"/>
              </w:rPr>
              <w:t> </w:t>
            </w:r>
            <w:r>
              <w:rPr>
                <w:spacing w:val="-4"/>
                <w:sz w:val="14"/>
              </w:rPr>
              <w:t>Card</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28.00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29.00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3.4</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9</w:t>
            </w:r>
            <w:r>
              <w:rPr>
                <w:spacing w:val="-5"/>
                <w:sz w:val="14"/>
              </w:rPr>
              <w:t> </w:t>
            </w:r>
            <w:r>
              <w:rPr>
                <w:sz w:val="14"/>
              </w:rPr>
              <w:t>Holes</w:t>
            </w:r>
            <w:r>
              <w:rPr>
                <w:spacing w:val="-3"/>
                <w:sz w:val="14"/>
              </w:rPr>
              <w:t> </w:t>
            </w:r>
            <w:r>
              <w:rPr>
                <w:sz w:val="14"/>
              </w:rPr>
              <w:t>Weekend</w:t>
            </w:r>
            <w:r>
              <w:rPr>
                <w:spacing w:val="-1"/>
                <w:sz w:val="14"/>
              </w:rPr>
              <w:t> </w:t>
            </w:r>
            <w:r>
              <w:rPr>
                <w:sz w:val="14"/>
              </w:rPr>
              <w:t>-</w:t>
            </w:r>
            <w:r>
              <w:rPr>
                <w:spacing w:val="-4"/>
                <w:sz w:val="14"/>
              </w:rPr>
              <w:t> Adult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33.00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9</w:t>
            </w:r>
            <w:r>
              <w:rPr>
                <w:spacing w:val="-5"/>
                <w:sz w:val="14"/>
              </w:rPr>
              <w:t> </w:t>
            </w:r>
            <w:r>
              <w:rPr>
                <w:sz w:val="14"/>
              </w:rPr>
              <w:t>Holes</w:t>
            </w:r>
            <w:r>
              <w:rPr>
                <w:spacing w:val="-3"/>
                <w:sz w:val="14"/>
              </w:rPr>
              <w:t> </w:t>
            </w:r>
            <w:r>
              <w:rPr>
                <w:sz w:val="14"/>
              </w:rPr>
              <w:t>Weekend</w:t>
            </w:r>
            <w:r>
              <w:rPr>
                <w:spacing w:val="-1"/>
                <w:sz w:val="14"/>
              </w:rPr>
              <w:t> </w:t>
            </w:r>
            <w:r>
              <w:rPr>
                <w:sz w:val="14"/>
              </w:rPr>
              <w:t>-</w:t>
            </w:r>
            <w:r>
              <w:rPr>
                <w:spacing w:val="-4"/>
                <w:sz w:val="14"/>
              </w:rPr>
              <w:t> </w:t>
            </w:r>
            <w:r>
              <w:rPr>
                <w:spacing w:val="-2"/>
                <w:sz w:val="14"/>
              </w:rPr>
              <w:t>Junior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19.50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2.5</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b/>
                <w:sz w:val="14"/>
              </w:rPr>
            </w:pPr>
            <w:r>
              <w:rPr>
                <w:b/>
                <w:sz w:val="14"/>
              </w:rPr>
              <w:t>Dorset</w:t>
            </w:r>
            <w:r>
              <w:rPr>
                <w:b/>
                <w:spacing w:val="-6"/>
                <w:sz w:val="14"/>
              </w:rPr>
              <w:t> </w:t>
            </w:r>
            <w:r>
              <w:rPr>
                <w:b/>
                <w:sz w:val="14"/>
              </w:rPr>
              <w:t>Golf</w:t>
            </w:r>
            <w:r>
              <w:rPr>
                <w:b/>
                <w:spacing w:val="-5"/>
                <w:sz w:val="14"/>
              </w:rPr>
              <w:t> </w:t>
            </w:r>
            <w:r>
              <w:rPr>
                <w:b/>
                <w:sz w:val="14"/>
              </w:rPr>
              <w:t>Equipment</w:t>
            </w:r>
            <w:r>
              <w:rPr>
                <w:b/>
                <w:spacing w:val="-5"/>
                <w:sz w:val="14"/>
              </w:rPr>
              <w:t> </w:t>
            </w:r>
            <w:r>
              <w:rPr>
                <w:b/>
                <w:spacing w:val="-4"/>
                <w:sz w:val="14"/>
              </w:rPr>
              <w:t>Hire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Buggy</w:t>
            </w:r>
            <w:r>
              <w:rPr>
                <w:spacing w:val="-4"/>
                <w:sz w:val="14"/>
              </w:rPr>
              <w:t> Hire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6.00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Cart</w:t>
            </w:r>
            <w:r>
              <w:rPr>
                <w:spacing w:val="-3"/>
                <w:sz w:val="14"/>
              </w:rPr>
              <w:t> </w:t>
            </w:r>
            <w:r>
              <w:rPr>
                <w:spacing w:val="-5"/>
                <w:sz w:val="14"/>
              </w:rPr>
              <w:t>18</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43.00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48.00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81"/>
              <w:jc w:val="center"/>
              <w:rPr>
                <w:sz w:val="14"/>
              </w:rPr>
            </w:pPr>
            <w:r>
              <w:rPr>
                <w:spacing w:val="-4"/>
                <w:sz w:val="14"/>
              </w:rPr>
              <w:t>10.4</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Cart</w:t>
            </w:r>
            <w:r>
              <w:rPr>
                <w:spacing w:val="-3"/>
                <w:sz w:val="14"/>
              </w:rPr>
              <w:t> </w:t>
            </w:r>
            <w:r>
              <w:rPr>
                <w:spacing w:val="-10"/>
                <w:sz w:val="14"/>
              </w:rPr>
              <w:t>9</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8.6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Club</w:t>
            </w:r>
            <w:r>
              <w:rPr>
                <w:spacing w:val="-2"/>
                <w:sz w:val="14"/>
              </w:rPr>
              <w:t> </w:t>
            </w:r>
            <w:r>
              <w:rPr>
                <w:sz w:val="14"/>
              </w:rPr>
              <w:t>hire</w:t>
            </w:r>
            <w:r>
              <w:rPr>
                <w:spacing w:val="-3"/>
                <w:sz w:val="14"/>
              </w:rPr>
              <w:t> </w:t>
            </w:r>
            <w:r>
              <w:rPr>
                <w:sz w:val="14"/>
              </w:rPr>
              <w:t>18</w:t>
            </w:r>
            <w:r>
              <w:rPr>
                <w:spacing w:val="-4"/>
                <w:sz w:val="14"/>
              </w:rPr>
              <w:t> </w:t>
            </w:r>
            <w:r>
              <w:rPr>
                <w:spacing w:val="-2"/>
                <w:sz w:val="14"/>
              </w:rPr>
              <w:t>holes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23.00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26.00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81"/>
              <w:jc w:val="center"/>
              <w:rPr>
                <w:sz w:val="14"/>
              </w:rPr>
            </w:pPr>
            <w:r>
              <w:rPr>
                <w:spacing w:val="-4"/>
                <w:sz w:val="14"/>
              </w:rPr>
              <w:t>11.5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Club</w:t>
            </w:r>
            <w:r>
              <w:rPr>
                <w:spacing w:val="-2"/>
                <w:sz w:val="14"/>
              </w:rPr>
              <w:t> </w:t>
            </w:r>
            <w:r>
              <w:rPr>
                <w:sz w:val="14"/>
              </w:rPr>
              <w:t>hire</w:t>
            </w:r>
            <w:r>
              <w:rPr>
                <w:spacing w:val="-3"/>
                <w:sz w:val="14"/>
              </w:rPr>
              <w:t> </w:t>
            </w:r>
            <w:r>
              <w:rPr>
                <w:sz w:val="14"/>
              </w:rPr>
              <w:t>9</w:t>
            </w:r>
            <w:r>
              <w:rPr>
                <w:spacing w:val="-1"/>
                <w:sz w:val="14"/>
              </w:rPr>
              <w:t> </w:t>
            </w:r>
            <w:r>
              <w:rPr>
                <w:spacing w:val="-2"/>
                <w:sz w:val="14"/>
              </w:rPr>
              <w:t>holes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17.50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81"/>
              <w:jc w:val="center"/>
              <w:rPr>
                <w:sz w:val="14"/>
              </w:rPr>
            </w:pPr>
            <w:r>
              <w:rPr>
                <w:spacing w:val="-4"/>
                <w:sz w:val="14"/>
              </w:rPr>
              <w:t>12.5</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b/>
                <w:sz w:val="14"/>
              </w:rPr>
            </w:pPr>
            <w:r>
              <w:rPr>
                <w:b/>
                <w:sz w:val="14"/>
              </w:rPr>
              <w:t>The</w:t>
            </w:r>
            <w:r>
              <w:rPr>
                <w:b/>
                <w:spacing w:val="-4"/>
                <w:sz w:val="14"/>
              </w:rPr>
              <w:t> </w:t>
            </w:r>
            <w:r>
              <w:rPr>
                <w:b/>
                <w:sz w:val="14"/>
              </w:rPr>
              <w:t>Rings</w:t>
            </w:r>
            <w:r>
              <w:rPr>
                <w:b/>
                <w:spacing w:val="-6"/>
                <w:sz w:val="14"/>
              </w:rPr>
              <w:t> </w:t>
            </w:r>
            <w:r>
              <w:rPr>
                <w:b/>
                <w:sz w:val="14"/>
              </w:rPr>
              <w:t>Thursday</w:t>
            </w:r>
            <w:r>
              <w:rPr>
                <w:b/>
                <w:spacing w:val="-2"/>
                <w:sz w:val="14"/>
              </w:rPr>
              <w:t> Ladies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2"/>
                <w:sz w:val="14"/>
              </w:rPr>
              <w:t>Scoresheet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78.50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80.50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2.5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The</w:t>
            </w:r>
            <w:r>
              <w:rPr>
                <w:b/>
                <w:spacing w:val="-4"/>
                <w:sz w:val="14"/>
              </w:rPr>
              <w:t> </w:t>
            </w:r>
            <w:r>
              <w:rPr>
                <w:b/>
                <w:sz w:val="14"/>
              </w:rPr>
              <w:t>Rings</w:t>
            </w:r>
            <w:r>
              <w:rPr>
                <w:b/>
                <w:spacing w:val="-5"/>
                <w:sz w:val="14"/>
              </w:rPr>
              <w:t> </w:t>
            </w:r>
            <w:r>
              <w:rPr>
                <w:b/>
                <w:sz w:val="14"/>
              </w:rPr>
              <w:t>Sunday</w:t>
            </w:r>
            <w:r>
              <w:rPr>
                <w:b/>
                <w:spacing w:val="-3"/>
                <w:sz w:val="14"/>
              </w:rPr>
              <w:t> </w:t>
            </w:r>
            <w:r>
              <w:rPr>
                <w:b/>
                <w:spacing w:val="-4"/>
                <w:sz w:val="14"/>
              </w:rPr>
              <w:t>Mixed</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2"/>
                <w:sz w:val="14"/>
              </w:rPr>
              <w:t>Scoresheet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78.50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80.50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2.5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The</w:t>
            </w:r>
            <w:r>
              <w:rPr>
                <w:b/>
                <w:spacing w:val="-4"/>
                <w:sz w:val="14"/>
              </w:rPr>
              <w:t> </w:t>
            </w:r>
            <w:r>
              <w:rPr>
                <w:b/>
                <w:sz w:val="14"/>
              </w:rPr>
              <w:t>Rings</w:t>
            </w:r>
            <w:r>
              <w:rPr>
                <w:b/>
                <w:spacing w:val="-5"/>
                <w:sz w:val="14"/>
              </w:rPr>
              <w:t> </w:t>
            </w:r>
            <w:r>
              <w:rPr>
                <w:b/>
                <w:sz w:val="14"/>
              </w:rPr>
              <w:t>BB</w:t>
            </w:r>
            <w:r>
              <w:rPr>
                <w:b/>
                <w:spacing w:val="-2"/>
                <w:sz w:val="14"/>
              </w:rPr>
              <w:t> </w:t>
            </w:r>
            <w:r>
              <w:rPr>
                <w:b/>
                <w:sz w:val="14"/>
              </w:rPr>
              <w:t>Monday</w:t>
            </w:r>
            <w:r>
              <w:rPr>
                <w:b/>
                <w:spacing w:val="-4"/>
                <w:sz w:val="14"/>
              </w:rPr>
              <w:t> </w:t>
            </w:r>
            <w:r>
              <w:rPr>
                <w:b/>
                <w:spacing w:val="-2"/>
                <w:sz w:val="14"/>
              </w:rPr>
              <w:t>Senior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Scoresheet</w:t>
            </w:r>
            <w:r>
              <w:rPr>
                <w:spacing w:val="-3"/>
                <w:sz w:val="14"/>
              </w:rPr>
              <w:t> </w:t>
            </w:r>
            <w:r>
              <w:rPr>
                <w:sz w:val="14"/>
              </w:rPr>
              <w:t>-</w:t>
            </w:r>
            <w:r>
              <w:rPr>
                <w:spacing w:val="-6"/>
                <w:sz w:val="14"/>
              </w:rPr>
              <w:t> </w:t>
            </w:r>
            <w:r>
              <w:rPr>
                <w:sz w:val="14"/>
              </w:rPr>
              <w:t>Winter</w:t>
            </w:r>
            <w:r>
              <w:rPr>
                <w:spacing w:val="-3"/>
                <w:sz w:val="14"/>
              </w:rPr>
              <w:t> </w:t>
            </w:r>
            <w:r>
              <w:rPr>
                <w:sz w:val="14"/>
              </w:rPr>
              <w:t>Season</w:t>
            </w:r>
            <w:r>
              <w:rPr>
                <w:spacing w:val="-7"/>
                <w:sz w:val="14"/>
              </w:rPr>
              <w:t> </w:t>
            </w:r>
            <w:r>
              <w:rPr>
                <w:spacing w:val="-4"/>
                <w:sz w:val="14"/>
              </w:rPr>
              <w:t>Fees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76.50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78.50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2.5</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Scoresheet</w:t>
            </w:r>
            <w:r>
              <w:rPr>
                <w:spacing w:val="-4"/>
                <w:sz w:val="14"/>
              </w:rPr>
              <w:t> </w:t>
            </w:r>
            <w:r>
              <w:rPr>
                <w:sz w:val="14"/>
              </w:rPr>
              <w:t>-</w:t>
            </w:r>
            <w:r>
              <w:rPr>
                <w:spacing w:val="-6"/>
                <w:sz w:val="14"/>
              </w:rPr>
              <w:t> </w:t>
            </w:r>
            <w:r>
              <w:rPr>
                <w:sz w:val="14"/>
              </w:rPr>
              <w:t>Summer</w:t>
            </w:r>
            <w:r>
              <w:rPr>
                <w:spacing w:val="-4"/>
                <w:sz w:val="14"/>
              </w:rPr>
              <w:t> </w:t>
            </w:r>
            <w:r>
              <w:rPr>
                <w:sz w:val="14"/>
              </w:rPr>
              <w:t>Season</w:t>
            </w:r>
            <w:r>
              <w:rPr>
                <w:spacing w:val="-4"/>
                <w:sz w:val="14"/>
              </w:rPr>
              <w:t> Fees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78.50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80.50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2.5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The</w:t>
            </w:r>
            <w:r>
              <w:rPr>
                <w:b/>
                <w:spacing w:val="-4"/>
                <w:sz w:val="14"/>
              </w:rPr>
              <w:t> </w:t>
            </w:r>
            <w:r>
              <w:rPr>
                <w:b/>
                <w:sz w:val="14"/>
              </w:rPr>
              <w:t>Rings</w:t>
            </w:r>
            <w:r>
              <w:rPr>
                <w:b/>
                <w:spacing w:val="-6"/>
                <w:sz w:val="14"/>
              </w:rPr>
              <w:t> </w:t>
            </w:r>
            <w:r>
              <w:rPr>
                <w:b/>
                <w:sz w:val="14"/>
              </w:rPr>
              <w:t>Biddy</w:t>
            </w:r>
            <w:r>
              <w:rPr>
                <w:b/>
                <w:spacing w:val="-2"/>
                <w:sz w:val="14"/>
              </w:rPr>
              <w:t> </w:t>
            </w:r>
            <w:r>
              <w:rPr>
                <w:b/>
                <w:sz w:val="14"/>
              </w:rPr>
              <w:t>Ball</w:t>
            </w:r>
            <w:r>
              <w:rPr>
                <w:b/>
                <w:spacing w:val="-2"/>
                <w:sz w:val="14"/>
              </w:rPr>
              <w:t> Skills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New</w:t>
            </w:r>
            <w:r>
              <w:rPr>
                <w:spacing w:val="-6"/>
                <w:sz w:val="14"/>
              </w:rPr>
              <w:t> </w:t>
            </w:r>
            <w:r>
              <w:rPr>
                <w:sz w:val="14"/>
              </w:rPr>
              <w:t>Enrolment</w:t>
            </w:r>
            <w:r>
              <w:rPr>
                <w:spacing w:val="-4"/>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12.80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13.45</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The</w:t>
            </w:r>
            <w:r>
              <w:rPr>
                <w:b/>
                <w:spacing w:val="-5"/>
                <w:sz w:val="14"/>
              </w:rPr>
              <w:t> </w:t>
            </w:r>
            <w:r>
              <w:rPr>
                <w:b/>
                <w:sz w:val="14"/>
              </w:rPr>
              <w:t>Rings</w:t>
            </w:r>
            <w:r>
              <w:rPr>
                <w:b/>
                <w:spacing w:val="-5"/>
                <w:sz w:val="14"/>
              </w:rPr>
              <w:t> </w:t>
            </w:r>
            <w:r>
              <w:rPr>
                <w:b/>
                <w:sz w:val="14"/>
              </w:rPr>
              <w:t>Biddy</w:t>
            </w:r>
            <w:r>
              <w:rPr>
                <w:b/>
                <w:spacing w:val="-2"/>
                <w:sz w:val="14"/>
              </w:rPr>
              <w:t> </w:t>
            </w:r>
            <w:r>
              <w:rPr>
                <w:b/>
                <w:sz w:val="14"/>
              </w:rPr>
              <w:t>Ball</w:t>
            </w:r>
            <w:r>
              <w:rPr>
                <w:b/>
                <w:spacing w:val="-2"/>
                <w:sz w:val="14"/>
              </w:rPr>
              <w:t> </w:t>
            </w:r>
            <w:r>
              <w:rPr>
                <w:b/>
                <w:spacing w:val="-4"/>
                <w:sz w:val="14"/>
              </w:rPr>
              <w:t>Play</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Weekly</w:t>
            </w:r>
            <w:r>
              <w:rPr>
                <w:spacing w:val="-5"/>
                <w:sz w:val="14"/>
              </w:rPr>
              <w:t> 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12.80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13.45</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The</w:t>
            </w:r>
            <w:r>
              <w:rPr>
                <w:b/>
                <w:spacing w:val="-4"/>
                <w:sz w:val="14"/>
              </w:rPr>
              <w:t> </w:t>
            </w:r>
            <w:r>
              <w:rPr>
                <w:b/>
                <w:sz w:val="14"/>
              </w:rPr>
              <w:t>Rings</w:t>
            </w:r>
            <w:r>
              <w:rPr>
                <w:b/>
                <w:spacing w:val="-6"/>
                <w:sz w:val="14"/>
              </w:rPr>
              <w:t> </w:t>
            </w:r>
            <w:r>
              <w:rPr>
                <w:b/>
                <w:sz w:val="14"/>
              </w:rPr>
              <w:t>Biddy</w:t>
            </w:r>
            <w:r>
              <w:rPr>
                <w:b/>
                <w:spacing w:val="-2"/>
                <w:sz w:val="14"/>
              </w:rPr>
              <w:t> </w:t>
            </w:r>
            <w:r>
              <w:rPr>
                <w:b/>
                <w:sz w:val="14"/>
              </w:rPr>
              <w:t>Ball</w:t>
            </w:r>
            <w:r>
              <w:rPr>
                <w:b/>
                <w:spacing w:val="-2"/>
                <w:sz w:val="14"/>
              </w:rPr>
              <w:t> </w:t>
            </w:r>
            <w:r>
              <w:rPr>
                <w:b/>
                <w:spacing w:val="-4"/>
                <w:sz w:val="14"/>
              </w:rPr>
              <w:t>Intro</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Weekly</w:t>
            </w:r>
            <w:r>
              <w:rPr>
                <w:spacing w:val="-5"/>
                <w:sz w:val="14"/>
              </w:rPr>
              <w:t> 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12.80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13.45</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4.8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The</w:t>
            </w:r>
            <w:r>
              <w:rPr>
                <w:b/>
                <w:spacing w:val="-5"/>
                <w:sz w:val="14"/>
              </w:rPr>
              <w:t> </w:t>
            </w:r>
            <w:r>
              <w:rPr>
                <w:b/>
                <w:sz w:val="14"/>
              </w:rPr>
              <w:t>Rings</w:t>
            </w:r>
            <w:r>
              <w:rPr>
                <w:b/>
                <w:spacing w:val="-7"/>
                <w:sz w:val="14"/>
              </w:rPr>
              <w:t> </w:t>
            </w:r>
            <w:r>
              <w:rPr>
                <w:b/>
                <w:sz w:val="14"/>
              </w:rPr>
              <w:t>Basketball</w:t>
            </w:r>
            <w:r>
              <w:rPr>
                <w:b/>
                <w:spacing w:val="-4"/>
                <w:sz w:val="14"/>
              </w:rPr>
              <w:t> </w:t>
            </w:r>
            <w:r>
              <w:rPr>
                <w:b/>
                <w:sz w:val="14"/>
              </w:rPr>
              <w:t>Holiday</w:t>
            </w:r>
            <w:r>
              <w:rPr>
                <w:b/>
                <w:spacing w:val="-7"/>
                <w:sz w:val="14"/>
              </w:rPr>
              <w:t> </w:t>
            </w:r>
            <w:r>
              <w:rPr>
                <w:b/>
                <w:spacing w:val="-4"/>
                <w:sz w:val="14"/>
              </w:rPr>
              <w:t>Prog</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Daily</w:t>
            </w:r>
            <w:r>
              <w:rPr>
                <w:spacing w:val="-5"/>
                <w:sz w:val="14"/>
              </w:rPr>
              <w:t> </w:t>
            </w:r>
            <w:r>
              <w:rPr>
                <w:spacing w:val="-4"/>
                <w:sz w:val="14"/>
              </w:rPr>
              <w:t>Rate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64.45</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The</w:t>
            </w:r>
            <w:r>
              <w:rPr>
                <w:b/>
                <w:spacing w:val="-4"/>
                <w:sz w:val="14"/>
              </w:rPr>
              <w:t> </w:t>
            </w:r>
            <w:r>
              <w:rPr>
                <w:b/>
                <w:sz w:val="14"/>
              </w:rPr>
              <w:t>Rings</w:t>
            </w:r>
            <w:r>
              <w:rPr>
                <w:b/>
                <w:spacing w:val="-5"/>
                <w:sz w:val="14"/>
              </w:rPr>
              <w:t> </w:t>
            </w:r>
            <w:r>
              <w:rPr>
                <w:b/>
                <w:sz w:val="14"/>
              </w:rPr>
              <w:t>Schools</w:t>
            </w:r>
            <w:r>
              <w:rPr>
                <w:b/>
                <w:spacing w:val="-5"/>
                <w:sz w:val="14"/>
              </w:rPr>
              <w:t> </w:t>
            </w:r>
            <w:r>
              <w:rPr>
                <w:b/>
                <w:sz w:val="14"/>
              </w:rPr>
              <w:t>Court</w:t>
            </w:r>
            <w:r>
              <w:rPr>
                <w:b/>
                <w:spacing w:val="-4"/>
                <w:sz w:val="14"/>
              </w:rPr>
              <w:t> Hire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Per</w:t>
            </w:r>
            <w:r>
              <w:rPr>
                <w:spacing w:val="-5"/>
                <w:sz w:val="14"/>
              </w:rPr>
              <w:t> </w:t>
            </w:r>
            <w:r>
              <w:rPr>
                <w:spacing w:val="-4"/>
                <w:sz w:val="14"/>
              </w:rPr>
              <w:t>Hour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52.60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54.76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The</w:t>
            </w:r>
            <w:r>
              <w:rPr>
                <w:b/>
                <w:spacing w:val="-5"/>
                <w:sz w:val="14"/>
              </w:rPr>
              <w:t> </w:t>
            </w:r>
            <w:r>
              <w:rPr>
                <w:b/>
                <w:sz w:val="14"/>
              </w:rPr>
              <w:t>Rings</w:t>
            </w:r>
            <w:r>
              <w:rPr>
                <w:b/>
                <w:spacing w:val="-4"/>
                <w:sz w:val="14"/>
              </w:rPr>
              <w:t> </w:t>
            </w:r>
            <w:r>
              <w:rPr>
                <w:b/>
                <w:sz w:val="14"/>
              </w:rPr>
              <w:t>General</w:t>
            </w:r>
            <w:r>
              <w:rPr>
                <w:b/>
                <w:spacing w:val="-3"/>
                <w:sz w:val="14"/>
              </w:rPr>
              <w:t> </w:t>
            </w:r>
            <w:r>
              <w:rPr>
                <w:b/>
                <w:sz w:val="14"/>
              </w:rPr>
              <w:t>Court</w:t>
            </w:r>
            <w:r>
              <w:rPr>
                <w:b/>
                <w:spacing w:val="-3"/>
                <w:sz w:val="14"/>
              </w:rPr>
              <w:t> </w:t>
            </w:r>
            <w:r>
              <w:rPr>
                <w:b/>
                <w:spacing w:val="-4"/>
                <w:sz w:val="14"/>
              </w:rPr>
              <w:t>Hire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Casual</w:t>
            </w:r>
            <w:r>
              <w:rPr>
                <w:spacing w:val="-7"/>
                <w:sz w:val="14"/>
              </w:rPr>
              <w:t> </w:t>
            </w:r>
            <w:r>
              <w:rPr>
                <w:spacing w:val="-2"/>
                <w:sz w:val="14"/>
              </w:rPr>
              <w:t>Shooting</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4"/>
                <w:sz w:val="14"/>
              </w:rPr>
              <w:t>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4"/>
                <w:sz w:val="14"/>
              </w:rPr>
              <w:t>5.50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9.1</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Off</w:t>
            </w:r>
            <w:r>
              <w:rPr>
                <w:spacing w:val="-5"/>
                <w:sz w:val="14"/>
              </w:rPr>
              <w:t> </w:t>
            </w:r>
            <w:r>
              <w:rPr>
                <w:spacing w:val="-4"/>
                <w:sz w:val="14"/>
              </w:rPr>
              <w:t>Peak</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50.60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52.60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pacing w:val="-4"/>
                <w:sz w:val="14"/>
              </w:rPr>
              <w:t>Peak</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69.60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72.40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All</w:t>
            </w:r>
            <w:r>
              <w:rPr>
                <w:spacing w:val="-5"/>
                <w:sz w:val="14"/>
              </w:rPr>
              <w:t> </w:t>
            </w:r>
            <w:r>
              <w:rPr>
                <w:sz w:val="14"/>
              </w:rPr>
              <w:t>Abilities</w:t>
            </w:r>
            <w:r>
              <w:rPr>
                <w:spacing w:val="-4"/>
                <w:sz w:val="14"/>
              </w:rPr>
              <w:t> </w:t>
            </w:r>
            <w:r>
              <w:rPr>
                <w:spacing w:val="-2"/>
                <w:sz w:val="14"/>
              </w:rPr>
              <w:t>Program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3.50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4.00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81"/>
              <w:jc w:val="center"/>
              <w:rPr>
                <w:sz w:val="14"/>
              </w:rPr>
            </w:pPr>
            <w:r>
              <w:rPr>
                <w:spacing w:val="-4"/>
                <w:sz w:val="14"/>
              </w:rPr>
              <w:t>12.5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Function</w:t>
            </w:r>
            <w:r>
              <w:rPr>
                <w:spacing w:val="-7"/>
                <w:sz w:val="14"/>
              </w:rPr>
              <w:t> </w:t>
            </w:r>
            <w:r>
              <w:rPr>
                <w:sz w:val="14"/>
              </w:rPr>
              <w:t>Room</w:t>
            </w:r>
            <w:r>
              <w:rPr>
                <w:spacing w:val="-4"/>
                <w:sz w:val="14"/>
              </w:rPr>
              <w:t> Hire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35.60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37.00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The</w:t>
            </w:r>
            <w:r>
              <w:rPr>
                <w:b/>
                <w:spacing w:val="-4"/>
                <w:sz w:val="14"/>
              </w:rPr>
              <w:t> </w:t>
            </w:r>
            <w:r>
              <w:rPr>
                <w:b/>
                <w:sz w:val="14"/>
              </w:rPr>
              <w:t>Rings</w:t>
            </w:r>
            <w:r>
              <w:rPr>
                <w:b/>
                <w:spacing w:val="-3"/>
                <w:sz w:val="14"/>
              </w:rPr>
              <w:t> </w:t>
            </w:r>
            <w:r>
              <w:rPr>
                <w:b/>
                <w:sz w:val="14"/>
              </w:rPr>
              <w:t>Open</w:t>
            </w:r>
            <w:r>
              <w:rPr>
                <w:b/>
                <w:spacing w:val="-2"/>
                <w:sz w:val="14"/>
              </w:rPr>
              <w:t> </w:t>
            </w:r>
            <w:r>
              <w:rPr>
                <w:b/>
                <w:spacing w:val="-4"/>
                <w:sz w:val="14"/>
              </w:rPr>
              <w:t>Days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Open</w:t>
            </w:r>
            <w:r>
              <w:rPr>
                <w:spacing w:val="-6"/>
                <w:sz w:val="14"/>
              </w:rPr>
              <w:t> </w:t>
            </w:r>
            <w:r>
              <w:rPr>
                <w:spacing w:val="-5"/>
                <w:sz w:val="14"/>
              </w:rPr>
              <w:t>day</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10.50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10.90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3.7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Maroondah</w:t>
            </w:r>
            <w:r>
              <w:rPr>
                <w:b/>
                <w:spacing w:val="-5"/>
                <w:sz w:val="14"/>
              </w:rPr>
              <w:t> </w:t>
            </w:r>
            <w:r>
              <w:rPr>
                <w:b/>
                <w:sz w:val="14"/>
              </w:rPr>
              <w:t>Nets</w:t>
            </w:r>
            <w:r>
              <w:rPr>
                <w:b/>
                <w:spacing w:val="-7"/>
                <w:sz w:val="14"/>
              </w:rPr>
              <w:t> </w:t>
            </w:r>
            <w:r>
              <w:rPr>
                <w:b/>
                <w:sz w:val="14"/>
              </w:rPr>
              <w:t>Volleyball</w:t>
            </w:r>
            <w:r>
              <w:rPr>
                <w:b/>
                <w:spacing w:val="-7"/>
                <w:sz w:val="14"/>
              </w:rPr>
              <w:t> </w:t>
            </w:r>
            <w:r>
              <w:rPr>
                <w:b/>
                <w:sz w:val="14"/>
              </w:rPr>
              <w:t>Badminton</w:t>
            </w:r>
            <w:r>
              <w:rPr>
                <w:b/>
                <w:spacing w:val="-6"/>
                <w:sz w:val="14"/>
              </w:rPr>
              <w:t> </w:t>
            </w:r>
            <w:r>
              <w:rPr>
                <w:b/>
                <w:sz w:val="14"/>
              </w:rPr>
              <w:t>Holiday</w:t>
            </w:r>
            <w:r>
              <w:rPr>
                <w:b/>
                <w:spacing w:val="-8"/>
                <w:sz w:val="14"/>
              </w:rPr>
              <w:t> </w:t>
            </w:r>
            <w:r>
              <w:rPr>
                <w:b/>
                <w:spacing w:val="-2"/>
                <w:sz w:val="14"/>
              </w:rPr>
              <w:t>Program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Holiday</w:t>
            </w:r>
            <w:r>
              <w:rPr>
                <w:spacing w:val="-6"/>
                <w:sz w:val="14"/>
              </w:rPr>
              <w:t> </w:t>
            </w:r>
            <w:r>
              <w:rPr>
                <w:spacing w:val="-2"/>
                <w:sz w:val="14"/>
              </w:rPr>
              <w:t>Program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62.00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64.45</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Maroondah</w:t>
            </w:r>
            <w:r>
              <w:rPr>
                <w:b/>
                <w:spacing w:val="-3"/>
                <w:sz w:val="14"/>
              </w:rPr>
              <w:t> </w:t>
            </w:r>
            <w:r>
              <w:rPr>
                <w:b/>
                <w:sz w:val="14"/>
              </w:rPr>
              <w:t>Nets</w:t>
            </w:r>
            <w:r>
              <w:rPr>
                <w:b/>
                <w:spacing w:val="-7"/>
                <w:sz w:val="14"/>
              </w:rPr>
              <w:t> </w:t>
            </w:r>
            <w:r>
              <w:rPr>
                <w:b/>
                <w:sz w:val="14"/>
              </w:rPr>
              <w:t>Soccer</w:t>
            </w:r>
            <w:r>
              <w:rPr>
                <w:b/>
                <w:spacing w:val="-3"/>
                <w:sz w:val="14"/>
              </w:rPr>
              <w:t> </w:t>
            </w:r>
            <w:r>
              <w:rPr>
                <w:b/>
                <w:sz w:val="14"/>
              </w:rPr>
              <w:t>Holiday</w:t>
            </w:r>
            <w:r>
              <w:rPr>
                <w:b/>
                <w:spacing w:val="-6"/>
                <w:sz w:val="14"/>
              </w:rPr>
              <w:t> </w:t>
            </w:r>
            <w:r>
              <w:rPr>
                <w:b/>
                <w:spacing w:val="-2"/>
                <w:sz w:val="14"/>
              </w:rPr>
              <w:t>Program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Participation</w:t>
            </w:r>
            <w:r>
              <w:rPr>
                <w:spacing w:val="-6"/>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62.00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64.45</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Maroondah</w:t>
            </w:r>
            <w:r>
              <w:rPr>
                <w:b/>
                <w:spacing w:val="-4"/>
                <w:sz w:val="14"/>
              </w:rPr>
              <w:t> </w:t>
            </w:r>
            <w:r>
              <w:rPr>
                <w:b/>
                <w:sz w:val="14"/>
              </w:rPr>
              <w:t>Nets</w:t>
            </w:r>
            <w:r>
              <w:rPr>
                <w:b/>
                <w:spacing w:val="-7"/>
                <w:sz w:val="14"/>
              </w:rPr>
              <w:t> </w:t>
            </w:r>
            <w:r>
              <w:rPr>
                <w:b/>
                <w:sz w:val="14"/>
              </w:rPr>
              <w:t>Netball</w:t>
            </w:r>
            <w:r>
              <w:rPr>
                <w:b/>
                <w:spacing w:val="-5"/>
                <w:sz w:val="14"/>
              </w:rPr>
              <w:t> </w:t>
            </w:r>
            <w:r>
              <w:rPr>
                <w:b/>
                <w:sz w:val="14"/>
              </w:rPr>
              <w:t>Holiday</w:t>
            </w:r>
            <w:r>
              <w:rPr>
                <w:b/>
                <w:spacing w:val="-7"/>
                <w:sz w:val="14"/>
              </w:rPr>
              <w:t> </w:t>
            </w:r>
            <w:r>
              <w:rPr>
                <w:b/>
                <w:spacing w:val="-2"/>
                <w:sz w:val="14"/>
              </w:rPr>
              <w:t>Program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Holiday</w:t>
            </w:r>
            <w:r>
              <w:rPr>
                <w:spacing w:val="-6"/>
                <w:sz w:val="14"/>
              </w:rPr>
              <w:t> </w:t>
            </w:r>
            <w:r>
              <w:rPr>
                <w:spacing w:val="-2"/>
                <w:sz w:val="14"/>
              </w:rPr>
              <w:t>Program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62.00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64.45</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3.8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Maroondah</w:t>
            </w:r>
            <w:r>
              <w:rPr>
                <w:b/>
                <w:spacing w:val="-4"/>
                <w:sz w:val="14"/>
              </w:rPr>
              <w:t> </w:t>
            </w:r>
            <w:r>
              <w:rPr>
                <w:b/>
                <w:sz w:val="14"/>
              </w:rPr>
              <w:t>Nets</w:t>
            </w:r>
            <w:r>
              <w:rPr>
                <w:b/>
                <w:spacing w:val="-5"/>
                <w:sz w:val="14"/>
              </w:rPr>
              <w:t> </w:t>
            </w:r>
            <w:r>
              <w:rPr>
                <w:b/>
                <w:sz w:val="14"/>
              </w:rPr>
              <w:t>Multi</w:t>
            </w:r>
            <w:r>
              <w:rPr>
                <w:b/>
                <w:spacing w:val="-4"/>
                <w:sz w:val="14"/>
              </w:rPr>
              <w:t> </w:t>
            </w:r>
            <w:r>
              <w:rPr>
                <w:b/>
                <w:sz w:val="14"/>
              </w:rPr>
              <w:t>Sports</w:t>
            </w:r>
            <w:r>
              <w:rPr>
                <w:b/>
                <w:spacing w:val="-4"/>
                <w:sz w:val="14"/>
              </w:rPr>
              <w:t> </w:t>
            </w:r>
            <w:r>
              <w:rPr>
                <w:b/>
                <w:sz w:val="14"/>
              </w:rPr>
              <w:t>Holiday</w:t>
            </w:r>
            <w:r>
              <w:rPr>
                <w:b/>
                <w:spacing w:val="-6"/>
                <w:sz w:val="14"/>
              </w:rPr>
              <w:t> </w:t>
            </w:r>
            <w:r>
              <w:rPr>
                <w:b/>
                <w:spacing w:val="-2"/>
                <w:sz w:val="14"/>
              </w:rPr>
              <w:t>Program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Holiday</w:t>
            </w:r>
            <w:r>
              <w:rPr>
                <w:spacing w:val="-6"/>
                <w:sz w:val="14"/>
              </w:rPr>
              <w:t> </w:t>
            </w:r>
            <w:r>
              <w:rPr>
                <w:spacing w:val="-2"/>
                <w:sz w:val="14"/>
              </w:rPr>
              <w:t>Program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69.20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71.90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Maroondah</w:t>
            </w:r>
            <w:r>
              <w:rPr>
                <w:b/>
                <w:spacing w:val="-4"/>
                <w:sz w:val="14"/>
              </w:rPr>
              <w:t> </w:t>
            </w:r>
            <w:r>
              <w:rPr>
                <w:b/>
                <w:sz w:val="14"/>
              </w:rPr>
              <w:t>Nets</w:t>
            </w:r>
            <w:r>
              <w:rPr>
                <w:b/>
                <w:spacing w:val="-8"/>
                <w:sz w:val="14"/>
              </w:rPr>
              <w:t> </w:t>
            </w:r>
            <w:r>
              <w:rPr>
                <w:b/>
                <w:sz w:val="14"/>
              </w:rPr>
              <w:t>Tennis</w:t>
            </w:r>
            <w:r>
              <w:rPr>
                <w:b/>
                <w:spacing w:val="-3"/>
                <w:sz w:val="14"/>
              </w:rPr>
              <w:t> </w:t>
            </w:r>
            <w:r>
              <w:rPr>
                <w:b/>
                <w:sz w:val="14"/>
              </w:rPr>
              <w:t>Holiday</w:t>
            </w:r>
            <w:r>
              <w:rPr>
                <w:b/>
                <w:spacing w:val="-6"/>
                <w:sz w:val="14"/>
              </w:rPr>
              <w:t> </w:t>
            </w:r>
            <w:r>
              <w:rPr>
                <w:b/>
                <w:spacing w:val="-2"/>
                <w:sz w:val="14"/>
              </w:rPr>
              <w:t>Program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Tennis</w:t>
            </w:r>
            <w:r>
              <w:rPr>
                <w:spacing w:val="-6"/>
                <w:sz w:val="14"/>
              </w:rPr>
              <w:t> </w:t>
            </w:r>
            <w:r>
              <w:rPr>
                <w:sz w:val="14"/>
              </w:rPr>
              <w:t>Holiday</w:t>
            </w:r>
            <w:r>
              <w:rPr>
                <w:spacing w:val="-6"/>
                <w:sz w:val="14"/>
              </w:rPr>
              <w:t> </w:t>
            </w:r>
            <w:r>
              <w:rPr>
                <w:sz w:val="14"/>
              </w:rPr>
              <w:t>Program</w:t>
            </w:r>
            <w:r>
              <w:rPr>
                <w:spacing w:val="-5"/>
                <w:sz w:val="14"/>
              </w:rPr>
              <w:t> </w:t>
            </w:r>
            <w:r>
              <w:rPr>
                <w:sz w:val="14"/>
              </w:rPr>
              <w:t>Participation</w:t>
            </w:r>
            <w:r>
              <w:rPr>
                <w:spacing w:val="-5"/>
                <w:sz w:val="14"/>
              </w:rPr>
              <w:t> </w:t>
            </w:r>
            <w:r>
              <w:rPr>
                <w:sz w:val="14"/>
              </w:rPr>
              <w:t>fee</w:t>
            </w:r>
            <w:r>
              <w:rPr>
                <w:spacing w:val="-4"/>
                <w:sz w:val="14"/>
              </w:rPr>
              <w:t> </w:t>
            </w:r>
            <w:r>
              <w:rPr>
                <w:sz w:val="14"/>
              </w:rPr>
              <w:t>Maroondah</w:t>
            </w:r>
            <w:r>
              <w:rPr>
                <w:spacing w:val="-3"/>
                <w:sz w:val="14"/>
              </w:rPr>
              <w:t> </w:t>
            </w:r>
            <w:r>
              <w:rPr>
                <w:spacing w:val="-4"/>
                <w:sz w:val="14"/>
              </w:rPr>
              <w:t>Nets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69.20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71.90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Maroondah</w:t>
            </w:r>
            <w:r>
              <w:rPr>
                <w:b/>
                <w:spacing w:val="-3"/>
                <w:sz w:val="14"/>
              </w:rPr>
              <w:t> </w:t>
            </w:r>
            <w:r>
              <w:rPr>
                <w:b/>
                <w:sz w:val="14"/>
              </w:rPr>
              <w:t>Nets</w:t>
            </w:r>
            <w:r>
              <w:rPr>
                <w:b/>
                <w:spacing w:val="-6"/>
                <w:sz w:val="14"/>
              </w:rPr>
              <w:t> </w:t>
            </w:r>
            <w:r>
              <w:rPr>
                <w:b/>
                <w:sz w:val="14"/>
              </w:rPr>
              <w:t>School</w:t>
            </w:r>
            <w:r>
              <w:rPr>
                <w:b/>
                <w:spacing w:val="-5"/>
                <w:sz w:val="14"/>
              </w:rPr>
              <w:t> </w:t>
            </w:r>
            <w:r>
              <w:rPr>
                <w:b/>
                <w:sz w:val="14"/>
              </w:rPr>
              <w:t>Court</w:t>
            </w:r>
            <w:r>
              <w:rPr>
                <w:b/>
                <w:spacing w:val="-3"/>
                <w:sz w:val="14"/>
              </w:rPr>
              <w:t> </w:t>
            </w:r>
            <w:r>
              <w:rPr>
                <w:b/>
                <w:spacing w:val="-4"/>
                <w:sz w:val="14"/>
              </w:rPr>
              <w:t>Hire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Court</w:t>
            </w:r>
            <w:r>
              <w:rPr>
                <w:spacing w:val="-4"/>
                <w:sz w:val="14"/>
              </w:rPr>
              <w:t> </w:t>
            </w:r>
            <w:r>
              <w:rPr>
                <w:sz w:val="14"/>
              </w:rPr>
              <w:t>Hire</w:t>
            </w:r>
            <w:r>
              <w:rPr>
                <w:spacing w:val="-3"/>
                <w:sz w:val="14"/>
              </w:rPr>
              <w:t> </w:t>
            </w:r>
            <w:r>
              <w:rPr>
                <w:sz w:val="14"/>
              </w:rPr>
              <w:t>-</w:t>
            </w:r>
            <w:r>
              <w:rPr>
                <w:spacing w:val="-1"/>
                <w:sz w:val="14"/>
              </w:rPr>
              <w:t> </w:t>
            </w:r>
            <w:r>
              <w:rPr>
                <w:spacing w:val="-2"/>
                <w:sz w:val="14"/>
              </w:rPr>
              <w:t>Schools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52.60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54.76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3.9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Per</w:t>
            </w:r>
            <w:r>
              <w:rPr>
                <w:spacing w:val="-6"/>
                <w:sz w:val="14"/>
              </w:rPr>
              <w:t> </w:t>
            </w:r>
            <w:r>
              <w:rPr>
                <w:sz w:val="14"/>
              </w:rPr>
              <w:t>outdoor</w:t>
            </w:r>
            <w:r>
              <w:rPr>
                <w:spacing w:val="-3"/>
                <w:sz w:val="14"/>
              </w:rPr>
              <w:t> </w:t>
            </w:r>
            <w:r>
              <w:rPr>
                <w:sz w:val="14"/>
              </w:rPr>
              <w:t>netball</w:t>
            </w:r>
            <w:r>
              <w:rPr>
                <w:spacing w:val="-5"/>
                <w:sz w:val="14"/>
              </w:rPr>
              <w:t> </w:t>
            </w:r>
            <w:r>
              <w:rPr>
                <w:spacing w:val="-2"/>
                <w:sz w:val="14"/>
              </w:rPr>
              <w:t>court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16.80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17.56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4.3</w:t>
            </w:r>
          </w:p>
        </w:tc>
      </w:tr>
    </w:tbl>
    <w:p>
      <w:pPr>
        <w:spacing w:after="0" w:line="140" w:lineRule="exact"/>
        <w:jc w:val="center"/>
        <w:rPr>
          <w:sz w:val="14"/>
        </w:rPr>
        <w:sectPr>
          <w:type w:val="continuous"/>
          <w:pgSz w:w="11910" w:h="16840"/>
          <w:pgMar w:header="0" w:footer="378" w:top="680" w:bottom="874" w:left="520" w:right="520"/>
        </w:sectPr>
      </w:pPr>
    </w:p>
    <w:tbl>
      <w:tblPr>
        <w:tblW w:w="0" w:type="auto"/>
        <w:jc w:val="left"/>
        <w:tblInd w:w="13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70"/>
        <w:gridCol w:w="1028"/>
        <w:gridCol w:w="769"/>
        <w:gridCol w:w="973"/>
        <w:gridCol w:w="1199"/>
        <w:gridCol w:w="897"/>
      </w:tblGrid>
      <w:tr>
        <w:trPr>
          <w:trHeight w:val="232" w:hRule="atLeast"/>
        </w:trPr>
        <w:tc>
          <w:tcPr>
            <w:tcW w:w="10636" w:type="dxa"/>
            <w:gridSpan w:val="6"/>
            <w:tcBorders>
              <w:left w:val="single" w:sz="12" w:space="0" w:color="000000"/>
              <w:bottom w:val="single" w:sz="4" w:space="0" w:color="000000"/>
              <w:right w:val="single" w:sz="12" w:space="0" w:color="000000"/>
            </w:tcBorders>
            <w:shd w:val="clear" w:color="auto" w:fill="3399FF"/>
          </w:tcPr>
          <w:p>
            <w:pPr>
              <w:pStyle w:val="TableParagraph"/>
              <w:spacing w:before="32"/>
              <w:ind w:left="4308" w:right="4290"/>
              <w:jc w:val="center"/>
              <w:rPr>
                <w:b/>
                <w:sz w:val="14"/>
              </w:rPr>
            </w:pPr>
            <w:r>
              <w:rPr>
                <w:b/>
                <w:color w:val="FFFFFF"/>
                <w:sz w:val="14"/>
              </w:rPr>
              <w:t>FEES</w:t>
            </w:r>
            <w:r>
              <w:rPr>
                <w:b/>
                <w:color w:val="FFFFFF"/>
                <w:spacing w:val="-5"/>
                <w:sz w:val="14"/>
              </w:rPr>
              <w:t> </w:t>
            </w:r>
            <w:r>
              <w:rPr>
                <w:b/>
                <w:color w:val="FFFFFF"/>
                <w:sz w:val="14"/>
              </w:rPr>
              <w:t>AND</w:t>
            </w:r>
            <w:r>
              <w:rPr>
                <w:b/>
                <w:color w:val="FFFFFF"/>
                <w:spacing w:val="-4"/>
                <w:sz w:val="14"/>
              </w:rPr>
              <w:t> </w:t>
            </w:r>
            <w:r>
              <w:rPr>
                <w:b/>
                <w:color w:val="FFFFFF"/>
                <w:sz w:val="14"/>
              </w:rPr>
              <w:t>CHARGES</w:t>
            </w:r>
            <w:r>
              <w:rPr>
                <w:b/>
                <w:color w:val="FFFFFF"/>
                <w:spacing w:val="-1"/>
                <w:sz w:val="14"/>
              </w:rPr>
              <w:t> </w:t>
            </w:r>
            <w:r>
              <w:rPr>
                <w:b/>
                <w:color w:val="FFFFFF"/>
                <w:spacing w:val="-2"/>
                <w:sz w:val="14"/>
              </w:rPr>
              <w:t>2025/26</w:t>
            </w:r>
          </w:p>
        </w:tc>
      </w:tr>
      <w:tr>
        <w:trPr>
          <w:trHeight w:val="858" w:hRule="atLeast"/>
        </w:trPr>
        <w:tc>
          <w:tcPr>
            <w:tcW w:w="5770" w:type="dxa"/>
            <w:tcBorders>
              <w:top w:val="single" w:sz="4" w:space="0" w:color="000000"/>
              <w:left w:val="single" w:sz="12" w:space="0" w:color="000000"/>
              <w:bottom w:val="single" w:sz="4" w:space="0" w:color="000000"/>
              <w:right w:val="single" w:sz="4"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107"/>
              <w:rPr>
                <w:b/>
                <w:sz w:val="14"/>
              </w:rPr>
            </w:pPr>
            <w:r>
              <w:rPr>
                <w:b/>
                <w:color w:val="FFFFFF"/>
                <w:sz w:val="14"/>
              </w:rPr>
              <w:t>Account</w:t>
            </w:r>
            <w:r>
              <w:rPr>
                <w:b/>
                <w:color w:val="FFFFFF"/>
                <w:spacing w:val="-7"/>
                <w:sz w:val="14"/>
              </w:rPr>
              <w:t> </w:t>
            </w:r>
            <w:r>
              <w:rPr>
                <w:b/>
                <w:color w:val="FFFFFF"/>
                <w:spacing w:val="-2"/>
                <w:sz w:val="14"/>
              </w:rPr>
              <w:t>Description</w:t>
            </w:r>
          </w:p>
        </w:tc>
        <w:tc>
          <w:tcPr>
            <w:tcW w:w="1028"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26" w:right="101" w:firstLine="4"/>
              <w:jc w:val="center"/>
              <w:rPr>
                <w:b/>
                <w:sz w:val="14"/>
              </w:rPr>
            </w:pPr>
            <w:r>
              <w:rPr>
                <w:b/>
                <w:color w:val="FFFFFF"/>
                <w:sz w:val="14"/>
              </w:rPr>
              <w:t>Fee</w:t>
            </w:r>
            <w:r>
              <w:rPr>
                <w:b/>
                <w:color w:val="FFFFFF"/>
                <w:spacing w:val="-6"/>
                <w:sz w:val="14"/>
              </w:rPr>
              <w:t> </w:t>
            </w:r>
            <w:r>
              <w:rPr>
                <w:b/>
                <w:color w:val="FFFFFF"/>
                <w:sz w:val="14"/>
              </w:rPr>
              <w:t>Type</w:t>
            </w:r>
            <w:r>
              <w:rPr>
                <w:b/>
                <w:color w:val="FFFFFF"/>
                <w:spacing w:val="40"/>
                <w:sz w:val="14"/>
              </w:rPr>
              <w:t> </w:t>
            </w:r>
            <w:r>
              <w:rPr>
                <w:b/>
                <w:color w:val="FFFFFF"/>
                <w:spacing w:val="-2"/>
                <w:sz w:val="14"/>
              </w:rPr>
              <w:t>N=Non-</w:t>
            </w:r>
            <w:r>
              <w:rPr>
                <w:b/>
                <w:color w:val="FFFFFF"/>
                <w:spacing w:val="40"/>
                <w:sz w:val="14"/>
              </w:rPr>
              <w:t> </w:t>
            </w:r>
            <w:r>
              <w:rPr>
                <w:b/>
                <w:color w:val="FFFFFF"/>
                <w:spacing w:val="-2"/>
                <w:sz w:val="14"/>
              </w:rPr>
              <w:t>Statutory</w:t>
            </w:r>
            <w:r>
              <w:rPr>
                <w:b/>
                <w:color w:val="FFFFFF"/>
                <w:spacing w:val="40"/>
                <w:sz w:val="14"/>
              </w:rPr>
              <w:t> </w:t>
            </w:r>
            <w:r>
              <w:rPr>
                <w:b/>
                <w:color w:val="FFFFFF"/>
                <w:spacing w:val="-2"/>
                <w:sz w:val="14"/>
              </w:rPr>
              <w:t>S=Statutory</w:t>
            </w:r>
          </w:p>
        </w:tc>
        <w:tc>
          <w:tcPr>
            <w:tcW w:w="76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4"/>
              <w:rPr>
                <w:sz w:val="23"/>
              </w:rPr>
            </w:pPr>
          </w:p>
          <w:p>
            <w:pPr>
              <w:pStyle w:val="TableParagraph"/>
              <w:spacing w:before="1"/>
              <w:ind w:left="248"/>
              <w:rPr>
                <w:b/>
                <w:sz w:val="14"/>
              </w:rPr>
            </w:pPr>
            <w:r>
              <w:rPr>
                <w:b/>
                <w:color w:val="FFFFFF"/>
                <w:spacing w:val="-5"/>
                <w:sz w:val="14"/>
              </w:rPr>
              <w:t>GST</w:t>
            </w:r>
          </w:p>
          <w:p>
            <w:pPr>
              <w:pStyle w:val="TableParagraph"/>
              <w:ind w:left="154"/>
              <w:rPr>
                <w:b/>
                <w:sz w:val="14"/>
              </w:rPr>
            </w:pPr>
            <w:r>
              <w:rPr>
                <w:b/>
                <w:color w:val="FFFFFF"/>
                <w:spacing w:val="-2"/>
                <w:sz w:val="14"/>
              </w:rPr>
              <w:t>Yes/No</w:t>
            </w:r>
          </w:p>
        </w:tc>
        <w:tc>
          <w:tcPr>
            <w:tcW w:w="973"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05" w:right="84"/>
              <w:jc w:val="center"/>
              <w:rPr>
                <w:b/>
                <w:sz w:val="14"/>
              </w:rPr>
            </w:pPr>
            <w:r>
              <w:rPr>
                <w:b/>
                <w:color w:val="FFFFFF"/>
                <w:spacing w:val="-2"/>
                <w:sz w:val="14"/>
              </w:rPr>
              <w:t>2024/25</w:t>
            </w:r>
          </w:p>
          <w:p>
            <w:pPr>
              <w:pStyle w:val="TableParagraph"/>
              <w:ind w:left="189" w:right="168" w:firstLine="1"/>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40"/>
                <w:sz w:val="14"/>
              </w:rPr>
              <w:t> </w:t>
            </w:r>
            <w:r>
              <w:rPr>
                <w:b/>
                <w:color w:val="FFFFFF"/>
                <w:sz w:val="14"/>
              </w:rPr>
              <w:t>Incl.</w:t>
            </w:r>
            <w:r>
              <w:rPr>
                <w:b/>
                <w:color w:val="FFFFFF"/>
                <w:spacing w:val="-5"/>
                <w:sz w:val="14"/>
              </w:rPr>
              <w:t> </w:t>
            </w:r>
            <w:r>
              <w:rPr>
                <w:b/>
                <w:color w:val="FFFFFF"/>
                <w:spacing w:val="-5"/>
                <w:sz w:val="14"/>
              </w:rPr>
              <w:t>GST</w:t>
            </w:r>
          </w:p>
        </w:tc>
        <w:tc>
          <w:tcPr>
            <w:tcW w:w="119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56" w:right="137"/>
              <w:jc w:val="center"/>
              <w:rPr>
                <w:b/>
                <w:sz w:val="14"/>
              </w:rPr>
            </w:pPr>
            <w:r>
              <w:rPr>
                <w:b/>
                <w:color w:val="FFFFFF"/>
                <w:spacing w:val="-2"/>
                <w:sz w:val="14"/>
              </w:rPr>
              <w:t>2025/26</w:t>
            </w:r>
          </w:p>
          <w:p>
            <w:pPr>
              <w:pStyle w:val="TableParagraph"/>
              <w:ind w:left="164" w:right="146" w:firstLine="2"/>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8"/>
                <w:sz w:val="14"/>
              </w:rPr>
              <w:t> </w:t>
            </w:r>
            <w:r>
              <w:rPr>
                <w:b/>
                <w:color w:val="FFFFFF"/>
                <w:spacing w:val="-2"/>
                <w:sz w:val="14"/>
              </w:rPr>
              <w:t>Incl.</w:t>
            </w:r>
          </w:p>
          <w:p>
            <w:pPr>
              <w:pStyle w:val="TableParagraph"/>
              <w:spacing w:line="161" w:lineRule="exact"/>
              <w:ind w:left="153" w:right="137"/>
              <w:jc w:val="center"/>
              <w:rPr>
                <w:b/>
                <w:sz w:val="14"/>
              </w:rPr>
            </w:pPr>
            <w:r>
              <w:rPr>
                <w:b/>
                <w:color w:val="FFFFFF"/>
                <w:spacing w:val="-5"/>
                <w:sz w:val="14"/>
              </w:rPr>
              <w:t>GST</w:t>
            </w:r>
          </w:p>
        </w:tc>
        <w:tc>
          <w:tcPr>
            <w:tcW w:w="897" w:type="dxa"/>
            <w:tcBorders>
              <w:top w:val="single" w:sz="4" w:space="0" w:color="000000"/>
              <w:left w:val="single" w:sz="4" w:space="0" w:color="000000"/>
              <w:bottom w:val="single" w:sz="4" w:space="0" w:color="000000"/>
              <w:right w:val="single" w:sz="12"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95" w:right="81"/>
              <w:jc w:val="center"/>
              <w:rPr>
                <w:b/>
                <w:sz w:val="14"/>
              </w:rPr>
            </w:pPr>
            <w:r>
              <w:rPr>
                <w:b/>
                <w:color w:val="FFFFFF"/>
                <w:sz w:val="14"/>
              </w:rPr>
              <w:t>%</w:t>
            </w:r>
            <w:r>
              <w:rPr>
                <w:b/>
                <w:color w:val="FFFFFF"/>
                <w:spacing w:val="-4"/>
                <w:sz w:val="14"/>
              </w:rPr>
              <w:t> </w:t>
            </w:r>
            <w:r>
              <w:rPr>
                <w:b/>
                <w:color w:val="FFFFFF"/>
                <w:spacing w:val="-2"/>
                <w:sz w:val="14"/>
              </w:rPr>
              <w:t>Change</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Per</w:t>
            </w:r>
            <w:r>
              <w:rPr>
                <w:spacing w:val="-6"/>
                <w:sz w:val="14"/>
              </w:rPr>
              <w:t> </w:t>
            </w:r>
            <w:r>
              <w:rPr>
                <w:sz w:val="14"/>
              </w:rPr>
              <w:t>volleyball</w:t>
            </w:r>
            <w:r>
              <w:rPr>
                <w:spacing w:val="-4"/>
                <w:sz w:val="14"/>
              </w:rPr>
              <w:t> </w:t>
            </w:r>
            <w:r>
              <w:rPr>
                <w:spacing w:val="-2"/>
                <w:sz w:val="14"/>
              </w:rPr>
              <w:t>court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38.80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40.36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3.9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Per</w:t>
            </w:r>
            <w:r>
              <w:rPr>
                <w:spacing w:val="-5"/>
                <w:sz w:val="14"/>
              </w:rPr>
              <w:t> </w:t>
            </w:r>
            <w:r>
              <w:rPr>
                <w:sz w:val="14"/>
              </w:rPr>
              <w:t>table</w:t>
            </w:r>
            <w:r>
              <w:rPr>
                <w:spacing w:val="-3"/>
                <w:sz w:val="14"/>
              </w:rPr>
              <w:t> </w:t>
            </w:r>
            <w:r>
              <w:rPr>
                <w:sz w:val="14"/>
              </w:rPr>
              <w:t>tennis</w:t>
            </w:r>
            <w:r>
              <w:rPr>
                <w:spacing w:val="-1"/>
                <w:sz w:val="14"/>
              </w:rPr>
              <w:t> </w:t>
            </w:r>
            <w:r>
              <w:rPr>
                <w:spacing w:val="-2"/>
                <w:sz w:val="14"/>
              </w:rPr>
              <w:t>court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19.00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19.76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Per</w:t>
            </w:r>
            <w:r>
              <w:rPr>
                <w:spacing w:val="-6"/>
                <w:sz w:val="14"/>
              </w:rPr>
              <w:t> </w:t>
            </w:r>
            <w:r>
              <w:rPr>
                <w:sz w:val="14"/>
              </w:rPr>
              <w:t>badminton</w:t>
            </w:r>
            <w:r>
              <w:rPr>
                <w:spacing w:val="-4"/>
                <w:sz w:val="14"/>
              </w:rPr>
              <w:t> </w:t>
            </w:r>
            <w:r>
              <w:rPr>
                <w:spacing w:val="-2"/>
                <w:sz w:val="14"/>
              </w:rPr>
              <w:t>court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20.60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21.40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Per</w:t>
            </w:r>
            <w:r>
              <w:rPr>
                <w:spacing w:val="-5"/>
                <w:sz w:val="14"/>
              </w:rPr>
              <w:t> </w:t>
            </w:r>
            <w:r>
              <w:rPr>
                <w:sz w:val="14"/>
              </w:rPr>
              <w:t>pickleball</w:t>
            </w:r>
            <w:r>
              <w:rPr>
                <w:spacing w:val="-5"/>
                <w:sz w:val="14"/>
              </w:rPr>
              <w:t> </w:t>
            </w:r>
            <w:r>
              <w:rPr>
                <w:spacing w:val="-2"/>
                <w:sz w:val="14"/>
              </w:rPr>
              <w:t>court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20.60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21.40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Maroondah</w:t>
            </w:r>
            <w:r>
              <w:rPr>
                <w:b/>
                <w:spacing w:val="-4"/>
                <w:sz w:val="14"/>
              </w:rPr>
              <w:t> </w:t>
            </w:r>
            <w:r>
              <w:rPr>
                <w:b/>
                <w:sz w:val="14"/>
              </w:rPr>
              <w:t>Nets</w:t>
            </w:r>
            <w:r>
              <w:rPr>
                <w:b/>
                <w:spacing w:val="-5"/>
                <w:sz w:val="14"/>
              </w:rPr>
              <w:t> </w:t>
            </w:r>
            <w:r>
              <w:rPr>
                <w:b/>
                <w:sz w:val="14"/>
              </w:rPr>
              <w:t>General</w:t>
            </w:r>
            <w:r>
              <w:rPr>
                <w:b/>
                <w:spacing w:val="-4"/>
                <w:sz w:val="14"/>
              </w:rPr>
              <w:t> </w:t>
            </w:r>
            <w:r>
              <w:rPr>
                <w:b/>
                <w:sz w:val="14"/>
              </w:rPr>
              <w:t>Court</w:t>
            </w:r>
            <w:r>
              <w:rPr>
                <w:b/>
                <w:spacing w:val="-4"/>
                <w:sz w:val="14"/>
              </w:rPr>
              <w:t> Hire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Fee</w:t>
            </w:r>
            <w:r>
              <w:rPr>
                <w:spacing w:val="-5"/>
                <w:sz w:val="14"/>
              </w:rPr>
              <w:t> </w:t>
            </w:r>
            <w:r>
              <w:rPr>
                <w:sz w:val="14"/>
              </w:rPr>
              <w:t>Off</w:t>
            </w:r>
            <w:r>
              <w:rPr>
                <w:spacing w:val="-3"/>
                <w:sz w:val="14"/>
              </w:rPr>
              <w:t> </w:t>
            </w:r>
            <w:r>
              <w:rPr>
                <w:sz w:val="14"/>
              </w:rPr>
              <w:t>Peak</w:t>
            </w:r>
            <w:r>
              <w:rPr>
                <w:spacing w:val="-3"/>
                <w:sz w:val="14"/>
              </w:rPr>
              <w:t> </w:t>
            </w:r>
            <w:r>
              <w:rPr>
                <w:spacing w:val="-2"/>
                <w:sz w:val="14"/>
              </w:rPr>
              <w:t>Badminton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19.80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20.60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3.9</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Fee</w:t>
            </w:r>
            <w:r>
              <w:rPr>
                <w:spacing w:val="-5"/>
                <w:sz w:val="14"/>
              </w:rPr>
              <w:t> </w:t>
            </w:r>
            <w:r>
              <w:rPr>
                <w:sz w:val="14"/>
              </w:rPr>
              <w:t>Off</w:t>
            </w:r>
            <w:r>
              <w:rPr>
                <w:spacing w:val="-3"/>
                <w:sz w:val="14"/>
              </w:rPr>
              <w:t> </w:t>
            </w:r>
            <w:r>
              <w:rPr>
                <w:sz w:val="14"/>
              </w:rPr>
              <w:t>Peak</w:t>
            </w:r>
            <w:r>
              <w:rPr>
                <w:spacing w:val="-4"/>
                <w:sz w:val="14"/>
              </w:rPr>
              <w:t> </w:t>
            </w:r>
            <w:r>
              <w:rPr>
                <w:sz w:val="14"/>
              </w:rPr>
              <w:t>Netball</w:t>
            </w:r>
            <w:r>
              <w:rPr>
                <w:spacing w:val="-3"/>
                <w:sz w:val="14"/>
              </w:rPr>
              <w:t> </w:t>
            </w:r>
            <w:r>
              <w:rPr>
                <w:spacing w:val="-2"/>
                <w:sz w:val="14"/>
              </w:rPr>
              <w:t>Indoor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50.60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52.60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3.8</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Fee</w:t>
            </w:r>
            <w:r>
              <w:rPr>
                <w:spacing w:val="-5"/>
                <w:sz w:val="14"/>
              </w:rPr>
              <w:t> </w:t>
            </w:r>
            <w:r>
              <w:rPr>
                <w:sz w:val="14"/>
              </w:rPr>
              <w:t>Off</w:t>
            </w:r>
            <w:r>
              <w:rPr>
                <w:spacing w:val="-4"/>
                <w:sz w:val="14"/>
              </w:rPr>
              <w:t> </w:t>
            </w:r>
            <w:r>
              <w:rPr>
                <w:sz w:val="14"/>
              </w:rPr>
              <w:t>Peak</w:t>
            </w:r>
            <w:r>
              <w:rPr>
                <w:spacing w:val="-4"/>
                <w:sz w:val="14"/>
              </w:rPr>
              <w:t> </w:t>
            </w:r>
            <w:r>
              <w:rPr>
                <w:sz w:val="14"/>
              </w:rPr>
              <w:t>Netball</w:t>
            </w:r>
            <w:r>
              <w:rPr>
                <w:spacing w:val="-3"/>
                <w:sz w:val="14"/>
              </w:rPr>
              <w:t> </w:t>
            </w:r>
            <w:r>
              <w:rPr>
                <w:spacing w:val="-2"/>
                <w:sz w:val="14"/>
              </w:rPr>
              <w:t>Outdoor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16.20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16.80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Fee</w:t>
            </w:r>
            <w:r>
              <w:rPr>
                <w:spacing w:val="-5"/>
                <w:sz w:val="14"/>
              </w:rPr>
              <w:t> </w:t>
            </w:r>
            <w:r>
              <w:rPr>
                <w:sz w:val="14"/>
              </w:rPr>
              <w:t>Off</w:t>
            </w:r>
            <w:r>
              <w:rPr>
                <w:spacing w:val="-3"/>
                <w:sz w:val="14"/>
              </w:rPr>
              <w:t> </w:t>
            </w:r>
            <w:r>
              <w:rPr>
                <w:sz w:val="14"/>
              </w:rPr>
              <w:t>Peak</w:t>
            </w:r>
            <w:r>
              <w:rPr>
                <w:spacing w:val="-3"/>
                <w:sz w:val="14"/>
              </w:rPr>
              <w:t> </w:t>
            </w:r>
            <w:r>
              <w:rPr>
                <w:sz w:val="14"/>
              </w:rPr>
              <w:t>Table</w:t>
            </w:r>
            <w:r>
              <w:rPr>
                <w:spacing w:val="-4"/>
                <w:sz w:val="14"/>
              </w:rPr>
              <w:t> </w:t>
            </w:r>
            <w:r>
              <w:rPr>
                <w:spacing w:val="-2"/>
                <w:sz w:val="14"/>
              </w:rPr>
              <w:t>Tennis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18.20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9.0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Fee</w:t>
            </w:r>
            <w:r>
              <w:rPr>
                <w:spacing w:val="-5"/>
                <w:sz w:val="14"/>
              </w:rPr>
              <w:t> </w:t>
            </w:r>
            <w:r>
              <w:rPr>
                <w:sz w:val="14"/>
              </w:rPr>
              <w:t>Off</w:t>
            </w:r>
            <w:r>
              <w:rPr>
                <w:spacing w:val="-3"/>
                <w:sz w:val="14"/>
              </w:rPr>
              <w:t> </w:t>
            </w:r>
            <w:r>
              <w:rPr>
                <w:sz w:val="14"/>
              </w:rPr>
              <w:t>Peak</w:t>
            </w:r>
            <w:r>
              <w:rPr>
                <w:spacing w:val="-3"/>
                <w:sz w:val="14"/>
              </w:rPr>
              <w:t> </w:t>
            </w:r>
            <w:r>
              <w:rPr>
                <w:spacing w:val="-2"/>
                <w:sz w:val="14"/>
              </w:rPr>
              <w:t>Volleyball</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37.20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38.80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4.1</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Fee</w:t>
            </w:r>
            <w:r>
              <w:rPr>
                <w:spacing w:val="-5"/>
                <w:sz w:val="14"/>
              </w:rPr>
              <w:t> </w:t>
            </w:r>
            <w:r>
              <w:rPr>
                <w:sz w:val="14"/>
              </w:rPr>
              <w:t>Peak</w:t>
            </w:r>
            <w:r>
              <w:rPr>
                <w:spacing w:val="-4"/>
                <w:sz w:val="14"/>
              </w:rPr>
              <w:t> </w:t>
            </w:r>
            <w:r>
              <w:rPr>
                <w:spacing w:val="-2"/>
                <w:sz w:val="14"/>
              </w:rPr>
              <w:t>Badminton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24.80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25.80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Fee</w:t>
            </w:r>
            <w:r>
              <w:rPr>
                <w:spacing w:val="-5"/>
                <w:sz w:val="14"/>
              </w:rPr>
              <w:t> </w:t>
            </w:r>
            <w:r>
              <w:rPr>
                <w:sz w:val="14"/>
              </w:rPr>
              <w:t>Peak</w:t>
            </w:r>
            <w:r>
              <w:rPr>
                <w:spacing w:val="-5"/>
                <w:sz w:val="14"/>
              </w:rPr>
              <w:t> </w:t>
            </w:r>
            <w:r>
              <w:rPr>
                <w:sz w:val="14"/>
              </w:rPr>
              <w:t>Netball</w:t>
            </w:r>
            <w:r>
              <w:rPr>
                <w:spacing w:val="-3"/>
                <w:sz w:val="14"/>
              </w:rPr>
              <w:t> </w:t>
            </w:r>
            <w:r>
              <w:rPr>
                <w:spacing w:val="-2"/>
                <w:sz w:val="14"/>
              </w:rPr>
              <w:t>Indoor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69.60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72.40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3.9</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Fee</w:t>
            </w:r>
            <w:r>
              <w:rPr>
                <w:spacing w:val="-5"/>
                <w:sz w:val="14"/>
              </w:rPr>
              <w:t> </w:t>
            </w:r>
            <w:r>
              <w:rPr>
                <w:sz w:val="14"/>
              </w:rPr>
              <w:t>Peak</w:t>
            </w:r>
            <w:r>
              <w:rPr>
                <w:spacing w:val="-5"/>
                <w:sz w:val="14"/>
              </w:rPr>
              <w:t> </w:t>
            </w:r>
            <w:r>
              <w:rPr>
                <w:sz w:val="14"/>
              </w:rPr>
              <w:t>Netball</w:t>
            </w:r>
            <w:r>
              <w:rPr>
                <w:spacing w:val="-3"/>
                <w:sz w:val="14"/>
              </w:rPr>
              <w:t> </w:t>
            </w:r>
            <w:r>
              <w:rPr>
                <w:spacing w:val="-2"/>
                <w:sz w:val="14"/>
              </w:rPr>
              <w:t>Outdoor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19.80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20.60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3.9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Fee</w:t>
            </w:r>
            <w:r>
              <w:rPr>
                <w:spacing w:val="-5"/>
                <w:sz w:val="14"/>
              </w:rPr>
              <w:t> </w:t>
            </w:r>
            <w:r>
              <w:rPr>
                <w:sz w:val="14"/>
              </w:rPr>
              <w:t>Peak</w:t>
            </w:r>
            <w:r>
              <w:rPr>
                <w:spacing w:val="-4"/>
                <w:sz w:val="14"/>
              </w:rPr>
              <w:t> </w:t>
            </w:r>
            <w:r>
              <w:rPr>
                <w:sz w:val="14"/>
              </w:rPr>
              <w:t>Table</w:t>
            </w:r>
            <w:r>
              <w:rPr>
                <w:spacing w:val="-4"/>
                <w:sz w:val="14"/>
              </w:rPr>
              <w:t> </w:t>
            </w:r>
            <w:r>
              <w:rPr>
                <w:spacing w:val="-2"/>
                <w:sz w:val="14"/>
              </w:rPr>
              <w:t>Tennis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23.20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24.20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4.1</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Fee</w:t>
            </w:r>
            <w:r>
              <w:rPr>
                <w:spacing w:val="-5"/>
                <w:sz w:val="14"/>
              </w:rPr>
              <w:t> </w:t>
            </w:r>
            <w:r>
              <w:rPr>
                <w:sz w:val="14"/>
              </w:rPr>
              <w:t>Peak</w:t>
            </w:r>
            <w:r>
              <w:rPr>
                <w:spacing w:val="-4"/>
                <w:sz w:val="14"/>
              </w:rPr>
              <w:t> </w:t>
            </w:r>
            <w:r>
              <w:rPr>
                <w:spacing w:val="-2"/>
                <w:sz w:val="14"/>
              </w:rPr>
              <w:t>Volleyball</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46.80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48.80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4.1</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All</w:t>
            </w:r>
            <w:r>
              <w:rPr>
                <w:spacing w:val="-5"/>
                <w:sz w:val="14"/>
              </w:rPr>
              <w:t> </w:t>
            </w:r>
            <w:r>
              <w:rPr>
                <w:sz w:val="14"/>
              </w:rPr>
              <w:t>Abilities</w:t>
            </w:r>
            <w:r>
              <w:rPr>
                <w:spacing w:val="-4"/>
                <w:sz w:val="14"/>
              </w:rPr>
              <w:t> </w:t>
            </w:r>
            <w:r>
              <w:rPr>
                <w:spacing w:val="-2"/>
                <w:sz w:val="14"/>
              </w:rPr>
              <w:t>Program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3.50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4.00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81"/>
              <w:jc w:val="center"/>
              <w:rPr>
                <w:sz w:val="14"/>
              </w:rPr>
            </w:pPr>
            <w:r>
              <w:rPr>
                <w:spacing w:val="-4"/>
                <w:sz w:val="14"/>
              </w:rPr>
              <w:t>12.5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Off</w:t>
            </w:r>
            <w:r>
              <w:rPr>
                <w:spacing w:val="-5"/>
                <w:sz w:val="14"/>
              </w:rPr>
              <w:t> </w:t>
            </w:r>
            <w:r>
              <w:rPr>
                <w:sz w:val="14"/>
              </w:rPr>
              <w:t>Peak</w:t>
            </w:r>
            <w:r>
              <w:rPr>
                <w:spacing w:val="-4"/>
                <w:sz w:val="14"/>
              </w:rPr>
              <w:t> </w:t>
            </w:r>
            <w:r>
              <w:rPr>
                <w:sz w:val="14"/>
              </w:rPr>
              <w:t>Pickleball</w:t>
            </w:r>
            <w:r>
              <w:rPr>
                <w:spacing w:val="-4"/>
                <w:sz w:val="14"/>
              </w:rPr>
              <w:t> </w:t>
            </w:r>
            <w:r>
              <w:rPr>
                <w:spacing w:val="-2"/>
                <w:sz w:val="14"/>
              </w:rPr>
              <w:t>Indoor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19.80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20.60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Off</w:t>
            </w:r>
            <w:r>
              <w:rPr>
                <w:spacing w:val="-5"/>
                <w:sz w:val="14"/>
              </w:rPr>
              <w:t> </w:t>
            </w:r>
            <w:r>
              <w:rPr>
                <w:sz w:val="14"/>
              </w:rPr>
              <w:t>Peak</w:t>
            </w:r>
            <w:r>
              <w:rPr>
                <w:spacing w:val="-4"/>
                <w:sz w:val="14"/>
              </w:rPr>
              <w:t> </w:t>
            </w:r>
            <w:r>
              <w:rPr>
                <w:sz w:val="14"/>
              </w:rPr>
              <w:t>Pickleball</w:t>
            </w:r>
            <w:r>
              <w:rPr>
                <w:spacing w:val="-4"/>
                <w:sz w:val="14"/>
              </w:rPr>
              <w:t> </w:t>
            </w:r>
            <w:r>
              <w:rPr>
                <w:spacing w:val="-2"/>
                <w:sz w:val="14"/>
              </w:rPr>
              <w:t>Outdoor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12.40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Peak</w:t>
            </w:r>
            <w:r>
              <w:rPr>
                <w:spacing w:val="-5"/>
                <w:sz w:val="14"/>
              </w:rPr>
              <w:t> </w:t>
            </w:r>
            <w:r>
              <w:rPr>
                <w:sz w:val="14"/>
              </w:rPr>
              <w:t>Pickleball</w:t>
            </w:r>
            <w:r>
              <w:rPr>
                <w:spacing w:val="-5"/>
                <w:sz w:val="14"/>
              </w:rPr>
              <w:t> </w:t>
            </w:r>
            <w:r>
              <w:rPr>
                <w:spacing w:val="-2"/>
                <w:sz w:val="14"/>
              </w:rPr>
              <w:t>Indoor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24.80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25.80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3.9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Peak</w:t>
            </w:r>
            <w:r>
              <w:rPr>
                <w:spacing w:val="-5"/>
                <w:sz w:val="14"/>
              </w:rPr>
              <w:t> </w:t>
            </w:r>
            <w:r>
              <w:rPr>
                <w:sz w:val="14"/>
              </w:rPr>
              <w:t>Pickleball</w:t>
            </w:r>
            <w:r>
              <w:rPr>
                <w:spacing w:val="-5"/>
                <w:sz w:val="14"/>
              </w:rPr>
              <w:t> </w:t>
            </w:r>
            <w:r>
              <w:rPr>
                <w:spacing w:val="-2"/>
                <w:sz w:val="14"/>
              </w:rPr>
              <w:t>Outdoor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12.40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13.00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Casual</w:t>
            </w:r>
            <w:r>
              <w:rPr>
                <w:spacing w:val="-7"/>
                <w:sz w:val="14"/>
              </w:rPr>
              <w:t> </w:t>
            </w:r>
            <w:r>
              <w:rPr>
                <w:spacing w:val="-2"/>
                <w:sz w:val="14"/>
              </w:rPr>
              <w:t>Shooting</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5.50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9.1</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Open</w:t>
            </w:r>
            <w:r>
              <w:rPr>
                <w:spacing w:val="-6"/>
                <w:sz w:val="14"/>
              </w:rPr>
              <w:t> </w:t>
            </w:r>
            <w:r>
              <w:rPr>
                <w:spacing w:val="-2"/>
                <w:sz w:val="14"/>
              </w:rPr>
              <w:t>Days/Fees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10.50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10.90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3.7</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Pickleball</w:t>
            </w:r>
            <w:r>
              <w:rPr>
                <w:spacing w:val="-6"/>
                <w:sz w:val="14"/>
              </w:rPr>
              <w:t> </w:t>
            </w:r>
            <w:r>
              <w:rPr>
                <w:sz w:val="14"/>
              </w:rPr>
              <w:t>Hourly</w:t>
            </w:r>
            <w:r>
              <w:rPr>
                <w:spacing w:val="-4"/>
                <w:sz w:val="14"/>
              </w:rPr>
              <w:t> </w:t>
            </w:r>
            <w:r>
              <w:rPr>
                <w:sz w:val="14"/>
              </w:rPr>
              <w:t>session</w:t>
            </w:r>
            <w:r>
              <w:rPr>
                <w:spacing w:val="-5"/>
                <w:sz w:val="14"/>
              </w:rPr>
              <w:t> </w:t>
            </w:r>
            <w:r>
              <w:rPr>
                <w:spacing w:val="-2"/>
                <w:sz w:val="14"/>
              </w:rPr>
              <w:t>indoor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6.50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7.00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7.1</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Pickleball</w:t>
            </w:r>
            <w:r>
              <w:rPr>
                <w:spacing w:val="-6"/>
                <w:sz w:val="14"/>
              </w:rPr>
              <w:t> </w:t>
            </w:r>
            <w:r>
              <w:rPr>
                <w:sz w:val="14"/>
              </w:rPr>
              <w:t>session</w:t>
            </w:r>
            <w:r>
              <w:rPr>
                <w:spacing w:val="-4"/>
                <w:sz w:val="14"/>
              </w:rPr>
              <w:t> </w:t>
            </w:r>
            <w:r>
              <w:rPr>
                <w:spacing w:val="-2"/>
                <w:sz w:val="14"/>
              </w:rPr>
              <w:t>outdoor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7.00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7.50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6.7</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Badminton</w:t>
            </w:r>
            <w:r>
              <w:rPr>
                <w:spacing w:val="-8"/>
                <w:sz w:val="14"/>
              </w:rPr>
              <w:t> </w:t>
            </w:r>
            <w:r>
              <w:rPr>
                <w:spacing w:val="-2"/>
                <w:sz w:val="14"/>
              </w:rPr>
              <w:t>Session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4"/>
                <w:sz w:val="14"/>
              </w:rPr>
              <w:t>9.00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4"/>
                <w:sz w:val="14"/>
              </w:rPr>
              <w:t>9.50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5.3</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Maroondah</w:t>
            </w:r>
            <w:r>
              <w:rPr>
                <w:b/>
                <w:spacing w:val="-4"/>
                <w:sz w:val="14"/>
              </w:rPr>
              <w:t> </w:t>
            </w:r>
            <w:r>
              <w:rPr>
                <w:b/>
                <w:sz w:val="14"/>
              </w:rPr>
              <w:t>Nets</w:t>
            </w:r>
            <w:r>
              <w:rPr>
                <w:b/>
                <w:spacing w:val="-5"/>
                <w:sz w:val="14"/>
              </w:rPr>
              <w:t> </w:t>
            </w:r>
            <w:r>
              <w:rPr>
                <w:b/>
                <w:sz w:val="14"/>
              </w:rPr>
              <w:t>Function</w:t>
            </w:r>
            <w:r>
              <w:rPr>
                <w:b/>
                <w:spacing w:val="-4"/>
                <w:sz w:val="14"/>
              </w:rPr>
              <w:t> </w:t>
            </w:r>
            <w:r>
              <w:rPr>
                <w:b/>
                <w:sz w:val="14"/>
              </w:rPr>
              <w:t>Room</w:t>
            </w:r>
            <w:r>
              <w:rPr>
                <w:b/>
                <w:spacing w:val="-6"/>
                <w:sz w:val="14"/>
              </w:rPr>
              <w:t> </w:t>
            </w:r>
            <w:r>
              <w:rPr>
                <w:b/>
                <w:spacing w:val="-4"/>
                <w:sz w:val="14"/>
              </w:rPr>
              <w:t>Hire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Room</w:t>
            </w:r>
            <w:r>
              <w:rPr>
                <w:spacing w:val="-3"/>
                <w:sz w:val="14"/>
              </w:rPr>
              <w:t> </w:t>
            </w:r>
            <w:r>
              <w:rPr>
                <w:sz w:val="14"/>
              </w:rPr>
              <w:t>Hire</w:t>
            </w:r>
            <w:r>
              <w:rPr>
                <w:spacing w:val="-3"/>
                <w:sz w:val="14"/>
              </w:rPr>
              <w:t> </w:t>
            </w:r>
            <w:r>
              <w:rPr>
                <w:sz w:val="14"/>
              </w:rPr>
              <w:t>-</w:t>
            </w:r>
            <w:r>
              <w:rPr>
                <w:spacing w:val="-1"/>
                <w:sz w:val="14"/>
              </w:rPr>
              <w:t> </w:t>
            </w:r>
            <w:r>
              <w:rPr>
                <w:spacing w:val="-2"/>
                <w:sz w:val="14"/>
              </w:rPr>
              <w:t>Combined</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48.60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50.60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Room</w:t>
            </w:r>
            <w:r>
              <w:rPr>
                <w:spacing w:val="-3"/>
                <w:sz w:val="14"/>
              </w:rPr>
              <w:t> </w:t>
            </w:r>
            <w:r>
              <w:rPr>
                <w:sz w:val="14"/>
              </w:rPr>
              <w:t>Hire</w:t>
            </w:r>
            <w:r>
              <w:rPr>
                <w:spacing w:val="-4"/>
                <w:sz w:val="14"/>
              </w:rPr>
              <w:t> </w:t>
            </w:r>
            <w:r>
              <w:rPr>
                <w:sz w:val="14"/>
              </w:rPr>
              <w:t>-</w:t>
            </w:r>
            <w:r>
              <w:rPr>
                <w:spacing w:val="-1"/>
                <w:sz w:val="14"/>
              </w:rPr>
              <w:t> </w:t>
            </w:r>
            <w:r>
              <w:rPr>
                <w:sz w:val="14"/>
              </w:rPr>
              <w:t>Room</w:t>
            </w:r>
            <w:r>
              <w:rPr>
                <w:spacing w:val="-2"/>
                <w:sz w:val="14"/>
              </w:rPr>
              <w:t> </w:t>
            </w:r>
            <w:r>
              <w:rPr>
                <w:spacing w:val="-10"/>
                <w:sz w:val="14"/>
              </w:rPr>
              <w:t>A</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26.80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4.3</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Room</w:t>
            </w:r>
            <w:r>
              <w:rPr>
                <w:spacing w:val="-3"/>
                <w:sz w:val="14"/>
              </w:rPr>
              <w:t> </w:t>
            </w:r>
            <w:r>
              <w:rPr>
                <w:sz w:val="14"/>
              </w:rPr>
              <w:t>Hire</w:t>
            </w:r>
            <w:r>
              <w:rPr>
                <w:spacing w:val="-4"/>
                <w:sz w:val="14"/>
              </w:rPr>
              <w:t> </w:t>
            </w:r>
            <w:r>
              <w:rPr>
                <w:sz w:val="14"/>
              </w:rPr>
              <w:t>-</w:t>
            </w:r>
            <w:r>
              <w:rPr>
                <w:spacing w:val="-1"/>
                <w:sz w:val="14"/>
              </w:rPr>
              <w:t> </w:t>
            </w:r>
            <w:r>
              <w:rPr>
                <w:sz w:val="14"/>
              </w:rPr>
              <w:t>Room</w:t>
            </w:r>
            <w:r>
              <w:rPr>
                <w:spacing w:val="-2"/>
                <w:sz w:val="14"/>
              </w:rPr>
              <w:t> </w:t>
            </w:r>
            <w:r>
              <w:rPr>
                <w:spacing w:val="-10"/>
                <w:sz w:val="14"/>
              </w:rPr>
              <w:t>B</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26.80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28.00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4.3</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Maroondah</w:t>
            </w:r>
            <w:r>
              <w:rPr>
                <w:b/>
                <w:spacing w:val="-7"/>
                <w:sz w:val="14"/>
              </w:rPr>
              <w:t> </w:t>
            </w:r>
            <w:r>
              <w:rPr>
                <w:b/>
                <w:spacing w:val="-4"/>
                <w:sz w:val="14"/>
              </w:rPr>
              <w:t>Edge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Club/Assoc</w:t>
            </w:r>
            <w:r>
              <w:rPr>
                <w:spacing w:val="-5"/>
                <w:sz w:val="14"/>
              </w:rPr>
              <w:t> </w:t>
            </w:r>
            <w:r>
              <w:rPr>
                <w:sz w:val="14"/>
              </w:rPr>
              <w:t>Lane</w:t>
            </w:r>
            <w:r>
              <w:rPr>
                <w:spacing w:val="-7"/>
                <w:sz w:val="14"/>
              </w:rPr>
              <w:t> </w:t>
            </w:r>
            <w:r>
              <w:rPr>
                <w:spacing w:val="-4"/>
                <w:sz w:val="14"/>
              </w:rPr>
              <w:t>Hire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63.40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65.95</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3.9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Public</w:t>
            </w:r>
            <w:r>
              <w:rPr>
                <w:spacing w:val="-2"/>
                <w:sz w:val="14"/>
              </w:rPr>
              <w:t> </w:t>
            </w:r>
            <w:r>
              <w:rPr>
                <w:sz w:val="14"/>
              </w:rPr>
              <w:t>Lane</w:t>
            </w:r>
            <w:r>
              <w:rPr>
                <w:spacing w:val="-5"/>
                <w:sz w:val="14"/>
              </w:rPr>
              <w:t> </w:t>
            </w:r>
            <w:r>
              <w:rPr>
                <w:sz w:val="14"/>
              </w:rPr>
              <w:t>Hire</w:t>
            </w:r>
            <w:r>
              <w:rPr>
                <w:spacing w:val="-4"/>
                <w:sz w:val="14"/>
              </w:rPr>
              <w:t> Peak</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39.60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41.20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3.9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Public</w:t>
            </w:r>
            <w:r>
              <w:rPr>
                <w:spacing w:val="-2"/>
                <w:sz w:val="14"/>
              </w:rPr>
              <w:t> </w:t>
            </w:r>
            <w:r>
              <w:rPr>
                <w:sz w:val="14"/>
              </w:rPr>
              <w:t>Lane</w:t>
            </w:r>
            <w:r>
              <w:rPr>
                <w:spacing w:val="-5"/>
                <w:sz w:val="14"/>
              </w:rPr>
              <w:t> </w:t>
            </w:r>
            <w:r>
              <w:rPr>
                <w:sz w:val="14"/>
              </w:rPr>
              <w:t>Hire</w:t>
            </w:r>
            <w:r>
              <w:rPr>
                <w:spacing w:val="-3"/>
                <w:sz w:val="14"/>
              </w:rPr>
              <w:t> </w:t>
            </w:r>
            <w:r>
              <w:rPr>
                <w:sz w:val="14"/>
              </w:rPr>
              <w:t>Off</w:t>
            </w:r>
            <w:r>
              <w:rPr>
                <w:spacing w:val="-4"/>
                <w:sz w:val="14"/>
              </w:rPr>
              <w:t> Peak</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33.40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34.80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Commercial</w:t>
            </w:r>
            <w:r>
              <w:rPr>
                <w:spacing w:val="-3"/>
                <w:sz w:val="14"/>
              </w:rPr>
              <w:t> </w:t>
            </w:r>
            <w:r>
              <w:rPr>
                <w:sz w:val="14"/>
              </w:rPr>
              <w:t>Lane</w:t>
            </w:r>
            <w:r>
              <w:rPr>
                <w:spacing w:val="-6"/>
                <w:sz w:val="14"/>
              </w:rPr>
              <w:t> </w:t>
            </w:r>
            <w:r>
              <w:rPr>
                <w:sz w:val="14"/>
              </w:rPr>
              <w:t>Hire</w:t>
            </w:r>
            <w:r>
              <w:rPr>
                <w:spacing w:val="-5"/>
                <w:sz w:val="14"/>
              </w:rPr>
              <w:t> </w:t>
            </w:r>
            <w:r>
              <w:rPr>
                <w:spacing w:val="-4"/>
                <w:sz w:val="14"/>
              </w:rPr>
              <w:t>Peak</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51.00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Commercial</w:t>
            </w:r>
            <w:r>
              <w:rPr>
                <w:spacing w:val="-2"/>
                <w:sz w:val="14"/>
              </w:rPr>
              <w:t> </w:t>
            </w:r>
            <w:r>
              <w:rPr>
                <w:sz w:val="14"/>
              </w:rPr>
              <w:t>Lane</w:t>
            </w:r>
            <w:r>
              <w:rPr>
                <w:spacing w:val="-5"/>
                <w:sz w:val="14"/>
              </w:rPr>
              <w:t> </w:t>
            </w:r>
            <w:r>
              <w:rPr>
                <w:sz w:val="14"/>
              </w:rPr>
              <w:t>Hire</w:t>
            </w:r>
            <w:r>
              <w:rPr>
                <w:spacing w:val="-5"/>
                <w:sz w:val="14"/>
              </w:rPr>
              <w:t> </w:t>
            </w:r>
            <w:r>
              <w:rPr>
                <w:sz w:val="14"/>
              </w:rPr>
              <w:t>Off</w:t>
            </w:r>
            <w:r>
              <w:rPr>
                <w:spacing w:val="-3"/>
                <w:sz w:val="14"/>
              </w:rPr>
              <w:t> </w:t>
            </w:r>
            <w:r>
              <w:rPr>
                <w:spacing w:val="-4"/>
                <w:sz w:val="14"/>
              </w:rPr>
              <w:t>Peak</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39.60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Bowling</w:t>
            </w:r>
            <w:r>
              <w:rPr>
                <w:spacing w:val="-5"/>
                <w:sz w:val="14"/>
              </w:rPr>
              <w:t> </w:t>
            </w:r>
            <w:r>
              <w:rPr>
                <w:sz w:val="14"/>
              </w:rPr>
              <w:t>Machine</w:t>
            </w:r>
            <w:r>
              <w:rPr>
                <w:spacing w:val="-7"/>
                <w:sz w:val="14"/>
              </w:rPr>
              <w:t> </w:t>
            </w:r>
            <w:r>
              <w:rPr>
                <w:spacing w:val="-4"/>
                <w:sz w:val="14"/>
              </w:rPr>
              <w:t>Hire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10.50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11.00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4.5</w:t>
            </w:r>
          </w:p>
        </w:tc>
      </w:tr>
      <w:tr>
        <w:trPr>
          <w:trHeight w:val="225"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65"/>
              <w:ind w:left="107"/>
              <w:rPr>
                <w:b/>
                <w:sz w:val="14"/>
              </w:rPr>
            </w:pPr>
            <w:r>
              <w:rPr>
                <w:b/>
                <w:sz w:val="14"/>
              </w:rPr>
              <w:t>Maroondah</w:t>
            </w:r>
            <w:r>
              <w:rPr>
                <w:b/>
                <w:spacing w:val="-7"/>
                <w:sz w:val="14"/>
              </w:rPr>
              <w:t> </w:t>
            </w:r>
            <w:r>
              <w:rPr>
                <w:b/>
                <w:spacing w:val="-4"/>
                <w:sz w:val="14"/>
              </w:rPr>
              <w:t>Edge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9"/>
              <w:ind w:left="107"/>
              <w:rPr>
                <w:sz w:val="14"/>
              </w:rPr>
            </w:pPr>
            <w:r>
              <w:rPr>
                <w:sz w:val="14"/>
              </w:rPr>
              <w:t>School</w:t>
            </w:r>
            <w:r>
              <w:rPr>
                <w:spacing w:val="-4"/>
                <w:sz w:val="14"/>
              </w:rPr>
              <w:t> </w:t>
            </w:r>
            <w:r>
              <w:rPr>
                <w:sz w:val="14"/>
              </w:rPr>
              <w:t>Lane</w:t>
            </w:r>
            <w:r>
              <w:rPr>
                <w:spacing w:val="-4"/>
                <w:sz w:val="14"/>
              </w:rPr>
              <w:t> Hire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5"/>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69"/>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2"/>
              <w:jc w:val="right"/>
              <w:rPr>
                <w:sz w:val="14"/>
              </w:rPr>
            </w:pPr>
            <w:r>
              <w:rPr>
                <w:spacing w:val="-2"/>
                <w:sz w:val="14"/>
              </w:rPr>
              <w:t>33.40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2"/>
              <w:jc w:val="right"/>
              <w:rPr>
                <w:sz w:val="14"/>
              </w:rPr>
            </w:pPr>
            <w:r>
              <w:rPr>
                <w:spacing w:val="-2"/>
                <w:sz w:val="14"/>
              </w:rPr>
              <w:t>35.80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2" w:lineRule="exact" w:before="19"/>
              <w:ind w:left="95" w:right="79"/>
              <w:jc w:val="center"/>
              <w:rPr>
                <w:sz w:val="14"/>
              </w:rPr>
            </w:pPr>
            <w:r>
              <w:rPr>
                <w:spacing w:val="-5"/>
                <w:sz w:val="14"/>
              </w:rPr>
              <w:t>6.7</w:t>
            </w:r>
          </w:p>
        </w:tc>
      </w:tr>
      <w:tr>
        <w:trPr>
          <w:trHeight w:val="282" w:hRule="atLeast"/>
        </w:trPr>
        <w:tc>
          <w:tcPr>
            <w:tcW w:w="5770" w:type="dxa"/>
            <w:tcBorders>
              <w:top w:val="single" w:sz="4" w:space="0" w:color="000000"/>
              <w:left w:val="single" w:sz="12" w:space="0" w:color="000000"/>
              <w:right w:val="single" w:sz="4" w:space="0" w:color="000000"/>
            </w:tcBorders>
            <w:shd w:val="clear" w:color="auto" w:fill="D8D8D8"/>
          </w:tcPr>
          <w:p>
            <w:pPr>
              <w:pStyle w:val="TableParagraph"/>
              <w:spacing w:line="217" w:lineRule="exact" w:before="45"/>
              <w:ind w:left="169"/>
              <w:rPr>
                <w:b/>
                <w:sz w:val="22"/>
              </w:rPr>
            </w:pPr>
            <w:r>
              <w:rPr>
                <w:b/>
                <w:sz w:val="22"/>
              </w:rPr>
              <w:t>Community</w:t>
            </w:r>
            <w:r>
              <w:rPr>
                <w:b/>
                <w:spacing w:val="-5"/>
                <w:sz w:val="22"/>
              </w:rPr>
              <w:t> </w:t>
            </w:r>
            <w:r>
              <w:rPr>
                <w:b/>
                <w:spacing w:val="-2"/>
                <w:sz w:val="22"/>
              </w:rPr>
              <w:t>Services</w:t>
            </w:r>
          </w:p>
        </w:tc>
        <w:tc>
          <w:tcPr>
            <w:tcW w:w="1028"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shd w:val="clear" w:color="auto" w:fill="D8D8D8"/>
          </w:tcPr>
          <w:p>
            <w:pPr>
              <w:pStyle w:val="TableParagraph"/>
              <w:rPr>
                <w:rFonts w:ascii="Times New Roman"/>
                <w:sz w:val="12"/>
              </w:rPr>
            </w:pPr>
          </w:p>
        </w:tc>
      </w:tr>
      <w:tr>
        <w:trPr>
          <w:trHeight w:val="162" w:hRule="atLeast"/>
        </w:trPr>
        <w:tc>
          <w:tcPr>
            <w:tcW w:w="5770" w:type="dxa"/>
            <w:tcBorders>
              <w:left w:val="single" w:sz="12" w:space="0" w:color="000000"/>
              <w:bottom w:val="single" w:sz="4" w:space="0" w:color="000000"/>
              <w:right w:val="single" w:sz="4" w:space="0" w:color="000000"/>
            </w:tcBorders>
          </w:tcPr>
          <w:p>
            <w:pPr>
              <w:pStyle w:val="TableParagraph"/>
              <w:spacing w:line="140" w:lineRule="exact" w:before="2"/>
              <w:ind w:left="107"/>
              <w:rPr>
                <w:b/>
                <w:sz w:val="14"/>
              </w:rPr>
            </w:pPr>
            <w:r>
              <w:rPr>
                <w:b/>
                <w:sz w:val="14"/>
              </w:rPr>
              <w:t>Positive</w:t>
            </w:r>
            <w:r>
              <w:rPr>
                <w:b/>
                <w:spacing w:val="-9"/>
                <w:sz w:val="14"/>
              </w:rPr>
              <w:t> </w:t>
            </w:r>
            <w:r>
              <w:rPr>
                <w:b/>
                <w:spacing w:val="-2"/>
                <w:sz w:val="14"/>
              </w:rPr>
              <w:t>Ageing</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0"/>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Positive</w:t>
            </w:r>
            <w:r>
              <w:rPr>
                <w:spacing w:val="-7"/>
                <w:sz w:val="14"/>
              </w:rPr>
              <w:t> </w:t>
            </w:r>
            <w:r>
              <w:rPr>
                <w:sz w:val="14"/>
              </w:rPr>
              <w:t>Ageing</w:t>
            </w:r>
            <w:r>
              <w:rPr>
                <w:spacing w:val="-4"/>
                <w:sz w:val="14"/>
              </w:rPr>
              <w:t> </w:t>
            </w:r>
            <w:r>
              <w:rPr>
                <w:sz w:val="14"/>
              </w:rPr>
              <w:t>Community</w:t>
            </w:r>
            <w:r>
              <w:rPr>
                <w:spacing w:val="-3"/>
                <w:sz w:val="14"/>
              </w:rPr>
              <w:t> </w:t>
            </w:r>
            <w:r>
              <w:rPr>
                <w:sz w:val="14"/>
              </w:rPr>
              <w:t>Outings</w:t>
            </w:r>
            <w:r>
              <w:rPr>
                <w:spacing w:val="-4"/>
                <w:sz w:val="14"/>
              </w:rPr>
              <w:t> </w:t>
            </w:r>
            <w:r>
              <w:rPr>
                <w:sz w:val="14"/>
              </w:rPr>
              <w:t>-</w:t>
            </w:r>
            <w:r>
              <w:rPr>
                <w:spacing w:val="-2"/>
                <w:sz w:val="14"/>
              </w:rPr>
              <w:t> </w:t>
            </w:r>
            <w:r>
              <w:rPr>
                <w:sz w:val="14"/>
              </w:rPr>
              <w:t>beyond</w:t>
            </w:r>
            <w:r>
              <w:rPr>
                <w:spacing w:val="-6"/>
                <w:sz w:val="14"/>
              </w:rPr>
              <w:t> </w:t>
            </w:r>
            <w:r>
              <w:rPr>
                <w:spacing w:val="-5"/>
                <w:sz w:val="14"/>
              </w:rPr>
              <w:t>EMR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5.91</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81"/>
              <w:jc w:val="center"/>
              <w:rPr>
                <w:sz w:val="14"/>
              </w:rPr>
            </w:pPr>
            <w:r>
              <w:rPr>
                <w:spacing w:val="-4"/>
                <w:sz w:val="14"/>
              </w:rPr>
              <w:t>70.5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Positive</w:t>
            </w:r>
            <w:r>
              <w:rPr>
                <w:spacing w:val="-7"/>
                <w:sz w:val="14"/>
              </w:rPr>
              <w:t> </w:t>
            </w:r>
            <w:r>
              <w:rPr>
                <w:sz w:val="14"/>
              </w:rPr>
              <w:t>Ageing</w:t>
            </w:r>
            <w:r>
              <w:rPr>
                <w:spacing w:val="-6"/>
                <w:sz w:val="14"/>
              </w:rPr>
              <w:t> </w:t>
            </w:r>
            <w:r>
              <w:rPr>
                <w:sz w:val="14"/>
              </w:rPr>
              <w:t>Community</w:t>
            </w:r>
            <w:r>
              <w:rPr>
                <w:spacing w:val="-2"/>
                <w:sz w:val="14"/>
              </w:rPr>
              <w:t> </w:t>
            </w:r>
            <w:r>
              <w:rPr>
                <w:sz w:val="14"/>
              </w:rPr>
              <w:t>Outings</w:t>
            </w:r>
            <w:r>
              <w:rPr>
                <w:spacing w:val="-5"/>
                <w:sz w:val="14"/>
              </w:rPr>
              <w:t> </w:t>
            </w:r>
            <w:r>
              <w:rPr>
                <w:sz w:val="14"/>
              </w:rPr>
              <w:t>-</w:t>
            </w:r>
            <w:r>
              <w:rPr>
                <w:spacing w:val="-3"/>
                <w:sz w:val="14"/>
              </w:rPr>
              <w:t> </w:t>
            </w:r>
            <w:r>
              <w:rPr>
                <w:sz w:val="14"/>
              </w:rPr>
              <w:t>within</w:t>
            </w:r>
            <w:r>
              <w:rPr>
                <w:spacing w:val="-6"/>
                <w:sz w:val="14"/>
              </w:rPr>
              <w:t> </w:t>
            </w:r>
            <w:r>
              <w:rPr>
                <w:spacing w:val="-5"/>
                <w:sz w:val="14"/>
              </w:rPr>
              <w:t>EMR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5.91</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81"/>
              <w:jc w:val="center"/>
              <w:rPr>
                <w:sz w:val="14"/>
              </w:rPr>
            </w:pPr>
            <w:r>
              <w:rPr>
                <w:spacing w:val="-4"/>
                <w:sz w:val="14"/>
              </w:rPr>
              <w:t>40.9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Positive</w:t>
            </w:r>
            <w:r>
              <w:rPr>
                <w:spacing w:val="-7"/>
                <w:sz w:val="14"/>
              </w:rPr>
              <w:t> </w:t>
            </w:r>
            <w:r>
              <w:rPr>
                <w:sz w:val="14"/>
              </w:rPr>
              <w:t>Ageing</w:t>
            </w:r>
            <w:r>
              <w:rPr>
                <w:spacing w:val="-5"/>
                <w:sz w:val="14"/>
              </w:rPr>
              <w:t> </w:t>
            </w:r>
            <w:r>
              <w:rPr>
                <w:sz w:val="14"/>
              </w:rPr>
              <w:t>Community</w:t>
            </w:r>
            <w:r>
              <w:rPr>
                <w:spacing w:val="-1"/>
                <w:sz w:val="14"/>
              </w:rPr>
              <w:t> </w:t>
            </w:r>
            <w:r>
              <w:rPr>
                <w:sz w:val="14"/>
              </w:rPr>
              <w:t>Events</w:t>
            </w:r>
            <w:r>
              <w:rPr>
                <w:spacing w:val="-2"/>
                <w:sz w:val="14"/>
              </w:rPr>
              <w:t> </w:t>
            </w:r>
            <w:r>
              <w:rPr>
                <w:sz w:val="14"/>
              </w:rPr>
              <w:t>-</w:t>
            </w:r>
            <w:r>
              <w:rPr>
                <w:spacing w:val="-5"/>
                <w:sz w:val="14"/>
              </w:rPr>
              <w:t> </w:t>
            </w:r>
            <w:r>
              <w:rPr>
                <w:sz w:val="14"/>
              </w:rPr>
              <w:t>First</w:t>
            </w:r>
            <w:r>
              <w:rPr>
                <w:spacing w:val="-5"/>
                <w:sz w:val="14"/>
              </w:rPr>
              <w:t> </w:t>
            </w:r>
            <w:r>
              <w:rPr>
                <w:spacing w:val="-4"/>
                <w:sz w:val="14"/>
              </w:rPr>
              <w:t>hour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5.91</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6.19</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4.5</w:t>
            </w:r>
          </w:p>
        </w:tc>
      </w:tr>
      <w:tr>
        <w:trPr>
          <w:trHeight w:val="36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20"/>
              <w:ind w:left="107" w:right="181"/>
              <w:rPr>
                <w:sz w:val="14"/>
              </w:rPr>
            </w:pPr>
            <w:r>
              <w:rPr>
                <w:sz w:val="14"/>
              </w:rPr>
              <w:t>Positive</w:t>
            </w:r>
            <w:r>
              <w:rPr>
                <w:spacing w:val="-5"/>
                <w:sz w:val="14"/>
              </w:rPr>
              <w:t> </w:t>
            </w:r>
            <w:r>
              <w:rPr>
                <w:sz w:val="14"/>
              </w:rPr>
              <w:t>Ageing</w:t>
            </w:r>
            <w:r>
              <w:rPr>
                <w:spacing w:val="-4"/>
                <w:sz w:val="14"/>
              </w:rPr>
              <w:t> </w:t>
            </w:r>
            <w:r>
              <w:rPr>
                <w:sz w:val="14"/>
              </w:rPr>
              <w:t>Community Events</w:t>
            </w:r>
            <w:r>
              <w:rPr>
                <w:spacing w:val="-1"/>
                <w:sz w:val="14"/>
              </w:rPr>
              <w:t> </w:t>
            </w:r>
            <w:r>
              <w:rPr>
                <w:sz w:val="14"/>
              </w:rPr>
              <w:t>-</w:t>
            </w:r>
            <w:r>
              <w:rPr>
                <w:spacing w:val="-3"/>
                <w:sz w:val="14"/>
              </w:rPr>
              <w:t> </w:t>
            </w:r>
            <w:r>
              <w:rPr>
                <w:sz w:val="14"/>
              </w:rPr>
              <w:t>Each</w:t>
            </w:r>
            <w:r>
              <w:rPr>
                <w:spacing w:val="-4"/>
                <w:sz w:val="14"/>
              </w:rPr>
              <w:t> </w:t>
            </w:r>
            <w:r>
              <w:rPr>
                <w:sz w:val="14"/>
              </w:rPr>
              <w:t>Additional</w:t>
            </w:r>
            <w:r>
              <w:rPr>
                <w:spacing w:val="-3"/>
                <w:sz w:val="14"/>
              </w:rPr>
              <w:t> </w:t>
            </w:r>
            <w:r>
              <w:rPr>
                <w:sz w:val="14"/>
              </w:rPr>
              <w:t>Hour</w:t>
            </w:r>
            <w:r>
              <w:rPr>
                <w:spacing w:val="-1"/>
                <w:sz w:val="14"/>
              </w:rPr>
              <w:t> </w:t>
            </w:r>
            <w:r>
              <w:rPr>
                <w:sz w:val="14"/>
              </w:rPr>
              <w:t>(75%</w:t>
            </w:r>
            <w:r>
              <w:rPr>
                <w:spacing w:val="-2"/>
                <w:sz w:val="14"/>
              </w:rPr>
              <w:t> </w:t>
            </w:r>
            <w:r>
              <w:rPr>
                <w:sz w:val="14"/>
              </w:rPr>
              <w:t>of</w:t>
            </w:r>
            <w:r>
              <w:rPr>
                <w:spacing w:val="-1"/>
                <w:sz w:val="14"/>
              </w:rPr>
              <w:t> </w:t>
            </w:r>
            <w:r>
              <w:rPr>
                <w:sz w:val="14"/>
              </w:rPr>
              <w:t>the</w:t>
            </w:r>
            <w:r>
              <w:rPr>
                <w:spacing w:val="-4"/>
                <w:sz w:val="14"/>
              </w:rPr>
              <w:t> </w:t>
            </w:r>
            <w:r>
              <w:rPr>
                <w:sz w:val="14"/>
              </w:rPr>
              <w:t>first</w:t>
            </w:r>
            <w:r>
              <w:rPr>
                <w:spacing w:val="-1"/>
                <w:sz w:val="14"/>
              </w:rPr>
              <w:t> </w:t>
            </w:r>
            <w:r>
              <w:rPr>
                <w:sz w:val="14"/>
              </w:rPr>
              <w:t>hour</w:t>
            </w:r>
            <w:r>
              <w:rPr>
                <w:spacing w:val="-1"/>
                <w:sz w:val="14"/>
              </w:rPr>
              <w:t> </w:t>
            </w:r>
            <w:r>
              <w:rPr>
                <w:sz w:val="14"/>
              </w:rPr>
              <w:t>up</w:t>
            </w:r>
            <w:r>
              <w:rPr>
                <w:spacing w:val="-4"/>
                <w:sz w:val="14"/>
              </w:rPr>
              <w:t> </w:t>
            </w:r>
            <w:r>
              <w:rPr>
                <w:sz w:val="14"/>
              </w:rPr>
              <w:t>to</w:t>
            </w:r>
            <w:r>
              <w:rPr>
                <w:spacing w:val="-4"/>
                <w:sz w:val="14"/>
              </w:rPr>
              <w:t> </w:t>
            </w:r>
            <w:r>
              <w:rPr>
                <w:sz w:val="14"/>
              </w:rPr>
              <w:t>a</w:t>
            </w:r>
            <w:r>
              <w:rPr>
                <w:spacing w:val="40"/>
                <w:sz w:val="14"/>
              </w:rPr>
              <w:t> </w:t>
            </w:r>
            <w:r>
              <w:rPr>
                <w:sz w:val="14"/>
              </w:rPr>
              <w:t>total of 4 hours)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2" w:lineRule="exact"/>
              <w:ind w:left="28"/>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2"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2" w:lineRule="exact"/>
              <w:ind w:right="91"/>
              <w:jc w:val="right"/>
              <w:rPr>
                <w:sz w:val="14"/>
              </w:rPr>
            </w:pPr>
            <w:r>
              <w:rPr>
                <w:spacing w:val="-4"/>
                <w:sz w:val="14"/>
              </w:rPr>
              <w:t>5.91</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2" w:lineRule="exact"/>
              <w:ind w:right="93"/>
              <w:jc w:val="right"/>
              <w:rPr>
                <w:sz w:val="14"/>
              </w:rPr>
            </w:pPr>
            <w:r>
              <w:rPr>
                <w:spacing w:val="-4"/>
                <w:sz w:val="14"/>
              </w:rPr>
              <w:t>4.64</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2" w:lineRule="exact"/>
              <w:ind w:left="95" w:right="80"/>
              <w:jc w:val="center"/>
              <w:rPr>
                <w:sz w:val="14"/>
              </w:rPr>
            </w:pPr>
            <w:r>
              <w:rPr>
                <w:spacing w:val="-2"/>
                <w:w w:val="95"/>
                <w:sz w:val="14"/>
              </w:rPr>
              <w:t>-</w:t>
            </w:r>
            <w:r>
              <w:rPr>
                <w:spacing w:val="-4"/>
                <w:w w:val="95"/>
                <w:sz w:val="14"/>
              </w:rPr>
              <w:t>27.3</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Positive</w:t>
            </w:r>
            <w:r>
              <w:rPr>
                <w:spacing w:val="-6"/>
                <w:sz w:val="14"/>
              </w:rPr>
              <w:t> </w:t>
            </w:r>
            <w:r>
              <w:rPr>
                <w:sz w:val="14"/>
              </w:rPr>
              <w:t>Ageing</w:t>
            </w:r>
            <w:r>
              <w:rPr>
                <w:spacing w:val="-2"/>
                <w:sz w:val="14"/>
              </w:rPr>
              <w:t> </w:t>
            </w:r>
            <w:r>
              <w:rPr>
                <w:sz w:val="14"/>
              </w:rPr>
              <w:t>-</w:t>
            </w:r>
            <w:r>
              <w:rPr>
                <w:spacing w:val="-5"/>
                <w:sz w:val="14"/>
              </w:rPr>
              <w:t> </w:t>
            </w:r>
            <w:r>
              <w:rPr>
                <w:sz w:val="14"/>
              </w:rPr>
              <w:t>Entertainment</w:t>
            </w:r>
            <w:r>
              <w:rPr>
                <w:spacing w:val="-2"/>
                <w:sz w:val="14"/>
              </w:rPr>
              <w:t> </w:t>
            </w:r>
            <w:r>
              <w:rPr>
                <w:sz w:val="14"/>
              </w:rPr>
              <w:t>-</w:t>
            </w:r>
            <w:r>
              <w:rPr>
                <w:spacing w:val="-2"/>
                <w:sz w:val="14"/>
              </w:rPr>
              <w:t> </w:t>
            </w:r>
            <w:r>
              <w:rPr>
                <w:sz w:val="14"/>
              </w:rPr>
              <w:t>First hour</w:t>
            </w:r>
            <w:r>
              <w:rPr>
                <w:spacing w:val="-4"/>
                <w:sz w:val="14"/>
              </w:rPr>
              <w:t> </w:t>
            </w:r>
            <w:r>
              <w:rPr>
                <w:sz w:val="14"/>
              </w:rPr>
              <w:t>-</w:t>
            </w:r>
            <w:r>
              <w:rPr>
                <w:spacing w:val="-2"/>
                <w:sz w:val="14"/>
              </w:rPr>
              <w:t> Private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5.24</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ight="72"/>
              <w:rPr>
                <w:sz w:val="14"/>
              </w:rPr>
            </w:pPr>
            <w:r>
              <w:rPr>
                <w:sz w:val="14"/>
              </w:rPr>
              <w:t>Positive</w:t>
            </w:r>
            <w:r>
              <w:rPr>
                <w:spacing w:val="-5"/>
                <w:sz w:val="14"/>
              </w:rPr>
              <w:t> </w:t>
            </w:r>
            <w:r>
              <w:rPr>
                <w:sz w:val="14"/>
              </w:rPr>
              <w:t>Ageing -</w:t>
            </w:r>
            <w:r>
              <w:rPr>
                <w:spacing w:val="-4"/>
                <w:sz w:val="14"/>
              </w:rPr>
              <w:t> </w:t>
            </w:r>
            <w:r>
              <w:rPr>
                <w:sz w:val="14"/>
              </w:rPr>
              <w:t>Entertainment</w:t>
            </w:r>
            <w:r>
              <w:rPr>
                <w:spacing w:val="-1"/>
                <w:sz w:val="14"/>
              </w:rPr>
              <w:t> </w:t>
            </w:r>
            <w:r>
              <w:rPr>
                <w:sz w:val="14"/>
              </w:rPr>
              <w:t>-</w:t>
            </w:r>
            <w:r>
              <w:rPr>
                <w:spacing w:val="-4"/>
                <w:sz w:val="14"/>
              </w:rPr>
              <w:t> </w:t>
            </w:r>
            <w:r>
              <w:rPr>
                <w:sz w:val="14"/>
              </w:rPr>
              <w:t>Each</w:t>
            </w:r>
            <w:r>
              <w:rPr>
                <w:spacing w:val="-2"/>
                <w:sz w:val="14"/>
              </w:rPr>
              <w:t> </w:t>
            </w:r>
            <w:r>
              <w:rPr>
                <w:sz w:val="14"/>
              </w:rPr>
              <w:t>Additional</w:t>
            </w:r>
            <w:r>
              <w:rPr>
                <w:spacing w:val="-1"/>
                <w:sz w:val="14"/>
              </w:rPr>
              <w:t> </w:t>
            </w:r>
            <w:r>
              <w:rPr>
                <w:sz w:val="14"/>
              </w:rPr>
              <w:t>Hour</w:t>
            </w:r>
            <w:r>
              <w:rPr>
                <w:spacing w:val="-1"/>
                <w:sz w:val="14"/>
              </w:rPr>
              <w:t> </w:t>
            </w:r>
            <w:r>
              <w:rPr>
                <w:sz w:val="14"/>
              </w:rPr>
              <w:t>(75% of</w:t>
            </w:r>
            <w:r>
              <w:rPr>
                <w:spacing w:val="-1"/>
                <w:sz w:val="14"/>
              </w:rPr>
              <w:t> </w:t>
            </w:r>
            <w:r>
              <w:rPr>
                <w:sz w:val="14"/>
              </w:rPr>
              <w:t>the</w:t>
            </w:r>
            <w:r>
              <w:rPr>
                <w:spacing w:val="-1"/>
                <w:sz w:val="14"/>
              </w:rPr>
              <w:t> </w:t>
            </w:r>
            <w:r>
              <w:rPr>
                <w:sz w:val="14"/>
              </w:rPr>
              <w:t>first</w:t>
            </w:r>
            <w:r>
              <w:rPr>
                <w:spacing w:val="-3"/>
                <w:sz w:val="14"/>
              </w:rPr>
              <w:t> </w:t>
            </w:r>
            <w:r>
              <w:rPr>
                <w:sz w:val="14"/>
              </w:rPr>
              <w:t>hour</w:t>
            </w:r>
            <w:r>
              <w:rPr>
                <w:spacing w:val="-4"/>
                <w:sz w:val="14"/>
              </w:rPr>
              <w:t> </w:t>
            </w:r>
            <w:r>
              <w:rPr>
                <w:sz w:val="14"/>
              </w:rPr>
              <w:t>up</w:t>
            </w:r>
            <w:r>
              <w:rPr>
                <w:spacing w:val="-4"/>
                <w:sz w:val="14"/>
              </w:rPr>
              <w:t> </w:t>
            </w:r>
            <w:r>
              <w:rPr>
                <w:sz w:val="14"/>
              </w:rPr>
              <w:t>to</w:t>
            </w:r>
            <w:r>
              <w:rPr>
                <w:spacing w:val="-1"/>
                <w:sz w:val="14"/>
              </w:rPr>
              <w:t> </w:t>
            </w:r>
            <w:r>
              <w:rPr>
                <w:sz w:val="14"/>
              </w:rPr>
              <w:t>a</w:t>
            </w:r>
            <w:r>
              <w:rPr>
                <w:spacing w:val="-4"/>
                <w:sz w:val="14"/>
              </w:rPr>
              <w:t> </w:t>
            </w:r>
            <w:r>
              <w:rPr>
                <w:sz w:val="14"/>
              </w:rPr>
              <w:t>total</w:t>
            </w:r>
            <w:r>
              <w:rPr>
                <w:spacing w:val="40"/>
                <w:sz w:val="14"/>
              </w:rPr>
              <w:t> </w:t>
            </w:r>
            <w:r>
              <w:rPr>
                <w:sz w:val="14"/>
              </w:rPr>
              <w:t>of 4 hours)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1"/>
              <w:jc w:val="right"/>
              <w:rPr>
                <w:sz w:val="14"/>
              </w:rPr>
            </w:pPr>
            <w:r>
              <w:rPr>
                <w:spacing w:val="-4"/>
                <w:sz w:val="14"/>
              </w:rPr>
              <w:t>3.75</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2"/>
              <w:jc w:val="right"/>
              <w:rPr>
                <w:sz w:val="14"/>
              </w:rPr>
            </w:pPr>
            <w:r>
              <w:rPr>
                <w:spacing w:val="-4"/>
                <w:sz w:val="14"/>
              </w:rPr>
              <w:t>3.93</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0" w:lineRule="exact"/>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Positive</w:t>
            </w:r>
            <w:r>
              <w:rPr>
                <w:spacing w:val="-6"/>
                <w:sz w:val="14"/>
              </w:rPr>
              <w:t> </w:t>
            </w:r>
            <w:r>
              <w:rPr>
                <w:sz w:val="14"/>
              </w:rPr>
              <w:t>Ageing</w:t>
            </w:r>
            <w:r>
              <w:rPr>
                <w:spacing w:val="-2"/>
                <w:sz w:val="14"/>
              </w:rPr>
              <w:t> </w:t>
            </w:r>
            <w:r>
              <w:rPr>
                <w:sz w:val="14"/>
              </w:rPr>
              <w:t>-</w:t>
            </w:r>
            <w:r>
              <w:rPr>
                <w:spacing w:val="-5"/>
                <w:sz w:val="14"/>
              </w:rPr>
              <w:t> </w:t>
            </w:r>
            <w:r>
              <w:rPr>
                <w:sz w:val="14"/>
              </w:rPr>
              <w:t>Health/Information</w:t>
            </w:r>
            <w:r>
              <w:rPr>
                <w:spacing w:val="-5"/>
                <w:sz w:val="14"/>
              </w:rPr>
              <w:t> </w:t>
            </w:r>
            <w:r>
              <w:rPr>
                <w:sz w:val="14"/>
              </w:rPr>
              <w:t>-</w:t>
            </w:r>
            <w:r>
              <w:rPr>
                <w:spacing w:val="-2"/>
                <w:sz w:val="14"/>
              </w:rPr>
              <w:t> </w:t>
            </w:r>
            <w:r>
              <w:rPr>
                <w:sz w:val="14"/>
              </w:rPr>
              <w:t>First</w:t>
            </w:r>
            <w:r>
              <w:rPr>
                <w:spacing w:val="-5"/>
                <w:sz w:val="14"/>
              </w:rPr>
              <w:t> </w:t>
            </w:r>
            <w:r>
              <w:rPr>
                <w:sz w:val="14"/>
              </w:rPr>
              <w:t>hour</w:t>
            </w:r>
            <w:r>
              <w:rPr>
                <w:spacing w:val="-5"/>
                <w:sz w:val="14"/>
              </w:rPr>
              <w:t> </w:t>
            </w:r>
            <w:r>
              <w:rPr>
                <w:spacing w:val="-4"/>
                <w:sz w:val="14"/>
              </w:rPr>
              <w:t>only</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4.00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4.19</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Pr>
                <w:sz w:val="14"/>
              </w:rPr>
            </w:pPr>
            <w:r>
              <w:rPr>
                <w:sz w:val="14"/>
              </w:rPr>
              <w:t>Positive</w:t>
            </w:r>
            <w:r>
              <w:rPr>
                <w:spacing w:val="-5"/>
                <w:sz w:val="14"/>
              </w:rPr>
              <w:t> </w:t>
            </w:r>
            <w:r>
              <w:rPr>
                <w:sz w:val="14"/>
              </w:rPr>
              <w:t>Ageing -</w:t>
            </w:r>
            <w:r>
              <w:rPr>
                <w:spacing w:val="-4"/>
                <w:sz w:val="14"/>
              </w:rPr>
              <w:t> </w:t>
            </w:r>
            <w:r>
              <w:rPr>
                <w:sz w:val="14"/>
              </w:rPr>
              <w:t>Health/Information</w:t>
            </w:r>
            <w:r>
              <w:rPr>
                <w:spacing w:val="-4"/>
                <w:sz w:val="14"/>
              </w:rPr>
              <w:t> </w:t>
            </w:r>
            <w:r>
              <w:rPr>
                <w:sz w:val="14"/>
              </w:rPr>
              <w:t>-</w:t>
            </w:r>
            <w:r>
              <w:rPr>
                <w:spacing w:val="-4"/>
                <w:sz w:val="14"/>
              </w:rPr>
              <w:t> </w:t>
            </w:r>
            <w:r>
              <w:rPr>
                <w:sz w:val="14"/>
              </w:rPr>
              <w:t>Each</w:t>
            </w:r>
            <w:r>
              <w:rPr>
                <w:spacing w:val="-4"/>
                <w:sz w:val="14"/>
              </w:rPr>
              <w:t> </w:t>
            </w:r>
            <w:r>
              <w:rPr>
                <w:sz w:val="14"/>
              </w:rPr>
              <w:t>Additional</w:t>
            </w:r>
            <w:r>
              <w:rPr>
                <w:spacing w:val="-3"/>
                <w:sz w:val="14"/>
              </w:rPr>
              <w:t> </w:t>
            </w:r>
            <w:r>
              <w:rPr>
                <w:sz w:val="14"/>
              </w:rPr>
              <w:t>Hour</w:t>
            </w:r>
            <w:r>
              <w:rPr>
                <w:spacing w:val="-1"/>
                <w:sz w:val="14"/>
              </w:rPr>
              <w:t> </w:t>
            </w:r>
            <w:r>
              <w:rPr>
                <w:sz w:val="14"/>
              </w:rPr>
              <w:t>(50%</w:t>
            </w:r>
            <w:r>
              <w:rPr>
                <w:spacing w:val="-1"/>
                <w:sz w:val="14"/>
              </w:rPr>
              <w:t> </w:t>
            </w:r>
            <w:r>
              <w:rPr>
                <w:sz w:val="14"/>
              </w:rPr>
              <w:t>of</w:t>
            </w:r>
            <w:r>
              <w:rPr>
                <w:spacing w:val="-1"/>
                <w:sz w:val="14"/>
              </w:rPr>
              <w:t> </w:t>
            </w:r>
            <w:r>
              <w:rPr>
                <w:sz w:val="14"/>
              </w:rPr>
              <w:t>the</w:t>
            </w:r>
            <w:r>
              <w:rPr>
                <w:spacing w:val="-4"/>
                <w:sz w:val="14"/>
              </w:rPr>
              <w:t> </w:t>
            </w:r>
            <w:r>
              <w:rPr>
                <w:sz w:val="14"/>
              </w:rPr>
              <w:t>first</w:t>
            </w:r>
            <w:r>
              <w:rPr>
                <w:spacing w:val="-1"/>
                <w:sz w:val="14"/>
              </w:rPr>
              <w:t> </w:t>
            </w:r>
            <w:r>
              <w:rPr>
                <w:sz w:val="14"/>
              </w:rPr>
              <w:t>hour</w:t>
            </w:r>
            <w:r>
              <w:rPr>
                <w:spacing w:val="-1"/>
                <w:sz w:val="14"/>
              </w:rPr>
              <w:t> </w:t>
            </w:r>
            <w:r>
              <w:rPr>
                <w:sz w:val="14"/>
              </w:rPr>
              <w:t>up</w:t>
            </w:r>
            <w:r>
              <w:rPr>
                <w:spacing w:val="-4"/>
                <w:sz w:val="14"/>
              </w:rPr>
              <w:t> </w:t>
            </w:r>
            <w:r>
              <w:rPr>
                <w:sz w:val="14"/>
              </w:rPr>
              <w:t>to</w:t>
            </w:r>
            <w:r>
              <w:rPr>
                <w:spacing w:val="-4"/>
                <w:sz w:val="14"/>
              </w:rPr>
              <w:t> </w:t>
            </w:r>
            <w:r>
              <w:rPr>
                <w:sz w:val="14"/>
              </w:rPr>
              <w:t>a</w:t>
            </w:r>
            <w:r>
              <w:rPr>
                <w:spacing w:val="40"/>
                <w:sz w:val="14"/>
              </w:rPr>
              <w:t> </w:t>
            </w:r>
            <w:r>
              <w:rPr>
                <w:sz w:val="14"/>
              </w:rPr>
              <w:t>total of 4 hours)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1"/>
              <w:jc w:val="right"/>
              <w:rPr>
                <w:sz w:val="14"/>
              </w:rPr>
            </w:pPr>
            <w:r>
              <w:rPr>
                <w:spacing w:val="-4"/>
                <w:sz w:val="14"/>
              </w:rPr>
              <w:t>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2"/>
              <w:jc w:val="right"/>
              <w:rPr>
                <w:sz w:val="14"/>
              </w:rPr>
            </w:pPr>
            <w:r>
              <w:rPr>
                <w:spacing w:val="-4"/>
                <w:sz w:val="14"/>
              </w:rPr>
              <w:t>3.14</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0" w:lineRule="exact"/>
              <w:ind w:left="95" w:right="81"/>
              <w:jc w:val="center"/>
              <w:rPr>
                <w:sz w:val="14"/>
              </w:rPr>
            </w:pPr>
            <w:r>
              <w:rPr>
                <w:spacing w:val="-4"/>
                <w:sz w:val="14"/>
              </w:rPr>
              <w:t>36.4</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Maroondah</w:t>
            </w:r>
            <w:r>
              <w:rPr>
                <w:spacing w:val="-7"/>
                <w:sz w:val="14"/>
              </w:rPr>
              <w:t> </w:t>
            </w:r>
            <w:r>
              <w:rPr>
                <w:sz w:val="14"/>
              </w:rPr>
              <w:t>Seniors</w:t>
            </w:r>
            <w:r>
              <w:rPr>
                <w:spacing w:val="-5"/>
                <w:sz w:val="14"/>
              </w:rPr>
              <w:t> </w:t>
            </w:r>
            <w:r>
              <w:rPr>
                <w:sz w:val="14"/>
              </w:rPr>
              <w:t>Festival</w:t>
            </w:r>
            <w:r>
              <w:rPr>
                <w:spacing w:val="-5"/>
                <w:sz w:val="14"/>
              </w:rPr>
              <w:t> </w:t>
            </w:r>
            <w:r>
              <w:rPr>
                <w:spacing w:val="-2"/>
                <w:sz w:val="14"/>
              </w:rPr>
              <w:t>Luncheon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25.00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4" w:right="81"/>
              <w:jc w:val="center"/>
              <w:rPr>
                <w:sz w:val="14"/>
              </w:rPr>
            </w:pPr>
            <w:r>
              <w:rPr>
                <w:spacing w:val="-2"/>
                <w:sz w:val="14"/>
              </w:rPr>
              <w:t>100.0</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9"/>
              <w:ind w:left="107"/>
              <w:rPr>
                <w:sz w:val="14"/>
              </w:rPr>
            </w:pPr>
            <w:r>
              <w:rPr>
                <w:sz w:val="14"/>
              </w:rPr>
              <w:t>Shopping</w:t>
            </w:r>
            <w:r>
              <w:rPr>
                <w:spacing w:val="-6"/>
                <w:sz w:val="14"/>
              </w:rPr>
              <w:t> </w:t>
            </w:r>
            <w:r>
              <w:rPr>
                <w:sz w:val="14"/>
              </w:rPr>
              <w:t>Bus</w:t>
            </w:r>
            <w:r>
              <w:rPr>
                <w:spacing w:val="-5"/>
                <w:sz w:val="14"/>
              </w:rPr>
              <w:t> </w:t>
            </w:r>
            <w:r>
              <w:rPr>
                <w:sz w:val="14"/>
              </w:rPr>
              <w:t>Program</w:t>
            </w:r>
            <w:r>
              <w:rPr>
                <w:spacing w:val="-2"/>
                <w:sz w:val="14"/>
              </w:rPr>
              <w:t> </w:t>
            </w:r>
            <w:r>
              <w:rPr>
                <w:sz w:val="14"/>
              </w:rPr>
              <w:t>-</w:t>
            </w:r>
            <w:r>
              <w:rPr>
                <w:spacing w:val="-5"/>
                <w:sz w:val="14"/>
              </w:rPr>
              <w:t> </w:t>
            </w:r>
            <w:r>
              <w:rPr>
                <w:sz w:val="14"/>
              </w:rPr>
              <w:t>Return</w:t>
            </w:r>
            <w:r>
              <w:rPr>
                <w:spacing w:val="-4"/>
                <w:sz w:val="14"/>
              </w:rPr>
              <w:t> Trip</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5"/>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1"/>
              <w:jc w:val="right"/>
              <w:rPr>
                <w:sz w:val="14"/>
              </w:rPr>
            </w:pPr>
            <w:r>
              <w:rPr>
                <w:spacing w:val="-4"/>
                <w:sz w:val="14"/>
              </w:rPr>
              <w:t>5.91</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3"/>
              <w:jc w:val="right"/>
              <w:rPr>
                <w:sz w:val="14"/>
              </w:rPr>
            </w:pPr>
            <w:r>
              <w:rPr>
                <w:spacing w:val="-4"/>
                <w:sz w:val="14"/>
              </w:rPr>
              <w:t>6.19</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2"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Library</w:t>
            </w:r>
            <w:r>
              <w:rPr>
                <w:spacing w:val="-3"/>
                <w:sz w:val="14"/>
              </w:rPr>
              <w:t> </w:t>
            </w:r>
            <w:r>
              <w:rPr>
                <w:sz w:val="14"/>
              </w:rPr>
              <w:t>Program</w:t>
            </w:r>
            <w:r>
              <w:rPr>
                <w:spacing w:val="-3"/>
                <w:sz w:val="14"/>
              </w:rPr>
              <w:t> </w:t>
            </w:r>
            <w:r>
              <w:rPr>
                <w:sz w:val="14"/>
              </w:rPr>
              <w:t>-</w:t>
            </w:r>
            <w:r>
              <w:rPr>
                <w:spacing w:val="-6"/>
                <w:sz w:val="14"/>
              </w:rPr>
              <w:t> </w:t>
            </w:r>
            <w:r>
              <w:rPr>
                <w:sz w:val="14"/>
              </w:rPr>
              <w:t>Return</w:t>
            </w:r>
            <w:r>
              <w:rPr>
                <w:spacing w:val="-6"/>
                <w:sz w:val="14"/>
              </w:rPr>
              <w:t> </w:t>
            </w:r>
            <w:r>
              <w:rPr>
                <w:spacing w:val="-4"/>
                <w:sz w:val="14"/>
              </w:rPr>
              <w:t>Trip</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5.91</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6.19</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Allied</w:t>
            </w:r>
            <w:r>
              <w:rPr>
                <w:b/>
                <w:spacing w:val="-7"/>
                <w:sz w:val="14"/>
              </w:rPr>
              <w:t> </w:t>
            </w:r>
            <w:r>
              <w:rPr>
                <w:b/>
                <w:spacing w:val="-2"/>
                <w:sz w:val="14"/>
              </w:rPr>
              <w:t>Health</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Occupational</w:t>
            </w:r>
            <w:r>
              <w:rPr>
                <w:spacing w:val="-4"/>
                <w:sz w:val="14"/>
              </w:rPr>
              <w:t> </w:t>
            </w:r>
            <w:r>
              <w:rPr>
                <w:sz w:val="14"/>
              </w:rPr>
              <w:t>Therapy</w:t>
            </w:r>
            <w:r>
              <w:rPr>
                <w:spacing w:val="-3"/>
                <w:sz w:val="14"/>
              </w:rPr>
              <w:t> </w:t>
            </w:r>
            <w:r>
              <w:rPr>
                <w:sz w:val="14"/>
              </w:rPr>
              <w:t>-</w:t>
            </w:r>
            <w:r>
              <w:rPr>
                <w:spacing w:val="-1"/>
                <w:sz w:val="14"/>
              </w:rPr>
              <w:t> </w:t>
            </w:r>
            <w:r>
              <w:rPr>
                <w:sz w:val="14"/>
              </w:rPr>
              <w:t>Fee</w:t>
            </w:r>
            <w:r>
              <w:rPr>
                <w:spacing w:val="-4"/>
                <w:sz w:val="14"/>
              </w:rPr>
              <w:t> </w:t>
            </w:r>
            <w:r>
              <w:rPr>
                <w:sz w:val="14"/>
              </w:rPr>
              <w:t>Per</w:t>
            </w:r>
            <w:r>
              <w:rPr>
                <w:spacing w:val="-5"/>
                <w:sz w:val="14"/>
              </w:rPr>
              <w:t> </w:t>
            </w:r>
            <w:r>
              <w:rPr>
                <w:sz w:val="14"/>
              </w:rPr>
              <w:t>Session</w:t>
            </w:r>
            <w:r>
              <w:rPr>
                <w:spacing w:val="-4"/>
                <w:sz w:val="14"/>
              </w:rPr>
              <w:t> </w:t>
            </w:r>
            <w:r>
              <w:rPr>
                <w:sz w:val="14"/>
              </w:rPr>
              <w:t>-</w:t>
            </w:r>
            <w:r>
              <w:rPr>
                <w:spacing w:val="-1"/>
                <w:sz w:val="14"/>
              </w:rPr>
              <w:t> </w:t>
            </w:r>
            <w:r>
              <w:rPr>
                <w:sz w:val="14"/>
              </w:rPr>
              <w:t>First</w:t>
            </w:r>
            <w:r>
              <w:rPr>
                <w:spacing w:val="-4"/>
                <w:sz w:val="14"/>
              </w:rPr>
              <w:t> </w:t>
            </w:r>
            <w:r>
              <w:rPr>
                <w:sz w:val="14"/>
              </w:rPr>
              <w:t>Visit</w:t>
            </w:r>
            <w:r>
              <w:rPr>
                <w:spacing w:val="-1"/>
                <w:sz w:val="14"/>
              </w:rPr>
              <w:t> </w:t>
            </w:r>
            <w:r>
              <w:rPr>
                <w:sz w:val="14"/>
              </w:rPr>
              <w:t>-</w:t>
            </w:r>
            <w:r>
              <w:rPr>
                <w:spacing w:val="-2"/>
                <w:sz w:val="14"/>
              </w:rPr>
              <w:t> </w:t>
            </w:r>
            <w:r>
              <w:rPr>
                <w:sz w:val="14"/>
              </w:rPr>
              <w:t>Fee</w:t>
            </w:r>
            <w:r>
              <w:rPr>
                <w:spacing w:val="-2"/>
                <w:sz w:val="14"/>
              </w:rPr>
              <w:t> </w:t>
            </w:r>
            <w:r>
              <w:rPr>
                <w:sz w:val="14"/>
              </w:rPr>
              <w:t>for</w:t>
            </w:r>
            <w:r>
              <w:rPr>
                <w:spacing w:val="-4"/>
                <w:sz w:val="14"/>
              </w:rPr>
              <w:t> </w:t>
            </w:r>
            <w:r>
              <w:rPr>
                <w:spacing w:val="-2"/>
                <w:sz w:val="14"/>
              </w:rPr>
              <w:t>Service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126.69</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140.63</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9.9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Occupational</w:t>
            </w:r>
            <w:r>
              <w:rPr>
                <w:spacing w:val="-4"/>
                <w:sz w:val="14"/>
              </w:rPr>
              <w:t> </w:t>
            </w:r>
            <w:r>
              <w:rPr>
                <w:sz w:val="14"/>
              </w:rPr>
              <w:t>Therapy</w:t>
            </w:r>
            <w:r>
              <w:rPr>
                <w:spacing w:val="-3"/>
                <w:sz w:val="14"/>
              </w:rPr>
              <w:t> </w:t>
            </w:r>
            <w:r>
              <w:rPr>
                <w:sz w:val="14"/>
              </w:rPr>
              <w:t>-</w:t>
            </w:r>
            <w:r>
              <w:rPr>
                <w:spacing w:val="-2"/>
                <w:sz w:val="14"/>
              </w:rPr>
              <w:t> </w:t>
            </w:r>
            <w:r>
              <w:rPr>
                <w:sz w:val="14"/>
              </w:rPr>
              <w:t>First</w:t>
            </w:r>
            <w:r>
              <w:rPr>
                <w:spacing w:val="-4"/>
                <w:sz w:val="14"/>
              </w:rPr>
              <w:t> </w:t>
            </w:r>
            <w:r>
              <w:rPr>
                <w:sz w:val="14"/>
              </w:rPr>
              <w:t>Visit</w:t>
            </w:r>
            <w:r>
              <w:rPr>
                <w:spacing w:val="-1"/>
                <w:sz w:val="14"/>
              </w:rPr>
              <w:t> </w:t>
            </w:r>
            <w:r>
              <w:rPr>
                <w:sz w:val="14"/>
              </w:rPr>
              <w:t>-</w:t>
            </w:r>
            <w:r>
              <w:rPr>
                <w:spacing w:val="-5"/>
                <w:sz w:val="14"/>
              </w:rPr>
              <w:t> </w:t>
            </w:r>
            <w:r>
              <w:rPr>
                <w:sz w:val="14"/>
              </w:rPr>
              <w:t>CHSP</w:t>
            </w:r>
            <w:r>
              <w:rPr>
                <w:spacing w:val="-3"/>
                <w:sz w:val="14"/>
              </w:rPr>
              <w:t> </w:t>
            </w:r>
            <w:r>
              <w:rPr>
                <w:sz w:val="14"/>
              </w:rPr>
              <w:t>-</w:t>
            </w:r>
            <w:r>
              <w:rPr>
                <w:spacing w:val="-4"/>
                <w:sz w:val="14"/>
              </w:rPr>
              <w:t> </w:t>
            </w:r>
            <w:r>
              <w:rPr>
                <w:sz w:val="14"/>
              </w:rPr>
              <w:t>Low</w:t>
            </w:r>
            <w:r>
              <w:rPr>
                <w:spacing w:val="-1"/>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15.72</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Occupational</w:t>
            </w:r>
            <w:r>
              <w:rPr>
                <w:spacing w:val="-4"/>
                <w:sz w:val="14"/>
              </w:rPr>
              <w:t> </w:t>
            </w:r>
            <w:r>
              <w:rPr>
                <w:sz w:val="14"/>
              </w:rPr>
              <w:t>Therapy</w:t>
            </w:r>
            <w:r>
              <w:rPr>
                <w:spacing w:val="-4"/>
                <w:sz w:val="14"/>
              </w:rPr>
              <w:t> </w:t>
            </w:r>
            <w:r>
              <w:rPr>
                <w:sz w:val="14"/>
              </w:rPr>
              <w:t>-</w:t>
            </w:r>
            <w:r>
              <w:rPr>
                <w:spacing w:val="-1"/>
                <w:sz w:val="14"/>
              </w:rPr>
              <w:t> </w:t>
            </w:r>
            <w:r>
              <w:rPr>
                <w:sz w:val="14"/>
              </w:rPr>
              <w:t>First</w:t>
            </w:r>
            <w:r>
              <w:rPr>
                <w:spacing w:val="-4"/>
                <w:sz w:val="14"/>
              </w:rPr>
              <w:t> </w:t>
            </w:r>
            <w:r>
              <w:rPr>
                <w:sz w:val="14"/>
              </w:rPr>
              <w:t>Visit</w:t>
            </w:r>
            <w:r>
              <w:rPr>
                <w:spacing w:val="-1"/>
                <w:sz w:val="14"/>
              </w:rPr>
              <w:t> </w:t>
            </w:r>
            <w:r>
              <w:rPr>
                <w:sz w:val="14"/>
              </w:rPr>
              <w:t>-</w:t>
            </w:r>
            <w:r>
              <w:rPr>
                <w:spacing w:val="-5"/>
                <w:sz w:val="14"/>
              </w:rPr>
              <w:t> </w:t>
            </w:r>
            <w:r>
              <w:rPr>
                <w:sz w:val="14"/>
              </w:rPr>
              <w:t>CHSP</w:t>
            </w:r>
            <w:r>
              <w:rPr>
                <w:spacing w:val="-3"/>
                <w:sz w:val="14"/>
              </w:rPr>
              <w:t> </w:t>
            </w:r>
            <w:r>
              <w:rPr>
                <w:sz w:val="14"/>
              </w:rPr>
              <w:t>-</w:t>
            </w:r>
            <w:r>
              <w:rPr>
                <w:spacing w:val="-5"/>
                <w:sz w:val="14"/>
              </w:rPr>
              <w:t> </w:t>
            </w:r>
            <w:r>
              <w:rPr>
                <w:sz w:val="14"/>
              </w:rPr>
              <w:t>Medium</w:t>
            </w:r>
            <w:r>
              <w:rPr>
                <w:spacing w:val="-2"/>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23.00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24.10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9"/>
              <w:ind w:left="107"/>
              <w:rPr>
                <w:sz w:val="14"/>
              </w:rPr>
            </w:pPr>
            <w:r>
              <w:rPr>
                <w:sz w:val="14"/>
              </w:rPr>
              <w:t>Occupational</w:t>
            </w:r>
            <w:r>
              <w:rPr>
                <w:spacing w:val="-4"/>
                <w:sz w:val="14"/>
              </w:rPr>
              <w:t> </w:t>
            </w:r>
            <w:r>
              <w:rPr>
                <w:sz w:val="14"/>
              </w:rPr>
              <w:t>Therapy</w:t>
            </w:r>
            <w:r>
              <w:rPr>
                <w:spacing w:val="-5"/>
                <w:sz w:val="14"/>
              </w:rPr>
              <w:t> </w:t>
            </w:r>
            <w:r>
              <w:rPr>
                <w:sz w:val="14"/>
              </w:rPr>
              <w:t>-</w:t>
            </w:r>
            <w:r>
              <w:rPr>
                <w:spacing w:val="-1"/>
                <w:sz w:val="14"/>
              </w:rPr>
              <w:t> </w:t>
            </w:r>
            <w:r>
              <w:rPr>
                <w:sz w:val="14"/>
              </w:rPr>
              <w:t>Follow</w:t>
            </w:r>
            <w:r>
              <w:rPr>
                <w:spacing w:val="-3"/>
                <w:sz w:val="14"/>
              </w:rPr>
              <w:t> </w:t>
            </w:r>
            <w:r>
              <w:rPr>
                <w:sz w:val="14"/>
              </w:rPr>
              <w:t>Up</w:t>
            </w:r>
            <w:r>
              <w:rPr>
                <w:spacing w:val="-5"/>
                <w:sz w:val="14"/>
              </w:rPr>
              <w:t> </w:t>
            </w:r>
            <w:r>
              <w:rPr>
                <w:sz w:val="14"/>
              </w:rPr>
              <w:t>Visit</w:t>
            </w:r>
            <w:r>
              <w:rPr>
                <w:spacing w:val="-2"/>
                <w:sz w:val="14"/>
              </w:rPr>
              <w:t> </w:t>
            </w:r>
            <w:r>
              <w:rPr>
                <w:sz w:val="14"/>
              </w:rPr>
              <w:t>-</w:t>
            </w:r>
            <w:r>
              <w:rPr>
                <w:spacing w:val="-4"/>
                <w:sz w:val="14"/>
              </w:rPr>
              <w:t> </w:t>
            </w:r>
            <w:r>
              <w:rPr>
                <w:sz w:val="14"/>
              </w:rPr>
              <w:t>CHSP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1"/>
              <w:jc w:val="right"/>
              <w:rPr>
                <w:sz w:val="14"/>
              </w:rPr>
            </w:pPr>
            <w:r>
              <w:rPr>
                <w:spacing w:val="-4"/>
                <w:sz w:val="14"/>
              </w:rPr>
              <w:t>5.91</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3"/>
              <w:jc w:val="right"/>
              <w:rPr>
                <w:sz w:val="14"/>
              </w:rPr>
            </w:pPr>
            <w:r>
              <w:rPr>
                <w:spacing w:val="-4"/>
                <w:sz w:val="14"/>
              </w:rPr>
              <w:t>6.19</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2" w:lineRule="exact" w:before="19"/>
              <w:ind w:left="95" w:right="80"/>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Occupational</w:t>
            </w:r>
            <w:r>
              <w:rPr>
                <w:spacing w:val="-4"/>
                <w:sz w:val="14"/>
              </w:rPr>
              <w:t> </w:t>
            </w:r>
            <w:r>
              <w:rPr>
                <w:sz w:val="14"/>
              </w:rPr>
              <w:t>Therapy</w:t>
            </w:r>
            <w:r>
              <w:rPr>
                <w:spacing w:val="-3"/>
                <w:sz w:val="14"/>
              </w:rPr>
              <w:t> </w:t>
            </w:r>
            <w:r>
              <w:rPr>
                <w:sz w:val="14"/>
              </w:rPr>
              <w:t>-</w:t>
            </w:r>
            <w:r>
              <w:rPr>
                <w:spacing w:val="-2"/>
                <w:sz w:val="14"/>
              </w:rPr>
              <w:t> </w:t>
            </w:r>
            <w:r>
              <w:rPr>
                <w:sz w:val="14"/>
              </w:rPr>
              <w:t>Follow</w:t>
            </w:r>
            <w:r>
              <w:rPr>
                <w:spacing w:val="-3"/>
                <w:sz w:val="14"/>
              </w:rPr>
              <w:t> </w:t>
            </w:r>
            <w:r>
              <w:rPr>
                <w:sz w:val="14"/>
              </w:rPr>
              <w:t>Up</w:t>
            </w:r>
            <w:r>
              <w:rPr>
                <w:spacing w:val="-5"/>
                <w:sz w:val="14"/>
              </w:rPr>
              <w:t> </w:t>
            </w:r>
            <w:r>
              <w:rPr>
                <w:sz w:val="14"/>
              </w:rPr>
              <w:t>Visit -</w:t>
            </w:r>
            <w:r>
              <w:rPr>
                <w:spacing w:val="-4"/>
                <w:sz w:val="14"/>
              </w:rPr>
              <w:t> </w:t>
            </w:r>
            <w:r>
              <w:rPr>
                <w:sz w:val="14"/>
              </w:rPr>
              <w:t>Fee</w:t>
            </w:r>
            <w:r>
              <w:rPr>
                <w:spacing w:val="-2"/>
                <w:sz w:val="14"/>
              </w:rPr>
              <w:t> </w:t>
            </w:r>
            <w:r>
              <w:rPr>
                <w:sz w:val="14"/>
              </w:rPr>
              <w:t>for</w:t>
            </w:r>
            <w:r>
              <w:rPr>
                <w:spacing w:val="-5"/>
                <w:sz w:val="14"/>
              </w:rPr>
              <w:t> </w:t>
            </w:r>
            <w:r>
              <w:rPr>
                <w:spacing w:val="-2"/>
                <w:sz w:val="14"/>
              </w:rPr>
              <w:t>Service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5.91</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3"/>
              <w:jc w:val="right"/>
              <w:rPr>
                <w:sz w:val="14"/>
              </w:rPr>
            </w:pPr>
            <w:r>
              <w:rPr>
                <w:spacing w:val="-2"/>
                <w:sz w:val="14"/>
              </w:rPr>
              <w:t>131.10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81"/>
              <w:jc w:val="center"/>
              <w:rPr>
                <w:sz w:val="14"/>
              </w:rPr>
            </w:pPr>
            <w:r>
              <w:rPr>
                <w:spacing w:val="-4"/>
                <w:sz w:val="14"/>
              </w:rPr>
              <w:t>95.5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Occupational</w:t>
            </w:r>
            <w:r>
              <w:rPr>
                <w:spacing w:val="-4"/>
                <w:sz w:val="14"/>
              </w:rPr>
              <w:t> </w:t>
            </w:r>
            <w:r>
              <w:rPr>
                <w:sz w:val="14"/>
              </w:rPr>
              <w:t>Therapy</w:t>
            </w:r>
            <w:r>
              <w:rPr>
                <w:spacing w:val="-4"/>
                <w:sz w:val="14"/>
              </w:rPr>
              <w:t> </w:t>
            </w:r>
            <w:r>
              <w:rPr>
                <w:sz w:val="14"/>
              </w:rPr>
              <w:t>Group</w:t>
            </w:r>
            <w:r>
              <w:rPr>
                <w:spacing w:val="-2"/>
                <w:sz w:val="14"/>
              </w:rPr>
              <w:t> </w:t>
            </w:r>
            <w:r>
              <w:rPr>
                <w:sz w:val="14"/>
              </w:rPr>
              <w:t>-</w:t>
            </w:r>
            <w:r>
              <w:rPr>
                <w:spacing w:val="-4"/>
                <w:sz w:val="14"/>
              </w:rPr>
              <w:t> </w:t>
            </w:r>
            <w:r>
              <w:rPr>
                <w:sz w:val="14"/>
              </w:rPr>
              <w:t>Per</w:t>
            </w:r>
            <w:r>
              <w:rPr>
                <w:spacing w:val="-5"/>
                <w:sz w:val="14"/>
              </w:rPr>
              <w:t> </w:t>
            </w:r>
            <w:r>
              <w:rPr>
                <w:sz w:val="14"/>
              </w:rPr>
              <w:t>Session</w:t>
            </w:r>
            <w:r>
              <w:rPr>
                <w:spacing w:val="-2"/>
                <w:sz w:val="14"/>
              </w:rPr>
              <w:t> </w:t>
            </w:r>
            <w:r>
              <w:rPr>
                <w:sz w:val="14"/>
              </w:rPr>
              <w:t>-</w:t>
            </w:r>
            <w:r>
              <w:rPr>
                <w:spacing w:val="-4"/>
                <w:sz w:val="14"/>
              </w:rPr>
              <w:t> </w:t>
            </w:r>
            <w:r>
              <w:rPr>
                <w:sz w:val="14"/>
              </w:rPr>
              <w:t>CHSP</w:t>
            </w:r>
            <w:r>
              <w:rPr>
                <w:spacing w:val="-1"/>
                <w:sz w:val="14"/>
              </w:rPr>
              <w:t> </w:t>
            </w:r>
            <w:r>
              <w:rPr>
                <w:sz w:val="14"/>
              </w:rPr>
              <w:t>-</w:t>
            </w:r>
            <w:r>
              <w:rPr>
                <w:spacing w:val="-5"/>
                <w:sz w:val="14"/>
              </w:rPr>
              <w:t> </w:t>
            </w:r>
            <w:r>
              <w:rPr>
                <w:sz w:val="14"/>
              </w:rPr>
              <w:t>Low</w:t>
            </w:r>
            <w:r>
              <w:rPr>
                <w:spacing w:val="-1"/>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5.91</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6.20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Occupational</w:t>
            </w:r>
            <w:r>
              <w:rPr>
                <w:spacing w:val="-4"/>
                <w:sz w:val="14"/>
              </w:rPr>
              <w:t> </w:t>
            </w:r>
            <w:r>
              <w:rPr>
                <w:sz w:val="14"/>
              </w:rPr>
              <w:t>Therapy</w:t>
            </w:r>
            <w:r>
              <w:rPr>
                <w:spacing w:val="-4"/>
                <w:sz w:val="14"/>
              </w:rPr>
              <w:t> </w:t>
            </w:r>
            <w:r>
              <w:rPr>
                <w:sz w:val="14"/>
              </w:rPr>
              <w:t>Group</w:t>
            </w:r>
            <w:r>
              <w:rPr>
                <w:spacing w:val="-2"/>
                <w:sz w:val="14"/>
              </w:rPr>
              <w:t> </w:t>
            </w:r>
            <w:r>
              <w:rPr>
                <w:sz w:val="14"/>
              </w:rPr>
              <w:t>-</w:t>
            </w:r>
            <w:r>
              <w:rPr>
                <w:spacing w:val="-4"/>
                <w:sz w:val="14"/>
              </w:rPr>
              <w:t> </w:t>
            </w:r>
            <w:r>
              <w:rPr>
                <w:sz w:val="14"/>
              </w:rPr>
              <w:t>Per</w:t>
            </w:r>
            <w:r>
              <w:rPr>
                <w:spacing w:val="-5"/>
                <w:sz w:val="14"/>
              </w:rPr>
              <w:t> </w:t>
            </w:r>
            <w:r>
              <w:rPr>
                <w:sz w:val="14"/>
              </w:rPr>
              <w:t>Session</w:t>
            </w:r>
            <w:r>
              <w:rPr>
                <w:spacing w:val="-1"/>
                <w:sz w:val="14"/>
              </w:rPr>
              <w:t> </w:t>
            </w:r>
            <w:r>
              <w:rPr>
                <w:sz w:val="14"/>
              </w:rPr>
              <w:t>-</w:t>
            </w:r>
            <w:r>
              <w:rPr>
                <w:spacing w:val="-5"/>
                <w:sz w:val="14"/>
              </w:rPr>
              <w:t> </w:t>
            </w:r>
            <w:r>
              <w:rPr>
                <w:sz w:val="14"/>
              </w:rPr>
              <w:t>Fee</w:t>
            </w:r>
            <w:r>
              <w:rPr>
                <w:spacing w:val="-1"/>
                <w:sz w:val="14"/>
              </w:rPr>
              <w:t> </w:t>
            </w:r>
            <w:r>
              <w:rPr>
                <w:sz w:val="14"/>
              </w:rPr>
              <w:t>for</w:t>
            </w:r>
            <w:r>
              <w:rPr>
                <w:spacing w:val="-6"/>
                <w:sz w:val="14"/>
              </w:rPr>
              <w:t> </w:t>
            </w:r>
            <w:r>
              <w:rPr>
                <w:spacing w:val="-2"/>
                <w:sz w:val="14"/>
              </w:rPr>
              <w:t>Service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32.47</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34.02</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Social</w:t>
            </w:r>
            <w:r>
              <w:rPr>
                <w:b/>
                <w:spacing w:val="-5"/>
                <w:sz w:val="14"/>
              </w:rPr>
              <w:t> </w:t>
            </w:r>
            <w:r>
              <w:rPr>
                <w:b/>
                <w:sz w:val="14"/>
              </w:rPr>
              <w:t>Inclusion</w:t>
            </w:r>
            <w:r>
              <w:rPr>
                <w:b/>
                <w:spacing w:val="-5"/>
                <w:sz w:val="14"/>
              </w:rPr>
              <w:t> </w:t>
            </w:r>
            <w:r>
              <w:rPr>
                <w:b/>
                <w:sz w:val="14"/>
              </w:rPr>
              <w:t>&amp;</w:t>
            </w:r>
            <w:r>
              <w:rPr>
                <w:b/>
                <w:spacing w:val="-2"/>
                <w:sz w:val="14"/>
              </w:rPr>
              <w:t> </w:t>
            </w:r>
            <w:r>
              <w:rPr>
                <w:b/>
                <w:sz w:val="14"/>
              </w:rPr>
              <w:t>Well</w:t>
            </w:r>
            <w:r>
              <w:rPr>
                <w:b/>
                <w:spacing w:val="-5"/>
                <w:sz w:val="14"/>
              </w:rPr>
              <w:t> </w:t>
            </w:r>
            <w:r>
              <w:rPr>
                <w:b/>
                <w:spacing w:val="-4"/>
                <w:sz w:val="14"/>
              </w:rPr>
              <w:t>Being</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Social</w:t>
            </w:r>
            <w:r>
              <w:rPr>
                <w:spacing w:val="-4"/>
                <w:sz w:val="14"/>
              </w:rPr>
              <w:t> </w:t>
            </w:r>
            <w:r>
              <w:rPr>
                <w:sz w:val="14"/>
              </w:rPr>
              <w:t>Support</w:t>
            </w:r>
            <w:r>
              <w:rPr>
                <w:spacing w:val="-2"/>
                <w:sz w:val="14"/>
              </w:rPr>
              <w:t> </w:t>
            </w:r>
            <w:r>
              <w:rPr>
                <w:sz w:val="14"/>
              </w:rPr>
              <w:t>Group</w:t>
            </w:r>
            <w:r>
              <w:rPr>
                <w:spacing w:val="-3"/>
                <w:sz w:val="14"/>
              </w:rPr>
              <w:t> </w:t>
            </w:r>
            <w:r>
              <w:rPr>
                <w:sz w:val="14"/>
              </w:rPr>
              <w:t>-</w:t>
            </w:r>
            <w:r>
              <w:rPr>
                <w:spacing w:val="-1"/>
                <w:sz w:val="14"/>
              </w:rPr>
              <w:t> </w:t>
            </w:r>
            <w:r>
              <w:rPr>
                <w:sz w:val="14"/>
              </w:rPr>
              <w:t>Full</w:t>
            </w:r>
            <w:r>
              <w:rPr>
                <w:spacing w:val="-4"/>
                <w:sz w:val="14"/>
              </w:rPr>
              <w:t> </w:t>
            </w:r>
            <w:r>
              <w:rPr>
                <w:sz w:val="14"/>
              </w:rPr>
              <w:t>Day</w:t>
            </w:r>
            <w:r>
              <w:rPr>
                <w:spacing w:val="-2"/>
                <w:sz w:val="14"/>
              </w:rPr>
              <w:t> </w:t>
            </w:r>
            <w:r>
              <w:rPr>
                <w:sz w:val="14"/>
              </w:rPr>
              <w:t>-</w:t>
            </w:r>
            <w:r>
              <w:rPr>
                <w:spacing w:val="-1"/>
                <w:sz w:val="14"/>
              </w:rPr>
              <w:t> </w:t>
            </w:r>
            <w:r>
              <w:rPr>
                <w:sz w:val="14"/>
              </w:rPr>
              <w:t>CHSP</w:t>
            </w:r>
            <w:r>
              <w:rPr>
                <w:spacing w:val="-2"/>
                <w:sz w:val="14"/>
              </w:rPr>
              <w:t> </w:t>
            </w:r>
            <w:r>
              <w:rPr>
                <w:sz w:val="14"/>
              </w:rPr>
              <w:t>-</w:t>
            </w:r>
            <w:r>
              <w:rPr>
                <w:spacing w:val="-4"/>
                <w:sz w:val="14"/>
              </w:rPr>
              <w:t> </w:t>
            </w:r>
            <w:r>
              <w:rPr>
                <w:sz w:val="14"/>
              </w:rPr>
              <w:t>Low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9.62</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10.08</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9"/>
              <w:ind w:left="107"/>
              <w:rPr>
                <w:sz w:val="14"/>
              </w:rPr>
            </w:pPr>
            <w:r>
              <w:rPr>
                <w:sz w:val="14"/>
              </w:rPr>
              <w:t>Social</w:t>
            </w:r>
            <w:r>
              <w:rPr>
                <w:spacing w:val="-5"/>
                <w:sz w:val="14"/>
              </w:rPr>
              <w:t> </w:t>
            </w:r>
            <w:r>
              <w:rPr>
                <w:sz w:val="14"/>
              </w:rPr>
              <w:t>Support</w:t>
            </w:r>
            <w:r>
              <w:rPr>
                <w:spacing w:val="-2"/>
                <w:sz w:val="14"/>
              </w:rPr>
              <w:t> </w:t>
            </w:r>
            <w:r>
              <w:rPr>
                <w:sz w:val="14"/>
              </w:rPr>
              <w:t>Group</w:t>
            </w:r>
            <w:r>
              <w:rPr>
                <w:spacing w:val="-4"/>
                <w:sz w:val="14"/>
              </w:rPr>
              <w:t> </w:t>
            </w:r>
            <w:r>
              <w:rPr>
                <w:sz w:val="14"/>
              </w:rPr>
              <w:t>-</w:t>
            </w:r>
            <w:r>
              <w:rPr>
                <w:spacing w:val="-2"/>
                <w:sz w:val="14"/>
              </w:rPr>
              <w:t> </w:t>
            </w:r>
            <w:r>
              <w:rPr>
                <w:sz w:val="14"/>
              </w:rPr>
              <w:t>Full</w:t>
            </w:r>
            <w:r>
              <w:rPr>
                <w:spacing w:val="-3"/>
                <w:sz w:val="14"/>
              </w:rPr>
              <w:t> </w:t>
            </w:r>
            <w:r>
              <w:rPr>
                <w:sz w:val="14"/>
              </w:rPr>
              <w:t>Day</w:t>
            </w:r>
            <w:r>
              <w:rPr>
                <w:spacing w:val="-3"/>
                <w:sz w:val="14"/>
              </w:rPr>
              <w:t> </w:t>
            </w:r>
            <w:r>
              <w:rPr>
                <w:sz w:val="14"/>
              </w:rPr>
              <w:t>-</w:t>
            </w:r>
            <w:r>
              <w:rPr>
                <w:spacing w:val="-2"/>
                <w:sz w:val="14"/>
              </w:rPr>
              <w:t> </w:t>
            </w:r>
            <w:r>
              <w:rPr>
                <w:sz w:val="14"/>
              </w:rPr>
              <w:t>Fee</w:t>
            </w:r>
            <w:r>
              <w:rPr>
                <w:spacing w:val="-4"/>
                <w:sz w:val="14"/>
              </w:rPr>
              <w:t> </w:t>
            </w:r>
            <w:r>
              <w:rPr>
                <w:sz w:val="14"/>
              </w:rPr>
              <w:t>for</w:t>
            </w:r>
            <w:r>
              <w:rPr>
                <w:spacing w:val="-3"/>
                <w:sz w:val="14"/>
              </w:rPr>
              <w:t> </w:t>
            </w:r>
            <w:r>
              <w:rPr>
                <w:spacing w:val="-2"/>
                <w:sz w:val="14"/>
              </w:rPr>
              <w:t>Service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7"/>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300"/>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1"/>
              <w:jc w:val="right"/>
              <w:rPr>
                <w:sz w:val="14"/>
              </w:rPr>
            </w:pPr>
            <w:r>
              <w:rPr>
                <w:spacing w:val="-2"/>
                <w:sz w:val="14"/>
              </w:rPr>
              <w:t>123.65</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2"/>
              <w:jc w:val="right"/>
              <w:rPr>
                <w:sz w:val="14"/>
              </w:rPr>
            </w:pPr>
            <w:r>
              <w:rPr>
                <w:spacing w:val="-2"/>
                <w:sz w:val="14"/>
              </w:rPr>
              <w:t>129.58</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2" w:lineRule="exact" w:before="19"/>
              <w:ind w:left="95" w:right="80"/>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Social</w:t>
            </w:r>
            <w:r>
              <w:rPr>
                <w:spacing w:val="-4"/>
                <w:sz w:val="14"/>
              </w:rPr>
              <w:t> </w:t>
            </w:r>
            <w:r>
              <w:rPr>
                <w:sz w:val="14"/>
              </w:rPr>
              <w:t>Support</w:t>
            </w:r>
            <w:r>
              <w:rPr>
                <w:spacing w:val="-3"/>
                <w:sz w:val="14"/>
              </w:rPr>
              <w:t> </w:t>
            </w:r>
            <w:r>
              <w:rPr>
                <w:sz w:val="14"/>
              </w:rPr>
              <w:t>Group</w:t>
            </w:r>
            <w:r>
              <w:rPr>
                <w:spacing w:val="-3"/>
                <w:sz w:val="14"/>
              </w:rPr>
              <w:t> </w:t>
            </w:r>
            <w:r>
              <w:rPr>
                <w:sz w:val="14"/>
              </w:rPr>
              <w:t>-</w:t>
            </w:r>
            <w:r>
              <w:rPr>
                <w:spacing w:val="-2"/>
                <w:sz w:val="14"/>
              </w:rPr>
              <w:t> </w:t>
            </w:r>
            <w:r>
              <w:rPr>
                <w:sz w:val="14"/>
              </w:rPr>
              <w:t>Half</w:t>
            </w:r>
            <w:r>
              <w:rPr>
                <w:spacing w:val="-1"/>
                <w:sz w:val="14"/>
              </w:rPr>
              <w:t> </w:t>
            </w:r>
            <w:r>
              <w:rPr>
                <w:sz w:val="14"/>
              </w:rPr>
              <w:t>Day -</w:t>
            </w:r>
            <w:r>
              <w:rPr>
                <w:spacing w:val="-4"/>
                <w:sz w:val="14"/>
              </w:rPr>
              <w:t> </w:t>
            </w:r>
            <w:r>
              <w:rPr>
                <w:sz w:val="14"/>
              </w:rPr>
              <w:t>CHSP</w:t>
            </w:r>
            <w:r>
              <w:rPr>
                <w:spacing w:val="-3"/>
                <w:sz w:val="14"/>
              </w:rPr>
              <w:t> </w:t>
            </w:r>
            <w:r>
              <w:rPr>
                <w:sz w:val="14"/>
              </w:rPr>
              <w:t>-</w:t>
            </w:r>
            <w:r>
              <w:rPr>
                <w:spacing w:val="-4"/>
                <w:sz w:val="14"/>
              </w:rPr>
              <w:t> </w:t>
            </w:r>
            <w:r>
              <w:rPr>
                <w:sz w:val="14"/>
              </w:rPr>
              <w:t>Low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7.22</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7.56</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Social</w:t>
            </w:r>
            <w:r>
              <w:rPr>
                <w:spacing w:val="-5"/>
                <w:sz w:val="14"/>
              </w:rPr>
              <w:t> </w:t>
            </w:r>
            <w:r>
              <w:rPr>
                <w:sz w:val="14"/>
              </w:rPr>
              <w:t>Support</w:t>
            </w:r>
            <w:r>
              <w:rPr>
                <w:spacing w:val="-2"/>
                <w:sz w:val="14"/>
              </w:rPr>
              <w:t> </w:t>
            </w:r>
            <w:r>
              <w:rPr>
                <w:sz w:val="14"/>
              </w:rPr>
              <w:t>Group</w:t>
            </w:r>
            <w:r>
              <w:rPr>
                <w:spacing w:val="-4"/>
                <w:sz w:val="14"/>
              </w:rPr>
              <w:t> </w:t>
            </w:r>
            <w:r>
              <w:rPr>
                <w:sz w:val="14"/>
              </w:rPr>
              <w:t>-</w:t>
            </w:r>
            <w:r>
              <w:rPr>
                <w:spacing w:val="-2"/>
                <w:sz w:val="14"/>
              </w:rPr>
              <w:t> </w:t>
            </w:r>
            <w:r>
              <w:rPr>
                <w:sz w:val="14"/>
              </w:rPr>
              <w:t>Half</w:t>
            </w:r>
            <w:r>
              <w:rPr>
                <w:spacing w:val="-1"/>
                <w:sz w:val="14"/>
              </w:rPr>
              <w:t> </w:t>
            </w:r>
            <w:r>
              <w:rPr>
                <w:sz w:val="14"/>
              </w:rPr>
              <w:t>Day -</w:t>
            </w:r>
            <w:r>
              <w:rPr>
                <w:spacing w:val="-2"/>
                <w:sz w:val="14"/>
              </w:rPr>
              <w:t> </w:t>
            </w:r>
            <w:r>
              <w:rPr>
                <w:sz w:val="14"/>
              </w:rPr>
              <w:t>Fee</w:t>
            </w:r>
            <w:r>
              <w:rPr>
                <w:spacing w:val="-4"/>
                <w:sz w:val="14"/>
              </w:rPr>
              <w:t> </w:t>
            </w:r>
            <w:r>
              <w:rPr>
                <w:sz w:val="14"/>
              </w:rPr>
              <w:t>for</w:t>
            </w:r>
            <w:r>
              <w:rPr>
                <w:spacing w:val="-5"/>
                <w:sz w:val="14"/>
              </w:rPr>
              <w:t> </w:t>
            </w:r>
            <w:r>
              <w:rPr>
                <w:spacing w:val="-2"/>
                <w:sz w:val="14"/>
              </w:rPr>
              <w:t>Service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92.73</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72.90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w w:val="95"/>
                <w:sz w:val="14"/>
              </w:rPr>
              <w:t>-</w:t>
            </w:r>
            <w:r>
              <w:rPr>
                <w:spacing w:val="-4"/>
                <w:sz w:val="14"/>
              </w:rPr>
              <w:t>27.2</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Social</w:t>
            </w:r>
            <w:r>
              <w:rPr>
                <w:spacing w:val="-5"/>
                <w:sz w:val="14"/>
              </w:rPr>
              <w:t> </w:t>
            </w:r>
            <w:r>
              <w:rPr>
                <w:sz w:val="14"/>
              </w:rPr>
              <w:t>Support</w:t>
            </w:r>
            <w:r>
              <w:rPr>
                <w:spacing w:val="-2"/>
                <w:sz w:val="14"/>
              </w:rPr>
              <w:t> </w:t>
            </w:r>
            <w:r>
              <w:rPr>
                <w:sz w:val="14"/>
              </w:rPr>
              <w:t>Group</w:t>
            </w:r>
            <w:r>
              <w:rPr>
                <w:spacing w:val="-5"/>
                <w:sz w:val="14"/>
              </w:rPr>
              <w:t> </w:t>
            </w:r>
            <w:r>
              <w:rPr>
                <w:sz w:val="14"/>
              </w:rPr>
              <w:t>-</w:t>
            </w:r>
            <w:r>
              <w:rPr>
                <w:spacing w:val="-1"/>
                <w:sz w:val="14"/>
              </w:rPr>
              <w:t> </w:t>
            </w:r>
            <w:r>
              <w:rPr>
                <w:sz w:val="14"/>
              </w:rPr>
              <w:t>Entertainment</w:t>
            </w:r>
            <w:r>
              <w:rPr>
                <w:spacing w:val="-5"/>
                <w:sz w:val="14"/>
              </w:rPr>
              <w:t> </w:t>
            </w:r>
            <w:r>
              <w:rPr>
                <w:sz w:val="14"/>
              </w:rPr>
              <w:t>-</w:t>
            </w:r>
            <w:r>
              <w:rPr>
                <w:spacing w:val="-1"/>
                <w:sz w:val="14"/>
              </w:rPr>
              <w:t> </w:t>
            </w:r>
            <w:r>
              <w:rPr>
                <w:sz w:val="14"/>
              </w:rPr>
              <w:t>First</w:t>
            </w:r>
            <w:r>
              <w:rPr>
                <w:spacing w:val="-4"/>
                <w:sz w:val="14"/>
              </w:rPr>
              <w:t> </w:t>
            </w:r>
            <w:r>
              <w:rPr>
                <w:sz w:val="14"/>
              </w:rPr>
              <w:t>Hour</w:t>
            </w:r>
            <w:r>
              <w:rPr>
                <w:spacing w:val="-3"/>
                <w:sz w:val="14"/>
              </w:rPr>
              <w:t> </w:t>
            </w:r>
            <w:r>
              <w:rPr>
                <w:sz w:val="14"/>
              </w:rPr>
              <w:t>-</w:t>
            </w:r>
            <w:r>
              <w:rPr>
                <w:spacing w:val="-4"/>
                <w:sz w:val="14"/>
              </w:rPr>
              <w:t> </w:t>
            </w:r>
            <w:r>
              <w:rPr>
                <w:sz w:val="14"/>
              </w:rPr>
              <w:t>CHSP</w:t>
            </w:r>
            <w:r>
              <w:rPr>
                <w:spacing w:val="-1"/>
                <w:sz w:val="14"/>
              </w:rPr>
              <w:t> </w:t>
            </w:r>
            <w:r>
              <w:rPr>
                <w:sz w:val="14"/>
              </w:rPr>
              <w:t>-</w:t>
            </w:r>
            <w:r>
              <w:rPr>
                <w:spacing w:val="-4"/>
                <w:sz w:val="14"/>
              </w:rPr>
              <w:t> </w:t>
            </w:r>
            <w:r>
              <w:rPr>
                <w:sz w:val="14"/>
              </w:rPr>
              <w:t>Low</w:t>
            </w:r>
            <w:r>
              <w:rPr>
                <w:spacing w:val="-1"/>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4.00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4.19</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Social</w:t>
            </w:r>
            <w:r>
              <w:rPr>
                <w:spacing w:val="-5"/>
                <w:sz w:val="14"/>
              </w:rPr>
              <w:t> </w:t>
            </w:r>
            <w:r>
              <w:rPr>
                <w:sz w:val="14"/>
              </w:rPr>
              <w:t>Support</w:t>
            </w:r>
            <w:r>
              <w:rPr>
                <w:spacing w:val="-3"/>
                <w:sz w:val="14"/>
              </w:rPr>
              <w:t> </w:t>
            </w:r>
            <w:r>
              <w:rPr>
                <w:sz w:val="14"/>
              </w:rPr>
              <w:t>Group</w:t>
            </w:r>
            <w:r>
              <w:rPr>
                <w:spacing w:val="-4"/>
                <w:sz w:val="14"/>
              </w:rPr>
              <w:t> </w:t>
            </w:r>
            <w:r>
              <w:rPr>
                <w:sz w:val="14"/>
              </w:rPr>
              <w:t>-</w:t>
            </w:r>
            <w:r>
              <w:rPr>
                <w:spacing w:val="-2"/>
                <w:sz w:val="14"/>
              </w:rPr>
              <w:t> </w:t>
            </w:r>
            <w:r>
              <w:rPr>
                <w:sz w:val="14"/>
              </w:rPr>
              <w:t>Entertainment</w:t>
            </w:r>
            <w:r>
              <w:rPr>
                <w:spacing w:val="-5"/>
                <w:sz w:val="14"/>
              </w:rPr>
              <w:t> </w:t>
            </w:r>
            <w:r>
              <w:rPr>
                <w:sz w:val="14"/>
              </w:rPr>
              <w:t>-</w:t>
            </w:r>
            <w:r>
              <w:rPr>
                <w:spacing w:val="-2"/>
                <w:sz w:val="14"/>
              </w:rPr>
              <w:t> </w:t>
            </w:r>
            <w:r>
              <w:rPr>
                <w:sz w:val="14"/>
              </w:rPr>
              <w:t>Each</w:t>
            </w:r>
            <w:r>
              <w:rPr>
                <w:spacing w:val="-4"/>
                <w:sz w:val="14"/>
              </w:rPr>
              <w:t> </w:t>
            </w:r>
            <w:r>
              <w:rPr>
                <w:sz w:val="14"/>
              </w:rPr>
              <w:t>Additional</w:t>
            </w:r>
            <w:r>
              <w:rPr>
                <w:spacing w:val="-4"/>
                <w:sz w:val="14"/>
              </w:rPr>
              <w:t> </w:t>
            </w:r>
            <w:r>
              <w:rPr>
                <w:sz w:val="14"/>
              </w:rPr>
              <w:t>Hour</w:t>
            </w:r>
            <w:r>
              <w:rPr>
                <w:spacing w:val="-2"/>
                <w:sz w:val="14"/>
              </w:rPr>
              <w:t> </w:t>
            </w:r>
            <w:r>
              <w:rPr>
                <w:sz w:val="14"/>
              </w:rPr>
              <w:t>-</w:t>
            </w:r>
            <w:r>
              <w:rPr>
                <w:spacing w:val="-4"/>
                <w:sz w:val="14"/>
              </w:rPr>
              <w:t> </w:t>
            </w:r>
            <w:r>
              <w:rPr>
                <w:sz w:val="14"/>
              </w:rPr>
              <w:t>CHSP</w:t>
            </w:r>
            <w:r>
              <w:rPr>
                <w:spacing w:val="-1"/>
                <w:sz w:val="14"/>
              </w:rPr>
              <w:t> </w:t>
            </w:r>
            <w:r>
              <w:rPr>
                <w:sz w:val="14"/>
              </w:rPr>
              <w:t>-</w:t>
            </w:r>
            <w:r>
              <w:rPr>
                <w:spacing w:val="-5"/>
                <w:sz w:val="14"/>
              </w:rPr>
              <w:t> </w:t>
            </w:r>
            <w:r>
              <w:rPr>
                <w:sz w:val="14"/>
              </w:rPr>
              <w:t>Low</w:t>
            </w:r>
            <w:r>
              <w:rPr>
                <w:spacing w:val="-1"/>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3.00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3.14</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Social</w:t>
            </w:r>
            <w:r>
              <w:rPr>
                <w:spacing w:val="-5"/>
                <w:sz w:val="14"/>
              </w:rPr>
              <w:t> </w:t>
            </w:r>
            <w:r>
              <w:rPr>
                <w:sz w:val="14"/>
              </w:rPr>
              <w:t>Support</w:t>
            </w:r>
            <w:r>
              <w:rPr>
                <w:spacing w:val="-2"/>
                <w:sz w:val="14"/>
              </w:rPr>
              <w:t> </w:t>
            </w:r>
            <w:r>
              <w:rPr>
                <w:sz w:val="14"/>
              </w:rPr>
              <w:t>Group</w:t>
            </w:r>
            <w:r>
              <w:rPr>
                <w:spacing w:val="-5"/>
                <w:sz w:val="14"/>
              </w:rPr>
              <w:t> </w:t>
            </w:r>
            <w:r>
              <w:rPr>
                <w:sz w:val="14"/>
              </w:rPr>
              <w:t>-</w:t>
            </w:r>
            <w:r>
              <w:rPr>
                <w:spacing w:val="-2"/>
                <w:sz w:val="14"/>
              </w:rPr>
              <w:t> </w:t>
            </w:r>
            <w:r>
              <w:rPr>
                <w:sz w:val="14"/>
              </w:rPr>
              <w:t>Entertainment</w:t>
            </w:r>
            <w:r>
              <w:rPr>
                <w:spacing w:val="-4"/>
                <w:sz w:val="14"/>
              </w:rPr>
              <w:t> </w:t>
            </w:r>
            <w:r>
              <w:rPr>
                <w:sz w:val="14"/>
              </w:rPr>
              <w:t>-</w:t>
            </w:r>
            <w:r>
              <w:rPr>
                <w:spacing w:val="-2"/>
                <w:sz w:val="14"/>
              </w:rPr>
              <w:t> </w:t>
            </w:r>
            <w:r>
              <w:rPr>
                <w:sz w:val="14"/>
              </w:rPr>
              <w:t>First</w:t>
            </w:r>
            <w:r>
              <w:rPr>
                <w:spacing w:val="-4"/>
                <w:sz w:val="14"/>
              </w:rPr>
              <w:t> </w:t>
            </w:r>
            <w:r>
              <w:rPr>
                <w:sz w:val="14"/>
              </w:rPr>
              <w:t>Hour</w:t>
            </w:r>
            <w:r>
              <w:rPr>
                <w:spacing w:val="-3"/>
                <w:sz w:val="14"/>
              </w:rPr>
              <w:t> </w:t>
            </w:r>
            <w:r>
              <w:rPr>
                <w:sz w:val="14"/>
              </w:rPr>
              <w:t>-</w:t>
            </w:r>
            <w:r>
              <w:rPr>
                <w:spacing w:val="-1"/>
                <w:sz w:val="14"/>
              </w:rPr>
              <w:t> </w:t>
            </w:r>
            <w:r>
              <w:rPr>
                <w:sz w:val="14"/>
              </w:rPr>
              <w:t>Fee</w:t>
            </w:r>
            <w:r>
              <w:rPr>
                <w:spacing w:val="-5"/>
                <w:sz w:val="14"/>
              </w:rPr>
              <w:t> </w:t>
            </w:r>
            <w:r>
              <w:rPr>
                <w:sz w:val="14"/>
              </w:rPr>
              <w:t>for</w:t>
            </w:r>
            <w:r>
              <w:rPr>
                <w:spacing w:val="-4"/>
                <w:sz w:val="14"/>
              </w:rPr>
              <w:t> </w:t>
            </w:r>
            <w:r>
              <w:rPr>
                <w:spacing w:val="-2"/>
                <w:sz w:val="14"/>
              </w:rPr>
              <w:t>Service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25.29</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26.50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2" w:lineRule="exact" w:before="19"/>
              <w:ind w:left="107"/>
              <w:rPr>
                <w:sz w:val="14"/>
              </w:rPr>
            </w:pPr>
            <w:r>
              <w:rPr>
                <w:sz w:val="14"/>
              </w:rPr>
              <w:t>Social</w:t>
            </w:r>
            <w:r>
              <w:rPr>
                <w:spacing w:val="-5"/>
                <w:sz w:val="14"/>
              </w:rPr>
              <w:t> </w:t>
            </w:r>
            <w:r>
              <w:rPr>
                <w:sz w:val="14"/>
              </w:rPr>
              <w:t>Support</w:t>
            </w:r>
            <w:r>
              <w:rPr>
                <w:spacing w:val="-3"/>
                <w:sz w:val="14"/>
              </w:rPr>
              <w:t> </w:t>
            </w:r>
            <w:r>
              <w:rPr>
                <w:sz w:val="14"/>
              </w:rPr>
              <w:t>Group</w:t>
            </w:r>
            <w:r>
              <w:rPr>
                <w:spacing w:val="-4"/>
                <w:sz w:val="14"/>
              </w:rPr>
              <w:t> </w:t>
            </w:r>
            <w:r>
              <w:rPr>
                <w:sz w:val="14"/>
              </w:rPr>
              <w:t>-</w:t>
            </w:r>
            <w:r>
              <w:rPr>
                <w:spacing w:val="-3"/>
                <w:sz w:val="14"/>
              </w:rPr>
              <w:t> </w:t>
            </w:r>
            <w:r>
              <w:rPr>
                <w:sz w:val="14"/>
              </w:rPr>
              <w:t>Entertainment</w:t>
            </w:r>
            <w:r>
              <w:rPr>
                <w:spacing w:val="-3"/>
                <w:sz w:val="14"/>
              </w:rPr>
              <w:t> </w:t>
            </w:r>
            <w:r>
              <w:rPr>
                <w:sz w:val="14"/>
              </w:rPr>
              <w:t>-</w:t>
            </w:r>
            <w:r>
              <w:rPr>
                <w:spacing w:val="-3"/>
                <w:sz w:val="14"/>
              </w:rPr>
              <w:t> </w:t>
            </w:r>
            <w:r>
              <w:rPr>
                <w:sz w:val="14"/>
              </w:rPr>
              <w:t>Each</w:t>
            </w:r>
            <w:r>
              <w:rPr>
                <w:spacing w:val="-6"/>
                <w:sz w:val="14"/>
              </w:rPr>
              <w:t> </w:t>
            </w:r>
            <w:r>
              <w:rPr>
                <w:sz w:val="14"/>
              </w:rPr>
              <w:t>Additional</w:t>
            </w:r>
            <w:r>
              <w:rPr>
                <w:spacing w:val="-3"/>
                <w:sz w:val="14"/>
              </w:rPr>
              <w:t> </w:t>
            </w:r>
            <w:r>
              <w:rPr>
                <w:sz w:val="14"/>
              </w:rPr>
              <w:t>Hour</w:t>
            </w:r>
            <w:r>
              <w:rPr>
                <w:spacing w:val="-2"/>
                <w:sz w:val="14"/>
              </w:rPr>
              <w:t> </w:t>
            </w:r>
            <w:r>
              <w:rPr>
                <w:sz w:val="14"/>
              </w:rPr>
              <w:t>-</w:t>
            </w:r>
            <w:r>
              <w:rPr>
                <w:spacing w:val="-2"/>
                <w:sz w:val="14"/>
              </w:rPr>
              <w:t> </w:t>
            </w:r>
            <w:r>
              <w:rPr>
                <w:sz w:val="14"/>
              </w:rPr>
              <w:t>Fee</w:t>
            </w:r>
            <w:r>
              <w:rPr>
                <w:spacing w:val="-4"/>
                <w:sz w:val="14"/>
              </w:rPr>
              <w:t> </w:t>
            </w:r>
            <w:r>
              <w:rPr>
                <w:sz w:val="14"/>
              </w:rPr>
              <w:t>for</w:t>
            </w:r>
            <w:r>
              <w:rPr>
                <w:spacing w:val="-6"/>
                <w:sz w:val="14"/>
              </w:rPr>
              <w:t> </w:t>
            </w:r>
            <w:r>
              <w:rPr>
                <w:spacing w:val="-2"/>
                <w:sz w:val="14"/>
              </w:rPr>
              <w:t>Service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27"/>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left="300"/>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2"/>
              <w:jc w:val="right"/>
              <w:rPr>
                <w:sz w:val="14"/>
              </w:rPr>
            </w:pPr>
            <w:r>
              <w:rPr>
                <w:spacing w:val="-4"/>
                <w:sz w:val="14"/>
              </w:rPr>
              <w:t>2.53</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2" w:lineRule="exact" w:before="19"/>
              <w:ind w:right="92"/>
              <w:jc w:val="right"/>
              <w:rPr>
                <w:sz w:val="14"/>
              </w:rPr>
            </w:pPr>
            <w:r>
              <w:rPr>
                <w:spacing w:val="-2"/>
                <w:sz w:val="14"/>
              </w:rPr>
              <w:t>24.92</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2" w:lineRule="exact" w:before="19"/>
              <w:ind w:left="95" w:right="81"/>
              <w:jc w:val="center"/>
              <w:rPr>
                <w:sz w:val="14"/>
              </w:rPr>
            </w:pPr>
            <w:r>
              <w:rPr>
                <w:spacing w:val="-4"/>
                <w:sz w:val="14"/>
              </w:rPr>
              <w:t>89.9</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Social</w:t>
            </w:r>
            <w:r>
              <w:rPr>
                <w:spacing w:val="-5"/>
                <w:sz w:val="14"/>
              </w:rPr>
              <w:t> </w:t>
            </w:r>
            <w:r>
              <w:rPr>
                <w:sz w:val="14"/>
              </w:rPr>
              <w:t>Support</w:t>
            </w:r>
            <w:r>
              <w:rPr>
                <w:spacing w:val="-3"/>
                <w:sz w:val="14"/>
              </w:rPr>
              <w:t> </w:t>
            </w:r>
            <w:r>
              <w:rPr>
                <w:sz w:val="14"/>
              </w:rPr>
              <w:t>Group</w:t>
            </w:r>
            <w:r>
              <w:rPr>
                <w:spacing w:val="-4"/>
                <w:sz w:val="14"/>
              </w:rPr>
              <w:t> </w:t>
            </w:r>
            <w:r>
              <w:rPr>
                <w:sz w:val="14"/>
              </w:rPr>
              <w:t>-</w:t>
            </w:r>
            <w:r>
              <w:rPr>
                <w:spacing w:val="-2"/>
                <w:sz w:val="14"/>
              </w:rPr>
              <w:t> </w:t>
            </w:r>
            <w:r>
              <w:rPr>
                <w:sz w:val="14"/>
              </w:rPr>
              <w:t>Health/Information</w:t>
            </w:r>
            <w:r>
              <w:rPr>
                <w:spacing w:val="-2"/>
                <w:sz w:val="14"/>
              </w:rPr>
              <w:t> </w:t>
            </w:r>
            <w:r>
              <w:rPr>
                <w:sz w:val="14"/>
              </w:rPr>
              <w:t>-</w:t>
            </w:r>
            <w:r>
              <w:rPr>
                <w:spacing w:val="-5"/>
                <w:sz w:val="14"/>
              </w:rPr>
              <w:t> </w:t>
            </w:r>
            <w:r>
              <w:rPr>
                <w:sz w:val="14"/>
              </w:rPr>
              <w:t>First</w:t>
            </w:r>
            <w:r>
              <w:rPr>
                <w:spacing w:val="-4"/>
                <w:sz w:val="14"/>
              </w:rPr>
              <w:t> </w:t>
            </w:r>
            <w:r>
              <w:rPr>
                <w:sz w:val="14"/>
              </w:rPr>
              <w:t>Hour</w:t>
            </w:r>
            <w:r>
              <w:rPr>
                <w:spacing w:val="-5"/>
                <w:sz w:val="14"/>
              </w:rPr>
              <w:t> </w:t>
            </w:r>
            <w:r>
              <w:rPr>
                <w:sz w:val="14"/>
              </w:rPr>
              <w:t>-</w:t>
            </w:r>
            <w:r>
              <w:rPr>
                <w:spacing w:val="-1"/>
                <w:sz w:val="14"/>
              </w:rPr>
              <w:t> </w:t>
            </w:r>
            <w:r>
              <w:rPr>
                <w:sz w:val="14"/>
              </w:rPr>
              <w:t>CHSP</w:t>
            </w:r>
            <w:r>
              <w:rPr>
                <w:spacing w:val="-3"/>
                <w:sz w:val="14"/>
              </w:rPr>
              <w:t> </w:t>
            </w:r>
            <w:r>
              <w:rPr>
                <w:sz w:val="14"/>
              </w:rPr>
              <w:t>-</w:t>
            </w:r>
            <w:r>
              <w:rPr>
                <w:spacing w:val="-2"/>
                <w:sz w:val="14"/>
              </w:rPr>
              <w:t> </w:t>
            </w:r>
            <w:r>
              <w:rPr>
                <w:sz w:val="14"/>
              </w:rPr>
              <w:t>Low</w:t>
            </w:r>
            <w:r>
              <w:rPr>
                <w:spacing w:val="-4"/>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2.10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Social</w:t>
            </w:r>
            <w:r>
              <w:rPr>
                <w:spacing w:val="-5"/>
                <w:sz w:val="14"/>
              </w:rPr>
              <w:t> </w:t>
            </w:r>
            <w:r>
              <w:rPr>
                <w:sz w:val="14"/>
              </w:rPr>
              <w:t>Support</w:t>
            </w:r>
            <w:r>
              <w:rPr>
                <w:spacing w:val="-3"/>
                <w:sz w:val="14"/>
              </w:rPr>
              <w:t> </w:t>
            </w:r>
            <w:r>
              <w:rPr>
                <w:sz w:val="14"/>
              </w:rPr>
              <w:t>Group</w:t>
            </w:r>
            <w:r>
              <w:rPr>
                <w:spacing w:val="-5"/>
                <w:sz w:val="14"/>
              </w:rPr>
              <w:t> </w:t>
            </w:r>
            <w:r>
              <w:rPr>
                <w:sz w:val="14"/>
              </w:rPr>
              <w:t>-</w:t>
            </w:r>
            <w:r>
              <w:rPr>
                <w:spacing w:val="-2"/>
                <w:sz w:val="14"/>
              </w:rPr>
              <w:t> </w:t>
            </w:r>
            <w:r>
              <w:rPr>
                <w:sz w:val="14"/>
              </w:rPr>
              <w:t>Health/Information</w:t>
            </w:r>
            <w:r>
              <w:rPr>
                <w:spacing w:val="-2"/>
                <w:sz w:val="14"/>
              </w:rPr>
              <w:t> </w:t>
            </w:r>
            <w:r>
              <w:rPr>
                <w:sz w:val="14"/>
              </w:rPr>
              <w:t>-</w:t>
            </w:r>
            <w:r>
              <w:rPr>
                <w:spacing w:val="-4"/>
                <w:sz w:val="14"/>
              </w:rPr>
              <w:t> </w:t>
            </w:r>
            <w:r>
              <w:rPr>
                <w:sz w:val="14"/>
              </w:rPr>
              <w:t>Each</w:t>
            </w:r>
            <w:r>
              <w:rPr>
                <w:spacing w:val="-5"/>
                <w:sz w:val="14"/>
              </w:rPr>
              <w:t> </w:t>
            </w:r>
            <w:r>
              <w:rPr>
                <w:sz w:val="14"/>
              </w:rPr>
              <w:t>Additional</w:t>
            </w:r>
            <w:r>
              <w:rPr>
                <w:spacing w:val="-4"/>
                <w:sz w:val="14"/>
              </w:rPr>
              <w:t> </w:t>
            </w:r>
            <w:r>
              <w:rPr>
                <w:sz w:val="14"/>
              </w:rPr>
              <w:t>Hour</w:t>
            </w:r>
            <w:r>
              <w:rPr>
                <w:spacing w:val="-5"/>
                <w:sz w:val="14"/>
              </w:rPr>
              <w:t> </w:t>
            </w:r>
            <w:r>
              <w:rPr>
                <w:sz w:val="14"/>
              </w:rPr>
              <w:t>-</w:t>
            </w:r>
            <w:r>
              <w:rPr>
                <w:spacing w:val="-2"/>
                <w:sz w:val="14"/>
              </w:rPr>
              <w:t> </w:t>
            </w:r>
            <w:r>
              <w:rPr>
                <w:sz w:val="14"/>
              </w:rPr>
              <w:t>CHSP</w:t>
            </w:r>
            <w:r>
              <w:rPr>
                <w:spacing w:val="-2"/>
                <w:sz w:val="14"/>
              </w:rPr>
              <w:t> </w:t>
            </w:r>
            <w:r>
              <w:rPr>
                <w:sz w:val="14"/>
              </w:rPr>
              <w:t>-</w:t>
            </w:r>
            <w:r>
              <w:rPr>
                <w:spacing w:val="-2"/>
                <w:sz w:val="14"/>
              </w:rPr>
              <w:t> </w:t>
            </w:r>
            <w:r>
              <w:rPr>
                <w:sz w:val="14"/>
              </w:rPr>
              <w:t>Low</w:t>
            </w:r>
            <w:r>
              <w:rPr>
                <w:spacing w:val="-4"/>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1.00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1.05</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Social</w:t>
            </w:r>
            <w:r>
              <w:rPr>
                <w:spacing w:val="-5"/>
                <w:sz w:val="14"/>
              </w:rPr>
              <w:t> </w:t>
            </w:r>
            <w:r>
              <w:rPr>
                <w:sz w:val="14"/>
              </w:rPr>
              <w:t>Support</w:t>
            </w:r>
            <w:r>
              <w:rPr>
                <w:spacing w:val="-3"/>
                <w:sz w:val="14"/>
              </w:rPr>
              <w:t> </w:t>
            </w:r>
            <w:r>
              <w:rPr>
                <w:sz w:val="14"/>
              </w:rPr>
              <w:t>Group</w:t>
            </w:r>
            <w:r>
              <w:rPr>
                <w:spacing w:val="-5"/>
                <w:sz w:val="14"/>
              </w:rPr>
              <w:t> </w:t>
            </w:r>
            <w:r>
              <w:rPr>
                <w:sz w:val="14"/>
              </w:rPr>
              <w:t>-</w:t>
            </w:r>
            <w:r>
              <w:rPr>
                <w:spacing w:val="-2"/>
                <w:sz w:val="14"/>
              </w:rPr>
              <w:t> </w:t>
            </w:r>
            <w:r>
              <w:rPr>
                <w:sz w:val="14"/>
              </w:rPr>
              <w:t>Health/Information</w:t>
            </w:r>
            <w:r>
              <w:rPr>
                <w:spacing w:val="-3"/>
                <w:sz w:val="14"/>
              </w:rPr>
              <w:t> </w:t>
            </w:r>
            <w:r>
              <w:rPr>
                <w:sz w:val="14"/>
              </w:rPr>
              <w:t>-</w:t>
            </w:r>
            <w:r>
              <w:rPr>
                <w:spacing w:val="-4"/>
                <w:sz w:val="14"/>
              </w:rPr>
              <w:t> </w:t>
            </w:r>
            <w:r>
              <w:rPr>
                <w:sz w:val="14"/>
              </w:rPr>
              <w:t>First</w:t>
            </w:r>
            <w:r>
              <w:rPr>
                <w:spacing w:val="-5"/>
                <w:sz w:val="14"/>
              </w:rPr>
              <w:t> </w:t>
            </w:r>
            <w:r>
              <w:rPr>
                <w:sz w:val="14"/>
              </w:rPr>
              <w:t>Hour</w:t>
            </w:r>
            <w:r>
              <w:rPr>
                <w:spacing w:val="-5"/>
                <w:sz w:val="14"/>
              </w:rPr>
              <w:t> </w:t>
            </w:r>
            <w:r>
              <w:rPr>
                <w:sz w:val="14"/>
              </w:rPr>
              <w:t>-</w:t>
            </w:r>
            <w:r>
              <w:rPr>
                <w:spacing w:val="-2"/>
                <w:sz w:val="14"/>
              </w:rPr>
              <w:t> </w:t>
            </w:r>
            <w:r>
              <w:rPr>
                <w:sz w:val="14"/>
              </w:rPr>
              <w:t>Fee</w:t>
            </w:r>
            <w:r>
              <w:rPr>
                <w:spacing w:val="-2"/>
                <w:sz w:val="14"/>
              </w:rPr>
              <w:t> </w:t>
            </w:r>
            <w:r>
              <w:rPr>
                <w:sz w:val="14"/>
              </w:rPr>
              <w:t>for</w:t>
            </w:r>
            <w:r>
              <w:rPr>
                <w:spacing w:val="-1"/>
                <w:sz w:val="14"/>
              </w:rPr>
              <w:t> </w:t>
            </w:r>
            <w:r>
              <w:rPr>
                <w:spacing w:val="-2"/>
                <w:sz w:val="14"/>
              </w:rPr>
              <w:t>Service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301"/>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23.88</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bl>
    <w:p>
      <w:pPr>
        <w:spacing w:after="0" w:line="140" w:lineRule="exact"/>
        <w:jc w:val="center"/>
        <w:rPr>
          <w:sz w:val="14"/>
        </w:rPr>
        <w:sectPr>
          <w:type w:val="continuous"/>
          <w:pgSz w:w="11910" w:h="16840"/>
          <w:pgMar w:header="0" w:footer="378" w:top="680" w:bottom="736" w:left="520" w:right="520"/>
        </w:sectPr>
      </w:pPr>
    </w:p>
    <w:tbl>
      <w:tblPr>
        <w:tblW w:w="0" w:type="auto"/>
        <w:jc w:val="left"/>
        <w:tblInd w:w="13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70"/>
        <w:gridCol w:w="1028"/>
        <w:gridCol w:w="769"/>
        <w:gridCol w:w="973"/>
        <w:gridCol w:w="1199"/>
        <w:gridCol w:w="897"/>
      </w:tblGrid>
      <w:tr>
        <w:trPr>
          <w:trHeight w:val="232" w:hRule="atLeast"/>
        </w:trPr>
        <w:tc>
          <w:tcPr>
            <w:tcW w:w="10636" w:type="dxa"/>
            <w:gridSpan w:val="6"/>
            <w:tcBorders>
              <w:left w:val="single" w:sz="12" w:space="0" w:color="000000"/>
              <w:bottom w:val="single" w:sz="4" w:space="0" w:color="000000"/>
              <w:right w:val="single" w:sz="12" w:space="0" w:color="000000"/>
            </w:tcBorders>
            <w:shd w:val="clear" w:color="auto" w:fill="3399FF"/>
          </w:tcPr>
          <w:p>
            <w:pPr>
              <w:pStyle w:val="TableParagraph"/>
              <w:spacing w:before="32"/>
              <w:ind w:left="4308" w:right="4290"/>
              <w:jc w:val="center"/>
              <w:rPr>
                <w:b/>
                <w:sz w:val="14"/>
              </w:rPr>
            </w:pPr>
            <w:r>
              <w:rPr>
                <w:b/>
                <w:color w:val="FFFFFF"/>
                <w:sz w:val="14"/>
              </w:rPr>
              <w:t>FEES</w:t>
            </w:r>
            <w:r>
              <w:rPr>
                <w:b/>
                <w:color w:val="FFFFFF"/>
                <w:spacing w:val="-5"/>
                <w:sz w:val="14"/>
              </w:rPr>
              <w:t> </w:t>
            </w:r>
            <w:r>
              <w:rPr>
                <w:b/>
                <w:color w:val="FFFFFF"/>
                <w:sz w:val="14"/>
              </w:rPr>
              <w:t>AND</w:t>
            </w:r>
            <w:r>
              <w:rPr>
                <w:b/>
                <w:color w:val="FFFFFF"/>
                <w:spacing w:val="-4"/>
                <w:sz w:val="14"/>
              </w:rPr>
              <w:t> </w:t>
            </w:r>
            <w:r>
              <w:rPr>
                <w:b/>
                <w:color w:val="FFFFFF"/>
                <w:sz w:val="14"/>
              </w:rPr>
              <w:t>CHARGES</w:t>
            </w:r>
            <w:r>
              <w:rPr>
                <w:b/>
                <w:color w:val="FFFFFF"/>
                <w:spacing w:val="-1"/>
                <w:sz w:val="14"/>
              </w:rPr>
              <w:t> </w:t>
            </w:r>
            <w:r>
              <w:rPr>
                <w:b/>
                <w:color w:val="FFFFFF"/>
                <w:spacing w:val="-2"/>
                <w:sz w:val="14"/>
              </w:rPr>
              <w:t>2025/26</w:t>
            </w:r>
          </w:p>
        </w:tc>
      </w:tr>
      <w:tr>
        <w:trPr>
          <w:trHeight w:val="858" w:hRule="atLeast"/>
        </w:trPr>
        <w:tc>
          <w:tcPr>
            <w:tcW w:w="5770" w:type="dxa"/>
            <w:tcBorders>
              <w:top w:val="single" w:sz="4" w:space="0" w:color="000000"/>
              <w:left w:val="single" w:sz="12" w:space="0" w:color="000000"/>
              <w:bottom w:val="single" w:sz="4" w:space="0" w:color="000000"/>
              <w:right w:val="single" w:sz="4"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107"/>
              <w:rPr>
                <w:b/>
                <w:sz w:val="14"/>
              </w:rPr>
            </w:pPr>
            <w:r>
              <w:rPr>
                <w:b/>
                <w:color w:val="FFFFFF"/>
                <w:sz w:val="14"/>
              </w:rPr>
              <w:t>Account</w:t>
            </w:r>
            <w:r>
              <w:rPr>
                <w:b/>
                <w:color w:val="FFFFFF"/>
                <w:spacing w:val="-7"/>
                <w:sz w:val="14"/>
              </w:rPr>
              <w:t> </w:t>
            </w:r>
            <w:r>
              <w:rPr>
                <w:b/>
                <w:color w:val="FFFFFF"/>
                <w:spacing w:val="-2"/>
                <w:sz w:val="14"/>
              </w:rPr>
              <w:t>Description</w:t>
            </w:r>
          </w:p>
        </w:tc>
        <w:tc>
          <w:tcPr>
            <w:tcW w:w="1028"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26" w:right="101" w:firstLine="4"/>
              <w:jc w:val="center"/>
              <w:rPr>
                <w:b/>
                <w:sz w:val="14"/>
              </w:rPr>
            </w:pPr>
            <w:r>
              <w:rPr>
                <w:b/>
                <w:color w:val="FFFFFF"/>
                <w:sz w:val="14"/>
              </w:rPr>
              <w:t>Fee</w:t>
            </w:r>
            <w:r>
              <w:rPr>
                <w:b/>
                <w:color w:val="FFFFFF"/>
                <w:spacing w:val="-6"/>
                <w:sz w:val="14"/>
              </w:rPr>
              <w:t> </w:t>
            </w:r>
            <w:r>
              <w:rPr>
                <w:b/>
                <w:color w:val="FFFFFF"/>
                <w:sz w:val="14"/>
              </w:rPr>
              <w:t>Type</w:t>
            </w:r>
            <w:r>
              <w:rPr>
                <w:b/>
                <w:color w:val="FFFFFF"/>
                <w:spacing w:val="40"/>
                <w:sz w:val="14"/>
              </w:rPr>
              <w:t> </w:t>
            </w:r>
            <w:r>
              <w:rPr>
                <w:b/>
                <w:color w:val="FFFFFF"/>
                <w:spacing w:val="-2"/>
                <w:sz w:val="14"/>
              </w:rPr>
              <w:t>N=Non-</w:t>
            </w:r>
            <w:r>
              <w:rPr>
                <w:b/>
                <w:color w:val="FFFFFF"/>
                <w:spacing w:val="40"/>
                <w:sz w:val="14"/>
              </w:rPr>
              <w:t> </w:t>
            </w:r>
            <w:r>
              <w:rPr>
                <w:b/>
                <w:color w:val="FFFFFF"/>
                <w:spacing w:val="-2"/>
                <w:sz w:val="14"/>
              </w:rPr>
              <w:t>Statutory</w:t>
            </w:r>
            <w:r>
              <w:rPr>
                <w:b/>
                <w:color w:val="FFFFFF"/>
                <w:spacing w:val="40"/>
                <w:sz w:val="14"/>
              </w:rPr>
              <w:t> </w:t>
            </w:r>
            <w:r>
              <w:rPr>
                <w:b/>
                <w:color w:val="FFFFFF"/>
                <w:spacing w:val="-2"/>
                <w:sz w:val="14"/>
              </w:rPr>
              <w:t>S=Statutory</w:t>
            </w:r>
          </w:p>
        </w:tc>
        <w:tc>
          <w:tcPr>
            <w:tcW w:w="76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4"/>
              <w:rPr>
                <w:sz w:val="23"/>
              </w:rPr>
            </w:pPr>
          </w:p>
          <w:p>
            <w:pPr>
              <w:pStyle w:val="TableParagraph"/>
              <w:spacing w:before="1"/>
              <w:ind w:left="248"/>
              <w:rPr>
                <w:b/>
                <w:sz w:val="14"/>
              </w:rPr>
            </w:pPr>
            <w:r>
              <w:rPr>
                <w:b/>
                <w:color w:val="FFFFFF"/>
                <w:spacing w:val="-5"/>
                <w:sz w:val="14"/>
              </w:rPr>
              <w:t>GST</w:t>
            </w:r>
          </w:p>
          <w:p>
            <w:pPr>
              <w:pStyle w:val="TableParagraph"/>
              <w:ind w:left="154"/>
              <w:rPr>
                <w:b/>
                <w:sz w:val="14"/>
              </w:rPr>
            </w:pPr>
            <w:r>
              <w:rPr>
                <w:b/>
                <w:color w:val="FFFFFF"/>
                <w:spacing w:val="-2"/>
                <w:sz w:val="14"/>
              </w:rPr>
              <w:t>Yes/No</w:t>
            </w:r>
          </w:p>
        </w:tc>
        <w:tc>
          <w:tcPr>
            <w:tcW w:w="973"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05" w:right="84"/>
              <w:jc w:val="center"/>
              <w:rPr>
                <w:b/>
                <w:sz w:val="14"/>
              </w:rPr>
            </w:pPr>
            <w:r>
              <w:rPr>
                <w:b/>
                <w:color w:val="FFFFFF"/>
                <w:spacing w:val="-2"/>
                <w:sz w:val="14"/>
              </w:rPr>
              <w:t>2024/25</w:t>
            </w:r>
          </w:p>
          <w:p>
            <w:pPr>
              <w:pStyle w:val="TableParagraph"/>
              <w:ind w:left="189" w:right="168" w:firstLine="1"/>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40"/>
                <w:sz w:val="14"/>
              </w:rPr>
              <w:t> </w:t>
            </w:r>
            <w:r>
              <w:rPr>
                <w:b/>
                <w:color w:val="FFFFFF"/>
                <w:sz w:val="14"/>
              </w:rPr>
              <w:t>Incl.</w:t>
            </w:r>
            <w:r>
              <w:rPr>
                <w:b/>
                <w:color w:val="FFFFFF"/>
                <w:spacing w:val="-5"/>
                <w:sz w:val="14"/>
              </w:rPr>
              <w:t> </w:t>
            </w:r>
            <w:r>
              <w:rPr>
                <w:b/>
                <w:color w:val="FFFFFF"/>
                <w:spacing w:val="-5"/>
                <w:sz w:val="14"/>
              </w:rPr>
              <w:t>GST</w:t>
            </w:r>
          </w:p>
        </w:tc>
        <w:tc>
          <w:tcPr>
            <w:tcW w:w="1199" w:type="dxa"/>
            <w:tcBorders>
              <w:top w:val="single" w:sz="4" w:space="0" w:color="000000"/>
              <w:left w:val="single" w:sz="4" w:space="0" w:color="000000"/>
              <w:bottom w:val="single" w:sz="4" w:space="0" w:color="000000"/>
              <w:right w:val="single" w:sz="4" w:space="0" w:color="000000"/>
            </w:tcBorders>
            <w:shd w:val="clear" w:color="auto" w:fill="3399FF"/>
          </w:tcPr>
          <w:p>
            <w:pPr>
              <w:pStyle w:val="TableParagraph"/>
              <w:spacing w:before="108"/>
              <w:ind w:left="156" w:right="137"/>
              <w:jc w:val="center"/>
              <w:rPr>
                <w:b/>
                <w:sz w:val="14"/>
              </w:rPr>
            </w:pPr>
            <w:r>
              <w:rPr>
                <w:b/>
                <w:color w:val="FFFFFF"/>
                <w:spacing w:val="-2"/>
                <w:sz w:val="14"/>
              </w:rPr>
              <w:t>2025/26</w:t>
            </w:r>
          </w:p>
          <w:p>
            <w:pPr>
              <w:pStyle w:val="TableParagraph"/>
              <w:ind w:left="164" w:right="146" w:firstLine="2"/>
              <w:jc w:val="center"/>
              <w:rPr>
                <w:b/>
                <w:sz w:val="14"/>
              </w:rPr>
            </w:pPr>
            <w:r>
              <w:rPr>
                <w:b/>
                <w:color w:val="FFFFFF"/>
                <w:sz w:val="14"/>
              </w:rPr>
              <w:t>Fees</w:t>
            </w:r>
            <w:r>
              <w:rPr>
                <w:b/>
                <w:color w:val="FFFFFF"/>
                <w:spacing w:val="-4"/>
                <w:sz w:val="14"/>
              </w:rPr>
              <w:t> </w:t>
            </w:r>
            <w:r>
              <w:rPr>
                <w:b/>
                <w:color w:val="FFFFFF"/>
                <w:sz w:val="14"/>
              </w:rPr>
              <w:t>&amp;</w:t>
            </w:r>
            <w:r>
              <w:rPr>
                <w:b/>
                <w:color w:val="FFFFFF"/>
                <w:spacing w:val="40"/>
                <w:sz w:val="14"/>
              </w:rPr>
              <w:t> </w:t>
            </w:r>
            <w:r>
              <w:rPr>
                <w:b/>
                <w:color w:val="FFFFFF"/>
                <w:spacing w:val="-2"/>
                <w:sz w:val="14"/>
              </w:rPr>
              <w:t>Charges</w:t>
            </w:r>
            <w:r>
              <w:rPr>
                <w:b/>
                <w:color w:val="FFFFFF"/>
                <w:spacing w:val="-8"/>
                <w:sz w:val="14"/>
              </w:rPr>
              <w:t> </w:t>
            </w:r>
            <w:r>
              <w:rPr>
                <w:b/>
                <w:color w:val="FFFFFF"/>
                <w:spacing w:val="-2"/>
                <w:sz w:val="14"/>
              </w:rPr>
              <w:t>Incl.</w:t>
            </w:r>
          </w:p>
          <w:p>
            <w:pPr>
              <w:pStyle w:val="TableParagraph"/>
              <w:spacing w:line="161" w:lineRule="exact"/>
              <w:ind w:left="153" w:right="137"/>
              <w:jc w:val="center"/>
              <w:rPr>
                <w:b/>
                <w:sz w:val="14"/>
              </w:rPr>
            </w:pPr>
            <w:r>
              <w:rPr>
                <w:b/>
                <w:color w:val="FFFFFF"/>
                <w:spacing w:val="-5"/>
                <w:sz w:val="14"/>
              </w:rPr>
              <w:t>GST</w:t>
            </w:r>
          </w:p>
        </w:tc>
        <w:tc>
          <w:tcPr>
            <w:tcW w:w="897" w:type="dxa"/>
            <w:tcBorders>
              <w:top w:val="single" w:sz="4" w:space="0" w:color="000000"/>
              <w:left w:val="single" w:sz="4" w:space="0" w:color="000000"/>
              <w:bottom w:val="single" w:sz="4" w:space="0" w:color="000000"/>
              <w:right w:val="single" w:sz="12" w:space="0" w:color="000000"/>
            </w:tcBorders>
            <w:shd w:val="clear" w:color="auto" w:fill="3399FF"/>
          </w:tcPr>
          <w:p>
            <w:pPr>
              <w:pStyle w:val="TableParagraph"/>
              <w:rPr>
                <w:sz w:val="16"/>
              </w:rPr>
            </w:pPr>
          </w:p>
          <w:p>
            <w:pPr>
              <w:pStyle w:val="TableParagraph"/>
              <w:spacing w:before="5"/>
              <w:rPr>
                <w:sz w:val="14"/>
              </w:rPr>
            </w:pPr>
          </w:p>
          <w:p>
            <w:pPr>
              <w:pStyle w:val="TableParagraph"/>
              <w:spacing w:before="1"/>
              <w:ind w:left="95" w:right="81"/>
              <w:jc w:val="center"/>
              <w:rPr>
                <w:b/>
                <w:sz w:val="14"/>
              </w:rPr>
            </w:pPr>
            <w:r>
              <w:rPr>
                <w:b/>
                <w:color w:val="FFFFFF"/>
                <w:sz w:val="14"/>
              </w:rPr>
              <w:t>%</w:t>
            </w:r>
            <w:r>
              <w:rPr>
                <w:b/>
                <w:color w:val="FFFFFF"/>
                <w:spacing w:val="-4"/>
                <w:sz w:val="14"/>
              </w:rPr>
              <w:t> </w:t>
            </w:r>
            <w:r>
              <w:rPr>
                <w:b/>
                <w:color w:val="FFFFFF"/>
                <w:spacing w:val="-2"/>
                <w:sz w:val="14"/>
              </w:rPr>
              <w:t>Change</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Social</w:t>
            </w:r>
            <w:r>
              <w:rPr>
                <w:spacing w:val="-6"/>
                <w:sz w:val="14"/>
              </w:rPr>
              <w:t> </w:t>
            </w:r>
            <w:r>
              <w:rPr>
                <w:sz w:val="14"/>
              </w:rPr>
              <w:t>Support</w:t>
            </w:r>
            <w:r>
              <w:rPr>
                <w:spacing w:val="-3"/>
                <w:sz w:val="14"/>
              </w:rPr>
              <w:t> </w:t>
            </w:r>
            <w:r>
              <w:rPr>
                <w:sz w:val="14"/>
              </w:rPr>
              <w:t>Group</w:t>
            </w:r>
            <w:r>
              <w:rPr>
                <w:spacing w:val="-5"/>
                <w:sz w:val="14"/>
              </w:rPr>
              <w:t> </w:t>
            </w:r>
            <w:r>
              <w:rPr>
                <w:sz w:val="14"/>
              </w:rPr>
              <w:t>-</w:t>
            </w:r>
            <w:r>
              <w:rPr>
                <w:spacing w:val="-3"/>
                <w:sz w:val="14"/>
              </w:rPr>
              <w:t> </w:t>
            </w:r>
            <w:r>
              <w:rPr>
                <w:sz w:val="14"/>
              </w:rPr>
              <w:t>Health/Information</w:t>
            </w:r>
            <w:r>
              <w:rPr>
                <w:spacing w:val="-2"/>
                <w:sz w:val="14"/>
              </w:rPr>
              <w:t> </w:t>
            </w:r>
            <w:r>
              <w:rPr>
                <w:sz w:val="14"/>
              </w:rPr>
              <w:t>-</w:t>
            </w:r>
            <w:r>
              <w:rPr>
                <w:spacing w:val="-5"/>
                <w:sz w:val="14"/>
              </w:rPr>
              <w:t> </w:t>
            </w:r>
            <w:r>
              <w:rPr>
                <w:sz w:val="14"/>
              </w:rPr>
              <w:t>Each</w:t>
            </w:r>
            <w:r>
              <w:rPr>
                <w:spacing w:val="-5"/>
                <w:sz w:val="14"/>
              </w:rPr>
              <w:t> </w:t>
            </w:r>
            <w:r>
              <w:rPr>
                <w:sz w:val="14"/>
              </w:rPr>
              <w:t>Additional</w:t>
            </w:r>
            <w:r>
              <w:rPr>
                <w:spacing w:val="-5"/>
                <w:sz w:val="14"/>
              </w:rPr>
              <w:t> </w:t>
            </w:r>
            <w:r>
              <w:rPr>
                <w:sz w:val="14"/>
              </w:rPr>
              <w:t>Hour</w:t>
            </w:r>
            <w:r>
              <w:rPr>
                <w:spacing w:val="-4"/>
                <w:sz w:val="14"/>
              </w:rPr>
              <w:t> </w:t>
            </w:r>
            <w:r>
              <w:rPr>
                <w:sz w:val="14"/>
              </w:rPr>
              <w:t>-</w:t>
            </w:r>
            <w:r>
              <w:rPr>
                <w:spacing w:val="-2"/>
                <w:sz w:val="14"/>
              </w:rPr>
              <w:t> </w:t>
            </w:r>
            <w:r>
              <w:rPr>
                <w:sz w:val="14"/>
              </w:rPr>
              <w:t>Fee</w:t>
            </w:r>
            <w:r>
              <w:rPr>
                <w:spacing w:val="-2"/>
                <w:sz w:val="14"/>
              </w:rPr>
              <w:t> </w:t>
            </w:r>
            <w:r>
              <w:rPr>
                <w:sz w:val="14"/>
              </w:rPr>
              <w:t>for</w:t>
            </w:r>
            <w:r>
              <w:rPr>
                <w:spacing w:val="-1"/>
                <w:sz w:val="14"/>
              </w:rPr>
              <w:t> </w:t>
            </w:r>
            <w:r>
              <w:rPr>
                <w:spacing w:val="-2"/>
                <w:sz w:val="14"/>
              </w:rPr>
              <w:t>Service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56" w:right="236"/>
              <w:jc w:val="center"/>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4"/>
                <w:sz w:val="14"/>
              </w:rPr>
              <w:t>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22.83</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Social</w:t>
            </w:r>
            <w:r>
              <w:rPr>
                <w:spacing w:val="-5"/>
                <w:sz w:val="14"/>
              </w:rPr>
              <w:t> </w:t>
            </w:r>
            <w:r>
              <w:rPr>
                <w:sz w:val="14"/>
              </w:rPr>
              <w:t>Support</w:t>
            </w:r>
            <w:r>
              <w:rPr>
                <w:spacing w:val="-2"/>
                <w:sz w:val="14"/>
              </w:rPr>
              <w:t> </w:t>
            </w:r>
            <w:r>
              <w:rPr>
                <w:sz w:val="14"/>
              </w:rPr>
              <w:t>Group</w:t>
            </w:r>
            <w:r>
              <w:rPr>
                <w:spacing w:val="-4"/>
                <w:sz w:val="14"/>
              </w:rPr>
              <w:t> </w:t>
            </w:r>
            <w:r>
              <w:rPr>
                <w:sz w:val="14"/>
              </w:rPr>
              <w:t>-</w:t>
            </w:r>
            <w:r>
              <w:rPr>
                <w:spacing w:val="-2"/>
                <w:sz w:val="14"/>
              </w:rPr>
              <w:t> </w:t>
            </w:r>
            <w:r>
              <w:rPr>
                <w:sz w:val="14"/>
              </w:rPr>
              <w:t>Online</w:t>
            </w:r>
            <w:r>
              <w:rPr>
                <w:spacing w:val="-3"/>
                <w:sz w:val="14"/>
              </w:rPr>
              <w:t> </w:t>
            </w:r>
            <w:r>
              <w:rPr>
                <w:sz w:val="14"/>
              </w:rPr>
              <w:t>Session</w:t>
            </w:r>
            <w:r>
              <w:rPr>
                <w:spacing w:val="-2"/>
                <w:sz w:val="14"/>
              </w:rPr>
              <w:t> </w:t>
            </w:r>
            <w:r>
              <w:rPr>
                <w:sz w:val="14"/>
              </w:rPr>
              <w:t>-</w:t>
            </w:r>
            <w:r>
              <w:rPr>
                <w:spacing w:val="-4"/>
                <w:sz w:val="14"/>
              </w:rPr>
              <w:t> </w:t>
            </w:r>
            <w:r>
              <w:rPr>
                <w:sz w:val="14"/>
              </w:rPr>
              <w:t>CHSP</w:t>
            </w:r>
            <w:r>
              <w:rPr>
                <w:spacing w:val="-2"/>
                <w:sz w:val="14"/>
              </w:rPr>
              <w:t> </w:t>
            </w:r>
            <w:r>
              <w:rPr>
                <w:sz w:val="14"/>
              </w:rPr>
              <w:t>-</w:t>
            </w:r>
            <w:r>
              <w:rPr>
                <w:spacing w:val="-2"/>
                <w:sz w:val="14"/>
              </w:rPr>
              <w:t> </w:t>
            </w:r>
            <w:r>
              <w:rPr>
                <w:sz w:val="14"/>
              </w:rPr>
              <w:t>Low</w:t>
            </w:r>
            <w:r>
              <w:rPr>
                <w:spacing w:val="-3"/>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56" w:right="236"/>
              <w:jc w:val="center"/>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5.91</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6.20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Social</w:t>
            </w:r>
            <w:r>
              <w:rPr>
                <w:spacing w:val="-5"/>
                <w:sz w:val="14"/>
              </w:rPr>
              <w:t> </w:t>
            </w:r>
            <w:r>
              <w:rPr>
                <w:sz w:val="14"/>
              </w:rPr>
              <w:t>Support</w:t>
            </w:r>
            <w:r>
              <w:rPr>
                <w:spacing w:val="-3"/>
                <w:sz w:val="14"/>
              </w:rPr>
              <w:t> </w:t>
            </w:r>
            <w:r>
              <w:rPr>
                <w:sz w:val="14"/>
              </w:rPr>
              <w:t>Group</w:t>
            </w:r>
            <w:r>
              <w:rPr>
                <w:spacing w:val="-4"/>
                <w:sz w:val="14"/>
              </w:rPr>
              <w:t> </w:t>
            </w:r>
            <w:r>
              <w:rPr>
                <w:sz w:val="14"/>
              </w:rPr>
              <w:t>-</w:t>
            </w:r>
            <w:r>
              <w:rPr>
                <w:spacing w:val="-2"/>
                <w:sz w:val="14"/>
              </w:rPr>
              <w:t> </w:t>
            </w:r>
            <w:r>
              <w:rPr>
                <w:sz w:val="14"/>
              </w:rPr>
              <w:t>Online</w:t>
            </w:r>
            <w:r>
              <w:rPr>
                <w:spacing w:val="-4"/>
                <w:sz w:val="14"/>
              </w:rPr>
              <w:t> </w:t>
            </w:r>
            <w:r>
              <w:rPr>
                <w:sz w:val="14"/>
              </w:rPr>
              <w:t>Session</w:t>
            </w:r>
            <w:r>
              <w:rPr>
                <w:spacing w:val="-2"/>
                <w:sz w:val="14"/>
              </w:rPr>
              <w:t> </w:t>
            </w:r>
            <w:r>
              <w:rPr>
                <w:sz w:val="14"/>
              </w:rPr>
              <w:t>-</w:t>
            </w:r>
            <w:r>
              <w:rPr>
                <w:spacing w:val="-4"/>
                <w:sz w:val="14"/>
              </w:rPr>
              <w:t> </w:t>
            </w:r>
            <w:r>
              <w:rPr>
                <w:sz w:val="14"/>
              </w:rPr>
              <w:t>Fee</w:t>
            </w:r>
            <w:r>
              <w:rPr>
                <w:spacing w:val="-1"/>
                <w:sz w:val="14"/>
              </w:rPr>
              <w:t> </w:t>
            </w:r>
            <w:r>
              <w:rPr>
                <w:sz w:val="14"/>
              </w:rPr>
              <w:t>for</w:t>
            </w:r>
            <w:r>
              <w:rPr>
                <w:spacing w:val="-1"/>
                <w:sz w:val="14"/>
              </w:rPr>
              <w:t> </w:t>
            </w:r>
            <w:r>
              <w:rPr>
                <w:spacing w:val="-2"/>
                <w:sz w:val="14"/>
              </w:rPr>
              <w:t>Service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56" w:right="236"/>
              <w:jc w:val="center"/>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27.98</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Social</w:t>
            </w:r>
            <w:r>
              <w:rPr>
                <w:spacing w:val="-5"/>
                <w:sz w:val="14"/>
              </w:rPr>
              <w:t> </w:t>
            </w:r>
            <w:r>
              <w:rPr>
                <w:sz w:val="14"/>
              </w:rPr>
              <w:t>Support</w:t>
            </w:r>
            <w:r>
              <w:rPr>
                <w:spacing w:val="-3"/>
                <w:sz w:val="14"/>
              </w:rPr>
              <w:t> </w:t>
            </w:r>
            <w:r>
              <w:rPr>
                <w:sz w:val="14"/>
              </w:rPr>
              <w:t>Group</w:t>
            </w:r>
            <w:r>
              <w:rPr>
                <w:spacing w:val="-4"/>
                <w:sz w:val="14"/>
              </w:rPr>
              <w:t> </w:t>
            </w:r>
            <w:r>
              <w:rPr>
                <w:sz w:val="14"/>
              </w:rPr>
              <w:t>-</w:t>
            </w:r>
            <w:r>
              <w:rPr>
                <w:spacing w:val="-2"/>
                <w:sz w:val="14"/>
              </w:rPr>
              <w:t> </w:t>
            </w:r>
            <w:r>
              <w:rPr>
                <w:sz w:val="14"/>
              </w:rPr>
              <w:t>Meal -</w:t>
            </w:r>
            <w:r>
              <w:rPr>
                <w:spacing w:val="-5"/>
                <w:sz w:val="14"/>
              </w:rPr>
              <w:t> </w:t>
            </w:r>
            <w:r>
              <w:rPr>
                <w:sz w:val="14"/>
              </w:rPr>
              <w:t>CHSP</w:t>
            </w:r>
            <w:r>
              <w:rPr>
                <w:spacing w:val="-1"/>
                <w:sz w:val="14"/>
              </w:rPr>
              <w:t> </w:t>
            </w:r>
            <w:r>
              <w:rPr>
                <w:sz w:val="14"/>
              </w:rPr>
              <w:t>-</w:t>
            </w:r>
            <w:r>
              <w:rPr>
                <w:spacing w:val="-1"/>
                <w:sz w:val="14"/>
              </w:rPr>
              <w:t> </w:t>
            </w:r>
            <w:r>
              <w:rPr>
                <w:sz w:val="14"/>
              </w:rPr>
              <w:t>Low</w:t>
            </w:r>
            <w:r>
              <w:rPr>
                <w:spacing w:val="-1"/>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56" w:right="236"/>
              <w:jc w:val="center"/>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12.80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13.41</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Social</w:t>
            </w:r>
            <w:r>
              <w:rPr>
                <w:spacing w:val="-5"/>
                <w:sz w:val="14"/>
              </w:rPr>
              <w:t> </w:t>
            </w:r>
            <w:r>
              <w:rPr>
                <w:sz w:val="14"/>
              </w:rPr>
              <w:t>Support</w:t>
            </w:r>
            <w:r>
              <w:rPr>
                <w:spacing w:val="-2"/>
                <w:sz w:val="14"/>
              </w:rPr>
              <w:t> </w:t>
            </w:r>
            <w:r>
              <w:rPr>
                <w:sz w:val="14"/>
              </w:rPr>
              <w:t>Group</w:t>
            </w:r>
            <w:r>
              <w:rPr>
                <w:spacing w:val="-4"/>
                <w:sz w:val="14"/>
              </w:rPr>
              <w:t> </w:t>
            </w:r>
            <w:r>
              <w:rPr>
                <w:sz w:val="14"/>
              </w:rPr>
              <w:t>-</w:t>
            </w:r>
            <w:r>
              <w:rPr>
                <w:spacing w:val="-2"/>
                <w:sz w:val="14"/>
              </w:rPr>
              <w:t> </w:t>
            </w:r>
            <w:r>
              <w:rPr>
                <w:sz w:val="14"/>
              </w:rPr>
              <w:t>Fun</w:t>
            </w:r>
            <w:r>
              <w:rPr>
                <w:spacing w:val="-4"/>
                <w:sz w:val="14"/>
              </w:rPr>
              <w:t> </w:t>
            </w:r>
            <w:r>
              <w:rPr>
                <w:sz w:val="14"/>
              </w:rPr>
              <w:t>Bus</w:t>
            </w:r>
            <w:r>
              <w:rPr>
                <w:spacing w:val="-3"/>
                <w:sz w:val="14"/>
              </w:rPr>
              <w:t> </w:t>
            </w:r>
            <w:r>
              <w:rPr>
                <w:sz w:val="14"/>
              </w:rPr>
              <w:t>Return</w:t>
            </w:r>
            <w:r>
              <w:rPr>
                <w:spacing w:val="-4"/>
                <w:sz w:val="14"/>
              </w:rPr>
              <w:t> Trip</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56" w:right="236"/>
              <w:jc w:val="center"/>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11.83</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12.39</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Social</w:t>
            </w:r>
            <w:r>
              <w:rPr>
                <w:spacing w:val="-5"/>
                <w:sz w:val="14"/>
              </w:rPr>
              <w:t> </w:t>
            </w:r>
            <w:r>
              <w:rPr>
                <w:sz w:val="14"/>
              </w:rPr>
              <w:t>Support</w:t>
            </w:r>
            <w:r>
              <w:rPr>
                <w:spacing w:val="-2"/>
                <w:sz w:val="14"/>
              </w:rPr>
              <w:t> </w:t>
            </w:r>
            <w:r>
              <w:rPr>
                <w:sz w:val="14"/>
              </w:rPr>
              <w:t>Group</w:t>
            </w:r>
            <w:r>
              <w:rPr>
                <w:spacing w:val="-4"/>
                <w:sz w:val="14"/>
              </w:rPr>
              <w:t> </w:t>
            </w:r>
            <w:r>
              <w:rPr>
                <w:sz w:val="14"/>
              </w:rPr>
              <w:t>-</w:t>
            </w:r>
            <w:r>
              <w:rPr>
                <w:spacing w:val="-1"/>
                <w:sz w:val="14"/>
              </w:rPr>
              <w:t> </w:t>
            </w:r>
            <w:r>
              <w:rPr>
                <w:sz w:val="14"/>
              </w:rPr>
              <w:t>Fun</w:t>
            </w:r>
            <w:r>
              <w:rPr>
                <w:spacing w:val="-4"/>
                <w:sz w:val="14"/>
              </w:rPr>
              <w:t> </w:t>
            </w:r>
            <w:r>
              <w:rPr>
                <w:sz w:val="14"/>
              </w:rPr>
              <w:t>Bus</w:t>
            </w:r>
            <w:r>
              <w:rPr>
                <w:spacing w:val="-4"/>
                <w:sz w:val="14"/>
              </w:rPr>
              <w:t> </w:t>
            </w:r>
            <w:r>
              <w:rPr>
                <w:sz w:val="14"/>
              </w:rPr>
              <w:t>One</w:t>
            </w:r>
            <w:r>
              <w:rPr>
                <w:spacing w:val="1"/>
                <w:sz w:val="14"/>
              </w:rPr>
              <w:t> </w:t>
            </w:r>
            <w:r>
              <w:rPr>
                <w:spacing w:val="-5"/>
                <w:sz w:val="14"/>
              </w:rPr>
              <w:t>Way</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56" w:right="236"/>
              <w:jc w:val="center"/>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5.91</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6.20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82"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Social</w:t>
            </w:r>
            <w:r>
              <w:rPr>
                <w:spacing w:val="-5"/>
                <w:sz w:val="14"/>
              </w:rPr>
              <w:t> </w:t>
            </w:r>
            <w:r>
              <w:rPr>
                <w:sz w:val="14"/>
              </w:rPr>
              <w:t>Support</w:t>
            </w:r>
            <w:r>
              <w:rPr>
                <w:spacing w:val="-3"/>
                <w:sz w:val="14"/>
              </w:rPr>
              <w:t> </w:t>
            </w:r>
            <w:r>
              <w:rPr>
                <w:sz w:val="14"/>
              </w:rPr>
              <w:t>Group</w:t>
            </w:r>
            <w:r>
              <w:rPr>
                <w:spacing w:val="-5"/>
                <w:sz w:val="14"/>
              </w:rPr>
              <w:t> </w:t>
            </w:r>
            <w:r>
              <w:rPr>
                <w:sz w:val="14"/>
              </w:rPr>
              <w:t>-</w:t>
            </w:r>
            <w:r>
              <w:rPr>
                <w:spacing w:val="-2"/>
                <w:sz w:val="14"/>
              </w:rPr>
              <w:t> </w:t>
            </w:r>
            <w:r>
              <w:rPr>
                <w:sz w:val="14"/>
              </w:rPr>
              <w:t>Special</w:t>
            </w:r>
            <w:r>
              <w:rPr>
                <w:spacing w:val="-4"/>
                <w:sz w:val="14"/>
              </w:rPr>
              <w:t> </w:t>
            </w:r>
            <w:r>
              <w:rPr>
                <w:sz w:val="14"/>
              </w:rPr>
              <w:t>Events/Outings</w:t>
            </w:r>
            <w:r>
              <w:rPr>
                <w:spacing w:val="-2"/>
                <w:sz w:val="14"/>
              </w:rPr>
              <w:t> </w:t>
            </w:r>
            <w:r>
              <w:rPr>
                <w:sz w:val="14"/>
              </w:rPr>
              <w:t>-</w:t>
            </w:r>
            <w:r>
              <w:rPr>
                <w:spacing w:val="-4"/>
                <w:sz w:val="14"/>
              </w:rPr>
              <w:t> </w:t>
            </w:r>
            <w:r>
              <w:rPr>
                <w:sz w:val="14"/>
              </w:rPr>
              <w:t>CHSP</w:t>
            </w:r>
            <w:r>
              <w:rPr>
                <w:spacing w:val="-1"/>
                <w:sz w:val="14"/>
              </w:rPr>
              <w:t> </w:t>
            </w:r>
            <w:r>
              <w:rPr>
                <w:sz w:val="14"/>
              </w:rPr>
              <w:t>-</w:t>
            </w:r>
            <w:r>
              <w:rPr>
                <w:spacing w:val="-5"/>
                <w:sz w:val="14"/>
              </w:rPr>
              <w:t> </w:t>
            </w:r>
            <w:r>
              <w:rPr>
                <w:sz w:val="14"/>
              </w:rPr>
              <w:t>Low</w:t>
            </w:r>
            <w:r>
              <w:rPr>
                <w:spacing w:val="-1"/>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56" w:right="236"/>
              <w:jc w:val="center"/>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17.95</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18.81</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Social</w:t>
            </w:r>
            <w:r>
              <w:rPr>
                <w:spacing w:val="-5"/>
                <w:sz w:val="14"/>
              </w:rPr>
              <w:t> </w:t>
            </w:r>
            <w:r>
              <w:rPr>
                <w:sz w:val="14"/>
              </w:rPr>
              <w:t>Support</w:t>
            </w:r>
            <w:r>
              <w:rPr>
                <w:spacing w:val="-4"/>
                <w:sz w:val="14"/>
              </w:rPr>
              <w:t> </w:t>
            </w:r>
            <w:r>
              <w:rPr>
                <w:sz w:val="14"/>
              </w:rPr>
              <w:t>Group</w:t>
            </w:r>
            <w:r>
              <w:rPr>
                <w:spacing w:val="-5"/>
                <w:sz w:val="14"/>
              </w:rPr>
              <w:t> </w:t>
            </w:r>
            <w:r>
              <w:rPr>
                <w:sz w:val="14"/>
              </w:rPr>
              <w:t>-</w:t>
            </w:r>
            <w:r>
              <w:rPr>
                <w:spacing w:val="-2"/>
                <w:sz w:val="14"/>
              </w:rPr>
              <w:t> </w:t>
            </w:r>
            <w:r>
              <w:rPr>
                <w:sz w:val="14"/>
              </w:rPr>
              <w:t>Special</w:t>
            </w:r>
            <w:r>
              <w:rPr>
                <w:spacing w:val="-4"/>
                <w:sz w:val="14"/>
              </w:rPr>
              <w:t> </w:t>
            </w:r>
            <w:r>
              <w:rPr>
                <w:sz w:val="14"/>
              </w:rPr>
              <w:t>Events/Outings</w:t>
            </w:r>
            <w:r>
              <w:rPr>
                <w:spacing w:val="-2"/>
                <w:sz w:val="14"/>
              </w:rPr>
              <w:t> </w:t>
            </w:r>
            <w:r>
              <w:rPr>
                <w:sz w:val="14"/>
              </w:rPr>
              <w:t>-</w:t>
            </w:r>
            <w:r>
              <w:rPr>
                <w:spacing w:val="-2"/>
                <w:sz w:val="14"/>
              </w:rPr>
              <w:t> </w:t>
            </w:r>
            <w:r>
              <w:rPr>
                <w:sz w:val="14"/>
              </w:rPr>
              <w:t>Fee</w:t>
            </w:r>
            <w:r>
              <w:rPr>
                <w:spacing w:val="-3"/>
                <w:sz w:val="14"/>
              </w:rPr>
              <w:t> </w:t>
            </w:r>
            <w:r>
              <w:rPr>
                <w:sz w:val="14"/>
              </w:rPr>
              <w:t>for</w:t>
            </w:r>
            <w:r>
              <w:rPr>
                <w:spacing w:val="-5"/>
                <w:sz w:val="14"/>
              </w:rPr>
              <w:t> </w:t>
            </w:r>
            <w:r>
              <w:rPr>
                <w:spacing w:val="-2"/>
                <w:sz w:val="14"/>
              </w:rPr>
              <w:t>Service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56" w:right="236"/>
              <w:jc w:val="center"/>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39.24</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41.13</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Maroondah</w:t>
            </w:r>
            <w:r>
              <w:rPr>
                <w:b/>
                <w:spacing w:val="-5"/>
                <w:sz w:val="14"/>
              </w:rPr>
              <w:t> </w:t>
            </w:r>
            <w:r>
              <w:rPr>
                <w:b/>
                <w:sz w:val="14"/>
              </w:rPr>
              <w:t>Police</w:t>
            </w:r>
            <w:r>
              <w:rPr>
                <w:b/>
                <w:spacing w:val="-4"/>
                <w:sz w:val="14"/>
              </w:rPr>
              <w:t> </w:t>
            </w:r>
            <w:r>
              <w:rPr>
                <w:b/>
                <w:sz w:val="14"/>
              </w:rPr>
              <w:t>Seniors</w:t>
            </w:r>
            <w:r>
              <w:rPr>
                <w:b/>
                <w:spacing w:val="-8"/>
                <w:sz w:val="14"/>
              </w:rPr>
              <w:t> </w:t>
            </w:r>
            <w:r>
              <w:rPr>
                <w:b/>
                <w:spacing w:val="-2"/>
                <w:sz w:val="14"/>
              </w:rPr>
              <w:t>Register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Seniors</w:t>
            </w:r>
            <w:r>
              <w:rPr>
                <w:spacing w:val="-7"/>
                <w:sz w:val="14"/>
              </w:rPr>
              <w:t> </w:t>
            </w:r>
            <w:r>
              <w:rPr>
                <w:spacing w:val="-2"/>
                <w:sz w:val="14"/>
              </w:rPr>
              <w:t>Register</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56" w:right="236"/>
              <w:jc w:val="center"/>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5.91</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6.19</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4.5</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Occasional</w:t>
            </w:r>
            <w:r>
              <w:rPr>
                <w:b/>
                <w:spacing w:val="-3"/>
                <w:sz w:val="14"/>
              </w:rPr>
              <w:t> </w:t>
            </w:r>
            <w:r>
              <w:rPr>
                <w:b/>
                <w:sz w:val="14"/>
              </w:rPr>
              <w:t>Day</w:t>
            </w:r>
            <w:r>
              <w:rPr>
                <w:b/>
                <w:spacing w:val="-7"/>
                <w:sz w:val="14"/>
              </w:rPr>
              <w:t> </w:t>
            </w:r>
            <w:r>
              <w:rPr>
                <w:b/>
                <w:sz w:val="14"/>
              </w:rPr>
              <w:t>Care</w:t>
            </w:r>
            <w:r>
              <w:rPr>
                <w:b/>
                <w:spacing w:val="-5"/>
                <w:sz w:val="14"/>
              </w:rPr>
              <w:t> </w:t>
            </w:r>
            <w:r>
              <w:rPr>
                <w:b/>
                <w:spacing w:val="-2"/>
                <w:sz w:val="14"/>
              </w:rPr>
              <w:t>(ODC)</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Occasional</w:t>
            </w:r>
            <w:r>
              <w:rPr>
                <w:spacing w:val="-4"/>
                <w:sz w:val="14"/>
              </w:rPr>
              <w:t> </w:t>
            </w:r>
            <w:r>
              <w:rPr>
                <w:sz w:val="14"/>
              </w:rPr>
              <w:t>Day</w:t>
            </w:r>
            <w:r>
              <w:rPr>
                <w:spacing w:val="-4"/>
                <w:sz w:val="14"/>
              </w:rPr>
              <w:t> </w:t>
            </w:r>
            <w:r>
              <w:rPr>
                <w:sz w:val="14"/>
              </w:rPr>
              <w:t>Care</w:t>
            </w:r>
            <w:r>
              <w:rPr>
                <w:spacing w:val="-1"/>
                <w:sz w:val="14"/>
              </w:rPr>
              <w:t> </w:t>
            </w:r>
            <w:r>
              <w:rPr>
                <w:sz w:val="14"/>
              </w:rPr>
              <w:t>-</w:t>
            </w:r>
            <w:r>
              <w:rPr>
                <w:spacing w:val="-5"/>
                <w:sz w:val="14"/>
              </w:rPr>
              <w:t> </w:t>
            </w:r>
            <w:r>
              <w:rPr>
                <w:sz w:val="14"/>
              </w:rPr>
              <w:t>Parents</w:t>
            </w:r>
            <w:r>
              <w:rPr>
                <w:spacing w:val="-4"/>
                <w:sz w:val="14"/>
              </w:rPr>
              <w:t> </w:t>
            </w:r>
            <w:r>
              <w:rPr>
                <w:sz w:val="14"/>
              </w:rPr>
              <w:t>fee</w:t>
            </w:r>
            <w:r>
              <w:rPr>
                <w:spacing w:val="-2"/>
                <w:sz w:val="14"/>
              </w:rPr>
              <w:t> </w:t>
            </w:r>
            <w:r>
              <w:rPr>
                <w:sz w:val="14"/>
              </w:rPr>
              <w:t>(full</w:t>
            </w:r>
            <w:r>
              <w:rPr>
                <w:spacing w:val="-1"/>
                <w:sz w:val="14"/>
              </w:rPr>
              <w:t> </w:t>
            </w:r>
            <w:r>
              <w:rPr>
                <w:spacing w:val="-4"/>
                <w:sz w:val="14"/>
              </w:rPr>
              <w:t>day)</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56" w:right="236"/>
              <w:jc w:val="center"/>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92.00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94.00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2.1</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Occasional</w:t>
            </w:r>
            <w:r>
              <w:rPr>
                <w:spacing w:val="-4"/>
                <w:sz w:val="14"/>
              </w:rPr>
              <w:t> </w:t>
            </w:r>
            <w:r>
              <w:rPr>
                <w:sz w:val="14"/>
              </w:rPr>
              <w:t>Day</w:t>
            </w:r>
            <w:r>
              <w:rPr>
                <w:spacing w:val="-4"/>
                <w:sz w:val="14"/>
              </w:rPr>
              <w:t> </w:t>
            </w:r>
            <w:r>
              <w:rPr>
                <w:sz w:val="14"/>
              </w:rPr>
              <w:t>Care</w:t>
            </w:r>
            <w:r>
              <w:rPr>
                <w:spacing w:val="-1"/>
                <w:sz w:val="14"/>
              </w:rPr>
              <w:t> </w:t>
            </w:r>
            <w:r>
              <w:rPr>
                <w:sz w:val="14"/>
              </w:rPr>
              <w:t>-</w:t>
            </w:r>
            <w:r>
              <w:rPr>
                <w:spacing w:val="-4"/>
                <w:sz w:val="14"/>
              </w:rPr>
              <w:t> </w:t>
            </w:r>
            <w:r>
              <w:rPr>
                <w:sz w:val="14"/>
              </w:rPr>
              <w:t>Parents</w:t>
            </w:r>
            <w:r>
              <w:rPr>
                <w:spacing w:val="-4"/>
                <w:sz w:val="14"/>
              </w:rPr>
              <w:t> </w:t>
            </w:r>
            <w:r>
              <w:rPr>
                <w:sz w:val="14"/>
              </w:rPr>
              <w:t>fee</w:t>
            </w:r>
            <w:r>
              <w:rPr>
                <w:spacing w:val="-3"/>
                <w:sz w:val="14"/>
              </w:rPr>
              <w:t> </w:t>
            </w:r>
            <w:r>
              <w:rPr>
                <w:sz w:val="14"/>
              </w:rPr>
              <w:t>(half</w:t>
            </w:r>
            <w:r>
              <w:rPr>
                <w:spacing w:val="-4"/>
                <w:sz w:val="14"/>
              </w:rPr>
              <w:t> day)</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56" w:right="236"/>
              <w:jc w:val="center"/>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52.00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4"/>
                <w:sz w:val="14"/>
              </w:rPr>
              <w:t>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Maternal</w:t>
            </w:r>
            <w:r>
              <w:rPr>
                <w:b/>
                <w:spacing w:val="-5"/>
                <w:sz w:val="14"/>
              </w:rPr>
              <w:t> </w:t>
            </w:r>
            <w:r>
              <w:rPr>
                <w:b/>
                <w:sz w:val="14"/>
              </w:rPr>
              <w:t>Child</w:t>
            </w:r>
            <w:r>
              <w:rPr>
                <w:b/>
                <w:spacing w:val="-6"/>
                <w:sz w:val="14"/>
              </w:rPr>
              <w:t> </w:t>
            </w:r>
            <w:r>
              <w:rPr>
                <w:b/>
                <w:sz w:val="14"/>
              </w:rPr>
              <w:t>Health</w:t>
            </w:r>
            <w:r>
              <w:rPr>
                <w:b/>
                <w:spacing w:val="-5"/>
                <w:sz w:val="14"/>
              </w:rPr>
              <w:t> </w:t>
            </w:r>
            <w:r>
              <w:rPr>
                <w:b/>
                <w:spacing w:val="-2"/>
                <w:sz w:val="14"/>
              </w:rPr>
              <w:t>(MCH)</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MCH</w:t>
            </w:r>
            <w:r>
              <w:rPr>
                <w:spacing w:val="-6"/>
                <w:sz w:val="14"/>
              </w:rPr>
              <w:t> </w:t>
            </w:r>
            <w:r>
              <w:rPr>
                <w:sz w:val="14"/>
              </w:rPr>
              <w:t>meeting</w:t>
            </w:r>
            <w:r>
              <w:rPr>
                <w:spacing w:val="-6"/>
                <w:sz w:val="14"/>
              </w:rPr>
              <w:t> </w:t>
            </w:r>
            <w:r>
              <w:rPr>
                <w:sz w:val="14"/>
              </w:rPr>
              <w:t>room</w:t>
            </w:r>
            <w:r>
              <w:rPr>
                <w:spacing w:val="-4"/>
                <w:sz w:val="14"/>
              </w:rPr>
              <w:t> </w:t>
            </w:r>
            <w:r>
              <w:rPr>
                <w:sz w:val="14"/>
              </w:rPr>
              <w:t>community</w:t>
            </w:r>
            <w:r>
              <w:rPr>
                <w:spacing w:val="-2"/>
                <w:sz w:val="14"/>
              </w:rPr>
              <w:t> </w:t>
            </w:r>
            <w:r>
              <w:rPr>
                <w:sz w:val="14"/>
              </w:rPr>
              <w:t>hourly</w:t>
            </w:r>
            <w:r>
              <w:rPr>
                <w:spacing w:val="-3"/>
                <w:sz w:val="14"/>
              </w:rPr>
              <w:t> </w:t>
            </w:r>
            <w:r>
              <w:rPr>
                <w:spacing w:val="-4"/>
                <w:sz w:val="14"/>
              </w:rPr>
              <w:t>rate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56" w:right="236"/>
              <w:jc w:val="center"/>
              <w:rPr>
                <w:sz w:val="14"/>
              </w:rPr>
            </w:pPr>
            <w:r>
              <w:rPr>
                <w:spacing w:val="-5"/>
                <w:sz w:val="14"/>
              </w:rPr>
              <w:t>Yes</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26.07</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27.32</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Meals</w:t>
            </w:r>
            <w:r>
              <w:rPr>
                <w:b/>
                <w:spacing w:val="-3"/>
                <w:sz w:val="14"/>
              </w:rPr>
              <w:t> </w:t>
            </w:r>
            <w:r>
              <w:rPr>
                <w:b/>
                <w:sz w:val="14"/>
              </w:rPr>
              <w:t>On</w:t>
            </w:r>
            <w:r>
              <w:rPr>
                <w:b/>
                <w:spacing w:val="-4"/>
                <w:sz w:val="14"/>
              </w:rPr>
              <w:t> </w:t>
            </w:r>
            <w:r>
              <w:rPr>
                <w:b/>
                <w:spacing w:val="-2"/>
                <w:sz w:val="14"/>
              </w:rPr>
              <w:t>Wheels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Meal</w:t>
            </w:r>
            <w:r>
              <w:rPr>
                <w:spacing w:val="-1"/>
                <w:sz w:val="14"/>
              </w:rPr>
              <w:t> </w:t>
            </w:r>
            <w:r>
              <w:rPr>
                <w:sz w:val="14"/>
              </w:rPr>
              <w:t>on</w:t>
            </w:r>
            <w:r>
              <w:rPr>
                <w:spacing w:val="-5"/>
                <w:sz w:val="14"/>
              </w:rPr>
              <w:t> </w:t>
            </w:r>
            <w:r>
              <w:rPr>
                <w:sz w:val="14"/>
              </w:rPr>
              <w:t>Wheels</w:t>
            </w:r>
            <w:r>
              <w:rPr>
                <w:spacing w:val="-1"/>
                <w:sz w:val="14"/>
              </w:rPr>
              <w:t> </w:t>
            </w:r>
            <w:r>
              <w:rPr>
                <w:sz w:val="14"/>
              </w:rPr>
              <w:t>-</w:t>
            </w:r>
            <w:r>
              <w:rPr>
                <w:spacing w:val="-4"/>
                <w:sz w:val="14"/>
              </w:rPr>
              <w:t> </w:t>
            </w:r>
            <w:r>
              <w:rPr>
                <w:sz w:val="14"/>
              </w:rPr>
              <w:t>CHSP -</w:t>
            </w:r>
            <w:r>
              <w:rPr>
                <w:spacing w:val="-4"/>
                <w:sz w:val="14"/>
              </w:rPr>
              <w:t> </w:t>
            </w:r>
            <w:r>
              <w:rPr>
                <w:sz w:val="14"/>
              </w:rPr>
              <w:t>High</w:t>
            </w:r>
            <w:r>
              <w:rPr>
                <w:spacing w:val="-2"/>
                <w:sz w:val="14"/>
              </w:rPr>
              <w:t>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56" w:right="236"/>
              <w:jc w:val="center"/>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14.93</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15.65</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Meal</w:t>
            </w:r>
            <w:r>
              <w:rPr>
                <w:spacing w:val="-1"/>
                <w:sz w:val="14"/>
              </w:rPr>
              <w:t> </w:t>
            </w:r>
            <w:r>
              <w:rPr>
                <w:sz w:val="14"/>
              </w:rPr>
              <w:t>on</w:t>
            </w:r>
            <w:r>
              <w:rPr>
                <w:spacing w:val="-5"/>
                <w:sz w:val="14"/>
              </w:rPr>
              <w:t> </w:t>
            </w:r>
            <w:r>
              <w:rPr>
                <w:sz w:val="14"/>
              </w:rPr>
              <w:t>Wheels</w:t>
            </w:r>
            <w:r>
              <w:rPr>
                <w:spacing w:val="-2"/>
                <w:sz w:val="14"/>
              </w:rPr>
              <w:t> </w:t>
            </w:r>
            <w:r>
              <w:rPr>
                <w:sz w:val="14"/>
              </w:rPr>
              <w:t>-</w:t>
            </w:r>
            <w:r>
              <w:rPr>
                <w:spacing w:val="-4"/>
                <w:sz w:val="14"/>
              </w:rPr>
              <w:t> </w:t>
            </w:r>
            <w:r>
              <w:rPr>
                <w:sz w:val="14"/>
              </w:rPr>
              <w:t>CHSP -</w:t>
            </w:r>
            <w:r>
              <w:rPr>
                <w:spacing w:val="-5"/>
                <w:sz w:val="14"/>
              </w:rPr>
              <w:t> </w:t>
            </w:r>
            <w:r>
              <w:rPr>
                <w:sz w:val="14"/>
              </w:rPr>
              <w:t>Low </w:t>
            </w:r>
            <w:r>
              <w:rPr>
                <w:spacing w:val="-5"/>
                <w:sz w:val="14"/>
              </w:rPr>
              <w:t>Fee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56" w:right="236"/>
              <w:jc w:val="center"/>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12.80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13.41</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181"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22"/>
              <w:ind w:left="107"/>
              <w:rPr>
                <w:sz w:val="14"/>
              </w:rPr>
            </w:pPr>
            <w:r>
              <w:rPr>
                <w:sz w:val="14"/>
              </w:rPr>
              <w:t>Meal</w:t>
            </w:r>
            <w:r>
              <w:rPr>
                <w:spacing w:val="-1"/>
                <w:sz w:val="14"/>
              </w:rPr>
              <w:t> </w:t>
            </w:r>
            <w:r>
              <w:rPr>
                <w:sz w:val="14"/>
              </w:rPr>
              <w:t>on</w:t>
            </w:r>
            <w:r>
              <w:rPr>
                <w:spacing w:val="-5"/>
                <w:sz w:val="14"/>
              </w:rPr>
              <w:t> </w:t>
            </w:r>
            <w:r>
              <w:rPr>
                <w:sz w:val="14"/>
              </w:rPr>
              <w:t>Wheels</w:t>
            </w:r>
            <w:r>
              <w:rPr>
                <w:spacing w:val="-1"/>
                <w:sz w:val="14"/>
              </w:rPr>
              <w:t> </w:t>
            </w:r>
            <w:r>
              <w:rPr>
                <w:sz w:val="14"/>
              </w:rPr>
              <w:t>-</w:t>
            </w:r>
            <w:r>
              <w:rPr>
                <w:spacing w:val="-2"/>
                <w:sz w:val="14"/>
              </w:rPr>
              <w:t> </w:t>
            </w:r>
            <w:r>
              <w:rPr>
                <w:sz w:val="14"/>
              </w:rPr>
              <w:t>Fee</w:t>
            </w:r>
            <w:r>
              <w:rPr>
                <w:spacing w:val="-4"/>
                <w:sz w:val="14"/>
              </w:rPr>
              <w:t> </w:t>
            </w:r>
            <w:r>
              <w:rPr>
                <w:sz w:val="14"/>
              </w:rPr>
              <w:t>for</w:t>
            </w:r>
            <w:r>
              <w:rPr>
                <w:spacing w:val="-5"/>
                <w:sz w:val="14"/>
              </w:rPr>
              <w:t> </w:t>
            </w:r>
            <w:r>
              <w:rPr>
                <w:spacing w:val="-2"/>
                <w:sz w:val="14"/>
              </w:rPr>
              <w:t>Service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left="256" w:right="236"/>
              <w:jc w:val="center"/>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1"/>
              <w:jc w:val="right"/>
              <w:rPr>
                <w:sz w:val="14"/>
              </w:rPr>
            </w:pPr>
            <w:r>
              <w:rPr>
                <w:spacing w:val="-2"/>
                <w:sz w:val="14"/>
              </w:rPr>
              <w:t>28.53</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22"/>
              <w:ind w:right="92"/>
              <w:jc w:val="right"/>
              <w:rPr>
                <w:sz w:val="14"/>
              </w:rPr>
            </w:pPr>
            <w:r>
              <w:rPr>
                <w:spacing w:val="-2"/>
                <w:sz w:val="14"/>
              </w:rPr>
              <w:t>29.90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22"/>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Meal</w:t>
            </w:r>
            <w:r>
              <w:rPr>
                <w:spacing w:val="-2"/>
                <w:sz w:val="14"/>
              </w:rPr>
              <w:t> </w:t>
            </w:r>
            <w:r>
              <w:rPr>
                <w:sz w:val="14"/>
              </w:rPr>
              <w:t>-</w:t>
            </w:r>
            <w:r>
              <w:rPr>
                <w:spacing w:val="-5"/>
                <w:sz w:val="14"/>
              </w:rPr>
              <w:t> </w:t>
            </w:r>
            <w:r>
              <w:rPr>
                <w:sz w:val="14"/>
              </w:rPr>
              <w:t>Community</w:t>
            </w:r>
            <w:r>
              <w:rPr>
                <w:spacing w:val="-2"/>
                <w:sz w:val="14"/>
              </w:rPr>
              <w:t> </w:t>
            </w:r>
            <w:r>
              <w:rPr>
                <w:sz w:val="14"/>
              </w:rPr>
              <w:t>Dining</w:t>
            </w:r>
            <w:r>
              <w:rPr>
                <w:spacing w:val="-2"/>
                <w:sz w:val="14"/>
              </w:rPr>
              <w:t> </w:t>
            </w:r>
            <w:r>
              <w:rPr>
                <w:sz w:val="14"/>
              </w:rPr>
              <w:t>-</w:t>
            </w:r>
            <w:r>
              <w:rPr>
                <w:spacing w:val="-5"/>
                <w:sz w:val="14"/>
              </w:rPr>
              <w:t> </w:t>
            </w:r>
            <w:r>
              <w:rPr>
                <w:sz w:val="14"/>
              </w:rPr>
              <w:t>CHSP</w:t>
            </w:r>
            <w:r>
              <w:rPr>
                <w:spacing w:val="-3"/>
                <w:sz w:val="14"/>
              </w:rPr>
              <w:t> </w:t>
            </w:r>
            <w:r>
              <w:rPr>
                <w:spacing w:val="-5"/>
                <w:sz w:val="14"/>
              </w:rPr>
              <w:t>Low</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56" w:right="236"/>
              <w:jc w:val="center"/>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8.22</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4" w:right="81"/>
              <w:jc w:val="center"/>
              <w:rPr>
                <w:sz w:val="14"/>
              </w:rPr>
            </w:pPr>
            <w:r>
              <w:rPr>
                <w:spacing w:val="-2"/>
                <w:sz w:val="14"/>
              </w:rPr>
              <w:t>100.0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Meal</w:t>
            </w:r>
            <w:r>
              <w:rPr>
                <w:spacing w:val="-2"/>
                <w:sz w:val="14"/>
              </w:rPr>
              <w:t> </w:t>
            </w:r>
            <w:r>
              <w:rPr>
                <w:sz w:val="14"/>
              </w:rPr>
              <w:t>-</w:t>
            </w:r>
            <w:r>
              <w:rPr>
                <w:spacing w:val="-5"/>
                <w:sz w:val="14"/>
              </w:rPr>
              <w:t> </w:t>
            </w:r>
            <w:r>
              <w:rPr>
                <w:sz w:val="14"/>
              </w:rPr>
              <w:t>Community</w:t>
            </w:r>
            <w:r>
              <w:rPr>
                <w:spacing w:val="-2"/>
                <w:sz w:val="14"/>
              </w:rPr>
              <w:t> </w:t>
            </w:r>
            <w:r>
              <w:rPr>
                <w:sz w:val="14"/>
              </w:rPr>
              <w:t>Dining</w:t>
            </w:r>
            <w:r>
              <w:rPr>
                <w:spacing w:val="-1"/>
                <w:sz w:val="14"/>
              </w:rPr>
              <w:t> </w:t>
            </w:r>
            <w:r>
              <w:rPr>
                <w:sz w:val="14"/>
              </w:rPr>
              <w:t>-</w:t>
            </w:r>
            <w:r>
              <w:rPr>
                <w:spacing w:val="-5"/>
                <w:sz w:val="14"/>
              </w:rPr>
              <w:t> </w:t>
            </w:r>
            <w:r>
              <w:rPr>
                <w:sz w:val="14"/>
              </w:rPr>
              <w:t>Fee</w:t>
            </w:r>
            <w:r>
              <w:rPr>
                <w:spacing w:val="-1"/>
                <w:sz w:val="14"/>
              </w:rPr>
              <w:t> </w:t>
            </w:r>
            <w:r>
              <w:rPr>
                <w:sz w:val="14"/>
              </w:rPr>
              <w:t>for</w:t>
            </w:r>
            <w:r>
              <w:rPr>
                <w:spacing w:val="-5"/>
                <w:sz w:val="14"/>
              </w:rPr>
              <w:t> </w:t>
            </w:r>
            <w:r>
              <w:rPr>
                <w:spacing w:val="-2"/>
                <w:sz w:val="14"/>
              </w:rPr>
              <w:t>Service</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56" w:right="236"/>
              <w:jc w:val="center"/>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30.00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4" w:right="81"/>
              <w:jc w:val="center"/>
              <w:rPr>
                <w:sz w:val="14"/>
              </w:rPr>
            </w:pPr>
            <w:r>
              <w:rPr>
                <w:spacing w:val="-2"/>
                <w:sz w:val="14"/>
              </w:rPr>
              <w:t>100.0</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b/>
                <w:sz w:val="14"/>
              </w:rPr>
            </w:pPr>
            <w:r>
              <w:rPr>
                <w:b/>
                <w:sz w:val="14"/>
              </w:rPr>
              <w:t>Aged</w:t>
            </w:r>
            <w:r>
              <w:rPr>
                <w:b/>
                <w:spacing w:val="-5"/>
                <w:sz w:val="14"/>
              </w:rPr>
              <w:t> </w:t>
            </w:r>
            <w:r>
              <w:rPr>
                <w:b/>
                <w:sz w:val="14"/>
              </w:rPr>
              <w:t>and</w:t>
            </w:r>
            <w:r>
              <w:rPr>
                <w:b/>
                <w:spacing w:val="-5"/>
                <w:sz w:val="14"/>
              </w:rPr>
              <w:t> </w:t>
            </w:r>
            <w:r>
              <w:rPr>
                <w:b/>
                <w:sz w:val="14"/>
              </w:rPr>
              <w:t>Disability</w:t>
            </w:r>
            <w:r>
              <w:rPr>
                <w:b/>
                <w:spacing w:val="-4"/>
                <w:sz w:val="14"/>
              </w:rPr>
              <w:t> </w:t>
            </w:r>
            <w:r>
              <w:rPr>
                <w:b/>
                <w:spacing w:val="-2"/>
                <w:sz w:val="14"/>
              </w:rPr>
              <w:t>Services</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2"/>
              </w:rPr>
            </w:pPr>
          </w:p>
        </w:tc>
      </w:tr>
      <w:tr>
        <w:trPr>
          <w:trHeight w:val="35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60" w:lineRule="atLeast" w:before="19"/>
              <w:ind w:left="107" w:right="181"/>
              <w:rPr>
                <w:sz w:val="14"/>
              </w:rPr>
            </w:pPr>
            <w:r>
              <w:rPr>
                <w:sz w:val="14"/>
              </w:rPr>
              <w:t>Guest</w:t>
            </w:r>
            <w:r>
              <w:rPr>
                <w:spacing w:val="-4"/>
                <w:sz w:val="14"/>
              </w:rPr>
              <w:t> </w:t>
            </w:r>
            <w:r>
              <w:rPr>
                <w:sz w:val="14"/>
              </w:rPr>
              <w:t>Speaking</w:t>
            </w:r>
            <w:r>
              <w:rPr>
                <w:spacing w:val="-4"/>
                <w:sz w:val="14"/>
              </w:rPr>
              <w:t> </w:t>
            </w:r>
            <w:r>
              <w:rPr>
                <w:sz w:val="14"/>
              </w:rPr>
              <w:t>Presentation</w:t>
            </w:r>
            <w:r>
              <w:rPr>
                <w:spacing w:val="-4"/>
                <w:sz w:val="14"/>
              </w:rPr>
              <w:t> </w:t>
            </w:r>
            <w:r>
              <w:rPr>
                <w:sz w:val="14"/>
              </w:rPr>
              <w:t>fee</w:t>
            </w:r>
            <w:r>
              <w:rPr>
                <w:spacing w:val="-1"/>
                <w:sz w:val="14"/>
              </w:rPr>
              <w:t> </w:t>
            </w:r>
            <w:r>
              <w:rPr>
                <w:sz w:val="14"/>
              </w:rPr>
              <w:t>(hour)</w:t>
            </w:r>
            <w:r>
              <w:rPr>
                <w:spacing w:val="-4"/>
                <w:sz w:val="14"/>
              </w:rPr>
              <w:t> </w:t>
            </w:r>
            <w:r>
              <w:rPr>
                <w:sz w:val="14"/>
              </w:rPr>
              <w:t>(provision</w:t>
            </w:r>
            <w:r>
              <w:rPr>
                <w:spacing w:val="-4"/>
                <w:sz w:val="14"/>
              </w:rPr>
              <w:t> </w:t>
            </w:r>
            <w:r>
              <w:rPr>
                <w:sz w:val="14"/>
              </w:rPr>
              <w:t>to</w:t>
            </w:r>
            <w:r>
              <w:rPr>
                <w:spacing w:val="-1"/>
                <w:sz w:val="14"/>
              </w:rPr>
              <w:t> </w:t>
            </w:r>
            <w:r>
              <w:rPr>
                <w:sz w:val="14"/>
              </w:rPr>
              <w:t>reduce</w:t>
            </w:r>
            <w:r>
              <w:rPr>
                <w:spacing w:val="-4"/>
                <w:sz w:val="14"/>
              </w:rPr>
              <w:t> </w:t>
            </w:r>
            <w:r>
              <w:rPr>
                <w:sz w:val="14"/>
              </w:rPr>
              <w:t>to</w:t>
            </w:r>
            <w:r>
              <w:rPr>
                <w:spacing w:val="-5"/>
                <w:sz w:val="14"/>
              </w:rPr>
              <w:t> </w:t>
            </w:r>
            <w:r>
              <w:rPr>
                <w:sz w:val="14"/>
              </w:rPr>
              <w:t>75%/50%/waiver</w:t>
            </w:r>
            <w:r>
              <w:rPr>
                <w:spacing w:val="40"/>
                <w:sz w:val="14"/>
              </w:rPr>
              <w:t> </w:t>
            </w:r>
            <w:r>
              <w:rPr>
                <w:sz w:val="14"/>
              </w:rPr>
              <w:t>considering nature of group)</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left="256" w:right="236"/>
              <w:jc w:val="center"/>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1"/>
              <w:jc w:val="right"/>
              <w:rPr>
                <w:sz w:val="14"/>
              </w:rPr>
            </w:pPr>
            <w:r>
              <w:rPr>
                <w:spacing w:val="-2"/>
                <w:sz w:val="14"/>
              </w:rPr>
              <w:t>100.00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4"/>
              <w:rPr>
                <w:sz w:val="17"/>
              </w:rPr>
            </w:pPr>
          </w:p>
          <w:p>
            <w:pPr>
              <w:pStyle w:val="TableParagraph"/>
              <w:spacing w:line="140" w:lineRule="exact"/>
              <w:ind w:right="93"/>
              <w:jc w:val="right"/>
              <w:rPr>
                <w:sz w:val="14"/>
              </w:rPr>
            </w:pPr>
            <w:r>
              <w:rPr>
                <w:spacing w:val="-2"/>
                <w:sz w:val="14"/>
              </w:rPr>
              <w:t>104.80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before="4"/>
              <w:rPr>
                <w:sz w:val="17"/>
              </w:rPr>
            </w:pPr>
          </w:p>
          <w:p>
            <w:pPr>
              <w:pStyle w:val="TableParagraph"/>
              <w:spacing w:line="140" w:lineRule="exact"/>
              <w:ind w:left="95" w:right="79"/>
              <w:jc w:val="center"/>
              <w:rPr>
                <w:sz w:val="14"/>
              </w:rPr>
            </w:pPr>
            <w:r>
              <w:rPr>
                <w:spacing w:val="-5"/>
                <w:sz w:val="14"/>
              </w:rPr>
              <w:t>4.6</w:t>
            </w: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Guest</w:t>
            </w:r>
            <w:r>
              <w:rPr>
                <w:spacing w:val="-7"/>
                <w:sz w:val="14"/>
              </w:rPr>
              <w:t> </w:t>
            </w:r>
            <w:r>
              <w:rPr>
                <w:sz w:val="14"/>
              </w:rPr>
              <w:t>Speaking</w:t>
            </w:r>
            <w:r>
              <w:rPr>
                <w:spacing w:val="-4"/>
                <w:sz w:val="14"/>
              </w:rPr>
              <w:t> </w:t>
            </w:r>
            <w:r>
              <w:rPr>
                <w:sz w:val="14"/>
              </w:rPr>
              <w:t>travel</w:t>
            </w:r>
            <w:r>
              <w:rPr>
                <w:spacing w:val="-3"/>
                <w:sz w:val="14"/>
              </w:rPr>
              <w:t> </w:t>
            </w:r>
            <w:r>
              <w:rPr>
                <w:sz w:val="14"/>
              </w:rPr>
              <w:t>reimbursement</w:t>
            </w:r>
            <w:r>
              <w:rPr>
                <w:spacing w:val="-4"/>
                <w:sz w:val="14"/>
              </w:rPr>
              <w:t> </w:t>
            </w:r>
            <w:r>
              <w:rPr>
                <w:sz w:val="14"/>
              </w:rPr>
              <w:t>per</w:t>
            </w:r>
            <w:r>
              <w:rPr>
                <w:spacing w:val="-4"/>
                <w:sz w:val="14"/>
              </w:rPr>
              <w:t> </w:t>
            </w:r>
            <w:r>
              <w:rPr>
                <w:spacing w:val="-5"/>
                <w:sz w:val="14"/>
              </w:rPr>
              <w:t>km</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56" w:right="236"/>
              <w:jc w:val="center"/>
              <w:rPr>
                <w:sz w:val="14"/>
              </w:rPr>
            </w:pPr>
            <w:r>
              <w:rPr>
                <w:spacing w:val="-5"/>
                <w:sz w:val="14"/>
              </w:rPr>
              <w:t>No</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4"/>
                <w:sz w:val="14"/>
              </w:rPr>
              <w:t>0.90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4"/>
                <w:sz w:val="14"/>
              </w:rPr>
              <w:t>0.94</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4.6</w:t>
            </w:r>
          </w:p>
        </w:tc>
      </w:tr>
      <w:tr>
        <w:trPr>
          <w:trHeight w:val="284" w:hRule="atLeast"/>
        </w:trPr>
        <w:tc>
          <w:tcPr>
            <w:tcW w:w="5770" w:type="dxa"/>
            <w:tcBorders>
              <w:top w:val="single" w:sz="4" w:space="0" w:color="000000"/>
              <w:left w:val="single" w:sz="12" w:space="0" w:color="000000"/>
              <w:right w:val="single" w:sz="4" w:space="0" w:color="000000"/>
            </w:tcBorders>
            <w:shd w:val="clear" w:color="auto" w:fill="D8D8D8"/>
          </w:tcPr>
          <w:p>
            <w:pPr>
              <w:pStyle w:val="TableParagraph"/>
              <w:spacing w:line="217" w:lineRule="exact" w:before="48"/>
              <w:ind w:left="107"/>
              <w:rPr>
                <w:b/>
                <w:sz w:val="22"/>
              </w:rPr>
            </w:pPr>
            <w:r>
              <w:rPr>
                <w:b/>
                <w:sz w:val="22"/>
              </w:rPr>
              <w:t>Communications</w:t>
            </w:r>
            <w:r>
              <w:rPr>
                <w:b/>
                <w:spacing w:val="-7"/>
                <w:sz w:val="22"/>
              </w:rPr>
              <w:t> </w:t>
            </w:r>
            <w:r>
              <w:rPr>
                <w:b/>
                <w:sz w:val="22"/>
              </w:rPr>
              <w:t>&amp;</w:t>
            </w:r>
            <w:r>
              <w:rPr>
                <w:b/>
                <w:spacing w:val="-5"/>
                <w:sz w:val="22"/>
              </w:rPr>
              <w:t> </w:t>
            </w:r>
            <w:r>
              <w:rPr>
                <w:b/>
                <w:sz w:val="22"/>
              </w:rPr>
              <w:t>Citizen</w:t>
            </w:r>
            <w:r>
              <w:rPr>
                <w:b/>
                <w:spacing w:val="-4"/>
                <w:sz w:val="22"/>
              </w:rPr>
              <w:t> </w:t>
            </w:r>
            <w:r>
              <w:rPr>
                <w:b/>
                <w:spacing w:val="-2"/>
                <w:sz w:val="22"/>
              </w:rPr>
              <w:t>Experience</w:t>
            </w:r>
          </w:p>
        </w:tc>
        <w:tc>
          <w:tcPr>
            <w:tcW w:w="1028"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4"/>
              </w:rPr>
            </w:pPr>
          </w:p>
        </w:tc>
        <w:tc>
          <w:tcPr>
            <w:tcW w:w="769"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4"/>
              </w:rPr>
            </w:pPr>
          </w:p>
        </w:tc>
        <w:tc>
          <w:tcPr>
            <w:tcW w:w="973"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4"/>
              </w:rPr>
            </w:pPr>
          </w:p>
        </w:tc>
        <w:tc>
          <w:tcPr>
            <w:tcW w:w="1199" w:type="dxa"/>
            <w:tcBorders>
              <w:top w:val="single" w:sz="4" w:space="0" w:color="000000"/>
              <w:left w:val="single" w:sz="4" w:space="0" w:color="000000"/>
              <w:bottom w:val="single" w:sz="4" w:space="0" w:color="000000"/>
              <w:right w:val="single" w:sz="4" w:space="0" w:color="000000"/>
            </w:tcBorders>
            <w:shd w:val="clear" w:color="auto" w:fill="D8D8D8"/>
          </w:tcPr>
          <w:p>
            <w:pPr>
              <w:pStyle w:val="TableParagraph"/>
              <w:rPr>
                <w:rFonts w:ascii="Times New Roman"/>
                <w:sz w:val="14"/>
              </w:rPr>
            </w:pPr>
          </w:p>
        </w:tc>
        <w:tc>
          <w:tcPr>
            <w:tcW w:w="897" w:type="dxa"/>
            <w:tcBorders>
              <w:top w:val="single" w:sz="4" w:space="0" w:color="000000"/>
              <w:left w:val="single" w:sz="4" w:space="0" w:color="000000"/>
              <w:bottom w:val="single" w:sz="4" w:space="0" w:color="000000"/>
              <w:right w:val="single" w:sz="12" w:space="0" w:color="000000"/>
            </w:tcBorders>
            <w:shd w:val="clear" w:color="auto" w:fill="D8D8D8"/>
          </w:tcPr>
          <w:p>
            <w:pPr>
              <w:pStyle w:val="TableParagraph"/>
              <w:rPr>
                <w:rFonts w:ascii="Times New Roman"/>
                <w:sz w:val="14"/>
              </w:rPr>
            </w:pPr>
          </w:p>
        </w:tc>
      </w:tr>
      <w:tr>
        <w:trPr>
          <w:trHeight w:val="162" w:hRule="atLeast"/>
        </w:trPr>
        <w:tc>
          <w:tcPr>
            <w:tcW w:w="5770" w:type="dxa"/>
            <w:tcBorders>
              <w:left w:val="single" w:sz="12" w:space="0" w:color="000000"/>
              <w:bottom w:val="single" w:sz="4" w:space="0" w:color="000000"/>
              <w:right w:val="single" w:sz="4" w:space="0" w:color="000000"/>
            </w:tcBorders>
          </w:tcPr>
          <w:p>
            <w:pPr>
              <w:pStyle w:val="TableParagraph"/>
              <w:spacing w:line="140" w:lineRule="exact" w:before="2"/>
              <w:ind w:left="107"/>
              <w:rPr>
                <w:b/>
                <w:sz w:val="14"/>
              </w:rPr>
            </w:pPr>
            <w:r>
              <w:rPr>
                <w:b/>
                <w:sz w:val="14"/>
              </w:rPr>
              <w:t>CCE</w:t>
            </w:r>
            <w:r>
              <w:rPr>
                <w:b/>
                <w:spacing w:val="-5"/>
                <w:sz w:val="14"/>
              </w:rPr>
              <w:t> </w:t>
            </w:r>
            <w:r>
              <w:rPr>
                <w:b/>
                <w:sz w:val="14"/>
              </w:rPr>
              <w:t>Film</w:t>
            </w:r>
            <w:r>
              <w:rPr>
                <w:b/>
                <w:spacing w:val="-1"/>
                <w:sz w:val="14"/>
              </w:rPr>
              <w:t> </w:t>
            </w:r>
            <w:r>
              <w:rPr>
                <w:b/>
                <w:spacing w:val="-2"/>
                <w:sz w:val="14"/>
              </w:rPr>
              <w:t>Permit</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76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9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119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89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0"/>
              </w:rPr>
            </w:pPr>
          </w:p>
        </w:tc>
      </w:tr>
      <w:tr>
        <w:trPr>
          <w:trHeight w:val="179" w:hRule="atLeast"/>
        </w:trPr>
        <w:tc>
          <w:tcPr>
            <w:tcW w:w="5770" w:type="dxa"/>
            <w:tcBorders>
              <w:top w:val="single" w:sz="4" w:space="0" w:color="000000"/>
              <w:left w:val="single" w:sz="12" w:space="0" w:color="000000"/>
              <w:bottom w:val="single" w:sz="4" w:space="0" w:color="000000"/>
              <w:right w:val="single" w:sz="4" w:space="0" w:color="000000"/>
            </w:tcBorders>
          </w:tcPr>
          <w:p>
            <w:pPr>
              <w:pStyle w:val="TableParagraph"/>
              <w:spacing w:line="140" w:lineRule="exact" w:before="19"/>
              <w:ind w:left="107"/>
              <w:rPr>
                <w:sz w:val="14"/>
              </w:rPr>
            </w:pPr>
            <w:r>
              <w:rPr>
                <w:sz w:val="14"/>
              </w:rPr>
              <w:t>Low</w:t>
            </w:r>
            <w:r>
              <w:rPr>
                <w:spacing w:val="-5"/>
                <w:sz w:val="14"/>
              </w:rPr>
              <w:t> </w:t>
            </w:r>
            <w:r>
              <w:rPr>
                <w:sz w:val="14"/>
              </w:rPr>
              <w:t>Impact</w:t>
            </w:r>
            <w:r>
              <w:rPr>
                <w:spacing w:val="-3"/>
                <w:sz w:val="14"/>
              </w:rPr>
              <w:t> </w:t>
            </w:r>
            <w:r>
              <w:rPr>
                <w:sz w:val="14"/>
              </w:rPr>
              <w:t>Filming</w:t>
            </w:r>
            <w:r>
              <w:rPr>
                <w:spacing w:val="-6"/>
                <w:sz w:val="14"/>
              </w:rPr>
              <w:t> </w:t>
            </w:r>
            <w:r>
              <w:rPr>
                <w:sz w:val="14"/>
              </w:rPr>
              <w:t>Permit</w:t>
            </w:r>
            <w:r>
              <w:rPr>
                <w:spacing w:val="-3"/>
                <w:sz w:val="14"/>
              </w:rPr>
              <w:t> </w:t>
            </w:r>
            <w:r>
              <w:rPr>
                <w:spacing w:val="-2"/>
                <w:sz w:val="14"/>
              </w:rPr>
              <w:t>application</w:t>
            </w:r>
          </w:p>
        </w:tc>
        <w:tc>
          <w:tcPr>
            <w:tcW w:w="1028"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left="22"/>
              <w:jc w:val="center"/>
              <w:rPr>
                <w:sz w:val="14"/>
              </w:rPr>
            </w:pPr>
            <w:r>
              <w:rPr>
                <w:w w:val="99"/>
                <w:sz w:val="14"/>
              </w:rPr>
              <w:t>Y</w:t>
            </w:r>
          </w:p>
        </w:tc>
        <w:tc>
          <w:tcPr>
            <w:tcW w:w="973"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1"/>
              <w:jc w:val="right"/>
              <w:rPr>
                <w:sz w:val="14"/>
              </w:rPr>
            </w:pPr>
            <w:r>
              <w:rPr>
                <w:spacing w:val="-2"/>
                <w:sz w:val="14"/>
              </w:rPr>
              <w:t>75.00</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line="140" w:lineRule="exact" w:before="19"/>
              <w:ind w:right="92"/>
              <w:jc w:val="right"/>
              <w:rPr>
                <w:sz w:val="14"/>
              </w:rPr>
            </w:pPr>
            <w:r>
              <w:rPr>
                <w:spacing w:val="-2"/>
                <w:sz w:val="14"/>
              </w:rPr>
              <w:t>79.00</w:t>
            </w:r>
          </w:p>
        </w:tc>
        <w:tc>
          <w:tcPr>
            <w:tcW w:w="897" w:type="dxa"/>
            <w:tcBorders>
              <w:top w:val="single" w:sz="4" w:space="0" w:color="000000"/>
              <w:left w:val="single" w:sz="4" w:space="0" w:color="000000"/>
              <w:bottom w:val="single" w:sz="4" w:space="0" w:color="000000"/>
              <w:right w:val="single" w:sz="12" w:space="0" w:color="000000"/>
            </w:tcBorders>
          </w:tcPr>
          <w:p>
            <w:pPr>
              <w:pStyle w:val="TableParagraph"/>
              <w:spacing w:line="140" w:lineRule="exact" w:before="19"/>
              <w:ind w:left="95" w:right="79"/>
              <w:jc w:val="center"/>
              <w:rPr>
                <w:sz w:val="14"/>
              </w:rPr>
            </w:pPr>
            <w:r>
              <w:rPr>
                <w:spacing w:val="-5"/>
                <w:sz w:val="14"/>
              </w:rPr>
              <w:t>5.1</w:t>
            </w:r>
          </w:p>
        </w:tc>
      </w:tr>
      <w:tr>
        <w:trPr>
          <w:trHeight w:val="179" w:hRule="atLeast"/>
        </w:trPr>
        <w:tc>
          <w:tcPr>
            <w:tcW w:w="5770" w:type="dxa"/>
            <w:tcBorders>
              <w:top w:val="single" w:sz="4" w:space="0" w:color="000000"/>
              <w:left w:val="single" w:sz="12" w:space="0" w:color="000000"/>
              <w:bottom w:val="single" w:sz="12" w:space="0" w:color="000000"/>
              <w:right w:val="single" w:sz="4" w:space="0" w:color="000000"/>
            </w:tcBorders>
          </w:tcPr>
          <w:p>
            <w:pPr>
              <w:pStyle w:val="TableParagraph"/>
              <w:spacing w:line="140" w:lineRule="exact" w:before="19"/>
              <w:ind w:left="107"/>
              <w:rPr>
                <w:sz w:val="14"/>
              </w:rPr>
            </w:pPr>
            <w:r>
              <w:rPr>
                <w:sz w:val="14"/>
              </w:rPr>
              <w:t>High</w:t>
            </w:r>
            <w:r>
              <w:rPr>
                <w:spacing w:val="-6"/>
                <w:sz w:val="14"/>
              </w:rPr>
              <w:t> </w:t>
            </w:r>
            <w:r>
              <w:rPr>
                <w:sz w:val="14"/>
              </w:rPr>
              <w:t>Impact</w:t>
            </w:r>
            <w:r>
              <w:rPr>
                <w:spacing w:val="-4"/>
                <w:sz w:val="14"/>
              </w:rPr>
              <w:t> </w:t>
            </w:r>
            <w:r>
              <w:rPr>
                <w:sz w:val="14"/>
              </w:rPr>
              <w:t>Filming</w:t>
            </w:r>
            <w:r>
              <w:rPr>
                <w:spacing w:val="-4"/>
                <w:sz w:val="14"/>
              </w:rPr>
              <w:t> </w:t>
            </w:r>
            <w:r>
              <w:rPr>
                <w:sz w:val="14"/>
              </w:rPr>
              <w:t>Permit</w:t>
            </w:r>
            <w:r>
              <w:rPr>
                <w:spacing w:val="-3"/>
                <w:sz w:val="14"/>
              </w:rPr>
              <w:t> </w:t>
            </w:r>
            <w:r>
              <w:rPr>
                <w:spacing w:val="-2"/>
                <w:sz w:val="14"/>
              </w:rPr>
              <w:t>application</w:t>
            </w:r>
          </w:p>
        </w:tc>
        <w:tc>
          <w:tcPr>
            <w:tcW w:w="1028" w:type="dxa"/>
            <w:tcBorders>
              <w:top w:val="single" w:sz="4" w:space="0" w:color="000000"/>
              <w:left w:val="single" w:sz="4" w:space="0" w:color="000000"/>
              <w:bottom w:val="single" w:sz="12" w:space="0" w:color="000000"/>
              <w:right w:val="single" w:sz="4" w:space="0" w:color="000000"/>
            </w:tcBorders>
          </w:tcPr>
          <w:p>
            <w:pPr>
              <w:pStyle w:val="TableParagraph"/>
              <w:spacing w:line="140" w:lineRule="exact" w:before="19"/>
              <w:ind w:left="26"/>
              <w:jc w:val="center"/>
              <w:rPr>
                <w:sz w:val="14"/>
              </w:rPr>
            </w:pPr>
            <w:r>
              <w:rPr>
                <w:w w:val="99"/>
                <w:sz w:val="14"/>
              </w:rPr>
              <w:t>N</w:t>
            </w:r>
          </w:p>
        </w:tc>
        <w:tc>
          <w:tcPr>
            <w:tcW w:w="769" w:type="dxa"/>
            <w:tcBorders>
              <w:top w:val="single" w:sz="4" w:space="0" w:color="000000"/>
              <w:left w:val="single" w:sz="4" w:space="0" w:color="000000"/>
              <w:bottom w:val="single" w:sz="12" w:space="0" w:color="000000"/>
              <w:right w:val="single" w:sz="4" w:space="0" w:color="000000"/>
            </w:tcBorders>
          </w:tcPr>
          <w:p>
            <w:pPr>
              <w:pStyle w:val="TableParagraph"/>
              <w:spacing w:line="140" w:lineRule="exact" w:before="19"/>
              <w:ind w:left="22"/>
              <w:jc w:val="center"/>
              <w:rPr>
                <w:sz w:val="14"/>
              </w:rPr>
            </w:pPr>
            <w:r>
              <w:rPr>
                <w:w w:val="99"/>
                <w:sz w:val="14"/>
              </w:rPr>
              <w:t>Y</w:t>
            </w:r>
          </w:p>
        </w:tc>
        <w:tc>
          <w:tcPr>
            <w:tcW w:w="973" w:type="dxa"/>
            <w:tcBorders>
              <w:top w:val="single" w:sz="4" w:space="0" w:color="000000"/>
              <w:left w:val="single" w:sz="4" w:space="0" w:color="000000"/>
              <w:bottom w:val="single" w:sz="12" w:space="0" w:color="000000"/>
              <w:right w:val="single" w:sz="4" w:space="0" w:color="000000"/>
            </w:tcBorders>
          </w:tcPr>
          <w:p>
            <w:pPr>
              <w:pStyle w:val="TableParagraph"/>
              <w:spacing w:line="140" w:lineRule="exact" w:before="19"/>
              <w:ind w:right="91"/>
              <w:jc w:val="right"/>
              <w:rPr>
                <w:sz w:val="14"/>
              </w:rPr>
            </w:pPr>
            <w:r>
              <w:rPr>
                <w:spacing w:val="-2"/>
                <w:sz w:val="14"/>
              </w:rPr>
              <w:t>490.00</w:t>
            </w:r>
          </w:p>
        </w:tc>
        <w:tc>
          <w:tcPr>
            <w:tcW w:w="1199" w:type="dxa"/>
            <w:tcBorders>
              <w:top w:val="single" w:sz="4" w:space="0" w:color="000000"/>
              <w:left w:val="single" w:sz="4" w:space="0" w:color="000000"/>
              <w:bottom w:val="single" w:sz="12" w:space="0" w:color="000000"/>
              <w:right w:val="single" w:sz="4" w:space="0" w:color="000000"/>
            </w:tcBorders>
          </w:tcPr>
          <w:p>
            <w:pPr>
              <w:pStyle w:val="TableParagraph"/>
              <w:spacing w:line="140" w:lineRule="exact" w:before="19"/>
              <w:ind w:right="93"/>
              <w:jc w:val="right"/>
              <w:rPr>
                <w:sz w:val="14"/>
              </w:rPr>
            </w:pPr>
            <w:r>
              <w:rPr>
                <w:spacing w:val="-2"/>
                <w:sz w:val="14"/>
              </w:rPr>
              <w:t>514.00</w:t>
            </w:r>
          </w:p>
        </w:tc>
        <w:tc>
          <w:tcPr>
            <w:tcW w:w="897" w:type="dxa"/>
            <w:tcBorders>
              <w:top w:val="single" w:sz="4" w:space="0" w:color="000000"/>
              <w:left w:val="single" w:sz="4" w:space="0" w:color="000000"/>
              <w:bottom w:val="single" w:sz="12" w:space="0" w:color="000000"/>
              <w:right w:val="single" w:sz="12" w:space="0" w:color="000000"/>
            </w:tcBorders>
          </w:tcPr>
          <w:p>
            <w:pPr>
              <w:pStyle w:val="TableParagraph"/>
              <w:spacing w:line="140" w:lineRule="exact" w:before="19"/>
              <w:ind w:left="95" w:right="79"/>
              <w:jc w:val="center"/>
              <w:rPr>
                <w:sz w:val="14"/>
              </w:rPr>
            </w:pPr>
            <w:r>
              <w:rPr>
                <w:spacing w:val="-5"/>
                <w:sz w:val="14"/>
              </w:rPr>
              <w:t>4.7</w:t>
            </w:r>
          </w:p>
        </w:tc>
      </w:tr>
    </w:tbl>
    <w:p>
      <w:pPr>
        <w:spacing w:after="0" w:line="140" w:lineRule="exact"/>
        <w:jc w:val="center"/>
        <w:rPr>
          <w:sz w:val="14"/>
        </w:rPr>
        <w:sectPr>
          <w:type w:val="continuous"/>
          <w:pgSz w:w="11910" w:h="16840"/>
          <w:pgMar w:header="0" w:footer="378" w:top="680" w:bottom="560" w:left="520" w:right="520"/>
        </w:sectPr>
      </w:pPr>
    </w:p>
    <w:p>
      <w:pPr>
        <w:pStyle w:val="BodyText"/>
        <w:rPr>
          <w:sz w:val="20"/>
        </w:rPr>
      </w:pPr>
      <w:r>
        <w:rPr/>
        <w:pict>
          <v:group style="position:absolute;margin-left:7.56pt;margin-top:9pt;width:584.2pt;height:827.3pt;mso-position-horizontal-relative:page;mso-position-vertical-relative:page;z-index:-37818880" id="docshapegroup711" coordorigin="151,180" coordsize="11684,16546">
            <v:rect style="position:absolute;left:10663;top:15945;width:264;height:183" id="docshape712" filled="true" fillcolor="#e6e6e6" stroked="false">
              <v:fill type="solid"/>
            </v:rect>
            <v:shape style="position:absolute;left:151;top:180;width:11684;height:16546" type="#_x0000_t75" id="docshape713" stroked="false">
              <v:imagedata r:id="rId29"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spacing w:before="95"/>
        <w:ind w:left="6346" w:right="0" w:firstLine="0"/>
        <w:jc w:val="left"/>
        <w:rPr>
          <w:b/>
          <w:sz w:val="16"/>
        </w:rPr>
      </w:pPr>
      <w:r>
        <w:rPr>
          <w:sz w:val="16"/>
        </w:rPr>
        <w:t>MAROONDAH</w:t>
      </w:r>
      <w:r>
        <w:rPr>
          <w:spacing w:val="-5"/>
          <w:sz w:val="16"/>
        </w:rPr>
        <w:t> </w:t>
      </w:r>
      <w:r>
        <w:rPr>
          <w:sz w:val="16"/>
        </w:rPr>
        <w:t>CITY COUNCIL</w:t>
      </w:r>
      <w:r>
        <w:rPr>
          <w:spacing w:val="-5"/>
          <w:sz w:val="16"/>
        </w:rPr>
        <w:t> </w:t>
      </w:r>
      <w:r>
        <w:rPr>
          <w:sz w:val="16"/>
        </w:rPr>
        <w:t>-</w:t>
      </w:r>
      <w:r>
        <w:rPr>
          <w:spacing w:val="-4"/>
          <w:sz w:val="16"/>
        </w:rPr>
        <w:t> </w:t>
      </w:r>
      <w:r>
        <w:rPr>
          <w:sz w:val="16"/>
        </w:rPr>
        <w:t>BUDGET</w:t>
      </w:r>
      <w:r>
        <w:rPr>
          <w:spacing w:val="-2"/>
          <w:sz w:val="16"/>
        </w:rPr>
        <w:t> </w:t>
      </w:r>
      <w:r>
        <w:rPr>
          <w:sz w:val="16"/>
        </w:rPr>
        <w:t>2025/26|</w:t>
      </w:r>
      <w:r>
        <w:rPr>
          <w:spacing w:val="42"/>
          <w:sz w:val="16"/>
        </w:rPr>
        <w:t> </w:t>
      </w:r>
      <w:r>
        <w:rPr>
          <w:b/>
          <w:color w:val="2A569A"/>
          <w:spacing w:val="-5"/>
          <w:sz w:val="16"/>
        </w:rPr>
        <w:t>105</w:t>
      </w:r>
    </w:p>
    <w:sectPr>
      <w:footerReference w:type="default" r:id="rId28"/>
      <w:pgSz w:w="11910" w:h="16840"/>
      <w:pgMar w:footer="0" w:header="0" w:top="1920" w:bottom="280" w:left="520" w:right="5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Calibri">
    <w:altName w:val="Calibri"/>
    <w:charset w:val="0"/>
    <w:family w:val="swiss"/>
    <w:pitch w:val="variable"/>
  </w:font>
  <w:font w:name="Symbol">
    <w:altName w:val="Symbol"/>
    <w:charset w:val="2"/>
    <w:family w:val="roman"/>
    <w:pitch w:val="variable"/>
  </w:font>
  <w:font w:name="Arial Narrow">
    <w:altName w:val="Arial Narrow"/>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55pt;margin-top:812.880005pt;width:4.320007pt;height:9.120025pt;mso-position-horizontal-relative:page;mso-position-vertical-relative:page;z-index:-38047232" id="docshape4" filled="true" fillcolor="#e6e6e6" stroked="false">
          <v:fill type="solid"/>
          <w10:wrap type="none"/>
        </v:rect>
      </w:pict>
    </w:r>
    <w:r>
      <w:rPr/>
      <w:pict>
        <v:shapetype id="_x0000_t202" o:spt="202" coordsize="21600,21600" path="m,l,21600r21600,l21600,xe">
          <v:stroke joinstyle="miter"/>
          <v:path gradientshapeok="t" o:connecttype="rect"/>
        </v:shapetype>
        <v:shape style="position:absolute;margin-left:364.160004pt;margin-top:812.041321pt;width:199.35pt;height:11pt;mso-position-horizontal-relative:page;mso-position-vertical-relative:page;z-index:-38046720" type="#_x0000_t202" id="docshape5" filled="false" stroked="false">
          <v:textbox inset="0,0,0,0">
            <w:txbxContent>
              <w:p>
                <w:pPr>
                  <w:spacing w:before="15"/>
                  <w:ind w:left="20" w:right="0" w:firstLine="0"/>
                  <w:jc w:val="left"/>
                  <w:rPr>
                    <w:b/>
                    <w:sz w:val="16"/>
                  </w:rPr>
                </w:pPr>
                <w:r>
                  <w:rPr>
                    <w:sz w:val="16"/>
                  </w:rPr>
                  <w:t>MAROONDAH</w:t>
                </w:r>
                <w:r>
                  <w:rPr>
                    <w:spacing w:val="-5"/>
                    <w:sz w:val="16"/>
                  </w:rPr>
                  <w:t> </w:t>
                </w:r>
                <w:r>
                  <w:rPr>
                    <w:sz w:val="16"/>
                  </w:rPr>
                  <w:t>CITY COUNCIL</w:t>
                </w:r>
                <w:r>
                  <w:rPr>
                    <w:spacing w:val="-5"/>
                    <w:sz w:val="16"/>
                  </w:rPr>
                  <w:t> </w:t>
                </w:r>
                <w:r>
                  <w:rPr>
                    <w:sz w:val="16"/>
                  </w:rPr>
                  <w:t>-</w:t>
                </w:r>
                <w:r>
                  <w:rPr>
                    <w:spacing w:val="-4"/>
                    <w:sz w:val="16"/>
                  </w:rPr>
                  <w:t> </w:t>
                </w:r>
                <w:r>
                  <w:rPr>
                    <w:sz w:val="16"/>
                  </w:rPr>
                  <w:t>BUDGET</w:t>
                </w:r>
                <w:r>
                  <w:rPr>
                    <w:spacing w:val="-2"/>
                    <w:sz w:val="16"/>
                  </w:rPr>
                  <w:t> </w:t>
                </w:r>
                <w:r>
                  <w:rPr>
                    <w:sz w:val="16"/>
                  </w:rPr>
                  <w:t>2025/26|</w:t>
                </w:r>
                <w:r>
                  <w:rPr>
                    <w:spacing w:val="42"/>
                    <w:sz w:val="16"/>
                  </w:rPr>
                  <w:t> </w:t>
                </w:r>
                <w:r>
                  <w:rPr>
                    <w:b/>
                    <w:color w:val="2A569A"/>
                    <w:spacing w:val="-10"/>
                    <w:sz w:val="16"/>
                  </w:rPr>
                  <w:fldChar w:fldCharType="begin"/>
                </w:r>
                <w:r>
                  <w:rPr>
                    <w:b/>
                    <w:color w:val="2A569A"/>
                    <w:spacing w:val="-10"/>
                    <w:sz w:val="16"/>
                  </w:rPr>
                  <w:instrText> PAGE </w:instrText>
                </w:r>
                <w:r>
                  <w:rPr>
                    <w:b/>
                    <w:color w:val="2A569A"/>
                    <w:spacing w:val="-10"/>
                    <w:sz w:val="16"/>
                  </w:rPr>
                  <w:fldChar w:fldCharType="separate"/>
                </w:r>
                <w:r>
                  <w:rPr>
                    <w:b/>
                    <w:color w:val="2A569A"/>
                    <w:spacing w:val="-10"/>
                    <w:sz w:val="16"/>
                  </w:rPr>
                  <w:t>2</w:t>
                </w:r>
                <w:r>
                  <w:rPr>
                    <w:b/>
                    <w:color w:val="2A569A"/>
                    <w:spacing w:val="-10"/>
                    <w:sz w:val="16"/>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55pt;margin-top:812.880005pt;width:4.320007pt;height:9.120025pt;mso-position-horizontal-relative:page;mso-position-vertical-relative:page;z-index:-38046208" id="docshape6" filled="true" fillcolor="#e6e6e6" stroked="false">
          <v:fill type="solid"/>
          <w10:wrap type="none"/>
        </v:rect>
      </w:pict>
    </w:r>
    <w:r>
      <w:rPr/>
      <w:pict>
        <v:shape style="position:absolute;margin-left:364.160004pt;margin-top:812.041321pt;width:199.35pt;height:11pt;mso-position-horizontal-relative:page;mso-position-vertical-relative:page;z-index:-38045696" type="#_x0000_t202" id="docshape7" filled="false" stroked="false">
          <v:textbox inset="0,0,0,0">
            <w:txbxContent>
              <w:p>
                <w:pPr>
                  <w:spacing w:before="15"/>
                  <w:ind w:left="20" w:right="0" w:firstLine="0"/>
                  <w:jc w:val="left"/>
                  <w:rPr>
                    <w:b/>
                    <w:sz w:val="16"/>
                  </w:rPr>
                </w:pPr>
                <w:r>
                  <w:rPr>
                    <w:sz w:val="16"/>
                  </w:rPr>
                  <w:t>MAROONDAH</w:t>
                </w:r>
                <w:r>
                  <w:rPr>
                    <w:spacing w:val="-5"/>
                    <w:sz w:val="16"/>
                  </w:rPr>
                  <w:t> </w:t>
                </w:r>
                <w:r>
                  <w:rPr>
                    <w:sz w:val="16"/>
                  </w:rPr>
                  <w:t>CITY COUNCIL</w:t>
                </w:r>
                <w:r>
                  <w:rPr>
                    <w:spacing w:val="-5"/>
                    <w:sz w:val="16"/>
                  </w:rPr>
                  <w:t> </w:t>
                </w:r>
                <w:r>
                  <w:rPr>
                    <w:sz w:val="16"/>
                  </w:rPr>
                  <w:t>-</w:t>
                </w:r>
                <w:r>
                  <w:rPr>
                    <w:spacing w:val="-4"/>
                    <w:sz w:val="16"/>
                  </w:rPr>
                  <w:t> </w:t>
                </w:r>
                <w:r>
                  <w:rPr>
                    <w:sz w:val="16"/>
                  </w:rPr>
                  <w:t>BUDGET</w:t>
                </w:r>
                <w:r>
                  <w:rPr>
                    <w:spacing w:val="-2"/>
                    <w:sz w:val="16"/>
                  </w:rPr>
                  <w:t> </w:t>
                </w:r>
                <w:r>
                  <w:rPr>
                    <w:sz w:val="16"/>
                  </w:rPr>
                  <w:t>2025/26|</w:t>
                </w:r>
                <w:r>
                  <w:rPr>
                    <w:spacing w:val="42"/>
                    <w:sz w:val="16"/>
                  </w:rPr>
                  <w:t> </w:t>
                </w:r>
                <w:r>
                  <w:rPr>
                    <w:b/>
                    <w:color w:val="2A569A"/>
                    <w:spacing w:val="-10"/>
                    <w:sz w:val="16"/>
                  </w:rPr>
                  <w:fldChar w:fldCharType="begin"/>
                </w:r>
                <w:r>
                  <w:rPr>
                    <w:b/>
                    <w:color w:val="2A569A"/>
                    <w:spacing w:val="-10"/>
                    <w:sz w:val="16"/>
                  </w:rPr>
                  <w:instrText> PAGE </w:instrText>
                </w:r>
                <w:r>
                  <w:rPr>
                    <w:b/>
                    <w:color w:val="2A569A"/>
                    <w:spacing w:val="-10"/>
                    <w:sz w:val="16"/>
                  </w:rPr>
                  <w:fldChar w:fldCharType="separate"/>
                </w:r>
                <w:r>
                  <w:rPr>
                    <w:b/>
                    <w:color w:val="2A569A"/>
                    <w:spacing w:val="-10"/>
                    <w:sz w:val="16"/>
                  </w:rPr>
                  <w:t>6</w:t>
                </w:r>
                <w:r>
                  <w:rPr>
                    <w:b/>
                    <w:color w:val="2A569A"/>
                    <w:spacing w:val="-10"/>
                    <w:sz w:val="16"/>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9.720001pt;margin-top:812.041321pt;width:203.75pt;height:11pt;mso-position-horizontal-relative:page;mso-position-vertical-relative:page;z-index:-38045184" type="#_x0000_t202" id="docshape9" filled="false" stroked="false">
          <v:textbox inset="0,0,0,0">
            <w:txbxContent>
              <w:p>
                <w:pPr>
                  <w:spacing w:before="15"/>
                  <w:ind w:left="20" w:right="0" w:firstLine="0"/>
                  <w:jc w:val="left"/>
                  <w:rPr>
                    <w:b/>
                    <w:sz w:val="16"/>
                  </w:rPr>
                </w:pPr>
                <w:r>
                  <w:rPr>
                    <w:sz w:val="16"/>
                  </w:rPr>
                  <w:t>MAROONDAH</w:t>
                </w:r>
                <w:r>
                  <w:rPr>
                    <w:spacing w:val="-5"/>
                    <w:sz w:val="16"/>
                  </w:rPr>
                  <w:t> </w:t>
                </w:r>
                <w:r>
                  <w:rPr>
                    <w:sz w:val="16"/>
                  </w:rPr>
                  <w:t>CITY COUNCIL</w:t>
                </w:r>
                <w:r>
                  <w:rPr>
                    <w:spacing w:val="-5"/>
                    <w:sz w:val="16"/>
                  </w:rPr>
                  <w:t> </w:t>
                </w:r>
                <w:r>
                  <w:rPr>
                    <w:sz w:val="16"/>
                  </w:rPr>
                  <w:t>-</w:t>
                </w:r>
                <w:r>
                  <w:rPr>
                    <w:spacing w:val="-4"/>
                    <w:sz w:val="16"/>
                  </w:rPr>
                  <w:t> </w:t>
                </w:r>
                <w:r>
                  <w:rPr>
                    <w:sz w:val="16"/>
                  </w:rPr>
                  <w:t>BUDGET</w:t>
                </w:r>
                <w:r>
                  <w:rPr>
                    <w:spacing w:val="-2"/>
                    <w:sz w:val="16"/>
                  </w:rPr>
                  <w:t> </w:t>
                </w:r>
                <w:r>
                  <w:rPr>
                    <w:sz w:val="16"/>
                  </w:rPr>
                  <w:t>2025/26|</w:t>
                </w:r>
                <w:r>
                  <w:rPr>
                    <w:spacing w:val="42"/>
                    <w:sz w:val="16"/>
                  </w:rPr>
                  <w:t> </w:t>
                </w:r>
                <w:r>
                  <w:rPr>
                    <w:b/>
                    <w:color w:val="2A569A"/>
                    <w:spacing w:val="-5"/>
                    <w:sz w:val="16"/>
                    <w:shd w:fill="E6E6E6" w:color="auto" w:val="clear"/>
                  </w:rPr>
                  <w:fldChar w:fldCharType="begin"/>
                </w:r>
                <w:r>
                  <w:rPr>
                    <w:b/>
                    <w:color w:val="2A569A"/>
                    <w:spacing w:val="-5"/>
                    <w:sz w:val="16"/>
                    <w:shd w:fill="E6E6E6" w:color="auto" w:val="clear"/>
                  </w:rPr>
                  <w:instrText> PAGE </w:instrText>
                </w:r>
                <w:r>
                  <w:rPr>
                    <w:b/>
                    <w:color w:val="2A569A"/>
                    <w:spacing w:val="-5"/>
                    <w:sz w:val="16"/>
                    <w:shd w:fill="E6E6E6" w:color="auto" w:val="clear"/>
                  </w:rPr>
                  <w:fldChar w:fldCharType="separate"/>
                </w:r>
                <w:r>
                  <w:rPr>
                    <w:b/>
                    <w:color w:val="2A569A"/>
                    <w:spacing w:val="-5"/>
                    <w:sz w:val="16"/>
                    <w:shd w:fill="E6E6E6" w:color="auto" w:val="clear"/>
                  </w:rPr>
                  <w:t>10</w:t>
                </w:r>
                <w:r>
                  <w:rPr>
                    <w:b/>
                    <w:color w:val="2A569A"/>
                    <w:spacing w:val="-5"/>
                    <w:sz w:val="16"/>
                    <w:shd w:fill="E6E6E6" w:color="auto" w:val="clea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7.399994pt;margin-top:812.161377pt;width:203.75pt;height:11pt;mso-position-horizontal-relative:page;mso-position-vertical-relative:page;z-index:-38044672" type="#_x0000_t202" id="docshape10" filled="false" stroked="false">
          <v:textbox inset="0,0,0,0">
            <w:txbxContent>
              <w:p>
                <w:pPr>
                  <w:spacing w:before="15"/>
                  <w:ind w:left="20" w:right="0" w:firstLine="0"/>
                  <w:jc w:val="left"/>
                  <w:rPr>
                    <w:b/>
                    <w:sz w:val="16"/>
                  </w:rPr>
                </w:pPr>
                <w:r>
                  <w:rPr>
                    <w:sz w:val="16"/>
                  </w:rPr>
                  <w:t>MAROONDAH</w:t>
                </w:r>
                <w:r>
                  <w:rPr>
                    <w:spacing w:val="-5"/>
                    <w:sz w:val="16"/>
                  </w:rPr>
                  <w:t> </w:t>
                </w:r>
                <w:r>
                  <w:rPr>
                    <w:sz w:val="16"/>
                  </w:rPr>
                  <w:t>CITY COUNCIL</w:t>
                </w:r>
                <w:r>
                  <w:rPr>
                    <w:spacing w:val="-5"/>
                    <w:sz w:val="16"/>
                  </w:rPr>
                  <w:t> </w:t>
                </w:r>
                <w:r>
                  <w:rPr>
                    <w:sz w:val="16"/>
                  </w:rPr>
                  <w:t>-</w:t>
                </w:r>
                <w:r>
                  <w:rPr>
                    <w:spacing w:val="-4"/>
                    <w:sz w:val="16"/>
                  </w:rPr>
                  <w:t> </w:t>
                </w:r>
                <w:r>
                  <w:rPr>
                    <w:sz w:val="16"/>
                  </w:rPr>
                  <w:t>BUDGET</w:t>
                </w:r>
                <w:r>
                  <w:rPr>
                    <w:spacing w:val="-2"/>
                    <w:sz w:val="16"/>
                  </w:rPr>
                  <w:t> </w:t>
                </w:r>
                <w:r>
                  <w:rPr>
                    <w:sz w:val="16"/>
                  </w:rPr>
                  <w:t>2025/26|</w:t>
                </w:r>
                <w:r>
                  <w:rPr>
                    <w:spacing w:val="42"/>
                    <w:sz w:val="16"/>
                  </w:rPr>
                  <w:t> </w:t>
                </w:r>
                <w:r>
                  <w:rPr>
                    <w:b/>
                    <w:color w:val="2A569A"/>
                    <w:spacing w:val="-5"/>
                    <w:sz w:val="16"/>
                    <w:shd w:fill="E6E6E6" w:color="auto" w:val="clear"/>
                  </w:rPr>
                  <w:fldChar w:fldCharType="begin"/>
                </w:r>
                <w:r>
                  <w:rPr>
                    <w:b/>
                    <w:color w:val="2A569A"/>
                    <w:spacing w:val="-5"/>
                    <w:sz w:val="16"/>
                    <w:shd w:fill="E6E6E6" w:color="auto" w:val="clear"/>
                  </w:rPr>
                  <w:instrText> PAGE </w:instrText>
                </w:r>
                <w:r>
                  <w:rPr>
                    <w:b/>
                    <w:color w:val="2A569A"/>
                    <w:spacing w:val="-5"/>
                    <w:sz w:val="16"/>
                    <w:shd w:fill="E6E6E6" w:color="auto" w:val="clear"/>
                  </w:rPr>
                  <w:fldChar w:fldCharType="separate"/>
                </w:r>
                <w:r>
                  <w:rPr>
                    <w:b/>
                    <w:color w:val="2A569A"/>
                    <w:spacing w:val="-5"/>
                    <w:sz w:val="16"/>
                    <w:shd w:fill="E6E6E6" w:color="auto" w:val="clear"/>
                  </w:rPr>
                  <w:t>15</w:t>
                </w:r>
                <w:r>
                  <w:rPr>
                    <w:b/>
                    <w:color w:val="2A569A"/>
                    <w:spacing w:val="-5"/>
                    <w:sz w:val="16"/>
                    <w:shd w:fill="E6E6E6" w:color="auto" w:val="clea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3.679993pt;margin-top:565.561890pt;width:207.7pt;height:11pt;mso-position-horizontal-relative:page;mso-position-vertical-relative:page;z-index:-38044160" type="#_x0000_t202" id="docshape26" filled="false" stroked="false">
          <v:textbox inset="0,0,0,0">
            <w:txbxContent>
              <w:p>
                <w:pPr>
                  <w:spacing w:before="15"/>
                  <w:ind w:left="20" w:right="0" w:firstLine="0"/>
                  <w:jc w:val="left"/>
                  <w:rPr>
                    <w:b/>
                    <w:sz w:val="16"/>
                  </w:rPr>
                </w:pPr>
                <w:r>
                  <w:rPr>
                    <w:sz w:val="16"/>
                  </w:rPr>
                  <w:t>MAROONDAH</w:t>
                </w:r>
                <w:r>
                  <w:rPr>
                    <w:spacing w:val="-4"/>
                    <w:sz w:val="16"/>
                  </w:rPr>
                  <w:t> </w:t>
                </w:r>
                <w:r>
                  <w:rPr>
                    <w:sz w:val="16"/>
                  </w:rPr>
                  <w:t>CITY COUNCIL</w:t>
                </w:r>
                <w:r>
                  <w:rPr>
                    <w:spacing w:val="-4"/>
                    <w:sz w:val="16"/>
                  </w:rPr>
                  <w:t> </w:t>
                </w:r>
                <w:r>
                  <w:rPr>
                    <w:sz w:val="16"/>
                  </w:rPr>
                  <w:t>–</w:t>
                </w:r>
                <w:r>
                  <w:rPr>
                    <w:spacing w:val="-4"/>
                    <w:sz w:val="16"/>
                  </w:rPr>
                  <w:t> </w:t>
                </w:r>
                <w:r>
                  <w:rPr>
                    <w:sz w:val="16"/>
                  </w:rPr>
                  <w:t>BUDGET</w:t>
                </w:r>
                <w:r>
                  <w:rPr>
                    <w:spacing w:val="-4"/>
                    <w:sz w:val="16"/>
                  </w:rPr>
                  <w:t> </w:t>
                </w:r>
                <w:r>
                  <w:rPr>
                    <w:sz w:val="16"/>
                  </w:rPr>
                  <w:t>2025/26 |</w:t>
                </w:r>
                <w:r>
                  <w:rPr>
                    <w:spacing w:val="39"/>
                    <w:sz w:val="16"/>
                  </w:rPr>
                  <w:t> </w:t>
                </w:r>
                <w:r>
                  <w:rPr>
                    <w:b/>
                    <w:color w:val="2A569A"/>
                    <w:spacing w:val="-5"/>
                    <w:sz w:val="16"/>
                    <w:shd w:fill="E6E6E6" w:color="auto" w:val="clear"/>
                  </w:rPr>
                  <w:fldChar w:fldCharType="begin"/>
                </w:r>
                <w:r>
                  <w:rPr>
                    <w:b/>
                    <w:color w:val="2A569A"/>
                    <w:spacing w:val="-5"/>
                    <w:sz w:val="16"/>
                    <w:shd w:fill="E6E6E6" w:color="auto" w:val="clear"/>
                  </w:rPr>
                  <w:instrText> PAGE </w:instrText>
                </w:r>
                <w:r>
                  <w:rPr>
                    <w:b/>
                    <w:color w:val="2A569A"/>
                    <w:spacing w:val="-5"/>
                    <w:sz w:val="16"/>
                    <w:shd w:fill="E6E6E6" w:color="auto" w:val="clear"/>
                  </w:rPr>
                  <w:fldChar w:fldCharType="separate"/>
                </w:r>
                <w:r>
                  <w:rPr>
                    <w:b/>
                    <w:color w:val="2A569A"/>
                    <w:spacing w:val="-5"/>
                    <w:sz w:val="16"/>
                    <w:shd w:fill="E6E6E6" w:color="auto" w:val="clear"/>
                  </w:rPr>
                  <w:t>69</w:t>
                </w:r>
                <w:r>
                  <w:rPr>
                    <w:b/>
                    <w:color w:val="2A569A"/>
                    <w:spacing w:val="-5"/>
                    <w:sz w:val="16"/>
                    <w:shd w:fill="E6E6E6" w:color="auto" w:val="clea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76001pt;margin-top:812.041321pt;width:200.75pt;height:11pt;mso-position-horizontal-relative:page;mso-position-vertical-relative:page;z-index:-38043648" type="#_x0000_t202" id="docshape709" filled="false" stroked="false">
          <v:textbox inset="0,0,0,0">
            <w:txbxContent>
              <w:p>
                <w:pPr>
                  <w:spacing w:before="15"/>
                  <w:ind w:left="20" w:right="0" w:firstLine="0"/>
                  <w:jc w:val="left"/>
                  <w:rPr>
                    <w:b/>
                    <w:sz w:val="16"/>
                  </w:rPr>
                </w:pPr>
                <w:r>
                  <w:rPr>
                    <w:sz w:val="16"/>
                  </w:rPr>
                  <w:t>MAROONDAH</w:t>
                </w:r>
                <w:r>
                  <w:rPr>
                    <w:spacing w:val="-5"/>
                    <w:sz w:val="16"/>
                  </w:rPr>
                  <w:t> </w:t>
                </w:r>
                <w:r>
                  <w:rPr>
                    <w:sz w:val="16"/>
                  </w:rPr>
                  <w:t>CITY COUNCIL</w:t>
                </w:r>
                <w:r>
                  <w:rPr>
                    <w:spacing w:val="-5"/>
                    <w:sz w:val="16"/>
                  </w:rPr>
                  <w:t> </w:t>
                </w:r>
                <w:r>
                  <w:rPr>
                    <w:sz w:val="16"/>
                  </w:rPr>
                  <w:t>-</w:t>
                </w:r>
                <w:r>
                  <w:rPr>
                    <w:spacing w:val="-4"/>
                    <w:sz w:val="16"/>
                  </w:rPr>
                  <w:t> </w:t>
                </w:r>
                <w:r>
                  <w:rPr>
                    <w:sz w:val="16"/>
                  </w:rPr>
                  <w:t>BUDGET</w:t>
                </w:r>
                <w:r>
                  <w:rPr>
                    <w:spacing w:val="-2"/>
                    <w:sz w:val="16"/>
                  </w:rPr>
                  <w:t> </w:t>
                </w:r>
                <w:r>
                  <w:rPr>
                    <w:sz w:val="16"/>
                  </w:rPr>
                  <w:t>2025/26|</w:t>
                </w:r>
                <w:r>
                  <w:rPr>
                    <w:spacing w:val="42"/>
                    <w:sz w:val="16"/>
                  </w:rPr>
                  <w:t> </w:t>
                </w:r>
                <w:r>
                  <w:rPr>
                    <w:b/>
                    <w:color w:val="2A569A"/>
                    <w:spacing w:val="-5"/>
                    <w:sz w:val="16"/>
                    <w:shd w:fill="E6E6E6" w:color="auto" w:val="clear"/>
                  </w:rPr>
                  <w:t>85</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2.519989pt;margin-top:812.041321pt;width:212.15pt;height:11pt;mso-position-horizontal-relative:page;mso-position-vertical-relative:page;z-index:-38043136" type="#_x0000_t202" id="docshape710" filled="false" stroked="false">
          <v:textbox inset="0,0,0,0">
            <w:txbxContent>
              <w:p>
                <w:pPr>
                  <w:spacing w:before="15"/>
                  <w:ind w:left="20" w:right="0" w:firstLine="0"/>
                  <w:jc w:val="left"/>
                  <w:rPr>
                    <w:b/>
                    <w:sz w:val="16"/>
                  </w:rPr>
                </w:pPr>
                <w:r>
                  <w:rPr>
                    <w:sz w:val="16"/>
                  </w:rPr>
                  <w:t>MAROONDAH</w:t>
                </w:r>
                <w:r>
                  <w:rPr>
                    <w:spacing w:val="-4"/>
                    <w:sz w:val="16"/>
                  </w:rPr>
                  <w:t> </w:t>
                </w:r>
                <w:r>
                  <w:rPr>
                    <w:sz w:val="16"/>
                  </w:rPr>
                  <w:t>CITY COUNCIL</w:t>
                </w:r>
                <w:r>
                  <w:rPr>
                    <w:spacing w:val="-4"/>
                    <w:sz w:val="16"/>
                  </w:rPr>
                  <w:t> </w:t>
                </w:r>
                <w:r>
                  <w:rPr>
                    <w:sz w:val="16"/>
                  </w:rPr>
                  <w:t>–</w:t>
                </w:r>
                <w:r>
                  <w:rPr>
                    <w:spacing w:val="-4"/>
                    <w:sz w:val="16"/>
                  </w:rPr>
                  <w:t> </w:t>
                </w:r>
                <w:r>
                  <w:rPr>
                    <w:sz w:val="16"/>
                  </w:rPr>
                  <w:t>BUDGET</w:t>
                </w:r>
                <w:r>
                  <w:rPr>
                    <w:spacing w:val="-4"/>
                    <w:sz w:val="16"/>
                  </w:rPr>
                  <w:t> </w:t>
                </w:r>
                <w:r>
                  <w:rPr>
                    <w:sz w:val="16"/>
                  </w:rPr>
                  <w:t>2025/26</w:t>
                </w:r>
                <w:r>
                  <w:rPr>
                    <w:spacing w:val="-2"/>
                    <w:sz w:val="16"/>
                  </w:rPr>
                  <w:t> </w:t>
                </w:r>
                <w:r>
                  <w:rPr>
                    <w:sz w:val="16"/>
                  </w:rPr>
                  <w:t>|</w:t>
                </w:r>
                <w:r>
                  <w:rPr>
                    <w:spacing w:val="40"/>
                    <w:sz w:val="16"/>
                  </w:rPr>
                  <w:t> </w:t>
                </w:r>
                <w:r>
                  <w:rPr>
                    <w:b/>
                    <w:color w:val="2A569A"/>
                    <w:spacing w:val="-5"/>
                    <w:sz w:val="16"/>
                    <w:shd w:fill="E6E6E6" w:color="auto" w:val="clear"/>
                  </w:rPr>
                  <w:fldChar w:fldCharType="begin"/>
                </w:r>
                <w:r>
                  <w:rPr>
                    <w:b/>
                    <w:color w:val="2A569A"/>
                    <w:spacing w:val="-5"/>
                    <w:sz w:val="16"/>
                    <w:shd w:fill="E6E6E6" w:color="auto" w:val="clear"/>
                  </w:rPr>
                  <w:instrText> PAGE </w:instrText>
                </w:r>
                <w:r>
                  <w:rPr>
                    <w:b/>
                    <w:color w:val="2A569A"/>
                    <w:spacing w:val="-5"/>
                    <w:sz w:val="16"/>
                    <w:shd w:fill="E6E6E6" w:color="auto" w:val="clear"/>
                  </w:rPr>
                  <w:fldChar w:fldCharType="separate"/>
                </w:r>
                <w:r>
                  <w:rPr>
                    <w:b/>
                    <w:color w:val="2A569A"/>
                    <w:spacing w:val="-5"/>
                    <w:sz w:val="16"/>
                    <w:shd w:fill="E6E6E6" w:color="auto" w:val="clear"/>
                  </w:rPr>
                  <w:t>100</w:t>
                </w:r>
                <w:r>
                  <w:rPr>
                    <w:b/>
                    <w:color w:val="2A569A"/>
                    <w:spacing w:val="-5"/>
                    <w:sz w:val="16"/>
                    <w:shd w:fill="E6E6E6" w:color="auto" w:val="clea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1">
    <w:multiLevelType w:val="hybridMultilevel"/>
    <w:lvl w:ilvl="0">
      <w:start w:val="1"/>
      <w:numFmt w:val="decimal"/>
      <w:lvlText w:val="%1"/>
      <w:lvlJc w:val="left"/>
      <w:pPr>
        <w:ind w:left="686" w:hanging="567"/>
        <w:jc w:val="left"/>
      </w:pPr>
      <w:rPr>
        <w:rFonts w:hint="default"/>
        <w:w w:val="100"/>
        <w:lang w:val="en-US" w:eastAsia="en-US" w:bidi="ar-SA"/>
      </w:rPr>
    </w:lvl>
    <w:lvl w:ilvl="1">
      <w:start w:val="0"/>
      <w:numFmt w:val="bullet"/>
      <w:lvlText w:val="•"/>
      <w:lvlJc w:val="left"/>
      <w:pPr>
        <w:ind w:left="2223" w:hanging="567"/>
      </w:pPr>
      <w:rPr>
        <w:rFonts w:hint="default"/>
        <w:lang w:val="en-US" w:eastAsia="en-US" w:bidi="ar-SA"/>
      </w:rPr>
    </w:lvl>
    <w:lvl w:ilvl="2">
      <w:start w:val="0"/>
      <w:numFmt w:val="bullet"/>
      <w:lvlText w:val="•"/>
      <w:lvlJc w:val="left"/>
      <w:pPr>
        <w:ind w:left="3767" w:hanging="567"/>
      </w:pPr>
      <w:rPr>
        <w:rFonts w:hint="default"/>
        <w:lang w:val="en-US" w:eastAsia="en-US" w:bidi="ar-SA"/>
      </w:rPr>
    </w:lvl>
    <w:lvl w:ilvl="3">
      <w:start w:val="0"/>
      <w:numFmt w:val="bullet"/>
      <w:lvlText w:val="•"/>
      <w:lvlJc w:val="left"/>
      <w:pPr>
        <w:ind w:left="5311" w:hanging="567"/>
      </w:pPr>
      <w:rPr>
        <w:rFonts w:hint="default"/>
        <w:lang w:val="en-US" w:eastAsia="en-US" w:bidi="ar-SA"/>
      </w:rPr>
    </w:lvl>
    <w:lvl w:ilvl="4">
      <w:start w:val="0"/>
      <w:numFmt w:val="bullet"/>
      <w:lvlText w:val="•"/>
      <w:lvlJc w:val="left"/>
      <w:pPr>
        <w:ind w:left="6855" w:hanging="567"/>
      </w:pPr>
      <w:rPr>
        <w:rFonts w:hint="default"/>
        <w:lang w:val="en-US" w:eastAsia="en-US" w:bidi="ar-SA"/>
      </w:rPr>
    </w:lvl>
    <w:lvl w:ilvl="5">
      <w:start w:val="0"/>
      <w:numFmt w:val="bullet"/>
      <w:lvlText w:val="•"/>
      <w:lvlJc w:val="left"/>
      <w:pPr>
        <w:ind w:left="8399" w:hanging="567"/>
      </w:pPr>
      <w:rPr>
        <w:rFonts w:hint="default"/>
        <w:lang w:val="en-US" w:eastAsia="en-US" w:bidi="ar-SA"/>
      </w:rPr>
    </w:lvl>
    <w:lvl w:ilvl="6">
      <w:start w:val="0"/>
      <w:numFmt w:val="bullet"/>
      <w:lvlText w:val="•"/>
      <w:lvlJc w:val="left"/>
      <w:pPr>
        <w:ind w:left="9943" w:hanging="567"/>
      </w:pPr>
      <w:rPr>
        <w:rFonts w:hint="default"/>
        <w:lang w:val="en-US" w:eastAsia="en-US" w:bidi="ar-SA"/>
      </w:rPr>
    </w:lvl>
    <w:lvl w:ilvl="7">
      <w:start w:val="0"/>
      <w:numFmt w:val="bullet"/>
      <w:lvlText w:val="•"/>
      <w:lvlJc w:val="left"/>
      <w:pPr>
        <w:ind w:left="11486" w:hanging="567"/>
      </w:pPr>
      <w:rPr>
        <w:rFonts w:hint="default"/>
        <w:lang w:val="en-US" w:eastAsia="en-US" w:bidi="ar-SA"/>
      </w:rPr>
    </w:lvl>
    <w:lvl w:ilvl="8">
      <w:start w:val="0"/>
      <w:numFmt w:val="bullet"/>
      <w:lvlText w:val="•"/>
      <w:lvlJc w:val="left"/>
      <w:pPr>
        <w:ind w:left="13030" w:hanging="567"/>
      </w:pPr>
      <w:rPr>
        <w:rFonts w:hint="default"/>
        <w:lang w:val="en-US" w:eastAsia="en-US" w:bidi="ar-SA"/>
      </w:rPr>
    </w:lvl>
  </w:abstractNum>
  <w:abstractNum w:abstractNumId="70">
    <w:multiLevelType w:val="hybridMultilevel"/>
    <w:lvl w:ilvl="0">
      <w:start w:val="5"/>
      <w:numFmt w:val="decimal"/>
      <w:lvlText w:val="%1."/>
      <w:lvlJc w:val="left"/>
      <w:pPr>
        <w:ind w:left="762" w:hanging="643"/>
        <w:jc w:val="right"/>
      </w:pPr>
      <w:rPr>
        <w:rFonts w:hint="default" w:ascii="Arial" w:hAnsi="Arial" w:eastAsia="Arial" w:cs="Arial"/>
        <w:b/>
        <w:bCs/>
        <w:i w:val="0"/>
        <w:iCs w:val="0"/>
        <w:color w:val="4966AC"/>
        <w:w w:val="99"/>
        <w:sz w:val="32"/>
        <w:szCs w:val="32"/>
        <w:lang w:val="en-US" w:eastAsia="en-US" w:bidi="ar-SA"/>
      </w:rPr>
    </w:lvl>
    <w:lvl w:ilvl="1">
      <w:start w:val="0"/>
      <w:numFmt w:val="bullet"/>
      <w:lvlText w:val="•"/>
      <w:lvlJc w:val="left"/>
      <w:pPr>
        <w:ind w:left="2295" w:hanging="643"/>
      </w:pPr>
      <w:rPr>
        <w:rFonts w:hint="default"/>
        <w:lang w:val="en-US" w:eastAsia="en-US" w:bidi="ar-SA"/>
      </w:rPr>
    </w:lvl>
    <w:lvl w:ilvl="2">
      <w:start w:val="0"/>
      <w:numFmt w:val="bullet"/>
      <w:lvlText w:val="•"/>
      <w:lvlJc w:val="left"/>
      <w:pPr>
        <w:ind w:left="3831" w:hanging="643"/>
      </w:pPr>
      <w:rPr>
        <w:rFonts w:hint="default"/>
        <w:lang w:val="en-US" w:eastAsia="en-US" w:bidi="ar-SA"/>
      </w:rPr>
    </w:lvl>
    <w:lvl w:ilvl="3">
      <w:start w:val="0"/>
      <w:numFmt w:val="bullet"/>
      <w:lvlText w:val="•"/>
      <w:lvlJc w:val="left"/>
      <w:pPr>
        <w:ind w:left="5367" w:hanging="643"/>
      </w:pPr>
      <w:rPr>
        <w:rFonts w:hint="default"/>
        <w:lang w:val="en-US" w:eastAsia="en-US" w:bidi="ar-SA"/>
      </w:rPr>
    </w:lvl>
    <w:lvl w:ilvl="4">
      <w:start w:val="0"/>
      <w:numFmt w:val="bullet"/>
      <w:lvlText w:val="•"/>
      <w:lvlJc w:val="left"/>
      <w:pPr>
        <w:ind w:left="6903" w:hanging="643"/>
      </w:pPr>
      <w:rPr>
        <w:rFonts w:hint="default"/>
        <w:lang w:val="en-US" w:eastAsia="en-US" w:bidi="ar-SA"/>
      </w:rPr>
    </w:lvl>
    <w:lvl w:ilvl="5">
      <w:start w:val="0"/>
      <w:numFmt w:val="bullet"/>
      <w:lvlText w:val="•"/>
      <w:lvlJc w:val="left"/>
      <w:pPr>
        <w:ind w:left="8439" w:hanging="643"/>
      </w:pPr>
      <w:rPr>
        <w:rFonts w:hint="default"/>
        <w:lang w:val="en-US" w:eastAsia="en-US" w:bidi="ar-SA"/>
      </w:rPr>
    </w:lvl>
    <w:lvl w:ilvl="6">
      <w:start w:val="0"/>
      <w:numFmt w:val="bullet"/>
      <w:lvlText w:val="•"/>
      <w:lvlJc w:val="left"/>
      <w:pPr>
        <w:ind w:left="9975" w:hanging="643"/>
      </w:pPr>
      <w:rPr>
        <w:rFonts w:hint="default"/>
        <w:lang w:val="en-US" w:eastAsia="en-US" w:bidi="ar-SA"/>
      </w:rPr>
    </w:lvl>
    <w:lvl w:ilvl="7">
      <w:start w:val="0"/>
      <w:numFmt w:val="bullet"/>
      <w:lvlText w:val="•"/>
      <w:lvlJc w:val="left"/>
      <w:pPr>
        <w:ind w:left="11510" w:hanging="643"/>
      </w:pPr>
      <w:rPr>
        <w:rFonts w:hint="default"/>
        <w:lang w:val="en-US" w:eastAsia="en-US" w:bidi="ar-SA"/>
      </w:rPr>
    </w:lvl>
    <w:lvl w:ilvl="8">
      <w:start w:val="0"/>
      <w:numFmt w:val="bullet"/>
      <w:lvlText w:val="•"/>
      <w:lvlJc w:val="left"/>
      <w:pPr>
        <w:ind w:left="13046" w:hanging="643"/>
      </w:pPr>
      <w:rPr>
        <w:rFonts w:hint="default"/>
        <w:lang w:val="en-US" w:eastAsia="en-US" w:bidi="ar-SA"/>
      </w:rPr>
    </w:lvl>
  </w:abstractNum>
  <w:abstractNum w:abstractNumId="69">
    <w:multiLevelType w:val="hybridMultilevel"/>
    <w:lvl w:ilvl="0">
      <w:start w:val="4"/>
      <w:numFmt w:val="decimal"/>
      <w:lvlText w:val="%1"/>
      <w:lvlJc w:val="left"/>
      <w:pPr>
        <w:ind w:left="721" w:hanging="602"/>
        <w:jc w:val="left"/>
      </w:pPr>
      <w:rPr>
        <w:rFonts w:hint="default"/>
        <w:lang w:val="en-US" w:eastAsia="en-US" w:bidi="ar-SA"/>
      </w:rPr>
    </w:lvl>
    <w:lvl w:ilvl="1">
      <w:start w:val="5"/>
      <w:numFmt w:val="decimal"/>
      <w:lvlText w:val="%1.%2"/>
      <w:lvlJc w:val="left"/>
      <w:pPr>
        <w:ind w:left="721" w:hanging="602"/>
        <w:jc w:val="left"/>
      </w:pPr>
      <w:rPr>
        <w:rFonts w:hint="default"/>
        <w:lang w:val="en-US" w:eastAsia="en-US" w:bidi="ar-SA"/>
      </w:rPr>
    </w:lvl>
    <w:lvl w:ilvl="2">
      <w:start w:val="1"/>
      <w:numFmt w:val="decimal"/>
      <w:lvlText w:val="%1.%2.%3"/>
      <w:lvlJc w:val="left"/>
      <w:pPr>
        <w:ind w:left="721" w:hanging="602"/>
        <w:jc w:val="left"/>
      </w:pPr>
      <w:rPr>
        <w:rFonts w:hint="default" w:ascii="Arial" w:hAnsi="Arial" w:eastAsia="Arial" w:cs="Arial"/>
        <w:b/>
        <w:bCs/>
        <w:i w:val="0"/>
        <w:iCs w:val="0"/>
        <w:color w:val="4966AC"/>
        <w:spacing w:val="-2"/>
        <w:w w:val="100"/>
        <w:sz w:val="24"/>
        <w:szCs w:val="24"/>
        <w:lang w:val="en-US" w:eastAsia="en-US" w:bidi="ar-SA"/>
      </w:rPr>
    </w:lvl>
    <w:lvl w:ilvl="3">
      <w:start w:val="0"/>
      <w:numFmt w:val="bullet"/>
      <w:lvlText w:val="•"/>
      <w:lvlJc w:val="left"/>
      <w:pPr>
        <w:ind w:left="5339" w:hanging="602"/>
      </w:pPr>
      <w:rPr>
        <w:rFonts w:hint="default"/>
        <w:lang w:val="en-US" w:eastAsia="en-US" w:bidi="ar-SA"/>
      </w:rPr>
    </w:lvl>
    <w:lvl w:ilvl="4">
      <w:start w:val="0"/>
      <w:numFmt w:val="bullet"/>
      <w:lvlText w:val="•"/>
      <w:lvlJc w:val="left"/>
      <w:pPr>
        <w:ind w:left="6879" w:hanging="602"/>
      </w:pPr>
      <w:rPr>
        <w:rFonts w:hint="default"/>
        <w:lang w:val="en-US" w:eastAsia="en-US" w:bidi="ar-SA"/>
      </w:rPr>
    </w:lvl>
    <w:lvl w:ilvl="5">
      <w:start w:val="0"/>
      <w:numFmt w:val="bullet"/>
      <w:lvlText w:val="•"/>
      <w:lvlJc w:val="left"/>
      <w:pPr>
        <w:ind w:left="8419" w:hanging="602"/>
      </w:pPr>
      <w:rPr>
        <w:rFonts w:hint="default"/>
        <w:lang w:val="en-US" w:eastAsia="en-US" w:bidi="ar-SA"/>
      </w:rPr>
    </w:lvl>
    <w:lvl w:ilvl="6">
      <w:start w:val="0"/>
      <w:numFmt w:val="bullet"/>
      <w:lvlText w:val="•"/>
      <w:lvlJc w:val="left"/>
      <w:pPr>
        <w:ind w:left="9959" w:hanging="602"/>
      </w:pPr>
      <w:rPr>
        <w:rFonts w:hint="default"/>
        <w:lang w:val="en-US" w:eastAsia="en-US" w:bidi="ar-SA"/>
      </w:rPr>
    </w:lvl>
    <w:lvl w:ilvl="7">
      <w:start w:val="0"/>
      <w:numFmt w:val="bullet"/>
      <w:lvlText w:val="•"/>
      <w:lvlJc w:val="left"/>
      <w:pPr>
        <w:ind w:left="11498" w:hanging="602"/>
      </w:pPr>
      <w:rPr>
        <w:rFonts w:hint="default"/>
        <w:lang w:val="en-US" w:eastAsia="en-US" w:bidi="ar-SA"/>
      </w:rPr>
    </w:lvl>
    <w:lvl w:ilvl="8">
      <w:start w:val="0"/>
      <w:numFmt w:val="bullet"/>
      <w:lvlText w:val="•"/>
      <w:lvlJc w:val="left"/>
      <w:pPr>
        <w:ind w:left="13038" w:hanging="602"/>
      </w:pPr>
      <w:rPr>
        <w:rFonts w:hint="default"/>
        <w:lang w:val="en-US" w:eastAsia="en-US" w:bidi="ar-SA"/>
      </w:rPr>
    </w:lvl>
  </w:abstractNum>
  <w:abstractNum w:abstractNumId="68">
    <w:multiLevelType w:val="hybridMultilevel"/>
    <w:lvl w:ilvl="0">
      <w:start w:val="4"/>
      <w:numFmt w:val="decimal"/>
      <w:lvlText w:val="%1"/>
      <w:lvlJc w:val="left"/>
      <w:pPr>
        <w:ind w:left="861" w:hanging="602"/>
        <w:jc w:val="left"/>
      </w:pPr>
      <w:rPr>
        <w:rFonts w:hint="default"/>
        <w:lang w:val="en-US" w:eastAsia="en-US" w:bidi="ar-SA"/>
      </w:rPr>
    </w:lvl>
    <w:lvl w:ilvl="1">
      <w:start w:val="4"/>
      <w:numFmt w:val="decimal"/>
      <w:lvlText w:val="%1.%2"/>
      <w:lvlJc w:val="left"/>
      <w:pPr>
        <w:ind w:left="861" w:hanging="602"/>
        <w:jc w:val="left"/>
      </w:pPr>
      <w:rPr>
        <w:rFonts w:hint="default"/>
        <w:lang w:val="en-US" w:eastAsia="en-US" w:bidi="ar-SA"/>
      </w:rPr>
    </w:lvl>
    <w:lvl w:ilvl="2">
      <w:start w:val="1"/>
      <w:numFmt w:val="decimal"/>
      <w:lvlText w:val="%1.%2.%3"/>
      <w:lvlJc w:val="left"/>
      <w:pPr>
        <w:ind w:left="861" w:hanging="602"/>
        <w:jc w:val="left"/>
      </w:pPr>
      <w:rPr>
        <w:rFonts w:hint="default" w:ascii="Arial" w:hAnsi="Arial" w:eastAsia="Arial" w:cs="Arial"/>
        <w:b/>
        <w:bCs/>
        <w:i w:val="0"/>
        <w:iCs w:val="0"/>
        <w:color w:val="4966AC"/>
        <w:spacing w:val="-2"/>
        <w:w w:val="100"/>
        <w:sz w:val="24"/>
        <w:szCs w:val="24"/>
        <w:lang w:val="en-US" w:eastAsia="en-US" w:bidi="ar-SA"/>
      </w:rPr>
    </w:lvl>
    <w:lvl w:ilvl="3">
      <w:start w:val="0"/>
      <w:numFmt w:val="bullet"/>
      <w:lvlText w:val="•"/>
      <w:lvlJc w:val="left"/>
      <w:pPr>
        <w:ind w:left="3987" w:hanging="602"/>
      </w:pPr>
      <w:rPr>
        <w:rFonts w:hint="default"/>
        <w:lang w:val="en-US" w:eastAsia="en-US" w:bidi="ar-SA"/>
      </w:rPr>
    </w:lvl>
    <w:lvl w:ilvl="4">
      <w:start w:val="0"/>
      <w:numFmt w:val="bullet"/>
      <w:lvlText w:val="•"/>
      <w:lvlJc w:val="left"/>
      <w:pPr>
        <w:ind w:left="5030" w:hanging="602"/>
      </w:pPr>
      <w:rPr>
        <w:rFonts w:hint="default"/>
        <w:lang w:val="en-US" w:eastAsia="en-US" w:bidi="ar-SA"/>
      </w:rPr>
    </w:lvl>
    <w:lvl w:ilvl="5">
      <w:start w:val="0"/>
      <w:numFmt w:val="bullet"/>
      <w:lvlText w:val="•"/>
      <w:lvlJc w:val="left"/>
      <w:pPr>
        <w:ind w:left="6073" w:hanging="602"/>
      </w:pPr>
      <w:rPr>
        <w:rFonts w:hint="default"/>
        <w:lang w:val="en-US" w:eastAsia="en-US" w:bidi="ar-SA"/>
      </w:rPr>
    </w:lvl>
    <w:lvl w:ilvl="6">
      <w:start w:val="0"/>
      <w:numFmt w:val="bullet"/>
      <w:lvlText w:val="•"/>
      <w:lvlJc w:val="left"/>
      <w:pPr>
        <w:ind w:left="7115" w:hanging="602"/>
      </w:pPr>
      <w:rPr>
        <w:rFonts w:hint="default"/>
        <w:lang w:val="en-US" w:eastAsia="en-US" w:bidi="ar-SA"/>
      </w:rPr>
    </w:lvl>
    <w:lvl w:ilvl="7">
      <w:start w:val="0"/>
      <w:numFmt w:val="bullet"/>
      <w:lvlText w:val="•"/>
      <w:lvlJc w:val="left"/>
      <w:pPr>
        <w:ind w:left="8158" w:hanging="602"/>
      </w:pPr>
      <w:rPr>
        <w:rFonts w:hint="default"/>
        <w:lang w:val="en-US" w:eastAsia="en-US" w:bidi="ar-SA"/>
      </w:rPr>
    </w:lvl>
    <w:lvl w:ilvl="8">
      <w:start w:val="0"/>
      <w:numFmt w:val="bullet"/>
      <w:lvlText w:val="•"/>
      <w:lvlJc w:val="left"/>
      <w:pPr>
        <w:ind w:left="9201" w:hanging="602"/>
      </w:pPr>
      <w:rPr>
        <w:rFonts w:hint="default"/>
        <w:lang w:val="en-US" w:eastAsia="en-US" w:bidi="ar-SA"/>
      </w:rPr>
    </w:lvl>
  </w:abstractNum>
  <w:abstractNum w:abstractNumId="67">
    <w:multiLevelType w:val="hybridMultilevel"/>
    <w:lvl w:ilvl="0">
      <w:start w:val="4"/>
      <w:numFmt w:val="decimal"/>
      <w:lvlText w:val="%1"/>
      <w:lvlJc w:val="left"/>
      <w:pPr>
        <w:ind w:left="861" w:hanging="602"/>
        <w:jc w:val="left"/>
      </w:pPr>
      <w:rPr>
        <w:rFonts w:hint="default"/>
        <w:lang w:val="en-US" w:eastAsia="en-US" w:bidi="ar-SA"/>
      </w:rPr>
    </w:lvl>
    <w:lvl w:ilvl="1">
      <w:start w:val="3"/>
      <w:numFmt w:val="decimal"/>
      <w:lvlText w:val="%1.%2"/>
      <w:lvlJc w:val="left"/>
      <w:pPr>
        <w:ind w:left="861" w:hanging="602"/>
        <w:jc w:val="left"/>
      </w:pPr>
      <w:rPr>
        <w:rFonts w:hint="default"/>
        <w:lang w:val="en-US" w:eastAsia="en-US" w:bidi="ar-SA"/>
      </w:rPr>
    </w:lvl>
    <w:lvl w:ilvl="2">
      <w:start w:val="1"/>
      <w:numFmt w:val="decimal"/>
      <w:lvlText w:val="%1.%2.%3"/>
      <w:lvlJc w:val="left"/>
      <w:pPr>
        <w:ind w:left="861" w:hanging="602"/>
        <w:jc w:val="left"/>
      </w:pPr>
      <w:rPr>
        <w:rFonts w:hint="default" w:ascii="Arial" w:hAnsi="Arial" w:eastAsia="Arial" w:cs="Arial"/>
        <w:b/>
        <w:bCs/>
        <w:i w:val="0"/>
        <w:iCs w:val="0"/>
        <w:color w:val="4966AC"/>
        <w:spacing w:val="-2"/>
        <w:w w:val="100"/>
        <w:sz w:val="24"/>
        <w:szCs w:val="24"/>
        <w:lang w:val="en-US" w:eastAsia="en-US" w:bidi="ar-SA"/>
      </w:rPr>
    </w:lvl>
    <w:lvl w:ilvl="3">
      <w:start w:val="0"/>
      <w:numFmt w:val="bullet"/>
      <w:lvlText w:val="•"/>
      <w:lvlJc w:val="left"/>
      <w:pPr>
        <w:ind w:left="3987" w:hanging="602"/>
      </w:pPr>
      <w:rPr>
        <w:rFonts w:hint="default"/>
        <w:lang w:val="en-US" w:eastAsia="en-US" w:bidi="ar-SA"/>
      </w:rPr>
    </w:lvl>
    <w:lvl w:ilvl="4">
      <w:start w:val="0"/>
      <w:numFmt w:val="bullet"/>
      <w:lvlText w:val="•"/>
      <w:lvlJc w:val="left"/>
      <w:pPr>
        <w:ind w:left="5030" w:hanging="602"/>
      </w:pPr>
      <w:rPr>
        <w:rFonts w:hint="default"/>
        <w:lang w:val="en-US" w:eastAsia="en-US" w:bidi="ar-SA"/>
      </w:rPr>
    </w:lvl>
    <w:lvl w:ilvl="5">
      <w:start w:val="0"/>
      <w:numFmt w:val="bullet"/>
      <w:lvlText w:val="•"/>
      <w:lvlJc w:val="left"/>
      <w:pPr>
        <w:ind w:left="6073" w:hanging="602"/>
      </w:pPr>
      <w:rPr>
        <w:rFonts w:hint="default"/>
        <w:lang w:val="en-US" w:eastAsia="en-US" w:bidi="ar-SA"/>
      </w:rPr>
    </w:lvl>
    <w:lvl w:ilvl="6">
      <w:start w:val="0"/>
      <w:numFmt w:val="bullet"/>
      <w:lvlText w:val="•"/>
      <w:lvlJc w:val="left"/>
      <w:pPr>
        <w:ind w:left="7115" w:hanging="602"/>
      </w:pPr>
      <w:rPr>
        <w:rFonts w:hint="default"/>
        <w:lang w:val="en-US" w:eastAsia="en-US" w:bidi="ar-SA"/>
      </w:rPr>
    </w:lvl>
    <w:lvl w:ilvl="7">
      <w:start w:val="0"/>
      <w:numFmt w:val="bullet"/>
      <w:lvlText w:val="•"/>
      <w:lvlJc w:val="left"/>
      <w:pPr>
        <w:ind w:left="8158" w:hanging="602"/>
      </w:pPr>
      <w:rPr>
        <w:rFonts w:hint="default"/>
        <w:lang w:val="en-US" w:eastAsia="en-US" w:bidi="ar-SA"/>
      </w:rPr>
    </w:lvl>
    <w:lvl w:ilvl="8">
      <w:start w:val="0"/>
      <w:numFmt w:val="bullet"/>
      <w:lvlText w:val="•"/>
      <w:lvlJc w:val="left"/>
      <w:pPr>
        <w:ind w:left="9201" w:hanging="602"/>
      </w:pPr>
      <w:rPr>
        <w:rFonts w:hint="default"/>
        <w:lang w:val="en-US" w:eastAsia="en-US" w:bidi="ar-SA"/>
      </w:rPr>
    </w:lvl>
  </w:abstractNum>
  <w:abstractNum w:abstractNumId="66">
    <w:multiLevelType w:val="hybridMultilevel"/>
    <w:lvl w:ilvl="0">
      <w:start w:val="4"/>
      <w:numFmt w:val="decimal"/>
      <w:lvlText w:val="%1"/>
      <w:lvlJc w:val="left"/>
      <w:pPr>
        <w:ind w:left="861" w:hanging="602"/>
        <w:jc w:val="left"/>
      </w:pPr>
      <w:rPr>
        <w:rFonts w:hint="default"/>
        <w:lang w:val="en-US" w:eastAsia="en-US" w:bidi="ar-SA"/>
      </w:rPr>
    </w:lvl>
    <w:lvl w:ilvl="1">
      <w:start w:val="2"/>
      <w:numFmt w:val="decimal"/>
      <w:lvlText w:val="%1.%2"/>
      <w:lvlJc w:val="left"/>
      <w:pPr>
        <w:ind w:left="861" w:hanging="602"/>
        <w:jc w:val="left"/>
      </w:pPr>
      <w:rPr>
        <w:rFonts w:hint="default"/>
        <w:lang w:val="en-US" w:eastAsia="en-US" w:bidi="ar-SA"/>
      </w:rPr>
    </w:lvl>
    <w:lvl w:ilvl="2">
      <w:start w:val="1"/>
      <w:numFmt w:val="decimal"/>
      <w:lvlText w:val="%1.%2.%3"/>
      <w:lvlJc w:val="left"/>
      <w:pPr>
        <w:ind w:left="861" w:hanging="602"/>
        <w:jc w:val="left"/>
      </w:pPr>
      <w:rPr>
        <w:rFonts w:hint="default" w:ascii="Arial" w:hAnsi="Arial" w:eastAsia="Arial" w:cs="Arial"/>
        <w:b/>
        <w:bCs/>
        <w:i w:val="0"/>
        <w:iCs w:val="0"/>
        <w:color w:val="4966AC"/>
        <w:spacing w:val="-2"/>
        <w:w w:val="100"/>
        <w:sz w:val="24"/>
        <w:szCs w:val="24"/>
        <w:lang w:val="en-US" w:eastAsia="en-US" w:bidi="ar-SA"/>
      </w:rPr>
    </w:lvl>
    <w:lvl w:ilvl="3">
      <w:start w:val="0"/>
      <w:numFmt w:val="bullet"/>
      <w:lvlText w:val="•"/>
      <w:lvlJc w:val="left"/>
      <w:pPr>
        <w:ind w:left="3987" w:hanging="602"/>
      </w:pPr>
      <w:rPr>
        <w:rFonts w:hint="default"/>
        <w:lang w:val="en-US" w:eastAsia="en-US" w:bidi="ar-SA"/>
      </w:rPr>
    </w:lvl>
    <w:lvl w:ilvl="4">
      <w:start w:val="0"/>
      <w:numFmt w:val="bullet"/>
      <w:lvlText w:val="•"/>
      <w:lvlJc w:val="left"/>
      <w:pPr>
        <w:ind w:left="5030" w:hanging="602"/>
      </w:pPr>
      <w:rPr>
        <w:rFonts w:hint="default"/>
        <w:lang w:val="en-US" w:eastAsia="en-US" w:bidi="ar-SA"/>
      </w:rPr>
    </w:lvl>
    <w:lvl w:ilvl="5">
      <w:start w:val="0"/>
      <w:numFmt w:val="bullet"/>
      <w:lvlText w:val="•"/>
      <w:lvlJc w:val="left"/>
      <w:pPr>
        <w:ind w:left="6073" w:hanging="602"/>
      </w:pPr>
      <w:rPr>
        <w:rFonts w:hint="default"/>
        <w:lang w:val="en-US" w:eastAsia="en-US" w:bidi="ar-SA"/>
      </w:rPr>
    </w:lvl>
    <w:lvl w:ilvl="6">
      <w:start w:val="0"/>
      <w:numFmt w:val="bullet"/>
      <w:lvlText w:val="•"/>
      <w:lvlJc w:val="left"/>
      <w:pPr>
        <w:ind w:left="7115" w:hanging="602"/>
      </w:pPr>
      <w:rPr>
        <w:rFonts w:hint="default"/>
        <w:lang w:val="en-US" w:eastAsia="en-US" w:bidi="ar-SA"/>
      </w:rPr>
    </w:lvl>
    <w:lvl w:ilvl="7">
      <w:start w:val="0"/>
      <w:numFmt w:val="bullet"/>
      <w:lvlText w:val="•"/>
      <w:lvlJc w:val="left"/>
      <w:pPr>
        <w:ind w:left="8158" w:hanging="602"/>
      </w:pPr>
      <w:rPr>
        <w:rFonts w:hint="default"/>
        <w:lang w:val="en-US" w:eastAsia="en-US" w:bidi="ar-SA"/>
      </w:rPr>
    </w:lvl>
    <w:lvl w:ilvl="8">
      <w:start w:val="0"/>
      <w:numFmt w:val="bullet"/>
      <w:lvlText w:val="•"/>
      <w:lvlJc w:val="left"/>
      <w:pPr>
        <w:ind w:left="9201" w:hanging="602"/>
      </w:pPr>
      <w:rPr>
        <w:rFonts w:hint="default"/>
        <w:lang w:val="en-US" w:eastAsia="en-US" w:bidi="ar-SA"/>
      </w:rPr>
    </w:lvl>
  </w:abstractNum>
  <w:abstractNum w:abstractNumId="65">
    <w:multiLevelType w:val="hybridMultilevel"/>
    <w:lvl w:ilvl="0">
      <w:start w:val="1"/>
      <w:numFmt w:val="decimal"/>
      <w:lvlText w:val="%1."/>
      <w:lvlJc w:val="left"/>
      <w:pPr>
        <w:ind w:left="826" w:hanging="567"/>
        <w:jc w:val="left"/>
      </w:pPr>
      <w:rPr>
        <w:rFonts w:hint="default" w:ascii="Arial" w:hAnsi="Arial" w:eastAsia="Arial" w:cs="Arial"/>
        <w:b w:val="0"/>
        <w:bCs w:val="0"/>
        <w:i w:val="0"/>
        <w:iCs w:val="0"/>
        <w:spacing w:val="-2"/>
        <w:w w:val="100"/>
        <w:sz w:val="22"/>
        <w:szCs w:val="22"/>
        <w:lang w:val="en-US" w:eastAsia="en-US" w:bidi="ar-SA"/>
      </w:rPr>
    </w:lvl>
    <w:lvl w:ilvl="1">
      <w:start w:val="0"/>
      <w:numFmt w:val="bullet"/>
      <w:lvlText w:val="•"/>
      <w:lvlJc w:val="left"/>
      <w:pPr>
        <w:ind w:left="1866" w:hanging="567"/>
      </w:pPr>
      <w:rPr>
        <w:rFonts w:hint="default"/>
        <w:lang w:val="en-US" w:eastAsia="en-US" w:bidi="ar-SA"/>
      </w:rPr>
    </w:lvl>
    <w:lvl w:ilvl="2">
      <w:start w:val="0"/>
      <w:numFmt w:val="bullet"/>
      <w:lvlText w:val="•"/>
      <w:lvlJc w:val="left"/>
      <w:pPr>
        <w:ind w:left="2913" w:hanging="567"/>
      </w:pPr>
      <w:rPr>
        <w:rFonts w:hint="default"/>
        <w:lang w:val="en-US" w:eastAsia="en-US" w:bidi="ar-SA"/>
      </w:rPr>
    </w:lvl>
    <w:lvl w:ilvl="3">
      <w:start w:val="0"/>
      <w:numFmt w:val="bullet"/>
      <w:lvlText w:val="•"/>
      <w:lvlJc w:val="left"/>
      <w:pPr>
        <w:ind w:left="3959" w:hanging="567"/>
      </w:pPr>
      <w:rPr>
        <w:rFonts w:hint="default"/>
        <w:lang w:val="en-US" w:eastAsia="en-US" w:bidi="ar-SA"/>
      </w:rPr>
    </w:lvl>
    <w:lvl w:ilvl="4">
      <w:start w:val="0"/>
      <w:numFmt w:val="bullet"/>
      <w:lvlText w:val="•"/>
      <w:lvlJc w:val="left"/>
      <w:pPr>
        <w:ind w:left="5006" w:hanging="567"/>
      </w:pPr>
      <w:rPr>
        <w:rFonts w:hint="default"/>
        <w:lang w:val="en-US" w:eastAsia="en-US" w:bidi="ar-SA"/>
      </w:rPr>
    </w:lvl>
    <w:lvl w:ilvl="5">
      <w:start w:val="0"/>
      <w:numFmt w:val="bullet"/>
      <w:lvlText w:val="•"/>
      <w:lvlJc w:val="left"/>
      <w:pPr>
        <w:ind w:left="6053" w:hanging="567"/>
      </w:pPr>
      <w:rPr>
        <w:rFonts w:hint="default"/>
        <w:lang w:val="en-US" w:eastAsia="en-US" w:bidi="ar-SA"/>
      </w:rPr>
    </w:lvl>
    <w:lvl w:ilvl="6">
      <w:start w:val="0"/>
      <w:numFmt w:val="bullet"/>
      <w:lvlText w:val="•"/>
      <w:lvlJc w:val="left"/>
      <w:pPr>
        <w:ind w:left="7099" w:hanging="567"/>
      </w:pPr>
      <w:rPr>
        <w:rFonts w:hint="default"/>
        <w:lang w:val="en-US" w:eastAsia="en-US" w:bidi="ar-SA"/>
      </w:rPr>
    </w:lvl>
    <w:lvl w:ilvl="7">
      <w:start w:val="0"/>
      <w:numFmt w:val="bullet"/>
      <w:lvlText w:val="•"/>
      <w:lvlJc w:val="left"/>
      <w:pPr>
        <w:ind w:left="8146" w:hanging="567"/>
      </w:pPr>
      <w:rPr>
        <w:rFonts w:hint="default"/>
        <w:lang w:val="en-US" w:eastAsia="en-US" w:bidi="ar-SA"/>
      </w:rPr>
    </w:lvl>
    <w:lvl w:ilvl="8">
      <w:start w:val="0"/>
      <w:numFmt w:val="bullet"/>
      <w:lvlText w:val="•"/>
      <w:lvlJc w:val="left"/>
      <w:pPr>
        <w:ind w:left="9193" w:hanging="567"/>
      </w:pPr>
      <w:rPr>
        <w:rFonts w:hint="default"/>
        <w:lang w:val="en-US" w:eastAsia="en-US" w:bidi="ar-SA"/>
      </w:rPr>
    </w:lvl>
  </w:abstractNum>
  <w:abstractNum w:abstractNumId="64">
    <w:multiLevelType w:val="hybridMultilevel"/>
    <w:lvl w:ilvl="0">
      <w:start w:val="1"/>
      <w:numFmt w:val="decimal"/>
      <w:lvlText w:val="%1."/>
      <w:lvlJc w:val="left"/>
      <w:pPr>
        <w:ind w:left="827" w:hanging="567"/>
        <w:jc w:val="left"/>
      </w:pPr>
      <w:rPr>
        <w:rFonts w:hint="default" w:ascii="Arial" w:hAnsi="Arial" w:eastAsia="Arial" w:cs="Arial"/>
        <w:b w:val="0"/>
        <w:bCs w:val="0"/>
        <w:i w:val="0"/>
        <w:iCs w:val="0"/>
        <w:spacing w:val="-2"/>
        <w:w w:val="100"/>
        <w:sz w:val="22"/>
        <w:szCs w:val="22"/>
        <w:lang w:val="en-US" w:eastAsia="en-US" w:bidi="ar-SA"/>
      </w:rPr>
    </w:lvl>
    <w:lvl w:ilvl="1">
      <w:start w:val="0"/>
      <w:numFmt w:val="bullet"/>
      <w:lvlText w:val="•"/>
      <w:lvlJc w:val="left"/>
      <w:pPr>
        <w:ind w:left="1866" w:hanging="567"/>
      </w:pPr>
      <w:rPr>
        <w:rFonts w:hint="default"/>
        <w:lang w:val="en-US" w:eastAsia="en-US" w:bidi="ar-SA"/>
      </w:rPr>
    </w:lvl>
    <w:lvl w:ilvl="2">
      <w:start w:val="0"/>
      <w:numFmt w:val="bullet"/>
      <w:lvlText w:val="•"/>
      <w:lvlJc w:val="left"/>
      <w:pPr>
        <w:ind w:left="2913" w:hanging="567"/>
      </w:pPr>
      <w:rPr>
        <w:rFonts w:hint="default"/>
        <w:lang w:val="en-US" w:eastAsia="en-US" w:bidi="ar-SA"/>
      </w:rPr>
    </w:lvl>
    <w:lvl w:ilvl="3">
      <w:start w:val="0"/>
      <w:numFmt w:val="bullet"/>
      <w:lvlText w:val="•"/>
      <w:lvlJc w:val="left"/>
      <w:pPr>
        <w:ind w:left="3959" w:hanging="567"/>
      </w:pPr>
      <w:rPr>
        <w:rFonts w:hint="default"/>
        <w:lang w:val="en-US" w:eastAsia="en-US" w:bidi="ar-SA"/>
      </w:rPr>
    </w:lvl>
    <w:lvl w:ilvl="4">
      <w:start w:val="0"/>
      <w:numFmt w:val="bullet"/>
      <w:lvlText w:val="•"/>
      <w:lvlJc w:val="left"/>
      <w:pPr>
        <w:ind w:left="5006" w:hanging="567"/>
      </w:pPr>
      <w:rPr>
        <w:rFonts w:hint="default"/>
        <w:lang w:val="en-US" w:eastAsia="en-US" w:bidi="ar-SA"/>
      </w:rPr>
    </w:lvl>
    <w:lvl w:ilvl="5">
      <w:start w:val="0"/>
      <w:numFmt w:val="bullet"/>
      <w:lvlText w:val="•"/>
      <w:lvlJc w:val="left"/>
      <w:pPr>
        <w:ind w:left="6053" w:hanging="567"/>
      </w:pPr>
      <w:rPr>
        <w:rFonts w:hint="default"/>
        <w:lang w:val="en-US" w:eastAsia="en-US" w:bidi="ar-SA"/>
      </w:rPr>
    </w:lvl>
    <w:lvl w:ilvl="6">
      <w:start w:val="0"/>
      <w:numFmt w:val="bullet"/>
      <w:lvlText w:val="•"/>
      <w:lvlJc w:val="left"/>
      <w:pPr>
        <w:ind w:left="7099" w:hanging="567"/>
      </w:pPr>
      <w:rPr>
        <w:rFonts w:hint="default"/>
        <w:lang w:val="en-US" w:eastAsia="en-US" w:bidi="ar-SA"/>
      </w:rPr>
    </w:lvl>
    <w:lvl w:ilvl="7">
      <w:start w:val="0"/>
      <w:numFmt w:val="bullet"/>
      <w:lvlText w:val="•"/>
      <w:lvlJc w:val="left"/>
      <w:pPr>
        <w:ind w:left="8146" w:hanging="567"/>
      </w:pPr>
      <w:rPr>
        <w:rFonts w:hint="default"/>
        <w:lang w:val="en-US" w:eastAsia="en-US" w:bidi="ar-SA"/>
      </w:rPr>
    </w:lvl>
    <w:lvl w:ilvl="8">
      <w:start w:val="0"/>
      <w:numFmt w:val="bullet"/>
      <w:lvlText w:val="•"/>
      <w:lvlJc w:val="left"/>
      <w:pPr>
        <w:ind w:left="9193" w:hanging="567"/>
      </w:pPr>
      <w:rPr>
        <w:rFonts w:hint="default"/>
        <w:lang w:val="en-US" w:eastAsia="en-US" w:bidi="ar-SA"/>
      </w:rPr>
    </w:lvl>
  </w:abstractNum>
  <w:abstractNum w:abstractNumId="63">
    <w:multiLevelType w:val="hybridMultilevel"/>
    <w:lvl w:ilvl="0">
      <w:start w:val="1"/>
      <w:numFmt w:val="decimal"/>
      <w:lvlText w:val="%1."/>
      <w:lvlJc w:val="left"/>
      <w:pPr>
        <w:ind w:left="827" w:hanging="567"/>
        <w:jc w:val="left"/>
      </w:pPr>
      <w:rPr>
        <w:rFonts w:hint="default" w:ascii="Arial" w:hAnsi="Arial" w:eastAsia="Arial" w:cs="Arial"/>
        <w:b w:val="0"/>
        <w:bCs w:val="0"/>
        <w:i w:val="0"/>
        <w:iCs w:val="0"/>
        <w:spacing w:val="-2"/>
        <w:w w:val="100"/>
        <w:sz w:val="22"/>
        <w:szCs w:val="22"/>
        <w:lang w:val="en-US" w:eastAsia="en-US" w:bidi="ar-SA"/>
      </w:rPr>
    </w:lvl>
    <w:lvl w:ilvl="1">
      <w:start w:val="0"/>
      <w:numFmt w:val="bullet"/>
      <w:lvlText w:val="•"/>
      <w:lvlJc w:val="left"/>
      <w:pPr>
        <w:ind w:left="1866" w:hanging="567"/>
      </w:pPr>
      <w:rPr>
        <w:rFonts w:hint="default"/>
        <w:lang w:val="en-US" w:eastAsia="en-US" w:bidi="ar-SA"/>
      </w:rPr>
    </w:lvl>
    <w:lvl w:ilvl="2">
      <w:start w:val="0"/>
      <w:numFmt w:val="bullet"/>
      <w:lvlText w:val="•"/>
      <w:lvlJc w:val="left"/>
      <w:pPr>
        <w:ind w:left="2913" w:hanging="567"/>
      </w:pPr>
      <w:rPr>
        <w:rFonts w:hint="default"/>
        <w:lang w:val="en-US" w:eastAsia="en-US" w:bidi="ar-SA"/>
      </w:rPr>
    </w:lvl>
    <w:lvl w:ilvl="3">
      <w:start w:val="0"/>
      <w:numFmt w:val="bullet"/>
      <w:lvlText w:val="•"/>
      <w:lvlJc w:val="left"/>
      <w:pPr>
        <w:ind w:left="3959" w:hanging="567"/>
      </w:pPr>
      <w:rPr>
        <w:rFonts w:hint="default"/>
        <w:lang w:val="en-US" w:eastAsia="en-US" w:bidi="ar-SA"/>
      </w:rPr>
    </w:lvl>
    <w:lvl w:ilvl="4">
      <w:start w:val="0"/>
      <w:numFmt w:val="bullet"/>
      <w:lvlText w:val="•"/>
      <w:lvlJc w:val="left"/>
      <w:pPr>
        <w:ind w:left="5006" w:hanging="567"/>
      </w:pPr>
      <w:rPr>
        <w:rFonts w:hint="default"/>
        <w:lang w:val="en-US" w:eastAsia="en-US" w:bidi="ar-SA"/>
      </w:rPr>
    </w:lvl>
    <w:lvl w:ilvl="5">
      <w:start w:val="0"/>
      <w:numFmt w:val="bullet"/>
      <w:lvlText w:val="•"/>
      <w:lvlJc w:val="left"/>
      <w:pPr>
        <w:ind w:left="6053" w:hanging="567"/>
      </w:pPr>
      <w:rPr>
        <w:rFonts w:hint="default"/>
        <w:lang w:val="en-US" w:eastAsia="en-US" w:bidi="ar-SA"/>
      </w:rPr>
    </w:lvl>
    <w:lvl w:ilvl="6">
      <w:start w:val="0"/>
      <w:numFmt w:val="bullet"/>
      <w:lvlText w:val="•"/>
      <w:lvlJc w:val="left"/>
      <w:pPr>
        <w:ind w:left="7099" w:hanging="567"/>
      </w:pPr>
      <w:rPr>
        <w:rFonts w:hint="default"/>
        <w:lang w:val="en-US" w:eastAsia="en-US" w:bidi="ar-SA"/>
      </w:rPr>
    </w:lvl>
    <w:lvl w:ilvl="7">
      <w:start w:val="0"/>
      <w:numFmt w:val="bullet"/>
      <w:lvlText w:val="•"/>
      <w:lvlJc w:val="left"/>
      <w:pPr>
        <w:ind w:left="8146" w:hanging="567"/>
      </w:pPr>
      <w:rPr>
        <w:rFonts w:hint="default"/>
        <w:lang w:val="en-US" w:eastAsia="en-US" w:bidi="ar-SA"/>
      </w:rPr>
    </w:lvl>
    <w:lvl w:ilvl="8">
      <w:start w:val="0"/>
      <w:numFmt w:val="bullet"/>
      <w:lvlText w:val="•"/>
      <w:lvlJc w:val="left"/>
      <w:pPr>
        <w:ind w:left="9193" w:hanging="567"/>
      </w:pPr>
      <w:rPr>
        <w:rFonts w:hint="default"/>
        <w:lang w:val="en-US" w:eastAsia="en-US" w:bidi="ar-SA"/>
      </w:rPr>
    </w:lvl>
  </w:abstractNum>
  <w:abstractNum w:abstractNumId="62">
    <w:multiLevelType w:val="hybridMultilevel"/>
    <w:lvl w:ilvl="0">
      <w:start w:val="1"/>
      <w:numFmt w:val="decimal"/>
      <w:lvlText w:val="%1."/>
      <w:lvlJc w:val="left"/>
      <w:pPr>
        <w:ind w:left="827" w:hanging="567"/>
        <w:jc w:val="left"/>
      </w:pPr>
      <w:rPr>
        <w:rFonts w:hint="default" w:ascii="Arial" w:hAnsi="Arial" w:eastAsia="Arial" w:cs="Arial"/>
        <w:b w:val="0"/>
        <w:bCs w:val="0"/>
        <w:i w:val="0"/>
        <w:iCs w:val="0"/>
        <w:spacing w:val="-2"/>
        <w:w w:val="100"/>
        <w:sz w:val="22"/>
        <w:szCs w:val="22"/>
        <w:lang w:val="en-US" w:eastAsia="en-US" w:bidi="ar-SA"/>
      </w:rPr>
    </w:lvl>
    <w:lvl w:ilvl="1">
      <w:start w:val="0"/>
      <w:numFmt w:val="bullet"/>
      <w:lvlText w:val="•"/>
      <w:lvlJc w:val="left"/>
      <w:pPr>
        <w:ind w:left="1866" w:hanging="567"/>
      </w:pPr>
      <w:rPr>
        <w:rFonts w:hint="default"/>
        <w:lang w:val="en-US" w:eastAsia="en-US" w:bidi="ar-SA"/>
      </w:rPr>
    </w:lvl>
    <w:lvl w:ilvl="2">
      <w:start w:val="0"/>
      <w:numFmt w:val="bullet"/>
      <w:lvlText w:val="•"/>
      <w:lvlJc w:val="left"/>
      <w:pPr>
        <w:ind w:left="2913" w:hanging="567"/>
      </w:pPr>
      <w:rPr>
        <w:rFonts w:hint="default"/>
        <w:lang w:val="en-US" w:eastAsia="en-US" w:bidi="ar-SA"/>
      </w:rPr>
    </w:lvl>
    <w:lvl w:ilvl="3">
      <w:start w:val="0"/>
      <w:numFmt w:val="bullet"/>
      <w:lvlText w:val="•"/>
      <w:lvlJc w:val="left"/>
      <w:pPr>
        <w:ind w:left="3959" w:hanging="567"/>
      </w:pPr>
      <w:rPr>
        <w:rFonts w:hint="default"/>
        <w:lang w:val="en-US" w:eastAsia="en-US" w:bidi="ar-SA"/>
      </w:rPr>
    </w:lvl>
    <w:lvl w:ilvl="4">
      <w:start w:val="0"/>
      <w:numFmt w:val="bullet"/>
      <w:lvlText w:val="•"/>
      <w:lvlJc w:val="left"/>
      <w:pPr>
        <w:ind w:left="5006" w:hanging="567"/>
      </w:pPr>
      <w:rPr>
        <w:rFonts w:hint="default"/>
        <w:lang w:val="en-US" w:eastAsia="en-US" w:bidi="ar-SA"/>
      </w:rPr>
    </w:lvl>
    <w:lvl w:ilvl="5">
      <w:start w:val="0"/>
      <w:numFmt w:val="bullet"/>
      <w:lvlText w:val="•"/>
      <w:lvlJc w:val="left"/>
      <w:pPr>
        <w:ind w:left="6053" w:hanging="567"/>
      </w:pPr>
      <w:rPr>
        <w:rFonts w:hint="default"/>
        <w:lang w:val="en-US" w:eastAsia="en-US" w:bidi="ar-SA"/>
      </w:rPr>
    </w:lvl>
    <w:lvl w:ilvl="6">
      <w:start w:val="0"/>
      <w:numFmt w:val="bullet"/>
      <w:lvlText w:val="•"/>
      <w:lvlJc w:val="left"/>
      <w:pPr>
        <w:ind w:left="7099" w:hanging="567"/>
      </w:pPr>
      <w:rPr>
        <w:rFonts w:hint="default"/>
        <w:lang w:val="en-US" w:eastAsia="en-US" w:bidi="ar-SA"/>
      </w:rPr>
    </w:lvl>
    <w:lvl w:ilvl="7">
      <w:start w:val="0"/>
      <w:numFmt w:val="bullet"/>
      <w:lvlText w:val="•"/>
      <w:lvlJc w:val="left"/>
      <w:pPr>
        <w:ind w:left="8146" w:hanging="567"/>
      </w:pPr>
      <w:rPr>
        <w:rFonts w:hint="default"/>
        <w:lang w:val="en-US" w:eastAsia="en-US" w:bidi="ar-SA"/>
      </w:rPr>
    </w:lvl>
    <w:lvl w:ilvl="8">
      <w:start w:val="0"/>
      <w:numFmt w:val="bullet"/>
      <w:lvlText w:val="•"/>
      <w:lvlJc w:val="left"/>
      <w:pPr>
        <w:ind w:left="9193" w:hanging="567"/>
      </w:pPr>
      <w:rPr>
        <w:rFonts w:hint="default"/>
        <w:lang w:val="en-US" w:eastAsia="en-US" w:bidi="ar-SA"/>
      </w:rPr>
    </w:lvl>
  </w:abstractNum>
  <w:abstractNum w:abstractNumId="61">
    <w:multiLevelType w:val="hybridMultilevel"/>
    <w:lvl w:ilvl="0">
      <w:start w:val="1"/>
      <w:numFmt w:val="decimal"/>
      <w:lvlText w:val="%1."/>
      <w:lvlJc w:val="left"/>
      <w:pPr>
        <w:ind w:left="827" w:hanging="567"/>
        <w:jc w:val="left"/>
      </w:pPr>
      <w:rPr>
        <w:rFonts w:hint="default" w:ascii="Arial" w:hAnsi="Arial" w:eastAsia="Arial" w:cs="Arial"/>
        <w:b w:val="0"/>
        <w:bCs w:val="0"/>
        <w:i w:val="0"/>
        <w:iCs w:val="0"/>
        <w:spacing w:val="-2"/>
        <w:w w:val="100"/>
        <w:sz w:val="22"/>
        <w:szCs w:val="22"/>
        <w:lang w:val="en-US" w:eastAsia="en-US" w:bidi="ar-SA"/>
      </w:rPr>
    </w:lvl>
    <w:lvl w:ilvl="1">
      <w:start w:val="0"/>
      <w:numFmt w:val="bullet"/>
      <w:lvlText w:val="•"/>
      <w:lvlJc w:val="left"/>
      <w:pPr>
        <w:ind w:left="1866" w:hanging="567"/>
      </w:pPr>
      <w:rPr>
        <w:rFonts w:hint="default"/>
        <w:lang w:val="en-US" w:eastAsia="en-US" w:bidi="ar-SA"/>
      </w:rPr>
    </w:lvl>
    <w:lvl w:ilvl="2">
      <w:start w:val="0"/>
      <w:numFmt w:val="bullet"/>
      <w:lvlText w:val="•"/>
      <w:lvlJc w:val="left"/>
      <w:pPr>
        <w:ind w:left="2913" w:hanging="567"/>
      </w:pPr>
      <w:rPr>
        <w:rFonts w:hint="default"/>
        <w:lang w:val="en-US" w:eastAsia="en-US" w:bidi="ar-SA"/>
      </w:rPr>
    </w:lvl>
    <w:lvl w:ilvl="3">
      <w:start w:val="0"/>
      <w:numFmt w:val="bullet"/>
      <w:lvlText w:val="•"/>
      <w:lvlJc w:val="left"/>
      <w:pPr>
        <w:ind w:left="3959" w:hanging="567"/>
      </w:pPr>
      <w:rPr>
        <w:rFonts w:hint="default"/>
        <w:lang w:val="en-US" w:eastAsia="en-US" w:bidi="ar-SA"/>
      </w:rPr>
    </w:lvl>
    <w:lvl w:ilvl="4">
      <w:start w:val="0"/>
      <w:numFmt w:val="bullet"/>
      <w:lvlText w:val="•"/>
      <w:lvlJc w:val="left"/>
      <w:pPr>
        <w:ind w:left="5006" w:hanging="567"/>
      </w:pPr>
      <w:rPr>
        <w:rFonts w:hint="default"/>
        <w:lang w:val="en-US" w:eastAsia="en-US" w:bidi="ar-SA"/>
      </w:rPr>
    </w:lvl>
    <w:lvl w:ilvl="5">
      <w:start w:val="0"/>
      <w:numFmt w:val="bullet"/>
      <w:lvlText w:val="•"/>
      <w:lvlJc w:val="left"/>
      <w:pPr>
        <w:ind w:left="6053" w:hanging="567"/>
      </w:pPr>
      <w:rPr>
        <w:rFonts w:hint="default"/>
        <w:lang w:val="en-US" w:eastAsia="en-US" w:bidi="ar-SA"/>
      </w:rPr>
    </w:lvl>
    <w:lvl w:ilvl="6">
      <w:start w:val="0"/>
      <w:numFmt w:val="bullet"/>
      <w:lvlText w:val="•"/>
      <w:lvlJc w:val="left"/>
      <w:pPr>
        <w:ind w:left="7099" w:hanging="567"/>
      </w:pPr>
      <w:rPr>
        <w:rFonts w:hint="default"/>
        <w:lang w:val="en-US" w:eastAsia="en-US" w:bidi="ar-SA"/>
      </w:rPr>
    </w:lvl>
    <w:lvl w:ilvl="7">
      <w:start w:val="0"/>
      <w:numFmt w:val="bullet"/>
      <w:lvlText w:val="•"/>
      <w:lvlJc w:val="left"/>
      <w:pPr>
        <w:ind w:left="8146" w:hanging="567"/>
      </w:pPr>
      <w:rPr>
        <w:rFonts w:hint="default"/>
        <w:lang w:val="en-US" w:eastAsia="en-US" w:bidi="ar-SA"/>
      </w:rPr>
    </w:lvl>
    <w:lvl w:ilvl="8">
      <w:start w:val="0"/>
      <w:numFmt w:val="bullet"/>
      <w:lvlText w:val="•"/>
      <w:lvlJc w:val="left"/>
      <w:pPr>
        <w:ind w:left="9193" w:hanging="567"/>
      </w:pPr>
      <w:rPr>
        <w:rFonts w:hint="default"/>
        <w:lang w:val="en-US" w:eastAsia="en-US" w:bidi="ar-SA"/>
      </w:rPr>
    </w:lvl>
  </w:abstractNum>
  <w:abstractNum w:abstractNumId="60">
    <w:multiLevelType w:val="hybridMultilevel"/>
    <w:lvl w:ilvl="0">
      <w:start w:val="1"/>
      <w:numFmt w:val="decimal"/>
      <w:lvlText w:val="%1."/>
      <w:lvlJc w:val="left"/>
      <w:pPr>
        <w:ind w:left="827" w:hanging="567"/>
        <w:jc w:val="left"/>
      </w:pPr>
      <w:rPr>
        <w:rFonts w:hint="default" w:ascii="Arial" w:hAnsi="Arial" w:eastAsia="Arial" w:cs="Arial"/>
        <w:b w:val="0"/>
        <w:bCs w:val="0"/>
        <w:i w:val="0"/>
        <w:iCs w:val="0"/>
        <w:spacing w:val="-2"/>
        <w:w w:val="100"/>
        <w:sz w:val="22"/>
        <w:szCs w:val="22"/>
        <w:lang w:val="en-US" w:eastAsia="en-US" w:bidi="ar-SA"/>
      </w:rPr>
    </w:lvl>
    <w:lvl w:ilvl="1">
      <w:start w:val="0"/>
      <w:numFmt w:val="bullet"/>
      <w:lvlText w:val="•"/>
      <w:lvlJc w:val="left"/>
      <w:pPr>
        <w:ind w:left="1866" w:hanging="567"/>
      </w:pPr>
      <w:rPr>
        <w:rFonts w:hint="default"/>
        <w:lang w:val="en-US" w:eastAsia="en-US" w:bidi="ar-SA"/>
      </w:rPr>
    </w:lvl>
    <w:lvl w:ilvl="2">
      <w:start w:val="0"/>
      <w:numFmt w:val="bullet"/>
      <w:lvlText w:val="•"/>
      <w:lvlJc w:val="left"/>
      <w:pPr>
        <w:ind w:left="2913" w:hanging="567"/>
      </w:pPr>
      <w:rPr>
        <w:rFonts w:hint="default"/>
        <w:lang w:val="en-US" w:eastAsia="en-US" w:bidi="ar-SA"/>
      </w:rPr>
    </w:lvl>
    <w:lvl w:ilvl="3">
      <w:start w:val="0"/>
      <w:numFmt w:val="bullet"/>
      <w:lvlText w:val="•"/>
      <w:lvlJc w:val="left"/>
      <w:pPr>
        <w:ind w:left="3959" w:hanging="567"/>
      </w:pPr>
      <w:rPr>
        <w:rFonts w:hint="default"/>
        <w:lang w:val="en-US" w:eastAsia="en-US" w:bidi="ar-SA"/>
      </w:rPr>
    </w:lvl>
    <w:lvl w:ilvl="4">
      <w:start w:val="0"/>
      <w:numFmt w:val="bullet"/>
      <w:lvlText w:val="•"/>
      <w:lvlJc w:val="left"/>
      <w:pPr>
        <w:ind w:left="5006" w:hanging="567"/>
      </w:pPr>
      <w:rPr>
        <w:rFonts w:hint="default"/>
        <w:lang w:val="en-US" w:eastAsia="en-US" w:bidi="ar-SA"/>
      </w:rPr>
    </w:lvl>
    <w:lvl w:ilvl="5">
      <w:start w:val="0"/>
      <w:numFmt w:val="bullet"/>
      <w:lvlText w:val="•"/>
      <w:lvlJc w:val="left"/>
      <w:pPr>
        <w:ind w:left="6053" w:hanging="567"/>
      </w:pPr>
      <w:rPr>
        <w:rFonts w:hint="default"/>
        <w:lang w:val="en-US" w:eastAsia="en-US" w:bidi="ar-SA"/>
      </w:rPr>
    </w:lvl>
    <w:lvl w:ilvl="6">
      <w:start w:val="0"/>
      <w:numFmt w:val="bullet"/>
      <w:lvlText w:val="•"/>
      <w:lvlJc w:val="left"/>
      <w:pPr>
        <w:ind w:left="7099" w:hanging="567"/>
      </w:pPr>
      <w:rPr>
        <w:rFonts w:hint="default"/>
        <w:lang w:val="en-US" w:eastAsia="en-US" w:bidi="ar-SA"/>
      </w:rPr>
    </w:lvl>
    <w:lvl w:ilvl="7">
      <w:start w:val="0"/>
      <w:numFmt w:val="bullet"/>
      <w:lvlText w:val="•"/>
      <w:lvlJc w:val="left"/>
      <w:pPr>
        <w:ind w:left="8146" w:hanging="567"/>
      </w:pPr>
      <w:rPr>
        <w:rFonts w:hint="default"/>
        <w:lang w:val="en-US" w:eastAsia="en-US" w:bidi="ar-SA"/>
      </w:rPr>
    </w:lvl>
    <w:lvl w:ilvl="8">
      <w:start w:val="0"/>
      <w:numFmt w:val="bullet"/>
      <w:lvlText w:val="•"/>
      <w:lvlJc w:val="left"/>
      <w:pPr>
        <w:ind w:left="9193" w:hanging="567"/>
      </w:pPr>
      <w:rPr>
        <w:rFonts w:hint="default"/>
        <w:lang w:val="en-US" w:eastAsia="en-US" w:bidi="ar-SA"/>
      </w:rPr>
    </w:lvl>
  </w:abstractNum>
  <w:abstractNum w:abstractNumId="59">
    <w:multiLevelType w:val="hybridMultilevel"/>
    <w:lvl w:ilvl="0">
      <w:start w:val="0"/>
      <w:numFmt w:val="bullet"/>
      <w:lvlText w:val=""/>
      <w:lvlJc w:val="left"/>
      <w:pPr>
        <w:ind w:left="826" w:hanging="567"/>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1866" w:hanging="567"/>
      </w:pPr>
      <w:rPr>
        <w:rFonts w:hint="default"/>
        <w:lang w:val="en-US" w:eastAsia="en-US" w:bidi="ar-SA"/>
      </w:rPr>
    </w:lvl>
    <w:lvl w:ilvl="2">
      <w:start w:val="0"/>
      <w:numFmt w:val="bullet"/>
      <w:lvlText w:val="•"/>
      <w:lvlJc w:val="left"/>
      <w:pPr>
        <w:ind w:left="2913" w:hanging="567"/>
      </w:pPr>
      <w:rPr>
        <w:rFonts w:hint="default"/>
        <w:lang w:val="en-US" w:eastAsia="en-US" w:bidi="ar-SA"/>
      </w:rPr>
    </w:lvl>
    <w:lvl w:ilvl="3">
      <w:start w:val="0"/>
      <w:numFmt w:val="bullet"/>
      <w:lvlText w:val="•"/>
      <w:lvlJc w:val="left"/>
      <w:pPr>
        <w:ind w:left="3959" w:hanging="567"/>
      </w:pPr>
      <w:rPr>
        <w:rFonts w:hint="default"/>
        <w:lang w:val="en-US" w:eastAsia="en-US" w:bidi="ar-SA"/>
      </w:rPr>
    </w:lvl>
    <w:lvl w:ilvl="4">
      <w:start w:val="0"/>
      <w:numFmt w:val="bullet"/>
      <w:lvlText w:val="•"/>
      <w:lvlJc w:val="left"/>
      <w:pPr>
        <w:ind w:left="5006" w:hanging="567"/>
      </w:pPr>
      <w:rPr>
        <w:rFonts w:hint="default"/>
        <w:lang w:val="en-US" w:eastAsia="en-US" w:bidi="ar-SA"/>
      </w:rPr>
    </w:lvl>
    <w:lvl w:ilvl="5">
      <w:start w:val="0"/>
      <w:numFmt w:val="bullet"/>
      <w:lvlText w:val="•"/>
      <w:lvlJc w:val="left"/>
      <w:pPr>
        <w:ind w:left="6053" w:hanging="567"/>
      </w:pPr>
      <w:rPr>
        <w:rFonts w:hint="default"/>
        <w:lang w:val="en-US" w:eastAsia="en-US" w:bidi="ar-SA"/>
      </w:rPr>
    </w:lvl>
    <w:lvl w:ilvl="6">
      <w:start w:val="0"/>
      <w:numFmt w:val="bullet"/>
      <w:lvlText w:val="•"/>
      <w:lvlJc w:val="left"/>
      <w:pPr>
        <w:ind w:left="7099" w:hanging="567"/>
      </w:pPr>
      <w:rPr>
        <w:rFonts w:hint="default"/>
        <w:lang w:val="en-US" w:eastAsia="en-US" w:bidi="ar-SA"/>
      </w:rPr>
    </w:lvl>
    <w:lvl w:ilvl="7">
      <w:start w:val="0"/>
      <w:numFmt w:val="bullet"/>
      <w:lvlText w:val="•"/>
      <w:lvlJc w:val="left"/>
      <w:pPr>
        <w:ind w:left="8146" w:hanging="567"/>
      </w:pPr>
      <w:rPr>
        <w:rFonts w:hint="default"/>
        <w:lang w:val="en-US" w:eastAsia="en-US" w:bidi="ar-SA"/>
      </w:rPr>
    </w:lvl>
    <w:lvl w:ilvl="8">
      <w:start w:val="0"/>
      <w:numFmt w:val="bullet"/>
      <w:lvlText w:val="•"/>
      <w:lvlJc w:val="left"/>
      <w:pPr>
        <w:ind w:left="9193" w:hanging="567"/>
      </w:pPr>
      <w:rPr>
        <w:rFonts w:hint="default"/>
        <w:lang w:val="en-US" w:eastAsia="en-US" w:bidi="ar-SA"/>
      </w:rPr>
    </w:lvl>
  </w:abstractNum>
  <w:abstractNum w:abstractNumId="58">
    <w:multiLevelType w:val="hybridMultilevel"/>
    <w:lvl w:ilvl="0">
      <w:start w:val="4"/>
      <w:numFmt w:val="decimal"/>
      <w:lvlText w:val="%1"/>
      <w:lvlJc w:val="left"/>
      <w:pPr>
        <w:ind w:left="861" w:hanging="602"/>
        <w:jc w:val="left"/>
      </w:pPr>
      <w:rPr>
        <w:rFonts w:hint="default"/>
        <w:lang w:val="en-US" w:eastAsia="en-US" w:bidi="ar-SA"/>
      </w:rPr>
    </w:lvl>
    <w:lvl w:ilvl="1">
      <w:start w:val="1"/>
      <w:numFmt w:val="decimal"/>
      <w:lvlText w:val="%1.%2"/>
      <w:lvlJc w:val="left"/>
      <w:pPr>
        <w:ind w:left="861" w:hanging="602"/>
        <w:jc w:val="left"/>
      </w:pPr>
      <w:rPr>
        <w:rFonts w:hint="default"/>
        <w:lang w:val="en-US" w:eastAsia="en-US" w:bidi="ar-SA"/>
      </w:rPr>
    </w:lvl>
    <w:lvl w:ilvl="2">
      <w:start w:val="1"/>
      <w:numFmt w:val="decimal"/>
      <w:lvlText w:val="%1.%2.%3"/>
      <w:lvlJc w:val="left"/>
      <w:pPr>
        <w:ind w:left="861" w:hanging="602"/>
        <w:jc w:val="left"/>
      </w:pPr>
      <w:rPr>
        <w:rFonts w:hint="default" w:ascii="Arial" w:hAnsi="Arial" w:eastAsia="Arial" w:cs="Arial"/>
        <w:b/>
        <w:bCs/>
        <w:i w:val="0"/>
        <w:iCs w:val="0"/>
        <w:color w:val="4966AC"/>
        <w:spacing w:val="-2"/>
        <w:w w:val="100"/>
        <w:sz w:val="24"/>
        <w:szCs w:val="24"/>
        <w:lang w:val="en-US" w:eastAsia="en-US" w:bidi="ar-SA"/>
      </w:rPr>
    </w:lvl>
    <w:lvl w:ilvl="3">
      <w:start w:val="0"/>
      <w:numFmt w:val="bullet"/>
      <w:lvlText w:val="•"/>
      <w:lvlJc w:val="left"/>
      <w:pPr>
        <w:ind w:left="3987" w:hanging="602"/>
      </w:pPr>
      <w:rPr>
        <w:rFonts w:hint="default"/>
        <w:lang w:val="en-US" w:eastAsia="en-US" w:bidi="ar-SA"/>
      </w:rPr>
    </w:lvl>
    <w:lvl w:ilvl="4">
      <w:start w:val="0"/>
      <w:numFmt w:val="bullet"/>
      <w:lvlText w:val="•"/>
      <w:lvlJc w:val="left"/>
      <w:pPr>
        <w:ind w:left="5030" w:hanging="602"/>
      </w:pPr>
      <w:rPr>
        <w:rFonts w:hint="default"/>
        <w:lang w:val="en-US" w:eastAsia="en-US" w:bidi="ar-SA"/>
      </w:rPr>
    </w:lvl>
    <w:lvl w:ilvl="5">
      <w:start w:val="0"/>
      <w:numFmt w:val="bullet"/>
      <w:lvlText w:val="•"/>
      <w:lvlJc w:val="left"/>
      <w:pPr>
        <w:ind w:left="6073" w:hanging="602"/>
      </w:pPr>
      <w:rPr>
        <w:rFonts w:hint="default"/>
        <w:lang w:val="en-US" w:eastAsia="en-US" w:bidi="ar-SA"/>
      </w:rPr>
    </w:lvl>
    <w:lvl w:ilvl="6">
      <w:start w:val="0"/>
      <w:numFmt w:val="bullet"/>
      <w:lvlText w:val="•"/>
      <w:lvlJc w:val="left"/>
      <w:pPr>
        <w:ind w:left="7115" w:hanging="602"/>
      </w:pPr>
      <w:rPr>
        <w:rFonts w:hint="default"/>
        <w:lang w:val="en-US" w:eastAsia="en-US" w:bidi="ar-SA"/>
      </w:rPr>
    </w:lvl>
    <w:lvl w:ilvl="7">
      <w:start w:val="0"/>
      <w:numFmt w:val="bullet"/>
      <w:lvlText w:val="•"/>
      <w:lvlJc w:val="left"/>
      <w:pPr>
        <w:ind w:left="8158" w:hanging="602"/>
      </w:pPr>
      <w:rPr>
        <w:rFonts w:hint="default"/>
        <w:lang w:val="en-US" w:eastAsia="en-US" w:bidi="ar-SA"/>
      </w:rPr>
    </w:lvl>
    <w:lvl w:ilvl="8">
      <w:start w:val="0"/>
      <w:numFmt w:val="bullet"/>
      <w:lvlText w:val="•"/>
      <w:lvlJc w:val="left"/>
      <w:pPr>
        <w:ind w:left="9201" w:hanging="602"/>
      </w:pPr>
      <w:rPr>
        <w:rFonts w:hint="default"/>
        <w:lang w:val="en-US" w:eastAsia="en-US" w:bidi="ar-SA"/>
      </w:rPr>
    </w:lvl>
  </w:abstractNum>
  <w:abstractNum w:abstractNumId="57">
    <w:multiLevelType w:val="hybridMultilevel"/>
    <w:lvl w:ilvl="0">
      <w:start w:val="0"/>
      <w:numFmt w:val="bullet"/>
      <w:lvlText w:val=""/>
      <w:lvlJc w:val="left"/>
      <w:pPr>
        <w:ind w:left="417"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31" w:hanging="313"/>
      </w:pPr>
      <w:rPr>
        <w:rFonts w:hint="default"/>
        <w:lang w:val="en-US" w:eastAsia="en-US" w:bidi="ar-SA"/>
      </w:rPr>
    </w:lvl>
    <w:lvl w:ilvl="2">
      <w:start w:val="0"/>
      <w:numFmt w:val="bullet"/>
      <w:lvlText w:val="•"/>
      <w:lvlJc w:val="left"/>
      <w:pPr>
        <w:ind w:left="1043" w:hanging="313"/>
      </w:pPr>
      <w:rPr>
        <w:rFonts w:hint="default"/>
        <w:lang w:val="en-US" w:eastAsia="en-US" w:bidi="ar-SA"/>
      </w:rPr>
    </w:lvl>
    <w:lvl w:ilvl="3">
      <w:start w:val="0"/>
      <w:numFmt w:val="bullet"/>
      <w:lvlText w:val="•"/>
      <w:lvlJc w:val="left"/>
      <w:pPr>
        <w:ind w:left="1354" w:hanging="313"/>
      </w:pPr>
      <w:rPr>
        <w:rFonts w:hint="default"/>
        <w:lang w:val="en-US" w:eastAsia="en-US" w:bidi="ar-SA"/>
      </w:rPr>
    </w:lvl>
    <w:lvl w:ilvl="4">
      <w:start w:val="0"/>
      <w:numFmt w:val="bullet"/>
      <w:lvlText w:val="•"/>
      <w:lvlJc w:val="left"/>
      <w:pPr>
        <w:ind w:left="1666" w:hanging="313"/>
      </w:pPr>
      <w:rPr>
        <w:rFonts w:hint="default"/>
        <w:lang w:val="en-US" w:eastAsia="en-US" w:bidi="ar-SA"/>
      </w:rPr>
    </w:lvl>
    <w:lvl w:ilvl="5">
      <w:start w:val="0"/>
      <w:numFmt w:val="bullet"/>
      <w:lvlText w:val="•"/>
      <w:lvlJc w:val="left"/>
      <w:pPr>
        <w:ind w:left="1977" w:hanging="313"/>
      </w:pPr>
      <w:rPr>
        <w:rFonts w:hint="default"/>
        <w:lang w:val="en-US" w:eastAsia="en-US" w:bidi="ar-SA"/>
      </w:rPr>
    </w:lvl>
    <w:lvl w:ilvl="6">
      <w:start w:val="0"/>
      <w:numFmt w:val="bullet"/>
      <w:lvlText w:val="•"/>
      <w:lvlJc w:val="left"/>
      <w:pPr>
        <w:ind w:left="2289" w:hanging="313"/>
      </w:pPr>
      <w:rPr>
        <w:rFonts w:hint="default"/>
        <w:lang w:val="en-US" w:eastAsia="en-US" w:bidi="ar-SA"/>
      </w:rPr>
    </w:lvl>
    <w:lvl w:ilvl="7">
      <w:start w:val="0"/>
      <w:numFmt w:val="bullet"/>
      <w:lvlText w:val="•"/>
      <w:lvlJc w:val="left"/>
      <w:pPr>
        <w:ind w:left="2600" w:hanging="313"/>
      </w:pPr>
      <w:rPr>
        <w:rFonts w:hint="default"/>
        <w:lang w:val="en-US" w:eastAsia="en-US" w:bidi="ar-SA"/>
      </w:rPr>
    </w:lvl>
    <w:lvl w:ilvl="8">
      <w:start w:val="0"/>
      <w:numFmt w:val="bullet"/>
      <w:lvlText w:val="•"/>
      <w:lvlJc w:val="left"/>
      <w:pPr>
        <w:ind w:left="2912" w:hanging="313"/>
      </w:pPr>
      <w:rPr>
        <w:rFonts w:hint="default"/>
        <w:lang w:val="en-US" w:eastAsia="en-US" w:bidi="ar-SA"/>
      </w:rPr>
    </w:lvl>
  </w:abstractNum>
  <w:abstractNum w:abstractNumId="56">
    <w:multiLevelType w:val="hybridMultilevel"/>
    <w:lvl w:ilvl="0">
      <w:start w:val="0"/>
      <w:numFmt w:val="bullet"/>
      <w:lvlText w:val=""/>
      <w:lvlJc w:val="left"/>
      <w:pPr>
        <w:ind w:left="417"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31" w:hanging="313"/>
      </w:pPr>
      <w:rPr>
        <w:rFonts w:hint="default"/>
        <w:lang w:val="en-US" w:eastAsia="en-US" w:bidi="ar-SA"/>
      </w:rPr>
    </w:lvl>
    <w:lvl w:ilvl="2">
      <w:start w:val="0"/>
      <w:numFmt w:val="bullet"/>
      <w:lvlText w:val="•"/>
      <w:lvlJc w:val="left"/>
      <w:pPr>
        <w:ind w:left="1043" w:hanging="313"/>
      </w:pPr>
      <w:rPr>
        <w:rFonts w:hint="default"/>
        <w:lang w:val="en-US" w:eastAsia="en-US" w:bidi="ar-SA"/>
      </w:rPr>
    </w:lvl>
    <w:lvl w:ilvl="3">
      <w:start w:val="0"/>
      <w:numFmt w:val="bullet"/>
      <w:lvlText w:val="•"/>
      <w:lvlJc w:val="left"/>
      <w:pPr>
        <w:ind w:left="1354" w:hanging="313"/>
      </w:pPr>
      <w:rPr>
        <w:rFonts w:hint="default"/>
        <w:lang w:val="en-US" w:eastAsia="en-US" w:bidi="ar-SA"/>
      </w:rPr>
    </w:lvl>
    <w:lvl w:ilvl="4">
      <w:start w:val="0"/>
      <w:numFmt w:val="bullet"/>
      <w:lvlText w:val="•"/>
      <w:lvlJc w:val="left"/>
      <w:pPr>
        <w:ind w:left="1666" w:hanging="313"/>
      </w:pPr>
      <w:rPr>
        <w:rFonts w:hint="default"/>
        <w:lang w:val="en-US" w:eastAsia="en-US" w:bidi="ar-SA"/>
      </w:rPr>
    </w:lvl>
    <w:lvl w:ilvl="5">
      <w:start w:val="0"/>
      <w:numFmt w:val="bullet"/>
      <w:lvlText w:val="•"/>
      <w:lvlJc w:val="left"/>
      <w:pPr>
        <w:ind w:left="1977" w:hanging="313"/>
      </w:pPr>
      <w:rPr>
        <w:rFonts w:hint="default"/>
        <w:lang w:val="en-US" w:eastAsia="en-US" w:bidi="ar-SA"/>
      </w:rPr>
    </w:lvl>
    <w:lvl w:ilvl="6">
      <w:start w:val="0"/>
      <w:numFmt w:val="bullet"/>
      <w:lvlText w:val="•"/>
      <w:lvlJc w:val="left"/>
      <w:pPr>
        <w:ind w:left="2289" w:hanging="313"/>
      </w:pPr>
      <w:rPr>
        <w:rFonts w:hint="default"/>
        <w:lang w:val="en-US" w:eastAsia="en-US" w:bidi="ar-SA"/>
      </w:rPr>
    </w:lvl>
    <w:lvl w:ilvl="7">
      <w:start w:val="0"/>
      <w:numFmt w:val="bullet"/>
      <w:lvlText w:val="•"/>
      <w:lvlJc w:val="left"/>
      <w:pPr>
        <w:ind w:left="2600" w:hanging="313"/>
      </w:pPr>
      <w:rPr>
        <w:rFonts w:hint="default"/>
        <w:lang w:val="en-US" w:eastAsia="en-US" w:bidi="ar-SA"/>
      </w:rPr>
    </w:lvl>
    <w:lvl w:ilvl="8">
      <w:start w:val="0"/>
      <w:numFmt w:val="bullet"/>
      <w:lvlText w:val="•"/>
      <w:lvlJc w:val="left"/>
      <w:pPr>
        <w:ind w:left="2912" w:hanging="313"/>
      </w:pPr>
      <w:rPr>
        <w:rFonts w:hint="default"/>
        <w:lang w:val="en-US" w:eastAsia="en-US" w:bidi="ar-SA"/>
      </w:rPr>
    </w:lvl>
  </w:abstractNum>
  <w:abstractNum w:abstractNumId="55">
    <w:multiLevelType w:val="hybridMultilevel"/>
    <w:lvl w:ilvl="0">
      <w:start w:val="0"/>
      <w:numFmt w:val="bullet"/>
      <w:lvlText w:val=""/>
      <w:lvlJc w:val="left"/>
      <w:pPr>
        <w:ind w:left="417"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31" w:hanging="313"/>
      </w:pPr>
      <w:rPr>
        <w:rFonts w:hint="default"/>
        <w:lang w:val="en-US" w:eastAsia="en-US" w:bidi="ar-SA"/>
      </w:rPr>
    </w:lvl>
    <w:lvl w:ilvl="2">
      <w:start w:val="0"/>
      <w:numFmt w:val="bullet"/>
      <w:lvlText w:val="•"/>
      <w:lvlJc w:val="left"/>
      <w:pPr>
        <w:ind w:left="1043" w:hanging="313"/>
      </w:pPr>
      <w:rPr>
        <w:rFonts w:hint="default"/>
        <w:lang w:val="en-US" w:eastAsia="en-US" w:bidi="ar-SA"/>
      </w:rPr>
    </w:lvl>
    <w:lvl w:ilvl="3">
      <w:start w:val="0"/>
      <w:numFmt w:val="bullet"/>
      <w:lvlText w:val="•"/>
      <w:lvlJc w:val="left"/>
      <w:pPr>
        <w:ind w:left="1354" w:hanging="313"/>
      </w:pPr>
      <w:rPr>
        <w:rFonts w:hint="default"/>
        <w:lang w:val="en-US" w:eastAsia="en-US" w:bidi="ar-SA"/>
      </w:rPr>
    </w:lvl>
    <w:lvl w:ilvl="4">
      <w:start w:val="0"/>
      <w:numFmt w:val="bullet"/>
      <w:lvlText w:val="•"/>
      <w:lvlJc w:val="left"/>
      <w:pPr>
        <w:ind w:left="1666" w:hanging="313"/>
      </w:pPr>
      <w:rPr>
        <w:rFonts w:hint="default"/>
        <w:lang w:val="en-US" w:eastAsia="en-US" w:bidi="ar-SA"/>
      </w:rPr>
    </w:lvl>
    <w:lvl w:ilvl="5">
      <w:start w:val="0"/>
      <w:numFmt w:val="bullet"/>
      <w:lvlText w:val="•"/>
      <w:lvlJc w:val="left"/>
      <w:pPr>
        <w:ind w:left="1977" w:hanging="313"/>
      </w:pPr>
      <w:rPr>
        <w:rFonts w:hint="default"/>
        <w:lang w:val="en-US" w:eastAsia="en-US" w:bidi="ar-SA"/>
      </w:rPr>
    </w:lvl>
    <w:lvl w:ilvl="6">
      <w:start w:val="0"/>
      <w:numFmt w:val="bullet"/>
      <w:lvlText w:val="•"/>
      <w:lvlJc w:val="left"/>
      <w:pPr>
        <w:ind w:left="2289" w:hanging="313"/>
      </w:pPr>
      <w:rPr>
        <w:rFonts w:hint="default"/>
        <w:lang w:val="en-US" w:eastAsia="en-US" w:bidi="ar-SA"/>
      </w:rPr>
    </w:lvl>
    <w:lvl w:ilvl="7">
      <w:start w:val="0"/>
      <w:numFmt w:val="bullet"/>
      <w:lvlText w:val="•"/>
      <w:lvlJc w:val="left"/>
      <w:pPr>
        <w:ind w:left="2600" w:hanging="313"/>
      </w:pPr>
      <w:rPr>
        <w:rFonts w:hint="default"/>
        <w:lang w:val="en-US" w:eastAsia="en-US" w:bidi="ar-SA"/>
      </w:rPr>
    </w:lvl>
    <w:lvl w:ilvl="8">
      <w:start w:val="0"/>
      <w:numFmt w:val="bullet"/>
      <w:lvlText w:val="•"/>
      <w:lvlJc w:val="left"/>
      <w:pPr>
        <w:ind w:left="2912" w:hanging="313"/>
      </w:pPr>
      <w:rPr>
        <w:rFonts w:hint="default"/>
        <w:lang w:val="en-US" w:eastAsia="en-US" w:bidi="ar-SA"/>
      </w:rPr>
    </w:lvl>
  </w:abstractNum>
  <w:abstractNum w:abstractNumId="54">
    <w:multiLevelType w:val="hybridMultilevel"/>
    <w:lvl w:ilvl="0">
      <w:start w:val="0"/>
      <w:numFmt w:val="bullet"/>
      <w:lvlText w:val=""/>
      <w:lvlJc w:val="left"/>
      <w:pPr>
        <w:ind w:left="417"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31" w:hanging="313"/>
      </w:pPr>
      <w:rPr>
        <w:rFonts w:hint="default"/>
        <w:lang w:val="en-US" w:eastAsia="en-US" w:bidi="ar-SA"/>
      </w:rPr>
    </w:lvl>
    <w:lvl w:ilvl="2">
      <w:start w:val="0"/>
      <w:numFmt w:val="bullet"/>
      <w:lvlText w:val="•"/>
      <w:lvlJc w:val="left"/>
      <w:pPr>
        <w:ind w:left="1043" w:hanging="313"/>
      </w:pPr>
      <w:rPr>
        <w:rFonts w:hint="default"/>
        <w:lang w:val="en-US" w:eastAsia="en-US" w:bidi="ar-SA"/>
      </w:rPr>
    </w:lvl>
    <w:lvl w:ilvl="3">
      <w:start w:val="0"/>
      <w:numFmt w:val="bullet"/>
      <w:lvlText w:val="•"/>
      <w:lvlJc w:val="left"/>
      <w:pPr>
        <w:ind w:left="1354" w:hanging="313"/>
      </w:pPr>
      <w:rPr>
        <w:rFonts w:hint="default"/>
        <w:lang w:val="en-US" w:eastAsia="en-US" w:bidi="ar-SA"/>
      </w:rPr>
    </w:lvl>
    <w:lvl w:ilvl="4">
      <w:start w:val="0"/>
      <w:numFmt w:val="bullet"/>
      <w:lvlText w:val="•"/>
      <w:lvlJc w:val="left"/>
      <w:pPr>
        <w:ind w:left="1666" w:hanging="313"/>
      </w:pPr>
      <w:rPr>
        <w:rFonts w:hint="default"/>
        <w:lang w:val="en-US" w:eastAsia="en-US" w:bidi="ar-SA"/>
      </w:rPr>
    </w:lvl>
    <w:lvl w:ilvl="5">
      <w:start w:val="0"/>
      <w:numFmt w:val="bullet"/>
      <w:lvlText w:val="•"/>
      <w:lvlJc w:val="left"/>
      <w:pPr>
        <w:ind w:left="1977" w:hanging="313"/>
      </w:pPr>
      <w:rPr>
        <w:rFonts w:hint="default"/>
        <w:lang w:val="en-US" w:eastAsia="en-US" w:bidi="ar-SA"/>
      </w:rPr>
    </w:lvl>
    <w:lvl w:ilvl="6">
      <w:start w:val="0"/>
      <w:numFmt w:val="bullet"/>
      <w:lvlText w:val="•"/>
      <w:lvlJc w:val="left"/>
      <w:pPr>
        <w:ind w:left="2289" w:hanging="313"/>
      </w:pPr>
      <w:rPr>
        <w:rFonts w:hint="default"/>
        <w:lang w:val="en-US" w:eastAsia="en-US" w:bidi="ar-SA"/>
      </w:rPr>
    </w:lvl>
    <w:lvl w:ilvl="7">
      <w:start w:val="0"/>
      <w:numFmt w:val="bullet"/>
      <w:lvlText w:val="•"/>
      <w:lvlJc w:val="left"/>
      <w:pPr>
        <w:ind w:left="2600" w:hanging="313"/>
      </w:pPr>
      <w:rPr>
        <w:rFonts w:hint="default"/>
        <w:lang w:val="en-US" w:eastAsia="en-US" w:bidi="ar-SA"/>
      </w:rPr>
    </w:lvl>
    <w:lvl w:ilvl="8">
      <w:start w:val="0"/>
      <w:numFmt w:val="bullet"/>
      <w:lvlText w:val="•"/>
      <w:lvlJc w:val="left"/>
      <w:pPr>
        <w:ind w:left="2912" w:hanging="313"/>
      </w:pPr>
      <w:rPr>
        <w:rFonts w:hint="default"/>
        <w:lang w:val="en-US" w:eastAsia="en-US" w:bidi="ar-SA"/>
      </w:rPr>
    </w:lvl>
  </w:abstractNum>
  <w:abstractNum w:abstractNumId="53">
    <w:multiLevelType w:val="hybridMultilevel"/>
    <w:lvl w:ilvl="0">
      <w:start w:val="0"/>
      <w:numFmt w:val="bullet"/>
      <w:lvlText w:val=""/>
      <w:lvlJc w:val="left"/>
      <w:pPr>
        <w:ind w:left="431"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49" w:hanging="313"/>
      </w:pPr>
      <w:rPr>
        <w:rFonts w:hint="default"/>
        <w:lang w:val="en-US" w:eastAsia="en-US" w:bidi="ar-SA"/>
      </w:rPr>
    </w:lvl>
    <w:lvl w:ilvl="2">
      <w:start w:val="0"/>
      <w:numFmt w:val="bullet"/>
      <w:lvlText w:val="•"/>
      <w:lvlJc w:val="left"/>
      <w:pPr>
        <w:ind w:left="1059" w:hanging="313"/>
      </w:pPr>
      <w:rPr>
        <w:rFonts w:hint="default"/>
        <w:lang w:val="en-US" w:eastAsia="en-US" w:bidi="ar-SA"/>
      </w:rPr>
    </w:lvl>
    <w:lvl w:ilvl="3">
      <w:start w:val="0"/>
      <w:numFmt w:val="bullet"/>
      <w:lvlText w:val="•"/>
      <w:lvlJc w:val="left"/>
      <w:pPr>
        <w:ind w:left="1368" w:hanging="313"/>
      </w:pPr>
      <w:rPr>
        <w:rFonts w:hint="default"/>
        <w:lang w:val="en-US" w:eastAsia="en-US" w:bidi="ar-SA"/>
      </w:rPr>
    </w:lvl>
    <w:lvl w:ilvl="4">
      <w:start w:val="0"/>
      <w:numFmt w:val="bullet"/>
      <w:lvlText w:val="•"/>
      <w:lvlJc w:val="left"/>
      <w:pPr>
        <w:ind w:left="1678" w:hanging="313"/>
      </w:pPr>
      <w:rPr>
        <w:rFonts w:hint="default"/>
        <w:lang w:val="en-US" w:eastAsia="en-US" w:bidi="ar-SA"/>
      </w:rPr>
    </w:lvl>
    <w:lvl w:ilvl="5">
      <w:start w:val="0"/>
      <w:numFmt w:val="bullet"/>
      <w:lvlText w:val="•"/>
      <w:lvlJc w:val="left"/>
      <w:pPr>
        <w:ind w:left="1987" w:hanging="313"/>
      </w:pPr>
      <w:rPr>
        <w:rFonts w:hint="default"/>
        <w:lang w:val="en-US" w:eastAsia="en-US" w:bidi="ar-SA"/>
      </w:rPr>
    </w:lvl>
    <w:lvl w:ilvl="6">
      <w:start w:val="0"/>
      <w:numFmt w:val="bullet"/>
      <w:lvlText w:val="•"/>
      <w:lvlJc w:val="left"/>
      <w:pPr>
        <w:ind w:left="2297" w:hanging="313"/>
      </w:pPr>
      <w:rPr>
        <w:rFonts w:hint="default"/>
        <w:lang w:val="en-US" w:eastAsia="en-US" w:bidi="ar-SA"/>
      </w:rPr>
    </w:lvl>
    <w:lvl w:ilvl="7">
      <w:start w:val="0"/>
      <w:numFmt w:val="bullet"/>
      <w:lvlText w:val="•"/>
      <w:lvlJc w:val="left"/>
      <w:pPr>
        <w:ind w:left="2606" w:hanging="313"/>
      </w:pPr>
      <w:rPr>
        <w:rFonts w:hint="default"/>
        <w:lang w:val="en-US" w:eastAsia="en-US" w:bidi="ar-SA"/>
      </w:rPr>
    </w:lvl>
    <w:lvl w:ilvl="8">
      <w:start w:val="0"/>
      <w:numFmt w:val="bullet"/>
      <w:lvlText w:val="•"/>
      <w:lvlJc w:val="left"/>
      <w:pPr>
        <w:ind w:left="2916" w:hanging="313"/>
      </w:pPr>
      <w:rPr>
        <w:rFonts w:hint="default"/>
        <w:lang w:val="en-US" w:eastAsia="en-US" w:bidi="ar-SA"/>
      </w:rPr>
    </w:lvl>
  </w:abstractNum>
  <w:abstractNum w:abstractNumId="52">
    <w:multiLevelType w:val="hybridMultilevel"/>
    <w:lvl w:ilvl="0">
      <w:start w:val="0"/>
      <w:numFmt w:val="bullet"/>
      <w:lvlText w:val=""/>
      <w:lvlJc w:val="left"/>
      <w:pPr>
        <w:ind w:left="431"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49" w:hanging="313"/>
      </w:pPr>
      <w:rPr>
        <w:rFonts w:hint="default"/>
        <w:lang w:val="en-US" w:eastAsia="en-US" w:bidi="ar-SA"/>
      </w:rPr>
    </w:lvl>
    <w:lvl w:ilvl="2">
      <w:start w:val="0"/>
      <w:numFmt w:val="bullet"/>
      <w:lvlText w:val="•"/>
      <w:lvlJc w:val="left"/>
      <w:pPr>
        <w:ind w:left="1059" w:hanging="313"/>
      </w:pPr>
      <w:rPr>
        <w:rFonts w:hint="default"/>
        <w:lang w:val="en-US" w:eastAsia="en-US" w:bidi="ar-SA"/>
      </w:rPr>
    </w:lvl>
    <w:lvl w:ilvl="3">
      <w:start w:val="0"/>
      <w:numFmt w:val="bullet"/>
      <w:lvlText w:val="•"/>
      <w:lvlJc w:val="left"/>
      <w:pPr>
        <w:ind w:left="1368" w:hanging="313"/>
      </w:pPr>
      <w:rPr>
        <w:rFonts w:hint="default"/>
        <w:lang w:val="en-US" w:eastAsia="en-US" w:bidi="ar-SA"/>
      </w:rPr>
    </w:lvl>
    <w:lvl w:ilvl="4">
      <w:start w:val="0"/>
      <w:numFmt w:val="bullet"/>
      <w:lvlText w:val="•"/>
      <w:lvlJc w:val="left"/>
      <w:pPr>
        <w:ind w:left="1678" w:hanging="313"/>
      </w:pPr>
      <w:rPr>
        <w:rFonts w:hint="default"/>
        <w:lang w:val="en-US" w:eastAsia="en-US" w:bidi="ar-SA"/>
      </w:rPr>
    </w:lvl>
    <w:lvl w:ilvl="5">
      <w:start w:val="0"/>
      <w:numFmt w:val="bullet"/>
      <w:lvlText w:val="•"/>
      <w:lvlJc w:val="left"/>
      <w:pPr>
        <w:ind w:left="1987" w:hanging="313"/>
      </w:pPr>
      <w:rPr>
        <w:rFonts w:hint="default"/>
        <w:lang w:val="en-US" w:eastAsia="en-US" w:bidi="ar-SA"/>
      </w:rPr>
    </w:lvl>
    <w:lvl w:ilvl="6">
      <w:start w:val="0"/>
      <w:numFmt w:val="bullet"/>
      <w:lvlText w:val="•"/>
      <w:lvlJc w:val="left"/>
      <w:pPr>
        <w:ind w:left="2297" w:hanging="313"/>
      </w:pPr>
      <w:rPr>
        <w:rFonts w:hint="default"/>
        <w:lang w:val="en-US" w:eastAsia="en-US" w:bidi="ar-SA"/>
      </w:rPr>
    </w:lvl>
    <w:lvl w:ilvl="7">
      <w:start w:val="0"/>
      <w:numFmt w:val="bullet"/>
      <w:lvlText w:val="•"/>
      <w:lvlJc w:val="left"/>
      <w:pPr>
        <w:ind w:left="2606" w:hanging="313"/>
      </w:pPr>
      <w:rPr>
        <w:rFonts w:hint="default"/>
        <w:lang w:val="en-US" w:eastAsia="en-US" w:bidi="ar-SA"/>
      </w:rPr>
    </w:lvl>
    <w:lvl w:ilvl="8">
      <w:start w:val="0"/>
      <w:numFmt w:val="bullet"/>
      <w:lvlText w:val="•"/>
      <w:lvlJc w:val="left"/>
      <w:pPr>
        <w:ind w:left="2916" w:hanging="313"/>
      </w:pPr>
      <w:rPr>
        <w:rFonts w:hint="default"/>
        <w:lang w:val="en-US" w:eastAsia="en-US" w:bidi="ar-SA"/>
      </w:rPr>
    </w:lvl>
  </w:abstractNum>
  <w:abstractNum w:abstractNumId="51">
    <w:multiLevelType w:val="hybridMultilevel"/>
    <w:lvl w:ilvl="0">
      <w:start w:val="0"/>
      <w:numFmt w:val="bullet"/>
      <w:lvlText w:val=""/>
      <w:lvlJc w:val="left"/>
      <w:pPr>
        <w:ind w:left="431"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49" w:hanging="313"/>
      </w:pPr>
      <w:rPr>
        <w:rFonts w:hint="default"/>
        <w:lang w:val="en-US" w:eastAsia="en-US" w:bidi="ar-SA"/>
      </w:rPr>
    </w:lvl>
    <w:lvl w:ilvl="2">
      <w:start w:val="0"/>
      <w:numFmt w:val="bullet"/>
      <w:lvlText w:val="•"/>
      <w:lvlJc w:val="left"/>
      <w:pPr>
        <w:ind w:left="1059" w:hanging="313"/>
      </w:pPr>
      <w:rPr>
        <w:rFonts w:hint="default"/>
        <w:lang w:val="en-US" w:eastAsia="en-US" w:bidi="ar-SA"/>
      </w:rPr>
    </w:lvl>
    <w:lvl w:ilvl="3">
      <w:start w:val="0"/>
      <w:numFmt w:val="bullet"/>
      <w:lvlText w:val="•"/>
      <w:lvlJc w:val="left"/>
      <w:pPr>
        <w:ind w:left="1368" w:hanging="313"/>
      </w:pPr>
      <w:rPr>
        <w:rFonts w:hint="default"/>
        <w:lang w:val="en-US" w:eastAsia="en-US" w:bidi="ar-SA"/>
      </w:rPr>
    </w:lvl>
    <w:lvl w:ilvl="4">
      <w:start w:val="0"/>
      <w:numFmt w:val="bullet"/>
      <w:lvlText w:val="•"/>
      <w:lvlJc w:val="left"/>
      <w:pPr>
        <w:ind w:left="1678" w:hanging="313"/>
      </w:pPr>
      <w:rPr>
        <w:rFonts w:hint="default"/>
        <w:lang w:val="en-US" w:eastAsia="en-US" w:bidi="ar-SA"/>
      </w:rPr>
    </w:lvl>
    <w:lvl w:ilvl="5">
      <w:start w:val="0"/>
      <w:numFmt w:val="bullet"/>
      <w:lvlText w:val="•"/>
      <w:lvlJc w:val="left"/>
      <w:pPr>
        <w:ind w:left="1987" w:hanging="313"/>
      </w:pPr>
      <w:rPr>
        <w:rFonts w:hint="default"/>
        <w:lang w:val="en-US" w:eastAsia="en-US" w:bidi="ar-SA"/>
      </w:rPr>
    </w:lvl>
    <w:lvl w:ilvl="6">
      <w:start w:val="0"/>
      <w:numFmt w:val="bullet"/>
      <w:lvlText w:val="•"/>
      <w:lvlJc w:val="left"/>
      <w:pPr>
        <w:ind w:left="2297" w:hanging="313"/>
      </w:pPr>
      <w:rPr>
        <w:rFonts w:hint="default"/>
        <w:lang w:val="en-US" w:eastAsia="en-US" w:bidi="ar-SA"/>
      </w:rPr>
    </w:lvl>
    <w:lvl w:ilvl="7">
      <w:start w:val="0"/>
      <w:numFmt w:val="bullet"/>
      <w:lvlText w:val="•"/>
      <w:lvlJc w:val="left"/>
      <w:pPr>
        <w:ind w:left="2606" w:hanging="313"/>
      </w:pPr>
      <w:rPr>
        <w:rFonts w:hint="default"/>
        <w:lang w:val="en-US" w:eastAsia="en-US" w:bidi="ar-SA"/>
      </w:rPr>
    </w:lvl>
    <w:lvl w:ilvl="8">
      <w:start w:val="0"/>
      <w:numFmt w:val="bullet"/>
      <w:lvlText w:val="•"/>
      <w:lvlJc w:val="left"/>
      <w:pPr>
        <w:ind w:left="2916" w:hanging="313"/>
      </w:pPr>
      <w:rPr>
        <w:rFonts w:hint="default"/>
        <w:lang w:val="en-US" w:eastAsia="en-US" w:bidi="ar-SA"/>
      </w:rPr>
    </w:lvl>
  </w:abstractNum>
  <w:abstractNum w:abstractNumId="50">
    <w:multiLevelType w:val="hybridMultilevel"/>
    <w:lvl w:ilvl="0">
      <w:start w:val="0"/>
      <w:numFmt w:val="bullet"/>
      <w:lvlText w:val=""/>
      <w:lvlJc w:val="left"/>
      <w:pPr>
        <w:ind w:left="431"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49" w:hanging="313"/>
      </w:pPr>
      <w:rPr>
        <w:rFonts w:hint="default"/>
        <w:lang w:val="en-US" w:eastAsia="en-US" w:bidi="ar-SA"/>
      </w:rPr>
    </w:lvl>
    <w:lvl w:ilvl="2">
      <w:start w:val="0"/>
      <w:numFmt w:val="bullet"/>
      <w:lvlText w:val="•"/>
      <w:lvlJc w:val="left"/>
      <w:pPr>
        <w:ind w:left="1059" w:hanging="313"/>
      </w:pPr>
      <w:rPr>
        <w:rFonts w:hint="default"/>
        <w:lang w:val="en-US" w:eastAsia="en-US" w:bidi="ar-SA"/>
      </w:rPr>
    </w:lvl>
    <w:lvl w:ilvl="3">
      <w:start w:val="0"/>
      <w:numFmt w:val="bullet"/>
      <w:lvlText w:val="•"/>
      <w:lvlJc w:val="left"/>
      <w:pPr>
        <w:ind w:left="1368" w:hanging="313"/>
      </w:pPr>
      <w:rPr>
        <w:rFonts w:hint="default"/>
        <w:lang w:val="en-US" w:eastAsia="en-US" w:bidi="ar-SA"/>
      </w:rPr>
    </w:lvl>
    <w:lvl w:ilvl="4">
      <w:start w:val="0"/>
      <w:numFmt w:val="bullet"/>
      <w:lvlText w:val="•"/>
      <w:lvlJc w:val="left"/>
      <w:pPr>
        <w:ind w:left="1678" w:hanging="313"/>
      </w:pPr>
      <w:rPr>
        <w:rFonts w:hint="default"/>
        <w:lang w:val="en-US" w:eastAsia="en-US" w:bidi="ar-SA"/>
      </w:rPr>
    </w:lvl>
    <w:lvl w:ilvl="5">
      <w:start w:val="0"/>
      <w:numFmt w:val="bullet"/>
      <w:lvlText w:val="•"/>
      <w:lvlJc w:val="left"/>
      <w:pPr>
        <w:ind w:left="1987" w:hanging="313"/>
      </w:pPr>
      <w:rPr>
        <w:rFonts w:hint="default"/>
        <w:lang w:val="en-US" w:eastAsia="en-US" w:bidi="ar-SA"/>
      </w:rPr>
    </w:lvl>
    <w:lvl w:ilvl="6">
      <w:start w:val="0"/>
      <w:numFmt w:val="bullet"/>
      <w:lvlText w:val="•"/>
      <w:lvlJc w:val="left"/>
      <w:pPr>
        <w:ind w:left="2297" w:hanging="313"/>
      </w:pPr>
      <w:rPr>
        <w:rFonts w:hint="default"/>
        <w:lang w:val="en-US" w:eastAsia="en-US" w:bidi="ar-SA"/>
      </w:rPr>
    </w:lvl>
    <w:lvl w:ilvl="7">
      <w:start w:val="0"/>
      <w:numFmt w:val="bullet"/>
      <w:lvlText w:val="•"/>
      <w:lvlJc w:val="left"/>
      <w:pPr>
        <w:ind w:left="2606" w:hanging="313"/>
      </w:pPr>
      <w:rPr>
        <w:rFonts w:hint="default"/>
        <w:lang w:val="en-US" w:eastAsia="en-US" w:bidi="ar-SA"/>
      </w:rPr>
    </w:lvl>
    <w:lvl w:ilvl="8">
      <w:start w:val="0"/>
      <w:numFmt w:val="bullet"/>
      <w:lvlText w:val="•"/>
      <w:lvlJc w:val="left"/>
      <w:pPr>
        <w:ind w:left="2916" w:hanging="313"/>
      </w:pPr>
      <w:rPr>
        <w:rFonts w:hint="default"/>
        <w:lang w:val="en-US" w:eastAsia="en-US" w:bidi="ar-SA"/>
      </w:rPr>
    </w:lvl>
  </w:abstractNum>
  <w:abstractNum w:abstractNumId="49">
    <w:multiLevelType w:val="hybridMultilevel"/>
    <w:lvl w:ilvl="0">
      <w:start w:val="0"/>
      <w:numFmt w:val="bullet"/>
      <w:lvlText w:val=""/>
      <w:lvlJc w:val="left"/>
      <w:pPr>
        <w:ind w:left="431"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49" w:hanging="313"/>
      </w:pPr>
      <w:rPr>
        <w:rFonts w:hint="default"/>
        <w:lang w:val="en-US" w:eastAsia="en-US" w:bidi="ar-SA"/>
      </w:rPr>
    </w:lvl>
    <w:lvl w:ilvl="2">
      <w:start w:val="0"/>
      <w:numFmt w:val="bullet"/>
      <w:lvlText w:val="•"/>
      <w:lvlJc w:val="left"/>
      <w:pPr>
        <w:ind w:left="1059" w:hanging="313"/>
      </w:pPr>
      <w:rPr>
        <w:rFonts w:hint="default"/>
        <w:lang w:val="en-US" w:eastAsia="en-US" w:bidi="ar-SA"/>
      </w:rPr>
    </w:lvl>
    <w:lvl w:ilvl="3">
      <w:start w:val="0"/>
      <w:numFmt w:val="bullet"/>
      <w:lvlText w:val="•"/>
      <w:lvlJc w:val="left"/>
      <w:pPr>
        <w:ind w:left="1368" w:hanging="313"/>
      </w:pPr>
      <w:rPr>
        <w:rFonts w:hint="default"/>
        <w:lang w:val="en-US" w:eastAsia="en-US" w:bidi="ar-SA"/>
      </w:rPr>
    </w:lvl>
    <w:lvl w:ilvl="4">
      <w:start w:val="0"/>
      <w:numFmt w:val="bullet"/>
      <w:lvlText w:val="•"/>
      <w:lvlJc w:val="left"/>
      <w:pPr>
        <w:ind w:left="1678" w:hanging="313"/>
      </w:pPr>
      <w:rPr>
        <w:rFonts w:hint="default"/>
        <w:lang w:val="en-US" w:eastAsia="en-US" w:bidi="ar-SA"/>
      </w:rPr>
    </w:lvl>
    <w:lvl w:ilvl="5">
      <w:start w:val="0"/>
      <w:numFmt w:val="bullet"/>
      <w:lvlText w:val="•"/>
      <w:lvlJc w:val="left"/>
      <w:pPr>
        <w:ind w:left="1987" w:hanging="313"/>
      </w:pPr>
      <w:rPr>
        <w:rFonts w:hint="default"/>
        <w:lang w:val="en-US" w:eastAsia="en-US" w:bidi="ar-SA"/>
      </w:rPr>
    </w:lvl>
    <w:lvl w:ilvl="6">
      <w:start w:val="0"/>
      <w:numFmt w:val="bullet"/>
      <w:lvlText w:val="•"/>
      <w:lvlJc w:val="left"/>
      <w:pPr>
        <w:ind w:left="2297" w:hanging="313"/>
      </w:pPr>
      <w:rPr>
        <w:rFonts w:hint="default"/>
        <w:lang w:val="en-US" w:eastAsia="en-US" w:bidi="ar-SA"/>
      </w:rPr>
    </w:lvl>
    <w:lvl w:ilvl="7">
      <w:start w:val="0"/>
      <w:numFmt w:val="bullet"/>
      <w:lvlText w:val="•"/>
      <w:lvlJc w:val="left"/>
      <w:pPr>
        <w:ind w:left="2606" w:hanging="313"/>
      </w:pPr>
      <w:rPr>
        <w:rFonts w:hint="default"/>
        <w:lang w:val="en-US" w:eastAsia="en-US" w:bidi="ar-SA"/>
      </w:rPr>
    </w:lvl>
    <w:lvl w:ilvl="8">
      <w:start w:val="0"/>
      <w:numFmt w:val="bullet"/>
      <w:lvlText w:val="•"/>
      <w:lvlJc w:val="left"/>
      <w:pPr>
        <w:ind w:left="2916" w:hanging="313"/>
      </w:pPr>
      <w:rPr>
        <w:rFonts w:hint="default"/>
        <w:lang w:val="en-US" w:eastAsia="en-US" w:bidi="ar-SA"/>
      </w:rPr>
    </w:lvl>
  </w:abstractNum>
  <w:abstractNum w:abstractNumId="48">
    <w:multiLevelType w:val="hybridMultilevel"/>
    <w:lvl w:ilvl="0">
      <w:start w:val="0"/>
      <w:numFmt w:val="bullet"/>
      <w:lvlText w:val=""/>
      <w:lvlJc w:val="left"/>
      <w:pPr>
        <w:ind w:left="431"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49" w:hanging="313"/>
      </w:pPr>
      <w:rPr>
        <w:rFonts w:hint="default"/>
        <w:lang w:val="en-US" w:eastAsia="en-US" w:bidi="ar-SA"/>
      </w:rPr>
    </w:lvl>
    <w:lvl w:ilvl="2">
      <w:start w:val="0"/>
      <w:numFmt w:val="bullet"/>
      <w:lvlText w:val="•"/>
      <w:lvlJc w:val="left"/>
      <w:pPr>
        <w:ind w:left="1059" w:hanging="313"/>
      </w:pPr>
      <w:rPr>
        <w:rFonts w:hint="default"/>
        <w:lang w:val="en-US" w:eastAsia="en-US" w:bidi="ar-SA"/>
      </w:rPr>
    </w:lvl>
    <w:lvl w:ilvl="3">
      <w:start w:val="0"/>
      <w:numFmt w:val="bullet"/>
      <w:lvlText w:val="•"/>
      <w:lvlJc w:val="left"/>
      <w:pPr>
        <w:ind w:left="1368" w:hanging="313"/>
      </w:pPr>
      <w:rPr>
        <w:rFonts w:hint="default"/>
        <w:lang w:val="en-US" w:eastAsia="en-US" w:bidi="ar-SA"/>
      </w:rPr>
    </w:lvl>
    <w:lvl w:ilvl="4">
      <w:start w:val="0"/>
      <w:numFmt w:val="bullet"/>
      <w:lvlText w:val="•"/>
      <w:lvlJc w:val="left"/>
      <w:pPr>
        <w:ind w:left="1678" w:hanging="313"/>
      </w:pPr>
      <w:rPr>
        <w:rFonts w:hint="default"/>
        <w:lang w:val="en-US" w:eastAsia="en-US" w:bidi="ar-SA"/>
      </w:rPr>
    </w:lvl>
    <w:lvl w:ilvl="5">
      <w:start w:val="0"/>
      <w:numFmt w:val="bullet"/>
      <w:lvlText w:val="•"/>
      <w:lvlJc w:val="left"/>
      <w:pPr>
        <w:ind w:left="1987" w:hanging="313"/>
      </w:pPr>
      <w:rPr>
        <w:rFonts w:hint="default"/>
        <w:lang w:val="en-US" w:eastAsia="en-US" w:bidi="ar-SA"/>
      </w:rPr>
    </w:lvl>
    <w:lvl w:ilvl="6">
      <w:start w:val="0"/>
      <w:numFmt w:val="bullet"/>
      <w:lvlText w:val="•"/>
      <w:lvlJc w:val="left"/>
      <w:pPr>
        <w:ind w:left="2297" w:hanging="313"/>
      </w:pPr>
      <w:rPr>
        <w:rFonts w:hint="default"/>
        <w:lang w:val="en-US" w:eastAsia="en-US" w:bidi="ar-SA"/>
      </w:rPr>
    </w:lvl>
    <w:lvl w:ilvl="7">
      <w:start w:val="0"/>
      <w:numFmt w:val="bullet"/>
      <w:lvlText w:val="•"/>
      <w:lvlJc w:val="left"/>
      <w:pPr>
        <w:ind w:left="2606" w:hanging="313"/>
      </w:pPr>
      <w:rPr>
        <w:rFonts w:hint="default"/>
        <w:lang w:val="en-US" w:eastAsia="en-US" w:bidi="ar-SA"/>
      </w:rPr>
    </w:lvl>
    <w:lvl w:ilvl="8">
      <w:start w:val="0"/>
      <w:numFmt w:val="bullet"/>
      <w:lvlText w:val="•"/>
      <w:lvlJc w:val="left"/>
      <w:pPr>
        <w:ind w:left="2916" w:hanging="313"/>
      </w:pPr>
      <w:rPr>
        <w:rFonts w:hint="default"/>
        <w:lang w:val="en-US" w:eastAsia="en-US" w:bidi="ar-SA"/>
      </w:rPr>
    </w:lvl>
  </w:abstractNum>
  <w:abstractNum w:abstractNumId="47">
    <w:multiLevelType w:val="hybridMultilevel"/>
    <w:lvl w:ilvl="0">
      <w:start w:val="0"/>
      <w:numFmt w:val="bullet"/>
      <w:lvlText w:val=""/>
      <w:lvlJc w:val="left"/>
      <w:pPr>
        <w:ind w:left="431"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49" w:hanging="313"/>
      </w:pPr>
      <w:rPr>
        <w:rFonts w:hint="default"/>
        <w:lang w:val="en-US" w:eastAsia="en-US" w:bidi="ar-SA"/>
      </w:rPr>
    </w:lvl>
    <w:lvl w:ilvl="2">
      <w:start w:val="0"/>
      <w:numFmt w:val="bullet"/>
      <w:lvlText w:val="•"/>
      <w:lvlJc w:val="left"/>
      <w:pPr>
        <w:ind w:left="1059" w:hanging="313"/>
      </w:pPr>
      <w:rPr>
        <w:rFonts w:hint="default"/>
        <w:lang w:val="en-US" w:eastAsia="en-US" w:bidi="ar-SA"/>
      </w:rPr>
    </w:lvl>
    <w:lvl w:ilvl="3">
      <w:start w:val="0"/>
      <w:numFmt w:val="bullet"/>
      <w:lvlText w:val="•"/>
      <w:lvlJc w:val="left"/>
      <w:pPr>
        <w:ind w:left="1368" w:hanging="313"/>
      </w:pPr>
      <w:rPr>
        <w:rFonts w:hint="default"/>
        <w:lang w:val="en-US" w:eastAsia="en-US" w:bidi="ar-SA"/>
      </w:rPr>
    </w:lvl>
    <w:lvl w:ilvl="4">
      <w:start w:val="0"/>
      <w:numFmt w:val="bullet"/>
      <w:lvlText w:val="•"/>
      <w:lvlJc w:val="left"/>
      <w:pPr>
        <w:ind w:left="1678" w:hanging="313"/>
      </w:pPr>
      <w:rPr>
        <w:rFonts w:hint="default"/>
        <w:lang w:val="en-US" w:eastAsia="en-US" w:bidi="ar-SA"/>
      </w:rPr>
    </w:lvl>
    <w:lvl w:ilvl="5">
      <w:start w:val="0"/>
      <w:numFmt w:val="bullet"/>
      <w:lvlText w:val="•"/>
      <w:lvlJc w:val="left"/>
      <w:pPr>
        <w:ind w:left="1987" w:hanging="313"/>
      </w:pPr>
      <w:rPr>
        <w:rFonts w:hint="default"/>
        <w:lang w:val="en-US" w:eastAsia="en-US" w:bidi="ar-SA"/>
      </w:rPr>
    </w:lvl>
    <w:lvl w:ilvl="6">
      <w:start w:val="0"/>
      <w:numFmt w:val="bullet"/>
      <w:lvlText w:val="•"/>
      <w:lvlJc w:val="left"/>
      <w:pPr>
        <w:ind w:left="2297" w:hanging="313"/>
      </w:pPr>
      <w:rPr>
        <w:rFonts w:hint="default"/>
        <w:lang w:val="en-US" w:eastAsia="en-US" w:bidi="ar-SA"/>
      </w:rPr>
    </w:lvl>
    <w:lvl w:ilvl="7">
      <w:start w:val="0"/>
      <w:numFmt w:val="bullet"/>
      <w:lvlText w:val="•"/>
      <w:lvlJc w:val="left"/>
      <w:pPr>
        <w:ind w:left="2606" w:hanging="313"/>
      </w:pPr>
      <w:rPr>
        <w:rFonts w:hint="default"/>
        <w:lang w:val="en-US" w:eastAsia="en-US" w:bidi="ar-SA"/>
      </w:rPr>
    </w:lvl>
    <w:lvl w:ilvl="8">
      <w:start w:val="0"/>
      <w:numFmt w:val="bullet"/>
      <w:lvlText w:val="•"/>
      <w:lvlJc w:val="left"/>
      <w:pPr>
        <w:ind w:left="2916" w:hanging="313"/>
      </w:pPr>
      <w:rPr>
        <w:rFonts w:hint="default"/>
        <w:lang w:val="en-US" w:eastAsia="en-US" w:bidi="ar-SA"/>
      </w:rPr>
    </w:lvl>
  </w:abstractNum>
  <w:abstractNum w:abstractNumId="46">
    <w:multiLevelType w:val="hybridMultilevel"/>
    <w:lvl w:ilvl="0">
      <w:start w:val="0"/>
      <w:numFmt w:val="bullet"/>
      <w:lvlText w:val=""/>
      <w:lvlJc w:val="left"/>
      <w:pPr>
        <w:ind w:left="431"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49" w:hanging="313"/>
      </w:pPr>
      <w:rPr>
        <w:rFonts w:hint="default"/>
        <w:lang w:val="en-US" w:eastAsia="en-US" w:bidi="ar-SA"/>
      </w:rPr>
    </w:lvl>
    <w:lvl w:ilvl="2">
      <w:start w:val="0"/>
      <w:numFmt w:val="bullet"/>
      <w:lvlText w:val="•"/>
      <w:lvlJc w:val="left"/>
      <w:pPr>
        <w:ind w:left="1059" w:hanging="313"/>
      </w:pPr>
      <w:rPr>
        <w:rFonts w:hint="default"/>
        <w:lang w:val="en-US" w:eastAsia="en-US" w:bidi="ar-SA"/>
      </w:rPr>
    </w:lvl>
    <w:lvl w:ilvl="3">
      <w:start w:val="0"/>
      <w:numFmt w:val="bullet"/>
      <w:lvlText w:val="•"/>
      <w:lvlJc w:val="left"/>
      <w:pPr>
        <w:ind w:left="1368" w:hanging="313"/>
      </w:pPr>
      <w:rPr>
        <w:rFonts w:hint="default"/>
        <w:lang w:val="en-US" w:eastAsia="en-US" w:bidi="ar-SA"/>
      </w:rPr>
    </w:lvl>
    <w:lvl w:ilvl="4">
      <w:start w:val="0"/>
      <w:numFmt w:val="bullet"/>
      <w:lvlText w:val="•"/>
      <w:lvlJc w:val="left"/>
      <w:pPr>
        <w:ind w:left="1678" w:hanging="313"/>
      </w:pPr>
      <w:rPr>
        <w:rFonts w:hint="default"/>
        <w:lang w:val="en-US" w:eastAsia="en-US" w:bidi="ar-SA"/>
      </w:rPr>
    </w:lvl>
    <w:lvl w:ilvl="5">
      <w:start w:val="0"/>
      <w:numFmt w:val="bullet"/>
      <w:lvlText w:val="•"/>
      <w:lvlJc w:val="left"/>
      <w:pPr>
        <w:ind w:left="1987" w:hanging="313"/>
      </w:pPr>
      <w:rPr>
        <w:rFonts w:hint="default"/>
        <w:lang w:val="en-US" w:eastAsia="en-US" w:bidi="ar-SA"/>
      </w:rPr>
    </w:lvl>
    <w:lvl w:ilvl="6">
      <w:start w:val="0"/>
      <w:numFmt w:val="bullet"/>
      <w:lvlText w:val="•"/>
      <w:lvlJc w:val="left"/>
      <w:pPr>
        <w:ind w:left="2297" w:hanging="313"/>
      </w:pPr>
      <w:rPr>
        <w:rFonts w:hint="default"/>
        <w:lang w:val="en-US" w:eastAsia="en-US" w:bidi="ar-SA"/>
      </w:rPr>
    </w:lvl>
    <w:lvl w:ilvl="7">
      <w:start w:val="0"/>
      <w:numFmt w:val="bullet"/>
      <w:lvlText w:val="•"/>
      <w:lvlJc w:val="left"/>
      <w:pPr>
        <w:ind w:left="2606" w:hanging="313"/>
      </w:pPr>
      <w:rPr>
        <w:rFonts w:hint="default"/>
        <w:lang w:val="en-US" w:eastAsia="en-US" w:bidi="ar-SA"/>
      </w:rPr>
    </w:lvl>
    <w:lvl w:ilvl="8">
      <w:start w:val="0"/>
      <w:numFmt w:val="bullet"/>
      <w:lvlText w:val="•"/>
      <w:lvlJc w:val="left"/>
      <w:pPr>
        <w:ind w:left="2916" w:hanging="313"/>
      </w:pPr>
      <w:rPr>
        <w:rFonts w:hint="default"/>
        <w:lang w:val="en-US" w:eastAsia="en-US" w:bidi="ar-SA"/>
      </w:rPr>
    </w:lvl>
  </w:abstractNum>
  <w:abstractNum w:abstractNumId="45">
    <w:multiLevelType w:val="hybridMultilevel"/>
    <w:lvl w:ilvl="0">
      <w:start w:val="0"/>
      <w:numFmt w:val="bullet"/>
      <w:lvlText w:val=""/>
      <w:lvlJc w:val="left"/>
      <w:pPr>
        <w:ind w:left="431"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49" w:hanging="313"/>
      </w:pPr>
      <w:rPr>
        <w:rFonts w:hint="default"/>
        <w:lang w:val="en-US" w:eastAsia="en-US" w:bidi="ar-SA"/>
      </w:rPr>
    </w:lvl>
    <w:lvl w:ilvl="2">
      <w:start w:val="0"/>
      <w:numFmt w:val="bullet"/>
      <w:lvlText w:val="•"/>
      <w:lvlJc w:val="left"/>
      <w:pPr>
        <w:ind w:left="1059" w:hanging="313"/>
      </w:pPr>
      <w:rPr>
        <w:rFonts w:hint="default"/>
        <w:lang w:val="en-US" w:eastAsia="en-US" w:bidi="ar-SA"/>
      </w:rPr>
    </w:lvl>
    <w:lvl w:ilvl="3">
      <w:start w:val="0"/>
      <w:numFmt w:val="bullet"/>
      <w:lvlText w:val="•"/>
      <w:lvlJc w:val="left"/>
      <w:pPr>
        <w:ind w:left="1368" w:hanging="313"/>
      </w:pPr>
      <w:rPr>
        <w:rFonts w:hint="default"/>
        <w:lang w:val="en-US" w:eastAsia="en-US" w:bidi="ar-SA"/>
      </w:rPr>
    </w:lvl>
    <w:lvl w:ilvl="4">
      <w:start w:val="0"/>
      <w:numFmt w:val="bullet"/>
      <w:lvlText w:val="•"/>
      <w:lvlJc w:val="left"/>
      <w:pPr>
        <w:ind w:left="1678" w:hanging="313"/>
      </w:pPr>
      <w:rPr>
        <w:rFonts w:hint="default"/>
        <w:lang w:val="en-US" w:eastAsia="en-US" w:bidi="ar-SA"/>
      </w:rPr>
    </w:lvl>
    <w:lvl w:ilvl="5">
      <w:start w:val="0"/>
      <w:numFmt w:val="bullet"/>
      <w:lvlText w:val="•"/>
      <w:lvlJc w:val="left"/>
      <w:pPr>
        <w:ind w:left="1987" w:hanging="313"/>
      </w:pPr>
      <w:rPr>
        <w:rFonts w:hint="default"/>
        <w:lang w:val="en-US" w:eastAsia="en-US" w:bidi="ar-SA"/>
      </w:rPr>
    </w:lvl>
    <w:lvl w:ilvl="6">
      <w:start w:val="0"/>
      <w:numFmt w:val="bullet"/>
      <w:lvlText w:val="•"/>
      <w:lvlJc w:val="left"/>
      <w:pPr>
        <w:ind w:left="2297" w:hanging="313"/>
      </w:pPr>
      <w:rPr>
        <w:rFonts w:hint="default"/>
        <w:lang w:val="en-US" w:eastAsia="en-US" w:bidi="ar-SA"/>
      </w:rPr>
    </w:lvl>
    <w:lvl w:ilvl="7">
      <w:start w:val="0"/>
      <w:numFmt w:val="bullet"/>
      <w:lvlText w:val="•"/>
      <w:lvlJc w:val="left"/>
      <w:pPr>
        <w:ind w:left="2606" w:hanging="313"/>
      </w:pPr>
      <w:rPr>
        <w:rFonts w:hint="default"/>
        <w:lang w:val="en-US" w:eastAsia="en-US" w:bidi="ar-SA"/>
      </w:rPr>
    </w:lvl>
    <w:lvl w:ilvl="8">
      <w:start w:val="0"/>
      <w:numFmt w:val="bullet"/>
      <w:lvlText w:val="•"/>
      <w:lvlJc w:val="left"/>
      <w:pPr>
        <w:ind w:left="2916" w:hanging="313"/>
      </w:pPr>
      <w:rPr>
        <w:rFonts w:hint="default"/>
        <w:lang w:val="en-US" w:eastAsia="en-US" w:bidi="ar-SA"/>
      </w:rPr>
    </w:lvl>
  </w:abstractNum>
  <w:abstractNum w:abstractNumId="44">
    <w:multiLevelType w:val="hybridMultilevel"/>
    <w:lvl w:ilvl="0">
      <w:start w:val="0"/>
      <w:numFmt w:val="bullet"/>
      <w:lvlText w:val=""/>
      <w:lvlJc w:val="left"/>
      <w:pPr>
        <w:ind w:left="431"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49" w:hanging="313"/>
      </w:pPr>
      <w:rPr>
        <w:rFonts w:hint="default"/>
        <w:lang w:val="en-US" w:eastAsia="en-US" w:bidi="ar-SA"/>
      </w:rPr>
    </w:lvl>
    <w:lvl w:ilvl="2">
      <w:start w:val="0"/>
      <w:numFmt w:val="bullet"/>
      <w:lvlText w:val="•"/>
      <w:lvlJc w:val="left"/>
      <w:pPr>
        <w:ind w:left="1059" w:hanging="313"/>
      </w:pPr>
      <w:rPr>
        <w:rFonts w:hint="default"/>
        <w:lang w:val="en-US" w:eastAsia="en-US" w:bidi="ar-SA"/>
      </w:rPr>
    </w:lvl>
    <w:lvl w:ilvl="3">
      <w:start w:val="0"/>
      <w:numFmt w:val="bullet"/>
      <w:lvlText w:val="•"/>
      <w:lvlJc w:val="left"/>
      <w:pPr>
        <w:ind w:left="1368" w:hanging="313"/>
      </w:pPr>
      <w:rPr>
        <w:rFonts w:hint="default"/>
        <w:lang w:val="en-US" w:eastAsia="en-US" w:bidi="ar-SA"/>
      </w:rPr>
    </w:lvl>
    <w:lvl w:ilvl="4">
      <w:start w:val="0"/>
      <w:numFmt w:val="bullet"/>
      <w:lvlText w:val="•"/>
      <w:lvlJc w:val="left"/>
      <w:pPr>
        <w:ind w:left="1678" w:hanging="313"/>
      </w:pPr>
      <w:rPr>
        <w:rFonts w:hint="default"/>
        <w:lang w:val="en-US" w:eastAsia="en-US" w:bidi="ar-SA"/>
      </w:rPr>
    </w:lvl>
    <w:lvl w:ilvl="5">
      <w:start w:val="0"/>
      <w:numFmt w:val="bullet"/>
      <w:lvlText w:val="•"/>
      <w:lvlJc w:val="left"/>
      <w:pPr>
        <w:ind w:left="1987" w:hanging="313"/>
      </w:pPr>
      <w:rPr>
        <w:rFonts w:hint="default"/>
        <w:lang w:val="en-US" w:eastAsia="en-US" w:bidi="ar-SA"/>
      </w:rPr>
    </w:lvl>
    <w:lvl w:ilvl="6">
      <w:start w:val="0"/>
      <w:numFmt w:val="bullet"/>
      <w:lvlText w:val="•"/>
      <w:lvlJc w:val="left"/>
      <w:pPr>
        <w:ind w:left="2297" w:hanging="313"/>
      </w:pPr>
      <w:rPr>
        <w:rFonts w:hint="default"/>
        <w:lang w:val="en-US" w:eastAsia="en-US" w:bidi="ar-SA"/>
      </w:rPr>
    </w:lvl>
    <w:lvl w:ilvl="7">
      <w:start w:val="0"/>
      <w:numFmt w:val="bullet"/>
      <w:lvlText w:val="•"/>
      <w:lvlJc w:val="left"/>
      <w:pPr>
        <w:ind w:left="2606" w:hanging="313"/>
      </w:pPr>
      <w:rPr>
        <w:rFonts w:hint="default"/>
        <w:lang w:val="en-US" w:eastAsia="en-US" w:bidi="ar-SA"/>
      </w:rPr>
    </w:lvl>
    <w:lvl w:ilvl="8">
      <w:start w:val="0"/>
      <w:numFmt w:val="bullet"/>
      <w:lvlText w:val="•"/>
      <w:lvlJc w:val="left"/>
      <w:pPr>
        <w:ind w:left="2916" w:hanging="313"/>
      </w:pPr>
      <w:rPr>
        <w:rFonts w:hint="default"/>
        <w:lang w:val="en-US" w:eastAsia="en-US" w:bidi="ar-SA"/>
      </w:rPr>
    </w:lvl>
  </w:abstractNum>
  <w:abstractNum w:abstractNumId="43">
    <w:multiLevelType w:val="hybridMultilevel"/>
    <w:lvl w:ilvl="0">
      <w:start w:val="0"/>
      <w:numFmt w:val="bullet"/>
      <w:lvlText w:val=""/>
      <w:lvlJc w:val="left"/>
      <w:pPr>
        <w:ind w:left="431"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49" w:hanging="313"/>
      </w:pPr>
      <w:rPr>
        <w:rFonts w:hint="default"/>
        <w:lang w:val="en-US" w:eastAsia="en-US" w:bidi="ar-SA"/>
      </w:rPr>
    </w:lvl>
    <w:lvl w:ilvl="2">
      <w:start w:val="0"/>
      <w:numFmt w:val="bullet"/>
      <w:lvlText w:val="•"/>
      <w:lvlJc w:val="left"/>
      <w:pPr>
        <w:ind w:left="1059" w:hanging="313"/>
      </w:pPr>
      <w:rPr>
        <w:rFonts w:hint="default"/>
        <w:lang w:val="en-US" w:eastAsia="en-US" w:bidi="ar-SA"/>
      </w:rPr>
    </w:lvl>
    <w:lvl w:ilvl="3">
      <w:start w:val="0"/>
      <w:numFmt w:val="bullet"/>
      <w:lvlText w:val="•"/>
      <w:lvlJc w:val="left"/>
      <w:pPr>
        <w:ind w:left="1368" w:hanging="313"/>
      </w:pPr>
      <w:rPr>
        <w:rFonts w:hint="default"/>
        <w:lang w:val="en-US" w:eastAsia="en-US" w:bidi="ar-SA"/>
      </w:rPr>
    </w:lvl>
    <w:lvl w:ilvl="4">
      <w:start w:val="0"/>
      <w:numFmt w:val="bullet"/>
      <w:lvlText w:val="•"/>
      <w:lvlJc w:val="left"/>
      <w:pPr>
        <w:ind w:left="1678" w:hanging="313"/>
      </w:pPr>
      <w:rPr>
        <w:rFonts w:hint="default"/>
        <w:lang w:val="en-US" w:eastAsia="en-US" w:bidi="ar-SA"/>
      </w:rPr>
    </w:lvl>
    <w:lvl w:ilvl="5">
      <w:start w:val="0"/>
      <w:numFmt w:val="bullet"/>
      <w:lvlText w:val="•"/>
      <w:lvlJc w:val="left"/>
      <w:pPr>
        <w:ind w:left="1987" w:hanging="313"/>
      </w:pPr>
      <w:rPr>
        <w:rFonts w:hint="default"/>
        <w:lang w:val="en-US" w:eastAsia="en-US" w:bidi="ar-SA"/>
      </w:rPr>
    </w:lvl>
    <w:lvl w:ilvl="6">
      <w:start w:val="0"/>
      <w:numFmt w:val="bullet"/>
      <w:lvlText w:val="•"/>
      <w:lvlJc w:val="left"/>
      <w:pPr>
        <w:ind w:left="2297" w:hanging="313"/>
      </w:pPr>
      <w:rPr>
        <w:rFonts w:hint="default"/>
        <w:lang w:val="en-US" w:eastAsia="en-US" w:bidi="ar-SA"/>
      </w:rPr>
    </w:lvl>
    <w:lvl w:ilvl="7">
      <w:start w:val="0"/>
      <w:numFmt w:val="bullet"/>
      <w:lvlText w:val="•"/>
      <w:lvlJc w:val="left"/>
      <w:pPr>
        <w:ind w:left="2606" w:hanging="313"/>
      </w:pPr>
      <w:rPr>
        <w:rFonts w:hint="default"/>
        <w:lang w:val="en-US" w:eastAsia="en-US" w:bidi="ar-SA"/>
      </w:rPr>
    </w:lvl>
    <w:lvl w:ilvl="8">
      <w:start w:val="0"/>
      <w:numFmt w:val="bullet"/>
      <w:lvlText w:val="•"/>
      <w:lvlJc w:val="left"/>
      <w:pPr>
        <w:ind w:left="2916" w:hanging="313"/>
      </w:pPr>
      <w:rPr>
        <w:rFonts w:hint="default"/>
        <w:lang w:val="en-US" w:eastAsia="en-US" w:bidi="ar-SA"/>
      </w:rPr>
    </w:lvl>
  </w:abstractNum>
  <w:abstractNum w:abstractNumId="42">
    <w:multiLevelType w:val="hybridMultilevel"/>
    <w:lvl w:ilvl="0">
      <w:start w:val="0"/>
      <w:numFmt w:val="bullet"/>
      <w:lvlText w:val=""/>
      <w:lvlJc w:val="left"/>
      <w:pPr>
        <w:ind w:left="431"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49" w:hanging="313"/>
      </w:pPr>
      <w:rPr>
        <w:rFonts w:hint="default"/>
        <w:lang w:val="en-US" w:eastAsia="en-US" w:bidi="ar-SA"/>
      </w:rPr>
    </w:lvl>
    <w:lvl w:ilvl="2">
      <w:start w:val="0"/>
      <w:numFmt w:val="bullet"/>
      <w:lvlText w:val="•"/>
      <w:lvlJc w:val="left"/>
      <w:pPr>
        <w:ind w:left="1059" w:hanging="313"/>
      </w:pPr>
      <w:rPr>
        <w:rFonts w:hint="default"/>
        <w:lang w:val="en-US" w:eastAsia="en-US" w:bidi="ar-SA"/>
      </w:rPr>
    </w:lvl>
    <w:lvl w:ilvl="3">
      <w:start w:val="0"/>
      <w:numFmt w:val="bullet"/>
      <w:lvlText w:val="•"/>
      <w:lvlJc w:val="left"/>
      <w:pPr>
        <w:ind w:left="1368" w:hanging="313"/>
      </w:pPr>
      <w:rPr>
        <w:rFonts w:hint="default"/>
        <w:lang w:val="en-US" w:eastAsia="en-US" w:bidi="ar-SA"/>
      </w:rPr>
    </w:lvl>
    <w:lvl w:ilvl="4">
      <w:start w:val="0"/>
      <w:numFmt w:val="bullet"/>
      <w:lvlText w:val="•"/>
      <w:lvlJc w:val="left"/>
      <w:pPr>
        <w:ind w:left="1678" w:hanging="313"/>
      </w:pPr>
      <w:rPr>
        <w:rFonts w:hint="default"/>
        <w:lang w:val="en-US" w:eastAsia="en-US" w:bidi="ar-SA"/>
      </w:rPr>
    </w:lvl>
    <w:lvl w:ilvl="5">
      <w:start w:val="0"/>
      <w:numFmt w:val="bullet"/>
      <w:lvlText w:val="•"/>
      <w:lvlJc w:val="left"/>
      <w:pPr>
        <w:ind w:left="1987" w:hanging="313"/>
      </w:pPr>
      <w:rPr>
        <w:rFonts w:hint="default"/>
        <w:lang w:val="en-US" w:eastAsia="en-US" w:bidi="ar-SA"/>
      </w:rPr>
    </w:lvl>
    <w:lvl w:ilvl="6">
      <w:start w:val="0"/>
      <w:numFmt w:val="bullet"/>
      <w:lvlText w:val="•"/>
      <w:lvlJc w:val="left"/>
      <w:pPr>
        <w:ind w:left="2297" w:hanging="313"/>
      </w:pPr>
      <w:rPr>
        <w:rFonts w:hint="default"/>
        <w:lang w:val="en-US" w:eastAsia="en-US" w:bidi="ar-SA"/>
      </w:rPr>
    </w:lvl>
    <w:lvl w:ilvl="7">
      <w:start w:val="0"/>
      <w:numFmt w:val="bullet"/>
      <w:lvlText w:val="•"/>
      <w:lvlJc w:val="left"/>
      <w:pPr>
        <w:ind w:left="2606" w:hanging="313"/>
      </w:pPr>
      <w:rPr>
        <w:rFonts w:hint="default"/>
        <w:lang w:val="en-US" w:eastAsia="en-US" w:bidi="ar-SA"/>
      </w:rPr>
    </w:lvl>
    <w:lvl w:ilvl="8">
      <w:start w:val="0"/>
      <w:numFmt w:val="bullet"/>
      <w:lvlText w:val="•"/>
      <w:lvlJc w:val="left"/>
      <w:pPr>
        <w:ind w:left="2916" w:hanging="313"/>
      </w:pPr>
      <w:rPr>
        <w:rFonts w:hint="default"/>
        <w:lang w:val="en-US" w:eastAsia="en-US" w:bidi="ar-SA"/>
      </w:rPr>
    </w:lvl>
  </w:abstractNum>
  <w:abstractNum w:abstractNumId="41">
    <w:multiLevelType w:val="hybridMultilevel"/>
    <w:lvl w:ilvl="0">
      <w:start w:val="0"/>
      <w:numFmt w:val="bullet"/>
      <w:lvlText w:val=""/>
      <w:lvlJc w:val="left"/>
      <w:pPr>
        <w:ind w:left="431"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49" w:hanging="313"/>
      </w:pPr>
      <w:rPr>
        <w:rFonts w:hint="default"/>
        <w:lang w:val="en-US" w:eastAsia="en-US" w:bidi="ar-SA"/>
      </w:rPr>
    </w:lvl>
    <w:lvl w:ilvl="2">
      <w:start w:val="0"/>
      <w:numFmt w:val="bullet"/>
      <w:lvlText w:val="•"/>
      <w:lvlJc w:val="left"/>
      <w:pPr>
        <w:ind w:left="1059" w:hanging="313"/>
      </w:pPr>
      <w:rPr>
        <w:rFonts w:hint="default"/>
        <w:lang w:val="en-US" w:eastAsia="en-US" w:bidi="ar-SA"/>
      </w:rPr>
    </w:lvl>
    <w:lvl w:ilvl="3">
      <w:start w:val="0"/>
      <w:numFmt w:val="bullet"/>
      <w:lvlText w:val="•"/>
      <w:lvlJc w:val="left"/>
      <w:pPr>
        <w:ind w:left="1368" w:hanging="313"/>
      </w:pPr>
      <w:rPr>
        <w:rFonts w:hint="default"/>
        <w:lang w:val="en-US" w:eastAsia="en-US" w:bidi="ar-SA"/>
      </w:rPr>
    </w:lvl>
    <w:lvl w:ilvl="4">
      <w:start w:val="0"/>
      <w:numFmt w:val="bullet"/>
      <w:lvlText w:val="•"/>
      <w:lvlJc w:val="left"/>
      <w:pPr>
        <w:ind w:left="1678" w:hanging="313"/>
      </w:pPr>
      <w:rPr>
        <w:rFonts w:hint="default"/>
        <w:lang w:val="en-US" w:eastAsia="en-US" w:bidi="ar-SA"/>
      </w:rPr>
    </w:lvl>
    <w:lvl w:ilvl="5">
      <w:start w:val="0"/>
      <w:numFmt w:val="bullet"/>
      <w:lvlText w:val="•"/>
      <w:lvlJc w:val="left"/>
      <w:pPr>
        <w:ind w:left="1987" w:hanging="313"/>
      </w:pPr>
      <w:rPr>
        <w:rFonts w:hint="default"/>
        <w:lang w:val="en-US" w:eastAsia="en-US" w:bidi="ar-SA"/>
      </w:rPr>
    </w:lvl>
    <w:lvl w:ilvl="6">
      <w:start w:val="0"/>
      <w:numFmt w:val="bullet"/>
      <w:lvlText w:val="•"/>
      <w:lvlJc w:val="left"/>
      <w:pPr>
        <w:ind w:left="2297" w:hanging="313"/>
      </w:pPr>
      <w:rPr>
        <w:rFonts w:hint="default"/>
        <w:lang w:val="en-US" w:eastAsia="en-US" w:bidi="ar-SA"/>
      </w:rPr>
    </w:lvl>
    <w:lvl w:ilvl="7">
      <w:start w:val="0"/>
      <w:numFmt w:val="bullet"/>
      <w:lvlText w:val="•"/>
      <w:lvlJc w:val="left"/>
      <w:pPr>
        <w:ind w:left="2606" w:hanging="313"/>
      </w:pPr>
      <w:rPr>
        <w:rFonts w:hint="default"/>
        <w:lang w:val="en-US" w:eastAsia="en-US" w:bidi="ar-SA"/>
      </w:rPr>
    </w:lvl>
    <w:lvl w:ilvl="8">
      <w:start w:val="0"/>
      <w:numFmt w:val="bullet"/>
      <w:lvlText w:val="•"/>
      <w:lvlJc w:val="left"/>
      <w:pPr>
        <w:ind w:left="2916" w:hanging="313"/>
      </w:pPr>
      <w:rPr>
        <w:rFonts w:hint="default"/>
        <w:lang w:val="en-US" w:eastAsia="en-US" w:bidi="ar-SA"/>
      </w:rPr>
    </w:lvl>
  </w:abstractNum>
  <w:abstractNum w:abstractNumId="40">
    <w:multiLevelType w:val="hybridMultilevel"/>
    <w:lvl w:ilvl="0">
      <w:start w:val="0"/>
      <w:numFmt w:val="bullet"/>
      <w:lvlText w:val=""/>
      <w:lvlJc w:val="left"/>
      <w:pPr>
        <w:ind w:left="417"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31" w:hanging="313"/>
      </w:pPr>
      <w:rPr>
        <w:rFonts w:hint="default"/>
        <w:lang w:val="en-US" w:eastAsia="en-US" w:bidi="ar-SA"/>
      </w:rPr>
    </w:lvl>
    <w:lvl w:ilvl="2">
      <w:start w:val="0"/>
      <w:numFmt w:val="bullet"/>
      <w:lvlText w:val="•"/>
      <w:lvlJc w:val="left"/>
      <w:pPr>
        <w:ind w:left="1043" w:hanging="313"/>
      </w:pPr>
      <w:rPr>
        <w:rFonts w:hint="default"/>
        <w:lang w:val="en-US" w:eastAsia="en-US" w:bidi="ar-SA"/>
      </w:rPr>
    </w:lvl>
    <w:lvl w:ilvl="3">
      <w:start w:val="0"/>
      <w:numFmt w:val="bullet"/>
      <w:lvlText w:val="•"/>
      <w:lvlJc w:val="left"/>
      <w:pPr>
        <w:ind w:left="1354" w:hanging="313"/>
      </w:pPr>
      <w:rPr>
        <w:rFonts w:hint="default"/>
        <w:lang w:val="en-US" w:eastAsia="en-US" w:bidi="ar-SA"/>
      </w:rPr>
    </w:lvl>
    <w:lvl w:ilvl="4">
      <w:start w:val="0"/>
      <w:numFmt w:val="bullet"/>
      <w:lvlText w:val="•"/>
      <w:lvlJc w:val="left"/>
      <w:pPr>
        <w:ind w:left="1666" w:hanging="313"/>
      </w:pPr>
      <w:rPr>
        <w:rFonts w:hint="default"/>
        <w:lang w:val="en-US" w:eastAsia="en-US" w:bidi="ar-SA"/>
      </w:rPr>
    </w:lvl>
    <w:lvl w:ilvl="5">
      <w:start w:val="0"/>
      <w:numFmt w:val="bullet"/>
      <w:lvlText w:val="•"/>
      <w:lvlJc w:val="left"/>
      <w:pPr>
        <w:ind w:left="1977" w:hanging="313"/>
      </w:pPr>
      <w:rPr>
        <w:rFonts w:hint="default"/>
        <w:lang w:val="en-US" w:eastAsia="en-US" w:bidi="ar-SA"/>
      </w:rPr>
    </w:lvl>
    <w:lvl w:ilvl="6">
      <w:start w:val="0"/>
      <w:numFmt w:val="bullet"/>
      <w:lvlText w:val="•"/>
      <w:lvlJc w:val="left"/>
      <w:pPr>
        <w:ind w:left="2289" w:hanging="313"/>
      </w:pPr>
      <w:rPr>
        <w:rFonts w:hint="default"/>
        <w:lang w:val="en-US" w:eastAsia="en-US" w:bidi="ar-SA"/>
      </w:rPr>
    </w:lvl>
    <w:lvl w:ilvl="7">
      <w:start w:val="0"/>
      <w:numFmt w:val="bullet"/>
      <w:lvlText w:val="•"/>
      <w:lvlJc w:val="left"/>
      <w:pPr>
        <w:ind w:left="2600" w:hanging="313"/>
      </w:pPr>
      <w:rPr>
        <w:rFonts w:hint="default"/>
        <w:lang w:val="en-US" w:eastAsia="en-US" w:bidi="ar-SA"/>
      </w:rPr>
    </w:lvl>
    <w:lvl w:ilvl="8">
      <w:start w:val="0"/>
      <w:numFmt w:val="bullet"/>
      <w:lvlText w:val="•"/>
      <w:lvlJc w:val="left"/>
      <w:pPr>
        <w:ind w:left="2912" w:hanging="313"/>
      </w:pPr>
      <w:rPr>
        <w:rFonts w:hint="default"/>
        <w:lang w:val="en-US" w:eastAsia="en-US" w:bidi="ar-SA"/>
      </w:rPr>
    </w:lvl>
  </w:abstractNum>
  <w:abstractNum w:abstractNumId="39">
    <w:multiLevelType w:val="hybridMultilevel"/>
    <w:lvl w:ilvl="0">
      <w:start w:val="0"/>
      <w:numFmt w:val="bullet"/>
      <w:lvlText w:val=""/>
      <w:lvlJc w:val="left"/>
      <w:pPr>
        <w:ind w:left="417"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31" w:hanging="313"/>
      </w:pPr>
      <w:rPr>
        <w:rFonts w:hint="default"/>
        <w:lang w:val="en-US" w:eastAsia="en-US" w:bidi="ar-SA"/>
      </w:rPr>
    </w:lvl>
    <w:lvl w:ilvl="2">
      <w:start w:val="0"/>
      <w:numFmt w:val="bullet"/>
      <w:lvlText w:val="•"/>
      <w:lvlJc w:val="left"/>
      <w:pPr>
        <w:ind w:left="1043" w:hanging="313"/>
      </w:pPr>
      <w:rPr>
        <w:rFonts w:hint="default"/>
        <w:lang w:val="en-US" w:eastAsia="en-US" w:bidi="ar-SA"/>
      </w:rPr>
    </w:lvl>
    <w:lvl w:ilvl="3">
      <w:start w:val="0"/>
      <w:numFmt w:val="bullet"/>
      <w:lvlText w:val="•"/>
      <w:lvlJc w:val="left"/>
      <w:pPr>
        <w:ind w:left="1354" w:hanging="313"/>
      </w:pPr>
      <w:rPr>
        <w:rFonts w:hint="default"/>
        <w:lang w:val="en-US" w:eastAsia="en-US" w:bidi="ar-SA"/>
      </w:rPr>
    </w:lvl>
    <w:lvl w:ilvl="4">
      <w:start w:val="0"/>
      <w:numFmt w:val="bullet"/>
      <w:lvlText w:val="•"/>
      <w:lvlJc w:val="left"/>
      <w:pPr>
        <w:ind w:left="1666" w:hanging="313"/>
      </w:pPr>
      <w:rPr>
        <w:rFonts w:hint="default"/>
        <w:lang w:val="en-US" w:eastAsia="en-US" w:bidi="ar-SA"/>
      </w:rPr>
    </w:lvl>
    <w:lvl w:ilvl="5">
      <w:start w:val="0"/>
      <w:numFmt w:val="bullet"/>
      <w:lvlText w:val="•"/>
      <w:lvlJc w:val="left"/>
      <w:pPr>
        <w:ind w:left="1977" w:hanging="313"/>
      </w:pPr>
      <w:rPr>
        <w:rFonts w:hint="default"/>
        <w:lang w:val="en-US" w:eastAsia="en-US" w:bidi="ar-SA"/>
      </w:rPr>
    </w:lvl>
    <w:lvl w:ilvl="6">
      <w:start w:val="0"/>
      <w:numFmt w:val="bullet"/>
      <w:lvlText w:val="•"/>
      <w:lvlJc w:val="left"/>
      <w:pPr>
        <w:ind w:left="2289" w:hanging="313"/>
      </w:pPr>
      <w:rPr>
        <w:rFonts w:hint="default"/>
        <w:lang w:val="en-US" w:eastAsia="en-US" w:bidi="ar-SA"/>
      </w:rPr>
    </w:lvl>
    <w:lvl w:ilvl="7">
      <w:start w:val="0"/>
      <w:numFmt w:val="bullet"/>
      <w:lvlText w:val="•"/>
      <w:lvlJc w:val="left"/>
      <w:pPr>
        <w:ind w:left="2600" w:hanging="313"/>
      </w:pPr>
      <w:rPr>
        <w:rFonts w:hint="default"/>
        <w:lang w:val="en-US" w:eastAsia="en-US" w:bidi="ar-SA"/>
      </w:rPr>
    </w:lvl>
    <w:lvl w:ilvl="8">
      <w:start w:val="0"/>
      <w:numFmt w:val="bullet"/>
      <w:lvlText w:val="•"/>
      <w:lvlJc w:val="left"/>
      <w:pPr>
        <w:ind w:left="2912" w:hanging="313"/>
      </w:pPr>
      <w:rPr>
        <w:rFonts w:hint="default"/>
        <w:lang w:val="en-US" w:eastAsia="en-US" w:bidi="ar-SA"/>
      </w:rPr>
    </w:lvl>
  </w:abstractNum>
  <w:abstractNum w:abstractNumId="38">
    <w:multiLevelType w:val="hybridMultilevel"/>
    <w:lvl w:ilvl="0">
      <w:start w:val="0"/>
      <w:numFmt w:val="bullet"/>
      <w:lvlText w:val=""/>
      <w:lvlJc w:val="left"/>
      <w:pPr>
        <w:ind w:left="417"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31" w:hanging="313"/>
      </w:pPr>
      <w:rPr>
        <w:rFonts w:hint="default"/>
        <w:lang w:val="en-US" w:eastAsia="en-US" w:bidi="ar-SA"/>
      </w:rPr>
    </w:lvl>
    <w:lvl w:ilvl="2">
      <w:start w:val="0"/>
      <w:numFmt w:val="bullet"/>
      <w:lvlText w:val="•"/>
      <w:lvlJc w:val="left"/>
      <w:pPr>
        <w:ind w:left="1043" w:hanging="313"/>
      </w:pPr>
      <w:rPr>
        <w:rFonts w:hint="default"/>
        <w:lang w:val="en-US" w:eastAsia="en-US" w:bidi="ar-SA"/>
      </w:rPr>
    </w:lvl>
    <w:lvl w:ilvl="3">
      <w:start w:val="0"/>
      <w:numFmt w:val="bullet"/>
      <w:lvlText w:val="•"/>
      <w:lvlJc w:val="left"/>
      <w:pPr>
        <w:ind w:left="1354" w:hanging="313"/>
      </w:pPr>
      <w:rPr>
        <w:rFonts w:hint="default"/>
        <w:lang w:val="en-US" w:eastAsia="en-US" w:bidi="ar-SA"/>
      </w:rPr>
    </w:lvl>
    <w:lvl w:ilvl="4">
      <w:start w:val="0"/>
      <w:numFmt w:val="bullet"/>
      <w:lvlText w:val="•"/>
      <w:lvlJc w:val="left"/>
      <w:pPr>
        <w:ind w:left="1666" w:hanging="313"/>
      </w:pPr>
      <w:rPr>
        <w:rFonts w:hint="default"/>
        <w:lang w:val="en-US" w:eastAsia="en-US" w:bidi="ar-SA"/>
      </w:rPr>
    </w:lvl>
    <w:lvl w:ilvl="5">
      <w:start w:val="0"/>
      <w:numFmt w:val="bullet"/>
      <w:lvlText w:val="•"/>
      <w:lvlJc w:val="left"/>
      <w:pPr>
        <w:ind w:left="1977" w:hanging="313"/>
      </w:pPr>
      <w:rPr>
        <w:rFonts w:hint="default"/>
        <w:lang w:val="en-US" w:eastAsia="en-US" w:bidi="ar-SA"/>
      </w:rPr>
    </w:lvl>
    <w:lvl w:ilvl="6">
      <w:start w:val="0"/>
      <w:numFmt w:val="bullet"/>
      <w:lvlText w:val="•"/>
      <w:lvlJc w:val="left"/>
      <w:pPr>
        <w:ind w:left="2289" w:hanging="313"/>
      </w:pPr>
      <w:rPr>
        <w:rFonts w:hint="default"/>
        <w:lang w:val="en-US" w:eastAsia="en-US" w:bidi="ar-SA"/>
      </w:rPr>
    </w:lvl>
    <w:lvl w:ilvl="7">
      <w:start w:val="0"/>
      <w:numFmt w:val="bullet"/>
      <w:lvlText w:val="•"/>
      <w:lvlJc w:val="left"/>
      <w:pPr>
        <w:ind w:left="2600" w:hanging="313"/>
      </w:pPr>
      <w:rPr>
        <w:rFonts w:hint="default"/>
        <w:lang w:val="en-US" w:eastAsia="en-US" w:bidi="ar-SA"/>
      </w:rPr>
    </w:lvl>
    <w:lvl w:ilvl="8">
      <w:start w:val="0"/>
      <w:numFmt w:val="bullet"/>
      <w:lvlText w:val="•"/>
      <w:lvlJc w:val="left"/>
      <w:pPr>
        <w:ind w:left="2912" w:hanging="313"/>
      </w:pPr>
      <w:rPr>
        <w:rFonts w:hint="default"/>
        <w:lang w:val="en-US" w:eastAsia="en-US" w:bidi="ar-SA"/>
      </w:rPr>
    </w:lvl>
  </w:abstractNum>
  <w:abstractNum w:abstractNumId="37">
    <w:multiLevelType w:val="hybridMultilevel"/>
    <w:lvl w:ilvl="0">
      <w:start w:val="0"/>
      <w:numFmt w:val="bullet"/>
      <w:lvlText w:val=""/>
      <w:lvlJc w:val="left"/>
      <w:pPr>
        <w:ind w:left="417"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31" w:hanging="313"/>
      </w:pPr>
      <w:rPr>
        <w:rFonts w:hint="default"/>
        <w:lang w:val="en-US" w:eastAsia="en-US" w:bidi="ar-SA"/>
      </w:rPr>
    </w:lvl>
    <w:lvl w:ilvl="2">
      <w:start w:val="0"/>
      <w:numFmt w:val="bullet"/>
      <w:lvlText w:val="•"/>
      <w:lvlJc w:val="left"/>
      <w:pPr>
        <w:ind w:left="1043" w:hanging="313"/>
      </w:pPr>
      <w:rPr>
        <w:rFonts w:hint="default"/>
        <w:lang w:val="en-US" w:eastAsia="en-US" w:bidi="ar-SA"/>
      </w:rPr>
    </w:lvl>
    <w:lvl w:ilvl="3">
      <w:start w:val="0"/>
      <w:numFmt w:val="bullet"/>
      <w:lvlText w:val="•"/>
      <w:lvlJc w:val="left"/>
      <w:pPr>
        <w:ind w:left="1354" w:hanging="313"/>
      </w:pPr>
      <w:rPr>
        <w:rFonts w:hint="default"/>
        <w:lang w:val="en-US" w:eastAsia="en-US" w:bidi="ar-SA"/>
      </w:rPr>
    </w:lvl>
    <w:lvl w:ilvl="4">
      <w:start w:val="0"/>
      <w:numFmt w:val="bullet"/>
      <w:lvlText w:val="•"/>
      <w:lvlJc w:val="left"/>
      <w:pPr>
        <w:ind w:left="1666" w:hanging="313"/>
      </w:pPr>
      <w:rPr>
        <w:rFonts w:hint="default"/>
        <w:lang w:val="en-US" w:eastAsia="en-US" w:bidi="ar-SA"/>
      </w:rPr>
    </w:lvl>
    <w:lvl w:ilvl="5">
      <w:start w:val="0"/>
      <w:numFmt w:val="bullet"/>
      <w:lvlText w:val="•"/>
      <w:lvlJc w:val="left"/>
      <w:pPr>
        <w:ind w:left="1977" w:hanging="313"/>
      </w:pPr>
      <w:rPr>
        <w:rFonts w:hint="default"/>
        <w:lang w:val="en-US" w:eastAsia="en-US" w:bidi="ar-SA"/>
      </w:rPr>
    </w:lvl>
    <w:lvl w:ilvl="6">
      <w:start w:val="0"/>
      <w:numFmt w:val="bullet"/>
      <w:lvlText w:val="•"/>
      <w:lvlJc w:val="left"/>
      <w:pPr>
        <w:ind w:left="2289" w:hanging="313"/>
      </w:pPr>
      <w:rPr>
        <w:rFonts w:hint="default"/>
        <w:lang w:val="en-US" w:eastAsia="en-US" w:bidi="ar-SA"/>
      </w:rPr>
    </w:lvl>
    <w:lvl w:ilvl="7">
      <w:start w:val="0"/>
      <w:numFmt w:val="bullet"/>
      <w:lvlText w:val="•"/>
      <w:lvlJc w:val="left"/>
      <w:pPr>
        <w:ind w:left="2600" w:hanging="313"/>
      </w:pPr>
      <w:rPr>
        <w:rFonts w:hint="default"/>
        <w:lang w:val="en-US" w:eastAsia="en-US" w:bidi="ar-SA"/>
      </w:rPr>
    </w:lvl>
    <w:lvl w:ilvl="8">
      <w:start w:val="0"/>
      <w:numFmt w:val="bullet"/>
      <w:lvlText w:val="•"/>
      <w:lvlJc w:val="left"/>
      <w:pPr>
        <w:ind w:left="2912" w:hanging="313"/>
      </w:pPr>
      <w:rPr>
        <w:rFonts w:hint="default"/>
        <w:lang w:val="en-US" w:eastAsia="en-US" w:bidi="ar-SA"/>
      </w:rPr>
    </w:lvl>
  </w:abstractNum>
  <w:abstractNum w:abstractNumId="36">
    <w:multiLevelType w:val="hybridMultilevel"/>
    <w:lvl w:ilvl="0">
      <w:start w:val="0"/>
      <w:numFmt w:val="bullet"/>
      <w:lvlText w:val=""/>
      <w:lvlJc w:val="left"/>
      <w:pPr>
        <w:ind w:left="417"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31" w:hanging="313"/>
      </w:pPr>
      <w:rPr>
        <w:rFonts w:hint="default"/>
        <w:lang w:val="en-US" w:eastAsia="en-US" w:bidi="ar-SA"/>
      </w:rPr>
    </w:lvl>
    <w:lvl w:ilvl="2">
      <w:start w:val="0"/>
      <w:numFmt w:val="bullet"/>
      <w:lvlText w:val="•"/>
      <w:lvlJc w:val="left"/>
      <w:pPr>
        <w:ind w:left="1043" w:hanging="313"/>
      </w:pPr>
      <w:rPr>
        <w:rFonts w:hint="default"/>
        <w:lang w:val="en-US" w:eastAsia="en-US" w:bidi="ar-SA"/>
      </w:rPr>
    </w:lvl>
    <w:lvl w:ilvl="3">
      <w:start w:val="0"/>
      <w:numFmt w:val="bullet"/>
      <w:lvlText w:val="•"/>
      <w:lvlJc w:val="left"/>
      <w:pPr>
        <w:ind w:left="1354" w:hanging="313"/>
      </w:pPr>
      <w:rPr>
        <w:rFonts w:hint="default"/>
        <w:lang w:val="en-US" w:eastAsia="en-US" w:bidi="ar-SA"/>
      </w:rPr>
    </w:lvl>
    <w:lvl w:ilvl="4">
      <w:start w:val="0"/>
      <w:numFmt w:val="bullet"/>
      <w:lvlText w:val="•"/>
      <w:lvlJc w:val="left"/>
      <w:pPr>
        <w:ind w:left="1666" w:hanging="313"/>
      </w:pPr>
      <w:rPr>
        <w:rFonts w:hint="default"/>
        <w:lang w:val="en-US" w:eastAsia="en-US" w:bidi="ar-SA"/>
      </w:rPr>
    </w:lvl>
    <w:lvl w:ilvl="5">
      <w:start w:val="0"/>
      <w:numFmt w:val="bullet"/>
      <w:lvlText w:val="•"/>
      <w:lvlJc w:val="left"/>
      <w:pPr>
        <w:ind w:left="1977" w:hanging="313"/>
      </w:pPr>
      <w:rPr>
        <w:rFonts w:hint="default"/>
        <w:lang w:val="en-US" w:eastAsia="en-US" w:bidi="ar-SA"/>
      </w:rPr>
    </w:lvl>
    <w:lvl w:ilvl="6">
      <w:start w:val="0"/>
      <w:numFmt w:val="bullet"/>
      <w:lvlText w:val="•"/>
      <w:lvlJc w:val="left"/>
      <w:pPr>
        <w:ind w:left="2289" w:hanging="313"/>
      </w:pPr>
      <w:rPr>
        <w:rFonts w:hint="default"/>
        <w:lang w:val="en-US" w:eastAsia="en-US" w:bidi="ar-SA"/>
      </w:rPr>
    </w:lvl>
    <w:lvl w:ilvl="7">
      <w:start w:val="0"/>
      <w:numFmt w:val="bullet"/>
      <w:lvlText w:val="•"/>
      <w:lvlJc w:val="left"/>
      <w:pPr>
        <w:ind w:left="2600" w:hanging="313"/>
      </w:pPr>
      <w:rPr>
        <w:rFonts w:hint="default"/>
        <w:lang w:val="en-US" w:eastAsia="en-US" w:bidi="ar-SA"/>
      </w:rPr>
    </w:lvl>
    <w:lvl w:ilvl="8">
      <w:start w:val="0"/>
      <w:numFmt w:val="bullet"/>
      <w:lvlText w:val="•"/>
      <w:lvlJc w:val="left"/>
      <w:pPr>
        <w:ind w:left="2912" w:hanging="313"/>
      </w:pPr>
      <w:rPr>
        <w:rFonts w:hint="default"/>
        <w:lang w:val="en-US" w:eastAsia="en-US" w:bidi="ar-SA"/>
      </w:rPr>
    </w:lvl>
  </w:abstractNum>
  <w:abstractNum w:abstractNumId="35">
    <w:multiLevelType w:val="hybridMultilevel"/>
    <w:lvl w:ilvl="0">
      <w:start w:val="0"/>
      <w:numFmt w:val="bullet"/>
      <w:lvlText w:val=""/>
      <w:lvlJc w:val="left"/>
      <w:pPr>
        <w:ind w:left="417"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31" w:hanging="313"/>
      </w:pPr>
      <w:rPr>
        <w:rFonts w:hint="default"/>
        <w:lang w:val="en-US" w:eastAsia="en-US" w:bidi="ar-SA"/>
      </w:rPr>
    </w:lvl>
    <w:lvl w:ilvl="2">
      <w:start w:val="0"/>
      <w:numFmt w:val="bullet"/>
      <w:lvlText w:val="•"/>
      <w:lvlJc w:val="left"/>
      <w:pPr>
        <w:ind w:left="1043" w:hanging="313"/>
      </w:pPr>
      <w:rPr>
        <w:rFonts w:hint="default"/>
        <w:lang w:val="en-US" w:eastAsia="en-US" w:bidi="ar-SA"/>
      </w:rPr>
    </w:lvl>
    <w:lvl w:ilvl="3">
      <w:start w:val="0"/>
      <w:numFmt w:val="bullet"/>
      <w:lvlText w:val="•"/>
      <w:lvlJc w:val="left"/>
      <w:pPr>
        <w:ind w:left="1354" w:hanging="313"/>
      </w:pPr>
      <w:rPr>
        <w:rFonts w:hint="default"/>
        <w:lang w:val="en-US" w:eastAsia="en-US" w:bidi="ar-SA"/>
      </w:rPr>
    </w:lvl>
    <w:lvl w:ilvl="4">
      <w:start w:val="0"/>
      <w:numFmt w:val="bullet"/>
      <w:lvlText w:val="•"/>
      <w:lvlJc w:val="left"/>
      <w:pPr>
        <w:ind w:left="1666" w:hanging="313"/>
      </w:pPr>
      <w:rPr>
        <w:rFonts w:hint="default"/>
        <w:lang w:val="en-US" w:eastAsia="en-US" w:bidi="ar-SA"/>
      </w:rPr>
    </w:lvl>
    <w:lvl w:ilvl="5">
      <w:start w:val="0"/>
      <w:numFmt w:val="bullet"/>
      <w:lvlText w:val="•"/>
      <w:lvlJc w:val="left"/>
      <w:pPr>
        <w:ind w:left="1977" w:hanging="313"/>
      </w:pPr>
      <w:rPr>
        <w:rFonts w:hint="default"/>
        <w:lang w:val="en-US" w:eastAsia="en-US" w:bidi="ar-SA"/>
      </w:rPr>
    </w:lvl>
    <w:lvl w:ilvl="6">
      <w:start w:val="0"/>
      <w:numFmt w:val="bullet"/>
      <w:lvlText w:val="•"/>
      <w:lvlJc w:val="left"/>
      <w:pPr>
        <w:ind w:left="2289" w:hanging="313"/>
      </w:pPr>
      <w:rPr>
        <w:rFonts w:hint="default"/>
        <w:lang w:val="en-US" w:eastAsia="en-US" w:bidi="ar-SA"/>
      </w:rPr>
    </w:lvl>
    <w:lvl w:ilvl="7">
      <w:start w:val="0"/>
      <w:numFmt w:val="bullet"/>
      <w:lvlText w:val="•"/>
      <w:lvlJc w:val="left"/>
      <w:pPr>
        <w:ind w:left="2600" w:hanging="313"/>
      </w:pPr>
      <w:rPr>
        <w:rFonts w:hint="default"/>
        <w:lang w:val="en-US" w:eastAsia="en-US" w:bidi="ar-SA"/>
      </w:rPr>
    </w:lvl>
    <w:lvl w:ilvl="8">
      <w:start w:val="0"/>
      <w:numFmt w:val="bullet"/>
      <w:lvlText w:val="•"/>
      <w:lvlJc w:val="left"/>
      <w:pPr>
        <w:ind w:left="2912" w:hanging="313"/>
      </w:pPr>
      <w:rPr>
        <w:rFonts w:hint="default"/>
        <w:lang w:val="en-US" w:eastAsia="en-US" w:bidi="ar-SA"/>
      </w:rPr>
    </w:lvl>
  </w:abstractNum>
  <w:abstractNum w:abstractNumId="34">
    <w:multiLevelType w:val="hybridMultilevel"/>
    <w:lvl w:ilvl="0">
      <w:start w:val="0"/>
      <w:numFmt w:val="bullet"/>
      <w:lvlText w:val=""/>
      <w:lvlJc w:val="left"/>
      <w:pPr>
        <w:ind w:left="417"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31" w:hanging="313"/>
      </w:pPr>
      <w:rPr>
        <w:rFonts w:hint="default"/>
        <w:lang w:val="en-US" w:eastAsia="en-US" w:bidi="ar-SA"/>
      </w:rPr>
    </w:lvl>
    <w:lvl w:ilvl="2">
      <w:start w:val="0"/>
      <w:numFmt w:val="bullet"/>
      <w:lvlText w:val="•"/>
      <w:lvlJc w:val="left"/>
      <w:pPr>
        <w:ind w:left="1043" w:hanging="313"/>
      </w:pPr>
      <w:rPr>
        <w:rFonts w:hint="default"/>
        <w:lang w:val="en-US" w:eastAsia="en-US" w:bidi="ar-SA"/>
      </w:rPr>
    </w:lvl>
    <w:lvl w:ilvl="3">
      <w:start w:val="0"/>
      <w:numFmt w:val="bullet"/>
      <w:lvlText w:val="•"/>
      <w:lvlJc w:val="left"/>
      <w:pPr>
        <w:ind w:left="1354" w:hanging="313"/>
      </w:pPr>
      <w:rPr>
        <w:rFonts w:hint="default"/>
        <w:lang w:val="en-US" w:eastAsia="en-US" w:bidi="ar-SA"/>
      </w:rPr>
    </w:lvl>
    <w:lvl w:ilvl="4">
      <w:start w:val="0"/>
      <w:numFmt w:val="bullet"/>
      <w:lvlText w:val="•"/>
      <w:lvlJc w:val="left"/>
      <w:pPr>
        <w:ind w:left="1666" w:hanging="313"/>
      </w:pPr>
      <w:rPr>
        <w:rFonts w:hint="default"/>
        <w:lang w:val="en-US" w:eastAsia="en-US" w:bidi="ar-SA"/>
      </w:rPr>
    </w:lvl>
    <w:lvl w:ilvl="5">
      <w:start w:val="0"/>
      <w:numFmt w:val="bullet"/>
      <w:lvlText w:val="•"/>
      <w:lvlJc w:val="left"/>
      <w:pPr>
        <w:ind w:left="1977" w:hanging="313"/>
      </w:pPr>
      <w:rPr>
        <w:rFonts w:hint="default"/>
        <w:lang w:val="en-US" w:eastAsia="en-US" w:bidi="ar-SA"/>
      </w:rPr>
    </w:lvl>
    <w:lvl w:ilvl="6">
      <w:start w:val="0"/>
      <w:numFmt w:val="bullet"/>
      <w:lvlText w:val="•"/>
      <w:lvlJc w:val="left"/>
      <w:pPr>
        <w:ind w:left="2289" w:hanging="313"/>
      </w:pPr>
      <w:rPr>
        <w:rFonts w:hint="default"/>
        <w:lang w:val="en-US" w:eastAsia="en-US" w:bidi="ar-SA"/>
      </w:rPr>
    </w:lvl>
    <w:lvl w:ilvl="7">
      <w:start w:val="0"/>
      <w:numFmt w:val="bullet"/>
      <w:lvlText w:val="•"/>
      <w:lvlJc w:val="left"/>
      <w:pPr>
        <w:ind w:left="2600" w:hanging="313"/>
      </w:pPr>
      <w:rPr>
        <w:rFonts w:hint="default"/>
        <w:lang w:val="en-US" w:eastAsia="en-US" w:bidi="ar-SA"/>
      </w:rPr>
    </w:lvl>
    <w:lvl w:ilvl="8">
      <w:start w:val="0"/>
      <w:numFmt w:val="bullet"/>
      <w:lvlText w:val="•"/>
      <w:lvlJc w:val="left"/>
      <w:pPr>
        <w:ind w:left="2912" w:hanging="313"/>
      </w:pPr>
      <w:rPr>
        <w:rFonts w:hint="default"/>
        <w:lang w:val="en-US" w:eastAsia="en-US" w:bidi="ar-SA"/>
      </w:rPr>
    </w:lvl>
  </w:abstractNum>
  <w:abstractNum w:abstractNumId="33">
    <w:multiLevelType w:val="hybridMultilevel"/>
    <w:lvl w:ilvl="0">
      <w:start w:val="0"/>
      <w:numFmt w:val="bullet"/>
      <w:lvlText w:val=""/>
      <w:lvlJc w:val="left"/>
      <w:pPr>
        <w:ind w:left="417"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31" w:hanging="313"/>
      </w:pPr>
      <w:rPr>
        <w:rFonts w:hint="default"/>
        <w:lang w:val="en-US" w:eastAsia="en-US" w:bidi="ar-SA"/>
      </w:rPr>
    </w:lvl>
    <w:lvl w:ilvl="2">
      <w:start w:val="0"/>
      <w:numFmt w:val="bullet"/>
      <w:lvlText w:val="•"/>
      <w:lvlJc w:val="left"/>
      <w:pPr>
        <w:ind w:left="1043" w:hanging="313"/>
      </w:pPr>
      <w:rPr>
        <w:rFonts w:hint="default"/>
        <w:lang w:val="en-US" w:eastAsia="en-US" w:bidi="ar-SA"/>
      </w:rPr>
    </w:lvl>
    <w:lvl w:ilvl="3">
      <w:start w:val="0"/>
      <w:numFmt w:val="bullet"/>
      <w:lvlText w:val="•"/>
      <w:lvlJc w:val="left"/>
      <w:pPr>
        <w:ind w:left="1354" w:hanging="313"/>
      </w:pPr>
      <w:rPr>
        <w:rFonts w:hint="default"/>
        <w:lang w:val="en-US" w:eastAsia="en-US" w:bidi="ar-SA"/>
      </w:rPr>
    </w:lvl>
    <w:lvl w:ilvl="4">
      <w:start w:val="0"/>
      <w:numFmt w:val="bullet"/>
      <w:lvlText w:val="•"/>
      <w:lvlJc w:val="left"/>
      <w:pPr>
        <w:ind w:left="1666" w:hanging="313"/>
      </w:pPr>
      <w:rPr>
        <w:rFonts w:hint="default"/>
        <w:lang w:val="en-US" w:eastAsia="en-US" w:bidi="ar-SA"/>
      </w:rPr>
    </w:lvl>
    <w:lvl w:ilvl="5">
      <w:start w:val="0"/>
      <w:numFmt w:val="bullet"/>
      <w:lvlText w:val="•"/>
      <w:lvlJc w:val="left"/>
      <w:pPr>
        <w:ind w:left="1977" w:hanging="313"/>
      </w:pPr>
      <w:rPr>
        <w:rFonts w:hint="default"/>
        <w:lang w:val="en-US" w:eastAsia="en-US" w:bidi="ar-SA"/>
      </w:rPr>
    </w:lvl>
    <w:lvl w:ilvl="6">
      <w:start w:val="0"/>
      <w:numFmt w:val="bullet"/>
      <w:lvlText w:val="•"/>
      <w:lvlJc w:val="left"/>
      <w:pPr>
        <w:ind w:left="2289" w:hanging="313"/>
      </w:pPr>
      <w:rPr>
        <w:rFonts w:hint="default"/>
        <w:lang w:val="en-US" w:eastAsia="en-US" w:bidi="ar-SA"/>
      </w:rPr>
    </w:lvl>
    <w:lvl w:ilvl="7">
      <w:start w:val="0"/>
      <w:numFmt w:val="bullet"/>
      <w:lvlText w:val="•"/>
      <w:lvlJc w:val="left"/>
      <w:pPr>
        <w:ind w:left="2600" w:hanging="313"/>
      </w:pPr>
      <w:rPr>
        <w:rFonts w:hint="default"/>
        <w:lang w:val="en-US" w:eastAsia="en-US" w:bidi="ar-SA"/>
      </w:rPr>
    </w:lvl>
    <w:lvl w:ilvl="8">
      <w:start w:val="0"/>
      <w:numFmt w:val="bullet"/>
      <w:lvlText w:val="•"/>
      <w:lvlJc w:val="left"/>
      <w:pPr>
        <w:ind w:left="2912" w:hanging="313"/>
      </w:pPr>
      <w:rPr>
        <w:rFonts w:hint="default"/>
        <w:lang w:val="en-US" w:eastAsia="en-US" w:bidi="ar-SA"/>
      </w:rPr>
    </w:lvl>
  </w:abstractNum>
  <w:abstractNum w:abstractNumId="32">
    <w:multiLevelType w:val="hybridMultilevel"/>
    <w:lvl w:ilvl="0">
      <w:start w:val="0"/>
      <w:numFmt w:val="bullet"/>
      <w:lvlText w:val=""/>
      <w:lvlJc w:val="left"/>
      <w:pPr>
        <w:ind w:left="417"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31" w:hanging="313"/>
      </w:pPr>
      <w:rPr>
        <w:rFonts w:hint="default"/>
        <w:lang w:val="en-US" w:eastAsia="en-US" w:bidi="ar-SA"/>
      </w:rPr>
    </w:lvl>
    <w:lvl w:ilvl="2">
      <w:start w:val="0"/>
      <w:numFmt w:val="bullet"/>
      <w:lvlText w:val="•"/>
      <w:lvlJc w:val="left"/>
      <w:pPr>
        <w:ind w:left="1043" w:hanging="313"/>
      </w:pPr>
      <w:rPr>
        <w:rFonts w:hint="default"/>
        <w:lang w:val="en-US" w:eastAsia="en-US" w:bidi="ar-SA"/>
      </w:rPr>
    </w:lvl>
    <w:lvl w:ilvl="3">
      <w:start w:val="0"/>
      <w:numFmt w:val="bullet"/>
      <w:lvlText w:val="•"/>
      <w:lvlJc w:val="left"/>
      <w:pPr>
        <w:ind w:left="1354" w:hanging="313"/>
      </w:pPr>
      <w:rPr>
        <w:rFonts w:hint="default"/>
        <w:lang w:val="en-US" w:eastAsia="en-US" w:bidi="ar-SA"/>
      </w:rPr>
    </w:lvl>
    <w:lvl w:ilvl="4">
      <w:start w:val="0"/>
      <w:numFmt w:val="bullet"/>
      <w:lvlText w:val="•"/>
      <w:lvlJc w:val="left"/>
      <w:pPr>
        <w:ind w:left="1666" w:hanging="313"/>
      </w:pPr>
      <w:rPr>
        <w:rFonts w:hint="default"/>
        <w:lang w:val="en-US" w:eastAsia="en-US" w:bidi="ar-SA"/>
      </w:rPr>
    </w:lvl>
    <w:lvl w:ilvl="5">
      <w:start w:val="0"/>
      <w:numFmt w:val="bullet"/>
      <w:lvlText w:val="•"/>
      <w:lvlJc w:val="left"/>
      <w:pPr>
        <w:ind w:left="1977" w:hanging="313"/>
      </w:pPr>
      <w:rPr>
        <w:rFonts w:hint="default"/>
        <w:lang w:val="en-US" w:eastAsia="en-US" w:bidi="ar-SA"/>
      </w:rPr>
    </w:lvl>
    <w:lvl w:ilvl="6">
      <w:start w:val="0"/>
      <w:numFmt w:val="bullet"/>
      <w:lvlText w:val="•"/>
      <w:lvlJc w:val="left"/>
      <w:pPr>
        <w:ind w:left="2289" w:hanging="313"/>
      </w:pPr>
      <w:rPr>
        <w:rFonts w:hint="default"/>
        <w:lang w:val="en-US" w:eastAsia="en-US" w:bidi="ar-SA"/>
      </w:rPr>
    </w:lvl>
    <w:lvl w:ilvl="7">
      <w:start w:val="0"/>
      <w:numFmt w:val="bullet"/>
      <w:lvlText w:val="•"/>
      <w:lvlJc w:val="left"/>
      <w:pPr>
        <w:ind w:left="2600" w:hanging="313"/>
      </w:pPr>
      <w:rPr>
        <w:rFonts w:hint="default"/>
        <w:lang w:val="en-US" w:eastAsia="en-US" w:bidi="ar-SA"/>
      </w:rPr>
    </w:lvl>
    <w:lvl w:ilvl="8">
      <w:start w:val="0"/>
      <w:numFmt w:val="bullet"/>
      <w:lvlText w:val="•"/>
      <w:lvlJc w:val="left"/>
      <w:pPr>
        <w:ind w:left="2912" w:hanging="313"/>
      </w:pPr>
      <w:rPr>
        <w:rFonts w:hint="default"/>
        <w:lang w:val="en-US" w:eastAsia="en-US" w:bidi="ar-SA"/>
      </w:rPr>
    </w:lvl>
  </w:abstractNum>
  <w:abstractNum w:abstractNumId="31">
    <w:multiLevelType w:val="hybridMultilevel"/>
    <w:lvl w:ilvl="0">
      <w:start w:val="0"/>
      <w:numFmt w:val="bullet"/>
      <w:lvlText w:val=""/>
      <w:lvlJc w:val="left"/>
      <w:pPr>
        <w:ind w:left="429"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31" w:hanging="313"/>
      </w:pPr>
      <w:rPr>
        <w:rFonts w:hint="default"/>
        <w:lang w:val="en-US" w:eastAsia="en-US" w:bidi="ar-SA"/>
      </w:rPr>
    </w:lvl>
    <w:lvl w:ilvl="2">
      <w:start w:val="0"/>
      <w:numFmt w:val="bullet"/>
      <w:lvlText w:val="•"/>
      <w:lvlJc w:val="left"/>
      <w:pPr>
        <w:ind w:left="1042" w:hanging="313"/>
      </w:pPr>
      <w:rPr>
        <w:rFonts w:hint="default"/>
        <w:lang w:val="en-US" w:eastAsia="en-US" w:bidi="ar-SA"/>
      </w:rPr>
    </w:lvl>
    <w:lvl w:ilvl="3">
      <w:start w:val="0"/>
      <w:numFmt w:val="bullet"/>
      <w:lvlText w:val="•"/>
      <w:lvlJc w:val="left"/>
      <w:pPr>
        <w:ind w:left="1353" w:hanging="313"/>
      </w:pPr>
      <w:rPr>
        <w:rFonts w:hint="default"/>
        <w:lang w:val="en-US" w:eastAsia="en-US" w:bidi="ar-SA"/>
      </w:rPr>
    </w:lvl>
    <w:lvl w:ilvl="4">
      <w:start w:val="0"/>
      <w:numFmt w:val="bullet"/>
      <w:lvlText w:val="•"/>
      <w:lvlJc w:val="left"/>
      <w:pPr>
        <w:ind w:left="1664" w:hanging="313"/>
      </w:pPr>
      <w:rPr>
        <w:rFonts w:hint="default"/>
        <w:lang w:val="en-US" w:eastAsia="en-US" w:bidi="ar-SA"/>
      </w:rPr>
    </w:lvl>
    <w:lvl w:ilvl="5">
      <w:start w:val="0"/>
      <w:numFmt w:val="bullet"/>
      <w:lvlText w:val="•"/>
      <w:lvlJc w:val="left"/>
      <w:pPr>
        <w:ind w:left="1975" w:hanging="313"/>
      </w:pPr>
      <w:rPr>
        <w:rFonts w:hint="default"/>
        <w:lang w:val="en-US" w:eastAsia="en-US" w:bidi="ar-SA"/>
      </w:rPr>
    </w:lvl>
    <w:lvl w:ilvl="6">
      <w:start w:val="0"/>
      <w:numFmt w:val="bullet"/>
      <w:lvlText w:val="•"/>
      <w:lvlJc w:val="left"/>
      <w:pPr>
        <w:ind w:left="2286" w:hanging="313"/>
      </w:pPr>
      <w:rPr>
        <w:rFonts w:hint="default"/>
        <w:lang w:val="en-US" w:eastAsia="en-US" w:bidi="ar-SA"/>
      </w:rPr>
    </w:lvl>
    <w:lvl w:ilvl="7">
      <w:start w:val="0"/>
      <w:numFmt w:val="bullet"/>
      <w:lvlText w:val="•"/>
      <w:lvlJc w:val="left"/>
      <w:pPr>
        <w:ind w:left="2597" w:hanging="313"/>
      </w:pPr>
      <w:rPr>
        <w:rFonts w:hint="default"/>
        <w:lang w:val="en-US" w:eastAsia="en-US" w:bidi="ar-SA"/>
      </w:rPr>
    </w:lvl>
    <w:lvl w:ilvl="8">
      <w:start w:val="0"/>
      <w:numFmt w:val="bullet"/>
      <w:lvlText w:val="•"/>
      <w:lvlJc w:val="left"/>
      <w:pPr>
        <w:ind w:left="2908" w:hanging="313"/>
      </w:pPr>
      <w:rPr>
        <w:rFonts w:hint="default"/>
        <w:lang w:val="en-US" w:eastAsia="en-US" w:bidi="ar-SA"/>
      </w:rPr>
    </w:lvl>
  </w:abstractNum>
  <w:abstractNum w:abstractNumId="30">
    <w:multiLevelType w:val="hybridMultilevel"/>
    <w:lvl w:ilvl="0">
      <w:start w:val="0"/>
      <w:numFmt w:val="bullet"/>
      <w:lvlText w:val=""/>
      <w:lvlJc w:val="left"/>
      <w:pPr>
        <w:ind w:left="429"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31" w:hanging="313"/>
      </w:pPr>
      <w:rPr>
        <w:rFonts w:hint="default"/>
        <w:lang w:val="en-US" w:eastAsia="en-US" w:bidi="ar-SA"/>
      </w:rPr>
    </w:lvl>
    <w:lvl w:ilvl="2">
      <w:start w:val="0"/>
      <w:numFmt w:val="bullet"/>
      <w:lvlText w:val="•"/>
      <w:lvlJc w:val="left"/>
      <w:pPr>
        <w:ind w:left="1042" w:hanging="313"/>
      </w:pPr>
      <w:rPr>
        <w:rFonts w:hint="default"/>
        <w:lang w:val="en-US" w:eastAsia="en-US" w:bidi="ar-SA"/>
      </w:rPr>
    </w:lvl>
    <w:lvl w:ilvl="3">
      <w:start w:val="0"/>
      <w:numFmt w:val="bullet"/>
      <w:lvlText w:val="•"/>
      <w:lvlJc w:val="left"/>
      <w:pPr>
        <w:ind w:left="1353" w:hanging="313"/>
      </w:pPr>
      <w:rPr>
        <w:rFonts w:hint="default"/>
        <w:lang w:val="en-US" w:eastAsia="en-US" w:bidi="ar-SA"/>
      </w:rPr>
    </w:lvl>
    <w:lvl w:ilvl="4">
      <w:start w:val="0"/>
      <w:numFmt w:val="bullet"/>
      <w:lvlText w:val="•"/>
      <w:lvlJc w:val="left"/>
      <w:pPr>
        <w:ind w:left="1664" w:hanging="313"/>
      </w:pPr>
      <w:rPr>
        <w:rFonts w:hint="default"/>
        <w:lang w:val="en-US" w:eastAsia="en-US" w:bidi="ar-SA"/>
      </w:rPr>
    </w:lvl>
    <w:lvl w:ilvl="5">
      <w:start w:val="0"/>
      <w:numFmt w:val="bullet"/>
      <w:lvlText w:val="•"/>
      <w:lvlJc w:val="left"/>
      <w:pPr>
        <w:ind w:left="1975" w:hanging="313"/>
      </w:pPr>
      <w:rPr>
        <w:rFonts w:hint="default"/>
        <w:lang w:val="en-US" w:eastAsia="en-US" w:bidi="ar-SA"/>
      </w:rPr>
    </w:lvl>
    <w:lvl w:ilvl="6">
      <w:start w:val="0"/>
      <w:numFmt w:val="bullet"/>
      <w:lvlText w:val="•"/>
      <w:lvlJc w:val="left"/>
      <w:pPr>
        <w:ind w:left="2286" w:hanging="313"/>
      </w:pPr>
      <w:rPr>
        <w:rFonts w:hint="default"/>
        <w:lang w:val="en-US" w:eastAsia="en-US" w:bidi="ar-SA"/>
      </w:rPr>
    </w:lvl>
    <w:lvl w:ilvl="7">
      <w:start w:val="0"/>
      <w:numFmt w:val="bullet"/>
      <w:lvlText w:val="•"/>
      <w:lvlJc w:val="left"/>
      <w:pPr>
        <w:ind w:left="2597" w:hanging="313"/>
      </w:pPr>
      <w:rPr>
        <w:rFonts w:hint="default"/>
        <w:lang w:val="en-US" w:eastAsia="en-US" w:bidi="ar-SA"/>
      </w:rPr>
    </w:lvl>
    <w:lvl w:ilvl="8">
      <w:start w:val="0"/>
      <w:numFmt w:val="bullet"/>
      <w:lvlText w:val="•"/>
      <w:lvlJc w:val="left"/>
      <w:pPr>
        <w:ind w:left="2908" w:hanging="313"/>
      </w:pPr>
      <w:rPr>
        <w:rFonts w:hint="default"/>
        <w:lang w:val="en-US" w:eastAsia="en-US" w:bidi="ar-SA"/>
      </w:rPr>
    </w:lvl>
  </w:abstractNum>
  <w:abstractNum w:abstractNumId="29">
    <w:multiLevelType w:val="hybridMultilevel"/>
    <w:lvl w:ilvl="0">
      <w:start w:val="0"/>
      <w:numFmt w:val="bullet"/>
      <w:lvlText w:val=""/>
      <w:lvlJc w:val="left"/>
      <w:pPr>
        <w:ind w:left="429"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31" w:hanging="313"/>
      </w:pPr>
      <w:rPr>
        <w:rFonts w:hint="default"/>
        <w:lang w:val="en-US" w:eastAsia="en-US" w:bidi="ar-SA"/>
      </w:rPr>
    </w:lvl>
    <w:lvl w:ilvl="2">
      <w:start w:val="0"/>
      <w:numFmt w:val="bullet"/>
      <w:lvlText w:val="•"/>
      <w:lvlJc w:val="left"/>
      <w:pPr>
        <w:ind w:left="1042" w:hanging="313"/>
      </w:pPr>
      <w:rPr>
        <w:rFonts w:hint="default"/>
        <w:lang w:val="en-US" w:eastAsia="en-US" w:bidi="ar-SA"/>
      </w:rPr>
    </w:lvl>
    <w:lvl w:ilvl="3">
      <w:start w:val="0"/>
      <w:numFmt w:val="bullet"/>
      <w:lvlText w:val="•"/>
      <w:lvlJc w:val="left"/>
      <w:pPr>
        <w:ind w:left="1353" w:hanging="313"/>
      </w:pPr>
      <w:rPr>
        <w:rFonts w:hint="default"/>
        <w:lang w:val="en-US" w:eastAsia="en-US" w:bidi="ar-SA"/>
      </w:rPr>
    </w:lvl>
    <w:lvl w:ilvl="4">
      <w:start w:val="0"/>
      <w:numFmt w:val="bullet"/>
      <w:lvlText w:val="•"/>
      <w:lvlJc w:val="left"/>
      <w:pPr>
        <w:ind w:left="1664" w:hanging="313"/>
      </w:pPr>
      <w:rPr>
        <w:rFonts w:hint="default"/>
        <w:lang w:val="en-US" w:eastAsia="en-US" w:bidi="ar-SA"/>
      </w:rPr>
    </w:lvl>
    <w:lvl w:ilvl="5">
      <w:start w:val="0"/>
      <w:numFmt w:val="bullet"/>
      <w:lvlText w:val="•"/>
      <w:lvlJc w:val="left"/>
      <w:pPr>
        <w:ind w:left="1975" w:hanging="313"/>
      </w:pPr>
      <w:rPr>
        <w:rFonts w:hint="default"/>
        <w:lang w:val="en-US" w:eastAsia="en-US" w:bidi="ar-SA"/>
      </w:rPr>
    </w:lvl>
    <w:lvl w:ilvl="6">
      <w:start w:val="0"/>
      <w:numFmt w:val="bullet"/>
      <w:lvlText w:val="•"/>
      <w:lvlJc w:val="left"/>
      <w:pPr>
        <w:ind w:left="2286" w:hanging="313"/>
      </w:pPr>
      <w:rPr>
        <w:rFonts w:hint="default"/>
        <w:lang w:val="en-US" w:eastAsia="en-US" w:bidi="ar-SA"/>
      </w:rPr>
    </w:lvl>
    <w:lvl w:ilvl="7">
      <w:start w:val="0"/>
      <w:numFmt w:val="bullet"/>
      <w:lvlText w:val="•"/>
      <w:lvlJc w:val="left"/>
      <w:pPr>
        <w:ind w:left="2597" w:hanging="313"/>
      </w:pPr>
      <w:rPr>
        <w:rFonts w:hint="default"/>
        <w:lang w:val="en-US" w:eastAsia="en-US" w:bidi="ar-SA"/>
      </w:rPr>
    </w:lvl>
    <w:lvl w:ilvl="8">
      <w:start w:val="0"/>
      <w:numFmt w:val="bullet"/>
      <w:lvlText w:val="•"/>
      <w:lvlJc w:val="left"/>
      <w:pPr>
        <w:ind w:left="2908" w:hanging="313"/>
      </w:pPr>
      <w:rPr>
        <w:rFonts w:hint="default"/>
        <w:lang w:val="en-US" w:eastAsia="en-US" w:bidi="ar-SA"/>
      </w:rPr>
    </w:lvl>
  </w:abstractNum>
  <w:abstractNum w:abstractNumId="28">
    <w:multiLevelType w:val="hybridMultilevel"/>
    <w:lvl w:ilvl="0">
      <w:start w:val="0"/>
      <w:numFmt w:val="bullet"/>
      <w:lvlText w:val=""/>
      <w:lvlJc w:val="left"/>
      <w:pPr>
        <w:ind w:left="429"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31" w:hanging="313"/>
      </w:pPr>
      <w:rPr>
        <w:rFonts w:hint="default"/>
        <w:lang w:val="en-US" w:eastAsia="en-US" w:bidi="ar-SA"/>
      </w:rPr>
    </w:lvl>
    <w:lvl w:ilvl="2">
      <w:start w:val="0"/>
      <w:numFmt w:val="bullet"/>
      <w:lvlText w:val="•"/>
      <w:lvlJc w:val="left"/>
      <w:pPr>
        <w:ind w:left="1042" w:hanging="313"/>
      </w:pPr>
      <w:rPr>
        <w:rFonts w:hint="default"/>
        <w:lang w:val="en-US" w:eastAsia="en-US" w:bidi="ar-SA"/>
      </w:rPr>
    </w:lvl>
    <w:lvl w:ilvl="3">
      <w:start w:val="0"/>
      <w:numFmt w:val="bullet"/>
      <w:lvlText w:val="•"/>
      <w:lvlJc w:val="left"/>
      <w:pPr>
        <w:ind w:left="1353" w:hanging="313"/>
      </w:pPr>
      <w:rPr>
        <w:rFonts w:hint="default"/>
        <w:lang w:val="en-US" w:eastAsia="en-US" w:bidi="ar-SA"/>
      </w:rPr>
    </w:lvl>
    <w:lvl w:ilvl="4">
      <w:start w:val="0"/>
      <w:numFmt w:val="bullet"/>
      <w:lvlText w:val="•"/>
      <w:lvlJc w:val="left"/>
      <w:pPr>
        <w:ind w:left="1664" w:hanging="313"/>
      </w:pPr>
      <w:rPr>
        <w:rFonts w:hint="default"/>
        <w:lang w:val="en-US" w:eastAsia="en-US" w:bidi="ar-SA"/>
      </w:rPr>
    </w:lvl>
    <w:lvl w:ilvl="5">
      <w:start w:val="0"/>
      <w:numFmt w:val="bullet"/>
      <w:lvlText w:val="•"/>
      <w:lvlJc w:val="left"/>
      <w:pPr>
        <w:ind w:left="1975" w:hanging="313"/>
      </w:pPr>
      <w:rPr>
        <w:rFonts w:hint="default"/>
        <w:lang w:val="en-US" w:eastAsia="en-US" w:bidi="ar-SA"/>
      </w:rPr>
    </w:lvl>
    <w:lvl w:ilvl="6">
      <w:start w:val="0"/>
      <w:numFmt w:val="bullet"/>
      <w:lvlText w:val="•"/>
      <w:lvlJc w:val="left"/>
      <w:pPr>
        <w:ind w:left="2286" w:hanging="313"/>
      </w:pPr>
      <w:rPr>
        <w:rFonts w:hint="default"/>
        <w:lang w:val="en-US" w:eastAsia="en-US" w:bidi="ar-SA"/>
      </w:rPr>
    </w:lvl>
    <w:lvl w:ilvl="7">
      <w:start w:val="0"/>
      <w:numFmt w:val="bullet"/>
      <w:lvlText w:val="•"/>
      <w:lvlJc w:val="left"/>
      <w:pPr>
        <w:ind w:left="2597" w:hanging="313"/>
      </w:pPr>
      <w:rPr>
        <w:rFonts w:hint="default"/>
        <w:lang w:val="en-US" w:eastAsia="en-US" w:bidi="ar-SA"/>
      </w:rPr>
    </w:lvl>
    <w:lvl w:ilvl="8">
      <w:start w:val="0"/>
      <w:numFmt w:val="bullet"/>
      <w:lvlText w:val="•"/>
      <w:lvlJc w:val="left"/>
      <w:pPr>
        <w:ind w:left="2908" w:hanging="313"/>
      </w:pPr>
      <w:rPr>
        <w:rFonts w:hint="default"/>
        <w:lang w:val="en-US" w:eastAsia="en-US" w:bidi="ar-SA"/>
      </w:rPr>
    </w:lvl>
  </w:abstractNum>
  <w:abstractNum w:abstractNumId="27">
    <w:multiLevelType w:val="hybridMultilevel"/>
    <w:lvl w:ilvl="0">
      <w:start w:val="0"/>
      <w:numFmt w:val="bullet"/>
      <w:lvlText w:val=""/>
      <w:lvlJc w:val="left"/>
      <w:pPr>
        <w:ind w:left="429"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31" w:hanging="313"/>
      </w:pPr>
      <w:rPr>
        <w:rFonts w:hint="default"/>
        <w:lang w:val="en-US" w:eastAsia="en-US" w:bidi="ar-SA"/>
      </w:rPr>
    </w:lvl>
    <w:lvl w:ilvl="2">
      <w:start w:val="0"/>
      <w:numFmt w:val="bullet"/>
      <w:lvlText w:val="•"/>
      <w:lvlJc w:val="left"/>
      <w:pPr>
        <w:ind w:left="1042" w:hanging="313"/>
      </w:pPr>
      <w:rPr>
        <w:rFonts w:hint="default"/>
        <w:lang w:val="en-US" w:eastAsia="en-US" w:bidi="ar-SA"/>
      </w:rPr>
    </w:lvl>
    <w:lvl w:ilvl="3">
      <w:start w:val="0"/>
      <w:numFmt w:val="bullet"/>
      <w:lvlText w:val="•"/>
      <w:lvlJc w:val="left"/>
      <w:pPr>
        <w:ind w:left="1353" w:hanging="313"/>
      </w:pPr>
      <w:rPr>
        <w:rFonts w:hint="default"/>
        <w:lang w:val="en-US" w:eastAsia="en-US" w:bidi="ar-SA"/>
      </w:rPr>
    </w:lvl>
    <w:lvl w:ilvl="4">
      <w:start w:val="0"/>
      <w:numFmt w:val="bullet"/>
      <w:lvlText w:val="•"/>
      <w:lvlJc w:val="left"/>
      <w:pPr>
        <w:ind w:left="1664" w:hanging="313"/>
      </w:pPr>
      <w:rPr>
        <w:rFonts w:hint="default"/>
        <w:lang w:val="en-US" w:eastAsia="en-US" w:bidi="ar-SA"/>
      </w:rPr>
    </w:lvl>
    <w:lvl w:ilvl="5">
      <w:start w:val="0"/>
      <w:numFmt w:val="bullet"/>
      <w:lvlText w:val="•"/>
      <w:lvlJc w:val="left"/>
      <w:pPr>
        <w:ind w:left="1975" w:hanging="313"/>
      </w:pPr>
      <w:rPr>
        <w:rFonts w:hint="default"/>
        <w:lang w:val="en-US" w:eastAsia="en-US" w:bidi="ar-SA"/>
      </w:rPr>
    </w:lvl>
    <w:lvl w:ilvl="6">
      <w:start w:val="0"/>
      <w:numFmt w:val="bullet"/>
      <w:lvlText w:val="•"/>
      <w:lvlJc w:val="left"/>
      <w:pPr>
        <w:ind w:left="2286" w:hanging="313"/>
      </w:pPr>
      <w:rPr>
        <w:rFonts w:hint="default"/>
        <w:lang w:val="en-US" w:eastAsia="en-US" w:bidi="ar-SA"/>
      </w:rPr>
    </w:lvl>
    <w:lvl w:ilvl="7">
      <w:start w:val="0"/>
      <w:numFmt w:val="bullet"/>
      <w:lvlText w:val="•"/>
      <w:lvlJc w:val="left"/>
      <w:pPr>
        <w:ind w:left="2597" w:hanging="313"/>
      </w:pPr>
      <w:rPr>
        <w:rFonts w:hint="default"/>
        <w:lang w:val="en-US" w:eastAsia="en-US" w:bidi="ar-SA"/>
      </w:rPr>
    </w:lvl>
    <w:lvl w:ilvl="8">
      <w:start w:val="0"/>
      <w:numFmt w:val="bullet"/>
      <w:lvlText w:val="•"/>
      <w:lvlJc w:val="left"/>
      <w:pPr>
        <w:ind w:left="2908" w:hanging="313"/>
      </w:pPr>
      <w:rPr>
        <w:rFonts w:hint="default"/>
        <w:lang w:val="en-US" w:eastAsia="en-US" w:bidi="ar-SA"/>
      </w:rPr>
    </w:lvl>
  </w:abstractNum>
  <w:abstractNum w:abstractNumId="26">
    <w:multiLevelType w:val="hybridMultilevel"/>
    <w:lvl w:ilvl="0">
      <w:start w:val="0"/>
      <w:numFmt w:val="bullet"/>
      <w:lvlText w:val=""/>
      <w:lvlJc w:val="left"/>
      <w:pPr>
        <w:ind w:left="429"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31" w:hanging="313"/>
      </w:pPr>
      <w:rPr>
        <w:rFonts w:hint="default"/>
        <w:lang w:val="en-US" w:eastAsia="en-US" w:bidi="ar-SA"/>
      </w:rPr>
    </w:lvl>
    <w:lvl w:ilvl="2">
      <w:start w:val="0"/>
      <w:numFmt w:val="bullet"/>
      <w:lvlText w:val="•"/>
      <w:lvlJc w:val="left"/>
      <w:pPr>
        <w:ind w:left="1042" w:hanging="313"/>
      </w:pPr>
      <w:rPr>
        <w:rFonts w:hint="default"/>
        <w:lang w:val="en-US" w:eastAsia="en-US" w:bidi="ar-SA"/>
      </w:rPr>
    </w:lvl>
    <w:lvl w:ilvl="3">
      <w:start w:val="0"/>
      <w:numFmt w:val="bullet"/>
      <w:lvlText w:val="•"/>
      <w:lvlJc w:val="left"/>
      <w:pPr>
        <w:ind w:left="1353" w:hanging="313"/>
      </w:pPr>
      <w:rPr>
        <w:rFonts w:hint="default"/>
        <w:lang w:val="en-US" w:eastAsia="en-US" w:bidi="ar-SA"/>
      </w:rPr>
    </w:lvl>
    <w:lvl w:ilvl="4">
      <w:start w:val="0"/>
      <w:numFmt w:val="bullet"/>
      <w:lvlText w:val="•"/>
      <w:lvlJc w:val="left"/>
      <w:pPr>
        <w:ind w:left="1664" w:hanging="313"/>
      </w:pPr>
      <w:rPr>
        <w:rFonts w:hint="default"/>
        <w:lang w:val="en-US" w:eastAsia="en-US" w:bidi="ar-SA"/>
      </w:rPr>
    </w:lvl>
    <w:lvl w:ilvl="5">
      <w:start w:val="0"/>
      <w:numFmt w:val="bullet"/>
      <w:lvlText w:val="•"/>
      <w:lvlJc w:val="left"/>
      <w:pPr>
        <w:ind w:left="1975" w:hanging="313"/>
      </w:pPr>
      <w:rPr>
        <w:rFonts w:hint="default"/>
        <w:lang w:val="en-US" w:eastAsia="en-US" w:bidi="ar-SA"/>
      </w:rPr>
    </w:lvl>
    <w:lvl w:ilvl="6">
      <w:start w:val="0"/>
      <w:numFmt w:val="bullet"/>
      <w:lvlText w:val="•"/>
      <w:lvlJc w:val="left"/>
      <w:pPr>
        <w:ind w:left="2286" w:hanging="313"/>
      </w:pPr>
      <w:rPr>
        <w:rFonts w:hint="default"/>
        <w:lang w:val="en-US" w:eastAsia="en-US" w:bidi="ar-SA"/>
      </w:rPr>
    </w:lvl>
    <w:lvl w:ilvl="7">
      <w:start w:val="0"/>
      <w:numFmt w:val="bullet"/>
      <w:lvlText w:val="•"/>
      <w:lvlJc w:val="left"/>
      <w:pPr>
        <w:ind w:left="2597" w:hanging="313"/>
      </w:pPr>
      <w:rPr>
        <w:rFonts w:hint="default"/>
        <w:lang w:val="en-US" w:eastAsia="en-US" w:bidi="ar-SA"/>
      </w:rPr>
    </w:lvl>
    <w:lvl w:ilvl="8">
      <w:start w:val="0"/>
      <w:numFmt w:val="bullet"/>
      <w:lvlText w:val="•"/>
      <w:lvlJc w:val="left"/>
      <w:pPr>
        <w:ind w:left="2908" w:hanging="313"/>
      </w:pPr>
      <w:rPr>
        <w:rFonts w:hint="default"/>
        <w:lang w:val="en-US" w:eastAsia="en-US" w:bidi="ar-SA"/>
      </w:rPr>
    </w:lvl>
  </w:abstractNum>
  <w:abstractNum w:abstractNumId="25">
    <w:multiLevelType w:val="hybridMultilevel"/>
    <w:lvl w:ilvl="0">
      <w:start w:val="0"/>
      <w:numFmt w:val="bullet"/>
      <w:lvlText w:val=""/>
      <w:lvlJc w:val="left"/>
      <w:pPr>
        <w:ind w:left="429"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31" w:hanging="313"/>
      </w:pPr>
      <w:rPr>
        <w:rFonts w:hint="default"/>
        <w:lang w:val="en-US" w:eastAsia="en-US" w:bidi="ar-SA"/>
      </w:rPr>
    </w:lvl>
    <w:lvl w:ilvl="2">
      <w:start w:val="0"/>
      <w:numFmt w:val="bullet"/>
      <w:lvlText w:val="•"/>
      <w:lvlJc w:val="left"/>
      <w:pPr>
        <w:ind w:left="1042" w:hanging="313"/>
      </w:pPr>
      <w:rPr>
        <w:rFonts w:hint="default"/>
        <w:lang w:val="en-US" w:eastAsia="en-US" w:bidi="ar-SA"/>
      </w:rPr>
    </w:lvl>
    <w:lvl w:ilvl="3">
      <w:start w:val="0"/>
      <w:numFmt w:val="bullet"/>
      <w:lvlText w:val="•"/>
      <w:lvlJc w:val="left"/>
      <w:pPr>
        <w:ind w:left="1353" w:hanging="313"/>
      </w:pPr>
      <w:rPr>
        <w:rFonts w:hint="default"/>
        <w:lang w:val="en-US" w:eastAsia="en-US" w:bidi="ar-SA"/>
      </w:rPr>
    </w:lvl>
    <w:lvl w:ilvl="4">
      <w:start w:val="0"/>
      <w:numFmt w:val="bullet"/>
      <w:lvlText w:val="•"/>
      <w:lvlJc w:val="left"/>
      <w:pPr>
        <w:ind w:left="1664" w:hanging="313"/>
      </w:pPr>
      <w:rPr>
        <w:rFonts w:hint="default"/>
        <w:lang w:val="en-US" w:eastAsia="en-US" w:bidi="ar-SA"/>
      </w:rPr>
    </w:lvl>
    <w:lvl w:ilvl="5">
      <w:start w:val="0"/>
      <w:numFmt w:val="bullet"/>
      <w:lvlText w:val="•"/>
      <w:lvlJc w:val="left"/>
      <w:pPr>
        <w:ind w:left="1975" w:hanging="313"/>
      </w:pPr>
      <w:rPr>
        <w:rFonts w:hint="default"/>
        <w:lang w:val="en-US" w:eastAsia="en-US" w:bidi="ar-SA"/>
      </w:rPr>
    </w:lvl>
    <w:lvl w:ilvl="6">
      <w:start w:val="0"/>
      <w:numFmt w:val="bullet"/>
      <w:lvlText w:val="•"/>
      <w:lvlJc w:val="left"/>
      <w:pPr>
        <w:ind w:left="2286" w:hanging="313"/>
      </w:pPr>
      <w:rPr>
        <w:rFonts w:hint="default"/>
        <w:lang w:val="en-US" w:eastAsia="en-US" w:bidi="ar-SA"/>
      </w:rPr>
    </w:lvl>
    <w:lvl w:ilvl="7">
      <w:start w:val="0"/>
      <w:numFmt w:val="bullet"/>
      <w:lvlText w:val="•"/>
      <w:lvlJc w:val="left"/>
      <w:pPr>
        <w:ind w:left="2597" w:hanging="313"/>
      </w:pPr>
      <w:rPr>
        <w:rFonts w:hint="default"/>
        <w:lang w:val="en-US" w:eastAsia="en-US" w:bidi="ar-SA"/>
      </w:rPr>
    </w:lvl>
    <w:lvl w:ilvl="8">
      <w:start w:val="0"/>
      <w:numFmt w:val="bullet"/>
      <w:lvlText w:val="•"/>
      <w:lvlJc w:val="left"/>
      <w:pPr>
        <w:ind w:left="2908" w:hanging="313"/>
      </w:pPr>
      <w:rPr>
        <w:rFonts w:hint="default"/>
        <w:lang w:val="en-US" w:eastAsia="en-US" w:bidi="ar-SA"/>
      </w:rPr>
    </w:lvl>
  </w:abstractNum>
  <w:abstractNum w:abstractNumId="24">
    <w:multiLevelType w:val="hybridMultilevel"/>
    <w:lvl w:ilvl="0">
      <w:start w:val="0"/>
      <w:numFmt w:val="bullet"/>
      <w:lvlText w:val=""/>
      <w:lvlJc w:val="left"/>
      <w:pPr>
        <w:ind w:left="429"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31" w:hanging="313"/>
      </w:pPr>
      <w:rPr>
        <w:rFonts w:hint="default"/>
        <w:lang w:val="en-US" w:eastAsia="en-US" w:bidi="ar-SA"/>
      </w:rPr>
    </w:lvl>
    <w:lvl w:ilvl="2">
      <w:start w:val="0"/>
      <w:numFmt w:val="bullet"/>
      <w:lvlText w:val="•"/>
      <w:lvlJc w:val="left"/>
      <w:pPr>
        <w:ind w:left="1042" w:hanging="313"/>
      </w:pPr>
      <w:rPr>
        <w:rFonts w:hint="default"/>
        <w:lang w:val="en-US" w:eastAsia="en-US" w:bidi="ar-SA"/>
      </w:rPr>
    </w:lvl>
    <w:lvl w:ilvl="3">
      <w:start w:val="0"/>
      <w:numFmt w:val="bullet"/>
      <w:lvlText w:val="•"/>
      <w:lvlJc w:val="left"/>
      <w:pPr>
        <w:ind w:left="1353" w:hanging="313"/>
      </w:pPr>
      <w:rPr>
        <w:rFonts w:hint="default"/>
        <w:lang w:val="en-US" w:eastAsia="en-US" w:bidi="ar-SA"/>
      </w:rPr>
    </w:lvl>
    <w:lvl w:ilvl="4">
      <w:start w:val="0"/>
      <w:numFmt w:val="bullet"/>
      <w:lvlText w:val="•"/>
      <w:lvlJc w:val="left"/>
      <w:pPr>
        <w:ind w:left="1664" w:hanging="313"/>
      </w:pPr>
      <w:rPr>
        <w:rFonts w:hint="default"/>
        <w:lang w:val="en-US" w:eastAsia="en-US" w:bidi="ar-SA"/>
      </w:rPr>
    </w:lvl>
    <w:lvl w:ilvl="5">
      <w:start w:val="0"/>
      <w:numFmt w:val="bullet"/>
      <w:lvlText w:val="•"/>
      <w:lvlJc w:val="left"/>
      <w:pPr>
        <w:ind w:left="1975" w:hanging="313"/>
      </w:pPr>
      <w:rPr>
        <w:rFonts w:hint="default"/>
        <w:lang w:val="en-US" w:eastAsia="en-US" w:bidi="ar-SA"/>
      </w:rPr>
    </w:lvl>
    <w:lvl w:ilvl="6">
      <w:start w:val="0"/>
      <w:numFmt w:val="bullet"/>
      <w:lvlText w:val="•"/>
      <w:lvlJc w:val="left"/>
      <w:pPr>
        <w:ind w:left="2286" w:hanging="313"/>
      </w:pPr>
      <w:rPr>
        <w:rFonts w:hint="default"/>
        <w:lang w:val="en-US" w:eastAsia="en-US" w:bidi="ar-SA"/>
      </w:rPr>
    </w:lvl>
    <w:lvl w:ilvl="7">
      <w:start w:val="0"/>
      <w:numFmt w:val="bullet"/>
      <w:lvlText w:val="•"/>
      <w:lvlJc w:val="left"/>
      <w:pPr>
        <w:ind w:left="2597" w:hanging="313"/>
      </w:pPr>
      <w:rPr>
        <w:rFonts w:hint="default"/>
        <w:lang w:val="en-US" w:eastAsia="en-US" w:bidi="ar-SA"/>
      </w:rPr>
    </w:lvl>
    <w:lvl w:ilvl="8">
      <w:start w:val="0"/>
      <w:numFmt w:val="bullet"/>
      <w:lvlText w:val="•"/>
      <w:lvlJc w:val="left"/>
      <w:pPr>
        <w:ind w:left="2908" w:hanging="313"/>
      </w:pPr>
      <w:rPr>
        <w:rFonts w:hint="default"/>
        <w:lang w:val="en-US" w:eastAsia="en-US" w:bidi="ar-SA"/>
      </w:rPr>
    </w:lvl>
  </w:abstractNum>
  <w:abstractNum w:abstractNumId="23">
    <w:multiLevelType w:val="hybridMultilevel"/>
    <w:lvl w:ilvl="0">
      <w:start w:val="1"/>
      <w:numFmt w:val="decimal"/>
      <w:lvlText w:val="%1)"/>
      <w:lvlJc w:val="left"/>
      <w:pPr>
        <w:ind w:left="959" w:hanging="568"/>
        <w:jc w:val="left"/>
      </w:pPr>
      <w:rPr>
        <w:rFonts w:hint="default" w:ascii="Arial" w:hAnsi="Arial" w:eastAsia="Arial" w:cs="Arial"/>
        <w:b w:val="0"/>
        <w:bCs w:val="0"/>
        <w:i w:val="0"/>
        <w:iCs w:val="0"/>
        <w:spacing w:val="-2"/>
        <w:w w:val="100"/>
        <w:sz w:val="22"/>
        <w:szCs w:val="22"/>
        <w:lang w:val="en-US" w:eastAsia="en-US" w:bidi="ar-SA"/>
      </w:rPr>
    </w:lvl>
    <w:lvl w:ilvl="1">
      <w:start w:val="0"/>
      <w:numFmt w:val="bullet"/>
      <w:lvlText w:val="o"/>
      <w:lvlJc w:val="left"/>
      <w:pPr>
        <w:ind w:left="1525" w:hanging="567"/>
      </w:pPr>
      <w:rPr>
        <w:rFonts w:hint="default" w:ascii="Courier New" w:hAnsi="Courier New" w:eastAsia="Courier New" w:cs="Courier New"/>
        <w:b w:val="0"/>
        <w:bCs w:val="0"/>
        <w:i w:val="0"/>
        <w:iCs w:val="0"/>
        <w:w w:val="100"/>
        <w:sz w:val="22"/>
        <w:szCs w:val="22"/>
        <w:lang w:val="en-US" w:eastAsia="en-US" w:bidi="ar-SA"/>
      </w:rPr>
    </w:lvl>
    <w:lvl w:ilvl="2">
      <w:start w:val="0"/>
      <w:numFmt w:val="bullet"/>
      <w:lvlText w:val="•"/>
      <w:lvlJc w:val="left"/>
      <w:pPr>
        <w:ind w:left="2605" w:hanging="567"/>
      </w:pPr>
      <w:rPr>
        <w:rFonts w:hint="default"/>
        <w:lang w:val="en-US" w:eastAsia="en-US" w:bidi="ar-SA"/>
      </w:rPr>
    </w:lvl>
    <w:lvl w:ilvl="3">
      <w:start w:val="0"/>
      <w:numFmt w:val="bullet"/>
      <w:lvlText w:val="•"/>
      <w:lvlJc w:val="left"/>
      <w:pPr>
        <w:ind w:left="3690" w:hanging="567"/>
      </w:pPr>
      <w:rPr>
        <w:rFonts w:hint="default"/>
        <w:lang w:val="en-US" w:eastAsia="en-US" w:bidi="ar-SA"/>
      </w:rPr>
    </w:lvl>
    <w:lvl w:ilvl="4">
      <w:start w:val="0"/>
      <w:numFmt w:val="bullet"/>
      <w:lvlText w:val="•"/>
      <w:lvlJc w:val="left"/>
      <w:pPr>
        <w:ind w:left="4775" w:hanging="567"/>
      </w:pPr>
      <w:rPr>
        <w:rFonts w:hint="default"/>
        <w:lang w:val="en-US" w:eastAsia="en-US" w:bidi="ar-SA"/>
      </w:rPr>
    </w:lvl>
    <w:lvl w:ilvl="5">
      <w:start w:val="0"/>
      <w:numFmt w:val="bullet"/>
      <w:lvlText w:val="•"/>
      <w:lvlJc w:val="left"/>
      <w:pPr>
        <w:ind w:left="5860" w:hanging="567"/>
      </w:pPr>
      <w:rPr>
        <w:rFonts w:hint="default"/>
        <w:lang w:val="en-US" w:eastAsia="en-US" w:bidi="ar-SA"/>
      </w:rPr>
    </w:lvl>
    <w:lvl w:ilvl="6">
      <w:start w:val="0"/>
      <w:numFmt w:val="bullet"/>
      <w:lvlText w:val="•"/>
      <w:lvlJc w:val="left"/>
      <w:pPr>
        <w:ind w:left="6945" w:hanging="567"/>
      </w:pPr>
      <w:rPr>
        <w:rFonts w:hint="default"/>
        <w:lang w:val="en-US" w:eastAsia="en-US" w:bidi="ar-SA"/>
      </w:rPr>
    </w:lvl>
    <w:lvl w:ilvl="7">
      <w:start w:val="0"/>
      <w:numFmt w:val="bullet"/>
      <w:lvlText w:val="•"/>
      <w:lvlJc w:val="left"/>
      <w:pPr>
        <w:ind w:left="8030" w:hanging="567"/>
      </w:pPr>
      <w:rPr>
        <w:rFonts w:hint="default"/>
        <w:lang w:val="en-US" w:eastAsia="en-US" w:bidi="ar-SA"/>
      </w:rPr>
    </w:lvl>
    <w:lvl w:ilvl="8">
      <w:start w:val="0"/>
      <w:numFmt w:val="bullet"/>
      <w:lvlText w:val="•"/>
      <w:lvlJc w:val="left"/>
      <w:pPr>
        <w:ind w:left="9116" w:hanging="567"/>
      </w:pPr>
      <w:rPr>
        <w:rFonts w:hint="default"/>
        <w:lang w:val="en-US" w:eastAsia="en-US" w:bidi="ar-SA"/>
      </w:rPr>
    </w:lvl>
  </w:abstractNum>
  <w:abstractNum w:abstractNumId="22">
    <w:multiLevelType w:val="hybridMultilevel"/>
    <w:lvl w:ilvl="0">
      <w:start w:val="0"/>
      <w:numFmt w:val="bullet"/>
      <w:lvlText w:val=""/>
      <w:lvlJc w:val="left"/>
      <w:pPr>
        <w:ind w:left="429"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31" w:hanging="313"/>
      </w:pPr>
      <w:rPr>
        <w:rFonts w:hint="default"/>
        <w:lang w:val="en-US" w:eastAsia="en-US" w:bidi="ar-SA"/>
      </w:rPr>
    </w:lvl>
    <w:lvl w:ilvl="2">
      <w:start w:val="0"/>
      <w:numFmt w:val="bullet"/>
      <w:lvlText w:val="•"/>
      <w:lvlJc w:val="left"/>
      <w:pPr>
        <w:ind w:left="1042" w:hanging="313"/>
      </w:pPr>
      <w:rPr>
        <w:rFonts w:hint="default"/>
        <w:lang w:val="en-US" w:eastAsia="en-US" w:bidi="ar-SA"/>
      </w:rPr>
    </w:lvl>
    <w:lvl w:ilvl="3">
      <w:start w:val="0"/>
      <w:numFmt w:val="bullet"/>
      <w:lvlText w:val="•"/>
      <w:lvlJc w:val="left"/>
      <w:pPr>
        <w:ind w:left="1353" w:hanging="313"/>
      </w:pPr>
      <w:rPr>
        <w:rFonts w:hint="default"/>
        <w:lang w:val="en-US" w:eastAsia="en-US" w:bidi="ar-SA"/>
      </w:rPr>
    </w:lvl>
    <w:lvl w:ilvl="4">
      <w:start w:val="0"/>
      <w:numFmt w:val="bullet"/>
      <w:lvlText w:val="•"/>
      <w:lvlJc w:val="left"/>
      <w:pPr>
        <w:ind w:left="1664" w:hanging="313"/>
      </w:pPr>
      <w:rPr>
        <w:rFonts w:hint="default"/>
        <w:lang w:val="en-US" w:eastAsia="en-US" w:bidi="ar-SA"/>
      </w:rPr>
    </w:lvl>
    <w:lvl w:ilvl="5">
      <w:start w:val="0"/>
      <w:numFmt w:val="bullet"/>
      <w:lvlText w:val="•"/>
      <w:lvlJc w:val="left"/>
      <w:pPr>
        <w:ind w:left="1975" w:hanging="313"/>
      </w:pPr>
      <w:rPr>
        <w:rFonts w:hint="default"/>
        <w:lang w:val="en-US" w:eastAsia="en-US" w:bidi="ar-SA"/>
      </w:rPr>
    </w:lvl>
    <w:lvl w:ilvl="6">
      <w:start w:val="0"/>
      <w:numFmt w:val="bullet"/>
      <w:lvlText w:val="•"/>
      <w:lvlJc w:val="left"/>
      <w:pPr>
        <w:ind w:left="2286" w:hanging="313"/>
      </w:pPr>
      <w:rPr>
        <w:rFonts w:hint="default"/>
        <w:lang w:val="en-US" w:eastAsia="en-US" w:bidi="ar-SA"/>
      </w:rPr>
    </w:lvl>
    <w:lvl w:ilvl="7">
      <w:start w:val="0"/>
      <w:numFmt w:val="bullet"/>
      <w:lvlText w:val="•"/>
      <w:lvlJc w:val="left"/>
      <w:pPr>
        <w:ind w:left="2597" w:hanging="313"/>
      </w:pPr>
      <w:rPr>
        <w:rFonts w:hint="default"/>
        <w:lang w:val="en-US" w:eastAsia="en-US" w:bidi="ar-SA"/>
      </w:rPr>
    </w:lvl>
    <w:lvl w:ilvl="8">
      <w:start w:val="0"/>
      <w:numFmt w:val="bullet"/>
      <w:lvlText w:val="•"/>
      <w:lvlJc w:val="left"/>
      <w:pPr>
        <w:ind w:left="2908" w:hanging="313"/>
      </w:pPr>
      <w:rPr>
        <w:rFonts w:hint="default"/>
        <w:lang w:val="en-US" w:eastAsia="en-US" w:bidi="ar-SA"/>
      </w:rPr>
    </w:lvl>
  </w:abstractNum>
  <w:abstractNum w:abstractNumId="21">
    <w:multiLevelType w:val="hybridMultilevel"/>
    <w:lvl w:ilvl="0">
      <w:start w:val="0"/>
      <w:numFmt w:val="bullet"/>
      <w:lvlText w:val=""/>
      <w:lvlJc w:val="left"/>
      <w:pPr>
        <w:ind w:left="429" w:hanging="313"/>
      </w:pPr>
      <w:rPr>
        <w:rFonts w:hint="default" w:ascii="Symbol" w:hAnsi="Symbol" w:eastAsia="Symbol" w:cs="Symbol"/>
        <w:b w:val="0"/>
        <w:bCs w:val="0"/>
        <w:i w:val="0"/>
        <w:iCs w:val="0"/>
        <w:w w:val="99"/>
        <w:sz w:val="20"/>
        <w:szCs w:val="20"/>
        <w:lang w:val="en-US" w:eastAsia="en-US" w:bidi="ar-SA"/>
      </w:rPr>
    </w:lvl>
    <w:lvl w:ilvl="1">
      <w:start w:val="0"/>
      <w:numFmt w:val="bullet"/>
      <w:lvlText w:val="o"/>
      <w:lvlJc w:val="left"/>
      <w:pPr>
        <w:ind w:left="836" w:hanging="360"/>
      </w:pPr>
      <w:rPr>
        <w:rFonts w:hint="default" w:ascii="Courier New" w:hAnsi="Courier New" w:eastAsia="Courier New" w:cs="Courier New"/>
        <w:b w:val="0"/>
        <w:bCs w:val="0"/>
        <w:i w:val="0"/>
        <w:iCs w:val="0"/>
        <w:w w:val="99"/>
        <w:sz w:val="20"/>
        <w:szCs w:val="20"/>
        <w:lang w:val="en-US" w:eastAsia="en-US" w:bidi="ar-SA"/>
      </w:rPr>
    </w:lvl>
    <w:lvl w:ilvl="2">
      <w:start w:val="0"/>
      <w:numFmt w:val="bullet"/>
      <w:lvlText w:val="•"/>
      <w:lvlJc w:val="left"/>
      <w:pPr>
        <w:ind w:left="1138" w:hanging="360"/>
      </w:pPr>
      <w:rPr>
        <w:rFonts w:hint="default"/>
        <w:lang w:val="en-US" w:eastAsia="en-US" w:bidi="ar-SA"/>
      </w:rPr>
    </w:lvl>
    <w:lvl w:ilvl="3">
      <w:start w:val="0"/>
      <w:numFmt w:val="bullet"/>
      <w:lvlText w:val="•"/>
      <w:lvlJc w:val="left"/>
      <w:pPr>
        <w:ind w:left="1437" w:hanging="360"/>
      </w:pPr>
      <w:rPr>
        <w:rFonts w:hint="default"/>
        <w:lang w:val="en-US" w:eastAsia="en-US" w:bidi="ar-SA"/>
      </w:rPr>
    </w:lvl>
    <w:lvl w:ilvl="4">
      <w:start w:val="0"/>
      <w:numFmt w:val="bullet"/>
      <w:lvlText w:val="•"/>
      <w:lvlJc w:val="left"/>
      <w:pPr>
        <w:ind w:left="1736" w:hanging="360"/>
      </w:pPr>
      <w:rPr>
        <w:rFonts w:hint="default"/>
        <w:lang w:val="en-US" w:eastAsia="en-US" w:bidi="ar-SA"/>
      </w:rPr>
    </w:lvl>
    <w:lvl w:ilvl="5">
      <w:start w:val="0"/>
      <w:numFmt w:val="bullet"/>
      <w:lvlText w:val="•"/>
      <w:lvlJc w:val="left"/>
      <w:pPr>
        <w:ind w:left="2035" w:hanging="360"/>
      </w:pPr>
      <w:rPr>
        <w:rFonts w:hint="default"/>
        <w:lang w:val="en-US" w:eastAsia="en-US" w:bidi="ar-SA"/>
      </w:rPr>
    </w:lvl>
    <w:lvl w:ilvl="6">
      <w:start w:val="0"/>
      <w:numFmt w:val="bullet"/>
      <w:lvlText w:val="•"/>
      <w:lvlJc w:val="left"/>
      <w:pPr>
        <w:ind w:left="2334" w:hanging="360"/>
      </w:pPr>
      <w:rPr>
        <w:rFonts w:hint="default"/>
        <w:lang w:val="en-US" w:eastAsia="en-US" w:bidi="ar-SA"/>
      </w:rPr>
    </w:lvl>
    <w:lvl w:ilvl="7">
      <w:start w:val="0"/>
      <w:numFmt w:val="bullet"/>
      <w:lvlText w:val="•"/>
      <w:lvlJc w:val="left"/>
      <w:pPr>
        <w:ind w:left="2633" w:hanging="360"/>
      </w:pPr>
      <w:rPr>
        <w:rFonts w:hint="default"/>
        <w:lang w:val="en-US" w:eastAsia="en-US" w:bidi="ar-SA"/>
      </w:rPr>
    </w:lvl>
    <w:lvl w:ilvl="8">
      <w:start w:val="0"/>
      <w:numFmt w:val="bullet"/>
      <w:lvlText w:val="•"/>
      <w:lvlJc w:val="left"/>
      <w:pPr>
        <w:ind w:left="2932" w:hanging="360"/>
      </w:pPr>
      <w:rPr>
        <w:rFonts w:hint="default"/>
        <w:lang w:val="en-US" w:eastAsia="en-US" w:bidi="ar-SA"/>
      </w:rPr>
    </w:lvl>
  </w:abstractNum>
  <w:abstractNum w:abstractNumId="20">
    <w:multiLevelType w:val="hybridMultilevel"/>
    <w:lvl w:ilvl="0">
      <w:start w:val="0"/>
      <w:numFmt w:val="bullet"/>
      <w:lvlText w:val=""/>
      <w:lvlJc w:val="left"/>
      <w:pPr>
        <w:ind w:left="429"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31" w:hanging="313"/>
      </w:pPr>
      <w:rPr>
        <w:rFonts w:hint="default"/>
        <w:lang w:val="en-US" w:eastAsia="en-US" w:bidi="ar-SA"/>
      </w:rPr>
    </w:lvl>
    <w:lvl w:ilvl="2">
      <w:start w:val="0"/>
      <w:numFmt w:val="bullet"/>
      <w:lvlText w:val="•"/>
      <w:lvlJc w:val="left"/>
      <w:pPr>
        <w:ind w:left="1042" w:hanging="313"/>
      </w:pPr>
      <w:rPr>
        <w:rFonts w:hint="default"/>
        <w:lang w:val="en-US" w:eastAsia="en-US" w:bidi="ar-SA"/>
      </w:rPr>
    </w:lvl>
    <w:lvl w:ilvl="3">
      <w:start w:val="0"/>
      <w:numFmt w:val="bullet"/>
      <w:lvlText w:val="•"/>
      <w:lvlJc w:val="left"/>
      <w:pPr>
        <w:ind w:left="1353" w:hanging="313"/>
      </w:pPr>
      <w:rPr>
        <w:rFonts w:hint="default"/>
        <w:lang w:val="en-US" w:eastAsia="en-US" w:bidi="ar-SA"/>
      </w:rPr>
    </w:lvl>
    <w:lvl w:ilvl="4">
      <w:start w:val="0"/>
      <w:numFmt w:val="bullet"/>
      <w:lvlText w:val="•"/>
      <w:lvlJc w:val="left"/>
      <w:pPr>
        <w:ind w:left="1664" w:hanging="313"/>
      </w:pPr>
      <w:rPr>
        <w:rFonts w:hint="default"/>
        <w:lang w:val="en-US" w:eastAsia="en-US" w:bidi="ar-SA"/>
      </w:rPr>
    </w:lvl>
    <w:lvl w:ilvl="5">
      <w:start w:val="0"/>
      <w:numFmt w:val="bullet"/>
      <w:lvlText w:val="•"/>
      <w:lvlJc w:val="left"/>
      <w:pPr>
        <w:ind w:left="1975" w:hanging="313"/>
      </w:pPr>
      <w:rPr>
        <w:rFonts w:hint="default"/>
        <w:lang w:val="en-US" w:eastAsia="en-US" w:bidi="ar-SA"/>
      </w:rPr>
    </w:lvl>
    <w:lvl w:ilvl="6">
      <w:start w:val="0"/>
      <w:numFmt w:val="bullet"/>
      <w:lvlText w:val="•"/>
      <w:lvlJc w:val="left"/>
      <w:pPr>
        <w:ind w:left="2286" w:hanging="313"/>
      </w:pPr>
      <w:rPr>
        <w:rFonts w:hint="default"/>
        <w:lang w:val="en-US" w:eastAsia="en-US" w:bidi="ar-SA"/>
      </w:rPr>
    </w:lvl>
    <w:lvl w:ilvl="7">
      <w:start w:val="0"/>
      <w:numFmt w:val="bullet"/>
      <w:lvlText w:val="•"/>
      <w:lvlJc w:val="left"/>
      <w:pPr>
        <w:ind w:left="2597" w:hanging="313"/>
      </w:pPr>
      <w:rPr>
        <w:rFonts w:hint="default"/>
        <w:lang w:val="en-US" w:eastAsia="en-US" w:bidi="ar-SA"/>
      </w:rPr>
    </w:lvl>
    <w:lvl w:ilvl="8">
      <w:start w:val="0"/>
      <w:numFmt w:val="bullet"/>
      <w:lvlText w:val="•"/>
      <w:lvlJc w:val="left"/>
      <w:pPr>
        <w:ind w:left="2908" w:hanging="313"/>
      </w:pPr>
      <w:rPr>
        <w:rFonts w:hint="default"/>
        <w:lang w:val="en-US" w:eastAsia="en-US" w:bidi="ar-SA"/>
      </w:rPr>
    </w:lvl>
  </w:abstractNum>
  <w:abstractNum w:abstractNumId="19">
    <w:multiLevelType w:val="hybridMultilevel"/>
    <w:lvl w:ilvl="0">
      <w:start w:val="0"/>
      <w:numFmt w:val="bullet"/>
      <w:lvlText w:val=""/>
      <w:lvlJc w:val="left"/>
      <w:pPr>
        <w:ind w:left="429"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31" w:hanging="313"/>
      </w:pPr>
      <w:rPr>
        <w:rFonts w:hint="default"/>
        <w:lang w:val="en-US" w:eastAsia="en-US" w:bidi="ar-SA"/>
      </w:rPr>
    </w:lvl>
    <w:lvl w:ilvl="2">
      <w:start w:val="0"/>
      <w:numFmt w:val="bullet"/>
      <w:lvlText w:val="•"/>
      <w:lvlJc w:val="left"/>
      <w:pPr>
        <w:ind w:left="1042" w:hanging="313"/>
      </w:pPr>
      <w:rPr>
        <w:rFonts w:hint="default"/>
        <w:lang w:val="en-US" w:eastAsia="en-US" w:bidi="ar-SA"/>
      </w:rPr>
    </w:lvl>
    <w:lvl w:ilvl="3">
      <w:start w:val="0"/>
      <w:numFmt w:val="bullet"/>
      <w:lvlText w:val="•"/>
      <w:lvlJc w:val="left"/>
      <w:pPr>
        <w:ind w:left="1353" w:hanging="313"/>
      </w:pPr>
      <w:rPr>
        <w:rFonts w:hint="default"/>
        <w:lang w:val="en-US" w:eastAsia="en-US" w:bidi="ar-SA"/>
      </w:rPr>
    </w:lvl>
    <w:lvl w:ilvl="4">
      <w:start w:val="0"/>
      <w:numFmt w:val="bullet"/>
      <w:lvlText w:val="•"/>
      <w:lvlJc w:val="left"/>
      <w:pPr>
        <w:ind w:left="1664" w:hanging="313"/>
      </w:pPr>
      <w:rPr>
        <w:rFonts w:hint="default"/>
        <w:lang w:val="en-US" w:eastAsia="en-US" w:bidi="ar-SA"/>
      </w:rPr>
    </w:lvl>
    <w:lvl w:ilvl="5">
      <w:start w:val="0"/>
      <w:numFmt w:val="bullet"/>
      <w:lvlText w:val="•"/>
      <w:lvlJc w:val="left"/>
      <w:pPr>
        <w:ind w:left="1975" w:hanging="313"/>
      </w:pPr>
      <w:rPr>
        <w:rFonts w:hint="default"/>
        <w:lang w:val="en-US" w:eastAsia="en-US" w:bidi="ar-SA"/>
      </w:rPr>
    </w:lvl>
    <w:lvl w:ilvl="6">
      <w:start w:val="0"/>
      <w:numFmt w:val="bullet"/>
      <w:lvlText w:val="•"/>
      <w:lvlJc w:val="left"/>
      <w:pPr>
        <w:ind w:left="2286" w:hanging="313"/>
      </w:pPr>
      <w:rPr>
        <w:rFonts w:hint="default"/>
        <w:lang w:val="en-US" w:eastAsia="en-US" w:bidi="ar-SA"/>
      </w:rPr>
    </w:lvl>
    <w:lvl w:ilvl="7">
      <w:start w:val="0"/>
      <w:numFmt w:val="bullet"/>
      <w:lvlText w:val="•"/>
      <w:lvlJc w:val="left"/>
      <w:pPr>
        <w:ind w:left="2597" w:hanging="313"/>
      </w:pPr>
      <w:rPr>
        <w:rFonts w:hint="default"/>
        <w:lang w:val="en-US" w:eastAsia="en-US" w:bidi="ar-SA"/>
      </w:rPr>
    </w:lvl>
    <w:lvl w:ilvl="8">
      <w:start w:val="0"/>
      <w:numFmt w:val="bullet"/>
      <w:lvlText w:val="•"/>
      <w:lvlJc w:val="left"/>
      <w:pPr>
        <w:ind w:left="2908" w:hanging="313"/>
      </w:pPr>
      <w:rPr>
        <w:rFonts w:hint="default"/>
        <w:lang w:val="en-US" w:eastAsia="en-US" w:bidi="ar-SA"/>
      </w:rPr>
    </w:lvl>
  </w:abstractNum>
  <w:abstractNum w:abstractNumId="18">
    <w:multiLevelType w:val="hybridMultilevel"/>
    <w:lvl w:ilvl="0">
      <w:start w:val="0"/>
      <w:numFmt w:val="bullet"/>
      <w:lvlText w:val=""/>
      <w:lvlJc w:val="left"/>
      <w:pPr>
        <w:ind w:left="429" w:hanging="313"/>
      </w:pPr>
      <w:rPr>
        <w:rFonts w:hint="default" w:ascii="Symbol" w:hAnsi="Symbol" w:eastAsia="Symbol" w:cs="Symbol"/>
        <w:b w:val="0"/>
        <w:bCs w:val="0"/>
        <w:i w:val="0"/>
        <w:iCs w:val="0"/>
        <w:w w:val="99"/>
        <w:sz w:val="20"/>
        <w:szCs w:val="20"/>
        <w:lang w:val="en-US" w:eastAsia="en-US" w:bidi="ar-SA"/>
      </w:rPr>
    </w:lvl>
    <w:lvl w:ilvl="1">
      <w:start w:val="0"/>
      <w:numFmt w:val="bullet"/>
      <w:lvlText w:val="o"/>
      <w:lvlJc w:val="left"/>
      <w:pPr>
        <w:ind w:left="836" w:hanging="360"/>
      </w:pPr>
      <w:rPr>
        <w:rFonts w:hint="default" w:ascii="Courier New" w:hAnsi="Courier New" w:eastAsia="Courier New" w:cs="Courier New"/>
        <w:b w:val="0"/>
        <w:bCs w:val="0"/>
        <w:i w:val="0"/>
        <w:iCs w:val="0"/>
        <w:w w:val="99"/>
        <w:sz w:val="20"/>
        <w:szCs w:val="20"/>
        <w:lang w:val="en-US" w:eastAsia="en-US" w:bidi="ar-SA"/>
      </w:rPr>
    </w:lvl>
    <w:lvl w:ilvl="2">
      <w:start w:val="0"/>
      <w:numFmt w:val="bullet"/>
      <w:lvlText w:val="•"/>
      <w:lvlJc w:val="left"/>
      <w:pPr>
        <w:ind w:left="1138" w:hanging="360"/>
      </w:pPr>
      <w:rPr>
        <w:rFonts w:hint="default"/>
        <w:lang w:val="en-US" w:eastAsia="en-US" w:bidi="ar-SA"/>
      </w:rPr>
    </w:lvl>
    <w:lvl w:ilvl="3">
      <w:start w:val="0"/>
      <w:numFmt w:val="bullet"/>
      <w:lvlText w:val="•"/>
      <w:lvlJc w:val="left"/>
      <w:pPr>
        <w:ind w:left="1437" w:hanging="360"/>
      </w:pPr>
      <w:rPr>
        <w:rFonts w:hint="default"/>
        <w:lang w:val="en-US" w:eastAsia="en-US" w:bidi="ar-SA"/>
      </w:rPr>
    </w:lvl>
    <w:lvl w:ilvl="4">
      <w:start w:val="0"/>
      <w:numFmt w:val="bullet"/>
      <w:lvlText w:val="•"/>
      <w:lvlJc w:val="left"/>
      <w:pPr>
        <w:ind w:left="1736" w:hanging="360"/>
      </w:pPr>
      <w:rPr>
        <w:rFonts w:hint="default"/>
        <w:lang w:val="en-US" w:eastAsia="en-US" w:bidi="ar-SA"/>
      </w:rPr>
    </w:lvl>
    <w:lvl w:ilvl="5">
      <w:start w:val="0"/>
      <w:numFmt w:val="bullet"/>
      <w:lvlText w:val="•"/>
      <w:lvlJc w:val="left"/>
      <w:pPr>
        <w:ind w:left="2035" w:hanging="360"/>
      </w:pPr>
      <w:rPr>
        <w:rFonts w:hint="default"/>
        <w:lang w:val="en-US" w:eastAsia="en-US" w:bidi="ar-SA"/>
      </w:rPr>
    </w:lvl>
    <w:lvl w:ilvl="6">
      <w:start w:val="0"/>
      <w:numFmt w:val="bullet"/>
      <w:lvlText w:val="•"/>
      <w:lvlJc w:val="left"/>
      <w:pPr>
        <w:ind w:left="2334" w:hanging="360"/>
      </w:pPr>
      <w:rPr>
        <w:rFonts w:hint="default"/>
        <w:lang w:val="en-US" w:eastAsia="en-US" w:bidi="ar-SA"/>
      </w:rPr>
    </w:lvl>
    <w:lvl w:ilvl="7">
      <w:start w:val="0"/>
      <w:numFmt w:val="bullet"/>
      <w:lvlText w:val="•"/>
      <w:lvlJc w:val="left"/>
      <w:pPr>
        <w:ind w:left="2633" w:hanging="360"/>
      </w:pPr>
      <w:rPr>
        <w:rFonts w:hint="default"/>
        <w:lang w:val="en-US" w:eastAsia="en-US" w:bidi="ar-SA"/>
      </w:rPr>
    </w:lvl>
    <w:lvl w:ilvl="8">
      <w:start w:val="0"/>
      <w:numFmt w:val="bullet"/>
      <w:lvlText w:val="•"/>
      <w:lvlJc w:val="left"/>
      <w:pPr>
        <w:ind w:left="2932" w:hanging="360"/>
      </w:pPr>
      <w:rPr>
        <w:rFonts w:hint="default"/>
        <w:lang w:val="en-US" w:eastAsia="en-US" w:bidi="ar-SA"/>
      </w:rPr>
    </w:lvl>
  </w:abstractNum>
  <w:abstractNum w:abstractNumId="17">
    <w:multiLevelType w:val="hybridMultilevel"/>
    <w:lvl w:ilvl="0">
      <w:start w:val="0"/>
      <w:numFmt w:val="bullet"/>
      <w:lvlText w:val=""/>
      <w:lvlJc w:val="left"/>
      <w:pPr>
        <w:ind w:left="415"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31" w:hanging="313"/>
      </w:pPr>
      <w:rPr>
        <w:rFonts w:hint="default"/>
        <w:lang w:val="en-US" w:eastAsia="en-US" w:bidi="ar-SA"/>
      </w:rPr>
    </w:lvl>
    <w:lvl w:ilvl="2">
      <w:start w:val="0"/>
      <w:numFmt w:val="bullet"/>
      <w:lvlText w:val="•"/>
      <w:lvlJc w:val="left"/>
      <w:pPr>
        <w:ind w:left="1042" w:hanging="313"/>
      </w:pPr>
      <w:rPr>
        <w:rFonts w:hint="default"/>
        <w:lang w:val="en-US" w:eastAsia="en-US" w:bidi="ar-SA"/>
      </w:rPr>
    </w:lvl>
    <w:lvl w:ilvl="3">
      <w:start w:val="0"/>
      <w:numFmt w:val="bullet"/>
      <w:lvlText w:val="•"/>
      <w:lvlJc w:val="left"/>
      <w:pPr>
        <w:ind w:left="1353" w:hanging="313"/>
      </w:pPr>
      <w:rPr>
        <w:rFonts w:hint="default"/>
        <w:lang w:val="en-US" w:eastAsia="en-US" w:bidi="ar-SA"/>
      </w:rPr>
    </w:lvl>
    <w:lvl w:ilvl="4">
      <w:start w:val="0"/>
      <w:numFmt w:val="bullet"/>
      <w:lvlText w:val="•"/>
      <w:lvlJc w:val="left"/>
      <w:pPr>
        <w:ind w:left="1664" w:hanging="313"/>
      </w:pPr>
      <w:rPr>
        <w:rFonts w:hint="default"/>
        <w:lang w:val="en-US" w:eastAsia="en-US" w:bidi="ar-SA"/>
      </w:rPr>
    </w:lvl>
    <w:lvl w:ilvl="5">
      <w:start w:val="0"/>
      <w:numFmt w:val="bullet"/>
      <w:lvlText w:val="•"/>
      <w:lvlJc w:val="left"/>
      <w:pPr>
        <w:ind w:left="1975" w:hanging="313"/>
      </w:pPr>
      <w:rPr>
        <w:rFonts w:hint="default"/>
        <w:lang w:val="en-US" w:eastAsia="en-US" w:bidi="ar-SA"/>
      </w:rPr>
    </w:lvl>
    <w:lvl w:ilvl="6">
      <w:start w:val="0"/>
      <w:numFmt w:val="bullet"/>
      <w:lvlText w:val="•"/>
      <w:lvlJc w:val="left"/>
      <w:pPr>
        <w:ind w:left="2286" w:hanging="313"/>
      </w:pPr>
      <w:rPr>
        <w:rFonts w:hint="default"/>
        <w:lang w:val="en-US" w:eastAsia="en-US" w:bidi="ar-SA"/>
      </w:rPr>
    </w:lvl>
    <w:lvl w:ilvl="7">
      <w:start w:val="0"/>
      <w:numFmt w:val="bullet"/>
      <w:lvlText w:val="•"/>
      <w:lvlJc w:val="left"/>
      <w:pPr>
        <w:ind w:left="2597" w:hanging="313"/>
      </w:pPr>
      <w:rPr>
        <w:rFonts w:hint="default"/>
        <w:lang w:val="en-US" w:eastAsia="en-US" w:bidi="ar-SA"/>
      </w:rPr>
    </w:lvl>
    <w:lvl w:ilvl="8">
      <w:start w:val="0"/>
      <w:numFmt w:val="bullet"/>
      <w:lvlText w:val="•"/>
      <w:lvlJc w:val="left"/>
      <w:pPr>
        <w:ind w:left="2908" w:hanging="313"/>
      </w:pPr>
      <w:rPr>
        <w:rFonts w:hint="default"/>
        <w:lang w:val="en-US" w:eastAsia="en-US" w:bidi="ar-SA"/>
      </w:rPr>
    </w:lvl>
  </w:abstractNum>
  <w:abstractNum w:abstractNumId="16">
    <w:multiLevelType w:val="hybridMultilevel"/>
    <w:lvl w:ilvl="0">
      <w:start w:val="0"/>
      <w:numFmt w:val="bullet"/>
      <w:lvlText w:val=""/>
      <w:lvlJc w:val="left"/>
      <w:pPr>
        <w:ind w:left="415" w:hanging="313"/>
      </w:pPr>
      <w:rPr>
        <w:rFonts w:hint="default" w:ascii="Symbol" w:hAnsi="Symbol" w:eastAsia="Symbol" w:cs="Symbol"/>
        <w:b w:val="0"/>
        <w:bCs w:val="0"/>
        <w:i w:val="0"/>
        <w:iCs w:val="0"/>
        <w:w w:val="99"/>
        <w:sz w:val="20"/>
        <w:szCs w:val="20"/>
        <w:lang w:val="en-US" w:eastAsia="en-US" w:bidi="ar-SA"/>
      </w:rPr>
    </w:lvl>
    <w:lvl w:ilvl="1">
      <w:start w:val="0"/>
      <w:numFmt w:val="bullet"/>
      <w:lvlText w:val="o"/>
      <w:lvlJc w:val="left"/>
      <w:pPr>
        <w:ind w:left="822" w:hanging="360"/>
      </w:pPr>
      <w:rPr>
        <w:rFonts w:hint="default" w:ascii="Courier New" w:hAnsi="Courier New" w:eastAsia="Courier New" w:cs="Courier New"/>
        <w:b w:val="0"/>
        <w:bCs w:val="0"/>
        <w:i w:val="0"/>
        <w:iCs w:val="0"/>
        <w:w w:val="99"/>
        <w:sz w:val="20"/>
        <w:szCs w:val="20"/>
        <w:lang w:val="en-US" w:eastAsia="en-US" w:bidi="ar-SA"/>
      </w:rPr>
    </w:lvl>
    <w:lvl w:ilvl="2">
      <w:start w:val="0"/>
      <w:numFmt w:val="bullet"/>
      <w:lvlText w:val="•"/>
      <w:lvlJc w:val="left"/>
      <w:pPr>
        <w:ind w:left="1121" w:hanging="360"/>
      </w:pPr>
      <w:rPr>
        <w:rFonts w:hint="default"/>
        <w:lang w:val="en-US" w:eastAsia="en-US" w:bidi="ar-SA"/>
      </w:rPr>
    </w:lvl>
    <w:lvl w:ilvl="3">
      <w:start w:val="0"/>
      <w:numFmt w:val="bullet"/>
      <w:lvlText w:val="•"/>
      <w:lvlJc w:val="left"/>
      <w:pPr>
        <w:ind w:left="1422" w:hanging="360"/>
      </w:pPr>
      <w:rPr>
        <w:rFonts w:hint="default"/>
        <w:lang w:val="en-US" w:eastAsia="en-US" w:bidi="ar-SA"/>
      </w:rPr>
    </w:lvl>
    <w:lvl w:ilvl="4">
      <w:start w:val="0"/>
      <w:numFmt w:val="bullet"/>
      <w:lvlText w:val="•"/>
      <w:lvlJc w:val="left"/>
      <w:pPr>
        <w:ind w:left="1723" w:hanging="360"/>
      </w:pPr>
      <w:rPr>
        <w:rFonts w:hint="default"/>
        <w:lang w:val="en-US" w:eastAsia="en-US" w:bidi="ar-SA"/>
      </w:rPr>
    </w:lvl>
    <w:lvl w:ilvl="5">
      <w:start w:val="0"/>
      <w:numFmt w:val="bullet"/>
      <w:lvlText w:val="•"/>
      <w:lvlJc w:val="left"/>
      <w:pPr>
        <w:ind w:left="2024" w:hanging="360"/>
      </w:pPr>
      <w:rPr>
        <w:rFonts w:hint="default"/>
        <w:lang w:val="en-US" w:eastAsia="en-US" w:bidi="ar-SA"/>
      </w:rPr>
    </w:lvl>
    <w:lvl w:ilvl="6">
      <w:start w:val="0"/>
      <w:numFmt w:val="bullet"/>
      <w:lvlText w:val="•"/>
      <w:lvlJc w:val="left"/>
      <w:pPr>
        <w:ind w:left="2325" w:hanging="360"/>
      </w:pPr>
      <w:rPr>
        <w:rFonts w:hint="default"/>
        <w:lang w:val="en-US" w:eastAsia="en-US" w:bidi="ar-SA"/>
      </w:rPr>
    </w:lvl>
    <w:lvl w:ilvl="7">
      <w:start w:val="0"/>
      <w:numFmt w:val="bullet"/>
      <w:lvlText w:val="•"/>
      <w:lvlJc w:val="left"/>
      <w:pPr>
        <w:ind w:left="2626" w:hanging="360"/>
      </w:pPr>
      <w:rPr>
        <w:rFonts w:hint="default"/>
        <w:lang w:val="en-US" w:eastAsia="en-US" w:bidi="ar-SA"/>
      </w:rPr>
    </w:lvl>
    <w:lvl w:ilvl="8">
      <w:start w:val="0"/>
      <w:numFmt w:val="bullet"/>
      <w:lvlText w:val="•"/>
      <w:lvlJc w:val="left"/>
      <w:pPr>
        <w:ind w:left="2927" w:hanging="360"/>
      </w:pPr>
      <w:rPr>
        <w:rFonts w:hint="default"/>
        <w:lang w:val="en-US" w:eastAsia="en-US" w:bidi="ar-SA"/>
      </w:rPr>
    </w:lvl>
  </w:abstractNum>
  <w:abstractNum w:abstractNumId="15">
    <w:multiLevelType w:val="hybridMultilevel"/>
    <w:lvl w:ilvl="0">
      <w:start w:val="0"/>
      <w:numFmt w:val="bullet"/>
      <w:lvlText w:val=""/>
      <w:lvlJc w:val="left"/>
      <w:pPr>
        <w:ind w:left="415"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31" w:hanging="313"/>
      </w:pPr>
      <w:rPr>
        <w:rFonts w:hint="default"/>
        <w:lang w:val="en-US" w:eastAsia="en-US" w:bidi="ar-SA"/>
      </w:rPr>
    </w:lvl>
    <w:lvl w:ilvl="2">
      <w:start w:val="0"/>
      <w:numFmt w:val="bullet"/>
      <w:lvlText w:val="•"/>
      <w:lvlJc w:val="left"/>
      <w:pPr>
        <w:ind w:left="1042" w:hanging="313"/>
      </w:pPr>
      <w:rPr>
        <w:rFonts w:hint="default"/>
        <w:lang w:val="en-US" w:eastAsia="en-US" w:bidi="ar-SA"/>
      </w:rPr>
    </w:lvl>
    <w:lvl w:ilvl="3">
      <w:start w:val="0"/>
      <w:numFmt w:val="bullet"/>
      <w:lvlText w:val="•"/>
      <w:lvlJc w:val="left"/>
      <w:pPr>
        <w:ind w:left="1353" w:hanging="313"/>
      </w:pPr>
      <w:rPr>
        <w:rFonts w:hint="default"/>
        <w:lang w:val="en-US" w:eastAsia="en-US" w:bidi="ar-SA"/>
      </w:rPr>
    </w:lvl>
    <w:lvl w:ilvl="4">
      <w:start w:val="0"/>
      <w:numFmt w:val="bullet"/>
      <w:lvlText w:val="•"/>
      <w:lvlJc w:val="left"/>
      <w:pPr>
        <w:ind w:left="1664" w:hanging="313"/>
      </w:pPr>
      <w:rPr>
        <w:rFonts w:hint="default"/>
        <w:lang w:val="en-US" w:eastAsia="en-US" w:bidi="ar-SA"/>
      </w:rPr>
    </w:lvl>
    <w:lvl w:ilvl="5">
      <w:start w:val="0"/>
      <w:numFmt w:val="bullet"/>
      <w:lvlText w:val="•"/>
      <w:lvlJc w:val="left"/>
      <w:pPr>
        <w:ind w:left="1975" w:hanging="313"/>
      </w:pPr>
      <w:rPr>
        <w:rFonts w:hint="default"/>
        <w:lang w:val="en-US" w:eastAsia="en-US" w:bidi="ar-SA"/>
      </w:rPr>
    </w:lvl>
    <w:lvl w:ilvl="6">
      <w:start w:val="0"/>
      <w:numFmt w:val="bullet"/>
      <w:lvlText w:val="•"/>
      <w:lvlJc w:val="left"/>
      <w:pPr>
        <w:ind w:left="2286" w:hanging="313"/>
      </w:pPr>
      <w:rPr>
        <w:rFonts w:hint="default"/>
        <w:lang w:val="en-US" w:eastAsia="en-US" w:bidi="ar-SA"/>
      </w:rPr>
    </w:lvl>
    <w:lvl w:ilvl="7">
      <w:start w:val="0"/>
      <w:numFmt w:val="bullet"/>
      <w:lvlText w:val="•"/>
      <w:lvlJc w:val="left"/>
      <w:pPr>
        <w:ind w:left="2597" w:hanging="313"/>
      </w:pPr>
      <w:rPr>
        <w:rFonts w:hint="default"/>
        <w:lang w:val="en-US" w:eastAsia="en-US" w:bidi="ar-SA"/>
      </w:rPr>
    </w:lvl>
    <w:lvl w:ilvl="8">
      <w:start w:val="0"/>
      <w:numFmt w:val="bullet"/>
      <w:lvlText w:val="•"/>
      <w:lvlJc w:val="left"/>
      <w:pPr>
        <w:ind w:left="2908" w:hanging="313"/>
      </w:pPr>
      <w:rPr>
        <w:rFonts w:hint="default"/>
        <w:lang w:val="en-US" w:eastAsia="en-US" w:bidi="ar-SA"/>
      </w:rPr>
    </w:lvl>
  </w:abstractNum>
  <w:abstractNum w:abstractNumId="14">
    <w:multiLevelType w:val="hybridMultilevel"/>
    <w:lvl w:ilvl="0">
      <w:start w:val="0"/>
      <w:numFmt w:val="bullet"/>
      <w:lvlText w:val=""/>
      <w:lvlJc w:val="left"/>
      <w:pPr>
        <w:ind w:left="415"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31" w:hanging="313"/>
      </w:pPr>
      <w:rPr>
        <w:rFonts w:hint="default"/>
        <w:lang w:val="en-US" w:eastAsia="en-US" w:bidi="ar-SA"/>
      </w:rPr>
    </w:lvl>
    <w:lvl w:ilvl="2">
      <w:start w:val="0"/>
      <w:numFmt w:val="bullet"/>
      <w:lvlText w:val="•"/>
      <w:lvlJc w:val="left"/>
      <w:pPr>
        <w:ind w:left="1042" w:hanging="313"/>
      </w:pPr>
      <w:rPr>
        <w:rFonts w:hint="default"/>
        <w:lang w:val="en-US" w:eastAsia="en-US" w:bidi="ar-SA"/>
      </w:rPr>
    </w:lvl>
    <w:lvl w:ilvl="3">
      <w:start w:val="0"/>
      <w:numFmt w:val="bullet"/>
      <w:lvlText w:val="•"/>
      <w:lvlJc w:val="left"/>
      <w:pPr>
        <w:ind w:left="1353" w:hanging="313"/>
      </w:pPr>
      <w:rPr>
        <w:rFonts w:hint="default"/>
        <w:lang w:val="en-US" w:eastAsia="en-US" w:bidi="ar-SA"/>
      </w:rPr>
    </w:lvl>
    <w:lvl w:ilvl="4">
      <w:start w:val="0"/>
      <w:numFmt w:val="bullet"/>
      <w:lvlText w:val="•"/>
      <w:lvlJc w:val="left"/>
      <w:pPr>
        <w:ind w:left="1664" w:hanging="313"/>
      </w:pPr>
      <w:rPr>
        <w:rFonts w:hint="default"/>
        <w:lang w:val="en-US" w:eastAsia="en-US" w:bidi="ar-SA"/>
      </w:rPr>
    </w:lvl>
    <w:lvl w:ilvl="5">
      <w:start w:val="0"/>
      <w:numFmt w:val="bullet"/>
      <w:lvlText w:val="•"/>
      <w:lvlJc w:val="left"/>
      <w:pPr>
        <w:ind w:left="1975" w:hanging="313"/>
      </w:pPr>
      <w:rPr>
        <w:rFonts w:hint="default"/>
        <w:lang w:val="en-US" w:eastAsia="en-US" w:bidi="ar-SA"/>
      </w:rPr>
    </w:lvl>
    <w:lvl w:ilvl="6">
      <w:start w:val="0"/>
      <w:numFmt w:val="bullet"/>
      <w:lvlText w:val="•"/>
      <w:lvlJc w:val="left"/>
      <w:pPr>
        <w:ind w:left="2286" w:hanging="313"/>
      </w:pPr>
      <w:rPr>
        <w:rFonts w:hint="default"/>
        <w:lang w:val="en-US" w:eastAsia="en-US" w:bidi="ar-SA"/>
      </w:rPr>
    </w:lvl>
    <w:lvl w:ilvl="7">
      <w:start w:val="0"/>
      <w:numFmt w:val="bullet"/>
      <w:lvlText w:val="•"/>
      <w:lvlJc w:val="left"/>
      <w:pPr>
        <w:ind w:left="2597" w:hanging="313"/>
      </w:pPr>
      <w:rPr>
        <w:rFonts w:hint="default"/>
        <w:lang w:val="en-US" w:eastAsia="en-US" w:bidi="ar-SA"/>
      </w:rPr>
    </w:lvl>
    <w:lvl w:ilvl="8">
      <w:start w:val="0"/>
      <w:numFmt w:val="bullet"/>
      <w:lvlText w:val="•"/>
      <w:lvlJc w:val="left"/>
      <w:pPr>
        <w:ind w:left="2908" w:hanging="313"/>
      </w:pPr>
      <w:rPr>
        <w:rFonts w:hint="default"/>
        <w:lang w:val="en-US" w:eastAsia="en-US" w:bidi="ar-SA"/>
      </w:rPr>
    </w:lvl>
  </w:abstractNum>
  <w:abstractNum w:abstractNumId="13">
    <w:multiLevelType w:val="hybridMultilevel"/>
    <w:lvl w:ilvl="0">
      <w:start w:val="0"/>
      <w:numFmt w:val="bullet"/>
      <w:lvlText w:val=""/>
      <w:lvlJc w:val="left"/>
      <w:pPr>
        <w:ind w:left="429"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31" w:hanging="313"/>
      </w:pPr>
      <w:rPr>
        <w:rFonts w:hint="default"/>
        <w:lang w:val="en-US" w:eastAsia="en-US" w:bidi="ar-SA"/>
      </w:rPr>
    </w:lvl>
    <w:lvl w:ilvl="2">
      <w:start w:val="0"/>
      <w:numFmt w:val="bullet"/>
      <w:lvlText w:val="•"/>
      <w:lvlJc w:val="left"/>
      <w:pPr>
        <w:ind w:left="1042" w:hanging="313"/>
      </w:pPr>
      <w:rPr>
        <w:rFonts w:hint="default"/>
        <w:lang w:val="en-US" w:eastAsia="en-US" w:bidi="ar-SA"/>
      </w:rPr>
    </w:lvl>
    <w:lvl w:ilvl="3">
      <w:start w:val="0"/>
      <w:numFmt w:val="bullet"/>
      <w:lvlText w:val="•"/>
      <w:lvlJc w:val="left"/>
      <w:pPr>
        <w:ind w:left="1353" w:hanging="313"/>
      </w:pPr>
      <w:rPr>
        <w:rFonts w:hint="default"/>
        <w:lang w:val="en-US" w:eastAsia="en-US" w:bidi="ar-SA"/>
      </w:rPr>
    </w:lvl>
    <w:lvl w:ilvl="4">
      <w:start w:val="0"/>
      <w:numFmt w:val="bullet"/>
      <w:lvlText w:val="•"/>
      <w:lvlJc w:val="left"/>
      <w:pPr>
        <w:ind w:left="1664" w:hanging="313"/>
      </w:pPr>
      <w:rPr>
        <w:rFonts w:hint="default"/>
        <w:lang w:val="en-US" w:eastAsia="en-US" w:bidi="ar-SA"/>
      </w:rPr>
    </w:lvl>
    <w:lvl w:ilvl="5">
      <w:start w:val="0"/>
      <w:numFmt w:val="bullet"/>
      <w:lvlText w:val="•"/>
      <w:lvlJc w:val="left"/>
      <w:pPr>
        <w:ind w:left="1975" w:hanging="313"/>
      </w:pPr>
      <w:rPr>
        <w:rFonts w:hint="default"/>
        <w:lang w:val="en-US" w:eastAsia="en-US" w:bidi="ar-SA"/>
      </w:rPr>
    </w:lvl>
    <w:lvl w:ilvl="6">
      <w:start w:val="0"/>
      <w:numFmt w:val="bullet"/>
      <w:lvlText w:val="•"/>
      <w:lvlJc w:val="left"/>
      <w:pPr>
        <w:ind w:left="2286" w:hanging="313"/>
      </w:pPr>
      <w:rPr>
        <w:rFonts w:hint="default"/>
        <w:lang w:val="en-US" w:eastAsia="en-US" w:bidi="ar-SA"/>
      </w:rPr>
    </w:lvl>
    <w:lvl w:ilvl="7">
      <w:start w:val="0"/>
      <w:numFmt w:val="bullet"/>
      <w:lvlText w:val="•"/>
      <w:lvlJc w:val="left"/>
      <w:pPr>
        <w:ind w:left="2597" w:hanging="313"/>
      </w:pPr>
      <w:rPr>
        <w:rFonts w:hint="default"/>
        <w:lang w:val="en-US" w:eastAsia="en-US" w:bidi="ar-SA"/>
      </w:rPr>
    </w:lvl>
    <w:lvl w:ilvl="8">
      <w:start w:val="0"/>
      <w:numFmt w:val="bullet"/>
      <w:lvlText w:val="•"/>
      <w:lvlJc w:val="left"/>
      <w:pPr>
        <w:ind w:left="2908" w:hanging="313"/>
      </w:pPr>
      <w:rPr>
        <w:rFonts w:hint="default"/>
        <w:lang w:val="en-US" w:eastAsia="en-US" w:bidi="ar-SA"/>
      </w:rPr>
    </w:lvl>
  </w:abstractNum>
  <w:abstractNum w:abstractNumId="12">
    <w:multiLevelType w:val="hybridMultilevel"/>
    <w:lvl w:ilvl="0">
      <w:start w:val="0"/>
      <w:numFmt w:val="bullet"/>
      <w:lvlText w:val=""/>
      <w:lvlJc w:val="left"/>
      <w:pPr>
        <w:ind w:left="429" w:hanging="3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731" w:hanging="313"/>
      </w:pPr>
      <w:rPr>
        <w:rFonts w:hint="default"/>
        <w:lang w:val="en-US" w:eastAsia="en-US" w:bidi="ar-SA"/>
      </w:rPr>
    </w:lvl>
    <w:lvl w:ilvl="2">
      <w:start w:val="0"/>
      <w:numFmt w:val="bullet"/>
      <w:lvlText w:val="•"/>
      <w:lvlJc w:val="left"/>
      <w:pPr>
        <w:ind w:left="1042" w:hanging="313"/>
      </w:pPr>
      <w:rPr>
        <w:rFonts w:hint="default"/>
        <w:lang w:val="en-US" w:eastAsia="en-US" w:bidi="ar-SA"/>
      </w:rPr>
    </w:lvl>
    <w:lvl w:ilvl="3">
      <w:start w:val="0"/>
      <w:numFmt w:val="bullet"/>
      <w:lvlText w:val="•"/>
      <w:lvlJc w:val="left"/>
      <w:pPr>
        <w:ind w:left="1353" w:hanging="313"/>
      </w:pPr>
      <w:rPr>
        <w:rFonts w:hint="default"/>
        <w:lang w:val="en-US" w:eastAsia="en-US" w:bidi="ar-SA"/>
      </w:rPr>
    </w:lvl>
    <w:lvl w:ilvl="4">
      <w:start w:val="0"/>
      <w:numFmt w:val="bullet"/>
      <w:lvlText w:val="•"/>
      <w:lvlJc w:val="left"/>
      <w:pPr>
        <w:ind w:left="1664" w:hanging="313"/>
      </w:pPr>
      <w:rPr>
        <w:rFonts w:hint="default"/>
        <w:lang w:val="en-US" w:eastAsia="en-US" w:bidi="ar-SA"/>
      </w:rPr>
    </w:lvl>
    <w:lvl w:ilvl="5">
      <w:start w:val="0"/>
      <w:numFmt w:val="bullet"/>
      <w:lvlText w:val="•"/>
      <w:lvlJc w:val="left"/>
      <w:pPr>
        <w:ind w:left="1975" w:hanging="313"/>
      </w:pPr>
      <w:rPr>
        <w:rFonts w:hint="default"/>
        <w:lang w:val="en-US" w:eastAsia="en-US" w:bidi="ar-SA"/>
      </w:rPr>
    </w:lvl>
    <w:lvl w:ilvl="6">
      <w:start w:val="0"/>
      <w:numFmt w:val="bullet"/>
      <w:lvlText w:val="•"/>
      <w:lvlJc w:val="left"/>
      <w:pPr>
        <w:ind w:left="2286" w:hanging="313"/>
      </w:pPr>
      <w:rPr>
        <w:rFonts w:hint="default"/>
        <w:lang w:val="en-US" w:eastAsia="en-US" w:bidi="ar-SA"/>
      </w:rPr>
    </w:lvl>
    <w:lvl w:ilvl="7">
      <w:start w:val="0"/>
      <w:numFmt w:val="bullet"/>
      <w:lvlText w:val="•"/>
      <w:lvlJc w:val="left"/>
      <w:pPr>
        <w:ind w:left="2597" w:hanging="313"/>
      </w:pPr>
      <w:rPr>
        <w:rFonts w:hint="default"/>
        <w:lang w:val="en-US" w:eastAsia="en-US" w:bidi="ar-SA"/>
      </w:rPr>
    </w:lvl>
    <w:lvl w:ilvl="8">
      <w:start w:val="0"/>
      <w:numFmt w:val="bullet"/>
      <w:lvlText w:val="•"/>
      <w:lvlJc w:val="left"/>
      <w:pPr>
        <w:ind w:left="2908" w:hanging="313"/>
      </w:pPr>
      <w:rPr>
        <w:rFonts w:hint="default"/>
        <w:lang w:val="en-US" w:eastAsia="en-US" w:bidi="ar-SA"/>
      </w:rPr>
    </w:lvl>
  </w:abstractNum>
  <w:abstractNum w:abstractNumId="11">
    <w:multiLevelType w:val="hybridMultilevel"/>
    <w:lvl w:ilvl="0">
      <w:start w:val="11"/>
      <w:numFmt w:val="decimal"/>
      <w:lvlText w:val="%1"/>
      <w:lvlJc w:val="left"/>
      <w:pPr>
        <w:ind w:left="353" w:hanging="253"/>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1"/>
      <w:numFmt w:val="decimal"/>
      <w:lvlText w:val="%2."/>
      <w:lvlJc w:val="left"/>
      <w:pPr>
        <w:ind w:left="1034" w:hanging="643"/>
        <w:jc w:val="right"/>
      </w:pPr>
      <w:rPr>
        <w:rFonts w:hint="default" w:ascii="Arial" w:hAnsi="Arial" w:eastAsia="Arial" w:cs="Arial"/>
        <w:b/>
        <w:bCs/>
        <w:i w:val="0"/>
        <w:iCs w:val="0"/>
        <w:color w:val="4966AC"/>
        <w:w w:val="99"/>
        <w:sz w:val="32"/>
        <w:szCs w:val="32"/>
        <w:lang w:val="en-US" w:eastAsia="en-US" w:bidi="ar-SA"/>
      </w:rPr>
    </w:lvl>
    <w:lvl w:ilvl="2">
      <w:start w:val="1"/>
      <w:numFmt w:val="decimal"/>
      <w:lvlText w:val="%2.%3"/>
      <w:lvlJc w:val="left"/>
      <w:pPr>
        <w:ind w:left="860" w:hanging="469"/>
        <w:jc w:val="left"/>
      </w:pPr>
      <w:rPr>
        <w:rFonts w:hint="default" w:ascii="Arial" w:hAnsi="Arial" w:eastAsia="Arial" w:cs="Arial"/>
        <w:b/>
        <w:bCs/>
        <w:i w:val="0"/>
        <w:iCs w:val="0"/>
        <w:color w:val="4966AC"/>
        <w:w w:val="100"/>
        <w:sz w:val="28"/>
        <w:szCs w:val="28"/>
        <w:lang w:val="en-US" w:eastAsia="en-US" w:bidi="ar-SA"/>
      </w:rPr>
    </w:lvl>
    <w:lvl w:ilvl="3">
      <w:start w:val="2"/>
      <w:numFmt w:val="decimal"/>
      <w:lvlText w:val="%2.%3.%4"/>
      <w:lvlJc w:val="left"/>
      <w:pPr>
        <w:ind w:left="1093" w:hanging="702"/>
        <w:jc w:val="left"/>
      </w:pPr>
      <w:rPr>
        <w:rFonts w:hint="default"/>
        <w:w w:val="100"/>
        <w:lang w:val="en-US" w:eastAsia="en-US" w:bidi="ar-SA"/>
      </w:rPr>
    </w:lvl>
    <w:lvl w:ilvl="4">
      <w:start w:val="0"/>
      <w:numFmt w:val="bullet"/>
      <w:lvlText w:val="•"/>
      <w:lvlJc w:val="left"/>
      <w:pPr>
        <w:ind w:left="1040" w:hanging="702"/>
      </w:pPr>
      <w:rPr>
        <w:rFonts w:hint="default"/>
        <w:lang w:val="en-US" w:eastAsia="en-US" w:bidi="ar-SA"/>
      </w:rPr>
    </w:lvl>
    <w:lvl w:ilvl="5">
      <w:start w:val="0"/>
      <w:numFmt w:val="bullet"/>
      <w:lvlText w:val="•"/>
      <w:lvlJc w:val="left"/>
      <w:pPr>
        <w:ind w:left="1100" w:hanging="702"/>
      </w:pPr>
      <w:rPr>
        <w:rFonts w:hint="default"/>
        <w:lang w:val="en-US" w:eastAsia="en-US" w:bidi="ar-SA"/>
      </w:rPr>
    </w:lvl>
    <w:lvl w:ilvl="6">
      <w:start w:val="0"/>
      <w:numFmt w:val="bullet"/>
      <w:lvlText w:val="•"/>
      <w:lvlJc w:val="left"/>
      <w:pPr>
        <w:ind w:left="3017" w:hanging="702"/>
      </w:pPr>
      <w:rPr>
        <w:rFonts w:hint="default"/>
        <w:lang w:val="en-US" w:eastAsia="en-US" w:bidi="ar-SA"/>
      </w:rPr>
    </w:lvl>
    <w:lvl w:ilvl="7">
      <w:start w:val="0"/>
      <w:numFmt w:val="bullet"/>
      <w:lvlText w:val="•"/>
      <w:lvlJc w:val="left"/>
      <w:pPr>
        <w:ind w:left="4934" w:hanging="702"/>
      </w:pPr>
      <w:rPr>
        <w:rFonts w:hint="default"/>
        <w:lang w:val="en-US" w:eastAsia="en-US" w:bidi="ar-SA"/>
      </w:rPr>
    </w:lvl>
    <w:lvl w:ilvl="8">
      <w:start w:val="0"/>
      <w:numFmt w:val="bullet"/>
      <w:lvlText w:val="•"/>
      <w:lvlJc w:val="left"/>
      <w:pPr>
        <w:ind w:left="6851" w:hanging="702"/>
      </w:pPr>
      <w:rPr>
        <w:rFonts w:hint="default"/>
        <w:lang w:val="en-US" w:eastAsia="en-US" w:bidi="ar-SA"/>
      </w:rPr>
    </w:lvl>
  </w:abstractNum>
  <w:abstractNum w:abstractNumId="10">
    <w:multiLevelType w:val="hybridMultilevel"/>
    <w:lvl w:ilvl="0">
      <w:start w:val="6"/>
      <w:numFmt w:val="decimal"/>
      <w:lvlText w:val="%1"/>
      <w:lvlJc w:val="left"/>
      <w:pPr>
        <w:ind w:left="251" w:hanging="152"/>
        <w:jc w:val="lef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1302" w:hanging="152"/>
      </w:pPr>
      <w:rPr>
        <w:rFonts w:hint="default"/>
        <w:lang w:val="en-US" w:eastAsia="en-US" w:bidi="ar-SA"/>
      </w:rPr>
    </w:lvl>
    <w:lvl w:ilvl="2">
      <w:start w:val="0"/>
      <w:numFmt w:val="bullet"/>
      <w:lvlText w:val="•"/>
      <w:lvlJc w:val="left"/>
      <w:pPr>
        <w:ind w:left="2345" w:hanging="152"/>
      </w:pPr>
      <w:rPr>
        <w:rFonts w:hint="default"/>
        <w:lang w:val="en-US" w:eastAsia="en-US" w:bidi="ar-SA"/>
      </w:rPr>
    </w:lvl>
    <w:lvl w:ilvl="3">
      <w:start w:val="0"/>
      <w:numFmt w:val="bullet"/>
      <w:lvlText w:val="•"/>
      <w:lvlJc w:val="left"/>
      <w:pPr>
        <w:ind w:left="3387" w:hanging="152"/>
      </w:pPr>
      <w:rPr>
        <w:rFonts w:hint="default"/>
        <w:lang w:val="en-US" w:eastAsia="en-US" w:bidi="ar-SA"/>
      </w:rPr>
    </w:lvl>
    <w:lvl w:ilvl="4">
      <w:start w:val="0"/>
      <w:numFmt w:val="bullet"/>
      <w:lvlText w:val="•"/>
      <w:lvlJc w:val="left"/>
      <w:pPr>
        <w:ind w:left="4430" w:hanging="152"/>
      </w:pPr>
      <w:rPr>
        <w:rFonts w:hint="default"/>
        <w:lang w:val="en-US" w:eastAsia="en-US" w:bidi="ar-SA"/>
      </w:rPr>
    </w:lvl>
    <w:lvl w:ilvl="5">
      <w:start w:val="0"/>
      <w:numFmt w:val="bullet"/>
      <w:lvlText w:val="•"/>
      <w:lvlJc w:val="left"/>
      <w:pPr>
        <w:ind w:left="5473" w:hanging="152"/>
      </w:pPr>
      <w:rPr>
        <w:rFonts w:hint="default"/>
        <w:lang w:val="en-US" w:eastAsia="en-US" w:bidi="ar-SA"/>
      </w:rPr>
    </w:lvl>
    <w:lvl w:ilvl="6">
      <w:start w:val="0"/>
      <w:numFmt w:val="bullet"/>
      <w:lvlText w:val="•"/>
      <w:lvlJc w:val="left"/>
      <w:pPr>
        <w:ind w:left="6515" w:hanging="152"/>
      </w:pPr>
      <w:rPr>
        <w:rFonts w:hint="default"/>
        <w:lang w:val="en-US" w:eastAsia="en-US" w:bidi="ar-SA"/>
      </w:rPr>
    </w:lvl>
    <w:lvl w:ilvl="7">
      <w:start w:val="0"/>
      <w:numFmt w:val="bullet"/>
      <w:lvlText w:val="•"/>
      <w:lvlJc w:val="left"/>
      <w:pPr>
        <w:ind w:left="7558" w:hanging="152"/>
      </w:pPr>
      <w:rPr>
        <w:rFonts w:hint="default"/>
        <w:lang w:val="en-US" w:eastAsia="en-US" w:bidi="ar-SA"/>
      </w:rPr>
    </w:lvl>
    <w:lvl w:ilvl="8">
      <w:start w:val="0"/>
      <w:numFmt w:val="bullet"/>
      <w:lvlText w:val="•"/>
      <w:lvlJc w:val="left"/>
      <w:pPr>
        <w:ind w:left="8601" w:hanging="152"/>
      </w:pPr>
      <w:rPr>
        <w:rFonts w:hint="default"/>
        <w:lang w:val="en-US" w:eastAsia="en-US" w:bidi="ar-SA"/>
      </w:rPr>
    </w:lvl>
  </w:abstractNum>
  <w:abstractNum w:abstractNumId="9">
    <w:multiLevelType w:val="hybridMultilevel"/>
    <w:lvl w:ilvl="0">
      <w:start w:val="1"/>
      <w:numFmt w:val="decimal"/>
      <w:lvlText w:val="%1"/>
      <w:lvlJc w:val="left"/>
      <w:pPr>
        <w:ind w:left="251" w:hanging="152"/>
        <w:jc w:val="left"/>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1302" w:hanging="152"/>
      </w:pPr>
      <w:rPr>
        <w:rFonts w:hint="default"/>
        <w:lang w:val="en-US" w:eastAsia="en-US" w:bidi="ar-SA"/>
      </w:rPr>
    </w:lvl>
    <w:lvl w:ilvl="2">
      <w:start w:val="0"/>
      <w:numFmt w:val="bullet"/>
      <w:lvlText w:val="•"/>
      <w:lvlJc w:val="left"/>
      <w:pPr>
        <w:ind w:left="2345" w:hanging="152"/>
      </w:pPr>
      <w:rPr>
        <w:rFonts w:hint="default"/>
        <w:lang w:val="en-US" w:eastAsia="en-US" w:bidi="ar-SA"/>
      </w:rPr>
    </w:lvl>
    <w:lvl w:ilvl="3">
      <w:start w:val="0"/>
      <w:numFmt w:val="bullet"/>
      <w:lvlText w:val="•"/>
      <w:lvlJc w:val="left"/>
      <w:pPr>
        <w:ind w:left="3387" w:hanging="152"/>
      </w:pPr>
      <w:rPr>
        <w:rFonts w:hint="default"/>
        <w:lang w:val="en-US" w:eastAsia="en-US" w:bidi="ar-SA"/>
      </w:rPr>
    </w:lvl>
    <w:lvl w:ilvl="4">
      <w:start w:val="0"/>
      <w:numFmt w:val="bullet"/>
      <w:lvlText w:val="•"/>
      <w:lvlJc w:val="left"/>
      <w:pPr>
        <w:ind w:left="4430" w:hanging="152"/>
      </w:pPr>
      <w:rPr>
        <w:rFonts w:hint="default"/>
        <w:lang w:val="en-US" w:eastAsia="en-US" w:bidi="ar-SA"/>
      </w:rPr>
    </w:lvl>
    <w:lvl w:ilvl="5">
      <w:start w:val="0"/>
      <w:numFmt w:val="bullet"/>
      <w:lvlText w:val="•"/>
      <w:lvlJc w:val="left"/>
      <w:pPr>
        <w:ind w:left="5473" w:hanging="152"/>
      </w:pPr>
      <w:rPr>
        <w:rFonts w:hint="default"/>
        <w:lang w:val="en-US" w:eastAsia="en-US" w:bidi="ar-SA"/>
      </w:rPr>
    </w:lvl>
    <w:lvl w:ilvl="6">
      <w:start w:val="0"/>
      <w:numFmt w:val="bullet"/>
      <w:lvlText w:val="•"/>
      <w:lvlJc w:val="left"/>
      <w:pPr>
        <w:ind w:left="6515" w:hanging="152"/>
      </w:pPr>
      <w:rPr>
        <w:rFonts w:hint="default"/>
        <w:lang w:val="en-US" w:eastAsia="en-US" w:bidi="ar-SA"/>
      </w:rPr>
    </w:lvl>
    <w:lvl w:ilvl="7">
      <w:start w:val="0"/>
      <w:numFmt w:val="bullet"/>
      <w:lvlText w:val="•"/>
      <w:lvlJc w:val="left"/>
      <w:pPr>
        <w:ind w:left="7558" w:hanging="152"/>
      </w:pPr>
      <w:rPr>
        <w:rFonts w:hint="default"/>
        <w:lang w:val="en-US" w:eastAsia="en-US" w:bidi="ar-SA"/>
      </w:rPr>
    </w:lvl>
    <w:lvl w:ilvl="8">
      <w:start w:val="0"/>
      <w:numFmt w:val="bullet"/>
      <w:lvlText w:val="•"/>
      <w:lvlJc w:val="left"/>
      <w:pPr>
        <w:ind w:left="8601" w:hanging="152"/>
      </w:pPr>
      <w:rPr>
        <w:rFonts w:hint="default"/>
        <w:lang w:val="en-US" w:eastAsia="en-US" w:bidi="ar-SA"/>
      </w:rPr>
    </w:lvl>
  </w:abstractNum>
  <w:abstractNum w:abstractNumId="8">
    <w:multiLevelType w:val="hybridMultilevel"/>
    <w:lvl w:ilvl="0">
      <w:start w:val="0"/>
      <w:numFmt w:val="bullet"/>
      <w:lvlText w:val=""/>
      <w:lvlJc w:val="left"/>
      <w:pPr>
        <w:ind w:left="854" w:hanging="7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1426" w:hanging="713"/>
      </w:pPr>
      <w:rPr>
        <w:rFonts w:hint="default"/>
        <w:lang w:val="en-US" w:eastAsia="en-US" w:bidi="ar-SA"/>
      </w:rPr>
    </w:lvl>
    <w:lvl w:ilvl="2">
      <w:start w:val="0"/>
      <w:numFmt w:val="bullet"/>
      <w:lvlText w:val="•"/>
      <w:lvlJc w:val="left"/>
      <w:pPr>
        <w:ind w:left="1992" w:hanging="713"/>
      </w:pPr>
      <w:rPr>
        <w:rFonts w:hint="default"/>
        <w:lang w:val="en-US" w:eastAsia="en-US" w:bidi="ar-SA"/>
      </w:rPr>
    </w:lvl>
    <w:lvl w:ilvl="3">
      <w:start w:val="0"/>
      <w:numFmt w:val="bullet"/>
      <w:lvlText w:val="•"/>
      <w:lvlJc w:val="left"/>
      <w:pPr>
        <w:ind w:left="2558" w:hanging="713"/>
      </w:pPr>
      <w:rPr>
        <w:rFonts w:hint="default"/>
        <w:lang w:val="en-US" w:eastAsia="en-US" w:bidi="ar-SA"/>
      </w:rPr>
    </w:lvl>
    <w:lvl w:ilvl="4">
      <w:start w:val="0"/>
      <w:numFmt w:val="bullet"/>
      <w:lvlText w:val="•"/>
      <w:lvlJc w:val="left"/>
      <w:pPr>
        <w:ind w:left="3124" w:hanging="713"/>
      </w:pPr>
      <w:rPr>
        <w:rFonts w:hint="default"/>
        <w:lang w:val="en-US" w:eastAsia="en-US" w:bidi="ar-SA"/>
      </w:rPr>
    </w:lvl>
    <w:lvl w:ilvl="5">
      <w:start w:val="0"/>
      <w:numFmt w:val="bullet"/>
      <w:lvlText w:val="•"/>
      <w:lvlJc w:val="left"/>
      <w:pPr>
        <w:ind w:left="3691" w:hanging="713"/>
      </w:pPr>
      <w:rPr>
        <w:rFonts w:hint="default"/>
        <w:lang w:val="en-US" w:eastAsia="en-US" w:bidi="ar-SA"/>
      </w:rPr>
    </w:lvl>
    <w:lvl w:ilvl="6">
      <w:start w:val="0"/>
      <w:numFmt w:val="bullet"/>
      <w:lvlText w:val="•"/>
      <w:lvlJc w:val="left"/>
      <w:pPr>
        <w:ind w:left="4257" w:hanging="713"/>
      </w:pPr>
      <w:rPr>
        <w:rFonts w:hint="default"/>
        <w:lang w:val="en-US" w:eastAsia="en-US" w:bidi="ar-SA"/>
      </w:rPr>
    </w:lvl>
    <w:lvl w:ilvl="7">
      <w:start w:val="0"/>
      <w:numFmt w:val="bullet"/>
      <w:lvlText w:val="•"/>
      <w:lvlJc w:val="left"/>
      <w:pPr>
        <w:ind w:left="4823" w:hanging="713"/>
      </w:pPr>
      <w:rPr>
        <w:rFonts w:hint="default"/>
        <w:lang w:val="en-US" w:eastAsia="en-US" w:bidi="ar-SA"/>
      </w:rPr>
    </w:lvl>
    <w:lvl w:ilvl="8">
      <w:start w:val="0"/>
      <w:numFmt w:val="bullet"/>
      <w:lvlText w:val="•"/>
      <w:lvlJc w:val="left"/>
      <w:pPr>
        <w:ind w:left="5389" w:hanging="713"/>
      </w:pPr>
      <w:rPr>
        <w:rFonts w:hint="default"/>
        <w:lang w:val="en-US" w:eastAsia="en-US" w:bidi="ar-SA"/>
      </w:rPr>
    </w:lvl>
  </w:abstractNum>
  <w:abstractNum w:abstractNumId="7">
    <w:multiLevelType w:val="hybridMultilevel"/>
    <w:lvl w:ilvl="0">
      <w:start w:val="0"/>
      <w:numFmt w:val="bullet"/>
      <w:lvlText w:val=""/>
      <w:lvlJc w:val="left"/>
      <w:pPr>
        <w:ind w:left="854" w:hanging="7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1426" w:hanging="713"/>
      </w:pPr>
      <w:rPr>
        <w:rFonts w:hint="default"/>
        <w:lang w:val="en-US" w:eastAsia="en-US" w:bidi="ar-SA"/>
      </w:rPr>
    </w:lvl>
    <w:lvl w:ilvl="2">
      <w:start w:val="0"/>
      <w:numFmt w:val="bullet"/>
      <w:lvlText w:val="•"/>
      <w:lvlJc w:val="left"/>
      <w:pPr>
        <w:ind w:left="1992" w:hanging="713"/>
      </w:pPr>
      <w:rPr>
        <w:rFonts w:hint="default"/>
        <w:lang w:val="en-US" w:eastAsia="en-US" w:bidi="ar-SA"/>
      </w:rPr>
    </w:lvl>
    <w:lvl w:ilvl="3">
      <w:start w:val="0"/>
      <w:numFmt w:val="bullet"/>
      <w:lvlText w:val="•"/>
      <w:lvlJc w:val="left"/>
      <w:pPr>
        <w:ind w:left="2558" w:hanging="713"/>
      </w:pPr>
      <w:rPr>
        <w:rFonts w:hint="default"/>
        <w:lang w:val="en-US" w:eastAsia="en-US" w:bidi="ar-SA"/>
      </w:rPr>
    </w:lvl>
    <w:lvl w:ilvl="4">
      <w:start w:val="0"/>
      <w:numFmt w:val="bullet"/>
      <w:lvlText w:val="•"/>
      <w:lvlJc w:val="left"/>
      <w:pPr>
        <w:ind w:left="3124" w:hanging="713"/>
      </w:pPr>
      <w:rPr>
        <w:rFonts w:hint="default"/>
        <w:lang w:val="en-US" w:eastAsia="en-US" w:bidi="ar-SA"/>
      </w:rPr>
    </w:lvl>
    <w:lvl w:ilvl="5">
      <w:start w:val="0"/>
      <w:numFmt w:val="bullet"/>
      <w:lvlText w:val="•"/>
      <w:lvlJc w:val="left"/>
      <w:pPr>
        <w:ind w:left="3691" w:hanging="713"/>
      </w:pPr>
      <w:rPr>
        <w:rFonts w:hint="default"/>
        <w:lang w:val="en-US" w:eastAsia="en-US" w:bidi="ar-SA"/>
      </w:rPr>
    </w:lvl>
    <w:lvl w:ilvl="6">
      <w:start w:val="0"/>
      <w:numFmt w:val="bullet"/>
      <w:lvlText w:val="•"/>
      <w:lvlJc w:val="left"/>
      <w:pPr>
        <w:ind w:left="4257" w:hanging="713"/>
      </w:pPr>
      <w:rPr>
        <w:rFonts w:hint="default"/>
        <w:lang w:val="en-US" w:eastAsia="en-US" w:bidi="ar-SA"/>
      </w:rPr>
    </w:lvl>
    <w:lvl w:ilvl="7">
      <w:start w:val="0"/>
      <w:numFmt w:val="bullet"/>
      <w:lvlText w:val="•"/>
      <w:lvlJc w:val="left"/>
      <w:pPr>
        <w:ind w:left="4823" w:hanging="713"/>
      </w:pPr>
      <w:rPr>
        <w:rFonts w:hint="default"/>
        <w:lang w:val="en-US" w:eastAsia="en-US" w:bidi="ar-SA"/>
      </w:rPr>
    </w:lvl>
    <w:lvl w:ilvl="8">
      <w:start w:val="0"/>
      <w:numFmt w:val="bullet"/>
      <w:lvlText w:val="•"/>
      <w:lvlJc w:val="left"/>
      <w:pPr>
        <w:ind w:left="5389" w:hanging="713"/>
      </w:pPr>
      <w:rPr>
        <w:rFonts w:hint="default"/>
        <w:lang w:val="en-US" w:eastAsia="en-US" w:bidi="ar-SA"/>
      </w:rPr>
    </w:lvl>
  </w:abstractNum>
  <w:abstractNum w:abstractNumId="6">
    <w:multiLevelType w:val="hybridMultilevel"/>
    <w:lvl w:ilvl="0">
      <w:start w:val="0"/>
      <w:numFmt w:val="bullet"/>
      <w:lvlText w:val=""/>
      <w:lvlJc w:val="left"/>
      <w:pPr>
        <w:ind w:left="854" w:hanging="7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1426" w:hanging="713"/>
      </w:pPr>
      <w:rPr>
        <w:rFonts w:hint="default"/>
        <w:lang w:val="en-US" w:eastAsia="en-US" w:bidi="ar-SA"/>
      </w:rPr>
    </w:lvl>
    <w:lvl w:ilvl="2">
      <w:start w:val="0"/>
      <w:numFmt w:val="bullet"/>
      <w:lvlText w:val="•"/>
      <w:lvlJc w:val="left"/>
      <w:pPr>
        <w:ind w:left="1992" w:hanging="713"/>
      </w:pPr>
      <w:rPr>
        <w:rFonts w:hint="default"/>
        <w:lang w:val="en-US" w:eastAsia="en-US" w:bidi="ar-SA"/>
      </w:rPr>
    </w:lvl>
    <w:lvl w:ilvl="3">
      <w:start w:val="0"/>
      <w:numFmt w:val="bullet"/>
      <w:lvlText w:val="•"/>
      <w:lvlJc w:val="left"/>
      <w:pPr>
        <w:ind w:left="2558" w:hanging="713"/>
      </w:pPr>
      <w:rPr>
        <w:rFonts w:hint="default"/>
        <w:lang w:val="en-US" w:eastAsia="en-US" w:bidi="ar-SA"/>
      </w:rPr>
    </w:lvl>
    <w:lvl w:ilvl="4">
      <w:start w:val="0"/>
      <w:numFmt w:val="bullet"/>
      <w:lvlText w:val="•"/>
      <w:lvlJc w:val="left"/>
      <w:pPr>
        <w:ind w:left="3124" w:hanging="713"/>
      </w:pPr>
      <w:rPr>
        <w:rFonts w:hint="default"/>
        <w:lang w:val="en-US" w:eastAsia="en-US" w:bidi="ar-SA"/>
      </w:rPr>
    </w:lvl>
    <w:lvl w:ilvl="5">
      <w:start w:val="0"/>
      <w:numFmt w:val="bullet"/>
      <w:lvlText w:val="•"/>
      <w:lvlJc w:val="left"/>
      <w:pPr>
        <w:ind w:left="3691" w:hanging="713"/>
      </w:pPr>
      <w:rPr>
        <w:rFonts w:hint="default"/>
        <w:lang w:val="en-US" w:eastAsia="en-US" w:bidi="ar-SA"/>
      </w:rPr>
    </w:lvl>
    <w:lvl w:ilvl="6">
      <w:start w:val="0"/>
      <w:numFmt w:val="bullet"/>
      <w:lvlText w:val="•"/>
      <w:lvlJc w:val="left"/>
      <w:pPr>
        <w:ind w:left="4257" w:hanging="713"/>
      </w:pPr>
      <w:rPr>
        <w:rFonts w:hint="default"/>
        <w:lang w:val="en-US" w:eastAsia="en-US" w:bidi="ar-SA"/>
      </w:rPr>
    </w:lvl>
    <w:lvl w:ilvl="7">
      <w:start w:val="0"/>
      <w:numFmt w:val="bullet"/>
      <w:lvlText w:val="•"/>
      <w:lvlJc w:val="left"/>
      <w:pPr>
        <w:ind w:left="4823" w:hanging="713"/>
      </w:pPr>
      <w:rPr>
        <w:rFonts w:hint="default"/>
        <w:lang w:val="en-US" w:eastAsia="en-US" w:bidi="ar-SA"/>
      </w:rPr>
    </w:lvl>
    <w:lvl w:ilvl="8">
      <w:start w:val="0"/>
      <w:numFmt w:val="bullet"/>
      <w:lvlText w:val="•"/>
      <w:lvlJc w:val="left"/>
      <w:pPr>
        <w:ind w:left="5389" w:hanging="713"/>
      </w:pPr>
      <w:rPr>
        <w:rFonts w:hint="default"/>
        <w:lang w:val="en-US" w:eastAsia="en-US" w:bidi="ar-SA"/>
      </w:rPr>
    </w:lvl>
  </w:abstractNum>
  <w:abstractNum w:abstractNumId="5">
    <w:multiLevelType w:val="hybridMultilevel"/>
    <w:lvl w:ilvl="0">
      <w:start w:val="0"/>
      <w:numFmt w:val="bullet"/>
      <w:lvlText w:val=""/>
      <w:lvlJc w:val="left"/>
      <w:pPr>
        <w:ind w:left="854" w:hanging="7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1426" w:hanging="713"/>
      </w:pPr>
      <w:rPr>
        <w:rFonts w:hint="default"/>
        <w:lang w:val="en-US" w:eastAsia="en-US" w:bidi="ar-SA"/>
      </w:rPr>
    </w:lvl>
    <w:lvl w:ilvl="2">
      <w:start w:val="0"/>
      <w:numFmt w:val="bullet"/>
      <w:lvlText w:val="•"/>
      <w:lvlJc w:val="left"/>
      <w:pPr>
        <w:ind w:left="1992" w:hanging="713"/>
      </w:pPr>
      <w:rPr>
        <w:rFonts w:hint="default"/>
        <w:lang w:val="en-US" w:eastAsia="en-US" w:bidi="ar-SA"/>
      </w:rPr>
    </w:lvl>
    <w:lvl w:ilvl="3">
      <w:start w:val="0"/>
      <w:numFmt w:val="bullet"/>
      <w:lvlText w:val="•"/>
      <w:lvlJc w:val="left"/>
      <w:pPr>
        <w:ind w:left="2558" w:hanging="713"/>
      </w:pPr>
      <w:rPr>
        <w:rFonts w:hint="default"/>
        <w:lang w:val="en-US" w:eastAsia="en-US" w:bidi="ar-SA"/>
      </w:rPr>
    </w:lvl>
    <w:lvl w:ilvl="4">
      <w:start w:val="0"/>
      <w:numFmt w:val="bullet"/>
      <w:lvlText w:val="•"/>
      <w:lvlJc w:val="left"/>
      <w:pPr>
        <w:ind w:left="3124" w:hanging="713"/>
      </w:pPr>
      <w:rPr>
        <w:rFonts w:hint="default"/>
        <w:lang w:val="en-US" w:eastAsia="en-US" w:bidi="ar-SA"/>
      </w:rPr>
    </w:lvl>
    <w:lvl w:ilvl="5">
      <w:start w:val="0"/>
      <w:numFmt w:val="bullet"/>
      <w:lvlText w:val="•"/>
      <w:lvlJc w:val="left"/>
      <w:pPr>
        <w:ind w:left="3691" w:hanging="713"/>
      </w:pPr>
      <w:rPr>
        <w:rFonts w:hint="default"/>
        <w:lang w:val="en-US" w:eastAsia="en-US" w:bidi="ar-SA"/>
      </w:rPr>
    </w:lvl>
    <w:lvl w:ilvl="6">
      <w:start w:val="0"/>
      <w:numFmt w:val="bullet"/>
      <w:lvlText w:val="•"/>
      <w:lvlJc w:val="left"/>
      <w:pPr>
        <w:ind w:left="4257" w:hanging="713"/>
      </w:pPr>
      <w:rPr>
        <w:rFonts w:hint="default"/>
        <w:lang w:val="en-US" w:eastAsia="en-US" w:bidi="ar-SA"/>
      </w:rPr>
    </w:lvl>
    <w:lvl w:ilvl="7">
      <w:start w:val="0"/>
      <w:numFmt w:val="bullet"/>
      <w:lvlText w:val="•"/>
      <w:lvlJc w:val="left"/>
      <w:pPr>
        <w:ind w:left="4823" w:hanging="713"/>
      </w:pPr>
      <w:rPr>
        <w:rFonts w:hint="default"/>
        <w:lang w:val="en-US" w:eastAsia="en-US" w:bidi="ar-SA"/>
      </w:rPr>
    </w:lvl>
    <w:lvl w:ilvl="8">
      <w:start w:val="0"/>
      <w:numFmt w:val="bullet"/>
      <w:lvlText w:val="•"/>
      <w:lvlJc w:val="left"/>
      <w:pPr>
        <w:ind w:left="5389" w:hanging="713"/>
      </w:pPr>
      <w:rPr>
        <w:rFonts w:hint="default"/>
        <w:lang w:val="en-US" w:eastAsia="en-US" w:bidi="ar-SA"/>
      </w:rPr>
    </w:lvl>
  </w:abstractNum>
  <w:abstractNum w:abstractNumId="4">
    <w:multiLevelType w:val="hybridMultilevel"/>
    <w:lvl w:ilvl="0">
      <w:start w:val="0"/>
      <w:numFmt w:val="bullet"/>
      <w:lvlText w:val=""/>
      <w:lvlJc w:val="left"/>
      <w:pPr>
        <w:ind w:left="854" w:hanging="7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1426" w:hanging="713"/>
      </w:pPr>
      <w:rPr>
        <w:rFonts w:hint="default"/>
        <w:lang w:val="en-US" w:eastAsia="en-US" w:bidi="ar-SA"/>
      </w:rPr>
    </w:lvl>
    <w:lvl w:ilvl="2">
      <w:start w:val="0"/>
      <w:numFmt w:val="bullet"/>
      <w:lvlText w:val="•"/>
      <w:lvlJc w:val="left"/>
      <w:pPr>
        <w:ind w:left="1992" w:hanging="713"/>
      </w:pPr>
      <w:rPr>
        <w:rFonts w:hint="default"/>
        <w:lang w:val="en-US" w:eastAsia="en-US" w:bidi="ar-SA"/>
      </w:rPr>
    </w:lvl>
    <w:lvl w:ilvl="3">
      <w:start w:val="0"/>
      <w:numFmt w:val="bullet"/>
      <w:lvlText w:val="•"/>
      <w:lvlJc w:val="left"/>
      <w:pPr>
        <w:ind w:left="2558" w:hanging="713"/>
      </w:pPr>
      <w:rPr>
        <w:rFonts w:hint="default"/>
        <w:lang w:val="en-US" w:eastAsia="en-US" w:bidi="ar-SA"/>
      </w:rPr>
    </w:lvl>
    <w:lvl w:ilvl="4">
      <w:start w:val="0"/>
      <w:numFmt w:val="bullet"/>
      <w:lvlText w:val="•"/>
      <w:lvlJc w:val="left"/>
      <w:pPr>
        <w:ind w:left="3124" w:hanging="713"/>
      </w:pPr>
      <w:rPr>
        <w:rFonts w:hint="default"/>
        <w:lang w:val="en-US" w:eastAsia="en-US" w:bidi="ar-SA"/>
      </w:rPr>
    </w:lvl>
    <w:lvl w:ilvl="5">
      <w:start w:val="0"/>
      <w:numFmt w:val="bullet"/>
      <w:lvlText w:val="•"/>
      <w:lvlJc w:val="left"/>
      <w:pPr>
        <w:ind w:left="3691" w:hanging="713"/>
      </w:pPr>
      <w:rPr>
        <w:rFonts w:hint="default"/>
        <w:lang w:val="en-US" w:eastAsia="en-US" w:bidi="ar-SA"/>
      </w:rPr>
    </w:lvl>
    <w:lvl w:ilvl="6">
      <w:start w:val="0"/>
      <w:numFmt w:val="bullet"/>
      <w:lvlText w:val="•"/>
      <w:lvlJc w:val="left"/>
      <w:pPr>
        <w:ind w:left="4257" w:hanging="713"/>
      </w:pPr>
      <w:rPr>
        <w:rFonts w:hint="default"/>
        <w:lang w:val="en-US" w:eastAsia="en-US" w:bidi="ar-SA"/>
      </w:rPr>
    </w:lvl>
    <w:lvl w:ilvl="7">
      <w:start w:val="0"/>
      <w:numFmt w:val="bullet"/>
      <w:lvlText w:val="•"/>
      <w:lvlJc w:val="left"/>
      <w:pPr>
        <w:ind w:left="4823" w:hanging="713"/>
      </w:pPr>
      <w:rPr>
        <w:rFonts w:hint="default"/>
        <w:lang w:val="en-US" w:eastAsia="en-US" w:bidi="ar-SA"/>
      </w:rPr>
    </w:lvl>
    <w:lvl w:ilvl="8">
      <w:start w:val="0"/>
      <w:numFmt w:val="bullet"/>
      <w:lvlText w:val="•"/>
      <w:lvlJc w:val="left"/>
      <w:pPr>
        <w:ind w:left="5389" w:hanging="713"/>
      </w:pPr>
      <w:rPr>
        <w:rFonts w:hint="default"/>
        <w:lang w:val="en-US" w:eastAsia="en-US" w:bidi="ar-SA"/>
      </w:rPr>
    </w:lvl>
  </w:abstractNum>
  <w:abstractNum w:abstractNumId="3">
    <w:multiLevelType w:val="hybridMultilevel"/>
    <w:lvl w:ilvl="0">
      <w:start w:val="0"/>
      <w:numFmt w:val="bullet"/>
      <w:lvlText w:val=""/>
      <w:lvlJc w:val="left"/>
      <w:pPr>
        <w:ind w:left="854" w:hanging="7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1426" w:hanging="713"/>
      </w:pPr>
      <w:rPr>
        <w:rFonts w:hint="default"/>
        <w:lang w:val="en-US" w:eastAsia="en-US" w:bidi="ar-SA"/>
      </w:rPr>
    </w:lvl>
    <w:lvl w:ilvl="2">
      <w:start w:val="0"/>
      <w:numFmt w:val="bullet"/>
      <w:lvlText w:val="•"/>
      <w:lvlJc w:val="left"/>
      <w:pPr>
        <w:ind w:left="1992" w:hanging="713"/>
      </w:pPr>
      <w:rPr>
        <w:rFonts w:hint="default"/>
        <w:lang w:val="en-US" w:eastAsia="en-US" w:bidi="ar-SA"/>
      </w:rPr>
    </w:lvl>
    <w:lvl w:ilvl="3">
      <w:start w:val="0"/>
      <w:numFmt w:val="bullet"/>
      <w:lvlText w:val="•"/>
      <w:lvlJc w:val="left"/>
      <w:pPr>
        <w:ind w:left="2558" w:hanging="713"/>
      </w:pPr>
      <w:rPr>
        <w:rFonts w:hint="default"/>
        <w:lang w:val="en-US" w:eastAsia="en-US" w:bidi="ar-SA"/>
      </w:rPr>
    </w:lvl>
    <w:lvl w:ilvl="4">
      <w:start w:val="0"/>
      <w:numFmt w:val="bullet"/>
      <w:lvlText w:val="•"/>
      <w:lvlJc w:val="left"/>
      <w:pPr>
        <w:ind w:left="3124" w:hanging="713"/>
      </w:pPr>
      <w:rPr>
        <w:rFonts w:hint="default"/>
        <w:lang w:val="en-US" w:eastAsia="en-US" w:bidi="ar-SA"/>
      </w:rPr>
    </w:lvl>
    <w:lvl w:ilvl="5">
      <w:start w:val="0"/>
      <w:numFmt w:val="bullet"/>
      <w:lvlText w:val="•"/>
      <w:lvlJc w:val="left"/>
      <w:pPr>
        <w:ind w:left="3691" w:hanging="713"/>
      </w:pPr>
      <w:rPr>
        <w:rFonts w:hint="default"/>
        <w:lang w:val="en-US" w:eastAsia="en-US" w:bidi="ar-SA"/>
      </w:rPr>
    </w:lvl>
    <w:lvl w:ilvl="6">
      <w:start w:val="0"/>
      <w:numFmt w:val="bullet"/>
      <w:lvlText w:val="•"/>
      <w:lvlJc w:val="left"/>
      <w:pPr>
        <w:ind w:left="4257" w:hanging="713"/>
      </w:pPr>
      <w:rPr>
        <w:rFonts w:hint="default"/>
        <w:lang w:val="en-US" w:eastAsia="en-US" w:bidi="ar-SA"/>
      </w:rPr>
    </w:lvl>
    <w:lvl w:ilvl="7">
      <w:start w:val="0"/>
      <w:numFmt w:val="bullet"/>
      <w:lvlText w:val="•"/>
      <w:lvlJc w:val="left"/>
      <w:pPr>
        <w:ind w:left="4823" w:hanging="713"/>
      </w:pPr>
      <w:rPr>
        <w:rFonts w:hint="default"/>
        <w:lang w:val="en-US" w:eastAsia="en-US" w:bidi="ar-SA"/>
      </w:rPr>
    </w:lvl>
    <w:lvl w:ilvl="8">
      <w:start w:val="0"/>
      <w:numFmt w:val="bullet"/>
      <w:lvlText w:val="•"/>
      <w:lvlJc w:val="left"/>
      <w:pPr>
        <w:ind w:left="5389" w:hanging="713"/>
      </w:pPr>
      <w:rPr>
        <w:rFonts w:hint="default"/>
        <w:lang w:val="en-US" w:eastAsia="en-US" w:bidi="ar-SA"/>
      </w:rPr>
    </w:lvl>
  </w:abstractNum>
  <w:abstractNum w:abstractNumId="2">
    <w:multiLevelType w:val="hybridMultilevel"/>
    <w:lvl w:ilvl="0">
      <w:start w:val="0"/>
      <w:numFmt w:val="bullet"/>
      <w:lvlText w:val=""/>
      <w:lvlJc w:val="left"/>
      <w:pPr>
        <w:ind w:left="854" w:hanging="713"/>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1426" w:hanging="713"/>
      </w:pPr>
      <w:rPr>
        <w:rFonts w:hint="default"/>
        <w:lang w:val="en-US" w:eastAsia="en-US" w:bidi="ar-SA"/>
      </w:rPr>
    </w:lvl>
    <w:lvl w:ilvl="2">
      <w:start w:val="0"/>
      <w:numFmt w:val="bullet"/>
      <w:lvlText w:val="•"/>
      <w:lvlJc w:val="left"/>
      <w:pPr>
        <w:ind w:left="1992" w:hanging="713"/>
      </w:pPr>
      <w:rPr>
        <w:rFonts w:hint="default"/>
        <w:lang w:val="en-US" w:eastAsia="en-US" w:bidi="ar-SA"/>
      </w:rPr>
    </w:lvl>
    <w:lvl w:ilvl="3">
      <w:start w:val="0"/>
      <w:numFmt w:val="bullet"/>
      <w:lvlText w:val="•"/>
      <w:lvlJc w:val="left"/>
      <w:pPr>
        <w:ind w:left="2558" w:hanging="713"/>
      </w:pPr>
      <w:rPr>
        <w:rFonts w:hint="default"/>
        <w:lang w:val="en-US" w:eastAsia="en-US" w:bidi="ar-SA"/>
      </w:rPr>
    </w:lvl>
    <w:lvl w:ilvl="4">
      <w:start w:val="0"/>
      <w:numFmt w:val="bullet"/>
      <w:lvlText w:val="•"/>
      <w:lvlJc w:val="left"/>
      <w:pPr>
        <w:ind w:left="3124" w:hanging="713"/>
      </w:pPr>
      <w:rPr>
        <w:rFonts w:hint="default"/>
        <w:lang w:val="en-US" w:eastAsia="en-US" w:bidi="ar-SA"/>
      </w:rPr>
    </w:lvl>
    <w:lvl w:ilvl="5">
      <w:start w:val="0"/>
      <w:numFmt w:val="bullet"/>
      <w:lvlText w:val="•"/>
      <w:lvlJc w:val="left"/>
      <w:pPr>
        <w:ind w:left="3691" w:hanging="713"/>
      </w:pPr>
      <w:rPr>
        <w:rFonts w:hint="default"/>
        <w:lang w:val="en-US" w:eastAsia="en-US" w:bidi="ar-SA"/>
      </w:rPr>
    </w:lvl>
    <w:lvl w:ilvl="6">
      <w:start w:val="0"/>
      <w:numFmt w:val="bullet"/>
      <w:lvlText w:val="•"/>
      <w:lvlJc w:val="left"/>
      <w:pPr>
        <w:ind w:left="4257" w:hanging="713"/>
      </w:pPr>
      <w:rPr>
        <w:rFonts w:hint="default"/>
        <w:lang w:val="en-US" w:eastAsia="en-US" w:bidi="ar-SA"/>
      </w:rPr>
    </w:lvl>
    <w:lvl w:ilvl="7">
      <w:start w:val="0"/>
      <w:numFmt w:val="bullet"/>
      <w:lvlText w:val="•"/>
      <w:lvlJc w:val="left"/>
      <w:pPr>
        <w:ind w:left="4823" w:hanging="713"/>
      </w:pPr>
      <w:rPr>
        <w:rFonts w:hint="default"/>
        <w:lang w:val="en-US" w:eastAsia="en-US" w:bidi="ar-SA"/>
      </w:rPr>
    </w:lvl>
    <w:lvl w:ilvl="8">
      <w:start w:val="0"/>
      <w:numFmt w:val="bullet"/>
      <w:lvlText w:val="•"/>
      <w:lvlJc w:val="left"/>
      <w:pPr>
        <w:ind w:left="5389" w:hanging="713"/>
      </w:pPr>
      <w:rPr>
        <w:rFonts w:hint="default"/>
        <w:lang w:val="en-US" w:eastAsia="en-US" w:bidi="ar-SA"/>
      </w:rPr>
    </w:lvl>
  </w:abstractNum>
  <w:abstractNum w:abstractNumId="1">
    <w:multiLevelType w:val="hybridMultilevel"/>
    <w:lvl w:ilvl="0">
      <w:start w:val="0"/>
      <w:numFmt w:val="bullet"/>
      <w:lvlText w:val=""/>
      <w:lvlJc w:val="left"/>
      <w:pPr>
        <w:ind w:left="666" w:hanging="567"/>
      </w:pPr>
      <w:rPr>
        <w:rFonts w:hint="default" w:ascii="Symbol" w:hAnsi="Symbol" w:eastAsia="Symbol" w:cs="Symbol"/>
        <w:w w:val="100"/>
        <w:lang w:val="en-US" w:eastAsia="en-US" w:bidi="ar-SA"/>
      </w:rPr>
    </w:lvl>
    <w:lvl w:ilvl="1">
      <w:start w:val="0"/>
      <w:numFmt w:val="bullet"/>
      <w:lvlText w:val=""/>
      <w:lvlJc w:val="left"/>
      <w:pPr>
        <w:ind w:left="958" w:hanging="567"/>
      </w:pPr>
      <w:rPr>
        <w:rFonts w:hint="default" w:ascii="Symbol" w:hAnsi="Symbol" w:eastAsia="Symbol" w:cs="Symbol"/>
        <w:b w:val="0"/>
        <w:bCs w:val="0"/>
        <w:i w:val="0"/>
        <w:iCs w:val="0"/>
        <w:w w:val="100"/>
        <w:sz w:val="22"/>
        <w:szCs w:val="22"/>
        <w:lang w:val="en-US" w:eastAsia="en-US" w:bidi="ar-SA"/>
      </w:rPr>
    </w:lvl>
    <w:lvl w:ilvl="2">
      <w:start w:val="0"/>
      <w:numFmt w:val="bullet"/>
      <w:lvlText w:val="•"/>
      <w:lvlJc w:val="left"/>
      <w:pPr>
        <w:ind w:left="2040" w:hanging="567"/>
      </w:pPr>
      <w:rPr>
        <w:rFonts w:hint="default"/>
        <w:lang w:val="en-US" w:eastAsia="en-US" w:bidi="ar-SA"/>
      </w:rPr>
    </w:lvl>
    <w:lvl w:ilvl="3">
      <w:start w:val="0"/>
      <w:numFmt w:val="bullet"/>
      <w:lvlText w:val="•"/>
      <w:lvlJc w:val="left"/>
      <w:pPr>
        <w:ind w:left="3121" w:hanging="567"/>
      </w:pPr>
      <w:rPr>
        <w:rFonts w:hint="default"/>
        <w:lang w:val="en-US" w:eastAsia="en-US" w:bidi="ar-SA"/>
      </w:rPr>
    </w:lvl>
    <w:lvl w:ilvl="4">
      <w:start w:val="0"/>
      <w:numFmt w:val="bullet"/>
      <w:lvlText w:val="•"/>
      <w:lvlJc w:val="left"/>
      <w:pPr>
        <w:ind w:left="4202" w:hanging="567"/>
      </w:pPr>
      <w:rPr>
        <w:rFonts w:hint="default"/>
        <w:lang w:val="en-US" w:eastAsia="en-US" w:bidi="ar-SA"/>
      </w:rPr>
    </w:lvl>
    <w:lvl w:ilvl="5">
      <w:start w:val="0"/>
      <w:numFmt w:val="bullet"/>
      <w:lvlText w:val="•"/>
      <w:lvlJc w:val="left"/>
      <w:pPr>
        <w:ind w:left="5282" w:hanging="567"/>
      </w:pPr>
      <w:rPr>
        <w:rFonts w:hint="default"/>
        <w:lang w:val="en-US" w:eastAsia="en-US" w:bidi="ar-SA"/>
      </w:rPr>
    </w:lvl>
    <w:lvl w:ilvl="6">
      <w:start w:val="0"/>
      <w:numFmt w:val="bullet"/>
      <w:lvlText w:val="•"/>
      <w:lvlJc w:val="left"/>
      <w:pPr>
        <w:ind w:left="6363" w:hanging="567"/>
      </w:pPr>
      <w:rPr>
        <w:rFonts w:hint="default"/>
        <w:lang w:val="en-US" w:eastAsia="en-US" w:bidi="ar-SA"/>
      </w:rPr>
    </w:lvl>
    <w:lvl w:ilvl="7">
      <w:start w:val="0"/>
      <w:numFmt w:val="bullet"/>
      <w:lvlText w:val="•"/>
      <w:lvlJc w:val="left"/>
      <w:pPr>
        <w:ind w:left="7444" w:hanging="567"/>
      </w:pPr>
      <w:rPr>
        <w:rFonts w:hint="default"/>
        <w:lang w:val="en-US" w:eastAsia="en-US" w:bidi="ar-SA"/>
      </w:rPr>
    </w:lvl>
    <w:lvl w:ilvl="8">
      <w:start w:val="0"/>
      <w:numFmt w:val="bullet"/>
      <w:lvlText w:val="•"/>
      <w:lvlJc w:val="left"/>
      <w:pPr>
        <w:ind w:left="8524" w:hanging="567"/>
      </w:pPr>
      <w:rPr>
        <w:rFonts w:hint="default"/>
        <w:lang w:val="en-US" w:eastAsia="en-US" w:bidi="ar-SA"/>
      </w:rPr>
    </w:lvl>
  </w:abstractNum>
  <w:abstractNum w:abstractNumId="0">
    <w:multiLevelType w:val="hybridMultilevel"/>
    <w:lvl w:ilvl="0">
      <w:start w:val="1"/>
      <w:numFmt w:val="decimal"/>
      <w:lvlText w:val="%1."/>
      <w:lvlJc w:val="left"/>
      <w:pPr>
        <w:ind w:left="820" w:hanging="500"/>
        <w:jc w:val="left"/>
      </w:pPr>
      <w:rPr>
        <w:rFonts w:hint="default" w:ascii="Arial" w:hAnsi="Arial" w:eastAsia="Arial" w:cs="Arial"/>
        <w:b w:val="0"/>
        <w:bCs w:val="0"/>
        <w:i w:val="0"/>
        <w:iCs w:val="0"/>
        <w:spacing w:val="-2"/>
        <w:w w:val="100"/>
        <w:sz w:val="22"/>
        <w:szCs w:val="22"/>
        <w:lang w:val="en-US" w:eastAsia="en-US" w:bidi="ar-SA"/>
      </w:rPr>
    </w:lvl>
    <w:lvl w:ilvl="1">
      <w:start w:val="1"/>
      <w:numFmt w:val="decimal"/>
      <w:lvlText w:val="%1.%2"/>
      <w:lvlJc w:val="left"/>
      <w:pPr>
        <w:ind w:left="689" w:hanging="369"/>
        <w:jc w:val="left"/>
      </w:pPr>
      <w:rPr>
        <w:rFonts w:hint="default" w:ascii="Arial" w:hAnsi="Arial" w:eastAsia="Arial" w:cs="Arial"/>
        <w:b w:val="0"/>
        <w:bCs w:val="0"/>
        <w:i w:val="0"/>
        <w:iCs w:val="0"/>
        <w:spacing w:val="-2"/>
        <w:w w:val="100"/>
        <w:sz w:val="22"/>
        <w:szCs w:val="22"/>
        <w:lang w:val="en-US" w:eastAsia="en-US" w:bidi="ar-SA"/>
      </w:rPr>
    </w:lvl>
    <w:lvl w:ilvl="2">
      <w:start w:val="2"/>
      <w:numFmt w:val="decimal"/>
      <w:lvlText w:val="%1.%2.%3"/>
      <w:lvlJc w:val="left"/>
      <w:pPr>
        <w:ind w:left="871" w:hanging="552"/>
        <w:jc w:val="left"/>
      </w:pPr>
      <w:rPr>
        <w:rFonts w:hint="default" w:ascii="Arial" w:hAnsi="Arial" w:eastAsia="Arial" w:cs="Arial"/>
        <w:b w:val="0"/>
        <w:bCs w:val="0"/>
        <w:i w:val="0"/>
        <w:iCs w:val="0"/>
        <w:spacing w:val="-2"/>
        <w:w w:val="100"/>
        <w:sz w:val="22"/>
        <w:szCs w:val="22"/>
        <w:lang w:val="en-US" w:eastAsia="en-US" w:bidi="ar-SA"/>
      </w:rPr>
    </w:lvl>
    <w:lvl w:ilvl="3">
      <w:start w:val="0"/>
      <w:numFmt w:val="bullet"/>
      <w:lvlText w:val="•"/>
      <w:lvlJc w:val="left"/>
      <w:pPr>
        <w:ind w:left="2105" w:hanging="552"/>
      </w:pPr>
      <w:rPr>
        <w:rFonts w:hint="default"/>
        <w:lang w:val="en-US" w:eastAsia="en-US" w:bidi="ar-SA"/>
      </w:rPr>
    </w:lvl>
    <w:lvl w:ilvl="4">
      <w:start w:val="0"/>
      <w:numFmt w:val="bullet"/>
      <w:lvlText w:val="•"/>
      <w:lvlJc w:val="left"/>
      <w:pPr>
        <w:ind w:left="3331" w:hanging="552"/>
      </w:pPr>
      <w:rPr>
        <w:rFonts w:hint="default"/>
        <w:lang w:val="en-US" w:eastAsia="en-US" w:bidi="ar-SA"/>
      </w:rPr>
    </w:lvl>
    <w:lvl w:ilvl="5">
      <w:start w:val="0"/>
      <w:numFmt w:val="bullet"/>
      <w:lvlText w:val="•"/>
      <w:lvlJc w:val="left"/>
      <w:pPr>
        <w:ind w:left="4557" w:hanging="552"/>
      </w:pPr>
      <w:rPr>
        <w:rFonts w:hint="default"/>
        <w:lang w:val="en-US" w:eastAsia="en-US" w:bidi="ar-SA"/>
      </w:rPr>
    </w:lvl>
    <w:lvl w:ilvl="6">
      <w:start w:val="0"/>
      <w:numFmt w:val="bullet"/>
      <w:lvlText w:val="•"/>
      <w:lvlJc w:val="left"/>
      <w:pPr>
        <w:ind w:left="5783" w:hanging="552"/>
      </w:pPr>
      <w:rPr>
        <w:rFonts w:hint="default"/>
        <w:lang w:val="en-US" w:eastAsia="en-US" w:bidi="ar-SA"/>
      </w:rPr>
    </w:lvl>
    <w:lvl w:ilvl="7">
      <w:start w:val="0"/>
      <w:numFmt w:val="bullet"/>
      <w:lvlText w:val="•"/>
      <w:lvlJc w:val="left"/>
      <w:pPr>
        <w:ind w:left="7009" w:hanging="552"/>
      </w:pPr>
      <w:rPr>
        <w:rFonts w:hint="default"/>
        <w:lang w:val="en-US" w:eastAsia="en-US" w:bidi="ar-SA"/>
      </w:rPr>
    </w:lvl>
    <w:lvl w:ilvl="8">
      <w:start w:val="0"/>
      <w:numFmt w:val="bullet"/>
      <w:lvlText w:val="•"/>
      <w:lvlJc w:val="left"/>
      <w:pPr>
        <w:ind w:left="8234" w:hanging="552"/>
      </w:pPr>
      <w:rPr>
        <w:rFonts w:hint="default"/>
        <w:lang w:val="en-US" w:eastAsia="en-US" w:bidi="ar-SA"/>
      </w:rPr>
    </w:lvl>
  </w:abstract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100"/>
      <w:ind w:left="100"/>
    </w:pPr>
    <w:rPr>
      <w:rFonts w:ascii="Arial" w:hAnsi="Arial" w:eastAsia="Arial" w:cs="Arial"/>
      <w:sz w:val="22"/>
      <w:szCs w:val="22"/>
      <w:lang w:val="en-US" w:eastAsia="en-US" w:bidi="ar-SA"/>
    </w:rPr>
  </w:style>
  <w:style w:styleId="TOC2" w:type="paragraph">
    <w:name w:val="TOC 2"/>
    <w:basedOn w:val="Normal"/>
    <w:uiPriority w:val="1"/>
    <w:qFormat/>
    <w:pPr>
      <w:spacing w:before="100"/>
      <w:ind w:left="689" w:hanging="370"/>
    </w:pPr>
    <w:rPr>
      <w:rFonts w:ascii="Arial" w:hAnsi="Arial" w:eastAsia="Arial" w:cs="Arial"/>
      <w:sz w:val="22"/>
      <w:szCs w:val="22"/>
      <w:lang w:val="en-US" w:eastAsia="en-US" w:bidi="ar-SA"/>
    </w:rPr>
  </w:style>
  <w:style w:styleId="TOC3" w:type="paragraph">
    <w:name w:val="TOC 3"/>
    <w:basedOn w:val="Normal"/>
    <w:uiPriority w:val="1"/>
    <w:qFormat/>
    <w:pPr>
      <w:spacing w:before="100"/>
      <w:ind w:left="320"/>
    </w:pPr>
    <w:rPr>
      <w:rFonts w:ascii="Arial" w:hAnsi="Arial" w:eastAsia="Arial" w:cs="Arial"/>
      <w:i/>
      <w:iCs/>
      <w:sz w:val="22"/>
      <w:szCs w:val="22"/>
      <w:lang w:val="en-US" w:eastAsia="en-US" w:bidi="ar-SA"/>
    </w:rPr>
  </w:style>
  <w:style w:styleId="TOC4" w:type="paragraph">
    <w:name w:val="TOC 4"/>
    <w:basedOn w:val="Normal"/>
    <w:uiPriority w:val="1"/>
    <w:qFormat/>
    <w:pPr>
      <w:spacing w:before="100"/>
      <w:ind w:left="320"/>
    </w:pPr>
    <w:rPr>
      <w:rFonts w:ascii="Arial" w:hAnsi="Arial" w:eastAsia="Arial" w:cs="Arial"/>
      <w:b/>
      <w:bCs/>
      <w:i/>
      <w:iCs/>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spacing w:before="61"/>
      <w:ind w:left="100"/>
      <w:outlineLvl w:val="1"/>
    </w:pPr>
    <w:rPr>
      <w:rFonts w:ascii="Arial" w:hAnsi="Arial" w:eastAsia="Arial" w:cs="Arial"/>
      <w:b/>
      <w:bCs/>
      <w:sz w:val="32"/>
      <w:szCs w:val="32"/>
      <w:lang w:val="en-US" w:eastAsia="en-US" w:bidi="ar-SA"/>
    </w:rPr>
  </w:style>
  <w:style w:styleId="Heading2" w:type="paragraph">
    <w:name w:val="Heading 2"/>
    <w:basedOn w:val="Normal"/>
    <w:uiPriority w:val="1"/>
    <w:qFormat/>
    <w:pPr>
      <w:ind w:left="860"/>
      <w:outlineLvl w:val="2"/>
    </w:pPr>
    <w:rPr>
      <w:rFonts w:ascii="Arial" w:hAnsi="Arial" w:eastAsia="Arial" w:cs="Arial"/>
      <w:b/>
      <w:bCs/>
      <w:sz w:val="28"/>
      <w:szCs w:val="28"/>
      <w:lang w:val="en-US" w:eastAsia="en-US" w:bidi="ar-SA"/>
    </w:rPr>
  </w:style>
  <w:style w:styleId="Heading3" w:type="paragraph">
    <w:name w:val="Heading 3"/>
    <w:basedOn w:val="Normal"/>
    <w:uiPriority w:val="1"/>
    <w:qFormat/>
    <w:pPr>
      <w:ind w:left="391"/>
      <w:outlineLvl w:val="3"/>
    </w:pPr>
    <w:rPr>
      <w:rFonts w:ascii="Arial" w:hAnsi="Arial" w:eastAsia="Arial" w:cs="Arial"/>
      <w:i/>
      <w:iCs/>
      <w:sz w:val="28"/>
      <w:szCs w:val="28"/>
      <w:lang w:val="en-US" w:eastAsia="en-US" w:bidi="ar-SA"/>
    </w:rPr>
  </w:style>
  <w:style w:styleId="Heading4" w:type="paragraph">
    <w:name w:val="Heading 4"/>
    <w:basedOn w:val="Normal"/>
    <w:uiPriority w:val="1"/>
    <w:qFormat/>
    <w:pPr>
      <w:ind w:left="861" w:hanging="602"/>
      <w:outlineLvl w:val="4"/>
    </w:pPr>
    <w:rPr>
      <w:rFonts w:ascii="Arial" w:hAnsi="Arial" w:eastAsia="Arial" w:cs="Arial"/>
      <w:b/>
      <w:bCs/>
      <w:sz w:val="24"/>
      <w:szCs w:val="24"/>
      <w:lang w:val="en-US" w:eastAsia="en-US" w:bidi="ar-SA"/>
    </w:rPr>
  </w:style>
  <w:style w:styleId="Heading5" w:type="paragraph">
    <w:name w:val="Heading 5"/>
    <w:basedOn w:val="Normal"/>
    <w:uiPriority w:val="1"/>
    <w:qFormat/>
    <w:pPr>
      <w:ind w:left="260"/>
      <w:outlineLvl w:val="5"/>
    </w:pPr>
    <w:rPr>
      <w:rFonts w:ascii="Arial" w:hAnsi="Arial" w:eastAsia="Arial" w:cs="Arial"/>
      <w:b/>
      <w:bCs/>
      <w:sz w:val="22"/>
      <w:szCs w:val="22"/>
      <w:lang w:val="en-US" w:eastAsia="en-US" w:bidi="ar-SA"/>
    </w:rPr>
  </w:style>
  <w:style w:styleId="ListParagraph" w:type="paragraph">
    <w:name w:val="List Paragraph"/>
    <w:basedOn w:val="Normal"/>
    <w:uiPriority w:val="1"/>
    <w:qFormat/>
    <w:pPr>
      <w:ind w:left="666" w:hanging="567"/>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footer" Target="footer5.xml"/><Relationship Id="rId20" Type="http://schemas.openxmlformats.org/officeDocument/2006/relationships/footer" Target="footer6.xml"/><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footer" Target="footer7.xml"/><Relationship Id="rId25" Type="http://schemas.openxmlformats.org/officeDocument/2006/relationships/image" Target="media/image14.png"/><Relationship Id="rId26" Type="http://schemas.openxmlformats.org/officeDocument/2006/relationships/footer" Target="footer8.xml"/><Relationship Id="rId27" Type="http://schemas.openxmlformats.org/officeDocument/2006/relationships/footer" Target="footer9.xml"/><Relationship Id="rId28" Type="http://schemas.openxmlformats.org/officeDocument/2006/relationships/footer" Target="footer10.xml"/><Relationship Id="rId29" Type="http://schemas.openxmlformats.org/officeDocument/2006/relationships/image" Target="media/image15.png"/><Relationship Id="rId3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 Burton</dc:creator>
  <dc:title>Microsoft Word - MCC Adopted Budget Document 2025-2026.docx</dc:title>
  <dcterms:created xsi:type="dcterms:W3CDTF">2025-07-06T23:38:13Z</dcterms:created>
  <dcterms:modified xsi:type="dcterms:W3CDTF">2025-07-06T23:38:13Z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2025-07-07T00:00:00Z</vt:filetime>
  </property>
  <property fmtid="{D5CDD505-2E9C-101B-9397-08002B2CF9AE}" pid="3" name="LastSaved">
    <vt:filetime>2025-07-06T00:00:00Z</vt:filetime>
  </property>
</Properties>
</file>